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B652F" w14:textId="1231086C" w:rsidR="008D0F76" w:rsidRDefault="008D0F76">
      <w:pPr>
        <w:pStyle w:val="Ttuloprincipal"/>
        <w:tabs>
          <w:tab w:val="left" w:pos="1701"/>
          <w:tab w:val="left" w:pos="3119"/>
        </w:tabs>
        <w:ind w:left="2127" w:hanging="142"/>
        <w:rPr>
          <w:rFonts w:ascii="Arial" w:hAnsi="Arial" w:cs="Arial"/>
          <w:szCs w:val="24"/>
        </w:rPr>
      </w:pPr>
    </w:p>
    <w:p w14:paraId="11930BF0"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513DBD98"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489F4E07"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22814C45" w14:textId="77777777" w:rsidR="00C7146E" w:rsidRPr="00A76E3D" w:rsidRDefault="00C7146E" w:rsidP="00A97183">
      <w:pPr>
        <w:pStyle w:val="Ttuloprincipal"/>
        <w:tabs>
          <w:tab w:val="left" w:pos="1701"/>
          <w:tab w:val="left" w:pos="3119"/>
        </w:tabs>
        <w:jc w:val="left"/>
        <w:rPr>
          <w:rFonts w:ascii="Arial" w:hAnsi="Arial" w:cs="Arial"/>
          <w:szCs w:val="24"/>
          <w:lang w:val="es-ES"/>
        </w:rPr>
      </w:pPr>
    </w:p>
    <w:p w14:paraId="5557B1DB"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204F00A4"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11D86481"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359462EF"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18A43BE6" w14:textId="56D7D1FF" w:rsidR="00C7146E" w:rsidRPr="00701F32" w:rsidRDefault="003575F1" w:rsidP="003D284C">
      <w:pPr>
        <w:pStyle w:val="Ttuloprincipal"/>
        <w:ind w:left="-120"/>
        <w:jc w:val="left"/>
        <w:rPr>
          <w:rFonts w:ascii="Arial" w:hAnsi="Arial" w:cs="Arial"/>
          <w:szCs w:val="24"/>
        </w:rPr>
      </w:pPr>
      <w:r w:rsidRPr="00701F32">
        <w:rPr>
          <w:rFonts w:ascii="Arial" w:hAnsi="Arial" w:cs="Arial"/>
          <w:szCs w:val="24"/>
        </w:rPr>
        <w:t>BANCO</w:t>
      </w:r>
      <w:r w:rsidR="00ED382B" w:rsidRPr="00701F32">
        <w:rPr>
          <w:rFonts w:ascii="Arial" w:hAnsi="Arial" w:cs="Arial"/>
          <w:szCs w:val="24"/>
        </w:rPr>
        <w:t xml:space="preserve"> SUPERVIELLE</w:t>
      </w:r>
      <w:r w:rsidR="002439EB" w:rsidRPr="00701F32">
        <w:rPr>
          <w:rFonts w:ascii="Arial" w:hAnsi="Arial" w:cs="Arial"/>
          <w:szCs w:val="24"/>
        </w:rPr>
        <w:t xml:space="preserve"> S.A.</w:t>
      </w:r>
    </w:p>
    <w:p w14:paraId="6F9AAE8F" w14:textId="77777777" w:rsidR="00C7146E" w:rsidRPr="00701F32" w:rsidRDefault="00C7146E">
      <w:pPr>
        <w:pStyle w:val="Ttuloprincipal"/>
        <w:ind w:left="-120"/>
        <w:rPr>
          <w:rFonts w:ascii="Arial" w:hAnsi="Arial" w:cs="Arial"/>
          <w:szCs w:val="24"/>
        </w:rPr>
      </w:pPr>
    </w:p>
    <w:p w14:paraId="1C279325" w14:textId="77777777" w:rsidR="003D284C" w:rsidRPr="00701F32" w:rsidRDefault="003D284C" w:rsidP="003D284C">
      <w:pPr>
        <w:pStyle w:val="Ttuloprincipal"/>
        <w:ind w:left="-120"/>
        <w:jc w:val="left"/>
        <w:rPr>
          <w:rFonts w:ascii="Arial" w:hAnsi="Arial" w:cs="Arial"/>
          <w:szCs w:val="24"/>
        </w:rPr>
      </w:pPr>
    </w:p>
    <w:p w14:paraId="3544BB33" w14:textId="272716D1" w:rsidR="003D284C" w:rsidRPr="00701F32" w:rsidRDefault="00C7146E" w:rsidP="003D284C">
      <w:pPr>
        <w:pStyle w:val="Ttuloprincipal"/>
        <w:ind w:left="-120"/>
        <w:jc w:val="left"/>
        <w:rPr>
          <w:rFonts w:ascii="Arial" w:hAnsi="Arial" w:cs="Arial"/>
          <w:szCs w:val="24"/>
        </w:rPr>
      </w:pPr>
      <w:r w:rsidRPr="00701F32">
        <w:rPr>
          <w:rFonts w:ascii="Arial" w:hAnsi="Arial" w:cs="Arial"/>
          <w:szCs w:val="24"/>
        </w:rPr>
        <w:t xml:space="preserve">Estados </w:t>
      </w:r>
      <w:r w:rsidR="000014C9" w:rsidRPr="00701F32">
        <w:rPr>
          <w:rFonts w:ascii="Arial" w:hAnsi="Arial" w:cs="Arial"/>
          <w:szCs w:val="24"/>
        </w:rPr>
        <w:t>financieros</w:t>
      </w:r>
      <w:r w:rsidR="00B17828" w:rsidRPr="00701F32">
        <w:rPr>
          <w:rFonts w:ascii="Arial" w:hAnsi="Arial" w:cs="Arial"/>
          <w:szCs w:val="24"/>
        </w:rPr>
        <w:t xml:space="preserve"> </w:t>
      </w:r>
      <w:r w:rsidR="007F10A7">
        <w:rPr>
          <w:rFonts w:ascii="Arial" w:hAnsi="Arial" w:cs="Arial"/>
          <w:szCs w:val="24"/>
        </w:rPr>
        <w:t xml:space="preserve">condensados </w:t>
      </w:r>
      <w:r w:rsidR="0085791D">
        <w:rPr>
          <w:rFonts w:ascii="Arial" w:hAnsi="Arial" w:cs="Arial"/>
          <w:szCs w:val="24"/>
        </w:rPr>
        <w:t xml:space="preserve">intermedios </w:t>
      </w:r>
      <w:r w:rsidR="00885947">
        <w:rPr>
          <w:rFonts w:ascii="Arial" w:hAnsi="Arial" w:cs="Arial"/>
          <w:szCs w:val="24"/>
        </w:rPr>
        <w:t>consolidados</w:t>
      </w:r>
      <w:r w:rsidR="007F10A7">
        <w:rPr>
          <w:rFonts w:ascii="Arial" w:hAnsi="Arial" w:cs="Arial"/>
          <w:szCs w:val="24"/>
        </w:rPr>
        <w:t xml:space="preserve"> </w:t>
      </w:r>
    </w:p>
    <w:p w14:paraId="28CE5551" w14:textId="77777777" w:rsidR="003D284C" w:rsidRPr="00701F32" w:rsidRDefault="003D284C" w:rsidP="003D284C">
      <w:pPr>
        <w:pStyle w:val="Ttuloprincipal"/>
        <w:ind w:left="-120"/>
        <w:jc w:val="left"/>
        <w:rPr>
          <w:rFonts w:ascii="Arial" w:hAnsi="Arial" w:cs="Arial"/>
          <w:szCs w:val="24"/>
        </w:rPr>
      </w:pPr>
    </w:p>
    <w:p w14:paraId="63A3272F" w14:textId="6138EBF0" w:rsidR="007F10A7" w:rsidRPr="00701F32" w:rsidRDefault="007F10A7" w:rsidP="007F10A7">
      <w:pPr>
        <w:pStyle w:val="Ttuloprincipal"/>
        <w:ind w:left="-120"/>
        <w:jc w:val="left"/>
        <w:rPr>
          <w:rFonts w:ascii="Arial" w:hAnsi="Arial" w:cs="Arial"/>
          <w:b w:val="0"/>
          <w:szCs w:val="24"/>
        </w:rPr>
      </w:pPr>
      <w:r w:rsidRPr="00701F32">
        <w:rPr>
          <w:rFonts w:ascii="Arial" w:hAnsi="Arial" w:cs="Arial"/>
          <w:b w:val="0"/>
          <w:szCs w:val="24"/>
        </w:rPr>
        <w:t xml:space="preserve">Correspondientes al período de </w:t>
      </w:r>
      <w:r w:rsidR="008B59BA">
        <w:rPr>
          <w:rFonts w:ascii="Arial" w:hAnsi="Arial" w:cs="Arial"/>
          <w:b w:val="0"/>
          <w:szCs w:val="24"/>
        </w:rPr>
        <w:t>tres</w:t>
      </w:r>
      <w:r w:rsidRPr="00701F32">
        <w:rPr>
          <w:rFonts w:ascii="Arial" w:hAnsi="Arial" w:cs="Arial"/>
          <w:b w:val="0"/>
          <w:szCs w:val="24"/>
        </w:rPr>
        <w:t xml:space="preserve"> meses finalizado el </w:t>
      </w:r>
    </w:p>
    <w:p w14:paraId="6F7E0AC6" w14:textId="41ABC5EA" w:rsidR="00473475" w:rsidRPr="00701F32" w:rsidRDefault="007F10A7" w:rsidP="007F10A7">
      <w:pPr>
        <w:pStyle w:val="Ttuloprincipal"/>
        <w:ind w:left="-120"/>
        <w:jc w:val="left"/>
        <w:rPr>
          <w:rFonts w:ascii="Arial" w:hAnsi="Arial" w:cs="Arial"/>
          <w:b w:val="0"/>
          <w:szCs w:val="24"/>
        </w:rPr>
      </w:pPr>
      <w:r w:rsidRPr="00701F32">
        <w:rPr>
          <w:rFonts w:ascii="Arial" w:hAnsi="Arial" w:cs="Arial"/>
          <w:b w:val="0"/>
          <w:szCs w:val="24"/>
        </w:rPr>
        <w:t>3</w:t>
      </w:r>
      <w:r w:rsidR="008B59BA">
        <w:rPr>
          <w:rFonts w:ascii="Arial" w:hAnsi="Arial" w:cs="Arial"/>
          <w:b w:val="0"/>
          <w:szCs w:val="24"/>
        </w:rPr>
        <w:t>1</w:t>
      </w:r>
      <w:r w:rsidRPr="00701F32">
        <w:rPr>
          <w:rFonts w:ascii="Arial" w:hAnsi="Arial" w:cs="Arial"/>
          <w:b w:val="0"/>
          <w:szCs w:val="24"/>
        </w:rPr>
        <w:t xml:space="preserve"> de </w:t>
      </w:r>
      <w:r w:rsidR="008B59BA">
        <w:rPr>
          <w:rFonts w:ascii="Arial" w:hAnsi="Arial" w:cs="Arial"/>
          <w:b w:val="0"/>
          <w:szCs w:val="24"/>
        </w:rPr>
        <w:t>marzo</w:t>
      </w:r>
      <w:r w:rsidRPr="00701F32">
        <w:rPr>
          <w:rFonts w:ascii="Arial" w:hAnsi="Arial" w:cs="Arial"/>
          <w:b w:val="0"/>
          <w:szCs w:val="24"/>
        </w:rPr>
        <w:t xml:space="preserve"> de 20</w:t>
      </w:r>
      <w:r w:rsidR="008B59BA">
        <w:rPr>
          <w:rFonts w:ascii="Arial" w:hAnsi="Arial" w:cs="Arial"/>
          <w:b w:val="0"/>
          <w:szCs w:val="24"/>
        </w:rPr>
        <w:t>20</w:t>
      </w:r>
      <w:r w:rsidRPr="00701F32">
        <w:rPr>
          <w:rFonts w:ascii="Arial" w:hAnsi="Arial" w:cs="Arial"/>
          <w:b w:val="0"/>
          <w:szCs w:val="24"/>
        </w:rPr>
        <w:t>, presentados en forma comparativa</w:t>
      </w:r>
    </w:p>
    <w:p w14:paraId="51703D59" w14:textId="77777777" w:rsidR="00C7146E" w:rsidRPr="00701F32" w:rsidRDefault="00C7146E">
      <w:pPr>
        <w:pStyle w:val="Ttuloprincipal"/>
        <w:ind w:left="3119"/>
        <w:rPr>
          <w:rFonts w:ascii="Arial" w:hAnsi="Arial" w:cs="Arial"/>
          <w:szCs w:val="24"/>
        </w:rPr>
      </w:pPr>
    </w:p>
    <w:p w14:paraId="59EE5D11" w14:textId="77777777" w:rsidR="00C7146E" w:rsidRPr="00701F32" w:rsidRDefault="00C7146E">
      <w:pPr>
        <w:pStyle w:val="Ttuloprincipal"/>
        <w:tabs>
          <w:tab w:val="left" w:pos="1701"/>
          <w:tab w:val="left" w:pos="3119"/>
        </w:tabs>
        <w:ind w:left="2127" w:hanging="142"/>
        <w:rPr>
          <w:rFonts w:ascii="Arial" w:hAnsi="Arial" w:cs="Arial"/>
          <w:szCs w:val="24"/>
        </w:rPr>
      </w:pPr>
    </w:p>
    <w:p w14:paraId="287537EF"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33EF8EBC" w14:textId="77777777" w:rsidR="00C7146E" w:rsidRPr="00701F32" w:rsidRDefault="00C7146E">
      <w:pPr>
        <w:pStyle w:val="Ttuloprincipal"/>
        <w:tabs>
          <w:tab w:val="left" w:pos="1080"/>
          <w:tab w:val="left" w:pos="1701"/>
        </w:tabs>
        <w:ind w:left="240" w:hanging="142"/>
        <w:rPr>
          <w:rFonts w:ascii="Arial" w:hAnsi="Arial" w:cs="Arial"/>
          <w:szCs w:val="24"/>
          <w:lang w:val="es-ES"/>
        </w:rPr>
      </w:pPr>
    </w:p>
    <w:p w14:paraId="0843A402"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25F78ECF"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252E69E0"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00A08594"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29313205"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5F58A695" w14:textId="77777777" w:rsidR="00C07CB3" w:rsidRPr="00701F32" w:rsidRDefault="00C07CB3" w:rsidP="00C07CB3">
      <w:pPr>
        <w:pStyle w:val="Heading7"/>
        <w:ind w:left="0"/>
        <w:rPr>
          <w:rFonts w:ascii="Arial" w:hAnsi="Arial" w:cs="Arial"/>
          <w:sz w:val="24"/>
          <w:szCs w:val="24"/>
        </w:rPr>
      </w:pPr>
      <w:r w:rsidRPr="00701F32">
        <w:rPr>
          <w:rFonts w:ascii="Arial" w:hAnsi="Arial" w:cs="Arial"/>
          <w:sz w:val="24"/>
          <w:szCs w:val="24"/>
        </w:rPr>
        <w:t>Contenido</w:t>
      </w:r>
    </w:p>
    <w:p w14:paraId="66FB9362" w14:textId="77777777" w:rsidR="00C7146E" w:rsidRPr="00701F32" w:rsidRDefault="00C7146E">
      <w:pPr>
        <w:pStyle w:val="Ttuloprincipal"/>
        <w:jc w:val="left"/>
        <w:rPr>
          <w:rFonts w:ascii="Arial" w:hAnsi="Arial" w:cs="Arial"/>
          <w:bCs/>
          <w:szCs w:val="24"/>
          <w:lang w:val="es-AR" w:eastAsia="es-ES"/>
        </w:rPr>
      </w:pPr>
    </w:p>
    <w:p w14:paraId="1DFDAD5B" w14:textId="37C3F29E"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 xml:space="preserve">Estado de situación financiera </w:t>
      </w:r>
      <w:r w:rsidR="00812AED">
        <w:rPr>
          <w:rFonts w:ascii="Arial" w:hAnsi="Arial" w:cs="Arial"/>
          <w:b w:val="0"/>
          <w:szCs w:val="24"/>
          <w:lang w:val="es-AR"/>
        </w:rPr>
        <w:t xml:space="preserve">condensado intermedio </w:t>
      </w:r>
      <w:r w:rsidR="00812AED" w:rsidRPr="00701F32">
        <w:rPr>
          <w:rFonts w:ascii="Arial" w:hAnsi="Arial" w:cs="Arial"/>
          <w:b w:val="0"/>
          <w:szCs w:val="24"/>
          <w:lang w:val="es-AR"/>
        </w:rPr>
        <w:t>consolidado</w:t>
      </w:r>
    </w:p>
    <w:p w14:paraId="27F02D6E" w14:textId="22F359FF"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resultados</w:t>
      </w:r>
      <w:r w:rsidR="00812AED" w:rsidRPr="00812AED">
        <w:rPr>
          <w:rFonts w:ascii="Arial" w:hAnsi="Arial" w:cs="Arial"/>
          <w:b w:val="0"/>
          <w:szCs w:val="24"/>
          <w:lang w:val="es-AR"/>
        </w:rPr>
        <w:t xml:space="preserve"> </w:t>
      </w:r>
      <w:r w:rsidR="00812AED">
        <w:rPr>
          <w:rFonts w:ascii="Arial" w:hAnsi="Arial" w:cs="Arial"/>
          <w:b w:val="0"/>
          <w:szCs w:val="24"/>
          <w:lang w:val="es-AR"/>
        </w:rPr>
        <w:t xml:space="preserve">condensado intermedio </w:t>
      </w:r>
      <w:r w:rsidR="00812AED" w:rsidRPr="00701F32">
        <w:rPr>
          <w:rFonts w:ascii="Arial" w:hAnsi="Arial" w:cs="Arial"/>
          <w:b w:val="0"/>
          <w:szCs w:val="24"/>
          <w:lang w:val="es-AR"/>
        </w:rPr>
        <w:t>consolidado</w:t>
      </w:r>
    </w:p>
    <w:p w14:paraId="440B9417" w14:textId="70983CEA"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otros resultados integrales</w:t>
      </w:r>
      <w:r w:rsidR="00812AED" w:rsidRPr="00812AED">
        <w:rPr>
          <w:rFonts w:ascii="Arial" w:hAnsi="Arial" w:cs="Arial"/>
          <w:b w:val="0"/>
          <w:szCs w:val="24"/>
          <w:lang w:val="es-AR"/>
        </w:rPr>
        <w:t xml:space="preserve"> </w:t>
      </w:r>
      <w:r w:rsidR="00812AED">
        <w:rPr>
          <w:rFonts w:ascii="Arial" w:hAnsi="Arial" w:cs="Arial"/>
          <w:b w:val="0"/>
          <w:szCs w:val="24"/>
          <w:lang w:val="es-AR"/>
        </w:rPr>
        <w:t xml:space="preserve">condensado intermedio </w:t>
      </w:r>
      <w:r w:rsidR="00812AED" w:rsidRPr="00701F32">
        <w:rPr>
          <w:rFonts w:ascii="Arial" w:hAnsi="Arial" w:cs="Arial"/>
          <w:b w:val="0"/>
          <w:szCs w:val="24"/>
          <w:lang w:val="es-AR"/>
        </w:rPr>
        <w:t>consolidado</w:t>
      </w:r>
    </w:p>
    <w:p w14:paraId="0B3CFE41" w14:textId="28BAD684"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cambios en el patrimonio</w:t>
      </w:r>
      <w:r w:rsidR="00812AED">
        <w:rPr>
          <w:rFonts w:ascii="Arial" w:hAnsi="Arial" w:cs="Arial"/>
          <w:b w:val="0"/>
          <w:szCs w:val="24"/>
          <w:lang w:val="es-AR"/>
        </w:rPr>
        <w:t xml:space="preserve"> condensado intermedio </w:t>
      </w:r>
      <w:r w:rsidR="00812AED" w:rsidRPr="00701F32">
        <w:rPr>
          <w:rFonts w:ascii="Arial" w:hAnsi="Arial" w:cs="Arial"/>
          <w:b w:val="0"/>
          <w:szCs w:val="24"/>
          <w:lang w:val="es-AR"/>
        </w:rPr>
        <w:t>consolidado</w:t>
      </w:r>
    </w:p>
    <w:p w14:paraId="3DF2AEC6" w14:textId="432D5FE8"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 xml:space="preserve">Estado de flujos de efectivo </w:t>
      </w:r>
      <w:r w:rsidR="00812AED">
        <w:rPr>
          <w:rFonts w:ascii="Arial" w:hAnsi="Arial" w:cs="Arial"/>
          <w:b w:val="0"/>
          <w:szCs w:val="24"/>
          <w:lang w:val="es-AR"/>
        </w:rPr>
        <w:t xml:space="preserve">condensado intermedio </w:t>
      </w:r>
      <w:r w:rsidRPr="00701F32">
        <w:rPr>
          <w:rFonts w:ascii="Arial" w:hAnsi="Arial" w:cs="Arial"/>
          <w:b w:val="0"/>
          <w:szCs w:val="24"/>
          <w:lang w:val="es-AR"/>
        </w:rPr>
        <w:t>consolidado</w:t>
      </w:r>
    </w:p>
    <w:p w14:paraId="2227AD62" w14:textId="05181518"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Notas a los estados financieros condensados intermedios</w:t>
      </w:r>
      <w:r w:rsidR="00812AED" w:rsidRPr="00812AED">
        <w:rPr>
          <w:rFonts w:ascii="Arial" w:hAnsi="Arial" w:cs="Arial"/>
          <w:b w:val="0"/>
          <w:szCs w:val="24"/>
          <w:lang w:val="es-AR"/>
        </w:rPr>
        <w:t xml:space="preserve"> </w:t>
      </w:r>
      <w:r w:rsidR="00812AED" w:rsidRPr="00701F32">
        <w:rPr>
          <w:rFonts w:ascii="Arial" w:hAnsi="Arial" w:cs="Arial"/>
          <w:b w:val="0"/>
          <w:szCs w:val="24"/>
          <w:lang w:val="es-AR"/>
        </w:rPr>
        <w:t>consolidados</w:t>
      </w:r>
    </w:p>
    <w:p w14:paraId="67335F11" w14:textId="7C68D572"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Anexos a los estados financieros condensados intermedios</w:t>
      </w:r>
      <w:r w:rsidR="00812AED" w:rsidRPr="00812AED">
        <w:rPr>
          <w:rFonts w:ascii="Arial" w:hAnsi="Arial" w:cs="Arial"/>
          <w:b w:val="0"/>
          <w:szCs w:val="24"/>
          <w:lang w:val="es-AR"/>
        </w:rPr>
        <w:t xml:space="preserve"> </w:t>
      </w:r>
      <w:r w:rsidR="00812AED" w:rsidRPr="00701F32">
        <w:rPr>
          <w:rFonts w:ascii="Arial" w:hAnsi="Arial" w:cs="Arial"/>
          <w:b w:val="0"/>
          <w:szCs w:val="24"/>
          <w:lang w:val="es-AR"/>
        </w:rPr>
        <w:t>consolidados</w:t>
      </w:r>
    </w:p>
    <w:p w14:paraId="38D3008B" w14:textId="6DA0C221"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situación financiera</w:t>
      </w:r>
      <w:r w:rsidR="00812AED">
        <w:rPr>
          <w:rFonts w:ascii="Arial" w:hAnsi="Arial" w:cs="Arial"/>
          <w:b w:val="0"/>
          <w:szCs w:val="24"/>
          <w:lang w:val="es-AR"/>
        </w:rPr>
        <w:t xml:space="preserve"> condensado intermedio </w:t>
      </w:r>
      <w:r w:rsidR="00812AED" w:rsidRPr="00701F32">
        <w:rPr>
          <w:rFonts w:ascii="Arial" w:hAnsi="Arial" w:cs="Arial"/>
          <w:b w:val="0"/>
          <w:szCs w:val="24"/>
          <w:lang w:val="es-AR"/>
        </w:rPr>
        <w:t>separado</w:t>
      </w:r>
    </w:p>
    <w:p w14:paraId="11C8A785" w14:textId="78309B73"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resultados</w:t>
      </w:r>
      <w:r w:rsidR="00812AED">
        <w:rPr>
          <w:rFonts w:ascii="Arial" w:hAnsi="Arial" w:cs="Arial"/>
          <w:b w:val="0"/>
          <w:szCs w:val="24"/>
          <w:lang w:val="es-AR"/>
        </w:rPr>
        <w:t xml:space="preserve"> condensado intermedio </w:t>
      </w:r>
      <w:r w:rsidR="00812AED" w:rsidRPr="00701F32">
        <w:rPr>
          <w:rFonts w:ascii="Arial" w:hAnsi="Arial" w:cs="Arial"/>
          <w:b w:val="0"/>
          <w:szCs w:val="24"/>
          <w:lang w:val="es-AR"/>
        </w:rPr>
        <w:t>separado</w:t>
      </w:r>
    </w:p>
    <w:p w14:paraId="59CF56AE" w14:textId="3119216C"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otros resultados integrales</w:t>
      </w:r>
      <w:r w:rsidR="00812AED">
        <w:rPr>
          <w:rFonts w:ascii="Arial" w:hAnsi="Arial" w:cs="Arial"/>
          <w:b w:val="0"/>
          <w:szCs w:val="24"/>
          <w:lang w:val="es-AR"/>
        </w:rPr>
        <w:t xml:space="preserve"> condensado intermedio </w:t>
      </w:r>
      <w:r w:rsidR="00812AED" w:rsidRPr="00701F32">
        <w:rPr>
          <w:rFonts w:ascii="Arial" w:hAnsi="Arial" w:cs="Arial"/>
          <w:b w:val="0"/>
          <w:szCs w:val="24"/>
          <w:lang w:val="es-AR"/>
        </w:rPr>
        <w:t>separado</w:t>
      </w:r>
      <w:r w:rsidRPr="00701F32">
        <w:rPr>
          <w:rFonts w:ascii="Arial" w:hAnsi="Arial" w:cs="Arial"/>
          <w:b w:val="0"/>
          <w:szCs w:val="24"/>
          <w:lang w:val="es-AR"/>
        </w:rPr>
        <w:t xml:space="preserve"> </w:t>
      </w:r>
    </w:p>
    <w:p w14:paraId="023D485A" w14:textId="6CED2D3C"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cambios en el patrimonio</w:t>
      </w:r>
      <w:r w:rsidR="00812AED">
        <w:rPr>
          <w:rFonts w:ascii="Arial" w:hAnsi="Arial" w:cs="Arial"/>
          <w:b w:val="0"/>
          <w:szCs w:val="24"/>
          <w:lang w:val="es-AR"/>
        </w:rPr>
        <w:t xml:space="preserve"> condensado intermedio </w:t>
      </w:r>
      <w:r w:rsidR="00812AED" w:rsidRPr="00701F32">
        <w:rPr>
          <w:rFonts w:ascii="Arial" w:hAnsi="Arial" w:cs="Arial"/>
          <w:b w:val="0"/>
          <w:szCs w:val="24"/>
          <w:lang w:val="es-AR"/>
        </w:rPr>
        <w:t>separado</w:t>
      </w:r>
    </w:p>
    <w:p w14:paraId="040D50D5" w14:textId="39EBE754"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flujos de efectivo</w:t>
      </w:r>
      <w:r w:rsidR="00812AED">
        <w:rPr>
          <w:rFonts w:ascii="Arial" w:hAnsi="Arial" w:cs="Arial"/>
          <w:b w:val="0"/>
          <w:szCs w:val="24"/>
          <w:lang w:val="es-AR"/>
        </w:rPr>
        <w:t xml:space="preserve"> condensado intermedio </w:t>
      </w:r>
      <w:r w:rsidR="00812AED" w:rsidRPr="00701F32">
        <w:rPr>
          <w:rFonts w:ascii="Arial" w:hAnsi="Arial" w:cs="Arial"/>
          <w:b w:val="0"/>
          <w:szCs w:val="24"/>
          <w:lang w:val="es-AR"/>
        </w:rPr>
        <w:t>separado</w:t>
      </w:r>
    </w:p>
    <w:p w14:paraId="0DE2AE56" w14:textId="361A2402"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Notas a los estados financieros condensados intermedios</w:t>
      </w:r>
      <w:r w:rsidR="00812AED" w:rsidRPr="00812AED">
        <w:rPr>
          <w:rFonts w:ascii="Arial" w:hAnsi="Arial" w:cs="Arial"/>
          <w:b w:val="0"/>
          <w:szCs w:val="24"/>
          <w:lang w:val="es-AR"/>
        </w:rPr>
        <w:t xml:space="preserve"> </w:t>
      </w:r>
      <w:r w:rsidR="00812AED" w:rsidRPr="00701F32">
        <w:rPr>
          <w:rFonts w:ascii="Arial" w:hAnsi="Arial" w:cs="Arial"/>
          <w:b w:val="0"/>
          <w:szCs w:val="24"/>
          <w:lang w:val="es-AR"/>
        </w:rPr>
        <w:t>separados</w:t>
      </w:r>
    </w:p>
    <w:p w14:paraId="4C46D121" w14:textId="6FB86E19"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Anexos a los estados financieros condensados intermedios</w:t>
      </w:r>
      <w:r w:rsidR="00812AED" w:rsidRPr="00812AED">
        <w:rPr>
          <w:rFonts w:ascii="Arial" w:hAnsi="Arial" w:cs="Arial"/>
          <w:b w:val="0"/>
          <w:szCs w:val="24"/>
          <w:lang w:val="es-AR"/>
        </w:rPr>
        <w:t xml:space="preserve"> </w:t>
      </w:r>
      <w:r w:rsidR="00812AED" w:rsidRPr="00701F32">
        <w:rPr>
          <w:rFonts w:ascii="Arial" w:hAnsi="Arial" w:cs="Arial"/>
          <w:b w:val="0"/>
          <w:szCs w:val="24"/>
          <w:lang w:val="es-AR"/>
        </w:rPr>
        <w:t>separados</w:t>
      </w:r>
    </w:p>
    <w:p w14:paraId="5F17F741" w14:textId="51870211" w:rsidR="00030E28" w:rsidRDefault="00030E28" w:rsidP="00AD0421">
      <w:pPr>
        <w:pStyle w:val="Ttuloprincipal"/>
        <w:jc w:val="left"/>
        <w:rPr>
          <w:rFonts w:ascii="Arial" w:hAnsi="Arial" w:cs="Arial"/>
          <w:b w:val="0"/>
          <w:szCs w:val="24"/>
          <w:lang w:val="es-AR"/>
        </w:rPr>
      </w:pPr>
      <w:r w:rsidRPr="00701F32">
        <w:rPr>
          <w:rFonts w:ascii="Arial" w:hAnsi="Arial" w:cs="Arial"/>
          <w:b w:val="0"/>
          <w:szCs w:val="24"/>
          <w:lang w:val="es-AR"/>
        </w:rPr>
        <w:t>Reseña informativa</w:t>
      </w:r>
    </w:p>
    <w:p w14:paraId="436723E9" w14:textId="1D7B2EE1" w:rsidR="00AC4856" w:rsidRPr="00701F32" w:rsidRDefault="00AC4856" w:rsidP="00AD0421">
      <w:pPr>
        <w:pStyle w:val="Ttuloprincipal"/>
        <w:jc w:val="left"/>
        <w:rPr>
          <w:rFonts w:ascii="Arial" w:hAnsi="Arial" w:cs="Arial"/>
          <w:b w:val="0"/>
          <w:szCs w:val="24"/>
          <w:lang w:val="es-AR"/>
        </w:rPr>
      </w:pPr>
      <w:r>
        <w:rPr>
          <w:rFonts w:ascii="Arial" w:hAnsi="Arial" w:cs="Arial"/>
          <w:b w:val="0"/>
          <w:szCs w:val="24"/>
          <w:lang w:val="es-AR"/>
        </w:rPr>
        <w:t>Información adicional</w:t>
      </w:r>
    </w:p>
    <w:p w14:paraId="357561AA" w14:textId="1985E95B" w:rsidR="00FD34B9" w:rsidRPr="00701F32" w:rsidRDefault="00B52466" w:rsidP="00FD34B9">
      <w:pPr>
        <w:pStyle w:val="Ttuloprincipal"/>
        <w:jc w:val="left"/>
        <w:rPr>
          <w:rFonts w:ascii="Arial" w:hAnsi="Arial" w:cs="Arial"/>
          <w:b w:val="0"/>
          <w:szCs w:val="24"/>
          <w:lang w:val="es-AR"/>
        </w:rPr>
      </w:pPr>
      <w:r w:rsidRPr="00B52466">
        <w:rPr>
          <w:rFonts w:ascii="Arial" w:hAnsi="Arial" w:cs="Arial"/>
          <w:b w:val="0"/>
          <w:szCs w:val="24"/>
          <w:lang w:val="es-AR"/>
        </w:rPr>
        <w:t xml:space="preserve">Informe </w:t>
      </w:r>
      <w:r w:rsidR="007F10A7">
        <w:rPr>
          <w:rFonts w:ascii="Arial" w:hAnsi="Arial" w:cs="Arial"/>
          <w:b w:val="0"/>
          <w:szCs w:val="24"/>
          <w:lang w:val="es-AR"/>
        </w:rPr>
        <w:t xml:space="preserve">de revisión limitada del </w:t>
      </w:r>
      <w:r w:rsidR="00FD34B9" w:rsidRPr="00B52466">
        <w:rPr>
          <w:rFonts w:ascii="Arial" w:hAnsi="Arial" w:cs="Arial"/>
          <w:b w:val="0"/>
          <w:szCs w:val="24"/>
          <w:lang w:val="es-AR"/>
        </w:rPr>
        <w:t>auditor independiente</w:t>
      </w:r>
    </w:p>
    <w:p w14:paraId="7330838E" w14:textId="31F6DD7B" w:rsidR="008E2F1B" w:rsidRPr="00701F32" w:rsidRDefault="00C07CB3">
      <w:pPr>
        <w:pStyle w:val="Ttuloprincipal"/>
        <w:jc w:val="left"/>
        <w:rPr>
          <w:rFonts w:ascii="Arial" w:hAnsi="Arial" w:cs="Arial"/>
          <w:b w:val="0"/>
          <w:noProof/>
          <w:szCs w:val="24"/>
          <w:lang w:val="es-AR" w:eastAsia="es-AR"/>
        </w:rPr>
      </w:pPr>
      <w:r w:rsidRPr="00701F32">
        <w:rPr>
          <w:rFonts w:ascii="Arial" w:hAnsi="Arial" w:cs="Arial"/>
          <w:b w:val="0"/>
          <w:noProof/>
          <w:szCs w:val="24"/>
          <w:lang w:val="es-AR" w:eastAsia="es-AR"/>
        </w:rPr>
        <w:t>Informe de la comisión fiscalizador</w:t>
      </w:r>
      <w:r w:rsidR="00CB0A40">
        <w:rPr>
          <w:rFonts w:ascii="Arial" w:hAnsi="Arial" w:cs="Arial"/>
          <w:b w:val="0"/>
          <w:noProof/>
          <w:szCs w:val="24"/>
          <w:lang w:val="es-AR" w:eastAsia="es-AR"/>
        </w:rPr>
        <w:t>a</w:t>
      </w:r>
    </w:p>
    <w:p w14:paraId="2733E5C2" w14:textId="77777777" w:rsidR="00C7146E" w:rsidRPr="00701F32" w:rsidRDefault="00286343">
      <w:pPr>
        <w:pStyle w:val="Ttuloprincipal"/>
        <w:tabs>
          <w:tab w:val="left" w:pos="1701"/>
          <w:tab w:val="left" w:pos="3119"/>
        </w:tabs>
        <w:ind w:left="2127" w:hanging="142"/>
        <w:rPr>
          <w:rFonts w:ascii="Arial" w:hAnsi="Arial" w:cs="Arial"/>
          <w:szCs w:val="24"/>
          <w:lang w:val="es-AR"/>
        </w:rPr>
      </w:pPr>
      <w:r w:rsidRPr="00701F32">
        <w:rPr>
          <w:rFonts w:ascii="Arial" w:hAnsi="Arial" w:cs="Arial"/>
          <w:szCs w:val="24"/>
          <w:lang w:val="es-AR"/>
        </w:rPr>
        <w:tab/>
      </w:r>
    </w:p>
    <w:p w14:paraId="0D021108" w14:textId="77777777" w:rsidR="00C7146E" w:rsidRPr="00701F32" w:rsidRDefault="00C7146E" w:rsidP="00A770AD">
      <w:pPr>
        <w:pStyle w:val="Ttuloprincipal"/>
        <w:tabs>
          <w:tab w:val="left" w:pos="1701"/>
          <w:tab w:val="left" w:pos="3119"/>
        </w:tabs>
        <w:ind w:left="1701" w:hanging="1701"/>
        <w:jc w:val="left"/>
        <w:rPr>
          <w:rFonts w:ascii="Arial" w:hAnsi="Arial" w:cs="Arial"/>
          <w:szCs w:val="24"/>
          <w:lang w:val="es-AR"/>
        </w:rPr>
      </w:pPr>
    </w:p>
    <w:p w14:paraId="2354134F" w14:textId="77777777" w:rsidR="009C772C" w:rsidRPr="00701F32" w:rsidRDefault="009C772C" w:rsidP="00333643">
      <w:pPr>
        <w:pStyle w:val="Ttuloprincipal"/>
        <w:tabs>
          <w:tab w:val="left" w:pos="1701"/>
          <w:tab w:val="left" w:pos="3119"/>
        </w:tabs>
        <w:ind w:left="2127" w:hanging="142"/>
        <w:rPr>
          <w:rFonts w:ascii="Arial" w:hAnsi="Arial" w:cs="Arial"/>
          <w:b w:val="0"/>
          <w:szCs w:val="24"/>
        </w:rPr>
      </w:pPr>
    </w:p>
    <w:p w14:paraId="6B758867" w14:textId="77777777" w:rsidR="009C772C" w:rsidRPr="00701F32" w:rsidRDefault="009C772C" w:rsidP="00F71E65">
      <w:pPr>
        <w:pStyle w:val="Texto"/>
        <w:tabs>
          <w:tab w:val="left" w:pos="6120"/>
        </w:tabs>
        <w:rPr>
          <w:rFonts w:ascii="Arial" w:hAnsi="Arial" w:cs="Arial"/>
          <w:b/>
          <w:sz w:val="24"/>
          <w:szCs w:val="24"/>
        </w:rPr>
      </w:pPr>
    </w:p>
    <w:p w14:paraId="16FEB4EE" w14:textId="77777777" w:rsidR="009C772C" w:rsidRPr="00701F32" w:rsidRDefault="009C772C" w:rsidP="009C772C">
      <w:pPr>
        <w:pStyle w:val="Ttuloprincipal"/>
        <w:ind w:left="-120"/>
        <w:jc w:val="left"/>
        <w:rPr>
          <w:rFonts w:ascii="Arial" w:hAnsi="Arial" w:cs="Arial"/>
          <w:szCs w:val="24"/>
        </w:rPr>
      </w:pPr>
    </w:p>
    <w:p w14:paraId="446FDC50" w14:textId="77777777" w:rsidR="00F23240" w:rsidRPr="00701F32" w:rsidRDefault="00F23240" w:rsidP="0065628D">
      <w:pPr>
        <w:pStyle w:val="Ttuloprincipal"/>
        <w:jc w:val="left"/>
        <w:rPr>
          <w:rFonts w:ascii="Arial" w:hAnsi="Arial" w:cs="Arial"/>
          <w:b w:val="0"/>
          <w:szCs w:val="24"/>
        </w:rPr>
      </w:pPr>
    </w:p>
    <w:p w14:paraId="1263B857" w14:textId="77777777" w:rsidR="008E2F1B" w:rsidRPr="00701F32" w:rsidRDefault="008E2F1B" w:rsidP="0065628D">
      <w:pPr>
        <w:pStyle w:val="Ttuloprincipal"/>
        <w:jc w:val="left"/>
        <w:rPr>
          <w:rFonts w:ascii="Arial" w:hAnsi="Arial" w:cs="Arial"/>
          <w:b w:val="0"/>
          <w:szCs w:val="24"/>
        </w:rPr>
      </w:pPr>
    </w:p>
    <w:p w14:paraId="16A39BD4" w14:textId="77777777" w:rsidR="008E2F1B" w:rsidRPr="00701F32" w:rsidRDefault="008E2F1B" w:rsidP="0065628D">
      <w:pPr>
        <w:pStyle w:val="Ttuloprincipal"/>
        <w:jc w:val="left"/>
        <w:rPr>
          <w:rFonts w:ascii="Arial" w:hAnsi="Arial" w:cs="Arial"/>
          <w:b w:val="0"/>
          <w:szCs w:val="24"/>
        </w:rPr>
      </w:pPr>
    </w:p>
    <w:p w14:paraId="1D9DCCAA" w14:textId="77777777" w:rsidR="008E2F1B" w:rsidRPr="00701F32" w:rsidRDefault="008E2F1B" w:rsidP="008E2F1B">
      <w:pPr>
        <w:pStyle w:val="Ttuloprincipal"/>
        <w:jc w:val="left"/>
        <w:rPr>
          <w:rFonts w:ascii="Arial" w:hAnsi="Arial" w:cs="Arial"/>
          <w:b w:val="0"/>
          <w:szCs w:val="24"/>
        </w:rPr>
      </w:pPr>
    </w:p>
    <w:p w14:paraId="49C15586" w14:textId="77777777" w:rsidR="008E2F1B" w:rsidRPr="00701F32" w:rsidRDefault="008E2F1B" w:rsidP="008E2F1B">
      <w:pPr>
        <w:pStyle w:val="Ttuloprincipal"/>
        <w:jc w:val="left"/>
        <w:rPr>
          <w:rFonts w:ascii="Arial" w:hAnsi="Arial" w:cs="Arial"/>
          <w:b w:val="0"/>
          <w:szCs w:val="24"/>
        </w:rPr>
      </w:pPr>
    </w:p>
    <w:p w14:paraId="18FABF43" w14:textId="77777777" w:rsidR="00333643" w:rsidRPr="00701F32" w:rsidRDefault="00333643" w:rsidP="00333643">
      <w:pPr>
        <w:pStyle w:val="Ttuloprincipal"/>
        <w:ind w:left="-120"/>
        <w:jc w:val="left"/>
        <w:rPr>
          <w:rFonts w:ascii="Arial" w:hAnsi="Arial" w:cs="Arial"/>
          <w:szCs w:val="24"/>
        </w:rPr>
      </w:pPr>
      <w:r w:rsidRPr="00701F32">
        <w:rPr>
          <w:rFonts w:ascii="Arial" w:hAnsi="Arial" w:cs="Arial"/>
          <w:szCs w:val="24"/>
        </w:rPr>
        <w:t>BANCO SUPERVIELLE S.A.</w:t>
      </w:r>
    </w:p>
    <w:p w14:paraId="66882F0D" w14:textId="77777777" w:rsidR="00333643" w:rsidRPr="00701F32" w:rsidRDefault="00333643" w:rsidP="00333643">
      <w:pPr>
        <w:pStyle w:val="Ttuloprincipal"/>
        <w:ind w:left="-120"/>
        <w:rPr>
          <w:rFonts w:ascii="Arial" w:hAnsi="Arial" w:cs="Arial"/>
          <w:szCs w:val="24"/>
        </w:rPr>
      </w:pPr>
    </w:p>
    <w:p w14:paraId="1181EB07" w14:textId="77777777" w:rsidR="00333643" w:rsidRPr="00701F32" w:rsidRDefault="00333643" w:rsidP="00333643">
      <w:pPr>
        <w:pStyle w:val="Ttuloprincipal"/>
        <w:ind w:left="-120"/>
        <w:jc w:val="left"/>
        <w:rPr>
          <w:rFonts w:ascii="Arial" w:hAnsi="Arial" w:cs="Arial"/>
          <w:szCs w:val="24"/>
        </w:rPr>
      </w:pPr>
    </w:p>
    <w:p w14:paraId="40223533" w14:textId="3794E580" w:rsidR="00333643" w:rsidRPr="00701F32" w:rsidRDefault="00333643" w:rsidP="00333643">
      <w:pPr>
        <w:pStyle w:val="Ttuloprincipal"/>
        <w:ind w:left="-120"/>
        <w:jc w:val="left"/>
        <w:rPr>
          <w:rFonts w:ascii="Arial" w:hAnsi="Arial" w:cs="Arial"/>
          <w:szCs w:val="24"/>
        </w:rPr>
      </w:pPr>
      <w:r w:rsidRPr="00701F32">
        <w:rPr>
          <w:rFonts w:ascii="Arial" w:hAnsi="Arial" w:cs="Arial"/>
          <w:szCs w:val="24"/>
        </w:rPr>
        <w:t xml:space="preserve">Estados </w:t>
      </w:r>
      <w:r w:rsidR="00B0586C" w:rsidRPr="00701F32">
        <w:rPr>
          <w:rFonts w:ascii="Arial" w:hAnsi="Arial" w:cs="Arial"/>
          <w:szCs w:val="24"/>
        </w:rPr>
        <w:t>financieros</w:t>
      </w:r>
      <w:r w:rsidR="00DC12EA" w:rsidRPr="00701F32">
        <w:rPr>
          <w:rFonts w:ascii="Arial" w:hAnsi="Arial" w:cs="Arial"/>
          <w:szCs w:val="24"/>
        </w:rPr>
        <w:t xml:space="preserve"> </w:t>
      </w:r>
      <w:r w:rsidR="007F10A7">
        <w:rPr>
          <w:rFonts w:ascii="Arial" w:hAnsi="Arial" w:cs="Arial"/>
          <w:szCs w:val="24"/>
        </w:rPr>
        <w:t>condensados intermedios</w:t>
      </w:r>
      <w:r w:rsidR="0085791D">
        <w:rPr>
          <w:rFonts w:ascii="Arial" w:hAnsi="Arial" w:cs="Arial"/>
          <w:szCs w:val="24"/>
        </w:rPr>
        <w:t xml:space="preserve"> </w:t>
      </w:r>
      <w:r w:rsidR="0085791D" w:rsidRPr="00701F32">
        <w:rPr>
          <w:rFonts w:ascii="Arial" w:hAnsi="Arial" w:cs="Arial"/>
          <w:szCs w:val="24"/>
        </w:rPr>
        <w:t>consolidados</w:t>
      </w:r>
    </w:p>
    <w:p w14:paraId="7B5FAE34" w14:textId="77777777" w:rsidR="00333643" w:rsidRPr="00701F32" w:rsidRDefault="00333643" w:rsidP="00333643">
      <w:pPr>
        <w:pStyle w:val="Ttuloprincipal"/>
        <w:ind w:left="-120"/>
        <w:jc w:val="left"/>
        <w:rPr>
          <w:rFonts w:ascii="Arial" w:hAnsi="Arial" w:cs="Arial"/>
          <w:szCs w:val="24"/>
        </w:rPr>
      </w:pPr>
    </w:p>
    <w:p w14:paraId="20AB0870" w14:textId="18ADDFD2" w:rsidR="00184D53" w:rsidRPr="00701F32" w:rsidRDefault="00184D53" w:rsidP="00184D53">
      <w:pPr>
        <w:pStyle w:val="Ttuloprincipal"/>
        <w:ind w:left="-120"/>
        <w:jc w:val="left"/>
        <w:rPr>
          <w:rFonts w:ascii="Arial" w:hAnsi="Arial" w:cs="Arial"/>
          <w:b w:val="0"/>
          <w:szCs w:val="24"/>
        </w:rPr>
      </w:pPr>
      <w:r w:rsidRPr="00701F32">
        <w:rPr>
          <w:rFonts w:ascii="Arial" w:hAnsi="Arial" w:cs="Arial"/>
          <w:b w:val="0"/>
          <w:szCs w:val="24"/>
        </w:rPr>
        <w:t xml:space="preserve">Correspondientes al </w:t>
      </w:r>
      <w:r w:rsidR="00634606">
        <w:rPr>
          <w:rFonts w:ascii="Arial" w:hAnsi="Arial" w:cs="Arial"/>
          <w:b w:val="0"/>
          <w:szCs w:val="24"/>
        </w:rPr>
        <w:t xml:space="preserve">período de </w:t>
      </w:r>
      <w:r w:rsidR="006E41DF">
        <w:rPr>
          <w:rFonts w:ascii="Arial" w:hAnsi="Arial" w:cs="Arial"/>
          <w:b w:val="0"/>
          <w:szCs w:val="24"/>
        </w:rPr>
        <w:t>tres</w:t>
      </w:r>
      <w:r w:rsidR="007F10A7">
        <w:rPr>
          <w:rFonts w:ascii="Arial" w:hAnsi="Arial" w:cs="Arial"/>
          <w:b w:val="0"/>
          <w:szCs w:val="24"/>
        </w:rPr>
        <w:t xml:space="preserve"> meses</w:t>
      </w:r>
      <w:r w:rsidRPr="00701F32">
        <w:rPr>
          <w:rFonts w:ascii="Arial" w:hAnsi="Arial" w:cs="Arial"/>
          <w:b w:val="0"/>
          <w:szCs w:val="24"/>
        </w:rPr>
        <w:t xml:space="preserve"> finalizado el </w:t>
      </w:r>
    </w:p>
    <w:p w14:paraId="5C6F7ACA" w14:textId="4EDC26DA" w:rsidR="00333643" w:rsidRPr="00701F32" w:rsidRDefault="00184D53" w:rsidP="00184D53">
      <w:pPr>
        <w:pStyle w:val="Ttuloprincipal"/>
        <w:ind w:left="-120"/>
        <w:jc w:val="left"/>
        <w:rPr>
          <w:rFonts w:ascii="Arial" w:hAnsi="Arial" w:cs="Arial"/>
          <w:b w:val="0"/>
          <w:szCs w:val="24"/>
        </w:rPr>
      </w:pPr>
      <w:r w:rsidRPr="00701F32">
        <w:rPr>
          <w:rFonts w:ascii="Arial" w:hAnsi="Arial" w:cs="Arial"/>
          <w:b w:val="0"/>
          <w:szCs w:val="24"/>
        </w:rPr>
        <w:t>3</w:t>
      </w:r>
      <w:r w:rsidR="006E41DF">
        <w:rPr>
          <w:rFonts w:ascii="Arial" w:hAnsi="Arial" w:cs="Arial"/>
          <w:b w:val="0"/>
          <w:szCs w:val="24"/>
        </w:rPr>
        <w:t>1</w:t>
      </w:r>
      <w:r w:rsidRPr="00701F32">
        <w:rPr>
          <w:rFonts w:ascii="Arial" w:hAnsi="Arial" w:cs="Arial"/>
          <w:b w:val="0"/>
          <w:szCs w:val="24"/>
        </w:rPr>
        <w:t xml:space="preserve"> de </w:t>
      </w:r>
      <w:r w:rsidR="006E41DF">
        <w:rPr>
          <w:rFonts w:ascii="Arial" w:hAnsi="Arial" w:cs="Arial"/>
          <w:b w:val="0"/>
          <w:szCs w:val="24"/>
        </w:rPr>
        <w:t>marzo</w:t>
      </w:r>
      <w:r w:rsidR="00707D83" w:rsidRPr="00701F32">
        <w:rPr>
          <w:rFonts w:ascii="Arial" w:hAnsi="Arial" w:cs="Arial"/>
          <w:b w:val="0"/>
          <w:szCs w:val="24"/>
        </w:rPr>
        <w:t xml:space="preserve"> </w:t>
      </w:r>
      <w:r w:rsidRPr="00701F32">
        <w:rPr>
          <w:rFonts w:ascii="Arial" w:hAnsi="Arial" w:cs="Arial"/>
          <w:b w:val="0"/>
          <w:szCs w:val="24"/>
        </w:rPr>
        <w:t>de 20</w:t>
      </w:r>
      <w:r w:rsidR="006E41DF">
        <w:rPr>
          <w:rFonts w:ascii="Arial" w:hAnsi="Arial" w:cs="Arial"/>
          <w:b w:val="0"/>
          <w:szCs w:val="24"/>
        </w:rPr>
        <w:t>20</w:t>
      </w:r>
      <w:r w:rsidRPr="00701F32">
        <w:rPr>
          <w:rFonts w:ascii="Arial" w:hAnsi="Arial" w:cs="Arial"/>
          <w:b w:val="0"/>
          <w:szCs w:val="24"/>
        </w:rPr>
        <w:t>, presentados en forma comparativa</w:t>
      </w:r>
    </w:p>
    <w:p w14:paraId="3BC689E0" w14:textId="77777777" w:rsidR="00333643" w:rsidRPr="00701F32" w:rsidRDefault="00333643" w:rsidP="00333643">
      <w:pPr>
        <w:pStyle w:val="Ttuloprincipal"/>
        <w:jc w:val="left"/>
        <w:rPr>
          <w:rFonts w:ascii="Arial" w:hAnsi="Arial" w:cs="Arial"/>
          <w:b w:val="0"/>
          <w:szCs w:val="24"/>
        </w:rPr>
      </w:pPr>
    </w:p>
    <w:p w14:paraId="4AA41ED5" w14:textId="77777777" w:rsidR="00333643" w:rsidRPr="00701F32" w:rsidRDefault="00333643" w:rsidP="00333643">
      <w:pPr>
        <w:pStyle w:val="Ttuloprincipal"/>
        <w:jc w:val="left"/>
        <w:rPr>
          <w:rFonts w:ascii="Arial" w:hAnsi="Arial" w:cs="Arial"/>
          <w:b w:val="0"/>
          <w:szCs w:val="24"/>
        </w:rPr>
      </w:pPr>
    </w:p>
    <w:p w14:paraId="153F9DA9" w14:textId="77777777" w:rsidR="008E2F1B" w:rsidRPr="00701F32" w:rsidRDefault="008E2F1B" w:rsidP="008E2F1B">
      <w:pPr>
        <w:pStyle w:val="Ttuloprincipal"/>
        <w:jc w:val="left"/>
        <w:rPr>
          <w:rFonts w:ascii="Arial" w:hAnsi="Arial" w:cs="Arial"/>
          <w:b w:val="0"/>
          <w:szCs w:val="24"/>
        </w:rPr>
      </w:pPr>
    </w:p>
    <w:p w14:paraId="44900C6C" w14:textId="77777777" w:rsidR="008E2F1B" w:rsidRPr="00701F32" w:rsidRDefault="008E2F1B" w:rsidP="008E2F1B">
      <w:pPr>
        <w:pStyle w:val="Ttuloprincipal"/>
        <w:jc w:val="left"/>
        <w:rPr>
          <w:rFonts w:ascii="Arial" w:hAnsi="Arial" w:cs="Arial"/>
          <w:b w:val="0"/>
          <w:szCs w:val="24"/>
        </w:rPr>
      </w:pPr>
    </w:p>
    <w:p w14:paraId="653975A1" w14:textId="77777777" w:rsidR="008E2F1B" w:rsidRPr="00701F32" w:rsidRDefault="008E2F1B" w:rsidP="008E2F1B">
      <w:pPr>
        <w:pStyle w:val="Ttuloprincipal"/>
        <w:jc w:val="left"/>
        <w:rPr>
          <w:rFonts w:ascii="Arial" w:hAnsi="Arial" w:cs="Arial"/>
          <w:b w:val="0"/>
          <w:szCs w:val="24"/>
        </w:rPr>
      </w:pPr>
    </w:p>
    <w:p w14:paraId="68629EFE" w14:textId="77777777" w:rsidR="008E2F1B" w:rsidRPr="00701F32" w:rsidRDefault="008E2F1B" w:rsidP="008E2F1B">
      <w:pPr>
        <w:pStyle w:val="Ttuloprincipal"/>
        <w:jc w:val="left"/>
        <w:rPr>
          <w:rFonts w:ascii="Arial" w:hAnsi="Arial" w:cs="Arial"/>
          <w:b w:val="0"/>
          <w:szCs w:val="24"/>
        </w:rPr>
      </w:pPr>
    </w:p>
    <w:p w14:paraId="2A7A59A1" w14:textId="77777777" w:rsidR="008E2F1B" w:rsidRPr="00701F32" w:rsidRDefault="008E2F1B" w:rsidP="008E2F1B">
      <w:pPr>
        <w:pStyle w:val="Ttuloprincipal"/>
        <w:jc w:val="left"/>
        <w:rPr>
          <w:rFonts w:ascii="Arial" w:hAnsi="Arial" w:cs="Arial"/>
          <w:b w:val="0"/>
          <w:szCs w:val="24"/>
        </w:rPr>
      </w:pPr>
    </w:p>
    <w:p w14:paraId="32CD49C9" w14:textId="77777777" w:rsidR="008E2F1B" w:rsidRPr="00701F32" w:rsidRDefault="008E2F1B" w:rsidP="008E2F1B">
      <w:pPr>
        <w:pStyle w:val="Ttuloprincipal"/>
        <w:jc w:val="left"/>
        <w:rPr>
          <w:rFonts w:ascii="Arial" w:hAnsi="Arial" w:cs="Arial"/>
          <w:b w:val="0"/>
          <w:szCs w:val="24"/>
        </w:rPr>
      </w:pPr>
    </w:p>
    <w:p w14:paraId="089464C3" w14:textId="77777777" w:rsidR="008E2F1B" w:rsidRPr="00701F32" w:rsidRDefault="008E2F1B" w:rsidP="008E2F1B">
      <w:pPr>
        <w:pStyle w:val="Ttuloprincipal"/>
        <w:jc w:val="left"/>
        <w:rPr>
          <w:rFonts w:ascii="Arial" w:hAnsi="Arial" w:cs="Arial"/>
          <w:b w:val="0"/>
          <w:szCs w:val="24"/>
        </w:rPr>
      </w:pPr>
    </w:p>
    <w:p w14:paraId="3FEA3DEB" w14:textId="77777777" w:rsidR="008E2F1B" w:rsidRPr="00701F32" w:rsidRDefault="008E2F1B" w:rsidP="008E2F1B">
      <w:pPr>
        <w:pStyle w:val="Ttuloprincipal"/>
        <w:jc w:val="left"/>
        <w:rPr>
          <w:rFonts w:ascii="Arial" w:hAnsi="Arial" w:cs="Arial"/>
          <w:b w:val="0"/>
          <w:szCs w:val="24"/>
        </w:rPr>
      </w:pPr>
    </w:p>
    <w:p w14:paraId="1856393D" w14:textId="77777777" w:rsidR="008E2F1B" w:rsidRPr="00701F32" w:rsidRDefault="008E2F1B" w:rsidP="008E2F1B">
      <w:pPr>
        <w:pStyle w:val="Ttuloprincipal"/>
        <w:jc w:val="left"/>
        <w:rPr>
          <w:rFonts w:ascii="Arial" w:hAnsi="Arial" w:cs="Arial"/>
          <w:b w:val="0"/>
          <w:szCs w:val="24"/>
        </w:rPr>
      </w:pPr>
    </w:p>
    <w:p w14:paraId="3EDE9CF8" w14:textId="77777777" w:rsidR="008E2F1B" w:rsidRPr="00701F32" w:rsidRDefault="008E2F1B" w:rsidP="008E2F1B">
      <w:pPr>
        <w:pStyle w:val="Ttuloprincipal"/>
        <w:jc w:val="left"/>
        <w:rPr>
          <w:rFonts w:ascii="Arial" w:hAnsi="Arial" w:cs="Arial"/>
          <w:b w:val="0"/>
          <w:szCs w:val="24"/>
        </w:rPr>
      </w:pPr>
    </w:p>
    <w:p w14:paraId="7D38BEB1" w14:textId="77777777" w:rsidR="008E2F1B" w:rsidRPr="00701F32" w:rsidRDefault="008E2F1B" w:rsidP="008E2F1B">
      <w:pPr>
        <w:pStyle w:val="Ttuloprincipal"/>
        <w:jc w:val="left"/>
        <w:rPr>
          <w:rFonts w:ascii="Arial" w:hAnsi="Arial" w:cs="Arial"/>
          <w:b w:val="0"/>
          <w:szCs w:val="24"/>
        </w:rPr>
      </w:pPr>
    </w:p>
    <w:p w14:paraId="04F87C06" w14:textId="77777777" w:rsidR="008E2F1B" w:rsidRPr="00701F32" w:rsidRDefault="008E2F1B" w:rsidP="008E2F1B">
      <w:pPr>
        <w:pStyle w:val="Ttuloprincipal"/>
        <w:jc w:val="left"/>
        <w:rPr>
          <w:rFonts w:ascii="Arial" w:hAnsi="Arial" w:cs="Arial"/>
          <w:b w:val="0"/>
          <w:szCs w:val="24"/>
        </w:rPr>
      </w:pPr>
    </w:p>
    <w:p w14:paraId="4BBA9F10" w14:textId="77777777" w:rsidR="00765726" w:rsidRPr="00701F32" w:rsidRDefault="00765726" w:rsidP="008E2F1B">
      <w:pPr>
        <w:pStyle w:val="Ttuloprincipal"/>
        <w:jc w:val="left"/>
        <w:rPr>
          <w:rFonts w:ascii="Arial" w:hAnsi="Arial" w:cs="Arial"/>
          <w:b w:val="0"/>
          <w:szCs w:val="24"/>
        </w:rPr>
      </w:pPr>
    </w:p>
    <w:p w14:paraId="5174FB15" w14:textId="77777777" w:rsidR="008E2F1B" w:rsidRPr="00701F32" w:rsidRDefault="008E2F1B" w:rsidP="008E2F1B">
      <w:pPr>
        <w:pStyle w:val="Ttuloprincipal"/>
        <w:jc w:val="left"/>
        <w:rPr>
          <w:rFonts w:ascii="Arial" w:hAnsi="Arial" w:cs="Arial"/>
          <w:b w:val="0"/>
          <w:szCs w:val="24"/>
        </w:rPr>
      </w:pPr>
    </w:p>
    <w:p w14:paraId="0FD13F68" w14:textId="77777777" w:rsidR="008E2F1B" w:rsidRPr="00701F32" w:rsidRDefault="008E2F1B" w:rsidP="008E2F1B">
      <w:pPr>
        <w:pStyle w:val="Ttuloprincipal"/>
        <w:jc w:val="left"/>
        <w:rPr>
          <w:rFonts w:ascii="Arial" w:hAnsi="Arial" w:cs="Arial"/>
          <w:b w:val="0"/>
          <w:szCs w:val="24"/>
        </w:rPr>
      </w:pPr>
    </w:p>
    <w:p w14:paraId="697A2609" w14:textId="77777777" w:rsidR="008E2F1B" w:rsidRPr="00701F32" w:rsidRDefault="008E2F1B" w:rsidP="008E2F1B">
      <w:pPr>
        <w:pStyle w:val="Ttuloprincipal"/>
        <w:jc w:val="left"/>
        <w:rPr>
          <w:rFonts w:ascii="Arial" w:hAnsi="Arial" w:cs="Arial"/>
          <w:b w:val="0"/>
          <w:szCs w:val="24"/>
        </w:rPr>
      </w:pPr>
    </w:p>
    <w:p w14:paraId="0E121C63" w14:textId="77777777" w:rsidR="008E2F1B" w:rsidRPr="00701F32" w:rsidRDefault="008E2F1B" w:rsidP="008E2F1B">
      <w:pPr>
        <w:pStyle w:val="Ttuloprincipal"/>
        <w:jc w:val="left"/>
        <w:rPr>
          <w:rFonts w:ascii="Arial" w:hAnsi="Arial" w:cs="Arial"/>
          <w:b w:val="0"/>
          <w:szCs w:val="24"/>
        </w:rPr>
      </w:pPr>
    </w:p>
    <w:p w14:paraId="67D7B1C4" w14:textId="77777777" w:rsidR="008E2F1B" w:rsidRPr="00701F32" w:rsidRDefault="008E2F1B" w:rsidP="008E2F1B">
      <w:pPr>
        <w:pStyle w:val="Ttuloprincipal"/>
        <w:jc w:val="left"/>
        <w:rPr>
          <w:rFonts w:ascii="Arial" w:hAnsi="Arial" w:cs="Arial"/>
          <w:b w:val="0"/>
          <w:szCs w:val="24"/>
        </w:rPr>
      </w:pPr>
    </w:p>
    <w:p w14:paraId="58CBA80F" w14:textId="77777777" w:rsidR="00DC12EA" w:rsidRPr="00701F32" w:rsidRDefault="00DC12EA" w:rsidP="008E2F1B">
      <w:pPr>
        <w:pStyle w:val="Ttuloprincipal"/>
        <w:jc w:val="left"/>
        <w:rPr>
          <w:rFonts w:ascii="Arial" w:hAnsi="Arial" w:cs="Arial"/>
          <w:b w:val="0"/>
          <w:szCs w:val="24"/>
        </w:rPr>
      </w:pPr>
    </w:p>
    <w:p w14:paraId="17FB2AF5" w14:textId="77777777" w:rsidR="00B73FC6" w:rsidRPr="00701F32" w:rsidRDefault="00B73FC6" w:rsidP="008E2F1B">
      <w:pPr>
        <w:pStyle w:val="Ttuloprincipal"/>
        <w:jc w:val="left"/>
        <w:rPr>
          <w:rFonts w:ascii="Arial" w:hAnsi="Arial" w:cs="Arial"/>
          <w:b w:val="0"/>
          <w:szCs w:val="24"/>
        </w:rPr>
      </w:pPr>
    </w:p>
    <w:p w14:paraId="19ABB4E0" w14:textId="77777777" w:rsidR="008E2F1B" w:rsidRPr="00701F32" w:rsidRDefault="008E2F1B" w:rsidP="008E2F1B">
      <w:pPr>
        <w:pStyle w:val="Ttuloprincipal"/>
        <w:jc w:val="left"/>
        <w:rPr>
          <w:rFonts w:ascii="Arial" w:hAnsi="Arial" w:cs="Arial"/>
          <w:b w:val="0"/>
          <w:szCs w:val="24"/>
        </w:rPr>
      </w:pPr>
    </w:p>
    <w:p w14:paraId="6B46ADDE" w14:textId="77777777" w:rsidR="008E2F1B" w:rsidRPr="00701F32" w:rsidRDefault="008E2F1B" w:rsidP="008E2F1B">
      <w:pPr>
        <w:pStyle w:val="Ttuloprincipal"/>
        <w:jc w:val="left"/>
        <w:rPr>
          <w:rFonts w:ascii="Arial" w:hAnsi="Arial" w:cs="Arial"/>
          <w:b w:val="0"/>
          <w:szCs w:val="24"/>
        </w:rPr>
      </w:pPr>
    </w:p>
    <w:p w14:paraId="11891C35" w14:textId="77777777" w:rsidR="008E2F1B" w:rsidRPr="00701F32" w:rsidRDefault="008E2F1B" w:rsidP="008E2F1B">
      <w:pPr>
        <w:pStyle w:val="Ttuloprincipal"/>
        <w:jc w:val="left"/>
        <w:rPr>
          <w:rFonts w:ascii="Arial" w:hAnsi="Arial" w:cs="Arial"/>
          <w:b w:val="0"/>
          <w:szCs w:val="24"/>
        </w:rPr>
      </w:pPr>
    </w:p>
    <w:p w14:paraId="540BC8C9" w14:textId="77777777" w:rsidR="00EF4C18" w:rsidRPr="00701F32" w:rsidRDefault="00EF4C18" w:rsidP="008E2F1B">
      <w:pPr>
        <w:pStyle w:val="Ttuloprincipal"/>
        <w:jc w:val="left"/>
        <w:rPr>
          <w:rFonts w:ascii="Arial" w:hAnsi="Arial" w:cs="Arial"/>
          <w:b w:val="0"/>
          <w:szCs w:val="24"/>
        </w:rPr>
      </w:pPr>
    </w:p>
    <w:p w14:paraId="6322B550" w14:textId="77777777" w:rsidR="00EF4C18" w:rsidRPr="00701F32" w:rsidRDefault="00EF4C18" w:rsidP="008E2F1B">
      <w:pPr>
        <w:pStyle w:val="Ttuloprincipal"/>
        <w:jc w:val="left"/>
        <w:rPr>
          <w:rFonts w:ascii="Arial" w:hAnsi="Arial" w:cs="Arial"/>
          <w:b w:val="0"/>
          <w:szCs w:val="24"/>
        </w:rPr>
      </w:pPr>
    </w:p>
    <w:p w14:paraId="4592A64A" w14:textId="77777777" w:rsidR="008E2F1B" w:rsidRPr="00701F32" w:rsidRDefault="008E2F1B" w:rsidP="008E2F1B">
      <w:pPr>
        <w:pStyle w:val="Ttuloprincipal"/>
        <w:jc w:val="left"/>
        <w:rPr>
          <w:rFonts w:ascii="Arial" w:hAnsi="Arial" w:cs="Arial"/>
          <w:b w:val="0"/>
          <w:szCs w:val="24"/>
        </w:rPr>
      </w:pPr>
    </w:p>
    <w:p w14:paraId="260231C3" w14:textId="77777777" w:rsidR="008E2F1B" w:rsidRDefault="008E2F1B" w:rsidP="008E2F1B">
      <w:pPr>
        <w:pStyle w:val="Ttuloprincipal"/>
        <w:jc w:val="left"/>
        <w:rPr>
          <w:rFonts w:ascii="Arial" w:hAnsi="Arial" w:cs="Arial"/>
          <w:b w:val="0"/>
          <w:szCs w:val="24"/>
        </w:rPr>
      </w:pPr>
    </w:p>
    <w:p w14:paraId="3D3BC741" w14:textId="77777777" w:rsidR="008E2F1B" w:rsidRPr="00701F32" w:rsidRDefault="008E2F1B" w:rsidP="008E2F1B">
      <w:pPr>
        <w:pStyle w:val="Ttuloprincipal"/>
        <w:jc w:val="right"/>
        <w:rPr>
          <w:rFonts w:ascii="Arial" w:hAnsi="Arial" w:cs="Arial"/>
          <w:b w:val="0"/>
          <w:szCs w:val="24"/>
        </w:rPr>
      </w:pPr>
    </w:p>
    <w:p w14:paraId="3957D20B" w14:textId="77777777" w:rsidR="00AE2D3E" w:rsidRPr="00701F32" w:rsidRDefault="00C73F2F" w:rsidP="00540B98">
      <w:pPr>
        <w:pStyle w:val="Ttuloprincipal"/>
        <w:rPr>
          <w:rFonts w:ascii="Arial" w:hAnsi="Arial" w:cs="Arial"/>
          <w:szCs w:val="24"/>
        </w:rPr>
      </w:pPr>
      <w:r w:rsidRPr="00701F32">
        <w:rPr>
          <w:rFonts w:ascii="Arial" w:hAnsi="Arial" w:cs="Arial"/>
          <w:szCs w:val="24"/>
        </w:rPr>
        <w:lastRenderedPageBreak/>
        <w:t>BANCO SUPERVIELLE S.A.</w:t>
      </w:r>
    </w:p>
    <w:p w14:paraId="7921CA22" w14:textId="77777777" w:rsidR="00AE2D3E" w:rsidRPr="00701F32" w:rsidRDefault="00AE2D3E" w:rsidP="0065628D">
      <w:pPr>
        <w:pStyle w:val="Ttuloprincipal"/>
        <w:jc w:val="left"/>
        <w:rPr>
          <w:rFonts w:ascii="Arial" w:hAnsi="Arial" w:cs="Arial"/>
          <w:b w:val="0"/>
          <w:szCs w:val="24"/>
        </w:rPr>
      </w:pPr>
    </w:p>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709"/>
        <w:gridCol w:w="3544"/>
      </w:tblGrid>
      <w:tr w:rsidR="00F44A24" w:rsidRPr="00701F32" w14:paraId="49EF61AA" w14:textId="77777777" w:rsidTr="00F44A24">
        <w:trPr>
          <w:trHeight w:val="624"/>
        </w:trPr>
        <w:tc>
          <w:tcPr>
            <w:tcW w:w="4077" w:type="dxa"/>
            <w:vAlign w:val="center"/>
          </w:tcPr>
          <w:p w14:paraId="205467E6" w14:textId="77777777" w:rsidR="00F44A24" w:rsidRPr="00701F32" w:rsidRDefault="00F44A24" w:rsidP="005B01F3">
            <w:pPr>
              <w:rPr>
                <w:rFonts w:ascii="Arial" w:hAnsi="Arial" w:cs="Arial"/>
                <w:sz w:val="22"/>
                <w:szCs w:val="22"/>
              </w:rPr>
            </w:pPr>
            <w:r w:rsidRPr="00701F32">
              <w:rPr>
                <w:rFonts w:ascii="Arial" w:hAnsi="Arial" w:cs="Arial"/>
                <w:sz w:val="22"/>
                <w:szCs w:val="22"/>
              </w:rPr>
              <w:t>Domicilio legal:</w:t>
            </w:r>
          </w:p>
        </w:tc>
        <w:tc>
          <w:tcPr>
            <w:tcW w:w="709" w:type="dxa"/>
          </w:tcPr>
          <w:p w14:paraId="6122AB9C" w14:textId="77777777" w:rsidR="00F44A24" w:rsidRPr="00701F32" w:rsidRDefault="00F44A24" w:rsidP="005B01F3">
            <w:pPr>
              <w:ind w:left="34" w:hanging="34"/>
              <w:rPr>
                <w:rFonts w:ascii="Arial" w:hAnsi="Arial" w:cs="Arial"/>
                <w:sz w:val="22"/>
                <w:szCs w:val="22"/>
              </w:rPr>
            </w:pPr>
          </w:p>
        </w:tc>
        <w:tc>
          <w:tcPr>
            <w:tcW w:w="3544" w:type="dxa"/>
            <w:vAlign w:val="center"/>
          </w:tcPr>
          <w:p w14:paraId="0A1E5D56" w14:textId="175AB099" w:rsidR="00F44A24" w:rsidRPr="00701F32" w:rsidRDefault="00F44A24" w:rsidP="005B01F3">
            <w:pPr>
              <w:rPr>
                <w:rFonts w:ascii="Arial" w:hAnsi="Arial" w:cs="Arial"/>
                <w:sz w:val="22"/>
                <w:szCs w:val="22"/>
              </w:rPr>
            </w:pPr>
            <w:r w:rsidRPr="00701F32">
              <w:rPr>
                <w:rFonts w:ascii="Arial" w:hAnsi="Arial" w:cs="Arial"/>
                <w:sz w:val="22"/>
                <w:szCs w:val="22"/>
              </w:rPr>
              <w:t>Bartolomé Mitre 434 – Ciudad Autónoma de Buenos Aires</w:t>
            </w:r>
          </w:p>
        </w:tc>
      </w:tr>
      <w:tr w:rsidR="00F44A24" w:rsidRPr="00701F32" w14:paraId="0B9D3B62" w14:textId="77777777" w:rsidTr="00F44A24">
        <w:trPr>
          <w:trHeight w:val="567"/>
        </w:trPr>
        <w:tc>
          <w:tcPr>
            <w:tcW w:w="4077" w:type="dxa"/>
            <w:vAlign w:val="center"/>
          </w:tcPr>
          <w:p w14:paraId="7F82A426" w14:textId="77777777" w:rsidR="00F44A24" w:rsidRPr="00701F32" w:rsidRDefault="00F44A24" w:rsidP="005B01F3">
            <w:pPr>
              <w:rPr>
                <w:rFonts w:ascii="Arial" w:hAnsi="Arial" w:cs="Arial"/>
                <w:sz w:val="22"/>
                <w:szCs w:val="22"/>
              </w:rPr>
            </w:pPr>
            <w:r w:rsidRPr="00701F32">
              <w:rPr>
                <w:rFonts w:ascii="Arial" w:hAnsi="Arial" w:cs="Arial"/>
                <w:sz w:val="22"/>
                <w:szCs w:val="22"/>
              </w:rPr>
              <w:t>Actividad principal:</w:t>
            </w:r>
          </w:p>
        </w:tc>
        <w:tc>
          <w:tcPr>
            <w:tcW w:w="709" w:type="dxa"/>
          </w:tcPr>
          <w:p w14:paraId="51E04D80" w14:textId="77777777" w:rsidR="00F44A24" w:rsidRPr="00701F32" w:rsidRDefault="00F44A24" w:rsidP="005B01F3">
            <w:pPr>
              <w:ind w:left="34" w:hanging="34"/>
              <w:rPr>
                <w:rFonts w:ascii="Arial" w:hAnsi="Arial" w:cs="Arial"/>
                <w:sz w:val="22"/>
                <w:szCs w:val="22"/>
              </w:rPr>
            </w:pPr>
          </w:p>
        </w:tc>
        <w:tc>
          <w:tcPr>
            <w:tcW w:w="3544" w:type="dxa"/>
            <w:vAlign w:val="center"/>
          </w:tcPr>
          <w:p w14:paraId="2509FF8B" w14:textId="77777777" w:rsidR="00F44A24" w:rsidRPr="00701F32" w:rsidRDefault="00F44A24" w:rsidP="005B01F3">
            <w:pPr>
              <w:rPr>
                <w:rFonts w:ascii="Arial" w:hAnsi="Arial" w:cs="Arial"/>
                <w:sz w:val="22"/>
                <w:szCs w:val="22"/>
              </w:rPr>
            </w:pPr>
            <w:r w:rsidRPr="00701F32">
              <w:rPr>
                <w:rFonts w:ascii="Arial" w:hAnsi="Arial" w:cs="Arial"/>
                <w:sz w:val="22"/>
                <w:szCs w:val="22"/>
              </w:rPr>
              <w:t>Bancaria</w:t>
            </w:r>
          </w:p>
        </w:tc>
      </w:tr>
      <w:tr w:rsidR="00F44A24" w:rsidRPr="00701F32" w14:paraId="0B33EC64" w14:textId="77777777" w:rsidTr="00F44A24">
        <w:trPr>
          <w:trHeight w:val="567"/>
        </w:trPr>
        <w:tc>
          <w:tcPr>
            <w:tcW w:w="4077" w:type="dxa"/>
            <w:vAlign w:val="center"/>
          </w:tcPr>
          <w:p w14:paraId="29FBE7CF" w14:textId="77777777" w:rsidR="00F44A24" w:rsidRPr="00701F32" w:rsidRDefault="00F44A24" w:rsidP="005B01F3">
            <w:pPr>
              <w:rPr>
                <w:rFonts w:ascii="Arial" w:hAnsi="Arial" w:cs="Arial"/>
                <w:sz w:val="22"/>
                <w:szCs w:val="22"/>
              </w:rPr>
            </w:pPr>
            <w:r w:rsidRPr="00701F32">
              <w:rPr>
                <w:rFonts w:ascii="Arial" w:hAnsi="Arial" w:cs="Arial"/>
                <w:sz w:val="22"/>
                <w:szCs w:val="22"/>
              </w:rPr>
              <w:t>Clave Única de Identificación Tributaria:</w:t>
            </w:r>
          </w:p>
        </w:tc>
        <w:tc>
          <w:tcPr>
            <w:tcW w:w="709" w:type="dxa"/>
          </w:tcPr>
          <w:p w14:paraId="3FF8B56F"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35536DF" w14:textId="77777777" w:rsidR="00F44A24" w:rsidRPr="00701F32" w:rsidRDefault="00F44A24" w:rsidP="005B01F3">
            <w:pPr>
              <w:pStyle w:val="Ttuloprincipal"/>
              <w:jc w:val="left"/>
              <w:rPr>
                <w:rFonts w:ascii="Arial" w:hAnsi="Arial" w:cs="Arial"/>
                <w:b w:val="0"/>
                <w:sz w:val="22"/>
                <w:szCs w:val="22"/>
              </w:rPr>
            </w:pPr>
          </w:p>
          <w:p w14:paraId="3726D0CB"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 xml:space="preserve">33-50000517-9 </w:t>
            </w:r>
          </w:p>
          <w:p w14:paraId="6724D608" w14:textId="77777777" w:rsidR="00F44A24" w:rsidRPr="00701F32" w:rsidRDefault="00F44A24" w:rsidP="005B01F3">
            <w:pPr>
              <w:rPr>
                <w:rFonts w:ascii="Arial" w:hAnsi="Arial" w:cs="Arial"/>
                <w:sz w:val="22"/>
                <w:szCs w:val="22"/>
              </w:rPr>
            </w:pPr>
          </w:p>
        </w:tc>
      </w:tr>
      <w:tr w:rsidR="00F44A24" w:rsidRPr="00701F32" w14:paraId="413D0A40" w14:textId="77777777" w:rsidTr="00F44A24">
        <w:trPr>
          <w:trHeight w:val="1077"/>
        </w:trPr>
        <w:tc>
          <w:tcPr>
            <w:tcW w:w="4077" w:type="dxa"/>
            <w:vAlign w:val="center"/>
          </w:tcPr>
          <w:p w14:paraId="620078FD" w14:textId="7D2A625B" w:rsidR="00F44A24" w:rsidRPr="00701F32" w:rsidRDefault="00F44A24" w:rsidP="005B01F3">
            <w:pPr>
              <w:rPr>
                <w:rFonts w:ascii="Arial" w:hAnsi="Arial" w:cs="Arial"/>
                <w:sz w:val="22"/>
                <w:szCs w:val="22"/>
              </w:rPr>
            </w:pPr>
            <w:r w:rsidRPr="00701F32">
              <w:rPr>
                <w:rFonts w:ascii="Arial" w:hAnsi="Arial" w:cs="Arial"/>
                <w:sz w:val="22"/>
                <w:szCs w:val="22"/>
              </w:rPr>
              <w:t>Fecha de Inscripción en el Registro Público de Comercio del estatuto social:</w:t>
            </w:r>
          </w:p>
        </w:tc>
        <w:tc>
          <w:tcPr>
            <w:tcW w:w="709" w:type="dxa"/>
          </w:tcPr>
          <w:p w14:paraId="472E78BF"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5CDB145F" w14:textId="77777777" w:rsidR="00F44A24" w:rsidRPr="00701F32" w:rsidRDefault="00F44A24" w:rsidP="005B01F3">
            <w:pPr>
              <w:pStyle w:val="Ttuloprincipal"/>
              <w:jc w:val="left"/>
              <w:rPr>
                <w:rFonts w:ascii="Arial" w:hAnsi="Arial" w:cs="Arial"/>
                <w:b w:val="0"/>
                <w:sz w:val="22"/>
                <w:szCs w:val="22"/>
              </w:rPr>
            </w:pPr>
          </w:p>
          <w:p w14:paraId="5BA96A4F"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11 de febrero de 1941</w:t>
            </w:r>
          </w:p>
          <w:p w14:paraId="0D6044D3" w14:textId="77777777" w:rsidR="00F44A24" w:rsidRPr="00701F32" w:rsidRDefault="00F44A24" w:rsidP="005B01F3">
            <w:pPr>
              <w:pStyle w:val="Ttuloprincipal"/>
              <w:jc w:val="left"/>
              <w:rPr>
                <w:rFonts w:ascii="Arial" w:hAnsi="Arial" w:cs="Arial"/>
                <w:b w:val="0"/>
                <w:sz w:val="22"/>
                <w:szCs w:val="22"/>
              </w:rPr>
            </w:pPr>
          </w:p>
        </w:tc>
      </w:tr>
      <w:tr w:rsidR="00F44A24" w:rsidRPr="00701F32" w14:paraId="2CC13D69" w14:textId="77777777" w:rsidTr="00F44A24">
        <w:trPr>
          <w:trHeight w:val="340"/>
        </w:trPr>
        <w:tc>
          <w:tcPr>
            <w:tcW w:w="4077" w:type="dxa"/>
            <w:vAlign w:val="center"/>
          </w:tcPr>
          <w:p w14:paraId="5DBF0A8C"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Fecha de inscripción de la última modificación del estatuto social:</w:t>
            </w:r>
          </w:p>
          <w:p w14:paraId="050479C6" w14:textId="77777777" w:rsidR="00F44A24" w:rsidRPr="00701F32" w:rsidRDefault="00F44A24" w:rsidP="005B01F3">
            <w:pPr>
              <w:rPr>
                <w:rFonts w:ascii="Arial" w:hAnsi="Arial" w:cs="Arial"/>
                <w:sz w:val="22"/>
                <w:szCs w:val="22"/>
              </w:rPr>
            </w:pPr>
          </w:p>
        </w:tc>
        <w:tc>
          <w:tcPr>
            <w:tcW w:w="709" w:type="dxa"/>
          </w:tcPr>
          <w:p w14:paraId="17C05D66"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9CBDBEF" w14:textId="77777777" w:rsidR="00F44A24" w:rsidRPr="00701F32" w:rsidRDefault="003C1AAB" w:rsidP="00D6035A">
            <w:pPr>
              <w:pStyle w:val="Ttuloprincipal"/>
              <w:jc w:val="left"/>
              <w:rPr>
                <w:rFonts w:ascii="Arial" w:hAnsi="Arial" w:cs="Arial"/>
                <w:b w:val="0"/>
                <w:sz w:val="22"/>
                <w:szCs w:val="22"/>
              </w:rPr>
            </w:pPr>
            <w:r w:rsidRPr="00701F32">
              <w:rPr>
                <w:rFonts w:ascii="Arial" w:hAnsi="Arial" w:cs="Arial"/>
                <w:b w:val="0"/>
                <w:sz w:val="22"/>
                <w:szCs w:val="22"/>
              </w:rPr>
              <w:t>1</w:t>
            </w:r>
            <w:r w:rsidR="00D6035A" w:rsidRPr="00701F32">
              <w:rPr>
                <w:rFonts w:ascii="Arial" w:hAnsi="Arial" w:cs="Arial"/>
                <w:b w:val="0"/>
                <w:sz w:val="22"/>
                <w:szCs w:val="22"/>
              </w:rPr>
              <w:t>7</w:t>
            </w:r>
            <w:r w:rsidRPr="00701F32">
              <w:rPr>
                <w:rFonts w:ascii="Arial" w:hAnsi="Arial" w:cs="Arial"/>
                <w:b w:val="0"/>
                <w:sz w:val="22"/>
                <w:szCs w:val="22"/>
              </w:rPr>
              <w:t xml:space="preserve"> de </w:t>
            </w:r>
            <w:r w:rsidR="00D6035A" w:rsidRPr="00701F32">
              <w:rPr>
                <w:rFonts w:ascii="Arial" w:hAnsi="Arial" w:cs="Arial"/>
                <w:b w:val="0"/>
                <w:sz w:val="22"/>
                <w:szCs w:val="22"/>
              </w:rPr>
              <w:t xml:space="preserve">enero </w:t>
            </w:r>
            <w:r w:rsidRPr="00701F32">
              <w:rPr>
                <w:rFonts w:ascii="Arial" w:hAnsi="Arial" w:cs="Arial"/>
                <w:b w:val="0"/>
                <w:sz w:val="22"/>
                <w:szCs w:val="22"/>
              </w:rPr>
              <w:t>de 201</w:t>
            </w:r>
            <w:r w:rsidR="00D6035A" w:rsidRPr="00701F32">
              <w:rPr>
                <w:rFonts w:ascii="Arial" w:hAnsi="Arial" w:cs="Arial"/>
                <w:b w:val="0"/>
                <w:sz w:val="22"/>
                <w:szCs w:val="22"/>
              </w:rPr>
              <w:t>7</w:t>
            </w:r>
          </w:p>
        </w:tc>
      </w:tr>
      <w:tr w:rsidR="00F44A24" w:rsidRPr="00701F32" w14:paraId="045DC9DF" w14:textId="77777777" w:rsidTr="00F44A24">
        <w:trPr>
          <w:trHeight w:val="397"/>
        </w:trPr>
        <w:tc>
          <w:tcPr>
            <w:tcW w:w="4077" w:type="dxa"/>
            <w:vAlign w:val="center"/>
          </w:tcPr>
          <w:p w14:paraId="0C5DB9F8" w14:textId="77777777" w:rsidR="00F44A24" w:rsidRPr="00701F32" w:rsidRDefault="00F44A24" w:rsidP="005B01F3">
            <w:pPr>
              <w:rPr>
                <w:rFonts w:ascii="Arial" w:hAnsi="Arial" w:cs="Arial"/>
                <w:sz w:val="22"/>
                <w:szCs w:val="22"/>
              </w:rPr>
            </w:pPr>
            <w:r w:rsidRPr="00701F32">
              <w:rPr>
                <w:rFonts w:ascii="Arial" w:hAnsi="Arial" w:cs="Arial"/>
                <w:sz w:val="22"/>
                <w:szCs w:val="22"/>
              </w:rPr>
              <w:t>Número de inscripción en la Inspección General de Justicia:</w:t>
            </w:r>
          </w:p>
        </w:tc>
        <w:tc>
          <w:tcPr>
            <w:tcW w:w="709" w:type="dxa"/>
          </w:tcPr>
          <w:p w14:paraId="02B403E3"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F05D60F" w14:textId="77777777" w:rsidR="00F44A24" w:rsidRPr="00701F32" w:rsidRDefault="00F44A24" w:rsidP="005B01F3">
            <w:pPr>
              <w:pStyle w:val="Ttuloprincipal"/>
              <w:jc w:val="left"/>
              <w:rPr>
                <w:rFonts w:ascii="Arial" w:hAnsi="Arial" w:cs="Arial"/>
                <w:b w:val="0"/>
                <w:sz w:val="22"/>
                <w:szCs w:val="22"/>
              </w:rPr>
            </w:pPr>
          </w:p>
          <w:p w14:paraId="2DF1D8F1"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167.565</w:t>
            </w:r>
          </w:p>
          <w:p w14:paraId="321C57B7" w14:textId="77777777" w:rsidR="00F44A24" w:rsidRPr="00701F32" w:rsidRDefault="00F44A24" w:rsidP="005B01F3">
            <w:pPr>
              <w:rPr>
                <w:rFonts w:ascii="Arial" w:hAnsi="Arial" w:cs="Arial"/>
                <w:sz w:val="22"/>
                <w:szCs w:val="22"/>
              </w:rPr>
            </w:pPr>
          </w:p>
        </w:tc>
      </w:tr>
      <w:tr w:rsidR="00F44A24" w:rsidRPr="00701F32" w14:paraId="399222CD" w14:textId="77777777" w:rsidTr="00F44A24">
        <w:trPr>
          <w:trHeight w:val="737"/>
        </w:trPr>
        <w:tc>
          <w:tcPr>
            <w:tcW w:w="4077" w:type="dxa"/>
            <w:vAlign w:val="center"/>
          </w:tcPr>
          <w:p w14:paraId="1D1620F1" w14:textId="77777777" w:rsidR="00F44A24" w:rsidRPr="00701F32" w:rsidRDefault="00F44A24" w:rsidP="005B01F3">
            <w:pPr>
              <w:rPr>
                <w:rFonts w:ascii="Arial" w:hAnsi="Arial" w:cs="Arial"/>
                <w:sz w:val="22"/>
                <w:szCs w:val="22"/>
              </w:rPr>
            </w:pPr>
            <w:r w:rsidRPr="00701F32">
              <w:rPr>
                <w:rFonts w:ascii="Arial" w:hAnsi="Arial" w:cs="Arial"/>
                <w:sz w:val="22"/>
                <w:szCs w:val="22"/>
              </w:rPr>
              <w:t>Fecha en la que se cumple el contrato social:</w:t>
            </w:r>
          </w:p>
        </w:tc>
        <w:tc>
          <w:tcPr>
            <w:tcW w:w="709" w:type="dxa"/>
          </w:tcPr>
          <w:p w14:paraId="74FA887A"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A52A2BC" w14:textId="77777777" w:rsidR="00F44A24" w:rsidRPr="00701F32" w:rsidRDefault="00F44A24" w:rsidP="005B01F3">
            <w:pPr>
              <w:pStyle w:val="Ttuloprincipal"/>
              <w:jc w:val="left"/>
              <w:rPr>
                <w:rFonts w:ascii="Arial" w:hAnsi="Arial" w:cs="Arial"/>
                <w:b w:val="0"/>
                <w:sz w:val="22"/>
                <w:szCs w:val="22"/>
              </w:rPr>
            </w:pPr>
          </w:p>
          <w:p w14:paraId="5F39EE39"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14 de enero de 2041</w:t>
            </w:r>
          </w:p>
          <w:p w14:paraId="4C74D813" w14:textId="77777777" w:rsidR="00F44A24" w:rsidRPr="00701F32" w:rsidRDefault="00F44A24" w:rsidP="005B01F3">
            <w:pPr>
              <w:rPr>
                <w:rFonts w:ascii="Arial" w:hAnsi="Arial" w:cs="Arial"/>
                <w:sz w:val="22"/>
                <w:szCs w:val="22"/>
              </w:rPr>
            </w:pPr>
          </w:p>
        </w:tc>
      </w:tr>
    </w:tbl>
    <w:p w14:paraId="364DDA68" w14:textId="77777777" w:rsidR="00876050" w:rsidRPr="00701F32" w:rsidRDefault="00876050" w:rsidP="0065628D">
      <w:pPr>
        <w:pStyle w:val="Ttuloprincipal"/>
        <w:jc w:val="left"/>
        <w:rPr>
          <w:rFonts w:ascii="Arial" w:hAnsi="Arial" w:cs="Arial"/>
          <w:b w:val="0"/>
          <w:szCs w:val="24"/>
        </w:rPr>
      </w:pPr>
    </w:p>
    <w:p w14:paraId="63C089A4" w14:textId="77777777" w:rsidR="00C73F2F" w:rsidRPr="00701F32" w:rsidRDefault="00061FA8" w:rsidP="0065628D">
      <w:pPr>
        <w:pStyle w:val="Ttuloprincipal"/>
        <w:jc w:val="left"/>
        <w:rPr>
          <w:rFonts w:ascii="Arial" w:hAnsi="Arial" w:cs="Arial"/>
          <w:sz w:val="22"/>
          <w:szCs w:val="22"/>
        </w:rPr>
      </w:pPr>
      <w:r w:rsidRPr="00701F32">
        <w:rPr>
          <w:rFonts w:ascii="Arial" w:hAnsi="Arial" w:cs="Arial"/>
          <w:sz w:val="22"/>
          <w:szCs w:val="22"/>
        </w:rPr>
        <w:t xml:space="preserve">Información </w:t>
      </w:r>
      <w:r w:rsidR="009979F3" w:rsidRPr="00701F32">
        <w:rPr>
          <w:rFonts w:ascii="Arial" w:hAnsi="Arial" w:cs="Arial"/>
          <w:sz w:val="22"/>
          <w:szCs w:val="22"/>
        </w:rPr>
        <w:t>sobre la</w:t>
      </w:r>
      <w:r w:rsidRPr="00701F32">
        <w:rPr>
          <w:rFonts w:ascii="Arial" w:hAnsi="Arial" w:cs="Arial"/>
          <w:sz w:val="22"/>
          <w:szCs w:val="22"/>
        </w:rPr>
        <w:t xml:space="preserve"> sociedad controlante</w:t>
      </w:r>
    </w:p>
    <w:p w14:paraId="6C6D4BD1" w14:textId="77777777" w:rsidR="00061FA8" w:rsidRPr="00701F32" w:rsidRDefault="00061FA8" w:rsidP="0065628D">
      <w:pPr>
        <w:pStyle w:val="Ttuloprincipal"/>
        <w:jc w:val="left"/>
        <w:rPr>
          <w:rFonts w:ascii="Arial" w:hAnsi="Arial" w:cs="Arial"/>
          <w:sz w:val="22"/>
          <w:szCs w:val="22"/>
        </w:rPr>
      </w:pPr>
    </w:p>
    <w:p w14:paraId="380278B4" w14:textId="77777777" w:rsidR="00C73F2F" w:rsidRPr="00701F32" w:rsidRDefault="009979F3" w:rsidP="0065628D">
      <w:pPr>
        <w:pStyle w:val="Ttuloprincipal"/>
        <w:jc w:val="left"/>
        <w:rPr>
          <w:rFonts w:ascii="Arial" w:hAnsi="Arial" w:cs="Arial"/>
          <w:b w:val="0"/>
          <w:sz w:val="22"/>
          <w:szCs w:val="22"/>
        </w:rPr>
      </w:pPr>
      <w:r w:rsidRPr="00701F32">
        <w:rPr>
          <w:rFonts w:ascii="Arial" w:hAnsi="Arial" w:cs="Arial"/>
          <w:b w:val="0"/>
          <w:sz w:val="22"/>
          <w:szCs w:val="22"/>
        </w:rPr>
        <w:t>Denominación: Grupo</w:t>
      </w:r>
      <w:r w:rsidR="00061FA8" w:rsidRPr="00701F32">
        <w:rPr>
          <w:rFonts w:ascii="Arial" w:hAnsi="Arial" w:cs="Arial"/>
          <w:b w:val="0"/>
          <w:sz w:val="22"/>
          <w:szCs w:val="22"/>
        </w:rPr>
        <w:t xml:space="preserve"> </w:t>
      </w:r>
      <w:r w:rsidRPr="00701F32">
        <w:rPr>
          <w:rFonts w:ascii="Arial" w:hAnsi="Arial" w:cs="Arial"/>
          <w:b w:val="0"/>
          <w:sz w:val="22"/>
          <w:szCs w:val="22"/>
        </w:rPr>
        <w:t>Supervielle S.A</w:t>
      </w:r>
      <w:r w:rsidR="00C73F2F" w:rsidRPr="00701F32">
        <w:rPr>
          <w:rFonts w:ascii="Arial" w:hAnsi="Arial" w:cs="Arial"/>
          <w:b w:val="0"/>
          <w:sz w:val="22"/>
          <w:szCs w:val="22"/>
        </w:rPr>
        <w:t>.</w:t>
      </w:r>
    </w:p>
    <w:p w14:paraId="51DD5AE5" w14:textId="77777777" w:rsidR="00C73F2F" w:rsidRPr="00701F32" w:rsidRDefault="00C73F2F" w:rsidP="0065628D">
      <w:pPr>
        <w:pStyle w:val="Ttuloprincipal"/>
        <w:jc w:val="left"/>
        <w:rPr>
          <w:rFonts w:ascii="Arial" w:hAnsi="Arial" w:cs="Arial"/>
          <w:b w:val="0"/>
          <w:sz w:val="22"/>
          <w:szCs w:val="22"/>
        </w:rPr>
      </w:pPr>
    </w:p>
    <w:p w14:paraId="33F4E44D" w14:textId="77777777" w:rsidR="00C73F2F" w:rsidRPr="00701F32" w:rsidRDefault="00F44A24" w:rsidP="0065628D">
      <w:pPr>
        <w:pStyle w:val="Ttuloprincipal"/>
        <w:jc w:val="left"/>
        <w:rPr>
          <w:rFonts w:ascii="Arial" w:hAnsi="Arial" w:cs="Arial"/>
          <w:b w:val="0"/>
          <w:sz w:val="22"/>
          <w:szCs w:val="22"/>
        </w:rPr>
      </w:pPr>
      <w:r w:rsidRPr="00701F32">
        <w:rPr>
          <w:rFonts w:ascii="Arial" w:hAnsi="Arial" w:cs="Arial"/>
          <w:b w:val="0"/>
          <w:sz w:val="22"/>
          <w:szCs w:val="22"/>
        </w:rPr>
        <w:t xml:space="preserve">Domicilio legal: Bartolomé </w:t>
      </w:r>
      <w:r w:rsidR="00440DCC" w:rsidRPr="00701F32">
        <w:rPr>
          <w:rFonts w:ascii="Arial" w:hAnsi="Arial" w:cs="Arial"/>
          <w:b w:val="0"/>
          <w:sz w:val="22"/>
          <w:szCs w:val="22"/>
        </w:rPr>
        <w:t>Mitre 434 – Ciudad Autónoma de Buenos Aires</w:t>
      </w:r>
    </w:p>
    <w:p w14:paraId="54E72108" w14:textId="77777777" w:rsidR="00440DCC" w:rsidRPr="00701F32" w:rsidRDefault="00440DCC" w:rsidP="0065628D">
      <w:pPr>
        <w:pStyle w:val="Ttuloprincipal"/>
        <w:jc w:val="left"/>
        <w:rPr>
          <w:rFonts w:ascii="Arial" w:hAnsi="Arial" w:cs="Arial"/>
          <w:b w:val="0"/>
          <w:sz w:val="22"/>
          <w:szCs w:val="22"/>
        </w:rPr>
      </w:pPr>
    </w:p>
    <w:p w14:paraId="41EB1F8D" w14:textId="77777777" w:rsidR="00440DCC" w:rsidRPr="00701F32" w:rsidRDefault="00440DCC" w:rsidP="0065628D">
      <w:pPr>
        <w:pStyle w:val="Ttuloprincipal"/>
        <w:jc w:val="left"/>
        <w:rPr>
          <w:rFonts w:ascii="Arial" w:hAnsi="Arial" w:cs="Arial"/>
          <w:b w:val="0"/>
          <w:color w:val="000000" w:themeColor="text1"/>
          <w:sz w:val="22"/>
          <w:szCs w:val="22"/>
        </w:rPr>
      </w:pPr>
      <w:r w:rsidRPr="00701F32">
        <w:rPr>
          <w:rFonts w:ascii="Arial" w:hAnsi="Arial" w:cs="Arial"/>
          <w:b w:val="0"/>
          <w:sz w:val="22"/>
          <w:szCs w:val="22"/>
        </w:rPr>
        <w:t xml:space="preserve">Actividad principal: Financiera y de </w:t>
      </w:r>
      <w:r w:rsidRPr="00701F32">
        <w:rPr>
          <w:rFonts w:ascii="Arial" w:hAnsi="Arial" w:cs="Arial"/>
          <w:b w:val="0"/>
          <w:color w:val="000000" w:themeColor="text1"/>
          <w:sz w:val="22"/>
          <w:szCs w:val="22"/>
        </w:rPr>
        <w:t xml:space="preserve">inversión </w:t>
      </w:r>
    </w:p>
    <w:p w14:paraId="7426306C" w14:textId="77777777" w:rsidR="00440DCC" w:rsidRPr="00701F32" w:rsidRDefault="00440DCC" w:rsidP="0065628D">
      <w:pPr>
        <w:pStyle w:val="Ttuloprincipal"/>
        <w:jc w:val="left"/>
        <w:rPr>
          <w:rFonts w:ascii="Arial" w:hAnsi="Arial" w:cs="Arial"/>
          <w:b w:val="0"/>
          <w:color w:val="000000" w:themeColor="text1"/>
          <w:sz w:val="22"/>
          <w:szCs w:val="22"/>
        </w:rPr>
      </w:pPr>
    </w:p>
    <w:p w14:paraId="781C9505" w14:textId="5C14563D" w:rsidR="00440DCC" w:rsidRPr="00701F32" w:rsidRDefault="009979F3" w:rsidP="0065628D">
      <w:pPr>
        <w:pStyle w:val="Ttuloprincipal"/>
        <w:jc w:val="left"/>
        <w:rPr>
          <w:rFonts w:ascii="Arial" w:hAnsi="Arial" w:cs="Arial"/>
          <w:b w:val="0"/>
          <w:color w:val="000000" w:themeColor="text1"/>
          <w:sz w:val="22"/>
          <w:szCs w:val="22"/>
        </w:rPr>
      </w:pPr>
      <w:r w:rsidRPr="00701F32">
        <w:rPr>
          <w:rFonts w:ascii="Arial" w:hAnsi="Arial" w:cs="Arial"/>
          <w:b w:val="0"/>
          <w:color w:val="000000" w:themeColor="text1"/>
          <w:sz w:val="22"/>
          <w:szCs w:val="22"/>
        </w:rPr>
        <w:t>Participación de la sociedad controlante sobre el patrimonio: 9</w:t>
      </w:r>
      <w:r w:rsidR="00EC349E">
        <w:rPr>
          <w:rFonts w:ascii="Arial" w:hAnsi="Arial" w:cs="Arial"/>
          <w:b w:val="0"/>
          <w:color w:val="000000" w:themeColor="text1"/>
          <w:sz w:val="22"/>
          <w:szCs w:val="22"/>
        </w:rPr>
        <w:t>7</w:t>
      </w:r>
      <w:r w:rsidRPr="00701F32">
        <w:rPr>
          <w:rFonts w:ascii="Arial" w:hAnsi="Arial" w:cs="Arial"/>
          <w:b w:val="0"/>
          <w:color w:val="000000" w:themeColor="text1"/>
          <w:sz w:val="22"/>
          <w:szCs w:val="22"/>
        </w:rPr>
        <w:t>,</w:t>
      </w:r>
      <w:r w:rsidR="00E57BEF">
        <w:rPr>
          <w:rFonts w:ascii="Arial" w:hAnsi="Arial" w:cs="Arial"/>
          <w:b w:val="0"/>
          <w:color w:val="000000" w:themeColor="text1"/>
          <w:sz w:val="22"/>
          <w:szCs w:val="22"/>
        </w:rPr>
        <w:t>1</w:t>
      </w:r>
      <w:r w:rsidR="00EC349E">
        <w:rPr>
          <w:rFonts w:ascii="Arial" w:hAnsi="Arial" w:cs="Arial"/>
          <w:b w:val="0"/>
          <w:color w:val="000000" w:themeColor="text1"/>
          <w:sz w:val="22"/>
          <w:szCs w:val="22"/>
        </w:rPr>
        <w:t>0</w:t>
      </w:r>
      <w:r w:rsidRPr="00701F32">
        <w:rPr>
          <w:rFonts w:ascii="Arial" w:hAnsi="Arial" w:cs="Arial"/>
          <w:b w:val="0"/>
          <w:color w:val="000000" w:themeColor="text1"/>
          <w:sz w:val="22"/>
          <w:szCs w:val="22"/>
        </w:rPr>
        <w:t>%</w:t>
      </w:r>
    </w:p>
    <w:p w14:paraId="7B8DCF55" w14:textId="77777777" w:rsidR="00440DCC" w:rsidRPr="00701F32" w:rsidRDefault="00440DCC" w:rsidP="0065628D">
      <w:pPr>
        <w:pStyle w:val="Ttuloprincipal"/>
        <w:jc w:val="left"/>
        <w:rPr>
          <w:rFonts w:ascii="Arial" w:hAnsi="Arial" w:cs="Arial"/>
          <w:b w:val="0"/>
          <w:color w:val="000000" w:themeColor="text1"/>
          <w:sz w:val="22"/>
          <w:szCs w:val="22"/>
        </w:rPr>
      </w:pPr>
    </w:p>
    <w:p w14:paraId="0A57ED16" w14:textId="0D560289" w:rsidR="00440DCC" w:rsidRPr="00701F32" w:rsidRDefault="001F0B38" w:rsidP="0065628D">
      <w:pPr>
        <w:pStyle w:val="Ttuloprincipal"/>
        <w:jc w:val="left"/>
        <w:rPr>
          <w:rFonts w:ascii="Arial" w:hAnsi="Arial" w:cs="Arial"/>
          <w:b w:val="0"/>
          <w:color w:val="000000" w:themeColor="text1"/>
          <w:sz w:val="22"/>
          <w:szCs w:val="22"/>
        </w:rPr>
      </w:pPr>
      <w:r w:rsidRPr="00701F32">
        <w:rPr>
          <w:rFonts w:ascii="Arial" w:hAnsi="Arial" w:cs="Arial"/>
          <w:b w:val="0"/>
          <w:color w:val="000000" w:themeColor="text1"/>
          <w:sz w:val="22"/>
          <w:szCs w:val="22"/>
        </w:rPr>
        <w:t>Porcentaje de votos de la sociedad controlante: 9</w:t>
      </w:r>
      <w:r w:rsidR="00E57BEF">
        <w:rPr>
          <w:rFonts w:ascii="Arial" w:hAnsi="Arial" w:cs="Arial"/>
          <w:b w:val="0"/>
          <w:color w:val="000000" w:themeColor="text1"/>
          <w:sz w:val="22"/>
          <w:szCs w:val="22"/>
        </w:rPr>
        <w:t>7</w:t>
      </w:r>
      <w:r w:rsidRPr="00701F32">
        <w:rPr>
          <w:rFonts w:ascii="Arial" w:hAnsi="Arial" w:cs="Arial"/>
          <w:b w:val="0"/>
          <w:color w:val="000000" w:themeColor="text1"/>
          <w:sz w:val="22"/>
          <w:szCs w:val="22"/>
        </w:rPr>
        <w:t>,</w:t>
      </w:r>
      <w:r w:rsidR="00E57BEF">
        <w:rPr>
          <w:rFonts w:ascii="Arial" w:hAnsi="Arial" w:cs="Arial"/>
          <w:b w:val="0"/>
          <w:color w:val="000000" w:themeColor="text1"/>
          <w:sz w:val="22"/>
          <w:szCs w:val="22"/>
        </w:rPr>
        <w:t>07</w:t>
      </w:r>
      <w:r w:rsidRPr="00701F32">
        <w:rPr>
          <w:rFonts w:ascii="Arial" w:hAnsi="Arial" w:cs="Arial"/>
          <w:b w:val="0"/>
          <w:color w:val="000000" w:themeColor="text1"/>
          <w:sz w:val="22"/>
          <w:szCs w:val="22"/>
        </w:rPr>
        <w:t>%</w:t>
      </w:r>
    </w:p>
    <w:p w14:paraId="6A2F2C8C" w14:textId="77777777" w:rsidR="00440DCC" w:rsidRPr="00701F32" w:rsidRDefault="00440DCC" w:rsidP="0065628D">
      <w:pPr>
        <w:pStyle w:val="Ttuloprincipal"/>
        <w:jc w:val="left"/>
        <w:rPr>
          <w:rFonts w:ascii="Arial" w:hAnsi="Arial" w:cs="Arial"/>
          <w:color w:val="000000" w:themeColor="text1"/>
          <w:sz w:val="22"/>
          <w:szCs w:val="22"/>
        </w:rPr>
      </w:pPr>
    </w:p>
    <w:p w14:paraId="2ECCE29C" w14:textId="77777777" w:rsidR="001F0B38" w:rsidRPr="00701F32" w:rsidRDefault="001F0B38" w:rsidP="0065628D">
      <w:pPr>
        <w:pStyle w:val="Ttuloprincipal"/>
        <w:jc w:val="left"/>
        <w:rPr>
          <w:rFonts w:ascii="Arial" w:hAnsi="Arial" w:cs="Arial"/>
          <w:color w:val="000000" w:themeColor="text1"/>
          <w:sz w:val="20"/>
        </w:rPr>
      </w:pPr>
      <w:r w:rsidRPr="00701F32">
        <w:rPr>
          <w:rFonts w:ascii="Arial" w:hAnsi="Arial" w:cs="Arial"/>
          <w:b w:val="0"/>
          <w:color w:val="000000" w:themeColor="text1"/>
          <w:sz w:val="22"/>
          <w:szCs w:val="22"/>
        </w:rPr>
        <w:t xml:space="preserve">Composición del </w:t>
      </w:r>
      <w:r w:rsidR="009979F3" w:rsidRPr="00701F32">
        <w:rPr>
          <w:rFonts w:ascii="Arial" w:hAnsi="Arial" w:cs="Arial"/>
          <w:b w:val="0"/>
          <w:color w:val="000000" w:themeColor="text1"/>
          <w:sz w:val="22"/>
          <w:szCs w:val="22"/>
        </w:rPr>
        <w:t>capital</w:t>
      </w:r>
      <w:r w:rsidR="009979F3" w:rsidRPr="00701F32">
        <w:rPr>
          <w:rFonts w:ascii="Arial" w:hAnsi="Arial" w:cs="Arial"/>
          <w:b w:val="0"/>
          <w:color w:val="000000" w:themeColor="text1"/>
          <w:sz w:val="20"/>
        </w:rPr>
        <w:t xml:space="preserve"> </w:t>
      </w:r>
    </w:p>
    <w:p w14:paraId="051E35CB" w14:textId="77777777" w:rsidR="001F0B38" w:rsidRPr="00701F32" w:rsidRDefault="001F0B38" w:rsidP="0065628D">
      <w:pPr>
        <w:pStyle w:val="Ttuloprincipal"/>
        <w:jc w:val="left"/>
        <w:rPr>
          <w:rFonts w:ascii="Arial" w:hAnsi="Arial" w:cs="Arial"/>
          <w:color w:val="000000" w:themeColor="text1"/>
          <w:sz w:val="22"/>
          <w:szCs w:val="22"/>
        </w:rPr>
      </w:pPr>
    </w:p>
    <w:tbl>
      <w:tblPr>
        <w:tblStyle w:val="TableGrid"/>
        <w:tblW w:w="8222" w:type="dxa"/>
        <w:tblInd w:w="25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543"/>
        <w:gridCol w:w="1560"/>
        <w:gridCol w:w="3119"/>
      </w:tblGrid>
      <w:tr w:rsidR="007C4F07" w:rsidRPr="00701F32" w14:paraId="0F09A889" w14:textId="77777777" w:rsidTr="00394B9A">
        <w:trPr>
          <w:trHeight w:val="680"/>
        </w:trPr>
        <w:tc>
          <w:tcPr>
            <w:tcW w:w="3543" w:type="dxa"/>
            <w:tcBorders>
              <w:top w:val="single" w:sz="12" w:space="0" w:color="000000" w:themeColor="text1"/>
              <w:bottom w:val="single" w:sz="12" w:space="0" w:color="000000" w:themeColor="text1"/>
            </w:tcBorders>
            <w:vAlign w:val="center"/>
          </w:tcPr>
          <w:p w14:paraId="73026C48" w14:textId="77777777" w:rsidR="003436D1" w:rsidRPr="00701F32" w:rsidRDefault="003436D1" w:rsidP="003953EA">
            <w:pPr>
              <w:jc w:val="center"/>
              <w:rPr>
                <w:rFonts w:ascii="Arial" w:hAnsi="Arial" w:cs="Arial"/>
                <w:b/>
                <w:color w:val="000000" w:themeColor="text1"/>
                <w:sz w:val="18"/>
                <w:szCs w:val="18"/>
              </w:rPr>
            </w:pPr>
            <w:r w:rsidRPr="00701F32">
              <w:rPr>
                <w:rFonts w:ascii="Arial" w:hAnsi="Arial" w:cs="Arial"/>
                <w:b/>
                <w:color w:val="000000" w:themeColor="text1"/>
                <w:sz w:val="18"/>
                <w:szCs w:val="18"/>
              </w:rPr>
              <w:t>Tipo, valor nominal y N° de votos que otorga cada una</w:t>
            </w:r>
          </w:p>
        </w:tc>
        <w:tc>
          <w:tcPr>
            <w:tcW w:w="1560" w:type="dxa"/>
            <w:tcBorders>
              <w:top w:val="single" w:sz="12" w:space="0" w:color="000000" w:themeColor="text1"/>
              <w:bottom w:val="single" w:sz="12" w:space="0" w:color="000000" w:themeColor="text1"/>
            </w:tcBorders>
            <w:vAlign w:val="center"/>
          </w:tcPr>
          <w:p w14:paraId="3F01078F" w14:textId="77777777" w:rsidR="003436D1" w:rsidRPr="00701F32" w:rsidRDefault="003436D1" w:rsidP="008A557A">
            <w:pPr>
              <w:jc w:val="center"/>
              <w:rPr>
                <w:rFonts w:ascii="Arial" w:hAnsi="Arial" w:cs="Arial"/>
                <w:b/>
                <w:color w:val="000000" w:themeColor="text1"/>
                <w:sz w:val="18"/>
                <w:szCs w:val="18"/>
              </w:rPr>
            </w:pPr>
            <w:r w:rsidRPr="00701F32">
              <w:rPr>
                <w:rFonts w:ascii="Arial" w:hAnsi="Arial" w:cs="Arial"/>
                <w:b/>
                <w:color w:val="000000" w:themeColor="text1"/>
                <w:sz w:val="18"/>
                <w:szCs w:val="18"/>
              </w:rPr>
              <w:t>Cantidad</w:t>
            </w:r>
          </w:p>
        </w:tc>
        <w:tc>
          <w:tcPr>
            <w:tcW w:w="3119" w:type="dxa"/>
            <w:tcBorders>
              <w:top w:val="single" w:sz="12" w:space="0" w:color="000000" w:themeColor="text1"/>
              <w:bottom w:val="single" w:sz="12" w:space="0" w:color="000000" w:themeColor="text1"/>
            </w:tcBorders>
            <w:vAlign w:val="center"/>
          </w:tcPr>
          <w:p w14:paraId="258BC71A" w14:textId="77777777" w:rsidR="003436D1" w:rsidRPr="00701F32" w:rsidRDefault="003436D1" w:rsidP="003953EA">
            <w:pPr>
              <w:jc w:val="center"/>
              <w:rPr>
                <w:rFonts w:ascii="Arial" w:hAnsi="Arial" w:cs="Arial"/>
                <w:b/>
                <w:color w:val="000000" w:themeColor="text1"/>
                <w:sz w:val="18"/>
                <w:szCs w:val="18"/>
              </w:rPr>
            </w:pPr>
            <w:r w:rsidRPr="00701F32">
              <w:rPr>
                <w:rFonts w:ascii="Arial" w:hAnsi="Arial" w:cs="Arial"/>
                <w:b/>
                <w:color w:val="000000" w:themeColor="text1"/>
                <w:sz w:val="18"/>
                <w:szCs w:val="18"/>
              </w:rPr>
              <w:t>Suscripto</w:t>
            </w:r>
            <w:r w:rsidR="007E24C8" w:rsidRPr="00701F32">
              <w:rPr>
                <w:rFonts w:ascii="Arial" w:hAnsi="Arial" w:cs="Arial"/>
                <w:b/>
                <w:color w:val="000000" w:themeColor="text1"/>
                <w:sz w:val="18"/>
                <w:szCs w:val="18"/>
              </w:rPr>
              <w:t xml:space="preserve"> e</w:t>
            </w:r>
            <w:r w:rsidRPr="00701F32">
              <w:rPr>
                <w:rFonts w:ascii="Arial" w:hAnsi="Arial" w:cs="Arial"/>
                <w:b/>
                <w:color w:val="000000" w:themeColor="text1"/>
                <w:sz w:val="18"/>
                <w:szCs w:val="18"/>
              </w:rPr>
              <w:t xml:space="preserve"> integrado </w:t>
            </w:r>
          </w:p>
          <w:p w14:paraId="7E61F53A" w14:textId="77777777" w:rsidR="003436D1" w:rsidRPr="00701F32" w:rsidRDefault="003436D1" w:rsidP="003953EA">
            <w:pPr>
              <w:jc w:val="center"/>
              <w:rPr>
                <w:rFonts w:ascii="Arial" w:hAnsi="Arial" w:cs="Arial"/>
                <w:color w:val="000000" w:themeColor="text1"/>
                <w:sz w:val="18"/>
                <w:szCs w:val="18"/>
              </w:rPr>
            </w:pPr>
            <w:r w:rsidRPr="00701F32">
              <w:rPr>
                <w:rFonts w:ascii="Arial" w:hAnsi="Arial" w:cs="Arial"/>
                <w:color w:val="000000" w:themeColor="text1"/>
                <w:sz w:val="18"/>
                <w:szCs w:val="18"/>
              </w:rPr>
              <w:t>(en miles de $)</w:t>
            </w:r>
          </w:p>
        </w:tc>
      </w:tr>
      <w:tr w:rsidR="007C4F07" w:rsidRPr="00701F32" w14:paraId="6F580194" w14:textId="77777777" w:rsidTr="00394B9A">
        <w:trPr>
          <w:trHeight w:val="680"/>
        </w:trPr>
        <w:tc>
          <w:tcPr>
            <w:tcW w:w="3543" w:type="dxa"/>
            <w:tcBorders>
              <w:top w:val="single" w:sz="12" w:space="0" w:color="000000" w:themeColor="text1"/>
            </w:tcBorders>
            <w:vAlign w:val="center"/>
          </w:tcPr>
          <w:p w14:paraId="009349FE" w14:textId="416E3084" w:rsidR="003436D1" w:rsidRPr="00701F32" w:rsidRDefault="003436D1" w:rsidP="003953EA">
            <w:pPr>
              <w:jc w:val="center"/>
              <w:rPr>
                <w:rFonts w:ascii="Arial" w:hAnsi="Arial" w:cs="Arial"/>
                <w:color w:val="000000" w:themeColor="text1"/>
                <w:sz w:val="18"/>
                <w:szCs w:val="18"/>
              </w:rPr>
            </w:pPr>
            <w:r w:rsidRPr="00701F32">
              <w:rPr>
                <w:rFonts w:ascii="Arial" w:hAnsi="Arial" w:cs="Arial"/>
                <w:color w:val="000000" w:themeColor="text1"/>
                <w:sz w:val="18"/>
                <w:szCs w:val="18"/>
              </w:rPr>
              <w:t xml:space="preserve">Ordinarias nominativas no endosables de VN $ 1 de </w:t>
            </w:r>
            <w:r w:rsidR="009A5748">
              <w:rPr>
                <w:rFonts w:ascii="Arial" w:hAnsi="Arial" w:cs="Arial"/>
                <w:color w:val="000000" w:themeColor="text1"/>
                <w:sz w:val="18"/>
                <w:szCs w:val="18"/>
              </w:rPr>
              <w:t xml:space="preserve">1 </w:t>
            </w:r>
            <w:r w:rsidRPr="00701F32">
              <w:rPr>
                <w:rFonts w:ascii="Arial" w:hAnsi="Arial" w:cs="Arial"/>
                <w:color w:val="000000" w:themeColor="text1"/>
                <w:sz w:val="18"/>
                <w:szCs w:val="18"/>
              </w:rPr>
              <w:t>voto cada una</w:t>
            </w:r>
          </w:p>
        </w:tc>
        <w:tc>
          <w:tcPr>
            <w:tcW w:w="1560" w:type="dxa"/>
            <w:tcBorders>
              <w:top w:val="single" w:sz="12" w:space="0" w:color="000000" w:themeColor="text1"/>
            </w:tcBorders>
            <w:vAlign w:val="center"/>
          </w:tcPr>
          <w:p w14:paraId="2D8A4DEC" w14:textId="02B37D06" w:rsidR="003436D1" w:rsidRPr="00701F32" w:rsidRDefault="00B26CE5" w:rsidP="002C2FC7">
            <w:pPr>
              <w:jc w:val="right"/>
              <w:rPr>
                <w:rFonts w:ascii="Arial" w:hAnsi="Arial" w:cs="Arial"/>
                <w:color w:val="000000" w:themeColor="text1"/>
                <w:sz w:val="18"/>
                <w:szCs w:val="18"/>
              </w:rPr>
            </w:pPr>
            <w:r>
              <w:rPr>
                <w:rFonts w:ascii="Arial" w:hAnsi="Arial" w:cs="Arial"/>
                <w:color w:val="000000" w:themeColor="text1"/>
                <w:sz w:val="18"/>
                <w:szCs w:val="18"/>
              </w:rPr>
              <w:t>828.633.500</w:t>
            </w:r>
          </w:p>
        </w:tc>
        <w:tc>
          <w:tcPr>
            <w:tcW w:w="3119" w:type="dxa"/>
            <w:tcBorders>
              <w:top w:val="single" w:sz="12" w:space="0" w:color="000000" w:themeColor="text1"/>
            </w:tcBorders>
            <w:vAlign w:val="center"/>
          </w:tcPr>
          <w:p w14:paraId="2DDC1680" w14:textId="4B492D53" w:rsidR="003436D1" w:rsidRPr="00701F32" w:rsidRDefault="00E57BEF">
            <w:pPr>
              <w:jc w:val="right"/>
              <w:rPr>
                <w:rFonts w:ascii="Arial" w:hAnsi="Arial" w:cs="Arial"/>
                <w:color w:val="000000" w:themeColor="text1"/>
                <w:sz w:val="18"/>
                <w:szCs w:val="18"/>
                <w:lang w:val="es-ES_tradnl"/>
              </w:rPr>
            </w:pPr>
            <w:r>
              <w:rPr>
                <w:rFonts w:ascii="Arial" w:hAnsi="Arial" w:cs="Arial"/>
                <w:color w:val="000000" w:themeColor="text1"/>
                <w:sz w:val="18"/>
                <w:szCs w:val="18"/>
              </w:rPr>
              <w:t>828.634</w:t>
            </w:r>
          </w:p>
        </w:tc>
      </w:tr>
      <w:tr w:rsidR="007C4F07" w:rsidRPr="00701F32" w14:paraId="10A2AFA2" w14:textId="77777777" w:rsidTr="00394B9A">
        <w:trPr>
          <w:trHeight w:val="680"/>
        </w:trPr>
        <w:tc>
          <w:tcPr>
            <w:tcW w:w="3543" w:type="dxa"/>
            <w:tcBorders>
              <w:bottom w:val="single" w:sz="12" w:space="0" w:color="000000" w:themeColor="text1"/>
            </w:tcBorders>
            <w:vAlign w:val="center"/>
          </w:tcPr>
          <w:p w14:paraId="1E41817E" w14:textId="77777777" w:rsidR="003436D1" w:rsidRPr="00701F32" w:rsidRDefault="003436D1" w:rsidP="003953EA">
            <w:pPr>
              <w:jc w:val="center"/>
              <w:rPr>
                <w:rFonts w:ascii="Arial" w:hAnsi="Arial" w:cs="Arial"/>
                <w:color w:val="000000" w:themeColor="text1"/>
                <w:sz w:val="18"/>
                <w:szCs w:val="18"/>
              </w:rPr>
            </w:pPr>
            <w:r w:rsidRPr="00701F32">
              <w:rPr>
                <w:rFonts w:ascii="Arial" w:hAnsi="Arial" w:cs="Arial"/>
                <w:color w:val="000000" w:themeColor="text1"/>
                <w:sz w:val="18"/>
                <w:szCs w:val="18"/>
              </w:rPr>
              <w:t>Ordinarias nominativas no endosables de VN $ 1 de 5 votos cada una</w:t>
            </w:r>
          </w:p>
        </w:tc>
        <w:tc>
          <w:tcPr>
            <w:tcW w:w="1560" w:type="dxa"/>
            <w:tcBorders>
              <w:bottom w:val="single" w:sz="12" w:space="0" w:color="000000" w:themeColor="text1"/>
            </w:tcBorders>
            <w:vAlign w:val="center"/>
          </w:tcPr>
          <w:p w14:paraId="52117E3D" w14:textId="77777777" w:rsidR="003436D1" w:rsidRPr="00701F32" w:rsidRDefault="00391E59" w:rsidP="008A557A">
            <w:pPr>
              <w:jc w:val="right"/>
              <w:rPr>
                <w:rFonts w:ascii="Arial" w:hAnsi="Arial" w:cs="Arial"/>
                <w:color w:val="000000" w:themeColor="text1"/>
                <w:sz w:val="18"/>
                <w:szCs w:val="18"/>
              </w:rPr>
            </w:pPr>
            <w:r w:rsidRPr="00701F32">
              <w:rPr>
                <w:rFonts w:ascii="Arial" w:hAnsi="Arial" w:cs="Arial"/>
                <w:color w:val="000000" w:themeColor="text1"/>
                <w:sz w:val="18"/>
                <w:szCs w:val="18"/>
              </w:rPr>
              <w:t>930.371</w:t>
            </w:r>
          </w:p>
        </w:tc>
        <w:tc>
          <w:tcPr>
            <w:tcW w:w="3119" w:type="dxa"/>
            <w:tcBorders>
              <w:bottom w:val="single" w:sz="12" w:space="0" w:color="000000" w:themeColor="text1"/>
            </w:tcBorders>
            <w:vAlign w:val="center"/>
          </w:tcPr>
          <w:p w14:paraId="0424BE3C" w14:textId="77777777" w:rsidR="003436D1" w:rsidRPr="00701F32" w:rsidRDefault="002C2FC7" w:rsidP="00332A30">
            <w:pPr>
              <w:jc w:val="right"/>
              <w:rPr>
                <w:rFonts w:ascii="Arial" w:hAnsi="Arial" w:cs="Arial"/>
                <w:color w:val="000000" w:themeColor="text1"/>
                <w:sz w:val="18"/>
                <w:szCs w:val="18"/>
              </w:rPr>
            </w:pPr>
            <w:r w:rsidRPr="00701F32">
              <w:rPr>
                <w:rFonts w:ascii="Arial" w:hAnsi="Arial" w:cs="Arial"/>
                <w:color w:val="000000" w:themeColor="text1"/>
                <w:sz w:val="18"/>
                <w:szCs w:val="18"/>
              </w:rPr>
              <w:t>930</w:t>
            </w:r>
          </w:p>
        </w:tc>
      </w:tr>
      <w:tr w:rsidR="007C4F07" w:rsidRPr="00701F32" w14:paraId="24934936" w14:textId="77777777" w:rsidTr="00394B9A">
        <w:trPr>
          <w:trHeight w:val="680"/>
        </w:trPr>
        <w:tc>
          <w:tcPr>
            <w:tcW w:w="3543" w:type="dxa"/>
            <w:tcBorders>
              <w:top w:val="single" w:sz="12" w:space="0" w:color="000000" w:themeColor="text1"/>
              <w:bottom w:val="single" w:sz="12" w:space="0" w:color="000000" w:themeColor="text1"/>
            </w:tcBorders>
            <w:vAlign w:val="center"/>
          </w:tcPr>
          <w:p w14:paraId="4C38974B" w14:textId="77777777" w:rsidR="003436D1" w:rsidRPr="00701F32" w:rsidRDefault="003436D1" w:rsidP="00332A30">
            <w:pPr>
              <w:jc w:val="center"/>
              <w:rPr>
                <w:rFonts w:ascii="Arial" w:hAnsi="Arial" w:cs="Arial"/>
                <w:b/>
                <w:color w:val="000000" w:themeColor="text1"/>
                <w:sz w:val="18"/>
                <w:szCs w:val="18"/>
              </w:rPr>
            </w:pPr>
            <w:r w:rsidRPr="00701F32">
              <w:rPr>
                <w:rFonts w:ascii="Arial" w:hAnsi="Arial" w:cs="Arial"/>
                <w:b/>
                <w:color w:val="000000" w:themeColor="text1"/>
                <w:sz w:val="18"/>
                <w:szCs w:val="18"/>
              </w:rPr>
              <w:t>TOTAL</w:t>
            </w:r>
          </w:p>
        </w:tc>
        <w:tc>
          <w:tcPr>
            <w:tcW w:w="1560" w:type="dxa"/>
            <w:tcBorders>
              <w:top w:val="single" w:sz="12" w:space="0" w:color="000000" w:themeColor="text1"/>
              <w:bottom w:val="single" w:sz="12" w:space="0" w:color="000000" w:themeColor="text1"/>
            </w:tcBorders>
            <w:vAlign w:val="center"/>
          </w:tcPr>
          <w:p w14:paraId="3210EFFD" w14:textId="61AC5685" w:rsidR="003436D1" w:rsidRPr="00701F32" w:rsidRDefault="00E57BEF" w:rsidP="008A557A">
            <w:pPr>
              <w:jc w:val="right"/>
              <w:rPr>
                <w:rFonts w:ascii="Arial" w:hAnsi="Arial" w:cs="Arial"/>
                <w:b/>
                <w:color w:val="000000" w:themeColor="text1"/>
                <w:sz w:val="18"/>
                <w:szCs w:val="18"/>
              </w:rPr>
            </w:pPr>
            <w:r>
              <w:rPr>
                <w:rFonts w:ascii="Arial" w:hAnsi="Arial" w:cs="Arial"/>
                <w:b/>
                <w:color w:val="000000" w:themeColor="text1"/>
                <w:sz w:val="18"/>
                <w:szCs w:val="18"/>
              </w:rPr>
              <w:t>829.563.871</w:t>
            </w:r>
          </w:p>
        </w:tc>
        <w:tc>
          <w:tcPr>
            <w:tcW w:w="3119" w:type="dxa"/>
            <w:tcBorders>
              <w:top w:val="single" w:sz="12" w:space="0" w:color="000000" w:themeColor="text1"/>
              <w:bottom w:val="single" w:sz="12" w:space="0" w:color="000000" w:themeColor="text1"/>
            </w:tcBorders>
            <w:vAlign w:val="center"/>
          </w:tcPr>
          <w:p w14:paraId="4ED38B49" w14:textId="4C258F58" w:rsidR="003436D1" w:rsidRPr="00701F32" w:rsidRDefault="006A37CA">
            <w:pPr>
              <w:jc w:val="right"/>
              <w:rPr>
                <w:rFonts w:ascii="Arial" w:hAnsi="Arial" w:cs="Arial"/>
                <w:b/>
                <w:color w:val="000000" w:themeColor="text1"/>
                <w:sz w:val="18"/>
                <w:szCs w:val="18"/>
                <w:lang w:val="es-ES_tradnl"/>
              </w:rPr>
            </w:pPr>
            <w:r>
              <w:rPr>
                <w:rFonts w:ascii="Arial" w:hAnsi="Arial" w:cs="Arial"/>
                <w:b/>
                <w:color w:val="000000" w:themeColor="text1"/>
                <w:sz w:val="18"/>
                <w:szCs w:val="18"/>
              </w:rPr>
              <w:t>8</w:t>
            </w:r>
            <w:r w:rsidR="00E57BEF">
              <w:rPr>
                <w:rFonts w:ascii="Arial" w:hAnsi="Arial" w:cs="Arial"/>
                <w:b/>
                <w:color w:val="000000" w:themeColor="text1"/>
                <w:sz w:val="18"/>
                <w:szCs w:val="18"/>
              </w:rPr>
              <w:t>29</w:t>
            </w:r>
            <w:r w:rsidR="001C50DA" w:rsidRPr="00701F32">
              <w:rPr>
                <w:rFonts w:ascii="Arial" w:hAnsi="Arial" w:cs="Arial"/>
                <w:b/>
                <w:color w:val="000000" w:themeColor="text1"/>
                <w:sz w:val="18"/>
                <w:szCs w:val="18"/>
              </w:rPr>
              <w:t>.</w:t>
            </w:r>
            <w:r>
              <w:rPr>
                <w:rFonts w:ascii="Arial" w:hAnsi="Arial" w:cs="Arial"/>
                <w:b/>
                <w:color w:val="000000" w:themeColor="text1"/>
                <w:sz w:val="18"/>
                <w:szCs w:val="18"/>
              </w:rPr>
              <w:t>5</w:t>
            </w:r>
            <w:r w:rsidR="00E57BEF">
              <w:rPr>
                <w:rFonts w:ascii="Arial" w:hAnsi="Arial" w:cs="Arial"/>
                <w:b/>
                <w:color w:val="000000" w:themeColor="text1"/>
                <w:sz w:val="18"/>
                <w:szCs w:val="18"/>
              </w:rPr>
              <w:t>64</w:t>
            </w:r>
          </w:p>
        </w:tc>
      </w:tr>
    </w:tbl>
    <w:p w14:paraId="416C605A" w14:textId="77777777" w:rsidR="00540B98" w:rsidRPr="00701F32" w:rsidRDefault="00540B98" w:rsidP="0065628D">
      <w:pPr>
        <w:pStyle w:val="Ttuloprincipal"/>
        <w:jc w:val="left"/>
        <w:rPr>
          <w:rFonts w:ascii="Arial" w:hAnsi="Arial" w:cs="Arial"/>
          <w:color w:val="000000" w:themeColor="text1"/>
          <w:sz w:val="22"/>
          <w:szCs w:val="22"/>
        </w:rPr>
        <w:sectPr w:rsidR="00540B98" w:rsidRPr="00701F32" w:rsidSect="004E4C82">
          <w:headerReference w:type="default" r:id="rId8"/>
          <w:pgSz w:w="11907" w:h="16839" w:code="9"/>
          <w:pgMar w:top="1418" w:right="1701" w:bottom="1418" w:left="1701" w:header="567" w:footer="0" w:gutter="0"/>
          <w:paperSrc w:first="15" w:other="15"/>
          <w:pgNumType w:start="2"/>
          <w:cols w:space="720"/>
          <w:docGrid w:linePitch="326"/>
        </w:sectPr>
      </w:pPr>
    </w:p>
    <w:p w14:paraId="53ACF0D2" w14:textId="77777777" w:rsidR="00615B48" w:rsidRPr="00FF6DEF" w:rsidRDefault="00CE49BA" w:rsidP="000428A1">
      <w:pPr>
        <w:tabs>
          <w:tab w:val="left" w:pos="1320"/>
        </w:tabs>
        <w:rPr>
          <w:sz w:val="10"/>
          <w:szCs w:val="10"/>
          <w:lang w:eastAsia="es-AR"/>
        </w:rPr>
      </w:pPr>
      <w:r w:rsidRPr="00FF6DEF">
        <w:rPr>
          <w:sz w:val="10"/>
          <w:szCs w:val="10"/>
          <w:lang w:eastAsia="es-AR"/>
        </w:rPr>
        <w:lastRenderedPageBreak/>
        <w:t xml:space="preserve"> </w:t>
      </w:r>
    </w:p>
    <w:tbl>
      <w:tblPr>
        <w:tblW w:w="7655" w:type="dxa"/>
        <w:jc w:val="center"/>
        <w:tblCellMar>
          <w:left w:w="70" w:type="dxa"/>
          <w:right w:w="70" w:type="dxa"/>
        </w:tblCellMar>
        <w:tblLook w:val="04A0" w:firstRow="1" w:lastRow="0" w:firstColumn="1" w:lastColumn="0" w:noHBand="0" w:noVBand="1"/>
      </w:tblPr>
      <w:tblGrid>
        <w:gridCol w:w="4395"/>
        <w:gridCol w:w="850"/>
        <w:gridCol w:w="1276"/>
        <w:gridCol w:w="1134"/>
      </w:tblGrid>
      <w:tr w:rsidR="00323E0E" w:rsidRPr="00615B48" w14:paraId="0727D98E" w14:textId="77777777" w:rsidTr="00AA40A5">
        <w:trPr>
          <w:trHeight w:val="300"/>
          <w:jc w:val="center"/>
        </w:trPr>
        <w:tc>
          <w:tcPr>
            <w:tcW w:w="4395"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C9F7A0A"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t>Conceptos</w:t>
            </w:r>
          </w:p>
        </w:tc>
        <w:tc>
          <w:tcPr>
            <w:tcW w:w="85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D198BA0"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t>Notas</w:t>
            </w:r>
          </w:p>
        </w:tc>
        <w:tc>
          <w:tcPr>
            <w:tcW w:w="1276"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580E6997" w14:textId="272DE172" w:rsidR="00323E0E" w:rsidRPr="00615B48" w:rsidRDefault="00634606" w:rsidP="00634606">
            <w:pPr>
              <w:jc w:val="center"/>
              <w:rPr>
                <w:rFonts w:ascii="Arial" w:hAnsi="Arial" w:cs="Arial"/>
                <w:b/>
                <w:bCs/>
                <w:sz w:val="16"/>
                <w:szCs w:val="16"/>
                <w:lang w:eastAsia="es-AR"/>
              </w:rPr>
            </w:pPr>
            <w:r>
              <w:rPr>
                <w:rFonts w:ascii="Arial" w:hAnsi="Arial" w:cs="Arial"/>
                <w:b/>
                <w:bCs/>
                <w:sz w:val="16"/>
                <w:szCs w:val="16"/>
                <w:lang w:eastAsia="es-AR"/>
              </w:rPr>
              <w:t>3</w:t>
            </w:r>
            <w:r w:rsidR="006E41DF">
              <w:rPr>
                <w:rFonts w:ascii="Arial" w:hAnsi="Arial" w:cs="Arial"/>
                <w:b/>
                <w:bCs/>
                <w:sz w:val="16"/>
                <w:szCs w:val="16"/>
                <w:lang w:eastAsia="es-AR"/>
              </w:rPr>
              <w:t>1</w:t>
            </w:r>
            <w:r w:rsidR="00323E0E">
              <w:rPr>
                <w:rFonts w:ascii="Arial" w:hAnsi="Arial" w:cs="Arial"/>
                <w:b/>
                <w:bCs/>
                <w:sz w:val="16"/>
                <w:szCs w:val="16"/>
                <w:lang w:eastAsia="es-AR"/>
              </w:rPr>
              <w:t>/0</w:t>
            </w:r>
            <w:r w:rsidR="006E41DF">
              <w:rPr>
                <w:rFonts w:ascii="Arial" w:hAnsi="Arial" w:cs="Arial"/>
                <w:b/>
                <w:bCs/>
                <w:sz w:val="16"/>
                <w:szCs w:val="16"/>
                <w:lang w:eastAsia="es-AR"/>
              </w:rPr>
              <w:t>3</w:t>
            </w:r>
            <w:r w:rsidR="00323E0E">
              <w:rPr>
                <w:rFonts w:ascii="Arial" w:hAnsi="Arial" w:cs="Arial"/>
                <w:b/>
                <w:bCs/>
                <w:sz w:val="16"/>
                <w:szCs w:val="16"/>
                <w:lang w:eastAsia="es-AR"/>
              </w:rPr>
              <w:t>/20</w:t>
            </w:r>
            <w:r w:rsidR="006E41DF">
              <w:rPr>
                <w:rFonts w:ascii="Arial" w:hAnsi="Arial" w:cs="Arial"/>
                <w:b/>
                <w:bCs/>
                <w:sz w:val="16"/>
                <w:szCs w:val="16"/>
                <w:lang w:eastAsia="es-AR"/>
              </w:rPr>
              <w:t>20</w:t>
            </w:r>
          </w:p>
        </w:tc>
        <w:tc>
          <w:tcPr>
            <w:tcW w:w="1134"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3BF5B86C" w14:textId="66009D64" w:rsidR="00323E0E" w:rsidRPr="00615B48" w:rsidRDefault="00323E0E" w:rsidP="00A04D8C">
            <w:pPr>
              <w:jc w:val="center"/>
              <w:rPr>
                <w:rFonts w:ascii="Arial" w:hAnsi="Arial" w:cs="Arial"/>
                <w:b/>
                <w:bCs/>
                <w:sz w:val="16"/>
                <w:szCs w:val="16"/>
                <w:lang w:eastAsia="es-AR"/>
              </w:rPr>
            </w:pPr>
            <w:r>
              <w:rPr>
                <w:rFonts w:ascii="Arial" w:hAnsi="Arial" w:cs="Arial"/>
                <w:b/>
                <w:bCs/>
                <w:sz w:val="16"/>
                <w:szCs w:val="16"/>
                <w:lang w:eastAsia="es-AR"/>
              </w:rPr>
              <w:t>31</w:t>
            </w:r>
            <w:r w:rsidRPr="00615B48">
              <w:rPr>
                <w:rFonts w:ascii="Arial" w:hAnsi="Arial" w:cs="Arial"/>
                <w:b/>
                <w:bCs/>
                <w:sz w:val="16"/>
                <w:szCs w:val="16"/>
                <w:lang w:eastAsia="es-AR"/>
              </w:rPr>
              <w:t>/</w:t>
            </w:r>
            <w:r>
              <w:rPr>
                <w:rFonts w:ascii="Arial" w:hAnsi="Arial" w:cs="Arial"/>
                <w:b/>
                <w:bCs/>
                <w:sz w:val="16"/>
                <w:szCs w:val="16"/>
                <w:lang w:eastAsia="es-AR"/>
              </w:rPr>
              <w:t>12</w:t>
            </w:r>
            <w:r w:rsidRPr="00615B48">
              <w:rPr>
                <w:rFonts w:ascii="Arial" w:hAnsi="Arial" w:cs="Arial"/>
                <w:b/>
                <w:bCs/>
                <w:sz w:val="16"/>
                <w:szCs w:val="16"/>
                <w:lang w:eastAsia="es-AR"/>
              </w:rPr>
              <w:t>/201</w:t>
            </w:r>
            <w:r w:rsidR="006E41DF">
              <w:rPr>
                <w:rFonts w:ascii="Arial" w:hAnsi="Arial" w:cs="Arial"/>
                <w:b/>
                <w:bCs/>
                <w:sz w:val="16"/>
                <w:szCs w:val="16"/>
                <w:lang w:eastAsia="es-AR"/>
              </w:rPr>
              <w:t>9</w:t>
            </w:r>
          </w:p>
        </w:tc>
      </w:tr>
      <w:tr w:rsidR="00323E0E" w:rsidRPr="00615B48" w14:paraId="5CE49CA7" w14:textId="77777777" w:rsidTr="00AA40A5">
        <w:trPr>
          <w:trHeight w:val="300"/>
          <w:jc w:val="center"/>
        </w:trPr>
        <w:tc>
          <w:tcPr>
            <w:tcW w:w="4395"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ED1CCFE" w14:textId="77777777" w:rsidR="00323E0E" w:rsidRPr="00615B48" w:rsidRDefault="00323E0E" w:rsidP="00615B48">
            <w:pPr>
              <w:rPr>
                <w:rFonts w:ascii="Arial" w:hAnsi="Arial" w:cs="Arial"/>
                <w:b/>
                <w:bCs/>
                <w:sz w:val="16"/>
                <w:szCs w:val="16"/>
                <w:lang w:eastAsia="es-AR"/>
              </w:rPr>
            </w:pPr>
          </w:p>
        </w:tc>
        <w:tc>
          <w:tcPr>
            <w:tcW w:w="85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1B1ECC9" w14:textId="77777777" w:rsidR="00323E0E" w:rsidRPr="00615B48" w:rsidRDefault="00323E0E" w:rsidP="00615B48">
            <w:pPr>
              <w:jc w:val="center"/>
              <w:rPr>
                <w:rFonts w:ascii="Arial" w:hAnsi="Arial" w:cs="Arial"/>
                <w:b/>
                <w:bCs/>
                <w:sz w:val="16"/>
                <w:szCs w:val="16"/>
                <w:lang w:eastAsia="es-AR"/>
              </w:rPr>
            </w:pPr>
          </w:p>
        </w:tc>
        <w:tc>
          <w:tcPr>
            <w:tcW w:w="1276"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51D5C3EB" w14:textId="77777777" w:rsidR="00323E0E" w:rsidRPr="00615B48" w:rsidRDefault="00323E0E" w:rsidP="00615B48">
            <w:pPr>
              <w:rPr>
                <w:rFonts w:ascii="Arial" w:hAnsi="Arial" w:cs="Arial"/>
                <w:b/>
                <w:bCs/>
                <w:sz w:val="16"/>
                <w:szCs w:val="16"/>
                <w:lang w:eastAsia="es-AR"/>
              </w:rPr>
            </w:pPr>
          </w:p>
        </w:tc>
        <w:tc>
          <w:tcPr>
            <w:tcW w:w="1134"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10C9F39A" w14:textId="77777777" w:rsidR="00323E0E" w:rsidRPr="00615B48" w:rsidRDefault="00323E0E" w:rsidP="00615B48">
            <w:pPr>
              <w:rPr>
                <w:rFonts w:ascii="Arial" w:hAnsi="Arial" w:cs="Arial"/>
                <w:b/>
                <w:bCs/>
                <w:sz w:val="16"/>
                <w:szCs w:val="16"/>
                <w:lang w:eastAsia="es-AR"/>
              </w:rPr>
            </w:pPr>
          </w:p>
        </w:tc>
      </w:tr>
      <w:tr w:rsidR="00323E0E" w:rsidRPr="00E43FE4" w14:paraId="14E1CFA8" w14:textId="77777777" w:rsidTr="00534414">
        <w:trPr>
          <w:trHeight w:val="159"/>
          <w:jc w:val="center"/>
        </w:trPr>
        <w:tc>
          <w:tcPr>
            <w:tcW w:w="4395" w:type="dxa"/>
            <w:tcBorders>
              <w:top w:val="nil"/>
              <w:left w:val="nil"/>
              <w:bottom w:val="nil"/>
              <w:right w:val="nil"/>
            </w:tcBorders>
            <w:shd w:val="clear" w:color="auto" w:fill="auto"/>
            <w:vAlign w:val="center"/>
            <w:hideMark/>
          </w:tcPr>
          <w:p w14:paraId="495A937A" w14:textId="77777777" w:rsidR="00323E0E" w:rsidRPr="00E43FE4" w:rsidRDefault="00323E0E" w:rsidP="00615B48">
            <w:pPr>
              <w:jc w:val="center"/>
              <w:rPr>
                <w:rFonts w:ascii="Arial" w:hAnsi="Arial" w:cs="Arial"/>
                <w:b/>
                <w:bCs/>
                <w:sz w:val="10"/>
                <w:szCs w:val="10"/>
                <w:lang w:eastAsia="es-AR"/>
              </w:rPr>
            </w:pPr>
            <w:r w:rsidRPr="00E43FE4">
              <w:rPr>
                <w:rFonts w:ascii="Arial" w:hAnsi="Arial" w:cs="Arial"/>
                <w:b/>
                <w:bCs/>
                <w:sz w:val="10"/>
                <w:szCs w:val="10"/>
                <w:lang w:eastAsia="es-AR"/>
              </w:rPr>
              <w:t> </w:t>
            </w:r>
          </w:p>
        </w:tc>
        <w:tc>
          <w:tcPr>
            <w:tcW w:w="850" w:type="dxa"/>
            <w:tcBorders>
              <w:top w:val="nil"/>
              <w:left w:val="nil"/>
              <w:bottom w:val="nil"/>
              <w:right w:val="nil"/>
            </w:tcBorders>
            <w:shd w:val="clear" w:color="auto" w:fill="auto"/>
            <w:vAlign w:val="center"/>
            <w:hideMark/>
          </w:tcPr>
          <w:p w14:paraId="32D87CDF" w14:textId="48DE5D51" w:rsidR="00323E0E" w:rsidRPr="00E43FE4" w:rsidRDefault="00323E0E" w:rsidP="00615B48">
            <w:pPr>
              <w:jc w:val="center"/>
              <w:rPr>
                <w:rFonts w:ascii="Arial" w:hAnsi="Arial" w:cs="Arial"/>
                <w:b/>
                <w:bCs/>
                <w:sz w:val="10"/>
                <w:szCs w:val="10"/>
                <w:lang w:eastAsia="es-AR"/>
              </w:rPr>
            </w:pPr>
          </w:p>
        </w:tc>
        <w:tc>
          <w:tcPr>
            <w:tcW w:w="1276" w:type="dxa"/>
            <w:tcBorders>
              <w:top w:val="nil"/>
              <w:left w:val="nil"/>
              <w:bottom w:val="nil"/>
              <w:right w:val="nil"/>
            </w:tcBorders>
            <w:shd w:val="clear" w:color="auto" w:fill="auto"/>
            <w:noWrap/>
            <w:vAlign w:val="center"/>
            <w:hideMark/>
          </w:tcPr>
          <w:p w14:paraId="363B50C7" w14:textId="77777777" w:rsidR="00323E0E" w:rsidRPr="00E43FE4" w:rsidRDefault="00323E0E" w:rsidP="00615B48">
            <w:pPr>
              <w:jc w:val="center"/>
              <w:rPr>
                <w:rFonts w:ascii="Arial" w:hAnsi="Arial" w:cs="Arial"/>
                <w:sz w:val="10"/>
                <w:szCs w:val="10"/>
                <w:lang w:eastAsia="es-AR"/>
              </w:rPr>
            </w:pPr>
            <w:r w:rsidRPr="00E43FE4">
              <w:rPr>
                <w:rFonts w:ascii="Arial" w:hAnsi="Arial" w:cs="Arial"/>
                <w:sz w:val="10"/>
                <w:szCs w:val="10"/>
                <w:lang w:eastAsia="es-AR"/>
              </w:rPr>
              <w:t> </w:t>
            </w:r>
          </w:p>
        </w:tc>
        <w:tc>
          <w:tcPr>
            <w:tcW w:w="1134" w:type="dxa"/>
            <w:tcBorders>
              <w:top w:val="nil"/>
              <w:left w:val="nil"/>
              <w:bottom w:val="nil"/>
              <w:right w:val="nil"/>
            </w:tcBorders>
            <w:shd w:val="clear" w:color="auto" w:fill="auto"/>
            <w:noWrap/>
            <w:vAlign w:val="center"/>
            <w:hideMark/>
          </w:tcPr>
          <w:p w14:paraId="1C96AD00" w14:textId="77777777" w:rsidR="00323E0E" w:rsidRPr="00E43FE4" w:rsidRDefault="00323E0E" w:rsidP="00615B48">
            <w:pPr>
              <w:jc w:val="center"/>
              <w:rPr>
                <w:rFonts w:ascii="Arial" w:hAnsi="Arial" w:cs="Arial"/>
                <w:sz w:val="10"/>
                <w:szCs w:val="10"/>
                <w:lang w:eastAsia="es-AR"/>
              </w:rPr>
            </w:pPr>
            <w:r w:rsidRPr="00E43FE4">
              <w:rPr>
                <w:rFonts w:ascii="Arial" w:hAnsi="Arial" w:cs="Arial"/>
                <w:sz w:val="10"/>
                <w:szCs w:val="10"/>
                <w:lang w:eastAsia="es-AR"/>
              </w:rPr>
              <w:t> </w:t>
            </w:r>
          </w:p>
        </w:tc>
      </w:tr>
      <w:tr w:rsidR="00323E0E" w:rsidRPr="00615B48" w14:paraId="641872A5" w14:textId="77777777" w:rsidTr="00534414">
        <w:trPr>
          <w:trHeight w:val="300"/>
          <w:jc w:val="center"/>
        </w:trPr>
        <w:tc>
          <w:tcPr>
            <w:tcW w:w="4395" w:type="dxa"/>
            <w:tcBorders>
              <w:top w:val="nil"/>
              <w:left w:val="nil"/>
              <w:bottom w:val="nil"/>
              <w:right w:val="nil"/>
            </w:tcBorders>
            <w:shd w:val="clear" w:color="auto" w:fill="auto"/>
            <w:hideMark/>
          </w:tcPr>
          <w:p w14:paraId="35E82F4E" w14:textId="77777777" w:rsidR="00323E0E" w:rsidRPr="00615B48" w:rsidRDefault="00323E0E" w:rsidP="00615B48">
            <w:pPr>
              <w:rPr>
                <w:rFonts w:ascii="Arial" w:hAnsi="Arial" w:cs="Arial"/>
                <w:b/>
                <w:bCs/>
                <w:sz w:val="16"/>
                <w:szCs w:val="16"/>
                <w:lang w:eastAsia="es-AR"/>
              </w:rPr>
            </w:pPr>
            <w:r w:rsidRPr="00615B48">
              <w:rPr>
                <w:rFonts w:ascii="Arial" w:hAnsi="Arial" w:cs="Arial"/>
                <w:b/>
                <w:bCs/>
                <w:sz w:val="16"/>
                <w:szCs w:val="16"/>
                <w:lang w:eastAsia="es-AR"/>
              </w:rPr>
              <w:t>ACTIVO</w:t>
            </w:r>
          </w:p>
        </w:tc>
        <w:tc>
          <w:tcPr>
            <w:tcW w:w="850" w:type="dxa"/>
            <w:tcBorders>
              <w:top w:val="nil"/>
              <w:left w:val="nil"/>
              <w:bottom w:val="nil"/>
              <w:right w:val="nil"/>
            </w:tcBorders>
            <w:shd w:val="clear" w:color="auto" w:fill="auto"/>
            <w:noWrap/>
            <w:hideMark/>
          </w:tcPr>
          <w:p w14:paraId="276BA3EC" w14:textId="77777777" w:rsidR="00323E0E" w:rsidRPr="00615B48" w:rsidRDefault="00323E0E" w:rsidP="00615B48">
            <w:pPr>
              <w:jc w:val="center"/>
              <w:rPr>
                <w:rFonts w:ascii="Arial" w:hAnsi="Arial" w:cs="Arial"/>
                <w:b/>
                <w:bCs/>
                <w:sz w:val="16"/>
                <w:szCs w:val="16"/>
                <w:lang w:eastAsia="es-AR"/>
              </w:rPr>
            </w:pPr>
          </w:p>
        </w:tc>
        <w:tc>
          <w:tcPr>
            <w:tcW w:w="1276" w:type="dxa"/>
            <w:tcBorders>
              <w:top w:val="nil"/>
              <w:left w:val="nil"/>
              <w:bottom w:val="nil"/>
              <w:right w:val="nil"/>
            </w:tcBorders>
            <w:shd w:val="clear" w:color="auto" w:fill="auto"/>
            <w:noWrap/>
            <w:hideMark/>
          </w:tcPr>
          <w:p w14:paraId="677C4D61" w14:textId="77777777" w:rsidR="00323E0E" w:rsidRPr="00615B48" w:rsidRDefault="00323E0E" w:rsidP="00615B48">
            <w:pPr>
              <w:rPr>
                <w:rFonts w:ascii="Arial" w:hAnsi="Arial" w:cs="Arial"/>
                <w:sz w:val="16"/>
                <w:szCs w:val="16"/>
                <w:lang w:eastAsia="es-AR"/>
              </w:rPr>
            </w:pPr>
          </w:p>
        </w:tc>
        <w:tc>
          <w:tcPr>
            <w:tcW w:w="1134" w:type="dxa"/>
            <w:tcBorders>
              <w:top w:val="nil"/>
              <w:left w:val="nil"/>
              <w:bottom w:val="nil"/>
              <w:right w:val="nil"/>
            </w:tcBorders>
            <w:shd w:val="clear" w:color="auto" w:fill="auto"/>
            <w:noWrap/>
            <w:hideMark/>
          </w:tcPr>
          <w:p w14:paraId="26B1685E" w14:textId="77777777" w:rsidR="00323E0E" w:rsidRPr="00615B48" w:rsidRDefault="00323E0E" w:rsidP="00615B48">
            <w:pPr>
              <w:rPr>
                <w:rFonts w:ascii="Arial" w:hAnsi="Arial" w:cs="Arial"/>
                <w:sz w:val="16"/>
                <w:szCs w:val="16"/>
                <w:lang w:eastAsia="es-AR"/>
              </w:rPr>
            </w:pPr>
          </w:p>
        </w:tc>
      </w:tr>
      <w:tr w:rsidR="000C1442" w:rsidRPr="00615B48" w14:paraId="3C2406C1" w14:textId="77777777" w:rsidTr="002E1AF6">
        <w:trPr>
          <w:trHeight w:val="300"/>
          <w:jc w:val="center"/>
        </w:trPr>
        <w:tc>
          <w:tcPr>
            <w:tcW w:w="4395" w:type="dxa"/>
            <w:tcBorders>
              <w:top w:val="nil"/>
              <w:left w:val="nil"/>
              <w:bottom w:val="nil"/>
              <w:right w:val="nil"/>
            </w:tcBorders>
            <w:shd w:val="clear" w:color="auto" w:fill="auto"/>
            <w:vAlign w:val="bottom"/>
            <w:hideMark/>
          </w:tcPr>
          <w:p w14:paraId="18F30952" w14:textId="13BCE5F0"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Efectivo y Depósitos en Bancos </w:t>
            </w:r>
          </w:p>
        </w:tc>
        <w:tc>
          <w:tcPr>
            <w:tcW w:w="850" w:type="dxa"/>
            <w:tcBorders>
              <w:top w:val="nil"/>
              <w:left w:val="nil"/>
              <w:bottom w:val="nil"/>
              <w:right w:val="nil"/>
            </w:tcBorders>
            <w:shd w:val="clear" w:color="auto" w:fill="auto"/>
            <w:vAlign w:val="bottom"/>
            <w:hideMark/>
          </w:tcPr>
          <w:p w14:paraId="3EB95F6A" w14:textId="3EDE04AC" w:rsidR="000C1442" w:rsidRPr="00615B48" w:rsidRDefault="000C1442" w:rsidP="000C1442">
            <w:pPr>
              <w:jc w:val="center"/>
              <w:rPr>
                <w:rFonts w:ascii="Arial" w:hAnsi="Arial" w:cs="Arial"/>
                <w:sz w:val="16"/>
                <w:szCs w:val="16"/>
                <w:lang w:eastAsia="es-AR"/>
              </w:rPr>
            </w:pPr>
            <w:r>
              <w:rPr>
                <w:rFonts w:ascii="Arial" w:hAnsi="Arial" w:cs="Arial"/>
                <w:sz w:val="16"/>
                <w:szCs w:val="16"/>
                <w:lang w:eastAsia="es-AR"/>
              </w:rPr>
              <w:t>1.4</w:t>
            </w:r>
          </w:p>
        </w:tc>
        <w:tc>
          <w:tcPr>
            <w:tcW w:w="1276" w:type="dxa"/>
            <w:tcBorders>
              <w:top w:val="nil"/>
              <w:left w:val="nil"/>
              <w:bottom w:val="nil"/>
              <w:right w:val="nil"/>
            </w:tcBorders>
            <w:shd w:val="clear" w:color="auto" w:fill="auto"/>
            <w:noWrap/>
            <w:vAlign w:val="bottom"/>
          </w:tcPr>
          <w:p w14:paraId="688E2A11" w14:textId="6C3631AC" w:rsidR="000C1442" w:rsidRPr="001F4301" w:rsidRDefault="000C1442">
            <w:pPr>
              <w:jc w:val="right"/>
              <w:rPr>
                <w:rFonts w:ascii="Arial" w:hAnsi="Arial" w:cs="Arial"/>
                <w:sz w:val="16"/>
                <w:szCs w:val="16"/>
              </w:rPr>
            </w:pPr>
            <w:r w:rsidRPr="001F4301">
              <w:rPr>
                <w:rFonts w:ascii="Arial" w:hAnsi="Arial" w:cs="Arial"/>
                <w:sz w:val="16"/>
                <w:szCs w:val="16"/>
              </w:rPr>
              <w:t>35.320.030</w:t>
            </w:r>
          </w:p>
        </w:tc>
        <w:tc>
          <w:tcPr>
            <w:tcW w:w="1134" w:type="dxa"/>
            <w:tcBorders>
              <w:top w:val="nil"/>
              <w:left w:val="nil"/>
              <w:bottom w:val="nil"/>
              <w:right w:val="nil"/>
            </w:tcBorders>
            <w:shd w:val="clear" w:color="auto" w:fill="auto"/>
            <w:noWrap/>
            <w:vAlign w:val="bottom"/>
          </w:tcPr>
          <w:p w14:paraId="30F0AFBC" w14:textId="69C1F4D1" w:rsidR="000C1442" w:rsidRPr="001F4301" w:rsidRDefault="000C1442">
            <w:pPr>
              <w:jc w:val="right"/>
              <w:rPr>
                <w:rFonts w:ascii="Arial" w:hAnsi="Arial" w:cs="Arial"/>
                <w:sz w:val="16"/>
                <w:szCs w:val="16"/>
                <w:lang w:eastAsia="es-AR"/>
              </w:rPr>
            </w:pPr>
            <w:r w:rsidRPr="001F4301">
              <w:rPr>
                <w:rFonts w:ascii="Arial" w:hAnsi="Arial" w:cs="Arial"/>
                <w:sz w:val="16"/>
                <w:szCs w:val="16"/>
              </w:rPr>
              <w:t>27.848.009</w:t>
            </w:r>
          </w:p>
        </w:tc>
      </w:tr>
      <w:tr w:rsidR="000C1442" w:rsidRPr="00615B48" w14:paraId="6432AE01" w14:textId="77777777" w:rsidTr="002E1AF6">
        <w:trPr>
          <w:trHeight w:val="300"/>
          <w:jc w:val="center"/>
        </w:trPr>
        <w:tc>
          <w:tcPr>
            <w:tcW w:w="4395" w:type="dxa"/>
            <w:tcBorders>
              <w:top w:val="nil"/>
              <w:left w:val="nil"/>
              <w:bottom w:val="nil"/>
              <w:right w:val="nil"/>
            </w:tcBorders>
            <w:shd w:val="clear" w:color="auto" w:fill="auto"/>
            <w:vAlign w:val="bottom"/>
            <w:hideMark/>
          </w:tcPr>
          <w:p w14:paraId="4D23E890"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Efectivo</w:t>
            </w:r>
          </w:p>
        </w:tc>
        <w:tc>
          <w:tcPr>
            <w:tcW w:w="850" w:type="dxa"/>
            <w:tcBorders>
              <w:top w:val="nil"/>
              <w:left w:val="nil"/>
              <w:bottom w:val="nil"/>
              <w:right w:val="nil"/>
            </w:tcBorders>
            <w:shd w:val="clear" w:color="auto" w:fill="auto"/>
            <w:vAlign w:val="bottom"/>
            <w:hideMark/>
          </w:tcPr>
          <w:p w14:paraId="759DBCF8" w14:textId="77777777" w:rsidR="000C1442" w:rsidRPr="00615B48" w:rsidRDefault="000C1442" w:rsidP="000C1442">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F675C12" w14:textId="761C8B4B" w:rsidR="000C1442" w:rsidRPr="001F4301" w:rsidRDefault="000C1442">
            <w:pPr>
              <w:jc w:val="right"/>
              <w:rPr>
                <w:rFonts w:ascii="Arial" w:hAnsi="Arial" w:cs="Arial"/>
                <w:sz w:val="16"/>
                <w:szCs w:val="16"/>
              </w:rPr>
            </w:pPr>
            <w:r w:rsidRPr="001F4301">
              <w:rPr>
                <w:rFonts w:ascii="Arial" w:hAnsi="Arial" w:cs="Arial"/>
                <w:sz w:val="16"/>
                <w:szCs w:val="16"/>
              </w:rPr>
              <w:t>9.538.285</w:t>
            </w:r>
          </w:p>
        </w:tc>
        <w:tc>
          <w:tcPr>
            <w:tcW w:w="1134" w:type="dxa"/>
            <w:tcBorders>
              <w:top w:val="nil"/>
              <w:left w:val="nil"/>
              <w:bottom w:val="nil"/>
              <w:right w:val="nil"/>
            </w:tcBorders>
            <w:shd w:val="clear" w:color="auto" w:fill="auto"/>
            <w:noWrap/>
            <w:vAlign w:val="bottom"/>
          </w:tcPr>
          <w:p w14:paraId="7B44009E" w14:textId="50D9F54E" w:rsidR="000C1442" w:rsidRPr="001F4301" w:rsidRDefault="000C1442">
            <w:pPr>
              <w:jc w:val="right"/>
              <w:rPr>
                <w:rFonts w:ascii="Arial" w:hAnsi="Arial" w:cs="Arial"/>
                <w:sz w:val="16"/>
                <w:szCs w:val="16"/>
                <w:lang w:eastAsia="es-AR"/>
              </w:rPr>
            </w:pPr>
            <w:r w:rsidRPr="001F4301">
              <w:rPr>
                <w:rFonts w:ascii="Arial" w:hAnsi="Arial" w:cs="Arial"/>
                <w:sz w:val="16"/>
                <w:szCs w:val="16"/>
              </w:rPr>
              <w:t>9.373.745</w:t>
            </w:r>
          </w:p>
        </w:tc>
      </w:tr>
      <w:tr w:rsidR="000C1442" w:rsidRPr="00615B48" w14:paraId="2665D219" w14:textId="77777777" w:rsidTr="002E1AF6">
        <w:trPr>
          <w:trHeight w:val="300"/>
          <w:jc w:val="center"/>
        </w:trPr>
        <w:tc>
          <w:tcPr>
            <w:tcW w:w="4395" w:type="dxa"/>
            <w:tcBorders>
              <w:top w:val="nil"/>
              <w:left w:val="nil"/>
              <w:bottom w:val="nil"/>
              <w:right w:val="nil"/>
            </w:tcBorders>
            <w:shd w:val="clear" w:color="auto" w:fill="auto"/>
            <w:vAlign w:val="bottom"/>
            <w:hideMark/>
          </w:tcPr>
          <w:p w14:paraId="074A53E1"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Entidades Financieras y corresponsales</w:t>
            </w:r>
          </w:p>
        </w:tc>
        <w:tc>
          <w:tcPr>
            <w:tcW w:w="850" w:type="dxa"/>
            <w:tcBorders>
              <w:top w:val="nil"/>
              <w:left w:val="nil"/>
              <w:bottom w:val="nil"/>
              <w:right w:val="nil"/>
            </w:tcBorders>
            <w:shd w:val="clear" w:color="auto" w:fill="auto"/>
            <w:vAlign w:val="bottom"/>
            <w:hideMark/>
          </w:tcPr>
          <w:p w14:paraId="49808759" w14:textId="77777777" w:rsidR="000C1442" w:rsidRPr="00615B48" w:rsidRDefault="000C1442" w:rsidP="000C1442">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62D54C67" w14:textId="4018A72B" w:rsidR="000C1442" w:rsidRPr="001F4301" w:rsidRDefault="000C1442">
            <w:pPr>
              <w:jc w:val="right"/>
              <w:rPr>
                <w:rFonts w:ascii="Arial" w:hAnsi="Arial" w:cs="Arial"/>
                <w:sz w:val="16"/>
                <w:szCs w:val="16"/>
              </w:rPr>
            </w:pPr>
            <w:r w:rsidRPr="001F4301">
              <w:rPr>
                <w:rFonts w:ascii="Arial" w:hAnsi="Arial" w:cs="Arial"/>
                <w:sz w:val="16"/>
                <w:szCs w:val="16"/>
              </w:rPr>
              <w:t> </w:t>
            </w:r>
          </w:p>
        </w:tc>
        <w:tc>
          <w:tcPr>
            <w:tcW w:w="1134" w:type="dxa"/>
            <w:tcBorders>
              <w:top w:val="nil"/>
              <w:left w:val="nil"/>
              <w:bottom w:val="nil"/>
              <w:right w:val="nil"/>
            </w:tcBorders>
            <w:shd w:val="clear" w:color="auto" w:fill="auto"/>
            <w:noWrap/>
            <w:vAlign w:val="bottom"/>
          </w:tcPr>
          <w:p w14:paraId="2BE0FAEA" w14:textId="54A48315" w:rsidR="000C1442" w:rsidRPr="001F4301" w:rsidRDefault="000C1442">
            <w:pPr>
              <w:jc w:val="right"/>
              <w:rPr>
                <w:rFonts w:ascii="Arial" w:hAnsi="Arial" w:cs="Arial"/>
                <w:sz w:val="16"/>
                <w:szCs w:val="16"/>
                <w:lang w:eastAsia="es-AR"/>
              </w:rPr>
            </w:pPr>
            <w:r w:rsidRPr="001F4301">
              <w:rPr>
                <w:rFonts w:ascii="Arial" w:hAnsi="Arial" w:cs="Arial"/>
                <w:sz w:val="16"/>
                <w:szCs w:val="16"/>
              </w:rPr>
              <w:t> </w:t>
            </w:r>
          </w:p>
        </w:tc>
      </w:tr>
      <w:tr w:rsidR="000C1442" w:rsidRPr="00615B48" w14:paraId="0B889452" w14:textId="77777777" w:rsidTr="002E1AF6">
        <w:trPr>
          <w:trHeight w:val="300"/>
          <w:jc w:val="center"/>
        </w:trPr>
        <w:tc>
          <w:tcPr>
            <w:tcW w:w="4395" w:type="dxa"/>
            <w:tcBorders>
              <w:top w:val="nil"/>
              <w:left w:val="nil"/>
              <w:bottom w:val="nil"/>
              <w:right w:val="nil"/>
            </w:tcBorders>
            <w:shd w:val="clear" w:color="auto" w:fill="auto"/>
            <w:vAlign w:val="bottom"/>
            <w:hideMark/>
          </w:tcPr>
          <w:p w14:paraId="2B39D0A4" w14:textId="77777777" w:rsidR="000C1442" w:rsidRPr="00615B48" w:rsidRDefault="000C1442" w:rsidP="000C1442">
            <w:pPr>
              <w:ind w:firstLineChars="500" w:firstLine="800"/>
              <w:rPr>
                <w:rFonts w:ascii="Arial" w:hAnsi="Arial" w:cs="Arial"/>
                <w:sz w:val="16"/>
                <w:szCs w:val="16"/>
                <w:lang w:eastAsia="es-AR"/>
              </w:rPr>
            </w:pPr>
            <w:r w:rsidRPr="00615B48">
              <w:rPr>
                <w:rFonts w:ascii="Arial" w:hAnsi="Arial" w:cs="Arial"/>
                <w:sz w:val="16"/>
                <w:szCs w:val="16"/>
                <w:lang w:eastAsia="es-AR"/>
              </w:rPr>
              <w:t>BCRA</w:t>
            </w:r>
          </w:p>
        </w:tc>
        <w:tc>
          <w:tcPr>
            <w:tcW w:w="850" w:type="dxa"/>
            <w:tcBorders>
              <w:top w:val="nil"/>
              <w:left w:val="nil"/>
              <w:bottom w:val="nil"/>
              <w:right w:val="nil"/>
            </w:tcBorders>
            <w:shd w:val="clear" w:color="auto" w:fill="auto"/>
            <w:vAlign w:val="bottom"/>
            <w:hideMark/>
          </w:tcPr>
          <w:p w14:paraId="6405E8F6" w14:textId="77777777" w:rsidR="000C1442" w:rsidRPr="00615B48" w:rsidRDefault="000C1442" w:rsidP="000C1442">
            <w:pPr>
              <w:ind w:firstLineChars="500" w:firstLine="80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51C706D9" w14:textId="0CD1FE42" w:rsidR="000C1442" w:rsidRPr="001F4301" w:rsidRDefault="000C1442">
            <w:pPr>
              <w:jc w:val="right"/>
              <w:rPr>
                <w:rFonts w:ascii="Arial" w:hAnsi="Arial" w:cs="Arial"/>
                <w:sz w:val="16"/>
                <w:szCs w:val="16"/>
              </w:rPr>
            </w:pPr>
            <w:r w:rsidRPr="001F4301">
              <w:rPr>
                <w:rFonts w:ascii="Arial" w:hAnsi="Arial" w:cs="Arial"/>
                <w:sz w:val="16"/>
                <w:szCs w:val="16"/>
              </w:rPr>
              <w:t>24.344.521</w:t>
            </w:r>
          </w:p>
        </w:tc>
        <w:tc>
          <w:tcPr>
            <w:tcW w:w="1134" w:type="dxa"/>
            <w:tcBorders>
              <w:top w:val="nil"/>
              <w:left w:val="nil"/>
              <w:bottom w:val="nil"/>
              <w:right w:val="nil"/>
            </w:tcBorders>
            <w:shd w:val="clear" w:color="auto" w:fill="auto"/>
            <w:noWrap/>
            <w:vAlign w:val="bottom"/>
          </w:tcPr>
          <w:p w14:paraId="5B5E98BC" w14:textId="46459CFD" w:rsidR="000C1442" w:rsidRPr="001F4301" w:rsidRDefault="000C1442">
            <w:pPr>
              <w:jc w:val="right"/>
              <w:rPr>
                <w:rFonts w:ascii="Arial" w:hAnsi="Arial" w:cs="Arial"/>
                <w:sz w:val="16"/>
                <w:szCs w:val="16"/>
                <w:lang w:eastAsia="es-AR"/>
              </w:rPr>
            </w:pPr>
            <w:r w:rsidRPr="001F4301">
              <w:rPr>
                <w:rFonts w:ascii="Arial" w:hAnsi="Arial" w:cs="Arial"/>
                <w:sz w:val="16"/>
                <w:szCs w:val="16"/>
              </w:rPr>
              <w:t>17.169.668</w:t>
            </w:r>
          </w:p>
        </w:tc>
      </w:tr>
      <w:tr w:rsidR="000C1442" w:rsidRPr="00615B48" w14:paraId="27B14C17" w14:textId="77777777" w:rsidTr="002E1AF6">
        <w:trPr>
          <w:trHeight w:val="300"/>
          <w:jc w:val="center"/>
        </w:trPr>
        <w:tc>
          <w:tcPr>
            <w:tcW w:w="4395" w:type="dxa"/>
            <w:tcBorders>
              <w:top w:val="nil"/>
              <w:left w:val="nil"/>
              <w:bottom w:val="nil"/>
              <w:right w:val="nil"/>
            </w:tcBorders>
            <w:shd w:val="clear" w:color="auto" w:fill="auto"/>
            <w:vAlign w:val="bottom"/>
            <w:hideMark/>
          </w:tcPr>
          <w:p w14:paraId="11AECB9C" w14:textId="77777777" w:rsidR="000C1442" w:rsidRPr="00615B48" w:rsidRDefault="000C1442" w:rsidP="000C1442">
            <w:pPr>
              <w:ind w:firstLineChars="500" w:firstLine="800"/>
              <w:rPr>
                <w:rFonts w:ascii="Arial" w:hAnsi="Arial" w:cs="Arial"/>
                <w:sz w:val="16"/>
                <w:szCs w:val="16"/>
                <w:lang w:eastAsia="es-AR"/>
              </w:rPr>
            </w:pPr>
            <w:r w:rsidRPr="00615B48">
              <w:rPr>
                <w:rFonts w:ascii="Arial" w:hAnsi="Arial" w:cs="Arial"/>
                <w:sz w:val="16"/>
                <w:szCs w:val="16"/>
                <w:lang w:eastAsia="es-AR"/>
              </w:rPr>
              <w:t>Otras del país y del exterior</w:t>
            </w:r>
          </w:p>
        </w:tc>
        <w:tc>
          <w:tcPr>
            <w:tcW w:w="850" w:type="dxa"/>
            <w:tcBorders>
              <w:top w:val="nil"/>
              <w:left w:val="nil"/>
              <w:bottom w:val="nil"/>
              <w:right w:val="nil"/>
            </w:tcBorders>
            <w:shd w:val="clear" w:color="auto" w:fill="auto"/>
            <w:vAlign w:val="bottom"/>
            <w:hideMark/>
          </w:tcPr>
          <w:p w14:paraId="79C5CD86" w14:textId="77777777" w:rsidR="000C1442" w:rsidRPr="00615B48" w:rsidRDefault="000C1442" w:rsidP="000C1442">
            <w:pPr>
              <w:ind w:firstLineChars="500" w:firstLine="80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46A942D" w14:textId="6F13D116" w:rsidR="000C1442" w:rsidRPr="001F4301" w:rsidRDefault="000C1442">
            <w:pPr>
              <w:jc w:val="right"/>
              <w:rPr>
                <w:rFonts w:ascii="Arial" w:hAnsi="Arial" w:cs="Arial"/>
                <w:sz w:val="16"/>
                <w:szCs w:val="16"/>
              </w:rPr>
            </w:pPr>
            <w:r w:rsidRPr="001F4301">
              <w:rPr>
                <w:rFonts w:ascii="Arial" w:hAnsi="Arial" w:cs="Arial"/>
                <w:sz w:val="16"/>
                <w:szCs w:val="16"/>
              </w:rPr>
              <w:t>1.410.949</w:t>
            </w:r>
          </w:p>
        </w:tc>
        <w:tc>
          <w:tcPr>
            <w:tcW w:w="1134" w:type="dxa"/>
            <w:tcBorders>
              <w:top w:val="nil"/>
              <w:left w:val="nil"/>
              <w:bottom w:val="nil"/>
              <w:right w:val="nil"/>
            </w:tcBorders>
            <w:shd w:val="clear" w:color="auto" w:fill="auto"/>
            <w:noWrap/>
            <w:vAlign w:val="bottom"/>
          </w:tcPr>
          <w:p w14:paraId="77C35DFB" w14:textId="77A46003" w:rsidR="000C1442" w:rsidRPr="001F4301" w:rsidRDefault="000C1442">
            <w:pPr>
              <w:jc w:val="right"/>
              <w:rPr>
                <w:rFonts w:ascii="Arial" w:hAnsi="Arial" w:cs="Arial"/>
                <w:sz w:val="16"/>
                <w:szCs w:val="16"/>
                <w:lang w:eastAsia="es-AR"/>
              </w:rPr>
            </w:pPr>
            <w:r w:rsidRPr="001F4301">
              <w:rPr>
                <w:rFonts w:ascii="Arial" w:hAnsi="Arial" w:cs="Arial"/>
                <w:sz w:val="16"/>
                <w:szCs w:val="16"/>
              </w:rPr>
              <w:t>1.272.353</w:t>
            </w:r>
          </w:p>
        </w:tc>
      </w:tr>
      <w:tr w:rsidR="000C1442" w:rsidRPr="00615B48" w14:paraId="313F4A12" w14:textId="77777777" w:rsidTr="002E1AF6">
        <w:trPr>
          <w:trHeight w:val="300"/>
          <w:jc w:val="center"/>
        </w:trPr>
        <w:tc>
          <w:tcPr>
            <w:tcW w:w="4395" w:type="dxa"/>
            <w:tcBorders>
              <w:top w:val="nil"/>
              <w:left w:val="nil"/>
              <w:bottom w:val="nil"/>
              <w:right w:val="nil"/>
            </w:tcBorders>
            <w:shd w:val="clear" w:color="auto" w:fill="auto"/>
            <w:vAlign w:val="bottom"/>
            <w:hideMark/>
          </w:tcPr>
          <w:p w14:paraId="57C0CD25"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Otros</w:t>
            </w:r>
          </w:p>
        </w:tc>
        <w:tc>
          <w:tcPr>
            <w:tcW w:w="850" w:type="dxa"/>
            <w:tcBorders>
              <w:top w:val="nil"/>
              <w:left w:val="nil"/>
              <w:bottom w:val="nil"/>
              <w:right w:val="nil"/>
            </w:tcBorders>
            <w:shd w:val="clear" w:color="auto" w:fill="auto"/>
            <w:vAlign w:val="bottom"/>
            <w:hideMark/>
          </w:tcPr>
          <w:p w14:paraId="1A8AE686" w14:textId="77777777" w:rsidR="000C1442" w:rsidRPr="00615B48" w:rsidRDefault="000C1442" w:rsidP="000C1442">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5DBA739A" w14:textId="66493226" w:rsidR="000C1442" w:rsidRPr="001F4301" w:rsidRDefault="000C1442">
            <w:pPr>
              <w:jc w:val="right"/>
              <w:rPr>
                <w:rFonts w:ascii="Arial" w:hAnsi="Arial" w:cs="Arial"/>
                <w:sz w:val="16"/>
                <w:szCs w:val="16"/>
              </w:rPr>
            </w:pPr>
            <w:r w:rsidRPr="001F4301">
              <w:rPr>
                <w:rFonts w:ascii="Arial" w:hAnsi="Arial" w:cs="Arial"/>
                <w:sz w:val="16"/>
                <w:szCs w:val="16"/>
              </w:rPr>
              <w:t>26.275</w:t>
            </w:r>
          </w:p>
        </w:tc>
        <w:tc>
          <w:tcPr>
            <w:tcW w:w="1134" w:type="dxa"/>
            <w:tcBorders>
              <w:top w:val="nil"/>
              <w:left w:val="nil"/>
              <w:bottom w:val="nil"/>
              <w:right w:val="nil"/>
            </w:tcBorders>
            <w:shd w:val="clear" w:color="auto" w:fill="auto"/>
            <w:noWrap/>
            <w:vAlign w:val="bottom"/>
          </w:tcPr>
          <w:p w14:paraId="54F1BB61" w14:textId="78044594" w:rsidR="000C1442" w:rsidRPr="001F4301" w:rsidRDefault="000C1442">
            <w:pPr>
              <w:jc w:val="right"/>
              <w:rPr>
                <w:rFonts w:ascii="Arial" w:hAnsi="Arial" w:cs="Arial"/>
                <w:sz w:val="16"/>
                <w:szCs w:val="16"/>
                <w:lang w:eastAsia="es-AR"/>
              </w:rPr>
            </w:pPr>
            <w:r w:rsidRPr="001F4301">
              <w:rPr>
                <w:rFonts w:ascii="Arial" w:hAnsi="Arial" w:cs="Arial"/>
                <w:sz w:val="16"/>
                <w:szCs w:val="16"/>
              </w:rPr>
              <w:t>32.243</w:t>
            </w:r>
          </w:p>
        </w:tc>
      </w:tr>
      <w:tr w:rsidR="000C1442" w:rsidRPr="00615B48" w14:paraId="5B670D0B" w14:textId="77777777" w:rsidTr="002E1AF6">
        <w:trPr>
          <w:trHeight w:val="510"/>
          <w:jc w:val="center"/>
        </w:trPr>
        <w:tc>
          <w:tcPr>
            <w:tcW w:w="4395" w:type="dxa"/>
            <w:tcBorders>
              <w:top w:val="nil"/>
              <w:left w:val="nil"/>
              <w:bottom w:val="nil"/>
              <w:right w:val="nil"/>
            </w:tcBorders>
            <w:shd w:val="clear" w:color="auto" w:fill="auto"/>
            <w:vAlign w:val="bottom"/>
            <w:hideMark/>
          </w:tcPr>
          <w:p w14:paraId="64095D5E" w14:textId="070E9C4D"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Títulos de deuda a valor razonable con cambios en resultados </w:t>
            </w:r>
          </w:p>
        </w:tc>
        <w:tc>
          <w:tcPr>
            <w:tcW w:w="850" w:type="dxa"/>
            <w:tcBorders>
              <w:top w:val="nil"/>
              <w:left w:val="nil"/>
              <w:bottom w:val="nil"/>
              <w:right w:val="nil"/>
            </w:tcBorders>
            <w:shd w:val="clear" w:color="auto" w:fill="auto"/>
            <w:vAlign w:val="bottom"/>
            <w:hideMark/>
          </w:tcPr>
          <w:p w14:paraId="564FCE44" w14:textId="656ED453" w:rsidR="000C1442" w:rsidRPr="00615B48" w:rsidRDefault="000C1442" w:rsidP="000C1442">
            <w:pPr>
              <w:jc w:val="center"/>
              <w:rPr>
                <w:rFonts w:ascii="Arial" w:hAnsi="Arial" w:cs="Arial"/>
                <w:sz w:val="16"/>
                <w:szCs w:val="16"/>
                <w:lang w:eastAsia="es-AR"/>
              </w:rPr>
            </w:pPr>
            <w:r>
              <w:rPr>
                <w:rFonts w:ascii="Arial" w:hAnsi="Arial" w:cs="Arial"/>
                <w:sz w:val="16"/>
                <w:szCs w:val="16"/>
                <w:lang w:eastAsia="es-AR"/>
              </w:rPr>
              <w:t>1.4, 4</w:t>
            </w:r>
          </w:p>
        </w:tc>
        <w:tc>
          <w:tcPr>
            <w:tcW w:w="1276" w:type="dxa"/>
            <w:tcBorders>
              <w:top w:val="nil"/>
              <w:left w:val="nil"/>
              <w:bottom w:val="nil"/>
              <w:right w:val="nil"/>
            </w:tcBorders>
            <w:shd w:val="clear" w:color="auto" w:fill="auto"/>
            <w:noWrap/>
            <w:vAlign w:val="bottom"/>
          </w:tcPr>
          <w:p w14:paraId="4EA8EEDA" w14:textId="2115D112" w:rsidR="000C1442" w:rsidRPr="001F4301" w:rsidRDefault="000C1442">
            <w:pPr>
              <w:jc w:val="right"/>
              <w:rPr>
                <w:rFonts w:ascii="Arial" w:hAnsi="Arial" w:cs="Arial"/>
                <w:sz w:val="16"/>
                <w:szCs w:val="16"/>
              </w:rPr>
            </w:pPr>
            <w:r w:rsidRPr="001F4301">
              <w:rPr>
                <w:rFonts w:ascii="Arial" w:hAnsi="Arial" w:cs="Arial"/>
                <w:sz w:val="16"/>
                <w:szCs w:val="16"/>
              </w:rPr>
              <w:t>361.082</w:t>
            </w:r>
          </w:p>
        </w:tc>
        <w:tc>
          <w:tcPr>
            <w:tcW w:w="1134" w:type="dxa"/>
            <w:tcBorders>
              <w:top w:val="nil"/>
              <w:left w:val="nil"/>
              <w:bottom w:val="nil"/>
              <w:right w:val="nil"/>
            </w:tcBorders>
            <w:shd w:val="clear" w:color="auto" w:fill="auto"/>
            <w:noWrap/>
            <w:vAlign w:val="bottom"/>
          </w:tcPr>
          <w:p w14:paraId="41E00D78" w14:textId="56EE2D95" w:rsidR="000C1442" w:rsidRPr="001F4301" w:rsidRDefault="000C1442">
            <w:pPr>
              <w:jc w:val="right"/>
              <w:rPr>
                <w:rFonts w:ascii="Arial" w:hAnsi="Arial" w:cs="Arial"/>
                <w:sz w:val="16"/>
                <w:szCs w:val="16"/>
                <w:lang w:eastAsia="es-AR"/>
              </w:rPr>
            </w:pPr>
            <w:r w:rsidRPr="001F4301">
              <w:rPr>
                <w:rFonts w:ascii="Arial" w:hAnsi="Arial" w:cs="Arial"/>
                <w:sz w:val="16"/>
                <w:szCs w:val="16"/>
              </w:rPr>
              <w:t>436.661</w:t>
            </w:r>
          </w:p>
        </w:tc>
      </w:tr>
      <w:tr w:rsidR="000C1442" w:rsidRPr="00615B48" w14:paraId="1E1D0F81" w14:textId="77777777" w:rsidTr="002E1AF6">
        <w:trPr>
          <w:trHeight w:val="300"/>
          <w:jc w:val="center"/>
        </w:trPr>
        <w:tc>
          <w:tcPr>
            <w:tcW w:w="4395" w:type="dxa"/>
            <w:tcBorders>
              <w:top w:val="nil"/>
              <w:left w:val="nil"/>
              <w:bottom w:val="nil"/>
              <w:right w:val="nil"/>
            </w:tcBorders>
            <w:shd w:val="clear" w:color="auto" w:fill="auto"/>
            <w:vAlign w:val="bottom"/>
            <w:hideMark/>
          </w:tcPr>
          <w:p w14:paraId="1B6C3CA9" w14:textId="2E6A0F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Instrumentos derivados </w:t>
            </w:r>
          </w:p>
        </w:tc>
        <w:tc>
          <w:tcPr>
            <w:tcW w:w="850" w:type="dxa"/>
            <w:tcBorders>
              <w:top w:val="nil"/>
              <w:left w:val="nil"/>
              <w:bottom w:val="nil"/>
              <w:right w:val="nil"/>
            </w:tcBorders>
            <w:shd w:val="clear" w:color="auto" w:fill="auto"/>
            <w:vAlign w:val="bottom"/>
          </w:tcPr>
          <w:p w14:paraId="225FD4D2" w14:textId="35E00E97"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51744352" w14:textId="5D025D47" w:rsidR="000C1442" w:rsidRPr="001F4301" w:rsidRDefault="000C1442">
            <w:pPr>
              <w:jc w:val="right"/>
              <w:rPr>
                <w:rFonts w:ascii="Arial" w:hAnsi="Arial" w:cs="Arial"/>
                <w:sz w:val="16"/>
                <w:szCs w:val="16"/>
              </w:rPr>
            </w:pPr>
            <w:r w:rsidRPr="001F4301">
              <w:rPr>
                <w:rFonts w:ascii="Arial" w:hAnsi="Arial" w:cs="Arial"/>
                <w:sz w:val="16"/>
                <w:szCs w:val="16"/>
              </w:rPr>
              <w:t>143.424</w:t>
            </w:r>
          </w:p>
        </w:tc>
        <w:tc>
          <w:tcPr>
            <w:tcW w:w="1134" w:type="dxa"/>
            <w:tcBorders>
              <w:top w:val="nil"/>
              <w:left w:val="nil"/>
              <w:bottom w:val="nil"/>
              <w:right w:val="nil"/>
            </w:tcBorders>
            <w:shd w:val="clear" w:color="auto" w:fill="auto"/>
            <w:noWrap/>
            <w:vAlign w:val="bottom"/>
          </w:tcPr>
          <w:p w14:paraId="7447821E" w14:textId="0A579FD9" w:rsidR="000C1442" w:rsidRPr="001F4301" w:rsidRDefault="000C1442">
            <w:pPr>
              <w:jc w:val="right"/>
              <w:rPr>
                <w:rFonts w:ascii="Arial" w:hAnsi="Arial" w:cs="Arial"/>
                <w:sz w:val="16"/>
                <w:szCs w:val="16"/>
                <w:lang w:eastAsia="es-AR"/>
              </w:rPr>
            </w:pPr>
            <w:r w:rsidRPr="001F4301">
              <w:rPr>
                <w:rFonts w:ascii="Arial" w:hAnsi="Arial" w:cs="Arial"/>
                <w:sz w:val="16"/>
                <w:szCs w:val="16"/>
              </w:rPr>
              <w:t>277.679</w:t>
            </w:r>
          </w:p>
        </w:tc>
      </w:tr>
      <w:tr w:rsidR="000C1442" w:rsidRPr="00615B48" w14:paraId="666BDC13" w14:textId="77777777" w:rsidTr="002E1AF6">
        <w:trPr>
          <w:trHeight w:val="300"/>
          <w:jc w:val="center"/>
        </w:trPr>
        <w:tc>
          <w:tcPr>
            <w:tcW w:w="4395" w:type="dxa"/>
            <w:tcBorders>
              <w:top w:val="nil"/>
              <w:left w:val="nil"/>
              <w:bottom w:val="nil"/>
              <w:right w:val="nil"/>
            </w:tcBorders>
            <w:shd w:val="clear" w:color="auto" w:fill="auto"/>
            <w:vAlign w:val="bottom"/>
          </w:tcPr>
          <w:p w14:paraId="212A0D71" w14:textId="4A1FE6AB" w:rsidR="000C1442" w:rsidRPr="00615B48" w:rsidRDefault="000C1442" w:rsidP="000C1442">
            <w:pPr>
              <w:rPr>
                <w:rFonts w:ascii="Arial" w:hAnsi="Arial" w:cs="Arial"/>
                <w:sz w:val="16"/>
                <w:szCs w:val="16"/>
                <w:lang w:eastAsia="es-AR"/>
              </w:rPr>
            </w:pPr>
            <w:r>
              <w:rPr>
                <w:rFonts w:ascii="Arial" w:hAnsi="Arial" w:cs="Arial"/>
                <w:sz w:val="16"/>
                <w:szCs w:val="16"/>
                <w:lang w:eastAsia="es-AR"/>
              </w:rPr>
              <w:t>Operaciones de Pase</w:t>
            </w:r>
          </w:p>
        </w:tc>
        <w:tc>
          <w:tcPr>
            <w:tcW w:w="850" w:type="dxa"/>
            <w:tcBorders>
              <w:top w:val="nil"/>
              <w:left w:val="nil"/>
              <w:bottom w:val="nil"/>
              <w:right w:val="nil"/>
            </w:tcBorders>
            <w:shd w:val="clear" w:color="auto" w:fill="auto"/>
            <w:vAlign w:val="bottom"/>
          </w:tcPr>
          <w:p w14:paraId="65526CD5" w14:textId="77777777"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26261DD8" w14:textId="3EC16068" w:rsidR="000C1442" w:rsidRPr="001F4301" w:rsidRDefault="000C1442">
            <w:pPr>
              <w:jc w:val="right"/>
              <w:rPr>
                <w:rFonts w:ascii="Arial" w:hAnsi="Arial" w:cs="Arial"/>
                <w:sz w:val="16"/>
                <w:szCs w:val="16"/>
              </w:rPr>
            </w:pPr>
            <w:r w:rsidRPr="001F4301">
              <w:rPr>
                <w:rFonts w:ascii="Arial" w:hAnsi="Arial" w:cs="Arial"/>
                <w:sz w:val="16"/>
                <w:szCs w:val="16"/>
              </w:rPr>
              <w:t>79.143</w:t>
            </w:r>
          </w:p>
        </w:tc>
        <w:tc>
          <w:tcPr>
            <w:tcW w:w="1134" w:type="dxa"/>
            <w:tcBorders>
              <w:top w:val="nil"/>
              <w:left w:val="nil"/>
              <w:bottom w:val="nil"/>
              <w:right w:val="nil"/>
            </w:tcBorders>
            <w:shd w:val="clear" w:color="auto" w:fill="auto"/>
            <w:noWrap/>
            <w:vAlign w:val="bottom"/>
          </w:tcPr>
          <w:p w14:paraId="1F53A19E" w14:textId="4A46ADAE" w:rsidR="000C1442" w:rsidRPr="001F4301" w:rsidRDefault="000C1442">
            <w:pPr>
              <w:jc w:val="right"/>
              <w:rPr>
                <w:rFonts w:ascii="Arial" w:hAnsi="Arial" w:cs="Arial"/>
                <w:sz w:val="16"/>
                <w:szCs w:val="16"/>
              </w:rPr>
            </w:pPr>
            <w:r w:rsidRPr="001F4301">
              <w:rPr>
                <w:rFonts w:ascii="Arial" w:hAnsi="Arial" w:cs="Arial"/>
                <w:sz w:val="16"/>
                <w:szCs w:val="16"/>
              </w:rPr>
              <w:t>-</w:t>
            </w:r>
          </w:p>
        </w:tc>
      </w:tr>
      <w:tr w:rsidR="000C1442" w:rsidRPr="00615B48" w14:paraId="56C20C6D" w14:textId="77777777" w:rsidTr="002E1AF6">
        <w:trPr>
          <w:trHeight w:val="300"/>
          <w:jc w:val="center"/>
        </w:trPr>
        <w:tc>
          <w:tcPr>
            <w:tcW w:w="4395" w:type="dxa"/>
            <w:tcBorders>
              <w:top w:val="nil"/>
              <w:left w:val="nil"/>
              <w:bottom w:val="nil"/>
              <w:right w:val="nil"/>
            </w:tcBorders>
            <w:shd w:val="clear" w:color="auto" w:fill="auto"/>
            <w:vAlign w:val="bottom"/>
            <w:hideMark/>
          </w:tcPr>
          <w:p w14:paraId="65EB79FE" w14:textId="6F9C7FD5"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Otros activos financieros </w:t>
            </w:r>
          </w:p>
        </w:tc>
        <w:tc>
          <w:tcPr>
            <w:tcW w:w="850" w:type="dxa"/>
            <w:tcBorders>
              <w:top w:val="nil"/>
              <w:left w:val="nil"/>
              <w:bottom w:val="nil"/>
              <w:right w:val="nil"/>
            </w:tcBorders>
            <w:shd w:val="clear" w:color="auto" w:fill="auto"/>
            <w:vAlign w:val="bottom"/>
          </w:tcPr>
          <w:p w14:paraId="15B3E63C" w14:textId="61E10B6F"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19440EC" w14:textId="1B9C5A0A" w:rsidR="000C1442" w:rsidRPr="001F4301" w:rsidRDefault="000C1442">
            <w:pPr>
              <w:jc w:val="right"/>
              <w:rPr>
                <w:rFonts w:ascii="Arial" w:hAnsi="Arial" w:cs="Arial"/>
                <w:sz w:val="16"/>
                <w:szCs w:val="16"/>
              </w:rPr>
            </w:pPr>
            <w:r w:rsidRPr="001F4301">
              <w:rPr>
                <w:rFonts w:ascii="Arial" w:hAnsi="Arial" w:cs="Arial"/>
                <w:sz w:val="16"/>
                <w:szCs w:val="16"/>
              </w:rPr>
              <w:t>1.282.944</w:t>
            </w:r>
          </w:p>
        </w:tc>
        <w:tc>
          <w:tcPr>
            <w:tcW w:w="1134" w:type="dxa"/>
            <w:tcBorders>
              <w:top w:val="nil"/>
              <w:left w:val="nil"/>
              <w:bottom w:val="nil"/>
              <w:right w:val="nil"/>
            </w:tcBorders>
            <w:shd w:val="clear" w:color="auto" w:fill="auto"/>
            <w:noWrap/>
            <w:vAlign w:val="bottom"/>
          </w:tcPr>
          <w:p w14:paraId="1F8B6F42" w14:textId="1FEC193C" w:rsidR="000C1442" w:rsidRPr="001F4301" w:rsidRDefault="000C1442">
            <w:pPr>
              <w:jc w:val="right"/>
              <w:rPr>
                <w:rFonts w:ascii="Arial" w:hAnsi="Arial" w:cs="Arial"/>
                <w:sz w:val="16"/>
                <w:szCs w:val="16"/>
                <w:lang w:eastAsia="es-AR"/>
              </w:rPr>
            </w:pPr>
            <w:r w:rsidRPr="001F4301">
              <w:rPr>
                <w:rFonts w:ascii="Arial" w:hAnsi="Arial" w:cs="Arial"/>
                <w:sz w:val="16"/>
                <w:szCs w:val="16"/>
              </w:rPr>
              <w:t>1.013.161</w:t>
            </w:r>
          </w:p>
        </w:tc>
      </w:tr>
      <w:tr w:rsidR="000C1442" w:rsidRPr="00615B48" w14:paraId="40785C64" w14:textId="77777777" w:rsidTr="002E1AF6">
        <w:trPr>
          <w:trHeight w:val="300"/>
          <w:jc w:val="center"/>
        </w:trPr>
        <w:tc>
          <w:tcPr>
            <w:tcW w:w="4395" w:type="dxa"/>
            <w:tcBorders>
              <w:top w:val="nil"/>
              <w:left w:val="nil"/>
              <w:bottom w:val="nil"/>
              <w:right w:val="nil"/>
            </w:tcBorders>
            <w:shd w:val="clear" w:color="auto" w:fill="auto"/>
            <w:vAlign w:val="bottom"/>
            <w:hideMark/>
          </w:tcPr>
          <w:p w14:paraId="6D63A2F6" w14:textId="212F8618"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Préstamos y otras financiaciones </w:t>
            </w:r>
            <w:r w:rsidRPr="00615B48">
              <w:rPr>
                <w:rFonts w:ascii="Arial" w:hAnsi="Arial" w:cs="Arial"/>
                <w:b/>
                <w:bCs/>
                <w:sz w:val="16"/>
                <w:szCs w:val="16"/>
                <w:lang w:eastAsia="es-AR"/>
              </w:rPr>
              <w:t xml:space="preserve">(Anexo </w:t>
            </w:r>
            <w:r>
              <w:rPr>
                <w:rFonts w:ascii="Arial" w:hAnsi="Arial" w:cs="Arial"/>
                <w:b/>
                <w:bCs/>
                <w:sz w:val="16"/>
                <w:szCs w:val="16"/>
                <w:lang w:eastAsia="es-AR"/>
              </w:rPr>
              <w:t xml:space="preserve">B, C y </w:t>
            </w:r>
            <w:r w:rsidRPr="00615B48">
              <w:rPr>
                <w:rFonts w:ascii="Arial" w:hAnsi="Arial" w:cs="Arial"/>
                <w:b/>
                <w:bCs/>
                <w:sz w:val="16"/>
                <w:szCs w:val="16"/>
                <w:lang w:eastAsia="es-AR"/>
              </w:rPr>
              <w:t>D)</w:t>
            </w:r>
          </w:p>
        </w:tc>
        <w:tc>
          <w:tcPr>
            <w:tcW w:w="850" w:type="dxa"/>
            <w:tcBorders>
              <w:top w:val="nil"/>
              <w:left w:val="nil"/>
              <w:bottom w:val="nil"/>
              <w:right w:val="nil"/>
            </w:tcBorders>
            <w:shd w:val="clear" w:color="auto" w:fill="auto"/>
            <w:vAlign w:val="bottom"/>
          </w:tcPr>
          <w:p w14:paraId="226FB0C1" w14:textId="09ED8154"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1DC997B" w14:textId="5836E675" w:rsidR="000C1442" w:rsidRPr="001F4301" w:rsidRDefault="000C1442">
            <w:pPr>
              <w:jc w:val="right"/>
              <w:rPr>
                <w:rFonts w:ascii="Arial" w:hAnsi="Arial" w:cs="Arial"/>
                <w:sz w:val="16"/>
                <w:szCs w:val="16"/>
              </w:rPr>
            </w:pPr>
            <w:r w:rsidRPr="001F4301">
              <w:rPr>
                <w:rFonts w:ascii="Arial" w:hAnsi="Arial" w:cs="Arial"/>
                <w:sz w:val="16"/>
                <w:szCs w:val="16"/>
              </w:rPr>
              <w:t>88.212.159</w:t>
            </w:r>
          </w:p>
        </w:tc>
        <w:tc>
          <w:tcPr>
            <w:tcW w:w="1134" w:type="dxa"/>
            <w:tcBorders>
              <w:top w:val="nil"/>
              <w:left w:val="nil"/>
              <w:bottom w:val="nil"/>
              <w:right w:val="nil"/>
            </w:tcBorders>
            <w:shd w:val="clear" w:color="auto" w:fill="auto"/>
            <w:noWrap/>
            <w:vAlign w:val="bottom"/>
          </w:tcPr>
          <w:p w14:paraId="76F8D474" w14:textId="320CECD5" w:rsidR="000C1442" w:rsidRPr="001F4301" w:rsidRDefault="000C1442">
            <w:pPr>
              <w:jc w:val="right"/>
              <w:rPr>
                <w:rFonts w:ascii="Arial" w:hAnsi="Arial" w:cs="Arial"/>
                <w:sz w:val="16"/>
                <w:szCs w:val="16"/>
                <w:lang w:eastAsia="es-AR"/>
              </w:rPr>
            </w:pPr>
            <w:r w:rsidRPr="001F4301">
              <w:rPr>
                <w:rFonts w:ascii="Arial" w:hAnsi="Arial" w:cs="Arial"/>
                <w:sz w:val="16"/>
                <w:szCs w:val="16"/>
              </w:rPr>
              <w:t>95.275.740</w:t>
            </w:r>
          </w:p>
        </w:tc>
      </w:tr>
      <w:tr w:rsidR="000C1442" w:rsidRPr="00615B48" w14:paraId="70394850" w14:textId="77777777" w:rsidTr="002E1AF6">
        <w:trPr>
          <w:trHeight w:val="300"/>
          <w:jc w:val="center"/>
        </w:trPr>
        <w:tc>
          <w:tcPr>
            <w:tcW w:w="4395" w:type="dxa"/>
            <w:tcBorders>
              <w:top w:val="nil"/>
              <w:left w:val="nil"/>
              <w:bottom w:val="nil"/>
              <w:right w:val="nil"/>
            </w:tcBorders>
            <w:shd w:val="clear" w:color="auto" w:fill="auto"/>
            <w:vAlign w:val="bottom"/>
            <w:hideMark/>
          </w:tcPr>
          <w:p w14:paraId="647D368D"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Sector Público no Financiero</w:t>
            </w:r>
          </w:p>
        </w:tc>
        <w:tc>
          <w:tcPr>
            <w:tcW w:w="850" w:type="dxa"/>
            <w:tcBorders>
              <w:top w:val="nil"/>
              <w:left w:val="nil"/>
              <w:bottom w:val="nil"/>
              <w:right w:val="nil"/>
            </w:tcBorders>
            <w:shd w:val="clear" w:color="auto" w:fill="auto"/>
            <w:vAlign w:val="bottom"/>
          </w:tcPr>
          <w:p w14:paraId="32A2B157" w14:textId="77777777" w:rsidR="000C1442" w:rsidRPr="00615B48" w:rsidRDefault="000C1442" w:rsidP="000C1442">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267A2296" w14:textId="4D33F284" w:rsidR="000C1442" w:rsidRPr="001F4301" w:rsidRDefault="000C1442">
            <w:pPr>
              <w:jc w:val="right"/>
              <w:rPr>
                <w:rFonts w:ascii="Arial" w:hAnsi="Arial" w:cs="Arial"/>
                <w:sz w:val="16"/>
                <w:szCs w:val="16"/>
              </w:rPr>
            </w:pPr>
            <w:r w:rsidRPr="001F4301">
              <w:rPr>
                <w:rFonts w:ascii="Arial" w:hAnsi="Arial" w:cs="Arial"/>
                <w:sz w:val="16"/>
                <w:szCs w:val="16"/>
              </w:rPr>
              <w:t>61.188</w:t>
            </w:r>
          </w:p>
        </w:tc>
        <w:tc>
          <w:tcPr>
            <w:tcW w:w="1134" w:type="dxa"/>
            <w:tcBorders>
              <w:top w:val="nil"/>
              <w:left w:val="nil"/>
              <w:bottom w:val="nil"/>
              <w:right w:val="nil"/>
            </w:tcBorders>
            <w:shd w:val="clear" w:color="auto" w:fill="auto"/>
            <w:noWrap/>
            <w:vAlign w:val="bottom"/>
          </w:tcPr>
          <w:p w14:paraId="368D8F03" w14:textId="0AF7E782" w:rsidR="000C1442" w:rsidRPr="001F4301" w:rsidRDefault="000C1442">
            <w:pPr>
              <w:jc w:val="right"/>
              <w:rPr>
                <w:rFonts w:ascii="Arial" w:hAnsi="Arial" w:cs="Arial"/>
                <w:sz w:val="16"/>
                <w:szCs w:val="16"/>
                <w:lang w:eastAsia="es-AR"/>
              </w:rPr>
            </w:pPr>
            <w:r w:rsidRPr="001F4301">
              <w:rPr>
                <w:rFonts w:ascii="Arial" w:hAnsi="Arial" w:cs="Arial"/>
                <w:sz w:val="16"/>
                <w:szCs w:val="16"/>
              </w:rPr>
              <w:t>31.124</w:t>
            </w:r>
          </w:p>
        </w:tc>
      </w:tr>
      <w:tr w:rsidR="000C1442" w:rsidRPr="00615B48" w14:paraId="362202AA" w14:textId="77777777" w:rsidTr="002E1AF6">
        <w:trPr>
          <w:trHeight w:val="300"/>
          <w:jc w:val="center"/>
        </w:trPr>
        <w:tc>
          <w:tcPr>
            <w:tcW w:w="4395" w:type="dxa"/>
            <w:tcBorders>
              <w:top w:val="nil"/>
              <w:left w:val="nil"/>
              <w:bottom w:val="nil"/>
              <w:right w:val="nil"/>
            </w:tcBorders>
            <w:shd w:val="clear" w:color="auto" w:fill="auto"/>
            <w:vAlign w:val="bottom"/>
            <w:hideMark/>
          </w:tcPr>
          <w:p w14:paraId="60981694"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Otras Entidades financieras</w:t>
            </w:r>
          </w:p>
        </w:tc>
        <w:tc>
          <w:tcPr>
            <w:tcW w:w="850" w:type="dxa"/>
            <w:tcBorders>
              <w:top w:val="nil"/>
              <w:left w:val="nil"/>
              <w:bottom w:val="nil"/>
              <w:right w:val="nil"/>
            </w:tcBorders>
            <w:shd w:val="clear" w:color="auto" w:fill="auto"/>
            <w:vAlign w:val="bottom"/>
          </w:tcPr>
          <w:p w14:paraId="45A70CCC" w14:textId="77777777" w:rsidR="000C1442" w:rsidRPr="00615B48" w:rsidRDefault="000C1442" w:rsidP="000C1442">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4A2D091" w14:textId="279EAB5F" w:rsidR="000C1442" w:rsidRPr="001F4301" w:rsidRDefault="000C1442">
            <w:pPr>
              <w:jc w:val="right"/>
              <w:rPr>
                <w:rFonts w:ascii="Arial" w:hAnsi="Arial" w:cs="Arial"/>
                <w:sz w:val="16"/>
                <w:szCs w:val="16"/>
              </w:rPr>
            </w:pPr>
            <w:r w:rsidRPr="001F4301">
              <w:rPr>
                <w:rFonts w:ascii="Arial" w:hAnsi="Arial" w:cs="Arial"/>
                <w:sz w:val="16"/>
                <w:szCs w:val="16"/>
              </w:rPr>
              <w:t>54.601</w:t>
            </w:r>
          </w:p>
        </w:tc>
        <w:tc>
          <w:tcPr>
            <w:tcW w:w="1134" w:type="dxa"/>
            <w:tcBorders>
              <w:top w:val="nil"/>
              <w:left w:val="nil"/>
              <w:bottom w:val="nil"/>
              <w:right w:val="nil"/>
            </w:tcBorders>
            <w:shd w:val="clear" w:color="auto" w:fill="auto"/>
            <w:noWrap/>
            <w:vAlign w:val="bottom"/>
          </w:tcPr>
          <w:p w14:paraId="65281813" w14:textId="6D22D1E0" w:rsidR="000C1442" w:rsidRPr="001F4301" w:rsidRDefault="000C1442">
            <w:pPr>
              <w:jc w:val="right"/>
              <w:rPr>
                <w:rFonts w:ascii="Arial" w:hAnsi="Arial" w:cs="Arial"/>
                <w:sz w:val="16"/>
                <w:szCs w:val="16"/>
                <w:lang w:eastAsia="es-AR"/>
              </w:rPr>
            </w:pPr>
            <w:r w:rsidRPr="001F4301">
              <w:rPr>
                <w:rFonts w:ascii="Arial" w:hAnsi="Arial" w:cs="Arial"/>
                <w:sz w:val="16"/>
                <w:szCs w:val="16"/>
              </w:rPr>
              <w:t>69.556</w:t>
            </w:r>
          </w:p>
        </w:tc>
      </w:tr>
      <w:tr w:rsidR="000C1442" w:rsidRPr="00615B48" w14:paraId="4CC01900" w14:textId="77777777" w:rsidTr="002E1AF6">
        <w:trPr>
          <w:trHeight w:val="510"/>
          <w:jc w:val="center"/>
        </w:trPr>
        <w:tc>
          <w:tcPr>
            <w:tcW w:w="4395" w:type="dxa"/>
            <w:tcBorders>
              <w:top w:val="nil"/>
              <w:left w:val="nil"/>
              <w:bottom w:val="nil"/>
              <w:right w:val="nil"/>
            </w:tcBorders>
            <w:shd w:val="clear" w:color="auto" w:fill="auto"/>
            <w:vAlign w:val="bottom"/>
            <w:hideMark/>
          </w:tcPr>
          <w:p w14:paraId="51CD1085"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 xml:space="preserve">Sector Privado no Financiero y Residentes en el exterior </w:t>
            </w:r>
          </w:p>
        </w:tc>
        <w:tc>
          <w:tcPr>
            <w:tcW w:w="850" w:type="dxa"/>
            <w:tcBorders>
              <w:top w:val="nil"/>
              <w:left w:val="nil"/>
              <w:bottom w:val="nil"/>
              <w:right w:val="nil"/>
            </w:tcBorders>
            <w:shd w:val="clear" w:color="auto" w:fill="auto"/>
            <w:vAlign w:val="bottom"/>
          </w:tcPr>
          <w:p w14:paraId="42FF9336" w14:textId="77777777" w:rsidR="000C1442" w:rsidRPr="00615B48" w:rsidRDefault="000C1442" w:rsidP="000C1442">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61BF50BD" w14:textId="49E99ED4" w:rsidR="000C1442" w:rsidRPr="001F4301" w:rsidRDefault="000C1442">
            <w:pPr>
              <w:jc w:val="right"/>
              <w:rPr>
                <w:rFonts w:ascii="Arial" w:hAnsi="Arial" w:cs="Arial"/>
                <w:sz w:val="16"/>
                <w:szCs w:val="16"/>
              </w:rPr>
            </w:pPr>
            <w:r w:rsidRPr="001F4301">
              <w:rPr>
                <w:rFonts w:ascii="Arial" w:hAnsi="Arial" w:cs="Arial"/>
                <w:sz w:val="16"/>
                <w:szCs w:val="16"/>
              </w:rPr>
              <w:t>88.096.370</w:t>
            </w:r>
          </w:p>
        </w:tc>
        <w:tc>
          <w:tcPr>
            <w:tcW w:w="1134" w:type="dxa"/>
            <w:tcBorders>
              <w:top w:val="nil"/>
              <w:left w:val="nil"/>
              <w:bottom w:val="nil"/>
              <w:right w:val="nil"/>
            </w:tcBorders>
            <w:shd w:val="clear" w:color="auto" w:fill="auto"/>
            <w:noWrap/>
            <w:vAlign w:val="bottom"/>
          </w:tcPr>
          <w:p w14:paraId="03893F80" w14:textId="372E5169" w:rsidR="000C1442" w:rsidRPr="001F4301" w:rsidRDefault="000C1442">
            <w:pPr>
              <w:jc w:val="right"/>
              <w:rPr>
                <w:rFonts w:ascii="Arial" w:hAnsi="Arial" w:cs="Arial"/>
                <w:sz w:val="16"/>
                <w:szCs w:val="16"/>
                <w:lang w:eastAsia="es-AR"/>
              </w:rPr>
            </w:pPr>
            <w:r w:rsidRPr="001F4301">
              <w:rPr>
                <w:rFonts w:ascii="Arial" w:hAnsi="Arial" w:cs="Arial"/>
                <w:sz w:val="16"/>
                <w:szCs w:val="16"/>
              </w:rPr>
              <w:t>95.175.060</w:t>
            </w:r>
          </w:p>
        </w:tc>
      </w:tr>
      <w:tr w:rsidR="000C1442" w:rsidRPr="00615B48" w14:paraId="68A3A6FD" w14:textId="77777777" w:rsidTr="002E1AF6">
        <w:trPr>
          <w:trHeight w:val="300"/>
          <w:jc w:val="center"/>
        </w:trPr>
        <w:tc>
          <w:tcPr>
            <w:tcW w:w="4395" w:type="dxa"/>
            <w:tcBorders>
              <w:top w:val="nil"/>
              <w:left w:val="nil"/>
              <w:bottom w:val="nil"/>
              <w:right w:val="nil"/>
            </w:tcBorders>
            <w:shd w:val="clear" w:color="auto" w:fill="auto"/>
            <w:vAlign w:val="bottom"/>
            <w:hideMark/>
          </w:tcPr>
          <w:p w14:paraId="008BF237" w14:textId="17F8240D"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Otros Títulos de Deuda </w:t>
            </w:r>
          </w:p>
        </w:tc>
        <w:tc>
          <w:tcPr>
            <w:tcW w:w="850" w:type="dxa"/>
            <w:tcBorders>
              <w:top w:val="nil"/>
              <w:left w:val="nil"/>
              <w:bottom w:val="nil"/>
              <w:right w:val="nil"/>
            </w:tcBorders>
            <w:shd w:val="clear" w:color="auto" w:fill="auto"/>
            <w:vAlign w:val="bottom"/>
          </w:tcPr>
          <w:p w14:paraId="13D7D9F6" w14:textId="258BBE65"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5AD16BC3" w14:textId="00489BF2" w:rsidR="000C1442" w:rsidRPr="001F4301" w:rsidRDefault="000C1442">
            <w:pPr>
              <w:jc w:val="right"/>
              <w:rPr>
                <w:rFonts w:ascii="Arial" w:hAnsi="Arial" w:cs="Arial"/>
                <w:sz w:val="16"/>
                <w:szCs w:val="16"/>
              </w:rPr>
            </w:pPr>
            <w:r w:rsidRPr="001F4301">
              <w:rPr>
                <w:rFonts w:ascii="Arial" w:hAnsi="Arial" w:cs="Arial"/>
                <w:sz w:val="16"/>
                <w:szCs w:val="16"/>
              </w:rPr>
              <w:t>46.241.234</w:t>
            </w:r>
          </w:p>
        </w:tc>
        <w:tc>
          <w:tcPr>
            <w:tcW w:w="1134" w:type="dxa"/>
            <w:tcBorders>
              <w:top w:val="nil"/>
              <w:left w:val="nil"/>
              <w:bottom w:val="nil"/>
              <w:right w:val="nil"/>
            </w:tcBorders>
            <w:shd w:val="clear" w:color="auto" w:fill="auto"/>
            <w:noWrap/>
            <w:vAlign w:val="bottom"/>
          </w:tcPr>
          <w:p w14:paraId="2F20026D" w14:textId="44CC70B5" w:rsidR="000C1442" w:rsidRPr="001F4301" w:rsidRDefault="000C1442">
            <w:pPr>
              <w:jc w:val="right"/>
              <w:rPr>
                <w:rFonts w:ascii="Arial" w:hAnsi="Arial" w:cs="Arial"/>
                <w:sz w:val="16"/>
                <w:szCs w:val="16"/>
                <w:lang w:eastAsia="es-AR"/>
              </w:rPr>
            </w:pPr>
            <w:r w:rsidRPr="001F4301">
              <w:rPr>
                <w:rFonts w:ascii="Arial" w:hAnsi="Arial" w:cs="Arial"/>
                <w:sz w:val="16"/>
                <w:szCs w:val="16"/>
              </w:rPr>
              <w:t>11.057.89</w:t>
            </w:r>
            <w:r w:rsidR="00666113" w:rsidRPr="001F4301">
              <w:rPr>
                <w:rFonts w:ascii="Arial" w:hAnsi="Arial" w:cs="Arial"/>
                <w:sz w:val="16"/>
                <w:szCs w:val="16"/>
              </w:rPr>
              <w:t>2</w:t>
            </w:r>
          </w:p>
        </w:tc>
      </w:tr>
      <w:tr w:rsidR="000C1442" w:rsidRPr="00615B48" w14:paraId="0F934C0A" w14:textId="77777777" w:rsidTr="002E1AF6">
        <w:trPr>
          <w:trHeight w:val="300"/>
          <w:jc w:val="center"/>
        </w:trPr>
        <w:tc>
          <w:tcPr>
            <w:tcW w:w="4395" w:type="dxa"/>
            <w:tcBorders>
              <w:top w:val="nil"/>
              <w:left w:val="nil"/>
              <w:bottom w:val="nil"/>
              <w:right w:val="nil"/>
            </w:tcBorders>
            <w:shd w:val="clear" w:color="auto" w:fill="auto"/>
            <w:vAlign w:val="bottom"/>
            <w:hideMark/>
          </w:tcPr>
          <w:p w14:paraId="694A1E56" w14:textId="7D1400F4"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Activos financieros entregados en garantía </w:t>
            </w:r>
          </w:p>
        </w:tc>
        <w:tc>
          <w:tcPr>
            <w:tcW w:w="850" w:type="dxa"/>
            <w:tcBorders>
              <w:top w:val="nil"/>
              <w:left w:val="nil"/>
              <w:bottom w:val="nil"/>
              <w:right w:val="nil"/>
            </w:tcBorders>
            <w:shd w:val="clear" w:color="auto" w:fill="auto"/>
            <w:vAlign w:val="bottom"/>
          </w:tcPr>
          <w:p w14:paraId="5B7AAEB2" w14:textId="03758FCC"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0C8CBA42" w14:textId="3ADA86AA" w:rsidR="000C1442" w:rsidRPr="001F4301" w:rsidRDefault="000C1442">
            <w:pPr>
              <w:jc w:val="right"/>
              <w:rPr>
                <w:rFonts w:ascii="Arial" w:hAnsi="Arial" w:cs="Arial"/>
                <w:sz w:val="16"/>
                <w:szCs w:val="16"/>
              </w:rPr>
            </w:pPr>
            <w:r w:rsidRPr="001F4301">
              <w:rPr>
                <w:rFonts w:ascii="Arial" w:hAnsi="Arial" w:cs="Arial"/>
                <w:sz w:val="16"/>
                <w:szCs w:val="16"/>
              </w:rPr>
              <w:t>5.815.103</w:t>
            </w:r>
          </w:p>
        </w:tc>
        <w:tc>
          <w:tcPr>
            <w:tcW w:w="1134" w:type="dxa"/>
            <w:tcBorders>
              <w:top w:val="nil"/>
              <w:left w:val="nil"/>
              <w:bottom w:val="nil"/>
              <w:right w:val="nil"/>
            </w:tcBorders>
            <w:shd w:val="clear" w:color="auto" w:fill="auto"/>
            <w:noWrap/>
            <w:vAlign w:val="bottom"/>
          </w:tcPr>
          <w:p w14:paraId="0DD2366B" w14:textId="4D5CF033" w:rsidR="000C1442" w:rsidRPr="001F4301" w:rsidRDefault="000C1442">
            <w:pPr>
              <w:jc w:val="right"/>
              <w:rPr>
                <w:rFonts w:ascii="Arial" w:hAnsi="Arial" w:cs="Arial"/>
                <w:sz w:val="16"/>
                <w:szCs w:val="16"/>
                <w:lang w:eastAsia="es-AR"/>
              </w:rPr>
            </w:pPr>
            <w:r w:rsidRPr="001F4301">
              <w:rPr>
                <w:rFonts w:ascii="Arial" w:hAnsi="Arial" w:cs="Arial"/>
                <w:sz w:val="16"/>
                <w:szCs w:val="16"/>
              </w:rPr>
              <w:t>5.742.452</w:t>
            </w:r>
          </w:p>
        </w:tc>
      </w:tr>
      <w:tr w:rsidR="000C1442" w:rsidRPr="00615B48" w14:paraId="5E4C017A" w14:textId="77777777" w:rsidTr="002E1AF6">
        <w:trPr>
          <w:trHeight w:val="300"/>
          <w:jc w:val="center"/>
        </w:trPr>
        <w:tc>
          <w:tcPr>
            <w:tcW w:w="4395" w:type="dxa"/>
            <w:tcBorders>
              <w:top w:val="nil"/>
              <w:left w:val="nil"/>
              <w:bottom w:val="nil"/>
              <w:right w:val="nil"/>
            </w:tcBorders>
            <w:shd w:val="clear" w:color="auto" w:fill="auto"/>
            <w:vAlign w:val="bottom"/>
            <w:hideMark/>
          </w:tcPr>
          <w:p w14:paraId="20D8DDF2"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Activos por impuestos a las ganancias corriente</w:t>
            </w:r>
          </w:p>
        </w:tc>
        <w:tc>
          <w:tcPr>
            <w:tcW w:w="850" w:type="dxa"/>
            <w:tcBorders>
              <w:top w:val="nil"/>
              <w:left w:val="nil"/>
              <w:bottom w:val="nil"/>
              <w:right w:val="nil"/>
            </w:tcBorders>
            <w:shd w:val="clear" w:color="auto" w:fill="auto"/>
            <w:vAlign w:val="bottom"/>
          </w:tcPr>
          <w:p w14:paraId="3AC75D3D" w14:textId="77777777"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0D50BC37" w14:textId="2AD2340D" w:rsidR="000C1442" w:rsidRPr="001F4301" w:rsidRDefault="000C1442">
            <w:pPr>
              <w:jc w:val="right"/>
              <w:rPr>
                <w:rFonts w:ascii="Arial" w:hAnsi="Arial" w:cs="Arial"/>
                <w:sz w:val="16"/>
                <w:szCs w:val="16"/>
              </w:rPr>
            </w:pPr>
            <w:r w:rsidRPr="001F4301">
              <w:rPr>
                <w:rFonts w:ascii="Arial" w:hAnsi="Arial" w:cs="Arial"/>
                <w:sz w:val="16"/>
                <w:szCs w:val="16"/>
              </w:rPr>
              <w:t>443.255</w:t>
            </w:r>
          </w:p>
        </w:tc>
        <w:tc>
          <w:tcPr>
            <w:tcW w:w="1134" w:type="dxa"/>
            <w:tcBorders>
              <w:top w:val="nil"/>
              <w:left w:val="nil"/>
              <w:bottom w:val="nil"/>
              <w:right w:val="nil"/>
            </w:tcBorders>
            <w:shd w:val="clear" w:color="auto" w:fill="auto"/>
            <w:noWrap/>
            <w:vAlign w:val="bottom"/>
          </w:tcPr>
          <w:p w14:paraId="6D512F4B" w14:textId="67C519AE" w:rsidR="000C1442" w:rsidRPr="001F4301" w:rsidRDefault="000C1442">
            <w:pPr>
              <w:jc w:val="right"/>
              <w:rPr>
                <w:rFonts w:ascii="Arial" w:hAnsi="Arial" w:cs="Arial"/>
                <w:sz w:val="16"/>
                <w:szCs w:val="16"/>
                <w:lang w:eastAsia="es-AR"/>
              </w:rPr>
            </w:pPr>
            <w:r w:rsidRPr="001F4301">
              <w:rPr>
                <w:rFonts w:ascii="Arial" w:hAnsi="Arial" w:cs="Arial"/>
                <w:sz w:val="16"/>
                <w:szCs w:val="16"/>
              </w:rPr>
              <w:t>341.959</w:t>
            </w:r>
          </w:p>
        </w:tc>
      </w:tr>
      <w:tr w:rsidR="000C1442" w:rsidRPr="00615B48" w14:paraId="1DB60F28" w14:textId="77777777" w:rsidTr="002E1AF6">
        <w:trPr>
          <w:trHeight w:val="300"/>
          <w:jc w:val="center"/>
        </w:trPr>
        <w:tc>
          <w:tcPr>
            <w:tcW w:w="4395" w:type="dxa"/>
            <w:tcBorders>
              <w:top w:val="nil"/>
              <w:left w:val="nil"/>
              <w:bottom w:val="nil"/>
              <w:right w:val="nil"/>
            </w:tcBorders>
            <w:shd w:val="clear" w:color="auto" w:fill="auto"/>
            <w:vAlign w:val="bottom"/>
            <w:hideMark/>
          </w:tcPr>
          <w:p w14:paraId="24E1806F" w14:textId="501A420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Inversiones en Instrumentos de Patrimonio </w:t>
            </w:r>
          </w:p>
        </w:tc>
        <w:tc>
          <w:tcPr>
            <w:tcW w:w="850" w:type="dxa"/>
            <w:tcBorders>
              <w:top w:val="nil"/>
              <w:left w:val="nil"/>
              <w:bottom w:val="nil"/>
              <w:right w:val="nil"/>
            </w:tcBorders>
            <w:shd w:val="clear" w:color="auto" w:fill="auto"/>
            <w:vAlign w:val="bottom"/>
            <w:hideMark/>
          </w:tcPr>
          <w:p w14:paraId="7A08F75D" w14:textId="02C3D6E0"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4506B135" w14:textId="3BD4E605" w:rsidR="000C1442" w:rsidRPr="001F4301" w:rsidRDefault="000C1442">
            <w:pPr>
              <w:jc w:val="right"/>
              <w:rPr>
                <w:rFonts w:ascii="Arial" w:hAnsi="Arial" w:cs="Arial"/>
                <w:sz w:val="16"/>
                <w:szCs w:val="16"/>
              </w:rPr>
            </w:pPr>
            <w:r w:rsidRPr="001F4301">
              <w:rPr>
                <w:rFonts w:ascii="Arial" w:hAnsi="Arial" w:cs="Arial"/>
                <w:sz w:val="16"/>
                <w:szCs w:val="16"/>
              </w:rPr>
              <w:t>8.783</w:t>
            </w:r>
          </w:p>
        </w:tc>
        <w:tc>
          <w:tcPr>
            <w:tcW w:w="1134" w:type="dxa"/>
            <w:tcBorders>
              <w:top w:val="nil"/>
              <w:left w:val="nil"/>
              <w:bottom w:val="nil"/>
              <w:right w:val="nil"/>
            </w:tcBorders>
            <w:shd w:val="clear" w:color="auto" w:fill="auto"/>
            <w:noWrap/>
            <w:vAlign w:val="bottom"/>
          </w:tcPr>
          <w:p w14:paraId="2CC91300" w14:textId="66C12563" w:rsidR="000C1442" w:rsidRPr="001F4301" w:rsidRDefault="000C1442">
            <w:pPr>
              <w:jc w:val="right"/>
              <w:rPr>
                <w:rFonts w:ascii="Arial" w:hAnsi="Arial" w:cs="Arial"/>
                <w:sz w:val="16"/>
                <w:szCs w:val="16"/>
                <w:lang w:eastAsia="es-AR"/>
              </w:rPr>
            </w:pPr>
            <w:r w:rsidRPr="001F4301">
              <w:rPr>
                <w:rFonts w:ascii="Arial" w:hAnsi="Arial" w:cs="Arial"/>
                <w:sz w:val="16"/>
                <w:szCs w:val="16"/>
              </w:rPr>
              <w:t>15.716</w:t>
            </w:r>
          </w:p>
        </w:tc>
      </w:tr>
      <w:tr w:rsidR="000C1442" w:rsidRPr="00615B48" w14:paraId="17CE7179" w14:textId="77777777" w:rsidTr="002E1AF6">
        <w:trPr>
          <w:trHeight w:val="300"/>
          <w:jc w:val="center"/>
        </w:trPr>
        <w:tc>
          <w:tcPr>
            <w:tcW w:w="4395" w:type="dxa"/>
            <w:tcBorders>
              <w:top w:val="nil"/>
              <w:left w:val="nil"/>
              <w:bottom w:val="nil"/>
              <w:right w:val="nil"/>
            </w:tcBorders>
            <w:shd w:val="clear" w:color="auto" w:fill="auto"/>
            <w:vAlign w:val="bottom"/>
            <w:hideMark/>
          </w:tcPr>
          <w:p w14:paraId="6C702647"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Inversión en subsidiarias, asociadas y negocios conjuntos</w:t>
            </w:r>
          </w:p>
        </w:tc>
        <w:tc>
          <w:tcPr>
            <w:tcW w:w="850" w:type="dxa"/>
            <w:tcBorders>
              <w:top w:val="nil"/>
              <w:left w:val="nil"/>
              <w:bottom w:val="nil"/>
              <w:right w:val="nil"/>
            </w:tcBorders>
            <w:shd w:val="clear" w:color="auto" w:fill="auto"/>
            <w:vAlign w:val="bottom"/>
          </w:tcPr>
          <w:p w14:paraId="25796D34" w14:textId="2E170014"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E5F1DA9" w14:textId="37895545" w:rsidR="000C1442" w:rsidRPr="001F4301" w:rsidRDefault="000C1442">
            <w:pPr>
              <w:jc w:val="right"/>
              <w:rPr>
                <w:rFonts w:ascii="Arial" w:hAnsi="Arial" w:cs="Arial"/>
                <w:sz w:val="16"/>
                <w:szCs w:val="16"/>
              </w:rPr>
            </w:pPr>
            <w:r w:rsidRPr="001F4301">
              <w:rPr>
                <w:rFonts w:ascii="Arial" w:hAnsi="Arial" w:cs="Arial"/>
                <w:sz w:val="16"/>
                <w:szCs w:val="16"/>
              </w:rPr>
              <w:t>38.219</w:t>
            </w:r>
          </w:p>
        </w:tc>
        <w:tc>
          <w:tcPr>
            <w:tcW w:w="1134" w:type="dxa"/>
            <w:tcBorders>
              <w:top w:val="nil"/>
              <w:left w:val="nil"/>
              <w:bottom w:val="nil"/>
              <w:right w:val="nil"/>
            </w:tcBorders>
            <w:shd w:val="clear" w:color="auto" w:fill="auto"/>
            <w:noWrap/>
            <w:vAlign w:val="bottom"/>
          </w:tcPr>
          <w:p w14:paraId="6201B7F5" w14:textId="720C9BF4" w:rsidR="000C1442" w:rsidRPr="001F4301" w:rsidRDefault="000C1442">
            <w:pPr>
              <w:jc w:val="right"/>
              <w:rPr>
                <w:rFonts w:ascii="Arial" w:hAnsi="Arial" w:cs="Arial"/>
                <w:sz w:val="16"/>
                <w:szCs w:val="16"/>
                <w:lang w:val="es-ES_tradnl" w:eastAsia="es-AR"/>
              </w:rPr>
            </w:pPr>
            <w:r w:rsidRPr="001F4301">
              <w:rPr>
                <w:rFonts w:ascii="Arial" w:hAnsi="Arial" w:cs="Arial"/>
                <w:sz w:val="16"/>
                <w:szCs w:val="16"/>
              </w:rPr>
              <w:t>42.28</w:t>
            </w:r>
            <w:r w:rsidR="00666113" w:rsidRPr="001F4301">
              <w:rPr>
                <w:rFonts w:ascii="Arial" w:hAnsi="Arial" w:cs="Arial"/>
                <w:sz w:val="16"/>
                <w:szCs w:val="16"/>
              </w:rPr>
              <w:t>3</w:t>
            </w:r>
          </w:p>
        </w:tc>
      </w:tr>
      <w:tr w:rsidR="000C1442" w:rsidRPr="00615B48" w14:paraId="405EEF45" w14:textId="77777777" w:rsidTr="002E1AF6">
        <w:trPr>
          <w:trHeight w:val="300"/>
          <w:jc w:val="center"/>
        </w:trPr>
        <w:tc>
          <w:tcPr>
            <w:tcW w:w="4395" w:type="dxa"/>
            <w:tcBorders>
              <w:top w:val="nil"/>
              <w:left w:val="nil"/>
              <w:bottom w:val="nil"/>
              <w:right w:val="nil"/>
            </w:tcBorders>
            <w:shd w:val="clear" w:color="auto" w:fill="auto"/>
            <w:vAlign w:val="bottom"/>
            <w:hideMark/>
          </w:tcPr>
          <w:p w14:paraId="65E3DF6F" w14:textId="436ADBA8"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Propiedad, planta y equipo </w:t>
            </w:r>
          </w:p>
        </w:tc>
        <w:tc>
          <w:tcPr>
            <w:tcW w:w="850" w:type="dxa"/>
            <w:tcBorders>
              <w:top w:val="nil"/>
              <w:left w:val="nil"/>
              <w:bottom w:val="nil"/>
              <w:right w:val="nil"/>
            </w:tcBorders>
            <w:shd w:val="clear" w:color="auto" w:fill="auto"/>
            <w:vAlign w:val="bottom"/>
          </w:tcPr>
          <w:p w14:paraId="71FF932B" w14:textId="373818C4" w:rsidR="000C1442" w:rsidRPr="00615B48" w:rsidRDefault="000C1442" w:rsidP="000C1442">
            <w:pPr>
              <w:jc w:val="center"/>
              <w:rPr>
                <w:rFonts w:ascii="Arial" w:hAnsi="Arial" w:cs="Arial"/>
                <w:sz w:val="16"/>
                <w:szCs w:val="16"/>
                <w:lang w:eastAsia="es-AR"/>
              </w:rPr>
            </w:pPr>
            <w:r>
              <w:rPr>
                <w:rFonts w:ascii="Arial" w:hAnsi="Arial" w:cs="Arial"/>
                <w:sz w:val="16"/>
                <w:szCs w:val="16"/>
                <w:lang w:eastAsia="es-AR"/>
              </w:rPr>
              <w:t>10</w:t>
            </w:r>
          </w:p>
        </w:tc>
        <w:tc>
          <w:tcPr>
            <w:tcW w:w="1276" w:type="dxa"/>
            <w:tcBorders>
              <w:top w:val="nil"/>
              <w:left w:val="nil"/>
              <w:bottom w:val="nil"/>
              <w:right w:val="nil"/>
            </w:tcBorders>
            <w:shd w:val="clear" w:color="auto" w:fill="auto"/>
            <w:noWrap/>
            <w:vAlign w:val="bottom"/>
          </w:tcPr>
          <w:p w14:paraId="74BDBD66" w14:textId="4D67C1EB" w:rsidR="000C1442" w:rsidRPr="001F4301" w:rsidRDefault="000C1442">
            <w:pPr>
              <w:jc w:val="right"/>
              <w:rPr>
                <w:rFonts w:ascii="Arial" w:hAnsi="Arial" w:cs="Arial"/>
                <w:sz w:val="16"/>
                <w:szCs w:val="16"/>
              </w:rPr>
            </w:pPr>
            <w:r w:rsidRPr="001F4301">
              <w:rPr>
                <w:rFonts w:ascii="Arial" w:hAnsi="Arial" w:cs="Arial"/>
                <w:sz w:val="16"/>
                <w:szCs w:val="16"/>
              </w:rPr>
              <w:t>4.431.341</w:t>
            </w:r>
          </w:p>
        </w:tc>
        <w:tc>
          <w:tcPr>
            <w:tcW w:w="1134" w:type="dxa"/>
            <w:tcBorders>
              <w:top w:val="nil"/>
              <w:left w:val="nil"/>
              <w:bottom w:val="nil"/>
              <w:right w:val="nil"/>
            </w:tcBorders>
            <w:shd w:val="clear" w:color="auto" w:fill="auto"/>
            <w:noWrap/>
            <w:vAlign w:val="bottom"/>
          </w:tcPr>
          <w:p w14:paraId="2E17D7BC" w14:textId="7CA6D242" w:rsidR="000C1442" w:rsidRPr="001F4301" w:rsidRDefault="000C1442">
            <w:pPr>
              <w:jc w:val="right"/>
              <w:rPr>
                <w:rFonts w:ascii="Arial" w:hAnsi="Arial" w:cs="Arial"/>
                <w:sz w:val="16"/>
                <w:szCs w:val="16"/>
                <w:lang w:eastAsia="es-AR"/>
              </w:rPr>
            </w:pPr>
            <w:r w:rsidRPr="001F4301">
              <w:rPr>
                <w:rFonts w:ascii="Arial" w:hAnsi="Arial" w:cs="Arial"/>
                <w:sz w:val="16"/>
                <w:szCs w:val="16"/>
              </w:rPr>
              <w:t>4.050.883</w:t>
            </w:r>
          </w:p>
        </w:tc>
      </w:tr>
      <w:tr w:rsidR="000C1442" w:rsidRPr="00615B48" w14:paraId="710DB86C" w14:textId="77777777" w:rsidTr="002E1AF6">
        <w:trPr>
          <w:trHeight w:val="300"/>
          <w:jc w:val="center"/>
        </w:trPr>
        <w:tc>
          <w:tcPr>
            <w:tcW w:w="4395" w:type="dxa"/>
            <w:tcBorders>
              <w:top w:val="nil"/>
              <w:left w:val="nil"/>
              <w:bottom w:val="nil"/>
              <w:right w:val="nil"/>
            </w:tcBorders>
            <w:shd w:val="clear" w:color="auto" w:fill="auto"/>
            <w:vAlign w:val="bottom"/>
            <w:hideMark/>
          </w:tcPr>
          <w:p w14:paraId="150E0901" w14:textId="51F37AA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Activos intangibles </w:t>
            </w:r>
          </w:p>
        </w:tc>
        <w:tc>
          <w:tcPr>
            <w:tcW w:w="850" w:type="dxa"/>
            <w:tcBorders>
              <w:top w:val="nil"/>
              <w:left w:val="nil"/>
              <w:bottom w:val="nil"/>
              <w:right w:val="nil"/>
            </w:tcBorders>
            <w:shd w:val="clear" w:color="auto" w:fill="auto"/>
            <w:vAlign w:val="bottom"/>
          </w:tcPr>
          <w:p w14:paraId="567C2428" w14:textId="04B5349C" w:rsidR="000C1442" w:rsidRPr="00615B48" w:rsidRDefault="000C1442" w:rsidP="000C1442">
            <w:pPr>
              <w:jc w:val="center"/>
              <w:rPr>
                <w:rFonts w:ascii="Arial" w:hAnsi="Arial" w:cs="Arial"/>
                <w:sz w:val="16"/>
                <w:szCs w:val="16"/>
                <w:lang w:eastAsia="es-AR"/>
              </w:rPr>
            </w:pPr>
            <w:r>
              <w:rPr>
                <w:rFonts w:ascii="Arial" w:hAnsi="Arial" w:cs="Arial"/>
                <w:sz w:val="16"/>
                <w:szCs w:val="16"/>
                <w:lang w:eastAsia="es-AR"/>
              </w:rPr>
              <w:t>12</w:t>
            </w:r>
          </w:p>
        </w:tc>
        <w:tc>
          <w:tcPr>
            <w:tcW w:w="1276" w:type="dxa"/>
            <w:tcBorders>
              <w:top w:val="nil"/>
              <w:left w:val="nil"/>
              <w:bottom w:val="nil"/>
              <w:right w:val="nil"/>
            </w:tcBorders>
            <w:shd w:val="clear" w:color="auto" w:fill="auto"/>
            <w:noWrap/>
            <w:vAlign w:val="bottom"/>
          </w:tcPr>
          <w:p w14:paraId="73840698" w14:textId="7DC256C0" w:rsidR="000C1442" w:rsidRPr="001F4301" w:rsidRDefault="000C1442">
            <w:pPr>
              <w:jc w:val="right"/>
              <w:rPr>
                <w:rFonts w:ascii="Arial" w:hAnsi="Arial" w:cs="Arial"/>
                <w:sz w:val="16"/>
                <w:szCs w:val="16"/>
              </w:rPr>
            </w:pPr>
            <w:r w:rsidRPr="001F4301">
              <w:rPr>
                <w:rFonts w:ascii="Arial" w:hAnsi="Arial" w:cs="Arial"/>
                <w:sz w:val="16"/>
                <w:szCs w:val="16"/>
              </w:rPr>
              <w:t>1.265.789</w:t>
            </w:r>
          </w:p>
        </w:tc>
        <w:tc>
          <w:tcPr>
            <w:tcW w:w="1134" w:type="dxa"/>
            <w:tcBorders>
              <w:top w:val="nil"/>
              <w:left w:val="nil"/>
              <w:bottom w:val="nil"/>
              <w:right w:val="nil"/>
            </w:tcBorders>
            <w:shd w:val="clear" w:color="auto" w:fill="auto"/>
            <w:noWrap/>
            <w:vAlign w:val="bottom"/>
          </w:tcPr>
          <w:p w14:paraId="2AFDDCEC" w14:textId="68C7D56D" w:rsidR="000C1442" w:rsidRPr="001F4301" w:rsidRDefault="000C1442">
            <w:pPr>
              <w:jc w:val="right"/>
              <w:rPr>
                <w:rFonts w:ascii="Arial" w:hAnsi="Arial" w:cs="Arial"/>
                <w:sz w:val="16"/>
                <w:szCs w:val="16"/>
                <w:lang w:eastAsia="es-AR"/>
              </w:rPr>
            </w:pPr>
            <w:r w:rsidRPr="001F4301">
              <w:rPr>
                <w:rFonts w:ascii="Arial" w:hAnsi="Arial" w:cs="Arial"/>
                <w:sz w:val="16"/>
                <w:szCs w:val="16"/>
              </w:rPr>
              <w:t>1.340.89</w:t>
            </w:r>
            <w:r w:rsidR="00666113" w:rsidRPr="001F4301">
              <w:rPr>
                <w:rFonts w:ascii="Arial" w:hAnsi="Arial" w:cs="Arial"/>
                <w:sz w:val="16"/>
                <w:szCs w:val="16"/>
              </w:rPr>
              <w:t>8</w:t>
            </w:r>
          </w:p>
        </w:tc>
      </w:tr>
      <w:tr w:rsidR="000C1442" w:rsidRPr="00615B48" w14:paraId="0D5B6CC6" w14:textId="77777777" w:rsidTr="002E1AF6">
        <w:trPr>
          <w:trHeight w:val="300"/>
          <w:jc w:val="center"/>
        </w:trPr>
        <w:tc>
          <w:tcPr>
            <w:tcW w:w="4395" w:type="dxa"/>
            <w:tcBorders>
              <w:top w:val="nil"/>
              <w:left w:val="nil"/>
              <w:bottom w:val="nil"/>
              <w:right w:val="nil"/>
            </w:tcBorders>
            <w:shd w:val="clear" w:color="auto" w:fill="auto"/>
            <w:vAlign w:val="bottom"/>
            <w:hideMark/>
          </w:tcPr>
          <w:p w14:paraId="3668F468"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Activos por impuesto a las ganancias diferido</w:t>
            </w:r>
          </w:p>
        </w:tc>
        <w:tc>
          <w:tcPr>
            <w:tcW w:w="850" w:type="dxa"/>
            <w:tcBorders>
              <w:top w:val="nil"/>
              <w:left w:val="nil"/>
              <w:bottom w:val="nil"/>
              <w:right w:val="nil"/>
            </w:tcBorders>
            <w:shd w:val="clear" w:color="auto" w:fill="auto"/>
            <w:vAlign w:val="bottom"/>
          </w:tcPr>
          <w:p w14:paraId="73750648" w14:textId="36AFF347"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6B7EE374" w14:textId="0D1A001E" w:rsidR="000C1442" w:rsidRPr="001F4301" w:rsidRDefault="000C1442">
            <w:pPr>
              <w:jc w:val="right"/>
              <w:rPr>
                <w:rFonts w:ascii="Arial" w:hAnsi="Arial" w:cs="Arial"/>
                <w:sz w:val="16"/>
                <w:szCs w:val="16"/>
              </w:rPr>
            </w:pPr>
            <w:r w:rsidRPr="001F4301">
              <w:rPr>
                <w:rFonts w:ascii="Arial" w:hAnsi="Arial" w:cs="Arial"/>
                <w:sz w:val="16"/>
                <w:szCs w:val="16"/>
              </w:rPr>
              <w:t>1.076.584</w:t>
            </w:r>
          </w:p>
        </w:tc>
        <w:tc>
          <w:tcPr>
            <w:tcW w:w="1134" w:type="dxa"/>
            <w:tcBorders>
              <w:top w:val="nil"/>
              <w:left w:val="nil"/>
              <w:bottom w:val="nil"/>
              <w:right w:val="nil"/>
            </w:tcBorders>
            <w:shd w:val="clear" w:color="auto" w:fill="auto"/>
            <w:noWrap/>
            <w:vAlign w:val="bottom"/>
          </w:tcPr>
          <w:p w14:paraId="7DE8B72C" w14:textId="633424AD" w:rsidR="000C1442" w:rsidRPr="001F4301" w:rsidRDefault="000C1442">
            <w:pPr>
              <w:jc w:val="right"/>
              <w:rPr>
                <w:rFonts w:ascii="Arial" w:hAnsi="Arial" w:cs="Arial"/>
                <w:sz w:val="16"/>
                <w:szCs w:val="16"/>
                <w:lang w:eastAsia="es-AR"/>
              </w:rPr>
            </w:pPr>
            <w:r w:rsidRPr="001F4301">
              <w:rPr>
                <w:rFonts w:ascii="Arial" w:hAnsi="Arial" w:cs="Arial"/>
                <w:sz w:val="16"/>
                <w:szCs w:val="16"/>
              </w:rPr>
              <w:t>1.108.251</w:t>
            </w:r>
          </w:p>
        </w:tc>
      </w:tr>
      <w:tr w:rsidR="000C1442" w:rsidRPr="00615B48" w14:paraId="2D20CE0A" w14:textId="77777777" w:rsidTr="002E1AF6">
        <w:trPr>
          <w:trHeight w:val="300"/>
          <w:jc w:val="center"/>
        </w:trPr>
        <w:tc>
          <w:tcPr>
            <w:tcW w:w="4395" w:type="dxa"/>
            <w:tcBorders>
              <w:top w:val="nil"/>
              <w:left w:val="nil"/>
              <w:bottom w:val="nil"/>
              <w:right w:val="nil"/>
            </w:tcBorders>
            <w:shd w:val="clear" w:color="auto" w:fill="auto"/>
            <w:vAlign w:val="bottom"/>
            <w:hideMark/>
          </w:tcPr>
          <w:p w14:paraId="0768A79F"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Otros activos no financieros</w:t>
            </w:r>
          </w:p>
        </w:tc>
        <w:tc>
          <w:tcPr>
            <w:tcW w:w="850" w:type="dxa"/>
            <w:tcBorders>
              <w:top w:val="nil"/>
              <w:left w:val="nil"/>
              <w:bottom w:val="nil"/>
              <w:right w:val="nil"/>
            </w:tcBorders>
            <w:shd w:val="clear" w:color="auto" w:fill="auto"/>
            <w:vAlign w:val="bottom"/>
          </w:tcPr>
          <w:p w14:paraId="54F3415F" w14:textId="1714C3E3"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131FC5B6" w14:textId="77C90EB6" w:rsidR="000C1442" w:rsidRPr="001F4301" w:rsidRDefault="000C1442">
            <w:pPr>
              <w:jc w:val="right"/>
              <w:rPr>
                <w:rFonts w:ascii="Arial" w:hAnsi="Arial" w:cs="Arial"/>
                <w:sz w:val="16"/>
                <w:szCs w:val="16"/>
              </w:rPr>
            </w:pPr>
            <w:r w:rsidRPr="001F4301">
              <w:rPr>
                <w:rFonts w:ascii="Arial" w:hAnsi="Arial" w:cs="Arial"/>
                <w:sz w:val="16"/>
                <w:szCs w:val="16"/>
              </w:rPr>
              <w:t>5.633.868</w:t>
            </w:r>
          </w:p>
        </w:tc>
        <w:tc>
          <w:tcPr>
            <w:tcW w:w="1134" w:type="dxa"/>
            <w:tcBorders>
              <w:top w:val="nil"/>
              <w:left w:val="nil"/>
              <w:bottom w:val="nil"/>
              <w:right w:val="nil"/>
            </w:tcBorders>
            <w:shd w:val="clear" w:color="auto" w:fill="auto"/>
            <w:noWrap/>
            <w:vAlign w:val="bottom"/>
          </w:tcPr>
          <w:p w14:paraId="44F095AF" w14:textId="78EBBAAF" w:rsidR="000C1442" w:rsidRPr="001F4301" w:rsidRDefault="000C1442">
            <w:pPr>
              <w:jc w:val="right"/>
              <w:rPr>
                <w:rFonts w:ascii="Arial" w:hAnsi="Arial" w:cs="Arial"/>
                <w:sz w:val="16"/>
                <w:szCs w:val="16"/>
                <w:lang w:eastAsia="es-AR"/>
              </w:rPr>
            </w:pPr>
            <w:r w:rsidRPr="001F4301">
              <w:rPr>
                <w:rFonts w:ascii="Arial" w:hAnsi="Arial" w:cs="Arial"/>
                <w:sz w:val="16"/>
                <w:szCs w:val="16"/>
              </w:rPr>
              <w:t>5.592.713</w:t>
            </w:r>
          </w:p>
        </w:tc>
      </w:tr>
      <w:tr w:rsidR="000C1442" w:rsidRPr="00615B48" w14:paraId="5E55C7F6" w14:textId="77777777" w:rsidTr="002E1AF6">
        <w:trPr>
          <w:trHeight w:val="300"/>
          <w:jc w:val="center"/>
        </w:trPr>
        <w:tc>
          <w:tcPr>
            <w:tcW w:w="4395" w:type="dxa"/>
            <w:tcBorders>
              <w:top w:val="nil"/>
              <w:left w:val="nil"/>
              <w:bottom w:val="nil"/>
              <w:right w:val="nil"/>
            </w:tcBorders>
            <w:shd w:val="clear" w:color="auto" w:fill="auto"/>
            <w:vAlign w:val="bottom"/>
          </w:tcPr>
          <w:p w14:paraId="5B7D77B4" w14:textId="22067F4A" w:rsidR="000C1442" w:rsidRPr="00615B48" w:rsidRDefault="000C1442" w:rsidP="000C1442">
            <w:pPr>
              <w:rPr>
                <w:rFonts w:ascii="Arial" w:hAnsi="Arial" w:cs="Arial"/>
                <w:sz w:val="16"/>
                <w:szCs w:val="16"/>
                <w:lang w:eastAsia="es-AR"/>
              </w:rPr>
            </w:pPr>
            <w:r w:rsidRPr="00E43FE4">
              <w:rPr>
                <w:rFonts w:ascii="Arial" w:hAnsi="Arial" w:cs="Arial"/>
                <w:sz w:val="16"/>
                <w:szCs w:val="16"/>
                <w:lang w:eastAsia="es-AR"/>
              </w:rPr>
              <w:t>Activos no corrientes mantenidos para la venta</w:t>
            </w:r>
          </w:p>
        </w:tc>
        <w:tc>
          <w:tcPr>
            <w:tcW w:w="850" w:type="dxa"/>
            <w:tcBorders>
              <w:top w:val="nil"/>
              <w:left w:val="nil"/>
              <w:bottom w:val="nil"/>
              <w:right w:val="nil"/>
            </w:tcBorders>
            <w:shd w:val="clear" w:color="auto" w:fill="auto"/>
            <w:vAlign w:val="bottom"/>
          </w:tcPr>
          <w:p w14:paraId="77662947" w14:textId="12AB8DD2"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254A706C" w14:textId="00EE5D63" w:rsidR="000C1442" w:rsidRPr="001F4301" w:rsidRDefault="000C1442">
            <w:pPr>
              <w:jc w:val="right"/>
              <w:rPr>
                <w:rFonts w:ascii="Arial" w:hAnsi="Arial" w:cs="Arial"/>
                <w:sz w:val="16"/>
                <w:szCs w:val="16"/>
              </w:rPr>
            </w:pPr>
            <w:r w:rsidRPr="001F4301">
              <w:rPr>
                <w:rFonts w:ascii="Arial" w:hAnsi="Arial" w:cs="Arial"/>
                <w:sz w:val="16"/>
                <w:szCs w:val="16"/>
              </w:rPr>
              <w:t>-</w:t>
            </w:r>
          </w:p>
        </w:tc>
        <w:tc>
          <w:tcPr>
            <w:tcW w:w="1134" w:type="dxa"/>
            <w:tcBorders>
              <w:top w:val="nil"/>
              <w:left w:val="nil"/>
              <w:bottom w:val="nil"/>
              <w:right w:val="nil"/>
            </w:tcBorders>
            <w:shd w:val="clear" w:color="auto" w:fill="auto"/>
            <w:noWrap/>
            <w:vAlign w:val="bottom"/>
          </w:tcPr>
          <w:p w14:paraId="33C79ACE" w14:textId="20730B30" w:rsidR="000C1442" w:rsidRPr="001F4301" w:rsidRDefault="000C1442">
            <w:pPr>
              <w:jc w:val="right"/>
              <w:rPr>
                <w:rFonts w:ascii="Arial" w:hAnsi="Arial" w:cs="Arial"/>
                <w:sz w:val="16"/>
                <w:szCs w:val="16"/>
                <w:lang w:eastAsia="es-AR"/>
              </w:rPr>
            </w:pPr>
            <w:r w:rsidRPr="001F4301">
              <w:rPr>
                <w:rFonts w:ascii="Arial" w:hAnsi="Arial" w:cs="Arial"/>
                <w:sz w:val="16"/>
                <w:szCs w:val="16"/>
                <w:lang w:eastAsia="es-AR"/>
              </w:rPr>
              <w:t>-</w:t>
            </w:r>
          </w:p>
        </w:tc>
      </w:tr>
      <w:tr w:rsidR="000C1442" w:rsidRPr="00615B48" w14:paraId="6AD1E7F7" w14:textId="77777777" w:rsidTr="002E1AF6">
        <w:trPr>
          <w:trHeight w:val="300"/>
          <w:jc w:val="center"/>
        </w:trPr>
        <w:tc>
          <w:tcPr>
            <w:tcW w:w="4395" w:type="dxa"/>
            <w:tcBorders>
              <w:top w:val="nil"/>
              <w:left w:val="nil"/>
              <w:bottom w:val="nil"/>
              <w:right w:val="nil"/>
            </w:tcBorders>
            <w:shd w:val="clear" w:color="auto" w:fill="auto"/>
            <w:vAlign w:val="bottom"/>
            <w:hideMark/>
          </w:tcPr>
          <w:p w14:paraId="5E8D0E94" w14:textId="77777777" w:rsidR="000C1442" w:rsidRPr="00615B48" w:rsidRDefault="000C1442" w:rsidP="000C1442">
            <w:pPr>
              <w:rPr>
                <w:rFonts w:ascii="Arial" w:hAnsi="Arial" w:cs="Arial"/>
                <w:sz w:val="16"/>
                <w:szCs w:val="16"/>
                <w:lang w:eastAsia="es-AR"/>
              </w:rPr>
            </w:pPr>
          </w:p>
        </w:tc>
        <w:tc>
          <w:tcPr>
            <w:tcW w:w="850" w:type="dxa"/>
            <w:tcBorders>
              <w:top w:val="nil"/>
              <w:left w:val="nil"/>
              <w:bottom w:val="nil"/>
              <w:right w:val="nil"/>
            </w:tcBorders>
            <w:shd w:val="clear" w:color="auto" w:fill="auto"/>
            <w:vAlign w:val="bottom"/>
            <w:hideMark/>
          </w:tcPr>
          <w:p w14:paraId="64751F67" w14:textId="77777777" w:rsidR="000C1442" w:rsidRPr="00615B48" w:rsidRDefault="000C1442" w:rsidP="000C1442">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7C4291E0" w14:textId="1BEAD34E" w:rsidR="000C1442" w:rsidRPr="001F4301" w:rsidRDefault="000C1442">
            <w:pPr>
              <w:jc w:val="right"/>
              <w:rPr>
                <w:rFonts w:ascii="Arial" w:hAnsi="Arial" w:cs="Arial"/>
                <w:sz w:val="16"/>
                <w:szCs w:val="16"/>
              </w:rPr>
            </w:pPr>
          </w:p>
        </w:tc>
        <w:tc>
          <w:tcPr>
            <w:tcW w:w="1134" w:type="dxa"/>
            <w:tcBorders>
              <w:top w:val="nil"/>
              <w:left w:val="nil"/>
              <w:bottom w:val="nil"/>
              <w:right w:val="nil"/>
            </w:tcBorders>
            <w:shd w:val="clear" w:color="auto" w:fill="auto"/>
            <w:noWrap/>
            <w:vAlign w:val="bottom"/>
          </w:tcPr>
          <w:p w14:paraId="20E327F4" w14:textId="76050467" w:rsidR="000C1442" w:rsidRPr="001F4301" w:rsidRDefault="000C1442">
            <w:pPr>
              <w:jc w:val="right"/>
              <w:rPr>
                <w:rFonts w:ascii="Arial" w:hAnsi="Arial" w:cs="Arial"/>
                <w:sz w:val="16"/>
                <w:szCs w:val="16"/>
                <w:lang w:eastAsia="es-AR"/>
              </w:rPr>
            </w:pPr>
          </w:p>
        </w:tc>
      </w:tr>
      <w:tr w:rsidR="000C1442" w:rsidRPr="00615B48" w14:paraId="1B524CCC" w14:textId="77777777" w:rsidTr="002E1AF6">
        <w:trPr>
          <w:trHeight w:val="300"/>
          <w:jc w:val="center"/>
        </w:trPr>
        <w:tc>
          <w:tcPr>
            <w:tcW w:w="4395" w:type="dxa"/>
            <w:tcBorders>
              <w:top w:val="nil"/>
              <w:left w:val="nil"/>
              <w:bottom w:val="nil"/>
              <w:right w:val="nil"/>
            </w:tcBorders>
            <w:shd w:val="clear" w:color="auto" w:fill="auto"/>
            <w:vAlign w:val="center"/>
            <w:hideMark/>
          </w:tcPr>
          <w:p w14:paraId="11BCE126" w14:textId="5A6C6729" w:rsidR="000C1442" w:rsidRPr="00615B48" w:rsidRDefault="000C1442" w:rsidP="000C1442">
            <w:pPr>
              <w:rPr>
                <w:rFonts w:ascii="Arial" w:hAnsi="Arial" w:cs="Arial"/>
                <w:b/>
                <w:bCs/>
                <w:sz w:val="16"/>
                <w:szCs w:val="16"/>
                <w:lang w:eastAsia="es-AR"/>
              </w:rPr>
            </w:pPr>
            <w:r>
              <w:rPr>
                <w:rFonts w:ascii="Arial" w:hAnsi="Arial" w:cs="Arial"/>
                <w:b/>
                <w:bCs/>
                <w:sz w:val="16"/>
                <w:szCs w:val="16"/>
                <w:lang w:eastAsia="es-AR"/>
              </w:rPr>
              <w:t>TOTAL DEL ACTIVO</w:t>
            </w:r>
          </w:p>
        </w:tc>
        <w:tc>
          <w:tcPr>
            <w:tcW w:w="850" w:type="dxa"/>
            <w:tcBorders>
              <w:top w:val="nil"/>
              <w:left w:val="nil"/>
              <w:bottom w:val="nil"/>
              <w:right w:val="nil"/>
            </w:tcBorders>
            <w:shd w:val="clear" w:color="auto" w:fill="auto"/>
            <w:hideMark/>
          </w:tcPr>
          <w:p w14:paraId="1616305F" w14:textId="77777777" w:rsidR="000C1442" w:rsidRPr="00615B48" w:rsidRDefault="000C1442" w:rsidP="000C1442">
            <w:pPr>
              <w:jc w:val="center"/>
              <w:rPr>
                <w:rFonts w:ascii="Arial" w:hAnsi="Arial" w:cs="Arial"/>
                <w:b/>
                <w:bCs/>
                <w:sz w:val="16"/>
                <w:szCs w:val="16"/>
                <w:lang w:eastAsia="es-AR"/>
              </w:rPr>
            </w:pPr>
          </w:p>
        </w:tc>
        <w:tc>
          <w:tcPr>
            <w:tcW w:w="1276" w:type="dxa"/>
            <w:tcBorders>
              <w:top w:val="single" w:sz="4" w:space="0" w:color="auto"/>
              <w:left w:val="nil"/>
              <w:bottom w:val="single" w:sz="4" w:space="0" w:color="auto"/>
              <w:right w:val="nil"/>
            </w:tcBorders>
            <w:shd w:val="clear" w:color="auto" w:fill="auto"/>
            <w:noWrap/>
            <w:vAlign w:val="bottom"/>
          </w:tcPr>
          <w:p w14:paraId="6C4A5D83" w14:textId="77B9B185" w:rsidR="000C1442" w:rsidRPr="001F4301" w:rsidRDefault="000C1442">
            <w:pPr>
              <w:jc w:val="right"/>
              <w:rPr>
                <w:rFonts w:ascii="Arial" w:hAnsi="Arial" w:cs="Arial"/>
                <w:b/>
                <w:bCs/>
                <w:sz w:val="16"/>
                <w:szCs w:val="16"/>
              </w:rPr>
            </w:pPr>
            <w:r w:rsidRPr="001F4301">
              <w:rPr>
                <w:rFonts w:ascii="Arial" w:hAnsi="Arial" w:cs="Arial"/>
                <w:b/>
                <w:bCs/>
                <w:sz w:val="16"/>
                <w:szCs w:val="16"/>
              </w:rPr>
              <w:t>190.352.958</w:t>
            </w:r>
          </w:p>
        </w:tc>
        <w:tc>
          <w:tcPr>
            <w:tcW w:w="1134" w:type="dxa"/>
            <w:tcBorders>
              <w:top w:val="single" w:sz="4" w:space="0" w:color="auto"/>
              <w:left w:val="nil"/>
              <w:bottom w:val="single" w:sz="4" w:space="0" w:color="auto"/>
              <w:right w:val="nil"/>
            </w:tcBorders>
            <w:shd w:val="clear" w:color="auto" w:fill="auto"/>
            <w:noWrap/>
            <w:vAlign w:val="bottom"/>
          </w:tcPr>
          <w:p w14:paraId="7BF262D9" w14:textId="5553A51E" w:rsidR="000C1442" w:rsidRPr="001F4301" w:rsidRDefault="000C1442">
            <w:pPr>
              <w:jc w:val="right"/>
              <w:rPr>
                <w:rFonts w:ascii="Arial" w:hAnsi="Arial" w:cs="Arial"/>
                <w:b/>
                <w:bCs/>
                <w:sz w:val="16"/>
                <w:szCs w:val="16"/>
                <w:lang w:val="es-ES_tradnl" w:eastAsia="es-AR"/>
              </w:rPr>
            </w:pPr>
            <w:r w:rsidRPr="001F4301">
              <w:rPr>
                <w:rFonts w:ascii="Arial" w:hAnsi="Arial" w:cs="Arial"/>
                <w:b/>
                <w:bCs/>
                <w:sz w:val="16"/>
                <w:szCs w:val="16"/>
              </w:rPr>
              <w:t>154.144.29</w:t>
            </w:r>
            <w:r w:rsidR="00666113" w:rsidRPr="001F4301">
              <w:rPr>
                <w:rFonts w:ascii="Arial" w:hAnsi="Arial" w:cs="Arial"/>
                <w:b/>
                <w:bCs/>
                <w:sz w:val="16"/>
                <w:szCs w:val="16"/>
              </w:rPr>
              <w:t>7</w:t>
            </w:r>
          </w:p>
        </w:tc>
      </w:tr>
    </w:tbl>
    <w:p w14:paraId="5D43326E" w14:textId="28CE4BE2" w:rsidR="00615B48" w:rsidRPr="00826C1B" w:rsidRDefault="00615B48" w:rsidP="000428A1">
      <w:pPr>
        <w:tabs>
          <w:tab w:val="left" w:pos="1320"/>
        </w:tabs>
        <w:rPr>
          <w:sz w:val="16"/>
          <w:szCs w:val="16"/>
          <w:lang w:eastAsia="es-AR"/>
        </w:rPr>
      </w:pPr>
    </w:p>
    <w:tbl>
      <w:tblPr>
        <w:tblW w:w="8337" w:type="dxa"/>
        <w:jc w:val="center"/>
        <w:tblCellMar>
          <w:left w:w="70" w:type="dxa"/>
          <w:right w:w="70" w:type="dxa"/>
        </w:tblCellMar>
        <w:tblLook w:val="04A0" w:firstRow="1" w:lastRow="0" w:firstColumn="1" w:lastColumn="0" w:noHBand="0" w:noVBand="1"/>
      </w:tblPr>
      <w:tblGrid>
        <w:gridCol w:w="4907"/>
        <w:gridCol w:w="737"/>
        <w:gridCol w:w="1417"/>
        <w:gridCol w:w="1276"/>
      </w:tblGrid>
      <w:tr w:rsidR="00323E0E" w:rsidRPr="00615B48" w14:paraId="1574447D" w14:textId="77777777" w:rsidTr="00AA40A5">
        <w:trPr>
          <w:trHeight w:val="300"/>
          <w:jc w:val="center"/>
        </w:trPr>
        <w:tc>
          <w:tcPr>
            <w:tcW w:w="490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5F28917"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lastRenderedPageBreak/>
              <w:t>Conceptos</w:t>
            </w:r>
          </w:p>
        </w:tc>
        <w:tc>
          <w:tcPr>
            <w:tcW w:w="73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4821D1B"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t>Notas</w:t>
            </w:r>
          </w:p>
        </w:tc>
        <w:tc>
          <w:tcPr>
            <w:tcW w:w="141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3EA3886C" w14:textId="7998835D" w:rsidR="00323E0E" w:rsidRPr="00615B48" w:rsidRDefault="00634606" w:rsidP="00634606">
            <w:pPr>
              <w:jc w:val="center"/>
              <w:rPr>
                <w:rFonts w:ascii="Arial" w:hAnsi="Arial" w:cs="Arial"/>
                <w:b/>
                <w:bCs/>
                <w:sz w:val="16"/>
                <w:szCs w:val="16"/>
                <w:lang w:eastAsia="es-AR"/>
              </w:rPr>
            </w:pPr>
            <w:r>
              <w:rPr>
                <w:rFonts w:ascii="Arial" w:hAnsi="Arial" w:cs="Arial"/>
                <w:b/>
                <w:bCs/>
                <w:sz w:val="16"/>
                <w:szCs w:val="16"/>
                <w:lang w:eastAsia="es-AR"/>
              </w:rPr>
              <w:t>3</w:t>
            </w:r>
            <w:r w:rsidR="006E41DF">
              <w:rPr>
                <w:rFonts w:ascii="Arial" w:hAnsi="Arial" w:cs="Arial"/>
                <w:b/>
                <w:bCs/>
                <w:sz w:val="16"/>
                <w:szCs w:val="16"/>
                <w:lang w:eastAsia="es-AR"/>
              </w:rPr>
              <w:t>1</w:t>
            </w:r>
            <w:r w:rsidR="00323E0E">
              <w:rPr>
                <w:rFonts w:ascii="Arial" w:hAnsi="Arial" w:cs="Arial"/>
                <w:b/>
                <w:bCs/>
                <w:sz w:val="16"/>
                <w:szCs w:val="16"/>
                <w:lang w:eastAsia="es-AR"/>
              </w:rPr>
              <w:t>/0</w:t>
            </w:r>
            <w:r w:rsidR="006E41DF">
              <w:rPr>
                <w:rFonts w:ascii="Arial" w:hAnsi="Arial" w:cs="Arial"/>
                <w:b/>
                <w:bCs/>
                <w:sz w:val="16"/>
                <w:szCs w:val="16"/>
                <w:lang w:eastAsia="es-AR"/>
              </w:rPr>
              <w:t>3</w:t>
            </w:r>
            <w:r w:rsidR="00323E0E">
              <w:rPr>
                <w:rFonts w:ascii="Arial" w:hAnsi="Arial" w:cs="Arial"/>
                <w:b/>
                <w:bCs/>
                <w:sz w:val="16"/>
                <w:szCs w:val="16"/>
                <w:lang w:eastAsia="es-AR"/>
              </w:rPr>
              <w:t>/20</w:t>
            </w:r>
            <w:r w:rsidR="006E41DF">
              <w:rPr>
                <w:rFonts w:ascii="Arial" w:hAnsi="Arial" w:cs="Arial"/>
                <w:b/>
                <w:bCs/>
                <w:sz w:val="16"/>
                <w:szCs w:val="16"/>
                <w:lang w:eastAsia="es-AR"/>
              </w:rPr>
              <w:t>20</w:t>
            </w:r>
          </w:p>
        </w:tc>
        <w:tc>
          <w:tcPr>
            <w:tcW w:w="1276"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22B57B91" w14:textId="43109C77" w:rsidR="00323E0E" w:rsidRPr="00615B48" w:rsidRDefault="00323E0E" w:rsidP="00A04D8C">
            <w:pPr>
              <w:jc w:val="center"/>
              <w:rPr>
                <w:rFonts w:ascii="Arial" w:hAnsi="Arial" w:cs="Arial"/>
                <w:b/>
                <w:bCs/>
                <w:sz w:val="16"/>
                <w:szCs w:val="16"/>
                <w:lang w:eastAsia="es-AR"/>
              </w:rPr>
            </w:pPr>
            <w:r>
              <w:rPr>
                <w:rFonts w:ascii="Arial" w:hAnsi="Arial" w:cs="Arial"/>
                <w:b/>
                <w:bCs/>
                <w:sz w:val="16"/>
                <w:szCs w:val="16"/>
                <w:lang w:eastAsia="es-AR"/>
              </w:rPr>
              <w:t>31</w:t>
            </w:r>
            <w:r w:rsidRPr="00615B48">
              <w:rPr>
                <w:rFonts w:ascii="Arial" w:hAnsi="Arial" w:cs="Arial"/>
                <w:b/>
                <w:bCs/>
                <w:sz w:val="16"/>
                <w:szCs w:val="16"/>
                <w:lang w:eastAsia="es-AR"/>
              </w:rPr>
              <w:t>/</w:t>
            </w:r>
            <w:r>
              <w:rPr>
                <w:rFonts w:ascii="Arial" w:hAnsi="Arial" w:cs="Arial"/>
                <w:b/>
                <w:bCs/>
                <w:sz w:val="16"/>
                <w:szCs w:val="16"/>
                <w:lang w:eastAsia="es-AR"/>
              </w:rPr>
              <w:t>12</w:t>
            </w:r>
            <w:r w:rsidRPr="00615B48">
              <w:rPr>
                <w:rFonts w:ascii="Arial" w:hAnsi="Arial" w:cs="Arial"/>
                <w:b/>
                <w:bCs/>
                <w:sz w:val="16"/>
                <w:szCs w:val="16"/>
                <w:lang w:eastAsia="es-AR"/>
              </w:rPr>
              <w:t>/201</w:t>
            </w:r>
            <w:r w:rsidR="006E41DF">
              <w:rPr>
                <w:rFonts w:ascii="Arial" w:hAnsi="Arial" w:cs="Arial"/>
                <w:b/>
                <w:bCs/>
                <w:sz w:val="16"/>
                <w:szCs w:val="16"/>
                <w:lang w:eastAsia="es-AR"/>
              </w:rPr>
              <w:t>9</w:t>
            </w:r>
          </w:p>
        </w:tc>
      </w:tr>
      <w:tr w:rsidR="00323E0E" w:rsidRPr="00615B48" w14:paraId="48F79512" w14:textId="77777777" w:rsidTr="00AA40A5">
        <w:trPr>
          <w:trHeight w:val="285"/>
          <w:jc w:val="center"/>
        </w:trPr>
        <w:tc>
          <w:tcPr>
            <w:tcW w:w="490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874255C" w14:textId="77777777" w:rsidR="00323E0E" w:rsidRPr="00615B48" w:rsidRDefault="00323E0E" w:rsidP="00615B48">
            <w:pPr>
              <w:rPr>
                <w:rFonts w:ascii="Arial" w:hAnsi="Arial" w:cs="Arial"/>
                <w:b/>
                <w:bCs/>
                <w:sz w:val="16"/>
                <w:szCs w:val="16"/>
                <w:lang w:eastAsia="es-AR"/>
              </w:rPr>
            </w:pPr>
          </w:p>
        </w:tc>
        <w:tc>
          <w:tcPr>
            <w:tcW w:w="73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ACA0BDF" w14:textId="77777777" w:rsidR="00323E0E" w:rsidRPr="00615B48" w:rsidRDefault="00323E0E" w:rsidP="00826C1B">
            <w:pPr>
              <w:jc w:val="center"/>
              <w:rPr>
                <w:rFonts w:ascii="Arial" w:hAnsi="Arial" w:cs="Arial"/>
                <w:b/>
                <w:bCs/>
                <w:sz w:val="16"/>
                <w:szCs w:val="16"/>
                <w:lang w:eastAsia="es-AR"/>
              </w:rPr>
            </w:pPr>
          </w:p>
        </w:tc>
        <w:tc>
          <w:tcPr>
            <w:tcW w:w="141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04362E80" w14:textId="77777777" w:rsidR="00323E0E" w:rsidRPr="00615B48" w:rsidRDefault="00323E0E" w:rsidP="00615B48">
            <w:pPr>
              <w:jc w:val="right"/>
              <w:rPr>
                <w:rFonts w:ascii="Arial" w:hAnsi="Arial" w:cs="Arial"/>
                <w:b/>
                <w:bCs/>
                <w:sz w:val="16"/>
                <w:szCs w:val="16"/>
                <w:lang w:eastAsia="es-AR"/>
              </w:rPr>
            </w:pPr>
          </w:p>
        </w:tc>
        <w:tc>
          <w:tcPr>
            <w:tcW w:w="1276"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2DA298BA" w14:textId="77777777" w:rsidR="00323E0E" w:rsidRPr="00615B48" w:rsidRDefault="00323E0E" w:rsidP="00615B48">
            <w:pPr>
              <w:jc w:val="right"/>
              <w:rPr>
                <w:rFonts w:ascii="Arial" w:hAnsi="Arial" w:cs="Arial"/>
                <w:b/>
                <w:bCs/>
                <w:sz w:val="16"/>
                <w:szCs w:val="16"/>
                <w:lang w:eastAsia="es-AR"/>
              </w:rPr>
            </w:pPr>
          </w:p>
        </w:tc>
      </w:tr>
      <w:tr w:rsidR="00323E0E" w:rsidRPr="00E43FE4" w14:paraId="611242A1" w14:textId="77777777" w:rsidTr="00534414">
        <w:trPr>
          <w:trHeight w:val="70"/>
          <w:jc w:val="center"/>
        </w:trPr>
        <w:tc>
          <w:tcPr>
            <w:tcW w:w="4907" w:type="dxa"/>
            <w:tcBorders>
              <w:top w:val="nil"/>
              <w:left w:val="nil"/>
              <w:bottom w:val="nil"/>
              <w:right w:val="nil"/>
            </w:tcBorders>
            <w:shd w:val="clear" w:color="auto" w:fill="auto"/>
            <w:vAlign w:val="center"/>
            <w:hideMark/>
          </w:tcPr>
          <w:p w14:paraId="5D1EA582" w14:textId="77777777" w:rsidR="00323E0E" w:rsidRPr="00E43FE4" w:rsidRDefault="00323E0E" w:rsidP="00615B48">
            <w:pPr>
              <w:jc w:val="center"/>
              <w:rPr>
                <w:rFonts w:ascii="Arial" w:hAnsi="Arial" w:cs="Arial"/>
                <w:b/>
                <w:bCs/>
                <w:sz w:val="10"/>
                <w:szCs w:val="10"/>
                <w:lang w:eastAsia="es-AR"/>
              </w:rPr>
            </w:pPr>
            <w:r w:rsidRPr="00E43FE4">
              <w:rPr>
                <w:rFonts w:ascii="Arial" w:hAnsi="Arial" w:cs="Arial"/>
                <w:b/>
                <w:bCs/>
                <w:sz w:val="10"/>
                <w:szCs w:val="10"/>
                <w:lang w:eastAsia="es-AR"/>
              </w:rPr>
              <w:t> </w:t>
            </w:r>
          </w:p>
        </w:tc>
        <w:tc>
          <w:tcPr>
            <w:tcW w:w="737" w:type="dxa"/>
            <w:tcBorders>
              <w:top w:val="nil"/>
              <w:left w:val="nil"/>
              <w:bottom w:val="nil"/>
              <w:right w:val="nil"/>
            </w:tcBorders>
            <w:shd w:val="clear" w:color="auto" w:fill="auto"/>
            <w:vAlign w:val="center"/>
            <w:hideMark/>
          </w:tcPr>
          <w:p w14:paraId="7BC0617C" w14:textId="648FEB03" w:rsidR="00323E0E" w:rsidRPr="00E43FE4" w:rsidRDefault="00323E0E" w:rsidP="00826C1B">
            <w:pPr>
              <w:jc w:val="center"/>
              <w:rPr>
                <w:rFonts w:ascii="Arial" w:hAnsi="Arial" w:cs="Arial"/>
                <w:b/>
                <w:bCs/>
                <w:sz w:val="10"/>
                <w:szCs w:val="10"/>
                <w:lang w:eastAsia="es-AR"/>
              </w:rPr>
            </w:pPr>
          </w:p>
        </w:tc>
        <w:tc>
          <w:tcPr>
            <w:tcW w:w="1417" w:type="dxa"/>
            <w:tcBorders>
              <w:top w:val="nil"/>
              <w:left w:val="nil"/>
              <w:bottom w:val="nil"/>
              <w:right w:val="nil"/>
            </w:tcBorders>
            <w:shd w:val="clear" w:color="auto" w:fill="auto"/>
            <w:noWrap/>
            <w:vAlign w:val="center"/>
            <w:hideMark/>
          </w:tcPr>
          <w:p w14:paraId="1E68DC84" w14:textId="62B313A0" w:rsidR="00323E0E" w:rsidRPr="00E43FE4" w:rsidRDefault="00323E0E" w:rsidP="00615B48">
            <w:pPr>
              <w:jc w:val="right"/>
              <w:rPr>
                <w:rFonts w:ascii="Arial" w:hAnsi="Arial" w:cs="Arial"/>
                <w:color w:val="000000"/>
                <w:sz w:val="10"/>
                <w:szCs w:val="10"/>
                <w:lang w:eastAsia="es-AR"/>
              </w:rPr>
            </w:pPr>
          </w:p>
        </w:tc>
        <w:tc>
          <w:tcPr>
            <w:tcW w:w="1276" w:type="dxa"/>
            <w:tcBorders>
              <w:top w:val="nil"/>
              <w:left w:val="nil"/>
              <w:bottom w:val="nil"/>
              <w:right w:val="nil"/>
            </w:tcBorders>
            <w:shd w:val="clear" w:color="auto" w:fill="auto"/>
            <w:noWrap/>
            <w:vAlign w:val="center"/>
            <w:hideMark/>
          </w:tcPr>
          <w:p w14:paraId="37E08134" w14:textId="0B04BB91" w:rsidR="00323E0E" w:rsidRPr="00E43FE4" w:rsidRDefault="00323E0E" w:rsidP="00615B48">
            <w:pPr>
              <w:jc w:val="right"/>
              <w:rPr>
                <w:rFonts w:ascii="Arial" w:hAnsi="Arial" w:cs="Arial"/>
                <w:color w:val="000000"/>
                <w:sz w:val="10"/>
                <w:szCs w:val="10"/>
                <w:lang w:eastAsia="es-AR"/>
              </w:rPr>
            </w:pPr>
          </w:p>
        </w:tc>
      </w:tr>
      <w:tr w:rsidR="00323E0E" w:rsidRPr="00615B48" w14:paraId="6D836B0E" w14:textId="77777777" w:rsidTr="00534414">
        <w:trPr>
          <w:trHeight w:val="285"/>
          <w:jc w:val="center"/>
        </w:trPr>
        <w:tc>
          <w:tcPr>
            <w:tcW w:w="4907" w:type="dxa"/>
            <w:tcBorders>
              <w:top w:val="nil"/>
              <w:left w:val="nil"/>
              <w:bottom w:val="nil"/>
              <w:right w:val="nil"/>
            </w:tcBorders>
            <w:shd w:val="clear" w:color="auto" w:fill="auto"/>
            <w:hideMark/>
          </w:tcPr>
          <w:p w14:paraId="1492F681" w14:textId="77777777" w:rsidR="00323E0E" w:rsidRPr="00615B48" w:rsidRDefault="00323E0E" w:rsidP="00615B48">
            <w:pPr>
              <w:rPr>
                <w:rFonts w:ascii="Arial" w:hAnsi="Arial" w:cs="Arial"/>
                <w:b/>
                <w:bCs/>
                <w:sz w:val="16"/>
                <w:szCs w:val="16"/>
                <w:lang w:eastAsia="es-AR"/>
              </w:rPr>
            </w:pPr>
            <w:r w:rsidRPr="00615B48">
              <w:rPr>
                <w:rFonts w:ascii="Arial" w:hAnsi="Arial" w:cs="Arial"/>
                <w:b/>
                <w:bCs/>
                <w:sz w:val="16"/>
                <w:szCs w:val="16"/>
                <w:lang w:eastAsia="es-AR"/>
              </w:rPr>
              <w:t>PASIVO</w:t>
            </w:r>
          </w:p>
        </w:tc>
        <w:tc>
          <w:tcPr>
            <w:tcW w:w="737" w:type="dxa"/>
            <w:tcBorders>
              <w:top w:val="nil"/>
              <w:left w:val="nil"/>
              <w:bottom w:val="nil"/>
              <w:right w:val="nil"/>
            </w:tcBorders>
            <w:shd w:val="clear" w:color="auto" w:fill="auto"/>
            <w:vAlign w:val="center"/>
            <w:hideMark/>
          </w:tcPr>
          <w:p w14:paraId="6507686F" w14:textId="77777777" w:rsidR="00323E0E" w:rsidRPr="00615B48" w:rsidRDefault="00323E0E" w:rsidP="00826C1B">
            <w:pPr>
              <w:jc w:val="center"/>
              <w:rPr>
                <w:rFonts w:ascii="Arial" w:hAnsi="Arial" w:cs="Arial"/>
                <w:b/>
                <w:bCs/>
                <w:sz w:val="16"/>
                <w:szCs w:val="16"/>
                <w:lang w:eastAsia="es-AR"/>
              </w:rPr>
            </w:pPr>
          </w:p>
        </w:tc>
        <w:tc>
          <w:tcPr>
            <w:tcW w:w="1417" w:type="dxa"/>
            <w:tcBorders>
              <w:top w:val="nil"/>
              <w:left w:val="nil"/>
              <w:bottom w:val="nil"/>
              <w:right w:val="nil"/>
            </w:tcBorders>
            <w:shd w:val="clear" w:color="auto" w:fill="auto"/>
            <w:hideMark/>
          </w:tcPr>
          <w:p w14:paraId="683E65A7" w14:textId="77777777" w:rsidR="00323E0E" w:rsidRPr="00615B48" w:rsidRDefault="00323E0E" w:rsidP="00615B48">
            <w:pPr>
              <w:jc w:val="right"/>
              <w:rPr>
                <w:rFonts w:ascii="Arial" w:hAnsi="Arial" w:cs="Arial"/>
                <w:sz w:val="16"/>
                <w:szCs w:val="16"/>
                <w:lang w:eastAsia="es-AR"/>
              </w:rPr>
            </w:pPr>
          </w:p>
        </w:tc>
        <w:tc>
          <w:tcPr>
            <w:tcW w:w="1276" w:type="dxa"/>
            <w:tcBorders>
              <w:top w:val="nil"/>
              <w:left w:val="nil"/>
              <w:bottom w:val="nil"/>
              <w:right w:val="nil"/>
            </w:tcBorders>
            <w:shd w:val="clear" w:color="auto" w:fill="auto"/>
            <w:hideMark/>
          </w:tcPr>
          <w:p w14:paraId="3CCEB71F" w14:textId="77777777" w:rsidR="00323E0E" w:rsidRPr="00615B48" w:rsidRDefault="00323E0E" w:rsidP="00615B48">
            <w:pPr>
              <w:jc w:val="right"/>
              <w:rPr>
                <w:rFonts w:ascii="Arial" w:hAnsi="Arial" w:cs="Arial"/>
                <w:sz w:val="16"/>
                <w:szCs w:val="16"/>
                <w:lang w:eastAsia="es-AR"/>
              </w:rPr>
            </w:pPr>
          </w:p>
        </w:tc>
      </w:tr>
      <w:tr w:rsidR="000C1442" w:rsidRPr="00615B48" w14:paraId="21CABCBB" w14:textId="77777777" w:rsidTr="002E1AF6">
        <w:trPr>
          <w:trHeight w:val="285"/>
          <w:jc w:val="center"/>
        </w:trPr>
        <w:tc>
          <w:tcPr>
            <w:tcW w:w="4907" w:type="dxa"/>
            <w:tcBorders>
              <w:top w:val="nil"/>
              <w:left w:val="nil"/>
              <w:bottom w:val="nil"/>
              <w:right w:val="nil"/>
            </w:tcBorders>
            <w:shd w:val="clear" w:color="auto" w:fill="auto"/>
            <w:vAlign w:val="bottom"/>
            <w:hideMark/>
          </w:tcPr>
          <w:p w14:paraId="65AEE8ED" w14:textId="3936F705"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Depósitos </w:t>
            </w:r>
            <w:r w:rsidRPr="00615B48">
              <w:rPr>
                <w:rFonts w:ascii="Arial" w:hAnsi="Arial" w:cs="Arial"/>
                <w:b/>
                <w:bCs/>
                <w:sz w:val="16"/>
                <w:szCs w:val="16"/>
                <w:lang w:eastAsia="es-AR"/>
              </w:rPr>
              <w:t>(Anexos H</w:t>
            </w:r>
            <w:r>
              <w:rPr>
                <w:rFonts w:ascii="Arial" w:hAnsi="Arial" w:cs="Arial"/>
                <w:b/>
                <w:bCs/>
                <w:sz w:val="16"/>
                <w:szCs w:val="16"/>
                <w:lang w:eastAsia="es-AR"/>
              </w:rPr>
              <w:t xml:space="preserve"> e</w:t>
            </w:r>
            <w:r w:rsidRPr="00615B48">
              <w:rPr>
                <w:rFonts w:ascii="Arial" w:hAnsi="Arial" w:cs="Arial"/>
                <w:b/>
                <w:bCs/>
                <w:sz w:val="16"/>
                <w:szCs w:val="16"/>
                <w:lang w:eastAsia="es-AR"/>
              </w:rPr>
              <w:t xml:space="preserve"> I)</w:t>
            </w:r>
          </w:p>
        </w:tc>
        <w:tc>
          <w:tcPr>
            <w:tcW w:w="737" w:type="dxa"/>
            <w:tcBorders>
              <w:top w:val="nil"/>
              <w:left w:val="nil"/>
              <w:bottom w:val="nil"/>
              <w:right w:val="nil"/>
            </w:tcBorders>
            <w:shd w:val="clear" w:color="auto" w:fill="auto"/>
            <w:vAlign w:val="bottom"/>
            <w:hideMark/>
          </w:tcPr>
          <w:p w14:paraId="022ABB38" w14:textId="701A59EA"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3C5D1522" w14:textId="09707982" w:rsidR="000C1442" w:rsidRPr="001F4301" w:rsidRDefault="000C1442">
            <w:pPr>
              <w:jc w:val="right"/>
              <w:rPr>
                <w:rFonts w:ascii="Arial" w:hAnsi="Arial" w:cs="Arial"/>
                <w:sz w:val="16"/>
                <w:szCs w:val="16"/>
              </w:rPr>
            </w:pPr>
            <w:r w:rsidRPr="001F4301">
              <w:rPr>
                <w:rFonts w:ascii="Arial" w:hAnsi="Arial" w:cs="Arial"/>
                <w:sz w:val="16"/>
                <w:szCs w:val="16"/>
              </w:rPr>
              <w:t>139.639.135</w:t>
            </w:r>
          </w:p>
        </w:tc>
        <w:tc>
          <w:tcPr>
            <w:tcW w:w="1276" w:type="dxa"/>
            <w:tcBorders>
              <w:top w:val="nil"/>
              <w:left w:val="nil"/>
              <w:bottom w:val="nil"/>
              <w:right w:val="nil"/>
            </w:tcBorders>
            <w:shd w:val="clear" w:color="auto" w:fill="auto"/>
            <w:noWrap/>
            <w:vAlign w:val="bottom"/>
          </w:tcPr>
          <w:p w14:paraId="5A007F43" w14:textId="634E0B57" w:rsidR="000C1442" w:rsidRPr="001F4301" w:rsidRDefault="000C1442">
            <w:pPr>
              <w:jc w:val="right"/>
              <w:rPr>
                <w:rFonts w:ascii="Arial" w:hAnsi="Arial" w:cs="Arial"/>
                <w:sz w:val="16"/>
                <w:szCs w:val="16"/>
                <w:lang w:eastAsia="es-AR"/>
              </w:rPr>
            </w:pPr>
            <w:r w:rsidRPr="002E1AF6">
              <w:rPr>
                <w:rFonts w:ascii="Arial" w:hAnsi="Arial" w:cs="Arial"/>
                <w:bCs/>
                <w:sz w:val="16"/>
                <w:szCs w:val="16"/>
              </w:rPr>
              <w:t>98.612.709</w:t>
            </w:r>
          </w:p>
        </w:tc>
      </w:tr>
      <w:tr w:rsidR="000C1442" w:rsidRPr="00615B48" w14:paraId="412DB14D" w14:textId="77777777" w:rsidTr="002E1AF6">
        <w:trPr>
          <w:trHeight w:val="285"/>
          <w:jc w:val="center"/>
        </w:trPr>
        <w:tc>
          <w:tcPr>
            <w:tcW w:w="4907" w:type="dxa"/>
            <w:tcBorders>
              <w:top w:val="nil"/>
              <w:left w:val="nil"/>
              <w:bottom w:val="nil"/>
              <w:right w:val="nil"/>
            </w:tcBorders>
            <w:shd w:val="clear" w:color="auto" w:fill="auto"/>
            <w:vAlign w:val="bottom"/>
            <w:hideMark/>
          </w:tcPr>
          <w:p w14:paraId="79B70A0D"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Sector Público no Financiero</w:t>
            </w:r>
          </w:p>
        </w:tc>
        <w:tc>
          <w:tcPr>
            <w:tcW w:w="737" w:type="dxa"/>
            <w:tcBorders>
              <w:top w:val="nil"/>
              <w:left w:val="nil"/>
              <w:bottom w:val="nil"/>
              <w:right w:val="nil"/>
            </w:tcBorders>
            <w:shd w:val="clear" w:color="auto" w:fill="auto"/>
            <w:vAlign w:val="bottom"/>
            <w:hideMark/>
          </w:tcPr>
          <w:p w14:paraId="7E0996CB"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0EAF689" w14:textId="3AF2377C" w:rsidR="000C1442" w:rsidRPr="001F4301" w:rsidRDefault="000C1442">
            <w:pPr>
              <w:jc w:val="right"/>
              <w:rPr>
                <w:rFonts w:ascii="Arial" w:hAnsi="Arial" w:cs="Arial"/>
                <w:sz w:val="16"/>
                <w:szCs w:val="16"/>
              </w:rPr>
            </w:pPr>
            <w:r w:rsidRPr="001F4301">
              <w:rPr>
                <w:rFonts w:ascii="Arial" w:hAnsi="Arial" w:cs="Arial"/>
                <w:sz w:val="16"/>
                <w:szCs w:val="16"/>
              </w:rPr>
              <w:t>5.568.195</w:t>
            </w:r>
          </w:p>
        </w:tc>
        <w:tc>
          <w:tcPr>
            <w:tcW w:w="1276" w:type="dxa"/>
            <w:tcBorders>
              <w:top w:val="nil"/>
              <w:left w:val="nil"/>
              <w:bottom w:val="nil"/>
              <w:right w:val="nil"/>
            </w:tcBorders>
            <w:shd w:val="clear" w:color="auto" w:fill="auto"/>
            <w:noWrap/>
            <w:vAlign w:val="bottom"/>
          </w:tcPr>
          <w:p w14:paraId="6100CB4C" w14:textId="4415FB53" w:rsidR="000C1442" w:rsidRPr="001F4301" w:rsidRDefault="000C1442">
            <w:pPr>
              <w:jc w:val="right"/>
              <w:rPr>
                <w:rFonts w:ascii="Arial" w:hAnsi="Arial" w:cs="Arial"/>
                <w:sz w:val="16"/>
                <w:szCs w:val="16"/>
                <w:lang w:eastAsia="es-AR"/>
              </w:rPr>
            </w:pPr>
            <w:r w:rsidRPr="002E1AF6">
              <w:rPr>
                <w:rFonts w:ascii="Arial" w:hAnsi="Arial" w:cs="Arial"/>
                <w:sz w:val="16"/>
                <w:szCs w:val="16"/>
              </w:rPr>
              <w:t>5.896.851</w:t>
            </w:r>
          </w:p>
        </w:tc>
      </w:tr>
      <w:tr w:rsidR="000C1442" w:rsidRPr="00615B48" w14:paraId="336D30E7" w14:textId="77777777" w:rsidTr="002E1AF6">
        <w:trPr>
          <w:trHeight w:val="285"/>
          <w:jc w:val="center"/>
        </w:trPr>
        <w:tc>
          <w:tcPr>
            <w:tcW w:w="4907" w:type="dxa"/>
            <w:tcBorders>
              <w:top w:val="nil"/>
              <w:left w:val="nil"/>
              <w:bottom w:val="nil"/>
              <w:right w:val="nil"/>
            </w:tcBorders>
            <w:shd w:val="clear" w:color="auto" w:fill="auto"/>
            <w:vAlign w:val="bottom"/>
            <w:hideMark/>
          </w:tcPr>
          <w:p w14:paraId="10F7B95B"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Sector Financiero</w:t>
            </w:r>
          </w:p>
        </w:tc>
        <w:tc>
          <w:tcPr>
            <w:tcW w:w="737" w:type="dxa"/>
            <w:tcBorders>
              <w:top w:val="nil"/>
              <w:left w:val="nil"/>
              <w:bottom w:val="nil"/>
              <w:right w:val="nil"/>
            </w:tcBorders>
            <w:shd w:val="clear" w:color="auto" w:fill="auto"/>
            <w:vAlign w:val="bottom"/>
            <w:hideMark/>
          </w:tcPr>
          <w:p w14:paraId="0A8E9E7F"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1C6317B9" w14:textId="79475FEB" w:rsidR="000C1442" w:rsidRPr="001F4301" w:rsidRDefault="000C1442">
            <w:pPr>
              <w:jc w:val="right"/>
              <w:rPr>
                <w:rFonts w:ascii="Arial" w:hAnsi="Arial" w:cs="Arial"/>
                <w:sz w:val="16"/>
                <w:szCs w:val="16"/>
              </w:rPr>
            </w:pPr>
            <w:r w:rsidRPr="001F4301">
              <w:rPr>
                <w:rFonts w:ascii="Arial" w:hAnsi="Arial" w:cs="Arial"/>
                <w:sz w:val="16"/>
                <w:szCs w:val="16"/>
              </w:rPr>
              <w:t>16.810</w:t>
            </w:r>
          </w:p>
        </w:tc>
        <w:tc>
          <w:tcPr>
            <w:tcW w:w="1276" w:type="dxa"/>
            <w:tcBorders>
              <w:top w:val="nil"/>
              <w:left w:val="nil"/>
              <w:bottom w:val="nil"/>
              <w:right w:val="nil"/>
            </w:tcBorders>
            <w:shd w:val="clear" w:color="auto" w:fill="auto"/>
            <w:noWrap/>
            <w:vAlign w:val="bottom"/>
          </w:tcPr>
          <w:p w14:paraId="2091E6C8" w14:textId="1A576D28" w:rsidR="000C1442" w:rsidRPr="001F4301" w:rsidRDefault="000C1442">
            <w:pPr>
              <w:jc w:val="right"/>
              <w:rPr>
                <w:rFonts w:ascii="Arial" w:hAnsi="Arial" w:cs="Arial"/>
                <w:sz w:val="16"/>
                <w:szCs w:val="16"/>
                <w:lang w:eastAsia="es-AR"/>
              </w:rPr>
            </w:pPr>
            <w:r w:rsidRPr="002E1AF6">
              <w:rPr>
                <w:rFonts w:ascii="Arial" w:hAnsi="Arial" w:cs="Arial"/>
                <w:sz w:val="16"/>
                <w:szCs w:val="16"/>
              </w:rPr>
              <w:t>30.290</w:t>
            </w:r>
          </w:p>
        </w:tc>
      </w:tr>
      <w:tr w:rsidR="000C1442" w:rsidRPr="00615B48" w14:paraId="0C3D27FE" w14:textId="77777777" w:rsidTr="002E1AF6">
        <w:trPr>
          <w:trHeight w:val="285"/>
          <w:jc w:val="center"/>
        </w:trPr>
        <w:tc>
          <w:tcPr>
            <w:tcW w:w="4907" w:type="dxa"/>
            <w:tcBorders>
              <w:top w:val="nil"/>
              <w:left w:val="nil"/>
              <w:bottom w:val="nil"/>
              <w:right w:val="nil"/>
            </w:tcBorders>
            <w:shd w:val="clear" w:color="auto" w:fill="auto"/>
            <w:vAlign w:val="bottom"/>
            <w:hideMark/>
          </w:tcPr>
          <w:p w14:paraId="7EF9DE2A"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Sector Privado no Financiero y Residentes en el exterior</w:t>
            </w:r>
          </w:p>
        </w:tc>
        <w:tc>
          <w:tcPr>
            <w:tcW w:w="737" w:type="dxa"/>
            <w:tcBorders>
              <w:top w:val="nil"/>
              <w:left w:val="nil"/>
              <w:bottom w:val="nil"/>
              <w:right w:val="nil"/>
            </w:tcBorders>
            <w:shd w:val="clear" w:color="auto" w:fill="auto"/>
            <w:vAlign w:val="bottom"/>
            <w:hideMark/>
          </w:tcPr>
          <w:p w14:paraId="52CCDFB4"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18AECC58" w14:textId="4237AC56" w:rsidR="000C1442" w:rsidRPr="001F4301" w:rsidRDefault="000C1442">
            <w:pPr>
              <w:jc w:val="right"/>
              <w:rPr>
                <w:rFonts w:ascii="Arial" w:hAnsi="Arial" w:cs="Arial"/>
                <w:sz w:val="16"/>
                <w:szCs w:val="16"/>
              </w:rPr>
            </w:pPr>
            <w:r w:rsidRPr="001F4301">
              <w:rPr>
                <w:rFonts w:ascii="Arial" w:hAnsi="Arial" w:cs="Arial"/>
                <w:sz w:val="16"/>
                <w:szCs w:val="16"/>
              </w:rPr>
              <w:t>134.054.130</w:t>
            </w:r>
          </w:p>
        </w:tc>
        <w:tc>
          <w:tcPr>
            <w:tcW w:w="1276" w:type="dxa"/>
            <w:tcBorders>
              <w:top w:val="nil"/>
              <w:left w:val="nil"/>
              <w:bottom w:val="nil"/>
              <w:right w:val="nil"/>
            </w:tcBorders>
            <w:shd w:val="clear" w:color="auto" w:fill="auto"/>
            <w:noWrap/>
            <w:vAlign w:val="bottom"/>
          </w:tcPr>
          <w:p w14:paraId="04E1F82E" w14:textId="27034E61" w:rsidR="000C1442" w:rsidRPr="001F4301" w:rsidRDefault="000C1442">
            <w:pPr>
              <w:jc w:val="right"/>
              <w:rPr>
                <w:rFonts w:ascii="Arial" w:hAnsi="Arial" w:cs="Arial"/>
                <w:sz w:val="16"/>
                <w:szCs w:val="16"/>
                <w:lang w:eastAsia="es-AR"/>
              </w:rPr>
            </w:pPr>
            <w:r w:rsidRPr="002E1AF6">
              <w:rPr>
                <w:rFonts w:ascii="Arial" w:hAnsi="Arial" w:cs="Arial"/>
                <w:sz w:val="16"/>
                <w:szCs w:val="16"/>
              </w:rPr>
              <w:t>92.685.568</w:t>
            </w:r>
          </w:p>
        </w:tc>
      </w:tr>
      <w:tr w:rsidR="00857FC3" w:rsidRPr="00615B48" w14:paraId="112388BC" w14:textId="77777777" w:rsidTr="002E1AF6">
        <w:trPr>
          <w:trHeight w:val="287"/>
          <w:jc w:val="center"/>
        </w:trPr>
        <w:tc>
          <w:tcPr>
            <w:tcW w:w="4907" w:type="dxa"/>
            <w:tcBorders>
              <w:top w:val="nil"/>
              <w:left w:val="nil"/>
              <w:bottom w:val="nil"/>
              <w:right w:val="nil"/>
            </w:tcBorders>
            <w:shd w:val="clear" w:color="auto" w:fill="auto"/>
            <w:vAlign w:val="bottom"/>
            <w:hideMark/>
          </w:tcPr>
          <w:p w14:paraId="2133E529" w14:textId="1AF6029E" w:rsidR="00857FC3" w:rsidRPr="00615B48" w:rsidRDefault="00857FC3" w:rsidP="00857FC3">
            <w:pPr>
              <w:rPr>
                <w:rFonts w:ascii="Arial" w:hAnsi="Arial" w:cs="Arial"/>
                <w:sz w:val="16"/>
                <w:szCs w:val="16"/>
                <w:lang w:eastAsia="es-AR"/>
              </w:rPr>
            </w:pPr>
            <w:bookmarkStart w:id="0" w:name="OLE_LINK4"/>
            <w:r w:rsidRPr="00615B48">
              <w:rPr>
                <w:rFonts w:ascii="Arial" w:hAnsi="Arial" w:cs="Arial"/>
                <w:sz w:val="16"/>
                <w:szCs w:val="16"/>
                <w:lang w:eastAsia="es-AR"/>
              </w:rPr>
              <w:t xml:space="preserve">Pasivos a valor razonable con cambios en resultados </w:t>
            </w:r>
            <w:bookmarkEnd w:id="0"/>
          </w:p>
        </w:tc>
        <w:tc>
          <w:tcPr>
            <w:tcW w:w="737" w:type="dxa"/>
            <w:tcBorders>
              <w:top w:val="nil"/>
              <w:left w:val="nil"/>
              <w:bottom w:val="nil"/>
              <w:right w:val="nil"/>
            </w:tcBorders>
            <w:shd w:val="clear" w:color="auto" w:fill="auto"/>
            <w:vAlign w:val="bottom"/>
          </w:tcPr>
          <w:p w14:paraId="5EEB1DF9" w14:textId="2D280A8E" w:rsidR="00857FC3" w:rsidRPr="00615B48" w:rsidRDefault="00857FC3" w:rsidP="00857FC3">
            <w:pPr>
              <w:jc w:val="center"/>
              <w:rPr>
                <w:rFonts w:ascii="Arial" w:hAnsi="Arial" w:cs="Arial"/>
                <w:sz w:val="16"/>
                <w:szCs w:val="16"/>
                <w:lang w:eastAsia="es-AR"/>
              </w:rPr>
            </w:pPr>
            <w:r>
              <w:rPr>
                <w:rFonts w:ascii="Arial" w:hAnsi="Arial" w:cs="Arial"/>
                <w:sz w:val="16"/>
                <w:szCs w:val="16"/>
                <w:lang w:eastAsia="es-AR"/>
              </w:rPr>
              <w:t>4</w:t>
            </w:r>
          </w:p>
        </w:tc>
        <w:tc>
          <w:tcPr>
            <w:tcW w:w="1417" w:type="dxa"/>
            <w:tcBorders>
              <w:top w:val="nil"/>
              <w:left w:val="nil"/>
              <w:bottom w:val="nil"/>
              <w:right w:val="nil"/>
            </w:tcBorders>
            <w:shd w:val="clear" w:color="auto" w:fill="auto"/>
            <w:noWrap/>
            <w:vAlign w:val="bottom"/>
          </w:tcPr>
          <w:p w14:paraId="7CE9CF9E" w14:textId="6CDB43B8" w:rsidR="00857FC3" w:rsidRPr="001F4301" w:rsidRDefault="00857FC3">
            <w:pPr>
              <w:jc w:val="right"/>
              <w:rPr>
                <w:rFonts w:ascii="Arial" w:hAnsi="Arial" w:cs="Arial"/>
                <w:sz w:val="16"/>
                <w:szCs w:val="16"/>
              </w:rPr>
            </w:pPr>
            <w:r w:rsidRPr="001F4301">
              <w:rPr>
                <w:rFonts w:ascii="Arial" w:hAnsi="Arial" w:cs="Arial"/>
                <w:sz w:val="16"/>
                <w:szCs w:val="16"/>
              </w:rPr>
              <w:t>365.736</w:t>
            </w:r>
          </w:p>
        </w:tc>
        <w:tc>
          <w:tcPr>
            <w:tcW w:w="1276" w:type="dxa"/>
            <w:tcBorders>
              <w:top w:val="nil"/>
              <w:left w:val="nil"/>
              <w:bottom w:val="nil"/>
              <w:right w:val="nil"/>
            </w:tcBorders>
            <w:shd w:val="clear" w:color="auto" w:fill="auto"/>
            <w:noWrap/>
            <w:vAlign w:val="bottom"/>
          </w:tcPr>
          <w:p w14:paraId="30CECB66" w14:textId="697C160B" w:rsidR="00857FC3" w:rsidRPr="001F4301" w:rsidRDefault="000C1442">
            <w:pPr>
              <w:jc w:val="right"/>
              <w:rPr>
                <w:rFonts w:ascii="Arial" w:hAnsi="Arial" w:cs="Arial"/>
                <w:sz w:val="16"/>
                <w:szCs w:val="16"/>
                <w:lang w:eastAsia="es-AR"/>
              </w:rPr>
            </w:pPr>
            <w:r w:rsidRPr="001F4301">
              <w:rPr>
                <w:rFonts w:ascii="Arial" w:hAnsi="Arial" w:cs="Arial"/>
                <w:sz w:val="16"/>
                <w:szCs w:val="16"/>
                <w:lang w:eastAsia="es-AR"/>
              </w:rPr>
              <w:t>204.339</w:t>
            </w:r>
          </w:p>
        </w:tc>
      </w:tr>
      <w:tr w:rsidR="00857FC3" w:rsidRPr="00615B48" w14:paraId="7A7FEC7D" w14:textId="77777777" w:rsidTr="002E1AF6">
        <w:trPr>
          <w:trHeight w:val="285"/>
          <w:jc w:val="center"/>
        </w:trPr>
        <w:tc>
          <w:tcPr>
            <w:tcW w:w="4907" w:type="dxa"/>
            <w:tcBorders>
              <w:top w:val="nil"/>
              <w:left w:val="nil"/>
              <w:bottom w:val="nil"/>
              <w:right w:val="nil"/>
            </w:tcBorders>
            <w:shd w:val="clear" w:color="auto" w:fill="auto"/>
            <w:vAlign w:val="bottom"/>
            <w:hideMark/>
          </w:tcPr>
          <w:p w14:paraId="1B41453A" w14:textId="77777777" w:rsidR="00857FC3" w:rsidRPr="00615B48" w:rsidRDefault="00857FC3" w:rsidP="00857FC3">
            <w:pPr>
              <w:rPr>
                <w:rFonts w:ascii="Arial" w:hAnsi="Arial" w:cs="Arial"/>
                <w:sz w:val="16"/>
                <w:szCs w:val="16"/>
                <w:lang w:eastAsia="es-AR"/>
              </w:rPr>
            </w:pPr>
            <w:r w:rsidRPr="00615B48">
              <w:rPr>
                <w:rFonts w:ascii="Arial" w:hAnsi="Arial" w:cs="Arial"/>
                <w:sz w:val="16"/>
                <w:szCs w:val="16"/>
                <w:lang w:eastAsia="es-AR"/>
              </w:rPr>
              <w:t>Instrumentos derivados</w:t>
            </w:r>
          </w:p>
        </w:tc>
        <w:tc>
          <w:tcPr>
            <w:tcW w:w="737" w:type="dxa"/>
            <w:tcBorders>
              <w:top w:val="nil"/>
              <w:left w:val="nil"/>
              <w:bottom w:val="nil"/>
              <w:right w:val="nil"/>
            </w:tcBorders>
            <w:shd w:val="clear" w:color="auto" w:fill="auto"/>
            <w:vAlign w:val="bottom"/>
          </w:tcPr>
          <w:p w14:paraId="32098D00" w14:textId="1A279E08" w:rsidR="00857FC3" w:rsidRPr="00615B48" w:rsidRDefault="00857FC3" w:rsidP="00857FC3">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3373050E" w14:textId="0E1B35CC" w:rsidR="00857FC3" w:rsidRPr="001F4301" w:rsidRDefault="00857FC3">
            <w:pPr>
              <w:jc w:val="right"/>
              <w:rPr>
                <w:rFonts w:ascii="Arial" w:hAnsi="Arial" w:cs="Arial"/>
                <w:sz w:val="16"/>
                <w:szCs w:val="16"/>
              </w:rPr>
            </w:pPr>
            <w:r w:rsidRPr="001F4301">
              <w:rPr>
                <w:rFonts w:ascii="Arial" w:hAnsi="Arial" w:cs="Arial"/>
                <w:sz w:val="16"/>
                <w:szCs w:val="16"/>
              </w:rPr>
              <w:t>-</w:t>
            </w:r>
          </w:p>
        </w:tc>
        <w:tc>
          <w:tcPr>
            <w:tcW w:w="1276" w:type="dxa"/>
            <w:tcBorders>
              <w:top w:val="nil"/>
              <w:left w:val="nil"/>
              <w:bottom w:val="nil"/>
              <w:right w:val="nil"/>
            </w:tcBorders>
            <w:shd w:val="clear" w:color="auto" w:fill="auto"/>
            <w:noWrap/>
            <w:vAlign w:val="bottom"/>
          </w:tcPr>
          <w:p w14:paraId="5E95AB92" w14:textId="586699EF" w:rsidR="00857FC3" w:rsidRPr="001F4301" w:rsidRDefault="000C1442">
            <w:pPr>
              <w:jc w:val="right"/>
              <w:rPr>
                <w:rFonts w:ascii="Arial" w:hAnsi="Arial" w:cs="Arial"/>
                <w:sz w:val="16"/>
                <w:szCs w:val="16"/>
                <w:lang w:eastAsia="es-AR"/>
              </w:rPr>
            </w:pPr>
            <w:r w:rsidRPr="001F4301">
              <w:rPr>
                <w:rFonts w:ascii="Arial" w:hAnsi="Arial" w:cs="Arial"/>
                <w:sz w:val="16"/>
                <w:szCs w:val="16"/>
                <w:lang w:eastAsia="es-AR"/>
              </w:rPr>
              <w:t>-</w:t>
            </w:r>
          </w:p>
        </w:tc>
      </w:tr>
      <w:tr w:rsidR="000C1442" w:rsidRPr="00615B48" w14:paraId="30A10F8D" w14:textId="77777777" w:rsidTr="002E1AF6">
        <w:trPr>
          <w:trHeight w:val="285"/>
          <w:jc w:val="center"/>
        </w:trPr>
        <w:tc>
          <w:tcPr>
            <w:tcW w:w="4907" w:type="dxa"/>
            <w:tcBorders>
              <w:top w:val="nil"/>
              <w:left w:val="nil"/>
              <w:bottom w:val="nil"/>
              <w:right w:val="nil"/>
            </w:tcBorders>
            <w:shd w:val="clear" w:color="auto" w:fill="auto"/>
            <w:vAlign w:val="bottom"/>
            <w:hideMark/>
          </w:tcPr>
          <w:p w14:paraId="18A06555" w14:textId="7CE65BE4"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Operaciones de pase </w:t>
            </w:r>
          </w:p>
        </w:tc>
        <w:tc>
          <w:tcPr>
            <w:tcW w:w="737" w:type="dxa"/>
            <w:tcBorders>
              <w:top w:val="nil"/>
              <w:left w:val="nil"/>
              <w:bottom w:val="nil"/>
              <w:right w:val="nil"/>
            </w:tcBorders>
            <w:shd w:val="clear" w:color="auto" w:fill="auto"/>
            <w:vAlign w:val="bottom"/>
          </w:tcPr>
          <w:p w14:paraId="5C5C3356" w14:textId="7F187F42"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82A52B1" w14:textId="51D29BD6" w:rsidR="000C1442" w:rsidRPr="001F4301" w:rsidRDefault="000C1442">
            <w:pPr>
              <w:jc w:val="right"/>
              <w:rPr>
                <w:rFonts w:ascii="Arial" w:hAnsi="Arial" w:cs="Arial"/>
                <w:sz w:val="16"/>
                <w:szCs w:val="16"/>
              </w:rPr>
            </w:pPr>
            <w:r w:rsidRPr="001F4301">
              <w:rPr>
                <w:rFonts w:ascii="Arial" w:hAnsi="Arial" w:cs="Arial"/>
                <w:sz w:val="16"/>
                <w:szCs w:val="16"/>
              </w:rPr>
              <w:t>269.910</w:t>
            </w:r>
          </w:p>
        </w:tc>
        <w:tc>
          <w:tcPr>
            <w:tcW w:w="1276" w:type="dxa"/>
            <w:tcBorders>
              <w:top w:val="nil"/>
              <w:left w:val="nil"/>
              <w:bottom w:val="nil"/>
              <w:right w:val="nil"/>
            </w:tcBorders>
            <w:shd w:val="clear" w:color="auto" w:fill="auto"/>
            <w:noWrap/>
            <w:vAlign w:val="bottom"/>
          </w:tcPr>
          <w:p w14:paraId="6AB33214" w14:textId="2C08E219" w:rsidR="000C1442" w:rsidRPr="001F4301" w:rsidRDefault="000C1442">
            <w:pPr>
              <w:jc w:val="right"/>
              <w:rPr>
                <w:rFonts w:ascii="Arial" w:hAnsi="Arial" w:cs="Arial"/>
                <w:sz w:val="16"/>
                <w:szCs w:val="16"/>
                <w:lang w:eastAsia="es-AR"/>
              </w:rPr>
            </w:pPr>
            <w:r w:rsidRPr="001F4301">
              <w:rPr>
                <w:rFonts w:ascii="Arial" w:hAnsi="Arial" w:cs="Arial"/>
                <w:sz w:val="16"/>
                <w:szCs w:val="16"/>
              </w:rPr>
              <w:t>344.762</w:t>
            </w:r>
          </w:p>
        </w:tc>
      </w:tr>
      <w:tr w:rsidR="000C1442" w:rsidRPr="00615B48" w14:paraId="15A80E8B" w14:textId="77777777" w:rsidTr="002E1AF6">
        <w:trPr>
          <w:trHeight w:val="285"/>
          <w:jc w:val="center"/>
        </w:trPr>
        <w:tc>
          <w:tcPr>
            <w:tcW w:w="4907" w:type="dxa"/>
            <w:tcBorders>
              <w:top w:val="nil"/>
              <w:left w:val="nil"/>
              <w:bottom w:val="nil"/>
              <w:right w:val="nil"/>
            </w:tcBorders>
            <w:shd w:val="clear" w:color="auto" w:fill="auto"/>
            <w:vAlign w:val="bottom"/>
            <w:hideMark/>
          </w:tcPr>
          <w:p w14:paraId="2DDE63DF" w14:textId="69D7035B"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Otros pasivos financieros </w:t>
            </w:r>
          </w:p>
        </w:tc>
        <w:tc>
          <w:tcPr>
            <w:tcW w:w="737" w:type="dxa"/>
            <w:tcBorders>
              <w:top w:val="nil"/>
              <w:left w:val="nil"/>
              <w:bottom w:val="nil"/>
              <w:right w:val="nil"/>
            </w:tcBorders>
            <w:shd w:val="clear" w:color="auto" w:fill="auto"/>
            <w:vAlign w:val="bottom"/>
          </w:tcPr>
          <w:p w14:paraId="47AA3F13" w14:textId="79410D90"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6942864E" w14:textId="17B13DCE" w:rsidR="000C1442" w:rsidRPr="001F4301" w:rsidRDefault="000C1442">
            <w:pPr>
              <w:jc w:val="right"/>
              <w:rPr>
                <w:rFonts w:ascii="Arial" w:hAnsi="Arial" w:cs="Arial"/>
                <w:sz w:val="16"/>
                <w:szCs w:val="16"/>
              </w:rPr>
            </w:pPr>
            <w:r w:rsidRPr="001F4301">
              <w:rPr>
                <w:rFonts w:ascii="Arial" w:hAnsi="Arial" w:cs="Arial"/>
                <w:sz w:val="16"/>
                <w:szCs w:val="16"/>
              </w:rPr>
              <w:t>6.322.505</w:t>
            </w:r>
          </w:p>
        </w:tc>
        <w:tc>
          <w:tcPr>
            <w:tcW w:w="1276" w:type="dxa"/>
            <w:tcBorders>
              <w:top w:val="nil"/>
              <w:left w:val="nil"/>
              <w:bottom w:val="nil"/>
              <w:right w:val="nil"/>
            </w:tcBorders>
            <w:shd w:val="clear" w:color="auto" w:fill="auto"/>
            <w:noWrap/>
            <w:vAlign w:val="bottom"/>
          </w:tcPr>
          <w:p w14:paraId="38274656" w14:textId="04F246AB" w:rsidR="000C1442" w:rsidRPr="001F4301" w:rsidRDefault="000C1442">
            <w:pPr>
              <w:jc w:val="right"/>
              <w:rPr>
                <w:rFonts w:ascii="Arial" w:hAnsi="Arial" w:cs="Arial"/>
                <w:sz w:val="16"/>
                <w:szCs w:val="16"/>
                <w:lang w:eastAsia="es-AR"/>
              </w:rPr>
            </w:pPr>
            <w:r w:rsidRPr="001F4301">
              <w:rPr>
                <w:rFonts w:ascii="Arial" w:hAnsi="Arial" w:cs="Arial"/>
                <w:sz w:val="16"/>
                <w:szCs w:val="16"/>
              </w:rPr>
              <w:t>7.458.19</w:t>
            </w:r>
            <w:r w:rsidR="00666113" w:rsidRPr="001F4301">
              <w:rPr>
                <w:rFonts w:ascii="Arial" w:hAnsi="Arial" w:cs="Arial"/>
                <w:sz w:val="16"/>
                <w:szCs w:val="16"/>
              </w:rPr>
              <w:t>9</w:t>
            </w:r>
          </w:p>
        </w:tc>
      </w:tr>
      <w:tr w:rsidR="000C1442" w:rsidRPr="00615B48" w14:paraId="3B9C228E" w14:textId="77777777" w:rsidTr="002E1AF6">
        <w:trPr>
          <w:trHeight w:val="351"/>
          <w:jc w:val="center"/>
        </w:trPr>
        <w:tc>
          <w:tcPr>
            <w:tcW w:w="4907" w:type="dxa"/>
            <w:tcBorders>
              <w:top w:val="nil"/>
              <w:left w:val="nil"/>
              <w:bottom w:val="nil"/>
              <w:right w:val="nil"/>
            </w:tcBorders>
            <w:shd w:val="clear" w:color="auto" w:fill="auto"/>
            <w:vAlign w:val="bottom"/>
            <w:hideMark/>
          </w:tcPr>
          <w:p w14:paraId="6B42B2CD" w14:textId="4FB2554F"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Financiaciones recibidas del BCRA y otras instituciones financieras </w:t>
            </w:r>
          </w:p>
        </w:tc>
        <w:tc>
          <w:tcPr>
            <w:tcW w:w="737" w:type="dxa"/>
            <w:tcBorders>
              <w:top w:val="nil"/>
              <w:left w:val="nil"/>
              <w:bottom w:val="nil"/>
              <w:right w:val="nil"/>
            </w:tcBorders>
            <w:shd w:val="clear" w:color="auto" w:fill="auto"/>
            <w:vAlign w:val="bottom"/>
          </w:tcPr>
          <w:p w14:paraId="78D2472C" w14:textId="4227C204"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360167FC" w14:textId="059CD23E" w:rsidR="000C1442" w:rsidRPr="001F4301" w:rsidRDefault="000C1442">
            <w:pPr>
              <w:jc w:val="right"/>
              <w:rPr>
                <w:rFonts w:ascii="Arial" w:hAnsi="Arial" w:cs="Arial"/>
                <w:sz w:val="16"/>
                <w:szCs w:val="16"/>
              </w:rPr>
            </w:pPr>
            <w:r w:rsidRPr="001F4301">
              <w:rPr>
                <w:rFonts w:ascii="Arial" w:hAnsi="Arial" w:cs="Arial"/>
                <w:sz w:val="16"/>
                <w:szCs w:val="16"/>
              </w:rPr>
              <w:t>8.403.633</w:t>
            </w:r>
          </w:p>
        </w:tc>
        <w:tc>
          <w:tcPr>
            <w:tcW w:w="1276" w:type="dxa"/>
            <w:tcBorders>
              <w:top w:val="nil"/>
              <w:left w:val="nil"/>
              <w:bottom w:val="nil"/>
              <w:right w:val="nil"/>
            </w:tcBorders>
            <w:shd w:val="clear" w:color="auto" w:fill="auto"/>
            <w:noWrap/>
            <w:vAlign w:val="bottom"/>
          </w:tcPr>
          <w:p w14:paraId="6EFEF1E8" w14:textId="22596A6C" w:rsidR="000C1442" w:rsidRPr="001F4301" w:rsidRDefault="000C1442">
            <w:pPr>
              <w:jc w:val="right"/>
              <w:rPr>
                <w:rFonts w:ascii="Arial" w:hAnsi="Arial" w:cs="Arial"/>
                <w:sz w:val="16"/>
                <w:szCs w:val="16"/>
                <w:lang w:eastAsia="es-AR"/>
              </w:rPr>
            </w:pPr>
            <w:r w:rsidRPr="001F4301">
              <w:rPr>
                <w:rFonts w:ascii="Arial" w:hAnsi="Arial" w:cs="Arial"/>
                <w:sz w:val="16"/>
                <w:szCs w:val="16"/>
              </w:rPr>
              <w:t>9.717.746</w:t>
            </w:r>
          </w:p>
        </w:tc>
      </w:tr>
      <w:tr w:rsidR="000C1442" w:rsidRPr="00615B48" w14:paraId="2DCF619D" w14:textId="77777777" w:rsidTr="002E1AF6">
        <w:trPr>
          <w:trHeight w:val="285"/>
          <w:jc w:val="center"/>
        </w:trPr>
        <w:tc>
          <w:tcPr>
            <w:tcW w:w="4907" w:type="dxa"/>
            <w:tcBorders>
              <w:top w:val="nil"/>
              <w:left w:val="nil"/>
              <w:bottom w:val="nil"/>
              <w:right w:val="nil"/>
            </w:tcBorders>
            <w:shd w:val="clear" w:color="auto" w:fill="auto"/>
            <w:vAlign w:val="bottom"/>
            <w:hideMark/>
          </w:tcPr>
          <w:p w14:paraId="6FE68071" w14:textId="0A4ADE29"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Obligaciones negociables emitidas </w:t>
            </w:r>
          </w:p>
        </w:tc>
        <w:tc>
          <w:tcPr>
            <w:tcW w:w="737" w:type="dxa"/>
            <w:tcBorders>
              <w:top w:val="nil"/>
              <w:left w:val="nil"/>
              <w:bottom w:val="nil"/>
              <w:right w:val="nil"/>
            </w:tcBorders>
            <w:shd w:val="clear" w:color="auto" w:fill="auto"/>
            <w:noWrap/>
            <w:vAlign w:val="bottom"/>
          </w:tcPr>
          <w:p w14:paraId="78DA6D9A" w14:textId="7E1AED11" w:rsidR="000C1442" w:rsidRPr="00615B48" w:rsidRDefault="000C1442" w:rsidP="000C1442">
            <w:pPr>
              <w:jc w:val="center"/>
              <w:rPr>
                <w:rFonts w:ascii="Arial" w:hAnsi="Arial" w:cs="Arial"/>
                <w:sz w:val="16"/>
                <w:szCs w:val="16"/>
                <w:lang w:eastAsia="es-AR"/>
              </w:rPr>
            </w:pPr>
            <w:r>
              <w:rPr>
                <w:rFonts w:ascii="Arial" w:hAnsi="Arial" w:cs="Arial"/>
                <w:sz w:val="16"/>
                <w:szCs w:val="16"/>
                <w:lang w:eastAsia="es-AR"/>
              </w:rPr>
              <w:t>9.8</w:t>
            </w:r>
          </w:p>
        </w:tc>
        <w:tc>
          <w:tcPr>
            <w:tcW w:w="1417" w:type="dxa"/>
            <w:tcBorders>
              <w:top w:val="nil"/>
              <w:left w:val="nil"/>
              <w:bottom w:val="nil"/>
              <w:right w:val="nil"/>
            </w:tcBorders>
            <w:shd w:val="clear" w:color="auto" w:fill="auto"/>
            <w:noWrap/>
            <w:vAlign w:val="bottom"/>
          </w:tcPr>
          <w:p w14:paraId="6EABA534" w14:textId="6C3A5629" w:rsidR="000C1442" w:rsidRPr="001F4301" w:rsidRDefault="000C1442">
            <w:pPr>
              <w:jc w:val="right"/>
              <w:rPr>
                <w:rFonts w:ascii="Arial" w:hAnsi="Arial" w:cs="Arial"/>
                <w:sz w:val="16"/>
                <w:szCs w:val="16"/>
              </w:rPr>
            </w:pPr>
            <w:r w:rsidRPr="001F4301">
              <w:rPr>
                <w:rFonts w:ascii="Arial" w:hAnsi="Arial" w:cs="Arial"/>
                <w:sz w:val="16"/>
                <w:szCs w:val="16"/>
              </w:rPr>
              <w:t>4.170.559</w:t>
            </w:r>
          </w:p>
        </w:tc>
        <w:tc>
          <w:tcPr>
            <w:tcW w:w="1276" w:type="dxa"/>
            <w:tcBorders>
              <w:top w:val="nil"/>
              <w:left w:val="nil"/>
              <w:bottom w:val="nil"/>
              <w:right w:val="nil"/>
            </w:tcBorders>
            <w:shd w:val="clear" w:color="auto" w:fill="auto"/>
            <w:noWrap/>
            <w:vAlign w:val="bottom"/>
          </w:tcPr>
          <w:p w14:paraId="49EDAA42" w14:textId="5B547FAF" w:rsidR="000C1442" w:rsidRPr="001F4301" w:rsidRDefault="000C1442">
            <w:pPr>
              <w:jc w:val="right"/>
              <w:rPr>
                <w:rFonts w:ascii="Arial" w:hAnsi="Arial" w:cs="Arial"/>
                <w:sz w:val="16"/>
                <w:szCs w:val="16"/>
                <w:lang w:eastAsia="es-AR"/>
              </w:rPr>
            </w:pPr>
            <w:r w:rsidRPr="001F4301">
              <w:rPr>
                <w:rFonts w:ascii="Arial" w:hAnsi="Arial" w:cs="Arial"/>
                <w:sz w:val="16"/>
                <w:szCs w:val="16"/>
              </w:rPr>
              <w:t>6.544.450</w:t>
            </w:r>
          </w:p>
        </w:tc>
      </w:tr>
      <w:tr w:rsidR="000C1442" w:rsidRPr="00615B48" w14:paraId="744C588E" w14:textId="77777777" w:rsidTr="002E1AF6">
        <w:trPr>
          <w:trHeight w:val="285"/>
          <w:jc w:val="center"/>
        </w:trPr>
        <w:tc>
          <w:tcPr>
            <w:tcW w:w="4907" w:type="dxa"/>
            <w:tcBorders>
              <w:top w:val="nil"/>
              <w:left w:val="nil"/>
              <w:bottom w:val="nil"/>
              <w:right w:val="nil"/>
            </w:tcBorders>
            <w:shd w:val="clear" w:color="auto" w:fill="auto"/>
            <w:vAlign w:val="bottom"/>
            <w:hideMark/>
          </w:tcPr>
          <w:p w14:paraId="07E081B4"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Pasivo por impuestos a las ganancias corriente</w:t>
            </w:r>
          </w:p>
        </w:tc>
        <w:tc>
          <w:tcPr>
            <w:tcW w:w="737" w:type="dxa"/>
            <w:tcBorders>
              <w:top w:val="nil"/>
              <w:left w:val="nil"/>
              <w:bottom w:val="nil"/>
              <w:right w:val="nil"/>
            </w:tcBorders>
            <w:shd w:val="clear" w:color="auto" w:fill="auto"/>
            <w:vAlign w:val="bottom"/>
          </w:tcPr>
          <w:p w14:paraId="4ADC9CAC" w14:textId="3A3EADD9"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0C735ADD" w14:textId="1508413B" w:rsidR="000C1442" w:rsidRPr="001F4301" w:rsidRDefault="000C1442">
            <w:pPr>
              <w:jc w:val="right"/>
              <w:rPr>
                <w:rFonts w:ascii="Arial" w:hAnsi="Arial" w:cs="Arial"/>
                <w:sz w:val="16"/>
                <w:szCs w:val="16"/>
              </w:rPr>
            </w:pPr>
            <w:r w:rsidRPr="001F4301">
              <w:rPr>
                <w:rFonts w:ascii="Arial" w:hAnsi="Arial" w:cs="Arial"/>
                <w:sz w:val="16"/>
                <w:szCs w:val="16"/>
              </w:rPr>
              <w:t>421.427</w:t>
            </w:r>
          </w:p>
        </w:tc>
        <w:tc>
          <w:tcPr>
            <w:tcW w:w="1276" w:type="dxa"/>
            <w:tcBorders>
              <w:top w:val="nil"/>
              <w:left w:val="nil"/>
              <w:bottom w:val="nil"/>
              <w:right w:val="nil"/>
            </w:tcBorders>
            <w:shd w:val="clear" w:color="auto" w:fill="auto"/>
            <w:noWrap/>
            <w:vAlign w:val="bottom"/>
          </w:tcPr>
          <w:p w14:paraId="407184BC" w14:textId="53B33D3B" w:rsidR="000C1442" w:rsidRPr="001F4301" w:rsidRDefault="000C1442">
            <w:pPr>
              <w:jc w:val="right"/>
              <w:rPr>
                <w:rFonts w:ascii="Arial" w:hAnsi="Arial" w:cs="Arial"/>
                <w:sz w:val="16"/>
                <w:szCs w:val="16"/>
                <w:lang w:eastAsia="es-AR"/>
              </w:rPr>
            </w:pPr>
            <w:r w:rsidRPr="001F4301">
              <w:rPr>
                <w:rFonts w:ascii="Arial" w:hAnsi="Arial" w:cs="Arial"/>
                <w:sz w:val="16"/>
                <w:szCs w:val="16"/>
              </w:rPr>
              <w:t>180.692</w:t>
            </w:r>
          </w:p>
        </w:tc>
      </w:tr>
      <w:tr w:rsidR="000C1442" w:rsidRPr="00615B48" w14:paraId="6BBEACCD" w14:textId="77777777" w:rsidTr="002E1AF6">
        <w:trPr>
          <w:trHeight w:val="285"/>
          <w:jc w:val="center"/>
        </w:trPr>
        <w:tc>
          <w:tcPr>
            <w:tcW w:w="4907" w:type="dxa"/>
            <w:tcBorders>
              <w:top w:val="nil"/>
              <w:left w:val="nil"/>
              <w:bottom w:val="nil"/>
              <w:right w:val="nil"/>
            </w:tcBorders>
            <w:shd w:val="clear" w:color="auto" w:fill="auto"/>
            <w:vAlign w:val="bottom"/>
            <w:hideMark/>
          </w:tcPr>
          <w:p w14:paraId="2FEE390C" w14:textId="48F22543"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 xml:space="preserve">Obligaciones negociables subordinadas </w:t>
            </w:r>
          </w:p>
        </w:tc>
        <w:tc>
          <w:tcPr>
            <w:tcW w:w="737" w:type="dxa"/>
            <w:tcBorders>
              <w:top w:val="nil"/>
              <w:left w:val="nil"/>
              <w:bottom w:val="nil"/>
              <w:right w:val="nil"/>
            </w:tcBorders>
            <w:shd w:val="clear" w:color="auto" w:fill="auto"/>
            <w:vAlign w:val="bottom"/>
          </w:tcPr>
          <w:p w14:paraId="610F45C4" w14:textId="6A05AB85" w:rsidR="000C1442" w:rsidRPr="00615B48" w:rsidRDefault="000C1442" w:rsidP="000C1442">
            <w:pPr>
              <w:jc w:val="center"/>
              <w:rPr>
                <w:rFonts w:ascii="Arial" w:hAnsi="Arial" w:cs="Arial"/>
                <w:sz w:val="16"/>
                <w:szCs w:val="16"/>
                <w:lang w:eastAsia="es-AR"/>
              </w:rPr>
            </w:pPr>
            <w:r>
              <w:rPr>
                <w:rFonts w:ascii="Arial" w:hAnsi="Arial" w:cs="Arial"/>
                <w:sz w:val="16"/>
                <w:szCs w:val="16"/>
                <w:lang w:eastAsia="es-AR"/>
              </w:rPr>
              <w:t>9.8</w:t>
            </w:r>
          </w:p>
        </w:tc>
        <w:tc>
          <w:tcPr>
            <w:tcW w:w="1417" w:type="dxa"/>
            <w:tcBorders>
              <w:top w:val="nil"/>
              <w:left w:val="nil"/>
              <w:bottom w:val="nil"/>
              <w:right w:val="nil"/>
            </w:tcBorders>
            <w:shd w:val="clear" w:color="auto" w:fill="auto"/>
            <w:noWrap/>
            <w:vAlign w:val="bottom"/>
          </w:tcPr>
          <w:p w14:paraId="21F46A30" w14:textId="78BB4248" w:rsidR="000C1442" w:rsidRPr="001F4301" w:rsidRDefault="000C1442">
            <w:pPr>
              <w:jc w:val="right"/>
              <w:rPr>
                <w:rFonts w:ascii="Arial" w:hAnsi="Arial" w:cs="Arial"/>
                <w:sz w:val="16"/>
                <w:szCs w:val="16"/>
              </w:rPr>
            </w:pPr>
            <w:r w:rsidRPr="001F4301">
              <w:rPr>
                <w:rFonts w:ascii="Arial" w:hAnsi="Arial" w:cs="Arial"/>
                <w:sz w:val="16"/>
                <w:szCs w:val="16"/>
              </w:rPr>
              <w:t>1.911.457</w:t>
            </w:r>
          </w:p>
        </w:tc>
        <w:tc>
          <w:tcPr>
            <w:tcW w:w="1276" w:type="dxa"/>
            <w:tcBorders>
              <w:top w:val="nil"/>
              <w:left w:val="nil"/>
              <w:bottom w:val="nil"/>
              <w:right w:val="nil"/>
            </w:tcBorders>
            <w:shd w:val="clear" w:color="auto" w:fill="auto"/>
            <w:noWrap/>
            <w:vAlign w:val="bottom"/>
          </w:tcPr>
          <w:p w14:paraId="389A8230" w14:textId="1E40E66A" w:rsidR="000C1442" w:rsidRPr="001F4301" w:rsidRDefault="000C1442">
            <w:pPr>
              <w:jc w:val="right"/>
              <w:rPr>
                <w:rFonts w:ascii="Arial" w:hAnsi="Arial" w:cs="Arial"/>
                <w:sz w:val="16"/>
                <w:szCs w:val="16"/>
                <w:lang w:eastAsia="es-AR"/>
              </w:rPr>
            </w:pPr>
            <w:r w:rsidRPr="001F4301">
              <w:rPr>
                <w:rFonts w:ascii="Arial" w:hAnsi="Arial" w:cs="Arial"/>
                <w:sz w:val="16"/>
                <w:szCs w:val="16"/>
              </w:rPr>
              <w:t>2.285.239</w:t>
            </w:r>
          </w:p>
        </w:tc>
      </w:tr>
      <w:tr w:rsidR="000C1442" w:rsidRPr="00615B48" w14:paraId="0F6E8BDF" w14:textId="77777777" w:rsidTr="002E1AF6">
        <w:trPr>
          <w:trHeight w:val="285"/>
          <w:jc w:val="center"/>
        </w:trPr>
        <w:tc>
          <w:tcPr>
            <w:tcW w:w="4907" w:type="dxa"/>
            <w:tcBorders>
              <w:top w:val="nil"/>
              <w:left w:val="nil"/>
              <w:bottom w:val="nil"/>
              <w:right w:val="nil"/>
            </w:tcBorders>
            <w:shd w:val="clear" w:color="auto" w:fill="auto"/>
            <w:vAlign w:val="bottom"/>
            <w:hideMark/>
          </w:tcPr>
          <w:p w14:paraId="0CF817FB"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Provisiones</w:t>
            </w:r>
          </w:p>
        </w:tc>
        <w:tc>
          <w:tcPr>
            <w:tcW w:w="737" w:type="dxa"/>
            <w:tcBorders>
              <w:top w:val="nil"/>
              <w:left w:val="nil"/>
              <w:bottom w:val="nil"/>
              <w:right w:val="nil"/>
            </w:tcBorders>
            <w:shd w:val="clear" w:color="auto" w:fill="auto"/>
            <w:vAlign w:val="bottom"/>
            <w:hideMark/>
          </w:tcPr>
          <w:p w14:paraId="24BCB40E" w14:textId="7ED4D592"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76543594" w14:textId="42EAB9CB" w:rsidR="000C1442" w:rsidRPr="001F4301" w:rsidRDefault="000C1442">
            <w:pPr>
              <w:jc w:val="right"/>
              <w:rPr>
                <w:rFonts w:ascii="Arial" w:hAnsi="Arial" w:cs="Arial"/>
                <w:sz w:val="16"/>
                <w:szCs w:val="16"/>
              </w:rPr>
            </w:pPr>
            <w:r w:rsidRPr="001F4301">
              <w:rPr>
                <w:rFonts w:ascii="Arial" w:hAnsi="Arial" w:cs="Arial"/>
                <w:sz w:val="16"/>
                <w:szCs w:val="16"/>
              </w:rPr>
              <w:t>522.796</w:t>
            </w:r>
          </w:p>
        </w:tc>
        <w:tc>
          <w:tcPr>
            <w:tcW w:w="1276" w:type="dxa"/>
            <w:tcBorders>
              <w:top w:val="nil"/>
              <w:left w:val="nil"/>
              <w:bottom w:val="nil"/>
              <w:right w:val="nil"/>
            </w:tcBorders>
            <w:shd w:val="clear" w:color="auto" w:fill="auto"/>
            <w:noWrap/>
            <w:vAlign w:val="bottom"/>
          </w:tcPr>
          <w:p w14:paraId="17986D53" w14:textId="3AD42C27" w:rsidR="000C1442" w:rsidRPr="001F4301" w:rsidRDefault="000C1442">
            <w:pPr>
              <w:jc w:val="right"/>
              <w:rPr>
                <w:rFonts w:ascii="Arial" w:hAnsi="Arial" w:cs="Arial"/>
                <w:sz w:val="16"/>
                <w:szCs w:val="16"/>
                <w:lang w:eastAsia="es-AR"/>
              </w:rPr>
            </w:pPr>
            <w:r w:rsidRPr="001F4301">
              <w:rPr>
                <w:rFonts w:ascii="Arial" w:hAnsi="Arial" w:cs="Arial"/>
                <w:sz w:val="16"/>
                <w:szCs w:val="16"/>
              </w:rPr>
              <w:t>706.411</w:t>
            </w:r>
          </w:p>
        </w:tc>
      </w:tr>
      <w:tr w:rsidR="00857FC3" w:rsidRPr="00615B48" w14:paraId="075F23D3" w14:textId="77777777" w:rsidTr="002E1AF6">
        <w:trPr>
          <w:trHeight w:val="285"/>
          <w:jc w:val="center"/>
        </w:trPr>
        <w:tc>
          <w:tcPr>
            <w:tcW w:w="4907" w:type="dxa"/>
            <w:tcBorders>
              <w:top w:val="nil"/>
              <w:left w:val="nil"/>
              <w:bottom w:val="nil"/>
              <w:right w:val="nil"/>
            </w:tcBorders>
            <w:shd w:val="clear" w:color="auto" w:fill="auto"/>
            <w:vAlign w:val="bottom"/>
          </w:tcPr>
          <w:p w14:paraId="729E4138" w14:textId="1572F9F1" w:rsidR="00857FC3" w:rsidRPr="00615B48" w:rsidRDefault="00857FC3" w:rsidP="00857FC3">
            <w:pPr>
              <w:rPr>
                <w:rFonts w:ascii="Arial" w:hAnsi="Arial" w:cs="Arial"/>
                <w:sz w:val="16"/>
                <w:szCs w:val="16"/>
                <w:lang w:eastAsia="es-AR"/>
              </w:rPr>
            </w:pPr>
            <w:r w:rsidRPr="00857FC3">
              <w:rPr>
                <w:rFonts w:ascii="Arial" w:hAnsi="Arial" w:cs="Arial"/>
                <w:sz w:val="16"/>
                <w:szCs w:val="16"/>
                <w:lang w:eastAsia="es-AR"/>
              </w:rPr>
              <w:t>Pasivo por impuestos a las ganancias diferido</w:t>
            </w:r>
          </w:p>
        </w:tc>
        <w:tc>
          <w:tcPr>
            <w:tcW w:w="737" w:type="dxa"/>
            <w:tcBorders>
              <w:top w:val="nil"/>
              <w:left w:val="nil"/>
              <w:bottom w:val="nil"/>
              <w:right w:val="nil"/>
            </w:tcBorders>
            <w:shd w:val="clear" w:color="auto" w:fill="auto"/>
            <w:vAlign w:val="bottom"/>
          </w:tcPr>
          <w:p w14:paraId="3C390046" w14:textId="77777777" w:rsidR="00857FC3" w:rsidRPr="00615B48" w:rsidRDefault="00857FC3" w:rsidP="00857FC3">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71CC4BE0" w14:textId="41E6817B" w:rsidR="00857FC3" w:rsidRPr="001F4301" w:rsidRDefault="00857FC3">
            <w:pPr>
              <w:jc w:val="right"/>
              <w:rPr>
                <w:rFonts w:ascii="Arial" w:hAnsi="Arial" w:cs="Arial"/>
                <w:sz w:val="16"/>
                <w:szCs w:val="16"/>
              </w:rPr>
            </w:pPr>
            <w:r w:rsidRPr="001F4301">
              <w:rPr>
                <w:rFonts w:ascii="Arial" w:hAnsi="Arial" w:cs="Arial"/>
                <w:sz w:val="16"/>
                <w:szCs w:val="16"/>
              </w:rPr>
              <w:t>912</w:t>
            </w:r>
          </w:p>
        </w:tc>
        <w:tc>
          <w:tcPr>
            <w:tcW w:w="1276" w:type="dxa"/>
            <w:tcBorders>
              <w:top w:val="nil"/>
              <w:left w:val="nil"/>
              <w:bottom w:val="nil"/>
              <w:right w:val="nil"/>
            </w:tcBorders>
            <w:shd w:val="clear" w:color="auto" w:fill="auto"/>
            <w:noWrap/>
            <w:vAlign w:val="bottom"/>
          </w:tcPr>
          <w:p w14:paraId="4587D765" w14:textId="3FF1670E" w:rsidR="00857FC3" w:rsidRPr="001F4301" w:rsidRDefault="000C1442">
            <w:pPr>
              <w:jc w:val="right"/>
              <w:rPr>
                <w:rFonts w:ascii="Arial" w:hAnsi="Arial" w:cs="Arial"/>
                <w:sz w:val="16"/>
                <w:szCs w:val="16"/>
                <w:lang w:val="es-ES_tradnl" w:eastAsia="es-AR"/>
              </w:rPr>
            </w:pPr>
            <w:r w:rsidRPr="001F4301">
              <w:rPr>
                <w:rFonts w:ascii="Arial" w:hAnsi="Arial" w:cs="Arial"/>
                <w:sz w:val="16"/>
                <w:szCs w:val="16"/>
                <w:lang w:val="es-ES_tradnl" w:eastAsia="es-AR"/>
              </w:rPr>
              <w:t>-</w:t>
            </w:r>
          </w:p>
        </w:tc>
      </w:tr>
      <w:tr w:rsidR="00857FC3" w:rsidRPr="00615B48" w14:paraId="31D5BBC4" w14:textId="77777777" w:rsidTr="002E1AF6">
        <w:trPr>
          <w:trHeight w:val="285"/>
          <w:jc w:val="center"/>
        </w:trPr>
        <w:tc>
          <w:tcPr>
            <w:tcW w:w="4907" w:type="dxa"/>
            <w:tcBorders>
              <w:top w:val="nil"/>
              <w:left w:val="nil"/>
              <w:bottom w:val="nil"/>
              <w:right w:val="nil"/>
            </w:tcBorders>
            <w:shd w:val="clear" w:color="auto" w:fill="auto"/>
            <w:vAlign w:val="bottom"/>
            <w:hideMark/>
          </w:tcPr>
          <w:p w14:paraId="1EF8ABE0" w14:textId="77777777" w:rsidR="00857FC3" w:rsidRPr="00615B48" w:rsidRDefault="00857FC3" w:rsidP="00857FC3">
            <w:pPr>
              <w:rPr>
                <w:rFonts w:ascii="Arial" w:hAnsi="Arial" w:cs="Arial"/>
                <w:sz w:val="16"/>
                <w:szCs w:val="16"/>
                <w:lang w:eastAsia="es-AR"/>
              </w:rPr>
            </w:pPr>
            <w:r w:rsidRPr="00615B48">
              <w:rPr>
                <w:rFonts w:ascii="Arial" w:hAnsi="Arial" w:cs="Arial"/>
                <w:sz w:val="16"/>
                <w:szCs w:val="16"/>
                <w:lang w:eastAsia="es-AR"/>
              </w:rPr>
              <w:t>Otros pasivos no financieros</w:t>
            </w:r>
          </w:p>
        </w:tc>
        <w:tc>
          <w:tcPr>
            <w:tcW w:w="737" w:type="dxa"/>
            <w:tcBorders>
              <w:top w:val="nil"/>
              <w:left w:val="nil"/>
              <w:bottom w:val="nil"/>
              <w:right w:val="nil"/>
            </w:tcBorders>
            <w:shd w:val="clear" w:color="auto" w:fill="auto"/>
            <w:vAlign w:val="bottom"/>
            <w:hideMark/>
          </w:tcPr>
          <w:p w14:paraId="44E67D40" w14:textId="428D386A" w:rsidR="00857FC3" w:rsidRPr="00615B48" w:rsidRDefault="00857FC3" w:rsidP="00857FC3">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95FE806" w14:textId="43021244" w:rsidR="00857FC3" w:rsidRPr="001F4301" w:rsidRDefault="00857FC3">
            <w:pPr>
              <w:jc w:val="right"/>
              <w:rPr>
                <w:rFonts w:ascii="Arial" w:hAnsi="Arial" w:cs="Arial"/>
                <w:sz w:val="16"/>
                <w:szCs w:val="16"/>
              </w:rPr>
            </w:pPr>
            <w:r w:rsidRPr="001F4301">
              <w:rPr>
                <w:rFonts w:ascii="Arial" w:hAnsi="Arial" w:cs="Arial"/>
                <w:sz w:val="16"/>
                <w:szCs w:val="16"/>
              </w:rPr>
              <w:t>7.573.484</w:t>
            </w:r>
          </w:p>
        </w:tc>
        <w:tc>
          <w:tcPr>
            <w:tcW w:w="1276" w:type="dxa"/>
            <w:tcBorders>
              <w:top w:val="nil"/>
              <w:left w:val="nil"/>
              <w:bottom w:val="nil"/>
              <w:right w:val="nil"/>
            </w:tcBorders>
            <w:shd w:val="clear" w:color="auto" w:fill="auto"/>
            <w:noWrap/>
            <w:vAlign w:val="bottom"/>
          </w:tcPr>
          <w:p w14:paraId="4F551DF9" w14:textId="150D2151" w:rsidR="00857FC3" w:rsidRPr="001F4301" w:rsidRDefault="000C1442">
            <w:pPr>
              <w:jc w:val="right"/>
              <w:rPr>
                <w:rFonts w:ascii="Arial" w:hAnsi="Arial" w:cs="Arial"/>
                <w:sz w:val="16"/>
                <w:szCs w:val="16"/>
                <w:lang w:val="es-ES_tradnl" w:eastAsia="es-AR"/>
              </w:rPr>
            </w:pPr>
            <w:r w:rsidRPr="001F4301">
              <w:rPr>
                <w:rFonts w:ascii="Arial" w:hAnsi="Arial" w:cs="Arial"/>
                <w:sz w:val="16"/>
                <w:szCs w:val="16"/>
                <w:lang w:val="es-ES_tradnl" w:eastAsia="es-AR"/>
              </w:rPr>
              <w:t>7.656.154</w:t>
            </w:r>
          </w:p>
        </w:tc>
      </w:tr>
      <w:tr w:rsidR="00857FC3" w:rsidRPr="00E43FE4" w14:paraId="58590A55" w14:textId="77777777" w:rsidTr="002E1AF6">
        <w:trPr>
          <w:trHeight w:val="80"/>
          <w:jc w:val="center"/>
        </w:trPr>
        <w:tc>
          <w:tcPr>
            <w:tcW w:w="4907" w:type="dxa"/>
            <w:tcBorders>
              <w:top w:val="nil"/>
              <w:left w:val="nil"/>
              <w:bottom w:val="nil"/>
              <w:right w:val="nil"/>
            </w:tcBorders>
            <w:shd w:val="clear" w:color="auto" w:fill="auto"/>
            <w:vAlign w:val="bottom"/>
            <w:hideMark/>
          </w:tcPr>
          <w:p w14:paraId="6F91171B" w14:textId="77777777" w:rsidR="00857FC3" w:rsidRPr="00E43FE4" w:rsidRDefault="00857FC3" w:rsidP="00857FC3">
            <w:pPr>
              <w:rPr>
                <w:rFonts w:ascii="Arial" w:hAnsi="Arial" w:cs="Arial"/>
                <w:sz w:val="10"/>
                <w:szCs w:val="10"/>
                <w:lang w:eastAsia="es-AR"/>
              </w:rPr>
            </w:pPr>
          </w:p>
        </w:tc>
        <w:tc>
          <w:tcPr>
            <w:tcW w:w="737" w:type="dxa"/>
            <w:tcBorders>
              <w:top w:val="nil"/>
              <w:left w:val="nil"/>
              <w:bottom w:val="nil"/>
              <w:right w:val="nil"/>
            </w:tcBorders>
            <w:shd w:val="clear" w:color="auto" w:fill="auto"/>
            <w:vAlign w:val="bottom"/>
            <w:hideMark/>
          </w:tcPr>
          <w:p w14:paraId="2C305CE6" w14:textId="77777777" w:rsidR="00857FC3" w:rsidRPr="00E43FE4" w:rsidRDefault="00857FC3" w:rsidP="00857FC3">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5668A138" w14:textId="324B8B5C" w:rsidR="00857FC3" w:rsidRPr="001F4301" w:rsidRDefault="00857FC3">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6FDCDFE" w14:textId="77777777" w:rsidR="00857FC3" w:rsidRPr="002E1AF6" w:rsidRDefault="00857FC3">
            <w:pPr>
              <w:jc w:val="right"/>
              <w:rPr>
                <w:rFonts w:ascii="Arial" w:hAnsi="Arial" w:cs="Arial"/>
                <w:sz w:val="16"/>
                <w:szCs w:val="16"/>
                <w:lang w:eastAsia="es-AR"/>
              </w:rPr>
            </w:pPr>
          </w:p>
        </w:tc>
      </w:tr>
      <w:tr w:rsidR="00857FC3" w:rsidRPr="00615B48" w14:paraId="179214A5" w14:textId="77777777" w:rsidTr="002E1AF6">
        <w:trPr>
          <w:trHeight w:val="285"/>
          <w:jc w:val="center"/>
        </w:trPr>
        <w:tc>
          <w:tcPr>
            <w:tcW w:w="4907" w:type="dxa"/>
            <w:tcBorders>
              <w:top w:val="nil"/>
              <w:left w:val="nil"/>
              <w:bottom w:val="nil"/>
              <w:right w:val="nil"/>
            </w:tcBorders>
            <w:shd w:val="clear" w:color="auto" w:fill="auto"/>
            <w:vAlign w:val="bottom"/>
            <w:hideMark/>
          </w:tcPr>
          <w:p w14:paraId="6AEE3E69" w14:textId="77777777" w:rsidR="00857FC3" w:rsidRPr="00615B48" w:rsidRDefault="00857FC3" w:rsidP="00857FC3">
            <w:pPr>
              <w:rPr>
                <w:rFonts w:ascii="Arial" w:hAnsi="Arial" w:cs="Arial"/>
                <w:b/>
                <w:bCs/>
                <w:sz w:val="16"/>
                <w:szCs w:val="16"/>
                <w:lang w:eastAsia="es-AR"/>
              </w:rPr>
            </w:pPr>
            <w:r w:rsidRPr="00615B48">
              <w:rPr>
                <w:rFonts w:ascii="Arial" w:hAnsi="Arial" w:cs="Arial"/>
                <w:b/>
                <w:bCs/>
                <w:sz w:val="16"/>
                <w:szCs w:val="16"/>
                <w:lang w:eastAsia="es-AR"/>
              </w:rPr>
              <w:t>TOTAL DEL PASIVO</w:t>
            </w:r>
          </w:p>
        </w:tc>
        <w:tc>
          <w:tcPr>
            <w:tcW w:w="737" w:type="dxa"/>
            <w:tcBorders>
              <w:top w:val="nil"/>
              <w:left w:val="nil"/>
              <w:bottom w:val="nil"/>
              <w:right w:val="nil"/>
            </w:tcBorders>
            <w:shd w:val="clear" w:color="auto" w:fill="auto"/>
            <w:vAlign w:val="bottom"/>
            <w:hideMark/>
          </w:tcPr>
          <w:p w14:paraId="50DD32B0" w14:textId="77777777" w:rsidR="00857FC3" w:rsidRPr="00615B48" w:rsidRDefault="00857FC3" w:rsidP="00857FC3">
            <w:pPr>
              <w:jc w:val="center"/>
              <w:rPr>
                <w:rFonts w:ascii="Arial" w:hAnsi="Arial" w:cs="Arial"/>
                <w:b/>
                <w:bCs/>
                <w:sz w:val="16"/>
                <w:szCs w:val="16"/>
                <w:lang w:eastAsia="es-AR"/>
              </w:rPr>
            </w:pPr>
          </w:p>
        </w:tc>
        <w:tc>
          <w:tcPr>
            <w:tcW w:w="1417" w:type="dxa"/>
            <w:tcBorders>
              <w:top w:val="single" w:sz="4" w:space="0" w:color="auto"/>
              <w:left w:val="nil"/>
              <w:bottom w:val="nil"/>
              <w:right w:val="nil"/>
            </w:tcBorders>
            <w:shd w:val="clear" w:color="auto" w:fill="auto"/>
            <w:noWrap/>
            <w:vAlign w:val="bottom"/>
          </w:tcPr>
          <w:p w14:paraId="50EE5D2F" w14:textId="1C59EAC3" w:rsidR="00857FC3" w:rsidRPr="001F4301" w:rsidRDefault="00E41A44">
            <w:pPr>
              <w:jc w:val="right"/>
              <w:rPr>
                <w:rFonts w:ascii="Arial" w:hAnsi="Arial" w:cs="Arial"/>
                <w:b/>
                <w:bCs/>
                <w:sz w:val="16"/>
                <w:szCs w:val="16"/>
              </w:rPr>
            </w:pPr>
            <w:r w:rsidRPr="001F4301">
              <w:rPr>
                <w:rFonts w:ascii="Arial" w:hAnsi="Arial" w:cs="Arial"/>
                <w:b/>
                <w:bCs/>
                <w:sz w:val="16"/>
                <w:szCs w:val="16"/>
              </w:rPr>
              <w:t>169.601.554</w:t>
            </w:r>
          </w:p>
        </w:tc>
        <w:tc>
          <w:tcPr>
            <w:tcW w:w="1276" w:type="dxa"/>
            <w:tcBorders>
              <w:top w:val="single" w:sz="4" w:space="0" w:color="auto"/>
              <w:left w:val="nil"/>
              <w:bottom w:val="nil"/>
              <w:right w:val="nil"/>
            </w:tcBorders>
            <w:shd w:val="clear" w:color="auto" w:fill="auto"/>
            <w:noWrap/>
            <w:vAlign w:val="bottom"/>
          </w:tcPr>
          <w:p w14:paraId="6379A658" w14:textId="498D7F82" w:rsidR="00857FC3" w:rsidRPr="001F4301" w:rsidRDefault="000C1442">
            <w:pPr>
              <w:jc w:val="right"/>
              <w:rPr>
                <w:rFonts w:ascii="Arial" w:hAnsi="Arial" w:cs="Arial"/>
                <w:b/>
                <w:bCs/>
                <w:sz w:val="16"/>
                <w:szCs w:val="16"/>
              </w:rPr>
            </w:pPr>
            <w:r w:rsidRPr="001F4301">
              <w:rPr>
                <w:rFonts w:ascii="Arial" w:hAnsi="Arial" w:cs="Arial"/>
                <w:b/>
                <w:bCs/>
                <w:sz w:val="16"/>
                <w:szCs w:val="16"/>
              </w:rPr>
              <w:t>133.710.701</w:t>
            </w:r>
          </w:p>
        </w:tc>
      </w:tr>
      <w:tr w:rsidR="00687942" w:rsidRPr="00E43FE4" w14:paraId="5801EB02" w14:textId="77777777" w:rsidTr="002E1AF6">
        <w:trPr>
          <w:trHeight w:val="159"/>
          <w:jc w:val="center"/>
        </w:trPr>
        <w:tc>
          <w:tcPr>
            <w:tcW w:w="4907" w:type="dxa"/>
            <w:tcBorders>
              <w:top w:val="nil"/>
              <w:left w:val="nil"/>
              <w:bottom w:val="nil"/>
              <w:right w:val="nil"/>
            </w:tcBorders>
            <w:shd w:val="clear" w:color="auto" w:fill="auto"/>
            <w:hideMark/>
          </w:tcPr>
          <w:p w14:paraId="5A2ECCB1" w14:textId="77777777" w:rsidR="00687942" w:rsidRPr="00E43FE4" w:rsidRDefault="00687942" w:rsidP="00687942">
            <w:pPr>
              <w:rPr>
                <w:rFonts w:ascii="Arial" w:hAnsi="Arial" w:cs="Arial"/>
                <w:b/>
                <w:bCs/>
                <w:sz w:val="10"/>
                <w:szCs w:val="10"/>
                <w:lang w:eastAsia="es-AR"/>
              </w:rPr>
            </w:pPr>
          </w:p>
        </w:tc>
        <w:tc>
          <w:tcPr>
            <w:tcW w:w="737" w:type="dxa"/>
            <w:tcBorders>
              <w:top w:val="nil"/>
              <w:left w:val="nil"/>
              <w:bottom w:val="nil"/>
              <w:right w:val="nil"/>
            </w:tcBorders>
            <w:shd w:val="clear" w:color="auto" w:fill="auto"/>
            <w:vAlign w:val="bottom"/>
            <w:hideMark/>
          </w:tcPr>
          <w:p w14:paraId="506F7878" w14:textId="77777777" w:rsidR="00687942" w:rsidRPr="00E43FE4" w:rsidRDefault="00687942">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5F6D6916" w14:textId="77777777" w:rsidR="00687942" w:rsidRPr="001F4301" w:rsidRDefault="00687942">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3655480" w14:textId="77777777" w:rsidR="00687942" w:rsidRPr="002E1AF6" w:rsidRDefault="00687942">
            <w:pPr>
              <w:jc w:val="right"/>
              <w:rPr>
                <w:rFonts w:ascii="Arial" w:hAnsi="Arial" w:cs="Arial"/>
                <w:sz w:val="16"/>
                <w:szCs w:val="16"/>
                <w:lang w:eastAsia="es-AR"/>
              </w:rPr>
            </w:pPr>
          </w:p>
        </w:tc>
      </w:tr>
      <w:tr w:rsidR="00687942" w:rsidRPr="00615B48" w14:paraId="1DBF5861" w14:textId="77777777" w:rsidTr="002E1AF6">
        <w:trPr>
          <w:trHeight w:val="285"/>
          <w:jc w:val="center"/>
        </w:trPr>
        <w:tc>
          <w:tcPr>
            <w:tcW w:w="4907" w:type="dxa"/>
            <w:tcBorders>
              <w:top w:val="nil"/>
              <w:left w:val="nil"/>
              <w:bottom w:val="nil"/>
              <w:right w:val="nil"/>
            </w:tcBorders>
            <w:shd w:val="clear" w:color="auto" w:fill="auto"/>
            <w:hideMark/>
          </w:tcPr>
          <w:p w14:paraId="5CA183EA" w14:textId="29285904" w:rsidR="00687942" w:rsidRPr="00615B48" w:rsidRDefault="00687942" w:rsidP="00687942">
            <w:pPr>
              <w:rPr>
                <w:rFonts w:ascii="Arial" w:hAnsi="Arial" w:cs="Arial"/>
                <w:b/>
                <w:bCs/>
                <w:sz w:val="16"/>
                <w:szCs w:val="16"/>
                <w:lang w:eastAsia="es-AR"/>
              </w:rPr>
            </w:pPr>
            <w:r w:rsidRPr="00615B48">
              <w:rPr>
                <w:rFonts w:ascii="Arial" w:hAnsi="Arial" w:cs="Arial"/>
                <w:b/>
                <w:bCs/>
                <w:sz w:val="16"/>
                <w:szCs w:val="16"/>
                <w:lang w:eastAsia="es-AR"/>
              </w:rPr>
              <w:t xml:space="preserve">PATRIMONIO NETO (Según estado </w:t>
            </w:r>
            <w:r w:rsidR="005C5B45">
              <w:rPr>
                <w:rFonts w:ascii="Arial" w:hAnsi="Arial" w:cs="Arial"/>
                <w:b/>
                <w:bCs/>
                <w:sz w:val="16"/>
                <w:szCs w:val="16"/>
                <w:lang w:eastAsia="es-AR"/>
              </w:rPr>
              <w:t>respectivo</w:t>
            </w:r>
            <w:r w:rsidRPr="00615B48">
              <w:rPr>
                <w:rFonts w:ascii="Arial" w:hAnsi="Arial" w:cs="Arial"/>
                <w:b/>
                <w:bCs/>
                <w:sz w:val="16"/>
                <w:szCs w:val="16"/>
                <w:lang w:eastAsia="es-AR"/>
              </w:rPr>
              <w:t>)</w:t>
            </w:r>
          </w:p>
        </w:tc>
        <w:tc>
          <w:tcPr>
            <w:tcW w:w="737" w:type="dxa"/>
            <w:tcBorders>
              <w:top w:val="nil"/>
              <w:left w:val="nil"/>
              <w:bottom w:val="nil"/>
              <w:right w:val="nil"/>
            </w:tcBorders>
            <w:shd w:val="clear" w:color="auto" w:fill="auto"/>
            <w:vAlign w:val="bottom"/>
            <w:hideMark/>
          </w:tcPr>
          <w:p w14:paraId="3B4EA032" w14:textId="77777777" w:rsidR="00687942" w:rsidRPr="00615B48" w:rsidRDefault="00687942">
            <w:pPr>
              <w:jc w:val="center"/>
              <w:rPr>
                <w:rFonts w:ascii="Arial" w:hAnsi="Arial" w:cs="Arial"/>
                <w:b/>
                <w:bCs/>
                <w:sz w:val="16"/>
                <w:szCs w:val="16"/>
                <w:lang w:eastAsia="es-AR"/>
              </w:rPr>
            </w:pPr>
          </w:p>
        </w:tc>
        <w:tc>
          <w:tcPr>
            <w:tcW w:w="1417" w:type="dxa"/>
            <w:tcBorders>
              <w:top w:val="nil"/>
              <w:left w:val="nil"/>
              <w:bottom w:val="nil"/>
              <w:right w:val="nil"/>
            </w:tcBorders>
            <w:shd w:val="clear" w:color="auto" w:fill="auto"/>
            <w:noWrap/>
            <w:vAlign w:val="bottom"/>
          </w:tcPr>
          <w:p w14:paraId="52645F20" w14:textId="77777777" w:rsidR="00687942" w:rsidRPr="001F4301" w:rsidRDefault="00687942">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6FA23AF8" w14:textId="77777777" w:rsidR="00687942" w:rsidRPr="001F4301" w:rsidRDefault="00687942">
            <w:pPr>
              <w:jc w:val="right"/>
              <w:rPr>
                <w:rFonts w:ascii="Arial" w:hAnsi="Arial" w:cs="Arial"/>
                <w:sz w:val="16"/>
                <w:szCs w:val="16"/>
                <w:lang w:eastAsia="es-AR"/>
              </w:rPr>
            </w:pPr>
          </w:p>
        </w:tc>
      </w:tr>
      <w:tr w:rsidR="000C1442" w:rsidRPr="00615B48" w14:paraId="6C40177B" w14:textId="77777777" w:rsidTr="002E1AF6">
        <w:trPr>
          <w:trHeight w:val="285"/>
          <w:jc w:val="center"/>
        </w:trPr>
        <w:tc>
          <w:tcPr>
            <w:tcW w:w="4907" w:type="dxa"/>
            <w:tcBorders>
              <w:top w:val="nil"/>
              <w:left w:val="nil"/>
              <w:bottom w:val="nil"/>
              <w:right w:val="nil"/>
            </w:tcBorders>
            <w:shd w:val="clear" w:color="auto" w:fill="auto"/>
            <w:vAlign w:val="bottom"/>
            <w:hideMark/>
          </w:tcPr>
          <w:p w14:paraId="50AE3FE1"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Capital social</w:t>
            </w:r>
          </w:p>
        </w:tc>
        <w:tc>
          <w:tcPr>
            <w:tcW w:w="737" w:type="dxa"/>
            <w:tcBorders>
              <w:top w:val="nil"/>
              <w:left w:val="nil"/>
              <w:bottom w:val="nil"/>
              <w:right w:val="nil"/>
            </w:tcBorders>
            <w:shd w:val="clear" w:color="auto" w:fill="auto"/>
            <w:vAlign w:val="bottom"/>
            <w:hideMark/>
          </w:tcPr>
          <w:p w14:paraId="47D56EE2"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620BAD44" w14:textId="769715F4" w:rsidR="000C1442" w:rsidRPr="001F4301" w:rsidRDefault="000C1442">
            <w:pPr>
              <w:jc w:val="right"/>
              <w:rPr>
                <w:rFonts w:ascii="Arial" w:hAnsi="Arial" w:cs="Arial"/>
                <w:sz w:val="16"/>
                <w:szCs w:val="16"/>
              </w:rPr>
            </w:pPr>
            <w:r w:rsidRPr="001F4301">
              <w:rPr>
                <w:rFonts w:ascii="Arial" w:hAnsi="Arial" w:cs="Arial"/>
                <w:sz w:val="16"/>
                <w:szCs w:val="16"/>
              </w:rPr>
              <w:t>829.564</w:t>
            </w:r>
          </w:p>
        </w:tc>
        <w:tc>
          <w:tcPr>
            <w:tcW w:w="1276" w:type="dxa"/>
            <w:tcBorders>
              <w:top w:val="nil"/>
              <w:left w:val="nil"/>
              <w:bottom w:val="nil"/>
              <w:right w:val="nil"/>
            </w:tcBorders>
            <w:shd w:val="clear" w:color="auto" w:fill="auto"/>
            <w:noWrap/>
            <w:vAlign w:val="bottom"/>
          </w:tcPr>
          <w:p w14:paraId="7502E962" w14:textId="3AA4BA2E" w:rsidR="000C1442" w:rsidRPr="001F4301" w:rsidRDefault="000C1442">
            <w:pPr>
              <w:jc w:val="right"/>
              <w:rPr>
                <w:rFonts w:ascii="Arial" w:hAnsi="Arial" w:cs="Arial"/>
                <w:sz w:val="16"/>
                <w:szCs w:val="16"/>
                <w:lang w:eastAsia="es-AR"/>
              </w:rPr>
            </w:pPr>
            <w:r w:rsidRPr="001F4301">
              <w:rPr>
                <w:rFonts w:ascii="Arial" w:hAnsi="Arial" w:cs="Arial"/>
                <w:sz w:val="16"/>
                <w:szCs w:val="16"/>
              </w:rPr>
              <w:t>829.564</w:t>
            </w:r>
          </w:p>
        </w:tc>
      </w:tr>
      <w:tr w:rsidR="000C1442" w:rsidRPr="00615B48" w14:paraId="62082A03" w14:textId="77777777" w:rsidTr="002E1AF6">
        <w:trPr>
          <w:trHeight w:val="269"/>
          <w:jc w:val="center"/>
        </w:trPr>
        <w:tc>
          <w:tcPr>
            <w:tcW w:w="4907" w:type="dxa"/>
            <w:tcBorders>
              <w:top w:val="nil"/>
              <w:left w:val="nil"/>
              <w:bottom w:val="nil"/>
              <w:right w:val="nil"/>
            </w:tcBorders>
            <w:shd w:val="clear" w:color="auto" w:fill="auto"/>
            <w:vAlign w:val="bottom"/>
            <w:hideMark/>
          </w:tcPr>
          <w:p w14:paraId="71D1B521"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Aportes no capitalizados</w:t>
            </w:r>
          </w:p>
        </w:tc>
        <w:tc>
          <w:tcPr>
            <w:tcW w:w="737" w:type="dxa"/>
            <w:tcBorders>
              <w:top w:val="nil"/>
              <w:left w:val="nil"/>
              <w:bottom w:val="nil"/>
              <w:right w:val="nil"/>
            </w:tcBorders>
            <w:shd w:val="clear" w:color="auto" w:fill="auto"/>
            <w:vAlign w:val="bottom"/>
            <w:hideMark/>
          </w:tcPr>
          <w:p w14:paraId="151E9F1D"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2CAD335" w14:textId="1D3236DE" w:rsidR="000C1442" w:rsidRPr="001F4301" w:rsidRDefault="000C1442">
            <w:pPr>
              <w:jc w:val="right"/>
              <w:rPr>
                <w:rFonts w:ascii="Arial" w:hAnsi="Arial" w:cs="Arial"/>
                <w:sz w:val="16"/>
                <w:szCs w:val="16"/>
              </w:rPr>
            </w:pPr>
            <w:r w:rsidRPr="001F4301">
              <w:rPr>
                <w:rFonts w:ascii="Arial" w:hAnsi="Arial" w:cs="Arial"/>
                <w:sz w:val="16"/>
                <w:szCs w:val="16"/>
              </w:rPr>
              <w:t>6.898.635</w:t>
            </w:r>
          </w:p>
        </w:tc>
        <w:tc>
          <w:tcPr>
            <w:tcW w:w="1276" w:type="dxa"/>
            <w:tcBorders>
              <w:top w:val="nil"/>
              <w:left w:val="nil"/>
              <w:bottom w:val="nil"/>
              <w:right w:val="nil"/>
            </w:tcBorders>
            <w:shd w:val="clear" w:color="auto" w:fill="auto"/>
            <w:noWrap/>
            <w:vAlign w:val="bottom"/>
          </w:tcPr>
          <w:p w14:paraId="4A157085" w14:textId="5C874FF3" w:rsidR="000C1442" w:rsidRPr="001F4301" w:rsidRDefault="000C1442">
            <w:pPr>
              <w:jc w:val="right"/>
              <w:rPr>
                <w:rFonts w:ascii="Arial" w:hAnsi="Arial" w:cs="Arial"/>
                <w:sz w:val="16"/>
                <w:szCs w:val="16"/>
                <w:lang w:eastAsia="es-AR"/>
              </w:rPr>
            </w:pPr>
            <w:r w:rsidRPr="001F4301">
              <w:rPr>
                <w:rFonts w:ascii="Arial" w:hAnsi="Arial" w:cs="Arial"/>
                <w:sz w:val="16"/>
                <w:szCs w:val="16"/>
              </w:rPr>
              <w:t>6.898.635</w:t>
            </w:r>
          </w:p>
        </w:tc>
      </w:tr>
      <w:tr w:rsidR="000C1442" w:rsidRPr="00615B48" w14:paraId="593B2D7D" w14:textId="77777777" w:rsidTr="002E1AF6">
        <w:trPr>
          <w:trHeight w:val="285"/>
          <w:jc w:val="center"/>
        </w:trPr>
        <w:tc>
          <w:tcPr>
            <w:tcW w:w="4907" w:type="dxa"/>
            <w:tcBorders>
              <w:top w:val="nil"/>
              <w:left w:val="nil"/>
              <w:bottom w:val="nil"/>
              <w:right w:val="nil"/>
            </w:tcBorders>
            <w:shd w:val="clear" w:color="auto" w:fill="auto"/>
            <w:vAlign w:val="bottom"/>
          </w:tcPr>
          <w:p w14:paraId="120CB249" w14:textId="6B0B1480" w:rsidR="000C1442" w:rsidRPr="00615B48" w:rsidRDefault="000C1442" w:rsidP="000C1442">
            <w:pPr>
              <w:ind w:firstLineChars="300" w:firstLine="480"/>
              <w:rPr>
                <w:rFonts w:ascii="Arial" w:hAnsi="Arial" w:cs="Arial"/>
                <w:sz w:val="16"/>
                <w:szCs w:val="16"/>
                <w:lang w:eastAsia="es-AR"/>
              </w:rPr>
            </w:pPr>
            <w:r w:rsidRPr="00857FC3">
              <w:rPr>
                <w:rFonts w:ascii="Arial" w:hAnsi="Arial" w:cs="Arial"/>
                <w:sz w:val="16"/>
                <w:szCs w:val="16"/>
                <w:lang w:eastAsia="es-AR"/>
              </w:rPr>
              <w:t xml:space="preserve"> Ajustes al capital</w:t>
            </w:r>
          </w:p>
        </w:tc>
        <w:tc>
          <w:tcPr>
            <w:tcW w:w="737" w:type="dxa"/>
            <w:tcBorders>
              <w:top w:val="nil"/>
              <w:left w:val="nil"/>
              <w:bottom w:val="nil"/>
              <w:right w:val="nil"/>
            </w:tcBorders>
            <w:shd w:val="clear" w:color="auto" w:fill="auto"/>
            <w:vAlign w:val="bottom"/>
          </w:tcPr>
          <w:p w14:paraId="0C20612E"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13CE033" w14:textId="2A6F94A1" w:rsidR="000C1442" w:rsidRPr="001F4301" w:rsidRDefault="000C1442">
            <w:pPr>
              <w:jc w:val="right"/>
              <w:rPr>
                <w:rFonts w:ascii="Arial" w:hAnsi="Arial" w:cs="Arial"/>
                <w:sz w:val="16"/>
                <w:szCs w:val="16"/>
              </w:rPr>
            </w:pPr>
            <w:r w:rsidRPr="001F4301">
              <w:rPr>
                <w:rFonts w:ascii="Arial" w:hAnsi="Arial" w:cs="Arial"/>
                <w:sz w:val="16"/>
                <w:szCs w:val="16"/>
              </w:rPr>
              <w:t>16.376.393</w:t>
            </w:r>
          </w:p>
        </w:tc>
        <w:tc>
          <w:tcPr>
            <w:tcW w:w="1276" w:type="dxa"/>
            <w:tcBorders>
              <w:top w:val="nil"/>
              <w:left w:val="nil"/>
              <w:bottom w:val="nil"/>
              <w:right w:val="nil"/>
            </w:tcBorders>
            <w:shd w:val="clear" w:color="auto" w:fill="auto"/>
            <w:noWrap/>
            <w:vAlign w:val="bottom"/>
          </w:tcPr>
          <w:p w14:paraId="2771F11A" w14:textId="4E1303EE" w:rsidR="000C1442" w:rsidRPr="001F4301" w:rsidRDefault="000C1442">
            <w:pPr>
              <w:jc w:val="right"/>
              <w:rPr>
                <w:rFonts w:ascii="Arial" w:hAnsi="Arial" w:cs="Arial"/>
                <w:sz w:val="16"/>
                <w:szCs w:val="16"/>
                <w:lang w:eastAsia="es-AR"/>
              </w:rPr>
            </w:pPr>
            <w:r w:rsidRPr="001F4301">
              <w:rPr>
                <w:rFonts w:ascii="Arial" w:hAnsi="Arial" w:cs="Arial"/>
                <w:sz w:val="16"/>
                <w:szCs w:val="16"/>
              </w:rPr>
              <w:t>16.376.393</w:t>
            </w:r>
          </w:p>
        </w:tc>
      </w:tr>
      <w:tr w:rsidR="000C1442" w:rsidRPr="00615B48" w14:paraId="17CAEAA8" w14:textId="77777777" w:rsidTr="002E1AF6">
        <w:trPr>
          <w:trHeight w:val="285"/>
          <w:jc w:val="center"/>
        </w:trPr>
        <w:tc>
          <w:tcPr>
            <w:tcW w:w="4907" w:type="dxa"/>
            <w:tcBorders>
              <w:top w:val="nil"/>
              <w:left w:val="nil"/>
              <w:bottom w:val="nil"/>
              <w:right w:val="nil"/>
            </w:tcBorders>
            <w:shd w:val="clear" w:color="auto" w:fill="auto"/>
            <w:vAlign w:val="bottom"/>
            <w:hideMark/>
          </w:tcPr>
          <w:p w14:paraId="03973327"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Ganancias reservadas</w:t>
            </w:r>
          </w:p>
        </w:tc>
        <w:tc>
          <w:tcPr>
            <w:tcW w:w="737" w:type="dxa"/>
            <w:tcBorders>
              <w:top w:val="nil"/>
              <w:left w:val="nil"/>
              <w:bottom w:val="nil"/>
              <w:right w:val="nil"/>
            </w:tcBorders>
            <w:shd w:val="clear" w:color="auto" w:fill="auto"/>
            <w:vAlign w:val="bottom"/>
            <w:hideMark/>
          </w:tcPr>
          <w:p w14:paraId="5A92175D"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31972D78" w14:textId="15A59DE3" w:rsidR="000C1442" w:rsidRPr="001F4301" w:rsidRDefault="000C1442">
            <w:pPr>
              <w:jc w:val="right"/>
              <w:rPr>
                <w:rFonts w:ascii="Arial" w:hAnsi="Arial" w:cs="Arial"/>
                <w:sz w:val="16"/>
                <w:szCs w:val="16"/>
              </w:rPr>
            </w:pPr>
            <w:r w:rsidRPr="001F4301">
              <w:rPr>
                <w:rFonts w:ascii="Arial" w:hAnsi="Arial" w:cs="Arial"/>
                <w:sz w:val="16"/>
                <w:szCs w:val="16"/>
              </w:rPr>
              <w:t>8.859.959</w:t>
            </w:r>
          </w:p>
        </w:tc>
        <w:tc>
          <w:tcPr>
            <w:tcW w:w="1276" w:type="dxa"/>
            <w:tcBorders>
              <w:top w:val="nil"/>
              <w:left w:val="nil"/>
              <w:bottom w:val="nil"/>
              <w:right w:val="nil"/>
            </w:tcBorders>
            <w:shd w:val="clear" w:color="auto" w:fill="auto"/>
            <w:noWrap/>
            <w:vAlign w:val="bottom"/>
          </w:tcPr>
          <w:p w14:paraId="0FB8108A" w14:textId="4A8A9575" w:rsidR="000C1442" w:rsidRPr="001F4301" w:rsidRDefault="000C1442">
            <w:pPr>
              <w:jc w:val="right"/>
              <w:rPr>
                <w:rFonts w:ascii="Arial" w:hAnsi="Arial" w:cs="Arial"/>
                <w:sz w:val="16"/>
                <w:szCs w:val="16"/>
                <w:lang w:eastAsia="es-AR"/>
              </w:rPr>
            </w:pPr>
            <w:r w:rsidRPr="001F4301">
              <w:rPr>
                <w:rFonts w:ascii="Arial" w:hAnsi="Arial" w:cs="Arial"/>
                <w:sz w:val="16"/>
                <w:szCs w:val="16"/>
              </w:rPr>
              <w:t>8.859.959</w:t>
            </w:r>
          </w:p>
        </w:tc>
      </w:tr>
      <w:tr w:rsidR="000C1442" w:rsidRPr="00615B48" w14:paraId="54DA76E6" w14:textId="77777777" w:rsidTr="002E1AF6">
        <w:trPr>
          <w:trHeight w:val="285"/>
          <w:jc w:val="center"/>
        </w:trPr>
        <w:tc>
          <w:tcPr>
            <w:tcW w:w="4907" w:type="dxa"/>
            <w:tcBorders>
              <w:top w:val="nil"/>
              <w:left w:val="nil"/>
              <w:bottom w:val="nil"/>
              <w:right w:val="nil"/>
            </w:tcBorders>
            <w:shd w:val="clear" w:color="auto" w:fill="auto"/>
            <w:vAlign w:val="bottom"/>
            <w:hideMark/>
          </w:tcPr>
          <w:p w14:paraId="5E98DADD"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Resultados no asignados</w:t>
            </w:r>
          </w:p>
        </w:tc>
        <w:tc>
          <w:tcPr>
            <w:tcW w:w="737" w:type="dxa"/>
            <w:tcBorders>
              <w:top w:val="nil"/>
              <w:left w:val="nil"/>
              <w:bottom w:val="nil"/>
              <w:right w:val="nil"/>
            </w:tcBorders>
            <w:shd w:val="clear" w:color="auto" w:fill="auto"/>
            <w:vAlign w:val="bottom"/>
            <w:hideMark/>
          </w:tcPr>
          <w:p w14:paraId="29113417"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14082E19" w14:textId="0DA6C630" w:rsidR="000C1442" w:rsidRPr="001F4301" w:rsidRDefault="000C1442">
            <w:pPr>
              <w:jc w:val="right"/>
              <w:rPr>
                <w:rFonts w:ascii="Arial" w:hAnsi="Arial" w:cs="Arial"/>
                <w:sz w:val="16"/>
                <w:szCs w:val="16"/>
              </w:rPr>
            </w:pPr>
            <w:r w:rsidRPr="001F4301">
              <w:rPr>
                <w:rFonts w:ascii="Arial" w:hAnsi="Arial" w:cs="Arial"/>
                <w:sz w:val="16"/>
                <w:szCs w:val="16"/>
              </w:rPr>
              <w:t>-12.676.228</w:t>
            </w:r>
          </w:p>
        </w:tc>
        <w:tc>
          <w:tcPr>
            <w:tcW w:w="1276" w:type="dxa"/>
            <w:tcBorders>
              <w:top w:val="nil"/>
              <w:left w:val="nil"/>
              <w:bottom w:val="nil"/>
              <w:right w:val="nil"/>
            </w:tcBorders>
            <w:shd w:val="clear" w:color="auto" w:fill="auto"/>
            <w:noWrap/>
            <w:vAlign w:val="bottom"/>
          </w:tcPr>
          <w:p w14:paraId="18DD4376" w14:textId="419474BB" w:rsidR="000C1442" w:rsidRPr="001F4301" w:rsidRDefault="000C1442">
            <w:pPr>
              <w:jc w:val="right"/>
              <w:rPr>
                <w:rFonts w:ascii="Arial" w:hAnsi="Arial" w:cs="Arial"/>
                <w:sz w:val="16"/>
                <w:szCs w:val="16"/>
                <w:lang w:eastAsia="es-AR"/>
              </w:rPr>
            </w:pPr>
            <w:r w:rsidRPr="001F4301">
              <w:rPr>
                <w:rFonts w:ascii="Arial" w:hAnsi="Arial" w:cs="Arial"/>
                <w:sz w:val="16"/>
                <w:szCs w:val="16"/>
              </w:rPr>
              <w:t>-9.857.781</w:t>
            </w:r>
          </w:p>
        </w:tc>
      </w:tr>
      <w:tr w:rsidR="000C1442" w:rsidRPr="00615B48" w14:paraId="2E9D99AC" w14:textId="77777777" w:rsidTr="002E1AF6">
        <w:trPr>
          <w:trHeight w:val="285"/>
          <w:jc w:val="center"/>
        </w:trPr>
        <w:tc>
          <w:tcPr>
            <w:tcW w:w="4907" w:type="dxa"/>
            <w:tcBorders>
              <w:top w:val="nil"/>
              <w:left w:val="nil"/>
              <w:bottom w:val="nil"/>
              <w:right w:val="nil"/>
            </w:tcBorders>
            <w:shd w:val="clear" w:color="auto" w:fill="auto"/>
            <w:vAlign w:val="bottom"/>
            <w:hideMark/>
          </w:tcPr>
          <w:p w14:paraId="5C10372F" w14:textId="77777777"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Otros Resultados Integrales acumulados</w:t>
            </w:r>
          </w:p>
        </w:tc>
        <w:tc>
          <w:tcPr>
            <w:tcW w:w="737" w:type="dxa"/>
            <w:tcBorders>
              <w:top w:val="nil"/>
              <w:left w:val="nil"/>
              <w:bottom w:val="nil"/>
              <w:right w:val="nil"/>
            </w:tcBorders>
            <w:shd w:val="clear" w:color="auto" w:fill="auto"/>
            <w:vAlign w:val="bottom"/>
            <w:hideMark/>
          </w:tcPr>
          <w:p w14:paraId="7521F9E9"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337D58CE" w14:textId="520DE62B" w:rsidR="000C1442" w:rsidRPr="001F4301" w:rsidRDefault="000C1442">
            <w:pPr>
              <w:jc w:val="right"/>
              <w:rPr>
                <w:rFonts w:ascii="Arial" w:hAnsi="Arial" w:cs="Arial"/>
                <w:sz w:val="16"/>
                <w:szCs w:val="16"/>
              </w:rPr>
            </w:pPr>
            <w:r w:rsidRPr="001F4301">
              <w:rPr>
                <w:rFonts w:ascii="Arial" w:hAnsi="Arial" w:cs="Arial"/>
                <w:sz w:val="16"/>
                <w:szCs w:val="16"/>
              </w:rPr>
              <w:t>-42.352</w:t>
            </w:r>
          </w:p>
        </w:tc>
        <w:tc>
          <w:tcPr>
            <w:tcW w:w="1276" w:type="dxa"/>
            <w:tcBorders>
              <w:top w:val="nil"/>
              <w:left w:val="nil"/>
              <w:bottom w:val="nil"/>
              <w:right w:val="nil"/>
            </w:tcBorders>
            <w:shd w:val="clear" w:color="auto" w:fill="auto"/>
            <w:noWrap/>
            <w:vAlign w:val="bottom"/>
          </w:tcPr>
          <w:p w14:paraId="6AC4A5BC" w14:textId="774F11DB" w:rsidR="000C1442" w:rsidRPr="001F4301" w:rsidRDefault="000C1442">
            <w:pPr>
              <w:jc w:val="right"/>
              <w:rPr>
                <w:rFonts w:ascii="Arial" w:hAnsi="Arial" w:cs="Arial"/>
                <w:sz w:val="16"/>
                <w:szCs w:val="16"/>
                <w:lang w:eastAsia="es-AR"/>
              </w:rPr>
            </w:pPr>
            <w:r w:rsidRPr="001F4301">
              <w:rPr>
                <w:rFonts w:ascii="Arial" w:hAnsi="Arial" w:cs="Arial"/>
                <w:sz w:val="16"/>
                <w:szCs w:val="16"/>
              </w:rPr>
              <w:t>5.887</w:t>
            </w:r>
          </w:p>
        </w:tc>
      </w:tr>
      <w:tr w:rsidR="000C1442" w:rsidRPr="00615B48" w14:paraId="06461AF3" w14:textId="77777777" w:rsidTr="002E1AF6">
        <w:trPr>
          <w:trHeight w:val="285"/>
          <w:jc w:val="center"/>
        </w:trPr>
        <w:tc>
          <w:tcPr>
            <w:tcW w:w="4907" w:type="dxa"/>
            <w:tcBorders>
              <w:top w:val="nil"/>
              <w:left w:val="nil"/>
              <w:bottom w:val="nil"/>
              <w:right w:val="nil"/>
            </w:tcBorders>
            <w:shd w:val="clear" w:color="auto" w:fill="auto"/>
            <w:vAlign w:val="bottom"/>
            <w:hideMark/>
          </w:tcPr>
          <w:p w14:paraId="6F1D195F" w14:textId="3EBA024A" w:rsidR="000C1442" w:rsidRPr="00615B48" w:rsidRDefault="000C1442" w:rsidP="000C1442">
            <w:pPr>
              <w:ind w:firstLineChars="300" w:firstLine="480"/>
              <w:rPr>
                <w:rFonts w:ascii="Arial" w:hAnsi="Arial" w:cs="Arial"/>
                <w:sz w:val="16"/>
                <w:szCs w:val="16"/>
                <w:lang w:eastAsia="es-AR"/>
              </w:rPr>
            </w:pPr>
            <w:r w:rsidRPr="00615B48">
              <w:rPr>
                <w:rFonts w:ascii="Arial" w:hAnsi="Arial" w:cs="Arial"/>
                <w:sz w:val="16"/>
                <w:szCs w:val="16"/>
                <w:lang w:eastAsia="es-AR"/>
              </w:rPr>
              <w:t xml:space="preserve">Resultado del </w:t>
            </w:r>
            <w:r>
              <w:rPr>
                <w:rFonts w:ascii="Arial" w:hAnsi="Arial" w:cs="Arial"/>
                <w:sz w:val="16"/>
                <w:szCs w:val="16"/>
                <w:lang w:eastAsia="es-AR"/>
              </w:rPr>
              <w:t>período</w:t>
            </w:r>
          </w:p>
        </w:tc>
        <w:tc>
          <w:tcPr>
            <w:tcW w:w="737" w:type="dxa"/>
            <w:tcBorders>
              <w:top w:val="nil"/>
              <w:left w:val="nil"/>
              <w:bottom w:val="nil"/>
              <w:right w:val="nil"/>
            </w:tcBorders>
            <w:shd w:val="clear" w:color="auto" w:fill="auto"/>
            <w:vAlign w:val="bottom"/>
            <w:hideMark/>
          </w:tcPr>
          <w:p w14:paraId="4A635310" w14:textId="77777777" w:rsidR="000C1442" w:rsidRPr="00615B48" w:rsidRDefault="000C1442" w:rsidP="000C1442">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F7668E6" w14:textId="7A43EB71" w:rsidR="000C1442" w:rsidRPr="001F4301" w:rsidRDefault="000C1442">
            <w:pPr>
              <w:jc w:val="right"/>
              <w:rPr>
                <w:rFonts w:ascii="Arial" w:hAnsi="Arial" w:cs="Arial"/>
                <w:sz w:val="16"/>
                <w:szCs w:val="16"/>
              </w:rPr>
            </w:pPr>
            <w:r w:rsidRPr="001F4301">
              <w:rPr>
                <w:rFonts w:ascii="Arial" w:hAnsi="Arial" w:cs="Arial"/>
                <w:sz w:val="16"/>
                <w:szCs w:val="16"/>
              </w:rPr>
              <w:t>373.140</w:t>
            </w:r>
          </w:p>
        </w:tc>
        <w:tc>
          <w:tcPr>
            <w:tcW w:w="1276" w:type="dxa"/>
            <w:tcBorders>
              <w:top w:val="nil"/>
              <w:left w:val="nil"/>
              <w:bottom w:val="nil"/>
              <w:right w:val="nil"/>
            </w:tcBorders>
            <w:shd w:val="clear" w:color="auto" w:fill="auto"/>
            <w:noWrap/>
            <w:vAlign w:val="bottom"/>
          </w:tcPr>
          <w:p w14:paraId="5CA32275" w14:textId="5D8DCEA2" w:rsidR="000C1442" w:rsidRPr="001F4301" w:rsidRDefault="000C1442">
            <w:pPr>
              <w:jc w:val="right"/>
              <w:rPr>
                <w:rFonts w:ascii="Arial" w:hAnsi="Arial" w:cs="Arial"/>
                <w:sz w:val="16"/>
                <w:szCs w:val="16"/>
                <w:lang w:val="es-ES_tradnl" w:eastAsia="es-AR"/>
              </w:rPr>
            </w:pPr>
            <w:r w:rsidRPr="001F4301">
              <w:rPr>
                <w:rFonts w:ascii="Arial" w:hAnsi="Arial" w:cs="Arial"/>
                <w:sz w:val="16"/>
                <w:szCs w:val="16"/>
              </w:rPr>
              <w:t>-2.818.83</w:t>
            </w:r>
            <w:r w:rsidR="00666113" w:rsidRPr="001F4301">
              <w:rPr>
                <w:rFonts w:ascii="Arial" w:hAnsi="Arial" w:cs="Arial"/>
                <w:sz w:val="16"/>
                <w:szCs w:val="16"/>
              </w:rPr>
              <w:t>8</w:t>
            </w:r>
          </w:p>
        </w:tc>
      </w:tr>
      <w:tr w:rsidR="000C1442" w:rsidRPr="00615B48" w14:paraId="71DD184B" w14:textId="77777777" w:rsidTr="002E1AF6">
        <w:trPr>
          <w:trHeight w:val="285"/>
          <w:jc w:val="center"/>
        </w:trPr>
        <w:tc>
          <w:tcPr>
            <w:tcW w:w="4907" w:type="dxa"/>
            <w:tcBorders>
              <w:top w:val="nil"/>
              <w:left w:val="nil"/>
              <w:bottom w:val="nil"/>
              <w:right w:val="nil"/>
            </w:tcBorders>
            <w:shd w:val="clear" w:color="auto" w:fill="auto"/>
            <w:vAlign w:val="bottom"/>
            <w:hideMark/>
          </w:tcPr>
          <w:p w14:paraId="4A848B42"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Patrimonio Neto atribuible a los propietarios de la controladora</w:t>
            </w:r>
          </w:p>
        </w:tc>
        <w:tc>
          <w:tcPr>
            <w:tcW w:w="737" w:type="dxa"/>
            <w:tcBorders>
              <w:top w:val="nil"/>
              <w:left w:val="nil"/>
              <w:bottom w:val="nil"/>
              <w:right w:val="nil"/>
            </w:tcBorders>
            <w:shd w:val="clear" w:color="auto" w:fill="auto"/>
            <w:vAlign w:val="bottom"/>
            <w:hideMark/>
          </w:tcPr>
          <w:p w14:paraId="59DF388B" w14:textId="77777777"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638916F8" w14:textId="1AAC3681" w:rsidR="000C1442" w:rsidRPr="001F4301" w:rsidRDefault="000C1442">
            <w:pPr>
              <w:jc w:val="right"/>
              <w:rPr>
                <w:rFonts w:ascii="Arial" w:hAnsi="Arial" w:cs="Arial"/>
                <w:b/>
                <w:bCs/>
                <w:sz w:val="16"/>
                <w:szCs w:val="16"/>
              </w:rPr>
            </w:pPr>
            <w:r w:rsidRPr="001F4301">
              <w:rPr>
                <w:rFonts w:ascii="Arial" w:hAnsi="Arial" w:cs="Arial"/>
                <w:b/>
                <w:bCs/>
                <w:sz w:val="16"/>
                <w:szCs w:val="16"/>
              </w:rPr>
              <w:t>20.619.111</w:t>
            </w:r>
          </w:p>
        </w:tc>
        <w:tc>
          <w:tcPr>
            <w:tcW w:w="1276" w:type="dxa"/>
            <w:tcBorders>
              <w:top w:val="nil"/>
              <w:left w:val="nil"/>
              <w:bottom w:val="nil"/>
              <w:right w:val="nil"/>
            </w:tcBorders>
            <w:shd w:val="clear" w:color="auto" w:fill="auto"/>
            <w:noWrap/>
            <w:vAlign w:val="bottom"/>
          </w:tcPr>
          <w:p w14:paraId="1D430635" w14:textId="243D05C1" w:rsidR="000C1442" w:rsidRPr="001F4301" w:rsidRDefault="000C1442">
            <w:pPr>
              <w:jc w:val="right"/>
              <w:rPr>
                <w:rFonts w:ascii="Arial" w:hAnsi="Arial" w:cs="Arial"/>
                <w:b/>
                <w:bCs/>
                <w:sz w:val="16"/>
                <w:szCs w:val="16"/>
                <w:lang w:val="es-ES_tradnl" w:eastAsia="es-AR"/>
              </w:rPr>
            </w:pPr>
            <w:r w:rsidRPr="001F4301">
              <w:rPr>
                <w:rFonts w:ascii="Arial" w:hAnsi="Arial" w:cs="Arial"/>
                <w:b/>
                <w:bCs/>
                <w:sz w:val="16"/>
                <w:szCs w:val="16"/>
              </w:rPr>
              <w:t>20.293.81</w:t>
            </w:r>
            <w:r w:rsidR="00666113" w:rsidRPr="001F4301">
              <w:rPr>
                <w:rFonts w:ascii="Arial" w:hAnsi="Arial" w:cs="Arial"/>
                <w:b/>
                <w:bCs/>
                <w:sz w:val="16"/>
                <w:szCs w:val="16"/>
              </w:rPr>
              <w:t>9</w:t>
            </w:r>
          </w:p>
        </w:tc>
      </w:tr>
      <w:tr w:rsidR="000C1442" w:rsidRPr="00615B48" w14:paraId="6F37A593" w14:textId="77777777" w:rsidTr="002E1AF6">
        <w:trPr>
          <w:trHeight w:val="285"/>
          <w:jc w:val="center"/>
        </w:trPr>
        <w:tc>
          <w:tcPr>
            <w:tcW w:w="4907" w:type="dxa"/>
            <w:tcBorders>
              <w:top w:val="nil"/>
              <w:left w:val="nil"/>
              <w:bottom w:val="nil"/>
              <w:right w:val="nil"/>
            </w:tcBorders>
            <w:shd w:val="clear" w:color="auto" w:fill="auto"/>
            <w:vAlign w:val="bottom"/>
            <w:hideMark/>
          </w:tcPr>
          <w:p w14:paraId="49F9D8D3" w14:textId="77777777" w:rsidR="000C1442" w:rsidRPr="00615B48" w:rsidRDefault="000C1442" w:rsidP="000C1442">
            <w:pPr>
              <w:rPr>
                <w:rFonts w:ascii="Arial" w:hAnsi="Arial" w:cs="Arial"/>
                <w:sz w:val="16"/>
                <w:szCs w:val="16"/>
                <w:lang w:eastAsia="es-AR"/>
              </w:rPr>
            </w:pPr>
            <w:r w:rsidRPr="00615B48">
              <w:rPr>
                <w:rFonts w:ascii="Arial" w:hAnsi="Arial" w:cs="Arial"/>
                <w:sz w:val="16"/>
                <w:szCs w:val="16"/>
                <w:lang w:eastAsia="es-AR"/>
              </w:rPr>
              <w:t>Patrimonio Neto atribuible a participaciones no controladoras</w:t>
            </w:r>
          </w:p>
        </w:tc>
        <w:tc>
          <w:tcPr>
            <w:tcW w:w="737" w:type="dxa"/>
            <w:tcBorders>
              <w:top w:val="nil"/>
              <w:left w:val="nil"/>
              <w:bottom w:val="nil"/>
              <w:right w:val="nil"/>
            </w:tcBorders>
            <w:shd w:val="clear" w:color="auto" w:fill="auto"/>
            <w:vAlign w:val="bottom"/>
            <w:hideMark/>
          </w:tcPr>
          <w:p w14:paraId="10FFFFEE" w14:textId="77777777" w:rsidR="000C1442" w:rsidRPr="00615B48" w:rsidRDefault="000C1442" w:rsidP="000C1442">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480A08CE" w14:textId="5CCD7881" w:rsidR="000C1442" w:rsidRPr="001F4301" w:rsidRDefault="000C1442">
            <w:pPr>
              <w:jc w:val="right"/>
              <w:rPr>
                <w:rFonts w:ascii="Arial" w:hAnsi="Arial" w:cs="Arial"/>
                <w:sz w:val="16"/>
                <w:szCs w:val="16"/>
              </w:rPr>
            </w:pPr>
            <w:r w:rsidRPr="001F4301">
              <w:rPr>
                <w:rFonts w:ascii="Arial" w:hAnsi="Arial" w:cs="Arial"/>
                <w:sz w:val="16"/>
                <w:szCs w:val="16"/>
              </w:rPr>
              <w:t>132.293</w:t>
            </w:r>
          </w:p>
        </w:tc>
        <w:tc>
          <w:tcPr>
            <w:tcW w:w="1276" w:type="dxa"/>
            <w:tcBorders>
              <w:top w:val="nil"/>
              <w:left w:val="nil"/>
              <w:bottom w:val="nil"/>
              <w:right w:val="nil"/>
            </w:tcBorders>
            <w:shd w:val="clear" w:color="auto" w:fill="auto"/>
            <w:noWrap/>
            <w:vAlign w:val="bottom"/>
          </w:tcPr>
          <w:p w14:paraId="44009B48" w14:textId="35EDA454" w:rsidR="000C1442" w:rsidRPr="001F4301" w:rsidRDefault="000C1442">
            <w:pPr>
              <w:jc w:val="right"/>
              <w:rPr>
                <w:rFonts w:ascii="Arial" w:hAnsi="Arial" w:cs="Arial"/>
                <w:sz w:val="16"/>
                <w:szCs w:val="16"/>
                <w:lang w:eastAsia="es-AR"/>
              </w:rPr>
            </w:pPr>
            <w:r w:rsidRPr="001F4301">
              <w:rPr>
                <w:rFonts w:ascii="Arial" w:hAnsi="Arial" w:cs="Arial"/>
                <w:sz w:val="16"/>
                <w:szCs w:val="16"/>
              </w:rPr>
              <w:t>139.777</w:t>
            </w:r>
          </w:p>
        </w:tc>
      </w:tr>
      <w:tr w:rsidR="00857FC3" w:rsidRPr="00E43FE4" w14:paraId="2F0627C8" w14:textId="77777777" w:rsidTr="002E1AF6">
        <w:trPr>
          <w:trHeight w:val="80"/>
          <w:jc w:val="center"/>
        </w:trPr>
        <w:tc>
          <w:tcPr>
            <w:tcW w:w="4907" w:type="dxa"/>
            <w:tcBorders>
              <w:top w:val="nil"/>
              <w:left w:val="nil"/>
              <w:bottom w:val="nil"/>
              <w:right w:val="nil"/>
            </w:tcBorders>
            <w:shd w:val="clear" w:color="auto" w:fill="auto"/>
            <w:hideMark/>
          </w:tcPr>
          <w:p w14:paraId="44D7F861" w14:textId="77777777" w:rsidR="00857FC3" w:rsidRPr="00E43FE4" w:rsidRDefault="00857FC3" w:rsidP="00857FC3">
            <w:pPr>
              <w:rPr>
                <w:rFonts w:ascii="Arial" w:hAnsi="Arial" w:cs="Arial"/>
                <w:sz w:val="10"/>
                <w:szCs w:val="10"/>
                <w:lang w:eastAsia="es-AR"/>
              </w:rPr>
            </w:pPr>
          </w:p>
        </w:tc>
        <w:tc>
          <w:tcPr>
            <w:tcW w:w="737" w:type="dxa"/>
            <w:tcBorders>
              <w:top w:val="nil"/>
              <w:left w:val="nil"/>
              <w:bottom w:val="nil"/>
              <w:right w:val="nil"/>
            </w:tcBorders>
            <w:shd w:val="clear" w:color="auto" w:fill="auto"/>
            <w:vAlign w:val="bottom"/>
            <w:hideMark/>
          </w:tcPr>
          <w:p w14:paraId="2C60845F" w14:textId="77777777" w:rsidR="00857FC3" w:rsidRPr="00E43FE4" w:rsidRDefault="00857FC3" w:rsidP="00857FC3">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0DC2EFE8" w14:textId="0A1295FB" w:rsidR="00857FC3" w:rsidRPr="001F4301" w:rsidRDefault="00857FC3">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A7A3E06" w14:textId="77777777" w:rsidR="00857FC3" w:rsidRPr="002E1AF6" w:rsidRDefault="00857FC3">
            <w:pPr>
              <w:jc w:val="right"/>
              <w:rPr>
                <w:rFonts w:ascii="Arial" w:hAnsi="Arial" w:cs="Arial"/>
                <w:sz w:val="16"/>
                <w:szCs w:val="16"/>
                <w:lang w:eastAsia="es-AR"/>
              </w:rPr>
            </w:pPr>
          </w:p>
        </w:tc>
      </w:tr>
      <w:tr w:rsidR="00857FC3" w:rsidRPr="00615B48" w14:paraId="01C8DECE" w14:textId="77777777" w:rsidTr="002E1AF6">
        <w:trPr>
          <w:trHeight w:val="285"/>
          <w:jc w:val="center"/>
        </w:trPr>
        <w:tc>
          <w:tcPr>
            <w:tcW w:w="4907" w:type="dxa"/>
            <w:tcBorders>
              <w:top w:val="nil"/>
              <w:left w:val="nil"/>
              <w:bottom w:val="nil"/>
              <w:right w:val="nil"/>
            </w:tcBorders>
            <w:shd w:val="clear" w:color="auto" w:fill="auto"/>
            <w:hideMark/>
          </w:tcPr>
          <w:p w14:paraId="1A30FEEC" w14:textId="77777777" w:rsidR="00857FC3" w:rsidRPr="00615B48" w:rsidRDefault="00857FC3" w:rsidP="00857FC3">
            <w:pPr>
              <w:rPr>
                <w:rFonts w:ascii="Arial" w:hAnsi="Arial" w:cs="Arial"/>
                <w:b/>
                <w:bCs/>
                <w:sz w:val="16"/>
                <w:szCs w:val="16"/>
                <w:lang w:eastAsia="es-AR"/>
              </w:rPr>
            </w:pPr>
            <w:r w:rsidRPr="00615B48">
              <w:rPr>
                <w:rFonts w:ascii="Arial" w:hAnsi="Arial" w:cs="Arial"/>
                <w:b/>
                <w:bCs/>
                <w:sz w:val="16"/>
                <w:szCs w:val="16"/>
                <w:lang w:eastAsia="es-AR"/>
              </w:rPr>
              <w:t>TOTAL DEL PATRIMONIO NETO</w:t>
            </w:r>
          </w:p>
        </w:tc>
        <w:tc>
          <w:tcPr>
            <w:tcW w:w="737" w:type="dxa"/>
            <w:tcBorders>
              <w:top w:val="nil"/>
              <w:left w:val="nil"/>
              <w:bottom w:val="nil"/>
              <w:right w:val="nil"/>
            </w:tcBorders>
            <w:shd w:val="clear" w:color="auto" w:fill="auto"/>
            <w:vAlign w:val="bottom"/>
            <w:hideMark/>
          </w:tcPr>
          <w:p w14:paraId="64B06059" w14:textId="77777777" w:rsidR="00857FC3" w:rsidRPr="00615B48" w:rsidRDefault="00857FC3" w:rsidP="00857FC3">
            <w:pPr>
              <w:jc w:val="center"/>
              <w:rPr>
                <w:rFonts w:ascii="Arial" w:hAnsi="Arial" w:cs="Arial"/>
                <w:b/>
                <w:bCs/>
                <w:sz w:val="16"/>
                <w:szCs w:val="16"/>
                <w:lang w:eastAsia="es-AR"/>
              </w:rPr>
            </w:pPr>
          </w:p>
        </w:tc>
        <w:tc>
          <w:tcPr>
            <w:tcW w:w="1417" w:type="dxa"/>
            <w:tcBorders>
              <w:top w:val="single" w:sz="4" w:space="0" w:color="auto"/>
              <w:left w:val="nil"/>
              <w:bottom w:val="nil"/>
              <w:right w:val="nil"/>
            </w:tcBorders>
            <w:shd w:val="clear" w:color="auto" w:fill="auto"/>
            <w:noWrap/>
            <w:vAlign w:val="bottom"/>
          </w:tcPr>
          <w:p w14:paraId="5D6D3483" w14:textId="0A550B76" w:rsidR="00857FC3" w:rsidRPr="001F4301" w:rsidRDefault="00E41A44">
            <w:pPr>
              <w:ind w:left="709" w:hanging="709"/>
              <w:jc w:val="right"/>
              <w:rPr>
                <w:rFonts w:ascii="Arial" w:hAnsi="Arial" w:cs="Arial"/>
                <w:b/>
                <w:bCs/>
                <w:sz w:val="16"/>
                <w:szCs w:val="16"/>
              </w:rPr>
            </w:pPr>
            <w:r w:rsidRPr="001F4301">
              <w:rPr>
                <w:rFonts w:ascii="Arial" w:hAnsi="Arial" w:cs="Arial"/>
                <w:b/>
                <w:bCs/>
                <w:sz w:val="16"/>
                <w:szCs w:val="16"/>
              </w:rPr>
              <w:t>20.751.404</w:t>
            </w:r>
          </w:p>
        </w:tc>
        <w:tc>
          <w:tcPr>
            <w:tcW w:w="1276" w:type="dxa"/>
            <w:tcBorders>
              <w:top w:val="single" w:sz="4" w:space="0" w:color="auto"/>
              <w:left w:val="nil"/>
              <w:bottom w:val="nil"/>
              <w:right w:val="nil"/>
            </w:tcBorders>
            <w:shd w:val="clear" w:color="auto" w:fill="auto"/>
            <w:noWrap/>
            <w:vAlign w:val="bottom"/>
          </w:tcPr>
          <w:p w14:paraId="41845AEF" w14:textId="54127BFA" w:rsidR="00857FC3" w:rsidRPr="001F4301" w:rsidRDefault="000C1442">
            <w:pPr>
              <w:jc w:val="right"/>
              <w:rPr>
                <w:rFonts w:ascii="Arial" w:hAnsi="Arial" w:cs="Arial"/>
                <w:b/>
                <w:bCs/>
                <w:sz w:val="16"/>
                <w:szCs w:val="16"/>
                <w:lang w:eastAsia="es-AR"/>
              </w:rPr>
            </w:pPr>
            <w:r w:rsidRPr="001F4301">
              <w:rPr>
                <w:rFonts w:ascii="Arial" w:hAnsi="Arial" w:cs="Arial"/>
                <w:b/>
                <w:bCs/>
                <w:sz w:val="16"/>
                <w:szCs w:val="16"/>
              </w:rPr>
              <w:t>20.433.59</w:t>
            </w:r>
            <w:r w:rsidR="00666113" w:rsidRPr="001F4301">
              <w:rPr>
                <w:rFonts w:ascii="Arial" w:hAnsi="Arial" w:cs="Arial"/>
                <w:b/>
                <w:bCs/>
                <w:sz w:val="16"/>
                <w:szCs w:val="16"/>
              </w:rPr>
              <w:t>6</w:t>
            </w:r>
          </w:p>
        </w:tc>
      </w:tr>
      <w:tr w:rsidR="00606D60" w:rsidRPr="00E43FE4" w14:paraId="10CBEAFD" w14:textId="77777777" w:rsidTr="002E1AF6">
        <w:trPr>
          <w:trHeight w:val="80"/>
          <w:jc w:val="center"/>
        </w:trPr>
        <w:tc>
          <w:tcPr>
            <w:tcW w:w="4907" w:type="dxa"/>
            <w:tcBorders>
              <w:top w:val="nil"/>
              <w:left w:val="nil"/>
              <w:bottom w:val="nil"/>
              <w:right w:val="nil"/>
            </w:tcBorders>
            <w:shd w:val="clear" w:color="auto" w:fill="auto"/>
            <w:hideMark/>
          </w:tcPr>
          <w:p w14:paraId="12183C96" w14:textId="77777777" w:rsidR="00606D60" w:rsidRPr="00E43FE4" w:rsidRDefault="00606D60" w:rsidP="00606D60">
            <w:pPr>
              <w:rPr>
                <w:rFonts w:ascii="Arial" w:hAnsi="Arial" w:cs="Arial"/>
                <w:b/>
                <w:bCs/>
                <w:sz w:val="10"/>
                <w:szCs w:val="10"/>
                <w:lang w:eastAsia="es-AR"/>
              </w:rPr>
            </w:pPr>
          </w:p>
        </w:tc>
        <w:tc>
          <w:tcPr>
            <w:tcW w:w="737" w:type="dxa"/>
            <w:tcBorders>
              <w:top w:val="nil"/>
              <w:left w:val="nil"/>
              <w:bottom w:val="nil"/>
              <w:right w:val="nil"/>
            </w:tcBorders>
            <w:shd w:val="clear" w:color="auto" w:fill="auto"/>
            <w:vAlign w:val="bottom"/>
            <w:hideMark/>
          </w:tcPr>
          <w:p w14:paraId="46D8FF5D" w14:textId="77777777" w:rsidR="00606D60" w:rsidRPr="00E43FE4" w:rsidRDefault="00606D60">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0DC97E76" w14:textId="0D5D93BF" w:rsidR="00606D60" w:rsidRPr="001F4301" w:rsidRDefault="00606D60">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6052905" w14:textId="77777777" w:rsidR="00606D60" w:rsidRPr="001F4301" w:rsidRDefault="00606D60">
            <w:pPr>
              <w:jc w:val="right"/>
              <w:rPr>
                <w:rFonts w:ascii="Arial" w:hAnsi="Arial" w:cs="Arial"/>
                <w:sz w:val="16"/>
                <w:szCs w:val="16"/>
                <w:lang w:eastAsia="es-AR"/>
              </w:rPr>
            </w:pPr>
          </w:p>
        </w:tc>
      </w:tr>
      <w:tr w:rsidR="00606D60" w:rsidRPr="00615B48" w14:paraId="1B2F77F3" w14:textId="77777777" w:rsidTr="002E1AF6">
        <w:trPr>
          <w:trHeight w:val="285"/>
          <w:jc w:val="center"/>
        </w:trPr>
        <w:tc>
          <w:tcPr>
            <w:tcW w:w="4907" w:type="dxa"/>
            <w:tcBorders>
              <w:top w:val="nil"/>
              <w:left w:val="nil"/>
              <w:bottom w:val="nil"/>
              <w:right w:val="nil"/>
            </w:tcBorders>
            <w:shd w:val="clear" w:color="auto" w:fill="auto"/>
            <w:hideMark/>
          </w:tcPr>
          <w:p w14:paraId="7A029724" w14:textId="77777777" w:rsidR="00606D60" w:rsidRPr="00615B48" w:rsidRDefault="00606D60" w:rsidP="00606D60">
            <w:pPr>
              <w:rPr>
                <w:rFonts w:ascii="Arial" w:hAnsi="Arial" w:cs="Arial"/>
                <w:b/>
                <w:bCs/>
                <w:sz w:val="16"/>
                <w:szCs w:val="16"/>
                <w:lang w:eastAsia="es-AR"/>
              </w:rPr>
            </w:pPr>
            <w:r w:rsidRPr="00615B48">
              <w:rPr>
                <w:rFonts w:ascii="Arial" w:hAnsi="Arial" w:cs="Arial"/>
                <w:b/>
                <w:bCs/>
                <w:sz w:val="16"/>
                <w:szCs w:val="16"/>
                <w:lang w:eastAsia="es-AR"/>
              </w:rPr>
              <w:t>TOTAL PASIVO MAS PATRIMONIO NETO</w:t>
            </w:r>
          </w:p>
        </w:tc>
        <w:tc>
          <w:tcPr>
            <w:tcW w:w="737" w:type="dxa"/>
            <w:tcBorders>
              <w:top w:val="nil"/>
              <w:left w:val="nil"/>
              <w:bottom w:val="nil"/>
              <w:right w:val="nil"/>
            </w:tcBorders>
            <w:shd w:val="clear" w:color="auto" w:fill="auto"/>
            <w:vAlign w:val="bottom"/>
            <w:hideMark/>
          </w:tcPr>
          <w:p w14:paraId="506D38DD" w14:textId="77777777" w:rsidR="00606D60" w:rsidRPr="00615B48" w:rsidRDefault="00606D60">
            <w:pPr>
              <w:jc w:val="center"/>
              <w:rPr>
                <w:rFonts w:ascii="Arial" w:hAnsi="Arial" w:cs="Arial"/>
                <w:b/>
                <w:bCs/>
                <w:sz w:val="16"/>
                <w:szCs w:val="16"/>
                <w:lang w:eastAsia="es-AR"/>
              </w:rPr>
            </w:pPr>
          </w:p>
        </w:tc>
        <w:tc>
          <w:tcPr>
            <w:tcW w:w="1417" w:type="dxa"/>
            <w:tcBorders>
              <w:top w:val="single" w:sz="4" w:space="0" w:color="auto"/>
              <w:left w:val="nil"/>
              <w:bottom w:val="single" w:sz="4" w:space="0" w:color="auto"/>
              <w:right w:val="nil"/>
            </w:tcBorders>
            <w:shd w:val="clear" w:color="auto" w:fill="auto"/>
            <w:noWrap/>
            <w:vAlign w:val="bottom"/>
          </w:tcPr>
          <w:p w14:paraId="092B48A3" w14:textId="6DEAD635" w:rsidR="00606D60" w:rsidRPr="001F4301" w:rsidRDefault="00857FC3">
            <w:pPr>
              <w:jc w:val="right"/>
              <w:rPr>
                <w:rFonts w:ascii="Arial" w:hAnsi="Arial" w:cs="Arial"/>
                <w:b/>
                <w:bCs/>
                <w:sz w:val="16"/>
                <w:szCs w:val="16"/>
                <w:lang w:eastAsia="es-AR"/>
              </w:rPr>
            </w:pPr>
            <w:r w:rsidRPr="001F4301">
              <w:rPr>
                <w:rFonts w:ascii="Arial" w:hAnsi="Arial" w:cs="Arial"/>
                <w:b/>
                <w:bCs/>
                <w:sz w:val="16"/>
                <w:szCs w:val="16"/>
              </w:rPr>
              <w:t>190.352.958</w:t>
            </w:r>
          </w:p>
        </w:tc>
        <w:tc>
          <w:tcPr>
            <w:tcW w:w="1276" w:type="dxa"/>
            <w:tcBorders>
              <w:top w:val="single" w:sz="4" w:space="0" w:color="auto"/>
              <w:left w:val="nil"/>
              <w:bottom w:val="single" w:sz="4" w:space="0" w:color="auto"/>
              <w:right w:val="nil"/>
            </w:tcBorders>
            <w:shd w:val="clear" w:color="auto" w:fill="auto"/>
            <w:noWrap/>
            <w:vAlign w:val="bottom"/>
          </w:tcPr>
          <w:p w14:paraId="5C8E3A3A" w14:textId="642B0EDE" w:rsidR="00606D60" w:rsidRPr="001F4301" w:rsidRDefault="000C1442">
            <w:pPr>
              <w:jc w:val="right"/>
              <w:rPr>
                <w:rFonts w:ascii="Arial" w:hAnsi="Arial" w:cs="Arial"/>
                <w:b/>
                <w:bCs/>
                <w:sz w:val="16"/>
                <w:szCs w:val="16"/>
                <w:lang w:eastAsia="es-AR"/>
              </w:rPr>
            </w:pPr>
            <w:r w:rsidRPr="001F4301">
              <w:rPr>
                <w:rFonts w:ascii="Arial" w:hAnsi="Arial" w:cs="Arial"/>
                <w:b/>
                <w:bCs/>
                <w:sz w:val="16"/>
                <w:szCs w:val="16"/>
                <w:lang w:eastAsia="es-AR"/>
              </w:rPr>
              <w:t>154.144.29</w:t>
            </w:r>
            <w:r w:rsidR="00666113" w:rsidRPr="001F4301">
              <w:rPr>
                <w:rFonts w:ascii="Arial" w:hAnsi="Arial" w:cs="Arial"/>
                <w:b/>
                <w:bCs/>
                <w:sz w:val="16"/>
                <w:szCs w:val="16"/>
                <w:lang w:eastAsia="es-AR"/>
              </w:rPr>
              <w:t>7</w:t>
            </w:r>
          </w:p>
        </w:tc>
      </w:tr>
    </w:tbl>
    <w:p w14:paraId="3CFF45B4" w14:textId="77777777" w:rsidR="00286343" w:rsidRPr="00701F32" w:rsidRDefault="00286343" w:rsidP="000428A1">
      <w:pPr>
        <w:tabs>
          <w:tab w:val="left" w:pos="1320"/>
        </w:tabs>
        <w:rPr>
          <w:lang w:eastAsia="es-AR"/>
        </w:rPr>
        <w:sectPr w:rsidR="00286343" w:rsidRPr="00701F32" w:rsidSect="00826C1B">
          <w:headerReference w:type="default" r:id="rId9"/>
          <w:footerReference w:type="default" r:id="rId10"/>
          <w:pgSz w:w="11907" w:h="16839" w:code="9"/>
          <w:pgMar w:top="1418" w:right="1701" w:bottom="1418" w:left="1701" w:header="567" w:footer="0" w:gutter="0"/>
          <w:paperSrc w:first="15" w:other="15"/>
          <w:pgNumType w:start="4" w:chapStyle="1"/>
          <w:cols w:space="720"/>
          <w:docGrid w:linePitch="326"/>
        </w:sectPr>
      </w:pPr>
    </w:p>
    <w:tbl>
      <w:tblPr>
        <w:tblW w:w="7544" w:type="dxa"/>
        <w:jc w:val="center"/>
        <w:tblCellMar>
          <w:left w:w="70" w:type="dxa"/>
          <w:right w:w="70" w:type="dxa"/>
        </w:tblCellMar>
        <w:tblLook w:val="04A0" w:firstRow="1" w:lastRow="0" w:firstColumn="1" w:lastColumn="0" w:noHBand="0" w:noVBand="1"/>
      </w:tblPr>
      <w:tblGrid>
        <w:gridCol w:w="4714"/>
        <w:gridCol w:w="630"/>
        <w:gridCol w:w="1134"/>
        <w:gridCol w:w="1066"/>
      </w:tblGrid>
      <w:tr w:rsidR="00C23CC6" w:rsidRPr="00826C1B" w14:paraId="1E06C239" w14:textId="77777777" w:rsidTr="00C23CC6">
        <w:trPr>
          <w:trHeight w:val="665"/>
          <w:jc w:val="center"/>
        </w:trPr>
        <w:tc>
          <w:tcPr>
            <w:tcW w:w="0" w:type="auto"/>
            <w:tcBorders>
              <w:top w:val="single" w:sz="4" w:space="0" w:color="auto"/>
              <w:left w:val="single" w:sz="4" w:space="0" w:color="auto"/>
              <w:bottom w:val="single" w:sz="4" w:space="0" w:color="auto"/>
              <w:right w:val="single" w:sz="4" w:space="0" w:color="363639"/>
            </w:tcBorders>
            <w:shd w:val="clear" w:color="auto" w:fill="BFBFBF" w:themeFill="background1" w:themeFillShade="BF"/>
            <w:vAlign w:val="center"/>
            <w:hideMark/>
          </w:tcPr>
          <w:p w14:paraId="6DAC2410" w14:textId="77777777" w:rsidR="00C23CC6" w:rsidRPr="00826C1B" w:rsidRDefault="00C23CC6" w:rsidP="00634606">
            <w:pPr>
              <w:jc w:val="center"/>
              <w:rPr>
                <w:rFonts w:ascii="Arial" w:hAnsi="Arial" w:cs="Arial"/>
                <w:b/>
                <w:bCs/>
                <w:sz w:val="16"/>
                <w:szCs w:val="16"/>
                <w:lang w:eastAsia="es-AR"/>
              </w:rPr>
            </w:pPr>
            <w:r w:rsidRPr="00826C1B">
              <w:rPr>
                <w:rFonts w:ascii="Arial" w:hAnsi="Arial" w:cs="Arial"/>
                <w:b/>
                <w:bCs/>
                <w:sz w:val="16"/>
                <w:szCs w:val="16"/>
                <w:lang w:eastAsia="es-AR"/>
              </w:rPr>
              <w:lastRenderedPageBreak/>
              <w:t>Conceptos</w:t>
            </w:r>
          </w:p>
        </w:tc>
        <w:tc>
          <w:tcPr>
            <w:tcW w:w="630" w:type="dxa"/>
            <w:tcBorders>
              <w:top w:val="single" w:sz="4" w:space="0" w:color="auto"/>
              <w:left w:val="single" w:sz="4" w:space="0" w:color="363639"/>
              <w:bottom w:val="single" w:sz="4" w:space="0" w:color="auto"/>
              <w:right w:val="single" w:sz="4" w:space="0" w:color="auto"/>
            </w:tcBorders>
            <w:shd w:val="clear" w:color="auto" w:fill="BFBFBF" w:themeFill="background1" w:themeFillShade="BF"/>
            <w:vAlign w:val="center"/>
            <w:hideMark/>
          </w:tcPr>
          <w:p w14:paraId="7FF07BA9" w14:textId="77777777" w:rsidR="00C23CC6" w:rsidRPr="00826C1B" w:rsidRDefault="00C23CC6" w:rsidP="00634606">
            <w:pPr>
              <w:jc w:val="center"/>
              <w:rPr>
                <w:rFonts w:ascii="Arial" w:hAnsi="Arial" w:cs="Arial"/>
                <w:b/>
                <w:bCs/>
                <w:sz w:val="16"/>
                <w:szCs w:val="16"/>
                <w:lang w:eastAsia="es-AR"/>
              </w:rPr>
            </w:pPr>
            <w:r w:rsidRPr="00826C1B">
              <w:rPr>
                <w:rFonts w:ascii="Arial" w:hAnsi="Arial" w:cs="Arial"/>
                <w:b/>
                <w:bCs/>
                <w:sz w:val="16"/>
                <w:szCs w:val="16"/>
                <w:lang w:eastAsia="es-AR"/>
              </w:rPr>
              <w:t>Notas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83B63E" w14:textId="0239A937" w:rsidR="00C23CC6" w:rsidRPr="00826C1B" w:rsidRDefault="006D0999" w:rsidP="00634606">
            <w:pPr>
              <w:jc w:val="center"/>
              <w:rPr>
                <w:rFonts w:ascii="Arial" w:hAnsi="Arial" w:cs="Arial"/>
                <w:b/>
                <w:bCs/>
                <w:sz w:val="16"/>
                <w:szCs w:val="16"/>
                <w:lang w:eastAsia="es-AR"/>
              </w:rPr>
            </w:pPr>
            <w:r>
              <w:rPr>
                <w:rFonts w:ascii="Arial" w:hAnsi="Arial" w:cs="Arial"/>
                <w:b/>
                <w:bCs/>
                <w:sz w:val="16"/>
                <w:szCs w:val="16"/>
                <w:lang w:eastAsia="es-AR"/>
              </w:rPr>
              <w:t>Al</w:t>
            </w:r>
            <w:r w:rsidR="00C23CC6">
              <w:rPr>
                <w:rFonts w:ascii="Arial" w:hAnsi="Arial" w:cs="Arial"/>
                <w:b/>
                <w:bCs/>
                <w:sz w:val="16"/>
                <w:szCs w:val="16"/>
                <w:lang w:eastAsia="es-AR"/>
              </w:rPr>
              <w:t xml:space="preserve"> 31/03/2020</w:t>
            </w:r>
          </w:p>
        </w:tc>
        <w:tc>
          <w:tcPr>
            <w:tcW w:w="10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1FBCE1" w14:textId="77777777" w:rsidR="00C23CC6" w:rsidRDefault="006D0999" w:rsidP="00634606">
            <w:pPr>
              <w:jc w:val="center"/>
              <w:rPr>
                <w:rFonts w:ascii="Arial" w:hAnsi="Arial" w:cs="Arial"/>
                <w:b/>
                <w:bCs/>
                <w:sz w:val="16"/>
                <w:szCs w:val="16"/>
                <w:lang w:eastAsia="es-AR"/>
              </w:rPr>
            </w:pPr>
            <w:r>
              <w:rPr>
                <w:rFonts w:ascii="Arial" w:hAnsi="Arial" w:cs="Arial"/>
                <w:b/>
                <w:bCs/>
                <w:sz w:val="16"/>
                <w:szCs w:val="16"/>
                <w:lang w:eastAsia="es-AR"/>
              </w:rPr>
              <w:t xml:space="preserve">Al </w:t>
            </w:r>
          </w:p>
          <w:p w14:paraId="6AC5478D" w14:textId="290E28D4" w:rsidR="006D0999" w:rsidRPr="00826C1B" w:rsidRDefault="006D0999" w:rsidP="00634606">
            <w:pPr>
              <w:jc w:val="center"/>
              <w:rPr>
                <w:rFonts w:ascii="Arial" w:hAnsi="Arial" w:cs="Arial"/>
                <w:b/>
                <w:bCs/>
                <w:sz w:val="16"/>
                <w:szCs w:val="16"/>
                <w:lang w:eastAsia="es-AR"/>
              </w:rPr>
            </w:pPr>
            <w:r>
              <w:rPr>
                <w:rFonts w:ascii="Arial" w:hAnsi="Arial" w:cs="Arial"/>
                <w:b/>
                <w:bCs/>
                <w:sz w:val="16"/>
                <w:szCs w:val="16"/>
                <w:lang w:eastAsia="es-AR"/>
              </w:rPr>
              <w:t>31/03/2019</w:t>
            </w:r>
          </w:p>
        </w:tc>
      </w:tr>
      <w:tr w:rsidR="00C23CC6" w:rsidRPr="00826C1B" w14:paraId="2AFB0B5A" w14:textId="77777777" w:rsidTr="00C23CC6">
        <w:trPr>
          <w:trHeight w:val="64"/>
          <w:jc w:val="center"/>
        </w:trPr>
        <w:tc>
          <w:tcPr>
            <w:tcW w:w="0" w:type="auto"/>
            <w:tcBorders>
              <w:top w:val="single" w:sz="4" w:space="0" w:color="auto"/>
              <w:left w:val="nil"/>
              <w:bottom w:val="nil"/>
              <w:right w:val="nil"/>
            </w:tcBorders>
            <w:shd w:val="clear" w:color="auto" w:fill="auto"/>
            <w:vAlign w:val="center"/>
            <w:hideMark/>
          </w:tcPr>
          <w:p w14:paraId="5112CCEC" w14:textId="77777777" w:rsidR="00C23CC6" w:rsidRPr="00826C1B" w:rsidRDefault="00C23CC6" w:rsidP="00634606">
            <w:pPr>
              <w:jc w:val="center"/>
              <w:rPr>
                <w:rFonts w:ascii="Arial" w:hAnsi="Arial" w:cs="Arial"/>
                <w:b/>
                <w:bCs/>
                <w:sz w:val="10"/>
                <w:szCs w:val="10"/>
                <w:lang w:eastAsia="es-AR"/>
              </w:rPr>
            </w:pPr>
          </w:p>
        </w:tc>
        <w:tc>
          <w:tcPr>
            <w:tcW w:w="630" w:type="dxa"/>
            <w:tcBorders>
              <w:top w:val="single" w:sz="4" w:space="0" w:color="auto"/>
              <w:left w:val="nil"/>
              <w:bottom w:val="nil"/>
              <w:right w:val="nil"/>
            </w:tcBorders>
            <w:shd w:val="clear" w:color="auto" w:fill="auto"/>
            <w:vAlign w:val="center"/>
            <w:hideMark/>
          </w:tcPr>
          <w:p w14:paraId="594C49C2" w14:textId="77777777" w:rsidR="00C23CC6" w:rsidRPr="00826C1B" w:rsidRDefault="00C23CC6" w:rsidP="00634606">
            <w:pPr>
              <w:jc w:val="center"/>
              <w:rPr>
                <w:rFonts w:ascii="Arial" w:hAnsi="Arial" w:cs="Arial"/>
                <w:sz w:val="10"/>
                <w:szCs w:val="10"/>
                <w:lang w:eastAsia="es-AR"/>
              </w:rPr>
            </w:pPr>
          </w:p>
        </w:tc>
        <w:tc>
          <w:tcPr>
            <w:tcW w:w="1134" w:type="dxa"/>
            <w:tcBorders>
              <w:top w:val="single" w:sz="4" w:space="0" w:color="auto"/>
              <w:left w:val="nil"/>
              <w:bottom w:val="nil"/>
              <w:right w:val="nil"/>
            </w:tcBorders>
          </w:tcPr>
          <w:p w14:paraId="319C4238" w14:textId="77777777" w:rsidR="00C23CC6" w:rsidRPr="00826C1B" w:rsidRDefault="00C23CC6" w:rsidP="00634606">
            <w:pPr>
              <w:jc w:val="right"/>
              <w:rPr>
                <w:rFonts w:ascii="Arial" w:hAnsi="Arial" w:cs="Arial"/>
                <w:sz w:val="10"/>
                <w:szCs w:val="10"/>
                <w:lang w:eastAsia="es-AR"/>
              </w:rPr>
            </w:pPr>
          </w:p>
        </w:tc>
        <w:tc>
          <w:tcPr>
            <w:tcW w:w="1066" w:type="dxa"/>
            <w:tcBorders>
              <w:top w:val="single" w:sz="4" w:space="0" w:color="auto"/>
              <w:left w:val="nil"/>
              <w:bottom w:val="nil"/>
              <w:right w:val="nil"/>
            </w:tcBorders>
            <w:shd w:val="clear" w:color="auto" w:fill="auto"/>
            <w:vAlign w:val="center"/>
            <w:hideMark/>
          </w:tcPr>
          <w:p w14:paraId="181A829E" w14:textId="26F57528" w:rsidR="00C23CC6" w:rsidRPr="00826C1B" w:rsidRDefault="00C23CC6" w:rsidP="00634606">
            <w:pPr>
              <w:jc w:val="right"/>
              <w:rPr>
                <w:rFonts w:ascii="Arial" w:hAnsi="Arial" w:cs="Arial"/>
                <w:sz w:val="10"/>
                <w:szCs w:val="10"/>
                <w:lang w:eastAsia="es-AR"/>
              </w:rPr>
            </w:pPr>
          </w:p>
        </w:tc>
      </w:tr>
      <w:tr w:rsidR="006D0999" w:rsidRPr="00826C1B" w14:paraId="76A9B928" w14:textId="77777777" w:rsidTr="00581F67">
        <w:trPr>
          <w:trHeight w:val="285"/>
          <w:jc w:val="center"/>
        </w:trPr>
        <w:tc>
          <w:tcPr>
            <w:tcW w:w="0" w:type="auto"/>
            <w:tcBorders>
              <w:top w:val="nil"/>
              <w:left w:val="nil"/>
              <w:bottom w:val="nil"/>
              <w:right w:val="nil"/>
            </w:tcBorders>
            <w:shd w:val="clear" w:color="auto" w:fill="auto"/>
            <w:hideMark/>
          </w:tcPr>
          <w:p w14:paraId="7BEF4D5D" w14:textId="5D84670E"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 xml:space="preserve">Ingresos por intereses </w:t>
            </w:r>
          </w:p>
        </w:tc>
        <w:tc>
          <w:tcPr>
            <w:tcW w:w="630" w:type="dxa"/>
            <w:tcBorders>
              <w:top w:val="nil"/>
              <w:left w:val="nil"/>
              <w:bottom w:val="nil"/>
              <w:right w:val="nil"/>
            </w:tcBorders>
            <w:shd w:val="clear" w:color="auto" w:fill="auto"/>
            <w:vAlign w:val="bottom"/>
            <w:hideMark/>
          </w:tcPr>
          <w:p w14:paraId="2677E88A" w14:textId="114F45D0"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15.1</w:t>
            </w:r>
          </w:p>
        </w:tc>
        <w:tc>
          <w:tcPr>
            <w:tcW w:w="1134" w:type="dxa"/>
            <w:tcBorders>
              <w:top w:val="nil"/>
              <w:left w:val="nil"/>
              <w:bottom w:val="nil"/>
              <w:right w:val="nil"/>
            </w:tcBorders>
            <w:vAlign w:val="center"/>
          </w:tcPr>
          <w:p w14:paraId="279CF26C" w14:textId="40F84182" w:rsidR="006D0999" w:rsidRPr="007222D0" w:rsidRDefault="006D0999" w:rsidP="006D0999">
            <w:pPr>
              <w:jc w:val="right"/>
              <w:rPr>
                <w:rFonts w:ascii="Arial" w:hAnsi="Arial" w:cs="Arial"/>
                <w:sz w:val="16"/>
                <w:szCs w:val="16"/>
              </w:rPr>
            </w:pPr>
            <w:r>
              <w:rPr>
                <w:rFonts w:ascii="Arial" w:hAnsi="Arial" w:cs="Arial"/>
                <w:color w:val="000000"/>
                <w:sz w:val="16"/>
                <w:szCs w:val="16"/>
              </w:rPr>
              <w:t>13.047.718</w:t>
            </w:r>
          </w:p>
        </w:tc>
        <w:tc>
          <w:tcPr>
            <w:tcW w:w="1066" w:type="dxa"/>
            <w:tcBorders>
              <w:top w:val="nil"/>
              <w:left w:val="nil"/>
              <w:bottom w:val="nil"/>
              <w:right w:val="nil"/>
            </w:tcBorders>
            <w:shd w:val="clear" w:color="auto" w:fill="auto"/>
            <w:noWrap/>
            <w:vAlign w:val="center"/>
          </w:tcPr>
          <w:p w14:paraId="411CA90C" w14:textId="0EF5E45B" w:rsidR="006D0999" w:rsidRPr="007222D0" w:rsidRDefault="006D0999" w:rsidP="006D0999">
            <w:pPr>
              <w:jc w:val="right"/>
              <w:rPr>
                <w:rFonts w:ascii="Arial" w:hAnsi="Arial" w:cs="Arial"/>
                <w:sz w:val="16"/>
                <w:szCs w:val="16"/>
              </w:rPr>
            </w:pPr>
            <w:r>
              <w:rPr>
                <w:rFonts w:ascii="Arial" w:hAnsi="Arial" w:cs="Arial"/>
                <w:color w:val="000000"/>
                <w:sz w:val="16"/>
                <w:szCs w:val="16"/>
              </w:rPr>
              <w:t>12.129.307</w:t>
            </w:r>
          </w:p>
        </w:tc>
      </w:tr>
      <w:tr w:rsidR="006D0999" w:rsidRPr="00826C1B" w14:paraId="23022549" w14:textId="77777777" w:rsidTr="00581F67">
        <w:trPr>
          <w:trHeight w:val="285"/>
          <w:jc w:val="center"/>
        </w:trPr>
        <w:tc>
          <w:tcPr>
            <w:tcW w:w="0" w:type="auto"/>
            <w:tcBorders>
              <w:top w:val="nil"/>
              <w:left w:val="nil"/>
              <w:bottom w:val="nil"/>
              <w:right w:val="nil"/>
            </w:tcBorders>
            <w:shd w:val="clear" w:color="auto" w:fill="auto"/>
            <w:hideMark/>
          </w:tcPr>
          <w:p w14:paraId="68311B01" w14:textId="62B75003"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 xml:space="preserve">Egresos por intereses </w:t>
            </w:r>
          </w:p>
        </w:tc>
        <w:tc>
          <w:tcPr>
            <w:tcW w:w="630" w:type="dxa"/>
            <w:tcBorders>
              <w:top w:val="nil"/>
              <w:left w:val="nil"/>
              <w:bottom w:val="nil"/>
              <w:right w:val="nil"/>
            </w:tcBorders>
            <w:shd w:val="clear" w:color="auto" w:fill="auto"/>
            <w:vAlign w:val="bottom"/>
            <w:hideMark/>
          </w:tcPr>
          <w:p w14:paraId="3EE5EFB9" w14:textId="7C075907"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15.3</w:t>
            </w:r>
          </w:p>
        </w:tc>
        <w:tc>
          <w:tcPr>
            <w:tcW w:w="1134" w:type="dxa"/>
            <w:tcBorders>
              <w:top w:val="nil"/>
              <w:left w:val="nil"/>
              <w:bottom w:val="nil"/>
              <w:right w:val="nil"/>
            </w:tcBorders>
            <w:vAlign w:val="center"/>
          </w:tcPr>
          <w:p w14:paraId="4566B02B" w14:textId="0A463F85" w:rsidR="006D0999" w:rsidRPr="007222D0" w:rsidRDefault="006D0999" w:rsidP="006D0999">
            <w:pPr>
              <w:jc w:val="right"/>
              <w:rPr>
                <w:rFonts w:ascii="Arial" w:hAnsi="Arial" w:cs="Arial"/>
                <w:sz w:val="16"/>
                <w:szCs w:val="16"/>
              </w:rPr>
            </w:pPr>
            <w:r>
              <w:rPr>
                <w:rFonts w:ascii="Arial" w:hAnsi="Arial" w:cs="Arial"/>
                <w:color w:val="000000"/>
                <w:sz w:val="16"/>
                <w:szCs w:val="16"/>
              </w:rPr>
              <w:t>6.076.382</w:t>
            </w:r>
          </w:p>
        </w:tc>
        <w:tc>
          <w:tcPr>
            <w:tcW w:w="1066" w:type="dxa"/>
            <w:tcBorders>
              <w:top w:val="nil"/>
              <w:left w:val="nil"/>
              <w:bottom w:val="nil"/>
              <w:right w:val="nil"/>
            </w:tcBorders>
            <w:shd w:val="clear" w:color="auto" w:fill="auto"/>
            <w:noWrap/>
            <w:vAlign w:val="center"/>
          </w:tcPr>
          <w:p w14:paraId="7169253F" w14:textId="43FF773B" w:rsidR="006D0999" w:rsidRPr="007222D0" w:rsidRDefault="006D0999" w:rsidP="006D0999">
            <w:pPr>
              <w:jc w:val="right"/>
              <w:rPr>
                <w:rFonts w:ascii="Arial" w:hAnsi="Arial" w:cs="Arial"/>
                <w:sz w:val="16"/>
                <w:szCs w:val="16"/>
              </w:rPr>
            </w:pPr>
            <w:r>
              <w:rPr>
                <w:rFonts w:ascii="Arial" w:hAnsi="Arial" w:cs="Arial"/>
                <w:color w:val="000000"/>
                <w:sz w:val="16"/>
                <w:szCs w:val="16"/>
              </w:rPr>
              <w:t>10.438.365</w:t>
            </w:r>
          </w:p>
        </w:tc>
      </w:tr>
      <w:tr w:rsidR="006D0999" w:rsidRPr="00826C1B" w14:paraId="6319D1D0" w14:textId="77777777" w:rsidTr="00581F67">
        <w:trPr>
          <w:trHeight w:val="285"/>
          <w:jc w:val="center"/>
        </w:trPr>
        <w:tc>
          <w:tcPr>
            <w:tcW w:w="0" w:type="auto"/>
            <w:tcBorders>
              <w:top w:val="nil"/>
              <w:left w:val="nil"/>
              <w:bottom w:val="nil"/>
              <w:right w:val="nil"/>
            </w:tcBorders>
            <w:shd w:val="clear" w:color="auto" w:fill="auto"/>
            <w:hideMark/>
          </w:tcPr>
          <w:p w14:paraId="245D1B24" w14:textId="77777777" w:rsidR="006D0999" w:rsidRPr="00826C1B" w:rsidRDefault="006D0999" w:rsidP="006D0999">
            <w:pPr>
              <w:rPr>
                <w:rFonts w:ascii="Arial" w:hAnsi="Arial" w:cs="Arial"/>
                <w:b/>
                <w:bCs/>
                <w:sz w:val="16"/>
                <w:szCs w:val="16"/>
                <w:lang w:eastAsia="es-AR"/>
              </w:rPr>
            </w:pPr>
            <w:r w:rsidRPr="00826C1B">
              <w:rPr>
                <w:rFonts w:ascii="Arial" w:hAnsi="Arial" w:cs="Arial"/>
                <w:b/>
                <w:bCs/>
                <w:sz w:val="16"/>
                <w:szCs w:val="16"/>
                <w:lang w:eastAsia="es-AR"/>
              </w:rPr>
              <w:t>Resultado neto por intereses</w:t>
            </w:r>
          </w:p>
        </w:tc>
        <w:tc>
          <w:tcPr>
            <w:tcW w:w="630" w:type="dxa"/>
            <w:tcBorders>
              <w:top w:val="nil"/>
              <w:left w:val="nil"/>
              <w:bottom w:val="nil"/>
              <w:right w:val="nil"/>
            </w:tcBorders>
            <w:shd w:val="clear" w:color="auto" w:fill="auto"/>
            <w:vAlign w:val="bottom"/>
            <w:hideMark/>
          </w:tcPr>
          <w:p w14:paraId="22E701B5" w14:textId="77777777" w:rsidR="006D0999" w:rsidRPr="00826C1B" w:rsidRDefault="006D0999" w:rsidP="006D0999">
            <w:pPr>
              <w:jc w:val="center"/>
              <w:rPr>
                <w:rFonts w:ascii="Arial" w:hAnsi="Arial" w:cs="Arial"/>
                <w:b/>
                <w:bCs/>
                <w:sz w:val="16"/>
                <w:szCs w:val="16"/>
                <w:lang w:eastAsia="es-AR"/>
              </w:rPr>
            </w:pPr>
          </w:p>
        </w:tc>
        <w:tc>
          <w:tcPr>
            <w:tcW w:w="1134" w:type="dxa"/>
            <w:tcBorders>
              <w:top w:val="nil"/>
              <w:left w:val="nil"/>
              <w:bottom w:val="nil"/>
              <w:right w:val="nil"/>
            </w:tcBorders>
            <w:vAlign w:val="center"/>
          </w:tcPr>
          <w:p w14:paraId="6BB630D4" w14:textId="3A8DE8D4" w:rsidR="006D0999" w:rsidRPr="007222D0" w:rsidRDefault="006D0999" w:rsidP="006D0999">
            <w:pPr>
              <w:jc w:val="right"/>
              <w:rPr>
                <w:rFonts w:ascii="Arial" w:hAnsi="Arial" w:cs="Arial"/>
                <w:b/>
                <w:sz w:val="16"/>
                <w:szCs w:val="16"/>
              </w:rPr>
            </w:pPr>
            <w:r>
              <w:rPr>
                <w:rFonts w:ascii="Arial" w:hAnsi="Arial" w:cs="Arial"/>
                <w:b/>
                <w:bCs/>
                <w:color w:val="000000"/>
                <w:sz w:val="16"/>
                <w:szCs w:val="16"/>
              </w:rPr>
              <w:t>6.971.336</w:t>
            </w:r>
          </w:p>
        </w:tc>
        <w:tc>
          <w:tcPr>
            <w:tcW w:w="1066" w:type="dxa"/>
            <w:tcBorders>
              <w:top w:val="nil"/>
              <w:left w:val="nil"/>
              <w:bottom w:val="nil"/>
              <w:right w:val="nil"/>
            </w:tcBorders>
            <w:shd w:val="clear" w:color="auto" w:fill="auto"/>
            <w:noWrap/>
            <w:vAlign w:val="center"/>
          </w:tcPr>
          <w:p w14:paraId="15048D36" w14:textId="7129D10C" w:rsidR="006D0999" w:rsidRPr="007222D0" w:rsidRDefault="006D0999" w:rsidP="006D0999">
            <w:pPr>
              <w:jc w:val="right"/>
              <w:rPr>
                <w:rFonts w:ascii="Arial" w:hAnsi="Arial" w:cs="Arial"/>
                <w:b/>
                <w:sz w:val="16"/>
                <w:szCs w:val="16"/>
              </w:rPr>
            </w:pPr>
            <w:r>
              <w:rPr>
                <w:rFonts w:ascii="Arial" w:hAnsi="Arial" w:cs="Arial"/>
                <w:b/>
                <w:bCs/>
                <w:color w:val="000000"/>
                <w:sz w:val="16"/>
                <w:szCs w:val="16"/>
              </w:rPr>
              <w:t>1.690.942</w:t>
            </w:r>
          </w:p>
        </w:tc>
      </w:tr>
      <w:tr w:rsidR="006D0999" w:rsidRPr="00E43FE4" w14:paraId="63996D4E" w14:textId="77777777" w:rsidTr="00581F67">
        <w:trPr>
          <w:trHeight w:val="80"/>
          <w:jc w:val="center"/>
        </w:trPr>
        <w:tc>
          <w:tcPr>
            <w:tcW w:w="0" w:type="auto"/>
            <w:tcBorders>
              <w:top w:val="nil"/>
              <w:left w:val="nil"/>
              <w:bottom w:val="nil"/>
              <w:right w:val="nil"/>
            </w:tcBorders>
            <w:shd w:val="clear" w:color="auto" w:fill="auto"/>
            <w:hideMark/>
          </w:tcPr>
          <w:p w14:paraId="7092FB04" w14:textId="77777777" w:rsidR="006D0999" w:rsidRPr="00E43FE4" w:rsidRDefault="006D0999" w:rsidP="006D0999">
            <w:pPr>
              <w:rPr>
                <w:rFonts w:ascii="Arial" w:hAnsi="Arial" w:cs="Arial"/>
                <w:b/>
                <w:bCs/>
                <w:sz w:val="10"/>
                <w:szCs w:val="10"/>
                <w:lang w:eastAsia="es-AR"/>
              </w:rPr>
            </w:pPr>
          </w:p>
        </w:tc>
        <w:tc>
          <w:tcPr>
            <w:tcW w:w="630" w:type="dxa"/>
            <w:tcBorders>
              <w:top w:val="nil"/>
              <w:left w:val="nil"/>
              <w:bottom w:val="nil"/>
              <w:right w:val="nil"/>
            </w:tcBorders>
            <w:shd w:val="clear" w:color="auto" w:fill="auto"/>
            <w:vAlign w:val="bottom"/>
            <w:hideMark/>
          </w:tcPr>
          <w:p w14:paraId="51B4BC37" w14:textId="77777777" w:rsidR="006D0999" w:rsidRPr="00E43FE4" w:rsidRDefault="006D0999" w:rsidP="006D0999">
            <w:pPr>
              <w:jc w:val="center"/>
              <w:rPr>
                <w:rFonts w:ascii="Arial" w:hAnsi="Arial" w:cs="Arial"/>
                <w:sz w:val="10"/>
                <w:szCs w:val="10"/>
                <w:lang w:eastAsia="es-AR"/>
              </w:rPr>
            </w:pPr>
          </w:p>
        </w:tc>
        <w:tc>
          <w:tcPr>
            <w:tcW w:w="1134" w:type="dxa"/>
            <w:tcBorders>
              <w:top w:val="nil"/>
              <w:left w:val="nil"/>
              <w:bottom w:val="nil"/>
              <w:right w:val="nil"/>
            </w:tcBorders>
            <w:vAlign w:val="center"/>
          </w:tcPr>
          <w:p w14:paraId="036E72F5" w14:textId="2C4478FC" w:rsidR="006D0999" w:rsidRPr="007222D0" w:rsidRDefault="006D0999" w:rsidP="006D0999">
            <w:pPr>
              <w:jc w:val="right"/>
              <w:rPr>
                <w:rFonts w:ascii="Arial" w:hAnsi="Arial" w:cs="Arial"/>
                <w:sz w:val="16"/>
                <w:szCs w:val="16"/>
              </w:rPr>
            </w:pPr>
          </w:p>
        </w:tc>
        <w:tc>
          <w:tcPr>
            <w:tcW w:w="1066" w:type="dxa"/>
            <w:tcBorders>
              <w:top w:val="nil"/>
              <w:left w:val="nil"/>
              <w:bottom w:val="nil"/>
              <w:right w:val="nil"/>
            </w:tcBorders>
            <w:shd w:val="clear" w:color="auto" w:fill="auto"/>
            <w:noWrap/>
            <w:vAlign w:val="center"/>
          </w:tcPr>
          <w:p w14:paraId="709C56CC" w14:textId="59E234C9" w:rsidR="006D0999" w:rsidRPr="007222D0" w:rsidRDefault="006D0999" w:rsidP="006D0999">
            <w:pPr>
              <w:jc w:val="right"/>
              <w:rPr>
                <w:rFonts w:ascii="Arial" w:hAnsi="Arial" w:cs="Arial"/>
                <w:sz w:val="16"/>
                <w:szCs w:val="16"/>
              </w:rPr>
            </w:pPr>
          </w:p>
        </w:tc>
      </w:tr>
      <w:tr w:rsidR="006D0999" w:rsidRPr="00826C1B" w14:paraId="1D3F2A64" w14:textId="77777777" w:rsidTr="00581F67">
        <w:trPr>
          <w:trHeight w:val="285"/>
          <w:jc w:val="center"/>
        </w:trPr>
        <w:tc>
          <w:tcPr>
            <w:tcW w:w="0" w:type="auto"/>
            <w:tcBorders>
              <w:top w:val="nil"/>
              <w:left w:val="nil"/>
              <w:bottom w:val="nil"/>
              <w:right w:val="nil"/>
            </w:tcBorders>
            <w:shd w:val="clear" w:color="auto" w:fill="auto"/>
            <w:hideMark/>
          </w:tcPr>
          <w:p w14:paraId="100333F6" w14:textId="3E6A2EC4"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 xml:space="preserve">Ingresos por comisiones </w:t>
            </w:r>
          </w:p>
        </w:tc>
        <w:tc>
          <w:tcPr>
            <w:tcW w:w="630" w:type="dxa"/>
            <w:tcBorders>
              <w:top w:val="nil"/>
              <w:left w:val="nil"/>
              <w:bottom w:val="nil"/>
              <w:right w:val="nil"/>
            </w:tcBorders>
            <w:shd w:val="clear" w:color="auto" w:fill="auto"/>
            <w:vAlign w:val="bottom"/>
            <w:hideMark/>
          </w:tcPr>
          <w:p w14:paraId="65ED2A0C" w14:textId="39D488A7"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15.2</w:t>
            </w:r>
          </w:p>
        </w:tc>
        <w:tc>
          <w:tcPr>
            <w:tcW w:w="1134" w:type="dxa"/>
            <w:tcBorders>
              <w:top w:val="nil"/>
              <w:left w:val="nil"/>
              <w:bottom w:val="nil"/>
              <w:right w:val="nil"/>
            </w:tcBorders>
            <w:vAlign w:val="center"/>
          </w:tcPr>
          <w:p w14:paraId="1A267613" w14:textId="6C45B6DD" w:rsidR="006D0999" w:rsidRPr="007222D0" w:rsidRDefault="006D0999" w:rsidP="006D0999">
            <w:pPr>
              <w:jc w:val="right"/>
              <w:rPr>
                <w:rFonts w:ascii="Arial" w:hAnsi="Arial" w:cs="Arial"/>
                <w:sz w:val="16"/>
                <w:szCs w:val="16"/>
              </w:rPr>
            </w:pPr>
            <w:r>
              <w:rPr>
                <w:rFonts w:ascii="Arial" w:hAnsi="Arial" w:cs="Arial"/>
                <w:color w:val="000000"/>
                <w:sz w:val="16"/>
                <w:szCs w:val="16"/>
              </w:rPr>
              <w:t>2.133.339</w:t>
            </w:r>
          </w:p>
        </w:tc>
        <w:tc>
          <w:tcPr>
            <w:tcW w:w="1066" w:type="dxa"/>
            <w:tcBorders>
              <w:top w:val="nil"/>
              <w:left w:val="nil"/>
              <w:bottom w:val="nil"/>
              <w:right w:val="nil"/>
            </w:tcBorders>
            <w:shd w:val="clear" w:color="auto" w:fill="auto"/>
            <w:noWrap/>
            <w:vAlign w:val="center"/>
          </w:tcPr>
          <w:p w14:paraId="169540E7" w14:textId="49851FB7" w:rsidR="006D0999" w:rsidRPr="007222D0" w:rsidRDefault="006D0999" w:rsidP="006D0999">
            <w:pPr>
              <w:jc w:val="right"/>
              <w:rPr>
                <w:rFonts w:ascii="Arial" w:hAnsi="Arial" w:cs="Arial"/>
                <w:sz w:val="16"/>
                <w:szCs w:val="16"/>
              </w:rPr>
            </w:pPr>
            <w:r>
              <w:rPr>
                <w:rFonts w:ascii="Arial" w:hAnsi="Arial" w:cs="Arial"/>
                <w:color w:val="000000"/>
                <w:sz w:val="16"/>
                <w:szCs w:val="16"/>
              </w:rPr>
              <w:t>2.106.900</w:t>
            </w:r>
          </w:p>
        </w:tc>
      </w:tr>
      <w:tr w:rsidR="006D0999" w:rsidRPr="00826C1B" w14:paraId="43DA743C" w14:textId="77777777" w:rsidTr="00581F67">
        <w:trPr>
          <w:trHeight w:val="285"/>
          <w:jc w:val="center"/>
        </w:trPr>
        <w:tc>
          <w:tcPr>
            <w:tcW w:w="0" w:type="auto"/>
            <w:tcBorders>
              <w:top w:val="nil"/>
              <w:left w:val="nil"/>
              <w:bottom w:val="nil"/>
              <w:right w:val="nil"/>
            </w:tcBorders>
            <w:shd w:val="clear" w:color="auto" w:fill="auto"/>
            <w:hideMark/>
          </w:tcPr>
          <w:p w14:paraId="1B4A019E" w14:textId="685558B6"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 xml:space="preserve">Egresos por comisiones </w:t>
            </w:r>
          </w:p>
        </w:tc>
        <w:tc>
          <w:tcPr>
            <w:tcW w:w="630" w:type="dxa"/>
            <w:tcBorders>
              <w:top w:val="nil"/>
              <w:left w:val="nil"/>
              <w:bottom w:val="nil"/>
              <w:right w:val="nil"/>
            </w:tcBorders>
            <w:shd w:val="clear" w:color="auto" w:fill="auto"/>
            <w:vAlign w:val="bottom"/>
            <w:hideMark/>
          </w:tcPr>
          <w:p w14:paraId="012CC239" w14:textId="429F4D9B"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15.4</w:t>
            </w:r>
          </w:p>
        </w:tc>
        <w:tc>
          <w:tcPr>
            <w:tcW w:w="1134" w:type="dxa"/>
            <w:tcBorders>
              <w:top w:val="nil"/>
              <w:left w:val="nil"/>
              <w:bottom w:val="nil"/>
              <w:right w:val="nil"/>
            </w:tcBorders>
            <w:vAlign w:val="center"/>
          </w:tcPr>
          <w:p w14:paraId="39E78E39" w14:textId="131E8AD2" w:rsidR="006D0999" w:rsidRPr="007222D0" w:rsidRDefault="006D0999" w:rsidP="006D0999">
            <w:pPr>
              <w:jc w:val="right"/>
              <w:rPr>
                <w:rFonts w:ascii="Arial" w:hAnsi="Arial" w:cs="Arial"/>
                <w:sz w:val="16"/>
                <w:szCs w:val="16"/>
              </w:rPr>
            </w:pPr>
            <w:r>
              <w:rPr>
                <w:rFonts w:ascii="Arial" w:hAnsi="Arial" w:cs="Arial"/>
                <w:color w:val="000000"/>
                <w:sz w:val="16"/>
                <w:szCs w:val="16"/>
              </w:rPr>
              <w:t>699.974</w:t>
            </w:r>
          </w:p>
        </w:tc>
        <w:tc>
          <w:tcPr>
            <w:tcW w:w="1066" w:type="dxa"/>
            <w:tcBorders>
              <w:top w:val="nil"/>
              <w:left w:val="nil"/>
              <w:bottom w:val="nil"/>
              <w:right w:val="nil"/>
            </w:tcBorders>
            <w:shd w:val="clear" w:color="auto" w:fill="auto"/>
            <w:noWrap/>
            <w:vAlign w:val="center"/>
          </w:tcPr>
          <w:p w14:paraId="5037FF68" w14:textId="15C05DE1" w:rsidR="006D0999" w:rsidRPr="007222D0" w:rsidRDefault="006D0999" w:rsidP="006D0999">
            <w:pPr>
              <w:jc w:val="right"/>
              <w:rPr>
                <w:rFonts w:ascii="Arial" w:hAnsi="Arial" w:cs="Arial"/>
                <w:sz w:val="16"/>
                <w:szCs w:val="16"/>
              </w:rPr>
            </w:pPr>
            <w:r>
              <w:rPr>
                <w:rFonts w:ascii="Arial" w:hAnsi="Arial" w:cs="Arial"/>
                <w:color w:val="000000"/>
                <w:sz w:val="16"/>
                <w:szCs w:val="16"/>
              </w:rPr>
              <w:t>569.746</w:t>
            </w:r>
          </w:p>
        </w:tc>
      </w:tr>
      <w:tr w:rsidR="006D0999" w:rsidRPr="00826C1B" w14:paraId="38ACBA76" w14:textId="77777777" w:rsidTr="00581F67">
        <w:trPr>
          <w:trHeight w:val="285"/>
          <w:jc w:val="center"/>
        </w:trPr>
        <w:tc>
          <w:tcPr>
            <w:tcW w:w="0" w:type="auto"/>
            <w:tcBorders>
              <w:top w:val="nil"/>
              <w:left w:val="nil"/>
              <w:bottom w:val="nil"/>
              <w:right w:val="nil"/>
            </w:tcBorders>
            <w:shd w:val="clear" w:color="auto" w:fill="auto"/>
            <w:hideMark/>
          </w:tcPr>
          <w:p w14:paraId="2EA9FE43" w14:textId="77777777" w:rsidR="006D0999" w:rsidRPr="00826C1B" w:rsidRDefault="006D0999" w:rsidP="006D0999">
            <w:pPr>
              <w:rPr>
                <w:rFonts w:ascii="Arial" w:hAnsi="Arial" w:cs="Arial"/>
                <w:b/>
                <w:bCs/>
                <w:sz w:val="16"/>
                <w:szCs w:val="16"/>
                <w:lang w:eastAsia="es-AR"/>
              </w:rPr>
            </w:pPr>
            <w:r w:rsidRPr="00826C1B">
              <w:rPr>
                <w:rFonts w:ascii="Arial" w:hAnsi="Arial" w:cs="Arial"/>
                <w:b/>
                <w:bCs/>
                <w:sz w:val="16"/>
                <w:szCs w:val="16"/>
                <w:lang w:eastAsia="es-AR"/>
              </w:rPr>
              <w:t>Resultado neto por comisiones</w:t>
            </w:r>
          </w:p>
        </w:tc>
        <w:tc>
          <w:tcPr>
            <w:tcW w:w="630" w:type="dxa"/>
            <w:tcBorders>
              <w:top w:val="nil"/>
              <w:left w:val="nil"/>
              <w:bottom w:val="nil"/>
              <w:right w:val="nil"/>
            </w:tcBorders>
            <w:shd w:val="clear" w:color="auto" w:fill="auto"/>
            <w:vAlign w:val="bottom"/>
            <w:hideMark/>
          </w:tcPr>
          <w:p w14:paraId="4A8C095C" w14:textId="77777777" w:rsidR="006D0999" w:rsidRPr="00826C1B" w:rsidRDefault="006D0999" w:rsidP="006D0999">
            <w:pPr>
              <w:jc w:val="center"/>
              <w:rPr>
                <w:rFonts w:ascii="Arial" w:hAnsi="Arial" w:cs="Arial"/>
                <w:b/>
                <w:bCs/>
                <w:sz w:val="16"/>
                <w:szCs w:val="16"/>
                <w:lang w:eastAsia="es-AR"/>
              </w:rPr>
            </w:pPr>
          </w:p>
        </w:tc>
        <w:tc>
          <w:tcPr>
            <w:tcW w:w="1134" w:type="dxa"/>
            <w:tcBorders>
              <w:top w:val="nil"/>
              <w:left w:val="nil"/>
              <w:bottom w:val="nil"/>
              <w:right w:val="nil"/>
            </w:tcBorders>
            <w:vAlign w:val="center"/>
          </w:tcPr>
          <w:p w14:paraId="7C9730B1" w14:textId="0FDE2E13" w:rsidR="006D0999" w:rsidRPr="007222D0" w:rsidRDefault="006D0999" w:rsidP="006D0999">
            <w:pPr>
              <w:jc w:val="right"/>
              <w:rPr>
                <w:rFonts w:ascii="Arial" w:hAnsi="Arial" w:cs="Arial"/>
                <w:b/>
                <w:sz w:val="16"/>
                <w:szCs w:val="16"/>
              </w:rPr>
            </w:pPr>
            <w:r>
              <w:rPr>
                <w:rFonts w:ascii="Arial" w:hAnsi="Arial" w:cs="Arial"/>
                <w:b/>
                <w:bCs/>
                <w:color w:val="000000"/>
                <w:sz w:val="16"/>
                <w:szCs w:val="16"/>
              </w:rPr>
              <w:t>1.433.365</w:t>
            </w:r>
          </w:p>
        </w:tc>
        <w:tc>
          <w:tcPr>
            <w:tcW w:w="1066" w:type="dxa"/>
            <w:tcBorders>
              <w:top w:val="nil"/>
              <w:left w:val="nil"/>
              <w:bottom w:val="nil"/>
              <w:right w:val="nil"/>
            </w:tcBorders>
            <w:shd w:val="clear" w:color="auto" w:fill="auto"/>
            <w:noWrap/>
            <w:vAlign w:val="center"/>
          </w:tcPr>
          <w:p w14:paraId="0ADE74E2" w14:textId="599A3E41" w:rsidR="006D0999" w:rsidRPr="007222D0" w:rsidRDefault="006D0999" w:rsidP="006D0999">
            <w:pPr>
              <w:jc w:val="right"/>
              <w:rPr>
                <w:rFonts w:ascii="Arial" w:hAnsi="Arial" w:cs="Arial"/>
                <w:b/>
                <w:sz w:val="16"/>
                <w:szCs w:val="16"/>
              </w:rPr>
            </w:pPr>
            <w:r>
              <w:rPr>
                <w:rFonts w:ascii="Arial" w:hAnsi="Arial" w:cs="Arial"/>
                <w:b/>
                <w:bCs/>
                <w:color w:val="000000"/>
                <w:sz w:val="16"/>
                <w:szCs w:val="16"/>
              </w:rPr>
              <w:t>1.537.154</w:t>
            </w:r>
          </w:p>
        </w:tc>
      </w:tr>
      <w:tr w:rsidR="006D0999" w:rsidRPr="00E43FE4" w14:paraId="3D7564A1" w14:textId="77777777" w:rsidTr="00581F67">
        <w:trPr>
          <w:trHeight w:val="80"/>
          <w:jc w:val="center"/>
        </w:trPr>
        <w:tc>
          <w:tcPr>
            <w:tcW w:w="0" w:type="auto"/>
            <w:tcBorders>
              <w:top w:val="nil"/>
              <w:left w:val="nil"/>
              <w:bottom w:val="nil"/>
              <w:right w:val="nil"/>
            </w:tcBorders>
            <w:shd w:val="clear" w:color="auto" w:fill="auto"/>
            <w:hideMark/>
          </w:tcPr>
          <w:p w14:paraId="557A134A" w14:textId="77777777" w:rsidR="006D0999" w:rsidRPr="00E43FE4" w:rsidRDefault="006D0999" w:rsidP="006D0999">
            <w:pPr>
              <w:rPr>
                <w:rFonts w:ascii="Arial" w:hAnsi="Arial" w:cs="Arial"/>
                <w:b/>
                <w:bCs/>
                <w:sz w:val="10"/>
                <w:szCs w:val="10"/>
                <w:lang w:eastAsia="es-AR"/>
              </w:rPr>
            </w:pPr>
          </w:p>
        </w:tc>
        <w:tc>
          <w:tcPr>
            <w:tcW w:w="630" w:type="dxa"/>
            <w:tcBorders>
              <w:top w:val="nil"/>
              <w:left w:val="nil"/>
              <w:bottom w:val="nil"/>
              <w:right w:val="nil"/>
            </w:tcBorders>
            <w:shd w:val="clear" w:color="auto" w:fill="auto"/>
            <w:vAlign w:val="bottom"/>
            <w:hideMark/>
          </w:tcPr>
          <w:p w14:paraId="4742D03B" w14:textId="77777777" w:rsidR="006D0999" w:rsidRPr="00E43FE4" w:rsidRDefault="006D0999" w:rsidP="006D0999">
            <w:pPr>
              <w:jc w:val="center"/>
              <w:rPr>
                <w:rFonts w:ascii="Arial" w:hAnsi="Arial" w:cs="Arial"/>
                <w:sz w:val="10"/>
                <w:szCs w:val="10"/>
                <w:lang w:eastAsia="es-AR"/>
              </w:rPr>
            </w:pPr>
          </w:p>
        </w:tc>
        <w:tc>
          <w:tcPr>
            <w:tcW w:w="1134" w:type="dxa"/>
            <w:tcBorders>
              <w:top w:val="nil"/>
              <w:left w:val="nil"/>
              <w:bottom w:val="nil"/>
              <w:right w:val="nil"/>
            </w:tcBorders>
            <w:vAlign w:val="center"/>
          </w:tcPr>
          <w:p w14:paraId="149C1D1D" w14:textId="023EF10F" w:rsidR="006D0999" w:rsidRPr="007222D0" w:rsidRDefault="006D0999" w:rsidP="006D0999">
            <w:pPr>
              <w:jc w:val="right"/>
              <w:rPr>
                <w:rFonts w:ascii="Arial" w:hAnsi="Arial" w:cs="Arial"/>
                <w:sz w:val="16"/>
                <w:szCs w:val="16"/>
              </w:rPr>
            </w:pPr>
          </w:p>
        </w:tc>
        <w:tc>
          <w:tcPr>
            <w:tcW w:w="1066" w:type="dxa"/>
            <w:tcBorders>
              <w:top w:val="nil"/>
              <w:left w:val="nil"/>
              <w:bottom w:val="nil"/>
              <w:right w:val="nil"/>
            </w:tcBorders>
            <w:shd w:val="clear" w:color="auto" w:fill="auto"/>
            <w:noWrap/>
            <w:vAlign w:val="center"/>
          </w:tcPr>
          <w:p w14:paraId="1F192510" w14:textId="43B27417" w:rsidR="006D0999" w:rsidRPr="007222D0" w:rsidRDefault="006D0999" w:rsidP="006D0999">
            <w:pPr>
              <w:jc w:val="right"/>
              <w:rPr>
                <w:rFonts w:ascii="Arial" w:hAnsi="Arial" w:cs="Arial"/>
                <w:sz w:val="16"/>
                <w:szCs w:val="16"/>
              </w:rPr>
            </w:pPr>
          </w:p>
        </w:tc>
      </w:tr>
      <w:tr w:rsidR="006D0999" w:rsidRPr="00826C1B" w14:paraId="2DBCD670" w14:textId="77777777" w:rsidTr="00581F67">
        <w:trPr>
          <w:trHeight w:val="510"/>
          <w:jc w:val="center"/>
        </w:trPr>
        <w:tc>
          <w:tcPr>
            <w:tcW w:w="0" w:type="auto"/>
            <w:tcBorders>
              <w:top w:val="nil"/>
              <w:left w:val="nil"/>
              <w:bottom w:val="nil"/>
              <w:right w:val="nil"/>
            </w:tcBorders>
            <w:shd w:val="clear" w:color="auto" w:fill="auto"/>
            <w:hideMark/>
          </w:tcPr>
          <w:p w14:paraId="5BA259DD" w14:textId="20F49C3B"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 xml:space="preserve">Resultado neto por medición de instrumentos financieros a valor razonable con cambios en resultados </w:t>
            </w:r>
          </w:p>
        </w:tc>
        <w:tc>
          <w:tcPr>
            <w:tcW w:w="630" w:type="dxa"/>
            <w:tcBorders>
              <w:top w:val="nil"/>
              <w:left w:val="nil"/>
              <w:bottom w:val="nil"/>
              <w:right w:val="nil"/>
            </w:tcBorders>
            <w:shd w:val="clear" w:color="auto" w:fill="auto"/>
            <w:vAlign w:val="bottom"/>
          </w:tcPr>
          <w:p w14:paraId="7E5E6A45" w14:textId="3C8C2766"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15.5</w:t>
            </w:r>
          </w:p>
        </w:tc>
        <w:tc>
          <w:tcPr>
            <w:tcW w:w="1134" w:type="dxa"/>
            <w:tcBorders>
              <w:top w:val="nil"/>
              <w:left w:val="nil"/>
              <w:bottom w:val="nil"/>
              <w:right w:val="nil"/>
            </w:tcBorders>
            <w:vAlign w:val="center"/>
          </w:tcPr>
          <w:p w14:paraId="099B15EE" w14:textId="0D533C07" w:rsidR="006D0999" w:rsidRPr="007222D0" w:rsidRDefault="006D0999" w:rsidP="006D0999">
            <w:pPr>
              <w:jc w:val="right"/>
              <w:rPr>
                <w:rFonts w:ascii="Arial" w:hAnsi="Arial" w:cs="Arial"/>
                <w:sz w:val="16"/>
                <w:szCs w:val="16"/>
              </w:rPr>
            </w:pPr>
            <w:r>
              <w:rPr>
                <w:rFonts w:ascii="Arial" w:hAnsi="Arial" w:cs="Arial"/>
                <w:color w:val="000000"/>
                <w:sz w:val="16"/>
                <w:szCs w:val="16"/>
              </w:rPr>
              <w:t>138.492</w:t>
            </w:r>
          </w:p>
        </w:tc>
        <w:tc>
          <w:tcPr>
            <w:tcW w:w="1066" w:type="dxa"/>
            <w:tcBorders>
              <w:top w:val="nil"/>
              <w:left w:val="nil"/>
              <w:bottom w:val="nil"/>
              <w:right w:val="nil"/>
            </w:tcBorders>
            <w:shd w:val="clear" w:color="auto" w:fill="auto"/>
            <w:noWrap/>
            <w:vAlign w:val="center"/>
          </w:tcPr>
          <w:p w14:paraId="68AEA28A" w14:textId="4D32880C" w:rsidR="006D0999" w:rsidRPr="007222D0" w:rsidRDefault="006D0999" w:rsidP="006D0999">
            <w:pPr>
              <w:jc w:val="right"/>
              <w:rPr>
                <w:rFonts w:ascii="Arial" w:hAnsi="Arial" w:cs="Arial"/>
                <w:sz w:val="16"/>
                <w:szCs w:val="16"/>
              </w:rPr>
            </w:pPr>
            <w:r>
              <w:rPr>
                <w:rFonts w:ascii="Arial" w:hAnsi="Arial" w:cs="Arial"/>
                <w:color w:val="000000"/>
                <w:sz w:val="16"/>
                <w:szCs w:val="16"/>
              </w:rPr>
              <w:t>6.728.019</w:t>
            </w:r>
          </w:p>
        </w:tc>
      </w:tr>
      <w:tr w:rsidR="006D0999" w:rsidRPr="00826C1B" w14:paraId="31A28EF3" w14:textId="77777777" w:rsidTr="00581F67">
        <w:trPr>
          <w:trHeight w:val="285"/>
          <w:jc w:val="center"/>
        </w:trPr>
        <w:tc>
          <w:tcPr>
            <w:tcW w:w="0" w:type="auto"/>
            <w:tcBorders>
              <w:top w:val="nil"/>
              <w:left w:val="nil"/>
              <w:bottom w:val="nil"/>
              <w:right w:val="nil"/>
            </w:tcBorders>
            <w:shd w:val="clear" w:color="auto" w:fill="auto"/>
          </w:tcPr>
          <w:p w14:paraId="198613AD" w14:textId="0C9D07F9" w:rsidR="006D0999" w:rsidRPr="00826C1B" w:rsidRDefault="006D0999" w:rsidP="006D0999">
            <w:pPr>
              <w:rPr>
                <w:rFonts w:ascii="Arial" w:hAnsi="Arial" w:cs="Arial"/>
                <w:sz w:val="16"/>
                <w:szCs w:val="16"/>
                <w:lang w:eastAsia="es-AR"/>
              </w:rPr>
            </w:pPr>
            <w:r w:rsidRPr="006D0999">
              <w:rPr>
                <w:rFonts w:ascii="Arial" w:hAnsi="Arial" w:cs="Arial"/>
                <w:sz w:val="16"/>
                <w:szCs w:val="16"/>
                <w:lang w:eastAsia="es-AR"/>
              </w:rPr>
              <w:t>Resultado por baja de activos medidos a costo amortizado</w:t>
            </w:r>
          </w:p>
        </w:tc>
        <w:tc>
          <w:tcPr>
            <w:tcW w:w="630" w:type="dxa"/>
            <w:tcBorders>
              <w:top w:val="nil"/>
              <w:left w:val="nil"/>
              <w:bottom w:val="nil"/>
              <w:right w:val="nil"/>
            </w:tcBorders>
            <w:shd w:val="clear" w:color="auto" w:fill="auto"/>
            <w:vAlign w:val="bottom"/>
          </w:tcPr>
          <w:p w14:paraId="47AD95A2" w14:textId="77777777"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6952541F" w14:textId="269A1458" w:rsidR="006D0999" w:rsidRPr="007222D0" w:rsidRDefault="006D0999" w:rsidP="006D0999">
            <w:pPr>
              <w:jc w:val="right"/>
              <w:rPr>
                <w:rFonts w:ascii="Arial" w:hAnsi="Arial" w:cs="Arial"/>
                <w:sz w:val="16"/>
                <w:szCs w:val="16"/>
              </w:rPr>
            </w:pPr>
            <w:r>
              <w:rPr>
                <w:rFonts w:ascii="Arial" w:hAnsi="Arial" w:cs="Arial"/>
                <w:color w:val="000000"/>
                <w:sz w:val="16"/>
                <w:szCs w:val="16"/>
              </w:rPr>
              <w:t>11.634</w:t>
            </w:r>
          </w:p>
        </w:tc>
        <w:tc>
          <w:tcPr>
            <w:tcW w:w="1066" w:type="dxa"/>
            <w:tcBorders>
              <w:top w:val="nil"/>
              <w:left w:val="nil"/>
              <w:bottom w:val="nil"/>
              <w:right w:val="nil"/>
            </w:tcBorders>
            <w:shd w:val="clear" w:color="auto" w:fill="auto"/>
            <w:noWrap/>
            <w:vAlign w:val="center"/>
          </w:tcPr>
          <w:p w14:paraId="16721529" w14:textId="000B4199" w:rsidR="006D0999" w:rsidRPr="007222D0" w:rsidRDefault="006D0999" w:rsidP="006D0999">
            <w:pPr>
              <w:jc w:val="right"/>
              <w:rPr>
                <w:rFonts w:ascii="Arial" w:hAnsi="Arial" w:cs="Arial"/>
                <w:sz w:val="16"/>
                <w:szCs w:val="16"/>
              </w:rPr>
            </w:pPr>
            <w:r>
              <w:rPr>
                <w:rFonts w:ascii="Arial" w:hAnsi="Arial" w:cs="Arial"/>
                <w:color w:val="000000"/>
                <w:sz w:val="16"/>
                <w:szCs w:val="16"/>
              </w:rPr>
              <w:t>-</w:t>
            </w:r>
          </w:p>
        </w:tc>
      </w:tr>
      <w:tr w:rsidR="006D0999" w:rsidRPr="00826C1B" w14:paraId="18040C19" w14:textId="77777777" w:rsidTr="00581F67">
        <w:trPr>
          <w:trHeight w:val="285"/>
          <w:jc w:val="center"/>
        </w:trPr>
        <w:tc>
          <w:tcPr>
            <w:tcW w:w="0" w:type="auto"/>
            <w:tcBorders>
              <w:top w:val="nil"/>
              <w:left w:val="nil"/>
              <w:bottom w:val="nil"/>
              <w:right w:val="nil"/>
            </w:tcBorders>
            <w:shd w:val="clear" w:color="auto" w:fill="auto"/>
            <w:hideMark/>
          </w:tcPr>
          <w:p w14:paraId="407B63D3" w14:textId="10723BB8"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Diferencia de cotización de oro y moneda extranjera</w:t>
            </w:r>
          </w:p>
        </w:tc>
        <w:tc>
          <w:tcPr>
            <w:tcW w:w="630" w:type="dxa"/>
            <w:tcBorders>
              <w:top w:val="nil"/>
              <w:left w:val="nil"/>
              <w:bottom w:val="nil"/>
              <w:right w:val="nil"/>
            </w:tcBorders>
            <w:shd w:val="clear" w:color="auto" w:fill="auto"/>
            <w:vAlign w:val="bottom"/>
          </w:tcPr>
          <w:p w14:paraId="58B16706" w14:textId="77777777"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60395350" w14:textId="4AE044F3" w:rsidR="006D0999" w:rsidRPr="007222D0" w:rsidRDefault="006D0999" w:rsidP="006D0999">
            <w:pPr>
              <w:jc w:val="right"/>
              <w:rPr>
                <w:rFonts w:ascii="Arial" w:hAnsi="Arial" w:cs="Arial"/>
                <w:sz w:val="16"/>
                <w:szCs w:val="16"/>
              </w:rPr>
            </w:pPr>
            <w:r>
              <w:rPr>
                <w:rFonts w:ascii="Arial" w:hAnsi="Arial" w:cs="Arial"/>
                <w:color w:val="000000"/>
                <w:sz w:val="16"/>
                <w:szCs w:val="16"/>
              </w:rPr>
              <w:t>80.996</w:t>
            </w:r>
          </w:p>
        </w:tc>
        <w:tc>
          <w:tcPr>
            <w:tcW w:w="1066" w:type="dxa"/>
            <w:tcBorders>
              <w:top w:val="nil"/>
              <w:left w:val="nil"/>
              <w:bottom w:val="nil"/>
              <w:right w:val="nil"/>
            </w:tcBorders>
            <w:shd w:val="clear" w:color="auto" w:fill="auto"/>
            <w:noWrap/>
            <w:vAlign w:val="center"/>
          </w:tcPr>
          <w:p w14:paraId="70625F28" w14:textId="18C20B3A" w:rsidR="006D0999" w:rsidRPr="007222D0" w:rsidRDefault="006D0999" w:rsidP="006D0999">
            <w:pPr>
              <w:jc w:val="right"/>
              <w:rPr>
                <w:rFonts w:ascii="Arial" w:hAnsi="Arial" w:cs="Arial"/>
                <w:sz w:val="16"/>
                <w:szCs w:val="16"/>
              </w:rPr>
            </w:pPr>
            <w:r>
              <w:rPr>
                <w:rFonts w:ascii="Arial" w:hAnsi="Arial" w:cs="Arial"/>
                <w:color w:val="000000"/>
                <w:sz w:val="16"/>
                <w:szCs w:val="16"/>
              </w:rPr>
              <w:t>-468.000</w:t>
            </w:r>
          </w:p>
        </w:tc>
      </w:tr>
      <w:tr w:rsidR="006D0999" w:rsidRPr="00826C1B" w14:paraId="62703F6E" w14:textId="77777777" w:rsidTr="00581F67">
        <w:trPr>
          <w:trHeight w:val="285"/>
          <w:jc w:val="center"/>
        </w:trPr>
        <w:tc>
          <w:tcPr>
            <w:tcW w:w="0" w:type="auto"/>
            <w:tcBorders>
              <w:top w:val="nil"/>
              <w:left w:val="nil"/>
              <w:bottom w:val="nil"/>
              <w:right w:val="nil"/>
            </w:tcBorders>
            <w:shd w:val="clear" w:color="auto" w:fill="auto"/>
            <w:hideMark/>
          </w:tcPr>
          <w:p w14:paraId="6E50E422"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Otros ingresos operativos</w:t>
            </w:r>
          </w:p>
        </w:tc>
        <w:tc>
          <w:tcPr>
            <w:tcW w:w="630" w:type="dxa"/>
            <w:tcBorders>
              <w:top w:val="nil"/>
              <w:left w:val="nil"/>
              <w:bottom w:val="nil"/>
              <w:right w:val="nil"/>
            </w:tcBorders>
            <w:shd w:val="clear" w:color="auto" w:fill="auto"/>
            <w:vAlign w:val="bottom"/>
          </w:tcPr>
          <w:p w14:paraId="304CF060" w14:textId="64F0FEEF"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15.6</w:t>
            </w:r>
          </w:p>
        </w:tc>
        <w:tc>
          <w:tcPr>
            <w:tcW w:w="1134" w:type="dxa"/>
            <w:tcBorders>
              <w:top w:val="nil"/>
              <w:left w:val="nil"/>
              <w:bottom w:val="nil"/>
              <w:right w:val="nil"/>
            </w:tcBorders>
            <w:vAlign w:val="center"/>
          </w:tcPr>
          <w:p w14:paraId="6FE07179" w14:textId="6735753A" w:rsidR="006D0999" w:rsidRPr="007222D0" w:rsidRDefault="006D0999" w:rsidP="006D0999">
            <w:pPr>
              <w:jc w:val="right"/>
              <w:rPr>
                <w:rFonts w:ascii="Arial" w:hAnsi="Arial" w:cs="Arial"/>
                <w:sz w:val="16"/>
                <w:szCs w:val="16"/>
              </w:rPr>
            </w:pPr>
            <w:r>
              <w:rPr>
                <w:rFonts w:ascii="Arial" w:hAnsi="Arial" w:cs="Arial"/>
                <w:color w:val="000000"/>
                <w:sz w:val="16"/>
                <w:szCs w:val="16"/>
              </w:rPr>
              <w:t>761.040</w:t>
            </w:r>
          </w:p>
        </w:tc>
        <w:tc>
          <w:tcPr>
            <w:tcW w:w="1066" w:type="dxa"/>
            <w:tcBorders>
              <w:top w:val="nil"/>
              <w:left w:val="nil"/>
              <w:bottom w:val="nil"/>
              <w:right w:val="nil"/>
            </w:tcBorders>
            <w:shd w:val="clear" w:color="auto" w:fill="auto"/>
            <w:noWrap/>
            <w:vAlign w:val="center"/>
          </w:tcPr>
          <w:p w14:paraId="48DDF688" w14:textId="08DF2504" w:rsidR="006D0999" w:rsidRPr="007222D0" w:rsidRDefault="006D0999" w:rsidP="006D0999">
            <w:pPr>
              <w:jc w:val="right"/>
              <w:rPr>
                <w:rFonts w:ascii="Arial" w:hAnsi="Arial" w:cs="Arial"/>
                <w:sz w:val="16"/>
                <w:szCs w:val="16"/>
              </w:rPr>
            </w:pPr>
            <w:r>
              <w:rPr>
                <w:rFonts w:ascii="Arial" w:hAnsi="Arial" w:cs="Arial"/>
                <w:color w:val="000000"/>
                <w:sz w:val="16"/>
                <w:szCs w:val="16"/>
              </w:rPr>
              <w:t>764.980</w:t>
            </w:r>
          </w:p>
        </w:tc>
      </w:tr>
      <w:tr w:rsidR="006D0999" w:rsidRPr="00826C1B" w14:paraId="6776536C" w14:textId="77777777" w:rsidTr="00581F67">
        <w:trPr>
          <w:trHeight w:val="371"/>
          <w:jc w:val="center"/>
        </w:trPr>
        <w:tc>
          <w:tcPr>
            <w:tcW w:w="0" w:type="auto"/>
            <w:tcBorders>
              <w:top w:val="nil"/>
              <w:left w:val="nil"/>
              <w:bottom w:val="nil"/>
              <w:right w:val="nil"/>
            </w:tcBorders>
            <w:shd w:val="clear" w:color="auto" w:fill="auto"/>
            <w:hideMark/>
          </w:tcPr>
          <w:p w14:paraId="073E4FCF" w14:textId="37BCDB33"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 xml:space="preserve">Cargo por incobrabilidad </w:t>
            </w:r>
          </w:p>
        </w:tc>
        <w:tc>
          <w:tcPr>
            <w:tcW w:w="630" w:type="dxa"/>
            <w:tcBorders>
              <w:top w:val="nil"/>
              <w:left w:val="nil"/>
              <w:bottom w:val="nil"/>
              <w:right w:val="nil"/>
            </w:tcBorders>
            <w:shd w:val="clear" w:color="auto" w:fill="auto"/>
            <w:vAlign w:val="bottom"/>
          </w:tcPr>
          <w:p w14:paraId="7C885A70" w14:textId="77777777"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6E89E443" w14:textId="739BAFFD" w:rsidR="006D0999" w:rsidRPr="007222D0" w:rsidRDefault="006D0999" w:rsidP="006D0999">
            <w:pPr>
              <w:jc w:val="right"/>
              <w:rPr>
                <w:rFonts w:ascii="Arial" w:hAnsi="Arial" w:cs="Arial"/>
                <w:sz w:val="16"/>
                <w:szCs w:val="16"/>
              </w:rPr>
            </w:pPr>
            <w:r>
              <w:rPr>
                <w:rFonts w:ascii="Arial" w:hAnsi="Arial" w:cs="Arial"/>
                <w:color w:val="000000"/>
                <w:sz w:val="16"/>
                <w:szCs w:val="16"/>
              </w:rPr>
              <w:t>1.572.742</w:t>
            </w:r>
          </w:p>
        </w:tc>
        <w:tc>
          <w:tcPr>
            <w:tcW w:w="1066" w:type="dxa"/>
            <w:tcBorders>
              <w:top w:val="nil"/>
              <w:left w:val="nil"/>
              <w:bottom w:val="nil"/>
              <w:right w:val="nil"/>
            </w:tcBorders>
            <w:shd w:val="clear" w:color="auto" w:fill="auto"/>
            <w:noWrap/>
            <w:vAlign w:val="center"/>
          </w:tcPr>
          <w:p w14:paraId="783FADDA" w14:textId="36BB7D30" w:rsidR="006D0999" w:rsidRPr="007222D0" w:rsidRDefault="006D0999" w:rsidP="006D0999">
            <w:pPr>
              <w:jc w:val="right"/>
              <w:rPr>
                <w:rFonts w:ascii="Arial" w:hAnsi="Arial" w:cs="Arial"/>
                <w:sz w:val="16"/>
                <w:szCs w:val="16"/>
              </w:rPr>
            </w:pPr>
            <w:r>
              <w:rPr>
                <w:rFonts w:ascii="Arial" w:hAnsi="Arial" w:cs="Arial"/>
                <w:color w:val="000000"/>
                <w:sz w:val="16"/>
                <w:szCs w:val="16"/>
              </w:rPr>
              <w:t>2.823.612</w:t>
            </w:r>
          </w:p>
        </w:tc>
      </w:tr>
      <w:tr w:rsidR="006D0999" w:rsidRPr="00E43FE4" w14:paraId="00DCE47D" w14:textId="77777777" w:rsidTr="00C23CC6">
        <w:trPr>
          <w:trHeight w:val="80"/>
          <w:jc w:val="center"/>
        </w:trPr>
        <w:tc>
          <w:tcPr>
            <w:tcW w:w="0" w:type="auto"/>
            <w:tcBorders>
              <w:top w:val="nil"/>
              <w:left w:val="nil"/>
              <w:bottom w:val="nil"/>
              <w:right w:val="nil"/>
            </w:tcBorders>
            <w:shd w:val="clear" w:color="auto" w:fill="auto"/>
            <w:hideMark/>
          </w:tcPr>
          <w:p w14:paraId="416B4C66" w14:textId="77777777" w:rsidR="006D0999" w:rsidRPr="00E43FE4" w:rsidRDefault="006D0999" w:rsidP="006D0999">
            <w:pPr>
              <w:rPr>
                <w:rFonts w:ascii="Arial" w:hAnsi="Arial" w:cs="Arial"/>
                <w:sz w:val="10"/>
                <w:szCs w:val="10"/>
                <w:lang w:eastAsia="es-AR"/>
              </w:rPr>
            </w:pPr>
          </w:p>
        </w:tc>
        <w:tc>
          <w:tcPr>
            <w:tcW w:w="630" w:type="dxa"/>
            <w:tcBorders>
              <w:top w:val="nil"/>
              <w:left w:val="nil"/>
              <w:bottom w:val="nil"/>
              <w:right w:val="nil"/>
            </w:tcBorders>
            <w:shd w:val="clear" w:color="auto" w:fill="auto"/>
            <w:vAlign w:val="bottom"/>
          </w:tcPr>
          <w:p w14:paraId="4C5EA9B0" w14:textId="77777777" w:rsidR="006D0999" w:rsidRPr="00E43FE4" w:rsidRDefault="006D0999" w:rsidP="006D0999">
            <w:pPr>
              <w:jc w:val="center"/>
              <w:rPr>
                <w:rFonts w:ascii="Arial" w:hAnsi="Arial" w:cs="Arial"/>
                <w:sz w:val="10"/>
                <w:szCs w:val="10"/>
                <w:lang w:eastAsia="es-AR"/>
              </w:rPr>
            </w:pPr>
          </w:p>
        </w:tc>
        <w:tc>
          <w:tcPr>
            <w:tcW w:w="1134" w:type="dxa"/>
            <w:tcBorders>
              <w:top w:val="nil"/>
              <w:left w:val="nil"/>
              <w:bottom w:val="nil"/>
              <w:right w:val="nil"/>
            </w:tcBorders>
            <w:vAlign w:val="center"/>
          </w:tcPr>
          <w:p w14:paraId="0F3007DE" w14:textId="08DDDF05" w:rsidR="006D0999" w:rsidRPr="006C22C0" w:rsidRDefault="006D0999" w:rsidP="006D0999">
            <w:pPr>
              <w:jc w:val="right"/>
              <w:rPr>
                <w:rFonts w:ascii="Arial" w:hAnsi="Arial" w:cs="Arial"/>
                <w:sz w:val="16"/>
                <w:szCs w:val="16"/>
              </w:rPr>
            </w:pPr>
          </w:p>
        </w:tc>
        <w:tc>
          <w:tcPr>
            <w:tcW w:w="1066" w:type="dxa"/>
            <w:tcBorders>
              <w:top w:val="nil"/>
              <w:left w:val="nil"/>
              <w:bottom w:val="nil"/>
              <w:right w:val="nil"/>
            </w:tcBorders>
            <w:shd w:val="clear" w:color="auto" w:fill="auto"/>
            <w:noWrap/>
            <w:vAlign w:val="center"/>
          </w:tcPr>
          <w:p w14:paraId="3D2B709E" w14:textId="18A18E54" w:rsidR="006D0999" w:rsidRPr="006C22C0" w:rsidRDefault="006D0999" w:rsidP="006D0999">
            <w:pPr>
              <w:jc w:val="right"/>
              <w:rPr>
                <w:rFonts w:ascii="Arial" w:hAnsi="Arial" w:cs="Arial"/>
                <w:sz w:val="16"/>
                <w:szCs w:val="16"/>
              </w:rPr>
            </w:pPr>
          </w:p>
        </w:tc>
      </w:tr>
      <w:tr w:rsidR="006D0999" w:rsidRPr="00826C1B" w14:paraId="3BAC685B" w14:textId="77777777" w:rsidTr="00C23CC6">
        <w:trPr>
          <w:trHeight w:val="285"/>
          <w:jc w:val="center"/>
        </w:trPr>
        <w:tc>
          <w:tcPr>
            <w:tcW w:w="0" w:type="auto"/>
            <w:tcBorders>
              <w:top w:val="nil"/>
              <w:left w:val="nil"/>
              <w:bottom w:val="nil"/>
              <w:right w:val="nil"/>
            </w:tcBorders>
            <w:shd w:val="clear" w:color="auto" w:fill="auto"/>
            <w:hideMark/>
          </w:tcPr>
          <w:p w14:paraId="353650E6" w14:textId="77777777" w:rsidR="006D0999" w:rsidRPr="00826C1B" w:rsidRDefault="006D0999" w:rsidP="006D0999">
            <w:pPr>
              <w:rPr>
                <w:rFonts w:ascii="Arial" w:hAnsi="Arial" w:cs="Arial"/>
                <w:b/>
                <w:bCs/>
                <w:sz w:val="16"/>
                <w:szCs w:val="16"/>
                <w:lang w:eastAsia="es-AR"/>
              </w:rPr>
            </w:pPr>
            <w:r w:rsidRPr="00826C1B">
              <w:rPr>
                <w:rFonts w:ascii="Arial" w:hAnsi="Arial" w:cs="Arial"/>
                <w:b/>
                <w:bCs/>
                <w:sz w:val="16"/>
                <w:szCs w:val="16"/>
                <w:lang w:eastAsia="es-AR"/>
              </w:rPr>
              <w:t>Ingreso operativo neto</w:t>
            </w:r>
          </w:p>
        </w:tc>
        <w:tc>
          <w:tcPr>
            <w:tcW w:w="630" w:type="dxa"/>
            <w:tcBorders>
              <w:top w:val="nil"/>
              <w:left w:val="nil"/>
              <w:bottom w:val="nil"/>
              <w:right w:val="nil"/>
            </w:tcBorders>
            <w:shd w:val="clear" w:color="auto" w:fill="auto"/>
            <w:vAlign w:val="bottom"/>
          </w:tcPr>
          <w:p w14:paraId="7FCA57F3" w14:textId="77777777" w:rsidR="006D0999" w:rsidRPr="00826C1B" w:rsidRDefault="006D0999" w:rsidP="006D0999">
            <w:pPr>
              <w:jc w:val="center"/>
              <w:rPr>
                <w:rFonts w:ascii="Arial" w:hAnsi="Arial" w:cs="Arial"/>
                <w:b/>
                <w:bCs/>
                <w:sz w:val="16"/>
                <w:szCs w:val="16"/>
                <w:lang w:eastAsia="es-AR"/>
              </w:rPr>
            </w:pPr>
          </w:p>
        </w:tc>
        <w:tc>
          <w:tcPr>
            <w:tcW w:w="1134" w:type="dxa"/>
            <w:tcBorders>
              <w:top w:val="nil"/>
              <w:left w:val="nil"/>
              <w:bottom w:val="nil"/>
              <w:right w:val="nil"/>
            </w:tcBorders>
            <w:vAlign w:val="center"/>
          </w:tcPr>
          <w:p w14:paraId="69CB44E8" w14:textId="51BE7314" w:rsidR="006D0999" w:rsidRPr="00FF6DEF" w:rsidRDefault="006D0999" w:rsidP="006D0999">
            <w:pPr>
              <w:jc w:val="right"/>
              <w:rPr>
                <w:rFonts w:ascii="Arial" w:hAnsi="Arial" w:cs="Arial"/>
                <w:b/>
                <w:sz w:val="16"/>
                <w:szCs w:val="16"/>
              </w:rPr>
            </w:pPr>
            <w:r>
              <w:rPr>
                <w:rFonts w:ascii="Arial" w:hAnsi="Arial" w:cs="Arial"/>
                <w:b/>
                <w:bCs/>
                <w:color w:val="000000"/>
                <w:sz w:val="16"/>
                <w:szCs w:val="16"/>
              </w:rPr>
              <w:t>7.824.121</w:t>
            </w:r>
          </w:p>
        </w:tc>
        <w:tc>
          <w:tcPr>
            <w:tcW w:w="1066" w:type="dxa"/>
            <w:tcBorders>
              <w:top w:val="nil"/>
              <w:left w:val="nil"/>
              <w:bottom w:val="nil"/>
              <w:right w:val="nil"/>
            </w:tcBorders>
            <w:shd w:val="clear" w:color="auto" w:fill="auto"/>
            <w:noWrap/>
            <w:vAlign w:val="center"/>
          </w:tcPr>
          <w:p w14:paraId="740EB422" w14:textId="12519B8A" w:rsidR="006D0999" w:rsidRPr="00FF6DEF" w:rsidRDefault="006D0999" w:rsidP="006D0999">
            <w:pPr>
              <w:jc w:val="right"/>
              <w:rPr>
                <w:rFonts w:ascii="Arial" w:hAnsi="Arial" w:cs="Arial"/>
                <w:b/>
                <w:sz w:val="16"/>
                <w:szCs w:val="16"/>
              </w:rPr>
            </w:pPr>
            <w:r>
              <w:rPr>
                <w:rFonts w:ascii="Arial" w:hAnsi="Arial" w:cs="Arial"/>
                <w:b/>
                <w:bCs/>
                <w:color w:val="000000"/>
                <w:sz w:val="16"/>
                <w:szCs w:val="16"/>
              </w:rPr>
              <w:t>7.429.483</w:t>
            </w:r>
          </w:p>
        </w:tc>
      </w:tr>
      <w:tr w:rsidR="006D0999" w:rsidRPr="00826C1B" w14:paraId="0CDCE32C" w14:textId="77777777" w:rsidTr="00C23CC6">
        <w:trPr>
          <w:trHeight w:val="285"/>
          <w:jc w:val="center"/>
        </w:trPr>
        <w:tc>
          <w:tcPr>
            <w:tcW w:w="0" w:type="auto"/>
            <w:tcBorders>
              <w:top w:val="nil"/>
              <w:left w:val="nil"/>
              <w:bottom w:val="nil"/>
              <w:right w:val="nil"/>
            </w:tcBorders>
            <w:shd w:val="clear" w:color="auto" w:fill="auto"/>
            <w:hideMark/>
          </w:tcPr>
          <w:p w14:paraId="602C451F"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Beneficios al personal</w:t>
            </w:r>
          </w:p>
        </w:tc>
        <w:tc>
          <w:tcPr>
            <w:tcW w:w="630" w:type="dxa"/>
            <w:tcBorders>
              <w:top w:val="nil"/>
              <w:left w:val="nil"/>
              <w:bottom w:val="nil"/>
              <w:right w:val="nil"/>
            </w:tcBorders>
            <w:shd w:val="clear" w:color="auto" w:fill="auto"/>
            <w:vAlign w:val="center"/>
          </w:tcPr>
          <w:p w14:paraId="1D649CD7" w14:textId="1C80760A"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15.7</w:t>
            </w:r>
          </w:p>
        </w:tc>
        <w:tc>
          <w:tcPr>
            <w:tcW w:w="1134" w:type="dxa"/>
            <w:tcBorders>
              <w:top w:val="nil"/>
              <w:left w:val="nil"/>
              <w:bottom w:val="nil"/>
              <w:right w:val="nil"/>
            </w:tcBorders>
            <w:vAlign w:val="center"/>
          </w:tcPr>
          <w:p w14:paraId="6BCC135A" w14:textId="5FC8A55E" w:rsidR="006D0999" w:rsidRPr="006C22C0" w:rsidRDefault="006D0999" w:rsidP="006D0999">
            <w:pPr>
              <w:jc w:val="right"/>
              <w:rPr>
                <w:rFonts w:ascii="Arial" w:hAnsi="Arial" w:cs="Arial"/>
                <w:sz w:val="16"/>
                <w:szCs w:val="16"/>
              </w:rPr>
            </w:pPr>
            <w:r>
              <w:rPr>
                <w:rFonts w:ascii="Arial" w:hAnsi="Arial" w:cs="Arial"/>
                <w:color w:val="000000"/>
                <w:sz w:val="16"/>
                <w:szCs w:val="16"/>
              </w:rPr>
              <w:t>3.233.439</w:t>
            </w:r>
          </w:p>
        </w:tc>
        <w:tc>
          <w:tcPr>
            <w:tcW w:w="1066" w:type="dxa"/>
            <w:tcBorders>
              <w:top w:val="nil"/>
              <w:left w:val="nil"/>
              <w:bottom w:val="nil"/>
              <w:right w:val="nil"/>
            </w:tcBorders>
            <w:shd w:val="clear" w:color="auto" w:fill="auto"/>
            <w:noWrap/>
            <w:vAlign w:val="center"/>
          </w:tcPr>
          <w:p w14:paraId="685534B3" w14:textId="2F7CF5BE" w:rsidR="006D0999" w:rsidRPr="006C22C0" w:rsidRDefault="006D0999" w:rsidP="006D0999">
            <w:pPr>
              <w:jc w:val="right"/>
              <w:rPr>
                <w:rFonts w:ascii="Arial" w:hAnsi="Arial" w:cs="Arial"/>
                <w:sz w:val="16"/>
                <w:szCs w:val="16"/>
              </w:rPr>
            </w:pPr>
            <w:r>
              <w:rPr>
                <w:rFonts w:ascii="Arial" w:hAnsi="Arial" w:cs="Arial"/>
                <w:color w:val="000000"/>
                <w:sz w:val="16"/>
                <w:szCs w:val="16"/>
              </w:rPr>
              <w:t>3.196.334</w:t>
            </w:r>
          </w:p>
        </w:tc>
      </w:tr>
      <w:tr w:rsidR="006D0999" w:rsidRPr="00826C1B" w14:paraId="2E990C13" w14:textId="77777777" w:rsidTr="00C23CC6">
        <w:trPr>
          <w:trHeight w:val="285"/>
          <w:jc w:val="center"/>
        </w:trPr>
        <w:tc>
          <w:tcPr>
            <w:tcW w:w="0" w:type="auto"/>
            <w:tcBorders>
              <w:top w:val="nil"/>
              <w:left w:val="nil"/>
              <w:bottom w:val="nil"/>
              <w:right w:val="nil"/>
            </w:tcBorders>
            <w:shd w:val="clear" w:color="auto" w:fill="auto"/>
            <w:hideMark/>
          </w:tcPr>
          <w:p w14:paraId="1103D50C"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Gastos de administración</w:t>
            </w:r>
          </w:p>
        </w:tc>
        <w:tc>
          <w:tcPr>
            <w:tcW w:w="630" w:type="dxa"/>
            <w:tcBorders>
              <w:top w:val="nil"/>
              <w:left w:val="nil"/>
              <w:bottom w:val="nil"/>
              <w:right w:val="nil"/>
            </w:tcBorders>
            <w:shd w:val="clear" w:color="auto" w:fill="auto"/>
            <w:vAlign w:val="center"/>
          </w:tcPr>
          <w:p w14:paraId="5B10DA77" w14:textId="3C0C02FE"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15.8</w:t>
            </w:r>
          </w:p>
        </w:tc>
        <w:tc>
          <w:tcPr>
            <w:tcW w:w="1134" w:type="dxa"/>
            <w:tcBorders>
              <w:top w:val="nil"/>
              <w:left w:val="nil"/>
              <w:bottom w:val="nil"/>
              <w:right w:val="nil"/>
            </w:tcBorders>
            <w:vAlign w:val="center"/>
          </w:tcPr>
          <w:p w14:paraId="5ACBF3A5" w14:textId="67EC57C2" w:rsidR="006D0999" w:rsidRPr="006C22C0" w:rsidRDefault="006D0999" w:rsidP="006D0999">
            <w:pPr>
              <w:jc w:val="right"/>
              <w:rPr>
                <w:rFonts w:ascii="Arial" w:hAnsi="Arial" w:cs="Arial"/>
                <w:sz w:val="16"/>
                <w:szCs w:val="16"/>
              </w:rPr>
            </w:pPr>
            <w:r>
              <w:rPr>
                <w:rFonts w:ascii="Arial" w:hAnsi="Arial" w:cs="Arial"/>
                <w:color w:val="000000"/>
                <w:sz w:val="16"/>
                <w:szCs w:val="16"/>
              </w:rPr>
              <w:t>1.639.732</w:t>
            </w:r>
          </w:p>
        </w:tc>
        <w:tc>
          <w:tcPr>
            <w:tcW w:w="1066" w:type="dxa"/>
            <w:tcBorders>
              <w:top w:val="nil"/>
              <w:left w:val="nil"/>
              <w:bottom w:val="nil"/>
              <w:right w:val="nil"/>
            </w:tcBorders>
            <w:shd w:val="clear" w:color="auto" w:fill="auto"/>
            <w:noWrap/>
            <w:vAlign w:val="center"/>
          </w:tcPr>
          <w:p w14:paraId="1C5BEA32" w14:textId="70EF903B" w:rsidR="006D0999" w:rsidRPr="006C22C0" w:rsidRDefault="006D0999" w:rsidP="006D0999">
            <w:pPr>
              <w:jc w:val="right"/>
              <w:rPr>
                <w:rFonts w:ascii="Arial" w:hAnsi="Arial" w:cs="Arial"/>
                <w:sz w:val="16"/>
                <w:szCs w:val="16"/>
              </w:rPr>
            </w:pPr>
            <w:r>
              <w:rPr>
                <w:rFonts w:ascii="Arial" w:hAnsi="Arial" w:cs="Arial"/>
                <w:color w:val="000000"/>
                <w:sz w:val="16"/>
                <w:szCs w:val="16"/>
              </w:rPr>
              <w:t>1.762.215</w:t>
            </w:r>
          </w:p>
        </w:tc>
      </w:tr>
      <w:tr w:rsidR="006D0999" w:rsidRPr="00826C1B" w14:paraId="7E350550" w14:textId="77777777" w:rsidTr="00C23CC6">
        <w:trPr>
          <w:trHeight w:val="285"/>
          <w:jc w:val="center"/>
        </w:trPr>
        <w:tc>
          <w:tcPr>
            <w:tcW w:w="0" w:type="auto"/>
            <w:tcBorders>
              <w:top w:val="nil"/>
              <w:left w:val="nil"/>
              <w:bottom w:val="nil"/>
              <w:right w:val="nil"/>
            </w:tcBorders>
            <w:shd w:val="clear" w:color="auto" w:fill="auto"/>
            <w:hideMark/>
          </w:tcPr>
          <w:p w14:paraId="40711004"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Depreciaciones y desvalorizaciones de bienes</w:t>
            </w:r>
          </w:p>
        </w:tc>
        <w:tc>
          <w:tcPr>
            <w:tcW w:w="630" w:type="dxa"/>
            <w:tcBorders>
              <w:top w:val="nil"/>
              <w:left w:val="nil"/>
              <w:bottom w:val="nil"/>
              <w:right w:val="nil"/>
            </w:tcBorders>
            <w:shd w:val="clear" w:color="auto" w:fill="auto"/>
            <w:vAlign w:val="center"/>
          </w:tcPr>
          <w:p w14:paraId="4C803E7F" w14:textId="3F1CAB03"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15.10</w:t>
            </w:r>
          </w:p>
        </w:tc>
        <w:tc>
          <w:tcPr>
            <w:tcW w:w="1134" w:type="dxa"/>
            <w:tcBorders>
              <w:top w:val="nil"/>
              <w:left w:val="nil"/>
              <w:bottom w:val="nil"/>
              <w:right w:val="nil"/>
            </w:tcBorders>
            <w:vAlign w:val="center"/>
          </w:tcPr>
          <w:p w14:paraId="373A04AA" w14:textId="317D10B6" w:rsidR="006D0999" w:rsidRPr="006C22C0" w:rsidRDefault="006D0999" w:rsidP="006D0999">
            <w:pPr>
              <w:jc w:val="right"/>
              <w:rPr>
                <w:rFonts w:ascii="Arial" w:hAnsi="Arial" w:cs="Arial"/>
                <w:sz w:val="16"/>
                <w:szCs w:val="16"/>
              </w:rPr>
            </w:pPr>
            <w:r>
              <w:rPr>
                <w:rFonts w:ascii="Arial" w:hAnsi="Arial" w:cs="Arial"/>
                <w:color w:val="000000"/>
                <w:sz w:val="16"/>
                <w:szCs w:val="16"/>
              </w:rPr>
              <w:t>428.964</w:t>
            </w:r>
          </w:p>
        </w:tc>
        <w:tc>
          <w:tcPr>
            <w:tcW w:w="1066" w:type="dxa"/>
            <w:tcBorders>
              <w:top w:val="nil"/>
              <w:left w:val="nil"/>
              <w:bottom w:val="nil"/>
              <w:right w:val="nil"/>
            </w:tcBorders>
            <w:shd w:val="clear" w:color="auto" w:fill="auto"/>
            <w:noWrap/>
            <w:vAlign w:val="center"/>
          </w:tcPr>
          <w:p w14:paraId="329248C2" w14:textId="25F6D18A" w:rsidR="006D0999" w:rsidRPr="006C22C0" w:rsidRDefault="006D0999" w:rsidP="006D0999">
            <w:pPr>
              <w:jc w:val="right"/>
              <w:rPr>
                <w:rFonts w:ascii="Arial" w:hAnsi="Arial" w:cs="Arial"/>
                <w:sz w:val="16"/>
                <w:szCs w:val="16"/>
              </w:rPr>
            </w:pPr>
            <w:r>
              <w:rPr>
                <w:rFonts w:ascii="Arial" w:hAnsi="Arial" w:cs="Arial"/>
                <w:color w:val="000000"/>
                <w:sz w:val="16"/>
                <w:szCs w:val="16"/>
              </w:rPr>
              <w:t>392.277</w:t>
            </w:r>
          </w:p>
        </w:tc>
      </w:tr>
      <w:tr w:rsidR="006D0999" w:rsidRPr="00826C1B" w14:paraId="6D2CA1FE" w14:textId="77777777" w:rsidTr="00C23CC6">
        <w:trPr>
          <w:trHeight w:val="285"/>
          <w:jc w:val="center"/>
        </w:trPr>
        <w:tc>
          <w:tcPr>
            <w:tcW w:w="0" w:type="auto"/>
            <w:tcBorders>
              <w:top w:val="nil"/>
              <w:left w:val="nil"/>
              <w:bottom w:val="nil"/>
              <w:right w:val="nil"/>
            </w:tcBorders>
            <w:shd w:val="clear" w:color="auto" w:fill="auto"/>
            <w:hideMark/>
          </w:tcPr>
          <w:p w14:paraId="5319D0E3"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Otros gastos operativos</w:t>
            </w:r>
          </w:p>
        </w:tc>
        <w:tc>
          <w:tcPr>
            <w:tcW w:w="630" w:type="dxa"/>
            <w:tcBorders>
              <w:top w:val="nil"/>
              <w:left w:val="nil"/>
              <w:bottom w:val="nil"/>
              <w:right w:val="nil"/>
            </w:tcBorders>
            <w:shd w:val="clear" w:color="auto" w:fill="auto"/>
            <w:vAlign w:val="center"/>
          </w:tcPr>
          <w:p w14:paraId="206F7400" w14:textId="219DA9F0" w:rsidR="006D0999" w:rsidRPr="00826C1B" w:rsidRDefault="006D0999" w:rsidP="006D0999">
            <w:pPr>
              <w:jc w:val="center"/>
              <w:rPr>
                <w:rFonts w:ascii="Arial" w:hAnsi="Arial" w:cs="Arial"/>
                <w:sz w:val="16"/>
                <w:szCs w:val="16"/>
                <w:lang w:eastAsia="es-AR"/>
              </w:rPr>
            </w:pPr>
            <w:r>
              <w:rPr>
                <w:rFonts w:ascii="Arial" w:hAnsi="Arial" w:cs="Arial"/>
                <w:sz w:val="16"/>
                <w:szCs w:val="16"/>
                <w:lang w:eastAsia="es-AR"/>
              </w:rPr>
              <w:t>15.9</w:t>
            </w:r>
          </w:p>
        </w:tc>
        <w:tc>
          <w:tcPr>
            <w:tcW w:w="1134" w:type="dxa"/>
            <w:tcBorders>
              <w:top w:val="nil"/>
              <w:left w:val="nil"/>
              <w:bottom w:val="nil"/>
              <w:right w:val="nil"/>
            </w:tcBorders>
            <w:vAlign w:val="center"/>
          </w:tcPr>
          <w:p w14:paraId="5209169D" w14:textId="08D15030" w:rsidR="006D0999" w:rsidRPr="006C22C0" w:rsidRDefault="006D0999" w:rsidP="006D0999">
            <w:pPr>
              <w:jc w:val="right"/>
              <w:rPr>
                <w:rFonts w:ascii="Arial" w:hAnsi="Arial" w:cs="Arial"/>
                <w:sz w:val="16"/>
                <w:szCs w:val="16"/>
              </w:rPr>
            </w:pPr>
            <w:r>
              <w:rPr>
                <w:rFonts w:ascii="Arial" w:hAnsi="Arial" w:cs="Arial"/>
                <w:color w:val="000000"/>
                <w:sz w:val="16"/>
                <w:szCs w:val="16"/>
              </w:rPr>
              <w:t>1.222.485</w:t>
            </w:r>
          </w:p>
        </w:tc>
        <w:tc>
          <w:tcPr>
            <w:tcW w:w="1066" w:type="dxa"/>
            <w:tcBorders>
              <w:top w:val="nil"/>
              <w:left w:val="nil"/>
              <w:bottom w:val="nil"/>
              <w:right w:val="nil"/>
            </w:tcBorders>
            <w:shd w:val="clear" w:color="auto" w:fill="auto"/>
            <w:noWrap/>
            <w:vAlign w:val="center"/>
          </w:tcPr>
          <w:p w14:paraId="20DB2DCF" w14:textId="60FDE5A0" w:rsidR="006D0999" w:rsidRPr="006C22C0" w:rsidRDefault="006D0999" w:rsidP="006D0999">
            <w:pPr>
              <w:jc w:val="right"/>
              <w:rPr>
                <w:rFonts w:ascii="Arial" w:hAnsi="Arial" w:cs="Arial"/>
                <w:sz w:val="16"/>
                <w:szCs w:val="16"/>
              </w:rPr>
            </w:pPr>
            <w:r>
              <w:rPr>
                <w:rFonts w:ascii="Arial" w:hAnsi="Arial" w:cs="Arial"/>
                <w:color w:val="000000"/>
                <w:sz w:val="16"/>
                <w:szCs w:val="16"/>
              </w:rPr>
              <w:t>1.513.111</w:t>
            </w:r>
          </w:p>
        </w:tc>
      </w:tr>
      <w:tr w:rsidR="006D0999" w:rsidRPr="00826C1B" w14:paraId="54C0C2E8" w14:textId="77777777" w:rsidTr="00C23CC6">
        <w:trPr>
          <w:trHeight w:val="198"/>
          <w:jc w:val="center"/>
        </w:trPr>
        <w:tc>
          <w:tcPr>
            <w:tcW w:w="0" w:type="auto"/>
            <w:tcBorders>
              <w:top w:val="nil"/>
              <w:left w:val="nil"/>
              <w:bottom w:val="nil"/>
              <w:right w:val="nil"/>
            </w:tcBorders>
            <w:shd w:val="clear" w:color="auto" w:fill="auto"/>
            <w:hideMark/>
          </w:tcPr>
          <w:p w14:paraId="644F89CD" w14:textId="77777777" w:rsidR="006D0999" w:rsidRPr="00826C1B" w:rsidRDefault="006D0999" w:rsidP="006D0999">
            <w:pPr>
              <w:rPr>
                <w:rFonts w:ascii="Arial" w:hAnsi="Arial" w:cs="Arial"/>
                <w:sz w:val="10"/>
                <w:szCs w:val="10"/>
                <w:lang w:eastAsia="es-AR"/>
              </w:rPr>
            </w:pPr>
          </w:p>
        </w:tc>
        <w:tc>
          <w:tcPr>
            <w:tcW w:w="630" w:type="dxa"/>
            <w:tcBorders>
              <w:top w:val="nil"/>
              <w:left w:val="nil"/>
              <w:bottom w:val="nil"/>
              <w:right w:val="nil"/>
            </w:tcBorders>
            <w:shd w:val="clear" w:color="auto" w:fill="auto"/>
            <w:vAlign w:val="bottom"/>
          </w:tcPr>
          <w:p w14:paraId="5A66797A" w14:textId="77777777" w:rsidR="006D0999" w:rsidRPr="00826C1B" w:rsidRDefault="006D0999" w:rsidP="006D0999">
            <w:pPr>
              <w:jc w:val="center"/>
              <w:rPr>
                <w:rFonts w:ascii="Arial" w:hAnsi="Arial" w:cs="Arial"/>
                <w:sz w:val="10"/>
                <w:szCs w:val="10"/>
                <w:lang w:eastAsia="es-AR"/>
              </w:rPr>
            </w:pPr>
          </w:p>
        </w:tc>
        <w:tc>
          <w:tcPr>
            <w:tcW w:w="1134" w:type="dxa"/>
            <w:tcBorders>
              <w:top w:val="nil"/>
              <w:left w:val="nil"/>
              <w:bottom w:val="nil"/>
              <w:right w:val="nil"/>
            </w:tcBorders>
            <w:vAlign w:val="center"/>
          </w:tcPr>
          <w:p w14:paraId="6511340A" w14:textId="096A98A0" w:rsidR="006D0999" w:rsidRPr="006C22C0" w:rsidRDefault="006D0999" w:rsidP="006D0999">
            <w:pPr>
              <w:jc w:val="right"/>
              <w:rPr>
                <w:rFonts w:ascii="Arial" w:hAnsi="Arial" w:cs="Arial"/>
                <w:sz w:val="16"/>
                <w:szCs w:val="16"/>
              </w:rPr>
            </w:pPr>
          </w:p>
        </w:tc>
        <w:tc>
          <w:tcPr>
            <w:tcW w:w="1066" w:type="dxa"/>
            <w:tcBorders>
              <w:top w:val="nil"/>
              <w:left w:val="nil"/>
              <w:bottom w:val="nil"/>
              <w:right w:val="nil"/>
            </w:tcBorders>
            <w:shd w:val="clear" w:color="auto" w:fill="auto"/>
            <w:noWrap/>
            <w:vAlign w:val="center"/>
          </w:tcPr>
          <w:p w14:paraId="00C1C8D5" w14:textId="50EF5A5E" w:rsidR="006D0999" w:rsidRPr="006C22C0" w:rsidRDefault="006D0999" w:rsidP="006D0999">
            <w:pPr>
              <w:jc w:val="right"/>
              <w:rPr>
                <w:rFonts w:ascii="Arial" w:hAnsi="Arial" w:cs="Arial"/>
                <w:sz w:val="16"/>
                <w:szCs w:val="16"/>
              </w:rPr>
            </w:pPr>
          </w:p>
        </w:tc>
      </w:tr>
      <w:tr w:rsidR="006D0999" w:rsidRPr="00826C1B" w14:paraId="6947343D" w14:textId="77777777" w:rsidTr="00C23CC6">
        <w:trPr>
          <w:trHeight w:val="285"/>
          <w:jc w:val="center"/>
        </w:trPr>
        <w:tc>
          <w:tcPr>
            <w:tcW w:w="0" w:type="auto"/>
            <w:tcBorders>
              <w:top w:val="nil"/>
              <w:left w:val="nil"/>
              <w:bottom w:val="nil"/>
              <w:right w:val="nil"/>
            </w:tcBorders>
            <w:shd w:val="clear" w:color="auto" w:fill="auto"/>
            <w:hideMark/>
          </w:tcPr>
          <w:p w14:paraId="020211AE" w14:textId="77777777" w:rsidR="006D0999" w:rsidRPr="00826C1B" w:rsidRDefault="006D0999" w:rsidP="006D0999">
            <w:pPr>
              <w:rPr>
                <w:rFonts w:ascii="Arial" w:hAnsi="Arial" w:cs="Arial"/>
                <w:b/>
                <w:bCs/>
                <w:sz w:val="16"/>
                <w:szCs w:val="16"/>
                <w:lang w:eastAsia="es-AR"/>
              </w:rPr>
            </w:pPr>
            <w:r w:rsidRPr="00826C1B">
              <w:rPr>
                <w:rFonts w:ascii="Arial" w:hAnsi="Arial" w:cs="Arial"/>
                <w:b/>
                <w:bCs/>
                <w:sz w:val="16"/>
                <w:szCs w:val="16"/>
                <w:lang w:eastAsia="es-AR"/>
              </w:rPr>
              <w:t>Resultado operativo</w:t>
            </w:r>
          </w:p>
        </w:tc>
        <w:tc>
          <w:tcPr>
            <w:tcW w:w="630" w:type="dxa"/>
            <w:tcBorders>
              <w:top w:val="nil"/>
              <w:left w:val="nil"/>
              <w:bottom w:val="nil"/>
              <w:right w:val="nil"/>
            </w:tcBorders>
            <w:shd w:val="clear" w:color="auto" w:fill="auto"/>
            <w:vAlign w:val="bottom"/>
          </w:tcPr>
          <w:p w14:paraId="246CFA0F" w14:textId="77777777" w:rsidR="006D0999" w:rsidRPr="00826C1B" w:rsidRDefault="006D0999" w:rsidP="006D0999">
            <w:pPr>
              <w:jc w:val="center"/>
              <w:rPr>
                <w:rFonts w:ascii="Arial" w:hAnsi="Arial" w:cs="Arial"/>
                <w:b/>
                <w:bCs/>
                <w:sz w:val="16"/>
                <w:szCs w:val="16"/>
                <w:lang w:eastAsia="es-AR"/>
              </w:rPr>
            </w:pPr>
          </w:p>
        </w:tc>
        <w:tc>
          <w:tcPr>
            <w:tcW w:w="1134" w:type="dxa"/>
            <w:tcBorders>
              <w:top w:val="nil"/>
              <w:left w:val="nil"/>
              <w:bottom w:val="nil"/>
              <w:right w:val="nil"/>
            </w:tcBorders>
            <w:vAlign w:val="center"/>
          </w:tcPr>
          <w:p w14:paraId="6B2074BD" w14:textId="075F2111" w:rsidR="006D0999" w:rsidRPr="00FF6DEF" w:rsidRDefault="006D0999" w:rsidP="006D0999">
            <w:pPr>
              <w:jc w:val="right"/>
              <w:rPr>
                <w:rFonts w:ascii="Arial" w:hAnsi="Arial" w:cs="Arial"/>
                <w:b/>
                <w:sz w:val="16"/>
                <w:szCs w:val="16"/>
              </w:rPr>
            </w:pPr>
            <w:r>
              <w:rPr>
                <w:rFonts w:ascii="Arial" w:hAnsi="Arial" w:cs="Arial"/>
                <w:b/>
                <w:bCs/>
                <w:color w:val="000000"/>
                <w:sz w:val="16"/>
                <w:szCs w:val="16"/>
              </w:rPr>
              <w:t>1.299.501</w:t>
            </w:r>
          </w:p>
        </w:tc>
        <w:tc>
          <w:tcPr>
            <w:tcW w:w="1066" w:type="dxa"/>
            <w:tcBorders>
              <w:top w:val="nil"/>
              <w:left w:val="nil"/>
              <w:bottom w:val="nil"/>
              <w:right w:val="nil"/>
            </w:tcBorders>
            <w:shd w:val="clear" w:color="auto" w:fill="auto"/>
            <w:noWrap/>
            <w:vAlign w:val="center"/>
          </w:tcPr>
          <w:p w14:paraId="3CFA11C5" w14:textId="678438E7" w:rsidR="006D0999" w:rsidRPr="00FF6DEF" w:rsidRDefault="006D0999" w:rsidP="006D0999">
            <w:pPr>
              <w:jc w:val="right"/>
              <w:rPr>
                <w:rFonts w:ascii="Arial" w:hAnsi="Arial" w:cs="Arial"/>
                <w:b/>
                <w:sz w:val="16"/>
                <w:szCs w:val="16"/>
              </w:rPr>
            </w:pPr>
            <w:r>
              <w:rPr>
                <w:rFonts w:ascii="Arial" w:hAnsi="Arial" w:cs="Arial"/>
                <w:b/>
                <w:bCs/>
                <w:color w:val="000000"/>
                <w:sz w:val="16"/>
                <w:szCs w:val="16"/>
              </w:rPr>
              <w:t>565.546</w:t>
            </w:r>
          </w:p>
        </w:tc>
      </w:tr>
      <w:tr w:rsidR="006D0999" w:rsidRPr="00826C1B" w14:paraId="44F9D557" w14:textId="77777777" w:rsidTr="00C23CC6">
        <w:trPr>
          <w:trHeight w:val="259"/>
          <w:jc w:val="center"/>
        </w:trPr>
        <w:tc>
          <w:tcPr>
            <w:tcW w:w="0" w:type="auto"/>
            <w:tcBorders>
              <w:top w:val="nil"/>
              <w:left w:val="nil"/>
              <w:bottom w:val="nil"/>
              <w:right w:val="nil"/>
            </w:tcBorders>
            <w:shd w:val="clear" w:color="auto" w:fill="auto"/>
            <w:hideMark/>
          </w:tcPr>
          <w:p w14:paraId="6BABE7FE"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Resultado por subsidiarias asociadas y negocios conjuntos</w:t>
            </w:r>
          </w:p>
        </w:tc>
        <w:tc>
          <w:tcPr>
            <w:tcW w:w="630" w:type="dxa"/>
            <w:tcBorders>
              <w:top w:val="nil"/>
              <w:left w:val="nil"/>
              <w:bottom w:val="nil"/>
              <w:right w:val="nil"/>
            </w:tcBorders>
            <w:shd w:val="clear" w:color="auto" w:fill="auto"/>
            <w:vAlign w:val="bottom"/>
          </w:tcPr>
          <w:p w14:paraId="3CEFE154" w14:textId="77777777"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363D137C" w14:textId="5687EACE" w:rsidR="006D0999" w:rsidRPr="006C22C0" w:rsidRDefault="006D0999" w:rsidP="006D0999">
            <w:pPr>
              <w:jc w:val="right"/>
              <w:rPr>
                <w:rFonts w:ascii="Arial" w:hAnsi="Arial" w:cs="Arial"/>
                <w:sz w:val="16"/>
                <w:szCs w:val="16"/>
              </w:rPr>
            </w:pPr>
            <w:r>
              <w:rPr>
                <w:rFonts w:ascii="Arial" w:hAnsi="Arial" w:cs="Arial"/>
                <w:color w:val="000000"/>
                <w:sz w:val="16"/>
                <w:szCs w:val="16"/>
              </w:rPr>
              <w:t>-3.447</w:t>
            </w:r>
          </w:p>
        </w:tc>
        <w:tc>
          <w:tcPr>
            <w:tcW w:w="1066" w:type="dxa"/>
            <w:tcBorders>
              <w:top w:val="nil"/>
              <w:left w:val="nil"/>
              <w:bottom w:val="nil"/>
              <w:right w:val="nil"/>
            </w:tcBorders>
            <w:shd w:val="clear" w:color="auto" w:fill="auto"/>
            <w:noWrap/>
            <w:vAlign w:val="center"/>
          </w:tcPr>
          <w:p w14:paraId="06F77591" w14:textId="3747C876" w:rsidR="006D0999" w:rsidRPr="006C22C0" w:rsidRDefault="006D0999" w:rsidP="006D0999">
            <w:pPr>
              <w:jc w:val="right"/>
              <w:rPr>
                <w:rFonts w:ascii="Arial" w:hAnsi="Arial" w:cs="Arial"/>
                <w:sz w:val="16"/>
                <w:szCs w:val="16"/>
              </w:rPr>
            </w:pPr>
            <w:r>
              <w:rPr>
                <w:rFonts w:ascii="Arial" w:hAnsi="Arial" w:cs="Arial"/>
                <w:color w:val="000000"/>
                <w:sz w:val="16"/>
                <w:szCs w:val="16"/>
              </w:rPr>
              <w:t>-21.529</w:t>
            </w:r>
          </w:p>
        </w:tc>
      </w:tr>
      <w:tr w:rsidR="006D0999" w:rsidRPr="00826C1B" w14:paraId="71709CC8" w14:textId="77777777" w:rsidTr="00C23CC6">
        <w:trPr>
          <w:trHeight w:val="80"/>
          <w:jc w:val="center"/>
        </w:trPr>
        <w:tc>
          <w:tcPr>
            <w:tcW w:w="0" w:type="auto"/>
            <w:tcBorders>
              <w:top w:val="nil"/>
              <w:left w:val="nil"/>
              <w:bottom w:val="nil"/>
              <w:right w:val="nil"/>
            </w:tcBorders>
            <w:shd w:val="clear" w:color="auto" w:fill="auto"/>
            <w:hideMark/>
          </w:tcPr>
          <w:p w14:paraId="3F7A4711" w14:textId="4381293E" w:rsidR="006D0999" w:rsidRPr="00826C1B" w:rsidRDefault="006D0999" w:rsidP="006D0999">
            <w:pPr>
              <w:rPr>
                <w:rFonts w:ascii="Arial" w:hAnsi="Arial" w:cs="Arial"/>
                <w:sz w:val="10"/>
                <w:szCs w:val="10"/>
                <w:lang w:eastAsia="es-AR"/>
              </w:rPr>
            </w:pPr>
            <w:r w:rsidRPr="006D0999">
              <w:rPr>
                <w:rFonts w:ascii="Arial" w:hAnsi="Arial" w:cs="Arial"/>
                <w:sz w:val="16"/>
                <w:szCs w:val="16"/>
                <w:lang w:eastAsia="es-AR"/>
              </w:rPr>
              <w:t>Resultado por la posición monetaria neta</w:t>
            </w:r>
          </w:p>
        </w:tc>
        <w:tc>
          <w:tcPr>
            <w:tcW w:w="630" w:type="dxa"/>
            <w:tcBorders>
              <w:top w:val="nil"/>
              <w:left w:val="nil"/>
              <w:bottom w:val="nil"/>
              <w:right w:val="nil"/>
            </w:tcBorders>
            <w:shd w:val="clear" w:color="auto" w:fill="auto"/>
            <w:vAlign w:val="bottom"/>
          </w:tcPr>
          <w:p w14:paraId="5105368F" w14:textId="77777777" w:rsidR="006D0999" w:rsidRPr="00826C1B" w:rsidRDefault="006D0999" w:rsidP="006D0999">
            <w:pPr>
              <w:jc w:val="center"/>
              <w:rPr>
                <w:rFonts w:ascii="Arial" w:hAnsi="Arial" w:cs="Arial"/>
                <w:sz w:val="10"/>
                <w:szCs w:val="10"/>
                <w:lang w:eastAsia="es-AR"/>
              </w:rPr>
            </w:pPr>
          </w:p>
        </w:tc>
        <w:tc>
          <w:tcPr>
            <w:tcW w:w="1134" w:type="dxa"/>
            <w:tcBorders>
              <w:top w:val="nil"/>
              <w:left w:val="nil"/>
              <w:bottom w:val="nil"/>
              <w:right w:val="nil"/>
            </w:tcBorders>
            <w:vAlign w:val="center"/>
          </w:tcPr>
          <w:p w14:paraId="76707F18" w14:textId="57E238B9" w:rsidR="006D0999" w:rsidRPr="006C22C0" w:rsidRDefault="006D0999" w:rsidP="006D0999">
            <w:pPr>
              <w:jc w:val="right"/>
              <w:rPr>
                <w:rFonts w:ascii="Arial" w:hAnsi="Arial" w:cs="Arial"/>
                <w:b/>
                <w:sz w:val="16"/>
                <w:szCs w:val="16"/>
              </w:rPr>
            </w:pPr>
            <w:r>
              <w:rPr>
                <w:rFonts w:ascii="Arial" w:hAnsi="Arial" w:cs="Arial"/>
                <w:color w:val="000000"/>
                <w:sz w:val="16"/>
                <w:szCs w:val="16"/>
              </w:rPr>
              <w:t>-695.368</w:t>
            </w:r>
          </w:p>
        </w:tc>
        <w:tc>
          <w:tcPr>
            <w:tcW w:w="1066" w:type="dxa"/>
            <w:tcBorders>
              <w:top w:val="nil"/>
              <w:left w:val="nil"/>
              <w:bottom w:val="nil"/>
              <w:right w:val="nil"/>
            </w:tcBorders>
            <w:shd w:val="clear" w:color="auto" w:fill="auto"/>
            <w:noWrap/>
            <w:vAlign w:val="center"/>
          </w:tcPr>
          <w:p w14:paraId="4E6E98EC" w14:textId="1CA6F397" w:rsidR="006D0999" w:rsidRPr="006C22C0" w:rsidRDefault="006D0999" w:rsidP="006D0999">
            <w:pPr>
              <w:jc w:val="right"/>
              <w:rPr>
                <w:rFonts w:ascii="Arial" w:hAnsi="Arial" w:cs="Arial"/>
                <w:b/>
                <w:sz w:val="16"/>
                <w:szCs w:val="16"/>
              </w:rPr>
            </w:pPr>
            <w:r>
              <w:rPr>
                <w:rFonts w:ascii="Arial" w:hAnsi="Arial" w:cs="Arial"/>
                <w:color w:val="000000"/>
                <w:sz w:val="16"/>
                <w:szCs w:val="16"/>
              </w:rPr>
              <w:t>-1.641.199</w:t>
            </w:r>
          </w:p>
        </w:tc>
      </w:tr>
      <w:tr w:rsidR="006D0999" w:rsidRPr="00826C1B" w14:paraId="25BFE05A" w14:textId="77777777" w:rsidTr="00C23CC6">
        <w:trPr>
          <w:trHeight w:val="275"/>
          <w:jc w:val="center"/>
        </w:trPr>
        <w:tc>
          <w:tcPr>
            <w:tcW w:w="0" w:type="auto"/>
            <w:tcBorders>
              <w:top w:val="nil"/>
              <w:left w:val="nil"/>
              <w:bottom w:val="nil"/>
              <w:right w:val="nil"/>
            </w:tcBorders>
            <w:shd w:val="clear" w:color="auto" w:fill="auto"/>
          </w:tcPr>
          <w:p w14:paraId="32855B16" w14:textId="76E17CE4" w:rsidR="006D0999" w:rsidRPr="006D0999" w:rsidRDefault="006D0999" w:rsidP="006D0999">
            <w:pPr>
              <w:rPr>
                <w:rFonts w:ascii="Arial" w:hAnsi="Arial" w:cs="Arial"/>
                <w:sz w:val="16"/>
                <w:szCs w:val="16"/>
                <w:lang w:eastAsia="es-AR"/>
              </w:rPr>
            </w:pPr>
          </w:p>
        </w:tc>
        <w:tc>
          <w:tcPr>
            <w:tcW w:w="630" w:type="dxa"/>
            <w:tcBorders>
              <w:top w:val="nil"/>
              <w:left w:val="nil"/>
              <w:bottom w:val="nil"/>
              <w:right w:val="nil"/>
            </w:tcBorders>
            <w:shd w:val="clear" w:color="auto" w:fill="auto"/>
            <w:vAlign w:val="bottom"/>
          </w:tcPr>
          <w:p w14:paraId="41041EE1" w14:textId="77777777" w:rsidR="006D0999" w:rsidRPr="00826C1B" w:rsidRDefault="006D0999" w:rsidP="006D0999">
            <w:pPr>
              <w:jc w:val="center"/>
              <w:rPr>
                <w:rFonts w:ascii="Arial" w:hAnsi="Arial" w:cs="Arial"/>
                <w:b/>
                <w:bCs/>
                <w:sz w:val="16"/>
                <w:szCs w:val="16"/>
                <w:lang w:eastAsia="es-AR"/>
              </w:rPr>
            </w:pPr>
          </w:p>
        </w:tc>
        <w:tc>
          <w:tcPr>
            <w:tcW w:w="1134" w:type="dxa"/>
            <w:tcBorders>
              <w:top w:val="nil"/>
              <w:left w:val="nil"/>
              <w:bottom w:val="nil"/>
              <w:right w:val="nil"/>
            </w:tcBorders>
            <w:vAlign w:val="center"/>
          </w:tcPr>
          <w:p w14:paraId="562166F1" w14:textId="77777777" w:rsidR="006D0999" w:rsidRPr="00FF6DEF" w:rsidRDefault="006D0999" w:rsidP="006D0999">
            <w:pPr>
              <w:jc w:val="right"/>
              <w:rPr>
                <w:rFonts w:ascii="Arial" w:hAnsi="Arial" w:cs="Arial"/>
                <w:b/>
                <w:sz w:val="16"/>
                <w:szCs w:val="16"/>
              </w:rPr>
            </w:pPr>
          </w:p>
        </w:tc>
        <w:tc>
          <w:tcPr>
            <w:tcW w:w="1066" w:type="dxa"/>
            <w:tcBorders>
              <w:top w:val="nil"/>
              <w:left w:val="nil"/>
              <w:bottom w:val="nil"/>
              <w:right w:val="nil"/>
            </w:tcBorders>
            <w:shd w:val="clear" w:color="auto" w:fill="auto"/>
            <w:noWrap/>
            <w:vAlign w:val="center"/>
          </w:tcPr>
          <w:p w14:paraId="5A771726" w14:textId="77777777" w:rsidR="006D0999" w:rsidRPr="00FF6DEF" w:rsidRDefault="006D0999" w:rsidP="006D0999">
            <w:pPr>
              <w:jc w:val="right"/>
              <w:rPr>
                <w:rFonts w:ascii="Arial" w:hAnsi="Arial" w:cs="Arial"/>
                <w:b/>
                <w:sz w:val="16"/>
                <w:szCs w:val="16"/>
              </w:rPr>
            </w:pPr>
          </w:p>
        </w:tc>
      </w:tr>
      <w:tr w:rsidR="006D0999" w:rsidRPr="00826C1B" w14:paraId="3475B4FB" w14:textId="77777777" w:rsidTr="00C23CC6">
        <w:trPr>
          <w:trHeight w:val="275"/>
          <w:jc w:val="center"/>
        </w:trPr>
        <w:tc>
          <w:tcPr>
            <w:tcW w:w="0" w:type="auto"/>
            <w:tcBorders>
              <w:top w:val="nil"/>
              <w:left w:val="nil"/>
              <w:bottom w:val="nil"/>
              <w:right w:val="nil"/>
            </w:tcBorders>
            <w:shd w:val="clear" w:color="auto" w:fill="auto"/>
            <w:hideMark/>
          </w:tcPr>
          <w:p w14:paraId="083B9D12" w14:textId="77777777" w:rsidR="006D0999" w:rsidRPr="00826C1B" w:rsidRDefault="006D0999" w:rsidP="006D0999">
            <w:pPr>
              <w:rPr>
                <w:rFonts w:ascii="Arial" w:hAnsi="Arial" w:cs="Arial"/>
                <w:b/>
                <w:bCs/>
                <w:sz w:val="16"/>
                <w:szCs w:val="16"/>
                <w:lang w:eastAsia="es-AR"/>
              </w:rPr>
            </w:pPr>
            <w:r w:rsidRPr="00826C1B">
              <w:rPr>
                <w:rFonts w:ascii="Arial" w:hAnsi="Arial" w:cs="Arial"/>
                <w:b/>
                <w:bCs/>
                <w:sz w:val="16"/>
                <w:szCs w:val="16"/>
                <w:lang w:eastAsia="es-AR"/>
              </w:rPr>
              <w:t>Resultado antes de impuesto de las actividades que continúan</w:t>
            </w:r>
          </w:p>
        </w:tc>
        <w:tc>
          <w:tcPr>
            <w:tcW w:w="630" w:type="dxa"/>
            <w:tcBorders>
              <w:top w:val="nil"/>
              <w:left w:val="nil"/>
              <w:bottom w:val="nil"/>
              <w:right w:val="nil"/>
            </w:tcBorders>
            <w:shd w:val="clear" w:color="auto" w:fill="auto"/>
            <w:vAlign w:val="bottom"/>
            <w:hideMark/>
          </w:tcPr>
          <w:p w14:paraId="72056B1E" w14:textId="77777777" w:rsidR="006D0999" w:rsidRPr="00826C1B" w:rsidRDefault="006D0999" w:rsidP="006D0999">
            <w:pPr>
              <w:jc w:val="center"/>
              <w:rPr>
                <w:rFonts w:ascii="Arial" w:hAnsi="Arial" w:cs="Arial"/>
                <w:b/>
                <w:bCs/>
                <w:sz w:val="16"/>
                <w:szCs w:val="16"/>
                <w:lang w:eastAsia="es-AR"/>
              </w:rPr>
            </w:pPr>
          </w:p>
        </w:tc>
        <w:tc>
          <w:tcPr>
            <w:tcW w:w="1134" w:type="dxa"/>
            <w:tcBorders>
              <w:top w:val="nil"/>
              <w:left w:val="nil"/>
              <w:bottom w:val="nil"/>
              <w:right w:val="nil"/>
            </w:tcBorders>
            <w:vAlign w:val="center"/>
          </w:tcPr>
          <w:p w14:paraId="34E97261" w14:textId="4BDBAE4A" w:rsidR="006D0999" w:rsidRPr="00FF6DEF" w:rsidRDefault="006D0999" w:rsidP="006D0999">
            <w:pPr>
              <w:jc w:val="right"/>
              <w:rPr>
                <w:rFonts w:ascii="Arial" w:hAnsi="Arial" w:cs="Arial"/>
                <w:b/>
                <w:sz w:val="16"/>
                <w:szCs w:val="16"/>
              </w:rPr>
            </w:pPr>
            <w:r>
              <w:rPr>
                <w:rFonts w:ascii="Arial" w:hAnsi="Arial" w:cs="Arial"/>
                <w:b/>
                <w:bCs/>
                <w:color w:val="000000"/>
                <w:sz w:val="16"/>
                <w:szCs w:val="16"/>
              </w:rPr>
              <w:t>600.686</w:t>
            </w:r>
          </w:p>
        </w:tc>
        <w:tc>
          <w:tcPr>
            <w:tcW w:w="1066" w:type="dxa"/>
            <w:tcBorders>
              <w:top w:val="nil"/>
              <w:left w:val="nil"/>
              <w:bottom w:val="nil"/>
              <w:right w:val="nil"/>
            </w:tcBorders>
            <w:shd w:val="clear" w:color="auto" w:fill="auto"/>
            <w:noWrap/>
            <w:vAlign w:val="center"/>
          </w:tcPr>
          <w:p w14:paraId="60BD28D9" w14:textId="45BA1CD5" w:rsidR="006D0999" w:rsidRPr="00FF6DEF" w:rsidRDefault="006D0999" w:rsidP="006D0999">
            <w:pPr>
              <w:jc w:val="right"/>
              <w:rPr>
                <w:rFonts w:ascii="Arial" w:hAnsi="Arial" w:cs="Arial"/>
                <w:b/>
                <w:sz w:val="16"/>
                <w:szCs w:val="16"/>
              </w:rPr>
            </w:pPr>
            <w:r>
              <w:rPr>
                <w:rFonts w:ascii="Arial" w:hAnsi="Arial" w:cs="Arial"/>
                <w:b/>
                <w:bCs/>
                <w:color w:val="000000"/>
                <w:sz w:val="16"/>
                <w:szCs w:val="16"/>
              </w:rPr>
              <w:t>-1.097.182</w:t>
            </w:r>
          </w:p>
        </w:tc>
      </w:tr>
      <w:tr w:rsidR="006D0999" w:rsidRPr="00826C1B" w14:paraId="60682133" w14:textId="77777777" w:rsidTr="00C23CC6">
        <w:trPr>
          <w:trHeight w:val="285"/>
          <w:jc w:val="center"/>
        </w:trPr>
        <w:tc>
          <w:tcPr>
            <w:tcW w:w="0" w:type="auto"/>
            <w:tcBorders>
              <w:top w:val="nil"/>
              <w:left w:val="nil"/>
              <w:bottom w:val="nil"/>
              <w:right w:val="nil"/>
            </w:tcBorders>
            <w:shd w:val="clear" w:color="auto" w:fill="auto"/>
            <w:hideMark/>
          </w:tcPr>
          <w:p w14:paraId="22ACC658"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Impuesto a las ganancias de las actividades que continúan</w:t>
            </w:r>
          </w:p>
        </w:tc>
        <w:tc>
          <w:tcPr>
            <w:tcW w:w="630" w:type="dxa"/>
            <w:tcBorders>
              <w:top w:val="nil"/>
              <w:left w:val="nil"/>
              <w:bottom w:val="nil"/>
              <w:right w:val="nil"/>
            </w:tcBorders>
            <w:shd w:val="clear" w:color="auto" w:fill="auto"/>
            <w:vAlign w:val="bottom"/>
            <w:hideMark/>
          </w:tcPr>
          <w:p w14:paraId="5941EA8B" w14:textId="2355004A"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77266A10" w14:textId="0FF0E9F4" w:rsidR="006D0999" w:rsidRPr="006C22C0" w:rsidRDefault="006D0999" w:rsidP="006D0999">
            <w:pPr>
              <w:jc w:val="right"/>
              <w:rPr>
                <w:rFonts w:ascii="Arial" w:hAnsi="Arial" w:cs="Arial"/>
                <w:sz w:val="16"/>
                <w:szCs w:val="16"/>
              </w:rPr>
            </w:pPr>
            <w:r>
              <w:rPr>
                <w:rFonts w:ascii="Arial" w:hAnsi="Arial" w:cs="Arial"/>
                <w:color w:val="000000"/>
                <w:sz w:val="16"/>
                <w:szCs w:val="16"/>
              </w:rPr>
              <w:t>235.027</w:t>
            </w:r>
          </w:p>
        </w:tc>
        <w:tc>
          <w:tcPr>
            <w:tcW w:w="1066" w:type="dxa"/>
            <w:tcBorders>
              <w:top w:val="nil"/>
              <w:left w:val="nil"/>
              <w:bottom w:val="nil"/>
              <w:right w:val="nil"/>
            </w:tcBorders>
            <w:shd w:val="clear" w:color="auto" w:fill="auto"/>
            <w:noWrap/>
            <w:vAlign w:val="center"/>
          </w:tcPr>
          <w:p w14:paraId="4E55BAC1" w14:textId="284BEF90" w:rsidR="006D0999" w:rsidRPr="006C22C0" w:rsidRDefault="006D0999" w:rsidP="006D0999">
            <w:pPr>
              <w:jc w:val="right"/>
              <w:rPr>
                <w:rFonts w:ascii="Arial" w:hAnsi="Arial" w:cs="Arial"/>
                <w:sz w:val="16"/>
                <w:szCs w:val="16"/>
              </w:rPr>
            </w:pPr>
            <w:r>
              <w:rPr>
                <w:rFonts w:ascii="Arial" w:hAnsi="Arial" w:cs="Arial"/>
                <w:color w:val="000000"/>
                <w:sz w:val="16"/>
                <w:szCs w:val="16"/>
              </w:rPr>
              <w:t>265.174</w:t>
            </w:r>
          </w:p>
        </w:tc>
      </w:tr>
      <w:tr w:rsidR="006D0999" w:rsidRPr="00826C1B" w14:paraId="3E835F36" w14:textId="77777777" w:rsidTr="00C23CC6">
        <w:trPr>
          <w:trHeight w:val="105"/>
          <w:jc w:val="center"/>
        </w:trPr>
        <w:tc>
          <w:tcPr>
            <w:tcW w:w="0" w:type="auto"/>
            <w:tcBorders>
              <w:top w:val="nil"/>
              <w:left w:val="nil"/>
              <w:bottom w:val="nil"/>
              <w:right w:val="nil"/>
            </w:tcBorders>
            <w:shd w:val="clear" w:color="auto" w:fill="auto"/>
            <w:hideMark/>
          </w:tcPr>
          <w:p w14:paraId="15CE9020" w14:textId="77777777" w:rsidR="006D0999" w:rsidRPr="00826C1B" w:rsidRDefault="006D0999" w:rsidP="006D0999">
            <w:pPr>
              <w:rPr>
                <w:rFonts w:ascii="Arial" w:hAnsi="Arial" w:cs="Arial"/>
                <w:sz w:val="16"/>
                <w:szCs w:val="16"/>
                <w:lang w:eastAsia="es-AR"/>
              </w:rPr>
            </w:pPr>
          </w:p>
        </w:tc>
        <w:tc>
          <w:tcPr>
            <w:tcW w:w="630" w:type="dxa"/>
            <w:tcBorders>
              <w:top w:val="nil"/>
              <w:left w:val="nil"/>
              <w:bottom w:val="nil"/>
              <w:right w:val="nil"/>
            </w:tcBorders>
            <w:shd w:val="clear" w:color="auto" w:fill="auto"/>
            <w:vAlign w:val="bottom"/>
            <w:hideMark/>
          </w:tcPr>
          <w:p w14:paraId="307BD300" w14:textId="77777777"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38C46CBC" w14:textId="7AAA96D6" w:rsidR="006D0999" w:rsidRPr="006C22C0" w:rsidRDefault="006D0999" w:rsidP="006D0999">
            <w:pPr>
              <w:jc w:val="right"/>
              <w:rPr>
                <w:rFonts w:ascii="Arial" w:hAnsi="Arial" w:cs="Arial"/>
                <w:sz w:val="16"/>
                <w:szCs w:val="16"/>
              </w:rPr>
            </w:pPr>
          </w:p>
        </w:tc>
        <w:tc>
          <w:tcPr>
            <w:tcW w:w="1066" w:type="dxa"/>
            <w:tcBorders>
              <w:top w:val="nil"/>
              <w:left w:val="nil"/>
              <w:bottom w:val="nil"/>
              <w:right w:val="nil"/>
            </w:tcBorders>
            <w:shd w:val="clear" w:color="auto" w:fill="auto"/>
            <w:noWrap/>
            <w:vAlign w:val="center"/>
          </w:tcPr>
          <w:p w14:paraId="3BA3DC9A" w14:textId="3FD21CE0" w:rsidR="006D0999" w:rsidRPr="006C22C0" w:rsidRDefault="006D0999" w:rsidP="006D0999">
            <w:pPr>
              <w:jc w:val="right"/>
              <w:rPr>
                <w:rFonts w:ascii="Arial" w:hAnsi="Arial" w:cs="Arial"/>
                <w:sz w:val="16"/>
                <w:szCs w:val="16"/>
              </w:rPr>
            </w:pPr>
          </w:p>
        </w:tc>
      </w:tr>
      <w:tr w:rsidR="006D0999" w:rsidRPr="00826C1B" w14:paraId="59FE9BD5" w14:textId="77777777" w:rsidTr="00C23CC6">
        <w:trPr>
          <w:trHeight w:val="285"/>
          <w:jc w:val="center"/>
        </w:trPr>
        <w:tc>
          <w:tcPr>
            <w:tcW w:w="0" w:type="auto"/>
            <w:tcBorders>
              <w:top w:val="nil"/>
              <w:left w:val="nil"/>
              <w:bottom w:val="nil"/>
              <w:right w:val="nil"/>
            </w:tcBorders>
            <w:shd w:val="clear" w:color="auto" w:fill="auto"/>
            <w:hideMark/>
          </w:tcPr>
          <w:p w14:paraId="50E869D1" w14:textId="77777777" w:rsidR="006D0999" w:rsidRPr="00826C1B" w:rsidRDefault="006D0999" w:rsidP="006D0999">
            <w:pPr>
              <w:rPr>
                <w:rFonts w:ascii="Arial" w:hAnsi="Arial" w:cs="Arial"/>
                <w:b/>
                <w:bCs/>
                <w:sz w:val="16"/>
                <w:szCs w:val="16"/>
                <w:lang w:eastAsia="es-AR"/>
              </w:rPr>
            </w:pPr>
            <w:r w:rsidRPr="00826C1B">
              <w:rPr>
                <w:rFonts w:ascii="Arial" w:hAnsi="Arial" w:cs="Arial"/>
                <w:b/>
                <w:bCs/>
                <w:sz w:val="16"/>
                <w:szCs w:val="16"/>
                <w:lang w:eastAsia="es-AR"/>
              </w:rPr>
              <w:t>Resultado neto de las actividades que continúan</w:t>
            </w:r>
          </w:p>
        </w:tc>
        <w:tc>
          <w:tcPr>
            <w:tcW w:w="630" w:type="dxa"/>
            <w:tcBorders>
              <w:top w:val="nil"/>
              <w:left w:val="nil"/>
              <w:bottom w:val="nil"/>
              <w:right w:val="nil"/>
            </w:tcBorders>
            <w:shd w:val="clear" w:color="auto" w:fill="auto"/>
            <w:vAlign w:val="bottom"/>
            <w:hideMark/>
          </w:tcPr>
          <w:p w14:paraId="7F305089" w14:textId="77777777" w:rsidR="006D0999" w:rsidRPr="00826C1B" w:rsidRDefault="006D0999" w:rsidP="006D0999">
            <w:pPr>
              <w:jc w:val="center"/>
              <w:rPr>
                <w:rFonts w:ascii="Arial" w:hAnsi="Arial" w:cs="Arial"/>
                <w:b/>
                <w:bCs/>
                <w:sz w:val="16"/>
                <w:szCs w:val="16"/>
                <w:lang w:eastAsia="es-AR"/>
              </w:rPr>
            </w:pPr>
          </w:p>
        </w:tc>
        <w:tc>
          <w:tcPr>
            <w:tcW w:w="1134" w:type="dxa"/>
            <w:tcBorders>
              <w:top w:val="nil"/>
              <w:left w:val="nil"/>
              <w:bottom w:val="nil"/>
              <w:right w:val="nil"/>
            </w:tcBorders>
            <w:vAlign w:val="center"/>
          </w:tcPr>
          <w:p w14:paraId="38A9F7B5" w14:textId="04322A74" w:rsidR="006D0999" w:rsidRPr="00FF6DEF" w:rsidRDefault="006D0999" w:rsidP="006D0999">
            <w:pPr>
              <w:jc w:val="right"/>
              <w:rPr>
                <w:rFonts w:ascii="Arial" w:hAnsi="Arial" w:cs="Arial"/>
                <w:b/>
                <w:sz w:val="16"/>
                <w:szCs w:val="16"/>
              </w:rPr>
            </w:pPr>
            <w:r>
              <w:rPr>
                <w:rFonts w:ascii="Arial" w:hAnsi="Arial" w:cs="Arial"/>
                <w:b/>
                <w:bCs/>
                <w:color w:val="000000"/>
                <w:sz w:val="16"/>
                <w:szCs w:val="16"/>
              </w:rPr>
              <w:t>365.659</w:t>
            </w:r>
          </w:p>
        </w:tc>
        <w:tc>
          <w:tcPr>
            <w:tcW w:w="1066" w:type="dxa"/>
            <w:tcBorders>
              <w:top w:val="nil"/>
              <w:left w:val="nil"/>
              <w:bottom w:val="nil"/>
              <w:right w:val="nil"/>
            </w:tcBorders>
            <w:shd w:val="clear" w:color="auto" w:fill="auto"/>
            <w:noWrap/>
            <w:vAlign w:val="center"/>
          </w:tcPr>
          <w:p w14:paraId="29CD6D2B" w14:textId="13934E07" w:rsidR="006D0999" w:rsidRPr="00FF6DEF" w:rsidRDefault="006D0999" w:rsidP="006D0999">
            <w:pPr>
              <w:jc w:val="right"/>
              <w:rPr>
                <w:rFonts w:ascii="Arial" w:hAnsi="Arial" w:cs="Arial"/>
                <w:b/>
                <w:sz w:val="16"/>
                <w:szCs w:val="16"/>
              </w:rPr>
            </w:pPr>
            <w:r>
              <w:rPr>
                <w:rFonts w:ascii="Arial" w:hAnsi="Arial" w:cs="Arial"/>
                <w:b/>
                <w:bCs/>
                <w:color w:val="000000"/>
                <w:sz w:val="16"/>
                <w:szCs w:val="16"/>
              </w:rPr>
              <w:t>-1.362.356</w:t>
            </w:r>
          </w:p>
        </w:tc>
      </w:tr>
      <w:tr w:rsidR="006D0999" w:rsidRPr="00826C1B" w14:paraId="11848B88" w14:textId="77777777" w:rsidTr="00C23CC6">
        <w:trPr>
          <w:trHeight w:val="285"/>
          <w:jc w:val="center"/>
        </w:trPr>
        <w:tc>
          <w:tcPr>
            <w:tcW w:w="0" w:type="auto"/>
            <w:tcBorders>
              <w:top w:val="nil"/>
              <w:left w:val="nil"/>
              <w:bottom w:val="nil"/>
              <w:right w:val="nil"/>
            </w:tcBorders>
            <w:shd w:val="clear" w:color="auto" w:fill="auto"/>
            <w:vAlign w:val="center"/>
            <w:hideMark/>
          </w:tcPr>
          <w:p w14:paraId="10B65D45" w14:textId="6BF4065B" w:rsidR="006D0999" w:rsidRPr="00826C1B" w:rsidRDefault="006D0999" w:rsidP="006D0999">
            <w:pPr>
              <w:rPr>
                <w:rFonts w:ascii="Arial" w:hAnsi="Arial" w:cs="Arial"/>
                <w:b/>
                <w:bCs/>
                <w:sz w:val="16"/>
                <w:szCs w:val="16"/>
                <w:lang w:eastAsia="es-AR"/>
              </w:rPr>
            </w:pPr>
            <w:r w:rsidRPr="00826C1B">
              <w:rPr>
                <w:rFonts w:ascii="Arial" w:hAnsi="Arial" w:cs="Arial"/>
                <w:b/>
                <w:bCs/>
                <w:sz w:val="16"/>
                <w:szCs w:val="16"/>
                <w:lang w:eastAsia="es-AR"/>
              </w:rPr>
              <w:t xml:space="preserve">Resultado neto del </w:t>
            </w:r>
            <w:r>
              <w:rPr>
                <w:rFonts w:ascii="Arial" w:hAnsi="Arial" w:cs="Arial"/>
                <w:b/>
                <w:bCs/>
                <w:sz w:val="16"/>
                <w:szCs w:val="16"/>
                <w:lang w:eastAsia="es-AR"/>
              </w:rPr>
              <w:t>período</w:t>
            </w:r>
          </w:p>
        </w:tc>
        <w:tc>
          <w:tcPr>
            <w:tcW w:w="630" w:type="dxa"/>
            <w:tcBorders>
              <w:top w:val="nil"/>
              <w:left w:val="nil"/>
              <w:bottom w:val="nil"/>
              <w:right w:val="nil"/>
            </w:tcBorders>
            <w:shd w:val="clear" w:color="auto" w:fill="auto"/>
            <w:vAlign w:val="bottom"/>
            <w:hideMark/>
          </w:tcPr>
          <w:p w14:paraId="3F24EA19" w14:textId="77777777" w:rsidR="006D0999" w:rsidRPr="00826C1B" w:rsidRDefault="006D0999" w:rsidP="006D0999">
            <w:pPr>
              <w:jc w:val="center"/>
              <w:rPr>
                <w:rFonts w:ascii="Arial" w:hAnsi="Arial" w:cs="Arial"/>
                <w:b/>
                <w:bCs/>
                <w:sz w:val="16"/>
                <w:szCs w:val="16"/>
                <w:lang w:eastAsia="es-AR"/>
              </w:rPr>
            </w:pPr>
          </w:p>
        </w:tc>
        <w:tc>
          <w:tcPr>
            <w:tcW w:w="1134" w:type="dxa"/>
            <w:tcBorders>
              <w:top w:val="single" w:sz="4" w:space="0" w:color="auto"/>
              <w:left w:val="nil"/>
              <w:bottom w:val="nil"/>
              <w:right w:val="nil"/>
            </w:tcBorders>
            <w:vAlign w:val="center"/>
          </w:tcPr>
          <w:p w14:paraId="4F6ED7EA" w14:textId="0B5F398A" w:rsidR="006D0999" w:rsidRPr="00FF6DEF" w:rsidRDefault="006D0999" w:rsidP="006D0999">
            <w:pPr>
              <w:jc w:val="right"/>
              <w:rPr>
                <w:rFonts w:ascii="Arial" w:hAnsi="Arial" w:cs="Arial"/>
                <w:b/>
                <w:sz w:val="16"/>
                <w:szCs w:val="16"/>
              </w:rPr>
            </w:pPr>
          </w:p>
        </w:tc>
        <w:tc>
          <w:tcPr>
            <w:tcW w:w="1066" w:type="dxa"/>
            <w:tcBorders>
              <w:top w:val="single" w:sz="4" w:space="0" w:color="auto"/>
              <w:left w:val="nil"/>
              <w:bottom w:val="nil"/>
              <w:right w:val="nil"/>
            </w:tcBorders>
            <w:shd w:val="clear" w:color="auto" w:fill="auto"/>
            <w:noWrap/>
            <w:vAlign w:val="center"/>
          </w:tcPr>
          <w:p w14:paraId="4E6BC519" w14:textId="185EE40B" w:rsidR="006D0999" w:rsidRPr="00FF6DEF" w:rsidRDefault="006D0999" w:rsidP="006D0999">
            <w:pPr>
              <w:jc w:val="right"/>
              <w:rPr>
                <w:rFonts w:ascii="Arial" w:hAnsi="Arial" w:cs="Arial"/>
                <w:b/>
                <w:sz w:val="16"/>
                <w:szCs w:val="16"/>
              </w:rPr>
            </w:pPr>
          </w:p>
        </w:tc>
      </w:tr>
      <w:tr w:rsidR="006D0999" w:rsidRPr="00826C1B" w14:paraId="27424FE5" w14:textId="77777777" w:rsidTr="00C23CC6">
        <w:trPr>
          <w:trHeight w:val="118"/>
          <w:jc w:val="center"/>
        </w:trPr>
        <w:tc>
          <w:tcPr>
            <w:tcW w:w="0" w:type="auto"/>
            <w:tcBorders>
              <w:top w:val="nil"/>
              <w:left w:val="nil"/>
              <w:bottom w:val="nil"/>
              <w:right w:val="nil"/>
            </w:tcBorders>
            <w:shd w:val="clear" w:color="auto" w:fill="auto"/>
            <w:noWrap/>
            <w:hideMark/>
          </w:tcPr>
          <w:p w14:paraId="24E98F50" w14:textId="77777777" w:rsidR="006D0999" w:rsidRPr="00826C1B" w:rsidRDefault="006D0999" w:rsidP="006D0999">
            <w:pPr>
              <w:rPr>
                <w:rFonts w:ascii="Arial" w:hAnsi="Arial" w:cs="Arial"/>
                <w:b/>
                <w:bCs/>
                <w:sz w:val="10"/>
                <w:szCs w:val="10"/>
                <w:lang w:eastAsia="es-AR"/>
              </w:rPr>
            </w:pPr>
          </w:p>
        </w:tc>
        <w:tc>
          <w:tcPr>
            <w:tcW w:w="630" w:type="dxa"/>
            <w:tcBorders>
              <w:top w:val="nil"/>
              <w:left w:val="nil"/>
              <w:bottom w:val="nil"/>
              <w:right w:val="nil"/>
            </w:tcBorders>
            <w:shd w:val="clear" w:color="auto" w:fill="auto"/>
            <w:noWrap/>
            <w:vAlign w:val="bottom"/>
            <w:hideMark/>
          </w:tcPr>
          <w:p w14:paraId="2F2BBEAA" w14:textId="77777777" w:rsidR="006D0999" w:rsidRPr="00826C1B" w:rsidRDefault="006D0999" w:rsidP="006D0999">
            <w:pPr>
              <w:jc w:val="center"/>
              <w:rPr>
                <w:rFonts w:ascii="Arial" w:hAnsi="Arial" w:cs="Arial"/>
                <w:sz w:val="10"/>
                <w:szCs w:val="10"/>
                <w:lang w:eastAsia="es-AR"/>
              </w:rPr>
            </w:pPr>
          </w:p>
        </w:tc>
        <w:tc>
          <w:tcPr>
            <w:tcW w:w="1134" w:type="dxa"/>
            <w:tcBorders>
              <w:top w:val="nil"/>
              <w:left w:val="nil"/>
              <w:bottom w:val="nil"/>
              <w:right w:val="nil"/>
            </w:tcBorders>
            <w:vAlign w:val="center"/>
          </w:tcPr>
          <w:p w14:paraId="34582467" w14:textId="15252AA0" w:rsidR="006D0999" w:rsidRPr="006C22C0" w:rsidRDefault="006D0999" w:rsidP="006D0999">
            <w:pPr>
              <w:jc w:val="right"/>
              <w:rPr>
                <w:rFonts w:ascii="Arial" w:hAnsi="Arial" w:cs="Arial"/>
                <w:sz w:val="16"/>
                <w:szCs w:val="16"/>
              </w:rPr>
            </w:pPr>
            <w:r>
              <w:rPr>
                <w:rFonts w:ascii="Arial" w:hAnsi="Arial" w:cs="Arial"/>
                <w:b/>
                <w:bCs/>
                <w:color w:val="000000"/>
                <w:sz w:val="16"/>
                <w:szCs w:val="16"/>
              </w:rPr>
              <w:t>365.659</w:t>
            </w:r>
          </w:p>
        </w:tc>
        <w:tc>
          <w:tcPr>
            <w:tcW w:w="1066" w:type="dxa"/>
            <w:tcBorders>
              <w:top w:val="nil"/>
              <w:left w:val="nil"/>
              <w:bottom w:val="nil"/>
              <w:right w:val="nil"/>
            </w:tcBorders>
            <w:shd w:val="clear" w:color="auto" w:fill="auto"/>
            <w:noWrap/>
            <w:vAlign w:val="center"/>
          </w:tcPr>
          <w:p w14:paraId="3C5C92A5" w14:textId="4DE10BEC" w:rsidR="006D0999" w:rsidRPr="006C22C0" w:rsidRDefault="006D0999" w:rsidP="006D0999">
            <w:pPr>
              <w:jc w:val="right"/>
              <w:rPr>
                <w:rFonts w:ascii="Arial" w:hAnsi="Arial" w:cs="Arial"/>
                <w:sz w:val="16"/>
                <w:szCs w:val="16"/>
              </w:rPr>
            </w:pPr>
            <w:r>
              <w:rPr>
                <w:rFonts w:ascii="Arial" w:hAnsi="Arial" w:cs="Arial"/>
                <w:b/>
                <w:bCs/>
                <w:color w:val="000000"/>
                <w:sz w:val="16"/>
                <w:szCs w:val="16"/>
              </w:rPr>
              <w:t>-1.362.356</w:t>
            </w:r>
          </w:p>
        </w:tc>
      </w:tr>
      <w:tr w:rsidR="006D0999" w:rsidRPr="00826C1B" w14:paraId="72882BE7" w14:textId="77777777" w:rsidTr="00C23CC6">
        <w:trPr>
          <w:trHeight w:val="285"/>
          <w:jc w:val="center"/>
        </w:trPr>
        <w:tc>
          <w:tcPr>
            <w:tcW w:w="0" w:type="auto"/>
            <w:tcBorders>
              <w:top w:val="nil"/>
              <w:left w:val="nil"/>
              <w:bottom w:val="nil"/>
              <w:right w:val="nil"/>
            </w:tcBorders>
            <w:shd w:val="clear" w:color="auto" w:fill="auto"/>
            <w:hideMark/>
          </w:tcPr>
          <w:p w14:paraId="35FFD8A3"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Resultado Neto atribuible a los propietarios de la controladora</w:t>
            </w:r>
          </w:p>
        </w:tc>
        <w:tc>
          <w:tcPr>
            <w:tcW w:w="630" w:type="dxa"/>
            <w:tcBorders>
              <w:top w:val="nil"/>
              <w:left w:val="nil"/>
              <w:bottom w:val="nil"/>
              <w:right w:val="nil"/>
            </w:tcBorders>
            <w:shd w:val="clear" w:color="auto" w:fill="auto"/>
            <w:vAlign w:val="bottom"/>
            <w:hideMark/>
          </w:tcPr>
          <w:p w14:paraId="3326B3E4" w14:textId="77777777"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2B9765B5" w14:textId="2F70FC71" w:rsidR="006D0999" w:rsidRPr="006C22C0" w:rsidRDefault="006D0999" w:rsidP="006D0999">
            <w:pPr>
              <w:jc w:val="right"/>
              <w:rPr>
                <w:rFonts w:ascii="Arial" w:hAnsi="Arial" w:cs="Arial"/>
                <w:sz w:val="16"/>
                <w:szCs w:val="16"/>
              </w:rPr>
            </w:pPr>
            <w:r>
              <w:rPr>
                <w:rFonts w:ascii="Arial" w:hAnsi="Arial" w:cs="Arial"/>
                <w:color w:val="000000"/>
                <w:sz w:val="16"/>
                <w:szCs w:val="16"/>
              </w:rPr>
              <w:t>373.140</w:t>
            </w:r>
          </w:p>
        </w:tc>
        <w:tc>
          <w:tcPr>
            <w:tcW w:w="1066" w:type="dxa"/>
            <w:tcBorders>
              <w:top w:val="nil"/>
              <w:left w:val="nil"/>
              <w:bottom w:val="nil"/>
              <w:right w:val="nil"/>
            </w:tcBorders>
            <w:shd w:val="clear" w:color="auto" w:fill="auto"/>
            <w:noWrap/>
            <w:vAlign w:val="center"/>
          </w:tcPr>
          <w:p w14:paraId="3CC44328" w14:textId="1C9138B8" w:rsidR="006D0999" w:rsidRPr="006C22C0" w:rsidRDefault="006D0999" w:rsidP="006D0999">
            <w:pPr>
              <w:jc w:val="right"/>
              <w:rPr>
                <w:rFonts w:ascii="Arial" w:hAnsi="Arial" w:cs="Arial"/>
                <w:sz w:val="16"/>
                <w:szCs w:val="16"/>
              </w:rPr>
            </w:pPr>
            <w:r>
              <w:rPr>
                <w:rFonts w:ascii="Arial" w:hAnsi="Arial" w:cs="Arial"/>
                <w:color w:val="000000"/>
                <w:sz w:val="16"/>
                <w:szCs w:val="16"/>
              </w:rPr>
              <w:t>-1.328.494</w:t>
            </w:r>
          </w:p>
        </w:tc>
      </w:tr>
      <w:tr w:rsidR="006D0999" w:rsidRPr="00826C1B" w14:paraId="364FC062" w14:textId="77777777" w:rsidTr="00C23CC6">
        <w:trPr>
          <w:trHeight w:val="285"/>
          <w:jc w:val="center"/>
        </w:trPr>
        <w:tc>
          <w:tcPr>
            <w:tcW w:w="0" w:type="auto"/>
            <w:tcBorders>
              <w:top w:val="nil"/>
              <w:left w:val="nil"/>
              <w:bottom w:val="nil"/>
              <w:right w:val="nil"/>
            </w:tcBorders>
            <w:shd w:val="clear" w:color="auto" w:fill="auto"/>
            <w:hideMark/>
          </w:tcPr>
          <w:p w14:paraId="6D093999" w14:textId="77777777" w:rsidR="006D0999" w:rsidRPr="00826C1B" w:rsidRDefault="006D0999" w:rsidP="006D0999">
            <w:pPr>
              <w:rPr>
                <w:rFonts w:ascii="Arial" w:hAnsi="Arial" w:cs="Arial"/>
                <w:sz w:val="16"/>
                <w:szCs w:val="16"/>
                <w:lang w:eastAsia="es-AR"/>
              </w:rPr>
            </w:pPr>
            <w:r w:rsidRPr="00826C1B">
              <w:rPr>
                <w:rFonts w:ascii="Arial" w:hAnsi="Arial" w:cs="Arial"/>
                <w:sz w:val="16"/>
                <w:szCs w:val="16"/>
                <w:lang w:eastAsia="es-AR"/>
              </w:rPr>
              <w:t>Resultado Neto atribuible a participaciones no controladoras</w:t>
            </w:r>
          </w:p>
        </w:tc>
        <w:tc>
          <w:tcPr>
            <w:tcW w:w="630" w:type="dxa"/>
            <w:tcBorders>
              <w:top w:val="nil"/>
              <w:left w:val="nil"/>
              <w:bottom w:val="nil"/>
              <w:right w:val="nil"/>
            </w:tcBorders>
            <w:shd w:val="clear" w:color="auto" w:fill="auto"/>
            <w:vAlign w:val="bottom"/>
            <w:hideMark/>
          </w:tcPr>
          <w:p w14:paraId="15F38604" w14:textId="77777777" w:rsidR="006D0999" w:rsidRPr="00826C1B" w:rsidRDefault="006D0999" w:rsidP="006D0999">
            <w:pPr>
              <w:jc w:val="center"/>
              <w:rPr>
                <w:rFonts w:ascii="Arial" w:hAnsi="Arial" w:cs="Arial"/>
                <w:sz w:val="16"/>
                <w:szCs w:val="16"/>
                <w:lang w:eastAsia="es-AR"/>
              </w:rPr>
            </w:pPr>
          </w:p>
        </w:tc>
        <w:tc>
          <w:tcPr>
            <w:tcW w:w="1134" w:type="dxa"/>
            <w:tcBorders>
              <w:top w:val="nil"/>
              <w:left w:val="nil"/>
              <w:bottom w:val="nil"/>
              <w:right w:val="nil"/>
            </w:tcBorders>
            <w:vAlign w:val="center"/>
          </w:tcPr>
          <w:p w14:paraId="3EC700A7" w14:textId="7C176319" w:rsidR="006D0999" w:rsidRPr="006C22C0" w:rsidRDefault="006D0999" w:rsidP="006D0999">
            <w:pPr>
              <w:jc w:val="right"/>
              <w:rPr>
                <w:rFonts w:ascii="Arial" w:hAnsi="Arial" w:cs="Arial"/>
                <w:sz w:val="16"/>
                <w:szCs w:val="16"/>
              </w:rPr>
            </w:pPr>
            <w:r>
              <w:rPr>
                <w:rFonts w:ascii="Arial" w:hAnsi="Arial" w:cs="Arial"/>
                <w:color w:val="000000"/>
                <w:sz w:val="16"/>
                <w:szCs w:val="16"/>
              </w:rPr>
              <w:t>-7.481</w:t>
            </w:r>
          </w:p>
        </w:tc>
        <w:tc>
          <w:tcPr>
            <w:tcW w:w="1066" w:type="dxa"/>
            <w:tcBorders>
              <w:top w:val="nil"/>
              <w:left w:val="nil"/>
              <w:bottom w:val="nil"/>
              <w:right w:val="nil"/>
            </w:tcBorders>
            <w:shd w:val="clear" w:color="auto" w:fill="auto"/>
            <w:noWrap/>
            <w:vAlign w:val="center"/>
          </w:tcPr>
          <w:p w14:paraId="68A8CB8B" w14:textId="2841A6B3" w:rsidR="006D0999" w:rsidRPr="006C22C0" w:rsidRDefault="006D0999" w:rsidP="006D0999">
            <w:pPr>
              <w:jc w:val="right"/>
              <w:rPr>
                <w:rFonts w:ascii="Arial" w:hAnsi="Arial" w:cs="Arial"/>
                <w:sz w:val="16"/>
                <w:szCs w:val="16"/>
              </w:rPr>
            </w:pPr>
            <w:r>
              <w:rPr>
                <w:rFonts w:ascii="Arial" w:hAnsi="Arial" w:cs="Arial"/>
                <w:color w:val="000000"/>
                <w:sz w:val="16"/>
                <w:szCs w:val="16"/>
              </w:rPr>
              <w:t>-33.862</w:t>
            </w:r>
          </w:p>
        </w:tc>
      </w:tr>
    </w:tbl>
    <w:p w14:paraId="6EA0B375" w14:textId="77777777" w:rsidR="00BA1EB9" w:rsidRPr="00701F32" w:rsidRDefault="00BA1EB9" w:rsidP="005F4415">
      <w:pPr>
        <w:rPr>
          <w:sz w:val="20"/>
          <w:lang w:eastAsia="es-AR"/>
        </w:rPr>
        <w:sectPr w:rsidR="00BA1EB9" w:rsidRPr="00701F32" w:rsidSect="00050353">
          <w:headerReference w:type="default" r:id="rId11"/>
          <w:pgSz w:w="11907" w:h="16839" w:code="9"/>
          <w:pgMar w:top="1418" w:right="1701" w:bottom="1418" w:left="1701" w:header="567" w:footer="0" w:gutter="0"/>
          <w:paperSrc w:first="15" w:other="15"/>
          <w:pgNumType w:chapStyle="1"/>
          <w:cols w:space="720"/>
          <w:docGrid w:linePitch="326"/>
        </w:sectPr>
      </w:pPr>
    </w:p>
    <w:p w14:paraId="261183DF" w14:textId="77777777" w:rsidR="00CE49BA" w:rsidRPr="00701F32" w:rsidRDefault="00CE49BA" w:rsidP="002E1AF6">
      <w:pPr>
        <w:ind w:left="709" w:hanging="709"/>
        <w:rPr>
          <w:sz w:val="20"/>
          <w:lang w:eastAsia="es-AR"/>
        </w:rPr>
      </w:pPr>
    </w:p>
    <w:p w14:paraId="08FCB8F0" w14:textId="77777777" w:rsidR="00287667" w:rsidRPr="00701F32" w:rsidRDefault="00287667" w:rsidP="004005DD">
      <w:pPr>
        <w:rPr>
          <w:sz w:val="20"/>
          <w:lang w:eastAsia="es-AR"/>
        </w:rPr>
      </w:pPr>
    </w:p>
    <w:p w14:paraId="671953B5" w14:textId="6FD67DA9" w:rsidR="0049136B" w:rsidRPr="00701F32" w:rsidRDefault="0049136B" w:rsidP="005470F1">
      <w:pPr>
        <w:rPr>
          <w:sz w:val="20"/>
          <w:lang w:eastAsia="es-AR"/>
        </w:rPr>
      </w:pPr>
    </w:p>
    <w:tbl>
      <w:tblPr>
        <w:tblW w:w="0" w:type="auto"/>
        <w:jc w:val="center"/>
        <w:tblLayout w:type="fixed"/>
        <w:tblCellMar>
          <w:left w:w="70" w:type="dxa"/>
          <w:right w:w="70" w:type="dxa"/>
        </w:tblCellMar>
        <w:tblLook w:val="04A0" w:firstRow="1" w:lastRow="0" w:firstColumn="1" w:lastColumn="0" w:noHBand="0" w:noVBand="1"/>
      </w:tblPr>
      <w:tblGrid>
        <w:gridCol w:w="5812"/>
        <w:gridCol w:w="1141"/>
        <w:gridCol w:w="1264"/>
      </w:tblGrid>
      <w:tr w:rsidR="003003FC" w:rsidRPr="003003FC" w14:paraId="391336FA" w14:textId="77777777" w:rsidTr="00BA7A6B">
        <w:trPr>
          <w:trHeight w:val="510"/>
          <w:jc w:val="center"/>
        </w:trPr>
        <w:tc>
          <w:tcPr>
            <w:tcW w:w="5812"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1AD2995" w14:textId="77777777" w:rsidR="003003FC" w:rsidRPr="003003FC" w:rsidRDefault="003003FC" w:rsidP="00414A46">
            <w:pPr>
              <w:jc w:val="center"/>
              <w:rPr>
                <w:rFonts w:ascii="Arial" w:hAnsi="Arial" w:cs="Arial"/>
                <w:b/>
                <w:bCs/>
                <w:sz w:val="20"/>
                <w:lang w:eastAsia="es-AR"/>
              </w:rPr>
            </w:pPr>
            <w:r w:rsidRPr="003003FC">
              <w:rPr>
                <w:rFonts w:ascii="Arial" w:hAnsi="Arial" w:cs="Arial"/>
                <w:b/>
                <w:bCs/>
                <w:sz w:val="20"/>
                <w:lang w:eastAsia="es-AR"/>
              </w:rPr>
              <w:t>Concepto</w:t>
            </w:r>
          </w:p>
        </w:tc>
        <w:tc>
          <w:tcPr>
            <w:tcW w:w="1141"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7A50E81B" w14:textId="77777777" w:rsidR="003003FC" w:rsidRPr="003003FC" w:rsidRDefault="003003FC" w:rsidP="00414A46">
            <w:pPr>
              <w:jc w:val="center"/>
              <w:rPr>
                <w:rFonts w:ascii="Arial" w:hAnsi="Arial" w:cs="Arial"/>
                <w:b/>
                <w:bCs/>
                <w:sz w:val="20"/>
                <w:lang w:eastAsia="es-AR"/>
              </w:rPr>
            </w:pPr>
            <w:r w:rsidRPr="003003FC">
              <w:rPr>
                <w:rFonts w:ascii="Arial" w:hAnsi="Arial" w:cs="Arial"/>
                <w:b/>
                <w:bCs/>
                <w:sz w:val="20"/>
                <w:lang w:eastAsia="es-AR"/>
              </w:rPr>
              <w:t>Al</w:t>
            </w:r>
          </w:p>
          <w:p w14:paraId="4B243A63" w14:textId="6DBE251A" w:rsidR="003003FC" w:rsidRPr="003003FC" w:rsidRDefault="003003FC" w:rsidP="00414A46">
            <w:pPr>
              <w:jc w:val="center"/>
              <w:rPr>
                <w:rFonts w:ascii="Arial" w:hAnsi="Arial" w:cs="Arial"/>
                <w:b/>
                <w:bCs/>
                <w:sz w:val="20"/>
                <w:lang w:eastAsia="es-AR"/>
              </w:rPr>
            </w:pPr>
            <w:r w:rsidRPr="003003FC">
              <w:rPr>
                <w:rFonts w:ascii="Arial" w:hAnsi="Arial" w:cs="Arial"/>
                <w:b/>
                <w:bCs/>
                <w:sz w:val="20"/>
                <w:lang w:eastAsia="es-AR"/>
              </w:rPr>
              <w:t>31/0</w:t>
            </w:r>
            <w:r w:rsidR="00804984">
              <w:rPr>
                <w:rFonts w:ascii="Arial" w:hAnsi="Arial" w:cs="Arial"/>
                <w:b/>
                <w:bCs/>
                <w:sz w:val="20"/>
                <w:lang w:eastAsia="es-AR"/>
              </w:rPr>
              <w:t>3</w:t>
            </w:r>
            <w:r w:rsidRPr="003003FC">
              <w:rPr>
                <w:rFonts w:ascii="Arial" w:hAnsi="Arial" w:cs="Arial"/>
                <w:b/>
                <w:bCs/>
                <w:sz w:val="20"/>
                <w:lang w:eastAsia="es-AR"/>
              </w:rPr>
              <w:t>/2020</w:t>
            </w:r>
          </w:p>
        </w:tc>
        <w:tc>
          <w:tcPr>
            <w:tcW w:w="1264"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6454A53" w14:textId="77777777" w:rsidR="003003FC" w:rsidRPr="003003FC" w:rsidRDefault="003003FC" w:rsidP="00414A46">
            <w:pPr>
              <w:jc w:val="center"/>
              <w:rPr>
                <w:rFonts w:ascii="Arial" w:hAnsi="Arial" w:cs="Arial"/>
                <w:b/>
                <w:bCs/>
                <w:sz w:val="20"/>
                <w:lang w:eastAsia="es-AR"/>
              </w:rPr>
            </w:pPr>
            <w:r w:rsidRPr="003003FC">
              <w:rPr>
                <w:rFonts w:ascii="Arial" w:hAnsi="Arial" w:cs="Arial"/>
                <w:b/>
                <w:bCs/>
                <w:sz w:val="20"/>
                <w:lang w:eastAsia="es-AR"/>
              </w:rPr>
              <w:t xml:space="preserve">Al </w:t>
            </w:r>
          </w:p>
          <w:p w14:paraId="7B21295E" w14:textId="4A247D48" w:rsidR="003003FC" w:rsidRPr="003003FC" w:rsidRDefault="003003FC" w:rsidP="00414A46">
            <w:pPr>
              <w:jc w:val="center"/>
              <w:rPr>
                <w:rFonts w:ascii="Arial" w:hAnsi="Arial" w:cs="Arial"/>
                <w:b/>
                <w:bCs/>
                <w:sz w:val="20"/>
                <w:lang w:eastAsia="es-AR"/>
              </w:rPr>
            </w:pPr>
            <w:r w:rsidRPr="003003FC">
              <w:rPr>
                <w:rFonts w:ascii="Arial" w:hAnsi="Arial" w:cs="Arial"/>
                <w:b/>
                <w:bCs/>
                <w:sz w:val="20"/>
                <w:lang w:eastAsia="es-AR"/>
              </w:rPr>
              <w:t>31/03/2019</w:t>
            </w:r>
          </w:p>
        </w:tc>
      </w:tr>
      <w:tr w:rsidR="003003FC" w:rsidRPr="003003FC" w14:paraId="542CA804" w14:textId="77777777" w:rsidTr="00BA7A6B">
        <w:trPr>
          <w:trHeight w:val="285"/>
          <w:jc w:val="center"/>
        </w:trPr>
        <w:tc>
          <w:tcPr>
            <w:tcW w:w="5812" w:type="dxa"/>
            <w:tcBorders>
              <w:top w:val="nil"/>
              <w:left w:val="nil"/>
              <w:bottom w:val="nil"/>
              <w:right w:val="nil"/>
            </w:tcBorders>
            <w:shd w:val="clear" w:color="auto" w:fill="auto"/>
            <w:hideMark/>
          </w:tcPr>
          <w:p w14:paraId="3130E6F1" w14:textId="77777777" w:rsidR="003003FC" w:rsidRPr="003003FC" w:rsidRDefault="003003FC" w:rsidP="00414A46">
            <w:pPr>
              <w:jc w:val="center"/>
              <w:rPr>
                <w:rFonts w:ascii="Arial" w:hAnsi="Arial" w:cs="Arial"/>
                <w:b/>
                <w:bCs/>
                <w:sz w:val="20"/>
                <w:lang w:eastAsia="es-AR"/>
              </w:rPr>
            </w:pPr>
            <w:r w:rsidRPr="003003FC">
              <w:rPr>
                <w:rFonts w:ascii="Arial" w:hAnsi="Arial" w:cs="Arial"/>
                <w:b/>
                <w:bCs/>
                <w:sz w:val="20"/>
                <w:lang w:eastAsia="es-AR"/>
              </w:rPr>
              <w:t> </w:t>
            </w:r>
          </w:p>
        </w:tc>
        <w:tc>
          <w:tcPr>
            <w:tcW w:w="1141" w:type="dxa"/>
            <w:tcBorders>
              <w:top w:val="nil"/>
              <w:left w:val="nil"/>
              <w:bottom w:val="nil"/>
              <w:right w:val="nil"/>
            </w:tcBorders>
          </w:tcPr>
          <w:p w14:paraId="13F39376" w14:textId="77777777" w:rsidR="003003FC" w:rsidRPr="003003FC" w:rsidRDefault="003003FC" w:rsidP="00414A46">
            <w:pPr>
              <w:jc w:val="center"/>
              <w:rPr>
                <w:rFonts w:ascii="Arial" w:hAnsi="Arial" w:cs="Arial"/>
                <w:b/>
                <w:bCs/>
                <w:sz w:val="20"/>
                <w:lang w:eastAsia="es-AR"/>
              </w:rPr>
            </w:pPr>
          </w:p>
        </w:tc>
        <w:tc>
          <w:tcPr>
            <w:tcW w:w="1264" w:type="dxa"/>
            <w:tcBorders>
              <w:top w:val="nil"/>
              <w:left w:val="nil"/>
              <w:bottom w:val="nil"/>
              <w:right w:val="nil"/>
            </w:tcBorders>
            <w:shd w:val="clear" w:color="auto" w:fill="auto"/>
            <w:hideMark/>
          </w:tcPr>
          <w:p w14:paraId="3C188863" w14:textId="47E0BE5B" w:rsidR="003003FC" w:rsidRPr="003003FC" w:rsidRDefault="003003FC" w:rsidP="00414A46">
            <w:pPr>
              <w:jc w:val="center"/>
              <w:rPr>
                <w:rFonts w:ascii="Arial" w:hAnsi="Arial" w:cs="Arial"/>
                <w:b/>
                <w:bCs/>
                <w:sz w:val="20"/>
                <w:lang w:eastAsia="es-AR"/>
              </w:rPr>
            </w:pPr>
            <w:r w:rsidRPr="003003FC">
              <w:rPr>
                <w:rFonts w:ascii="Arial" w:hAnsi="Arial" w:cs="Arial"/>
                <w:b/>
                <w:bCs/>
                <w:sz w:val="20"/>
                <w:lang w:eastAsia="es-AR"/>
              </w:rPr>
              <w:t> </w:t>
            </w:r>
          </w:p>
        </w:tc>
      </w:tr>
      <w:tr w:rsidR="003003FC" w:rsidRPr="003003FC" w14:paraId="2ECB5531" w14:textId="77777777" w:rsidTr="00BA7A6B">
        <w:trPr>
          <w:trHeight w:val="285"/>
          <w:jc w:val="center"/>
        </w:trPr>
        <w:tc>
          <w:tcPr>
            <w:tcW w:w="5812" w:type="dxa"/>
            <w:tcBorders>
              <w:top w:val="nil"/>
              <w:left w:val="nil"/>
              <w:bottom w:val="nil"/>
              <w:right w:val="nil"/>
            </w:tcBorders>
            <w:shd w:val="clear" w:color="auto" w:fill="auto"/>
            <w:hideMark/>
          </w:tcPr>
          <w:p w14:paraId="50367EAA" w14:textId="77777777" w:rsidR="003003FC" w:rsidRPr="003003FC" w:rsidRDefault="003003FC" w:rsidP="00414A46">
            <w:pPr>
              <w:rPr>
                <w:rFonts w:ascii="Arial" w:hAnsi="Arial" w:cs="Arial"/>
                <w:b/>
                <w:bCs/>
                <w:sz w:val="20"/>
                <w:lang w:eastAsia="es-AR"/>
              </w:rPr>
            </w:pPr>
            <w:r w:rsidRPr="003003FC">
              <w:rPr>
                <w:rFonts w:ascii="Arial" w:hAnsi="Arial" w:cs="Arial"/>
                <w:b/>
                <w:bCs/>
                <w:sz w:val="20"/>
                <w:lang w:eastAsia="es-AR"/>
              </w:rPr>
              <w:t>NUMERADOR</w:t>
            </w:r>
          </w:p>
        </w:tc>
        <w:tc>
          <w:tcPr>
            <w:tcW w:w="1141" w:type="dxa"/>
            <w:tcBorders>
              <w:top w:val="nil"/>
              <w:left w:val="nil"/>
              <w:bottom w:val="nil"/>
              <w:right w:val="nil"/>
            </w:tcBorders>
          </w:tcPr>
          <w:p w14:paraId="220D8B4C" w14:textId="77777777" w:rsidR="003003FC" w:rsidRPr="003003FC" w:rsidRDefault="003003FC" w:rsidP="00414A46">
            <w:pPr>
              <w:rPr>
                <w:rFonts w:ascii="Arial" w:hAnsi="Arial" w:cs="Arial"/>
                <w:b/>
                <w:bCs/>
                <w:sz w:val="20"/>
                <w:lang w:eastAsia="es-AR"/>
              </w:rPr>
            </w:pPr>
          </w:p>
        </w:tc>
        <w:tc>
          <w:tcPr>
            <w:tcW w:w="1264" w:type="dxa"/>
            <w:tcBorders>
              <w:top w:val="nil"/>
              <w:left w:val="nil"/>
              <w:bottom w:val="nil"/>
              <w:right w:val="nil"/>
            </w:tcBorders>
            <w:shd w:val="clear" w:color="auto" w:fill="auto"/>
            <w:hideMark/>
          </w:tcPr>
          <w:p w14:paraId="55A61819" w14:textId="026CC6A6" w:rsidR="003003FC" w:rsidRPr="003003FC" w:rsidRDefault="003003FC" w:rsidP="00414A46">
            <w:pPr>
              <w:rPr>
                <w:rFonts w:ascii="Arial" w:hAnsi="Arial" w:cs="Arial"/>
                <w:b/>
                <w:bCs/>
                <w:sz w:val="20"/>
                <w:lang w:eastAsia="es-AR"/>
              </w:rPr>
            </w:pPr>
          </w:p>
        </w:tc>
      </w:tr>
      <w:tr w:rsidR="003003FC" w:rsidRPr="003003FC" w14:paraId="18B5D51A" w14:textId="77777777" w:rsidTr="00BA7A6B">
        <w:trPr>
          <w:trHeight w:val="285"/>
          <w:jc w:val="center"/>
        </w:trPr>
        <w:tc>
          <w:tcPr>
            <w:tcW w:w="5812" w:type="dxa"/>
            <w:tcBorders>
              <w:top w:val="nil"/>
              <w:left w:val="nil"/>
              <w:bottom w:val="nil"/>
              <w:right w:val="nil"/>
            </w:tcBorders>
            <w:shd w:val="clear" w:color="auto" w:fill="auto"/>
            <w:hideMark/>
          </w:tcPr>
          <w:p w14:paraId="498FFF88" w14:textId="77777777" w:rsidR="003003FC" w:rsidRPr="003003FC" w:rsidRDefault="003003FC" w:rsidP="00414A46">
            <w:pPr>
              <w:rPr>
                <w:rFonts w:ascii="Arial" w:hAnsi="Arial" w:cs="Arial"/>
                <w:sz w:val="20"/>
                <w:lang w:eastAsia="es-AR"/>
              </w:rPr>
            </w:pPr>
          </w:p>
        </w:tc>
        <w:tc>
          <w:tcPr>
            <w:tcW w:w="1141" w:type="dxa"/>
            <w:tcBorders>
              <w:top w:val="nil"/>
              <w:left w:val="nil"/>
              <w:bottom w:val="nil"/>
              <w:right w:val="nil"/>
            </w:tcBorders>
          </w:tcPr>
          <w:p w14:paraId="7C66BA05" w14:textId="77777777" w:rsidR="003003FC" w:rsidRPr="003003FC" w:rsidRDefault="003003FC" w:rsidP="00414A46">
            <w:pPr>
              <w:rPr>
                <w:rFonts w:ascii="Arial" w:hAnsi="Arial" w:cs="Arial"/>
                <w:sz w:val="20"/>
                <w:lang w:eastAsia="es-AR"/>
              </w:rPr>
            </w:pPr>
          </w:p>
        </w:tc>
        <w:tc>
          <w:tcPr>
            <w:tcW w:w="1264" w:type="dxa"/>
            <w:tcBorders>
              <w:top w:val="nil"/>
              <w:left w:val="nil"/>
              <w:bottom w:val="nil"/>
              <w:right w:val="nil"/>
            </w:tcBorders>
            <w:shd w:val="clear" w:color="auto" w:fill="auto"/>
            <w:hideMark/>
          </w:tcPr>
          <w:p w14:paraId="344AF03B" w14:textId="7CA5B6E7" w:rsidR="003003FC" w:rsidRPr="003003FC" w:rsidRDefault="003003FC" w:rsidP="00414A46">
            <w:pPr>
              <w:rPr>
                <w:rFonts w:ascii="Arial" w:hAnsi="Arial" w:cs="Arial"/>
                <w:sz w:val="20"/>
                <w:lang w:eastAsia="es-AR"/>
              </w:rPr>
            </w:pPr>
          </w:p>
        </w:tc>
      </w:tr>
      <w:tr w:rsidR="00414A46" w:rsidRPr="003003FC" w14:paraId="29E5119E" w14:textId="77777777" w:rsidTr="00BA7A6B">
        <w:trPr>
          <w:trHeight w:val="285"/>
          <w:jc w:val="center"/>
        </w:trPr>
        <w:tc>
          <w:tcPr>
            <w:tcW w:w="5812" w:type="dxa"/>
            <w:tcBorders>
              <w:top w:val="nil"/>
              <w:left w:val="nil"/>
              <w:bottom w:val="nil"/>
              <w:right w:val="nil"/>
            </w:tcBorders>
            <w:shd w:val="clear" w:color="auto" w:fill="auto"/>
            <w:hideMark/>
          </w:tcPr>
          <w:p w14:paraId="12BCFB7F" w14:textId="7B02E1B8" w:rsidR="00414A46" w:rsidRPr="003003FC" w:rsidRDefault="00414A46" w:rsidP="00414A46">
            <w:pPr>
              <w:rPr>
                <w:rFonts w:ascii="Arial" w:hAnsi="Arial" w:cs="Arial"/>
                <w:sz w:val="20"/>
                <w:lang w:eastAsia="es-AR"/>
              </w:rPr>
            </w:pPr>
            <w:r w:rsidRPr="003003FC">
              <w:rPr>
                <w:rFonts w:ascii="Arial" w:hAnsi="Arial" w:cs="Arial"/>
                <w:sz w:val="20"/>
                <w:lang w:eastAsia="es-AR"/>
              </w:rPr>
              <w:t>Ganancia neta atribuible a Accionistas de la Entidad Controladora</w:t>
            </w:r>
          </w:p>
        </w:tc>
        <w:tc>
          <w:tcPr>
            <w:tcW w:w="1141" w:type="dxa"/>
            <w:tcBorders>
              <w:top w:val="nil"/>
              <w:left w:val="nil"/>
              <w:bottom w:val="nil"/>
              <w:right w:val="nil"/>
            </w:tcBorders>
            <w:vAlign w:val="center"/>
          </w:tcPr>
          <w:p w14:paraId="41D16F39" w14:textId="682AD61A" w:rsidR="00414A46" w:rsidRPr="003003FC" w:rsidRDefault="00414A46" w:rsidP="00414A46">
            <w:pPr>
              <w:jc w:val="right"/>
              <w:rPr>
                <w:rFonts w:ascii="Arial" w:hAnsi="Arial" w:cs="Arial"/>
                <w:sz w:val="20"/>
              </w:rPr>
            </w:pPr>
            <w:r>
              <w:rPr>
                <w:rFonts w:ascii="Arial" w:hAnsi="Arial" w:cs="Arial"/>
                <w:sz w:val="20"/>
              </w:rPr>
              <w:t>373.140</w:t>
            </w:r>
          </w:p>
        </w:tc>
        <w:tc>
          <w:tcPr>
            <w:tcW w:w="1264" w:type="dxa"/>
            <w:tcBorders>
              <w:top w:val="nil"/>
              <w:left w:val="nil"/>
              <w:bottom w:val="nil"/>
              <w:right w:val="nil"/>
            </w:tcBorders>
            <w:shd w:val="clear" w:color="auto" w:fill="auto"/>
            <w:noWrap/>
            <w:vAlign w:val="center"/>
          </w:tcPr>
          <w:p w14:paraId="770901B0" w14:textId="1776CE94" w:rsidR="00414A46" w:rsidRPr="003003FC" w:rsidRDefault="006C21CE" w:rsidP="00BA7A6B">
            <w:pPr>
              <w:rPr>
                <w:rFonts w:ascii="Arial" w:hAnsi="Arial" w:cs="Arial"/>
                <w:sz w:val="20"/>
                <w:lang w:eastAsia="es-AR"/>
              </w:rPr>
            </w:pPr>
            <w:r>
              <w:rPr>
                <w:rFonts w:ascii="Arial" w:hAnsi="Arial" w:cs="Arial"/>
                <w:sz w:val="20"/>
                <w:lang w:eastAsia="es-AR"/>
              </w:rPr>
              <w:t xml:space="preserve">  -1.</w:t>
            </w:r>
            <w:r w:rsidR="00414A46" w:rsidRPr="0049136B">
              <w:rPr>
                <w:rFonts w:ascii="Arial" w:hAnsi="Arial" w:cs="Arial"/>
                <w:sz w:val="20"/>
                <w:lang w:eastAsia="es-AR"/>
              </w:rPr>
              <w:t>3</w:t>
            </w:r>
            <w:r>
              <w:rPr>
                <w:rFonts w:ascii="Arial" w:hAnsi="Arial" w:cs="Arial"/>
                <w:sz w:val="20"/>
                <w:lang w:eastAsia="es-AR"/>
              </w:rPr>
              <w:t>2</w:t>
            </w:r>
            <w:r w:rsidR="00414A46" w:rsidRPr="0049136B">
              <w:rPr>
                <w:rFonts w:ascii="Arial" w:hAnsi="Arial" w:cs="Arial"/>
                <w:sz w:val="20"/>
                <w:lang w:eastAsia="es-AR"/>
              </w:rPr>
              <w:t>8.</w:t>
            </w:r>
            <w:r>
              <w:rPr>
                <w:rFonts w:ascii="Arial" w:hAnsi="Arial" w:cs="Arial"/>
                <w:sz w:val="20"/>
                <w:lang w:eastAsia="es-AR"/>
              </w:rPr>
              <w:t>494</w:t>
            </w:r>
          </w:p>
        </w:tc>
      </w:tr>
      <w:tr w:rsidR="00414A46" w:rsidRPr="003003FC" w14:paraId="2C1B5FE4" w14:textId="77777777" w:rsidTr="00BA7A6B">
        <w:trPr>
          <w:trHeight w:val="510"/>
          <w:jc w:val="center"/>
        </w:trPr>
        <w:tc>
          <w:tcPr>
            <w:tcW w:w="5812" w:type="dxa"/>
            <w:tcBorders>
              <w:top w:val="nil"/>
              <w:left w:val="nil"/>
              <w:bottom w:val="nil"/>
              <w:right w:val="nil"/>
            </w:tcBorders>
            <w:shd w:val="clear" w:color="auto" w:fill="auto"/>
            <w:vAlign w:val="center"/>
            <w:hideMark/>
          </w:tcPr>
          <w:p w14:paraId="53E1B6DC" w14:textId="77777777" w:rsidR="00414A46" w:rsidRPr="003003FC" w:rsidRDefault="00414A46" w:rsidP="00414A46">
            <w:pPr>
              <w:rPr>
                <w:rFonts w:ascii="Arial" w:hAnsi="Arial" w:cs="Arial"/>
                <w:sz w:val="20"/>
                <w:lang w:eastAsia="es-AR"/>
              </w:rPr>
            </w:pPr>
            <w:r w:rsidRPr="003003FC">
              <w:rPr>
                <w:rFonts w:ascii="Arial" w:hAnsi="Arial" w:cs="Arial"/>
                <w:sz w:val="20"/>
                <w:lang w:eastAsia="es-AR"/>
              </w:rPr>
              <w:t>MAS: Efectos dilusivos inherentes a las acciones ordinarias potenciales</w:t>
            </w:r>
          </w:p>
        </w:tc>
        <w:tc>
          <w:tcPr>
            <w:tcW w:w="1141" w:type="dxa"/>
            <w:tcBorders>
              <w:top w:val="nil"/>
              <w:left w:val="nil"/>
              <w:bottom w:val="nil"/>
              <w:right w:val="nil"/>
            </w:tcBorders>
            <w:vAlign w:val="center"/>
          </w:tcPr>
          <w:p w14:paraId="393F88C5" w14:textId="09B0F8C0" w:rsidR="00414A46" w:rsidRPr="003003FC" w:rsidRDefault="00414A46" w:rsidP="00414A46">
            <w:pPr>
              <w:jc w:val="right"/>
              <w:rPr>
                <w:rFonts w:ascii="Arial" w:hAnsi="Arial" w:cs="Arial"/>
                <w:sz w:val="20"/>
              </w:rPr>
            </w:pPr>
            <w:r>
              <w:rPr>
                <w:rFonts w:ascii="Arial" w:hAnsi="Arial" w:cs="Arial"/>
                <w:sz w:val="20"/>
              </w:rPr>
              <w:t>-</w:t>
            </w:r>
          </w:p>
        </w:tc>
        <w:tc>
          <w:tcPr>
            <w:tcW w:w="1264" w:type="dxa"/>
            <w:tcBorders>
              <w:top w:val="nil"/>
              <w:left w:val="nil"/>
              <w:bottom w:val="nil"/>
              <w:right w:val="nil"/>
            </w:tcBorders>
            <w:shd w:val="clear" w:color="auto" w:fill="auto"/>
            <w:noWrap/>
            <w:vAlign w:val="center"/>
          </w:tcPr>
          <w:p w14:paraId="1530F54F" w14:textId="15E5243C" w:rsidR="00414A46" w:rsidRPr="003003FC" w:rsidRDefault="00414A46" w:rsidP="00414A46">
            <w:pPr>
              <w:jc w:val="right"/>
              <w:rPr>
                <w:rFonts w:ascii="Arial" w:hAnsi="Arial" w:cs="Arial"/>
                <w:sz w:val="20"/>
                <w:lang w:eastAsia="es-AR"/>
              </w:rPr>
            </w:pPr>
            <w:r w:rsidRPr="0049136B">
              <w:rPr>
                <w:rFonts w:ascii="Arial" w:hAnsi="Arial" w:cs="Arial"/>
                <w:sz w:val="20"/>
                <w:lang w:eastAsia="es-AR"/>
              </w:rPr>
              <w:t>-</w:t>
            </w:r>
          </w:p>
        </w:tc>
      </w:tr>
      <w:tr w:rsidR="00414A46" w:rsidRPr="003003FC" w14:paraId="08B76DB9" w14:textId="77777777" w:rsidTr="00BA7A6B">
        <w:trPr>
          <w:trHeight w:val="510"/>
          <w:jc w:val="center"/>
        </w:trPr>
        <w:tc>
          <w:tcPr>
            <w:tcW w:w="5812" w:type="dxa"/>
            <w:tcBorders>
              <w:top w:val="nil"/>
              <w:left w:val="nil"/>
              <w:bottom w:val="nil"/>
              <w:right w:val="nil"/>
            </w:tcBorders>
            <w:shd w:val="clear" w:color="auto" w:fill="auto"/>
            <w:hideMark/>
          </w:tcPr>
          <w:p w14:paraId="313A716A" w14:textId="77777777" w:rsidR="00414A46" w:rsidRPr="003003FC" w:rsidRDefault="00414A46" w:rsidP="00414A46">
            <w:pPr>
              <w:rPr>
                <w:rFonts w:ascii="Arial" w:hAnsi="Arial" w:cs="Arial"/>
                <w:sz w:val="20"/>
                <w:lang w:eastAsia="es-AR"/>
              </w:rPr>
            </w:pPr>
            <w:r w:rsidRPr="003003FC">
              <w:rPr>
                <w:rFonts w:ascii="Arial" w:hAnsi="Arial" w:cs="Arial"/>
                <w:sz w:val="20"/>
                <w:lang w:eastAsia="es-AR"/>
              </w:rPr>
              <w:t>Ganancia neta atribuible a Accionistas de la Entidad Controladora ajustada por el efecto de la dilución</w:t>
            </w:r>
          </w:p>
        </w:tc>
        <w:tc>
          <w:tcPr>
            <w:tcW w:w="1141" w:type="dxa"/>
            <w:tcBorders>
              <w:top w:val="nil"/>
              <w:left w:val="nil"/>
              <w:bottom w:val="nil"/>
              <w:right w:val="nil"/>
            </w:tcBorders>
            <w:vAlign w:val="center"/>
          </w:tcPr>
          <w:p w14:paraId="1391AD3A" w14:textId="05E4091C" w:rsidR="00414A46" w:rsidRPr="003003FC" w:rsidRDefault="00414A46" w:rsidP="00414A46">
            <w:pPr>
              <w:jc w:val="right"/>
              <w:rPr>
                <w:rFonts w:ascii="Arial" w:hAnsi="Arial" w:cs="Arial"/>
                <w:sz w:val="20"/>
              </w:rPr>
            </w:pPr>
            <w:r>
              <w:rPr>
                <w:rFonts w:ascii="Arial" w:hAnsi="Arial" w:cs="Arial"/>
                <w:sz w:val="20"/>
              </w:rPr>
              <w:t>373.140</w:t>
            </w:r>
          </w:p>
        </w:tc>
        <w:tc>
          <w:tcPr>
            <w:tcW w:w="1264" w:type="dxa"/>
            <w:tcBorders>
              <w:top w:val="nil"/>
              <w:left w:val="nil"/>
              <w:bottom w:val="nil"/>
              <w:right w:val="nil"/>
            </w:tcBorders>
            <w:shd w:val="clear" w:color="auto" w:fill="auto"/>
            <w:noWrap/>
            <w:vAlign w:val="center"/>
          </w:tcPr>
          <w:p w14:paraId="2A1DC334" w14:textId="258EBE19" w:rsidR="00414A46" w:rsidRPr="003003FC" w:rsidRDefault="006C6375" w:rsidP="00414A46">
            <w:pPr>
              <w:jc w:val="right"/>
              <w:rPr>
                <w:rFonts w:ascii="Arial" w:hAnsi="Arial" w:cs="Arial"/>
                <w:sz w:val="20"/>
              </w:rPr>
            </w:pPr>
            <w:r>
              <w:rPr>
                <w:rFonts w:ascii="Arial" w:hAnsi="Arial" w:cs="Arial"/>
                <w:sz w:val="20"/>
                <w:lang w:eastAsia="es-AR"/>
              </w:rPr>
              <w:t xml:space="preserve">  -1.</w:t>
            </w:r>
            <w:r w:rsidRPr="0049136B">
              <w:rPr>
                <w:rFonts w:ascii="Arial" w:hAnsi="Arial" w:cs="Arial"/>
                <w:sz w:val="20"/>
                <w:lang w:eastAsia="es-AR"/>
              </w:rPr>
              <w:t>3</w:t>
            </w:r>
            <w:r>
              <w:rPr>
                <w:rFonts w:ascii="Arial" w:hAnsi="Arial" w:cs="Arial"/>
                <w:sz w:val="20"/>
                <w:lang w:eastAsia="es-AR"/>
              </w:rPr>
              <w:t>2</w:t>
            </w:r>
            <w:r w:rsidRPr="0049136B">
              <w:rPr>
                <w:rFonts w:ascii="Arial" w:hAnsi="Arial" w:cs="Arial"/>
                <w:sz w:val="20"/>
                <w:lang w:eastAsia="es-AR"/>
              </w:rPr>
              <w:t>8.</w:t>
            </w:r>
            <w:r>
              <w:rPr>
                <w:rFonts w:ascii="Arial" w:hAnsi="Arial" w:cs="Arial"/>
                <w:sz w:val="20"/>
                <w:lang w:eastAsia="es-AR"/>
              </w:rPr>
              <w:t>494</w:t>
            </w:r>
          </w:p>
        </w:tc>
      </w:tr>
      <w:tr w:rsidR="00414A46" w:rsidRPr="003003FC" w14:paraId="16EE5525" w14:textId="77777777" w:rsidTr="00BA7A6B">
        <w:trPr>
          <w:trHeight w:val="285"/>
          <w:jc w:val="center"/>
        </w:trPr>
        <w:tc>
          <w:tcPr>
            <w:tcW w:w="5812" w:type="dxa"/>
            <w:tcBorders>
              <w:top w:val="nil"/>
              <w:left w:val="nil"/>
              <w:bottom w:val="nil"/>
              <w:right w:val="nil"/>
            </w:tcBorders>
            <w:shd w:val="clear" w:color="auto" w:fill="auto"/>
            <w:hideMark/>
          </w:tcPr>
          <w:p w14:paraId="7FF901B5" w14:textId="77777777" w:rsidR="00414A46" w:rsidRPr="003003FC" w:rsidRDefault="00414A46" w:rsidP="00414A46">
            <w:pPr>
              <w:rPr>
                <w:rFonts w:ascii="Arial" w:hAnsi="Arial" w:cs="Arial"/>
                <w:sz w:val="20"/>
                <w:lang w:eastAsia="es-AR"/>
              </w:rPr>
            </w:pPr>
          </w:p>
        </w:tc>
        <w:tc>
          <w:tcPr>
            <w:tcW w:w="1141" w:type="dxa"/>
            <w:tcBorders>
              <w:top w:val="nil"/>
              <w:left w:val="nil"/>
              <w:bottom w:val="nil"/>
              <w:right w:val="nil"/>
            </w:tcBorders>
            <w:vAlign w:val="center"/>
          </w:tcPr>
          <w:p w14:paraId="1D2386A9" w14:textId="183E2E52" w:rsidR="00414A46" w:rsidRPr="003003FC" w:rsidRDefault="00414A46" w:rsidP="00414A46">
            <w:pPr>
              <w:jc w:val="right"/>
              <w:rPr>
                <w:rFonts w:ascii="Arial" w:hAnsi="Arial" w:cs="Arial"/>
                <w:sz w:val="20"/>
                <w:lang w:eastAsia="es-AR"/>
              </w:rPr>
            </w:pPr>
            <w:r>
              <w:rPr>
                <w:rFonts w:ascii="Arial" w:hAnsi="Arial" w:cs="Arial"/>
                <w:sz w:val="20"/>
              </w:rPr>
              <w:t> </w:t>
            </w:r>
          </w:p>
        </w:tc>
        <w:tc>
          <w:tcPr>
            <w:tcW w:w="1264" w:type="dxa"/>
            <w:tcBorders>
              <w:top w:val="nil"/>
              <w:left w:val="nil"/>
              <w:bottom w:val="nil"/>
              <w:right w:val="nil"/>
            </w:tcBorders>
            <w:shd w:val="clear" w:color="auto" w:fill="auto"/>
            <w:noWrap/>
            <w:vAlign w:val="center"/>
          </w:tcPr>
          <w:p w14:paraId="0EC3831B" w14:textId="56AF4629" w:rsidR="00414A46" w:rsidRPr="003003FC" w:rsidRDefault="00414A46" w:rsidP="00414A46">
            <w:pPr>
              <w:jc w:val="right"/>
              <w:rPr>
                <w:rFonts w:ascii="Arial" w:hAnsi="Arial" w:cs="Arial"/>
                <w:sz w:val="20"/>
                <w:lang w:eastAsia="es-AR"/>
              </w:rPr>
            </w:pPr>
          </w:p>
        </w:tc>
      </w:tr>
      <w:tr w:rsidR="00414A46" w:rsidRPr="003003FC" w14:paraId="4EC61BBE" w14:textId="77777777" w:rsidTr="00BA7A6B">
        <w:trPr>
          <w:trHeight w:val="285"/>
          <w:jc w:val="center"/>
        </w:trPr>
        <w:tc>
          <w:tcPr>
            <w:tcW w:w="5812" w:type="dxa"/>
            <w:tcBorders>
              <w:top w:val="nil"/>
              <w:left w:val="nil"/>
              <w:bottom w:val="nil"/>
              <w:right w:val="nil"/>
            </w:tcBorders>
            <w:shd w:val="clear" w:color="auto" w:fill="auto"/>
            <w:hideMark/>
          </w:tcPr>
          <w:p w14:paraId="50452EE7" w14:textId="77777777" w:rsidR="00414A46" w:rsidRPr="003003FC" w:rsidRDefault="00414A46" w:rsidP="00414A46">
            <w:pPr>
              <w:rPr>
                <w:rFonts w:ascii="Arial" w:hAnsi="Arial" w:cs="Arial"/>
                <w:b/>
                <w:bCs/>
                <w:sz w:val="20"/>
                <w:lang w:eastAsia="es-AR"/>
              </w:rPr>
            </w:pPr>
            <w:r w:rsidRPr="003003FC">
              <w:rPr>
                <w:rFonts w:ascii="Arial" w:hAnsi="Arial" w:cs="Arial"/>
                <w:b/>
                <w:bCs/>
                <w:sz w:val="20"/>
                <w:lang w:eastAsia="es-AR"/>
              </w:rPr>
              <w:t>DENOMINADOR</w:t>
            </w:r>
          </w:p>
        </w:tc>
        <w:tc>
          <w:tcPr>
            <w:tcW w:w="1141" w:type="dxa"/>
            <w:tcBorders>
              <w:top w:val="nil"/>
              <w:left w:val="nil"/>
              <w:bottom w:val="nil"/>
              <w:right w:val="nil"/>
            </w:tcBorders>
            <w:vAlign w:val="center"/>
          </w:tcPr>
          <w:p w14:paraId="355AD6A7" w14:textId="7733BA56" w:rsidR="00414A46" w:rsidRPr="003003FC" w:rsidRDefault="00414A46" w:rsidP="00414A46">
            <w:pPr>
              <w:jc w:val="right"/>
              <w:rPr>
                <w:rFonts w:ascii="Arial" w:hAnsi="Arial" w:cs="Arial"/>
                <w:b/>
                <w:bCs/>
                <w:sz w:val="20"/>
                <w:lang w:eastAsia="es-AR"/>
              </w:rPr>
            </w:pPr>
          </w:p>
        </w:tc>
        <w:tc>
          <w:tcPr>
            <w:tcW w:w="1264" w:type="dxa"/>
            <w:tcBorders>
              <w:top w:val="nil"/>
              <w:left w:val="nil"/>
              <w:bottom w:val="nil"/>
              <w:right w:val="nil"/>
            </w:tcBorders>
            <w:shd w:val="clear" w:color="auto" w:fill="auto"/>
            <w:noWrap/>
            <w:vAlign w:val="center"/>
          </w:tcPr>
          <w:p w14:paraId="0925322E" w14:textId="76F1CD38" w:rsidR="00414A46" w:rsidRPr="003003FC" w:rsidRDefault="00414A46" w:rsidP="00414A46">
            <w:pPr>
              <w:jc w:val="right"/>
              <w:rPr>
                <w:rFonts w:ascii="Arial" w:hAnsi="Arial" w:cs="Arial"/>
                <w:b/>
                <w:bCs/>
                <w:sz w:val="20"/>
                <w:lang w:eastAsia="es-AR"/>
              </w:rPr>
            </w:pPr>
          </w:p>
        </w:tc>
      </w:tr>
      <w:tr w:rsidR="00414A46" w:rsidRPr="003003FC" w14:paraId="0134694F" w14:textId="77777777" w:rsidTr="00BA7A6B">
        <w:trPr>
          <w:trHeight w:val="285"/>
          <w:jc w:val="center"/>
        </w:trPr>
        <w:tc>
          <w:tcPr>
            <w:tcW w:w="5812" w:type="dxa"/>
            <w:tcBorders>
              <w:top w:val="nil"/>
              <w:left w:val="nil"/>
              <w:bottom w:val="nil"/>
              <w:right w:val="nil"/>
            </w:tcBorders>
            <w:shd w:val="clear" w:color="auto" w:fill="auto"/>
            <w:hideMark/>
          </w:tcPr>
          <w:p w14:paraId="21232C5B" w14:textId="77777777" w:rsidR="00414A46" w:rsidRPr="003003FC" w:rsidRDefault="00414A46" w:rsidP="00414A46">
            <w:pPr>
              <w:rPr>
                <w:rFonts w:ascii="Arial" w:hAnsi="Arial" w:cs="Arial"/>
                <w:sz w:val="20"/>
                <w:lang w:eastAsia="es-AR"/>
              </w:rPr>
            </w:pPr>
          </w:p>
        </w:tc>
        <w:tc>
          <w:tcPr>
            <w:tcW w:w="1141" w:type="dxa"/>
            <w:tcBorders>
              <w:top w:val="nil"/>
              <w:left w:val="nil"/>
              <w:bottom w:val="nil"/>
              <w:right w:val="nil"/>
            </w:tcBorders>
            <w:vAlign w:val="center"/>
          </w:tcPr>
          <w:p w14:paraId="35E5ADBA" w14:textId="65439771" w:rsidR="00414A46" w:rsidRPr="003003FC" w:rsidRDefault="00414A46" w:rsidP="00414A46">
            <w:pPr>
              <w:jc w:val="right"/>
              <w:rPr>
                <w:rFonts w:ascii="Arial" w:hAnsi="Arial" w:cs="Arial"/>
                <w:sz w:val="20"/>
                <w:lang w:eastAsia="es-AR"/>
              </w:rPr>
            </w:pPr>
          </w:p>
        </w:tc>
        <w:tc>
          <w:tcPr>
            <w:tcW w:w="1264" w:type="dxa"/>
            <w:tcBorders>
              <w:top w:val="nil"/>
              <w:left w:val="nil"/>
              <w:bottom w:val="nil"/>
              <w:right w:val="nil"/>
            </w:tcBorders>
            <w:shd w:val="clear" w:color="auto" w:fill="auto"/>
            <w:noWrap/>
            <w:vAlign w:val="center"/>
          </w:tcPr>
          <w:p w14:paraId="5D695ADA" w14:textId="78E9A180" w:rsidR="00414A46" w:rsidRPr="003003FC" w:rsidRDefault="00414A46" w:rsidP="00414A46">
            <w:pPr>
              <w:jc w:val="right"/>
              <w:rPr>
                <w:rFonts w:ascii="Arial" w:hAnsi="Arial" w:cs="Arial"/>
                <w:sz w:val="20"/>
                <w:lang w:eastAsia="es-AR"/>
              </w:rPr>
            </w:pPr>
          </w:p>
        </w:tc>
      </w:tr>
      <w:tr w:rsidR="00414A46" w:rsidRPr="003003FC" w14:paraId="4B0F84FB" w14:textId="77777777" w:rsidTr="00BA7A6B">
        <w:trPr>
          <w:trHeight w:val="510"/>
          <w:jc w:val="center"/>
        </w:trPr>
        <w:tc>
          <w:tcPr>
            <w:tcW w:w="5812" w:type="dxa"/>
            <w:tcBorders>
              <w:top w:val="nil"/>
              <w:left w:val="nil"/>
              <w:bottom w:val="nil"/>
              <w:right w:val="nil"/>
            </w:tcBorders>
            <w:shd w:val="clear" w:color="auto" w:fill="auto"/>
            <w:hideMark/>
          </w:tcPr>
          <w:p w14:paraId="52B8A6C8" w14:textId="058A23B4" w:rsidR="00414A46" w:rsidRPr="003003FC" w:rsidRDefault="00414A46" w:rsidP="00414A46">
            <w:pPr>
              <w:rPr>
                <w:rFonts w:ascii="Arial" w:hAnsi="Arial" w:cs="Arial"/>
                <w:sz w:val="20"/>
                <w:lang w:eastAsia="es-AR"/>
              </w:rPr>
            </w:pPr>
            <w:r w:rsidRPr="003003FC">
              <w:rPr>
                <w:rFonts w:ascii="Arial" w:hAnsi="Arial" w:cs="Arial"/>
                <w:sz w:val="20"/>
                <w:lang w:eastAsia="es-AR"/>
              </w:rPr>
              <w:t>Promedio ponderado de acciones ordinarias en circulación del período</w:t>
            </w:r>
          </w:p>
        </w:tc>
        <w:tc>
          <w:tcPr>
            <w:tcW w:w="1141" w:type="dxa"/>
            <w:tcBorders>
              <w:top w:val="nil"/>
              <w:left w:val="nil"/>
              <w:bottom w:val="nil"/>
              <w:right w:val="nil"/>
            </w:tcBorders>
            <w:vAlign w:val="center"/>
          </w:tcPr>
          <w:p w14:paraId="77AB2BFD" w14:textId="55FCF8F1" w:rsidR="00414A46" w:rsidRPr="00414A46" w:rsidRDefault="00414A46" w:rsidP="00414A46">
            <w:pPr>
              <w:jc w:val="right"/>
              <w:rPr>
                <w:rFonts w:ascii="Arial" w:hAnsi="Arial" w:cs="Arial"/>
                <w:sz w:val="20"/>
              </w:rPr>
            </w:pPr>
            <w:r w:rsidRPr="00414A46">
              <w:rPr>
                <w:rFonts w:ascii="Arial" w:hAnsi="Arial" w:cs="Arial"/>
                <w:sz w:val="20"/>
              </w:rPr>
              <w:t>989.469</w:t>
            </w:r>
          </w:p>
        </w:tc>
        <w:tc>
          <w:tcPr>
            <w:tcW w:w="1264" w:type="dxa"/>
            <w:tcBorders>
              <w:top w:val="nil"/>
              <w:left w:val="nil"/>
              <w:bottom w:val="nil"/>
              <w:right w:val="nil"/>
            </w:tcBorders>
            <w:shd w:val="clear" w:color="auto" w:fill="auto"/>
            <w:noWrap/>
            <w:vAlign w:val="center"/>
          </w:tcPr>
          <w:p w14:paraId="10E33182" w14:textId="6348B9C3" w:rsidR="00414A46" w:rsidRPr="003003FC" w:rsidRDefault="00414A46" w:rsidP="00414A46">
            <w:pPr>
              <w:jc w:val="right"/>
              <w:rPr>
                <w:rFonts w:ascii="Arial" w:hAnsi="Arial" w:cs="Arial"/>
                <w:sz w:val="20"/>
                <w:lang w:eastAsia="es-AR"/>
              </w:rPr>
            </w:pPr>
            <w:r w:rsidRPr="0049136B">
              <w:rPr>
                <w:rFonts w:ascii="Arial" w:hAnsi="Arial" w:cs="Arial"/>
                <w:sz w:val="20"/>
                <w:lang w:eastAsia="es-AR"/>
              </w:rPr>
              <w:t>808.852</w:t>
            </w:r>
          </w:p>
        </w:tc>
      </w:tr>
      <w:tr w:rsidR="00414A46" w:rsidRPr="003003FC" w14:paraId="5E341499" w14:textId="77777777" w:rsidTr="00BA7A6B">
        <w:trPr>
          <w:trHeight w:val="510"/>
          <w:jc w:val="center"/>
        </w:trPr>
        <w:tc>
          <w:tcPr>
            <w:tcW w:w="5812" w:type="dxa"/>
            <w:tcBorders>
              <w:top w:val="nil"/>
              <w:left w:val="nil"/>
              <w:bottom w:val="nil"/>
              <w:right w:val="nil"/>
            </w:tcBorders>
            <w:shd w:val="clear" w:color="auto" w:fill="auto"/>
            <w:hideMark/>
          </w:tcPr>
          <w:p w14:paraId="2D6D7D75" w14:textId="77777777" w:rsidR="00414A46" w:rsidRPr="003003FC" w:rsidRDefault="00414A46" w:rsidP="00414A46">
            <w:pPr>
              <w:rPr>
                <w:rFonts w:ascii="Arial" w:hAnsi="Arial" w:cs="Arial"/>
                <w:sz w:val="20"/>
                <w:lang w:eastAsia="es-AR"/>
              </w:rPr>
            </w:pPr>
            <w:r w:rsidRPr="003003FC">
              <w:rPr>
                <w:rFonts w:ascii="Arial" w:hAnsi="Arial" w:cs="Arial"/>
                <w:sz w:val="20"/>
                <w:lang w:eastAsia="es-AR"/>
              </w:rPr>
              <w:t>MAS: Promedio ponderado del número de acciones ordinarias adicionales con efectos dilusivos.</w:t>
            </w:r>
          </w:p>
        </w:tc>
        <w:tc>
          <w:tcPr>
            <w:tcW w:w="1141" w:type="dxa"/>
            <w:tcBorders>
              <w:top w:val="nil"/>
              <w:left w:val="nil"/>
              <w:bottom w:val="nil"/>
              <w:right w:val="nil"/>
            </w:tcBorders>
            <w:vAlign w:val="center"/>
          </w:tcPr>
          <w:p w14:paraId="72FA4017" w14:textId="1B623473" w:rsidR="00414A46" w:rsidRPr="00414A46" w:rsidRDefault="00414A46" w:rsidP="00414A46">
            <w:pPr>
              <w:jc w:val="right"/>
              <w:rPr>
                <w:rFonts w:ascii="Arial" w:hAnsi="Arial" w:cs="Arial"/>
                <w:sz w:val="20"/>
              </w:rPr>
            </w:pPr>
            <w:r>
              <w:rPr>
                <w:rFonts w:ascii="Arial" w:hAnsi="Arial" w:cs="Arial"/>
                <w:sz w:val="20"/>
              </w:rPr>
              <w:t>-</w:t>
            </w:r>
          </w:p>
        </w:tc>
        <w:tc>
          <w:tcPr>
            <w:tcW w:w="1264" w:type="dxa"/>
            <w:tcBorders>
              <w:top w:val="nil"/>
              <w:left w:val="nil"/>
              <w:bottom w:val="nil"/>
              <w:right w:val="nil"/>
            </w:tcBorders>
            <w:shd w:val="clear" w:color="auto" w:fill="auto"/>
            <w:noWrap/>
            <w:vAlign w:val="center"/>
          </w:tcPr>
          <w:p w14:paraId="5C72B709" w14:textId="780B6379" w:rsidR="00414A46" w:rsidRPr="003003FC" w:rsidRDefault="00414A46" w:rsidP="00414A46">
            <w:pPr>
              <w:jc w:val="right"/>
              <w:rPr>
                <w:rFonts w:ascii="Arial" w:hAnsi="Arial" w:cs="Arial"/>
                <w:sz w:val="20"/>
                <w:lang w:eastAsia="es-AR"/>
              </w:rPr>
            </w:pPr>
            <w:r w:rsidRPr="0049136B">
              <w:rPr>
                <w:rFonts w:ascii="Arial" w:hAnsi="Arial" w:cs="Arial"/>
                <w:sz w:val="20"/>
                <w:lang w:eastAsia="es-AR"/>
              </w:rPr>
              <w:t>-</w:t>
            </w:r>
          </w:p>
        </w:tc>
      </w:tr>
      <w:tr w:rsidR="00414A46" w:rsidRPr="003003FC" w14:paraId="7200F9FB" w14:textId="77777777" w:rsidTr="00BA7A6B">
        <w:trPr>
          <w:trHeight w:val="510"/>
          <w:jc w:val="center"/>
        </w:trPr>
        <w:tc>
          <w:tcPr>
            <w:tcW w:w="5812" w:type="dxa"/>
            <w:tcBorders>
              <w:top w:val="nil"/>
              <w:left w:val="nil"/>
              <w:bottom w:val="nil"/>
              <w:right w:val="nil"/>
            </w:tcBorders>
            <w:shd w:val="clear" w:color="auto" w:fill="auto"/>
            <w:hideMark/>
          </w:tcPr>
          <w:p w14:paraId="0F070D5F" w14:textId="7D4B2337" w:rsidR="00414A46" w:rsidRPr="003003FC" w:rsidRDefault="00414A46" w:rsidP="00414A46">
            <w:pPr>
              <w:rPr>
                <w:rFonts w:ascii="Arial" w:hAnsi="Arial" w:cs="Arial"/>
                <w:sz w:val="20"/>
                <w:lang w:eastAsia="es-AR"/>
              </w:rPr>
            </w:pPr>
            <w:r w:rsidRPr="003003FC">
              <w:rPr>
                <w:rFonts w:ascii="Arial" w:hAnsi="Arial" w:cs="Arial"/>
                <w:sz w:val="20"/>
                <w:lang w:eastAsia="es-AR"/>
              </w:rPr>
              <w:t>Promedio ponderado de acciones ordinarias en circulación del período ajustado por el efecto de la dilución</w:t>
            </w:r>
          </w:p>
        </w:tc>
        <w:tc>
          <w:tcPr>
            <w:tcW w:w="1141" w:type="dxa"/>
            <w:tcBorders>
              <w:top w:val="nil"/>
              <w:left w:val="nil"/>
              <w:bottom w:val="nil"/>
              <w:right w:val="nil"/>
            </w:tcBorders>
            <w:vAlign w:val="center"/>
          </w:tcPr>
          <w:p w14:paraId="298D20A5" w14:textId="0E8E4948" w:rsidR="00414A46" w:rsidRPr="00414A46" w:rsidRDefault="00414A46" w:rsidP="00414A46">
            <w:pPr>
              <w:jc w:val="right"/>
              <w:rPr>
                <w:rFonts w:ascii="Arial" w:hAnsi="Arial" w:cs="Arial"/>
                <w:sz w:val="20"/>
              </w:rPr>
            </w:pPr>
            <w:r w:rsidRPr="00414A46">
              <w:rPr>
                <w:rFonts w:ascii="Arial" w:hAnsi="Arial" w:cs="Arial"/>
                <w:sz w:val="20"/>
              </w:rPr>
              <w:t>989.469</w:t>
            </w:r>
          </w:p>
        </w:tc>
        <w:tc>
          <w:tcPr>
            <w:tcW w:w="1264" w:type="dxa"/>
            <w:tcBorders>
              <w:top w:val="nil"/>
              <w:left w:val="nil"/>
              <w:bottom w:val="nil"/>
              <w:right w:val="nil"/>
            </w:tcBorders>
            <w:shd w:val="clear" w:color="auto" w:fill="auto"/>
            <w:noWrap/>
            <w:vAlign w:val="center"/>
          </w:tcPr>
          <w:p w14:paraId="1C98BC8C" w14:textId="67F41FE7" w:rsidR="00414A46" w:rsidRPr="003003FC" w:rsidRDefault="00414A46" w:rsidP="00414A46">
            <w:pPr>
              <w:jc w:val="right"/>
              <w:rPr>
                <w:rFonts w:ascii="Arial" w:hAnsi="Arial" w:cs="Arial"/>
                <w:sz w:val="20"/>
                <w:lang w:eastAsia="es-AR"/>
              </w:rPr>
            </w:pPr>
            <w:r w:rsidRPr="0049136B">
              <w:rPr>
                <w:rFonts w:ascii="Arial" w:hAnsi="Arial" w:cs="Arial"/>
                <w:sz w:val="20"/>
                <w:lang w:eastAsia="es-AR"/>
              </w:rPr>
              <w:t>808.852</w:t>
            </w:r>
          </w:p>
        </w:tc>
      </w:tr>
      <w:tr w:rsidR="00414A46" w:rsidRPr="003003FC" w14:paraId="51E86B28" w14:textId="77777777" w:rsidTr="00BA7A6B">
        <w:trPr>
          <w:trHeight w:val="285"/>
          <w:jc w:val="center"/>
        </w:trPr>
        <w:tc>
          <w:tcPr>
            <w:tcW w:w="5812" w:type="dxa"/>
            <w:tcBorders>
              <w:top w:val="nil"/>
              <w:left w:val="nil"/>
              <w:bottom w:val="nil"/>
              <w:right w:val="nil"/>
            </w:tcBorders>
            <w:shd w:val="clear" w:color="auto" w:fill="auto"/>
            <w:hideMark/>
          </w:tcPr>
          <w:p w14:paraId="2A82F577" w14:textId="77777777" w:rsidR="00414A46" w:rsidRPr="003003FC" w:rsidRDefault="00414A46" w:rsidP="00414A46">
            <w:pPr>
              <w:rPr>
                <w:rFonts w:ascii="Arial" w:hAnsi="Arial" w:cs="Arial"/>
                <w:sz w:val="20"/>
                <w:lang w:eastAsia="es-AR"/>
              </w:rPr>
            </w:pPr>
          </w:p>
        </w:tc>
        <w:tc>
          <w:tcPr>
            <w:tcW w:w="1141" w:type="dxa"/>
            <w:tcBorders>
              <w:top w:val="nil"/>
              <w:left w:val="nil"/>
              <w:bottom w:val="nil"/>
              <w:right w:val="nil"/>
            </w:tcBorders>
            <w:vAlign w:val="center"/>
          </w:tcPr>
          <w:p w14:paraId="3A0EC87A" w14:textId="768E0D9E" w:rsidR="00414A46" w:rsidRPr="00414A46" w:rsidRDefault="00414A46" w:rsidP="00414A46">
            <w:pPr>
              <w:jc w:val="right"/>
              <w:rPr>
                <w:rFonts w:ascii="Arial" w:hAnsi="Arial" w:cs="Arial"/>
                <w:sz w:val="20"/>
                <w:lang w:eastAsia="es-AR"/>
              </w:rPr>
            </w:pPr>
          </w:p>
        </w:tc>
        <w:tc>
          <w:tcPr>
            <w:tcW w:w="1264" w:type="dxa"/>
            <w:tcBorders>
              <w:top w:val="nil"/>
              <w:left w:val="nil"/>
              <w:bottom w:val="nil"/>
              <w:right w:val="nil"/>
            </w:tcBorders>
            <w:shd w:val="clear" w:color="auto" w:fill="auto"/>
            <w:noWrap/>
            <w:vAlign w:val="center"/>
          </w:tcPr>
          <w:p w14:paraId="7D0FA3A1" w14:textId="262A265F" w:rsidR="00414A46" w:rsidRPr="003003FC" w:rsidRDefault="00414A46" w:rsidP="00414A46">
            <w:pPr>
              <w:jc w:val="right"/>
              <w:rPr>
                <w:rFonts w:ascii="Arial" w:hAnsi="Arial" w:cs="Arial"/>
                <w:sz w:val="20"/>
                <w:lang w:eastAsia="es-AR"/>
              </w:rPr>
            </w:pPr>
          </w:p>
        </w:tc>
      </w:tr>
      <w:tr w:rsidR="00414A46" w:rsidRPr="003003FC" w14:paraId="234F405E" w14:textId="77777777" w:rsidTr="00BA7A6B">
        <w:trPr>
          <w:trHeight w:val="285"/>
          <w:jc w:val="center"/>
        </w:trPr>
        <w:tc>
          <w:tcPr>
            <w:tcW w:w="5812" w:type="dxa"/>
            <w:tcBorders>
              <w:top w:val="nil"/>
              <w:left w:val="nil"/>
              <w:bottom w:val="nil"/>
              <w:right w:val="nil"/>
            </w:tcBorders>
            <w:shd w:val="clear" w:color="auto" w:fill="auto"/>
            <w:hideMark/>
          </w:tcPr>
          <w:p w14:paraId="5C63BA4B" w14:textId="77777777" w:rsidR="00414A46" w:rsidRPr="003003FC" w:rsidRDefault="00414A46" w:rsidP="00414A46">
            <w:pPr>
              <w:rPr>
                <w:rFonts w:ascii="Arial" w:hAnsi="Arial" w:cs="Arial"/>
                <w:b/>
                <w:bCs/>
                <w:sz w:val="20"/>
                <w:lang w:eastAsia="es-AR"/>
              </w:rPr>
            </w:pPr>
            <w:r w:rsidRPr="003003FC">
              <w:rPr>
                <w:rFonts w:ascii="Arial" w:hAnsi="Arial" w:cs="Arial"/>
                <w:b/>
                <w:bCs/>
                <w:sz w:val="20"/>
                <w:lang w:eastAsia="es-AR"/>
              </w:rPr>
              <w:t>Ganancia por acción Básica</w:t>
            </w:r>
          </w:p>
        </w:tc>
        <w:tc>
          <w:tcPr>
            <w:tcW w:w="1141" w:type="dxa"/>
            <w:tcBorders>
              <w:top w:val="nil"/>
              <w:left w:val="nil"/>
              <w:bottom w:val="nil"/>
              <w:right w:val="nil"/>
            </w:tcBorders>
            <w:vAlign w:val="center"/>
          </w:tcPr>
          <w:p w14:paraId="4CF06A36" w14:textId="039DFD64" w:rsidR="00414A46" w:rsidRPr="00414A46" w:rsidRDefault="00414A46" w:rsidP="00414A46">
            <w:pPr>
              <w:jc w:val="right"/>
              <w:rPr>
                <w:rFonts w:ascii="Arial" w:hAnsi="Arial" w:cs="Arial"/>
                <w:sz w:val="20"/>
              </w:rPr>
            </w:pPr>
            <w:r w:rsidRPr="00414A46">
              <w:rPr>
                <w:rFonts w:ascii="Arial" w:hAnsi="Arial" w:cs="Arial"/>
                <w:sz w:val="20"/>
              </w:rPr>
              <w:t>0,38</w:t>
            </w:r>
          </w:p>
        </w:tc>
        <w:tc>
          <w:tcPr>
            <w:tcW w:w="1264" w:type="dxa"/>
            <w:tcBorders>
              <w:top w:val="nil"/>
              <w:left w:val="nil"/>
              <w:bottom w:val="nil"/>
              <w:right w:val="nil"/>
            </w:tcBorders>
            <w:shd w:val="clear" w:color="auto" w:fill="auto"/>
            <w:noWrap/>
            <w:vAlign w:val="center"/>
          </w:tcPr>
          <w:p w14:paraId="78EEA423" w14:textId="6A3A8692" w:rsidR="00414A46" w:rsidRPr="003003FC" w:rsidRDefault="006C21CE" w:rsidP="00414A46">
            <w:pPr>
              <w:jc w:val="right"/>
              <w:rPr>
                <w:rFonts w:ascii="Arial" w:hAnsi="Arial" w:cs="Arial"/>
                <w:sz w:val="20"/>
                <w:lang w:eastAsia="es-AR"/>
              </w:rPr>
            </w:pPr>
            <w:r>
              <w:rPr>
                <w:rFonts w:ascii="Arial" w:hAnsi="Arial" w:cs="Arial"/>
                <w:sz w:val="20"/>
                <w:lang w:eastAsia="es-AR"/>
              </w:rPr>
              <w:t>-1</w:t>
            </w:r>
            <w:r w:rsidR="00414A46" w:rsidRPr="0049136B">
              <w:rPr>
                <w:rFonts w:ascii="Arial" w:hAnsi="Arial" w:cs="Arial"/>
                <w:sz w:val="20"/>
                <w:lang w:eastAsia="es-AR"/>
              </w:rPr>
              <w:t>,</w:t>
            </w:r>
            <w:r>
              <w:rPr>
                <w:rFonts w:ascii="Arial" w:hAnsi="Arial" w:cs="Arial"/>
                <w:sz w:val="20"/>
                <w:lang w:eastAsia="es-AR"/>
              </w:rPr>
              <w:t>64</w:t>
            </w:r>
          </w:p>
        </w:tc>
      </w:tr>
      <w:tr w:rsidR="00414A46" w:rsidRPr="003003FC" w14:paraId="0CE43168" w14:textId="77777777" w:rsidTr="00BA7A6B">
        <w:trPr>
          <w:trHeight w:val="285"/>
          <w:jc w:val="center"/>
        </w:trPr>
        <w:tc>
          <w:tcPr>
            <w:tcW w:w="5812" w:type="dxa"/>
            <w:tcBorders>
              <w:top w:val="nil"/>
              <w:left w:val="nil"/>
              <w:bottom w:val="nil"/>
              <w:right w:val="nil"/>
            </w:tcBorders>
            <w:shd w:val="clear" w:color="auto" w:fill="auto"/>
            <w:hideMark/>
          </w:tcPr>
          <w:p w14:paraId="32650BB9" w14:textId="77777777" w:rsidR="00414A46" w:rsidRPr="003003FC" w:rsidRDefault="00414A46" w:rsidP="00414A46">
            <w:pPr>
              <w:rPr>
                <w:rFonts w:ascii="Arial" w:hAnsi="Arial" w:cs="Arial"/>
                <w:b/>
                <w:bCs/>
                <w:sz w:val="20"/>
                <w:lang w:eastAsia="es-AR"/>
              </w:rPr>
            </w:pPr>
            <w:r w:rsidRPr="003003FC">
              <w:rPr>
                <w:rFonts w:ascii="Arial" w:hAnsi="Arial" w:cs="Arial"/>
                <w:b/>
                <w:bCs/>
                <w:sz w:val="20"/>
                <w:lang w:eastAsia="es-AR"/>
              </w:rPr>
              <w:t>Ganancia por acción Diluida</w:t>
            </w:r>
          </w:p>
        </w:tc>
        <w:tc>
          <w:tcPr>
            <w:tcW w:w="1141" w:type="dxa"/>
            <w:tcBorders>
              <w:top w:val="nil"/>
              <w:left w:val="nil"/>
              <w:bottom w:val="nil"/>
              <w:right w:val="nil"/>
            </w:tcBorders>
            <w:vAlign w:val="center"/>
          </w:tcPr>
          <w:p w14:paraId="0AE3FCE9" w14:textId="5F0E9B93" w:rsidR="00414A46" w:rsidRPr="00414A46" w:rsidRDefault="00414A46" w:rsidP="00414A46">
            <w:pPr>
              <w:jc w:val="right"/>
              <w:rPr>
                <w:rFonts w:ascii="Arial" w:hAnsi="Arial" w:cs="Arial"/>
                <w:sz w:val="20"/>
              </w:rPr>
            </w:pPr>
            <w:r w:rsidRPr="00414A46">
              <w:rPr>
                <w:rFonts w:ascii="Arial" w:hAnsi="Arial" w:cs="Arial"/>
                <w:sz w:val="20"/>
              </w:rPr>
              <w:t>0,38</w:t>
            </w:r>
          </w:p>
        </w:tc>
        <w:tc>
          <w:tcPr>
            <w:tcW w:w="1264" w:type="dxa"/>
            <w:tcBorders>
              <w:top w:val="nil"/>
              <w:left w:val="nil"/>
              <w:bottom w:val="nil"/>
              <w:right w:val="nil"/>
            </w:tcBorders>
            <w:shd w:val="clear" w:color="auto" w:fill="auto"/>
            <w:noWrap/>
            <w:vAlign w:val="center"/>
          </w:tcPr>
          <w:p w14:paraId="697F8D2C" w14:textId="3B314D63" w:rsidR="00414A46" w:rsidRPr="003003FC" w:rsidRDefault="006C21CE" w:rsidP="00414A46">
            <w:pPr>
              <w:jc w:val="right"/>
              <w:rPr>
                <w:rFonts w:ascii="Arial" w:hAnsi="Arial" w:cs="Arial"/>
                <w:sz w:val="20"/>
                <w:lang w:eastAsia="es-AR"/>
              </w:rPr>
            </w:pPr>
            <w:r>
              <w:rPr>
                <w:rFonts w:ascii="Arial" w:hAnsi="Arial" w:cs="Arial"/>
                <w:sz w:val="20"/>
                <w:lang w:eastAsia="es-AR"/>
              </w:rPr>
              <w:t>-1</w:t>
            </w:r>
            <w:r w:rsidR="00414A46" w:rsidRPr="0049136B">
              <w:rPr>
                <w:rFonts w:ascii="Arial" w:hAnsi="Arial" w:cs="Arial"/>
                <w:sz w:val="20"/>
                <w:lang w:eastAsia="es-AR"/>
              </w:rPr>
              <w:t>,</w:t>
            </w:r>
            <w:r>
              <w:rPr>
                <w:rFonts w:ascii="Arial" w:hAnsi="Arial" w:cs="Arial"/>
                <w:sz w:val="20"/>
                <w:lang w:eastAsia="es-AR"/>
              </w:rPr>
              <w:t>64</w:t>
            </w:r>
          </w:p>
        </w:tc>
      </w:tr>
    </w:tbl>
    <w:p w14:paraId="20265BFE" w14:textId="17C7CD3D" w:rsidR="00CB559B" w:rsidRPr="00701F32" w:rsidRDefault="00CB559B" w:rsidP="005470F1">
      <w:pPr>
        <w:rPr>
          <w:sz w:val="20"/>
          <w:lang w:eastAsia="es-AR"/>
        </w:rPr>
      </w:pPr>
    </w:p>
    <w:p w14:paraId="7AA3D85E" w14:textId="77777777" w:rsidR="00CB559B" w:rsidRPr="00701F32" w:rsidRDefault="00CB559B" w:rsidP="00DD6441">
      <w:pPr>
        <w:jc w:val="center"/>
        <w:rPr>
          <w:sz w:val="20"/>
          <w:lang w:eastAsia="es-AR"/>
        </w:rPr>
      </w:pPr>
    </w:p>
    <w:p w14:paraId="7AB077B8" w14:textId="77777777" w:rsidR="006527BF" w:rsidRPr="00701F32" w:rsidRDefault="006527BF" w:rsidP="00DD6441">
      <w:pPr>
        <w:jc w:val="center"/>
        <w:rPr>
          <w:rFonts w:ascii="Arial" w:hAnsi="Arial" w:cs="Arial"/>
          <w:sz w:val="20"/>
        </w:rPr>
      </w:pPr>
    </w:p>
    <w:p w14:paraId="5EEDCB7F" w14:textId="77777777" w:rsidR="009F3C08" w:rsidRPr="00701F32" w:rsidRDefault="009F3C08" w:rsidP="00DD6441">
      <w:pPr>
        <w:jc w:val="center"/>
        <w:rPr>
          <w:sz w:val="20"/>
          <w:lang w:eastAsia="es-AR"/>
        </w:rPr>
      </w:pPr>
    </w:p>
    <w:p w14:paraId="63A4B880" w14:textId="77777777" w:rsidR="000342AE" w:rsidRPr="00701F32" w:rsidRDefault="000342AE" w:rsidP="00DD6441">
      <w:pPr>
        <w:jc w:val="center"/>
        <w:rPr>
          <w:sz w:val="20"/>
          <w:lang w:eastAsia="es-AR"/>
        </w:rPr>
      </w:pPr>
    </w:p>
    <w:p w14:paraId="4146FFE2" w14:textId="77777777" w:rsidR="000342AE" w:rsidRPr="00701F32" w:rsidRDefault="000342AE" w:rsidP="000342AE">
      <w:pPr>
        <w:rPr>
          <w:sz w:val="20"/>
          <w:lang w:eastAsia="es-AR"/>
        </w:rPr>
      </w:pPr>
    </w:p>
    <w:p w14:paraId="5BD364D4" w14:textId="77777777" w:rsidR="00632653" w:rsidRPr="00701F32" w:rsidRDefault="00632653" w:rsidP="00DD6441">
      <w:pPr>
        <w:jc w:val="center"/>
        <w:rPr>
          <w:rFonts w:ascii="Arial" w:hAnsi="Arial" w:cs="Arial"/>
          <w:szCs w:val="24"/>
        </w:rPr>
        <w:sectPr w:rsidR="00632653" w:rsidRPr="00701F32" w:rsidSect="00050353">
          <w:headerReference w:type="default" r:id="rId12"/>
          <w:pgSz w:w="11907" w:h="16839" w:code="9"/>
          <w:pgMar w:top="1418" w:right="1701" w:bottom="1418" w:left="1701" w:header="567" w:footer="0" w:gutter="0"/>
          <w:paperSrc w:first="15" w:other="15"/>
          <w:pgNumType w:chapStyle="1"/>
          <w:cols w:space="720"/>
          <w:docGrid w:linePitch="326"/>
        </w:sectPr>
      </w:pPr>
    </w:p>
    <w:tbl>
      <w:tblPr>
        <w:tblW w:w="7508" w:type="dxa"/>
        <w:tblInd w:w="75" w:type="dxa"/>
        <w:tblLayout w:type="fixed"/>
        <w:tblCellMar>
          <w:left w:w="70" w:type="dxa"/>
          <w:right w:w="70" w:type="dxa"/>
        </w:tblCellMar>
        <w:tblLook w:val="04A0" w:firstRow="1" w:lastRow="0" w:firstColumn="1" w:lastColumn="0" w:noHBand="0" w:noVBand="1"/>
      </w:tblPr>
      <w:tblGrid>
        <w:gridCol w:w="5524"/>
        <w:gridCol w:w="992"/>
        <w:gridCol w:w="992"/>
      </w:tblGrid>
      <w:tr w:rsidR="00FC0B7C" w:rsidRPr="001D595F" w14:paraId="2F22E7A8" w14:textId="77777777" w:rsidTr="00FC0B7C">
        <w:trPr>
          <w:trHeight w:val="618"/>
        </w:trPr>
        <w:tc>
          <w:tcPr>
            <w:tcW w:w="5524" w:type="dxa"/>
            <w:tcBorders>
              <w:top w:val="single" w:sz="4" w:space="0" w:color="363639"/>
              <w:left w:val="single" w:sz="4" w:space="0" w:color="363639"/>
              <w:bottom w:val="single" w:sz="4" w:space="0" w:color="363639"/>
              <w:right w:val="nil"/>
            </w:tcBorders>
            <w:shd w:val="clear" w:color="auto" w:fill="BFBFBF" w:themeFill="background1" w:themeFillShade="BF"/>
            <w:noWrap/>
            <w:vAlign w:val="center"/>
            <w:hideMark/>
          </w:tcPr>
          <w:p w14:paraId="264D0E04" w14:textId="77777777" w:rsidR="00FC0B7C" w:rsidRPr="001D595F" w:rsidRDefault="00FC0B7C" w:rsidP="00B83E92">
            <w:pPr>
              <w:jc w:val="center"/>
              <w:rPr>
                <w:rFonts w:ascii="Arial" w:hAnsi="Arial" w:cs="Arial"/>
                <w:b/>
                <w:bCs/>
                <w:sz w:val="16"/>
                <w:szCs w:val="16"/>
                <w:lang w:eastAsia="es-AR"/>
              </w:rPr>
            </w:pPr>
            <w:bookmarkStart w:id="1" w:name="_Hlk14868037"/>
            <w:r w:rsidRPr="001D595F">
              <w:rPr>
                <w:rFonts w:ascii="Arial" w:hAnsi="Arial" w:cs="Arial"/>
                <w:b/>
                <w:bCs/>
                <w:sz w:val="16"/>
                <w:szCs w:val="16"/>
                <w:lang w:eastAsia="es-AR"/>
              </w:rPr>
              <w:lastRenderedPageBreak/>
              <w:t>Conceptos</w:t>
            </w:r>
          </w:p>
        </w:tc>
        <w:tc>
          <w:tcPr>
            <w:tcW w:w="992"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630F743F" w14:textId="65903A0A" w:rsidR="00FC0B7C" w:rsidRDefault="00FC0B7C" w:rsidP="00B83E92">
            <w:pPr>
              <w:jc w:val="center"/>
              <w:rPr>
                <w:rFonts w:ascii="Arial" w:hAnsi="Arial" w:cs="Arial"/>
                <w:b/>
                <w:bCs/>
                <w:sz w:val="16"/>
                <w:szCs w:val="16"/>
                <w:lang w:eastAsia="es-AR"/>
              </w:rPr>
            </w:pPr>
            <w:r>
              <w:rPr>
                <w:rFonts w:ascii="Arial" w:hAnsi="Arial" w:cs="Arial"/>
                <w:b/>
                <w:bCs/>
                <w:sz w:val="16"/>
                <w:szCs w:val="16"/>
                <w:lang w:eastAsia="es-AR"/>
              </w:rPr>
              <w:t>Al</w:t>
            </w:r>
          </w:p>
          <w:p w14:paraId="04641517" w14:textId="447DC2EA" w:rsidR="00FC0B7C" w:rsidRPr="001D595F" w:rsidRDefault="00FC0B7C" w:rsidP="00B83E92">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0</w:t>
            </w:r>
            <w:r w:rsidRPr="00826C1B">
              <w:rPr>
                <w:rFonts w:ascii="Arial" w:hAnsi="Arial" w:cs="Arial"/>
                <w:b/>
                <w:bCs/>
                <w:sz w:val="16"/>
                <w:szCs w:val="16"/>
                <w:lang w:eastAsia="es-AR"/>
              </w:rPr>
              <w:t>/</w:t>
            </w:r>
            <w:r>
              <w:rPr>
                <w:rFonts w:ascii="Arial" w:hAnsi="Arial" w:cs="Arial"/>
                <w:b/>
                <w:bCs/>
                <w:sz w:val="16"/>
                <w:szCs w:val="16"/>
                <w:lang w:eastAsia="es-AR"/>
              </w:rPr>
              <w:t>03</w:t>
            </w:r>
            <w:r w:rsidRPr="00826C1B">
              <w:rPr>
                <w:rFonts w:ascii="Arial" w:hAnsi="Arial" w:cs="Arial"/>
                <w:b/>
                <w:bCs/>
                <w:sz w:val="16"/>
                <w:szCs w:val="16"/>
                <w:lang w:eastAsia="es-AR"/>
              </w:rPr>
              <w:t>/20</w:t>
            </w:r>
            <w:r>
              <w:rPr>
                <w:rFonts w:ascii="Arial" w:hAnsi="Arial" w:cs="Arial"/>
                <w:b/>
                <w:bCs/>
                <w:sz w:val="16"/>
                <w:szCs w:val="16"/>
                <w:lang w:eastAsia="es-AR"/>
              </w:rPr>
              <w:t>20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BDECA4" w14:textId="14B10F0D" w:rsidR="00FC0B7C" w:rsidRDefault="00FC0B7C" w:rsidP="00B83E92">
            <w:pPr>
              <w:jc w:val="center"/>
              <w:rPr>
                <w:rFonts w:ascii="Arial" w:hAnsi="Arial" w:cs="Arial"/>
                <w:b/>
                <w:bCs/>
                <w:sz w:val="16"/>
                <w:szCs w:val="16"/>
                <w:lang w:eastAsia="es-AR"/>
              </w:rPr>
            </w:pPr>
            <w:r>
              <w:rPr>
                <w:rFonts w:ascii="Arial" w:hAnsi="Arial" w:cs="Arial"/>
                <w:b/>
                <w:bCs/>
                <w:sz w:val="16"/>
                <w:szCs w:val="16"/>
                <w:lang w:eastAsia="es-AR"/>
              </w:rPr>
              <w:t>Al</w:t>
            </w:r>
          </w:p>
          <w:p w14:paraId="551F5C40" w14:textId="23BFA886" w:rsidR="00FC0B7C" w:rsidRPr="001D595F" w:rsidRDefault="00FC0B7C" w:rsidP="00B83E92">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0</w:t>
            </w:r>
            <w:r w:rsidRPr="00826C1B">
              <w:rPr>
                <w:rFonts w:ascii="Arial" w:hAnsi="Arial" w:cs="Arial"/>
                <w:b/>
                <w:bCs/>
                <w:sz w:val="16"/>
                <w:szCs w:val="16"/>
                <w:lang w:eastAsia="es-AR"/>
              </w:rPr>
              <w:t>/</w:t>
            </w:r>
            <w:r>
              <w:rPr>
                <w:rFonts w:ascii="Arial" w:hAnsi="Arial" w:cs="Arial"/>
                <w:b/>
                <w:bCs/>
                <w:sz w:val="16"/>
                <w:szCs w:val="16"/>
                <w:lang w:eastAsia="es-AR"/>
              </w:rPr>
              <w:t>03</w:t>
            </w:r>
            <w:r w:rsidRPr="00826C1B">
              <w:rPr>
                <w:rFonts w:ascii="Arial" w:hAnsi="Arial" w:cs="Arial"/>
                <w:b/>
                <w:bCs/>
                <w:sz w:val="16"/>
                <w:szCs w:val="16"/>
                <w:lang w:eastAsia="es-AR"/>
              </w:rPr>
              <w:t>/201</w:t>
            </w:r>
            <w:r>
              <w:rPr>
                <w:rFonts w:ascii="Arial" w:hAnsi="Arial" w:cs="Arial"/>
                <w:b/>
                <w:bCs/>
                <w:sz w:val="16"/>
                <w:szCs w:val="16"/>
                <w:lang w:eastAsia="es-AR"/>
              </w:rPr>
              <w:t>9</w:t>
            </w:r>
          </w:p>
        </w:tc>
      </w:tr>
      <w:tr w:rsidR="00FC0B7C" w:rsidRPr="001D595F" w14:paraId="31C409BF" w14:textId="77777777" w:rsidTr="00FC0B7C">
        <w:trPr>
          <w:trHeight w:val="235"/>
        </w:trPr>
        <w:tc>
          <w:tcPr>
            <w:tcW w:w="5524" w:type="dxa"/>
            <w:tcBorders>
              <w:top w:val="nil"/>
              <w:left w:val="nil"/>
              <w:bottom w:val="nil"/>
              <w:right w:val="nil"/>
            </w:tcBorders>
            <w:shd w:val="clear" w:color="auto" w:fill="auto"/>
            <w:hideMark/>
          </w:tcPr>
          <w:p w14:paraId="0EACC963" w14:textId="7694070D" w:rsidR="00FC0B7C" w:rsidRPr="001D595F" w:rsidRDefault="00FC0B7C" w:rsidP="00911787">
            <w:pPr>
              <w:rPr>
                <w:rFonts w:ascii="Arial" w:hAnsi="Arial" w:cs="Arial"/>
                <w:b/>
                <w:bCs/>
                <w:sz w:val="16"/>
                <w:szCs w:val="16"/>
                <w:lang w:eastAsia="es-AR"/>
              </w:rPr>
            </w:pPr>
            <w:r w:rsidRPr="001D595F">
              <w:rPr>
                <w:rFonts w:ascii="Arial" w:hAnsi="Arial" w:cs="Arial"/>
                <w:b/>
                <w:bCs/>
                <w:sz w:val="16"/>
                <w:szCs w:val="16"/>
                <w:lang w:eastAsia="es-AR"/>
              </w:rPr>
              <w:t xml:space="preserve">Resultado neto del </w:t>
            </w:r>
            <w:r>
              <w:rPr>
                <w:rFonts w:ascii="Arial" w:hAnsi="Arial" w:cs="Arial"/>
                <w:b/>
                <w:bCs/>
                <w:sz w:val="16"/>
                <w:szCs w:val="16"/>
                <w:lang w:eastAsia="es-AR"/>
              </w:rPr>
              <w:t>período</w:t>
            </w:r>
          </w:p>
        </w:tc>
        <w:tc>
          <w:tcPr>
            <w:tcW w:w="992" w:type="dxa"/>
            <w:tcBorders>
              <w:top w:val="single" w:sz="4" w:space="0" w:color="auto"/>
              <w:left w:val="nil"/>
              <w:bottom w:val="nil"/>
              <w:right w:val="nil"/>
            </w:tcBorders>
            <w:shd w:val="clear" w:color="auto" w:fill="auto"/>
            <w:noWrap/>
          </w:tcPr>
          <w:p w14:paraId="42231669" w14:textId="203B615A"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Pr>
                <w:rFonts w:ascii="Arial" w:hAnsi="Arial" w:cs="Arial"/>
                <w:sz w:val="16"/>
                <w:szCs w:val="16"/>
              </w:rPr>
              <w:t>365</w:t>
            </w:r>
            <w:r w:rsidRPr="00911787">
              <w:rPr>
                <w:rFonts w:ascii="Arial" w:hAnsi="Arial" w:cs="Arial"/>
                <w:sz w:val="16"/>
                <w:szCs w:val="16"/>
              </w:rPr>
              <w:t>.</w:t>
            </w:r>
            <w:r>
              <w:rPr>
                <w:rFonts w:ascii="Arial" w:hAnsi="Arial" w:cs="Arial"/>
                <w:sz w:val="16"/>
                <w:szCs w:val="16"/>
              </w:rPr>
              <w:t>659</w:t>
            </w:r>
            <w:r w:rsidRPr="00911787">
              <w:rPr>
                <w:rFonts w:ascii="Arial" w:hAnsi="Arial" w:cs="Arial"/>
                <w:sz w:val="16"/>
                <w:szCs w:val="16"/>
              </w:rPr>
              <w:t xml:space="preserve"> </w:t>
            </w:r>
          </w:p>
        </w:tc>
        <w:tc>
          <w:tcPr>
            <w:tcW w:w="992" w:type="dxa"/>
            <w:tcBorders>
              <w:top w:val="single" w:sz="4" w:space="0" w:color="auto"/>
              <w:left w:val="nil"/>
              <w:bottom w:val="nil"/>
              <w:right w:val="nil"/>
            </w:tcBorders>
            <w:shd w:val="clear" w:color="auto" w:fill="auto"/>
            <w:noWrap/>
          </w:tcPr>
          <w:p w14:paraId="70DEE354" w14:textId="2050DA3E"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Pr>
                <w:rFonts w:ascii="Arial" w:hAnsi="Arial" w:cs="Arial"/>
                <w:sz w:val="16"/>
                <w:szCs w:val="16"/>
              </w:rPr>
              <w:t>-</w:t>
            </w:r>
            <w:r w:rsidRPr="00911787">
              <w:rPr>
                <w:rFonts w:ascii="Arial" w:hAnsi="Arial" w:cs="Arial"/>
                <w:sz w:val="16"/>
                <w:szCs w:val="16"/>
              </w:rPr>
              <w:t>1.3</w:t>
            </w:r>
            <w:r>
              <w:rPr>
                <w:rFonts w:ascii="Arial" w:hAnsi="Arial" w:cs="Arial"/>
                <w:sz w:val="16"/>
                <w:szCs w:val="16"/>
              </w:rPr>
              <w:t>62</w:t>
            </w:r>
            <w:r w:rsidRPr="00911787">
              <w:rPr>
                <w:rFonts w:ascii="Arial" w:hAnsi="Arial" w:cs="Arial"/>
                <w:sz w:val="16"/>
                <w:szCs w:val="16"/>
              </w:rPr>
              <w:t>.</w:t>
            </w:r>
            <w:r>
              <w:rPr>
                <w:rFonts w:ascii="Arial" w:hAnsi="Arial" w:cs="Arial"/>
                <w:sz w:val="16"/>
                <w:szCs w:val="16"/>
              </w:rPr>
              <w:t>356</w:t>
            </w:r>
            <w:r w:rsidRPr="00911787">
              <w:rPr>
                <w:rFonts w:ascii="Arial" w:hAnsi="Arial" w:cs="Arial"/>
                <w:sz w:val="16"/>
                <w:szCs w:val="16"/>
              </w:rPr>
              <w:t xml:space="preserve"> </w:t>
            </w:r>
          </w:p>
        </w:tc>
      </w:tr>
      <w:tr w:rsidR="00FC0B7C" w:rsidRPr="001D595F" w14:paraId="2F2BC8E3" w14:textId="77777777" w:rsidTr="00FC0B7C">
        <w:trPr>
          <w:trHeight w:val="121"/>
        </w:trPr>
        <w:tc>
          <w:tcPr>
            <w:tcW w:w="5524" w:type="dxa"/>
            <w:tcBorders>
              <w:top w:val="nil"/>
              <w:left w:val="nil"/>
              <w:bottom w:val="nil"/>
              <w:right w:val="nil"/>
            </w:tcBorders>
            <w:shd w:val="clear" w:color="auto" w:fill="auto"/>
            <w:hideMark/>
          </w:tcPr>
          <w:p w14:paraId="48B6C485" w14:textId="77777777" w:rsidR="00FC0B7C" w:rsidRPr="001D595F" w:rsidRDefault="00FC0B7C" w:rsidP="004C606B">
            <w:pPr>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1D3493C5" w14:textId="4C87358E" w:rsidR="00FC0B7C" w:rsidRPr="0049136B"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29369CD8" w14:textId="6B5625E4" w:rsidR="00FC0B7C" w:rsidRPr="0049136B" w:rsidRDefault="00FC0B7C">
            <w:pPr>
              <w:jc w:val="right"/>
              <w:rPr>
                <w:rFonts w:ascii="Arial" w:hAnsi="Arial" w:cs="Arial"/>
                <w:sz w:val="16"/>
                <w:szCs w:val="16"/>
                <w:lang w:eastAsia="es-AR"/>
              </w:rPr>
            </w:pPr>
          </w:p>
        </w:tc>
      </w:tr>
      <w:tr w:rsidR="00FC0B7C" w:rsidRPr="001D595F" w14:paraId="76E47A1C" w14:textId="77777777" w:rsidTr="00FC0B7C">
        <w:trPr>
          <w:trHeight w:val="80"/>
        </w:trPr>
        <w:tc>
          <w:tcPr>
            <w:tcW w:w="5524" w:type="dxa"/>
            <w:tcBorders>
              <w:top w:val="nil"/>
              <w:left w:val="nil"/>
              <w:bottom w:val="nil"/>
              <w:right w:val="nil"/>
            </w:tcBorders>
            <w:shd w:val="clear" w:color="auto" w:fill="auto"/>
            <w:hideMark/>
          </w:tcPr>
          <w:p w14:paraId="3DC66BB4" w14:textId="72B260D0" w:rsidR="00FC0B7C" w:rsidRPr="001D595F" w:rsidRDefault="00FC0B7C" w:rsidP="004C606B">
            <w:pPr>
              <w:rPr>
                <w:rFonts w:ascii="Arial" w:hAnsi="Arial" w:cs="Arial"/>
                <w:b/>
                <w:bCs/>
                <w:sz w:val="16"/>
                <w:szCs w:val="16"/>
                <w:lang w:eastAsia="es-AR"/>
              </w:rPr>
            </w:pPr>
            <w:r w:rsidRPr="001D595F">
              <w:rPr>
                <w:rFonts w:ascii="Arial" w:hAnsi="Arial" w:cs="Arial"/>
                <w:b/>
                <w:bCs/>
                <w:sz w:val="16"/>
                <w:szCs w:val="16"/>
                <w:lang w:eastAsia="es-AR"/>
              </w:rPr>
              <w:t xml:space="preserve">Componentes de Otro Resultado Integral que no se reclasificarán al resultado del </w:t>
            </w:r>
            <w:r>
              <w:rPr>
                <w:rFonts w:ascii="Arial" w:hAnsi="Arial" w:cs="Arial"/>
                <w:b/>
                <w:bCs/>
                <w:sz w:val="16"/>
                <w:szCs w:val="16"/>
                <w:lang w:eastAsia="es-AR"/>
              </w:rPr>
              <w:t>período</w:t>
            </w:r>
          </w:p>
        </w:tc>
        <w:tc>
          <w:tcPr>
            <w:tcW w:w="992" w:type="dxa"/>
            <w:tcBorders>
              <w:top w:val="nil"/>
              <w:left w:val="nil"/>
              <w:bottom w:val="nil"/>
              <w:right w:val="nil"/>
            </w:tcBorders>
            <w:shd w:val="clear" w:color="auto" w:fill="auto"/>
            <w:noWrap/>
            <w:vAlign w:val="bottom"/>
          </w:tcPr>
          <w:p w14:paraId="6B719324" w14:textId="218B8949" w:rsidR="00FC0B7C" w:rsidRPr="0049136B"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0C24B29A" w14:textId="3E351DED" w:rsidR="00FC0B7C" w:rsidRPr="0049136B" w:rsidRDefault="00FC0B7C">
            <w:pPr>
              <w:jc w:val="right"/>
              <w:rPr>
                <w:rFonts w:ascii="Arial" w:hAnsi="Arial" w:cs="Arial"/>
                <w:sz w:val="16"/>
                <w:szCs w:val="16"/>
                <w:lang w:eastAsia="es-AR"/>
              </w:rPr>
            </w:pPr>
          </w:p>
        </w:tc>
      </w:tr>
      <w:tr w:rsidR="00FC0B7C" w:rsidRPr="001D595F" w14:paraId="2F94B029" w14:textId="77777777" w:rsidTr="00FC0B7C">
        <w:trPr>
          <w:trHeight w:val="187"/>
        </w:trPr>
        <w:tc>
          <w:tcPr>
            <w:tcW w:w="5524" w:type="dxa"/>
            <w:tcBorders>
              <w:top w:val="nil"/>
              <w:left w:val="nil"/>
              <w:bottom w:val="nil"/>
              <w:right w:val="nil"/>
            </w:tcBorders>
            <w:shd w:val="clear" w:color="auto" w:fill="auto"/>
            <w:hideMark/>
          </w:tcPr>
          <w:p w14:paraId="362D7EE8" w14:textId="77777777" w:rsidR="00FC0B7C" w:rsidRPr="001D595F" w:rsidRDefault="00FC0B7C" w:rsidP="004C606B">
            <w:pPr>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7B65C674" w14:textId="3C7E5770" w:rsidR="00FC0B7C" w:rsidRPr="0049136B"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340E9C73" w14:textId="1A6BF176" w:rsidR="00FC0B7C" w:rsidRPr="0049136B" w:rsidRDefault="00FC0B7C">
            <w:pPr>
              <w:jc w:val="right"/>
              <w:rPr>
                <w:rFonts w:ascii="Arial" w:hAnsi="Arial" w:cs="Arial"/>
                <w:sz w:val="16"/>
                <w:szCs w:val="16"/>
                <w:lang w:eastAsia="es-AR"/>
              </w:rPr>
            </w:pPr>
          </w:p>
        </w:tc>
      </w:tr>
      <w:tr w:rsidR="00FC0B7C" w:rsidRPr="001D595F" w14:paraId="512C4237" w14:textId="77777777" w:rsidTr="00FC0B7C">
        <w:trPr>
          <w:trHeight w:val="378"/>
        </w:trPr>
        <w:tc>
          <w:tcPr>
            <w:tcW w:w="5524" w:type="dxa"/>
            <w:tcBorders>
              <w:top w:val="nil"/>
              <w:left w:val="nil"/>
              <w:bottom w:val="single" w:sz="4" w:space="0" w:color="auto"/>
              <w:right w:val="nil"/>
            </w:tcBorders>
            <w:shd w:val="clear" w:color="auto" w:fill="auto"/>
            <w:vAlign w:val="bottom"/>
            <w:hideMark/>
          </w:tcPr>
          <w:p w14:paraId="7636DA33" w14:textId="77777777" w:rsidR="00FC0B7C" w:rsidRPr="001D595F" w:rsidRDefault="00FC0B7C" w:rsidP="00911787">
            <w:pPr>
              <w:rPr>
                <w:rFonts w:ascii="Arial" w:hAnsi="Arial" w:cs="Arial"/>
                <w:b/>
                <w:bCs/>
                <w:sz w:val="16"/>
                <w:szCs w:val="16"/>
                <w:lang w:eastAsia="es-AR"/>
              </w:rPr>
            </w:pPr>
            <w:r w:rsidRPr="001D595F">
              <w:rPr>
                <w:rFonts w:ascii="Arial" w:hAnsi="Arial" w:cs="Arial"/>
                <w:b/>
                <w:bCs/>
                <w:sz w:val="16"/>
                <w:szCs w:val="16"/>
                <w:lang w:eastAsia="es-AR"/>
              </w:rPr>
              <w:t>Revaluación de propiedad, planta y equipo e intangibles</w:t>
            </w:r>
          </w:p>
        </w:tc>
        <w:tc>
          <w:tcPr>
            <w:tcW w:w="992" w:type="dxa"/>
            <w:tcBorders>
              <w:top w:val="nil"/>
              <w:left w:val="nil"/>
              <w:bottom w:val="single" w:sz="4" w:space="0" w:color="auto"/>
              <w:right w:val="nil"/>
            </w:tcBorders>
            <w:shd w:val="clear" w:color="auto" w:fill="auto"/>
            <w:noWrap/>
            <w:vAlign w:val="bottom"/>
          </w:tcPr>
          <w:p w14:paraId="1D08EDB7" w14:textId="48DC89CC"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F50C20">
              <w:rPr>
                <w:rFonts w:ascii="Arial" w:hAnsi="Arial" w:cs="Arial"/>
                <w:b/>
                <w:sz w:val="16"/>
                <w:szCs w:val="16"/>
              </w:rPr>
              <w:t>-</w:t>
            </w:r>
            <w:r w:rsidRPr="00911787">
              <w:rPr>
                <w:rFonts w:ascii="Arial" w:hAnsi="Arial" w:cs="Arial"/>
                <w:b/>
                <w:sz w:val="16"/>
                <w:szCs w:val="16"/>
              </w:rPr>
              <w:t xml:space="preserve"> </w:t>
            </w:r>
          </w:p>
        </w:tc>
        <w:tc>
          <w:tcPr>
            <w:tcW w:w="992" w:type="dxa"/>
            <w:tcBorders>
              <w:top w:val="nil"/>
              <w:left w:val="nil"/>
              <w:bottom w:val="single" w:sz="4" w:space="0" w:color="auto"/>
              <w:right w:val="nil"/>
            </w:tcBorders>
            <w:shd w:val="clear" w:color="auto" w:fill="auto"/>
            <w:noWrap/>
            <w:vAlign w:val="bottom"/>
          </w:tcPr>
          <w:p w14:paraId="27E32C6E" w14:textId="299B86A6"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F50C20">
              <w:rPr>
                <w:rFonts w:ascii="Arial" w:hAnsi="Arial" w:cs="Arial"/>
                <w:b/>
                <w:sz w:val="16"/>
                <w:szCs w:val="16"/>
              </w:rPr>
              <w:t>-</w:t>
            </w:r>
            <w:r w:rsidRPr="00911787">
              <w:rPr>
                <w:rFonts w:ascii="Arial" w:hAnsi="Arial" w:cs="Arial"/>
                <w:b/>
                <w:sz w:val="16"/>
                <w:szCs w:val="16"/>
              </w:rPr>
              <w:t xml:space="preserve"> </w:t>
            </w:r>
          </w:p>
        </w:tc>
      </w:tr>
      <w:tr w:rsidR="00FC0B7C" w:rsidRPr="001D595F" w14:paraId="6E94A637" w14:textId="77777777" w:rsidTr="00FC0B7C">
        <w:trPr>
          <w:trHeight w:val="510"/>
        </w:trPr>
        <w:tc>
          <w:tcPr>
            <w:tcW w:w="5524" w:type="dxa"/>
            <w:tcBorders>
              <w:top w:val="nil"/>
              <w:left w:val="nil"/>
              <w:bottom w:val="nil"/>
              <w:right w:val="nil"/>
            </w:tcBorders>
            <w:shd w:val="clear" w:color="auto" w:fill="auto"/>
            <w:vAlign w:val="center"/>
            <w:hideMark/>
          </w:tcPr>
          <w:p w14:paraId="29F5120C" w14:textId="4C34649B" w:rsidR="00FC0B7C" w:rsidRPr="001D595F" w:rsidRDefault="00FC0B7C" w:rsidP="00911787">
            <w:pPr>
              <w:rPr>
                <w:rFonts w:ascii="Arial" w:hAnsi="Arial" w:cs="Arial"/>
                <w:sz w:val="16"/>
                <w:szCs w:val="16"/>
                <w:lang w:eastAsia="es-AR"/>
              </w:rPr>
            </w:pPr>
            <w:r w:rsidRPr="001D595F">
              <w:rPr>
                <w:rFonts w:ascii="Arial" w:hAnsi="Arial" w:cs="Arial"/>
                <w:sz w:val="16"/>
                <w:szCs w:val="16"/>
                <w:lang w:eastAsia="es-AR"/>
              </w:rPr>
              <w:t xml:space="preserve">Revaluaciones del </w:t>
            </w:r>
            <w:r>
              <w:rPr>
                <w:rFonts w:ascii="Arial" w:hAnsi="Arial" w:cs="Arial"/>
                <w:sz w:val="16"/>
                <w:szCs w:val="16"/>
                <w:lang w:eastAsia="es-AR"/>
              </w:rPr>
              <w:t>período</w:t>
            </w:r>
            <w:r w:rsidRPr="001D595F">
              <w:rPr>
                <w:rFonts w:ascii="Arial" w:hAnsi="Arial" w:cs="Arial"/>
                <w:sz w:val="16"/>
                <w:szCs w:val="16"/>
                <w:lang w:eastAsia="es-AR"/>
              </w:rPr>
              <w:t xml:space="preserve"> de propiedad, planta y equipo e intangibles</w:t>
            </w:r>
          </w:p>
        </w:tc>
        <w:tc>
          <w:tcPr>
            <w:tcW w:w="992" w:type="dxa"/>
            <w:tcBorders>
              <w:top w:val="nil"/>
              <w:left w:val="nil"/>
              <w:bottom w:val="nil"/>
              <w:right w:val="nil"/>
            </w:tcBorders>
            <w:shd w:val="clear" w:color="auto" w:fill="auto"/>
            <w:noWrap/>
          </w:tcPr>
          <w:p w14:paraId="2FDD9550" w14:textId="0C397123"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F50C20">
              <w:rPr>
                <w:rFonts w:ascii="Arial" w:hAnsi="Arial" w:cs="Arial"/>
                <w:sz w:val="16"/>
                <w:szCs w:val="16"/>
              </w:rPr>
              <w:t>-</w:t>
            </w:r>
            <w:r w:rsidRPr="00911787">
              <w:rPr>
                <w:rFonts w:ascii="Arial" w:hAnsi="Arial" w:cs="Arial"/>
                <w:sz w:val="16"/>
                <w:szCs w:val="16"/>
              </w:rPr>
              <w:t xml:space="preserve"> </w:t>
            </w:r>
          </w:p>
        </w:tc>
        <w:tc>
          <w:tcPr>
            <w:tcW w:w="992" w:type="dxa"/>
            <w:tcBorders>
              <w:top w:val="nil"/>
              <w:left w:val="nil"/>
              <w:bottom w:val="nil"/>
              <w:right w:val="nil"/>
            </w:tcBorders>
            <w:shd w:val="clear" w:color="auto" w:fill="auto"/>
            <w:noWrap/>
          </w:tcPr>
          <w:p w14:paraId="76427523" w14:textId="0608E0AA"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F50C20">
              <w:rPr>
                <w:rFonts w:ascii="Arial" w:hAnsi="Arial" w:cs="Arial"/>
                <w:sz w:val="16"/>
                <w:szCs w:val="16"/>
              </w:rPr>
              <w:t>-</w:t>
            </w:r>
            <w:r w:rsidRPr="00911787">
              <w:rPr>
                <w:rFonts w:ascii="Arial" w:hAnsi="Arial" w:cs="Arial"/>
                <w:sz w:val="16"/>
                <w:szCs w:val="16"/>
              </w:rPr>
              <w:t xml:space="preserve"> </w:t>
            </w:r>
          </w:p>
        </w:tc>
      </w:tr>
      <w:tr w:rsidR="00FC0B7C" w:rsidRPr="001D595F" w14:paraId="2C4089D6" w14:textId="77777777" w:rsidTr="00FC0B7C">
        <w:trPr>
          <w:trHeight w:val="285"/>
        </w:trPr>
        <w:tc>
          <w:tcPr>
            <w:tcW w:w="5524" w:type="dxa"/>
            <w:tcBorders>
              <w:top w:val="nil"/>
              <w:left w:val="nil"/>
              <w:bottom w:val="nil"/>
              <w:right w:val="nil"/>
            </w:tcBorders>
            <w:shd w:val="clear" w:color="auto" w:fill="auto"/>
            <w:vAlign w:val="center"/>
            <w:hideMark/>
          </w:tcPr>
          <w:p w14:paraId="7F0A2A37" w14:textId="77777777" w:rsidR="00FC0B7C" w:rsidRPr="001D595F" w:rsidRDefault="00FC0B7C" w:rsidP="00911787">
            <w:pPr>
              <w:rPr>
                <w:rFonts w:ascii="Arial" w:hAnsi="Arial" w:cs="Arial"/>
                <w:sz w:val="16"/>
                <w:szCs w:val="16"/>
                <w:lang w:eastAsia="es-AR"/>
              </w:rPr>
            </w:pPr>
            <w:r w:rsidRPr="001D595F">
              <w:rPr>
                <w:rFonts w:ascii="Arial" w:hAnsi="Arial" w:cs="Arial"/>
                <w:sz w:val="16"/>
                <w:szCs w:val="16"/>
                <w:lang w:eastAsia="es-AR"/>
              </w:rPr>
              <w:t>Impuesto a las ganancias</w:t>
            </w:r>
          </w:p>
        </w:tc>
        <w:tc>
          <w:tcPr>
            <w:tcW w:w="992" w:type="dxa"/>
            <w:tcBorders>
              <w:top w:val="nil"/>
              <w:left w:val="nil"/>
              <w:bottom w:val="nil"/>
              <w:right w:val="nil"/>
            </w:tcBorders>
            <w:shd w:val="clear" w:color="auto" w:fill="auto"/>
            <w:noWrap/>
          </w:tcPr>
          <w:p w14:paraId="0C7B121D" w14:textId="6C1CE02F"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F50C20">
              <w:rPr>
                <w:rFonts w:ascii="Arial" w:hAnsi="Arial" w:cs="Arial"/>
                <w:sz w:val="16"/>
                <w:szCs w:val="16"/>
              </w:rPr>
              <w:t>-</w:t>
            </w:r>
            <w:r w:rsidRPr="00911787">
              <w:rPr>
                <w:rFonts w:ascii="Arial" w:hAnsi="Arial" w:cs="Arial"/>
                <w:sz w:val="16"/>
                <w:szCs w:val="16"/>
              </w:rPr>
              <w:t xml:space="preserve"> </w:t>
            </w:r>
          </w:p>
        </w:tc>
        <w:tc>
          <w:tcPr>
            <w:tcW w:w="992" w:type="dxa"/>
            <w:tcBorders>
              <w:top w:val="nil"/>
              <w:left w:val="nil"/>
              <w:bottom w:val="nil"/>
              <w:right w:val="nil"/>
            </w:tcBorders>
            <w:shd w:val="clear" w:color="auto" w:fill="auto"/>
            <w:noWrap/>
          </w:tcPr>
          <w:p w14:paraId="1210DED0" w14:textId="3DCE42D2"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F50C20">
              <w:rPr>
                <w:rFonts w:ascii="Arial" w:hAnsi="Arial" w:cs="Arial"/>
                <w:sz w:val="16"/>
                <w:szCs w:val="16"/>
              </w:rPr>
              <w:t>-</w:t>
            </w:r>
            <w:r w:rsidRPr="00911787">
              <w:rPr>
                <w:rFonts w:ascii="Arial" w:hAnsi="Arial" w:cs="Arial"/>
                <w:sz w:val="16"/>
                <w:szCs w:val="16"/>
              </w:rPr>
              <w:t xml:space="preserve"> </w:t>
            </w:r>
          </w:p>
        </w:tc>
      </w:tr>
      <w:tr w:rsidR="00FC0B7C" w:rsidRPr="001D595F" w14:paraId="473A280C" w14:textId="77777777" w:rsidTr="00FC0B7C">
        <w:trPr>
          <w:trHeight w:val="527"/>
        </w:trPr>
        <w:tc>
          <w:tcPr>
            <w:tcW w:w="5524" w:type="dxa"/>
            <w:tcBorders>
              <w:top w:val="nil"/>
              <w:left w:val="nil"/>
              <w:bottom w:val="single" w:sz="4" w:space="0" w:color="auto"/>
              <w:right w:val="nil"/>
            </w:tcBorders>
            <w:shd w:val="clear" w:color="auto" w:fill="auto"/>
            <w:vAlign w:val="bottom"/>
            <w:hideMark/>
          </w:tcPr>
          <w:p w14:paraId="42F49A07" w14:textId="77777777" w:rsidR="00FC0B7C" w:rsidRPr="001D595F" w:rsidRDefault="00FC0B7C" w:rsidP="00911787">
            <w:pPr>
              <w:rPr>
                <w:rFonts w:ascii="Arial" w:hAnsi="Arial" w:cs="Arial"/>
                <w:b/>
                <w:bCs/>
                <w:sz w:val="16"/>
                <w:szCs w:val="16"/>
                <w:lang w:eastAsia="es-AR"/>
              </w:rPr>
            </w:pPr>
            <w:r w:rsidRPr="001D595F">
              <w:rPr>
                <w:rFonts w:ascii="Arial" w:hAnsi="Arial" w:cs="Arial"/>
                <w:b/>
                <w:bCs/>
                <w:sz w:val="16"/>
                <w:szCs w:val="16"/>
                <w:lang w:eastAsia="es-AR"/>
              </w:rPr>
              <w:t>Ganancias o pérdidas por instrumentos de patrimonio a valor razonable con cambios en el ORI (Puntos 5.7.5de la NIIF 9)</w:t>
            </w:r>
          </w:p>
        </w:tc>
        <w:tc>
          <w:tcPr>
            <w:tcW w:w="992" w:type="dxa"/>
            <w:tcBorders>
              <w:top w:val="nil"/>
              <w:left w:val="nil"/>
              <w:bottom w:val="single" w:sz="4" w:space="0" w:color="auto"/>
              <w:right w:val="nil"/>
            </w:tcBorders>
            <w:shd w:val="clear" w:color="auto" w:fill="auto"/>
            <w:noWrap/>
            <w:vAlign w:val="bottom"/>
          </w:tcPr>
          <w:p w14:paraId="74FDC97A" w14:textId="111B68A8"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66693F">
              <w:rPr>
                <w:rFonts w:ascii="Arial" w:hAnsi="Arial" w:cs="Arial"/>
                <w:b/>
                <w:sz w:val="16"/>
                <w:szCs w:val="16"/>
              </w:rPr>
              <w:t>479</w:t>
            </w:r>
            <w:r w:rsidRPr="00911787">
              <w:rPr>
                <w:rFonts w:ascii="Arial" w:hAnsi="Arial" w:cs="Arial"/>
                <w:b/>
                <w:sz w:val="16"/>
                <w:szCs w:val="16"/>
              </w:rPr>
              <w:t xml:space="preserve"> </w:t>
            </w:r>
          </w:p>
        </w:tc>
        <w:tc>
          <w:tcPr>
            <w:tcW w:w="992" w:type="dxa"/>
            <w:tcBorders>
              <w:top w:val="nil"/>
              <w:left w:val="nil"/>
              <w:bottom w:val="single" w:sz="4" w:space="0" w:color="auto"/>
              <w:right w:val="nil"/>
            </w:tcBorders>
            <w:shd w:val="clear" w:color="auto" w:fill="auto"/>
            <w:noWrap/>
            <w:vAlign w:val="bottom"/>
          </w:tcPr>
          <w:p w14:paraId="459A3042" w14:textId="006A502E"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F50C20">
              <w:rPr>
                <w:rFonts w:ascii="Arial" w:hAnsi="Arial" w:cs="Arial"/>
                <w:b/>
                <w:sz w:val="16"/>
                <w:szCs w:val="16"/>
              </w:rPr>
              <w:t>-1.</w:t>
            </w:r>
            <w:r w:rsidR="0066693F">
              <w:rPr>
                <w:rFonts w:ascii="Arial" w:hAnsi="Arial" w:cs="Arial"/>
                <w:b/>
                <w:sz w:val="16"/>
                <w:szCs w:val="16"/>
              </w:rPr>
              <w:t>076</w:t>
            </w:r>
            <w:r w:rsidRPr="00911787">
              <w:rPr>
                <w:rFonts w:ascii="Arial" w:hAnsi="Arial" w:cs="Arial"/>
                <w:b/>
                <w:sz w:val="16"/>
                <w:szCs w:val="16"/>
              </w:rPr>
              <w:t xml:space="preserve"> </w:t>
            </w:r>
          </w:p>
        </w:tc>
      </w:tr>
      <w:tr w:rsidR="00FC0B7C" w:rsidRPr="001D595F" w14:paraId="73A54B6A" w14:textId="77777777" w:rsidTr="00FC0B7C">
        <w:trPr>
          <w:trHeight w:val="510"/>
        </w:trPr>
        <w:tc>
          <w:tcPr>
            <w:tcW w:w="5524" w:type="dxa"/>
            <w:tcBorders>
              <w:top w:val="nil"/>
              <w:left w:val="nil"/>
              <w:bottom w:val="nil"/>
              <w:right w:val="nil"/>
            </w:tcBorders>
            <w:shd w:val="clear" w:color="auto" w:fill="auto"/>
            <w:hideMark/>
          </w:tcPr>
          <w:p w14:paraId="1D1F268F" w14:textId="6026DFCD" w:rsidR="00FC0B7C" w:rsidRPr="001D595F" w:rsidRDefault="00FC0B7C" w:rsidP="00911787">
            <w:pPr>
              <w:rPr>
                <w:rFonts w:ascii="Arial" w:hAnsi="Arial" w:cs="Arial"/>
                <w:sz w:val="16"/>
                <w:szCs w:val="16"/>
                <w:lang w:eastAsia="es-AR"/>
              </w:rPr>
            </w:pPr>
            <w:r w:rsidRPr="001D595F">
              <w:rPr>
                <w:rFonts w:ascii="Arial" w:hAnsi="Arial" w:cs="Arial"/>
                <w:sz w:val="16"/>
                <w:szCs w:val="16"/>
                <w:lang w:eastAsia="es-AR"/>
              </w:rPr>
              <w:t xml:space="preserve">Resultado del </w:t>
            </w:r>
            <w:r>
              <w:rPr>
                <w:rFonts w:ascii="Arial" w:hAnsi="Arial" w:cs="Arial"/>
                <w:sz w:val="16"/>
                <w:szCs w:val="16"/>
                <w:lang w:eastAsia="es-AR"/>
              </w:rPr>
              <w:t>período</w:t>
            </w:r>
            <w:r w:rsidRPr="001D595F">
              <w:rPr>
                <w:rFonts w:ascii="Arial" w:hAnsi="Arial" w:cs="Arial"/>
                <w:sz w:val="16"/>
                <w:szCs w:val="16"/>
                <w:lang w:eastAsia="es-AR"/>
              </w:rPr>
              <w:t xml:space="preserve"> por instrumentos de patrimonio a valor razonable con cambios en el ORI</w:t>
            </w:r>
          </w:p>
        </w:tc>
        <w:tc>
          <w:tcPr>
            <w:tcW w:w="992" w:type="dxa"/>
            <w:tcBorders>
              <w:top w:val="nil"/>
              <w:left w:val="nil"/>
              <w:bottom w:val="nil"/>
              <w:right w:val="nil"/>
            </w:tcBorders>
            <w:shd w:val="clear" w:color="auto" w:fill="auto"/>
            <w:noWrap/>
          </w:tcPr>
          <w:p w14:paraId="6B8205E9" w14:textId="6A1D32B1"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F50C20">
              <w:rPr>
                <w:rFonts w:ascii="Arial" w:hAnsi="Arial" w:cs="Arial"/>
                <w:sz w:val="16"/>
                <w:szCs w:val="16"/>
              </w:rPr>
              <w:t>685</w:t>
            </w:r>
            <w:r w:rsidRPr="00911787">
              <w:rPr>
                <w:rFonts w:ascii="Arial" w:hAnsi="Arial" w:cs="Arial"/>
                <w:sz w:val="16"/>
                <w:szCs w:val="16"/>
              </w:rPr>
              <w:t xml:space="preserve"> </w:t>
            </w:r>
          </w:p>
        </w:tc>
        <w:tc>
          <w:tcPr>
            <w:tcW w:w="992" w:type="dxa"/>
            <w:tcBorders>
              <w:top w:val="nil"/>
              <w:left w:val="nil"/>
              <w:bottom w:val="nil"/>
              <w:right w:val="nil"/>
            </w:tcBorders>
            <w:shd w:val="clear" w:color="auto" w:fill="auto"/>
            <w:noWrap/>
          </w:tcPr>
          <w:p w14:paraId="3A1285D7" w14:textId="47BA6979"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F50C20">
              <w:rPr>
                <w:rFonts w:ascii="Arial" w:hAnsi="Arial" w:cs="Arial"/>
                <w:sz w:val="16"/>
                <w:szCs w:val="16"/>
              </w:rPr>
              <w:t>-1.537</w:t>
            </w:r>
            <w:r w:rsidRPr="00911787">
              <w:rPr>
                <w:rFonts w:ascii="Arial" w:hAnsi="Arial" w:cs="Arial"/>
                <w:sz w:val="16"/>
                <w:szCs w:val="16"/>
              </w:rPr>
              <w:t xml:space="preserve"> </w:t>
            </w:r>
          </w:p>
        </w:tc>
      </w:tr>
      <w:tr w:rsidR="00FC0B7C" w:rsidRPr="001D595F" w14:paraId="45265A77" w14:textId="77777777" w:rsidTr="00FC0B7C">
        <w:trPr>
          <w:trHeight w:val="285"/>
        </w:trPr>
        <w:tc>
          <w:tcPr>
            <w:tcW w:w="5524" w:type="dxa"/>
            <w:tcBorders>
              <w:top w:val="nil"/>
              <w:left w:val="nil"/>
              <w:bottom w:val="nil"/>
              <w:right w:val="nil"/>
            </w:tcBorders>
            <w:shd w:val="clear" w:color="auto" w:fill="auto"/>
            <w:hideMark/>
          </w:tcPr>
          <w:p w14:paraId="06BA521B" w14:textId="77777777" w:rsidR="00FC0B7C" w:rsidRPr="001D595F" w:rsidRDefault="00FC0B7C" w:rsidP="00911787">
            <w:pPr>
              <w:rPr>
                <w:rFonts w:ascii="Arial" w:hAnsi="Arial" w:cs="Arial"/>
                <w:sz w:val="16"/>
                <w:szCs w:val="16"/>
                <w:lang w:eastAsia="es-AR"/>
              </w:rPr>
            </w:pPr>
            <w:r w:rsidRPr="001D595F">
              <w:rPr>
                <w:rFonts w:ascii="Arial" w:hAnsi="Arial" w:cs="Arial"/>
                <w:sz w:val="16"/>
                <w:szCs w:val="16"/>
                <w:lang w:eastAsia="es-AR"/>
              </w:rPr>
              <w:t>Impuesto a las ganancias</w:t>
            </w:r>
          </w:p>
        </w:tc>
        <w:tc>
          <w:tcPr>
            <w:tcW w:w="992" w:type="dxa"/>
            <w:tcBorders>
              <w:top w:val="nil"/>
              <w:left w:val="nil"/>
              <w:bottom w:val="nil"/>
              <w:right w:val="nil"/>
            </w:tcBorders>
            <w:shd w:val="clear" w:color="auto" w:fill="auto"/>
            <w:noWrap/>
          </w:tcPr>
          <w:p w14:paraId="770AB8B4" w14:textId="1A27EADC" w:rsidR="00FC0B7C" w:rsidRPr="00911787" w:rsidRDefault="00CC3101" w:rsidP="00911787">
            <w:pPr>
              <w:jc w:val="right"/>
              <w:rPr>
                <w:rFonts w:ascii="Arial" w:hAnsi="Arial" w:cs="Arial"/>
                <w:sz w:val="16"/>
                <w:szCs w:val="16"/>
                <w:lang w:eastAsia="es-AR"/>
              </w:rPr>
            </w:pPr>
            <w:r>
              <w:rPr>
                <w:rFonts w:ascii="Arial" w:hAnsi="Arial" w:cs="Arial"/>
                <w:sz w:val="16"/>
                <w:szCs w:val="16"/>
              </w:rPr>
              <w:t>206</w:t>
            </w:r>
            <w:r w:rsidR="00FC0B7C" w:rsidRPr="00911787">
              <w:rPr>
                <w:rFonts w:ascii="Arial" w:hAnsi="Arial" w:cs="Arial"/>
                <w:sz w:val="16"/>
                <w:szCs w:val="16"/>
              </w:rPr>
              <w:t xml:space="preserve"> </w:t>
            </w:r>
          </w:p>
        </w:tc>
        <w:tc>
          <w:tcPr>
            <w:tcW w:w="992" w:type="dxa"/>
            <w:tcBorders>
              <w:top w:val="nil"/>
              <w:left w:val="nil"/>
              <w:bottom w:val="nil"/>
              <w:right w:val="nil"/>
            </w:tcBorders>
            <w:shd w:val="clear" w:color="auto" w:fill="auto"/>
            <w:noWrap/>
          </w:tcPr>
          <w:p w14:paraId="0DDF28A1" w14:textId="295A93B1"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66693F">
              <w:rPr>
                <w:rFonts w:ascii="Arial" w:hAnsi="Arial" w:cs="Arial"/>
                <w:sz w:val="16"/>
                <w:szCs w:val="16"/>
              </w:rPr>
              <w:t>461</w:t>
            </w:r>
            <w:r w:rsidRPr="00911787">
              <w:rPr>
                <w:rFonts w:ascii="Arial" w:hAnsi="Arial" w:cs="Arial"/>
                <w:sz w:val="16"/>
                <w:szCs w:val="16"/>
              </w:rPr>
              <w:t xml:space="preserve"> </w:t>
            </w:r>
          </w:p>
        </w:tc>
      </w:tr>
      <w:tr w:rsidR="00FC0B7C" w:rsidRPr="001D595F" w14:paraId="105E4694" w14:textId="77777777" w:rsidTr="00FC0B7C">
        <w:trPr>
          <w:trHeight w:val="403"/>
        </w:trPr>
        <w:tc>
          <w:tcPr>
            <w:tcW w:w="5524" w:type="dxa"/>
            <w:tcBorders>
              <w:top w:val="single" w:sz="4" w:space="0" w:color="auto"/>
              <w:left w:val="nil"/>
              <w:bottom w:val="nil"/>
              <w:right w:val="nil"/>
            </w:tcBorders>
            <w:shd w:val="clear" w:color="auto" w:fill="auto"/>
            <w:hideMark/>
          </w:tcPr>
          <w:p w14:paraId="6B6966FD" w14:textId="7CEE0E47" w:rsidR="00FC0B7C" w:rsidRPr="001D595F" w:rsidRDefault="00FC0B7C" w:rsidP="00911787">
            <w:pPr>
              <w:rPr>
                <w:rFonts w:ascii="Arial" w:hAnsi="Arial" w:cs="Arial"/>
                <w:b/>
                <w:bCs/>
                <w:sz w:val="16"/>
                <w:szCs w:val="16"/>
                <w:lang w:eastAsia="es-AR"/>
              </w:rPr>
            </w:pPr>
            <w:r w:rsidRPr="001D595F">
              <w:rPr>
                <w:rFonts w:ascii="Arial" w:hAnsi="Arial" w:cs="Arial"/>
                <w:b/>
                <w:bCs/>
                <w:sz w:val="16"/>
                <w:szCs w:val="16"/>
                <w:lang w:eastAsia="es-AR"/>
              </w:rPr>
              <w:t xml:space="preserve">Total Otro Resultado Integral que no se reclasificará al resultado del </w:t>
            </w:r>
            <w:r>
              <w:rPr>
                <w:rFonts w:ascii="Arial" w:hAnsi="Arial" w:cs="Arial"/>
                <w:b/>
                <w:bCs/>
                <w:sz w:val="16"/>
                <w:szCs w:val="16"/>
                <w:lang w:eastAsia="es-AR"/>
              </w:rPr>
              <w:t>período</w:t>
            </w:r>
          </w:p>
        </w:tc>
        <w:tc>
          <w:tcPr>
            <w:tcW w:w="992" w:type="dxa"/>
            <w:tcBorders>
              <w:top w:val="single" w:sz="4" w:space="0" w:color="auto"/>
              <w:left w:val="nil"/>
              <w:bottom w:val="nil"/>
              <w:right w:val="nil"/>
            </w:tcBorders>
            <w:shd w:val="clear" w:color="auto" w:fill="auto"/>
            <w:noWrap/>
          </w:tcPr>
          <w:p w14:paraId="2177D0D8" w14:textId="1E364D4B"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CC3101">
              <w:rPr>
                <w:rFonts w:ascii="Arial" w:hAnsi="Arial" w:cs="Arial"/>
                <w:b/>
                <w:sz w:val="16"/>
                <w:szCs w:val="16"/>
              </w:rPr>
              <w:t>-479</w:t>
            </w:r>
            <w:r w:rsidRPr="00911787">
              <w:rPr>
                <w:rFonts w:ascii="Arial" w:hAnsi="Arial" w:cs="Arial"/>
                <w:b/>
                <w:sz w:val="16"/>
                <w:szCs w:val="16"/>
              </w:rPr>
              <w:t xml:space="preserve"> </w:t>
            </w:r>
          </w:p>
        </w:tc>
        <w:tc>
          <w:tcPr>
            <w:tcW w:w="992" w:type="dxa"/>
            <w:tcBorders>
              <w:top w:val="single" w:sz="4" w:space="0" w:color="auto"/>
              <w:left w:val="nil"/>
              <w:bottom w:val="nil"/>
              <w:right w:val="nil"/>
            </w:tcBorders>
            <w:shd w:val="clear" w:color="auto" w:fill="auto"/>
            <w:noWrap/>
          </w:tcPr>
          <w:p w14:paraId="184B007C" w14:textId="429D0164"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CC3101">
              <w:rPr>
                <w:rFonts w:ascii="Arial" w:hAnsi="Arial" w:cs="Arial"/>
                <w:b/>
                <w:sz w:val="16"/>
                <w:szCs w:val="16"/>
              </w:rPr>
              <w:t>-1</w:t>
            </w:r>
            <w:r w:rsidRPr="00911787">
              <w:rPr>
                <w:rFonts w:ascii="Arial" w:hAnsi="Arial" w:cs="Arial"/>
                <w:b/>
                <w:sz w:val="16"/>
                <w:szCs w:val="16"/>
              </w:rPr>
              <w:t>.</w:t>
            </w:r>
            <w:r w:rsidR="00CC3101">
              <w:rPr>
                <w:rFonts w:ascii="Arial" w:hAnsi="Arial" w:cs="Arial"/>
                <w:b/>
                <w:sz w:val="16"/>
                <w:szCs w:val="16"/>
              </w:rPr>
              <w:t>076</w:t>
            </w:r>
            <w:r w:rsidRPr="00911787">
              <w:rPr>
                <w:rFonts w:ascii="Arial" w:hAnsi="Arial" w:cs="Arial"/>
                <w:b/>
                <w:sz w:val="16"/>
                <w:szCs w:val="16"/>
              </w:rPr>
              <w:t xml:space="preserve"> </w:t>
            </w:r>
          </w:p>
        </w:tc>
      </w:tr>
      <w:tr w:rsidR="00FC0B7C" w:rsidRPr="001D595F" w14:paraId="6375EA65" w14:textId="77777777" w:rsidTr="00FC0B7C">
        <w:trPr>
          <w:trHeight w:val="135"/>
        </w:trPr>
        <w:tc>
          <w:tcPr>
            <w:tcW w:w="5524" w:type="dxa"/>
            <w:tcBorders>
              <w:top w:val="nil"/>
              <w:left w:val="nil"/>
              <w:bottom w:val="nil"/>
              <w:right w:val="nil"/>
            </w:tcBorders>
            <w:shd w:val="clear" w:color="auto" w:fill="auto"/>
            <w:hideMark/>
          </w:tcPr>
          <w:p w14:paraId="0BC651B8" w14:textId="77777777" w:rsidR="00FC0B7C" w:rsidRPr="001D595F" w:rsidRDefault="00FC0B7C" w:rsidP="004C606B">
            <w:pPr>
              <w:rPr>
                <w:rFonts w:ascii="Arial" w:hAnsi="Arial" w:cs="Arial"/>
                <w:b/>
                <w:bCs/>
                <w:sz w:val="16"/>
                <w:szCs w:val="16"/>
                <w:lang w:eastAsia="es-AR"/>
              </w:rPr>
            </w:pPr>
          </w:p>
        </w:tc>
        <w:tc>
          <w:tcPr>
            <w:tcW w:w="992" w:type="dxa"/>
            <w:tcBorders>
              <w:top w:val="nil"/>
              <w:left w:val="nil"/>
              <w:bottom w:val="nil"/>
              <w:right w:val="nil"/>
            </w:tcBorders>
            <w:shd w:val="clear" w:color="auto" w:fill="auto"/>
            <w:noWrap/>
            <w:vAlign w:val="bottom"/>
          </w:tcPr>
          <w:p w14:paraId="23E58E81" w14:textId="2B42FC96" w:rsidR="00FC0B7C" w:rsidRPr="0049136B"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55777951" w14:textId="2A5D3B15" w:rsidR="00FC0B7C" w:rsidRPr="0049136B" w:rsidRDefault="00FC0B7C">
            <w:pPr>
              <w:jc w:val="right"/>
              <w:rPr>
                <w:rFonts w:ascii="Arial" w:hAnsi="Arial" w:cs="Arial"/>
                <w:sz w:val="16"/>
                <w:szCs w:val="16"/>
                <w:lang w:eastAsia="es-AR"/>
              </w:rPr>
            </w:pPr>
          </w:p>
        </w:tc>
      </w:tr>
      <w:tr w:rsidR="00FC0B7C" w:rsidRPr="001D595F" w14:paraId="017EEFD8" w14:textId="77777777" w:rsidTr="00FC0B7C">
        <w:trPr>
          <w:trHeight w:val="325"/>
        </w:trPr>
        <w:tc>
          <w:tcPr>
            <w:tcW w:w="5524" w:type="dxa"/>
            <w:tcBorders>
              <w:top w:val="nil"/>
              <w:left w:val="nil"/>
              <w:bottom w:val="nil"/>
              <w:right w:val="nil"/>
            </w:tcBorders>
            <w:shd w:val="clear" w:color="auto" w:fill="auto"/>
            <w:hideMark/>
          </w:tcPr>
          <w:p w14:paraId="3DAE19F4" w14:textId="794E7332" w:rsidR="00FC0B7C" w:rsidRPr="001D595F" w:rsidRDefault="00FC0B7C" w:rsidP="004C606B">
            <w:pPr>
              <w:rPr>
                <w:rFonts w:ascii="Arial" w:hAnsi="Arial" w:cs="Arial"/>
                <w:b/>
                <w:bCs/>
                <w:sz w:val="16"/>
                <w:szCs w:val="16"/>
                <w:lang w:eastAsia="es-AR"/>
              </w:rPr>
            </w:pPr>
            <w:r w:rsidRPr="001D595F">
              <w:rPr>
                <w:rFonts w:ascii="Arial" w:hAnsi="Arial" w:cs="Arial"/>
                <w:b/>
                <w:bCs/>
                <w:sz w:val="16"/>
                <w:szCs w:val="16"/>
                <w:lang w:eastAsia="es-AR"/>
              </w:rPr>
              <w:t xml:space="preserve">Componentes de Otro Resultado Integral que se reclasificarán al resultado del </w:t>
            </w:r>
            <w:r>
              <w:rPr>
                <w:rFonts w:ascii="Arial" w:hAnsi="Arial" w:cs="Arial"/>
                <w:b/>
                <w:bCs/>
                <w:sz w:val="16"/>
                <w:szCs w:val="16"/>
                <w:lang w:eastAsia="es-AR"/>
              </w:rPr>
              <w:t>período</w:t>
            </w:r>
          </w:p>
        </w:tc>
        <w:tc>
          <w:tcPr>
            <w:tcW w:w="992" w:type="dxa"/>
            <w:tcBorders>
              <w:top w:val="nil"/>
              <w:left w:val="nil"/>
              <w:bottom w:val="nil"/>
              <w:right w:val="nil"/>
            </w:tcBorders>
            <w:shd w:val="clear" w:color="auto" w:fill="auto"/>
            <w:noWrap/>
            <w:vAlign w:val="bottom"/>
          </w:tcPr>
          <w:p w14:paraId="5AA01E78" w14:textId="207EC2EE" w:rsidR="00FC0B7C" w:rsidRPr="0049136B"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4905E069" w14:textId="6B9C2DFF" w:rsidR="00FC0B7C" w:rsidRPr="0049136B" w:rsidRDefault="00FC0B7C">
            <w:pPr>
              <w:jc w:val="right"/>
              <w:rPr>
                <w:rFonts w:ascii="Arial" w:hAnsi="Arial" w:cs="Arial"/>
                <w:sz w:val="16"/>
                <w:szCs w:val="16"/>
                <w:lang w:eastAsia="es-AR"/>
              </w:rPr>
            </w:pPr>
          </w:p>
        </w:tc>
      </w:tr>
      <w:tr w:rsidR="00FC0B7C" w:rsidRPr="001D595F" w14:paraId="79A02193" w14:textId="77777777" w:rsidTr="00FC0B7C">
        <w:trPr>
          <w:trHeight w:val="80"/>
        </w:trPr>
        <w:tc>
          <w:tcPr>
            <w:tcW w:w="5524" w:type="dxa"/>
            <w:tcBorders>
              <w:top w:val="nil"/>
              <w:left w:val="nil"/>
              <w:bottom w:val="nil"/>
              <w:right w:val="nil"/>
            </w:tcBorders>
            <w:shd w:val="clear" w:color="auto" w:fill="auto"/>
            <w:hideMark/>
          </w:tcPr>
          <w:p w14:paraId="7DC3E0D2" w14:textId="77777777" w:rsidR="00FC0B7C" w:rsidRPr="001D595F" w:rsidRDefault="00FC0B7C" w:rsidP="004C606B">
            <w:pPr>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2DAC1521" w14:textId="03282325" w:rsidR="00FC0B7C" w:rsidRPr="0049136B"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2790D09F" w14:textId="74172343" w:rsidR="00FC0B7C" w:rsidRPr="0049136B" w:rsidRDefault="00FC0B7C">
            <w:pPr>
              <w:jc w:val="right"/>
              <w:rPr>
                <w:rFonts w:ascii="Arial" w:hAnsi="Arial" w:cs="Arial"/>
                <w:sz w:val="16"/>
                <w:szCs w:val="16"/>
                <w:lang w:eastAsia="es-AR"/>
              </w:rPr>
            </w:pPr>
          </w:p>
        </w:tc>
      </w:tr>
      <w:tr w:rsidR="00FC0B7C" w:rsidRPr="001D595F" w14:paraId="1BC9C035" w14:textId="77777777" w:rsidTr="00FC0B7C">
        <w:trPr>
          <w:trHeight w:val="491"/>
        </w:trPr>
        <w:tc>
          <w:tcPr>
            <w:tcW w:w="5524" w:type="dxa"/>
            <w:tcBorders>
              <w:top w:val="nil"/>
              <w:left w:val="nil"/>
              <w:bottom w:val="single" w:sz="4" w:space="0" w:color="auto"/>
              <w:right w:val="nil"/>
            </w:tcBorders>
            <w:shd w:val="clear" w:color="auto" w:fill="auto"/>
            <w:vAlign w:val="bottom"/>
            <w:hideMark/>
          </w:tcPr>
          <w:p w14:paraId="0F34FEFD" w14:textId="77777777" w:rsidR="00FC0B7C" w:rsidRPr="001D595F" w:rsidRDefault="00FC0B7C" w:rsidP="004C606B">
            <w:pPr>
              <w:rPr>
                <w:rFonts w:ascii="Arial" w:hAnsi="Arial" w:cs="Arial"/>
                <w:b/>
                <w:bCs/>
                <w:sz w:val="16"/>
                <w:szCs w:val="16"/>
                <w:lang w:eastAsia="es-AR"/>
              </w:rPr>
            </w:pPr>
            <w:r w:rsidRPr="001D595F">
              <w:rPr>
                <w:rFonts w:ascii="Arial" w:hAnsi="Arial" w:cs="Arial"/>
                <w:b/>
                <w:bCs/>
                <w:sz w:val="16"/>
                <w:szCs w:val="16"/>
                <w:lang w:eastAsia="es-AR"/>
              </w:rPr>
              <w:t>Ganancias o pérdidas por instrumentos financieros a valor razonable con cambios en el ORI (Punto 4.1.2a de la NIIF 9)</w:t>
            </w:r>
          </w:p>
        </w:tc>
        <w:tc>
          <w:tcPr>
            <w:tcW w:w="992" w:type="dxa"/>
            <w:tcBorders>
              <w:top w:val="nil"/>
              <w:left w:val="nil"/>
              <w:bottom w:val="single" w:sz="4" w:space="0" w:color="auto"/>
              <w:right w:val="nil"/>
            </w:tcBorders>
            <w:shd w:val="clear" w:color="auto" w:fill="auto"/>
            <w:noWrap/>
            <w:vAlign w:val="bottom"/>
          </w:tcPr>
          <w:p w14:paraId="2634EB92" w14:textId="1E22817D" w:rsidR="00FC0B7C" w:rsidRPr="0049136B" w:rsidRDefault="00FC0B7C">
            <w:pPr>
              <w:jc w:val="right"/>
              <w:rPr>
                <w:rFonts w:ascii="Arial" w:hAnsi="Arial" w:cs="Arial"/>
                <w:b/>
                <w:bCs/>
                <w:sz w:val="16"/>
                <w:szCs w:val="16"/>
                <w:lang w:eastAsia="es-AR"/>
              </w:rPr>
            </w:pPr>
            <w:r>
              <w:rPr>
                <w:rFonts w:ascii="Arial" w:hAnsi="Arial" w:cs="Arial"/>
                <w:b/>
                <w:bCs/>
                <w:sz w:val="16"/>
                <w:szCs w:val="16"/>
                <w:lang w:eastAsia="es-AR"/>
              </w:rPr>
              <w:t>-</w:t>
            </w:r>
            <w:r w:rsidR="00CC3101">
              <w:rPr>
                <w:rFonts w:ascii="Arial" w:hAnsi="Arial" w:cs="Arial"/>
                <w:b/>
                <w:bCs/>
                <w:sz w:val="16"/>
                <w:szCs w:val="16"/>
                <w:lang w:eastAsia="es-AR"/>
              </w:rPr>
              <w:t>47.760</w:t>
            </w:r>
          </w:p>
        </w:tc>
        <w:tc>
          <w:tcPr>
            <w:tcW w:w="992" w:type="dxa"/>
            <w:tcBorders>
              <w:top w:val="nil"/>
              <w:left w:val="nil"/>
              <w:bottom w:val="single" w:sz="4" w:space="0" w:color="auto"/>
              <w:right w:val="nil"/>
            </w:tcBorders>
            <w:shd w:val="clear" w:color="auto" w:fill="auto"/>
            <w:noWrap/>
            <w:vAlign w:val="bottom"/>
          </w:tcPr>
          <w:p w14:paraId="03C4464E" w14:textId="6AE313FE" w:rsidR="00FC0B7C" w:rsidRPr="0049136B" w:rsidRDefault="00CC3101">
            <w:pPr>
              <w:jc w:val="right"/>
              <w:rPr>
                <w:rFonts w:ascii="Arial" w:hAnsi="Arial" w:cs="Arial"/>
                <w:b/>
                <w:bCs/>
                <w:sz w:val="16"/>
                <w:szCs w:val="16"/>
                <w:lang w:eastAsia="es-AR"/>
              </w:rPr>
            </w:pPr>
            <w:r>
              <w:rPr>
                <w:rFonts w:ascii="Arial" w:hAnsi="Arial" w:cs="Arial"/>
                <w:b/>
                <w:bCs/>
                <w:sz w:val="16"/>
                <w:szCs w:val="16"/>
                <w:lang w:eastAsia="es-AR"/>
              </w:rPr>
              <w:t>-934</w:t>
            </w:r>
          </w:p>
        </w:tc>
      </w:tr>
      <w:tr w:rsidR="00FC0B7C" w:rsidRPr="001D595F" w14:paraId="39D9D68A" w14:textId="77777777" w:rsidTr="00FC0B7C">
        <w:trPr>
          <w:trHeight w:val="510"/>
        </w:trPr>
        <w:tc>
          <w:tcPr>
            <w:tcW w:w="5524" w:type="dxa"/>
            <w:tcBorders>
              <w:top w:val="nil"/>
              <w:left w:val="nil"/>
              <w:bottom w:val="nil"/>
              <w:right w:val="nil"/>
            </w:tcBorders>
            <w:shd w:val="clear" w:color="auto" w:fill="auto"/>
            <w:vAlign w:val="bottom"/>
            <w:hideMark/>
          </w:tcPr>
          <w:p w14:paraId="25DF68A1" w14:textId="106467C7" w:rsidR="00FC0B7C" w:rsidRPr="001D595F" w:rsidRDefault="00FC0B7C" w:rsidP="004C606B">
            <w:pPr>
              <w:rPr>
                <w:rFonts w:ascii="Arial" w:hAnsi="Arial" w:cs="Arial"/>
                <w:sz w:val="16"/>
                <w:szCs w:val="16"/>
                <w:lang w:eastAsia="es-AR"/>
              </w:rPr>
            </w:pPr>
            <w:r w:rsidRPr="001D595F">
              <w:rPr>
                <w:rFonts w:ascii="Arial" w:hAnsi="Arial" w:cs="Arial"/>
                <w:sz w:val="16"/>
                <w:szCs w:val="16"/>
                <w:lang w:eastAsia="es-AR"/>
              </w:rPr>
              <w:t xml:space="preserve">Resultado del </w:t>
            </w:r>
            <w:r>
              <w:rPr>
                <w:rFonts w:ascii="Arial" w:hAnsi="Arial" w:cs="Arial"/>
                <w:sz w:val="16"/>
                <w:szCs w:val="16"/>
                <w:lang w:eastAsia="es-AR"/>
              </w:rPr>
              <w:t>período</w:t>
            </w:r>
            <w:r w:rsidRPr="001D595F">
              <w:rPr>
                <w:rFonts w:ascii="Arial" w:hAnsi="Arial" w:cs="Arial"/>
                <w:sz w:val="16"/>
                <w:szCs w:val="16"/>
                <w:lang w:eastAsia="es-AR"/>
              </w:rPr>
              <w:t xml:space="preserve"> por instrumentos financieros a valor razonable con cambios en el ORI</w:t>
            </w:r>
          </w:p>
        </w:tc>
        <w:tc>
          <w:tcPr>
            <w:tcW w:w="992" w:type="dxa"/>
            <w:tcBorders>
              <w:top w:val="nil"/>
              <w:left w:val="nil"/>
              <w:bottom w:val="nil"/>
              <w:right w:val="nil"/>
            </w:tcBorders>
            <w:shd w:val="clear" w:color="auto" w:fill="auto"/>
            <w:noWrap/>
            <w:vAlign w:val="bottom"/>
          </w:tcPr>
          <w:p w14:paraId="0FDD95CD" w14:textId="5FB24CEF" w:rsidR="00FC0B7C" w:rsidRPr="0049136B" w:rsidRDefault="00FC0B7C">
            <w:pPr>
              <w:jc w:val="right"/>
              <w:rPr>
                <w:rFonts w:ascii="Arial" w:hAnsi="Arial" w:cs="Arial"/>
                <w:sz w:val="16"/>
                <w:szCs w:val="16"/>
                <w:lang w:eastAsia="es-AR"/>
              </w:rPr>
            </w:pPr>
            <w:r>
              <w:rPr>
                <w:rFonts w:ascii="Arial" w:hAnsi="Arial" w:cs="Arial"/>
                <w:sz w:val="16"/>
                <w:szCs w:val="16"/>
                <w:lang w:eastAsia="es-AR"/>
              </w:rPr>
              <w:t>-</w:t>
            </w:r>
            <w:r w:rsidR="00CC3101">
              <w:rPr>
                <w:rFonts w:ascii="Arial" w:hAnsi="Arial" w:cs="Arial"/>
                <w:sz w:val="16"/>
                <w:szCs w:val="16"/>
                <w:lang w:eastAsia="es-AR"/>
              </w:rPr>
              <w:t>64.809</w:t>
            </w:r>
          </w:p>
        </w:tc>
        <w:tc>
          <w:tcPr>
            <w:tcW w:w="992" w:type="dxa"/>
            <w:tcBorders>
              <w:top w:val="nil"/>
              <w:left w:val="nil"/>
              <w:bottom w:val="nil"/>
              <w:right w:val="nil"/>
            </w:tcBorders>
            <w:shd w:val="clear" w:color="auto" w:fill="auto"/>
            <w:noWrap/>
            <w:vAlign w:val="bottom"/>
          </w:tcPr>
          <w:p w14:paraId="22052143" w14:textId="38495A1B" w:rsidR="00FC0B7C" w:rsidRPr="0049136B" w:rsidRDefault="00CC3101">
            <w:pPr>
              <w:jc w:val="right"/>
              <w:rPr>
                <w:rFonts w:ascii="Arial" w:hAnsi="Arial" w:cs="Arial"/>
                <w:sz w:val="16"/>
                <w:szCs w:val="16"/>
                <w:lang w:eastAsia="es-AR"/>
              </w:rPr>
            </w:pPr>
            <w:r>
              <w:rPr>
                <w:rFonts w:ascii="Arial" w:hAnsi="Arial" w:cs="Arial"/>
                <w:sz w:val="16"/>
                <w:szCs w:val="16"/>
                <w:lang w:eastAsia="es-AR"/>
              </w:rPr>
              <w:t>-675</w:t>
            </w:r>
          </w:p>
        </w:tc>
      </w:tr>
      <w:tr w:rsidR="00FC0B7C" w:rsidRPr="001D595F" w14:paraId="62E74C87" w14:textId="77777777" w:rsidTr="00FC0B7C">
        <w:trPr>
          <w:trHeight w:val="285"/>
        </w:trPr>
        <w:tc>
          <w:tcPr>
            <w:tcW w:w="5524" w:type="dxa"/>
            <w:tcBorders>
              <w:top w:val="nil"/>
              <w:left w:val="nil"/>
              <w:bottom w:val="nil"/>
              <w:right w:val="nil"/>
            </w:tcBorders>
            <w:shd w:val="clear" w:color="auto" w:fill="auto"/>
            <w:hideMark/>
          </w:tcPr>
          <w:p w14:paraId="45ECFDF8" w14:textId="77777777" w:rsidR="00FC0B7C" w:rsidRPr="001D595F" w:rsidRDefault="00FC0B7C" w:rsidP="004C606B">
            <w:pPr>
              <w:rPr>
                <w:rFonts w:ascii="Arial" w:hAnsi="Arial" w:cs="Arial"/>
                <w:sz w:val="16"/>
                <w:szCs w:val="16"/>
                <w:lang w:eastAsia="es-AR"/>
              </w:rPr>
            </w:pPr>
            <w:r w:rsidRPr="001D595F">
              <w:rPr>
                <w:rFonts w:ascii="Arial" w:hAnsi="Arial" w:cs="Arial"/>
                <w:sz w:val="16"/>
                <w:szCs w:val="16"/>
                <w:lang w:eastAsia="es-AR"/>
              </w:rPr>
              <w:t>Impuesto a las ganancias</w:t>
            </w:r>
          </w:p>
        </w:tc>
        <w:tc>
          <w:tcPr>
            <w:tcW w:w="992" w:type="dxa"/>
            <w:tcBorders>
              <w:top w:val="nil"/>
              <w:left w:val="nil"/>
              <w:bottom w:val="nil"/>
              <w:right w:val="nil"/>
            </w:tcBorders>
            <w:shd w:val="clear" w:color="auto" w:fill="auto"/>
            <w:noWrap/>
            <w:vAlign w:val="bottom"/>
          </w:tcPr>
          <w:p w14:paraId="650E33BE" w14:textId="23550FDE" w:rsidR="00FC0B7C" w:rsidRPr="0049136B" w:rsidRDefault="00CC3101">
            <w:pPr>
              <w:jc w:val="right"/>
              <w:rPr>
                <w:rFonts w:ascii="Arial" w:hAnsi="Arial" w:cs="Arial"/>
                <w:sz w:val="16"/>
                <w:szCs w:val="16"/>
                <w:lang w:eastAsia="es-AR"/>
              </w:rPr>
            </w:pPr>
            <w:r>
              <w:rPr>
                <w:rFonts w:ascii="Arial" w:hAnsi="Arial" w:cs="Arial"/>
                <w:sz w:val="16"/>
                <w:szCs w:val="16"/>
                <w:lang w:eastAsia="es-AR"/>
              </w:rPr>
              <w:t>17.049</w:t>
            </w:r>
          </w:p>
        </w:tc>
        <w:tc>
          <w:tcPr>
            <w:tcW w:w="992" w:type="dxa"/>
            <w:tcBorders>
              <w:top w:val="nil"/>
              <w:left w:val="nil"/>
              <w:bottom w:val="nil"/>
              <w:right w:val="nil"/>
            </w:tcBorders>
            <w:shd w:val="clear" w:color="auto" w:fill="auto"/>
            <w:noWrap/>
            <w:vAlign w:val="bottom"/>
          </w:tcPr>
          <w:p w14:paraId="000F3816" w14:textId="6FFE6913" w:rsidR="00FC0B7C" w:rsidRPr="0049136B" w:rsidRDefault="00CC3101">
            <w:pPr>
              <w:jc w:val="right"/>
              <w:rPr>
                <w:rFonts w:ascii="Arial" w:hAnsi="Arial" w:cs="Arial"/>
                <w:sz w:val="16"/>
                <w:szCs w:val="16"/>
                <w:lang w:eastAsia="es-AR"/>
              </w:rPr>
            </w:pPr>
            <w:r>
              <w:rPr>
                <w:rFonts w:ascii="Arial" w:hAnsi="Arial" w:cs="Arial"/>
                <w:sz w:val="16"/>
                <w:szCs w:val="16"/>
                <w:lang w:eastAsia="es-AR"/>
              </w:rPr>
              <w:t>-259</w:t>
            </w:r>
          </w:p>
        </w:tc>
      </w:tr>
      <w:tr w:rsidR="00FC0B7C" w:rsidRPr="001D595F" w14:paraId="78B11430" w14:textId="77777777" w:rsidTr="00FC0B7C">
        <w:trPr>
          <w:trHeight w:val="347"/>
        </w:trPr>
        <w:tc>
          <w:tcPr>
            <w:tcW w:w="5524" w:type="dxa"/>
            <w:tcBorders>
              <w:top w:val="single" w:sz="4" w:space="0" w:color="auto"/>
              <w:left w:val="nil"/>
              <w:bottom w:val="nil"/>
              <w:right w:val="nil"/>
            </w:tcBorders>
            <w:shd w:val="clear" w:color="auto" w:fill="auto"/>
            <w:hideMark/>
          </w:tcPr>
          <w:p w14:paraId="5E6FBB26" w14:textId="0F6C1975" w:rsidR="00FC0B7C" w:rsidRPr="001D595F" w:rsidRDefault="00FC0B7C" w:rsidP="004C606B">
            <w:pPr>
              <w:rPr>
                <w:rFonts w:ascii="Arial" w:hAnsi="Arial" w:cs="Arial"/>
                <w:b/>
                <w:bCs/>
                <w:sz w:val="16"/>
                <w:szCs w:val="16"/>
                <w:lang w:eastAsia="es-AR"/>
              </w:rPr>
            </w:pPr>
            <w:r w:rsidRPr="001D595F">
              <w:rPr>
                <w:rFonts w:ascii="Arial" w:hAnsi="Arial" w:cs="Arial"/>
                <w:b/>
                <w:bCs/>
                <w:sz w:val="16"/>
                <w:szCs w:val="16"/>
                <w:lang w:eastAsia="es-AR"/>
              </w:rPr>
              <w:t xml:space="preserve">Total Otro Resultado Integral que se reclasificará al resultado del </w:t>
            </w:r>
            <w:r>
              <w:rPr>
                <w:rFonts w:ascii="Arial" w:hAnsi="Arial" w:cs="Arial"/>
                <w:b/>
                <w:bCs/>
                <w:sz w:val="16"/>
                <w:szCs w:val="16"/>
                <w:lang w:eastAsia="es-AR"/>
              </w:rPr>
              <w:t>período</w:t>
            </w:r>
          </w:p>
        </w:tc>
        <w:tc>
          <w:tcPr>
            <w:tcW w:w="992" w:type="dxa"/>
            <w:tcBorders>
              <w:top w:val="single" w:sz="4" w:space="0" w:color="auto"/>
              <w:left w:val="nil"/>
              <w:bottom w:val="nil"/>
              <w:right w:val="nil"/>
            </w:tcBorders>
            <w:shd w:val="clear" w:color="auto" w:fill="auto"/>
            <w:noWrap/>
            <w:vAlign w:val="bottom"/>
          </w:tcPr>
          <w:p w14:paraId="7CB873E4" w14:textId="36CEB241" w:rsidR="00FC0B7C" w:rsidRPr="0049136B" w:rsidRDefault="00FC0B7C">
            <w:pPr>
              <w:jc w:val="right"/>
              <w:rPr>
                <w:rFonts w:ascii="Arial" w:hAnsi="Arial" w:cs="Arial"/>
                <w:b/>
                <w:bCs/>
                <w:sz w:val="16"/>
                <w:szCs w:val="16"/>
                <w:lang w:eastAsia="es-AR"/>
              </w:rPr>
            </w:pPr>
            <w:r>
              <w:rPr>
                <w:rFonts w:ascii="Arial" w:hAnsi="Arial" w:cs="Arial"/>
                <w:b/>
                <w:bCs/>
                <w:sz w:val="16"/>
                <w:szCs w:val="16"/>
                <w:lang w:eastAsia="es-AR"/>
              </w:rPr>
              <w:t>-</w:t>
            </w:r>
            <w:r w:rsidR="00CC3101">
              <w:rPr>
                <w:rFonts w:ascii="Arial" w:hAnsi="Arial" w:cs="Arial"/>
                <w:b/>
                <w:bCs/>
                <w:sz w:val="16"/>
                <w:szCs w:val="16"/>
                <w:lang w:eastAsia="es-AR"/>
              </w:rPr>
              <w:t>47.760</w:t>
            </w:r>
          </w:p>
        </w:tc>
        <w:tc>
          <w:tcPr>
            <w:tcW w:w="992" w:type="dxa"/>
            <w:tcBorders>
              <w:top w:val="single" w:sz="4" w:space="0" w:color="auto"/>
              <w:left w:val="nil"/>
              <w:bottom w:val="nil"/>
              <w:right w:val="nil"/>
            </w:tcBorders>
            <w:shd w:val="clear" w:color="auto" w:fill="auto"/>
            <w:noWrap/>
            <w:vAlign w:val="bottom"/>
          </w:tcPr>
          <w:p w14:paraId="615799B8" w14:textId="0F15EC9A" w:rsidR="00FC0B7C" w:rsidRPr="0049136B" w:rsidRDefault="00CC3101">
            <w:pPr>
              <w:jc w:val="right"/>
              <w:rPr>
                <w:rFonts w:ascii="Arial" w:hAnsi="Arial" w:cs="Arial"/>
                <w:b/>
                <w:bCs/>
                <w:sz w:val="16"/>
                <w:szCs w:val="16"/>
                <w:lang w:eastAsia="es-AR"/>
              </w:rPr>
            </w:pPr>
            <w:r>
              <w:rPr>
                <w:rFonts w:ascii="Arial" w:hAnsi="Arial" w:cs="Arial"/>
                <w:b/>
                <w:bCs/>
                <w:sz w:val="16"/>
                <w:szCs w:val="16"/>
                <w:lang w:eastAsia="es-AR"/>
              </w:rPr>
              <w:t>-934</w:t>
            </w:r>
          </w:p>
        </w:tc>
      </w:tr>
      <w:tr w:rsidR="00FC0B7C" w:rsidRPr="00D90557" w14:paraId="73006CAC" w14:textId="77777777" w:rsidTr="00FC0B7C">
        <w:trPr>
          <w:trHeight w:val="80"/>
        </w:trPr>
        <w:tc>
          <w:tcPr>
            <w:tcW w:w="5524" w:type="dxa"/>
            <w:tcBorders>
              <w:top w:val="nil"/>
              <w:left w:val="nil"/>
              <w:bottom w:val="nil"/>
              <w:right w:val="nil"/>
            </w:tcBorders>
            <w:shd w:val="clear" w:color="auto" w:fill="auto"/>
            <w:hideMark/>
          </w:tcPr>
          <w:p w14:paraId="3C60684E" w14:textId="77777777" w:rsidR="00FC0B7C" w:rsidRPr="00D90557" w:rsidRDefault="00FC0B7C" w:rsidP="004C606B">
            <w:pPr>
              <w:rPr>
                <w:rFonts w:ascii="Arial" w:hAnsi="Arial" w:cs="Arial"/>
                <w:b/>
                <w:bCs/>
                <w:sz w:val="10"/>
                <w:szCs w:val="10"/>
                <w:lang w:eastAsia="es-AR"/>
              </w:rPr>
            </w:pPr>
          </w:p>
        </w:tc>
        <w:tc>
          <w:tcPr>
            <w:tcW w:w="992" w:type="dxa"/>
            <w:tcBorders>
              <w:top w:val="nil"/>
              <w:left w:val="nil"/>
              <w:bottom w:val="nil"/>
              <w:right w:val="nil"/>
            </w:tcBorders>
            <w:shd w:val="clear" w:color="auto" w:fill="auto"/>
            <w:noWrap/>
            <w:vAlign w:val="bottom"/>
          </w:tcPr>
          <w:p w14:paraId="295A4D9A" w14:textId="42C0457E" w:rsidR="00FC0B7C" w:rsidRPr="00534414"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620B9FDB" w14:textId="531BDA8F" w:rsidR="00FC0B7C" w:rsidRPr="00534414" w:rsidRDefault="00FC0B7C">
            <w:pPr>
              <w:jc w:val="right"/>
              <w:rPr>
                <w:rFonts w:ascii="Arial" w:hAnsi="Arial" w:cs="Arial"/>
                <w:sz w:val="16"/>
                <w:szCs w:val="16"/>
                <w:lang w:eastAsia="es-AR"/>
              </w:rPr>
            </w:pPr>
          </w:p>
        </w:tc>
      </w:tr>
      <w:tr w:rsidR="00FC0B7C" w:rsidRPr="001D595F" w14:paraId="04A946D2" w14:textId="77777777" w:rsidTr="00FC0B7C">
        <w:trPr>
          <w:trHeight w:val="83"/>
        </w:trPr>
        <w:tc>
          <w:tcPr>
            <w:tcW w:w="5524" w:type="dxa"/>
            <w:tcBorders>
              <w:top w:val="single" w:sz="4" w:space="0" w:color="auto"/>
              <w:left w:val="nil"/>
              <w:bottom w:val="single" w:sz="4" w:space="0" w:color="auto"/>
              <w:right w:val="nil"/>
            </w:tcBorders>
            <w:shd w:val="clear" w:color="auto" w:fill="auto"/>
            <w:hideMark/>
          </w:tcPr>
          <w:p w14:paraId="7255F3B3" w14:textId="77777777" w:rsidR="00FC0B7C" w:rsidRPr="001D595F" w:rsidRDefault="00FC0B7C" w:rsidP="00911787">
            <w:pPr>
              <w:rPr>
                <w:rFonts w:ascii="Arial" w:hAnsi="Arial" w:cs="Arial"/>
                <w:b/>
                <w:bCs/>
                <w:sz w:val="16"/>
                <w:szCs w:val="16"/>
                <w:lang w:eastAsia="es-AR"/>
              </w:rPr>
            </w:pPr>
            <w:r w:rsidRPr="001D595F">
              <w:rPr>
                <w:rFonts w:ascii="Arial" w:hAnsi="Arial" w:cs="Arial"/>
                <w:b/>
                <w:bCs/>
                <w:sz w:val="16"/>
                <w:szCs w:val="16"/>
                <w:lang w:eastAsia="es-AR"/>
              </w:rPr>
              <w:t>Total Otro Resultado Integral</w:t>
            </w:r>
          </w:p>
        </w:tc>
        <w:tc>
          <w:tcPr>
            <w:tcW w:w="992" w:type="dxa"/>
            <w:tcBorders>
              <w:top w:val="single" w:sz="4" w:space="0" w:color="auto"/>
              <w:left w:val="nil"/>
              <w:bottom w:val="single" w:sz="4" w:space="0" w:color="auto"/>
              <w:right w:val="nil"/>
            </w:tcBorders>
            <w:shd w:val="clear" w:color="auto" w:fill="auto"/>
            <w:noWrap/>
          </w:tcPr>
          <w:p w14:paraId="15AF6A40" w14:textId="6676B4D1" w:rsidR="00FC0B7C" w:rsidRPr="00911787" w:rsidRDefault="00FC0B7C" w:rsidP="00911787">
            <w:pPr>
              <w:jc w:val="right"/>
              <w:rPr>
                <w:rFonts w:ascii="Arial" w:hAnsi="Arial" w:cs="Arial"/>
                <w:b/>
                <w:bCs/>
                <w:sz w:val="16"/>
                <w:szCs w:val="16"/>
                <w:lang w:val="es-ES_tradnl" w:eastAsia="es-AR"/>
              </w:rPr>
            </w:pPr>
            <w:r w:rsidRPr="00911787">
              <w:rPr>
                <w:rFonts w:ascii="Arial" w:hAnsi="Arial" w:cs="Arial"/>
                <w:b/>
                <w:sz w:val="16"/>
                <w:szCs w:val="16"/>
              </w:rPr>
              <w:t xml:space="preserve"> </w:t>
            </w:r>
            <w:r w:rsidR="00CC3101">
              <w:rPr>
                <w:rFonts w:ascii="Arial" w:hAnsi="Arial" w:cs="Arial"/>
                <w:b/>
                <w:sz w:val="16"/>
                <w:szCs w:val="16"/>
              </w:rPr>
              <w:t>-48</w:t>
            </w:r>
            <w:r w:rsidRPr="00911787">
              <w:rPr>
                <w:rFonts w:ascii="Arial" w:hAnsi="Arial" w:cs="Arial"/>
                <w:b/>
                <w:sz w:val="16"/>
                <w:szCs w:val="16"/>
              </w:rPr>
              <w:t>.</w:t>
            </w:r>
            <w:r w:rsidR="00CC3101">
              <w:rPr>
                <w:rFonts w:ascii="Arial" w:hAnsi="Arial" w:cs="Arial"/>
                <w:b/>
                <w:sz w:val="16"/>
                <w:szCs w:val="16"/>
              </w:rPr>
              <w:t>239</w:t>
            </w:r>
            <w:r w:rsidRPr="00911787">
              <w:rPr>
                <w:rFonts w:ascii="Arial" w:hAnsi="Arial" w:cs="Arial"/>
                <w:b/>
                <w:sz w:val="16"/>
                <w:szCs w:val="16"/>
              </w:rPr>
              <w:t xml:space="preserve"> </w:t>
            </w:r>
          </w:p>
        </w:tc>
        <w:tc>
          <w:tcPr>
            <w:tcW w:w="992" w:type="dxa"/>
            <w:tcBorders>
              <w:top w:val="single" w:sz="4" w:space="0" w:color="auto"/>
              <w:left w:val="nil"/>
              <w:bottom w:val="single" w:sz="4" w:space="0" w:color="auto"/>
              <w:right w:val="nil"/>
            </w:tcBorders>
            <w:shd w:val="clear" w:color="auto" w:fill="auto"/>
            <w:noWrap/>
          </w:tcPr>
          <w:p w14:paraId="5E9E9439" w14:textId="022627D6"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CC3101">
              <w:rPr>
                <w:rFonts w:ascii="Arial" w:hAnsi="Arial" w:cs="Arial"/>
                <w:b/>
                <w:sz w:val="16"/>
                <w:szCs w:val="16"/>
              </w:rPr>
              <w:t>-2</w:t>
            </w:r>
            <w:r w:rsidRPr="00911787">
              <w:rPr>
                <w:rFonts w:ascii="Arial" w:hAnsi="Arial" w:cs="Arial"/>
                <w:b/>
                <w:sz w:val="16"/>
                <w:szCs w:val="16"/>
              </w:rPr>
              <w:t>.</w:t>
            </w:r>
            <w:r w:rsidR="00CC3101">
              <w:rPr>
                <w:rFonts w:ascii="Arial" w:hAnsi="Arial" w:cs="Arial"/>
                <w:b/>
                <w:sz w:val="16"/>
                <w:szCs w:val="16"/>
              </w:rPr>
              <w:t>010</w:t>
            </w:r>
            <w:r w:rsidRPr="00911787">
              <w:rPr>
                <w:rFonts w:ascii="Arial" w:hAnsi="Arial" w:cs="Arial"/>
                <w:b/>
                <w:sz w:val="16"/>
                <w:szCs w:val="16"/>
              </w:rPr>
              <w:t xml:space="preserve"> </w:t>
            </w:r>
          </w:p>
        </w:tc>
      </w:tr>
      <w:tr w:rsidR="00FC0B7C" w:rsidRPr="001D595F" w14:paraId="1CB45111" w14:textId="77777777" w:rsidTr="00FC0B7C">
        <w:trPr>
          <w:trHeight w:val="164"/>
        </w:trPr>
        <w:tc>
          <w:tcPr>
            <w:tcW w:w="5524" w:type="dxa"/>
            <w:tcBorders>
              <w:top w:val="nil"/>
              <w:left w:val="nil"/>
              <w:bottom w:val="nil"/>
              <w:right w:val="nil"/>
            </w:tcBorders>
            <w:shd w:val="clear" w:color="auto" w:fill="auto"/>
            <w:hideMark/>
          </w:tcPr>
          <w:p w14:paraId="6D0EA048" w14:textId="77777777" w:rsidR="00FC0B7C" w:rsidRPr="001D595F" w:rsidRDefault="00FC0B7C" w:rsidP="004C606B">
            <w:pPr>
              <w:rPr>
                <w:rFonts w:ascii="Arial" w:hAnsi="Arial" w:cs="Arial"/>
                <w:b/>
                <w:bCs/>
                <w:sz w:val="16"/>
                <w:szCs w:val="16"/>
                <w:lang w:eastAsia="es-AR"/>
              </w:rPr>
            </w:pPr>
          </w:p>
        </w:tc>
        <w:tc>
          <w:tcPr>
            <w:tcW w:w="992" w:type="dxa"/>
            <w:tcBorders>
              <w:top w:val="nil"/>
              <w:left w:val="nil"/>
              <w:bottom w:val="nil"/>
              <w:right w:val="nil"/>
            </w:tcBorders>
            <w:shd w:val="clear" w:color="auto" w:fill="auto"/>
            <w:noWrap/>
            <w:vAlign w:val="bottom"/>
          </w:tcPr>
          <w:p w14:paraId="6B157DF0" w14:textId="78ACB06A" w:rsidR="00FC0B7C" w:rsidRPr="0049136B" w:rsidRDefault="00FC0B7C">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bottom"/>
          </w:tcPr>
          <w:p w14:paraId="72114C98" w14:textId="4B3E870D" w:rsidR="00FC0B7C" w:rsidRPr="0049136B" w:rsidRDefault="00FC0B7C">
            <w:pPr>
              <w:jc w:val="right"/>
              <w:rPr>
                <w:rFonts w:ascii="Arial" w:hAnsi="Arial" w:cs="Arial"/>
                <w:sz w:val="16"/>
                <w:szCs w:val="16"/>
                <w:lang w:eastAsia="es-AR"/>
              </w:rPr>
            </w:pPr>
          </w:p>
        </w:tc>
      </w:tr>
      <w:tr w:rsidR="00FC0B7C" w:rsidRPr="001D595F" w14:paraId="0193AB6B" w14:textId="77777777" w:rsidTr="00FC0B7C">
        <w:trPr>
          <w:trHeight w:val="129"/>
        </w:trPr>
        <w:tc>
          <w:tcPr>
            <w:tcW w:w="5524" w:type="dxa"/>
            <w:tcBorders>
              <w:top w:val="single" w:sz="4" w:space="0" w:color="auto"/>
              <w:left w:val="nil"/>
              <w:bottom w:val="single" w:sz="4" w:space="0" w:color="auto"/>
              <w:right w:val="nil"/>
            </w:tcBorders>
            <w:shd w:val="clear" w:color="auto" w:fill="auto"/>
            <w:hideMark/>
          </w:tcPr>
          <w:p w14:paraId="4C96B7BE" w14:textId="77777777" w:rsidR="00FC0B7C" w:rsidRPr="001D595F" w:rsidRDefault="00FC0B7C" w:rsidP="00911787">
            <w:pPr>
              <w:rPr>
                <w:rFonts w:ascii="Arial" w:hAnsi="Arial" w:cs="Arial"/>
                <w:b/>
                <w:bCs/>
                <w:sz w:val="16"/>
                <w:szCs w:val="16"/>
                <w:lang w:eastAsia="es-AR"/>
              </w:rPr>
            </w:pPr>
            <w:r w:rsidRPr="001D595F">
              <w:rPr>
                <w:rFonts w:ascii="Arial" w:hAnsi="Arial" w:cs="Arial"/>
                <w:b/>
                <w:bCs/>
                <w:sz w:val="16"/>
                <w:szCs w:val="16"/>
                <w:lang w:eastAsia="es-AR"/>
              </w:rPr>
              <w:t>RESULTADO INTEGRAL TOTAL</w:t>
            </w:r>
          </w:p>
        </w:tc>
        <w:tc>
          <w:tcPr>
            <w:tcW w:w="992" w:type="dxa"/>
            <w:tcBorders>
              <w:top w:val="single" w:sz="4" w:space="0" w:color="auto"/>
              <w:left w:val="nil"/>
              <w:bottom w:val="single" w:sz="4" w:space="0" w:color="auto"/>
              <w:right w:val="nil"/>
            </w:tcBorders>
            <w:shd w:val="clear" w:color="auto" w:fill="auto"/>
            <w:noWrap/>
          </w:tcPr>
          <w:p w14:paraId="15C470E0" w14:textId="665C338B" w:rsidR="00FC0B7C" w:rsidRPr="00911787" w:rsidRDefault="00FC0B7C" w:rsidP="00911787">
            <w:pPr>
              <w:jc w:val="right"/>
              <w:rPr>
                <w:rFonts w:ascii="Arial" w:hAnsi="Arial" w:cs="Arial"/>
                <w:b/>
                <w:bCs/>
                <w:sz w:val="16"/>
                <w:szCs w:val="16"/>
                <w:lang w:val="es-ES_tradnl" w:eastAsia="es-AR"/>
              </w:rPr>
            </w:pPr>
            <w:r w:rsidRPr="00911787">
              <w:rPr>
                <w:rFonts w:ascii="Arial" w:hAnsi="Arial" w:cs="Arial"/>
                <w:b/>
                <w:sz w:val="16"/>
                <w:szCs w:val="16"/>
              </w:rPr>
              <w:t xml:space="preserve"> </w:t>
            </w:r>
            <w:r w:rsidR="00CC3101">
              <w:rPr>
                <w:rFonts w:ascii="Arial" w:hAnsi="Arial" w:cs="Arial"/>
                <w:b/>
                <w:sz w:val="16"/>
                <w:szCs w:val="16"/>
              </w:rPr>
              <w:t>-48</w:t>
            </w:r>
            <w:r w:rsidRPr="00911787">
              <w:rPr>
                <w:rFonts w:ascii="Arial" w:hAnsi="Arial" w:cs="Arial"/>
                <w:b/>
                <w:sz w:val="16"/>
                <w:szCs w:val="16"/>
              </w:rPr>
              <w:t>.</w:t>
            </w:r>
            <w:r w:rsidR="00CC3101">
              <w:rPr>
                <w:rFonts w:ascii="Arial" w:hAnsi="Arial" w:cs="Arial"/>
                <w:b/>
                <w:sz w:val="16"/>
                <w:szCs w:val="16"/>
              </w:rPr>
              <w:t>239</w:t>
            </w:r>
            <w:r w:rsidRPr="00911787">
              <w:rPr>
                <w:rFonts w:ascii="Arial" w:hAnsi="Arial" w:cs="Arial"/>
                <w:b/>
                <w:sz w:val="16"/>
                <w:szCs w:val="16"/>
              </w:rPr>
              <w:t xml:space="preserve"> </w:t>
            </w:r>
          </w:p>
        </w:tc>
        <w:tc>
          <w:tcPr>
            <w:tcW w:w="992" w:type="dxa"/>
            <w:tcBorders>
              <w:top w:val="single" w:sz="4" w:space="0" w:color="auto"/>
              <w:left w:val="nil"/>
              <w:bottom w:val="single" w:sz="4" w:space="0" w:color="auto"/>
              <w:right w:val="nil"/>
            </w:tcBorders>
            <w:shd w:val="clear" w:color="auto" w:fill="auto"/>
            <w:noWrap/>
          </w:tcPr>
          <w:p w14:paraId="07451DC4" w14:textId="0131C7C5" w:rsidR="00FC0B7C" w:rsidRPr="00911787" w:rsidRDefault="00FC0B7C" w:rsidP="00911787">
            <w:pPr>
              <w:jc w:val="right"/>
              <w:rPr>
                <w:rFonts w:ascii="Arial" w:hAnsi="Arial" w:cs="Arial"/>
                <w:b/>
                <w:bCs/>
                <w:sz w:val="16"/>
                <w:szCs w:val="16"/>
                <w:lang w:eastAsia="es-AR"/>
              </w:rPr>
            </w:pPr>
            <w:r w:rsidRPr="00911787">
              <w:rPr>
                <w:rFonts w:ascii="Arial" w:hAnsi="Arial" w:cs="Arial"/>
                <w:b/>
                <w:sz w:val="16"/>
                <w:szCs w:val="16"/>
              </w:rPr>
              <w:t xml:space="preserve"> </w:t>
            </w:r>
            <w:r w:rsidR="00CC3101">
              <w:rPr>
                <w:rFonts w:ascii="Arial" w:hAnsi="Arial" w:cs="Arial"/>
                <w:b/>
                <w:sz w:val="16"/>
                <w:szCs w:val="16"/>
              </w:rPr>
              <w:t>-2</w:t>
            </w:r>
            <w:r w:rsidRPr="00911787">
              <w:rPr>
                <w:rFonts w:ascii="Arial" w:hAnsi="Arial" w:cs="Arial"/>
                <w:b/>
                <w:sz w:val="16"/>
                <w:szCs w:val="16"/>
              </w:rPr>
              <w:t>.</w:t>
            </w:r>
            <w:r w:rsidR="00CC3101">
              <w:rPr>
                <w:rFonts w:ascii="Arial" w:hAnsi="Arial" w:cs="Arial"/>
                <w:b/>
                <w:sz w:val="16"/>
                <w:szCs w:val="16"/>
              </w:rPr>
              <w:t>010</w:t>
            </w:r>
            <w:r w:rsidRPr="00911787">
              <w:rPr>
                <w:rFonts w:ascii="Arial" w:hAnsi="Arial" w:cs="Arial"/>
                <w:b/>
                <w:sz w:val="16"/>
                <w:szCs w:val="16"/>
              </w:rPr>
              <w:t xml:space="preserve"> </w:t>
            </w:r>
          </w:p>
        </w:tc>
      </w:tr>
      <w:tr w:rsidR="00FC0B7C" w:rsidRPr="001D595F" w14:paraId="0086D69F" w14:textId="77777777" w:rsidTr="00FC0B7C">
        <w:trPr>
          <w:trHeight w:val="288"/>
        </w:trPr>
        <w:tc>
          <w:tcPr>
            <w:tcW w:w="5524" w:type="dxa"/>
            <w:tcBorders>
              <w:top w:val="nil"/>
              <w:left w:val="nil"/>
              <w:bottom w:val="nil"/>
              <w:right w:val="nil"/>
            </w:tcBorders>
            <w:shd w:val="clear" w:color="auto" w:fill="auto"/>
            <w:vAlign w:val="center"/>
            <w:hideMark/>
          </w:tcPr>
          <w:p w14:paraId="1923D8BA" w14:textId="77777777" w:rsidR="00FC0B7C" w:rsidRPr="001D595F" w:rsidRDefault="00FC0B7C" w:rsidP="00911787">
            <w:pPr>
              <w:rPr>
                <w:rFonts w:ascii="Arial" w:hAnsi="Arial" w:cs="Arial"/>
                <w:sz w:val="16"/>
                <w:szCs w:val="16"/>
                <w:lang w:eastAsia="es-AR"/>
              </w:rPr>
            </w:pPr>
            <w:r w:rsidRPr="001D595F">
              <w:rPr>
                <w:rFonts w:ascii="Arial" w:hAnsi="Arial" w:cs="Arial"/>
                <w:sz w:val="16"/>
                <w:szCs w:val="16"/>
                <w:lang w:eastAsia="es-AR"/>
              </w:rPr>
              <w:t>Resultado integral total atribuible a los propietarios de la controladora</w:t>
            </w:r>
          </w:p>
        </w:tc>
        <w:tc>
          <w:tcPr>
            <w:tcW w:w="992" w:type="dxa"/>
            <w:tcBorders>
              <w:top w:val="nil"/>
              <w:left w:val="nil"/>
              <w:bottom w:val="nil"/>
              <w:right w:val="nil"/>
            </w:tcBorders>
            <w:shd w:val="clear" w:color="auto" w:fill="auto"/>
            <w:noWrap/>
            <w:vAlign w:val="center"/>
          </w:tcPr>
          <w:p w14:paraId="5BE35164" w14:textId="26023818"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32</w:t>
            </w:r>
            <w:r w:rsidR="00CC3101">
              <w:rPr>
                <w:rFonts w:ascii="Arial" w:hAnsi="Arial" w:cs="Arial"/>
                <w:sz w:val="16"/>
                <w:szCs w:val="16"/>
              </w:rPr>
              <w:t>4</w:t>
            </w:r>
            <w:r w:rsidRPr="00911787">
              <w:rPr>
                <w:rFonts w:ascii="Arial" w:hAnsi="Arial" w:cs="Arial"/>
                <w:sz w:val="16"/>
                <w:szCs w:val="16"/>
              </w:rPr>
              <w:t>.</w:t>
            </w:r>
            <w:r w:rsidR="00CC3101">
              <w:rPr>
                <w:rFonts w:ascii="Arial" w:hAnsi="Arial" w:cs="Arial"/>
                <w:sz w:val="16"/>
                <w:szCs w:val="16"/>
              </w:rPr>
              <w:t>801</w:t>
            </w:r>
            <w:r w:rsidRPr="00911787">
              <w:rPr>
                <w:rFonts w:ascii="Arial" w:hAnsi="Arial" w:cs="Arial"/>
                <w:sz w:val="16"/>
                <w:szCs w:val="16"/>
              </w:rPr>
              <w:t xml:space="preserve"> </w:t>
            </w:r>
          </w:p>
        </w:tc>
        <w:tc>
          <w:tcPr>
            <w:tcW w:w="992" w:type="dxa"/>
            <w:tcBorders>
              <w:top w:val="nil"/>
              <w:left w:val="nil"/>
              <w:bottom w:val="nil"/>
              <w:right w:val="nil"/>
            </w:tcBorders>
            <w:shd w:val="clear" w:color="auto" w:fill="auto"/>
            <w:noWrap/>
            <w:vAlign w:val="center"/>
          </w:tcPr>
          <w:p w14:paraId="7C69C3BB" w14:textId="10BD81CE"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CC3101">
              <w:rPr>
                <w:rFonts w:ascii="Arial" w:hAnsi="Arial" w:cs="Arial"/>
                <w:sz w:val="16"/>
                <w:szCs w:val="16"/>
              </w:rPr>
              <w:t>-</w:t>
            </w:r>
            <w:r w:rsidRPr="00911787">
              <w:rPr>
                <w:rFonts w:ascii="Arial" w:hAnsi="Arial" w:cs="Arial"/>
                <w:sz w:val="16"/>
                <w:szCs w:val="16"/>
              </w:rPr>
              <w:t>1.3</w:t>
            </w:r>
            <w:r w:rsidR="00CC3101">
              <w:rPr>
                <w:rFonts w:ascii="Arial" w:hAnsi="Arial" w:cs="Arial"/>
                <w:sz w:val="16"/>
                <w:szCs w:val="16"/>
              </w:rPr>
              <w:t>30</w:t>
            </w:r>
            <w:r w:rsidRPr="00911787">
              <w:rPr>
                <w:rFonts w:ascii="Arial" w:hAnsi="Arial" w:cs="Arial"/>
                <w:sz w:val="16"/>
                <w:szCs w:val="16"/>
              </w:rPr>
              <w:t>.</w:t>
            </w:r>
            <w:r w:rsidR="00CC3101">
              <w:rPr>
                <w:rFonts w:ascii="Arial" w:hAnsi="Arial" w:cs="Arial"/>
                <w:sz w:val="16"/>
                <w:szCs w:val="16"/>
              </w:rPr>
              <w:t>504</w:t>
            </w:r>
            <w:r w:rsidRPr="00911787">
              <w:rPr>
                <w:rFonts w:ascii="Arial" w:hAnsi="Arial" w:cs="Arial"/>
                <w:sz w:val="16"/>
                <w:szCs w:val="16"/>
              </w:rPr>
              <w:t xml:space="preserve"> </w:t>
            </w:r>
          </w:p>
        </w:tc>
      </w:tr>
      <w:tr w:rsidR="00FC0B7C" w:rsidRPr="001D595F" w14:paraId="61FC0DDB" w14:textId="77777777" w:rsidTr="00FC0B7C">
        <w:trPr>
          <w:trHeight w:val="275"/>
        </w:trPr>
        <w:tc>
          <w:tcPr>
            <w:tcW w:w="5524" w:type="dxa"/>
            <w:tcBorders>
              <w:top w:val="nil"/>
              <w:left w:val="nil"/>
              <w:bottom w:val="nil"/>
              <w:right w:val="nil"/>
            </w:tcBorders>
            <w:shd w:val="clear" w:color="auto" w:fill="auto"/>
            <w:vAlign w:val="center"/>
            <w:hideMark/>
          </w:tcPr>
          <w:p w14:paraId="4FE444A3" w14:textId="77777777" w:rsidR="00FC0B7C" w:rsidRPr="001D595F" w:rsidRDefault="00FC0B7C" w:rsidP="00911787">
            <w:pPr>
              <w:rPr>
                <w:rFonts w:ascii="Arial" w:hAnsi="Arial" w:cs="Arial"/>
                <w:sz w:val="16"/>
                <w:szCs w:val="16"/>
                <w:lang w:eastAsia="es-AR"/>
              </w:rPr>
            </w:pPr>
            <w:r w:rsidRPr="001D595F">
              <w:rPr>
                <w:rFonts w:ascii="Arial" w:hAnsi="Arial" w:cs="Arial"/>
                <w:sz w:val="16"/>
                <w:szCs w:val="16"/>
                <w:lang w:eastAsia="es-AR"/>
              </w:rPr>
              <w:t>Resultado integral total atribuible a participaciones no controladoras</w:t>
            </w:r>
          </w:p>
        </w:tc>
        <w:tc>
          <w:tcPr>
            <w:tcW w:w="992" w:type="dxa"/>
            <w:tcBorders>
              <w:top w:val="nil"/>
              <w:left w:val="nil"/>
              <w:bottom w:val="nil"/>
              <w:right w:val="nil"/>
            </w:tcBorders>
            <w:shd w:val="clear" w:color="auto" w:fill="auto"/>
            <w:noWrap/>
            <w:vAlign w:val="center"/>
          </w:tcPr>
          <w:p w14:paraId="10568863" w14:textId="1D1E3108"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w:t>
            </w:r>
            <w:r w:rsidR="00CC3101">
              <w:rPr>
                <w:rFonts w:ascii="Arial" w:hAnsi="Arial" w:cs="Arial"/>
                <w:sz w:val="16"/>
                <w:szCs w:val="16"/>
              </w:rPr>
              <w:t>7</w:t>
            </w:r>
            <w:r w:rsidRPr="00911787">
              <w:rPr>
                <w:rFonts w:ascii="Arial" w:hAnsi="Arial" w:cs="Arial"/>
                <w:sz w:val="16"/>
                <w:szCs w:val="16"/>
              </w:rPr>
              <w:t>.</w:t>
            </w:r>
            <w:r w:rsidR="00CC3101">
              <w:rPr>
                <w:rFonts w:ascii="Arial" w:hAnsi="Arial" w:cs="Arial"/>
                <w:sz w:val="16"/>
                <w:szCs w:val="16"/>
              </w:rPr>
              <w:t>481</w:t>
            </w:r>
            <w:r w:rsidRPr="00911787">
              <w:rPr>
                <w:rFonts w:ascii="Arial" w:hAnsi="Arial" w:cs="Arial"/>
                <w:sz w:val="16"/>
                <w:szCs w:val="16"/>
              </w:rPr>
              <w:t xml:space="preserve"> </w:t>
            </w:r>
          </w:p>
        </w:tc>
        <w:tc>
          <w:tcPr>
            <w:tcW w:w="992" w:type="dxa"/>
            <w:tcBorders>
              <w:top w:val="nil"/>
              <w:left w:val="nil"/>
              <w:bottom w:val="nil"/>
              <w:right w:val="nil"/>
            </w:tcBorders>
            <w:shd w:val="clear" w:color="auto" w:fill="auto"/>
            <w:noWrap/>
            <w:vAlign w:val="center"/>
          </w:tcPr>
          <w:p w14:paraId="3BDB2A8C" w14:textId="4E07BE0C" w:rsidR="00FC0B7C" w:rsidRPr="00911787" w:rsidRDefault="00FC0B7C" w:rsidP="00911787">
            <w:pPr>
              <w:jc w:val="right"/>
              <w:rPr>
                <w:rFonts w:ascii="Arial" w:hAnsi="Arial" w:cs="Arial"/>
                <w:sz w:val="16"/>
                <w:szCs w:val="16"/>
                <w:lang w:eastAsia="es-AR"/>
              </w:rPr>
            </w:pPr>
            <w:r w:rsidRPr="00911787">
              <w:rPr>
                <w:rFonts w:ascii="Arial" w:hAnsi="Arial" w:cs="Arial"/>
                <w:sz w:val="16"/>
                <w:szCs w:val="16"/>
              </w:rPr>
              <w:t xml:space="preserve"> 3</w:t>
            </w:r>
            <w:r w:rsidR="00CC3101">
              <w:rPr>
                <w:rFonts w:ascii="Arial" w:hAnsi="Arial" w:cs="Arial"/>
                <w:sz w:val="16"/>
                <w:szCs w:val="16"/>
              </w:rPr>
              <w:t>3</w:t>
            </w:r>
            <w:r w:rsidRPr="00911787">
              <w:rPr>
                <w:rFonts w:ascii="Arial" w:hAnsi="Arial" w:cs="Arial"/>
                <w:sz w:val="16"/>
                <w:szCs w:val="16"/>
              </w:rPr>
              <w:t>.8</w:t>
            </w:r>
            <w:r w:rsidR="00CC3101">
              <w:rPr>
                <w:rFonts w:ascii="Arial" w:hAnsi="Arial" w:cs="Arial"/>
                <w:sz w:val="16"/>
                <w:szCs w:val="16"/>
              </w:rPr>
              <w:t>62</w:t>
            </w:r>
            <w:r w:rsidRPr="00911787">
              <w:rPr>
                <w:rFonts w:ascii="Arial" w:hAnsi="Arial" w:cs="Arial"/>
                <w:sz w:val="16"/>
                <w:szCs w:val="16"/>
              </w:rPr>
              <w:t xml:space="preserve"> </w:t>
            </w:r>
          </w:p>
        </w:tc>
      </w:tr>
      <w:bookmarkEnd w:id="1"/>
    </w:tbl>
    <w:p w14:paraId="7D419EE1" w14:textId="68089F39" w:rsidR="00197CA1" w:rsidRPr="00701F32" w:rsidRDefault="00197CA1" w:rsidP="00DD6441">
      <w:pPr>
        <w:jc w:val="center"/>
        <w:rPr>
          <w:rFonts w:ascii="Arial" w:hAnsi="Arial" w:cs="Arial"/>
          <w:szCs w:val="24"/>
        </w:rPr>
      </w:pPr>
    </w:p>
    <w:p w14:paraId="64087AAA" w14:textId="77777777" w:rsidR="00276790" w:rsidRPr="00701F32" w:rsidRDefault="00276790" w:rsidP="000C455E">
      <w:pPr>
        <w:rPr>
          <w:rFonts w:ascii="Arial" w:hAnsi="Arial" w:cs="Arial"/>
          <w:szCs w:val="24"/>
        </w:rPr>
        <w:sectPr w:rsidR="00276790" w:rsidRPr="00701F32" w:rsidSect="00050353">
          <w:headerReference w:type="default" r:id="rId13"/>
          <w:pgSz w:w="11907" w:h="16839" w:code="9"/>
          <w:pgMar w:top="1418" w:right="1701" w:bottom="1418" w:left="1701" w:header="567" w:footer="0" w:gutter="0"/>
          <w:paperSrc w:first="15" w:other="15"/>
          <w:pgNumType w:chapStyle="1"/>
          <w:cols w:space="720"/>
          <w:docGrid w:linePitch="326"/>
        </w:sectPr>
      </w:pPr>
    </w:p>
    <w:tbl>
      <w:tblPr>
        <w:tblW w:w="11483" w:type="dxa"/>
        <w:tblInd w:w="-421" w:type="dxa"/>
        <w:tblLayout w:type="fixed"/>
        <w:tblCellMar>
          <w:left w:w="0" w:type="dxa"/>
          <w:right w:w="0" w:type="dxa"/>
        </w:tblCellMar>
        <w:tblLook w:val="04A0" w:firstRow="1" w:lastRow="0" w:firstColumn="1" w:lastColumn="0" w:noHBand="0" w:noVBand="1"/>
      </w:tblPr>
      <w:tblGrid>
        <w:gridCol w:w="1780"/>
        <w:gridCol w:w="676"/>
        <w:gridCol w:w="942"/>
        <w:gridCol w:w="714"/>
        <w:gridCol w:w="850"/>
        <w:gridCol w:w="709"/>
        <w:gridCol w:w="709"/>
        <w:gridCol w:w="709"/>
        <w:gridCol w:w="708"/>
        <w:gridCol w:w="851"/>
        <w:gridCol w:w="992"/>
        <w:gridCol w:w="992"/>
        <w:gridCol w:w="851"/>
      </w:tblGrid>
      <w:tr w:rsidR="0026330C" w:rsidRPr="00456EE7" w14:paraId="79EE489B" w14:textId="77777777" w:rsidTr="00C2675E">
        <w:trPr>
          <w:trHeight w:val="510"/>
        </w:trPr>
        <w:tc>
          <w:tcPr>
            <w:tcW w:w="178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188FD218" w14:textId="77777777" w:rsidR="00CC3101" w:rsidRPr="00456EE7" w:rsidRDefault="00CC3101">
            <w:pPr>
              <w:jc w:val="center"/>
              <w:rPr>
                <w:rFonts w:ascii="Arial" w:hAnsi="Arial" w:cs="Arial"/>
                <w:b/>
                <w:bCs/>
                <w:sz w:val="14"/>
                <w:szCs w:val="14"/>
                <w:lang w:eastAsia="es-AR"/>
              </w:rPr>
            </w:pPr>
            <w:bookmarkStart w:id="2" w:name="OLE_LINK3"/>
            <w:r w:rsidRPr="00456EE7">
              <w:rPr>
                <w:rFonts w:ascii="Arial" w:hAnsi="Arial" w:cs="Arial"/>
                <w:b/>
                <w:bCs/>
                <w:sz w:val="14"/>
                <w:szCs w:val="14"/>
              </w:rPr>
              <w:lastRenderedPageBreak/>
              <w:t>Movimientos</w:t>
            </w:r>
          </w:p>
        </w:tc>
        <w:tc>
          <w:tcPr>
            <w:tcW w:w="676"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607B984A"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Nota</w:t>
            </w:r>
          </w:p>
        </w:tc>
        <w:tc>
          <w:tcPr>
            <w:tcW w:w="942" w:type="dxa"/>
            <w:tcBorders>
              <w:top w:val="single" w:sz="4" w:space="0" w:color="363639"/>
              <w:left w:val="nil"/>
              <w:bottom w:val="single" w:sz="4" w:space="0" w:color="363639"/>
              <w:right w:val="single" w:sz="4" w:space="0" w:color="363639"/>
            </w:tcBorders>
            <w:shd w:val="clear" w:color="auto" w:fill="BFBFBF" w:themeFill="background1" w:themeFillShade="BF"/>
            <w:noWrap/>
            <w:vAlign w:val="center"/>
            <w:hideMark/>
          </w:tcPr>
          <w:p w14:paraId="6A755168"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Capital Social</w:t>
            </w:r>
          </w:p>
        </w:tc>
        <w:tc>
          <w:tcPr>
            <w:tcW w:w="714" w:type="dxa"/>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6DC1F911" w14:textId="77777777" w:rsidR="00CC3101" w:rsidRPr="00456EE7" w:rsidRDefault="00CC3101" w:rsidP="00534414">
            <w:pPr>
              <w:jc w:val="center"/>
              <w:rPr>
                <w:rFonts w:ascii="Arial" w:hAnsi="Arial" w:cs="Arial"/>
                <w:b/>
                <w:bCs/>
                <w:sz w:val="14"/>
                <w:szCs w:val="14"/>
              </w:rPr>
            </w:pPr>
            <w:r w:rsidRPr="00456EE7">
              <w:rPr>
                <w:rFonts w:ascii="Arial" w:hAnsi="Arial" w:cs="Arial"/>
                <w:b/>
                <w:bCs/>
                <w:sz w:val="14"/>
                <w:szCs w:val="14"/>
              </w:rPr>
              <w:t>Aportes no capitalizados</w:t>
            </w:r>
          </w:p>
        </w:tc>
        <w:tc>
          <w:tcPr>
            <w:tcW w:w="850" w:type="dxa"/>
            <w:tcBorders>
              <w:top w:val="single" w:sz="4" w:space="0" w:color="363639"/>
              <w:left w:val="single" w:sz="4" w:space="0" w:color="363639"/>
              <w:right w:val="single" w:sz="4" w:space="0" w:color="363639"/>
            </w:tcBorders>
            <w:shd w:val="clear" w:color="auto" w:fill="BFBFBF" w:themeFill="background1" w:themeFillShade="BF"/>
          </w:tcPr>
          <w:p w14:paraId="10A84600" w14:textId="77777777" w:rsidR="00CC3101" w:rsidRDefault="00CC3101" w:rsidP="00534414">
            <w:pPr>
              <w:jc w:val="center"/>
              <w:rPr>
                <w:rFonts w:ascii="Arial" w:hAnsi="Arial" w:cs="Arial"/>
                <w:b/>
                <w:bCs/>
                <w:sz w:val="14"/>
                <w:szCs w:val="14"/>
              </w:rPr>
            </w:pPr>
          </w:p>
          <w:p w14:paraId="014FBC9C" w14:textId="04CB91E2" w:rsidR="00CC3101" w:rsidRPr="00CC3101" w:rsidRDefault="00CC3101" w:rsidP="00CC3101">
            <w:pPr>
              <w:rPr>
                <w:rFonts w:ascii="Arial" w:hAnsi="Arial" w:cs="Arial"/>
                <w:sz w:val="14"/>
                <w:szCs w:val="14"/>
              </w:rPr>
            </w:pPr>
          </w:p>
        </w:tc>
        <w:tc>
          <w:tcPr>
            <w:tcW w:w="1418" w:type="dxa"/>
            <w:gridSpan w:val="2"/>
            <w:tcBorders>
              <w:top w:val="single" w:sz="4" w:space="0" w:color="363639"/>
              <w:left w:val="single" w:sz="4" w:space="0" w:color="363639"/>
              <w:bottom w:val="single" w:sz="4" w:space="0" w:color="363639"/>
              <w:right w:val="nil"/>
            </w:tcBorders>
            <w:shd w:val="clear" w:color="auto" w:fill="BFBFBF" w:themeFill="background1" w:themeFillShade="BF"/>
            <w:vAlign w:val="center"/>
            <w:hideMark/>
          </w:tcPr>
          <w:p w14:paraId="4ECB1B09" w14:textId="28C0A391" w:rsidR="00CC3101" w:rsidRPr="00456EE7" w:rsidRDefault="00CC3101" w:rsidP="00534414">
            <w:pPr>
              <w:jc w:val="center"/>
              <w:rPr>
                <w:rFonts w:ascii="Arial" w:hAnsi="Arial" w:cs="Arial"/>
                <w:b/>
                <w:bCs/>
                <w:sz w:val="14"/>
                <w:szCs w:val="14"/>
              </w:rPr>
            </w:pPr>
            <w:r w:rsidRPr="00456EE7">
              <w:rPr>
                <w:rFonts w:ascii="Arial" w:hAnsi="Arial" w:cs="Arial"/>
                <w:b/>
                <w:bCs/>
                <w:sz w:val="14"/>
                <w:szCs w:val="14"/>
              </w:rPr>
              <w:t>Otros Resultados Integrales</w:t>
            </w:r>
          </w:p>
        </w:tc>
        <w:tc>
          <w:tcPr>
            <w:tcW w:w="1417"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7EAEAF4D" w14:textId="77777777" w:rsidR="00CC3101" w:rsidRPr="00456EE7" w:rsidRDefault="00CC3101" w:rsidP="00534414">
            <w:pPr>
              <w:jc w:val="center"/>
              <w:rPr>
                <w:rFonts w:ascii="Arial" w:hAnsi="Arial" w:cs="Arial"/>
                <w:b/>
                <w:bCs/>
                <w:sz w:val="14"/>
                <w:szCs w:val="14"/>
              </w:rPr>
            </w:pPr>
            <w:r w:rsidRPr="00456EE7">
              <w:rPr>
                <w:rFonts w:ascii="Arial" w:hAnsi="Arial" w:cs="Arial"/>
                <w:b/>
                <w:bCs/>
                <w:sz w:val="14"/>
                <w:szCs w:val="14"/>
              </w:rPr>
              <w:t>Reserva de utilidades</w:t>
            </w:r>
          </w:p>
        </w:tc>
        <w:tc>
          <w:tcPr>
            <w:tcW w:w="85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E88099F"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Resultados No asignados</w:t>
            </w:r>
          </w:p>
        </w:tc>
        <w:tc>
          <w:tcPr>
            <w:tcW w:w="992"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3E5DAED" w14:textId="29988BE0" w:rsidR="00CC3101" w:rsidRPr="00456EE7" w:rsidRDefault="00CC3101" w:rsidP="009C5DAE">
            <w:pPr>
              <w:jc w:val="center"/>
              <w:rPr>
                <w:rFonts w:ascii="Arial" w:hAnsi="Arial" w:cs="Arial"/>
                <w:b/>
                <w:bCs/>
                <w:sz w:val="14"/>
                <w:szCs w:val="14"/>
              </w:rPr>
            </w:pPr>
            <w:r w:rsidRPr="00456EE7">
              <w:rPr>
                <w:rFonts w:ascii="Arial" w:hAnsi="Arial" w:cs="Arial"/>
                <w:b/>
                <w:bCs/>
                <w:sz w:val="14"/>
                <w:szCs w:val="14"/>
              </w:rPr>
              <w:t>Total PN de participación controladoras al 3</w:t>
            </w:r>
            <w:r w:rsidR="008F6833">
              <w:rPr>
                <w:rFonts w:ascii="Arial" w:hAnsi="Arial" w:cs="Arial"/>
                <w:b/>
                <w:bCs/>
                <w:sz w:val="14"/>
                <w:szCs w:val="14"/>
              </w:rPr>
              <w:t>1</w:t>
            </w:r>
            <w:r w:rsidRPr="00456EE7">
              <w:rPr>
                <w:rFonts w:ascii="Arial" w:hAnsi="Arial" w:cs="Arial"/>
                <w:b/>
                <w:bCs/>
                <w:sz w:val="14"/>
                <w:szCs w:val="14"/>
              </w:rPr>
              <w:t>/0</w:t>
            </w:r>
            <w:r w:rsidR="008F6833">
              <w:rPr>
                <w:rFonts w:ascii="Arial" w:hAnsi="Arial" w:cs="Arial"/>
                <w:b/>
                <w:bCs/>
                <w:sz w:val="14"/>
                <w:szCs w:val="14"/>
              </w:rPr>
              <w:t>3</w:t>
            </w:r>
            <w:r w:rsidRPr="00456EE7">
              <w:rPr>
                <w:rFonts w:ascii="Arial" w:hAnsi="Arial" w:cs="Arial"/>
                <w:b/>
                <w:bCs/>
                <w:sz w:val="14"/>
                <w:szCs w:val="14"/>
              </w:rPr>
              <w:t>/20</w:t>
            </w:r>
            <w:r w:rsidR="008F6833">
              <w:rPr>
                <w:rFonts w:ascii="Arial" w:hAnsi="Arial" w:cs="Arial"/>
                <w:b/>
                <w:bCs/>
                <w:sz w:val="14"/>
                <w:szCs w:val="14"/>
              </w:rPr>
              <w:t>20</w:t>
            </w:r>
          </w:p>
        </w:tc>
        <w:tc>
          <w:tcPr>
            <w:tcW w:w="992"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40C787B" w14:textId="7D43144C" w:rsidR="00CC3101" w:rsidRPr="00456EE7" w:rsidRDefault="00CC3101" w:rsidP="009C5DAE">
            <w:pPr>
              <w:jc w:val="center"/>
              <w:rPr>
                <w:rFonts w:ascii="Arial" w:hAnsi="Arial" w:cs="Arial"/>
                <w:b/>
                <w:bCs/>
                <w:sz w:val="14"/>
                <w:szCs w:val="14"/>
              </w:rPr>
            </w:pPr>
            <w:r w:rsidRPr="00456EE7">
              <w:rPr>
                <w:rFonts w:ascii="Arial" w:hAnsi="Arial" w:cs="Arial"/>
                <w:b/>
                <w:bCs/>
                <w:sz w:val="14"/>
                <w:szCs w:val="14"/>
              </w:rPr>
              <w:t>Total PN de participación no controladora al 3</w:t>
            </w:r>
            <w:r w:rsidR="008F6833">
              <w:rPr>
                <w:rFonts w:ascii="Arial" w:hAnsi="Arial" w:cs="Arial"/>
                <w:b/>
                <w:bCs/>
                <w:sz w:val="14"/>
                <w:szCs w:val="14"/>
              </w:rPr>
              <w:t>1</w:t>
            </w:r>
            <w:r w:rsidRPr="00456EE7">
              <w:rPr>
                <w:rFonts w:ascii="Arial" w:hAnsi="Arial" w:cs="Arial"/>
                <w:b/>
                <w:bCs/>
                <w:sz w:val="14"/>
                <w:szCs w:val="14"/>
              </w:rPr>
              <w:t>/0</w:t>
            </w:r>
            <w:r w:rsidR="008F6833">
              <w:rPr>
                <w:rFonts w:ascii="Arial" w:hAnsi="Arial" w:cs="Arial"/>
                <w:b/>
                <w:bCs/>
                <w:sz w:val="14"/>
                <w:szCs w:val="14"/>
              </w:rPr>
              <w:t>3</w:t>
            </w:r>
            <w:r w:rsidRPr="00456EE7">
              <w:rPr>
                <w:rFonts w:ascii="Arial" w:hAnsi="Arial" w:cs="Arial"/>
                <w:b/>
                <w:bCs/>
                <w:sz w:val="14"/>
                <w:szCs w:val="14"/>
              </w:rPr>
              <w:t>/20</w:t>
            </w:r>
            <w:r w:rsidR="008F6833">
              <w:rPr>
                <w:rFonts w:ascii="Arial" w:hAnsi="Arial" w:cs="Arial"/>
                <w:b/>
                <w:bCs/>
                <w:sz w:val="14"/>
                <w:szCs w:val="14"/>
              </w:rPr>
              <w:t>20</w:t>
            </w:r>
          </w:p>
        </w:tc>
        <w:tc>
          <w:tcPr>
            <w:tcW w:w="85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D770457"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Total PN</w:t>
            </w:r>
          </w:p>
        </w:tc>
      </w:tr>
      <w:tr w:rsidR="0026330C" w:rsidRPr="00456EE7" w14:paraId="16392962" w14:textId="77777777" w:rsidTr="00C2675E">
        <w:trPr>
          <w:trHeight w:val="1120"/>
        </w:trPr>
        <w:tc>
          <w:tcPr>
            <w:tcW w:w="1780" w:type="dxa"/>
            <w:vMerge/>
            <w:tcBorders>
              <w:top w:val="single" w:sz="4" w:space="0" w:color="363639"/>
              <w:left w:val="single" w:sz="4" w:space="0" w:color="363639"/>
              <w:bottom w:val="single" w:sz="4" w:space="0" w:color="363639"/>
              <w:right w:val="single" w:sz="4" w:space="0" w:color="363639"/>
            </w:tcBorders>
            <w:vAlign w:val="center"/>
            <w:hideMark/>
          </w:tcPr>
          <w:p w14:paraId="45645BB1" w14:textId="77777777" w:rsidR="00CC3101" w:rsidRPr="00456EE7" w:rsidRDefault="00CC3101">
            <w:pPr>
              <w:rPr>
                <w:rFonts w:ascii="Arial" w:hAnsi="Arial" w:cs="Arial"/>
                <w:b/>
                <w:bCs/>
                <w:sz w:val="14"/>
                <w:szCs w:val="14"/>
              </w:rPr>
            </w:pPr>
          </w:p>
        </w:tc>
        <w:tc>
          <w:tcPr>
            <w:tcW w:w="676" w:type="dxa"/>
            <w:vMerge/>
            <w:tcBorders>
              <w:top w:val="single" w:sz="4" w:space="0" w:color="363639"/>
              <w:left w:val="single" w:sz="4" w:space="0" w:color="363639"/>
              <w:bottom w:val="single" w:sz="4" w:space="0" w:color="363639"/>
              <w:right w:val="single" w:sz="4" w:space="0" w:color="363639"/>
            </w:tcBorders>
            <w:vAlign w:val="center"/>
            <w:hideMark/>
          </w:tcPr>
          <w:p w14:paraId="361E7908" w14:textId="77777777" w:rsidR="00CC3101" w:rsidRPr="00456EE7" w:rsidRDefault="00CC3101">
            <w:pPr>
              <w:rPr>
                <w:rFonts w:ascii="Arial" w:hAnsi="Arial" w:cs="Arial"/>
                <w:b/>
                <w:bCs/>
                <w:sz w:val="14"/>
                <w:szCs w:val="14"/>
              </w:rPr>
            </w:pPr>
          </w:p>
        </w:tc>
        <w:tc>
          <w:tcPr>
            <w:tcW w:w="942" w:type="dxa"/>
            <w:tcBorders>
              <w:top w:val="nil"/>
              <w:left w:val="nil"/>
              <w:bottom w:val="single" w:sz="4" w:space="0" w:color="363639"/>
              <w:right w:val="single" w:sz="4" w:space="0" w:color="363639"/>
            </w:tcBorders>
            <w:shd w:val="clear" w:color="auto" w:fill="BFBFBF" w:themeFill="background1" w:themeFillShade="BF"/>
            <w:vAlign w:val="center"/>
            <w:hideMark/>
          </w:tcPr>
          <w:p w14:paraId="4A15F8AE"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En</w:t>
            </w:r>
            <w:r w:rsidRPr="00456EE7">
              <w:rPr>
                <w:rFonts w:ascii="Arial" w:hAnsi="Arial" w:cs="Arial"/>
                <w:b/>
                <w:bCs/>
                <w:sz w:val="14"/>
                <w:szCs w:val="14"/>
              </w:rPr>
              <w:br/>
              <w:t xml:space="preserve"> circulación</w:t>
            </w:r>
          </w:p>
        </w:tc>
        <w:tc>
          <w:tcPr>
            <w:tcW w:w="714" w:type="dxa"/>
            <w:tcBorders>
              <w:top w:val="nil"/>
              <w:left w:val="nil"/>
              <w:bottom w:val="single" w:sz="4" w:space="0" w:color="363639"/>
              <w:right w:val="single" w:sz="4" w:space="0" w:color="363639"/>
            </w:tcBorders>
            <w:shd w:val="clear" w:color="auto" w:fill="BFBFBF" w:themeFill="background1" w:themeFillShade="BF"/>
            <w:vAlign w:val="center"/>
            <w:hideMark/>
          </w:tcPr>
          <w:p w14:paraId="299EE212"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Primas de emisión de acciones</w:t>
            </w:r>
          </w:p>
        </w:tc>
        <w:tc>
          <w:tcPr>
            <w:tcW w:w="850" w:type="dxa"/>
            <w:tcBorders>
              <w:left w:val="nil"/>
              <w:bottom w:val="single" w:sz="4" w:space="0" w:color="363639"/>
              <w:right w:val="nil"/>
            </w:tcBorders>
            <w:shd w:val="clear" w:color="auto" w:fill="BFBFBF" w:themeFill="background1" w:themeFillShade="BF"/>
          </w:tcPr>
          <w:p w14:paraId="797B7B45" w14:textId="54D5C7AB" w:rsidR="00CC3101" w:rsidRPr="00456EE7" w:rsidRDefault="00CC3101">
            <w:pPr>
              <w:jc w:val="center"/>
              <w:rPr>
                <w:rFonts w:ascii="Arial" w:hAnsi="Arial" w:cs="Arial"/>
                <w:b/>
                <w:bCs/>
                <w:sz w:val="14"/>
                <w:szCs w:val="14"/>
              </w:rPr>
            </w:pPr>
            <w:r>
              <w:rPr>
                <w:rFonts w:ascii="Arial" w:hAnsi="Arial" w:cs="Arial"/>
                <w:b/>
                <w:bCs/>
                <w:sz w:val="14"/>
                <w:szCs w:val="14"/>
              </w:rPr>
              <w:t>Ajustes</w:t>
            </w:r>
            <w:r w:rsidR="00BE4EC0">
              <w:rPr>
                <w:rFonts w:ascii="Arial" w:hAnsi="Arial" w:cs="Arial"/>
                <w:b/>
                <w:bCs/>
                <w:sz w:val="14"/>
                <w:szCs w:val="14"/>
              </w:rPr>
              <w:t xml:space="preserve"> de capital</w:t>
            </w:r>
          </w:p>
        </w:tc>
        <w:tc>
          <w:tcPr>
            <w:tcW w:w="709" w:type="dxa"/>
            <w:tcBorders>
              <w:top w:val="nil"/>
              <w:left w:val="nil"/>
              <w:bottom w:val="single" w:sz="4" w:space="0" w:color="363639"/>
              <w:right w:val="single" w:sz="4" w:space="0" w:color="363639"/>
            </w:tcBorders>
            <w:shd w:val="clear" w:color="auto" w:fill="BFBFBF" w:themeFill="background1" w:themeFillShade="BF"/>
            <w:vAlign w:val="center"/>
            <w:hideMark/>
          </w:tcPr>
          <w:p w14:paraId="38D09136" w14:textId="6B03525C" w:rsidR="00CC3101" w:rsidRPr="00456EE7" w:rsidRDefault="00CC3101">
            <w:pPr>
              <w:jc w:val="center"/>
              <w:rPr>
                <w:rFonts w:ascii="Arial" w:hAnsi="Arial" w:cs="Arial"/>
                <w:b/>
                <w:bCs/>
                <w:sz w:val="14"/>
                <w:szCs w:val="14"/>
              </w:rPr>
            </w:pPr>
            <w:r w:rsidRPr="00456EE7">
              <w:rPr>
                <w:rFonts w:ascii="Arial" w:hAnsi="Arial" w:cs="Arial"/>
                <w:b/>
                <w:bCs/>
                <w:sz w:val="14"/>
                <w:szCs w:val="14"/>
              </w:rPr>
              <w:t xml:space="preserve">Revaluac de PPE </w:t>
            </w:r>
          </w:p>
        </w:tc>
        <w:tc>
          <w:tcPr>
            <w:tcW w:w="709" w:type="dxa"/>
            <w:tcBorders>
              <w:top w:val="nil"/>
              <w:left w:val="nil"/>
              <w:bottom w:val="single" w:sz="4" w:space="0" w:color="363639"/>
              <w:right w:val="single" w:sz="4" w:space="0" w:color="363639"/>
            </w:tcBorders>
            <w:shd w:val="clear" w:color="auto" w:fill="BFBFBF" w:themeFill="background1" w:themeFillShade="BF"/>
            <w:vAlign w:val="center"/>
            <w:hideMark/>
          </w:tcPr>
          <w:p w14:paraId="4FD96802"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Gcias. o pérdidas acum por Inst.</w:t>
            </w:r>
            <w:r w:rsidRPr="00456EE7">
              <w:rPr>
                <w:rFonts w:ascii="Arial" w:hAnsi="Arial" w:cs="Arial"/>
                <w:b/>
                <w:bCs/>
                <w:sz w:val="14"/>
                <w:szCs w:val="14"/>
              </w:rPr>
              <w:br/>
              <w:t>Fcieros. a VRCORI</w:t>
            </w:r>
          </w:p>
        </w:tc>
        <w:tc>
          <w:tcPr>
            <w:tcW w:w="709" w:type="dxa"/>
            <w:tcBorders>
              <w:top w:val="nil"/>
              <w:left w:val="nil"/>
              <w:bottom w:val="single" w:sz="4" w:space="0" w:color="363639"/>
              <w:right w:val="single" w:sz="4" w:space="0" w:color="363639"/>
            </w:tcBorders>
            <w:shd w:val="clear" w:color="auto" w:fill="BFBFBF" w:themeFill="background1" w:themeFillShade="BF"/>
            <w:vAlign w:val="center"/>
            <w:hideMark/>
          </w:tcPr>
          <w:p w14:paraId="2E753D6F"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Legal</w:t>
            </w:r>
          </w:p>
        </w:tc>
        <w:tc>
          <w:tcPr>
            <w:tcW w:w="708" w:type="dxa"/>
            <w:tcBorders>
              <w:top w:val="nil"/>
              <w:left w:val="nil"/>
              <w:bottom w:val="single" w:sz="4" w:space="0" w:color="363639"/>
              <w:right w:val="single" w:sz="4" w:space="0" w:color="363639"/>
            </w:tcBorders>
            <w:shd w:val="clear" w:color="auto" w:fill="BFBFBF" w:themeFill="background1" w:themeFillShade="BF"/>
            <w:vAlign w:val="center"/>
            <w:hideMark/>
          </w:tcPr>
          <w:p w14:paraId="62C2A191" w14:textId="77777777" w:rsidR="00CC3101" w:rsidRPr="00456EE7" w:rsidRDefault="00CC3101">
            <w:pPr>
              <w:jc w:val="center"/>
              <w:rPr>
                <w:rFonts w:ascii="Arial" w:hAnsi="Arial" w:cs="Arial"/>
                <w:b/>
                <w:bCs/>
                <w:sz w:val="14"/>
                <w:szCs w:val="14"/>
              </w:rPr>
            </w:pPr>
            <w:r w:rsidRPr="00456EE7">
              <w:rPr>
                <w:rFonts w:ascii="Arial" w:hAnsi="Arial" w:cs="Arial"/>
                <w:b/>
                <w:bCs/>
                <w:sz w:val="14"/>
                <w:szCs w:val="14"/>
              </w:rPr>
              <w:t>Otras</w:t>
            </w:r>
          </w:p>
        </w:tc>
        <w:tc>
          <w:tcPr>
            <w:tcW w:w="851" w:type="dxa"/>
            <w:vMerge/>
            <w:tcBorders>
              <w:top w:val="single" w:sz="4" w:space="0" w:color="363639"/>
              <w:left w:val="single" w:sz="4" w:space="0" w:color="363639"/>
              <w:bottom w:val="single" w:sz="4" w:space="0" w:color="363639"/>
              <w:right w:val="single" w:sz="4" w:space="0" w:color="363639"/>
            </w:tcBorders>
            <w:vAlign w:val="center"/>
            <w:hideMark/>
          </w:tcPr>
          <w:p w14:paraId="5FBD1423" w14:textId="77777777" w:rsidR="00CC3101" w:rsidRPr="00456EE7" w:rsidRDefault="00CC3101">
            <w:pPr>
              <w:rPr>
                <w:rFonts w:ascii="Arial" w:hAnsi="Arial" w:cs="Arial"/>
                <w:b/>
                <w:bCs/>
                <w:sz w:val="14"/>
                <w:szCs w:val="14"/>
              </w:rPr>
            </w:pPr>
          </w:p>
        </w:tc>
        <w:tc>
          <w:tcPr>
            <w:tcW w:w="992" w:type="dxa"/>
            <w:vMerge/>
            <w:tcBorders>
              <w:top w:val="single" w:sz="4" w:space="0" w:color="363639"/>
              <w:left w:val="single" w:sz="4" w:space="0" w:color="363639"/>
              <w:bottom w:val="single" w:sz="4" w:space="0" w:color="363639"/>
              <w:right w:val="single" w:sz="4" w:space="0" w:color="363639"/>
            </w:tcBorders>
            <w:vAlign w:val="center"/>
            <w:hideMark/>
          </w:tcPr>
          <w:p w14:paraId="73BA6219" w14:textId="77777777" w:rsidR="00CC3101" w:rsidRPr="00456EE7" w:rsidRDefault="00CC3101">
            <w:pPr>
              <w:rPr>
                <w:rFonts w:ascii="Arial" w:hAnsi="Arial" w:cs="Arial"/>
                <w:b/>
                <w:bCs/>
                <w:sz w:val="14"/>
                <w:szCs w:val="14"/>
              </w:rPr>
            </w:pPr>
          </w:p>
        </w:tc>
        <w:tc>
          <w:tcPr>
            <w:tcW w:w="992" w:type="dxa"/>
            <w:vMerge/>
            <w:tcBorders>
              <w:top w:val="single" w:sz="4" w:space="0" w:color="363639"/>
              <w:left w:val="single" w:sz="4" w:space="0" w:color="363639"/>
              <w:bottom w:val="single" w:sz="4" w:space="0" w:color="363639"/>
              <w:right w:val="single" w:sz="4" w:space="0" w:color="363639"/>
            </w:tcBorders>
            <w:vAlign w:val="center"/>
            <w:hideMark/>
          </w:tcPr>
          <w:p w14:paraId="50523BB0" w14:textId="77777777" w:rsidR="00CC3101" w:rsidRPr="00456EE7" w:rsidRDefault="00CC3101">
            <w:pPr>
              <w:rPr>
                <w:rFonts w:ascii="Arial" w:hAnsi="Arial" w:cs="Arial"/>
                <w:b/>
                <w:bCs/>
                <w:sz w:val="14"/>
                <w:szCs w:val="14"/>
              </w:rPr>
            </w:pPr>
          </w:p>
        </w:tc>
        <w:tc>
          <w:tcPr>
            <w:tcW w:w="851" w:type="dxa"/>
            <w:vMerge/>
            <w:tcBorders>
              <w:top w:val="single" w:sz="4" w:space="0" w:color="363639"/>
              <w:left w:val="single" w:sz="4" w:space="0" w:color="363639"/>
              <w:bottom w:val="single" w:sz="4" w:space="0" w:color="363639"/>
              <w:right w:val="single" w:sz="4" w:space="0" w:color="363639"/>
            </w:tcBorders>
            <w:vAlign w:val="center"/>
            <w:hideMark/>
          </w:tcPr>
          <w:p w14:paraId="7DC8AA46" w14:textId="77777777" w:rsidR="00CC3101" w:rsidRPr="00456EE7" w:rsidRDefault="00CC3101">
            <w:pPr>
              <w:rPr>
                <w:rFonts w:ascii="Arial" w:hAnsi="Arial" w:cs="Arial"/>
                <w:b/>
                <w:bCs/>
                <w:sz w:val="14"/>
                <w:szCs w:val="14"/>
              </w:rPr>
            </w:pPr>
          </w:p>
        </w:tc>
      </w:tr>
      <w:tr w:rsidR="0026330C" w:rsidRPr="00456EE7" w14:paraId="1D020A97" w14:textId="77777777" w:rsidTr="00C2675E">
        <w:trPr>
          <w:trHeight w:val="105"/>
        </w:trPr>
        <w:tc>
          <w:tcPr>
            <w:tcW w:w="1780" w:type="dxa"/>
            <w:tcBorders>
              <w:top w:val="nil"/>
              <w:left w:val="nil"/>
              <w:bottom w:val="nil"/>
              <w:right w:val="nil"/>
            </w:tcBorders>
            <w:shd w:val="clear" w:color="auto" w:fill="auto"/>
            <w:noWrap/>
            <w:vAlign w:val="center"/>
            <w:hideMark/>
          </w:tcPr>
          <w:p w14:paraId="29F54216" w14:textId="77777777" w:rsidR="00CC3101" w:rsidRPr="00456EE7" w:rsidRDefault="00CC3101">
            <w:pPr>
              <w:jc w:val="center"/>
              <w:rPr>
                <w:rFonts w:ascii="Arial" w:hAnsi="Arial" w:cs="Arial"/>
                <w:b/>
                <w:bCs/>
                <w:sz w:val="14"/>
                <w:szCs w:val="14"/>
              </w:rPr>
            </w:pPr>
          </w:p>
        </w:tc>
        <w:tc>
          <w:tcPr>
            <w:tcW w:w="676" w:type="dxa"/>
            <w:tcBorders>
              <w:top w:val="nil"/>
              <w:left w:val="nil"/>
              <w:bottom w:val="nil"/>
              <w:right w:val="nil"/>
            </w:tcBorders>
            <w:shd w:val="clear" w:color="auto" w:fill="auto"/>
            <w:noWrap/>
            <w:vAlign w:val="center"/>
            <w:hideMark/>
          </w:tcPr>
          <w:p w14:paraId="40F50349" w14:textId="77777777" w:rsidR="00CC3101" w:rsidRPr="00456EE7" w:rsidRDefault="00CC3101">
            <w:pPr>
              <w:jc w:val="center"/>
              <w:rPr>
                <w:sz w:val="14"/>
                <w:szCs w:val="14"/>
              </w:rPr>
            </w:pPr>
          </w:p>
        </w:tc>
        <w:tc>
          <w:tcPr>
            <w:tcW w:w="942" w:type="dxa"/>
            <w:tcBorders>
              <w:top w:val="nil"/>
              <w:left w:val="nil"/>
              <w:bottom w:val="nil"/>
              <w:right w:val="nil"/>
            </w:tcBorders>
            <w:shd w:val="clear" w:color="auto" w:fill="auto"/>
            <w:vAlign w:val="center"/>
            <w:hideMark/>
          </w:tcPr>
          <w:p w14:paraId="128BD154" w14:textId="77777777" w:rsidR="00CC3101" w:rsidRPr="00CC1F64" w:rsidRDefault="00CC3101">
            <w:pPr>
              <w:rPr>
                <w:sz w:val="14"/>
                <w:szCs w:val="14"/>
              </w:rPr>
            </w:pPr>
          </w:p>
        </w:tc>
        <w:tc>
          <w:tcPr>
            <w:tcW w:w="714" w:type="dxa"/>
            <w:tcBorders>
              <w:top w:val="nil"/>
              <w:left w:val="nil"/>
              <w:bottom w:val="nil"/>
              <w:right w:val="nil"/>
            </w:tcBorders>
            <w:shd w:val="clear" w:color="auto" w:fill="auto"/>
            <w:vAlign w:val="center"/>
            <w:hideMark/>
          </w:tcPr>
          <w:p w14:paraId="6BD0E581" w14:textId="77777777" w:rsidR="00CC3101" w:rsidRPr="00CC1F64" w:rsidRDefault="00CC3101">
            <w:pPr>
              <w:jc w:val="center"/>
              <w:rPr>
                <w:sz w:val="14"/>
                <w:szCs w:val="14"/>
              </w:rPr>
            </w:pPr>
          </w:p>
        </w:tc>
        <w:tc>
          <w:tcPr>
            <w:tcW w:w="850" w:type="dxa"/>
            <w:tcBorders>
              <w:top w:val="nil"/>
              <w:left w:val="nil"/>
              <w:bottom w:val="nil"/>
              <w:right w:val="nil"/>
            </w:tcBorders>
          </w:tcPr>
          <w:p w14:paraId="3A8ED331" w14:textId="77777777" w:rsidR="00CC3101" w:rsidRPr="00CC1F64" w:rsidRDefault="00CC3101">
            <w:pPr>
              <w:jc w:val="center"/>
              <w:rPr>
                <w:sz w:val="14"/>
                <w:szCs w:val="14"/>
              </w:rPr>
            </w:pPr>
          </w:p>
        </w:tc>
        <w:tc>
          <w:tcPr>
            <w:tcW w:w="709" w:type="dxa"/>
            <w:tcBorders>
              <w:top w:val="nil"/>
              <w:left w:val="nil"/>
              <w:bottom w:val="nil"/>
              <w:right w:val="nil"/>
            </w:tcBorders>
            <w:shd w:val="clear" w:color="auto" w:fill="auto"/>
            <w:vAlign w:val="center"/>
            <w:hideMark/>
          </w:tcPr>
          <w:p w14:paraId="0096FD1D" w14:textId="1135085F" w:rsidR="00CC3101" w:rsidRPr="00CC1F64" w:rsidRDefault="00CC3101">
            <w:pPr>
              <w:jc w:val="center"/>
              <w:rPr>
                <w:sz w:val="14"/>
                <w:szCs w:val="14"/>
              </w:rPr>
            </w:pPr>
          </w:p>
        </w:tc>
        <w:tc>
          <w:tcPr>
            <w:tcW w:w="709" w:type="dxa"/>
            <w:tcBorders>
              <w:top w:val="nil"/>
              <w:left w:val="nil"/>
              <w:bottom w:val="nil"/>
              <w:right w:val="nil"/>
            </w:tcBorders>
            <w:shd w:val="clear" w:color="auto" w:fill="auto"/>
            <w:vAlign w:val="center"/>
            <w:hideMark/>
          </w:tcPr>
          <w:p w14:paraId="274B8912" w14:textId="77777777" w:rsidR="00CC3101" w:rsidRPr="00CC1F64" w:rsidRDefault="00CC3101">
            <w:pPr>
              <w:jc w:val="center"/>
              <w:rPr>
                <w:sz w:val="14"/>
                <w:szCs w:val="14"/>
              </w:rPr>
            </w:pPr>
          </w:p>
        </w:tc>
        <w:tc>
          <w:tcPr>
            <w:tcW w:w="709" w:type="dxa"/>
            <w:tcBorders>
              <w:top w:val="nil"/>
              <w:left w:val="nil"/>
              <w:bottom w:val="nil"/>
              <w:right w:val="nil"/>
            </w:tcBorders>
            <w:shd w:val="clear" w:color="auto" w:fill="auto"/>
            <w:vAlign w:val="center"/>
            <w:hideMark/>
          </w:tcPr>
          <w:p w14:paraId="11C3A185" w14:textId="77777777" w:rsidR="00CC3101" w:rsidRPr="00CC1F64" w:rsidRDefault="00CC3101">
            <w:pPr>
              <w:jc w:val="center"/>
              <w:rPr>
                <w:sz w:val="14"/>
                <w:szCs w:val="14"/>
              </w:rPr>
            </w:pPr>
          </w:p>
        </w:tc>
        <w:tc>
          <w:tcPr>
            <w:tcW w:w="708" w:type="dxa"/>
            <w:tcBorders>
              <w:top w:val="nil"/>
              <w:left w:val="nil"/>
              <w:bottom w:val="nil"/>
              <w:right w:val="nil"/>
            </w:tcBorders>
            <w:shd w:val="clear" w:color="auto" w:fill="auto"/>
            <w:vAlign w:val="center"/>
            <w:hideMark/>
          </w:tcPr>
          <w:p w14:paraId="191828AF" w14:textId="77777777" w:rsidR="00CC3101" w:rsidRPr="00CC1F64" w:rsidRDefault="00CC3101">
            <w:pPr>
              <w:jc w:val="center"/>
              <w:rPr>
                <w:sz w:val="14"/>
                <w:szCs w:val="14"/>
              </w:rPr>
            </w:pPr>
          </w:p>
        </w:tc>
        <w:tc>
          <w:tcPr>
            <w:tcW w:w="851" w:type="dxa"/>
            <w:tcBorders>
              <w:top w:val="nil"/>
              <w:left w:val="nil"/>
              <w:bottom w:val="nil"/>
              <w:right w:val="nil"/>
            </w:tcBorders>
            <w:shd w:val="clear" w:color="auto" w:fill="auto"/>
            <w:noWrap/>
            <w:vAlign w:val="bottom"/>
            <w:hideMark/>
          </w:tcPr>
          <w:p w14:paraId="4EDD9259" w14:textId="77777777" w:rsidR="00CC3101" w:rsidRPr="00CC1F64" w:rsidRDefault="00CC3101">
            <w:pPr>
              <w:jc w:val="center"/>
              <w:rPr>
                <w:sz w:val="14"/>
                <w:szCs w:val="14"/>
              </w:rPr>
            </w:pPr>
          </w:p>
        </w:tc>
        <w:tc>
          <w:tcPr>
            <w:tcW w:w="992" w:type="dxa"/>
            <w:tcBorders>
              <w:top w:val="nil"/>
              <w:left w:val="nil"/>
              <w:bottom w:val="nil"/>
              <w:right w:val="nil"/>
            </w:tcBorders>
            <w:shd w:val="clear" w:color="auto" w:fill="auto"/>
            <w:noWrap/>
            <w:vAlign w:val="center"/>
            <w:hideMark/>
          </w:tcPr>
          <w:p w14:paraId="254432D4" w14:textId="77777777" w:rsidR="00CC3101" w:rsidRPr="00CC1F64" w:rsidRDefault="00CC3101">
            <w:pPr>
              <w:jc w:val="center"/>
              <w:rPr>
                <w:sz w:val="14"/>
                <w:szCs w:val="14"/>
              </w:rPr>
            </w:pPr>
          </w:p>
        </w:tc>
        <w:tc>
          <w:tcPr>
            <w:tcW w:w="992" w:type="dxa"/>
            <w:tcBorders>
              <w:top w:val="nil"/>
              <w:left w:val="nil"/>
              <w:bottom w:val="nil"/>
              <w:right w:val="nil"/>
            </w:tcBorders>
            <w:shd w:val="clear" w:color="auto" w:fill="auto"/>
            <w:noWrap/>
            <w:vAlign w:val="center"/>
            <w:hideMark/>
          </w:tcPr>
          <w:p w14:paraId="445EC855" w14:textId="77777777" w:rsidR="00CC3101" w:rsidRPr="00CC1F64" w:rsidRDefault="00CC3101">
            <w:pPr>
              <w:jc w:val="center"/>
              <w:rPr>
                <w:sz w:val="14"/>
                <w:szCs w:val="14"/>
              </w:rPr>
            </w:pPr>
          </w:p>
        </w:tc>
        <w:tc>
          <w:tcPr>
            <w:tcW w:w="851" w:type="dxa"/>
            <w:tcBorders>
              <w:top w:val="nil"/>
              <w:left w:val="nil"/>
              <w:bottom w:val="nil"/>
              <w:right w:val="nil"/>
            </w:tcBorders>
            <w:shd w:val="clear" w:color="auto" w:fill="auto"/>
            <w:noWrap/>
            <w:vAlign w:val="center"/>
            <w:hideMark/>
          </w:tcPr>
          <w:p w14:paraId="03382C24" w14:textId="77777777" w:rsidR="00CC3101" w:rsidRPr="00CC1F64" w:rsidRDefault="00CC3101">
            <w:pPr>
              <w:jc w:val="center"/>
              <w:rPr>
                <w:sz w:val="14"/>
                <w:szCs w:val="14"/>
              </w:rPr>
            </w:pPr>
          </w:p>
        </w:tc>
      </w:tr>
      <w:tr w:rsidR="0026330C" w:rsidRPr="00456EE7" w14:paraId="577B30D0" w14:textId="77777777" w:rsidTr="00C2675E">
        <w:trPr>
          <w:trHeight w:val="219"/>
        </w:trPr>
        <w:tc>
          <w:tcPr>
            <w:tcW w:w="1780" w:type="dxa"/>
            <w:tcBorders>
              <w:top w:val="nil"/>
              <w:left w:val="nil"/>
              <w:bottom w:val="nil"/>
              <w:right w:val="nil"/>
            </w:tcBorders>
            <w:shd w:val="clear" w:color="auto" w:fill="auto"/>
            <w:hideMark/>
          </w:tcPr>
          <w:p w14:paraId="725D0E75" w14:textId="608CC00C" w:rsidR="00CC3101" w:rsidRPr="00456EE7" w:rsidRDefault="00CC3101">
            <w:pPr>
              <w:rPr>
                <w:rFonts w:ascii="Arial" w:hAnsi="Arial" w:cs="Arial"/>
                <w:b/>
                <w:bCs/>
                <w:sz w:val="14"/>
                <w:szCs w:val="14"/>
              </w:rPr>
            </w:pPr>
            <w:r w:rsidRPr="00456EE7">
              <w:rPr>
                <w:rFonts w:ascii="Arial" w:hAnsi="Arial" w:cs="Arial"/>
                <w:b/>
                <w:bCs/>
                <w:sz w:val="14"/>
                <w:szCs w:val="14"/>
              </w:rPr>
              <w:t xml:space="preserve">Saldos al comienzo del </w:t>
            </w:r>
            <w:r w:rsidR="00637A70">
              <w:rPr>
                <w:rFonts w:ascii="Arial" w:hAnsi="Arial" w:cs="Arial"/>
                <w:b/>
                <w:bCs/>
                <w:sz w:val="14"/>
                <w:szCs w:val="14"/>
              </w:rPr>
              <w:t>ejercicio</w:t>
            </w:r>
            <w:r w:rsidR="003C381B">
              <w:rPr>
                <w:rFonts w:ascii="Arial" w:hAnsi="Arial" w:cs="Arial"/>
                <w:b/>
                <w:bCs/>
                <w:sz w:val="14"/>
                <w:szCs w:val="14"/>
              </w:rPr>
              <w:t xml:space="preserve"> reexpresados</w:t>
            </w:r>
          </w:p>
        </w:tc>
        <w:tc>
          <w:tcPr>
            <w:tcW w:w="676" w:type="dxa"/>
            <w:tcBorders>
              <w:top w:val="nil"/>
              <w:left w:val="nil"/>
              <w:bottom w:val="nil"/>
              <w:right w:val="nil"/>
            </w:tcBorders>
            <w:shd w:val="clear" w:color="auto" w:fill="auto"/>
            <w:noWrap/>
            <w:hideMark/>
          </w:tcPr>
          <w:p w14:paraId="770099E8" w14:textId="77777777" w:rsidR="00CC3101" w:rsidRPr="00456EE7" w:rsidRDefault="00CC3101">
            <w:pPr>
              <w:rPr>
                <w:rFonts w:ascii="Arial" w:hAnsi="Arial" w:cs="Arial"/>
                <w:b/>
                <w:bCs/>
                <w:sz w:val="14"/>
                <w:szCs w:val="14"/>
              </w:rPr>
            </w:pPr>
          </w:p>
        </w:tc>
        <w:tc>
          <w:tcPr>
            <w:tcW w:w="942" w:type="dxa"/>
            <w:tcBorders>
              <w:top w:val="nil"/>
              <w:left w:val="nil"/>
              <w:bottom w:val="nil"/>
              <w:right w:val="nil"/>
            </w:tcBorders>
            <w:shd w:val="clear" w:color="auto" w:fill="auto"/>
            <w:noWrap/>
            <w:vAlign w:val="center"/>
            <w:hideMark/>
          </w:tcPr>
          <w:p w14:paraId="6D1D5FC6" w14:textId="1DF2FD51" w:rsidR="00CC3101" w:rsidRPr="00456EE7" w:rsidRDefault="00CC3101" w:rsidP="00534414">
            <w:pPr>
              <w:jc w:val="right"/>
              <w:rPr>
                <w:rFonts w:ascii="Arial" w:hAnsi="Arial" w:cs="Arial"/>
                <w:sz w:val="14"/>
                <w:szCs w:val="14"/>
              </w:rPr>
            </w:pPr>
            <w:r w:rsidRPr="00456EE7">
              <w:rPr>
                <w:rFonts w:ascii="Arial" w:hAnsi="Arial" w:cs="Arial"/>
                <w:sz w:val="14"/>
                <w:szCs w:val="14"/>
              </w:rPr>
              <w:t>8</w:t>
            </w:r>
            <w:r w:rsidR="006C094E">
              <w:rPr>
                <w:rFonts w:ascii="Arial" w:hAnsi="Arial" w:cs="Arial"/>
                <w:sz w:val="14"/>
                <w:szCs w:val="14"/>
              </w:rPr>
              <w:t>29</w:t>
            </w:r>
            <w:r w:rsidRPr="00456EE7">
              <w:rPr>
                <w:rFonts w:ascii="Arial" w:hAnsi="Arial" w:cs="Arial"/>
                <w:sz w:val="14"/>
                <w:szCs w:val="14"/>
              </w:rPr>
              <w:t>.5</w:t>
            </w:r>
            <w:r w:rsidR="006C094E">
              <w:rPr>
                <w:rFonts w:ascii="Arial" w:hAnsi="Arial" w:cs="Arial"/>
                <w:sz w:val="14"/>
                <w:szCs w:val="14"/>
              </w:rPr>
              <w:t>64</w:t>
            </w:r>
          </w:p>
        </w:tc>
        <w:tc>
          <w:tcPr>
            <w:tcW w:w="714" w:type="dxa"/>
            <w:tcBorders>
              <w:top w:val="nil"/>
              <w:left w:val="nil"/>
              <w:bottom w:val="nil"/>
              <w:right w:val="nil"/>
            </w:tcBorders>
            <w:shd w:val="clear" w:color="auto" w:fill="auto"/>
            <w:noWrap/>
            <w:vAlign w:val="center"/>
            <w:hideMark/>
          </w:tcPr>
          <w:p w14:paraId="0B91F9FF" w14:textId="4890C81F" w:rsidR="00CC3101" w:rsidRPr="00456EE7" w:rsidRDefault="00CC3101" w:rsidP="00534414">
            <w:pPr>
              <w:jc w:val="right"/>
              <w:rPr>
                <w:rFonts w:ascii="Arial" w:hAnsi="Arial" w:cs="Arial"/>
                <w:sz w:val="14"/>
                <w:szCs w:val="14"/>
              </w:rPr>
            </w:pPr>
            <w:r w:rsidRPr="00456EE7">
              <w:rPr>
                <w:rFonts w:ascii="Arial" w:hAnsi="Arial" w:cs="Arial"/>
                <w:sz w:val="14"/>
                <w:szCs w:val="14"/>
              </w:rPr>
              <w:t>6.</w:t>
            </w:r>
            <w:r w:rsidR="006C094E">
              <w:rPr>
                <w:rFonts w:ascii="Arial" w:hAnsi="Arial" w:cs="Arial"/>
                <w:sz w:val="14"/>
                <w:szCs w:val="14"/>
              </w:rPr>
              <w:t>898</w:t>
            </w:r>
            <w:r w:rsidRPr="00456EE7">
              <w:rPr>
                <w:rFonts w:ascii="Arial" w:hAnsi="Arial" w:cs="Arial"/>
                <w:sz w:val="14"/>
                <w:szCs w:val="14"/>
              </w:rPr>
              <w:t>.</w:t>
            </w:r>
            <w:r w:rsidR="006C094E">
              <w:rPr>
                <w:rFonts w:ascii="Arial" w:hAnsi="Arial" w:cs="Arial"/>
                <w:sz w:val="14"/>
                <w:szCs w:val="14"/>
              </w:rPr>
              <w:t>635</w:t>
            </w:r>
          </w:p>
        </w:tc>
        <w:tc>
          <w:tcPr>
            <w:tcW w:w="850" w:type="dxa"/>
            <w:tcBorders>
              <w:top w:val="nil"/>
              <w:left w:val="nil"/>
              <w:bottom w:val="nil"/>
              <w:right w:val="nil"/>
            </w:tcBorders>
            <w:vAlign w:val="center"/>
          </w:tcPr>
          <w:p w14:paraId="4A9A7284" w14:textId="41052A98" w:rsidR="00CC3101" w:rsidRPr="00456EE7" w:rsidRDefault="006C094E" w:rsidP="006C094E">
            <w:pPr>
              <w:jc w:val="right"/>
              <w:rPr>
                <w:rFonts w:ascii="Arial" w:hAnsi="Arial" w:cs="Arial"/>
                <w:sz w:val="14"/>
                <w:szCs w:val="14"/>
              </w:rPr>
            </w:pPr>
            <w:r>
              <w:rPr>
                <w:rFonts w:ascii="Arial" w:hAnsi="Arial" w:cs="Arial"/>
                <w:sz w:val="14"/>
                <w:szCs w:val="14"/>
              </w:rPr>
              <w:t>16.376.393</w:t>
            </w:r>
          </w:p>
        </w:tc>
        <w:tc>
          <w:tcPr>
            <w:tcW w:w="709" w:type="dxa"/>
            <w:tcBorders>
              <w:top w:val="nil"/>
              <w:left w:val="nil"/>
              <w:bottom w:val="nil"/>
              <w:right w:val="nil"/>
            </w:tcBorders>
            <w:shd w:val="clear" w:color="auto" w:fill="auto"/>
            <w:noWrap/>
            <w:vAlign w:val="center"/>
            <w:hideMark/>
          </w:tcPr>
          <w:p w14:paraId="2BAA8C7A" w14:textId="2212FE2B" w:rsidR="00CC3101" w:rsidRPr="00456EE7" w:rsidRDefault="006C094E" w:rsidP="00534414">
            <w:pPr>
              <w:jc w:val="right"/>
              <w:rPr>
                <w:rFonts w:ascii="Arial" w:hAnsi="Arial" w:cs="Arial"/>
                <w:sz w:val="14"/>
                <w:szCs w:val="14"/>
              </w:rPr>
            </w:pPr>
            <w:r>
              <w:rPr>
                <w:rFonts w:ascii="Arial" w:hAnsi="Arial" w:cs="Arial"/>
                <w:sz w:val="14"/>
                <w:szCs w:val="14"/>
              </w:rPr>
              <w:t>-</w:t>
            </w:r>
          </w:p>
        </w:tc>
        <w:tc>
          <w:tcPr>
            <w:tcW w:w="709" w:type="dxa"/>
            <w:tcBorders>
              <w:top w:val="nil"/>
              <w:left w:val="nil"/>
              <w:bottom w:val="nil"/>
              <w:right w:val="nil"/>
            </w:tcBorders>
            <w:shd w:val="clear" w:color="auto" w:fill="auto"/>
            <w:noWrap/>
            <w:vAlign w:val="center"/>
            <w:hideMark/>
          </w:tcPr>
          <w:p w14:paraId="3908CFB5" w14:textId="5C0559C4" w:rsidR="00CC3101" w:rsidRPr="00456EE7" w:rsidRDefault="00CC3101" w:rsidP="00534414">
            <w:pPr>
              <w:jc w:val="right"/>
              <w:rPr>
                <w:rFonts w:ascii="Arial" w:hAnsi="Arial" w:cs="Arial"/>
                <w:sz w:val="14"/>
                <w:szCs w:val="14"/>
              </w:rPr>
            </w:pPr>
            <w:r w:rsidRPr="00456EE7">
              <w:rPr>
                <w:rFonts w:ascii="Arial" w:hAnsi="Arial" w:cs="Arial"/>
                <w:sz w:val="14"/>
                <w:szCs w:val="14"/>
              </w:rPr>
              <w:t>5</w:t>
            </w:r>
            <w:r w:rsidR="006C094E">
              <w:rPr>
                <w:rFonts w:ascii="Arial" w:hAnsi="Arial" w:cs="Arial"/>
                <w:sz w:val="14"/>
                <w:szCs w:val="14"/>
              </w:rPr>
              <w:t>.887</w:t>
            </w:r>
          </w:p>
        </w:tc>
        <w:tc>
          <w:tcPr>
            <w:tcW w:w="709" w:type="dxa"/>
            <w:tcBorders>
              <w:top w:val="nil"/>
              <w:left w:val="nil"/>
              <w:bottom w:val="nil"/>
              <w:right w:val="nil"/>
            </w:tcBorders>
            <w:shd w:val="clear" w:color="auto" w:fill="auto"/>
            <w:noWrap/>
            <w:vAlign w:val="center"/>
            <w:hideMark/>
          </w:tcPr>
          <w:p w14:paraId="20B5DC65" w14:textId="61B42C9F" w:rsidR="00CC3101" w:rsidRPr="00456EE7" w:rsidRDefault="006C094E" w:rsidP="00534414">
            <w:pPr>
              <w:jc w:val="right"/>
              <w:rPr>
                <w:rFonts w:ascii="Arial" w:hAnsi="Arial" w:cs="Arial"/>
                <w:sz w:val="14"/>
                <w:szCs w:val="14"/>
              </w:rPr>
            </w:pPr>
            <w:r>
              <w:rPr>
                <w:rFonts w:ascii="Arial" w:hAnsi="Arial" w:cs="Arial"/>
                <w:sz w:val="14"/>
                <w:szCs w:val="14"/>
              </w:rPr>
              <w:t>1.841</w:t>
            </w:r>
            <w:r w:rsidR="00CC3101" w:rsidRPr="00456EE7">
              <w:rPr>
                <w:rFonts w:ascii="Arial" w:hAnsi="Arial" w:cs="Arial"/>
                <w:sz w:val="14"/>
                <w:szCs w:val="14"/>
              </w:rPr>
              <w:t>.</w:t>
            </w:r>
            <w:r>
              <w:rPr>
                <w:rFonts w:ascii="Arial" w:hAnsi="Arial" w:cs="Arial"/>
                <w:sz w:val="14"/>
                <w:szCs w:val="14"/>
              </w:rPr>
              <w:t>138</w:t>
            </w:r>
          </w:p>
        </w:tc>
        <w:tc>
          <w:tcPr>
            <w:tcW w:w="708" w:type="dxa"/>
            <w:tcBorders>
              <w:top w:val="nil"/>
              <w:left w:val="nil"/>
              <w:bottom w:val="nil"/>
              <w:right w:val="nil"/>
            </w:tcBorders>
            <w:shd w:val="clear" w:color="auto" w:fill="auto"/>
            <w:noWrap/>
            <w:vAlign w:val="center"/>
            <w:hideMark/>
          </w:tcPr>
          <w:p w14:paraId="7BD4CA8E" w14:textId="2CB034E9" w:rsidR="00CC3101" w:rsidRPr="00456EE7" w:rsidRDefault="006C094E" w:rsidP="00534414">
            <w:pPr>
              <w:jc w:val="right"/>
              <w:rPr>
                <w:rFonts w:ascii="Arial" w:hAnsi="Arial" w:cs="Arial"/>
                <w:sz w:val="14"/>
                <w:szCs w:val="14"/>
              </w:rPr>
            </w:pPr>
            <w:r>
              <w:rPr>
                <w:rFonts w:ascii="Arial" w:hAnsi="Arial" w:cs="Arial"/>
                <w:sz w:val="14"/>
                <w:szCs w:val="14"/>
              </w:rPr>
              <w:t>7</w:t>
            </w:r>
            <w:r w:rsidR="00CC3101" w:rsidRPr="00456EE7">
              <w:rPr>
                <w:rFonts w:ascii="Arial" w:hAnsi="Arial" w:cs="Arial"/>
                <w:sz w:val="14"/>
                <w:szCs w:val="14"/>
              </w:rPr>
              <w:t>.</w:t>
            </w:r>
            <w:r>
              <w:rPr>
                <w:rFonts w:ascii="Arial" w:hAnsi="Arial" w:cs="Arial"/>
                <w:sz w:val="14"/>
                <w:szCs w:val="14"/>
              </w:rPr>
              <w:t>018</w:t>
            </w:r>
            <w:r w:rsidR="00CC3101" w:rsidRPr="00456EE7">
              <w:rPr>
                <w:rFonts w:ascii="Arial" w:hAnsi="Arial" w:cs="Arial"/>
                <w:sz w:val="14"/>
                <w:szCs w:val="14"/>
              </w:rPr>
              <w:t>.</w:t>
            </w:r>
            <w:r>
              <w:rPr>
                <w:rFonts w:ascii="Arial" w:hAnsi="Arial" w:cs="Arial"/>
                <w:sz w:val="14"/>
                <w:szCs w:val="14"/>
              </w:rPr>
              <w:t>821</w:t>
            </w:r>
          </w:p>
        </w:tc>
        <w:tc>
          <w:tcPr>
            <w:tcW w:w="851" w:type="dxa"/>
            <w:tcBorders>
              <w:top w:val="nil"/>
              <w:left w:val="nil"/>
              <w:bottom w:val="nil"/>
              <w:right w:val="nil"/>
            </w:tcBorders>
            <w:shd w:val="clear" w:color="auto" w:fill="auto"/>
            <w:noWrap/>
            <w:vAlign w:val="center"/>
            <w:hideMark/>
          </w:tcPr>
          <w:p w14:paraId="2D6BAECF" w14:textId="2859C93C" w:rsidR="00CC3101" w:rsidRPr="00456EE7" w:rsidRDefault="006C094E" w:rsidP="00534414">
            <w:pPr>
              <w:jc w:val="right"/>
              <w:rPr>
                <w:rFonts w:ascii="Arial" w:hAnsi="Arial" w:cs="Arial"/>
                <w:sz w:val="14"/>
                <w:szCs w:val="14"/>
              </w:rPr>
            </w:pPr>
            <w:r>
              <w:rPr>
                <w:rFonts w:ascii="Arial" w:hAnsi="Arial" w:cs="Arial"/>
                <w:sz w:val="14"/>
                <w:szCs w:val="14"/>
              </w:rPr>
              <w:t>-12.676</w:t>
            </w:r>
            <w:r w:rsidR="00CC3101" w:rsidRPr="00456EE7">
              <w:rPr>
                <w:rFonts w:ascii="Arial" w:hAnsi="Arial" w:cs="Arial"/>
                <w:sz w:val="14"/>
                <w:szCs w:val="14"/>
              </w:rPr>
              <w:t>.</w:t>
            </w:r>
            <w:r>
              <w:rPr>
                <w:rFonts w:ascii="Arial" w:hAnsi="Arial" w:cs="Arial"/>
                <w:sz w:val="14"/>
                <w:szCs w:val="14"/>
              </w:rPr>
              <w:t>6</w:t>
            </w:r>
            <w:r w:rsidR="00996159">
              <w:rPr>
                <w:rFonts w:ascii="Arial" w:hAnsi="Arial" w:cs="Arial"/>
                <w:sz w:val="14"/>
                <w:szCs w:val="14"/>
              </w:rPr>
              <w:t>19</w:t>
            </w:r>
          </w:p>
        </w:tc>
        <w:tc>
          <w:tcPr>
            <w:tcW w:w="992" w:type="dxa"/>
            <w:tcBorders>
              <w:top w:val="nil"/>
              <w:left w:val="nil"/>
              <w:bottom w:val="nil"/>
              <w:right w:val="nil"/>
            </w:tcBorders>
            <w:shd w:val="clear" w:color="auto" w:fill="auto"/>
            <w:noWrap/>
            <w:vAlign w:val="center"/>
            <w:hideMark/>
          </w:tcPr>
          <w:p w14:paraId="171E138B" w14:textId="1789BBAC" w:rsidR="00CC3101" w:rsidRPr="00996159" w:rsidRDefault="006C094E" w:rsidP="00534414">
            <w:pPr>
              <w:jc w:val="right"/>
              <w:rPr>
                <w:rFonts w:ascii="Arial" w:hAnsi="Arial" w:cs="Arial"/>
                <w:sz w:val="14"/>
                <w:szCs w:val="14"/>
              </w:rPr>
            </w:pPr>
            <w:r w:rsidRPr="00996159">
              <w:rPr>
                <w:rFonts w:ascii="Arial" w:hAnsi="Arial" w:cs="Arial"/>
                <w:sz w:val="14"/>
                <w:szCs w:val="14"/>
              </w:rPr>
              <w:t>20</w:t>
            </w:r>
            <w:r w:rsidR="00CC3101" w:rsidRPr="00996159">
              <w:rPr>
                <w:rFonts w:ascii="Arial" w:hAnsi="Arial" w:cs="Arial"/>
                <w:sz w:val="14"/>
                <w:szCs w:val="14"/>
              </w:rPr>
              <w:t>.</w:t>
            </w:r>
            <w:r w:rsidRPr="00996159">
              <w:rPr>
                <w:rFonts w:ascii="Arial" w:hAnsi="Arial" w:cs="Arial"/>
                <w:sz w:val="14"/>
                <w:szCs w:val="14"/>
              </w:rPr>
              <w:t>293</w:t>
            </w:r>
            <w:r w:rsidR="00CC3101" w:rsidRPr="00996159">
              <w:rPr>
                <w:rFonts w:ascii="Arial" w:hAnsi="Arial" w:cs="Arial"/>
                <w:sz w:val="14"/>
                <w:szCs w:val="14"/>
              </w:rPr>
              <w:t>.</w:t>
            </w:r>
            <w:r w:rsidRPr="00996159">
              <w:rPr>
                <w:rFonts w:ascii="Arial" w:hAnsi="Arial" w:cs="Arial"/>
                <w:sz w:val="14"/>
                <w:szCs w:val="14"/>
              </w:rPr>
              <w:t>81</w:t>
            </w:r>
            <w:r w:rsidR="00996159" w:rsidRPr="00996159">
              <w:rPr>
                <w:rFonts w:ascii="Arial" w:hAnsi="Arial" w:cs="Arial"/>
                <w:sz w:val="14"/>
                <w:szCs w:val="14"/>
              </w:rPr>
              <w:t>9</w:t>
            </w:r>
          </w:p>
        </w:tc>
        <w:tc>
          <w:tcPr>
            <w:tcW w:w="992" w:type="dxa"/>
            <w:tcBorders>
              <w:top w:val="nil"/>
              <w:left w:val="nil"/>
              <w:bottom w:val="nil"/>
              <w:right w:val="nil"/>
            </w:tcBorders>
            <w:shd w:val="clear" w:color="auto" w:fill="auto"/>
            <w:noWrap/>
            <w:vAlign w:val="center"/>
            <w:hideMark/>
          </w:tcPr>
          <w:p w14:paraId="77E074E3" w14:textId="49650751" w:rsidR="00CC3101" w:rsidRPr="00456EE7" w:rsidRDefault="00FD0104" w:rsidP="00534414">
            <w:pPr>
              <w:jc w:val="right"/>
              <w:rPr>
                <w:rFonts w:ascii="Arial" w:hAnsi="Arial" w:cs="Arial"/>
                <w:sz w:val="14"/>
                <w:szCs w:val="14"/>
              </w:rPr>
            </w:pPr>
            <w:r>
              <w:rPr>
                <w:rFonts w:ascii="Arial" w:hAnsi="Arial" w:cs="Arial"/>
                <w:sz w:val="14"/>
                <w:szCs w:val="14"/>
              </w:rPr>
              <w:t>139</w:t>
            </w:r>
            <w:r w:rsidR="00CC3101" w:rsidRPr="00456EE7">
              <w:rPr>
                <w:rFonts w:ascii="Arial" w:hAnsi="Arial" w:cs="Arial"/>
                <w:sz w:val="14"/>
                <w:szCs w:val="14"/>
              </w:rPr>
              <w:t>.</w:t>
            </w:r>
            <w:r>
              <w:rPr>
                <w:rFonts w:ascii="Arial" w:hAnsi="Arial" w:cs="Arial"/>
                <w:sz w:val="14"/>
                <w:szCs w:val="14"/>
              </w:rPr>
              <w:t>777</w:t>
            </w:r>
          </w:p>
        </w:tc>
        <w:tc>
          <w:tcPr>
            <w:tcW w:w="851" w:type="dxa"/>
            <w:tcBorders>
              <w:top w:val="nil"/>
              <w:left w:val="nil"/>
              <w:bottom w:val="nil"/>
              <w:right w:val="nil"/>
            </w:tcBorders>
            <w:shd w:val="clear" w:color="auto" w:fill="auto"/>
            <w:noWrap/>
            <w:vAlign w:val="center"/>
            <w:hideMark/>
          </w:tcPr>
          <w:p w14:paraId="78F12DE9" w14:textId="15F6E5CE" w:rsidR="00CC3101" w:rsidRPr="00456EE7" w:rsidRDefault="0026330C" w:rsidP="00534414">
            <w:pPr>
              <w:jc w:val="right"/>
              <w:rPr>
                <w:rFonts w:ascii="Arial" w:hAnsi="Arial" w:cs="Arial"/>
                <w:sz w:val="14"/>
                <w:szCs w:val="14"/>
              </w:rPr>
            </w:pPr>
            <w:r>
              <w:rPr>
                <w:rFonts w:ascii="Arial" w:hAnsi="Arial" w:cs="Arial"/>
                <w:sz w:val="14"/>
                <w:szCs w:val="14"/>
              </w:rPr>
              <w:t>20</w:t>
            </w:r>
            <w:r w:rsidR="00CC3101" w:rsidRPr="00456EE7">
              <w:rPr>
                <w:rFonts w:ascii="Arial" w:hAnsi="Arial" w:cs="Arial"/>
                <w:sz w:val="14"/>
                <w:szCs w:val="14"/>
              </w:rPr>
              <w:t>.</w:t>
            </w:r>
            <w:r w:rsidR="00FD0104">
              <w:rPr>
                <w:rFonts w:ascii="Arial" w:hAnsi="Arial" w:cs="Arial"/>
                <w:sz w:val="14"/>
                <w:szCs w:val="14"/>
              </w:rPr>
              <w:t>433</w:t>
            </w:r>
            <w:r w:rsidR="00CC3101" w:rsidRPr="00456EE7">
              <w:rPr>
                <w:rFonts w:ascii="Arial" w:hAnsi="Arial" w:cs="Arial"/>
                <w:sz w:val="14"/>
                <w:szCs w:val="14"/>
              </w:rPr>
              <w:t>.</w:t>
            </w:r>
            <w:r w:rsidR="00FD0104">
              <w:rPr>
                <w:rFonts w:ascii="Arial" w:hAnsi="Arial" w:cs="Arial"/>
                <w:sz w:val="14"/>
                <w:szCs w:val="14"/>
              </w:rPr>
              <w:t>596</w:t>
            </w:r>
          </w:p>
        </w:tc>
      </w:tr>
      <w:tr w:rsidR="0026330C" w:rsidRPr="00456EE7" w14:paraId="09C5823E" w14:textId="77777777" w:rsidTr="00C2675E">
        <w:trPr>
          <w:trHeight w:val="79"/>
        </w:trPr>
        <w:tc>
          <w:tcPr>
            <w:tcW w:w="1780" w:type="dxa"/>
            <w:tcBorders>
              <w:top w:val="nil"/>
              <w:left w:val="nil"/>
              <w:bottom w:val="nil"/>
              <w:right w:val="nil"/>
            </w:tcBorders>
            <w:shd w:val="clear" w:color="auto" w:fill="auto"/>
            <w:hideMark/>
          </w:tcPr>
          <w:p w14:paraId="2C0C8E6E" w14:textId="77777777" w:rsidR="00CC3101" w:rsidRPr="00456EE7" w:rsidRDefault="00CC3101">
            <w:pPr>
              <w:rPr>
                <w:rFonts w:ascii="Arial" w:hAnsi="Arial" w:cs="Arial"/>
                <w:sz w:val="14"/>
                <w:szCs w:val="14"/>
              </w:rPr>
            </w:pPr>
          </w:p>
        </w:tc>
        <w:tc>
          <w:tcPr>
            <w:tcW w:w="676" w:type="dxa"/>
            <w:tcBorders>
              <w:top w:val="nil"/>
              <w:left w:val="nil"/>
              <w:bottom w:val="nil"/>
              <w:right w:val="nil"/>
            </w:tcBorders>
            <w:shd w:val="clear" w:color="auto" w:fill="auto"/>
            <w:noWrap/>
            <w:hideMark/>
          </w:tcPr>
          <w:p w14:paraId="78C0D6E4" w14:textId="77777777" w:rsidR="00CC3101" w:rsidRPr="00456EE7" w:rsidRDefault="00CC3101">
            <w:pPr>
              <w:rPr>
                <w:sz w:val="14"/>
                <w:szCs w:val="14"/>
              </w:rPr>
            </w:pPr>
          </w:p>
        </w:tc>
        <w:tc>
          <w:tcPr>
            <w:tcW w:w="942" w:type="dxa"/>
            <w:tcBorders>
              <w:top w:val="nil"/>
              <w:left w:val="nil"/>
              <w:bottom w:val="nil"/>
              <w:right w:val="nil"/>
            </w:tcBorders>
            <w:shd w:val="clear" w:color="auto" w:fill="auto"/>
            <w:noWrap/>
            <w:vAlign w:val="center"/>
            <w:hideMark/>
          </w:tcPr>
          <w:p w14:paraId="1900ED3B" w14:textId="77777777" w:rsidR="00CC3101" w:rsidRPr="00456EE7" w:rsidRDefault="00CC3101" w:rsidP="00534414">
            <w:pPr>
              <w:jc w:val="right"/>
              <w:rPr>
                <w:sz w:val="14"/>
                <w:szCs w:val="14"/>
              </w:rPr>
            </w:pPr>
          </w:p>
        </w:tc>
        <w:tc>
          <w:tcPr>
            <w:tcW w:w="714" w:type="dxa"/>
            <w:tcBorders>
              <w:top w:val="nil"/>
              <w:left w:val="nil"/>
              <w:bottom w:val="nil"/>
              <w:right w:val="nil"/>
            </w:tcBorders>
            <w:shd w:val="clear" w:color="auto" w:fill="auto"/>
            <w:noWrap/>
            <w:vAlign w:val="center"/>
            <w:hideMark/>
          </w:tcPr>
          <w:p w14:paraId="47F875E7" w14:textId="77777777" w:rsidR="00CC3101" w:rsidRPr="00456EE7" w:rsidRDefault="00CC3101" w:rsidP="00534414">
            <w:pPr>
              <w:jc w:val="right"/>
              <w:rPr>
                <w:sz w:val="14"/>
                <w:szCs w:val="14"/>
              </w:rPr>
            </w:pPr>
          </w:p>
        </w:tc>
        <w:tc>
          <w:tcPr>
            <w:tcW w:w="850" w:type="dxa"/>
            <w:tcBorders>
              <w:top w:val="nil"/>
              <w:left w:val="nil"/>
              <w:bottom w:val="nil"/>
              <w:right w:val="nil"/>
            </w:tcBorders>
          </w:tcPr>
          <w:p w14:paraId="75C397A1" w14:textId="77777777" w:rsidR="00CC3101" w:rsidRPr="00456EE7" w:rsidRDefault="00CC3101" w:rsidP="00534414">
            <w:pPr>
              <w:jc w:val="right"/>
              <w:rPr>
                <w:sz w:val="14"/>
                <w:szCs w:val="14"/>
              </w:rPr>
            </w:pPr>
          </w:p>
        </w:tc>
        <w:tc>
          <w:tcPr>
            <w:tcW w:w="709" w:type="dxa"/>
            <w:tcBorders>
              <w:top w:val="nil"/>
              <w:left w:val="nil"/>
              <w:bottom w:val="nil"/>
              <w:right w:val="nil"/>
            </w:tcBorders>
            <w:shd w:val="clear" w:color="auto" w:fill="auto"/>
            <w:noWrap/>
            <w:vAlign w:val="center"/>
            <w:hideMark/>
          </w:tcPr>
          <w:p w14:paraId="00589596" w14:textId="22280E91" w:rsidR="00CC3101" w:rsidRPr="00456EE7" w:rsidRDefault="00CC3101" w:rsidP="00534414">
            <w:pPr>
              <w:jc w:val="right"/>
              <w:rPr>
                <w:sz w:val="14"/>
                <w:szCs w:val="14"/>
              </w:rPr>
            </w:pPr>
          </w:p>
        </w:tc>
        <w:tc>
          <w:tcPr>
            <w:tcW w:w="709" w:type="dxa"/>
            <w:tcBorders>
              <w:top w:val="nil"/>
              <w:left w:val="nil"/>
              <w:bottom w:val="nil"/>
              <w:right w:val="nil"/>
            </w:tcBorders>
            <w:shd w:val="clear" w:color="auto" w:fill="auto"/>
            <w:noWrap/>
            <w:vAlign w:val="center"/>
            <w:hideMark/>
          </w:tcPr>
          <w:p w14:paraId="076BC3CE" w14:textId="77777777" w:rsidR="00CC3101" w:rsidRPr="00456EE7" w:rsidRDefault="00CC3101" w:rsidP="00534414">
            <w:pPr>
              <w:jc w:val="right"/>
              <w:rPr>
                <w:sz w:val="14"/>
                <w:szCs w:val="14"/>
              </w:rPr>
            </w:pPr>
          </w:p>
        </w:tc>
        <w:tc>
          <w:tcPr>
            <w:tcW w:w="709" w:type="dxa"/>
            <w:tcBorders>
              <w:top w:val="nil"/>
              <w:left w:val="nil"/>
              <w:bottom w:val="nil"/>
              <w:right w:val="nil"/>
            </w:tcBorders>
            <w:shd w:val="clear" w:color="auto" w:fill="auto"/>
            <w:noWrap/>
            <w:vAlign w:val="center"/>
            <w:hideMark/>
          </w:tcPr>
          <w:p w14:paraId="4FCD4383" w14:textId="77777777" w:rsidR="00CC3101" w:rsidRPr="00456EE7" w:rsidRDefault="00CC3101" w:rsidP="00534414">
            <w:pPr>
              <w:jc w:val="right"/>
              <w:rPr>
                <w:sz w:val="14"/>
                <w:szCs w:val="14"/>
              </w:rPr>
            </w:pPr>
          </w:p>
        </w:tc>
        <w:tc>
          <w:tcPr>
            <w:tcW w:w="708" w:type="dxa"/>
            <w:tcBorders>
              <w:top w:val="nil"/>
              <w:left w:val="nil"/>
              <w:bottom w:val="nil"/>
              <w:right w:val="nil"/>
            </w:tcBorders>
            <w:shd w:val="clear" w:color="auto" w:fill="auto"/>
            <w:noWrap/>
            <w:vAlign w:val="center"/>
            <w:hideMark/>
          </w:tcPr>
          <w:p w14:paraId="10A3D607" w14:textId="77777777" w:rsidR="00CC3101" w:rsidRPr="00456EE7" w:rsidRDefault="00CC3101" w:rsidP="00534414">
            <w:pPr>
              <w:jc w:val="right"/>
              <w:rPr>
                <w:sz w:val="14"/>
                <w:szCs w:val="14"/>
              </w:rPr>
            </w:pPr>
          </w:p>
        </w:tc>
        <w:tc>
          <w:tcPr>
            <w:tcW w:w="851" w:type="dxa"/>
            <w:tcBorders>
              <w:top w:val="nil"/>
              <w:left w:val="nil"/>
              <w:bottom w:val="nil"/>
              <w:right w:val="nil"/>
            </w:tcBorders>
            <w:shd w:val="clear" w:color="auto" w:fill="auto"/>
            <w:noWrap/>
            <w:vAlign w:val="center"/>
            <w:hideMark/>
          </w:tcPr>
          <w:p w14:paraId="7856916C" w14:textId="77777777" w:rsidR="00CC3101" w:rsidRPr="00456EE7" w:rsidRDefault="00CC3101" w:rsidP="00534414">
            <w:pPr>
              <w:jc w:val="right"/>
              <w:rPr>
                <w:sz w:val="14"/>
                <w:szCs w:val="14"/>
              </w:rPr>
            </w:pPr>
          </w:p>
        </w:tc>
        <w:tc>
          <w:tcPr>
            <w:tcW w:w="992" w:type="dxa"/>
            <w:tcBorders>
              <w:top w:val="nil"/>
              <w:left w:val="nil"/>
              <w:bottom w:val="nil"/>
              <w:right w:val="nil"/>
            </w:tcBorders>
            <w:shd w:val="clear" w:color="auto" w:fill="auto"/>
            <w:noWrap/>
            <w:vAlign w:val="center"/>
            <w:hideMark/>
          </w:tcPr>
          <w:p w14:paraId="2C15D5FF" w14:textId="77777777" w:rsidR="00CC3101" w:rsidRPr="00456EE7" w:rsidRDefault="00CC3101" w:rsidP="00534414">
            <w:pPr>
              <w:jc w:val="right"/>
              <w:rPr>
                <w:sz w:val="14"/>
                <w:szCs w:val="14"/>
              </w:rPr>
            </w:pPr>
          </w:p>
        </w:tc>
        <w:tc>
          <w:tcPr>
            <w:tcW w:w="992" w:type="dxa"/>
            <w:tcBorders>
              <w:top w:val="nil"/>
              <w:left w:val="nil"/>
              <w:bottom w:val="nil"/>
              <w:right w:val="nil"/>
            </w:tcBorders>
            <w:shd w:val="clear" w:color="auto" w:fill="auto"/>
            <w:noWrap/>
            <w:vAlign w:val="center"/>
            <w:hideMark/>
          </w:tcPr>
          <w:p w14:paraId="5CBF518E" w14:textId="77777777" w:rsidR="00CC3101" w:rsidRPr="00456EE7" w:rsidRDefault="00CC3101" w:rsidP="00534414">
            <w:pPr>
              <w:jc w:val="right"/>
              <w:rPr>
                <w:sz w:val="14"/>
                <w:szCs w:val="14"/>
              </w:rPr>
            </w:pPr>
          </w:p>
        </w:tc>
        <w:tc>
          <w:tcPr>
            <w:tcW w:w="851" w:type="dxa"/>
            <w:tcBorders>
              <w:top w:val="nil"/>
              <w:left w:val="nil"/>
              <w:bottom w:val="nil"/>
              <w:right w:val="nil"/>
            </w:tcBorders>
            <w:shd w:val="clear" w:color="auto" w:fill="auto"/>
            <w:noWrap/>
            <w:vAlign w:val="center"/>
            <w:hideMark/>
          </w:tcPr>
          <w:p w14:paraId="32A89E16" w14:textId="77777777" w:rsidR="00CC3101" w:rsidRPr="00456EE7" w:rsidRDefault="00CC3101" w:rsidP="00534414">
            <w:pPr>
              <w:jc w:val="right"/>
              <w:rPr>
                <w:sz w:val="14"/>
                <w:szCs w:val="14"/>
              </w:rPr>
            </w:pPr>
          </w:p>
        </w:tc>
      </w:tr>
      <w:tr w:rsidR="0026330C" w:rsidRPr="00456EE7" w14:paraId="502E75DD" w14:textId="77777777" w:rsidTr="00C2675E">
        <w:trPr>
          <w:trHeight w:val="185"/>
        </w:trPr>
        <w:tc>
          <w:tcPr>
            <w:tcW w:w="1780" w:type="dxa"/>
            <w:tcBorders>
              <w:top w:val="nil"/>
              <w:left w:val="nil"/>
              <w:bottom w:val="nil"/>
              <w:right w:val="nil"/>
            </w:tcBorders>
            <w:shd w:val="clear" w:color="auto" w:fill="auto"/>
            <w:hideMark/>
          </w:tcPr>
          <w:p w14:paraId="79224C9A" w14:textId="77777777" w:rsidR="00CC3101" w:rsidRPr="00456EE7" w:rsidRDefault="00CC3101">
            <w:pPr>
              <w:rPr>
                <w:rFonts w:ascii="Arial" w:hAnsi="Arial" w:cs="Arial"/>
                <w:b/>
                <w:bCs/>
                <w:sz w:val="14"/>
                <w:szCs w:val="14"/>
              </w:rPr>
            </w:pPr>
            <w:r w:rsidRPr="00456EE7">
              <w:rPr>
                <w:rFonts w:ascii="Arial" w:hAnsi="Arial" w:cs="Arial"/>
                <w:b/>
                <w:bCs/>
                <w:sz w:val="14"/>
                <w:szCs w:val="14"/>
              </w:rPr>
              <w:t>Resultado total integral del período</w:t>
            </w:r>
          </w:p>
        </w:tc>
        <w:tc>
          <w:tcPr>
            <w:tcW w:w="676" w:type="dxa"/>
            <w:tcBorders>
              <w:top w:val="nil"/>
              <w:left w:val="nil"/>
              <w:bottom w:val="nil"/>
              <w:right w:val="nil"/>
            </w:tcBorders>
            <w:shd w:val="clear" w:color="auto" w:fill="auto"/>
            <w:noWrap/>
            <w:hideMark/>
          </w:tcPr>
          <w:p w14:paraId="33E1A61C" w14:textId="77777777" w:rsidR="00CC3101" w:rsidRPr="00456EE7" w:rsidRDefault="00CC3101">
            <w:pPr>
              <w:rPr>
                <w:rFonts w:ascii="Arial" w:hAnsi="Arial" w:cs="Arial"/>
                <w:b/>
                <w:bCs/>
                <w:sz w:val="14"/>
                <w:szCs w:val="14"/>
              </w:rPr>
            </w:pPr>
          </w:p>
        </w:tc>
        <w:tc>
          <w:tcPr>
            <w:tcW w:w="942" w:type="dxa"/>
            <w:tcBorders>
              <w:top w:val="nil"/>
              <w:left w:val="nil"/>
              <w:bottom w:val="nil"/>
              <w:right w:val="nil"/>
            </w:tcBorders>
            <w:shd w:val="clear" w:color="auto" w:fill="auto"/>
            <w:noWrap/>
            <w:vAlign w:val="center"/>
            <w:hideMark/>
          </w:tcPr>
          <w:p w14:paraId="72AE44E1" w14:textId="48FC7B8C" w:rsidR="00CC3101" w:rsidRPr="00456EE7" w:rsidRDefault="00CC3101" w:rsidP="00534414">
            <w:pPr>
              <w:jc w:val="right"/>
              <w:rPr>
                <w:sz w:val="14"/>
                <w:szCs w:val="14"/>
              </w:rPr>
            </w:pPr>
          </w:p>
        </w:tc>
        <w:tc>
          <w:tcPr>
            <w:tcW w:w="714" w:type="dxa"/>
            <w:tcBorders>
              <w:top w:val="nil"/>
              <w:left w:val="nil"/>
              <w:bottom w:val="nil"/>
              <w:right w:val="nil"/>
            </w:tcBorders>
            <w:shd w:val="clear" w:color="auto" w:fill="auto"/>
            <w:noWrap/>
            <w:vAlign w:val="center"/>
            <w:hideMark/>
          </w:tcPr>
          <w:p w14:paraId="56D9CB10" w14:textId="77777777" w:rsidR="00CC3101" w:rsidRPr="00456EE7" w:rsidRDefault="00CC3101" w:rsidP="00534414">
            <w:pPr>
              <w:jc w:val="right"/>
              <w:rPr>
                <w:sz w:val="14"/>
                <w:szCs w:val="14"/>
              </w:rPr>
            </w:pPr>
          </w:p>
        </w:tc>
        <w:tc>
          <w:tcPr>
            <w:tcW w:w="850" w:type="dxa"/>
            <w:tcBorders>
              <w:top w:val="nil"/>
              <w:left w:val="nil"/>
              <w:bottom w:val="nil"/>
              <w:right w:val="nil"/>
            </w:tcBorders>
          </w:tcPr>
          <w:p w14:paraId="0084A639" w14:textId="77777777" w:rsidR="00CC3101" w:rsidRPr="00456EE7" w:rsidRDefault="00CC3101" w:rsidP="00534414">
            <w:pPr>
              <w:jc w:val="right"/>
              <w:rPr>
                <w:sz w:val="14"/>
                <w:szCs w:val="14"/>
              </w:rPr>
            </w:pPr>
          </w:p>
        </w:tc>
        <w:tc>
          <w:tcPr>
            <w:tcW w:w="709" w:type="dxa"/>
            <w:tcBorders>
              <w:top w:val="nil"/>
              <w:left w:val="nil"/>
              <w:bottom w:val="nil"/>
              <w:right w:val="nil"/>
            </w:tcBorders>
            <w:shd w:val="clear" w:color="auto" w:fill="auto"/>
            <w:noWrap/>
            <w:vAlign w:val="center"/>
            <w:hideMark/>
          </w:tcPr>
          <w:p w14:paraId="1AB276DB" w14:textId="6B9CFC36" w:rsidR="00CC3101" w:rsidRPr="00456EE7" w:rsidRDefault="00CC3101" w:rsidP="00534414">
            <w:pPr>
              <w:jc w:val="right"/>
              <w:rPr>
                <w:sz w:val="14"/>
                <w:szCs w:val="14"/>
              </w:rPr>
            </w:pPr>
          </w:p>
        </w:tc>
        <w:tc>
          <w:tcPr>
            <w:tcW w:w="709" w:type="dxa"/>
            <w:tcBorders>
              <w:top w:val="nil"/>
              <w:left w:val="nil"/>
              <w:bottom w:val="nil"/>
              <w:right w:val="nil"/>
            </w:tcBorders>
            <w:shd w:val="clear" w:color="auto" w:fill="auto"/>
            <w:noWrap/>
            <w:vAlign w:val="center"/>
            <w:hideMark/>
          </w:tcPr>
          <w:p w14:paraId="7EA61586" w14:textId="77777777" w:rsidR="00CC3101" w:rsidRPr="00456EE7" w:rsidRDefault="00CC3101" w:rsidP="00534414">
            <w:pPr>
              <w:jc w:val="right"/>
              <w:rPr>
                <w:sz w:val="14"/>
                <w:szCs w:val="14"/>
              </w:rPr>
            </w:pPr>
          </w:p>
        </w:tc>
        <w:tc>
          <w:tcPr>
            <w:tcW w:w="709" w:type="dxa"/>
            <w:tcBorders>
              <w:top w:val="nil"/>
              <w:left w:val="nil"/>
              <w:bottom w:val="nil"/>
              <w:right w:val="nil"/>
            </w:tcBorders>
            <w:shd w:val="clear" w:color="auto" w:fill="auto"/>
            <w:noWrap/>
            <w:vAlign w:val="center"/>
            <w:hideMark/>
          </w:tcPr>
          <w:p w14:paraId="16354652" w14:textId="77777777" w:rsidR="00CC3101" w:rsidRPr="00456EE7" w:rsidRDefault="00CC3101" w:rsidP="00534414">
            <w:pPr>
              <w:jc w:val="right"/>
              <w:rPr>
                <w:sz w:val="14"/>
                <w:szCs w:val="14"/>
              </w:rPr>
            </w:pPr>
          </w:p>
        </w:tc>
        <w:tc>
          <w:tcPr>
            <w:tcW w:w="708" w:type="dxa"/>
            <w:tcBorders>
              <w:top w:val="nil"/>
              <w:left w:val="nil"/>
              <w:bottom w:val="nil"/>
              <w:right w:val="nil"/>
            </w:tcBorders>
            <w:shd w:val="clear" w:color="auto" w:fill="auto"/>
            <w:noWrap/>
            <w:vAlign w:val="center"/>
            <w:hideMark/>
          </w:tcPr>
          <w:p w14:paraId="14D76B58" w14:textId="77777777" w:rsidR="00CC3101" w:rsidRPr="00456EE7" w:rsidRDefault="00CC3101" w:rsidP="00534414">
            <w:pPr>
              <w:jc w:val="right"/>
              <w:rPr>
                <w:sz w:val="14"/>
                <w:szCs w:val="14"/>
              </w:rPr>
            </w:pPr>
          </w:p>
        </w:tc>
        <w:tc>
          <w:tcPr>
            <w:tcW w:w="851" w:type="dxa"/>
            <w:tcBorders>
              <w:top w:val="nil"/>
              <w:left w:val="nil"/>
              <w:bottom w:val="nil"/>
              <w:right w:val="nil"/>
            </w:tcBorders>
            <w:shd w:val="clear" w:color="auto" w:fill="auto"/>
            <w:noWrap/>
            <w:vAlign w:val="center"/>
            <w:hideMark/>
          </w:tcPr>
          <w:p w14:paraId="273DC13F" w14:textId="77777777" w:rsidR="00CC3101" w:rsidRPr="00456EE7" w:rsidRDefault="00CC3101" w:rsidP="00534414">
            <w:pPr>
              <w:jc w:val="right"/>
              <w:rPr>
                <w:sz w:val="14"/>
                <w:szCs w:val="14"/>
              </w:rPr>
            </w:pPr>
          </w:p>
        </w:tc>
        <w:tc>
          <w:tcPr>
            <w:tcW w:w="992" w:type="dxa"/>
            <w:tcBorders>
              <w:top w:val="nil"/>
              <w:left w:val="nil"/>
              <w:bottom w:val="nil"/>
              <w:right w:val="nil"/>
            </w:tcBorders>
            <w:shd w:val="clear" w:color="auto" w:fill="auto"/>
            <w:noWrap/>
            <w:vAlign w:val="center"/>
            <w:hideMark/>
          </w:tcPr>
          <w:p w14:paraId="072B6329" w14:textId="77777777" w:rsidR="00CC3101" w:rsidRPr="00456EE7" w:rsidRDefault="00CC3101" w:rsidP="00534414">
            <w:pPr>
              <w:jc w:val="right"/>
              <w:rPr>
                <w:sz w:val="14"/>
                <w:szCs w:val="14"/>
              </w:rPr>
            </w:pPr>
          </w:p>
        </w:tc>
        <w:tc>
          <w:tcPr>
            <w:tcW w:w="992" w:type="dxa"/>
            <w:tcBorders>
              <w:top w:val="nil"/>
              <w:left w:val="nil"/>
              <w:bottom w:val="nil"/>
              <w:right w:val="nil"/>
            </w:tcBorders>
            <w:shd w:val="clear" w:color="auto" w:fill="auto"/>
            <w:noWrap/>
            <w:vAlign w:val="center"/>
            <w:hideMark/>
          </w:tcPr>
          <w:p w14:paraId="2687C422" w14:textId="77777777" w:rsidR="00CC3101" w:rsidRPr="00456EE7" w:rsidRDefault="00CC3101" w:rsidP="00534414">
            <w:pPr>
              <w:jc w:val="right"/>
              <w:rPr>
                <w:sz w:val="14"/>
                <w:szCs w:val="14"/>
              </w:rPr>
            </w:pPr>
          </w:p>
        </w:tc>
        <w:tc>
          <w:tcPr>
            <w:tcW w:w="851" w:type="dxa"/>
            <w:tcBorders>
              <w:top w:val="nil"/>
              <w:left w:val="nil"/>
              <w:bottom w:val="nil"/>
              <w:right w:val="nil"/>
            </w:tcBorders>
            <w:shd w:val="clear" w:color="auto" w:fill="auto"/>
            <w:noWrap/>
            <w:vAlign w:val="center"/>
            <w:hideMark/>
          </w:tcPr>
          <w:p w14:paraId="417C1495" w14:textId="77777777" w:rsidR="00CC3101" w:rsidRPr="00456EE7" w:rsidRDefault="00CC3101" w:rsidP="00534414">
            <w:pPr>
              <w:jc w:val="right"/>
              <w:rPr>
                <w:sz w:val="14"/>
                <w:szCs w:val="14"/>
              </w:rPr>
            </w:pPr>
          </w:p>
        </w:tc>
      </w:tr>
      <w:tr w:rsidR="0026330C" w:rsidRPr="00456EE7" w14:paraId="774D5C40" w14:textId="77777777" w:rsidTr="00C2675E">
        <w:trPr>
          <w:trHeight w:val="175"/>
        </w:trPr>
        <w:tc>
          <w:tcPr>
            <w:tcW w:w="1780" w:type="dxa"/>
            <w:tcBorders>
              <w:top w:val="nil"/>
              <w:left w:val="nil"/>
              <w:bottom w:val="nil"/>
              <w:right w:val="nil"/>
            </w:tcBorders>
            <w:shd w:val="clear" w:color="auto" w:fill="auto"/>
            <w:hideMark/>
          </w:tcPr>
          <w:p w14:paraId="216C820B" w14:textId="77777777" w:rsidR="00CC3101" w:rsidRPr="00456EE7" w:rsidRDefault="00CC3101" w:rsidP="004C606B">
            <w:pPr>
              <w:rPr>
                <w:rFonts w:ascii="Arial" w:hAnsi="Arial" w:cs="Arial"/>
                <w:sz w:val="14"/>
                <w:szCs w:val="14"/>
              </w:rPr>
            </w:pPr>
            <w:r w:rsidRPr="00456EE7">
              <w:rPr>
                <w:rFonts w:ascii="Arial" w:hAnsi="Arial" w:cs="Arial"/>
                <w:sz w:val="14"/>
                <w:szCs w:val="14"/>
              </w:rPr>
              <w:t>- Resultado neto del período</w:t>
            </w:r>
          </w:p>
        </w:tc>
        <w:tc>
          <w:tcPr>
            <w:tcW w:w="676" w:type="dxa"/>
            <w:tcBorders>
              <w:top w:val="nil"/>
              <w:left w:val="nil"/>
              <w:bottom w:val="nil"/>
              <w:right w:val="nil"/>
            </w:tcBorders>
            <w:shd w:val="clear" w:color="auto" w:fill="auto"/>
            <w:noWrap/>
            <w:hideMark/>
          </w:tcPr>
          <w:p w14:paraId="5AC5A2E8" w14:textId="77777777" w:rsidR="00CC3101" w:rsidRPr="00456EE7" w:rsidRDefault="00CC3101" w:rsidP="004C606B">
            <w:pPr>
              <w:rPr>
                <w:rFonts w:ascii="Arial" w:hAnsi="Arial" w:cs="Arial"/>
                <w:sz w:val="14"/>
                <w:szCs w:val="14"/>
              </w:rPr>
            </w:pPr>
          </w:p>
        </w:tc>
        <w:tc>
          <w:tcPr>
            <w:tcW w:w="942" w:type="dxa"/>
            <w:tcBorders>
              <w:top w:val="nil"/>
              <w:left w:val="nil"/>
              <w:bottom w:val="nil"/>
              <w:right w:val="nil"/>
            </w:tcBorders>
            <w:shd w:val="clear" w:color="auto" w:fill="auto"/>
            <w:noWrap/>
            <w:vAlign w:val="center"/>
            <w:hideMark/>
          </w:tcPr>
          <w:p w14:paraId="6B077FFC" w14:textId="59CFF03E"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714" w:type="dxa"/>
            <w:tcBorders>
              <w:top w:val="nil"/>
              <w:left w:val="nil"/>
              <w:bottom w:val="nil"/>
              <w:right w:val="nil"/>
            </w:tcBorders>
            <w:shd w:val="clear" w:color="auto" w:fill="auto"/>
            <w:noWrap/>
            <w:vAlign w:val="center"/>
            <w:hideMark/>
          </w:tcPr>
          <w:p w14:paraId="57632ECF" w14:textId="56BA2562"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850" w:type="dxa"/>
            <w:tcBorders>
              <w:top w:val="nil"/>
              <w:left w:val="nil"/>
              <w:bottom w:val="nil"/>
              <w:right w:val="nil"/>
            </w:tcBorders>
          </w:tcPr>
          <w:p w14:paraId="47695321" w14:textId="77777777" w:rsidR="00CC3101" w:rsidRPr="00456EE7" w:rsidRDefault="00CC3101" w:rsidP="004C606B">
            <w:pPr>
              <w:jc w:val="right"/>
              <w:rPr>
                <w:rFonts w:ascii="Arial" w:hAnsi="Arial" w:cs="Arial"/>
                <w:sz w:val="14"/>
                <w:szCs w:val="14"/>
              </w:rPr>
            </w:pPr>
          </w:p>
        </w:tc>
        <w:tc>
          <w:tcPr>
            <w:tcW w:w="709" w:type="dxa"/>
            <w:tcBorders>
              <w:top w:val="nil"/>
              <w:left w:val="nil"/>
              <w:bottom w:val="nil"/>
              <w:right w:val="nil"/>
            </w:tcBorders>
            <w:shd w:val="clear" w:color="auto" w:fill="auto"/>
            <w:noWrap/>
            <w:vAlign w:val="center"/>
            <w:hideMark/>
          </w:tcPr>
          <w:p w14:paraId="4F659ADC" w14:textId="7BE97CE5"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709" w:type="dxa"/>
            <w:tcBorders>
              <w:top w:val="nil"/>
              <w:left w:val="nil"/>
              <w:bottom w:val="nil"/>
              <w:right w:val="nil"/>
            </w:tcBorders>
            <w:shd w:val="clear" w:color="auto" w:fill="auto"/>
            <w:noWrap/>
            <w:vAlign w:val="center"/>
            <w:hideMark/>
          </w:tcPr>
          <w:p w14:paraId="080D78DA" w14:textId="13252BE7"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709" w:type="dxa"/>
            <w:tcBorders>
              <w:top w:val="nil"/>
              <w:left w:val="nil"/>
              <w:bottom w:val="nil"/>
              <w:right w:val="nil"/>
            </w:tcBorders>
            <w:shd w:val="clear" w:color="auto" w:fill="auto"/>
            <w:noWrap/>
            <w:vAlign w:val="center"/>
            <w:hideMark/>
          </w:tcPr>
          <w:p w14:paraId="018D6400" w14:textId="10F510B5"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708" w:type="dxa"/>
            <w:tcBorders>
              <w:top w:val="nil"/>
              <w:left w:val="nil"/>
              <w:bottom w:val="nil"/>
              <w:right w:val="nil"/>
            </w:tcBorders>
            <w:shd w:val="clear" w:color="auto" w:fill="auto"/>
            <w:noWrap/>
            <w:vAlign w:val="center"/>
            <w:hideMark/>
          </w:tcPr>
          <w:p w14:paraId="2841F39F" w14:textId="12E47465"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851" w:type="dxa"/>
            <w:tcBorders>
              <w:top w:val="nil"/>
              <w:left w:val="nil"/>
              <w:bottom w:val="nil"/>
              <w:right w:val="nil"/>
            </w:tcBorders>
            <w:shd w:val="clear" w:color="auto" w:fill="auto"/>
            <w:noWrap/>
            <w:vAlign w:val="center"/>
          </w:tcPr>
          <w:p w14:paraId="052BE745" w14:textId="31499795" w:rsidR="00CC3101" w:rsidRPr="004C606B" w:rsidRDefault="0026330C" w:rsidP="004C606B">
            <w:pPr>
              <w:jc w:val="right"/>
              <w:rPr>
                <w:rFonts w:ascii="Arial" w:hAnsi="Arial" w:cs="Arial"/>
                <w:sz w:val="14"/>
                <w:szCs w:val="14"/>
              </w:rPr>
            </w:pPr>
            <w:r>
              <w:rPr>
                <w:rFonts w:ascii="Arial" w:hAnsi="Arial" w:cs="Arial"/>
                <w:sz w:val="14"/>
                <w:szCs w:val="14"/>
              </w:rPr>
              <w:t>373</w:t>
            </w:r>
            <w:r w:rsidR="00CC3101" w:rsidRPr="004C606B">
              <w:rPr>
                <w:rFonts w:ascii="Arial" w:hAnsi="Arial" w:cs="Arial"/>
                <w:sz w:val="14"/>
                <w:szCs w:val="14"/>
              </w:rPr>
              <w:t>.</w:t>
            </w:r>
            <w:r w:rsidR="00CC3101">
              <w:rPr>
                <w:rFonts w:ascii="Arial" w:hAnsi="Arial" w:cs="Arial"/>
                <w:sz w:val="14"/>
                <w:szCs w:val="14"/>
              </w:rPr>
              <w:t>14</w:t>
            </w:r>
            <w:r>
              <w:rPr>
                <w:rFonts w:ascii="Arial" w:hAnsi="Arial" w:cs="Arial"/>
                <w:sz w:val="14"/>
                <w:szCs w:val="14"/>
              </w:rPr>
              <w:t>0</w:t>
            </w:r>
          </w:p>
        </w:tc>
        <w:tc>
          <w:tcPr>
            <w:tcW w:w="992" w:type="dxa"/>
            <w:tcBorders>
              <w:top w:val="nil"/>
              <w:left w:val="nil"/>
              <w:bottom w:val="nil"/>
              <w:right w:val="nil"/>
            </w:tcBorders>
            <w:shd w:val="clear" w:color="auto" w:fill="auto"/>
            <w:noWrap/>
            <w:vAlign w:val="center"/>
          </w:tcPr>
          <w:p w14:paraId="0053EC25" w14:textId="78722570" w:rsidR="00CC3101" w:rsidRPr="004C606B" w:rsidRDefault="0026330C" w:rsidP="004C606B">
            <w:pPr>
              <w:jc w:val="right"/>
              <w:rPr>
                <w:rFonts w:ascii="Arial" w:hAnsi="Arial" w:cs="Arial"/>
                <w:sz w:val="14"/>
                <w:szCs w:val="14"/>
              </w:rPr>
            </w:pPr>
            <w:r>
              <w:rPr>
                <w:rFonts w:ascii="Arial" w:hAnsi="Arial" w:cs="Arial"/>
                <w:sz w:val="14"/>
                <w:szCs w:val="14"/>
              </w:rPr>
              <w:t>3</w:t>
            </w:r>
            <w:r w:rsidR="00CC3101">
              <w:rPr>
                <w:rFonts w:ascii="Arial" w:hAnsi="Arial" w:cs="Arial"/>
                <w:sz w:val="14"/>
                <w:szCs w:val="14"/>
              </w:rPr>
              <w:t>7</w:t>
            </w:r>
            <w:r>
              <w:rPr>
                <w:rFonts w:ascii="Arial" w:hAnsi="Arial" w:cs="Arial"/>
                <w:sz w:val="14"/>
                <w:szCs w:val="14"/>
              </w:rPr>
              <w:t>3</w:t>
            </w:r>
            <w:r w:rsidR="00CC3101" w:rsidRPr="004C606B">
              <w:rPr>
                <w:rFonts w:ascii="Arial" w:hAnsi="Arial" w:cs="Arial"/>
                <w:sz w:val="14"/>
                <w:szCs w:val="14"/>
              </w:rPr>
              <w:t>.</w:t>
            </w:r>
            <w:r>
              <w:rPr>
                <w:rFonts w:ascii="Arial" w:hAnsi="Arial" w:cs="Arial"/>
                <w:sz w:val="14"/>
                <w:szCs w:val="14"/>
              </w:rPr>
              <w:t>140</w:t>
            </w:r>
          </w:p>
        </w:tc>
        <w:tc>
          <w:tcPr>
            <w:tcW w:w="992" w:type="dxa"/>
            <w:tcBorders>
              <w:top w:val="nil"/>
              <w:left w:val="nil"/>
              <w:bottom w:val="nil"/>
              <w:right w:val="nil"/>
            </w:tcBorders>
            <w:shd w:val="clear" w:color="auto" w:fill="auto"/>
            <w:noWrap/>
            <w:vAlign w:val="center"/>
          </w:tcPr>
          <w:p w14:paraId="2E96E766" w14:textId="6E297541" w:rsidR="00CC3101" w:rsidRPr="004C606B" w:rsidRDefault="00CC3101" w:rsidP="004C606B">
            <w:pPr>
              <w:jc w:val="right"/>
              <w:rPr>
                <w:rFonts w:ascii="Arial" w:hAnsi="Arial" w:cs="Arial"/>
                <w:sz w:val="14"/>
                <w:szCs w:val="14"/>
              </w:rPr>
            </w:pPr>
            <w:r w:rsidRPr="004C606B">
              <w:rPr>
                <w:rFonts w:ascii="Arial" w:hAnsi="Arial" w:cs="Arial"/>
                <w:sz w:val="14"/>
                <w:szCs w:val="14"/>
              </w:rPr>
              <w:t>-</w:t>
            </w:r>
            <w:r w:rsidR="0026330C">
              <w:rPr>
                <w:rFonts w:ascii="Arial" w:hAnsi="Arial" w:cs="Arial"/>
                <w:sz w:val="14"/>
                <w:szCs w:val="14"/>
              </w:rPr>
              <w:t>7</w:t>
            </w:r>
            <w:r w:rsidRPr="004C606B">
              <w:rPr>
                <w:rFonts w:ascii="Arial" w:hAnsi="Arial" w:cs="Arial"/>
                <w:sz w:val="14"/>
                <w:szCs w:val="14"/>
              </w:rPr>
              <w:t>.</w:t>
            </w:r>
            <w:r w:rsidR="0026330C">
              <w:rPr>
                <w:rFonts w:ascii="Arial" w:hAnsi="Arial" w:cs="Arial"/>
                <w:sz w:val="14"/>
                <w:szCs w:val="14"/>
              </w:rPr>
              <w:t>481</w:t>
            </w:r>
          </w:p>
        </w:tc>
        <w:tc>
          <w:tcPr>
            <w:tcW w:w="851" w:type="dxa"/>
            <w:tcBorders>
              <w:top w:val="nil"/>
              <w:left w:val="nil"/>
              <w:bottom w:val="nil"/>
              <w:right w:val="nil"/>
            </w:tcBorders>
            <w:shd w:val="clear" w:color="auto" w:fill="auto"/>
            <w:noWrap/>
            <w:vAlign w:val="center"/>
          </w:tcPr>
          <w:p w14:paraId="6E380CBB" w14:textId="1A52DF53" w:rsidR="00CC3101" w:rsidRPr="004C606B" w:rsidRDefault="00CC3101" w:rsidP="004C606B">
            <w:pPr>
              <w:jc w:val="right"/>
              <w:rPr>
                <w:rFonts w:ascii="Arial" w:hAnsi="Arial" w:cs="Arial"/>
                <w:sz w:val="14"/>
                <w:szCs w:val="14"/>
              </w:rPr>
            </w:pPr>
            <w:r>
              <w:rPr>
                <w:rFonts w:ascii="Arial" w:hAnsi="Arial" w:cs="Arial"/>
                <w:sz w:val="14"/>
                <w:szCs w:val="14"/>
              </w:rPr>
              <w:t>3</w:t>
            </w:r>
            <w:r w:rsidR="0026330C">
              <w:rPr>
                <w:rFonts w:ascii="Arial" w:hAnsi="Arial" w:cs="Arial"/>
                <w:sz w:val="14"/>
                <w:szCs w:val="14"/>
              </w:rPr>
              <w:t>65</w:t>
            </w:r>
            <w:r w:rsidRPr="004C606B">
              <w:rPr>
                <w:rFonts w:ascii="Arial" w:hAnsi="Arial" w:cs="Arial"/>
                <w:sz w:val="14"/>
                <w:szCs w:val="14"/>
              </w:rPr>
              <w:t>.</w:t>
            </w:r>
            <w:r w:rsidR="0026330C">
              <w:rPr>
                <w:rFonts w:ascii="Arial" w:hAnsi="Arial" w:cs="Arial"/>
                <w:sz w:val="14"/>
                <w:szCs w:val="14"/>
              </w:rPr>
              <w:t>659</w:t>
            </w:r>
          </w:p>
        </w:tc>
      </w:tr>
      <w:tr w:rsidR="0026330C" w:rsidRPr="00456EE7" w14:paraId="5F8698C6" w14:textId="77777777" w:rsidTr="00C2675E">
        <w:trPr>
          <w:trHeight w:val="213"/>
        </w:trPr>
        <w:tc>
          <w:tcPr>
            <w:tcW w:w="1780" w:type="dxa"/>
            <w:tcBorders>
              <w:top w:val="nil"/>
              <w:left w:val="nil"/>
              <w:bottom w:val="nil"/>
              <w:right w:val="nil"/>
            </w:tcBorders>
            <w:shd w:val="clear" w:color="auto" w:fill="auto"/>
            <w:vAlign w:val="center"/>
            <w:hideMark/>
          </w:tcPr>
          <w:p w14:paraId="6DD904A6" w14:textId="77777777" w:rsidR="00CC3101" w:rsidRPr="00456EE7" w:rsidRDefault="00CC3101" w:rsidP="00AF348A">
            <w:pPr>
              <w:rPr>
                <w:rFonts w:ascii="Arial" w:hAnsi="Arial" w:cs="Arial"/>
                <w:sz w:val="14"/>
                <w:szCs w:val="14"/>
              </w:rPr>
            </w:pPr>
            <w:r w:rsidRPr="00456EE7">
              <w:rPr>
                <w:rFonts w:ascii="Arial" w:hAnsi="Arial" w:cs="Arial"/>
                <w:sz w:val="14"/>
                <w:szCs w:val="14"/>
              </w:rPr>
              <w:t>- Otro Resultado Integral del período</w:t>
            </w:r>
          </w:p>
        </w:tc>
        <w:tc>
          <w:tcPr>
            <w:tcW w:w="676" w:type="dxa"/>
            <w:tcBorders>
              <w:top w:val="nil"/>
              <w:left w:val="nil"/>
              <w:bottom w:val="nil"/>
              <w:right w:val="nil"/>
            </w:tcBorders>
            <w:shd w:val="clear" w:color="auto" w:fill="auto"/>
            <w:noWrap/>
            <w:hideMark/>
          </w:tcPr>
          <w:p w14:paraId="399448D2" w14:textId="77777777" w:rsidR="00CC3101" w:rsidRPr="00456EE7" w:rsidRDefault="00CC3101" w:rsidP="004C606B">
            <w:pPr>
              <w:rPr>
                <w:rFonts w:ascii="Arial" w:hAnsi="Arial" w:cs="Arial"/>
                <w:sz w:val="14"/>
                <w:szCs w:val="14"/>
              </w:rPr>
            </w:pPr>
          </w:p>
        </w:tc>
        <w:tc>
          <w:tcPr>
            <w:tcW w:w="942" w:type="dxa"/>
            <w:tcBorders>
              <w:top w:val="nil"/>
              <w:left w:val="nil"/>
              <w:bottom w:val="nil"/>
              <w:right w:val="nil"/>
            </w:tcBorders>
            <w:shd w:val="clear" w:color="auto" w:fill="auto"/>
            <w:noWrap/>
            <w:vAlign w:val="center"/>
            <w:hideMark/>
          </w:tcPr>
          <w:p w14:paraId="08BA6527" w14:textId="1B7F20B0"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714" w:type="dxa"/>
            <w:tcBorders>
              <w:top w:val="nil"/>
              <w:left w:val="nil"/>
              <w:bottom w:val="nil"/>
              <w:right w:val="nil"/>
            </w:tcBorders>
            <w:shd w:val="clear" w:color="auto" w:fill="auto"/>
            <w:noWrap/>
            <w:vAlign w:val="center"/>
            <w:hideMark/>
          </w:tcPr>
          <w:p w14:paraId="0303FC67" w14:textId="1AD50A0A"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850" w:type="dxa"/>
            <w:tcBorders>
              <w:top w:val="nil"/>
              <w:left w:val="nil"/>
              <w:bottom w:val="nil"/>
              <w:right w:val="nil"/>
            </w:tcBorders>
          </w:tcPr>
          <w:p w14:paraId="56E9733D" w14:textId="77777777" w:rsidR="00CC3101" w:rsidRDefault="00CC3101" w:rsidP="004C606B">
            <w:pPr>
              <w:jc w:val="right"/>
              <w:rPr>
                <w:rFonts w:ascii="Arial" w:hAnsi="Arial" w:cs="Arial"/>
                <w:sz w:val="14"/>
                <w:szCs w:val="14"/>
              </w:rPr>
            </w:pPr>
          </w:p>
        </w:tc>
        <w:tc>
          <w:tcPr>
            <w:tcW w:w="709" w:type="dxa"/>
            <w:tcBorders>
              <w:top w:val="nil"/>
              <w:left w:val="nil"/>
              <w:bottom w:val="nil"/>
              <w:right w:val="nil"/>
            </w:tcBorders>
            <w:shd w:val="clear" w:color="auto" w:fill="auto"/>
            <w:noWrap/>
            <w:vAlign w:val="center"/>
            <w:hideMark/>
          </w:tcPr>
          <w:p w14:paraId="307562DF" w14:textId="6E55227E" w:rsidR="00CC3101" w:rsidRPr="00456EE7" w:rsidRDefault="0026330C" w:rsidP="004C606B">
            <w:pPr>
              <w:jc w:val="right"/>
              <w:rPr>
                <w:rFonts w:ascii="Arial" w:hAnsi="Arial" w:cs="Arial"/>
                <w:sz w:val="14"/>
                <w:szCs w:val="14"/>
              </w:rPr>
            </w:pPr>
            <w:r>
              <w:rPr>
                <w:rFonts w:ascii="Arial" w:hAnsi="Arial" w:cs="Arial"/>
                <w:sz w:val="14"/>
                <w:szCs w:val="14"/>
              </w:rPr>
              <w:t>-</w:t>
            </w:r>
          </w:p>
        </w:tc>
        <w:tc>
          <w:tcPr>
            <w:tcW w:w="709" w:type="dxa"/>
            <w:tcBorders>
              <w:top w:val="nil"/>
              <w:left w:val="nil"/>
              <w:bottom w:val="nil"/>
              <w:right w:val="nil"/>
            </w:tcBorders>
            <w:shd w:val="clear" w:color="auto" w:fill="auto"/>
            <w:noWrap/>
            <w:vAlign w:val="center"/>
          </w:tcPr>
          <w:p w14:paraId="2AB258BA" w14:textId="52539838" w:rsidR="00CC3101" w:rsidRPr="00456EE7" w:rsidRDefault="0026330C" w:rsidP="004C606B">
            <w:pPr>
              <w:jc w:val="right"/>
              <w:rPr>
                <w:rFonts w:ascii="Arial" w:hAnsi="Arial" w:cs="Arial"/>
                <w:sz w:val="14"/>
                <w:szCs w:val="14"/>
              </w:rPr>
            </w:pPr>
            <w:r>
              <w:rPr>
                <w:rFonts w:ascii="Arial" w:hAnsi="Arial" w:cs="Arial"/>
                <w:sz w:val="14"/>
                <w:szCs w:val="14"/>
              </w:rPr>
              <w:t>-4</w:t>
            </w:r>
            <w:r w:rsidR="00CC3101">
              <w:rPr>
                <w:rFonts w:ascii="Arial" w:hAnsi="Arial" w:cs="Arial"/>
                <w:sz w:val="14"/>
                <w:szCs w:val="14"/>
              </w:rPr>
              <w:t>8</w:t>
            </w:r>
            <w:r>
              <w:rPr>
                <w:rFonts w:ascii="Arial" w:hAnsi="Arial" w:cs="Arial"/>
                <w:sz w:val="14"/>
                <w:szCs w:val="14"/>
              </w:rPr>
              <w:t>.239</w:t>
            </w:r>
          </w:p>
        </w:tc>
        <w:tc>
          <w:tcPr>
            <w:tcW w:w="709" w:type="dxa"/>
            <w:tcBorders>
              <w:top w:val="nil"/>
              <w:left w:val="nil"/>
              <w:bottom w:val="nil"/>
              <w:right w:val="nil"/>
            </w:tcBorders>
            <w:shd w:val="clear" w:color="auto" w:fill="auto"/>
            <w:noWrap/>
            <w:vAlign w:val="center"/>
          </w:tcPr>
          <w:p w14:paraId="586EF397" w14:textId="5753DF10"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708" w:type="dxa"/>
            <w:tcBorders>
              <w:top w:val="nil"/>
              <w:left w:val="nil"/>
              <w:bottom w:val="nil"/>
              <w:right w:val="nil"/>
            </w:tcBorders>
            <w:shd w:val="clear" w:color="auto" w:fill="auto"/>
            <w:noWrap/>
            <w:vAlign w:val="center"/>
          </w:tcPr>
          <w:p w14:paraId="3383C751" w14:textId="47A14C9E" w:rsidR="00CC3101" w:rsidRPr="00456EE7" w:rsidRDefault="00CC3101" w:rsidP="004C606B">
            <w:pPr>
              <w:jc w:val="right"/>
              <w:rPr>
                <w:rFonts w:ascii="Arial" w:hAnsi="Arial" w:cs="Arial"/>
                <w:sz w:val="14"/>
                <w:szCs w:val="14"/>
              </w:rPr>
            </w:pPr>
            <w:r w:rsidRPr="00456EE7">
              <w:rPr>
                <w:rFonts w:ascii="Arial" w:hAnsi="Arial" w:cs="Arial"/>
                <w:sz w:val="14"/>
                <w:szCs w:val="14"/>
              </w:rPr>
              <w:t>-</w:t>
            </w:r>
          </w:p>
        </w:tc>
        <w:tc>
          <w:tcPr>
            <w:tcW w:w="851" w:type="dxa"/>
            <w:tcBorders>
              <w:top w:val="nil"/>
              <w:left w:val="nil"/>
              <w:bottom w:val="nil"/>
              <w:right w:val="nil"/>
            </w:tcBorders>
            <w:shd w:val="clear" w:color="auto" w:fill="auto"/>
            <w:noWrap/>
            <w:vAlign w:val="center"/>
          </w:tcPr>
          <w:p w14:paraId="618231A2" w14:textId="62EF3CCA" w:rsidR="00CC3101" w:rsidRPr="004C606B" w:rsidRDefault="00CC3101" w:rsidP="004C606B">
            <w:pPr>
              <w:jc w:val="right"/>
              <w:rPr>
                <w:rFonts w:ascii="Arial" w:hAnsi="Arial" w:cs="Arial"/>
                <w:sz w:val="14"/>
                <w:szCs w:val="14"/>
              </w:rPr>
            </w:pPr>
            <w:r w:rsidRPr="004C606B">
              <w:rPr>
                <w:rFonts w:ascii="Arial" w:hAnsi="Arial" w:cs="Arial"/>
                <w:sz w:val="14"/>
                <w:szCs w:val="14"/>
              </w:rPr>
              <w:t>-</w:t>
            </w:r>
          </w:p>
        </w:tc>
        <w:tc>
          <w:tcPr>
            <w:tcW w:w="992" w:type="dxa"/>
            <w:tcBorders>
              <w:top w:val="nil"/>
              <w:left w:val="nil"/>
              <w:bottom w:val="nil"/>
              <w:right w:val="nil"/>
            </w:tcBorders>
            <w:shd w:val="clear" w:color="auto" w:fill="auto"/>
            <w:noWrap/>
            <w:vAlign w:val="center"/>
          </w:tcPr>
          <w:p w14:paraId="5AB7116E" w14:textId="4CDA8F4B" w:rsidR="00CC3101" w:rsidRPr="004C606B" w:rsidRDefault="0026330C" w:rsidP="004C606B">
            <w:pPr>
              <w:jc w:val="right"/>
              <w:rPr>
                <w:rFonts w:ascii="Arial" w:hAnsi="Arial" w:cs="Arial"/>
                <w:sz w:val="14"/>
                <w:szCs w:val="14"/>
              </w:rPr>
            </w:pPr>
            <w:r>
              <w:rPr>
                <w:rFonts w:ascii="Arial" w:hAnsi="Arial" w:cs="Arial"/>
                <w:sz w:val="14"/>
                <w:szCs w:val="14"/>
              </w:rPr>
              <w:t>-48</w:t>
            </w:r>
            <w:r w:rsidR="00CC3101">
              <w:rPr>
                <w:rFonts w:ascii="Arial" w:hAnsi="Arial" w:cs="Arial"/>
                <w:sz w:val="14"/>
                <w:szCs w:val="14"/>
              </w:rPr>
              <w:t>.</w:t>
            </w:r>
            <w:r>
              <w:rPr>
                <w:rFonts w:ascii="Arial" w:hAnsi="Arial" w:cs="Arial"/>
                <w:sz w:val="14"/>
                <w:szCs w:val="14"/>
              </w:rPr>
              <w:t>239</w:t>
            </w:r>
          </w:p>
        </w:tc>
        <w:tc>
          <w:tcPr>
            <w:tcW w:w="992" w:type="dxa"/>
            <w:tcBorders>
              <w:top w:val="nil"/>
              <w:left w:val="nil"/>
              <w:bottom w:val="nil"/>
              <w:right w:val="nil"/>
            </w:tcBorders>
            <w:shd w:val="clear" w:color="auto" w:fill="auto"/>
            <w:noWrap/>
            <w:vAlign w:val="center"/>
          </w:tcPr>
          <w:p w14:paraId="3C249349" w14:textId="77B805A9" w:rsidR="00CC3101" w:rsidRPr="004C606B" w:rsidRDefault="00CC3101" w:rsidP="004C606B">
            <w:pPr>
              <w:jc w:val="right"/>
              <w:rPr>
                <w:rFonts w:ascii="Arial" w:hAnsi="Arial" w:cs="Arial"/>
                <w:sz w:val="14"/>
                <w:szCs w:val="14"/>
              </w:rPr>
            </w:pPr>
          </w:p>
        </w:tc>
        <w:tc>
          <w:tcPr>
            <w:tcW w:w="851" w:type="dxa"/>
            <w:tcBorders>
              <w:top w:val="nil"/>
              <w:left w:val="nil"/>
              <w:bottom w:val="nil"/>
              <w:right w:val="nil"/>
            </w:tcBorders>
            <w:shd w:val="clear" w:color="auto" w:fill="auto"/>
            <w:noWrap/>
            <w:vAlign w:val="center"/>
          </w:tcPr>
          <w:p w14:paraId="623327B1" w14:textId="2121B10B" w:rsidR="00CC3101" w:rsidRPr="004C606B" w:rsidRDefault="0026330C" w:rsidP="004C606B">
            <w:pPr>
              <w:jc w:val="right"/>
              <w:rPr>
                <w:rFonts w:ascii="Arial" w:hAnsi="Arial" w:cs="Arial"/>
                <w:sz w:val="14"/>
                <w:szCs w:val="14"/>
              </w:rPr>
            </w:pPr>
            <w:r>
              <w:rPr>
                <w:rFonts w:ascii="Arial" w:hAnsi="Arial" w:cs="Arial"/>
                <w:sz w:val="14"/>
                <w:szCs w:val="14"/>
              </w:rPr>
              <w:t>-48</w:t>
            </w:r>
            <w:r w:rsidR="00CC3101">
              <w:rPr>
                <w:rFonts w:ascii="Arial" w:hAnsi="Arial" w:cs="Arial"/>
                <w:sz w:val="14"/>
                <w:szCs w:val="14"/>
              </w:rPr>
              <w:t>.</w:t>
            </w:r>
            <w:r>
              <w:rPr>
                <w:rFonts w:ascii="Arial" w:hAnsi="Arial" w:cs="Arial"/>
                <w:sz w:val="14"/>
                <w:szCs w:val="14"/>
              </w:rPr>
              <w:t>239</w:t>
            </w:r>
          </w:p>
        </w:tc>
      </w:tr>
      <w:bookmarkEnd w:id="2"/>
      <w:tr w:rsidR="0026330C" w:rsidRPr="00456EE7" w14:paraId="1270164D" w14:textId="77777777" w:rsidTr="00C2675E">
        <w:trPr>
          <w:trHeight w:val="141"/>
        </w:trPr>
        <w:tc>
          <w:tcPr>
            <w:tcW w:w="1780" w:type="dxa"/>
            <w:tcBorders>
              <w:top w:val="nil"/>
              <w:left w:val="nil"/>
              <w:bottom w:val="nil"/>
              <w:right w:val="nil"/>
            </w:tcBorders>
            <w:shd w:val="clear" w:color="auto" w:fill="auto"/>
            <w:vAlign w:val="center"/>
            <w:hideMark/>
          </w:tcPr>
          <w:p w14:paraId="499FDE36" w14:textId="77777777" w:rsidR="00CC3101" w:rsidRPr="00456EE7" w:rsidRDefault="00CC3101" w:rsidP="008436AF">
            <w:pPr>
              <w:rPr>
                <w:rFonts w:ascii="Arial" w:hAnsi="Arial" w:cs="Arial"/>
                <w:sz w:val="14"/>
                <w:szCs w:val="14"/>
              </w:rPr>
            </w:pPr>
            <w:r w:rsidRPr="00456EE7">
              <w:rPr>
                <w:rFonts w:ascii="Arial" w:hAnsi="Arial" w:cs="Arial"/>
                <w:sz w:val="14"/>
                <w:szCs w:val="14"/>
              </w:rPr>
              <w:t>- Aporte de terceros en sociedad controlada</w:t>
            </w:r>
          </w:p>
        </w:tc>
        <w:tc>
          <w:tcPr>
            <w:tcW w:w="676" w:type="dxa"/>
            <w:tcBorders>
              <w:top w:val="nil"/>
              <w:left w:val="nil"/>
              <w:bottom w:val="nil"/>
              <w:right w:val="nil"/>
            </w:tcBorders>
            <w:shd w:val="clear" w:color="auto" w:fill="auto"/>
            <w:noWrap/>
            <w:vAlign w:val="center"/>
            <w:hideMark/>
          </w:tcPr>
          <w:p w14:paraId="151CA83E" w14:textId="77777777" w:rsidR="00CC3101" w:rsidRPr="00456EE7" w:rsidRDefault="00CC3101" w:rsidP="008436AF">
            <w:pPr>
              <w:rPr>
                <w:rFonts w:ascii="Arial" w:hAnsi="Arial" w:cs="Arial"/>
                <w:sz w:val="14"/>
                <w:szCs w:val="14"/>
              </w:rPr>
            </w:pPr>
          </w:p>
        </w:tc>
        <w:tc>
          <w:tcPr>
            <w:tcW w:w="942" w:type="dxa"/>
            <w:tcBorders>
              <w:top w:val="nil"/>
              <w:left w:val="nil"/>
              <w:bottom w:val="nil"/>
              <w:right w:val="nil"/>
            </w:tcBorders>
            <w:shd w:val="clear" w:color="auto" w:fill="auto"/>
            <w:noWrap/>
            <w:vAlign w:val="center"/>
            <w:hideMark/>
          </w:tcPr>
          <w:p w14:paraId="076F1836" w14:textId="7473C86B" w:rsidR="00CC3101" w:rsidRPr="00456EE7" w:rsidRDefault="00CC3101" w:rsidP="008436AF">
            <w:pPr>
              <w:jc w:val="right"/>
              <w:rPr>
                <w:rFonts w:ascii="Arial" w:hAnsi="Arial" w:cs="Arial"/>
                <w:sz w:val="14"/>
                <w:szCs w:val="14"/>
              </w:rPr>
            </w:pPr>
            <w:r w:rsidRPr="00456EE7">
              <w:rPr>
                <w:rFonts w:ascii="Arial" w:hAnsi="Arial" w:cs="Arial"/>
                <w:sz w:val="14"/>
                <w:szCs w:val="14"/>
              </w:rPr>
              <w:t>-</w:t>
            </w:r>
          </w:p>
        </w:tc>
        <w:tc>
          <w:tcPr>
            <w:tcW w:w="714" w:type="dxa"/>
            <w:tcBorders>
              <w:top w:val="nil"/>
              <w:left w:val="nil"/>
              <w:bottom w:val="nil"/>
              <w:right w:val="nil"/>
            </w:tcBorders>
            <w:shd w:val="clear" w:color="auto" w:fill="auto"/>
            <w:noWrap/>
            <w:vAlign w:val="center"/>
            <w:hideMark/>
          </w:tcPr>
          <w:p w14:paraId="4A44C64E" w14:textId="643A4664" w:rsidR="00CC3101" w:rsidRPr="00456EE7" w:rsidRDefault="00CC3101" w:rsidP="008436AF">
            <w:pPr>
              <w:jc w:val="right"/>
              <w:rPr>
                <w:rFonts w:ascii="Arial" w:hAnsi="Arial" w:cs="Arial"/>
                <w:sz w:val="14"/>
                <w:szCs w:val="14"/>
              </w:rPr>
            </w:pPr>
            <w:r w:rsidRPr="00456EE7">
              <w:rPr>
                <w:rFonts w:ascii="Arial" w:hAnsi="Arial" w:cs="Arial"/>
                <w:sz w:val="14"/>
                <w:szCs w:val="14"/>
              </w:rPr>
              <w:t>-</w:t>
            </w:r>
          </w:p>
        </w:tc>
        <w:tc>
          <w:tcPr>
            <w:tcW w:w="850" w:type="dxa"/>
            <w:tcBorders>
              <w:top w:val="nil"/>
              <w:left w:val="nil"/>
              <w:bottom w:val="nil"/>
              <w:right w:val="nil"/>
            </w:tcBorders>
          </w:tcPr>
          <w:p w14:paraId="4F93F396" w14:textId="77777777" w:rsidR="00CC3101" w:rsidRPr="00456EE7" w:rsidRDefault="00CC3101" w:rsidP="008436AF">
            <w:pPr>
              <w:jc w:val="right"/>
              <w:rPr>
                <w:rFonts w:ascii="Arial" w:hAnsi="Arial" w:cs="Arial"/>
                <w:sz w:val="14"/>
                <w:szCs w:val="14"/>
              </w:rPr>
            </w:pPr>
          </w:p>
        </w:tc>
        <w:tc>
          <w:tcPr>
            <w:tcW w:w="709" w:type="dxa"/>
            <w:tcBorders>
              <w:top w:val="nil"/>
              <w:left w:val="nil"/>
              <w:bottom w:val="nil"/>
              <w:right w:val="nil"/>
            </w:tcBorders>
            <w:shd w:val="clear" w:color="auto" w:fill="auto"/>
            <w:noWrap/>
            <w:vAlign w:val="center"/>
            <w:hideMark/>
          </w:tcPr>
          <w:p w14:paraId="0D3D03C8" w14:textId="55058389" w:rsidR="00CC3101" w:rsidRPr="00456EE7" w:rsidRDefault="00CC3101" w:rsidP="008436AF">
            <w:pPr>
              <w:jc w:val="right"/>
              <w:rPr>
                <w:rFonts w:ascii="Arial" w:hAnsi="Arial" w:cs="Arial"/>
                <w:sz w:val="14"/>
                <w:szCs w:val="14"/>
              </w:rPr>
            </w:pPr>
            <w:r w:rsidRPr="00456EE7">
              <w:rPr>
                <w:rFonts w:ascii="Arial" w:hAnsi="Arial" w:cs="Arial"/>
                <w:sz w:val="14"/>
                <w:szCs w:val="14"/>
              </w:rPr>
              <w:t>-</w:t>
            </w:r>
          </w:p>
        </w:tc>
        <w:tc>
          <w:tcPr>
            <w:tcW w:w="709" w:type="dxa"/>
            <w:tcBorders>
              <w:top w:val="nil"/>
              <w:left w:val="nil"/>
              <w:bottom w:val="nil"/>
              <w:right w:val="nil"/>
            </w:tcBorders>
            <w:shd w:val="clear" w:color="auto" w:fill="auto"/>
            <w:noWrap/>
            <w:vAlign w:val="center"/>
            <w:hideMark/>
          </w:tcPr>
          <w:p w14:paraId="7E1BAB4B" w14:textId="6AB6E3A0" w:rsidR="00CC3101" w:rsidRPr="00456EE7" w:rsidRDefault="00CC3101" w:rsidP="008436AF">
            <w:pPr>
              <w:jc w:val="right"/>
              <w:rPr>
                <w:rFonts w:ascii="Arial" w:hAnsi="Arial" w:cs="Arial"/>
                <w:sz w:val="14"/>
                <w:szCs w:val="14"/>
              </w:rPr>
            </w:pPr>
            <w:r w:rsidRPr="00456EE7">
              <w:rPr>
                <w:rFonts w:ascii="Arial" w:hAnsi="Arial" w:cs="Arial"/>
                <w:sz w:val="14"/>
                <w:szCs w:val="14"/>
              </w:rPr>
              <w:t>-</w:t>
            </w:r>
          </w:p>
        </w:tc>
        <w:tc>
          <w:tcPr>
            <w:tcW w:w="709" w:type="dxa"/>
            <w:tcBorders>
              <w:top w:val="nil"/>
              <w:left w:val="nil"/>
              <w:bottom w:val="nil"/>
              <w:right w:val="nil"/>
            </w:tcBorders>
            <w:shd w:val="clear" w:color="auto" w:fill="auto"/>
            <w:noWrap/>
            <w:vAlign w:val="center"/>
            <w:hideMark/>
          </w:tcPr>
          <w:p w14:paraId="11A1FD26" w14:textId="21494FE3" w:rsidR="00CC3101" w:rsidRPr="00456EE7" w:rsidRDefault="00CC3101" w:rsidP="008436AF">
            <w:pPr>
              <w:jc w:val="right"/>
              <w:rPr>
                <w:rFonts w:ascii="Arial" w:hAnsi="Arial" w:cs="Arial"/>
                <w:sz w:val="14"/>
                <w:szCs w:val="14"/>
              </w:rPr>
            </w:pPr>
            <w:r w:rsidRPr="00456EE7">
              <w:rPr>
                <w:rFonts w:ascii="Arial" w:hAnsi="Arial" w:cs="Arial"/>
                <w:sz w:val="14"/>
                <w:szCs w:val="14"/>
              </w:rPr>
              <w:t>-</w:t>
            </w:r>
          </w:p>
        </w:tc>
        <w:tc>
          <w:tcPr>
            <w:tcW w:w="708" w:type="dxa"/>
            <w:tcBorders>
              <w:top w:val="nil"/>
              <w:left w:val="nil"/>
              <w:bottom w:val="nil"/>
              <w:right w:val="nil"/>
            </w:tcBorders>
            <w:shd w:val="clear" w:color="auto" w:fill="auto"/>
            <w:noWrap/>
            <w:vAlign w:val="center"/>
            <w:hideMark/>
          </w:tcPr>
          <w:p w14:paraId="0E79551A" w14:textId="2090EA8E" w:rsidR="00CC3101" w:rsidRPr="00456EE7" w:rsidRDefault="00CC3101" w:rsidP="008436AF">
            <w:pPr>
              <w:jc w:val="right"/>
              <w:rPr>
                <w:rFonts w:ascii="Arial" w:hAnsi="Arial" w:cs="Arial"/>
                <w:sz w:val="14"/>
                <w:szCs w:val="14"/>
              </w:rPr>
            </w:pPr>
            <w:r w:rsidRPr="00456EE7">
              <w:rPr>
                <w:rFonts w:ascii="Arial" w:hAnsi="Arial" w:cs="Arial"/>
                <w:sz w:val="14"/>
                <w:szCs w:val="14"/>
              </w:rPr>
              <w:t>-</w:t>
            </w:r>
          </w:p>
        </w:tc>
        <w:tc>
          <w:tcPr>
            <w:tcW w:w="851" w:type="dxa"/>
            <w:tcBorders>
              <w:top w:val="nil"/>
              <w:left w:val="nil"/>
              <w:bottom w:val="nil"/>
              <w:right w:val="nil"/>
            </w:tcBorders>
            <w:shd w:val="clear" w:color="auto" w:fill="auto"/>
            <w:noWrap/>
            <w:vAlign w:val="center"/>
            <w:hideMark/>
          </w:tcPr>
          <w:p w14:paraId="5FC2860F" w14:textId="66AD7D00" w:rsidR="00CC3101" w:rsidRPr="004C606B" w:rsidRDefault="00CC3101" w:rsidP="008436AF">
            <w:pPr>
              <w:jc w:val="right"/>
              <w:rPr>
                <w:rFonts w:ascii="Arial" w:hAnsi="Arial" w:cs="Arial"/>
                <w:sz w:val="14"/>
                <w:szCs w:val="14"/>
              </w:rPr>
            </w:pPr>
            <w:r w:rsidRPr="004C606B">
              <w:rPr>
                <w:rFonts w:ascii="Arial" w:hAnsi="Arial" w:cs="Arial"/>
                <w:sz w:val="14"/>
                <w:szCs w:val="14"/>
              </w:rPr>
              <w:t>-</w:t>
            </w:r>
          </w:p>
        </w:tc>
        <w:tc>
          <w:tcPr>
            <w:tcW w:w="992" w:type="dxa"/>
            <w:tcBorders>
              <w:top w:val="nil"/>
              <w:left w:val="nil"/>
              <w:bottom w:val="nil"/>
              <w:right w:val="nil"/>
            </w:tcBorders>
            <w:shd w:val="clear" w:color="auto" w:fill="auto"/>
            <w:noWrap/>
            <w:vAlign w:val="center"/>
            <w:hideMark/>
          </w:tcPr>
          <w:p w14:paraId="449DCF75" w14:textId="52790B22" w:rsidR="00CC3101" w:rsidRPr="004C606B" w:rsidRDefault="00CC3101" w:rsidP="008436AF">
            <w:pPr>
              <w:jc w:val="right"/>
              <w:rPr>
                <w:rFonts w:ascii="Arial" w:hAnsi="Arial" w:cs="Arial"/>
                <w:sz w:val="14"/>
                <w:szCs w:val="14"/>
              </w:rPr>
            </w:pPr>
            <w:r w:rsidRPr="004C606B">
              <w:rPr>
                <w:rFonts w:ascii="Arial" w:hAnsi="Arial" w:cs="Arial"/>
                <w:sz w:val="14"/>
                <w:szCs w:val="14"/>
              </w:rPr>
              <w:t>-</w:t>
            </w:r>
          </w:p>
        </w:tc>
        <w:tc>
          <w:tcPr>
            <w:tcW w:w="992" w:type="dxa"/>
            <w:tcBorders>
              <w:top w:val="nil"/>
              <w:left w:val="nil"/>
              <w:bottom w:val="nil"/>
              <w:right w:val="nil"/>
            </w:tcBorders>
            <w:shd w:val="clear" w:color="auto" w:fill="auto"/>
            <w:noWrap/>
            <w:vAlign w:val="center"/>
            <w:hideMark/>
          </w:tcPr>
          <w:p w14:paraId="752C8575" w14:textId="4C375D6D" w:rsidR="00CC3101" w:rsidRPr="004C606B" w:rsidRDefault="00FD0104" w:rsidP="008436AF">
            <w:pPr>
              <w:jc w:val="right"/>
              <w:rPr>
                <w:rFonts w:ascii="Arial" w:hAnsi="Arial" w:cs="Arial"/>
                <w:sz w:val="14"/>
                <w:szCs w:val="14"/>
              </w:rPr>
            </w:pPr>
            <w:r>
              <w:rPr>
                <w:rFonts w:ascii="Arial" w:hAnsi="Arial" w:cs="Arial"/>
                <w:sz w:val="14"/>
                <w:szCs w:val="14"/>
              </w:rPr>
              <w:t>-3</w:t>
            </w:r>
          </w:p>
        </w:tc>
        <w:tc>
          <w:tcPr>
            <w:tcW w:w="851" w:type="dxa"/>
            <w:tcBorders>
              <w:top w:val="nil"/>
              <w:left w:val="nil"/>
              <w:bottom w:val="nil"/>
              <w:right w:val="nil"/>
            </w:tcBorders>
            <w:shd w:val="clear" w:color="auto" w:fill="auto"/>
            <w:noWrap/>
            <w:vAlign w:val="center"/>
            <w:hideMark/>
          </w:tcPr>
          <w:p w14:paraId="4808BE0F" w14:textId="340F0524" w:rsidR="00CC3101" w:rsidRPr="004C606B" w:rsidRDefault="00FD0104" w:rsidP="008436AF">
            <w:pPr>
              <w:jc w:val="right"/>
              <w:rPr>
                <w:rFonts w:ascii="Arial" w:hAnsi="Arial" w:cs="Arial"/>
                <w:sz w:val="14"/>
                <w:szCs w:val="14"/>
              </w:rPr>
            </w:pPr>
            <w:r>
              <w:rPr>
                <w:rFonts w:ascii="Arial" w:hAnsi="Arial" w:cs="Arial"/>
                <w:sz w:val="14"/>
                <w:szCs w:val="14"/>
              </w:rPr>
              <w:t>-3</w:t>
            </w:r>
          </w:p>
        </w:tc>
      </w:tr>
      <w:tr w:rsidR="0026330C" w:rsidRPr="00456EE7" w14:paraId="1B947D51" w14:textId="77777777" w:rsidTr="00C2675E">
        <w:trPr>
          <w:trHeight w:val="231"/>
        </w:trPr>
        <w:tc>
          <w:tcPr>
            <w:tcW w:w="1780" w:type="dxa"/>
            <w:tcBorders>
              <w:top w:val="nil"/>
              <w:left w:val="nil"/>
              <w:bottom w:val="nil"/>
              <w:right w:val="nil"/>
            </w:tcBorders>
            <w:shd w:val="clear" w:color="auto" w:fill="auto"/>
            <w:vAlign w:val="center"/>
            <w:hideMark/>
          </w:tcPr>
          <w:p w14:paraId="71143B12" w14:textId="50F2D8BA" w:rsidR="00CC3101" w:rsidRPr="00456EE7" w:rsidRDefault="00CC3101">
            <w:pPr>
              <w:rPr>
                <w:rFonts w:ascii="Arial" w:hAnsi="Arial" w:cs="Arial"/>
                <w:sz w:val="14"/>
                <w:szCs w:val="14"/>
              </w:rPr>
            </w:pPr>
            <w:r w:rsidRPr="00456EE7">
              <w:rPr>
                <w:rFonts w:ascii="Arial" w:hAnsi="Arial" w:cs="Arial"/>
                <w:sz w:val="14"/>
                <w:szCs w:val="14"/>
              </w:rPr>
              <w:t xml:space="preserve">- </w:t>
            </w:r>
            <w:r>
              <w:rPr>
                <w:rFonts w:ascii="Arial" w:hAnsi="Arial" w:cs="Arial"/>
                <w:sz w:val="14"/>
                <w:szCs w:val="14"/>
              </w:rPr>
              <w:t>Otros movimientos</w:t>
            </w:r>
          </w:p>
        </w:tc>
        <w:tc>
          <w:tcPr>
            <w:tcW w:w="676" w:type="dxa"/>
            <w:tcBorders>
              <w:top w:val="nil"/>
              <w:left w:val="nil"/>
              <w:bottom w:val="nil"/>
              <w:right w:val="nil"/>
            </w:tcBorders>
            <w:shd w:val="clear" w:color="auto" w:fill="auto"/>
            <w:noWrap/>
            <w:vAlign w:val="center"/>
            <w:hideMark/>
          </w:tcPr>
          <w:p w14:paraId="302B1D19" w14:textId="77777777" w:rsidR="00CC3101" w:rsidRPr="005A1F48" w:rsidRDefault="00CC3101" w:rsidP="005A1F48">
            <w:pPr>
              <w:jc w:val="right"/>
              <w:rPr>
                <w:rFonts w:ascii="Arial" w:hAnsi="Arial" w:cs="Arial"/>
                <w:sz w:val="14"/>
                <w:szCs w:val="14"/>
              </w:rPr>
            </w:pPr>
          </w:p>
        </w:tc>
        <w:tc>
          <w:tcPr>
            <w:tcW w:w="942" w:type="dxa"/>
            <w:tcBorders>
              <w:top w:val="nil"/>
              <w:left w:val="nil"/>
              <w:bottom w:val="nil"/>
              <w:right w:val="nil"/>
            </w:tcBorders>
            <w:shd w:val="clear" w:color="auto" w:fill="auto"/>
            <w:noWrap/>
            <w:vAlign w:val="center"/>
            <w:hideMark/>
          </w:tcPr>
          <w:p w14:paraId="01080FCB" w14:textId="0F71256D" w:rsidR="00CC3101" w:rsidRPr="005A1F48" w:rsidRDefault="00CC3101">
            <w:pPr>
              <w:jc w:val="right"/>
              <w:rPr>
                <w:rFonts w:ascii="Arial" w:hAnsi="Arial" w:cs="Arial"/>
                <w:sz w:val="14"/>
                <w:szCs w:val="14"/>
              </w:rPr>
            </w:pPr>
            <w:r w:rsidRPr="005A1F48">
              <w:rPr>
                <w:rFonts w:ascii="Arial" w:hAnsi="Arial" w:cs="Arial"/>
                <w:sz w:val="14"/>
                <w:szCs w:val="14"/>
              </w:rPr>
              <w:t>-</w:t>
            </w:r>
          </w:p>
        </w:tc>
        <w:tc>
          <w:tcPr>
            <w:tcW w:w="714" w:type="dxa"/>
            <w:tcBorders>
              <w:top w:val="nil"/>
              <w:left w:val="nil"/>
              <w:bottom w:val="nil"/>
              <w:right w:val="nil"/>
            </w:tcBorders>
            <w:shd w:val="clear" w:color="auto" w:fill="auto"/>
            <w:noWrap/>
            <w:vAlign w:val="center"/>
            <w:hideMark/>
          </w:tcPr>
          <w:p w14:paraId="52C651A1" w14:textId="02B56F83" w:rsidR="00CC3101" w:rsidRPr="005A1F48" w:rsidRDefault="00CC3101">
            <w:pPr>
              <w:jc w:val="right"/>
              <w:rPr>
                <w:rFonts w:ascii="Arial" w:hAnsi="Arial" w:cs="Arial"/>
                <w:sz w:val="14"/>
                <w:szCs w:val="14"/>
              </w:rPr>
            </w:pPr>
            <w:r w:rsidRPr="005A1F48">
              <w:rPr>
                <w:rFonts w:ascii="Arial" w:hAnsi="Arial" w:cs="Arial"/>
                <w:sz w:val="14"/>
                <w:szCs w:val="14"/>
              </w:rPr>
              <w:t>-</w:t>
            </w:r>
          </w:p>
        </w:tc>
        <w:tc>
          <w:tcPr>
            <w:tcW w:w="850" w:type="dxa"/>
            <w:tcBorders>
              <w:top w:val="nil"/>
              <w:left w:val="nil"/>
              <w:bottom w:val="nil"/>
              <w:right w:val="nil"/>
            </w:tcBorders>
          </w:tcPr>
          <w:p w14:paraId="3B8434AF" w14:textId="77777777" w:rsidR="00CC3101" w:rsidRPr="005A1F48" w:rsidRDefault="00CC3101">
            <w:pPr>
              <w:jc w:val="right"/>
              <w:rPr>
                <w:rFonts w:ascii="Arial" w:hAnsi="Arial" w:cs="Arial"/>
                <w:sz w:val="14"/>
                <w:szCs w:val="14"/>
              </w:rPr>
            </w:pPr>
          </w:p>
        </w:tc>
        <w:tc>
          <w:tcPr>
            <w:tcW w:w="709" w:type="dxa"/>
            <w:tcBorders>
              <w:top w:val="nil"/>
              <w:left w:val="nil"/>
              <w:bottom w:val="nil"/>
              <w:right w:val="nil"/>
            </w:tcBorders>
            <w:shd w:val="clear" w:color="auto" w:fill="auto"/>
            <w:noWrap/>
            <w:vAlign w:val="center"/>
            <w:hideMark/>
          </w:tcPr>
          <w:p w14:paraId="3A4B5518" w14:textId="4A301F0A" w:rsidR="00CC3101" w:rsidRPr="005A1F48" w:rsidRDefault="00DF7D74">
            <w:pPr>
              <w:jc w:val="right"/>
              <w:rPr>
                <w:rFonts w:ascii="Arial" w:hAnsi="Arial" w:cs="Arial"/>
                <w:sz w:val="14"/>
                <w:szCs w:val="14"/>
              </w:rPr>
            </w:pPr>
            <w:r>
              <w:rPr>
                <w:rFonts w:ascii="Arial" w:hAnsi="Arial" w:cs="Arial"/>
                <w:sz w:val="14"/>
                <w:szCs w:val="14"/>
              </w:rPr>
              <w:t>-</w:t>
            </w:r>
          </w:p>
        </w:tc>
        <w:tc>
          <w:tcPr>
            <w:tcW w:w="709" w:type="dxa"/>
            <w:tcBorders>
              <w:top w:val="nil"/>
              <w:left w:val="nil"/>
              <w:bottom w:val="nil"/>
              <w:right w:val="nil"/>
            </w:tcBorders>
            <w:shd w:val="clear" w:color="auto" w:fill="auto"/>
            <w:noWrap/>
            <w:vAlign w:val="center"/>
            <w:hideMark/>
          </w:tcPr>
          <w:p w14:paraId="2E0870F8" w14:textId="7973CD12" w:rsidR="00CC3101" w:rsidRPr="005A1F48" w:rsidRDefault="00CC3101">
            <w:pPr>
              <w:jc w:val="right"/>
              <w:rPr>
                <w:rFonts w:ascii="Arial" w:hAnsi="Arial" w:cs="Arial"/>
                <w:sz w:val="14"/>
                <w:szCs w:val="14"/>
              </w:rPr>
            </w:pPr>
            <w:r w:rsidRPr="005A1F48">
              <w:rPr>
                <w:rFonts w:ascii="Arial" w:hAnsi="Arial" w:cs="Arial"/>
                <w:sz w:val="14"/>
                <w:szCs w:val="14"/>
              </w:rPr>
              <w:t>-</w:t>
            </w:r>
          </w:p>
        </w:tc>
        <w:tc>
          <w:tcPr>
            <w:tcW w:w="709" w:type="dxa"/>
            <w:tcBorders>
              <w:top w:val="nil"/>
              <w:left w:val="nil"/>
              <w:bottom w:val="nil"/>
              <w:right w:val="nil"/>
            </w:tcBorders>
            <w:shd w:val="clear" w:color="auto" w:fill="auto"/>
            <w:noWrap/>
            <w:vAlign w:val="center"/>
            <w:hideMark/>
          </w:tcPr>
          <w:p w14:paraId="55BC44EA" w14:textId="6A8F1FFA" w:rsidR="00CC3101" w:rsidRPr="005A1F48" w:rsidRDefault="00CC3101">
            <w:pPr>
              <w:jc w:val="right"/>
              <w:rPr>
                <w:rFonts w:ascii="Arial" w:hAnsi="Arial" w:cs="Arial"/>
                <w:sz w:val="14"/>
                <w:szCs w:val="14"/>
              </w:rPr>
            </w:pPr>
            <w:r w:rsidRPr="005A1F48">
              <w:rPr>
                <w:rFonts w:ascii="Arial" w:hAnsi="Arial" w:cs="Arial"/>
                <w:sz w:val="14"/>
                <w:szCs w:val="14"/>
              </w:rPr>
              <w:t>-</w:t>
            </w:r>
          </w:p>
        </w:tc>
        <w:tc>
          <w:tcPr>
            <w:tcW w:w="708" w:type="dxa"/>
            <w:tcBorders>
              <w:top w:val="nil"/>
              <w:left w:val="nil"/>
              <w:bottom w:val="nil"/>
              <w:right w:val="nil"/>
            </w:tcBorders>
            <w:shd w:val="clear" w:color="auto" w:fill="auto"/>
            <w:noWrap/>
            <w:vAlign w:val="center"/>
            <w:hideMark/>
          </w:tcPr>
          <w:p w14:paraId="32AC95B5" w14:textId="0FCA9E27" w:rsidR="00CC3101" w:rsidRPr="005A1F48" w:rsidRDefault="00CC3101">
            <w:pPr>
              <w:jc w:val="right"/>
              <w:rPr>
                <w:rFonts w:ascii="Arial" w:hAnsi="Arial" w:cs="Arial"/>
                <w:sz w:val="14"/>
                <w:szCs w:val="14"/>
              </w:rPr>
            </w:pPr>
            <w:r w:rsidRPr="005A1F48">
              <w:rPr>
                <w:rFonts w:ascii="Arial" w:hAnsi="Arial" w:cs="Arial"/>
                <w:sz w:val="14"/>
                <w:szCs w:val="14"/>
              </w:rPr>
              <w:t>-</w:t>
            </w:r>
          </w:p>
        </w:tc>
        <w:tc>
          <w:tcPr>
            <w:tcW w:w="851" w:type="dxa"/>
            <w:tcBorders>
              <w:top w:val="nil"/>
              <w:left w:val="nil"/>
              <w:bottom w:val="nil"/>
              <w:right w:val="nil"/>
            </w:tcBorders>
            <w:shd w:val="clear" w:color="auto" w:fill="auto"/>
            <w:noWrap/>
            <w:vAlign w:val="center"/>
            <w:hideMark/>
          </w:tcPr>
          <w:p w14:paraId="21F80C49" w14:textId="500BED13" w:rsidR="00CC3101" w:rsidRPr="005A1F48" w:rsidRDefault="00DF7D74">
            <w:pPr>
              <w:jc w:val="right"/>
              <w:rPr>
                <w:rFonts w:ascii="Arial" w:hAnsi="Arial" w:cs="Arial"/>
                <w:sz w:val="14"/>
                <w:szCs w:val="14"/>
              </w:rPr>
            </w:pPr>
            <w:r>
              <w:rPr>
                <w:rFonts w:ascii="Arial" w:hAnsi="Arial" w:cs="Arial"/>
                <w:sz w:val="14"/>
                <w:szCs w:val="14"/>
              </w:rPr>
              <w:t>39</w:t>
            </w:r>
            <w:r w:rsidR="00996159">
              <w:rPr>
                <w:rFonts w:ascii="Arial" w:hAnsi="Arial" w:cs="Arial"/>
                <w:sz w:val="14"/>
                <w:szCs w:val="14"/>
              </w:rPr>
              <w:t>1</w:t>
            </w:r>
          </w:p>
        </w:tc>
        <w:tc>
          <w:tcPr>
            <w:tcW w:w="992" w:type="dxa"/>
            <w:tcBorders>
              <w:top w:val="nil"/>
              <w:left w:val="nil"/>
              <w:bottom w:val="nil"/>
              <w:right w:val="nil"/>
            </w:tcBorders>
            <w:shd w:val="clear" w:color="auto" w:fill="auto"/>
            <w:noWrap/>
            <w:vAlign w:val="center"/>
            <w:hideMark/>
          </w:tcPr>
          <w:p w14:paraId="43FC0398" w14:textId="7492C033" w:rsidR="00CC3101" w:rsidRPr="005A1F48" w:rsidRDefault="00DF7D74">
            <w:pPr>
              <w:jc w:val="right"/>
              <w:rPr>
                <w:rFonts w:ascii="Arial" w:hAnsi="Arial" w:cs="Arial"/>
                <w:sz w:val="14"/>
                <w:szCs w:val="14"/>
              </w:rPr>
            </w:pPr>
            <w:r>
              <w:rPr>
                <w:rFonts w:ascii="Arial" w:hAnsi="Arial" w:cs="Arial"/>
                <w:sz w:val="14"/>
                <w:szCs w:val="14"/>
              </w:rPr>
              <w:t>39</w:t>
            </w:r>
            <w:r w:rsidR="00996159">
              <w:rPr>
                <w:rFonts w:ascii="Arial" w:hAnsi="Arial" w:cs="Arial"/>
                <w:sz w:val="14"/>
                <w:szCs w:val="14"/>
              </w:rPr>
              <w:t>1</w:t>
            </w:r>
          </w:p>
        </w:tc>
        <w:tc>
          <w:tcPr>
            <w:tcW w:w="992" w:type="dxa"/>
            <w:tcBorders>
              <w:top w:val="nil"/>
              <w:left w:val="nil"/>
              <w:bottom w:val="nil"/>
              <w:right w:val="nil"/>
            </w:tcBorders>
            <w:shd w:val="clear" w:color="auto" w:fill="auto"/>
            <w:noWrap/>
            <w:vAlign w:val="center"/>
            <w:hideMark/>
          </w:tcPr>
          <w:p w14:paraId="3622A51A" w14:textId="7B0058E7" w:rsidR="00CC3101" w:rsidRPr="005A1F48" w:rsidRDefault="00CC3101">
            <w:pPr>
              <w:jc w:val="right"/>
              <w:rPr>
                <w:rFonts w:ascii="Arial" w:hAnsi="Arial" w:cs="Arial"/>
                <w:sz w:val="14"/>
                <w:szCs w:val="14"/>
              </w:rPr>
            </w:pPr>
            <w:r w:rsidRPr="005A1F48">
              <w:rPr>
                <w:rFonts w:ascii="Arial" w:hAnsi="Arial" w:cs="Arial"/>
                <w:sz w:val="14"/>
                <w:szCs w:val="14"/>
              </w:rPr>
              <w:t>-</w:t>
            </w:r>
          </w:p>
        </w:tc>
        <w:tc>
          <w:tcPr>
            <w:tcW w:w="851" w:type="dxa"/>
            <w:tcBorders>
              <w:top w:val="nil"/>
              <w:left w:val="nil"/>
              <w:bottom w:val="nil"/>
              <w:right w:val="nil"/>
            </w:tcBorders>
            <w:shd w:val="clear" w:color="auto" w:fill="auto"/>
            <w:noWrap/>
            <w:vAlign w:val="center"/>
            <w:hideMark/>
          </w:tcPr>
          <w:p w14:paraId="6A24A9D7" w14:textId="3CE45D9D" w:rsidR="00CC3101" w:rsidRPr="005A1F48" w:rsidRDefault="00DF7D74">
            <w:pPr>
              <w:jc w:val="right"/>
              <w:rPr>
                <w:rFonts w:ascii="Arial" w:hAnsi="Arial" w:cs="Arial"/>
                <w:sz w:val="14"/>
                <w:szCs w:val="14"/>
              </w:rPr>
            </w:pPr>
            <w:r>
              <w:rPr>
                <w:rFonts w:ascii="Arial" w:hAnsi="Arial" w:cs="Arial"/>
                <w:sz w:val="14"/>
                <w:szCs w:val="14"/>
              </w:rPr>
              <w:t>39</w:t>
            </w:r>
            <w:r w:rsidR="00996159">
              <w:rPr>
                <w:rFonts w:ascii="Arial" w:hAnsi="Arial" w:cs="Arial"/>
                <w:sz w:val="14"/>
                <w:szCs w:val="14"/>
              </w:rPr>
              <w:t>1</w:t>
            </w:r>
          </w:p>
        </w:tc>
      </w:tr>
      <w:tr w:rsidR="0026330C" w:rsidRPr="00456EE7" w14:paraId="6E5D77A2" w14:textId="77777777" w:rsidTr="00C2675E">
        <w:trPr>
          <w:trHeight w:val="63"/>
        </w:trPr>
        <w:tc>
          <w:tcPr>
            <w:tcW w:w="1780" w:type="dxa"/>
            <w:tcBorders>
              <w:top w:val="nil"/>
              <w:left w:val="nil"/>
              <w:bottom w:val="nil"/>
              <w:right w:val="nil"/>
            </w:tcBorders>
            <w:shd w:val="clear" w:color="auto" w:fill="auto"/>
          </w:tcPr>
          <w:p w14:paraId="1C384ECE" w14:textId="77777777" w:rsidR="00CC3101" w:rsidRPr="00456EE7" w:rsidRDefault="00CC3101" w:rsidP="008436AF">
            <w:pPr>
              <w:rPr>
                <w:rFonts w:ascii="Arial" w:hAnsi="Arial" w:cs="Arial"/>
                <w:sz w:val="14"/>
                <w:szCs w:val="14"/>
              </w:rPr>
            </w:pPr>
          </w:p>
        </w:tc>
        <w:tc>
          <w:tcPr>
            <w:tcW w:w="676" w:type="dxa"/>
            <w:tcBorders>
              <w:top w:val="nil"/>
              <w:left w:val="nil"/>
              <w:bottom w:val="nil"/>
              <w:right w:val="nil"/>
            </w:tcBorders>
            <w:shd w:val="clear" w:color="auto" w:fill="auto"/>
            <w:noWrap/>
          </w:tcPr>
          <w:p w14:paraId="37340888" w14:textId="77777777" w:rsidR="00CC3101" w:rsidRPr="00456EE7" w:rsidRDefault="00CC3101" w:rsidP="008436AF">
            <w:pPr>
              <w:rPr>
                <w:sz w:val="14"/>
                <w:szCs w:val="14"/>
              </w:rPr>
            </w:pPr>
          </w:p>
        </w:tc>
        <w:tc>
          <w:tcPr>
            <w:tcW w:w="942" w:type="dxa"/>
            <w:tcBorders>
              <w:top w:val="nil"/>
              <w:left w:val="nil"/>
              <w:bottom w:val="nil"/>
              <w:right w:val="nil"/>
            </w:tcBorders>
            <w:shd w:val="clear" w:color="auto" w:fill="auto"/>
            <w:noWrap/>
          </w:tcPr>
          <w:p w14:paraId="62381F1F" w14:textId="77777777" w:rsidR="00CC3101" w:rsidRPr="00456EE7" w:rsidRDefault="00CC3101" w:rsidP="008436AF">
            <w:pPr>
              <w:jc w:val="right"/>
              <w:rPr>
                <w:sz w:val="14"/>
                <w:szCs w:val="14"/>
              </w:rPr>
            </w:pPr>
          </w:p>
        </w:tc>
        <w:tc>
          <w:tcPr>
            <w:tcW w:w="714" w:type="dxa"/>
            <w:tcBorders>
              <w:top w:val="nil"/>
              <w:left w:val="nil"/>
              <w:bottom w:val="nil"/>
              <w:right w:val="nil"/>
            </w:tcBorders>
            <w:shd w:val="clear" w:color="auto" w:fill="auto"/>
            <w:noWrap/>
          </w:tcPr>
          <w:p w14:paraId="1E0EE0AD" w14:textId="77777777" w:rsidR="00CC3101" w:rsidRPr="00456EE7" w:rsidRDefault="00CC3101" w:rsidP="008436AF">
            <w:pPr>
              <w:jc w:val="right"/>
              <w:rPr>
                <w:sz w:val="14"/>
                <w:szCs w:val="14"/>
              </w:rPr>
            </w:pPr>
          </w:p>
        </w:tc>
        <w:tc>
          <w:tcPr>
            <w:tcW w:w="850" w:type="dxa"/>
            <w:tcBorders>
              <w:top w:val="nil"/>
              <w:left w:val="nil"/>
              <w:bottom w:val="nil"/>
              <w:right w:val="nil"/>
            </w:tcBorders>
          </w:tcPr>
          <w:p w14:paraId="66966C13" w14:textId="77777777" w:rsidR="00CC3101" w:rsidRPr="00456EE7" w:rsidRDefault="00CC3101" w:rsidP="008436AF">
            <w:pPr>
              <w:jc w:val="right"/>
              <w:rPr>
                <w:sz w:val="14"/>
                <w:szCs w:val="14"/>
              </w:rPr>
            </w:pPr>
          </w:p>
        </w:tc>
        <w:tc>
          <w:tcPr>
            <w:tcW w:w="709" w:type="dxa"/>
            <w:tcBorders>
              <w:top w:val="nil"/>
              <w:left w:val="nil"/>
              <w:bottom w:val="single" w:sz="4" w:space="0" w:color="auto"/>
              <w:right w:val="nil"/>
            </w:tcBorders>
            <w:shd w:val="clear" w:color="auto" w:fill="auto"/>
            <w:noWrap/>
          </w:tcPr>
          <w:p w14:paraId="3BCDFC5A" w14:textId="59E5F936" w:rsidR="00CC3101" w:rsidRPr="00456EE7" w:rsidRDefault="00CC3101" w:rsidP="008436AF">
            <w:pPr>
              <w:jc w:val="right"/>
              <w:rPr>
                <w:sz w:val="14"/>
                <w:szCs w:val="14"/>
              </w:rPr>
            </w:pPr>
          </w:p>
        </w:tc>
        <w:tc>
          <w:tcPr>
            <w:tcW w:w="709" w:type="dxa"/>
            <w:tcBorders>
              <w:top w:val="nil"/>
              <w:left w:val="nil"/>
              <w:bottom w:val="nil"/>
              <w:right w:val="nil"/>
            </w:tcBorders>
            <w:shd w:val="clear" w:color="auto" w:fill="auto"/>
            <w:noWrap/>
          </w:tcPr>
          <w:p w14:paraId="6856E8AD" w14:textId="77777777" w:rsidR="00CC3101" w:rsidRPr="00456EE7" w:rsidRDefault="00CC3101" w:rsidP="008436AF">
            <w:pPr>
              <w:jc w:val="right"/>
              <w:rPr>
                <w:sz w:val="14"/>
                <w:szCs w:val="14"/>
              </w:rPr>
            </w:pPr>
          </w:p>
        </w:tc>
        <w:tc>
          <w:tcPr>
            <w:tcW w:w="709" w:type="dxa"/>
            <w:tcBorders>
              <w:top w:val="nil"/>
              <w:left w:val="nil"/>
              <w:bottom w:val="nil"/>
              <w:right w:val="nil"/>
            </w:tcBorders>
            <w:shd w:val="clear" w:color="auto" w:fill="auto"/>
            <w:noWrap/>
          </w:tcPr>
          <w:p w14:paraId="692928D6" w14:textId="77777777" w:rsidR="00CC3101" w:rsidRPr="00456EE7" w:rsidRDefault="00CC3101" w:rsidP="008436AF">
            <w:pPr>
              <w:jc w:val="right"/>
              <w:rPr>
                <w:sz w:val="14"/>
                <w:szCs w:val="14"/>
              </w:rPr>
            </w:pPr>
          </w:p>
        </w:tc>
        <w:tc>
          <w:tcPr>
            <w:tcW w:w="708" w:type="dxa"/>
            <w:tcBorders>
              <w:top w:val="nil"/>
              <w:left w:val="nil"/>
              <w:bottom w:val="nil"/>
              <w:right w:val="nil"/>
            </w:tcBorders>
            <w:shd w:val="clear" w:color="auto" w:fill="auto"/>
            <w:noWrap/>
          </w:tcPr>
          <w:p w14:paraId="6B107A79" w14:textId="77777777" w:rsidR="00CC3101" w:rsidRPr="00456EE7" w:rsidRDefault="00CC3101" w:rsidP="008436AF">
            <w:pPr>
              <w:jc w:val="right"/>
              <w:rPr>
                <w:sz w:val="14"/>
                <w:szCs w:val="14"/>
              </w:rPr>
            </w:pPr>
          </w:p>
        </w:tc>
        <w:tc>
          <w:tcPr>
            <w:tcW w:w="851" w:type="dxa"/>
            <w:tcBorders>
              <w:top w:val="nil"/>
              <w:left w:val="nil"/>
              <w:bottom w:val="nil"/>
              <w:right w:val="nil"/>
            </w:tcBorders>
            <w:shd w:val="clear" w:color="auto" w:fill="auto"/>
            <w:noWrap/>
          </w:tcPr>
          <w:p w14:paraId="723760E6" w14:textId="77777777" w:rsidR="00CC3101" w:rsidRPr="004C606B" w:rsidRDefault="00CC3101" w:rsidP="008436AF">
            <w:pPr>
              <w:jc w:val="right"/>
              <w:rPr>
                <w:sz w:val="14"/>
                <w:szCs w:val="14"/>
              </w:rPr>
            </w:pPr>
          </w:p>
        </w:tc>
        <w:tc>
          <w:tcPr>
            <w:tcW w:w="992" w:type="dxa"/>
            <w:tcBorders>
              <w:top w:val="nil"/>
              <w:left w:val="nil"/>
              <w:bottom w:val="nil"/>
              <w:right w:val="nil"/>
            </w:tcBorders>
            <w:shd w:val="clear" w:color="auto" w:fill="auto"/>
            <w:noWrap/>
          </w:tcPr>
          <w:p w14:paraId="518D5BF4" w14:textId="77777777" w:rsidR="00CC3101" w:rsidRPr="004C606B" w:rsidRDefault="00CC3101" w:rsidP="008436AF">
            <w:pPr>
              <w:jc w:val="right"/>
              <w:rPr>
                <w:sz w:val="14"/>
                <w:szCs w:val="14"/>
              </w:rPr>
            </w:pPr>
          </w:p>
        </w:tc>
        <w:tc>
          <w:tcPr>
            <w:tcW w:w="992" w:type="dxa"/>
            <w:tcBorders>
              <w:top w:val="nil"/>
              <w:left w:val="nil"/>
              <w:bottom w:val="nil"/>
              <w:right w:val="nil"/>
            </w:tcBorders>
            <w:shd w:val="clear" w:color="auto" w:fill="auto"/>
            <w:noWrap/>
          </w:tcPr>
          <w:p w14:paraId="370D77FB" w14:textId="77777777" w:rsidR="00CC3101" w:rsidRPr="004C606B" w:rsidRDefault="00CC3101" w:rsidP="008436AF">
            <w:pPr>
              <w:jc w:val="right"/>
              <w:rPr>
                <w:sz w:val="14"/>
                <w:szCs w:val="14"/>
              </w:rPr>
            </w:pPr>
          </w:p>
        </w:tc>
        <w:tc>
          <w:tcPr>
            <w:tcW w:w="851" w:type="dxa"/>
            <w:tcBorders>
              <w:top w:val="nil"/>
              <w:left w:val="nil"/>
              <w:bottom w:val="nil"/>
              <w:right w:val="nil"/>
            </w:tcBorders>
            <w:shd w:val="clear" w:color="auto" w:fill="auto"/>
            <w:noWrap/>
          </w:tcPr>
          <w:p w14:paraId="1AC0B7F2" w14:textId="77777777" w:rsidR="00CC3101" w:rsidRPr="004C606B" w:rsidRDefault="00CC3101" w:rsidP="008436AF">
            <w:pPr>
              <w:jc w:val="right"/>
              <w:rPr>
                <w:sz w:val="14"/>
                <w:szCs w:val="14"/>
              </w:rPr>
            </w:pPr>
          </w:p>
        </w:tc>
      </w:tr>
      <w:tr w:rsidR="0026330C" w:rsidRPr="00456EE7" w14:paraId="35092F89" w14:textId="77777777" w:rsidTr="00C042AB">
        <w:trPr>
          <w:trHeight w:val="209"/>
        </w:trPr>
        <w:tc>
          <w:tcPr>
            <w:tcW w:w="1780" w:type="dxa"/>
            <w:tcBorders>
              <w:top w:val="nil"/>
              <w:left w:val="nil"/>
              <w:bottom w:val="nil"/>
              <w:right w:val="nil"/>
            </w:tcBorders>
            <w:shd w:val="clear" w:color="auto" w:fill="auto"/>
            <w:hideMark/>
          </w:tcPr>
          <w:p w14:paraId="2A984898" w14:textId="77777777" w:rsidR="00CC3101" w:rsidRPr="00456EE7" w:rsidRDefault="00CC3101" w:rsidP="008436AF">
            <w:pPr>
              <w:rPr>
                <w:rFonts w:ascii="Arial" w:hAnsi="Arial" w:cs="Arial"/>
                <w:b/>
                <w:bCs/>
                <w:sz w:val="14"/>
                <w:szCs w:val="14"/>
              </w:rPr>
            </w:pPr>
            <w:r w:rsidRPr="00456EE7">
              <w:rPr>
                <w:rFonts w:ascii="Arial" w:hAnsi="Arial" w:cs="Arial"/>
                <w:b/>
                <w:bCs/>
                <w:sz w:val="14"/>
                <w:szCs w:val="14"/>
              </w:rPr>
              <w:t>Saldos al cierre del período</w:t>
            </w:r>
          </w:p>
        </w:tc>
        <w:tc>
          <w:tcPr>
            <w:tcW w:w="676" w:type="dxa"/>
            <w:tcBorders>
              <w:top w:val="nil"/>
              <w:left w:val="nil"/>
              <w:bottom w:val="nil"/>
              <w:right w:val="nil"/>
            </w:tcBorders>
            <w:shd w:val="clear" w:color="auto" w:fill="auto"/>
            <w:noWrap/>
            <w:hideMark/>
          </w:tcPr>
          <w:p w14:paraId="2F25C397" w14:textId="77777777" w:rsidR="00CC3101" w:rsidRPr="00456EE7" w:rsidRDefault="00CC3101" w:rsidP="008436AF">
            <w:pPr>
              <w:rPr>
                <w:rFonts w:ascii="Arial" w:hAnsi="Arial" w:cs="Arial"/>
                <w:b/>
                <w:bCs/>
                <w:sz w:val="14"/>
                <w:szCs w:val="14"/>
              </w:rPr>
            </w:pPr>
          </w:p>
        </w:tc>
        <w:tc>
          <w:tcPr>
            <w:tcW w:w="942" w:type="dxa"/>
            <w:tcBorders>
              <w:top w:val="single" w:sz="4" w:space="0" w:color="auto"/>
              <w:left w:val="nil"/>
              <w:bottom w:val="single" w:sz="4" w:space="0" w:color="auto"/>
              <w:right w:val="nil"/>
            </w:tcBorders>
            <w:shd w:val="clear" w:color="auto" w:fill="auto"/>
            <w:noWrap/>
            <w:vAlign w:val="center"/>
            <w:hideMark/>
          </w:tcPr>
          <w:p w14:paraId="56CD3F90" w14:textId="4568C7A2" w:rsidR="00CC3101" w:rsidRPr="00456EE7" w:rsidRDefault="00CC3101" w:rsidP="008436AF">
            <w:pPr>
              <w:jc w:val="right"/>
              <w:rPr>
                <w:rFonts w:ascii="Arial" w:hAnsi="Arial" w:cs="Arial"/>
                <w:b/>
                <w:bCs/>
                <w:sz w:val="14"/>
                <w:szCs w:val="14"/>
              </w:rPr>
            </w:pPr>
            <w:r w:rsidRPr="00456EE7">
              <w:rPr>
                <w:rFonts w:ascii="Arial" w:hAnsi="Arial" w:cs="Arial"/>
                <w:b/>
                <w:bCs/>
                <w:sz w:val="14"/>
                <w:szCs w:val="14"/>
              </w:rPr>
              <w:t>8</w:t>
            </w:r>
            <w:r>
              <w:rPr>
                <w:rFonts w:ascii="Arial" w:hAnsi="Arial" w:cs="Arial"/>
                <w:b/>
                <w:bCs/>
                <w:sz w:val="14"/>
                <w:szCs w:val="14"/>
              </w:rPr>
              <w:t>29</w:t>
            </w:r>
            <w:r w:rsidRPr="00456EE7">
              <w:rPr>
                <w:rFonts w:ascii="Arial" w:hAnsi="Arial" w:cs="Arial"/>
                <w:b/>
                <w:bCs/>
                <w:sz w:val="14"/>
                <w:szCs w:val="14"/>
              </w:rPr>
              <w:t>.5</w:t>
            </w:r>
            <w:r>
              <w:rPr>
                <w:rFonts w:ascii="Arial" w:hAnsi="Arial" w:cs="Arial"/>
                <w:b/>
                <w:bCs/>
                <w:sz w:val="14"/>
                <w:szCs w:val="14"/>
              </w:rPr>
              <w:t>64</w:t>
            </w:r>
          </w:p>
        </w:tc>
        <w:tc>
          <w:tcPr>
            <w:tcW w:w="714" w:type="dxa"/>
            <w:tcBorders>
              <w:top w:val="single" w:sz="4" w:space="0" w:color="auto"/>
              <w:left w:val="nil"/>
              <w:bottom w:val="single" w:sz="4" w:space="0" w:color="auto"/>
              <w:right w:val="nil"/>
            </w:tcBorders>
            <w:shd w:val="clear" w:color="auto" w:fill="auto"/>
            <w:noWrap/>
            <w:vAlign w:val="center"/>
            <w:hideMark/>
          </w:tcPr>
          <w:p w14:paraId="41980217" w14:textId="3B3F5ED6" w:rsidR="00CC3101" w:rsidRPr="00456EE7" w:rsidRDefault="00CC3101" w:rsidP="008436AF">
            <w:pPr>
              <w:jc w:val="right"/>
              <w:rPr>
                <w:rFonts w:ascii="Arial" w:hAnsi="Arial" w:cs="Arial"/>
                <w:b/>
                <w:bCs/>
                <w:sz w:val="14"/>
                <w:szCs w:val="14"/>
              </w:rPr>
            </w:pPr>
            <w:r w:rsidRPr="00456EE7">
              <w:rPr>
                <w:rFonts w:ascii="Arial" w:hAnsi="Arial" w:cs="Arial"/>
                <w:b/>
                <w:bCs/>
                <w:sz w:val="14"/>
                <w:szCs w:val="14"/>
              </w:rPr>
              <w:t>6.</w:t>
            </w:r>
            <w:r>
              <w:rPr>
                <w:rFonts w:ascii="Arial" w:hAnsi="Arial" w:cs="Arial"/>
                <w:b/>
                <w:bCs/>
                <w:sz w:val="14"/>
                <w:szCs w:val="14"/>
              </w:rPr>
              <w:t>898</w:t>
            </w:r>
            <w:r w:rsidRPr="00456EE7">
              <w:rPr>
                <w:rFonts w:ascii="Arial" w:hAnsi="Arial" w:cs="Arial"/>
                <w:b/>
                <w:bCs/>
                <w:sz w:val="14"/>
                <w:szCs w:val="14"/>
              </w:rPr>
              <w:t>.</w:t>
            </w:r>
            <w:r>
              <w:rPr>
                <w:rFonts w:ascii="Arial" w:hAnsi="Arial" w:cs="Arial"/>
                <w:b/>
                <w:bCs/>
                <w:sz w:val="14"/>
                <w:szCs w:val="14"/>
              </w:rPr>
              <w:t>635</w:t>
            </w:r>
          </w:p>
        </w:tc>
        <w:tc>
          <w:tcPr>
            <w:tcW w:w="850" w:type="dxa"/>
            <w:tcBorders>
              <w:top w:val="single" w:sz="4" w:space="0" w:color="auto"/>
              <w:left w:val="nil"/>
              <w:bottom w:val="single" w:sz="4" w:space="0" w:color="auto"/>
              <w:right w:val="nil"/>
            </w:tcBorders>
            <w:vAlign w:val="center"/>
          </w:tcPr>
          <w:p w14:paraId="747B6589" w14:textId="6B64EB06" w:rsidR="00CC3101" w:rsidRDefault="00C042AB" w:rsidP="00C042AB">
            <w:pPr>
              <w:jc w:val="right"/>
              <w:rPr>
                <w:rFonts w:ascii="Arial" w:hAnsi="Arial" w:cs="Arial"/>
                <w:b/>
                <w:bCs/>
                <w:sz w:val="14"/>
                <w:szCs w:val="14"/>
              </w:rPr>
            </w:pPr>
            <w:r>
              <w:rPr>
                <w:rFonts w:ascii="Arial" w:hAnsi="Arial" w:cs="Arial"/>
                <w:b/>
                <w:bCs/>
                <w:sz w:val="14"/>
                <w:szCs w:val="14"/>
              </w:rPr>
              <w:t>16.376.393</w:t>
            </w:r>
          </w:p>
        </w:tc>
        <w:tc>
          <w:tcPr>
            <w:tcW w:w="709" w:type="dxa"/>
            <w:tcBorders>
              <w:top w:val="single" w:sz="4" w:space="0" w:color="auto"/>
              <w:left w:val="nil"/>
              <w:bottom w:val="single" w:sz="4" w:space="0" w:color="auto"/>
              <w:right w:val="nil"/>
            </w:tcBorders>
            <w:shd w:val="clear" w:color="auto" w:fill="auto"/>
            <w:noWrap/>
            <w:vAlign w:val="center"/>
            <w:hideMark/>
          </w:tcPr>
          <w:p w14:paraId="681FDD1E" w14:textId="28694DF4" w:rsidR="00CC3101" w:rsidRPr="00456EE7" w:rsidRDefault="00C042AB" w:rsidP="008436AF">
            <w:pPr>
              <w:jc w:val="right"/>
              <w:rPr>
                <w:rFonts w:ascii="Arial" w:hAnsi="Arial" w:cs="Arial"/>
                <w:b/>
                <w:bCs/>
                <w:sz w:val="14"/>
                <w:szCs w:val="14"/>
              </w:rPr>
            </w:pPr>
            <w:r>
              <w:rPr>
                <w:rFonts w:ascii="Arial" w:hAnsi="Arial" w:cs="Arial"/>
                <w:b/>
                <w:bCs/>
                <w:sz w:val="14"/>
                <w:szCs w:val="14"/>
              </w:rPr>
              <w:t>-</w:t>
            </w:r>
          </w:p>
        </w:tc>
        <w:tc>
          <w:tcPr>
            <w:tcW w:w="709" w:type="dxa"/>
            <w:tcBorders>
              <w:top w:val="single" w:sz="4" w:space="0" w:color="auto"/>
              <w:left w:val="nil"/>
              <w:bottom w:val="single" w:sz="4" w:space="0" w:color="auto"/>
              <w:right w:val="nil"/>
            </w:tcBorders>
            <w:shd w:val="clear" w:color="auto" w:fill="auto"/>
            <w:noWrap/>
            <w:vAlign w:val="center"/>
          </w:tcPr>
          <w:p w14:paraId="32766A80" w14:textId="691992B9" w:rsidR="00CC3101" w:rsidRPr="00456EE7" w:rsidRDefault="007E43A8" w:rsidP="008436AF">
            <w:pPr>
              <w:jc w:val="right"/>
              <w:rPr>
                <w:rFonts w:ascii="Arial" w:hAnsi="Arial" w:cs="Arial"/>
                <w:b/>
                <w:bCs/>
                <w:sz w:val="14"/>
                <w:szCs w:val="14"/>
              </w:rPr>
            </w:pPr>
            <w:r>
              <w:rPr>
                <w:rFonts w:ascii="Arial" w:hAnsi="Arial" w:cs="Arial"/>
                <w:b/>
                <w:bCs/>
                <w:sz w:val="14"/>
                <w:szCs w:val="14"/>
              </w:rPr>
              <w:t>-42.352</w:t>
            </w:r>
          </w:p>
        </w:tc>
        <w:tc>
          <w:tcPr>
            <w:tcW w:w="709" w:type="dxa"/>
            <w:tcBorders>
              <w:top w:val="single" w:sz="4" w:space="0" w:color="auto"/>
              <w:left w:val="nil"/>
              <w:bottom w:val="single" w:sz="4" w:space="0" w:color="auto"/>
              <w:right w:val="nil"/>
            </w:tcBorders>
            <w:shd w:val="clear" w:color="auto" w:fill="auto"/>
            <w:noWrap/>
            <w:vAlign w:val="center"/>
          </w:tcPr>
          <w:p w14:paraId="54F1E243" w14:textId="0EB7EF32" w:rsidR="00CC3101" w:rsidRPr="00456EE7" w:rsidRDefault="007E43A8" w:rsidP="00637A70">
            <w:pPr>
              <w:jc w:val="right"/>
              <w:rPr>
                <w:rFonts w:ascii="Arial" w:hAnsi="Arial" w:cs="Arial"/>
                <w:b/>
                <w:bCs/>
                <w:sz w:val="14"/>
                <w:szCs w:val="14"/>
              </w:rPr>
            </w:pPr>
            <w:r>
              <w:rPr>
                <w:rFonts w:ascii="Arial" w:hAnsi="Arial" w:cs="Arial"/>
                <w:b/>
                <w:bCs/>
                <w:sz w:val="14"/>
                <w:szCs w:val="14"/>
              </w:rPr>
              <w:t>1.841.138</w:t>
            </w:r>
          </w:p>
        </w:tc>
        <w:tc>
          <w:tcPr>
            <w:tcW w:w="708" w:type="dxa"/>
            <w:tcBorders>
              <w:top w:val="single" w:sz="4" w:space="0" w:color="auto"/>
              <w:left w:val="nil"/>
              <w:bottom w:val="single" w:sz="4" w:space="0" w:color="auto"/>
              <w:right w:val="nil"/>
            </w:tcBorders>
            <w:shd w:val="clear" w:color="auto" w:fill="auto"/>
            <w:noWrap/>
            <w:vAlign w:val="center"/>
          </w:tcPr>
          <w:p w14:paraId="5E821974" w14:textId="472E720F" w:rsidR="00CC3101" w:rsidRPr="00456EE7" w:rsidRDefault="007E43A8" w:rsidP="00637A70">
            <w:pPr>
              <w:jc w:val="right"/>
              <w:rPr>
                <w:rFonts w:ascii="Arial" w:hAnsi="Arial" w:cs="Arial"/>
                <w:b/>
                <w:bCs/>
                <w:sz w:val="14"/>
                <w:szCs w:val="14"/>
              </w:rPr>
            </w:pPr>
            <w:r>
              <w:rPr>
                <w:rFonts w:ascii="Arial" w:hAnsi="Arial" w:cs="Arial"/>
                <w:b/>
                <w:bCs/>
                <w:sz w:val="14"/>
                <w:szCs w:val="14"/>
              </w:rPr>
              <w:t>7.018.821</w:t>
            </w:r>
          </w:p>
        </w:tc>
        <w:tc>
          <w:tcPr>
            <w:tcW w:w="851" w:type="dxa"/>
            <w:tcBorders>
              <w:top w:val="single" w:sz="4" w:space="0" w:color="auto"/>
              <w:left w:val="nil"/>
              <w:bottom w:val="single" w:sz="4" w:space="0" w:color="auto"/>
              <w:right w:val="nil"/>
            </w:tcBorders>
            <w:shd w:val="clear" w:color="auto" w:fill="auto"/>
            <w:noWrap/>
            <w:vAlign w:val="center"/>
          </w:tcPr>
          <w:p w14:paraId="40174D4F" w14:textId="5DEDBC61" w:rsidR="00CC3101" w:rsidRPr="004C606B" w:rsidRDefault="007E43A8" w:rsidP="00637A70">
            <w:pPr>
              <w:jc w:val="right"/>
              <w:rPr>
                <w:rFonts w:ascii="Arial" w:hAnsi="Arial" w:cs="Arial"/>
                <w:b/>
                <w:bCs/>
                <w:sz w:val="14"/>
                <w:szCs w:val="14"/>
              </w:rPr>
            </w:pPr>
            <w:r>
              <w:rPr>
                <w:rFonts w:ascii="Arial" w:hAnsi="Arial" w:cs="Arial"/>
                <w:b/>
                <w:bCs/>
                <w:sz w:val="14"/>
                <w:szCs w:val="14"/>
              </w:rPr>
              <w:t>-1</w:t>
            </w:r>
            <w:r w:rsidR="00D34AE6">
              <w:rPr>
                <w:rFonts w:ascii="Arial" w:hAnsi="Arial" w:cs="Arial"/>
                <w:b/>
                <w:bCs/>
                <w:sz w:val="14"/>
                <w:szCs w:val="14"/>
              </w:rPr>
              <w:t>2</w:t>
            </w:r>
            <w:r>
              <w:rPr>
                <w:rFonts w:ascii="Arial" w:hAnsi="Arial" w:cs="Arial"/>
                <w:b/>
                <w:bCs/>
                <w:sz w:val="14"/>
                <w:szCs w:val="14"/>
              </w:rPr>
              <w:t>.303.088</w:t>
            </w:r>
          </w:p>
        </w:tc>
        <w:tc>
          <w:tcPr>
            <w:tcW w:w="992" w:type="dxa"/>
            <w:tcBorders>
              <w:top w:val="single" w:sz="4" w:space="0" w:color="auto"/>
              <w:left w:val="nil"/>
              <w:bottom w:val="single" w:sz="4" w:space="0" w:color="auto"/>
              <w:right w:val="nil"/>
            </w:tcBorders>
            <w:shd w:val="clear" w:color="auto" w:fill="auto"/>
            <w:noWrap/>
            <w:vAlign w:val="center"/>
          </w:tcPr>
          <w:p w14:paraId="58FDA531" w14:textId="0E01699D" w:rsidR="00CC3101" w:rsidRPr="004C606B" w:rsidRDefault="007E43A8" w:rsidP="00637A70">
            <w:pPr>
              <w:jc w:val="right"/>
              <w:rPr>
                <w:rFonts w:ascii="Arial" w:hAnsi="Arial" w:cs="Arial"/>
                <w:b/>
                <w:bCs/>
                <w:sz w:val="14"/>
                <w:szCs w:val="14"/>
              </w:rPr>
            </w:pPr>
            <w:r>
              <w:rPr>
                <w:rFonts w:ascii="Arial" w:hAnsi="Arial" w:cs="Arial"/>
                <w:b/>
                <w:bCs/>
                <w:sz w:val="14"/>
                <w:szCs w:val="14"/>
              </w:rPr>
              <w:t>20.619.111</w:t>
            </w:r>
          </w:p>
        </w:tc>
        <w:tc>
          <w:tcPr>
            <w:tcW w:w="992" w:type="dxa"/>
            <w:tcBorders>
              <w:top w:val="single" w:sz="4" w:space="0" w:color="auto"/>
              <w:left w:val="nil"/>
              <w:bottom w:val="single" w:sz="4" w:space="0" w:color="auto"/>
              <w:right w:val="nil"/>
            </w:tcBorders>
            <w:shd w:val="clear" w:color="auto" w:fill="auto"/>
            <w:noWrap/>
            <w:vAlign w:val="center"/>
          </w:tcPr>
          <w:p w14:paraId="15B72C4F" w14:textId="60E98773" w:rsidR="00CC3101" w:rsidRPr="004C606B" w:rsidRDefault="007E43A8" w:rsidP="00637A70">
            <w:pPr>
              <w:jc w:val="right"/>
              <w:rPr>
                <w:rFonts w:ascii="Arial" w:hAnsi="Arial" w:cs="Arial"/>
                <w:b/>
                <w:bCs/>
                <w:sz w:val="14"/>
                <w:szCs w:val="14"/>
              </w:rPr>
            </w:pPr>
            <w:r>
              <w:rPr>
                <w:rFonts w:ascii="Arial" w:hAnsi="Arial" w:cs="Arial"/>
                <w:b/>
                <w:bCs/>
                <w:sz w:val="14"/>
                <w:szCs w:val="14"/>
              </w:rPr>
              <w:t>132.293</w:t>
            </w:r>
          </w:p>
        </w:tc>
        <w:tc>
          <w:tcPr>
            <w:tcW w:w="851" w:type="dxa"/>
            <w:tcBorders>
              <w:top w:val="single" w:sz="4" w:space="0" w:color="auto"/>
              <w:left w:val="nil"/>
              <w:bottom w:val="single" w:sz="4" w:space="0" w:color="auto"/>
              <w:right w:val="nil"/>
            </w:tcBorders>
            <w:shd w:val="clear" w:color="auto" w:fill="auto"/>
            <w:noWrap/>
            <w:vAlign w:val="center"/>
          </w:tcPr>
          <w:p w14:paraId="2F2B8E91" w14:textId="3CA77E07" w:rsidR="00CC3101" w:rsidRPr="004C606B" w:rsidRDefault="007E43A8" w:rsidP="00637A70">
            <w:pPr>
              <w:jc w:val="right"/>
              <w:rPr>
                <w:rFonts w:ascii="Arial" w:hAnsi="Arial" w:cs="Arial"/>
                <w:b/>
                <w:bCs/>
                <w:sz w:val="14"/>
                <w:szCs w:val="14"/>
              </w:rPr>
            </w:pPr>
            <w:r>
              <w:rPr>
                <w:rFonts w:ascii="Arial" w:hAnsi="Arial" w:cs="Arial"/>
                <w:b/>
                <w:bCs/>
                <w:sz w:val="14"/>
                <w:szCs w:val="14"/>
              </w:rPr>
              <w:t>20.751.404</w:t>
            </w:r>
          </w:p>
        </w:tc>
      </w:tr>
    </w:tbl>
    <w:p w14:paraId="03E83CA2" w14:textId="6EF79429" w:rsidR="00EA51F0" w:rsidRDefault="00EA51F0" w:rsidP="00831174">
      <w:pPr>
        <w:rPr>
          <w:sz w:val="20"/>
          <w:lang w:eastAsia="es-AR"/>
        </w:rPr>
      </w:pPr>
    </w:p>
    <w:p w14:paraId="2AFBD578" w14:textId="4F744EB7" w:rsidR="00D32EC0" w:rsidRDefault="00D32EC0" w:rsidP="00831174">
      <w:pPr>
        <w:rPr>
          <w:sz w:val="20"/>
          <w:lang w:eastAsia="es-AR"/>
        </w:rPr>
      </w:pPr>
    </w:p>
    <w:p w14:paraId="3BFCAC34" w14:textId="67672C0B" w:rsidR="00C2675E" w:rsidRDefault="00C2675E" w:rsidP="00831174">
      <w:pPr>
        <w:rPr>
          <w:sz w:val="20"/>
          <w:lang w:eastAsia="es-AR"/>
        </w:rPr>
      </w:pPr>
    </w:p>
    <w:p w14:paraId="7C118413" w14:textId="77777777" w:rsidR="00C2675E" w:rsidRDefault="00C2675E" w:rsidP="00831174">
      <w:pPr>
        <w:rPr>
          <w:sz w:val="20"/>
          <w:lang w:eastAsia="es-AR"/>
        </w:rPr>
      </w:pPr>
    </w:p>
    <w:tbl>
      <w:tblPr>
        <w:tblW w:w="13107" w:type="dxa"/>
        <w:tblInd w:w="-421" w:type="dxa"/>
        <w:tblLayout w:type="fixed"/>
        <w:tblCellMar>
          <w:left w:w="70" w:type="dxa"/>
          <w:right w:w="70" w:type="dxa"/>
        </w:tblCellMar>
        <w:tblLook w:val="04A0" w:firstRow="1" w:lastRow="0" w:firstColumn="1" w:lastColumn="0" w:noHBand="0" w:noVBand="1"/>
      </w:tblPr>
      <w:tblGrid>
        <w:gridCol w:w="2401"/>
        <w:gridCol w:w="567"/>
        <w:gridCol w:w="992"/>
        <w:gridCol w:w="1134"/>
        <w:gridCol w:w="992"/>
        <w:gridCol w:w="926"/>
        <w:gridCol w:w="776"/>
        <w:gridCol w:w="783"/>
        <w:gridCol w:w="851"/>
        <w:gridCol w:w="992"/>
        <w:gridCol w:w="992"/>
        <w:gridCol w:w="851"/>
        <w:gridCol w:w="850"/>
      </w:tblGrid>
      <w:tr w:rsidR="00581F67" w:rsidRPr="00E81272" w14:paraId="4A006A52" w14:textId="77777777" w:rsidTr="003C381B">
        <w:trPr>
          <w:trHeight w:val="510"/>
        </w:trPr>
        <w:tc>
          <w:tcPr>
            <w:tcW w:w="240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09C26108" w14:textId="77777777" w:rsidR="007F13B3" w:rsidRPr="00E81272" w:rsidRDefault="007F13B3" w:rsidP="00DA5A04">
            <w:pPr>
              <w:jc w:val="center"/>
              <w:rPr>
                <w:rFonts w:ascii="Arial" w:hAnsi="Arial" w:cs="Arial"/>
                <w:b/>
                <w:bCs/>
                <w:sz w:val="14"/>
                <w:szCs w:val="14"/>
                <w:lang w:eastAsia="es-AR"/>
              </w:rPr>
            </w:pPr>
            <w:r w:rsidRPr="00066653">
              <w:rPr>
                <w:rFonts w:ascii="Arial" w:hAnsi="Arial" w:cs="Arial"/>
                <w:b/>
                <w:bCs/>
                <w:sz w:val="14"/>
                <w:szCs w:val="14"/>
                <w:lang w:eastAsia="es-AR"/>
              </w:rPr>
              <w:lastRenderedPageBreak/>
              <w:t>Movimientos</w:t>
            </w:r>
          </w:p>
        </w:tc>
        <w:tc>
          <w:tcPr>
            <w:tcW w:w="56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011122B6"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Nota</w:t>
            </w:r>
          </w:p>
        </w:tc>
        <w:tc>
          <w:tcPr>
            <w:tcW w:w="992"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096D5971"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Capital Social</w:t>
            </w:r>
          </w:p>
        </w:tc>
        <w:tc>
          <w:tcPr>
            <w:tcW w:w="1134" w:type="dxa"/>
            <w:tcBorders>
              <w:top w:val="single" w:sz="4" w:space="0" w:color="363639"/>
              <w:left w:val="single" w:sz="4" w:space="0" w:color="363639"/>
              <w:bottom w:val="single" w:sz="4" w:space="0" w:color="363639"/>
              <w:right w:val="single" w:sz="4" w:space="0" w:color="auto"/>
            </w:tcBorders>
            <w:shd w:val="clear" w:color="auto" w:fill="BFBFBF" w:themeFill="background1" w:themeFillShade="BF"/>
            <w:vAlign w:val="center"/>
            <w:hideMark/>
          </w:tcPr>
          <w:p w14:paraId="430CF5CE"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Aportes no capitalizados</w:t>
            </w:r>
          </w:p>
        </w:tc>
        <w:tc>
          <w:tcPr>
            <w:tcW w:w="992" w:type="dxa"/>
            <w:vMerge w:val="restart"/>
            <w:tcBorders>
              <w:top w:val="single" w:sz="4" w:space="0" w:color="363639"/>
              <w:left w:val="single" w:sz="4" w:space="0" w:color="auto"/>
              <w:right w:val="single" w:sz="4" w:space="0" w:color="auto"/>
            </w:tcBorders>
            <w:shd w:val="clear" w:color="auto" w:fill="BFBFBF" w:themeFill="background1" w:themeFillShade="BF"/>
          </w:tcPr>
          <w:p w14:paraId="633EB630" w14:textId="583E3382" w:rsidR="007F13B3" w:rsidRPr="00E81272" w:rsidRDefault="002E1AF6" w:rsidP="00DA5A04">
            <w:pPr>
              <w:jc w:val="center"/>
              <w:rPr>
                <w:rFonts w:ascii="Arial" w:hAnsi="Arial" w:cs="Arial"/>
                <w:b/>
                <w:bCs/>
                <w:sz w:val="14"/>
                <w:szCs w:val="14"/>
                <w:lang w:eastAsia="es-AR"/>
              </w:rPr>
            </w:pPr>
            <w:r>
              <w:rPr>
                <w:rFonts w:ascii="Arial" w:hAnsi="Arial" w:cs="Arial"/>
                <w:b/>
                <w:bCs/>
                <w:sz w:val="14"/>
                <w:szCs w:val="14"/>
                <w:lang w:eastAsia="es-AR"/>
              </w:rPr>
              <w:t>Ajuste de capital</w:t>
            </w:r>
          </w:p>
        </w:tc>
        <w:tc>
          <w:tcPr>
            <w:tcW w:w="1702" w:type="dxa"/>
            <w:gridSpan w:val="2"/>
            <w:tcBorders>
              <w:top w:val="single" w:sz="4" w:space="0" w:color="363639"/>
              <w:left w:val="single" w:sz="4" w:space="0" w:color="auto"/>
              <w:bottom w:val="single" w:sz="4" w:space="0" w:color="363639"/>
              <w:right w:val="single" w:sz="4" w:space="0" w:color="363639"/>
            </w:tcBorders>
            <w:shd w:val="clear" w:color="auto" w:fill="BFBFBF" w:themeFill="background1" w:themeFillShade="BF"/>
            <w:vAlign w:val="center"/>
          </w:tcPr>
          <w:p w14:paraId="77E04991"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Otros Resultados Integrales</w:t>
            </w:r>
          </w:p>
        </w:tc>
        <w:tc>
          <w:tcPr>
            <w:tcW w:w="1634"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727342B9"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Reserva de utilidades</w:t>
            </w:r>
          </w:p>
        </w:tc>
        <w:tc>
          <w:tcPr>
            <w:tcW w:w="992"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4AD3A792"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Resultados No asignados</w:t>
            </w:r>
          </w:p>
        </w:tc>
        <w:tc>
          <w:tcPr>
            <w:tcW w:w="992"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34D06953" w14:textId="41D737EA"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Total PN de participación controladoras al 30/0</w:t>
            </w:r>
            <w:r w:rsidR="003C381B">
              <w:rPr>
                <w:rFonts w:ascii="Arial" w:hAnsi="Arial" w:cs="Arial"/>
                <w:b/>
                <w:bCs/>
                <w:sz w:val="14"/>
                <w:szCs w:val="14"/>
                <w:lang w:eastAsia="es-AR"/>
              </w:rPr>
              <w:t>3</w:t>
            </w:r>
            <w:r w:rsidRPr="00E81272">
              <w:rPr>
                <w:rFonts w:ascii="Arial" w:hAnsi="Arial" w:cs="Arial"/>
                <w:b/>
                <w:bCs/>
                <w:sz w:val="14"/>
                <w:szCs w:val="14"/>
                <w:lang w:eastAsia="es-AR"/>
              </w:rPr>
              <w:t>/201</w:t>
            </w:r>
            <w:r w:rsidR="003C381B">
              <w:rPr>
                <w:rFonts w:ascii="Arial" w:hAnsi="Arial" w:cs="Arial"/>
                <w:b/>
                <w:bCs/>
                <w:sz w:val="14"/>
                <w:szCs w:val="14"/>
                <w:lang w:eastAsia="es-AR"/>
              </w:rPr>
              <w:t>9</w:t>
            </w:r>
          </w:p>
        </w:tc>
        <w:tc>
          <w:tcPr>
            <w:tcW w:w="851"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3A657476" w14:textId="24226FC5"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Total PN de participación no controladora al 30/0</w:t>
            </w:r>
            <w:r w:rsidR="003C381B">
              <w:rPr>
                <w:rFonts w:ascii="Arial" w:hAnsi="Arial" w:cs="Arial"/>
                <w:b/>
                <w:bCs/>
                <w:sz w:val="14"/>
                <w:szCs w:val="14"/>
                <w:lang w:eastAsia="es-AR"/>
              </w:rPr>
              <w:t>3</w:t>
            </w:r>
            <w:r w:rsidRPr="00E81272">
              <w:rPr>
                <w:rFonts w:ascii="Arial" w:hAnsi="Arial" w:cs="Arial"/>
                <w:b/>
                <w:bCs/>
                <w:sz w:val="14"/>
                <w:szCs w:val="14"/>
                <w:lang w:eastAsia="es-AR"/>
              </w:rPr>
              <w:t>/201</w:t>
            </w:r>
            <w:r w:rsidR="003C381B">
              <w:rPr>
                <w:rFonts w:ascii="Arial" w:hAnsi="Arial" w:cs="Arial"/>
                <w:b/>
                <w:bCs/>
                <w:sz w:val="14"/>
                <w:szCs w:val="14"/>
                <w:lang w:eastAsia="es-AR"/>
              </w:rPr>
              <w:t>9</w:t>
            </w:r>
          </w:p>
        </w:tc>
        <w:tc>
          <w:tcPr>
            <w:tcW w:w="850"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6131AE81"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Total PN</w:t>
            </w:r>
          </w:p>
        </w:tc>
      </w:tr>
      <w:tr w:rsidR="007F13B3" w:rsidRPr="00E81272" w14:paraId="24843CF9" w14:textId="77777777" w:rsidTr="003C381B">
        <w:trPr>
          <w:trHeight w:val="1307"/>
        </w:trPr>
        <w:tc>
          <w:tcPr>
            <w:tcW w:w="2401" w:type="dxa"/>
            <w:vMerge/>
            <w:tcBorders>
              <w:top w:val="single" w:sz="4" w:space="0" w:color="363639"/>
              <w:left w:val="single" w:sz="4" w:space="0" w:color="363639"/>
              <w:bottom w:val="single" w:sz="4" w:space="0" w:color="363639"/>
              <w:right w:val="single" w:sz="4" w:space="0" w:color="363639"/>
            </w:tcBorders>
            <w:vAlign w:val="center"/>
            <w:hideMark/>
          </w:tcPr>
          <w:p w14:paraId="0CFBB55E" w14:textId="77777777" w:rsidR="007F13B3" w:rsidRPr="00E81272" w:rsidRDefault="007F13B3" w:rsidP="00DA5A04">
            <w:pPr>
              <w:rPr>
                <w:rFonts w:ascii="Arial" w:hAnsi="Arial" w:cs="Arial"/>
                <w:b/>
                <w:bCs/>
                <w:sz w:val="14"/>
                <w:szCs w:val="14"/>
                <w:lang w:eastAsia="es-AR"/>
              </w:rPr>
            </w:pPr>
          </w:p>
        </w:tc>
        <w:tc>
          <w:tcPr>
            <w:tcW w:w="567" w:type="dxa"/>
            <w:vMerge/>
            <w:tcBorders>
              <w:top w:val="single" w:sz="4" w:space="0" w:color="363639"/>
              <w:left w:val="single" w:sz="4" w:space="0" w:color="363639"/>
              <w:bottom w:val="single" w:sz="4" w:space="0" w:color="363639"/>
              <w:right w:val="single" w:sz="4" w:space="0" w:color="363639"/>
            </w:tcBorders>
            <w:vAlign w:val="center"/>
            <w:hideMark/>
          </w:tcPr>
          <w:p w14:paraId="2F698801" w14:textId="77777777" w:rsidR="007F13B3" w:rsidRPr="00E81272" w:rsidRDefault="007F13B3" w:rsidP="00DA5A04">
            <w:pPr>
              <w:rPr>
                <w:rFonts w:ascii="Arial" w:hAnsi="Arial" w:cs="Arial"/>
                <w:b/>
                <w:bCs/>
                <w:sz w:val="14"/>
                <w:szCs w:val="14"/>
                <w:lang w:eastAsia="es-AR"/>
              </w:rPr>
            </w:pPr>
          </w:p>
        </w:tc>
        <w:tc>
          <w:tcPr>
            <w:tcW w:w="992" w:type="dxa"/>
            <w:tcBorders>
              <w:top w:val="nil"/>
              <w:left w:val="nil"/>
              <w:bottom w:val="single" w:sz="4" w:space="0" w:color="363639"/>
              <w:right w:val="single" w:sz="4" w:space="0" w:color="363639"/>
            </w:tcBorders>
            <w:shd w:val="clear" w:color="auto" w:fill="BFBFBF" w:themeFill="background1" w:themeFillShade="BF"/>
            <w:vAlign w:val="center"/>
            <w:hideMark/>
          </w:tcPr>
          <w:p w14:paraId="7E935252"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En</w:t>
            </w:r>
            <w:r w:rsidRPr="00E81272">
              <w:rPr>
                <w:rFonts w:ascii="Arial" w:hAnsi="Arial" w:cs="Arial"/>
                <w:b/>
                <w:bCs/>
                <w:sz w:val="14"/>
                <w:szCs w:val="14"/>
                <w:lang w:eastAsia="es-AR"/>
              </w:rPr>
              <w:br/>
              <w:t xml:space="preserve"> circulación</w:t>
            </w:r>
          </w:p>
        </w:tc>
        <w:tc>
          <w:tcPr>
            <w:tcW w:w="1134" w:type="dxa"/>
            <w:tcBorders>
              <w:top w:val="nil"/>
              <w:left w:val="nil"/>
              <w:bottom w:val="single" w:sz="4" w:space="0" w:color="363639"/>
              <w:right w:val="single" w:sz="4" w:space="0" w:color="auto"/>
            </w:tcBorders>
            <w:shd w:val="clear" w:color="auto" w:fill="BFBFBF" w:themeFill="background1" w:themeFillShade="BF"/>
          </w:tcPr>
          <w:p w14:paraId="74CA0A53"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Primas de emisión de acciones</w:t>
            </w:r>
          </w:p>
        </w:tc>
        <w:tc>
          <w:tcPr>
            <w:tcW w:w="992" w:type="dxa"/>
            <w:vMerge/>
            <w:tcBorders>
              <w:left w:val="single" w:sz="4" w:space="0" w:color="auto"/>
              <w:bottom w:val="single" w:sz="4" w:space="0" w:color="363639"/>
              <w:right w:val="single" w:sz="4" w:space="0" w:color="auto"/>
            </w:tcBorders>
            <w:shd w:val="clear" w:color="auto" w:fill="BFBFBF" w:themeFill="background1" w:themeFillShade="BF"/>
          </w:tcPr>
          <w:p w14:paraId="05FAF9C8" w14:textId="77777777" w:rsidR="007F13B3" w:rsidRPr="00E81272" w:rsidRDefault="007F13B3" w:rsidP="00DA5A04">
            <w:pPr>
              <w:jc w:val="center"/>
              <w:rPr>
                <w:rFonts w:ascii="Arial" w:hAnsi="Arial" w:cs="Arial"/>
                <w:b/>
                <w:bCs/>
                <w:sz w:val="14"/>
                <w:szCs w:val="14"/>
                <w:lang w:eastAsia="es-AR"/>
              </w:rPr>
            </w:pPr>
          </w:p>
        </w:tc>
        <w:tc>
          <w:tcPr>
            <w:tcW w:w="926" w:type="dxa"/>
            <w:tcBorders>
              <w:top w:val="nil"/>
              <w:left w:val="single" w:sz="4" w:space="0" w:color="auto"/>
              <w:bottom w:val="single" w:sz="4" w:space="0" w:color="363639"/>
              <w:right w:val="single" w:sz="4" w:space="0" w:color="363639"/>
            </w:tcBorders>
            <w:shd w:val="clear" w:color="auto" w:fill="BFBFBF" w:themeFill="background1" w:themeFillShade="BF"/>
            <w:vAlign w:val="center"/>
            <w:hideMark/>
          </w:tcPr>
          <w:p w14:paraId="084D293A"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 xml:space="preserve">Revaluac de PPE </w:t>
            </w:r>
          </w:p>
        </w:tc>
        <w:tc>
          <w:tcPr>
            <w:tcW w:w="776" w:type="dxa"/>
            <w:tcBorders>
              <w:top w:val="nil"/>
              <w:left w:val="nil"/>
              <w:bottom w:val="single" w:sz="4" w:space="0" w:color="363639"/>
              <w:right w:val="single" w:sz="4" w:space="0" w:color="363639"/>
            </w:tcBorders>
            <w:shd w:val="clear" w:color="auto" w:fill="BFBFBF" w:themeFill="background1" w:themeFillShade="BF"/>
            <w:vAlign w:val="center"/>
            <w:hideMark/>
          </w:tcPr>
          <w:p w14:paraId="1333590F"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Gcias. o pérdidas acum por Inst.</w:t>
            </w:r>
            <w:r w:rsidRPr="00E81272">
              <w:rPr>
                <w:rFonts w:ascii="Arial" w:hAnsi="Arial" w:cs="Arial"/>
                <w:b/>
                <w:bCs/>
                <w:sz w:val="14"/>
                <w:szCs w:val="14"/>
                <w:lang w:eastAsia="es-AR"/>
              </w:rPr>
              <w:br/>
              <w:t>Fcieros. a VRCORI</w:t>
            </w:r>
          </w:p>
        </w:tc>
        <w:tc>
          <w:tcPr>
            <w:tcW w:w="783" w:type="dxa"/>
            <w:tcBorders>
              <w:top w:val="nil"/>
              <w:left w:val="nil"/>
              <w:bottom w:val="single" w:sz="4" w:space="0" w:color="363639"/>
            </w:tcBorders>
            <w:shd w:val="clear" w:color="auto" w:fill="BFBFBF" w:themeFill="background1" w:themeFillShade="BF"/>
            <w:vAlign w:val="center"/>
            <w:hideMark/>
          </w:tcPr>
          <w:p w14:paraId="33EC56C3"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Legal</w:t>
            </w:r>
          </w:p>
        </w:tc>
        <w:tc>
          <w:tcPr>
            <w:tcW w:w="851" w:type="dxa"/>
            <w:tcBorders>
              <w:top w:val="nil"/>
              <w:left w:val="nil"/>
              <w:bottom w:val="single" w:sz="4" w:space="0" w:color="363639"/>
              <w:right w:val="single" w:sz="4" w:space="0" w:color="363639"/>
            </w:tcBorders>
            <w:shd w:val="clear" w:color="auto" w:fill="BFBFBF" w:themeFill="background1" w:themeFillShade="BF"/>
            <w:vAlign w:val="center"/>
            <w:hideMark/>
          </w:tcPr>
          <w:p w14:paraId="0CC9472B" w14:textId="77777777" w:rsidR="007F13B3" w:rsidRPr="00E81272" w:rsidRDefault="007F13B3" w:rsidP="00DA5A04">
            <w:pPr>
              <w:jc w:val="center"/>
              <w:rPr>
                <w:rFonts w:ascii="Arial" w:hAnsi="Arial" w:cs="Arial"/>
                <w:b/>
                <w:bCs/>
                <w:sz w:val="14"/>
                <w:szCs w:val="14"/>
                <w:lang w:eastAsia="es-AR"/>
              </w:rPr>
            </w:pPr>
            <w:r w:rsidRPr="00E81272">
              <w:rPr>
                <w:rFonts w:ascii="Arial" w:hAnsi="Arial" w:cs="Arial"/>
                <w:b/>
                <w:bCs/>
                <w:sz w:val="14"/>
                <w:szCs w:val="14"/>
                <w:lang w:eastAsia="es-AR"/>
              </w:rPr>
              <w:t>Otras</w:t>
            </w:r>
          </w:p>
        </w:tc>
        <w:tc>
          <w:tcPr>
            <w:tcW w:w="992" w:type="dxa"/>
            <w:vMerge/>
            <w:tcBorders>
              <w:left w:val="single" w:sz="4" w:space="0" w:color="363639"/>
              <w:bottom w:val="single" w:sz="4" w:space="0" w:color="363639"/>
              <w:right w:val="single" w:sz="4" w:space="0" w:color="363639"/>
            </w:tcBorders>
            <w:vAlign w:val="center"/>
            <w:hideMark/>
          </w:tcPr>
          <w:p w14:paraId="20BBE54F" w14:textId="77777777" w:rsidR="007F13B3" w:rsidRPr="00E81272" w:rsidRDefault="007F13B3" w:rsidP="00DA5A04">
            <w:pPr>
              <w:jc w:val="center"/>
              <w:rPr>
                <w:rFonts w:ascii="Arial" w:hAnsi="Arial" w:cs="Arial"/>
                <w:b/>
                <w:bCs/>
                <w:sz w:val="14"/>
                <w:szCs w:val="14"/>
                <w:lang w:eastAsia="es-AR"/>
              </w:rPr>
            </w:pPr>
          </w:p>
        </w:tc>
        <w:tc>
          <w:tcPr>
            <w:tcW w:w="992" w:type="dxa"/>
            <w:vMerge/>
            <w:tcBorders>
              <w:left w:val="single" w:sz="4" w:space="0" w:color="363639"/>
              <w:bottom w:val="single" w:sz="4" w:space="0" w:color="363639"/>
              <w:right w:val="single" w:sz="4" w:space="0" w:color="363639"/>
            </w:tcBorders>
            <w:vAlign w:val="center"/>
            <w:hideMark/>
          </w:tcPr>
          <w:p w14:paraId="6358D360" w14:textId="77777777" w:rsidR="007F13B3" w:rsidRPr="00E81272" w:rsidRDefault="007F13B3" w:rsidP="00DA5A04">
            <w:pPr>
              <w:rPr>
                <w:rFonts w:ascii="Arial" w:hAnsi="Arial" w:cs="Arial"/>
                <w:b/>
                <w:bCs/>
                <w:sz w:val="14"/>
                <w:szCs w:val="14"/>
                <w:lang w:eastAsia="es-AR"/>
              </w:rPr>
            </w:pPr>
          </w:p>
        </w:tc>
        <w:tc>
          <w:tcPr>
            <w:tcW w:w="851" w:type="dxa"/>
            <w:vMerge/>
            <w:tcBorders>
              <w:left w:val="single" w:sz="4" w:space="0" w:color="363639"/>
              <w:bottom w:val="single" w:sz="4" w:space="0" w:color="363639"/>
              <w:right w:val="single" w:sz="4" w:space="0" w:color="363639"/>
            </w:tcBorders>
            <w:vAlign w:val="center"/>
            <w:hideMark/>
          </w:tcPr>
          <w:p w14:paraId="61B1F53F" w14:textId="77777777" w:rsidR="007F13B3" w:rsidRPr="00E81272" w:rsidRDefault="007F13B3" w:rsidP="00DA5A04">
            <w:pPr>
              <w:rPr>
                <w:rFonts w:ascii="Arial" w:hAnsi="Arial" w:cs="Arial"/>
                <w:b/>
                <w:bCs/>
                <w:sz w:val="14"/>
                <w:szCs w:val="14"/>
                <w:lang w:eastAsia="es-AR"/>
              </w:rPr>
            </w:pPr>
          </w:p>
        </w:tc>
        <w:tc>
          <w:tcPr>
            <w:tcW w:w="850" w:type="dxa"/>
            <w:vMerge/>
            <w:tcBorders>
              <w:left w:val="single" w:sz="4" w:space="0" w:color="363639"/>
              <w:bottom w:val="single" w:sz="4" w:space="0" w:color="363639"/>
              <w:right w:val="single" w:sz="4" w:space="0" w:color="363639"/>
            </w:tcBorders>
            <w:vAlign w:val="center"/>
            <w:hideMark/>
          </w:tcPr>
          <w:p w14:paraId="031A56E5" w14:textId="77777777" w:rsidR="007F13B3" w:rsidRPr="00E81272" w:rsidRDefault="007F13B3" w:rsidP="00DA5A04">
            <w:pPr>
              <w:rPr>
                <w:rFonts w:ascii="Arial" w:hAnsi="Arial" w:cs="Arial"/>
                <w:b/>
                <w:bCs/>
                <w:sz w:val="14"/>
                <w:szCs w:val="14"/>
                <w:lang w:eastAsia="es-AR"/>
              </w:rPr>
            </w:pPr>
          </w:p>
        </w:tc>
      </w:tr>
      <w:tr w:rsidR="007F13B3" w:rsidRPr="00B26A01" w14:paraId="1E23328C" w14:textId="77777777" w:rsidTr="003C381B">
        <w:trPr>
          <w:trHeight w:val="89"/>
        </w:trPr>
        <w:tc>
          <w:tcPr>
            <w:tcW w:w="2401" w:type="dxa"/>
            <w:tcBorders>
              <w:top w:val="nil"/>
              <w:left w:val="nil"/>
              <w:bottom w:val="nil"/>
              <w:right w:val="nil"/>
            </w:tcBorders>
            <w:shd w:val="clear" w:color="auto" w:fill="auto"/>
            <w:noWrap/>
            <w:vAlign w:val="center"/>
            <w:hideMark/>
          </w:tcPr>
          <w:p w14:paraId="0023F5A1" w14:textId="77777777" w:rsidR="007F13B3" w:rsidRPr="00B26A01" w:rsidRDefault="007F13B3" w:rsidP="00DA5A04">
            <w:pPr>
              <w:jc w:val="center"/>
              <w:rPr>
                <w:rFonts w:ascii="Arial" w:hAnsi="Arial" w:cs="Arial"/>
                <w:b/>
                <w:bCs/>
                <w:sz w:val="10"/>
                <w:szCs w:val="10"/>
                <w:lang w:eastAsia="es-AR"/>
              </w:rPr>
            </w:pPr>
          </w:p>
        </w:tc>
        <w:tc>
          <w:tcPr>
            <w:tcW w:w="567" w:type="dxa"/>
            <w:tcBorders>
              <w:top w:val="nil"/>
              <w:left w:val="nil"/>
              <w:bottom w:val="nil"/>
              <w:right w:val="nil"/>
            </w:tcBorders>
            <w:shd w:val="clear" w:color="auto" w:fill="auto"/>
            <w:noWrap/>
            <w:vAlign w:val="center"/>
            <w:hideMark/>
          </w:tcPr>
          <w:p w14:paraId="7E92CB72" w14:textId="77777777" w:rsidR="007F13B3" w:rsidRPr="00B26A01" w:rsidRDefault="007F13B3" w:rsidP="00DA5A04">
            <w:pPr>
              <w:jc w:val="center"/>
              <w:rPr>
                <w:sz w:val="10"/>
                <w:szCs w:val="10"/>
                <w:lang w:eastAsia="es-AR"/>
              </w:rPr>
            </w:pPr>
          </w:p>
        </w:tc>
        <w:tc>
          <w:tcPr>
            <w:tcW w:w="992" w:type="dxa"/>
            <w:tcBorders>
              <w:top w:val="nil"/>
              <w:left w:val="nil"/>
              <w:bottom w:val="nil"/>
              <w:right w:val="nil"/>
            </w:tcBorders>
            <w:shd w:val="clear" w:color="auto" w:fill="auto"/>
            <w:vAlign w:val="center"/>
            <w:hideMark/>
          </w:tcPr>
          <w:p w14:paraId="6093C9D4" w14:textId="77777777" w:rsidR="007F13B3" w:rsidRPr="00B26A01" w:rsidRDefault="007F13B3" w:rsidP="00DA5A04">
            <w:pPr>
              <w:rPr>
                <w:sz w:val="10"/>
                <w:szCs w:val="10"/>
                <w:lang w:eastAsia="es-AR"/>
              </w:rPr>
            </w:pPr>
          </w:p>
        </w:tc>
        <w:tc>
          <w:tcPr>
            <w:tcW w:w="1134" w:type="dxa"/>
            <w:tcBorders>
              <w:top w:val="nil"/>
              <w:left w:val="nil"/>
              <w:bottom w:val="nil"/>
              <w:right w:val="nil"/>
            </w:tcBorders>
          </w:tcPr>
          <w:p w14:paraId="20B2A428" w14:textId="77777777" w:rsidR="007F13B3" w:rsidRPr="00B26A01" w:rsidRDefault="007F13B3" w:rsidP="00DA5A04">
            <w:pPr>
              <w:jc w:val="center"/>
              <w:rPr>
                <w:sz w:val="10"/>
                <w:szCs w:val="10"/>
                <w:lang w:eastAsia="es-AR"/>
              </w:rPr>
            </w:pPr>
          </w:p>
        </w:tc>
        <w:tc>
          <w:tcPr>
            <w:tcW w:w="992" w:type="dxa"/>
            <w:tcBorders>
              <w:top w:val="nil"/>
              <w:left w:val="nil"/>
              <w:bottom w:val="nil"/>
              <w:right w:val="nil"/>
            </w:tcBorders>
          </w:tcPr>
          <w:p w14:paraId="005059B8" w14:textId="77777777" w:rsidR="007F13B3" w:rsidRPr="00B26A01" w:rsidRDefault="007F13B3" w:rsidP="00DA5A04">
            <w:pPr>
              <w:jc w:val="center"/>
              <w:rPr>
                <w:sz w:val="10"/>
                <w:szCs w:val="10"/>
                <w:lang w:eastAsia="es-AR"/>
              </w:rPr>
            </w:pPr>
          </w:p>
        </w:tc>
        <w:tc>
          <w:tcPr>
            <w:tcW w:w="926" w:type="dxa"/>
            <w:tcBorders>
              <w:top w:val="nil"/>
              <w:left w:val="nil"/>
              <w:bottom w:val="nil"/>
              <w:right w:val="nil"/>
            </w:tcBorders>
            <w:shd w:val="clear" w:color="auto" w:fill="auto"/>
            <w:vAlign w:val="center"/>
            <w:hideMark/>
          </w:tcPr>
          <w:p w14:paraId="258E8A63" w14:textId="77777777" w:rsidR="007F13B3" w:rsidRPr="00B26A01" w:rsidRDefault="007F13B3" w:rsidP="00DA5A04">
            <w:pPr>
              <w:jc w:val="center"/>
              <w:rPr>
                <w:sz w:val="10"/>
                <w:szCs w:val="10"/>
                <w:lang w:eastAsia="es-AR"/>
              </w:rPr>
            </w:pPr>
          </w:p>
        </w:tc>
        <w:tc>
          <w:tcPr>
            <w:tcW w:w="776" w:type="dxa"/>
            <w:tcBorders>
              <w:top w:val="nil"/>
              <w:left w:val="nil"/>
              <w:bottom w:val="nil"/>
              <w:right w:val="nil"/>
            </w:tcBorders>
            <w:shd w:val="clear" w:color="auto" w:fill="auto"/>
            <w:vAlign w:val="center"/>
            <w:hideMark/>
          </w:tcPr>
          <w:p w14:paraId="685FC7B0" w14:textId="77777777" w:rsidR="007F13B3" w:rsidRPr="00B26A01" w:rsidRDefault="007F13B3" w:rsidP="00DA5A04">
            <w:pPr>
              <w:jc w:val="center"/>
              <w:rPr>
                <w:sz w:val="10"/>
                <w:szCs w:val="10"/>
                <w:lang w:eastAsia="es-AR"/>
              </w:rPr>
            </w:pPr>
          </w:p>
        </w:tc>
        <w:tc>
          <w:tcPr>
            <w:tcW w:w="783" w:type="dxa"/>
            <w:tcBorders>
              <w:top w:val="nil"/>
              <w:left w:val="nil"/>
              <w:bottom w:val="nil"/>
              <w:right w:val="nil"/>
            </w:tcBorders>
            <w:shd w:val="clear" w:color="auto" w:fill="auto"/>
            <w:vAlign w:val="center"/>
            <w:hideMark/>
          </w:tcPr>
          <w:p w14:paraId="3D7C9D5A" w14:textId="77777777" w:rsidR="007F13B3" w:rsidRPr="00B26A01" w:rsidRDefault="007F13B3" w:rsidP="00DA5A04">
            <w:pPr>
              <w:jc w:val="center"/>
              <w:rPr>
                <w:sz w:val="10"/>
                <w:szCs w:val="10"/>
                <w:lang w:eastAsia="es-AR"/>
              </w:rPr>
            </w:pPr>
          </w:p>
        </w:tc>
        <w:tc>
          <w:tcPr>
            <w:tcW w:w="851" w:type="dxa"/>
            <w:tcBorders>
              <w:top w:val="nil"/>
              <w:left w:val="nil"/>
              <w:bottom w:val="nil"/>
              <w:right w:val="nil"/>
            </w:tcBorders>
            <w:shd w:val="clear" w:color="auto" w:fill="auto"/>
            <w:vAlign w:val="center"/>
            <w:hideMark/>
          </w:tcPr>
          <w:p w14:paraId="70AD6D8B" w14:textId="77777777" w:rsidR="007F13B3" w:rsidRPr="00B26A01" w:rsidRDefault="007F13B3" w:rsidP="00DA5A04">
            <w:pPr>
              <w:jc w:val="center"/>
              <w:rPr>
                <w:sz w:val="10"/>
                <w:szCs w:val="10"/>
                <w:lang w:eastAsia="es-AR"/>
              </w:rPr>
            </w:pPr>
          </w:p>
        </w:tc>
        <w:tc>
          <w:tcPr>
            <w:tcW w:w="992" w:type="dxa"/>
            <w:tcBorders>
              <w:top w:val="nil"/>
              <w:left w:val="nil"/>
              <w:bottom w:val="nil"/>
              <w:right w:val="nil"/>
            </w:tcBorders>
            <w:shd w:val="clear" w:color="auto" w:fill="auto"/>
            <w:noWrap/>
            <w:vAlign w:val="bottom"/>
            <w:hideMark/>
          </w:tcPr>
          <w:p w14:paraId="48506442" w14:textId="77777777" w:rsidR="007F13B3" w:rsidRPr="00B26A01" w:rsidRDefault="007F13B3" w:rsidP="00DA5A04">
            <w:pPr>
              <w:jc w:val="center"/>
              <w:rPr>
                <w:sz w:val="10"/>
                <w:szCs w:val="10"/>
                <w:lang w:eastAsia="es-AR"/>
              </w:rPr>
            </w:pPr>
          </w:p>
        </w:tc>
        <w:tc>
          <w:tcPr>
            <w:tcW w:w="992" w:type="dxa"/>
            <w:tcBorders>
              <w:top w:val="nil"/>
              <w:left w:val="nil"/>
              <w:bottom w:val="nil"/>
              <w:right w:val="nil"/>
            </w:tcBorders>
            <w:shd w:val="clear" w:color="auto" w:fill="auto"/>
            <w:noWrap/>
            <w:vAlign w:val="center"/>
            <w:hideMark/>
          </w:tcPr>
          <w:p w14:paraId="4F230E12" w14:textId="77777777" w:rsidR="007F13B3" w:rsidRPr="00B26A01" w:rsidRDefault="007F13B3" w:rsidP="00DA5A04">
            <w:pPr>
              <w:jc w:val="center"/>
              <w:rPr>
                <w:sz w:val="10"/>
                <w:szCs w:val="10"/>
                <w:lang w:eastAsia="es-AR"/>
              </w:rPr>
            </w:pPr>
          </w:p>
        </w:tc>
        <w:tc>
          <w:tcPr>
            <w:tcW w:w="851" w:type="dxa"/>
            <w:tcBorders>
              <w:top w:val="nil"/>
              <w:left w:val="nil"/>
              <w:bottom w:val="nil"/>
              <w:right w:val="nil"/>
            </w:tcBorders>
            <w:shd w:val="clear" w:color="auto" w:fill="auto"/>
            <w:noWrap/>
            <w:vAlign w:val="center"/>
            <w:hideMark/>
          </w:tcPr>
          <w:p w14:paraId="0EDF9711" w14:textId="77777777" w:rsidR="007F13B3" w:rsidRPr="00B26A01" w:rsidRDefault="007F13B3" w:rsidP="00DA5A04">
            <w:pPr>
              <w:jc w:val="center"/>
              <w:rPr>
                <w:sz w:val="10"/>
                <w:szCs w:val="10"/>
                <w:lang w:eastAsia="es-AR"/>
              </w:rPr>
            </w:pPr>
          </w:p>
        </w:tc>
        <w:tc>
          <w:tcPr>
            <w:tcW w:w="850" w:type="dxa"/>
            <w:tcBorders>
              <w:top w:val="nil"/>
              <w:left w:val="nil"/>
              <w:bottom w:val="nil"/>
              <w:right w:val="nil"/>
            </w:tcBorders>
            <w:shd w:val="clear" w:color="auto" w:fill="auto"/>
            <w:noWrap/>
            <w:vAlign w:val="center"/>
            <w:hideMark/>
          </w:tcPr>
          <w:p w14:paraId="32B32871" w14:textId="77777777" w:rsidR="007F13B3" w:rsidRPr="00B26A01" w:rsidRDefault="007F13B3" w:rsidP="00DA5A04">
            <w:pPr>
              <w:jc w:val="center"/>
              <w:rPr>
                <w:sz w:val="10"/>
                <w:szCs w:val="10"/>
                <w:lang w:eastAsia="es-AR"/>
              </w:rPr>
            </w:pPr>
          </w:p>
        </w:tc>
      </w:tr>
      <w:tr w:rsidR="00CC1F64" w:rsidRPr="00E81272" w14:paraId="25178180" w14:textId="77777777" w:rsidTr="002775B9">
        <w:trPr>
          <w:trHeight w:val="241"/>
        </w:trPr>
        <w:tc>
          <w:tcPr>
            <w:tcW w:w="2401" w:type="dxa"/>
            <w:tcBorders>
              <w:top w:val="nil"/>
              <w:left w:val="nil"/>
              <w:bottom w:val="nil"/>
              <w:right w:val="nil"/>
            </w:tcBorders>
            <w:shd w:val="clear" w:color="auto" w:fill="auto"/>
          </w:tcPr>
          <w:p w14:paraId="66E66689" w14:textId="77777777" w:rsidR="001A605E" w:rsidRDefault="00CC1F64" w:rsidP="00CC1F64">
            <w:pPr>
              <w:rPr>
                <w:rFonts w:ascii="Arial" w:hAnsi="Arial" w:cs="Arial"/>
                <w:b/>
                <w:bCs/>
                <w:sz w:val="14"/>
                <w:szCs w:val="14"/>
                <w:lang w:eastAsia="es-AR"/>
              </w:rPr>
            </w:pPr>
            <w:r w:rsidRPr="00E81272">
              <w:rPr>
                <w:rFonts w:ascii="Arial" w:hAnsi="Arial" w:cs="Arial"/>
                <w:b/>
                <w:bCs/>
                <w:sz w:val="14"/>
                <w:szCs w:val="14"/>
                <w:lang w:eastAsia="es-AR"/>
              </w:rPr>
              <w:t xml:space="preserve">Saldos al comienzo del </w:t>
            </w:r>
            <w:r>
              <w:rPr>
                <w:rFonts w:ascii="Arial" w:hAnsi="Arial" w:cs="Arial"/>
                <w:b/>
                <w:bCs/>
                <w:sz w:val="14"/>
                <w:szCs w:val="14"/>
                <w:lang w:eastAsia="es-AR"/>
              </w:rPr>
              <w:t>ejercicio reexpresados</w:t>
            </w:r>
          </w:p>
          <w:p w14:paraId="7A98A50E" w14:textId="0870B542" w:rsidR="001A605E" w:rsidRPr="00E81272" w:rsidRDefault="001A605E" w:rsidP="00CC1F64">
            <w:pPr>
              <w:rPr>
                <w:rFonts w:ascii="Arial" w:hAnsi="Arial" w:cs="Arial"/>
                <w:b/>
                <w:bCs/>
                <w:sz w:val="14"/>
                <w:szCs w:val="14"/>
                <w:lang w:eastAsia="es-AR"/>
              </w:rPr>
            </w:pPr>
          </w:p>
        </w:tc>
        <w:tc>
          <w:tcPr>
            <w:tcW w:w="567" w:type="dxa"/>
            <w:tcBorders>
              <w:top w:val="nil"/>
              <w:left w:val="nil"/>
              <w:bottom w:val="nil"/>
              <w:right w:val="nil"/>
            </w:tcBorders>
            <w:shd w:val="clear" w:color="auto" w:fill="auto"/>
            <w:noWrap/>
          </w:tcPr>
          <w:p w14:paraId="4D011215" w14:textId="77777777" w:rsidR="00CC1F64" w:rsidRPr="00E81272" w:rsidRDefault="00CC1F64" w:rsidP="00CC1F64">
            <w:pPr>
              <w:rPr>
                <w:rFonts w:ascii="Arial" w:hAnsi="Arial" w:cs="Arial"/>
                <w:b/>
                <w:bCs/>
                <w:sz w:val="14"/>
                <w:szCs w:val="14"/>
                <w:lang w:eastAsia="es-AR"/>
              </w:rPr>
            </w:pPr>
          </w:p>
        </w:tc>
        <w:tc>
          <w:tcPr>
            <w:tcW w:w="992" w:type="dxa"/>
            <w:tcBorders>
              <w:top w:val="nil"/>
              <w:left w:val="nil"/>
              <w:bottom w:val="nil"/>
              <w:right w:val="nil"/>
            </w:tcBorders>
            <w:shd w:val="clear" w:color="auto" w:fill="auto"/>
            <w:noWrap/>
            <w:vAlign w:val="center"/>
          </w:tcPr>
          <w:p w14:paraId="3D1F7D2E" w14:textId="47EB27D6" w:rsidR="00CC1F64" w:rsidRDefault="00CC1F64">
            <w:pPr>
              <w:jc w:val="right"/>
              <w:rPr>
                <w:rFonts w:ascii="Arial" w:hAnsi="Arial" w:cs="Arial"/>
                <w:sz w:val="14"/>
                <w:szCs w:val="14"/>
                <w:lang w:eastAsia="es-AR"/>
              </w:rPr>
            </w:pPr>
            <w:r>
              <w:rPr>
                <w:rFonts w:ascii="Arial" w:hAnsi="Arial" w:cs="Arial"/>
                <w:sz w:val="14"/>
                <w:szCs w:val="14"/>
                <w:lang w:eastAsia="es-AR"/>
              </w:rPr>
              <w:t>808</w:t>
            </w:r>
            <w:r w:rsidRPr="00E81272">
              <w:rPr>
                <w:rFonts w:ascii="Arial" w:hAnsi="Arial" w:cs="Arial"/>
                <w:sz w:val="14"/>
                <w:szCs w:val="14"/>
                <w:lang w:eastAsia="es-AR"/>
              </w:rPr>
              <w:t>.</w:t>
            </w:r>
            <w:r>
              <w:rPr>
                <w:rFonts w:ascii="Arial" w:hAnsi="Arial" w:cs="Arial"/>
                <w:sz w:val="14"/>
                <w:szCs w:val="14"/>
                <w:lang w:eastAsia="es-AR"/>
              </w:rPr>
              <w:t>852</w:t>
            </w:r>
          </w:p>
        </w:tc>
        <w:tc>
          <w:tcPr>
            <w:tcW w:w="1134" w:type="dxa"/>
            <w:tcBorders>
              <w:top w:val="nil"/>
              <w:left w:val="nil"/>
              <w:bottom w:val="nil"/>
              <w:right w:val="nil"/>
            </w:tcBorders>
            <w:vAlign w:val="center"/>
          </w:tcPr>
          <w:p w14:paraId="7C122779" w14:textId="23641F46" w:rsidR="00CC1F64" w:rsidRDefault="00CC1F64">
            <w:pPr>
              <w:jc w:val="right"/>
              <w:rPr>
                <w:rFonts w:ascii="Arial" w:hAnsi="Arial" w:cs="Arial"/>
                <w:sz w:val="14"/>
                <w:szCs w:val="14"/>
                <w:lang w:eastAsia="es-AR"/>
              </w:rPr>
            </w:pPr>
            <w:r>
              <w:rPr>
                <w:rFonts w:ascii="Arial" w:hAnsi="Arial" w:cs="Arial"/>
                <w:sz w:val="14"/>
                <w:szCs w:val="14"/>
                <w:lang w:eastAsia="es-AR"/>
              </w:rPr>
              <w:t>6</w:t>
            </w:r>
            <w:r w:rsidRPr="00E81272">
              <w:rPr>
                <w:rFonts w:ascii="Arial" w:hAnsi="Arial" w:cs="Arial"/>
                <w:sz w:val="14"/>
                <w:szCs w:val="14"/>
                <w:lang w:eastAsia="es-AR"/>
              </w:rPr>
              <w:t>.</w:t>
            </w:r>
            <w:r>
              <w:rPr>
                <w:rFonts w:ascii="Arial" w:hAnsi="Arial" w:cs="Arial"/>
                <w:sz w:val="14"/>
                <w:szCs w:val="14"/>
                <w:lang w:eastAsia="es-AR"/>
              </w:rPr>
              <w:t>444</w:t>
            </w:r>
            <w:r w:rsidRPr="00E81272">
              <w:rPr>
                <w:rFonts w:ascii="Arial" w:hAnsi="Arial" w:cs="Arial"/>
                <w:sz w:val="14"/>
                <w:szCs w:val="14"/>
                <w:lang w:eastAsia="es-AR"/>
              </w:rPr>
              <w:t>.</w:t>
            </w:r>
            <w:r>
              <w:rPr>
                <w:rFonts w:ascii="Arial" w:hAnsi="Arial" w:cs="Arial"/>
                <w:sz w:val="14"/>
                <w:szCs w:val="14"/>
                <w:lang w:eastAsia="es-AR"/>
              </w:rPr>
              <w:t>347</w:t>
            </w:r>
          </w:p>
        </w:tc>
        <w:tc>
          <w:tcPr>
            <w:tcW w:w="992" w:type="dxa"/>
            <w:tcBorders>
              <w:top w:val="nil"/>
              <w:left w:val="nil"/>
              <w:bottom w:val="nil"/>
              <w:right w:val="nil"/>
            </w:tcBorders>
            <w:vAlign w:val="center"/>
          </w:tcPr>
          <w:p w14:paraId="5F813E06" w14:textId="531094CC" w:rsidR="00CC1F64" w:rsidRDefault="00CC1F64">
            <w:pPr>
              <w:jc w:val="right"/>
              <w:rPr>
                <w:rFonts w:ascii="Arial" w:hAnsi="Arial" w:cs="Arial"/>
                <w:sz w:val="14"/>
                <w:szCs w:val="14"/>
                <w:lang w:eastAsia="es-AR"/>
              </w:rPr>
            </w:pPr>
            <w:r>
              <w:rPr>
                <w:rFonts w:ascii="Arial" w:hAnsi="Arial" w:cs="Arial"/>
                <w:sz w:val="14"/>
                <w:szCs w:val="14"/>
                <w:lang w:eastAsia="es-AR"/>
              </w:rPr>
              <w:t>16.376.393</w:t>
            </w:r>
          </w:p>
        </w:tc>
        <w:tc>
          <w:tcPr>
            <w:tcW w:w="926" w:type="dxa"/>
            <w:tcBorders>
              <w:top w:val="nil"/>
              <w:left w:val="nil"/>
              <w:bottom w:val="nil"/>
              <w:right w:val="nil"/>
            </w:tcBorders>
            <w:shd w:val="clear" w:color="auto" w:fill="auto"/>
            <w:noWrap/>
            <w:vAlign w:val="center"/>
          </w:tcPr>
          <w:p w14:paraId="7C3549C3" w14:textId="3E29442E" w:rsidR="00CC1F64" w:rsidRDefault="00CC1F64">
            <w:pPr>
              <w:jc w:val="right"/>
              <w:rPr>
                <w:rFonts w:ascii="Arial" w:hAnsi="Arial" w:cs="Arial"/>
                <w:sz w:val="14"/>
                <w:szCs w:val="14"/>
                <w:lang w:eastAsia="es-AR"/>
              </w:rPr>
            </w:pPr>
            <w:r>
              <w:rPr>
                <w:rFonts w:ascii="Arial" w:hAnsi="Arial" w:cs="Arial"/>
                <w:sz w:val="14"/>
                <w:szCs w:val="14"/>
                <w:lang w:eastAsia="es-AR"/>
              </w:rPr>
              <w:t>-</w:t>
            </w:r>
          </w:p>
        </w:tc>
        <w:tc>
          <w:tcPr>
            <w:tcW w:w="776" w:type="dxa"/>
            <w:tcBorders>
              <w:top w:val="nil"/>
              <w:left w:val="nil"/>
              <w:bottom w:val="nil"/>
              <w:right w:val="nil"/>
            </w:tcBorders>
            <w:shd w:val="clear" w:color="auto" w:fill="auto"/>
            <w:noWrap/>
            <w:vAlign w:val="center"/>
          </w:tcPr>
          <w:p w14:paraId="235BB906" w14:textId="50296C08" w:rsidR="00CC1F64" w:rsidRDefault="00CC1F64">
            <w:pPr>
              <w:jc w:val="right"/>
              <w:rPr>
                <w:rFonts w:ascii="Arial" w:hAnsi="Arial" w:cs="Arial"/>
                <w:sz w:val="14"/>
                <w:szCs w:val="14"/>
                <w:lang w:eastAsia="es-AR"/>
              </w:rPr>
            </w:pPr>
            <w:r>
              <w:rPr>
                <w:rFonts w:ascii="Arial" w:hAnsi="Arial" w:cs="Arial"/>
                <w:sz w:val="14"/>
                <w:szCs w:val="14"/>
                <w:lang w:eastAsia="es-AR"/>
              </w:rPr>
              <w:t>-</w:t>
            </w:r>
          </w:p>
        </w:tc>
        <w:tc>
          <w:tcPr>
            <w:tcW w:w="783" w:type="dxa"/>
            <w:tcBorders>
              <w:top w:val="nil"/>
              <w:left w:val="nil"/>
              <w:bottom w:val="nil"/>
              <w:right w:val="nil"/>
            </w:tcBorders>
            <w:shd w:val="clear" w:color="auto" w:fill="auto"/>
            <w:noWrap/>
            <w:vAlign w:val="center"/>
          </w:tcPr>
          <w:p w14:paraId="10D5E656" w14:textId="60224825" w:rsidR="00CC1F64" w:rsidRDefault="00CC1F64">
            <w:pPr>
              <w:jc w:val="right"/>
              <w:rPr>
                <w:rFonts w:ascii="Arial" w:hAnsi="Arial" w:cs="Arial"/>
                <w:sz w:val="14"/>
                <w:szCs w:val="14"/>
                <w:lang w:eastAsia="es-AR"/>
              </w:rPr>
            </w:pPr>
            <w:r>
              <w:rPr>
                <w:rFonts w:ascii="Arial" w:hAnsi="Arial" w:cs="Arial"/>
                <w:sz w:val="14"/>
                <w:szCs w:val="14"/>
                <w:lang w:eastAsia="es-AR"/>
              </w:rPr>
              <w:t>1.841.138</w:t>
            </w:r>
          </w:p>
        </w:tc>
        <w:tc>
          <w:tcPr>
            <w:tcW w:w="851" w:type="dxa"/>
            <w:tcBorders>
              <w:top w:val="nil"/>
              <w:left w:val="nil"/>
              <w:bottom w:val="nil"/>
              <w:right w:val="nil"/>
            </w:tcBorders>
            <w:shd w:val="clear" w:color="auto" w:fill="auto"/>
            <w:noWrap/>
            <w:vAlign w:val="center"/>
          </w:tcPr>
          <w:p w14:paraId="78F22BD5" w14:textId="1E369A18" w:rsidR="00CC1F64" w:rsidRDefault="00CC1F64">
            <w:pPr>
              <w:jc w:val="right"/>
              <w:rPr>
                <w:rFonts w:ascii="Arial" w:hAnsi="Arial" w:cs="Arial"/>
                <w:sz w:val="14"/>
                <w:szCs w:val="14"/>
                <w:lang w:eastAsia="es-AR"/>
              </w:rPr>
            </w:pPr>
            <w:r>
              <w:rPr>
                <w:rFonts w:ascii="Arial" w:hAnsi="Arial" w:cs="Arial"/>
                <w:sz w:val="14"/>
                <w:szCs w:val="14"/>
                <w:lang w:eastAsia="es-AR"/>
              </w:rPr>
              <w:t>7</w:t>
            </w:r>
            <w:r w:rsidRPr="00E81272">
              <w:rPr>
                <w:rFonts w:ascii="Arial" w:hAnsi="Arial" w:cs="Arial"/>
                <w:sz w:val="14"/>
                <w:szCs w:val="14"/>
                <w:lang w:eastAsia="es-AR"/>
              </w:rPr>
              <w:t>.</w:t>
            </w:r>
            <w:r>
              <w:rPr>
                <w:rFonts w:ascii="Arial" w:hAnsi="Arial" w:cs="Arial"/>
                <w:sz w:val="14"/>
                <w:szCs w:val="14"/>
                <w:lang w:eastAsia="es-AR"/>
              </w:rPr>
              <w:t>018</w:t>
            </w:r>
            <w:r w:rsidRPr="00E81272">
              <w:rPr>
                <w:rFonts w:ascii="Arial" w:hAnsi="Arial" w:cs="Arial"/>
                <w:sz w:val="14"/>
                <w:szCs w:val="14"/>
                <w:lang w:eastAsia="es-AR"/>
              </w:rPr>
              <w:t>.</w:t>
            </w:r>
            <w:r>
              <w:rPr>
                <w:rFonts w:ascii="Arial" w:hAnsi="Arial" w:cs="Arial"/>
                <w:sz w:val="14"/>
                <w:szCs w:val="14"/>
                <w:lang w:eastAsia="es-AR"/>
              </w:rPr>
              <w:t>821</w:t>
            </w:r>
          </w:p>
        </w:tc>
        <w:tc>
          <w:tcPr>
            <w:tcW w:w="992" w:type="dxa"/>
            <w:tcBorders>
              <w:top w:val="nil"/>
              <w:left w:val="nil"/>
              <w:bottom w:val="nil"/>
              <w:right w:val="nil"/>
            </w:tcBorders>
            <w:shd w:val="clear" w:color="auto" w:fill="auto"/>
            <w:noWrap/>
            <w:vAlign w:val="center"/>
          </w:tcPr>
          <w:p w14:paraId="7D888C3A" w14:textId="5DE1148E" w:rsidR="00CC1F64" w:rsidRDefault="00CC1F64">
            <w:pPr>
              <w:jc w:val="right"/>
              <w:rPr>
                <w:rFonts w:ascii="Arial" w:hAnsi="Arial" w:cs="Arial"/>
                <w:sz w:val="14"/>
                <w:szCs w:val="14"/>
                <w:lang w:eastAsia="es-AR"/>
              </w:rPr>
            </w:pPr>
            <w:r>
              <w:rPr>
                <w:rFonts w:ascii="Arial" w:hAnsi="Arial" w:cs="Arial"/>
                <w:sz w:val="14"/>
                <w:szCs w:val="14"/>
                <w:lang w:eastAsia="es-AR"/>
              </w:rPr>
              <w:t>-9.</w:t>
            </w:r>
            <w:r w:rsidR="001A605E">
              <w:rPr>
                <w:rFonts w:ascii="Arial" w:hAnsi="Arial" w:cs="Arial"/>
                <w:sz w:val="14"/>
                <w:szCs w:val="14"/>
                <w:lang w:eastAsia="es-AR"/>
              </w:rPr>
              <w:t>586</w:t>
            </w:r>
            <w:r>
              <w:rPr>
                <w:rFonts w:ascii="Arial" w:hAnsi="Arial" w:cs="Arial"/>
                <w:sz w:val="14"/>
                <w:szCs w:val="14"/>
                <w:lang w:eastAsia="es-AR"/>
              </w:rPr>
              <w:t>.</w:t>
            </w:r>
            <w:r w:rsidR="001A605E">
              <w:rPr>
                <w:rFonts w:ascii="Arial" w:hAnsi="Arial" w:cs="Arial"/>
                <w:sz w:val="14"/>
                <w:szCs w:val="14"/>
                <w:lang w:eastAsia="es-AR"/>
              </w:rPr>
              <w:t>518</w:t>
            </w:r>
          </w:p>
        </w:tc>
        <w:tc>
          <w:tcPr>
            <w:tcW w:w="992" w:type="dxa"/>
            <w:tcBorders>
              <w:top w:val="nil"/>
              <w:left w:val="nil"/>
              <w:bottom w:val="nil"/>
              <w:right w:val="nil"/>
            </w:tcBorders>
            <w:shd w:val="clear" w:color="auto" w:fill="auto"/>
            <w:noWrap/>
            <w:vAlign w:val="center"/>
          </w:tcPr>
          <w:p w14:paraId="7A788507" w14:textId="6F31EB72" w:rsidR="00CC1F64" w:rsidRDefault="00CC1F64">
            <w:pPr>
              <w:jc w:val="right"/>
              <w:rPr>
                <w:rFonts w:ascii="Arial" w:hAnsi="Arial" w:cs="Arial"/>
                <w:sz w:val="14"/>
                <w:szCs w:val="14"/>
                <w:lang w:eastAsia="es-AR"/>
              </w:rPr>
            </w:pPr>
            <w:r>
              <w:rPr>
                <w:rFonts w:ascii="Arial" w:hAnsi="Arial" w:cs="Arial"/>
                <w:sz w:val="14"/>
                <w:szCs w:val="14"/>
                <w:lang w:eastAsia="es-AR"/>
              </w:rPr>
              <w:t>22</w:t>
            </w:r>
            <w:r w:rsidRPr="00E81272">
              <w:rPr>
                <w:rFonts w:ascii="Arial" w:hAnsi="Arial" w:cs="Arial"/>
                <w:sz w:val="14"/>
                <w:szCs w:val="14"/>
                <w:lang w:eastAsia="es-AR"/>
              </w:rPr>
              <w:t>.</w:t>
            </w:r>
            <w:r w:rsidR="001A605E">
              <w:rPr>
                <w:rFonts w:ascii="Arial" w:hAnsi="Arial" w:cs="Arial"/>
                <w:sz w:val="14"/>
                <w:szCs w:val="14"/>
                <w:lang w:eastAsia="es-AR"/>
              </w:rPr>
              <w:t>903</w:t>
            </w:r>
            <w:r w:rsidRPr="00E81272">
              <w:rPr>
                <w:rFonts w:ascii="Arial" w:hAnsi="Arial" w:cs="Arial"/>
                <w:sz w:val="14"/>
                <w:szCs w:val="14"/>
                <w:lang w:eastAsia="es-AR"/>
              </w:rPr>
              <w:t>.</w:t>
            </w:r>
            <w:r w:rsidR="001A605E">
              <w:rPr>
                <w:rFonts w:ascii="Arial" w:hAnsi="Arial" w:cs="Arial"/>
                <w:sz w:val="14"/>
                <w:szCs w:val="14"/>
                <w:lang w:eastAsia="es-AR"/>
              </w:rPr>
              <w:t>033</w:t>
            </w:r>
          </w:p>
        </w:tc>
        <w:tc>
          <w:tcPr>
            <w:tcW w:w="851" w:type="dxa"/>
            <w:tcBorders>
              <w:top w:val="nil"/>
              <w:left w:val="nil"/>
              <w:bottom w:val="nil"/>
              <w:right w:val="nil"/>
            </w:tcBorders>
            <w:shd w:val="clear" w:color="auto" w:fill="auto"/>
            <w:noWrap/>
            <w:vAlign w:val="center"/>
          </w:tcPr>
          <w:p w14:paraId="7C945666" w14:textId="4538236C" w:rsidR="00CC1F64" w:rsidRDefault="004E41AA">
            <w:pPr>
              <w:jc w:val="right"/>
              <w:rPr>
                <w:rFonts w:ascii="Arial" w:hAnsi="Arial" w:cs="Arial"/>
                <w:sz w:val="14"/>
                <w:szCs w:val="14"/>
                <w:lang w:eastAsia="es-AR"/>
              </w:rPr>
            </w:pPr>
            <w:r>
              <w:rPr>
                <w:rFonts w:ascii="Arial" w:hAnsi="Arial" w:cs="Arial"/>
                <w:sz w:val="14"/>
                <w:szCs w:val="14"/>
                <w:lang w:eastAsia="es-AR"/>
              </w:rPr>
              <w:t>-1.581</w:t>
            </w:r>
            <w:r w:rsidR="00CC1F64" w:rsidRPr="00E81272">
              <w:rPr>
                <w:rFonts w:ascii="Arial" w:hAnsi="Arial" w:cs="Arial"/>
                <w:sz w:val="14"/>
                <w:szCs w:val="14"/>
                <w:lang w:eastAsia="es-AR"/>
              </w:rPr>
              <w:t>.</w:t>
            </w:r>
            <w:r>
              <w:rPr>
                <w:rFonts w:ascii="Arial" w:hAnsi="Arial" w:cs="Arial"/>
                <w:sz w:val="14"/>
                <w:szCs w:val="14"/>
                <w:lang w:eastAsia="es-AR"/>
              </w:rPr>
              <w:t>109</w:t>
            </w:r>
          </w:p>
        </w:tc>
        <w:tc>
          <w:tcPr>
            <w:tcW w:w="850" w:type="dxa"/>
            <w:tcBorders>
              <w:top w:val="nil"/>
              <w:left w:val="nil"/>
              <w:bottom w:val="nil"/>
              <w:right w:val="nil"/>
            </w:tcBorders>
            <w:shd w:val="clear" w:color="auto" w:fill="auto"/>
            <w:noWrap/>
            <w:vAlign w:val="center"/>
          </w:tcPr>
          <w:p w14:paraId="61C386CE" w14:textId="0FA462AB" w:rsidR="00CC1F64" w:rsidRDefault="00CC1F64">
            <w:pPr>
              <w:jc w:val="right"/>
              <w:rPr>
                <w:rFonts w:ascii="Arial" w:hAnsi="Arial" w:cs="Arial"/>
                <w:sz w:val="14"/>
                <w:szCs w:val="14"/>
                <w:lang w:eastAsia="es-AR"/>
              </w:rPr>
            </w:pPr>
            <w:r>
              <w:rPr>
                <w:rFonts w:ascii="Arial" w:hAnsi="Arial" w:cs="Arial"/>
                <w:sz w:val="14"/>
                <w:szCs w:val="14"/>
                <w:lang w:eastAsia="es-AR"/>
              </w:rPr>
              <w:t>2</w:t>
            </w:r>
            <w:r w:rsidR="00CF5CA1">
              <w:rPr>
                <w:rFonts w:ascii="Arial" w:hAnsi="Arial" w:cs="Arial"/>
                <w:sz w:val="14"/>
                <w:szCs w:val="14"/>
                <w:lang w:eastAsia="es-AR"/>
              </w:rPr>
              <w:t>1</w:t>
            </w:r>
            <w:r w:rsidRPr="00E81272">
              <w:rPr>
                <w:rFonts w:ascii="Arial" w:hAnsi="Arial" w:cs="Arial"/>
                <w:sz w:val="14"/>
                <w:szCs w:val="14"/>
                <w:lang w:eastAsia="es-AR"/>
              </w:rPr>
              <w:t>.</w:t>
            </w:r>
            <w:r w:rsidR="001A605E">
              <w:rPr>
                <w:rFonts w:ascii="Arial" w:hAnsi="Arial" w:cs="Arial"/>
                <w:sz w:val="14"/>
                <w:szCs w:val="14"/>
                <w:lang w:eastAsia="es-AR"/>
              </w:rPr>
              <w:t>321</w:t>
            </w:r>
            <w:r w:rsidRPr="00E81272">
              <w:rPr>
                <w:rFonts w:ascii="Arial" w:hAnsi="Arial" w:cs="Arial"/>
                <w:sz w:val="14"/>
                <w:szCs w:val="14"/>
                <w:lang w:eastAsia="es-AR"/>
              </w:rPr>
              <w:t>.</w:t>
            </w:r>
            <w:r w:rsidR="001A605E">
              <w:rPr>
                <w:rFonts w:ascii="Arial" w:hAnsi="Arial" w:cs="Arial"/>
                <w:sz w:val="14"/>
                <w:szCs w:val="14"/>
                <w:lang w:eastAsia="es-AR"/>
              </w:rPr>
              <w:t>924</w:t>
            </w:r>
          </w:p>
        </w:tc>
      </w:tr>
      <w:tr w:rsidR="00CF5CA1" w:rsidRPr="00E81272" w14:paraId="4C2D4FAD" w14:textId="77777777" w:rsidTr="002775B9">
        <w:trPr>
          <w:trHeight w:val="241"/>
        </w:trPr>
        <w:tc>
          <w:tcPr>
            <w:tcW w:w="2401" w:type="dxa"/>
            <w:tcBorders>
              <w:top w:val="nil"/>
              <w:left w:val="nil"/>
              <w:bottom w:val="nil"/>
              <w:right w:val="nil"/>
            </w:tcBorders>
            <w:shd w:val="clear" w:color="auto" w:fill="auto"/>
          </w:tcPr>
          <w:p w14:paraId="728FD3CD" w14:textId="0457E0FE" w:rsidR="001A605E" w:rsidRPr="00E81272" w:rsidRDefault="00F10EED" w:rsidP="00CF5CA1">
            <w:pPr>
              <w:rPr>
                <w:rFonts w:ascii="Arial" w:hAnsi="Arial" w:cs="Arial"/>
                <w:b/>
                <w:bCs/>
                <w:sz w:val="14"/>
                <w:szCs w:val="14"/>
                <w:lang w:eastAsia="es-AR"/>
              </w:rPr>
            </w:pPr>
            <w:r w:rsidRPr="00F10EED">
              <w:rPr>
                <w:rFonts w:ascii="Arial" w:hAnsi="Arial" w:cs="Arial"/>
                <w:b/>
                <w:bCs/>
                <w:sz w:val="14"/>
                <w:szCs w:val="14"/>
                <w:lang w:eastAsia="es-AR"/>
              </w:rPr>
              <w:t>Impacto Ajustes NIIF 9</w:t>
            </w:r>
          </w:p>
        </w:tc>
        <w:tc>
          <w:tcPr>
            <w:tcW w:w="567" w:type="dxa"/>
            <w:tcBorders>
              <w:top w:val="nil"/>
              <w:left w:val="nil"/>
              <w:bottom w:val="nil"/>
              <w:right w:val="nil"/>
            </w:tcBorders>
            <w:shd w:val="clear" w:color="auto" w:fill="auto"/>
            <w:noWrap/>
          </w:tcPr>
          <w:p w14:paraId="12BD6286" w14:textId="77777777" w:rsidR="00CF5CA1" w:rsidRPr="00E81272" w:rsidRDefault="00CF5CA1" w:rsidP="00CF5CA1">
            <w:pPr>
              <w:rPr>
                <w:rFonts w:ascii="Arial" w:hAnsi="Arial" w:cs="Arial"/>
                <w:b/>
                <w:bCs/>
                <w:sz w:val="14"/>
                <w:szCs w:val="14"/>
                <w:lang w:eastAsia="es-AR"/>
              </w:rPr>
            </w:pPr>
          </w:p>
        </w:tc>
        <w:tc>
          <w:tcPr>
            <w:tcW w:w="992" w:type="dxa"/>
            <w:tcBorders>
              <w:top w:val="nil"/>
              <w:left w:val="nil"/>
              <w:bottom w:val="single" w:sz="4" w:space="0" w:color="auto"/>
              <w:right w:val="nil"/>
            </w:tcBorders>
            <w:shd w:val="clear" w:color="auto" w:fill="auto"/>
            <w:noWrap/>
            <w:vAlign w:val="bottom"/>
          </w:tcPr>
          <w:p w14:paraId="06797CAF" w14:textId="77777777" w:rsidR="00CF5CA1" w:rsidRDefault="00CF5CA1" w:rsidP="00CF5CA1">
            <w:pPr>
              <w:jc w:val="right"/>
              <w:rPr>
                <w:rFonts w:ascii="Arial" w:hAnsi="Arial" w:cs="Arial"/>
                <w:sz w:val="14"/>
                <w:szCs w:val="14"/>
                <w:lang w:eastAsia="es-AR"/>
              </w:rPr>
            </w:pPr>
          </w:p>
        </w:tc>
        <w:tc>
          <w:tcPr>
            <w:tcW w:w="1134" w:type="dxa"/>
            <w:tcBorders>
              <w:top w:val="nil"/>
              <w:left w:val="nil"/>
              <w:bottom w:val="single" w:sz="4" w:space="0" w:color="auto"/>
              <w:right w:val="nil"/>
            </w:tcBorders>
            <w:vAlign w:val="bottom"/>
          </w:tcPr>
          <w:p w14:paraId="7DB0FC6B" w14:textId="77777777" w:rsidR="00CF5CA1" w:rsidRDefault="00CF5CA1" w:rsidP="00CF5CA1">
            <w:pPr>
              <w:jc w:val="right"/>
              <w:rPr>
                <w:rFonts w:ascii="Arial" w:hAnsi="Arial" w:cs="Arial"/>
                <w:sz w:val="14"/>
                <w:szCs w:val="14"/>
                <w:lang w:eastAsia="es-AR"/>
              </w:rPr>
            </w:pPr>
          </w:p>
        </w:tc>
        <w:tc>
          <w:tcPr>
            <w:tcW w:w="992" w:type="dxa"/>
            <w:tcBorders>
              <w:top w:val="nil"/>
              <w:left w:val="nil"/>
              <w:bottom w:val="single" w:sz="4" w:space="0" w:color="auto"/>
              <w:right w:val="nil"/>
            </w:tcBorders>
            <w:vAlign w:val="bottom"/>
          </w:tcPr>
          <w:p w14:paraId="09D09394" w14:textId="77777777" w:rsidR="00CF5CA1" w:rsidRDefault="00CF5CA1" w:rsidP="00CF5CA1">
            <w:pPr>
              <w:jc w:val="right"/>
              <w:rPr>
                <w:rFonts w:ascii="Arial" w:hAnsi="Arial" w:cs="Arial"/>
                <w:sz w:val="14"/>
                <w:szCs w:val="14"/>
                <w:lang w:eastAsia="es-AR"/>
              </w:rPr>
            </w:pPr>
          </w:p>
        </w:tc>
        <w:tc>
          <w:tcPr>
            <w:tcW w:w="926" w:type="dxa"/>
            <w:tcBorders>
              <w:top w:val="nil"/>
              <w:left w:val="nil"/>
              <w:bottom w:val="single" w:sz="4" w:space="0" w:color="auto"/>
              <w:right w:val="nil"/>
            </w:tcBorders>
            <w:shd w:val="clear" w:color="auto" w:fill="auto"/>
            <w:noWrap/>
            <w:vAlign w:val="bottom"/>
          </w:tcPr>
          <w:p w14:paraId="21BA4E3D" w14:textId="77777777" w:rsidR="00CF5CA1" w:rsidRDefault="00CF5CA1" w:rsidP="00CF5CA1">
            <w:pPr>
              <w:jc w:val="right"/>
              <w:rPr>
                <w:rFonts w:ascii="Arial" w:hAnsi="Arial" w:cs="Arial"/>
                <w:sz w:val="14"/>
                <w:szCs w:val="14"/>
                <w:lang w:eastAsia="es-AR"/>
              </w:rPr>
            </w:pPr>
          </w:p>
        </w:tc>
        <w:tc>
          <w:tcPr>
            <w:tcW w:w="776" w:type="dxa"/>
            <w:tcBorders>
              <w:top w:val="nil"/>
              <w:left w:val="nil"/>
              <w:bottom w:val="single" w:sz="4" w:space="0" w:color="auto"/>
              <w:right w:val="nil"/>
            </w:tcBorders>
            <w:shd w:val="clear" w:color="auto" w:fill="auto"/>
            <w:noWrap/>
            <w:vAlign w:val="bottom"/>
          </w:tcPr>
          <w:p w14:paraId="035839DA" w14:textId="77777777" w:rsidR="00CF5CA1" w:rsidRDefault="00CF5CA1" w:rsidP="00CF5CA1">
            <w:pPr>
              <w:jc w:val="right"/>
              <w:rPr>
                <w:rFonts w:ascii="Arial" w:hAnsi="Arial" w:cs="Arial"/>
                <w:sz w:val="14"/>
                <w:szCs w:val="14"/>
                <w:lang w:eastAsia="es-AR"/>
              </w:rPr>
            </w:pPr>
          </w:p>
        </w:tc>
        <w:tc>
          <w:tcPr>
            <w:tcW w:w="783" w:type="dxa"/>
            <w:tcBorders>
              <w:top w:val="nil"/>
              <w:left w:val="nil"/>
              <w:bottom w:val="single" w:sz="4" w:space="0" w:color="auto"/>
              <w:right w:val="nil"/>
            </w:tcBorders>
            <w:shd w:val="clear" w:color="auto" w:fill="auto"/>
            <w:noWrap/>
            <w:vAlign w:val="bottom"/>
          </w:tcPr>
          <w:p w14:paraId="6AB022CE" w14:textId="77777777" w:rsidR="00CF5CA1" w:rsidRDefault="00CF5CA1" w:rsidP="00CF5CA1">
            <w:pPr>
              <w:jc w:val="right"/>
              <w:rPr>
                <w:rFonts w:ascii="Arial" w:hAnsi="Arial" w:cs="Arial"/>
                <w:sz w:val="14"/>
                <w:szCs w:val="14"/>
                <w:lang w:eastAsia="es-AR"/>
              </w:rPr>
            </w:pPr>
          </w:p>
        </w:tc>
        <w:tc>
          <w:tcPr>
            <w:tcW w:w="851" w:type="dxa"/>
            <w:tcBorders>
              <w:top w:val="nil"/>
              <w:left w:val="nil"/>
              <w:bottom w:val="single" w:sz="4" w:space="0" w:color="auto"/>
              <w:right w:val="nil"/>
            </w:tcBorders>
            <w:shd w:val="clear" w:color="auto" w:fill="auto"/>
            <w:noWrap/>
            <w:vAlign w:val="bottom"/>
          </w:tcPr>
          <w:p w14:paraId="02342509" w14:textId="77777777" w:rsidR="00CF5CA1" w:rsidRDefault="00CF5CA1" w:rsidP="00CF5CA1">
            <w:pPr>
              <w:jc w:val="right"/>
              <w:rPr>
                <w:rFonts w:ascii="Arial" w:hAnsi="Arial" w:cs="Arial"/>
                <w:sz w:val="14"/>
                <w:szCs w:val="14"/>
                <w:lang w:eastAsia="es-AR"/>
              </w:rPr>
            </w:pPr>
          </w:p>
        </w:tc>
        <w:tc>
          <w:tcPr>
            <w:tcW w:w="992" w:type="dxa"/>
            <w:tcBorders>
              <w:top w:val="nil"/>
              <w:left w:val="nil"/>
              <w:bottom w:val="single" w:sz="4" w:space="0" w:color="auto"/>
              <w:right w:val="nil"/>
            </w:tcBorders>
            <w:shd w:val="clear" w:color="auto" w:fill="auto"/>
            <w:noWrap/>
            <w:vAlign w:val="center"/>
          </w:tcPr>
          <w:p w14:paraId="257D88D6" w14:textId="412FFB6C" w:rsidR="00CF5CA1" w:rsidRDefault="00CF5CA1">
            <w:pPr>
              <w:jc w:val="right"/>
              <w:rPr>
                <w:rFonts w:ascii="Arial" w:hAnsi="Arial" w:cs="Arial"/>
                <w:sz w:val="14"/>
                <w:szCs w:val="14"/>
                <w:lang w:eastAsia="es-AR"/>
              </w:rPr>
            </w:pPr>
            <w:r>
              <w:rPr>
                <w:rFonts w:ascii="Arial" w:hAnsi="Arial" w:cs="Arial"/>
                <w:sz w:val="14"/>
                <w:szCs w:val="14"/>
                <w:lang w:eastAsia="es-AR"/>
              </w:rPr>
              <w:t>-</w:t>
            </w:r>
            <w:r w:rsidR="001A605E">
              <w:rPr>
                <w:rFonts w:ascii="Arial" w:hAnsi="Arial" w:cs="Arial"/>
                <w:sz w:val="14"/>
                <w:szCs w:val="14"/>
                <w:lang w:eastAsia="es-AR"/>
              </w:rPr>
              <w:t>438</w:t>
            </w:r>
            <w:r>
              <w:rPr>
                <w:rFonts w:ascii="Arial" w:hAnsi="Arial" w:cs="Arial"/>
                <w:sz w:val="14"/>
                <w:szCs w:val="14"/>
                <w:lang w:eastAsia="es-AR"/>
              </w:rPr>
              <w:t>.9</w:t>
            </w:r>
            <w:r w:rsidR="001A605E">
              <w:rPr>
                <w:rFonts w:ascii="Arial" w:hAnsi="Arial" w:cs="Arial"/>
                <w:sz w:val="14"/>
                <w:szCs w:val="14"/>
                <w:lang w:eastAsia="es-AR"/>
              </w:rPr>
              <w:t>72</w:t>
            </w:r>
          </w:p>
        </w:tc>
        <w:tc>
          <w:tcPr>
            <w:tcW w:w="992" w:type="dxa"/>
            <w:tcBorders>
              <w:top w:val="nil"/>
              <w:left w:val="nil"/>
              <w:bottom w:val="single" w:sz="4" w:space="0" w:color="auto"/>
              <w:right w:val="nil"/>
            </w:tcBorders>
            <w:shd w:val="clear" w:color="auto" w:fill="auto"/>
            <w:noWrap/>
            <w:vAlign w:val="center"/>
          </w:tcPr>
          <w:p w14:paraId="5BF746EB" w14:textId="4EFCA89B" w:rsidR="00CF5CA1" w:rsidRDefault="00CF5CA1">
            <w:pPr>
              <w:jc w:val="right"/>
              <w:rPr>
                <w:rFonts w:ascii="Arial" w:hAnsi="Arial" w:cs="Arial"/>
                <w:sz w:val="14"/>
                <w:szCs w:val="14"/>
                <w:lang w:eastAsia="es-AR"/>
              </w:rPr>
            </w:pPr>
            <w:r>
              <w:rPr>
                <w:rFonts w:ascii="Arial" w:hAnsi="Arial" w:cs="Arial"/>
                <w:sz w:val="14"/>
                <w:szCs w:val="14"/>
                <w:lang w:eastAsia="es-AR"/>
              </w:rPr>
              <w:t>-</w:t>
            </w:r>
            <w:r w:rsidR="001A605E">
              <w:rPr>
                <w:rFonts w:ascii="Arial" w:hAnsi="Arial" w:cs="Arial"/>
                <w:sz w:val="14"/>
                <w:szCs w:val="14"/>
                <w:lang w:eastAsia="es-AR"/>
              </w:rPr>
              <w:t>438</w:t>
            </w:r>
            <w:r>
              <w:rPr>
                <w:rFonts w:ascii="Arial" w:hAnsi="Arial" w:cs="Arial"/>
                <w:sz w:val="14"/>
                <w:szCs w:val="14"/>
                <w:lang w:eastAsia="es-AR"/>
              </w:rPr>
              <w:t>.9</w:t>
            </w:r>
            <w:r w:rsidR="001A605E">
              <w:rPr>
                <w:rFonts w:ascii="Arial" w:hAnsi="Arial" w:cs="Arial"/>
                <w:sz w:val="14"/>
                <w:szCs w:val="14"/>
                <w:lang w:eastAsia="es-AR"/>
              </w:rPr>
              <w:t>72</w:t>
            </w:r>
          </w:p>
        </w:tc>
        <w:tc>
          <w:tcPr>
            <w:tcW w:w="851" w:type="dxa"/>
            <w:tcBorders>
              <w:top w:val="nil"/>
              <w:left w:val="nil"/>
              <w:bottom w:val="single" w:sz="4" w:space="0" w:color="auto"/>
              <w:right w:val="nil"/>
            </w:tcBorders>
            <w:shd w:val="clear" w:color="auto" w:fill="auto"/>
            <w:noWrap/>
            <w:vAlign w:val="center"/>
          </w:tcPr>
          <w:p w14:paraId="386899A9" w14:textId="77777777" w:rsidR="00CF5CA1" w:rsidRDefault="00CF5CA1">
            <w:pPr>
              <w:jc w:val="right"/>
              <w:rPr>
                <w:rFonts w:ascii="Arial" w:hAnsi="Arial" w:cs="Arial"/>
                <w:sz w:val="14"/>
                <w:szCs w:val="14"/>
                <w:lang w:eastAsia="es-AR"/>
              </w:rPr>
            </w:pPr>
          </w:p>
        </w:tc>
        <w:tc>
          <w:tcPr>
            <w:tcW w:w="850" w:type="dxa"/>
            <w:tcBorders>
              <w:top w:val="nil"/>
              <w:left w:val="nil"/>
              <w:bottom w:val="single" w:sz="4" w:space="0" w:color="auto"/>
              <w:right w:val="nil"/>
            </w:tcBorders>
            <w:shd w:val="clear" w:color="auto" w:fill="auto"/>
            <w:noWrap/>
            <w:vAlign w:val="center"/>
          </w:tcPr>
          <w:p w14:paraId="1FDBBEA4" w14:textId="0447596D" w:rsidR="00CF5CA1" w:rsidRDefault="00CF5CA1">
            <w:pPr>
              <w:jc w:val="right"/>
              <w:rPr>
                <w:rFonts w:ascii="Arial" w:hAnsi="Arial" w:cs="Arial"/>
                <w:sz w:val="14"/>
                <w:szCs w:val="14"/>
                <w:lang w:eastAsia="es-AR"/>
              </w:rPr>
            </w:pPr>
            <w:r>
              <w:rPr>
                <w:rFonts w:ascii="Arial" w:hAnsi="Arial" w:cs="Arial"/>
                <w:sz w:val="14"/>
                <w:szCs w:val="14"/>
                <w:lang w:eastAsia="es-AR"/>
              </w:rPr>
              <w:t>-</w:t>
            </w:r>
            <w:r w:rsidR="001A605E">
              <w:rPr>
                <w:rFonts w:ascii="Arial" w:hAnsi="Arial" w:cs="Arial"/>
                <w:sz w:val="14"/>
                <w:szCs w:val="14"/>
                <w:lang w:eastAsia="es-AR"/>
              </w:rPr>
              <w:t>438</w:t>
            </w:r>
            <w:r>
              <w:rPr>
                <w:rFonts w:ascii="Arial" w:hAnsi="Arial" w:cs="Arial"/>
                <w:sz w:val="14"/>
                <w:szCs w:val="14"/>
                <w:lang w:eastAsia="es-AR"/>
              </w:rPr>
              <w:t>.</w:t>
            </w:r>
            <w:r w:rsidR="001A605E">
              <w:rPr>
                <w:rFonts w:ascii="Arial" w:hAnsi="Arial" w:cs="Arial"/>
                <w:sz w:val="14"/>
                <w:szCs w:val="14"/>
                <w:lang w:eastAsia="es-AR"/>
              </w:rPr>
              <w:t>972</w:t>
            </w:r>
          </w:p>
        </w:tc>
      </w:tr>
      <w:tr w:rsidR="00CF5CA1" w:rsidRPr="00E81272" w14:paraId="443B6BF4" w14:textId="77777777" w:rsidTr="002775B9">
        <w:trPr>
          <w:trHeight w:val="241"/>
        </w:trPr>
        <w:tc>
          <w:tcPr>
            <w:tcW w:w="2401" w:type="dxa"/>
            <w:tcBorders>
              <w:top w:val="nil"/>
              <w:left w:val="nil"/>
              <w:bottom w:val="nil"/>
              <w:right w:val="nil"/>
            </w:tcBorders>
            <w:shd w:val="clear" w:color="auto" w:fill="auto"/>
            <w:hideMark/>
          </w:tcPr>
          <w:p w14:paraId="4756E0E0" w14:textId="0CC1F46B" w:rsidR="00CF5CA1" w:rsidRPr="00E81272" w:rsidRDefault="00CF5CA1" w:rsidP="00CF5CA1">
            <w:pPr>
              <w:rPr>
                <w:rFonts w:ascii="Arial" w:hAnsi="Arial" w:cs="Arial"/>
                <w:b/>
                <w:bCs/>
                <w:sz w:val="14"/>
                <w:szCs w:val="14"/>
                <w:lang w:eastAsia="es-AR"/>
              </w:rPr>
            </w:pPr>
            <w:r w:rsidRPr="00E81272">
              <w:rPr>
                <w:rFonts w:ascii="Arial" w:hAnsi="Arial" w:cs="Arial"/>
                <w:b/>
                <w:bCs/>
                <w:sz w:val="14"/>
                <w:szCs w:val="14"/>
                <w:lang w:eastAsia="es-AR"/>
              </w:rPr>
              <w:t xml:space="preserve">Saldos al comienzo del </w:t>
            </w:r>
            <w:r>
              <w:rPr>
                <w:rFonts w:ascii="Arial" w:hAnsi="Arial" w:cs="Arial"/>
                <w:b/>
                <w:bCs/>
                <w:sz w:val="14"/>
                <w:szCs w:val="14"/>
                <w:lang w:eastAsia="es-AR"/>
              </w:rPr>
              <w:t>ejercicio reexpresados</w:t>
            </w:r>
          </w:p>
        </w:tc>
        <w:tc>
          <w:tcPr>
            <w:tcW w:w="567" w:type="dxa"/>
            <w:tcBorders>
              <w:top w:val="nil"/>
              <w:left w:val="nil"/>
              <w:bottom w:val="nil"/>
              <w:right w:val="nil"/>
            </w:tcBorders>
            <w:shd w:val="clear" w:color="auto" w:fill="auto"/>
            <w:noWrap/>
            <w:hideMark/>
          </w:tcPr>
          <w:p w14:paraId="6AFDDE2B" w14:textId="77777777" w:rsidR="00CF5CA1" w:rsidRPr="00E81272" w:rsidRDefault="00CF5CA1" w:rsidP="00CF5CA1">
            <w:pPr>
              <w:rPr>
                <w:rFonts w:ascii="Arial" w:hAnsi="Arial" w:cs="Arial"/>
                <w:b/>
                <w:bCs/>
                <w:sz w:val="14"/>
                <w:szCs w:val="14"/>
                <w:lang w:eastAsia="es-AR"/>
              </w:rPr>
            </w:pPr>
          </w:p>
        </w:tc>
        <w:tc>
          <w:tcPr>
            <w:tcW w:w="992" w:type="dxa"/>
            <w:tcBorders>
              <w:top w:val="single" w:sz="4" w:space="0" w:color="auto"/>
              <w:left w:val="nil"/>
              <w:bottom w:val="nil"/>
              <w:right w:val="nil"/>
            </w:tcBorders>
            <w:shd w:val="clear" w:color="auto" w:fill="auto"/>
            <w:noWrap/>
            <w:vAlign w:val="bottom"/>
            <w:hideMark/>
          </w:tcPr>
          <w:p w14:paraId="28410DEF" w14:textId="79C596A8"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808</w:t>
            </w:r>
            <w:r w:rsidRPr="00E81272">
              <w:rPr>
                <w:rFonts w:ascii="Arial" w:hAnsi="Arial" w:cs="Arial"/>
                <w:sz w:val="14"/>
                <w:szCs w:val="14"/>
                <w:lang w:eastAsia="es-AR"/>
              </w:rPr>
              <w:t>.</w:t>
            </w:r>
            <w:r>
              <w:rPr>
                <w:rFonts w:ascii="Arial" w:hAnsi="Arial" w:cs="Arial"/>
                <w:sz w:val="14"/>
                <w:szCs w:val="14"/>
                <w:lang w:eastAsia="es-AR"/>
              </w:rPr>
              <w:t>852</w:t>
            </w:r>
          </w:p>
        </w:tc>
        <w:tc>
          <w:tcPr>
            <w:tcW w:w="1134" w:type="dxa"/>
            <w:tcBorders>
              <w:top w:val="single" w:sz="4" w:space="0" w:color="auto"/>
              <w:left w:val="nil"/>
              <w:bottom w:val="nil"/>
              <w:right w:val="nil"/>
            </w:tcBorders>
            <w:vAlign w:val="bottom"/>
          </w:tcPr>
          <w:p w14:paraId="62C05C78" w14:textId="404A09BC"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6</w:t>
            </w:r>
            <w:r w:rsidRPr="00E81272">
              <w:rPr>
                <w:rFonts w:ascii="Arial" w:hAnsi="Arial" w:cs="Arial"/>
                <w:sz w:val="14"/>
                <w:szCs w:val="14"/>
                <w:lang w:eastAsia="es-AR"/>
              </w:rPr>
              <w:t>.</w:t>
            </w:r>
            <w:r>
              <w:rPr>
                <w:rFonts w:ascii="Arial" w:hAnsi="Arial" w:cs="Arial"/>
                <w:sz w:val="14"/>
                <w:szCs w:val="14"/>
                <w:lang w:eastAsia="es-AR"/>
              </w:rPr>
              <w:t>444</w:t>
            </w:r>
            <w:r w:rsidRPr="00E81272">
              <w:rPr>
                <w:rFonts w:ascii="Arial" w:hAnsi="Arial" w:cs="Arial"/>
                <w:sz w:val="14"/>
                <w:szCs w:val="14"/>
                <w:lang w:eastAsia="es-AR"/>
              </w:rPr>
              <w:t>.</w:t>
            </w:r>
            <w:r>
              <w:rPr>
                <w:rFonts w:ascii="Arial" w:hAnsi="Arial" w:cs="Arial"/>
                <w:sz w:val="14"/>
                <w:szCs w:val="14"/>
                <w:lang w:eastAsia="es-AR"/>
              </w:rPr>
              <w:t>347</w:t>
            </w:r>
          </w:p>
        </w:tc>
        <w:tc>
          <w:tcPr>
            <w:tcW w:w="992" w:type="dxa"/>
            <w:tcBorders>
              <w:top w:val="single" w:sz="4" w:space="0" w:color="auto"/>
              <w:left w:val="nil"/>
              <w:bottom w:val="nil"/>
              <w:right w:val="nil"/>
            </w:tcBorders>
            <w:vAlign w:val="bottom"/>
          </w:tcPr>
          <w:p w14:paraId="08A84ED9" w14:textId="7B3C1D58"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16.376.393</w:t>
            </w:r>
          </w:p>
        </w:tc>
        <w:tc>
          <w:tcPr>
            <w:tcW w:w="926" w:type="dxa"/>
            <w:tcBorders>
              <w:top w:val="single" w:sz="4" w:space="0" w:color="auto"/>
              <w:left w:val="nil"/>
              <w:bottom w:val="nil"/>
              <w:right w:val="nil"/>
            </w:tcBorders>
            <w:shd w:val="clear" w:color="auto" w:fill="auto"/>
            <w:noWrap/>
            <w:vAlign w:val="bottom"/>
            <w:hideMark/>
          </w:tcPr>
          <w:p w14:paraId="3BE599D9" w14:textId="1D471F40"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w:t>
            </w:r>
          </w:p>
        </w:tc>
        <w:tc>
          <w:tcPr>
            <w:tcW w:w="776" w:type="dxa"/>
            <w:tcBorders>
              <w:top w:val="single" w:sz="4" w:space="0" w:color="auto"/>
              <w:left w:val="nil"/>
              <w:bottom w:val="nil"/>
              <w:right w:val="nil"/>
            </w:tcBorders>
            <w:shd w:val="clear" w:color="auto" w:fill="auto"/>
            <w:noWrap/>
            <w:vAlign w:val="bottom"/>
            <w:hideMark/>
          </w:tcPr>
          <w:p w14:paraId="724BEA74" w14:textId="646A628A"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w:t>
            </w:r>
          </w:p>
        </w:tc>
        <w:tc>
          <w:tcPr>
            <w:tcW w:w="783" w:type="dxa"/>
            <w:tcBorders>
              <w:top w:val="single" w:sz="4" w:space="0" w:color="auto"/>
              <w:left w:val="nil"/>
              <w:bottom w:val="nil"/>
              <w:right w:val="nil"/>
            </w:tcBorders>
            <w:shd w:val="clear" w:color="auto" w:fill="auto"/>
            <w:noWrap/>
            <w:vAlign w:val="bottom"/>
            <w:hideMark/>
          </w:tcPr>
          <w:p w14:paraId="656E4F10" w14:textId="713A5C6F"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1.841.138</w:t>
            </w:r>
          </w:p>
        </w:tc>
        <w:tc>
          <w:tcPr>
            <w:tcW w:w="851" w:type="dxa"/>
            <w:tcBorders>
              <w:top w:val="single" w:sz="4" w:space="0" w:color="auto"/>
              <w:left w:val="nil"/>
              <w:bottom w:val="nil"/>
              <w:right w:val="nil"/>
            </w:tcBorders>
            <w:shd w:val="clear" w:color="auto" w:fill="auto"/>
            <w:noWrap/>
            <w:vAlign w:val="bottom"/>
            <w:hideMark/>
          </w:tcPr>
          <w:p w14:paraId="53DBFA71" w14:textId="0A6B5415"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7</w:t>
            </w:r>
            <w:r w:rsidRPr="00E81272">
              <w:rPr>
                <w:rFonts w:ascii="Arial" w:hAnsi="Arial" w:cs="Arial"/>
                <w:sz w:val="14"/>
                <w:szCs w:val="14"/>
                <w:lang w:eastAsia="es-AR"/>
              </w:rPr>
              <w:t>.</w:t>
            </w:r>
            <w:r>
              <w:rPr>
                <w:rFonts w:ascii="Arial" w:hAnsi="Arial" w:cs="Arial"/>
                <w:sz w:val="14"/>
                <w:szCs w:val="14"/>
                <w:lang w:eastAsia="es-AR"/>
              </w:rPr>
              <w:t>018</w:t>
            </w:r>
            <w:r w:rsidRPr="00E81272">
              <w:rPr>
                <w:rFonts w:ascii="Arial" w:hAnsi="Arial" w:cs="Arial"/>
                <w:sz w:val="14"/>
                <w:szCs w:val="14"/>
                <w:lang w:eastAsia="es-AR"/>
              </w:rPr>
              <w:t>.</w:t>
            </w:r>
            <w:r>
              <w:rPr>
                <w:rFonts w:ascii="Arial" w:hAnsi="Arial" w:cs="Arial"/>
                <w:sz w:val="14"/>
                <w:szCs w:val="14"/>
                <w:lang w:eastAsia="es-AR"/>
              </w:rPr>
              <w:t>821</w:t>
            </w:r>
          </w:p>
        </w:tc>
        <w:tc>
          <w:tcPr>
            <w:tcW w:w="992" w:type="dxa"/>
            <w:tcBorders>
              <w:top w:val="single" w:sz="4" w:space="0" w:color="auto"/>
              <w:left w:val="nil"/>
              <w:bottom w:val="nil"/>
              <w:right w:val="nil"/>
            </w:tcBorders>
            <w:shd w:val="clear" w:color="auto" w:fill="auto"/>
            <w:noWrap/>
            <w:vAlign w:val="bottom"/>
            <w:hideMark/>
          </w:tcPr>
          <w:p w14:paraId="3923B4E4" w14:textId="2C3F4091"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-10.025.490</w:t>
            </w:r>
          </w:p>
        </w:tc>
        <w:tc>
          <w:tcPr>
            <w:tcW w:w="992" w:type="dxa"/>
            <w:tcBorders>
              <w:top w:val="single" w:sz="4" w:space="0" w:color="auto"/>
              <w:left w:val="nil"/>
              <w:bottom w:val="nil"/>
              <w:right w:val="nil"/>
            </w:tcBorders>
            <w:shd w:val="clear" w:color="auto" w:fill="auto"/>
            <w:noWrap/>
            <w:vAlign w:val="bottom"/>
            <w:hideMark/>
          </w:tcPr>
          <w:p w14:paraId="29DF61A0" w14:textId="6A57DA2A"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22</w:t>
            </w:r>
            <w:r w:rsidRPr="00E81272">
              <w:rPr>
                <w:rFonts w:ascii="Arial" w:hAnsi="Arial" w:cs="Arial"/>
                <w:sz w:val="14"/>
                <w:szCs w:val="14"/>
                <w:lang w:eastAsia="es-AR"/>
              </w:rPr>
              <w:t>.</w:t>
            </w:r>
            <w:r>
              <w:rPr>
                <w:rFonts w:ascii="Arial" w:hAnsi="Arial" w:cs="Arial"/>
                <w:sz w:val="14"/>
                <w:szCs w:val="14"/>
                <w:lang w:eastAsia="es-AR"/>
              </w:rPr>
              <w:t>464</w:t>
            </w:r>
            <w:r w:rsidRPr="00E81272">
              <w:rPr>
                <w:rFonts w:ascii="Arial" w:hAnsi="Arial" w:cs="Arial"/>
                <w:sz w:val="14"/>
                <w:szCs w:val="14"/>
                <w:lang w:eastAsia="es-AR"/>
              </w:rPr>
              <w:t>.</w:t>
            </w:r>
            <w:r>
              <w:rPr>
                <w:rFonts w:ascii="Arial" w:hAnsi="Arial" w:cs="Arial"/>
                <w:sz w:val="14"/>
                <w:szCs w:val="14"/>
                <w:lang w:eastAsia="es-AR"/>
              </w:rPr>
              <w:t>061</w:t>
            </w:r>
          </w:p>
        </w:tc>
        <w:tc>
          <w:tcPr>
            <w:tcW w:w="851" w:type="dxa"/>
            <w:tcBorders>
              <w:top w:val="single" w:sz="4" w:space="0" w:color="auto"/>
              <w:left w:val="nil"/>
              <w:bottom w:val="nil"/>
              <w:right w:val="nil"/>
            </w:tcBorders>
            <w:shd w:val="clear" w:color="auto" w:fill="auto"/>
            <w:noWrap/>
            <w:vAlign w:val="bottom"/>
            <w:hideMark/>
          </w:tcPr>
          <w:p w14:paraId="79B105F2" w14:textId="0353D094"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-1.581</w:t>
            </w:r>
            <w:r w:rsidRPr="00E81272">
              <w:rPr>
                <w:rFonts w:ascii="Arial" w:hAnsi="Arial" w:cs="Arial"/>
                <w:sz w:val="14"/>
                <w:szCs w:val="14"/>
                <w:lang w:eastAsia="es-AR"/>
              </w:rPr>
              <w:t>.</w:t>
            </w:r>
            <w:r>
              <w:rPr>
                <w:rFonts w:ascii="Arial" w:hAnsi="Arial" w:cs="Arial"/>
                <w:sz w:val="14"/>
                <w:szCs w:val="14"/>
                <w:lang w:eastAsia="es-AR"/>
              </w:rPr>
              <w:t>109</w:t>
            </w:r>
          </w:p>
        </w:tc>
        <w:tc>
          <w:tcPr>
            <w:tcW w:w="850" w:type="dxa"/>
            <w:tcBorders>
              <w:top w:val="single" w:sz="4" w:space="0" w:color="auto"/>
              <w:left w:val="nil"/>
              <w:bottom w:val="nil"/>
              <w:right w:val="nil"/>
            </w:tcBorders>
            <w:shd w:val="clear" w:color="auto" w:fill="auto"/>
            <w:noWrap/>
            <w:vAlign w:val="bottom"/>
            <w:hideMark/>
          </w:tcPr>
          <w:p w14:paraId="173E186B" w14:textId="3AF12764"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20</w:t>
            </w:r>
            <w:r w:rsidRPr="00E81272">
              <w:rPr>
                <w:rFonts w:ascii="Arial" w:hAnsi="Arial" w:cs="Arial"/>
                <w:sz w:val="14"/>
                <w:szCs w:val="14"/>
                <w:lang w:eastAsia="es-AR"/>
              </w:rPr>
              <w:t>.</w:t>
            </w:r>
            <w:r>
              <w:rPr>
                <w:rFonts w:ascii="Arial" w:hAnsi="Arial" w:cs="Arial"/>
                <w:sz w:val="14"/>
                <w:szCs w:val="14"/>
                <w:lang w:eastAsia="es-AR"/>
              </w:rPr>
              <w:t>882</w:t>
            </w:r>
            <w:r w:rsidRPr="00E81272">
              <w:rPr>
                <w:rFonts w:ascii="Arial" w:hAnsi="Arial" w:cs="Arial"/>
                <w:sz w:val="14"/>
                <w:szCs w:val="14"/>
                <w:lang w:eastAsia="es-AR"/>
              </w:rPr>
              <w:t>.</w:t>
            </w:r>
            <w:r>
              <w:rPr>
                <w:rFonts w:ascii="Arial" w:hAnsi="Arial" w:cs="Arial"/>
                <w:sz w:val="14"/>
                <w:szCs w:val="14"/>
                <w:lang w:eastAsia="es-AR"/>
              </w:rPr>
              <w:t>952</w:t>
            </w:r>
          </w:p>
        </w:tc>
      </w:tr>
      <w:tr w:rsidR="00CF5CA1" w:rsidRPr="00E81272" w14:paraId="66D06104" w14:textId="77777777" w:rsidTr="003C381B">
        <w:trPr>
          <w:trHeight w:val="106"/>
        </w:trPr>
        <w:tc>
          <w:tcPr>
            <w:tcW w:w="2401" w:type="dxa"/>
            <w:tcBorders>
              <w:top w:val="nil"/>
              <w:left w:val="nil"/>
              <w:bottom w:val="nil"/>
              <w:right w:val="nil"/>
            </w:tcBorders>
            <w:shd w:val="clear" w:color="auto" w:fill="auto"/>
            <w:hideMark/>
          </w:tcPr>
          <w:p w14:paraId="36A95A7D" w14:textId="77777777" w:rsidR="00CF5CA1" w:rsidRPr="00E81272" w:rsidRDefault="00CF5CA1" w:rsidP="00CF5CA1">
            <w:pPr>
              <w:rPr>
                <w:rFonts w:ascii="Arial" w:hAnsi="Arial" w:cs="Arial"/>
                <w:sz w:val="14"/>
                <w:szCs w:val="14"/>
                <w:lang w:eastAsia="es-AR"/>
              </w:rPr>
            </w:pPr>
          </w:p>
        </w:tc>
        <w:tc>
          <w:tcPr>
            <w:tcW w:w="567" w:type="dxa"/>
            <w:tcBorders>
              <w:top w:val="nil"/>
              <w:left w:val="nil"/>
              <w:bottom w:val="nil"/>
              <w:right w:val="nil"/>
            </w:tcBorders>
            <w:shd w:val="clear" w:color="auto" w:fill="auto"/>
            <w:noWrap/>
            <w:hideMark/>
          </w:tcPr>
          <w:p w14:paraId="1A014800" w14:textId="77777777" w:rsidR="00CF5CA1" w:rsidRPr="00E81272" w:rsidRDefault="00CF5CA1" w:rsidP="00CF5CA1">
            <w:pPr>
              <w:rPr>
                <w:sz w:val="14"/>
                <w:szCs w:val="14"/>
                <w:lang w:eastAsia="es-AR"/>
              </w:rPr>
            </w:pPr>
          </w:p>
        </w:tc>
        <w:tc>
          <w:tcPr>
            <w:tcW w:w="992" w:type="dxa"/>
            <w:tcBorders>
              <w:top w:val="nil"/>
              <w:left w:val="nil"/>
              <w:bottom w:val="nil"/>
              <w:right w:val="nil"/>
            </w:tcBorders>
            <w:shd w:val="clear" w:color="auto" w:fill="auto"/>
            <w:noWrap/>
            <w:vAlign w:val="bottom"/>
            <w:hideMark/>
          </w:tcPr>
          <w:p w14:paraId="3E33F2A1" w14:textId="77777777" w:rsidR="00CF5CA1" w:rsidRPr="00E81272" w:rsidRDefault="00CF5CA1" w:rsidP="00CF5CA1">
            <w:pPr>
              <w:jc w:val="right"/>
              <w:rPr>
                <w:sz w:val="14"/>
                <w:szCs w:val="14"/>
                <w:lang w:eastAsia="es-AR"/>
              </w:rPr>
            </w:pPr>
          </w:p>
        </w:tc>
        <w:tc>
          <w:tcPr>
            <w:tcW w:w="1134" w:type="dxa"/>
            <w:tcBorders>
              <w:top w:val="nil"/>
              <w:left w:val="nil"/>
              <w:bottom w:val="nil"/>
              <w:right w:val="nil"/>
            </w:tcBorders>
          </w:tcPr>
          <w:p w14:paraId="69EFE107" w14:textId="77777777" w:rsidR="00CF5CA1" w:rsidRPr="00E81272" w:rsidRDefault="00CF5CA1" w:rsidP="00CF5CA1">
            <w:pPr>
              <w:jc w:val="right"/>
              <w:rPr>
                <w:sz w:val="14"/>
                <w:szCs w:val="14"/>
                <w:lang w:eastAsia="es-AR"/>
              </w:rPr>
            </w:pPr>
          </w:p>
        </w:tc>
        <w:tc>
          <w:tcPr>
            <w:tcW w:w="992" w:type="dxa"/>
            <w:tcBorders>
              <w:top w:val="nil"/>
              <w:left w:val="nil"/>
              <w:bottom w:val="nil"/>
              <w:right w:val="nil"/>
            </w:tcBorders>
          </w:tcPr>
          <w:p w14:paraId="3298C1E1" w14:textId="77777777" w:rsidR="00CF5CA1" w:rsidRPr="00E81272" w:rsidRDefault="00CF5CA1" w:rsidP="00CF5CA1">
            <w:pPr>
              <w:jc w:val="right"/>
              <w:rPr>
                <w:sz w:val="14"/>
                <w:szCs w:val="14"/>
                <w:lang w:eastAsia="es-AR"/>
              </w:rPr>
            </w:pPr>
          </w:p>
        </w:tc>
        <w:tc>
          <w:tcPr>
            <w:tcW w:w="926" w:type="dxa"/>
            <w:tcBorders>
              <w:top w:val="nil"/>
              <w:left w:val="nil"/>
              <w:bottom w:val="nil"/>
              <w:right w:val="nil"/>
            </w:tcBorders>
            <w:shd w:val="clear" w:color="auto" w:fill="auto"/>
            <w:noWrap/>
            <w:vAlign w:val="bottom"/>
            <w:hideMark/>
          </w:tcPr>
          <w:p w14:paraId="2952A3A4" w14:textId="77777777" w:rsidR="00CF5CA1" w:rsidRPr="00E81272" w:rsidRDefault="00CF5CA1" w:rsidP="00CF5CA1">
            <w:pPr>
              <w:jc w:val="right"/>
              <w:rPr>
                <w:sz w:val="14"/>
                <w:szCs w:val="14"/>
                <w:lang w:eastAsia="es-AR"/>
              </w:rPr>
            </w:pPr>
          </w:p>
        </w:tc>
        <w:tc>
          <w:tcPr>
            <w:tcW w:w="776" w:type="dxa"/>
            <w:tcBorders>
              <w:top w:val="nil"/>
              <w:left w:val="nil"/>
              <w:bottom w:val="nil"/>
              <w:right w:val="nil"/>
            </w:tcBorders>
            <w:shd w:val="clear" w:color="auto" w:fill="auto"/>
            <w:noWrap/>
            <w:vAlign w:val="bottom"/>
            <w:hideMark/>
          </w:tcPr>
          <w:p w14:paraId="625C8851" w14:textId="77777777" w:rsidR="00CF5CA1" w:rsidRPr="00E81272" w:rsidRDefault="00CF5CA1" w:rsidP="00CF5CA1">
            <w:pPr>
              <w:jc w:val="right"/>
              <w:rPr>
                <w:sz w:val="14"/>
                <w:szCs w:val="14"/>
                <w:lang w:eastAsia="es-AR"/>
              </w:rPr>
            </w:pPr>
          </w:p>
        </w:tc>
        <w:tc>
          <w:tcPr>
            <w:tcW w:w="783" w:type="dxa"/>
            <w:tcBorders>
              <w:top w:val="nil"/>
              <w:left w:val="nil"/>
              <w:bottom w:val="nil"/>
              <w:right w:val="nil"/>
            </w:tcBorders>
            <w:shd w:val="clear" w:color="auto" w:fill="auto"/>
            <w:noWrap/>
            <w:vAlign w:val="bottom"/>
            <w:hideMark/>
          </w:tcPr>
          <w:p w14:paraId="12E67F0B" w14:textId="77777777" w:rsidR="00CF5CA1" w:rsidRPr="00E81272" w:rsidRDefault="00CF5CA1" w:rsidP="00CF5CA1">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2FA486E3" w14:textId="77777777" w:rsidR="00CF5CA1" w:rsidRPr="00E81272" w:rsidRDefault="00CF5CA1" w:rsidP="00CF5CA1">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55D78DA7" w14:textId="77777777" w:rsidR="00CF5CA1" w:rsidRPr="00E81272" w:rsidRDefault="00CF5CA1" w:rsidP="00CF5CA1">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49621BAE" w14:textId="77777777" w:rsidR="00CF5CA1" w:rsidRPr="00E81272" w:rsidRDefault="00CF5CA1" w:rsidP="00CF5CA1">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53CCBE26" w14:textId="77777777" w:rsidR="00CF5CA1" w:rsidRPr="00E81272" w:rsidRDefault="00CF5CA1" w:rsidP="00CF5CA1">
            <w:pPr>
              <w:jc w:val="right"/>
              <w:rPr>
                <w:sz w:val="14"/>
                <w:szCs w:val="14"/>
                <w:lang w:eastAsia="es-AR"/>
              </w:rPr>
            </w:pPr>
          </w:p>
        </w:tc>
        <w:tc>
          <w:tcPr>
            <w:tcW w:w="850" w:type="dxa"/>
            <w:tcBorders>
              <w:top w:val="nil"/>
              <w:left w:val="nil"/>
              <w:bottom w:val="nil"/>
              <w:right w:val="nil"/>
            </w:tcBorders>
            <w:shd w:val="clear" w:color="auto" w:fill="auto"/>
            <w:noWrap/>
            <w:vAlign w:val="bottom"/>
            <w:hideMark/>
          </w:tcPr>
          <w:p w14:paraId="70A78CC5" w14:textId="77777777" w:rsidR="00CF5CA1" w:rsidRPr="00E81272" w:rsidRDefault="00CF5CA1" w:rsidP="00CF5CA1">
            <w:pPr>
              <w:jc w:val="right"/>
              <w:rPr>
                <w:sz w:val="14"/>
                <w:szCs w:val="14"/>
                <w:lang w:eastAsia="es-AR"/>
              </w:rPr>
            </w:pPr>
          </w:p>
        </w:tc>
      </w:tr>
      <w:tr w:rsidR="00CF5CA1" w:rsidRPr="00E81272" w14:paraId="57B69E33" w14:textId="77777777" w:rsidTr="003C381B">
        <w:trPr>
          <w:trHeight w:val="217"/>
        </w:trPr>
        <w:tc>
          <w:tcPr>
            <w:tcW w:w="2401" w:type="dxa"/>
            <w:tcBorders>
              <w:top w:val="nil"/>
              <w:left w:val="nil"/>
              <w:bottom w:val="nil"/>
              <w:right w:val="nil"/>
            </w:tcBorders>
            <w:shd w:val="clear" w:color="auto" w:fill="auto"/>
            <w:hideMark/>
          </w:tcPr>
          <w:p w14:paraId="6326D59B" w14:textId="77777777" w:rsidR="00CF5CA1" w:rsidRPr="00E81272" w:rsidRDefault="00CF5CA1" w:rsidP="00CF5CA1">
            <w:pPr>
              <w:rPr>
                <w:rFonts w:ascii="Arial" w:hAnsi="Arial" w:cs="Arial"/>
                <w:b/>
                <w:bCs/>
                <w:sz w:val="14"/>
                <w:szCs w:val="14"/>
                <w:lang w:eastAsia="es-AR"/>
              </w:rPr>
            </w:pPr>
            <w:r w:rsidRPr="00E81272">
              <w:rPr>
                <w:rFonts w:ascii="Arial" w:hAnsi="Arial" w:cs="Arial"/>
                <w:b/>
                <w:bCs/>
                <w:sz w:val="14"/>
                <w:szCs w:val="14"/>
                <w:lang w:eastAsia="es-AR"/>
              </w:rPr>
              <w:t>Resultado total integral del período</w:t>
            </w:r>
          </w:p>
        </w:tc>
        <w:tc>
          <w:tcPr>
            <w:tcW w:w="567" w:type="dxa"/>
            <w:tcBorders>
              <w:top w:val="nil"/>
              <w:left w:val="nil"/>
              <w:bottom w:val="nil"/>
              <w:right w:val="nil"/>
            </w:tcBorders>
            <w:shd w:val="clear" w:color="auto" w:fill="auto"/>
            <w:noWrap/>
            <w:hideMark/>
          </w:tcPr>
          <w:p w14:paraId="63DD7E83" w14:textId="77777777" w:rsidR="00CF5CA1" w:rsidRPr="00E81272" w:rsidRDefault="00CF5CA1" w:rsidP="00CF5CA1">
            <w:pPr>
              <w:rPr>
                <w:rFonts w:ascii="Arial" w:hAnsi="Arial" w:cs="Arial"/>
                <w:b/>
                <w:bCs/>
                <w:sz w:val="14"/>
                <w:szCs w:val="14"/>
                <w:lang w:eastAsia="es-AR"/>
              </w:rPr>
            </w:pPr>
          </w:p>
        </w:tc>
        <w:tc>
          <w:tcPr>
            <w:tcW w:w="992" w:type="dxa"/>
            <w:tcBorders>
              <w:top w:val="nil"/>
              <w:left w:val="nil"/>
              <w:bottom w:val="nil"/>
              <w:right w:val="nil"/>
            </w:tcBorders>
            <w:shd w:val="clear" w:color="auto" w:fill="auto"/>
            <w:noWrap/>
            <w:vAlign w:val="bottom"/>
            <w:hideMark/>
          </w:tcPr>
          <w:p w14:paraId="434B5450" w14:textId="77777777" w:rsidR="00CF5CA1" w:rsidRPr="00E81272" w:rsidRDefault="00CF5CA1" w:rsidP="00CF5CA1">
            <w:pPr>
              <w:jc w:val="right"/>
              <w:rPr>
                <w:sz w:val="14"/>
                <w:szCs w:val="14"/>
                <w:lang w:eastAsia="es-AR"/>
              </w:rPr>
            </w:pPr>
          </w:p>
        </w:tc>
        <w:tc>
          <w:tcPr>
            <w:tcW w:w="1134" w:type="dxa"/>
            <w:tcBorders>
              <w:top w:val="nil"/>
              <w:left w:val="nil"/>
              <w:bottom w:val="nil"/>
              <w:right w:val="nil"/>
            </w:tcBorders>
          </w:tcPr>
          <w:p w14:paraId="3BEE4A0B" w14:textId="77777777" w:rsidR="00CF5CA1" w:rsidRPr="00E81272" w:rsidRDefault="00CF5CA1" w:rsidP="00CF5CA1">
            <w:pPr>
              <w:jc w:val="right"/>
              <w:rPr>
                <w:sz w:val="14"/>
                <w:szCs w:val="14"/>
                <w:lang w:eastAsia="es-AR"/>
              </w:rPr>
            </w:pPr>
          </w:p>
        </w:tc>
        <w:tc>
          <w:tcPr>
            <w:tcW w:w="992" w:type="dxa"/>
            <w:tcBorders>
              <w:top w:val="nil"/>
              <w:left w:val="nil"/>
              <w:bottom w:val="nil"/>
              <w:right w:val="nil"/>
            </w:tcBorders>
          </w:tcPr>
          <w:p w14:paraId="3F9B5EB0" w14:textId="77777777" w:rsidR="00CF5CA1" w:rsidRPr="00E81272" w:rsidRDefault="00CF5CA1" w:rsidP="00CF5CA1">
            <w:pPr>
              <w:jc w:val="right"/>
              <w:rPr>
                <w:sz w:val="14"/>
                <w:szCs w:val="14"/>
                <w:lang w:eastAsia="es-AR"/>
              </w:rPr>
            </w:pPr>
          </w:p>
        </w:tc>
        <w:tc>
          <w:tcPr>
            <w:tcW w:w="926" w:type="dxa"/>
            <w:tcBorders>
              <w:top w:val="nil"/>
              <w:left w:val="nil"/>
              <w:bottom w:val="nil"/>
              <w:right w:val="nil"/>
            </w:tcBorders>
            <w:shd w:val="clear" w:color="auto" w:fill="auto"/>
            <w:noWrap/>
            <w:vAlign w:val="bottom"/>
            <w:hideMark/>
          </w:tcPr>
          <w:p w14:paraId="468C65D8" w14:textId="77777777" w:rsidR="00CF5CA1" w:rsidRPr="00E81272" w:rsidRDefault="00CF5CA1" w:rsidP="00CF5CA1">
            <w:pPr>
              <w:jc w:val="right"/>
              <w:rPr>
                <w:sz w:val="14"/>
                <w:szCs w:val="14"/>
                <w:lang w:eastAsia="es-AR"/>
              </w:rPr>
            </w:pPr>
          </w:p>
        </w:tc>
        <w:tc>
          <w:tcPr>
            <w:tcW w:w="776" w:type="dxa"/>
            <w:tcBorders>
              <w:top w:val="nil"/>
              <w:left w:val="nil"/>
              <w:bottom w:val="nil"/>
              <w:right w:val="nil"/>
            </w:tcBorders>
            <w:shd w:val="clear" w:color="auto" w:fill="auto"/>
            <w:noWrap/>
            <w:vAlign w:val="bottom"/>
            <w:hideMark/>
          </w:tcPr>
          <w:p w14:paraId="132BFC7E" w14:textId="77777777" w:rsidR="00CF5CA1" w:rsidRPr="00E81272" w:rsidRDefault="00CF5CA1" w:rsidP="00CF5CA1">
            <w:pPr>
              <w:jc w:val="right"/>
              <w:rPr>
                <w:sz w:val="14"/>
                <w:szCs w:val="14"/>
                <w:lang w:eastAsia="es-AR"/>
              </w:rPr>
            </w:pPr>
          </w:p>
        </w:tc>
        <w:tc>
          <w:tcPr>
            <w:tcW w:w="783" w:type="dxa"/>
            <w:tcBorders>
              <w:top w:val="nil"/>
              <w:left w:val="nil"/>
              <w:bottom w:val="nil"/>
              <w:right w:val="nil"/>
            </w:tcBorders>
            <w:shd w:val="clear" w:color="auto" w:fill="auto"/>
            <w:noWrap/>
            <w:vAlign w:val="bottom"/>
            <w:hideMark/>
          </w:tcPr>
          <w:p w14:paraId="19822C44" w14:textId="77777777" w:rsidR="00CF5CA1" w:rsidRPr="00E81272" w:rsidRDefault="00CF5CA1" w:rsidP="00CF5CA1">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31E8F2EA" w14:textId="77777777" w:rsidR="00CF5CA1" w:rsidRPr="00E81272" w:rsidRDefault="00CF5CA1" w:rsidP="00CF5CA1">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50BBB60D" w14:textId="77777777" w:rsidR="00CF5CA1" w:rsidRPr="00E81272" w:rsidRDefault="00CF5CA1" w:rsidP="00CF5CA1">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4C43EFA8" w14:textId="77777777" w:rsidR="00CF5CA1" w:rsidRPr="00E81272" w:rsidRDefault="00CF5CA1" w:rsidP="00CF5CA1">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654DDF30" w14:textId="77777777" w:rsidR="00CF5CA1" w:rsidRPr="00E81272" w:rsidRDefault="00CF5CA1" w:rsidP="00CF5CA1">
            <w:pPr>
              <w:jc w:val="right"/>
              <w:rPr>
                <w:sz w:val="14"/>
                <w:szCs w:val="14"/>
                <w:lang w:eastAsia="es-AR"/>
              </w:rPr>
            </w:pPr>
          </w:p>
        </w:tc>
        <w:tc>
          <w:tcPr>
            <w:tcW w:w="850" w:type="dxa"/>
            <w:tcBorders>
              <w:top w:val="nil"/>
              <w:left w:val="nil"/>
              <w:bottom w:val="nil"/>
              <w:right w:val="nil"/>
            </w:tcBorders>
            <w:shd w:val="clear" w:color="auto" w:fill="auto"/>
            <w:noWrap/>
            <w:vAlign w:val="bottom"/>
            <w:hideMark/>
          </w:tcPr>
          <w:p w14:paraId="77782880" w14:textId="77777777" w:rsidR="00CF5CA1" w:rsidRPr="00E81272" w:rsidRDefault="00CF5CA1" w:rsidP="00CF5CA1">
            <w:pPr>
              <w:jc w:val="right"/>
              <w:rPr>
                <w:sz w:val="14"/>
                <w:szCs w:val="14"/>
                <w:lang w:eastAsia="es-AR"/>
              </w:rPr>
            </w:pPr>
          </w:p>
        </w:tc>
      </w:tr>
      <w:tr w:rsidR="00CF5CA1" w:rsidRPr="0070190A" w14:paraId="1E14E43A" w14:textId="77777777" w:rsidTr="003C381B">
        <w:trPr>
          <w:trHeight w:val="223"/>
        </w:trPr>
        <w:tc>
          <w:tcPr>
            <w:tcW w:w="2401" w:type="dxa"/>
            <w:tcBorders>
              <w:top w:val="nil"/>
              <w:left w:val="nil"/>
              <w:bottom w:val="nil"/>
              <w:right w:val="nil"/>
            </w:tcBorders>
            <w:shd w:val="clear" w:color="auto" w:fill="auto"/>
            <w:hideMark/>
          </w:tcPr>
          <w:p w14:paraId="13DFF35B" w14:textId="77777777" w:rsidR="00CF5CA1" w:rsidRPr="00E81272" w:rsidRDefault="00CF5CA1" w:rsidP="00CF5CA1">
            <w:pPr>
              <w:rPr>
                <w:rFonts w:ascii="Arial" w:hAnsi="Arial" w:cs="Arial"/>
                <w:sz w:val="14"/>
                <w:szCs w:val="14"/>
                <w:lang w:eastAsia="es-AR"/>
              </w:rPr>
            </w:pPr>
            <w:r w:rsidRPr="00E81272">
              <w:rPr>
                <w:rFonts w:ascii="Arial" w:hAnsi="Arial" w:cs="Arial"/>
                <w:sz w:val="14"/>
                <w:szCs w:val="14"/>
                <w:lang w:eastAsia="es-AR"/>
              </w:rPr>
              <w:t>- Resultado neto del período</w:t>
            </w:r>
          </w:p>
        </w:tc>
        <w:tc>
          <w:tcPr>
            <w:tcW w:w="567" w:type="dxa"/>
            <w:tcBorders>
              <w:top w:val="nil"/>
              <w:left w:val="nil"/>
              <w:bottom w:val="nil"/>
              <w:right w:val="nil"/>
            </w:tcBorders>
            <w:shd w:val="clear" w:color="auto" w:fill="auto"/>
            <w:noWrap/>
            <w:hideMark/>
          </w:tcPr>
          <w:p w14:paraId="1187A1F5" w14:textId="77777777" w:rsidR="00CF5CA1" w:rsidRPr="00E81272" w:rsidRDefault="00CF5CA1" w:rsidP="00CF5CA1">
            <w:pPr>
              <w:rPr>
                <w:rFonts w:ascii="Arial" w:hAnsi="Arial" w:cs="Arial"/>
                <w:sz w:val="14"/>
                <w:szCs w:val="14"/>
                <w:lang w:eastAsia="es-AR"/>
              </w:rPr>
            </w:pPr>
          </w:p>
        </w:tc>
        <w:tc>
          <w:tcPr>
            <w:tcW w:w="992" w:type="dxa"/>
            <w:tcBorders>
              <w:top w:val="nil"/>
              <w:left w:val="nil"/>
              <w:bottom w:val="nil"/>
              <w:right w:val="nil"/>
            </w:tcBorders>
            <w:shd w:val="clear" w:color="auto" w:fill="auto"/>
            <w:noWrap/>
            <w:vAlign w:val="center"/>
            <w:hideMark/>
          </w:tcPr>
          <w:p w14:paraId="1B5CFAD0"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590EC9FD"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tcPr>
          <w:p w14:paraId="2767D33E" w14:textId="77777777" w:rsidR="00CF5CA1" w:rsidRPr="005A1F48" w:rsidRDefault="00CF5CA1" w:rsidP="00CF5CA1">
            <w:pPr>
              <w:jc w:val="right"/>
              <w:rPr>
                <w:rFonts w:ascii="Arial" w:hAnsi="Arial" w:cs="Arial"/>
                <w:sz w:val="14"/>
                <w:szCs w:val="14"/>
              </w:rPr>
            </w:pPr>
          </w:p>
        </w:tc>
        <w:tc>
          <w:tcPr>
            <w:tcW w:w="926" w:type="dxa"/>
            <w:tcBorders>
              <w:top w:val="nil"/>
              <w:left w:val="nil"/>
              <w:bottom w:val="nil"/>
              <w:right w:val="nil"/>
            </w:tcBorders>
            <w:shd w:val="clear" w:color="auto" w:fill="auto"/>
            <w:noWrap/>
            <w:vAlign w:val="center"/>
          </w:tcPr>
          <w:p w14:paraId="551FAD51" w14:textId="7777777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 </w:t>
            </w:r>
          </w:p>
        </w:tc>
        <w:tc>
          <w:tcPr>
            <w:tcW w:w="776" w:type="dxa"/>
            <w:tcBorders>
              <w:top w:val="nil"/>
              <w:left w:val="nil"/>
              <w:bottom w:val="nil"/>
              <w:right w:val="nil"/>
            </w:tcBorders>
            <w:shd w:val="clear" w:color="auto" w:fill="auto"/>
            <w:noWrap/>
            <w:vAlign w:val="center"/>
          </w:tcPr>
          <w:p w14:paraId="3B48D451" w14:textId="7777777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 </w:t>
            </w:r>
          </w:p>
        </w:tc>
        <w:tc>
          <w:tcPr>
            <w:tcW w:w="783" w:type="dxa"/>
            <w:tcBorders>
              <w:top w:val="nil"/>
              <w:left w:val="nil"/>
              <w:bottom w:val="nil"/>
              <w:right w:val="nil"/>
            </w:tcBorders>
            <w:shd w:val="clear" w:color="auto" w:fill="auto"/>
            <w:noWrap/>
            <w:vAlign w:val="center"/>
          </w:tcPr>
          <w:p w14:paraId="740603BC" w14:textId="7777777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 </w:t>
            </w:r>
          </w:p>
        </w:tc>
        <w:tc>
          <w:tcPr>
            <w:tcW w:w="851" w:type="dxa"/>
            <w:tcBorders>
              <w:top w:val="nil"/>
              <w:left w:val="nil"/>
              <w:bottom w:val="nil"/>
              <w:right w:val="nil"/>
            </w:tcBorders>
            <w:shd w:val="clear" w:color="auto" w:fill="auto"/>
            <w:noWrap/>
            <w:vAlign w:val="center"/>
          </w:tcPr>
          <w:p w14:paraId="25CA3B1C" w14:textId="7777777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 </w:t>
            </w:r>
          </w:p>
        </w:tc>
        <w:tc>
          <w:tcPr>
            <w:tcW w:w="992" w:type="dxa"/>
            <w:tcBorders>
              <w:top w:val="nil"/>
              <w:left w:val="nil"/>
              <w:bottom w:val="nil"/>
              <w:right w:val="nil"/>
            </w:tcBorders>
            <w:shd w:val="clear" w:color="auto" w:fill="auto"/>
            <w:noWrap/>
            <w:vAlign w:val="center"/>
          </w:tcPr>
          <w:p w14:paraId="5A4A65BB" w14:textId="5249DE71"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w:t>
            </w:r>
            <w:r w:rsidRPr="005A1F48">
              <w:rPr>
                <w:rFonts w:ascii="Arial" w:hAnsi="Arial" w:cs="Arial"/>
                <w:sz w:val="14"/>
                <w:szCs w:val="14"/>
              </w:rPr>
              <w:t>1.</w:t>
            </w:r>
            <w:r>
              <w:rPr>
                <w:rFonts w:ascii="Arial" w:hAnsi="Arial" w:cs="Arial"/>
                <w:sz w:val="14"/>
                <w:szCs w:val="14"/>
              </w:rPr>
              <w:t>328</w:t>
            </w:r>
            <w:r w:rsidRPr="005A1F48">
              <w:rPr>
                <w:rFonts w:ascii="Arial" w:hAnsi="Arial" w:cs="Arial"/>
                <w:sz w:val="14"/>
                <w:szCs w:val="14"/>
              </w:rPr>
              <w:t>.</w:t>
            </w:r>
            <w:r>
              <w:rPr>
                <w:rFonts w:ascii="Arial" w:hAnsi="Arial" w:cs="Arial"/>
                <w:sz w:val="14"/>
                <w:szCs w:val="14"/>
              </w:rPr>
              <w:t>494</w:t>
            </w:r>
            <w:r w:rsidRPr="005A1F48">
              <w:rPr>
                <w:rFonts w:ascii="Arial" w:hAnsi="Arial" w:cs="Arial"/>
                <w:sz w:val="14"/>
                <w:szCs w:val="14"/>
              </w:rPr>
              <w:t xml:space="preserve"> </w:t>
            </w:r>
          </w:p>
        </w:tc>
        <w:tc>
          <w:tcPr>
            <w:tcW w:w="992" w:type="dxa"/>
            <w:tcBorders>
              <w:top w:val="nil"/>
              <w:left w:val="nil"/>
              <w:bottom w:val="nil"/>
              <w:right w:val="nil"/>
            </w:tcBorders>
            <w:shd w:val="clear" w:color="auto" w:fill="auto"/>
            <w:noWrap/>
            <w:vAlign w:val="center"/>
          </w:tcPr>
          <w:p w14:paraId="732D987D" w14:textId="7C0CDEE1"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w:t>
            </w:r>
            <w:r w:rsidRPr="005A1F48">
              <w:rPr>
                <w:rFonts w:ascii="Arial" w:hAnsi="Arial" w:cs="Arial"/>
                <w:sz w:val="14"/>
                <w:szCs w:val="14"/>
              </w:rPr>
              <w:t>1.</w:t>
            </w:r>
            <w:r>
              <w:rPr>
                <w:rFonts w:ascii="Arial" w:hAnsi="Arial" w:cs="Arial"/>
                <w:sz w:val="14"/>
                <w:szCs w:val="14"/>
              </w:rPr>
              <w:t>328</w:t>
            </w:r>
            <w:r w:rsidRPr="005A1F48">
              <w:rPr>
                <w:rFonts w:ascii="Arial" w:hAnsi="Arial" w:cs="Arial"/>
                <w:sz w:val="14"/>
                <w:szCs w:val="14"/>
              </w:rPr>
              <w:t>.</w:t>
            </w:r>
            <w:r>
              <w:rPr>
                <w:rFonts w:ascii="Arial" w:hAnsi="Arial" w:cs="Arial"/>
                <w:sz w:val="14"/>
                <w:szCs w:val="14"/>
              </w:rPr>
              <w:t>494</w:t>
            </w:r>
            <w:r w:rsidRPr="005A1F48">
              <w:rPr>
                <w:rFonts w:ascii="Arial" w:hAnsi="Arial" w:cs="Arial"/>
                <w:sz w:val="14"/>
                <w:szCs w:val="14"/>
              </w:rPr>
              <w:t xml:space="preserve"> </w:t>
            </w:r>
          </w:p>
        </w:tc>
        <w:tc>
          <w:tcPr>
            <w:tcW w:w="851" w:type="dxa"/>
            <w:tcBorders>
              <w:top w:val="nil"/>
              <w:left w:val="nil"/>
              <w:bottom w:val="nil"/>
              <w:right w:val="nil"/>
            </w:tcBorders>
            <w:shd w:val="clear" w:color="auto" w:fill="auto"/>
            <w:noWrap/>
            <w:vAlign w:val="center"/>
          </w:tcPr>
          <w:p w14:paraId="373FE048" w14:textId="639EA69D"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w:t>
            </w:r>
            <w:r w:rsidRPr="005A1F48">
              <w:rPr>
                <w:rFonts w:ascii="Arial" w:hAnsi="Arial" w:cs="Arial"/>
                <w:sz w:val="14"/>
                <w:szCs w:val="14"/>
              </w:rPr>
              <w:t>3</w:t>
            </w:r>
            <w:r>
              <w:rPr>
                <w:rFonts w:ascii="Arial" w:hAnsi="Arial" w:cs="Arial"/>
                <w:sz w:val="14"/>
                <w:szCs w:val="14"/>
              </w:rPr>
              <w:t>3</w:t>
            </w:r>
            <w:r w:rsidRPr="005A1F48">
              <w:rPr>
                <w:rFonts w:ascii="Arial" w:hAnsi="Arial" w:cs="Arial"/>
                <w:sz w:val="14"/>
                <w:szCs w:val="14"/>
              </w:rPr>
              <w:t>.</w:t>
            </w:r>
            <w:r>
              <w:rPr>
                <w:rFonts w:ascii="Arial" w:hAnsi="Arial" w:cs="Arial"/>
                <w:sz w:val="14"/>
                <w:szCs w:val="14"/>
              </w:rPr>
              <w:t>862</w:t>
            </w:r>
            <w:r w:rsidRPr="005A1F48">
              <w:rPr>
                <w:rFonts w:ascii="Arial" w:hAnsi="Arial" w:cs="Arial"/>
                <w:sz w:val="14"/>
                <w:szCs w:val="14"/>
              </w:rPr>
              <w:t xml:space="preserve"> </w:t>
            </w:r>
          </w:p>
        </w:tc>
        <w:tc>
          <w:tcPr>
            <w:tcW w:w="850" w:type="dxa"/>
            <w:tcBorders>
              <w:top w:val="nil"/>
              <w:left w:val="nil"/>
              <w:bottom w:val="nil"/>
              <w:right w:val="nil"/>
            </w:tcBorders>
            <w:shd w:val="clear" w:color="auto" w:fill="auto"/>
            <w:noWrap/>
            <w:vAlign w:val="center"/>
          </w:tcPr>
          <w:p w14:paraId="288C0126" w14:textId="231015D6"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w:t>
            </w:r>
            <w:r w:rsidRPr="005A1F48">
              <w:rPr>
                <w:rFonts w:ascii="Arial" w:hAnsi="Arial" w:cs="Arial"/>
                <w:sz w:val="14"/>
                <w:szCs w:val="14"/>
              </w:rPr>
              <w:t>1.3</w:t>
            </w:r>
            <w:r>
              <w:rPr>
                <w:rFonts w:ascii="Arial" w:hAnsi="Arial" w:cs="Arial"/>
                <w:sz w:val="14"/>
                <w:szCs w:val="14"/>
              </w:rPr>
              <w:t>62</w:t>
            </w:r>
            <w:r w:rsidRPr="005A1F48">
              <w:rPr>
                <w:rFonts w:ascii="Arial" w:hAnsi="Arial" w:cs="Arial"/>
                <w:sz w:val="14"/>
                <w:szCs w:val="14"/>
              </w:rPr>
              <w:t>.</w:t>
            </w:r>
            <w:r>
              <w:rPr>
                <w:rFonts w:ascii="Arial" w:hAnsi="Arial" w:cs="Arial"/>
                <w:sz w:val="14"/>
                <w:szCs w:val="14"/>
              </w:rPr>
              <w:t>356</w:t>
            </w:r>
            <w:r w:rsidRPr="005A1F48">
              <w:rPr>
                <w:rFonts w:ascii="Arial" w:hAnsi="Arial" w:cs="Arial"/>
                <w:sz w:val="14"/>
                <w:szCs w:val="14"/>
              </w:rPr>
              <w:t xml:space="preserve"> </w:t>
            </w:r>
          </w:p>
        </w:tc>
      </w:tr>
      <w:tr w:rsidR="00CF5CA1" w:rsidRPr="0070190A" w14:paraId="41EE1DA4" w14:textId="77777777" w:rsidTr="003C381B">
        <w:trPr>
          <w:trHeight w:val="209"/>
        </w:trPr>
        <w:tc>
          <w:tcPr>
            <w:tcW w:w="2401" w:type="dxa"/>
            <w:tcBorders>
              <w:top w:val="nil"/>
              <w:left w:val="nil"/>
              <w:bottom w:val="nil"/>
              <w:right w:val="nil"/>
            </w:tcBorders>
            <w:shd w:val="clear" w:color="auto" w:fill="auto"/>
            <w:hideMark/>
          </w:tcPr>
          <w:p w14:paraId="22843B3F" w14:textId="77777777" w:rsidR="00CF5CA1" w:rsidRPr="00E81272" w:rsidRDefault="00CF5CA1" w:rsidP="00CF5CA1">
            <w:pPr>
              <w:rPr>
                <w:rFonts w:ascii="Arial" w:hAnsi="Arial" w:cs="Arial"/>
                <w:sz w:val="14"/>
                <w:szCs w:val="14"/>
                <w:lang w:eastAsia="es-AR"/>
              </w:rPr>
            </w:pPr>
            <w:r w:rsidRPr="00E81272">
              <w:rPr>
                <w:rFonts w:ascii="Arial" w:hAnsi="Arial" w:cs="Arial"/>
                <w:sz w:val="14"/>
                <w:szCs w:val="14"/>
                <w:lang w:eastAsia="es-AR"/>
              </w:rPr>
              <w:t>- Otro Resultado Integral del período</w:t>
            </w:r>
          </w:p>
        </w:tc>
        <w:tc>
          <w:tcPr>
            <w:tcW w:w="567" w:type="dxa"/>
            <w:tcBorders>
              <w:top w:val="nil"/>
              <w:left w:val="nil"/>
              <w:bottom w:val="nil"/>
              <w:right w:val="nil"/>
            </w:tcBorders>
            <w:shd w:val="clear" w:color="auto" w:fill="auto"/>
            <w:noWrap/>
            <w:hideMark/>
          </w:tcPr>
          <w:p w14:paraId="45E19FE0" w14:textId="77777777" w:rsidR="00CF5CA1" w:rsidRPr="00E81272" w:rsidRDefault="00CF5CA1" w:rsidP="00CF5CA1">
            <w:pPr>
              <w:rPr>
                <w:rFonts w:ascii="Arial" w:hAnsi="Arial" w:cs="Arial"/>
                <w:sz w:val="14"/>
                <w:szCs w:val="14"/>
                <w:lang w:eastAsia="es-AR"/>
              </w:rPr>
            </w:pPr>
          </w:p>
        </w:tc>
        <w:tc>
          <w:tcPr>
            <w:tcW w:w="992" w:type="dxa"/>
            <w:tcBorders>
              <w:top w:val="nil"/>
              <w:left w:val="nil"/>
              <w:bottom w:val="nil"/>
              <w:right w:val="nil"/>
            </w:tcBorders>
            <w:shd w:val="clear" w:color="auto" w:fill="auto"/>
            <w:noWrap/>
            <w:vAlign w:val="center"/>
            <w:hideMark/>
          </w:tcPr>
          <w:p w14:paraId="7BBF32DB"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710EFDA2"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tcPr>
          <w:p w14:paraId="67251647" w14:textId="77777777" w:rsidR="00CF5CA1" w:rsidRPr="005A1F48" w:rsidRDefault="00CF5CA1" w:rsidP="00CF5CA1">
            <w:pPr>
              <w:jc w:val="right"/>
              <w:rPr>
                <w:rFonts w:ascii="Arial" w:hAnsi="Arial" w:cs="Arial"/>
                <w:sz w:val="14"/>
                <w:szCs w:val="14"/>
              </w:rPr>
            </w:pPr>
          </w:p>
        </w:tc>
        <w:tc>
          <w:tcPr>
            <w:tcW w:w="926" w:type="dxa"/>
            <w:tcBorders>
              <w:top w:val="nil"/>
              <w:left w:val="nil"/>
              <w:bottom w:val="nil"/>
              <w:right w:val="nil"/>
            </w:tcBorders>
            <w:shd w:val="clear" w:color="auto" w:fill="auto"/>
            <w:noWrap/>
            <w:vAlign w:val="center"/>
          </w:tcPr>
          <w:p w14:paraId="14D48753" w14:textId="7469A90C"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w:t>
            </w:r>
          </w:p>
        </w:tc>
        <w:tc>
          <w:tcPr>
            <w:tcW w:w="776" w:type="dxa"/>
            <w:tcBorders>
              <w:top w:val="nil"/>
              <w:left w:val="nil"/>
              <w:bottom w:val="nil"/>
              <w:right w:val="nil"/>
            </w:tcBorders>
            <w:shd w:val="clear" w:color="auto" w:fill="auto"/>
            <w:noWrap/>
            <w:vAlign w:val="center"/>
          </w:tcPr>
          <w:p w14:paraId="38583359" w14:textId="6B7077EB" w:rsidR="00CF5CA1" w:rsidRPr="0070190A" w:rsidRDefault="00CF5CA1" w:rsidP="00CF5CA1">
            <w:pPr>
              <w:jc w:val="right"/>
              <w:rPr>
                <w:rFonts w:ascii="Arial" w:hAnsi="Arial" w:cs="Arial"/>
                <w:sz w:val="14"/>
                <w:szCs w:val="14"/>
                <w:lang w:eastAsia="es-AR"/>
              </w:rPr>
            </w:pPr>
            <w:r>
              <w:rPr>
                <w:rFonts w:ascii="Arial" w:hAnsi="Arial" w:cs="Arial"/>
                <w:sz w:val="14"/>
                <w:szCs w:val="14"/>
              </w:rPr>
              <w:t>-2.010</w:t>
            </w:r>
          </w:p>
        </w:tc>
        <w:tc>
          <w:tcPr>
            <w:tcW w:w="783" w:type="dxa"/>
            <w:tcBorders>
              <w:top w:val="nil"/>
              <w:left w:val="nil"/>
              <w:bottom w:val="nil"/>
              <w:right w:val="nil"/>
            </w:tcBorders>
            <w:shd w:val="clear" w:color="auto" w:fill="auto"/>
            <w:noWrap/>
            <w:vAlign w:val="center"/>
          </w:tcPr>
          <w:p w14:paraId="2AB6C004" w14:textId="7777777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 </w:t>
            </w:r>
          </w:p>
        </w:tc>
        <w:tc>
          <w:tcPr>
            <w:tcW w:w="851" w:type="dxa"/>
            <w:tcBorders>
              <w:top w:val="nil"/>
              <w:left w:val="nil"/>
              <w:bottom w:val="nil"/>
              <w:right w:val="nil"/>
            </w:tcBorders>
            <w:shd w:val="clear" w:color="auto" w:fill="auto"/>
            <w:noWrap/>
            <w:vAlign w:val="center"/>
          </w:tcPr>
          <w:p w14:paraId="3FF11565" w14:textId="7777777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 </w:t>
            </w:r>
          </w:p>
        </w:tc>
        <w:tc>
          <w:tcPr>
            <w:tcW w:w="992" w:type="dxa"/>
            <w:tcBorders>
              <w:top w:val="nil"/>
              <w:left w:val="nil"/>
              <w:bottom w:val="nil"/>
              <w:right w:val="nil"/>
            </w:tcBorders>
            <w:shd w:val="clear" w:color="auto" w:fill="auto"/>
            <w:noWrap/>
            <w:vAlign w:val="center"/>
          </w:tcPr>
          <w:p w14:paraId="1ECEA985" w14:textId="7777777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 </w:t>
            </w:r>
          </w:p>
        </w:tc>
        <w:tc>
          <w:tcPr>
            <w:tcW w:w="992" w:type="dxa"/>
            <w:tcBorders>
              <w:top w:val="nil"/>
              <w:left w:val="nil"/>
              <w:bottom w:val="nil"/>
              <w:right w:val="nil"/>
            </w:tcBorders>
            <w:shd w:val="clear" w:color="auto" w:fill="auto"/>
            <w:noWrap/>
            <w:vAlign w:val="center"/>
          </w:tcPr>
          <w:p w14:paraId="794A2762" w14:textId="77D9A5E7"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-2</w:t>
            </w:r>
            <w:r w:rsidRPr="005A1F48">
              <w:rPr>
                <w:rFonts w:ascii="Arial" w:hAnsi="Arial" w:cs="Arial"/>
                <w:sz w:val="14"/>
                <w:szCs w:val="14"/>
              </w:rPr>
              <w:t>.</w:t>
            </w:r>
            <w:r>
              <w:rPr>
                <w:rFonts w:ascii="Arial" w:hAnsi="Arial" w:cs="Arial"/>
                <w:sz w:val="14"/>
                <w:szCs w:val="14"/>
              </w:rPr>
              <w:t>010</w:t>
            </w:r>
            <w:r w:rsidRPr="005A1F48">
              <w:rPr>
                <w:rFonts w:ascii="Arial" w:hAnsi="Arial" w:cs="Arial"/>
                <w:sz w:val="14"/>
                <w:szCs w:val="14"/>
              </w:rPr>
              <w:t xml:space="preserve"> </w:t>
            </w:r>
          </w:p>
        </w:tc>
        <w:tc>
          <w:tcPr>
            <w:tcW w:w="851" w:type="dxa"/>
            <w:tcBorders>
              <w:top w:val="nil"/>
              <w:left w:val="nil"/>
              <w:bottom w:val="nil"/>
              <w:right w:val="nil"/>
            </w:tcBorders>
            <w:shd w:val="clear" w:color="auto" w:fill="auto"/>
            <w:noWrap/>
            <w:vAlign w:val="center"/>
          </w:tcPr>
          <w:p w14:paraId="2CD5D32A" w14:textId="77777777" w:rsidR="00CF5CA1" w:rsidRPr="0070190A" w:rsidRDefault="00CF5CA1" w:rsidP="00CF5CA1">
            <w:pPr>
              <w:jc w:val="right"/>
              <w:rPr>
                <w:rFonts w:ascii="Arial" w:hAnsi="Arial" w:cs="Arial"/>
                <w:sz w:val="14"/>
                <w:szCs w:val="14"/>
                <w:lang w:eastAsia="es-AR"/>
              </w:rPr>
            </w:pPr>
          </w:p>
        </w:tc>
        <w:tc>
          <w:tcPr>
            <w:tcW w:w="850" w:type="dxa"/>
            <w:tcBorders>
              <w:top w:val="nil"/>
              <w:left w:val="nil"/>
              <w:bottom w:val="nil"/>
              <w:right w:val="nil"/>
            </w:tcBorders>
            <w:shd w:val="clear" w:color="auto" w:fill="auto"/>
            <w:noWrap/>
            <w:vAlign w:val="center"/>
          </w:tcPr>
          <w:p w14:paraId="2212AFC7" w14:textId="3B4C6C7C" w:rsidR="00CF5CA1" w:rsidRPr="0070190A" w:rsidRDefault="00CF5CA1" w:rsidP="00CF5CA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-2</w:t>
            </w:r>
            <w:r w:rsidRPr="005A1F48">
              <w:rPr>
                <w:rFonts w:ascii="Arial" w:hAnsi="Arial" w:cs="Arial"/>
                <w:sz w:val="14"/>
                <w:szCs w:val="14"/>
              </w:rPr>
              <w:t>.</w:t>
            </w:r>
            <w:r>
              <w:rPr>
                <w:rFonts w:ascii="Arial" w:hAnsi="Arial" w:cs="Arial"/>
                <w:sz w:val="14"/>
                <w:szCs w:val="14"/>
              </w:rPr>
              <w:t>010</w:t>
            </w:r>
            <w:r w:rsidRPr="005A1F48">
              <w:rPr>
                <w:rFonts w:ascii="Arial" w:hAnsi="Arial" w:cs="Arial"/>
                <w:sz w:val="14"/>
                <w:szCs w:val="14"/>
              </w:rPr>
              <w:t xml:space="preserve"> </w:t>
            </w:r>
          </w:p>
        </w:tc>
      </w:tr>
      <w:tr w:rsidR="00CF5CA1" w:rsidRPr="00E81272" w14:paraId="75EACFE5" w14:textId="77777777" w:rsidTr="003C381B">
        <w:trPr>
          <w:trHeight w:val="223"/>
        </w:trPr>
        <w:tc>
          <w:tcPr>
            <w:tcW w:w="2401" w:type="dxa"/>
            <w:tcBorders>
              <w:top w:val="nil"/>
              <w:left w:val="nil"/>
              <w:bottom w:val="nil"/>
              <w:right w:val="nil"/>
            </w:tcBorders>
            <w:shd w:val="clear" w:color="auto" w:fill="auto"/>
            <w:hideMark/>
          </w:tcPr>
          <w:p w14:paraId="6809E060" w14:textId="77777777" w:rsidR="00CF5CA1" w:rsidRPr="00E81272" w:rsidRDefault="00CF5CA1" w:rsidP="00CF5CA1">
            <w:pPr>
              <w:rPr>
                <w:rFonts w:ascii="Arial" w:hAnsi="Arial" w:cs="Arial"/>
                <w:sz w:val="14"/>
                <w:szCs w:val="14"/>
                <w:lang w:eastAsia="es-AR"/>
              </w:rPr>
            </w:pPr>
            <w:r w:rsidRPr="00E81272">
              <w:rPr>
                <w:rFonts w:ascii="Arial" w:hAnsi="Arial" w:cs="Arial"/>
                <w:sz w:val="14"/>
                <w:szCs w:val="14"/>
                <w:lang w:eastAsia="es-AR"/>
              </w:rPr>
              <w:t>- Aporte de terceros en sociedad controlada</w:t>
            </w:r>
          </w:p>
        </w:tc>
        <w:tc>
          <w:tcPr>
            <w:tcW w:w="567" w:type="dxa"/>
            <w:tcBorders>
              <w:top w:val="nil"/>
              <w:left w:val="nil"/>
              <w:bottom w:val="nil"/>
              <w:right w:val="nil"/>
            </w:tcBorders>
            <w:shd w:val="clear" w:color="auto" w:fill="auto"/>
            <w:noWrap/>
            <w:vAlign w:val="center"/>
            <w:hideMark/>
          </w:tcPr>
          <w:p w14:paraId="5DF1BC68" w14:textId="77777777" w:rsidR="00CF5CA1" w:rsidRPr="00E81272" w:rsidRDefault="00CF5CA1" w:rsidP="00CF5CA1">
            <w:pPr>
              <w:rPr>
                <w:rFonts w:ascii="Arial" w:hAnsi="Arial" w:cs="Arial"/>
                <w:sz w:val="14"/>
                <w:szCs w:val="14"/>
                <w:lang w:eastAsia="es-AR"/>
              </w:rPr>
            </w:pPr>
          </w:p>
        </w:tc>
        <w:tc>
          <w:tcPr>
            <w:tcW w:w="992" w:type="dxa"/>
            <w:tcBorders>
              <w:top w:val="nil"/>
              <w:left w:val="nil"/>
              <w:bottom w:val="nil"/>
              <w:right w:val="nil"/>
            </w:tcBorders>
            <w:shd w:val="clear" w:color="auto" w:fill="auto"/>
            <w:noWrap/>
            <w:vAlign w:val="bottom"/>
            <w:hideMark/>
          </w:tcPr>
          <w:p w14:paraId="1DD5D373"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2F1DAB4F" w14:textId="77777777" w:rsidR="00CF5CA1" w:rsidRPr="00E81272" w:rsidRDefault="00CF5CA1" w:rsidP="00CF5CA1">
            <w:pPr>
              <w:jc w:val="right"/>
              <w:rPr>
                <w:rFonts w:ascii="Arial" w:hAnsi="Arial" w:cs="Arial"/>
                <w:sz w:val="14"/>
                <w:szCs w:val="14"/>
                <w:lang w:eastAsia="es-AR"/>
              </w:rPr>
            </w:pPr>
          </w:p>
        </w:tc>
        <w:tc>
          <w:tcPr>
            <w:tcW w:w="992" w:type="dxa"/>
            <w:tcBorders>
              <w:top w:val="nil"/>
              <w:left w:val="nil"/>
              <w:bottom w:val="nil"/>
              <w:right w:val="nil"/>
            </w:tcBorders>
          </w:tcPr>
          <w:p w14:paraId="2041C8F2" w14:textId="77777777" w:rsidR="00CF5CA1" w:rsidRPr="00E81272" w:rsidRDefault="00CF5CA1" w:rsidP="00CF5CA1">
            <w:pPr>
              <w:jc w:val="right"/>
              <w:rPr>
                <w:rFonts w:ascii="Arial" w:hAnsi="Arial" w:cs="Arial"/>
                <w:sz w:val="14"/>
                <w:szCs w:val="14"/>
                <w:lang w:eastAsia="es-AR"/>
              </w:rPr>
            </w:pPr>
          </w:p>
        </w:tc>
        <w:tc>
          <w:tcPr>
            <w:tcW w:w="926" w:type="dxa"/>
            <w:tcBorders>
              <w:top w:val="nil"/>
              <w:left w:val="nil"/>
              <w:bottom w:val="nil"/>
              <w:right w:val="nil"/>
            </w:tcBorders>
            <w:shd w:val="clear" w:color="auto" w:fill="auto"/>
            <w:noWrap/>
            <w:vAlign w:val="bottom"/>
            <w:hideMark/>
          </w:tcPr>
          <w:p w14:paraId="16C6BE30"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p w14:paraId="617AFBD8"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776" w:type="dxa"/>
            <w:tcBorders>
              <w:top w:val="nil"/>
              <w:left w:val="nil"/>
              <w:bottom w:val="nil"/>
              <w:right w:val="nil"/>
            </w:tcBorders>
            <w:shd w:val="clear" w:color="auto" w:fill="auto"/>
            <w:noWrap/>
            <w:vAlign w:val="bottom"/>
            <w:hideMark/>
          </w:tcPr>
          <w:p w14:paraId="461C8774"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783" w:type="dxa"/>
            <w:tcBorders>
              <w:top w:val="nil"/>
              <w:left w:val="nil"/>
              <w:bottom w:val="nil"/>
              <w:right w:val="nil"/>
            </w:tcBorders>
            <w:shd w:val="clear" w:color="auto" w:fill="auto"/>
            <w:noWrap/>
            <w:vAlign w:val="bottom"/>
            <w:hideMark/>
          </w:tcPr>
          <w:p w14:paraId="4F853BE4"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851" w:type="dxa"/>
            <w:tcBorders>
              <w:top w:val="nil"/>
              <w:left w:val="nil"/>
              <w:bottom w:val="nil"/>
              <w:right w:val="nil"/>
            </w:tcBorders>
            <w:shd w:val="clear" w:color="auto" w:fill="auto"/>
            <w:noWrap/>
            <w:vAlign w:val="bottom"/>
            <w:hideMark/>
          </w:tcPr>
          <w:p w14:paraId="45576FFF"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shd w:val="clear" w:color="auto" w:fill="auto"/>
            <w:noWrap/>
            <w:vAlign w:val="bottom"/>
            <w:hideMark/>
          </w:tcPr>
          <w:p w14:paraId="46705F21"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shd w:val="clear" w:color="auto" w:fill="auto"/>
            <w:noWrap/>
            <w:vAlign w:val="bottom"/>
            <w:hideMark/>
          </w:tcPr>
          <w:p w14:paraId="5FFE587E" w14:textId="77777777" w:rsidR="00CF5CA1" w:rsidRPr="00E81272" w:rsidRDefault="00CF5CA1" w:rsidP="00CF5CA1">
            <w:pPr>
              <w:jc w:val="right"/>
              <w:rPr>
                <w:rFonts w:ascii="Arial" w:hAnsi="Arial" w:cs="Arial"/>
                <w:sz w:val="14"/>
                <w:szCs w:val="14"/>
                <w:lang w:eastAsia="es-AR"/>
              </w:rPr>
            </w:pPr>
            <w:r w:rsidRPr="00E81272">
              <w:rPr>
                <w:rFonts w:ascii="Arial" w:hAnsi="Arial" w:cs="Arial"/>
                <w:sz w:val="14"/>
                <w:szCs w:val="14"/>
                <w:lang w:eastAsia="es-AR"/>
              </w:rPr>
              <w:t>-</w:t>
            </w:r>
          </w:p>
        </w:tc>
        <w:tc>
          <w:tcPr>
            <w:tcW w:w="851" w:type="dxa"/>
            <w:tcBorders>
              <w:top w:val="nil"/>
              <w:left w:val="nil"/>
              <w:bottom w:val="nil"/>
              <w:right w:val="nil"/>
            </w:tcBorders>
            <w:shd w:val="clear" w:color="auto" w:fill="auto"/>
            <w:noWrap/>
            <w:vAlign w:val="bottom"/>
          </w:tcPr>
          <w:p w14:paraId="3B95BC01" w14:textId="01FF4A50"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1.768.249</w:t>
            </w:r>
          </w:p>
        </w:tc>
        <w:tc>
          <w:tcPr>
            <w:tcW w:w="850" w:type="dxa"/>
            <w:tcBorders>
              <w:top w:val="nil"/>
              <w:left w:val="nil"/>
              <w:bottom w:val="nil"/>
              <w:right w:val="nil"/>
            </w:tcBorders>
            <w:shd w:val="clear" w:color="auto" w:fill="auto"/>
            <w:noWrap/>
            <w:vAlign w:val="bottom"/>
          </w:tcPr>
          <w:p w14:paraId="7A5A5138" w14:textId="5CBA1BE9" w:rsidR="00CF5CA1" w:rsidRPr="00E81272" w:rsidRDefault="00CF5CA1" w:rsidP="00CF5CA1">
            <w:pPr>
              <w:jc w:val="right"/>
              <w:rPr>
                <w:rFonts w:ascii="Arial" w:hAnsi="Arial" w:cs="Arial"/>
                <w:sz w:val="14"/>
                <w:szCs w:val="14"/>
                <w:lang w:eastAsia="es-AR"/>
              </w:rPr>
            </w:pPr>
            <w:r>
              <w:rPr>
                <w:rFonts w:ascii="Arial" w:hAnsi="Arial" w:cs="Arial"/>
                <w:sz w:val="14"/>
                <w:szCs w:val="14"/>
                <w:lang w:eastAsia="es-AR"/>
              </w:rPr>
              <w:t>1.768.249</w:t>
            </w:r>
          </w:p>
        </w:tc>
      </w:tr>
      <w:tr w:rsidR="00CF5CA1" w:rsidRPr="00B26A01" w14:paraId="2921C050" w14:textId="77777777" w:rsidTr="003C381B">
        <w:trPr>
          <w:trHeight w:val="80"/>
        </w:trPr>
        <w:tc>
          <w:tcPr>
            <w:tcW w:w="2401" w:type="dxa"/>
            <w:tcBorders>
              <w:top w:val="nil"/>
              <w:left w:val="nil"/>
              <w:bottom w:val="nil"/>
              <w:right w:val="nil"/>
            </w:tcBorders>
            <w:shd w:val="clear" w:color="auto" w:fill="auto"/>
            <w:hideMark/>
          </w:tcPr>
          <w:p w14:paraId="0E69BECA" w14:textId="77777777" w:rsidR="00CF5CA1" w:rsidRPr="00B26A01" w:rsidRDefault="00CF5CA1" w:rsidP="00CF5CA1">
            <w:pPr>
              <w:rPr>
                <w:rFonts w:ascii="Arial" w:hAnsi="Arial" w:cs="Arial"/>
                <w:sz w:val="10"/>
                <w:szCs w:val="10"/>
                <w:lang w:eastAsia="es-AR"/>
              </w:rPr>
            </w:pPr>
          </w:p>
        </w:tc>
        <w:tc>
          <w:tcPr>
            <w:tcW w:w="567" w:type="dxa"/>
            <w:tcBorders>
              <w:top w:val="nil"/>
              <w:left w:val="nil"/>
              <w:bottom w:val="nil"/>
              <w:right w:val="nil"/>
            </w:tcBorders>
            <w:shd w:val="clear" w:color="auto" w:fill="auto"/>
            <w:noWrap/>
            <w:hideMark/>
          </w:tcPr>
          <w:p w14:paraId="09C8F38C" w14:textId="77777777" w:rsidR="00CF5CA1" w:rsidRPr="00B26A01" w:rsidRDefault="00CF5CA1" w:rsidP="00CF5CA1">
            <w:pPr>
              <w:rPr>
                <w:sz w:val="10"/>
                <w:szCs w:val="10"/>
                <w:lang w:eastAsia="es-AR"/>
              </w:rPr>
            </w:pPr>
          </w:p>
        </w:tc>
        <w:tc>
          <w:tcPr>
            <w:tcW w:w="992" w:type="dxa"/>
            <w:tcBorders>
              <w:top w:val="nil"/>
              <w:left w:val="nil"/>
              <w:bottom w:val="nil"/>
              <w:right w:val="nil"/>
            </w:tcBorders>
            <w:shd w:val="clear" w:color="auto" w:fill="auto"/>
            <w:noWrap/>
            <w:vAlign w:val="bottom"/>
            <w:hideMark/>
          </w:tcPr>
          <w:p w14:paraId="7D34031E" w14:textId="77777777" w:rsidR="00CF5CA1" w:rsidRPr="00B26A01" w:rsidRDefault="00CF5CA1" w:rsidP="00CF5CA1">
            <w:pPr>
              <w:jc w:val="right"/>
              <w:rPr>
                <w:sz w:val="10"/>
                <w:szCs w:val="10"/>
                <w:lang w:eastAsia="es-AR"/>
              </w:rPr>
            </w:pPr>
          </w:p>
        </w:tc>
        <w:tc>
          <w:tcPr>
            <w:tcW w:w="1134" w:type="dxa"/>
            <w:tcBorders>
              <w:top w:val="nil"/>
              <w:left w:val="nil"/>
              <w:bottom w:val="nil"/>
              <w:right w:val="nil"/>
            </w:tcBorders>
          </w:tcPr>
          <w:p w14:paraId="4F689E1E" w14:textId="77777777" w:rsidR="00CF5CA1" w:rsidRPr="00B26A01" w:rsidRDefault="00CF5CA1" w:rsidP="00CF5CA1">
            <w:pPr>
              <w:jc w:val="right"/>
              <w:rPr>
                <w:sz w:val="10"/>
                <w:szCs w:val="10"/>
                <w:lang w:eastAsia="es-AR"/>
              </w:rPr>
            </w:pPr>
          </w:p>
        </w:tc>
        <w:tc>
          <w:tcPr>
            <w:tcW w:w="992" w:type="dxa"/>
            <w:tcBorders>
              <w:top w:val="nil"/>
              <w:left w:val="nil"/>
              <w:bottom w:val="nil"/>
              <w:right w:val="nil"/>
            </w:tcBorders>
          </w:tcPr>
          <w:p w14:paraId="7B86C76D" w14:textId="77777777" w:rsidR="00CF5CA1" w:rsidRPr="00B26A01" w:rsidRDefault="00CF5CA1" w:rsidP="00CF5CA1">
            <w:pPr>
              <w:jc w:val="right"/>
              <w:rPr>
                <w:sz w:val="10"/>
                <w:szCs w:val="10"/>
                <w:lang w:eastAsia="es-AR"/>
              </w:rPr>
            </w:pPr>
          </w:p>
        </w:tc>
        <w:tc>
          <w:tcPr>
            <w:tcW w:w="926" w:type="dxa"/>
            <w:tcBorders>
              <w:top w:val="nil"/>
              <w:left w:val="nil"/>
              <w:bottom w:val="nil"/>
              <w:right w:val="nil"/>
            </w:tcBorders>
            <w:shd w:val="clear" w:color="auto" w:fill="auto"/>
            <w:noWrap/>
            <w:vAlign w:val="bottom"/>
            <w:hideMark/>
          </w:tcPr>
          <w:p w14:paraId="7C9D9B54" w14:textId="77777777" w:rsidR="00CF5CA1" w:rsidRPr="00B26A01" w:rsidRDefault="00CF5CA1" w:rsidP="00CF5CA1">
            <w:pPr>
              <w:jc w:val="right"/>
              <w:rPr>
                <w:sz w:val="10"/>
                <w:szCs w:val="10"/>
                <w:lang w:eastAsia="es-AR"/>
              </w:rPr>
            </w:pPr>
          </w:p>
        </w:tc>
        <w:tc>
          <w:tcPr>
            <w:tcW w:w="776" w:type="dxa"/>
            <w:tcBorders>
              <w:top w:val="nil"/>
              <w:left w:val="nil"/>
              <w:bottom w:val="nil"/>
              <w:right w:val="nil"/>
            </w:tcBorders>
            <w:shd w:val="clear" w:color="auto" w:fill="auto"/>
            <w:noWrap/>
            <w:vAlign w:val="bottom"/>
            <w:hideMark/>
          </w:tcPr>
          <w:p w14:paraId="455CD3BC" w14:textId="77777777" w:rsidR="00CF5CA1" w:rsidRPr="00B26A01" w:rsidRDefault="00CF5CA1" w:rsidP="00CF5CA1">
            <w:pPr>
              <w:jc w:val="right"/>
              <w:rPr>
                <w:sz w:val="10"/>
                <w:szCs w:val="10"/>
                <w:lang w:eastAsia="es-AR"/>
              </w:rPr>
            </w:pPr>
          </w:p>
        </w:tc>
        <w:tc>
          <w:tcPr>
            <w:tcW w:w="783" w:type="dxa"/>
            <w:tcBorders>
              <w:top w:val="nil"/>
              <w:left w:val="nil"/>
              <w:bottom w:val="nil"/>
              <w:right w:val="nil"/>
            </w:tcBorders>
            <w:shd w:val="clear" w:color="auto" w:fill="auto"/>
            <w:noWrap/>
            <w:vAlign w:val="bottom"/>
            <w:hideMark/>
          </w:tcPr>
          <w:p w14:paraId="1533B4A2" w14:textId="77777777" w:rsidR="00CF5CA1" w:rsidRPr="00B26A01" w:rsidRDefault="00CF5CA1" w:rsidP="00CF5CA1">
            <w:pPr>
              <w:jc w:val="right"/>
              <w:rPr>
                <w:sz w:val="10"/>
                <w:szCs w:val="10"/>
                <w:lang w:eastAsia="es-AR"/>
              </w:rPr>
            </w:pPr>
          </w:p>
        </w:tc>
        <w:tc>
          <w:tcPr>
            <w:tcW w:w="851" w:type="dxa"/>
            <w:tcBorders>
              <w:top w:val="nil"/>
              <w:left w:val="nil"/>
              <w:bottom w:val="nil"/>
              <w:right w:val="nil"/>
            </w:tcBorders>
            <w:shd w:val="clear" w:color="auto" w:fill="auto"/>
            <w:noWrap/>
            <w:vAlign w:val="bottom"/>
            <w:hideMark/>
          </w:tcPr>
          <w:p w14:paraId="7BA55C73" w14:textId="77777777" w:rsidR="00CF5CA1" w:rsidRPr="00B26A01" w:rsidRDefault="00CF5CA1" w:rsidP="00CF5CA1">
            <w:pPr>
              <w:jc w:val="right"/>
              <w:rPr>
                <w:sz w:val="10"/>
                <w:szCs w:val="10"/>
                <w:lang w:eastAsia="es-AR"/>
              </w:rPr>
            </w:pPr>
          </w:p>
        </w:tc>
        <w:tc>
          <w:tcPr>
            <w:tcW w:w="992" w:type="dxa"/>
            <w:tcBorders>
              <w:top w:val="nil"/>
              <w:left w:val="nil"/>
              <w:bottom w:val="nil"/>
              <w:right w:val="nil"/>
            </w:tcBorders>
            <w:shd w:val="clear" w:color="auto" w:fill="auto"/>
            <w:noWrap/>
            <w:vAlign w:val="bottom"/>
            <w:hideMark/>
          </w:tcPr>
          <w:p w14:paraId="11D8B16C" w14:textId="77777777" w:rsidR="00CF5CA1" w:rsidRPr="00B26A01" w:rsidRDefault="00CF5CA1" w:rsidP="00CF5CA1">
            <w:pPr>
              <w:jc w:val="right"/>
              <w:rPr>
                <w:sz w:val="10"/>
                <w:szCs w:val="10"/>
                <w:lang w:eastAsia="es-AR"/>
              </w:rPr>
            </w:pPr>
          </w:p>
        </w:tc>
        <w:tc>
          <w:tcPr>
            <w:tcW w:w="992" w:type="dxa"/>
            <w:tcBorders>
              <w:top w:val="nil"/>
              <w:left w:val="nil"/>
              <w:bottom w:val="nil"/>
              <w:right w:val="nil"/>
            </w:tcBorders>
            <w:shd w:val="clear" w:color="auto" w:fill="auto"/>
            <w:noWrap/>
            <w:vAlign w:val="bottom"/>
            <w:hideMark/>
          </w:tcPr>
          <w:p w14:paraId="411B49A3" w14:textId="77777777" w:rsidR="00CF5CA1" w:rsidRPr="00B26A01" w:rsidRDefault="00CF5CA1" w:rsidP="00CF5CA1">
            <w:pPr>
              <w:jc w:val="right"/>
              <w:rPr>
                <w:sz w:val="10"/>
                <w:szCs w:val="10"/>
                <w:lang w:eastAsia="es-AR"/>
              </w:rPr>
            </w:pPr>
          </w:p>
        </w:tc>
        <w:tc>
          <w:tcPr>
            <w:tcW w:w="851" w:type="dxa"/>
            <w:tcBorders>
              <w:top w:val="nil"/>
              <w:left w:val="nil"/>
              <w:bottom w:val="nil"/>
              <w:right w:val="nil"/>
            </w:tcBorders>
            <w:shd w:val="clear" w:color="auto" w:fill="auto"/>
            <w:noWrap/>
            <w:vAlign w:val="bottom"/>
          </w:tcPr>
          <w:p w14:paraId="4EE4BE0B" w14:textId="77777777" w:rsidR="00CF5CA1" w:rsidRPr="00B26A01" w:rsidRDefault="00CF5CA1" w:rsidP="00CF5CA1">
            <w:pPr>
              <w:jc w:val="right"/>
              <w:rPr>
                <w:sz w:val="10"/>
                <w:szCs w:val="10"/>
                <w:lang w:eastAsia="es-AR"/>
              </w:rPr>
            </w:pPr>
          </w:p>
        </w:tc>
        <w:tc>
          <w:tcPr>
            <w:tcW w:w="850" w:type="dxa"/>
            <w:tcBorders>
              <w:top w:val="nil"/>
              <w:left w:val="nil"/>
              <w:bottom w:val="nil"/>
              <w:right w:val="nil"/>
            </w:tcBorders>
            <w:shd w:val="clear" w:color="auto" w:fill="auto"/>
            <w:noWrap/>
            <w:vAlign w:val="bottom"/>
          </w:tcPr>
          <w:p w14:paraId="385B7EF1" w14:textId="77777777" w:rsidR="00CF5CA1" w:rsidRPr="00B26A01" w:rsidRDefault="00CF5CA1" w:rsidP="00CF5CA1">
            <w:pPr>
              <w:jc w:val="right"/>
              <w:rPr>
                <w:sz w:val="10"/>
                <w:szCs w:val="10"/>
                <w:lang w:eastAsia="es-AR"/>
              </w:rPr>
            </w:pPr>
          </w:p>
        </w:tc>
      </w:tr>
      <w:tr w:rsidR="00CF5CA1" w:rsidRPr="0070190A" w14:paraId="123A1C23" w14:textId="77777777" w:rsidTr="003C381B">
        <w:trPr>
          <w:trHeight w:val="77"/>
        </w:trPr>
        <w:tc>
          <w:tcPr>
            <w:tcW w:w="2401" w:type="dxa"/>
            <w:tcBorders>
              <w:top w:val="nil"/>
              <w:left w:val="nil"/>
              <w:bottom w:val="nil"/>
              <w:right w:val="nil"/>
            </w:tcBorders>
            <w:shd w:val="clear" w:color="auto" w:fill="auto"/>
            <w:hideMark/>
          </w:tcPr>
          <w:p w14:paraId="0EDB91F6" w14:textId="77777777" w:rsidR="00CF5CA1" w:rsidRPr="00E81272" w:rsidRDefault="00CF5CA1" w:rsidP="00CF5CA1">
            <w:pPr>
              <w:rPr>
                <w:rFonts w:ascii="Arial" w:hAnsi="Arial" w:cs="Arial"/>
                <w:b/>
                <w:bCs/>
                <w:sz w:val="14"/>
                <w:szCs w:val="14"/>
                <w:lang w:eastAsia="es-AR"/>
              </w:rPr>
            </w:pPr>
            <w:r w:rsidRPr="00E81272">
              <w:rPr>
                <w:rFonts w:ascii="Arial" w:hAnsi="Arial" w:cs="Arial"/>
                <w:b/>
                <w:bCs/>
                <w:sz w:val="14"/>
                <w:szCs w:val="14"/>
                <w:lang w:eastAsia="es-AR"/>
              </w:rPr>
              <w:t>Saldos al cierre del período</w:t>
            </w:r>
          </w:p>
        </w:tc>
        <w:tc>
          <w:tcPr>
            <w:tcW w:w="567" w:type="dxa"/>
            <w:tcBorders>
              <w:top w:val="nil"/>
              <w:left w:val="nil"/>
              <w:bottom w:val="nil"/>
              <w:right w:val="nil"/>
            </w:tcBorders>
            <w:shd w:val="clear" w:color="auto" w:fill="auto"/>
            <w:noWrap/>
            <w:hideMark/>
          </w:tcPr>
          <w:p w14:paraId="187B3621" w14:textId="77777777" w:rsidR="00CF5CA1" w:rsidRPr="00E81272" w:rsidRDefault="00CF5CA1" w:rsidP="00CF5CA1">
            <w:pPr>
              <w:rPr>
                <w:rFonts w:ascii="Arial" w:hAnsi="Arial" w:cs="Arial"/>
                <w:b/>
                <w:bCs/>
                <w:sz w:val="14"/>
                <w:szCs w:val="14"/>
                <w:lang w:eastAsia="es-AR"/>
              </w:rPr>
            </w:pPr>
          </w:p>
        </w:tc>
        <w:tc>
          <w:tcPr>
            <w:tcW w:w="992" w:type="dxa"/>
            <w:tcBorders>
              <w:top w:val="single" w:sz="4" w:space="0" w:color="auto"/>
              <w:left w:val="nil"/>
              <w:bottom w:val="single" w:sz="4" w:space="0" w:color="auto"/>
              <w:right w:val="nil"/>
            </w:tcBorders>
            <w:shd w:val="clear" w:color="auto" w:fill="auto"/>
            <w:noWrap/>
            <w:vAlign w:val="center"/>
            <w:hideMark/>
          </w:tcPr>
          <w:p w14:paraId="49D84676" w14:textId="07679871" w:rsidR="00CF5CA1" w:rsidRPr="00E81272" w:rsidRDefault="00CF5CA1" w:rsidP="00CF5CA1">
            <w:pPr>
              <w:jc w:val="right"/>
              <w:rPr>
                <w:rFonts w:ascii="Arial" w:hAnsi="Arial" w:cs="Arial"/>
                <w:b/>
                <w:bCs/>
                <w:sz w:val="14"/>
                <w:szCs w:val="14"/>
                <w:lang w:eastAsia="es-AR"/>
              </w:rPr>
            </w:pPr>
            <w:r>
              <w:rPr>
                <w:rFonts w:ascii="Arial" w:hAnsi="Arial" w:cs="Arial"/>
                <w:b/>
                <w:bCs/>
                <w:sz w:val="14"/>
                <w:szCs w:val="14"/>
                <w:lang w:eastAsia="es-AR"/>
              </w:rPr>
              <w:t>808</w:t>
            </w:r>
            <w:r w:rsidRPr="00E81272">
              <w:rPr>
                <w:rFonts w:ascii="Arial" w:hAnsi="Arial" w:cs="Arial"/>
                <w:b/>
                <w:bCs/>
                <w:sz w:val="14"/>
                <w:szCs w:val="14"/>
                <w:lang w:eastAsia="es-AR"/>
              </w:rPr>
              <w:t>.</w:t>
            </w:r>
            <w:r>
              <w:rPr>
                <w:rFonts w:ascii="Arial" w:hAnsi="Arial" w:cs="Arial"/>
                <w:b/>
                <w:bCs/>
                <w:sz w:val="14"/>
                <w:szCs w:val="14"/>
                <w:lang w:eastAsia="es-AR"/>
              </w:rPr>
              <w:t>852</w:t>
            </w:r>
          </w:p>
        </w:tc>
        <w:tc>
          <w:tcPr>
            <w:tcW w:w="1134" w:type="dxa"/>
            <w:tcBorders>
              <w:top w:val="single" w:sz="4" w:space="0" w:color="auto"/>
              <w:left w:val="nil"/>
              <w:bottom w:val="single" w:sz="4" w:space="0" w:color="auto"/>
              <w:right w:val="nil"/>
            </w:tcBorders>
            <w:vAlign w:val="center"/>
          </w:tcPr>
          <w:p w14:paraId="0913F8BC" w14:textId="2BDA62B5" w:rsidR="00CF5CA1" w:rsidRPr="00E81272" w:rsidRDefault="00CF5CA1" w:rsidP="00CF5CA1">
            <w:pPr>
              <w:jc w:val="right"/>
              <w:rPr>
                <w:rFonts w:ascii="Arial" w:hAnsi="Arial" w:cs="Arial"/>
                <w:b/>
                <w:bCs/>
                <w:sz w:val="14"/>
                <w:szCs w:val="14"/>
                <w:lang w:eastAsia="es-AR"/>
              </w:rPr>
            </w:pPr>
            <w:r>
              <w:rPr>
                <w:rFonts w:ascii="Arial" w:hAnsi="Arial" w:cs="Arial"/>
                <w:b/>
                <w:bCs/>
                <w:sz w:val="14"/>
                <w:szCs w:val="14"/>
                <w:lang w:eastAsia="es-AR"/>
              </w:rPr>
              <w:t>6.444.347</w:t>
            </w:r>
          </w:p>
        </w:tc>
        <w:tc>
          <w:tcPr>
            <w:tcW w:w="992" w:type="dxa"/>
            <w:tcBorders>
              <w:top w:val="single" w:sz="4" w:space="0" w:color="auto"/>
              <w:left w:val="nil"/>
              <w:bottom w:val="single" w:sz="4" w:space="0" w:color="auto"/>
              <w:right w:val="nil"/>
            </w:tcBorders>
          </w:tcPr>
          <w:p w14:paraId="5E39EBEF" w14:textId="611F3BA9" w:rsidR="00CF5CA1" w:rsidRPr="005A1F48" w:rsidRDefault="00CF5CA1" w:rsidP="00CF5CA1">
            <w:pPr>
              <w:jc w:val="right"/>
              <w:rPr>
                <w:rFonts w:ascii="Arial" w:hAnsi="Arial" w:cs="Arial"/>
                <w:b/>
                <w:bCs/>
                <w:sz w:val="14"/>
                <w:szCs w:val="14"/>
              </w:rPr>
            </w:pPr>
            <w:r>
              <w:rPr>
                <w:rFonts w:ascii="Arial" w:hAnsi="Arial" w:cs="Arial"/>
                <w:b/>
                <w:bCs/>
                <w:sz w:val="14"/>
                <w:szCs w:val="14"/>
              </w:rPr>
              <w:t>16.376.393</w:t>
            </w:r>
          </w:p>
        </w:tc>
        <w:tc>
          <w:tcPr>
            <w:tcW w:w="926" w:type="dxa"/>
            <w:tcBorders>
              <w:top w:val="single" w:sz="4" w:space="0" w:color="auto"/>
              <w:left w:val="nil"/>
              <w:bottom w:val="single" w:sz="4" w:space="0" w:color="auto"/>
              <w:right w:val="nil"/>
            </w:tcBorders>
            <w:shd w:val="clear" w:color="auto" w:fill="auto"/>
            <w:noWrap/>
            <w:vAlign w:val="center"/>
          </w:tcPr>
          <w:p w14:paraId="6F1D0D08" w14:textId="5E7BECFE" w:rsidR="00CF5CA1" w:rsidRPr="0070190A" w:rsidRDefault="00CF5CA1" w:rsidP="00CF5CA1">
            <w:pPr>
              <w:jc w:val="right"/>
              <w:rPr>
                <w:rFonts w:ascii="Arial" w:hAnsi="Arial" w:cs="Arial"/>
                <w:b/>
                <w:bCs/>
                <w:sz w:val="14"/>
                <w:szCs w:val="14"/>
                <w:lang w:eastAsia="es-AR"/>
              </w:rPr>
            </w:pPr>
            <w:r>
              <w:rPr>
                <w:rFonts w:ascii="Arial" w:hAnsi="Arial" w:cs="Arial"/>
                <w:b/>
                <w:bCs/>
                <w:sz w:val="14"/>
                <w:szCs w:val="14"/>
              </w:rPr>
              <w:t>-</w:t>
            </w:r>
          </w:p>
        </w:tc>
        <w:tc>
          <w:tcPr>
            <w:tcW w:w="776" w:type="dxa"/>
            <w:tcBorders>
              <w:top w:val="single" w:sz="4" w:space="0" w:color="auto"/>
              <w:left w:val="nil"/>
              <w:bottom w:val="single" w:sz="4" w:space="0" w:color="auto"/>
              <w:right w:val="nil"/>
            </w:tcBorders>
            <w:shd w:val="clear" w:color="auto" w:fill="auto"/>
            <w:noWrap/>
            <w:vAlign w:val="center"/>
          </w:tcPr>
          <w:p w14:paraId="4889EA9C" w14:textId="335CB2B1" w:rsidR="00CF5CA1" w:rsidRPr="0070190A" w:rsidRDefault="00CF5CA1" w:rsidP="00CF5CA1">
            <w:pPr>
              <w:jc w:val="right"/>
              <w:rPr>
                <w:rFonts w:ascii="Arial" w:hAnsi="Arial" w:cs="Arial"/>
                <w:b/>
                <w:bCs/>
                <w:sz w:val="14"/>
                <w:szCs w:val="14"/>
                <w:lang w:eastAsia="es-AR"/>
              </w:rPr>
            </w:pPr>
            <w:r w:rsidRPr="005A1F48">
              <w:rPr>
                <w:rFonts w:ascii="Arial" w:hAnsi="Arial" w:cs="Arial"/>
                <w:b/>
                <w:bCs/>
                <w:sz w:val="14"/>
                <w:szCs w:val="14"/>
              </w:rPr>
              <w:t>-</w:t>
            </w:r>
            <w:r>
              <w:rPr>
                <w:rFonts w:ascii="Arial" w:hAnsi="Arial" w:cs="Arial"/>
                <w:b/>
                <w:bCs/>
                <w:sz w:val="14"/>
                <w:szCs w:val="14"/>
              </w:rPr>
              <w:t>2</w:t>
            </w:r>
            <w:r w:rsidRPr="005A1F48">
              <w:rPr>
                <w:rFonts w:ascii="Arial" w:hAnsi="Arial" w:cs="Arial"/>
                <w:b/>
                <w:bCs/>
                <w:sz w:val="14"/>
                <w:szCs w:val="14"/>
              </w:rPr>
              <w:t>.</w:t>
            </w:r>
            <w:r>
              <w:rPr>
                <w:rFonts w:ascii="Arial" w:hAnsi="Arial" w:cs="Arial"/>
                <w:b/>
                <w:bCs/>
                <w:sz w:val="14"/>
                <w:szCs w:val="14"/>
              </w:rPr>
              <w:t>010</w:t>
            </w:r>
            <w:r w:rsidRPr="005A1F48">
              <w:rPr>
                <w:rFonts w:ascii="Arial" w:hAnsi="Arial" w:cs="Arial"/>
                <w:b/>
                <w:bCs/>
                <w:sz w:val="14"/>
                <w:szCs w:val="14"/>
              </w:rPr>
              <w:t xml:space="preserve"> </w:t>
            </w:r>
          </w:p>
        </w:tc>
        <w:tc>
          <w:tcPr>
            <w:tcW w:w="783" w:type="dxa"/>
            <w:tcBorders>
              <w:top w:val="single" w:sz="4" w:space="0" w:color="auto"/>
              <w:left w:val="nil"/>
              <w:bottom w:val="single" w:sz="4" w:space="0" w:color="auto"/>
              <w:right w:val="nil"/>
            </w:tcBorders>
            <w:shd w:val="clear" w:color="auto" w:fill="auto"/>
            <w:noWrap/>
            <w:vAlign w:val="center"/>
          </w:tcPr>
          <w:p w14:paraId="6DFA4281" w14:textId="251C4977" w:rsidR="00CF5CA1" w:rsidRPr="0070190A" w:rsidRDefault="00CF5CA1" w:rsidP="00CF5CA1">
            <w:pPr>
              <w:jc w:val="right"/>
              <w:rPr>
                <w:rFonts w:ascii="Arial" w:hAnsi="Arial" w:cs="Arial"/>
                <w:b/>
                <w:bCs/>
                <w:sz w:val="14"/>
                <w:szCs w:val="14"/>
                <w:lang w:eastAsia="es-AR"/>
              </w:rPr>
            </w:pPr>
            <w:r>
              <w:rPr>
                <w:rFonts w:ascii="Arial" w:hAnsi="Arial" w:cs="Arial"/>
                <w:b/>
                <w:bCs/>
                <w:sz w:val="14"/>
                <w:szCs w:val="14"/>
              </w:rPr>
              <w:t>1.841</w:t>
            </w:r>
            <w:r w:rsidRPr="005A1F48">
              <w:rPr>
                <w:rFonts w:ascii="Arial" w:hAnsi="Arial" w:cs="Arial"/>
                <w:b/>
                <w:bCs/>
                <w:sz w:val="14"/>
                <w:szCs w:val="14"/>
              </w:rPr>
              <w:t>.</w:t>
            </w:r>
            <w:r>
              <w:rPr>
                <w:rFonts w:ascii="Arial" w:hAnsi="Arial" w:cs="Arial"/>
                <w:b/>
                <w:bCs/>
                <w:sz w:val="14"/>
                <w:szCs w:val="14"/>
              </w:rPr>
              <w:t>138</w:t>
            </w:r>
            <w:r w:rsidRPr="005A1F48">
              <w:rPr>
                <w:rFonts w:ascii="Arial" w:hAnsi="Arial" w:cs="Arial"/>
                <w:b/>
                <w:bCs/>
                <w:sz w:val="14"/>
                <w:szCs w:val="14"/>
              </w:rPr>
              <w:t xml:space="preserve"> </w:t>
            </w:r>
          </w:p>
        </w:tc>
        <w:tc>
          <w:tcPr>
            <w:tcW w:w="851" w:type="dxa"/>
            <w:tcBorders>
              <w:top w:val="single" w:sz="4" w:space="0" w:color="auto"/>
              <w:left w:val="nil"/>
              <w:bottom w:val="single" w:sz="4" w:space="0" w:color="auto"/>
              <w:right w:val="nil"/>
            </w:tcBorders>
            <w:shd w:val="clear" w:color="auto" w:fill="auto"/>
            <w:noWrap/>
            <w:vAlign w:val="center"/>
          </w:tcPr>
          <w:p w14:paraId="34D634EB" w14:textId="0A566F27" w:rsidR="00CF5CA1" w:rsidRPr="0070190A" w:rsidRDefault="00CF5CA1" w:rsidP="00CF5CA1">
            <w:pPr>
              <w:jc w:val="right"/>
              <w:rPr>
                <w:rFonts w:ascii="Arial" w:hAnsi="Arial" w:cs="Arial"/>
                <w:b/>
                <w:bCs/>
                <w:sz w:val="14"/>
                <w:szCs w:val="14"/>
                <w:lang w:eastAsia="es-AR"/>
              </w:rPr>
            </w:pPr>
            <w:r>
              <w:rPr>
                <w:rFonts w:ascii="Arial" w:hAnsi="Arial" w:cs="Arial"/>
                <w:b/>
                <w:bCs/>
                <w:sz w:val="14"/>
                <w:szCs w:val="14"/>
              </w:rPr>
              <w:t>7</w:t>
            </w:r>
            <w:r w:rsidRPr="005A1F48">
              <w:rPr>
                <w:rFonts w:ascii="Arial" w:hAnsi="Arial" w:cs="Arial"/>
                <w:b/>
                <w:bCs/>
                <w:sz w:val="14"/>
                <w:szCs w:val="14"/>
              </w:rPr>
              <w:t>.</w:t>
            </w:r>
            <w:r>
              <w:rPr>
                <w:rFonts w:ascii="Arial" w:hAnsi="Arial" w:cs="Arial"/>
                <w:b/>
                <w:bCs/>
                <w:sz w:val="14"/>
                <w:szCs w:val="14"/>
              </w:rPr>
              <w:t>018</w:t>
            </w:r>
            <w:r w:rsidRPr="005A1F48">
              <w:rPr>
                <w:rFonts w:ascii="Arial" w:hAnsi="Arial" w:cs="Arial"/>
                <w:b/>
                <w:bCs/>
                <w:sz w:val="14"/>
                <w:szCs w:val="14"/>
              </w:rPr>
              <w:t>.</w:t>
            </w:r>
            <w:r>
              <w:rPr>
                <w:rFonts w:ascii="Arial" w:hAnsi="Arial" w:cs="Arial"/>
                <w:b/>
                <w:bCs/>
                <w:sz w:val="14"/>
                <w:szCs w:val="14"/>
              </w:rPr>
              <w:t>821</w:t>
            </w:r>
            <w:r w:rsidRPr="005A1F48">
              <w:rPr>
                <w:rFonts w:ascii="Arial" w:hAnsi="Arial" w:cs="Arial"/>
                <w:b/>
                <w:bCs/>
                <w:sz w:val="14"/>
                <w:szCs w:val="14"/>
              </w:rPr>
              <w:t xml:space="preserve"> </w:t>
            </w:r>
          </w:p>
        </w:tc>
        <w:tc>
          <w:tcPr>
            <w:tcW w:w="992" w:type="dxa"/>
            <w:tcBorders>
              <w:top w:val="single" w:sz="4" w:space="0" w:color="auto"/>
              <w:left w:val="nil"/>
              <w:bottom w:val="single" w:sz="4" w:space="0" w:color="auto"/>
              <w:right w:val="nil"/>
            </w:tcBorders>
            <w:shd w:val="clear" w:color="auto" w:fill="auto"/>
            <w:noWrap/>
            <w:vAlign w:val="center"/>
          </w:tcPr>
          <w:p w14:paraId="18B8DE23" w14:textId="787ED3E0" w:rsidR="00CF5CA1" w:rsidRPr="0070190A" w:rsidRDefault="00CF5CA1" w:rsidP="00CF5CA1">
            <w:pPr>
              <w:jc w:val="right"/>
              <w:rPr>
                <w:rFonts w:ascii="Arial" w:hAnsi="Arial" w:cs="Arial"/>
                <w:b/>
                <w:bCs/>
                <w:sz w:val="14"/>
                <w:szCs w:val="14"/>
                <w:lang w:eastAsia="es-AR"/>
              </w:rPr>
            </w:pPr>
            <w:r>
              <w:rPr>
                <w:rFonts w:ascii="Arial" w:hAnsi="Arial" w:cs="Arial"/>
                <w:b/>
                <w:bCs/>
                <w:sz w:val="14"/>
                <w:szCs w:val="14"/>
              </w:rPr>
              <w:t>-11.353</w:t>
            </w:r>
            <w:r w:rsidRPr="005A1F48">
              <w:rPr>
                <w:rFonts w:ascii="Arial" w:hAnsi="Arial" w:cs="Arial"/>
                <w:b/>
                <w:bCs/>
                <w:sz w:val="14"/>
                <w:szCs w:val="14"/>
              </w:rPr>
              <w:t>.</w:t>
            </w:r>
            <w:r>
              <w:rPr>
                <w:rFonts w:ascii="Arial" w:hAnsi="Arial" w:cs="Arial"/>
                <w:b/>
                <w:bCs/>
                <w:sz w:val="14"/>
                <w:szCs w:val="14"/>
              </w:rPr>
              <w:t>984</w:t>
            </w:r>
            <w:r w:rsidRPr="005A1F48">
              <w:rPr>
                <w:rFonts w:ascii="Arial" w:hAnsi="Arial" w:cs="Arial"/>
                <w:b/>
                <w:bCs/>
                <w:sz w:val="14"/>
                <w:szCs w:val="14"/>
              </w:rPr>
              <w:t xml:space="preserve"> </w:t>
            </w:r>
          </w:p>
        </w:tc>
        <w:tc>
          <w:tcPr>
            <w:tcW w:w="992" w:type="dxa"/>
            <w:tcBorders>
              <w:top w:val="single" w:sz="4" w:space="0" w:color="auto"/>
              <w:left w:val="nil"/>
              <w:bottom w:val="single" w:sz="4" w:space="0" w:color="auto"/>
              <w:right w:val="nil"/>
            </w:tcBorders>
            <w:shd w:val="clear" w:color="auto" w:fill="auto"/>
            <w:noWrap/>
            <w:vAlign w:val="center"/>
          </w:tcPr>
          <w:p w14:paraId="072E9220" w14:textId="2101D40B" w:rsidR="00CF5CA1" w:rsidRPr="0070190A" w:rsidRDefault="00CF5CA1" w:rsidP="00CF5CA1">
            <w:pPr>
              <w:jc w:val="right"/>
              <w:rPr>
                <w:rFonts w:ascii="Arial" w:hAnsi="Arial" w:cs="Arial"/>
                <w:b/>
                <w:bCs/>
                <w:sz w:val="14"/>
                <w:szCs w:val="14"/>
                <w:lang w:eastAsia="es-AR"/>
              </w:rPr>
            </w:pPr>
            <w:r>
              <w:rPr>
                <w:rFonts w:ascii="Arial" w:hAnsi="Arial" w:cs="Arial"/>
                <w:b/>
                <w:bCs/>
                <w:sz w:val="14"/>
                <w:szCs w:val="14"/>
              </w:rPr>
              <w:t>21</w:t>
            </w:r>
            <w:r w:rsidRPr="005A1F48">
              <w:rPr>
                <w:rFonts w:ascii="Arial" w:hAnsi="Arial" w:cs="Arial"/>
                <w:b/>
                <w:bCs/>
                <w:sz w:val="14"/>
                <w:szCs w:val="14"/>
              </w:rPr>
              <w:t>.</w:t>
            </w:r>
            <w:r>
              <w:rPr>
                <w:rFonts w:ascii="Arial" w:hAnsi="Arial" w:cs="Arial"/>
                <w:b/>
                <w:bCs/>
                <w:sz w:val="14"/>
                <w:szCs w:val="14"/>
              </w:rPr>
              <w:t>133</w:t>
            </w:r>
            <w:r w:rsidRPr="005A1F48">
              <w:rPr>
                <w:rFonts w:ascii="Arial" w:hAnsi="Arial" w:cs="Arial"/>
                <w:b/>
                <w:bCs/>
                <w:sz w:val="14"/>
                <w:szCs w:val="14"/>
              </w:rPr>
              <w:t>.</w:t>
            </w:r>
            <w:r>
              <w:rPr>
                <w:rFonts w:ascii="Arial" w:hAnsi="Arial" w:cs="Arial"/>
                <w:b/>
                <w:bCs/>
                <w:sz w:val="14"/>
                <w:szCs w:val="14"/>
              </w:rPr>
              <w:t>557</w:t>
            </w:r>
            <w:r w:rsidRPr="005A1F48">
              <w:rPr>
                <w:rFonts w:ascii="Arial" w:hAnsi="Arial" w:cs="Arial"/>
                <w:b/>
                <w:bCs/>
                <w:sz w:val="14"/>
                <w:szCs w:val="14"/>
              </w:rPr>
              <w:t xml:space="preserve"> </w:t>
            </w:r>
          </w:p>
        </w:tc>
        <w:tc>
          <w:tcPr>
            <w:tcW w:w="851" w:type="dxa"/>
            <w:tcBorders>
              <w:top w:val="single" w:sz="4" w:space="0" w:color="auto"/>
              <w:left w:val="nil"/>
              <w:bottom w:val="single" w:sz="4" w:space="0" w:color="auto"/>
              <w:right w:val="nil"/>
            </w:tcBorders>
            <w:shd w:val="clear" w:color="auto" w:fill="auto"/>
            <w:noWrap/>
            <w:vAlign w:val="center"/>
          </w:tcPr>
          <w:p w14:paraId="20A88BF3" w14:textId="5B8B8223" w:rsidR="00CF5CA1" w:rsidRPr="0070190A" w:rsidRDefault="00CF5CA1" w:rsidP="00CF5CA1">
            <w:pPr>
              <w:jc w:val="right"/>
              <w:rPr>
                <w:rFonts w:ascii="Arial" w:hAnsi="Arial" w:cs="Arial"/>
                <w:b/>
                <w:bCs/>
                <w:sz w:val="14"/>
                <w:szCs w:val="14"/>
                <w:lang w:eastAsia="es-AR"/>
              </w:rPr>
            </w:pPr>
            <w:r w:rsidRPr="005A1F48">
              <w:rPr>
                <w:rFonts w:ascii="Arial" w:hAnsi="Arial" w:cs="Arial"/>
                <w:b/>
                <w:bCs/>
                <w:sz w:val="14"/>
                <w:szCs w:val="14"/>
              </w:rPr>
              <w:t>1</w:t>
            </w:r>
            <w:r>
              <w:rPr>
                <w:rFonts w:ascii="Arial" w:hAnsi="Arial" w:cs="Arial"/>
                <w:b/>
                <w:bCs/>
                <w:sz w:val="14"/>
                <w:szCs w:val="14"/>
              </w:rPr>
              <w:t>53</w:t>
            </w:r>
            <w:r w:rsidRPr="005A1F48">
              <w:rPr>
                <w:rFonts w:ascii="Arial" w:hAnsi="Arial" w:cs="Arial"/>
                <w:b/>
                <w:bCs/>
                <w:sz w:val="14"/>
                <w:szCs w:val="14"/>
              </w:rPr>
              <w:t>.</w:t>
            </w:r>
            <w:r>
              <w:rPr>
                <w:rFonts w:ascii="Arial" w:hAnsi="Arial" w:cs="Arial"/>
                <w:b/>
                <w:bCs/>
                <w:sz w:val="14"/>
                <w:szCs w:val="14"/>
              </w:rPr>
              <w:t>278</w:t>
            </w:r>
            <w:r w:rsidRPr="005A1F48">
              <w:rPr>
                <w:rFonts w:ascii="Arial" w:hAnsi="Arial" w:cs="Arial"/>
                <w:b/>
                <w:bCs/>
                <w:sz w:val="14"/>
                <w:szCs w:val="14"/>
              </w:rPr>
              <w:t xml:space="preserve"> </w:t>
            </w:r>
          </w:p>
        </w:tc>
        <w:tc>
          <w:tcPr>
            <w:tcW w:w="850" w:type="dxa"/>
            <w:tcBorders>
              <w:top w:val="single" w:sz="4" w:space="0" w:color="auto"/>
              <w:left w:val="nil"/>
              <w:bottom w:val="single" w:sz="4" w:space="0" w:color="auto"/>
              <w:right w:val="nil"/>
            </w:tcBorders>
            <w:shd w:val="clear" w:color="auto" w:fill="auto"/>
            <w:noWrap/>
            <w:vAlign w:val="center"/>
          </w:tcPr>
          <w:p w14:paraId="7D0DB733" w14:textId="037C1408" w:rsidR="00CF5CA1" w:rsidRPr="0070190A" w:rsidRDefault="00CF5CA1" w:rsidP="00CF5CA1">
            <w:pPr>
              <w:jc w:val="right"/>
              <w:rPr>
                <w:rFonts w:ascii="Arial" w:hAnsi="Arial" w:cs="Arial"/>
                <w:b/>
                <w:bCs/>
                <w:sz w:val="14"/>
                <w:szCs w:val="14"/>
                <w:lang w:eastAsia="es-AR"/>
              </w:rPr>
            </w:pPr>
            <w:r>
              <w:rPr>
                <w:rFonts w:ascii="Arial" w:hAnsi="Arial" w:cs="Arial"/>
                <w:b/>
                <w:bCs/>
                <w:sz w:val="14"/>
                <w:szCs w:val="14"/>
              </w:rPr>
              <w:t>21</w:t>
            </w:r>
            <w:r w:rsidRPr="005A1F48">
              <w:rPr>
                <w:rFonts w:ascii="Arial" w:hAnsi="Arial" w:cs="Arial"/>
                <w:b/>
                <w:bCs/>
                <w:sz w:val="14"/>
                <w:szCs w:val="14"/>
              </w:rPr>
              <w:t>.</w:t>
            </w:r>
            <w:r>
              <w:rPr>
                <w:rFonts w:ascii="Arial" w:hAnsi="Arial" w:cs="Arial"/>
                <w:b/>
                <w:bCs/>
                <w:sz w:val="14"/>
                <w:szCs w:val="14"/>
              </w:rPr>
              <w:t>286</w:t>
            </w:r>
            <w:r w:rsidRPr="005A1F48">
              <w:rPr>
                <w:rFonts w:ascii="Arial" w:hAnsi="Arial" w:cs="Arial"/>
                <w:b/>
                <w:bCs/>
                <w:sz w:val="14"/>
                <w:szCs w:val="14"/>
              </w:rPr>
              <w:t>.</w:t>
            </w:r>
            <w:r>
              <w:rPr>
                <w:rFonts w:ascii="Arial" w:hAnsi="Arial" w:cs="Arial"/>
                <w:b/>
                <w:bCs/>
                <w:sz w:val="14"/>
                <w:szCs w:val="14"/>
              </w:rPr>
              <w:t>835</w:t>
            </w:r>
            <w:r w:rsidRPr="005A1F48">
              <w:rPr>
                <w:rFonts w:ascii="Arial" w:hAnsi="Arial" w:cs="Arial"/>
                <w:b/>
                <w:bCs/>
                <w:sz w:val="14"/>
                <w:szCs w:val="14"/>
              </w:rPr>
              <w:t xml:space="preserve"> </w:t>
            </w:r>
          </w:p>
        </w:tc>
      </w:tr>
    </w:tbl>
    <w:p w14:paraId="551690A2" w14:textId="6F704D15" w:rsidR="00D32EC0" w:rsidRDefault="00D32EC0" w:rsidP="00831174">
      <w:pPr>
        <w:rPr>
          <w:sz w:val="20"/>
          <w:lang w:eastAsia="es-AR"/>
        </w:rPr>
      </w:pPr>
    </w:p>
    <w:p w14:paraId="62F7B620" w14:textId="77777777" w:rsidR="00D32EC0" w:rsidRDefault="00D32EC0" w:rsidP="00831174">
      <w:pPr>
        <w:rPr>
          <w:sz w:val="20"/>
          <w:lang w:eastAsia="es-AR"/>
        </w:rPr>
      </w:pPr>
    </w:p>
    <w:p w14:paraId="7F6AD29D" w14:textId="1570B93F" w:rsidR="00EA51F0" w:rsidRPr="00701F32" w:rsidRDefault="00EA51F0" w:rsidP="00831174">
      <w:pPr>
        <w:rPr>
          <w:sz w:val="20"/>
          <w:lang w:eastAsia="es-AR"/>
        </w:rPr>
        <w:sectPr w:rsidR="00EA51F0" w:rsidRPr="00701F32" w:rsidSect="00B45138">
          <w:headerReference w:type="even" r:id="rId14"/>
          <w:headerReference w:type="default" r:id="rId15"/>
          <w:headerReference w:type="first" r:id="rId16"/>
          <w:pgSz w:w="16840" w:h="11907" w:orient="landscape" w:code="9"/>
          <w:pgMar w:top="1418" w:right="1701" w:bottom="1418" w:left="1701" w:header="567" w:footer="0" w:gutter="0"/>
          <w:paperSrc w:first="15" w:other="15"/>
          <w:pgNumType w:chapStyle="1"/>
          <w:cols w:space="720"/>
          <w:docGrid w:linePitch="326"/>
        </w:sectPr>
      </w:pPr>
    </w:p>
    <w:p w14:paraId="7A898DB3" w14:textId="77777777" w:rsidR="00593C40" w:rsidRPr="00593C40" w:rsidRDefault="008D71A1" w:rsidP="00A85819">
      <w:pPr>
        <w:rPr>
          <w:sz w:val="16"/>
          <w:szCs w:val="16"/>
          <w:lang w:eastAsia="es-AR"/>
        </w:rPr>
      </w:pPr>
      <w:r w:rsidRPr="00701F32">
        <w:rPr>
          <w:sz w:val="20"/>
          <w:lang w:eastAsia="es-AR"/>
        </w:rPr>
        <w:lastRenderedPageBreak/>
        <w:t xml:space="preserve"> </w:t>
      </w:r>
    </w:p>
    <w:tbl>
      <w:tblPr>
        <w:tblW w:w="4944" w:type="pct"/>
        <w:tblLayout w:type="fixed"/>
        <w:tblCellMar>
          <w:left w:w="70" w:type="dxa"/>
          <w:right w:w="70" w:type="dxa"/>
        </w:tblCellMar>
        <w:tblLook w:val="04A0" w:firstRow="1" w:lastRow="0" w:firstColumn="1" w:lastColumn="0" w:noHBand="0" w:noVBand="1"/>
      </w:tblPr>
      <w:tblGrid>
        <w:gridCol w:w="5472"/>
        <w:gridCol w:w="690"/>
        <w:gridCol w:w="1013"/>
        <w:gridCol w:w="1225"/>
      </w:tblGrid>
      <w:tr w:rsidR="00593C40" w:rsidRPr="002D55D1" w14:paraId="3F27A597" w14:textId="77777777" w:rsidTr="008647A4">
        <w:trPr>
          <w:trHeight w:val="390"/>
        </w:trPr>
        <w:tc>
          <w:tcPr>
            <w:tcW w:w="3257"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A0E123A" w14:textId="77777777" w:rsidR="00593C40" w:rsidRPr="002D55D1" w:rsidRDefault="00593C40" w:rsidP="00593C40">
            <w:pPr>
              <w:jc w:val="center"/>
              <w:rPr>
                <w:rFonts w:ascii="Arial" w:hAnsi="Arial" w:cs="Arial"/>
                <w:b/>
                <w:bCs/>
                <w:sz w:val="16"/>
                <w:szCs w:val="16"/>
                <w:lang w:eastAsia="es-AR"/>
              </w:rPr>
            </w:pPr>
            <w:bookmarkStart w:id="3" w:name="_Hlk23177184"/>
            <w:r w:rsidRPr="002D55D1">
              <w:rPr>
                <w:rFonts w:ascii="Arial" w:hAnsi="Arial" w:cs="Arial"/>
                <w:b/>
                <w:bCs/>
                <w:sz w:val="16"/>
                <w:szCs w:val="16"/>
                <w:lang w:eastAsia="es-AR"/>
              </w:rPr>
              <w:t>Conceptos</w:t>
            </w:r>
          </w:p>
        </w:tc>
        <w:tc>
          <w:tcPr>
            <w:tcW w:w="411"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58DDFAD5" w14:textId="77777777" w:rsidR="00593C40" w:rsidRPr="002D55D1" w:rsidRDefault="00593C40" w:rsidP="00593C40">
            <w:pPr>
              <w:jc w:val="center"/>
              <w:rPr>
                <w:rFonts w:ascii="Arial" w:hAnsi="Arial" w:cs="Arial"/>
                <w:b/>
                <w:bCs/>
                <w:sz w:val="16"/>
                <w:szCs w:val="16"/>
                <w:lang w:eastAsia="es-AR"/>
              </w:rPr>
            </w:pPr>
            <w:r w:rsidRPr="002D55D1">
              <w:rPr>
                <w:rFonts w:ascii="Arial" w:hAnsi="Arial" w:cs="Arial"/>
                <w:b/>
                <w:bCs/>
                <w:sz w:val="16"/>
                <w:szCs w:val="16"/>
                <w:lang w:eastAsia="es-AR"/>
              </w:rPr>
              <w:t>Notas</w:t>
            </w:r>
          </w:p>
        </w:tc>
        <w:tc>
          <w:tcPr>
            <w:tcW w:w="603"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56ECAD52" w14:textId="76655799" w:rsidR="00593C40" w:rsidRPr="002D55D1" w:rsidRDefault="00DA5A04" w:rsidP="009C5DAE">
            <w:pPr>
              <w:jc w:val="center"/>
              <w:rPr>
                <w:rFonts w:ascii="Arial" w:hAnsi="Arial" w:cs="Arial"/>
                <w:b/>
                <w:bCs/>
                <w:sz w:val="16"/>
                <w:szCs w:val="16"/>
                <w:lang w:eastAsia="es-AR"/>
              </w:rPr>
            </w:pPr>
            <w:r>
              <w:rPr>
                <w:rFonts w:ascii="Arial" w:hAnsi="Arial" w:cs="Arial"/>
                <w:b/>
                <w:bCs/>
                <w:sz w:val="16"/>
                <w:szCs w:val="16"/>
                <w:lang w:eastAsia="es-AR"/>
              </w:rPr>
              <w:t>31/03/2020</w:t>
            </w:r>
          </w:p>
        </w:tc>
        <w:tc>
          <w:tcPr>
            <w:tcW w:w="729"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50C20ADD" w14:textId="04254997" w:rsidR="00593C40" w:rsidRPr="002D55D1" w:rsidRDefault="00DA5A04" w:rsidP="009C5DAE">
            <w:pPr>
              <w:jc w:val="center"/>
              <w:rPr>
                <w:rFonts w:ascii="Arial" w:hAnsi="Arial" w:cs="Arial"/>
                <w:b/>
                <w:bCs/>
                <w:sz w:val="16"/>
                <w:szCs w:val="16"/>
                <w:lang w:eastAsia="es-AR"/>
              </w:rPr>
            </w:pPr>
            <w:r>
              <w:rPr>
                <w:rFonts w:ascii="Arial" w:hAnsi="Arial" w:cs="Arial"/>
                <w:b/>
                <w:bCs/>
                <w:sz w:val="16"/>
                <w:szCs w:val="16"/>
                <w:lang w:eastAsia="es-AR"/>
              </w:rPr>
              <w:t>31/03/2019</w:t>
            </w:r>
          </w:p>
        </w:tc>
      </w:tr>
      <w:tr w:rsidR="00593C40" w:rsidRPr="002D55D1" w14:paraId="6D9FF518" w14:textId="77777777" w:rsidTr="007F2A80">
        <w:trPr>
          <w:trHeight w:val="255"/>
        </w:trPr>
        <w:tc>
          <w:tcPr>
            <w:tcW w:w="3257" w:type="pct"/>
            <w:tcBorders>
              <w:top w:val="nil"/>
              <w:left w:val="nil"/>
              <w:bottom w:val="nil"/>
              <w:right w:val="nil"/>
            </w:tcBorders>
            <w:shd w:val="clear" w:color="auto" w:fill="auto"/>
            <w:hideMark/>
          </w:tcPr>
          <w:p w14:paraId="6F085B82" w14:textId="77777777" w:rsidR="00593C40" w:rsidRPr="002D55D1" w:rsidRDefault="00593C40" w:rsidP="00593C40">
            <w:pPr>
              <w:rPr>
                <w:rFonts w:ascii="Arial" w:hAnsi="Arial" w:cs="Arial"/>
                <w:b/>
                <w:bCs/>
                <w:sz w:val="16"/>
                <w:szCs w:val="16"/>
                <w:lang w:eastAsia="es-AR"/>
              </w:rPr>
            </w:pPr>
            <w:r w:rsidRPr="002D55D1">
              <w:rPr>
                <w:rFonts w:ascii="Arial" w:hAnsi="Arial" w:cs="Arial"/>
                <w:b/>
                <w:bCs/>
                <w:sz w:val="16"/>
                <w:szCs w:val="16"/>
                <w:lang w:eastAsia="es-AR"/>
              </w:rPr>
              <w:t>FLUJOS DE EFECTIVO DE LAS ACTIVIDADES OPERATIVAS</w:t>
            </w:r>
          </w:p>
        </w:tc>
        <w:tc>
          <w:tcPr>
            <w:tcW w:w="411" w:type="pct"/>
            <w:tcBorders>
              <w:top w:val="nil"/>
              <w:left w:val="nil"/>
              <w:bottom w:val="nil"/>
              <w:right w:val="nil"/>
            </w:tcBorders>
            <w:shd w:val="clear" w:color="auto" w:fill="auto"/>
            <w:noWrap/>
            <w:hideMark/>
          </w:tcPr>
          <w:p w14:paraId="2EAB7946" w14:textId="77777777" w:rsidR="00593C40" w:rsidRPr="002D55D1" w:rsidRDefault="00593C40" w:rsidP="00593C40">
            <w:pPr>
              <w:jc w:val="center"/>
              <w:rPr>
                <w:rFonts w:ascii="Arial" w:hAnsi="Arial" w:cs="Arial"/>
                <w:sz w:val="16"/>
                <w:szCs w:val="16"/>
                <w:lang w:eastAsia="es-AR"/>
              </w:rPr>
            </w:pPr>
            <w:r w:rsidRPr="002D55D1">
              <w:rPr>
                <w:rFonts w:ascii="Arial" w:hAnsi="Arial" w:cs="Arial"/>
                <w:sz w:val="16"/>
                <w:szCs w:val="16"/>
                <w:lang w:eastAsia="es-AR"/>
              </w:rPr>
              <w:t> </w:t>
            </w:r>
          </w:p>
        </w:tc>
        <w:tc>
          <w:tcPr>
            <w:tcW w:w="603" w:type="pct"/>
            <w:tcBorders>
              <w:top w:val="nil"/>
              <w:left w:val="nil"/>
              <w:bottom w:val="nil"/>
              <w:right w:val="nil"/>
            </w:tcBorders>
            <w:shd w:val="clear" w:color="auto" w:fill="auto"/>
            <w:noWrap/>
          </w:tcPr>
          <w:p w14:paraId="03582D67" w14:textId="42B76A71" w:rsidR="00593C40" w:rsidRPr="002D55D1" w:rsidRDefault="00593C40" w:rsidP="00534414">
            <w:pPr>
              <w:jc w:val="right"/>
              <w:rPr>
                <w:rFonts w:ascii="Arial" w:hAnsi="Arial" w:cs="Arial"/>
                <w:sz w:val="16"/>
                <w:szCs w:val="16"/>
                <w:lang w:eastAsia="es-AR"/>
              </w:rPr>
            </w:pPr>
          </w:p>
        </w:tc>
        <w:tc>
          <w:tcPr>
            <w:tcW w:w="729" w:type="pct"/>
            <w:tcBorders>
              <w:top w:val="nil"/>
              <w:left w:val="nil"/>
              <w:bottom w:val="nil"/>
              <w:right w:val="nil"/>
            </w:tcBorders>
            <w:shd w:val="clear" w:color="auto" w:fill="auto"/>
            <w:noWrap/>
          </w:tcPr>
          <w:p w14:paraId="68D27A05" w14:textId="42CC8044" w:rsidR="00593C40" w:rsidRPr="002D55D1" w:rsidRDefault="00593C40" w:rsidP="00534414">
            <w:pPr>
              <w:jc w:val="right"/>
              <w:rPr>
                <w:rFonts w:ascii="Arial" w:hAnsi="Arial" w:cs="Arial"/>
                <w:sz w:val="16"/>
                <w:szCs w:val="16"/>
                <w:lang w:eastAsia="es-AR"/>
              </w:rPr>
            </w:pPr>
          </w:p>
        </w:tc>
      </w:tr>
      <w:tr w:rsidR="00593C40" w:rsidRPr="002D55D1" w14:paraId="41FD6DBF" w14:textId="77777777" w:rsidTr="005A1F48">
        <w:trPr>
          <w:trHeight w:val="113"/>
        </w:trPr>
        <w:tc>
          <w:tcPr>
            <w:tcW w:w="3257" w:type="pct"/>
            <w:tcBorders>
              <w:top w:val="nil"/>
              <w:left w:val="nil"/>
              <w:bottom w:val="nil"/>
              <w:right w:val="nil"/>
            </w:tcBorders>
            <w:shd w:val="clear" w:color="auto" w:fill="auto"/>
            <w:hideMark/>
          </w:tcPr>
          <w:p w14:paraId="2C8A8D69" w14:textId="77777777" w:rsidR="00593C40" w:rsidRPr="002D55D1" w:rsidRDefault="00593C40" w:rsidP="00593C40">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5A5FBA01" w14:textId="77777777" w:rsidR="00593C40" w:rsidRPr="002D55D1" w:rsidRDefault="00593C40" w:rsidP="00593C40">
            <w:pPr>
              <w:rPr>
                <w:rFonts w:ascii="Arial" w:hAnsi="Arial" w:cs="Arial"/>
                <w:sz w:val="10"/>
                <w:szCs w:val="10"/>
                <w:lang w:eastAsia="es-AR"/>
              </w:rPr>
            </w:pPr>
          </w:p>
        </w:tc>
        <w:tc>
          <w:tcPr>
            <w:tcW w:w="603" w:type="pct"/>
            <w:tcBorders>
              <w:top w:val="nil"/>
              <w:left w:val="nil"/>
              <w:bottom w:val="nil"/>
              <w:right w:val="nil"/>
            </w:tcBorders>
            <w:shd w:val="clear" w:color="auto" w:fill="auto"/>
            <w:hideMark/>
          </w:tcPr>
          <w:p w14:paraId="256F8F6F" w14:textId="77777777" w:rsidR="00593C40" w:rsidRPr="002D55D1" w:rsidRDefault="00593C40" w:rsidP="00593C40">
            <w:pPr>
              <w:jc w:val="center"/>
              <w:rPr>
                <w:rFonts w:ascii="Arial" w:hAnsi="Arial" w:cs="Arial"/>
                <w:sz w:val="10"/>
                <w:szCs w:val="10"/>
                <w:lang w:eastAsia="es-AR"/>
              </w:rPr>
            </w:pPr>
          </w:p>
        </w:tc>
        <w:tc>
          <w:tcPr>
            <w:tcW w:w="729" w:type="pct"/>
            <w:tcBorders>
              <w:top w:val="nil"/>
              <w:left w:val="nil"/>
              <w:bottom w:val="nil"/>
              <w:right w:val="nil"/>
            </w:tcBorders>
            <w:shd w:val="clear" w:color="auto" w:fill="auto"/>
            <w:hideMark/>
          </w:tcPr>
          <w:p w14:paraId="43DE4B59" w14:textId="77777777" w:rsidR="00593C40" w:rsidRPr="002D55D1" w:rsidRDefault="00593C40" w:rsidP="00593C40">
            <w:pPr>
              <w:jc w:val="right"/>
              <w:rPr>
                <w:rFonts w:ascii="Arial" w:hAnsi="Arial" w:cs="Arial"/>
                <w:sz w:val="10"/>
                <w:szCs w:val="10"/>
                <w:lang w:eastAsia="es-AR"/>
              </w:rPr>
            </w:pPr>
          </w:p>
        </w:tc>
      </w:tr>
      <w:tr w:rsidR="00415AF0" w:rsidRPr="002D55D1" w14:paraId="6EF13984" w14:textId="77777777" w:rsidTr="00AA5BDF">
        <w:trPr>
          <w:trHeight w:val="285"/>
        </w:trPr>
        <w:tc>
          <w:tcPr>
            <w:tcW w:w="3257" w:type="pct"/>
            <w:tcBorders>
              <w:top w:val="nil"/>
              <w:left w:val="nil"/>
              <w:bottom w:val="nil"/>
              <w:right w:val="nil"/>
            </w:tcBorders>
            <w:shd w:val="clear" w:color="auto" w:fill="auto"/>
            <w:vAlign w:val="center"/>
            <w:hideMark/>
          </w:tcPr>
          <w:p w14:paraId="32681F1D" w14:textId="49749A88" w:rsidR="00415AF0" w:rsidRPr="002D55D1" w:rsidRDefault="00415AF0" w:rsidP="00CD2AEF">
            <w:pPr>
              <w:rPr>
                <w:rFonts w:ascii="Arial" w:hAnsi="Arial" w:cs="Arial"/>
                <w:b/>
                <w:bCs/>
                <w:sz w:val="16"/>
                <w:szCs w:val="16"/>
                <w:lang w:eastAsia="es-AR"/>
              </w:rPr>
            </w:pPr>
            <w:r w:rsidRPr="002D55D1">
              <w:rPr>
                <w:rFonts w:ascii="Arial" w:hAnsi="Arial" w:cs="Arial"/>
                <w:b/>
                <w:bCs/>
                <w:sz w:val="16"/>
                <w:szCs w:val="16"/>
                <w:lang w:eastAsia="es-AR"/>
              </w:rPr>
              <w:t xml:space="preserve">Resultado del </w:t>
            </w:r>
            <w:r>
              <w:rPr>
                <w:rFonts w:ascii="Arial" w:hAnsi="Arial" w:cs="Arial"/>
                <w:b/>
                <w:bCs/>
                <w:sz w:val="16"/>
                <w:szCs w:val="16"/>
                <w:lang w:eastAsia="es-AR"/>
              </w:rPr>
              <w:t>período</w:t>
            </w:r>
            <w:r w:rsidRPr="002D55D1">
              <w:rPr>
                <w:rFonts w:ascii="Arial" w:hAnsi="Arial" w:cs="Arial"/>
                <w:b/>
                <w:bCs/>
                <w:sz w:val="16"/>
                <w:szCs w:val="16"/>
                <w:lang w:eastAsia="es-AR"/>
              </w:rPr>
              <w:t xml:space="preserve"> antes del Impuesto a las Ganancias</w:t>
            </w:r>
          </w:p>
        </w:tc>
        <w:tc>
          <w:tcPr>
            <w:tcW w:w="411" w:type="pct"/>
            <w:tcBorders>
              <w:top w:val="nil"/>
              <w:left w:val="nil"/>
              <w:bottom w:val="nil"/>
              <w:right w:val="nil"/>
            </w:tcBorders>
            <w:shd w:val="clear" w:color="auto" w:fill="auto"/>
            <w:hideMark/>
          </w:tcPr>
          <w:p w14:paraId="5F7E767F" w14:textId="77777777" w:rsidR="00415AF0" w:rsidRPr="002D55D1" w:rsidRDefault="00415AF0" w:rsidP="00415AF0">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1194D39C" w14:textId="633FBD30" w:rsidR="00415AF0" w:rsidRPr="00593C40" w:rsidRDefault="00A70C68" w:rsidP="00AA5BDF">
            <w:pPr>
              <w:jc w:val="right"/>
              <w:rPr>
                <w:rFonts w:ascii="Arial" w:hAnsi="Arial" w:cs="Arial"/>
                <w:sz w:val="16"/>
                <w:szCs w:val="16"/>
                <w:lang w:eastAsia="es-AR"/>
              </w:rPr>
            </w:pPr>
            <w:r w:rsidRPr="00A70C68">
              <w:rPr>
                <w:rFonts w:ascii="Arial" w:hAnsi="Arial" w:cs="Arial"/>
                <w:sz w:val="16"/>
                <w:szCs w:val="16"/>
                <w:lang w:eastAsia="es-AR"/>
              </w:rPr>
              <w:t>600.686</w:t>
            </w:r>
          </w:p>
        </w:tc>
        <w:tc>
          <w:tcPr>
            <w:tcW w:w="729" w:type="pct"/>
            <w:tcBorders>
              <w:top w:val="nil"/>
              <w:left w:val="nil"/>
              <w:bottom w:val="nil"/>
              <w:right w:val="nil"/>
            </w:tcBorders>
            <w:shd w:val="clear" w:color="auto" w:fill="auto"/>
            <w:vAlign w:val="bottom"/>
          </w:tcPr>
          <w:p w14:paraId="1586C99D" w14:textId="1FE817E5" w:rsidR="00415AF0" w:rsidRPr="00542F7D" w:rsidRDefault="008A46DC" w:rsidP="00AA5BDF">
            <w:pPr>
              <w:jc w:val="right"/>
              <w:rPr>
                <w:rFonts w:ascii="Arial" w:hAnsi="Arial" w:cs="Arial"/>
                <w:sz w:val="16"/>
                <w:szCs w:val="16"/>
                <w:lang w:eastAsia="es-AR"/>
              </w:rPr>
            </w:pPr>
            <w:r w:rsidRPr="008A46DC">
              <w:rPr>
                <w:rFonts w:ascii="Arial" w:hAnsi="Arial" w:cs="Arial"/>
                <w:sz w:val="16"/>
                <w:szCs w:val="16"/>
                <w:lang w:eastAsia="es-AR"/>
              </w:rPr>
              <w:t xml:space="preserve">-1.097.182 </w:t>
            </w:r>
          </w:p>
        </w:tc>
      </w:tr>
      <w:tr w:rsidR="00415AF0" w:rsidRPr="00593C40" w14:paraId="1205AD40" w14:textId="77777777" w:rsidTr="00AA5BDF">
        <w:trPr>
          <w:trHeight w:val="121"/>
        </w:trPr>
        <w:tc>
          <w:tcPr>
            <w:tcW w:w="3257" w:type="pct"/>
            <w:tcBorders>
              <w:top w:val="nil"/>
              <w:left w:val="nil"/>
              <w:bottom w:val="nil"/>
              <w:right w:val="nil"/>
            </w:tcBorders>
            <w:shd w:val="clear" w:color="auto" w:fill="auto"/>
            <w:vAlign w:val="center"/>
            <w:hideMark/>
          </w:tcPr>
          <w:p w14:paraId="3738609C" w14:textId="77777777" w:rsidR="00415AF0" w:rsidRPr="00593C40" w:rsidRDefault="00415AF0" w:rsidP="00CD2AEF">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08DF0AA1" w14:textId="77777777" w:rsidR="00415AF0" w:rsidRPr="00593C40" w:rsidRDefault="00415AF0" w:rsidP="00415AF0">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6FA780AD" w14:textId="77777777" w:rsidR="00415AF0" w:rsidRPr="00593C40" w:rsidRDefault="00415AF0"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080063EA" w14:textId="77777777" w:rsidR="00415AF0" w:rsidRPr="00542F7D" w:rsidRDefault="00415AF0" w:rsidP="00AA5BDF">
            <w:pPr>
              <w:jc w:val="right"/>
              <w:rPr>
                <w:rFonts w:ascii="Arial" w:hAnsi="Arial" w:cs="Arial"/>
                <w:sz w:val="10"/>
                <w:szCs w:val="10"/>
                <w:lang w:eastAsia="es-AR"/>
              </w:rPr>
            </w:pPr>
          </w:p>
        </w:tc>
      </w:tr>
      <w:tr w:rsidR="00A70C68" w:rsidRPr="00593C40" w14:paraId="2DDB8CB6" w14:textId="77777777" w:rsidTr="007F2A80">
        <w:trPr>
          <w:trHeight w:val="149"/>
        </w:trPr>
        <w:tc>
          <w:tcPr>
            <w:tcW w:w="3257" w:type="pct"/>
            <w:tcBorders>
              <w:top w:val="nil"/>
              <w:left w:val="nil"/>
              <w:bottom w:val="nil"/>
              <w:right w:val="nil"/>
            </w:tcBorders>
            <w:shd w:val="clear" w:color="auto" w:fill="auto"/>
            <w:vAlign w:val="center"/>
          </w:tcPr>
          <w:p w14:paraId="14F223ED" w14:textId="6BB386BD" w:rsidR="00A70C68" w:rsidRPr="00BA7A6B" w:rsidRDefault="00710664" w:rsidP="00CD2AEF">
            <w:pPr>
              <w:rPr>
                <w:rFonts w:ascii="Arial" w:hAnsi="Arial" w:cs="Arial"/>
                <w:sz w:val="16"/>
                <w:szCs w:val="16"/>
                <w:lang w:eastAsia="es-AR"/>
              </w:rPr>
            </w:pPr>
            <w:r w:rsidRPr="00BA7A6B">
              <w:rPr>
                <w:rFonts w:ascii="Arial" w:hAnsi="Arial" w:cs="Arial"/>
                <w:sz w:val="16"/>
                <w:szCs w:val="16"/>
                <w:lang w:eastAsia="es-AR"/>
              </w:rPr>
              <w:t>Resultado Posicion Monetaia Neta</w:t>
            </w:r>
          </w:p>
        </w:tc>
        <w:tc>
          <w:tcPr>
            <w:tcW w:w="411" w:type="pct"/>
            <w:tcBorders>
              <w:top w:val="nil"/>
              <w:left w:val="nil"/>
              <w:bottom w:val="nil"/>
              <w:right w:val="nil"/>
            </w:tcBorders>
            <w:shd w:val="clear" w:color="auto" w:fill="auto"/>
          </w:tcPr>
          <w:p w14:paraId="2858FA7D" w14:textId="77777777" w:rsidR="00A70C68" w:rsidRPr="00593C40" w:rsidRDefault="00A70C68" w:rsidP="00415AF0">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788E5A82" w14:textId="5AD5C267" w:rsidR="00A70C68" w:rsidRPr="00A70C68" w:rsidRDefault="00A70C68" w:rsidP="00AA5BDF">
            <w:pPr>
              <w:jc w:val="right"/>
              <w:rPr>
                <w:rFonts w:ascii="Arial" w:hAnsi="Arial" w:cs="Arial"/>
                <w:sz w:val="16"/>
                <w:szCs w:val="16"/>
                <w:lang w:eastAsia="es-AR"/>
              </w:rPr>
            </w:pPr>
            <w:r w:rsidRPr="00A70C68">
              <w:rPr>
                <w:rFonts w:ascii="Arial" w:hAnsi="Arial" w:cs="Arial"/>
                <w:sz w:val="16"/>
                <w:szCs w:val="16"/>
                <w:lang w:eastAsia="es-AR"/>
              </w:rPr>
              <w:t>-695.368</w:t>
            </w:r>
          </w:p>
        </w:tc>
        <w:tc>
          <w:tcPr>
            <w:tcW w:w="729" w:type="pct"/>
            <w:tcBorders>
              <w:top w:val="nil"/>
              <w:left w:val="nil"/>
              <w:bottom w:val="nil"/>
              <w:right w:val="nil"/>
            </w:tcBorders>
            <w:shd w:val="clear" w:color="auto" w:fill="auto"/>
            <w:vAlign w:val="bottom"/>
          </w:tcPr>
          <w:p w14:paraId="083329E9" w14:textId="2799C0D3" w:rsidR="00A70C68" w:rsidRPr="00BA7A6B" w:rsidRDefault="00D60B95" w:rsidP="00AA5BDF">
            <w:pPr>
              <w:jc w:val="right"/>
              <w:rPr>
                <w:rFonts w:ascii="Arial" w:hAnsi="Arial" w:cs="Arial"/>
                <w:sz w:val="16"/>
                <w:szCs w:val="16"/>
                <w:lang w:eastAsia="es-AR"/>
              </w:rPr>
            </w:pPr>
            <w:r w:rsidRPr="00BA7A6B">
              <w:rPr>
                <w:rFonts w:ascii="Arial" w:hAnsi="Arial" w:cs="Arial"/>
                <w:sz w:val="16"/>
                <w:szCs w:val="16"/>
                <w:lang w:eastAsia="es-AR"/>
              </w:rPr>
              <w:t>-1.641.199</w:t>
            </w:r>
          </w:p>
        </w:tc>
      </w:tr>
      <w:tr w:rsidR="00415AF0" w:rsidRPr="002D55D1" w14:paraId="5F025878" w14:textId="77777777" w:rsidTr="00AA5BDF">
        <w:trPr>
          <w:trHeight w:val="293"/>
        </w:trPr>
        <w:tc>
          <w:tcPr>
            <w:tcW w:w="3257" w:type="pct"/>
            <w:tcBorders>
              <w:top w:val="nil"/>
              <w:left w:val="nil"/>
              <w:bottom w:val="nil"/>
              <w:right w:val="nil"/>
            </w:tcBorders>
            <w:shd w:val="clear" w:color="auto" w:fill="auto"/>
            <w:vAlign w:val="center"/>
            <w:hideMark/>
          </w:tcPr>
          <w:p w14:paraId="7ED42E4A" w14:textId="77777777" w:rsidR="00415AF0" w:rsidRPr="002D55D1" w:rsidRDefault="00415AF0" w:rsidP="00CD2AEF">
            <w:pPr>
              <w:rPr>
                <w:rFonts w:ascii="Arial" w:hAnsi="Arial" w:cs="Arial"/>
                <w:b/>
                <w:bCs/>
                <w:sz w:val="16"/>
                <w:szCs w:val="16"/>
                <w:lang w:eastAsia="es-AR"/>
              </w:rPr>
            </w:pPr>
            <w:r w:rsidRPr="002D55D1">
              <w:rPr>
                <w:rFonts w:ascii="Arial" w:hAnsi="Arial" w:cs="Arial"/>
                <w:b/>
                <w:bCs/>
                <w:sz w:val="16"/>
                <w:szCs w:val="16"/>
                <w:lang w:eastAsia="es-AR"/>
              </w:rPr>
              <w:t>Ajustes para obtener los flujos provenientes de actividades operativas:</w:t>
            </w:r>
          </w:p>
        </w:tc>
        <w:tc>
          <w:tcPr>
            <w:tcW w:w="411" w:type="pct"/>
            <w:tcBorders>
              <w:top w:val="nil"/>
              <w:left w:val="nil"/>
              <w:bottom w:val="nil"/>
              <w:right w:val="nil"/>
            </w:tcBorders>
            <w:shd w:val="clear" w:color="auto" w:fill="auto"/>
            <w:hideMark/>
          </w:tcPr>
          <w:p w14:paraId="2D00B602" w14:textId="77777777" w:rsidR="00415AF0" w:rsidRPr="002D55D1" w:rsidRDefault="00415AF0" w:rsidP="00415AF0">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0F533E93" w14:textId="77777777" w:rsidR="00415AF0" w:rsidRPr="00593C40" w:rsidRDefault="00415AF0"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07944AB3" w14:textId="77777777" w:rsidR="00415AF0" w:rsidRPr="00542F7D" w:rsidRDefault="00415AF0" w:rsidP="00AA5BDF">
            <w:pPr>
              <w:jc w:val="right"/>
              <w:rPr>
                <w:rFonts w:ascii="Arial" w:hAnsi="Arial" w:cs="Arial"/>
                <w:sz w:val="16"/>
                <w:szCs w:val="16"/>
                <w:lang w:eastAsia="es-AR"/>
              </w:rPr>
            </w:pPr>
          </w:p>
        </w:tc>
      </w:tr>
      <w:tr w:rsidR="006559E7" w:rsidRPr="002D55D1" w14:paraId="48CDEC7E" w14:textId="77777777" w:rsidTr="00AA5BDF">
        <w:trPr>
          <w:trHeight w:val="285"/>
        </w:trPr>
        <w:tc>
          <w:tcPr>
            <w:tcW w:w="3257" w:type="pct"/>
            <w:tcBorders>
              <w:top w:val="nil"/>
              <w:left w:val="nil"/>
              <w:bottom w:val="nil"/>
              <w:right w:val="nil"/>
            </w:tcBorders>
            <w:shd w:val="clear" w:color="auto" w:fill="auto"/>
            <w:vAlign w:val="center"/>
            <w:hideMark/>
          </w:tcPr>
          <w:p w14:paraId="7808CA35" w14:textId="77777777" w:rsidR="006559E7" w:rsidRPr="002D55D1" w:rsidRDefault="006559E7" w:rsidP="006559E7">
            <w:pPr>
              <w:ind w:firstLineChars="100" w:firstLine="160"/>
              <w:rPr>
                <w:rFonts w:ascii="Arial" w:hAnsi="Arial" w:cs="Arial"/>
                <w:sz w:val="16"/>
                <w:szCs w:val="16"/>
                <w:lang w:eastAsia="es-AR"/>
              </w:rPr>
            </w:pPr>
            <w:r w:rsidRPr="002D55D1">
              <w:rPr>
                <w:rFonts w:ascii="Arial" w:hAnsi="Arial" w:cs="Arial"/>
                <w:sz w:val="16"/>
                <w:szCs w:val="16"/>
                <w:lang w:eastAsia="es-AR"/>
              </w:rPr>
              <w:t>Amortizaciones y desvalorizaciones</w:t>
            </w:r>
          </w:p>
        </w:tc>
        <w:tc>
          <w:tcPr>
            <w:tcW w:w="411" w:type="pct"/>
            <w:tcBorders>
              <w:top w:val="nil"/>
              <w:left w:val="nil"/>
              <w:bottom w:val="nil"/>
              <w:right w:val="nil"/>
            </w:tcBorders>
            <w:shd w:val="clear" w:color="auto" w:fill="auto"/>
            <w:hideMark/>
          </w:tcPr>
          <w:p w14:paraId="04425290" w14:textId="4B0FE11D" w:rsidR="006559E7" w:rsidRPr="002D55D1" w:rsidRDefault="006559E7" w:rsidP="006559E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F6602CD" w14:textId="1BA52F25" w:rsidR="006559E7" w:rsidRPr="00593C40" w:rsidRDefault="00A61AD2" w:rsidP="00AA5BDF">
            <w:pPr>
              <w:jc w:val="right"/>
              <w:rPr>
                <w:rFonts w:ascii="Arial" w:hAnsi="Arial" w:cs="Arial"/>
                <w:sz w:val="16"/>
                <w:szCs w:val="16"/>
                <w:lang w:eastAsia="es-AR"/>
              </w:rPr>
            </w:pPr>
            <w:r w:rsidRPr="00A61AD2">
              <w:rPr>
                <w:rFonts w:ascii="Arial" w:hAnsi="Arial" w:cs="Arial"/>
                <w:sz w:val="16"/>
                <w:szCs w:val="16"/>
                <w:lang w:eastAsia="es-AR"/>
              </w:rPr>
              <w:t>428.964</w:t>
            </w:r>
          </w:p>
        </w:tc>
        <w:tc>
          <w:tcPr>
            <w:tcW w:w="729" w:type="pct"/>
            <w:tcBorders>
              <w:top w:val="nil"/>
              <w:left w:val="nil"/>
              <w:bottom w:val="nil"/>
              <w:right w:val="nil"/>
            </w:tcBorders>
            <w:shd w:val="clear" w:color="auto" w:fill="auto"/>
            <w:vAlign w:val="bottom"/>
          </w:tcPr>
          <w:p w14:paraId="07865DEC" w14:textId="38D3363F" w:rsidR="006559E7" w:rsidRPr="00542F7D" w:rsidRDefault="00A61AD2" w:rsidP="00AA5BDF">
            <w:pPr>
              <w:jc w:val="right"/>
              <w:rPr>
                <w:rFonts w:ascii="Arial" w:hAnsi="Arial" w:cs="Arial"/>
                <w:sz w:val="16"/>
                <w:szCs w:val="16"/>
                <w:lang w:eastAsia="es-AR"/>
              </w:rPr>
            </w:pPr>
            <w:r w:rsidRPr="00A61AD2">
              <w:rPr>
                <w:rFonts w:ascii="Arial" w:hAnsi="Arial" w:cs="Arial"/>
                <w:sz w:val="16"/>
                <w:szCs w:val="16"/>
                <w:lang w:eastAsia="es-AR"/>
              </w:rPr>
              <w:t>392.277</w:t>
            </w:r>
          </w:p>
        </w:tc>
      </w:tr>
      <w:tr w:rsidR="006559E7" w:rsidRPr="002D55D1" w14:paraId="785A662A" w14:textId="77777777" w:rsidTr="00AA5BDF">
        <w:trPr>
          <w:trHeight w:val="285"/>
        </w:trPr>
        <w:tc>
          <w:tcPr>
            <w:tcW w:w="3257" w:type="pct"/>
            <w:tcBorders>
              <w:top w:val="nil"/>
              <w:left w:val="nil"/>
              <w:bottom w:val="nil"/>
              <w:right w:val="nil"/>
            </w:tcBorders>
            <w:shd w:val="clear" w:color="auto" w:fill="auto"/>
            <w:vAlign w:val="center"/>
            <w:hideMark/>
          </w:tcPr>
          <w:p w14:paraId="1EF67BBC" w14:textId="77777777" w:rsidR="006559E7" w:rsidRPr="002D55D1" w:rsidRDefault="006559E7" w:rsidP="006559E7">
            <w:pPr>
              <w:ind w:firstLineChars="100" w:firstLine="160"/>
              <w:rPr>
                <w:rFonts w:ascii="Arial" w:hAnsi="Arial" w:cs="Arial"/>
                <w:sz w:val="16"/>
                <w:szCs w:val="16"/>
                <w:lang w:eastAsia="es-AR"/>
              </w:rPr>
            </w:pPr>
            <w:r w:rsidRPr="002D55D1">
              <w:rPr>
                <w:rFonts w:ascii="Arial" w:hAnsi="Arial" w:cs="Arial"/>
                <w:sz w:val="16"/>
                <w:szCs w:val="16"/>
                <w:lang w:eastAsia="es-AR"/>
              </w:rPr>
              <w:t>Cargo por incobrabilidad</w:t>
            </w:r>
          </w:p>
        </w:tc>
        <w:tc>
          <w:tcPr>
            <w:tcW w:w="411" w:type="pct"/>
            <w:tcBorders>
              <w:top w:val="nil"/>
              <w:left w:val="nil"/>
              <w:bottom w:val="nil"/>
              <w:right w:val="nil"/>
            </w:tcBorders>
            <w:shd w:val="clear" w:color="auto" w:fill="auto"/>
            <w:hideMark/>
          </w:tcPr>
          <w:p w14:paraId="70F5AC97" w14:textId="77777777" w:rsidR="006559E7" w:rsidRPr="002D55D1" w:rsidRDefault="006559E7" w:rsidP="006559E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BEB2022" w14:textId="5878A82A" w:rsidR="006559E7" w:rsidRPr="00593C40" w:rsidRDefault="00A70C68" w:rsidP="00AA5BDF">
            <w:pPr>
              <w:jc w:val="right"/>
              <w:rPr>
                <w:rFonts w:ascii="Arial" w:hAnsi="Arial" w:cs="Arial"/>
                <w:sz w:val="16"/>
                <w:szCs w:val="16"/>
                <w:lang w:eastAsia="es-AR"/>
              </w:rPr>
            </w:pPr>
            <w:r w:rsidRPr="00A70C68">
              <w:rPr>
                <w:rFonts w:ascii="Arial" w:hAnsi="Arial" w:cs="Arial"/>
                <w:sz w:val="16"/>
                <w:szCs w:val="16"/>
                <w:lang w:eastAsia="es-AR"/>
              </w:rPr>
              <w:t>1.572.742</w:t>
            </w:r>
          </w:p>
        </w:tc>
        <w:tc>
          <w:tcPr>
            <w:tcW w:w="729" w:type="pct"/>
            <w:tcBorders>
              <w:top w:val="nil"/>
              <w:left w:val="nil"/>
              <w:bottom w:val="nil"/>
              <w:right w:val="nil"/>
            </w:tcBorders>
            <w:shd w:val="clear" w:color="auto" w:fill="auto"/>
            <w:vAlign w:val="bottom"/>
          </w:tcPr>
          <w:p w14:paraId="263C74D2" w14:textId="423D652F" w:rsidR="006559E7"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2.823.612</w:t>
            </w:r>
          </w:p>
        </w:tc>
      </w:tr>
      <w:tr w:rsidR="006F757F" w:rsidRPr="002D55D1" w14:paraId="766A4135" w14:textId="77777777" w:rsidTr="00AA5BDF">
        <w:trPr>
          <w:trHeight w:val="285"/>
        </w:trPr>
        <w:tc>
          <w:tcPr>
            <w:tcW w:w="3257" w:type="pct"/>
            <w:tcBorders>
              <w:top w:val="nil"/>
              <w:left w:val="nil"/>
              <w:bottom w:val="nil"/>
              <w:right w:val="nil"/>
            </w:tcBorders>
            <w:shd w:val="clear" w:color="auto" w:fill="auto"/>
            <w:vAlign w:val="center"/>
          </w:tcPr>
          <w:p w14:paraId="0856943B" w14:textId="78A131D4" w:rsidR="006F757F" w:rsidRPr="002D55D1" w:rsidRDefault="006F757F" w:rsidP="00CD2AEF">
            <w:pPr>
              <w:ind w:firstLineChars="100" w:firstLine="160"/>
              <w:rPr>
                <w:rFonts w:ascii="Arial" w:hAnsi="Arial" w:cs="Arial"/>
                <w:sz w:val="16"/>
                <w:szCs w:val="16"/>
                <w:lang w:eastAsia="es-AR"/>
              </w:rPr>
            </w:pPr>
            <w:r w:rsidRPr="006F757F">
              <w:rPr>
                <w:rFonts w:ascii="Arial" w:hAnsi="Arial" w:cs="Arial"/>
                <w:sz w:val="16"/>
                <w:szCs w:val="16"/>
                <w:lang w:eastAsia="es-AR"/>
              </w:rPr>
              <w:t>Intereses de préstamos y otras financiaciones</w:t>
            </w:r>
          </w:p>
        </w:tc>
        <w:tc>
          <w:tcPr>
            <w:tcW w:w="411" w:type="pct"/>
            <w:tcBorders>
              <w:top w:val="nil"/>
              <w:left w:val="nil"/>
              <w:bottom w:val="nil"/>
              <w:right w:val="nil"/>
            </w:tcBorders>
            <w:shd w:val="clear" w:color="auto" w:fill="auto"/>
          </w:tcPr>
          <w:p w14:paraId="7C8155F3" w14:textId="77777777" w:rsidR="006F757F" w:rsidRPr="002D55D1" w:rsidRDefault="006F757F" w:rsidP="00415AF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8CB462A" w14:textId="730810D0" w:rsidR="006F757F" w:rsidRPr="006F757F" w:rsidRDefault="00A70C68" w:rsidP="00AA5BDF">
            <w:pPr>
              <w:jc w:val="right"/>
              <w:rPr>
                <w:rFonts w:ascii="Arial" w:hAnsi="Arial" w:cs="Arial"/>
                <w:sz w:val="16"/>
                <w:szCs w:val="16"/>
                <w:lang w:eastAsia="es-AR"/>
              </w:rPr>
            </w:pPr>
            <w:r w:rsidRPr="00A70C68">
              <w:rPr>
                <w:rFonts w:ascii="Arial" w:hAnsi="Arial" w:cs="Arial"/>
                <w:sz w:val="16"/>
                <w:szCs w:val="16"/>
                <w:lang w:eastAsia="es-AR"/>
              </w:rPr>
              <w:t>-11.884.278</w:t>
            </w:r>
          </w:p>
        </w:tc>
        <w:tc>
          <w:tcPr>
            <w:tcW w:w="729" w:type="pct"/>
            <w:tcBorders>
              <w:top w:val="nil"/>
              <w:left w:val="nil"/>
              <w:bottom w:val="nil"/>
              <w:right w:val="nil"/>
            </w:tcBorders>
            <w:shd w:val="clear" w:color="auto" w:fill="auto"/>
            <w:vAlign w:val="bottom"/>
          </w:tcPr>
          <w:p w14:paraId="794F6889" w14:textId="42FB85BA" w:rsidR="006F757F"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-8.779.337</w:t>
            </w:r>
          </w:p>
        </w:tc>
      </w:tr>
      <w:tr w:rsidR="006F757F" w:rsidRPr="002D55D1" w14:paraId="441D6DFD" w14:textId="77777777" w:rsidTr="00AA5BDF">
        <w:trPr>
          <w:trHeight w:val="285"/>
        </w:trPr>
        <w:tc>
          <w:tcPr>
            <w:tcW w:w="3257" w:type="pct"/>
            <w:tcBorders>
              <w:top w:val="nil"/>
              <w:left w:val="nil"/>
              <w:bottom w:val="nil"/>
              <w:right w:val="nil"/>
            </w:tcBorders>
            <w:shd w:val="clear" w:color="auto" w:fill="auto"/>
            <w:vAlign w:val="center"/>
          </w:tcPr>
          <w:p w14:paraId="7DC45500" w14:textId="53C7E5FE" w:rsidR="006F757F" w:rsidRPr="002D55D1" w:rsidRDefault="006F757F" w:rsidP="00CD2AEF">
            <w:pPr>
              <w:ind w:firstLineChars="100" w:firstLine="160"/>
              <w:rPr>
                <w:rFonts w:ascii="Arial" w:hAnsi="Arial" w:cs="Arial"/>
                <w:sz w:val="16"/>
                <w:szCs w:val="16"/>
                <w:lang w:eastAsia="es-AR"/>
              </w:rPr>
            </w:pPr>
            <w:r w:rsidRPr="006F757F">
              <w:rPr>
                <w:rFonts w:ascii="Arial" w:hAnsi="Arial" w:cs="Arial"/>
                <w:sz w:val="16"/>
                <w:szCs w:val="16"/>
                <w:lang w:eastAsia="es-AR"/>
              </w:rPr>
              <w:t>Intereses de depósitos y financiaciones recibidas de otras instituciones financieras</w:t>
            </w:r>
          </w:p>
        </w:tc>
        <w:tc>
          <w:tcPr>
            <w:tcW w:w="411" w:type="pct"/>
            <w:tcBorders>
              <w:top w:val="nil"/>
              <w:left w:val="nil"/>
              <w:bottom w:val="nil"/>
              <w:right w:val="nil"/>
            </w:tcBorders>
            <w:shd w:val="clear" w:color="auto" w:fill="auto"/>
          </w:tcPr>
          <w:p w14:paraId="6FFDCCBF" w14:textId="77777777" w:rsidR="006F757F" w:rsidRPr="002D55D1" w:rsidRDefault="006F757F" w:rsidP="00415AF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6A49D04" w14:textId="004C9FE2" w:rsidR="006F757F" w:rsidRPr="006F757F" w:rsidRDefault="00A70C68" w:rsidP="00AA5BDF">
            <w:pPr>
              <w:jc w:val="right"/>
              <w:rPr>
                <w:rFonts w:ascii="Arial" w:hAnsi="Arial" w:cs="Arial"/>
                <w:sz w:val="16"/>
                <w:szCs w:val="16"/>
                <w:lang w:eastAsia="es-AR"/>
              </w:rPr>
            </w:pPr>
            <w:r w:rsidRPr="00A70C68">
              <w:rPr>
                <w:rFonts w:ascii="Arial" w:hAnsi="Arial" w:cs="Arial"/>
                <w:sz w:val="16"/>
                <w:szCs w:val="16"/>
                <w:lang w:eastAsia="es-AR"/>
              </w:rPr>
              <w:t>2.341.288</w:t>
            </w:r>
          </w:p>
        </w:tc>
        <w:tc>
          <w:tcPr>
            <w:tcW w:w="729" w:type="pct"/>
            <w:tcBorders>
              <w:top w:val="nil"/>
              <w:left w:val="nil"/>
              <w:bottom w:val="nil"/>
              <w:right w:val="nil"/>
            </w:tcBorders>
            <w:shd w:val="clear" w:color="auto" w:fill="auto"/>
            <w:vAlign w:val="bottom"/>
          </w:tcPr>
          <w:p w14:paraId="2428965F" w14:textId="3137150D" w:rsidR="006F757F"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2.025.873</w:t>
            </w:r>
          </w:p>
        </w:tc>
      </w:tr>
      <w:tr w:rsidR="006F757F" w:rsidRPr="002D55D1" w14:paraId="2F4AF1DC" w14:textId="77777777" w:rsidTr="00AA5BDF">
        <w:trPr>
          <w:trHeight w:val="285"/>
        </w:trPr>
        <w:tc>
          <w:tcPr>
            <w:tcW w:w="3257" w:type="pct"/>
            <w:tcBorders>
              <w:top w:val="nil"/>
              <w:left w:val="nil"/>
              <w:bottom w:val="nil"/>
              <w:right w:val="nil"/>
            </w:tcBorders>
            <w:shd w:val="clear" w:color="auto" w:fill="auto"/>
            <w:vAlign w:val="center"/>
          </w:tcPr>
          <w:p w14:paraId="65D0B581" w14:textId="623A7876" w:rsidR="006F757F" w:rsidRPr="002D55D1" w:rsidRDefault="005F0795" w:rsidP="00CD2AEF">
            <w:pPr>
              <w:ind w:firstLineChars="100" w:firstLine="160"/>
              <w:rPr>
                <w:rFonts w:ascii="Arial" w:hAnsi="Arial" w:cs="Arial"/>
                <w:sz w:val="16"/>
                <w:szCs w:val="16"/>
                <w:lang w:eastAsia="es-AR"/>
              </w:rPr>
            </w:pPr>
            <w:r>
              <w:rPr>
                <w:rFonts w:ascii="Arial" w:hAnsi="Arial" w:cs="Arial"/>
                <w:sz w:val="16"/>
                <w:szCs w:val="16"/>
                <w:lang w:eastAsia="es-AR"/>
              </w:rPr>
              <w:t>Intereses obligaciones negociables</w:t>
            </w:r>
          </w:p>
        </w:tc>
        <w:tc>
          <w:tcPr>
            <w:tcW w:w="411" w:type="pct"/>
            <w:tcBorders>
              <w:top w:val="nil"/>
              <w:left w:val="nil"/>
              <w:bottom w:val="nil"/>
              <w:right w:val="nil"/>
            </w:tcBorders>
            <w:shd w:val="clear" w:color="auto" w:fill="auto"/>
          </w:tcPr>
          <w:p w14:paraId="12CFFE64" w14:textId="77777777" w:rsidR="006F757F" w:rsidRPr="002D55D1" w:rsidRDefault="006F757F" w:rsidP="00415AF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05F04B7" w14:textId="1FE9DFB5" w:rsidR="006F757F" w:rsidRPr="006F757F" w:rsidRDefault="00A70C68" w:rsidP="00AA5BDF">
            <w:pPr>
              <w:jc w:val="right"/>
              <w:rPr>
                <w:rFonts w:ascii="Arial" w:hAnsi="Arial" w:cs="Arial"/>
                <w:sz w:val="16"/>
                <w:szCs w:val="16"/>
                <w:lang w:eastAsia="es-AR"/>
              </w:rPr>
            </w:pPr>
            <w:r w:rsidRPr="00A70C68">
              <w:rPr>
                <w:rFonts w:ascii="Arial" w:hAnsi="Arial" w:cs="Arial"/>
                <w:sz w:val="16"/>
                <w:szCs w:val="16"/>
                <w:lang w:eastAsia="es-AR"/>
              </w:rPr>
              <w:t>207.432</w:t>
            </w:r>
          </w:p>
        </w:tc>
        <w:tc>
          <w:tcPr>
            <w:tcW w:w="729" w:type="pct"/>
            <w:tcBorders>
              <w:top w:val="nil"/>
              <w:left w:val="nil"/>
              <w:bottom w:val="nil"/>
              <w:right w:val="nil"/>
            </w:tcBorders>
            <w:shd w:val="clear" w:color="auto" w:fill="auto"/>
            <w:vAlign w:val="bottom"/>
          </w:tcPr>
          <w:p w14:paraId="6844B7C5" w14:textId="2B4B24CA" w:rsidR="006F757F"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933.189</w:t>
            </w:r>
          </w:p>
        </w:tc>
      </w:tr>
      <w:tr w:rsidR="005F0795" w:rsidRPr="002D55D1" w14:paraId="3CFED3AB" w14:textId="77777777" w:rsidTr="00AA5BDF">
        <w:trPr>
          <w:trHeight w:val="285"/>
        </w:trPr>
        <w:tc>
          <w:tcPr>
            <w:tcW w:w="3257" w:type="pct"/>
            <w:tcBorders>
              <w:top w:val="nil"/>
              <w:left w:val="nil"/>
              <w:bottom w:val="nil"/>
              <w:right w:val="nil"/>
            </w:tcBorders>
            <w:shd w:val="clear" w:color="auto" w:fill="auto"/>
            <w:vAlign w:val="center"/>
          </w:tcPr>
          <w:p w14:paraId="371A2718" w14:textId="13F7F225" w:rsidR="005F0795" w:rsidRPr="006F757F" w:rsidRDefault="00BB3DB2" w:rsidP="00CD2AEF">
            <w:pPr>
              <w:ind w:firstLineChars="100" w:firstLine="160"/>
              <w:rPr>
                <w:rFonts w:ascii="Arial" w:hAnsi="Arial" w:cs="Arial"/>
                <w:sz w:val="16"/>
                <w:szCs w:val="16"/>
                <w:lang w:eastAsia="es-AR"/>
              </w:rPr>
            </w:pPr>
            <w:r>
              <w:rPr>
                <w:rFonts w:ascii="Arial" w:hAnsi="Arial" w:cs="Arial"/>
                <w:sz w:val="16"/>
                <w:szCs w:val="16"/>
                <w:lang w:eastAsia="es-AR"/>
              </w:rPr>
              <w:t xml:space="preserve">Provisiones </w:t>
            </w:r>
          </w:p>
        </w:tc>
        <w:tc>
          <w:tcPr>
            <w:tcW w:w="411" w:type="pct"/>
            <w:tcBorders>
              <w:top w:val="nil"/>
              <w:left w:val="nil"/>
              <w:bottom w:val="nil"/>
              <w:right w:val="nil"/>
            </w:tcBorders>
            <w:shd w:val="clear" w:color="auto" w:fill="auto"/>
          </w:tcPr>
          <w:p w14:paraId="015A9206"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AA09C8A" w14:textId="1A811511" w:rsidR="005F0795" w:rsidRPr="006F757F" w:rsidRDefault="00A70C68" w:rsidP="00AA5BDF">
            <w:pPr>
              <w:jc w:val="right"/>
              <w:rPr>
                <w:rFonts w:ascii="Arial" w:hAnsi="Arial" w:cs="Arial"/>
                <w:sz w:val="16"/>
                <w:szCs w:val="16"/>
                <w:lang w:eastAsia="es-AR"/>
              </w:rPr>
            </w:pPr>
            <w:r w:rsidRPr="00A70C68">
              <w:rPr>
                <w:rFonts w:ascii="Arial" w:hAnsi="Arial" w:cs="Arial"/>
                <w:sz w:val="16"/>
                <w:szCs w:val="16"/>
                <w:lang w:eastAsia="es-AR"/>
              </w:rPr>
              <w:t>2.588.692</w:t>
            </w:r>
          </w:p>
        </w:tc>
        <w:tc>
          <w:tcPr>
            <w:tcW w:w="729" w:type="pct"/>
            <w:tcBorders>
              <w:top w:val="nil"/>
              <w:left w:val="nil"/>
              <w:bottom w:val="nil"/>
              <w:right w:val="nil"/>
            </w:tcBorders>
            <w:shd w:val="clear" w:color="auto" w:fill="auto"/>
            <w:vAlign w:val="bottom"/>
          </w:tcPr>
          <w:p w14:paraId="4EA221FD" w14:textId="75A1C0B1" w:rsidR="005F0795"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1.562.609</w:t>
            </w:r>
          </w:p>
        </w:tc>
      </w:tr>
      <w:tr w:rsidR="005F0795" w:rsidRPr="002D55D1" w14:paraId="566277A3" w14:textId="77777777" w:rsidTr="00AA5BDF">
        <w:trPr>
          <w:trHeight w:val="281"/>
        </w:trPr>
        <w:tc>
          <w:tcPr>
            <w:tcW w:w="3257" w:type="pct"/>
            <w:tcBorders>
              <w:top w:val="nil"/>
              <w:left w:val="nil"/>
              <w:bottom w:val="nil"/>
              <w:right w:val="nil"/>
            </w:tcBorders>
            <w:shd w:val="clear" w:color="auto" w:fill="auto"/>
            <w:vAlign w:val="center"/>
          </w:tcPr>
          <w:p w14:paraId="5AC3DBB5" w14:textId="025B79FE" w:rsidR="005F0795" w:rsidRPr="006F757F" w:rsidRDefault="005F0795" w:rsidP="00CD2AEF">
            <w:pPr>
              <w:ind w:firstLineChars="100" w:firstLine="160"/>
              <w:rPr>
                <w:rFonts w:ascii="Arial" w:hAnsi="Arial" w:cs="Arial"/>
                <w:sz w:val="16"/>
                <w:szCs w:val="16"/>
                <w:lang w:eastAsia="es-AR"/>
              </w:rPr>
            </w:pPr>
            <w:r>
              <w:rPr>
                <w:rFonts w:ascii="Arial" w:hAnsi="Arial" w:cs="Arial"/>
                <w:sz w:val="16"/>
                <w:szCs w:val="16"/>
                <w:lang w:eastAsia="es-AR"/>
              </w:rPr>
              <w:t>Efecto variación tipo de cambio</w:t>
            </w:r>
          </w:p>
        </w:tc>
        <w:tc>
          <w:tcPr>
            <w:tcW w:w="411" w:type="pct"/>
            <w:tcBorders>
              <w:top w:val="nil"/>
              <w:left w:val="nil"/>
              <w:bottom w:val="nil"/>
              <w:right w:val="nil"/>
            </w:tcBorders>
            <w:shd w:val="clear" w:color="auto" w:fill="auto"/>
          </w:tcPr>
          <w:p w14:paraId="26D09ABA"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BCCA198" w14:textId="2A112DDD" w:rsidR="005F0795" w:rsidRPr="006F757F" w:rsidRDefault="002E1AF6" w:rsidP="00AA5BDF">
            <w:pPr>
              <w:jc w:val="right"/>
              <w:rPr>
                <w:rFonts w:ascii="Arial" w:hAnsi="Arial" w:cs="Arial"/>
                <w:sz w:val="16"/>
                <w:szCs w:val="16"/>
                <w:lang w:eastAsia="es-AR"/>
              </w:rPr>
            </w:pPr>
            <w:r w:rsidRPr="002E1AF6">
              <w:rPr>
                <w:rFonts w:ascii="Arial" w:hAnsi="Arial" w:cs="Arial"/>
                <w:sz w:val="16"/>
                <w:szCs w:val="16"/>
                <w:lang w:eastAsia="es-AR"/>
              </w:rPr>
              <w:t>1.484.469</w:t>
            </w:r>
          </w:p>
        </w:tc>
        <w:tc>
          <w:tcPr>
            <w:tcW w:w="729" w:type="pct"/>
            <w:tcBorders>
              <w:top w:val="nil"/>
              <w:left w:val="nil"/>
              <w:bottom w:val="nil"/>
              <w:right w:val="nil"/>
            </w:tcBorders>
            <w:shd w:val="clear" w:color="auto" w:fill="auto"/>
            <w:vAlign w:val="bottom"/>
          </w:tcPr>
          <w:p w14:paraId="64601DC2" w14:textId="32DF96D7" w:rsidR="005F0795"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-3.016.493</w:t>
            </w:r>
          </w:p>
        </w:tc>
      </w:tr>
      <w:tr w:rsidR="00220DFF" w:rsidRPr="002D55D1" w14:paraId="534EE22A" w14:textId="77777777" w:rsidTr="00AA5BDF">
        <w:trPr>
          <w:trHeight w:val="281"/>
        </w:trPr>
        <w:tc>
          <w:tcPr>
            <w:tcW w:w="3257" w:type="pct"/>
            <w:tcBorders>
              <w:top w:val="nil"/>
              <w:left w:val="nil"/>
              <w:bottom w:val="nil"/>
              <w:right w:val="nil"/>
            </w:tcBorders>
            <w:shd w:val="clear" w:color="auto" w:fill="auto"/>
            <w:vAlign w:val="center"/>
          </w:tcPr>
          <w:p w14:paraId="1373F464" w14:textId="7F7B1727" w:rsidR="00220DFF" w:rsidRDefault="00220DFF" w:rsidP="00CD2AEF">
            <w:pPr>
              <w:ind w:firstLineChars="100" w:firstLine="160"/>
              <w:rPr>
                <w:rFonts w:ascii="Arial" w:hAnsi="Arial" w:cs="Arial"/>
                <w:sz w:val="16"/>
                <w:szCs w:val="16"/>
                <w:lang w:eastAsia="es-AR"/>
              </w:rPr>
            </w:pPr>
            <w:r>
              <w:rPr>
                <w:rFonts w:ascii="Arial" w:hAnsi="Arial" w:cs="Arial"/>
                <w:sz w:val="16"/>
                <w:szCs w:val="16"/>
                <w:lang w:eastAsia="es-AR"/>
              </w:rPr>
              <w:t>Efecto del tipo de cambio de la ON Subordinadas</w:t>
            </w:r>
          </w:p>
        </w:tc>
        <w:tc>
          <w:tcPr>
            <w:tcW w:w="411" w:type="pct"/>
            <w:tcBorders>
              <w:top w:val="nil"/>
              <w:left w:val="nil"/>
              <w:bottom w:val="nil"/>
              <w:right w:val="nil"/>
            </w:tcBorders>
            <w:shd w:val="clear" w:color="auto" w:fill="auto"/>
          </w:tcPr>
          <w:p w14:paraId="62735AFF" w14:textId="77777777" w:rsidR="00220DFF" w:rsidRPr="002D55D1" w:rsidRDefault="00220DFF"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E76CB17" w14:textId="560C0411" w:rsidR="00220DFF" w:rsidRPr="00220DFF" w:rsidRDefault="00A70C68" w:rsidP="00AA5BDF">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2E5A251F" w14:textId="7DCEBD35" w:rsidR="00220DFF"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199.460</w:t>
            </w:r>
          </w:p>
        </w:tc>
      </w:tr>
      <w:tr w:rsidR="005F0795" w:rsidRPr="002D55D1" w14:paraId="5A84B947" w14:textId="77777777" w:rsidTr="00AA5BDF">
        <w:trPr>
          <w:trHeight w:val="285"/>
        </w:trPr>
        <w:tc>
          <w:tcPr>
            <w:tcW w:w="3257" w:type="pct"/>
            <w:tcBorders>
              <w:top w:val="nil"/>
              <w:left w:val="nil"/>
              <w:bottom w:val="nil"/>
              <w:right w:val="nil"/>
            </w:tcBorders>
            <w:shd w:val="clear" w:color="auto" w:fill="auto"/>
            <w:vAlign w:val="center"/>
          </w:tcPr>
          <w:p w14:paraId="47EB241C" w14:textId="23AD37C5" w:rsidR="005F0795" w:rsidRDefault="005F0795" w:rsidP="00CD2AEF">
            <w:pPr>
              <w:ind w:firstLineChars="100" w:firstLine="160"/>
              <w:rPr>
                <w:rFonts w:ascii="Arial" w:hAnsi="Arial" w:cs="Arial"/>
                <w:sz w:val="16"/>
                <w:szCs w:val="16"/>
                <w:lang w:eastAsia="es-AR"/>
              </w:rPr>
            </w:pPr>
            <w:r>
              <w:rPr>
                <w:rFonts w:ascii="Arial" w:hAnsi="Arial" w:cs="Arial"/>
                <w:sz w:val="16"/>
                <w:szCs w:val="16"/>
                <w:lang w:eastAsia="es-AR"/>
              </w:rPr>
              <w:t xml:space="preserve">Intereses pasivos por arrendamientos </w:t>
            </w:r>
          </w:p>
        </w:tc>
        <w:tc>
          <w:tcPr>
            <w:tcW w:w="411" w:type="pct"/>
            <w:tcBorders>
              <w:top w:val="nil"/>
              <w:left w:val="nil"/>
              <w:bottom w:val="nil"/>
              <w:right w:val="nil"/>
            </w:tcBorders>
            <w:shd w:val="clear" w:color="auto" w:fill="auto"/>
          </w:tcPr>
          <w:p w14:paraId="22D5105A"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2E11FCA" w14:textId="1F5EAD4A" w:rsidR="005F0795" w:rsidRPr="005F0795" w:rsidRDefault="00A70C68" w:rsidP="00AA5BDF">
            <w:pPr>
              <w:jc w:val="right"/>
              <w:rPr>
                <w:rFonts w:ascii="Arial" w:hAnsi="Arial" w:cs="Arial"/>
                <w:sz w:val="16"/>
                <w:szCs w:val="16"/>
                <w:lang w:eastAsia="es-AR"/>
              </w:rPr>
            </w:pPr>
            <w:r w:rsidRPr="00A70C68">
              <w:rPr>
                <w:rFonts w:ascii="Arial" w:hAnsi="Arial" w:cs="Arial"/>
                <w:sz w:val="16"/>
                <w:szCs w:val="16"/>
                <w:lang w:eastAsia="es-AR"/>
              </w:rPr>
              <w:t>37.597</w:t>
            </w:r>
          </w:p>
        </w:tc>
        <w:tc>
          <w:tcPr>
            <w:tcW w:w="729" w:type="pct"/>
            <w:tcBorders>
              <w:top w:val="nil"/>
              <w:left w:val="nil"/>
              <w:bottom w:val="nil"/>
              <w:right w:val="nil"/>
            </w:tcBorders>
            <w:shd w:val="clear" w:color="auto" w:fill="auto"/>
            <w:vAlign w:val="bottom"/>
          </w:tcPr>
          <w:p w14:paraId="718D7314" w14:textId="5D0D15E3" w:rsidR="005F0795" w:rsidRPr="00542F7D" w:rsidRDefault="00710664" w:rsidP="00AA5BDF">
            <w:pPr>
              <w:jc w:val="right"/>
              <w:rPr>
                <w:rFonts w:ascii="Arial" w:hAnsi="Arial" w:cs="Arial"/>
                <w:sz w:val="16"/>
                <w:szCs w:val="16"/>
                <w:lang w:eastAsia="es-AR"/>
              </w:rPr>
            </w:pPr>
            <w:r w:rsidRPr="00542F7D">
              <w:rPr>
                <w:rFonts w:ascii="Arial" w:hAnsi="Arial" w:cs="Arial"/>
                <w:sz w:val="16"/>
                <w:szCs w:val="16"/>
                <w:lang w:eastAsia="es-AR"/>
              </w:rPr>
              <w:t>-</w:t>
            </w:r>
          </w:p>
        </w:tc>
      </w:tr>
      <w:tr w:rsidR="005F0795" w:rsidRPr="002D55D1" w14:paraId="298032B0" w14:textId="77777777" w:rsidTr="005A1F48">
        <w:trPr>
          <w:trHeight w:val="201"/>
        </w:trPr>
        <w:tc>
          <w:tcPr>
            <w:tcW w:w="3257" w:type="pct"/>
            <w:tcBorders>
              <w:top w:val="nil"/>
              <w:left w:val="nil"/>
              <w:bottom w:val="nil"/>
              <w:right w:val="nil"/>
            </w:tcBorders>
            <w:shd w:val="clear" w:color="auto" w:fill="auto"/>
            <w:vAlign w:val="center"/>
            <w:hideMark/>
          </w:tcPr>
          <w:p w14:paraId="3F0E5D35"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Otros ajustes</w:t>
            </w:r>
          </w:p>
        </w:tc>
        <w:tc>
          <w:tcPr>
            <w:tcW w:w="411" w:type="pct"/>
            <w:tcBorders>
              <w:top w:val="nil"/>
              <w:left w:val="nil"/>
              <w:bottom w:val="nil"/>
              <w:right w:val="nil"/>
            </w:tcBorders>
            <w:shd w:val="clear" w:color="auto" w:fill="auto"/>
            <w:hideMark/>
          </w:tcPr>
          <w:p w14:paraId="251A8F26"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6F276EE" w14:textId="441EED9E" w:rsidR="005F0795" w:rsidRPr="00593C40" w:rsidRDefault="00A70C68" w:rsidP="00AA5BDF">
            <w:pPr>
              <w:jc w:val="right"/>
              <w:rPr>
                <w:rFonts w:ascii="Arial" w:hAnsi="Arial" w:cs="Arial"/>
                <w:sz w:val="16"/>
                <w:szCs w:val="16"/>
                <w:lang w:eastAsia="es-AR"/>
              </w:rPr>
            </w:pPr>
            <w:r w:rsidRPr="00A70C68">
              <w:rPr>
                <w:rFonts w:ascii="Arial" w:hAnsi="Arial" w:cs="Arial"/>
                <w:sz w:val="16"/>
                <w:szCs w:val="16"/>
                <w:lang w:eastAsia="es-AR"/>
              </w:rPr>
              <w:t>437.143</w:t>
            </w:r>
          </w:p>
        </w:tc>
        <w:tc>
          <w:tcPr>
            <w:tcW w:w="729" w:type="pct"/>
            <w:tcBorders>
              <w:top w:val="nil"/>
              <w:left w:val="nil"/>
              <w:bottom w:val="nil"/>
              <w:right w:val="nil"/>
            </w:tcBorders>
            <w:shd w:val="clear" w:color="auto" w:fill="auto"/>
            <w:vAlign w:val="bottom"/>
          </w:tcPr>
          <w:p w14:paraId="1EC93EF0" w14:textId="4281DC50" w:rsidR="005F0795" w:rsidRPr="00542F7D" w:rsidRDefault="008A46DC" w:rsidP="00AA5BDF">
            <w:pPr>
              <w:jc w:val="right"/>
              <w:rPr>
                <w:rFonts w:ascii="Arial" w:hAnsi="Arial" w:cs="Arial"/>
                <w:sz w:val="16"/>
                <w:szCs w:val="16"/>
                <w:lang w:eastAsia="es-AR"/>
              </w:rPr>
            </w:pPr>
            <w:r w:rsidRPr="008A46DC">
              <w:rPr>
                <w:rFonts w:ascii="Arial" w:hAnsi="Arial" w:cs="Arial"/>
                <w:sz w:val="16"/>
                <w:szCs w:val="16"/>
                <w:lang w:eastAsia="es-AR"/>
              </w:rPr>
              <w:t>128.304</w:t>
            </w:r>
          </w:p>
        </w:tc>
      </w:tr>
      <w:tr w:rsidR="005F0795" w:rsidRPr="00593C40" w14:paraId="4D1AE8DC" w14:textId="77777777" w:rsidTr="00AA5BDF">
        <w:trPr>
          <w:trHeight w:val="101"/>
        </w:trPr>
        <w:tc>
          <w:tcPr>
            <w:tcW w:w="3257" w:type="pct"/>
            <w:tcBorders>
              <w:top w:val="nil"/>
              <w:left w:val="nil"/>
              <w:bottom w:val="nil"/>
              <w:right w:val="nil"/>
            </w:tcBorders>
            <w:shd w:val="clear" w:color="auto" w:fill="auto"/>
            <w:vAlign w:val="center"/>
            <w:hideMark/>
          </w:tcPr>
          <w:p w14:paraId="362557F0" w14:textId="77777777" w:rsidR="005F0795" w:rsidRPr="00593C40" w:rsidRDefault="005F0795" w:rsidP="00CD2AEF">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51AB6F66" w14:textId="77777777" w:rsidR="005F0795" w:rsidRPr="00593C40" w:rsidRDefault="005F0795" w:rsidP="005F079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38DD7465" w14:textId="77777777" w:rsidR="005F0795" w:rsidRPr="00593C40" w:rsidRDefault="005F0795"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22C72674" w14:textId="77777777" w:rsidR="005F0795" w:rsidRPr="00542F7D" w:rsidRDefault="005F0795" w:rsidP="00AA5BDF">
            <w:pPr>
              <w:jc w:val="right"/>
              <w:rPr>
                <w:rFonts w:ascii="Arial" w:hAnsi="Arial" w:cs="Arial"/>
                <w:sz w:val="10"/>
                <w:szCs w:val="10"/>
                <w:lang w:eastAsia="es-AR"/>
              </w:rPr>
            </w:pPr>
          </w:p>
        </w:tc>
      </w:tr>
      <w:tr w:rsidR="005F0795" w:rsidRPr="002D55D1" w14:paraId="1DC301BB" w14:textId="77777777" w:rsidTr="00AA5BDF">
        <w:trPr>
          <w:trHeight w:val="269"/>
        </w:trPr>
        <w:tc>
          <w:tcPr>
            <w:tcW w:w="3257" w:type="pct"/>
            <w:tcBorders>
              <w:top w:val="nil"/>
              <w:left w:val="nil"/>
              <w:bottom w:val="nil"/>
              <w:right w:val="nil"/>
            </w:tcBorders>
            <w:shd w:val="clear" w:color="auto" w:fill="auto"/>
            <w:vAlign w:val="center"/>
            <w:hideMark/>
          </w:tcPr>
          <w:p w14:paraId="1C642D05" w14:textId="3CF47596" w:rsidR="005F0795" w:rsidRPr="002D55D1" w:rsidRDefault="005F0795" w:rsidP="00CD2AEF">
            <w:pPr>
              <w:rPr>
                <w:rFonts w:ascii="Arial" w:hAnsi="Arial" w:cs="Arial"/>
                <w:b/>
                <w:bCs/>
                <w:sz w:val="16"/>
                <w:szCs w:val="16"/>
                <w:lang w:eastAsia="es-AR"/>
              </w:rPr>
            </w:pPr>
            <w:r w:rsidRPr="002D55D1">
              <w:rPr>
                <w:rFonts w:ascii="Arial" w:hAnsi="Arial" w:cs="Arial"/>
                <w:b/>
                <w:bCs/>
                <w:sz w:val="16"/>
                <w:szCs w:val="16"/>
                <w:lang w:eastAsia="es-AR"/>
              </w:rPr>
              <w:t xml:space="preserve">Aumentos / disminuciones </w:t>
            </w:r>
            <w:r w:rsidR="00BE29BE" w:rsidRPr="002D55D1">
              <w:rPr>
                <w:rFonts w:ascii="Arial" w:hAnsi="Arial" w:cs="Arial"/>
                <w:b/>
                <w:bCs/>
                <w:sz w:val="16"/>
                <w:szCs w:val="16"/>
                <w:lang w:eastAsia="es-AR"/>
              </w:rPr>
              <w:t>net</w:t>
            </w:r>
            <w:r w:rsidR="00BE29BE">
              <w:rPr>
                <w:rFonts w:ascii="Arial" w:hAnsi="Arial" w:cs="Arial"/>
                <w:b/>
                <w:bCs/>
                <w:sz w:val="16"/>
                <w:szCs w:val="16"/>
                <w:lang w:eastAsia="es-AR"/>
              </w:rPr>
              <w:t>as</w:t>
            </w:r>
            <w:r w:rsidRPr="002D55D1">
              <w:rPr>
                <w:rFonts w:ascii="Arial" w:hAnsi="Arial" w:cs="Arial"/>
                <w:b/>
                <w:bCs/>
                <w:sz w:val="16"/>
                <w:szCs w:val="16"/>
                <w:lang w:eastAsia="es-AR"/>
              </w:rPr>
              <w:t xml:space="preserve"> proveniente</w:t>
            </w:r>
            <w:r w:rsidR="00220DFF">
              <w:rPr>
                <w:rFonts w:ascii="Arial" w:hAnsi="Arial" w:cs="Arial"/>
                <w:b/>
                <w:bCs/>
                <w:sz w:val="16"/>
                <w:szCs w:val="16"/>
                <w:lang w:eastAsia="es-AR"/>
              </w:rPr>
              <w:t>s</w:t>
            </w:r>
            <w:r w:rsidRPr="002D55D1">
              <w:rPr>
                <w:rFonts w:ascii="Arial" w:hAnsi="Arial" w:cs="Arial"/>
                <w:b/>
                <w:bCs/>
                <w:sz w:val="16"/>
                <w:szCs w:val="16"/>
                <w:lang w:eastAsia="es-AR"/>
              </w:rPr>
              <w:t xml:space="preserve"> de activos operativos:</w:t>
            </w:r>
          </w:p>
        </w:tc>
        <w:tc>
          <w:tcPr>
            <w:tcW w:w="411" w:type="pct"/>
            <w:tcBorders>
              <w:top w:val="nil"/>
              <w:left w:val="nil"/>
              <w:bottom w:val="nil"/>
              <w:right w:val="nil"/>
            </w:tcBorders>
            <w:shd w:val="clear" w:color="auto" w:fill="auto"/>
            <w:hideMark/>
          </w:tcPr>
          <w:p w14:paraId="4A1FDE46" w14:textId="77777777" w:rsidR="005F0795" w:rsidRPr="002D55D1" w:rsidRDefault="005F0795" w:rsidP="005F079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439F0BE1" w14:textId="77777777" w:rsidR="005F0795" w:rsidRPr="00593C40" w:rsidRDefault="005F0795"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47979885" w14:textId="77777777" w:rsidR="005F0795" w:rsidRPr="00542F7D" w:rsidRDefault="005F0795" w:rsidP="00AA5BDF">
            <w:pPr>
              <w:jc w:val="right"/>
              <w:rPr>
                <w:rFonts w:ascii="Arial" w:hAnsi="Arial" w:cs="Arial"/>
                <w:sz w:val="16"/>
                <w:szCs w:val="16"/>
                <w:lang w:eastAsia="es-AR"/>
              </w:rPr>
            </w:pPr>
          </w:p>
        </w:tc>
      </w:tr>
      <w:tr w:rsidR="007F2A80" w:rsidRPr="002D55D1" w14:paraId="5293F712" w14:textId="77777777" w:rsidTr="007F2A80">
        <w:trPr>
          <w:trHeight w:val="285"/>
        </w:trPr>
        <w:tc>
          <w:tcPr>
            <w:tcW w:w="3257" w:type="pct"/>
            <w:tcBorders>
              <w:top w:val="nil"/>
              <w:left w:val="nil"/>
              <w:bottom w:val="nil"/>
              <w:right w:val="nil"/>
            </w:tcBorders>
            <w:shd w:val="clear" w:color="auto" w:fill="auto"/>
            <w:vAlign w:val="center"/>
            <w:hideMark/>
          </w:tcPr>
          <w:p w14:paraId="5D262D7C" w14:textId="77777777" w:rsidR="007F2A80" w:rsidRPr="002D55D1" w:rsidRDefault="007F2A80" w:rsidP="007F2A80">
            <w:pPr>
              <w:ind w:firstLineChars="100" w:firstLine="160"/>
              <w:rPr>
                <w:rFonts w:ascii="Arial" w:hAnsi="Arial" w:cs="Arial"/>
                <w:sz w:val="16"/>
                <w:szCs w:val="16"/>
                <w:lang w:eastAsia="es-AR"/>
              </w:rPr>
            </w:pPr>
            <w:r w:rsidRPr="002D55D1">
              <w:rPr>
                <w:rFonts w:ascii="Arial" w:hAnsi="Arial" w:cs="Arial"/>
                <w:sz w:val="16"/>
                <w:szCs w:val="16"/>
                <w:lang w:eastAsia="es-AR"/>
              </w:rPr>
              <w:t>Títulos de deuda a valor razonable con cambios en resultados</w:t>
            </w:r>
          </w:p>
        </w:tc>
        <w:tc>
          <w:tcPr>
            <w:tcW w:w="411" w:type="pct"/>
            <w:tcBorders>
              <w:top w:val="nil"/>
              <w:left w:val="nil"/>
              <w:bottom w:val="nil"/>
              <w:right w:val="nil"/>
            </w:tcBorders>
            <w:shd w:val="clear" w:color="auto" w:fill="auto"/>
            <w:hideMark/>
          </w:tcPr>
          <w:p w14:paraId="1CABE3FD"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95610A5" w14:textId="40FC5E48"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-157.546 </w:t>
            </w:r>
          </w:p>
        </w:tc>
        <w:tc>
          <w:tcPr>
            <w:tcW w:w="729" w:type="pct"/>
            <w:tcBorders>
              <w:top w:val="nil"/>
              <w:left w:val="nil"/>
              <w:bottom w:val="nil"/>
              <w:right w:val="nil"/>
            </w:tcBorders>
            <w:shd w:val="clear" w:color="auto" w:fill="auto"/>
            <w:vAlign w:val="bottom"/>
          </w:tcPr>
          <w:p w14:paraId="45C9321A" w14:textId="2B35F587"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-6.514.260</w:t>
            </w:r>
          </w:p>
        </w:tc>
      </w:tr>
      <w:tr w:rsidR="007F2A80" w:rsidRPr="002D55D1" w14:paraId="11BAA060" w14:textId="77777777" w:rsidTr="007F2A80">
        <w:trPr>
          <w:trHeight w:val="285"/>
        </w:trPr>
        <w:tc>
          <w:tcPr>
            <w:tcW w:w="3257" w:type="pct"/>
            <w:tcBorders>
              <w:top w:val="nil"/>
              <w:left w:val="nil"/>
              <w:bottom w:val="nil"/>
              <w:right w:val="nil"/>
            </w:tcBorders>
            <w:shd w:val="clear" w:color="auto" w:fill="auto"/>
            <w:vAlign w:val="center"/>
            <w:hideMark/>
          </w:tcPr>
          <w:p w14:paraId="117A4F66" w14:textId="77777777" w:rsidR="007F2A80" w:rsidRPr="002D55D1" w:rsidRDefault="007F2A80" w:rsidP="007F2A80">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nil"/>
              <w:left w:val="nil"/>
              <w:bottom w:val="nil"/>
              <w:right w:val="nil"/>
            </w:tcBorders>
            <w:shd w:val="clear" w:color="auto" w:fill="auto"/>
            <w:hideMark/>
          </w:tcPr>
          <w:p w14:paraId="1C44B813"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3567757" w14:textId="6D78D976"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134.255 </w:t>
            </w:r>
          </w:p>
        </w:tc>
        <w:tc>
          <w:tcPr>
            <w:tcW w:w="729" w:type="pct"/>
            <w:tcBorders>
              <w:top w:val="nil"/>
              <w:left w:val="nil"/>
              <w:bottom w:val="nil"/>
              <w:right w:val="nil"/>
            </w:tcBorders>
            <w:shd w:val="clear" w:color="auto" w:fill="auto"/>
            <w:vAlign w:val="bottom"/>
          </w:tcPr>
          <w:p w14:paraId="772CEE30" w14:textId="389E4217"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-242.666</w:t>
            </w:r>
          </w:p>
        </w:tc>
      </w:tr>
      <w:tr w:rsidR="007F2A80" w:rsidRPr="002D55D1" w14:paraId="0E3FECA6" w14:textId="77777777" w:rsidTr="007F2A80">
        <w:trPr>
          <w:trHeight w:val="285"/>
        </w:trPr>
        <w:tc>
          <w:tcPr>
            <w:tcW w:w="3257" w:type="pct"/>
            <w:tcBorders>
              <w:top w:val="nil"/>
              <w:left w:val="nil"/>
              <w:bottom w:val="nil"/>
              <w:right w:val="nil"/>
            </w:tcBorders>
            <w:shd w:val="clear" w:color="auto" w:fill="auto"/>
            <w:vAlign w:val="center"/>
            <w:hideMark/>
          </w:tcPr>
          <w:p w14:paraId="3FA73CF2" w14:textId="77777777" w:rsidR="007F2A80" w:rsidRPr="002D55D1" w:rsidRDefault="007F2A80" w:rsidP="007F2A80">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hideMark/>
          </w:tcPr>
          <w:p w14:paraId="0DD9E0FD"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A9911EA" w14:textId="16C4F299"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-79.143 </w:t>
            </w:r>
          </w:p>
        </w:tc>
        <w:tc>
          <w:tcPr>
            <w:tcW w:w="729" w:type="pct"/>
            <w:tcBorders>
              <w:top w:val="nil"/>
              <w:left w:val="nil"/>
              <w:bottom w:val="nil"/>
              <w:right w:val="nil"/>
            </w:tcBorders>
            <w:shd w:val="clear" w:color="auto" w:fill="auto"/>
            <w:vAlign w:val="bottom"/>
          </w:tcPr>
          <w:p w14:paraId="5D512D33" w14:textId="6A0537D4"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w:t>
            </w:r>
          </w:p>
        </w:tc>
      </w:tr>
      <w:tr w:rsidR="007F2A80" w:rsidRPr="002D55D1" w14:paraId="01F5AF77" w14:textId="77777777" w:rsidTr="007F2A80">
        <w:trPr>
          <w:trHeight w:val="285"/>
        </w:trPr>
        <w:tc>
          <w:tcPr>
            <w:tcW w:w="3257" w:type="pct"/>
            <w:tcBorders>
              <w:top w:val="nil"/>
              <w:left w:val="nil"/>
              <w:bottom w:val="nil"/>
              <w:right w:val="nil"/>
            </w:tcBorders>
            <w:shd w:val="clear" w:color="auto" w:fill="auto"/>
            <w:vAlign w:val="center"/>
            <w:hideMark/>
          </w:tcPr>
          <w:p w14:paraId="45665E17" w14:textId="77777777" w:rsidR="007F2A80" w:rsidRPr="002D55D1" w:rsidRDefault="007F2A80" w:rsidP="007F2A80">
            <w:pPr>
              <w:ind w:firstLineChars="100" w:firstLine="160"/>
              <w:rPr>
                <w:rFonts w:ascii="Arial" w:hAnsi="Arial" w:cs="Arial"/>
                <w:sz w:val="16"/>
                <w:szCs w:val="16"/>
                <w:lang w:eastAsia="es-AR"/>
              </w:rPr>
            </w:pPr>
            <w:r w:rsidRPr="002D55D1">
              <w:rPr>
                <w:rFonts w:ascii="Arial" w:hAnsi="Arial" w:cs="Arial"/>
                <w:sz w:val="16"/>
                <w:szCs w:val="16"/>
                <w:lang w:eastAsia="es-AR"/>
              </w:rPr>
              <w:t>Préstamos y otras financiaciones</w:t>
            </w:r>
          </w:p>
        </w:tc>
        <w:tc>
          <w:tcPr>
            <w:tcW w:w="411" w:type="pct"/>
            <w:tcBorders>
              <w:top w:val="nil"/>
              <w:left w:val="nil"/>
              <w:bottom w:val="nil"/>
              <w:right w:val="nil"/>
            </w:tcBorders>
            <w:shd w:val="clear" w:color="auto" w:fill="auto"/>
            <w:hideMark/>
          </w:tcPr>
          <w:p w14:paraId="033484A2"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0D0DA06" w14:textId="69155A2D"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w:t>
            </w:r>
          </w:p>
        </w:tc>
        <w:tc>
          <w:tcPr>
            <w:tcW w:w="729" w:type="pct"/>
            <w:tcBorders>
              <w:top w:val="nil"/>
              <w:left w:val="nil"/>
              <w:bottom w:val="nil"/>
              <w:right w:val="nil"/>
            </w:tcBorders>
            <w:shd w:val="clear" w:color="auto" w:fill="auto"/>
            <w:vAlign w:val="bottom"/>
          </w:tcPr>
          <w:p w14:paraId="3748E13D" w14:textId="77777777" w:rsidR="007F2A80" w:rsidRPr="00542F7D" w:rsidRDefault="007F2A80" w:rsidP="007F2A80">
            <w:pPr>
              <w:jc w:val="right"/>
              <w:rPr>
                <w:rFonts w:ascii="Arial" w:hAnsi="Arial" w:cs="Arial"/>
                <w:sz w:val="16"/>
                <w:szCs w:val="16"/>
                <w:lang w:eastAsia="es-AR"/>
              </w:rPr>
            </w:pPr>
          </w:p>
        </w:tc>
      </w:tr>
      <w:tr w:rsidR="007F2A80" w:rsidRPr="002D55D1" w14:paraId="6E1DB0CA" w14:textId="77777777" w:rsidTr="007F2A80">
        <w:trPr>
          <w:trHeight w:val="285"/>
        </w:trPr>
        <w:tc>
          <w:tcPr>
            <w:tcW w:w="3257" w:type="pct"/>
            <w:tcBorders>
              <w:top w:val="nil"/>
              <w:left w:val="nil"/>
              <w:bottom w:val="nil"/>
              <w:right w:val="nil"/>
            </w:tcBorders>
            <w:shd w:val="clear" w:color="auto" w:fill="auto"/>
            <w:vAlign w:val="center"/>
            <w:hideMark/>
          </w:tcPr>
          <w:p w14:paraId="49591496" w14:textId="77777777" w:rsidR="007F2A80" w:rsidRPr="002D55D1" w:rsidRDefault="007F2A80" w:rsidP="007F2A80">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7977ACB6" w14:textId="77777777" w:rsidR="007F2A80" w:rsidRPr="002D55D1" w:rsidRDefault="007F2A80" w:rsidP="007F2A80">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F29BA60" w14:textId="753FB3D4"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-28.138 </w:t>
            </w:r>
          </w:p>
        </w:tc>
        <w:tc>
          <w:tcPr>
            <w:tcW w:w="729" w:type="pct"/>
            <w:tcBorders>
              <w:top w:val="nil"/>
              <w:left w:val="nil"/>
              <w:bottom w:val="nil"/>
              <w:right w:val="nil"/>
            </w:tcBorders>
            <w:shd w:val="clear" w:color="auto" w:fill="auto"/>
            <w:vAlign w:val="bottom"/>
          </w:tcPr>
          <w:p w14:paraId="7EDFE33E" w14:textId="757FE8C5"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11.271</w:t>
            </w:r>
          </w:p>
        </w:tc>
      </w:tr>
      <w:tr w:rsidR="007F2A80" w:rsidRPr="002D55D1" w14:paraId="2F3EFCEB" w14:textId="77777777" w:rsidTr="007F2A80">
        <w:trPr>
          <w:trHeight w:val="285"/>
        </w:trPr>
        <w:tc>
          <w:tcPr>
            <w:tcW w:w="3257" w:type="pct"/>
            <w:tcBorders>
              <w:top w:val="nil"/>
              <w:left w:val="nil"/>
              <w:bottom w:val="nil"/>
              <w:right w:val="nil"/>
            </w:tcBorders>
            <w:shd w:val="clear" w:color="auto" w:fill="auto"/>
            <w:vAlign w:val="center"/>
            <w:hideMark/>
          </w:tcPr>
          <w:p w14:paraId="04142B8C" w14:textId="77777777" w:rsidR="007F2A80" w:rsidRPr="002D55D1" w:rsidRDefault="007F2A80" w:rsidP="007F2A80">
            <w:pPr>
              <w:ind w:firstLineChars="200" w:firstLine="320"/>
              <w:rPr>
                <w:rFonts w:ascii="Arial" w:hAnsi="Arial" w:cs="Arial"/>
                <w:sz w:val="16"/>
                <w:szCs w:val="16"/>
                <w:lang w:eastAsia="es-AR"/>
              </w:rPr>
            </w:pPr>
            <w:r w:rsidRPr="002D55D1">
              <w:rPr>
                <w:rFonts w:ascii="Arial" w:hAnsi="Arial" w:cs="Arial"/>
                <w:sz w:val="16"/>
                <w:szCs w:val="16"/>
                <w:lang w:eastAsia="es-AR"/>
              </w:rPr>
              <w:t>Otras Entidades financieras</w:t>
            </w:r>
          </w:p>
        </w:tc>
        <w:tc>
          <w:tcPr>
            <w:tcW w:w="411" w:type="pct"/>
            <w:tcBorders>
              <w:top w:val="nil"/>
              <w:left w:val="nil"/>
              <w:bottom w:val="nil"/>
              <w:right w:val="nil"/>
            </w:tcBorders>
            <w:shd w:val="clear" w:color="auto" w:fill="auto"/>
            <w:hideMark/>
          </w:tcPr>
          <w:p w14:paraId="14D75E92" w14:textId="77777777" w:rsidR="007F2A80" w:rsidRPr="002D55D1" w:rsidRDefault="007F2A80" w:rsidP="007F2A80">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53D02C" w14:textId="4242D7C8"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35.263 </w:t>
            </w:r>
          </w:p>
        </w:tc>
        <w:tc>
          <w:tcPr>
            <w:tcW w:w="729" w:type="pct"/>
            <w:tcBorders>
              <w:top w:val="nil"/>
              <w:left w:val="nil"/>
              <w:bottom w:val="nil"/>
              <w:right w:val="nil"/>
            </w:tcBorders>
            <w:shd w:val="clear" w:color="auto" w:fill="auto"/>
            <w:vAlign w:val="bottom"/>
          </w:tcPr>
          <w:p w14:paraId="1B65E641" w14:textId="7E60D0DF"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380.264</w:t>
            </w:r>
          </w:p>
        </w:tc>
      </w:tr>
      <w:tr w:rsidR="007F2A80" w:rsidRPr="002D55D1" w14:paraId="630F6D29" w14:textId="77777777" w:rsidTr="007F2A80">
        <w:trPr>
          <w:trHeight w:val="285"/>
        </w:trPr>
        <w:tc>
          <w:tcPr>
            <w:tcW w:w="3257" w:type="pct"/>
            <w:tcBorders>
              <w:top w:val="nil"/>
              <w:left w:val="nil"/>
              <w:bottom w:val="nil"/>
              <w:right w:val="nil"/>
            </w:tcBorders>
            <w:shd w:val="clear" w:color="auto" w:fill="auto"/>
            <w:vAlign w:val="center"/>
            <w:hideMark/>
          </w:tcPr>
          <w:p w14:paraId="1E798AC8" w14:textId="77777777" w:rsidR="007F2A80" w:rsidRPr="002D55D1" w:rsidRDefault="007F2A80" w:rsidP="007F2A80">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bottom w:val="nil"/>
              <w:right w:val="nil"/>
            </w:tcBorders>
            <w:shd w:val="clear" w:color="auto" w:fill="auto"/>
            <w:hideMark/>
          </w:tcPr>
          <w:p w14:paraId="37CDD21B" w14:textId="77777777" w:rsidR="007F2A80" w:rsidRPr="002D55D1" w:rsidRDefault="007F2A80" w:rsidP="007F2A80">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E02192B" w14:textId="1C7799AA"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13.530.626 </w:t>
            </w:r>
          </w:p>
        </w:tc>
        <w:tc>
          <w:tcPr>
            <w:tcW w:w="729" w:type="pct"/>
            <w:tcBorders>
              <w:top w:val="nil"/>
              <w:left w:val="nil"/>
              <w:bottom w:val="nil"/>
              <w:right w:val="nil"/>
            </w:tcBorders>
            <w:shd w:val="clear" w:color="auto" w:fill="auto"/>
            <w:vAlign w:val="bottom"/>
          </w:tcPr>
          <w:p w14:paraId="618C6BC6" w14:textId="79EDD6C5"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14.595.746</w:t>
            </w:r>
          </w:p>
        </w:tc>
      </w:tr>
      <w:tr w:rsidR="007F2A80" w:rsidRPr="002D55D1" w14:paraId="104030E8" w14:textId="77777777" w:rsidTr="007F2A80">
        <w:trPr>
          <w:trHeight w:val="285"/>
        </w:trPr>
        <w:tc>
          <w:tcPr>
            <w:tcW w:w="3257" w:type="pct"/>
            <w:tcBorders>
              <w:top w:val="nil"/>
              <w:left w:val="nil"/>
              <w:bottom w:val="nil"/>
              <w:right w:val="nil"/>
            </w:tcBorders>
            <w:shd w:val="clear" w:color="auto" w:fill="auto"/>
            <w:vAlign w:val="center"/>
            <w:hideMark/>
          </w:tcPr>
          <w:p w14:paraId="61DB9CC1" w14:textId="77777777" w:rsidR="007F2A80" w:rsidRPr="002D55D1" w:rsidRDefault="007F2A80" w:rsidP="007F2A80">
            <w:pPr>
              <w:ind w:firstLineChars="100" w:firstLine="160"/>
              <w:rPr>
                <w:rFonts w:ascii="Arial" w:hAnsi="Arial" w:cs="Arial"/>
                <w:sz w:val="16"/>
                <w:szCs w:val="16"/>
                <w:lang w:eastAsia="es-AR"/>
              </w:rPr>
            </w:pPr>
            <w:r w:rsidRPr="002D55D1">
              <w:rPr>
                <w:rFonts w:ascii="Arial" w:hAnsi="Arial" w:cs="Arial"/>
                <w:sz w:val="16"/>
                <w:szCs w:val="16"/>
                <w:lang w:eastAsia="es-AR"/>
              </w:rPr>
              <w:t>Otros Títulos de Deuda</w:t>
            </w:r>
          </w:p>
        </w:tc>
        <w:tc>
          <w:tcPr>
            <w:tcW w:w="411" w:type="pct"/>
            <w:tcBorders>
              <w:top w:val="nil"/>
              <w:left w:val="nil"/>
              <w:bottom w:val="nil"/>
              <w:right w:val="nil"/>
            </w:tcBorders>
            <w:shd w:val="clear" w:color="auto" w:fill="auto"/>
            <w:hideMark/>
          </w:tcPr>
          <w:p w14:paraId="4119704E"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7F63229" w14:textId="73697C55"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-35.183.343 </w:t>
            </w:r>
          </w:p>
        </w:tc>
        <w:tc>
          <w:tcPr>
            <w:tcW w:w="729" w:type="pct"/>
            <w:tcBorders>
              <w:top w:val="nil"/>
              <w:left w:val="nil"/>
              <w:bottom w:val="nil"/>
              <w:right w:val="nil"/>
            </w:tcBorders>
            <w:shd w:val="clear" w:color="auto" w:fill="auto"/>
            <w:vAlign w:val="bottom"/>
          </w:tcPr>
          <w:p w14:paraId="0AEF0FDC" w14:textId="2D74FD2E" w:rsidR="007F2A80" w:rsidRPr="00542F7D" w:rsidRDefault="00710664" w:rsidP="007F2A80">
            <w:pPr>
              <w:ind w:left="432" w:hanging="432"/>
              <w:jc w:val="right"/>
              <w:rPr>
                <w:rFonts w:ascii="Arial" w:hAnsi="Arial" w:cs="Arial"/>
                <w:sz w:val="16"/>
                <w:szCs w:val="16"/>
                <w:lang w:eastAsia="es-AR"/>
              </w:rPr>
            </w:pPr>
            <w:r w:rsidRPr="00542F7D">
              <w:rPr>
                <w:rFonts w:ascii="Arial" w:hAnsi="Arial" w:cs="Arial"/>
                <w:sz w:val="16"/>
                <w:szCs w:val="16"/>
                <w:lang w:eastAsia="es-AR"/>
              </w:rPr>
              <w:t>1.984.592</w:t>
            </w:r>
          </w:p>
        </w:tc>
      </w:tr>
      <w:tr w:rsidR="007F2A80" w:rsidRPr="002D55D1" w14:paraId="69099AC9" w14:textId="77777777" w:rsidTr="007F2A80">
        <w:trPr>
          <w:trHeight w:val="285"/>
        </w:trPr>
        <w:tc>
          <w:tcPr>
            <w:tcW w:w="3257" w:type="pct"/>
            <w:tcBorders>
              <w:top w:val="nil"/>
              <w:left w:val="nil"/>
              <w:bottom w:val="nil"/>
              <w:right w:val="nil"/>
            </w:tcBorders>
            <w:shd w:val="clear" w:color="auto" w:fill="auto"/>
            <w:vAlign w:val="center"/>
            <w:hideMark/>
          </w:tcPr>
          <w:p w14:paraId="09A100C9" w14:textId="77777777" w:rsidR="007F2A80" w:rsidRPr="002D55D1" w:rsidRDefault="007F2A80" w:rsidP="007F2A80">
            <w:pPr>
              <w:ind w:firstLineChars="100" w:firstLine="160"/>
              <w:rPr>
                <w:rFonts w:ascii="Arial" w:hAnsi="Arial" w:cs="Arial"/>
                <w:sz w:val="16"/>
                <w:szCs w:val="16"/>
                <w:lang w:eastAsia="es-AR"/>
              </w:rPr>
            </w:pPr>
            <w:r w:rsidRPr="002D55D1">
              <w:rPr>
                <w:rFonts w:ascii="Arial" w:hAnsi="Arial" w:cs="Arial"/>
                <w:sz w:val="16"/>
                <w:szCs w:val="16"/>
                <w:lang w:eastAsia="es-AR"/>
              </w:rPr>
              <w:t>Activos financieros entregados en garantía</w:t>
            </w:r>
          </w:p>
        </w:tc>
        <w:tc>
          <w:tcPr>
            <w:tcW w:w="411" w:type="pct"/>
            <w:tcBorders>
              <w:top w:val="nil"/>
              <w:left w:val="nil"/>
              <w:bottom w:val="nil"/>
              <w:right w:val="nil"/>
            </w:tcBorders>
            <w:shd w:val="clear" w:color="auto" w:fill="auto"/>
            <w:hideMark/>
          </w:tcPr>
          <w:p w14:paraId="00A7E3F5"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43E0E5AD" w14:textId="44F33DB0"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-72.651 </w:t>
            </w:r>
          </w:p>
        </w:tc>
        <w:tc>
          <w:tcPr>
            <w:tcW w:w="729" w:type="pct"/>
            <w:tcBorders>
              <w:top w:val="nil"/>
              <w:left w:val="nil"/>
              <w:bottom w:val="nil"/>
              <w:right w:val="nil"/>
            </w:tcBorders>
            <w:shd w:val="clear" w:color="auto" w:fill="auto"/>
            <w:vAlign w:val="bottom"/>
          </w:tcPr>
          <w:p w14:paraId="25D7F61E" w14:textId="36935D72"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-4.011.865</w:t>
            </w:r>
          </w:p>
        </w:tc>
      </w:tr>
      <w:tr w:rsidR="007F2A80" w:rsidRPr="002D55D1" w14:paraId="720371DF" w14:textId="77777777" w:rsidTr="007F2A80">
        <w:trPr>
          <w:trHeight w:val="285"/>
        </w:trPr>
        <w:tc>
          <w:tcPr>
            <w:tcW w:w="3257" w:type="pct"/>
            <w:tcBorders>
              <w:top w:val="nil"/>
              <w:left w:val="nil"/>
              <w:bottom w:val="nil"/>
              <w:right w:val="nil"/>
            </w:tcBorders>
            <w:shd w:val="clear" w:color="auto" w:fill="auto"/>
            <w:vAlign w:val="center"/>
            <w:hideMark/>
          </w:tcPr>
          <w:p w14:paraId="30841292" w14:textId="784CD963" w:rsidR="007F2A80" w:rsidRPr="002D55D1" w:rsidRDefault="007F2A80" w:rsidP="007F2A80">
            <w:pPr>
              <w:rPr>
                <w:rFonts w:ascii="Arial" w:hAnsi="Arial" w:cs="Arial"/>
                <w:sz w:val="16"/>
                <w:szCs w:val="16"/>
                <w:lang w:eastAsia="es-AR"/>
              </w:rPr>
            </w:pPr>
            <w:r>
              <w:rPr>
                <w:rFonts w:ascii="Arial" w:hAnsi="Arial" w:cs="Arial"/>
                <w:sz w:val="16"/>
                <w:szCs w:val="16"/>
                <w:lang w:eastAsia="es-AR"/>
              </w:rPr>
              <w:t xml:space="preserve">   </w:t>
            </w:r>
            <w:r w:rsidRPr="002D55D1">
              <w:rPr>
                <w:rFonts w:ascii="Arial" w:hAnsi="Arial" w:cs="Arial"/>
                <w:sz w:val="16"/>
                <w:szCs w:val="16"/>
                <w:lang w:eastAsia="es-AR"/>
              </w:rPr>
              <w:t>Inversiones en Instrumentos de Patrimonio</w:t>
            </w:r>
          </w:p>
        </w:tc>
        <w:tc>
          <w:tcPr>
            <w:tcW w:w="411" w:type="pct"/>
            <w:tcBorders>
              <w:top w:val="nil"/>
              <w:left w:val="nil"/>
              <w:bottom w:val="nil"/>
              <w:right w:val="nil"/>
            </w:tcBorders>
            <w:shd w:val="clear" w:color="auto" w:fill="auto"/>
            <w:hideMark/>
          </w:tcPr>
          <w:p w14:paraId="55C9470D"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B799A9" w14:textId="04A7E0AF"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6.248 </w:t>
            </w:r>
          </w:p>
        </w:tc>
        <w:tc>
          <w:tcPr>
            <w:tcW w:w="729" w:type="pct"/>
            <w:tcBorders>
              <w:top w:val="nil"/>
              <w:left w:val="nil"/>
              <w:bottom w:val="nil"/>
              <w:right w:val="nil"/>
            </w:tcBorders>
            <w:shd w:val="clear" w:color="auto" w:fill="auto"/>
            <w:vAlign w:val="bottom"/>
          </w:tcPr>
          <w:p w14:paraId="0F8EBD5E" w14:textId="7BB82EAC"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2.326</w:t>
            </w:r>
          </w:p>
        </w:tc>
      </w:tr>
      <w:tr w:rsidR="007F2A80" w:rsidRPr="002D55D1" w14:paraId="277BF611" w14:textId="77777777" w:rsidTr="007F2A80">
        <w:trPr>
          <w:trHeight w:val="285"/>
        </w:trPr>
        <w:tc>
          <w:tcPr>
            <w:tcW w:w="3257" w:type="pct"/>
            <w:tcBorders>
              <w:top w:val="nil"/>
              <w:left w:val="nil"/>
              <w:bottom w:val="nil"/>
              <w:right w:val="nil"/>
            </w:tcBorders>
            <w:shd w:val="clear" w:color="auto" w:fill="auto"/>
            <w:vAlign w:val="center"/>
            <w:hideMark/>
          </w:tcPr>
          <w:p w14:paraId="09347718" w14:textId="77777777" w:rsidR="007F2A80" w:rsidRPr="002D55D1" w:rsidRDefault="007F2A80" w:rsidP="007F2A80">
            <w:pPr>
              <w:ind w:firstLineChars="100" w:firstLine="160"/>
              <w:rPr>
                <w:rFonts w:ascii="Arial" w:hAnsi="Arial" w:cs="Arial"/>
                <w:sz w:val="16"/>
                <w:szCs w:val="16"/>
                <w:lang w:eastAsia="es-AR"/>
              </w:rPr>
            </w:pPr>
            <w:r w:rsidRPr="002D55D1">
              <w:rPr>
                <w:rFonts w:ascii="Arial" w:hAnsi="Arial" w:cs="Arial"/>
                <w:sz w:val="16"/>
                <w:szCs w:val="16"/>
                <w:lang w:eastAsia="es-AR"/>
              </w:rPr>
              <w:t>Otros activos</w:t>
            </w:r>
          </w:p>
        </w:tc>
        <w:tc>
          <w:tcPr>
            <w:tcW w:w="411" w:type="pct"/>
            <w:tcBorders>
              <w:top w:val="nil"/>
              <w:left w:val="nil"/>
              <w:bottom w:val="nil"/>
              <w:right w:val="nil"/>
            </w:tcBorders>
            <w:shd w:val="clear" w:color="auto" w:fill="auto"/>
            <w:hideMark/>
          </w:tcPr>
          <w:p w14:paraId="3CC98998" w14:textId="77777777" w:rsidR="007F2A80" w:rsidRPr="002D55D1" w:rsidRDefault="007F2A80" w:rsidP="007F2A8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AB056B3" w14:textId="0AC382E5" w:rsidR="007F2A80" w:rsidRPr="00593C40" w:rsidRDefault="00A61AD2" w:rsidP="007F2A80">
            <w:pPr>
              <w:jc w:val="right"/>
              <w:rPr>
                <w:rFonts w:ascii="Arial" w:hAnsi="Arial" w:cs="Arial"/>
                <w:sz w:val="16"/>
                <w:szCs w:val="16"/>
                <w:lang w:eastAsia="es-AR"/>
              </w:rPr>
            </w:pPr>
            <w:r w:rsidRPr="00A61AD2">
              <w:rPr>
                <w:rFonts w:ascii="Arial" w:hAnsi="Arial" w:cs="Arial"/>
                <w:sz w:val="16"/>
                <w:szCs w:val="16"/>
                <w:lang w:eastAsia="es-AR"/>
              </w:rPr>
              <w:t>4.009.090</w:t>
            </w:r>
          </w:p>
        </w:tc>
        <w:tc>
          <w:tcPr>
            <w:tcW w:w="729" w:type="pct"/>
            <w:tcBorders>
              <w:top w:val="nil"/>
              <w:left w:val="nil"/>
              <w:bottom w:val="nil"/>
              <w:right w:val="nil"/>
            </w:tcBorders>
            <w:shd w:val="clear" w:color="auto" w:fill="auto"/>
            <w:vAlign w:val="bottom"/>
          </w:tcPr>
          <w:p w14:paraId="79FAD9A1" w14:textId="56A0DDC4" w:rsidR="007F2A80" w:rsidRPr="00542F7D" w:rsidRDefault="00A61AD2" w:rsidP="007F2A80">
            <w:pPr>
              <w:jc w:val="right"/>
              <w:rPr>
                <w:rFonts w:ascii="Arial" w:hAnsi="Arial" w:cs="Arial"/>
                <w:sz w:val="16"/>
                <w:szCs w:val="16"/>
                <w:lang w:eastAsia="es-AR"/>
              </w:rPr>
            </w:pPr>
            <w:r w:rsidRPr="00A61AD2">
              <w:rPr>
                <w:rFonts w:ascii="Arial" w:hAnsi="Arial" w:cs="Arial"/>
                <w:sz w:val="16"/>
                <w:szCs w:val="16"/>
                <w:lang w:eastAsia="es-AR"/>
              </w:rPr>
              <w:t>-1.934.094</w:t>
            </w:r>
          </w:p>
        </w:tc>
      </w:tr>
      <w:tr w:rsidR="005F0795" w:rsidRPr="00593C40" w14:paraId="4CD9B466" w14:textId="77777777" w:rsidTr="00AA5BDF">
        <w:trPr>
          <w:trHeight w:val="134"/>
        </w:trPr>
        <w:tc>
          <w:tcPr>
            <w:tcW w:w="3257" w:type="pct"/>
            <w:tcBorders>
              <w:top w:val="nil"/>
              <w:left w:val="nil"/>
              <w:bottom w:val="nil"/>
              <w:right w:val="nil"/>
            </w:tcBorders>
            <w:shd w:val="clear" w:color="auto" w:fill="auto"/>
            <w:vAlign w:val="center"/>
            <w:hideMark/>
          </w:tcPr>
          <w:p w14:paraId="599BB853" w14:textId="77777777" w:rsidR="005F0795" w:rsidRPr="00593C40" w:rsidRDefault="005F0795" w:rsidP="00CD2AEF">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45FB334D" w14:textId="77777777" w:rsidR="005F0795" w:rsidRPr="00593C40" w:rsidRDefault="005F0795" w:rsidP="005F079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50EBE112" w14:textId="77777777" w:rsidR="005F0795" w:rsidRPr="00593C40" w:rsidRDefault="005F0795"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0426500D" w14:textId="77777777" w:rsidR="005F0795" w:rsidRPr="00542F7D" w:rsidRDefault="005F0795" w:rsidP="00AA5BDF">
            <w:pPr>
              <w:jc w:val="right"/>
              <w:rPr>
                <w:rFonts w:ascii="Arial" w:hAnsi="Arial" w:cs="Arial"/>
                <w:sz w:val="10"/>
                <w:szCs w:val="10"/>
                <w:lang w:eastAsia="es-AR"/>
              </w:rPr>
            </w:pPr>
          </w:p>
        </w:tc>
      </w:tr>
      <w:tr w:rsidR="005F0795" w:rsidRPr="002D55D1" w14:paraId="64CADBF7" w14:textId="77777777" w:rsidTr="00AA5BDF">
        <w:trPr>
          <w:trHeight w:val="277"/>
        </w:trPr>
        <w:tc>
          <w:tcPr>
            <w:tcW w:w="3257" w:type="pct"/>
            <w:tcBorders>
              <w:top w:val="nil"/>
              <w:left w:val="nil"/>
              <w:bottom w:val="nil"/>
              <w:right w:val="nil"/>
            </w:tcBorders>
            <w:shd w:val="clear" w:color="auto" w:fill="auto"/>
            <w:vAlign w:val="center"/>
            <w:hideMark/>
          </w:tcPr>
          <w:p w14:paraId="56EA974D" w14:textId="72FABD50" w:rsidR="005F0795" w:rsidRPr="002D55D1" w:rsidRDefault="005F0795" w:rsidP="00CD2AEF">
            <w:pPr>
              <w:rPr>
                <w:rFonts w:ascii="Arial" w:hAnsi="Arial" w:cs="Arial"/>
                <w:b/>
                <w:bCs/>
                <w:sz w:val="16"/>
                <w:szCs w:val="16"/>
                <w:lang w:eastAsia="es-AR"/>
              </w:rPr>
            </w:pPr>
            <w:r w:rsidRPr="002D55D1">
              <w:rPr>
                <w:rFonts w:ascii="Arial" w:hAnsi="Arial" w:cs="Arial"/>
                <w:b/>
                <w:bCs/>
                <w:sz w:val="16"/>
                <w:szCs w:val="16"/>
                <w:lang w:eastAsia="es-AR"/>
              </w:rPr>
              <w:t>Aumentos / disminuciones netas proveniente</w:t>
            </w:r>
            <w:r w:rsidR="00220DFF">
              <w:rPr>
                <w:rFonts w:ascii="Arial" w:hAnsi="Arial" w:cs="Arial"/>
                <w:b/>
                <w:bCs/>
                <w:sz w:val="16"/>
                <w:szCs w:val="16"/>
                <w:lang w:eastAsia="es-AR"/>
              </w:rPr>
              <w:t>s</w:t>
            </w:r>
            <w:r w:rsidRPr="002D55D1">
              <w:rPr>
                <w:rFonts w:ascii="Arial" w:hAnsi="Arial" w:cs="Arial"/>
                <w:b/>
                <w:bCs/>
                <w:sz w:val="16"/>
                <w:szCs w:val="16"/>
                <w:lang w:eastAsia="es-AR"/>
              </w:rPr>
              <w:t xml:space="preserve"> de pasivos operativos:</w:t>
            </w:r>
          </w:p>
        </w:tc>
        <w:tc>
          <w:tcPr>
            <w:tcW w:w="411" w:type="pct"/>
            <w:tcBorders>
              <w:top w:val="nil"/>
              <w:left w:val="nil"/>
              <w:bottom w:val="nil"/>
              <w:right w:val="nil"/>
            </w:tcBorders>
            <w:shd w:val="clear" w:color="auto" w:fill="auto"/>
            <w:hideMark/>
          </w:tcPr>
          <w:p w14:paraId="00BB548C" w14:textId="77777777" w:rsidR="005F0795" w:rsidRPr="002D55D1" w:rsidRDefault="005F0795" w:rsidP="005F079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2DA71DBB" w14:textId="77777777" w:rsidR="005F0795" w:rsidRPr="00593C40" w:rsidRDefault="005F0795"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7F2C627A" w14:textId="77777777" w:rsidR="005F0795" w:rsidRPr="00542F7D" w:rsidRDefault="005F0795" w:rsidP="00AA5BDF">
            <w:pPr>
              <w:jc w:val="right"/>
              <w:rPr>
                <w:rFonts w:ascii="Arial" w:hAnsi="Arial" w:cs="Arial"/>
                <w:sz w:val="16"/>
                <w:szCs w:val="16"/>
                <w:lang w:eastAsia="es-AR"/>
              </w:rPr>
            </w:pPr>
          </w:p>
        </w:tc>
      </w:tr>
      <w:tr w:rsidR="005F0795" w:rsidRPr="002D55D1" w14:paraId="6CFAA06E" w14:textId="77777777" w:rsidTr="00AA5BDF">
        <w:trPr>
          <w:trHeight w:val="285"/>
        </w:trPr>
        <w:tc>
          <w:tcPr>
            <w:tcW w:w="3257" w:type="pct"/>
            <w:tcBorders>
              <w:top w:val="nil"/>
              <w:left w:val="nil"/>
              <w:bottom w:val="nil"/>
              <w:right w:val="nil"/>
            </w:tcBorders>
            <w:shd w:val="clear" w:color="auto" w:fill="auto"/>
            <w:vAlign w:val="center"/>
            <w:hideMark/>
          </w:tcPr>
          <w:p w14:paraId="55657BB4"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Depósitos</w:t>
            </w:r>
          </w:p>
        </w:tc>
        <w:tc>
          <w:tcPr>
            <w:tcW w:w="411" w:type="pct"/>
            <w:tcBorders>
              <w:top w:val="nil"/>
              <w:left w:val="nil"/>
              <w:bottom w:val="nil"/>
              <w:right w:val="nil"/>
            </w:tcBorders>
            <w:shd w:val="clear" w:color="auto" w:fill="auto"/>
            <w:hideMark/>
          </w:tcPr>
          <w:p w14:paraId="31479497"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21C236C" w14:textId="77777777" w:rsidR="005F0795" w:rsidRPr="00593C40" w:rsidRDefault="005F0795"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2C87B369" w14:textId="77777777" w:rsidR="005F0795" w:rsidRPr="00542F7D" w:rsidRDefault="005F0795" w:rsidP="00AA5BDF">
            <w:pPr>
              <w:jc w:val="right"/>
              <w:rPr>
                <w:rFonts w:ascii="Arial" w:hAnsi="Arial" w:cs="Arial"/>
                <w:sz w:val="16"/>
                <w:szCs w:val="16"/>
                <w:lang w:eastAsia="es-AR"/>
              </w:rPr>
            </w:pPr>
          </w:p>
        </w:tc>
      </w:tr>
      <w:tr w:rsidR="007F2A80" w:rsidRPr="002D55D1" w14:paraId="7E505FFF" w14:textId="77777777" w:rsidTr="007F2A80">
        <w:trPr>
          <w:trHeight w:val="285"/>
        </w:trPr>
        <w:tc>
          <w:tcPr>
            <w:tcW w:w="3257" w:type="pct"/>
            <w:tcBorders>
              <w:top w:val="nil"/>
              <w:left w:val="nil"/>
              <w:bottom w:val="nil"/>
              <w:right w:val="nil"/>
            </w:tcBorders>
            <w:shd w:val="clear" w:color="auto" w:fill="auto"/>
            <w:vAlign w:val="center"/>
            <w:hideMark/>
          </w:tcPr>
          <w:p w14:paraId="65E97B45" w14:textId="77777777" w:rsidR="007F2A80" w:rsidRPr="002D55D1" w:rsidRDefault="007F2A80" w:rsidP="007F2A80">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492AE1B4" w14:textId="77777777" w:rsidR="007F2A80" w:rsidRPr="002D55D1" w:rsidRDefault="007F2A80" w:rsidP="007F2A80">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D2195DA" w14:textId="39B15B9A"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-375.736 </w:t>
            </w:r>
          </w:p>
        </w:tc>
        <w:tc>
          <w:tcPr>
            <w:tcW w:w="729" w:type="pct"/>
            <w:tcBorders>
              <w:top w:val="nil"/>
              <w:left w:val="nil"/>
              <w:bottom w:val="nil"/>
              <w:right w:val="nil"/>
            </w:tcBorders>
            <w:shd w:val="clear" w:color="auto" w:fill="auto"/>
            <w:vAlign w:val="bottom"/>
          </w:tcPr>
          <w:p w14:paraId="5C7E8F68" w14:textId="33FD694A"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-1.833.878</w:t>
            </w:r>
          </w:p>
        </w:tc>
      </w:tr>
      <w:tr w:rsidR="007F2A80" w:rsidRPr="002D55D1" w14:paraId="48E07A71" w14:textId="77777777" w:rsidTr="007F2A80">
        <w:trPr>
          <w:trHeight w:val="285"/>
        </w:trPr>
        <w:tc>
          <w:tcPr>
            <w:tcW w:w="3257" w:type="pct"/>
            <w:tcBorders>
              <w:top w:val="nil"/>
              <w:left w:val="nil"/>
              <w:bottom w:val="nil"/>
              <w:right w:val="nil"/>
            </w:tcBorders>
            <w:shd w:val="clear" w:color="auto" w:fill="auto"/>
            <w:vAlign w:val="center"/>
            <w:hideMark/>
          </w:tcPr>
          <w:p w14:paraId="6C7FA3F5" w14:textId="77777777" w:rsidR="007F2A80" w:rsidRPr="002D55D1" w:rsidRDefault="007F2A80" w:rsidP="007F2A80">
            <w:pPr>
              <w:ind w:firstLineChars="200" w:firstLine="320"/>
              <w:rPr>
                <w:rFonts w:ascii="Arial" w:hAnsi="Arial" w:cs="Arial"/>
                <w:sz w:val="16"/>
                <w:szCs w:val="16"/>
                <w:lang w:eastAsia="es-AR"/>
              </w:rPr>
            </w:pPr>
            <w:r w:rsidRPr="002D55D1">
              <w:rPr>
                <w:rFonts w:ascii="Arial" w:hAnsi="Arial" w:cs="Arial"/>
                <w:sz w:val="16"/>
                <w:szCs w:val="16"/>
                <w:lang w:eastAsia="es-AR"/>
              </w:rPr>
              <w:t>Sector Financiero</w:t>
            </w:r>
          </w:p>
        </w:tc>
        <w:tc>
          <w:tcPr>
            <w:tcW w:w="411" w:type="pct"/>
            <w:tcBorders>
              <w:top w:val="nil"/>
              <w:left w:val="nil"/>
              <w:bottom w:val="nil"/>
              <w:right w:val="nil"/>
            </w:tcBorders>
            <w:shd w:val="clear" w:color="auto" w:fill="auto"/>
            <w:hideMark/>
          </w:tcPr>
          <w:p w14:paraId="77C1E49D" w14:textId="77777777" w:rsidR="007F2A80" w:rsidRPr="002D55D1" w:rsidRDefault="007F2A80" w:rsidP="007F2A80">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46C498D" w14:textId="6CBBC95D"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-13.480 </w:t>
            </w:r>
          </w:p>
        </w:tc>
        <w:tc>
          <w:tcPr>
            <w:tcW w:w="729" w:type="pct"/>
            <w:tcBorders>
              <w:top w:val="nil"/>
              <w:left w:val="nil"/>
              <w:bottom w:val="nil"/>
              <w:right w:val="nil"/>
            </w:tcBorders>
            <w:shd w:val="clear" w:color="auto" w:fill="auto"/>
            <w:vAlign w:val="bottom"/>
          </w:tcPr>
          <w:p w14:paraId="294EA36E" w14:textId="6A373F4D"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-11.639</w:t>
            </w:r>
          </w:p>
        </w:tc>
      </w:tr>
      <w:tr w:rsidR="007F2A80" w:rsidRPr="002D55D1" w14:paraId="331CD2B7" w14:textId="77777777" w:rsidTr="007F2A80">
        <w:trPr>
          <w:trHeight w:val="285"/>
        </w:trPr>
        <w:tc>
          <w:tcPr>
            <w:tcW w:w="3257" w:type="pct"/>
            <w:tcBorders>
              <w:top w:val="nil"/>
              <w:left w:val="nil"/>
              <w:right w:val="nil"/>
            </w:tcBorders>
            <w:shd w:val="clear" w:color="auto" w:fill="auto"/>
            <w:vAlign w:val="center"/>
            <w:hideMark/>
          </w:tcPr>
          <w:p w14:paraId="66C625D4" w14:textId="77777777" w:rsidR="007F2A80" w:rsidRPr="002D55D1" w:rsidRDefault="007F2A80" w:rsidP="007F2A80">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right w:val="nil"/>
            </w:tcBorders>
            <w:shd w:val="clear" w:color="auto" w:fill="auto"/>
            <w:hideMark/>
          </w:tcPr>
          <w:p w14:paraId="5AA61B9E" w14:textId="77777777" w:rsidR="007F2A80" w:rsidRPr="002D55D1" w:rsidRDefault="007F2A80" w:rsidP="007F2A80">
            <w:pPr>
              <w:ind w:firstLineChars="200" w:firstLine="320"/>
              <w:rPr>
                <w:rFonts w:ascii="Arial" w:hAnsi="Arial" w:cs="Arial"/>
                <w:sz w:val="16"/>
                <w:szCs w:val="16"/>
                <w:lang w:eastAsia="es-AR"/>
              </w:rPr>
            </w:pPr>
          </w:p>
        </w:tc>
        <w:tc>
          <w:tcPr>
            <w:tcW w:w="603" w:type="pct"/>
            <w:tcBorders>
              <w:top w:val="nil"/>
              <w:left w:val="nil"/>
              <w:right w:val="nil"/>
            </w:tcBorders>
            <w:shd w:val="clear" w:color="auto" w:fill="auto"/>
            <w:vAlign w:val="bottom"/>
          </w:tcPr>
          <w:p w14:paraId="317E61ED" w14:textId="6A827FBA" w:rsidR="007F2A80" w:rsidRPr="00593C40" w:rsidRDefault="007F2A80" w:rsidP="007F2A80">
            <w:pPr>
              <w:jc w:val="right"/>
              <w:rPr>
                <w:rFonts w:ascii="Arial" w:hAnsi="Arial" w:cs="Arial"/>
                <w:sz w:val="16"/>
                <w:szCs w:val="16"/>
                <w:lang w:eastAsia="es-AR"/>
              </w:rPr>
            </w:pPr>
            <w:r w:rsidRPr="007F2A80">
              <w:rPr>
                <w:rFonts w:ascii="Arial" w:hAnsi="Arial" w:cs="Arial"/>
                <w:sz w:val="16"/>
                <w:szCs w:val="16"/>
                <w:lang w:eastAsia="es-AR"/>
              </w:rPr>
              <w:t xml:space="preserve"> 39.074.354 </w:t>
            </w:r>
          </w:p>
        </w:tc>
        <w:tc>
          <w:tcPr>
            <w:tcW w:w="729" w:type="pct"/>
            <w:tcBorders>
              <w:top w:val="nil"/>
              <w:left w:val="nil"/>
              <w:right w:val="nil"/>
            </w:tcBorders>
            <w:shd w:val="clear" w:color="auto" w:fill="auto"/>
            <w:vAlign w:val="bottom"/>
          </w:tcPr>
          <w:p w14:paraId="587F9FA8" w14:textId="66C362F6" w:rsidR="007F2A80" w:rsidRPr="00542F7D" w:rsidRDefault="00710664" w:rsidP="007F2A80">
            <w:pPr>
              <w:jc w:val="right"/>
              <w:rPr>
                <w:rFonts w:ascii="Arial" w:hAnsi="Arial" w:cs="Arial"/>
                <w:sz w:val="16"/>
                <w:szCs w:val="16"/>
                <w:lang w:eastAsia="es-AR"/>
              </w:rPr>
            </w:pPr>
            <w:r w:rsidRPr="00542F7D">
              <w:rPr>
                <w:rFonts w:ascii="Arial" w:hAnsi="Arial" w:cs="Arial"/>
                <w:sz w:val="16"/>
                <w:szCs w:val="16"/>
                <w:lang w:eastAsia="es-AR"/>
              </w:rPr>
              <w:t>7.575.314</w:t>
            </w:r>
          </w:p>
        </w:tc>
      </w:tr>
      <w:tr w:rsidR="005F0795" w:rsidRPr="002D55D1" w14:paraId="753DDD4D" w14:textId="77777777" w:rsidTr="00AA5BDF">
        <w:trPr>
          <w:trHeight w:val="285"/>
        </w:trPr>
        <w:tc>
          <w:tcPr>
            <w:tcW w:w="3257" w:type="pct"/>
            <w:tcBorders>
              <w:top w:val="nil"/>
              <w:left w:val="nil"/>
              <w:right w:val="nil"/>
            </w:tcBorders>
            <w:shd w:val="clear" w:color="auto" w:fill="auto"/>
            <w:vAlign w:val="center"/>
            <w:hideMark/>
          </w:tcPr>
          <w:p w14:paraId="73CC726C"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lastRenderedPageBreak/>
              <w:t>Pasivos a valor razonable con cambios en resultados</w:t>
            </w:r>
          </w:p>
        </w:tc>
        <w:tc>
          <w:tcPr>
            <w:tcW w:w="411" w:type="pct"/>
            <w:tcBorders>
              <w:top w:val="nil"/>
              <w:left w:val="nil"/>
              <w:right w:val="nil"/>
            </w:tcBorders>
            <w:shd w:val="clear" w:color="auto" w:fill="auto"/>
            <w:hideMark/>
          </w:tcPr>
          <w:p w14:paraId="054E7F11"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2F6D5CF5" w14:textId="0AEDB604" w:rsidR="005F0795" w:rsidRPr="00593C40" w:rsidRDefault="008A46DC" w:rsidP="00AA5BDF">
            <w:pPr>
              <w:jc w:val="right"/>
              <w:rPr>
                <w:rFonts w:ascii="Arial" w:hAnsi="Arial" w:cs="Arial"/>
                <w:sz w:val="16"/>
                <w:szCs w:val="16"/>
                <w:lang w:eastAsia="es-AR"/>
              </w:rPr>
            </w:pPr>
            <w:r w:rsidRPr="008A46DC">
              <w:rPr>
                <w:rFonts w:ascii="Arial" w:hAnsi="Arial" w:cs="Arial"/>
                <w:sz w:val="16"/>
                <w:szCs w:val="16"/>
                <w:lang w:eastAsia="es-AR"/>
              </w:rPr>
              <w:t>161.397</w:t>
            </w:r>
          </w:p>
        </w:tc>
        <w:tc>
          <w:tcPr>
            <w:tcW w:w="729" w:type="pct"/>
            <w:tcBorders>
              <w:top w:val="nil"/>
              <w:left w:val="nil"/>
              <w:right w:val="nil"/>
            </w:tcBorders>
            <w:shd w:val="clear" w:color="auto" w:fill="auto"/>
            <w:vAlign w:val="bottom"/>
          </w:tcPr>
          <w:p w14:paraId="1193FC2C" w14:textId="7F719277" w:rsidR="005F0795" w:rsidRPr="00593C40" w:rsidRDefault="00710664" w:rsidP="00AA5BDF">
            <w:pPr>
              <w:jc w:val="right"/>
              <w:rPr>
                <w:rFonts w:ascii="Arial" w:hAnsi="Arial" w:cs="Arial"/>
                <w:sz w:val="16"/>
                <w:szCs w:val="16"/>
                <w:lang w:eastAsia="es-AR"/>
              </w:rPr>
            </w:pPr>
            <w:r w:rsidRPr="00710664">
              <w:rPr>
                <w:rFonts w:ascii="Arial" w:hAnsi="Arial" w:cs="Arial"/>
                <w:sz w:val="16"/>
                <w:szCs w:val="16"/>
                <w:lang w:eastAsia="es-AR"/>
              </w:rPr>
              <w:t>527.393</w:t>
            </w:r>
          </w:p>
        </w:tc>
      </w:tr>
      <w:tr w:rsidR="006559E7" w:rsidRPr="0076627B" w14:paraId="6766096E" w14:textId="77777777" w:rsidTr="005A1F48">
        <w:trPr>
          <w:trHeight w:val="129"/>
        </w:trPr>
        <w:tc>
          <w:tcPr>
            <w:tcW w:w="3257" w:type="pct"/>
            <w:tcBorders>
              <w:top w:val="nil"/>
              <w:left w:val="nil"/>
              <w:bottom w:val="single" w:sz="4" w:space="0" w:color="auto"/>
              <w:right w:val="nil"/>
            </w:tcBorders>
            <w:shd w:val="clear" w:color="auto" w:fill="auto"/>
          </w:tcPr>
          <w:p w14:paraId="564E2279" w14:textId="77777777" w:rsidR="006559E7" w:rsidRPr="0076627B" w:rsidRDefault="006559E7" w:rsidP="005F0795">
            <w:pPr>
              <w:ind w:firstLineChars="100" w:firstLine="100"/>
              <w:rPr>
                <w:rFonts w:ascii="Arial" w:hAnsi="Arial" w:cs="Arial"/>
                <w:sz w:val="10"/>
                <w:szCs w:val="10"/>
                <w:lang w:eastAsia="es-AR"/>
              </w:rPr>
            </w:pPr>
          </w:p>
        </w:tc>
        <w:tc>
          <w:tcPr>
            <w:tcW w:w="411" w:type="pct"/>
            <w:tcBorders>
              <w:top w:val="nil"/>
              <w:left w:val="nil"/>
              <w:bottom w:val="single" w:sz="4" w:space="0" w:color="auto"/>
              <w:right w:val="nil"/>
            </w:tcBorders>
            <w:shd w:val="clear" w:color="auto" w:fill="auto"/>
          </w:tcPr>
          <w:p w14:paraId="0E8D61F0" w14:textId="77777777" w:rsidR="006559E7" w:rsidRPr="0076627B" w:rsidRDefault="006559E7" w:rsidP="005F0795">
            <w:pPr>
              <w:ind w:firstLineChars="100" w:firstLine="100"/>
              <w:rPr>
                <w:rFonts w:ascii="Arial" w:hAnsi="Arial" w:cs="Arial"/>
                <w:sz w:val="10"/>
                <w:szCs w:val="10"/>
                <w:lang w:eastAsia="es-AR"/>
              </w:rPr>
            </w:pPr>
          </w:p>
        </w:tc>
        <w:tc>
          <w:tcPr>
            <w:tcW w:w="603" w:type="pct"/>
            <w:tcBorders>
              <w:top w:val="nil"/>
              <w:left w:val="nil"/>
              <w:bottom w:val="single" w:sz="4" w:space="0" w:color="auto"/>
              <w:right w:val="nil"/>
            </w:tcBorders>
            <w:shd w:val="clear" w:color="auto" w:fill="auto"/>
            <w:vAlign w:val="bottom"/>
          </w:tcPr>
          <w:p w14:paraId="60F2EFD4" w14:textId="77777777" w:rsidR="006559E7" w:rsidRPr="0076627B" w:rsidRDefault="006559E7" w:rsidP="005F0795">
            <w:pPr>
              <w:jc w:val="right"/>
              <w:rPr>
                <w:rFonts w:ascii="Arial" w:hAnsi="Arial" w:cs="Arial"/>
                <w:sz w:val="10"/>
                <w:szCs w:val="10"/>
                <w:lang w:eastAsia="es-AR"/>
              </w:rPr>
            </w:pPr>
          </w:p>
        </w:tc>
        <w:tc>
          <w:tcPr>
            <w:tcW w:w="729" w:type="pct"/>
            <w:tcBorders>
              <w:top w:val="nil"/>
              <w:left w:val="nil"/>
              <w:bottom w:val="single" w:sz="4" w:space="0" w:color="auto"/>
              <w:right w:val="nil"/>
            </w:tcBorders>
            <w:shd w:val="clear" w:color="auto" w:fill="auto"/>
            <w:vAlign w:val="center"/>
          </w:tcPr>
          <w:p w14:paraId="62E78855" w14:textId="77777777" w:rsidR="006559E7" w:rsidRPr="0076627B" w:rsidRDefault="006559E7" w:rsidP="00CD2AEF">
            <w:pPr>
              <w:jc w:val="right"/>
              <w:rPr>
                <w:rFonts w:ascii="Arial" w:hAnsi="Arial" w:cs="Arial"/>
                <w:sz w:val="10"/>
                <w:szCs w:val="10"/>
                <w:lang w:eastAsia="es-AR"/>
              </w:rPr>
            </w:pPr>
          </w:p>
        </w:tc>
      </w:tr>
      <w:tr w:rsidR="005F0795" w:rsidRPr="002D55D1" w14:paraId="776C72E3" w14:textId="77777777" w:rsidTr="005A1F48">
        <w:trPr>
          <w:trHeight w:val="285"/>
        </w:trPr>
        <w:tc>
          <w:tcPr>
            <w:tcW w:w="3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29FD4E" w14:textId="4E22E393" w:rsidR="005F0795" w:rsidRPr="005F0795" w:rsidRDefault="005F0795" w:rsidP="005F0795">
            <w:pPr>
              <w:jc w:val="center"/>
              <w:rPr>
                <w:rFonts w:ascii="Arial" w:hAnsi="Arial" w:cs="Arial"/>
                <w:b/>
                <w:bCs/>
                <w:sz w:val="16"/>
                <w:szCs w:val="16"/>
                <w:lang w:eastAsia="es-AR"/>
              </w:rPr>
            </w:pPr>
            <w:r w:rsidRPr="00593C40">
              <w:rPr>
                <w:rFonts w:ascii="Arial" w:hAnsi="Arial" w:cs="Arial"/>
                <w:b/>
                <w:bCs/>
                <w:sz w:val="16"/>
                <w:szCs w:val="16"/>
                <w:lang w:eastAsia="es-AR"/>
              </w:rPr>
              <w:t>Conceptos</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E778DF" w14:textId="2B816056" w:rsidR="005F0795" w:rsidRPr="005F0795" w:rsidRDefault="005F0795" w:rsidP="005F0795">
            <w:pPr>
              <w:jc w:val="center"/>
              <w:rPr>
                <w:rFonts w:ascii="Arial" w:hAnsi="Arial" w:cs="Arial"/>
                <w:b/>
                <w:bCs/>
                <w:sz w:val="16"/>
                <w:szCs w:val="16"/>
                <w:lang w:eastAsia="es-AR"/>
              </w:rPr>
            </w:pPr>
            <w:r w:rsidRPr="00593C40">
              <w:rPr>
                <w:rFonts w:ascii="Arial" w:hAnsi="Arial" w:cs="Arial"/>
                <w:b/>
                <w:bCs/>
                <w:sz w:val="16"/>
                <w:szCs w:val="16"/>
                <w:lang w:eastAsia="es-AR"/>
              </w:rPr>
              <w:t>Notas</w:t>
            </w:r>
          </w:p>
        </w:tc>
        <w:tc>
          <w:tcPr>
            <w:tcW w:w="6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14CD30" w14:textId="6244E899" w:rsidR="005F0795" w:rsidRPr="005F0795" w:rsidRDefault="007F2A80" w:rsidP="005F0795">
            <w:pPr>
              <w:jc w:val="center"/>
              <w:rPr>
                <w:rFonts w:ascii="Arial" w:hAnsi="Arial" w:cs="Arial"/>
                <w:b/>
                <w:bCs/>
                <w:sz w:val="16"/>
                <w:szCs w:val="16"/>
                <w:lang w:eastAsia="es-AR"/>
              </w:rPr>
            </w:pPr>
            <w:r>
              <w:rPr>
                <w:rFonts w:ascii="Arial" w:hAnsi="Arial" w:cs="Arial"/>
                <w:b/>
                <w:bCs/>
                <w:sz w:val="16"/>
                <w:szCs w:val="16"/>
                <w:lang w:eastAsia="es-AR"/>
              </w:rPr>
              <w:t>31/03/2020</w:t>
            </w:r>
          </w:p>
        </w:tc>
        <w:tc>
          <w:tcPr>
            <w:tcW w:w="7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10A3E5" w14:textId="56D2084A" w:rsidR="005F0795" w:rsidRPr="005F0795" w:rsidRDefault="00A70C68" w:rsidP="005F0795">
            <w:pPr>
              <w:jc w:val="center"/>
              <w:rPr>
                <w:rFonts w:ascii="Arial" w:hAnsi="Arial" w:cs="Arial"/>
                <w:b/>
                <w:bCs/>
                <w:sz w:val="16"/>
                <w:szCs w:val="16"/>
                <w:lang w:eastAsia="es-AR"/>
              </w:rPr>
            </w:pPr>
            <w:r>
              <w:rPr>
                <w:rFonts w:ascii="Arial" w:hAnsi="Arial" w:cs="Arial"/>
                <w:b/>
                <w:bCs/>
                <w:sz w:val="16"/>
                <w:szCs w:val="16"/>
                <w:lang w:eastAsia="es-AR"/>
              </w:rPr>
              <w:t>31</w:t>
            </w:r>
            <w:r w:rsidR="007F2A80">
              <w:rPr>
                <w:rFonts w:ascii="Arial" w:hAnsi="Arial" w:cs="Arial"/>
                <w:b/>
                <w:bCs/>
                <w:sz w:val="16"/>
                <w:szCs w:val="16"/>
                <w:lang w:eastAsia="es-AR"/>
              </w:rPr>
              <w:t>/03/2019</w:t>
            </w:r>
          </w:p>
        </w:tc>
      </w:tr>
      <w:tr w:rsidR="005F0795" w:rsidRPr="002D55D1" w14:paraId="493377F3" w14:textId="77777777" w:rsidTr="00AA5BDF">
        <w:trPr>
          <w:trHeight w:val="285"/>
        </w:trPr>
        <w:tc>
          <w:tcPr>
            <w:tcW w:w="3257" w:type="pct"/>
            <w:tcBorders>
              <w:top w:val="single" w:sz="4" w:space="0" w:color="auto"/>
              <w:left w:val="nil"/>
              <w:bottom w:val="nil"/>
              <w:right w:val="nil"/>
            </w:tcBorders>
            <w:shd w:val="clear" w:color="auto" w:fill="auto"/>
            <w:vAlign w:val="center"/>
            <w:hideMark/>
          </w:tcPr>
          <w:p w14:paraId="615FD173"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single" w:sz="4" w:space="0" w:color="auto"/>
              <w:left w:val="nil"/>
              <w:bottom w:val="nil"/>
              <w:right w:val="nil"/>
            </w:tcBorders>
            <w:shd w:val="clear" w:color="auto" w:fill="auto"/>
            <w:vAlign w:val="center"/>
            <w:hideMark/>
          </w:tcPr>
          <w:p w14:paraId="33F319FF" w14:textId="77777777" w:rsidR="005F0795" w:rsidRPr="002D55D1" w:rsidRDefault="005F0795" w:rsidP="00CD2AEF">
            <w:pPr>
              <w:ind w:firstLineChars="100" w:firstLine="160"/>
              <w:rPr>
                <w:rFonts w:ascii="Arial" w:hAnsi="Arial" w:cs="Arial"/>
                <w:sz w:val="16"/>
                <w:szCs w:val="16"/>
                <w:lang w:eastAsia="es-AR"/>
              </w:rPr>
            </w:pPr>
          </w:p>
        </w:tc>
        <w:tc>
          <w:tcPr>
            <w:tcW w:w="603" w:type="pct"/>
            <w:tcBorders>
              <w:top w:val="single" w:sz="4" w:space="0" w:color="auto"/>
              <w:left w:val="nil"/>
              <w:bottom w:val="nil"/>
              <w:right w:val="nil"/>
            </w:tcBorders>
            <w:shd w:val="clear" w:color="auto" w:fill="auto"/>
            <w:vAlign w:val="bottom"/>
          </w:tcPr>
          <w:p w14:paraId="103910B9" w14:textId="5FBC6C6D" w:rsidR="005F0795" w:rsidRPr="00593C40" w:rsidRDefault="007F2A80" w:rsidP="00AA5BDF">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single" w:sz="4" w:space="0" w:color="auto"/>
              <w:left w:val="nil"/>
              <w:bottom w:val="nil"/>
              <w:right w:val="nil"/>
            </w:tcBorders>
            <w:shd w:val="clear" w:color="auto" w:fill="auto"/>
            <w:vAlign w:val="bottom"/>
          </w:tcPr>
          <w:p w14:paraId="78434ED0" w14:textId="05F14935" w:rsidR="005F0795" w:rsidRPr="00277723" w:rsidRDefault="00710664" w:rsidP="00AA5BDF">
            <w:pPr>
              <w:jc w:val="right"/>
              <w:rPr>
                <w:rFonts w:ascii="Arial" w:hAnsi="Arial" w:cs="Arial"/>
                <w:sz w:val="16"/>
                <w:szCs w:val="16"/>
                <w:lang w:eastAsia="es-AR"/>
              </w:rPr>
            </w:pPr>
            <w:r w:rsidRPr="00277723">
              <w:rPr>
                <w:rFonts w:ascii="Arial" w:hAnsi="Arial" w:cs="Arial"/>
                <w:sz w:val="16"/>
                <w:szCs w:val="16"/>
                <w:lang w:eastAsia="es-AR"/>
              </w:rPr>
              <w:t>-156.248</w:t>
            </w:r>
          </w:p>
        </w:tc>
      </w:tr>
      <w:tr w:rsidR="005F0795" w:rsidRPr="002D55D1" w14:paraId="603ACAB6" w14:textId="77777777" w:rsidTr="00AA5BDF">
        <w:trPr>
          <w:trHeight w:val="285"/>
        </w:trPr>
        <w:tc>
          <w:tcPr>
            <w:tcW w:w="3257" w:type="pct"/>
            <w:tcBorders>
              <w:top w:val="nil"/>
              <w:left w:val="nil"/>
              <w:bottom w:val="nil"/>
              <w:right w:val="nil"/>
            </w:tcBorders>
            <w:shd w:val="clear" w:color="auto" w:fill="auto"/>
            <w:vAlign w:val="center"/>
            <w:hideMark/>
          </w:tcPr>
          <w:p w14:paraId="568D7ED1"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vAlign w:val="center"/>
            <w:hideMark/>
          </w:tcPr>
          <w:p w14:paraId="0D46F417" w14:textId="77777777" w:rsidR="005F0795" w:rsidRPr="002D55D1" w:rsidRDefault="005F0795" w:rsidP="00CD2AEF">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60ED9DD" w14:textId="1199AAED" w:rsidR="005F0795" w:rsidRPr="00593C40" w:rsidRDefault="007F2A80" w:rsidP="00AA5BDF">
            <w:pPr>
              <w:jc w:val="right"/>
              <w:rPr>
                <w:rFonts w:ascii="Arial" w:hAnsi="Arial" w:cs="Arial"/>
                <w:sz w:val="16"/>
                <w:szCs w:val="16"/>
                <w:lang w:eastAsia="es-AR"/>
              </w:rPr>
            </w:pPr>
            <w:r w:rsidRPr="007F2A80">
              <w:rPr>
                <w:rFonts w:ascii="Arial" w:hAnsi="Arial" w:cs="Arial"/>
                <w:sz w:val="16"/>
                <w:szCs w:val="16"/>
                <w:lang w:eastAsia="es-AR"/>
              </w:rPr>
              <w:t>-74.852</w:t>
            </w:r>
          </w:p>
        </w:tc>
        <w:tc>
          <w:tcPr>
            <w:tcW w:w="729" w:type="pct"/>
            <w:tcBorders>
              <w:top w:val="nil"/>
              <w:left w:val="nil"/>
              <w:bottom w:val="nil"/>
              <w:right w:val="nil"/>
            </w:tcBorders>
            <w:shd w:val="clear" w:color="auto" w:fill="auto"/>
            <w:vAlign w:val="bottom"/>
          </w:tcPr>
          <w:p w14:paraId="32C8E660" w14:textId="1A54ACEC" w:rsidR="005F0795" w:rsidRPr="00277723" w:rsidRDefault="00710664" w:rsidP="00AA5BDF">
            <w:pPr>
              <w:jc w:val="right"/>
              <w:rPr>
                <w:rFonts w:ascii="Arial" w:hAnsi="Arial" w:cs="Arial"/>
                <w:sz w:val="16"/>
                <w:szCs w:val="16"/>
                <w:lang w:eastAsia="es-AR"/>
              </w:rPr>
            </w:pPr>
            <w:r w:rsidRPr="00277723">
              <w:rPr>
                <w:rFonts w:ascii="Arial" w:hAnsi="Arial" w:cs="Arial"/>
                <w:sz w:val="16"/>
                <w:szCs w:val="16"/>
                <w:lang w:eastAsia="es-AR"/>
              </w:rPr>
              <w:t>2.221.256</w:t>
            </w:r>
          </w:p>
        </w:tc>
      </w:tr>
      <w:tr w:rsidR="005F0795" w:rsidRPr="002D55D1" w14:paraId="600A046C" w14:textId="77777777" w:rsidTr="00AA5BDF">
        <w:trPr>
          <w:trHeight w:val="285"/>
        </w:trPr>
        <w:tc>
          <w:tcPr>
            <w:tcW w:w="3257" w:type="pct"/>
            <w:tcBorders>
              <w:top w:val="nil"/>
              <w:left w:val="nil"/>
              <w:bottom w:val="nil"/>
              <w:right w:val="nil"/>
            </w:tcBorders>
            <w:shd w:val="clear" w:color="auto" w:fill="auto"/>
            <w:vAlign w:val="center"/>
            <w:hideMark/>
          </w:tcPr>
          <w:p w14:paraId="4A7FA027"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Otros pasivos</w:t>
            </w:r>
          </w:p>
        </w:tc>
        <w:tc>
          <w:tcPr>
            <w:tcW w:w="411" w:type="pct"/>
            <w:tcBorders>
              <w:top w:val="nil"/>
              <w:left w:val="nil"/>
              <w:bottom w:val="nil"/>
              <w:right w:val="nil"/>
            </w:tcBorders>
            <w:shd w:val="clear" w:color="auto" w:fill="auto"/>
            <w:vAlign w:val="center"/>
            <w:hideMark/>
          </w:tcPr>
          <w:p w14:paraId="1D2FD18F" w14:textId="77777777" w:rsidR="005F0795" w:rsidRPr="002D55D1" w:rsidRDefault="005F0795" w:rsidP="00CD2AEF">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4E87292C" w14:textId="37D963BB" w:rsidR="005F0795" w:rsidRPr="00593C40" w:rsidRDefault="007F2A80" w:rsidP="00AA5BDF">
            <w:pPr>
              <w:jc w:val="right"/>
              <w:rPr>
                <w:rFonts w:ascii="Arial" w:hAnsi="Arial" w:cs="Arial"/>
                <w:sz w:val="16"/>
                <w:szCs w:val="16"/>
                <w:lang w:eastAsia="es-AR"/>
              </w:rPr>
            </w:pPr>
            <w:r w:rsidRPr="007F2A80">
              <w:rPr>
                <w:rFonts w:ascii="Arial" w:hAnsi="Arial" w:cs="Arial"/>
                <w:sz w:val="16"/>
                <w:szCs w:val="16"/>
                <w:lang w:eastAsia="es-AR"/>
              </w:rPr>
              <w:t>-4.482.69</w:t>
            </w:r>
            <w:r>
              <w:rPr>
                <w:rFonts w:ascii="Arial" w:hAnsi="Arial" w:cs="Arial"/>
                <w:sz w:val="16"/>
                <w:szCs w:val="16"/>
                <w:lang w:eastAsia="es-AR"/>
              </w:rPr>
              <w:t>5</w:t>
            </w:r>
          </w:p>
        </w:tc>
        <w:tc>
          <w:tcPr>
            <w:tcW w:w="729" w:type="pct"/>
            <w:tcBorders>
              <w:top w:val="nil"/>
              <w:left w:val="nil"/>
              <w:bottom w:val="nil"/>
              <w:right w:val="nil"/>
            </w:tcBorders>
            <w:shd w:val="clear" w:color="auto" w:fill="auto"/>
            <w:vAlign w:val="bottom"/>
          </w:tcPr>
          <w:p w14:paraId="32436F1A" w14:textId="31CF0C46" w:rsidR="005F0795" w:rsidRPr="00277723" w:rsidRDefault="00710664" w:rsidP="00AA5BDF">
            <w:pPr>
              <w:jc w:val="right"/>
              <w:rPr>
                <w:rFonts w:ascii="Arial" w:hAnsi="Arial" w:cs="Arial"/>
                <w:sz w:val="16"/>
                <w:szCs w:val="16"/>
                <w:lang w:eastAsia="es-AR"/>
              </w:rPr>
            </w:pPr>
            <w:r w:rsidRPr="00277723">
              <w:rPr>
                <w:rFonts w:ascii="Arial" w:hAnsi="Arial" w:cs="Arial"/>
                <w:sz w:val="16"/>
                <w:szCs w:val="16"/>
                <w:lang w:eastAsia="es-AR"/>
              </w:rPr>
              <w:t>404.344</w:t>
            </w:r>
          </w:p>
        </w:tc>
      </w:tr>
      <w:tr w:rsidR="005F0795" w:rsidRPr="0038752C" w14:paraId="50D424E5" w14:textId="77777777" w:rsidTr="0076627B">
        <w:trPr>
          <w:trHeight w:val="80"/>
        </w:trPr>
        <w:tc>
          <w:tcPr>
            <w:tcW w:w="3257" w:type="pct"/>
            <w:tcBorders>
              <w:top w:val="nil"/>
              <w:left w:val="nil"/>
              <w:bottom w:val="nil"/>
              <w:right w:val="nil"/>
            </w:tcBorders>
            <w:shd w:val="clear" w:color="auto" w:fill="auto"/>
            <w:vAlign w:val="center"/>
            <w:hideMark/>
          </w:tcPr>
          <w:p w14:paraId="7B58841D" w14:textId="77777777" w:rsidR="005F0795" w:rsidRPr="005A1F48" w:rsidRDefault="005F0795" w:rsidP="00CD2AEF">
            <w:pPr>
              <w:rPr>
                <w:rFonts w:ascii="Arial" w:hAnsi="Arial" w:cs="Arial"/>
                <w:sz w:val="10"/>
                <w:szCs w:val="10"/>
                <w:lang w:eastAsia="es-AR"/>
              </w:rPr>
            </w:pPr>
          </w:p>
        </w:tc>
        <w:tc>
          <w:tcPr>
            <w:tcW w:w="411" w:type="pct"/>
            <w:tcBorders>
              <w:top w:val="nil"/>
              <w:left w:val="nil"/>
              <w:bottom w:val="nil"/>
              <w:right w:val="nil"/>
            </w:tcBorders>
            <w:shd w:val="clear" w:color="auto" w:fill="auto"/>
            <w:vAlign w:val="center"/>
            <w:hideMark/>
          </w:tcPr>
          <w:p w14:paraId="0DD1476C" w14:textId="77777777" w:rsidR="005F0795" w:rsidRPr="005A1F48" w:rsidRDefault="005F0795" w:rsidP="00CD2AEF">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30ADA984" w14:textId="77777777" w:rsidR="005F0795" w:rsidRPr="005A1F48" w:rsidRDefault="005F0795"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114CF809" w14:textId="77777777" w:rsidR="005F0795" w:rsidRPr="00277723" w:rsidRDefault="005F0795" w:rsidP="00AA5BDF">
            <w:pPr>
              <w:jc w:val="right"/>
              <w:rPr>
                <w:rFonts w:ascii="Arial" w:hAnsi="Arial" w:cs="Arial"/>
                <w:sz w:val="10"/>
                <w:szCs w:val="10"/>
                <w:lang w:eastAsia="es-AR"/>
              </w:rPr>
            </w:pPr>
          </w:p>
        </w:tc>
      </w:tr>
      <w:tr w:rsidR="005F0795" w:rsidRPr="002D55D1" w14:paraId="74A60D7A" w14:textId="77777777" w:rsidTr="00AA5BDF">
        <w:trPr>
          <w:trHeight w:val="280"/>
        </w:trPr>
        <w:tc>
          <w:tcPr>
            <w:tcW w:w="3257" w:type="pct"/>
            <w:tcBorders>
              <w:top w:val="nil"/>
              <w:left w:val="nil"/>
              <w:bottom w:val="nil"/>
              <w:right w:val="nil"/>
            </w:tcBorders>
            <w:shd w:val="clear" w:color="auto" w:fill="auto"/>
            <w:vAlign w:val="center"/>
            <w:hideMark/>
          </w:tcPr>
          <w:p w14:paraId="759844CC" w14:textId="013E3B73" w:rsidR="005F0795" w:rsidRPr="002D55D1" w:rsidRDefault="005F0795" w:rsidP="00CD2AEF">
            <w:pPr>
              <w:rPr>
                <w:rFonts w:ascii="Arial" w:hAnsi="Arial" w:cs="Arial"/>
                <w:b/>
                <w:bCs/>
                <w:sz w:val="16"/>
                <w:szCs w:val="16"/>
                <w:lang w:eastAsia="es-AR"/>
              </w:rPr>
            </w:pPr>
            <w:r>
              <w:rPr>
                <w:rFonts w:ascii="Arial" w:hAnsi="Arial" w:cs="Arial"/>
                <w:b/>
                <w:bCs/>
                <w:sz w:val="16"/>
                <w:szCs w:val="16"/>
                <w:lang w:eastAsia="es-AR"/>
              </w:rPr>
              <w:t>P</w:t>
            </w:r>
            <w:r w:rsidRPr="002D55D1">
              <w:rPr>
                <w:rFonts w:ascii="Arial" w:hAnsi="Arial" w:cs="Arial"/>
                <w:b/>
                <w:bCs/>
                <w:sz w:val="16"/>
                <w:szCs w:val="16"/>
                <w:lang w:eastAsia="es-AR"/>
              </w:rPr>
              <w:t>agos por Impuesto a las Ganancias</w:t>
            </w:r>
          </w:p>
        </w:tc>
        <w:tc>
          <w:tcPr>
            <w:tcW w:w="411" w:type="pct"/>
            <w:tcBorders>
              <w:top w:val="nil"/>
              <w:left w:val="nil"/>
              <w:bottom w:val="nil"/>
              <w:right w:val="nil"/>
            </w:tcBorders>
            <w:shd w:val="clear" w:color="auto" w:fill="auto"/>
            <w:vAlign w:val="center"/>
            <w:hideMark/>
          </w:tcPr>
          <w:p w14:paraId="6D943D9E" w14:textId="77777777" w:rsidR="005F0795" w:rsidRPr="002D55D1" w:rsidRDefault="005F0795" w:rsidP="00CD2AEF">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6B0CCBCF" w14:textId="15B0549A" w:rsidR="005F0795" w:rsidRPr="00593C40" w:rsidRDefault="006559E7" w:rsidP="00AA5BDF">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64F3B650" w14:textId="46F5C165" w:rsidR="005F0795" w:rsidRPr="00277723" w:rsidRDefault="00710664" w:rsidP="00AA5BDF">
            <w:pPr>
              <w:jc w:val="right"/>
              <w:rPr>
                <w:rFonts w:ascii="Arial" w:hAnsi="Arial" w:cs="Arial"/>
                <w:sz w:val="16"/>
                <w:szCs w:val="16"/>
                <w:lang w:eastAsia="es-AR"/>
              </w:rPr>
            </w:pPr>
            <w:r w:rsidRPr="00277723">
              <w:rPr>
                <w:rFonts w:ascii="Arial" w:hAnsi="Arial" w:cs="Arial"/>
                <w:sz w:val="16"/>
                <w:szCs w:val="16"/>
                <w:lang w:eastAsia="es-AR"/>
              </w:rPr>
              <w:t>-131.524</w:t>
            </w:r>
          </w:p>
        </w:tc>
      </w:tr>
      <w:tr w:rsidR="005F0795" w:rsidRPr="0038752C" w14:paraId="207F6C52" w14:textId="77777777" w:rsidTr="0076627B">
        <w:trPr>
          <w:trHeight w:val="80"/>
        </w:trPr>
        <w:tc>
          <w:tcPr>
            <w:tcW w:w="3257" w:type="pct"/>
            <w:tcBorders>
              <w:top w:val="nil"/>
              <w:left w:val="nil"/>
              <w:bottom w:val="nil"/>
              <w:right w:val="nil"/>
            </w:tcBorders>
            <w:shd w:val="clear" w:color="auto" w:fill="auto"/>
            <w:vAlign w:val="center"/>
            <w:hideMark/>
          </w:tcPr>
          <w:p w14:paraId="215FE92C" w14:textId="77777777" w:rsidR="005F0795" w:rsidRPr="0038752C" w:rsidRDefault="005F0795" w:rsidP="00CD2AEF">
            <w:pPr>
              <w:rPr>
                <w:rFonts w:ascii="Arial" w:hAnsi="Arial" w:cs="Arial"/>
                <w:sz w:val="10"/>
                <w:szCs w:val="10"/>
                <w:lang w:eastAsia="es-AR"/>
              </w:rPr>
            </w:pPr>
          </w:p>
        </w:tc>
        <w:tc>
          <w:tcPr>
            <w:tcW w:w="411" w:type="pct"/>
            <w:tcBorders>
              <w:top w:val="nil"/>
              <w:left w:val="nil"/>
              <w:bottom w:val="nil"/>
              <w:right w:val="nil"/>
            </w:tcBorders>
            <w:shd w:val="clear" w:color="auto" w:fill="auto"/>
            <w:vAlign w:val="center"/>
            <w:hideMark/>
          </w:tcPr>
          <w:p w14:paraId="77810D87" w14:textId="77777777" w:rsidR="005F0795" w:rsidRPr="0038752C" w:rsidRDefault="005F0795" w:rsidP="00CD2AEF">
            <w:pPr>
              <w:rPr>
                <w:rFonts w:ascii="Arial" w:hAnsi="Arial" w:cs="Arial"/>
                <w:sz w:val="10"/>
                <w:szCs w:val="10"/>
                <w:lang w:eastAsia="es-AR"/>
              </w:rPr>
            </w:pPr>
          </w:p>
        </w:tc>
        <w:tc>
          <w:tcPr>
            <w:tcW w:w="603" w:type="pct"/>
            <w:tcBorders>
              <w:top w:val="nil"/>
              <w:left w:val="nil"/>
              <w:bottom w:val="single" w:sz="4" w:space="0" w:color="auto"/>
              <w:right w:val="nil"/>
            </w:tcBorders>
            <w:shd w:val="clear" w:color="auto" w:fill="auto"/>
            <w:vAlign w:val="bottom"/>
          </w:tcPr>
          <w:p w14:paraId="2CF0FE5D" w14:textId="77777777" w:rsidR="005F0795" w:rsidRPr="0038752C" w:rsidRDefault="005F0795" w:rsidP="00AA5BDF">
            <w:pPr>
              <w:jc w:val="right"/>
              <w:rPr>
                <w:rFonts w:ascii="Arial" w:hAnsi="Arial" w:cs="Arial"/>
                <w:sz w:val="10"/>
                <w:szCs w:val="10"/>
                <w:lang w:eastAsia="es-AR"/>
              </w:rPr>
            </w:pPr>
          </w:p>
        </w:tc>
        <w:tc>
          <w:tcPr>
            <w:tcW w:w="729" w:type="pct"/>
            <w:tcBorders>
              <w:top w:val="nil"/>
              <w:left w:val="nil"/>
              <w:bottom w:val="single" w:sz="4" w:space="0" w:color="auto"/>
              <w:right w:val="nil"/>
            </w:tcBorders>
            <w:shd w:val="clear" w:color="auto" w:fill="auto"/>
            <w:vAlign w:val="bottom"/>
          </w:tcPr>
          <w:p w14:paraId="345AF540" w14:textId="77777777" w:rsidR="005F0795" w:rsidRPr="00277723" w:rsidRDefault="005F0795" w:rsidP="00AA5BDF">
            <w:pPr>
              <w:jc w:val="right"/>
              <w:rPr>
                <w:rFonts w:ascii="Arial" w:hAnsi="Arial" w:cs="Arial"/>
                <w:sz w:val="10"/>
                <w:szCs w:val="10"/>
                <w:lang w:eastAsia="es-AR"/>
              </w:rPr>
            </w:pPr>
          </w:p>
        </w:tc>
      </w:tr>
      <w:tr w:rsidR="005F0795" w:rsidRPr="002D55D1" w14:paraId="27015881" w14:textId="77777777" w:rsidTr="00AA5BDF">
        <w:trPr>
          <w:trHeight w:val="70"/>
        </w:trPr>
        <w:tc>
          <w:tcPr>
            <w:tcW w:w="3257" w:type="pct"/>
            <w:tcBorders>
              <w:top w:val="nil"/>
              <w:left w:val="nil"/>
              <w:right w:val="nil"/>
            </w:tcBorders>
            <w:shd w:val="clear" w:color="auto" w:fill="auto"/>
            <w:vAlign w:val="center"/>
            <w:hideMark/>
          </w:tcPr>
          <w:p w14:paraId="536B57FC" w14:textId="77777777" w:rsidR="005F0795" w:rsidRPr="002D55D1" w:rsidRDefault="005F0795" w:rsidP="00CD2AEF">
            <w:pPr>
              <w:rPr>
                <w:rFonts w:ascii="Arial" w:hAnsi="Arial" w:cs="Arial"/>
                <w:b/>
                <w:bCs/>
                <w:sz w:val="16"/>
                <w:szCs w:val="16"/>
                <w:lang w:eastAsia="es-AR"/>
              </w:rPr>
            </w:pPr>
            <w:r w:rsidRPr="002D55D1">
              <w:rPr>
                <w:rFonts w:ascii="Arial" w:hAnsi="Arial" w:cs="Arial"/>
                <w:b/>
                <w:bCs/>
                <w:sz w:val="16"/>
                <w:szCs w:val="16"/>
                <w:lang w:eastAsia="es-AR"/>
              </w:rPr>
              <w:t>TOTAL DE LAS ACTIVIDADES OPERATIVAS (A)</w:t>
            </w:r>
          </w:p>
        </w:tc>
        <w:tc>
          <w:tcPr>
            <w:tcW w:w="411" w:type="pct"/>
            <w:tcBorders>
              <w:top w:val="nil"/>
              <w:left w:val="nil"/>
              <w:right w:val="nil"/>
            </w:tcBorders>
            <w:shd w:val="clear" w:color="auto" w:fill="auto"/>
            <w:vAlign w:val="center"/>
            <w:hideMark/>
          </w:tcPr>
          <w:p w14:paraId="581B425A" w14:textId="77777777" w:rsidR="005F0795" w:rsidRPr="002D55D1" w:rsidRDefault="005F0795" w:rsidP="00CD2AEF">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8CD4E70" w14:textId="70194881" w:rsidR="005F0795" w:rsidRPr="00593C40" w:rsidRDefault="00A61AD2" w:rsidP="00AA5BDF">
            <w:pPr>
              <w:jc w:val="right"/>
              <w:rPr>
                <w:rFonts w:ascii="Arial" w:hAnsi="Arial" w:cs="Arial"/>
                <w:b/>
                <w:bCs/>
                <w:sz w:val="16"/>
                <w:szCs w:val="16"/>
                <w:lang w:val="es-ES_tradnl" w:eastAsia="es-AR"/>
              </w:rPr>
            </w:pPr>
            <w:r w:rsidRPr="00A61AD2">
              <w:rPr>
                <w:rFonts w:ascii="Arial" w:hAnsi="Arial" w:cs="Arial"/>
                <w:b/>
                <w:bCs/>
                <w:sz w:val="16"/>
                <w:szCs w:val="16"/>
                <w:lang w:val="es-ES_tradnl" w:eastAsia="es-AR"/>
              </w:rPr>
              <w:t xml:space="preserve">13.603.016 </w:t>
            </w:r>
          </w:p>
        </w:tc>
        <w:tc>
          <w:tcPr>
            <w:tcW w:w="729" w:type="pct"/>
            <w:tcBorders>
              <w:top w:val="single" w:sz="4" w:space="0" w:color="auto"/>
              <w:left w:val="nil"/>
              <w:bottom w:val="single" w:sz="4" w:space="0" w:color="auto"/>
              <w:right w:val="nil"/>
            </w:tcBorders>
            <w:shd w:val="clear" w:color="auto" w:fill="auto"/>
            <w:vAlign w:val="bottom"/>
          </w:tcPr>
          <w:p w14:paraId="6746ED0F" w14:textId="740B3BDE" w:rsidR="005F0795" w:rsidRPr="00277723" w:rsidRDefault="00A61AD2" w:rsidP="00AA5BDF">
            <w:pPr>
              <w:jc w:val="right"/>
              <w:rPr>
                <w:rFonts w:ascii="Arial" w:hAnsi="Arial" w:cs="Arial"/>
                <w:b/>
                <w:bCs/>
                <w:sz w:val="16"/>
                <w:szCs w:val="16"/>
                <w:lang w:val="es-ES_tradnl" w:eastAsia="es-AR"/>
              </w:rPr>
            </w:pPr>
            <w:r w:rsidRPr="00A61AD2">
              <w:rPr>
                <w:rFonts w:ascii="Arial" w:hAnsi="Arial" w:cs="Arial"/>
                <w:b/>
                <w:bCs/>
                <w:sz w:val="16"/>
                <w:szCs w:val="16"/>
                <w:lang w:val="es-ES_tradnl" w:eastAsia="es-AR"/>
              </w:rPr>
              <w:t>6.397.445</w:t>
            </w:r>
          </w:p>
        </w:tc>
      </w:tr>
      <w:tr w:rsidR="005F0795" w:rsidRPr="0038752C" w14:paraId="4345AC42" w14:textId="77777777" w:rsidTr="0076627B">
        <w:trPr>
          <w:trHeight w:val="70"/>
        </w:trPr>
        <w:tc>
          <w:tcPr>
            <w:tcW w:w="3257" w:type="pct"/>
            <w:tcBorders>
              <w:left w:val="nil"/>
              <w:right w:val="nil"/>
            </w:tcBorders>
            <w:shd w:val="clear" w:color="auto" w:fill="auto"/>
            <w:vAlign w:val="center"/>
          </w:tcPr>
          <w:p w14:paraId="3441B4DA" w14:textId="77777777" w:rsidR="005F0795" w:rsidRPr="005A1F48" w:rsidRDefault="005F0795" w:rsidP="00CD2AEF">
            <w:pPr>
              <w:rPr>
                <w:rFonts w:ascii="Arial" w:hAnsi="Arial" w:cs="Arial"/>
                <w:b/>
                <w:bCs/>
                <w:sz w:val="10"/>
                <w:szCs w:val="10"/>
                <w:lang w:eastAsia="es-AR"/>
              </w:rPr>
            </w:pPr>
          </w:p>
        </w:tc>
        <w:tc>
          <w:tcPr>
            <w:tcW w:w="411" w:type="pct"/>
            <w:tcBorders>
              <w:left w:val="nil"/>
              <w:right w:val="nil"/>
            </w:tcBorders>
            <w:shd w:val="clear" w:color="auto" w:fill="auto"/>
            <w:vAlign w:val="center"/>
          </w:tcPr>
          <w:p w14:paraId="57C3D5A0" w14:textId="77777777" w:rsidR="005F0795" w:rsidRPr="005A1F48" w:rsidRDefault="005F0795" w:rsidP="00CD2AEF">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0EE75171" w14:textId="77777777" w:rsidR="005F0795" w:rsidRPr="005A1F48" w:rsidRDefault="005F0795" w:rsidP="00AA5BDF">
            <w:pPr>
              <w:jc w:val="right"/>
              <w:rPr>
                <w:rFonts w:ascii="Arial" w:hAnsi="Arial" w:cs="Arial"/>
                <w:b/>
                <w:bCs/>
                <w:sz w:val="10"/>
                <w:szCs w:val="10"/>
                <w:lang w:val="es-ES_tradnl" w:eastAsia="es-AR"/>
              </w:rPr>
            </w:pPr>
          </w:p>
        </w:tc>
        <w:tc>
          <w:tcPr>
            <w:tcW w:w="729" w:type="pct"/>
            <w:tcBorders>
              <w:top w:val="single" w:sz="4" w:space="0" w:color="auto"/>
              <w:left w:val="nil"/>
              <w:right w:val="nil"/>
            </w:tcBorders>
            <w:shd w:val="clear" w:color="auto" w:fill="auto"/>
            <w:vAlign w:val="bottom"/>
          </w:tcPr>
          <w:p w14:paraId="5B2C0842" w14:textId="77777777" w:rsidR="005F0795" w:rsidRPr="00277723" w:rsidRDefault="005F0795" w:rsidP="00AA5BDF">
            <w:pPr>
              <w:jc w:val="right"/>
              <w:rPr>
                <w:rFonts w:ascii="Arial" w:hAnsi="Arial" w:cs="Arial"/>
                <w:b/>
                <w:bCs/>
                <w:sz w:val="10"/>
                <w:szCs w:val="10"/>
                <w:lang w:val="es-ES_tradnl" w:eastAsia="es-AR"/>
              </w:rPr>
            </w:pPr>
          </w:p>
        </w:tc>
      </w:tr>
      <w:tr w:rsidR="005F0795" w:rsidRPr="00593C40" w14:paraId="1A074E97" w14:textId="77777777" w:rsidTr="00AA5BDF">
        <w:trPr>
          <w:trHeight w:val="235"/>
        </w:trPr>
        <w:tc>
          <w:tcPr>
            <w:tcW w:w="3257" w:type="pct"/>
            <w:tcBorders>
              <w:left w:val="nil"/>
              <w:bottom w:val="nil"/>
              <w:right w:val="nil"/>
            </w:tcBorders>
            <w:shd w:val="clear" w:color="auto" w:fill="auto"/>
            <w:vAlign w:val="center"/>
            <w:hideMark/>
          </w:tcPr>
          <w:p w14:paraId="1548192B"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INVERSIÓN</w:t>
            </w:r>
          </w:p>
        </w:tc>
        <w:tc>
          <w:tcPr>
            <w:tcW w:w="411" w:type="pct"/>
            <w:tcBorders>
              <w:left w:val="nil"/>
              <w:bottom w:val="nil"/>
              <w:right w:val="nil"/>
            </w:tcBorders>
            <w:shd w:val="clear" w:color="auto" w:fill="auto"/>
            <w:vAlign w:val="center"/>
            <w:hideMark/>
          </w:tcPr>
          <w:p w14:paraId="09FA3754"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right w:val="nil"/>
            </w:tcBorders>
            <w:shd w:val="clear" w:color="auto" w:fill="auto"/>
            <w:vAlign w:val="bottom"/>
          </w:tcPr>
          <w:p w14:paraId="5F29478A" w14:textId="3D1B2B1C" w:rsidR="005F0795" w:rsidRPr="00593C40" w:rsidRDefault="005F0795" w:rsidP="00AA5BDF">
            <w:pPr>
              <w:jc w:val="right"/>
              <w:rPr>
                <w:rFonts w:ascii="Arial" w:hAnsi="Arial" w:cs="Arial"/>
                <w:b/>
                <w:bCs/>
                <w:sz w:val="16"/>
                <w:szCs w:val="16"/>
              </w:rPr>
            </w:pPr>
          </w:p>
        </w:tc>
        <w:tc>
          <w:tcPr>
            <w:tcW w:w="729" w:type="pct"/>
            <w:tcBorders>
              <w:left w:val="nil"/>
              <w:right w:val="nil"/>
            </w:tcBorders>
            <w:shd w:val="clear" w:color="auto" w:fill="auto"/>
            <w:vAlign w:val="bottom"/>
          </w:tcPr>
          <w:p w14:paraId="4DAA518C" w14:textId="17CF52CC" w:rsidR="005F0795" w:rsidRPr="00277723" w:rsidRDefault="005F0795" w:rsidP="00AA5BDF">
            <w:pPr>
              <w:jc w:val="right"/>
              <w:rPr>
                <w:rFonts w:ascii="Arial" w:hAnsi="Arial" w:cs="Arial"/>
                <w:b/>
                <w:bCs/>
                <w:sz w:val="16"/>
                <w:szCs w:val="16"/>
              </w:rPr>
            </w:pPr>
          </w:p>
        </w:tc>
      </w:tr>
      <w:tr w:rsidR="005F0795" w:rsidRPr="00593C40" w14:paraId="09B22FA2" w14:textId="77777777" w:rsidTr="00AA5BDF">
        <w:trPr>
          <w:trHeight w:val="80"/>
        </w:trPr>
        <w:tc>
          <w:tcPr>
            <w:tcW w:w="3257" w:type="pct"/>
            <w:tcBorders>
              <w:top w:val="nil"/>
              <w:left w:val="nil"/>
              <w:bottom w:val="nil"/>
              <w:right w:val="nil"/>
            </w:tcBorders>
            <w:shd w:val="clear" w:color="auto" w:fill="auto"/>
            <w:vAlign w:val="center"/>
            <w:hideMark/>
          </w:tcPr>
          <w:p w14:paraId="255EAB75" w14:textId="77777777" w:rsidR="005F0795" w:rsidRPr="00593C40"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3BE46E9D" w14:textId="77777777" w:rsidR="005F0795" w:rsidRPr="00593C40" w:rsidRDefault="005F0795" w:rsidP="00CD2AEF">
            <w:pPr>
              <w:rPr>
                <w:rFonts w:ascii="Arial" w:hAnsi="Arial" w:cs="Arial"/>
                <w:b/>
                <w:bCs/>
                <w:sz w:val="10"/>
                <w:szCs w:val="10"/>
                <w:lang w:eastAsia="es-AR"/>
              </w:rPr>
            </w:pPr>
          </w:p>
        </w:tc>
        <w:tc>
          <w:tcPr>
            <w:tcW w:w="603" w:type="pct"/>
            <w:tcBorders>
              <w:left w:val="nil"/>
              <w:right w:val="nil"/>
            </w:tcBorders>
            <w:shd w:val="clear" w:color="auto" w:fill="auto"/>
            <w:vAlign w:val="bottom"/>
          </w:tcPr>
          <w:p w14:paraId="45743EF9" w14:textId="77777777" w:rsidR="005F0795" w:rsidRPr="00593C40" w:rsidRDefault="005F0795" w:rsidP="00AA5BDF">
            <w:pPr>
              <w:jc w:val="right"/>
              <w:rPr>
                <w:rFonts w:ascii="Arial" w:hAnsi="Arial" w:cs="Arial"/>
                <w:b/>
                <w:bCs/>
                <w:sz w:val="10"/>
                <w:szCs w:val="10"/>
              </w:rPr>
            </w:pPr>
          </w:p>
        </w:tc>
        <w:tc>
          <w:tcPr>
            <w:tcW w:w="729" w:type="pct"/>
            <w:tcBorders>
              <w:left w:val="nil"/>
              <w:right w:val="nil"/>
            </w:tcBorders>
            <w:shd w:val="clear" w:color="auto" w:fill="auto"/>
            <w:vAlign w:val="bottom"/>
          </w:tcPr>
          <w:p w14:paraId="17A0AA4E" w14:textId="77777777" w:rsidR="005F0795" w:rsidRPr="00277723" w:rsidRDefault="005F0795" w:rsidP="00AA5BDF">
            <w:pPr>
              <w:jc w:val="right"/>
              <w:rPr>
                <w:rFonts w:ascii="Arial" w:hAnsi="Arial" w:cs="Arial"/>
                <w:b/>
                <w:bCs/>
                <w:sz w:val="10"/>
                <w:szCs w:val="10"/>
              </w:rPr>
            </w:pPr>
          </w:p>
        </w:tc>
      </w:tr>
      <w:tr w:rsidR="005F0795" w:rsidRPr="00593C40" w14:paraId="3AC1F350" w14:textId="77777777" w:rsidTr="00AA5BDF">
        <w:trPr>
          <w:trHeight w:val="113"/>
        </w:trPr>
        <w:tc>
          <w:tcPr>
            <w:tcW w:w="3257" w:type="pct"/>
            <w:tcBorders>
              <w:top w:val="nil"/>
              <w:left w:val="nil"/>
              <w:bottom w:val="nil"/>
              <w:right w:val="nil"/>
            </w:tcBorders>
            <w:shd w:val="clear" w:color="auto" w:fill="auto"/>
            <w:vAlign w:val="center"/>
            <w:hideMark/>
          </w:tcPr>
          <w:p w14:paraId="13D9FD4C"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vAlign w:val="center"/>
            <w:hideMark/>
          </w:tcPr>
          <w:p w14:paraId="2CD6FCDD"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4EAF8339" w14:textId="77777777" w:rsidR="005F0795" w:rsidRPr="00593C40" w:rsidRDefault="005F0795" w:rsidP="00AA5BDF">
            <w:pPr>
              <w:jc w:val="right"/>
              <w:rPr>
                <w:rFonts w:ascii="Arial" w:hAnsi="Arial" w:cs="Arial"/>
                <w:b/>
                <w:bCs/>
                <w:sz w:val="16"/>
                <w:szCs w:val="16"/>
              </w:rPr>
            </w:pPr>
          </w:p>
        </w:tc>
        <w:tc>
          <w:tcPr>
            <w:tcW w:w="729" w:type="pct"/>
            <w:tcBorders>
              <w:left w:val="nil"/>
              <w:right w:val="nil"/>
            </w:tcBorders>
            <w:shd w:val="clear" w:color="auto" w:fill="auto"/>
            <w:vAlign w:val="bottom"/>
          </w:tcPr>
          <w:p w14:paraId="3E4A12D9" w14:textId="77777777" w:rsidR="005F0795" w:rsidRPr="00277723" w:rsidRDefault="005F0795" w:rsidP="00AA5BDF">
            <w:pPr>
              <w:jc w:val="right"/>
              <w:rPr>
                <w:rFonts w:ascii="Arial" w:hAnsi="Arial" w:cs="Arial"/>
                <w:b/>
                <w:bCs/>
                <w:sz w:val="16"/>
                <w:szCs w:val="16"/>
              </w:rPr>
            </w:pPr>
          </w:p>
        </w:tc>
      </w:tr>
      <w:tr w:rsidR="005F0795" w:rsidRPr="00593C40" w14:paraId="235FC8F5" w14:textId="77777777" w:rsidTr="00AA5BDF">
        <w:trPr>
          <w:trHeight w:val="285"/>
        </w:trPr>
        <w:tc>
          <w:tcPr>
            <w:tcW w:w="3257" w:type="pct"/>
            <w:tcBorders>
              <w:top w:val="nil"/>
              <w:left w:val="nil"/>
              <w:bottom w:val="nil"/>
              <w:right w:val="nil"/>
            </w:tcBorders>
            <w:shd w:val="clear" w:color="auto" w:fill="auto"/>
            <w:vAlign w:val="center"/>
            <w:hideMark/>
          </w:tcPr>
          <w:p w14:paraId="3DA00DCB" w14:textId="77777777" w:rsidR="005F0795" w:rsidRPr="00AC4F4B" w:rsidRDefault="005F0795" w:rsidP="00CD2AEF">
            <w:pPr>
              <w:ind w:firstLine="284"/>
              <w:rPr>
                <w:rFonts w:ascii="Arial" w:hAnsi="Arial" w:cs="Arial"/>
                <w:bCs/>
                <w:sz w:val="16"/>
                <w:szCs w:val="16"/>
                <w:lang w:eastAsia="es-AR"/>
              </w:rPr>
            </w:pPr>
            <w:r w:rsidRPr="00AC4F4B">
              <w:rPr>
                <w:rFonts w:ascii="Arial" w:hAnsi="Arial" w:cs="Arial"/>
                <w:bCs/>
                <w:sz w:val="16"/>
                <w:szCs w:val="16"/>
                <w:lang w:eastAsia="es-AR"/>
              </w:rPr>
              <w:t>Compra de PPE, activos intangibles y otros activos</w:t>
            </w:r>
          </w:p>
        </w:tc>
        <w:tc>
          <w:tcPr>
            <w:tcW w:w="411" w:type="pct"/>
            <w:tcBorders>
              <w:top w:val="nil"/>
              <w:left w:val="nil"/>
              <w:bottom w:val="nil"/>
              <w:right w:val="nil"/>
            </w:tcBorders>
            <w:shd w:val="clear" w:color="auto" w:fill="auto"/>
            <w:vAlign w:val="center"/>
            <w:hideMark/>
          </w:tcPr>
          <w:p w14:paraId="403DF465"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23D5A3C1" w14:textId="0968BF3F" w:rsidR="005F0795" w:rsidRPr="00593C40" w:rsidRDefault="00A61AD2" w:rsidP="00AA5BDF">
            <w:pPr>
              <w:jc w:val="right"/>
              <w:rPr>
                <w:rFonts w:ascii="Arial" w:hAnsi="Arial" w:cs="Arial"/>
                <w:bCs/>
                <w:sz w:val="16"/>
                <w:szCs w:val="16"/>
              </w:rPr>
            </w:pPr>
            <w:r w:rsidRPr="00A61AD2">
              <w:rPr>
                <w:rFonts w:ascii="Arial" w:hAnsi="Arial" w:cs="Arial"/>
                <w:bCs/>
                <w:sz w:val="16"/>
                <w:szCs w:val="16"/>
              </w:rPr>
              <w:t>-292.672</w:t>
            </w:r>
          </w:p>
        </w:tc>
        <w:tc>
          <w:tcPr>
            <w:tcW w:w="729" w:type="pct"/>
            <w:tcBorders>
              <w:left w:val="nil"/>
              <w:right w:val="nil"/>
            </w:tcBorders>
            <w:shd w:val="clear" w:color="auto" w:fill="auto"/>
            <w:vAlign w:val="bottom"/>
          </w:tcPr>
          <w:p w14:paraId="55F7ED84" w14:textId="17BFF966" w:rsidR="005F0795" w:rsidRPr="00277723" w:rsidRDefault="00710664" w:rsidP="00AA5BDF">
            <w:pPr>
              <w:jc w:val="right"/>
              <w:rPr>
                <w:rFonts w:ascii="Arial" w:hAnsi="Arial" w:cs="Arial"/>
                <w:bCs/>
                <w:sz w:val="16"/>
                <w:szCs w:val="16"/>
              </w:rPr>
            </w:pPr>
            <w:r w:rsidRPr="00277723">
              <w:rPr>
                <w:rFonts w:ascii="Arial" w:hAnsi="Arial" w:cs="Arial"/>
                <w:bCs/>
                <w:sz w:val="16"/>
                <w:szCs w:val="16"/>
              </w:rPr>
              <w:t>-19.506</w:t>
            </w:r>
          </w:p>
        </w:tc>
      </w:tr>
      <w:tr w:rsidR="005F0795" w:rsidRPr="00593C40" w14:paraId="5EA25C41" w14:textId="77777777" w:rsidTr="00AA5BDF">
        <w:trPr>
          <w:trHeight w:val="285"/>
        </w:trPr>
        <w:tc>
          <w:tcPr>
            <w:tcW w:w="3257" w:type="pct"/>
            <w:tcBorders>
              <w:top w:val="nil"/>
              <w:left w:val="nil"/>
              <w:bottom w:val="nil"/>
              <w:right w:val="nil"/>
            </w:tcBorders>
            <w:shd w:val="clear" w:color="auto" w:fill="auto"/>
            <w:vAlign w:val="center"/>
            <w:hideMark/>
          </w:tcPr>
          <w:p w14:paraId="2CAD16FA" w14:textId="77777777" w:rsidR="005F0795" w:rsidRPr="00AC4F4B" w:rsidRDefault="005F0795" w:rsidP="00CD2AEF">
            <w:pPr>
              <w:ind w:firstLine="284"/>
              <w:rPr>
                <w:rFonts w:ascii="Arial" w:hAnsi="Arial" w:cs="Arial"/>
                <w:bCs/>
                <w:sz w:val="16"/>
                <w:szCs w:val="16"/>
                <w:lang w:eastAsia="es-AR"/>
              </w:rPr>
            </w:pPr>
            <w:r w:rsidRPr="00AC4F4B">
              <w:rPr>
                <w:rFonts w:ascii="Arial" w:hAnsi="Arial" w:cs="Arial"/>
                <w:bCs/>
                <w:sz w:val="16"/>
                <w:szCs w:val="16"/>
                <w:lang w:eastAsia="es-AR"/>
              </w:rPr>
              <w:t>Obtención de control de subsidiarias u otros negocios</w:t>
            </w:r>
          </w:p>
        </w:tc>
        <w:tc>
          <w:tcPr>
            <w:tcW w:w="411" w:type="pct"/>
            <w:tcBorders>
              <w:top w:val="nil"/>
              <w:left w:val="nil"/>
              <w:bottom w:val="nil"/>
              <w:right w:val="nil"/>
            </w:tcBorders>
            <w:shd w:val="clear" w:color="auto" w:fill="auto"/>
            <w:vAlign w:val="center"/>
            <w:hideMark/>
          </w:tcPr>
          <w:p w14:paraId="0757429A"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39A2AFE3" w14:textId="42DA28FC" w:rsidR="005F0795" w:rsidRPr="00593C40" w:rsidRDefault="006559E7" w:rsidP="00AA5BDF">
            <w:pPr>
              <w:jc w:val="right"/>
              <w:rPr>
                <w:rFonts w:ascii="Arial" w:hAnsi="Arial" w:cs="Arial"/>
                <w:bCs/>
                <w:sz w:val="16"/>
                <w:szCs w:val="16"/>
              </w:rPr>
            </w:pPr>
            <w:r>
              <w:rPr>
                <w:rFonts w:ascii="Arial" w:hAnsi="Arial" w:cs="Arial"/>
                <w:bCs/>
                <w:sz w:val="16"/>
                <w:szCs w:val="16"/>
              </w:rPr>
              <w:t>-</w:t>
            </w:r>
          </w:p>
        </w:tc>
        <w:tc>
          <w:tcPr>
            <w:tcW w:w="729" w:type="pct"/>
            <w:tcBorders>
              <w:left w:val="nil"/>
              <w:right w:val="nil"/>
            </w:tcBorders>
            <w:shd w:val="clear" w:color="auto" w:fill="auto"/>
            <w:vAlign w:val="bottom"/>
          </w:tcPr>
          <w:p w14:paraId="31427C2B" w14:textId="1AE0D26C" w:rsidR="005F0795" w:rsidRPr="00277723" w:rsidRDefault="005F0795" w:rsidP="00AA5BDF">
            <w:pPr>
              <w:jc w:val="right"/>
              <w:rPr>
                <w:rFonts w:ascii="Arial" w:hAnsi="Arial" w:cs="Arial"/>
                <w:bCs/>
                <w:sz w:val="16"/>
                <w:szCs w:val="16"/>
              </w:rPr>
            </w:pPr>
          </w:p>
        </w:tc>
      </w:tr>
      <w:tr w:rsidR="005F0795" w:rsidRPr="00593C40" w14:paraId="238AAF89" w14:textId="77777777" w:rsidTr="00AA5BDF">
        <w:trPr>
          <w:trHeight w:val="80"/>
        </w:trPr>
        <w:tc>
          <w:tcPr>
            <w:tcW w:w="3257" w:type="pct"/>
            <w:tcBorders>
              <w:top w:val="nil"/>
              <w:left w:val="nil"/>
              <w:bottom w:val="nil"/>
              <w:right w:val="nil"/>
            </w:tcBorders>
            <w:shd w:val="clear" w:color="auto" w:fill="auto"/>
            <w:vAlign w:val="center"/>
            <w:hideMark/>
          </w:tcPr>
          <w:p w14:paraId="0E3E5C87" w14:textId="77777777" w:rsidR="005F0795" w:rsidRPr="00593C40"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0970690F" w14:textId="77777777" w:rsidR="005F0795" w:rsidRPr="00593C40" w:rsidRDefault="005F0795" w:rsidP="00CD2AEF">
            <w:pPr>
              <w:rPr>
                <w:rFonts w:ascii="Arial" w:hAnsi="Arial" w:cs="Arial"/>
                <w:b/>
                <w:bCs/>
                <w:sz w:val="10"/>
                <w:szCs w:val="10"/>
                <w:lang w:eastAsia="es-AR"/>
              </w:rPr>
            </w:pPr>
          </w:p>
        </w:tc>
        <w:tc>
          <w:tcPr>
            <w:tcW w:w="603" w:type="pct"/>
            <w:tcBorders>
              <w:left w:val="nil"/>
              <w:right w:val="nil"/>
            </w:tcBorders>
            <w:shd w:val="clear" w:color="auto" w:fill="auto"/>
            <w:vAlign w:val="bottom"/>
          </w:tcPr>
          <w:p w14:paraId="387B18E6" w14:textId="77777777" w:rsidR="005F0795" w:rsidRPr="00593C40" w:rsidRDefault="005F0795" w:rsidP="00AA5BDF">
            <w:pPr>
              <w:jc w:val="right"/>
              <w:rPr>
                <w:rFonts w:ascii="Arial" w:hAnsi="Arial" w:cs="Arial"/>
                <w:bCs/>
                <w:sz w:val="10"/>
                <w:szCs w:val="10"/>
              </w:rPr>
            </w:pPr>
          </w:p>
        </w:tc>
        <w:tc>
          <w:tcPr>
            <w:tcW w:w="729" w:type="pct"/>
            <w:tcBorders>
              <w:left w:val="nil"/>
              <w:right w:val="nil"/>
            </w:tcBorders>
            <w:shd w:val="clear" w:color="auto" w:fill="auto"/>
            <w:vAlign w:val="bottom"/>
          </w:tcPr>
          <w:p w14:paraId="65770F16" w14:textId="77777777" w:rsidR="005F0795" w:rsidRPr="00277723" w:rsidRDefault="005F0795" w:rsidP="00AA5BDF">
            <w:pPr>
              <w:jc w:val="right"/>
              <w:rPr>
                <w:rFonts w:ascii="Arial" w:hAnsi="Arial" w:cs="Arial"/>
                <w:bCs/>
                <w:sz w:val="10"/>
                <w:szCs w:val="10"/>
              </w:rPr>
            </w:pPr>
          </w:p>
        </w:tc>
      </w:tr>
      <w:tr w:rsidR="005F0795" w:rsidRPr="00593C40" w14:paraId="33B70ED9" w14:textId="77777777" w:rsidTr="00AA5BDF">
        <w:trPr>
          <w:trHeight w:val="111"/>
        </w:trPr>
        <w:tc>
          <w:tcPr>
            <w:tcW w:w="3257" w:type="pct"/>
            <w:tcBorders>
              <w:top w:val="nil"/>
              <w:left w:val="nil"/>
              <w:bottom w:val="nil"/>
              <w:right w:val="nil"/>
            </w:tcBorders>
            <w:shd w:val="clear" w:color="auto" w:fill="auto"/>
            <w:vAlign w:val="center"/>
            <w:hideMark/>
          </w:tcPr>
          <w:p w14:paraId="1A7CEDDE"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vAlign w:val="center"/>
            <w:hideMark/>
          </w:tcPr>
          <w:p w14:paraId="45BE21FC"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2A2A8D33" w14:textId="77777777" w:rsidR="005F0795" w:rsidRPr="00593C40" w:rsidRDefault="005F0795" w:rsidP="00AA5BDF">
            <w:pPr>
              <w:jc w:val="right"/>
              <w:rPr>
                <w:rFonts w:ascii="Arial" w:hAnsi="Arial" w:cs="Arial"/>
                <w:bCs/>
                <w:sz w:val="16"/>
                <w:szCs w:val="16"/>
              </w:rPr>
            </w:pPr>
          </w:p>
        </w:tc>
        <w:tc>
          <w:tcPr>
            <w:tcW w:w="729" w:type="pct"/>
            <w:tcBorders>
              <w:left w:val="nil"/>
              <w:right w:val="nil"/>
            </w:tcBorders>
            <w:shd w:val="clear" w:color="auto" w:fill="auto"/>
            <w:vAlign w:val="bottom"/>
          </w:tcPr>
          <w:p w14:paraId="3D77B066" w14:textId="77777777" w:rsidR="005F0795" w:rsidRPr="00277723" w:rsidRDefault="005F0795" w:rsidP="00AA5BDF">
            <w:pPr>
              <w:jc w:val="right"/>
              <w:rPr>
                <w:rFonts w:ascii="Arial" w:hAnsi="Arial" w:cs="Arial"/>
                <w:bCs/>
                <w:sz w:val="16"/>
                <w:szCs w:val="16"/>
              </w:rPr>
            </w:pPr>
          </w:p>
        </w:tc>
      </w:tr>
      <w:tr w:rsidR="005F0795" w:rsidRPr="00593C40" w14:paraId="66CC8222" w14:textId="77777777" w:rsidTr="005A1F48">
        <w:trPr>
          <w:trHeight w:val="285"/>
        </w:trPr>
        <w:tc>
          <w:tcPr>
            <w:tcW w:w="3257" w:type="pct"/>
            <w:tcBorders>
              <w:top w:val="nil"/>
              <w:left w:val="nil"/>
              <w:bottom w:val="nil"/>
              <w:right w:val="nil"/>
            </w:tcBorders>
            <w:shd w:val="clear" w:color="auto" w:fill="auto"/>
            <w:vAlign w:val="bottom"/>
            <w:hideMark/>
          </w:tcPr>
          <w:p w14:paraId="10C173DA" w14:textId="77777777" w:rsidR="005F0795" w:rsidRPr="00AC4F4B" w:rsidRDefault="005F0795">
            <w:pPr>
              <w:ind w:firstLine="284"/>
              <w:rPr>
                <w:rFonts w:ascii="Arial" w:hAnsi="Arial" w:cs="Arial"/>
                <w:bCs/>
                <w:sz w:val="16"/>
                <w:szCs w:val="16"/>
                <w:lang w:eastAsia="es-AR"/>
              </w:rPr>
            </w:pPr>
            <w:r w:rsidRPr="00AC4F4B">
              <w:rPr>
                <w:rFonts w:ascii="Arial" w:hAnsi="Arial" w:cs="Arial"/>
                <w:bCs/>
                <w:sz w:val="16"/>
                <w:szCs w:val="16"/>
                <w:lang w:eastAsia="es-AR"/>
              </w:rPr>
              <w:t>Venta de PPE, activos intangibles y otros activos</w:t>
            </w:r>
          </w:p>
        </w:tc>
        <w:tc>
          <w:tcPr>
            <w:tcW w:w="411" w:type="pct"/>
            <w:tcBorders>
              <w:top w:val="nil"/>
              <w:left w:val="nil"/>
              <w:bottom w:val="nil"/>
              <w:right w:val="nil"/>
            </w:tcBorders>
            <w:shd w:val="clear" w:color="auto" w:fill="auto"/>
            <w:vAlign w:val="bottom"/>
            <w:hideMark/>
          </w:tcPr>
          <w:p w14:paraId="68861D94" w14:textId="77777777" w:rsidR="005F0795" w:rsidRPr="00593C40" w:rsidRDefault="005F0795">
            <w:pPr>
              <w:rPr>
                <w:rFonts w:ascii="Arial" w:hAnsi="Arial" w:cs="Arial"/>
                <w:b/>
                <w:bCs/>
                <w:sz w:val="16"/>
                <w:szCs w:val="16"/>
                <w:lang w:eastAsia="es-AR"/>
              </w:rPr>
            </w:pPr>
          </w:p>
        </w:tc>
        <w:tc>
          <w:tcPr>
            <w:tcW w:w="603" w:type="pct"/>
            <w:tcBorders>
              <w:left w:val="nil"/>
              <w:right w:val="nil"/>
            </w:tcBorders>
            <w:shd w:val="clear" w:color="auto" w:fill="auto"/>
            <w:vAlign w:val="bottom"/>
          </w:tcPr>
          <w:p w14:paraId="7C29971F" w14:textId="6C7581CA" w:rsidR="005F0795" w:rsidRPr="00593C40" w:rsidRDefault="00A61AD2" w:rsidP="00AA5BDF">
            <w:pPr>
              <w:jc w:val="right"/>
              <w:rPr>
                <w:rFonts w:ascii="Arial" w:hAnsi="Arial" w:cs="Arial"/>
                <w:bCs/>
                <w:sz w:val="16"/>
                <w:szCs w:val="16"/>
              </w:rPr>
            </w:pPr>
            <w:r w:rsidRPr="00A61AD2">
              <w:rPr>
                <w:rFonts w:ascii="Arial" w:hAnsi="Arial" w:cs="Arial"/>
                <w:bCs/>
                <w:sz w:val="16"/>
                <w:szCs w:val="16"/>
              </w:rPr>
              <w:t>38.128</w:t>
            </w:r>
          </w:p>
        </w:tc>
        <w:tc>
          <w:tcPr>
            <w:tcW w:w="729" w:type="pct"/>
            <w:tcBorders>
              <w:left w:val="nil"/>
              <w:right w:val="nil"/>
            </w:tcBorders>
            <w:shd w:val="clear" w:color="auto" w:fill="auto"/>
            <w:vAlign w:val="bottom"/>
          </w:tcPr>
          <w:p w14:paraId="629770BA" w14:textId="6442CD23" w:rsidR="005F0795" w:rsidRPr="00277723" w:rsidRDefault="00710664" w:rsidP="00AA5BDF">
            <w:pPr>
              <w:jc w:val="right"/>
              <w:rPr>
                <w:rFonts w:ascii="Arial" w:hAnsi="Arial" w:cs="Arial"/>
                <w:bCs/>
                <w:sz w:val="16"/>
                <w:szCs w:val="16"/>
              </w:rPr>
            </w:pPr>
            <w:r w:rsidRPr="00277723">
              <w:rPr>
                <w:rFonts w:ascii="Arial" w:hAnsi="Arial" w:cs="Arial"/>
                <w:bCs/>
                <w:sz w:val="16"/>
                <w:szCs w:val="16"/>
              </w:rPr>
              <w:t>47.774</w:t>
            </w:r>
          </w:p>
        </w:tc>
      </w:tr>
      <w:tr w:rsidR="005F0795" w:rsidRPr="00593C40" w14:paraId="30BCDB46" w14:textId="77777777" w:rsidTr="00AA5BDF">
        <w:trPr>
          <w:trHeight w:val="80"/>
        </w:trPr>
        <w:tc>
          <w:tcPr>
            <w:tcW w:w="3257" w:type="pct"/>
            <w:tcBorders>
              <w:top w:val="nil"/>
              <w:left w:val="nil"/>
              <w:bottom w:val="nil"/>
              <w:right w:val="nil"/>
            </w:tcBorders>
            <w:shd w:val="clear" w:color="auto" w:fill="auto"/>
            <w:vAlign w:val="center"/>
            <w:hideMark/>
          </w:tcPr>
          <w:p w14:paraId="3315214A" w14:textId="77777777" w:rsidR="005F0795" w:rsidRPr="00593C40"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4CAAF4C4" w14:textId="77777777" w:rsidR="005F0795" w:rsidRPr="00593C40" w:rsidRDefault="005F0795" w:rsidP="00CD2AEF">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557CD7B9" w14:textId="77777777" w:rsidR="005F0795" w:rsidRPr="00593C40" w:rsidRDefault="005F0795" w:rsidP="00AA5BDF">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316CA9DA" w14:textId="77777777" w:rsidR="005F0795" w:rsidRPr="00277723" w:rsidRDefault="005F0795" w:rsidP="00AA5BDF">
            <w:pPr>
              <w:jc w:val="right"/>
              <w:rPr>
                <w:rFonts w:ascii="Arial" w:hAnsi="Arial" w:cs="Arial"/>
                <w:bCs/>
                <w:sz w:val="10"/>
                <w:szCs w:val="10"/>
              </w:rPr>
            </w:pPr>
          </w:p>
        </w:tc>
      </w:tr>
      <w:tr w:rsidR="005F0795" w:rsidRPr="00593C40" w14:paraId="5C8BCA45" w14:textId="77777777" w:rsidTr="00AA5BDF">
        <w:trPr>
          <w:trHeight w:val="179"/>
        </w:trPr>
        <w:tc>
          <w:tcPr>
            <w:tcW w:w="3257" w:type="pct"/>
            <w:tcBorders>
              <w:top w:val="nil"/>
              <w:left w:val="nil"/>
              <w:bottom w:val="nil"/>
              <w:right w:val="nil"/>
            </w:tcBorders>
            <w:shd w:val="clear" w:color="auto" w:fill="auto"/>
            <w:vAlign w:val="center"/>
            <w:hideMark/>
          </w:tcPr>
          <w:p w14:paraId="5834E66B"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TOTAL DE LAS ACTIVIDADES DE INVERSIÓN (B)</w:t>
            </w:r>
          </w:p>
        </w:tc>
        <w:tc>
          <w:tcPr>
            <w:tcW w:w="411" w:type="pct"/>
            <w:tcBorders>
              <w:top w:val="nil"/>
              <w:left w:val="nil"/>
              <w:bottom w:val="nil"/>
              <w:right w:val="nil"/>
            </w:tcBorders>
            <w:shd w:val="clear" w:color="auto" w:fill="auto"/>
            <w:vAlign w:val="center"/>
            <w:hideMark/>
          </w:tcPr>
          <w:p w14:paraId="0078767C" w14:textId="77777777" w:rsidR="005F0795" w:rsidRPr="00593C40" w:rsidRDefault="005F0795" w:rsidP="00CD2AEF">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8661DD5" w14:textId="0BAB1C48" w:rsidR="005F0795" w:rsidRPr="00593C40" w:rsidRDefault="00A61AD2" w:rsidP="00AA5BDF">
            <w:pPr>
              <w:jc w:val="right"/>
              <w:rPr>
                <w:rFonts w:ascii="Arial" w:hAnsi="Arial" w:cs="Arial"/>
                <w:b/>
                <w:bCs/>
                <w:sz w:val="16"/>
                <w:szCs w:val="16"/>
              </w:rPr>
            </w:pPr>
            <w:r w:rsidRPr="00A61AD2">
              <w:rPr>
                <w:rFonts w:ascii="Arial" w:hAnsi="Arial" w:cs="Arial"/>
                <w:b/>
                <w:bCs/>
                <w:sz w:val="16"/>
                <w:szCs w:val="16"/>
              </w:rPr>
              <w:t>-254.544</w:t>
            </w:r>
          </w:p>
        </w:tc>
        <w:tc>
          <w:tcPr>
            <w:tcW w:w="729" w:type="pct"/>
            <w:tcBorders>
              <w:top w:val="single" w:sz="4" w:space="0" w:color="auto"/>
              <w:left w:val="nil"/>
              <w:bottom w:val="single" w:sz="4" w:space="0" w:color="auto"/>
              <w:right w:val="nil"/>
            </w:tcBorders>
            <w:shd w:val="clear" w:color="auto" w:fill="auto"/>
            <w:vAlign w:val="bottom"/>
          </w:tcPr>
          <w:p w14:paraId="7093435A" w14:textId="4D4AB5DB" w:rsidR="005F0795" w:rsidRPr="00277723" w:rsidRDefault="00710664" w:rsidP="00AA5BDF">
            <w:pPr>
              <w:jc w:val="right"/>
              <w:rPr>
                <w:rFonts w:ascii="Arial" w:hAnsi="Arial" w:cs="Arial"/>
                <w:b/>
                <w:bCs/>
                <w:sz w:val="16"/>
                <w:szCs w:val="16"/>
              </w:rPr>
            </w:pPr>
            <w:r w:rsidRPr="00277723">
              <w:rPr>
                <w:rFonts w:ascii="Arial" w:hAnsi="Arial" w:cs="Arial"/>
                <w:b/>
                <w:bCs/>
                <w:sz w:val="16"/>
                <w:szCs w:val="16"/>
              </w:rPr>
              <w:t>28.268</w:t>
            </w:r>
          </w:p>
        </w:tc>
      </w:tr>
      <w:tr w:rsidR="005F0795" w:rsidRPr="00593C40" w14:paraId="595F9661" w14:textId="77777777" w:rsidTr="00AA5BDF">
        <w:trPr>
          <w:trHeight w:val="70"/>
        </w:trPr>
        <w:tc>
          <w:tcPr>
            <w:tcW w:w="3257" w:type="pct"/>
            <w:tcBorders>
              <w:top w:val="nil"/>
              <w:left w:val="nil"/>
              <w:bottom w:val="nil"/>
              <w:right w:val="nil"/>
            </w:tcBorders>
            <w:shd w:val="clear" w:color="auto" w:fill="auto"/>
            <w:vAlign w:val="center"/>
            <w:hideMark/>
          </w:tcPr>
          <w:p w14:paraId="79DB90F4" w14:textId="77777777" w:rsidR="005F0795" w:rsidRPr="00593C40"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7754E350" w14:textId="77777777" w:rsidR="005F0795" w:rsidRPr="00593C40" w:rsidRDefault="005F0795" w:rsidP="00CD2AEF">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0EA16BE0" w14:textId="77777777" w:rsidR="005F0795" w:rsidRPr="00593C40" w:rsidRDefault="005F0795" w:rsidP="00AA5BDF">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61B434EF" w14:textId="77777777" w:rsidR="005F0795" w:rsidRPr="00277723" w:rsidRDefault="005F0795" w:rsidP="00AA5BDF">
            <w:pPr>
              <w:jc w:val="right"/>
              <w:rPr>
                <w:rFonts w:ascii="Arial" w:hAnsi="Arial" w:cs="Arial"/>
                <w:b/>
                <w:bCs/>
                <w:sz w:val="10"/>
                <w:szCs w:val="10"/>
              </w:rPr>
            </w:pPr>
          </w:p>
        </w:tc>
      </w:tr>
      <w:tr w:rsidR="005F0795" w:rsidRPr="00593C40" w14:paraId="0A48CBC1" w14:textId="77777777" w:rsidTr="00AA5BDF">
        <w:trPr>
          <w:trHeight w:val="285"/>
        </w:trPr>
        <w:tc>
          <w:tcPr>
            <w:tcW w:w="3257" w:type="pct"/>
            <w:tcBorders>
              <w:top w:val="nil"/>
              <w:left w:val="nil"/>
              <w:bottom w:val="nil"/>
              <w:right w:val="nil"/>
            </w:tcBorders>
            <w:shd w:val="clear" w:color="auto" w:fill="auto"/>
            <w:vAlign w:val="center"/>
            <w:hideMark/>
          </w:tcPr>
          <w:p w14:paraId="4318F41C"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FINANCIACIÓN</w:t>
            </w:r>
          </w:p>
        </w:tc>
        <w:tc>
          <w:tcPr>
            <w:tcW w:w="411" w:type="pct"/>
            <w:tcBorders>
              <w:top w:val="nil"/>
              <w:left w:val="nil"/>
              <w:bottom w:val="nil"/>
              <w:right w:val="nil"/>
            </w:tcBorders>
            <w:shd w:val="clear" w:color="auto" w:fill="auto"/>
            <w:vAlign w:val="center"/>
            <w:hideMark/>
          </w:tcPr>
          <w:p w14:paraId="2F59AD17"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1E5219CF" w14:textId="77777777" w:rsidR="005F0795" w:rsidRPr="00593C40" w:rsidRDefault="005F0795" w:rsidP="00AA5BDF">
            <w:pPr>
              <w:jc w:val="right"/>
              <w:rPr>
                <w:rFonts w:ascii="Arial" w:hAnsi="Arial" w:cs="Arial"/>
                <w:b/>
                <w:bCs/>
                <w:sz w:val="16"/>
                <w:szCs w:val="16"/>
              </w:rPr>
            </w:pPr>
          </w:p>
        </w:tc>
        <w:tc>
          <w:tcPr>
            <w:tcW w:w="729" w:type="pct"/>
            <w:tcBorders>
              <w:left w:val="nil"/>
              <w:right w:val="nil"/>
            </w:tcBorders>
            <w:shd w:val="clear" w:color="auto" w:fill="auto"/>
            <w:vAlign w:val="bottom"/>
          </w:tcPr>
          <w:p w14:paraId="4EB4D47E" w14:textId="77777777" w:rsidR="005F0795" w:rsidRPr="00277723" w:rsidRDefault="005F0795" w:rsidP="00AA5BDF">
            <w:pPr>
              <w:jc w:val="right"/>
              <w:rPr>
                <w:rFonts w:ascii="Arial" w:hAnsi="Arial" w:cs="Arial"/>
                <w:b/>
                <w:bCs/>
                <w:sz w:val="16"/>
                <w:szCs w:val="16"/>
              </w:rPr>
            </w:pPr>
          </w:p>
        </w:tc>
      </w:tr>
      <w:tr w:rsidR="005F0795" w:rsidRPr="00593C40" w14:paraId="39DEBBF0" w14:textId="77777777" w:rsidTr="00AA5BDF">
        <w:trPr>
          <w:trHeight w:val="116"/>
        </w:trPr>
        <w:tc>
          <w:tcPr>
            <w:tcW w:w="3257" w:type="pct"/>
            <w:tcBorders>
              <w:top w:val="nil"/>
              <w:left w:val="nil"/>
              <w:bottom w:val="nil"/>
              <w:right w:val="nil"/>
            </w:tcBorders>
            <w:shd w:val="clear" w:color="auto" w:fill="auto"/>
            <w:vAlign w:val="center"/>
            <w:hideMark/>
          </w:tcPr>
          <w:p w14:paraId="25BD66C2" w14:textId="77777777" w:rsidR="005F0795" w:rsidRPr="00593C40"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6E1BEA6E" w14:textId="77777777" w:rsidR="005F0795" w:rsidRPr="00593C40" w:rsidRDefault="005F0795" w:rsidP="00CD2AEF">
            <w:pPr>
              <w:rPr>
                <w:rFonts w:ascii="Arial" w:hAnsi="Arial" w:cs="Arial"/>
                <w:b/>
                <w:bCs/>
                <w:sz w:val="10"/>
                <w:szCs w:val="10"/>
                <w:lang w:eastAsia="es-AR"/>
              </w:rPr>
            </w:pPr>
          </w:p>
        </w:tc>
        <w:tc>
          <w:tcPr>
            <w:tcW w:w="603" w:type="pct"/>
            <w:tcBorders>
              <w:left w:val="nil"/>
              <w:right w:val="nil"/>
            </w:tcBorders>
            <w:shd w:val="clear" w:color="auto" w:fill="auto"/>
            <w:vAlign w:val="bottom"/>
          </w:tcPr>
          <w:p w14:paraId="3FFD6284" w14:textId="77777777" w:rsidR="005F0795" w:rsidRPr="00593C40" w:rsidRDefault="005F0795" w:rsidP="00AA5BDF">
            <w:pPr>
              <w:jc w:val="right"/>
              <w:rPr>
                <w:rFonts w:ascii="Arial" w:hAnsi="Arial" w:cs="Arial"/>
                <w:b/>
                <w:bCs/>
                <w:sz w:val="10"/>
                <w:szCs w:val="10"/>
              </w:rPr>
            </w:pPr>
          </w:p>
        </w:tc>
        <w:tc>
          <w:tcPr>
            <w:tcW w:w="729" w:type="pct"/>
            <w:tcBorders>
              <w:left w:val="nil"/>
              <w:right w:val="nil"/>
            </w:tcBorders>
            <w:shd w:val="clear" w:color="auto" w:fill="auto"/>
            <w:vAlign w:val="bottom"/>
          </w:tcPr>
          <w:p w14:paraId="76B932CC" w14:textId="77777777" w:rsidR="005F0795" w:rsidRPr="00277723" w:rsidRDefault="005F0795" w:rsidP="00AA5BDF">
            <w:pPr>
              <w:jc w:val="right"/>
              <w:rPr>
                <w:rFonts w:ascii="Arial" w:hAnsi="Arial" w:cs="Arial"/>
                <w:b/>
                <w:bCs/>
                <w:sz w:val="10"/>
                <w:szCs w:val="10"/>
              </w:rPr>
            </w:pPr>
          </w:p>
        </w:tc>
      </w:tr>
      <w:tr w:rsidR="005F0795" w:rsidRPr="00593C40" w14:paraId="747D6B45" w14:textId="77777777" w:rsidTr="00AA5BDF">
        <w:trPr>
          <w:trHeight w:val="161"/>
        </w:trPr>
        <w:tc>
          <w:tcPr>
            <w:tcW w:w="3257" w:type="pct"/>
            <w:tcBorders>
              <w:top w:val="nil"/>
              <w:left w:val="nil"/>
              <w:bottom w:val="nil"/>
              <w:right w:val="nil"/>
            </w:tcBorders>
            <w:shd w:val="clear" w:color="auto" w:fill="auto"/>
            <w:vAlign w:val="center"/>
            <w:hideMark/>
          </w:tcPr>
          <w:p w14:paraId="30DCBB88"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vAlign w:val="center"/>
            <w:hideMark/>
          </w:tcPr>
          <w:p w14:paraId="1F1325FA"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3CA4ABEE" w14:textId="77777777" w:rsidR="005F0795" w:rsidRPr="00593C40" w:rsidRDefault="005F0795" w:rsidP="00AA5BDF">
            <w:pPr>
              <w:jc w:val="right"/>
              <w:rPr>
                <w:rFonts w:ascii="Arial" w:hAnsi="Arial" w:cs="Arial"/>
                <w:b/>
                <w:bCs/>
                <w:sz w:val="16"/>
                <w:szCs w:val="16"/>
              </w:rPr>
            </w:pPr>
          </w:p>
        </w:tc>
        <w:tc>
          <w:tcPr>
            <w:tcW w:w="729" w:type="pct"/>
            <w:tcBorders>
              <w:left w:val="nil"/>
              <w:right w:val="nil"/>
            </w:tcBorders>
            <w:shd w:val="clear" w:color="auto" w:fill="auto"/>
            <w:vAlign w:val="bottom"/>
          </w:tcPr>
          <w:p w14:paraId="1464A793" w14:textId="77777777" w:rsidR="005F0795" w:rsidRPr="00277723" w:rsidRDefault="005F0795" w:rsidP="00AA5BDF">
            <w:pPr>
              <w:jc w:val="right"/>
              <w:rPr>
                <w:rFonts w:ascii="Arial" w:hAnsi="Arial" w:cs="Arial"/>
                <w:b/>
                <w:bCs/>
                <w:sz w:val="16"/>
                <w:szCs w:val="16"/>
              </w:rPr>
            </w:pPr>
          </w:p>
        </w:tc>
      </w:tr>
      <w:tr w:rsidR="005F0795" w:rsidRPr="00593C40" w14:paraId="168AA44C" w14:textId="77777777" w:rsidTr="005A1F48">
        <w:trPr>
          <w:trHeight w:val="285"/>
        </w:trPr>
        <w:tc>
          <w:tcPr>
            <w:tcW w:w="3257" w:type="pct"/>
            <w:tcBorders>
              <w:top w:val="nil"/>
              <w:left w:val="nil"/>
              <w:bottom w:val="nil"/>
              <w:right w:val="nil"/>
            </w:tcBorders>
            <w:shd w:val="clear" w:color="auto" w:fill="auto"/>
            <w:vAlign w:val="bottom"/>
            <w:hideMark/>
          </w:tcPr>
          <w:p w14:paraId="3046A7AA" w14:textId="77777777" w:rsidR="005F0795" w:rsidRPr="00AC4F4B" w:rsidRDefault="005F0795">
            <w:pPr>
              <w:ind w:firstLine="284"/>
              <w:rPr>
                <w:rFonts w:ascii="Arial" w:hAnsi="Arial" w:cs="Arial"/>
                <w:bCs/>
                <w:sz w:val="16"/>
                <w:szCs w:val="16"/>
                <w:lang w:eastAsia="es-AR"/>
              </w:rPr>
            </w:pPr>
            <w:r w:rsidRPr="00AC4F4B">
              <w:rPr>
                <w:rFonts w:ascii="Arial" w:hAnsi="Arial" w:cs="Arial"/>
                <w:bCs/>
                <w:sz w:val="16"/>
                <w:szCs w:val="16"/>
                <w:lang w:eastAsia="es-AR"/>
              </w:rPr>
              <w:t>Obligaciones negociables no subordinadas</w:t>
            </w:r>
          </w:p>
        </w:tc>
        <w:tc>
          <w:tcPr>
            <w:tcW w:w="411" w:type="pct"/>
            <w:tcBorders>
              <w:top w:val="nil"/>
              <w:left w:val="nil"/>
              <w:bottom w:val="nil"/>
              <w:right w:val="nil"/>
            </w:tcBorders>
            <w:shd w:val="clear" w:color="auto" w:fill="auto"/>
            <w:vAlign w:val="bottom"/>
            <w:hideMark/>
          </w:tcPr>
          <w:p w14:paraId="219B0172" w14:textId="77777777" w:rsidR="005F0795" w:rsidRPr="00593C40" w:rsidRDefault="005F0795">
            <w:pPr>
              <w:rPr>
                <w:rFonts w:ascii="Arial" w:hAnsi="Arial" w:cs="Arial"/>
                <w:b/>
                <w:bCs/>
                <w:sz w:val="16"/>
                <w:szCs w:val="16"/>
                <w:lang w:eastAsia="es-AR"/>
              </w:rPr>
            </w:pPr>
          </w:p>
        </w:tc>
        <w:tc>
          <w:tcPr>
            <w:tcW w:w="603" w:type="pct"/>
            <w:tcBorders>
              <w:left w:val="nil"/>
              <w:right w:val="nil"/>
            </w:tcBorders>
            <w:shd w:val="clear" w:color="auto" w:fill="auto"/>
            <w:vAlign w:val="bottom"/>
          </w:tcPr>
          <w:p w14:paraId="52934057" w14:textId="30350B24" w:rsidR="005F0795" w:rsidRPr="00593C40" w:rsidRDefault="007F2A80" w:rsidP="00AA5BDF">
            <w:pPr>
              <w:jc w:val="right"/>
              <w:rPr>
                <w:rFonts w:ascii="Arial" w:hAnsi="Arial" w:cs="Arial"/>
                <w:bCs/>
                <w:sz w:val="16"/>
                <w:szCs w:val="16"/>
              </w:rPr>
            </w:pPr>
            <w:r w:rsidRPr="007F2A80">
              <w:rPr>
                <w:rFonts w:ascii="Arial" w:hAnsi="Arial" w:cs="Arial"/>
                <w:bCs/>
                <w:sz w:val="16"/>
                <w:szCs w:val="16"/>
              </w:rPr>
              <w:t>-2.864.623</w:t>
            </w:r>
          </w:p>
        </w:tc>
        <w:tc>
          <w:tcPr>
            <w:tcW w:w="729" w:type="pct"/>
            <w:tcBorders>
              <w:left w:val="nil"/>
              <w:right w:val="nil"/>
            </w:tcBorders>
            <w:shd w:val="clear" w:color="auto" w:fill="auto"/>
            <w:vAlign w:val="bottom"/>
          </w:tcPr>
          <w:p w14:paraId="76181FD8" w14:textId="3EDB025D" w:rsidR="005F0795" w:rsidRPr="00277723" w:rsidRDefault="00710664" w:rsidP="00AA5BDF">
            <w:pPr>
              <w:jc w:val="right"/>
              <w:rPr>
                <w:rFonts w:ascii="Arial" w:hAnsi="Arial" w:cs="Arial"/>
                <w:bCs/>
                <w:sz w:val="16"/>
                <w:szCs w:val="16"/>
              </w:rPr>
            </w:pPr>
            <w:r w:rsidRPr="00277723">
              <w:rPr>
                <w:rFonts w:ascii="Arial" w:hAnsi="Arial" w:cs="Arial"/>
                <w:bCs/>
                <w:sz w:val="16"/>
                <w:szCs w:val="16"/>
              </w:rPr>
              <w:t>-5.834.774</w:t>
            </w:r>
          </w:p>
        </w:tc>
      </w:tr>
      <w:tr w:rsidR="005F0795" w:rsidRPr="00593C40" w14:paraId="43E762B4" w14:textId="77777777" w:rsidTr="005A1F48">
        <w:trPr>
          <w:trHeight w:val="285"/>
        </w:trPr>
        <w:tc>
          <w:tcPr>
            <w:tcW w:w="3257" w:type="pct"/>
            <w:tcBorders>
              <w:top w:val="nil"/>
              <w:left w:val="nil"/>
              <w:bottom w:val="nil"/>
              <w:right w:val="nil"/>
            </w:tcBorders>
            <w:shd w:val="clear" w:color="auto" w:fill="auto"/>
            <w:vAlign w:val="bottom"/>
            <w:hideMark/>
          </w:tcPr>
          <w:p w14:paraId="63FDC726" w14:textId="77777777" w:rsidR="005F0795" w:rsidRPr="00AC4F4B" w:rsidRDefault="005F0795">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vAlign w:val="bottom"/>
            <w:hideMark/>
          </w:tcPr>
          <w:p w14:paraId="19CDF957" w14:textId="77777777" w:rsidR="005F0795" w:rsidRPr="00593C40" w:rsidRDefault="005F0795">
            <w:pPr>
              <w:rPr>
                <w:rFonts w:ascii="Arial" w:hAnsi="Arial" w:cs="Arial"/>
                <w:b/>
                <w:bCs/>
                <w:sz w:val="16"/>
                <w:szCs w:val="16"/>
                <w:lang w:eastAsia="es-AR"/>
              </w:rPr>
            </w:pPr>
          </w:p>
        </w:tc>
        <w:tc>
          <w:tcPr>
            <w:tcW w:w="603" w:type="pct"/>
            <w:tcBorders>
              <w:left w:val="nil"/>
              <w:right w:val="nil"/>
            </w:tcBorders>
            <w:shd w:val="clear" w:color="auto" w:fill="auto"/>
            <w:vAlign w:val="bottom"/>
          </w:tcPr>
          <w:p w14:paraId="0DE32DBD" w14:textId="53969B27" w:rsidR="005F0795" w:rsidRPr="00593C40" w:rsidRDefault="007F2A80" w:rsidP="00AA5BDF">
            <w:pPr>
              <w:jc w:val="right"/>
              <w:rPr>
                <w:rFonts w:ascii="Arial" w:hAnsi="Arial" w:cs="Arial"/>
                <w:bCs/>
                <w:sz w:val="16"/>
                <w:szCs w:val="16"/>
              </w:rPr>
            </w:pPr>
            <w:r w:rsidRPr="007F2A80">
              <w:rPr>
                <w:rFonts w:ascii="Arial" w:hAnsi="Arial" w:cs="Arial"/>
                <w:bCs/>
                <w:sz w:val="16"/>
                <w:szCs w:val="16"/>
              </w:rPr>
              <w:t>-8.778.393</w:t>
            </w:r>
          </w:p>
        </w:tc>
        <w:tc>
          <w:tcPr>
            <w:tcW w:w="729" w:type="pct"/>
            <w:tcBorders>
              <w:left w:val="nil"/>
              <w:right w:val="nil"/>
            </w:tcBorders>
            <w:shd w:val="clear" w:color="auto" w:fill="auto"/>
            <w:vAlign w:val="bottom"/>
          </w:tcPr>
          <w:p w14:paraId="5F5E68CD" w14:textId="13FF5985" w:rsidR="005F0795" w:rsidRPr="00277723" w:rsidRDefault="00710664" w:rsidP="00AA5BDF">
            <w:pPr>
              <w:jc w:val="right"/>
              <w:rPr>
                <w:rFonts w:ascii="Arial" w:hAnsi="Arial" w:cs="Arial"/>
                <w:bCs/>
                <w:sz w:val="16"/>
                <w:szCs w:val="16"/>
              </w:rPr>
            </w:pPr>
            <w:r w:rsidRPr="00277723">
              <w:rPr>
                <w:rFonts w:ascii="Arial" w:hAnsi="Arial" w:cs="Arial"/>
                <w:bCs/>
                <w:sz w:val="16"/>
                <w:szCs w:val="16"/>
              </w:rPr>
              <w:t>-28.240.082</w:t>
            </w:r>
          </w:p>
        </w:tc>
      </w:tr>
      <w:tr w:rsidR="005F0795" w:rsidRPr="00593C40" w14:paraId="7FFA9696" w14:textId="77777777" w:rsidTr="005A1F48">
        <w:trPr>
          <w:trHeight w:val="285"/>
        </w:trPr>
        <w:tc>
          <w:tcPr>
            <w:tcW w:w="3257" w:type="pct"/>
            <w:tcBorders>
              <w:top w:val="nil"/>
              <w:left w:val="nil"/>
              <w:bottom w:val="nil"/>
              <w:right w:val="nil"/>
            </w:tcBorders>
            <w:shd w:val="clear" w:color="auto" w:fill="auto"/>
            <w:vAlign w:val="bottom"/>
            <w:hideMark/>
          </w:tcPr>
          <w:p w14:paraId="1EC27241" w14:textId="77777777" w:rsidR="005F0795" w:rsidRPr="00AC4F4B" w:rsidRDefault="005F0795">
            <w:pPr>
              <w:ind w:firstLine="284"/>
              <w:rPr>
                <w:rFonts w:ascii="Arial" w:hAnsi="Arial" w:cs="Arial"/>
                <w:bCs/>
                <w:sz w:val="16"/>
                <w:szCs w:val="16"/>
                <w:lang w:eastAsia="es-AR"/>
              </w:rPr>
            </w:pPr>
            <w:r w:rsidRPr="00AC4F4B">
              <w:rPr>
                <w:rFonts w:ascii="Arial" w:hAnsi="Arial" w:cs="Arial"/>
                <w:bCs/>
                <w:sz w:val="16"/>
                <w:szCs w:val="16"/>
                <w:lang w:eastAsia="es-AR"/>
              </w:rPr>
              <w:t>Obligaciones subordinadas</w:t>
            </w:r>
          </w:p>
        </w:tc>
        <w:tc>
          <w:tcPr>
            <w:tcW w:w="411" w:type="pct"/>
            <w:tcBorders>
              <w:top w:val="nil"/>
              <w:left w:val="nil"/>
              <w:bottom w:val="nil"/>
              <w:right w:val="nil"/>
            </w:tcBorders>
            <w:shd w:val="clear" w:color="auto" w:fill="auto"/>
            <w:vAlign w:val="bottom"/>
            <w:hideMark/>
          </w:tcPr>
          <w:p w14:paraId="24A5D971" w14:textId="77777777" w:rsidR="005F0795" w:rsidRPr="00593C40" w:rsidRDefault="005F0795">
            <w:pPr>
              <w:rPr>
                <w:rFonts w:ascii="Arial" w:hAnsi="Arial" w:cs="Arial"/>
                <w:b/>
                <w:bCs/>
                <w:sz w:val="16"/>
                <w:szCs w:val="16"/>
                <w:lang w:eastAsia="es-AR"/>
              </w:rPr>
            </w:pPr>
          </w:p>
        </w:tc>
        <w:tc>
          <w:tcPr>
            <w:tcW w:w="603" w:type="pct"/>
            <w:tcBorders>
              <w:left w:val="nil"/>
              <w:right w:val="nil"/>
            </w:tcBorders>
            <w:shd w:val="clear" w:color="auto" w:fill="auto"/>
            <w:vAlign w:val="bottom"/>
          </w:tcPr>
          <w:p w14:paraId="099395E0" w14:textId="5893BA96" w:rsidR="005F0795" w:rsidRPr="00593C40" w:rsidRDefault="007F2A80" w:rsidP="00AA5BDF">
            <w:pPr>
              <w:jc w:val="right"/>
              <w:rPr>
                <w:rFonts w:ascii="Arial" w:hAnsi="Arial" w:cs="Arial"/>
                <w:bCs/>
                <w:sz w:val="16"/>
                <w:szCs w:val="16"/>
              </w:rPr>
            </w:pPr>
            <w:r w:rsidRPr="007F2A80">
              <w:rPr>
                <w:rFonts w:ascii="Arial" w:hAnsi="Arial" w:cs="Arial"/>
                <w:bCs/>
                <w:sz w:val="16"/>
                <w:szCs w:val="16"/>
              </w:rPr>
              <w:t>-404.880</w:t>
            </w:r>
          </w:p>
        </w:tc>
        <w:tc>
          <w:tcPr>
            <w:tcW w:w="729" w:type="pct"/>
            <w:tcBorders>
              <w:left w:val="nil"/>
              <w:right w:val="nil"/>
            </w:tcBorders>
            <w:shd w:val="clear" w:color="auto" w:fill="auto"/>
            <w:vAlign w:val="bottom"/>
          </w:tcPr>
          <w:p w14:paraId="7DE97356" w14:textId="072B4D04" w:rsidR="005F0795" w:rsidRPr="00277723" w:rsidRDefault="00710664" w:rsidP="00AA5BDF">
            <w:pPr>
              <w:jc w:val="right"/>
              <w:rPr>
                <w:rFonts w:ascii="Arial" w:hAnsi="Arial" w:cs="Arial"/>
                <w:bCs/>
                <w:sz w:val="16"/>
                <w:szCs w:val="16"/>
              </w:rPr>
            </w:pPr>
            <w:r w:rsidRPr="00277723">
              <w:rPr>
                <w:rFonts w:ascii="Arial" w:hAnsi="Arial" w:cs="Arial"/>
                <w:bCs/>
                <w:sz w:val="16"/>
                <w:szCs w:val="16"/>
              </w:rPr>
              <w:t>-26.150</w:t>
            </w:r>
          </w:p>
        </w:tc>
      </w:tr>
      <w:tr w:rsidR="005F0795" w:rsidRPr="00593C40" w14:paraId="1A5AE332" w14:textId="77777777" w:rsidTr="005A1F48">
        <w:trPr>
          <w:trHeight w:val="285"/>
        </w:trPr>
        <w:tc>
          <w:tcPr>
            <w:tcW w:w="3257" w:type="pct"/>
            <w:tcBorders>
              <w:top w:val="nil"/>
              <w:left w:val="nil"/>
              <w:bottom w:val="nil"/>
              <w:right w:val="nil"/>
            </w:tcBorders>
            <w:shd w:val="clear" w:color="auto" w:fill="auto"/>
            <w:vAlign w:val="bottom"/>
          </w:tcPr>
          <w:p w14:paraId="6D95B7A4" w14:textId="50AD20F5" w:rsidR="005F0795" w:rsidRPr="00AC4F4B" w:rsidRDefault="005F0795">
            <w:pPr>
              <w:ind w:firstLine="284"/>
              <w:rPr>
                <w:rFonts w:ascii="Arial" w:hAnsi="Arial" w:cs="Arial"/>
                <w:bCs/>
                <w:sz w:val="16"/>
                <w:szCs w:val="16"/>
                <w:lang w:eastAsia="es-AR"/>
              </w:rPr>
            </w:pPr>
            <w:r w:rsidRPr="006F757F">
              <w:rPr>
                <w:rFonts w:ascii="Arial" w:hAnsi="Arial" w:cs="Arial"/>
                <w:bCs/>
                <w:sz w:val="16"/>
                <w:szCs w:val="16"/>
                <w:lang w:eastAsia="es-AR"/>
              </w:rPr>
              <w:t>Pagos por arrendamientos financieros</w:t>
            </w:r>
          </w:p>
        </w:tc>
        <w:tc>
          <w:tcPr>
            <w:tcW w:w="411" w:type="pct"/>
            <w:tcBorders>
              <w:top w:val="nil"/>
              <w:left w:val="nil"/>
              <w:bottom w:val="nil"/>
              <w:right w:val="nil"/>
            </w:tcBorders>
            <w:shd w:val="clear" w:color="auto" w:fill="auto"/>
            <w:vAlign w:val="bottom"/>
          </w:tcPr>
          <w:p w14:paraId="23B2FE73" w14:textId="77777777" w:rsidR="005F0795" w:rsidRPr="00593C40" w:rsidRDefault="005F0795">
            <w:pPr>
              <w:rPr>
                <w:rFonts w:ascii="Arial" w:hAnsi="Arial" w:cs="Arial"/>
                <w:b/>
                <w:bCs/>
                <w:sz w:val="16"/>
                <w:szCs w:val="16"/>
                <w:lang w:eastAsia="es-AR"/>
              </w:rPr>
            </w:pPr>
          </w:p>
        </w:tc>
        <w:tc>
          <w:tcPr>
            <w:tcW w:w="603" w:type="pct"/>
            <w:tcBorders>
              <w:left w:val="nil"/>
              <w:right w:val="nil"/>
            </w:tcBorders>
            <w:shd w:val="clear" w:color="auto" w:fill="auto"/>
            <w:vAlign w:val="bottom"/>
          </w:tcPr>
          <w:p w14:paraId="24D83C99" w14:textId="356F59AC" w:rsidR="005F0795" w:rsidRPr="006F757F" w:rsidRDefault="007F2A80" w:rsidP="00AA5BDF">
            <w:pPr>
              <w:jc w:val="right"/>
              <w:rPr>
                <w:rFonts w:ascii="Arial" w:hAnsi="Arial" w:cs="Arial"/>
                <w:bCs/>
                <w:sz w:val="16"/>
                <w:szCs w:val="16"/>
              </w:rPr>
            </w:pPr>
            <w:r w:rsidRPr="007F2A80">
              <w:rPr>
                <w:rFonts w:ascii="Arial" w:hAnsi="Arial" w:cs="Arial"/>
                <w:bCs/>
                <w:sz w:val="16"/>
                <w:szCs w:val="16"/>
              </w:rPr>
              <w:t>-355.890</w:t>
            </w:r>
          </w:p>
        </w:tc>
        <w:tc>
          <w:tcPr>
            <w:tcW w:w="729" w:type="pct"/>
            <w:tcBorders>
              <w:left w:val="nil"/>
              <w:right w:val="nil"/>
            </w:tcBorders>
            <w:shd w:val="clear" w:color="auto" w:fill="auto"/>
            <w:vAlign w:val="bottom"/>
          </w:tcPr>
          <w:p w14:paraId="1699839D" w14:textId="23364A94" w:rsidR="005F0795" w:rsidRPr="00277723" w:rsidRDefault="00710664" w:rsidP="00AA5BDF">
            <w:pPr>
              <w:jc w:val="right"/>
              <w:rPr>
                <w:rFonts w:ascii="Arial" w:hAnsi="Arial" w:cs="Arial"/>
                <w:bCs/>
                <w:sz w:val="16"/>
                <w:szCs w:val="16"/>
              </w:rPr>
            </w:pPr>
            <w:r w:rsidRPr="00277723">
              <w:rPr>
                <w:rFonts w:ascii="Arial" w:hAnsi="Arial" w:cs="Arial"/>
                <w:bCs/>
                <w:sz w:val="16"/>
                <w:szCs w:val="16"/>
              </w:rPr>
              <w:t>-</w:t>
            </w:r>
          </w:p>
        </w:tc>
      </w:tr>
      <w:tr w:rsidR="005F0795" w:rsidRPr="00593C40" w14:paraId="57C6355A" w14:textId="77777777" w:rsidTr="00AA5BDF">
        <w:trPr>
          <w:trHeight w:val="82"/>
        </w:trPr>
        <w:tc>
          <w:tcPr>
            <w:tcW w:w="3257" w:type="pct"/>
            <w:tcBorders>
              <w:top w:val="nil"/>
              <w:left w:val="nil"/>
              <w:bottom w:val="nil"/>
              <w:right w:val="nil"/>
            </w:tcBorders>
            <w:shd w:val="clear" w:color="auto" w:fill="auto"/>
            <w:vAlign w:val="center"/>
            <w:hideMark/>
          </w:tcPr>
          <w:p w14:paraId="4B6FEB82" w14:textId="77777777" w:rsidR="005F0795" w:rsidRPr="00593C40"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1FAAAD2D" w14:textId="77777777" w:rsidR="005F0795" w:rsidRPr="00593C40" w:rsidRDefault="005F0795" w:rsidP="00CD2AEF">
            <w:pPr>
              <w:rPr>
                <w:rFonts w:ascii="Arial" w:hAnsi="Arial" w:cs="Arial"/>
                <w:b/>
                <w:bCs/>
                <w:sz w:val="10"/>
                <w:szCs w:val="10"/>
                <w:lang w:eastAsia="es-AR"/>
              </w:rPr>
            </w:pPr>
          </w:p>
        </w:tc>
        <w:tc>
          <w:tcPr>
            <w:tcW w:w="603" w:type="pct"/>
            <w:tcBorders>
              <w:left w:val="nil"/>
              <w:right w:val="nil"/>
            </w:tcBorders>
            <w:shd w:val="clear" w:color="auto" w:fill="auto"/>
            <w:vAlign w:val="bottom"/>
          </w:tcPr>
          <w:p w14:paraId="71C24DBE" w14:textId="77777777" w:rsidR="005F0795" w:rsidRPr="00593C40" w:rsidRDefault="005F0795" w:rsidP="00AA5BDF">
            <w:pPr>
              <w:jc w:val="right"/>
              <w:rPr>
                <w:rFonts w:ascii="Arial" w:hAnsi="Arial" w:cs="Arial"/>
                <w:bCs/>
                <w:sz w:val="10"/>
                <w:szCs w:val="10"/>
              </w:rPr>
            </w:pPr>
          </w:p>
        </w:tc>
        <w:tc>
          <w:tcPr>
            <w:tcW w:w="729" w:type="pct"/>
            <w:tcBorders>
              <w:left w:val="nil"/>
              <w:right w:val="nil"/>
            </w:tcBorders>
            <w:shd w:val="clear" w:color="auto" w:fill="auto"/>
            <w:vAlign w:val="bottom"/>
          </w:tcPr>
          <w:p w14:paraId="462D6D48" w14:textId="77777777" w:rsidR="005F0795" w:rsidRPr="00277723" w:rsidRDefault="005F0795" w:rsidP="00AA5BDF">
            <w:pPr>
              <w:jc w:val="right"/>
              <w:rPr>
                <w:rFonts w:ascii="Arial" w:hAnsi="Arial" w:cs="Arial"/>
                <w:bCs/>
                <w:sz w:val="10"/>
                <w:szCs w:val="10"/>
              </w:rPr>
            </w:pPr>
          </w:p>
        </w:tc>
      </w:tr>
      <w:tr w:rsidR="005F0795" w:rsidRPr="00593C40" w14:paraId="104108A0" w14:textId="77777777" w:rsidTr="00AA5BDF">
        <w:trPr>
          <w:trHeight w:val="140"/>
        </w:trPr>
        <w:tc>
          <w:tcPr>
            <w:tcW w:w="3257" w:type="pct"/>
            <w:tcBorders>
              <w:top w:val="nil"/>
              <w:left w:val="nil"/>
              <w:bottom w:val="nil"/>
              <w:right w:val="nil"/>
            </w:tcBorders>
            <w:shd w:val="clear" w:color="auto" w:fill="auto"/>
            <w:vAlign w:val="center"/>
            <w:hideMark/>
          </w:tcPr>
          <w:p w14:paraId="69F9A17F"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vAlign w:val="center"/>
            <w:hideMark/>
          </w:tcPr>
          <w:p w14:paraId="28B5833E"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5678AFE6" w14:textId="77777777" w:rsidR="005F0795" w:rsidRPr="00593C40" w:rsidRDefault="005F0795" w:rsidP="00AA5BDF">
            <w:pPr>
              <w:jc w:val="right"/>
              <w:rPr>
                <w:rFonts w:ascii="Arial" w:hAnsi="Arial" w:cs="Arial"/>
                <w:bCs/>
                <w:sz w:val="16"/>
                <w:szCs w:val="16"/>
              </w:rPr>
            </w:pPr>
          </w:p>
        </w:tc>
        <w:tc>
          <w:tcPr>
            <w:tcW w:w="729" w:type="pct"/>
            <w:tcBorders>
              <w:left w:val="nil"/>
              <w:right w:val="nil"/>
            </w:tcBorders>
            <w:shd w:val="clear" w:color="auto" w:fill="auto"/>
            <w:vAlign w:val="bottom"/>
          </w:tcPr>
          <w:p w14:paraId="6F00E43E" w14:textId="77777777" w:rsidR="005F0795" w:rsidRPr="00277723" w:rsidRDefault="005F0795" w:rsidP="00AA5BDF">
            <w:pPr>
              <w:jc w:val="right"/>
              <w:rPr>
                <w:rFonts w:ascii="Arial" w:hAnsi="Arial" w:cs="Arial"/>
                <w:bCs/>
                <w:sz w:val="16"/>
                <w:szCs w:val="16"/>
              </w:rPr>
            </w:pPr>
          </w:p>
        </w:tc>
      </w:tr>
      <w:tr w:rsidR="005F0795" w:rsidRPr="00593C40" w14:paraId="6ACAE5CC" w14:textId="77777777" w:rsidTr="005A1F48">
        <w:trPr>
          <w:trHeight w:val="285"/>
        </w:trPr>
        <w:tc>
          <w:tcPr>
            <w:tcW w:w="3257" w:type="pct"/>
            <w:tcBorders>
              <w:top w:val="nil"/>
              <w:left w:val="nil"/>
              <w:bottom w:val="nil"/>
              <w:right w:val="nil"/>
            </w:tcBorders>
            <w:shd w:val="clear" w:color="auto" w:fill="auto"/>
            <w:vAlign w:val="bottom"/>
            <w:hideMark/>
          </w:tcPr>
          <w:p w14:paraId="29F49D65" w14:textId="77777777" w:rsidR="005F0795" w:rsidRPr="00AC4F4B" w:rsidRDefault="005F0795">
            <w:pPr>
              <w:ind w:firstLine="284"/>
              <w:rPr>
                <w:rFonts w:ascii="Arial" w:hAnsi="Arial" w:cs="Arial"/>
                <w:bCs/>
                <w:sz w:val="16"/>
                <w:szCs w:val="16"/>
                <w:lang w:eastAsia="es-AR"/>
              </w:rPr>
            </w:pPr>
            <w:r w:rsidRPr="00AC4F4B">
              <w:rPr>
                <w:rFonts w:ascii="Arial" w:hAnsi="Arial" w:cs="Arial"/>
                <w:bCs/>
                <w:sz w:val="16"/>
                <w:szCs w:val="16"/>
                <w:lang w:eastAsia="es-AR"/>
              </w:rPr>
              <w:t>Emisión de instrumentos de patrimonio propio</w:t>
            </w:r>
          </w:p>
        </w:tc>
        <w:tc>
          <w:tcPr>
            <w:tcW w:w="411" w:type="pct"/>
            <w:tcBorders>
              <w:top w:val="nil"/>
              <w:left w:val="nil"/>
              <w:bottom w:val="nil"/>
              <w:right w:val="nil"/>
            </w:tcBorders>
            <w:shd w:val="clear" w:color="auto" w:fill="auto"/>
            <w:vAlign w:val="center"/>
            <w:hideMark/>
          </w:tcPr>
          <w:p w14:paraId="2846F92B"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45D1B96B" w14:textId="265CD8FA" w:rsidR="005F0795" w:rsidRPr="00593C40" w:rsidRDefault="007F2A80" w:rsidP="00AA5BDF">
            <w:pPr>
              <w:jc w:val="right"/>
              <w:rPr>
                <w:rFonts w:ascii="Arial" w:hAnsi="Arial" w:cs="Arial"/>
                <w:bCs/>
                <w:sz w:val="16"/>
                <w:szCs w:val="16"/>
              </w:rPr>
            </w:pPr>
            <w:r>
              <w:rPr>
                <w:rFonts w:ascii="Arial" w:hAnsi="Arial" w:cs="Arial"/>
                <w:bCs/>
                <w:sz w:val="16"/>
                <w:szCs w:val="16"/>
              </w:rPr>
              <w:t>-</w:t>
            </w:r>
          </w:p>
        </w:tc>
        <w:tc>
          <w:tcPr>
            <w:tcW w:w="729" w:type="pct"/>
            <w:tcBorders>
              <w:left w:val="nil"/>
              <w:right w:val="nil"/>
            </w:tcBorders>
            <w:shd w:val="clear" w:color="auto" w:fill="auto"/>
            <w:vAlign w:val="bottom"/>
          </w:tcPr>
          <w:p w14:paraId="19C30CB3" w14:textId="00698798" w:rsidR="005F0795" w:rsidRPr="00277723" w:rsidRDefault="005F0795" w:rsidP="00AA5BDF">
            <w:pPr>
              <w:jc w:val="right"/>
              <w:rPr>
                <w:rFonts w:ascii="Arial" w:hAnsi="Arial" w:cs="Arial"/>
                <w:bCs/>
                <w:sz w:val="16"/>
                <w:szCs w:val="16"/>
              </w:rPr>
            </w:pPr>
          </w:p>
        </w:tc>
      </w:tr>
      <w:tr w:rsidR="005F0795" w:rsidRPr="00593C40" w14:paraId="66664275" w14:textId="77777777" w:rsidTr="005A1F48">
        <w:trPr>
          <w:trHeight w:val="285"/>
        </w:trPr>
        <w:tc>
          <w:tcPr>
            <w:tcW w:w="3257" w:type="pct"/>
            <w:tcBorders>
              <w:top w:val="nil"/>
              <w:left w:val="nil"/>
              <w:bottom w:val="nil"/>
              <w:right w:val="nil"/>
            </w:tcBorders>
            <w:shd w:val="clear" w:color="auto" w:fill="auto"/>
            <w:vAlign w:val="bottom"/>
            <w:hideMark/>
          </w:tcPr>
          <w:p w14:paraId="04DEBAD9" w14:textId="7D87FEDE" w:rsidR="005F0795" w:rsidRPr="00AC4F4B" w:rsidRDefault="005F0795" w:rsidP="002775B9">
            <w:pPr>
              <w:ind w:left="217" w:firstLine="67"/>
              <w:rPr>
                <w:rFonts w:ascii="Arial" w:hAnsi="Arial" w:cs="Arial"/>
                <w:bCs/>
                <w:sz w:val="16"/>
                <w:szCs w:val="16"/>
                <w:lang w:eastAsia="es-AR"/>
              </w:rPr>
            </w:pPr>
            <w:r w:rsidRPr="00AC4F4B">
              <w:rPr>
                <w:rFonts w:ascii="Arial" w:hAnsi="Arial" w:cs="Arial"/>
                <w:bCs/>
                <w:sz w:val="16"/>
                <w:szCs w:val="16"/>
                <w:lang w:eastAsia="es-AR"/>
              </w:rPr>
              <w:t>Obligaciones negociables no subordinadas</w:t>
            </w:r>
            <w:r w:rsidR="002E1AF6">
              <w:rPr>
                <w:rFonts w:ascii="Arial" w:hAnsi="Arial" w:cs="Arial"/>
                <w:bCs/>
                <w:sz w:val="16"/>
                <w:szCs w:val="16"/>
                <w:lang w:eastAsia="es-AR"/>
              </w:rPr>
              <w:t>- venta de posesión    tenencia propia</w:t>
            </w:r>
          </w:p>
        </w:tc>
        <w:tc>
          <w:tcPr>
            <w:tcW w:w="411" w:type="pct"/>
            <w:tcBorders>
              <w:top w:val="nil"/>
              <w:left w:val="nil"/>
              <w:bottom w:val="nil"/>
              <w:right w:val="nil"/>
            </w:tcBorders>
            <w:shd w:val="clear" w:color="auto" w:fill="auto"/>
            <w:vAlign w:val="center"/>
            <w:hideMark/>
          </w:tcPr>
          <w:p w14:paraId="6FB2D47F"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3A8EF8C9" w14:textId="6E38BD95" w:rsidR="005F0795" w:rsidRPr="00593C40" w:rsidRDefault="007F2A80" w:rsidP="00AA5BDF">
            <w:pPr>
              <w:jc w:val="right"/>
              <w:rPr>
                <w:rFonts w:ascii="Arial" w:hAnsi="Arial" w:cs="Arial"/>
                <w:bCs/>
                <w:sz w:val="16"/>
                <w:szCs w:val="16"/>
              </w:rPr>
            </w:pPr>
            <w:r w:rsidRPr="007F2A80">
              <w:rPr>
                <w:rFonts w:ascii="Arial" w:hAnsi="Arial" w:cs="Arial"/>
                <w:bCs/>
                <w:sz w:val="16"/>
                <w:szCs w:val="16"/>
              </w:rPr>
              <w:t>314.399</w:t>
            </w:r>
          </w:p>
        </w:tc>
        <w:tc>
          <w:tcPr>
            <w:tcW w:w="729" w:type="pct"/>
            <w:tcBorders>
              <w:left w:val="nil"/>
              <w:right w:val="nil"/>
            </w:tcBorders>
            <w:shd w:val="clear" w:color="auto" w:fill="auto"/>
            <w:vAlign w:val="bottom"/>
          </w:tcPr>
          <w:p w14:paraId="19EAF92F" w14:textId="352E0F85" w:rsidR="005F0795" w:rsidRPr="00277723" w:rsidRDefault="00710664" w:rsidP="00AA5BDF">
            <w:pPr>
              <w:jc w:val="right"/>
              <w:rPr>
                <w:rFonts w:ascii="Arial" w:hAnsi="Arial" w:cs="Arial"/>
                <w:bCs/>
                <w:sz w:val="16"/>
                <w:szCs w:val="16"/>
              </w:rPr>
            </w:pPr>
            <w:r w:rsidRPr="00277723">
              <w:rPr>
                <w:rFonts w:ascii="Arial" w:hAnsi="Arial" w:cs="Arial"/>
                <w:bCs/>
                <w:sz w:val="16"/>
                <w:szCs w:val="16"/>
              </w:rPr>
              <w:t>8.074.727</w:t>
            </w:r>
          </w:p>
        </w:tc>
      </w:tr>
      <w:tr w:rsidR="005F0795" w:rsidRPr="00593C40" w14:paraId="45C32E35" w14:textId="77777777" w:rsidTr="005A1F48">
        <w:trPr>
          <w:trHeight w:val="285"/>
        </w:trPr>
        <w:tc>
          <w:tcPr>
            <w:tcW w:w="3257" w:type="pct"/>
            <w:tcBorders>
              <w:top w:val="nil"/>
              <w:left w:val="nil"/>
              <w:bottom w:val="nil"/>
              <w:right w:val="nil"/>
            </w:tcBorders>
            <w:shd w:val="clear" w:color="auto" w:fill="auto"/>
            <w:vAlign w:val="bottom"/>
            <w:hideMark/>
          </w:tcPr>
          <w:p w14:paraId="0712FFD5" w14:textId="77777777" w:rsidR="005F0795" w:rsidRPr="00AC4F4B" w:rsidRDefault="005F0795">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vAlign w:val="center"/>
            <w:hideMark/>
          </w:tcPr>
          <w:p w14:paraId="7EED3689"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6D5233C2" w14:textId="0B837BB8" w:rsidR="005F0795" w:rsidRPr="00593C40" w:rsidRDefault="007F2A80" w:rsidP="00AA5BDF">
            <w:pPr>
              <w:jc w:val="right"/>
              <w:rPr>
                <w:rFonts w:ascii="Arial" w:hAnsi="Arial" w:cs="Arial"/>
                <w:bCs/>
                <w:sz w:val="16"/>
                <w:szCs w:val="16"/>
              </w:rPr>
            </w:pPr>
            <w:r w:rsidRPr="007F2A80">
              <w:rPr>
                <w:rFonts w:ascii="Arial" w:hAnsi="Arial" w:cs="Arial"/>
                <w:bCs/>
                <w:sz w:val="16"/>
                <w:szCs w:val="16"/>
              </w:rPr>
              <w:t>7.464.280</w:t>
            </w:r>
          </w:p>
        </w:tc>
        <w:tc>
          <w:tcPr>
            <w:tcW w:w="729" w:type="pct"/>
            <w:tcBorders>
              <w:left w:val="nil"/>
              <w:right w:val="nil"/>
            </w:tcBorders>
            <w:shd w:val="clear" w:color="auto" w:fill="auto"/>
            <w:vAlign w:val="bottom"/>
          </w:tcPr>
          <w:p w14:paraId="05987B69" w14:textId="385542F2" w:rsidR="005F0795" w:rsidRPr="00277723" w:rsidRDefault="00710664" w:rsidP="00AA5BDF">
            <w:pPr>
              <w:jc w:val="right"/>
              <w:rPr>
                <w:rFonts w:ascii="Arial" w:hAnsi="Arial" w:cs="Arial"/>
                <w:bCs/>
                <w:sz w:val="16"/>
                <w:szCs w:val="16"/>
              </w:rPr>
            </w:pPr>
            <w:r w:rsidRPr="00277723">
              <w:rPr>
                <w:rFonts w:ascii="Arial" w:hAnsi="Arial" w:cs="Arial"/>
                <w:bCs/>
                <w:sz w:val="16"/>
                <w:szCs w:val="16"/>
              </w:rPr>
              <w:t>27.443.520</w:t>
            </w:r>
          </w:p>
        </w:tc>
      </w:tr>
      <w:tr w:rsidR="005F0795" w:rsidRPr="00593C40" w14:paraId="0E637AA4" w14:textId="77777777" w:rsidTr="00AA5BDF">
        <w:trPr>
          <w:trHeight w:val="80"/>
        </w:trPr>
        <w:tc>
          <w:tcPr>
            <w:tcW w:w="3257" w:type="pct"/>
            <w:tcBorders>
              <w:top w:val="nil"/>
              <w:left w:val="nil"/>
              <w:bottom w:val="nil"/>
              <w:right w:val="nil"/>
            </w:tcBorders>
            <w:shd w:val="clear" w:color="auto" w:fill="auto"/>
            <w:vAlign w:val="center"/>
            <w:hideMark/>
          </w:tcPr>
          <w:p w14:paraId="2585BD19" w14:textId="77777777" w:rsidR="005F0795" w:rsidRPr="00593C40"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16B43526" w14:textId="77777777" w:rsidR="005F0795" w:rsidRPr="00593C40" w:rsidRDefault="005F0795" w:rsidP="00CD2AEF">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1A67B275" w14:textId="77777777" w:rsidR="005F0795" w:rsidRPr="00593C40" w:rsidRDefault="005F0795" w:rsidP="00AA5BDF">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173604D1" w14:textId="77777777" w:rsidR="005F0795" w:rsidRPr="00277723" w:rsidRDefault="005F0795" w:rsidP="00AA5BDF">
            <w:pPr>
              <w:jc w:val="right"/>
              <w:rPr>
                <w:rFonts w:ascii="Arial" w:hAnsi="Arial" w:cs="Arial"/>
                <w:bCs/>
                <w:sz w:val="10"/>
                <w:szCs w:val="10"/>
              </w:rPr>
            </w:pPr>
          </w:p>
        </w:tc>
      </w:tr>
      <w:tr w:rsidR="005F0795" w:rsidRPr="00593C40" w14:paraId="1235BD41" w14:textId="77777777" w:rsidTr="00AA5BDF">
        <w:trPr>
          <w:trHeight w:val="110"/>
        </w:trPr>
        <w:tc>
          <w:tcPr>
            <w:tcW w:w="3257" w:type="pct"/>
            <w:tcBorders>
              <w:top w:val="nil"/>
              <w:left w:val="nil"/>
              <w:bottom w:val="nil"/>
              <w:right w:val="nil"/>
            </w:tcBorders>
            <w:shd w:val="clear" w:color="auto" w:fill="auto"/>
            <w:vAlign w:val="center"/>
            <w:hideMark/>
          </w:tcPr>
          <w:p w14:paraId="1964A3F5"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TOTAL DE LAS ACTIVIDADES DE FINANCIACIÓN (C)</w:t>
            </w:r>
          </w:p>
        </w:tc>
        <w:tc>
          <w:tcPr>
            <w:tcW w:w="411" w:type="pct"/>
            <w:tcBorders>
              <w:top w:val="nil"/>
              <w:left w:val="nil"/>
              <w:bottom w:val="nil"/>
              <w:right w:val="nil"/>
            </w:tcBorders>
            <w:shd w:val="clear" w:color="auto" w:fill="auto"/>
            <w:vAlign w:val="center"/>
            <w:hideMark/>
          </w:tcPr>
          <w:p w14:paraId="44F2BCF1" w14:textId="77777777" w:rsidR="005F0795" w:rsidRPr="00593C40" w:rsidRDefault="005F0795" w:rsidP="00CD2AEF">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F473DF5" w14:textId="37E8FF49" w:rsidR="005F0795" w:rsidRPr="00593C40" w:rsidRDefault="007F2A80" w:rsidP="00AA5BDF">
            <w:pPr>
              <w:jc w:val="right"/>
              <w:rPr>
                <w:rFonts w:ascii="Arial" w:hAnsi="Arial" w:cs="Arial"/>
                <w:b/>
                <w:bCs/>
                <w:sz w:val="16"/>
                <w:szCs w:val="16"/>
              </w:rPr>
            </w:pPr>
            <w:r w:rsidRPr="007F2A80">
              <w:rPr>
                <w:rFonts w:ascii="Arial" w:hAnsi="Arial" w:cs="Arial"/>
                <w:b/>
                <w:bCs/>
                <w:sz w:val="16"/>
                <w:szCs w:val="16"/>
              </w:rPr>
              <w:t>-4.625.107</w:t>
            </w:r>
          </w:p>
        </w:tc>
        <w:tc>
          <w:tcPr>
            <w:tcW w:w="729" w:type="pct"/>
            <w:tcBorders>
              <w:top w:val="single" w:sz="4" w:space="0" w:color="auto"/>
              <w:left w:val="nil"/>
              <w:bottom w:val="single" w:sz="4" w:space="0" w:color="auto"/>
              <w:right w:val="nil"/>
            </w:tcBorders>
            <w:shd w:val="clear" w:color="auto" w:fill="auto"/>
            <w:vAlign w:val="bottom"/>
          </w:tcPr>
          <w:p w14:paraId="5B20BE6A" w14:textId="5C6C7FD5" w:rsidR="005F0795" w:rsidRPr="00277723" w:rsidRDefault="00710664" w:rsidP="00AA5BDF">
            <w:pPr>
              <w:jc w:val="right"/>
              <w:rPr>
                <w:rFonts w:ascii="Arial" w:hAnsi="Arial" w:cs="Arial"/>
                <w:b/>
                <w:bCs/>
                <w:sz w:val="16"/>
                <w:szCs w:val="16"/>
              </w:rPr>
            </w:pPr>
            <w:r w:rsidRPr="00277723">
              <w:rPr>
                <w:rFonts w:ascii="Arial" w:hAnsi="Arial" w:cs="Arial"/>
                <w:b/>
                <w:bCs/>
                <w:sz w:val="16"/>
                <w:szCs w:val="16"/>
              </w:rPr>
              <w:t>1.417.24</w:t>
            </w:r>
            <w:r w:rsidR="00CC383E">
              <w:rPr>
                <w:rFonts w:ascii="Arial" w:hAnsi="Arial" w:cs="Arial"/>
                <w:b/>
                <w:bCs/>
                <w:sz w:val="16"/>
                <w:szCs w:val="16"/>
              </w:rPr>
              <w:t>1</w:t>
            </w:r>
          </w:p>
        </w:tc>
      </w:tr>
      <w:tr w:rsidR="005F0795" w:rsidRPr="00AC4F4B" w14:paraId="2A2E77C3" w14:textId="77777777" w:rsidTr="00AA5BDF">
        <w:trPr>
          <w:trHeight w:val="129"/>
        </w:trPr>
        <w:tc>
          <w:tcPr>
            <w:tcW w:w="3257" w:type="pct"/>
            <w:tcBorders>
              <w:top w:val="nil"/>
              <w:left w:val="nil"/>
              <w:bottom w:val="nil"/>
              <w:right w:val="nil"/>
            </w:tcBorders>
            <w:shd w:val="clear" w:color="auto" w:fill="auto"/>
            <w:vAlign w:val="center"/>
            <w:hideMark/>
          </w:tcPr>
          <w:p w14:paraId="32AA2ACD" w14:textId="77777777" w:rsidR="005F0795" w:rsidRPr="00AC4F4B" w:rsidRDefault="005F0795" w:rsidP="00CD2AEF">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4538B930" w14:textId="77777777" w:rsidR="005F0795" w:rsidRPr="00AC4F4B" w:rsidRDefault="005F0795" w:rsidP="00CD2AEF">
            <w:pPr>
              <w:rPr>
                <w:rFonts w:ascii="Arial" w:hAnsi="Arial" w:cs="Arial"/>
                <w:b/>
                <w:bCs/>
                <w:sz w:val="10"/>
                <w:szCs w:val="10"/>
                <w:lang w:eastAsia="es-AR"/>
              </w:rPr>
            </w:pPr>
          </w:p>
        </w:tc>
        <w:tc>
          <w:tcPr>
            <w:tcW w:w="603" w:type="pct"/>
            <w:tcBorders>
              <w:top w:val="single" w:sz="4" w:space="0" w:color="auto"/>
              <w:left w:val="nil"/>
              <w:bottom w:val="single" w:sz="4" w:space="0" w:color="auto"/>
              <w:right w:val="nil"/>
            </w:tcBorders>
            <w:shd w:val="clear" w:color="auto" w:fill="auto"/>
            <w:vAlign w:val="bottom"/>
          </w:tcPr>
          <w:p w14:paraId="2C25418D" w14:textId="77777777" w:rsidR="005F0795" w:rsidRPr="00AC4F4B" w:rsidRDefault="005F0795" w:rsidP="00AA5BDF">
            <w:pPr>
              <w:jc w:val="right"/>
              <w:rPr>
                <w:rFonts w:ascii="Arial" w:hAnsi="Arial" w:cs="Arial"/>
                <w:b/>
                <w:bCs/>
                <w:sz w:val="10"/>
                <w:szCs w:val="10"/>
              </w:rPr>
            </w:pPr>
          </w:p>
        </w:tc>
        <w:tc>
          <w:tcPr>
            <w:tcW w:w="729" w:type="pct"/>
            <w:tcBorders>
              <w:top w:val="single" w:sz="4" w:space="0" w:color="auto"/>
              <w:left w:val="nil"/>
              <w:bottom w:val="single" w:sz="4" w:space="0" w:color="auto"/>
              <w:right w:val="nil"/>
            </w:tcBorders>
            <w:shd w:val="clear" w:color="auto" w:fill="auto"/>
            <w:vAlign w:val="bottom"/>
          </w:tcPr>
          <w:p w14:paraId="2C509345" w14:textId="77777777" w:rsidR="005F0795" w:rsidRPr="00277723" w:rsidRDefault="005F0795" w:rsidP="00AA5BDF">
            <w:pPr>
              <w:jc w:val="right"/>
              <w:rPr>
                <w:rFonts w:ascii="Arial" w:hAnsi="Arial" w:cs="Arial"/>
                <w:b/>
                <w:bCs/>
                <w:sz w:val="10"/>
                <w:szCs w:val="10"/>
              </w:rPr>
            </w:pPr>
          </w:p>
        </w:tc>
      </w:tr>
      <w:tr w:rsidR="005F0795" w:rsidRPr="00593C40" w14:paraId="7661B7CA" w14:textId="77777777" w:rsidTr="00AA5BDF">
        <w:trPr>
          <w:trHeight w:val="285"/>
        </w:trPr>
        <w:tc>
          <w:tcPr>
            <w:tcW w:w="3257" w:type="pct"/>
            <w:tcBorders>
              <w:top w:val="nil"/>
              <w:left w:val="nil"/>
              <w:bottom w:val="nil"/>
              <w:right w:val="nil"/>
            </w:tcBorders>
            <w:shd w:val="clear" w:color="auto" w:fill="auto"/>
            <w:vAlign w:val="center"/>
            <w:hideMark/>
          </w:tcPr>
          <w:p w14:paraId="53B5486F"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EFECTO DE LAS VARIACIONES DEL TIPO DE CAMBIO (D)</w:t>
            </w:r>
          </w:p>
        </w:tc>
        <w:tc>
          <w:tcPr>
            <w:tcW w:w="411" w:type="pct"/>
            <w:tcBorders>
              <w:top w:val="nil"/>
              <w:left w:val="nil"/>
              <w:bottom w:val="nil"/>
              <w:right w:val="nil"/>
            </w:tcBorders>
            <w:shd w:val="clear" w:color="auto" w:fill="auto"/>
            <w:vAlign w:val="center"/>
            <w:hideMark/>
          </w:tcPr>
          <w:p w14:paraId="6CA8A6EF" w14:textId="77777777" w:rsidR="005F0795" w:rsidRPr="00593C40" w:rsidRDefault="005F0795" w:rsidP="00CD2AEF">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1D190C26" w14:textId="14FF792C" w:rsidR="005F0795" w:rsidRPr="00593C40" w:rsidRDefault="002E1AF6" w:rsidP="00AA5BDF">
            <w:pPr>
              <w:jc w:val="right"/>
              <w:rPr>
                <w:rFonts w:ascii="Arial" w:hAnsi="Arial" w:cs="Arial"/>
                <w:b/>
                <w:bCs/>
                <w:sz w:val="16"/>
                <w:szCs w:val="16"/>
              </w:rPr>
            </w:pPr>
            <w:r w:rsidRPr="002E1AF6">
              <w:rPr>
                <w:rFonts w:ascii="Arial" w:hAnsi="Arial" w:cs="Arial"/>
                <w:b/>
                <w:bCs/>
                <w:sz w:val="16"/>
                <w:szCs w:val="16"/>
              </w:rPr>
              <w:t>-1.484.469</w:t>
            </w:r>
          </w:p>
        </w:tc>
        <w:tc>
          <w:tcPr>
            <w:tcW w:w="729" w:type="pct"/>
            <w:tcBorders>
              <w:top w:val="single" w:sz="4" w:space="0" w:color="auto"/>
              <w:left w:val="nil"/>
              <w:bottom w:val="single" w:sz="4" w:space="0" w:color="auto"/>
              <w:right w:val="nil"/>
            </w:tcBorders>
            <w:shd w:val="clear" w:color="auto" w:fill="auto"/>
            <w:vAlign w:val="bottom"/>
          </w:tcPr>
          <w:p w14:paraId="64F3C1E1" w14:textId="2EB2E02C" w:rsidR="005F0795" w:rsidRPr="00277723" w:rsidRDefault="00710664" w:rsidP="00AA5BDF">
            <w:pPr>
              <w:jc w:val="right"/>
              <w:rPr>
                <w:rFonts w:ascii="Arial" w:hAnsi="Arial" w:cs="Arial"/>
                <w:b/>
                <w:bCs/>
                <w:sz w:val="16"/>
                <w:szCs w:val="16"/>
              </w:rPr>
            </w:pPr>
            <w:r w:rsidRPr="00277723">
              <w:rPr>
                <w:rFonts w:ascii="Arial" w:hAnsi="Arial" w:cs="Arial"/>
                <w:b/>
                <w:bCs/>
                <w:sz w:val="16"/>
                <w:szCs w:val="16"/>
              </w:rPr>
              <w:t>3.016.493</w:t>
            </w:r>
          </w:p>
        </w:tc>
      </w:tr>
      <w:tr w:rsidR="005F0795" w:rsidRPr="00AC4F4B" w14:paraId="3B05B9B7" w14:textId="77777777" w:rsidTr="00AA5BDF">
        <w:trPr>
          <w:trHeight w:val="106"/>
        </w:trPr>
        <w:tc>
          <w:tcPr>
            <w:tcW w:w="3257" w:type="pct"/>
            <w:tcBorders>
              <w:top w:val="nil"/>
              <w:left w:val="nil"/>
              <w:right w:val="nil"/>
            </w:tcBorders>
            <w:shd w:val="clear" w:color="auto" w:fill="auto"/>
            <w:vAlign w:val="center"/>
            <w:hideMark/>
          </w:tcPr>
          <w:p w14:paraId="1DD4C588" w14:textId="77777777" w:rsidR="005F0795" w:rsidRPr="00AC4F4B" w:rsidRDefault="005F0795" w:rsidP="00CD2AEF">
            <w:pPr>
              <w:rPr>
                <w:rFonts w:ascii="Arial" w:hAnsi="Arial" w:cs="Arial"/>
                <w:b/>
                <w:bCs/>
                <w:sz w:val="10"/>
                <w:szCs w:val="10"/>
                <w:lang w:eastAsia="es-AR"/>
              </w:rPr>
            </w:pPr>
          </w:p>
        </w:tc>
        <w:tc>
          <w:tcPr>
            <w:tcW w:w="411" w:type="pct"/>
            <w:tcBorders>
              <w:top w:val="nil"/>
              <w:left w:val="nil"/>
              <w:right w:val="nil"/>
            </w:tcBorders>
            <w:shd w:val="clear" w:color="auto" w:fill="auto"/>
            <w:vAlign w:val="center"/>
            <w:hideMark/>
          </w:tcPr>
          <w:p w14:paraId="06AAC3B5" w14:textId="77777777" w:rsidR="005F0795" w:rsidRPr="00AC4F4B" w:rsidRDefault="005F0795" w:rsidP="00CD2AEF">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6022AD4D" w14:textId="77777777" w:rsidR="005F0795" w:rsidRPr="00AC4F4B" w:rsidRDefault="005F0795" w:rsidP="00AA5BDF">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2D5F45CE" w14:textId="77777777" w:rsidR="005F0795" w:rsidRPr="00277723" w:rsidRDefault="005F0795" w:rsidP="00AA5BDF">
            <w:pPr>
              <w:jc w:val="right"/>
              <w:rPr>
                <w:rFonts w:ascii="Arial" w:hAnsi="Arial" w:cs="Arial"/>
                <w:b/>
                <w:bCs/>
                <w:sz w:val="10"/>
                <w:szCs w:val="10"/>
              </w:rPr>
            </w:pPr>
          </w:p>
        </w:tc>
      </w:tr>
      <w:tr w:rsidR="005F0795" w:rsidRPr="00593C40" w14:paraId="05530B19" w14:textId="77777777" w:rsidTr="00AA5BDF">
        <w:trPr>
          <w:trHeight w:val="285"/>
        </w:trPr>
        <w:tc>
          <w:tcPr>
            <w:tcW w:w="3257" w:type="pct"/>
            <w:tcBorders>
              <w:left w:val="nil"/>
              <w:bottom w:val="single" w:sz="4" w:space="0" w:color="auto"/>
              <w:right w:val="nil"/>
            </w:tcBorders>
            <w:shd w:val="clear" w:color="auto" w:fill="auto"/>
            <w:vAlign w:val="center"/>
            <w:hideMark/>
          </w:tcPr>
          <w:p w14:paraId="65B27F10"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TOTAL DE LA VARIACIÓN DE LOS FLUJOS DE EFECTIVO</w:t>
            </w:r>
          </w:p>
        </w:tc>
        <w:tc>
          <w:tcPr>
            <w:tcW w:w="411" w:type="pct"/>
            <w:tcBorders>
              <w:left w:val="nil"/>
              <w:bottom w:val="single" w:sz="4" w:space="0" w:color="auto"/>
              <w:right w:val="nil"/>
            </w:tcBorders>
            <w:shd w:val="clear" w:color="auto" w:fill="auto"/>
            <w:vAlign w:val="center"/>
            <w:hideMark/>
          </w:tcPr>
          <w:p w14:paraId="0BC18400"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bottom w:val="single" w:sz="4" w:space="0" w:color="auto"/>
              <w:right w:val="nil"/>
            </w:tcBorders>
            <w:shd w:val="clear" w:color="auto" w:fill="auto"/>
            <w:vAlign w:val="bottom"/>
          </w:tcPr>
          <w:p w14:paraId="19F198CB" w14:textId="4C80301B" w:rsidR="005F0795" w:rsidRPr="00593C40" w:rsidRDefault="005F0795" w:rsidP="00AA5BDF">
            <w:pPr>
              <w:jc w:val="right"/>
              <w:rPr>
                <w:rFonts w:ascii="Arial" w:hAnsi="Arial" w:cs="Arial"/>
                <w:b/>
                <w:bCs/>
                <w:sz w:val="16"/>
                <w:szCs w:val="16"/>
              </w:rPr>
            </w:pPr>
          </w:p>
        </w:tc>
        <w:tc>
          <w:tcPr>
            <w:tcW w:w="729" w:type="pct"/>
            <w:tcBorders>
              <w:left w:val="nil"/>
              <w:bottom w:val="single" w:sz="4" w:space="0" w:color="auto"/>
              <w:right w:val="nil"/>
            </w:tcBorders>
            <w:shd w:val="clear" w:color="auto" w:fill="auto"/>
            <w:vAlign w:val="bottom"/>
          </w:tcPr>
          <w:p w14:paraId="647F5E57" w14:textId="6CC26767" w:rsidR="005F0795" w:rsidRPr="00277723" w:rsidRDefault="005F0795" w:rsidP="00AA5BDF">
            <w:pPr>
              <w:jc w:val="right"/>
              <w:rPr>
                <w:rFonts w:ascii="Arial" w:hAnsi="Arial" w:cs="Arial"/>
                <w:b/>
                <w:bCs/>
                <w:sz w:val="16"/>
                <w:szCs w:val="16"/>
              </w:rPr>
            </w:pPr>
          </w:p>
        </w:tc>
      </w:tr>
      <w:tr w:rsidR="005F0795" w:rsidRPr="00593C40" w14:paraId="5C712B7C" w14:textId="77777777" w:rsidTr="00BA7A6B">
        <w:trPr>
          <w:trHeight w:val="359"/>
        </w:trPr>
        <w:tc>
          <w:tcPr>
            <w:tcW w:w="3257" w:type="pct"/>
            <w:tcBorders>
              <w:top w:val="single" w:sz="4" w:space="0" w:color="auto"/>
              <w:left w:val="nil"/>
              <w:bottom w:val="nil"/>
              <w:right w:val="nil"/>
            </w:tcBorders>
            <w:shd w:val="clear" w:color="auto" w:fill="auto"/>
            <w:vAlign w:val="center"/>
            <w:hideMark/>
          </w:tcPr>
          <w:p w14:paraId="5DDD693D"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AUMENTO/(DISMINUCIÓN) NETO DEL EFECTIVO Y EQUIVALENTES (A+B+C+D)</w:t>
            </w:r>
          </w:p>
        </w:tc>
        <w:tc>
          <w:tcPr>
            <w:tcW w:w="411" w:type="pct"/>
            <w:tcBorders>
              <w:top w:val="single" w:sz="4" w:space="0" w:color="auto"/>
              <w:left w:val="nil"/>
              <w:bottom w:val="nil"/>
              <w:right w:val="nil"/>
            </w:tcBorders>
            <w:shd w:val="clear" w:color="auto" w:fill="auto"/>
            <w:vAlign w:val="center"/>
            <w:hideMark/>
          </w:tcPr>
          <w:p w14:paraId="121B3AFB" w14:textId="77777777"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top w:val="single" w:sz="4" w:space="0" w:color="auto"/>
              <w:left w:val="nil"/>
              <w:right w:val="nil"/>
            </w:tcBorders>
            <w:shd w:val="clear" w:color="auto" w:fill="auto"/>
            <w:vAlign w:val="bottom"/>
          </w:tcPr>
          <w:p w14:paraId="39B25F4A" w14:textId="6DC2169C" w:rsidR="005F0795" w:rsidRPr="00593C40" w:rsidRDefault="007F2A80" w:rsidP="00AA5BDF">
            <w:pPr>
              <w:jc w:val="right"/>
              <w:rPr>
                <w:rFonts w:ascii="Arial" w:hAnsi="Arial" w:cs="Arial"/>
                <w:b/>
                <w:bCs/>
                <w:sz w:val="16"/>
                <w:szCs w:val="16"/>
              </w:rPr>
            </w:pPr>
            <w:r w:rsidRPr="007F2A80">
              <w:rPr>
                <w:rFonts w:ascii="Arial" w:hAnsi="Arial" w:cs="Arial"/>
                <w:b/>
                <w:bCs/>
                <w:sz w:val="16"/>
                <w:szCs w:val="16"/>
              </w:rPr>
              <w:t>7.238.896</w:t>
            </w:r>
          </w:p>
        </w:tc>
        <w:tc>
          <w:tcPr>
            <w:tcW w:w="729" w:type="pct"/>
            <w:tcBorders>
              <w:top w:val="single" w:sz="4" w:space="0" w:color="auto"/>
              <w:left w:val="nil"/>
              <w:right w:val="nil"/>
            </w:tcBorders>
            <w:shd w:val="clear" w:color="auto" w:fill="auto"/>
            <w:vAlign w:val="bottom"/>
          </w:tcPr>
          <w:p w14:paraId="0AFE64E4" w14:textId="408BFB52" w:rsidR="005F0795" w:rsidRPr="00277723" w:rsidRDefault="00710664" w:rsidP="00AA5BDF">
            <w:pPr>
              <w:jc w:val="right"/>
              <w:rPr>
                <w:rFonts w:ascii="Arial" w:hAnsi="Arial" w:cs="Arial"/>
                <w:b/>
                <w:bCs/>
                <w:sz w:val="16"/>
                <w:szCs w:val="16"/>
              </w:rPr>
            </w:pPr>
            <w:r w:rsidRPr="00277723">
              <w:rPr>
                <w:rFonts w:ascii="Arial" w:hAnsi="Arial" w:cs="Arial"/>
                <w:b/>
                <w:bCs/>
                <w:sz w:val="16"/>
                <w:szCs w:val="16"/>
              </w:rPr>
              <w:t>10.859.447</w:t>
            </w:r>
          </w:p>
        </w:tc>
      </w:tr>
      <w:tr w:rsidR="005F0795" w:rsidRPr="00593C40" w14:paraId="324FDA83" w14:textId="77777777" w:rsidTr="00AA5BDF">
        <w:trPr>
          <w:trHeight w:val="285"/>
        </w:trPr>
        <w:tc>
          <w:tcPr>
            <w:tcW w:w="3257" w:type="pct"/>
            <w:tcBorders>
              <w:top w:val="nil"/>
              <w:left w:val="nil"/>
              <w:bottom w:val="nil"/>
              <w:right w:val="nil"/>
            </w:tcBorders>
            <w:shd w:val="clear" w:color="auto" w:fill="auto"/>
            <w:vAlign w:val="center"/>
            <w:hideMark/>
          </w:tcPr>
          <w:p w14:paraId="7C9E17C6" w14:textId="4462B182"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EFECTIVO Y EQUIVALENTES AL INICIO DEL</w:t>
            </w:r>
            <w:r>
              <w:rPr>
                <w:rFonts w:ascii="Arial" w:hAnsi="Arial" w:cs="Arial"/>
                <w:b/>
                <w:bCs/>
                <w:sz w:val="16"/>
                <w:szCs w:val="16"/>
                <w:lang w:eastAsia="es-AR"/>
              </w:rPr>
              <w:t xml:space="preserve"> EJERCICIO</w:t>
            </w:r>
          </w:p>
        </w:tc>
        <w:tc>
          <w:tcPr>
            <w:tcW w:w="411" w:type="pct"/>
            <w:tcBorders>
              <w:top w:val="nil"/>
              <w:left w:val="nil"/>
              <w:bottom w:val="nil"/>
              <w:right w:val="nil"/>
            </w:tcBorders>
            <w:shd w:val="clear" w:color="auto" w:fill="auto"/>
            <w:vAlign w:val="center"/>
            <w:hideMark/>
          </w:tcPr>
          <w:p w14:paraId="5802FE11" w14:textId="77777777" w:rsidR="005F0795" w:rsidRPr="00593C40" w:rsidRDefault="005F0795" w:rsidP="00CD2AEF">
            <w:pPr>
              <w:rPr>
                <w:rFonts w:ascii="Arial" w:hAnsi="Arial" w:cs="Arial"/>
                <w:b/>
                <w:bCs/>
                <w:sz w:val="16"/>
                <w:szCs w:val="16"/>
                <w:lang w:eastAsia="es-AR"/>
              </w:rPr>
            </w:pPr>
          </w:p>
        </w:tc>
        <w:tc>
          <w:tcPr>
            <w:tcW w:w="603" w:type="pct"/>
            <w:tcBorders>
              <w:left w:val="nil"/>
              <w:right w:val="nil"/>
            </w:tcBorders>
            <w:shd w:val="clear" w:color="auto" w:fill="auto"/>
            <w:vAlign w:val="bottom"/>
          </w:tcPr>
          <w:p w14:paraId="05D9A4D3" w14:textId="14777001" w:rsidR="005F0795" w:rsidRPr="00593C40" w:rsidRDefault="007F2A80" w:rsidP="00AA5BDF">
            <w:pPr>
              <w:jc w:val="right"/>
              <w:rPr>
                <w:rFonts w:ascii="Arial" w:hAnsi="Arial" w:cs="Arial"/>
                <w:b/>
                <w:bCs/>
                <w:sz w:val="16"/>
                <w:szCs w:val="16"/>
              </w:rPr>
            </w:pPr>
            <w:r w:rsidRPr="007F2A80">
              <w:rPr>
                <w:rFonts w:ascii="Arial" w:hAnsi="Arial" w:cs="Arial"/>
                <w:b/>
                <w:bCs/>
                <w:sz w:val="16"/>
                <w:szCs w:val="16"/>
              </w:rPr>
              <w:t>28.184.674</w:t>
            </w:r>
          </w:p>
        </w:tc>
        <w:tc>
          <w:tcPr>
            <w:tcW w:w="729" w:type="pct"/>
            <w:tcBorders>
              <w:left w:val="nil"/>
              <w:right w:val="nil"/>
            </w:tcBorders>
            <w:shd w:val="clear" w:color="auto" w:fill="auto"/>
            <w:vAlign w:val="bottom"/>
          </w:tcPr>
          <w:p w14:paraId="0994F38B" w14:textId="63B9995E" w:rsidR="005F0795" w:rsidRPr="00277723" w:rsidRDefault="00710664" w:rsidP="00AA5BDF">
            <w:pPr>
              <w:jc w:val="right"/>
              <w:rPr>
                <w:rFonts w:ascii="Arial" w:hAnsi="Arial" w:cs="Arial"/>
                <w:b/>
                <w:bCs/>
                <w:sz w:val="16"/>
                <w:szCs w:val="16"/>
              </w:rPr>
            </w:pPr>
            <w:r w:rsidRPr="00277723">
              <w:rPr>
                <w:rFonts w:ascii="Arial" w:hAnsi="Arial" w:cs="Arial"/>
                <w:b/>
                <w:bCs/>
                <w:sz w:val="16"/>
                <w:szCs w:val="16"/>
              </w:rPr>
              <w:t>67.450.701</w:t>
            </w:r>
          </w:p>
        </w:tc>
      </w:tr>
      <w:tr w:rsidR="005F0795" w:rsidRPr="00593C40" w14:paraId="00FFAD1F" w14:textId="77777777" w:rsidTr="00AA5BDF">
        <w:trPr>
          <w:trHeight w:val="285"/>
        </w:trPr>
        <w:tc>
          <w:tcPr>
            <w:tcW w:w="3257" w:type="pct"/>
            <w:tcBorders>
              <w:top w:val="nil"/>
              <w:left w:val="nil"/>
              <w:bottom w:val="nil"/>
              <w:right w:val="nil"/>
            </w:tcBorders>
            <w:shd w:val="clear" w:color="auto" w:fill="auto"/>
            <w:vAlign w:val="center"/>
            <w:hideMark/>
          </w:tcPr>
          <w:p w14:paraId="3C7EA437" w14:textId="7725EF46" w:rsidR="005F0795" w:rsidRPr="00593C40" w:rsidRDefault="005F0795" w:rsidP="00CD2AEF">
            <w:pPr>
              <w:rPr>
                <w:rFonts w:ascii="Arial" w:hAnsi="Arial" w:cs="Arial"/>
                <w:b/>
                <w:bCs/>
                <w:sz w:val="16"/>
                <w:szCs w:val="16"/>
                <w:lang w:eastAsia="es-AR"/>
              </w:rPr>
            </w:pPr>
            <w:r w:rsidRPr="00593C40">
              <w:rPr>
                <w:rFonts w:ascii="Arial" w:hAnsi="Arial" w:cs="Arial"/>
                <w:b/>
                <w:bCs/>
                <w:sz w:val="16"/>
                <w:szCs w:val="16"/>
                <w:lang w:eastAsia="es-AR"/>
              </w:rPr>
              <w:t xml:space="preserve">EFECTIVO Y EQUIVALENTES AL CIERRE DEL </w:t>
            </w:r>
            <w:r>
              <w:rPr>
                <w:rFonts w:ascii="Arial" w:hAnsi="Arial" w:cs="Arial"/>
                <w:b/>
                <w:bCs/>
                <w:sz w:val="16"/>
                <w:szCs w:val="16"/>
                <w:lang w:eastAsia="es-AR"/>
              </w:rPr>
              <w:t>PERÍODO</w:t>
            </w:r>
          </w:p>
        </w:tc>
        <w:tc>
          <w:tcPr>
            <w:tcW w:w="411" w:type="pct"/>
            <w:tcBorders>
              <w:top w:val="nil"/>
              <w:left w:val="nil"/>
              <w:bottom w:val="nil"/>
              <w:right w:val="nil"/>
            </w:tcBorders>
            <w:shd w:val="clear" w:color="auto" w:fill="auto"/>
            <w:vAlign w:val="center"/>
            <w:hideMark/>
          </w:tcPr>
          <w:p w14:paraId="616E968A" w14:textId="2390F9CE" w:rsidR="005F0795" w:rsidRPr="00593C40" w:rsidRDefault="005F0795" w:rsidP="00CD2AEF">
            <w:pPr>
              <w:rPr>
                <w:rFonts w:ascii="Arial" w:hAnsi="Arial" w:cs="Arial"/>
                <w:b/>
                <w:bCs/>
                <w:sz w:val="16"/>
                <w:szCs w:val="16"/>
                <w:lang w:eastAsia="es-AR"/>
              </w:rPr>
            </w:pPr>
            <w:r>
              <w:rPr>
                <w:rFonts w:ascii="Arial" w:hAnsi="Arial" w:cs="Arial"/>
                <w:b/>
                <w:bCs/>
                <w:sz w:val="16"/>
                <w:szCs w:val="16"/>
                <w:lang w:eastAsia="es-AR"/>
              </w:rPr>
              <w:t>1.4</w:t>
            </w:r>
          </w:p>
        </w:tc>
        <w:tc>
          <w:tcPr>
            <w:tcW w:w="603" w:type="pct"/>
            <w:tcBorders>
              <w:left w:val="nil"/>
              <w:right w:val="nil"/>
            </w:tcBorders>
            <w:shd w:val="clear" w:color="auto" w:fill="auto"/>
            <w:vAlign w:val="bottom"/>
          </w:tcPr>
          <w:p w14:paraId="6A920DB0" w14:textId="12173EE4" w:rsidR="005F0795" w:rsidRPr="00593C40" w:rsidRDefault="007F2A80" w:rsidP="00AA5BDF">
            <w:pPr>
              <w:jc w:val="right"/>
              <w:rPr>
                <w:rFonts w:ascii="Arial" w:hAnsi="Arial" w:cs="Arial"/>
                <w:b/>
                <w:bCs/>
                <w:sz w:val="16"/>
                <w:szCs w:val="16"/>
              </w:rPr>
            </w:pPr>
            <w:r w:rsidRPr="007F2A80">
              <w:rPr>
                <w:rFonts w:ascii="Arial" w:hAnsi="Arial" w:cs="Arial"/>
                <w:b/>
                <w:bCs/>
                <w:sz w:val="16"/>
                <w:szCs w:val="16"/>
              </w:rPr>
              <w:t>35.423.570</w:t>
            </w:r>
          </w:p>
        </w:tc>
        <w:tc>
          <w:tcPr>
            <w:tcW w:w="729" w:type="pct"/>
            <w:tcBorders>
              <w:left w:val="nil"/>
              <w:right w:val="nil"/>
            </w:tcBorders>
            <w:shd w:val="clear" w:color="auto" w:fill="auto"/>
            <w:vAlign w:val="bottom"/>
          </w:tcPr>
          <w:p w14:paraId="002405D0" w14:textId="6B370B59" w:rsidR="005F0795" w:rsidRPr="00277723" w:rsidRDefault="00710664" w:rsidP="00AA5BDF">
            <w:pPr>
              <w:jc w:val="right"/>
              <w:rPr>
                <w:rFonts w:ascii="Arial" w:hAnsi="Arial" w:cs="Arial"/>
                <w:b/>
                <w:bCs/>
                <w:sz w:val="16"/>
                <w:szCs w:val="16"/>
              </w:rPr>
            </w:pPr>
            <w:r w:rsidRPr="00277723">
              <w:rPr>
                <w:rFonts w:ascii="Arial" w:hAnsi="Arial" w:cs="Arial"/>
                <w:b/>
                <w:bCs/>
                <w:sz w:val="16"/>
                <w:szCs w:val="16"/>
              </w:rPr>
              <w:t>78.310.148</w:t>
            </w:r>
          </w:p>
        </w:tc>
      </w:tr>
    </w:tbl>
    <w:p w14:paraId="7C81E6F1" w14:textId="77777777" w:rsidR="00CD2AEF" w:rsidRPr="0076627B" w:rsidRDefault="00CD2AEF" w:rsidP="00CD2AEF">
      <w:pPr>
        <w:tabs>
          <w:tab w:val="left" w:pos="1365"/>
        </w:tabs>
        <w:rPr>
          <w:rFonts w:ascii="Arial" w:hAnsi="Arial" w:cs="Arial"/>
          <w:sz w:val="10"/>
          <w:szCs w:val="10"/>
          <w:lang w:eastAsia="es-AR"/>
        </w:rPr>
      </w:pPr>
    </w:p>
    <w:p w14:paraId="3BF17EF5" w14:textId="7CDF2F06" w:rsidR="00CA30F3" w:rsidRPr="00701F32" w:rsidRDefault="00CD2AEF" w:rsidP="005A1F48">
      <w:pPr>
        <w:tabs>
          <w:tab w:val="left" w:pos="1365"/>
        </w:tabs>
        <w:rPr>
          <w:sz w:val="20"/>
          <w:lang w:eastAsia="es-AR"/>
        </w:rPr>
      </w:pPr>
      <w:r w:rsidRPr="00CD2AEF">
        <w:rPr>
          <w:rFonts w:ascii="Arial" w:hAnsi="Arial" w:cs="Arial"/>
          <w:sz w:val="16"/>
          <w:szCs w:val="16"/>
          <w:lang w:eastAsia="es-AR"/>
        </w:rPr>
        <w:t xml:space="preserve">(*) En las partidas “Préstamos y otras financiaciones – Sector Privado no Financiero y Residentes en el exterior”, “Otros Activos” y “Otros pasivos” se eliminaron </w:t>
      </w:r>
      <w:r w:rsidR="007F2A80">
        <w:rPr>
          <w:rFonts w:ascii="Arial" w:hAnsi="Arial" w:cs="Arial"/>
          <w:sz w:val="16"/>
          <w:szCs w:val="16"/>
          <w:lang w:eastAsia="es-AR"/>
        </w:rPr>
        <w:t>3.855.099</w:t>
      </w:r>
      <w:r w:rsidRPr="00CD2AEF">
        <w:rPr>
          <w:rFonts w:ascii="Arial" w:hAnsi="Arial" w:cs="Arial"/>
          <w:sz w:val="16"/>
          <w:szCs w:val="16"/>
          <w:lang w:eastAsia="es-AR"/>
        </w:rPr>
        <w:t xml:space="preserve"> y </w:t>
      </w:r>
      <w:r w:rsidR="007F2A80">
        <w:rPr>
          <w:rFonts w:ascii="Arial" w:hAnsi="Arial" w:cs="Arial"/>
          <w:sz w:val="16"/>
          <w:szCs w:val="16"/>
          <w:lang w:eastAsia="es-AR"/>
        </w:rPr>
        <w:t>705.529</w:t>
      </w:r>
      <w:r>
        <w:rPr>
          <w:rFonts w:ascii="Arial" w:hAnsi="Arial" w:cs="Arial"/>
          <w:sz w:val="16"/>
          <w:szCs w:val="16"/>
          <w:lang w:eastAsia="es-AR"/>
        </w:rPr>
        <w:t xml:space="preserve"> correspondientes a transacciones no monetarias. </w:t>
      </w:r>
      <w:bookmarkEnd w:id="3"/>
      <w:r w:rsidR="00986CD8" w:rsidRPr="00701F32">
        <w:rPr>
          <w:sz w:val="20"/>
          <w:lang w:eastAsia="es-AR"/>
        </w:rPr>
        <w:t xml:space="preserve"> </w:t>
      </w:r>
    </w:p>
    <w:p w14:paraId="3AA04D67" w14:textId="5583FC57" w:rsidR="00CA30F3" w:rsidRPr="00701F32" w:rsidRDefault="00CA30F3" w:rsidP="005F0795">
      <w:pPr>
        <w:rPr>
          <w:sz w:val="20"/>
          <w:lang w:eastAsia="es-AR"/>
        </w:rPr>
        <w:sectPr w:rsidR="00CA30F3" w:rsidRPr="00701F32" w:rsidSect="00E05C63">
          <w:headerReference w:type="default" r:id="rId17"/>
          <w:pgSz w:w="11907" w:h="16839" w:code="9"/>
          <w:pgMar w:top="1418" w:right="1701" w:bottom="1418" w:left="1701" w:header="567" w:footer="0" w:gutter="0"/>
          <w:paperSrc w:first="15" w:other="15"/>
          <w:pgNumType w:chapStyle="1"/>
          <w:cols w:space="720"/>
          <w:docGrid w:linePitch="326"/>
        </w:sectPr>
      </w:pPr>
    </w:p>
    <w:p w14:paraId="32C63E70" w14:textId="77777777" w:rsidR="002F4872" w:rsidRPr="00701F32" w:rsidRDefault="00C245AD" w:rsidP="005F0795">
      <w:pPr>
        <w:tabs>
          <w:tab w:val="left" w:pos="142"/>
          <w:tab w:val="left" w:pos="851"/>
          <w:tab w:val="left" w:pos="993"/>
          <w:tab w:val="left" w:pos="9923"/>
        </w:tabs>
        <w:spacing w:after="200" w:line="276" w:lineRule="auto"/>
        <w:contextualSpacing/>
        <w:jc w:val="both"/>
        <w:rPr>
          <w:rFonts w:ascii="Arial" w:hAnsi="Arial" w:cs="Arial"/>
          <w:b/>
          <w:sz w:val="20"/>
          <w:lang w:eastAsia="es-AR"/>
        </w:rPr>
      </w:pPr>
      <w:r w:rsidRPr="00701F32">
        <w:rPr>
          <w:noProof/>
          <w:lang w:eastAsia="es-AR"/>
        </w:rPr>
        <w:lastRenderedPageBreak/>
        <w:drawing>
          <wp:anchor distT="0" distB="0" distL="114300" distR="114300" simplePos="0" relativeHeight="251647488" behindDoc="0" locked="0" layoutInCell="1" allowOverlap="1" wp14:anchorId="65CD3B7D" wp14:editId="0D700767">
            <wp:simplePos x="0" y="0"/>
            <wp:positionH relativeFrom="column">
              <wp:posOffset>-2424430</wp:posOffset>
            </wp:positionH>
            <wp:positionV relativeFrom="paragraph">
              <wp:posOffset>-21884944</wp:posOffset>
            </wp:positionV>
            <wp:extent cx="9712325" cy="2754630"/>
            <wp:effectExtent l="0" t="0" r="3175" b="762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12325" cy="2754630"/>
                    </a:xfrm>
                    <a:prstGeom prst="rect">
                      <a:avLst/>
                    </a:prstGeom>
                    <a:noFill/>
                    <a:ln>
                      <a:noFill/>
                    </a:ln>
                  </pic:spPr>
                </pic:pic>
              </a:graphicData>
            </a:graphic>
          </wp:anchor>
        </w:drawing>
      </w:r>
    </w:p>
    <w:p w14:paraId="7A56163E" w14:textId="28007904" w:rsidR="00A06BE9" w:rsidRPr="00701F32" w:rsidRDefault="00A06BE9" w:rsidP="00A06BE9">
      <w:pPr>
        <w:spacing w:after="160" w:line="259" w:lineRule="auto"/>
        <w:jc w:val="both"/>
        <w:rPr>
          <w:rFonts w:ascii="Arial" w:eastAsia="Calibri" w:hAnsi="Arial" w:cs="Arial"/>
          <w:b/>
          <w:color w:val="C45911"/>
          <w:sz w:val="20"/>
        </w:rPr>
      </w:pPr>
      <w:bookmarkStart w:id="4" w:name="_Hlk40867516"/>
      <w:r w:rsidRPr="00BA7A6B">
        <w:rPr>
          <w:rFonts w:ascii="Arial" w:eastAsia="Calibri" w:hAnsi="Arial" w:cs="Arial"/>
          <w:b/>
          <w:sz w:val="20"/>
        </w:rPr>
        <w:t xml:space="preserve">1. </w:t>
      </w:r>
      <w:r w:rsidR="00582EAB" w:rsidRPr="00BA7A6B">
        <w:rPr>
          <w:rFonts w:ascii="Arial" w:eastAsia="Calibri" w:hAnsi="Arial" w:cs="Arial"/>
          <w:b/>
          <w:caps/>
          <w:sz w:val="20"/>
        </w:rPr>
        <w:t>BASES DE PREPARACION</w:t>
      </w:r>
      <w:r w:rsidR="00656DBB" w:rsidRPr="00BA7A6B">
        <w:rPr>
          <w:rFonts w:ascii="Arial" w:eastAsia="Calibri" w:hAnsi="Arial" w:cs="Arial"/>
          <w:b/>
          <w:caps/>
          <w:sz w:val="20"/>
        </w:rPr>
        <w:t xml:space="preserve"> y políticas contables significativas</w:t>
      </w:r>
    </w:p>
    <w:p w14:paraId="799FA7F3" w14:textId="7080CC97" w:rsidR="00656DBB" w:rsidRDefault="00656DBB" w:rsidP="00656DBB">
      <w:pPr>
        <w:spacing w:after="160" w:line="259" w:lineRule="auto"/>
        <w:jc w:val="both"/>
        <w:rPr>
          <w:rFonts w:ascii="Arial" w:eastAsia="Arial" w:hAnsi="Arial" w:cs="Arial"/>
          <w:sz w:val="20"/>
        </w:rPr>
      </w:pPr>
      <w:bookmarkStart w:id="5" w:name="_Hlk40976490"/>
      <w:r w:rsidRPr="00E446C3">
        <w:rPr>
          <w:rFonts w:ascii="Arial" w:eastAsia="Arial" w:hAnsi="Arial" w:cs="Arial"/>
          <w:sz w:val="20"/>
        </w:rPr>
        <w:t>Los presentes estados financieros</w:t>
      </w:r>
      <w:r w:rsidR="002650D7">
        <w:rPr>
          <w:rFonts w:ascii="Arial" w:eastAsia="Arial" w:hAnsi="Arial" w:cs="Arial"/>
          <w:sz w:val="20"/>
        </w:rPr>
        <w:t xml:space="preserve"> condensados</w:t>
      </w:r>
      <w:r w:rsidRPr="00E446C3">
        <w:rPr>
          <w:rFonts w:ascii="Arial" w:eastAsia="Arial" w:hAnsi="Arial" w:cs="Arial"/>
          <w:sz w:val="20"/>
        </w:rPr>
        <w:t xml:space="preserve"> </w:t>
      </w:r>
      <w:r w:rsidR="006423FF">
        <w:rPr>
          <w:rFonts w:ascii="Arial" w:eastAsia="Arial" w:hAnsi="Arial" w:cs="Arial"/>
          <w:sz w:val="20"/>
        </w:rPr>
        <w:t xml:space="preserve">intermedios </w:t>
      </w:r>
      <w:r w:rsidRPr="00E446C3">
        <w:rPr>
          <w:rFonts w:ascii="Arial" w:eastAsia="Arial" w:hAnsi="Arial" w:cs="Arial"/>
          <w:sz w:val="20"/>
        </w:rPr>
        <w:t xml:space="preserve">consolidados por el </w:t>
      </w:r>
      <w:r w:rsidR="002650D7">
        <w:rPr>
          <w:rFonts w:ascii="Arial" w:eastAsia="Arial" w:hAnsi="Arial" w:cs="Arial"/>
          <w:sz w:val="20"/>
        </w:rPr>
        <w:t>período de</w:t>
      </w:r>
      <w:r w:rsidR="004370FD">
        <w:rPr>
          <w:rFonts w:ascii="Arial" w:eastAsia="Arial" w:hAnsi="Arial" w:cs="Arial"/>
          <w:sz w:val="20"/>
        </w:rPr>
        <w:t xml:space="preserve"> </w:t>
      </w:r>
      <w:r w:rsidR="007D54C2">
        <w:rPr>
          <w:rFonts w:ascii="Arial" w:eastAsia="Arial" w:hAnsi="Arial" w:cs="Arial"/>
          <w:sz w:val="20"/>
        </w:rPr>
        <w:t>tres</w:t>
      </w:r>
      <w:r w:rsidR="002650D7">
        <w:rPr>
          <w:rFonts w:ascii="Arial" w:eastAsia="Arial" w:hAnsi="Arial" w:cs="Arial"/>
          <w:sz w:val="20"/>
        </w:rPr>
        <w:t xml:space="preserve"> meses</w:t>
      </w:r>
      <w:r w:rsidR="002650D7" w:rsidRPr="00E446C3">
        <w:rPr>
          <w:rFonts w:ascii="Arial" w:eastAsia="Arial" w:hAnsi="Arial" w:cs="Arial"/>
          <w:sz w:val="20"/>
        </w:rPr>
        <w:t xml:space="preserve"> </w:t>
      </w:r>
      <w:r w:rsidRPr="00E446C3">
        <w:rPr>
          <w:rFonts w:ascii="Arial" w:eastAsia="Arial" w:hAnsi="Arial" w:cs="Arial"/>
          <w:sz w:val="20"/>
        </w:rPr>
        <w:t>finalizado el 3</w:t>
      </w:r>
      <w:r w:rsidR="007D54C2">
        <w:rPr>
          <w:rFonts w:ascii="Arial" w:eastAsia="Arial" w:hAnsi="Arial" w:cs="Arial"/>
          <w:sz w:val="20"/>
        </w:rPr>
        <w:t>1</w:t>
      </w:r>
      <w:r w:rsidRPr="00E446C3">
        <w:rPr>
          <w:rFonts w:ascii="Arial" w:eastAsia="Arial" w:hAnsi="Arial" w:cs="Arial"/>
          <w:sz w:val="20"/>
        </w:rPr>
        <w:t xml:space="preserve"> de </w:t>
      </w:r>
      <w:r w:rsidR="007D54C2">
        <w:rPr>
          <w:rFonts w:ascii="Arial" w:eastAsia="Arial" w:hAnsi="Arial" w:cs="Arial"/>
          <w:sz w:val="20"/>
        </w:rPr>
        <w:t>marzo</w:t>
      </w:r>
      <w:r w:rsidR="002650D7" w:rsidRPr="00E446C3">
        <w:rPr>
          <w:rFonts w:ascii="Arial" w:eastAsia="Arial" w:hAnsi="Arial" w:cs="Arial"/>
          <w:sz w:val="20"/>
        </w:rPr>
        <w:t xml:space="preserve"> </w:t>
      </w:r>
      <w:r w:rsidRPr="00E446C3">
        <w:rPr>
          <w:rFonts w:ascii="Arial" w:eastAsia="Arial" w:hAnsi="Arial" w:cs="Arial"/>
          <w:sz w:val="20"/>
        </w:rPr>
        <w:t xml:space="preserve">de </w:t>
      </w:r>
      <w:r w:rsidR="002650D7" w:rsidRPr="00E446C3">
        <w:rPr>
          <w:rFonts w:ascii="Arial" w:eastAsia="Arial" w:hAnsi="Arial" w:cs="Arial"/>
          <w:sz w:val="20"/>
        </w:rPr>
        <w:t>20</w:t>
      </w:r>
      <w:r w:rsidR="007D54C2">
        <w:rPr>
          <w:rFonts w:ascii="Arial" w:eastAsia="Arial" w:hAnsi="Arial" w:cs="Arial"/>
          <w:sz w:val="20"/>
        </w:rPr>
        <w:t>20</w:t>
      </w:r>
      <w:r w:rsidRPr="00E446C3">
        <w:rPr>
          <w:rFonts w:ascii="Arial" w:eastAsia="Arial" w:hAnsi="Arial" w:cs="Arial"/>
          <w:sz w:val="20"/>
        </w:rPr>
        <w:t xml:space="preserve">, los cuales han sido preparados de acuerdo con el marco contable establecido por el Banco Central de la República Argentina (B.C.R.A.), corresponden a </w:t>
      </w:r>
      <w:r w:rsidRPr="00701F32">
        <w:rPr>
          <w:rFonts w:ascii="Arial" w:eastAsia="Arial" w:hAnsi="Arial" w:cs="Arial"/>
          <w:sz w:val="20"/>
        </w:rPr>
        <w:t>Banco Supervielle S.A</w:t>
      </w:r>
      <w:r w:rsidR="00113899">
        <w:rPr>
          <w:rFonts w:ascii="Arial" w:eastAsia="Arial" w:hAnsi="Arial" w:cs="Arial"/>
          <w:sz w:val="20"/>
        </w:rPr>
        <w:t>.</w:t>
      </w:r>
      <w:r w:rsidRPr="00701F32">
        <w:rPr>
          <w:rFonts w:ascii="Arial" w:eastAsia="Arial" w:hAnsi="Arial" w:cs="Arial"/>
          <w:sz w:val="20"/>
        </w:rPr>
        <w:t xml:space="preserve"> (en adelante, “el Banco”</w:t>
      </w:r>
      <w:r>
        <w:rPr>
          <w:rFonts w:ascii="Arial" w:eastAsia="Arial" w:hAnsi="Arial" w:cs="Arial"/>
          <w:sz w:val="20"/>
        </w:rPr>
        <w:t xml:space="preserve"> o “la Entidad”</w:t>
      </w:r>
      <w:r w:rsidRPr="00701F32">
        <w:rPr>
          <w:rFonts w:ascii="Arial" w:eastAsia="Arial" w:hAnsi="Arial" w:cs="Arial"/>
          <w:sz w:val="20"/>
        </w:rPr>
        <w:t>)</w:t>
      </w:r>
      <w:r>
        <w:rPr>
          <w:rFonts w:ascii="Arial" w:eastAsia="Arial" w:hAnsi="Arial" w:cs="Arial"/>
          <w:sz w:val="20"/>
        </w:rPr>
        <w:t xml:space="preserve"> y sus sociedades controladas o subsidiarias.</w:t>
      </w:r>
    </w:p>
    <w:p w14:paraId="53A03445" w14:textId="352F60E0" w:rsidR="00A06BE9" w:rsidRPr="00701F32" w:rsidRDefault="00656DBB" w:rsidP="00A06BE9">
      <w:pPr>
        <w:spacing w:after="160" w:line="259" w:lineRule="auto"/>
        <w:jc w:val="both"/>
        <w:rPr>
          <w:rFonts w:ascii="Arial" w:eastAsia="Arial" w:hAnsi="Arial" w:cs="Arial"/>
          <w:sz w:val="20"/>
        </w:rPr>
      </w:pPr>
      <w:r>
        <w:rPr>
          <w:rFonts w:ascii="Arial" w:eastAsia="Arial" w:hAnsi="Arial" w:cs="Arial"/>
          <w:sz w:val="20"/>
        </w:rPr>
        <w:t xml:space="preserve">El Banco </w:t>
      </w:r>
      <w:r w:rsidR="00A06BE9" w:rsidRPr="00701F32">
        <w:rPr>
          <w:rFonts w:ascii="Arial" w:eastAsia="Arial" w:hAnsi="Arial" w:cs="Arial"/>
          <w:sz w:val="20"/>
        </w:rPr>
        <w:t xml:space="preserve">es una entidad financiera comprendida dentro de la Ley N° 21.526 de Entidades Financieras sujeta a las disposiciones del Banco Central de la República Argentina (B.C.R.A.) como órgano regulador de entidades financieras. </w:t>
      </w:r>
    </w:p>
    <w:p w14:paraId="44021CB3" w14:textId="77777777" w:rsidR="00A06BE9" w:rsidRPr="00701F32" w:rsidRDefault="00A06BE9" w:rsidP="00A06BE9">
      <w:pPr>
        <w:jc w:val="both"/>
        <w:rPr>
          <w:rFonts w:ascii="Arial" w:eastAsia="Arial" w:hAnsi="Arial" w:cs="Arial"/>
          <w:sz w:val="20"/>
        </w:rPr>
      </w:pPr>
      <w:r w:rsidRPr="00701F32">
        <w:rPr>
          <w:rFonts w:ascii="Arial" w:eastAsia="Arial" w:hAnsi="Arial" w:cs="Arial"/>
          <w:sz w:val="20"/>
        </w:rPr>
        <w:t>Adicionalmente el Banco se desempeña como Agente de Liquidación y Compensación en el marco de la Comisión Nacional de Valores (C.N.V.) por lo que se encuentra regulado por las disposiciones emanadas de la Ley 26.831 de Mercado de Capitales.</w:t>
      </w:r>
    </w:p>
    <w:p w14:paraId="2013CC81" w14:textId="77777777" w:rsidR="00A06BE9" w:rsidRPr="00701F32" w:rsidRDefault="00A06BE9" w:rsidP="00A06BE9">
      <w:pPr>
        <w:jc w:val="both"/>
        <w:rPr>
          <w:rFonts w:ascii="Arial" w:eastAsia="Calibri" w:hAnsi="Arial" w:cs="Arial"/>
          <w:sz w:val="20"/>
        </w:rPr>
      </w:pPr>
    </w:p>
    <w:p w14:paraId="329943A9" w14:textId="77777777" w:rsidR="00A06BE9" w:rsidRPr="00701F32" w:rsidRDefault="00A06BE9" w:rsidP="00A06BE9">
      <w:pPr>
        <w:spacing w:after="160" w:line="259" w:lineRule="auto"/>
        <w:jc w:val="both"/>
        <w:rPr>
          <w:rFonts w:ascii="Arial" w:eastAsia="Calibri" w:hAnsi="Arial" w:cs="Arial"/>
          <w:sz w:val="20"/>
        </w:rPr>
      </w:pPr>
      <w:r w:rsidRPr="00701F32">
        <w:rPr>
          <w:rFonts w:ascii="Arial" w:eastAsia="Calibri" w:hAnsi="Arial" w:cs="Arial"/>
          <w:sz w:val="20"/>
        </w:rPr>
        <w:t xml:space="preserve">La Entidad opera como un banco universal y es una subsidiaria del Grupo Supervielle S.A. </w:t>
      </w:r>
    </w:p>
    <w:p w14:paraId="3CC57938" w14:textId="5CAEC76B" w:rsidR="00A06BE9" w:rsidRPr="00701F32" w:rsidRDefault="00A06BE9" w:rsidP="00A06BE9">
      <w:pPr>
        <w:spacing w:after="160" w:line="259" w:lineRule="auto"/>
        <w:jc w:val="both"/>
        <w:rPr>
          <w:rFonts w:ascii="Arial" w:eastAsia="Calibri" w:hAnsi="Arial" w:cs="Arial"/>
          <w:sz w:val="20"/>
        </w:rPr>
      </w:pPr>
      <w:r w:rsidRPr="00701F32">
        <w:rPr>
          <w:rFonts w:ascii="Arial" w:eastAsia="Calibri" w:hAnsi="Arial" w:cs="Arial"/>
          <w:sz w:val="20"/>
        </w:rPr>
        <w:t xml:space="preserve">Estos estados financieros </w:t>
      </w:r>
      <w:r w:rsidR="00415AF0">
        <w:rPr>
          <w:rFonts w:ascii="Arial" w:eastAsia="Calibri" w:hAnsi="Arial" w:cs="Arial"/>
          <w:sz w:val="20"/>
        </w:rPr>
        <w:t>condensados intermedios</w:t>
      </w:r>
      <w:r w:rsidR="006423FF" w:rsidRPr="006423FF">
        <w:rPr>
          <w:rFonts w:ascii="Arial" w:eastAsia="Calibri" w:hAnsi="Arial" w:cs="Arial"/>
          <w:sz w:val="20"/>
        </w:rPr>
        <w:t xml:space="preserve"> </w:t>
      </w:r>
      <w:r w:rsidR="006423FF" w:rsidRPr="00701F32">
        <w:rPr>
          <w:rFonts w:ascii="Arial" w:eastAsia="Calibri" w:hAnsi="Arial" w:cs="Arial"/>
          <w:sz w:val="20"/>
        </w:rPr>
        <w:t>consolidados</w:t>
      </w:r>
      <w:r w:rsidR="00415AF0">
        <w:rPr>
          <w:rFonts w:ascii="Arial" w:eastAsia="Calibri" w:hAnsi="Arial" w:cs="Arial"/>
          <w:sz w:val="20"/>
        </w:rPr>
        <w:t xml:space="preserve"> </w:t>
      </w:r>
      <w:r w:rsidRPr="00701F32">
        <w:rPr>
          <w:rFonts w:ascii="Arial" w:eastAsia="Calibri" w:hAnsi="Arial" w:cs="Arial"/>
          <w:sz w:val="20"/>
        </w:rPr>
        <w:t xml:space="preserve">han sido aprobados por </w:t>
      </w:r>
      <w:r w:rsidR="00251677" w:rsidRPr="00701F32">
        <w:rPr>
          <w:rFonts w:ascii="Arial" w:eastAsia="Calibri" w:hAnsi="Arial" w:cs="Arial"/>
          <w:sz w:val="20"/>
        </w:rPr>
        <w:t xml:space="preserve">el Directorio de la Entidad en su reunión </w:t>
      </w:r>
      <w:r w:rsidRPr="00701F32">
        <w:rPr>
          <w:rFonts w:ascii="Arial" w:eastAsia="Calibri" w:hAnsi="Arial" w:cs="Arial"/>
          <w:sz w:val="20"/>
        </w:rPr>
        <w:t xml:space="preserve">de </w:t>
      </w:r>
      <w:r w:rsidRPr="00F831FB">
        <w:rPr>
          <w:rFonts w:ascii="Arial" w:eastAsia="Calibri" w:hAnsi="Arial" w:cs="Arial"/>
          <w:sz w:val="20"/>
        </w:rPr>
        <w:t>fecha</w:t>
      </w:r>
      <w:r w:rsidR="0016276D" w:rsidRPr="00F831FB">
        <w:rPr>
          <w:rFonts w:ascii="Arial" w:eastAsia="Calibri" w:hAnsi="Arial" w:cs="Arial"/>
          <w:sz w:val="20"/>
        </w:rPr>
        <w:t xml:space="preserve"> </w:t>
      </w:r>
      <w:r w:rsidR="00BB3DB2">
        <w:rPr>
          <w:rFonts w:ascii="Arial" w:eastAsia="Calibri" w:hAnsi="Arial" w:cs="Arial"/>
          <w:sz w:val="20"/>
        </w:rPr>
        <w:t>28</w:t>
      </w:r>
      <w:r w:rsidR="00BB3DB2" w:rsidRPr="00F831FB">
        <w:rPr>
          <w:rFonts w:ascii="Arial" w:eastAsia="Calibri" w:hAnsi="Arial" w:cs="Arial"/>
          <w:sz w:val="20"/>
        </w:rPr>
        <w:t xml:space="preserve"> </w:t>
      </w:r>
      <w:r w:rsidR="00AA1F8A" w:rsidRPr="00F831FB">
        <w:rPr>
          <w:rFonts w:ascii="Arial" w:eastAsia="Calibri" w:hAnsi="Arial" w:cs="Arial"/>
          <w:sz w:val="20"/>
        </w:rPr>
        <w:t xml:space="preserve">de </w:t>
      </w:r>
      <w:r w:rsidR="00BB3DB2">
        <w:rPr>
          <w:rFonts w:ascii="Arial" w:eastAsia="Calibri" w:hAnsi="Arial" w:cs="Arial"/>
          <w:sz w:val="20"/>
        </w:rPr>
        <w:t>mayo</w:t>
      </w:r>
      <w:r w:rsidR="00BB3DB2" w:rsidRPr="00F831FB">
        <w:rPr>
          <w:rFonts w:ascii="Arial" w:eastAsia="Calibri" w:hAnsi="Arial" w:cs="Arial"/>
          <w:sz w:val="20"/>
        </w:rPr>
        <w:t xml:space="preserve"> </w:t>
      </w:r>
      <w:r w:rsidR="00AA1F8A" w:rsidRPr="00F831FB">
        <w:rPr>
          <w:rFonts w:ascii="Arial" w:eastAsia="Calibri" w:hAnsi="Arial" w:cs="Arial"/>
          <w:sz w:val="20"/>
        </w:rPr>
        <w:t>de 20</w:t>
      </w:r>
      <w:r w:rsidR="00BB3DB2">
        <w:rPr>
          <w:rFonts w:ascii="Arial" w:eastAsia="Calibri" w:hAnsi="Arial" w:cs="Arial"/>
          <w:sz w:val="20"/>
        </w:rPr>
        <w:t>20</w:t>
      </w:r>
      <w:r w:rsidRPr="00F831FB">
        <w:rPr>
          <w:rFonts w:ascii="Arial" w:eastAsia="Calibri" w:hAnsi="Arial" w:cs="Arial"/>
          <w:sz w:val="20"/>
        </w:rPr>
        <w:t>.</w:t>
      </w:r>
      <w:r w:rsidRPr="00701F32">
        <w:rPr>
          <w:rFonts w:ascii="Arial" w:eastAsia="Calibri" w:hAnsi="Arial" w:cs="Arial"/>
          <w:sz w:val="20"/>
        </w:rPr>
        <w:t xml:space="preserve"> </w:t>
      </w:r>
    </w:p>
    <w:p w14:paraId="4160143F" w14:textId="1B90A0B5" w:rsidR="00656DBB" w:rsidRDefault="00656DBB" w:rsidP="00656DBB">
      <w:pPr>
        <w:spacing w:after="160" w:line="259" w:lineRule="auto"/>
        <w:jc w:val="both"/>
        <w:rPr>
          <w:rFonts w:ascii="Arial" w:eastAsia="Arial" w:hAnsi="Arial" w:cs="Arial"/>
          <w:b/>
          <w:sz w:val="20"/>
        </w:rPr>
      </w:pPr>
      <w:bookmarkStart w:id="6" w:name="_Hlk41078183"/>
      <w:r w:rsidRPr="00701F32">
        <w:rPr>
          <w:rFonts w:ascii="Arial" w:eastAsia="Arial" w:hAnsi="Arial" w:cs="Arial"/>
          <w:b/>
          <w:sz w:val="20"/>
        </w:rPr>
        <w:t>1.</w:t>
      </w:r>
      <w:r w:rsidR="0038082D">
        <w:rPr>
          <w:rFonts w:ascii="Arial" w:eastAsia="Arial" w:hAnsi="Arial" w:cs="Arial"/>
          <w:b/>
          <w:sz w:val="20"/>
        </w:rPr>
        <w:t>1</w:t>
      </w:r>
      <w:r w:rsidRPr="00701F32">
        <w:rPr>
          <w:rFonts w:ascii="Arial" w:eastAsia="Arial" w:hAnsi="Arial" w:cs="Arial"/>
          <w:b/>
          <w:sz w:val="20"/>
        </w:rPr>
        <w:t xml:space="preserve"> Bases de preparación </w:t>
      </w:r>
    </w:p>
    <w:p w14:paraId="4CC09719" w14:textId="02BEBC30" w:rsidR="00C17696" w:rsidRPr="00C17696" w:rsidRDefault="00C17696" w:rsidP="00C17696">
      <w:pPr>
        <w:spacing w:after="160" w:line="259" w:lineRule="auto"/>
        <w:jc w:val="both"/>
        <w:rPr>
          <w:rFonts w:ascii="Arial" w:eastAsia="Calibri" w:hAnsi="Arial" w:cs="Arial"/>
          <w:sz w:val="20"/>
        </w:rPr>
      </w:pPr>
      <w:bookmarkStart w:id="7" w:name="_Hlk41480467"/>
      <w:r w:rsidRPr="00C17696">
        <w:rPr>
          <w:rFonts w:ascii="Arial" w:eastAsia="Calibri" w:hAnsi="Arial" w:cs="Arial"/>
          <w:sz w:val="20"/>
        </w:rPr>
        <w:t>Los presentes estados financieros condensados intermedios han sido preparados de acuerdo: (i) con las disposiciones de la Norma Internacional de Contabilidad nº 34 “Información Financiera Intermedia“ (NIC 34) y (ii) con el marco de información contable establecido por el B.C.R.A. el cual se basa en las Normas Internacionales de Información Financiera (NIIF) emitidas por el Consejo de Normas Internacionales de Información Financiera (IASB, por sus siglas en inglés) y las interpretaciones emitidas por el Comité de Interpretaciones de Normas Internacionales de Información Financiera (CINIIF), con las siguientes  excepción excepciones:</w:t>
      </w:r>
    </w:p>
    <w:p w14:paraId="1371792B" w14:textId="6A463628" w:rsidR="00C17696" w:rsidRPr="00C17696" w:rsidRDefault="00C17696" w:rsidP="00C17696">
      <w:pPr>
        <w:spacing w:after="160" w:line="259" w:lineRule="auto"/>
        <w:jc w:val="both"/>
        <w:rPr>
          <w:rFonts w:ascii="Arial" w:eastAsia="Calibri" w:hAnsi="Arial" w:cs="Arial"/>
          <w:sz w:val="20"/>
        </w:rPr>
      </w:pPr>
      <w:r>
        <w:rPr>
          <w:rFonts w:ascii="Arial" w:eastAsia="Calibri" w:hAnsi="Arial" w:cs="Arial"/>
          <w:sz w:val="20"/>
        </w:rPr>
        <w:t xml:space="preserve">         </w:t>
      </w:r>
      <w:r w:rsidRPr="00C17696">
        <w:rPr>
          <w:rFonts w:ascii="Arial" w:eastAsia="Calibri" w:hAnsi="Arial" w:cs="Arial"/>
          <w:sz w:val="20"/>
        </w:rPr>
        <w:t xml:space="preserve">(i)excepción temporaria de la aplicación </w:t>
      </w:r>
      <w:r w:rsidR="00AB5D01">
        <w:rPr>
          <w:rFonts w:ascii="Arial" w:eastAsia="Calibri" w:hAnsi="Arial" w:cs="Arial"/>
          <w:sz w:val="20"/>
        </w:rPr>
        <w:t xml:space="preserve">de </w:t>
      </w:r>
      <w:r w:rsidRPr="00C17696">
        <w:rPr>
          <w:rFonts w:ascii="Arial" w:eastAsia="Calibri" w:hAnsi="Arial" w:cs="Arial"/>
          <w:sz w:val="20"/>
        </w:rPr>
        <w:t xml:space="preserve">la NIIF 9 “Instrumentos Financieros” sobre los instrumentos de deuda del Sector Público no Financiero, </w:t>
      </w:r>
    </w:p>
    <w:p w14:paraId="31148636" w14:textId="200E97A2" w:rsidR="0065012D" w:rsidRPr="00C17696" w:rsidRDefault="00C17696" w:rsidP="00C17696">
      <w:pPr>
        <w:spacing w:after="160" w:line="259" w:lineRule="auto"/>
        <w:jc w:val="both"/>
        <w:rPr>
          <w:rFonts w:ascii="Arial" w:eastAsia="Calibri" w:hAnsi="Arial" w:cs="Arial"/>
          <w:sz w:val="20"/>
        </w:rPr>
      </w:pPr>
      <w:r>
        <w:rPr>
          <w:rFonts w:ascii="Arial" w:eastAsia="Calibri" w:hAnsi="Arial" w:cs="Arial"/>
          <w:sz w:val="20"/>
        </w:rPr>
        <w:t xml:space="preserve">        </w:t>
      </w:r>
      <w:r w:rsidRPr="00C17696">
        <w:rPr>
          <w:rFonts w:ascii="Arial" w:eastAsia="Calibri" w:hAnsi="Arial" w:cs="Arial"/>
          <w:sz w:val="20"/>
        </w:rPr>
        <w:t>(ii)</w:t>
      </w:r>
      <w:r w:rsidRPr="00C17696">
        <w:rPr>
          <w:rFonts w:ascii="Arial" w:eastAsia="Calibri" w:hAnsi="Arial" w:cs="Arial"/>
          <w:sz w:val="20"/>
        </w:rPr>
        <w:tab/>
      </w:r>
      <w:r w:rsidR="0065012D" w:rsidRPr="0065012D">
        <w:rPr>
          <w:rFonts w:ascii="Arial" w:eastAsia="Calibri" w:hAnsi="Arial" w:cs="Arial"/>
          <w:sz w:val="20"/>
        </w:rPr>
        <w:t>excepción temporaria de la aplicación del punto 5.5. (deterioro de valor) de la NIIF 9 para las entidades del grupo B, categoría que integra Cordial Compañía Financiera S.A., por lo que las previsiones de la mencionada Entidad se mantienen bajo la normativa de previsiones mínimas del B.C.R.A.</w:t>
      </w:r>
    </w:p>
    <w:p w14:paraId="0912E135" w14:textId="2908DDD5" w:rsidR="00C17696" w:rsidRDefault="00C17696" w:rsidP="003A5206">
      <w:pPr>
        <w:rPr>
          <w:rFonts w:ascii="Arial" w:eastAsia="Calibri" w:hAnsi="Arial" w:cs="Arial"/>
          <w:sz w:val="20"/>
        </w:rPr>
      </w:pPr>
      <w:r>
        <w:rPr>
          <w:rFonts w:ascii="Arial" w:eastAsia="Calibri" w:hAnsi="Arial" w:cs="Arial"/>
          <w:sz w:val="20"/>
        </w:rPr>
        <w:t xml:space="preserve">       </w:t>
      </w:r>
    </w:p>
    <w:p w14:paraId="36971DA3" w14:textId="77777777" w:rsidR="003A5206" w:rsidRDefault="003A5206" w:rsidP="00A74911">
      <w:pPr>
        <w:rPr>
          <w:rFonts w:ascii="Arial" w:eastAsia="Calibri" w:hAnsi="Arial" w:cs="Arial"/>
          <w:sz w:val="20"/>
        </w:rPr>
      </w:pPr>
    </w:p>
    <w:p w14:paraId="1C76EF44" w14:textId="22017594" w:rsidR="00C17696" w:rsidRPr="00C17696" w:rsidRDefault="0065012D" w:rsidP="00C17696">
      <w:pPr>
        <w:pStyle w:val="Ttulonota"/>
        <w:tabs>
          <w:tab w:val="left" w:pos="426"/>
          <w:tab w:val="left" w:pos="993"/>
        </w:tabs>
        <w:rPr>
          <w:rFonts w:ascii="Arial" w:hAnsi="Arial" w:cs="Arial"/>
          <w:b w:val="0"/>
          <w:bCs/>
          <w:sz w:val="20"/>
        </w:rPr>
      </w:pPr>
      <w:r w:rsidRPr="0065012D">
        <w:rPr>
          <w:rFonts w:ascii="Arial" w:hAnsi="Arial" w:cs="Arial"/>
          <w:b w:val="0"/>
          <w:sz w:val="20"/>
        </w:rPr>
        <w:lastRenderedPageBreak/>
        <w:t xml:space="preserve">De acuerdo con lo establecido por la NIC 34, la información financiera intermedia incluirá una explicación de los sucesos y transacciones, producidos desde el final del último período anual sobre el que se informa, que sean significativos para comprender los cambios en la situación financiera, el rendimiento financiero y los flujos de efectivo del </w:t>
      </w:r>
      <w:r>
        <w:rPr>
          <w:rFonts w:ascii="Arial" w:hAnsi="Arial" w:cs="Arial"/>
          <w:b w:val="0"/>
          <w:sz w:val="20"/>
        </w:rPr>
        <w:t>Banco</w:t>
      </w:r>
      <w:r w:rsidRPr="0065012D">
        <w:rPr>
          <w:rFonts w:ascii="Arial" w:hAnsi="Arial" w:cs="Arial"/>
          <w:b w:val="0"/>
          <w:sz w:val="20"/>
        </w:rPr>
        <w:t xml:space="preserve"> con el objetivo que se actualice la información correspondiente a los últimos estados financieros por el ejercicio anual finalizado el 31 de diciembre de 2019 (en adelante “estados financieros anuales”). Por lo expuesto, los presentes estados financieros condensados intermedios separados no incluyen toda la información que requerirían unos estados financieros completos preparados de acuerdo con las Normas Internacionales de Información Financiera por lo que, para una adecuada compresión de la información incluida en los mismos, deben ser leídos en conjunto con los estados financieros anuales.</w:t>
      </w:r>
      <w:r w:rsidR="00C17696" w:rsidRPr="00C17696">
        <w:rPr>
          <w:rFonts w:ascii="Arial" w:hAnsi="Arial" w:cs="Arial"/>
          <w:b w:val="0"/>
          <w:sz w:val="20"/>
        </w:rPr>
        <w:t>.</w:t>
      </w:r>
    </w:p>
    <w:p w14:paraId="19C5B71B" w14:textId="77777777" w:rsidR="00C17696" w:rsidRPr="00C17696" w:rsidRDefault="00C17696" w:rsidP="00C17696">
      <w:pPr>
        <w:pStyle w:val="Ttulonota"/>
        <w:tabs>
          <w:tab w:val="left" w:pos="426"/>
          <w:tab w:val="left" w:pos="993"/>
        </w:tabs>
        <w:rPr>
          <w:rFonts w:ascii="Arial" w:hAnsi="Arial" w:cs="Arial"/>
          <w:b w:val="0"/>
          <w:bCs/>
          <w:sz w:val="20"/>
        </w:rPr>
      </w:pPr>
    </w:p>
    <w:p w14:paraId="510E5183" w14:textId="3E269D11" w:rsidR="00C17696" w:rsidRPr="00C17696" w:rsidRDefault="00C17696" w:rsidP="00C17696">
      <w:pPr>
        <w:pStyle w:val="Ttulonota"/>
        <w:tabs>
          <w:tab w:val="left" w:pos="426"/>
          <w:tab w:val="left" w:pos="993"/>
        </w:tabs>
        <w:rPr>
          <w:rFonts w:ascii="Arial" w:hAnsi="Arial" w:cs="Arial"/>
          <w:b w:val="0"/>
          <w:bCs/>
          <w:sz w:val="20"/>
        </w:rPr>
      </w:pPr>
      <w:bookmarkStart w:id="8" w:name="_Hlk41404297"/>
      <w:r w:rsidRPr="00C17696">
        <w:rPr>
          <w:rFonts w:ascii="Arial" w:hAnsi="Arial" w:cs="Arial"/>
          <w:b w:val="0"/>
          <w:sz w:val="20"/>
        </w:rPr>
        <w:t xml:space="preserve">La Dirección del </w:t>
      </w:r>
      <w:r>
        <w:rPr>
          <w:rFonts w:ascii="Arial" w:hAnsi="Arial" w:cs="Arial"/>
          <w:b w:val="0"/>
          <w:sz w:val="20"/>
        </w:rPr>
        <w:t>Banco</w:t>
      </w:r>
      <w:r w:rsidRPr="00C17696">
        <w:rPr>
          <w:rFonts w:ascii="Arial" w:hAnsi="Arial" w:cs="Arial"/>
          <w:b w:val="0"/>
          <w:sz w:val="20"/>
        </w:rPr>
        <w:t xml:space="preserve"> ha concluido que los presentes estados financieros condensados intermedios presentan razonablemente la posición financiera, el rendimiento financiero y los flujos de efectivo.</w:t>
      </w:r>
    </w:p>
    <w:p w14:paraId="2D59EC1A" w14:textId="77777777" w:rsidR="00C17696" w:rsidRPr="00C17696" w:rsidRDefault="00C17696" w:rsidP="00C17696">
      <w:pPr>
        <w:pStyle w:val="Ttulonota"/>
        <w:tabs>
          <w:tab w:val="left" w:pos="426"/>
          <w:tab w:val="left" w:pos="993"/>
        </w:tabs>
        <w:rPr>
          <w:rFonts w:ascii="Arial" w:hAnsi="Arial" w:cs="Arial"/>
          <w:b w:val="0"/>
          <w:bCs/>
          <w:sz w:val="20"/>
        </w:rPr>
      </w:pPr>
    </w:p>
    <w:p w14:paraId="75EB3F9E" w14:textId="774EF46D" w:rsidR="0065012D" w:rsidRPr="0065012D" w:rsidRDefault="0065012D" w:rsidP="00A74911">
      <w:pPr>
        <w:jc w:val="both"/>
        <w:rPr>
          <w:rFonts w:ascii="Arial" w:hAnsi="Arial" w:cs="Arial"/>
          <w:sz w:val="20"/>
          <w:lang w:val="es-ES_tradnl"/>
        </w:rPr>
      </w:pPr>
      <w:r w:rsidRPr="0065012D">
        <w:rPr>
          <w:rFonts w:ascii="Arial" w:hAnsi="Arial" w:cs="Arial"/>
          <w:sz w:val="20"/>
          <w:lang w:val="es-ES_tradnl"/>
        </w:rPr>
        <w:t xml:space="preserve">Cabe señalar que los estados financieros condensados intermedios han sido preparados aplicando políticas contables y criterios de medición consistentes con los aplicados por el </w:t>
      </w:r>
      <w:r>
        <w:rPr>
          <w:rFonts w:ascii="Arial" w:hAnsi="Arial" w:cs="Arial"/>
          <w:sz w:val="20"/>
          <w:lang w:val="es-ES_tradnl"/>
        </w:rPr>
        <w:t>Banco</w:t>
      </w:r>
      <w:r w:rsidRPr="0065012D">
        <w:rPr>
          <w:rFonts w:ascii="Arial" w:hAnsi="Arial" w:cs="Arial"/>
          <w:sz w:val="20"/>
          <w:lang w:val="es-ES_tradnl"/>
        </w:rPr>
        <w:t xml:space="preserve"> para la preparación de los estados financieros anuales, excepto por lo descripto en Nota 1.1.4.</w:t>
      </w:r>
    </w:p>
    <w:p w14:paraId="7D9185E1" w14:textId="77777777" w:rsidR="00C17696" w:rsidRPr="00C17696" w:rsidRDefault="00C17696" w:rsidP="00C17696">
      <w:pPr>
        <w:pStyle w:val="Ttulonota"/>
        <w:tabs>
          <w:tab w:val="left" w:pos="426"/>
          <w:tab w:val="left" w:pos="993"/>
        </w:tabs>
        <w:rPr>
          <w:rFonts w:ascii="Arial" w:hAnsi="Arial" w:cs="Arial"/>
          <w:b w:val="0"/>
          <w:bCs/>
          <w:sz w:val="20"/>
        </w:rPr>
      </w:pPr>
    </w:p>
    <w:p w14:paraId="2C0466AC" w14:textId="21A76B58" w:rsidR="003A5206" w:rsidRPr="00C17696" w:rsidRDefault="003A5206" w:rsidP="00C17696">
      <w:pPr>
        <w:pStyle w:val="Ttulonota"/>
        <w:tabs>
          <w:tab w:val="left" w:pos="426"/>
          <w:tab w:val="left" w:pos="993"/>
        </w:tabs>
        <w:rPr>
          <w:rFonts w:ascii="Arial" w:hAnsi="Arial" w:cs="Arial"/>
          <w:b w:val="0"/>
          <w:bCs/>
          <w:sz w:val="20"/>
        </w:rPr>
      </w:pPr>
      <w:r w:rsidRPr="003A5206">
        <w:rPr>
          <w:rFonts w:ascii="Arial" w:hAnsi="Arial" w:cs="Arial"/>
          <w:b w:val="0"/>
          <w:sz w:val="20"/>
        </w:rPr>
        <w:t xml:space="preserve">La preparación de estados financieros requiere que el </w:t>
      </w:r>
      <w:r>
        <w:rPr>
          <w:rFonts w:ascii="Arial" w:hAnsi="Arial" w:cs="Arial"/>
          <w:b w:val="0"/>
          <w:sz w:val="20"/>
        </w:rPr>
        <w:t xml:space="preserve">Banco </w:t>
      </w:r>
      <w:r w:rsidRPr="003A5206">
        <w:rPr>
          <w:rFonts w:ascii="Arial" w:hAnsi="Arial" w:cs="Arial"/>
          <w:b w:val="0"/>
          <w:sz w:val="20"/>
        </w:rPr>
        <w:t>realice estimaciones y evaluaciones que afectan el monto de los activos y pasivos registrados, y la revelación de contingencias, como así también los ingresos y egresos registrados en el período. En este sentido, se realizan estimaciones para calcular, por ejemplo, las previsiones por riesgo de crédito, las vidas útiles de los bienes de propiedad, planta y equipo, las depreciaciones y amortizaciones, el valor recuperable de los activos, el cargo por impuesto a las ganancias y el valor razonable de ciertos instrumentos financieros. Los resultados reales futuros pueden diferir de las estimaciones y evaluaciones realizadas a la fecha de preparación de los presentes estados financieros condensados intermedios separados.</w:t>
      </w:r>
    </w:p>
    <w:p w14:paraId="2CCE4B67" w14:textId="77777777" w:rsidR="00C17696" w:rsidRPr="00C17696" w:rsidRDefault="00C17696" w:rsidP="00C17696">
      <w:pPr>
        <w:pStyle w:val="Ttulonota"/>
        <w:tabs>
          <w:tab w:val="left" w:pos="426"/>
          <w:tab w:val="left" w:pos="993"/>
        </w:tabs>
        <w:rPr>
          <w:rFonts w:ascii="Arial" w:hAnsi="Arial" w:cs="Arial"/>
          <w:b w:val="0"/>
          <w:bCs/>
          <w:sz w:val="20"/>
        </w:rPr>
      </w:pPr>
    </w:p>
    <w:p w14:paraId="0C99017C" w14:textId="48D9FA1E" w:rsidR="003A5206" w:rsidRPr="00C17696" w:rsidRDefault="00C17696" w:rsidP="00C17696">
      <w:pPr>
        <w:pStyle w:val="Ttulonota"/>
        <w:tabs>
          <w:tab w:val="left" w:pos="426"/>
          <w:tab w:val="left" w:pos="993"/>
        </w:tabs>
        <w:rPr>
          <w:rFonts w:ascii="Arial" w:hAnsi="Arial" w:cs="Arial"/>
          <w:b w:val="0"/>
          <w:bCs/>
          <w:sz w:val="20"/>
        </w:rPr>
      </w:pPr>
      <w:bookmarkStart w:id="9" w:name="_Hlk41479272"/>
      <w:r w:rsidRPr="00C17696">
        <w:rPr>
          <w:rFonts w:ascii="Arial" w:hAnsi="Arial" w:cs="Arial"/>
          <w:b w:val="0"/>
          <w:sz w:val="20"/>
        </w:rPr>
        <w:t xml:space="preserve">A la fecha de emisión de los presentes estados financieros, los mismos se encuentran pendientes de transcripción al Libro Inventario y Balances.  </w:t>
      </w:r>
    </w:p>
    <w:bookmarkEnd w:id="7"/>
    <w:bookmarkEnd w:id="8"/>
    <w:bookmarkEnd w:id="9"/>
    <w:p w14:paraId="3AE27C96" w14:textId="77777777" w:rsidR="00F75221" w:rsidRDefault="00F75221" w:rsidP="00A74911">
      <w:pPr>
        <w:pStyle w:val="Ttulonota"/>
        <w:tabs>
          <w:tab w:val="left" w:pos="426"/>
          <w:tab w:val="left" w:pos="993"/>
        </w:tabs>
        <w:rPr>
          <w:rFonts w:eastAsia="Calibri"/>
        </w:rPr>
      </w:pPr>
    </w:p>
    <w:p w14:paraId="30C645E6" w14:textId="6841C714" w:rsidR="00656DBB" w:rsidRPr="002E1AF6" w:rsidRDefault="009F415F" w:rsidP="002E1AF6">
      <w:pPr>
        <w:pStyle w:val="ListParagraph"/>
        <w:numPr>
          <w:ilvl w:val="2"/>
          <w:numId w:val="63"/>
        </w:numPr>
        <w:spacing w:after="160" w:line="259" w:lineRule="auto"/>
        <w:contextualSpacing/>
        <w:jc w:val="both"/>
        <w:rPr>
          <w:rFonts w:ascii="Arial" w:eastAsia="Arial" w:hAnsi="Arial" w:cs="Arial"/>
          <w:b/>
          <w:sz w:val="20"/>
        </w:rPr>
      </w:pPr>
      <w:r w:rsidRPr="002E1AF6">
        <w:rPr>
          <w:rFonts w:ascii="Arial" w:eastAsia="Arial" w:hAnsi="Arial" w:cs="Arial"/>
          <w:b/>
          <w:sz w:val="20"/>
        </w:rPr>
        <w:t>Empresa</w:t>
      </w:r>
      <w:r w:rsidR="00656DBB" w:rsidRPr="002E1AF6">
        <w:rPr>
          <w:rFonts w:ascii="Arial" w:eastAsia="Arial" w:hAnsi="Arial" w:cs="Arial"/>
          <w:b/>
          <w:sz w:val="20"/>
        </w:rPr>
        <w:t xml:space="preserve"> en marcha </w:t>
      </w:r>
    </w:p>
    <w:p w14:paraId="7EB8E493" w14:textId="77777777" w:rsidR="009F415F" w:rsidRPr="002E1AF6" w:rsidRDefault="009F415F" w:rsidP="002E1AF6">
      <w:pPr>
        <w:pStyle w:val="ListParagraph"/>
        <w:spacing w:after="160" w:line="259" w:lineRule="auto"/>
        <w:contextualSpacing/>
        <w:jc w:val="both"/>
        <w:rPr>
          <w:rFonts w:ascii="Arial" w:eastAsia="Arial" w:hAnsi="Arial" w:cs="Arial"/>
          <w:b/>
          <w:sz w:val="20"/>
        </w:rPr>
      </w:pPr>
    </w:p>
    <w:p w14:paraId="37B94EAE" w14:textId="6BF1523B" w:rsidR="00F9058F" w:rsidRDefault="0038082D" w:rsidP="009F415F">
      <w:pPr>
        <w:jc w:val="both"/>
        <w:rPr>
          <w:rFonts w:ascii="Arial" w:eastAsia="Arial" w:hAnsi="Arial" w:cs="Arial"/>
          <w:sz w:val="20"/>
        </w:rPr>
      </w:pPr>
      <w:r w:rsidRPr="00BA7A6B">
        <w:rPr>
          <w:rFonts w:ascii="Arial" w:eastAsia="Arial" w:hAnsi="Arial" w:cs="Arial"/>
          <w:sz w:val="20"/>
        </w:rPr>
        <w:t>A la fecha de los presentes estados financieros condensados intermedios consolidados, no existen incertidumbres respecto a sucesos o condiciones que puedan aportar dudas sobre la posibilidad de que el Grupo continúe operando normalmente como empresa en marcha</w:t>
      </w:r>
      <w:r w:rsidR="00F9058F">
        <w:rPr>
          <w:rFonts w:ascii="Arial" w:eastAsia="Arial" w:hAnsi="Arial" w:cs="Arial"/>
          <w:sz w:val="20"/>
        </w:rPr>
        <w:t>.</w:t>
      </w:r>
    </w:p>
    <w:p w14:paraId="23EC8F0E" w14:textId="4538DC09" w:rsidR="00297B6A" w:rsidRDefault="00297B6A" w:rsidP="009F415F">
      <w:pPr>
        <w:jc w:val="both"/>
        <w:rPr>
          <w:rFonts w:ascii="Arial" w:eastAsia="Arial" w:hAnsi="Arial" w:cs="Arial"/>
          <w:sz w:val="20"/>
        </w:rPr>
      </w:pPr>
    </w:p>
    <w:p w14:paraId="315E17D7" w14:textId="77777777" w:rsidR="00297B6A" w:rsidRDefault="00297B6A" w:rsidP="009F415F">
      <w:pPr>
        <w:jc w:val="both"/>
        <w:rPr>
          <w:rFonts w:ascii="Arial" w:eastAsia="Arial" w:hAnsi="Arial" w:cs="Arial"/>
          <w:sz w:val="20"/>
        </w:rPr>
      </w:pPr>
    </w:p>
    <w:p w14:paraId="7D19A20F" w14:textId="77777777" w:rsidR="00F9058F" w:rsidRDefault="00F9058F" w:rsidP="009F415F">
      <w:pPr>
        <w:jc w:val="both"/>
        <w:rPr>
          <w:rFonts w:ascii="Arial" w:eastAsia="Arial" w:hAnsi="Arial" w:cs="Arial"/>
          <w:sz w:val="20"/>
        </w:rPr>
      </w:pPr>
    </w:p>
    <w:p w14:paraId="73B1621D" w14:textId="38928D8F" w:rsidR="00656DBB" w:rsidRPr="002E1AF6" w:rsidRDefault="00F9058F" w:rsidP="002E1AF6">
      <w:pPr>
        <w:pStyle w:val="ListParagraph"/>
        <w:numPr>
          <w:ilvl w:val="2"/>
          <w:numId w:val="63"/>
        </w:numPr>
        <w:spacing w:after="160" w:line="259" w:lineRule="auto"/>
        <w:contextualSpacing/>
        <w:jc w:val="both"/>
        <w:rPr>
          <w:rFonts w:ascii="Arial" w:eastAsia="Arial" w:hAnsi="Arial" w:cs="Arial"/>
          <w:b/>
          <w:sz w:val="20"/>
        </w:rPr>
      </w:pPr>
      <w:r w:rsidRPr="002E1AF6">
        <w:rPr>
          <w:rFonts w:ascii="Arial" w:eastAsia="Arial" w:hAnsi="Arial" w:cs="Arial"/>
          <w:b/>
          <w:sz w:val="20"/>
        </w:rPr>
        <w:lastRenderedPageBreak/>
        <w:t xml:space="preserve">  </w:t>
      </w:r>
      <w:r w:rsidR="009F415F" w:rsidRPr="002E1AF6">
        <w:rPr>
          <w:rFonts w:ascii="Arial" w:eastAsia="Arial" w:hAnsi="Arial" w:cs="Arial"/>
          <w:b/>
          <w:sz w:val="20"/>
        </w:rPr>
        <w:t>Unidad</w:t>
      </w:r>
      <w:r w:rsidR="00656DBB" w:rsidRPr="002E1AF6">
        <w:rPr>
          <w:rFonts w:ascii="Arial" w:eastAsia="Arial" w:hAnsi="Arial" w:cs="Arial"/>
          <w:b/>
          <w:sz w:val="20"/>
        </w:rPr>
        <w:t xml:space="preserve"> de medida</w:t>
      </w:r>
    </w:p>
    <w:p w14:paraId="5BD15A76" w14:textId="4E433542" w:rsidR="00A74D2F" w:rsidRDefault="00A74D2F" w:rsidP="00656DBB">
      <w:pPr>
        <w:autoSpaceDE w:val="0"/>
        <w:autoSpaceDN w:val="0"/>
        <w:adjustRightInd w:val="0"/>
        <w:jc w:val="both"/>
        <w:rPr>
          <w:rFonts w:ascii="Arial" w:hAnsi="Arial" w:cs="Arial"/>
          <w:sz w:val="20"/>
        </w:rPr>
      </w:pPr>
    </w:p>
    <w:p w14:paraId="7E3E2D0A" w14:textId="62A07263" w:rsidR="0038082D" w:rsidRPr="0038082D" w:rsidRDefault="0038082D" w:rsidP="00656DBB">
      <w:pPr>
        <w:autoSpaceDE w:val="0"/>
        <w:autoSpaceDN w:val="0"/>
        <w:adjustRightInd w:val="0"/>
        <w:jc w:val="both"/>
        <w:rPr>
          <w:rFonts w:ascii="Arial" w:hAnsi="Arial" w:cs="Arial"/>
          <w:sz w:val="20"/>
        </w:rPr>
      </w:pPr>
      <w:r w:rsidRPr="0038082D">
        <w:rPr>
          <w:rFonts w:ascii="Arial" w:hAnsi="Arial" w:cs="Arial"/>
          <w:sz w:val="20"/>
        </w:rPr>
        <w:t>Las cifras expresadas en los presentes estados financieros condensados intermedios se exponen en miles de pesos argentinos, excepto que se indique lo contrario.</w:t>
      </w:r>
    </w:p>
    <w:p w14:paraId="30EAA92E" w14:textId="35691D7B" w:rsidR="0038082D" w:rsidRPr="0038082D" w:rsidRDefault="0038082D" w:rsidP="00656DBB">
      <w:pPr>
        <w:autoSpaceDE w:val="0"/>
        <w:autoSpaceDN w:val="0"/>
        <w:adjustRightInd w:val="0"/>
        <w:jc w:val="both"/>
        <w:rPr>
          <w:rFonts w:ascii="Arial" w:hAnsi="Arial" w:cs="Arial"/>
          <w:sz w:val="20"/>
        </w:rPr>
      </w:pPr>
    </w:p>
    <w:p w14:paraId="10FA8D40" w14:textId="62314F6F" w:rsidR="0038082D" w:rsidRPr="00BA7A6B" w:rsidRDefault="0038082D" w:rsidP="0038082D">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t>Los estados financieros condensados intermedios</w:t>
      </w:r>
      <w:r>
        <w:rPr>
          <w:rFonts w:ascii="Arial" w:hAnsi="Arial" w:cs="Arial"/>
          <w:bCs/>
          <w:sz w:val="20"/>
          <w:lang w:val="es-ES_tradnl"/>
        </w:rPr>
        <w:t xml:space="preserve"> de la Entidad</w:t>
      </w:r>
      <w:r w:rsidRPr="00BA7A6B">
        <w:rPr>
          <w:rFonts w:ascii="Arial" w:hAnsi="Arial" w:cs="Arial"/>
          <w:bCs/>
          <w:sz w:val="20"/>
          <w:lang w:val="es-ES_tradnl"/>
        </w:rPr>
        <w:t xml:space="preserve"> reconocen las variaciones en el poder adquisitivo de la moneda hasta el hasta el 31 de agosto de 1995. A partir de dicha fecha, en base a las condiciones de estabilidad económica prevalecientes y de acuerdo con lo requerido por la Comunicación “A” 2365 del BCRA, las mediciones contables no fueron reexpresadas hasta el 31 de diciembre de 2001. En virtud de la Comunicación “A” 3702 del BCRA, se reanudó la aplicación del método con efectos a partir del 1° de enero de 2002, considerándose las mediciones contables anteriores a esta fecha, expresadas en moneda del 31 diciembre de 2001.</w:t>
      </w:r>
    </w:p>
    <w:p w14:paraId="770982F9" w14:textId="77777777" w:rsidR="0038082D" w:rsidRPr="00BA7A6B" w:rsidRDefault="0038082D" w:rsidP="0038082D">
      <w:pPr>
        <w:autoSpaceDE w:val="0"/>
        <w:autoSpaceDN w:val="0"/>
        <w:adjustRightInd w:val="0"/>
        <w:jc w:val="both"/>
        <w:rPr>
          <w:rFonts w:ascii="Arial" w:hAnsi="Arial" w:cs="Arial"/>
          <w:bCs/>
          <w:sz w:val="20"/>
          <w:lang w:val="es-ES_tradnl"/>
        </w:rPr>
      </w:pPr>
    </w:p>
    <w:p w14:paraId="42F28989" w14:textId="5DCACB35" w:rsidR="0038082D" w:rsidRPr="00BA7A6B" w:rsidRDefault="0038082D" w:rsidP="0038082D">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t>Mediante la Comunicación “A” 3921 del BCRA, en cumplimiento de lo dispuesto por el Decreto 664/03 del Poder Ejecutivo Nacional, se discontinuó la aplicación del método de reexpresión de estados contables en moneda homogénea a partir del 1 de marzo de 2003. Consecuentemente, el Grupo aplicó la mencionada reexpresión hasta el 28 de febrero de 2003.</w:t>
      </w:r>
    </w:p>
    <w:p w14:paraId="6D932901" w14:textId="77777777" w:rsidR="0038082D" w:rsidRPr="00BA7A6B" w:rsidRDefault="0038082D" w:rsidP="0038082D">
      <w:pPr>
        <w:autoSpaceDE w:val="0"/>
        <w:autoSpaceDN w:val="0"/>
        <w:adjustRightInd w:val="0"/>
        <w:jc w:val="both"/>
        <w:rPr>
          <w:rFonts w:ascii="Arial" w:hAnsi="Arial" w:cs="Arial"/>
          <w:bCs/>
          <w:sz w:val="20"/>
          <w:lang w:val="es-ES_tradnl"/>
        </w:rPr>
      </w:pPr>
    </w:p>
    <w:p w14:paraId="6312B4EE" w14:textId="686054CE" w:rsidR="0038082D" w:rsidRPr="00D43DDF" w:rsidRDefault="0038082D" w:rsidP="00656DBB">
      <w:pPr>
        <w:autoSpaceDE w:val="0"/>
        <w:autoSpaceDN w:val="0"/>
        <w:adjustRightInd w:val="0"/>
        <w:jc w:val="both"/>
        <w:rPr>
          <w:rFonts w:ascii="Arial" w:hAnsi="Arial" w:cs="Arial"/>
          <w:sz w:val="20"/>
        </w:rPr>
      </w:pPr>
      <w:r w:rsidRPr="00BA7A6B">
        <w:rPr>
          <w:rFonts w:ascii="Arial" w:hAnsi="Arial" w:cs="Arial"/>
          <w:bCs/>
          <w:sz w:val="20"/>
          <w:lang w:val="es-ES_tradnl"/>
        </w:rPr>
        <w:t>A su vez, la Ley N° 27.468 (B.O. 04/12/2018) modificó el artículo 10° de la Ley N° 23.928 y sus modificatorias, estableciendo que la derogación de todas las normas legales o reglamentarias que establecen o autorizan la indexación por precios, actualización monetaria, variación de costos o cualquier otra forma de repotenciación de las deudas, impuestos, precios o tarifas de los bienes, obras o servicios, no comprende a los estados financieros, respecto de los cuales continuará siendo de aplicación lo dispuesto en el artículo 62 in fine de la Ley General de Sociedades N° 19.550 (T.O. 1984) y sus modificatorias. Asimismo, el mencionado cuerpo legal dispuso la derogación del Decreto Nº 1269/2002 del 16 de julio de 2002 y sus modificatorios y delegó en el Poder Ejecutivo Nacional (PEN), a través de sus organismos de contralor, establecer la fecha a partir de la cual surtieron efecto las disposiciones</w:t>
      </w:r>
      <w:r w:rsidRPr="00BA7A6B">
        <w:rPr>
          <w:rFonts w:ascii="Arial" w:hAnsi="Arial" w:cs="Arial"/>
          <w:sz w:val="20"/>
        </w:rPr>
        <w:t xml:space="preserve"> citadas en relación con los estados financieros que les sean presentados. Por lo tanto, el BCRA, con fecha 22 de febrero de 2019, emitió la Comunicación “A” 6651 a través de la cual dispuso que a partir del 1 de enero de 2020, los estados financieros se confeccionan en moneda constante. Por lo tanto, los presentes estados financieros condensados intermedios al 31.03.2020 han sido reexpresados.</w:t>
      </w:r>
    </w:p>
    <w:p w14:paraId="23CBC75E" w14:textId="5BAC26E8" w:rsidR="00AB5D01" w:rsidRDefault="00AB5D01" w:rsidP="00A06BE9">
      <w:pPr>
        <w:autoSpaceDE w:val="0"/>
        <w:autoSpaceDN w:val="0"/>
        <w:adjustRightInd w:val="0"/>
        <w:jc w:val="both"/>
        <w:rPr>
          <w:rFonts w:ascii="Arial" w:hAnsi="Arial" w:cs="Arial"/>
          <w:sz w:val="20"/>
        </w:rPr>
      </w:pPr>
    </w:p>
    <w:p w14:paraId="765D703D" w14:textId="77777777" w:rsidR="00AB5D01" w:rsidRDefault="00AB5D01" w:rsidP="00A06BE9">
      <w:pPr>
        <w:autoSpaceDE w:val="0"/>
        <w:autoSpaceDN w:val="0"/>
        <w:adjustRightInd w:val="0"/>
        <w:jc w:val="both"/>
        <w:rPr>
          <w:rFonts w:ascii="Arial" w:hAnsi="Arial" w:cs="Arial"/>
          <w:sz w:val="20"/>
        </w:rPr>
      </w:pPr>
    </w:p>
    <w:p w14:paraId="60860CED" w14:textId="361CD5D2" w:rsidR="0038082D" w:rsidRPr="002E1AF6" w:rsidRDefault="0038082D" w:rsidP="002E1AF6">
      <w:pPr>
        <w:pStyle w:val="ListParagraph"/>
        <w:numPr>
          <w:ilvl w:val="2"/>
          <w:numId w:val="63"/>
        </w:numPr>
        <w:rPr>
          <w:rFonts w:ascii="Arial" w:hAnsi="Arial" w:cs="Arial"/>
          <w:b/>
          <w:sz w:val="20"/>
        </w:rPr>
      </w:pPr>
      <w:r w:rsidRPr="002E1AF6">
        <w:rPr>
          <w:rFonts w:ascii="Arial" w:hAnsi="Arial" w:cs="Arial"/>
          <w:b/>
          <w:sz w:val="20"/>
        </w:rPr>
        <w:t>Información comparativa</w:t>
      </w:r>
    </w:p>
    <w:p w14:paraId="205D663A" w14:textId="36A76295" w:rsidR="0038082D" w:rsidRDefault="0038082D" w:rsidP="0038082D">
      <w:pPr>
        <w:autoSpaceDE w:val="0"/>
        <w:autoSpaceDN w:val="0"/>
        <w:adjustRightInd w:val="0"/>
        <w:jc w:val="both"/>
        <w:rPr>
          <w:rFonts w:ascii="Arial" w:hAnsi="Arial" w:cs="Arial"/>
          <w:b/>
          <w:sz w:val="20"/>
        </w:rPr>
      </w:pPr>
    </w:p>
    <w:p w14:paraId="538E166F" w14:textId="77777777" w:rsidR="0038082D" w:rsidRPr="00BA7A6B" w:rsidRDefault="0038082D" w:rsidP="0038082D">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t xml:space="preserve">La información contenida en los presentes estados financieros condensados intermedios y en las notas referidas al 31 de diciembre de 2019 y al 31 de marzo de 2019 que se encontraba elaborada con las normas en vigor en el ejercicio 2019 se presenta, exclusivamente, a efectos comparativos con la información relativa al 31 de marzo de 2020. </w:t>
      </w:r>
    </w:p>
    <w:p w14:paraId="0CFF74B2" w14:textId="77777777" w:rsidR="0038082D" w:rsidRPr="00BA7A6B" w:rsidRDefault="0038082D" w:rsidP="0038082D">
      <w:pPr>
        <w:autoSpaceDE w:val="0"/>
        <w:autoSpaceDN w:val="0"/>
        <w:adjustRightInd w:val="0"/>
        <w:ind w:left="586"/>
        <w:jc w:val="both"/>
        <w:rPr>
          <w:rFonts w:ascii="Arial" w:hAnsi="Arial" w:cs="Arial"/>
          <w:bCs/>
          <w:sz w:val="20"/>
          <w:lang w:val="es-ES_tradnl"/>
        </w:rPr>
      </w:pPr>
    </w:p>
    <w:p w14:paraId="3F2C985F" w14:textId="4F23A62E" w:rsidR="0038082D" w:rsidRPr="00BA7A6B" w:rsidRDefault="0038082D" w:rsidP="0038082D">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lastRenderedPageBreak/>
        <w:t xml:space="preserve">Cabe señalar que, dada la exigencia de aplicación retroactiva, establecida por el BCRA a través de su Comunicación “A” 6778, del modelo de deterioro previsto en el punto 5.5 de la NIIF 9 con la exclusión transitoria de los instrumentos de deuda del Sector Público no Financiero y la reexpresión de los estados financieros de acuerdo con la NIC 29, </w:t>
      </w:r>
      <w:r w:rsidR="009F415F">
        <w:rPr>
          <w:rFonts w:ascii="Arial" w:hAnsi="Arial" w:cs="Arial"/>
          <w:bCs/>
          <w:sz w:val="20"/>
          <w:lang w:val="es-ES_tradnl"/>
        </w:rPr>
        <w:t>el Banco</w:t>
      </w:r>
      <w:r w:rsidRPr="00BA7A6B">
        <w:rPr>
          <w:rFonts w:ascii="Arial" w:hAnsi="Arial" w:cs="Arial"/>
          <w:bCs/>
          <w:sz w:val="20"/>
          <w:lang w:val="es-ES_tradnl"/>
        </w:rPr>
        <w:t xml:space="preserve"> procede a:</w:t>
      </w:r>
    </w:p>
    <w:p w14:paraId="2CDE47D5" w14:textId="77777777" w:rsidR="0038082D" w:rsidRPr="00BA7A6B" w:rsidRDefault="0038082D" w:rsidP="0038082D">
      <w:pPr>
        <w:autoSpaceDE w:val="0"/>
        <w:autoSpaceDN w:val="0"/>
        <w:adjustRightInd w:val="0"/>
        <w:ind w:left="586"/>
        <w:jc w:val="both"/>
        <w:rPr>
          <w:rFonts w:ascii="Arial" w:hAnsi="Arial" w:cs="Arial"/>
          <w:bCs/>
          <w:sz w:val="20"/>
          <w:lang w:val="es-ES_tradnl"/>
        </w:rPr>
      </w:pPr>
      <w:r w:rsidRPr="00BA7A6B">
        <w:rPr>
          <w:rFonts w:ascii="Arial" w:hAnsi="Arial" w:cs="Arial"/>
          <w:bCs/>
          <w:sz w:val="20"/>
          <w:lang w:val="es-ES_tradnl"/>
        </w:rPr>
        <w:t xml:space="preserve"> </w:t>
      </w:r>
    </w:p>
    <w:p w14:paraId="66768F9E" w14:textId="77777777" w:rsidR="0038082D" w:rsidRPr="00BA7A6B" w:rsidRDefault="0038082D" w:rsidP="0038082D">
      <w:pPr>
        <w:pStyle w:val="ListParagraph"/>
        <w:numPr>
          <w:ilvl w:val="0"/>
          <w:numId w:val="47"/>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reexpresar retroactivamente las cifras del Estado de Situación Financiera al 31 de diciembre de 2019 a efectos de presentarlas como si las nuevas políticas contables se hubieran aplicado desde el 1 de enero de 2019, y</w:t>
      </w:r>
    </w:p>
    <w:p w14:paraId="6D70870C" w14:textId="77777777" w:rsidR="0038082D" w:rsidRPr="00BA7A6B" w:rsidRDefault="0038082D" w:rsidP="0038082D">
      <w:pPr>
        <w:pStyle w:val="ListParagraph"/>
        <w:numPr>
          <w:ilvl w:val="0"/>
          <w:numId w:val="47"/>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reexpresar retroactivamente las cifras del Estado de Resultados, Estado Otros Resultados Integrales y Estado de Cambios en el Patrimonio al 31 de marzo de 2019 a efectos de presentarlas como si las nuevas políticas contables se hubieran aplicado desde el 1 de enero de 2019.</w:t>
      </w:r>
    </w:p>
    <w:p w14:paraId="27E5B718" w14:textId="77777777" w:rsidR="0038082D" w:rsidRPr="00BA7A6B" w:rsidRDefault="0038082D" w:rsidP="00BA7A6B">
      <w:pPr>
        <w:autoSpaceDE w:val="0"/>
        <w:autoSpaceDN w:val="0"/>
        <w:adjustRightInd w:val="0"/>
        <w:jc w:val="both"/>
        <w:rPr>
          <w:rFonts w:ascii="Arial" w:hAnsi="Arial" w:cs="Arial"/>
          <w:b/>
          <w:sz w:val="20"/>
        </w:rPr>
      </w:pPr>
    </w:p>
    <w:p w14:paraId="51EE8DE0" w14:textId="0A229C62" w:rsidR="0038082D" w:rsidRPr="002E1AF6" w:rsidRDefault="0038082D" w:rsidP="002E1AF6">
      <w:pPr>
        <w:pStyle w:val="ListParagraph"/>
        <w:numPr>
          <w:ilvl w:val="2"/>
          <w:numId w:val="63"/>
        </w:numPr>
        <w:rPr>
          <w:rFonts w:ascii="Arial" w:hAnsi="Arial" w:cs="Arial"/>
          <w:b/>
          <w:sz w:val="20"/>
        </w:rPr>
      </w:pPr>
      <w:r w:rsidRPr="002E1AF6">
        <w:rPr>
          <w:rFonts w:ascii="Arial" w:hAnsi="Arial" w:cs="Arial"/>
          <w:b/>
          <w:sz w:val="20"/>
        </w:rPr>
        <w:t>Cambios en políticas contables o nuevas normas contables</w:t>
      </w:r>
    </w:p>
    <w:p w14:paraId="6CCE4885" w14:textId="0B4E1FBE" w:rsidR="0038082D" w:rsidRDefault="0038082D" w:rsidP="0038082D">
      <w:pPr>
        <w:pStyle w:val="ListParagraph"/>
        <w:autoSpaceDE w:val="0"/>
        <w:autoSpaceDN w:val="0"/>
        <w:adjustRightInd w:val="0"/>
        <w:ind w:left="360"/>
        <w:jc w:val="both"/>
        <w:rPr>
          <w:rFonts w:ascii="Arial" w:hAnsi="Arial" w:cs="Arial"/>
          <w:b/>
          <w:sz w:val="20"/>
        </w:rPr>
      </w:pPr>
    </w:p>
    <w:p w14:paraId="508A7D29" w14:textId="610A3162" w:rsidR="00C41803" w:rsidRPr="00C17696" w:rsidRDefault="0038082D" w:rsidP="00C17696">
      <w:pPr>
        <w:pStyle w:val="ListParagraph"/>
        <w:autoSpaceDE w:val="0"/>
        <w:autoSpaceDN w:val="0"/>
        <w:adjustRightInd w:val="0"/>
        <w:ind w:left="360"/>
        <w:jc w:val="both"/>
        <w:rPr>
          <w:rFonts w:ascii="Arial" w:hAnsi="Arial" w:cs="Arial"/>
          <w:sz w:val="20"/>
        </w:rPr>
      </w:pPr>
      <w:r w:rsidRPr="00BA7A6B">
        <w:rPr>
          <w:rFonts w:ascii="Arial" w:hAnsi="Arial" w:cs="Arial"/>
          <w:sz w:val="20"/>
        </w:rPr>
        <w:t>A medida que se aprueben nuevas NIIF, modificaciones o derogación de las vigentes y, una vez que estos cambios sean adoptados a través de Circulares de Adopción de la Federación Argentina de Consejos Profesionales en Ciencias Económicas (FACPCE), el BCRA se expedirá acerca de su aprobación para las entidades financieras. Con carácter general, no se admitirá la aplicación anticipada de ninguna NIIF, a menos que en oportunidad de adoptarse, se defina específicamente.</w:t>
      </w:r>
    </w:p>
    <w:p w14:paraId="73102BF2" w14:textId="77777777" w:rsidR="00C41803" w:rsidRPr="00BA7A6B" w:rsidRDefault="00C41803" w:rsidP="0038082D">
      <w:pPr>
        <w:pStyle w:val="ListParagraph"/>
        <w:autoSpaceDE w:val="0"/>
        <w:autoSpaceDN w:val="0"/>
        <w:adjustRightInd w:val="0"/>
        <w:ind w:left="360"/>
        <w:jc w:val="both"/>
        <w:rPr>
          <w:rFonts w:ascii="Arial" w:hAnsi="Arial" w:cs="Arial"/>
          <w:sz w:val="20"/>
        </w:rPr>
      </w:pPr>
    </w:p>
    <w:p w14:paraId="4F24854D" w14:textId="147DC2DF" w:rsidR="0038082D" w:rsidRPr="00BA7A6B" w:rsidRDefault="0038082D" w:rsidP="0038082D">
      <w:pPr>
        <w:pStyle w:val="ListParagraph"/>
        <w:autoSpaceDE w:val="0"/>
        <w:autoSpaceDN w:val="0"/>
        <w:adjustRightInd w:val="0"/>
        <w:ind w:left="360"/>
        <w:jc w:val="both"/>
        <w:rPr>
          <w:rFonts w:ascii="Arial" w:hAnsi="Arial" w:cs="Arial"/>
          <w:sz w:val="20"/>
        </w:rPr>
      </w:pPr>
      <w:r w:rsidRPr="00BA7A6B">
        <w:rPr>
          <w:rFonts w:ascii="Arial" w:hAnsi="Arial" w:cs="Arial"/>
          <w:sz w:val="20"/>
        </w:rPr>
        <w:t>Se exponen a continuación los cambios introducidos durante el trimestre finalizado al 31 de marzo de 2020:</w:t>
      </w:r>
    </w:p>
    <w:p w14:paraId="6A4BF68E" w14:textId="7F3E941A" w:rsidR="0038082D" w:rsidRDefault="0038082D" w:rsidP="0038082D">
      <w:pPr>
        <w:pStyle w:val="ListParagraph"/>
        <w:autoSpaceDE w:val="0"/>
        <w:autoSpaceDN w:val="0"/>
        <w:adjustRightInd w:val="0"/>
        <w:ind w:left="360"/>
        <w:jc w:val="both"/>
        <w:rPr>
          <w:rFonts w:ascii="Arial" w:hAnsi="Arial" w:cs="Arial"/>
          <w:b/>
          <w:sz w:val="20"/>
        </w:rPr>
      </w:pPr>
    </w:p>
    <w:p w14:paraId="5CF2F15C" w14:textId="7356C0B4" w:rsidR="004E486E" w:rsidRPr="002E1AF6" w:rsidRDefault="004E486E" w:rsidP="002E1AF6">
      <w:pPr>
        <w:pStyle w:val="ListParagraph"/>
        <w:numPr>
          <w:ilvl w:val="0"/>
          <w:numId w:val="64"/>
        </w:numPr>
        <w:spacing w:after="160" w:line="259" w:lineRule="auto"/>
        <w:contextualSpacing/>
        <w:jc w:val="both"/>
        <w:rPr>
          <w:rFonts w:ascii="Arial" w:hAnsi="Arial" w:cs="Arial"/>
          <w:bCs/>
          <w:sz w:val="20"/>
          <w:lang w:val="es-ES_tradnl"/>
        </w:rPr>
      </w:pPr>
      <w:r w:rsidRPr="002E1AF6">
        <w:rPr>
          <w:rFonts w:ascii="Arial" w:hAnsi="Arial" w:cs="Arial"/>
          <w:b/>
          <w:sz w:val="20"/>
        </w:rPr>
        <w:t xml:space="preserve">Deterioro de valor de activos financieros </w:t>
      </w:r>
    </w:p>
    <w:p w14:paraId="1EC4A694" w14:textId="46D0F401" w:rsidR="0038082D" w:rsidRDefault="0038082D" w:rsidP="0038082D">
      <w:pPr>
        <w:pStyle w:val="ListParagraph"/>
        <w:autoSpaceDE w:val="0"/>
        <w:autoSpaceDN w:val="0"/>
        <w:adjustRightInd w:val="0"/>
        <w:ind w:left="360"/>
        <w:jc w:val="both"/>
        <w:rPr>
          <w:rFonts w:ascii="Arial" w:hAnsi="Arial" w:cs="Arial"/>
          <w:b/>
          <w:sz w:val="20"/>
          <w:lang w:val="es-ES_tradnl"/>
        </w:rPr>
      </w:pPr>
    </w:p>
    <w:p w14:paraId="0DAD028D" w14:textId="77777777" w:rsidR="00F9058F" w:rsidRPr="00F9058F" w:rsidRDefault="00F9058F" w:rsidP="00F9058F">
      <w:pPr>
        <w:pStyle w:val="ListParagraph"/>
        <w:autoSpaceDE w:val="0"/>
        <w:autoSpaceDN w:val="0"/>
        <w:adjustRightInd w:val="0"/>
        <w:ind w:left="360"/>
        <w:jc w:val="both"/>
        <w:rPr>
          <w:rFonts w:ascii="Arial" w:hAnsi="Arial" w:cs="Arial"/>
          <w:bCs/>
          <w:sz w:val="20"/>
          <w:lang w:val="es-ES_tradnl"/>
        </w:rPr>
      </w:pPr>
      <w:r w:rsidRPr="00F9058F">
        <w:rPr>
          <w:rFonts w:ascii="Arial" w:hAnsi="Arial" w:cs="Arial"/>
          <w:bCs/>
          <w:sz w:val="20"/>
          <w:lang w:val="es-ES_tradnl"/>
        </w:rPr>
        <w:t xml:space="preserve">Mediante las Comunicaciones “A” 6430 y 6847, el B.C.R.A. estableció que las Entidades Financieras deberán comenzar a aplicar las disposiciones en materia de deterioro de activos financieros, contenidas en el punto 5.5 de la NIIF 9, a partir de los ejercicios iniciados el 1 de enero de 2020, con la excepción de los instrumentos de deuda del Sector Público no Financiero, los cuales serán excluidos transitoriamente del alcance de dichas disposiciones. Adicionalmente, la Comunicación “A” 6990 del B.C.R.A. dispuso la postergación de la aplicación del punto mencionado para las Empresas “B” hasta el 1 de enero de 2021, categoría que integra Cordial Compañía Financiera S.A., con lo cual las previsiones de la mencionada Entidad se mantienen bajo la normativa de previsiones mínimas del B.C.R.A. </w:t>
      </w:r>
    </w:p>
    <w:p w14:paraId="41479E0F" w14:textId="77777777" w:rsidR="00F9058F" w:rsidRPr="00F9058F" w:rsidRDefault="00F9058F" w:rsidP="00F9058F">
      <w:pPr>
        <w:pStyle w:val="ListParagraph"/>
        <w:autoSpaceDE w:val="0"/>
        <w:autoSpaceDN w:val="0"/>
        <w:adjustRightInd w:val="0"/>
        <w:ind w:left="360"/>
        <w:jc w:val="both"/>
        <w:rPr>
          <w:rFonts w:ascii="Arial" w:hAnsi="Arial" w:cs="Arial"/>
          <w:bCs/>
          <w:sz w:val="20"/>
          <w:lang w:val="es-ES_tradnl"/>
        </w:rPr>
      </w:pPr>
    </w:p>
    <w:p w14:paraId="29B416D1" w14:textId="602A75AD" w:rsidR="00F9058F" w:rsidRDefault="00F9058F" w:rsidP="00F9058F">
      <w:pPr>
        <w:jc w:val="both"/>
        <w:rPr>
          <w:rFonts w:ascii="Arial" w:hAnsi="Arial" w:cs="Arial"/>
          <w:bCs/>
          <w:sz w:val="20"/>
          <w:lang w:val="es-ES_tradnl"/>
        </w:rPr>
      </w:pPr>
      <w:r w:rsidRPr="00F9058F">
        <w:rPr>
          <w:rFonts w:ascii="Arial" w:hAnsi="Arial" w:cs="Arial"/>
          <w:bCs/>
          <w:sz w:val="20"/>
          <w:lang w:val="es-ES_tradnl"/>
        </w:rPr>
        <w:t xml:space="preserve">De aplicarse el modelo de deterioro previsto en el punto 5.5 de la NIIF 9, se hubiese registrado en el patrimonio </w:t>
      </w:r>
      <w:r>
        <w:rPr>
          <w:rFonts w:ascii="Arial" w:hAnsi="Arial" w:cs="Arial"/>
          <w:bCs/>
          <w:sz w:val="20"/>
          <w:lang w:val="es-ES_tradnl"/>
        </w:rPr>
        <w:t>de la Entidad</w:t>
      </w:r>
      <w:r w:rsidRPr="00F9058F">
        <w:rPr>
          <w:rFonts w:ascii="Arial" w:hAnsi="Arial" w:cs="Arial"/>
          <w:bCs/>
          <w:sz w:val="20"/>
          <w:lang w:val="es-ES_tradnl"/>
        </w:rPr>
        <w:t xml:space="preserve"> una reducción aproximada de </w:t>
      </w:r>
      <w:r>
        <w:rPr>
          <w:rFonts w:ascii="Arial" w:hAnsi="Arial" w:cs="Arial"/>
          <w:bCs/>
          <w:sz w:val="20"/>
          <w:lang w:val="es-ES_tradnl"/>
        </w:rPr>
        <w:t xml:space="preserve">332,4 </w:t>
      </w:r>
      <w:r w:rsidRPr="00F9058F">
        <w:rPr>
          <w:rFonts w:ascii="Arial" w:hAnsi="Arial" w:cs="Arial"/>
          <w:bCs/>
          <w:sz w:val="20"/>
          <w:lang w:val="es-ES_tradnl"/>
        </w:rPr>
        <w:t xml:space="preserve">millones y </w:t>
      </w:r>
      <w:r>
        <w:rPr>
          <w:rFonts w:ascii="Arial" w:hAnsi="Arial" w:cs="Arial"/>
          <w:bCs/>
          <w:sz w:val="20"/>
          <w:lang w:val="es-ES_tradnl"/>
        </w:rPr>
        <w:t>420,3</w:t>
      </w:r>
      <w:r w:rsidRPr="00F9058F">
        <w:rPr>
          <w:rFonts w:ascii="Arial" w:hAnsi="Arial" w:cs="Arial"/>
          <w:bCs/>
          <w:sz w:val="20"/>
          <w:lang w:val="es-ES_tradnl"/>
        </w:rPr>
        <w:t xml:space="preserve"> millones al 31 de marzo de 2020 y 31 de diciembre de 2019, respectivamente.</w:t>
      </w:r>
    </w:p>
    <w:p w14:paraId="2080EC53" w14:textId="01C57364" w:rsidR="00F9058F" w:rsidRDefault="00F9058F" w:rsidP="00F9058F">
      <w:pPr>
        <w:jc w:val="both"/>
        <w:rPr>
          <w:rFonts w:ascii="Arial" w:hAnsi="Arial" w:cs="Arial"/>
          <w:bCs/>
          <w:sz w:val="20"/>
          <w:lang w:val="es-ES_tradnl"/>
        </w:rPr>
      </w:pPr>
    </w:p>
    <w:p w14:paraId="0EE88678" w14:textId="77777777" w:rsidR="00297B6A" w:rsidRDefault="00297B6A" w:rsidP="00F9058F">
      <w:pPr>
        <w:jc w:val="both"/>
        <w:rPr>
          <w:rFonts w:ascii="Arial" w:hAnsi="Arial" w:cs="Arial"/>
          <w:bCs/>
          <w:sz w:val="20"/>
          <w:lang w:val="es-ES_tradnl"/>
        </w:rPr>
      </w:pPr>
    </w:p>
    <w:tbl>
      <w:tblPr>
        <w:tblW w:w="8303" w:type="dxa"/>
        <w:jc w:val="center"/>
        <w:tblCellMar>
          <w:left w:w="70" w:type="dxa"/>
          <w:right w:w="70" w:type="dxa"/>
        </w:tblCellMar>
        <w:tblLook w:val="04A0" w:firstRow="1" w:lastRow="0" w:firstColumn="1" w:lastColumn="0" w:noHBand="0" w:noVBand="1"/>
      </w:tblPr>
      <w:tblGrid>
        <w:gridCol w:w="2547"/>
        <w:gridCol w:w="2878"/>
        <w:gridCol w:w="2878"/>
      </w:tblGrid>
      <w:tr w:rsidR="00F9058F" w:rsidRPr="00185FBB" w14:paraId="22794040" w14:textId="77777777" w:rsidTr="00C17696">
        <w:trPr>
          <w:trHeight w:val="184"/>
          <w:jc w:val="center"/>
        </w:trPr>
        <w:tc>
          <w:tcPr>
            <w:tcW w:w="2547" w:type="dxa"/>
            <w:tcBorders>
              <w:top w:val="single" w:sz="4" w:space="0" w:color="auto"/>
              <w:left w:val="single" w:sz="4" w:space="0" w:color="auto"/>
              <w:bottom w:val="single" w:sz="4" w:space="0" w:color="auto"/>
              <w:right w:val="nil"/>
            </w:tcBorders>
            <w:shd w:val="clear" w:color="auto" w:fill="auto"/>
            <w:noWrap/>
            <w:vAlign w:val="center"/>
            <w:hideMark/>
          </w:tcPr>
          <w:p w14:paraId="7F16D6D3" w14:textId="77777777" w:rsidR="00F9058F" w:rsidRPr="002E1AF6" w:rsidRDefault="00F9058F" w:rsidP="00525609">
            <w:pPr>
              <w:jc w:val="center"/>
              <w:rPr>
                <w:rFonts w:ascii="Arial" w:hAnsi="Arial" w:cs="Arial"/>
                <w:b/>
                <w:bCs/>
                <w:color w:val="000000"/>
                <w:sz w:val="18"/>
                <w:szCs w:val="16"/>
                <w:lang w:eastAsia="es-AR"/>
              </w:rPr>
            </w:pPr>
            <w:bookmarkStart w:id="10" w:name="_Hlk41421266"/>
          </w:p>
        </w:tc>
        <w:tc>
          <w:tcPr>
            <w:tcW w:w="2878" w:type="dxa"/>
            <w:tcBorders>
              <w:top w:val="single" w:sz="4" w:space="0" w:color="auto"/>
              <w:left w:val="nil"/>
              <w:bottom w:val="single" w:sz="4" w:space="0" w:color="auto"/>
              <w:right w:val="nil"/>
            </w:tcBorders>
            <w:shd w:val="clear" w:color="auto" w:fill="auto"/>
            <w:noWrap/>
            <w:vAlign w:val="center"/>
            <w:hideMark/>
          </w:tcPr>
          <w:p w14:paraId="2A3C4EC5" w14:textId="77777777" w:rsidR="00F9058F" w:rsidRPr="002E1AF6" w:rsidRDefault="00F9058F" w:rsidP="00525609">
            <w:pPr>
              <w:jc w:val="center"/>
              <w:rPr>
                <w:rFonts w:ascii="Arial" w:hAnsi="Arial" w:cs="Arial"/>
                <w:b/>
                <w:bCs/>
                <w:color w:val="000000"/>
                <w:sz w:val="18"/>
                <w:szCs w:val="16"/>
                <w:lang w:eastAsia="es-AR"/>
              </w:rPr>
            </w:pPr>
            <w:r w:rsidRPr="002E1AF6">
              <w:rPr>
                <w:rFonts w:ascii="Arial" w:hAnsi="Arial" w:cs="Arial"/>
                <w:b/>
                <w:bCs/>
                <w:color w:val="000000"/>
                <w:sz w:val="18"/>
                <w:szCs w:val="16"/>
                <w:lang w:eastAsia="es-AR"/>
              </w:rPr>
              <w:t>31 de diciembre 2019</w:t>
            </w:r>
          </w:p>
        </w:tc>
        <w:tc>
          <w:tcPr>
            <w:tcW w:w="2878" w:type="dxa"/>
            <w:tcBorders>
              <w:top w:val="single" w:sz="4" w:space="0" w:color="auto"/>
              <w:left w:val="nil"/>
              <w:bottom w:val="single" w:sz="4" w:space="0" w:color="auto"/>
              <w:right w:val="single" w:sz="4" w:space="0" w:color="auto"/>
            </w:tcBorders>
            <w:shd w:val="clear" w:color="auto" w:fill="auto"/>
            <w:noWrap/>
            <w:vAlign w:val="center"/>
            <w:hideMark/>
          </w:tcPr>
          <w:p w14:paraId="66A6A79E" w14:textId="77777777" w:rsidR="00F9058F" w:rsidRPr="002E1AF6" w:rsidRDefault="00F9058F" w:rsidP="00525609">
            <w:pPr>
              <w:jc w:val="center"/>
              <w:rPr>
                <w:rFonts w:ascii="Arial" w:hAnsi="Arial" w:cs="Arial"/>
                <w:b/>
                <w:bCs/>
                <w:color w:val="000000"/>
                <w:sz w:val="18"/>
                <w:szCs w:val="16"/>
                <w:lang w:eastAsia="es-AR"/>
              </w:rPr>
            </w:pPr>
            <w:r w:rsidRPr="002E1AF6">
              <w:rPr>
                <w:rFonts w:ascii="Arial" w:hAnsi="Arial" w:cs="Arial"/>
                <w:b/>
                <w:bCs/>
                <w:color w:val="000000"/>
                <w:sz w:val="18"/>
                <w:szCs w:val="16"/>
                <w:lang w:eastAsia="es-AR"/>
              </w:rPr>
              <w:t>31 de marzo 2020</w:t>
            </w:r>
          </w:p>
        </w:tc>
      </w:tr>
      <w:tr w:rsidR="00F9058F" w:rsidRPr="00185FBB" w14:paraId="7E1A2F7F" w14:textId="77777777" w:rsidTr="00C17696">
        <w:trPr>
          <w:trHeight w:val="184"/>
          <w:jc w:val="center"/>
        </w:trPr>
        <w:tc>
          <w:tcPr>
            <w:tcW w:w="2547" w:type="dxa"/>
            <w:tcBorders>
              <w:top w:val="nil"/>
              <w:left w:val="single" w:sz="4" w:space="0" w:color="auto"/>
              <w:bottom w:val="nil"/>
              <w:right w:val="nil"/>
            </w:tcBorders>
            <w:shd w:val="clear" w:color="auto" w:fill="auto"/>
            <w:noWrap/>
            <w:vAlign w:val="center"/>
            <w:hideMark/>
          </w:tcPr>
          <w:p w14:paraId="20A2A7A6" w14:textId="086C71EC" w:rsidR="00F9058F" w:rsidRPr="002E1AF6" w:rsidRDefault="00C17696" w:rsidP="00525609">
            <w:pPr>
              <w:jc w:val="center"/>
              <w:rPr>
                <w:rFonts w:ascii="Arial" w:hAnsi="Arial" w:cs="Arial"/>
                <w:b/>
                <w:bCs/>
                <w:color w:val="000000"/>
                <w:sz w:val="18"/>
                <w:szCs w:val="16"/>
                <w:lang w:eastAsia="es-AR"/>
              </w:rPr>
            </w:pPr>
            <w:r w:rsidRPr="00C17696">
              <w:rPr>
                <w:rFonts w:ascii="Arial" w:hAnsi="Arial" w:cs="Arial"/>
                <w:b/>
                <w:bCs/>
                <w:color w:val="000000"/>
                <w:sz w:val="18"/>
                <w:szCs w:val="16"/>
                <w:lang w:eastAsia="es-AR"/>
              </w:rPr>
              <w:t>Previsiones registradas en  los estados financieros</w:t>
            </w:r>
          </w:p>
        </w:tc>
        <w:tc>
          <w:tcPr>
            <w:tcW w:w="2878" w:type="dxa"/>
            <w:tcBorders>
              <w:top w:val="nil"/>
              <w:left w:val="nil"/>
              <w:bottom w:val="nil"/>
              <w:right w:val="nil"/>
            </w:tcBorders>
            <w:shd w:val="clear" w:color="auto" w:fill="auto"/>
            <w:noWrap/>
            <w:vAlign w:val="center"/>
            <w:hideMark/>
          </w:tcPr>
          <w:p w14:paraId="1B066153" w14:textId="45E3E96E" w:rsidR="00F9058F" w:rsidRPr="002E1AF6" w:rsidRDefault="00F9058F" w:rsidP="00525609">
            <w:pPr>
              <w:jc w:val="center"/>
              <w:rPr>
                <w:rFonts w:ascii="Arial" w:hAnsi="Arial" w:cs="Arial"/>
                <w:color w:val="000000"/>
                <w:sz w:val="18"/>
                <w:szCs w:val="16"/>
                <w:lang w:eastAsia="es-AR"/>
              </w:rPr>
            </w:pPr>
            <w:r w:rsidRPr="002E1AF6">
              <w:rPr>
                <w:rFonts w:ascii="Arial" w:hAnsi="Arial" w:cs="Arial"/>
                <w:color w:val="000000"/>
                <w:sz w:val="18"/>
                <w:szCs w:val="16"/>
              </w:rPr>
              <w:t>5.031.995</w:t>
            </w:r>
          </w:p>
        </w:tc>
        <w:tc>
          <w:tcPr>
            <w:tcW w:w="2878" w:type="dxa"/>
            <w:tcBorders>
              <w:top w:val="nil"/>
              <w:left w:val="nil"/>
              <w:bottom w:val="nil"/>
              <w:right w:val="single" w:sz="4" w:space="0" w:color="auto"/>
            </w:tcBorders>
            <w:shd w:val="clear" w:color="auto" w:fill="auto"/>
            <w:noWrap/>
            <w:vAlign w:val="center"/>
            <w:hideMark/>
          </w:tcPr>
          <w:p w14:paraId="5ED074B5" w14:textId="4801CDB1" w:rsidR="00F9058F" w:rsidRPr="002E1AF6" w:rsidRDefault="00F9058F" w:rsidP="00525609">
            <w:pPr>
              <w:jc w:val="center"/>
              <w:rPr>
                <w:rFonts w:ascii="Arial" w:hAnsi="Arial" w:cs="Arial"/>
                <w:color w:val="000000"/>
                <w:sz w:val="18"/>
                <w:szCs w:val="16"/>
                <w:lang w:eastAsia="es-AR"/>
              </w:rPr>
            </w:pPr>
            <w:r w:rsidRPr="002E1AF6">
              <w:rPr>
                <w:rFonts w:ascii="Arial" w:hAnsi="Arial" w:cs="Arial"/>
                <w:color w:val="000000"/>
                <w:sz w:val="18"/>
                <w:szCs w:val="16"/>
                <w:lang w:eastAsia="es-AR"/>
              </w:rPr>
              <w:t>5.402.176</w:t>
            </w:r>
          </w:p>
        </w:tc>
      </w:tr>
      <w:tr w:rsidR="00F9058F" w:rsidRPr="00185FBB" w14:paraId="72FE1ADF" w14:textId="77777777" w:rsidTr="00C17696">
        <w:trPr>
          <w:trHeight w:val="184"/>
          <w:jc w:val="center"/>
        </w:trPr>
        <w:tc>
          <w:tcPr>
            <w:tcW w:w="2547" w:type="dxa"/>
            <w:tcBorders>
              <w:top w:val="nil"/>
              <w:left w:val="single" w:sz="4" w:space="0" w:color="auto"/>
              <w:bottom w:val="nil"/>
              <w:right w:val="nil"/>
            </w:tcBorders>
            <w:shd w:val="clear" w:color="auto" w:fill="auto"/>
            <w:noWrap/>
            <w:vAlign w:val="center"/>
            <w:hideMark/>
          </w:tcPr>
          <w:p w14:paraId="4D9D22FB" w14:textId="5ECD6037" w:rsidR="00F9058F" w:rsidRPr="002E1AF6" w:rsidRDefault="00C17696" w:rsidP="00525609">
            <w:pPr>
              <w:jc w:val="center"/>
              <w:rPr>
                <w:rFonts w:ascii="Arial" w:hAnsi="Arial" w:cs="Arial"/>
                <w:b/>
                <w:bCs/>
                <w:color w:val="000000"/>
                <w:sz w:val="18"/>
                <w:szCs w:val="16"/>
                <w:lang w:eastAsia="es-AR"/>
              </w:rPr>
            </w:pPr>
            <w:r w:rsidRPr="00C17696">
              <w:rPr>
                <w:rFonts w:ascii="Arial" w:hAnsi="Arial" w:cs="Arial"/>
                <w:b/>
                <w:bCs/>
                <w:color w:val="000000"/>
                <w:sz w:val="18"/>
                <w:szCs w:val="16"/>
                <w:lang w:eastAsia="es-AR"/>
              </w:rPr>
              <w:t>Previsiones de acuerdo con el punto 5.5 de  NIIF 9</w:t>
            </w:r>
          </w:p>
        </w:tc>
        <w:tc>
          <w:tcPr>
            <w:tcW w:w="2878" w:type="dxa"/>
            <w:tcBorders>
              <w:top w:val="nil"/>
              <w:left w:val="nil"/>
              <w:bottom w:val="nil"/>
              <w:right w:val="nil"/>
            </w:tcBorders>
            <w:shd w:val="clear" w:color="auto" w:fill="auto"/>
            <w:noWrap/>
            <w:vAlign w:val="center"/>
            <w:hideMark/>
          </w:tcPr>
          <w:p w14:paraId="2053DD2A" w14:textId="1966CA79" w:rsidR="00F9058F" w:rsidRPr="002E1AF6" w:rsidRDefault="00F9058F" w:rsidP="00525609">
            <w:pPr>
              <w:jc w:val="center"/>
              <w:rPr>
                <w:rFonts w:ascii="Arial" w:hAnsi="Arial" w:cs="Arial"/>
                <w:color w:val="000000"/>
                <w:sz w:val="18"/>
                <w:szCs w:val="16"/>
                <w:lang w:eastAsia="es-AR"/>
              </w:rPr>
            </w:pPr>
            <w:r w:rsidRPr="002E1AF6">
              <w:rPr>
                <w:rFonts w:ascii="Arial" w:hAnsi="Arial" w:cs="Arial"/>
                <w:color w:val="000000"/>
                <w:sz w:val="18"/>
                <w:szCs w:val="16"/>
              </w:rPr>
              <w:t>5.364.370</w:t>
            </w:r>
          </w:p>
        </w:tc>
        <w:tc>
          <w:tcPr>
            <w:tcW w:w="2878" w:type="dxa"/>
            <w:tcBorders>
              <w:top w:val="nil"/>
              <w:left w:val="nil"/>
              <w:bottom w:val="nil"/>
              <w:right w:val="single" w:sz="4" w:space="0" w:color="auto"/>
            </w:tcBorders>
            <w:shd w:val="clear" w:color="auto" w:fill="auto"/>
            <w:noWrap/>
            <w:vAlign w:val="center"/>
            <w:hideMark/>
          </w:tcPr>
          <w:p w14:paraId="4C584FE6" w14:textId="18939711" w:rsidR="00F9058F" w:rsidRPr="002E1AF6" w:rsidRDefault="00F9058F" w:rsidP="00525609">
            <w:pPr>
              <w:jc w:val="center"/>
              <w:rPr>
                <w:rFonts w:ascii="Arial" w:hAnsi="Arial" w:cs="Arial"/>
                <w:color w:val="000000"/>
                <w:sz w:val="18"/>
                <w:szCs w:val="16"/>
                <w:lang w:eastAsia="es-AR"/>
              </w:rPr>
            </w:pPr>
            <w:r w:rsidRPr="002E1AF6">
              <w:rPr>
                <w:rFonts w:ascii="Arial" w:hAnsi="Arial" w:cs="Arial"/>
                <w:color w:val="000000"/>
                <w:sz w:val="18"/>
                <w:szCs w:val="16"/>
                <w:lang w:eastAsia="es-AR"/>
              </w:rPr>
              <w:t>5</w:t>
            </w:r>
            <w:r w:rsidR="00F20D65">
              <w:rPr>
                <w:rFonts w:ascii="Arial" w:hAnsi="Arial" w:cs="Arial"/>
                <w:color w:val="000000"/>
                <w:sz w:val="18"/>
                <w:szCs w:val="16"/>
                <w:lang w:eastAsia="es-AR"/>
              </w:rPr>
              <w:t>.</w:t>
            </w:r>
            <w:r w:rsidRPr="002E1AF6">
              <w:rPr>
                <w:rFonts w:ascii="Arial" w:hAnsi="Arial" w:cs="Arial"/>
                <w:color w:val="000000"/>
                <w:sz w:val="18"/>
                <w:szCs w:val="16"/>
                <w:lang w:eastAsia="es-AR"/>
              </w:rPr>
              <w:t>822</w:t>
            </w:r>
            <w:r w:rsidR="00F20D65">
              <w:rPr>
                <w:rFonts w:ascii="Arial" w:hAnsi="Arial" w:cs="Arial"/>
                <w:color w:val="000000"/>
                <w:sz w:val="18"/>
                <w:szCs w:val="16"/>
                <w:lang w:eastAsia="es-AR"/>
              </w:rPr>
              <w:t>.</w:t>
            </w:r>
            <w:r w:rsidRPr="002E1AF6">
              <w:rPr>
                <w:rFonts w:ascii="Arial" w:hAnsi="Arial" w:cs="Arial"/>
                <w:color w:val="000000"/>
                <w:sz w:val="18"/>
                <w:szCs w:val="16"/>
                <w:lang w:eastAsia="es-AR"/>
              </w:rPr>
              <w:t>427</w:t>
            </w:r>
          </w:p>
        </w:tc>
      </w:tr>
      <w:tr w:rsidR="00F9058F" w:rsidRPr="00185FBB" w14:paraId="0DA3BEA3" w14:textId="77777777" w:rsidTr="00C17696">
        <w:trPr>
          <w:trHeight w:val="184"/>
          <w:jc w:val="center"/>
        </w:trPr>
        <w:tc>
          <w:tcPr>
            <w:tcW w:w="2547" w:type="dxa"/>
            <w:tcBorders>
              <w:top w:val="nil"/>
              <w:left w:val="single" w:sz="4" w:space="0" w:color="auto"/>
              <w:bottom w:val="single" w:sz="4" w:space="0" w:color="auto"/>
              <w:right w:val="nil"/>
            </w:tcBorders>
            <w:shd w:val="clear" w:color="auto" w:fill="auto"/>
            <w:noWrap/>
            <w:vAlign w:val="center"/>
            <w:hideMark/>
          </w:tcPr>
          <w:p w14:paraId="1959C191" w14:textId="77777777" w:rsidR="00F9058F" w:rsidRPr="002E1AF6" w:rsidRDefault="00F9058F" w:rsidP="00525609">
            <w:pPr>
              <w:jc w:val="center"/>
              <w:rPr>
                <w:rFonts w:ascii="Arial" w:hAnsi="Arial" w:cs="Arial"/>
                <w:b/>
                <w:bCs/>
                <w:color w:val="000000"/>
                <w:sz w:val="18"/>
                <w:szCs w:val="16"/>
                <w:lang w:eastAsia="es-AR"/>
              </w:rPr>
            </w:pPr>
            <w:r w:rsidRPr="002E1AF6">
              <w:rPr>
                <w:rFonts w:ascii="Arial" w:hAnsi="Arial" w:cs="Arial"/>
                <w:b/>
                <w:bCs/>
                <w:color w:val="000000"/>
                <w:sz w:val="18"/>
                <w:szCs w:val="16"/>
                <w:lang w:eastAsia="es-AR"/>
              </w:rPr>
              <w:t>Diferencia</w:t>
            </w:r>
          </w:p>
        </w:tc>
        <w:tc>
          <w:tcPr>
            <w:tcW w:w="2878" w:type="dxa"/>
            <w:tcBorders>
              <w:top w:val="nil"/>
              <w:left w:val="nil"/>
              <w:bottom w:val="single" w:sz="4" w:space="0" w:color="auto"/>
              <w:right w:val="nil"/>
            </w:tcBorders>
            <w:shd w:val="clear" w:color="auto" w:fill="auto"/>
            <w:noWrap/>
            <w:vAlign w:val="center"/>
            <w:hideMark/>
          </w:tcPr>
          <w:p w14:paraId="2363A887" w14:textId="2CECA5D4" w:rsidR="00F9058F" w:rsidRPr="002E1AF6" w:rsidRDefault="00F9058F" w:rsidP="00525609">
            <w:pPr>
              <w:jc w:val="center"/>
              <w:rPr>
                <w:rFonts w:ascii="Arial" w:hAnsi="Arial" w:cs="Arial"/>
                <w:color w:val="000000"/>
                <w:sz w:val="18"/>
                <w:szCs w:val="16"/>
                <w:lang w:eastAsia="es-AR"/>
              </w:rPr>
            </w:pPr>
            <w:r w:rsidRPr="002E1AF6">
              <w:rPr>
                <w:rFonts w:ascii="Arial" w:hAnsi="Arial" w:cs="Arial"/>
                <w:color w:val="000000"/>
                <w:sz w:val="18"/>
                <w:szCs w:val="16"/>
              </w:rPr>
              <w:t>332.375</w:t>
            </w:r>
          </w:p>
        </w:tc>
        <w:tc>
          <w:tcPr>
            <w:tcW w:w="2878" w:type="dxa"/>
            <w:tcBorders>
              <w:top w:val="nil"/>
              <w:left w:val="nil"/>
              <w:bottom w:val="single" w:sz="4" w:space="0" w:color="auto"/>
              <w:right w:val="single" w:sz="4" w:space="0" w:color="auto"/>
            </w:tcBorders>
            <w:shd w:val="clear" w:color="auto" w:fill="auto"/>
            <w:noWrap/>
            <w:vAlign w:val="center"/>
            <w:hideMark/>
          </w:tcPr>
          <w:p w14:paraId="4144F625" w14:textId="0AE54772" w:rsidR="00F9058F" w:rsidRPr="002E1AF6" w:rsidRDefault="00F9058F" w:rsidP="00525609">
            <w:pPr>
              <w:jc w:val="center"/>
              <w:rPr>
                <w:rFonts w:ascii="Arial" w:hAnsi="Arial" w:cs="Arial"/>
                <w:color w:val="000000"/>
                <w:sz w:val="18"/>
                <w:szCs w:val="16"/>
                <w:lang w:eastAsia="es-AR"/>
              </w:rPr>
            </w:pPr>
            <w:r w:rsidRPr="002E1AF6">
              <w:rPr>
                <w:rFonts w:ascii="Arial" w:hAnsi="Arial" w:cs="Arial"/>
                <w:color w:val="000000"/>
                <w:sz w:val="18"/>
                <w:szCs w:val="16"/>
                <w:lang w:eastAsia="es-AR"/>
              </w:rPr>
              <w:t>420.251</w:t>
            </w:r>
          </w:p>
        </w:tc>
      </w:tr>
      <w:bookmarkEnd w:id="10"/>
    </w:tbl>
    <w:p w14:paraId="421453E3" w14:textId="20E30D66" w:rsidR="00F9058F" w:rsidRDefault="00F9058F" w:rsidP="00F9058F">
      <w:pPr>
        <w:jc w:val="both"/>
        <w:rPr>
          <w:rFonts w:ascii="Arial" w:hAnsi="Arial" w:cs="Arial"/>
          <w:bCs/>
          <w:sz w:val="20"/>
          <w:lang w:val="es-ES_tradnl"/>
        </w:rPr>
      </w:pPr>
    </w:p>
    <w:p w14:paraId="1CDA66A5" w14:textId="77777777" w:rsidR="00F9058F" w:rsidRPr="00F9058F" w:rsidRDefault="00F9058F" w:rsidP="00F9058F">
      <w:pPr>
        <w:jc w:val="both"/>
        <w:rPr>
          <w:rFonts w:ascii="Arial" w:hAnsi="Arial" w:cs="Arial"/>
          <w:bCs/>
          <w:sz w:val="20"/>
          <w:lang w:val="es-ES_tradnl"/>
        </w:rPr>
      </w:pPr>
      <w:r w:rsidRPr="00F9058F">
        <w:rPr>
          <w:rFonts w:ascii="Arial" w:hAnsi="Arial" w:cs="Arial"/>
          <w:bCs/>
          <w:sz w:val="20"/>
          <w:lang w:val="es-ES_tradnl"/>
        </w:rPr>
        <w:t xml:space="preserve">La NIIF 9 prevé un modelo de pérdidas crediticias esperadas, por el cual se clasifican los activos financieros en tres etapas de deterioro, basado en los cambios en la calidad crediticia desde su reconocimiento inicial, que dictan cómo una Entidad mide las pérdidas por deterioro y aplica el método del interés efectivo. En la Nota 1.2 se brinda mayor detalle de cómo las pérdidas crediticias esperadas son medidas. </w:t>
      </w:r>
    </w:p>
    <w:p w14:paraId="01A08DEE" w14:textId="77777777" w:rsidR="00F9058F" w:rsidRPr="00F9058F" w:rsidRDefault="00F9058F" w:rsidP="00F9058F">
      <w:pPr>
        <w:jc w:val="both"/>
        <w:rPr>
          <w:rFonts w:ascii="Arial" w:hAnsi="Arial" w:cs="Arial"/>
          <w:bCs/>
          <w:sz w:val="20"/>
          <w:lang w:val="es-ES_tradnl"/>
        </w:rPr>
      </w:pPr>
    </w:p>
    <w:p w14:paraId="0771899A" w14:textId="77777777" w:rsidR="00F9058F" w:rsidRPr="00F9058F" w:rsidRDefault="00F9058F" w:rsidP="00F9058F">
      <w:pPr>
        <w:jc w:val="both"/>
        <w:rPr>
          <w:rFonts w:ascii="Arial" w:hAnsi="Arial" w:cs="Arial"/>
          <w:bCs/>
          <w:sz w:val="20"/>
          <w:lang w:val="es-ES_tradnl"/>
        </w:rPr>
      </w:pPr>
      <w:r w:rsidRPr="00F9058F">
        <w:rPr>
          <w:rFonts w:ascii="Arial" w:hAnsi="Arial" w:cs="Arial"/>
          <w:bCs/>
          <w:sz w:val="20"/>
          <w:lang w:val="es-ES_tradnl"/>
        </w:rPr>
        <w:t>Por medio de la Comunicación “A” 6778 el B.C.R.A. aclara que a efectos de la aplicación del punto 5.5 de la NIIF 9 las Entidades Financieras deberán:</w:t>
      </w:r>
    </w:p>
    <w:p w14:paraId="29B89DE2" w14:textId="77777777" w:rsidR="00F9058F" w:rsidRPr="00F9058F" w:rsidRDefault="00F9058F" w:rsidP="00F9058F">
      <w:pPr>
        <w:jc w:val="both"/>
        <w:rPr>
          <w:rFonts w:ascii="Arial" w:hAnsi="Arial" w:cs="Arial"/>
          <w:bCs/>
          <w:sz w:val="20"/>
          <w:lang w:val="es-ES_tradnl"/>
        </w:rPr>
      </w:pPr>
    </w:p>
    <w:p w14:paraId="2A8DAA47" w14:textId="77777777" w:rsidR="00F9058F" w:rsidRPr="00F9058F" w:rsidRDefault="00F9058F" w:rsidP="00F9058F">
      <w:pPr>
        <w:jc w:val="both"/>
        <w:rPr>
          <w:rFonts w:ascii="Arial" w:hAnsi="Arial" w:cs="Arial"/>
          <w:bCs/>
          <w:sz w:val="20"/>
          <w:lang w:val="es-ES_tradnl"/>
        </w:rPr>
      </w:pPr>
      <w:r w:rsidRPr="00F9058F">
        <w:rPr>
          <w:rFonts w:ascii="Arial" w:hAnsi="Arial" w:cs="Arial"/>
          <w:bCs/>
          <w:sz w:val="20"/>
          <w:lang w:val="es-ES_tradnl"/>
        </w:rPr>
        <w:t>(i)</w:t>
      </w:r>
      <w:r w:rsidRPr="00F9058F">
        <w:rPr>
          <w:rFonts w:ascii="Arial" w:hAnsi="Arial" w:cs="Arial"/>
          <w:bCs/>
          <w:sz w:val="20"/>
          <w:lang w:val="es-ES_tradnl"/>
        </w:rPr>
        <w:tab/>
        <w:t xml:space="preserve">utilizar modelos internos los cuales deben reunir todos los requisitos de la NIIF 9 y deberán aplicarse a la totalidad de los activos comprendidos por la mencionada Norma con la excepción temporaria mencionada en el primer párrafo, y </w:t>
      </w:r>
    </w:p>
    <w:p w14:paraId="17CA2659" w14:textId="77777777" w:rsidR="00F9058F" w:rsidRPr="00F9058F" w:rsidRDefault="00F9058F" w:rsidP="00F9058F">
      <w:pPr>
        <w:jc w:val="both"/>
        <w:rPr>
          <w:rFonts w:ascii="Arial" w:hAnsi="Arial" w:cs="Arial"/>
          <w:bCs/>
          <w:sz w:val="20"/>
          <w:lang w:val="es-ES_tradnl"/>
        </w:rPr>
      </w:pPr>
      <w:r w:rsidRPr="00F9058F">
        <w:rPr>
          <w:rFonts w:ascii="Arial" w:hAnsi="Arial" w:cs="Arial"/>
          <w:bCs/>
          <w:sz w:val="20"/>
          <w:lang w:val="es-ES_tradnl"/>
        </w:rPr>
        <w:t>(ii)</w:t>
      </w:r>
      <w:r w:rsidRPr="00F9058F">
        <w:rPr>
          <w:rFonts w:ascii="Arial" w:hAnsi="Arial" w:cs="Arial"/>
          <w:bCs/>
          <w:sz w:val="20"/>
          <w:lang w:val="es-ES_tradnl"/>
        </w:rPr>
        <w:tab/>
        <w:t>aplicar la Norma de forma retroactiva, estableciendo la fecha de transición el 1 de enero de 2019.</w:t>
      </w:r>
    </w:p>
    <w:p w14:paraId="412DD72C" w14:textId="77777777" w:rsidR="00F9058F" w:rsidRPr="00F9058F" w:rsidRDefault="00F9058F" w:rsidP="00F9058F">
      <w:pPr>
        <w:jc w:val="both"/>
        <w:rPr>
          <w:rFonts w:ascii="Arial" w:hAnsi="Arial" w:cs="Arial"/>
          <w:bCs/>
          <w:sz w:val="20"/>
          <w:lang w:val="es-ES_tradnl"/>
        </w:rPr>
      </w:pPr>
    </w:p>
    <w:p w14:paraId="3265B4CB" w14:textId="4D923124" w:rsidR="00512583" w:rsidRDefault="00F9058F" w:rsidP="00F9058F">
      <w:pPr>
        <w:jc w:val="both"/>
        <w:rPr>
          <w:rFonts w:ascii="Arial" w:hAnsi="Arial" w:cs="Arial"/>
          <w:bCs/>
          <w:sz w:val="20"/>
          <w:lang w:val="es-ES_tradnl"/>
        </w:rPr>
      </w:pPr>
      <w:r w:rsidRPr="00F9058F">
        <w:rPr>
          <w:rFonts w:ascii="Arial" w:hAnsi="Arial" w:cs="Arial"/>
          <w:bCs/>
          <w:sz w:val="20"/>
          <w:lang w:val="es-ES_tradnl"/>
        </w:rPr>
        <w:t xml:space="preserve">A </w:t>
      </w:r>
      <w:r w:rsidR="00894662" w:rsidRPr="00F9058F">
        <w:rPr>
          <w:rFonts w:ascii="Arial" w:hAnsi="Arial" w:cs="Arial"/>
          <w:bCs/>
          <w:sz w:val="20"/>
          <w:lang w:val="es-ES_tradnl"/>
        </w:rPr>
        <w:t>continuación,</w:t>
      </w:r>
      <w:r w:rsidRPr="00F9058F">
        <w:rPr>
          <w:rFonts w:ascii="Arial" w:hAnsi="Arial" w:cs="Arial"/>
          <w:bCs/>
          <w:sz w:val="20"/>
          <w:lang w:val="es-ES_tradnl"/>
        </w:rPr>
        <w:t xml:space="preserve"> se expone la reconciliación entre las previsiones por riesgo de incobrabilidad al 31.12.2019 determinadas de conformidad con los criterios establecidos en los Textos Ordenados sobre “Clasificación de Deudores” y “Previsiones Mínimas por Riesgo de Incobrabilidad” del B.C.R.A. y las nuevas previsiones por riesgo de incobrabilidad determinadas de acuerdo con el modelo de pérdidas crediticias esperadas establecido por la NIIF 9</w:t>
      </w:r>
      <w:r w:rsidR="00512583" w:rsidRPr="00512583">
        <w:t xml:space="preserve"> </w:t>
      </w:r>
      <w:r w:rsidR="00512583" w:rsidRPr="00512583">
        <w:rPr>
          <w:rFonts w:ascii="Arial" w:hAnsi="Arial" w:cs="Arial"/>
          <w:bCs/>
          <w:sz w:val="20"/>
          <w:lang w:val="es-ES_tradnl"/>
        </w:rPr>
        <w:t>con las excepciones temporarias mencionadas en el primer párrafo</w:t>
      </w:r>
      <w:r w:rsidRPr="00F9058F">
        <w:rPr>
          <w:rFonts w:ascii="Arial" w:hAnsi="Arial" w:cs="Arial"/>
          <w:bCs/>
          <w:sz w:val="20"/>
          <w:lang w:val="es-ES_tradnl"/>
        </w:rPr>
        <w:t>:</w:t>
      </w:r>
    </w:p>
    <w:p w14:paraId="47A599B4" w14:textId="6A0E5C8C" w:rsidR="00C41803" w:rsidRDefault="00C41803" w:rsidP="004E486E">
      <w:pPr>
        <w:jc w:val="both"/>
        <w:rPr>
          <w:rFonts w:ascii="Arial" w:hAnsi="Arial" w:cs="Arial"/>
          <w:bCs/>
          <w:sz w:val="20"/>
          <w:lang w:val="es-ES_tradnl"/>
        </w:rPr>
      </w:pPr>
    </w:p>
    <w:tbl>
      <w:tblPr>
        <w:tblW w:w="8553" w:type="dxa"/>
        <w:tblCellMar>
          <w:left w:w="70" w:type="dxa"/>
          <w:right w:w="70" w:type="dxa"/>
        </w:tblCellMar>
        <w:tblLook w:val="04A0" w:firstRow="1" w:lastRow="0" w:firstColumn="1" w:lastColumn="0" w:noHBand="0" w:noVBand="1"/>
      </w:tblPr>
      <w:tblGrid>
        <w:gridCol w:w="2886"/>
        <w:gridCol w:w="1602"/>
        <w:gridCol w:w="1483"/>
        <w:gridCol w:w="1225"/>
        <w:gridCol w:w="1471"/>
      </w:tblGrid>
      <w:tr w:rsidR="00C41803" w:rsidRPr="00C41803" w14:paraId="1622C5F7" w14:textId="77777777" w:rsidTr="002E1AF6">
        <w:trPr>
          <w:trHeight w:val="1065"/>
        </w:trPr>
        <w:tc>
          <w:tcPr>
            <w:tcW w:w="2886" w:type="dxa"/>
            <w:tcBorders>
              <w:top w:val="single" w:sz="8" w:space="0" w:color="auto"/>
              <w:left w:val="nil"/>
              <w:bottom w:val="single" w:sz="8" w:space="0" w:color="auto"/>
              <w:right w:val="nil"/>
            </w:tcBorders>
            <w:shd w:val="clear" w:color="auto" w:fill="auto"/>
            <w:vAlign w:val="center"/>
            <w:hideMark/>
          </w:tcPr>
          <w:p w14:paraId="33EC257F" w14:textId="77777777" w:rsidR="00C41803" w:rsidRPr="002E1AF6" w:rsidRDefault="00C41803" w:rsidP="00C41803">
            <w:pPr>
              <w:jc w:val="center"/>
              <w:rPr>
                <w:rFonts w:ascii="Arial" w:hAnsi="Arial" w:cs="Arial"/>
                <w:b/>
                <w:bCs/>
                <w:color w:val="000000"/>
                <w:sz w:val="16"/>
                <w:szCs w:val="16"/>
                <w:lang w:eastAsia="es-AR"/>
              </w:rPr>
            </w:pPr>
            <w:r w:rsidRPr="002E1AF6">
              <w:rPr>
                <w:rFonts w:ascii="Arial" w:hAnsi="Arial" w:cs="Arial"/>
                <w:b/>
                <w:bCs/>
                <w:color w:val="000000"/>
                <w:sz w:val="16"/>
                <w:szCs w:val="16"/>
                <w:lang w:eastAsia="es-AR"/>
              </w:rPr>
              <w:t>Categoría de instrumento financiero</w:t>
            </w:r>
          </w:p>
        </w:tc>
        <w:tc>
          <w:tcPr>
            <w:tcW w:w="1602" w:type="dxa"/>
            <w:tcBorders>
              <w:top w:val="single" w:sz="8" w:space="0" w:color="auto"/>
              <w:left w:val="nil"/>
              <w:bottom w:val="single" w:sz="8" w:space="0" w:color="auto"/>
              <w:right w:val="nil"/>
            </w:tcBorders>
            <w:shd w:val="clear" w:color="auto" w:fill="auto"/>
            <w:vAlign w:val="center"/>
            <w:hideMark/>
          </w:tcPr>
          <w:p w14:paraId="05673801" w14:textId="77777777" w:rsidR="00C41803" w:rsidRPr="002E1AF6" w:rsidRDefault="00C41803" w:rsidP="00C41803">
            <w:pPr>
              <w:jc w:val="center"/>
              <w:rPr>
                <w:rFonts w:ascii="Arial" w:hAnsi="Arial" w:cs="Arial"/>
                <w:b/>
                <w:bCs/>
                <w:color w:val="000000"/>
                <w:sz w:val="16"/>
                <w:szCs w:val="16"/>
                <w:lang w:eastAsia="es-AR"/>
              </w:rPr>
            </w:pPr>
            <w:r w:rsidRPr="002E1AF6">
              <w:rPr>
                <w:rFonts w:ascii="Arial" w:hAnsi="Arial" w:cs="Arial"/>
                <w:b/>
                <w:bCs/>
                <w:color w:val="000000"/>
                <w:sz w:val="16"/>
                <w:szCs w:val="16"/>
                <w:lang w:eastAsia="es-AR"/>
              </w:rPr>
              <w:t>Previsión por riesgo de crédito bajo las Normas sobre previsiones mínimas del BCRA</w:t>
            </w:r>
          </w:p>
        </w:tc>
        <w:tc>
          <w:tcPr>
            <w:tcW w:w="1471" w:type="dxa"/>
            <w:tcBorders>
              <w:top w:val="single" w:sz="8" w:space="0" w:color="auto"/>
              <w:left w:val="nil"/>
              <w:bottom w:val="single" w:sz="8" w:space="0" w:color="auto"/>
              <w:right w:val="nil"/>
            </w:tcBorders>
            <w:shd w:val="clear" w:color="auto" w:fill="auto"/>
            <w:vAlign w:val="center"/>
            <w:hideMark/>
          </w:tcPr>
          <w:p w14:paraId="63DC410C" w14:textId="77777777" w:rsidR="00C41803" w:rsidRPr="002E1AF6" w:rsidRDefault="00C41803" w:rsidP="00C41803">
            <w:pPr>
              <w:jc w:val="center"/>
              <w:rPr>
                <w:rFonts w:ascii="Arial" w:hAnsi="Arial" w:cs="Arial"/>
                <w:b/>
                <w:bCs/>
                <w:color w:val="000000"/>
                <w:sz w:val="16"/>
                <w:szCs w:val="16"/>
                <w:lang w:eastAsia="es-AR"/>
              </w:rPr>
            </w:pPr>
            <w:r w:rsidRPr="002E1AF6">
              <w:rPr>
                <w:rFonts w:ascii="Arial" w:hAnsi="Arial" w:cs="Arial"/>
                <w:b/>
                <w:bCs/>
                <w:color w:val="000000"/>
                <w:sz w:val="16"/>
                <w:szCs w:val="16"/>
                <w:lang w:eastAsia="es-AR"/>
              </w:rPr>
              <w:t>Reclasificaciones</w:t>
            </w:r>
          </w:p>
        </w:tc>
        <w:tc>
          <w:tcPr>
            <w:tcW w:w="1121" w:type="dxa"/>
            <w:tcBorders>
              <w:top w:val="single" w:sz="8" w:space="0" w:color="auto"/>
              <w:left w:val="nil"/>
              <w:bottom w:val="single" w:sz="8" w:space="0" w:color="auto"/>
              <w:right w:val="nil"/>
            </w:tcBorders>
            <w:shd w:val="clear" w:color="auto" w:fill="auto"/>
            <w:vAlign w:val="center"/>
            <w:hideMark/>
          </w:tcPr>
          <w:p w14:paraId="13B85C87" w14:textId="77777777" w:rsidR="00C41803" w:rsidRPr="002775B9" w:rsidRDefault="00C41803" w:rsidP="00C41803">
            <w:pPr>
              <w:jc w:val="center"/>
              <w:rPr>
                <w:rFonts w:ascii="Arial" w:hAnsi="Arial" w:cs="Arial"/>
                <w:b/>
                <w:bCs/>
                <w:color w:val="000000"/>
                <w:sz w:val="16"/>
                <w:szCs w:val="16"/>
                <w:lang w:eastAsia="es-AR"/>
              </w:rPr>
            </w:pPr>
            <w:r w:rsidRPr="002775B9">
              <w:rPr>
                <w:rFonts w:ascii="Arial" w:hAnsi="Arial" w:cs="Arial"/>
                <w:b/>
                <w:bCs/>
                <w:color w:val="000000"/>
                <w:sz w:val="16"/>
                <w:szCs w:val="16"/>
                <w:lang w:eastAsia="es-AR"/>
              </w:rPr>
              <w:t>Remediciones</w:t>
            </w:r>
          </w:p>
        </w:tc>
        <w:tc>
          <w:tcPr>
            <w:tcW w:w="1471" w:type="dxa"/>
            <w:tcBorders>
              <w:top w:val="single" w:sz="8" w:space="0" w:color="auto"/>
              <w:left w:val="nil"/>
              <w:bottom w:val="single" w:sz="8" w:space="0" w:color="auto"/>
              <w:right w:val="nil"/>
            </w:tcBorders>
            <w:shd w:val="clear" w:color="auto" w:fill="auto"/>
            <w:vAlign w:val="center"/>
            <w:hideMark/>
          </w:tcPr>
          <w:p w14:paraId="22C2617D" w14:textId="77777777" w:rsidR="00C41803" w:rsidRPr="002E1AF6" w:rsidRDefault="00C41803" w:rsidP="00C41803">
            <w:pPr>
              <w:jc w:val="center"/>
              <w:rPr>
                <w:rFonts w:ascii="Arial" w:hAnsi="Arial" w:cs="Arial"/>
                <w:b/>
                <w:bCs/>
                <w:color w:val="000000"/>
                <w:sz w:val="16"/>
                <w:szCs w:val="16"/>
                <w:lang w:eastAsia="es-AR"/>
              </w:rPr>
            </w:pPr>
            <w:r w:rsidRPr="002E1AF6">
              <w:rPr>
                <w:rFonts w:ascii="Arial" w:hAnsi="Arial" w:cs="Arial"/>
                <w:b/>
                <w:bCs/>
                <w:color w:val="000000"/>
                <w:sz w:val="16"/>
                <w:szCs w:val="16"/>
                <w:lang w:eastAsia="es-AR"/>
              </w:rPr>
              <w:t>Previsión por riesgo de crédito bajo NIIF 9 (según alcance de la Comunicación "A" 6847)</w:t>
            </w:r>
          </w:p>
        </w:tc>
      </w:tr>
      <w:tr w:rsidR="00C41803" w:rsidRPr="00C41803" w14:paraId="0202772B" w14:textId="77777777" w:rsidTr="002E1AF6">
        <w:trPr>
          <w:trHeight w:val="209"/>
        </w:trPr>
        <w:tc>
          <w:tcPr>
            <w:tcW w:w="2886" w:type="dxa"/>
            <w:tcBorders>
              <w:top w:val="nil"/>
              <w:left w:val="nil"/>
              <w:bottom w:val="nil"/>
              <w:right w:val="nil"/>
            </w:tcBorders>
            <w:shd w:val="clear" w:color="auto" w:fill="auto"/>
            <w:noWrap/>
            <w:vAlign w:val="bottom"/>
            <w:hideMark/>
          </w:tcPr>
          <w:p w14:paraId="4F114821" w14:textId="77777777" w:rsidR="00C41803" w:rsidRPr="002E1AF6" w:rsidRDefault="00C41803" w:rsidP="00C41803">
            <w:pPr>
              <w:rPr>
                <w:rFonts w:ascii="Arial" w:hAnsi="Arial" w:cs="Arial"/>
                <w:color w:val="000000"/>
                <w:sz w:val="16"/>
                <w:szCs w:val="16"/>
                <w:lang w:eastAsia="es-AR"/>
              </w:rPr>
            </w:pPr>
            <w:r w:rsidRPr="002E1AF6">
              <w:rPr>
                <w:rFonts w:ascii="Arial" w:hAnsi="Arial" w:cs="Arial"/>
                <w:color w:val="000000"/>
                <w:sz w:val="16"/>
                <w:szCs w:val="16"/>
                <w:lang w:eastAsia="es-AR"/>
              </w:rPr>
              <w:t>Operaciones de pase</w:t>
            </w:r>
          </w:p>
        </w:tc>
        <w:tc>
          <w:tcPr>
            <w:tcW w:w="1602" w:type="dxa"/>
            <w:tcBorders>
              <w:top w:val="nil"/>
              <w:left w:val="nil"/>
              <w:bottom w:val="nil"/>
              <w:right w:val="nil"/>
            </w:tcBorders>
            <w:shd w:val="clear" w:color="auto" w:fill="auto"/>
            <w:noWrap/>
            <w:vAlign w:val="bottom"/>
            <w:hideMark/>
          </w:tcPr>
          <w:p w14:paraId="65090B0E" w14:textId="77777777" w:rsidR="00C41803" w:rsidRPr="002E1AF6" w:rsidRDefault="00C41803" w:rsidP="002E1AF6">
            <w:pPr>
              <w:jc w:val="right"/>
              <w:rPr>
                <w:rFonts w:ascii="Arial" w:hAnsi="Arial" w:cs="Arial"/>
                <w:color w:val="000000"/>
                <w:sz w:val="16"/>
                <w:szCs w:val="16"/>
                <w:lang w:eastAsia="es-AR"/>
              </w:rPr>
            </w:pPr>
            <w:r w:rsidRPr="002E1AF6">
              <w:rPr>
                <w:rFonts w:ascii="Arial" w:hAnsi="Arial" w:cs="Arial"/>
                <w:color w:val="000000"/>
                <w:sz w:val="16"/>
                <w:szCs w:val="16"/>
                <w:lang w:eastAsia="es-AR"/>
              </w:rPr>
              <w:t xml:space="preserve">                               -   </w:t>
            </w:r>
          </w:p>
        </w:tc>
        <w:tc>
          <w:tcPr>
            <w:tcW w:w="1471" w:type="dxa"/>
            <w:tcBorders>
              <w:top w:val="nil"/>
              <w:left w:val="nil"/>
              <w:bottom w:val="nil"/>
              <w:right w:val="nil"/>
            </w:tcBorders>
            <w:shd w:val="clear" w:color="auto" w:fill="auto"/>
            <w:noWrap/>
            <w:vAlign w:val="bottom"/>
            <w:hideMark/>
          </w:tcPr>
          <w:p w14:paraId="26F9F599" w14:textId="77777777" w:rsidR="00C41803" w:rsidRPr="002E1AF6" w:rsidRDefault="00C41803" w:rsidP="002E1AF6">
            <w:pPr>
              <w:jc w:val="right"/>
              <w:rPr>
                <w:rFonts w:ascii="Arial" w:hAnsi="Arial" w:cs="Arial"/>
                <w:color w:val="000000"/>
                <w:sz w:val="16"/>
                <w:szCs w:val="16"/>
                <w:lang w:eastAsia="es-AR"/>
              </w:rPr>
            </w:pPr>
            <w:r w:rsidRPr="002E1AF6">
              <w:rPr>
                <w:rFonts w:ascii="Arial" w:hAnsi="Arial" w:cs="Arial"/>
                <w:color w:val="000000"/>
                <w:sz w:val="16"/>
                <w:szCs w:val="16"/>
                <w:lang w:eastAsia="es-AR"/>
              </w:rPr>
              <w:t xml:space="preserve">                            -   </w:t>
            </w:r>
          </w:p>
        </w:tc>
        <w:tc>
          <w:tcPr>
            <w:tcW w:w="1121" w:type="dxa"/>
            <w:tcBorders>
              <w:top w:val="nil"/>
              <w:left w:val="nil"/>
              <w:bottom w:val="nil"/>
              <w:right w:val="nil"/>
            </w:tcBorders>
            <w:shd w:val="clear" w:color="auto" w:fill="auto"/>
            <w:noWrap/>
            <w:vAlign w:val="bottom"/>
            <w:hideMark/>
          </w:tcPr>
          <w:p w14:paraId="5E4FBC6E" w14:textId="77777777" w:rsidR="00C41803" w:rsidRPr="002775B9" w:rsidRDefault="00C41803" w:rsidP="002E1AF6">
            <w:pPr>
              <w:jc w:val="right"/>
              <w:rPr>
                <w:rFonts w:ascii="Arial" w:hAnsi="Arial" w:cs="Arial"/>
                <w:color w:val="000000"/>
                <w:sz w:val="16"/>
                <w:szCs w:val="16"/>
                <w:lang w:eastAsia="es-AR"/>
              </w:rPr>
            </w:pPr>
          </w:p>
        </w:tc>
        <w:tc>
          <w:tcPr>
            <w:tcW w:w="1471" w:type="dxa"/>
            <w:tcBorders>
              <w:top w:val="nil"/>
              <w:left w:val="nil"/>
              <w:bottom w:val="nil"/>
              <w:right w:val="nil"/>
            </w:tcBorders>
            <w:shd w:val="clear" w:color="auto" w:fill="auto"/>
            <w:noWrap/>
            <w:vAlign w:val="bottom"/>
            <w:hideMark/>
          </w:tcPr>
          <w:p w14:paraId="33FCBD99" w14:textId="77777777" w:rsidR="00C41803" w:rsidRPr="002E1AF6" w:rsidRDefault="00C41803" w:rsidP="002E1AF6">
            <w:pPr>
              <w:jc w:val="right"/>
              <w:rPr>
                <w:rFonts w:ascii="Arial" w:hAnsi="Arial" w:cs="Arial"/>
                <w:color w:val="000000"/>
                <w:sz w:val="16"/>
                <w:szCs w:val="16"/>
                <w:lang w:eastAsia="es-AR"/>
              </w:rPr>
            </w:pPr>
            <w:r w:rsidRPr="002E1AF6">
              <w:rPr>
                <w:rFonts w:ascii="Arial" w:hAnsi="Arial" w:cs="Arial"/>
                <w:color w:val="000000"/>
                <w:sz w:val="16"/>
                <w:szCs w:val="16"/>
                <w:lang w:eastAsia="es-AR"/>
              </w:rPr>
              <w:t xml:space="preserve">                            -   </w:t>
            </w:r>
          </w:p>
        </w:tc>
      </w:tr>
      <w:tr w:rsidR="00042B27" w:rsidRPr="00C41803" w14:paraId="7999E8D5" w14:textId="77777777" w:rsidTr="002E1AF6">
        <w:trPr>
          <w:trHeight w:val="209"/>
        </w:trPr>
        <w:tc>
          <w:tcPr>
            <w:tcW w:w="2886" w:type="dxa"/>
            <w:tcBorders>
              <w:top w:val="nil"/>
              <w:left w:val="nil"/>
              <w:bottom w:val="nil"/>
              <w:right w:val="nil"/>
            </w:tcBorders>
            <w:shd w:val="clear" w:color="auto" w:fill="auto"/>
            <w:noWrap/>
            <w:vAlign w:val="bottom"/>
            <w:hideMark/>
          </w:tcPr>
          <w:p w14:paraId="33A26545"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Otros activos financieros</w:t>
            </w:r>
          </w:p>
        </w:tc>
        <w:tc>
          <w:tcPr>
            <w:tcW w:w="1602" w:type="dxa"/>
            <w:tcBorders>
              <w:top w:val="nil"/>
              <w:left w:val="nil"/>
              <w:bottom w:val="nil"/>
              <w:right w:val="nil"/>
            </w:tcBorders>
            <w:shd w:val="clear" w:color="auto" w:fill="auto"/>
            <w:noWrap/>
            <w:vAlign w:val="bottom"/>
            <w:hideMark/>
          </w:tcPr>
          <w:p w14:paraId="7813C7D4" w14:textId="49D59E46"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63.560 </w:t>
            </w:r>
          </w:p>
        </w:tc>
        <w:tc>
          <w:tcPr>
            <w:tcW w:w="1471" w:type="dxa"/>
            <w:tcBorders>
              <w:top w:val="nil"/>
              <w:left w:val="nil"/>
              <w:bottom w:val="nil"/>
              <w:right w:val="nil"/>
            </w:tcBorders>
            <w:shd w:val="clear" w:color="auto" w:fill="auto"/>
            <w:noWrap/>
            <w:vAlign w:val="bottom"/>
            <w:hideMark/>
          </w:tcPr>
          <w:p w14:paraId="29E616F7" w14:textId="7B05C449"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245.230 </w:t>
            </w:r>
          </w:p>
        </w:tc>
        <w:tc>
          <w:tcPr>
            <w:tcW w:w="1121" w:type="dxa"/>
            <w:tcBorders>
              <w:top w:val="nil"/>
              <w:left w:val="nil"/>
              <w:bottom w:val="nil"/>
              <w:right w:val="nil"/>
            </w:tcBorders>
            <w:shd w:val="clear" w:color="auto" w:fill="auto"/>
            <w:noWrap/>
            <w:vAlign w:val="bottom"/>
            <w:hideMark/>
          </w:tcPr>
          <w:p w14:paraId="7B0BBA73" w14:textId="14A76B1D"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0BFCBAE0" w14:textId="18DDF454"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308.790 </w:t>
            </w:r>
          </w:p>
        </w:tc>
      </w:tr>
      <w:tr w:rsidR="00042B27" w:rsidRPr="00C41803" w14:paraId="5261F757" w14:textId="77777777" w:rsidTr="002E1AF6">
        <w:trPr>
          <w:trHeight w:val="209"/>
        </w:trPr>
        <w:tc>
          <w:tcPr>
            <w:tcW w:w="2886" w:type="dxa"/>
            <w:tcBorders>
              <w:top w:val="nil"/>
              <w:left w:val="nil"/>
              <w:bottom w:val="nil"/>
              <w:right w:val="nil"/>
            </w:tcBorders>
            <w:shd w:val="clear" w:color="auto" w:fill="auto"/>
            <w:noWrap/>
            <w:vAlign w:val="bottom"/>
            <w:hideMark/>
          </w:tcPr>
          <w:p w14:paraId="20861BD5"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Préstamos y otras financiaciones</w:t>
            </w:r>
          </w:p>
        </w:tc>
        <w:tc>
          <w:tcPr>
            <w:tcW w:w="1602" w:type="dxa"/>
            <w:tcBorders>
              <w:top w:val="nil"/>
              <w:left w:val="nil"/>
              <w:bottom w:val="nil"/>
              <w:right w:val="nil"/>
            </w:tcBorders>
            <w:shd w:val="clear" w:color="auto" w:fill="auto"/>
            <w:noWrap/>
            <w:vAlign w:val="bottom"/>
            <w:hideMark/>
          </w:tcPr>
          <w:p w14:paraId="53E675F2" w14:textId="15F2F650" w:rsidR="00042B27" w:rsidRPr="002E1AF6" w:rsidRDefault="00042B27" w:rsidP="002E1AF6">
            <w:pPr>
              <w:jc w:val="right"/>
              <w:rPr>
                <w:rFonts w:ascii="Arial" w:hAnsi="Arial" w:cs="Arial"/>
                <w:color w:val="000000"/>
                <w:sz w:val="16"/>
                <w:szCs w:val="16"/>
                <w:lang w:eastAsia="es-AR"/>
              </w:rPr>
            </w:pPr>
          </w:p>
        </w:tc>
        <w:tc>
          <w:tcPr>
            <w:tcW w:w="1471" w:type="dxa"/>
            <w:tcBorders>
              <w:top w:val="nil"/>
              <w:left w:val="nil"/>
              <w:bottom w:val="nil"/>
              <w:right w:val="nil"/>
            </w:tcBorders>
            <w:shd w:val="clear" w:color="auto" w:fill="auto"/>
            <w:noWrap/>
            <w:vAlign w:val="bottom"/>
            <w:hideMark/>
          </w:tcPr>
          <w:p w14:paraId="4B47AE43" w14:textId="424FD92B"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121" w:type="dxa"/>
            <w:tcBorders>
              <w:top w:val="nil"/>
              <w:left w:val="nil"/>
              <w:bottom w:val="nil"/>
              <w:right w:val="nil"/>
            </w:tcBorders>
            <w:shd w:val="clear" w:color="auto" w:fill="auto"/>
            <w:noWrap/>
            <w:vAlign w:val="bottom"/>
            <w:hideMark/>
          </w:tcPr>
          <w:p w14:paraId="17F52904" w14:textId="3B03D3C5"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33334EC7" w14:textId="571B0FB5"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   </w:t>
            </w:r>
          </w:p>
        </w:tc>
      </w:tr>
      <w:tr w:rsidR="00042B27" w:rsidRPr="00C41803" w14:paraId="511EDE54" w14:textId="77777777" w:rsidTr="002E1AF6">
        <w:trPr>
          <w:trHeight w:val="209"/>
        </w:trPr>
        <w:tc>
          <w:tcPr>
            <w:tcW w:w="2886" w:type="dxa"/>
            <w:tcBorders>
              <w:top w:val="nil"/>
              <w:left w:val="nil"/>
              <w:bottom w:val="nil"/>
              <w:right w:val="nil"/>
            </w:tcBorders>
            <w:shd w:val="clear" w:color="auto" w:fill="auto"/>
            <w:noWrap/>
            <w:vAlign w:val="bottom"/>
            <w:hideMark/>
          </w:tcPr>
          <w:p w14:paraId="135AB6A6"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Otras Entidades Financieras</w:t>
            </w:r>
          </w:p>
        </w:tc>
        <w:tc>
          <w:tcPr>
            <w:tcW w:w="1602" w:type="dxa"/>
            <w:tcBorders>
              <w:top w:val="nil"/>
              <w:left w:val="nil"/>
              <w:bottom w:val="nil"/>
              <w:right w:val="nil"/>
            </w:tcBorders>
            <w:shd w:val="clear" w:color="auto" w:fill="auto"/>
            <w:noWrap/>
            <w:vAlign w:val="bottom"/>
            <w:hideMark/>
          </w:tcPr>
          <w:p w14:paraId="1A1DC351" w14:textId="75C30278"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12.080 </w:t>
            </w:r>
          </w:p>
        </w:tc>
        <w:tc>
          <w:tcPr>
            <w:tcW w:w="1471" w:type="dxa"/>
            <w:tcBorders>
              <w:top w:val="nil"/>
              <w:left w:val="nil"/>
              <w:bottom w:val="nil"/>
              <w:right w:val="nil"/>
            </w:tcBorders>
            <w:shd w:val="clear" w:color="auto" w:fill="auto"/>
            <w:noWrap/>
            <w:vAlign w:val="bottom"/>
            <w:hideMark/>
          </w:tcPr>
          <w:p w14:paraId="02DAB912" w14:textId="1D7BC90D"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-10.718 </w:t>
            </w:r>
          </w:p>
        </w:tc>
        <w:tc>
          <w:tcPr>
            <w:tcW w:w="1121" w:type="dxa"/>
            <w:tcBorders>
              <w:top w:val="nil"/>
              <w:left w:val="nil"/>
              <w:bottom w:val="nil"/>
              <w:right w:val="nil"/>
            </w:tcBorders>
            <w:shd w:val="clear" w:color="auto" w:fill="auto"/>
            <w:noWrap/>
            <w:vAlign w:val="bottom"/>
            <w:hideMark/>
          </w:tcPr>
          <w:p w14:paraId="1BFA9553" w14:textId="1CDA129D"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773F43F4" w14:textId="713BAFA6"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1.362 </w:t>
            </w:r>
          </w:p>
        </w:tc>
      </w:tr>
      <w:tr w:rsidR="00042B27" w:rsidRPr="00C41803" w14:paraId="3823D8B9" w14:textId="77777777" w:rsidTr="002E1AF6">
        <w:trPr>
          <w:trHeight w:val="209"/>
        </w:trPr>
        <w:tc>
          <w:tcPr>
            <w:tcW w:w="2886" w:type="dxa"/>
            <w:tcBorders>
              <w:top w:val="nil"/>
              <w:left w:val="nil"/>
              <w:bottom w:val="nil"/>
              <w:right w:val="nil"/>
            </w:tcBorders>
            <w:shd w:val="clear" w:color="auto" w:fill="auto"/>
            <w:noWrap/>
            <w:vAlign w:val="bottom"/>
            <w:hideMark/>
          </w:tcPr>
          <w:p w14:paraId="28440B91" w14:textId="77777777" w:rsidR="00042B27" w:rsidRPr="002E1AF6" w:rsidRDefault="00042B27" w:rsidP="00042B27">
            <w:pPr>
              <w:rPr>
                <w:rFonts w:ascii="Arial" w:hAnsi="Arial" w:cs="Arial"/>
                <w:b/>
                <w:bCs/>
                <w:color w:val="000000"/>
                <w:sz w:val="16"/>
                <w:szCs w:val="16"/>
                <w:lang w:eastAsia="es-AR"/>
              </w:rPr>
            </w:pPr>
            <w:r w:rsidRPr="002E1AF6">
              <w:rPr>
                <w:rFonts w:ascii="Arial" w:hAnsi="Arial" w:cs="Arial"/>
                <w:b/>
                <w:bCs/>
                <w:color w:val="000000"/>
                <w:sz w:val="16"/>
                <w:szCs w:val="16"/>
                <w:lang w:eastAsia="es-AR"/>
              </w:rPr>
              <w:t>SPNF y Res. del Exterior</w:t>
            </w:r>
          </w:p>
        </w:tc>
        <w:tc>
          <w:tcPr>
            <w:tcW w:w="1602" w:type="dxa"/>
            <w:tcBorders>
              <w:top w:val="nil"/>
              <w:left w:val="nil"/>
              <w:bottom w:val="nil"/>
              <w:right w:val="nil"/>
            </w:tcBorders>
            <w:shd w:val="clear" w:color="auto" w:fill="auto"/>
            <w:noWrap/>
            <w:vAlign w:val="bottom"/>
            <w:hideMark/>
          </w:tcPr>
          <w:p w14:paraId="557C855A" w14:textId="19CE6BB8" w:rsidR="00042B27" w:rsidRPr="002E1AF6" w:rsidRDefault="00042B27" w:rsidP="002E1AF6">
            <w:pPr>
              <w:jc w:val="right"/>
              <w:rPr>
                <w:rFonts w:ascii="Arial" w:hAnsi="Arial" w:cs="Arial"/>
                <w:color w:val="000000"/>
                <w:sz w:val="16"/>
                <w:szCs w:val="16"/>
                <w:lang w:eastAsia="es-AR"/>
              </w:rPr>
            </w:pPr>
          </w:p>
        </w:tc>
        <w:tc>
          <w:tcPr>
            <w:tcW w:w="1471" w:type="dxa"/>
            <w:tcBorders>
              <w:top w:val="nil"/>
              <w:left w:val="nil"/>
              <w:bottom w:val="nil"/>
              <w:right w:val="nil"/>
            </w:tcBorders>
            <w:shd w:val="clear" w:color="auto" w:fill="auto"/>
            <w:noWrap/>
            <w:vAlign w:val="bottom"/>
            <w:hideMark/>
          </w:tcPr>
          <w:p w14:paraId="2514B912" w14:textId="1F07216D" w:rsidR="00042B27" w:rsidRPr="002E1AF6" w:rsidRDefault="00042B27" w:rsidP="002E1AF6">
            <w:pPr>
              <w:jc w:val="right"/>
              <w:rPr>
                <w:rFonts w:ascii="Arial" w:hAnsi="Arial" w:cs="Arial"/>
                <w:color w:val="000000"/>
                <w:sz w:val="16"/>
                <w:szCs w:val="16"/>
                <w:lang w:eastAsia="es-AR"/>
              </w:rPr>
            </w:pPr>
          </w:p>
        </w:tc>
        <w:tc>
          <w:tcPr>
            <w:tcW w:w="1121" w:type="dxa"/>
            <w:tcBorders>
              <w:top w:val="nil"/>
              <w:left w:val="nil"/>
              <w:bottom w:val="nil"/>
              <w:right w:val="nil"/>
            </w:tcBorders>
            <w:shd w:val="clear" w:color="auto" w:fill="auto"/>
            <w:noWrap/>
            <w:vAlign w:val="bottom"/>
            <w:hideMark/>
          </w:tcPr>
          <w:p w14:paraId="270CA62E" w14:textId="04DEE1F2" w:rsidR="00042B27" w:rsidRPr="002775B9" w:rsidRDefault="00042B27" w:rsidP="002E1AF6">
            <w:pPr>
              <w:jc w:val="right"/>
              <w:rPr>
                <w:rFonts w:ascii="Arial" w:hAnsi="Arial" w:cs="Arial"/>
                <w:b/>
                <w:bCs/>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2B5006DB" w14:textId="758EBBBB" w:rsidR="00042B27" w:rsidRPr="002E1AF6" w:rsidRDefault="00042B27" w:rsidP="002E1AF6">
            <w:pPr>
              <w:jc w:val="right"/>
              <w:rPr>
                <w:rFonts w:ascii="Arial" w:hAnsi="Arial" w:cs="Arial"/>
                <w:color w:val="000000"/>
                <w:sz w:val="16"/>
                <w:szCs w:val="16"/>
                <w:lang w:eastAsia="es-AR"/>
              </w:rPr>
            </w:pPr>
          </w:p>
        </w:tc>
      </w:tr>
      <w:tr w:rsidR="00042B27" w:rsidRPr="00C41803" w14:paraId="2E3961D1" w14:textId="77777777" w:rsidTr="002E1AF6">
        <w:trPr>
          <w:trHeight w:val="209"/>
        </w:trPr>
        <w:tc>
          <w:tcPr>
            <w:tcW w:w="2886" w:type="dxa"/>
            <w:tcBorders>
              <w:top w:val="nil"/>
              <w:left w:val="nil"/>
              <w:bottom w:val="nil"/>
              <w:right w:val="nil"/>
            </w:tcBorders>
            <w:shd w:val="clear" w:color="auto" w:fill="auto"/>
            <w:noWrap/>
            <w:vAlign w:val="bottom"/>
            <w:hideMark/>
          </w:tcPr>
          <w:p w14:paraId="523E10E4"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Adelantos</w:t>
            </w:r>
          </w:p>
        </w:tc>
        <w:tc>
          <w:tcPr>
            <w:tcW w:w="1602" w:type="dxa"/>
            <w:tcBorders>
              <w:top w:val="nil"/>
              <w:left w:val="nil"/>
              <w:bottom w:val="nil"/>
              <w:right w:val="nil"/>
            </w:tcBorders>
            <w:shd w:val="clear" w:color="auto" w:fill="auto"/>
            <w:noWrap/>
            <w:vAlign w:val="bottom"/>
            <w:hideMark/>
          </w:tcPr>
          <w:p w14:paraId="321AD2F2" w14:textId="3F9E8CAD"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952.237 </w:t>
            </w:r>
          </w:p>
        </w:tc>
        <w:tc>
          <w:tcPr>
            <w:tcW w:w="1471" w:type="dxa"/>
            <w:tcBorders>
              <w:top w:val="nil"/>
              <w:left w:val="nil"/>
              <w:bottom w:val="nil"/>
              <w:right w:val="nil"/>
            </w:tcBorders>
            <w:shd w:val="clear" w:color="auto" w:fill="auto"/>
            <w:noWrap/>
            <w:vAlign w:val="bottom"/>
            <w:hideMark/>
          </w:tcPr>
          <w:p w14:paraId="4A1B58C4" w14:textId="24566C4E"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184.392 </w:t>
            </w:r>
          </w:p>
        </w:tc>
        <w:tc>
          <w:tcPr>
            <w:tcW w:w="1121" w:type="dxa"/>
            <w:tcBorders>
              <w:top w:val="nil"/>
              <w:left w:val="nil"/>
              <w:bottom w:val="nil"/>
              <w:right w:val="nil"/>
            </w:tcBorders>
            <w:shd w:val="clear" w:color="auto" w:fill="auto"/>
            <w:noWrap/>
            <w:vAlign w:val="bottom"/>
            <w:hideMark/>
          </w:tcPr>
          <w:p w14:paraId="162942A7" w14:textId="00F0DF72"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47EEC647" w14:textId="546CD040"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1.136.629 </w:t>
            </w:r>
          </w:p>
        </w:tc>
      </w:tr>
      <w:tr w:rsidR="00042B27" w:rsidRPr="00C41803" w14:paraId="5E6DD6D5" w14:textId="77777777" w:rsidTr="002E1AF6">
        <w:trPr>
          <w:trHeight w:val="209"/>
        </w:trPr>
        <w:tc>
          <w:tcPr>
            <w:tcW w:w="2886" w:type="dxa"/>
            <w:tcBorders>
              <w:top w:val="nil"/>
              <w:left w:val="nil"/>
              <w:bottom w:val="nil"/>
              <w:right w:val="nil"/>
            </w:tcBorders>
            <w:shd w:val="clear" w:color="auto" w:fill="auto"/>
            <w:noWrap/>
            <w:vAlign w:val="bottom"/>
            <w:hideMark/>
          </w:tcPr>
          <w:p w14:paraId="6A6A6876"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Documentos</w:t>
            </w:r>
          </w:p>
        </w:tc>
        <w:tc>
          <w:tcPr>
            <w:tcW w:w="1602" w:type="dxa"/>
            <w:tcBorders>
              <w:top w:val="nil"/>
              <w:left w:val="nil"/>
              <w:bottom w:val="nil"/>
              <w:right w:val="nil"/>
            </w:tcBorders>
            <w:shd w:val="clear" w:color="auto" w:fill="auto"/>
            <w:noWrap/>
            <w:vAlign w:val="bottom"/>
            <w:hideMark/>
          </w:tcPr>
          <w:p w14:paraId="0F367965" w14:textId="15A7D4CF"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418.883 </w:t>
            </w:r>
          </w:p>
        </w:tc>
        <w:tc>
          <w:tcPr>
            <w:tcW w:w="1471" w:type="dxa"/>
            <w:tcBorders>
              <w:top w:val="nil"/>
              <w:left w:val="nil"/>
              <w:bottom w:val="nil"/>
              <w:right w:val="nil"/>
            </w:tcBorders>
            <w:shd w:val="clear" w:color="auto" w:fill="auto"/>
            <w:noWrap/>
            <w:vAlign w:val="bottom"/>
            <w:hideMark/>
          </w:tcPr>
          <w:p w14:paraId="37DBDB34" w14:textId="0C0985DE"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-88.388 </w:t>
            </w:r>
          </w:p>
        </w:tc>
        <w:tc>
          <w:tcPr>
            <w:tcW w:w="1121" w:type="dxa"/>
            <w:tcBorders>
              <w:top w:val="nil"/>
              <w:left w:val="nil"/>
              <w:bottom w:val="nil"/>
              <w:right w:val="nil"/>
            </w:tcBorders>
            <w:shd w:val="clear" w:color="auto" w:fill="auto"/>
            <w:noWrap/>
            <w:vAlign w:val="bottom"/>
            <w:hideMark/>
          </w:tcPr>
          <w:p w14:paraId="0875269F" w14:textId="03F15A48"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1157553E" w14:textId="5F1015CC"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330.495 </w:t>
            </w:r>
          </w:p>
        </w:tc>
      </w:tr>
      <w:tr w:rsidR="00042B27" w:rsidRPr="00C41803" w14:paraId="1CE7FE7D" w14:textId="77777777" w:rsidTr="002E1AF6">
        <w:trPr>
          <w:trHeight w:val="209"/>
        </w:trPr>
        <w:tc>
          <w:tcPr>
            <w:tcW w:w="2886" w:type="dxa"/>
            <w:tcBorders>
              <w:top w:val="nil"/>
              <w:left w:val="nil"/>
              <w:bottom w:val="nil"/>
              <w:right w:val="nil"/>
            </w:tcBorders>
            <w:shd w:val="clear" w:color="auto" w:fill="auto"/>
            <w:noWrap/>
            <w:vAlign w:val="bottom"/>
            <w:hideMark/>
          </w:tcPr>
          <w:p w14:paraId="36D782C5"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Hipotecarios</w:t>
            </w:r>
          </w:p>
        </w:tc>
        <w:tc>
          <w:tcPr>
            <w:tcW w:w="1602" w:type="dxa"/>
            <w:tcBorders>
              <w:top w:val="nil"/>
              <w:left w:val="nil"/>
              <w:bottom w:val="nil"/>
              <w:right w:val="nil"/>
            </w:tcBorders>
            <w:shd w:val="clear" w:color="auto" w:fill="auto"/>
            <w:noWrap/>
            <w:vAlign w:val="bottom"/>
            <w:hideMark/>
          </w:tcPr>
          <w:p w14:paraId="04C08DCC" w14:textId="19A45BD5"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634.195 </w:t>
            </w:r>
          </w:p>
        </w:tc>
        <w:tc>
          <w:tcPr>
            <w:tcW w:w="1471" w:type="dxa"/>
            <w:tcBorders>
              <w:top w:val="nil"/>
              <w:left w:val="nil"/>
              <w:bottom w:val="nil"/>
              <w:right w:val="nil"/>
            </w:tcBorders>
            <w:shd w:val="clear" w:color="auto" w:fill="auto"/>
            <w:noWrap/>
            <w:vAlign w:val="bottom"/>
            <w:hideMark/>
          </w:tcPr>
          <w:p w14:paraId="6A0C707F" w14:textId="578C6903"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-114.457 </w:t>
            </w:r>
          </w:p>
        </w:tc>
        <w:tc>
          <w:tcPr>
            <w:tcW w:w="1121" w:type="dxa"/>
            <w:tcBorders>
              <w:top w:val="nil"/>
              <w:left w:val="nil"/>
              <w:bottom w:val="nil"/>
              <w:right w:val="nil"/>
            </w:tcBorders>
            <w:shd w:val="clear" w:color="auto" w:fill="auto"/>
            <w:noWrap/>
            <w:vAlign w:val="bottom"/>
            <w:hideMark/>
          </w:tcPr>
          <w:p w14:paraId="7A44AA79" w14:textId="2A661737"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374CEB34" w14:textId="62A55384"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519.738 </w:t>
            </w:r>
          </w:p>
        </w:tc>
      </w:tr>
      <w:tr w:rsidR="00042B27" w:rsidRPr="00C41803" w14:paraId="4DFDCAB2" w14:textId="77777777" w:rsidTr="002E1AF6">
        <w:trPr>
          <w:trHeight w:val="209"/>
        </w:trPr>
        <w:tc>
          <w:tcPr>
            <w:tcW w:w="2886" w:type="dxa"/>
            <w:tcBorders>
              <w:top w:val="nil"/>
              <w:left w:val="nil"/>
              <w:bottom w:val="nil"/>
              <w:right w:val="nil"/>
            </w:tcBorders>
            <w:shd w:val="clear" w:color="auto" w:fill="auto"/>
            <w:noWrap/>
            <w:vAlign w:val="bottom"/>
            <w:hideMark/>
          </w:tcPr>
          <w:p w14:paraId="0B1AB7A9"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lastRenderedPageBreak/>
              <w:t>Prendarios</w:t>
            </w:r>
          </w:p>
        </w:tc>
        <w:tc>
          <w:tcPr>
            <w:tcW w:w="1602" w:type="dxa"/>
            <w:tcBorders>
              <w:top w:val="nil"/>
              <w:left w:val="nil"/>
              <w:bottom w:val="nil"/>
              <w:right w:val="nil"/>
            </w:tcBorders>
            <w:shd w:val="clear" w:color="auto" w:fill="auto"/>
            <w:noWrap/>
            <w:vAlign w:val="bottom"/>
            <w:hideMark/>
          </w:tcPr>
          <w:p w14:paraId="1B04955B" w14:textId="3E26183A"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83.914 </w:t>
            </w:r>
          </w:p>
        </w:tc>
        <w:tc>
          <w:tcPr>
            <w:tcW w:w="1471" w:type="dxa"/>
            <w:tcBorders>
              <w:top w:val="nil"/>
              <w:left w:val="nil"/>
              <w:bottom w:val="nil"/>
              <w:right w:val="nil"/>
            </w:tcBorders>
            <w:shd w:val="clear" w:color="auto" w:fill="auto"/>
            <w:noWrap/>
            <w:vAlign w:val="bottom"/>
            <w:hideMark/>
          </w:tcPr>
          <w:p w14:paraId="19E27810" w14:textId="784DB43E"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-2.945 </w:t>
            </w:r>
          </w:p>
        </w:tc>
        <w:tc>
          <w:tcPr>
            <w:tcW w:w="1121" w:type="dxa"/>
            <w:tcBorders>
              <w:top w:val="nil"/>
              <w:left w:val="nil"/>
              <w:bottom w:val="nil"/>
              <w:right w:val="nil"/>
            </w:tcBorders>
            <w:shd w:val="clear" w:color="auto" w:fill="auto"/>
            <w:noWrap/>
            <w:vAlign w:val="bottom"/>
            <w:hideMark/>
          </w:tcPr>
          <w:p w14:paraId="2024B38A" w14:textId="61B09578"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3B0871AD" w14:textId="47919B1B"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80.969 </w:t>
            </w:r>
          </w:p>
        </w:tc>
      </w:tr>
      <w:tr w:rsidR="00042B27" w:rsidRPr="00C41803" w14:paraId="0E51A1E7" w14:textId="77777777" w:rsidTr="002E1AF6">
        <w:trPr>
          <w:trHeight w:val="209"/>
        </w:trPr>
        <w:tc>
          <w:tcPr>
            <w:tcW w:w="2886" w:type="dxa"/>
            <w:tcBorders>
              <w:top w:val="nil"/>
              <w:left w:val="nil"/>
              <w:bottom w:val="nil"/>
              <w:right w:val="nil"/>
            </w:tcBorders>
            <w:shd w:val="clear" w:color="auto" w:fill="auto"/>
            <w:noWrap/>
            <w:vAlign w:val="bottom"/>
            <w:hideMark/>
          </w:tcPr>
          <w:p w14:paraId="1C55E822"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Personales</w:t>
            </w:r>
          </w:p>
        </w:tc>
        <w:tc>
          <w:tcPr>
            <w:tcW w:w="1602" w:type="dxa"/>
            <w:tcBorders>
              <w:top w:val="nil"/>
              <w:left w:val="nil"/>
              <w:bottom w:val="nil"/>
              <w:right w:val="nil"/>
            </w:tcBorders>
            <w:shd w:val="clear" w:color="auto" w:fill="auto"/>
            <w:noWrap/>
            <w:vAlign w:val="bottom"/>
            <w:hideMark/>
          </w:tcPr>
          <w:p w14:paraId="26B70F2F" w14:textId="47E337A8"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1.205.356 </w:t>
            </w:r>
          </w:p>
        </w:tc>
        <w:tc>
          <w:tcPr>
            <w:tcW w:w="1471" w:type="dxa"/>
            <w:tcBorders>
              <w:top w:val="nil"/>
              <w:left w:val="nil"/>
              <w:bottom w:val="nil"/>
              <w:right w:val="nil"/>
            </w:tcBorders>
            <w:shd w:val="clear" w:color="auto" w:fill="auto"/>
            <w:noWrap/>
            <w:vAlign w:val="bottom"/>
            <w:hideMark/>
          </w:tcPr>
          <w:p w14:paraId="57CE45B4" w14:textId="50BB2480"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-192.288 </w:t>
            </w:r>
          </w:p>
        </w:tc>
        <w:tc>
          <w:tcPr>
            <w:tcW w:w="1121" w:type="dxa"/>
            <w:tcBorders>
              <w:top w:val="nil"/>
              <w:left w:val="nil"/>
              <w:bottom w:val="nil"/>
              <w:right w:val="nil"/>
            </w:tcBorders>
            <w:shd w:val="clear" w:color="auto" w:fill="auto"/>
            <w:noWrap/>
            <w:vAlign w:val="bottom"/>
            <w:hideMark/>
          </w:tcPr>
          <w:p w14:paraId="1F54FD1C" w14:textId="1E4DB457"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1A7ED22C" w14:textId="3F2F1CD2"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1.013.068 </w:t>
            </w:r>
          </w:p>
        </w:tc>
      </w:tr>
      <w:tr w:rsidR="00042B27" w:rsidRPr="00C41803" w14:paraId="5C496A9C" w14:textId="77777777" w:rsidTr="002E1AF6">
        <w:trPr>
          <w:trHeight w:val="209"/>
        </w:trPr>
        <w:tc>
          <w:tcPr>
            <w:tcW w:w="2886" w:type="dxa"/>
            <w:tcBorders>
              <w:top w:val="nil"/>
              <w:left w:val="nil"/>
              <w:bottom w:val="nil"/>
              <w:right w:val="nil"/>
            </w:tcBorders>
            <w:shd w:val="clear" w:color="auto" w:fill="auto"/>
            <w:noWrap/>
            <w:vAlign w:val="bottom"/>
            <w:hideMark/>
          </w:tcPr>
          <w:p w14:paraId="6CBCCC12"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Tarjetas de Crédito</w:t>
            </w:r>
          </w:p>
        </w:tc>
        <w:tc>
          <w:tcPr>
            <w:tcW w:w="1602" w:type="dxa"/>
            <w:tcBorders>
              <w:top w:val="nil"/>
              <w:left w:val="nil"/>
              <w:bottom w:val="nil"/>
              <w:right w:val="nil"/>
            </w:tcBorders>
            <w:shd w:val="clear" w:color="auto" w:fill="auto"/>
            <w:noWrap/>
            <w:vAlign w:val="bottom"/>
            <w:hideMark/>
          </w:tcPr>
          <w:p w14:paraId="21EDAE60" w14:textId="5573AFFF"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557.364 </w:t>
            </w:r>
          </w:p>
        </w:tc>
        <w:tc>
          <w:tcPr>
            <w:tcW w:w="1471" w:type="dxa"/>
            <w:tcBorders>
              <w:top w:val="nil"/>
              <w:left w:val="nil"/>
              <w:bottom w:val="nil"/>
              <w:right w:val="nil"/>
            </w:tcBorders>
            <w:shd w:val="clear" w:color="auto" w:fill="auto"/>
            <w:noWrap/>
            <w:vAlign w:val="bottom"/>
            <w:hideMark/>
          </w:tcPr>
          <w:p w14:paraId="364758A4" w14:textId="23862050"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253.453 </w:t>
            </w:r>
          </w:p>
        </w:tc>
        <w:tc>
          <w:tcPr>
            <w:tcW w:w="1121" w:type="dxa"/>
            <w:tcBorders>
              <w:top w:val="nil"/>
              <w:left w:val="nil"/>
              <w:bottom w:val="nil"/>
              <w:right w:val="nil"/>
            </w:tcBorders>
            <w:shd w:val="clear" w:color="auto" w:fill="auto"/>
            <w:noWrap/>
            <w:vAlign w:val="bottom"/>
            <w:hideMark/>
          </w:tcPr>
          <w:p w14:paraId="6A205528" w14:textId="67E92723"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756FC79B" w14:textId="75AE7BC0"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810.817 </w:t>
            </w:r>
          </w:p>
        </w:tc>
      </w:tr>
      <w:tr w:rsidR="00042B27" w:rsidRPr="00C41803" w14:paraId="12710AAB" w14:textId="77777777" w:rsidTr="002E1AF6">
        <w:trPr>
          <w:trHeight w:val="209"/>
        </w:trPr>
        <w:tc>
          <w:tcPr>
            <w:tcW w:w="2886" w:type="dxa"/>
            <w:tcBorders>
              <w:top w:val="nil"/>
              <w:left w:val="nil"/>
              <w:bottom w:val="nil"/>
              <w:right w:val="nil"/>
            </w:tcBorders>
            <w:shd w:val="clear" w:color="auto" w:fill="auto"/>
            <w:noWrap/>
            <w:vAlign w:val="bottom"/>
            <w:hideMark/>
          </w:tcPr>
          <w:p w14:paraId="078BD2B2"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Arrendamientos Financieros</w:t>
            </w:r>
          </w:p>
        </w:tc>
        <w:tc>
          <w:tcPr>
            <w:tcW w:w="1602" w:type="dxa"/>
            <w:tcBorders>
              <w:top w:val="nil"/>
              <w:left w:val="nil"/>
              <w:bottom w:val="nil"/>
              <w:right w:val="nil"/>
            </w:tcBorders>
            <w:shd w:val="clear" w:color="auto" w:fill="auto"/>
            <w:noWrap/>
            <w:vAlign w:val="bottom"/>
            <w:hideMark/>
          </w:tcPr>
          <w:p w14:paraId="1A1E98FC" w14:textId="1B510750"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82.052 </w:t>
            </w:r>
          </w:p>
        </w:tc>
        <w:tc>
          <w:tcPr>
            <w:tcW w:w="1471" w:type="dxa"/>
            <w:tcBorders>
              <w:top w:val="nil"/>
              <w:left w:val="nil"/>
              <w:bottom w:val="nil"/>
              <w:right w:val="nil"/>
            </w:tcBorders>
            <w:shd w:val="clear" w:color="auto" w:fill="auto"/>
            <w:noWrap/>
            <w:vAlign w:val="bottom"/>
            <w:hideMark/>
          </w:tcPr>
          <w:p w14:paraId="22DFB65E" w14:textId="6006A034"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154.596 </w:t>
            </w:r>
          </w:p>
        </w:tc>
        <w:tc>
          <w:tcPr>
            <w:tcW w:w="1121" w:type="dxa"/>
            <w:tcBorders>
              <w:top w:val="nil"/>
              <w:left w:val="nil"/>
              <w:bottom w:val="nil"/>
              <w:right w:val="nil"/>
            </w:tcBorders>
            <w:shd w:val="clear" w:color="auto" w:fill="auto"/>
            <w:noWrap/>
            <w:vAlign w:val="bottom"/>
            <w:hideMark/>
          </w:tcPr>
          <w:p w14:paraId="7B63FE2D" w14:textId="2B73AA2F"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461AEFDF" w14:textId="3C7A7D5B"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236.648 </w:t>
            </w:r>
          </w:p>
        </w:tc>
      </w:tr>
      <w:tr w:rsidR="00042B27" w:rsidRPr="00C41803" w14:paraId="5A3D6180" w14:textId="77777777" w:rsidTr="002E1AF6">
        <w:trPr>
          <w:trHeight w:val="209"/>
        </w:trPr>
        <w:tc>
          <w:tcPr>
            <w:tcW w:w="2886" w:type="dxa"/>
            <w:tcBorders>
              <w:top w:val="nil"/>
              <w:left w:val="nil"/>
              <w:bottom w:val="nil"/>
              <w:right w:val="nil"/>
            </w:tcBorders>
            <w:shd w:val="clear" w:color="auto" w:fill="auto"/>
            <w:noWrap/>
            <w:vAlign w:val="bottom"/>
            <w:hideMark/>
          </w:tcPr>
          <w:p w14:paraId="15B2EEA2"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Otros</w:t>
            </w:r>
          </w:p>
        </w:tc>
        <w:tc>
          <w:tcPr>
            <w:tcW w:w="1602" w:type="dxa"/>
            <w:tcBorders>
              <w:top w:val="nil"/>
              <w:left w:val="nil"/>
              <w:bottom w:val="nil"/>
              <w:right w:val="nil"/>
            </w:tcBorders>
            <w:shd w:val="clear" w:color="auto" w:fill="auto"/>
            <w:noWrap/>
            <w:vAlign w:val="bottom"/>
            <w:hideMark/>
          </w:tcPr>
          <w:p w14:paraId="0C796C49" w14:textId="0CE29A4E"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1.860.859 </w:t>
            </w:r>
          </w:p>
        </w:tc>
        <w:tc>
          <w:tcPr>
            <w:tcW w:w="1471" w:type="dxa"/>
            <w:tcBorders>
              <w:top w:val="nil"/>
              <w:left w:val="nil"/>
              <w:bottom w:val="nil"/>
              <w:right w:val="nil"/>
            </w:tcBorders>
            <w:shd w:val="clear" w:color="auto" w:fill="auto"/>
            <w:noWrap/>
            <w:vAlign w:val="bottom"/>
            <w:hideMark/>
          </w:tcPr>
          <w:p w14:paraId="293BDF2C" w14:textId="5F34B6CE"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-425.246 </w:t>
            </w:r>
          </w:p>
        </w:tc>
        <w:tc>
          <w:tcPr>
            <w:tcW w:w="1121" w:type="dxa"/>
            <w:tcBorders>
              <w:top w:val="nil"/>
              <w:left w:val="nil"/>
              <w:bottom w:val="nil"/>
              <w:right w:val="nil"/>
            </w:tcBorders>
            <w:shd w:val="clear" w:color="auto" w:fill="auto"/>
            <w:noWrap/>
            <w:vAlign w:val="bottom"/>
            <w:hideMark/>
          </w:tcPr>
          <w:p w14:paraId="78ED6CBA" w14:textId="6E63E222"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4771224B" w14:textId="28F87E6C"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1.435.613 </w:t>
            </w:r>
          </w:p>
        </w:tc>
      </w:tr>
      <w:tr w:rsidR="00042B27" w:rsidRPr="00C41803" w14:paraId="32932379" w14:textId="77777777" w:rsidTr="002E1AF6">
        <w:trPr>
          <w:trHeight w:val="209"/>
        </w:trPr>
        <w:tc>
          <w:tcPr>
            <w:tcW w:w="2886" w:type="dxa"/>
            <w:tcBorders>
              <w:top w:val="nil"/>
              <w:left w:val="nil"/>
              <w:bottom w:val="nil"/>
              <w:right w:val="nil"/>
            </w:tcBorders>
            <w:shd w:val="clear" w:color="auto" w:fill="auto"/>
            <w:noWrap/>
            <w:vAlign w:val="bottom"/>
            <w:hideMark/>
          </w:tcPr>
          <w:p w14:paraId="7FD2458F"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Otros títulos de deuda</w:t>
            </w:r>
          </w:p>
        </w:tc>
        <w:tc>
          <w:tcPr>
            <w:tcW w:w="1602" w:type="dxa"/>
            <w:tcBorders>
              <w:top w:val="nil"/>
              <w:left w:val="nil"/>
              <w:bottom w:val="nil"/>
              <w:right w:val="nil"/>
            </w:tcBorders>
            <w:shd w:val="clear" w:color="auto" w:fill="auto"/>
            <w:noWrap/>
            <w:vAlign w:val="bottom"/>
            <w:hideMark/>
          </w:tcPr>
          <w:p w14:paraId="40C38BE4" w14:textId="5257FEDA"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3.629 </w:t>
            </w:r>
          </w:p>
        </w:tc>
        <w:tc>
          <w:tcPr>
            <w:tcW w:w="1471" w:type="dxa"/>
            <w:tcBorders>
              <w:top w:val="nil"/>
              <w:left w:val="nil"/>
              <w:bottom w:val="nil"/>
              <w:right w:val="nil"/>
            </w:tcBorders>
            <w:shd w:val="clear" w:color="auto" w:fill="auto"/>
            <w:noWrap/>
            <w:vAlign w:val="bottom"/>
            <w:hideMark/>
          </w:tcPr>
          <w:p w14:paraId="28DA76EE" w14:textId="5CBB20E3"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-3.629 </w:t>
            </w:r>
          </w:p>
        </w:tc>
        <w:tc>
          <w:tcPr>
            <w:tcW w:w="1121" w:type="dxa"/>
            <w:tcBorders>
              <w:top w:val="nil"/>
              <w:left w:val="nil"/>
              <w:bottom w:val="nil"/>
              <w:right w:val="nil"/>
            </w:tcBorders>
            <w:shd w:val="clear" w:color="auto" w:fill="auto"/>
            <w:noWrap/>
            <w:vAlign w:val="bottom"/>
            <w:hideMark/>
          </w:tcPr>
          <w:p w14:paraId="60115EC7" w14:textId="485128F8"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156DDBBA" w14:textId="743ED3C9"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   </w:t>
            </w:r>
          </w:p>
        </w:tc>
      </w:tr>
      <w:tr w:rsidR="00042B27" w:rsidRPr="00C41803" w14:paraId="78E7C83E" w14:textId="77777777" w:rsidTr="002E1AF6">
        <w:trPr>
          <w:trHeight w:val="209"/>
        </w:trPr>
        <w:tc>
          <w:tcPr>
            <w:tcW w:w="2886" w:type="dxa"/>
            <w:tcBorders>
              <w:top w:val="nil"/>
              <w:left w:val="nil"/>
              <w:bottom w:val="nil"/>
              <w:right w:val="nil"/>
            </w:tcBorders>
            <w:shd w:val="clear" w:color="auto" w:fill="auto"/>
            <w:noWrap/>
            <w:vAlign w:val="bottom"/>
            <w:hideMark/>
          </w:tcPr>
          <w:p w14:paraId="51C49593"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Otros activos no financieros (**)</w:t>
            </w:r>
          </w:p>
        </w:tc>
        <w:tc>
          <w:tcPr>
            <w:tcW w:w="1602" w:type="dxa"/>
            <w:tcBorders>
              <w:top w:val="nil"/>
              <w:left w:val="nil"/>
              <w:bottom w:val="nil"/>
              <w:right w:val="nil"/>
            </w:tcBorders>
            <w:shd w:val="clear" w:color="auto" w:fill="auto"/>
            <w:noWrap/>
            <w:vAlign w:val="bottom"/>
            <w:hideMark/>
          </w:tcPr>
          <w:p w14:paraId="7DAB0037" w14:textId="294FB6F0" w:rsidR="00042B27" w:rsidRPr="002E1AF6" w:rsidRDefault="00042B27" w:rsidP="002E1AF6">
            <w:pPr>
              <w:jc w:val="right"/>
              <w:rPr>
                <w:rFonts w:ascii="Arial" w:hAnsi="Arial" w:cs="Arial"/>
                <w:color w:val="000000"/>
                <w:sz w:val="16"/>
                <w:szCs w:val="16"/>
                <w:lang w:eastAsia="es-AR"/>
              </w:rPr>
            </w:pPr>
          </w:p>
        </w:tc>
        <w:tc>
          <w:tcPr>
            <w:tcW w:w="1471" w:type="dxa"/>
            <w:tcBorders>
              <w:top w:val="nil"/>
              <w:left w:val="nil"/>
              <w:bottom w:val="nil"/>
              <w:right w:val="nil"/>
            </w:tcBorders>
            <w:shd w:val="clear" w:color="auto" w:fill="auto"/>
            <w:noWrap/>
            <w:vAlign w:val="bottom"/>
            <w:hideMark/>
          </w:tcPr>
          <w:p w14:paraId="243439B0" w14:textId="4C3CC2CD"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121" w:type="dxa"/>
            <w:tcBorders>
              <w:top w:val="nil"/>
              <w:left w:val="nil"/>
              <w:bottom w:val="nil"/>
              <w:right w:val="nil"/>
            </w:tcBorders>
            <w:shd w:val="clear" w:color="auto" w:fill="auto"/>
            <w:noWrap/>
            <w:vAlign w:val="bottom"/>
            <w:hideMark/>
          </w:tcPr>
          <w:p w14:paraId="0295EA96" w14:textId="69FC82E6"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nil"/>
              <w:right w:val="nil"/>
            </w:tcBorders>
            <w:shd w:val="clear" w:color="auto" w:fill="auto"/>
            <w:noWrap/>
            <w:vAlign w:val="bottom"/>
            <w:hideMark/>
          </w:tcPr>
          <w:p w14:paraId="4C552135" w14:textId="50FFA9A9"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   </w:t>
            </w:r>
          </w:p>
        </w:tc>
      </w:tr>
      <w:tr w:rsidR="00042B27" w:rsidRPr="00C41803" w14:paraId="3439F6C0" w14:textId="77777777" w:rsidTr="002E1AF6">
        <w:trPr>
          <w:trHeight w:val="222"/>
        </w:trPr>
        <w:tc>
          <w:tcPr>
            <w:tcW w:w="2886" w:type="dxa"/>
            <w:tcBorders>
              <w:top w:val="nil"/>
              <w:left w:val="nil"/>
              <w:bottom w:val="single" w:sz="8" w:space="0" w:color="auto"/>
              <w:right w:val="nil"/>
            </w:tcBorders>
            <w:shd w:val="clear" w:color="auto" w:fill="auto"/>
            <w:noWrap/>
            <w:vAlign w:val="bottom"/>
            <w:hideMark/>
          </w:tcPr>
          <w:p w14:paraId="6EF9E922" w14:textId="77777777" w:rsidR="00042B27" w:rsidRPr="002E1AF6" w:rsidRDefault="00042B27" w:rsidP="00042B27">
            <w:pPr>
              <w:rPr>
                <w:rFonts w:ascii="Arial" w:hAnsi="Arial" w:cs="Arial"/>
                <w:color w:val="000000"/>
                <w:sz w:val="16"/>
                <w:szCs w:val="16"/>
                <w:lang w:eastAsia="es-AR"/>
              </w:rPr>
            </w:pPr>
            <w:r w:rsidRPr="002E1AF6">
              <w:rPr>
                <w:rFonts w:ascii="Arial" w:hAnsi="Arial" w:cs="Arial"/>
                <w:color w:val="000000"/>
                <w:sz w:val="16"/>
                <w:szCs w:val="16"/>
                <w:lang w:eastAsia="es-AR"/>
              </w:rPr>
              <w:t>Compromisos eventuales</w:t>
            </w:r>
          </w:p>
        </w:tc>
        <w:tc>
          <w:tcPr>
            <w:tcW w:w="1602" w:type="dxa"/>
            <w:tcBorders>
              <w:top w:val="nil"/>
              <w:left w:val="nil"/>
              <w:bottom w:val="single" w:sz="8" w:space="0" w:color="auto"/>
              <w:right w:val="nil"/>
            </w:tcBorders>
            <w:shd w:val="clear" w:color="auto" w:fill="auto"/>
            <w:noWrap/>
            <w:vAlign w:val="bottom"/>
            <w:hideMark/>
          </w:tcPr>
          <w:p w14:paraId="0471ABE0" w14:textId="13566BA2"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367 </w:t>
            </w:r>
          </w:p>
        </w:tc>
        <w:tc>
          <w:tcPr>
            <w:tcW w:w="1471" w:type="dxa"/>
            <w:tcBorders>
              <w:top w:val="nil"/>
              <w:left w:val="nil"/>
              <w:bottom w:val="single" w:sz="8" w:space="0" w:color="auto"/>
              <w:right w:val="nil"/>
            </w:tcBorders>
            <w:shd w:val="clear" w:color="auto" w:fill="auto"/>
            <w:noWrap/>
            <w:vAlign w:val="bottom"/>
            <w:hideMark/>
          </w:tcPr>
          <w:p w14:paraId="17DB60DB" w14:textId="48575C57"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121" w:type="dxa"/>
            <w:tcBorders>
              <w:top w:val="nil"/>
              <w:left w:val="nil"/>
              <w:bottom w:val="single" w:sz="8" w:space="0" w:color="auto"/>
              <w:right w:val="nil"/>
            </w:tcBorders>
            <w:shd w:val="clear" w:color="auto" w:fill="auto"/>
            <w:noWrap/>
            <w:vAlign w:val="bottom"/>
            <w:hideMark/>
          </w:tcPr>
          <w:p w14:paraId="561F790A" w14:textId="3905ADBF" w:rsidR="00042B27" w:rsidRPr="002775B9" w:rsidRDefault="00042B27" w:rsidP="002E1AF6">
            <w:pPr>
              <w:jc w:val="right"/>
              <w:rPr>
                <w:rFonts w:ascii="Arial" w:hAnsi="Arial" w:cs="Arial"/>
                <w:color w:val="000000"/>
                <w:sz w:val="16"/>
                <w:szCs w:val="16"/>
                <w:lang w:eastAsia="es-AR"/>
              </w:rPr>
            </w:pPr>
            <w:r w:rsidRPr="002775B9">
              <w:rPr>
                <w:rFonts w:ascii="Arial" w:hAnsi="Arial" w:cs="Arial"/>
                <w:sz w:val="16"/>
                <w:szCs w:val="16"/>
              </w:rPr>
              <w:t xml:space="preserve"> -   </w:t>
            </w:r>
          </w:p>
        </w:tc>
        <w:tc>
          <w:tcPr>
            <w:tcW w:w="1471" w:type="dxa"/>
            <w:tcBorders>
              <w:top w:val="nil"/>
              <w:left w:val="nil"/>
              <w:bottom w:val="single" w:sz="8" w:space="0" w:color="auto"/>
              <w:right w:val="nil"/>
            </w:tcBorders>
            <w:shd w:val="clear" w:color="auto" w:fill="auto"/>
            <w:noWrap/>
            <w:vAlign w:val="bottom"/>
            <w:hideMark/>
          </w:tcPr>
          <w:p w14:paraId="1073596A" w14:textId="265C3A02" w:rsidR="00042B27" w:rsidRPr="002E1AF6" w:rsidRDefault="00042B27" w:rsidP="002E1AF6">
            <w:pPr>
              <w:jc w:val="right"/>
              <w:rPr>
                <w:rFonts w:ascii="Arial" w:hAnsi="Arial" w:cs="Arial"/>
                <w:color w:val="000000"/>
                <w:sz w:val="16"/>
                <w:szCs w:val="16"/>
                <w:lang w:eastAsia="es-AR"/>
              </w:rPr>
            </w:pPr>
            <w:r w:rsidRPr="002E1AF6">
              <w:rPr>
                <w:rFonts w:ascii="Arial" w:hAnsi="Arial" w:cs="Arial"/>
                <w:sz w:val="16"/>
                <w:szCs w:val="16"/>
              </w:rPr>
              <w:t xml:space="preserve"> 367 </w:t>
            </w:r>
          </w:p>
        </w:tc>
      </w:tr>
      <w:tr w:rsidR="00042B27" w:rsidRPr="00C41803" w14:paraId="2353FCFF" w14:textId="77777777" w:rsidTr="002E1AF6">
        <w:trPr>
          <w:trHeight w:val="222"/>
        </w:trPr>
        <w:tc>
          <w:tcPr>
            <w:tcW w:w="2886" w:type="dxa"/>
            <w:tcBorders>
              <w:top w:val="single" w:sz="8" w:space="0" w:color="auto"/>
              <w:left w:val="nil"/>
              <w:bottom w:val="single" w:sz="4" w:space="0" w:color="auto"/>
              <w:right w:val="nil"/>
            </w:tcBorders>
            <w:shd w:val="clear" w:color="auto" w:fill="auto"/>
            <w:vAlign w:val="center"/>
            <w:hideMark/>
          </w:tcPr>
          <w:p w14:paraId="2EBBE2EA" w14:textId="77777777" w:rsidR="00042B27" w:rsidRPr="002E1AF6" w:rsidRDefault="00042B27" w:rsidP="00042B27">
            <w:pPr>
              <w:jc w:val="center"/>
              <w:rPr>
                <w:rFonts w:ascii="Arial" w:hAnsi="Arial" w:cs="Arial"/>
                <w:b/>
                <w:bCs/>
                <w:color w:val="000000"/>
                <w:sz w:val="16"/>
                <w:szCs w:val="16"/>
                <w:lang w:eastAsia="es-AR"/>
              </w:rPr>
            </w:pPr>
            <w:r w:rsidRPr="002E1AF6">
              <w:rPr>
                <w:rFonts w:ascii="Arial" w:hAnsi="Arial" w:cs="Arial"/>
                <w:b/>
                <w:bCs/>
                <w:color w:val="000000"/>
                <w:sz w:val="16"/>
                <w:szCs w:val="16"/>
                <w:lang w:eastAsia="es-AR"/>
              </w:rPr>
              <w:t>TOTAL DE PREVISIONES</w:t>
            </w:r>
          </w:p>
        </w:tc>
        <w:tc>
          <w:tcPr>
            <w:tcW w:w="1602" w:type="dxa"/>
            <w:tcBorders>
              <w:top w:val="single" w:sz="8" w:space="0" w:color="auto"/>
              <w:left w:val="nil"/>
              <w:bottom w:val="single" w:sz="4" w:space="0" w:color="auto"/>
              <w:right w:val="nil"/>
            </w:tcBorders>
            <w:shd w:val="clear" w:color="auto" w:fill="auto"/>
            <w:vAlign w:val="bottom"/>
            <w:hideMark/>
          </w:tcPr>
          <w:p w14:paraId="78FD0990" w14:textId="5B677FC3" w:rsidR="00042B27" w:rsidRPr="002E1AF6" w:rsidRDefault="00042B27" w:rsidP="002E1AF6">
            <w:pPr>
              <w:jc w:val="right"/>
              <w:rPr>
                <w:rFonts w:ascii="Arial" w:hAnsi="Arial" w:cs="Arial"/>
                <w:b/>
                <w:bCs/>
                <w:color w:val="000000"/>
                <w:sz w:val="16"/>
                <w:szCs w:val="16"/>
                <w:lang w:eastAsia="es-AR"/>
              </w:rPr>
            </w:pPr>
            <w:r w:rsidRPr="002E1AF6">
              <w:rPr>
                <w:rFonts w:ascii="Arial" w:hAnsi="Arial" w:cs="Arial"/>
                <w:b/>
                <w:sz w:val="16"/>
                <w:szCs w:val="16"/>
              </w:rPr>
              <w:t xml:space="preserve"> 5.874.496 </w:t>
            </w:r>
          </w:p>
        </w:tc>
        <w:tc>
          <w:tcPr>
            <w:tcW w:w="1471" w:type="dxa"/>
            <w:tcBorders>
              <w:top w:val="single" w:sz="8" w:space="0" w:color="auto"/>
              <w:left w:val="nil"/>
              <w:bottom w:val="single" w:sz="4" w:space="0" w:color="auto"/>
              <w:right w:val="nil"/>
            </w:tcBorders>
            <w:shd w:val="clear" w:color="auto" w:fill="auto"/>
            <w:vAlign w:val="bottom"/>
            <w:hideMark/>
          </w:tcPr>
          <w:p w14:paraId="1E64E25C" w14:textId="5FFC79D9" w:rsidR="00042B27" w:rsidRPr="002E1AF6" w:rsidRDefault="00042B27" w:rsidP="002E1AF6">
            <w:pPr>
              <w:jc w:val="right"/>
              <w:rPr>
                <w:rFonts w:ascii="Arial" w:hAnsi="Arial" w:cs="Arial"/>
                <w:b/>
                <w:bCs/>
                <w:color w:val="000000"/>
                <w:sz w:val="16"/>
                <w:szCs w:val="16"/>
                <w:lang w:eastAsia="es-AR"/>
              </w:rPr>
            </w:pPr>
            <w:r w:rsidRPr="002E1AF6">
              <w:rPr>
                <w:rFonts w:ascii="Arial" w:hAnsi="Arial" w:cs="Arial"/>
                <w:b/>
                <w:sz w:val="16"/>
                <w:szCs w:val="16"/>
              </w:rPr>
              <w:t xml:space="preserve"> -   </w:t>
            </w:r>
          </w:p>
        </w:tc>
        <w:tc>
          <w:tcPr>
            <w:tcW w:w="1121" w:type="dxa"/>
            <w:tcBorders>
              <w:top w:val="single" w:sz="8" w:space="0" w:color="auto"/>
              <w:left w:val="nil"/>
              <w:bottom w:val="single" w:sz="4" w:space="0" w:color="auto"/>
              <w:right w:val="nil"/>
            </w:tcBorders>
            <w:shd w:val="clear" w:color="auto" w:fill="auto"/>
            <w:vAlign w:val="bottom"/>
            <w:hideMark/>
          </w:tcPr>
          <w:p w14:paraId="1F4C9F71" w14:textId="4FD04259" w:rsidR="00042B27" w:rsidRPr="002775B9" w:rsidRDefault="00042B27" w:rsidP="002E1AF6">
            <w:pPr>
              <w:jc w:val="right"/>
              <w:rPr>
                <w:rFonts w:ascii="Arial" w:hAnsi="Arial" w:cs="Arial"/>
                <w:b/>
                <w:bCs/>
                <w:color w:val="000000"/>
                <w:sz w:val="16"/>
                <w:szCs w:val="16"/>
                <w:lang w:eastAsia="es-AR"/>
              </w:rPr>
            </w:pPr>
            <w:r w:rsidRPr="002775B9">
              <w:rPr>
                <w:rFonts w:ascii="Arial" w:hAnsi="Arial" w:cs="Arial"/>
                <w:b/>
                <w:bCs/>
                <w:color w:val="000000"/>
                <w:sz w:val="16"/>
                <w:szCs w:val="16"/>
                <w:lang w:eastAsia="es-AR"/>
              </w:rPr>
              <w:t>-</w:t>
            </w:r>
          </w:p>
        </w:tc>
        <w:tc>
          <w:tcPr>
            <w:tcW w:w="1471" w:type="dxa"/>
            <w:tcBorders>
              <w:top w:val="single" w:sz="8" w:space="0" w:color="auto"/>
              <w:left w:val="nil"/>
              <w:bottom w:val="single" w:sz="4" w:space="0" w:color="auto"/>
              <w:right w:val="nil"/>
            </w:tcBorders>
            <w:shd w:val="clear" w:color="auto" w:fill="auto"/>
            <w:vAlign w:val="bottom"/>
            <w:hideMark/>
          </w:tcPr>
          <w:p w14:paraId="598D787B" w14:textId="14605CAE" w:rsidR="00042B27" w:rsidRPr="002E1AF6" w:rsidRDefault="00042B27" w:rsidP="002E1AF6">
            <w:pPr>
              <w:jc w:val="right"/>
              <w:rPr>
                <w:rFonts w:ascii="Arial" w:hAnsi="Arial" w:cs="Arial"/>
                <w:b/>
                <w:bCs/>
                <w:color w:val="000000"/>
                <w:sz w:val="16"/>
                <w:szCs w:val="16"/>
                <w:lang w:eastAsia="es-AR"/>
              </w:rPr>
            </w:pPr>
            <w:r w:rsidRPr="002E1AF6">
              <w:rPr>
                <w:rFonts w:ascii="Arial" w:hAnsi="Arial" w:cs="Arial"/>
                <w:b/>
                <w:sz w:val="16"/>
                <w:szCs w:val="16"/>
              </w:rPr>
              <w:t xml:space="preserve"> 5.874.496 </w:t>
            </w:r>
          </w:p>
        </w:tc>
      </w:tr>
      <w:tr w:rsidR="00894662" w:rsidRPr="00C41803" w14:paraId="0D143F1B" w14:textId="77777777" w:rsidTr="002E1AF6">
        <w:trPr>
          <w:trHeight w:val="418"/>
        </w:trPr>
        <w:tc>
          <w:tcPr>
            <w:tcW w:w="8553" w:type="dxa"/>
            <w:gridSpan w:val="5"/>
            <w:tcBorders>
              <w:top w:val="single" w:sz="4" w:space="0" w:color="auto"/>
              <w:left w:val="nil"/>
              <w:right w:val="nil"/>
            </w:tcBorders>
            <w:shd w:val="clear" w:color="auto" w:fill="auto"/>
            <w:vAlign w:val="center"/>
          </w:tcPr>
          <w:p w14:paraId="446C62B9" w14:textId="79D3D456" w:rsidR="00894662" w:rsidRPr="002E1AF6" w:rsidRDefault="00894662" w:rsidP="002E1AF6">
            <w:pPr>
              <w:rPr>
                <w:rFonts w:ascii="Arial" w:hAnsi="Arial" w:cs="Arial"/>
                <w:i/>
                <w:sz w:val="16"/>
                <w:szCs w:val="16"/>
              </w:rPr>
            </w:pPr>
            <w:r w:rsidRPr="002E1AF6">
              <w:rPr>
                <w:rFonts w:ascii="Arial" w:hAnsi="Arial" w:cs="Arial"/>
                <w:i/>
                <w:sz w:val="16"/>
                <w:szCs w:val="16"/>
              </w:rPr>
              <w:t>*Los saldos de previsiones referentes a Cordial Compañía Financiera S.A. se mantienen bajo las Normas de previsiones mínimas según lo dispuesto en la Comunicación “A” 6990 del B.C.R.A.</w:t>
            </w:r>
          </w:p>
        </w:tc>
      </w:tr>
    </w:tbl>
    <w:p w14:paraId="6FCD358F" w14:textId="77777777" w:rsidR="004E486E" w:rsidRPr="002E1AF6" w:rsidRDefault="004E486E" w:rsidP="002E1AF6">
      <w:pPr>
        <w:spacing w:line="240" w:lineRule="exact"/>
        <w:jc w:val="both"/>
        <w:outlineLvl w:val="0"/>
        <w:rPr>
          <w:rFonts w:ascii="Arial" w:hAnsi="Arial" w:cs="Arial"/>
          <w:sz w:val="20"/>
        </w:rPr>
      </w:pPr>
    </w:p>
    <w:p w14:paraId="53FFBF96" w14:textId="07723051" w:rsidR="00894662" w:rsidRPr="00BA7A6B" w:rsidRDefault="00F9058F" w:rsidP="004E486E">
      <w:pPr>
        <w:pStyle w:val="ListParagraph"/>
        <w:spacing w:line="240" w:lineRule="exact"/>
        <w:ind w:left="0"/>
        <w:jc w:val="both"/>
        <w:outlineLvl w:val="0"/>
        <w:rPr>
          <w:rFonts w:ascii="Arial" w:hAnsi="Arial" w:cs="Arial"/>
          <w:bCs/>
          <w:sz w:val="20"/>
          <w:lang w:val="es-ES_tradnl"/>
        </w:rPr>
      </w:pPr>
      <w:r w:rsidRPr="00F9058F">
        <w:rPr>
          <w:rFonts w:ascii="Arial" w:hAnsi="Arial" w:cs="Arial"/>
          <w:bCs/>
          <w:sz w:val="20"/>
          <w:lang w:val="es-ES_tradnl"/>
        </w:rPr>
        <w:t>En la Nota 1.2 se incluye mayor detalle sobre la determinación de la previsión por riesgo de crédito bajo el modelo de pérdidas crediticias esperadas de NIIF 9 con el alcance establecido por el B.C.R.A.</w:t>
      </w:r>
      <w:r w:rsidR="00894662">
        <w:rPr>
          <w:rFonts w:ascii="Arial" w:hAnsi="Arial" w:cs="Arial"/>
          <w:bCs/>
          <w:sz w:val="20"/>
          <w:lang w:val="es-ES_tradnl"/>
        </w:rPr>
        <w:t>.</w:t>
      </w:r>
    </w:p>
    <w:p w14:paraId="592DAF4A" w14:textId="77777777" w:rsidR="004E486E" w:rsidRPr="00BA7A6B" w:rsidRDefault="004E486E" w:rsidP="0038082D">
      <w:pPr>
        <w:pStyle w:val="ListParagraph"/>
        <w:autoSpaceDE w:val="0"/>
        <w:autoSpaceDN w:val="0"/>
        <w:adjustRightInd w:val="0"/>
        <w:ind w:left="360"/>
        <w:jc w:val="both"/>
        <w:rPr>
          <w:rFonts w:ascii="Arial" w:hAnsi="Arial" w:cs="Arial"/>
          <w:b/>
          <w:sz w:val="20"/>
          <w:lang w:val="es-ES_tradnl"/>
        </w:rPr>
      </w:pPr>
    </w:p>
    <w:p w14:paraId="426D237B" w14:textId="70F7B06C" w:rsidR="004E486E" w:rsidRPr="00BA7A6B" w:rsidRDefault="004E486E" w:rsidP="002E1AF6">
      <w:pPr>
        <w:pStyle w:val="ListParagraph"/>
        <w:numPr>
          <w:ilvl w:val="0"/>
          <w:numId w:val="64"/>
        </w:numPr>
        <w:spacing w:after="160" w:line="259" w:lineRule="auto"/>
        <w:contextualSpacing/>
        <w:jc w:val="both"/>
        <w:rPr>
          <w:rFonts w:ascii="Arial" w:hAnsi="Arial" w:cs="Arial"/>
          <w:b/>
          <w:sz w:val="20"/>
        </w:rPr>
      </w:pPr>
      <w:r w:rsidRPr="00BA7A6B">
        <w:rPr>
          <w:rFonts w:ascii="Arial" w:hAnsi="Arial" w:cs="Arial"/>
          <w:b/>
          <w:sz w:val="20"/>
        </w:rPr>
        <w:t xml:space="preserve"> Reexpresión por inflación de los estados financieros</w:t>
      </w:r>
    </w:p>
    <w:p w14:paraId="487D7107" w14:textId="77777777" w:rsidR="004E486E" w:rsidRPr="00BA7A6B" w:rsidRDefault="004E486E" w:rsidP="00BA7A6B">
      <w:pPr>
        <w:spacing w:after="160" w:line="259" w:lineRule="auto"/>
        <w:ind w:left="426"/>
        <w:contextualSpacing/>
        <w:jc w:val="both"/>
        <w:rPr>
          <w:rFonts w:ascii="Arial" w:hAnsi="Arial" w:cs="Arial"/>
          <w:b/>
          <w:sz w:val="20"/>
        </w:rPr>
      </w:pPr>
    </w:p>
    <w:p w14:paraId="17426A4A" w14:textId="77777777" w:rsidR="00894662" w:rsidRPr="00894662" w:rsidRDefault="00894662" w:rsidP="002E1AF6">
      <w:pPr>
        <w:spacing w:after="160" w:line="259" w:lineRule="auto"/>
        <w:contextualSpacing/>
        <w:jc w:val="both"/>
        <w:rPr>
          <w:rFonts w:ascii="Arial" w:hAnsi="Arial" w:cs="Arial"/>
          <w:bCs/>
          <w:sz w:val="20"/>
          <w:lang w:val="es-ES_tradnl"/>
        </w:rPr>
      </w:pPr>
      <w:r w:rsidRPr="00894662">
        <w:rPr>
          <w:rFonts w:ascii="Arial" w:hAnsi="Arial" w:cs="Arial"/>
          <w:bCs/>
          <w:sz w:val="20"/>
          <w:lang w:val="es-ES_tradnl"/>
        </w:rPr>
        <w:t>La NIC 29 “Información financiera en economías hiperinflacionarias” requiere que los estados financieros de una entidad, cuya moneda funcional sea la de una economía de hiperinflacionaria, se expresen en términos de la unidad de medida corriente a la fecha de cierre del ejercicio sobre el que se informa, independientemente de si están basados en el método del costo histórico o en el método del costo corriente. Para ello, en términos generales, se debe computar en las partidas no monetarias la inflación producida desde la fecha de adquisición o desde la fecha de revaluación según corresponda. Dichos requerimientos también comprenden a la información comparativa de los estados financieros.</w:t>
      </w:r>
    </w:p>
    <w:p w14:paraId="69F44FBA" w14:textId="77777777" w:rsidR="00894662" w:rsidRPr="00894662" w:rsidRDefault="00894662" w:rsidP="00894662">
      <w:pPr>
        <w:spacing w:after="160" w:line="259" w:lineRule="auto"/>
        <w:ind w:left="426"/>
        <w:contextualSpacing/>
        <w:jc w:val="both"/>
        <w:rPr>
          <w:rFonts w:ascii="Arial" w:hAnsi="Arial" w:cs="Arial"/>
          <w:bCs/>
          <w:sz w:val="20"/>
          <w:lang w:val="es-ES_tradnl"/>
        </w:rPr>
      </w:pPr>
    </w:p>
    <w:p w14:paraId="5CA39146" w14:textId="77777777" w:rsidR="00894662" w:rsidRPr="00894662" w:rsidRDefault="00894662" w:rsidP="002E1AF6">
      <w:pPr>
        <w:spacing w:after="160" w:line="259" w:lineRule="auto"/>
        <w:contextualSpacing/>
        <w:jc w:val="both"/>
        <w:rPr>
          <w:rFonts w:ascii="Arial" w:hAnsi="Arial" w:cs="Arial"/>
          <w:bCs/>
          <w:sz w:val="20"/>
          <w:lang w:val="es-ES_tradnl"/>
        </w:rPr>
      </w:pPr>
      <w:r w:rsidRPr="00894662">
        <w:rPr>
          <w:rFonts w:ascii="Arial" w:hAnsi="Arial" w:cs="Arial"/>
          <w:bCs/>
          <w:sz w:val="20"/>
          <w:lang w:val="es-ES_tradnl"/>
        </w:rPr>
        <w:t>A los efectos de concluir sobre si una economía es categorizada como hiperinflacionaria en los términos de la NIC 29, la norma detalla una serie de factores a considerar entre los que se incluye una tasa acumulada de inflación en tres años que se aproxime o exceda el 100%. Es por esta razón que, de acuerdo con la NIC 29, la economía argentina debe ser considerada como de alta inflación a partir del 1° de julio de 2018.</w:t>
      </w:r>
    </w:p>
    <w:p w14:paraId="0A090A31" w14:textId="77777777" w:rsidR="00894662" w:rsidRPr="00894662" w:rsidRDefault="00894662" w:rsidP="00894662">
      <w:pPr>
        <w:spacing w:after="160" w:line="259" w:lineRule="auto"/>
        <w:ind w:left="426"/>
        <w:contextualSpacing/>
        <w:jc w:val="both"/>
        <w:rPr>
          <w:rFonts w:ascii="Arial" w:hAnsi="Arial" w:cs="Arial"/>
          <w:bCs/>
          <w:sz w:val="20"/>
          <w:lang w:val="es-ES_tradnl"/>
        </w:rPr>
      </w:pPr>
    </w:p>
    <w:p w14:paraId="17D8B286" w14:textId="77777777" w:rsidR="00894662" w:rsidRPr="00894662" w:rsidRDefault="00894662" w:rsidP="002E1AF6">
      <w:pPr>
        <w:spacing w:after="160" w:line="259" w:lineRule="auto"/>
        <w:contextualSpacing/>
        <w:jc w:val="both"/>
        <w:rPr>
          <w:rFonts w:ascii="Arial" w:hAnsi="Arial" w:cs="Arial"/>
          <w:bCs/>
          <w:sz w:val="20"/>
          <w:lang w:val="es-ES_tradnl"/>
        </w:rPr>
      </w:pPr>
      <w:r w:rsidRPr="00894662">
        <w:rPr>
          <w:rFonts w:ascii="Arial" w:hAnsi="Arial" w:cs="Arial"/>
          <w:bCs/>
          <w:sz w:val="20"/>
          <w:lang w:val="es-ES_tradnl"/>
        </w:rPr>
        <w:t xml:space="preserve">Resumidamente, el mecanismo de reexpresión de la NIC 29 establece que los activos y pasivos monetarios no son reexpresados dado que ya se encuentran expresados en la unidad de medida corriente al cierre del ejercicio/período sobre el que se informa. Los activos y pasivos sujetos a ajustes en función a acuerdos específicos se ajustarán en función a tales acuerdos. Las partidas no monetarias medidas a sus valores corrientes al final del período/ejercicio sobre el que se informa, tales como el valor neto de realización u otros, son reexpresadas. Los restantes activos y pasivos no monetarios son reexpresados por un índice general de precios. La pérdida o </w:t>
      </w:r>
      <w:r w:rsidRPr="00894662">
        <w:rPr>
          <w:rFonts w:ascii="Arial" w:hAnsi="Arial" w:cs="Arial"/>
          <w:bCs/>
          <w:sz w:val="20"/>
          <w:lang w:val="es-ES_tradnl"/>
        </w:rPr>
        <w:lastRenderedPageBreak/>
        <w:t xml:space="preserve">ganancia por la posición monetaria neta, se incluye en el resultado neto del período/ejercicio que se informa, revelando esta información en una partida separada. </w:t>
      </w:r>
    </w:p>
    <w:p w14:paraId="6F458569" w14:textId="77777777" w:rsidR="00894662" w:rsidRPr="00894662" w:rsidRDefault="00894662" w:rsidP="00894662">
      <w:pPr>
        <w:spacing w:after="160" w:line="259" w:lineRule="auto"/>
        <w:ind w:left="426"/>
        <w:contextualSpacing/>
        <w:jc w:val="both"/>
        <w:rPr>
          <w:rFonts w:ascii="Arial" w:hAnsi="Arial" w:cs="Arial"/>
          <w:bCs/>
          <w:sz w:val="20"/>
          <w:lang w:val="es-ES_tradnl"/>
        </w:rPr>
      </w:pPr>
    </w:p>
    <w:p w14:paraId="0A4F1A5E" w14:textId="4C51740B" w:rsidR="00894662" w:rsidRPr="00BA7A6B" w:rsidRDefault="00894662" w:rsidP="00FD67E8">
      <w:pPr>
        <w:jc w:val="both"/>
        <w:rPr>
          <w:rFonts w:ascii="Arial" w:hAnsi="Arial" w:cs="Arial"/>
          <w:bCs/>
          <w:sz w:val="20"/>
          <w:lang w:val="es-ES_tradnl"/>
        </w:rPr>
      </w:pPr>
      <w:r w:rsidRPr="00894662">
        <w:rPr>
          <w:rFonts w:ascii="Arial" w:hAnsi="Arial" w:cs="Arial"/>
          <w:bCs/>
          <w:sz w:val="20"/>
          <w:lang w:val="es-ES_tradnl"/>
        </w:rPr>
        <w:t>Con fecha 22 de febrero de 2019, el B.C.R.A. emitió la Comunicación “A” 6651 a través de la cual dispuso que a partir del 1 de enero de 2020, los estados financieros se confeccionan en moneda constante. En este sentido, a través de la Comunicación “A” 6849 el B.C.R.A. establece que la frecuencia de reexpresión de la información contable en moneda homogénea es mensual, y el índice utilizado a tales efectos es el índice de Precios al Consumidor Nacional (I.P.C.) elaborado por el INDEC (mes base: diciembre 2016) y para aquellas partidas con fecha de origen anterior, se utiliza el IPIM publicado por la FACPCE, tal como lo establece la Resolución JG 517/16. Asimismo, aclara que la fecha de transición, a efectos de la aplicación retroactiva es el 1 de enero de 2019.</w:t>
      </w:r>
    </w:p>
    <w:p w14:paraId="5716186F" w14:textId="50114ABD" w:rsidR="0038082D" w:rsidRDefault="0038082D" w:rsidP="00BA7A6B">
      <w:pPr>
        <w:pStyle w:val="ListParagraph"/>
        <w:tabs>
          <w:tab w:val="left" w:pos="747"/>
        </w:tabs>
        <w:autoSpaceDE w:val="0"/>
        <w:autoSpaceDN w:val="0"/>
        <w:adjustRightInd w:val="0"/>
        <w:ind w:left="360"/>
        <w:jc w:val="both"/>
        <w:rPr>
          <w:rFonts w:ascii="Arial" w:hAnsi="Arial" w:cs="Arial"/>
          <w:b/>
          <w:sz w:val="20"/>
        </w:rPr>
      </w:pPr>
    </w:p>
    <w:p w14:paraId="10CD66D3" w14:textId="1EBCE2E8" w:rsidR="004E486E" w:rsidRDefault="004E486E" w:rsidP="002E1AF6">
      <w:pPr>
        <w:pStyle w:val="ListParagraph"/>
        <w:numPr>
          <w:ilvl w:val="0"/>
          <w:numId w:val="64"/>
        </w:numPr>
        <w:spacing w:after="160" w:line="259" w:lineRule="auto"/>
        <w:contextualSpacing/>
        <w:jc w:val="both"/>
        <w:rPr>
          <w:rFonts w:ascii="Arial" w:hAnsi="Arial" w:cs="Arial"/>
          <w:b/>
          <w:sz w:val="20"/>
        </w:rPr>
      </w:pPr>
      <w:r>
        <w:rPr>
          <w:rFonts w:ascii="Arial" w:hAnsi="Arial" w:cs="Arial"/>
          <w:b/>
          <w:sz w:val="20"/>
        </w:rPr>
        <w:t xml:space="preserve"> </w:t>
      </w:r>
      <w:r w:rsidRPr="004E486E">
        <w:rPr>
          <w:rFonts w:ascii="Arial" w:hAnsi="Arial" w:cs="Arial"/>
          <w:b/>
          <w:sz w:val="20"/>
        </w:rPr>
        <w:t>Otras modificaciones al Marco Contable establecido por el BCRA</w:t>
      </w:r>
    </w:p>
    <w:p w14:paraId="58D695A1" w14:textId="77777777" w:rsidR="004E486E" w:rsidRDefault="004E486E" w:rsidP="004E486E">
      <w:pPr>
        <w:autoSpaceDE w:val="0"/>
        <w:autoSpaceDN w:val="0"/>
        <w:adjustRightInd w:val="0"/>
        <w:jc w:val="both"/>
        <w:rPr>
          <w:rFonts w:ascii="Arial" w:hAnsi="Arial" w:cs="Arial"/>
          <w:b/>
          <w:sz w:val="20"/>
        </w:rPr>
      </w:pPr>
    </w:p>
    <w:p w14:paraId="56834E5F" w14:textId="0E33D6FF" w:rsidR="00A9367E" w:rsidRDefault="005E785A" w:rsidP="004E486E">
      <w:pPr>
        <w:autoSpaceDE w:val="0"/>
        <w:autoSpaceDN w:val="0"/>
        <w:adjustRightInd w:val="0"/>
        <w:jc w:val="both"/>
        <w:rPr>
          <w:rFonts w:ascii="Arial" w:hAnsi="Arial" w:cs="Arial"/>
          <w:sz w:val="20"/>
          <w:highlight w:val="cyan"/>
        </w:rPr>
      </w:pPr>
      <w:r w:rsidRPr="005E785A">
        <w:rPr>
          <w:rFonts w:ascii="Arial" w:hAnsi="Arial" w:cs="Arial"/>
          <w:sz w:val="20"/>
        </w:rPr>
        <w:t xml:space="preserve">Mediante la Comunicación “A” 6847, el BCRA dispuso que permitirá que al 1 de enero de 2020, las Entidades Financieras recategoricen los instrumentos financieros correspondientes al sector público no financiero que se encuentren medidos a valor razonable con cambio en resultados y a valor razonable con cambios en ORI al criterio de costo amortizado, utilizando como valor de incorporación el valor contable a dicha fecha. </w:t>
      </w:r>
      <w:r>
        <w:rPr>
          <w:rFonts w:ascii="Arial" w:hAnsi="Arial" w:cs="Arial"/>
          <w:sz w:val="20"/>
        </w:rPr>
        <w:t xml:space="preserve">De haberse medido, </w:t>
      </w:r>
      <w:r w:rsidRPr="005E785A">
        <w:rPr>
          <w:rFonts w:ascii="Arial" w:hAnsi="Arial" w:cs="Arial"/>
          <w:sz w:val="20"/>
        </w:rPr>
        <w:t>los instrumentos financieros antes mencionados</w:t>
      </w:r>
      <w:r>
        <w:rPr>
          <w:rFonts w:ascii="Arial" w:hAnsi="Arial" w:cs="Arial"/>
          <w:sz w:val="20"/>
        </w:rPr>
        <w:t>,</w:t>
      </w:r>
      <w:r w:rsidRPr="005E785A">
        <w:rPr>
          <w:rFonts w:ascii="Arial" w:hAnsi="Arial" w:cs="Arial"/>
          <w:sz w:val="20"/>
        </w:rPr>
        <w:t xml:space="preserve"> a su valor razonable al 31</w:t>
      </w:r>
      <w:r>
        <w:rPr>
          <w:rFonts w:ascii="Arial" w:hAnsi="Arial" w:cs="Arial"/>
          <w:sz w:val="20"/>
        </w:rPr>
        <w:t xml:space="preserve"> de marzo de 2020</w:t>
      </w:r>
      <w:r w:rsidRPr="005E785A">
        <w:rPr>
          <w:rFonts w:ascii="Arial" w:hAnsi="Arial" w:cs="Arial"/>
          <w:sz w:val="20"/>
        </w:rPr>
        <w:t xml:space="preserve"> se </w:t>
      </w:r>
      <w:r>
        <w:rPr>
          <w:rFonts w:ascii="Arial" w:hAnsi="Arial" w:cs="Arial"/>
          <w:sz w:val="20"/>
        </w:rPr>
        <w:t>habría generado</w:t>
      </w:r>
      <w:r w:rsidRPr="005E785A">
        <w:rPr>
          <w:rFonts w:ascii="Arial" w:hAnsi="Arial" w:cs="Arial"/>
          <w:sz w:val="20"/>
        </w:rPr>
        <w:t xml:space="preserve"> una disminución en el patrimonio neto y los resultados del período de aproximadamente 431</w:t>
      </w:r>
      <w:r w:rsidR="00894662">
        <w:rPr>
          <w:rFonts w:ascii="Arial" w:hAnsi="Arial" w:cs="Arial"/>
          <w:sz w:val="20"/>
        </w:rPr>
        <w:t xml:space="preserve"> millones</w:t>
      </w:r>
      <w:r w:rsidRPr="005E785A">
        <w:rPr>
          <w:rFonts w:ascii="Arial" w:hAnsi="Arial" w:cs="Arial"/>
          <w:sz w:val="20"/>
        </w:rPr>
        <w:t>.</w:t>
      </w:r>
    </w:p>
    <w:p w14:paraId="32C14245" w14:textId="3B182343" w:rsidR="00512583" w:rsidRDefault="00512583" w:rsidP="004E486E">
      <w:pPr>
        <w:autoSpaceDE w:val="0"/>
        <w:autoSpaceDN w:val="0"/>
        <w:adjustRightInd w:val="0"/>
        <w:jc w:val="both"/>
        <w:rPr>
          <w:rFonts w:ascii="Arial" w:hAnsi="Arial" w:cs="Arial"/>
          <w:sz w:val="20"/>
        </w:rPr>
      </w:pPr>
    </w:p>
    <w:p w14:paraId="280DA525" w14:textId="77777777" w:rsidR="00512583" w:rsidRDefault="00512583" w:rsidP="004E486E">
      <w:pPr>
        <w:autoSpaceDE w:val="0"/>
        <w:autoSpaceDN w:val="0"/>
        <w:adjustRightInd w:val="0"/>
        <w:jc w:val="both"/>
        <w:rPr>
          <w:rFonts w:ascii="Arial" w:hAnsi="Arial" w:cs="Arial"/>
          <w:sz w:val="20"/>
        </w:rPr>
      </w:pPr>
    </w:p>
    <w:p w14:paraId="6A02A29C" w14:textId="48D8EB7F" w:rsidR="004E486E" w:rsidRPr="00BA7A6B" w:rsidRDefault="004E486E" w:rsidP="002E1AF6">
      <w:pPr>
        <w:pStyle w:val="ListParagraph"/>
        <w:numPr>
          <w:ilvl w:val="0"/>
          <w:numId w:val="64"/>
        </w:numPr>
        <w:spacing w:after="160" w:line="259" w:lineRule="auto"/>
        <w:contextualSpacing/>
        <w:jc w:val="both"/>
        <w:rPr>
          <w:rFonts w:ascii="Arial" w:hAnsi="Arial" w:cs="Arial"/>
          <w:b/>
          <w:sz w:val="20"/>
        </w:rPr>
      </w:pPr>
      <w:r w:rsidRPr="00BA7A6B">
        <w:rPr>
          <w:rFonts w:ascii="Arial" w:hAnsi="Arial" w:cs="Arial"/>
          <w:b/>
          <w:sz w:val="20"/>
        </w:rPr>
        <w:t xml:space="preserve"> </w:t>
      </w:r>
      <w:r w:rsidRPr="004E486E">
        <w:rPr>
          <w:rFonts w:ascii="Arial" w:hAnsi="Arial" w:cs="Arial"/>
          <w:b/>
          <w:sz w:val="20"/>
        </w:rPr>
        <w:t>Definición de un negocio - Modificaciones a la NIIF 3</w:t>
      </w:r>
    </w:p>
    <w:p w14:paraId="6739CD19" w14:textId="3FEBC3CB" w:rsidR="004E486E" w:rsidRDefault="004E486E" w:rsidP="004E486E">
      <w:pPr>
        <w:autoSpaceDE w:val="0"/>
        <w:autoSpaceDN w:val="0"/>
        <w:adjustRightInd w:val="0"/>
        <w:jc w:val="both"/>
        <w:rPr>
          <w:rFonts w:ascii="Arial" w:hAnsi="Arial" w:cs="Arial"/>
          <w:sz w:val="20"/>
        </w:rPr>
      </w:pPr>
    </w:p>
    <w:p w14:paraId="205ACD1E" w14:textId="5D80A4A7" w:rsidR="004E486E" w:rsidRDefault="004E486E" w:rsidP="004E486E">
      <w:pPr>
        <w:jc w:val="both"/>
        <w:rPr>
          <w:rFonts w:ascii="Arial" w:hAnsi="Arial" w:cs="Arial"/>
          <w:sz w:val="20"/>
        </w:rPr>
      </w:pPr>
      <w:r w:rsidRPr="00BA7A6B">
        <w:rPr>
          <w:rFonts w:ascii="Arial" w:hAnsi="Arial" w:cs="Arial"/>
          <w:sz w:val="20"/>
        </w:rPr>
        <w:t>El 22 de octubre de 2018 IASB publicó modificaciones, las cuales aclaran la definición de negocio, con el objetivo de ayudar a las entidades a determinar si una transacción debe contabilizarse como una combinación de negocios o como la adquisición de un activo. Las modificaciones incluidas son las siguientes:</w:t>
      </w:r>
    </w:p>
    <w:p w14:paraId="2B397ED9" w14:textId="77777777" w:rsidR="00894662" w:rsidRPr="00BA7A6B" w:rsidRDefault="00894662" w:rsidP="004E486E">
      <w:pPr>
        <w:jc w:val="both"/>
        <w:rPr>
          <w:rFonts w:ascii="Arial" w:hAnsi="Arial" w:cs="Arial"/>
          <w:sz w:val="20"/>
        </w:rPr>
      </w:pPr>
    </w:p>
    <w:p w14:paraId="567BBA5C" w14:textId="77777777" w:rsidR="004E486E" w:rsidRPr="00BA7A6B" w:rsidRDefault="004E486E" w:rsidP="004E486E">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aclaran que, para ser considerado un negocio, un conjunto adquirido de actividades y activos debe incluir, como mínimo, un insumo y un proceso sustantivo que juntos contribuyen de forma significativa a la capacidad de elaborar productos; </w:t>
      </w:r>
    </w:p>
    <w:p w14:paraId="63A939AE" w14:textId="77777777" w:rsidR="004E486E" w:rsidRPr="00BA7A6B" w:rsidRDefault="004E486E" w:rsidP="004E486E">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eliminan la evaluación de si los participantes del mercado pueden sustituir los procesos o insumos que faltan y continuar con la producción de productos; </w:t>
      </w:r>
    </w:p>
    <w:p w14:paraId="6E16B561" w14:textId="77777777" w:rsidR="004E486E" w:rsidRPr="00BA7A6B" w:rsidRDefault="004E486E" w:rsidP="004E486E">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añaden guías y ejemplos ilustrativos para ayudar a las entidades a evaluar si se ha adquirido un proceso sustancial; </w:t>
      </w:r>
    </w:p>
    <w:p w14:paraId="78393D06" w14:textId="77777777" w:rsidR="004E486E" w:rsidRPr="00BA7A6B" w:rsidRDefault="004E486E" w:rsidP="004E486E">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lastRenderedPageBreak/>
        <w:t xml:space="preserve">restringen las definiciones de un negocio o de productos centrándose en bienes y servicios proporcionados a los clientes y eliminan la referencia a la capacidad de reducir costos; y </w:t>
      </w:r>
    </w:p>
    <w:p w14:paraId="46E719DF" w14:textId="77777777" w:rsidR="004E486E" w:rsidRPr="00BA7A6B" w:rsidRDefault="004E486E" w:rsidP="004E486E">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añaden una prueba de concentración opcional que permite una evaluación simplificada de si un conjunto de actividades y negocios adquiridos no es un negocio. </w:t>
      </w:r>
    </w:p>
    <w:p w14:paraId="2AD8623F" w14:textId="77777777" w:rsidR="004E486E" w:rsidRPr="00BA7A6B" w:rsidRDefault="004E486E" w:rsidP="004E486E">
      <w:pPr>
        <w:ind w:left="1306"/>
        <w:jc w:val="both"/>
        <w:rPr>
          <w:rFonts w:ascii="Arial" w:hAnsi="Arial" w:cs="Arial"/>
          <w:sz w:val="20"/>
        </w:rPr>
      </w:pPr>
    </w:p>
    <w:p w14:paraId="19E815DC" w14:textId="77777777" w:rsidR="00894662" w:rsidRDefault="004E486E" w:rsidP="004E486E">
      <w:pPr>
        <w:jc w:val="both"/>
        <w:rPr>
          <w:rFonts w:ascii="Arial" w:hAnsi="Arial" w:cs="Arial"/>
          <w:sz w:val="20"/>
        </w:rPr>
      </w:pPr>
      <w:r w:rsidRPr="00BA7A6B">
        <w:rPr>
          <w:rFonts w:ascii="Arial" w:hAnsi="Arial" w:cs="Arial"/>
          <w:sz w:val="20"/>
        </w:rPr>
        <w:t xml:space="preserve">Se requiere que las entidades apliquen las modificaciones a transacciones cuya fecha de adquisición sea a partir del comienzo del primer período anual sobre el que se informa que comenzaron a partir del 1 de enero de 2020. </w:t>
      </w:r>
    </w:p>
    <w:p w14:paraId="1C10D3C1" w14:textId="77777777" w:rsidR="00894662" w:rsidRDefault="00894662" w:rsidP="004E486E">
      <w:pPr>
        <w:jc w:val="both"/>
        <w:rPr>
          <w:rFonts w:ascii="Arial" w:hAnsi="Arial" w:cs="Arial"/>
          <w:sz w:val="20"/>
        </w:rPr>
      </w:pPr>
    </w:p>
    <w:p w14:paraId="4A3DC362" w14:textId="779B4E1E" w:rsidR="004E486E" w:rsidRDefault="004E486E" w:rsidP="004E486E">
      <w:pPr>
        <w:jc w:val="both"/>
        <w:rPr>
          <w:rFonts w:ascii="Arial" w:hAnsi="Arial" w:cs="Arial"/>
          <w:sz w:val="20"/>
        </w:rPr>
      </w:pPr>
      <w:r w:rsidRPr="00BA7A6B">
        <w:rPr>
          <w:rFonts w:ascii="Arial" w:hAnsi="Arial" w:cs="Arial"/>
          <w:sz w:val="20"/>
        </w:rPr>
        <w:t>La Entidad no ve inicialmente un efecto mientras no se realice una combinación de negocios.</w:t>
      </w:r>
    </w:p>
    <w:p w14:paraId="74C47568" w14:textId="77777777" w:rsidR="00C41803" w:rsidRPr="002E1AF6" w:rsidRDefault="00C41803" w:rsidP="004E486E">
      <w:pPr>
        <w:jc w:val="both"/>
        <w:rPr>
          <w:rFonts w:ascii="Arial" w:hAnsi="Arial" w:cs="Arial"/>
          <w:sz w:val="22"/>
        </w:rPr>
      </w:pPr>
    </w:p>
    <w:p w14:paraId="106DD894" w14:textId="7C740B64" w:rsidR="00201315" w:rsidRPr="00894662" w:rsidRDefault="00201315" w:rsidP="002E1AF6">
      <w:pPr>
        <w:pStyle w:val="ListParagraph"/>
        <w:numPr>
          <w:ilvl w:val="0"/>
          <w:numId w:val="64"/>
        </w:numPr>
        <w:spacing w:after="160" w:line="259" w:lineRule="auto"/>
        <w:contextualSpacing/>
        <w:jc w:val="both"/>
        <w:rPr>
          <w:rFonts w:ascii="Arial" w:hAnsi="Arial" w:cs="Arial"/>
          <w:b/>
          <w:sz w:val="20"/>
        </w:rPr>
      </w:pPr>
      <w:r w:rsidRPr="002E1AF6">
        <w:rPr>
          <w:rFonts w:ascii="Arial" w:hAnsi="Arial" w:cs="Arial"/>
          <w:b/>
          <w:sz w:val="22"/>
        </w:rPr>
        <w:t xml:space="preserve"> </w:t>
      </w:r>
      <w:r w:rsidRPr="00FD67E8">
        <w:rPr>
          <w:rFonts w:ascii="Arial" w:hAnsi="Arial" w:cs="Arial"/>
          <w:b/>
          <w:sz w:val="20"/>
        </w:rPr>
        <w:t>Definición de material o c</w:t>
      </w:r>
      <w:r w:rsidR="00944B4A">
        <w:rPr>
          <w:rFonts w:ascii="Arial" w:hAnsi="Arial" w:cs="Arial"/>
          <w:b/>
          <w:sz w:val="20"/>
        </w:rPr>
        <w:t>on</w:t>
      </w:r>
      <w:r w:rsidRPr="00FD67E8">
        <w:rPr>
          <w:rFonts w:ascii="Arial" w:hAnsi="Arial" w:cs="Arial"/>
          <w:b/>
          <w:sz w:val="20"/>
        </w:rPr>
        <w:t xml:space="preserve"> importancia relativa</w:t>
      </w:r>
      <w:r w:rsidRPr="00894662">
        <w:rPr>
          <w:rFonts w:ascii="Arial" w:hAnsi="Arial" w:cs="Arial"/>
          <w:b/>
          <w:sz w:val="20"/>
        </w:rPr>
        <w:t>-Modificaciones a la NIC 1 y NIC 8</w:t>
      </w:r>
    </w:p>
    <w:p w14:paraId="5AE863BB" w14:textId="2046E78F" w:rsidR="00201315" w:rsidRDefault="00201315" w:rsidP="00201315">
      <w:pPr>
        <w:pStyle w:val="ListParagraph"/>
        <w:autoSpaceDE w:val="0"/>
        <w:autoSpaceDN w:val="0"/>
        <w:adjustRightInd w:val="0"/>
        <w:ind w:left="360"/>
        <w:jc w:val="both"/>
        <w:rPr>
          <w:rFonts w:ascii="Arial" w:hAnsi="Arial" w:cs="Arial"/>
          <w:b/>
          <w:sz w:val="20"/>
        </w:rPr>
      </w:pPr>
    </w:p>
    <w:p w14:paraId="135A03D9" w14:textId="77777777" w:rsidR="00201315" w:rsidRPr="00BA7A6B" w:rsidRDefault="00201315" w:rsidP="00201315">
      <w:pPr>
        <w:jc w:val="both"/>
        <w:rPr>
          <w:rFonts w:ascii="Arial" w:hAnsi="Arial" w:cs="Arial"/>
          <w:sz w:val="20"/>
        </w:rPr>
      </w:pPr>
      <w:r w:rsidRPr="00BA7A6B">
        <w:rPr>
          <w:rFonts w:ascii="Arial" w:hAnsi="Arial" w:cs="Arial"/>
          <w:sz w:val="20"/>
        </w:rPr>
        <w:t>El 31 de octubre de 2018, el IASB publicó estas modificaciones, cuyo objetivo es mejorar la comprensión de la definición de material o con importancia relativa, coordinando la redacción de la definición en las Normas NIIF y en el Marco Conceptual para evitar la posibilidad de confusión que surge de definiciones diferentes; en tal sentido, incorpora requerimientos de apoyo en la NIC 1 en la definición para darles más prominencia y aclarar su aplicabilidad; adicionalmente, suministra las guías existentes sobre la definición de material o con importancia relativa en un solo lugar, junto con la definición.</w:t>
      </w:r>
    </w:p>
    <w:p w14:paraId="7F524AE2" w14:textId="00F87A95" w:rsidR="00201315" w:rsidRDefault="00201315" w:rsidP="00201315">
      <w:pPr>
        <w:jc w:val="both"/>
        <w:rPr>
          <w:rFonts w:ascii="Arial" w:hAnsi="Arial" w:cs="Arial"/>
          <w:sz w:val="20"/>
        </w:rPr>
      </w:pPr>
      <w:r w:rsidRPr="00BA7A6B">
        <w:rPr>
          <w:rFonts w:ascii="Arial" w:hAnsi="Arial" w:cs="Arial"/>
          <w:sz w:val="20"/>
        </w:rPr>
        <w:t xml:space="preserve">Esta modificación afecta principalmente el párrafo 7 de la NIC 1, el párrafo 5 de la NIC 8, y elimina el párrafo 6 de la NIC 8, y es aplicable de forma prospectiva a los períodos anuales comenzados a partir del 1 de enero de 2020. </w:t>
      </w:r>
    </w:p>
    <w:p w14:paraId="57835CFA" w14:textId="77777777" w:rsidR="00201315" w:rsidRPr="00BA7A6B" w:rsidRDefault="00201315" w:rsidP="00201315">
      <w:pPr>
        <w:jc w:val="both"/>
        <w:rPr>
          <w:rFonts w:ascii="Arial" w:hAnsi="Arial" w:cs="Arial"/>
          <w:sz w:val="20"/>
        </w:rPr>
      </w:pPr>
    </w:p>
    <w:p w14:paraId="130FC301" w14:textId="41CC7AEC" w:rsidR="00201315" w:rsidRPr="00BA7A6B" w:rsidRDefault="00201315" w:rsidP="00201315">
      <w:pPr>
        <w:jc w:val="both"/>
        <w:rPr>
          <w:rFonts w:ascii="Arial" w:hAnsi="Arial" w:cs="Arial"/>
          <w:sz w:val="20"/>
        </w:rPr>
      </w:pPr>
      <w:r w:rsidRPr="00BA7A6B">
        <w:rPr>
          <w:rFonts w:ascii="Arial" w:hAnsi="Arial" w:cs="Arial"/>
          <w:sz w:val="20"/>
        </w:rPr>
        <w:t>La Entidad considera que esta modificación no tiene un impacto significativo en sus estados financieros.</w:t>
      </w:r>
    </w:p>
    <w:p w14:paraId="5B2E1EA2" w14:textId="4AE44D43" w:rsidR="00201315" w:rsidRPr="00201315" w:rsidRDefault="00201315" w:rsidP="00201315">
      <w:pPr>
        <w:pStyle w:val="ListParagraph"/>
        <w:autoSpaceDE w:val="0"/>
        <w:autoSpaceDN w:val="0"/>
        <w:adjustRightInd w:val="0"/>
        <w:ind w:left="360"/>
        <w:jc w:val="both"/>
        <w:rPr>
          <w:rFonts w:ascii="Arial" w:hAnsi="Arial" w:cs="Arial"/>
          <w:b/>
          <w:sz w:val="20"/>
        </w:rPr>
      </w:pPr>
    </w:p>
    <w:p w14:paraId="3374DE14" w14:textId="625D6DE2" w:rsidR="00201315" w:rsidRPr="00FD67E8" w:rsidRDefault="00201315" w:rsidP="002E1AF6">
      <w:pPr>
        <w:pStyle w:val="ListParagraph"/>
        <w:numPr>
          <w:ilvl w:val="0"/>
          <w:numId w:val="64"/>
        </w:numPr>
        <w:spacing w:after="160" w:line="259" w:lineRule="auto"/>
        <w:contextualSpacing/>
        <w:jc w:val="both"/>
        <w:rPr>
          <w:rFonts w:ascii="Arial" w:hAnsi="Arial" w:cs="Arial"/>
          <w:b/>
          <w:sz w:val="20"/>
        </w:rPr>
      </w:pPr>
      <w:r w:rsidRPr="00FD67E8">
        <w:rPr>
          <w:rFonts w:ascii="Arial" w:hAnsi="Arial" w:cs="Arial"/>
          <w:b/>
          <w:sz w:val="20"/>
        </w:rPr>
        <w:t xml:space="preserve"> Modificaciones al Marco Conceptual de Información Financiera</w:t>
      </w:r>
    </w:p>
    <w:p w14:paraId="2B5FB7BA" w14:textId="77777777" w:rsidR="00201315" w:rsidRPr="00201315" w:rsidRDefault="00201315" w:rsidP="00201315">
      <w:pPr>
        <w:pStyle w:val="ListParagraph"/>
        <w:autoSpaceDE w:val="0"/>
        <w:autoSpaceDN w:val="0"/>
        <w:adjustRightInd w:val="0"/>
        <w:ind w:left="360"/>
        <w:jc w:val="both"/>
        <w:rPr>
          <w:rFonts w:ascii="Arial" w:hAnsi="Arial" w:cs="Arial"/>
          <w:b/>
          <w:sz w:val="20"/>
        </w:rPr>
      </w:pPr>
    </w:p>
    <w:p w14:paraId="014939D9" w14:textId="6592BB29" w:rsidR="00201315" w:rsidRDefault="00201315" w:rsidP="00201315">
      <w:pPr>
        <w:jc w:val="both"/>
        <w:rPr>
          <w:rFonts w:ascii="Arial" w:hAnsi="Arial" w:cs="Arial"/>
          <w:sz w:val="20"/>
        </w:rPr>
      </w:pPr>
      <w:r w:rsidRPr="00BA7A6B">
        <w:rPr>
          <w:rFonts w:ascii="Arial" w:hAnsi="Arial" w:cs="Arial"/>
          <w:sz w:val="20"/>
        </w:rPr>
        <w:t xml:space="preserve">El IASB ha emitido un nuevo Marco Conceptual. La mencionada modificación no implicará cambios a ninguna de las normas contables vigentes. Sin embargo, las entidades que utilizan el Marco Conceptual para definir las políticas contables para aquellas transacciones, eventos o situaciones no contempladas en las normas contables vigentes, aplican el nuevo Marco Conceptual a partir del 1 de enero de 2020 y evaluar si sus políticas contables continúan siendo apropiadas. </w:t>
      </w:r>
    </w:p>
    <w:p w14:paraId="4922FF1E" w14:textId="77777777" w:rsidR="00201315" w:rsidRPr="00BA7A6B" w:rsidRDefault="00201315" w:rsidP="00201315">
      <w:pPr>
        <w:jc w:val="both"/>
        <w:rPr>
          <w:rFonts w:ascii="Arial" w:hAnsi="Arial" w:cs="Arial"/>
          <w:sz w:val="20"/>
        </w:rPr>
      </w:pPr>
    </w:p>
    <w:p w14:paraId="713CD8C7" w14:textId="5377F3A7" w:rsidR="00201315" w:rsidRDefault="00201315" w:rsidP="00201315">
      <w:pPr>
        <w:jc w:val="both"/>
        <w:rPr>
          <w:rFonts w:ascii="Arial" w:hAnsi="Arial" w:cs="Arial"/>
          <w:sz w:val="20"/>
        </w:rPr>
      </w:pPr>
      <w:r w:rsidRPr="00BA7A6B">
        <w:rPr>
          <w:rFonts w:ascii="Arial" w:hAnsi="Arial" w:cs="Arial"/>
          <w:sz w:val="20"/>
        </w:rPr>
        <w:t>La Entidad considera que estas modificaciones no tienen un impacto significativo en sus estados financieros.</w:t>
      </w:r>
    </w:p>
    <w:p w14:paraId="3BCB36CB" w14:textId="7E01DD83" w:rsidR="00201315" w:rsidRDefault="00201315" w:rsidP="00201315">
      <w:pPr>
        <w:jc w:val="both"/>
        <w:rPr>
          <w:rFonts w:ascii="Arial" w:hAnsi="Arial" w:cs="Arial"/>
          <w:sz w:val="20"/>
        </w:rPr>
      </w:pPr>
    </w:p>
    <w:p w14:paraId="1AC236CB" w14:textId="0286E090" w:rsidR="00201315" w:rsidRDefault="00201315" w:rsidP="002E1AF6">
      <w:pPr>
        <w:pStyle w:val="ListParagraph"/>
        <w:numPr>
          <w:ilvl w:val="0"/>
          <w:numId w:val="64"/>
        </w:numPr>
        <w:spacing w:after="160" w:line="259" w:lineRule="auto"/>
        <w:contextualSpacing/>
        <w:jc w:val="both"/>
        <w:rPr>
          <w:rFonts w:ascii="Arial" w:hAnsi="Arial" w:cs="Arial"/>
          <w:b/>
          <w:sz w:val="20"/>
        </w:rPr>
      </w:pPr>
      <w:r>
        <w:rPr>
          <w:rFonts w:ascii="Arial" w:hAnsi="Arial" w:cs="Arial"/>
          <w:b/>
          <w:sz w:val="20"/>
        </w:rPr>
        <w:lastRenderedPageBreak/>
        <w:t xml:space="preserve"> </w:t>
      </w:r>
      <w:r w:rsidRPr="00BA7A6B">
        <w:rPr>
          <w:rFonts w:ascii="Arial" w:hAnsi="Arial" w:cs="Arial"/>
          <w:b/>
          <w:sz w:val="20"/>
        </w:rPr>
        <w:t>Reforma de la tasa de interés de referencia (IBOR) - Modificaciones a NIIF 9</w:t>
      </w:r>
    </w:p>
    <w:p w14:paraId="5F924788" w14:textId="77777777" w:rsidR="00201315" w:rsidRPr="00BA7A6B" w:rsidRDefault="00201315" w:rsidP="00BA7A6B">
      <w:pPr>
        <w:pStyle w:val="ListParagraph"/>
        <w:autoSpaceDE w:val="0"/>
        <w:autoSpaceDN w:val="0"/>
        <w:adjustRightInd w:val="0"/>
        <w:ind w:left="360"/>
        <w:jc w:val="both"/>
        <w:rPr>
          <w:rFonts w:ascii="Arial" w:hAnsi="Arial" w:cs="Arial"/>
          <w:b/>
          <w:sz w:val="20"/>
        </w:rPr>
      </w:pPr>
    </w:p>
    <w:p w14:paraId="27BCBE59" w14:textId="3C97003F" w:rsidR="00201315" w:rsidRPr="00BA7A6B" w:rsidRDefault="00C03F77" w:rsidP="00201315">
      <w:pPr>
        <w:jc w:val="both"/>
        <w:rPr>
          <w:rFonts w:ascii="Arial" w:hAnsi="Arial" w:cs="Arial"/>
          <w:sz w:val="20"/>
        </w:rPr>
      </w:pPr>
      <w:r w:rsidRPr="00BA7A6B">
        <w:rPr>
          <w:rFonts w:ascii="Arial" w:hAnsi="Arial" w:cs="Arial"/>
          <w:bCs/>
          <w:sz w:val="20"/>
        </w:rPr>
        <w:t>E</w:t>
      </w:r>
      <w:r w:rsidR="00201315" w:rsidRPr="00BA7A6B">
        <w:rPr>
          <w:rFonts w:ascii="Arial" w:hAnsi="Arial" w:cs="Arial"/>
          <w:sz w:val="20"/>
        </w:rPr>
        <w:t xml:space="preserve">l 26 de septiembre de 2019 el IASB publicó la modificación que requiere revelaciones adicionales con relación a la incertidumbre generada por la reforma a la tasa de interés de referencia. Esta publicación constituye la primera reacción a los potenciales efectos que generaría la reforma al IBOR en los estados financieros y modifica los requerimientos específicos de contabilidad de cobertura de flujo de efectivo asumiendo que la tasa de interés de referencia no se modifica producto de su reforma. Estas modificaciones fueron efectivas a partir del 1 de enero de 2020 con efecto retroactivo. </w:t>
      </w:r>
    </w:p>
    <w:p w14:paraId="67FB72DE" w14:textId="77777777" w:rsidR="00201315" w:rsidRPr="00BA7A6B" w:rsidRDefault="00201315" w:rsidP="00201315">
      <w:pPr>
        <w:jc w:val="both"/>
        <w:rPr>
          <w:rFonts w:ascii="Arial" w:hAnsi="Arial" w:cs="Arial"/>
          <w:sz w:val="20"/>
        </w:rPr>
      </w:pPr>
    </w:p>
    <w:p w14:paraId="6B3918A4" w14:textId="77777777" w:rsidR="00201315" w:rsidRPr="00201315" w:rsidRDefault="00201315" w:rsidP="00201315">
      <w:pPr>
        <w:jc w:val="both"/>
        <w:rPr>
          <w:rFonts w:ascii="Arial" w:hAnsi="Arial" w:cs="Arial"/>
          <w:sz w:val="20"/>
        </w:rPr>
      </w:pPr>
      <w:r w:rsidRPr="00201315">
        <w:rPr>
          <w:rFonts w:ascii="Arial" w:hAnsi="Arial" w:cs="Arial"/>
          <w:sz w:val="20"/>
        </w:rPr>
        <w:t>La Entidad considera que estas modificaciones no tienen un impacto significativo en sus estados financieros.</w:t>
      </w:r>
    </w:p>
    <w:p w14:paraId="22BEEBC2" w14:textId="77777777" w:rsidR="00201315" w:rsidRDefault="00201315" w:rsidP="00201315">
      <w:pPr>
        <w:jc w:val="both"/>
        <w:rPr>
          <w:rFonts w:ascii="Arial" w:hAnsi="Arial" w:cs="Arial"/>
          <w:sz w:val="20"/>
        </w:rPr>
      </w:pPr>
    </w:p>
    <w:p w14:paraId="71D492A1" w14:textId="6CAD5928" w:rsidR="00201315" w:rsidRPr="002E1AF6" w:rsidRDefault="00201315" w:rsidP="00201315">
      <w:pPr>
        <w:jc w:val="both"/>
        <w:rPr>
          <w:rFonts w:ascii="Arial" w:hAnsi="Arial" w:cs="Arial"/>
          <w:sz w:val="20"/>
        </w:rPr>
      </w:pPr>
      <w:r w:rsidRPr="002E1AF6">
        <w:rPr>
          <w:rFonts w:ascii="Arial" w:hAnsi="Arial" w:cs="Arial"/>
          <w:sz w:val="20"/>
          <w:lang w:val="es-ES_tradnl"/>
        </w:rPr>
        <w:t>Se exponen a continuación los cambios q</w:t>
      </w:r>
      <w:r w:rsidRPr="002E1AF6">
        <w:rPr>
          <w:rFonts w:ascii="Arial" w:hAnsi="Arial" w:cs="Arial"/>
          <w:sz w:val="20"/>
        </w:rPr>
        <w:t xml:space="preserve">ue no han entrado en vigor al 31 de marzo de 2020: </w:t>
      </w:r>
    </w:p>
    <w:p w14:paraId="5142487E" w14:textId="77777777" w:rsidR="00201315" w:rsidRPr="00BA7A6B" w:rsidRDefault="00201315" w:rsidP="00201315">
      <w:pPr>
        <w:jc w:val="both"/>
        <w:rPr>
          <w:rFonts w:ascii="Arial" w:hAnsi="Arial" w:cs="Arial"/>
          <w:b/>
          <w:sz w:val="20"/>
        </w:rPr>
      </w:pPr>
    </w:p>
    <w:p w14:paraId="030A1677" w14:textId="2387FD9C" w:rsidR="00201315" w:rsidRPr="00BA7A6B" w:rsidRDefault="00201315" w:rsidP="002E1AF6">
      <w:pPr>
        <w:pStyle w:val="ListParagraph"/>
        <w:numPr>
          <w:ilvl w:val="0"/>
          <w:numId w:val="65"/>
        </w:numPr>
        <w:tabs>
          <w:tab w:val="left" w:pos="426"/>
        </w:tabs>
        <w:spacing w:after="160" w:line="259" w:lineRule="auto"/>
        <w:contextualSpacing/>
        <w:jc w:val="both"/>
        <w:rPr>
          <w:rFonts w:ascii="Arial" w:hAnsi="Arial" w:cs="Arial"/>
          <w:b/>
          <w:sz w:val="20"/>
        </w:rPr>
      </w:pPr>
      <w:r w:rsidRPr="00BA7A6B">
        <w:rPr>
          <w:rFonts w:ascii="Arial" w:hAnsi="Arial" w:cs="Arial"/>
          <w:b/>
          <w:sz w:val="20"/>
        </w:rPr>
        <w:t xml:space="preserve">Venta o contribuciones de activos entre un inversor y su asociada o interés conjunto – modificaciones a la NIIF 10 y NIC 28.  </w:t>
      </w:r>
    </w:p>
    <w:p w14:paraId="350C7CF7" w14:textId="373E8D17" w:rsidR="00201315" w:rsidRDefault="00201315" w:rsidP="00201315">
      <w:pPr>
        <w:jc w:val="both"/>
        <w:rPr>
          <w:rFonts w:ascii="Arial" w:hAnsi="Arial" w:cs="Arial"/>
          <w:bCs/>
          <w:sz w:val="20"/>
        </w:rPr>
      </w:pPr>
      <w:r w:rsidRPr="00BA7A6B">
        <w:rPr>
          <w:rFonts w:ascii="Arial" w:hAnsi="Arial" w:cs="Arial"/>
          <w:bCs/>
          <w:sz w:val="20"/>
        </w:rPr>
        <w:t>El IASB realizó modificaciones limitadas a la NIIF 10 “Entidades financieras consolidadas” y a la NIC 28 “Inversiones en asociadas y negocios conjuntos”.  Las modificaciones clarifican la contabilización de ventas o contribuciones de activos entre el inversor y sus asociadas y negocios conjuntos.  Ello confirma que el tratamiento contable depende de si los activos no monetarios vendidos o contribuidos a la asociada o negocio conjunto constituyen un “negocio” (tal como está definido en la NIIF 3).</w:t>
      </w:r>
    </w:p>
    <w:p w14:paraId="75B7833E" w14:textId="77777777" w:rsidR="00894662" w:rsidRPr="00BA7A6B" w:rsidRDefault="00894662" w:rsidP="00201315">
      <w:pPr>
        <w:jc w:val="both"/>
        <w:rPr>
          <w:rFonts w:ascii="Arial" w:hAnsi="Arial" w:cs="Arial"/>
          <w:bCs/>
          <w:sz w:val="20"/>
        </w:rPr>
      </w:pPr>
    </w:p>
    <w:p w14:paraId="71FDF8CC" w14:textId="1525DF99" w:rsidR="00894662" w:rsidRDefault="00894662" w:rsidP="00201315">
      <w:pPr>
        <w:jc w:val="both"/>
        <w:rPr>
          <w:rFonts w:ascii="Arial" w:hAnsi="Arial" w:cs="Arial"/>
          <w:bCs/>
          <w:sz w:val="20"/>
        </w:rPr>
      </w:pPr>
      <w:r w:rsidRPr="00894662">
        <w:rPr>
          <w:rFonts w:ascii="Arial" w:hAnsi="Arial" w:cs="Arial"/>
          <w:bCs/>
          <w:sz w:val="20"/>
        </w:rPr>
        <w:t>Cuando los activos no monetarios constituyan un negocio, el inversor va a reconocer la ganancia o pérdida de la venta o aporte de los activos. Si los activos no constituyen un negocio, la ganancia o pérdida es reconocida por el inversor sólo hasta el monto reconocido por el otro inversor en la asociada o negocio conjunto. Las modificaciones aplican de manera prospectiva.</w:t>
      </w:r>
    </w:p>
    <w:p w14:paraId="2B57B9DA" w14:textId="77777777" w:rsidR="00894662" w:rsidRPr="00BA7A6B" w:rsidRDefault="00894662" w:rsidP="00201315">
      <w:pPr>
        <w:jc w:val="both"/>
        <w:rPr>
          <w:rFonts w:ascii="Arial" w:hAnsi="Arial" w:cs="Arial"/>
          <w:bCs/>
          <w:sz w:val="20"/>
        </w:rPr>
      </w:pPr>
    </w:p>
    <w:p w14:paraId="46674334" w14:textId="5684665A" w:rsidR="00201315" w:rsidRPr="00BA7A6B" w:rsidRDefault="00201315" w:rsidP="00201315">
      <w:pPr>
        <w:jc w:val="both"/>
        <w:rPr>
          <w:rFonts w:ascii="Arial" w:hAnsi="Arial" w:cs="Arial"/>
          <w:bCs/>
          <w:sz w:val="20"/>
        </w:rPr>
      </w:pPr>
      <w:r w:rsidRPr="00BA7A6B">
        <w:rPr>
          <w:rFonts w:ascii="Arial" w:hAnsi="Arial" w:cs="Arial"/>
          <w:bCs/>
          <w:sz w:val="20"/>
        </w:rPr>
        <w:t xml:space="preserve">El IASB ha decidido diferir la fecha de aplicación de esta modificación hasta tanto concluya con su proyecto de investigación sobre el método de la participación. </w:t>
      </w:r>
    </w:p>
    <w:p w14:paraId="30577877" w14:textId="77777777" w:rsidR="00201315" w:rsidRPr="00BA7A6B" w:rsidRDefault="00201315" w:rsidP="00201315">
      <w:pPr>
        <w:jc w:val="both"/>
        <w:rPr>
          <w:rFonts w:ascii="Arial" w:hAnsi="Arial" w:cs="Arial"/>
          <w:bCs/>
          <w:sz w:val="20"/>
        </w:rPr>
      </w:pPr>
    </w:p>
    <w:p w14:paraId="028A0314" w14:textId="68FFA029" w:rsidR="00201315" w:rsidRPr="00BA7A6B" w:rsidRDefault="00201315" w:rsidP="00201315">
      <w:pPr>
        <w:jc w:val="both"/>
        <w:rPr>
          <w:rFonts w:ascii="Arial" w:hAnsi="Arial" w:cs="Arial"/>
          <w:sz w:val="20"/>
        </w:rPr>
      </w:pPr>
      <w:r w:rsidRPr="00BA7A6B">
        <w:rPr>
          <w:rFonts w:ascii="Arial" w:hAnsi="Arial" w:cs="Arial"/>
          <w:sz w:val="20"/>
        </w:rPr>
        <w:t>La Entidad se encuentra evaluando el impacto de la adopción de esta nueva norma.</w:t>
      </w:r>
    </w:p>
    <w:p w14:paraId="7A3FA157" w14:textId="77777777" w:rsidR="00201315" w:rsidRPr="00BA7A6B" w:rsidRDefault="00201315" w:rsidP="00201315">
      <w:pPr>
        <w:jc w:val="both"/>
        <w:rPr>
          <w:rFonts w:ascii="Arial" w:hAnsi="Arial" w:cs="Arial"/>
          <w:sz w:val="20"/>
        </w:rPr>
      </w:pPr>
    </w:p>
    <w:p w14:paraId="03A4B9EF" w14:textId="1B107D8E" w:rsidR="00201315" w:rsidRDefault="00042B27" w:rsidP="002E1AF6">
      <w:pPr>
        <w:pStyle w:val="ListParagraph"/>
        <w:numPr>
          <w:ilvl w:val="0"/>
          <w:numId w:val="65"/>
        </w:numPr>
        <w:tabs>
          <w:tab w:val="left" w:pos="426"/>
        </w:tabs>
        <w:spacing w:after="160" w:line="259" w:lineRule="auto"/>
        <w:contextualSpacing/>
        <w:jc w:val="both"/>
        <w:rPr>
          <w:rFonts w:ascii="Arial" w:hAnsi="Arial" w:cs="Arial"/>
          <w:b/>
          <w:sz w:val="20"/>
        </w:rPr>
      </w:pPr>
      <w:r>
        <w:rPr>
          <w:rFonts w:ascii="Arial" w:hAnsi="Arial" w:cs="Arial"/>
          <w:b/>
          <w:sz w:val="20"/>
        </w:rPr>
        <w:t xml:space="preserve"> </w:t>
      </w:r>
      <w:r w:rsidR="00201315" w:rsidRPr="002E1AF6">
        <w:rPr>
          <w:rFonts w:ascii="Arial" w:hAnsi="Arial" w:cs="Arial"/>
          <w:b/>
          <w:sz w:val="20"/>
        </w:rPr>
        <w:t>NIIF 17 “Contratos de seguro”</w:t>
      </w:r>
    </w:p>
    <w:p w14:paraId="48E7E76F" w14:textId="77777777" w:rsidR="00042B27" w:rsidRPr="002E1AF6" w:rsidRDefault="00042B27" w:rsidP="002E1AF6">
      <w:pPr>
        <w:spacing w:after="160" w:line="259" w:lineRule="auto"/>
        <w:contextualSpacing/>
        <w:jc w:val="both"/>
        <w:rPr>
          <w:rFonts w:ascii="Arial" w:hAnsi="Arial" w:cs="Arial"/>
          <w:b/>
          <w:sz w:val="20"/>
        </w:rPr>
      </w:pPr>
    </w:p>
    <w:p w14:paraId="617DCAFC" w14:textId="77777777" w:rsidR="00201315" w:rsidRPr="00BA7A6B" w:rsidRDefault="00201315" w:rsidP="00201315">
      <w:pPr>
        <w:jc w:val="both"/>
        <w:rPr>
          <w:rFonts w:ascii="Arial" w:hAnsi="Arial" w:cs="Arial"/>
          <w:bCs/>
          <w:sz w:val="20"/>
        </w:rPr>
      </w:pPr>
      <w:r w:rsidRPr="00BA7A6B">
        <w:rPr>
          <w:rFonts w:ascii="Arial" w:hAnsi="Arial" w:cs="Arial"/>
          <w:bCs/>
          <w:sz w:val="20"/>
        </w:rPr>
        <w:t xml:space="preserve">El 18 de mayo de 2017, el IASB emitió la NIIF 17 “Contratos de seguro”, que proporciona un marco integral basado en principios para la medición y presentación de todos los contratos de seguro. La nueva norma reemplazará a la NIIF 4 “Contratos de seguro” y exige que los contratos de seguro se midan utilizando los flujos de efectivo de cumplimiento actuales y que los ingresos </w:t>
      </w:r>
      <w:r w:rsidRPr="00BA7A6B">
        <w:rPr>
          <w:rFonts w:ascii="Arial" w:hAnsi="Arial" w:cs="Arial"/>
          <w:bCs/>
          <w:sz w:val="20"/>
        </w:rPr>
        <w:lastRenderedPageBreak/>
        <w:t xml:space="preserve">se reconozcan a medida que se brinda el servicio durante el período de cobertura. La norma entrará en vigencia para los ejercicios que comiencen a partir del 1 de noviembre de 2021. </w:t>
      </w:r>
    </w:p>
    <w:p w14:paraId="728BA20C" w14:textId="247828F4" w:rsidR="00201315" w:rsidRPr="00BA7A6B" w:rsidRDefault="00201315" w:rsidP="00201315">
      <w:pPr>
        <w:jc w:val="both"/>
        <w:rPr>
          <w:rFonts w:ascii="Arial" w:hAnsi="Arial" w:cs="Arial"/>
          <w:sz w:val="20"/>
        </w:rPr>
      </w:pPr>
    </w:p>
    <w:p w14:paraId="7CEB6130" w14:textId="03C64722" w:rsidR="00201315" w:rsidRDefault="00201315" w:rsidP="00201315">
      <w:pPr>
        <w:jc w:val="both"/>
        <w:rPr>
          <w:rFonts w:ascii="Arial" w:hAnsi="Arial" w:cs="Arial"/>
          <w:sz w:val="20"/>
        </w:rPr>
      </w:pPr>
      <w:r w:rsidRPr="00BA7A6B">
        <w:rPr>
          <w:rFonts w:ascii="Arial" w:hAnsi="Arial" w:cs="Arial"/>
          <w:sz w:val="20"/>
        </w:rPr>
        <w:t xml:space="preserve">La Entidad se encuentra evaluando el impacto de la adopción de esta nueva </w:t>
      </w:r>
      <w:r w:rsidRPr="00E33E22">
        <w:rPr>
          <w:rFonts w:ascii="Arial" w:hAnsi="Arial" w:cs="Arial"/>
          <w:sz w:val="20"/>
        </w:rPr>
        <w:t>norma</w:t>
      </w:r>
      <w:r w:rsidRPr="002E1AF6">
        <w:rPr>
          <w:rFonts w:ascii="Arial" w:hAnsi="Arial" w:cs="Arial"/>
          <w:sz w:val="20"/>
        </w:rPr>
        <w:t>.</w:t>
      </w:r>
    </w:p>
    <w:p w14:paraId="68A39AB9" w14:textId="6C6FDE67" w:rsidR="006F33FA" w:rsidRDefault="006F33FA" w:rsidP="00201315">
      <w:pPr>
        <w:jc w:val="both"/>
        <w:rPr>
          <w:rFonts w:ascii="Arial" w:hAnsi="Arial" w:cs="Arial"/>
          <w:sz w:val="20"/>
        </w:rPr>
      </w:pPr>
    </w:p>
    <w:p w14:paraId="1AB40AFC" w14:textId="42D9C06D" w:rsidR="006F33FA" w:rsidRPr="002E1AF6" w:rsidRDefault="006F33FA" w:rsidP="002E1AF6">
      <w:pPr>
        <w:pStyle w:val="ListParagraph"/>
        <w:numPr>
          <w:ilvl w:val="1"/>
          <w:numId w:val="63"/>
        </w:numPr>
        <w:suppressAutoHyphens/>
        <w:overflowPunct w:val="0"/>
        <w:autoSpaceDE w:val="0"/>
        <w:autoSpaceDN w:val="0"/>
        <w:adjustRightInd w:val="0"/>
        <w:spacing w:after="160" w:line="259" w:lineRule="auto"/>
        <w:jc w:val="both"/>
        <w:textAlignment w:val="baseline"/>
        <w:outlineLvl w:val="0"/>
        <w:rPr>
          <w:rFonts w:ascii="Arial" w:eastAsia="Calibri" w:hAnsi="Arial" w:cs="Arial"/>
          <w:b/>
          <w:sz w:val="20"/>
        </w:rPr>
      </w:pPr>
      <w:r w:rsidRPr="002E1AF6">
        <w:rPr>
          <w:rFonts w:ascii="Arial" w:eastAsia="Calibri" w:hAnsi="Arial" w:cs="Arial"/>
          <w:b/>
          <w:sz w:val="20"/>
        </w:rPr>
        <w:t>Deterioro de valor de activos financieros</w:t>
      </w:r>
    </w:p>
    <w:p w14:paraId="2CA087E0"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 xml:space="preserve">El Banco evalúa con un enfoque prospectivo las pérdidas crediticias esperadas (“PCE”) asociadas con los activos financieros medidos a costo amortizado o a valor razonable con cambios en otro resultado integral, la exposición derivada de compromisos de préstamos y contratos de garantía financiera con el alcance establecido por la Comunicación “A” 6847 del BCRA. </w:t>
      </w:r>
    </w:p>
    <w:p w14:paraId="258956AC"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 xml:space="preserve">El Banco mide las PCE de un instrumento financiero de forma que refleje: </w:t>
      </w:r>
    </w:p>
    <w:p w14:paraId="20CEC41A" w14:textId="36EC00EC"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Pr>
          <w:rFonts w:ascii="Arial" w:eastAsia="Calibri" w:hAnsi="Arial" w:cs="Arial"/>
          <w:sz w:val="20"/>
        </w:rPr>
        <w:t xml:space="preserve">         </w:t>
      </w:r>
      <w:r w:rsidRPr="002E1AF6">
        <w:rPr>
          <w:rFonts w:ascii="Arial" w:eastAsia="Calibri" w:hAnsi="Arial" w:cs="Arial"/>
          <w:sz w:val="20"/>
        </w:rPr>
        <w:t xml:space="preserve">(a) un importe de probabilidad ponderada no sesgado que se determina mediante la evaluación de un rango de resultados posibles; </w:t>
      </w:r>
    </w:p>
    <w:p w14:paraId="3745D517" w14:textId="39FC4F9E"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Pr>
          <w:rFonts w:ascii="Arial" w:eastAsia="Calibri" w:hAnsi="Arial" w:cs="Arial"/>
          <w:sz w:val="20"/>
        </w:rPr>
        <w:t xml:space="preserve">         </w:t>
      </w:r>
      <w:r w:rsidRPr="002E1AF6">
        <w:rPr>
          <w:rFonts w:ascii="Arial" w:eastAsia="Calibri" w:hAnsi="Arial" w:cs="Arial"/>
          <w:sz w:val="20"/>
        </w:rPr>
        <w:t xml:space="preserve">(b) el valor temporal del dinero; y </w:t>
      </w:r>
    </w:p>
    <w:p w14:paraId="0D0C9D50" w14:textId="0460AC4B"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Pr>
          <w:rFonts w:ascii="Arial" w:eastAsia="Calibri" w:hAnsi="Arial" w:cs="Arial"/>
          <w:sz w:val="20"/>
        </w:rPr>
        <w:t xml:space="preserve">         </w:t>
      </w:r>
      <w:r w:rsidRPr="002E1AF6">
        <w:rPr>
          <w:rFonts w:ascii="Arial" w:eastAsia="Calibri" w:hAnsi="Arial" w:cs="Arial"/>
          <w:sz w:val="20"/>
        </w:rPr>
        <w:t>(c) la información razonable y sustentable que está disponible sin costo o esfuerzo desproporcionado en la fecha de presentación sobre sucesos pasados, condiciones actuales y pronósticos de condiciones económicas futuras.</w:t>
      </w:r>
    </w:p>
    <w:p w14:paraId="37FBC441"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La NIIF 9 describe un modelo de "tres etapas" para el deterioro basado en cambios en la calidad crediticia desde el reconocimiento inicial como se resume a continuación:</w:t>
      </w:r>
    </w:p>
    <w:p w14:paraId="50A4C24F"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 Si, en la fecha de presentación, el riesgo de crédito de un instrumento financiero no se ha incrementado de forma significativa desde el reconocimiento inicial, el Banco lo clasificará en la "Etapa 1".</w:t>
      </w:r>
    </w:p>
    <w:p w14:paraId="5BBF4297"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 xml:space="preserve">• Si se detecta un aumento significativo en el riesgo de crédito ("SICR" por sus siglas en inglés) desde que se identifica el reconocimiento inicial, el instrumento financiero se traslada a la "Etapa 2", pero aún no se considera que tiene un deterioro crediticio. </w:t>
      </w:r>
    </w:p>
    <w:p w14:paraId="536A784A"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 Si el instrumento financiero tiene un deterioro crediticio se traslada a la “Etapa 3”</w:t>
      </w:r>
    </w:p>
    <w:p w14:paraId="36959C21" w14:textId="5658F501"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 xml:space="preserve">• Para los instrumentos financieros en “Etapa 1” el Banco mide las PCE a un importe igual a la porción de las pérdidas crediticias esperadas durante el tiempo de vida del activo que resulta de los eventos de default posibles dentro de los próximos 12 meses. Los instrumentos financieros en “Etapa 2” y “Etapa 3” el Banco mide las PCE durante el tiempo de vida (en adelante “Lifetime”) del activo. En la nota </w:t>
      </w:r>
      <w:r w:rsidR="003E393D">
        <w:rPr>
          <w:rFonts w:ascii="Arial" w:eastAsia="Calibri" w:hAnsi="Arial" w:cs="Arial"/>
          <w:sz w:val="20"/>
        </w:rPr>
        <w:t>1.2</w:t>
      </w:r>
      <w:r w:rsidRPr="002E1AF6">
        <w:rPr>
          <w:rFonts w:ascii="Arial" w:eastAsia="Calibri" w:hAnsi="Arial" w:cs="Arial"/>
          <w:sz w:val="20"/>
        </w:rPr>
        <w:t>.1 se expone una descripción de cómo el Banco determina cuándo se ha producido un aumento significativo en el riesgo de crédito.</w:t>
      </w:r>
    </w:p>
    <w:p w14:paraId="24937163"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lastRenderedPageBreak/>
        <w:t>• Un concepto generalizado en la medición de PCE de acuerdo con la NIIF 9 es que debe considerar la información prospectiva.</w:t>
      </w:r>
    </w:p>
    <w:p w14:paraId="47719CCF" w14:textId="77777777" w:rsidR="006F33FA" w:rsidRPr="002E1AF6"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 Activos financieros con deterioro de valor crediticio comprados u originados son aquellos activos financieros que se encuentran deteriorados en su reconocimiento inicial. Las PCE de este tipo de instrumentos financieros es siempre medida durante el tiempo de vida del activo (“Etapa 3).</w:t>
      </w:r>
    </w:p>
    <w:p w14:paraId="2C7734BC" w14:textId="5ECF7296" w:rsidR="006F33FA" w:rsidRDefault="006F33FA" w:rsidP="006F33FA">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2E1AF6">
        <w:rPr>
          <w:rFonts w:ascii="Arial" w:eastAsia="Calibri" w:hAnsi="Arial" w:cs="Arial"/>
          <w:sz w:val="20"/>
        </w:rPr>
        <w:t>El siguiente esquema resume los requerimientos de deterioro bajo NIIF9 (para activos financieros que no sean activos con deterioro de valor crediticio comprados u originados):</w:t>
      </w:r>
    </w:p>
    <w:tbl>
      <w:tblPr>
        <w:tblW w:w="6799" w:type="dxa"/>
        <w:jc w:val="center"/>
        <w:tblCellMar>
          <w:left w:w="70" w:type="dxa"/>
          <w:right w:w="70" w:type="dxa"/>
        </w:tblCellMar>
        <w:tblLook w:val="04A0" w:firstRow="1" w:lastRow="0" w:firstColumn="1" w:lastColumn="0" w:noHBand="0" w:noVBand="1"/>
      </w:tblPr>
      <w:tblGrid>
        <w:gridCol w:w="2038"/>
        <w:gridCol w:w="2921"/>
        <w:gridCol w:w="1840"/>
      </w:tblGrid>
      <w:tr w:rsidR="006F33FA" w:rsidRPr="006F33FA" w14:paraId="06A3E8DE" w14:textId="77777777" w:rsidTr="006F33FA">
        <w:trPr>
          <w:trHeight w:val="276"/>
          <w:jc w:val="center"/>
        </w:trPr>
        <w:tc>
          <w:tcPr>
            <w:tcW w:w="6799"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5BAFE9A9" w14:textId="77777777" w:rsidR="006F33FA" w:rsidRPr="002E1AF6" w:rsidRDefault="006F33FA">
            <w:pPr>
              <w:jc w:val="center"/>
              <w:rPr>
                <w:rFonts w:ascii="Arial" w:hAnsi="Arial" w:cs="Arial"/>
                <w:sz w:val="16"/>
                <w:szCs w:val="18"/>
                <w:lang w:eastAsia="es-AR"/>
              </w:rPr>
            </w:pPr>
            <w:r w:rsidRPr="002E1AF6">
              <w:rPr>
                <w:rFonts w:ascii="Arial" w:hAnsi="Arial" w:cs="Arial"/>
                <w:b/>
                <w:bCs/>
                <w:color w:val="000000"/>
                <w:sz w:val="16"/>
                <w:szCs w:val="18"/>
                <w:lang w:eastAsia="es-AR"/>
              </w:rPr>
              <w:t>Cambios en la calidad crediticia desde el reconocimiento inicial</w:t>
            </w:r>
          </w:p>
        </w:tc>
      </w:tr>
      <w:tr w:rsidR="006F33FA" w:rsidRPr="006F33FA" w14:paraId="1C7FD4F7" w14:textId="77777777" w:rsidTr="006F33FA">
        <w:trPr>
          <w:trHeight w:val="276"/>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9293269" w14:textId="77777777" w:rsidR="006F33FA" w:rsidRPr="002E1AF6" w:rsidRDefault="006F33FA">
            <w:pPr>
              <w:rPr>
                <w:rFonts w:ascii="Arial" w:hAnsi="Arial" w:cs="Arial"/>
                <w:sz w:val="16"/>
                <w:szCs w:val="18"/>
                <w:lang w:eastAsia="es-AR"/>
              </w:rPr>
            </w:pPr>
          </w:p>
        </w:tc>
      </w:tr>
      <w:tr w:rsidR="006F33FA" w:rsidRPr="006F33FA" w14:paraId="284CDEA0" w14:textId="77777777" w:rsidTr="006F33FA">
        <w:trPr>
          <w:trHeight w:val="170"/>
          <w:jc w:val="center"/>
        </w:trPr>
        <w:tc>
          <w:tcPr>
            <w:tcW w:w="2038" w:type="dxa"/>
            <w:tcBorders>
              <w:top w:val="single" w:sz="4" w:space="0" w:color="auto"/>
              <w:left w:val="single" w:sz="4" w:space="0" w:color="auto"/>
              <w:bottom w:val="single" w:sz="4" w:space="0" w:color="auto"/>
              <w:right w:val="single" w:sz="4" w:space="0" w:color="auto"/>
            </w:tcBorders>
            <w:noWrap/>
            <w:vAlign w:val="center"/>
            <w:hideMark/>
          </w:tcPr>
          <w:p w14:paraId="6F19D401" w14:textId="77777777" w:rsidR="006F33FA" w:rsidRPr="002E1AF6" w:rsidRDefault="006F33FA">
            <w:pPr>
              <w:jc w:val="center"/>
              <w:rPr>
                <w:rFonts w:ascii="Arial" w:hAnsi="Arial" w:cs="Arial"/>
                <w:b/>
                <w:bCs/>
                <w:color w:val="000000"/>
                <w:sz w:val="16"/>
                <w:szCs w:val="18"/>
                <w:lang w:eastAsia="es-AR"/>
              </w:rPr>
            </w:pPr>
            <w:r w:rsidRPr="002E1AF6">
              <w:rPr>
                <w:rFonts w:ascii="Arial" w:hAnsi="Arial" w:cs="Arial"/>
                <w:b/>
                <w:bCs/>
                <w:color w:val="000000"/>
                <w:sz w:val="16"/>
                <w:szCs w:val="18"/>
                <w:lang w:eastAsia="es-AR"/>
              </w:rPr>
              <w:t>Etapa 1</w:t>
            </w:r>
          </w:p>
        </w:tc>
        <w:tc>
          <w:tcPr>
            <w:tcW w:w="2921" w:type="dxa"/>
            <w:tcBorders>
              <w:top w:val="single" w:sz="4" w:space="0" w:color="auto"/>
              <w:left w:val="nil"/>
              <w:bottom w:val="single" w:sz="4" w:space="0" w:color="auto"/>
              <w:right w:val="nil"/>
            </w:tcBorders>
            <w:noWrap/>
            <w:vAlign w:val="center"/>
            <w:hideMark/>
          </w:tcPr>
          <w:p w14:paraId="4CE7271E" w14:textId="77777777" w:rsidR="006F33FA" w:rsidRPr="002E1AF6" w:rsidRDefault="006F33FA">
            <w:pPr>
              <w:jc w:val="center"/>
              <w:rPr>
                <w:rFonts w:ascii="Arial" w:hAnsi="Arial" w:cs="Arial"/>
                <w:b/>
                <w:bCs/>
                <w:color w:val="000000"/>
                <w:sz w:val="16"/>
                <w:szCs w:val="18"/>
                <w:lang w:eastAsia="es-AR"/>
              </w:rPr>
            </w:pPr>
            <w:r w:rsidRPr="002E1AF6">
              <w:rPr>
                <w:rFonts w:ascii="Arial" w:hAnsi="Arial" w:cs="Arial"/>
                <w:b/>
                <w:bCs/>
                <w:color w:val="000000"/>
                <w:sz w:val="16"/>
                <w:szCs w:val="18"/>
                <w:lang w:eastAsia="es-AR"/>
              </w:rPr>
              <w:t>Etapa 2</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5AD4945F" w14:textId="77777777" w:rsidR="006F33FA" w:rsidRPr="002E1AF6" w:rsidRDefault="006F33FA">
            <w:pPr>
              <w:jc w:val="center"/>
              <w:rPr>
                <w:rFonts w:ascii="Arial" w:hAnsi="Arial" w:cs="Arial"/>
                <w:b/>
                <w:bCs/>
                <w:color w:val="000000"/>
                <w:sz w:val="16"/>
                <w:szCs w:val="18"/>
                <w:lang w:eastAsia="es-AR"/>
              </w:rPr>
            </w:pPr>
            <w:r w:rsidRPr="002E1AF6">
              <w:rPr>
                <w:rFonts w:ascii="Arial" w:hAnsi="Arial" w:cs="Arial"/>
                <w:b/>
                <w:bCs/>
                <w:color w:val="000000"/>
                <w:sz w:val="16"/>
                <w:szCs w:val="18"/>
                <w:lang w:eastAsia="es-AR"/>
              </w:rPr>
              <w:t>Etapa 3</w:t>
            </w:r>
          </w:p>
        </w:tc>
      </w:tr>
      <w:tr w:rsidR="006F33FA" w:rsidRPr="006F33FA" w14:paraId="54FCBC48" w14:textId="77777777" w:rsidTr="006F33FA">
        <w:trPr>
          <w:trHeight w:val="170"/>
          <w:jc w:val="center"/>
        </w:trPr>
        <w:tc>
          <w:tcPr>
            <w:tcW w:w="2038" w:type="dxa"/>
            <w:tcBorders>
              <w:top w:val="single" w:sz="4" w:space="0" w:color="auto"/>
              <w:left w:val="single" w:sz="4" w:space="0" w:color="auto"/>
              <w:bottom w:val="single" w:sz="4" w:space="0" w:color="auto"/>
              <w:right w:val="single" w:sz="4" w:space="0" w:color="auto"/>
            </w:tcBorders>
            <w:vAlign w:val="center"/>
            <w:hideMark/>
          </w:tcPr>
          <w:p w14:paraId="280558FF" w14:textId="77777777" w:rsidR="006F33FA" w:rsidRPr="002E1AF6" w:rsidRDefault="006F33FA">
            <w:pPr>
              <w:jc w:val="center"/>
              <w:rPr>
                <w:rFonts w:ascii="Arial" w:hAnsi="Arial" w:cs="Arial"/>
                <w:color w:val="000000"/>
                <w:sz w:val="16"/>
                <w:szCs w:val="18"/>
                <w:lang w:eastAsia="es-AR"/>
              </w:rPr>
            </w:pPr>
            <w:r w:rsidRPr="002E1AF6">
              <w:rPr>
                <w:rFonts w:ascii="Arial" w:hAnsi="Arial" w:cs="Arial"/>
                <w:color w:val="000000"/>
                <w:sz w:val="16"/>
                <w:szCs w:val="18"/>
                <w:lang w:eastAsia="es-AR"/>
              </w:rPr>
              <w:t>(reconocimiento inicial)</w:t>
            </w:r>
          </w:p>
        </w:tc>
        <w:tc>
          <w:tcPr>
            <w:tcW w:w="2921" w:type="dxa"/>
            <w:tcBorders>
              <w:top w:val="single" w:sz="4" w:space="0" w:color="auto"/>
              <w:left w:val="nil"/>
              <w:bottom w:val="single" w:sz="4" w:space="0" w:color="auto"/>
              <w:right w:val="nil"/>
            </w:tcBorders>
            <w:vAlign w:val="center"/>
            <w:hideMark/>
          </w:tcPr>
          <w:p w14:paraId="7034034E" w14:textId="77777777" w:rsidR="006F33FA" w:rsidRPr="002E1AF6" w:rsidRDefault="006F33FA">
            <w:pPr>
              <w:jc w:val="center"/>
              <w:rPr>
                <w:rFonts w:ascii="Arial" w:hAnsi="Arial" w:cs="Arial"/>
                <w:color w:val="000000"/>
                <w:sz w:val="16"/>
                <w:szCs w:val="18"/>
                <w:lang w:eastAsia="es-AR"/>
              </w:rPr>
            </w:pPr>
            <w:r w:rsidRPr="002E1AF6">
              <w:rPr>
                <w:rFonts w:ascii="Arial" w:hAnsi="Arial" w:cs="Arial"/>
                <w:color w:val="000000"/>
                <w:sz w:val="16"/>
                <w:szCs w:val="18"/>
                <w:lang w:eastAsia="es-AR"/>
              </w:rPr>
              <w:t>(incremento significativo del riesgo de crédito desde el reconocimiento inicial)</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66FAAEB" w14:textId="77777777" w:rsidR="006F33FA" w:rsidRPr="002E1AF6" w:rsidRDefault="006F33FA">
            <w:pPr>
              <w:jc w:val="center"/>
              <w:rPr>
                <w:rFonts w:ascii="Arial" w:hAnsi="Arial" w:cs="Arial"/>
                <w:color w:val="000000"/>
                <w:sz w:val="16"/>
                <w:szCs w:val="18"/>
                <w:lang w:eastAsia="es-AR"/>
              </w:rPr>
            </w:pPr>
            <w:r w:rsidRPr="002E1AF6">
              <w:rPr>
                <w:rFonts w:ascii="Arial" w:hAnsi="Arial" w:cs="Arial"/>
                <w:color w:val="000000"/>
                <w:sz w:val="16"/>
                <w:szCs w:val="18"/>
                <w:lang w:eastAsia="es-AR"/>
              </w:rPr>
              <w:t>(crédito deteriorado)</w:t>
            </w:r>
          </w:p>
        </w:tc>
      </w:tr>
      <w:tr w:rsidR="006F33FA" w:rsidRPr="006F33FA" w14:paraId="3069ADAF" w14:textId="77777777" w:rsidTr="006F33FA">
        <w:trPr>
          <w:trHeight w:val="170"/>
          <w:jc w:val="center"/>
        </w:trPr>
        <w:tc>
          <w:tcPr>
            <w:tcW w:w="2038" w:type="dxa"/>
            <w:tcBorders>
              <w:top w:val="single" w:sz="4" w:space="0" w:color="auto"/>
              <w:left w:val="single" w:sz="4" w:space="0" w:color="auto"/>
              <w:bottom w:val="single" w:sz="4" w:space="0" w:color="auto"/>
              <w:right w:val="single" w:sz="4" w:space="0" w:color="auto"/>
            </w:tcBorders>
            <w:vAlign w:val="center"/>
            <w:hideMark/>
          </w:tcPr>
          <w:p w14:paraId="7ECFF7DC" w14:textId="77777777" w:rsidR="006F33FA" w:rsidRPr="002E1AF6" w:rsidRDefault="006F33FA">
            <w:pPr>
              <w:jc w:val="center"/>
              <w:rPr>
                <w:rFonts w:ascii="Arial" w:hAnsi="Arial" w:cs="Arial"/>
                <w:color w:val="000000"/>
                <w:sz w:val="16"/>
                <w:szCs w:val="18"/>
                <w:lang w:eastAsia="es-AR"/>
              </w:rPr>
            </w:pPr>
            <w:r w:rsidRPr="002E1AF6">
              <w:rPr>
                <w:rFonts w:ascii="Arial" w:hAnsi="Arial" w:cs="Arial"/>
                <w:color w:val="000000"/>
                <w:sz w:val="16"/>
                <w:szCs w:val="18"/>
                <w:lang w:eastAsia="es-AR"/>
              </w:rPr>
              <w:t>PCE por los próximos 12 meses</w:t>
            </w:r>
          </w:p>
        </w:tc>
        <w:tc>
          <w:tcPr>
            <w:tcW w:w="4761" w:type="dxa"/>
            <w:gridSpan w:val="2"/>
            <w:tcBorders>
              <w:top w:val="single" w:sz="4" w:space="0" w:color="auto"/>
              <w:left w:val="nil"/>
              <w:bottom w:val="single" w:sz="4" w:space="0" w:color="auto"/>
              <w:right w:val="single" w:sz="4" w:space="0" w:color="auto"/>
            </w:tcBorders>
            <w:vAlign w:val="center"/>
            <w:hideMark/>
          </w:tcPr>
          <w:p w14:paraId="0B64ADBC" w14:textId="77777777" w:rsidR="006F33FA" w:rsidRPr="002E1AF6" w:rsidRDefault="006F33FA">
            <w:pPr>
              <w:jc w:val="center"/>
              <w:rPr>
                <w:rFonts w:ascii="Arial" w:hAnsi="Arial" w:cs="Arial"/>
                <w:color w:val="000000"/>
                <w:sz w:val="16"/>
                <w:szCs w:val="18"/>
                <w:lang w:eastAsia="es-AR"/>
              </w:rPr>
            </w:pPr>
            <w:r w:rsidRPr="002E1AF6">
              <w:rPr>
                <w:rFonts w:ascii="Arial" w:hAnsi="Arial" w:cs="Arial"/>
                <w:color w:val="000000"/>
                <w:sz w:val="16"/>
                <w:szCs w:val="18"/>
                <w:lang w:eastAsia="es-AR"/>
              </w:rPr>
              <w:t>PCE durante toda la vida (“Lifetime”) del instrumento financiero</w:t>
            </w:r>
          </w:p>
        </w:tc>
      </w:tr>
    </w:tbl>
    <w:p w14:paraId="369B0978" w14:textId="25B957E1" w:rsidR="006F33FA" w:rsidRPr="002E1AF6" w:rsidRDefault="006F33FA" w:rsidP="00201315">
      <w:pPr>
        <w:jc w:val="both"/>
        <w:rPr>
          <w:rFonts w:ascii="Arial" w:hAnsi="Arial" w:cs="Arial"/>
          <w:sz w:val="18"/>
          <w:szCs w:val="18"/>
        </w:rPr>
      </w:pPr>
    </w:p>
    <w:p w14:paraId="526D2289" w14:textId="1CB48415" w:rsidR="006F33FA" w:rsidRDefault="006F33FA" w:rsidP="00201315">
      <w:pPr>
        <w:jc w:val="both"/>
        <w:rPr>
          <w:rFonts w:ascii="Arial" w:hAnsi="Arial" w:cs="Arial"/>
          <w:sz w:val="20"/>
        </w:rPr>
      </w:pPr>
    </w:p>
    <w:p w14:paraId="351849C8" w14:textId="5A567FAB" w:rsidR="006F33FA" w:rsidRPr="002E1AF6" w:rsidRDefault="006F33FA" w:rsidP="006F33FA">
      <w:pPr>
        <w:shd w:val="clear" w:color="auto" w:fill="FFFFFF"/>
        <w:tabs>
          <w:tab w:val="left" w:pos="708"/>
        </w:tabs>
        <w:jc w:val="both"/>
        <w:rPr>
          <w:rFonts w:ascii="Arial" w:hAnsi="Arial" w:cs="Arial"/>
          <w:sz w:val="20"/>
        </w:rPr>
      </w:pPr>
      <w:r w:rsidRPr="002E1AF6">
        <w:rPr>
          <w:rFonts w:ascii="Arial" w:hAnsi="Arial" w:cs="Arial"/>
          <w:sz w:val="20"/>
        </w:rPr>
        <w:t xml:space="preserve">Los juicios y supuestos clave adoptados por el </w:t>
      </w:r>
      <w:r>
        <w:rPr>
          <w:rFonts w:ascii="Arial" w:hAnsi="Arial" w:cs="Arial"/>
          <w:sz w:val="20"/>
        </w:rPr>
        <w:t>Banco</w:t>
      </w:r>
      <w:r w:rsidRPr="002E1AF6">
        <w:rPr>
          <w:rFonts w:ascii="Arial" w:hAnsi="Arial" w:cs="Arial"/>
          <w:sz w:val="20"/>
        </w:rPr>
        <w:t xml:space="preserve"> para la medición de las PCE se describen a continuación:</w:t>
      </w:r>
    </w:p>
    <w:p w14:paraId="7FD356D1" w14:textId="77777777" w:rsidR="006F33FA" w:rsidRPr="002E1AF6" w:rsidRDefault="006F33FA" w:rsidP="006F33FA">
      <w:pPr>
        <w:shd w:val="clear" w:color="auto" w:fill="FFFFFF"/>
        <w:tabs>
          <w:tab w:val="left" w:pos="708"/>
        </w:tabs>
        <w:jc w:val="both"/>
        <w:rPr>
          <w:rFonts w:ascii="Arial" w:hAnsi="Arial" w:cs="Arial"/>
          <w:sz w:val="20"/>
        </w:rPr>
      </w:pPr>
    </w:p>
    <w:p w14:paraId="0A122AFF" w14:textId="77777777" w:rsidR="006F33FA" w:rsidRPr="002E1AF6" w:rsidRDefault="006F33FA" w:rsidP="006F33FA">
      <w:pPr>
        <w:rPr>
          <w:rFonts w:ascii="Arial" w:hAnsi="Arial" w:cs="Arial"/>
          <w:sz w:val="20"/>
        </w:rPr>
      </w:pPr>
      <w:r w:rsidRPr="002E1AF6">
        <w:rPr>
          <w:rFonts w:ascii="Arial" w:hAnsi="Arial" w:cs="Arial"/>
          <w:b/>
          <w:sz w:val="20"/>
        </w:rPr>
        <w:t>1.2.1.</w:t>
      </w:r>
      <w:r w:rsidRPr="002E1AF6">
        <w:rPr>
          <w:rFonts w:ascii="Arial" w:hAnsi="Arial" w:cs="Arial"/>
          <w:b/>
          <w:bCs/>
          <w:sz w:val="20"/>
        </w:rPr>
        <w:t xml:space="preserve"> Incremento significativo en el riesgo de crédito</w:t>
      </w:r>
    </w:p>
    <w:p w14:paraId="76082464" w14:textId="77777777" w:rsidR="006F33FA" w:rsidRPr="002E1AF6" w:rsidRDefault="006F33FA" w:rsidP="006F33FA">
      <w:pPr>
        <w:rPr>
          <w:rFonts w:ascii="Arial" w:hAnsi="Arial" w:cs="Arial"/>
          <w:b/>
          <w:sz w:val="20"/>
        </w:rPr>
      </w:pPr>
    </w:p>
    <w:p w14:paraId="31691387" w14:textId="2AF56CFA" w:rsidR="006F33FA" w:rsidRPr="002E1AF6" w:rsidRDefault="006F33FA" w:rsidP="006F33FA">
      <w:pPr>
        <w:shd w:val="clear" w:color="auto" w:fill="FFFFFF"/>
        <w:tabs>
          <w:tab w:val="left" w:pos="708"/>
        </w:tabs>
        <w:jc w:val="both"/>
        <w:rPr>
          <w:rFonts w:ascii="Arial" w:hAnsi="Arial" w:cs="Arial"/>
          <w:sz w:val="20"/>
        </w:rPr>
      </w:pPr>
      <w:r w:rsidRPr="002E1AF6">
        <w:rPr>
          <w:rFonts w:ascii="Arial" w:hAnsi="Arial" w:cs="Arial"/>
          <w:sz w:val="20"/>
        </w:rPr>
        <w:t>El Banco considera que un activo financiero experimentó un incremento significativo del riesgo de crédito cuando uno o más de los siguientes criterios cualitativos o cuantitativos fueron observados:</w:t>
      </w:r>
    </w:p>
    <w:p w14:paraId="271EFDFB" w14:textId="77777777" w:rsidR="006F33FA" w:rsidRPr="002E1AF6" w:rsidRDefault="006F33FA" w:rsidP="006F33FA">
      <w:pPr>
        <w:shd w:val="clear" w:color="auto" w:fill="FFFFFF"/>
        <w:tabs>
          <w:tab w:val="left" w:pos="708"/>
        </w:tabs>
        <w:jc w:val="both"/>
        <w:rPr>
          <w:rFonts w:ascii="Arial" w:hAnsi="Arial" w:cs="Arial"/>
          <w:sz w:val="20"/>
        </w:rPr>
      </w:pPr>
    </w:p>
    <w:p w14:paraId="6B025B26" w14:textId="77777777" w:rsidR="006F33FA" w:rsidRPr="002E1AF6" w:rsidRDefault="006F33FA" w:rsidP="006F33FA">
      <w:pPr>
        <w:shd w:val="clear" w:color="auto" w:fill="FFFFFF"/>
        <w:tabs>
          <w:tab w:val="left" w:pos="708"/>
        </w:tabs>
        <w:jc w:val="both"/>
        <w:rPr>
          <w:rFonts w:ascii="Arial" w:hAnsi="Arial" w:cs="Arial"/>
          <w:b/>
          <w:sz w:val="20"/>
        </w:rPr>
      </w:pPr>
      <w:r w:rsidRPr="002E1AF6">
        <w:rPr>
          <w:rFonts w:ascii="Arial" w:hAnsi="Arial" w:cs="Arial"/>
          <w:b/>
          <w:sz w:val="20"/>
        </w:rPr>
        <w:t>Banca Personas y Negocios</w:t>
      </w:r>
    </w:p>
    <w:p w14:paraId="546FC042" w14:textId="77777777" w:rsidR="006F33FA" w:rsidRPr="002E1AF6" w:rsidRDefault="006F33FA" w:rsidP="006F33FA">
      <w:pPr>
        <w:pStyle w:val="ListParagraph"/>
        <w:numPr>
          <w:ilvl w:val="0"/>
          <w:numId w:val="66"/>
        </w:numPr>
        <w:shd w:val="clear" w:color="auto" w:fill="FFFFFF"/>
        <w:tabs>
          <w:tab w:val="left" w:pos="708"/>
        </w:tabs>
        <w:spacing w:after="160" w:line="256" w:lineRule="auto"/>
        <w:contextualSpacing/>
        <w:jc w:val="both"/>
        <w:rPr>
          <w:rFonts w:ascii="Arial" w:hAnsi="Arial" w:cs="Arial"/>
          <w:sz w:val="20"/>
        </w:rPr>
      </w:pPr>
      <w:r w:rsidRPr="002E1AF6">
        <w:rPr>
          <w:rFonts w:ascii="Arial" w:hAnsi="Arial" w:cs="Arial"/>
          <w:sz w:val="20"/>
        </w:rPr>
        <w:t>Máximo atraso a nivel activo financiero entre 31 y 90 días.</w:t>
      </w:r>
    </w:p>
    <w:p w14:paraId="5E2F7CC4" w14:textId="77777777" w:rsidR="006F33FA" w:rsidRPr="002E1AF6" w:rsidRDefault="006F33FA" w:rsidP="006F33FA">
      <w:pPr>
        <w:pStyle w:val="ListParagraph"/>
        <w:numPr>
          <w:ilvl w:val="0"/>
          <w:numId w:val="66"/>
        </w:numPr>
        <w:shd w:val="clear" w:color="auto" w:fill="FFFFFF"/>
        <w:tabs>
          <w:tab w:val="left" w:pos="708"/>
        </w:tabs>
        <w:spacing w:after="160" w:line="256" w:lineRule="auto"/>
        <w:contextualSpacing/>
        <w:jc w:val="both"/>
        <w:rPr>
          <w:rFonts w:ascii="Arial" w:hAnsi="Arial" w:cs="Arial"/>
          <w:sz w:val="20"/>
        </w:rPr>
      </w:pPr>
      <w:r w:rsidRPr="002E1AF6">
        <w:rPr>
          <w:rFonts w:ascii="Arial" w:hAnsi="Arial" w:cs="Arial"/>
          <w:sz w:val="20"/>
        </w:rPr>
        <w:t xml:space="preserve">Máxima Situación B.C.R.A. mayor que 1. </w:t>
      </w:r>
    </w:p>
    <w:p w14:paraId="4516D881" w14:textId="77777777" w:rsidR="006F33FA" w:rsidRPr="002E1AF6" w:rsidRDefault="006F33FA" w:rsidP="006F33FA">
      <w:pPr>
        <w:pStyle w:val="ListParagraph"/>
        <w:numPr>
          <w:ilvl w:val="0"/>
          <w:numId w:val="66"/>
        </w:numPr>
        <w:shd w:val="clear" w:color="auto" w:fill="FFFFFF"/>
        <w:tabs>
          <w:tab w:val="left" w:pos="708"/>
        </w:tabs>
        <w:spacing w:after="160" w:line="256" w:lineRule="auto"/>
        <w:contextualSpacing/>
        <w:jc w:val="both"/>
        <w:rPr>
          <w:rFonts w:ascii="Arial" w:hAnsi="Arial" w:cs="Arial"/>
          <w:sz w:val="20"/>
        </w:rPr>
      </w:pPr>
      <w:r w:rsidRPr="002E1AF6">
        <w:rPr>
          <w:rFonts w:ascii="Arial" w:hAnsi="Arial" w:cs="Arial"/>
          <w:sz w:val="20"/>
        </w:rPr>
        <w:t>Poseer a nivel cliente un Score de Comportamiento Interno por debajo del punto de corte.</w:t>
      </w:r>
      <w:r w:rsidRPr="002E1AF6">
        <w:rPr>
          <w:rStyle w:val="FootnoteReference"/>
          <w:rFonts w:ascii="Arial" w:hAnsi="Arial" w:cs="Arial"/>
          <w:sz w:val="20"/>
        </w:rPr>
        <w:footnoteReference w:id="1"/>
      </w:r>
    </w:p>
    <w:p w14:paraId="187C95D9" w14:textId="77777777" w:rsidR="006F33FA" w:rsidRPr="002E1AF6" w:rsidRDefault="006F33FA" w:rsidP="006F33FA">
      <w:pPr>
        <w:shd w:val="clear" w:color="auto" w:fill="FFFFFF"/>
        <w:tabs>
          <w:tab w:val="left" w:pos="708"/>
        </w:tabs>
        <w:jc w:val="both"/>
        <w:rPr>
          <w:rFonts w:ascii="Arial" w:hAnsi="Arial" w:cs="Arial"/>
          <w:b/>
          <w:sz w:val="20"/>
        </w:rPr>
      </w:pPr>
      <w:r w:rsidRPr="002E1AF6">
        <w:rPr>
          <w:rFonts w:ascii="Arial" w:hAnsi="Arial" w:cs="Arial"/>
          <w:b/>
          <w:sz w:val="20"/>
        </w:rPr>
        <w:t>Banca Corporativa</w:t>
      </w:r>
    </w:p>
    <w:p w14:paraId="7E8D5628" w14:textId="77777777" w:rsidR="006F33FA" w:rsidRPr="002E1AF6" w:rsidRDefault="006F33FA" w:rsidP="006F33FA">
      <w:pPr>
        <w:pStyle w:val="ListParagraph"/>
        <w:numPr>
          <w:ilvl w:val="0"/>
          <w:numId w:val="67"/>
        </w:numPr>
        <w:shd w:val="clear" w:color="auto" w:fill="FFFFFF"/>
        <w:tabs>
          <w:tab w:val="left" w:pos="708"/>
        </w:tabs>
        <w:spacing w:after="160" w:line="256" w:lineRule="auto"/>
        <w:contextualSpacing/>
        <w:jc w:val="both"/>
        <w:rPr>
          <w:rFonts w:ascii="Arial" w:hAnsi="Arial" w:cs="Arial"/>
          <w:sz w:val="20"/>
        </w:rPr>
      </w:pPr>
      <w:r w:rsidRPr="002E1AF6">
        <w:rPr>
          <w:rFonts w:ascii="Arial" w:hAnsi="Arial" w:cs="Arial"/>
          <w:sz w:val="20"/>
        </w:rPr>
        <w:t>Máxima Situación B.C.R.A. 1 mayor que 1.</w:t>
      </w:r>
    </w:p>
    <w:p w14:paraId="23229F7F" w14:textId="77777777" w:rsidR="006F33FA" w:rsidRPr="002E1AF6" w:rsidRDefault="006F33FA" w:rsidP="006F33FA">
      <w:pPr>
        <w:pStyle w:val="ListParagraph"/>
        <w:numPr>
          <w:ilvl w:val="0"/>
          <w:numId w:val="67"/>
        </w:numPr>
        <w:shd w:val="clear" w:color="auto" w:fill="FFFFFF"/>
        <w:tabs>
          <w:tab w:val="left" w:pos="708"/>
        </w:tabs>
        <w:spacing w:after="160" w:line="256" w:lineRule="auto"/>
        <w:contextualSpacing/>
        <w:jc w:val="both"/>
        <w:rPr>
          <w:rFonts w:ascii="Arial" w:hAnsi="Arial" w:cs="Arial"/>
          <w:sz w:val="20"/>
        </w:rPr>
      </w:pPr>
      <w:r w:rsidRPr="002E1AF6">
        <w:rPr>
          <w:rFonts w:ascii="Arial" w:hAnsi="Arial" w:cs="Arial"/>
          <w:sz w:val="20"/>
        </w:rPr>
        <w:t>Poseer un Rating Interno con una Calificación “C” (Probabilidad de default mayor a 30%).</w:t>
      </w:r>
    </w:p>
    <w:p w14:paraId="024D89A2" w14:textId="77777777" w:rsidR="006F33FA" w:rsidRPr="002E1AF6" w:rsidRDefault="006F33FA" w:rsidP="006F33FA">
      <w:pPr>
        <w:shd w:val="clear" w:color="auto" w:fill="FFFFFF"/>
        <w:tabs>
          <w:tab w:val="left" w:pos="708"/>
        </w:tabs>
        <w:jc w:val="both"/>
        <w:rPr>
          <w:rFonts w:ascii="Arial" w:hAnsi="Arial" w:cs="Arial"/>
          <w:b/>
          <w:sz w:val="20"/>
        </w:rPr>
      </w:pPr>
      <w:r w:rsidRPr="002E1AF6">
        <w:rPr>
          <w:rFonts w:ascii="Arial" w:hAnsi="Arial" w:cs="Arial"/>
          <w:b/>
          <w:sz w:val="20"/>
        </w:rPr>
        <w:t>División Consumo</w:t>
      </w:r>
    </w:p>
    <w:p w14:paraId="73A5ABB1" w14:textId="77777777" w:rsidR="006F33FA" w:rsidRPr="002E1AF6" w:rsidRDefault="006F33FA" w:rsidP="006F33FA">
      <w:pPr>
        <w:pStyle w:val="ListParagraph"/>
        <w:numPr>
          <w:ilvl w:val="0"/>
          <w:numId w:val="68"/>
        </w:numPr>
        <w:shd w:val="clear" w:color="auto" w:fill="FFFFFF"/>
        <w:tabs>
          <w:tab w:val="left" w:pos="708"/>
        </w:tabs>
        <w:spacing w:after="160" w:line="256" w:lineRule="auto"/>
        <w:contextualSpacing/>
        <w:jc w:val="both"/>
        <w:rPr>
          <w:rFonts w:ascii="Arial" w:hAnsi="Arial" w:cs="Arial"/>
          <w:sz w:val="20"/>
        </w:rPr>
      </w:pPr>
      <w:r w:rsidRPr="002E1AF6">
        <w:rPr>
          <w:rFonts w:ascii="Arial" w:hAnsi="Arial" w:cs="Arial"/>
          <w:sz w:val="20"/>
        </w:rPr>
        <w:t>Máximo atraso a nivel activo financiero entre 31 y 90 días.</w:t>
      </w:r>
    </w:p>
    <w:p w14:paraId="543BE48E" w14:textId="436CA654" w:rsidR="006F33FA" w:rsidRPr="00FD67E8" w:rsidRDefault="006F33FA" w:rsidP="00201315">
      <w:pPr>
        <w:jc w:val="both"/>
        <w:rPr>
          <w:rFonts w:ascii="Arial" w:hAnsi="Arial" w:cs="Arial"/>
          <w:sz w:val="20"/>
          <w:highlight w:val="yellow"/>
        </w:rPr>
      </w:pPr>
    </w:p>
    <w:p w14:paraId="3E6342B7" w14:textId="77777777" w:rsidR="006F33FA" w:rsidRPr="002E1AF6" w:rsidRDefault="006F33FA" w:rsidP="006F33FA">
      <w:pPr>
        <w:rPr>
          <w:rFonts w:ascii="Arial" w:hAnsi="Arial" w:cs="Arial"/>
          <w:b/>
          <w:sz w:val="20"/>
        </w:rPr>
      </w:pPr>
      <w:r w:rsidRPr="002E1AF6">
        <w:rPr>
          <w:rFonts w:ascii="Arial" w:hAnsi="Arial" w:cs="Arial"/>
          <w:b/>
          <w:sz w:val="20"/>
        </w:rPr>
        <w:t>1.2.2. Base de evaluación individual y colectiva</w:t>
      </w:r>
    </w:p>
    <w:p w14:paraId="01034F29" w14:textId="77777777" w:rsidR="006F33FA" w:rsidRPr="002E1AF6" w:rsidRDefault="006F33FA" w:rsidP="006F33FA">
      <w:pPr>
        <w:rPr>
          <w:rFonts w:ascii="Arial" w:hAnsi="Arial" w:cs="Arial"/>
          <w:b/>
          <w:sz w:val="20"/>
        </w:rPr>
      </w:pPr>
    </w:p>
    <w:p w14:paraId="736A95E9" w14:textId="77777777" w:rsidR="00F55BAD" w:rsidRPr="00F55BAD" w:rsidRDefault="00F55BAD" w:rsidP="00F55BAD">
      <w:pPr>
        <w:ind w:right="-227"/>
        <w:jc w:val="both"/>
        <w:rPr>
          <w:rFonts w:ascii="Arial" w:hAnsi="Arial" w:cs="Arial"/>
          <w:sz w:val="20"/>
        </w:rPr>
      </w:pPr>
      <w:r w:rsidRPr="00F55BAD">
        <w:rPr>
          <w:rFonts w:ascii="Arial" w:hAnsi="Arial" w:cs="Arial"/>
          <w:sz w:val="20"/>
        </w:rPr>
        <w:t>Las pérdidas esperadas se estiman tanto de forma individual como colectivamente.</w:t>
      </w:r>
    </w:p>
    <w:p w14:paraId="5B05F2BF" w14:textId="77777777" w:rsidR="00F55BAD" w:rsidRPr="00F55BAD" w:rsidRDefault="00F55BAD" w:rsidP="00F55BAD">
      <w:pPr>
        <w:ind w:right="-227"/>
        <w:jc w:val="both"/>
        <w:rPr>
          <w:rFonts w:ascii="Arial" w:hAnsi="Arial" w:cs="Arial"/>
          <w:sz w:val="20"/>
        </w:rPr>
      </w:pPr>
    </w:p>
    <w:p w14:paraId="0E3E60D5" w14:textId="77777777" w:rsidR="00F55BAD" w:rsidRPr="00F55BAD" w:rsidRDefault="00F55BAD" w:rsidP="00F55BAD">
      <w:pPr>
        <w:ind w:right="-227"/>
        <w:jc w:val="both"/>
        <w:rPr>
          <w:rFonts w:ascii="Arial" w:hAnsi="Arial" w:cs="Arial"/>
          <w:sz w:val="20"/>
        </w:rPr>
      </w:pPr>
      <w:r w:rsidRPr="00F55BAD">
        <w:rPr>
          <w:rFonts w:ascii="Arial" w:hAnsi="Arial" w:cs="Arial"/>
          <w:sz w:val="20"/>
        </w:rPr>
        <w:t xml:space="preserve">El objetivo de la estimación individual del Banco es estimar las pérdidas esperadas para riesgos significativos deteriorados. En estos casos, el importe de las pérdidas crediticias se calcula como la diferencia entre los flujos de efectivo esperados descontados al tipo de interés efectivo de la operación y el valor en libros del instrumento. </w:t>
      </w:r>
    </w:p>
    <w:p w14:paraId="0A157DE2" w14:textId="77777777" w:rsidR="00F55BAD" w:rsidRPr="00F55BAD" w:rsidRDefault="00F55BAD" w:rsidP="00F55BAD">
      <w:pPr>
        <w:ind w:right="-227"/>
        <w:jc w:val="both"/>
        <w:rPr>
          <w:rFonts w:ascii="Arial" w:hAnsi="Arial" w:cs="Arial"/>
          <w:sz w:val="20"/>
        </w:rPr>
      </w:pPr>
    </w:p>
    <w:p w14:paraId="5D421E43" w14:textId="2E85542F" w:rsidR="006F33FA" w:rsidRDefault="00F55BAD" w:rsidP="00F55BAD">
      <w:pPr>
        <w:ind w:right="-227"/>
        <w:jc w:val="both"/>
        <w:rPr>
          <w:rFonts w:ascii="Arial" w:hAnsi="Arial" w:cs="Arial"/>
          <w:sz w:val="20"/>
        </w:rPr>
      </w:pPr>
      <w:r w:rsidRPr="00F55BAD">
        <w:rPr>
          <w:rFonts w:ascii="Arial" w:hAnsi="Arial" w:cs="Arial"/>
          <w:sz w:val="20"/>
        </w:rPr>
        <w:t>Para la estimación colectiva de las pérdidas esperadas los instrumentos se distribuyen en grupos de activos en base a sus características de riesgo. Las exposiciones dentro de cada grupo se segmentan en función de características similares del riesgo de crédito, indicativas de la capacidad de pago del deudor de acuerdo con sus condiciones contractuales. Estas características de riesgo tienen que ser relevantes en la estimación de los flujos futuros de cada grupo. Las características de riesgo de crédito pueden considerar, entre otros, los siguientes factores:</w:t>
      </w:r>
    </w:p>
    <w:p w14:paraId="4BFB5D73" w14:textId="77777777" w:rsidR="00512583" w:rsidRDefault="00512583" w:rsidP="00F55BAD">
      <w:pPr>
        <w:ind w:right="-227"/>
        <w:jc w:val="both"/>
        <w:rPr>
          <w:rFonts w:ascii="Arial" w:hAnsi="Arial" w:cs="Arial"/>
          <w:sz w:val="20"/>
        </w:rPr>
      </w:pPr>
    </w:p>
    <w:tbl>
      <w:tblPr>
        <w:tblW w:w="7580" w:type="dxa"/>
        <w:tblCellMar>
          <w:left w:w="70" w:type="dxa"/>
          <w:right w:w="70" w:type="dxa"/>
        </w:tblCellMar>
        <w:tblLook w:val="04A0" w:firstRow="1" w:lastRow="0" w:firstColumn="1" w:lastColumn="0" w:noHBand="0" w:noVBand="1"/>
      </w:tblPr>
      <w:tblGrid>
        <w:gridCol w:w="1640"/>
        <w:gridCol w:w="2180"/>
        <w:gridCol w:w="3760"/>
      </w:tblGrid>
      <w:tr w:rsidR="00F55BAD" w:rsidRPr="002728DC" w14:paraId="2BD1FBE9" w14:textId="77777777" w:rsidTr="002E1AF6">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63700" w14:textId="77777777" w:rsidR="00F55BAD" w:rsidRPr="002E1AF6" w:rsidRDefault="00F55BAD" w:rsidP="00525609">
            <w:pPr>
              <w:jc w:val="center"/>
              <w:rPr>
                <w:rFonts w:ascii="Arial" w:hAnsi="Arial" w:cs="Arial"/>
                <w:b/>
                <w:bCs/>
                <w:color w:val="000000"/>
                <w:sz w:val="18"/>
                <w:lang w:eastAsia="es-AR"/>
              </w:rPr>
            </w:pPr>
            <w:r w:rsidRPr="002E1AF6">
              <w:rPr>
                <w:rFonts w:ascii="Arial" w:hAnsi="Arial" w:cs="Arial"/>
                <w:b/>
                <w:bCs/>
                <w:color w:val="000000"/>
                <w:sz w:val="18"/>
                <w:lang w:eastAsia="es-AR"/>
              </w:rPr>
              <w:t>Entidad</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048E314" w14:textId="77777777" w:rsidR="00F55BAD" w:rsidRPr="002E1AF6" w:rsidRDefault="00F55BAD" w:rsidP="00525609">
            <w:pPr>
              <w:jc w:val="center"/>
              <w:rPr>
                <w:rFonts w:ascii="Arial" w:hAnsi="Arial" w:cs="Arial"/>
                <w:b/>
                <w:bCs/>
                <w:color w:val="000000"/>
                <w:sz w:val="18"/>
                <w:lang w:eastAsia="es-AR"/>
              </w:rPr>
            </w:pPr>
            <w:r w:rsidRPr="002E1AF6">
              <w:rPr>
                <w:rFonts w:ascii="Arial" w:hAnsi="Arial" w:cs="Arial"/>
                <w:b/>
                <w:bCs/>
                <w:color w:val="000000"/>
                <w:sz w:val="18"/>
                <w:lang w:eastAsia="es-AR"/>
              </w:rPr>
              <w:t>Parámetro</w:t>
            </w:r>
          </w:p>
        </w:tc>
        <w:tc>
          <w:tcPr>
            <w:tcW w:w="3760" w:type="dxa"/>
            <w:tcBorders>
              <w:top w:val="single" w:sz="4" w:space="0" w:color="auto"/>
              <w:left w:val="nil"/>
              <w:bottom w:val="single" w:sz="4" w:space="0" w:color="auto"/>
              <w:right w:val="single" w:sz="4" w:space="0" w:color="auto"/>
            </w:tcBorders>
            <w:shd w:val="clear" w:color="auto" w:fill="auto"/>
            <w:noWrap/>
            <w:vAlign w:val="center"/>
            <w:hideMark/>
          </w:tcPr>
          <w:p w14:paraId="073C3536" w14:textId="77777777" w:rsidR="00F55BAD" w:rsidRPr="002E1AF6" w:rsidRDefault="00F55BAD" w:rsidP="00525609">
            <w:pPr>
              <w:jc w:val="center"/>
              <w:rPr>
                <w:rFonts w:ascii="Arial" w:hAnsi="Arial" w:cs="Arial"/>
                <w:b/>
                <w:bCs/>
                <w:color w:val="000000"/>
                <w:sz w:val="18"/>
                <w:lang w:eastAsia="es-AR"/>
              </w:rPr>
            </w:pPr>
            <w:r w:rsidRPr="002E1AF6">
              <w:rPr>
                <w:rFonts w:ascii="Arial" w:hAnsi="Arial" w:cs="Arial"/>
                <w:b/>
                <w:bCs/>
                <w:color w:val="000000"/>
                <w:sz w:val="18"/>
                <w:lang w:eastAsia="es-AR"/>
              </w:rPr>
              <w:t>Segmento</w:t>
            </w:r>
          </w:p>
        </w:tc>
      </w:tr>
      <w:tr w:rsidR="00F55BAD" w:rsidRPr="002728DC" w14:paraId="579388C4" w14:textId="77777777" w:rsidTr="00525609">
        <w:trPr>
          <w:trHeight w:val="300"/>
        </w:trPr>
        <w:tc>
          <w:tcPr>
            <w:tcW w:w="16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B9F0B4" w14:textId="50E4C1F3" w:rsidR="00F55BAD" w:rsidRPr="002E1AF6" w:rsidRDefault="00512583" w:rsidP="00525609">
            <w:pPr>
              <w:jc w:val="center"/>
              <w:rPr>
                <w:rFonts w:ascii="Arial" w:hAnsi="Arial" w:cs="Arial"/>
                <w:color w:val="000000"/>
                <w:sz w:val="18"/>
                <w:lang w:eastAsia="es-AR"/>
              </w:rPr>
            </w:pPr>
            <w:r w:rsidRPr="00512583">
              <w:rPr>
                <w:rFonts w:ascii="Arial" w:hAnsi="Arial" w:cs="Arial"/>
                <w:color w:val="000000"/>
                <w:sz w:val="18"/>
                <w:lang w:eastAsia="es-AR"/>
              </w:rPr>
              <w:t>Banca Personas y Negocios</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553F688"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Probabilidad de Default (PD)</w:t>
            </w:r>
          </w:p>
        </w:tc>
        <w:tc>
          <w:tcPr>
            <w:tcW w:w="3760" w:type="dxa"/>
            <w:tcBorders>
              <w:top w:val="nil"/>
              <w:left w:val="nil"/>
              <w:bottom w:val="single" w:sz="4" w:space="0" w:color="auto"/>
              <w:right w:val="single" w:sz="4" w:space="0" w:color="auto"/>
            </w:tcBorders>
            <w:shd w:val="clear" w:color="auto" w:fill="auto"/>
            <w:vAlign w:val="center"/>
            <w:hideMark/>
          </w:tcPr>
          <w:p w14:paraId="41258607"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 xml:space="preserve">Préstamos Personales </w:t>
            </w:r>
            <w:r w:rsidRPr="002E1AF6">
              <w:rPr>
                <w:rFonts w:ascii="Arial" w:hAnsi="Arial" w:cs="Arial"/>
                <w:color w:val="000000"/>
                <w:sz w:val="18"/>
                <w:vertAlign w:val="superscript"/>
                <w:lang w:eastAsia="es-AR"/>
              </w:rPr>
              <w:t>(1)</w:t>
            </w:r>
          </w:p>
        </w:tc>
      </w:tr>
      <w:tr w:rsidR="00F55BAD" w:rsidRPr="002728DC" w14:paraId="6A617A82"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51F2B951"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67BC4AC4"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vAlign w:val="center"/>
            <w:hideMark/>
          </w:tcPr>
          <w:p w14:paraId="3D8D2216"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 xml:space="preserve">Tarjetas de Crédito </w:t>
            </w:r>
            <w:r w:rsidRPr="002E1AF6">
              <w:rPr>
                <w:rFonts w:ascii="Arial" w:hAnsi="Arial" w:cs="Arial"/>
                <w:color w:val="000000"/>
                <w:sz w:val="18"/>
                <w:vertAlign w:val="superscript"/>
                <w:lang w:eastAsia="es-AR"/>
              </w:rPr>
              <w:t>(1)</w:t>
            </w:r>
          </w:p>
        </w:tc>
      </w:tr>
      <w:tr w:rsidR="00F55BAD" w:rsidRPr="002728DC" w14:paraId="3AE0A365"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38A5C93C"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4B25CDE0"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0457E45E"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Adelantos</w:t>
            </w:r>
          </w:p>
        </w:tc>
      </w:tr>
      <w:tr w:rsidR="00F55BAD" w:rsidRPr="002728DC" w14:paraId="138125BD"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56E92AD6"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4A1D4914"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60896F56"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Documentos</w:t>
            </w:r>
          </w:p>
        </w:tc>
      </w:tr>
      <w:tr w:rsidR="00F55BAD" w:rsidRPr="002728DC" w14:paraId="7ADE047B"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5C9181ED"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53238C3"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02B87E9D"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Hipotecarios</w:t>
            </w:r>
          </w:p>
        </w:tc>
      </w:tr>
      <w:tr w:rsidR="00F55BAD" w:rsidRPr="002728DC" w14:paraId="796501A2"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325ECC69"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79D4ADEF"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6F21A933"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Refinanciaciones</w:t>
            </w:r>
          </w:p>
        </w:tc>
      </w:tr>
      <w:tr w:rsidR="00F55BAD" w:rsidRPr="002728DC" w14:paraId="25535B9C"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32FCAAA6"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22B7374"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77F8F81D"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Otros</w:t>
            </w:r>
          </w:p>
        </w:tc>
      </w:tr>
      <w:tr w:rsidR="00F55BAD" w:rsidRPr="002728DC" w14:paraId="100E7626"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9EE38E1" w14:textId="77777777" w:rsidR="00F55BAD" w:rsidRPr="002E1AF6" w:rsidRDefault="00F55BAD" w:rsidP="00525609">
            <w:pPr>
              <w:rPr>
                <w:rFonts w:ascii="Arial" w:hAnsi="Arial" w:cs="Arial"/>
                <w:color w:val="000000"/>
                <w:sz w:val="18"/>
                <w:lang w:eastAsia="es-AR"/>
              </w:rPr>
            </w:pP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1308D4FA"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Severidad (LGD)</w:t>
            </w:r>
          </w:p>
        </w:tc>
        <w:tc>
          <w:tcPr>
            <w:tcW w:w="3760" w:type="dxa"/>
            <w:tcBorders>
              <w:top w:val="nil"/>
              <w:left w:val="nil"/>
              <w:bottom w:val="single" w:sz="4" w:space="0" w:color="auto"/>
              <w:right w:val="single" w:sz="4" w:space="0" w:color="auto"/>
            </w:tcBorders>
            <w:shd w:val="clear" w:color="auto" w:fill="auto"/>
            <w:noWrap/>
            <w:vAlign w:val="center"/>
            <w:hideMark/>
          </w:tcPr>
          <w:p w14:paraId="54DF2800"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Préstamos personales</w:t>
            </w:r>
          </w:p>
        </w:tc>
      </w:tr>
      <w:tr w:rsidR="00F55BAD" w:rsidRPr="002728DC" w14:paraId="5813AD4C"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5D743BC"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7E4E320C"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8E303C0"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Tarjetas de Crédito</w:t>
            </w:r>
          </w:p>
        </w:tc>
      </w:tr>
      <w:tr w:rsidR="00F55BAD" w:rsidRPr="002728DC" w14:paraId="075ACF39"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5EC2091"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4EAA19FD"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6EB3EB67"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Adelantos</w:t>
            </w:r>
          </w:p>
        </w:tc>
      </w:tr>
      <w:tr w:rsidR="00F55BAD" w:rsidRPr="002728DC" w14:paraId="6E4C02A9"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41CC7A79"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C8359B5"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36156838"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Hipotecarios</w:t>
            </w:r>
          </w:p>
        </w:tc>
      </w:tr>
      <w:tr w:rsidR="00F55BAD" w:rsidRPr="002728DC" w14:paraId="3F04037D"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750EF0D2"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939A9FD"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43B38F0"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Refinanciaciones</w:t>
            </w:r>
          </w:p>
        </w:tc>
      </w:tr>
      <w:tr w:rsidR="00F55BAD" w:rsidRPr="002728DC" w14:paraId="12D6228D"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806A403" w14:textId="77777777" w:rsidR="00F55BAD" w:rsidRPr="002E1AF6" w:rsidRDefault="00F55BAD" w:rsidP="00525609">
            <w:pPr>
              <w:rPr>
                <w:rFonts w:ascii="Arial" w:hAnsi="Arial" w:cs="Arial"/>
                <w:color w:val="000000"/>
                <w:sz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1CEB326" w14:textId="77777777" w:rsidR="00F55BAD" w:rsidRPr="002E1AF6" w:rsidRDefault="00F55BAD" w:rsidP="00525609">
            <w:pPr>
              <w:rPr>
                <w:rFonts w:ascii="Arial" w:hAnsi="Arial" w:cs="Arial"/>
                <w:color w:val="000000"/>
                <w:sz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01BB8B28" w14:textId="77777777" w:rsidR="00F55BAD" w:rsidRPr="002E1AF6" w:rsidRDefault="00F55BAD" w:rsidP="00525609">
            <w:pPr>
              <w:rPr>
                <w:rFonts w:ascii="Arial" w:hAnsi="Arial" w:cs="Arial"/>
                <w:color w:val="000000"/>
                <w:sz w:val="18"/>
                <w:lang w:eastAsia="es-AR"/>
              </w:rPr>
            </w:pPr>
            <w:r w:rsidRPr="002E1AF6">
              <w:rPr>
                <w:rFonts w:ascii="Arial" w:hAnsi="Arial" w:cs="Arial"/>
                <w:color w:val="000000"/>
                <w:sz w:val="18"/>
                <w:lang w:eastAsia="es-AR"/>
              </w:rPr>
              <w:t>Otros</w:t>
            </w:r>
          </w:p>
        </w:tc>
      </w:tr>
    </w:tbl>
    <w:p w14:paraId="7B54BB3D" w14:textId="77777777" w:rsidR="00F55BAD" w:rsidRDefault="00F55BAD" w:rsidP="00F55BAD">
      <w:pPr>
        <w:ind w:right="-227"/>
        <w:jc w:val="both"/>
        <w:rPr>
          <w:sz w:val="20"/>
        </w:rPr>
      </w:pPr>
    </w:p>
    <w:p w14:paraId="4C8FE740" w14:textId="3F58BD8C" w:rsidR="006F33FA" w:rsidRPr="002E1AF6" w:rsidRDefault="00F55BAD" w:rsidP="006F33FA">
      <w:pPr>
        <w:ind w:right="-227"/>
        <w:jc w:val="both"/>
        <w:rPr>
          <w:rFonts w:ascii="Arial" w:hAnsi="Arial" w:cs="Arial"/>
          <w:sz w:val="14"/>
          <w:szCs w:val="14"/>
        </w:rPr>
      </w:pPr>
      <w:r w:rsidRPr="002E1AF6">
        <w:rPr>
          <w:rStyle w:val="FootnoteReference"/>
          <w:rFonts w:ascii="Arial" w:hAnsi="Arial" w:cs="Arial"/>
          <w:sz w:val="14"/>
          <w:szCs w:val="14"/>
        </w:rPr>
        <w:footnoteRef/>
      </w:r>
      <w:r w:rsidRPr="002E1AF6">
        <w:rPr>
          <w:rFonts w:ascii="Arial" w:hAnsi="Arial" w:cs="Arial"/>
          <w:sz w:val="14"/>
          <w:szCs w:val="14"/>
        </w:rPr>
        <w:t xml:space="preserve"> Definición de puntos de corte para SICR - </w:t>
      </w:r>
      <w:r w:rsidRPr="002E1AF6">
        <w:rPr>
          <w:rFonts w:ascii="Arial" w:hAnsi="Arial" w:cs="Arial"/>
          <w:b/>
          <w:sz w:val="14"/>
          <w:szCs w:val="14"/>
          <w:lang w:val="es-MX"/>
        </w:rPr>
        <w:t>Plan Sueldo</w:t>
      </w:r>
      <w:r w:rsidRPr="002E1AF6">
        <w:rPr>
          <w:rFonts w:ascii="Arial" w:hAnsi="Arial" w:cs="Arial"/>
          <w:sz w:val="14"/>
          <w:szCs w:val="14"/>
          <w:lang w:val="es-MX"/>
        </w:rPr>
        <w:t xml:space="preserve">: Renta Alta PC=&gt;400. Resto PC=&gt;500. | </w:t>
      </w:r>
      <w:r w:rsidRPr="002E1AF6">
        <w:rPr>
          <w:rFonts w:ascii="Arial" w:hAnsi="Arial" w:cs="Arial"/>
          <w:b/>
          <w:sz w:val="14"/>
          <w:szCs w:val="14"/>
          <w:lang w:val="es-MX"/>
        </w:rPr>
        <w:t>Mercado Abierto</w:t>
      </w:r>
      <w:r w:rsidRPr="002E1AF6">
        <w:rPr>
          <w:rFonts w:ascii="Arial" w:hAnsi="Arial" w:cs="Arial"/>
          <w:sz w:val="14"/>
          <w:szCs w:val="14"/>
          <w:lang w:val="es-MX"/>
        </w:rPr>
        <w:t xml:space="preserve">: Renta Alta PC=&gt;700. Resto PC=&gt;700. | </w:t>
      </w:r>
      <w:r w:rsidRPr="002E1AF6">
        <w:rPr>
          <w:rFonts w:ascii="Arial" w:hAnsi="Arial" w:cs="Arial"/>
          <w:b/>
          <w:sz w:val="14"/>
          <w:szCs w:val="14"/>
          <w:lang w:val="es-MX"/>
        </w:rPr>
        <w:t>Jubilados</w:t>
      </w:r>
      <w:r w:rsidRPr="002E1AF6">
        <w:rPr>
          <w:rFonts w:ascii="Arial" w:hAnsi="Arial" w:cs="Arial"/>
          <w:sz w:val="14"/>
          <w:szCs w:val="14"/>
          <w:lang w:val="es-MX"/>
        </w:rPr>
        <w:t>: Renta Alta PC=&gt;610. Resto PC =&gt;610.</w:t>
      </w:r>
    </w:p>
    <w:p w14:paraId="47A76634" w14:textId="6FB2CEAA" w:rsidR="006F33FA" w:rsidRDefault="006F33FA" w:rsidP="006F33FA">
      <w:pPr>
        <w:ind w:right="-227"/>
        <w:jc w:val="both"/>
        <w:rPr>
          <w:sz w:val="20"/>
        </w:rPr>
      </w:pPr>
    </w:p>
    <w:p w14:paraId="39AF34C3" w14:textId="1187F0FD" w:rsidR="00D5151B" w:rsidRDefault="00D5151B" w:rsidP="006F33FA">
      <w:pPr>
        <w:ind w:right="-227"/>
        <w:jc w:val="both"/>
        <w:rPr>
          <w:sz w:val="20"/>
        </w:rPr>
      </w:pPr>
    </w:p>
    <w:p w14:paraId="2734CCB7" w14:textId="77777777" w:rsidR="00D5151B" w:rsidRDefault="00D5151B" w:rsidP="006F33FA">
      <w:pPr>
        <w:ind w:right="-227"/>
        <w:jc w:val="both"/>
        <w:rPr>
          <w:sz w:val="20"/>
        </w:rPr>
      </w:pPr>
    </w:p>
    <w:tbl>
      <w:tblPr>
        <w:tblW w:w="7580" w:type="dxa"/>
        <w:tblCellMar>
          <w:left w:w="70" w:type="dxa"/>
          <w:right w:w="70" w:type="dxa"/>
        </w:tblCellMar>
        <w:tblLook w:val="04A0" w:firstRow="1" w:lastRow="0" w:firstColumn="1" w:lastColumn="0" w:noHBand="0" w:noVBand="1"/>
      </w:tblPr>
      <w:tblGrid>
        <w:gridCol w:w="1640"/>
        <w:gridCol w:w="2180"/>
        <w:gridCol w:w="3760"/>
      </w:tblGrid>
      <w:tr w:rsidR="00F55BAD" w:rsidRPr="00F55BAD" w14:paraId="2D830A45" w14:textId="77777777" w:rsidTr="002E1AF6">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3E766" w14:textId="77777777" w:rsidR="00F55BAD" w:rsidRPr="002E1AF6" w:rsidRDefault="00F55BAD"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lastRenderedPageBreak/>
              <w:t>Entidad</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5F0EEA7" w14:textId="77777777" w:rsidR="00F55BAD" w:rsidRPr="002E1AF6" w:rsidRDefault="00F55BAD"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Parámetro</w:t>
            </w:r>
          </w:p>
        </w:tc>
        <w:tc>
          <w:tcPr>
            <w:tcW w:w="3760" w:type="dxa"/>
            <w:tcBorders>
              <w:top w:val="single" w:sz="4" w:space="0" w:color="auto"/>
              <w:left w:val="nil"/>
              <w:bottom w:val="single" w:sz="4" w:space="0" w:color="auto"/>
              <w:right w:val="single" w:sz="4" w:space="0" w:color="auto"/>
            </w:tcBorders>
            <w:shd w:val="clear" w:color="auto" w:fill="auto"/>
            <w:noWrap/>
            <w:vAlign w:val="center"/>
            <w:hideMark/>
          </w:tcPr>
          <w:p w14:paraId="070031CC" w14:textId="77777777" w:rsidR="00F55BAD" w:rsidRPr="002E1AF6" w:rsidRDefault="00F55BAD"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Segmento</w:t>
            </w:r>
          </w:p>
        </w:tc>
      </w:tr>
      <w:tr w:rsidR="00F55BAD" w:rsidRPr="00F55BAD" w14:paraId="52D37333" w14:textId="77777777" w:rsidTr="00525609">
        <w:trPr>
          <w:trHeight w:val="300"/>
        </w:trPr>
        <w:tc>
          <w:tcPr>
            <w:tcW w:w="16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2DC486" w14:textId="72F166A9" w:rsidR="00F55BAD" w:rsidRPr="002775B9" w:rsidRDefault="00512583" w:rsidP="00525609">
            <w:pPr>
              <w:jc w:val="center"/>
              <w:rPr>
                <w:rFonts w:ascii="Arial" w:hAnsi="Arial" w:cs="Arial"/>
                <w:color w:val="000000"/>
                <w:sz w:val="20"/>
                <w:lang w:eastAsia="es-AR"/>
              </w:rPr>
            </w:pPr>
            <w:r w:rsidRPr="002775B9">
              <w:rPr>
                <w:rFonts w:ascii="Arial" w:hAnsi="Arial" w:cs="Arial"/>
                <w:color w:val="000000"/>
                <w:sz w:val="20"/>
                <w:lang w:eastAsia="es-AR"/>
              </w:rPr>
              <w:t>Banca Corporativa</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1D8F8C8" w14:textId="77777777" w:rsidR="00F55BAD" w:rsidRPr="002E1AF6" w:rsidRDefault="00F55BAD" w:rsidP="00525609">
            <w:pPr>
              <w:jc w:val="center"/>
              <w:rPr>
                <w:rFonts w:ascii="Arial" w:hAnsi="Arial" w:cs="Arial"/>
                <w:color w:val="000000"/>
                <w:sz w:val="18"/>
                <w:szCs w:val="18"/>
                <w:lang w:eastAsia="es-AR"/>
              </w:rPr>
            </w:pPr>
            <w:r w:rsidRPr="002E1AF6">
              <w:rPr>
                <w:rFonts w:ascii="Arial" w:hAnsi="Arial" w:cs="Arial"/>
                <w:color w:val="000000"/>
                <w:sz w:val="18"/>
                <w:szCs w:val="18"/>
                <w:lang w:eastAsia="es-AR"/>
              </w:rPr>
              <w:t xml:space="preserve">Probabilidad de Default (PD) </w:t>
            </w:r>
            <w:r w:rsidRPr="002E1AF6">
              <w:rPr>
                <w:rFonts w:ascii="Arial" w:hAnsi="Arial" w:cs="Arial"/>
                <w:color w:val="000000"/>
                <w:sz w:val="18"/>
                <w:szCs w:val="18"/>
                <w:vertAlign w:val="superscript"/>
                <w:lang w:eastAsia="es-AR"/>
              </w:rPr>
              <w:t>(2)</w:t>
            </w:r>
          </w:p>
        </w:tc>
        <w:tc>
          <w:tcPr>
            <w:tcW w:w="3760" w:type="dxa"/>
            <w:tcBorders>
              <w:top w:val="nil"/>
              <w:left w:val="nil"/>
              <w:bottom w:val="single" w:sz="4" w:space="0" w:color="auto"/>
              <w:right w:val="single" w:sz="4" w:space="0" w:color="auto"/>
            </w:tcBorders>
            <w:shd w:val="clear" w:color="auto" w:fill="auto"/>
            <w:noWrap/>
            <w:vAlign w:val="center"/>
            <w:hideMark/>
          </w:tcPr>
          <w:p w14:paraId="0BCD0207"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Pequeñas Empresas</w:t>
            </w:r>
          </w:p>
        </w:tc>
      </w:tr>
      <w:tr w:rsidR="00F55BAD" w:rsidRPr="00F55BAD" w14:paraId="35066147"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4F74F43"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6EA867BF"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4DA1033F"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Medianas Empresas</w:t>
            </w:r>
          </w:p>
        </w:tc>
      </w:tr>
      <w:tr w:rsidR="00F55BAD" w:rsidRPr="00F55BAD" w14:paraId="5856E156"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50CEAF04"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41D1E92"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0C2A9305"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Grandes Empresas</w:t>
            </w:r>
          </w:p>
        </w:tc>
      </w:tr>
      <w:tr w:rsidR="00F55BAD" w:rsidRPr="00F55BAD" w14:paraId="16FFC79E"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80F74C4"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3FF327C"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0408A21"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Sector Financiero</w:t>
            </w:r>
          </w:p>
        </w:tc>
      </w:tr>
      <w:tr w:rsidR="00F55BAD" w:rsidRPr="00F55BAD" w14:paraId="300B9676"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6D99B1A4" w14:textId="77777777" w:rsidR="00F55BAD" w:rsidRPr="002E1AF6" w:rsidRDefault="00F55BAD" w:rsidP="00525609">
            <w:pPr>
              <w:rPr>
                <w:rFonts w:ascii="Arial" w:hAnsi="Arial" w:cs="Arial"/>
                <w:color w:val="000000"/>
                <w:sz w:val="18"/>
                <w:szCs w:val="18"/>
                <w:lang w:eastAsia="es-AR"/>
              </w:rPr>
            </w:pPr>
          </w:p>
        </w:tc>
        <w:tc>
          <w:tcPr>
            <w:tcW w:w="21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0D817" w14:textId="77777777" w:rsidR="00F55BAD" w:rsidRPr="002E1AF6" w:rsidRDefault="00F55BAD" w:rsidP="00525609">
            <w:pPr>
              <w:jc w:val="center"/>
              <w:rPr>
                <w:rFonts w:ascii="Arial" w:hAnsi="Arial" w:cs="Arial"/>
                <w:color w:val="000000"/>
                <w:sz w:val="18"/>
                <w:szCs w:val="18"/>
                <w:lang w:eastAsia="es-AR"/>
              </w:rPr>
            </w:pPr>
            <w:r w:rsidRPr="002E1AF6">
              <w:rPr>
                <w:rFonts w:ascii="Arial" w:hAnsi="Arial" w:cs="Arial"/>
                <w:color w:val="000000"/>
                <w:sz w:val="18"/>
                <w:szCs w:val="18"/>
                <w:lang w:eastAsia="es-AR"/>
              </w:rPr>
              <w:t>Severidad (LGD)</w:t>
            </w:r>
          </w:p>
        </w:tc>
        <w:tc>
          <w:tcPr>
            <w:tcW w:w="3760" w:type="dxa"/>
            <w:tcBorders>
              <w:top w:val="nil"/>
              <w:left w:val="nil"/>
              <w:bottom w:val="single" w:sz="4" w:space="0" w:color="auto"/>
              <w:right w:val="single" w:sz="4" w:space="0" w:color="auto"/>
            </w:tcBorders>
            <w:shd w:val="clear" w:color="auto" w:fill="auto"/>
            <w:noWrap/>
            <w:vAlign w:val="center"/>
            <w:hideMark/>
          </w:tcPr>
          <w:p w14:paraId="1EAEB968"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Adelantos</w:t>
            </w:r>
          </w:p>
        </w:tc>
      </w:tr>
      <w:tr w:rsidR="00F55BAD" w:rsidRPr="00F55BAD" w14:paraId="6FB2ACC3"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4797F1E0"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B270361"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2B97463"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Documentos</w:t>
            </w:r>
          </w:p>
        </w:tc>
      </w:tr>
      <w:tr w:rsidR="00F55BAD" w:rsidRPr="00F55BAD" w14:paraId="663B3685"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349ABAE3"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F006EA8"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3EA1F4DA"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Leasing</w:t>
            </w:r>
          </w:p>
        </w:tc>
      </w:tr>
      <w:tr w:rsidR="00F55BAD" w:rsidRPr="00F55BAD" w14:paraId="0ADADC78"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8A778AB"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1BCCDE43"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D777547"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Sola Firma</w:t>
            </w:r>
          </w:p>
        </w:tc>
      </w:tr>
      <w:tr w:rsidR="00F55BAD" w:rsidRPr="00F55BAD" w14:paraId="2051BEB2"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9489980"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413575ED"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3AF9E84E"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Otros</w:t>
            </w:r>
          </w:p>
        </w:tc>
      </w:tr>
      <w:tr w:rsidR="00F55BAD" w:rsidRPr="00F55BAD" w14:paraId="4779245E" w14:textId="77777777" w:rsidTr="002E1AF6">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7B0D7BA4" w14:textId="77777777" w:rsidR="00F55BAD" w:rsidRPr="002E1AF6" w:rsidRDefault="00F55BAD" w:rsidP="00525609">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4F4D3FA2" w14:textId="77777777" w:rsidR="00F55BAD" w:rsidRPr="002E1AF6" w:rsidRDefault="00F55BAD" w:rsidP="00525609">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vAlign w:val="center"/>
            <w:hideMark/>
          </w:tcPr>
          <w:p w14:paraId="618F09D5"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OCIF</w:t>
            </w:r>
          </w:p>
        </w:tc>
      </w:tr>
    </w:tbl>
    <w:p w14:paraId="73666CF8" w14:textId="74E36F9B" w:rsidR="00512583" w:rsidRDefault="00512583" w:rsidP="00512583">
      <w:pPr>
        <w:jc w:val="both"/>
        <w:rPr>
          <w:rFonts w:ascii="Arial" w:hAnsi="Arial" w:cs="Arial"/>
          <w:sz w:val="14"/>
          <w:szCs w:val="14"/>
        </w:rPr>
      </w:pPr>
    </w:p>
    <w:p w14:paraId="21D6FF62" w14:textId="50101E47" w:rsidR="00512583" w:rsidRDefault="00512583" w:rsidP="00512583">
      <w:pPr>
        <w:jc w:val="both"/>
        <w:rPr>
          <w:rFonts w:ascii="Arial" w:hAnsi="Arial" w:cs="Arial"/>
          <w:sz w:val="14"/>
          <w:szCs w:val="14"/>
        </w:rPr>
      </w:pPr>
    </w:p>
    <w:tbl>
      <w:tblPr>
        <w:tblW w:w="7655" w:type="dxa"/>
        <w:tblInd w:w="-5" w:type="dxa"/>
        <w:tblCellMar>
          <w:left w:w="70" w:type="dxa"/>
          <w:right w:w="70" w:type="dxa"/>
        </w:tblCellMar>
        <w:tblLook w:val="04A0" w:firstRow="1" w:lastRow="0" w:firstColumn="1" w:lastColumn="0" w:noHBand="0" w:noVBand="1"/>
      </w:tblPr>
      <w:tblGrid>
        <w:gridCol w:w="1702"/>
        <w:gridCol w:w="2126"/>
        <w:gridCol w:w="3827"/>
      </w:tblGrid>
      <w:tr w:rsidR="00512583" w:rsidRPr="00017467" w14:paraId="48B61C71" w14:textId="77777777" w:rsidTr="002775B9">
        <w:trPr>
          <w:trHeight w:val="281"/>
        </w:trPr>
        <w:tc>
          <w:tcPr>
            <w:tcW w:w="17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DD99A6B" w14:textId="77777777" w:rsidR="00512583" w:rsidRPr="002775B9" w:rsidRDefault="00512583" w:rsidP="00512583">
            <w:pPr>
              <w:jc w:val="center"/>
              <w:rPr>
                <w:rFonts w:ascii="Arial" w:hAnsi="Arial" w:cs="Arial"/>
                <w:color w:val="000000"/>
                <w:sz w:val="20"/>
                <w:lang w:eastAsia="es-AR"/>
              </w:rPr>
            </w:pPr>
            <w:bookmarkStart w:id="11" w:name="_Hlk41421445"/>
            <w:r w:rsidRPr="002775B9">
              <w:rPr>
                <w:rFonts w:ascii="Arial" w:hAnsi="Arial" w:cs="Arial"/>
                <w:color w:val="000000"/>
                <w:sz w:val="20"/>
                <w:lang w:eastAsia="es-AR"/>
              </w:rPr>
              <w:t>División Consumo</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05AF3F" w14:textId="77777777" w:rsidR="00512583" w:rsidRPr="002775B9" w:rsidRDefault="00512583" w:rsidP="00512583">
            <w:pPr>
              <w:jc w:val="center"/>
              <w:rPr>
                <w:rFonts w:ascii="Arial" w:hAnsi="Arial" w:cs="Arial"/>
                <w:color w:val="000000"/>
                <w:sz w:val="20"/>
                <w:lang w:eastAsia="es-AR"/>
              </w:rPr>
            </w:pPr>
            <w:r w:rsidRPr="002775B9">
              <w:rPr>
                <w:rFonts w:ascii="Arial" w:hAnsi="Arial" w:cs="Arial"/>
                <w:color w:val="000000"/>
                <w:sz w:val="20"/>
                <w:lang w:eastAsia="es-AR"/>
              </w:rPr>
              <w:t>Probabilidad de Default (PD)</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3520DC74"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Tarjetas de crédito cerradas</w:t>
            </w:r>
          </w:p>
        </w:tc>
      </w:tr>
      <w:tr w:rsidR="00512583" w:rsidRPr="00017467" w14:paraId="4F3F60CA" w14:textId="77777777" w:rsidTr="002775B9">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0D6DEDC6" w14:textId="77777777" w:rsidR="00512583" w:rsidRPr="002775B9" w:rsidRDefault="00512583" w:rsidP="00512583">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4D478CC9" w14:textId="77777777" w:rsidR="00512583" w:rsidRPr="002775B9" w:rsidRDefault="00512583" w:rsidP="00512583">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4CF0DC47"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Tarjetas de crédito abiertas</w:t>
            </w:r>
          </w:p>
        </w:tc>
      </w:tr>
      <w:tr w:rsidR="00512583" w:rsidRPr="00017467" w14:paraId="7DB67469" w14:textId="77777777" w:rsidTr="002775B9">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4D710CC9" w14:textId="77777777" w:rsidR="00512583" w:rsidRPr="002775B9" w:rsidRDefault="00512583" w:rsidP="00512583">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050447FA" w14:textId="77777777" w:rsidR="00512583" w:rsidRPr="002775B9" w:rsidRDefault="00512583" w:rsidP="00512583">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1049E3D7"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Préstamo Efectivo</w:t>
            </w:r>
          </w:p>
        </w:tc>
      </w:tr>
      <w:tr w:rsidR="00512583" w:rsidRPr="00017467" w14:paraId="628CF729" w14:textId="77777777" w:rsidTr="002775B9">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5B9CE105" w14:textId="77777777" w:rsidR="00512583" w:rsidRPr="002775B9" w:rsidRDefault="00512583" w:rsidP="00512583">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2C7166D7" w14:textId="77777777" w:rsidR="00512583" w:rsidRPr="002775B9" w:rsidRDefault="00512583" w:rsidP="00512583">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158320C6"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Préstamo Efectivo Consumo y Dirigido</w:t>
            </w:r>
          </w:p>
        </w:tc>
      </w:tr>
      <w:tr w:rsidR="00512583" w:rsidRPr="00017467" w14:paraId="58172003" w14:textId="77777777" w:rsidTr="002775B9">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54F2D8AE" w14:textId="77777777" w:rsidR="00512583" w:rsidRPr="002775B9" w:rsidRDefault="00512583" w:rsidP="00512583">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036F5D90" w14:textId="77777777" w:rsidR="00512583" w:rsidRPr="002775B9" w:rsidRDefault="00512583" w:rsidP="00512583">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62650253"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Refinanciaciones</w:t>
            </w:r>
          </w:p>
        </w:tc>
      </w:tr>
      <w:tr w:rsidR="00512583" w:rsidRPr="00017467" w14:paraId="4B746712" w14:textId="77777777" w:rsidTr="002775B9">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0A340895" w14:textId="77777777" w:rsidR="00512583" w:rsidRPr="002775B9" w:rsidRDefault="00512583" w:rsidP="00512583">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0939E86A" w14:textId="77777777" w:rsidR="00512583" w:rsidRPr="002775B9" w:rsidRDefault="00512583" w:rsidP="00512583">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0D95EB66"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Préstamos personales de Tarjeta Automática</w:t>
            </w:r>
          </w:p>
        </w:tc>
      </w:tr>
      <w:tr w:rsidR="00512583" w:rsidRPr="00017467" w14:paraId="7CE84F8D" w14:textId="77777777" w:rsidTr="002775B9">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4BA2EE29" w14:textId="77777777" w:rsidR="00512583" w:rsidRPr="002775B9" w:rsidRDefault="00512583" w:rsidP="00512583">
            <w:pPr>
              <w:rPr>
                <w:rFonts w:ascii="Arial" w:hAnsi="Arial" w:cs="Arial"/>
                <w:color w:val="000000"/>
                <w:sz w:val="20"/>
                <w:lang w:eastAsia="es-AR"/>
              </w:rPr>
            </w:pP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9785D1" w14:textId="77777777" w:rsidR="00512583" w:rsidRPr="002775B9" w:rsidRDefault="00512583" w:rsidP="00512583">
            <w:pPr>
              <w:jc w:val="center"/>
              <w:rPr>
                <w:rFonts w:ascii="Arial" w:hAnsi="Arial" w:cs="Arial"/>
                <w:color w:val="000000"/>
                <w:sz w:val="20"/>
                <w:lang w:eastAsia="es-AR"/>
              </w:rPr>
            </w:pPr>
            <w:r w:rsidRPr="002775B9">
              <w:rPr>
                <w:rFonts w:ascii="Arial" w:hAnsi="Arial" w:cs="Arial"/>
                <w:color w:val="000000"/>
                <w:sz w:val="20"/>
                <w:lang w:eastAsia="es-AR"/>
              </w:rPr>
              <w:t>Severidad (LGD)</w:t>
            </w:r>
          </w:p>
        </w:tc>
        <w:tc>
          <w:tcPr>
            <w:tcW w:w="3827" w:type="dxa"/>
            <w:tcBorders>
              <w:top w:val="nil"/>
              <w:left w:val="nil"/>
              <w:bottom w:val="single" w:sz="4" w:space="0" w:color="auto"/>
              <w:right w:val="single" w:sz="4" w:space="0" w:color="auto"/>
            </w:tcBorders>
            <w:shd w:val="clear" w:color="auto" w:fill="auto"/>
            <w:noWrap/>
            <w:vAlign w:val="center"/>
            <w:hideMark/>
          </w:tcPr>
          <w:p w14:paraId="03F5847D"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Tarjetas de crédito</w:t>
            </w:r>
          </w:p>
        </w:tc>
      </w:tr>
      <w:tr w:rsidR="00512583" w:rsidRPr="00017467" w14:paraId="01A031B2" w14:textId="77777777" w:rsidTr="002775B9">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7740D180" w14:textId="77777777" w:rsidR="00512583" w:rsidRPr="002775B9" w:rsidRDefault="00512583" w:rsidP="00512583">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0CB21051" w14:textId="77777777" w:rsidR="00512583" w:rsidRPr="002775B9" w:rsidRDefault="00512583" w:rsidP="00512583">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2628ADCC"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Préstamos</w:t>
            </w:r>
          </w:p>
        </w:tc>
      </w:tr>
      <w:tr w:rsidR="00512583" w:rsidRPr="00017467" w14:paraId="2A0CD46A" w14:textId="77777777" w:rsidTr="002775B9">
        <w:trPr>
          <w:trHeight w:val="281"/>
        </w:trPr>
        <w:tc>
          <w:tcPr>
            <w:tcW w:w="1702" w:type="dxa"/>
            <w:vMerge/>
            <w:tcBorders>
              <w:top w:val="nil"/>
              <w:left w:val="single" w:sz="4" w:space="0" w:color="auto"/>
              <w:bottom w:val="single" w:sz="4" w:space="0" w:color="auto"/>
              <w:right w:val="single" w:sz="4" w:space="0" w:color="auto"/>
            </w:tcBorders>
            <w:vAlign w:val="center"/>
            <w:hideMark/>
          </w:tcPr>
          <w:p w14:paraId="799F312F" w14:textId="77777777" w:rsidR="00512583" w:rsidRPr="002775B9" w:rsidRDefault="00512583" w:rsidP="00512583">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6B2EC8C4" w14:textId="77777777" w:rsidR="00512583" w:rsidRPr="002775B9" w:rsidRDefault="00512583" w:rsidP="00512583">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7CD8F3C5" w14:textId="77777777" w:rsidR="00512583" w:rsidRPr="002775B9" w:rsidRDefault="00512583" w:rsidP="00512583">
            <w:pPr>
              <w:rPr>
                <w:rFonts w:ascii="Arial" w:hAnsi="Arial" w:cs="Arial"/>
                <w:color w:val="000000"/>
                <w:sz w:val="20"/>
                <w:lang w:eastAsia="es-AR"/>
              </w:rPr>
            </w:pPr>
            <w:r w:rsidRPr="002775B9">
              <w:rPr>
                <w:rFonts w:ascii="Arial" w:hAnsi="Arial" w:cs="Arial"/>
                <w:color w:val="000000"/>
                <w:sz w:val="20"/>
                <w:lang w:eastAsia="es-AR"/>
              </w:rPr>
              <w:t>Refinanciaciones</w:t>
            </w:r>
          </w:p>
        </w:tc>
      </w:tr>
      <w:bookmarkEnd w:id="11"/>
    </w:tbl>
    <w:p w14:paraId="1566752B" w14:textId="16A9B144" w:rsidR="00512583" w:rsidRDefault="00512583" w:rsidP="00512583">
      <w:pPr>
        <w:jc w:val="both"/>
        <w:rPr>
          <w:rFonts w:ascii="Arial" w:hAnsi="Arial" w:cs="Arial"/>
          <w:sz w:val="14"/>
          <w:szCs w:val="14"/>
        </w:rPr>
      </w:pPr>
    </w:p>
    <w:p w14:paraId="358C8034" w14:textId="6A1F118C" w:rsidR="00512583" w:rsidRDefault="00512583" w:rsidP="00512583">
      <w:pPr>
        <w:jc w:val="both"/>
        <w:rPr>
          <w:rFonts w:ascii="Arial" w:hAnsi="Arial" w:cs="Arial"/>
          <w:sz w:val="14"/>
          <w:szCs w:val="14"/>
        </w:rPr>
      </w:pPr>
    </w:p>
    <w:p w14:paraId="44F10CB6" w14:textId="77777777" w:rsidR="00512583" w:rsidRPr="002775B9" w:rsidRDefault="00512583" w:rsidP="002775B9">
      <w:pPr>
        <w:jc w:val="both"/>
        <w:rPr>
          <w:rFonts w:ascii="Arial" w:hAnsi="Arial" w:cs="Arial"/>
          <w:sz w:val="14"/>
          <w:szCs w:val="14"/>
        </w:rPr>
      </w:pPr>
    </w:p>
    <w:p w14:paraId="44882777" w14:textId="3DFC3D72" w:rsidR="00F55BAD" w:rsidRDefault="00F55BAD" w:rsidP="00F55BAD">
      <w:pPr>
        <w:jc w:val="both"/>
        <w:rPr>
          <w:rFonts w:ascii="Arial" w:hAnsi="Arial" w:cs="Arial"/>
          <w:sz w:val="20"/>
        </w:rPr>
      </w:pPr>
      <w:r w:rsidRPr="00F55BAD">
        <w:rPr>
          <w:rFonts w:ascii="Arial" w:hAnsi="Arial" w:cs="Arial"/>
          <w:sz w:val="20"/>
        </w:rPr>
        <w:t>Las características de riesgo de crédito utilizadas para realizar las segmentaciones previamente expuestas son entre otras: tipo de instrumento financiero, sector de actividad del deudor, área geográfica de actividad, tipo de garantía, antigüedad de balances presentados y otros factores relevantes para estimar los flujos de efectivo esperados.</w:t>
      </w:r>
    </w:p>
    <w:p w14:paraId="596A45A7" w14:textId="77777777" w:rsidR="00F55BAD" w:rsidRPr="00F55BAD" w:rsidRDefault="00F55BAD" w:rsidP="00F55BAD">
      <w:pPr>
        <w:jc w:val="both"/>
        <w:rPr>
          <w:rFonts w:ascii="Arial" w:hAnsi="Arial" w:cs="Arial"/>
          <w:sz w:val="20"/>
        </w:rPr>
      </w:pPr>
    </w:p>
    <w:p w14:paraId="3A35AAE0" w14:textId="365EE755" w:rsidR="006F33FA" w:rsidRDefault="00F55BAD" w:rsidP="00F55BAD">
      <w:pPr>
        <w:jc w:val="both"/>
        <w:rPr>
          <w:rFonts w:ascii="Arial" w:hAnsi="Arial" w:cs="Arial"/>
          <w:sz w:val="20"/>
          <w:highlight w:val="yellow"/>
        </w:rPr>
      </w:pPr>
      <w:r w:rsidRPr="00F55BAD">
        <w:rPr>
          <w:rFonts w:ascii="Arial" w:hAnsi="Arial" w:cs="Arial"/>
          <w:sz w:val="20"/>
        </w:rPr>
        <w:t>La adecuada agrupación de los instrumentos financieros es monitoreada y revisada de forma periódica por el equipo de Modelos y Previsiones de la Gerencia de Riesgo de Crédito y Stress Test.</w:t>
      </w:r>
    </w:p>
    <w:p w14:paraId="2DE60F94" w14:textId="097B537C" w:rsidR="006F33FA" w:rsidRDefault="006F33FA" w:rsidP="00201315">
      <w:pPr>
        <w:jc w:val="both"/>
        <w:rPr>
          <w:rFonts w:ascii="Arial" w:hAnsi="Arial" w:cs="Arial"/>
          <w:sz w:val="20"/>
          <w:highlight w:val="yellow"/>
        </w:rPr>
      </w:pPr>
    </w:p>
    <w:p w14:paraId="5B3E74C4" w14:textId="0612704D" w:rsidR="00297B6A" w:rsidRDefault="00297B6A" w:rsidP="00201315">
      <w:pPr>
        <w:jc w:val="both"/>
        <w:rPr>
          <w:rFonts w:ascii="Arial" w:hAnsi="Arial" w:cs="Arial"/>
          <w:sz w:val="20"/>
          <w:highlight w:val="yellow"/>
        </w:rPr>
      </w:pPr>
    </w:p>
    <w:p w14:paraId="0C6AFF6F" w14:textId="77777777" w:rsidR="00297B6A" w:rsidRDefault="00297B6A" w:rsidP="00201315">
      <w:pPr>
        <w:jc w:val="both"/>
        <w:rPr>
          <w:rFonts w:ascii="Arial" w:hAnsi="Arial" w:cs="Arial"/>
          <w:sz w:val="20"/>
          <w:highlight w:val="yellow"/>
        </w:rPr>
      </w:pPr>
    </w:p>
    <w:p w14:paraId="1473B7ED" w14:textId="77777777" w:rsidR="00F55BAD" w:rsidRPr="002E1AF6" w:rsidRDefault="00F55BAD" w:rsidP="00F55BAD">
      <w:pPr>
        <w:rPr>
          <w:rFonts w:ascii="Arial" w:hAnsi="Arial" w:cs="Arial"/>
          <w:b/>
          <w:sz w:val="20"/>
        </w:rPr>
      </w:pPr>
      <w:r w:rsidRPr="002E1AF6">
        <w:rPr>
          <w:rFonts w:ascii="Arial" w:hAnsi="Arial" w:cs="Arial"/>
          <w:b/>
          <w:sz w:val="20"/>
        </w:rPr>
        <w:lastRenderedPageBreak/>
        <w:t>1.2.3</w:t>
      </w:r>
      <w:r w:rsidRPr="002E1AF6">
        <w:rPr>
          <w:rFonts w:ascii="Arial" w:hAnsi="Arial" w:cs="Arial"/>
          <w:sz w:val="20"/>
        </w:rPr>
        <w:t xml:space="preserve"> </w:t>
      </w:r>
      <w:r w:rsidRPr="002E1AF6">
        <w:rPr>
          <w:rFonts w:ascii="Arial" w:hAnsi="Arial" w:cs="Arial"/>
          <w:b/>
          <w:sz w:val="20"/>
        </w:rPr>
        <w:t>Definición de default y crédito deteriorado</w:t>
      </w:r>
    </w:p>
    <w:p w14:paraId="4C49B1F3" w14:textId="77777777" w:rsidR="00F55BAD" w:rsidRDefault="00F55BAD" w:rsidP="00F55BAD">
      <w:pPr>
        <w:rPr>
          <w:b/>
          <w:sz w:val="20"/>
        </w:rPr>
      </w:pPr>
    </w:p>
    <w:p w14:paraId="3646CFC4" w14:textId="39CEAA63" w:rsidR="00F55BAD" w:rsidRPr="002E1AF6" w:rsidRDefault="00F55BAD" w:rsidP="00F55BAD">
      <w:pPr>
        <w:jc w:val="both"/>
        <w:rPr>
          <w:rFonts w:ascii="Arial" w:hAnsi="Arial" w:cs="Arial"/>
          <w:sz w:val="20"/>
        </w:rPr>
      </w:pPr>
      <w:r w:rsidRPr="002E1AF6">
        <w:rPr>
          <w:rFonts w:ascii="Arial" w:hAnsi="Arial" w:cs="Arial"/>
          <w:sz w:val="20"/>
        </w:rPr>
        <w:t>El Banco considera que un instrumento financiero se encuentra en estado de default cuando cumple uno o más de los siguientes criterios:</w:t>
      </w:r>
    </w:p>
    <w:p w14:paraId="486B7B2B" w14:textId="77777777" w:rsidR="00F55BAD" w:rsidRPr="002E1AF6" w:rsidRDefault="00F55BAD" w:rsidP="00F55BAD">
      <w:pPr>
        <w:jc w:val="both"/>
        <w:rPr>
          <w:rFonts w:ascii="Arial" w:hAnsi="Arial" w:cs="Arial"/>
          <w:sz w:val="20"/>
        </w:rPr>
      </w:pPr>
    </w:p>
    <w:p w14:paraId="559D703D" w14:textId="1DD266ED" w:rsidR="00F55BAD" w:rsidRDefault="00F55BAD" w:rsidP="00F55BAD">
      <w:pPr>
        <w:jc w:val="both"/>
        <w:rPr>
          <w:rFonts w:ascii="Arial" w:hAnsi="Arial" w:cs="Arial"/>
          <w:sz w:val="20"/>
        </w:rPr>
      </w:pPr>
      <w:r w:rsidRPr="002E1AF6">
        <w:rPr>
          <w:rFonts w:ascii="Arial" w:hAnsi="Arial" w:cs="Arial"/>
          <w:sz w:val="20"/>
        </w:rPr>
        <w:t>•</w:t>
      </w:r>
      <w:r w:rsidRPr="002E1AF6">
        <w:rPr>
          <w:rFonts w:ascii="Arial" w:hAnsi="Arial" w:cs="Arial"/>
          <w:sz w:val="20"/>
        </w:rPr>
        <w:tab/>
        <w:t>Instrumentos financieros con mora a partir de 90 días en los pagos contractuales.</w:t>
      </w:r>
    </w:p>
    <w:p w14:paraId="2BC3632C" w14:textId="77777777" w:rsidR="00F75221" w:rsidRPr="002E1AF6" w:rsidRDefault="00F75221" w:rsidP="00F55BAD">
      <w:pPr>
        <w:jc w:val="both"/>
        <w:rPr>
          <w:rFonts w:ascii="Arial" w:hAnsi="Arial" w:cs="Arial"/>
          <w:sz w:val="20"/>
        </w:rPr>
      </w:pPr>
    </w:p>
    <w:p w14:paraId="4F906FBF" w14:textId="13E7AC6E" w:rsidR="00F55BAD" w:rsidRPr="00FD67E8" w:rsidRDefault="00F55BAD" w:rsidP="00F55BAD">
      <w:pPr>
        <w:jc w:val="both"/>
        <w:rPr>
          <w:rFonts w:ascii="Arial" w:hAnsi="Arial" w:cs="Arial"/>
          <w:sz w:val="20"/>
          <w:highlight w:val="yellow"/>
        </w:rPr>
      </w:pPr>
      <w:r w:rsidRPr="002E1AF6">
        <w:rPr>
          <w:rFonts w:ascii="Arial" w:hAnsi="Arial" w:cs="Arial"/>
          <w:sz w:val="20"/>
        </w:rPr>
        <w:t>Los criterios arriba mencionados son aplicados de manera consistente para todos los instrumentos financieros y son consistentes con la definición de default que utiliza el Banco a efectos de su gestión del riesgo de crédito. Asimismo, dicha definición es aplicada consistentemente para modelar la PD, la Exposición a Default (en adelante “EAD” por sus siglas en inglés) y la Pérdida dado el Default (en adelante “LGD” por sus siglas en inglés).</w:t>
      </w:r>
    </w:p>
    <w:p w14:paraId="03405991" w14:textId="72FCF12B" w:rsidR="006F33FA" w:rsidRDefault="006F33FA" w:rsidP="00201315">
      <w:pPr>
        <w:jc w:val="both"/>
        <w:rPr>
          <w:rFonts w:ascii="Arial" w:hAnsi="Arial" w:cs="Arial"/>
          <w:sz w:val="20"/>
          <w:highlight w:val="yellow"/>
        </w:rPr>
      </w:pPr>
    </w:p>
    <w:p w14:paraId="746741DB" w14:textId="77777777" w:rsidR="00F55BAD" w:rsidRPr="002E1AF6" w:rsidRDefault="00F55BAD" w:rsidP="00F55BAD">
      <w:pPr>
        <w:rPr>
          <w:rFonts w:ascii="Arial" w:hAnsi="Arial" w:cs="Arial"/>
          <w:b/>
          <w:sz w:val="20"/>
        </w:rPr>
      </w:pPr>
      <w:r w:rsidRPr="002E1AF6">
        <w:rPr>
          <w:rFonts w:ascii="Arial" w:hAnsi="Arial" w:cs="Arial"/>
          <w:b/>
          <w:sz w:val="20"/>
        </w:rPr>
        <w:t>1.2.4.</w:t>
      </w:r>
      <w:r w:rsidRPr="002E1AF6">
        <w:rPr>
          <w:rFonts w:ascii="Arial" w:hAnsi="Arial" w:cs="Arial"/>
          <w:sz w:val="20"/>
        </w:rPr>
        <w:t xml:space="preserve"> </w:t>
      </w:r>
      <w:r w:rsidRPr="002E1AF6">
        <w:rPr>
          <w:rFonts w:ascii="Arial" w:hAnsi="Arial" w:cs="Arial"/>
          <w:b/>
          <w:sz w:val="20"/>
        </w:rPr>
        <w:t>Medición de las Pérdidas Crediticias Esperadas – Explicación de los inputs, supuestos y técnicas de estimación</w:t>
      </w:r>
    </w:p>
    <w:p w14:paraId="38565EE0" w14:textId="77777777" w:rsidR="00F55BAD" w:rsidRPr="002E1AF6" w:rsidRDefault="00F55BAD" w:rsidP="00F55BAD">
      <w:pPr>
        <w:rPr>
          <w:rFonts w:ascii="Arial" w:hAnsi="Arial" w:cs="Arial"/>
          <w:b/>
          <w:sz w:val="20"/>
        </w:rPr>
      </w:pPr>
    </w:p>
    <w:p w14:paraId="51742157" w14:textId="3CD5379D" w:rsidR="00F55BAD" w:rsidRDefault="00F55BAD" w:rsidP="00F55BAD">
      <w:pPr>
        <w:jc w:val="both"/>
        <w:rPr>
          <w:rFonts w:ascii="Arial" w:hAnsi="Arial" w:cs="Arial"/>
          <w:sz w:val="20"/>
        </w:rPr>
      </w:pPr>
      <w:r w:rsidRPr="002E1AF6">
        <w:rPr>
          <w:rFonts w:ascii="Arial" w:hAnsi="Arial" w:cs="Arial"/>
          <w:sz w:val="20"/>
        </w:rPr>
        <w:t>Las PCE se miden en base a 12 meses o a lo largo de la vida del instrumento, dependiendo de si se ha producido un incremento significativo del riesgo de crédito desde el reconocimiento inicial o si un activo se considera con deterioro crediticio. Las PCE son el producto descontado de la Probabilidad de default (PD), Exposición al default (EAD) y Pérdida dado el default (LGD), definidas de la siguiente manera:</w:t>
      </w:r>
    </w:p>
    <w:p w14:paraId="5AC35BCC" w14:textId="77777777" w:rsidR="00F55BAD" w:rsidRPr="002E1AF6" w:rsidRDefault="00F55BAD" w:rsidP="00F55BAD">
      <w:pPr>
        <w:jc w:val="both"/>
        <w:rPr>
          <w:rFonts w:ascii="Arial" w:hAnsi="Arial" w:cs="Arial"/>
          <w:sz w:val="20"/>
        </w:rPr>
      </w:pPr>
    </w:p>
    <w:p w14:paraId="6F2FDB59" w14:textId="2D5EBDA5" w:rsidR="00F55BAD" w:rsidRDefault="00F55BAD" w:rsidP="00F55BAD">
      <w:pPr>
        <w:jc w:val="both"/>
        <w:rPr>
          <w:rFonts w:ascii="Arial" w:hAnsi="Arial" w:cs="Arial"/>
          <w:sz w:val="20"/>
        </w:rPr>
      </w:pPr>
      <w:r>
        <w:rPr>
          <w:rFonts w:ascii="Arial" w:hAnsi="Arial" w:cs="Arial"/>
          <w:sz w:val="20"/>
        </w:rPr>
        <w:t xml:space="preserve">           </w:t>
      </w:r>
      <w:r w:rsidRPr="002E1AF6">
        <w:rPr>
          <w:rFonts w:ascii="Arial" w:hAnsi="Arial" w:cs="Arial"/>
          <w:sz w:val="20"/>
        </w:rPr>
        <w:t>• la PD representa la probabilidad de que un deudor no cumpla con su obligación financiera</w:t>
      </w:r>
      <w:r w:rsidR="00944B4A">
        <w:rPr>
          <w:rFonts w:ascii="Arial" w:hAnsi="Arial" w:cs="Arial"/>
          <w:sz w:val="20"/>
        </w:rPr>
        <w:t xml:space="preserve"> </w:t>
      </w:r>
      <w:r w:rsidR="00944B4A" w:rsidRPr="00944B4A">
        <w:rPr>
          <w:rFonts w:ascii="Arial" w:hAnsi="Arial" w:cs="Arial"/>
          <w:sz w:val="20"/>
        </w:rPr>
        <w:t xml:space="preserve">(según la "Definición de default y deterioro crediticio" expuesto en la Nota </w:t>
      </w:r>
      <w:r w:rsidR="00944B4A">
        <w:rPr>
          <w:rFonts w:ascii="Arial" w:hAnsi="Arial" w:cs="Arial"/>
          <w:sz w:val="20"/>
        </w:rPr>
        <w:t>1.2.</w:t>
      </w:r>
      <w:r w:rsidR="00944B4A" w:rsidRPr="00944B4A">
        <w:rPr>
          <w:rFonts w:ascii="Arial" w:hAnsi="Arial" w:cs="Arial"/>
          <w:sz w:val="20"/>
        </w:rPr>
        <w:t xml:space="preserve">3), </w:t>
      </w:r>
      <w:r w:rsidRPr="002E1AF6">
        <w:rPr>
          <w:rFonts w:ascii="Arial" w:hAnsi="Arial" w:cs="Arial"/>
          <w:sz w:val="20"/>
        </w:rPr>
        <w:t xml:space="preserve"> ya sea durante los próximos 12 meses o durante el tiempo de vida restante (Lifetime PD) del activo financiero.</w:t>
      </w:r>
    </w:p>
    <w:p w14:paraId="51E5A5DB" w14:textId="77777777" w:rsidR="00F55BAD" w:rsidRPr="002E1AF6" w:rsidRDefault="00F55BAD" w:rsidP="00F55BAD">
      <w:pPr>
        <w:jc w:val="both"/>
        <w:rPr>
          <w:rFonts w:ascii="Arial" w:hAnsi="Arial" w:cs="Arial"/>
          <w:sz w:val="20"/>
        </w:rPr>
      </w:pPr>
    </w:p>
    <w:p w14:paraId="19FECFE2" w14:textId="57C23BBF" w:rsidR="00F55BAD" w:rsidRDefault="00F55BAD" w:rsidP="00F55BAD">
      <w:pPr>
        <w:jc w:val="both"/>
        <w:rPr>
          <w:rFonts w:ascii="Arial" w:hAnsi="Arial" w:cs="Arial"/>
          <w:sz w:val="20"/>
        </w:rPr>
      </w:pPr>
      <w:r>
        <w:rPr>
          <w:rFonts w:ascii="Arial" w:hAnsi="Arial" w:cs="Arial"/>
          <w:sz w:val="20"/>
        </w:rPr>
        <w:t xml:space="preserve">           </w:t>
      </w:r>
      <w:r w:rsidRPr="002E1AF6">
        <w:rPr>
          <w:rFonts w:ascii="Arial" w:hAnsi="Arial" w:cs="Arial"/>
          <w:sz w:val="20"/>
        </w:rPr>
        <w:t>• la EAD se basa en los montos que el Banco espera que se adeuden al momento del default, durante los próximos 12 meses o durante el tiempo de vida restante del instrumento (Lifetime EAD). Por ejemplo, para un compromiso revolvente, el Banco incluye el saldo actual dispuesto más cualquier monto adicional que se espera que se disponga hasta el límite contractual actual al momento del default, en caso de que ocurra.</w:t>
      </w:r>
    </w:p>
    <w:p w14:paraId="39289934" w14:textId="77777777" w:rsidR="00F55BAD" w:rsidRPr="002E1AF6" w:rsidRDefault="00F55BAD" w:rsidP="00F55BAD">
      <w:pPr>
        <w:jc w:val="both"/>
        <w:rPr>
          <w:rFonts w:ascii="Arial" w:hAnsi="Arial" w:cs="Arial"/>
          <w:sz w:val="20"/>
        </w:rPr>
      </w:pPr>
    </w:p>
    <w:p w14:paraId="5F79CFF7" w14:textId="39C187EE" w:rsidR="00F55BAD" w:rsidRDefault="00F55BAD" w:rsidP="00F55BAD">
      <w:pPr>
        <w:jc w:val="both"/>
        <w:rPr>
          <w:rFonts w:ascii="Arial" w:hAnsi="Arial" w:cs="Arial"/>
          <w:sz w:val="20"/>
        </w:rPr>
      </w:pPr>
      <w:r>
        <w:rPr>
          <w:rFonts w:ascii="Arial" w:hAnsi="Arial" w:cs="Arial"/>
          <w:sz w:val="20"/>
        </w:rPr>
        <w:t xml:space="preserve">          </w:t>
      </w:r>
      <w:r w:rsidRPr="002E1AF6">
        <w:rPr>
          <w:rFonts w:ascii="Arial" w:hAnsi="Arial" w:cs="Arial"/>
          <w:sz w:val="20"/>
        </w:rPr>
        <w:t xml:space="preserve">• La LGD representa la expectativa del Banco respecto al monto de la pérdida en una exposición en estado de default. La LGD varía según el tipo de contraparte, el tipo y la antigüedad del reclamo y la disponibilidad de garantías u otro soporte de crédito. La LGD se expresa como un porcentaje de pérdida por unidad de exposición en el momento del default (EAD) y se calcula sobre una base de 12 meses o a lo largo de la vida del instrumento, donde la LGD de 12 meses es el porcentaje de pérdida que se espera incurrir si el default ocurre en los próximos 12 meses y LGD de por vida es el porcentaje de pérdida que se espera incurrir si el default ocurre durante la vida restante del instrumento financiero. </w:t>
      </w:r>
    </w:p>
    <w:p w14:paraId="03DE00B6" w14:textId="77777777" w:rsidR="00F55BAD" w:rsidRPr="002E1AF6" w:rsidRDefault="00F55BAD" w:rsidP="00F55BAD">
      <w:pPr>
        <w:jc w:val="both"/>
        <w:rPr>
          <w:rFonts w:ascii="Arial" w:hAnsi="Arial" w:cs="Arial"/>
          <w:sz w:val="20"/>
        </w:rPr>
      </w:pPr>
    </w:p>
    <w:p w14:paraId="5F2C1FC7" w14:textId="76CDFDA3" w:rsidR="00F55BAD" w:rsidRDefault="00F55BAD" w:rsidP="00F55BAD">
      <w:pPr>
        <w:jc w:val="both"/>
        <w:rPr>
          <w:rFonts w:ascii="Arial" w:hAnsi="Arial" w:cs="Arial"/>
          <w:sz w:val="20"/>
        </w:rPr>
      </w:pPr>
      <w:r w:rsidRPr="002E1AF6">
        <w:rPr>
          <w:rFonts w:ascii="Arial" w:hAnsi="Arial" w:cs="Arial"/>
          <w:sz w:val="20"/>
        </w:rPr>
        <w:lastRenderedPageBreak/>
        <w:t>La PCE se determina proyectando la PD, LGD y EAD para cada mes futuro y para cada exposición individual o segmento colectivo. Estos tres componentes se multiplican y se ajustan según la probabilidad de supervivencia (es decir, la exposición no se ha precancelado o ingresado en estado de default en un mes anterior). Esto calcula efectivamente una PCE para cada mes futuro, que luego se descuenta a la fecha de presentación y se agrega. La tasa de descuento utilizada en el cálculo de las PCE es la tasa de interés efectiva original o una aproximación de ésta.</w:t>
      </w:r>
    </w:p>
    <w:p w14:paraId="578846E8" w14:textId="77777777" w:rsidR="00F55BAD" w:rsidRPr="002E1AF6" w:rsidRDefault="00F55BAD" w:rsidP="00F55BAD">
      <w:pPr>
        <w:jc w:val="both"/>
        <w:rPr>
          <w:rFonts w:ascii="Arial" w:hAnsi="Arial" w:cs="Arial"/>
          <w:sz w:val="20"/>
        </w:rPr>
      </w:pPr>
    </w:p>
    <w:p w14:paraId="3ACC0875" w14:textId="22151351" w:rsidR="00F55BAD" w:rsidRDefault="00F55BAD" w:rsidP="00F55BAD">
      <w:pPr>
        <w:jc w:val="both"/>
        <w:rPr>
          <w:rFonts w:ascii="Arial" w:hAnsi="Arial" w:cs="Arial"/>
          <w:sz w:val="20"/>
        </w:rPr>
      </w:pPr>
      <w:r w:rsidRPr="002E1AF6">
        <w:rPr>
          <w:rFonts w:ascii="Arial" w:hAnsi="Arial" w:cs="Arial"/>
          <w:sz w:val="20"/>
        </w:rPr>
        <w:t>Para la estimación de los parámetros utilizados para el cálculo de la PCE mencionados previamente, la Entidad basó su cálculo en la experiencia del desarrollo de modelos internos para la estimación de los parámetros, adaptando el desarrollo de estos según la NIF 9.</w:t>
      </w:r>
    </w:p>
    <w:p w14:paraId="1D92C685" w14:textId="77777777" w:rsidR="00F55BAD" w:rsidRPr="002E1AF6" w:rsidRDefault="00F55BAD" w:rsidP="00F55BAD">
      <w:pPr>
        <w:jc w:val="both"/>
        <w:rPr>
          <w:rFonts w:ascii="Arial" w:hAnsi="Arial" w:cs="Arial"/>
          <w:sz w:val="20"/>
        </w:rPr>
      </w:pPr>
    </w:p>
    <w:p w14:paraId="00D861A0" w14:textId="45F29704" w:rsidR="006F33FA" w:rsidRPr="00FD67E8" w:rsidRDefault="00F55BAD" w:rsidP="00F55BAD">
      <w:pPr>
        <w:jc w:val="both"/>
        <w:rPr>
          <w:rFonts w:ascii="Arial" w:hAnsi="Arial" w:cs="Arial"/>
          <w:sz w:val="20"/>
          <w:highlight w:val="yellow"/>
        </w:rPr>
      </w:pPr>
      <w:r w:rsidRPr="00512583">
        <w:rPr>
          <w:rFonts w:ascii="Arial" w:hAnsi="Arial" w:cs="Arial"/>
          <w:sz w:val="20"/>
        </w:rPr>
        <w:t>El Banco incluye información económica prospectiva en la determinación de las PD</w:t>
      </w:r>
      <w:r w:rsidRPr="002775B9">
        <w:rPr>
          <w:rFonts w:ascii="Arial" w:hAnsi="Arial" w:cs="Arial"/>
          <w:sz w:val="20"/>
        </w:rPr>
        <w:t>, EAD</w:t>
      </w:r>
      <w:r w:rsidRPr="00512583">
        <w:rPr>
          <w:rFonts w:ascii="Arial" w:hAnsi="Arial" w:cs="Arial"/>
          <w:sz w:val="20"/>
        </w:rPr>
        <w:t xml:space="preserve"> y LGD</w:t>
      </w:r>
      <w:r w:rsidRPr="002E1AF6">
        <w:rPr>
          <w:rFonts w:ascii="Arial" w:hAnsi="Arial" w:cs="Arial"/>
          <w:sz w:val="20"/>
        </w:rPr>
        <w:t xml:space="preserve"> a 12 meses y Lifetime. Referirse a la Nota </w:t>
      </w:r>
      <w:r>
        <w:rPr>
          <w:rFonts w:ascii="Arial" w:hAnsi="Arial" w:cs="Arial"/>
          <w:sz w:val="20"/>
        </w:rPr>
        <w:t>1.2</w:t>
      </w:r>
      <w:r w:rsidRPr="002E1AF6">
        <w:rPr>
          <w:rFonts w:ascii="Arial" w:hAnsi="Arial" w:cs="Arial"/>
          <w:sz w:val="20"/>
        </w:rPr>
        <w:t>.5 para una explicación de la información prospectiva y su consideración en el cálculo de las PCE.</w:t>
      </w:r>
    </w:p>
    <w:p w14:paraId="2CF39FEE" w14:textId="120208FE" w:rsidR="006F33FA" w:rsidRDefault="006F33FA" w:rsidP="00201315">
      <w:pPr>
        <w:jc w:val="both"/>
        <w:rPr>
          <w:rFonts w:ascii="Arial" w:hAnsi="Arial" w:cs="Arial"/>
          <w:sz w:val="20"/>
          <w:highlight w:val="yellow"/>
        </w:rPr>
      </w:pPr>
    </w:p>
    <w:p w14:paraId="0874EFA5" w14:textId="1D1C0C91" w:rsidR="00F55BAD" w:rsidRPr="002E1AF6" w:rsidRDefault="00F55BAD" w:rsidP="00F55BAD">
      <w:pPr>
        <w:rPr>
          <w:rFonts w:ascii="Arial" w:hAnsi="Arial" w:cs="Arial"/>
          <w:b/>
          <w:sz w:val="20"/>
        </w:rPr>
      </w:pPr>
      <w:r w:rsidRPr="002E1AF6">
        <w:rPr>
          <w:rFonts w:ascii="Arial" w:hAnsi="Arial" w:cs="Arial"/>
          <w:b/>
          <w:sz w:val="20"/>
        </w:rPr>
        <w:t>1.2.5 Información prospectiva consideradas en los modelos de pérdidas crediticias esperadas</w:t>
      </w:r>
    </w:p>
    <w:p w14:paraId="01B189D7" w14:textId="77777777" w:rsidR="00F55BAD" w:rsidRPr="002E1AF6" w:rsidRDefault="00F55BAD" w:rsidP="00F55BAD">
      <w:pPr>
        <w:spacing w:before="250"/>
        <w:ind w:right="-226"/>
        <w:jc w:val="both"/>
        <w:rPr>
          <w:rFonts w:ascii="Arial" w:hAnsi="Arial" w:cs="Arial"/>
          <w:sz w:val="20"/>
        </w:rPr>
      </w:pPr>
      <w:r w:rsidRPr="002E1AF6">
        <w:rPr>
          <w:rFonts w:ascii="Arial" w:hAnsi="Arial" w:cs="Arial"/>
          <w:sz w:val="20"/>
        </w:rPr>
        <w:t xml:space="preserve">La evaluación de los incrementos significativos del riesgo de crédito y el cálculo de las PCE incorporan información prospectiva. El Banco realizó análisis históricos e identificó las variables económicas clave que afectan el riesgo de crédito y las pérdidas crediticias esperadas para cada cartera. </w:t>
      </w:r>
    </w:p>
    <w:p w14:paraId="13019B88" w14:textId="77777777" w:rsidR="00F55BAD" w:rsidRPr="002E1AF6" w:rsidRDefault="00F55BAD" w:rsidP="00F55BAD">
      <w:pPr>
        <w:spacing w:before="250"/>
        <w:ind w:right="-226"/>
        <w:jc w:val="both"/>
        <w:rPr>
          <w:rFonts w:ascii="Arial" w:hAnsi="Arial" w:cs="Arial"/>
          <w:b/>
          <w:bCs/>
          <w:color w:val="FF0000"/>
          <w:sz w:val="20"/>
        </w:rPr>
      </w:pPr>
      <w:r w:rsidRPr="002E1AF6">
        <w:rPr>
          <w:rFonts w:ascii="Arial" w:hAnsi="Arial" w:cs="Arial"/>
          <w:sz w:val="20"/>
        </w:rPr>
        <w:t>Los pronósticos de estas variables económicas (el "escenario económico base") son proporcionados semestralmente por el equipo de</w:t>
      </w:r>
      <w:r w:rsidRPr="002E1AF6">
        <w:rPr>
          <w:rFonts w:ascii="Arial" w:hAnsi="Arial" w:cs="Arial"/>
          <w:b/>
          <w:bCs/>
          <w:color w:val="FF0000"/>
          <w:sz w:val="20"/>
        </w:rPr>
        <w:t xml:space="preserve"> </w:t>
      </w:r>
      <w:r w:rsidRPr="002E1AF6">
        <w:rPr>
          <w:rFonts w:ascii="Arial" w:hAnsi="Arial" w:cs="Arial"/>
          <w:bCs/>
          <w:sz w:val="20"/>
        </w:rPr>
        <w:t>Research</w:t>
      </w:r>
      <w:r w:rsidRPr="002E1AF6">
        <w:rPr>
          <w:rFonts w:ascii="Arial" w:hAnsi="Arial" w:cs="Arial"/>
          <w:sz w:val="20"/>
        </w:rPr>
        <w:t xml:space="preserve"> del Banco y proporcionan la mejor visión estimada de la economía en los próximos 12 meses. El impacto de estas variables económicas en la PD y LGD se ha determinado realizando análisis de regresión estadística para comprender el impacto que los cambios en estas variables han tenido históricamente en las tasas de default y en los componentes de la LGD. </w:t>
      </w:r>
    </w:p>
    <w:p w14:paraId="3FB85A25" w14:textId="77777777" w:rsidR="00F55BAD" w:rsidRPr="002E1AF6" w:rsidRDefault="00F55BAD" w:rsidP="00F55BAD">
      <w:pPr>
        <w:spacing w:before="250"/>
        <w:ind w:right="-226"/>
        <w:jc w:val="both"/>
        <w:rPr>
          <w:rFonts w:ascii="Arial" w:hAnsi="Arial" w:cs="Arial"/>
          <w:bCs/>
          <w:sz w:val="20"/>
        </w:rPr>
      </w:pPr>
      <w:r w:rsidRPr="002E1AF6">
        <w:rPr>
          <w:rFonts w:ascii="Arial" w:hAnsi="Arial" w:cs="Arial"/>
          <w:sz w:val="20"/>
        </w:rPr>
        <w:t xml:space="preserve">Además del escenario económico base, el equipo de </w:t>
      </w:r>
      <w:r w:rsidRPr="002E1AF6">
        <w:rPr>
          <w:rFonts w:ascii="Arial" w:hAnsi="Arial" w:cs="Arial"/>
          <w:bCs/>
          <w:sz w:val="20"/>
        </w:rPr>
        <w:t xml:space="preserve">Research </w:t>
      </w:r>
      <w:r w:rsidRPr="002E1AF6">
        <w:rPr>
          <w:rFonts w:ascii="Arial" w:hAnsi="Arial" w:cs="Arial"/>
          <w:sz w:val="20"/>
        </w:rPr>
        <w:t>del Banco también proporciona dos escenarios posibles junto con ponderaciones de escenarios. El número de otros escenarios utilizados se establece en función del análisis de los principales productos para asegurar que se captura el efecto de la linealidad entre el escenario económico futuro y las pérdidas crediticias esperadas asociadas. El número de escenarios y sus atributos se reevalúan</w:t>
      </w:r>
      <w:r w:rsidRPr="002E1AF6">
        <w:rPr>
          <w:rFonts w:ascii="Arial" w:hAnsi="Arial" w:cs="Arial"/>
          <w:bCs/>
          <w:sz w:val="20"/>
        </w:rPr>
        <w:t xml:space="preserve"> semestralmente, salvo que ocurra una situación en la coyuntura macroeconómica que justifique una mayor periodicidad.</w:t>
      </w:r>
    </w:p>
    <w:p w14:paraId="7CC8E9A6" w14:textId="269E1CDD" w:rsidR="003A5206" w:rsidRPr="002E1AF6" w:rsidRDefault="00F55BAD" w:rsidP="00F55BAD">
      <w:pPr>
        <w:spacing w:before="250"/>
        <w:ind w:right="-226"/>
        <w:jc w:val="both"/>
        <w:rPr>
          <w:rFonts w:ascii="Arial" w:hAnsi="Arial" w:cs="Arial"/>
          <w:sz w:val="20"/>
        </w:rPr>
      </w:pPr>
      <w:r w:rsidRPr="002E1AF6">
        <w:rPr>
          <w:rFonts w:ascii="Arial" w:hAnsi="Arial" w:cs="Arial"/>
          <w:sz w:val="20"/>
        </w:rPr>
        <w:t xml:space="preserve">Al 1 de enero de 2020 y al 31 de marzo de 2020, para todas las carteras el Banco concluyó que </w:t>
      </w:r>
      <w:r w:rsidRPr="002E1AF6">
        <w:rPr>
          <w:rFonts w:ascii="Arial" w:hAnsi="Arial" w:cs="Arial"/>
          <w:bCs/>
          <w:sz w:val="20"/>
        </w:rPr>
        <w:t xml:space="preserve">tres </w:t>
      </w:r>
      <w:r w:rsidRPr="002E1AF6">
        <w:rPr>
          <w:rFonts w:ascii="Arial" w:hAnsi="Arial" w:cs="Arial"/>
          <w:sz w:val="20"/>
        </w:rPr>
        <w:t xml:space="preserve">escenarios capturaron apropiadamente las no linealidades. Las ponderaciones de escenarios se determinan mediante una combinación de análisis estadístico y juicio experto, teniendo en </w:t>
      </w:r>
      <w:r w:rsidRPr="002E1AF6">
        <w:rPr>
          <w:rFonts w:ascii="Arial" w:hAnsi="Arial" w:cs="Arial"/>
          <w:sz w:val="20"/>
        </w:rPr>
        <w:lastRenderedPageBreak/>
        <w:t>cuenta el rango de posibles resultados de los cuales cada escenario elegido es representativo. La evaluación de los incrementos significativos del riesgo de crédito se realiza utilizando la PD Lifetime en el escenario base y los otros escenarios, multiplicado por la ponderación asociada a cada escenario, junto con indicadores cualitativos y de backstop. Esto determina si el instrumento financiero está en la Etapa 1, Etapa 2 o Etapa 3 y, por lo tanto, si debe registrarse PCE de 12 meses o Lifetime. Al igual que con cualquier pronóstico económico, las proyecciones y las probabilidades de ocurrencia están sujetas a un alto grado de incertidumbre inherente y, por lo tanto, los resultados reales pueden ser significativamente diferentes a los proyectados. El Banco considera que estos pronósticos representan su mejor estimación de los posibles resultados y ha analizado los impactos no linealidades y asimétricos dentro de las diferentes carteras del Banco para establecer que los escenarios elegidos son representativos del rango de escenarios posibles.</w:t>
      </w:r>
    </w:p>
    <w:p w14:paraId="72C57B67" w14:textId="77777777" w:rsidR="00F55BAD" w:rsidRPr="002E1AF6" w:rsidRDefault="00F55BAD" w:rsidP="00F55BAD">
      <w:pPr>
        <w:spacing w:before="250"/>
        <w:ind w:right="-226"/>
        <w:jc w:val="both"/>
        <w:rPr>
          <w:rFonts w:ascii="Arial" w:hAnsi="Arial" w:cs="Arial"/>
          <w:sz w:val="20"/>
        </w:rPr>
      </w:pPr>
    </w:p>
    <w:p w14:paraId="4F59D837" w14:textId="543D7A2E" w:rsidR="00F55BAD" w:rsidRDefault="00F55BAD" w:rsidP="00F55BAD">
      <w:pPr>
        <w:rPr>
          <w:b/>
          <w:sz w:val="20"/>
        </w:rPr>
      </w:pPr>
      <w:r w:rsidRPr="002E1AF6">
        <w:rPr>
          <w:rFonts w:ascii="Arial" w:hAnsi="Arial" w:cs="Arial"/>
          <w:sz w:val="20"/>
        </w:rPr>
        <w:t>Los supuestos más significativos utilizados para estimar las PCE al 31 de marzo de 2020 se exponen a continuación:</w:t>
      </w:r>
    </w:p>
    <w:p w14:paraId="1B10D2E1" w14:textId="77777777" w:rsidR="00512583" w:rsidRDefault="00512583" w:rsidP="00F55BAD">
      <w:pPr>
        <w:spacing w:before="250"/>
        <w:ind w:right="-226"/>
        <w:jc w:val="both"/>
        <w:rPr>
          <w:rFonts w:ascii="Arial" w:hAnsi="Arial" w:cs="Arial"/>
          <w:sz w:val="20"/>
        </w:rPr>
      </w:pP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198"/>
        <w:gridCol w:w="1656"/>
        <w:gridCol w:w="1693"/>
        <w:gridCol w:w="1001"/>
        <w:gridCol w:w="1206"/>
        <w:gridCol w:w="1206"/>
      </w:tblGrid>
      <w:tr w:rsidR="00512583" w:rsidRPr="00AB5D01" w14:paraId="1F860CFE" w14:textId="77777777" w:rsidTr="00512583">
        <w:trPr>
          <w:trHeight w:val="510"/>
          <w:jc w:val="center"/>
        </w:trPr>
        <w:tc>
          <w:tcPr>
            <w:tcW w:w="1198" w:type="dxa"/>
            <w:shd w:val="clear" w:color="auto" w:fill="FFFFFF" w:themeFill="background1"/>
            <w:vAlign w:val="center"/>
            <w:hideMark/>
          </w:tcPr>
          <w:p w14:paraId="1991D2B7" w14:textId="77777777" w:rsidR="00512583" w:rsidRPr="002775B9" w:rsidRDefault="00512583" w:rsidP="00512583">
            <w:pPr>
              <w:jc w:val="center"/>
              <w:rPr>
                <w:rFonts w:ascii="Arial" w:hAnsi="Arial" w:cs="Arial"/>
                <w:b/>
                <w:bCs/>
                <w:color w:val="000000"/>
                <w:sz w:val="18"/>
                <w:szCs w:val="18"/>
                <w:lang w:eastAsia="es-AR"/>
              </w:rPr>
            </w:pPr>
            <w:bookmarkStart w:id="12" w:name="_Hlk41421488"/>
            <w:r w:rsidRPr="002775B9">
              <w:rPr>
                <w:rFonts w:ascii="Arial" w:hAnsi="Arial" w:cs="Arial"/>
                <w:b/>
                <w:bCs/>
                <w:color w:val="000000"/>
                <w:sz w:val="18"/>
                <w:szCs w:val="18"/>
                <w:lang w:eastAsia="es-AR"/>
              </w:rPr>
              <w:t>Parámetro</w:t>
            </w:r>
          </w:p>
        </w:tc>
        <w:tc>
          <w:tcPr>
            <w:tcW w:w="1659" w:type="dxa"/>
            <w:shd w:val="clear" w:color="auto" w:fill="FFFFFF" w:themeFill="background1"/>
            <w:vAlign w:val="center"/>
            <w:hideMark/>
          </w:tcPr>
          <w:p w14:paraId="0A4D6F6E" w14:textId="77777777" w:rsidR="00512583" w:rsidRPr="002775B9" w:rsidRDefault="00512583" w:rsidP="00512583">
            <w:pPr>
              <w:jc w:val="center"/>
              <w:rPr>
                <w:rFonts w:ascii="Arial" w:hAnsi="Arial" w:cs="Arial"/>
                <w:b/>
                <w:bCs/>
                <w:color w:val="000000"/>
                <w:sz w:val="18"/>
                <w:szCs w:val="18"/>
                <w:lang w:eastAsia="es-AR"/>
              </w:rPr>
            </w:pPr>
            <w:r w:rsidRPr="002775B9">
              <w:rPr>
                <w:rFonts w:ascii="Arial" w:hAnsi="Arial" w:cs="Arial"/>
                <w:b/>
                <w:bCs/>
                <w:color w:val="000000"/>
                <w:sz w:val="18"/>
                <w:szCs w:val="18"/>
                <w:lang w:eastAsia="es-AR"/>
              </w:rPr>
              <w:t>Segmento</w:t>
            </w:r>
          </w:p>
        </w:tc>
        <w:tc>
          <w:tcPr>
            <w:tcW w:w="1693" w:type="dxa"/>
            <w:shd w:val="clear" w:color="auto" w:fill="FFFFFF" w:themeFill="background1"/>
            <w:vAlign w:val="center"/>
            <w:hideMark/>
          </w:tcPr>
          <w:p w14:paraId="57B8843C" w14:textId="77777777" w:rsidR="00512583" w:rsidRPr="002775B9" w:rsidRDefault="00512583" w:rsidP="00512583">
            <w:pPr>
              <w:jc w:val="center"/>
              <w:rPr>
                <w:rFonts w:ascii="Arial" w:hAnsi="Arial" w:cs="Arial"/>
                <w:b/>
                <w:bCs/>
                <w:color w:val="000000"/>
                <w:sz w:val="18"/>
                <w:szCs w:val="18"/>
                <w:lang w:eastAsia="es-AR"/>
              </w:rPr>
            </w:pPr>
            <w:r w:rsidRPr="002775B9">
              <w:rPr>
                <w:rFonts w:ascii="Arial" w:hAnsi="Arial" w:cs="Arial"/>
                <w:b/>
                <w:bCs/>
                <w:color w:val="000000"/>
                <w:sz w:val="18"/>
                <w:szCs w:val="18"/>
                <w:lang w:eastAsia="es-AR"/>
              </w:rPr>
              <w:t>Variable macroeconómica</w:t>
            </w:r>
          </w:p>
        </w:tc>
        <w:tc>
          <w:tcPr>
            <w:tcW w:w="996" w:type="dxa"/>
            <w:shd w:val="clear" w:color="auto" w:fill="FFFFFF" w:themeFill="background1"/>
            <w:vAlign w:val="center"/>
            <w:hideMark/>
          </w:tcPr>
          <w:p w14:paraId="5CB5D141" w14:textId="77777777" w:rsidR="00512583" w:rsidRPr="002775B9" w:rsidRDefault="00512583" w:rsidP="00512583">
            <w:pPr>
              <w:jc w:val="center"/>
              <w:rPr>
                <w:rFonts w:ascii="Arial" w:hAnsi="Arial" w:cs="Arial"/>
                <w:b/>
                <w:bCs/>
                <w:color w:val="000000"/>
                <w:sz w:val="18"/>
                <w:szCs w:val="18"/>
                <w:lang w:eastAsia="es-AR"/>
              </w:rPr>
            </w:pPr>
            <w:r w:rsidRPr="002775B9">
              <w:rPr>
                <w:rFonts w:ascii="Arial" w:hAnsi="Arial" w:cs="Arial"/>
                <w:b/>
                <w:bCs/>
                <w:color w:val="000000"/>
                <w:sz w:val="18"/>
                <w:szCs w:val="18"/>
                <w:lang w:eastAsia="es-AR"/>
              </w:rPr>
              <w:t>Escenario Optimista</w:t>
            </w:r>
          </w:p>
        </w:tc>
        <w:tc>
          <w:tcPr>
            <w:tcW w:w="1207" w:type="dxa"/>
            <w:shd w:val="clear" w:color="auto" w:fill="FFFFFF" w:themeFill="background1"/>
            <w:vAlign w:val="center"/>
            <w:hideMark/>
          </w:tcPr>
          <w:p w14:paraId="46299430" w14:textId="77777777" w:rsidR="00512583" w:rsidRPr="002775B9" w:rsidRDefault="00512583" w:rsidP="00512583">
            <w:pPr>
              <w:jc w:val="center"/>
              <w:rPr>
                <w:rFonts w:ascii="Arial" w:hAnsi="Arial" w:cs="Arial"/>
                <w:b/>
                <w:bCs/>
                <w:color w:val="000000"/>
                <w:sz w:val="18"/>
                <w:szCs w:val="18"/>
                <w:lang w:eastAsia="es-AR"/>
              </w:rPr>
            </w:pPr>
            <w:r w:rsidRPr="002775B9">
              <w:rPr>
                <w:rFonts w:ascii="Arial" w:hAnsi="Arial" w:cs="Arial"/>
                <w:b/>
                <w:bCs/>
                <w:color w:val="000000"/>
                <w:sz w:val="18"/>
                <w:szCs w:val="18"/>
                <w:lang w:eastAsia="es-AR"/>
              </w:rPr>
              <w:t>Escenario Base</w:t>
            </w:r>
          </w:p>
        </w:tc>
        <w:tc>
          <w:tcPr>
            <w:tcW w:w="1207" w:type="dxa"/>
            <w:shd w:val="clear" w:color="auto" w:fill="FFFFFF" w:themeFill="background1"/>
            <w:vAlign w:val="center"/>
            <w:hideMark/>
          </w:tcPr>
          <w:p w14:paraId="4426CCA7" w14:textId="77777777" w:rsidR="00512583" w:rsidRPr="002775B9" w:rsidRDefault="00512583" w:rsidP="00512583">
            <w:pPr>
              <w:jc w:val="center"/>
              <w:rPr>
                <w:rFonts w:ascii="Arial" w:hAnsi="Arial" w:cs="Arial"/>
                <w:b/>
                <w:bCs/>
                <w:color w:val="000000"/>
                <w:sz w:val="18"/>
                <w:szCs w:val="18"/>
                <w:lang w:eastAsia="es-AR"/>
              </w:rPr>
            </w:pPr>
            <w:r w:rsidRPr="002775B9">
              <w:rPr>
                <w:rFonts w:ascii="Arial" w:hAnsi="Arial" w:cs="Arial"/>
                <w:b/>
                <w:bCs/>
                <w:color w:val="000000"/>
                <w:sz w:val="18"/>
                <w:szCs w:val="18"/>
                <w:lang w:eastAsia="es-AR"/>
              </w:rPr>
              <w:t>Escenario Pesimista</w:t>
            </w:r>
          </w:p>
        </w:tc>
      </w:tr>
      <w:tr w:rsidR="00512583" w:rsidRPr="00AB5D01" w14:paraId="63F65464" w14:textId="77777777" w:rsidTr="00512583">
        <w:trPr>
          <w:trHeight w:val="300"/>
          <w:jc w:val="center"/>
        </w:trPr>
        <w:tc>
          <w:tcPr>
            <w:tcW w:w="1198" w:type="dxa"/>
            <w:vMerge w:val="restart"/>
            <w:shd w:val="clear" w:color="auto" w:fill="FFFFFF" w:themeFill="background1"/>
            <w:vAlign w:val="center"/>
            <w:hideMark/>
          </w:tcPr>
          <w:p w14:paraId="74AD3C72"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Probabilidad de Default</w:t>
            </w:r>
          </w:p>
        </w:tc>
        <w:tc>
          <w:tcPr>
            <w:tcW w:w="1659" w:type="dxa"/>
            <w:shd w:val="clear" w:color="auto" w:fill="FFFFFF" w:themeFill="background1"/>
            <w:vAlign w:val="center"/>
            <w:hideMark/>
          </w:tcPr>
          <w:p w14:paraId="34F4C8E4"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Banca Personas y Negocios</w:t>
            </w:r>
          </w:p>
        </w:tc>
        <w:tc>
          <w:tcPr>
            <w:tcW w:w="1693" w:type="dxa"/>
            <w:shd w:val="clear" w:color="auto" w:fill="FFFFFF" w:themeFill="background1"/>
            <w:vAlign w:val="center"/>
            <w:hideMark/>
          </w:tcPr>
          <w:p w14:paraId="2DCBA6D3"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Salario real</w:t>
            </w:r>
          </w:p>
        </w:tc>
        <w:tc>
          <w:tcPr>
            <w:tcW w:w="996" w:type="dxa"/>
            <w:shd w:val="clear" w:color="auto" w:fill="FFFFFF" w:themeFill="background1"/>
            <w:vAlign w:val="center"/>
            <w:hideMark/>
          </w:tcPr>
          <w:p w14:paraId="78CBB7E1"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(3.23)%</w:t>
            </w:r>
          </w:p>
        </w:tc>
        <w:tc>
          <w:tcPr>
            <w:tcW w:w="1207" w:type="dxa"/>
            <w:shd w:val="clear" w:color="auto" w:fill="FFFFFF" w:themeFill="background1"/>
            <w:vAlign w:val="center"/>
            <w:hideMark/>
          </w:tcPr>
          <w:p w14:paraId="3A5A1AAA"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(3.64)%</w:t>
            </w:r>
          </w:p>
        </w:tc>
        <w:tc>
          <w:tcPr>
            <w:tcW w:w="1207" w:type="dxa"/>
            <w:shd w:val="clear" w:color="auto" w:fill="FFFFFF" w:themeFill="background1"/>
            <w:vAlign w:val="center"/>
            <w:hideMark/>
          </w:tcPr>
          <w:p w14:paraId="2DBDC333"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(3.64)%</w:t>
            </w:r>
          </w:p>
        </w:tc>
      </w:tr>
      <w:tr w:rsidR="00512583" w:rsidRPr="00AB5D01" w14:paraId="7EB1681D" w14:textId="77777777" w:rsidTr="00512583">
        <w:trPr>
          <w:trHeight w:val="300"/>
          <w:jc w:val="center"/>
        </w:trPr>
        <w:tc>
          <w:tcPr>
            <w:tcW w:w="1198" w:type="dxa"/>
            <w:vMerge/>
            <w:shd w:val="clear" w:color="auto" w:fill="FFFFFF" w:themeFill="background1"/>
            <w:vAlign w:val="center"/>
            <w:hideMark/>
          </w:tcPr>
          <w:p w14:paraId="7C106A80" w14:textId="77777777" w:rsidR="00512583" w:rsidRPr="002775B9" w:rsidRDefault="00512583" w:rsidP="00512583">
            <w:pPr>
              <w:rPr>
                <w:rFonts w:ascii="Arial" w:hAnsi="Arial" w:cs="Arial"/>
                <w:color w:val="000000"/>
                <w:sz w:val="18"/>
                <w:szCs w:val="18"/>
                <w:lang w:eastAsia="es-AR"/>
              </w:rPr>
            </w:pPr>
          </w:p>
        </w:tc>
        <w:tc>
          <w:tcPr>
            <w:tcW w:w="1659" w:type="dxa"/>
            <w:shd w:val="clear" w:color="auto" w:fill="FFFFFF" w:themeFill="background1"/>
            <w:vAlign w:val="center"/>
            <w:hideMark/>
          </w:tcPr>
          <w:p w14:paraId="1CD2991A"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Banca Empresas</w:t>
            </w:r>
          </w:p>
        </w:tc>
        <w:tc>
          <w:tcPr>
            <w:tcW w:w="1693" w:type="dxa"/>
            <w:shd w:val="clear" w:color="auto" w:fill="FFFFFF" w:themeFill="background1"/>
            <w:vAlign w:val="center"/>
            <w:hideMark/>
          </w:tcPr>
          <w:p w14:paraId="564843CD"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Tasa Badlar</w:t>
            </w:r>
          </w:p>
        </w:tc>
        <w:tc>
          <w:tcPr>
            <w:tcW w:w="996" w:type="dxa"/>
            <w:shd w:val="clear" w:color="auto" w:fill="FFFFFF" w:themeFill="background1"/>
            <w:vAlign w:val="center"/>
            <w:hideMark/>
          </w:tcPr>
          <w:p w14:paraId="2D5DE2A5"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50.71%</w:t>
            </w:r>
          </w:p>
        </w:tc>
        <w:tc>
          <w:tcPr>
            <w:tcW w:w="1207" w:type="dxa"/>
            <w:shd w:val="clear" w:color="auto" w:fill="FFFFFF" w:themeFill="background1"/>
            <w:vAlign w:val="center"/>
            <w:hideMark/>
          </w:tcPr>
          <w:p w14:paraId="05CC9F40"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50.67%</w:t>
            </w:r>
          </w:p>
        </w:tc>
        <w:tc>
          <w:tcPr>
            <w:tcW w:w="1207" w:type="dxa"/>
            <w:shd w:val="clear" w:color="auto" w:fill="FFFFFF" w:themeFill="background1"/>
            <w:vAlign w:val="center"/>
            <w:hideMark/>
          </w:tcPr>
          <w:p w14:paraId="1605FC6C"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33.59%</w:t>
            </w:r>
          </w:p>
        </w:tc>
      </w:tr>
      <w:tr w:rsidR="00512583" w:rsidRPr="00AB5D01" w14:paraId="4AB25849" w14:textId="77777777" w:rsidTr="00512583">
        <w:trPr>
          <w:trHeight w:val="300"/>
          <w:jc w:val="center"/>
        </w:trPr>
        <w:tc>
          <w:tcPr>
            <w:tcW w:w="1198" w:type="dxa"/>
            <w:vMerge/>
            <w:shd w:val="clear" w:color="auto" w:fill="FFFFFF" w:themeFill="background1"/>
            <w:vAlign w:val="center"/>
            <w:hideMark/>
          </w:tcPr>
          <w:p w14:paraId="76F4192B" w14:textId="77777777" w:rsidR="00512583" w:rsidRPr="002775B9" w:rsidRDefault="00512583" w:rsidP="00512583">
            <w:pPr>
              <w:rPr>
                <w:rFonts w:ascii="Arial" w:hAnsi="Arial" w:cs="Arial"/>
                <w:color w:val="000000"/>
                <w:sz w:val="18"/>
                <w:szCs w:val="18"/>
                <w:lang w:eastAsia="es-AR"/>
              </w:rPr>
            </w:pPr>
          </w:p>
        </w:tc>
        <w:tc>
          <w:tcPr>
            <w:tcW w:w="1659" w:type="dxa"/>
            <w:shd w:val="clear" w:color="auto" w:fill="FFFFFF" w:themeFill="background1"/>
            <w:vAlign w:val="center"/>
            <w:hideMark/>
          </w:tcPr>
          <w:p w14:paraId="0D76718C"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División Consumo</w:t>
            </w:r>
          </w:p>
        </w:tc>
        <w:tc>
          <w:tcPr>
            <w:tcW w:w="1693" w:type="dxa"/>
            <w:shd w:val="clear" w:color="auto" w:fill="FFFFFF" w:themeFill="background1"/>
            <w:vAlign w:val="center"/>
            <w:hideMark/>
          </w:tcPr>
          <w:p w14:paraId="13EEC321"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EMAE</w:t>
            </w:r>
          </w:p>
        </w:tc>
        <w:tc>
          <w:tcPr>
            <w:tcW w:w="996" w:type="dxa"/>
            <w:shd w:val="clear" w:color="auto" w:fill="FFFFFF" w:themeFill="background1"/>
            <w:vAlign w:val="center"/>
            <w:hideMark/>
          </w:tcPr>
          <w:p w14:paraId="49C09677"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137.26</w:t>
            </w:r>
          </w:p>
        </w:tc>
        <w:tc>
          <w:tcPr>
            <w:tcW w:w="1207" w:type="dxa"/>
            <w:shd w:val="clear" w:color="auto" w:fill="FFFFFF" w:themeFill="background1"/>
            <w:vAlign w:val="center"/>
            <w:hideMark/>
          </w:tcPr>
          <w:p w14:paraId="7C592606"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136.88</w:t>
            </w:r>
          </w:p>
        </w:tc>
        <w:tc>
          <w:tcPr>
            <w:tcW w:w="1207" w:type="dxa"/>
            <w:shd w:val="clear" w:color="auto" w:fill="FFFFFF" w:themeFill="background1"/>
            <w:vAlign w:val="center"/>
            <w:hideMark/>
          </w:tcPr>
          <w:p w14:paraId="0314A95F"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eastAsia="es-AR"/>
              </w:rPr>
              <w:t>132.93</w:t>
            </w:r>
          </w:p>
        </w:tc>
      </w:tr>
      <w:tr w:rsidR="00512583" w:rsidRPr="00AB5D01" w14:paraId="42EB7E42" w14:textId="77777777" w:rsidTr="00512583">
        <w:trPr>
          <w:trHeight w:val="300"/>
          <w:jc w:val="center"/>
        </w:trPr>
        <w:tc>
          <w:tcPr>
            <w:tcW w:w="1198" w:type="dxa"/>
            <w:shd w:val="clear" w:color="auto" w:fill="FFFFFF" w:themeFill="background1"/>
            <w:vAlign w:val="center"/>
          </w:tcPr>
          <w:p w14:paraId="36F1B9E5"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rPr>
              <w:t>Loss Given Default</w:t>
            </w:r>
          </w:p>
        </w:tc>
        <w:tc>
          <w:tcPr>
            <w:tcW w:w="1659" w:type="dxa"/>
            <w:shd w:val="clear" w:color="auto" w:fill="FFFFFF" w:themeFill="background1"/>
            <w:vAlign w:val="center"/>
          </w:tcPr>
          <w:p w14:paraId="72755AB5"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eastAsia="es-AR"/>
              </w:rPr>
              <w:t>Banca Personas y Negocios</w:t>
            </w:r>
          </w:p>
        </w:tc>
        <w:tc>
          <w:tcPr>
            <w:tcW w:w="1693" w:type="dxa"/>
            <w:shd w:val="clear" w:color="auto" w:fill="FFFFFF" w:themeFill="background1"/>
            <w:vAlign w:val="bottom"/>
          </w:tcPr>
          <w:p w14:paraId="1B25CDC3" w14:textId="77777777" w:rsidR="00512583" w:rsidRPr="002775B9" w:rsidRDefault="00512583" w:rsidP="00512583">
            <w:pPr>
              <w:rPr>
                <w:rFonts w:ascii="Arial" w:hAnsi="Arial" w:cs="Arial"/>
                <w:color w:val="000000"/>
                <w:sz w:val="18"/>
                <w:szCs w:val="18"/>
                <w:lang w:eastAsia="es-AR"/>
              </w:rPr>
            </w:pPr>
            <w:r w:rsidRPr="002775B9">
              <w:rPr>
                <w:rFonts w:ascii="Arial" w:hAnsi="Arial" w:cs="Arial"/>
                <w:color w:val="000000"/>
                <w:sz w:val="18"/>
                <w:szCs w:val="18"/>
                <w:lang w:val="en-US"/>
              </w:rPr>
              <w:t>Salario Real Privado Registrado</w:t>
            </w:r>
          </w:p>
        </w:tc>
        <w:tc>
          <w:tcPr>
            <w:tcW w:w="996" w:type="dxa"/>
            <w:shd w:val="clear" w:color="auto" w:fill="FFFFFF" w:themeFill="background1"/>
            <w:vAlign w:val="center"/>
          </w:tcPr>
          <w:p w14:paraId="14537CFF"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val="en-US"/>
              </w:rPr>
              <w:t>50.28%</w:t>
            </w:r>
          </w:p>
        </w:tc>
        <w:tc>
          <w:tcPr>
            <w:tcW w:w="1207" w:type="dxa"/>
            <w:shd w:val="clear" w:color="auto" w:fill="FFFFFF" w:themeFill="background1"/>
            <w:vAlign w:val="center"/>
          </w:tcPr>
          <w:p w14:paraId="61EEFD3B" w14:textId="77777777" w:rsidR="00512583" w:rsidRPr="002775B9" w:rsidRDefault="00512583" w:rsidP="00512583">
            <w:pPr>
              <w:jc w:val="right"/>
              <w:rPr>
                <w:rFonts w:ascii="Arial" w:hAnsi="Arial" w:cs="Arial"/>
                <w:sz w:val="18"/>
                <w:szCs w:val="18"/>
                <w:lang w:eastAsia="es-AR"/>
              </w:rPr>
            </w:pPr>
            <w:r w:rsidRPr="002775B9">
              <w:rPr>
                <w:rFonts w:ascii="Arial" w:hAnsi="Arial" w:cs="Arial"/>
                <w:sz w:val="18"/>
                <w:szCs w:val="18"/>
                <w:lang w:val="en-US"/>
              </w:rPr>
              <w:t>41.39%</w:t>
            </w:r>
          </w:p>
        </w:tc>
        <w:tc>
          <w:tcPr>
            <w:tcW w:w="1207" w:type="dxa"/>
            <w:shd w:val="clear" w:color="auto" w:fill="FFFFFF" w:themeFill="background1"/>
            <w:vAlign w:val="center"/>
          </w:tcPr>
          <w:p w14:paraId="28759BEC" w14:textId="77777777" w:rsidR="00512583" w:rsidRPr="002775B9" w:rsidRDefault="00512583" w:rsidP="00512583">
            <w:pPr>
              <w:jc w:val="right"/>
              <w:rPr>
                <w:rFonts w:ascii="Arial" w:hAnsi="Arial" w:cs="Arial"/>
                <w:sz w:val="18"/>
                <w:szCs w:val="18"/>
                <w:lang w:eastAsia="es-AR"/>
              </w:rPr>
            </w:pPr>
            <w:r w:rsidRPr="002775B9">
              <w:rPr>
                <w:rFonts w:ascii="Arial" w:hAnsi="Arial" w:cs="Arial"/>
                <w:color w:val="000000"/>
                <w:sz w:val="18"/>
                <w:szCs w:val="18"/>
                <w:lang w:val="en-US"/>
              </w:rPr>
              <w:t>51.63%</w:t>
            </w:r>
          </w:p>
        </w:tc>
      </w:tr>
      <w:bookmarkEnd w:id="12"/>
    </w:tbl>
    <w:p w14:paraId="1E3FF43D" w14:textId="77777777" w:rsidR="00512583" w:rsidRDefault="00512583" w:rsidP="00F55BAD">
      <w:pPr>
        <w:spacing w:before="250"/>
        <w:ind w:right="-226"/>
        <w:jc w:val="both"/>
        <w:rPr>
          <w:rFonts w:ascii="Arial" w:hAnsi="Arial" w:cs="Arial"/>
          <w:sz w:val="20"/>
        </w:rPr>
      </w:pPr>
    </w:p>
    <w:p w14:paraId="5F187A26" w14:textId="7BEF1685" w:rsidR="00F55BAD" w:rsidRPr="002E1AF6" w:rsidRDefault="00F55BAD" w:rsidP="00F55BAD">
      <w:pPr>
        <w:spacing w:before="250"/>
        <w:ind w:right="-226"/>
        <w:jc w:val="both"/>
        <w:rPr>
          <w:rFonts w:ascii="Arial" w:hAnsi="Arial" w:cs="Arial"/>
          <w:sz w:val="20"/>
        </w:rPr>
      </w:pPr>
      <w:r w:rsidRPr="002E1AF6">
        <w:rPr>
          <w:rFonts w:ascii="Arial" w:hAnsi="Arial" w:cs="Arial"/>
          <w:sz w:val="20"/>
        </w:rPr>
        <w:t>Se exponen a continuación las ponderaciones asignadas a cada escenario al 31 de marzo de 2020:</w:t>
      </w:r>
    </w:p>
    <w:p w14:paraId="4912E9C8" w14:textId="77777777" w:rsidR="00F55BAD" w:rsidRPr="002E1AF6" w:rsidRDefault="00F55BAD" w:rsidP="00F55BAD">
      <w:pPr>
        <w:ind w:right="-226"/>
        <w:jc w:val="both"/>
        <w:rPr>
          <w:rFonts w:ascii="Arial" w:hAnsi="Arial" w:cs="Arial"/>
          <w:b/>
          <w:bCs/>
          <w:sz w:val="20"/>
        </w:rPr>
      </w:pPr>
    </w:p>
    <w:tbl>
      <w:tblPr>
        <w:tblW w:w="3160" w:type="dxa"/>
        <w:jc w:val="center"/>
        <w:tblCellMar>
          <w:left w:w="70" w:type="dxa"/>
          <w:right w:w="70" w:type="dxa"/>
        </w:tblCellMar>
        <w:tblLook w:val="04A0" w:firstRow="1" w:lastRow="0" w:firstColumn="1" w:lastColumn="0" w:noHBand="0" w:noVBand="1"/>
      </w:tblPr>
      <w:tblGrid>
        <w:gridCol w:w="1960"/>
        <w:gridCol w:w="1200"/>
      </w:tblGrid>
      <w:tr w:rsidR="00F55BAD" w:rsidRPr="00F55BAD" w14:paraId="01FE38C0" w14:textId="77777777" w:rsidTr="00525609">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F7FA9"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Escenario Base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2F166B7"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80%</w:t>
            </w:r>
          </w:p>
        </w:tc>
      </w:tr>
      <w:tr w:rsidR="00F55BAD" w:rsidRPr="00F55BAD" w14:paraId="2F59F0E5" w14:textId="77777777" w:rsidTr="00525609">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0D3CF0F"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Escenario Optimista</w:t>
            </w:r>
          </w:p>
        </w:tc>
        <w:tc>
          <w:tcPr>
            <w:tcW w:w="1200" w:type="dxa"/>
            <w:tcBorders>
              <w:top w:val="nil"/>
              <w:left w:val="nil"/>
              <w:bottom w:val="single" w:sz="4" w:space="0" w:color="auto"/>
              <w:right w:val="single" w:sz="4" w:space="0" w:color="auto"/>
            </w:tcBorders>
            <w:shd w:val="clear" w:color="auto" w:fill="auto"/>
            <w:noWrap/>
            <w:vAlign w:val="center"/>
            <w:hideMark/>
          </w:tcPr>
          <w:p w14:paraId="28BB2A7E"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10%</w:t>
            </w:r>
          </w:p>
        </w:tc>
      </w:tr>
      <w:tr w:rsidR="00F55BAD" w:rsidRPr="00F55BAD" w14:paraId="4A0D0EC6" w14:textId="77777777" w:rsidTr="00525609">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87B4FA5"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Escenario Pesimista</w:t>
            </w:r>
          </w:p>
        </w:tc>
        <w:tc>
          <w:tcPr>
            <w:tcW w:w="1200" w:type="dxa"/>
            <w:tcBorders>
              <w:top w:val="nil"/>
              <w:left w:val="nil"/>
              <w:bottom w:val="single" w:sz="4" w:space="0" w:color="auto"/>
              <w:right w:val="single" w:sz="4" w:space="0" w:color="auto"/>
            </w:tcBorders>
            <w:shd w:val="clear" w:color="auto" w:fill="auto"/>
            <w:noWrap/>
            <w:vAlign w:val="center"/>
            <w:hideMark/>
          </w:tcPr>
          <w:p w14:paraId="1DAB273D" w14:textId="77777777" w:rsidR="00F55BAD" w:rsidRPr="002E1AF6" w:rsidRDefault="00F55BAD" w:rsidP="00525609">
            <w:pPr>
              <w:jc w:val="center"/>
              <w:rPr>
                <w:rFonts w:ascii="Arial" w:hAnsi="Arial" w:cs="Arial"/>
                <w:color w:val="000000"/>
                <w:sz w:val="18"/>
                <w:lang w:eastAsia="es-AR"/>
              </w:rPr>
            </w:pPr>
            <w:r w:rsidRPr="002E1AF6">
              <w:rPr>
                <w:rFonts w:ascii="Arial" w:hAnsi="Arial" w:cs="Arial"/>
                <w:color w:val="000000"/>
                <w:sz w:val="18"/>
                <w:lang w:eastAsia="es-AR"/>
              </w:rPr>
              <w:t>10%</w:t>
            </w:r>
          </w:p>
        </w:tc>
      </w:tr>
    </w:tbl>
    <w:p w14:paraId="1C6CC669" w14:textId="14046F75" w:rsidR="00F56303" w:rsidRDefault="00F56303" w:rsidP="00F55BAD">
      <w:pPr>
        <w:ind w:right="-226"/>
        <w:jc w:val="both"/>
        <w:rPr>
          <w:rFonts w:ascii="Arial" w:hAnsi="Arial" w:cs="Arial"/>
          <w:b/>
          <w:bCs/>
          <w:sz w:val="20"/>
        </w:rPr>
      </w:pPr>
    </w:p>
    <w:p w14:paraId="09348FA8" w14:textId="77777777" w:rsidR="00F56303" w:rsidRPr="002E1AF6" w:rsidRDefault="00F56303" w:rsidP="00F55BAD">
      <w:pPr>
        <w:ind w:right="-226"/>
        <w:jc w:val="both"/>
        <w:rPr>
          <w:rFonts w:ascii="Arial" w:hAnsi="Arial" w:cs="Arial"/>
          <w:b/>
          <w:bCs/>
          <w:sz w:val="20"/>
        </w:rPr>
      </w:pPr>
    </w:p>
    <w:p w14:paraId="0429F825" w14:textId="77777777" w:rsidR="00F55BAD" w:rsidRPr="002E1AF6" w:rsidRDefault="00F55BAD" w:rsidP="00F55BAD">
      <w:pPr>
        <w:ind w:right="-226"/>
        <w:jc w:val="both"/>
        <w:rPr>
          <w:rFonts w:ascii="Arial" w:hAnsi="Arial" w:cs="Arial"/>
          <w:b/>
          <w:bCs/>
          <w:sz w:val="20"/>
        </w:rPr>
      </w:pPr>
      <w:r w:rsidRPr="002E1AF6">
        <w:rPr>
          <w:rFonts w:ascii="Arial" w:hAnsi="Arial" w:cs="Arial"/>
          <w:b/>
          <w:bCs/>
          <w:sz w:val="20"/>
        </w:rPr>
        <w:t>Análisis de sensibilidad</w:t>
      </w:r>
    </w:p>
    <w:p w14:paraId="592161B5" w14:textId="77777777" w:rsidR="00F55BAD" w:rsidRPr="002E1AF6" w:rsidRDefault="00F55BAD" w:rsidP="00F55BAD">
      <w:pPr>
        <w:ind w:right="-227"/>
        <w:jc w:val="both"/>
        <w:rPr>
          <w:rFonts w:ascii="Arial" w:hAnsi="Arial" w:cs="Arial"/>
          <w:sz w:val="20"/>
        </w:rPr>
      </w:pPr>
    </w:p>
    <w:p w14:paraId="70AE346B" w14:textId="31C89980" w:rsidR="00F55BAD" w:rsidRPr="002E1AF6" w:rsidRDefault="00F55BAD" w:rsidP="00F55BAD">
      <w:pPr>
        <w:ind w:right="-227"/>
        <w:jc w:val="both"/>
        <w:rPr>
          <w:rFonts w:ascii="Arial" w:hAnsi="Arial" w:cs="Arial"/>
          <w:sz w:val="20"/>
        </w:rPr>
      </w:pPr>
      <w:r w:rsidRPr="002E1AF6">
        <w:rPr>
          <w:rFonts w:ascii="Arial" w:hAnsi="Arial" w:cs="Arial"/>
          <w:sz w:val="20"/>
        </w:rPr>
        <w:t xml:space="preserve">A </w:t>
      </w:r>
      <w:r w:rsidR="00525609" w:rsidRPr="00FD67E8">
        <w:rPr>
          <w:rFonts w:ascii="Arial" w:hAnsi="Arial" w:cs="Arial"/>
          <w:sz w:val="20"/>
        </w:rPr>
        <w:t>continuación,</w:t>
      </w:r>
      <w:r w:rsidRPr="002E1AF6">
        <w:rPr>
          <w:rFonts w:ascii="Arial" w:hAnsi="Arial" w:cs="Arial"/>
          <w:sz w:val="20"/>
        </w:rPr>
        <w:t xml:space="preserve"> se detallan los cambios en las PCE al 31 de marzo de 2020 que resultarían de cambios razonablemente posibles en los siguientes parámetros:</w:t>
      </w:r>
    </w:p>
    <w:p w14:paraId="661DDAA4" w14:textId="77777777" w:rsidR="00F55BAD" w:rsidRPr="002E1AF6" w:rsidRDefault="00F55BAD" w:rsidP="00F55BAD">
      <w:pPr>
        <w:ind w:right="-227"/>
        <w:jc w:val="both"/>
        <w:rPr>
          <w:rFonts w:ascii="Arial" w:hAnsi="Arial" w:cs="Arial"/>
          <w:sz w:val="20"/>
        </w:rPr>
      </w:pPr>
    </w:p>
    <w:tbl>
      <w:tblPr>
        <w:tblW w:w="4576" w:type="dxa"/>
        <w:jc w:val="center"/>
        <w:tblCellMar>
          <w:left w:w="70" w:type="dxa"/>
          <w:right w:w="70" w:type="dxa"/>
        </w:tblCellMar>
        <w:tblLook w:val="04A0" w:firstRow="1" w:lastRow="0" w:firstColumn="1" w:lastColumn="0" w:noHBand="0" w:noVBand="1"/>
      </w:tblPr>
      <w:tblGrid>
        <w:gridCol w:w="3321"/>
        <w:gridCol w:w="1255"/>
      </w:tblGrid>
      <w:tr w:rsidR="00F55BAD" w:rsidRPr="00F55BAD" w14:paraId="63E0D68F" w14:textId="77777777" w:rsidTr="002E1AF6">
        <w:trPr>
          <w:trHeight w:val="248"/>
          <w:jc w:val="center"/>
        </w:trPr>
        <w:tc>
          <w:tcPr>
            <w:tcW w:w="45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59A377" w14:textId="77777777" w:rsidR="00F55BAD" w:rsidRPr="002E1AF6" w:rsidRDefault="00F55BAD"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lastRenderedPageBreak/>
              <w:t>31 de marzo de 2020</w:t>
            </w:r>
          </w:p>
        </w:tc>
      </w:tr>
      <w:tr w:rsidR="00F55BAD" w:rsidRPr="00F55BAD" w14:paraId="4B70EFFB"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tcPr>
          <w:p w14:paraId="43940CFB"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Cartera Total</w:t>
            </w:r>
          </w:p>
        </w:tc>
        <w:tc>
          <w:tcPr>
            <w:tcW w:w="1254" w:type="dxa"/>
            <w:tcBorders>
              <w:top w:val="nil"/>
              <w:left w:val="nil"/>
              <w:bottom w:val="single" w:sz="4" w:space="0" w:color="auto"/>
              <w:right w:val="single" w:sz="4" w:space="0" w:color="auto"/>
            </w:tcBorders>
            <w:shd w:val="clear" w:color="auto" w:fill="auto"/>
            <w:noWrap/>
            <w:vAlign w:val="center"/>
            <w:hideMark/>
          </w:tcPr>
          <w:p w14:paraId="21C2DBA4" w14:textId="5628C9F7"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 xml:space="preserve"> 89</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246</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228</w:t>
            </w:r>
          </w:p>
        </w:tc>
      </w:tr>
      <w:tr w:rsidR="00F55BAD" w:rsidRPr="00F55BAD" w14:paraId="014AC009" w14:textId="77777777" w:rsidTr="002E1AF6">
        <w:trPr>
          <w:trHeight w:val="75"/>
          <w:jc w:val="center"/>
        </w:trPr>
        <w:tc>
          <w:tcPr>
            <w:tcW w:w="3321" w:type="dxa"/>
            <w:tcBorders>
              <w:top w:val="nil"/>
              <w:left w:val="single" w:sz="4" w:space="0" w:color="auto"/>
              <w:bottom w:val="single" w:sz="4" w:space="0" w:color="auto"/>
              <w:right w:val="single" w:sz="4" w:space="0" w:color="auto"/>
            </w:tcBorders>
            <w:shd w:val="clear" w:color="auto" w:fill="auto"/>
            <w:noWrap/>
            <w:vAlign w:val="center"/>
          </w:tcPr>
          <w:p w14:paraId="46B33C03" w14:textId="77777777" w:rsidR="00F55BAD" w:rsidRPr="002E1AF6" w:rsidRDefault="00F55BAD" w:rsidP="00525609">
            <w:pPr>
              <w:rPr>
                <w:rFonts w:ascii="Arial" w:hAnsi="Arial" w:cs="Arial"/>
                <w:color w:val="000000"/>
                <w:sz w:val="18"/>
                <w:szCs w:val="18"/>
                <w:lang w:eastAsia="es-AR"/>
              </w:rPr>
            </w:pPr>
          </w:p>
        </w:tc>
        <w:tc>
          <w:tcPr>
            <w:tcW w:w="1254" w:type="dxa"/>
            <w:tcBorders>
              <w:top w:val="nil"/>
              <w:left w:val="nil"/>
              <w:bottom w:val="single" w:sz="4" w:space="0" w:color="auto"/>
              <w:right w:val="single" w:sz="4" w:space="0" w:color="auto"/>
            </w:tcBorders>
            <w:shd w:val="clear" w:color="auto" w:fill="auto"/>
            <w:noWrap/>
            <w:vAlign w:val="center"/>
          </w:tcPr>
          <w:p w14:paraId="65121209" w14:textId="77777777" w:rsidR="00F55BAD" w:rsidRPr="002E1AF6" w:rsidRDefault="00F55BAD" w:rsidP="00525609">
            <w:pPr>
              <w:jc w:val="right"/>
              <w:rPr>
                <w:rFonts w:ascii="Arial" w:hAnsi="Arial" w:cs="Arial"/>
                <w:color w:val="000000"/>
                <w:sz w:val="18"/>
                <w:szCs w:val="18"/>
                <w:lang w:eastAsia="es-AR"/>
              </w:rPr>
            </w:pPr>
          </w:p>
        </w:tc>
      </w:tr>
      <w:tr w:rsidR="00F55BAD" w:rsidRPr="00F55BAD" w14:paraId="6F15108E"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hideMark/>
          </w:tcPr>
          <w:p w14:paraId="2BB5C7CD" w14:textId="77777777" w:rsidR="00F55BAD" w:rsidRPr="002E1AF6" w:rsidRDefault="00F55BAD" w:rsidP="00525609">
            <w:pPr>
              <w:rPr>
                <w:rFonts w:ascii="Arial" w:hAnsi="Arial" w:cs="Arial"/>
                <w:color w:val="000000"/>
                <w:sz w:val="18"/>
                <w:szCs w:val="18"/>
                <w:lang w:eastAsia="es-AR"/>
              </w:rPr>
            </w:pPr>
            <w:r w:rsidRPr="002E1AF6">
              <w:rPr>
                <w:rFonts w:ascii="Arial" w:hAnsi="Arial" w:cs="Arial"/>
                <w:b/>
                <w:bCs/>
                <w:color w:val="000000"/>
                <w:sz w:val="18"/>
                <w:szCs w:val="18"/>
                <w:lang w:eastAsia="es-AR"/>
              </w:rPr>
              <w:t>PCE por Escenario</w:t>
            </w:r>
          </w:p>
        </w:tc>
        <w:tc>
          <w:tcPr>
            <w:tcW w:w="1254" w:type="dxa"/>
            <w:tcBorders>
              <w:top w:val="nil"/>
              <w:left w:val="nil"/>
              <w:bottom w:val="single" w:sz="4" w:space="0" w:color="auto"/>
              <w:right w:val="single" w:sz="4" w:space="0" w:color="auto"/>
            </w:tcBorders>
            <w:shd w:val="clear" w:color="auto" w:fill="auto"/>
            <w:noWrap/>
            <w:vAlign w:val="center"/>
            <w:hideMark/>
          </w:tcPr>
          <w:p w14:paraId="77BED598" w14:textId="77777777"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 </w:t>
            </w:r>
          </w:p>
        </w:tc>
      </w:tr>
      <w:tr w:rsidR="00F55BAD" w:rsidRPr="00F55BAD" w14:paraId="352A1BD6"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hideMark/>
          </w:tcPr>
          <w:p w14:paraId="16290236"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Impacto Favorable</w:t>
            </w:r>
          </w:p>
        </w:tc>
        <w:tc>
          <w:tcPr>
            <w:tcW w:w="1254" w:type="dxa"/>
            <w:tcBorders>
              <w:top w:val="nil"/>
              <w:left w:val="nil"/>
              <w:bottom w:val="single" w:sz="4" w:space="0" w:color="auto"/>
              <w:right w:val="single" w:sz="4" w:space="0" w:color="auto"/>
            </w:tcBorders>
            <w:shd w:val="clear" w:color="auto" w:fill="auto"/>
            <w:noWrap/>
            <w:vAlign w:val="center"/>
            <w:hideMark/>
          </w:tcPr>
          <w:p w14:paraId="3E469760" w14:textId="3091C828"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5</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370</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660</w:t>
            </w:r>
          </w:p>
        </w:tc>
      </w:tr>
      <w:tr w:rsidR="00F55BAD" w:rsidRPr="00F55BAD" w14:paraId="17C0E554"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hideMark/>
          </w:tcPr>
          <w:p w14:paraId="2B7AB20A" w14:textId="77777777" w:rsidR="00F55BAD" w:rsidRPr="002E1AF6" w:rsidRDefault="00F55BAD" w:rsidP="00525609">
            <w:pPr>
              <w:rPr>
                <w:rFonts w:ascii="Arial" w:hAnsi="Arial" w:cs="Arial"/>
                <w:b/>
                <w:bCs/>
                <w:color w:val="000000"/>
                <w:sz w:val="18"/>
                <w:szCs w:val="18"/>
                <w:lang w:eastAsia="es-AR"/>
              </w:rPr>
            </w:pPr>
            <w:r w:rsidRPr="002E1AF6">
              <w:rPr>
                <w:rFonts w:ascii="Arial" w:hAnsi="Arial" w:cs="Arial"/>
                <w:color w:val="000000"/>
                <w:sz w:val="18"/>
                <w:szCs w:val="18"/>
                <w:lang w:eastAsia="es-AR"/>
              </w:rPr>
              <w:t>Impacto Intermedio</w:t>
            </w:r>
          </w:p>
        </w:tc>
        <w:tc>
          <w:tcPr>
            <w:tcW w:w="1254" w:type="dxa"/>
            <w:tcBorders>
              <w:top w:val="nil"/>
              <w:left w:val="nil"/>
              <w:bottom w:val="single" w:sz="4" w:space="0" w:color="auto"/>
              <w:right w:val="single" w:sz="4" w:space="0" w:color="auto"/>
            </w:tcBorders>
            <w:shd w:val="clear" w:color="auto" w:fill="auto"/>
            <w:noWrap/>
            <w:vAlign w:val="center"/>
            <w:hideMark/>
          </w:tcPr>
          <w:p w14:paraId="1D0D068C" w14:textId="2D1A1DA7"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5</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390</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826</w:t>
            </w:r>
          </w:p>
        </w:tc>
      </w:tr>
      <w:tr w:rsidR="00F55BAD" w:rsidRPr="00F55BAD" w14:paraId="27BC519D"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hideMark/>
          </w:tcPr>
          <w:p w14:paraId="5E2A9165"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Impacto Alto</w:t>
            </w:r>
          </w:p>
        </w:tc>
        <w:tc>
          <w:tcPr>
            <w:tcW w:w="1254" w:type="dxa"/>
            <w:tcBorders>
              <w:top w:val="nil"/>
              <w:left w:val="nil"/>
              <w:bottom w:val="single" w:sz="4" w:space="0" w:color="auto"/>
              <w:right w:val="single" w:sz="4" w:space="0" w:color="auto"/>
            </w:tcBorders>
            <w:shd w:val="clear" w:color="auto" w:fill="auto"/>
            <w:noWrap/>
            <w:vAlign w:val="center"/>
            <w:hideMark/>
          </w:tcPr>
          <w:p w14:paraId="2218AD47" w14:textId="7CEBF35B"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5</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402</w:t>
            </w:r>
            <w:r w:rsidR="00F56303">
              <w:rPr>
                <w:rFonts w:ascii="Arial" w:hAnsi="Arial" w:cs="Arial"/>
                <w:color w:val="000000"/>
                <w:sz w:val="18"/>
                <w:szCs w:val="18"/>
                <w:lang w:eastAsia="es-AR"/>
              </w:rPr>
              <w:t>.</w:t>
            </w:r>
            <w:r w:rsidRPr="002E1AF6">
              <w:rPr>
                <w:rFonts w:ascii="Arial" w:hAnsi="Arial" w:cs="Arial"/>
                <w:color w:val="000000"/>
                <w:sz w:val="18"/>
                <w:szCs w:val="18"/>
                <w:lang w:eastAsia="es-AR"/>
              </w:rPr>
              <w:t>176</w:t>
            </w:r>
          </w:p>
        </w:tc>
      </w:tr>
      <w:tr w:rsidR="00F55BAD" w:rsidRPr="00F55BAD" w14:paraId="63167F54" w14:textId="77777777" w:rsidTr="002E1AF6">
        <w:trPr>
          <w:trHeight w:val="57"/>
          <w:jc w:val="center"/>
        </w:trPr>
        <w:tc>
          <w:tcPr>
            <w:tcW w:w="3321" w:type="dxa"/>
            <w:tcBorders>
              <w:top w:val="nil"/>
              <w:left w:val="single" w:sz="4" w:space="0" w:color="auto"/>
              <w:bottom w:val="single" w:sz="4" w:space="0" w:color="auto"/>
              <w:right w:val="single" w:sz="4" w:space="0" w:color="auto"/>
            </w:tcBorders>
            <w:shd w:val="clear" w:color="auto" w:fill="auto"/>
            <w:noWrap/>
            <w:vAlign w:val="center"/>
          </w:tcPr>
          <w:p w14:paraId="7E93BF2F" w14:textId="77777777" w:rsidR="00F55BAD" w:rsidRPr="002E1AF6" w:rsidRDefault="00F55BAD" w:rsidP="00525609">
            <w:pPr>
              <w:rPr>
                <w:rFonts w:ascii="Arial" w:hAnsi="Arial" w:cs="Arial"/>
                <w:color w:val="000000"/>
                <w:sz w:val="18"/>
                <w:szCs w:val="18"/>
                <w:lang w:eastAsia="es-AR"/>
              </w:rPr>
            </w:pPr>
          </w:p>
        </w:tc>
        <w:tc>
          <w:tcPr>
            <w:tcW w:w="1254" w:type="dxa"/>
            <w:tcBorders>
              <w:top w:val="nil"/>
              <w:left w:val="nil"/>
              <w:bottom w:val="single" w:sz="4" w:space="0" w:color="auto"/>
              <w:right w:val="single" w:sz="4" w:space="0" w:color="auto"/>
            </w:tcBorders>
            <w:shd w:val="clear" w:color="auto" w:fill="auto"/>
            <w:noWrap/>
            <w:vAlign w:val="center"/>
          </w:tcPr>
          <w:p w14:paraId="051A7566" w14:textId="77777777" w:rsidR="00F55BAD" w:rsidRPr="002E1AF6" w:rsidRDefault="00F55BAD" w:rsidP="00525609">
            <w:pPr>
              <w:jc w:val="right"/>
              <w:rPr>
                <w:rFonts w:ascii="Arial" w:hAnsi="Arial" w:cs="Arial"/>
                <w:color w:val="000000"/>
                <w:sz w:val="18"/>
                <w:szCs w:val="18"/>
                <w:lang w:eastAsia="es-AR"/>
              </w:rPr>
            </w:pPr>
          </w:p>
        </w:tc>
      </w:tr>
      <w:tr w:rsidR="00F55BAD" w:rsidRPr="00F55BAD" w14:paraId="7DEF7432"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tcPr>
          <w:p w14:paraId="711F98F9" w14:textId="77777777" w:rsidR="00F55BAD" w:rsidRPr="002E1AF6" w:rsidRDefault="00F55BAD" w:rsidP="00525609">
            <w:pPr>
              <w:rPr>
                <w:rFonts w:ascii="Arial" w:hAnsi="Arial" w:cs="Arial"/>
                <w:color w:val="000000"/>
                <w:sz w:val="18"/>
                <w:szCs w:val="18"/>
                <w:lang w:eastAsia="es-AR"/>
              </w:rPr>
            </w:pPr>
            <w:r w:rsidRPr="002E1AF6">
              <w:rPr>
                <w:rFonts w:ascii="Arial" w:hAnsi="Arial" w:cs="Arial"/>
                <w:b/>
                <w:bCs/>
                <w:color w:val="000000"/>
                <w:sz w:val="18"/>
                <w:szCs w:val="18"/>
                <w:lang w:eastAsia="es-AR"/>
              </w:rPr>
              <w:t>Ratio de Cobertura por Escenario</w:t>
            </w:r>
          </w:p>
        </w:tc>
        <w:tc>
          <w:tcPr>
            <w:tcW w:w="1254" w:type="dxa"/>
            <w:tcBorders>
              <w:top w:val="nil"/>
              <w:left w:val="nil"/>
              <w:bottom w:val="single" w:sz="4" w:space="0" w:color="auto"/>
              <w:right w:val="single" w:sz="4" w:space="0" w:color="auto"/>
            </w:tcBorders>
            <w:shd w:val="clear" w:color="auto" w:fill="auto"/>
            <w:noWrap/>
            <w:vAlign w:val="center"/>
          </w:tcPr>
          <w:p w14:paraId="643C7207" w14:textId="77777777" w:rsidR="00F55BAD" w:rsidRPr="002E1AF6" w:rsidRDefault="00F55BAD" w:rsidP="00525609">
            <w:pPr>
              <w:jc w:val="right"/>
              <w:rPr>
                <w:rFonts w:ascii="Arial" w:hAnsi="Arial" w:cs="Arial"/>
                <w:color w:val="000000"/>
                <w:sz w:val="18"/>
                <w:szCs w:val="18"/>
                <w:lang w:eastAsia="es-AR"/>
              </w:rPr>
            </w:pPr>
          </w:p>
        </w:tc>
      </w:tr>
      <w:tr w:rsidR="00F55BAD" w:rsidRPr="00F55BAD" w14:paraId="43EA1E70"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hideMark/>
          </w:tcPr>
          <w:p w14:paraId="66499374" w14:textId="77777777" w:rsidR="00F55BAD" w:rsidRPr="002E1AF6" w:rsidRDefault="00F55BAD" w:rsidP="00525609">
            <w:pPr>
              <w:rPr>
                <w:rFonts w:ascii="Arial" w:hAnsi="Arial" w:cs="Arial"/>
                <w:b/>
                <w:bCs/>
                <w:color w:val="000000"/>
                <w:sz w:val="18"/>
                <w:szCs w:val="18"/>
                <w:lang w:eastAsia="es-AR"/>
              </w:rPr>
            </w:pPr>
            <w:r w:rsidRPr="002E1AF6">
              <w:rPr>
                <w:rFonts w:ascii="Arial" w:hAnsi="Arial" w:cs="Arial"/>
                <w:color w:val="000000"/>
                <w:sz w:val="18"/>
                <w:szCs w:val="18"/>
                <w:lang w:eastAsia="es-AR"/>
              </w:rPr>
              <w:t>Impacto Favorable</w:t>
            </w:r>
          </w:p>
        </w:tc>
        <w:tc>
          <w:tcPr>
            <w:tcW w:w="1254" w:type="dxa"/>
            <w:tcBorders>
              <w:top w:val="nil"/>
              <w:left w:val="nil"/>
              <w:bottom w:val="single" w:sz="4" w:space="0" w:color="auto"/>
              <w:right w:val="single" w:sz="4" w:space="0" w:color="auto"/>
            </w:tcBorders>
            <w:shd w:val="clear" w:color="auto" w:fill="auto"/>
            <w:noWrap/>
            <w:vAlign w:val="center"/>
            <w:hideMark/>
          </w:tcPr>
          <w:p w14:paraId="2FAABB8F" w14:textId="77777777"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95.38%</w:t>
            </w:r>
          </w:p>
        </w:tc>
      </w:tr>
      <w:tr w:rsidR="00F55BAD" w:rsidRPr="00F55BAD" w14:paraId="152A4BA6"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tcPr>
          <w:p w14:paraId="079E7F17"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Impacto Intermedio</w:t>
            </w:r>
          </w:p>
        </w:tc>
        <w:tc>
          <w:tcPr>
            <w:tcW w:w="1254" w:type="dxa"/>
            <w:tcBorders>
              <w:top w:val="nil"/>
              <w:left w:val="nil"/>
              <w:bottom w:val="single" w:sz="4" w:space="0" w:color="auto"/>
              <w:right w:val="single" w:sz="4" w:space="0" w:color="auto"/>
            </w:tcBorders>
            <w:shd w:val="clear" w:color="auto" w:fill="auto"/>
            <w:noWrap/>
            <w:vAlign w:val="center"/>
          </w:tcPr>
          <w:p w14:paraId="667E4502" w14:textId="77777777"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95.74%</w:t>
            </w:r>
          </w:p>
        </w:tc>
      </w:tr>
      <w:tr w:rsidR="00F55BAD" w:rsidRPr="00F56303" w14:paraId="47D08FC6" w14:textId="77777777" w:rsidTr="002E1AF6">
        <w:trPr>
          <w:trHeight w:val="248"/>
          <w:jc w:val="center"/>
        </w:trPr>
        <w:tc>
          <w:tcPr>
            <w:tcW w:w="3321" w:type="dxa"/>
            <w:tcBorders>
              <w:top w:val="nil"/>
              <w:left w:val="single" w:sz="4" w:space="0" w:color="auto"/>
              <w:bottom w:val="single" w:sz="4" w:space="0" w:color="auto"/>
              <w:right w:val="single" w:sz="4" w:space="0" w:color="auto"/>
            </w:tcBorders>
            <w:shd w:val="clear" w:color="auto" w:fill="auto"/>
            <w:noWrap/>
            <w:vAlign w:val="center"/>
          </w:tcPr>
          <w:p w14:paraId="12A4E4B1" w14:textId="77777777" w:rsidR="00F55BAD" w:rsidRPr="002E1AF6" w:rsidRDefault="00F55BAD" w:rsidP="00525609">
            <w:pPr>
              <w:rPr>
                <w:rFonts w:ascii="Arial" w:hAnsi="Arial" w:cs="Arial"/>
                <w:color w:val="000000"/>
                <w:sz w:val="18"/>
                <w:szCs w:val="18"/>
                <w:lang w:eastAsia="es-AR"/>
              </w:rPr>
            </w:pPr>
            <w:r w:rsidRPr="002E1AF6">
              <w:rPr>
                <w:rFonts w:ascii="Arial" w:hAnsi="Arial" w:cs="Arial"/>
                <w:color w:val="000000"/>
                <w:sz w:val="18"/>
                <w:szCs w:val="18"/>
                <w:lang w:eastAsia="es-AR"/>
              </w:rPr>
              <w:t>Impacto Alto</w:t>
            </w:r>
          </w:p>
        </w:tc>
        <w:tc>
          <w:tcPr>
            <w:tcW w:w="1254" w:type="dxa"/>
            <w:tcBorders>
              <w:top w:val="nil"/>
              <w:left w:val="nil"/>
              <w:bottom w:val="single" w:sz="4" w:space="0" w:color="auto"/>
              <w:right w:val="single" w:sz="4" w:space="0" w:color="auto"/>
            </w:tcBorders>
            <w:shd w:val="clear" w:color="auto" w:fill="auto"/>
            <w:noWrap/>
            <w:vAlign w:val="center"/>
          </w:tcPr>
          <w:p w14:paraId="5AE6156B" w14:textId="77777777" w:rsidR="00F55BAD" w:rsidRPr="002E1AF6" w:rsidRDefault="00F55BAD"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95.94%</w:t>
            </w:r>
          </w:p>
        </w:tc>
      </w:tr>
    </w:tbl>
    <w:p w14:paraId="1CE2E062" w14:textId="6560A035" w:rsidR="00F55BAD" w:rsidRPr="002E1AF6" w:rsidRDefault="00F55BAD" w:rsidP="00F55BAD">
      <w:pPr>
        <w:rPr>
          <w:rFonts w:ascii="Arial" w:hAnsi="Arial" w:cs="Arial"/>
          <w:b/>
          <w:sz w:val="20"/>
        </w:rPr>
      </w:pPr>
    </w:p>
    <w:p w14:paraId="5292A3CC" w14:textId="44FD314B" w:rsidR="00F55BAD" w:rsidRPr="002E1AF6" w:rsidRDefault="00F56303" w:rsidP="00F55BAD">
      <w:pPr>
        <w:rPr>
          <w:rFonts w:ascii="Arial" w:hAnsi="Arial" w:cs="Arial"/>
          <w:b/>
          <w:sz w:val="20"/>
        </w:rPr>
      </w:pPr>
      <w:r w:rsidRPr="002E1AF6">
        <w:rPr>
          <w:rFonts w:ascii="Arial" w:hAnsi="Arial" w:cs="Arial"/>
          <w:b/>
          <w:sz w:val="20"/>
        </w:rPr>
        <w:t>1.2.6 Máxima exposición al riesgo de crédito</w:t>
      </w:r>
    </w:p>
    <w:p w14:paraId="4058F23F" w14:textId="2F523939" w:rsidR="00F56303" w:rsidRPr="002E1AF6" w:rsidRDefault="00F56303" w:rsidP="00F55BAD">
      <w:pPr>
        <w:rPr>
          <w:rFonts w:ascii="Arial" w:hAnsi="Arial" w:cs="Arial"/>
          <w:b/>
          <w:sz w:val="20"/>
        </w:rPr>
      </w:pPr>
    </w:p>
    <w:p w14:paraId="0BF34CDB" w14:textId="77777777" w:rsidR="00F56303" w:rsidRPr="002E1AF6" w:rsidRDefault="00F56303" w:rsidP="00F56303">
      <w:pPr>
        <w:ind w:right="-227"/>
        <w:jc w:val="both"/>
        <w:rPr>
          <w:rFonts w:ascii="Arial" w:hAnsi="Arial" w:cs="Arial"/>
          <w:sz w:val="20"/>
        </w:rPr>
      </w:pPr>
      <w:r w:rsidRPr="002E1AF6">
        <w:rPr>
          <w:rFonts w:ascii="Arial" w:hAnsi="Arial" w:cs="Arial"/>
          <w:sz w:val="20"/>
        </w:rPr>
        <w:t>A continuación, se presenta un análisis de la exposición al riesgo de crédito de los instrumentos financieros para los cuales se reconocieron previsiones por pérdidas crediticias esperadas. El importe bruto en libros de los activos financieros incluidos en el cuadro adjunto representa la máxima exposición al riesgo de crédito de dichos activos.</w:t>
      </w:r>
    </w:p>
    <w:p w14:paraId="72BFD932" w14:textId="77777777" w:rsidR="00F56303" w:rsidRPr="002E1AF6" w:rsidRDefault="00F56303" w:rsidP="00F56303">
      <w:pPr>
        <w:ind w:right="-227"/>
        <w:jc w:val="both"/>
        <w:rPr>
          <w:rFonts w:ascii="Arial" w:hAnsi="Arial" w:cs="Arial"/>
          <w:sz w:val="20"/>
        </w:rPr>
      </w:pPr>
    </w:p>
    <w:tbl>
      <w:tblPr>
        <w:tblW w:w="7960" w:type="dxa"/>
        <w:tblCellMar>
          <w:left w:w="70" w:type="dxa"/>
          <w:right w:w="70" w:type="dxa"/>
        </w:tblCellMar>
        <w:tblLook w:val="04A0" w:firstRow="1" w:lastRow="0" w:firstColumn="1" w:lastColumn="0" w:noHBand="0" w:noVBand="1"/>
      </w:tblPr>
      <w:tblGrid>
        <w:gridCol w:w="2920"/>
        <w:gridCol w:w="1260"/>
        <w:gridCol w:w="1260"/>
        <w:gridCol w:w="1260"/>
        <w:gridCol w:w="1260"/>
      </w:tblGrid>
      <w:tr w:rsidR="00F56303" w:rsidRPr="000B26C1" w14:paraId="29A35B90" w14:textId="77777777" w:rsidTr="002E1AF6">
        <w:trPr>
          <w:trHeight w:val="233"/>
        </w:trPr>
        <w:tc>
          <w:tcPr>
            <w:tcW w:w="29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4FC497A" w14:textId="77777777" w:rsidR="00F56303" w:rsidRPr="002E1AF6" w:rsidRDefault="00F56303"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 </w:t>
            </w:r>
          </w:p>
        </w:tc>
        <w:tc>
          <w:tcPr>
            <w:tcW w:w="378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D9B9FF8" w14:textId="77777777" w:rsidR="00F56303" w:rsidRPr="002E1AF6" w:rsidRDefault="00F56303"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31 de marzo de 2020</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54ADFB" w14:textId="77777777" w:rsidR="00F56303" w:rsidRPr="002E1AF6" w:rsidRDefault="00F56303"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Total</w:t>
            </w:r>
          </w:p>
        </w:tc>
      </w:tr>
      <w:tr w:rsidR="00F56303" w:rsidRPr="000B26C1" w14:paraId="1BCA9387" w14:textId="77777777" w:rsidTr="002E1AF6">
        <w:trPr>
          <w:trHeight w:val="210"/>
        </w:trPr>
        <w:tc>
          <w:tcPr>
            <w:tcW w:w="29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AFC7402" w14:textId="77777777" w:rsidR="00F56303" w:rsidRPr="002E1AF6" w:rsidRDefault="00F56303" w:rsidP="00525609">
            <w:pPr>
              <w:rPr>
                <w:rFonts w:ascii="Arial" w:hAnsi="Arial" w:cs="Arial"/>
                <w:b/>
                <w:bCs/>
                <w:color w:val="000000"/>
                <w:sz w:val="18"/>
                <w:szCs w:val="18"/>
                <w:lang w:eastAsia="es-AR"/>
              </w:rPr>
            </w:pPr>
          </w:p>
        </w:tc>
        <w:tc>
          <w:tcPr>
            <w:tcW w:w="1260" w:type="dxa"/>
            <w:tcBorders>
              <w:top w:val="nil"/>
              <w:left w:val="nil"/>
              <w:bottom w:val="single" w:sz="4" w:space="0" w:color="auto"/>
              <w:right w:val="single" w:sz="4" w:space="0" w:color="auto"/>
            </w:tcBorders>
            <w:shd w:val="clear" w:color="auto" w:fill="auto"/>
            <w:vAlign w:val="center"/>
            <w:hideMark/>
          </w:tcPr>
          <w:p w14:paraId="41FB629E" w14:textId="77777777" w:rsidR="00F56303" w:rsidRPr="002E1AF6" w:rsidRDefault="00F56303"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Etapa 1</w:t>
            </w:r>
          </w:p>
        </w:tc>
        <w:tc>
          <w:tcPr>
            <w:tcW w:w="1260" w:type="dxa"/>
            <w:tcBorders>
              <w:top w:val="nil"/>
              <w:left w:val="nil"/>
              <w:bottom w:val="single" w:sz="4" w:space="0" w:color="auto"/>
              <w:right w:val="single" w:sz="4" w:space="0" w:color="auto"/>
            </w:tcBorders>
            <w:shd w:val="clear" w:color="auto" w:fill="auto"/>
            <w:vAlign w:val="center"/>
            <w:hideMark/>
          </w:tcPr>
          <w:p w14:paraId="640324D5" w14:textId="77777777" w:rsidR="00F56303" w:rsidRPr="002E1AF6" w:rsidRDefault="00F56303"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Etapa 2</w:t>
            </w:r>
          </w:p>
        </w:tc>
        <w:tc>
          <w:tcPr>
            <w:tcW w:w="1260" w:type="dxa"/>
            <w:tcBorders>
              <w:top w:val="nil"/>
              <w:left w:val="nil"/>
              <w:bottom w:val="single" w:sz="4" w:space="0" w:color="auto"/>
              <w:right w:val="single" w:sz="4" w:space="0" w:color="auto"/>
            </w:tcBorders>
            <w:shd w:val="clear" w:color="auto" w:fill="auto"/>
            <w:vAlign w:val="center"/>
            <w:hideMark/>
          </w:tcPr>
          <w:p w14:paraId="67A8EC9F" w14:textId="77777777" w:rsidR="00F56303" w:rsidRPr="002E1AF6" w:rsidRDefault="00F56303" w:rsidP="00525609">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Etapa 3</w:t>
            </w:r>
          </w:p>
        </w:tc>
        <w:tc>
          <w:tcPr>
            <w:tcW w:w="12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68A8985" w14:textId="77777777" w:rsidR="00F56303" w:rsidRPr="002E1AF6" w:rsidRDefault="00F56303" w:rsidP="00525609">
            <w:pPr>
              <w:rPr>
                <w:rFonts w:ascii="Arial" w:hAnsi="Arial" w:cs="Arial"/>
                <w:b/>
                <w:bCs/>
                <w:color w:val="000000"/>
                <w:sz w:val="18"/>
                <w:szCs w:val="18"/>
                <w:lang w:eastAsia="es-AR"/>
              </w:rPr>
            </w:pPr>
          </w:p>
        </w:tc>
      </w:tr>
      <w:tr w:rsidR="00F56303" w:rsidRPr="000B26C1" w14:paraId="08F71E5C"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58A5E36"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Adelantos</w:t>
            </w:r>
          </w:p>
        </w:tc>
        <w:tc>
          <w:tcPr>
            <w:tcW w:w="1260" w:type="dxa"/>
            <w:tcBorders>
              <w:top w:val="nil"/>
              <w:left w:val="nil"/>
              <w:bottom w:val="single" w:sz="4" w:space="0" w:color="auto"/>
              <w:right w:val="single" w:sz="4" w:space="0" w:color="auto"/>
            </w:tcBorders>
            <w:shd w:val="clear" w:color="auto" w:fill="auto"/>
            <w:noWrap/>
            <w:vAlign w:val="center"/>
            <w:hideMark/>
          </w:tcPr>
          <w:p w14:paraId="684D11FC" w14:textId="1F06AB47"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33</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628</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213</w:t>
            </w:r>
          </w:p>
        </w:tc>
        <w:tc>
          <w:tcPr>
            <w:tcW w:w="1260" w:type="dxa"/>
            <w:tcBorders>
              <w:top w:val="nil"/>
              <w:left w:val="nil"/>
              <w:bottom w:val="single" w:sz="4" w:space="0" w:color="auto"/>
              <w:right w:val="single" w:sz="4" w:space="0" w:color="auto"/>
            </w:tcBorders>
            <w:shd w:val="clear" w:color="auto" w:fill="auto"/>
            <w:noWrap/>
            <w:vAlign w:val="center"/>
            <w:hideMark/>
          </w:tcPr>
          <w:p w14:paraId="6FB7DE9D" w14:textId="4A0AA34D"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312</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325</w:t>
            </w:r>
          </w:p>
        </w:tc>
        <w:tc>
          <w:tcPr>
            <w:tcW w:w="1260" w:type="dxa"/>
            <w:tcBorders>
              <w:top w:val="nil"/>
              <w:left w:val="nil"/>
              <w:bottom w:val="single" w:sz="4" w:space="0" w:color="auto"/>
              <w:right w:val="single" w:sz="4" w:space="0" w:color="auto"/>
            </w:tcBorders>
            <w:shd w:val="clear" w:color="auto" w:fill="auto"/>
            <w:noWrap/>
            <w:vAlign w:val="center"/>
            <w:hideMark/>
          </w:tcPr>
          <w:p w14:paraId="7BE426B7" w14:textId="32FEBB40"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206</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853</w:t>
            </w:r>
          </w:p>
        </w:tc>
        <w:tc>
          <w:tcPr>
            <w:tcW w:w="1260" w:type="dxa"/>
            <w:tcBorders>
              <w:top w:val="nil"/>
              <w:left w:val="nil"/>
              <w:bottom w:val="single" w:sz="4" w:space="0" w:color="auto"/>
              <w:right w:val="single" w:sz="4" w:space="0" w:color="auto"/>
            </w:tcBorders>
            <w:shd w:val="clear" w:color="auto" w:fill="auto"/>
            <w:noWrap/>
            <w:vAlign w:val="center"/>
            <w:hideMark/>
          </w:tcPr>
          <w:p w14:paraId="7AAE3A15" w14:textId="4C5FA65F"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35</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147</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391</w:t>
            </w:r>
          </w:p>
        </w:tc>
      </w:tr>
      <w:tr w:rsidR="00F56303" w:rsidRPr="000B26C1" w14:paraId="77D49A82"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B54641A"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Documentos</w:t>
            </w:r>
          </w:p>
        </w:tc>
        <w:tc>
          <w:tcPr>
            <w:tcW w:w="1260" w:type="dxa"/>
            <w:tcBorders>
              <w:top w:val="nil"/>
              <w:left w:val="nil"/>
              <w:bottom w:val="single" w:sz="4" w:space="0" w:color="auto"/>
              <w:right w:val="single" w:sz="4" w:space="0" w:color="auto"/>
            </w:tcBorders>
            <w:shd w:val="clear" w:color="auto" w:fill="auto"/>
            <w:noWrap/>
            <w:vAlign w:val="center"/>
            <w:hideMark/>
          </w:tcPr>
          <w:p w14:paraId="3F90E128" w14:textId="203E5F55"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9</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631</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834</w:t>
            </w:r>
          </w:p>
        </w:tc>
        <w:tc>
          <w:tcPr>
            <w:tcW w:w="1260" w:type="dxa"/>
            <w:tcBorders>
              <w:top w:val="nil"/>
              <w:left w:val="nil"/>
              <w:bottom w:val="single" w:sz="4" w:space="0" w:color="auto"/>
              <w:right w:val="single" w:sz="4" w:space="0" w:color="auto"/>
            </w:tcBorders>
            <w:shd w:val="clear" w:color="auto" w:fill="auto"/>
            <w:noWrap/>
            <w:vAlign w:val="center"/>
            <w:hideMark/>
          </w:tcPr>
          <w:p w14:paraId="341A9FB6" w14:textId="7B3E5742"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82</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493</w:t>
            </w:r>
          </w:p>
        </w:tc>
        <w:tc>
          <w:tcPr>
            <w:tcW w:w="1260" w:type="dxa"/>
            <w:tcBorders>
              <w:top w:val="nil"/>
              <w:left w:val="nil"/>
              <w:bottom w:val="single" w:sz="4" w:space="0" w:color="auto"/>
              <w:right w:val="single" w:sz="4" w:space="0" w:color="auto"/>
            </w:tcBorders>
            <w:shd w:val="clear" w:color="auto" w:fill="auto"/>
            <w:noWrap/>
            <w:vAlign w:val="center"/>
            <w:hideMark/>
          </w:tcPr>
          <w:p w14:paraId="7C6DDD55" w14:textId="09A96DA3"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311</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935</w:t>
            </w:r>
          </w:p>
        </w:tc>
        <w:tc>
          <w:tcPr>
            <w:tcW w:w="1260" w:type="dxa"/>
            <w:tcBorders>
              <w:top w:val="nil"/>
              <w:left w:val="nil"/>
              <w:bottom w:val="single" w:sz="4" w:space="0" w:color="auto"/>
              <w:right w:val="single" w:sz="4" w:space="0" w:color="auto"/>
            </w:tcBorders>
            <w:shd w:val="clear" w:color="auto" w:fill="auto"/>
            <w:noWrap/>
            <w:vAlign w:val="center"/>
            <w:hideMark/>
          </w:tcPr>
          <w:p w14:paraId="1DD10C61" w14:textId="51798C8E"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10</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026</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262</w:t>
            </w:r>
          </w:p>
        </w:tc>
      </w:tr>
      <w:tr w:rsidR="00F56303" w:rsidRPr="000B26C1" w14:paraId="5DF1548F"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238730D"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Hipotecarios</w:t>
            </w:r>
          </w:p>
        </w:tc>
        <w:tc>
          <w:tcPr>
            <w:tcW w:w="1260" w:type="dxa"/>
            <w:tcBorders>
              <w:top w:val="nil"/>
              <w:left w:val="nil"/>
              <w:bottom w:val="single" w:sz="4" w:space="0" w:color="auto"/>
              <w:right w:val="single" w:sz="4" w:space="0" w:color="auto"/>
            </w:tcBorders>
            <w:shd w:val="clear" w:color="auto" w:fill="auto"/>
            <w:noWrap/>
            <w:vAlign w:val="center"/>
            <w:hideMark/>
          </w:tcPr>
          <w:p w14:paraId="3AA27D15" w14:textId="224790C5"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10</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001</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731</w:t>
            </w:r>
          </w:p>
        </w:tc>
        <w:tc>
          <w:tcPr>
            <w:tcW w:w="1260" w:type="dxa"/>
            <w:tcBorders>
              <w:top w:val="nil"/>
              <w:left w:val="nil"/>
              <w:bottom w:val="single" w:sz="4" w:space="0" w:color="auto"/>
              <w:right w:val="single" w:sz="4" w:space="0" w:color="auto"/>
            </w:tcBorders>
            <w:shd w:val="clear" w:color="auto" w:fill="auto"/>
            <w:noWrap/>
            <w:vAlign w:val="center"/>
            <w:hideMark/>
          </w:tcPr>
          <w:p w14:paraId="06A573C9" w14:textId="71C209F8"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364</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876</w:t>
            </w:r>
          </w:p>
        </w:tc>
        <w:tc>
          <w:tcPr>
            <w:tcW w:w="1260" w:type="dxa"/>
            <w:tcBorders>
              <w:top w:val="nil"/>
              <w:left w:val="nil"/>
              <w:bottom w:val="single" w:sz="4" w:space="0" w:color="auto"/>
              <w:right w:val="single" w:sz="4" w:space="0" w:color="auto"/>
            </w:tcBorders>
            <w:shd w:val="clear" w:color="auto" w:fill="auto"/>
            <w:noWrap/>
            <w:vAlign w:val="center"/>
            <w:hideMark/>
          </w:tcPr>
          <w:p w14:paraId="1457A1BE" w14:textId="36D95060"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868</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023</w:t>
            </w:r>
          </w:p>
        </w:tc>
        <w:tc>
          <w:tcPr>
            <w:tcW w:w="1260" w:type="dxa"/>
            <w:tcBorders>
              <w:top w:val="nil"/>
              <w:left w:val="nil"/>
              <w:bottom w:val="single" w:sz="4" w:space="0" w:color="auto"/>
              <w:right w:val="single" w:sz="4" w:space="0" w:color="auto"/>
            </w:tcBorders>
            <w:shd w:val="clear" w:color="auto" w:fill="auto"/>
            <w:noWrap/>
            <w:vAlign w:val="center"/>
            <w:hideMark/>
          </w:tcPr>
          <w:p w14:paraId="00E4A096" w14:textId="5BA47188"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11</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234</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630</w:t>
            </w:r>
          </w:p>
        </w:tc>
      </w:tr>
      <w:tr w:rsidR="00F56303" w:rsidRPr="000B26C1" w14:paraId="4ED7EA83"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E45E964"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Prendarios</w:t>
            </w:r>
          </w:p>
        </w:tc>
        <w:tc>
          <w:tcPr>
            <w:tcW w:w="1260" w:type="dxa"/>
            <w:tcBorders>
              <w:top w:val="nil"/>
              <w:left w:val="nil"/>
              <w:bottom w:val="single" w:sz="4" w:space="0" w:color="auto"/>
              <w:right w:val="single" w:sz="4" w:space="0" w:color="auto"/>
            </w:tcBorders>
            <w:shd w:val="clear" w:color="auto" w:fill="auto"/>
            <w:noWrap/>
            <w:vAlign w:val="center"/>
            <w:hideMark/>
          </w:tcPr>
          <w:p w14:paraId="2B174E70" w14:textId="1303A191"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525</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929</w:t>
            </w:r>
          </w:p>
        </w:tc>
        <w:tc>
          <w:tcPr>
            <w:tcW w:w="1260" w:type="dxa"/>
            <w:tcBorders>
              <w:top w:val="nil"/>
              <w:left w:val="nil"/>
              <w:bottom w:val="single" w:sz="4" w:space="0" w:color="auto"/>
              <w:right w:val="single" w:sz="4" w:space="0" w:color="auto"/>
            </w:tcBorders>
            <w:shd w:val="clear" w:color="auto" w:fill="auto"/>
            <w:noWrap/>
            <w:vAlign w:val="center"/>
            <w:hideMark/>
          </w:tcPr>
          <w:p w14:paraId="3828DF80" w14:textId="4D402D1B"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134</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022</w:t>
            </w:r>
          </w:p>
        </w:tc>
        <w:tc>
          <w:tcPr>
            <w:tcW w:w="1260" w:type="dxa"/>
            <w:tcBorders>
              <w:top w:val="nil"/>
              <w:left w:val="nil"/>
              <w:bottom w:val="single" w:sz="4" w:space="0" w:color="auto"/>
              <w:right w:val="single" w:sz="4" w:space="0" w:color="auto"/>
            </w:tcBorders>
            <w:shd w:val="clear" w:color="auto" w:fill="auto"/>
            <w:noWrap/>
            <w:vAlign w:val="center"/>
            <w:hideMark/>
          </w:tcPr>
          <w:p w14:paraId="13130FEA" w14:textId="10F3F4AC"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38</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794</w:t>
            </w:r>
          </w:p>
        </w:tc>
        <w:tc>
          <w:tcPr>
            <w:tcW w:w="1260" w:type="dxa"/>
            <w:tcBorders>
              <w:top w:val="nil"/>
              <w:left w:val="nil"/>
              <w:bottom w:val="single" w:sz="4" w:space="0" w:color="auto"/>
              <w:right w:val="single" w:sz="4" w:space="0" w:color="auto"/>
            </w:tcBorders>
            <w:shd w:val="clear" w:color="auto" w:fill="auto"/>
            <w:noWrap/>
            <w:vAlign w:val="center"/>
            <w:hideMark/>
          </w:tcPr>
          <w:p w14:paraId="5D563263" w14:textId="289EAC33"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698</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745</w:t>
            </w:r>
          </w:p>
        </w:tc>
      </w:tr>
      <w:tr w:rsidR="00F56303" w:rsidRPr="000B26C1" w14:paraId="46F80FCE"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C4C88AB"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Personales</w:t>
            </w:r>
          </w:p>
        </w:tc>
        <w:tc>
          <w:tcPr>
            <w:tcW w:w="1260" w:type="dxa"/>
            <w:tcBorders>
              <w:top w:val="nil"/>
              <w:left w:val="nil"/>
              <w:bottom w:val="single" w:sz="4" w:space="0" w:color="auto"/>
              <w:right w:val="single" w:sz="4" w:space="0" w:color="auto"/>
            </w:tcBorders>
            <w:shd w:val="clear" w:color="auto" w:fill="auto"/>
            <w:noWrap/>
            <w:vAlign w:val="center"/>
            <w:hideMark/>
          </w:tcPr>
          <w:p w14:paraId="2F23E33C" w14:textId="1D2AC3F2"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14</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088</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984</w:t>
            </w:r>
          </w:p>
        </w:tc>
        <w:tc>
          <w:tcPr>
            <w:tcW w:w="1260" w:type="dxa"/>
            <w:tcBorders>
              <w:top w:val="nil"/>
              <w:left w:val="nil"/>
              <w:bottom w:val="single" w:sz="4" w:space="0" w:color="auto"/>
              <w:right w:val="single" w:sz="4" w:space="0" w:color="auto"/>
            </w:tcBorders>
            <w:shd w:val="clear" w:color="auto" w:fill="auto"/>
            <w:noWrap/>
            <w:vAlign w:val="center"/>
            <w:hideMark/>
          </w:tcPr>
          <w:p w14:paraId="0ED149D8" w14:textId="4D0CF40F"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922</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521</w:t>
            </w:r>
          </w:p>
        </w:tc>
        <w:tc>
          <w:tcPr>
            <w:tcW w:w="1260" w:type="dxa"/>
            <w:tcBorders>
              <w:top w:val="nil"/>
              <w:left w:val="nil"/>
              <w:bottom w:val="single" w:sz="4" w:space="0" w:color="auto"/>
              <w:right w:val="single" w:sz="4" w:space="0" w:color="auto"/>
            </w:tcBorders>
            <w:shd w:val="clear" w:color="auto" w:fill="auto"/>
            <w:noWrap/>
            <w:vAlign w:val="center"/>
            <w:hideMark/>
          </w:tcPr>
          <w:p w14:paraId="0E0A9D2B" w14:textId="22AACAD3"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464</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642</w:t>
            </w:r>
          </w:p>
        </w:tc>
        <w:tc>
          <w:tcPr>
            <w:tcW w:w="1260" w:type="dxa"/>
            <w:tcBorders>
              <w:top w:val="nil"/>
              <w:left w:val="nil"/>
              <w:bottom w:val="single" w:sz="4" w:space="0" w:color="auto"/>
              <w:right w:val="single" w:sz="4" w:space="0" w:color="auto"/>
            </w:tcBorders>
            <w:shd w:val="clear" w:color="auto" w:fill="auto"/>
            <w:noWrap/>
            <w:vAlign w:val="center"/>
            <w:hideMark/>
          </w:tcPr>
          <w:p w14:paraId="483C28DA" w14:textId="56358C2A"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15</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476</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147</w:t>
            </w:r>
          </w:p>
        </w:tc>
      </w:tr>
      <w:tr w:rsidR="00F56303" w:rsidRPr="000B26C1" w14:paraId="605063D6"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5833F28"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Tarjetas de Crédito</w:t>
            </w:r>
          </w:p>
        </w:tc>
        <w:tc>
          <w:tcPr>
            <w:tcW w:w="1260" w:type="dxa"/>
            <w:tcBorders>
              <w:top w:val="nil"/>
              <w:left w:val="nil"/>
              <w:bottom w:val="single" w:sz="4" w:space="0" w:color="auto"/>
              <w:right w:val="single" w:sz="4" w:space="0" w:color="auto"/>
            </w:tcBorders>
            <w:shd w:val="clear" w:color="auto" w:fill="auto"/>
            <w:noWrap/>
            <w:vAlign w:val="center"/>
            <w:hideMark/>
          </w:tcPr>
          <w:p w14:paraId="071ABBE6" w14:textId="70F288D3"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27</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688</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307</w:t>
            </w:r>
          </w:p>
        </w:tc>
        <w:tc>
          <w:tcPr>
            <w:tcW w:w="1260" w:type="dxa"/>
            <w:tcBorders>
              <w:top w:val="nil"/>
              <w:left w:val="nil"/>
              <w:bottom w:val="single" w:sz="4" w:space="0" w:color="auto"/>
              <w:right w:val="single" w:sz="4" w:space="0" w:color="auto"/>
            </w:tcBorders>
            <w:shd w:val="clear" w:color="auto" w:fill="auto"/>
            <w:noWrap/>
            <w:vAlign w:val="center"/>
            <w:hideMark/>
          </w:tcPr>
          <w:p w14:paraId="27A71C48" w14:textId="4BC9ECD3"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605</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042</w:t>
            </w:r>
          </w:p>
        </w:tc>
        <w:tc>
          <w:tcPr>
            <w:tcW w:w="1260" w:type="dxa"/>
            <w:tcBorders>
              <w:top w:val="nil"/>
              <w:left w:val="nil"/>
              <w:bottom w:val="single" w:sz="4" w:space="0" w:color="auto"/>
              <w:right w:val="single" w:sz="4" w:space="0" w:color="auto"/>
            </w:tcBorders>
            <w:shd w:val="clear" w:color="auto" w:fill="auto"/>
            <w:noWrap/>
            <w:vAlign w:val="center"/>
            <w:hideMark/>
          </w:tcPr>
          <w:p w14:paraId="50F4B2B3" w14:textId="16E22183"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323</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379</w:t>
            </w:r>
          </w:p>
        </w:tc>
        <w:tc>
          <w:tcPr>
            <w:tcW w:w="1260" w:type="dxa"/>
            <w:tcBorders>
              <w:top w:val="nil"/>
              <w:left w:val="nil"/>
              <w:bottom w:val="single" w:sz="4" w:space="0" w:color="auto"/>
              <w:right w:val="single" w:sz="4" w:space="0" w:color="auto"/>
            </w:tcBorders>
            <w:shd w:val="clear" w:color="auto" w:fill="auto"/>
            <w:noWrap/>
            <w:vAlign w:val="center"/>
            <w:hideMark/>
          </w:tcPr>
          <w:p w14:paraId="56784DE0" w14:textId="76C71848"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28</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616</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728</w:t>
            </w:r>
          </w:p>
        </w:tc>
      </w:tr>
      <w:tr w:rsidR="00F56303" w:rsidRPr="000B26C1" w14:paraId="508B2ABC"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713044E"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Arrendamientos Financieros</w:t>
            </w:r>
          </w:p>
        </w:tc>
        <w:tc>
          <w:tcPr>
            <w:tcW w:w="1260" w:type="dxa"/>
            <w:tcBorders>
              <w:top w:val="nil"/>
              <w:left w:val="nil"/>
              <w:bottom w:val="single" w:sz="4" w:space="0" w:color="auto"/>
              <w:right w:val="single" w:sz="4" w:space="0" w:color="auto"/>
            </w:tcBorders>
            <w:shd w:val="clear" w:color="auto" w:fill="auto"/>
            <w:noWrap/>
            <w:vAlign w:val="center"/>
            <w:hideMark/>
          </w:tcPr>
          <w:p w14:paraId="7F98C59A" w14:textId="78CD173B"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2</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875</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519</w:t>
            </w:r>
          </w:p>
        </w:tc>
        <w:tc>
          <w:tcPr>
            <w:tcW w:w="1260" w:type="dxa"/>
            <w:tcBorders>
              <w:top w:val="nil"/>
              <w:left w:val="nil"/>
              <w:bottom w:val="single" w:sz="4" w:space="0" w:color="auto"/>
              <w:right w:val="single" w:sz="4" w:space="0" w:color="auto"/>
            </w:tcBorders>
            <w:shd w:val="clear" w:color="auto" w:fill="auto"/>
            <w:noWrap/>
            <w:vAlign w:val="center"/>
            <w:hideMark/>
          </w:tcPr>
          <w:p w14:paraId="22E197AA" w14:textId="1AD85636"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49</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698</w:t>
            </w:r>
          </w:p>
        </w:tc>
        <w:tc>
          <w:tcPr>
            <w:tcW w:w="1260" w:type="dxa"/>
            <w:tcBorders>
              <w:top w:val="nil"/>
              <w:left w:val="nil"/>
              <w:bottom w:val="single" w:sz="4" w:space="0" w:color="auto"/>
              <w:right w:val="single" w:sz="4" w:space="0" w:color="auto"/>
            </w:tcBorders>
            <w:shd w:val="clear" w:color="auto" w:fill="auto"/>
            <w:noWrap/>
            <w:vAlign w:val="center"/>
            <w:hideMark/>
          </w:tcPr>
          <w:p w14:paraId="43840BD5" w14:textId="7D6A2BC4"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279</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335</w:t>
            </w:r>
          </w:p>
        </w:tc>
        <w:tc>
          <w:tcPr>
            <w:tcW w:w="1260" w:type="dxa"/>
            <w:tcBorders>
              <w:top w:val="nil"/>
              <w:left w:val="nil"/>
              <w:bottom w:val="single" w:sz="4" w:space="0" w:color="auto"/>
              <w:right w:val="single" w:sz="4" w:space="0" w:color="auto"/>
            </w:tcBorders>
            <w:shd w:val="clear" w:color="auto" w:fill="auto"/>
            <w:noWrap/>
            <w:vAlign w:val="center"/>
            <w:hideMark/>
          </w:tcPr>
          <w:p w14:paraId="3BC6B143" w14:textId="4A233BC5"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204</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552</w:t>
            </w:r>
          </w:p>
        </w:tc>
      </w:tr>
      <w:tr w:rsidR="00F56303" w:rsidRPr="000B26C1" w14:paraId="7D4DA873"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5F34E82" w14:textId="77777777" w:rsidR="00F56303" w:rsidRPr="002E1AF6" w:rsidRDefault="00F56303" w:rsidP="00525609">
            <w:pPr>
              <w:rPr>
                <w:rFonts w:ascii="Arial" w:hAnsi="Arial" w:cs="Arial"/>
                <w:color w:val="000000"/>
                <w:sz w:val="18"/>
                <w:szCs w:val="18"/>
                <w:lang w:eastAsia="es-AR"/>
              </w:rPr>
            </w:pPr>
            <w:r w:rsidRPr="002E1AF6">
              <w:rPr>
                <w:rFonts w:ascii="Arial" w:hAnsi="Arial" w:cs="Arial"/>
                <w:color w:val="000000"/>
                <w:sz w:val="18"/>
                <w:szCs w:val="18"/>
                <w:lang w:eastAsia="es-AR"/>
              </w:rPr>
              <w:t>Otros</w:t>
            </w:r>
          </w:p>
        </w:tc>
        <w:tc>
          <w:tcPr>
            <w:tcW w:w="1260" w:type="dxa"/>
            <w:tcBorders>
              <w:top w:val="nil"/>
              <w:left w:val="nil"/>
              <w:bottom w:val="single" w:sz="4" w:space="0" w:color="auto"/>
              <w:right w:val="single" w:sz="4" w:space="0" w:color="auto"/>
            </w:tcBorders>
            <w:shd w:val="clear" w:color="auto" w:fill="auto"/>
            <w:noWrap/>
            <w:vAlign w:val="center"/>
            <w:hideMark/>
          </w:tcPr>
          <w:p w14:paraId="62178D64" w14:textId="599A1868"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27</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758</w:t>
            </w:r>
            <w:r w:rsidR="000B26C1">
              <w:rPr>
                <w:rFonts w:ascii="Arial" w:hAnsi="Arial" w:cs="Arial"/>
                <w:color w:val="000000"/>
                <w:sz w:val="18"/>
                <w:szCs w:val="18"/>
                <w:lang w:eastAsia="es-AR"/>
              </w:rPr>
              <w:t>.</w:t>
            </w:r>
            <w:r w:rsidRPr="002E1AF6">
              <w:rPr>
                <w:rFonts w:ascii="Arial" w:hAnsi="Arial" w:cs="Arial"/>
                <w:color w:val="000000"/>
                <w:sz w:val="18"/>
                <w:szCs w:val="18"/>
                <w:lang w:eastAsia="es-AR"/>
              </w:rPr>
              <w:t>055</w:t>
            </w:r>
          </w:p>
        </w:tc>
        <w:tc>
          <w:tcPr>
            <w:tcW w:w="1260" w:type="dxa"/>
            <w:tcBorders>
              <w:top w:val="nil"/>
              <w:left w:val="nil"/>
              <w:bottom w:val="single" w:sz="4" w:space="0" w:color="auto"/>
              <w:right w:val="single" w:sz="4" w:space="0" w:color="auto"/>
            </w:tcBorders>
            <w:shd w:val="clear" w:color="auto" w:fill="auto"/>
            <w:noWrap/>
            <w:vAlign w:val="center"/>
            <w:hideMark/>
          </w:tcPr>
          <w:p w14:paraId="3C983010" w14:textId="397974CC"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1</w:t>
            </w:r>
            <w:r w:rsidR="000B26C1" w:rsidRPr="002E1AF6">
              <w:rPr>
                <w:rFonts w:ascii="Arial" w:hAnsi="Arial" w:cs="Arial"/>
                <w:color w:val="000000"/>
                <w:sz w:val="18"/>
                <w:szCs w:val="18"/>
                <w:lang w:eastAsia="es-AR"/>
              </w:rPr>
              <w:t>.</w:t>
            </w:r>
            <w:r w:rsidRPr="002E1AF6">
              <w:rPr>
                <w:rFonts w:ascii="Arial" w:hAnsi="Arial" w:cs="Arial"/>
                <w:color w:val="000000"/>
                <w:sz w:val="18"/>
                <w:szCs w:val="18"/>
                <w:lang w:eastAsia="es-AR"/>
              </w:rPr>
              <w:t>641</w:t>
            </w:r>
            <w:r w:rsidR="000B26C1" w:rsidRPr="002E1AF6">
              <w:rPr>
                <w:rFonts w:ascii="Arial" w:hAnsi="Arial" w:cs="Arial"/>
                <w:color w:val="000000"/>
                <w:sz w:val="18"/>
                <w:szCs w:val="18"/>
                <w:lang w:eastAsia="es-AR"/>
              </w:rPr>
              <w:t>.</w:t>
            </w:r>
            <w:r w:rsidRPr="002E1AF6">
              <w:rPr>
                <w:rFonts w:ascii="Arial" w:hAnsi="Arial" w:cs="Arial"/>
                <w:color w:val="000000"/>
                <w:sz w:val="18"/>
                <w:szCs w:val="18"/>
                <w:lang w:eastAsia="es-AR"/>
              </w:rPr>
              <w:t>471</w:t>
            </w:r>
          </w:p>
        </w:tc>
        <w:tc>
          <w:tcPr>
            <w:tcW w:w="1260" w:type="dxa"/>
            <w:tcBorders>
              <w:top w:val="nil"/>
              <w:left w:val="nil"/>
              <w:bottom w:val="single" w:sz="4" w:space="0" w:color="auto"/>
              <w:right w:val="single" w:sz="4" w:space="0" w:color="auto"/>
            </w:tcBorders>
            <w:shd w:val="clear" w:color="auto" w:fill="auto"/>
            <w:noWrap/>
            <w:vAlign w:val="center"/>
            <w:hideMark/>
          </w:tcPr>
          <w:p w14:paraId="35789D85" w14:textId="2D6A444C"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2</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464</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035</w:t>
            </w:r>
          </w:p>
        </w:tc>
        <w:tc>
          <w:tcPr>
            <w:tcW w:w="1260" w:type="dxa"/>
            <w:tcBorders>
              <w:top w:val="nil"/>
              <w:left w:val="nil"/>
              <w:bottom w:val="single" w:sz="4" w:space="0" w:color="auto"/>
              <w:right w:val="single" w:sz="4" w:space="0" w:color="auto"/>
            </w:tcBorders>
            <w:shd w:val="clear" w:color="auto" w:fill="auto"/>
            <w:noWrap/>
            <w:vAlign w:val="center"/>
            <w:hideMark/>
          </w:tcPr>
          <w:p w14:paraId="6F3FCAA2" w14:textId="4BC299B9" w:rsidR="00F56303" w:rsidRPr="002E1AF6" w:rsidRDefault="00F56303" w:rsidP="00525609">
            <w:pPr>
              <w:jc w:val="right"/>
              <w:rPr>
                <w:rFonts w:ascii="Arial" w:hAnsi="Arial" w:cs="Arial"/>
                <w:color w:val="000000"/>
                <w:sz w:val="18"/>
                <w:szCs w:val="18"/>
                <w:lang w:eastAsia="es-AR"/>
              </w:rPr>
            </w:pPr>
            <w:r w:rsidRPr="002E1AF6">
              <w:rPr>
                <w:rFonts w:ascii="Arial" w:hAnsi="Arial" w:cs="Arial"/>
                <w:color w:val="000000"/>
                <w:sz w:val="18"/>
                <w:szCs w:val="18"/>
                <w:lang w:eastAsia="es-AR"/>
              </w:rPr>
              <w:t>31</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863</w:t>
            </w:r>
            <w:r w:rsidR="00525609" w:rsidRPr="002E1AF6">
              <w:rPr>
                <w:rFonts w:ascii="Arial" w:hAnsi="Arial" w:cs="Arial"/>
                <w:color w:val="000000"/>
                <w:sz w:val="18"/>
                <w:szCs w:val="18"/>
                <w:lang w:eastAsia="es-AR"/>
              </w:rPr>
              <w:t>.</w:t>
            </w:r>
            <w:r w:rsidRPr="002E1AF6">
              <w:rPr>
                <w:rFonts w:ascii="Arial" w:hAnsi="Arial" w:cs="Arial"/>
                <w:color w:val="000000"/>
                <w:sz w:val="18"/>
                <w:szCs w:val="18"/>
                <w:lang w:eastAsia="es-AR"/>
              </w:rPr>
              <w:t>561</w:t>
            </w:r>
          </w:p>
        </w:tc>
      </w:tr>
      <w:tr w:rsidR="00F56303" w:rsidRPr="000B26C1" w14:paraId="77DD7BF2" w14:textId="77777777" w:rsidTr="00525609">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74450DF" w14:textId="77777777" w:rsidR="00F56303" w:rsidRPr="002E1AF6" w:rsidRDefault="00F56303" w:rsidP="00525609">
            <w:pPr>
              <w:rPr>
                <w:rFonts w:ascii="Arial" w:hAnsi="Arial" w:cs="Arial"/>
                <w:b/>
                <w:bCs/>
                <w:color w:val="000000"/>
                <w:sz w:val="18"/>
                <w:szCs w:val="18"/>
                <w:lang w:eastAsia="es-AR"/>
              </w:rPr>
            </w:pPr>
            <w:r w:rsidRPr="002E1AF6">
              <w:rPr>
                <w:rFonts w:ascii="Arial" w:hAnsi="Arial" w:cs="Arial"/>
                <w:b/>
                <w:bCs/>
                <w:color w:val="000000"/>
                <w:sz w:val="18"/>
                <w:szCs w:val="18"/>
                <w:lang w:eastAsia="es-AR"/>
              </w:rPr>
              <w:t>Total</w:t>
            </w:r>
          </w:p>
        </w:tc>
        <w:tc>
          <w:tcPr>
            <w:tcW w:w="1260" w:type="dxa"/>
            <w:tcBorders>
              <w:top w:val="nil"/>
              <w:left w:val="nil"/>
              <w:bottom w:val="single" w:sz="4" w:space="0" w:color="auto"/>
              <w:right w:val="single" w:sz="4" w:space="0" w:color="auto"/>
            </w:tcBorders>
            <w:shd w:val="clear" w:color="auto" w:fill="auto"/>
            <w:noWrap/>
            <w:vAlign w:val="center"/>
            <w:hideMark/>
          </w:tcPr>
          <w:p w14:paraId="02DF2FB1" w14:textId="497021AB" w:rsidR="00F56303" w:rsidRPr="002E1AF6" w:rsidRDefault="00F56303" w:rsidP="00525609">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126</w:t>
            </w:r>
            <w:r w:rsidR="000B26C1"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198</w:t>
            </w:r>
            <w:r w:rsidR="000B26C1"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572</w:t>
            </w:r>
          </w:p>
        </w:tc>
        <w:tc>
          <w:tcPr>
            <w:tcW w:w="1260" w:type="dxa"/>
            <w:tcBorders>
              <w:top w:val="nil"/>
              <w:left w:val="nil"/>
              <w:bottom w:val="single" w:sz="4" w:space="0" w:color="auto"/>
              <w:right w:val="single" w:sz="4" w:space="0" w:color="auto"/>
            </w:tcBorders>
            <w:shd w:val="clear" w:color="auto" w:fill="auto"/>
            <w:noWrap/>
            <w:vAlign w:val="center"/>
            <w:hideMark/>
          </w:tcPr>
          <w:p w14:paraId="47354103" w14:textId="7C945B0C" w:rsidR="00F56303" w:rsidRPr="002E1AF6" w:rsidRDefault="00F56303" w:rsidP="00525609">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4</w:t>
            </w:r>
            <w:r w:rsidR="000B26C1"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112</w:t>
            </w:r>
            <w:r w:rsidR="000B26C1"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448</w:t>
            </w:r>
          </w:p>
        </w:tc>
        <w:tc>
          <w:tcPr>
            <w:tcW w:w="1260" w:type="dxa"/>
            <w:tcBorders>
              <w:top w:val="nil"/>
              <w:left w:val="nil"/>
              <w:bottom w:val="single" w:sz="4" w:space="0" w:color="auto"/>
              <w:right w:val="single" w:sz="4" w:space="0" w:color="auto"/>
            </w:tcBorders>
            <w:shd w:val="clear" w:color="auto" w:fill="auto"/>
            <w:noWrap/>
            <w:vAlign w:val="center"/>
            <w:hideMark/>
          </w:tcPr>
          <w:p w14:paraId="610BF445" w14:textId="2E56D045" w:rsidR="00F56303" w:rsidRPr="002E1AF6" w:rsidRDefault="00F56303" w:rsidP="00525609">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5</w:t>
            </w:r>
            <w:r w:rsidR="000B26C1"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956</w:t>
            </w:r>
            <w:r w:rsidR="000B26C1"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996</w:t>
            </w:r>
          </w:p>
        </w:tc>
        <w:tc>
          <w:tcPr>
            <w:tcW w:w="1260" w:type="dxa"/>
            <w:tcBorders>
              <w:top w:val="nil"/>
              <w:left w:val="nil"/>
              <w:bottom w:val="single" w:sz="4" w:space="0" w:color="auto"/>
              <w:right w:val="single" w:sz="4" w:space="0" w:color="auto"/>
            </w:tcBorders>
            <w:shd w:val="clear" w:color="auto" w:fill="auto"/>
            <w:noWrap/>
            <w:vAlign w:val="center"/>
            <w:hideMark/>
          </w:tcPr>
          <w:p w14:paraId="22A6E64A" w14:textId="7149F4AB" w:rsidR="00F56303" w:rsidRPr="002E1AF6" w:rsidRDefault="00F56303" w:rsidP="00525609">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136</w:t>
            </w:r>
            <w:r w:rsidR="00525609"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268</w:t>
            </w:r>
            <w:r w:rsidR="00525609" w:rsidRPr="002E1AF6">
              <w:rPr>
                <w:rFonts w:ascii="Arial" w:hAnsi="Arial" w:cs="Arial"/>
                <w:b/>
                <w:bCs/>
                <w:color w:val="000000"/>
                <w:sz w:val="18"/>
                <w:szCs w:val="18"/>
                <w:lang w:eastAsia="es-AR"/>
              </w:rPr>
              <w:t>.</w:t>
            </w:r>
            <w:r w:rsidRPr="002E1AF6">
              <w:rPr>
                <w:rFonts w:ascii="Arial" w:hAnsi="Arial" w:cs="Arial"/>
                <w:b/>
                <w:bCs/>
                <w:color w:val="000000"/>
                <w:sz w:val="18"/>
                <w:szCs w:val="18"/>
                <w:lang w:eastAsia="es-AR"/>
              </w:rPr>
              <w:t>016</w:t>
            </w:r>
          </w:p>
        </w:tc>
      </w:tr>
    </w:tbl>
    <w:p w14:paraId="006A0D7D" w14:textId="7F941659" w:rsidR="00F56303" w:rsidRDefault="00F56303" w:rsidP="00F55BAD">
      <w:pPr>
        <w:rPr>
          <w:b/>
          <w:sz w:val="20"/>
        </w:rPr>
      </w:pPr>
    </w:p>
    <w:p w14:paraId="1A3A5EBB" w14:textId="77777777" w:rsidR="000B26C1" w:rsidRPr="002E1AF6" w:rsidRDefault="000B26C1" w:rsidP="000B26C1">
      <w:pPr>
        <w:autoSpaceDE w:val="0"/>
        <w:autoSpaceDN w:val="0"/>
        <w:adjustRightInd w:val="0"/>
        <w:jc w:val="both"/>
        <w:rPr>
          <w:rFonts w:ascii="Arial" w:hAnsi="Arial" w:cs="Arial"/>
          <w:b/>
          <w:sz w:val="20"/>
        </w:rPr>
      </w:pPr>
      <w:r w:rsidRPr="002E1AF6">
        <w:rPr>
          <w:rFonts w:ascii="Arial" w:hAnsi="Arial" w:cs="Arial"/>
          <w:b/>
          <w:sz w:val="20"/>
        </w:rPr>
        <w:t>1.2.7 Garantías y otras mejoras de créditos</w:t>
      </w:r>
    </w:p>
    <w:p w14:paraId="4C50E9E6" w14:textId="77777777" w:rsidR="000B26C1" w:rsidRPr="002E1AF6" w:rsidRDefault="000B26C1" w:rsidP="000B26C1">
      <w:pPr>
        <w:autoSpaceDE w:val="0"/>
        <w:autoSpaceDN w:val="0"/>
        <w:adjustRightInd w:val="0"/>
        <w:jc w:val="both"/>
        <w:rPr>
          <w:rFonts w:ascii="Arial" w:hAnsi="Arial" w:cs="Arial"/>
          <w:sz w:val="20"/>
        </w:rPr>
      </w:pPr>
    </w:p>
    <w:p w14:paraId="5729FEB6" w14:textId="77777777" w:rsidR="000B26C1" w:rsidRPr="002E1AF6" w:rsidRDefault="000B26C1" w:rsidP="000B26C1">
      <w:pPr>
        <w:autoSpaceDE w:val="0"/>
        <w:autoSpaceDN w:val="0"/>
        <w:adjustRightInd w:val="0"/>
        <w:jc w:val="both"/>
        <w:rPr>
          <w:rFonts w:ascii="Arial" w:hAnsi="Arial" w:cs="Arial"/>
          <w:sz w:val="20"/>
        </w:rPr>
      </w:pPr>
      <w:r w:rsidRPr="002E1AF6">
        <w:rPr>
          <w:rFonts w:ascii="Arial" w:hAnsi="Arial" w:cs="Arial"/>
          <w:sz w:val="20"/>
        </w:rPr>
        <w:t>Una garantía es un instrumento por el cual el deudor de la Entidad o un tercero se comprometen, en caso de default de la obligación contraída, a ofrecerse como respaldo para su pago. La Entidad acepta una garantía como respaldo ante un posible incumplimiento por parte del deudor.</w:t>
      </w:r>
    </w:p>
    <w:p w14:paraId="011D6403" w14:textId="77777777" w:rsidR="000B26C1" w:rsidRPr="002E1AF6" w:rsidRDefault="000B26C1" w:rsidP="000B26C1">
      <w:pPr>
        <w:autoSpaceDE w:val="0"/>
        <w:autoSpaceDN w:val="0"/>
        <w:adjustRightInd w:val="0"/>
        <w:jc w:val="both"/>
        <w:rPr>
          <w:rFonts w:ascii="Arial" w:hAnsi="Arial" w:cs="Arial"/>
          <w:sz w:val="20"/>
        </w:rPr>
      </w:pPr>
    </w:p>
    <w:p w14:paraId="5F927D09" w14:textId="39FB40AF" w:rsidR="000B26C1" w:rsidRPr="002E1AF6" w:rsidRDefault="000B26C1" w:rsidP="000B26C1">
      <w:pPr>
        <w:autoSpaceDE w:val="0"/>
        <w:autoSpaceDN w:val="0"/>
        <w:adjustRightInd w:val="0"/>
        <w:jc w:val="both"/>
        <w:rPr>
          <w:rFonts w:ascii="Arial" w:hAnsi="Arial" w:cs="Arial"/>
          <w:sz w:val="20"/>
        </w:rPr>
      </w:pPr>
      <w:r w:rsidRPr="002E1AF6">
        <w:rPr>
          <w:rFonts w:ascii="Arial" w:hAnsi="Arial" w:cs="Arial"/>
          <w:sz w:val="20"/>
        </w:rPr>
        <w:t xml:space="preserve">El B.C.R.A. clasifica estas garantías en tres tipos: Preferidas “A” (consideradas autoliquidables), Preferidas “B” (que se constituyan por hipotecas y prendas) y restantes garantias </w:t>
      </w:r>
      <w:r w:rsidRPr="00FD67E8">
        <w:rPr>
          <w:rFonts w:ascii="Arial" w:hAnsi="Arial" w:cs="Arial"/>
          <w:sz w:val="20"/>
        </w:rPr>
        <w:t>(principalmente</w:t>
      </w:r>
      <w:r w:rsidRPr="002E1AF6">
        <w:rPr>
          <w:rFonts w:ascii="Arial" w:hAnsi="Arial" w:cs="Arial"/>
          <w:sz w:val="20"/>
        </w:rPr>
        <w:t xml:space="preserve"> avales y fianzas).</w:t>
      </w:r>
    </w:p>
    <w:p w14:paraId="11D3BA16" w14:textId="77777777" w:rsidR="000B26C1" w:rsidRPr="002E1AF6" w:rsidRDefault="000B26C1" w:rsidP="000B26C1">
      <w:pPr>
        <w:autoSpaceDE w:val="0"/>
        <w:autoSpaceDN w:val="0"/>
        <w:adjustRightInd w:val="0"/>
        <w:jc w:val="both"/>
        <w:rPr>
          <w:rFonts w:ascii="Arial" w:hAnsi="Arial" w:cs="Arial"/>
          <w:sz w:val="20"/>
        </w:rPr>
      </w:pPr>
      <w:r w:rsidRPr="002E1AF6">
        <w:rPr>
          <w:rFonts w:ascii="Arial" w:hAnsi="Arial" w:cs="Arial"/>
          <w:sz w:val="20"/>
        </w:rPr>
        <w:t xml:space="preserve"> </w:t>
      </w:r>
    </w:p>
    <w:p w14:paraId="02968795" w14:textId="739F6354" w:rsidR="000B26C1" w:rsidRPr="002E1AF6" w:rsidRDefault="000B26C1" w:rsidP="000B26C1">
      <w:pPr>
        <w:autoSpaceDE w:val="0"/>
        <w:autoSpaceDN w:val="0"/>
        <w:adjustRightInd w:val="0"/>
        <w:jc w:val="both"/>
        <w:rPr>
          <w:rFonts w:ascii="Arial" w:hAnsi="Arial" w:cs="Arial"/>
          <w:sz w:val="20"/>
        </w:rPr>
      </w:pPr>
      <w:r>
        <w:rPr>
          <w:rFonts w:ascii="Arial" w:hAnsi="Arial" w:cs="Arial"/>
          <w:sz w:val="20"/>
        </w:rPr>
        <w:t>El Banco</w:t>
      </w:r>
      <w:r w:rsidRPr="002E1AF6">
        <w:rPr>
          <w:rFonts w:ascii="Arial" w:hAnsi="Arial" w:cs="Arial"/>
          <w:sz w:val="20"/>
        </w:rPr>
        <w:t>, para la gestión de las garantías, cuenta con un área específica dedicada a la revisión del cumplimiento legal y correcta instrumentación de las garantías recibidas. En función al tipo de garantías, los garantes pueden ser personas físicas o jurídicas (en el caso de hipotecas, prendas, fianzas, avales y fondos líquidos) y Entidades Financieras de primer nivel internacional (para el caso de cartas de crédito stand by).</w:t>
      </w:r>
    </w:p>
    <w:p w14:paraId="63DC0B56" w14:textId="77777777" w:rsidR="000B26C1" w:rsidRPr="002E1AF6" w:rsidRDefault="000B26C1" w:rsidP="000B26C1">
      <w:pPr>
        <w:autoSpaceDE w:val="0"/>
        <w:autoSpaceDN w:val="0"/>
        <w:adjustRightInd w:val="0"/>
        <w:jc w:val="both"/>
        <w:rPr>
          <w:rFonts w:ascii="Arial" w:hAnsi="Arial" w:cs="Arial"/>
          <w:sz w:val="20"/>
        </w:rPr>
      </w:pPr>
      <w:r w:rsidRPr="002E1AF6">
        <w:rPr>
          <w:rFonts w:ascii="Arial" w:hAnsi="Arial" w:cs="Arial"/>
          <w:sz w:val="20"/>
        </w:rPr>
        <w:t xml:space="preserve"> </w:t>
      </w:r>
    </w:p>
    <w:p w14:paraId="0BABC288" w14:textId="3AFDB87C" w:rsidR="000B26C1" w:rsidRDefault="000B26C1" w:rsidP="000B26C1">
      <w:pPr>
        <w:autoSpaceDE w:val="0"/>
        <w:autoSpaceDN w:val="0"/>
        <w:adjustRightInd w:val="0"/>
        <w:jc w:val="both"/>
        <w:rPr>
          <w:rFonts w:ascii="Arial" w:hAnsi="Arial" w:cs="Arial"/>
          <w:sz w:val="20"/>
        </w:rPr>
      </w:pPr>
      <w:r w:rsidRPr="002E1AF6">
        <w:rPr>
          <w:rFonts w:ascii="Arial" w:hAnsi="Arial" w:cs="Arial"/>
          <w:sz w:val="20"/>
        </w:rPr>
        <w:t xml:space="preserve">El </w:t>
      </w:r>
      <w:r w:rsidR="00A3402F">
        <w:rPr>
          <w:rFonts w:ascii="Arial" w:hAnsi="Arial" w:cs="Arial"/>
          <w:sz w:val="20"/>
        </w:rPr>
        <w:t>Banco</w:t>
      </w:r>
      <w:r w:rsidRPr="002E1AF6">
        <w:rPr>
          <w:rFonts w:ascii="Arial" w:hAnsi="Arial" w:cs="Arial"/>
          <w:sz w:val="20"/>
        </w:rPr>
        <w:t xml:space="preserve"> monitorea las garantías relacionadas con activos financieros considerados créditos deteriorados dado que resulta probable que deba ejecutarse dicha garantía para mitigar las pérdidas crediticias potenciales. </w:t>
      </w:r>
    </w:p>
    <w:p w14:paraId="103E85AB" w14:textId="499A9B3B" w:rsidR="000B26C1" w:rsidRDefault="000B26C1" w:rsidP="000B26C1">
      <w:pPr>
        <w:autoSpaceDE w:val="0"/>
        <w:autoSpaceDN w:val="0"/>
        <w:adjustRightInd w:val="0"/>
        <w:jc w:val="both"/>
        <w:rPr>
          <w:rFonts w:ascii="Arial" w:hAnsi="Arial" w:cs="Arial"/>
          <w:sz w:val="20"/>
        </w:rPr>
      </w:pPr>
    </w:p>
    <w:p w14:paraId="414E71CA" w14:textId="77777777" w:rsidR="000B26C1" w:rsidRPr="002E1AF6" w:rsidRDefault="000B26C1" w:rsidP="000B26C1">
      <w:pPr>
        <w:autoSpaceDE w:val="0"/>
        <w:autoSpaceDN w:val="0"/>
        <w:adjustRightInd w:val="0"/>
        <w:jc w:val="both"/>
        <w:rPr>
          <w:rFonts w:ascii="Arial" w:hAnsi="Arial" w:cs="Arial"/>
          <w:b/>
          <w:sz w:val="20"/>
        </w:rPr>
      </w:pPr>
      <w:r w:rsidRPr="002E1AF6">
        <w:rPr>
          <w:rFonts w:ascii="Arial" w:hAnsi="Arial" w:cs="Arial"/>
          <w:b/>
          <w:sz w:val="20"/>
        </w:rPr>
        <w:t>1.2.8 Previsión por riesgo de crédito</w:t>
      </w:r>
    </w:p>
    <w:p w14:paraId="79703A88" w14:textId="77777777" w:rsidR="000B26C1" w:rsidRPr="002E1AF6" w:rsidRDefault="000B26C1" w:rsidP="000B26C1">
      <w:pPr>
        <w:autoSpaceDE w:val="0"/>
        <w:autoSpaceDN w:val="0"/>
        <w:adjustRightInd w:val="0"/>
        <w:jc w:val="both"/>
        <w:rPr>
          <w:rFonts w:ascii="Arial" w:hAnsi="Arial" w:cs="Arial"/>
          <w:b/>
          <w:sz w:val="20"/>
        </w:rPr>
      </w:pPr>
    </w:p>
    <w:p w14:paraId="452D943D" w14:textId="76FCB878" w:rsidR="000B26C1" w:rsidRDefault="000B26C1" w:rsidP="000B26C1">
      <w:pPr>
        <w:autoSpaceDE w:val="0"/>
        <w:autoSpaceDN w:val="0"/>
        <w:adjustRightInd w:val="0"/>
        <w:jc w:val="both"/>
        <w:rPr>
          <w:rFonts w:ascii="Arial" w:hAnsi="Arial" w:cs="Arial"/>
          <w:sz w:val="20"/>
        </w:rPr>
      </w:pPr>
      <w:r w:rsidRPr="002E1AF6">
        <w:rPr>
          <w:rFonts w:ascii="Arial" w:hAnsi="Arial" w:cs="Arial"/>
          <w:sz w:val="20"/>
        </w:rPr>
        <w:t xml:space="preserve">La previsión por riesgo de crédito reconocida en el período se ve afectada por una variedad de factores, como se describe a continuación: </w:t>
      </w:r>
    </w:p>
    <w:p w14:paraId="583DBFB7" w14:textId="77777777" w:rsidR="000B26C1" w:rsidRPr="002E1AF6" w:rsidRDefault="000B26C1" w:rsidP="000B26C1">
      <w:pPr>
        <w:autoSpaceDE w:val="0"/>
        <w:autoSpaceDN w:val="0"/>
        <w:adjustRightInd w:val="0"/>
        <w:jc w:val="both"/>
        <w:rPr>
          <w:rFonts w:ascii="Arial" w:hAnsi="Arial" w:cs="Arial"/>
          <w:sz w:val="20"/>
        </w:rPr>
      </w:pPr>
    </w:p>
    <w:p w14:paraId="009CB51E" w14:textId="5B2CAD13" w:rsidR="000B26C1" w:rsidRDefault="000B26C1" w:rsidP="000B26C1">
      <w:pPr>
        <w:autoSpaceDE w:val="0"/>
        <w:autoSpaceDN w:val="0"/>
        <w:adjustRightInd w:val="0"/>
        <w:jc w:val="both"/>
        <w:rPr>
          <w:rFonts w:ascii="Arial" w:hAnsi="Arial" w:cs="Arial"/>
          <w:sz w:val="20"/>
        </w:rPr>
      </w:pPr>
      <w:r>
        <w:rPr>
          <w:rFonts w:ascii="Arial" w:hAnsi="Arial" w:cs="Arial"/>
          <w:sz w:val="20"/>
        </w:rPr>
        <w:t xml:space="preserve">          </w:t>
      </w:r>
      <w:r w:rsidRPr="002E1AF6">
        <w:rPr>
          <w:rFonts w:ascii="Arial" w:hAnsi="Arial" w:cs="Arial"/>
          <w:sz w:val="20"/>
        </w:rPr>
        <w:t xml:space="preserve">• Transferencias entre la Etapa 1 y las Etapas 2 o 3 debido a que los instrumentos financieros experimentan aumentos (o disminuciones) significativos del riesgo de crédito o se deterioran en el período, y el consiguiente "aumento" (o "disminución") entre las PCE a 12 meses y Lifetime; </w:t>
      </w:r>
    </w:p>
    <w:p w14:paraId="533D7938" w14:textId="77777777" w:rsidR="000B26C1" w:rsidRPr="002E1AF6" w:rsidRDefault="000B26C1" w:rsidP="000B26C1">
      <w:pPr>
        <w:autoSpaceDE w:val="0"/>
        <w:autoSpaceDN w:val="0"/>
        <w:adjustRightInd w:val="0"/>
        <w:jc w:val="both"/>
        <w:rPr>
          <w:rFonts w:ascii="Arial" w:hAnsi="Arial" w:cs="Arial"/>
          <w:sz w:val="20"/>
        </w:rPr>
      </w:pPr>
    </w:p>
    <w:p w14:paraId="16DCE1EB" w14:textId="6014B5B6" w:rsidR="000B26C1" w:rsidRDefault="000B26C1" w:rsidP="000B26C1">
      <w:pPr>
        <w:autoSpaceDE w:val="0"/>
        <w:autoSpaceDN w:val="0"/>
        <w:adjustRightInd w:val="0"/>
        <w:jc w:val="both"/>
        <w:rPr>
          <w:rFonts w:ascii="Arial" w:hAnsi="Arial" w:cs="Arial"/>
          <w:sz w:val="20"/>
        </w:rPr>
      </w:pPr>
      <w:r>
        <w:rPr>
          <w:rFonts w:ascii="Arial" w:hAnsi="Arial" w:cs="Arial"/>
          <w:sz w:val="20"/>
        </w:rPr>
        <w:t xml:space="preserve">          </w:t>
      </w:r>
      <w:r w:rsidRPr="002E1AF6">
        <w:rPr>
          <w:rFonts w:ascii="Arial" w:hAnsi="Arial" w:cs="Arial"/>
          <w:sz w:val="20"/>
        </w:rPr>
        <w:t xml:space="preserve">• Asignaciones adicionales para nuevos instrumentos financieros reconocidos durante el período, así como desafectaciones para instrumentos financieros dados de baja en el período; </w:t>
      </w:r>
    </w:p>
    <w:p w14:paraId="1D70258F" w14:textId="77777777" w:rsidR="000B26C1" w:rsidRPr="002E1AF6" w:rsidRDefault="000B26C1" w:rsidP="000B26C1">
      <w:pPr>
        <w:autoSpaceDE w:val="0"/>
        <w:autoSpaceDN w:val="0"/>
        <w:adjustRightInd w:val="0"/>
        <w:jc w:val="both"/>
        <w:rPr>
          <w:rFonts w:ascii="Arial" w:hAnsi="Arial" w:cs="Arial"/>
          <w:sz w:val="20"/>
        </w:rPr>
      </w:pPr>
    </w:p>
    <w:p w14:paraId="32D3B9AF" w14:textId="527A79A0" w:rsidR="000B26C1" w:rsidRDefault="000B26C1" w:rsidP="000B26C1">
      <w:pPr>
        <w:autoSpaceDE w:val="0"/>
        <w:autoSpaceDN w:val="0"/>
        <w:adjustRightInd w:val="0"/>
        <w:jc w:val="both"/>
        <w:rPr>
          <w:rFonts w:ascii="Arial" w:hAnsi="Arial" w:cs="Arial"/>
          <w:sz w:val="20"/>
        </w:rPr>
      </w:pPr>
      <w:r>
        <w:rPr>
          <w:rFonts w:ascii="Arial" w:hAnsi="Arial" w:cs="Arial"/>
          <w:sz w:val="20"/>
        </w:rPr>
        <w:t xml:space="preserve">          </w:t>
      </w:r>
      <w:r w:rsidRPr="002E1AF6">
        <w:rPr>
          <w:rFonts w:ascii="Arial" w:hAnsi="Arial" w:cs="Arial"/>
          <w:sz w:val="20"/>
        </w:rPr>
        <w:t xml:space="preserve">• Impacto en la medición de PCE de los cambios en PD, EAD y LGD en el período, derivados de la actualización periódica de los inputs a los modelos; </w:t>
      </w:r>
    </w:p>
    <w:p w14:paraId="0D9B90AF" w14:textId="77777777" w:rsidR="000B26C1" w:rsidRPr="002E1AF6" w:rsidRDefault="000B26C1" w:rsidP="000B26C1">
      <w:pPr>
        <w:autoSpaceDE w:val="0"/>
        <w:autoSpaceDN w:val="0"/>
        <w:adjustRightInd w:val="0"/>
        <w:jc w:val="both"/>
        <w:rPr>
          <w:rFonts w:ascii="Arial" w:hAnsi="Arial" w:cs="Arial"/>
          <w:sz w:val="20"/>
        </w:rPr>
      </w:pPr>
    </w:p>
    <w:p w14:paraId="7F872E39" w14:textId="12F524FD" w:rsidR="000B26C1" w:rsidRDefault="000B26C1" w:rsidP="000B26C1">
      <w:pPr>
        <w:autoSpaceDE w:val="0"/>
        <w:autoSpaceDN w:val="0"/>
        <w:adjustRightInd w:val="0"/>
        <w:jc w:val="both"/>
        <w:rPr>
          <w:rFonts w:ascii="Arial" w:hAnsi="Arial" w:cs="Arial"/>
          <w:sz w:val="20"/>
        </w:rPr>
      </w:pPr>
      <w:r>
        <w:rPr>
          <w:rFonts w:ascii="Arial" w:hAnsi="Arial" w:cs="Arial"/>
          <w:sz w:val="20"/>
        </w:rPr>
        <w:t xml:space="preserve">          </w:t>
      </w:r>
      <w:r w:rsidRPr="002E1AF6">
        <w:rPr>
          <w:rFonts w:ascii="Arial" w:hAnsi="Arial" w:cs="Arial"/>
          <w:sz w:val="20"/>
        </w:rPr>
        <w:t xml:space="preserve">• Impactos en la medición de PCE debido a cambios realizados en modelos y supuestos; </w:t>
      </w:r>
    </w:p>
    <w:p w14:paraId="3761F292" w14:textId="77777777" w:rsidR="000B26C1" w:rsidRPr="002E1AF6" w:rsidRDefault="000B26C1" w:rsidP="000B26C1">
      <w:pPr>
        <w:autoSpaceDE w:val="0"/>
        <w:autoSpaceDN w:val="0"/>
        <w:adjustRightInd w:val="0"/>
        <w:jc w:val="both"/>
        <w:rPr>
          <w:rFonts w:ascii="Arial" w:hAnsi="Arial" w:cs="Arial"/>
          <w:sz w:val="20"/>
        </w:rPr>
      </w:pPr>
    </w:p>
    <w:p w14:paraId="00053962" w14:textId="6198C3F7" w:rsidR="000B26C1" w:rsidRPr="002E1AF6" w:rsidRDefault="000B26C1" w:rsidP="000B26C1">
      <w:pPr>
        <w:autoSpaceDE w:val="0"/>
        <w:autoSpaceDN w:val="0"/>
        <w:adjustRightInd w:val="0"/>
        <w:jc w:val="both"/>
        <w:rPr>
          <w:rFonts w:ascii="Arial" w:hAnsi="Arial" w:cs="Arial"/>
          <w:sz w:val="20"/>
        </w:rPr>
      </w:pPr>
      <w:r>
        <w:rPr>
          <w:rFonts w:ascii="Arial" w:hAnsi="Arial" w:cs="Arial"/>
          <w:sz w:val="20"/>
        </w:rPr>
        <w:t xml:space="preserve">          </w:t>
      </w:r>
      <w:r w:rsidRPr="002E1AF6">
        <w:rPr>
          <w:rFonts w:ascii="Arial" w:hAnsi="Arial" w:cs="Arial"/>
          <w:sz w:val="20"/>
        </w:rPr>
        <w:t xml:space="preserve">• Impactos debidos al paso del tiempo como consecuencia de la actualización del valor presente; </w:t>
      </w:r>
    </w:p>
    <w:p w14:paraId="6377196D" w14:textId="3CA2D490" w:rsidR="000B26C1" w:rsidRDefault="000B26C1" w:rsidP="000B26C1">
      <w:pPr>
        <w:autoSpaceDE w:val="0"/>
        <w:autoSpaceDN w:val="0"/>
        <w:adjustRightInd w:val="0"/>
        <w:jc w:val="both"/>
        <w:rPr>
          <w:rFonts w:ascii="Arial" w:hAnsi="Arial" w:cs="Arial"/>
          <w:sz w:val="20"/>
        </w:rPr>
      </w:pPr>
      <w:r>
        <w:rPr>
          <w:rFonts w:ascii="Arial" w:hAnsi="Arial" w:cs="Arial"/>
          <w:sz w:val="20"/>
        </w:rPr>
        <w:t xml:space="preserve">          </w:t>
      </w:r>
      <w:r w:rsidRPr="002E1AF6">
        <w:rPr>
          <w:rFonts w:ascii="Arial" w:hAnsi="Arial" w:cs="Arial"/>
          <w:sz w:val="20"/>
        </w:rPr>
        <w:t xml:space="preserve">• Conversiones a moneda local para activos denominados en monedas extranjeras y otros movimientos; y </w:t>
      </w:r>
    </w:p>
    <w:p w14:paraId="73DD0CBE" w14:textId="77777777" w:rsidR="000B26C1" w:rsidRPr="002E1AF6" w:rsidRDefault="000B26C1" w:rsidP="000B26C1">
      <w:pPr>
        <w:autoSpaceDE w:val="0"/>
        <w:autoSpaceDN w:val="0"/>
        <w:adjustRightInd w:val="0"/>
        <w:jc w:val="both"/>
        <w:rPr>
          <w:rFonts w:ascii="Arial" w:hAnsi="Arial" w:cs="Arial"/>
          <w:sz w:val="20"/>
        </w:rPr>
      </w:pPr>
    </w:p>
    <w:p w14:paraId="4B42036B" w14:textId="662B3EF7" w:rsidR="000B26C1" w:rsidRPr="00FD67E8" w:rsidRDefault="000B26C1" w:rsidP="000B26C1">
      <w:pPr>
        <w:autoSpaceDE w:val="0"/>
        <w:autoSpaceDN w:val="0"/>
        <w:adjustRightInd w:val="0"/>
        <w:jc w:val="both"/>
        <w:rPr>
          <w:rFonts w:ascii="Arial" w:hAnsi="Arial" w:cs="Arial"/>
          <w:sz w:val="20"/>
        </w:rPr>
      </w:pPr>
      <w:r>
        <w:rPr>
          <w:rFonts w:ascii="Arial" w:hAnsi="Arial" w:cs="Arial"/>
          <w:sz w:val="20"/>
        </w:rPr>
        <w:t xml:space="preserve">          </w:t>
      </w:r>
      <w:r w:rsidRPr="002E1AF6">
        <w:rPr>
          <w:rFonts w:ascii="Arial" w:hAnsi="Arial" w:cs="Arial"/>
          <w:sz w:val="20"/>
        </w:rPr>
        <w:t>• Activos financieros dados de baja durante el período y aplicación de previsiones relacionadas con activos dados de baja del balance durante el período. Los siguientes cuadros explican los cambios en la previsión por riesgo de crédito entre el inicio y el cierre del período debido a los factores indicados a continuación:</w:t>
      </w:r>
    </w:p>
    <w:p w14:paraId="50A1D13E" w14:textId="6AE5157B" w:rsidR="000B26C1" w:rsidRDefault="000B26C1" w:rsidP="000B26C1">
      <w:pPr>
        <w:autoSpaceDE w:val="0"/>
        <w:autoSpaceDN w:val="0"/>
        <w:adjustRightInd w:val="0"/>
        <w:jc w:val="both"/>
        <w:rPr>
          <w:rFonts w:ascii="Arial" w:hAnsi="Arial" w:cs="Arial"/>
          <w:sz w:val="20"/>
        </w:rPr>
      </w:pPr>
    </w:p>
    <w:p w14:paraId="71760757" w14:textId="77777777" w:rsidR="000B26C1" w:rsidRPr="002E1AF6" w:rsidRDefault="000B26C1" w:rsidP="000B26C1">
      <w:pPr>
        <w:autoSpaceDE w:val="0"/>
        <w:autoSpaceDN w:val="0"/>
        <w:adjustRightInd w:val="0"/>
        <w:jc w:val="both"/>
        <w:rPr>
          <w:rFonts w:ascii="Arial" w:hAnsi="Arial" w:cs="Arial"/>
          <w:sz w:val="20"/>
        </w:rPr>
      </w:pPr>
    </w:p>
    <w:tbl>
      <w:tblPr>
        <w:tblW w:w="8495" w:type="dxa"/>
        <w:tblCellMar>
          <w:left w:w="70" w:type="dxa"/>
          <w:right w:w="70" w:type="dxa"/>
        </w:tblCellMar>
        <w:tblLook w:val="04A0" w:firstRow="1" w:lastRow="0" w:firstColumn="1" w:lastColumn="0" w:noHBand="0" w:noVBand="1"/>
      </w:tblPr>
      <w:tblGrid>
        <w:gridCol w:w="2591"/>
        <w:gridCol w:w="1508"/>
        <w:gridCol w:w="1380"/>
        <w:gridCol w:w="1508"/>
        <w:gridCol w:w="1508"/>
      </w:tblGrid>
      <w:tr w:rsidR="000B26C1" w:rsidRPr="000B26C1" w14:paraId="7568370A" w14:textId="77777777" w:rsidTr="0079492B">
        <w:trPr>
          <w:trHeight w:val="238"/>
        </w:trPr>
        <w:tc>
          <w:tcPr>
            <w:tcW w:w="25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55338" w14:textId="77777777" w:rsidR="000B26C1" w:rsidRPr="00364924" w:rsidRDefault="000B26C1" w:rsidP="00FD67E8">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 </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14:paraId="60A64650" w14:textId="77777777" w:rsidR="000B26C1" w:rsidRPr="00364924" w:rsidRDefault="000B26C1" w:rsidP="00FD67E8">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Etapa 1</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5E44307" w14:textId="77777777" w:rsidR="000B26C1" w:rsidRPr="00364924" w:rsidRDefault="000B26C1">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Etapa 2</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14:paraId="00EC46D4" w14:textId="77777777" w:rsidR="000B26C1" w:rsidRPr="00364924" w:rsidRDefault="000B26C1">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Etapa 3</w:t>
            </w:r>
          </w:p>
        </w:tc>
        <w:tc>
          <w:tcPr>
            <w:tcW w:w="15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5D9FB" w14:textId="77777777" w:rsidR="000B26C1" w:rsidRPr="00364924" w:rsidRDefault="000B26C1">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Total</w:t>
            </w:r>
          </w:p>
        </w:tc>
      </w:tr>
      <w:tr w:rsidR="000B26C1" w:rsidRPr="000B26C1" w14:paraId="101026D9" w14:textId="77777777" w:rsidTr="0079492B">
        <w:trPr>
          <w:trHeight w:val="406"/>
        </w:trPr>
        <w:tc>
          <w:tcPr>
            <w:tcW w:w="25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14838F" w14:textId="77777777" w:rsidR="000B26C1" w:rsidRPr="00364924" w:rsidRDefault="000B26C1">
            <w:pPr>
              <w:rPr>
                <w:rFonts w:ascii="Arial" w:hAnsi="Arial" w:cs="Arial"/>
                <w:b/>
                <w:bCs/>
                <w:color w:val="000000"/>
                <w:sz w:val="16"/>
                <w:szCs w:val="16"/>
                <w:lang w:eastAsia="es-AR"/>
              </w:rPr>
            </w:pPr>
          </w:p>
        </w:tc>
        <w:tc>
          <w:tcPr>
            <w:tcW w:w="1508" w:type="dxa"/>
            <w:tcBorders>
              <w:top w:val="nil"/>
              <w:left w:val="nil"/>
              <w:bottom w:val="single" w:sz="4" w:space="0" w:color="auto"/>
              <w:right w:val="single" w:sz="4" w:space="0" w:color="auto"/>
            </w:tcBorders>
            <w:shd w:val="clear" w:color="auto" w:fill="auto"/>
            <w:vAlign w:val="center"/>
            <w:hideMark/>
          </w:tcPr>
          <w:p w14:paraId="4007E861" w14:textId="77777777" w:rsidR="000B26C1" w:rsidRPr="00364924" w:rsidRDefault="000B26C1">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PCE a 12 meses</w:t>
            </w:r>
          </w:p>
        </w:tc>
        <w:tc>
          <w:tcPr>
            <w:tcW w:w="1380" w:type="dxa"/>
            <w:tcBorders>
              <w:top w:val="nil"/>
              <w:left w:val="nil"/>
              <w:bottom w:val="single" w:sz="4" w:space="0" w:color="auto"/>
              <w:right w:val="single" w:sz="4" w:space="0" w:color="auto"/>
            </w:tcBorders>
            <w:shd w:val="clear" w:color="auto" w:fill="auto"/>
            <w:vAlign w:val="center"/>
            <w:hideMark/>
          </w:tcPr>
          <w:p w14:paraId="0A6AAC81" w14:textId="77777777" w:rsidR="000B26C1" w:rsidRPr="00364924" w:rsidRDefault="000B26C1">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PCE Lifetime</w:t>
            </w:r>
          </w:p>
        </w:tc>
        <w:tc>
          <w:tcPr>
            <w:tcW w:w="1508" w:type="dxa"/>
            <w:tcBorders>
              <w:top w:val="nil"/>
              <w:left w:val="nil"/>
              <w:bottom w:val="single" w:sz="4" w:space="0" w:color="auto"/>
              <w:right w:val="single" w:sz="4" w:space="0" w:color="auto"/>
            </w:tcBorders>
            <w:shd w:val="clear" w:color="auto" w:fill="auto"/>
            <w:vAlign w:val="center"/>
            <w:hideMark/>
          </w:tcPr>
          <w:p w14:paraId="39688D7B" w14:textId="77777777" w:rsidR="000B26C1" w:rsidRPr="00364924" w:rsidRDefault="000B26C1">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PCE Lifetime</w:t>
            </w:r>
          </w:p>
        </w:tc>
        <w:tc>
          <w:tcPr>
            <w:tcW w:w="1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087F7F" w14:textId="77777777" w:rsidR="000B26C1" w:rsidRPr="00364924" w:rsidRDefault="000B26C1">
            <w:pPr>
              <w:rPr>
                <w:rFonts w:ascii="Arial" w:hAnsi="Arial" w:cs="Arial"/>
                <w:b/>
                <w:bCs/>
                <w:color w:val="000000"/>
                <w:sz w:val="16"/>
                <w:szCs w:val="16"/>
                <w:lang w:eastAsia="es-AR"/>
              </w:rPr>
            </w:pPr>
          </w:p>
        </w:tc>
      </w:tr>
      <w:tr w:rsidR="0079492B" w:rsidRPr="000B26C1" w14:paraId="285A2D75"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56AF021C" w14:textId="77777777" w:rsidR="0079492B" w:rsidRPr="00364924" w:rsidRDefault="0079492B" w:rsidP="0079492B">
            <w:pPr>
              <w:rPr>
                <w:rFonts w:ascii="Arial" w:hAnsi="Arial" w:cs="Arial"/>
                <w:b/>
                <w:bCs/>
                <w:color w:val="000000"/>
                <w:sz w:val="16"/>
                <w:szCs w:val="16"/>
                <w:lang w:eastAsia="es-AR"/>
              </w:rPr>
            </w:pPr>
            <w:r w:rsidRPr="00364924">
              <w:rPr>
                <w:rFonts w:ascii="Arial" w:hAnsi="Arial" w:cs="Arial"/>
                <w:b/>
                <w:bCs/>
                <w:color w:val="000000"/>
                <w:sz w:val="16"/>
                <w:szCs w:val="16"/>
                <w:lang w:eastAsia="es-AR"/>
              </w:rPr>
              <w:t>Previsión por riesgo de crédito al 31.12.2019</w:t>
            </w:r>
          </w:p>
        </w:tc>
        <w:tc>
          <w:tcPr>
            <w:tcW w:w="1508" w:type="dxa"/>
            <w:tcBorders>
              <w:top w:val="nil"/>
              <w:left w:val="nil"/>
              <w:bottom w:val="single" w:sz="4" w:space="0" w:color="auto"/>
              <w:right w:val="single" w:sz="4" w:space="0" w:color="auto"/>
            </w:tcBorders>
            <w:shd w:val="clear" w:color="auto" w:fill="auto"/>
            <w:noWrap/>
            <w:vAlign w:val="bottom"/>
            <w:hideMark/>
          </w:tcPr>
          <w:p w14:paraId="12F0DD9E" w14:textId="6ADC01C3"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2.067.267</w:t>
            </w:r>
          </w:p>
        </w:tc>
        <w:tc>
          <w:tcPr>
            <w:tcW w:w="1380" w:type="dxa"/>
            <w:tcBorders>
              <w:top w:val="nil"/>
              <w:left w:val="nil"/>
              <w:bottom w:val="single" w:sz="4" w:space="0" w:color="auto"/>
              <w:right w:val="single" w:sz="4" w:space="0" w:color="auto"/>
            </w:tcBorders>
            <w:shd w:val="clear" w:color="auto" w:fill="auto"/>
            <w:noWrap/>
            <w:vAlign w:val="bottom"/>
            <w:hideMark/>
          </w:tcPr>
          <w:p w14:paraId="3D72AA06" w14:textId="153C8ACF"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596.033</w:t>
            </w:r>
          </w:p>
        </w:tc>
        <w:tc>
          <w:tcPr>
            <w:tcW w:w="1508" w:type="dxa"/>
            <w:tcBorders>
              <w:top w:val="nil"/>
              <w:left w:val="nil"/>
              <w:bottom w:val="single" w:sz="4" w:space="0" w:color="auto"/>
              <w:right w:val="single" w:sz="4" w:space="0" w:color="auto"/>
            </w:tcBorders>
            <w:shd w:val="clear" w:color="auto" w:fill="auto"/>
            <w:noWrap/>
            <w:vAlign w:val="bottom"/>
            <w:hideMark/>
          </w:tcPr>
          <w:p w14:paraId="72F187C9" w14:textId="4EA5E012"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3.669.407</w:t>
            </w:r>
          </w:p>
        </w:tc>
        <w:tc>
          <w:tcPr>
            <w:tcW w:w="1508" w:type="dxa"/>
            <w:tcBorders>
              <w:top w:val="nil"/>
              <w:left w:val="nil"/>
              <w:bottom w:val="single" w:sz="4" w:space="0" w:color="auto"/>
              <w:right w:val="single" w:sz="4" w:space="0" w:color="auto"/>
            </w:tcBorders>
            <w:shd w:val="clear" w:color="auto" w:fill="auto"/>
            <w:noWrap/>
            <w:vAlign w:val="bottom"/>
            <w:hideMark/>
          </w:tcPr>
          <w:p w14:paraId="36F32188" w14:textId="4C91E735"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6.332.707</w:t>
            </w:r>
          </w:p>
        </w:tc>
      </w:tr>
      <w:tr w:rsidR="000B26C1" w:rsidRPr="000B26C1" w14:paraId="1B64A029"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68EAD2F" w14:textId="77777777" w:rsidR="000B26C1" w:rsidRPr="00364924" w:rsidRDefault="000B26C1" w:rsidP="00FD67E8">
            <w:pPr>
              <w:rPr>
                <w:rFonts w:ascii="Arial" w:hAnsi="Arial" w:cs="Arial"/>
                <w:color w:val="000000"/>
                <w:sz w:val="16"/>
                <w:szCs w:val="16"/>
                <w:lang w:eastAsia="es-AR"/>
              </w:rPr>
            </w:pPr>
            <w:r w:rsidRPr="00364924">
              <w:rPr>
                <w:rFonts w:ascii="Arial" w:hAnsi="Arial" w:cs="Arial"/>
                <w:color w:val="000000"/>
                <w:sz w:val="16"/>
                <w:szCs w:val="16"/>
                <w:lang w:eastAsia="es-AR"/>
              </w:rPr>
              <w:t>Transferencias:</w:t>
            </w:r>
          </w:p>
        </w:tc>
        <w:tc>
          <w:tcPr>
            <w:tcW w:w="1508" w:type="dxa"/>
            <w:tcBorders>
              <w:top w:val="nil"/>
              <w:left w:val="nil"/>
              <w:bottom w:val="single" w:sz="4" w:space="0" w:color="auto"/>
              <w:right w:val="single" w:sz="4" w:space="0" w:color="auto"/>
            </w:tcBorders>
            <w:shd w:val="clear" w:color="auto" w:fill="auto"/>
            <w:noWrap/>
            <w:vAlign w:val="bottom"/>
            <w:hideMark/>
          </w:tcPr>
          <w:p w14:paraId="4A96A915" w14:textId="60747446" w:rsidR="000B26C1" w:rsidRPr="00364924" w:rsidRDefault="000B26C1">
            <w:pPr>
              <w:jc w:val="right"/>
              <w:rPr>
                <w:rFonts w:ascii="Arial" w:hAnsi="Arial" w:cs="Arial"/>
                <w:color w:val="000000"/>
                <w:sz w:val="16"/>
                <w:szCs w:val="16"/>
                <w:lang w:eastAsia="es-AR"/>
              </w:rPr>
            </w:pPr>
          </w:p>
        </w:tc>
        <w:tc>
          <w:tcPr>
            <w:tcW w:w="1380" w:type="dxa"/>
            <w:tcBorders>
              <w:top w:val="nil"/>
              <w:left w:val="nil"/>
              <w:bottom w:val="single" w:sz="4" w:space="0" w:color="auto"/>
              <w:right w:val="single" w:sz="4" w:space="0" w:color="auto"/>
            </w:tcBorders>
            <w:shd w:val="clear" w:color="auto" w:fill="auto"/>
            <w:noWrap/>
            <w:vAlign w:val="bottom"/>
            <w:hideMark/>
          </w:tcPr>
          <w:p w14:paraId="10E16FA3" w14:textId="6E9D8FF2" w:rsidR="000B26C1" w:rsidRPr="00364924" w:rsidRDefault="000B26C1">
            <w:pPr>
              <w:jc w:val="right"/>
              <w:rPr>
                <w:rFonts w:ascii="Arial" w:hAnsi="Arial" w:cs="Arial"/>
                <w:color w:val="000000"/>
                <w:sz w:val="16"/>
                <w:szCs w:val="16"/>
                <w:lang w:eastAsia="es-AR"/>
              </w:rPr>
            </w:pPr>
          </w:p>
        </w:tc>
        <w:tc>
          <w:tcPr>
            <w:tcW w:w="1508" w:type="dxa"/>
            <w:tcBorders>
              <w:top w:val="nil"/>
              <w:left w:val="nil"/>
              <w:bottom w:val="single" w:sz="4" w:space="0" w:color="auto"/>
              <w:right w:val="single" w:sz="4" w:space="0" w:color="auto"/>
            </w:tcBorders>
            <w:shd w:val="clear" w:color="auto" w:fill="auto"/>
            <w:noWrap/>
            <w:vAlign w:val="bottom"/>
            <w:hideMark/>
          </w:tcPr>
          <w:p w14:paraId="33846DFF" w14:textId="2DA8340C" w:rsidR="000B26C1" w:rsidRPr="00364924" w:rsidRDefault="000B26C1">
            <w:pPr>
              <w:jc w:val="right"/>
              <w:rPr>
                <w:rFonts w:ascii="Arial" w:hAnsi="Arial" w:cs="Arial"/>
                <w:color w:val="000000"/>
                <w:sz w:val="16"/>
                <w:szCs w:val="16"/>
                <w:lang w:eastAsia="es-AR"/>
              </w:rPr>
            </w:pPr>
          </w:p>
        </w:tc>
        <w:tc>
          <w:tcPr>
            <w:tcW w:w="1508" w:type="dxa"/>
            <w:tcBorders>
              <w:top w:val="nil"/>
              <w:left w:val="nil"/>
              <w:bottom w:val="single" w:sz="4" w:space="0" w:color="auto"/>
              <w:right w:val="single" w:sz="4" w:space="0" w:color="auto"/>
            </w:tcBorders>
            <w:shd w:val="clear" w:color="auto" w:fill="auto"/>
            <w:noWrap/>
            <w:vAlign w:val="bottom"/>
            <w:hideMark/>
          </w:tcPr>
          <w:p w14:paraId="7A7CA8CC" w14:textId="28E17106" w:rsidR="000B26C1" w:rsidRPr="00364924" w:rsidRDefault="000B26C1">
            <w:pPr>
              <w:jc w:val="right"/>
              <w:rPr>
                <w:rFonts w:ascii="Arial" w:hAnsi="Arial" w:cs="Arial"/>
                <w:color w:val="000000"/>
                <w:sz w:val="16"/>
                <w:szCs w:val="16"/>
                <w:lang w:eastAsia="es-AR"/>
              </w:rPr>
            </w:pPr>
          </w:p>
        </w:tc>
      </w:tr>
      <w:tr w:rsidR="0079492B" w:rsidRPr="000B26C1" w14:paraId="4A4FE916"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7E60F6B8" w14:textId="77777777" w:rsidR="0079492B" w:rsidRPr="00364924" w:rsidRDefault="0079492B" w:rsidP="0079492B">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1 a Etapa 2</w:t>
            </w:r>
          </w:p>
        </w:tc>
        <w:tc>
          <w:tcPr>
            <w:tcW w:w="1508" w:type="dxa"/>
            <w:tcBorders>
              <w:top w:val="nil"/>
              <w:left w:val="nil"/>
              <w:bottom w:val="single" w:sz="4" w:space="0" w:color="auto"/>
              <w:right w:val="single" w:sz="4" w:space="0" w:color="auto"/>
            </w:tcBorders>
            <w:shd w:val="clear" w:color="auto" w:fill="auto"/>
            <w:noWrap/>
            <w:vAlign w:val="bottom"/>
            <w:hideMark/>
          </w:tcPr>
          <w:p w14:paraId="68E5E907" w14:textId="145FBFD6"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-15.597 </w:t>
            </w:r>
          </w:p>
        </w:tc>
        <w:tc>
          <w:tcPr>
            <w:tcW w:w="1380" w:type="dxa"/>
            <w:tcBorders>
              <w:top w:val="nil"/>
              <w:left w:val="nil"/>
              <w:bottom w:val="single" w:sz="4" w:space="0" w:color="auto"/>
              <w:right w:val="single" w:sz="4" w:space="0" w:color="auto"/>
            </w:tcBorders>
            <w:shd w:val="clear" w:color="auto" w:fill="auto"/>
            <w:noWrap/>
            <w:vAlign w:val="bottom"/>
            <w:hideMark/>
          </w:tcPr>
          <w:p w14:paraId="572998DE" w14:textId="384F3794"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168.289</w:t>
            </w:r>
          </w:p>
        </w:tc>
        <w:tc>
          <w:tcPr>
            <w:tcW w:w="1508" w:type="dxa"/>
            <w:tcBorders>
              <w:top w:val="nil"/>
              <w:left w:val="nil"/>
              <w:bottom w:val="single" w:sz="4" w:space="0" w:color="auto"/>
              <w:right w:val="single" w:sz="4" w:space="0" w:color="auto"/>
            </w:tcBorders>
            <w:shd w:val="clear" w:color="auto" w:fill="auto"/>
            <w:noWrap/>
            <w:vAlign w:val="bottom"/>
            <w:hideMark/>
          </w:tcPr>
          <w:p w14:paraId="71DA68FE" w14:textId="52140381"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w:t>
            </w:r>
          </w:p>
        </w:tc>
        <w:tc>
          <w:tcPr>
            <w:tcW w:w="1508" w:type="dxa"/>
            <w:tcBorders>
              <w:top w:val="nil"/>
              <w:left w:val="nil"/>
              <w:bottom w:val="single" w:sz="4" w:space="0" w:color="auto"/>
              <w:right w:val="single" w:sz="4" w:space="0" w:color="auto"/>
            </w:tcBorders>
            <w:shd w:val="clear" w:color="auto" w:fill="auto"/>
            <w:noWrap/>
            <w:vAlign w:val="bottom"/>
            <w:hideMark/>
          </w:tcPr>
          <w:p w14:paraId="62FACB23" w14:textId="64D7446D"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152.692</w:t>
            </w:r>
          </w:p>
        </w:tc>
      </w:tr>
      <w:tr w:rsidR="0079492B" w:rsidRPr="000B26C1" w14:paraId="75D22933"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76ADD5FE" w14:textId="77777777" w:rsidR="0079492B" w:rsidRPr="00364924" w:rsidRDefault="0079492B" w:rsidP="0079492B">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1 a Etapa 3</w:t>
            </w:r>
          </w:p>
        </w:tc>
        <w:tc>
          <w:tcPr>
            <w:tcW w:w="1508" w:type="dxa"/>
            <w:tcBorders>
              <w:top w:val="nil"/>
              <w:left w:val="nil"/>
              <w:bottom w:val="single" w:sz="4" w:space="0" w:color="auto"/>
              <w:right w:val="single" w:sz="4" w:space="0" w:color="auto"/>
            </w:tcBorders>
            <w:shd w:val="clear" w:color="auto" w:fill="auto"/>
            <w:noWrap/>
            <w:vAlign w:val="bottom"/>
            <w:hideMark/>
          </w:tcPr>
          <w:p w14:paraId="05F76BC9" w14:textId="3168FE43"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-1.379 </w:t>
            </w:r>
          </w:p>
        </w:tc>
        <w:tc>
          <w:tcPr>
            <w:tcW w:w="1380" w:type="dxa"/>
            <w:tcBorders>
              <w:top w:val="nil"/>
              <w:left w:val="nil"/>
              <w:bottom w:val="single" w:sz="4" w:space="0" w:color="auto"/>
              <w:right w:val="single" w:sz="4" w:space="0" w:color="auto"/>
            </w:tcBorders>
            <w:shd w:val="clear" w:color="auto" w:fill="auto"/>
            <w:noWrap/>
            <w:vAlign w:val="bottom"/>
            <w:hideMark/>
          </w:tcPr>
          <w:p w14:paraId="7FEEB0E4" w14:textId="23EF2310"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w:t>
            </w:r>
          </w:p>
        </w:tc>
        <w:tc>
          <w:tcPr>
            <w:tcW w:w="1508" w:type="dxa"/>
            <w:tcBorders>
              <w:top w:val="nil"/>
              <w:left w:val="nil"/>
              <w:bottom w:val="single" w:sz="4" w:space="0" w:color="auto"/>
              <w:right w:val="single" w:sz="4" w:space="0" w:color="auto"/>
            </w:tcBorders>
            <w:shd w:val="clear" w:color="auto" w:fill="auto"/>
            <w:noWrap/>
            <w:vAlign w:val="bottom"/>
            <w:hideMark/>
          </w:tcPr>
          <w:p w14:paraId="030527D9" w14:textId="2820E4AC"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49.477</w:t>
            </w:r>
          </w:p>
        </w:tc>
        <w:tc>
          <w:tcPr>
            <w:tcW w:w="1508" w:type="dxa"/>
            <w:tcBorders>
              <w:top w:val="nil"/>
              <w:left w:val="nil"/>
              <w:bottom w:val="single" w:sz="4" w:space="0" w:color="auto"/>
              <w:right w:val="single" w:sz="4" w:space="0" w:color="auto"/>
            </w:tcBorders>
            <w:shd w:val="clear" w:color="auto" w:fill="auto"/>
            <w:noWrap/>
            <w:vAlign w:val="bottom"/>
            <w:hideMark/>
          </w:tcPr>
          <w:p w14:paraId="77D65D9C" w14:textId="10F15562"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48.098</w:t>
            </w:r>
          </w:p>
        </w:tc>
      </w:tr>
      <w:tr w:rsidR="0079492B" w:rsidRPr="000B26C1" w14:paraId="7EADB448"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A83804B" w14:textId="77777777" w:rsidR="0079492B" w:rsidRPr="00364924" w:rsidRDefault="0079492B" w:rsidP="0079492B">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2 a Etapa 3</w:t>
            </w:r>
          </w:p>
        </w:tc>
        <w:tc>
          <w:tcPr>
            <w:tcW w:w="1508" w:type="dxa"/>
            <w:tcBorders>
              <w:top w:val="nil"/>
              <w:left w:val="nil"/>
              <w:bottom w:val="single" w:sz="4" w:space="0" w:color="auto"/>
              <w:right w:val="single" w:sz="4" w:space="0" w:color="auto"/>
            </w:tcBorders>
            <w:shd w:val="clear" w:color="auto" w:fill="auto"/>
            <w:noWrap/>
            <w:vAlign w:val="bottom"/>
            <w:hideMark/>
          </w:tcPr>
          <w:p w14:paraId="41DD6CFA" w14:textId="15653B3D"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   </w:t>
            </w:r>
          </w:p>
        </w:tc>
        <w:tc>
          <w:tcPr>
            <w:tcW w:w="1380" w:type="dxa"/>
            <w:tcBorders>
              <w:top w:val="nil"/>
              <w:left w:val="nil"/>
              <w:bottom w:val="single" w:sz="4" w:space="0" w:color="auto"/>
              <w:right w:val="single" w:sz="4" w:space="0" w:color="auto"/>
            </w:tcBorders>
            <w:shd w:val="clear" w:color="auto" w:fill="auto"/>
            <w:noWrap/>
            <w:vAlign w:val="bottom"/>
            <w:hideMark/>
          </w:tcPr>
          <w:p w14:paraId="66AA8158" w14:textId="679E5432"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-191.014</w:t>
            </w:r>
          </w:p>
        </w:tc>
        <w:tc>
          <w:tcPr>
            <w:tcW w:w="1508" w:type="dxa"/>
            <w:tcBorders>
              <w:top w:val="nil"/>
              <w:left w:val="nil"/>
              <w:bottom w:val="single" w:sz="4" w:space="0" w:color="auto"/>
              <w:right w:val="single" w:sz="4" w:space="0" w:color="auto"/>
            </w:tcBorders>
            <w:shd w:val="clear" w:color="auto" w:fill="auto"/>
            <w:noWrap/>
            <w:vAlign w:val="bottom"/>
            <w:hideMark/>
          </w:tcPr>
          <w:p w14:paraId="3630F498" w14:textId="4010F57B"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408.767</w:t>
            </w:r>
          </w:p>
        </w:tc>
        <w:tc>
          <w:tcPr>
            <w:tcW w:w="1508" w:type="dxa"/>
            <w:tcBorders>
              <w:top w:val="nil"/>
              <w:left w:val="nil"/>
              <w:bottom w:val="single" w:sz="4" w:space="0" w:color="auto"/>
              <w:right w:val="single" w:sz="4" w:space="0" w:color="auto"/>
            </w:tcBorders>
            <w:shd w:val="clear" w:color="auto" w:fill="auto"/>
            <w:noWrap/>
            <w:vAlign w:val="bottom"/>
            <w:hideMark/>
          </w:tcPr>
          <w:p w14:paraId="0F244D14" w14:textId="65A63810"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217.753</w:t>
            </w:r>
          </w:p>
        </w:tc>
      </w:tr>
      <w:tr w:rsidR="0079492B" w:rsidRPr="000B26C1" w14:paraId="73D6730F"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68EA1AF3" w14:textId="77777777" w:rsidR="0079492B" w:rsidRPr="00364924" w:rsidRDefault="0079492B" w:rsidP="0079492B">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2 a Etapa 1</w:t>
            </w:r>
          </w:p>
        </w:tc>
        <w:tc>
          <w:tcPr>
            <w:tcW w:w="1508" w:type="dxa"/>
            <w:tcBorders>
              <w:top w:val="nil"/>
              <w:left w:val="nil"/>
              <w:bottom w:val="single" w:sz="4" w:space="0" w:color="auto"/>
              <w:right w:val="single" w:sz="4" w:space="0" w:color="auto"/>
            </w:tcBorders>
            <w:shd w:val="clear" w:color="auto" w:fill="auto"/>
            <w:noWrap/>
            <w:vAlign w:val="bottom"/>
            <w:hideMark/>
          </w:tcPr>
          <w:p w14:paraId="7818D296" w14:textId="34C1A97C"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12.380 </w:t>
            </w:r>
          </w:p>
        </w:tc>
        <w:tc>
          <w:tcPr>
            <w:tcW w:w="1380" w:type="dxa"/>
            <w:tcBorders>
              <w:top w:val="nil"/>
              <w:left w:val="nil"/>
              <w:bottom w:val="single" w:sz="4" w:space="0" w:color="auto"/>
              <w:right w:val="single" w:sz="4" w:space="0" w:color="auto"/>
            </w:tcBorders>
            <w:shd w:val="clear" w:color="auto" w:fill="auto"/>
            <w:noWrap/>
            <w:vAlign w:val="bottom"/>
            <w:hideMark/>
          </w:tcPr>
          <w:p w14:paraId="6B53BD6D" w14:textId="048FD490"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-71.659</w:t>
            </w:r>
          </w:p>
        </w:tc>
        <w:tc>
          <w:tcPr>
            <w:tcW w:w="1508" w:type="dxa"/>
            <w:tcBorders>
              <w:top w:val="nil"/>
              <w:left w:val="nil"/>
              <w:bottom w:val="single" w:sz="4" w:space="0" w:color="auto"/>
              <w:right w:val="single" w:sz="4" w:space="0" w:color="auto"/>
            </w:tcBorders>
            <w:shd w:val="clear" w:color="auto" w:fill="auto"/>
            <w:noWrap/>
            <w:vAlign w:val="bottom"/>
            <w:hideMark/>
          </w:tcPr>
          <w:p w14:paraId="0696DF09" w14:textId="1CDA5BFA"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w:t>
            </w:r>
          </w:p>
        </w:tc>
        <w:tc>
          <w:tcPr>
            <w:tcW w:w="1508" w:type="dxa"/>
            <w:tcBorders>
              <w:top w:val="nil"/>
              <w:left w:val="nil"/>
              <w:bottom w:val="single" w:sz="4" w:space="0" w:color="auto"/>
              <w:right w:val="single" w:sz="4" w:space="0" w:color="auto"/>
            </w:tcBorders>
            <w:shd w:val="clear" w:color="auto" w:fill="auto"/>
            <w:noWrap/>
            <w:vAlign w:val="bottom"/>
            <w:hideMark/>
          </w:tcPr>
          <w:p w14:paraId="64F7070D" w14:textId="00073A20"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-59.279</w:t>
            </w:r>
          </w:p>
        </w:tc>
      </w:tr>
      <w:tr w:rsidR="0079492B" w:rsidRPr="000B26C1" w14:paraId="5A16E55D"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508F187" w14:textId="77777777" w:rsidR="0079492B" w:rsidRPr="00364924" w:rsidRDefault="0079492B" w:rsidP="0079492B">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3 a Etapa 2</w:t>
            </w:r>
          </w:p>
        </w:tc>
        <w:tc>
          <w:tcPr>
            <w:tcW w:w="1508" w:type="dxa"/>
            <w:tcBorders>
              <w:top w:val="nil"/>
              <w:left w:val="nil"/>
              <w:bottom w:val="single" w:sz="4" w:space="0" w:color="auto"/>
              <w:right w:val="single" w:sz="4" w:space="0" w:color="auto"/>
            </w:tcBorders>
            <w:shd w:val="clear" w:color="auto" w:fill="auto"/>
            <w:noWrap/>
            <w:vAlign w:val="bottom"/>
            <w:hideMark/>
          </w:tcPr>
          <w:p w14:paraId="43266AE2" w14:textId="304D88DC"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   </w:t>
            </w:r>
          </w:p>
        </w:tc>
        <w:tc>
          <w:tcPr>
            <w:tcW w:w="1380" w:type="dxa"/>
            <w:tcBorders>
              <w:top w:val="nil"/>
              <w:left w:val="nil"/>
              <w:bottom w:val="single" w:sz="4" w:space="0" w:color="auto"/>
              <w:right w:val="single" w:sz="4" w:space="0" w:color="auto"/>
            </w:tcBorders>
            <w:shd w:val="clear" w:color="auto" w:fill="auto"/>
            <w:noWrap/>
            <w:vAlign w:val="bottom"/>
            <w:hideMark/>
          </w:tcPr>
          <w:p w14:paraId="33DF4BB3" w14:textId="29883259"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7.106</w:t>
            </w:r>
          </w:p>
        </w:tc>
        <w:tc>
          <w:tcPr>
            <w:tcW w:w="1508" w:type="dxa"/>
            <w:tcBorders>
              <w:top w:val="nil"/>
              <w:left w:val="nil"/>
              <w:bottom w:val="single" w:sz="4" w:space="0" w:color="auto"/>
              <w:right w:val="single" w:sz="4" w:space="0" w:color="auto"/>
            </w:tcBorders>
            <w:shd w:val="clear" w:color="auto" w:fill="auto"/>
            <w:noWrap/>
            <w:vAlign w:val="bottom"/>
            <w:hideMark/>
          </w:tcPr>
          <w:p w14:paraId="1867E593" w14:textId="690039F3"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-38.512</w:t>
            </w:r>
          </w:p>
        </w:tc>
        <w:tc>
          <w:tcPr>
            <w:tcW w:w="1508" w:type="dxa"/>
            <w:tcBorders>
              <w:top w:val="nil"/>
              <w:left w:val="nil"/>
              <w:bottom w:val="single" w:sz="4" w:space="0" w:color="auto"/>
              <w:right w:val="single" w:sz="4" w:space="0" w:color="auto"/>
            </w:tcBorders>
            <w:shd w:val="clear" w:color="auto" w:fill="auto"/>
            <w:noWrap/>
            <w:vAlign w:val="bottom"/>
            <w:hideMark/>
          </w:tcPr>
          <w:p w14:paraId="64DF002F" w14:textId="48BC1344"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-31.406</w:t>
            </w:r>
          </w:p>
        </w:tc>
      </w:tr>
      <w:tr w:rsidR="0079492B" w:rsidRPr="000B26C1" w14:paraId="36A8D7CE"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3B69F5E8" w14:textId="77777777" w:rsidR="0079492B" w:rsidRPr="00364924" w:rsidRDefault="0079492B" w:rsidP="0079492B">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3 a Etapa 1</w:t>
            </w:r>
          </w:p>
        </w:tc>
        <w:tc>
          <w:tcPr>
            <w:tcW w:w="1508" w:type="dxa"/>
            <w:tcBorders>
              <w:top w:val="nil"/>
              <w:left w:val="nil"/>
              <w:bottom w:val="single" w:sz="4" w:space="0" w:color="auto"/>
              <w:right w:val="single" w:sz="4" w:space="0" w:color="auto"/>
            </w:tcBorders>
            <w:shd w:val="clear" w:color="auto" w:fill="auto"/>
            <w:noWrap/>
            <w:vAlign w:val="bottom"/>
            <w:hideMark/>
          </w:tcPr>
          <w:p w14:paraId="6B0B85F1" w14:textId="723BF86F"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877 </w:t>
            </w:r>
          </w:p>
        </w:tc>
        <w:tc>
          <w:tcPr>
            <w:tcW w:w="1380" w:type="dxa"/>
            <w:tcBorders>
              <w:top w:val="nil"/>
              <w:left w:val="nil"/>
              <w:bottom w:val="single" w:sz="4" w:space="0" w:color="auto"/>
              <w:right w:val="single" w:sz="4" w:space="0" w:color="auto"/>
            </w:tcBorders>
            <w:shd w:val="clear" w:color="auto" w:fill="auto"/>
            <w:noWrap/>
            <w:vAlign w:val="bottom"/>
            <w:hideMark/>
          </w:tcPr>
          <w:p w14:paraId="341E6563" w14:textId="01B6A746"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w:t>
            </w:r>
          </w:p>
        </w:tc>
        <w:tc>
          <w:tcPr>
            <w:tcW w:w="1508" w:type="dxa"/>
            <w:tcBorders>
              <w:top w:val="nil"/>
              <w:left w:val="nil"/>
              <w:bottom w:val="single" w:sz="4" w:space="0" w:color="auto"/>
              <w:right w:val="single" w:sz="4" w:space="0" w:color="auto"/>
            </w:tcBorders>
            <w:shd w:val="clear" w:color="auto" w:fill="auto"/>
            <w:noWrap/>
            <w:vAlign w:val="bottom"/>
            <w:hideMark/>
          </w:tcPr>
          <w:p w14:paraId="0D24641B" w14:textId="573BE01A"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-14.930</w:t>
            </w:r>
          </w:p>
        </w:tc>
        <w:tc>
          <w:tcPr>
            <w:tcW w:w="1508" w:type="dxa"/>
            <w:tcBorders>
              <w:top w:val="nil"/>
              <w:left w:val="nil"/>
              <w:bottom w:val="single" w:sz="4" w:space="0" w:color="auto"/>
              <w:right w:val="single" w:sz="4" w:space="0" w:color="auto"/>
            </w:tcBorders>
            <w:shd w:val="clear" w:color="auto" w:fill="auto"/>
            <w:noWrap/>
            <w:vAlign w:val="bottom"/>
            <w:hideMark/>
          </w:tcPr>
          <w:p w14:paraId="48210AD1" w14:textId="2F111DB7"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-14.053</w:t>
            </w:r>
          </w:p>
        </w:tc>
      </w:tr>
      <w:tr w:rsidR="0079492B" w:rsidRPr="000B26C1" w14:paraId="09BBC8DE"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66BD88D" w14:textId="77777777" w:rsidR="0079492B" w:rsidRPr="00364924" w:rsidRDefault="0079492B" w:rsidP="0079492B">
            <w:pPr>
              <w:rPr>
                <w:rFonts w:ascii="Arial" w:hAnsi="Arial" w:cs="Arial"/>
                <w:color w:val="000000"/>
                <w:sz w:val="16"/>
                <w:szCs w:val="16"/>
                <w:lang w:eastAsia="es-AR"/>
              </w:rPr>
            </w:pPr>
            <w:r w:rsidRPr="00364924">
              <w:rPr>
                <w:rFonts w:ascii="Arial" w:hAnsi="Arial" w:cs="Arial"/>
                <w:color w:val="000000"/>
                <w:sz w:val="16"/>
                <w:szCs w:val="16"/>
                <w:lang w:eastAsia="es-AR"/>
              </w:rPr>
              <w:t>Cambios Netos</w:t>
            </w:r>
          </w:p>
        </w:tc>
        <w:tc>
          <w:tcPr>
            <w:tcW w:w="1508" w:type="dxa"/>
            <w:tcBorders>
              <w:top w:val="nil"/>
              <w:left w:val="nil"/>
              <w:bottom w:val="single" w:sz="4" w:space="0" w:color="auto"/>
              <w:right w:val="single" w:sz="4" w:space="0" w:color="auto"/>
            </w:tcBorders>
            <w:shd w:val="clear" w:color="auto" w:fill="auto"/>
            <w:noWrap/>
            <w:vAlign w:val="bottom"/>
            <w:hideMark/>
          </w:tcPr>
          <w:p w14:paraId="725F3D1C" w14:textId="3EADBEE9"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-189.543 </w:t>
            </w:r>
          </w:p>
        </w:tc>
        <w:tc>
          <w:tcPr>
            <w:tcW w:w="1380" w:type="dxa"/>
            <w:tcBorders>
              <w:top w:val="nil"/>
              <w:left w:val="nil"/>
              <w:bottom w:val="single" w:sz="4" w:space="0" w:color="auto"/>
              <w:right w:val="single" w:sz="4" w:space="0" w:color="auto"/>
            </w:tcBorders>
            <w:shd w:val="clear" w:color="auto" w:fill="auto"/>
            <w:noWrap/>
            <w:vAlign w:val="bottom"/>
            <w:hideMark/>
          </w:tcPr>
          <w:p w14:paraId="4AB85B99" w14:textId="2A81CAC9"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-372.662</w:t>
            </w:r>
          </w:p>
        </w:tc>
        <w:tc>
          <w:tcPr>
            <w:tcW w:w="1508" w:type="dxa"/>
            <w:tcBorders>
              <w:top w:val="nil"/>
              <w:left w:val="nil"/>
              <w:bottom w:val="single" w:sz="4" w:space="0" w:color="auto"/>
              <w:right w:val="single" w:sz="4" w:space="0" w:color="auto"/>
            </w:tcBorders>
            <w:shd w:val="clear" w:color="auto" w:fill="auto"/>
            <w:noWrap/>
            <w:vAlign w:val="bottom"/>
            <w:hideMark/>
          </w:tcPr>
          <w:p w14:paraId="1D9EE350" w14:textId="504D4833"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-505.243</w:t>
            </w:r>
          </w:p>
        </w:tc>
        <w:tc>
          <w:tcPr>
            <w:tcW w:w="1508" w:type="dxa"/>
            <w:tcBorders>
              <w:top w:val="nil"/>
              <w:left w:val="nil"/>
              <w:bottom w:val="single" w:sz="4" w:space="0" w:color="auto"/>
              <w:right w:val="single" w:sz="4" w:space="0" w:color="auto"/>
            </w:tcBorders>
            <w:shd w:val="clear" w:color="auto" w:fill="auto"/>
            <w:noWrap/>
            <w:vAlign w:val="bottom"/>
            <w:hideMark/>
          </w:tcPr>
          <w:p w14:paraId="738328A9" w14:textId="3FD7BBCC"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-1.067.448</w:t>
            </w:r>
          </w:p>
        </w:tc>
      </w:tr>
      <w:tr w:rsidR="0079492B" w:rsidRPr="000B26C1" w14:paraId="5A37667A"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415AEAA" w14:textId="77777777" w:rsidR="0079492B" w:rsidRPr="00364924" w:rsidRDefault="0079492B" w:rsidP="0079492B">
            <w:pPr>
              <w:rPr>
                <w:rFonts w:ascii="Arial" w:hAnsi="Arial" w:cs="Arial"/>
                <w:color w:val="000000"/>
                <w:sz w:val="16"/>
                <w:szCs w:val="16"/>
                <w:lang w:eastAsia="es-AR"/>
              </w:rPr>
            </w:pPr>
            <w:r w:rsidRPr="00364924">
              <w:rPr>
                <w:rFonts w:ascii="Arial" w:hAnsi="Arial" w:cs="Arial"/>
                <w:color w:val="000000"/>
                <w:sz w:val="16"/>
                <w:szCs w:val="16"/>
                <w:lang w:eastAsia="es-AR"/>
              </w:rPr>
              <w:t>Activos financieros dados de baja</w:t>
            </w:r>
          </w:p>
        </w:tc>
        <w:tc>
          <w:tcPr>
            <w:tcW w:w="1508" w:type="dxa"/>
            <w:tcBorders>
              <w:top w:val="nil"/>
              <w:left w:val="nil"/>
              <w:bottom w:val="single" w:sz="4" w:space="0" w:color="auto"/>
              <w:right w:val="single" w:sz="4" w:space="0" w:color="auto"/>
            </w:tcBorders>
            <w:shd w:val="clear" w:color="auto" w:fill="auto"/>
            <w:noWrap/>
            <w:vAlign w:val="bottom"/>
            <w:hideMark/>
          </w:tcPr>
          <w:p w14:paraId="4EDA6435" w14:textId="524C50D5"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5.098 </w:t>
            </w:r>
          </w:p>
        </w:tc>
        <w:tc>
          <w:tcPr>
            <w:tcW w:w="1380" w:type="dxa"/>
            <w:tcBorders>
              <w:top w:val="nil"/>
              <w:left w:val="nil"/>
              <w:bottom w:val="single" w:sz="4" w:space="0" w:color="auto"/>
              <w:right w:val="single" w:sz="4" w:space="0" w:color="auto"/>
            </w:tcBorders>
            <w:shd w:val="clear" w:color="auto" w:fill="auto"/>
            <w:noWrap/>
            <w:vAlign w:val="bottom"/>
            <w:hideMark/>
          </w:tcPr>
          <w:p w14:paraId="2B4324CA" w14:textId="54C5DF68"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3.434</w:t>
            </w:r>
          </w:p>
        </w:tc>
        <w:tc>
          <w:tcPr>
            <w:tcW w:w="1508" w:type="dxa"/>
            <w:tcBorders>
              <w:top w:val="nil"/>
              <w:left w:val="nil"/>
              <w:bottom w:val="single" w:sz="4" w:space="0" w:color="auto"/>
              <w:right w:val="single" w:sz="4" w:space="0" w:color="auto"/>
            </w:tcBorders>
            <w:shd w:val="clear" w:color="auto" w:fill="auto"/>
            <w:noWrap/>
            <w:vAlign w:val="bottom"/>
            <w:hideMark/>
          </w:tcPr>
          <w:p w14:paraId="49E72390" w14:textId="4618856D"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384.303</w:t>
            </w:r>
          </w:p>
        </w:tc>
        <w:tc>
          <w:tcPr>
            <w:tcW w:w="1508" w:type="dxa"/>
            <w:tcBorders>
              <w:top w:val="nil"/>
              <w:left w:val="nil"/>
              <w:bottom w:val="single" w:sz="4" w:space="0" w:color="auto"/>
              <w:right w:val="single" w:sz="4" w:space="0" w:color="auto"/>
            </w:tcBorders>
            <w:shd w:val="clear" w:color="auto" w:fill="auto"/>
            <w:noWrap/>
            <w:vAlign w:val="bottom"/>
            <w:hideMark/>
          </w:tcPr>
          <w:p w14:paraId="434C1E68" w14:textId="35C38EF9"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392.835</w:t>
            </w:r>
          </w:p>
        </w:tc>
      </w:tr>
      <w:tr w:rsidR="0079492B" w:rsidRPr="003D1B15" w14:paraId="3BE9E16B"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A634956" w14:textId="73E80093" w:rsidR="0079492B" w:rsidRPr="00364924" w:rsidRDefault="0079492B" w:rsidP="0079492B">
            <w:pPr>
              <w:rPr>
                <w:rFonts w:ascii="Arial" w:hAnsi="Arial" w:cs="Arial"/>
                <w:color w:val="000000"/>
                <w:sz w:val="16"/>
                <w:szCs w:val="16"/>
                <w:lang w:eastAsia="es-AR"/>
              </w:rPr>
            </w:pPr>
            <w:bookmarkStart w:id="13" w:name="_Hlk41403726"/>
            <w:r w:rsidRPr="00364924">
              <w:rPr>
                <w:rFonts w:ascii="Arial" w:hAnsi="Arial" w:cs="Arial"/>
                <w:color w:val="000000"/>
                <w:sz w:val="16"/>
                <w:szCs w:val="16"/>
                <w:lang w:eastAsia="es-AR"/>
              </w:rPr>
              <w:t>Cargo directo</w:t>
            </w:r>
          </w:p>
        </w:tc>
        <w:tc>
          <w:tcPr>
            <w:tcW w:w="1508" w:type="dxa"/>
            <w:tcBorders>
              <w:top w:val="nil"/>
              <w:left w:val="nil"/>
              <w:bottom w:val="single" w:sz="4" w:space="0" w:color="auto"/>
              <w:right w:val="single" w:sz="4" w:space="0" w:color="auto"/>
            </w:tcBorders>
            <w:shd w:val="clear" w:color="auto" w:fill="auto"/>
            <w:noWrap/>
            <w:vAlign w:val="bottom"/>
            <w:hideMark/>
          </w:tcPr>
          <w:p w14:paraId="6E013B1C" w14:textId="2A50C146"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72.816 </w:t>
            </w:r>
          </w:p>
        </w:tc>
        <w:tc>
          <w:tcPr>
            <w:tcW w:w="1380" w:type="dxa"/>
            <w:tcBorders>
              <w:top w:val="nil"/>
              <w:left w:val="nil"/>
              <w:bottom w:val="single" w:sz="4" w:space="0" w:color="auto"/>
              <w:right w:val="single" w:sz="4" w:space="0" w:color="auto"/>
            </w:tcBorders>
            <w:shd w:val="clear" w:color="auto" w:fill="auto"/>
            <w:noWrap/>
            <w:vAlign w:val="bottom"/>
            <w:hideMark/>
          </w:tcPr>
          <w:p w14:paraId="40459D54" w14:textId="77135399"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18.576</w:t>
            </w:r>
          </w:p>
        </w:tc>
        <w:tc>
          <w:tcPr>
            <w:tcW w:w="1508" w:type="dxa"/>
            <w:tcBorders>
              <w:top w:val="nil"/>
              <w:left w:val="nil"/>
              <w:bottom w:val="single" w:sz="4" w:space="0" w:color="auto"/>
              <w:right w:val="single" w:sz="4" w:space="0" w:color="auto"/>
            </w:tcBorders>
            <w:shd w:val="clear" w:color="auto" w:fill="auto"/>
            <w:noWrap/>
            <w:vAlign w:val="bottom"/>
            <w:hideMark/>
          </w:tcPr>
          <w:p w14:paraId="49B1789B" w14:textId="3B7B0520"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6.405</w:t>
            </w:r>
          </w:p>
        </w:tc>
        <w:tc>
          <w:tcPr>
            <w:tcW w:w="1508" w:type="dxa"/>
            <w:tcBorders>
              <w:top w:val="nil"/>
              <w:left w:val="nil"/>
              <w:bottom w:val="single" w:sz="4" w:space="0" w:color="auto"/>
              <w:right w:val="single" w:sz="4" w:space="0" w:color="auto"/>
            </w:tcBorders>
            <w:shd w:val="clear" w:color="auto" w:fill="auto"/>
            <w:noWrap/>
            <w:vAlign w:val="bottom"/>
            <w:hideMark/>
          </w:tcPr>
          <w:p w14:paraId="386CAB06" w14:textId="79806FDE"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97.797</w:t>
            </w:r>
          </w:p>
        </w:tc>
      </w:tr>
      <w:bookmarkEnd w:id="13"/>
      <w:tr w:rsidR="0079492B" w:rsidRPr="000B26C1" w14:paraId="470EE4AD"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679905A" w14:textId="77777777" w:rsidR="0079492B" w:rsidRPr="00364924" w:rsidRDefault="0079492B" w:rsidP="0079492B">
            <w:pPr>
              <w:rPr>
                <w:rFonts w:ascii="Arial" w:hAnsi="Arial" w:cs="Arial"/>
                <w:color w:val="000000"/>
                <w:sz w:val="16"/>
                <w:szCs w:val="16"/>
                <w:lang w:eastAsia="es-AR"/>
              </w:rPr>
            </w:pPr>
            <w:r w:rsidRPr="00364924">
              <w:rPr>
                <w:rFonts w:ascii="Arial" w:hAnsi="Arial" w:cs="Arial"/>
                <w:color w:val="000000"/>
                <w:sz w:val="16"/>
                <w:szCs w:val="16"/>
                <w:lang w:eastAsia="es-AR"/>
              </w:rPr>
              <w:t>Diferencia de cotización y otros movimientos</w:t>
            </w:r>
          </w:p>
        </w:tc>
        <w:tc>
          <w:tcPr>
            <w:tcW w:w="1508" w:type="dxa"/>
            <w:tcBorders>
              <w:top w:val="nil"/>
              <w:left w:val="nil"/>
              <w:bottom w:val="single" w:sz="4" w:space="0" w:color="auto"/>
              <w:right w:val="single" w:sz="4" w:space="0" w:color="auto"/>
            </w:tcBorders>
            <w:shd w:val="clear" w:color="auto" w:fill="auto"/>
            <w:noWrap/>
            <w:vAlign w:val="bottom"/>
            <w:hideMark/>
          </w:tcPr>
          <w:p w14:paraId="50A3954D" w14:textId="4981B229"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 xml:space="preserve"> 27.300 </w:t>
            </w:r>
          </w:p>
        </w:tc>
        <w:tc>
          <w:tcPr>
            <w:tcW w:w="1380" w:type="dxa"/>
            <w:tcBorders>
              <w:top w:val="nil"/>
              <w:left w:val="nil"/>
              <w:bottom w:val="single" w:sz="4" w:space="0" w:color="auto"/>
              <w:right w:val="single" w:sz="4" w:space="0" w:color="auto"/>
            </w:tcBorders>
            <w:shd w:val="clear" w:color="auto" w:fill="auto"/>
            <w:noWrap/>
            <w:vAlign w:val="bottom"/>
            <w:hideMark/>
          </w:tcPr>
          <w:p w14:paraId="2EA38530" w14:textId="0F9CA5D1"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10.489</w:t>
            </w:r>
          </w:p>
        </w:tc>
        <w:tc>
          <w:tcPr>
            <w:tcW w:w="1508" w:type="dxa"/>
            <w:tcBorders>
              <w:top w:val="nil"/>
              <w:left w:val="nil"/>
              <w:bottom w:val="single" w:sz="4" w:space="0" w:color="auto"/>
              <w:right w:val="single" w:sz="4" w:space="0" w:color="auto"/>
            </w:tcBorders>
            <w:shd w:val="clear" w:color="auto" w:fill="auto"/>
            <w:noWrap/>
            <w:vAlign w:val="bottom"/>
            <w:hideMark/>
          </w:tcPr>
          <w:p w14:paraId="52395096" w14:textId="0791EB04"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36.747</w:t>
            </w:r>
          </w:p>
        </w:tc>
        <w:tc>
          <w:tcPr>
            <w:tcW w:w="1508" w:type="dxa"/>
            <w:tcBorders>
              <w:top w:val="nil"/>
              <w:left w:val="nil"/>
              <w:bottom w:val="single" w:sz="4" w:space="0" w:color="auto"/>
              <w:right w:val="single" w:sz="4" w:space="0" w:color="auto"/>
            </w:tcBorders>
            <w:shd w:val="clear" w:color="auto" w:fill="auto"/>
            <w:noWrap/>
            <w:vAlign w:val="bottom"/>
            <w:hideMark/>
          </w:tcPr>
          <w:p w14:paraId="7BD575A3" w14:textId="03F1B2C0" w:rsidR="0079492B" w:rsidRPr="00364924" w:rsidRDefault="0079492B">
            <w:pPr>
              <w:jc w:val="right"/>
              <w:rPr>
                <w:rFonts w:ascii="Arial" w:hAnsi="Arial" w:cs="Arial"/>
                <w:color w:val="000000"/>
                <w:sz w:val="16"/>
                <w:szCs w:val="16"/>
                <w:lang w:eastAsia="es-AR"/>
              </w:rPr>
            </w:pPr>
            <w:r w:rsidRPr="00364924">
              <w:rPr>
                <w:rFonts w:ascii="Arial" w:hAnsi="Arial" w:cs="Arial"/>
                <w:sz w:val="16"/>
                <w:szCs w:val="16"/>
              </w:rPr>
              <w:t>74.536</w:t>
            </w:r>
          </w:p>
        </w:tc>
      </w:tr>
      <w:tr w:rsidR="0079492B" w:rsidRPr="000B26C1" w14:paraId="2772EF86" w14:textId="77777777" w:rsidTr="00364924">
        <w:trPr>
          <w:trHeight w:val="238"/>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167A16F" w14:textId="77777777" w:rsidR="0079492B" w:rsidRPr="00364924" w:rsidRDefault="0079492B" w:rsidP="0079492B">
            <w:pPr>
              <w:rPr>
                <w:rFonts w:ascii="Arial" w:hAnsi="Arial" w:cs="Arial"/>
                <w:b/>
                <w:bCs/>
                <w:color w:val="000000"/>
                <w:sz w:val="16"/>
                <w:szCs w:val="16"/>
                <w:lang w:eastAsia="es-AR"/>
              </w:rPr>
            </w:pPr>
            <w:r w:rsidRPr="00364924">
              <w:rPr>
                <w:rFonts w:ascii="Arial" w:hAnsi="Arial" w:cs="Arial"/>
                <w:b/>
                <w:bCs/>
                <w:color w:val="000000"/>
                <w:sz w:val="16"/>
                <w:szCs w:val="16"/>
                <w:lang w:eastAsia="es-AR"/>
              </w:rPr>
              <w:t>Previsión por riesgo de crédito al 31.03.2020</w:t>
            </w:r>
          </w:p>
        </w:tc>
        <w:tc>
          <w:tcPr>
            <w:tcW w:w="1508" w:type="dxa"/>
            <w:tcBorders>
              <w:top w:val="nil"/>
              <w:left w:val="nil"/>
              <w:bottom w:val="single" w:sz="4" w:space="0" w:color="auto"/>
              <w:right w:val="single" w:sz="4" w:space="0" w:color="auto"/>
            </w:tcBorders>
            <w:shd w:val="clear" w:color="auto" w:fill="auto"/>
            <w:noWrap/>
            <w:vAlign w:val="bottom"/>
            <w:hideMark/>
          </w:tcPr>
          <w:p w14:paraId="1FA8D7F9" w14:textId="6A632F5D"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1.979.219</w:t>
            </w:r>
          </w:p>
        </w:tc>
        <w:tc>
          <w:tcPr>
            <w:tcW w:w="1380" w:type="dxa"/>
            <w:tcBorders>
              <w:top w:val="nil"/>
              <w:left w:val="nil"/>
              <w:bottom w:val="single" w:sz="4" w:space="0" w:color="auto"/>
              <w:right w:val="single" w:sz="4" w:space="0" w:color="auto"/>
            </w:tcBorders>
            <w:shd w:val="clear" w:color="auto" w:fill="auto"/>
            <w:noWrap/>
            <w:vAlign w:val="bottom"/>
            <w:hideMark/>
          </w:tcPr>
          <w:p w14:paraId="2B722B39" w14:textId="7A1CE4CA"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168.592</w:t>
            </w:r>
          </w:p>
        </w:tc>
        <w:tc>
          <w:tcPr>
            <w:tcW w:w="1508" w:type="dxa"/>
            <w:tcBorders>
              <w:top w:val="nil"/>
              <w:left w:val="nil"/>
              <w:bottom w:val="single" w:sz="4" w:space="0" w:color="auto"/>
              <w:right w:val="single" w:sz="4" w:space="0" w:color="auto"/>
            </w:tcBorders>
            <w:shd w:val="clear" w:color="auto" w:fill="auto"/>
            <w:noWrap/>
            <w:vAlign w:val="bottom"/>
            <w:hideMark/>
          </w:tcPr>
          <w:p w14:paraId="55F0F349" w14:textId="418209B3"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3.996.421</w:t>
            </w:r>
          </w:p>
        </w:tc>
        <w:tc>
          <w:tcPr>
            <w:tcW w:w="1508" w:type="dxa"/>
            <w:tcBorders>
              <w:top w:val="nil"/>
              <w:left w:val="nil"/>
              <w:bottom w:val="single" w:sz="4" w:space="0" w:color="auto"/>
              <w:right w:val="single" w:sz="4" w:space="0" w:color="auto"/>
            </w:tcBorders>
            <w:shd w:val="clear" w:color="auto" w:fill="auto"/>
            <w:noWrap/>
            <w:vAlign w:val="bottom"/>
            <w:hideMark/>
          </w:tcPr>
          <w:p w14:paraId="17B21F99" w14:textId="34BAFCA8" w:rsidR="0079492B" w:rsidRPr="00364924" w:rsidRDefault="0079492B">
            <w:pPr>
              <w:jc w:val="right"/>
              <w:rPr>
                <w:rFonts w:ascii="Arial" w:hAnsi="Arial" w:cs="Arial"/>
                <w:b/>
                <w:bCs/>
                <w:color w:val="000000"/>
                <w:sz w:val="16"/>
                <w:szCs w:val="16"/>
                <w:lang w:eastAsia="es-AR"/>
              </w:rPr>
            </w:pPr>
            <w:r w:rsidRPr="00364924">
              <w:rPr>
                <w:rFonts w:ascii="Arial" w:hAnsi="Arial" w:cs="Arial"/>
                <w:b/>
                <w:sz w:val="16"/>
                <w:szCs w:val="16"/>
              </w:rPr>
              <w:t>6.144.232</w:t>
            </w:r>
          </w:p>
        </w:tc>
      </w:tr>
    </w:tbl>
    <w:p w14:paraId="57528F2E" w14:textId="77777777" w:rsidR="000B26C1" w:rsidRDefault="000B26C1" w:rsidP="00FD67E8">
      <w:pPr>
        <w:autoSpaceDE w:val="0"/>
        <w:autoSpaceDN w:val="0"/>
        <w:adjustRightInd w:val="0"/>
        <w:jc w:val="both"/>
        <w:rPr>
          <w:sz w:val="20"/>
        </w:rPr>
      </w:pPr>
    </w:p>
    <w:p w14:paraId="6F2A5F66" w14:textId="77777777" w:rsidR="00F56303" w:rsidRDefault="00F56303" w:rsidP="00F55BAD">
      <w:pPr>
        <w:rPr>
          <w:b/>
          <w:sz w:val="20"/>
        </w:rPr>
      </w:pPr>
    </w:p>
    <w:p w14:paraId="3E05689D" w14:textId="075202CA" w:rsidR="000B26C1" w:rsidRPr="002E1AF6" w:rsidRDefault="000B26C1" w:rsidP="000B26C1">
      <w:pPr>
        <w:autoSpaceDE w:val="0"/>
        <w:autoSpaceDN w:val="0"/>
        <w:adjustRightInd w:val="0"/>
        <w:jc w:val="both"/>
        <w:rPr>
          <w:rFonts w:ascii="Arial" w:hAnsi="Arial" w:cs="Arial"/>
          <w:b/>
          <w:sz w:val="20"/>
        </w:rPr>
      </w:pPr>
      <w:r w:rsidRPr="002E1AF6">
        <w:rPr>
          <w:rFonts w:ascii="Arial" w:hAnsi="Arial" w:cs="Arial"/>
          <w:b/>
          <w:sz w:val="20"/>
        </w:rPr>
        <w:t xml:space="preserve">1.2.9 </w:t>
      </w:r>
      <w:bookmarkStart w:id="14" w:name="_Hlk41511009"/>
      <w:r w:rsidRPr="002E1AF6">
        <w:rPr>
          <w:rFonts w:ascii="Arial" w:hAnsi="Arial" w:cs="Arial"/>
          <w:b/>
          <w:sz w:val="20"/>
        </w:rPr>
        <w:t xml:space="preserve">Política de baja </w:t>
      </w:r>
      <w:r w:rsidR="00944B4A">
        <w:rPr>
          <w:rFonts w:ascii="Arial" w:hAnsi="Arial" w:cs="Arial"/>
          <w:b/>
          <w:sz w:val="20"/>
        </w:rPr>
        <w:t>en cuenta</w:t>
      </w:r>
      <w:bookmarkEnd w:id="14"/>
    </w:p>
    <w:p w14:paraId="708B176A" w14:textId="77777777" w:rsidR="000B26C1" w:rsidRPr="002E1AF6" w:rsidRDefault="000B26C1" w:rsidP="000B26C1">
      <w:pPr>
        <w:autoSpaceDE w:val="0"/>
        <w:autoSpaceDN w:val="0"/>
        <w:adjustRightInd w:val="0"/>
        <w:jc w:val="both"/>
        <w:rPr>
          <w:rFonts w:ascii="Arial" w:hAnsi="Arial" w:cs="Arial"/>
          <w:b/>
          <w:sz w:val="20"/>
        </w:rPr>
      </w:pPr>
    </w:p>
    <w:p w14:paraId="230E292F" w14:textId="77777777" w:rsidR="000B26C1" w:rsidRPr="002E1AF6" w:rsidRDefault="000B26C1" w:rsidP="000B26C1">
      <w:pPr>
        <w:autoSpaceDE w:val="0"/>
        <w:autoSpaceDN w:val="0"/>
        <w:adjustRightInd w:val="0"/>
        <w:jc w:val="both"/>
        <w:rPr>
          <w:rFonts w:ascii="Arial" w:hAnsi="Arial" w:cs="Arial"/>
          <w:sz w:val="20"/>
        </w:rPr>
      </w:pPr>
      <w:r w:rsidRPr="002E1AF6">
        <w:rPr>
          <w:rFonts w:ascii="Arial" w:hAnsi="Arial" w:cs="Arial"/>
          <w:sz w:val="20"/>
        </w:rPr>
        <w:t>El Banco da de baja en balance los activos financieros, en su totalidad o en parte, cuando ha agotado todos los esfuerzos recuperación y ha concluido que no hay expectativas razonables de recuperación. Los indicadores de que no hay una expectativa razonable de recuperación incluyen (i) el cese de la actividad de ejecución y (ii) cuando el método de recuperación del Banco está dado por la ejecución de la garantía y el valor de la garantía es tal que no hay una expectativa razonable de recuperación total.</w:t>
      </w:r>
    </w:p>
    <w:p w14:paraId="714EA44C" w14:textId="77777777" w:rsidR="000B26C1" w:rsidRPr="002E1AF6" w:rsidRDefault="000B26C1" w:rsidP="000B26C1">
      <w:pPr>
        <w:autoSpaceDE w:val="0"/>
        <w:autoSpaceDN w:val="0"/>
        <w:adjustRightInd w:val="0"/>
        <w:jc w:val="both"/>
        <w:rPr>
          <w:rFonts w:ascii="Arial" w:hAnsi="Arial" w:cs="Arial"/>
          <w:sz w:val="20"/>
        </w:rPr>
      </w:pPr>
    </w:p>
    <w:p w14:paraId="7101E899" w14:textId="2609B5FB" w:rsidR="000B26C1" w:rsidRPr="002E1AF6" w:rsidRDefault="000B26C1" w:rsidP="000B26C1">
      <w:pPr>
        <w:autoSpaceDE w:val="0"/>
        <w:autoSpaceDN w:val="0"/>
        <w:adjustRightInd w:val="0"/>
        <w:jc w:val="both"/>
        <w:rPr>
          <w:rFonts w:ascii="Arial" w:hAnsi="Arial" w:cs="Arial"/>
          <w:sz w:val="20"/>
        </w:rPr>
      </w:pPr>
      <w:r w:rsidRPr="002E1AF6">
        <w:rPr>
          <w:rFonts w:ascii="Arial" w:hAnsi="Arial" w:cs="Arial"/>
          <w:sz w:val="20"/>
        </w:rPr>
        <w:t xml:space="preserve">El </w:t>
      </w:r>
      <w:r w:rsidR="00A3402F">
        <w:rPr>
          <w:rFonts w:ascii="Arial" w:hAnsi="Arial" w:cs="Arial"/>
          <w:sz w:val="20"/>
        </w:rPr>
        <w:t>Banco</w:t>
      </w:r>
      <w:r w:rsidR="00A3402F" w:rsidRPr="002E1AF6">
        <w:rPr>
          <w:rFonts w:ascii="Arial" w:hAnsi="Arial" w:cs="Arial"/>
          <w:sz w:val="20"/>
        </w:rPr>
        <w:t xml:space="preserve"> </w:t>
      </w:r>
      <w:r w:rsidRPr="002E1AF6">
        <w:rPr>
          <w:rFonts w:ascii="Arial" w:hAnsi="Arial" w:cs="Arial"/>
          <w:sz w:val="20"/>
        </w:rPr>
        <w:t xml:space="preserve">puede dar de baja en balance los activos financieros que aún están sujetos a actividades de ejecución. Los montos contractuales pendientes de cobro dichos activos dados de baja durante el período finalizado el 31 de marzo de 2020 ascienden a 2.356.012. El </w:t>
      </w:r>
      <w:r w:rsidR="00A3402F">
        <w:rPr>
          <w:rFonts w:ascii="Arial" w:hAnsi="Arial" w:cs="Arial"/>
          <w:sz w:val="20"/>
        </w:rPr>
        <w:t xml:space="preserve">Banco </w:t>
      </w:r>
      <w:r w:rsidRPr="002E1AF6">
        <w:rPr>
          <w:rFonts w:ascii="Arial" w:hAnsi="Arial" w:cs="Arial"/>
          <w:sz w:val="20"/>
        </w:rPr>
        <w:t>busca recuperar los montos que legalmente se le adeudan en su totalidad, pero que han sido parcialmente dados de baja en balance debido a que no existe una expectativa razonable de recuperación total.</w:t>
      </w:r>
    </w:p>
    <w:bookmarkEnd w:id="5"/>
    <w:bookmarkEnd w:id="6"/>
    <w:p w14:paraId="30C7D2B6" w14:textId="27178853" w:rsidR="00201315" w:rsidRDefault="00201315" w:rsidP="00201315">
      <w:pPr>
        <w:jc w:val="both"/>
        <w:rPr>
          <w:rFonts w:ascii="Arial" w:hAnsi="Arial" w:cs="Arial"/>
          <w:sz w:val="20"/>
        </w:rPr>
      </w:pPr>
    </w:p>
    <w:p w14:paraId="4CD5AFD1" w14:textId="3CC6D2B2" w:rsidR="0037711A" w:rsidRDefault="0037711A" w:rsidP="00201315">
      <w:pPr>
        <w:jc w:val="both"/>
        <w:rPr>
          <w:rFonts w:ascii="Arial" w:hAnsi="Arial" w:cs="Arial"/>
          <w:sz w:val="20"/>
        </w:rPr>
      </w:pPr>
    </w:p>
    <w:p w14:paraId="328DD47A" w14:textId="77777777" w:rsidR="0037711A" w:rsidRPr="00BA7A6B" w:rsidRDefault="0037711A" w:rsidP="00201315">
      <w:pPr>
        <w:jc w:val="both"/>
        <w:rPr>
          <w:rFonts w:ascii="Arial" w:hAnsi="Arial" w:cs="Arial"/>
          <w:sz w:val="20"/>
        </w:rPr>
      </w:pPr>
    </w:p>
    <w:p w14:paraId="4204545B" w14:textId="31B02BD9" w:rsidR="00E54D7E" w:rsidRPr="00C03F77" w:rsidRDefault="00E54D7E" w:rsidP="002E1AF6">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C03F77">
        <w:rPr>
          <w:rFonts w:ascii="Arial" w:eastAsia="Calibri" w:hAnsi="Arial" w:cs="Arial"/>
          <w:b/>
          <w:sz w:val="20"/>
        </w:rPr>
        <w:t xml:space="preserve">1.3 </w:t>
      </w:r>
      <w:r w:rsidRPr="00C03F77">
        <w:rPr>
          <w:rFonts w:ascii="Arial" w:hAnsi="Arial" w:cs="Arial"/>
          <w:b/>
          <w:sz w:val="20"/>
          <w:lang w:eastAsia="es-AR"/>
        </w:rPr>
        <w:t>Entidades estructuradas consolidadas</w:t>
      </w:r>
      <w:r w:rsidRPr="00C03F77">
        <w:rPr>
          <w:rFonts w:ascii="Arial" w:hAnsi="Arial" w:cs="Arial"/>
          <w:b/>
          <w:sz w:val="20"/>
          <w:u w:val="single"/>
          <w:lang w:eastAsia="es-AR"/>
        </w:rPr>
        <w:t xml:space="preserve"> </w:t>
      </w:r>
    </w:p>
    <w:p w14:paraId="5261E2F2" w14:textId="77777777" w:rsidR="00B83E92" w:rsidRPr="00C03F77" w:rsidRDefault="00B83E92" w:rsidP="00B83E92">
      <w:pPr>
        <w:spacing w:after="160" w:line="259" w:lineRule="auto"/>
        <w:jc w:val="both"/>
        <w:rPr>
          <w:rFonts w:ascii="Arial" w:eastAsia="Calibri" w:hAnsi="Arial" w:cs="Arial"/>
          <w:sz w:val="20"/>
        </w:rPr>
      </w:pPr>
      <w:r w:rsidRPr="00C03F77">
        <w:rPr>
          <w:rFonts w:ascii="Arial" w:eastAsia="Calibri" w:hAnsi="Arial" w:cs="Arial"/>
          <w:sz w:val="20"/>
        </w:rPr>
        <w:lastRenderedPageBreak/>
        <w:t>La Entidad ha securitizado determinados instrumentos financieros, principalmente préstamos, originados por créditos personales a través de las transferencias de dichos instrumentos a fideicomisos financieros que emiten múltiples clases de títulos de deuda y certificados de participación.</w:t>
      </w:r>
    </w:p>
    <w:p w14:paraId="07ED4ACB" w14:textId="484A1893" w:rsidR="00E54D7E" w:rsidRPr="00C03F77" w:rsidRDefault="00B83E92" w:rsidP="00B83E92">
      <w:pPr>
        <w:spacing w:after="160" w:line="259" w:lineRule="auto"/>
        <w:jc w:val="both"/>
        <w:rPr>
          <w:rFonts w:ascii="Arial" w:eastAsia="Calibri" w:hAnsi="Arial" w:cs="Arial"/>
          <w:sz w:val="20"/>
        </w:rPr>
      </w:pPr>
      <w:r w:rsidRPr="00C03F77">
        <w:rPr>
          <w:rFonts w:ascii="Arial" w:eastAsia="Calibri" w:hAnsi="Arial" w:cs="Arial"/>
          <w:sz w:val="20"/>
        </w:rPr>
        <w:t>Se exponen a continuación los fideicomisos financieros en los cuales la entidad es fiduciante:</w:t>
      </w:r>
    </w:p>
    <w:tbl>
      <w:tblPr>
        <w:tblW w:w="8808"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101"/>
        <w:gridCol w:w="957"/>
        <w:gridCol w:w="1421"/>
        <w:gridCol w:w="1134"/>
        <w:gridCol w:w="1072"/>
        <w:gridCol w:w="567"/>
        <w:gridCol w:w="1030"/>
        <w:gridCol w:w="585"/>
        <w:gridCol w:w="941"/>
      </w:tblGrid>
      <w:tr w:rsidR="00216350" w:rsidRPr="00C03F77" w14:paraId="52E462E3" w14:textId="77777777" w:rsidTr="005A1F48">
        <w:trPr>
          <w:tblHeader/>
        </w:trPr>
        <w:tc>
          <w:tcPr>
            <w:tcW w:w="1101" w:type="dxa"/>
            <w:vMerge w:val="restart"/>
            <w:vAlign w:val="center"/>
          </w:tcPr>
          <w:p w14:paraId="355B0C76" w14:textId="77777777" w:rsidR="004E6D0F" w:rsidRPr="00C03F77" w:rsidRDefault="004E6D0F" w:rsidP="00E54D7E">
            <w:pPr>
              <w:jc w:val="center"/>
              <w:rPr>
                <w:rFonts w:ascii="Arial" w:hAnsi="Arial" w:cs="Arial"/>
                <w:b/>
                <w:bCs/>
                <w:color w:val="000000"/>
                <w:sz w:val="14"/>
                <w:szCs w:val="14"/>
                <w:lang w:eastAsia="es-AR"/>
              </w:rPr>
            </w:pPr>
            <w:bookmarkStart w:id="15" w:name="_Hlk15056036"/>
            <w:r w:rsidRPr="00C03F77">
              <w:rPr>
                <w:rFonts w:ascii="Arial" w:hAnsi="Arial" w:cs="Arial"/>
                <w:b/>
                <w:bCs/>
                <w:color w:val="000000"/>
                <w:sz w:val="14"/>
                <w:szCs w:val="14"/>
                <w:lang w:eastAsia="es-AR"/>
              </w:rPr>
              <w:t>Emisor</w:t>
            </w:r>
          </w:p>
        </w:tc>
        <w:tc>
          <w:tcPr>
            <w:tcW w:w="957" w:type="dxa"/>
            <w:vMerge w:val="restart"/>
            <w:shd w:val="clear" w:color="auto" w:fill="auto"/>
            <w:vAlign w:val="center"/>
            <w:hideMark/>
          </w:tcPr>
          <w:p w14:paraId="00F9E5FC" w14:textId="77777777"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Fideicomiso Financiero</w:t>
            </w:r>
          </w:p>
        </w:tc>
        <w:tc>
          <w:tcPr>
            <w:tcW w:w="1421" w:type="dxa"/>
            <w:vMerge w:val="restart"/>
            <w:shd w:val="clear" w:color="auto" w:fill="auto"/>
            <w:vAlign w:val="center"/>
            <w:hideMark/>
          </w:tcPr>
          <w:p w14:paraId="0DF8A33B" w14:textId="77777777"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Fecha de Constitución</w:t>
            </w:r>
          </w:p>
        </w:tc>
        <w:tc>
          <w:tcPr>
            <w:tcW w:w="1134" w:type="dxa"/>
            <w:vMerge w:val="restart"/>
            <w:vAlign w:val="center"/>
          </w:tcPr>
          <w:p w14:paraId="10D288FE" w14:textId="7140247A" w:rsidR="004E6D0F" w:rsidRPr="00C03F77" w:rsidRDefault="004E6D0F" w:rsidP="004E6D0F">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Fecha de Vencimiento</w:t>
            </w:r>
          </w:p>
        </w:tc>
        <w:tc>
          <w:tcPr>
            <w:tcW w:w="1072" w:type="dxa"/>
            <w:vMerge w:val="restart"/>
            <w:shd w:val="clear" w:color="auto" w:fill="auto"/>
            <w:vAlign w:val="center"/>
            <w:hideMark/>
          </w:tcPr>
          <w:p w14:paraId="169AC822" w14:textId="01C8D651"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Monto Securitizado</w:t>
            </w:r>
          </w:p>
        </w:tc>
        <w:tc>
          <w:tcPr>
            <w:tcW w:w="3123" w:type="dxa"/>
            <w:gridSpan w:val="4"/>
            <w:shd w:val="clear" w:color="auto" w:fill="auto"/>
            <w:vAlign w:val="center"/>
            <w:hideMark/>
          </w:tcPr>
          <w:p w14:paraId="4AFC7A15" w14:textId="77777777"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Valores emitidos</w:t>
            </w:r>
          </w:p>
        </w:tc>
      </w:tr>
      <w:tr w:rsidR="00216350" w:rsidRPr="00C03F77" w14:paraId="4F121DE7" w14:textId="77777777" w:rsidTr="005A1F48">
        <w:trPr>
          <w:tblHeader/>
        </w:trPr>
        <w:tc>
          <w:tcPr>
            <w:tcW w:w="1101" w:type="dxa"/>
            <w:vMerge/>
          </w:tcPr>
          <w:p w14:paraId="1EB28C2A" w14:textId="77777777" w:rsidR="004E6D0F" w:rsidRPr="00C03F77" w:rsidRDefault="004E6D0F" w:rsidP="00E54D7E">
            <w:pPr>
              <w:rPr>
                <w:rFonts w:ascii="Arial" w:hAnsi="Arial" w:cs="Arial"/>
                <w:b/>
                <w:bCs/>
                <w:color w:val="000000"/>
                <w:sz w:val="14"/>
                <w:szCs w:val="14"/>
                <w:lang w:eastAsia="es-AR"/>
              </w:rPr>
            </w:pPr>
          </w:p>
        </w:tc>
        <w:tc>
          <w:tcPr>
            <w:tcW w:w="957" w:type="dxa"/>
            <w:vMerge/>
            <w:vAlign w:val="center"/>
            <w:hideMark/>
          </w:tcPr>
          <w:p w14:paraId="42B7D7BD" w14:textId="77777777" w:rsidR="004E6D0F" w:rsidRPr="00C03F77" w:rsidRDefault="004E6D0F" w:rsidP="00E54D7E">
            <w:pPr>
              <w:rPr>
                <w:rFonts w:ascii="Arial" w:hAnsi="Arial" w:cs="Arial"/>
                <w:b/>
                <w:bCs/>
                <w:color w:val="000000"/>
                <w:sz w:val="14"/>
                <w:szCs w:val="14"/>
                <w:lang w:eastAsia="es-AR"/>
              </w:rPr>
            </w:pPr>
          </w:p>
        </w:tc>
        <w:tc>
          <w:tcPr>
            <w:tcW w:w="1421" w:type="dxa"/>
            <w:vMerge/>
            <w:vAlign w:val="center"/>
            <w:hideMark/>
          </w:tcPr>
          <w:p w14:paraId="21DC3525" w14:textId="77777777" w:rsidR="004E6D0F" w:rsidRPr="00C03F77" w:rsidRDefault="004E6D0F" w:rsidP="00E54D7E">
            <w:pPr>
              <w:rPr>
                <w:rFonts w:ascii="Arial" w:hAnsi="Arial" w:cs="Arial"/>
                <w:b/>
                <w:bCs/>
                <w:color w:val="000000"/>
                <w:sz w:val="14"/>
                <w:szCs w:val="14"/>
                <w:lang w:eastAsia="es-AR"/>
              </w:rPr>
            </w:pPr>
          </w:p>
        </w:tc>
        <w:tc>
          <w:tcPr>
            <w:tcW w:w="1134" w:type="dxa"/>
            <w:vMerge/>
          </w:tcPr>
          <w:p w14:paraId="20B753A2" w14:textId="10C281DF" w:rsidR="004E6D0F" w:rsidRPr="00C03F77" w:rsidRDefault="004E6D0F" w:rsidP="00E54D7E">
            <w:pPr>
              <w:rPr>
                <w:rFonts w:ascii="Arial" w:hAnsi="Arial" w:cs="Arial"/>
                <w:b/>
                <w:bCs/>
                <w:color w:val="000000"/>
                <w:sz w:val="14"/>
                <w:szCs w:val="14"/>
                <w:lang w:eastAsia="es-AR"/>
              </w:rPr>
            </w:pPr>
          </w:p>
        </w:tc>
        <w:tc>
          <w:tcPr>
            <w:tcW w:w="1072" w:type="dxa"/>
            <w:vMerge/>
            <w:vAlign w:val="center"/>
            <w:hideMark/>
          </w:tcPr>
          <w:p w14:paraId="17EF8ADC" w14:textId="77DE2827" w:rsidR="004E6D0F" w:rsidRPr="00C03F77" w:rsidRDefault="004E6D0F" w:rsidP="00E54D7E">
            <w:pPr>
              <w:rPr>
                <w:rFonts w:ascii="Arial" w:hAnsi="Arial" w:cs="Arial"/>
                <w:b/>
                <w:bCs/>
                <w:color w:val="000000"/>
                <w:sz w:val="14"/>
                <w:szCs w:val="14"/>
                <w:lang w:eastAsia="es-AR"/>
              </w:rPr>
            </w:pPr>
          </w:p>
        </w:tc>
        <w:tc>
          <w:tcPr>
            <w:tcW w:w="567" w:type="dxa"/>
            <w:shd w:val="clear" w:color="auto" w:fill="auto"/>
            <w:vAlign w:val="center"/>
            <w:hideMark/>
          </w:tcPr>
          <w:p w14:paraId="5BAED929" w14:textId="5B5F2E6B"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 xml:space="preserve">Tipo </w:t>
            </w:r>
          </w:p>
        </w:tc>
        <w:tc>
          <w:tcPr>
            <w:tcW w:w="1030" w:type="dxa"/>
            <w:shd w:val="clear" w:color="auto" w:fill="auto"/>
            <w:vAlign w:val="center"/>
            <w:hideMark/>
          </w:tcPr>
          <w:p w14:paraId="5DCDDF6C" w14:textId="77777777"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Cantidad</w:t>
            </w:r>
          </w:p>
        </w:tc>
        <w:tc>
          <w:tcPr>
            <w:tcW w:w="585" w:type="dxa"/>
            <w:shd w:val="clear" w:color="auto" w:fill="auto"/>
            <w:vAlign w:val="center"/>
            <w:hideMark/>
          </w:tcPr>
          <w:p w14:paraId="3E0110CB" w14:textId="2567E597"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 xml:space="preserve">Tipo </w:t>
            </w:r>
          </w:p>
        </w:tc>
        <w:tc>
          <w:tcPr>
            <w:tcW w:w="941" w:type="dxa"/>
            <w:shd w:val="clear" w:color="auto" w:fill="auto"/>
            <w:vAlign w:val="center"/>
            <w:hideMark/>
          </w:tcPr>
          <w:p w14:paraId="49EE1E6D" w14:textId="77777777" w:rsidR="004E6D0F" w:rsidRPr="00C03F77" w:rsidRDefault="004E6D0F" w:rsidP="00E54D7E">
            <w:pPr>
              <w:jc w:val="center"/>
              <w:rPr>
                <w:rFonts w:ascii="Arial" w:hAnsi="Arial" w:cs="Arial"/>
                <w:b/>
                <w:bCs/>
                <w:color w:val="000000"/>
                <w:sz w:val="14"/>
                <w:szCs w:val="14"/>
                <w:lang w:eastAsia="es-AR"/>
              </w:rPr>
            </w:pPr>
            <w:r w:rsidRPr="00C03F77">
              <w:rPr>
                <w:rFonts w:ascii="Arial" w:hAnsi="Arial" w:cs="Arial"/>
                <w:b/>
                <w:bCs/>
                <w:color w:val="000000"/>
                <w:sz w:val="14"/>
                <w:szCs w:val="14"/>
                <w:lang w:eastAsia="es-AR"/>
              </w:rPr>
              <w:t>Cantidad</w:t>
            </w:r>
          </w:p>
        </w:tc>
      </w:tr>
      <w:tr w:rsidR="006B422A" w:rsidRPr="00C03F77" w14:paraId="4A828E16" w14:textId="77777777" w:rsidTr="005A1F48">
        <w:tc>
          <w:tcPr>
            <w:tcW w:w="1101" w:type="dxa"/>
            <w:vAlign w:val="center"/>
          </w:tcPr>
          <w:p w14:paraId="05120CC0" w14:textId="51E740D6"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Cordial Compañía Financiera</w:t>
            </w:r>
          </w:p>
        </w:tc>
        <w:tc>
          <w:tcPr>
            <w:tcW w:w="957" w:type="dxa"/>
            <w:shd w:val="clear" w:color="auto" w:fill="auto"/>
            <w:vAlign w:val="center"/>
            <w:hideMark/>
          </w:tcPr>
          <w:p w14:paraId="207FCF75" w14:textId="6EF99B5B"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20</w:t>
            </w:r>
          </w:p>
        </w:tc>
        <w:tc>
          <w:tcPr>
            <w:tcW w:w="1421" w:type="dxa"/>
            <w:shd w:val="clear" w:color="auto" w:fill="auto"/>
            <w:vAlign w:val="center"/>
            <w:hideMark/>
          </w:tcPr>
          <w:p w14:paraId="62468DB3" w14:textId="77375C76"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08/04/2019</w:t>
            </w:r>
          </w:p>
        </w:tc>
        <w:tc>
          <w:tcPr>
            <w:tcW w:w="1134" w:type="dxa"/>
            <w:vAlign w:val="center"/>
          </w:tcPr>
          <w:p w14:paraId="6F16E8EB" w14:textId="1C8781D8" w:rsidR="006B422A" w:rsidRPr="00C03F77" w:rsidRDefault="006B422A" w:rsidP="006B422A">
            <w:pPr>
              <w:jc w:val="center"/>
              <w:rPr>
                <w:rFonts w:ascii="Arial" w:hAnsi="Arial" w:cs="Arial"/>
                <w:color w:val="000000"/>
                <w:sz w:val="16"/>
                <w:szCs w:val="16"/>
                <w:lang w:eastAsia="es-AR"/>
              </w:rPr>
            </w:pPr>
            <w:r w:rsidRPr="00C03F77">
              <w:rPr>
                <w:rFonts w:ascii="Arial" w:hAnsi="Arial" w:cs="Arial"/>
                <w:bCs/>
                <w:color w:val="000000"/>
                <w:sz w:val="16"/>
                <w:szCs w:val="16"/>
              </w:rPr>
              <w:t>15/01/2022</w:t>
            </w:r>
          </w:p>
        </w:tc>
        <w:tc>
          <w:tcPr>
            <w:tcW w:w="1072" w:type="dxa"/>
            <w:shd w:val="clear" w:color="auto" w:fill="auto"/>
            <w:vAlign w:val="center"/>
            <w:hideMark/>
          </w:tcPr>
          <w:p w14:paraId="47B6EFD5" w14:textId="5F8E73D8"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$ 600.000</w:t>
            </w:r>
          </w:p>
        </w:tc>
        <w:tc>
          <w:tcPr>
            <w:tcW w:w="567" w:type="dxa"/>
            <w:shd w:val="clear" w:color="auto" w:fill="auto"/>
            <w:vAlign w:val="center"/>
            <w:hideMark/>
          </w:tcPr>
          <w:p w14:paraId="501B961F" w14:textId="338BFDB8"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VDF</w:t>
            </w:r>
          </w:p>
        </w:tc>
        <w:tc>
          <w:tcPr>
            <w:tcW w:w="1030" w:type="dxa"/>
            <w:shd w:val="clear" w:color="auto" w:fill="auto"/>
            <w:vAlign w:val="center"/>
            <w:hideMark/>
          </w:tcPr>
          <w:p w14:paraId="4D5AF1A3" w14:textId="0EF86798"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VN$ 480.000</w:t>
            </w:r>
          </w:p>
        </w:tc>
        <w:tc>
          <w:tcPr>
            <w:tcW w:w="585" w:type="dxa"/>
            <w:shd w:val="clear" w:color="auto" w:fill="auto"/>
            <w:vAlign w:val="center"/>
            <w:hideMark/>
          </w:tcPr>
          <w:p w14:paraId="34F4D3E8" w14:textId="39ECE752"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CP</w:t>
            </w:r>
          </w:p>
        </w:tc>
        <w:tc>
          <w:tcPr>
            <w:tcW w:w="941" w:type="dxa"/>
            <w:shd w:val="clear" w:color="auto" w:fill="auto"/>
            <w:vAlign w:val="center"/>
            <w:hideMark/>
          </w:tcPr>
          <w:p w14:paraId="2F722F05" w14:textId="652834A5"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VN$ 120.000</w:t>
            </w:r>
          </w:p>
        </w:tc>
      </w:tr>
      <w:tr w:rsidR="006B422A" w:rsidRPr="00C03F77" w14:paraId="14CC412D" w14:textId="77777777" w:rsidTr="005A1F48">
        <w:tc>
          <w:tcPr>
            <w:tcW w:w="1101" w:type="dxa"/>
            <w:vAlign w:val="center"/>
          </w:tcPr>
          <w:p w14:paraId="1E629B0D" w14:textId="780186FD"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Cordial Compañía Financiera</w:t>
            </w:r>
          </w:p>
        </w:tc>
        <w:tc>
          <w:tcPr>
            <w:tcW w:w="957" w:type="dxa"/>
            <w:shd w:val="clear" w:color="auto" w:fill="auto"/>
            <w:vAlign w:val="center"/>
          </w:tcPr>
          <w:p w14:paraId="47E31199" w14:textId="5FA2D450"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21</w:t>
            </w:r>
          </w:p>
        </w:tc>
        <w:tc>
          <w:tcPr>
            <w:tcW w:w="1421" w:type="dxa"/>
            <w:shd w:val="clear" w:color="auto" w:fill="auto"/>
            <w:vAlign w:val="center"/>
          </w:tcPr>
          <w:p w14:paraId="6D26E62F" w14:textId="1F9CFBD4"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24/06/2019</w:t>
            </w:r>
          </w:p>
        </w:tc>
        <w:tc>
          <w:tcPr>
            <w:tcW w:w="1134" w:type="dxa"/>
            <w:vAlign w:val="center"/>
          </w:tcPr>
          <w:p w14:paraId="08597D7B" w14:textId="14397553" w:rsidR="006B422A" w:rsidRPr="00C03F77" w:rsidRDefault="006B422A" w:rsidP="006B422A">
            <w:pPr>
              <w:jc w:val="center"/>
              <w:rPr>
                <w:rFonts w:ascii="Arial" w:hAnsi="Arial" w:cs="Arial"/>
                <w:bCs/>
                <w:color w:val="000000"/>
                <w:sz w:val="16"/>
                <w:szCs w:val="16"/>
              </w:rPr>
            </w:pPr>
            <w:r w:rsidRPr="00C03F77">
              <w:rPr>
                <w:rFonts w:ascii="Arial" w:hAnsi="Arial" w:cs="Arial"/>
                <w:color w:val="000000"/>
                <w:sz w:val="16"/>
                <w:szCs w:val="16"/>
                <w:lang w:eastAsia="es-AR"/>
              </w:rPr>
              <w:t>15/06/2022</w:t>
            </w:r>
          </w:p>
        </w:tc>
        <w:tc>
          <w:tcPr>
            <w:tcW w:w="1072" w:type="dxa"/>
            <w:shd w:val="clear" w:color="auto" w:fill="auto"/>
            <w:vAlign w:val="center"/>
          </w:tcPr>
          <w:p w14:paraId="6C2F9A71" w14:textId="44F9918A"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$ 1.000.000</w:t>
            </w:r>
          </w:p>
        </w:tc>
        <w:tc>
          <w:tcPr>
            <w:tcW w:w="567" w:type="dxa"/>
            <w:shd w:val="clear" w:color="auto" w:fill="auto"/>
            <w:vAlign w:val="center"/>
          </w:tcPr>
          <w:p w14:paraId="7944DB2E" w14:textId="09F968A5"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VDF</w:t>
            </w:r>
          </w:p>
        </w:tc>
        <w:tc>
          <w:tcPr>
            <w:tcW w:w="1030" w:type="dxa"/>
            <w:shd w:val="clear" w:color="auto" w:fill="auto"/>
            <w:vAlign w:val="center"/>
          </w:tcPr>
          <w:p w14:paraId="619976E9" w14:textId="17583AB2"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VN$ 220.000</w:t>
            </w:r>
          </w:p>
        </w:tc>
        <w:tc>
          <w:tcPr>
            <w:tcW w:w="585" w:type="dxa"/>
            <w:shd w:val="clear" w:color="auto" w:fill="auto"/>
            <w:vAlign w:val="center"/>
          </w:tcPr>
          <w:p w14:paraId="5773A495" w14:textId="11C27232"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CP</w:t>
            </w:r>
          </w:p>
        </w:tc>
        <w:tc>
          <w:tcPr>
            <w:tcW w:w="941" w:type="dxa"/>
            <w:shd w:val="clear" w:color="auto" w:fill="auto"/>
            <w:vAlign w:val="center"/>
          </w:tcPr>
          <w:p w14:paraId="0A7DBD1A" w14:textId="00685F4E"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VN$ 780.000</w:t>
            </w:r>
          </w:p>
        </w:tc>
      </w:tr>
      <w:tr w:rsidR="006B422A" w:rsidRPr="00C03F77" w14:paraId="38BA6BE0" w14:textId="77777777" w:rsidTr="005A1F48">
        <w:tc>
          <w:tcPr>
            <w:tcW w:w="1101" w:type="dxa"/>
            <w:vAlign w:val="center"/>
          </w:tcPr>
          <w:p w14:paraId="1B560971" w14:textId="4A583A71"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Cordial Compañía Financiera</w:t>
            </w:r>
          </w:p>
        </w:tc>
        <w:tc>
          <w:tcPr>
            <w:tcW w:w="957" w:type="dxa"/>
            <w:shd w:val="clear" w:color="auto" w:fill="auto"/>
            <w:vAlign w:val="center"/>
            <w:hideMark/>
          </w:tcPr>
          <w:p w14:paraId="4EB4FD8E" w14:textId="27C85A03"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22</w:t>
            </w:r>
          </w:p>
        </w:tc>
        <w:tc>
          <w:tcPr>
            <w:tcW w:w="1421" w:type="dxa"/>
            <w:shd w:val="clear" w:color="auto" w:fill="auto"/>
            <w:vAlign w:val="center"/>
            <w:hideMark/>
          </w:tcPr>
          <w:p w14:paraId="107011B2" w14:textId="3275C002"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13/11/2019</w:t>
            </w:r>
          </w:p>
        </w:tc>
        <w:tc>
          <w:tcPr>
            <w:tcW w:w="1134" w:type="dxa"/>
            <w:vAlign w:val="center"/>
          </w:tcPr>
          <w:p w14:paraId="5DAD80CE" w14:textId="2E9EC769"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15/01/2021</w:t>
            </w:r>
          </w:p>
        </w:tc>
        <w:tc>
          <w:tcPr>
            <w:tcW w:w="1072" w:type="dxa"/>
            <w:shd w:val="clear" w:color="auto" w:fill="auto"/>
            <w:vAlign w:val="center"/>
            <w:hideMark/>
          </w:tcPr>
          <w:p w14:paraId="36639CBA" w14:textId="7E595FF3"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$ 571.560</w:t>
            </w:r>
          </w:p>
        </w:tc>
        <w:tc>
          <w:tcPr>
            <w:tcW w:w="567" w:type="dxa"/>
            <w:shd w:val="clear" w:color="auto" w:fill="auto"/>
            <w:vAlign w:val="center"/>
            <w:hideMark/>
          </w:tcPr>
          <w:p w14:paraId="268054DA" w14:textId="61907FD7"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VDF</w:t>
            </w:r>
          </w:p>
        </w:tc>
        <w:tc>
          <w:tcPr>
            <w:tcW w:w="1030" w:type="dxa"/>
            <w:shd w:val="clear" w:color="auto" w:fill="auto"/>
            <w:vAlign w:val="center"/>
            <w:hideMark/>
          </w:tcPr>
          <w:p w14:paraId="2443FB66" w14:textId="37D670D9"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VN$ 469.260</w:t>
            </w:r>
          </w:p>
        </w:tc>
        <w:tc>
          <w:tcPr>
            <w:tcW w:w="585" w:type="dxa"/>
            <w:shd w:val="clear" w:color="auto" w:fill="auto"/>
            <w:vAlign w:val="center"/>
            <w:hideMark/>
          </w:tcPr>
          <w:p w14:paraId="5F10477A" w14:textId="6F83E411"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CP</w:t>
            </w:r>
          </w:p>
        </w:tc>
        <w:tc>
          <w:tcPr>
            <w:tcW w:w="941" w:type="dxa"/>
            <w:shd w:val="clear" w:color="auto" w:fill="auto"/>
            <w:vAlign w:val="center"/>
            <w:hideMark/>
          </w:tcPr>
          <w:p w14:paraId="0E9301D8" w14:textId="462C54DA" w:rsidR="006B422A" w:rsidRPr="00C03F77" w:rsidRDefault="006B422A" w:rsidP="006B422A">
            <w:pPr>
              <w:jc w:val="center"/>
              <w:rPr>
                <w:rFonts w:ascii="Arial" w:hAnsi="Arial" w:cs="Arial"/>
                <w:color w:val="000000"/>
                <w:sz w:val="16"/>
                <w:szCs w:val="16"/>
                <w:lang w:eastAsia="es-AR"/>
              </w:rPr>
            </w:pPr>
            <w:r w:rsidRPr="00C03F77">
              <w:rPr>
                <w:rFonts w:ascii="Arial" w:hAnsi="Arial" w:cs="Arial"/>
                <w:color w:val="000000"/>
                <w:sz w:val="16"/>
                <w:szCs w:val="16"/>
                <w:lang w:eastAsia="es-AR"/>
              </w:rPr>
              <w:t>VN$ 102.300</w:t>
            </w:r>
          </w:p>
        </w:tc>
      </w:tr>
      <w:bookmarkEnd w:id="15"/>
    </w:tbl>
    <w:p w14:paraId="120F07B1" w14:textId="6C75B569" w:rsidR="00E54D7E" w:rsidRPr="00C03F77" w:rsidRDefault="00E54D7E" w:rsidP="00E54D7E">
      <w:pPr>
        <w:spacing w:line="259" w:lineRule="auto"/>
        <w:jc w:val="both"/>
        <w:rPr>
          <w:rFonts w:ascii="Arial" w:eastAsia="Calibri" w:hAnsi="Arial" w:cs="Arial"/>
          <w:sz w:val="14"/>
        </w:rPr>
      </w:pPr>
    </w:p>
    <w:p w14:paraId="09C0FB0B" w14:textId="77777777" w:rsidR="00216350" w:rsidRPr="00C03F77" w:rsidRDefault="00216350" w:rsidP="00216350">
      <w:pPr>
        <w:spacing w:after="160" w:line="259" w:lineRule="auto"/>
        <w:jc w:val="both"/>
        <w:rPr>
          <w:rFonts w:ascii="Arial" w:eastAsia="Calibri" w:hAnsi="Arial" w:cs="Arial"/>
          <w:sz w:val="20"/>
        </w:rPr>
      </w:pPr>
      <w:r w:rsidRPr="00C03F77">
        <w:rPr>
          <w:rFonts w:ascii="Arial" w:eastAsia="Calibri" w:hAnsi="Arial" w:cs="Arial"/>
          <w:sz w:val="20"/>
        </w:rPr>
        <w:t>El Banco controla una entidad estructurada cuando está expuesto a, o tiene derecho a, retornos variables y tiene la capacidad de afectar esos retornos a través de su poder para dirigir las actividades de la entidad. Las entidades estructuradas se consolidan a partir de la fecha en que el control es transferido al Banco, dejándose de consolidar a partir de la fecha en que cesa el control.</w:t>
      </w:r>
    </w:p>
    <w:p w14:paraId="4B6B9283" w14:textId="4E8EED56" w:rsidR="00216350" w:rsidRPr="00C03F77" w:rsidRDefault="00042B27" w:rsidP="00216350">
      <w:pPr>
        <w:spacing w:after="160" w:line="259" w:lineRule="auto"/>
        <w:jc w:val="both"/>
        <w:rPr>
          <w:rFonts w:ascii="Arial" w:eastAsia="Calibri" w:hAnsi="Arial" w:cs="Arial"/>
          <w:sz w:val="20"/>
        </w:rPr>
      </w:pPr>
      <w:r w:rsidRPr="00C03F77">
        <w:rPr>
          <w:rFonts w:ascii="Arial" w:eastAsia="Calibri" w:hAnsi="Arial" w:cs="Arial"/>
          <w:sz w:val="20"/>
        </w:rPr>
        <w:t>En relación con</w:t>
      </w:r>
      <w:r w:rsidR="00216350" w:rsidRPr="00C03F77">
        <w:rPr>
          <w:rFonts w:ascii="Arial" w:eastAsia="Calibri" w:hAnsi="Arial" w:cs="Arial"/>
          <w:sz w:val="20"/>
        </w:rPr>
        <w:t xml:space="preserve"> los fideicomisos financieros, la Entidad ha evaluado las siguientes consideraciones:</w:t>
      </w:r>
    </w:p>
    <w:p w14:paraId="78E08A4C" w14:textId="77777777" w:rsidR="00216350" w:rsidRPr="00C03F77" w:rsidRDefault="00216350" w:rsidP="00627289">
      <w:pPr>
        <w:numPr>
          <w:ilvl w:val="0"/>
          <w:numId w:val="31"/>
        </w:numPr>
        <w:spacing w:after="160" w:line="259" w:lineRule="auto"/>
        <w:contextualSpacing/>
        <w:jc w:val="both"/>
        <w:rPr>
          <w:rFonts w:ascii="Arial" w:eastAsia="Calibri" w:hAnsi="Arial" w:cs="Arial"/>
          <w:sz w:val="20"/>
        </w:rPr>
      </w:pPr>
      <w:r w:rsidRPr="00C03F77">
        <w:rPr>
          <w:rFonts w:ascii="Arial" w:eastAsia="Calibri" w:hAnsi="Arial" w:cs="Arial"/>
          <w:sz w:val="20"/>
        </w:rPr>
        <w:t>El propósito y el diseño de una participada.</w:t>
      </w:r>
    </w:p>
    <w:p w14:paraId="5926763A" w14:textId="77777777" w:rsidR="00216350" w:rsidRPr="00C03F77" w:rsidRDefault="00216350" w:rsidP="00627289">
      <w:pPr>
        <w:numPr>
          <w:ilvl w:val="0"/>
          <w:numId w:val="31"/>
        </w:numPr>
        <w:spacing w:after="160" w:line="259" w:lineRule="auto"/>
        <w:contextualSpacing/>
        <w:jc w:val="both"/>
        <w:rPr>
          <w:rFonts w:ascii="Arial" w:eastAsia="Calibri" w:hAnsi="Arial" w:cs="Arial"/>
          <w:sz w:val="20"/>
        </w:rPr>
      </w:pPr>
      <w:r w:rsidRPr="00C03F77">
        <w:rPr>
          <w:rFonts w:ascii="Arial" w:eastAsia="Calibri" w:hAnsi="Arial" w:cs="Arial"/>
          <w:sz w:val="20"/>
        </w:rPr>
        <w:t>Cuáles son las actividades relevantes.</w:t>
      </w:r>
    </w:p>
    <w:p w14:paraId="33926936" w14:textId="77777777" w:rsidR="00216350" w:rsidRPr="00C03F77" w:rsidRDefault="00216350" w:rsidP="00627289">
      <w:pPr>
        <w:numPr>
          <w:ilvl w:val="0"/>
          <w:numId w:val="31"/>
        </w:numPr>
        <w:spacing w:after="160" w:line="259" w:lineRule="auto"/>
        <w:contextualSpacing/>
        <w:jc w:val="both"/>
        <w:rPr>
          <w:rFonts w:ascii="Arial" w:eastAsia="Calibri" w:hAnsi="Arial" w:cs="Arial"/>
          <w:sz w:val="20"/>
        </w:rPr>
      </w:pPr>
      <w:r w:rsidRPr="00C03F77">
        <w:rPr>
          <w:rFonts w:ascii="Arial" w:eastAsia="Calibri" w:hAnsi="Arial" w:cs="Arial"/>
          <w:sz w:val="20"/>
        </w:rPr>
        <w:t>Cómo se toman las decisiones sobre esas actividades.</w:t>
      </w:r>
    </w:p>
    <w:p w14:paraId="12DB03CD" w14:textId="77777777" w:rsidR="00216350" w:rsidRPr="00C03F77" w:rsidRDefault="00216350" w:rsidP="00627289">
      <w:pPr>
        <w:numPr>
          <w:ilvl w:val="0"/>
          <w:numId w:val="31"/>
        </w:numPr>
        <w:spacing w:after="160" w:line="259" w:lineRule="auto"/>
        <w:contextualSpacing/>
        <w:jc w:val="both"/>
        <w:rPr>
          <w:rFonts w:ascii="Arial" w:eastAsia="Calibri" w:hAnsi="Arial" w:cs="Arial"/>
          <w:sz w:val="20"/>
        </w:rPr>
      </w:pPr>
      <w:r w:rsidRPr="00C03F77">
        <w:rPr>
          <w:rFonts w:ascii="Arial" w:eastAsia="Calibri" w:hAnsi="Arial" w:cs="Arial"/>
          <w:sz w:val="20"/>
        </w:rPr>
        <w:t>Si los derechos del inversor le otorgan la capacidad actual de dirigir las actividades relevantes.</w:t>
      </w:r>
    </w:p>
    <w:p w14:paraId="772D9860" w14:textId="77777777" w:rsidR="00216350" w:rsidRPr="00C03F77" w:rsidRDefault="00216350" w:rsidP="00627289">
      <w:pPr>
        <w:numPr>
          <w:ilvl w:val="0"/>
          <w:numId w:val="31"/>
        </w:numPr>
        <w:spacing w:after="160" w:line="259" w:lineRule="auto"/>
        <w:contextualSpacing/>
        <w:jc w:val="both"/>
        <w:rPr>
          <w:rFonts w:ascii="Arial" w:eastAsia="Calibri" w:hAnsi="Arial" w:cs="Arial"/>
          <w:sz w:val="20"/>
        </w:rPr>
      </w:pPr>
      <w:r w:rsidRPr="00C03F77">
        <w:rPr>
          <w:rFonts w:ascii="Arial" w:eastAsia="Calibri" w:hAnsi="Arial" w:cs="Arial"/>
          <w:sz w:val="20"/>
        </w:rPr>
        <w:t>Si el inversor está expuesto, o tiene derecho, a los rendimientos variables de su participación en la participada.</w:t>
      </w:r>
    </w:p>
    <w:p w14:paraId="2B3B90F7" w14:textId="77777777" w:rsidR="00216350" w:rsidRPr="00C03F77" w:rsidRDefault="00216350" w:rsidP="00627289">
      <w:pPr>
        <w:numPr>
          <w:ilvl w:val="0"/>
          <w:numId w:val="31"/>
        </w:numPr>
        <w:tabs>
          <w:tab w:val="left" w:pos="0"/>
        </w:tabs>
        <w:spacing w:after="160" w:line="259" w:lineRule="auto"/>
        <w:contextualSpacing/>
        <w:jc w:val="both"/>
        <w:rPr>
          <w:rFonts w:ascii="Arial" w:eastAsia="Calibri" w:hAnsi="Arial" w:cs="Arial"/>
          <w:sz w:val="20"/>
        </w:rPr>
      </w:pPr>
      <w:r w:rsidRPr="00C03F77">
        <w:rPr>
          <w:rFonts w:ascii="Arial" w:eastAsia="Calibri" w:hAnsi="Arial" w:cs="Arial"/>
          <w:sz w:val="20"/>
        </w:rPr>
        <w:t>Si el inversionista tiene la capacidad de usar su poder sobre la participada para afectar el monto de los rendimientos del inversor.</w:t>
      </w:r>
    </w:p>
    <w:p w14:paraId="27351166" w14:textId="77777777" w:rsidR="00216350" w:rsidRPr="00C03F77" w:rsidRDefault="00216350" w:rsidP="00216350">
      <w:pPr>
        <w:tabs>
          <w:tab w:val="left" w:pos="0"/>
        </w:tabs>
        <w:spacing w:after="160" w:line="259" w:lineRule="auto"/>
        <w:ind w:left="720"/>
        <w:contextualSpacing/>
        <w:jc w:val="both"/>
        <w:rPr>
          <w:rFonts w:ascii="Arial" w:eastAsia="Calibri" w:hAnsi="Arial" w:cs="Arial"/>
          <w:sz w:val="20"/>
        </w:rPr>
      </w:pPr>
    </w:p>
    <w:p w14:paraId="39E93C57" w14:textId="77777777" w:rsidR="00216350" w:rsidRPr="00C03F77" w:rsidRDefault="00216350" w:rsidP="00216350">
      <w:pPr>
        <w:spacing w:after="160" w:line="259" w:lineRule="auto"/>
        <w:jc w:val="both"/>
        <w:rPr>
          <w:rFonts w:ascii="Arial" w:eastAsia="Calibri" w:hAnsi="Arial" w:cs="Arial"/>
          <w:sz w:val="20"/>
        </w:rPr>
      </w:pPr>
      <w:r w:rsidRPr="00C03F77">
        <w:rPr>
          <w:rFonts w:ascii="Arial" w:eastAsia="Calibri" w:hAnsi="Arial" w:cs="Arial"/>
          <w:sz w:val="20"/>
        </w:rPr>
        <w:t>En base a lo anterior, el Banco ha concluido que tiene el control de estos fideicomisos financieros y como consecuencia, estas entidades estructuradas han sido consolidadas.</w:t>
      </w:r>
    </w:p>
    <w:p w14:paraId="6C6DC25F" w14:textId="4CC20B86" w:rsidR="00F77F7F" w:rsidRPr="00C03F77" w:rsidRDefault="00F74879" w:rsidP="00F74879">
      <w:pPr>
        <w:spacing w:after="160" w:line="259" w:lineRule="auto"/>
        <w:jc w:val="both"/>
        <w:rPr>
          <w:rFonts w:ascii="Arial" w:eastAsia="Calibri" w:hAnsi="Arial" w:cs="Arial"/>
          <w:sz w:val="20"/>
        </w:rPr>
      </w:pPr>
      <w:bookmarkStart w:id="16" w:name="_Hlk15638820"/>
      <w:r w:rsidRPr="00C03F77">
        <w:rPr>
          <w:rFonts w:ascii="Arial" w:eastAsia="Calibri" w:hAnsi="Arial" w:cs="Arial"/>
          <w:sz w:val="20"/>
        </w:rPr>
        <w:t>El siguiente cuadro presenta el valor en libros y la clasificación de los activos y pasivos de las entidades estructuradas que se han consolidado al 3</w:t>
      </w:r>
      <w:r w:rsidR="00291D30" w:rsidRPr="00C03F77">
        <w:rPr>
          <w:rFonts w:ascii="Arial" w:eastAsia="Calibri" w:hAnsi="Arial" w:cs="Arial"/>
          <w:sz w:val="20"/>
        </w:rPr>
        <w:t>1</w:t>
      </w:r>
      <w:r w:rsidRPr="00C03F77">
        <w:rPr>
          <w:rFonts w:ascii="Arial" w:eastAsia="Calibri" w:hAnsi="Arial" w:cs="Arial"/>
          <w:sz w:val="20"/>
        </w:rPr>
        <w:t xml:space="preserve"> de </w:t>
      </w:r>
      <w:r w:rsidR="00291D30" w:rsidRPr="00C03F77">
        <w:rPr>
          <w:rFonts w:ascii="Arial" w:eastAsia="Calibri" w:hAnsi="Arial" w:cs="Arial"/>
          <w:sz w:val="20"/>
        </w:rPr>
        <w:t>marzo</w:t>
      </w:r>
      <w:r w:rsidRPr="00C03F77">
        <w:rPr>
          <w:rFonts w:ascii="Arial" w:eastAsia="Calibri" w:hAnsi="Arial" w:cs="Arial"/>
          <w:sz w:val="20"/>
        </w:rPr>
        <w:t xml:space="preserve"> de 20</w:t>
      </w:r>
      <w:r w:rsidR="00291D30" w:rsidRPr="00C03F77">
        <w:rPr>
          <w:rFonts w:ascii="Arial" w:eastAsia="Calibri" w:hAnsi="Arial" w:cs="Arial"/>
          <w:sz w:val="20"/>
        </w:rPr>
        <w:t>20</w:t>
      </w:r>
      <w:r w:rsidRPr="00C03F77">
        <w:rPr>
          <w:rFonts w:ascii="Arial" w:eastAsia="Calibri" w:hAnsi="Arial" w:cs="Arial"/>
          <w:sz w:val="20"/>
        </w:rPr>
        <w:t>, a saber:</w:t>
      </w:r>
    </w:p>
    <w:tbl>
      <w:tblPr>
        <w:tblW w:w="4740" w:type="dxa"/>
        <w:jc w:val="center"/>
        <w:tblCellMar>
          <w:left w:w="70" w:type="dxa"/>
          <w:right w:w="70" w:type="dxa"/>
        </w:tblCellMar>
        <w:tblLook w:val="04A0" w:firstRow="1" w:lastRow="0" w:firstColumn="1" w:lastColumn="0" w:noHBand="0" w:noVBand="1"/>
      </w:tblPr>
      <w:tblGrid>
        <w:gridCol w:w="2959"/>
        <w:gridCol w:w="1781"/>
      </w:tblGrid>
      <w:tr w:rsidR="00F74879" w:rsidRPr="00C03F77" w14:paraId="0D03DF30" w14:textId="77777777" w:rsidTr="00066653">
        <w:trPr>
          <w:trHeight w:val="403"/>
          <w:jc w:val="center"/>
        </w:trPr>
        <w:tc>
          <w:tcPr>
            <w:tcW w:w="29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180F6F" w14:textId="77777777" w:rsidR="00F74879" w:rsidRPr="00C03F77" w:rsidRDefault="00F74879" w:rsidP="0084502B">
            <w:pPr>
              <w:jc w:val="both"/>
              <w:rPr>
                <w:rFonts w:ascii="Arial" w:hAnsi="Arial" w:cs="Arial"/>
                <w:color w:val="000000"/>
                <w:sz w:val="16"/>
                <w:lang w:eastAsia="es-AR"/>
              </w:rPr>
            </w:pPr>
          </w:p>
          <w:p w14:paraId="2614E679" w14:textId="77777777" w:rsidR="00F74879" w:rsidRPr="00C03F77" w:rsidRDefault="00F74879" w:rsidP="0084502B">
            <w:pPr>
              <w:jc w:val="both"/>
              <w:rPr>
                <w:rFonts w:ascii="Arial" w:hAnsi="Arial" w:cs="Arial"/>
                <w:color w:val="000000"/>
                <w:sz w:val="16"/>
                <w:lang w:eastAsia="es-AR"/>
              </w:rPr>
            </w:pPr>
            <w:r w:rsidRPr="00C03F77">
              <w:rPr>
                <w:rFonts w:ascii="Arial" w:hAnsi="Arial" w:cs="Arial"/>
                <w:color w:val="000000"/>
                <w:sz w:val="16"/>
                <w:lang w:eastAsia="es-AR"/>
              </w:rPr>
              <w:t> </w:t>
            </w:r>
          </w:p>
        </w:tc>
        <w:tc>
          <w:tcPr>
            <w:tcW w:w="1781" w:type="dxa"/>
            <w:tcBorders>
              <w:top w:val="single" w:sz="8" w:space="0" w:color="auto"/>
              <w:left w:val="nil"/>
              <w:bottom w:val="single" w:sz="8" w:space="0" w:color="auto"/>
              <w:right w:val="single" w:sz="8" w:space="0" w:color="auto"/>
            </w:tcBorders>
            <w:shd w:val="clear" w:color="auto" w:fill="auto"/>
            <w:vAlign w:val="center"/>
            <w:hideMark/>
          </w:tcPr>
          <w:p w14:paraId="0ADA7EEF" w14:textId="21BEFE0B" w:rsidR="00F74879" w:rsidRPr="00C03F77" w:rsidRDefault="00F74879" w:rsidP="0084502B">
            <w:pPr>
              <w:jc w:val="center"/>
              <w:rPr>
                <w:rFonts w:ascii="Arial" w:hAnsi="Arial" w:cs="Arial"/>
                <w:b/>
                <w:bCs/>
                <w:color w:val="000000"/>
                <w:sz w:val="16"/>
                <w:lang w:eastAsia="es-AR"/>
              </w:rPr>
            </w:pPr>
            <w:r w:rsidRPr="00C03F77">
              <w:rPr>
                <w:rFonts w:ascii="Arial" w:hAnsi="Arial" w:cs="Arial"/>
                <w:b/>
                <w:bCs/>
                <w:color w:val="000000"/>
                <w:sz w:val="16"/>
                <w:lang w:eastAsia="es-AR"/>
              </w:rPr>
              <w:t>3</w:t>
            </w:r>
            <w:r w:rsidR="007D54C2" w:rsidRPr="00C03F77">
              <w:rPr>
                <w:rFonts w:ascii="Arial" w:hAnsi="Arial" w:cs="Arial"/>
                <w:b/>
                <w:bCs/>
                <w:color w:val="000000"/>
                <w:sz w:val="16"/>
                <w:lang w:eastAsia="es-AR"/>
              </w:rPr>
              <w:t>1</w:t>
            </w:r>
            <w:r w:rsidRPr="00C03F77">
              <w:rPr>
                <w:rFonts w:ascii="Arial" w:hAnsi="Arial" w:cs="Arial"/>
                <w:b/>
                <w:bCs/>
                <w:color w:val="000000"/>
                <w:sz w:val="16"/>
                <w:lang w:eastAsia="es-AR"/>
              </w:rPr>
              <w:t>/0</w:t>
            </w:r>
            <w:r w:rsidR="007D54C2" w:rsidRPr="00C03F77">
              <w:rPr>
                <w:rFonts w:ascii="Arial" w:hAnsi="Arial" w:cs="Arial"/>
                <w:b/>
                <w:bCs/>
                <w:color w:val="000000"/>
                <w:sz w:val="16"/>
                <w:lang w:eastAsia="es-AR"/>
              </w:rPr>
              <w:t>3</w:t>
            </w:r>
            <w:r w:rsidRPr="00C03F77">
              <w:rPr>
                <w:rFonts w:ascii="Arial" w:hAnsi="Arial" w:cs="Arial"/>
                <w:b/>
                <w:bCs/>
                <w:color w:val="000000"/>
                <w:sz w:val="16"/>
                <w:lang w:eastAsia="es-AR"/>
              </w:rPr>
              <w:t>/20</w:t>
            </w:r>
            <w:r w:rsidR="007D1083" w:rsidRPr="00C03F77">
              <w:rPr>
                <w:rFonts w:ascii="Arial" w:hAnsi="Arial" w:cs="Arial"/>
                <w:b/>
                <w:bCs/>
                <w:color w:val="000000"/>
                <w:sz w:val="16"/>
                <w:lang w:eastAsia="es-AR"/>
              </w:rPr>
              <w:t>20</w:t>
            </w:r>
          </w:p>
        </w:tc>
      </w:tr>
      <w:tr w:rsidR="00F74879" w:rsidRPr="00C03F77" w14:paraId="750D6508" w14:textId="77777777" w:rsidTr="00066653">
        <w:trPr>
          <w:trHeight w:val="157"/>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6895E5BD" w14:textId="77777777" w:rsidR="00F74879" w:rsidRPr="00C03F77" w:rsidRDefault="00F74879" w:rsidP="0084502B">
            <w:pPr>
              <w:rPr>
                <w:rFonts w:ascii="Arial" w:hAnsi="Arial" w:cs="Arial"/>
                <w:b/>
                <w:bCs/>
                <w:color w:val="000000"/>
                <w:sz w:val="16"/>
                <w:lang w:eastAsia="es-AR"/>
              </w:rPr>
            </w:pPr>
            <w:r w:rsidRPr="00C03F77">
              <w:rPr>
                <w:rFonts w:ascii="Arial" w:hAnsi="Arial" w:cs="Arial"/>
                <w:b/>
                <w:bCs/>
                <w:color w:val="000000"/>
                <w:sz w:val="16"/>
                <w:lang w:eastAsia="es-AR"/>
              </w:rPr>
              <w:t>Activos</w:t>
            </w:r>
          </w:p>
        </w:tc>
        <w:tc>
          <w:tcPr>
            <w:tcW w:w="1781" w:type="dxa"/>
            <w:tcBorders>
              <w:top w:val="nil"/>
              <w:left w:val="nil"/>
              <w:bottom w:val="single" w:sz="8" w:space="0" w:color="auto"/>
              <w:right w:val="single" w:sz="8" w:space="0" w:color="auto"/>
            </w:tcBorders>
            <w:shd w:val="clear" w:color="auto" w:fill="auto"/>
            <w:vAlign w:val="bottom"/>
            <w:hideMark/>
          </w:tcPr>
          <w:p w14:paraId="599B716E" w14:textId="77777777" w:rsidR="00F74879" w:rsidRPr="00C03F77" w:rsidRDefault="00F74879" w:rsidP="0084502B">
            <w:pPr>
              <w:jc w:val="right"/>
              <w:rPr>
                <w:rFonts w:ascii="Arial" w:hAnsi="Arial" w:cs="Arial"/>
                <w:color w:val="000000"/>
                <w:sz w:val="16"/>
                <w:lang w:eastAsia="es-AR"/>
              </w:rPr>
            </w:pPr>
          </w:p>
        </w:tc>
      </w:tr>
      <w:tr w:rsidR="00291D30" w:rsidRPr="00C03F77" w14:paraId="34F7A85A" w14:textId="77777777" w:rsidTr="00066653">
        <w:trPr>
          <w:trHeight w:val="232"/>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1DE9EC5A" w14:textId="77777777" w:rsidR="00291D30" w:rsidRPr="00C03F77" w:rsidRDefault="00291D30" w:rsidP="00291D30">
            <w:pPr>
              <w:rPr>
                <w:rFonts w:ascii="Arial" w:hAnsi="Arial" w:cs="Arial"/>
                <w:color w:val="000000"/>
                <w:sz w:val="16"/>
                <w:lang w:eastAsia="es-AR"/>
              </w:rPr>
            </w:pPr>
            <w:r w:rsidRPr="00C03F77">
              <w:rPr>
                <w:rFonts w:ascii="Arial" w:hAnsi="Arial" w:cs="Arial"/>
                <w:color w:val="000000"/>
                <w:sz w:val="16"/>
                <w:lang w:eastAsia="es-AR"/>
              </w:rPr>
              <w:t>Préstamos</w:t>
            </w:r>
          </w:p>
        </w:tc>
        <w:tc>
          <w:tcPr>
            <w:tcW w:w="1781" w:type="dxa"/>
            <w:tcBorders>
              <w:top w:val="nil"/>
              <w:left w:val="nil"/>
              <w:bottom w:val="single" w:sz="8" w:space="0" w:color="auto"/>
              <w:right w:val="single" w:sz="8" w:space="0" w:color="auto"/>
            </w:tcBorders>
            <w:shd w:val="clear" w:color="auto" w:fill="auto"/>
            <w:vAlign w:val="center"/>
          </w:tcPr>
          <w:p w14:paraId="321D09B2" w14:textId="097148A4" w:rsidR="00291D30" w:rsidRPr="00C03F77" w:rsidRDefault="00291D30" w:rsidP="00291D30">
            <w:pPr>
              <w:jc w:val="right"/>
              <w:rPr>
                <w:rFonts w:ascii="Arial" w:hAnsi="Arial" w:cs="Arial"/>
                <w:color w:val="000000"/>
                <w:sz w:val="16"/>
                <w:szCs w:val="16"/>
                <w:lang w:eastAsia="es-AR"/>
              </w:rPr>
            </w:pPr>
            <w:r w:rsidRPr="00C03F77">
              <w:rPr>
                <w:rFonts w:ascii="Arial" w:hAnsi="Arial" w:cs="Arial"/>
                <w:color w:val="000000"/>
                <w:sz w:val="16"/>
                <w:szCs w:val="16"/>
              </w:rPr>
              <w:t>1.171.036</w:t>
            </w:r>
          </w:p>
        </w:tc>
      </w:tr>
      <w:tr w:rsidR="00291D30" w:rsidRPr="00C03F77" w14:paraId="47C61871" w14:textId="77777777" w:rsidTr="00066653">
        <w:trPr>
          <w:trHeight w:val="135"/>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1C024A02" w14:textId="77777777" w:rsidR="00291D30" w:rsidRPr="00C03F77" w:rsidRDefault="00291D30" w:rsidP="00291D30">
            <w:pPr>
              <w:rPr>
                <w:rFonts w:ascii="Arial" w:hAnsi="Arial" w:cs="Arial"/>
                <w:color w:val="000000"/>
                <w:sz w:val="16"/>
                <w:lang w:eastAsia="es-AR"/>
              </w:rPr>
            </w:pPr>
            <w:r w:rsidRPr="00C03F77">
              <w:rPr>
                <w:rFonts w:ascii="Arial" w:hAnsi="Arial" w:cs="Arial"/>
                <w:color w:val="000000"/>
                <w:sz w:val="16"/>
                <w:lang w:eastAsia="es-AR"/>
              </w:rPr>
              <w:t>Activos financieros</w:t>
            </w:r>
          </w:p>
        </w:tc>
        <w:tc>
          <w:tcPr>
            <w:tcW w:w="1781" w:type="dxa"/>
            <w:tcBorders>
              <w:top w:val="nil"/>
              <w:left w:val="nil"/>
              <w:bottom w:val="single" w:sz="8" w:space="0" w:color="auto"/>
              <w:right w:val="single" w:sz="8" w:space="0" w:color="auto"/>
            </w:tcBorders>
            <w:shd w:val="clear" w:color="auto" w:fill="auto"/>
            <w:vAlign w:val="center"/>
          </w:tcPr>
          <w:p w14:paraId="1EDDE2E1" w14:textId="59FC830F" w:rsidR="00291D30" w:rsidRPr="00C03F77" w:rsidRDefault="00291D30" w:rsidP="00291D30">
            <w:pPr>
              <w:jc w:val="right"/>
              <w:rPr>
                <w:rFonts w:ascii="Arial" w:hAnsi="Arial" w:cs="Arial"/>
                <w:color w:val="000000"/>
                <w:sz w:val="16"/>
                <w:szCs w:val="16"/>
                <w:lang w:eastAsia="es-AR"/>
              </w:rPr>
            </w:pPr>
            <w:r w:rsidRPr="00C03F77">
              <w:rPr>
                <w:rFonts w:ascii="Arial" w:hAnsi="Arial" w:cs="Arial"/>
                <w:color w:val="000000"/>
                <w:sz w:val="16"/>
                <w:szCs w:val="16"/>
              </w:rPr>
              <w:t>105.440</w:t>
            </w:r>
          </w:p>
        </w:tc>
      </w:tr>
      <w:tr w:rsidR="00291D30" w:rsidRPr="00C03F77" w14:paraId="59C9FB4E" w14:textId="77777777" w:rsidTr="00066653">
        <w:trPr>
          <w:trHeight w:val="209"/>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15A4797A" w14:textId="77777777" w:rsidR="00291D30" w:rsidRPr="00C03F77" w:rsidRDefault="00291D30" w:rsidP="00291D30">
            <w:pPr>
              <w:rPr>
                <w:rFonts w:ascii="Arial" w:hAnsi="Arial" w:cs="Arial"/>
                <w:color w:val="000000"/>
                <w:sz w:val="16"/>
                <w:lang w:eastAsia="es-AR"/>
              </w:rPr>
            </w:pPr>
            <w:r w:rsidRPr="00C03F77">
              <w:rPr>
                <w:rFonts w:ascii="Arial" w:hAnsi="Arial" w:cs="Arial"/>
                <w:color w:val="000000"/>
                <w:sz w:val="16"/>
                <w:lang w:eastAsia="es-AR"/>
              </w:rPr>
              <w:t>Otros activos</w:t>
            </w:r>
          </w:p>
        </w:tc>
        <w:tc>
          <w:tcPr>
            <w:tcW w:w="1781" w:type="dxa"/>
            <w:tcBorders>
              <w:top w:val="nil"/>
              <w:left w:val="nil"/>
              <w:bottom w:val="single" w:sz="8" w:space="0" w:color="auto"/>
              <w:right w:val="single" w:sz="8" w:space="0" w:color="auto"/>
            </w:tcBorders>
            <w:shd w:val="clear" w:color="auto" w:fill="auto"/>
            <w:vAlign w:val="center"/>
          </w:tcPr>
          <w:p w14:paraId="61D4E94D" w14:textId="473CBB3A" w:rsidR="00291D30" w:rsidRPr="00C03F77" w:rsidRDefault="00291D30" w:rsidP="00291D30">
            <w:pPr>
              <w:jc w:val="right"/>
              <w:rPr>
                <w:rFonts w:ascii="Arial" w:hAnsi="Arial" w:cs="Arial"/>
                <w:color w:val="000000"/>
                <w:sz w:val="16"/>
                <w:szCs w:val="16"/>
                <w:lang w:eastAsia="es-AR"/>
              </w:rPr>
            </w:pPr>
            <w:r w:rsidRPr="00C03F77">
              <w:rPr>
                <w:rFonts w:ascii="Arial" w:hAnsi="Arial" w:cs="Arial"/>
                <w:color w:val="000000"/>
                <w:sz w:val="16"/>
                <w:szCs w:val="16"/>
              </w:rPr>
              <w:t>4.358</w:t>
            </w:r>
          </w:p>
        </w:tc>
      </w:tr>
      <w:tr w:rsidR="00291D30" w:rsidRPr="00C03F77" w14:paraId="06C770D0" w14:textId="77777777" w:rsidTr="00066653">
        <w:trPr>
          <w:trHeight w:val="113"/>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34BAD859" w14:textId="77777777" w:rsidR="00291D30" w:rsidRPr="00C03F77" w:rsidRDefault="00291D30" w:rsidP="00291D30">
            <w:pPr>
              <w:rPr>
                <w:rFonts w:ascii="Arial" w:hAnsi="Arial" w:cs="Arial"/>
                <w:b/>
                <w:bCs/>
                <w:color w:val="000000"/>
                <w:sz w:val="16"/>
                <w:lang w:eastAsia="es-AR"/>
              </w:rPr>
            </w:pPr>
            <w:r w:rsidRPr="00C03F77">
              <w:rPr>
                <w:rFonts w:ascii="Arial" w:hAnsi="Arial" w:cs="Arial"/>
                <w:b/>
                <w:bCs/>
                <w:color w:val="000000"/>
                <w:sz w:val="16"/>
                <w:lang w:eastAsia="es-AR"/>
              </w:rPr>
              <w:t>Total Activo</w:t>
            </w:r>
          </w:p>
        </w:tc>
        <w:tc>
          <w:tcPr>
            <w:tcW w:w="1781" w:type="dxa"/>
            <w:tcBorders>
              <w:top w:val="nil"/>
              <w:left w:val="nil"/>
              <w:bottom w:val="single" w:sz="8" w:space="0" w:color="auto"/>
              <w:right w:val="single" w:sz="8" w:space="0" w:color="auto"/>
            </w:tcBorders>
            <w:shd w:val="clear" w:color="auto" w:fill="auto"/>
            <w:vAlign w:val="center"/>
          </w:tcPr>
          <w:p w14:paraId="7F0A8F37" w14:textId="7FE785AB" w:rsidR="00291D30" w:rsidRPr="00C03F77" w:rsidRDefault="00291D30" w:rsidP="00291D30">
            <w:pPr>
              <w:jc w:val="right"/>
              <w:rPr>
                <w:rFonts w:ascii="Arial" w:hAnsi="Arial" w:cs="Arial"/>
                <w:b/>
                <w:bCs/>
                <w:color w:val="000000"/>
                <w:sz w:val="16"/>
                <w:szCs w:val="16"/>
                <w:lang w:eastAsia="es-AR"/>
              </w:rPr>
            </w:pPr>
            <w:r w:rsidRPr="00C03F77">
              <w:rPr>
                <w:rFonts w:ascii="Arial" w:hAnsi="Arial" w:cs="Arial"/>
                <w:b/>
                <w:bCs/>
                <w:color w:val="000000"/>
                <w:sz w:val="16"/>
                <w:szCs w:val="16"/>
              </w:rPr>
              <w:t xml:space="preserve">           1.280.834 </w:t>
            </w:r>
          </w:p>
        </w:tc>
      </w:tr>
      <w:tr w:rsidR="00291D30" w:rsidRPr="00C03F77" w14:paraId="672D7D92" w14:textId="77777777" w:rsidTr="00066653">
        <w:trPr>
          <w:trHeight w:val="187"/>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2C3F92A3" w14:textId="77777777" w:rsidR="00291D30" w:rsidRPr="00C03F77" w:rsidRDefault="00291D30" w:rsidP="00291D30">
            <w:pPr>
              <w:rPr>
                <w:rFonts w:ascii="Arial" w:hAnsi="Arial" w:cs="Arial"/>
                <w:b/>
                <w:bCs/>
                <w:color w:val="000000"/>
                <w:sz w:val="16"/>
                <w:lang w:eastAsia="es-AR"/>
              </w:rPr>
            </w:pPr>
            <w:r w:rsidRPr="00C03F77">
              <w:rPr>
                <w:rFonts w:ascii="Arial" w:hAnsi="Arial" w:cs="Arial"/>
                <w:b/>
                <w:bCs/>
                <w:color w:val="000000"/>
                <w:sz w:val="16"/>
                <w:lang w:eastAsia="es-AR"/>
              </w:rPr>
              <w:t>Pasivos</w:t>
            </w:r>
          </w:p>
        </w:tc>
        <w:tc>
          <w:tcPr>
            <w:tcW w:w="1781" w:type="dxa"/>
            <w:tcBorders>
              <w:top w:val="nil"/>
              <w:left w:val="nil"/>
              <w:bottom w:val="single" w:sz="8" w:space="0" w:color="auto"/>
              <w:right w:val="single" w:sz="8" w:space="0" w:color="auto"/>
            </w:tcBorders>
            <w:shd w:val="clear" w:color="auto" w:fill="auto"/>
            <w:vAlign w:val="center"/>
          </w:tcPr>
          <w:p w14:paraId="1DE93E19" w14:textId="6FFFFD02" w:rsidR="00291D30" w:rsidRPr="00C03F77" w:rsidRDefault="00291D30" w:rsidP="00291D30">
            <w:pPr>
              <w:jc w:val="right"/>
              <w:rPr>
                <w:rFonts w:ascii="Arial" w:hAnsi="Arial" w:cs="Arial"/>
                <w:color w:val="000000"/>
                <w:sz w:val="16"/>
                <w:szCs w:val="16"/>
                <w:lang w:eastAsia="es-AR"/>
              </w:rPr>
            </w:pPr>
            <w:r w:rsidRPr="00C03F77">
              <w:rPr>
                <w:rFonts w:ascii="Arial" w:hAnsi="Arial" w:cs="Arial"/>
                <w:color w:val="000000"/>
                <w:sz w:val="16"/>
                <w:szCs w:val="16"/>
              </w:rPr>
              <w:t> </w:t>
            </w:r>
          </w:p>
        </w:tc>
      </w:tr>
      <w:tr w:rsidR="00291D30" w:rsidRPr="00C03F77" w14:paraId="66397360" w14:textId="77777777" w:rsidTr="00066653">
        <w:trPr>
          <w:trHeight w:val="119"/>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573744C5" w14:textId="77777777" w:rsidR="00291D30" w:rsidRPr="00C03F77" w:rsidRDefault="00291D30" w:rsidP="00291D30">
            <w:pPr>
              <w:rPr>
                <w:rFonts w:ascii="Arial" w:hAnsi="Arial" w:cs="Arial"/>
                <w:color w:val="000000"/>
                <w:sz w:val="16"/>
                <w:lang w:eastAsia="es-AR"/>
              </w:rPr>
            </w:pPr>
            <w:r w:rsidRPr="00C03F77">
              <w:rPr>
                <w:rFonts w:ascii="Arial" w:hAnsi="Arial" w:cs="Arial"/>
                <w:color w:val="000000"/>
                <w:sz w:val="16"/>
                <w:lang w:eastAsia="es-AR"/>
              </w:rPr>
              <w:t>Pasivos financieros</w:t>
            </w:r>
          </w:p>
        </w:tc>
        <w:tc>
          <w:tcPr>
            <w:tcW w:w="1781" w:type="dxa"/>
            <w:tcBorders>
              <w:top w:val="nil"/>
              <w:left w:val="nil"/>
              <w:bottom w:val="single" w:sz="8" w:space="0" w:color="auto"/>
              <w:right w:val="single" w:sz="8" w:space="0" w:color="auto"/>
            </w:tcBorders>
            <w:shd w:val="clear" w:color="auto" w:fill="auto"/>
            <w:vAlign w:val="center"/>
          </w:tcPr>
          <w:p w14:paraId="7E5627A2" w14:textId="4A9A3AB9" w:rsidR="00291D30" w:rsidRPr="00C03F77" w:rsidRDefault="00291D30" w:rsidP="00291D30">
            <w:pPr>
              <w:jc w:val="right"/>
              <w:rPr>
                <w:rFonts w:ascii="Arial" w:hAnsi="Arial" w:cs="Arial"/>
                <w:color w:val="000000"/>
                <w:sz w:val="16"/>
                <w:szCs w:val="16"/>
                <w:lang w:eastAsia="es-AR"/>
              </w:rPr>
            </w:pPr>
            <w:r w:rsidRPr="00C03F77">
              <w:rPr>
                <w:rFonts w:ascii="Arial" w:hAnsi="Arial" w:cs="Arial"/>
                <w:color w:val="000000"/>
                <w:sz w:val="16"/>
                <w:szCs w:val="16"/>
              </w:rPr>
              <w:t>606.795</w:t>
            </w:r>
          </w:p>
        </w:tc>
      </w:tr>
      <w:tr w:rsidR="00291D30" w:rsidRPr="00C03F77" w14:paraId="0BB1F61E" w14:textId="77777777" w:rsidTr="00066653">
        <w:trPr>
          <w:trHeight w:val="65"/>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450C243C" w14:textId="77777777" w:rsidR="00291D30" w:rsidRPr="00C03F77" w:rsidRDefault="00291D30" w:rsidP="00291D30">
            <w:pPr>
              <w:rPr>
                <w:rFonts w:ascii="Arial" w:hAnsi="Arial" w:cs="Arial"/>
                <w:color w:val="000000"/>
                <w:sz w:val="16"/>
                <w:lang w:eastAsia="es-AR"/>
              </w:rPr>
            </w:pPr>
            <w:r w:rsidRPr="00C03F77">
              <w:rPr>
                <w:rFonts w:ascii="Arial" w:hAnsi="Arial" w:cs="Arial"/>
                <w:color w:val="000000"/>
                <w:sz w:val="16"/>
                <w:lang w:eastAsia="es-AR"/>
              </w:rPr>
              <w:t>Otros pasivos</w:t>
            </w:r>
          </w:p>
        </w:tc>
        <w:tc>
          <w:tcPr>
            <w:tcW w:w="1781" w:type="dxa"/>
            <w:tcBorders>
              <w:top w:val="nil"/>
              <w:left w:val="nil"/>
              <w:bottom w:val="single" w:sz="8" w:space="0" w:color="auto"/>
              <w:right w:val="single" w:sz="8" w:space="0" w:color="auto"/>
            </w:tcBorders>
            <w:shd w:val="clear" w:color="auto" w:fill="auto"/>
            <w:vAlign w:val="center"/>
          </w:tcPr>
          <w:p w14:paraId="7DD6DD05" w14:textId="19CBB4EF" w:rsidR="00291D30" w:rsidRPr="00C03F77" w:rsidRDefault="00291D30" w:rsidP="00291D30">
            <w:pPr>
              <w:jc w:val="right"/>
              <w:rPr>
                <w:rFonts w:ascii="Arial" w:hAnsi="Arial" w:cs="Arial"/>
                <w:color w:val="000000"/>
                <w:sz w:val="16"/>
                <w:szCs w:val="16"/>
                <w:lang w:eastAsia="es-AR"/>
              </w:rPr>
            </w:pPr>
            <w:r w:rsidRPr="00C03F77">
              <w:rPr>
                <w:rFonts w:ascii="Arial" w:hAnsi="Arial" w:cs="Arial"/>
                <w:color w:val="000000"/>
                <w:sz w:val="16"/>
                <w:szCs w:val="16"/>
              </w:rPr>
              <w:t>8.752</w:t>
            </w:r>
          </w:p>
        </w:tc>
      </w:tr>
      <w:tr w:rsidR="00291D30" w:rsidRPr="00C03F77" w14:paraId="7E033383" w14:textId="77777777" w:rsidTr="00066653">
        <w:trPr>
          <w:trHeight w:val="139"/>
          <w:jc w:val="center"/>
        </w:trPr>
        <w:tc>
          <w:tcPr>
            <w:tcW w:w="2959" w:type="dxa"/>
            <w:tcBorders>
              <w:top w:val="nil"/>
              <w:left w:val="single" w:sz="8" w:space="0" w:color="auto"/>
              <w:bottom w:val="single" w:sz="8" w:space="0" w:color="auto"/>
              <w:right w:val="single" w:sz="8" w:space="0" w:color="auto"/>
            </w:tcBorders>
            <w:shd w:val="clear" w:color="auto" w:fill="auto"/>
            <w:vAlign w:val="bottom"/>
            <w:hideMark/>
          </w:tcPr>
          <w:p w14:paraId="453BA0B5" w14:textId="77777777" w:rsidR="00291D30" w:rsidRPr="00C03F77" w:rsidRDefault="00291D30" w:rsidP="00291D30">
            <w:pPr>
              <w:rPr>
                <w:rFonts w:ascii="Arial" w:hAnsi="Arial" w:cs="Arial"/>
                <w:b/>
                <w:bCs/>
                <w:color w:val="000000"/>
                <w:sz w:val="16"/>
                <w:lang w:eastAsia="es-AR"/>
              </w:rPr>
            </w:pPr>
            <w:r w:rsidRPr="00C03F77">
              <w:rPr>
                <w:rFonts w:ascii="Arial" w:hAnsi="Arial" w:cs="Arial"/>
                <w:b/>
                <w:bCs/>
                <w:color w:val="000000"/>
                <w:sz w:val="16"/>
                <w:lang w:eastAsia="es-AR"/>
              </w:rPr>
              <w:t>Total Pasivo</w:t>
            </w:r>
          </w:p>
        </w:tc>
        <w:tc>
          <w:tcPr>
            <w:tcW w:w="1781" w:type="dxa"/>
            <w:tcBorders>
              <w:top w:val="nil"/>
              <w:left w:val="nil"/>
              <w:bottom w:val="single" w:sz="8" w:space="0" w:color="auto"/>
              <w:right w:val="single" w:sz="8" w:space="0" w:color="auto"/>
            </w:tcBorders>
            <w:shd w:val="clear" w:color="auto" w:fill="auto"/>
            <w:vAlign w:val="center"/>
          </w:tcPr>
          <w:p w14:paraId="1B91285B" w14:textId="36E8F39D" w:rsidR="00291D30" w:rsidRPr="00C03F77" w:rsidRDefault="00291D30" w:rsidP="00291D30">
            <w:pPr>
              <w:jc w:val="right"/>
              <w:rPr>
                <w:rFonts w:ascii="Arial" w:hAnsi="Arial" w:cs="Arial"/>
                <w:b/>
                <w:bCs/>
                <w:color w:val="000000"/>
                <w:sz w:val="16"/>
                <w:szCs w:val="16"/>
                <w:lang w:eastAsia="es-AR"/>
              </w:rPr>
            </w:pPr>
            <w:r w:rsidRPr="00C03F77">
              <w:rPr>
                <w:rFonts w:ascii="Arial" w:hAnsi="Arial" w:cs="Arial"/>
                <w:b/>
                <w:bCs/>
                <w:color w:val="000000"/>
                <w:sz w:val="16"/>
                <w:szCs w:val="16"/>
              </w:rPr>
              <w:t xml:space="preserve">              615.547 </w:t>
            </w:r>
          </w:p>
        </w:tc>
      </w:tr>
      <w:bookmarkEnd w:id="16"/>
    </w:tbl>
    <w:p w14:paraId="582DFBAD" w14:textId="77777777" w:rsidR="00F74879" w:rsidRPr="00BA7A6B" w:rsidRDefault="00F74879" w:rsidP="00E54D7E">
      <w:pPr>
        <w:spacing w:line="259" w:lineRule="auto"/>
        <w:jc w:val="both"/>
        <w:rPr>
          <w:rFonts w:ascii="Arial" w:eastAsia="Calibri" w:hAnsi="Arial" w:cs="Arial"/>
          <w:sz w:val="20"/>
          <w:highlight w:val="red"/>
        </w:rPr>
      </w:pPr>
    </w:p>
    <w:p w14:paraId="44C18120" w14:textId="39A4A21C" w:rsidR="00D7587C" w:rsidRPr="00BA7A6B" w:rsidRDefault="00D7587C" w:rsidP="00D7587C">
      <w:pPr>
        <w:spacing w:after="160" w:line="259" w:lineRule="auto"/>
        <w:jc w:val="both"/>
        <w:rPr>
          <w:rFonts w:ascii="Arial" w:eastAsia="Arial" w:hAnsi="Arial" w:cs="Arial"/>
          <w:b/>
          <w:color w:val="BF8800"/>
          <w:sz w:val="20"/>
        </w:rPr>
      </w:pPr>
      <w:r w:rsidRPr="00BA7A6B">
        <w:rPr>
          <w:rFonts w:ascii="Arial" w:eastAsia="Arial" w:hAnsi="Arial" w:cs="Arial"/>
          <w:b/>
          <w:sz w:val="20"/>
        </w:rPr>
        <w:t>1.4 Efectivo y depósitos en bancos</w:t>
      </w:r>
    </w:p>
    <w:p w14:paraId="4E838C94" w14:textId="6DDD6454" w:rsidR="00D7587C" w:rsidRPr="00BA7A6B" w:rsidRDefault="00D7587C" w:rsidP="00D7587C">
      <w:pPr>
        <w:spacing w:after="160" w:line="259" w:lineRule="auto"/>
        <w:jc w:val="both"/>
        <w:rPr>
          <w:rFonts w:ascii="Arial" w:eastAsia="Arial" w:hAnsi="Arial" w:cs="Arial"/>
          <w:sz w:val="20"/>
        </w:rPr>
      </w:pPr>
      <w:r w:rsidRPr="00BA7A6B">
        <w:rPr>
          <w:rFonts w:ascii="Arial" w:eastAsia="Arial" w:hAnsi="Arial" w:cs="Arial"/>
          <w:sz w:val="20"/>
        </w:rPr>
        <w:t>Se detalla a continuación la composición del efectivo al 3</w:t>
      </w:r>
      <w:r w:rsidR="00170007" w:rsidRPr="00BA7A6B">
        <w:rPr>
          <w:rFonts w:ascii="Arial" w:eastAsia="Arial" w:hAnsi="Arial" w:cs="Arial"/>
          <w:sz w:val="20"/>
        </w:rPr>
        <w:t>1</w:t>
      </w:r>
      <w:r w:rsidRPr="00BA7A6B">
        <w:rPr>
          <w:rFonts w:ascii="Arial" w:eastAsia="Arial" w:hAnsi="Arial" w:cs="Arial"/>
          <w:sz w:val="20"/>
        </w:rPr>
        <w:t xml:space="preserve"> de </w:t>
      </w:r>
      <w:r w:rsidR="00170007" w:rsidRPr="00BA7A6B">
        <w:rPr>
          <w:rFonts w:ascii="Arial" w:eastAsia="Arial" w:hAnsi="Arial" w:cs="Arial"/>
          <w:sz w:val="20"/>
        </w:rPr>
        <w:t xml:space="preserve">marzo </w:t>
      </w:r>
      <w:r w:rsidRPr="00BA7A6B">
        <w:rPr>
          <w:rFonts w:ascii="Arial" w:eastAsia="Arial" w:hAnsi="Arial" w:cs="Arial"/>
          <w:sz w:val="20"/>
        </w:rPr>
        <w:t xml:space="preserve">de </w:t>
      </w:r>
      <w:r w:rsidR="00170007" w:rsidRPr="00BA7A6B">
        <w:rPr>
          <w:rFonts w:ascii="Arial" w:eastAsia="Arial" w:hAnsi="Arial" w:cs="Arial"/>
          <w:sz w:val="20"/>
        </w:rPr>
        <w:t>2020</w:t>
      </w:r>
      <w:r w:rsidR="00B14041" w:rsidRPr="00BA7A6B">
        <w:rPr>
          <w:rFonts w:ascii="Arial" w:eastAsia="Arial" w:hAnsi="Arial" w:cs="Arial"/>
          <w:sz w:val="20"/>
        </w:rPr>
        <w:t xml:space="preserve"> y 3</w:t>
      </w:r>
      <w:r w:rsidR="00170007" w:rsidRPr="00BA7A6B">
        <w:rPr>
          <w:rFonts w:ascii="Arial" w:eastAsia="Arial" w:hAnsi="Arial" w:cs="Arial"/>
          <w:sz w:val="20"/>
        </w:rPr>
        <w:t>1</w:t>
      </w:r>
      <w:r w:rsidR="00B14041" w:rsidRPr="00BA7A6B">
        <w:rPr>
          <w:rFonts w:ascii="Arial" w:eastAsia="Arial" w:hAnsi="Arial" w:cs="Arial"/>
          <w:sz w:val="20"/>
        </w:rPr>
        <w:t xml:space="preserve"> de </w:t>
      </w:r>
      <w:r w:rsidR="00170007" w:rsidRPr="00BA7A6B">
        <w:rPr>
          <w:rFonts w:ascii="Arial" w:eastAsia="Arial" w:hAnsi="Arial" w:cs="Arial"/>
          <w:sz w:val="20"/>
        </w:rPr>
        <w:t>marzo de 2019:</w:t>
      </w:r>
    </w:p>
    <w:tbl>
      <w:tblPr>
        <w:tblW w:w="3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12"/>
        <w:gridCol w:w="1903"/>
        <w:gridCol w:w="1942"/>
      </w:tblGrid>
      <w:tr w:rsidR="00525117" w:rsidRPr="00C707C6" w14:paraId="546145AA" w14:textId="3BB2F4FF" w:rsidTr="00BA7A6B">
        <w:trPr>
          <w:trHeight w:val="282"/>
          <w:jc w:val="center"/>
        </w:trPr>
        <w:tc>
          <w:tcPr>
            <w:tcW w:w="2155" w:type="pct"/>
            <w:shd w:val="clear" w:color="auto" w:fill="auto"/>
            <w:noWrap/>
            <w:vAlign w:val="bottom"/>
            <w:hideMark/>
          </w:tcPr>
          <w:p w14:paraId="27B4EF72" w14:textId="77777777" w:rsidR="00525117" w:rsidRPr="00BA7A6B" w:rsidRDefault="00525117" w:rsidP="00AC5BF7">
            <w:pPr>
              <w:spacing w:line="259" w:lineRule="auto"/>
              <w:jc w:val="both"/>
              <w:rPr>
                <w:rFonts w:ascii="Arial" w:hAnsi="Arial" w:cs="Arial"/>
                <w:color w:val="000000"/>
                <w:sz w:val="18"/>
                <w:lang w:eastAsia="es-AR"/>
              </w:rPr>
            </w:pPr>
            <w:r w:rsidRPr="00BA7A6B">
              <w:rPr>
                <w:rFonts w:ascii="Arial" w:hAnsi="Arial" w:cs="Arial"/>
                <w:color w:val="000000"/>
                <w:sz w:val="18"/>
                <w:lang w:eastAsia="es-AR"/>
              </w:rPr>
              <w:t> </w:t>
            </w:r>
          </w:p>
        </w:tc>
        <w:tc>
          <w:tcPr>
            <w:tcW w:w="1408" w:type="pct"/>
            <w:vAlign w:val="center"/>
          </w:tcPr>
          <w:p w14:paraId="6352AE8C" w14:textId="4A8DCC48" w:rsidR="00525117" w:rsidRPr="00BA7A6B" w:rsidRDefault="00525117">
            <w:pPr>
              <w:spacing w:line="259" w:lineRule="auto"/>
              <w:ind w:left="233" w:hanging="233"/>
              <w:jc w:val="center"/>
              <w:rPr>
                <w:rFonts w:ascii="Arial" w:hAnsi="Arial" w:cs="Arial"/>
                <w:b/>
                <w:color w:val="000000"/>
                <w:sz w:val="18"/>
                <w:lang w:eastAsia="es-AR"/>
              </w:rPr>
            </w:pPr>
            <w:r w:rsidRPr="00BA7A6B">
              <w:rPr>
                <w:rFonts w:ascii="Arial" w:hAnsi="Arial" w:cs="Arial"/>
                <w:b/>
                <w:color w:val="000000"/>
                <w:sz w:val="18"/>
                <w:lang w:eastAsia="es-AR"/>
              </w:rPr>
              <w:t>31/03/2020</w:t>
            </w:r>
          </w:p>
        </w:tc>
        <w:tc>
          <w:tcPr>
            <w:tcW w:w="1437" w:type="pct"/>
            <w:vAlign w:val="center"/>
          </w:tcPr>
          <w:p w14:paraId="52AE349B" w14:textId="615EEF36" w:rsidR="00525117" w:rsidRPr="00BA7A6B" w:rsidRDefault="00C707C6">
            <w:pPr>
              <w:spacing w:line="259" w:lineRule="auto"/>
              <w:jc w:val="center"/>
              <w:rPr>
                <w:rFonts w:ascii="Arial" w:hAnsi="Arial" w:cs="Arial"/>
                <w:b/>
                <w:color w:val="000000"/>
                <w:sz w:val="18"/>
                <w:lang w:eastAsia="es-AR"/>
              </w:rPr>
            </w:pPr>
            <w:r>
              <w:rPr>
                <w:rFonts w:ascii="Arial" w:hAnsi="Arial" w:cs="Arial"/>
                <w:b/>
                <w:color w:val="000000"/>
                <w:sz w:val="18"/>
                <w:lang w:eastAsia="es-AR"/>
              </w:rPr>
              <w:t>31/03/20</w:t>
            </w:r>
            <w:r w:rsidR="004A12A8">
              <w:rPr>
                <w:rFonts w:ascii="Arial" w:hAnsi="Arial" w:cs="Arial"/>
                <w:b/>
                <w:color w:val="000000"/>
                <w:sz w:val="18"/>
                <w:lang w:eastAsia="es-AR"/>
              </w:rPr>
              <w:t>19</w:t>
            </w:r>
          </w:p>
        </w:tc>
      </w:tr>
      <w:tr w:rsidR="00525117" w:rsidRPr="00C707C6" w14:paraId="68C90860" w14:textId="1AB17DFF" w:rsidTr="00BA7A6B">
        <w:trPr>
          <w:trHeight w:val="282"/>
          <w:jc w:val="center"/>
        </w:trPr>
        <w:tc>
          <w:tcPr>
            <w:tcW w:w="2155" w:type="pct"/>
            <w:shd w:val="clear" w:color="auto" w:fill="auto"/>
            <w:noWrap/>
            <w:vAlign w:val="bottom"/>
            <w:hideMark/>
          </w:tcPr>
          <w:p w14:paraId="32BA69B1" w14:textId="77777777" w:rsidR="00525117" w:rsidRPr="00BA7A6B" w:rsidRDefault="00525117" w:rsidP="00B14041">
            <w:pPr>
              <w:spacing w:line="259" w:lineRule="auto"/>
              <w:jc w:val="both"/>
              <w:rPr>
                <w:rFonts w:ascii="Arial" w:hAnsi="Arial" w:cs="Arial"/>
                <w:color w:val="000000"/>
                <w:sz w:val="18"/>
                <w:lang w:eastAsia="es-AR"/>
              </w:rPr>
            </w:pPr>
            <w:r w:rsidRPr="00BA7A6B">
              <w:rPr>
                <w:rFonts w:ascii="Arial" w:hAnsi="Arial" w:cs="Arial"/>
                <w:color w:val="000000"/>
                <w:sz w:val="18"/>
                <w:lang w:eastAsia="es-AR"/>
              </w:rPr>
              <w:t>Efectivo y depósitos en bancos</w:t>
            </w:r>
          </w:p>
        </w:tc>
        <w:tc>
          <w:tcPr>
            <w:tcW w:w="1408" w:type="pct"/>
            <w:vAlign w:val="bottom"/>
          </w:tcPr>
          <w:p w14:paraId="34758A76" w14:textId="120BDED6" w:rsidR="00525117" w:rsidRPr="00BA7A6B" w:rsidRDefault="00C707C6" w:rsidP="00B14041">
            <w:pPr>
              <w:ind w:left="-71" w:hanging="233"/>
              <w:jc w:val="right"/>
              <w:rPr>
                <w:rFonts w:ascii="Arial" w:hAnsi="Arial" w:cs="Arial"/>
                <w:color w:val="000000"/>
                <w:sz w:val="18"/>
                <w:szCs w:val="18"/>
                <w:lang w:val="es-ES_tradnl"/>
              </w:rPr>
            </w:pPr>
            <w:r w:rsidRPr="005F090B">
              <w:rPr>
                <w:rFonts w:ascii="Arial" w:hAnsi="Arial" w:cs="Arial"/>
                <w:sz w:val="18"/>
                <w:szCs w:val="18"/>
              </w:rPr>
              <w:t>35.320.030</w:t>
            </w:r>
          </w:p>
        </w:tc>
        <w:tc>
          <w:tcPr>
            <w:tcW w:w="1437" w:type="pct"/>
            <w:vAlign w:val="bottom"/>
          </w:tcPr>
          <w:p w14:paraId="25EEB45E" w14:textId="6C7060A7" w:rsidR="00525117" w:rsidRPr="00BA7A6B" w:rsidRDefault="004A12A8" w:rsidP="00B14041">
            <w:pPr>
              <w:ind w:left="-71" w:hanging="233"/>
              <w:jc w:val="right"/>
              <w:rPr>
                <w:rFonts w:ascii="Arial" w:hAnsi="Arial" w:cs="Arial"/>
                <w:sz w:val="18"/>
                <w:szCs w:val="18"/>
              </w:rPr>
            </w:pPr>
            <w:r w:rsidRPr="004A12A8">
              <w:rPr>
                <w:rFonts w:ascii="Arial" w:hAnsi="Arial" w:cs="Arial"/>
                <w:color w:val="000000"/>
                <w:sz w:val="18"/>
                <w:szCs w:val="18"/>
              </w:rPr>
              <w:t>45.657.255</w:t>
            </w:r>
          </w:p>
        </w:tc>
      </w:tr>
      <w:tr w:rsidR="00525117" w:rsidRPr="00C707C6" w14:paraId="45EFAABB" w14:textId="4CDF11FC" w:rsidTr="00BA7A6B">
        <w:trPr>
          <w:trHeight w:val="282"/>
          <w:jc w:val="center"/>
        </w:trPr>
        <w:tc>
          <w:tcPr>
            <w:tcW w:w="2155" w:type="pct"/>
            <w:shd w:val="clear" w:color="auto" w:fill="auto"/>
            <w:noWrap/>
            <w:vAlign w:val="bottom"/>
            <w:hideMark/>
          </w:tcPr>
          <w:p w14:paraId="035333B4" w14:textId="77777777" w:rsidR="00525117" w:rsidRPr="00BA7A6B" w:rsidRDefault="00525117" w:rsidP="00B14041">
            <w:pPr>
              <w:spacing w:line="259" w:lineRule="auto"/>
              <w:jc w:val="both"/>
              <w:rPr>
                <w:rFonts w:ascii="Arial" w:hAnsi="Arial" w:cs="Arial"/>
                <w:color w:val="000000"/>
                <w:sz w:val="18"/>
                <w:lang w:eastAsia="es-AR"/>
              </w:rPr>
            </w:pPr>
            <w:r w:rsidRPr="00BA7A6B">
              <w:rPr>
                <w:rFonts w:ascii="Arial" w:hAnsi="Arial" w:cs="Arial"/>
                <w:color w:val="000000"/>
                <w:sz w:val="18"/>
                <w:lang w:eastAsia="es-AR"/>
              </w:rPr>
              <w:t xml:space="preserve">Títulos de deuda a valor razonable </w:t>
            </w:r>
          </w:p>
        </w:tc>
        <w:tc>
          <w:tcPr>
            <w:tcW w:w="1408" w:type="pct"/>
            <w:vAlign w:val="bottom"/>
          </w:tcPr>
          <w:p w14:paraId="29F3384A" w14:textId="2E38C741" w:rsidR="00525117" w:rsidRPr="00BA7A6B" w:rsidRDefault="00525117" w:rsidP="00B14041">
            <w:pPr>
              <w:ind w:left="-71" w:hanging="233"/>
              <w:jc w:val="right"/>
              <w:rPr>
                <w:rFonts w:ascii="Arial" w:hAnsi="Arial" w:cs="Arial"/>
                <w:color w:val="000000"/>
                <w:sz w:val="18"/>
                <w:szCs w:val="18"/>
                <w:lang w:val="es-ES_tradnl"/>
              </w:rPr>
            </w:pPr>
            <w:r w:rsidRPr="00BA7A6B">
              <w:rPr>
                <w:rFonts w:ascii="Arial" w:hAnsi="Arial" w:cs="Arial"/>
                <w:sz w:val="18"/>
                <w:szCs w:val="18"/>
              </w:rPr>
              <w:t xml:space="preserve">  </w:t>
            </w:r>
            <w:r w:rsidR="00C707C6" w:rsidRPr="00BA7A6B">
              <w:rPr>
                <w:rFonts w:ascii="Arial" w:hAnsi="Arial" w:cs="Arial"/>
                <w:sz w:val="18"/>
                <w:szCs w:val="18"/>
              </w:rPr>
              <w:t>103.540</w:t>
            </w:r>
          </w:p>
        </w:tc>
        <w:tc>
          <w:tcPr>
            <w:tcW w:w="1437" w:type="pct"/>
            <w:vAlign w:val="bottom"/>
          </w:tcPr>
          <w:p w14:paraId="3D7B0DE2" w14:textId="5D9720A5" w:rsidR="00525117" w:rsidRPr="00BA7A6B" w:rsidRDefault="0037711A" w:rsidP="00B14041">
            <w:pPr>
              <w:ind w:left="-71" w:hanging="233"/>
              <w:jc w:val="right"/>
              <w:rPr>
                <w:rFonts w:ascii="Arial" w:hAnsi="Arial" w:cs="Arial"/>
                <w:sz w:val="18"/>
                <w:szCs w:val="18"/>
              </w:rPr>
            </w:pPr>
            <w:r w:rsidRPr="0037711A">
              <w:rPr>
                <w:rFonts w:ascii="Arial" w:hAnsi="Arial" w:cs="Arial"/>
                <w:color w:val="000000"/>
                <w:sz w:val="18"/>
                <w:szCs w:val="18"/>
              </w:rPr>
              <w:t>32.652.893</w:t>
            </w:r>
          </w:p>
        </w:tc>
      </w:tr>
      <w:tr w:rsidR="00525117" w:rsidRPr="00C707C6" w14:paraId="0D045887" w14:textId="3761A1F3" w:rsidTr="00BA7A6B">
        <w:trPr>
          <w:trHeight w:val="282"/>
          <w:jc w:val="center"/>
        </w:trPr>
        <w:tc>
          <w:tcPr>
            <w:tcW w:w="2155" w:type="pct"/>
            <w:shd w:val="clear" w:color="auto" w:fill="auto"/>
            <w:noWrap/>
            <w:vAlign w:val="bottom"/>
            <w:hideMark/>
          </w:tcPr>
          <w:p w14:paraId="1675A346" w14:textId="77777777" w:rsidR="00525117" w:rsidRPr="00BA7A6B" w:rsidRDefault="00525117" w:rsidP="00B14041">
            <w:pPr>
              <w:spacing w:line="259" w:lineRule="auto"/>
              <w:jc w:val="both"/>
              <w:rPr>
                <w:rFonts w:ascii="Arial" w:hAnsi="Arial" w:cs="Arial"/>
                <w:b/>
                <w:bCs/>
                <w:color w:val="000000"/>
                <w:sz w:val="18"/>
                <w:lang w:eastAsia="es-AR"/>
              </w:rPr>
            </w:pPr>
            <w:r w:rsidRPr="00BA7A6B">
              <w:rPr>
                <w:rFonts w:ascii="Arial" w:hAnsi="Arial" w:cs="Arial"/>
                <w:b/>
                <w:bCs/>
                <w:color w:val="000000"/>
                <w:sz w:val="18"/>
                <w:lang w:eastAsia="es-AR"/>
              </w:rPr>
              <w:t>Total</w:t>
            </w:r>
          </w:p>
        </w:tc>
        <w:tc>
          <w:tcPr>
            <w:tcW w:w="1408" w:type="pct"/>
            <w:vAlign w:val="bottom"/>
          </w:tcPr>
          <w:p w14:paraId="3A057804" w14:textId="7645C6F9" w:rsidR="00525117" w:rsidRPr="00BA7A6B" w:rsidRDefault="00C707C6" w:rsidP="00B14041">
            <w:pPr>
              <w:ind w:left="-71" w:hanging="233"/>
              <w:jc w:val="right"/>
              <w:rPr>
                <w:rFonts w:ascii="Arial" w:hAnsi="Arial" w:cs="Arial"/>
                <w:b/>
                <w:color w:val="000000"/>
                <w:sz w:val="18"/>
                <w:szCs w:val="18"/>
                <w:lang w:val="es-ES_tradnl"/>
              </w:rPr>
            </w:pPr>
            <w:r w:rsidRPr="00BA7A6B">
              <w:rPr>
                <w:rFonts w:ascii="Arial" w:hAnsi="Arial" w:cs="Arial"/>
                <w:b/>
                <w:sz w:val="18"/>
                <w:szCs w:val="18"/>
              </w:rPr>
              <w:t>35.423.570</w:t>
            </w:r>
          </w:p>
        </w:tc>
        <w:tc>
          <w:tcPr>
            <w:tcW w:w="1437" w:type="pct"/>
            <w:vAlign w:val="bottom"/>
          </w:tcPr>
          <w:p w14:paraId="386D630C" w14:textId="09CC3834" w:rsidR="00525117" w:rsidRPr="00BA7A6B" w:rsidRDefault="0037711A" w:rsidP="00B14041">
            <w:pPr>
              <w:ind w:left="-71" w:hanging="233"/>
              <w:jc w:val="right"/>
              <w:rPr>
                <w:rFonts w:ascii="Arial" w:hAnsi="Arial" w:cs="Arial"/>
                <w:b/>
                <w:sz w:val="18"/>
                <w:szCs w:val="18"/>
              </w:rPr>
            </w:pPr>
            <w:r w:rsidRPr="0037711A">
              <w:rPr>
                <w:rFonts w:ascii="Arial" w:hAnsi="Arial" w:cs="Arial"/>
                <w:b/>
                <w:bCs/>
                <w:color w:val="000000"/>
                <w:sz w:val="18"/>
                <w:szCs w:val="18"/>
              </w:rPr>
              <w:t>78.310.148</w:t>
            </w:r>
          </w:p>
        </w:tc>
      </w:tr>
    </w:tbl>
    <w:p w14:paraId="7AC4DEB9" w14:textId="77777777" w:rsidR="00D7587C" w:rsidRPr="00BA7A6B" w:rsidRDefault="00D7587C" w:rsidP="00D7587C">
      <w:pPr>
        <w:spacing w:after="160" w:line="259" w:lineRule="auto"/>
        <w:jc w:val="both"/>
        <w:rPr>
          <w:rFonts w:ascii="Arial" w:eastAsia="Arial" w:hAnsi="Arial" w:cs="Arial"/>
          <w:color w:val="FF0000"/>
          <w:sz w:val="20"/>
        </w:rPr>
      </w:pPr>
    </w:p>
    <w:p w14:paraId="6DA15B70" w14:textId="7FBBDEBB" w:rsidR="00D7587C" w:rsidRPr="00BA7A6B" w:rsidRDefault="00D7587C" w:rsidP="00D7587C">
      <w:pPr>
        <w:jc w:val="both"/>
        <w:rPr>
          <w:rFonts w:ascii="Arial" w:eastAsia="Calibri" w:hAnsi="Arial" w:cs="Arial"/>
          <w:sz w:val="20"/>
          <w:lang w:eastAsia="es-PE"/>
        </w:rPr>
      </w:pPr>
      <w:r w:rsidRPr="00BA7A6B">
        <w:rPr>
          <w:rFonts w:ascii="Arial" w:eastAsia="Calibri" w:hAnsi="Arial" w:cs="Arial"/>
          <w:sz w:val="20"/>
          <w:lang w:eastAsia="es-PE"/>
        </w:rPr>
        <w:t>Por su parte, se exponen a continuación las conciliaciones entre los saldos de aquellas partidas consideradas equivalentes de efectivo en el Estado de Flujo</w:t>
      </w:r>
      <w:r w:rsidR="0038752C" w:rsidRPr="00BA7A6B">
        <w:rPr>
          <w:rFonts w:ascii="Arial" w:eastAsia="Calibri" w:hAnsi="Arial" w:cs="Arial"/>
          <w:sz w:val="20"/>
          <w:lang w:eastAsia="es-PE"/>
        </w:rPr>
        <w:t>s</w:t>
      </w:r>
      <w:r w:rsidRPr="00BA7A6B">
        <w:rPr>
          <w:rFonts w:ascii="Arial" w:eastAsia="Calibri" w:hAnsi="Arial" w:cs="Arial"/>
          <w:sz w:val="20"/>
          <w:lang w:eastAsia="es-PE"/>
        </w:rPr>
        <w:t xml:space="preserve"> de Efectivo y las reportadas en el Estado de Situación Financiera al cierre del </w:t>
      </w:r>
      <w:r w:rsidR="004370FD" w:rsidRPr="00BA7A6B">
        <w:rPr>
          <w:rFonts w:ascii="Arial" w:eastAsia="Calibri" w:hAnsi="Arial" w:cs="Arial"/>
          <w:sz w:val="20"/>
          <w:lang w:eastAsia="es-PE"/>
        </w:rPr>
        <w:t>período</w:t>
      </w:r>
      <w:r w:rsidR="00B14041" w:rsidRPr="00BA7A6B">
        <w:rPr>
          <w:rFonts w:ascii="Arial" w:eastAsia="Calibri" w:hAnsi="Arial" w:cs="Arial"/>
          <w:sz w:val="20"/>
          <w:lang w:eastAsia="es-PE"/>
        </w:rPr>
        <w:t xml:space="preserve"> / ejercicio</w:t>
      </w:r>
      <w:r w:rsidRPr="00BA7A6B">
        <w:rPr>
          <w:rFonts w:ascii="Arial" w:eastAsia="Calibri" w:hAnsi="Arial" w:cs="Arial"/>
          <w:sz w:val="20"/>
          <w:lang w:eastAsia="es-PE"/>
        </w:rPr>
        <w:t>:</w:t>
      </w:r>
    </w:p>
    <w:p w14:paraId="623DB7D2" w14:textId="77777777" w:rsidR="00D7587C" w:rsidRPr="00BA7A6B" w:rsidRDefault="00D7587C" w:rsidP="00D7587C">
      <w:pPr>
        <w:jc w:val="both"/>
        <w:rPr>
          <w:rFonts w:ascii="Arial" w:eastAsia="Calibri" w:hAnsi="Arial" w:cs="Arial"/>
          <w:sz w:val="20"/>
          <w:lang w:eastAsia="es-PE"/>
        </w:rPr>
      </w:pPr>
    </w:p>
    <w:tbl>
      <w:tblPr>
        <w:tblW w:w="4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8"/>
        <w:gridCol w:w="1121"/>
        <w:gridCol w:w="1099"/>
      </w:tblGrid>
      <w:tr w:rsidR="00170007" w:rsidRPr="00C707C6" w14:paraId="739849D9" w14:textId="7A2C94D8" w:rsidTr="00BA7A6B">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1CEEC" w14:textId="77777777" w:rsidR="00170007" w:rsidRPr="00BA7A6B" w:rsidRDefault="00170007" w:rsidP="00B14041">
            <w:pPr>
              <w:spacing w:line="259" w:lineRule="auto"/>
              <w:jc w:val="both"/>
              <w:rPr>
                <w:rFonts w:ascii="Arial" w:hAnsi="Arial" w:cs="Arial"/>
                <w:color w:val="000000"/>
                <w:sz w:val="18"/>
                <w:lang w:eastAsia="es-AR"/>
              </w:rPr>
            </w:pPr>
          </w:p>
        </w:tc>
        <w:tc>
          <w:tcPr>
            <w:tcW w:w="821" w:type="pct"/>
            <w:tcBorders>
              <w:top w:val="single" w:sz="4" w:space="0" w:color="auto"/>
              <w:left w:val="single" w:sz="4" w:space="0" w:color="auto"/>
              <w:bottom w:val="single" w:sz="4" w:space="0" w:color="auto"/>
              <w:right w:val="single" w:sz="4" w:space="0" w:color="auto"/>
            </w:tcBorders>
            <w:vAlign w:val="center"/>
          </w:tcPr>
          <w:p w14:paraId="4A2C398E" w14:textId="0B35CE52" w:rsidR="00170007" w:rsidRPr="00BA7A6B" w:rsidRDefault="00C707C6" w:rsidP="00B14041">
            <w:pPr>
              <w:spacing w:line="259" w:lineRule="auto"/>
              <w:jc w:val="center"/>
              <w:rPr>
                <w:rFonts w:ascii="Arial" w:hAnsi="Arial" w:cs="Arial"/>
                <w:b/>
                <w:bCs/>
                <w:color w:val="000000"/>
                <w:sz w:val="18"/>
              </w:rPr>
            </w:pPr>
            <w:r>
              <w:rPr>
                <w:rFonts w:ascii="Arial" w:hAnsi="Arial" w:cs="Arial"/>
                <w:b/>
                <w:color w:val="000000"/>
                <w:sz w:val="18"/>
                <w:lang w:eastAsia="es-AR"/>
              </w:rPr>
              <w:t>31/03/2020</w:t>
            </w:r>
          </w:p>
        </w:tc>
        <w:tc>
          <w:tcPr>
            <w:tcW w:w="805" w:type="pct"/>
            <w:tcBorders>
              <w:top w:val="single" w:sz="4" w:space="0" w:color="auto"/>
              <w:left w:val="single" w:sz="4" w:space="0" w:color="auto"/>
              <w:bottom w:val="single" w:sz="4" w:space="0" w:color="auto"/>
              <w:right w:val="single" w:sz="4" w:space="0" w:color="auto"/>
            </w:tcBorders>
            <w:vAlign w:val="center"/>
          </w:tcPr>
          <w:p w14:paraId="760FAE41" w14:textId="2A38E241" w:rsidR="00170007" w:rsidRPr="00BA7A6B" w:rsidRDefault="00170007" w:rsidP="00B14041">
            <w:pPr>
              <w:spacing w:line="259" w:lineRule="auto"/>
              <w:jc w:val="center"/>
              <w:rPr>
                <w:rFonts w:ascii="Arial" w:hAnsi="Arial" w:cs="Arial"/>
                <w:b/>
                <w:bCs/>
                <w:color w:val="000000"/>
                <w:sz w:val="18"/>
              </w:rPr>
            </w:pPr>
            <w:r w:rsidRPr="00BA7A6B">
              <w:rPr>
                <w:rFonts w:ascii="Arial" w:hAnsi="Arial" w:cs="Arial"/>
                <w:b/>
                <w:color w:val="000000"/>
                <w:sz w:val="18"/>
                <w:lang w:eastAsia="es-AR"/>
              </w:rPr>
              <w:t>31/</w:t>
            </w:r>
            <w:r w:rsidR="004A12A8">
              <w:rPr>
                <w:rFonts w:ascii="Arial" w:hAnsi="Arial" w:cs="Arial"/>
                <w:b/>
                <w:color w:val="000000"/>
                <w:sz w:val="18"/>
                <w:lang w:eastAsia="es-AR"/>
              </w:rPr>
              <w:t>03/2019</w:t>
            </w:r>
          </w:p>
        </w:tc>
      </w:tr>
      <w:tr w:rsidR="00170007" w:rsidRPr="00C707C6" w14:paraId="1E2E55F9" w14:textId="7530DC63" w:rsidTr="00BA7A6B">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61247" w14:textId="513C8F28" w:rsidR="00170007" w:rsidRPr="00BA7A6B" w:rsidRDefault="00170007" w:rsidP="00B14041">
            <w:pPr>
              <w:spacing w:line="259" w:lineRule="auto"/>
              <w:jc w:val="both"/>
              <w:rPr>
                <w:rFonts w:ascii="Arial" w:hAnsi="Arial" w:cs="Arial"/>
                <w:b/>
                <w:color w:val="000000"/>
                <w:sz w:val="18"/>
                <w:lang w:eastAsia="es-AR"/>
              </w:rPr>
            </w:pPr>
            <w:r w:rsidRPr="00BA7A6B">
              <w:rPr>
                <w:rFonts w:ascii="Arial" w:hAnsi="Arial" w:cs="Arial"/>
                <w:b/>
                <w:color w:val="000000"/>
                <w:sz w:val="18"/>
                <w:lang w:eastAsia="es-AR"/>
              </w:rPr>
              <w:t>Títulos valores a valor razonable s/Estado de Sit. Financiera</w:t>
            </w:r>
          </w:p>
        </w:tc>
        <w:tc>
          <w:tcPr>
            <w:tcW w:w="821" w:type="pct"/>
            <w:tcBorders>
              <w:top w:val="single" w:sz="4" w:space="0" w:color="auto"/>
              <w:left w:val="single" w:sz="4" w:space="0" w:color="auto"/>
              <w:bottom w:val="single" w:sz="4" w:space="0" w:color="auto"/>
              <w:right w:val="single" w:sz="4" w:space="0" w:color="auto"/>
            </w:tcBorders>
            <w:vAlign w:val="bottom"/>
          </w:tcPr>
          <w:p w14:paraId="6507FECA" w14:textId="634C8F82" w:rsidR="00170007" w:rsidRPr="00BA7A6B" w:rsidRDefault="00C707C6" w:rsidP="00B14041">
            <w:pPr>
              <w:spacing w:line="259" w:lineRule="auto"/>
              <w:ind w:left="709" w:hanging="709"/>
              <w:jc w:val="right"/>
              <w:rPr>
                <w:rFonts w:ascii="Arial" w:hAnsi="Arial" w:cs="Arial"/>
                <w:b/>
                <w:bCs/>
                <w:color w:val="000000"/>
                <w:sz w:val="18"/>
                <w:szCs w:val="18"/>
              </w:rPr>
            </w:pPr>
            <w:r>
              <w:rPr>
                <w:rFonts w:ascii="Arial" w:hAnsi="Arial" w:cs="Arial"/>
                <w:b/>
                <w:bCs/>
                <w:color w:val="000000"/>
                <w:sz w:val="18"/>
                <w:szCs w:val="18"/>
              </w:rPr>
              <w:t>361.082</w:t>
            </w:r>
          </w:p>
        </w:tc>
        <w:tc>
          <w:tcPr>
            <w:tcW w:w="805" w:type="pct"/>
            <w:tcBorders>
              <w:top w:val="single" w:sz="4" w:space="0" w:color="auto"/>
              <w:left w:val="single" w:sz="4" w:space="0" w:color="auto"/>
              <w:bottom w:val="single" w:sz="4" w:space="0" w:color="auto"/>
              <w:right w:val="single" w:sz="4" w:space="0" w:color="auto"/>
            </w:tcBorders>
            <w:vAlign w:val="bottom"/>
          </w:tcPr>
          <w:p w14:paraId="688D7E54" w14:textId="0B2A5B67" w:rsidR="00170007" w:rsidRPr="00BA7A6B" w:rsidRDefault="004A12A8" w:rsidP="00B14041">
            <w:pPr>
              <w:spacing w:line="259" w:lineRule="auto"/>
              <w:jc w:val="right"/>
              <w:rPr>
                <w:rFonts w:ascii="Arial" w:hAnsi="Arial" w:cs="Arial"/>
                <w:b/>
                <w:bCs/>
                <w:color w:val="000000"/>
                <w:sz w:val="18"/>
                <w:szCs w:val="18"/>
              </w:rPr>
            </w:pPr>
            <w:r w:rsidRPr="004A12A8">
              <w:rPr>
                <w:rFonts w:ascii="Arial" w:hAnsi="Arial" w:cs="Arial"/>
                <w:b/>
                <w:color w:val="000000"/>
                <w:sz w:val="18"/>
              </w:rPr>
              <w:t>52.112.758</w:t>
            </w:r>
          </w:p>
        </w:tc>
      </w:tr>
      <w:tr w:rsidR="00170007" w:rsidRPr="00C707C6" w14:paraId="66BAE4C8" w14:textId="50D390BF" w:rsidTr="00BA7A6B">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4F9E9" w14:textId="77777777" w:rsidR="00170007" w:rsidRPr="00BA7A6B" w:rsidRDefault="00170007" w:rsidP="00B14041">
            <w:pPr>
              <w:spacing w:line="259" w:lineRule="auto"/>
              <w:jc w:val="both"/>
              <w:rPr>
                <w:rFonts w:ascii="Arial" w:hAnsi="Arial" w:cs="Arial"/>
                <w:color w:val="000000"/>
                <w:sz w:val="18"/>
                <w:lang w:eastAsia="es-AR"/>
              </w:rPr>
            </w:pPr>
            <w:r w:rsidRPr="00BA7A6B">
              <w:rPr>
                <w:rFonts w:ascii="Arial" w:hAnsi="Arial" w:cs="Arial"/>
                <w:color w:val="000000"/>
                <w:sz w:val="18"/>
                <w:lang w:eastAsia="es-AR"/>
              </w:rPr>
              <w:t>- Letras del BCRA hasta 90 días</w:t>
            </w:r>
          </w:p>
        </w:tc>
        <w:tc>
          <w:tcPr>
            <w:tcW w:w="821" w:type="pct"/>
            <w:tcBorders>
              <w:top w:val="single" w:sz="4" w:space="0" w:color="auto"/>
              <w:left w:val="single" w:sz="4" w:space="0" w:color="auto"/>
              <w:bottom w:val="single" w:sz="4" w:space="0" w:color="auto"/>
              <w:right w:val="single" w:sz="4" w:space="0" w:color="auto"/>
            </w:tcBorders>
            <w:vAlign w:val="bottom"/>
          </w:tcPr>
          <w:p w14:paraId="3E145249" w14:textId="61C127F3" w:rsidR="00170007" w:rsidRPr="00BA7A6B" w:rsidRDefault="00170007" w:rsidP="00B14041">
            <w:pPr>
              <w:spacing w:line="259" w:lineRule="auto"/>
              <w:jc w:val="right"/>
              <w:rPr>
                <w:rFonts w:ascii="Arial" w:hAnsi="Arial" w:cs="Arial"/>
                <w:bCs/>
                <w:color w:val="000000"/>
                <w:sz w:val="18"/>
                <w:szCs w:val="18"/>
                <w:lang w:val="es-ES_tradnl"/>
              </w:rPr>
            </w:pPr>
            <w:r w:rsidRPr="00BA7A6B">
              <w:rPr>
                <w:rFonts w:ascii="Arial" w:hAnsi="Arial" w:cs="Arial"/>
                <w:bCs/>
                <w:color w:val="000000"/>
                <w:sz w:val="18"/>
                <w:szCs w:val="18"/>
                <w:lang w:val="es-ES_tradnl"/>
              </w:rPr>
              <w:t>-</w:t>
            </w:r>
          </w:p>
        </w:tc>
        <w:tc>
          <w:tcPr>
            <w:tcW w:w="805" w:type="pct"/>
            <w:tcBorders>
              <w:top w:val="single" w:sz="4" w:space="0" w:color="auto"/>
              <w:left w:val="single" w:sz="4" w:space="0" w:color="auto"/>
              <w:bottom w:val="single" w:sz="4" w:space="0" w:color="auto"/>
              <w:right w:val="single" w:sz="4" w:space="0" w:color="auto"/>
            </w:tcBorders>
            <w:vAlign w:val="bottom"/>
          </w:tcPr>
          <w:p w14:paraId="4BF311C0" w14:textId="7301247B" w:rsidR="00170007" w:rsidRPr="00BA7A6B" w:rsidRDefault="004A12A8" w:rsidP="00B14041">
            <w:pPr>
              <w:spacing w:line="259" w:lineRule="auto"/>
              <w:jc w:val="right"/>
              <w:rPr>
                <w:rFonts w:ascii="Arial" w:hAnsi="Arial" w:cs="Arial"/>
                <w:bCs/>
                <w:color w:val="000000"/>
                <w:sz w:val="18"/>
                <w:szCs w:val="18"/>
              </w:rPr>
            </w:pPr>
            <w:r>
              <w:rPr>
                <w:rFonts w:ascii="Arial" w:hAnsi="Arial" w:cs="Arial"/>
                <w:color w:val="000000"/>
                <w:sz w:val="18"/>
              </w:rPr>
              <w:t>-</w:t>
            </w:r>
          </w:p>
        </w:tc>
      </w:tr>
      <w:tr w:rsidR="00170007" w:rsidRPr="00C707C6" w14:paraId="0C8E5E4C" w14:textId="3BCFE1FB" w:rsidTr="00BA7A6B">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7C1EC" w14:textId="77777777" w:rsidR="00170007" w:rsidRPr="00BA7A6B" w:rsidRDefault="00170007" w:rsidP="00B14041">
            <w:pPr>
              <w:spacing w:line="259" w:lineRule="auto"/>
              <w:jc w:val="both"/>
              <w:rPr>
                <w:rFonts w:ascii="Arial" w:hAnsi="Arial" w:cs="Arial"/>
                <w:color w:val="000000"/>
                <w:sz w:val="18"/>
                <w:lang w:eastAsia="es-AR"/>
              </w:rPr>
            </w:pPr>
            <w:r w:rsidRPr="00BA7A6B">
              <w:rPr>
                <w:rFonts w:ascii="Arial" w:hAnsi="Arial" w:cs="Arial"/>
                <w:color w:val="000000"/>
                <w:sz w:val="18"/>
                <w:lang w:eastAsia="es-AR"/>
              </w:rPr>
              <w:t>- Letras de Liquidez del BCRA hasta 90 días</w:t>
            </w:r>
          </w:p>
        </w:tc>
        <w:tc>
          <w:tcPr>
            <w:tcW w:w="821" w:type="pct"/>
            <w:tcBorders>
              <w:top w:val="single" w:sz="4" w:space="0" w:color="auto"/>
              <w:left w:val="single" w:sz="4" w:space="0" w:color="auto"/>
              <w:bottom w:val="single" w:sz="4" w:space="0" w:color="auto"/>
              <w:right w:val="single" w:sz="4" w:space="0" w:color="auto"/>
            </w:tcBorders>
            <w:vAlign w:val="bottom"/>
          </w:tcPr>
          <w:p w14:paraId="1807387A" w14:textId="0DE16704" w:rsidR="00170007" w:rsidRPr="00BA7A6B" w:rsidRDefault="00C707C6" w:rsidP="00B14041">
            <w:pPr>
              <w:spacing w:line="259" w:lineRule="auto"/>
              <w:jc w:val="right"/>
              <w:rPr>
                <w:rFonts w:ascii="Arial" w:hAnsi="Arial" w:cs="Arial"/>
                <w:bCs/>
                <w:color w:val="000000"/>
                <w:sz w:val="18"/>
                <w:szCs w:val="18"/>
              </w:rPr>
            </w:pPr>
            <w:r>
              <w:rPr>
                <w:rFonts w:ascii="Arial" w:hAnsi="Arial" w:cs="Arial"/>
                <w:bCs/>
                <w:color w:val="000000"/>
                <w:sz w:val="18"/>
                <w:szCs w:val="18"/>
              </w:rPr>
              <w:t>-</w:t>
            </w:r>
          </w:p>
        </w:tc>
        <w:tc>
          <w:tcPr>
            <w:tcW w:w="805" w:type="pct"/>
            <w:tcBorders>
              <w:top w:val="single" w:sz="4" w:space="0" w:color="auto"/>
              <w:left w:val="single" w:sz="4" w:space="0" w:color="auto"/>
              <w:bottom w:val="single" w:sz="4" w:space="0" w:color="auto"/>
              <w:right w:val="single" w:sz="4" w:space="0" w:color="auto"/>
            </w:tcBorders>
            <w:vAlign w:val="bottom"/>
          </w:tcPr>
          <w:p w14:paraId="6EAE4715" w14:textId="1B39C053" w:rsidR="00170007" w:rsidRPr="00BA7A6B" w:rsidRDefault="004A12A8" w:rsidP="00B14041">
            <w:pPr>
              <w:spacing w:line="259" w:lineRule="auto"/>
              <w:jc w:val="right"/>
              <w:rPr>
                <w:rFonts w:ascii="Arial" w:hAnsi="Arial" w:cs="Arial"/>
                <w:bCs/>
                <w:color w:val="000000"/>
                <w:sz w:val="18"/>
                <w:szCs w:val="18"/>
              </w:rPr>
            </w:pPr>
            <w:r w:rsidRPr="004A12A8">
              <w:rPr>
                <w:rFonts w:ascii="Arial" w:hAnsi="Arial" w:cs="Arial"/>
                <w:color w:val="000000"/>
                <w:sz w:val="18"/>
              </w:rPr>
              <w:t xml:space="preserve">32.205.762 </w:t>
            </w:r>
          </w:p>
        </w:tc>
      </w:tr>
      <w:tr w:rsidR="00170007" w:rsidRPr="00C707C6" w14:paraId="423B40AE" w14:textId="4633F4F1" w:rsidTr="00BA7A6B">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43E6F" w14:textId="77777777" w:rsidR="00170007" w:rsidRPr="00BA7A6B" w:rsidRDefault="00170007" w:rsidP="00B14041">
            <w:pPr>
              <w:spacing w:line="259" w:lineRule="auto"/>
              <w:jc w:val="both"/>
              <w:rPr>
                <w:rFonts w:ascii="Arial" w:hAnsi="Arial" w:cs="Arial"/>
                <w:color w:val="000000"/>
                <w:sz w:val="18"/>
                <w:lang w:eastAsia="es-AR"/>
              </w:rPr>
            </w:pPr>
            <w:r w:rsidRPr="00BA7A6B">
              <w:rPr>
                <w:rFonts w:ascii="Arial" w:hAnsi="Arial" w:cs="Arial"/>
                <w:color w:val="000000"/>
                <w:sz w:val="18"/>
                <w:lang w:eastAsia="es-AR"/>
              </w:rPr>
              <w:t>- Letras del Tesoro Nacional hasta 90 días</w:t>
            </w:r>
          </w:p>
        </w:tc>
        <w:tc>
          <w:tcPr>
            <w:tcW w:w="821" w:type="pct"/>
            <w:tcBorders>
              <w:top w:val="single" w:sz="4" w:space="0" w:color="auto"/>
              <w:left w:val="single" w:sz="4" w:space="0" w:color="auto"/>
              <w:bottom w:val="single" w:sz="4" w:space="0" w:color="auto"/>
              <w:right w:val="single" w:sz="4" w:space="0" w:color="auto"/>
            </w:tcBorders>
            <w:vAlign w:val="bottom"/>
          </w:tcPr>
          <w:p w14:paraId="1F9C0457" w14:textId="1193E8A7" w:rsidR="00170007" w:rsidRPr="00BA7A6B" w:rsidRDefault="00C707C6" w:rsidP="00B14041">
            <w:pPr>
              <w:spacing w:line="259" w:lineRule="auto"/>
              <w:jc w:val="right"/>
              <w:rPr>
                <w:rFonts w:ascii="Arial" w:hAnsi="Arial" w:cs="Arial"/>
                <w:bCs/>
                <w:color w:val="000000"/>
                <w:sz w:val="18"/>
                <w:szCs w:val="18"/>
              </w:rPr>
            </w:pPr>
            <w:r>
              <w:rPr>
                <w:rFonts w:ascii="Arial" w:hAnsi="Arial" w:cs="Arial"/>
                <w:bCs/>
                <w:color w:val="000000"/>
                <w:sz w:val="18"/>
                <w:szCs w:val="18"/>
              </w:rPr>
              <w:t>103.540</w:t>
            </w:r>
          </w:p>
        </w:tc>
        <w:tc>
          <w:tcPr>
            <w:tcW w:w="805" w:type="pct"/>
            <w:tcBorders>
              <w:top w:val="single" w:sz="4" w:space="0" w:color="auto"/>
              <w:left w:val="single" w:sz="4" w:space="0" w:color="auto"/>
              <w:bottom w:val="single" w:sz="4" w:space="0" w:color="auto"/>
              <w:right w:val="single" w:sz="4" w:space="0" w:color="auto"/>
            </w:tcBorders>
            <w:vAlign w:val="bottom"/>
          </w:tcPr>
          <w:p w14:paraId="5B53C08B" w14:textId="7251007E" w:rsidR="00170007" w:rsidRPr="00BA7A6B" w:rsidRDefault="004A12A8" w:rsidP="00B14041">
            <w:pPr>
              <w:spacing w:line="259" w:lineRule="auto"/>
              <w:jc w:val="right"/>
              <w:rPr>
                <w:rFonts w:ascii="Arial" w:hAnsi="Arial" w:cs="Arial"/>
                <w:bCs/>
                <w:color w:val="000000"/>
                <w:sz w:val="18"/>
                <w:szCs w:val="18"/>
              </w:rPr>
            </w:pPr>
            <w:r w:rsidRPr="004A12A8">
              <w:rPr>
                <w:rFonts w:ascii="Arial" w:hAnsi="Arial" w:cs="Arial"/>
                <w:color w:val="000000"/>
                <w:sz w:val="18"/>
              </w:rPr>
              <w:t xml:space="preserve">447.131 </w:t>
            </w:r>
          </w:p>
        </w:tc>
      </w:tr>
      <w:tr w:rsidR="004A12A8" w:rsidRPr="00C707C6" w14:paraId="19F53989" w14:textId="77777777" w:rsidTr="00170007">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7D99F" w14:textId="12F2A61E" w:rsidR="004A12A8" w:rsidRPr="005F090B" w:rsidRDefault="004A12A8" w:rsidP="00B14041">
            <w:pPr>
              <w:spacing w:line="259" w:lineRule="auto"/>
              <w:jc w:val="both"/>
              <w:rPr>
                <w:rFonts w:ascii="Arial" w:hAnsi="Arial" w:cs="Arial"/>
                <w:color w:val="000000"/>
                <w:sz w:val="18"/>
                <w:lang w:eastAsia="es-AR"/>
              </w:rPr>
            </w:pPr>
            <w:r w:rsidRPr="004A12A8">
              <w:rPr>
                <w:rFonts w:ascii="Arial" w:hAnsi="Arial" w:cs="Arial"/>
                <w:color w:val="000000"/>
                <w:sz w:val="18"/>
                <w:lang w:eastAsia="es-AR"/>
              </w:rPr>
              <w:t>'-FCI en lebacs hasta 90 dias</w:t>
            </w:r>
          </w:p>
        </w:tc>
        <w:tc>
          <w:tcPr>
            <w:tcW w:w="821" w:type="pct"/>
            <w:tcBorders>
              <w:top w:val="single" w:sz="4" w:space="0" w:color="auto"/>
              <w:left w:val="single" w:sz="4" w:space="0" w:color="auto"/>
              <w:bottom w:val="single" w:sz="4" w:space="0" w:color="auto"/>
              <w:right w:val="single" w:sz="4" w:space="0" w:color="auto"/>
            </w:tcBorders>
            <w:vAlign w:val="bottom"/>
          </w:tcPr>
          <w:p w14:paraId="69E477CF" w14:textId="77777777" w:rsidR="004A12A8" w:rsidRPr="00C707C6" w:rsidDel="00C707C6" w:rsidRDefault="004A12A8" w:rsidP="00B14041">
            <w:pPr>
              <w:spacing w:line="259" w:lineRule="auto"/>
              <w:jc w:val="right"/>
              <w:rPr>
                <w:rFonts w:ascii="Arial" w:hAnsi="Arial" w:cs="Arial"/>
                <w:bCs/>
                <w:color w:val="000000"/>
                <w:sz w:val="18"/>
                <w:szCs w:val="18"/>
              </w:rPr>
            </w:pPr>
          </w:p>
        </w:tc>
        <w:tc>
          <w:tcPr>
            <w:tcW w:w="805" w:type="pct"/>
            <w:tcBorders>
              <w:top w:val="single" w:sz="4" w:space="0" w:color="auto"/>
              <w:left w:val="single" w:sz="4" w:space="0" w:color="auto"/>
              <w:bottom w:val="single" w:sz="4" w:space="0" w:color="auto"/>
              <w:right w:val="single" w:sz="4" w:space="0" w:color="auto"/>
            </w:tcBorders>
            <w:vAlign w:val="bottom"/>
          </w:tcPr>
          <w:p w14:paraId="7CD5323D" w14:textId="18E1C73A" w:rsidR="004A12A8" w:rsidRPr="004A12A8" w:rsidRDefault="004A12A8" w:rsidP="00B14041">
            <w:pPr>
              <w:spacing w:line="259" w:lineRule="auto"/>
              <w:jc w:val="right"/>
              <w:rPr>
                <w:rFonts w:ascii="Arial" w:hAnsi="Arial" w:cs="Arial"/>
                <w:color w:val="000000"/>
                <w:sz w:val="18"/>
              </w:rPr>
            </w:pPr>
            <w:r w:rsidRPr="004A12A8">
              <w:rPr>
                <w:rFonts w:ascii="Arial" w:hAnsi="Arial" w:cs="Arial"/>
                <w:color w:val="000000"/>
                <w:sz w:val="18"/>
              </w:rPr>
              <w:t xml:space="preserve">-   </w:t>
            </w:r>
          </w:p>
        </w:tc>
      </w:tr>
      <w:tr w:rsidR="00170007" w:rsidRPr="00C707C6" w14:paraId="0CFD22D4" w14:textId="4C2ED2B6" w:rsidTr="00BA7A6B">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D2C4C" w14:textId="1D855BC8" w:rsidR="00170007" w:rsidRPr="00BA7A6B" w:rsidRDefault="00170007" w:rsidP="00B14041">
            <w:pPr>
              <w:spacing w:line="259" w:lineRule="auto"/>
              <w:jc w:val="both"/>
              <w:rPr>
                <w:rFonts w:ascii="Arial" w:hAnsi="Arial" w:cs="Arial"/>
                <w:b/>
                <w:color w:val="000000"/>
                <w:sz w:val="18"/>
                <w:lang w:eastAsia="es-AR"/>
              </w:rPr>
            </w:pPr>
            <w:r w:rsidRPr="00BA7A6B">
              <w:rPr>
                <w:rFonts w:ascii="Arial" w:hAnsi="Arial" w:cs="Arial"/>
                <w:b/>
                <w:color w:val="000000"/>
                <w:sz w:val="18"/>
                <w:lang w:eastAsia="es-AR"/>
              </w:rPr>
              <w:t>Títulos de deuda a valor razonable s/Estado de Flujos de Efectivo</w:t>
            </w:r>
          </w:p>
        </w:tc>
        <w:tc>
          <w:tcPr>
            <w:tcW w:w="821" w:type="pct"/>
            <w:tcBorders>
              <w:top w:val="single" w:sz="4" w:space="0" w:color="auto"/>
              <w:left w:val="single" w:sz="4" w:space="0" w:color="auto"/>
              <w:bottom w:val="single" w:sz="4" w:space="0" w:color="auto"/>
              <w:right w:val="single" w:sz="4" w:space="0" w:color="auto"/>
            </w:tcBorders>
            <w:vAlign w:val="bottom"/>
          </w:tcPr>
          <w:p w14:paraId="3E095EB0" w14:textId="288CD9F6" w:rsidR="00170007" w:rsidRPr="003E7492" w:rsidRDefault="00C707C6" w:rsidP="00B14041">
            <w:pPr>
              <w:spacing w:line="259" w:lineRule="auto"/>
              <w:jc w:val="right"/>
              <w:rPr>
                <w:rFonts w:ascii="Arial" w:hAnsi="Arial" w:cs="Arial"/>
                <w:b/>
                <w:bCs/>
                <w:color w:val="000000"/>
                <w:sz w:val="18"/>
                <w:szCs w:val="18"/>
                <w:lang w:val="es-ES_tradnl"/>
              </w:rPr>
            </w:pPr>
            <w:r w:rsidRPr="003E7492">
              <w:rPr>
                <w:rFonts w:ascii="Arial" w:hAnsi="Arial" w:cs="Arial"/>
                <w:b/>
                <w:bCs/>
                <w:color w:val="000000"/>
                <w:sz w:val="18"/>
                <w:szCs w:val="18"/>
                <w:lang w:val="es-ES_tradnl"/>
              </w:rPr>
              <w:t>103.540</w:t>
            </w:r>
          </w:p>
        </w:tc>
        <w:tc>
          <w:tcPr>
            <w:tcW w:w="805" w:type="pct"/>
            <w:tcBorders>
              <w:top w:val="single" w:sz="4" w:space="0" w:color="auto"/>
              <w:left w:val="single" w:sz="4" w:space="0" w:color="auto"/>
              <w:bottom w:val="single" w:sz="4" w:space="0" w:color="auto"/>
              <w:right w:val="single" w:sz="4" w:space="0" w:color="auto"/>
            </w:tcBorders>
            <w:vAlign w:val="bottom"/>
          </w:tcPr>
          <w:p w14:paraId="253E4314" w14:textId="3E927355" w:rsidR="00170007" w:rsidRPr="003E7492" w:rsidRDefault="004A12A8" w:rsidP="00B14041">
            <w:pPr>
              <w:spacing w:line="259" w:lineRule="auto"/>
              <w:jc w:val="right"/>
              <w:rPr>
                <w:rFonts w:ascii="Arial" w:hAnsi="Arial" w:cs="Arial"/>
                <w:b/>
                <w:bCs/>
                <w:color w:val="000000"/>
                <w:sz w:val="18"/>
                <w:szCs w:val="18"/>
                <w:lang w:val="es-ES_tradnl"/>
              </w:rPr>
            </w:pPr>
            <w:r w:rsidRPr="003E7492">
              <w:rPr>
                <w:rFonts w:ascii="Arial" w:hAnsi="Arial" w:cs="Arial"/>
                <w:b/>
                <w:bCs/>
                <w:color w:val="000000"/>
                <w:sz w:val="18"/>
              </w:rPr>
              <w:t xml:space="preserve">32.652.893 </w:t>
            </w:r>
          </w:p>
        </w:tc>
      </w:tr>
      <w:tr w:rsidR="00170007" w:rsidRPr="00701F32" w14:paraId="296F213E" w14:textId="7B8240D0" w:rsidTr="00BA7A6B">
        <w:trPr>
          <w:trHeight w:val="239"/>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DE79E" w14:textId="1797A06D" w:rsidR="00170007" w:rsidRPr="00BA7A6B" w:rsidRDefault="00170007" w:rsidP="00B14041">
            <w:pPr>
              <w:spacing w:line="259" w:lineRule="auto"/>
              <w:jc w:val="both"/>
              <w:rPr>
                <w:rFonts w:ascii="Arial" w:hAnsi="Arial" w:cs="Arial"/>
                <w:b/>
                <w:color w:val="000000"/>
                <w:sz w:val="18"/>
                <w:lang w:eastAsia="es-AR"/>
              </w:rPr>
            </w:pPr>
            <w:r w:rsidRPr="00BA7A6B">
              <w:rPr>
                <w:rFonts w:ascii="Arial" w:hAnsi="Arial" w:cs="Arial"/>
                <w:b/>
                <w:color w:val="000000"/>
                <w:sz w:val="18"/>
                <w:lang w:eastAsia="es-AR"/>
              </w:rPr>
              <w:t>Titulos no considerados Equivalentes de Efectivo</w:t>
            </w:r>
          </w:p>
        </w:tc>
        <w:tc>
          <w:tcPr>
            <w:tcW w:w="821" w:type="pct"/>
            <w:tcBorders>
              <w:top w:val="single" w:sz="4" w:space="0" w:color="auto"/>
              <w:left w:val="single" w:sz="4" w:space="0" w:color="auto"/>
              <w:bottom w:val="single" w:sz="4" w:space="0" w:color="auto"/>
              <w:right w:val="single" w:sz="4" w:space="0" w:color="auto"/>
            </w:tcBorders>
            <w:vAlign w:val="bottom"/>
          </w:tcPr>
          <w:p w14:paraId="0A1B98FB" w14:textId="135F49DD" w:rsidR="00170007" w:rsidRPr="00BA7A6B" w:rsidRDefault="00C707C6" w:rsidP="00B14041">
            <w:pPr>
              <w:spacing w:line="259" w:lineRule="auto"/>
              <w:jc w:val="right"/>
              <w:rPr>
                <w:rFonts w:ascii="Arial" w:hAnsi="Arial" w:cs="Arial"/>
                <w:b/>
                <w:bCs/>
                <w:color w:val="000000"/>
                <w:sz w:val="18"/>
                <w:szCs w:val="18"/>
              </w:rPr>
            </w:pPr>
            <w:r>
              <w:rPr>
                <w:rFonts w:ascii="Arial" w:hAnsi="Arial" w:cs="Arial"/>
                <w:b/>
                <w:bCs/>
                <w:color w:val="000000"/>
                <w:sz w:val="18"/>
                <w:szCs w:val="18"/>
              </w:rPr>
              <w:t>257.542</w:t>
            </w:r>
          </w:p>
        </w:tc>
        <w:tc>
          <w:tcPr>
            <w:tcW w:w="805" w:type="pct"/>
            <w:tcBorders>
              <w:top w:val="single" w:sz="4" w:space="0" w:color="auto"/>
              <w:left w:val="single" w:sz="4" w:space="0" w:color="auto"/>
              <w:bottom w:val="single" w:sz="4" w:space="0" w:color="auto"/>
              <w:right w:val="single" w:sz="4" w:space="0" w:color="auto"/>
            </w:tcBorders>
            <w:vAlign w:val="bottom"/>
          </w:tcPr>
          <w:p w14:paraId="7ACCFFB6" w14:textId="49A16FC9" w:rsidR="00170007" w:rsidRPr="00BA7A6B" w:rsidRDefault="004A12A8" w:rsidP="00B14041">
            <w:pPr>
              <w:spacing w:line="259" w:lineRule="auto"/>
              <w:jc w:val="right"/>
              <w:rPr>
                <w:rFonts w:ascii="Arial" w:hAnsi="Arial" w:cs="Arial"/>
                <w:b/>
                <w:bCs/>
                <w:color w:val="000000"/>
                <w:sz w:val="18"/>
                <w:lang w:val="es-ES_tradnl"/>
              </w:rPr>
            </w:pPr>
            <w:r w:rsidRPr="004A12A8">
              <w:rPr>
                <w:rFonts w:ascii="Arial" w:hAnsi="Arial" w:cs="Arial"/>
                <w:b/>
                <w:color w:val="000000"/>
                <w:sz w:val="18"/>
              </w:rPr>
              <w:t>19.459.865</w:t>
            </w:r>
          </w:p>
        </w:tc>
      </w:tr>
    </w:tbl>
    <w:p w14:paraId="7EC9AC8A" w14:textId="5C33DD59" w:rsidR="00F77F7F" w:rsidRDefault="00F77F7F">
      <w:pPr>
        <w:rPr>
          <w:rFonts w:ascii="Arial" w:eastAsia="Arial" w:hAnsi="Arial" w:cs="Arial"/>
          <w:sz w:val="20"/>
        </w:rPr>
      </w:pPr>
    </w:p>
    <w:p w14:paraId="3775BFA5" w14:textId="77777777" w:rsidR="00F20D65" w:rsidRPr="002E1AF6" w:rsidRDefault="00F20D65" w:rsidP="00F20D65">
      <w:pPr>
        <w:pStyle w:val="Ttulonota"/>
        <w:ind w:left="-567" w:right="-244"/>
        <w:rPr>
          <w:rFonts w:ascii="Arial" w:hAnsi="Arial" w:cs="Arial"/>
          <w:b w:val="0"/>
          <w:sz w:val="20"/>
        </w:rPr>
      </w:pPr>
      <w:r w:rsidRPr="002E1AF6">
        <w:rPr>
          <w:rFonts w:ascii="Arial" w:hAnsi="Arial" w:cs="Arial"/>
          <w:b w:val="0"/>
          <w:bCs/>
          <w:sz w:val="20"/>
        </w:rPr>
        <w:t>A continuación se presenta la conciliación de las actividades de financiación al 31 de marzo 2020 y 31 de diciembre de 2019:</w:t>
      </w:r>
    </w:p>
    <w:p w14:paraId="3B45FA01" w14:textId="77777777" w:rsidR="00F20D65" w:rsidRPr="002E1AF6" w:rsidRDefault="00F20D65" w:rsidP="00F20D65">
      <w:pPr>
        <w:pStyle w:val="Ttulonota"/>
        <w:ind w:left="-567" w:right="-244"/>
        <w:rPr>
          <w:rFonts w:ascii="Arial" w:hAnsi="Arial" w:cs="Arial"/>
          <w:b w:val="0"/>
          <w:bCs/>
          <w:sz w:val="20"/>
        </w:rPr>
      </w:pPr>
    </w:p>
    <w:tbl>
      <w:tblPr>
        <w:tblW w:w="9263" w:type="dxa"/>
        <w:tblInd w:w="-381" w:type="dxa"/>
        <w:tblCellMar>
          <w:left w:w="70" w:type="dxa"/>
          <w:right w:w="70" w:type="dxa"/>
        </w:tblCellMar>
        <w:tblLook w:val="04A0" w:firstRow="1" w:lastRow="0" w:firstColumn="1" w:lastColumn="0" w:noHBand="0" w:noVBand="1"/>
      </w:tblPr>
      <w:tblGrid>
        <w:gridCol w:w="3433"/>
        <w:gridCol w:w="1322"/>
        <w:gridCol w:w="969"/>
        <w:gridCol w:w="1161"/>
        <w:gridCol w:w="1321"/>
        <w:gridCol w:w="1057"/>
      </w:tblGrid>
      <w:tr w:rsidR="00F20D65" w:rsidRPr="00F20D65" w14:paraId="1094A82A" w14:textId="77777777" w:rsidTr="002E1AF6">
        <w:trPr>
          <w:trHeight w:val="17"/>
          <w:tblHeader/>
        </w:trPr>
        <w:tc>
          <w:tcPr>
            <w:tcW w:w="3433" w:type="dxa"/>
            <w:vMerge w:val="restart"/>
            <w:tcBorders>
              <w:top w:val="single" w:sz="4" w:space="0" w:color="auto"/>
              <w:left w:val="single" w:sz="4" w:space="0" w:color="auto"/>
              <w:bottom w:val="single" w:sz="4" w:space="0" w:color="auto"/>
              <w:right w:val="single" w:sz="4" w:space="0" w:color="auto"/>
            </w:tcBorders>
            <w:noWrap/>
            <w:vAlign w:val="center"/>
            <w:hideMark/>
          </w:tcPr>
          <w:p w14:paraId="0694C2C5" w14:textId="77777777" w:rsidR="00F20D65" w:rsidRPr="002E1AF6" w:rsidRDefault="00F20D65" w:rsidP="00264F4C">
            <w:pPr>
              <w:jc w:val="center"/>
              <w:rPr>
                <w:rFonts w:ascii="Arial" w:hAnsi="Arial" w:cs="Arial"/>
                <w:b/>
                <w:bCs/>
                <w:color w:val="000000"/>
                <w:sz w:val="18"/>
                <w:szCs w:val="18"/>
                <w:lang w:eastAsia="es-AR"/>
              </w:rPr>
            </w:pPr>
            <w:r w:rsidRPr="002E1AF6">
              <w:rPr>
                <w:rFonts w:ascii="Arial" w:hAnsi="Arial" w:cs="Arial"/>
                <w:b/>
                <w:bCs/>
                <w:color w:val="000000"/>
                <w:sz w:val="18"/>
                <w:szCs w:val="18"/>
              </w:rPr>
              <w:lastRenderedPageBreak/>
              <w:t>Conceptos</w:t>
            </w:r>
          </w:p>
        </w:tc>
        <w:tc>
          <w:tcPr>
            <w:tcW w:w="1322" w:type="dxa"/>
            <w:vMerge w:val="restart"/>
            <w:tcBorders>
              <w:top w:val="single" w:sz="4" w:space="0" w:color="auto"/>
              <w:left w:val="single" w:sz="4" w:space="0" w:color="auto"/>
              <w:bottom w:val="single" w:sz="4" w:space="0" w:color="auto"/>
              <w:right w:val="single" w:sz="4" w:space="0" w:color="auto"/>
            </w:tcBorders>
            <w:vAlign w:val="center"/>
            <w:hideMark/>
          </w:tcPr>
          <w:p w14:paraId="1400C135" w14:textId="77777777" w:rsidR="00F20D65" w:rsidRPr="002E1AF6" w:rsidRDefault="00F20D65" w:rsidP="00264F4C">
            <w:pPr>
              <w:jc w:val="center"/>
              <w:rPr>
                <w:rFonts w:ascii="Arial" w:hAnsi="Arial" w:cs="Arial"/>
                <w:b/>
                <w:bCs/>
                <w:color w:val="000000"/>
                <w:sz w:val="18"/>
                <w:szCs w:val="18"/>
              </w:rPr>
            </w:pPr>
            <w:r w:rsidRPr="002E1AF6">
              <w:rPr>
                <w:rFonts w:ascii="Arial" w:hAnsi="Arial" w:cs="Arial"/>
                <w:b/>
                <w:bCs/>
                <w:color w:val="000000"/>
                <w:sz w:val="18"/>
                <w:szCs w:val="18"/>
              </w:rPr>
              <w:t>Saldos al 31/12/2019</w:t>
            </w:r>
          </w:p>
        </w:tc>
        <w:tc>
          <w:tcPr>
            <w:tcW w:w="2130" w:type="dxa"/>
            <w:gridSpan w:val="2"/>
            <w:tcBorders>
              <w:top w:val="single" w:sz="4" w:space="0" w:color="auto"/>
              <w:left w:val="nil"/>
              <w:bottom w:val="single" w:sz="4" w:space="0" w:color="auto"/>
              <w:right w:val="single" w:sz="4" w:space="0" w:color="auto"/>
            </w:tcBorders>
            <w:vAlign w:val="center"/>
            <w:hideMark/>
          </w:tcPr>
          <w:p w14:paraId="7C00C639" w14:textId="77777777" w:rsidR="00F20D65" w:rsidRPr="002E1AF6" w:rsidRDefault="00F20D65" w:rsidP="00264F4C">
            <w:pPr>
              <w:jc w:val="center"/>
              <w:rPr>
                <w:rFonts w:ascii="Arial" w:hAnsi="Arial" w:cs="Arial"/>
                <w:b/>
                <w:bCs/>
                <w:color w:val="000000"/>
                <w:sz w:val="18"/>
                <w:szCs w:val="18"/>
              </w:rPr>
            </w:pPr>
            <w:r w:rsidRPr="002E1AF6">
              <w:rPr>
                <w:rFonts w:ascii="Arial" w:hAnsi="Arial" w:cs="Arial"/>
                <w:b/>
                <w:bCs/>
                <w:color w:val="000000"/>
                <w:sz w:val="18"/>
                <w:szCs w:val="18"/>
              </w:rPr>
              <w:t>Flujos de Efectivo</w:t>
            </w:r>
          </w:p>
        </w:tc>
        <w:tc>
          <w:tcPr>
            <w:tcW w:w="1321" w:type="dxa"/>
            <w:vMerge w:val="restart"/>
            <w:tcBorders>
              <w:top w:val="single" w:sz="4" w:space="0" w:color="auto"/>
              <w:left w:val="single" w:sz="4" w:space="0" w:color="auto"/>
              <w:bottom w:val="single" w:sz="4" w:space="0" w:color="auto"/>
              <w:right w:val="single" w:sz="4" w:space="0" w:color="auto"/>
            </w:tcBorders>
            <w:vAlign w:val="center"/>
            <w:hideMark/>
          </w:tcPr>
          <w:p w14:paraId="44C16CD9" w14:textId="77777777" w:rsidR="00F20D65" w:rsidRPr="002E1AF6" w:rsidRDefault="00F20D65" w:rsidP="00264F4C">
            <w:pPr>
              <w:jc w:val="center"/>
              <w:rPr>
                <w:rFonts w:ascii="Arial" w:hAnsi="Arial" w:cs="Arial"/>
                <w:b/>
                <w:bCs/>
                <w:color w:val="000000"/>
                <w:sz w:val="18"/>
                <w:szCs w:val="18"/>
              </w:rPr>
            </w:pPr>
            <w:r w:rsidRPr="002E1AF6">
              <w:rPr>
                <w:rFonts w:ascii="Arial" w:hAnsi="Arial" w:cs="Arial"/>
                <w:b/>
                <w:bCs/>
                <w:color w:val="000000"/>
                <w:sz w:val="18"/>
                <w:szCs w:val="18"/>
              </w:rPr>
              <w:t>Otros movimientos sin efectivo</w:t>
            </w:r>
          </w:p>
        </w:tc>
        <w:tc>
          <w:tcPr>
            <w:tcW w:w="1057" w:type="dxa"/>
            <w:vMerge w:val="restart"/>
            <w:tcBorders>
              <w:top w:val="single" w:sz="4" w:space="0" w:color="auto"/>
              <w:left w:val="single" w:sz="4" w:space="0" w:color="auto"/>
              <w:bottom w:val="single" w:sz="4" w:space="0" w:color="auto"/>
              <w:right w:val="single" w:sz="4" w:space="0" w:color="auto"/>
            </w:tcBorders>
            <w:vAlign w:val="center"/>
            <w:hideMark/>
          </w:tcPr>
          <w:p w14:paraId="4B79894A" w14:textId="77777777" w:rsidR="00F20D65" w:rsidRPr="002E1AF6" w:rsidRDefault="00F20D65" w:rsidP="00264F4C">
            <w:pPr>
              <w:jc w:val="center"/>
              <w:rPr>
                <w:rFonts w:ascii="Arial" w:hAnsi="Arial" w:cs="Arial"/>
                <w:b/>
                <w:bCs/>
                <w:color w:val="000000"/>
                <w:sz w:val="18"/>
                <w:szCs w:val="18"/>
              </w:rPr>
            </w:pPr>
            <w:r w:rsidRPr="002E1AF6">
              <w:rPr>
                <w:rFonts w:ascii="Arial" w:hAnsi="Arial" w:cs="Arial"/>
                <w:b/>
                <w:bCs/>
                <w:color w:val="000000"/>
                <w:sz w:val="18"/>
                <w:szCs w:val="18"/>
              </w:rPr>
              <w:t>Saldos al 31/03/2020</w:t>
            </w:r>
          </w:p>
        </w:tc>
      </w:tr>
      <w:tr w:rsidR="00F20D65" w:rsidRPr="00F20D65" w14:paraId="622EBD48" w14:textId="77777777" w:rsidTr="002E1AF6">
        <w:trPr>
          <w:trHeight w:val="1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04034A" w14:textId="77777777" w:rsidR="00F20D65" w:rsidRPr="002E1AF6" w:rsidRDefault="00F20D65" w:rsidP="00264F4C">
            <w:pPr>
              <w:rPr>
                <w:rFonts w:ascii="Arial" w:hAnsi="Arial" w:cs="Arial"/>
                <w:b/>
                <w:bCs/>
                <w:color w:val="000000"/>
                <w:sz w:val="18"/>
                <w:szCs w:val="18"/>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FEF1EB" w14:textId="77777777" w:rsidR="00F20D65" w:rsidRPr="002E1AF6" w:rsidRDefault="00F20D65" w:rsidP="00264F4C">
            <w:pPr>
              <w:rPr>
                <w:rFonts w:ascii="Arial" w:hAnsi="Arial" w:cs="Arial"/>
                <w:b/>
                <w:bCs/>
                <w:color w:val="000000"/>
                <w:sz w:val="18"/>
                <w:szCs w:val="18"/>
              </w:rPr>
            </w:pPr>
          </w:p>
        </w:tc>
        <w:tc>
          <w:tcPr>
            <w:tcW w:w="969" w:type="dxa"/>
            <w:tcBorders>
              <w:top w:val="nil"/>
              <w:left w:val="nil"/>
              <w:bottom w:val="single" w:sz="4" w:space="0" w:color="auto"/>
              <w:right w:val="single" w:sz="4" w:space="0" w:color="auto"/>
            </w:tcBorders>
            <w:noWrap/>
            <w:vAlign w:val="center"/>
            <w:hideMark/>
          </w:tcPr>
          <w:p w14:paraId="75939B82" w14:textId="77777777" w:rsidR="00F20D65" w:rsidRPr="002E1AF6" w:rsidRDefault="00F20D65" w:rsidP="00264F4C">
            <w:pPr>
              <w:jc w:val="center"/>
              <w:rPr>
                <w:rFonts w:ascii="Arial" w:hAnsi="Arial" w:cs="Arial"/>
                <w:b/>
                <w:bCs/>
                <w:color w:val="000000"/>
                <w:sz w:val="18"/>
                <w:szCs w:val="18"/>
              </w:rPr>
            </w:pPr>
            <w:r w:rsidRPr="002E1AF6">
              <w:rPr>
                <w:rFonts w:ascii="Arial" w:hAnsi="Arial" w:cs="Arial"/>
                <w:b/>
                <w:bCs/>
                <w:color w:val="000000"/>
                <w:sz w:val="18"/>
                <w:szCs w:val="18"/>
              </w:rPr>
              <w:t xml:space="preserve">Cobros </w:t>
            </w:r>
          </w:p>
        </w:tc>
        <w:tc>
          <w:tcPr>
            <w:tcW w:w="1161" w:type="dxa"/>
            <w:tcBorders>
              <w:top w:val="nil"/>
              <w:left w:val="nil"/>
              <w:bottom w:val="single" w:sz="4" w:space="0" w:color="auto"/>
              <w:right w:val="single" w:sz="4" w:space="0" w:color="auto"/>
            </w:tcBorders>
            <w:noWrap/>
            <w:vAlign w:val="center"/>
            <w:hideMark/>
          </w:tcPr>
          <w:p w14:paraId="3AC1D3F2" w14:textId="77777777" w:rsidR="00F20D65" w:rsidRPr="002E1AF6" w:rsidRDefault="00F20D65" w:rsidP="00264F4C">
            <w:pPr>
              <w:jc w:val="center"/>
              <w:rPr>
                <w:rFonts w:ascii="Arial" w:hAnsi="Arial" w:cs="Arial"/>
                <w:b/>
                <w:bCs/>
                <w:color w:val="000000"/>
                <w:sz w:val="18"/>
                <w:szCs w:val="18"/>
              </w:rPr>
            </w:pPr>
            <w:r w:rsidRPr="002E1AF6">
              <w:rPr>
                <w:rFonts w:ascii="Arial" w:hAnsi="Arial" w:cs="Arial"/>
                <w:b/>
                <w:bCs/>
                <w:color w:val="000000"/>
                <w:sz w:val="18"/>
                <w:szCs w:val="18"/>
              </w:rPr>
              <w:t>Pagos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CBF5C" w14:textId="77777777" w:rsidR="00F20D65" w:rsidRPr="002E1AF6" w:rsidRDefault="00F20D65" w:rsidP="00264F4C">
            <w:pPr>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5FB18" w14:textId="77777777" w:rsidR="00F20D65" w:rsidRPr="002E1AF6" w:rsidRDefault="00F20D65" w:rsidP="00264F4C">
            <w:pPr>
              <w:rPr>
                <w:rFonts w:ascii="Arial" w:hAnsi="Arial" w:cs="Arial"/>
                <w:b/>
                <w:bCs/>
                <w:color w:val="000000"/>
                <w:sz w:val="18"/>
                <w:szCs w:val="18"/>
              </w:rPr>
            </w:pPr>
          </w:p>
        </w:tc>
      </w:tr>
      <w:tr w:rsidR="00A91BF2" w:rsidRPr="00F20D65" w14:paraId="3615B3E8" w14:textId="77777777" w:rsidTr="00F20D65">
        <w:trPr>
          <w:trHeight w:val="17"/>
        </w:trPr>
        <w:tc>
          <w:tcPr>
            <w:tcW w:w="3433" w:type="dxa"/>
            <w:tcBorders>
              <w:top w:val="nil"/>
              <w:left w:val="single" w:sz="4" w:space="0" w:color="auto"/>
              <w:bottom w:val="single" w:sz="4" w:space="0" w:color="auto"/>
              <w:right w:val="single" w:sz="4" w:space="0" w:color="auto"/>
            </w:tcBorders>
            <w:noWrap/>
            <w:vAlign w:val="center"/>
          </w:tcPr>
          <w:p w14:paraId="36CE455A" w14:textId="3C6ED1DD" w:rsidR="00A91BF2" w:rsidRPr="002E1AF6" w:rsidRDefault="00A91BF2" w:rsidP="00A91BF2">
            <w:pPr>
              <w:rPr>
                <w:rFonts w:ascii="Arial" w:hAnsi="Arial" w:cs="Arial"/>
                <w:color w:val="000000"/>
                <w:sz w:val="18"/>
                <w:szCs w:val="18"/>
              </w:rPr>
            </w:pPr>
            <w:r w:rsidRPr="002E1AF6">
              <w:rPr>
                <w:rFonts w:ascii="Arial" w:hAnsi="Arial" w:cs="Arial"/>
                <w:color w:val="000000"/>
                <w:sz w:val="18"/>
                <w:szCs w:val="18"/>
              </w:rPr>
              <w:t>Obligaciones negociables emitidas</w:t>
            </w:r>
          </w:p>
        </w:tc>
        <w:tc>
          <w:tcPr>
            <w:tcW w:w="1322" w:type="dxa"/>
            <w:tcBorders>
              <w:top w:val="single" w:sz="4" w:space="0" w:color="auto"/>
              <w:left w:val="single" w:sz="4" w:space="0" w:color="auto"/>
              <w:bottom w:val="single" w:sz="4" w:space="0" w:color="auto"/>
              <w:right w:val="single" w:sz="4" w:space="0" w:color="auto"/>
            </w:tcBorders>
            <w:noWrap/>
            <w:vAlign w:val="center"/>
          </w:tcPr>
          <w:p w14:paraId="22475DDF" w14:textId="2FA5EB03" w:rsidR="00A91BF2" w:rsidRPr="002E1AF6" w:rsidRDefault="00A91BF2" w:rsidP="00A91BF2">
            <w:pPr>
              <w:jc w:val="right"/>
              <w:rPr>
                <w:rFonts w:ascii="Arial" w:hAnsi="Arial" w:cs="Arial"/>
                <w:color w:val="000000"/>
                <w:sz w:val="18"/>
                <w:szCs w:val="18"/>
              </w:rPr>
            </w:pPr>
            <w:r w:rsidRPr="00A91BF2">
              <w:rPr>
                <w:rFonts w:ascii="Arial" w:hAnsi="Arial" w:cs="Arial"/>
                <w:color w:val="000000"/>
                <w:sz w:val="18"/>
                <w:szCs w:val="18"/>
              </w:rPr>
              <w:t>6.544.450</w:t>
            </w:r>
          </w:p>
        </w:tc>
        <w:tc>
          <w:tcPr>
            <w:tcW w:w="969" w:type="dxa"/>
            <w:tcBorders>
              <w:top w:val="single" w:sz="4" w:space="0" w:color="auto"/>
              <w:left w:val="nil"/>
              <w:bottom w:val="single" w:sz="4" w:space="0" w:color="auto"/>
              <w:right w:val="single" w:sz="4" w:space="0" w:color="auto"/>
            </w:tcBorders>
            <w:noWrap/>
            <w:vAlign w:val="center"/>
          </w:tcPr>
          <w:p w14:paraId="26E8F520" w14:textId="01901B08" w:rsidR="00A91BF2" w:rsidRPr="002E1AF6" w:rsidRDefault="00A91BF2" w:rsidP="00A91BF2">
            <w:pPr>
              <w:jc w:val="right"/>
              <w:rPr>
                <w:rFonts w:ascii="Arial" w:hAnsi="Arial" w:cs="Arial"/>
                <w:color w:val="000000"/>
                <w:sz w:val="18"/>
                <w:szCs w:val="18"/>
              </w:rPr>
            </w:pPr>
            <w:r w:rsidRPr="002E1AF6">
              <w:rPr>
                <w:rFonts w:ascii="Arial" w:hAnsi="Arial" w:cs="Arial"/>
                <w:color w:val="000000"/>
                <w:sz w:val="18"/>
                <w:szCs w:val="18"/>
              </w:rPr>
              <w:t>314.399</w:t>
            </w:r>
          </w:p>
        </w:tc>
        <w:tc>
          <w:tcPr>
            <w:tcW w:w="1161" w:type="dxa"/>
            <w:tcBorders>
              <w:top w:val="single" w:sz="4" w:space="0" w:color="auto"/>
              <w:left w:val="nil"/>
              <w:bottom w:val="single" w:sz="4" w:space="0" w:color="auto"/>
              <w:right w:val="single" w:sz="4" w:space="0" w:color="auto"/>
            </w:tcBorders>
            <w:noWrap/>
            <w:vAlign w:val="center"/>
          </w:tcPr>
          <w:p w14:paraId="5210A08B" w14:textId="2EFFE9DC" w:rsidR="00A91BF2" w:rsidRPr="002E1AF6" w:rsidRDefault="00A91BF2" w:rsidP="00A91BF2">
            <w:pPr>
              <w:jc w:val="right"/>
              <w:rPr>
                <w:rFonts w:ascii="Arial" w:hAnsi="Arial" w:cs="Arial"/>
                <w:color w:val="000000"/>
                <w:sz w:val="18"/>
                <w:szCs w:val="18"/>
              </w:rPr>
            </w:pPr>
            <w:r w:rsidRPr="00A91BF2">
              <w:rPr>
                <w:rFonts w:ascii="Arial" w:hAnsi="Arial" w:cs="Arial"/>
                <w:color w:val="000000"/>
                <w:sz w:val="18"/>
                <w:szCs w:val="18"/>
              </w:rPr>
              <w:t>-2.864.623</w:t>
            </w:r>
          </w:p>
        </w:tc>
        <w:tc>
          <w:tcPr>
            <w:tcW w:w="1321" w:type="dxa"/>
            <w:tcBorders>
              <w:top w:val="single" w:sz="4" w:space="0" w:color="auto"/>
              <w:left w:val="nil"/>
              <w:bottom w:val="single" w:sz="4" w:space="0" w:color="auto"/>
              <w:right w:val="single" w:sz="4" w:space="0" w:color="auto"/>
            </w:tcBorders>
            <w:noWrap/>
            <w:vAlign w:val="center"/>
          </w:tcPr>
          <w:p w14:paraId="62EBDF1E" w14:textId="76A992D1" w:rsidR="00A91BF2" w:rsidRPr="002E1AF6" w:rsidRDefault="00A91BF2" w:rsidP="00A91BF2">
            <w:pPr>
              <w:jc w:val="right"/>
              <w:rPr>
                <w:rFonts w:ascii="Arial" w:hAnsi="Arial" w:cs="Arial"/>
                <w:color w:val="000000"/>
                <w:sz w:val="18"/>
                <w:szCs w:val="18"/>
              </w:rPr>
            </w:pPr>
            <w:r w:rsidRPr="00A91BF2">
              <w:rPr>
                <w:rFonts w:ascii="Arial" w:hAnsi="Arial" w:cs="Arial"/>
                <w:color w:val="000000"/>
                <w:sz w:val="18"/>
                <w:szCs w:val="18"/>
              </w:rPr>
              <w:t>176.33</w:t>
            </w:r>
            <w:r w:rsidR="005333A4">
              <w:rPr>
                <w:rFonts w:ascii="Arial" w:hAnsi="Arial" w:cs="Arial"/>
                <w:color w:val="000000"/>
                <w:sz w:val="18"/>
                <w:szCs w:val="18"/>
              </w:rPr>
              <w:t>3</w:t>
            </w:r>
          </w:p>
        </w:tc>
        <w:tc>
          <w:tcPr>
            <w:tcW w:w="1057" w:type="dxa"/>
            <w:tcBorders>
              <w:top w:val="single" w:sz="4" w:space="0" w:color="auto"/>
              <w:left w:val="nil"/>
              <w:bottom w:val="single" w:sz="4" w:space="0" w:color="auto"/>
              <w:right w:val="single" w:sz="4" w:space="0" w:color="auto"/>
            </w:tcBorders>
            <w:noWrap/>
            <w:vAlign w:val="center"/>
          </w:tcPr>
          <w:p w14:paraId="0DDB6DF3" w14:textId="53EF00DD" w:rsidR="00A91BF2" w:rsidRPr="002E1AF6" w:rsidRDefault="00A91BF2" w:rsidP="00A91BF2">
            <w:pPr>
              <w:jc w:val="right"/>
              <w:rPr>
                <w:rFonts w:ascii="Arial" w:hAnsi="Arial" w:cs="Arial"/>
                <w:color w:val="000000"/>
                <w:sz w:val="18"/>
                <w:szCs w:val="18"/>
              </w:rPr>
            </w:pPr>
            <w:r w:rsidRPr="00A91BF2">
              <w:rPr>
                <w:rFonts w:ascii="Arial" w:hAnsi="Arial" w:cs="Arial"/>
                <w:color w:val="000000"/>
                <w:sz w:val="18"/>
                <w:szCs w:val="18"/>
              </w:rPr>
              <w:t>4.170.559</w:t>
            </w:r>
          </w:p>
        </w:tc>
      </w:tr>
      <w:tr w:rsidR="00F20D65" w:rsidRPr="00F20D65" w14:paraId="4C30377D" w14:textId="77777777" w:rsidTr="002E1AF6">
        <w:trPr>
          <w:trHeight w:val="17"/>
        </w:trPr>
        <w:tc>
          <w:tcPr>
            <w:tcW w:w="3433" w:type="dxa"/>
            <w:tcBorders>
              <w:top w:val="nil"/>
              <w:left w:val="single" w:sz="4" w:space="0" w:color="auto"/>
              <w:bottom w:val="single" w:sz="4" w:space="0" w:color="auto"/>
              <w:right w:val="single" w:sz="4" w:space="0" w:color="auto"/>
            </w:tcBorders>
            <w:noWrap/>
            <w:vAlign w:val="center"/>
            <w:hideMark/>
          </w:tcPr>
          <w:p w14:paraId="02B9D57B" w14:textId="77777777" w:rsidR="00F20D65" w:rsidRPr="002E1AF6" w:rsidRDefault="00F20D65" w:rsidP="00264F4C">
            <w:pPr>
              <w:rPr>
                <w:rFonts w:ascii="Arial" w:hAnsi="Arial" w:cs="Arial"/>
                <w:color w:val="000000"/>
                <w:sz w:val="18"/>
                <w:szCs w:val="18"/>
              </w:rPr>
            </w:pPr>
            <w:r w:rsidRPr="002E1AF6">
              <w:rPr>
                <w:rFonts w:ascii="Arial" w:hAnsi="Arial" w:cs="Arial"/>
                <w:color w:val="000000"/>
                <w:sz w:val="18"/>
                <w:szCs w:val="18"/>
              </w:rPr>
              <w:t>Obligaciones negociables subordinadas</w:t>
            </w:r>
          </w:p>
        </w:tc>
        <w:tc>
          <w:tcPr>
            <w:tcW w:w="1322" w:type="dxa"/>
            <w:tcBorders>
              <w:top w:val="nil"/>
              <w:left w:val="single" w:sz="4" w:space="0" w:color="auto"/>
              <w:bottom w:val="single" w:sz="4" w:space="0" w:color="auto"/>
              <w:right w:val="single" w:sz="4" w:space="0" w:color="auto"/>
            </w:tcBorders>
            <w:noWrap/>
            <w:vAlign w:val="center"/>
            <w:hideMark/>
          </w:tcPr>
          <w:p w14:paraId="2E3F8D5A" w14:textId="62724233"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2.285.2</w:t>
            </w:r>
            <w:r w:rsidR="005333A4">
              <w:rPr>
                <w:rFonts w:ascii="Arial" w:hAnsi="Arial" w:cs="Arial"/>
                <w:color w:val="000000"/>
                <w:sz w:val="18"/>
                <w:szCs w:val="18"/>
              </w:rPr>
              <w:t>3</w:t>
            </w:r>
            <w:r w:rsidRPr="002E1AF6">
              <w:rPr>
                <w:rFonts w:ascii="Arial" w:hAnsi="Arial" w:cs="Arial"/>
                <w:color w:val="000000"/>
                <w:sz w:val="18"/>
                <w:szCs w:val="18"/>
              </w:rPr>
              <w:t>9</w:t>
            </w:r>
          </w:p>
        </w:tc>
        <w:tc>
          <w:tcPr>
            <w:tcW w:w="969" w:type="dxa"/>
            <w:tcBorders>
              <w:top w:val="nil"/>
              <w:left w:val="nil"/>
              <w:bottom w:val="single" w:sz="4" w:space="0" w:color="auto"/>
              <w:right w:val="single" w:sz="4" w:space="0" w:color="auto"/>
            </w:tcBorders>
            <w:noWrap/>
            <w:vAlign w:val="center"/>
            <w:hideMark/>
          </w:tcPr>
          <w:p w14:paraId="571E7BFB" w14:textId="77777777"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w:t>
            </w:r>
          </w:p>
        </w:tc>
        <w:tc>
          <w:tcPr>
            <w:tcW w:w="1161" w:type="dxa"/>
            <w:tcBorders>
              <w:top w:val="nil"/>
              <w:left w:val="nil"/>
              <w:bottom w:val="single" w:sz="4" w:space="0" w:color="auto"/>
              <w:right w:val="single" w:sz="4" w:space="0" w:color="auto"/>
            </w:tcBorders>
            <w:noWrap/>
            <w:vAlign w:val="center"/>
            <w:hideMark/>
          </w:tcPr>
          <w:p w14:paraId="47872533" w14:textId="174617CF" w:rsidR="00F20D65" w:rsidRPr="002E1AF6" w:rsidRDefault="00A91BF2" w:rsidP="00264F4C">
            <w:pPr>
              <w:jc w:val="right"/>
              <w:rPr>
                <w:rFonts w:ascii="Arial" w:hAnsi="Arial" w:cs="Arial"/>
                <w:color w:val="000000"/>
                <w:sz w:val="18"/>
                <w:szCs w:val="18"/>
              </w:rPr>
            </w:pPr>
            <w:r w:rsidRPr="00A91BF2">
              <w:rPr>
                <w:rFonts w:ascii="Arial" w:hAnsi="Arial" w:cs="Arial"/>
                <w:color w:val="000000"/>
                <w:sz w:val="18"/>
                <w:szCs w:val="18"/>
              </w:rPr>
              <w:t>-404.880</w:t>
            </w:r>
          </w:p>
        </w:tc>
        <w:tc>
          <w:tcPr>
            <w:tcW w:w="1321" w:type="dxa"/>
            <w:tcBorders>
              <w:top w:val="nil"/>
              <w:left w:val="nil"/>
              <w:bottom w:val="single" w:sz="4" w:space="0" w:color="auto"/>
              <w:right w:val="single" w:sz="4" w:space="0" w:color="auto"/>
            </w:tcBorders>
            <w:noWrap/>
            <w:vAlign w:val="center"/>
            <w:hideMark/>
          </w:tcPr>
          <w:p w14:paraId="26AAE747" w14:textId="0551D07D" w:rsidR="00F20D65" w:rsidRPr="002E1AF6" w:rsidRDefault="003E7492" w:rsidP="00264F4C">
            <w:pPr>
              <w:jc w:val="right"/>
              <w:rPr>
                <w:rFonts w:ascii="Arial" w:hAnsi="Arial" w:cs="Arial"/>
                <w:color w:val="000000"/>
                <w:sz w:val="18"/>
                <w:szCs w:val="18"/>
              </w:rPr>
            </w:pPr>
            <w:r w:rsidRPr="003E7492">
              <w:rPr>
                <w:rFonts w:ascii="Arial" w:hAnsi="Arial" w:cs="Arial"/>
                <w:color w:val="000000"/>
                <w:sz w:val="18"/>
                <w:szCs w:val="18"/>
              </w:rPr>
              <w:t>31.098</w:t>
            </w:r>
          </w:p>
        </w:tc>
        <w:tc>
          <w:tcPr>
            <w:tcW w:w="1057" w:type="dxa"/>
            <w:tcBorders>
              <w:top w:val="nil"/>
              <w:left w:val="nil"/>
              <w:bottom w:val="single" w:sz="4" w:space="0" w:color="auto"/>
              <w:right w:val="single" w:sz="4" w:space="0" w:color="auto"/>
            </w:tcBorders>
            <w:noWrap/>
            <w:vAlign w:val="center"/>
            <w:hideMark/>
          </w:tcPr>
          <w:p w14:paraId="057748CB" w14:textId="77777777"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1.911.457</w:t>
            </w:r>
          </w:p>
        </w:tc>
      </w:tr>
      <w:tr w:rsidR="00F20D65" w:rsidRPr="00F20D65" w14:paraId="3125999A" w14:textId="77777777" w:rsidTr="002E1AF6">
        <w:trPr>
          <w:trHeight w:val="17"/>
        </w:trPr>
        <w:tc>
          <w:tcPr>
            <w:tcW w:w="3433" w:type="dxa"/>
            <w:tcBorders>
              <w:top w:val="nil"/>
              <w:left w:val="single" w:sz="4" w:space="0" w:color="auto"/>
              <w:bottom w:val="single" w:sz="4" w:space="0" w:color="auto"/>
              <w:right w:val="single" w:sz="4" w:space="0" w:color="auto"/>
            </w:tcBorders>
            <w:noWrap/>
            <w:vAlign w:val="center"/>
            <w:hideMark/>
          </w:tcPr>
          <w:p w14:paraId="70CD8289" w14:textId="77777777" w:rsidR="00F20D65" w:rsidRPr="002E1AF6" w:rsidRDefault="00F20D65" w:rsidP="00264F4C">
            <w:pPr>
              <w:rPr>
                <w:rFonts w:ascii="Arial" w:hAnsi="Arial" w:cs="Arial"/>
                <w:color w:val="000000"/>
                <w:sz w:val="18"/>
                <w:szCs w:val="18"/>
              </w:rPr>
            </w:pPr>
            <w:r w:rsidRPr="002E1AF6">
              <w:rPr>
                <w:rFonts w:ascii="Arial" w:hAnsi="Arial" w:cs="Arial"/>
                <w:color w:val="000000"/>
                <w:sz w:val="18"/>
                <w:szCs w:val="18"/>
              </w:rPr>
              <w:t>Financiaciones recibidas del B.C.R.A. y otras instituciones financieras</w:t>
            </w:r>
          </w:p>
        </w:tc>
        <w:tc>
          <w:tcPr>
            <w:tcW w:w="1322" w:type="dxa"/>
            <w:tcBorders>
              <w:top w:val="nil"/>
              <w:left w:val="single" w:sz="4" w:space="0" w:color="auto"/>
              <w:bottom w:val="single" w:sz="4" w:space="0" w:color="auto"/>
              <w:right w:val="single" w:sz="4" w:space="0" w:color="auto"/>
            </w:tcBorders>
            <w:noWrap/>
            <w:vAlign w:val="center"/>
            <w:hideMark/>
          </w:tcPr>
          <w:p w14:paraId="1715B097" w14:textId="1E0E791E" w:rsidR="00F20D65" w:rsidRPr="002E1AF6" w:rsidRDefault="00A91BF2" w:rsidP="00264F4C">
            <w:pPr>
              <w:jc w:val="right"/>
              <w:rPr>
                <w:rFonts w:ascii="Arial" w:hAnsi="Arial" w:cs="Arial"/>
                <w:color w:val="000000"/>
                <w:sz w:val="18"/>
                <w:szCs w:val="18"/>
              </w:rPr>
            </w:pPr>
            <w:r w:rsidRPr="00A91BF2">
              <w:rPr>
                <w:rFonts w:ascii="Arial" w:hAnsi="Arial" w:cs="Arial"/>
                <w:color w:val="000000"/>
                <w:sz w:val="18"/>
                <w:szCs w:val="18"/>
              </w:rPr>
              <w:t>9.717.746</w:t>
            </w:r>
          </w:p>
        </w:tc>
        <w:tc>
          <w:tcPr>
            <w:tcW w:w="969" w:type="dxa"/>
            <w:tcBorders>
              <w:top w:val="nil"/>
              <w:left w:val="nil"/>
              <w:bottom w:val="single" w:sz="4" w:space="0" w:color="auto"/>
              <w:right w:val="single" w:sz="4" w:space="0" w:color="auto"/>
            </w:tcBorders>
            <w:noWrap/>
            <w:vAlign w:val="center"/>
            <w:hideMark/>
          </w:tcPr>
          <w:p w14:paraId="36245D35" w14:textId="77777777"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7.464.280</w:t>
            </w:r>
          </w:p>
        </w:tc>
        <w:tc>
          <w:tcPr>
            <w:tcW w:w="1161" w:type="dxa"/>
            <w:tcBorders>
              <w:top w:val="nil"/>
              <w:left w:val="nil"/>
              <w:bottom w:val="single" w:sz="4" w:space="0" w:color="auto"/>
              <w:right w:val="single" w:sz="4" w:space="0" w:color="auto"/>
            </w:tcBorders>
            <w:noWrap/>
            <w:vAlign w:val="center"/>
            <w:hideMark/>
          </w:tcPr>
          <w:p w14:paraId="2C18979E" w14:textId="5B1B7126" w:rsidR="00F20D65" w:rsidRPr="002E1AF6" w:rsidRDefault="00A91BF2" w:rsidP="00264F4C">
            <w:pPr>
              <w:jc w:val="right"/>
              <w:rPr>
                <w:rFonts w:ascii="Arial" w:hAnsi="Arial" w:cs="Arial"/>
                <w:color w:val="000000"/>
                <w:sz w:val="18"/>
                <w:szCs w:val="18"/>
              </w:rPr>
            </w:pPr>
            <w:r w:rsidRPr="00A91BF2">
              <w:rPr>
                <w:rFonts w:ascii="Arial" w:hAnsi="Arial" w:cs="Arial"/>
                <w:color w:val="000000"/>
                <w:sz w:val="18"/>
                <w:szCs w:val="18"/>
              </w:rPr>
              <w:t>-8.778.393</w:t>
            </w:r>
          </w:p>
        </w:tc>
        <w:tc>
          <w:tcPr>
            <w:tcW w:w="1321" w:type="dxa"/>
            <w:tcBorders>
              <w:top w:val="nil"/>
              <w:left w:val="nil"/>
              <w:bottom w:val="single" w:sz="4" w:space="0" w:color="auto"/>
              <w:right w:val="single" w:sz="4" w:space="0" w:color="auto"/>
            </w:tcBorders>
            <w:noWrap/>
            <w:vAlign w:val="center"/>
            <w:hideMark/>
          </w:tcPr>
          <w:p w14:paraId="467D4850" w14:textId="77777777"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w:t>
            </w:r>
          </w:p>
        </w:tc>
        <w:tc>
          <w:tcPr>
            <w:tcW w:w="1057" w:type="dxa"/>
            <w:tcBorders>
              <w:top w:val="nil"/>
              <w:left w:val="nil"/>
              <w:bottom w:val="single" w:sz="4" w:space="0" w:color="auto"/>
              <w:right w:val="single" w:sz="4" w:space="0" w:color="auto"/>
            </w:tcBorders>
            <w:noWrap/>
            <w:vAlign w:val="center"/>
            <w:hideMark/>
          </w:tcPr>
          <w:p w14:paraId="4F4BFC94" w14:textId="7B31473D" w:rsidR="00F20D65" w:rsidRPr="002E1AF6" w:rsidRDefault="00A91BF2" w:rsidP="00264F4C">
            <w:pPr>
              <w:jc w:val="right"/>
              <w:rPr>
                <w:rFonts w:ascii="Arial" w:hAnsi="Arial" w:cs="Arial"/>
                <w:color w:val="000000"/>
                <w:sz w:val="18"/>
                <w:szCs w:val="18"/>
              </w:rPr>
            </w:pPr>
            <w:r w:rsidRPr="00A91BF2">
              <w:rPr>
                <w:rFonts w:ascii="Arial" w:hAnsi="Arial" w:cs="Arial"/>
                <w:color w:val="000000"/>
                <w:sz w:val="18"/>
                <w:szCs w:val="18"/>
              </w:rPr>
              <w:t>8.403.633</w:t>
            </w:r>
          </w:p>
        </w:tc>
      </w:tr>
      <w:tr w:rsidR="00F20D65" w:rsidRPr="00F20D65" w14:paraId="0FF827F9" w14:textId="77777777" w:rsidTr="002E1AF6">
        <w:trPr>
          <w:trHeight w:val="17"/>
        </w:trPr>
        <w:tc>
          <w:tcPr>
            <w:tcW w:w="3433" w:type="dxa"/>
            <w:tcBorders>
              <w:top w:val="nil"/>
              <w:left w:val="single" w:sz="4" w:space="0" w:color="auto"/>
              <w:bottom w:val="single" w:sz="4" w:space="0" w:color="auto"/>
              <w:right w:val="single" w:sz="4" w:space="0" w:color="auto"/>
            </w:tcBorders>
            <w:noWrap/>
            <w:vAlign w:val="center"/>
            <w:hideMark/>
          </w:tcPr>
          <w:p w14:paraId="0A8268A3" w14:textId="77777777" w:rsidR="00F20D65" w:rsidRPr="002E1AF6" w:rsidRDefault="00F20D65" w:rsidP="00264F4C">
            <w:pPr>
              <w:rPr>
                <w:rFonts w:ascii="Arial" w:hAnsi="Arial" w:cs="Arial"/>
                <w:color w:val="000000"/>
                <w:sz w:val="18"/>
                <w:szCs w:val="18"/>
              </w:rPr>
            </w:pPr>
            <w:r w:rsidRPr="002E1AF6">
              <w:rPr>
                <w:rFonts w:ascii="Arial" w:hAnsi="Arial" w:cs="Arial"/>
                <w:color w:val="000000"/>
                <w:sz w:val="18"/>
                <w:szCs w:val="18"/>
              </w:rPr>
              <w:t>Pasivo por arrendamientos Financieros</w:t>
            </w:r>
          </w:p>
        </w:tc>
        <w:tc>
          <w:tcPr>
            <w:tcW w:w="1322" w:type="dxa"/>
            <w:tcBorders>
              <w:top w:val="nil"/>
              <w:left w:val="single" w:sz="4" w:space="0" w:color="auto"/>
              <w:bottom w:val="single" w:sz="4" w:space="0" w:color="auto"/>
              <w:right w:val="single" w:sz="4" w:space="0" w:color="auto"/>
            </w:tcBorders>
            <w:noWrap/>
            <w:vAlign w:val="center"/>
            <w:hideMark/>
          </w:tcPr>
          <w:p w14:paraId="47F4F7D3" w14:textId="54629C7B"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1.020.20</w:t>
            </w:r>
            <w:r w:rsidR="005333A4">
              <w:rPr>
                <w:rFonts w:ascii="Arial" w:hAnsi="Arial" w:cs="Arial"/>
                <w:color w:val="000000"/>
                <w:sz w:val="18"/>
                <w:szCs w:val="18"/>
              </w:rPr>
              <w:t>7</w:t>
            </w:r>
          </w:p>
        </w:tc>
        <w:tc>
          <w:tcPr>
            <w:tcW w:w="969" w:type="dxa"/>
            <w:tcBorders>
              <w:top w:val="nil"/>
              <w:left w:val="nil"/>
              <w:bottom w:val="single" w:sz="4" w:space="0" w:color="auto"/>
              <w:right w:val="single" w:sz="4" w:space="0" w:color="auto"/>
            </w:tcBorders>
            <w:noWrap/>
            <w:vAlign w:val="center"/>
            <w:hideMark/>
          </w:tcPr>
          <w:p w14:paraId="1BD445DA" w14:textId="77777777"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w:t>
            </w:r>
          </w:p>
        </w:tc>
        <w:tc>
          <w:tcPr>
            <w:tcW w:w="1161" w:type="dxa"/>
            <w:tcBorders>
              <w:top w:val="nil"/>
              <w:left w:val="nil"/>
              <w:bottom w:val="single" w:sz="4" w:space="0" w:color="auto"/>
              <w:right w:val="single" w:sz="4" w:space="0" w:color="auto"/>
            </w:tcBorders>
            <w:noWrap/>
            <w:vAlign w:val="center"/>
            <w:hideMark/>
          </w:tcPr>
          <w:p w14:paraId="39887AC3" w14:textId="3C07FE8A" w:rsidR="00F20D65" w:rsidRPr="002E1AF6" w:rsidRDefault="00A91BF2" w:rsidP="00264F4C">
            <w:pPr>
              <w:jc w:val="right"/>
              <w:rPr>
                <w:rFonts w:ascii="Arial" w:hAnsi="Arial" w:cs="Arial"/>
                <w:color w:val="000000"/>
                <w:sz w:val="18"/>
                <w:szCs w:val="18"/>
              </w:rPr>
            </w:pPr>
            <w:r w:rsidRPr="00A91BF2">
              <w:rPr>
                <w:rFonts w:ascii="Arial" w:hAnsi="Arial" w:cs="Arial"/>
                <w:color w:val="000000"/>
                <w:sz w:val="18"/>
                <w:szCs w:val="18"/>
              </w:rPr>
              <w:t>-355.890</w:t>
            </w:r>
          </w:p>
        </w:tc>
        <w:tc>
          <w:tcPr>
            <w:tcW w:w="1321" w:type="dxa"/>
            <w:tcBorders>
              <w:top w:val="nil"/>
              <w:left w:val="nil"/>
              <w:bottom w:val="single" w:sz="4" w:space="0" w:color="auto"/>
              <w:right w:val="single" w:sz="4" w:space="0" w:color="auto"/>
            </w:tcBorders>
            <w:noWrap/>
            <w:vAlign w:val="center"/>
            <w:hideMark/>
          </w:tcPr>
          <w:p w14:paraId="43DA5804" w14:textId="661A017C" w:rsidR="00F20D65" w:rsidRPr="002E1AF6" w:rsidRDefault="00A91BF2" w:rsidP="00264F4C">
            <w:pPr>
              <w:jc w:val="right"/>
              <w:rPr>
                <w:rFonts w:ascii="Arial" w:hAnsi="Arial" w:cs="Arial"/>
                <w:color w:val="000000"/>
                <w:sz w:val="18"/>
                <w:szCs w:val="18"/>
              </w:rPr>
            </w:pPr>
            <w:r w:rsidRPr="00A91BF2">
              <w:rPr>
                <w:rFonts w:ascii="Arial" w:hAnsi="Arial" w:cs="Arial"/>
                <w:color w:val="000000"/>
                <w:sz w:val="18"/>
                <w:szCs w:val="18"/>
              </w:rPr>
              <w:t>246.95</w:t>
            </w:r>
            <w:r w:rsidR="005333A4">
              <w:rPr>
                <w:rFonts w:ascii="Arial" w:hAnsi="Arial" w:cs="Arial"/>
                <w:color w:val="000000"/>
                <w:sz w:val="18"/>
                <w:szCs w:val="18"/>
              </w:rPr>
              <w:t>4</w:t>
            </w:r>
          </w:p>
        </w:tc>
        <w:tc>
          <w:tcPr>
            <w:tcW w:w="1057" w:type="dxa"/>
            <w:tcBorders>
              <w:top w:val="nil"/>
              <w:left w:val="nil"/>
              <w:bottom w:val="single" w:sz="4" w:space="0" w:color="auto"/>
              <w:right w:val="single" w:sz="4" w:space="0" w:color="auto"/>
            </w:tcBorders>
            <w:noWrap/>
            <w:vAlign w:val="center"/>
            <w:hideMark/>
          </w:tcPr>
          <w:p w14:paraId="2A6F6EBE" w14:textId="77777777" w:rsidR="00F20D65" w:rsidRPr="002E1AF6" w:rsidRDefault="00F20D65" w:rsidP="00264F4C">
            <w:pPr>
              <w:jc w:val="right"/>
              <w:rPr>
                <w:rFonts w:ascii="Arial" w:hAnsi="Arial" w:cs="Arial"/>
                <w:color w:val="000000"/>
                <w:sz w:val="18"/>
                <w:szCs w:val="18"/>
              </w:rPr>
            </w:pPr>
            <w:r w:rsidRPr="002E1AF6">
              <w:rPr>
                <w:rFonts w:ascii="Arial" w:hAnsi="Arial" w:cs="Arial"/>
                <w:color w:val="000000"/>
                <w:sz w:val="18"/>
                <w:szCs w:val="18"/>
              </w:rPr>
              <w:t>911.271</w:t>
            </w:r>
          </w:p>
        </w:tc>
      </w:tr>
      <w:tr w:rsidR="00F20D65" w:rsidRPr="00F20D65" w14:paraId="636BB13C" w14:textId="77777777" w:rsidTr="002E1AF6">
        <w:trPr>
          <w:trHeight w:val="17"/>
        </w:trPr>
        <w:tc>
          <w:tcPr>
            <w:tcW w:w="3433" w:type="dxa"/>
            <w:tcBorders>
              <w:top w:val="nil"/>
              <w:left w:val="single" w:sz="4" w:space="0" w:color="auto"/>
              <w:bottom w:val="single" w:sz="4" w:space="0" w:color="auto"/>
              <w:right w:val="single" w:sz="4" w:space="0" w:color="auto"/>
            </w:tcBorders>
            <w:noWrap/>
            <w:vAlign w:val="bottom"/>
            <w:hideMark/>
          </w:tcPr>
          <w:p w14:paraId="3E2230BB" w14:textId="77777777" w:rsidR="00F20D65" w:rsidRPr="002E1AF6" w:rsidRDefault="00F20D65" w:rsidP="00264F4C">
            <w:pPr>
              <w:rPr>
                <w:rFonts w:ascii="Arial" w:hAnsi="Arial" w:cs="Arial"/>
                <w:color w:val="000000"/>
                <w:sz w:val="18"/>
                <w:szCs w:val="18"/>
              </w:rPr>
            </w:pPr>
            <w:r w:rsidRPr="002E1AF6">
              <w:rPr>
                <w:rFonts w:ascii="Arial" w:hAnsi="Arial" w:cs="Arial"/>
                <w:color w:val="000000"/>
                <w:sz w:val="18"/>
                <w:szCs w:val="18"/>
              </w:rPr>
              <w:t> </w:t>
            </w:r>
          </w:p>
        </w:tc>
        <w:tc>
          <w:tcPr>
            <w:tcW w:w="1322" w:type="dxa"/>
            <w:tcBorders>
              <w:top w:val="nil"/>
              <w:left w:val="single" w:sz="4" w:space="0" w:color="auto"/>
              <w:bottom w:val="single" w:sz="4" w:space="0" w:color="auto"/>
              <w:right w:val="single" w:sz="4" w:space="0" w:color="auto"/>
            </w:tcBorders>
            <w:noWrap/>
            <w:vAlign w:val="center"/>
            <w:hideMark/>
          </w:tcPr>
          <w:p w14:paraId="40B45564" w14:textId="338EB06E" w:rsidR="00F20D65" w:rsidRPr="002E1AF6" w:rsidRDefault="003E7492" w:rsidP="00264F4C">
            <w:pPr>
              <w:jc w:val="right"/>
              <w:rPr>
                <w:rFonts w:ascii="Arial" w:hAnsi="Arial" w:cs="Arial"/>
                <w:b/>
                <w:bCs/>
                <w:color w:val="000000"/>
                <w:sz w:val="18"/>
                <w:szCs w:val="18"/>
              </w:rPr>
            </w:pPr>
            <w:r w:rsidRPr="003E7492">
              <w:rPr>
                <w:rFonts w:ascii="Arial" w:hAnsi="Arial" w:cs="Arial"/>
                <w:b/>
                <w:color w:val="000000"/>
                <w:sz w:val="18"/>
                <w:szCs w:val="18"/>
              </w:rPr>
              <w:t>19.567.642</w:t>
            </w:r>
          </w:p>
        </w:tc>
        <w:tc>
          <w:tcPr>
            <w:tcW w:w="969" w:type="dxa"/>
            <w:tcBorders>
              <w:top w:val="nil"/>
              <w:left w:val="nil"/>
              <w:bottom w:val="single" w:sz="4" w:space="0" w:color="auto"/>
              <w:right w:val="single" w:sz="4" w:space="0" w:color="auto"/>
            </w:tcBorders>
            <w:noWrap/>
            <w:vAlign w:val="center"/>
            <w:hideMark/>
          </w:tcPr>
          <w:p w14:paraId="613CC6E6" w14:textId="77777777" w:rsidR="00F20D65" w:rsidRPr="002E1AF6" w:rsidRDefault="00F20D65" w:rsidP="00264F4C">
            <w:pPr>
              <w:jc w:val="right"/>
              <w:rPr>
                <w:rFonts w:ascii="Arial" w:hAnsi="Arial" w:cs="Arial"/>
                <w:b/>
                <w:bCs/>
                <w:color w:val="000000"/>
                <w:sz w:val="18"/>
                <w:szCs w:val="18"/>
              </w:rPr>
            </w:pPr>
            <w:r w:rsidRPr="002E1AF6">
              <w:rPr>
                <w:rFonts w:ascii="Arial" w:hAnsi="Arial" w:cs="Arial"/>
                <w:b/>
                <w:color w:val="000000"/>
                <w:sz w:val="18"/>
                <w:szCs w:val="18"/>
              </w:rPr>
              <w:t>7.778.679</w:t>
            </w:r>
          </w:p>
        </w:tc>
        <w:tc>
          <w:tcPr>
            <w:tcW w:w="1161" w:type="dxa"/>
            <w:tcBorders>
              <w:top w:val="nil"/>
              <w:left w:val="nil"/>
              <w:bottom w:val="single" w:sz="4" w:space="0" w:color="auto"/>
              <w:right w:val="single" w:sz="4" w:space="0" w:color="auto"/>
            </w:tcBorders>
            <w:noWrap/>
            <w:vAlign w:val="center"/>
            <w:hideMark/>
          </w:tcPr>
          <w:p w14:paraId="73A76322" w14:textId="78ABB356" w:rsidR="00F20D65" w:rsidRPr="002E1AF6" w:rsidRDefault="00A91BF2" w:rsidP="00264F4C">
            <w:pPr>
              <w:jc w:val="right"/>
              <w:rPr>
                <w:rFonts w:ascii="Arial" w:hAnsi="Arial" w:cs="Arial"/>
                <w:b/>
                <w:bCs/>
                <w:color w:val="000000"/>
                <w:sz w:val="18"/>
                <w:szCs w:val="18"/>
              </w:rPr>
            </w:pPr>
            <w:r w:rsidRPr="00A91BF2">
              <w:rPr>
                <w:rFonts w:ascii="Arial" w:hAnsi="Arial" w:cs="Arial"/>
                <w:b/>
                <w:color w:val="000000"/>
                <w:sz w:val="18"/>
                <w:szCs w:val="18"/>
              </w:rPr>
              <w:t>-12.403.786</w:t>
            </w:r>
          </w:p>
        </w:tc>
        <w:tc>
          <w:tcPr>
            <w:tcW w:w="1321" w:type="dxa"/>
            <w:tcBorders>
              <w:top w:val="nil"/>
              <w:left w:val="nil"/>
              <w:bottom w:val="single" w:sz="4" w:space="0" w:color="auto"/>
              <w:right w:val="single" w:sz="4" w:space="0" w:color="auto"/>
            </w:tcBorders>
            <w:noWrap/>
            <w:vAlign w:val="center"/>
            <w:hideMark/>
          </w:tcPr>
          <w:p w14:paraId="7792F9AC" w14:textId="336CCD13" w:rsidR="00F20D65" w:rsidRPr="002E1AF6" w:rsidRDefault="00A91BF2" w:rsidP="00264F4C">
            <w:pPr>
              <w:jc w:val="right"/>
              <w:rPr>
                <w:rFonts w:ascii="Arial" w:hAnsi="Arial" w:cs="Arial"/>
                <w:b/>
                <w:bCs/>
                <w:color w:val="000000"/>
                <w:sz w:val="18"/>
                <w:szCs w:val="18"/>
              </w:rPr>
            </w:pPr>
            <w:r w:rsidRPr="00A91BF2">
              <w:rPr>
                <w:rFonts w:ascii="Arial" w:hAnsi="Arial" w:cs="Arial"/>
                <w:b/>
                <w:color w:val="000000"/>
                <w:sz w:val="18"/>
                <w:szCs w:val="18"/>
              </w:rPr>
              <w:t>454.385</w:t>
            </w:r>
          </w:p>
        </w:tc>
        <w:tc>
          <w:tcPr>
            <w:tcW w:w="1057" w:type="dxa"/>
            <w:tcBorders>
              <w:top w:val="nil"/>
              <w:left w:val="nil"/>
              <w:bottom w:val="single" w:sz="4" w:space="0" w:color="auto"/>
              <w:right w:val="single" w:sz="4" w:space="0" w:color="auto"/>
            </w:tcBorders>
            <w:noWrap/>
            <w:vAlign w:val="center"/>
            <w:hideMark/>
          </w:tcPr>
          <w:p w14:paraId="5C813218" w14:textId="760DB295" w:rsidR="00F20D65" w:rsidRPr="002E1AF6" w:rsidRDefault="003E7492" w:rsidP="00264F4C">
            <w:pPr>
              <w:jc w:val="right"/>
              <w:rPr>
                <w:rFonts w:ascii="Arial" w:hAnsi="Arial" w:cs="Arial"/>
                <w:b/>
                <w:bCs/>
                <w:color w:val="000000"/>
                <w:sz w:val="18"/>
                <w:szCs w:val="18"/>
              </w:rPr>
            </w:pPr>
            <w:r w:rsidRPr="003E7492">
              <w:rPr>
                <w:rFonts w:ascii="Arial" w:hAnsi="Arial" w:cs="Arial"/>
                <w:b/>
                <w:color w:val="000000"/>
                <w:sz w:val="18"/>
                <w:szCs w:val="18"/>
              </w:rPr>
              <w:t>15.396.920</w:t>
            </w:r>
          </w:p>
        </w:tc>
      </w:tr>
    </w:tbl>
    <w:p w14:paraId="4BDC9DEF" w14:textId="351F99D7" w:rsidR="00F20D65" w:rsidRDefault="00F20D65">
      <w:pPr>
        <w:rPr>
          <w:rFonts w:ascii="Arial" w:eastAsia="Arial" w:hAnsi="Arial" w:cs="Arial"/>
          <w:sz w:val="20"/>
        </w:rPr>
      </w:pPr>
    </w:p>
    <w:p w14:paraId="7650EEDF" w14:textId="77777777" w:rsidR="00F20D65" w:rsidRDefault="00F20D65">
      <w:pPr>
        <w:rPr>
          <w:rFonts w:ascii="Arial" w:eastAsia="Arial" w:hAnsi="Arial" w:cs="Arial"/>
          <w:sz w:val="20"/>
        </w:rPr>
      </w:pPr>
    </w:p>
    <w:p w14:paraId="627BD3E6" w14:textId="515FFC4B" w:rsidR="00A06BE9" w:rsidRPr="00EC349E" w:rsidRDefault="00D26051" w:rsidP="00EC349E">
      <w:pPr>
        <w:autoSpaceDE w:val="0"/>
        <w:autoSpaceDN w:val="0"/>
        <w:adjustRightInd w:val="0"/>
        <w:jc w:val="both"/>
        <w:rPr>
          <w:rFonts w:ascii="Arial" w:eastAsia="Calibri" w:hAnsi="Arial" w:cs="Arial"/>
          <w:b/>
          <w:noProof/>
          <w:sz w:val="20"/>
        </w:rPr>
      </w:pPr>
      <w:bookmarkStart w:id="17" w:name="_Hlk41078557"/>
      <w:r>
        <w:rPr>
          <w:rFonts w:ascii="Arial" w:eastAsia="Calibri" w:hAnsi="Arial" w:cs="Arial"/>
          <w:b/>
          <w:noProof/>
          <w:sz w:val="20"/>
        </w:rPr>
        <w:t>2</w:t>
      </w:r>
      <w:r w:rsidR="00A06BE9" w:rsidRPr="00EC349E">
        <w:rPr>
          <w:rFonts w:ascii="Arial" w:eastAsia="Calibri" w:hAnsi="Arial" w:cs="Arial"/>
          <w:b/>
          <w:noProof/>
          <w:sz w:val="20"/>
        </w:rPr>
        <w:t xml:space="preserve">. POLÍTICAS Y ESTIMACIONES CONTABLES CRÍTICAS </w:t>
      </w:r>
    </w:p>
    <w:p w14:paraId="437D0E59" w14:textId="77777777" w:rsidR="00A06BE9" w:rsidRPr="00701F32" w:rsidRDefault="00A06BE9" w:rsidP="00A06BE9">
      <w:pPr>
        <w:autoSpaceDE w:val="0"/>
        <w:autoSpaceDN w:val="0"/>
        <w:adjustRightInd w:val="0"/>
        <w:jc w:val="both"/>
        <w:rPr>
          <w:rFonts w:ascii="Arial" w:eastAsia="Calibri" w:hAnsi="Arial" w:cs="Arial"/>
          <w:noProof/>
          <w:sz w:val="20"/>
        </w:rPr>
      </w:pPr>
    </w:p>
    <w:p w14:paraId="1CC3938A" w14:textId="21EA9A89" w:rsidR="00C03F77" w:rsidRPr="00BA7A6B" w:rsidRDefault="00C03F77" w:rsidP="00C03F77">
      <w:pPr>
        <w:pStyle w:val="Default"/>
        <w:jc w:val="both"/>
        <w:rPr>
          <w:bCs/>
          <w:color w:val="auto"/>
          <w:sz w:val="20"/>
          <w:szCs w:val="20"/>
        </w:rPr>
      </w:pPr>
      <w:r w:rsidRPr="00BA7A6B">
        <w:rPr>
          <w:bCs/>
          <w:color w:val="auto"/>
          <w:sz w:val="20"/>
          <w:szCs w:val="20"/>
        </w:rPr>
        <w:t>La preparación de estados financieros condensados intermedios de conformidad con el marco contable establecido por el BCRA requiere el uso de ciertas estimaciones contables críticas. También requiere que la Gerencia ejerza su juicio en el proceso de aplicación de las normas contables establecidas por el BCRA para establecer las políticas contables de la Entidad.</w:t>
      </w:r>
    </w:p>
    <w:p w14:paraId="15FFD918" w14:textId="3EEE16BB" w:rsidR="00C03F77" w:rsidRDefault="00C03F77" w:rsidP="00C03F77">
      <w:pPr>
        <w:pStyle w:val="Default"/>
        <w:jc w:val="both"/>
        <w:rPr>
          <w:bCs/>
          <w:color w:val="auto"/>
          <w:sz w:val="20"/>
          <w:szCs w:val="20"/>
        </w:rPr>
      </w:pPr>
    </w:p>
    <w:p w14:paraId="23DD6002" w14:textId="27A9CE79" w:rsidR="00C03F77" w:rsidRPr="00BA7A6B" w:rsidRDefault="00C03F77" w:rsidP="00C03F77">
      <w:pPr>
        <w:pStyle w:val="Default"/>
        <w:jc w:val="both"/>
        <w:rPr>
          <w:bCs/>
          <w:color w:val="auto"/>
          <w:sz w:val="20"/>
          <w:szCs w:val="20"/>
        </w:rPr>
      </w:pPr>
      <w:r w:rsidRPr="00BA7A6B">
        <w:rPr>
          <w:bCs/>
          <w:color w:val="auto"/>
          <w:sz w:val="20"/>
          <w:szCs w:val="20"/>
        </w:rPr>
        <w:t>La Entidad ha identificado las siguientes áreas que implican un mayor grado de juicio o complejidad, o áreas en las que los supuestos y estimaciones son significativos para los estados financieros condensados intermedios que son esenciales para la comprensión de los riesgos informativos contables / financieros subyacentes:</w:t>
      </w:r>
    </w:p>
    <w:p w14:paraId="7EB8F3C1" w14:textId="77777777" w:rsidR="00C03F77" w:rsidRPr="00BA7A6B" w:rsidRDefault="00C03F77" w:rsidP="00C03F77">
      <w:pPr>
        <w:pStyle w:val="Default"/>
        <w:jc w:val="both"/>
        <w:rPr>
          <w:noProof/>
          <w:sz w:val="20"/>
          <w:szCs w:val="20"/>
        </w:rPr>
      </w:pPr>
    </w:p>
    <w:p w14:paraId="186C3AD0" w14:textId="77777777" w:rsidR="00C03F77" w:rsidRPr="00BA7A6B" w:rsidRDefault="00C03F77" w:rsidP="00C03F77">
      <w:pPr>
        <w:pStyle w:val="ListParagraph"/>
        <w:numPr>
          <w:ilvl w:val="0"/>
          <w:numId w:val="55"/>
        </w:numPr>
        <w:ind w:left="284" w:hanging="284"/>
        <w:contextualSpacing/>
        <w:jc w:val="both"/>
        <w:rPr>
          <w:rFonts w:ascii="Arial" w:hAnsi="Arial" w:cs="Arial"/>
          <w:b/>
          <w:sz w:val="20"/>
        </w:rPr>
      </w:pPr>
      <w:r w:rsidRPr="00BA7A6B">
        <w:rPr>
          <w:rFonts w:ascii="Arial" w:hAnsi="Arial" w:cs="Arial"/>
          <w:b/>
          <w:sz w:val="20"/>
        </w:rPr>
        <w:t>Valor razonable de derivados y otros instrumentos financieros</w:t>
      </w:r>
    </w:p>
    <w:p w14:paraId="0B18EF3E" w14:textId="77777777" w:rsidR="00C03F77" w:rsidRPr="00BA7A6B" w:rsidRDefault="00C03F77" w:rsidP="00C03F77">
      <w:pPr>
        <w:pStyle w:val="HTMLPreformatted"/>
        <w:shd w:val="clear" w:color="auto" w:fill="FFFFFF"/>
        <w:jc w:val="both"/>
        <w:rPr>
          <w:rFonts w:ascii="Arial" w:hAnsi="Arial" w:cs="Arial"/>
        </w:rPr>
      </w:pPr>
    </w:p>
    <w:p w14:paraId="210F8BB1" w14:textId="6C6B87CE" w:rsidR="00F20D65" w:rsidRDefault="00C03F77" w:rsidP="00C03F77">
      <w:pPr>
        <w:tabs>
          <w:tab w:val="left" w:pos="708"/>
        </w:tabs>
        <w:jc w:val="both"/>
        <w:rPr>
          <w:rFonts w:ascii="Arial" w:hAnsi="Arial" w:cs="Arial"/>
          <w:sz w:val="20"/>
        </w:rPr>
      </w:pPr>
      <w:r w:rsidRPr="00BA7A6B">
        <w:rPr>
          <w:rFonts w:ascii="Arial" w:hAnsi="Arial" w:cs="Arial"/>
          <w:sz w:val="20"/>
        </w:rPr>
        <w:t>El valor razonable de los instrumentos financieros que no se cotizan en los mercados activos son determinados usando técnicas de valuación. Dichas técnicas, son validadas y revisadas periódicamente por personal calificado independiente del área que las creó. Todos los modelos son evaluados y ajustados antes de ser usados, para asegurar que los resultados reflejen la información actual y precios comparativos del mercado. En lo posible, los modelos usan solamente información observable; sin embargo, factores como riesgo de crédito (propio y de la contraparte), volatilidades y correlaciones requieren de la utilización de estimaciones. Los cambios en los supuestos acerca de estos factores pueden afectar el valor razonable reportado de los instrumentos financieros.</w:t>
      </w:r>
    </w:p>
    <w:p w14:paraId="71C158C9" w14:textId="77777777" w:rsidR="00F20D65" w:rsidRPr="00BA7A6B" w:rsidRDefault="00F20D65" w:rsidP="00C03F77">
      <w:pPr>
        <w:tabs>
          <w:tab w:val="left" w:pos="708"/>
        </w:tabs>
        <w:jc w:val="both"/>
        <w:rPr>
          <w:rFonts w:ascii="Arial" w:hAnsi="Arial" w:cs="Arial"/>
          <w:sz w:val="20"/>
        </w:rPr>
      </w:pPr>
    </w:p>
    <w:p w14:paraId="283A425A" w14:textId="77777777" w:rsidR="00C03F77" w:rsidRPr="00BA7A6B" w:rsidRDefault="00C03F77" w:rsidP="00C03F77">
      <w:pPr>
        <w:pStyle w:val="ListParagraph"/>
        <w:numPr>
          <w:ilvl w:val="0"/>
          <w:numId w:val="55"/>
        </w:numPr>
        <w:ind w:left="284" w:hanging="284"/>
        <w:contextualSpacing/>
        <w:jc w:val="both"/>
        <w:rPr>
          <w:rFonts w:ascii="Arial" w:hAnsi="Arial" w:cs="Arial"/>
          <w:b/>
          <w:sz w:val="20"/>
        </w:rPr>
      </w:pPr>
      <w:r w:rsidRPr="00BA7A6B">
        <w:rPr>
          <w:rFonts w:ascii="Arial" w:hAnsi="Arial" w:cs="Arial"/>
          <w:b/>
          <w:sz w:val="20"/>
        </w:rPr>
        <w:t>Pérdidas por deterioro de préstamos y anticipos</w:t>
      </w:r>
    </w:p>
    <w:p w14:paraId="5E103BED" w14:textId="77777777" w:rsidR="00C03F77" w:rsidRPr="00BA7A6B" w:rsidRDefault="00C03F77" w:rsidP="00C03F77">
      <w:pPr>
        <w:pStyle w:val="HTMLPreformatted"/>
        <w:shd w:val="clear" w:color="auto" w:fill="FFFFFF"/>
        <w:jc w:val="both"/>
        <w:rPr>
          <w:rFonts w:ascii="Arial" w:hAnsi="Arial" w:cs="Arial"/>
          <w:color w:val="212121"/>
        </w:rPr>
      </w:pPr>
    </w:p>
    <w:p w14:paraId="2FD7ED02" w14:textId="7A94E9B2" w:rsidR="00C03F77" w:rsidRPr="00600F53" w:rsidRDefault="00C03F77" w:rsidP="00C03F77">
      <w:pPr>
        <w:pStyle w:val="HTMLPreformatted"/>
        <w:shd w:val="clear" w:color="auto" w:fill="FFFFFF"/>
        <w:jc w:val="both"/>
        <w:rPr>
          <w:rFonts w:ascii="Arial" w:hAnsi="Arial" w:cs="Arial"/>
        </w:rPr>
      </w:pPr>
      <w:r w:rsidRPr="00FD67E8">
        <w:rPr>
          <w:rFonts w:ascii="Arial" w:hAnsi="Arial" w:cs="Arial"/>
        </w:rPr>
        <w:t xml:space="preserve">A partir del 1 de enero de 2020 el Banco adoptó de forma retroactiva al 1 de enero de 2019, con el alcance mencionado </w:t>
      </w:r>
      <w:r w:rsidR="000B26C1" w:rsidRPr="00600F53">
        <w:rPr>
          <w:rFonts w:ascii="Arial" w:hAnsi="Arial" w:cs="Arial"/>
        </w:rPr>
        <w:t>n la Nota 1.4.(a).,</w:t>
      </w:r>
      <w:r w:rsidRPr="00FD67E8">
        <w:rPr>
          <w:rFonts w:ascii="Arial" w:hAnsi="Arial" w:cs="Arial"/>
        </w:rPr>
        <w:t>el pu</w:t>
      </w:r>
      <w:r w:rsidRPr="00600F53">
        <w:rPr>
          <w:rFonts w:ascii="Arial" w:hAnsi="Arial" w:cs="Arial"/>
        </w:rPr>
        <w:t xml:space="preserve">nto 5.5. de la NIIF 9 referida al deterioro de valor de activos financieros. En este sentido, el </w:t>
      </w:r>
      <w:r w:rsidR="00A3402F">
        <w:rPr>
          <w:rFonts w:ascii="Arial" w:hAnsi="Arial" w:cs="Arial"/>
        </w:rPr>
        <w:t>Banco</w:t>
      </w:r>
      <w:r w:rsidR="00A3402F" w:rsidRPr="00600F53">
        <w:rPr>
          <w:rFonts w:ascii="Arial" w:hAnsi="Arial" w:cs="Arial"/>
        </w:rPr>
        <w:t xml:space="preserve"> </w:t>
      </w:r>
      <w:r w:rsidRPr="00600F53">
        <w:rPr>
          <w:rFonts w:ascii="Arial" w:hAnsi="Arial" w:cs="Arial"/>
        </w:rPr>
        <w:t xml:space="preserve">evalúa las pérdidas crediticias esperadas (PCE) sobre una base prospectiva del riesgo de crédito asociadas con los activos financieros medidos a costo amortizado, a los instrumentos de deuda medidos a valor razonable con cambios en otro </w:t>
      </w:r>
      <w:r w:rsidRPr="00600F53">
        <w:rPr>
          <w:rFonts w:ascii="Arial" w:hAnsi="Arial" w:cs="Arial"/>
        </w:rPr>
        <w:lastRenderedPageBreak/>
        <w:t>resultado integral, a cuentas por cobrar por arrendamientos, así como a los compromisos y garantías otorgadas no medidas a valor razonable con excepción  de los instrumentos de deuda del Sector Público no Financiero que transitoriamente quedan excluidos de las disposiciones de en materia de deterioro de activos financieros, contenidas en el punto 5.5 de la NIIF 9.</w:t>
      </w:r>
    </w:p>
    <w:p w14:paraId="09AC2D83" w14:textId="77777777" w:rsidR="00C03F77" w:rsidRPr="00600F53" w:rsidRDefault="00C03F77" w:rsidP="00C03F77">
      <w:pPr>
        <w:pStyle w:val="HTMLPreformatted"/>
        <w:shd w:val="clear" w:color="auto" w:fill="FFFFFF"/>
        <w:jc w:val="both"/>
        <w:rPr>
          <w:rFonts w:ascii="Arial" w:hAnsi="Arial" w:cs="Arial"/>
        </w:rPr>
      </w:pPr>
    </w:p>
    <w:p w14:paraId="2D5AAE84" w14:textId="1098CC3F" w:rsidR="00C03F77" w:rsidRPr="00600F53" w:rsidRDefault="00C03F77" w:rsidP="00C03F77">
      <w:pPr>
        <w:pStyle w:val="HTMLPreformatted"/>
        <w:shd w:val="clear" w:color="auto" w:fill="FFFFFF"/>
        <w:jc w:val="both"/>
        <w:rPr>
          <w:rFonts w:ascii="Arial" w:hAnsi="Arial" w:cs="Arial"/>
        </w:rPr>
      </w:pPr>
      <w:r w:rsidRPr="00600F53">
        <w:rPr>
          <w:rFonts w:ascii="Arial" w:hAnsi="Arial" w:cs="Arial"/>
        </w:rPr>
        <w:t xml:space="preserve">La medición de las pérdidas crediticias esperadas es un área que requiere el uso de modelos complejos y supuestos significativos acerca de las condiciones económicas futuras y el comportamiento crediticio (por ejemplo, la probabilidad que el cliente ingrese en estado de default y que de ello resulten pérdidas para </w:t>
      </w:r>
      <w:r w:rsidR="000B26C1" w:rsidRPr="00600F53">
        <w:rPr>
          <w:rFonts w:ascii="Arial" w:hAnsi="Arial" w:cs="Arial"/>
        </w:rPr>
        <w:t>la Entidad</w:t>
      </w:r>
      <w:r w:rsidRPr="00600F53">
        <w:rPr>
          <w:rFonts w:ascii="Arial" w:hAnsi="Arial" w:cs="Arial"/>
        </w:rPr>
        <w:t xml:space="preserve">). La explicación sobre los inputs, supuestos y técnicas de estimación utilizadas para medir las PCE es expuesta con mayor detalle en la </w:t>
      </w:r>
      <w:r w:rsidRPr="002E1AF6">
        <w:rPr>
          <w:rFonts w:ascii="Arial" w:hAnsi="Arial" w:cs="Arial"/>
        </w:rPr>
        <w:t xml:space="preserve">Nota </w:t>
      </w:r>
      <w:r w:rsidR="00600F53" w:rsidRPr="00FD67E8">
        <w:rPr>
          <w:rFonts w:ascii="Arial" w:hAnsi="Arial" w:cs="Arial"/>
        </w:rPr>
        <w:t>1.2,</w:t>
      </w:r>
      <w:r w:rsidRPr="00FD67E8">
        <w:rPr>
          <w:rFonts w:ascii="Arial" w:hAnsi="Arial" w:cs="Arial"/>
        </w:rPr>
        <w:t xml:space="preserve"> incluyendo las sensibilidades claves de las PCE a los cambios en dichos elementos.</w:t>
      </w:r>
    </w:p>
    <w:p w14:paraId="0AE5D313" w14:textId="77777777" w:rsidR="00C03F77" w:rsidRPr="00600F53" w:rsidRDefault="00C03F77" w:rsidP="00C03F77">
      <w:pPr>
        <w:pStyle w:val="HTMLPreformatted"/>
        <w:shd w:val="clear" w:color="auto" w:fill="FFFFFF"/>
        <w:jc w:val="both"/>
        <w:rPr>
          <w:rFonts w:ascii="Arial" w:hAnsi="Arial" w:cs="Arial"/>
        </w:rPr>
      </w:pPr>
    </w:p>
    <w:p w14:paraId="2DDF4091" w14:textId="77777777" w:rsidR="00C03F77" w:rsidRPr="00600F53" w:rsidRDefault="00C03F77" w:rsidP="00C03F77">
      <w:pPr>
        <w:pStyle w:val="HTMLPreformatted"/>
        <w:shd w:val="clear" w:color="auto" w:fill="FFFFFF"/>
        <w:jc w:val="both"/>
        <w:rPr>
          <w:rFonts w:ascii="Arial" w:hAnsi="Arial" w:cs="Arial"/>
        </w:rPr>
      </w:pPr>
      <w:r w:rsidRPr="00600F53">
        <w:rPr>
          <w:rFonts w:ascii="Arial" w:hAnsi="Arial" w:cs="Arial"/>
        </w:rPr>
        <w:t>Cabe señalar que, en la aplicación de los requerimientos contables para medir las PCE son necesarios juicios significativos, tales como:</w:t>
      </w:r>
    </w:p>
    <w:p w14:paraId="68BCCB26" w14:textId="77777777" w:rsidR="00C03F77" w:rsidRPr="00600F53" w:rsidRDefault="00C03F77" w:rsidP="00C03F77">
      <w:pPr>
        <w:pStyle w:val="HTMLPreformatted"/>
        <w:shd w:val="clear" w:color="auto" w:fill="FFFFFF"/>
        <w:ind w:left="360"/>
        <w:jc w:val="both"/>
        <w:rPr>
          <w:rFonts w:ascii="Arial" w:hAnsi="Arial" w:cs="Arial"/>
        </w:rPr>
      </w:pPr>
    </w:p>
    <w:p w14:paraId="2DCA4DCB" w14:textId="77777777" w:rsidR="00C03F77" w:rsidRPr="00600F53" w:rsidRDefault="00C03F77" w:rsidP="00C03F77">
      <w:pPr>
        <w:pStyle w:val="HTMLPreformatted"/>
        <w:numPr>
          <w:ilvl w:val="0"/>
          <w:numId w:val="54"/>
        </w:numPr>
        <w:shd w:val="clear" w:color="auto" w:fill="FFFFFF"/>
        <w:ind w:left="1080"/>
        <w:jc w:val="both"/>
        <w:rPr>
          <w:rFonts w:ascii="Arial" w:hAnsi="Arial" w:cs="Arial"/>
        </w:rPr>
      </w:pPr>
      <w:r w:rsidRPr="00600F53">
        <w:rPr>
          <w:rFonts w:ascii="Arial" w:hAnsi="Arial" w:cs="Arial"/>
        </w:rPr>
        <w:t>Determinación del criterio de incremento significativo del riesgo de crédito</w:t>
      </w:r>
    </w:p>
    <w:p w14:paraId="4517282E" w14:textId="77777777" w:rsidR="00C03F77" w:rsidRPr="00600F53" w:rsidRDefault="00C03F77" w:rsidP="00C03F77">
      <w:pPr>
        <w:pStyle w:val="HTMLPreformatted"/>
        <w:numPr>
          <w:ilvl w:val="0"/>
          <w:numId w:val="54"/>
        </w:numPr>
        <w:shd w:val="clear" w:color="auto" w:fill="FFFFFF"/>
        <w:ind w:left="1080"/>
        <w:jc w:val="both"/>
        <w:rPr>
          <w:rFonts w:ascii="Arial" w:hAnsi="Arial" w:cs="Arial"/>
        </w:rPr>
      </w:pPr>
      <w:r w:rsidRPr="00600F53">
        <w:rPr>
          <w:rFonts w:ascii="Arial" w:hAnsi="Arial" w:cs="Arial"/>
        </w:rPr>
        <w:t>Elección de modelos y supuestos apropiados para la medición de las PCE</w:t>
      </w:r>
    </w:p>
    <w:p w14:paraId="246D58D6" w14:textId="77777777" w:rsidR="00C03F77" w:rsidRPr="00600F53" w:rsidRDefault="00C03F77" w:rsidP="00C03F77">
      <w:pPr>
        <w:pStyle w:val="HTMLPreformatted"/>
        <w:numPr>
          <w:ilvl w:val="0"/>
          <w:numId w:val="54"/>
        </w:numPr>
        <w:shd w:val="clear" w:color="auto" w:fill="FFFFFF"/>
        <w:ind w:left="993" w:hanging="273"/>
        <w:jc w:val="both"/>
        <w:rPr>
          <w:rFonts w:ascii="Arial" w:hAnsi="Arial" w:cs="Arial"/>
        </w:rPr>
      </w:pPr>
      <w:r w:rsidRPr="00600F53">
        <w:rPr>
          <w:rFonts w:ascii="Arial" w:hAnsi="Arial" w:cs="Arial"/>
        </w:rPr>
        <w:t>Establecimiento del número y ponderación relativa de los escenarios prospectivos para cada segmento de cartera y las PCE asociadas, y</w:t>
      </w:r>
    </w:p>
    <w:p w14:paraId="11F5C158" w14:textId="77777777" w:rsidR="00C03F77" w:rsidRPr="00600F53" w:rsidRDefault="00C03F77" w:rsidP="00C03F77">
      <w:pPr>
        <w:pStyle w:val="HTMLPreformatted"/>
        <w:numPr>
          <w:ilvl w:val="0"/>
          <w:numId w:val="54"/>
        </w:numPr>
        <w:shd w:val="clear" w:color="auto" w:fill="FFFFFF"/>
        <w:ind w:left="1080"/>
        <w:jc w:val="both"/>
        <w:rPr>
          <w:rFonts w:ascii="Arial" w:hAnsi="Arial" w:cs="Arial"/>
        </w:rPr>
      </w:pPr>
      <w:r w:rsidRPr="00600F53">
        <w:rPr>
          <w:rFonts w:ascii="Arial" w:hAnsi="Arial" w:cs="Arial"/>
        </w:rPr>
        <w:t>Establecimiento de los grupos de activos financieros similares a efectos de la medición de las PCE.</w:t>
      </w:r>
    </w:p>
    <w:p w14:paraId="1C06F7E8" w14:textId="77777777" w:rsidR="00C03F77" w:rsidRPr="00BA7A6B" w:rsidRDefault="00C03F77" w:rsidP="00C03F77">
      <w:pPr>
        <w:pStyle w:val="ListParagraph"/>
        <w:tabs>
          <w:tab w:val="left" w:pos="708"/>
        </w:tabs>
        <w:jc w:val="both"/>
        <w:rPr>
          <w:rFonts w:ascii="Arial" w:hAnsi="Arial" w:cs="Arial"/>
          <w:b/>
          <w:sz w:val="20"/>
        </w:rPr>
      </w:pPr>
    </w:p>
    <w:p w14:paraId="526135D4" w14:textId="77777777" w:rsidR="00C03F77" w:rsidRPr="00BA7A6B" w:rsidRDefault="00C03F77" w:rsidP="00C03F77">
      <w:pPr>
        <w:pStyle w:val="ListParagraph"/>
        <w:numPr>
          <w:ilvl w:val="0"/>
          <w:numId w:val="55"/>
        </w:numPr>
        <w:ind w:left="284" w:hanging="284"/>
        <w:contextualSpacing/>
        <w:jc w:val="both"/>
        <w:rPr>
          <w:rFonts w:ascii="Arial" w:hAnsi="Arial" w:cs="Arial"/>
          <w:b/>
          <w:sz w:val="20"/>
        </w:rPr>
      </w:pPr>
      <w:r w:rsidRPr="00BA7A6B">
        <w:rPr>
          <w:rFonts w:ascii="Arial" w:hAnsi="Arial" w:cs="Arial"/>
          <w:b/>
          <w:sz w:val="20"/>
        </w:rPr>
        <w:t xml:space="preserve">Deterioro de Activos no Financieros </w:t>
      </w:r>
    </w:p>
    <w:p w14:paraId="765AE8D8" w14:textId="77777777" w:rsidR="00C03F77" w:rsidRPr="00BA7A6B" w:rsidRDefault="00C03F77" w:rsidP="00C03F77">
      <w:pPr>
        <w:pStyle w:val="HTMLPreformatted"/>
        <w:shd w:val="clear" w:color="auto" w:fill="FFFFFF"/>
        <w:jc w:val="both"/>
        <w:rPr>
          <w:rFonts w:ascii="Arial" w:hAnsi="Arial" w:cs="Arial"/>
          <w:color w:val="212121"/>
        </w:rPr>
      </w:pPr>
    </w:p>
    <w:p w14:paraId="5DDE16F0" w14:textId="77777777" w:rsidR="00600F53" w:rsidRPr="00600F53" w:rsidRDefault="00600F53" w:rsidP="00600F53">
      <w:pPr>
        <w:pStyle w:val="HTMLPreformatted"/>
        <w:shd w:val="clear" w:color="auto" w:fill="FFFFFF"/>
        <w:jc w:val="both"/>
        <w:rPr>
          <w:rFonts w:ascii="Arial" w:hAnsi="Arial" w:cs="Arial"/>
        </w:rPr>
      </w:pPr>
      <w:r w:rsidRPr="00600F53">
        <w:rPr>
          <w:rFonts w:ascii="Arial" w:hAnsi="Arial" w:cs="Arial"/>
        </w:rPr>
        <w:t xml:space="preserve">Los activos intangibles con vidas finitas y propiedades, planta y equipo se amortizan o deprecian a lo largo de su vida útil estimada en forma lineal. El Banco monitorea las condiciones relacionadas con estos activos para determinar si los eventos y circunstancias justifican una revisión del período de amortización o depreciación restante y si existen factores o circunstancias que impliquen un deterioro en el valor de los activos que no pueda ser recuperado. </w:t>
      </w:r>
    </w:p>
    <w:p w14:paraId="2C22E1C3" w14:textId="77777777" w:rsidR="00600F53" w:rsidRPr="00600F53" w:rsidRDefault="00600F53" w:rsidP="00600F53">
      <w:pPr>
        <w:pStyle w:val="HTMLPreformatted"/>
        <w:shd w:val="clear" w:color="auto" w:fill="FFFFFF"/>
        <w:jc w:val="both"/>
        <w:rPr>
          <w:rFonts w:ascii="Arial" w:hAnsi="Arial" w:cs="Arial"/>
        </w:rPr>
      </w:pPr>
    </w:p>
    <w:p w14:paraId="13E4116E" w14:textId="61670963" w:rsidR="00600F53" w:rsidRPr="00BA7A6B" w:rsidRDefault="00600F53" w:rsidP="00FD67E8">
      <w:pPr>
        <w:pStyle w:val="HTMLPreformatted"/>
        <w:shd w:val="clear" w:color="auto" w:fill="FFFFFF"/>
        <w:jc w:val="both"/>
        <w:rPr>
          <w:rFonts w:ascii="Arial" w:hAnsi="Arial" w:cs="Arial"/>
        </w:rPr>
      </w:pPr>
      <w:r w:rsidRPr="00600F53">
        <w:rPr>
          <w:rFonts w:ascii="Arial" w:hAnsi="Arial" w:cs="Arial"/>
        </w:rPr>
        <w:t>El Banco ha aplicado el juicio en la identificación de los indicadores de deterioro de propiedad, planta y equipo y activos intangibles. El Banco ha determinado que no hubo indicios de deterioro para ninguno de los períodos presentados en sus estados financieros condensados intermedios, por lo cual no se ha estimado ningún valor recuperable.</w:t>
      </w:r>
    </w:p>
    <w:p w14:paraId="3967F58D" w14:textId="5A25A01D" w:rsidR="00C03F77" w:rsidRDefault="00C03F77" w:rsidP="002E1AF6">
      <w:pPr>
        <w:pStyle w:val="HTMLPreformatted"/>
        <w:shd w:val="clear" w:color="auto" w:fill="FFFFFF"/>
        <w:jc w:val="both"/>
        <w:rPr>
          <w:rFonts w:ascii="Arial" w:hAnsi="Arial" w:cs="Arial"/>
        </w:rPr>
      </w:pPr>
    </w:p>
    <w:p w14:paraId="707C70A4" w14:textId="70FA4A4C" w:rsidR="0037711A" w:rsidRDefault="0037711A" w:rsidP="002E1AF6">
      <w:pPr>
        <w:pStyle w:val="HTMLPreformatted"/>
        <w:shd w:val="clear" w:color="auto" w:fill="FFFFFF"/>
        <w:jc w:val="both"/>
        <w:rPr>
          <w:rFonts w:ascii="Arial" w:hAnsi="Arial" w:cs="Arial"/>
        </w:rPr>
      </w:pPr>
    </w:p>
    <w:p w14:paraId="4D01363A" w14:textId="428A2936" w:rsidR="0037711A" w:rsidRDefault="0037711A" w:rsidP="002E1AF6">
      <w:pPr>
        <w:pStyle w:val="HTMLPreformatted"/>
        <w:shd w:val="clear" w:color="auto" w:fill="FFFFFF"/>
        <w:jc w:val="both"/>
        <w:rPr>
          <w:rFonts w:ascii="Arial" w:hAnsi="Arial" w:cs="Arial"/>
        </w:rPr>
      </w:pPr>
    </w:p>
    <w:p w14:paraId="495BC3CC" w14:textId="77777777" w:rsidR="0037711A" w:rsidRPr="00BA7A6B" w:rsidRDefault="0037711A" w:rsidP="002E1AF6">
      <w:pPr>
        <w:pStyle w:val="HTMLPreformatted"/>
        <w:shd w:val="clear" w:color="auto" w:fill="FFFFFF"/>
        <w:jc w:val="both"/>
        <w:rPr>
          <w:rFonts w:ascii="Arial" w:hAnsi="Arial" w:cs="Arial"/>
        </w:rPr>
      </w:pPr>
    </w:p>
    <w:p w14:paraId="64440401" w14:textId="77777777" w:rsidR="00C03F77" w:rsidRPr="00BA7A6B" w:rsidRDefault="00C03F77" w:rsidP="00C03F77">
      <w:pPr>
        <w:pStyle w:val="ListParagraph"/>
        <w:numPr>
          <w:ilvl w:val="0"/>
          <w:numId w:val="55"/>
        </w:numPr>
        <w:ind w:left="284" w:hanging="284"/>
        <w:contextualSpacing/>
        <w:jc w:val="both"/>
        <w:rPr>
          <w:rFonts w:ascii="Arial" w:hAnsi="Arial" w:cs="Arial"/>
          <w:b/>
          <w:sz w:val="20"/>
        </w:rPr>
      </w:pPr>
      <w:r w:rsidRPr="00BA7A6B">
        <w:rPr>
          <w:rFonts w:ascii="Arial" w:hAnsi="Arial" w:cs="Arial"/>
          <w:b/>
          <w:sz w:val="20"/>
        </w:rPr>
        <w:t>Impuesto a las ganancias e impuesto diferido</w:t>
      </w:r>
    </w:p>
    <w:p w14:paraId="205A75C7" w14:textId="77777777" w:rsidR="00C03F77" w:rsidRPr="00BA7A6B" w:rsidRDefault="00C03F77" w:rsidP="00C03F77">
      <w:pPr>
        <w:pStyle w:val="HTMLPreformatted"/>
        <w:shd w:val="clear" w:color="auto" w:fill="FFFFFF"/>
        <w:jc w:val="both"/>
        <w:rPr>
          <w:rFonts w:ascii="Arial" w:hAnsi="Arial" w:cs="Arial"/>
          <w:color w:val="212121"/>
          <w:shd w:val="clear" w:color="auto" w:fill="FFFFFF"/>
        </w:rPr>
      </w:pPr>
    </w:p>
    <w:p w14:paraId="49651DD9" w14:textId="2A850671" w:rsidR="00C03F77" w:rsidRDefault="00C03F77" w:rsidP="00C03F77">
      <w:pPr>
        <w:shd w:val="clear" w:color="auto" w:fill="FFFFFF"/>
        <w:tabs>
          <w:tab w:val="left" w:pos="708"/>
        </w:tabs>
        <w:jc w:val="both"/>
        <w:rPr>
          <w:rFonts w:ascii="Arial" w:hAnsi="Arial" w:cs="Arial"/>
          <w:sz w:val="20"/>
        </w:rPr>
      </w:pPr>
      <w:r w:rsidRPr="00BA7A6B">
        <w:rPr>
          <w:rFonts w:ascii="Arial" w:hAnsi="Arial" w:cs="Arial"/>
          <w:sz w:val="20"/>
        </w:rPr>
        <w:lastRenderedPageBreak/>
        <w:t>Se requiere un juicio significativo al determinar los pasivos y activos por impuestos corrientes y diferidos. El impuesto corriente se provisiona de acuerdo con los montos que se espera pagar y el impuesto diferido se provisiona sobre las diferencias temporarias entre las bases impositivas de los activos y pasivos y sus valores en libros, a las alícuotas que se espera estén vigentes al momento de su reversión.</w:t>
      </w:r>
    </w:p>
    <w:p w14:paraId="4C54EAE7" w14:textId="77777777" w:rsidR="00600F53" w:rsidRPr="00BA7A6B" w:rsidRDefault="00600F53" w:rsidP="00C03F77">
      <w:pPr>
        <w:shd w:val="clear" w:color="auto" w:fill="FFFFFF"/>
        <w:tabs>
          <w:tab w:val="left" w:pos="708"/>
        </w:tabs>
        <w:jc w:val="both"/>
        <w:rPr>
          <w:rFonts w:ascii="Arial" w:hAnsi="Arial" w:cs="Arial"/>
          <w:sz w:val="20"/>
        </w:rPr>
      </w:pPr>
    </w:p>
    <w:p w14:paraId="4736DD68" w14:textId="70C46F30" w:rsidR="00C03F77" w:rsidRDefault="00C03F77" w:rsidP="00C03F77">
      <w:pPr>
        <w:shd w:val="clear" w:color="auto" w:fill="FFFFFF"/>
        <w:tabs>
          <w:tab w:val="left" w:pos="708"/>
        </w:tabs>
        <w:jc w:val="both"/>
        <w:rPr>
          <w:rFonts w:ascii="Arial" w:hAnsi="Arial" w:cs="Arial"/>
          <w:sz w:val="20"/>
        </w:rPr>
      </w:pPr>
      <w:r w:rsidRPr="00BA7A6B">
        <w:rPr>
          <w:rFonts w:ascii="Arial" w:hAnsi="Arial" w:cs="Arial"/>
          <w:sz w:val="20"/>
        </w:rPr>
        <w:t>Se reconoce un activo por impuesto diferido en la medida en que exista la probabilidad de que se disponga de ganancias imponibles futuras contra las cuales se puedan utilizar las diferencias temporarias, basado en los presupuestos de la gerencia con respecto a los montos y la oportunidad de las ganancias imponibles futuras. Luego se debe determinar la posibilidad de que los activos por impuesto diferido se utilicen y compensen contra ganancias imponibles futuras. Los resultados reales pueden diferir de estas estimaciones, por ejemplo, cambios en la legislación impositiva o el resultado de la revisión definitiva de las declaraciones juradas de impuestos por parte del fisco y los tribunales fiscales.</w:t>
      </w:r>
    </w:p>
    <w:p w14:paraId="3AEA8B62" w14:textId="77777777" w:rsidR="00600F53" w:rsidRPr="00BA7A6B" w:rsidRDefault="00600F53" w:rsidP="00C03F77">
      <w:pPr>
        <w:shd w:val="clear" w:color="auto" w:fill="FFFFFF"/>
        <w:tabs>
          <w:tab w:val="left" w:pos="708"/>
        </w:tabs>
        <w:jc w:val="both"/>
        <w:rPr>
          <w:rFonts w:ascii="Arial" w:hAnsi="Arial" w:cs="Arial"/>
          <w:color w:val="212121"/>
          <w:sz w:val="20"/>
          <w:shd w:val="clear" w:color="auto" w:fill="FFFFFF"/>
        </w:rPr>
      </w:pPr>
    </w:p>
    <w:p w14:paraId="1ED8B4E0" w14:textId="77777777" w:rsidR="00C03F77" w:rsidRPr="00BA7A6B" w:rsidRDefault="00C03F77" w:rsidP="00C03F77">
      <w:pPr>
        <w:shd w:val="clear" w:color="auto" w:fill="FFFFFF"/>
        <w:tabs>
          <w:tab w:val="left" w:pos="708"/>
        </w:tabs>
        <w:jc w:val="both"/>
        <w:rPr>
          <w:rFonts w:ascii="Arial" w:hAnsi="Arial" w:cs="Arial"/>
          <w:color w:val="212121"/>
          <w:sz w:val="20"/>
          <w:shd w:val="clear" w:color="auto" w:fill="FFFFFF"/>
        </w:rPr>
      </w:pPr>
      <w:r w:rsidRPr="00BA7A6B">
        <w:rPr>
          <w:rFonts w:ascii="Arial" w:hAnsi="Arial" w:cs="Arial"/>
          <w:color w:val="212121"/>
          <w:sz w:val="20"/>
          <w:shd w:val="clear" w:color="auto" w:fill="FFFFFF"/>
        </w:rPr>
        <w:t>Las ganancias fiscales futuras y la cantidad de beneficios fiscales que son probables en el futuro se basan en un plan de negocios a mediano plazo preparado por la Administración de la Entidad, el cual se basa en expectativas que se consideran razonables.</w:t>
      </w:r>
    </w:p>
    <w:bookmarkEnd w:id="4"/>
    <w:bookmarkEnd w:id="17"/>
    <w:p w14:paraId="08A39448" w14:textId="067C42AF" w:rsidR="00600F53" w:rsidRDefault="00600F53" w:rsidP="00A06BE9">
      <w:pPr>
        <w:autoSpaceDE w:val="0"/>
        <w:autoSpaceDN w:val="0"/>
        <w:adjustRightInd w:val="0"/>
        <w:jc w:val="both"/>
        <w:rPr>
          <w:rFonts w:ascii="Arial" w:eastAsia="Calibri" w:hAnsi="Arial" w:cs="Arial"/>
          <w:noProof/>
          <w:sz w:val="20"/>
        </w:rPr>
      </w:pPr>
    </w:p>
    <w:p w14:paraId="7AD4147C" w14:textId="77777777" w:rsidR="00600F53" w:rsidRPr="002E1AF6" w:rsidRDefault="00600F53" w:rsidP="002E1AF6">
      <w:pPr>
        <w:pStyle w:val="ListParagraph"/>
        <w:numPr>
          <w:ilvl w:val="0"/>
          <w:numId w:val="55"/>
        </w:numPr>
        <w:ind w:left="284" w:hanging="284"/>
        <w:contextualSpacing/>
        <w:jc w:val="both"/>
        <w:rPr>
          <w:rFonts w:ascii="Arial" w:hAnsi="Arial" w:cs="Arial"/>
          <w:b/>
          <w:sz w:val="20"/>
        </w:rPr>
      </w:pPr>
      <w:bookmarkStart w:id="18" w:name="_Hlk41078793"/>
      <w:r w:rsidRPr="002E1AF6">
        <w:rPr>
          <w:rFonts w:ascii="Arial" w:hAnsi="Arial" w:cs="Arial"/>
          <w:b/>
          <w:sz w:val="20"/>
        </w:rPr>
        <w:t>Modificación de préstamos y otras financiaciones</w:t>
      </w:r>
    </w:p>
    <w:p w14:paraId="3522C6F8" w14:textId="77777777" w:rsidR="00600F53" w:rsidRDefault="00600F53" w:rsidP="00600F53">
      <w:pPr>
        <w:shd w:val="clear" w:color="auto" w:fill="FFFFFF"/>
        <w:tabs>
          <w:tab w:val="left" w:pos="708"/>
        </w:tabs>
        <w:ind w:left="360"/>
        <w:jc w:val="both"/>
        <w:rPr>
          <w:sz w:val="19"/>
          <w:szCs w:val="19"/>
        </w:rPr>
      </w:pPr>
    </w:p>
    <w:p w14:paraId="1237DD8E" w14:textId="7A0E0012" w:rsidR="00600F53" w:rsidRPr="002E1AF6" w:rsidRDefault="00600F53" w:rsidP="00600F53">
      <w:pPr>
        <w:shd w:val="clear" w:color="auto" w:fill="FFFFFF"/>
        <w:tabs>
          <w:tab w:val="left" w:pos="708"/>
        </w:tabs>
        <w:jc w:val="both"/>
        <w:rPr>
          <w:rFonts w:ascii="Arial" w:hAnsi="Arial" w:cs="Arial"/>
          <w:sz w:val="20"/>
        </w:rPr>
      </w:pPr>
      <w:r w:rsidRPr="002E1AF6">
        <w:rPr>
          <w:rFonts w:ascii="Arial" w:hAnsi="Arial" w:cs="Arial"/>
          <w:sz w:val="20"/>
        </w:rPr>
        <w:t>El Banco en algunas circunstancias renegocia o modifica los flujos de efectivo contractuales de los préstamos otorgados a clientes. En estos casos, el Banco evalúa si los nuevos términos son o no sustancialmente diferentes a los términos originales. El Banco tiene esta práctica considerando principalmente los siguientes factores:</w:t>
      </w:r>
    </w:p>
    <w:p w14:paraId="043B52AD" w14:textId="77777777" w:rsidR="00600F53" w:rsidRPr="002E1AF6" w:rsidRDefault="00600F53" w:rsidP="00600F53">
      <w:pPr>
        <w:shd w:val="clear" w:color="auto" w:fill="FFFFFF"/>
        <w:tabs>
          <w:tab w:val="left" w:pos="708"/>
        </w:tabs>
        <w:jc w:val="both"/>
        <w:rPr>
          <w:rFonts w:ascii="Arial" w:hAnsi="Arial" w:cs="Arial"/>
          <w:sz w:val="20"/>
        </w:rPr>
      </w:pPr>
    </w:p>
    <w:p w14:paraId="72DF7243" w14:textId="77777777" w:rsidR="00600F53" w:rsidRPr="002E1AF6" w:rsidRDefault="00600F53" w:rsidP="00600F53">
      <w:pPr>
        <w:pStyle w:val="ListParagraph"/>
        <w:numPr>
          <w:ilvl w:val="0"/>
          <w:numId w:val="71"/>
        </w:numPr>
        <w:autoSpaceDE w:val="0"/>
        <w:autoSpaceDN w:val="0"/>
        <w:adjustRightInd w:val="0"/>
        <w:jc w:val="both"/>
        <w:rPr>
          <w:rFonts w:ascii="Arial" w:hAnsi="Arial" w:cs="Arial"/>
          <w:bCs/>
          <w:sz w:val="20"/>
          <w:lang w:val="es-ES_tradnl"/>
        </w:rPr>
      </w:pPr>
      <w:r w:rsidRPr="002E1AF6">
        <w:rPr>
          <w:rFonts w:ascii="Arial" w:hAnsi="Arial" w:cs="Arial"/>
          <w:bCs/>
          <w:sz w:val="20"/>
          <w:lang w:val="es-ES_tradnl"/>
        </w:rPr>
        <w:t>Si el cliente se encuentra en dificultades financieras, evalúa si la modificación simplemente reduce los flujos de efectivo contractuales a montos que se espera que el prestatario pueda pagar.</w:t>
      </w:r>
    </w:p>
    <w:p w14:paraId="012F761F" w14:textId="77777777" w:rsidR="00600F53" w:rsidRPr="002E1AF6" w:rsidRDefault="00600F53" w:rsidP="00600F53">
      <w:pPr>
        <w:pStyle w:val="ListParagraph"/>
        <w:numPr>
          <w:ilvl w:val="0"/>
          <w:numId w:val="71"/>
        </w:numPr>
        <w:autoSpaceDE w:val="0"/>
        <w:autoSpaceDN w:val="0"/>
        <w:adjustRightInd w:val="0"/>
        <w:jc w:val="both"/>
        <w:rPr>
          <w:rFonts w:ascii="Arial" w:hAnsi="Arial" w:cs="Arial"/>
          <w:bCs/>
          <w:sz w:val="20"/>
          <w:lang w:val="es-ES_tradnl"/>
        </w:rPr>
      </w:pPr>
      <w:r w:rsidRPr="002E1AF6">
        <w:rPr>
          <w:rFonts w:ascii="Arial" w:hAnsi="Arial" w:cs="Arial"/>
          <w:bCs/>
          <w:sz w:val="20"/>
          <w:lang w:val="es-ES_tradnl"/>
        </w:rPr>
        <w:t>Extensión significativa del plazo del préstamo cuando el prestatario no tiene dificultades financieras.</w:t>
      </w:r>
    </w:p>
    <w:p w14:paraId="14D32774" w14:textId="77777777" w:rsidR="00600F53" w:rsidRPr="002E1AF6" w:rsidRDefault="00600F53" w:rsidP="00600F53">
      <w:pPr>
        <w:pStyle w:val="ListParagraph"/>
        <w:numPr>
          <w:ilvl w:val="0"/>
          <w:numId w:val="71"/>
        </w:numPr>
        <w:autoSpaceDE w:val="0"/>
        <w:autoSpaceDN w:val="0"/>
        <w:adjustRightInd w:val="0"/>
        <w:jc w:val="both"/>
        <w:rPr>
          <w:rFonts w:ascii="Arial" w:hAnsi="Arial" w:cs="Arial"/>
          <w:bCs/>
          <w:sz w:val="20"/>
          <w:lang w:val="es-ES_tradnl"/>
        </w:rPr>
      </w:pPr>
      <w:r w:rsidRPr="002E1AF6">
        <w:rPr>
          <w:rFonts w:ascii="Arial" w:hAnsi="Arial" w:cs="Arial"/>
          <w:bCs/>
          <w:sz w:val="20"/>
          <w:lang w:val="es-ES_tradnl"/>
        </w:rPr>
        <w:t>Cambio significativo en la tasa de interés.</w:t>
      </w:r>
    </w:p>
    <w:p w14:paraId="039D5CB8" w14:textId="77777777" w:rsidR="00600F53" w:rsidRPr="002E1AF6" w:rsidRDefault="00600F53" w:rsidP="00600F53">
      <w:pPr>
        <w:pStyle w:val="ListParagraph"/>
        <w:numPr>
          <w:ilvl w:val="0"/>
          <w:numId w:val="71"/>
        </w:numPr>
        <w:autoSpaceDE w:val="0"/>
        <w:autoSpaceDN w:val="0"/>
        <w:adjustRightInd w:val="0"/>
        <w:jc w:val="both"/>
        <w:rPr>
          <w:rFonts w:ascii="Arial" w:hAnsi="Arial" w:cs="Arial"/>
          <w:bCs/>
          <w:sz w:val="20"/>
          <w:lang w:val="es-ES_tradnl"/>
        </w:rPr>
      </w:pPr>
      <w:r w:rsidRPr="002E1AF6">
        <w:rPr>
          <w:rFonts w:ascii="Arial" w:hAnsi="Arial" w:cs="Arial"/>
          <w:bCs/>
          <w:sz w:val="20"/>
          <w:lang w:val="es-ES_tradnl"/>
        </w:rPr>
        <w:t>Cambio en la moneda en la que está denominado el préstamo.</w:t>
      </w:r>
    </w:p>
    <w:p w14:paraId="46FABA13" w14:textId="77777777" w:rsidR="00600F53" w:rsidRPr="002E1AF6" w:rsidRDefault="00600F53" w:rsidP="00600F53">
      <w:pPr>
        <w:pStyle w:val="ListParagraph"/>
        <w:numPr>
          <w:ilvl w:val="0"/>
          <w:numId w:val="71"/>
        </w:numPr>
        <w:autoSpaceDE w:val="0"/>
        <w:autoSpaceDN w:val="0"/>
        <w:adjustRightInd w:val="0"/>
        <w:jc w:val="both"/>
        <w:rPr>
          <w:rFonts w:ascii="Arial" w:hAnsi="Arial" w:cs="Arial"/>
          <w:bCs/>
          <w:sz w:val="20"/>
          <w:lang w:val="es-ES_tradnl"/>
        </w:rPr>
      </w:pPr>
      <w:r w:rsidRPr="002E1AF6">
        <w:rPr>
          <w:rFonts w:ascii="Arial" w:hAnsi="Arial" w:cs="Arial"/>
          <w:bCs/>
          <w:sz w:val="20"/>
          <w:lang w:val="es-ES_tradnl"/>
        </w:rPr>
        <w:t>Integración de garantías o mejoras crediticias que afectan significativamente el riesgo crediticio asociado con el préstamo.</w:t>
      </w:r>
    </w:p>
    <w:p w14:paraId="1BC14814" w14:textId="77777777" w:rsidR="00600F53" w:rsidRPr="002E1AF6" w:rsidRDefault="00600F53" w:rsidP="00600F53">
      <w:pPr>
        <w:shd w:val="clear" w:color="auto" w:fill="FFFFFF"/>
        <w:tabs>
          <w:tab w:val="left" w:pos="708"/>
        </w:tabs>
        <w:jc w:val="both"/>
        <w:rPr>
          <w:rFonts w:ascii="Arial" w:hAnsi="Arial" w:cs="Arial"/>
          <w:sz w:val="20"/>
        </w:rPr>
      </w:pPr>
    </w:p>
    <w:p w14:paraId="60F6E8E7" w14:textId="0089144A" w:rsidR="00600F53" w:rsidRPr="002E1AF6" w:rsidRDefault="00600F53" w:rsidP="00600F53">
      <w:pPr>
        <w:shd w:val="clear" w:color="auto" w:fill="FFFFFF"/>
        <w:tabs>
          <w:tab w:val="left" w:pos="708"/>
        </w:tabs>
        <w:jc w:val="both"/>
        <w:rPr>
          <w:rFonts w:ascii="Arial" w:hAnsi="Arial" w:cs="Arial"/>
          <w:sz w:val="20"/>
        </w:rPr>
      </w:pPr>
      <w:r w:rsidRPr="002E1AF6">
        <w:rPr>
          <w:rFonts w:ascii="Arial" w:hAnsi="Arial" w:cs="Arial"/>
          <w:sz w:val="20"/>
        </w:rPr>
        <w:t xml:space="preserve">Si los términos del préstamo luego de la modificación son substancialmente diferentes, el Banco da de baja el instrumento financiero original y reconoce un nuevo activo a valor razonable y recalcula una nueva tasa de interés efectiva para el activo. La fecha de renegociación es consecuentemente considerada la fecha de reconocimiento inicial a efectos del cálculo del deterioro y de la determinación de un incremento significativo en el riesgo de crédito. Sin embargo, el Banco también evalúa si el nuevo activo financiero reconocido es considerado un </w:t>
      </w:r>
      <w:r w:rsidRPr="002E1AF6">
        <w:rPr>
          <w:rFonts w:ascii="Arial" w:hAnsi="Arial" w:cs="Arial"/>
          <w:sz w:val="20"/>
        </w:rPr>
        <w:lastRenderedPageBreak/>
        <w:t>activo deteriorado, especialmente cuando la renegociación se originó por la falta de capacidad de pago del cliente. Las diferencias en el valor contable son reconocidas en resultados así como las pérdidas o ganancias generadas por la baja del activo financiero.</w:t>
      </w:r>
    </w:p>
    <w:p w14:paraId="7B51C440" w14:textId="77777777" w:rsidR="00600F53" w:rsidRPr="002E1AF6" w:rsidRDefault="00600F53" w:rsidP="00600F53">
      <w:pPr>
        <w:shd w:val="clear" w:color="auto" w:fill="FFFFFF"/>
        <w:tabs>
          <w:tab w:val="left" w:pos="708"/>
        </w:tabs>
        <w:jc w:val="both"/>
        <w:rPr>
          <w:rFonts w:ascii="Arial" w:hAnsi="Arial" w:cs="Arial"/>
          <w:sz w:val="20"/>
        </w:rPr>
      </w:pPr>
    </w:p>
    <w:p w14:paraId="7B09ACF2" w14:textId="6552E490" w:rsidR="00600F53" w:rsidRDefault="00600F53" w:rsidP="00A74911">
      <w:pPr>
        <w:shd w:val="clear" w:color="auto" w:fill="FFFFFF"/>
        <w:tabs>
          <w:tab w:val="left" w:pos="708"/>
        </w:tabs>
        <w:jc w:val="both"/>
        <w:rPr>
          <w:rFonts w:ascii="Arial" w:eastAsia="Calibri" w:hAnsi="Arial" w:cs="Arial"/>
          <w:noProof/>
          <w:sz w:val="20"/>
        </w:rPr>
      </w:pPr>
      <w:r w:rsidRPr="002E1AF6">
        <w:rPr>
          <w:rFonts w:ascii="Arial" w:hAnsi="Arial" w:cs="Arial"/>
          <w:sz w:val="20"/>
        </w:rPr>
        <w:t xml:space="preserve">Si los términos del préstamo luego de la modificación no son substancialmente diferentes, la renegociación o modificación no implica la baja del instrumento financiero, y el </w:t>
      </w:r>
      <w:r>
        <w:rPr>
          <w:rFonts w:ascii="Arial" w:hAnsi="Arial" w:cs="Arial"/>
          <w:sz w:val="20"/>
        </w:rPr>
        <w:t>Banco</w:t>
      </w:r>
      <w:r w:rsidRPr="002E1AF6">
        <w:rPr>
          <w:rFonts w:ascii="Arial" w:hAnsi="Arial" w:cs="Arial"/>
          <w:sz w:val="20"/>
        </w:rPr>
        <w:t xml:space="preserve"> recalcula el valor contable bruto basado en el flujo de fondos revisado reconociendo una ganancia o pérdida por modificación en resultados. El nuevo valor contable bruto es recalculado como el valor descontado del flujo de fondos modificado a la tasa de interés efectiva original.</w:t>
      </w:r>
      <w:bookmarkEnd w:id="18"/>
    </w:p>
    <w:p w14:paraId="7DAE8731" w14:textId="77777777" w:rsidR="00600F53" w:rsidRPr="00701F32" w:rsidRDefault="00600F53" w:rsidP="00A06BE9">
      <w:pPr>
        <w:autoSpaceDE w:val="0"/>
        <w:autoSpaceDN w:val="0"/>
        <w:adjustRightInd w:val="0"/>
        <w:jc w:val="both"/>
        <w:rPr>
          <w:rFonts w:ascii="Arial" w:eastAsia="Calibri" w:hAnsi="Arial" w:cs="Arial"/>
          <w:noProof/>
          <w:sz w:val="20"/>
        </w:rPr>
      </w:pPr>
    </w:p>
    <w:p w14:paraId="1A3FEE47" w14:textId="71A16A49" w:rsidR="00A06BE9" w:rsidRPr="00701F32" w:rsidRDefault="00D26051" w:rsidP="00A06BE9">
      <w:pPr>
        <w:spacing w:after="160" w:line="259" w:lineRule="auto"/>
        <w:jc w:val="both"/>
        <w:rPr>
          <w:rFonts w:ascii="Arial" w:eastAsia="Calibri" w:hAnsi="Arial" w:cs="Arial"/>
          <w:b/>
          <w:bCs/>
          <w:sz w:val="20"/>
        </w:rPr>
      </w:pPr>
      <w:bookmarkStart w:id="19" w:name="_Hlk41419365"/>
      <w:r>
        <w:rPr>
          <w:rFonts w:ascii="Arial" w:eastAsia="Calibri" w:hAnsi="Arial" w:cs="Arial"/>
          <w:b/>
          <w:bCs/>
          <w:sz w:val="20"/>
        </w:rPr>
        <w:t>3</w:t>
      </w:r>
      <w:r w:rsidR="00A06BE9" w:rsidRPr="00701F32">
        <w:rPr>
          <w:rFonts w:ascii="Arial" w:eastAsia="Calibri" w:hAnsi="Arial" w:cs="Arial"/>
          <w:b/>
          <w:bCs/>
          <w:sz w:val="20"/>
        </w:rPr>
        <w:t xml:space="preserve">. </w:t>
      </w:r>
      <w:r w:rsidR="00582EAB" w:rsidRPr="00701F32">
        <w:rPr>
          <w:rFonts w:ascii="Arial" w:eastAsia="Calibri" w:hAnsi="Arial" w:cs="Arial"/>
          <w:b/>
          <w:bCs/>
          <w:sz w:val="20"/>
        </w:rPr>
        <w:t>INFORMACION POR SEGMENTOS</w:t>
      </w:r>
    </w:p>
    <w:p w14:paraId="21A4D716" w14:textId="7764D142" w:rsidR="00A06BE9" w:rsidRPr="0065012D" w:rsidRDefault="00A06BE9" w:rsidP="00A06BE9">
      <w:pPr>
        <w:spacing w:after="160" w:line="259" w:lineRule="auto"/>
        <w:jc w:val="both"/>
        <w:rPr>
          <w:rFonts w:ascii="Arial" w:eastAsia="Calibri" w:hAnsi="Arial" w:cs="Arial"/>
          <w:sz w:val="20"/>
        </w:rPr>
      </w:pPr>
      <w:r w:rsidRPr="00701F32">
        <w:rPr>
          <w:rFonts w:ascii="Arial" w:eastAsia="Calibri" w:hAnsi="Arial" w:cs="Arial"/>
          <w:sz w:val="20"/>
        </w:rPr>
        <w:t xml:space="preserve">La Entidad determina los segmentos operativos sobre la base de los informes de gestión que son revisados por el Directorio y el personal clave de la Gerencia, y los actualiza a medida que </w:t>
      </w:r>
      <w:r w:rsidRPr="0065012D">
        <w:rPr>
          <w:rFonts w:ascii="Arial" w:eastAsia="Calibri" w:hAnsi="Arial" w:cs="Arial"/>
          <w:sz w:val="20"/>
        </w:rPr>
        <w:t>los mismos presentan cambios.</w:t>
      </w:r>
    </w:p>
    <w:p w14:paraId="4C7E2F21" w14:textId="0E65FC55" w:rsidR="00F37EB9" w:rsidRPr="0065012D" w:rsidRDefault="00F37EB9" w:rsidP="0065012D">
      <w:pPr>
        <w:spacing w:after="160" w:line="259" w:lineRule="auto"/>
        <w:jc w:val="both"/>
        <w:rPr>
          <w:rFonts w:ascii="Arial" w:eastAsia="Calibri" w:hAnsi="Arial" w:cs="Arial"/>
          <w:sz w:val="20"/>
        </w:rPr>
      </w:pPr>
      <w:bookmarkStart w:id="20" w:name="_Hlk41479958"/>
      <w:r w:rsidRPr="00F37EB9">
        <w:rPr>
          <w:rFonts w:ascii="Arial" w:eastAsia="Calibri" w:hAnsi="Arial" w:cs="Arial"/>
          <w:sz w:val="20"/>
        </w:rPr>
        <w:t>Con el objetivo de implementar una visión estratégica de foco en el cliente individuo y Pymes que demanda y valora modelos de atención de cercanía y digitales, el área de Banca Minorista que se transformó en el nuevo área de Banca Personas y Negocios.</w:t>
      </w:r>
    </w:p>
    <w:p w14:paraId="16163CF7" w14:textId="3A1E587A" w:rsidR="0065012D" w:rsidRPr="0065012D" w:rsidRDefault="00F37EB9" w:rsidP="0065012D">
      <w:pPr>
        <w:spacing w:after="160" w:line="259" w:lineRule="auto"/>
        <w:jc w:val="both"/>
        <w:rPr>
          <w:rFonts w:ascii="Arial" w:eastAsia="Calibri" w:hAnsi="Arial" w:cs="Arial"/>
          <w:sz w:val="20"/>
        </w:rPr>
      </w:pPr>
      <w:r w:rsidRPr="00F37EB9">
        <w:rPr>
          <w:rFonts w:ascii="Arial" w:eastAsia="Calibri" w:hAnsi="Arial" w:cs="Arial"/>
          <w:sz w:val="20"/>
        </w:rPr>
        <w:t>En este sentido, los clientes de las PYME y la cartera de préstamos fueron transferidos de la división de Banca Corporativa a la División de Banca Personas y Negocios. El cambio fue efectivo a partir del 1 de enero de 2020. La información comparativa correspondiente al 31 de marzo de 2019 y 31 de diciembre de 2019 fue modificada a fin de reflejar la nueva organización y para que sea comparativa con la información al 31 de marzo de 2020</w:t>
      </w:r>
      <w:r w:rsidR="0065012D">
        <w:rPr>
          <w:rFonts w:ascii="Arial" w:eastAsia="Calibri" w:hAnsi="Arial" w:cs="Arial"/>
          <w:sz w:val="20"/>
        </w:rPr>
        <w:t>.</w:t>
      </w:r>
    </w:p>
    <w:bookmarkEnd w:id="20"/>
    <w:p w14:paraId="5CA31623" w14:textId="436A9D63" w:rsidR="00CE4289" w:rsidRPr="00CE4289" w:rsidRDefault="00CE4289" w:rsidP="00CE4289">
      <w:pPr>
        <w:spacing w:after="160" w:line="259" w:lineRule="auto"/>
        <w:jc w:val="both"/>
        <w:rPr>
          <w:rFonts w:ascii="Arial" w:eastAsia="Calibri" w:hAnsi="Arial" w:cs="Arial"/>
          <w:sz w:val="20"/>
        </w:rPr>
      </w:pPr>
      <w:r w:rsidRPr="00CE4289">
        <w:rPr>
          <w:rFonts w:ascii="Arial" w:eastAsia="Calibri" w:hAnsi="Arial" w:cs="Arial"/>
          <w:sz w:val="20"/>
        </w:rPr>
        <w:t>Desde el 1 de enero de 2020, los clientes del Banco reciben los siguientes servicios:</w:t>
      </w:r>
    </w:p>
    <w:p w14:paraId="184AD004" w14:textId="2151C8A8" w:rsidR="00CE4289" w:rsidRPr="00CE4289" w:rsidRDefault="00CE4289" w:rsidP="00CE4289">
      <w:pPr>
        <w:spacing w:after="160" w:line="259" w:lineRule="auto"/>
        <w:jc w:val="both"/>
        <w:rPr>
          <w:rFonts w:ascii="Arial" w:eastAsia="Calibri" w:hAnsi="Arial" w:cs="Arial"/>
          <w:sz w:val="20"/>
        </w:rPr>
      </w:pPr>
      <w:r w:rsidRPr="00CE4289">
        <w:rPr>
          <w:rFonts w:ascii="Arial" w:eastAsia="Calibri" w:hAnsi="Arial" w:cs="Arial"/>
          <w:sz w:val="20"/>
        </w:rPr>
        <w:t>•</w:t>
      </w:r>
      <w:r>
        <w:rPr>
          <w:rFonts w:ascii="Arial" w:eastAsia="Calibri" w:hAnsi="Arial" w:cs="Arial"/>
          <w:sz w:val="20"/>
        </w:rPr>
        <w:t xml:space="preserve">     </w:t>
      </w:r>
      <w:r w:rsidRPr="002775B9">
        <w:rPr>
          <w:rFonts w:ascii="Arial" w:eastAsia="Calibri" w:hAnsi="Arial" w:cs="Arial"/>
          <w:i/>
          <w:sz w:val="20"/>
        </w:rPr>
        <w:t>Segmento de Banca Personas y Negocios:</w:t>
      </w:r>
    </w:p>
    <w:p w14:paraId="69AE04B2" w14:textId="7BCC7084" w:rsidR="00CE4289" w:rsidRPr="00CE4289" w:rsidRDefault="00CE4289" w:rsidP="00CE4289">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Pequeñas empresas, particulares y empresas con ventas anuales de hasta 100.000</w:t>
      </w:r>
    </w:p>
    <w:p w14:paraId="482553CE" w14:textId="5BDD4B81" w:rsidR="00CE4289" w:rsidRPr="00CE4289" w:rsidRDefault="00CE4289" w:rsidP="00CE4289">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“PYMES”, empresas con ventas anuales superiores a 100.000 e inferiores a 700.000</w:t>
      </w:r>
    </w:p>
    <w:p w14:paraId="1AB0E1B5" w14:textId="68CF13CE" w:rsidR="00CE4289" w:rsidRPr="00CE4289" w:rsidRDefault="00CE4289" w:rsidP="00CE4289">
      <w:pPr>
        <w:spacing w:after="160" w:line="259" w:lineRule="auto"/>
        <w:jc w:val="both"/>
        <w:rPr>
          <w:rFonts w:ascii="Arial" w:eastAsia="Calibri" w:hAnsi="Arial" w:cs="Arial"/>
          <w:sz w:val="20"/>
        </w:rPr>
      </w:pPr>
      <w:r w:rsidRPr="00CE4289">
        <w:rPr>
          <w:rFonts w:ascii="Arial" w:eastAsia="Calibri" w:hAnsi="Arial" w:cs="Arial"/>
          <w:sz w:val="20"/>
        </w:rPr>
        <w:t>•</w:t>
      </w:r>
      <w:r>
        <w:rPr>
          <w:rFonts w:ascii="Arial" w:eastAsia="Calibri" w:hAnsi="Arial" w:cs="Arial"/>
          <w:sz w:val="20"/>
        </w:rPr>
        <w:t xml:space="preserve">    </w:t>
      </w:r>
      <w:r w:rsidRPr="002775B9">
        <w:rPr>
          <w:rFonts w:ascii="Arial" w:eastAsia="Calibri" w:hAnsi="Arial" w:cs="Arial"/>
          <w:i/>
          <w:sz w:val="20"/>
        </w:rPr>
        <w:t>Segmento de Banca Corporativa:</w:t>
      </w:r>
    </w:p>
    <w:p w14:paraId="4F18D3DC" w14:textId="2FC963E0" w:rsidR="00CE4289" w:rsidRPr="00CE4289" w:rsidRDefault="00CE4289" w:rsidP="00CE4289">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Megras con ventas anuales superiores a 700.000 e inferiores a 2.500.000</w:t>
      </w:r>
    </w:p>
    <w:p w14:paraId="25C6E14E" w14:textId="2386CB65" w:rsidR="00CE4289" w:rsidRDefault="00CE4289" w:rsidP="00CE4289">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Grandes corporaciones, compañías con ventas anuales de más de 2.500.000</w:t>
      </w:r>
    </w:p>
    <w:p w14:paraId="66BAA770" w14:textId="0535B47E" w:rsidR="00CE4289" w:rsidRPr="00701F32" w:rsidRDefault="00CE4289" w:rsidP="00A06BE9">
      <w:pPr>
        <w:spacing w:after="160" w:line="259" w:lineRule="auto"/>
        <w:jc w:val="both"/>
        <w:rPr>
          <w:rFonts w:ascii="Arial" w:eastAsia="Calibri" w:hAnsi="Arial" w:cs="Arial"/>
          <w:sz w:val="20"/>
        </w:rPr>
      </w:pPr>
      <w:r w:rsidRPr="00CE4289">
        <w:rPr>
          <w:rFonts w:ascii="Arial" w:eastAsia="Calibri" w:hAnsi="Arial" w:cs="Arial"/>
          <w:sz w:val="20"/>
        </w:rPr>
        <w:t xml:space="preserve">El </w:t>
      </w:r>
      <w:r>
        <w:rPr>
          <w:rFonts w:ascii="Arial" w:eastAsia="Calibri" w:hAnsi="Arial" w:cs="Arial"/>
          <w:sz w:val="20"/>
        </w:rPr>
        <w:t>Banco</w:t>
      </w:r>
      <w:r w:rsidRPr="00CE4289">
        <w:rPr>
          <w:rFonts w:ascii="Arial" w:eastAsia="Calibri" w:hAnsi="Arial" w:cs="Arial"/>
          <w:sz w:val="20"/>
        </w:rPr>
        <w:t xml:space="preserve"> considera el negocio a los tipos de productos y servicios ofrecidos, identificando de esta forma los siguientes segmentos operativos:</w:t>
      </w:r>
    </w:p>
    <w:bookmarkEnd w:id="19"/>
    <w:p w14:paraId="5948D8BA" w14:textId="3DFB6A69" w:rsidR="00A06BE9" w:rsidRPr="00701F32" w:rsidRDefault="006229AF" w:rsidP="00627289">
      <w:pPr>
        <w:numPr>
          <w:ilvl w:val="0"/>
          <w:numId w:val="30"/>
        </w:numPr>
        <w:spacing w:after="160" w:line="259" w:lineRule="auto"/>
        <w:contextualSpacing/>
        <w:jc w:val="both"/>
        <w:rPr>
          <w:rFonts w:ascii="Arial" w:eastAsia="Calibri" w:hAnsi="Arial" w:cs="Arial"/>
          <w:bCs/>
          <w:sz w:val="20"/>
        </w:rPr>
      </w:pPr>
      <w:r w:rsidRPr="006229AF">
        <w:rPr>
          <w:rFonts w:ascii="Arial" w:eastAsia="Calibri" w:hAnsi="Arial" w:cs="Arial"/>
          <w:bCs/>
          <w:sz w:val="20"/>
        </w:rPr>
        <w:lastRenderedPageBreak/>
        <w:t xml:space="preserve">Banca Personas y </w:t>
      </w:r>
      <w:r w:rsidR="00445764" w:rsidRPr="006229AF">
        <w:rPr>
          <w:rFonts w:ascii="Arial" w:eastAsia="Calibri" w:hAnsi="Arial" w:cs="Arial"/>
          <w:bCs/>
          <w:sz w:val="20"/>
        </w:rPr>
        <w:t>Negocios:</w:t>
      </w:r>
      <w:r w:rsidR="00A06BE9" w:rsidRPr="00701F32">
        <w:rPr>
          <w:rFonts w:ascii="Arial" w:eastAsia="Calibri" w:hAnsi="Arial" w:cs="Arial"/>
          <w:bCs/>
          <w:sz w:val="20"/>
        </w:rPr>
        <w:t xml:space="preserve"> </w:t>
      </w:r>
      <w:r w:rsidR="004676BD" w:rsidRPr="004676BD">
        <w:rPr>
          <w:rFonts w:ascii="Arial" w:eastAsia="Calibri" w:hAnsi="Arial" w:cs="Arial"/>
          <w:bCs/>
          <w:sz w:val="20"/>
        </w:rPr>
        <w:t>ofrece una amplia gama de productos y servicios financieros destinados a satisfacer las necesidades de sus clientes individuos y emprendedores y pequeñas empresas: Préstamos Personales, Préstamos Hipotecarios, Préstamos a Sola Firma, Préstamos con Líneas Especiales para Financiación de Proyectos y Capital de Trabajo, Leasing, Garantías de Inquilinos, Anticipos de Haberes, Préstamos Prendarios, Factoring Nacional e Internacional, Garantías Internacionales y Cartas de Crédito, Pago de haberes (Planes Sueldo), Tarjetas de Crédito, Pago a Proveedores, Tarjetas de Débito, Cajas de Ahorro, Depósitos a Plazo Fijo, Cuentas Corrientes, además de servicios financieros e inversiones como Fondos Comunes de Inversión, Cobertura de Seguros y Garantías, y Pagos de Beneficios a Jubilados y Pensionados. A partir del 1 de enero de 2020, la cartera de PYMES fue incluida en este segmento</w:t>
      </w:r>
      <w:r w:rsidR="00A06BE9" w:rsidRPr="00701F32">
        <w:rPr>
          <w:rFonts w:ascii="Arial" w:eastAsia="Calibri" w:hAnsi="Arial" w:cs="Arial"/>
          <w:bCs/>
          <w:sz w:val="20"/>
        </w:rPr>
        <w:t>.</w:t>
      </w:r>
    </w:p>
    <w:p w14:paraId="5AAF3082" w14:textId="77777777" w:rsidR="00A06BE9" w:rsidRPr="00701F32" w:rsidRDefault="00A06BE9" w:rsidP="00A06BE9">
      <w:pPr>
        <w:spacing w:after="160" w:line="259" w:lineRule="auto"/>
        <w:ind w:left="720"/>
        <w:contextualSpacing/>
        <w:jc w:val="both"/>
        <w:rPr>
          <w:rFonts w:ascii="Arial" w:eastAsia="Calibri" w:hAnsi="Arial" w:cs="Arial"/>
          <w:bCs/>
          <w:sz w:val="20"/>
        </w:rPr>
      </w:pPr>
    </w:p>
    <w:p w14:paraId="0DE4DC5F" w14:textId="6B652B62" w:rsidR="00A06BE9" w:rsidRPr="00701F32" w:rsidRDefault="006229AF" w:rsidP="00627289">
      <w:pPr>
        <w:numPr>
          <w:ilvl w:val="0"/>
          <w:numId w:val="30"/>
        </w:numPr>
        <w:spacing w:after="160" w:line="259" w:lineRule="auto"/>
        <w:contextualSpacing/>
        <w:jc w:val="both"/>
        <w:rPr>
          <w:rFonts w:ascii="Arial" w:eastAsia="Calibri" w:hAnsi="Arial" w:cs="Arial"/>
          <w:bCs/>
          <w:sz w:val="20"/>
        </w:rPr>
      </w:pPr>
      <w:r w:rsidRPr="006229AF">
        <w:rPr>
          <w:rFonts w:ascii="Arial" w:eastAsia="Calibri" w:hAnsi="Arial" w:cs="Arial"/>
          <w:bCs/>
          <w:sz w:val="20"/>
        </w:rPr>
        <w:t>Banca Corporativa</w:t>
      </w:r>
      <w:r w:rsidR="00A06BE9" w:rsidRPr="00701F32">
        <w:rPr>
          <w:rFonts w:ascii="Arial" w:eastAsia="Calibri" w:hAnsi="Arial" w:cs="Arial"/>
          <w:bCs/>
          <w:sz w:val="20"/>
        </w:rPr>
        <w:t xml:space="preserve">: Incluye </w:t>
      </w:r>
      <w:r w:rsidR="004676BD" w:rsidRPr="004676BD">
        <w:rPr>
          <w:rFonts w:ascii="Arial" w:eastAsia="Calibri" w:hAnsi="Arial" w:cs="Arial"/>
          <w:bCs/>
          <w:sz w:val="20"/>
        </w:rPr>
        <w:t>productos y servicios a Medianas y Grandes empresas. El servició de atención al cliente de este segmento está conformado por tres gerencias comerciales: Gerencia de Banca Corporativa AMBA, Gerencia de Banca Corporativa Interior y División Sociedad de Garantías Reciprocas “SGRS”. Este segmento trabaja con foco en</w:t>
      </w:r>
      <w:r w:rsidR="00A5409A">
        <w:rPr>
          <w:rFonts w:ascii="Arial" w:eastAsia="Calibri" w:hAnsi="Arial" w:cs="Arial"/>
          <w:bCs/>
          <w:sz w:val="20"/>
        </w:rPr>
        <w:t xml:space="preserve"> la</w:t>
      </w:r>
      <w:r w:rsidR="004676BD" w:rsidRPr="004676BD">
        <w:rPr>
          <w:rFonts w:ascii="Arial" w:eastAsia="Calibri" w:hAnsi="Arial" w:cs="Arial"/>
          <w:bCs/>
          <w:sz w:val="20"/>
        </w:rPr>
        <w:t xml:space="preserve"> proximidad al cliente, siendo esta una ventaja competitiva</w:t>
      </w:r>
      <w:r w:rsidR="00A06BE9" w:rsidRPr="00701F32">
        <w:rPr>
          <w:rFonts w:ascii="Arial" w:eastAsia="Calibri" w:hAnsi="Arial" w:cs="Arial"/>
          <w:bCs/>
          <w:sz w:val="20"/>
        </w:rPr>
        <w:t>.</w:t>
      </w:r>
      <w:r w:rsidR="00A06BE9" w:rsidRPr="00701F32">
        <w:rPr>
          <w:rFonts w:ascii="Calibri" w:eastAsia="Calibri" w:hAnsi="Calibri"/>
          <w:sz w:val="22"/>
          <w:szCs w:val="22"/>
        </w:rPr>
        <w:t xml:space="preserve"> </w:t>
      </w:r>
    </w:p>
    <w:p w14:paraId="1FE6E6A1" w14:textId="77777777" w:rsidR="00A06BE9" w:rsidRPr="00701F32" w:rsidRDefault="00A06BE9" w:rsidP="00A06BE9">
      <w:pPr>
        <w:spacing w:after="160" w:line="259" w:lineRule="auto"/>
        <w:contextualSpacing/>
        <w:jc w:val="both"/>
        <w:rPr>
          <w:rFonts w:ascii="Arial" w:eastAsia="Calibri" w:hAnsi="Arial" w:cs="Arial"/>
          <w:bCs/>
          <w:sz w:val="20"/>
        </w:rPr>
      </w:pPr>
    </w:p>
    <w:p w14:paraId="782A7837" w14:textId="60717732" w:rsidR="00A06BE9" w:rsidRPr="00701F32" w:rsidRDefault="00A06BE9" w:rsidP="00627289">
      <w:pPr>
        <w:numPr>
          <w:ilvl w:val="0"/>
          <w:numId w:val="30"/>
        </w:numPr>
        <w:spacing w:after="160" w:line="259" w:lineRule="auto"/>
        <w:contextualSpacing/>
        <w:jc w:val="both"/>
        <w:rPr>
          <w:rFonts w:ascii="Arial" w:eastAsia="Calibri" w:hAnsi="Arial" w:cs="Arial"/>
          <w:bCs/>
          <w:sz w:val="20"/>
        </w:rPr>
      </w:pPr>
      <w:r w:rsidRPr="00701F32">
        <w:rPr>
          <w:rFonts w:ascii="Arial" w:eastAsia="Calibri" w:hAnsi="Arial" w:cs="Arial"/>
          <w:bCs/>
          <w:sz w:val="20"/>
        </w:rPr>
        <w:t>Tesorería: Este segmento es el responsable de la asignación de liquidez de la Entidad según las necesidades de las bancas y sus necesidades propias.</w:t>
      </w:r>
      <w:r w:rsidRPr="00701F32">
        <w:rPr>
          <w:rFonts w:ascii="Calibri" w:eastAsia="Calibri" w:hAnsi="Calibri"/>
          <w:sz w:val="22"/>
          <w:szCs w:val="22"/>
        </w:rPr>
        <w:t xml:space="preserve"> </w:t>
      </w:r>
      <w:r w:rsidRPr="00701F32">
        <w:rPr>
          <w:rFonts w:ascii="Arial" w:eastAsia="Calibri" w:hAnsi="Arial" w:cs="Arial"/>
          <w:bCs/>
          <w:sz w:val="20"/>
        </w:rPr>
        <w:t xml:space="preserve">El segmento Tesorería implementa las políticas de gestión de riesgo financiero del Banco, gestiona las operaciones de su mesa de dinero, distribuye productos financieros, por </w:t>
      </w:r>
      <w:r w:rsidR="00445764" w:rsidRPr="00701F32">
        <w:rPr>
          <w:rFonts w:ascii="Arial" w:eastAsia="Calibri" w:hAnsi="Arial" w:cs="Arial"/>
          <w:bCs/>
          <w:sz w:val="20"/>
        </w:rPr>
        <w:t>ejemplo,</w:t>
      </w:r>
      <w:r w:rsidRPr="00701F32">
        <w:rPr>
          <w:rFonts w:ascii="Arial" w:eastAsia="Calibri" w:hAnsi="Arial" w:cs="Arial"/>
          <w:bCs/>
          <w:sz w:val="20"/>
        </w:rPr>
        <w:t xml:space="preserve"> valores negociables, y desarrolla negocios con los clientes del sector financiero y no financiero mayorista.</w:t>
      </w:r>
    </w:p>
    <w:p w14:paraId="1052CBFF" w14:textId="77777777" w:rsidR="00A06BE9" w:rsidRPr="00701F32" w:rsidRDefault="00A06BE9" w:rsidP="00A06BE9">
      <w:pPr>
        <w:spacing w:after="160" w:line="259" w:lineRule="auto"/>
        <w:ind w:left="720"/>
        <w:contextualSpacing/>
        <w:jc w:val="both"/>
        <w:rPr>
          <w:rFonts w:ascii="Arial" w:eastAsia="Calibri" w:hAnsi="Arial" w:cs="Arial"/>
          <w:bCs/>
          <w:sz w:val="20"/>
        </w:rPr>
      </w:pPr>
    </w:p>
    <w:p w14:paraId="5368AC69" w14:textId="77777777" w:rsidR="00A06BE9" w:rsidRPr="00F77F7F" w:rsidRDefault="00A06BE9" w:rsidP="00627289">
      <w:pPr>
        <w:numPr>
          <w:ilvl w:val="0"/>
          <w:numId w:val="30"/>
        </w:numPr>
        <w:spacing w:after="160" w:line="259" w:lineRule="auto"/>
        <w:contextualSpacing/>
        <w:jc w:val="both"/>
        <w:rPr>
          <w:rFonts w:ascii="Arial" w:eastAsia="Calibri" w:hAnsi="Arial" w:cs="Arial"/>
          <w:bCs/>
          <w:sz w:val="20"/>
        </w:rPr>
      </w:pPr>
      <w:r w:rsidRPr="00F77F7F">
        <w:rPr>
          <w:rFonts w:ascii="Arial" w:eastAsia="Calibri" w:hAnsi="Arial" w:cs="Arial"/>
          <w:bCs/>
          <w:sz w:val="20"/>
        </w:rPr>
        <w:t>Consumo: A través de este segmento la entidad ofrece tarjetas de crédito de marca privada, créditos para la adquisición de bienes de consumo y préstamos en efectivo a los sectores de ingresos medios y medios bajos no bancarizados.</w:t>
      </w:r>
    </w:p>
    <w:p w14:paraId="71AB0984" w14:textId="77777777" w:rsidR="00A06BE9" w:rsidRPr="00066653" w:rsidRDefault="00A06BE9" w:rsidP="00A06BE9">
      <w:pPr>
        <w:spacing w:after="160" w:line="259" w:lineRule="auto"/>
        <w:ind w:left="720"/>
        <w:contextualSpacing/>
        <w:jc w:val="both"/>
        <w:rPr>
          <w:rFonts w:ascii="Arial" w:eastAsia="Calibri" w:hAnsi="Arial" w:cs="Arial"/>
          <w:bCs/>
          <w:sz w:val="20"/>
        </w:rPr>
      </w:pPr>
    </w:p>
    <w:p w14:paraId="4998F0D5" w14:textId="77777777" w:rsidR="00A06BE9" w:rsidRPr="00F77F7F" w:rsidRDefault="00A06BE9" w:rsidP="00A06BE9">
      <w:pPr>
        <w:spacing w:after="160" w:line="259" w:lineRule="auto"/>
        <w:jc w:val="both"/>
        <w:rPr>
          <w:rFonts w:ascii="Arial" w:eastAsia="Calibri" w:hAnsi="Arial" w:cs="Arial"/>
          <w:bCs/>
          <w:sz w:val="20"/>
        </w:rPr>
      </w:pPr>
      <w:r w:rsidRPr="00F77F7F">
        <w:rPr>
          <w:rFonts w:ascii="Arial" w:eastAsia="Calibri" w:hAnsi="Arial" w:cs="Arial"/>
          <w:bCs/>
          <w:sz w:val="20"/>
        </w:rPr>
        <w:t>Los resultados operativos de los distintos segmentos operativos de la Entidad se monitorean por separado con el propósito de tomar decisiones sobre la asignación de recursos y la evaluación del desempeño de cada uno de los segmentos. El rendimiento de los mismos es evaluado basado en las ganancias o pérdidas operativas y es medido consistentemente con las ganancias y pérdidas operativas del estado consolidado de ganancias y pérdidas.</w:t>
      </w:r>
    </w:p>
    <w:p w14:paraId="0B5BFA2B" w14:textId="0E818649" w:rsidR="00A06BE9" w:rsidRPr="00F77F7F" w:rsidRDefault="00A06BE9" w:rsidP="00A06BE9">
      <w:pPr>
        <w:spacing w:after="160" w:line="259" w:lineRule="auto"/>
        <w:jc w:val="both"/>
        <w:rPr>
          <w:rFonts w:ascii="Arial" w:eastAsia="Calibri" w:hAnsi="Arial" w:cs="Arial"/>
          <w:bCs/>
          <w:sz w:val="20"/>
        </w:rPr>
      </w:pPr>
      <w:r w:rsidRPr="00F77F7F">
        <w:rPr>
          <w:rFonts w:ascii="Arial" w:eastAsia="Calibri" w:hAnsi="Arial" w:cs="Arial"/>
          <w:bCs/>
          <w:sz w:val="20"/>
        </w:rPr>
        <w:t xml:space="preserve">Cuando ocurre alguna transacción, </w:t>
      </w:r>
      <w:r w:rsidR="0069665B" w:rsidRPr="00F77F7F">
        <w:rPr>
          <w:rFonts w:ascii="Arial" w:eastAsia="Calibri" w:hAnsi="Arial" w:cs="Arial"/>
          <w:bCs/>
          <w:sz w:val="20"/>
        </w:rPr>
        <w:t>la misma es realizada</w:t>
      </w:r>
      <w:r w:rsidRPr="00F77F7F">
        <w:rPr>
          <w:rFonts w:ascii="Arial" w:eastAsia="Calibri" w:hAnsi="Arial" w:cs="Arial"/>
          <w:bCs/>
          <w:sz w:val="20"/>
        </w:rPr>
        <w:t xml:space="preserve"> entre los segmentos operativos de manera similar a las transacciones realizadas con terceros. Los ingresos, los gastos y los </w:t>
      </w:r>
      <w:r w:rsidRPr="00F77F7F">
        <w:rPr>
          <w:rFonts w:ascii="Arial" w:eastAsia="Calibri" w:hAnsi="Arial" w:cs="Arial"/>
          <w:bCs/>
          <w:sz w:val="20"/>
        </w:rPr>
        <w:lastRenderedPageBreak/>
        <w:t>resultados producidos por las transferencias entre los segmentos operativos son luego eliminadas de la consolidación.</w:t>
      </w:r>
    </w:p>
    <w:p w14:paraId="6298EE7A" w14:textId="77777777" w:rsidR="00A06BE9" w:rsidRPr="00066653" w:rsidRDefault="00A06BE9" w:rsidP="00A06BE9">
      <w:pPr>
        <w:autoSpaceDE w:val="0"/>
        <w:autoSpaceDN w:val="0"/>
        <w:adjustRightInd w:val="0"/>
        <w:spacing w:after="160" w:line="259" w:lineRule="auto"/>
        <w:jc w:val="both"/>
        <w:rPr>
          <w:rFonts w:ascii="Arial" w:eastAsia="Calibri" w:hAnsi="Arial" w:cs="Arial"/>
          <w:sz w:val="20"/>
        </w:rPr>
      </w:pPr>
      <w:r w:rsidRPr="00F77F7F">
        <w:rPr>
          <w:rFonts w:ascii="Arial" w:eastAsia="Calibri" w:hAnsi="Arial" w:cs="Arial"/>
          <w:sz w:val="20"/>
        </w:rPr>
        <w:t>La Entidad no presenta información por segmentos geográficos porque no existen explotaciones en entornos económicos con riesgos y rendimientos que sean significativamente diferentes</w:t>
      </w:r>
      <w:r w:rsidRPr="00066653">
        <w:rPr>
          <w:rFonts w:ascii="Arial" w:eastAsia="Calibri" w:hAnsi="Arial" w:cs="Arial"/>
          <w:sz w:val="20"/>
        </w:rPr>
        <w:t xml:space="preserve">. </w:t>
      </w:r>
    </w:p>
    <w:p w14:paraId="06B1E2E8" w14:textId="37C3F070" w:rsidR="006D43FB" w:rsidRPr="00701F32" w:rsidRDefault="00A06BE9" w:rsidP="003E014F">
      <w:pPr>
        <w:spacing w:after="160" w:line="259" w:lineRule="auto"/>
        <w:jc w:val="both"/>
        <w:rPr>
          <w:rFonts w:ascii="Arial" w:eastAsia="Calibri" w:hAnsi="Arial" w:cs="Arial"/>
          <w:bCs/>
          <w:sz w:val="20"/>
        </w:rPr>
      </w:pPr>
      <w:r w:rsidRPr="00701F32">
        <w:rPr>
          <w:rFonts w:ascii="Arial" w:eastAsia="Calibri" w:hAnsi="Arial" w:cs="Arial"/>
          <w:bCs/>
          <w:sz w:val="20"/>
        </w:rPr>
        <w:t xml:space="preserve">A continuación, se presenta la información por segmentos pertinente al </w:t>
      </w:r>
      <w:r w:rsidR="009C5DAE">
        <w:rPr>
          <w:rFonts w:ascii="Arial" w:eastAsia="Calibri" w:hAnsi="Arial" w:cs="Arial"/>
          <w:bCs/>
          <w:sz w:val="20"/>
        </w:rPr>
        <w:t>3</w:t>
      </w:r>
      <w:r w:rsidR="007D1083">
        <w:rPr>
          <w:rFonts w:ascii="Arial" w:eastAsia="Calibri" w:hAnsi="Arial" w:cs="Arial"/>
          <w:bCs/>
          <w:sz w:val="20"/>
        </w:rPr>
        <w:t>1</w:t>
      </w:r>
      <w:r w:rsidR="00D26051">
        <w:rPr>
          <w:rFonts w:ascii="Arial" w:eastAsia="Calibri" w:hAnsi="Arial" w:cs="Arial"/>
          <w:bCs/>
          <w:sz w:val="20"/>
        </w:rPr>
        <w:t xml:space="preserve"> de </w:t>
      </w:r>
      <w:r w:rsidR="007D1083">
        <w:rPr>
          <w:rFonts w:ascii="Arial" w:eastAsia="Calibri" w:hAnsi="Arial" w:cs="Arial"/>
          <w:bCs/>
          <w:sz w:val="20"/>
        </w:rPr>
        <w:t>marzo</w:t>
      </w:r>
      <w:r w:rsidR="00D26051">
        <w:rPr>
          <w:rFonts w:ascii="Arial" w:eastAsia="Calibri" w:hAnsi="Arial" w:cs="Arial"/>
          <w:bCs/>
          <w:sz w:val="20"/>
        </w:rPr>
        <w:t xml:space="preserve"> de </w:t>
      </w:r>
      <w:r w:rsidR="00A5409A">
        <w:rPr>
          <w:rFonts w:ascii="Arial" w:eastAsia="Calibri" w:hAnsi="Arial" w:cs="Arial"/>
          <w:bCs/>
          <w:sz w:val="20"/>
        </w:rPr>
        <w:t>2020,</w:t>
      </w:r>
      <w:r w:rsidR="00DC096C">
        <w:rPr>
          <w:rFonts w:ascii="Arial" w:eastAsia="Calibri" w:hAnsi="Arial" w:cs="Arial"/>
          <w:bCs/>
          <w:sz w:val="20"/>
        </w:rPr>
        <w:t xml:space="preserve"> 31 de marzo y 31 de diciembre de</w:t>
      </w:r>
      <w:r w:rsidR="00D26051">
        <w:rPr>
          <w:rFonts w:ascii="Arial" w:eastAsia="Calibri" w:hAnsi="Arial" w:cs="Arial"/>
          <w:bCs/>
          <w:sz w:val="20"/>
        </w:rPr>
        <w:t xml:space="preserve"> </w:t>
      </w:r>
      <w:r w:rsidRPr="00701F32">
        <w:rPr>
          <w:rFonts w:ascii="Arial" w:eastAsia="Calibri" w:hAnsi="Arial" w:cs="Arial"/>
          <w:bCs/>
          <w:sz w:val="20"/>
        </w:rPr>
        <w:t>201</w:t>
      </w:r>
      <w:r w:rsidR="007D1083">
        <w:rPr>
          <w:rFonts w:ascii="Arial" w:eastAsia="Calibri" w:hAnsi="Arial" w:cs="Arial"/>
          <w:bCs/>
          <w:sz w:val="20"/>
        </w:rPr>
        <w:t>9</w:t>
      </w:r>
      <w:r w:rsidRPr="00701F32">
        <w:rPr>
          <w:rFonts w:ascii="Arial" w:eastAsia="Calibri" w:hAnsi="Arial" w:cs="Arial"/>
          <w:bCs/>
          <w:sz w:val="20"/>
        </w:rPr>
        <w:t xml:space="preserve"> respectivamente</w:t>
      </w:r>
      <w:r w:rsidR="00897D90">
        <w:rPr>
          <w:rFonts w:ascii="Arial" w:eastAsia="Calibri" w:hAnsi="Arial" w:cs="Arial"/>
          <w:bCs/>
          <w:sz w:val="20"/>
        </w:rPr>
        <w:t>:</w:t>
      </w:r>
    </w:p>
    <w:tbl>
      <w:tblPr>
        <w:tblW w:w="10342" w:type="dxa"/>
        <w:tblInd w:w="-356" w:type="dxa"/>
        <w:tblCellMar>
          <w:left w:w="70" w:type="dxa"/>
          <w:right w:w="70" w:type="dxa"/>
        </w:tblCellMar>
        <w:tblLook w:val="04A0" w:firstRow="1" w:lastRow="0" w:firstColumn="1" w:lastColumn="0" w:noHBand="0" w:noVBand="1"/>
      </w:tblPr>
      <w:tblGrid>
        <w:gridCol w:w="3356"/>
        <w:gridCol w:w="1271"/>
        <w:gridCol w:w="1262"/>
        <w:gridCol w:w="1218"/>
        <w:gridCol w:w="1070"/>
        <w:gridCol w:w="963"/>
        <w:gridCol w:w="1202"/>
      </w:tblGrid>
      <w:tr w:rsidR="008D322F" w:rsidRPr="0047095D" w14:paraId="2D13138D" w14:textId="77777777" w:rsidTr="00BA7A6B">
        <w:trPr>
          <w:trHeight w:val="445"/>
          <w:tblHeader/>
        </w:trPr>
        <w:tc>
          <w:tcPr>
            <w:tcW w:w="3356" w:type="dxa"/>
            <w:tcBorders>
              <w:top w:val="single" w:sz="4" w:space="0" w:color="auto"/>
              <w:left w:val="single" w:sz="4" w:space="0" w:color="auto"/>
              <w:bottom w:val="single" w:sz="4" w:space="0" w:color="auto"/>
              <w:right w:val="single" w:sz="4" w:space="0" w:color="auto"/>
            </w:tcBorders>
            <w:shd w:val="clear" w:color="000000" w:fill="FFFFFF"/>
            <w:vAlign w:val="center"/>
          </w:tcPr>
          <w:p w14:paraId="715A9474" w14:textId="5F70E967" w:rsidR="008D322F" w:rsidRPr="00BA7A6B" w:rsidRDefault="008D322F" w:rsidP="008D322F">
            <w:pPr>
              <w:ind w:left="-70" w:firstLine="70"/>
              <w:jc w:val="center"/>
              <w:rPr>
                <w:rFonts w:ascii="Arial" w:hAnsi="Arial" w:cs="Arial"/>
                <w:b/>
                <w:bCs/>
                <w:sz w:val="16"/>
                <w:szCs w:val="16"/>
                <w:lang w:val="es-ES_tradnl" w:eastAsia="es-AR"/>
              </w:rPr>
            </w:pPr>
            <w:r w:rsidRPr="00BA7A6B">
              <w:rPr>
                <w:rFonts w:ascii="Arial" w:hAnsi="Arial" w:cs="Arial"/>
                <w:b/>
                <w:bCs/>
                <w:sz w:val="16"/>
                <w:szCs w:val="16"/>
                <w:lang w:eastAsia="es-AR"/>
              </w:rPr>
              <w:t>ACTIVO al 31/03/2020</w:t>
            </w:r>
          </w:p>
        </w:tc>
        <w:tc>
          <w:tcPr>
            <w:tcW w:w="1271" w:type="dxa"/>
            <w:tcBorders>
              <w:top w:val="single" w:sz="4" w:space="0" w:color="auto"/>
              <w:left w:val="nil"/>
              <w:bottom w:val="single" w:sz="4" w:space="0" w:color="auto"/>
              <w:right w:val="single" w:sz="4" w:space="0" w:color="auto"/>
            </w:tcBorders>
            <w:shd w:val="clear" w:color="auto" w:fill="auto"/>
          </w:tcPr>
          <w:p w14:paraId="3AFE0C7E" w14:textId="0B5E098F" w:rsidR="008D322F" w:rsidRPr="00BA7A6B" w:rsidRDefault="008D322F" w:rsidP="00BA7A6B">
            <w:pPr>
              <w:ind w:left="-70"/>
              <w:jc w:val="center"/>
              <w:rPr>
                <w:rFonts w:ascii="Arial" w:hAnsi="Arial" w:cs="Arial"/>
                <w:b/>
                <w:bCs/>
                <w:color w:val="000000"/>
                <w:sz w:val="16"/>
                <w:szCs w:val="16"/>
                <w:lang w:eastAsia="es-AR"/>
              </w:rPr>
            </w:pPr>
            <w:r w:rsidRPr="00BD4914">
              <w:rPr>
                <w:rFonts w:ascii="Arial" w:hAnsi="Arial" w:cs="Arial"/>
                <w:b/>
                <w:bCs/>
                <w:color w:val="000000"/>
                <w:sz w:val="16"/>
                <w:szCs w:val="16"/>
                <w:lang w:eastAsia="es-AR"/>
              </w:rPr>
              <w:t xml:space="preserve">Banca Corporativa </w:t>
            </w:r>
          </w:p>
        </w:tc>
        <w:tc>
          <w:tcPr>
            <w:tcW w:w="1262" w:type="dxa"/>
            <w:tcBorders>
              <w:top w:val="single" w:sz="4" w:space="0" w:color="auto"/>
              <w:left w:val="nil"/>
              <w:bottom w:val="single" w:sz="4" w:space="0" w:color="auto"/>
              <w:right w:val="single" w:sz="4" w:space="0" w:color="auto"/>
            </w:tcBorders>
            <w:shd w:val="clear" w:color="auto" w:fill="auto"/>
          </w:tcPr>
          <w:p w14:paraId="3F321C69" w14:textId="1A27DB26" w:rsidR="008D322F" w:rsidRPr="00BA7A6B" w:rsidRDefault="008D322F" w:rsidP="008D322F">
            <w:pPr>
              <w:ind w:left="-70" w:firstLine="70"/>
              <w:jc w:val="center"/>
              <w:rPr>
                <w:rFonts w:ascii="Arial" w:hAnsi="Arial" w:cs="Arial"/>
                <w:b/>
                <w:bCs/>
                <w:color w:val="000000"/>
                <w:sz w:val="16"/>
                <w:szCs w:val="16"/>
                <w:lang w:eastAsia="es-AR"/>
              </w:rPr>
            </w:pPr>
            <w:r w:rsidRPr="00BD4914">
              <w:rPr>
                <w:rFonts w:ascii="Arial" w:hAnsi="Arial" w:cs="Arial"/>
                <w:b/>
                <w:bCs/>
                <w:color w:val="000000"/>
                <w:sz w:val="16"/>
                <w:szCs w:val="16"/>
                <w:lang w:eastAsia="es-AR"/>
              </w:rPr>
              <w:t xml:space="preserve">Banca </w:t>
            </w:r>
            <w:r>
              <w:rPr>
                <w:rFonts w:ascii="Arial" w:hAnsi="Arial" w:cs="Arial"/>
                <w:b/>
                <w:bCs/>
                <w:color w:val="000000"/>
                <w:sz w:val="16"/>
                <w:szCs w:val="16"/>
                <w:lang w:eastAsia="es-AR"/>
              </w:rPr>
              <w:t>Personas y Negocios</w:t>
            </w:r>
          </w:p>
        </w:tc>
        <w:tc>
          <w:tcPr>
            <w:tcW w:w="1218" w:type="dxa"/>
            <w:tcBorders>
              <w:top w:val="single" w:sz="4" w:space="0" w:color="auto"/>
              <w:left w:val="nil"/>
              <w:bottom w:val="single" w:sz="4" w:space="0" w:color="auto"/>
              <w:right w:val="single" w:sz="4" w:space="0" w:color="auto"/>
            </w:tcBorders>
            <w:shd w:val="clear" w:color="auto" w:fill="auto"/>
            <w:vAlign w:val="center"/>
          </w:tcPr>
          <w:p w14:paraId="0078AB6F"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Tesorería </w:t>
            </w:r>
          </w:p>
        </w:tc>
        <w:tc>
          <w:tcPr>
            <w:tcW w:w="1070" w:type="dxa"/>
            <w:tcBorders>
              <w:top w:val="single" w:sz="4" w:space="0" w:color="auto"/>
              <w:left w:val="nil"/>
              <w:bottom w:val="single" w:sz="4" w:space="0" w:color="auto"/>
              <w:right w:val="single" w:sz="4" w:space="0" w:color="auto"/>
            </w:tcBorders>
            <w:shd w:val="clear" w:color="auto" w:fill="auto"/>
            <w:vAlign w:val="center"/>
          </w:tcPr>
          <w:p w14:paraId="30557926"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Consumo </w:t>
            </w:r>
          </w:p>
        </w:tc>
        <w:tc>
          <w:tcPr>
            <w:tcW w:w="963" w:type="dxa"/>
            <w:tcBorders>
              <w:top w:val="single" w:sz="4" w:space="0" w:color="auto"/>
              <w:left w:val="nil"/>
              <w:bottom w:val="single" w:sz="4" w:space="0" w:color="auto"/>
              <w:right w:val="single" w:sz="4" w:space="0" w:color="auto"/>
            </w:tcBorders>
            <w:shd w:val="clear" w:color="auto" w:fill="auto"/>
            <w:vAlign w:val="center"/>
          </w:tcPr>
          <w:p w14:paraId="5A1566A5"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Ajustes </w:t>
            </w:r>
          </w:p>
        </w:tc>
        <w:tc>
          <w:tcPr>
            <w:tcW w:w="1202" w:type="dxa"/>
            <w:tcBorders>
              <w:top w:val="single" w:sz="4" w:space="0" w:color="auto"/>
              <w:left w:val="nil"/>
              <w:bottom w:val="single" w:sz="4" w:space="0" w:color="auto"/>
              <w:right w:val="single" w:sz="4" w:space="0" w:color="auto"/>
            </w:tcBorders>
            <w:shd w:val="clear" w:color="auto" w:fill="auto"/>
            <w:noWrap/>
            <w:vAlign w:val="center"/>
          </w:tcPr>
          <w:p w14:paraId="020FA3FF"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TOTAL </w:t>
            </w:r>
          </w:p>
        </w:tc>
      </w:tr>
      <w:tr w:rsidR="007D1083" w:rsidRPr="0047095D" w14:paraId="549855E0" w14:textId="77777777" w:rsidTr="00BA7A6B">
        <w:trPr>
          <w:trHeight w:val="242"/>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4FE1DE9E" w14:textId="206BC41A" w:rsidR="007D1083" w:rsidRPr="00493074" w:rsidRDefault="007D1083" w:rsidP="007D1083">
            <w:pPr>
              <w:ind w:left="-70" w:firstLine="70"/>
              <w:rPr>
                <w:rFonts w:ascii="Arial" w:hAnsi="Arial" w:cs="Arial"/>
                <w:b/>
                <w:bCs/>
                <w:sz w:val="16"/>
                <w:szCs w:val="16"/>
                <w:lang w:eastAsia="es-AR"/>
              </w:rPr>
            </w:pPr>
            <w:r w:rsidRPr="00493074">
              <w:rPr>
                <w:rFonts w:ascii="Arial" w:hAnsi="Arial" w:cs="Arial"/>
                <w:sz w:val="16"/>
                <w:szCs w:val="16"/>
              </w:rPr>
              <w:t>Efectivo y Depósitos en Bancos</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27262E70" w14:textId="7C544E34" w:rsidR="007D1083" w:rsidRPr="007D1083" w:rsidRDefault="007D1083" w:rsidP="00190B39">
            <w:pPr>
              <w:ind w:left="-70" w:firstLine="70"/>
              <w:jc w:val="right"/>
              <w:rPr>
                <w:rFonts w:ascii="Arial" w:hAnsi="Arial" w:cs="Arial"/>
                <w:b/>
                <w:sz w:val="16"/>
                <w:szCs w:val="16"/>
              </w:rPr>
            </w:pPr>
            <w:r w:rsidRPr="007D1083">
              <w:rPr>
                <w:rFonts w:ascii="Arial" w:hAnsi="Arial" w:cs="Arial"/>
                <w:b/>
                <w:sz w:val="16"/>
                <w:szCs w:val="16"/>
              </w:rPr>
              <w:t xml:space="preserve"> 467.991 </w:t>
            </w:r>
          </w:p>
        </w:tc>
        <w:tc>
          <w:tcPr>
            <w:tcW w:w="1262" w:type="dxa"/>
            <w:tcBorders>
              <w:top w:val="nil"/>
              <w:left w:val="nil"/>
              <w:bottom w:val="single" w:sz="4" w:space="0" w:color="auto"/>
              <w:right w:val="single" w:sz="4" w:space="0" w:color="auto"/>
            </w:tcBorders>
            <w:shd w:val="clear" w:color="000000" w:fill="FFFFFF"/>
            <w:noWrap/>
            <w:vAlign w:val="bottom"/>
          </w:tcPr>
          <w:p w14:paraId="7ED04CC2" w14:textId="173F339B" w:rsidR="007D1083" w:rsidRPr="007D1083" w:rsidRDefault="007D1083" w:rsidP="00190B39">
            <w:pPr>
              <w:ind w:left="-70" w:firstLine="70"/>
              <w:jc w:val="right"/>
              <w:rPr>
                <w:rFonts w:ascii="Arial" w:hAnsi="Arial" w:cs="Arial"/>
                <w:b/>
                <w:sz w:val="16"/>
                <w:szCs w:val="16"/>
              </w:rPr>
            </w:pPr>
            <w:r w:rsidRPr="007D1083">
              <w:rPr>
                <w:rFonts w:ascii="Arial" w:hAnsi="Arial" w:cs="Arial"/>
                <w:b/>
                <w:sz w:val="16"/>
                <w:szCs w:val="16"/>
              </w:rPr>
              <w:t xml:space="preserve"> 9.052.886 </w:t>
            </w:r>
          </w:p>
        </w:tc>
        <w:tc>
          <w:tcPr>
            <w:tcW w:w="1218" w:type="dxa"/>
            <w:tcBorders>
              <w:top w:val="nil"/>
              <w:left w:val="nil"/>
              <w:bottom w:val="single" w:sz="4" w:space="0" w:color="auto"/>
              <w:right w:val="single" w:sz="4" w:space="0" w:color="auto"/>
            </w:tcBorders>
            <w:shd w:val="clear" w:color="000000" w:fill="FFFFFF"/>
            <w:noWrap/>
            <w:vAlign w:val="bottom"/>
          </w:tcPr>
          <w:p w14:paraId="181DB906" w14:textId="45D99018" w:rsidR="007D1083" w:rsidRPr="007D1083" w:rsidRDefault="007D1083" w:rsidP="00190B39">
            <w:pPr>
              <w:ind w:left="-70" w:firstLine="70"/>
              <w:jc w:val="right"/>
              <w:rPr>
                <w:rFonts w:ascii="Arial" w:hAnsi="Arial" w:cs="Arial"/>
                <w:b/>
                <w:sz w:val="16"/>
                <w:szCs w:val="16"/>
              </w:rPr>
            </w:pPr>
            <w:r w:rsidRPr="007D1083">
              <w:rPr>
                <w:rFonts w:ascii="Arial" w:hAnsi="Arial" w:cs="Arial"/>
                <w:b/>
                <w:sz w:val="16"/>
                <w:szCs w:val="16"/>
              </w:rPr>
              <w:t xml:space="preserve"> 25.641.608 </w:t>
            </w:r>
          </w:p>
        </w:tc>
        <w:tc>
          <w:tcPr>
            <w:tcW w:w="1070" w:type="dxa"/>
            <w:tcBorders>
              <w:top w:val="nil"/>
              <w:left w:val="nil"/>
              <w:bottom w:val="single" w:sz="4" w:space="0" w:color="auto"/>
              <w:right w:val="single" w:sz="4" w:space="0" w:color="auto"/>
            </w:tcBorders>
            <w:shd w:val="clear" w:color="000000" w:fill="FFFFFF"/>
            <w:noWrap/>
            <w:vAlign w:val="bottom"/>
          </w:tcPr>
          <w:p w14:paraId="474FC91C" w14:textId="45CE14C8" w:rsidR="007D1083" w:rsidRPr="007D1083" w:rsidRDefault="007D1083" w:rsidP="00190B39">
            <w:pPr>
              <w:ind w:left="-70" w:firstLine="70"/>
              <w:jc w:val="right"/>
              <w:rPr>
                <w:rFonts w:ascii="Arial" w:hAnsi="Arial" w:cs="Arial"/>
                <w:b/>
                <w:sz w:val="16"/>
                <w:szCs w:val="16"/>
              </w:rPr>
            </w:pPr>
            <w:r w:rsidRPr="007D1083">
              <w:rPr>
                <w:rFonts w:ascii="Arial" w:hAnsi="Arial" w:cs="Arial"/>
                <w:b/>
                <w:sz w:val="16"/>
                <w:szCs w:val="16"/>
              </w:rPr>
              <w:t xml:space="preserve"> 202.375 </w:t>
            </w:r>
          </w:p>
        </w:tc>
        <w:tc>
          <w:tcPr>
            <w:tcW w:w="963" w:type="dxa"/>
            <w:tcBorders>
              <w:top w:val="nil"/>
              <w:left w:val="nil"/>
              <w:bottom w:val="single" w:sz="4" w:space="0" w:color="auto"/>
              <w:right w:val="single" w:sz="4" w:space="0" w:color="auto"/>
            </w:tcBorders>
            <w:shd w:val="clear" w:color="000000" w:fill="FFFFFF"/>
            <w:noWrap/>
            <w:vAlign w:val="bottom"/>
          </w:tcPr>
          <w:p w14:paraId="5AE31E46" w14:textId="31D0F5D0" w:rsidR="007D1083" w:rsidRPr="007D1083" w:rsidRDefault="007D1083" w:rsidP="00190B39">
            <w:pPr>
              <w:ind w:left="-70" w:firstLine="70"/>
              <w:jc w:val="right"/>
              <w:rPr>
                <w:rFonts w:ascii="Arial" w:hAnsi="Arial" w:cs="Arial"/>
                <w:b/>
                <w:sz w:val="16"/>
                <w:szCs w:val="16"/>
              </w:rPr>
            </w:pPr>
            <w:r w:rsidRPr="007D1083">
              <w:rPr>
                <w:rFonts w:ascii="Arial" w:hAnsi="Arial" w:cs="Arial"/>
                <w:b/>
                <w:sz w:val="16"/>
                <w:szCs w:val="16"/>
              </w:rPr>
              <w:t xml:space="preserve"> -44.830 </w:t>
            </w:r>
          </w:p>
        </w:tc>
        <w:tc>
          <w:tcPr>
            <w:tcW w:w="1202" w:type="dxa"/>
            <w:tcBorders>
              <w:top w:val="nil"/>
              <w:left w:val="nil"/>
              <w:bottom w:val="single" w:sz="4" w:space="0" w:color="auto"/>
              <w:right w:val="single" w:sz="4" w:space="0" w:color="auto"/>
            </w:tcBorders>
            <w:shd w:val="clear" w:color="000000" w:fill="FFFFFF"/>
            <w:noWrap/>
            <w:vAlign w:val="bottom"/>
          </w:tcPr>
          <w:p w14:paraId="560D3ADF" w14:textId="2F45350A" w:rsidR="007D1083" w:rsidRPr="00190B39" w:rsidRDefault="007D1083" w:rsidP="00190B39">
            <w:pPr>
              <w:ind w:left="-70" w:firstLine="70"/>
              <w:jc w:val="right"/>
              <w:rPr>
                <w:rFonts w:ascii="Arial" w:hAnsi="Arial" w:cs="Arial"/>
                <w:b/>
                <w:sz w:val="16"/>
                <w:szCs w:val="16"/>
              </w:rPr>
            </w:pPr>
            <w:r w:rsidRPr="00190B39">
              <w:rPr>
                <w:rFonts w:ascii="Arial" w:hAnsi="Arial" w:cs="Arial"/>
                <w:b/>
                <w:sz w:val="16"/>
                <w:szCs w:val="16"/>
              </w:rPr>
              <w:t xml:space="preserve"> 35.320.030 </w:t>
            </w:r>
          </w:p>
        </w:tc>
      </w:tr>
      <w:tr w:rsidR="007D1083" w:rsidRPr="0047095D" w14:paraId="0633A828"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noWrap/>
            <w:vAlign w:val="bottom"/>
          </w:tcPr>
          <w:p w14:paraId="73235C8C" w14:textId="29099509" w:rsidR="007D1083" w:rsidRPr="00493074" w:rsidRDefault="007D1083" w:rsidP="007D1083">
            <w:pPr>
              <w:ind w:left="-70" w:firstLine="70"/>
              <w:rPr>
                <w:rFonts w:ascii="Arial" w:hAnsi="Arial" w:cs="Arial"/>
                <w:sz w:val="16"/>
                <w:szCs w:val="16"/>
                <w:lang w:eastAsia="es-AR"/>
              </w:rPr>
            </w:pPr>
            <w:r w:rsidRPr="00493074">
              <w:rPr>
                <w:rFonts w:ascii="Arial" w:hAnsi="Arial" w:cs="Arial"/>
                <w:sz w:val="16"/>
                <w:szCs w:val="16"/>
              </w:rPr>
              <w:t xml:space="preserve">   Efectivo</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2EA24F76" w14:textId="5D05CBD9"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467.762 </w:t>
            </w:r>
          </w:p>
        </w:tc>
        <w:tc>
          <w:tcPr>
            <w:tcW w:w="1262" w:type="dxa"/>
            <w:tcBorders>
              <w:top w:val="nil"/>
              <w:left w:val="nil"/>
              <w:bottom w:val="single" w:sz="4" w:space="0" w:color="auto"/>
              <w:right w:val="single" w:sz="4" w:space="0" w:color="auto"/>
            </w:tcBorders>
            <w:shd w:val="clear" w:color="000000" w:fill="FFFFFF"/>
            <w:noWrap/>
            <w:vAlign w:val="bottom"/>
          </w:tcPr>
          <w:p w14:paraId="23CF2B39" w14:textId="7F0EFDFA"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9.070.512 </w:t>
            </w:r>
          </w:p>
        </w:tc>
        <w:tc>
          <w:tcPr>
            <w:tcW w:w="1218" w:type="dxa"/>
            <w:tcBorders>
              <w:top w:val="nil"/>
              <w:left w:val="nil"/>
              <w:bottom w:val="single" w:sz="4" w:space="0" w:color="auto"/>
              <w:right w:val="single" w:sz="4" w:space="0" w:color="auto"/>
            </w:tcBorders>
            <w:shd w:val="clear" w:color="000000" w:fill="FFFFFF"/>
            <w:noWrap/>
            <w:vAlign w:val="bottom"/>
          </w:tcPr>
          <w:p w14:paraId="5DB9FCE0" w14:textId="0F476731"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070" w:type="dxa"/>
            <w:tcBorders>
              <w:top w:val="nil"/>
              <w:left w:val="nil"/>
              <w:bottom w:val="single" w:sz="4" w:space="0" w:color="auto"/>
              <w:right w:val="single" w:sz="4" w:space="0" w:color="auto"/>
            </w:tcBorders>
            <w:shd w:val="clear" w:color="000000" w:fill="FFFFFF"/>
            <w:noWrap/>
            <w:vAlign w:val="bottom"/>
          </w:tcPr>
          <w:p w14:paraId="43270F0B" w14:textId="793C1D8D"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11 </w:t>
            </w:r>
          </w:p>
        </w:tc>
        <w:tc>
          <w:tcPr>
            <w:tcW w:w="963" w:type="dxa"/>
            <w:tcBorders>
              <w:top w:val="nil"/>
              <w:left w:val="nil"/>
              <w:bottom w:val="single" w:sz="4" w:space="0" w:color="auto"/>
              <w:right w:val="single" w:sz="4" w:space="0" w:color="auto"/>
            </w:tcBorders>
            <w:shd w:val="clear" w:color="000000" w:fill="FFFFFF"/>
            <w:noWrap/>
            <w:vAlign w:val="bottom"/>
          </w:tcPr>
          <w:p w14:paraId="4C78E187" w14:textId="3861933F"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5470CB4A" w14:textId="3C3B9FED" w:rsidR="007D1083" w:rsidRPr="00190B39" w:rsidRDefault="007D1083" w:rsidP="00190B39">
            <w:pPr>
              <w:ind w:left="-70" w:firstLine="70"/>
              <w:jc w:val="right"/>
              <w:rPr>
                <w:rFonts w:ascii="Arial" w:hAnsi="Arial" w:cs="Arial"/>
                <w:b/>
                <w:sz w:val="16"/>
                <w:szCs w:val="16"/>
              </w:rPr>
            </w:pPr>
            <w:r w:rsidRPr="00190B39">
              <w:rPr>
                <w:rFonts w:ascii="Arial" w:hAnsi="Arial" w:cs="Arial"/>
                <w:b/>
                <w:sz w:val="16"/>
                <w:szCs w:val="16"/>
              </w:rPr>
              <w:t xml:space="preserve"> 9.538.285 </w:t>
            </w:r>
          </w:p>
        </w:tc>
      </w:tr>
      <w:tr w:rsidR="00113899" w:rsidRPr="0047095D" w14:paraId="7873DFDA"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noWrap/>
            <w:vAlign w:val="bottom"/>
          </w:tcPr>
          <w:p w14:paraId="3429ABE6" w14:textId="105FAEDA" w:rsidR="00113899" w:rsidRPr="00493074" w:rsidRDefault="00113899" w:rsidP="003E014F">
            <w:pPr>
              <w:ind w:left="-70" w:firstLine="70"/>
              <w:rPr>
                <w:rFonts w:ascii="Arial" w:hAnsi="Arial" w:cs="Arial"/>
                <w:sz w:val="16"/>
                <w:szCs w:val="16"/>
              </w:rPr>
            </w:pPr>
            <w:r w:rsidRPr="00701F32">
              <w:rPr>
                <w:rFonts w:ascii="Arial" w:hAnsi="Arial" w:cs="Arial"/>
                <w:sz w:val="16"/>
                <w:szCs w:val="16"/>
                <w:lang w:eastAsia="es-AR"/>
              </w:rPr>
              <w:t xml:space="preserve">   Entidades Financieras y corresponsales</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3DB47710" w14:textId="77777777" w:rsidR="00113899" w:rsidRPr="00190B39" w:rsidRDefault="00113899" w:rsidP="00190B39">
            <w:pPr>
              <w:ind w:left="-70" w:firstLine="70"/>
              <w:jc w:val="right"/>
              <w:rPr>
                <w:rFonts w:ascii="Arial" w:hAnsi="Arial" w:cs="Arial"/>
                <w:sz w:val="16"/>
                <w:szCs w:val="16"/>
              </w:rPr>
            </w:pPr>
          </w:p>
        </w:tc>
        <w:tc>
          <w:tcPr>
            <w:tcW w:w="1262" w:type="dxa"/>
            <w:tcBorders>
              <w:top w:val="nil"/>
              <w:left w:val="nil"/>
              <w:bottom w:val="single" w:sz="4" w:space="0" w:color="auto"/>
              <w:right w:val="single" w:sz="4" w:space="0" w:color="auto"/>
            </w:tcBorders>
            <w:shd w:val="clear" w:color="000000" w:fill="FFFFFF"/>
            <w:noWrap/>
            <w:vAlign w:val="bottom"/>
          </w:tcPr>
          <w:p w14:paraId="4F4878DA" w14:textId="77777777" w:rsidR="00113899" w:rsidRPr="00190B39" w:rsidRDefault="00113899" w:rsidP="00190B39">
            <w:pPr>
              <w:ind w:left="-70" w:firstLine="70"/>
              <w:jc w:val="right"/>
              <w:rPr>
                <w:rFonts w:ascii="Arial" w:hAnsi="Arial" w:cs="Arial"/>
                <w:sz w:val="16"/>
                <w:szCs w:val="16"/>
              </w:rPr>
            </w:pPr>
          </w:p>
        </w:tc>
        <w:tc>
          <w:tcPr>
            <w:tcW w:w="1218" w:type="dxa"/>
            <w:tcBorders>
              <w:top w:val="nil"/>
              <w:left w:val="nil"/>
              <w:bottom w:val="single" w:sz="4" w:space="0" w:color="auto"/>
              <w:right w:val="single" w:sz="4" w:space="0" w:color="auto"/>
            </w:tcBorders>
            <w:shd w:val="clear" w:color="000000" w:fill="FFFFFF"/>
            <w:noWrap/>
            <w:vAlign w:val="bottom"/>
          </w:tcPr>
          <w:p w14:paraId="2A512D72" w14:textId="77777777" w:rsidR="00113899" w:rsidRPr="00190B39" w:rsidRDefault="00113899" w:rsidP="00190B39">
            <w:pPr>
              <w:ind w:left="-70" w:firstLine="70"/>
              <w:jc w:val="right"/>
              <w:rPr>
                <w:rFonts w:ascii="Arial" w:hAnsi="Arial" w:cs="Arial"/>
                <w:sz w:val="16"/>
                <w:szCs w:val="16"/>
              </w:rPr>
            </w:pPr>
          </w:p>
        </w:tc>
        <w:tc>
          <w:tcPr>
            <w:tcW w:w="1070" w:type="dxa"/>
            <w:tcBorders>
              <w:top w:val="nil"/>
              <w:left w:val="nil"/>
              <w:bottom w:val="single" w:sz="4" w:space="0" w:color="auto"/>
              <w:right w:val="single" w:sz="4" w:space="0" w:color="auto"/>
            </w:tcBorders>
            <w:shd w:val="clear" w:color="000000" w:fill="FFFFFF"/>
            <w:noWrap/>
            <w:vAlign w:val="bottom"/>
          </w:tcPr>
          <w:p w14:paraId="0749379F" w14:textId="77777777" w:rsidR="00113899" w:rsidRPr="00190B39" w:rsidRDefault="00113899" w:rsidP="00190B39">
            <w:pPr>
              <w:ind w:left="-70" w:firstLine="70"/>
              <w:jc w:val="right"/>
              <w:rPr>
                <w:rFonts w:ascii="Arial" w:hAnsi="Arial" w:cs="Arial"/>
                <w:sz w:val="16"/>
                <w:szCs w:val="16"/>
              </w:rPr>
            </w:pPr>
          </w:p>
        </w:tc>
        <w:tc>
          <w:tcPr>
            <w:tcW w:w="963" w:type="dxa"/>
            <w:tcBorders>
              <w:top w:val="nil"/>
              <w:left w:val="nil"/>
              <w:bottom w:val="single" w:sz="4" w:space="0" w:color="auto"/>
              <w:right w:val="single" w:sz="4" w:space="0" w:color="auto"/>
            </w:tcBorders>
            <w:shd w:val="clear" w:color="000000" w:fill="FFFFFF"/>
            <w:noWrap/>
            <w:vAlign w:val="bottom"/>
          </w:tcPr>
          <w:p w14:paraId="1EE793FF" w14:textId="77777777" w:rsidR="00113899" w:rsidRPr="00190B39" w:rsidRDefault="00113899" w:rsidP="00190B39">
            <w:pPr>
              <w:ind w:left="-70" w:firstLine="70"/>
              <w:jc w:val="right"/>
              <w:rPr>
                <w:rFonts w:ascii="Arial" w:hAnsi="Arial" w:cs="Arial"/>
                <w:sz w:val="16"/>
                <w:szCs w:val="16"/>
              </w:rPr>
            </w:pPr>
          </w:p>
        </w:tc>
        <w:tc>
          <w:tcPr>
            <w:tcW w:w="1202" w:type="dxa"/>
            <w:tcBorders>
              <w:top w:val="nil"/>
              <w:left w:val="nil"/>
              <w:bottom w:val="single" w:sz="4" w:space="0" w:color="auto"/>
              <w:right w:val="single" w:sz="4" w:space="0" w:color="auto"/>
            </w:tcBorders>
            <w:shd w:val="clear" w:color="000000" w:fill="FFFFFF"/>
            <w:noWrap/>
            <w:vAlign w:val="bottom"/>
          </w:tcPr>
          <w:p w14:paraId="3525712F" w14:textId="77777777" w:rsidR="00113899" w:rsidRPr="00190B39" w:rsidRDefault="00113899" w:rsidP="00190B39">
            <w:pPr>
              <w:ind w:left="-70" w:firstLine="70"/>
              <w:jc w:val="right"/>
              <w:rPr>
                <w:rFonts w:ascii="Arial" w:hAnsi="Arial" w:cs="Arial"/>
                <w:b/>
                <w:sz w:val="16"/>
                <w:szCs w:val="16"/>
              </w:rPr>
            </w:pPr>
          </w:p>
        </w:tc>
      </w:tr>
      <w:tr w:rsidR="007D1083" w:rsidRPr="0047095D" w14:paraId="527AB644"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noWrap/>
            <w:vAlign w:val="bottom"/>
          </w:tcPr>
          <w:p w14:paraId="06C6CAF2" w14:textId="7DE5CF49" w:rsidR="007D1083" w:rsidRPr="00493074" w:rsidRDefault="007D1083" w:rsidP="007D1083">
            <w:pPr>
              <w:ind w:left="-70" w:firstLine="70"/>
              <w:rPr>
                <w:rFonts w:ascii="Arial" w:hAnsi="Arial" w:cs="Arial"/>
                <w:sz w:val="16"/>
                <w:szCs w:val="16"/>
                <w:lang w:eastAsia="es-AR"/>
              </w:rPr>
            </w:pPr>
            <w:r w:rsidRPr="00493074">
              <w:rPr>
                <w:rFonts w:ascii="Arial" w:hAnsi="Arial" w:cs="Arial"/>
                <w:sz w:val="16"/>
                <w:szCs w:val="16"/>
              </w:rPr>
              <w:t xml:space="preserve">      BCRA</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1364532C" w14:textId="5FE9317E"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0AD78DBD" w14:textId="34C55D46"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0A653B78" w14:textId="6E8B6639"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24.214.769 </w:t>
            </w:r>
          </w:p>
        </w:tc>
        <w:tc>
          <w:tcPr>
            <w:tcW w:w="1070" w:type="dxa"/>
            <w:tcBorders>
              <w:top w:val="nil"/>
              <w:left w:val="nil"/>
              <w:bottom w:val="single" w:sz="4" w:space="0" w:color="auto"/>
              <w:right w:val="single" w:sz="4" w:space="0" w:color="auto"/>
            </w:tcBorders>
            <w:shd w:val="clear" w:color="000000" w:fill="FFFFFF"/>
            <w:noWrap/>
            <w:vAlign w:val="bottom"/>
          </w:tcPr>
          <w:p w14:paraId="68A719B9" w14:textId="714356CA"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129.752 </w:t>
            </w:r>
          </w:p>
        </w:tc>
        <w:tc>
          <w:tcPr>
            <w:tcW w:w="963" w:type="dxa"/>
            <w:tcBorders>
              <w:top w:val="nil"/>
              <w:left w:val="nil"/>
              <w:bottom w:val="single" w:sz="4" w:space="0" w:color="auto"/>
              <w:right w:val="single" w:sz="4" w:space="0" w:color="auto"/>
            </w:tcBorders>
            <w:shd w:val="clear" w:color="000000" w:fill="FFFFFF"/>
            <w:noWrap/>
            <w:vAlign w:val="bottom"/>
          </w:tcPr>
          <w:p w14:paraId="6D92B1B6" w14:textId="3300340D"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2FB87559" w14:textId="201DAD10" w:rsidR="007D1083" w:rsidRPr="00190B39" w:rsidRDefault="007D1083" w:rsidP="00190B39">
            <w:pPr>
              <w:ind w:left="-70" w:firstLine="70"/>
              <w:jc w:val="right"/>
              <w:rPr>
                <w:rFonts w:ascii="Arial" w:hAnsi="Arial" w:cs="Arial"/>
                <w:b/>
                <w:sz w:val="16"/>
                <w:szCs w:val="16"/>
              </w:rPr>
            </w:pPr>
            <w:r w:rsidRPr="00190B39">
              <w:rPr>
                <w:rFonts w:ascii="Arial" w:hAnsi="Arial" w:cs="Arial"/>
                <w:b/>
                <w:sz w:val="16"/>
                <w:szCs w:val="16"/>
              </w:rPr>
              <w:t xml:space="preserve"> 24.344.521 </w:t>
            </w:r>
          </w:p>
        </w:tc>
      </w:tr>
      <w:tr w:rsidR="007D1083" w:rsidRPr="0047095D" w14:paraId="14372F22" w14:textId="77777777" w:rsidTr="00BA7A6B">
        <w:trPr>
          <w:trHeight w:val="241"/>
        </w:trPr>
        <w:tc>
          <w:tcPr>
            <w:tcW w:w="3356" w:type="dxa"/>
            <w:tcBorders>
              <w:top w:val="nil"/>
              <w:left w:val="single" w:sz="4" w:space="0" w:color="auto"/>
              <w:bottom w:val="single" w:sz="4" w:space="0" w:color="363639"/>
              <w:right w:val="single" w:sz="4" w:space="0" w:color="363639"/>
            </w:tcBorders>
            <w:shd w:val="clear" w:color="000000" w:fill="FFFFFF"/>
            <w:noWrap/>
            <w:vAlign w:val="bottom"/>
          </w:tcPr>
          <w:p w14:paraId="48AF2DDD" w14:textId="7353123F" w:rsidR="007D1083" w:rsidRPr="00493074" w:rsidRDefault="007D1083" w:rsidP="007D1083">
            <w:pPr>
              <w:ind w:left="-70" w:firstLine="70"/>
              <w:rPr>
                <w:rFonts w:ascii="Arial" w:hAnsi="Arial" w:cs="Arial"/>
                <w:sz w:val="16"/>
                <w:szCs w:val="16"/>
                <w:lang w:eastAsia="es-AR"/>
              </w:rPr>
            </w:pPr>
            <w:r w:rsidRPr="00493074">
              <w:rPr>
                <w:rFonts w:ascii="Arial" w:hAnsi="Arial" w:cs="Arial"/>
                <w:sz w:val="16"/>
                <w:szCs w:val="16"/>
              </w:rPr>
              <w:t xml:space="preserve">      Otras del país y del exterior</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037F44FD" w14:textId="639FCC67"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44865F3F" w14:textId="0EFE32DD"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-40.342 </w:t>
            </w:r>
          </w:p>
        </w:tc>
        <w:tc>
          <w:tcPr>
            <w:tcW w:w="1218" w:type="dxa"/>
            <w:tcBorders>
              <w:top w:val="nil"/>
              <w:left w:val="nil"/>
              <w:bottom w:val="single" w:sz="4" w:space="0" w:color="auto"/>
              <w:right w:val="single" w:sz="4" w:space="0" w:color="auto"/>
            </w:tcBorders>
            <w:shd w:val="clear" w:color="000000" w:fill="FFFFFF"/>
            <w:noWrap/>
            <w:vAlign w:val="bottom"/>
          </w:tcPr>
          <w:p w14:paraId="7200DCB5" w14:textId="0981B4EB"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1.423.509 </w:t>
            </w:r>
          </w:p>
        </w:tc>
        <w:tc>
          <w:tcPr>
            <w:tcW w:w="1070" w:type="dxa"/>
            <w:tcBorders>
              <w:top w:val="nil"/>
              <w:left w:val="nil"/>
              <w:bottom w:val="single" w:sz="4" w:space="0" w:color="auto"/>
              <w:right w:val="single" w:sz="4" w:space="0" w:color="auto"/>
            </w:tcBorders>
            <w:shd w:val="clear" w:color="000000" w:fill="FFFFFF"/>
            <w:noWrap/>
            <w:vAlign w:val="bottom"/>
          </w:tcPr>
          <w:p w14:paraId="26201061" w14:textId="1AAD27CB"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72.612 </w:t>
            </w:r>
          </w:p>
        </w:tc>
        <w:tc>
          <w:tcPr>
            <w:tcW w:w="963" w:type="dxa"/>
            <w:tcBorders>
              <w:top w:val="nil"/>
              <w:left w:val="nil"/>
              <w:bottom w:val="single" w:sz="4" w:space="0" w:color="auto"/>
              <w:right w:val="single" w:sz="4" w:space="0" w:color="auto"/>
            </w:tcBorders>
            <w:shd w:val="clear" w:color="000000" w:fill="FFFFFF"/>
            <w:noWrap/>
            <w:vAlign w:val="bottom"/>
          </w:tcPr>
          <w:p w14:paraId="37212032" w14:textId="44DB330E"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-44.830 </w:t>
            </w:r>
          </w:p>
        </w:tc>
        <w:tc>
          <w:tcPr>
            <w:tcW w:w="1202" w:type="dxa"/>
            <w:tcBorders>
              <w:top w:val="nil"/>
              <w:left w:val="nil"/>
              <w:bottom w:val="single" w:sz="4" w:space="0" w:color="auto"/>
              <w:right w:val="single" w:sz="4" w:space="0" w:color="auto"/>
            </w:tcBorders>
            <w:shd w:val="clear" w:color="000000" w:fill="FFFFFF"/>
            <w:noWrap/>
            <w:vAlign w:val="bottom"/>
          </w:tcPr>
          <w:p w14:paraId="0CDCF888" w14:textId="19520A83" w:rsidR="007D1083" w:rsidRPr="00190B39" w:rsidRDefault="007D1083" w:rsidP="00190B39">
            <w:pPr>
              <w:ind w:left="-70" w:firstLine="70"/>
              <w:jc w:val="right"/>
              <w:rPr>
                <w:rFonts w:ascii="Arial" w:hAnsi="Arial" w:cs="Arial"/>
                <w:b/>
                <w:sz w:val="16"/>
                <w:szCs w:val="16"/>
              </w:rPr>
            </w:pPr>
            <w:r w:rsidRPr="00190B39">
              <w:rPr>
                <w:rFonts w:ascii="Arial" w:hAnsi="Arial" w:cs="Arial"/>
                <w:b/>
                <w:sz w:val="16"/>
                <w:szCs w:val="16"/>
              </w:rPr>
              <w:t xml:space="preserve"> 1.410.949 </w:t>
            </w:r>
          </w:p>
        </w:tc>
      </w:tr>
      <w:tr w:rsidR="007D1083" w:rsidRPr="0047095D" w14:paraId="06147C5E"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noWrap/>
            <w:vAlign w:val="bottom"/>
          </w:tcPr>
          <w:p w14:paraId="2417E7E5" w14:textId="13D14681" w:rsidR="007D1083" w:rsidRPr="00493074" w:rsidRDefault="007D1083" w:rsidP="007D1083">
            <w:pPr>
              <w:ind w:left="-70" w:firstLine="70"/>
              <w:rPr>
                <w:rFonts w:ascii="Arial" w:hAnsi="Arial" w:cs="Arial"/>
                <w:sz w:val="16"/>
                <w:szCs w:val="16"/>
                <w:lang w:eastAsia="es-AR"/>
              </w:rPr>
            </w:pPr>
            <w:r w:rsidRPr="00493074">
              <w:rPr>
                <w:rFonts w:ascii="Arial" w:hAnsi="Arial" w:cs="Arial"/>
                <w:sz w:val="16"/>
                <w:szCs w:val="16"/>
              </w:rPr>
              <w:t xml:space="preserve">   Otros</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44280D0A" w14:textId="2FAA65A3"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229 </w:t>
            </w:r>
          </w:p>
        </w:tc>
        <w:tc>
          <w:tcPr>
            <w:tcW w:w="1262" w:type="dxa"/>
            <w:tcBorders>
              <w:top w:val="nil"/>
              <w:left w:val="nil"/>
              <w:bottom w:val="single" w:sz="4" w:space="0" w:color="auto"/>
              <w:right w:val="single" w:sz="4" w:space="0" w:color="auto"/>
            </w:tcBorders>
            <w:shd w:val="clear" w:color="000000" w:fill="FFFFFF"/>
            <w:noWrap/>
            <w:vAlign w:val="bottom"/>
          </w:tcPr>
          <w:p w14:paraId="4F891219" w14:textId="115926F9"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22.716 </w:t>
            </w:r>
          </w:p>
        </w:tc>
        <w:tc>
          <w:tcPr>
            <w:tcW w:w="1218" w:type="dxa"/>
            <w:tcBorders>
              <w:top w:val="nil"/>
              <w:left w:val="nil"/>
              <w:bottom w:val="single" w:sz="4" w:space="0" w:color="auto"/>
              <w:right w:val="single" w:sz="4" w:space="0" w:color="auto"/>
            </w:tcBorders>
            <w:shd w:val="clear" w:color="000000" w:fill="FFFFFF"/>
            <w:noWrap/>
            <w:vAlign w:val="bottom"/>
          </w:tcPr>
          <w:p w14:paraId="58881E46" w14:textId="333C4B1A"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3.330 </w:t>
            </w:r>
          </w:p>
        </w:tc>
        <w:tc>
          <w:tcPr>
            <w:tcW w:w="1070" w:type="dxa"/>
            <w:tcBorders>
              <w:top w:val="nil"/>
              <w:left w:val="nil"/>
              <w:bottom w:val="single" w:sz="4" w:space="0" w:color="auto"/>
              <w:right w:val="single" w:sz="4" w:space="0" w:color="auto"/>
            </w:tcBorders>
            <w:shd w:val="clear" w:color="000000" w:fill="FFFFFF"/>
            <w:noWrap/>
            <w:vAlign w:val="bottom"/>
          </w:tcPr>
          <w:p w14:paraId="78FE516C" w14:textId="1B6BB42A"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963" w:type="dxa"/>
            <w:tcBorders>
              <w:top w:val="nil"/>
              <w:left w:val="nil"/>
              <w:bottom w:val="single" w:sz="4" w:space="0" w:color="auto"/>
              <w:right w:val="single" w:sz="4" w:space="0" w:color="auto"/>
            </w:tcBorders>
            <w:shd w:val="clear" w:color="000000" w:fill="FFFFFF"/>
            <w:noWrap/>
            <w:vAlign w:val="bottom"/>
          </w:tcPr>
          <w:p w14:paraId="4F868EF3" w14:textId="1D28B616" w:rsidR="007D1083" w:rsidRPr="00190B39" w:rsidRDefault="007D1083"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7826DDB6" w14:textId="11F71E66" w:rsidR="007D1083" w:rsidRPr="00190B39" w:rsidRDefault="007D1083" w:rsidP="00190B39">
            <w:pPr>
              <w:ind w:left="-70" w:firstLine="70"/>
              <w:jc w:val="right"/>
              <w:rPr>
                <w:rFonts w:ascii="Arial" w:hAnsi="Arial" w:cs="Arial"/>
                <w:b/>
                <w:sz w:val="16"/>
                <w:szCs w:val="16"/>
              </w:rPr>
            </w:pPr>
            <w:r w:rsidRPr="00190B39">
              <w:rPr>
                <w:rFonts w:ascii="Arial" w:hAnsi="Arial" w:cs="Arial"/>
                <w:b/>
                <w:sz w:val="16"/>
                <w:szCs w:val="16"/>
              </w:rPr>
              <w:t xml:space="preserve"> 26.275 </w:t>
            </w:r>
          </w:p>
        </w:tc>
      </w:tr>
      <w:tr w:rsidR="00190B39" w:rsidRPr="0047095D" w14:paraId="5DB855FD" w14:textId="77777777" w:rsidTr="00BA7A6B">
        <w:trPr>
          <w:trHeight w:val="195"/>
        </w:trPr>
        <w:tc>
          <w:tcPr>
            <w:tcW w:w="3356" w:type="dxa"/>
            <w:tcBorders>
              <w:top w:val="nil"/>
              <w:left w:val="single" w:sz="4" w:space="0" w:color="auto"/>
              <w:bottom w:val="single" w:sz="4" w:space="0" w:color="363639"/>
              <w:right w:val="single" w:sz="4" w:space="0" w:color="363639"/>
            </w:tcBorders>
            <w:shd w:val="clear" w:color="000000" w:fill="FFFFFF"/>
            <w:noWrap/>
            <w:vAlign w:val="bottom"/>
          </w:tcPr>
          <w:p w14:paraId="5AF3CF54" w14:textId="028B8687" w:rsidR="00190B39" w:rsidRPr="00493074" w:rsidRDefault="00190B39" w:rsidP="00190B39">
            <w:pPr>
              <w:ind w:left="-70" w:firstLine="70"/>
              <w:rPr>
                <w:rFonts w:ascii="Arial" w:hAnsi="Arial" w:cs="Arial"/>
                <w:sz w:val="16"/>
                <w:szCs w:val="16"/>
                <w:lang w:eastAsia="es-AR"/>
              </w:rPr>
            </w:pPr>
            <w:r w:rsidRPr="00493074">
              <w:rPr>
                <w:rFonts w:ascii="Arial" w:hAnsi="Arial" w:cs="Arial"/>
                <w:sz w:val="16"/>
                <w:szCs w:val="16"/>
              </w:rPr>
              <w:t>Títulos de deuda a valor razonable con cambios en resultados</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5665B7A9" w14:textId="7D5BF65E"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1743A8B0" w14:textId="5297AE94"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19AB16B2" w14:textId="5443A923"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260.060 </w:t>
            </w:r>
          </w:p>
        </w:tc>
        <w:tc>
          <w:tcPr>
            <w:tcW w:w="1070" w:type="dxa"/>
            <w:tcBorders>
              <w:top w:val="nil"/>
              <w:left w:val="nil"/>
              <w:bottom w:val="single" w:sz="4" w:space="0" w:color="auto"/>
              <w:right w:val="single" w:sz="4" w:space="0" w:color="auto"/>
            </w:tcBorders>
            <w:shd w:val="clear" w:color="000000" w:fill="FFFFFF"/>
            <w:noWrap/>
            <w:vAlign w:val="bottom"/>
          </w:tcPr>
          <w:p w14:paraId="53926B54" w14:textId="5773BC5D"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101.022 </w:t>
            </w:r>
          </w:p>
        </w:tc>
        <w:tc>
          <w:tcPr>
            <w:tcW w:w="963" w:type="dxa"/>
            <w:tcBorders>
              <w:top w:val="nil"/>
              <w:left w:val="nil"/>
              <w:bottom w:val="single" w:sz="4" w:space="0" w:color="auto"/>
              <w:right w:val="single" w:sz="4" w:space="0" w:color="auto"/>
            </w:tcBorders>
            <w:shd w:val="clear" w:color="000000" w:fill="FFFFFF"/>
            <w:noWrap/>
            <w:vAlign w:val="bottom"/>
          </w:tcPr>
          <w:p w14:paraId="332C45FD" w14:textId="50546AC9"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4485D7E5" w14:textId="539F0D0D"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361.082 </w:t>
            </w:r>
          </w:p>
        </w:tc>
      </w:tr>
      <w:tr w:rsidR="00190B39" w:rsidRPr="0047095D" w14:paraId="7018C264" w14:textId="77777777" w:rsidTr="00BA7A6B">
        <w:trPr>
          <w:trHeight w:val="196"/>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03C7B709" w14:textId="5743F0B4" w:rsidR="00190B39" w:rsidRPr="00493074" w:rsidRDefault="00190B39" w:rsidP="00190B39">
            <w:pPr>
              <w:ind w:left="-70" w:firstLine="70"/>
              <w:rPr>
                <w:rFonts w:ascii="Arial" w:hAnsi="Arial" w:cs="Arial"/>
                <w:b/>
                <w:bCs/>
                <w:sz w:val="16"/>
                <w:szCs w:val="16"/>
                <w:lang w:eastAsia="es-AR"/>
              </w:rPr>
            </w:pPr>
            <w:r w:rsidRPr="00493074">
              <w:rPr>
                <w:rFonts w:ascii="Arial" w:hAnsi="Arial" w:cs="Arial"/>
                <w:sz w:val="16"/>
                <w:szCs w:val="16"/>
              </w:rPr>
              <w:t xml:space="preserve">Instrumentos derivados </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1FC58BDE" w14:textId="6C163685"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789394F1" w14:textId="66DEFA4E"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50C5E4D3" w14:textId="0484F4D6"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143.424 </w:t>
            </w:r>
          </w:p>
        </w:tc>
        <w:tc>
          <w:tcPr>
            <w:tcW w:w="1070" w:type="dxa"/>
            <w:tcBorders>
              <w:top w:val="nil"/>
              <w:left w:val="nil"/>
              <w:bottom w:val="single" w:sz="4" w:space="0" w:color="auto"/>
              <w:right w:val="single" w:sz="4" w:space="0" w:color="auto"/>
            </w:tcBorders>
            <w:shd w:val="clear" w:color="000000" w:fill="FFFFFF"/>
            <w:noWrap/>
            <w:vAlign w:val="bottom"/>
          </w:tcPr>
          <w:p w14:paraId="52E8557B" w14:textId="62A51DEA"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963" w:type="dxa"/>
            <w:tcBorders>
              <w:top w:val="nil"/>
              <w:left w:val="nil"/>
              <w:bottom w:val="single" w:sz="4" w:space="0" w:color="auto"/>
              <w:right w:val="single" w:sz="4" w:space="0" w:color="auto"/>
            </w:tcBorders>
            <w:shd w:val="clear" w:color="000000" w:fill="FFFFFF"/>
            <w:noWrap/>
            <w:vAlign w:val="bottom"/>
          </w:tcPr>
          <w:p w14:paraId="36243FED" w14:textId="1A156731"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27B544AF" w14:textId="0B225BBF"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143.424 </w:t>
            </w:r>
          </w:p>
        </w:tc>
      </w:tr>
      <w:tr w:rsidR="00190B39" w:rsidRPr="0047095D" w14:paraId="55978508"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00E667D9" w14:textId="1DF3C548" w:rsidR="00190B39" w:rsidRPr="00493074" w:rsidRDefault="00190B39" w:rsidP="00190B39">
            <w:pPr>
              <w:ind w:left="-70" w:firstLine="70"/>
              <w:rPr>
                <w:rFonts w:ascii="Arial" w:hAnsi="Arial" w:cs="Arial"/>
                <w:b/>
                <w:bCs/>
                <w:sz w:val="16"/>
                <w:szCs w:val="16"/>
                <w:lang w:eastAsia="es-AR"/>
              </w:rPr>
            </w:pPr>
            <w:r w:rsidRPr="00493074">
              <w:rPr>
                <w:rFonts w:ascii="Arial" w:hAnsi="Arial" w:cs="Arial"/>
                <w:sz w:val="16"/>
                <w:szCs w:val="16"/>
              </w:rPr>
              <w:t xml:space="preserve">Operaciones de pase  </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222AAA81" w14:textId="1ABBF603"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67 </w:t>
            </w:r>
          </w:p>
        </w:tc>
        <w:tc>
          <w:tcPr>
            <w:tcW w:w="1262" w:type="dxa"/>
            <w:tcBorders>
              <w:top w:val="nil"/>
              <w:left w:val="nil"/>
              <w:bottom w:val="single" w:sz="4" w:space="0" w:color="auto"/>
              <w:right w:val="single" w:sz="4" w:space="0" w:color="auto"/>
            </w:tcBorders>
            <w:shd w:val="clear" w:color="000000" w:fill="FFFFFF"/>
            <w:noWrap/>
            <w:vAlign w:val="bottom"/>
          </w:tcPr>
          <w:p w14:paraId="59DBD2F5" w14:textId="31AADEB9"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133 </w:t>
            </w:r>
          </w:p>
        </w:tc>
        <w:tc>
          <w:tcPr>
            <w:tcW w:w="1218" w:type="dxa"/>
            <w:tcBorders>
              <w:top w:val="nil"/>
              <w:left w:val="nil"/>
              <w:bottom w:val="single" w:sz="4" w:space="0" w:color="auto"/>
              <w:right w:val="single" w:sz="4" w:space="0" w:color="auto"/>
            </w:tcBorders>
            <w:shd w:val="clear" w:color="000000" w:fill="FFFFFF"/>
            <w:noWrap/>
            <w:vAlign w:val="bottom"/>
          </w:tcPr>
          <w:p w14:paraId="6138D9E8" w14:textId="46028F27"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78.943 </w:t>
            </w:r>
          </w:p>
        </w:tc>
        <w:tc>
          <w:tcPr>
            <w:tcW w:w="1070" w:type="dxa"/>
            <w:tcBorders>
              <w:top w:val="nil"/>
              <w:left w:val="nil"/>
              <w:bottom w:val="single" w:sz="4" w:space="0" w:color="auto"/>
              <w:right w:val="single" w:sz="4" w:space="0" w:color="auto"/>
            </w:tcBorders>
            <w:shd w:val="clear" w:color="000000" w:fill="FFFFFF"/>
            <w:noWrap/>
            <w:vAlign w:val="bottom"/>
          </w:tcPr>
          <w:p w14:paraId="5D0C73CB" w14:textId="428035EC"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963" w:type="dxa"/>
            <w:tcBorders>
              <w:top w:val="nil"/>
              <w:left w:val="nil"/>
              <w:bottom w:val="single" w:sz="4" w:space="0" w:color="auto"/>
              <w:right w:val="single" w:sz="4" w:space="0" w:color="auto"/>
            </w:tcBorders>
            <w:shd w:val="clear" w:color="000000" w:fill="FFFFFF"/>
            <w:noWrap/>
            <w:vAlign w:val="bottom"/>
          </w:tcPr>
          <w:p w14:paraId="41C31CC5" w14:textId="0A90489D"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75338C3A" w14:textId="636F6991"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79.143 </w:t>
            </w:r>
          </w:p>
        </w:tc>
      </w:tr>
      <w:tr w:rsidR="00190B39" w:rsidRPr="0047095D" w14:paraId="0DF676FE"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02A537C7" w14:textId="68B5DBA4" w:rsidR="00190B39" w:rsidRPr="00493074" w:rsidRDefault="00190B39" w:rsidP="00190B39">
            <w:pPr>
              <w:ind w:left="-70" w:firstLine="70"/>
              <w:rPr>
                <w:rFonts w:ascii="Arial" w:hAnsi="Arial" w:cs="Arial"/>
                <w:b/>
                <w:bCs/>
                <w:sz w:val="16"/>
                <w:szCs w:val="16"/>
                <w:lang w:eastAsia="es-AR"/>
              </w:rPr>
            </w:pPr>
            <w:r w:rsidRPr="00493074">
              <w:rPr>
                <w:rFonts w:ascii="Arial" w:hAnsi="Arial" w:cs="Arial"/>
                <w:sz w:val="16"/>
                <w:szCs w:val="16"/>
              </w:rPr>
              <w:t xml:space="preserve">Otros activos financieros </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17598DF5" w14:textId="449AF81F"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167.098 </w:t>
            </w:r>
          </w:p>
        </w:tc>
        <w:tc>
          <w:tcPr>
            <w:tcW w:w="1262" w:type="dxa"/>
            <w:tcBorders>
              <w:top w:val="nil"/>
              <w:left w:val="nil"/>
              <w:bottom w:val="single" w:sz="4" w:space="0" w:color="auto"/>
              <w:right w:val="single" w:sz="4" w:space="0" w:color="auto"/>
            </w:tcBorders>
            <w:shd w:val="clear" w:color="000000" w:fill="FFFFFF"/>
            <w:noWrap/>
            <w:vAlign w:val="bottom"/>
          </w:tcPr>
          <w:p w14:paraId="61A7C07A" w14:textId="59BF7E75"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346.808 </w:t>
            </w:r>
          </w:p>
        </w:tc>
        <w:tc>
          <w:tcPr>
            <w:tcW w:w="1218" w:type="dxa"/>
            <w:tcBorders>
              <w:top w:val="nil"/>
              <w:left w:val="nil"/>
              <w:bottom w:val="single" w:sz="4" w:space="0" w:color="auto"/>
              <w:right w:val="single" w:sz="4" w:space="0" w:color="auto"/>
            </w:tcBorders>
            <w:shd w:val="clear" w:color="000000" w:fill="FFFFFF"/>
            <w:noWrap/>
            <w:vAlign w:val="bottom"/>
          </w:tcPr>
          <w:p w14:paraId="7B8FFC4E" w14:textId="54DB1DED"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508.807 </w:t>
            </w:r>
          </w:p>
        </w:tc>
        <w:tc>
          <w:tcPr>
            <w:tcW w:w="1070" w:type="dxa"/>
            <w:tcBorders>
              <w:top w:val="nil"/>
              <w:left w:val="nil"/>
              <w:bottom w:val="single" w:sz="4" w:space="0" w:color="auto"/>
              <w:right w:val="single" w:sz="4" w:space="0" w:color="auto"/>
            </w:tcBorders>
            <w:shd w:val="clear" w:color="000000" w:fill="FFFFFF"/>
            <w:noWrap/>
            <w:vAlign w:val="bottom"/>
          </w:tcPr>
          <w:p w14:paraId="5DCF436E" w14:textId="34EBA9DB"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260.677 </w:t>
            </w:r>
          </w:p>
        </w:tc>
        <w:tc>
          <w:tcPr>
            <w:tcW w:w="963" w:type="dxa"/>
            <w:tcBorders>
              <w:top w:val="nil"/>
              <w:left w:val="nil"/>
              <w:bottom w:val="single" w:sz="4" w:space="0" w:color="auto"/>
              <w:right w:val="single" w:sz="4" w:space="0" w:color="auto"/>
            </w:tcBorders>
            <w:shd w:val="clear" w:color="000000" w:fill="FFFFFF"/>
            <w:noWrap/>
            <w:vAlign w:val="bottom"/>
          </w:tcPr>
          <w:p w14:paraId="735ABFFB" w14:textId="5FA30497" w:rsidR="00190B39" w:rsidRPr="00190B39" w:rsidRDefault="00190B39" w:rsidP="00190B39">
            <w:pPr>
              <w:ind w:left="-70" w:firstLine="70"/>
              <w:jc w:val="right"/>
              <w:rPr>
                <w:rFonts w:ascii="Arial" w:hAnsi="Arial" w:cs="Arial"/>
                <w:sz w:val="16"/>
                <w:szCs w:val="16"/>
              </w:rPr>
            </w:pPr>
            <w:r w:rsidRPr="00190B39">
              <w:rPr>
                <w:rFonts w:ascii="Arial" w:hAnsi="Arial" w:cs="Arial"/>
                <w:sz w:val="16"/>
                <w:szCs w:val="16"/>
              </w:rPr>
              <w:t xml:space="preserve"> -446 </w:t>
            </w:r>
          </w:p>
        </w:tc>
        <w:tc>
          <w:tcPr>
            <w:tcW w:w="1202" w:type="dxa"/>
            <w:tcBorders>
              <w:top w:val="nil"/>
              <w:left w:val="nil"/>
              <w:bottom w:val="single" w:sz="4" w:space="0" w:color="auto"/>
              <w:right w:val="single" w:sz="4" w:space="0" w:color="auto"/>
            </w:tcBorders>
            <w:shd w:val="clear" w:color="000000" w:fill="FFFFFF"/>
            <w:noWrap/>
            <w:vAlign w:val="bottom"/>
          </w:tcPr>
          <w:p w14:paraId="7B83E509" w14:textId="2AD0950A"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1.282.944 </w:t>
            </w:r>
          </w:p>
        </w:tc>
      </w:tr>
      <w:tr w:rsidR="00190B39" w:rsidRPr="0047095D" w14:paraId="0DC1D8CD"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30D75667" w14:textId="661BD25E" w:rsidR="00190B39" w:rsidRPr="00493074" w:rsidRDefault="00190B39" w:rsidP="00190B39">
            <w:pPr>
              <w:ind w:left="-70" w:firstLine="70"/>
              <w:rPr>
                <w:rFonts w:ascii="Arial" w:hAnsi="Arial" w:cs="Arial"/>
                <w:b/>
                <w:bCs/>
                <w:sz w:val="16"/>
                <w:szCs w:val="16"/>
                <w:lang w:eastAsia="es-AR"/>
              </w:rPr>
            </w:pPr>
            <w:r w:rsidRPr="00493074">
              <w:rPr>
                <w:rFonts w:ascii="Arial" w:hAnsi="Arial" w:cs="Arial"/>
                <w:sz w:val="16"/>
                <w:szCs w:val="16"/>
              </w:rPr>
              <w:t xml:space="preserve">Préstamos y otras financiaciones </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501A86BB" w14:textId="5745C625"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37.904.985 </w:t>
            </w:r>
          </w:p>
        </w:tc>
        <w:tc>
          <w:tcPr>
            <w:tcW w:w="1262" w:type="dxa"/>
            <w:tcBorders>
              <w:top w:val="nil"/>
              <w:left w:val="nil"/>
              <w:bottom w:val="single" w:sz="4" w:space="0" w:color="auto"/>
              <w:right w:val="single" w:sz="4" w:space="0" w:color="auto"/>
            </w:tcBorders>
            <w:shd w:val="clear" w:color="000000" w:fill="FFFFFF"/>
            <w:noWrap/>
            <w:vAlign w:val="bottom"/>
          </w:tcPr>
          <w:p w14:paraId="24AFA18E" w14:textId="7121E726"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41.954.159 </w:t>
            </w:r>
          </w:p>
        </w:tc>
        <w:tc>
          <w:tcPr>
            <w:tcW w:w="1218" w:type="dxa"/>
            <w:tcBorders>
              <w:top w:val="nil"/>
              <w:left w:val="nil"/>
              <w:bottom w:val="single" w:sz="4" w:space="0" w:color="auto"/>
              <w:right w:val="single" w:sz="4" w:space="0" w:color="auto"/>
            </w:tcBorders>
            <w:shd w:val="clear" w:color="000000" w:fill="FFFFFF"/>
            <w:noWrap/>
            <w:vAlign w:val="bottom"/>
          </w:tcPr>
          <w:p w14:paraId="00D59477" w14:textId="6B6D2779"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2.819.258 </w:t>
            </w:r>
          </w:p>
        </w:tc>
        <w:tc>
          <w:tcPr>
            <w:tcW w:w="1070" w:type="dxa"/>
            <w:tcBorders>
              <w:top w:val="nil"/>
              <w:left w:val="nil"/>
              <w:bottom w:val="single" w:sz="4" w:space="0" w:color="auto"/>
              <w:right w:val="single" w:sz="4" w:space="0" w:color="auto"/>
            </w:tcBorders>
            <w:shd w:val="clear" w:color="000000" w:fill="FFFFFF"/>
            <w:noWrap/>
            <w:vAlign w:val="bottom"/>
          </w:tcPr>
          <w:p w14:paraId="1CAD3E79" w14:textId="172746AF"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5.896.543 </w:t>
            </w:r>
          </w:p>
        </w:tc>
        <w:tc>
          <w:tcPr>
            <w:tcW w:w="963" w:type="dxa"/>
            <w:tcBorders>
              <w:top w:val="nil"/>
              <w:left w:val="nil"/>
              <w:bottom w:val="single" w:sz="4" w:space="0" w:color="auto"/>
              <w:right w:val="single" w:sz="4" w:space="0" w:color="auto"/>
            </w:tcBorders>
            <w:shd w:val="clear" w:color="000000" w:fill="FFFFFF"/>
            <w:noWrap/>
            <w:vAlign w:val="bottom"/>
          </w:tcPr>
          <w:p w14:paraId="3D426600" w14:textId="25ED7302"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-362.786 </w:t>
            </w:r>
          </w:p>
        </w:tc>
        <w:tc>
          <w:tcPr>
            <w:tcW w:w="1202" w:type="dxa"/>
            <w:tcBorders>
              <w:top w:val="nil"/>
              <w:left w:val="nil"/>
              <w:bottom w:val="single" w:sz="4" w:space="0" w:color="auto"/>
              <w:right w:val="single" w:sz="4" w:space="0" w:color="auto"/>
            </w:tcBorders>
            <w:shd w:val="clear" w:color="000000" w:fill="FFFFFF"/>
            <w:noWrap/>
            <w:vAlign w:val="bottom"/>
          </w:tcPr>
          <w:p w14:paraId="374FDC43" w14:textId="42F81B76"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88.212.159 </w:t>
            </w:r>
          </w:p>
        </w:tc>
      </w:tr>
      <w:tr w:rsidR="00190B39" w:rsidRPr="0047095D" w14:paraId="06EF937A" w14:textId="77777777" w:rsidTr="00BA7A6B">
        <w:trPr>
          <w:trHeight w:val="77"/>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60A6D782" w14:textId="58AAA152" w:rsidR="00190B39" w:rsidRPr="00493074" w:rsidRDefault="00190B39" w:rsidP="00190B39">
            <w:pPr>
              <w:ind w:left="-70" w:firstLine="70"/>
              <w:rPr>
                <w:rFonts w:ascii="Arial" w:hAnsi="Arial" w:cs="Arial"/>
                <w:b/>
                <w:bCs/>
                <w:sz w:val="16"/>
                <w:szCs w:val="16"/>
                <w:lang w:eastAsia="es-AR"/>
              </w:rPr>
            </w:pPr>
            <w:r w:rsidRPr="00493074">
              <w:rPr>
                <w:rFonts w:ascii="Arial" w:hAnsi="Arial" w:cs="Arial"/>
                <w:sz w:val="16"/>
                <w:szCs w:val="16"/>
              </w:rPr>
              <w:t xml:space="preserve">   Sector público no financiero</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7BA6886A" w14:textId="74E55783" w:rsidR="00190B39" w:rsidRPr="003E014F" w:rsidRDefault="00190B39" w:rsidP="00190B39">
            <w:pPr>
              <w:ind w:left="-70" w:firstLine="70"/>
              <w:jc w:val="right"/>
              <w:rPr>
                <w:rFonts w:ascii="Arial" w:hAnsi="Arial" w:cs="Arial"/>
                <w:sz w:val="16"/>
                <w:szCs w:val="16"/>
              </w:rPr>
            </w:pPr>
            <w:r w:rsidRPr="00190B39">
              <w:rPr>
                <w:rFonts w:ascii="Arial" w:hAnsi="Arial" w:cs="Arial"/>
                <w:sz w:val="16"/>
                <w:szCs w:val="16"/>
              </w:rPr>
              <w:t xml:space="preserve"> 879 </w:t>
            </w:r>
          </w:p>
        </w:tc>
        <w:tc>
          <w:tcPr>
            <w:tcW w:w="1262" w:type="dxa"/>
            <w:tcBorders>
              <w:top w:val="nil"/>
              <w:left w:val="nil"/>
              <w:bottom w:val="single" w:sz="4" w:space="0" w:color="auto"/>
              <w:right w:val="single" w:sz="4" w:space="0" w:color="auto"/>
            </w:tcBorders>
            <w:shd w:val="clear" w:color="000000" w:fill="FFFFFF"/>
            <w:noWrap/>
            <w:vAlign w:val="bottom"/>
          </w:tcPr>
          <w:p w14:paraId="3ECC43D1" w14:textId="4EDC3937" w:rsidR="00190B39" w:rsidRPr="003E014F" w:rsidRDefault="00190B39" w:rsidP="00190B39">
            <w:pPr>
              <w:ind w:left="-70" w:firstLine="70"/>
              <w:jc w:val="right"/>
              <w:rPr>
                <w:rFonts w:ascii="Arial" w:hAnsi="Arial" w:cs="Arial"/>
                <w:sz w:val="16"/>
                <w:szCs w:val="16"/>
              </w:rPr>
            </w:pPr>
            <w:r w:rsidRPr="00190B39">
              <w:rPr>
                <w:rFonts w:ascii="Arial" w:hAnsi="Arial" w:cs="Arial"/>
                <w:sz w:val="16"/>
                <w:szCs w:val="16"/>
              </w:rPr>
              <w:t xml:space="preserve"> 150 </w:t>
            </w:r>
          </w:p>
        </w:tc>
        <w:tc>
          <w:tcPr>
            <w:tcW w:w="1218" w:type="dxa"/>
            <w:tcBorders>
              <w:top w:val="nil"/>
              <w:left w:val="nil"/>
              <w:bottom w:val="single" w:sz="4" w:space="0" w:color="auto"/>
              <w:right w:val="single" w:sz="4" w:space="0" w:color="auto"/>
            </w:tcBorders>
            <w:shd w:val="clear" w:color="000000" w:fill="FFFFFF"/>
            <w:noWrap/>
            <w:vAlign w:val="bottom"/>
          </w:tcPr>
          <w:p w14:paraId="3D5285C3" w14:textId="1D3FEED0" w:rsidR="00190B39" w:rsidRPr="003E014F" w:rsidRDefault="00190B39" w:rsidP="00190B39">
            <w:pPr>
              <w:ind w:left="-70" w:firstLine="70"/>
              <w:jc w:val="right"/>
              <w:rPr>
                <w:rFonts w:ascii="Arial" w:hAnsi="Arial" w:cs="Arial"/>
                <w:sz w:val="16"/>
                <w:szCs w:val="16"/>
              </w:rPr>
            </w:pPr>
            <w:r w:rsidRPr="00190B39">
              <w:rPr>
                <w:rFonts w:ascii="Arial" w:hAnsi="Arial" w:cs="Arial"/>
                <w:sz w:val="16"/>
                <w:szCs w:val="16"/>
              </w:rPr>
              <w:t xml:space="preserve"> 60.159 </w:t>
            </w:r>
          </w:p>
        </w:tc>
        <w:tc>
          <w:tcPr>
            <w:tcW w:w="1070" w:type="dxa"/>
            <w:tcBorders>
              <w:top w:val="nil"/>
              <w:left w:val="nil"/>
              <w:bottom w:val="single" w:sz="4" w:space="0" w:color="auto"/>
              <w:right w:val="single" w:sz="4" w:space="0" w:color="auto"/>
            </w:tcBorders>
            <w:shd w:val="clear" w:color="000000" w:fill="FFFFFF"/>
            <w:noWrap/>
            <w:vAlign w:val="bottom"/>
          </w:tcPr>
          <w:p w14:paraId="21E265B4" w14:textId="3D613FDE" w:rsidR="00190B39" w:rsidRPr="003E014F"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963" w:type="dxa"/>
            <w:tcBorders>
              <w:top w:val="nil"/>
              <w:left w:val="nil"/>
              <w:bottom w:val="single" w:sz="4" w:space="0" w:color="auto"/>
              <w:right w:val="single" w:sz="4" w:space="0" w:color="auto"/>
            </w:tcBorders>
            <w:shd w:val="clear" w:color="000000" w:fill="FFFFFF"/>
            <w:noWrap/>
            <w:vAlign w:val="bottom"/>
          </w:tcPr>
          <w:p w14:paraId="05647865" w14:textId="51BBE3E0" w:rsidR="00190B39" w:rsidRPr="00BF746E"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7A6B7189" w14:textId="1DF8F4C7"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61.188 </w:t>
            </w:r>
          </w:p>
        </w:tc>
      </w:tr>
      <w:tr w:rsidR="00190B39" w:rsidRPr="0047095D" w14:paraId="45C84610"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noWrap/>
            <w:vAlign w:val="bottom"/>
          </w:tcPr>
          <w:p w14:paraId="2FF968CB" w14:textId="6619FD77" w:rsidR="00190B39" w:rsidRPr="00493074" w:rsidRDefault="00190B39" w:rsidP="00190B39">
            <w:pPr>
              <w:ind w:left="-70" w:firstLine="70"/>
              <w:rPr>
                <w:rFonts w:ascii="Arial" w:hAnsi="Arial" w:cs="Arial"/>
                <w:sz w:val="16"/>
                <w:szCs w:val="16"/>
                <w:lang w:eastAsia="es-AR"/>
              </w:rPr>
            </w:pPr>
            <w:r w:rsidRPr="00493074">
              <w:rPr>
                <w:rFonts w:ascii="Arial" w:hAnsi="Arial" w:cs="Arial"/>
                <w:sz w:val="16"/>
                <w:szCs w:val="16"/>
              </w:rPr>
              <w:t xml:space="preserve">   Otras entidades financieras </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0E35F370" w14:textId="465C9ACA"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15.917 </w:t>
            </w:r>
          </w:p>
        </w:tc>
        <w:tc>
          <w:tcPr>
            <w:tcW w:w="1262" w:type="dxa"/>
            <w:tcBorders>
              <w:top w:val="nil"/>
              <w:left w:val="nil"/>
              <w:bottom w:val="single" w:sz="4" w:space="0" w:color="auto"/>
              <w:right w:val="single" w:sz="4" w:space="0" w:color="auto"/>
            </w:tcBorders>
            <w:shd w:val="clear" w:color="000000" w:fill="FFFFFF"/>
            <w:noWrap/>
            <w:vAlign w:val="bottom"/>
          </w:tcPr>
          <w:p w14:paraId="46C8D24C" w14:textId="644DEF7B"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-13.713 </w:t>
            </w:r>
          </w:p>
        </w:tc>
        <w:tc>
          <w:tcPr>
            <w:tcW w:w="1218" w:type="dxa"/>
            <w:tcBorders>
              <w:top w:val="nil"/>
              <w:left w:val="nil"/>
              <w:bottom w:val="single" w:sz="4" w:space="0" w:color="auto"/>
              <w:right w:val="single" w:sz="4" w:space="0" w:color="auto"/>
            </w:tcBorders>
            <w:shd w:val="clear" w:color="000000" w:fill="FFFFFF"/>
            <w:noWrap/>
            <w:vAlign w:val="bottom"/>
          </w:tcPr>
          <w:p w14:paraId="213899CF" w14:textId="3658CF46"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160.616 </w:t>
            </w:r>
          </w:p>
        </w:tc>
        <w:tc>
          <w:tcPr>
            <w:tcW w:w="1070" w:type="dxa"/>
            <w:tcBorders>
              <w:top w:val="nil"/>
              <w:left w:val="nil"/>
              <w:bottom w:val="single" w:sz="4" w:space="0" w:color="auto"/>
              <w:right w:val="single" w:sz="4" w:space="0" w:color="auto"/>
            </w:tcBorders>
            <w:shd w:val="clear" w:color="000000" w:fill="FFFFFF"/>
            <w:noWrap/>
            <w:vAlign w:val="bottom"/>
          </w:tcPr>
          <w:p w14:paraId="137158C4" w14:textId="16B02EC0"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254.567 </w:t>
            </w:r>
          </w:p>
        </w:tc>
        <w:tc>
          <w:tcPr>
            <w:tcW w:w="963" w:type="dxa"/>
            <w:tcBorders>
              <w:top w:val="nil"/>
              <w:left w:val="nil"/>
              <w:bottom w:val="single" w:sz="4" w:space="0" w:color="auto"/>
              <w:right w:val="single" w:sz="4" w:space="0" w:color="auto"/>
            </w:tcBorders>
            <w:shd w:val="clear" w:color="000000" w:fill="FFFFFF"/>
            <w:noWrap/>
            <w:vAlign w:val="bottom"/>
          </w:tcPr>
          <w:p w14:paraId="7E672460" w14:textId="573B20A9"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-362.786 </w:t>
            </w:r>
          </w:p>
        </w:tc>
        <w:tc>
          <w:tcPr>
            <w:tcW w:w="1202" w:type="dxa"/>
            <w:tcBorders>
              <w:top w:val="nil"/>
              <w:left w:val="nil"/>
              <w:bottom w:val="single" w:sz="4" w:space="0" w:color="auto"/>
              <w:right w:val="single" w:sz="4" w:space="0" w:color="auto"/>
            </w:tcBorders>
            <w:shd w:val="clear" w:color="000000" w:fill="FFFFFF"/>
            <w:noWrap/>
            <w:vAlign w:val="bottom"/>
          </w:tcPr>
          <w:p w14:paraId="55EB7A86" w14:textId="297168A8"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54.601 </w:t>
            </w:r>
          </w:p>
        </w:tc>
      </w:tr>
      <w:tr w:rsidR="00190B39" w:rsidRPr="0047095D" w14:paraId="19F3F98B"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2F34B66B" w14:textId="24FA4730" w:rsidR="00190B39" w:rsidRPr="00493074" w:rsidRDefault="00190B39" w:rsidP="00190B39">
            <w:pPr>
              <w:ind w:left="-70" w:firstLine="70"/>
              <w:rPr>
                <w:rFonts w:ascii="Arial" w:hAnsi="Arial" w:cs="Arial"/>
                <w:sz w:val="16"/>
                <w:szCs w:val="16"/>
                <w:lang w:eastAsia="es-AR"/>
              </w:rPr>
            </w:pPr>
            <w:r w:rsidRPr="00493074">
              <w:rPr>
                <w:rFonts w:ascii="Arial" w:hAnsi="Arial" w:cs="Arial"/>
                <w:sz w:val="16"/>
                <w:szCs w:val="16"/>
              </w:rPr>
              <w:t xml:space="preserve">   Sector privado no financiero y residentes en el exterior </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14470236" w14:textId="76312FA6"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37.888.189 </w:t>
            </w:r>
          </w:p>
        </w:tc>
        <w:tc>
          <w:tcPr>
            <w:tcW w:w="1262" w:type="dxa"/>
            <w:tcBorders>
              <w:top w:val="nil"/>
              <w:left w:val="nil"/>
              <w:bottom w:val="single" w:sz="4" w:space="0" w:color="auto"/>
              <w:right w:val="single" w:sz="4" w:space="0" w:color="auto"/>
            </w:tcBorders>
            <w:shd w:val="clear" w:color="000000" w:fill="FFFFFF"/>
            <w:noWrap/>
            <w:vAlign w:val="bottom"/>
          </w:tcPr>
          <w:p w14:paraId="032C9535" w14:textId="44C4105A"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41.967.722 </w:t>
            </w:r>
          </w:p>
        </w:tc>
        <w:tc>
          <w:tcPr>
            <w:tcW w:w="1218" w:type="dxa"/>
            <w:tcBorders>
              <w:top w:val="nil"/>
              <w:left w:val="nil"/>
              <w:bottom w:val="single" w:sz="4" w:space="0" w:color="auto"/>
              <w:right w:val="single" w:sz="4" w:space="0" w:color="auto"/>
            </w:tcBorders>
            <w:shd w:val="clear" w:color="000000" w:fill="FFFFFF"/>
            <w:noWrap/>
            <w:vAlign w:val="bottom"/>
          </w:tcPr>
          <w:p w14:paraId="6064BF95" w14:textId="0B25BCB6"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2.598.483 </w:t>
            </w:r>
          </w:p>
        </w:tc>
        <w:tc>
          <w:tcPr>
            <w:tcW w:w="1070" w:type="dxa"/>
            <w:tcBorders>
              <w:top w:val="nil"/>
              <w:left w:val="nil"/>
              <w:bottom w:val="single" w:sz="4" w:space="0" w:color="auto"/>
              <w:right w:val="single" w:sz="4" w:space="0" w:color="auto"/>
            </w:tcBorders>
            <w:shd w:val="clear" w:color="000000" w:fill="FFFFFF"/>
            <w:noWrap/>
            <w:vAlign w:val="bottom"/>
          </w:tcPr>
          <w:p w14:paraId="1416B337" w14:textId="4876051B"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5.641.976 </w:t>
            </w:r>
          </w:p>
        </w:tc>
        <w:tc>
          <w:tcPr>
            <w:tcW w:w="963" w:type="dxa"/>
            <w:tcBorders>
              <w:top w:val="nil"/>
              <w:left w:val="nil"/>
              <w:bottom w:val="single" w:sz="4" w:space="0" w:color="auto"/>
              <w:right w:val="single" w:sz="4" w:space="0" w:color="auto"/>
            </w:tcBorders>
            <w:shd w:val="clear" w:color="000000" w:fill="FFFFFF"/>
            <w:noWrap/>
            <w:vAlign w:val="bottom"/>
          </w:tcPr>
          <w:p w14:paraId="45E607AB" w14:textId="33B5EF13" w:rsidR="00190B39" w:rsidRPr="00493074" w:rsidRDefault="00190B39" w:rsidP="00190B39">
            <w:pPr>
              <w:ind w:left="-70" w:firstLine="70"/>
              <w:jc w:val="right"/>
              <w:rPr>
                <w:rFonts w:ascii="Arial" w:hAnsi="Arial" w:cs="Arial"/>
                <w:sz w:val="16"/>
                <w:szCs w:val="16"/>
              </w:rPr>
            </w:pPr>
            <w:r w:rsidRPr="00190B39">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24C0F7ED" w14:textId="7C338E21"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88.096.370 </w:t>
            </w:r>
          </w:p>
        </w:tc>
      </w:tr>
      <w:tr w:rsidR="00190B39" w:rsidRPr="0047095D" w14:paraId="1E46D546"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4EAD56AA" w14:textId="2EE39D73"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Otros títulos de deuda</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6AE2A7B3" w14:textId="2E15A140"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1448661B" w14:textId="09941F89"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3881D8D3" w14:textId="66E8FF3F"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46.426.583 </w:t>
            </w:r>
          </w:p>
        </w:tc>
        <w:tc>
          <w:tcPr>
            <w:tcW w:w="1070" w:type="dxa"/>
            <w:tcBorders>
              <w:top w:val="nil"/>
              <w:left w:val="nil"/>
              <w:bottom w:val="single" w:sz="4" w:space="0" w:color="auto"/>
              <w:right w:val="single" w:sz="4" w:space="0" w:color="auto"/>
            </w:tcBorders>
            <w:shd w:val="clear" w:color="000000" w:fill="FFFFFF"/>
            <w:noWrap/>
            <w:vAlign w:val="bottom"/>
          </w:tcPr>
          <w:p w14:paraId="6867E746" w14:textId="54E6796E"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963" w:type="dxa"/>
            <w:tcBorders>
              <w:top w:val="nil"/>
              <w:left w:val="nil"/>
              <w:bottom w:val="single" w:sz="4" w:space="0" w:color="auto"/>
              <w:right w:val="single" w:sz="4" w:space="0" w:color="auto"/>
            </w:tcBorders>
            <w:shd w:val="clear" w:color="000000" w:fill="FFFFFF"/>
            <w:noWrap/>
            <w:vAlign w:val="bottom"/>
          </w:tcPr>
          <w:p w14:paraId="75205359" w14:textId="66DDEA97"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-185.349 </w:t>
            </w:r>
          </w:p>
        </w:tc>
        <w:tc>
          <w:tcPr>
            <w:tcW w:w="1202" w:type="dxa"/>
            <w:tcBorders>
              <w:top w:val="nil"/>
              <w:left w:val="nil"/>
              <w:bottom w:val="single" w:sz="4" w:space="0" w:color="auto"/>
              <w:right w:val="single" w:sz="4" w:space="0" w:color="auto"/>
            </w:tcBorders>
            <w:shd w:val="clear" w:color="000000" w:fill="FFFFFF"/>
            <w:noWrap/>
            <w:vAlign w:val="bottom"/>
          </w:tcPr>
          <w:p w14:paraId="742A8540" w14:textId="6F2A9C09"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46.241.234 </w:t>
            </w:r>
          </w:p>
        </w:tc>
      </w:tr>
      <w:tr w:rsidR="00190B39" w:rsidRPr="0047095D" w14:paraId="1742B60F" w14:textId="77777777" w:rsidTr="00BA7A6B">
        <w:trPr>
          <w:trHeight w:val="324"/>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1E709CFF" w14:textId="6A006E61"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Activos financieros entregados en garantía</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6143AFD0" w14:textId="2F79E3BE"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109.354 </w:t>
            </w:r>
          </w:p>
        </w:tc>
        <w:tc>
          <w:tcPr>
            <w:tcW w:w="1262" w:type="dxa"/>
            <w:tcBorders>
              <w:top w:val="nil"/>
              <w:left w:val="nil"/>
              <w:bottom w:val="single" w:sz="4" w:space="0" w:color="auto"/>
              <w:right w:val="single" w:sz="4" w:space="0" w:color="auto"/>
            </w:tcBorders>
            <w:shd w:val="clear" w:color="000000" w:fill="FFFFFF"/>
            <w:noWrap/>
            <w:vAlign w:val="bottom"/>
          </w:tcPr>
          <w:p w14:paraId="7CBC9BD8" w14:textId="3B5F1831"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600.760 </w:t>
            </w:r>
          </w:p>
        </w:tc>
        <w:tc>
          <w:tcPr>
            <w:tcW w:w="1218" w:type="dxa"/>
            <w:tcBorders>
              <w:top w:val="nil"/>
              <w:left w:val="nil"/>
              <w:bottom w:val="single" w:sz="4" w:space="0" w:color="auto"/>
              <w:right w:val="single" w:sz="4" w:space="0" w:color="auto"/>
            </w:tcBorders>
            <w:shd w:val="clear" w:color="000000" w:fill="FFFFFF"/>
            <w:noWrap/>
            <w:vAlign w:val="bottom"/>
          </w:tcPr>
          <w:p w14:paraId="6AB3B323" w14:textId="2945DFB8"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4.900.639 </w:t>
            </w:r>
          </w:p>
        </w:tc>
        <w:tc>
          <w:tcPr>
            <w:tcW w:w="1070" w:type="dxa"/>
            <w:tcBorders>
              <w:top w:val="nil"/>
              <w:left w:val="nil"/>
              <w:bottom w:val="single" w:sz="4" w:space="0" w:color="auto"/>
              <w:right w:val="single" w:sz="4" w:space="0" w:color="auto"/>
            </w:tcBorders>
            <w:shd w:val="clear" w:color="000000" w:fill="FFFFFF"/>
            <w:noWrap/>
            <w:vAlign w:val="bottom"/>
          </w:tcPr>
          <w:p w14:paraId="0AEC47B8" w14:textId="5654EA25"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773.023 </w:t>
            </w:r>
          </w:p>
        </w:tc>
        <w:tc>
          <w:tcPr>
            <w:tcW w:w="963" w:type="dxa"/>
            <w:tcBorders>
              <w:top w:val="nil"/>
              <w:left w:val="nil"/>
              <w:bottom w:val="single" w:sz="4" w:space="0" w:color="auto"/>
              <w:right w:val="single" w:sz="4" w:space="0" w:color="auto"/>
            </w:tcBorders>
            <w:shd w:val="clear" w:color="000000" w:fill="FFFFFF"/>
            <w:noWrap/>
            <w:vAlign w:val="bottom"/>
          </w:tcPr>
          <w:p w14:paraId="258816F1" w14:textId="3A7A0F1B"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-568.673 </w:t>
            </w:r>
          </w:p>
        </w:tc>
        <w:tc>
          <w:tcPr>
            <w:tcW w:w="1202" w:type="dxa"/>
            <w:tcBorders>
              <w:top w:val="nil"/>
              <w:left w:val="nil"/>
              <w:bottom w:val="single" w:sz="4" w:space="0" w:color="auto"/>
              <w:right w:val="single" w:sz="4" w:space="0" w:color="auto"/>
            </w:tcBorders>
            <w:shd w:val="clear" w:color="000000" w:fill="FFFFFF"/>
            <w:noWrap/>
            <w:vAlign w:val="bottom"/>
          </w:tcPr>
          <w:p w14:paraId="70E4DEC2" w14:textId="29667308"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5.815.103 </w:t>
            </w:r>
          </w:p>
        </w:tc>
      </w:tr>
      <w:tr w:rsidR="00190B39" w:rsidRPr="0047095D" w14:paraId="640BAC1C" w14:textId="77777777" w:rsidTr="00BA7A6B">
        <w:trPr>
          <w:trHeight w:val="294"/>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754F2168" w14:textId="266E75D5"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Activos por impuestos a las ganancias corriente</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77C18951" w14:textId="39C4FF36"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56BDD00D" w14:textId="19163929"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4AE364A7" w14:textId="62653AD3"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415.107 </w:t>
            </w:r>
          </w:p>
        </w:tc>
        <w:tc>
          <w:tcPr>
            <w:tcW w:w="1070" w:type="dxa"/>
            <w:tcBorders>
              <w:top w:val="nil"/>
              <w:left w:val="nil"/>
              <w:bottom w:val="single" w:sz="4" w:space="0" w:color="auto"/>
              <w:right w:val="single" w:sz="4" w:space="0" w:color="auto"/>
            </w:tcBorders>
            <w:shd w:val="clear" w:color="000000" w:fill="FFFFFF"/>
            <w:noWrap/>
            <w:vAlign w:val="bottom"/>
          </w:tcPr>
          <w:p w14:paraId="10994405" w14:textId="5835AC01"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28.148 </w:t>
            </w:r>
          </w:p>
        </w:tc>
        <w:tc>
          <w:tcPr>
            <w:tcW w:w="963" w:type="dxa"/>
            <w:tcBorders>
              <w:top w:val="nil"/>
              <w:left w:val="nil"/>
              <w:bottom w:val="single" w:sz="4" w:space="0" w:color="auto"/>
              <w:right w:val="single" w:sz="4" w:space="0" w:color="auto"/>
            </w:tcBorders>
            <w:shd w:val="clear" w:color="000000" w:fill="FFFFFF"/>
            <w:noWrap/>
            <w:vAlign w:val="bottom"/>
          </w:tcPr>
          <w:p w14:paraId="62D33620" w14:textId="13C53EDE"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5BD0604F" w14:textId="33D3C7D3"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443.255 </w:t>
            </w:r>
          </w:p>
        </w:tc>
      </w:tr>
      <w:tr w:rsidR="00190B39" w:rsidRPr="0047095D" w14:paraId="16C970D1" w14:textId="77777777" w:rsidTr="00BA7A6B">
        <w:trPr>
          <w:trHeight w:val="10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2ED6A037" w14:textId="1E1A246C"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Inversiones en instrumentos de patrimonio</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7ACD22FC" w14:textId="16D6BB22"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1.497 </w:t>
            </w:r>
          </w:p>
        </w:tc>
        <w:tc>
          <w:tcPr>
            <w:tcW w:w="1262" w:type="dxa"/>
            <w:tcBorders>
              <w:top w:val="nil"/>
              <w:left w:val="nil"/>
              <w:bottom w:val="single" w:sz="4" w:space="0" w:color="auto"/>
              <w:right w:val="single" w:sz="4" w:space="0" w:color="auto"/>
            </w:tcBorders>
            <w:shd w:val="clear" w:color="000000" w:fill="FFFFFF"/>
            <w:noWrap/>
            <w:vAlign w:val="bottom"/>
          </w:tcPr>
          <w:p w14:paraId="2AC428EA" w14:textId="0F8A12E8"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2.944 </w:t>
            </w:r>
          </w:p>
        </w:tc>
        <w:tc>
          <w:tcPr>
            <w:tcW w:w="1218" w:type="dxa"/>
            <w:tcBorders>
              <w:top w:val="nil"/>
              <w:left w:val="nil"/>
              <w:bottom w:val="single" w:sz="4" w:space="0" w:color="auto"/>
              <w:right w:val="single" w:sz="4" w:space="0" w:color="auto"/>
            </w:tcBorders>
            <w:shd w:val="clear" w:color="000000" w:fill="FFFFFF"/>
            <w:noWrap/>
            <w:vAlign w:val="bottom"/>
          </w:tcPr>
          <w:p w14:paraId="42626D27" w14:textId="1A7EC1BA"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4.342 </w:t>
            </w:r>
          </w:p>
        </w:tc>
        <w:tc>
          <w:tcPr>
            <w:tcW w:w="1070" w:type="dxa"/>
            <w:tcBorders>
              <w:top w:val="nil"/>
              <w:left w:val="nil"/>
              <w:bottom w:val="single" w:sz="4" w:space="0" w:color="auto"/>
              <w:right w:val="single" w:sz="4" w:space="0" w:color="auto"/>
            </w:tcBorders>
            <w:shd w:val="clear" w:color="000000" w:fill="FFFFFF"/>
            <w:noWrap/>
            <w:vAlign w:val="bottom"/>
          </w:tcPr>
          <w:p w14:paraId="55024A55" w14:textId="5EF6F5A9"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963" w:type="dxa"/>
            <w:tcBorders>
              <w:top w:val="nil"/>
              <w:left w:val="nil"/>
              <w:bottom w:val="single" w:sz="4" w:space="0" w:color="auto"/>
              <w:right w:val="single" w:sz="4" w:space="0" w:color="auto"/>
            </w:tcBorders>
            <w:shd w:val="clear" w:color="000000" w:fill="FFFFFF"/>
            <w:noWrap/>
            <w:vAlign w:val="bottom"/>
          </w:tcPr>
          <w:p w14:paraId="53EA7E90" w14:textId="52498FDF"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6606326D" w14:textId="74B054A2"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8.783 </w:t>
            </w:r>
          </w:p>
        </w:tc>
      </w:tr>
      <w:tr w:rsidR="00190B39" w:rsidRPr="0047095D" w14:paraId="7F4A94C8" w14:textId="77777777" w:rsidTr="00BA7A6B">
        <w:trPr>
          <w:trHeight w:val="288"/>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48F9C702" w14:textId="0C1555B8"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Inversión en subsidiarias, asociadas y negocios conjuntos</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315483B3" w14:textId="749A57DF"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124D3A0E" w14:textId="43DC04BB"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37B8DE43" w14:textId="3B01D96C"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2.543.937 </w:t>
            </w:r>
          </w:p>
        </w:tc>
        <w:tc>
          <w:tcPr>
            <w:tcW w:w="1070" w:type="dxa"/>
            <w:tcBorders>
              <w:top w:val="nil"/>
              <w:left w:val="nil"/>
              <w:bottom w:val="single" w:sz="4" w:space="0" w:color="auto"/>
              <w:right w:val="single" w:sz="4" w:space="0" w:color="auto"/>
            </w:tcBorders>
            <w:shd w:val="clear" w:color="000000" w:fill="FFFFFF"/>
            <w:noWrap/>
            <w:vAlign w:val="bottom"/>
          </w:tcPr>
          <w:p w14:paraId="4A338C80" w14:textId="5E3B1DD2"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7.857 </w:t>
            </w:r>
          </w:p>
        </w:tc>
        <w:tc>
          <w:tcPr>
            <w:tcW w:w="963" w:type="dxa"/>
            <w:tcBorders>
              <w:top w:val="nil"/>
              <w:left w:val="nil"/>
              <w:bottom w:val="single" w:sz="4" w:space="0" w:color="auto"/>
              <w:right w:val="single" w:sz="4" w:space="0" w:color="auto"/>
            </w:tcBorders>
            <w:shd w:val="clear" w:color="000000" w:fill="FFFFFF"/>
            <w:noWrap/>
            <w:vAlign w:val="bottom"/>
          </w:tcPr>
          <w:p w14:paraId="36A1F460" w14:textId="5488D75F"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-2.513.575 </w:t>
            </w:r>
          </w:p>
        </w:tc>
        <w:tc>
          <w:tcPr>
            <w:tcW w:w="1202" w:type="dxa"/>
            <w:tcBorders>
              <w:top w:val="nil"/>
              <w:left w:val="nil"/>
              <w:bottom w:val="single" w:sz="4" w:space="0" w:color="auto"/>
              <w:right w:val="single" w:sz="4" w:space="0" w:color="auto"/>
            </w:tcBorders>
            <w:shd w:val="clear" w:color="000000" w:fill="FFFFFF"/>
            <w:noWrap/>
            <w:vAlign w:val="bottom"/>
          </w:tcPr>
          <w:p w14:paraId="7E28D399" w14:textId="4A3B6607"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38.219 </w:t>
            </w:r>
          </w:p>
        </w:tc>
      </w:tr>
      <w:tr w:rsidR="00190B39" w:rsidRPr="0047095D" w14:paraId="08E79EE6"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6B3AB4C4" w14:textId="1CA4AF2F"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Propiedad, planta y equipo</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4635A3A3" w14:textId="3DC133D1"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12D3755E" w14:textId="31FBDCE4"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554A3FC2" w14:textId="45A0741A"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4.354.399 </w:t>
            </w:r>
          </w:p>
        </w:tc>
        <w:tc>
          <w:tcPr>
            <w:tcW w:w="1070" w:type="dxa"/>
            <w:tcBorders>
              <w:top w:val="nil"/>
              <w:left w:val="nil"/>
              <w:bottom w:val="single" w:sz="4" w:space="0" w:color="auto"/>
              <w:right w:val="single" w:sz="4" w:space="0" w:color="auto"/>
            </w:tcBorders>
            <w:shd w:val="clear" w:color="000000" w:fill="FFFFFF"/>
            <w:noWrap/>
            <w:vAlign w:val="bottom"/>
          </w:tcPr>
          <w:p w14:paraId="1C7CE08D" w14:textId="17DBA811"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76.942 </w:t>
            </w:r>
          </w:p>
        </w:tc>
        <w:tc>
          <w:tcPr>
            <w:tcW w:w="963" w:type="dxa"/>
            <w:tcBorders>
              <w:top w:val="nil"/>
              <w:left w:val="nil"/>
              <w:bottom w:val="single" w:sz="4" w:space="0" w:color="auto"/>
              <w:right w:val="single" w:sz="4" w:space="0" w:color="auto"/>
            </w:tcBorders>
            <w:shd w:val="clear" w:color="000000" w:fill="FFFFFF"/>
            <w:noWrap/>
            <w:vAlign w:val="bottom"/>
          </w:tcPr>
          <w:p w14:paraId="7DBF4A59" w14:textId="737FACB4"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2E944353" w14:textId="2DEFED59"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4.431.341 </w:t>
            </w:r>
          </w:p>
        </w:tc>
      </w:tr>
      <w:tr w:rsidR="00190B39" w:rsidRPr="0047095D" w14:paraId="07B231D5"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38C78591" w14:textId="06C274B4"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Activos intangibles</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595BE55D" w14:textId="5A95AB3C"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357B0AE2" w14:textId="67F0CCA5"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4C5D61BC" w14:textId="2799406B"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1.159.848 </w:t>
            </w:r>
          </w:p>
        </w:tc>
        <w:tc>
          <w:tcPr>
            <w:tcW w:w="1070" w:type="dxa"/>
            <w:tcBorders>
              <w:top w:val="nil"/>
              <w:left w:val="nil"/>
              <w:bottom w:val="single" w:sz="4" w:space="0" w:color="auto"/>
              <w:right w:val="single" w:sz="4" w:space="0" w:color="auto"/>
            </w:tcBorders>
            <w:shd w:val="clear" w:color="000000" w:fill="FFFFFF"/>
            <w:noWrap/>
            <w:vAlign w:val="bottom"/>
          </w:tcPr>
          <w:p w14:paraId="357B36C6" w14:textId="36477A03"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105.941 </w:t>
            </w:r>
          </w:p>
        </w:tc>
        <w:tc>
          <w:tcPr>
            <w:tcW w:w="963" w:type="dxa"/>
            <w:tcBorders>
              <w:top w:val="nil"/>
              <w:left w:val="nil"/>
              <w:bottom w:val="single" w:sz="4" w:space="0" w:color="auto"/>
              <w:right w:val="single" w:sz="4" w:space="0" w:color="auto"/>
            </w:tcBorders>
            <w:shd w:val="clear" w:color="000000" w:fill="FFFFFF"/>
            <w:noWrap/>
            <w:vAlign w:val="bottom"/>
          </w:tcPr>
          <w:p w14:paraId="52F11CBA" w14:textId="4E05AA18"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06E7DA66" w14:textId="290A5777"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1.265.789 </w:t>
            </w:r>
          </w:p>
        </w:tc>
      </w:tr>
      <w:tr w:rsidR="00190B39" w:rsidRPr="0047095D" w14:paraId="74EE5700" w14:textId="77777777" w:rsidTr="00BA7A6B">
        <w:trPr>
          <w:trHeight w:val="250"/>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5A2E6363" w14:textId="47119F14"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Activos por impuesto a las ganancias diferido</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40A7B0D8" w14:textId="2BDB8C61"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62" w:type="dxa"/>
            <w:tcBorders>
              <w:top w:val="nil"/>
              <w:left w:val="nil"/>
              <w:bottom w:val="single" w:sz="4" w:space="0" w:color="auto"/>
              <w:right w:val="single" w:sz="4" w:space="0" w:color="auto"/>
            </w:tcBorders>
            <w:shd w:val="clear" w:color="000000" w:fill="FFFFFF"/>
            <w:noWrap/>
            <w:vAlign w:val="bottom"/>
          </w:tcPr>
          <w:p w14:paraId="7C382D2D" w14:textId="7BBA133B"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18" w:type="dxa"/>
            <w:tcBorders>
              <w:top w:val="nil"/>
              <w:left w:val="nil"/>
              <w:bottom w:val="single" w:sz="4" w:space="0" w:color="auto"/>
              <w:right w:val="single" w:sz="4" w:space="0" w:color="auto"/>
            </w:tcBorders>
            <w:shd w:val="clear" w:color="000000" w:fill="FFFFFF"/>
            <w:noWrap/>
            <w:vAlign w:val="bottom"/>
          </w:tcPr>
          <w:p w14:paraId="122A07F8" w14:textId="620745FF"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161.841 </w:t>
            </w:r>
          </w:p>
        </w:tc>
        <w:tc>
          <w:tcPr>
            <w:tcW w:w="1070" w:type="dxa"/>
            <w:tcBorders>
              <w:top w:val="nil"/>
              <w:left w:val="nil"/>
              <w:bottom w:val="single" w:sz="4" w:space="0" w:color="auto"/>
              <w:right w:val="single" w:sz="4" w:space="0" w:color="auto"/>
            </w:tcBorders>
            <w:shd w:val="clear" w:color="000000" w:fill="FFFFFF"/>
            <w:noWrap/>
            <w:vAlign w:val="bottom"/>
          </w:tcPr>
          <w:p w14:paraId="718068DE" w14:textId="61DD350D"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914.743 </w:t>
            </w:r>
          </w:p>
        </w:tc>
        <w:tc>
          <w:tcPr>
            <w:tcW w:w="963" w:type="dxa"/>
            <w:tcBorders>
              <w:top w:val="nil"/>
              <w:left w:val="nil"/>
              <w:bottom w:val="single" w:sz="4" w:space="0" w:color="auto"/>
              <w:right w:val="single" w:sz="4" w:space="0" w:color="auto"/>
            </w:tcBorders>
            <w:shd w:val="clear" w:color="000000" w:fill="FFFFFF"/>
            <w:noWrap/>
            <w:vAlign w:val="bottom"/>
          </w:tcPr>
          <w:p w14:paraId="6643FA31" w14:textId="55C4E606"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58E21938" w14:textId="4A6E566B"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1.076.584 </w:t>
            </w:r>
          </w:p>
        </w:tc>
      </w:tr>
      <w:tr w:rsidR="00190B39" w:rsidRPr="0047095D" w14:paraId="4876478D" w14:textId="77777777" w:rsidTr="00BA7A6B">
        <w:trPr>
          <w:trHeight w:val="219"/>
        </w:trPr>
        <w:tc>
          <w:tcPr>
            <w:tcW w:w="3356" w:type="dxa"/>
            <w:tcBorders>
              <w:top w:val="nil"/>
              <w:left w:val="single" w:sz="4" w:space="0" w:color="auto"/>
              <w:bottom w:val="single" w:sz="4" w:space="0" w:color="363639"/>
              <w:right w:val="single" w:sz="4" w:space="0" w:color="363639"/>
            </w:tcBorders>
            <w:shd w:val="clear" w:color="000000" w:fill="FFFFFF"/>
            <w:vAlign w:val="bottom"/>
          </w:tcPr>
          <w:p w14:paraId="768C9D26" w14:textId="3A1F0B08" w:rsidR="00190B39" w:rsidRPr="00436FB1" w:rsidRDefault="00190B39" w:rsidP="00190B39">
            <w:pPr>
              <w:ind w:left="-70" w:firstLine="70"/>
              <w:rPr>
                <w:rFonts w:ascii="Arial" w:hAnsi="Arial" w:cs="Arial"/>
                <w:bCs/>
                <w:sz w:val="16"/>
                <w:szCs w:val="16"/>
                <w:lang w:eastAsia="es-AR"/>
              </w:rPr>
            </w:pPr>
            <w:r w:rsidRPr="00436FB1">
              <w:rPr>
                <w:rFonts w:ascii="Arial" w:hAnsi="Arial" w:cs="Arial"/>
                <w:sz w:val="16"/>
                <w:szCs w:val="16"/>
              </w:rPr>
              <w:t>Otros activos no financieros</w:t>
            </w:r>
          </w:p>
        </w:tc>
        <w:tc>
          <w:tcPr>
            <w:tcW w:w="1271" w:type="dxa"/>
            <w:tcBorders>
              <w:top w:val="nil"/>
              <w:left w:val="single" w:sz="4" w:space="0" w:color="auto"/>
              <w:bottom w:val="single" w:sz="4" w:space="0" w:color="auto"/>
              <w:right w:val="single" w:sz="4" w:space="0" w:color="auto"/>
            </w:tcBorders>
            <w:shd w:val="clear" w:color="000000" w:fill="FFFFFF"/>
            <w:noWrap/>
            <w:vAlign w:val="bottom"/>
          </w:tcPr>
          <w:p w14:paraId="0B75A847" w14:textId="4D3DC434"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4.166.184 </w:t>
            </w:r>
          </w:p>
        </w:tc>
        <w:tc>
          <w:tcPr>
            <w:tcW w:w="1262" w:type="dxa"/>
            <w:tcBorders>
              <w:top w:val="nil"/>
              <w:left w:val="nil"/>
              <w:bottom w:val="single" w:sz="4" w:space="0" w:color="auto"/>
              <w:right w:val="single" w:sz="4" w:space="0" w:color="auto"/>
            </w:tcBorders>
            <w:shd w:val="clear" w:color="000000" w:fill="FFFFFF"/>
            <w:noWrap/>
            <w:vAlign w:val="bottom"/>
          </w:tcPr>
          <w:p w14:paraId="3BC56DCE" w14:textId="7EEDFBB0"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598.136 </w:t>
            </w:r>
          </w:p>
        </w:tc>
        <w:tc>
          <w:tcPr>
            <w:tcW w:w="1218" w:type="dxa"/>
            <w:tcBorders>
              <w:top w:val="nil"/>
              <w:left w:val="nil"/>
              <w:bottom w:val="single" w:sz="4" w:space="0" w:color="auto"/>
              <w:right w:val="single" w:sz="4" w:space="0" w:color="auto"/>
            </w:tcBorders>
            <w:shd w:val="clear" w:color="000000" w:fill="FFFFFF"/>
            <w:noWrap/>
            <w:vAlign w:val="bottom"/>
          </w:tcPr>
          <w:p w14:paraId="201252A7" w14:textId="6D98CE8D"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787.771 </w:t>
            </w:r>
          </w:p>
        </w:tc>
        <w:tc>
          <w:tcPr>
            <w:tcW w:w="1070" w:type="dxa"/>
            <w:tcBorders>
              <w:top w:val="nil"/>
              <w:left w:val="nil"/>
              <w:bottom w:val="single" w:sz="4" w:space="0" w:color="auto"/>
              <w:right w:val="single" w:sz="4" w:space="0" w:color="auto"/>
            </w:tcBorders>
            <w:shd w:val="clear" w:color="000000" w:fill="FFFFFF"/>
            <w:noWrap/>
            <w:vAlign w:val="bottom"/>
          </w:tcPr>
          <w:p w14:paraId="79F989D6" w14:textId="149E97C3"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81.777 </w:t>
            </w:r>
          </w:p>
        </w:tc>
        <w:tc>
          <w:tcPr>
            <w:tcW w:w="963" w:type="dxa"/>
            <w:tcBorders>
              <w:top w:val="nil"/>
              <w:left w:val="nil"/>
              <w:bottom w:val="single" w:sz="4" w:space="0" w:color="auto"/>
              <w:right w:val="single" w:sz="4" w:space="0" w:color="auto"/>
            </w:tcBorders>
            <w:shd w:val="clear" w:color="000000" w:fill="FFFFFF"/>
            <w:noWrap/>
            <w:vAlign w:val="bottom"/>
          </w:tcPr>
          <w:p w14:paraId="7529C748" w14:textId="21CB5B0E" w:rsidR="00190B39" w:rsidRPr="00436FB1" w:rsidRDefault="00190B39" w:rsidP="00190B39">
            <w:pPr>
              <w:ind w:left="-70" w:firstLine="70"/>
              <w:jc w:val="right"/>
              <w:rPr>
                <w:rFonts w:ascii="Arial" w:hAnsi="Arial" w:cs="Arial"/>
                <w:sz w:val="16"/>
                <w:szCs w:val="16"/>
              </w:rPr>
            </w:pPr>
            <w:r w:rsidRPr="00436FB1">
              <w:rPr>
                <w:rFonts w:ascii="Arial" w:hAnsi="Arial" w:cs="Arial"/>
                <w:sz w:val="16"/>
                <w:szCs w:val="16"/>
              </w:rPr>
              <w:t xml:space="preserve"> -   </w:t>
            </w:r>
          </w:p>
        </w:tc>
        <w:tc>
          <w:tcPr>
            <w:tcW w:w="1202" w:type="dxa"/>
            <w:tcBorders>
              <w:top w:val="nil"/>
              <w:left w:val="nil"/>
              <w:bottom w:val="single" w:sz="4" w:space="0" w:color="auto"/>
              <w:right w:val="single" w:sz="4" w:space="0" w:color="auto"/>
            </w:tcBorders>
            <w:shd w:val="clear" w:color="000000" w:fill="FFFFFF"/>
            <w:noWrap/>
            <w:vAlign w:val="bottom"/>
          </w:tcPr>
          <w:p w14:paraId="5ECF0EC3" w14:textId="363BA017" w:rsidR="00190B39" w:rsidRPr="00190B39" w:rsidRDefault="00190B39" w:rsidP="00190B39">
            <w:pPr>
              <w:ind w:left="-70" w:firstLine="70"/>
              <w:jc w:val="right"/>
              <w:rPr>
                <w:rFonts w:ascii="Arial" w:hAnsi="Arial" w:cs="Arial"/>
                <w:b/>
                <w:sz w:val="16"/>
                <w:szCs w:val="16"/>
              </w:rPr>
            </w:pPr>
            <w:r w:rsidRPr="00190B39">
              <w:rPr>
                <w:rFonts w:ascii="Arial" w:hAnsi="Arial" w:cs="Arial"/>
                <w:b/>
                <w:sz w:val="16"/>
                <w:szCs w:val="16"/>
              </w:rPr>
              <w:t xml:space="preserve"> 5.633.868 </w:t>
            </w:r>
          </w:p>
        </w:tc>
      </w:tr>
      <w:tr w:rsidR="009B0929" w:rsidRPr="0047095D" w14:paraId="70FD07FD" w14:textId="77777777" w:rsidTr="00BA7A6B">
        <w:trPr>
          <w:trHeight w:val="219"/>
        </w:trPr>
        <w:tc>
          <w:tcPr>
            <w:tcW w:w="3356" w:type="dxa"/>
            <w:tcBorders>
              <w:top w:val="single" w:sz="4" w:space="0" w:color="auto"/>
              <w:left w:val="single" w:sz="4" w:space="0" w:color="auto"/>
              <w:bottom w:val="single" w:sz="4" w:space="0" w:color="auto"/>
              <w:right w:val="single" w:sz="4" w:space="0" w:color="363639"/>
            </w:tcBorders>
            <w:shd w:val="clear" w:color="000000" w:fill="FFFFFF"/>
            <w:vAlign w:val="bottom"/>
          </w:tcPr>
          <w:p w14:paraId="45502971" w14:textId="71EF2B1F" w:rsidR="009B0929" w:rsidRPr="003E014F" w:rsidRDefault="009B0929" w:rsidP="009B0929">
            <w:pPr>
              <w:ind w:left="-70" w:firstLine="70"/>
              <w:rPr>
                <w:rFonts w:ascii="Arial" w:hAnsi="Arial" w:cs="Arial"/>
                <w:b/>
                <w:bCs/>
                <w:sz w:val="16"/>
                <w:szCs w:val="16"/>
                <w:lang w:eastAsia="es-AR"/>
              </w:rPr>
            </w:pPr>
            <w:r w:rsidRPr="003E014F">
              <w:rPr>
                <w:rFonts w:ascii="Arial" w:hAnsi="Arial" w:cs="Arial"/>
                <w:b/>
                <w:sz w:val="16"/>
                <w:szCs w:val="16"/>
              </w:rPr>
              <w:t>TOTAL ACTIVO</w:t>
            </w:r>
          </w:p>
        </w:tc>
        <w:tc>
          <w:tcPr>
            <w:tcW w:w="127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52B010" w14:textId="178D26C6" w:rsidR="009B0929" w:rsidRPr="003638C3" w:rsidRDefault="00190B39">
            <w:pPr>
              <w:ind w:left="-70" w:firstLine="70"/>
              <w:jc w:val="right"/>
              <w:rPr>
                <w:rFonts w:ascii="Arial" w:hAnsi="Arial" w:cs="Arial"/>
                <w:b/>
                <w:sz w:val="16"/>
                <w:szCs w:val="14"/>
              </w:rPr>
            </w:pPr>
            <w:r w:rsidRPr="00190B39">
              <w:rPr>
                <w:rFonts w:ascii="Arial" w:hAnsi="Arial" w:cs="Arial"/>
                <w:b/>
                <w:sz w:val="16"/>
                <w:szCs w:val="14"/>
              </w:rPr>
              <w:t>42.817.176</w:t>
            </w:r>
          </w:p>
        </w:tc>
        <w:tc>
          <w:tcPr>
            <w:tcW w:w="1262" w:type="dxa"/>
            <w:tcBorders>
              <w:top w:val="single" w:sz="4" w:space="0" w:color="auto"/>
              <w:left w:val="nil"/>
              <w:bottom w:val="single" w:sz="4" w:space="0" w:color="auto"/>
              <w:right w:val="single" w:sz="4" w:space="0" w:color="auto"/>
            </w:tcBorders>
            <w:shd w:val="clear" w:color="000000" w:fill="FFFFFF"/>
            <w:noWrap/>
            <w:vAlign w:val="bottom"/>
          </w:tcPr>
          <w:p w14:paraId="123931C1" w14:textId="770528EA" w:rsidR="009B0929" w:rsidRPr="003638C3" w:rsidRDefault="00190B39">
            <w:pPr>
              <w:ind w:left="-70" w:firstLine="70"/>
              <w:jc w:val="right"/>
              <w:rPr>
                <w:rFonts w:ascii="Arial" w:hAnsi="Arial" w:cs="Arial"/>
                <w:b/>
                <w:sz w:val="16"/>
                <w:szCs w:val="14"/>
              </w:rPr>
            </w:pPr>
            <w:r w:rsidRPr="00190B39">
              <w:rPr>
                <w:rFonts w:ascii="Arial" w:hAnsi="Arial" w:cs="Arial"/>
                <w:b/>
                <w:sz w:val="16"/>
                <w:szCs w:val="14"/>
              </w:rPr>
              <w:t>52.555.826</w:t>
            </w:r>
          </w:p>
        </w:tc>
        <w:tc>
          <w:tcPr>
            <w:tcW w:w="1218" w:type="dxa"/>
            <w:tcBorders>
              <w:top w:val="single" w:sz="4" w:space="0" w:color="auto"/>
              <w:left w:val="nil"/>
              <w:bottom w:val="single" w:sz="4" w:space="0" w:color="auto"/>
              <w:right w:val="single" w:sz="4" w:space="0" w:color="auto"/>
            </w:tcBorders>
            <w:shd w:val="clear" w:color="000000" w:fill="FFFFFF"/>
            <w:noWrap/>
            <w:vAlign w:val="bottom"/>
          </w:tcPr>
          <w:p w14:paraId="373667B8" w14:textId="2B418CBF" w:rsidR="009B0929" w:rsidRPr="003638C3" w:rsidRDefault="00190B39">
            <w:pPr>
              <w:ind w:left="-70" w:firstLine="70"/>
              <w:jc w:val="right"/>
              <w:rPr>
                <w:rFonts w:ascii="Arial" w:hAnsi="Arial" w:cs="Arial"/>
                <w:b/>
                <w:sz w:val="16"/>
                <w:szCs w:val="14"/>
              </w:rPr>
            </w:pPr>
            <w:r w:rsidRPr="00190B39">
              <w:rPr>
                <w:rFonts w:ascii="Arial" w:hAnsi="Arial" w:cs="Arial"/>
                <w:b/>
                <w:sz w:val="16"/>
                <w:szCs w:val="14"/>
              </w:rPr>
              <w:t>90.206.567</w:t>
            </w:r>
          </w:p>
        </w:tc>
        <w:tc>
          <w:tcPr>
            <w:tcW w:w="1070" w:type="dxa"/>
            <w:tcBorders>
              <w:top w:val="single" w:sz="4" w:space="0" w:color="auto"/>
              <w:left w:val="nil"/>
              <w:bottom w:val="single" w:sz="4" w:space="0" w:color="auto"/>
              <w:right w:val="single" w:sz="4" w:space="0" w:color="auto"/>
            </w:tcBorders>
            <w:shd w:val="clear" w:color="000000" w:fill="FFFFFF"/>
            <w:noWrap/>
            <w:vAlign w:val="bottom"/>
          </w:tcPr>
          <w:p w14:paraId="3D35D6EF" w14:textId="45309DEC" w:rsidR="009B0929" w:rsidRPr="003638C3" w:rsidRDefault="009B0929">
            <w:pPr>
              <w:ind w:left="-70" w:firstLine="70"/>
              <w:jc w:val="right"/>
              <w:rPr>
                <w:rFonts w:ascii="Arial" w:hAnsi="Arial" w:cs="Arial"/>
                <w:b/>
                <w:sz w:val="16"/>
                <w:szCs w:val="14"/>
              </w:rPr>
            </w:pPr>
            <w:r w:rsidRPr="0023020F">
              <w:rPr>
                <w:rFonts w:ascii="Arial" w:hAnsi="Arial" w:cs="Arial"/>
                <w:b/>
                <w:sz w:val="16"/>
                <w:szCs w:val="14"/>
              </w:rPr>
              <w:t xml:space="preserve"> </w:t>
            </w:r>
            <w:r w:rsidR="00190B39" w:rsidRPr="00190B39">
              <w:rPr>
                <w:rFonts w:ascii="Arial" w:hAnsi="Arial" w:cs="Arial"/>
                <w:b/>
                <w:sz w:val="16"/>
                <w:szCs w:val="14"/>
              </w:rPr>
              <w:t xml:space="preserve"> 8.449.048</w:t>
            </w:r>
          </w:p>
        </w:tc>
        <w:tc>
          <w:tcPr>
            <w:tcW w:w="963" w:type="dxa"/>
            <w:tcBorders>
              <w:top w:val="single" w:sz="4" w:space="0" w:color="auto"/>
              <w:left w:val="nil"/>
              <w:bottom w:val="single" w:sz="4" w:space="0" w:color="auto"/>
              <w:right w:val="single" w:sz="4" w:space="0" w:color="auto"/>
            </w:tcBorders>
            <w:shd w:val="clear" w:color="000000" w:fill="FFFFFF"/>
            <w:noWrap/>
            <w:vAlign w:val="bottom"/>
          </w:tcPr>
          <w:p w14:paraId="5583678A" w14:textId="72627550" w:rsidR="009B0929" w:rsidRPr="003638C3" w:rsidRDefault="009B0929">
            <w:pPr>
              <w:ind w:left="-70" w:firstLine="70"/>
              <w:jc w:val="right"/>
              <w:rPr>
                <w:rFonts w:ascii="Arial" w:hAnsi="Arial" w:cs="Arial"/>
                <w:b/>
                <w:sz w:val="16"/>
                <w:szCs w:val="14"/>
              </w:rPr>
            </w:pPr>
            <w:r w:rsidRPr="0023020F">
              <w:rPr>
                <w:rFonts w:ascii="Arial" w:hAnsi="Arial" w:cs="Arial"/>
                <w:b/>
                <w:sz w:val="16"/>
                <w:szCs w:val="14"/>
              </w:rPr>
              <w:t xml:space="preserve"> </w:t>
            </w:r>
            <w:r w:rsidR="00190B39" w:rsidRPr="00190B39">
              <w:rPr>
                <w:rFonts w:ascii="Arial" w:hAnsi="Arial" w:cs="Arial"/>
                <w:b/>
                <w:sz w:val="16"/>
                <w:szCs w:val="14"/>
              </w:rPr>
              <w:t xml:space="preserve"> -3.675.659</w:t>
            </w:r>
          </w:p>
        </w:tc>
        <w:tc>
          <w:tcPr>
            <w:tcW w:w="1202" w:type="dxa"/>
            <w:tcBorders>
              <w:top w:val="single" w:sz="4" w:space="0" w:color="auto"/>
              <w:left w:val="nil"/>
              <w:bottom w:val="single" w:sz="4" w:space="0" w:color="auto"/>
              <w:right w:val="single" w:sz="4" w:space="0" w:color="auto"/>
            </w:tcBorders>
            <w:shd w:val="clear" w:color="000000" w:fill="FFFFFF"/>
            <w:noWrap/>
            <w:vAlign w:val="bottom"/>
          </w:tcPr>
          <w:p w14:paraId="2D27F55F" w14:textId="05058EF3" w:rsidR="009B0929" w:rsidRPr="00493074" w:rsidRDefault="009B0929" w:rsidP="009B0929">
            <w:pPr>
              <w:ind w:left="-70" w:firstLine="70"/>
              <w:jc w:val="right"/>
              <w:rPr>
                <w:rFonts w:ascii="Arial" w:hAnsi="Arial" w:cs="Arial"/>
                <w:b/>
                <w:sz w:val="16"/>
                <w:szCs w:val="16"/>
              </w:rPr>
            </w:pPr>
            <w:r w:rsidRPr="00493074">
              <w:rPr>
                <w:rFonts w:ascii="Arial" w:hAnsi="Arial" w:cs="Arial"/>
                <w:b/>
                <w:sz w:val="16"/>
                <w:szCs w:val="16"/>
              </w:rPr>
              <w:t xml:space="preserve"> </w:t>
            </w:r>
            <w:r w:rsidR="00190B39" w:rsidRPr="00190B39">
              <w:rPr>
                <w:rFonts w:ascii="Arial" w:hAnsi="Arial" w:cs="Arial"/>
                <w:b/>
                <w:sz w:val="16"/>
                <w:szCs w:val="16"/>
              </w:rPr>
              <w:t xml:space="preserve"> 190.352.958</w:t>
            </w:r>
          </w:p>
        </w:tc>
      </w:tr>
    </w:tbl>
    <w:p w14:paraId="362863E1" w14:textId="77777777" w:rsidR="006D43FB" w:rsidRPr="00701F32" w:rsidRDefault="006D43FB" w:rsidP="006D43FB">
      <w:pPr>
        <w:spacing w:after="160" w:line="259" w:lineRule="auto"/>
        <w:jc w:val="both"/>
        <w:rPr>
          <w:rFonts w:ascii="Arial" w:eastAsia="Calibri" w:hAnsi="Arial" w:cs="Arial"/>
          <w:bCs/>
          <w:sz w:val="20"/>
        </w:rPr>
      </w:pPr>
    </w:p>
    <w:tbl>
      <w:tblPr>
        <w:tblW w:w="10340" w:type="dxa"/>
        <w:tblInd w:w="-356" w:type="dxa"/>
        <w:tblCellMar>
          <w:left w:w="70" w:type="dxa"/>
          <w:right w:w="70" w:type="dxa"/>
        </w:tblCellMar>
        <w:tblLook w:val="04A0" w:firstRow="1" w:lastRow="0" w:firstColumn="1" w:lastColumn="0" w:noHBand="0" w:noVBand="1"/>
      </w:tblPr>
      <w:tblGrid>
        <w:gridCol w:w="3284"/>
        <w:gridCol w:w="1323"/>
        <w:gridCol w:w="1120"/>
        <w:gridCol w:w="1259"/>
        <w:gridCol w:w="1119"/>
        <w:gridCol w:w="978"/>
        <w:gridCol w:w="1257"/>
      </w:tblGrid>
      <w:tr w:rsidR="008D322F" w:rsidRPr="00701F32" w14:paraId="41FB1B29" w14:textId="77777777" w:rsidTr="002775B9">
        <w:trPr>
          <w:trHeight w:val="447"/>
          <w:tblHeader/>
        </w:trPr>
        <w:tc>
          <w:tcPr>
            <w:tcW w:w="3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C8907" w14:textId="7EEA36DB" w:rsidR="008D322F" w:rsidRPr="00BA7A6B" w:rsidRDefault="008D322F" w:rsidP="008D322F">
            <w:pPr>
              <w:jc w:val="center"/>
              <w:rPr>
                <w:rFonts w:ascii="Arial" w:hAnsi="Arial" w:cs="Arial"/>
                <w:b/>
                <w:bCs/>
                <w:sz w:val="16"/>
                <w:szCs w:val="16"/>
                <w:lang w:eastAsia="es-AR"/>
              </w:rPr>
            </w:pPr>
            <w:r w:rsidRPr="00BA7A6B">
              <w:rPr>
                <w:rFonts w:ascii="Arial" w:hAnsi="Arial" w:cs="Arial"/>
                <w:b/>
                <w:bCs/>
                <w:sz w:val="16"/>
                <w:szCs w:val="16"/>
                <w:lang w:eastAsia="es-AR"/>
              </w:rPr>
              <w:lastRenderedPageBreak/>
              <w:t>PASIVO al 31/03/2020</w:t>
            </w:r>
          </w:p>
        </w:tc>
        <w:tc>
          <w:tcPr>
            <w:tcW w:w="1323" w:type="dxa"/>
            <w:tcBorders>
              <w:top w:val="single" w:sz="4" w:space="0" w:color="auto"/>
              <w:left w:val="nil"/>
              <w:bottom w:val="single" w:sz="4" w:space="0" w:color="auto"/>
              <w:right w:val="single" w:sz="4" w:space="0" w:color="auto"/>
            </w:tcBorders>
            <w:shd w:val="clear" w:color="auto" w:fill="auto"/>
            <w:hideMark/>
          </w:tcPr>
          <w:p w14:paraId="1871A6AA" w14:textId="060EFF60" w:rsidR="008D322F" w:rsidRPr="00BA7A6B" w:rsidRDefault="008D322F" w:rsidP="008D322F">
            <w:pPr>
              <w:jc w:val="center"/>
              <w:rPr>
                <w:rFonts w:ascii="Arial" w:hAnsi="Arial" w:cs="Arial"/>
                <w:b/>
                <w:bCs/>
                <w:color w:val="000000"/>
                <w:sz w:val="16"/>
                <w:szCs w:val="16"/>
                <w:lang w:eastAsia="es-AR"/>
              </w:rPr>
            </w:pPr>
            <w:r w:rsidRPr="00BD4914">
              <w:rPr>
                <w:rFonts w:ascii="Arial" w:hAnsi="Arial" w:cs="Arial"/>
                <w:b/>
                <w:bCs/>
                <w:color w:val="000000"/>
                <w:sz w:val="16"/>
                <w:szCs w:val="16"/>
                <w:lang w:eastAsia="es-AR"/>
              </w:rPr>
              <w:t xml:space="preserve">Banca Corporativa </w:t>
            </w:r>
          </w:p>
        </w:tc>
        <w:tc>
          <w:tcPr>
            <w:tcW w:w="1120" w:type="dxa"/>
            <w:tcBorders>
              <w:top w:val="single" w:sz="4" w:space="0" w:color="auto"/>
              <w:left w:val="nil"/>
              <w:bottom w:val="single" w:sz="4" w:space="0" w:color="auto"/>
              <w:right w:val="single" w:sz="4" w:space="0" w:color="auto"/>
            </w:tcBorders>
            <w:shd w:val="clear" w:color="auto" w:fill="auto"/>
            <w:hideMark/>
          </w:tcPr>
          <w:p w14:paraId="5B13886B" w14:textId="0867ACB1" w:rsidR="008D322F" w:rsidRPr="00BA7A6B" w:rsidRDefault="008D322F" w:rsidP="008D322F">
            <w:pPr>
              <w:jc w:val="center"/>
              <w:rPr>
                <w:rFonts w:ascii="Arial" w:hAnsi="Arial" w:cs="Arial"/>
                <w:b/>
                <w:bCs/>
                <w:color w:val="000000"/>
                <w:sz w:val="16"/>
                <w:szCs w:val="16"/>
                <w:lang w:eastAsia="es-AR"/>
              </w:rPr>
            </w:pPr>
            <w:r w:rsidRPr="00BD4914">
              <w:rPr>
                <w:rFonts w:ascii="Arial" w:hAnsi="Arial" w:cs="Arial"/>
                <w:b/>
                <w:bCs/>
                <w:color w:val="000000"/>
                <w:sz w:val="16"/>
                <w:szCs w:val="16"/>
                <w:lang w:eastAsia="es-AR"/>
              </w:rPr>
              <w:t xml:space="preserve">Banca </w:t>
            </w:r>
            <w:r>
              <w:rPr>
                <w:rFonts w:ascii="Arial" w:hAnsi="Arial" w:cs="Arial"/>
                <w:b/>
                <w:bCs/>
                <w:color w:val="000000"/>
                <w:sz w:val="16"/>
                <w:szCs w:val="16"/>
                <w:lang w:eastAsia="es-AR"/>
              </w:rPr>
              <w:t>Personas y Negocios</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176567B6"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Tesorería </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284867BE"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Consumo </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7CC0A775"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Ajustes </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05E51FA1"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TOTAL </w:t>
            </w:r>
          </w:p>
        </w:tc>
      </w:tr>
      <w:tr w:rsidR="00190B39" w:rsidRPr="009203E4" w14:paraId="5E12C1B0"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594DCC29" w14:textId="76DE995C" w:rsidR="00190B39" w:rsidRPr="003E014F" w:rsidRDefault="00190B39" w:rsidP="00190B39">
            <w:pPr>
              <w:rPr>
                <w:rFonts w:ascii="Arial" w:hAnsi="Arial" w:cs="Arial"/>
                <w:b/>
                <w:bCs/>
                <w:sz w:val="16"/>
                <w:szCs w:val="16"/>
                <w:lang w:eastAsia="es-AR"/>
              </w:rPr>
            </w:pPr>
            <w:r w:rsidRPr="003E014F">
              <w:rPr>
                <w:rFonts w:ascii="Arial" w:hAnsi="Arial" w:cs="Arial"/>
                <w:sz w:val="16"/>
                <w:szCs w:val="16"/>
              </w:rPr>
              <w:t>Depósitos</w:t>
            </w:r>
          </w:p>
        </w:tc>
        <w:tc>
          <w:tcPr>
            <w:tcW w:w="1323" w:type="dxa"/>
            <w:tcBorders>
              <w:top w:val="nil"/>
              <w:left w:val="nil"/>
              <w:bottom w:val="single" w:sz="4" w:space="0" w:color="auto"/>
              <w:right w:val="single" w:sz="4" w:space="0" w:color="auto"/>
            </w:tcBorders>
            <w:shd w:val="clear" w:color="auto" w:fill="auto"/>
            <w:noWrap/>
            <w:vAlign w:val="bottom"/>
          </w:tcPr>
          <w:p w14:paraId="189E19B0" w14:textId="13E22A1E" w:rsidR="00190B39" w:rsidRPr="003E014F" w:rsidRDefault="00190B39" w:rsidP="00D3280F">
            <w:pPr>
              <w:jc w:val="right"/>
              <w:rPr>
                <w:rFonts w:ascii="Arial" w:hAnsi="Arial" w:cs="Arial"/>
                <w:b/>
                <w:sz w:val="16"/>
                <w:szCs w:val="16"/>
              </w:rPr>
            </w:pPr>
            <w:r w:rsidRPr="00190B39">
              <w:rPr>
                <w:rFonts w:ascii="Arial" w:hAnsi="Arial" w:cs="Arial"/>
                <w:b/>
                <w:sz w:val="16"/>
                <w:szCs w:val="16"/>
              </w:rPr>
              <w:t xml:space="preserve"> -14.831.832 </w:t>
            </w:r>
          </w:p>
        </w:tc>
        <w:tc>
          <w:tcPr>
            <w:tcW w:w="1120" w:type="dxa"/>
            <w:tcBorders>
              <w:top w:val="nil"/>
              <w:left w:val="nil"/>
              <w:bottom w:val="single" w:sz="4" w:space="0" w:color="auto"/>
              <w:right w:val="single" w:sz="4" w:space="0" w:color="auto"/>
            </w:tcBorders>
            <w:shd w:val="clear" w:color="auto" w:fill="auto"/>
            <w:noWrap/>
            <w:vAlign w:val="bottom"/>
          </w:tcPr>
          <w:p w14:paraId="044C31C9" w14:textId="6935FA3A" w:rsidR="00190B39" w:rsidRPr="003E014F" w:rsidRDefault="00190B39" w:rsidP="00D3280F">
            <w:pPr>
              <w:jc w:val="right"/>
              <w:rPr>
                <w:rFonts w:ascii="Arial" w:hAnsi="Arial" w:cs="Arial"/>
                <w:b/>
                <w:sz w:val="16"/>
                <w:szCs w:val="16"/>
              </w:rPr>
            </w:pPr>
            <w:r w:rsidRPr="00190B39">
              <w:rPr>
                <w:rFonts w:ascii="Arial" w:hAnsi="Arial" w:cs="Arial"/>
                <w:b/>
                <w:sz w:val="16"/>
                <w:szCs w:val="16"/>
              </w:rPr>
              <w:t xml:space="preserve"> -74.732.408 </w:t>
            </w:r>
          </w:p>
        </w:tc>
        <w:tc>
          <w:tcPr>
            <w:tcW w:w="1259" w:type="dxa"/>
            <w:tcBorders>
              <w:top w:val="nil"/>
              <w:left w:val="nil"/>
              <w:bottom w:val="single" w:sz="4" w:space="0" w:color="auto"/>
              <w:right w:val="single" w:sz="4" w:space="0" w:color="auto"/>
            </w:tcBorders>
            <w:shd w:val="clear" w:color="auto" w:fill="auto"/>
            <w:noWrap/>
            <w:vAlign w:val="bottom"/>
          </w:tcPr>
          <w:p w14:paraId="7A1E8C03" w14:textId="21A86ED7" w:rsidR="00190B39" w:rsidRPr="003E014F" w:rsidRDefault="00190B39" w:rsidP="00D3280F">
            <w:pPr>
              <w:jc w:val="right"/>
              <w:rPr>
                <w:rFonts w:ascii="Arial" w:hAnsi="Arial" w:cs="Arial"/>
                <w:b/>
                <w:sz w:val="16"/>
                <w:szCs w:val="16"/>
              </w:rPr>
            </w:pPr>
            <w:r w:rsidRPr="00190B39">
              <w:rPr>
                <w:rFonts w:ascii="Arial" w:hAnsi="Arial" w:cs="Arial"/>
                <w:b/>
                <w:sz w:val="16"/>
                <w:szCs w:val="16"/>
              </w:rPr>
              <w:t xml:space="preserve"> -47.471.064 </w:t>
            </w:r>
          </w:p>
        </w:tc>
        <w:tc>
          <w:tcPr>
            <w:tcW w:w="1119" w:type="dxa"/>
            <w:tcBorders>
              <w:top w:val="nil"/>
              <w:left w:val="nil"/>
              <w:bottom w:val="single" w:sz="4" w:space="0" w:color="auto"/>
              <w:right w:val="single" w:sz="4" w:space="0" w:color="auto"/>
            </w:tcBorders>
            <w:shd w:val="clear" w:color="auto" w:fill="auto"/>
            <w:noWrap/>
            <w:vAlign w:val="bottom"/>
          </w:tcPr>
          <w:p w14:paraId="00EE3E70" w14:textId="028ACC1A" w:rsidR="00190B39" w:rsidRPr="003E014F" w:rsidRDefault="00190B39" w:rsidP="00D3280F">
            <w:pPr>
              <w:jc w:val="right"/>
              <w:rPr>
                <w:rFonts w:ascii="Arial" w:hAnsi="Arial" w:cs="Arial"/>
                <w:b/>
                <w:sz w:val="16"/>
                <w:szCs w:val="16"/>
              </w:rPr>
            </w:pPr>
            <w:r w:rsidRPr="00190B39">
              <w:rPr>
                <w:rFonts w:ascii="Arial" w:hAnsi="Arial" w:cs="Arial"/>
                <w:b/>
                <w:sz w:val="16"/>
                <w:szCs w:val="16"/>
              </w:rPr>
              <w:t xml:space="preserve"> -2.648.661 </w:t>
            </w:r>
          </w:p>
        </w:tc>
        <w:tc>
          <w:tcPr>
            <w:tcW w:w="978" w:type="dxa"/>
            <w:tcBorders>
              <w:top w:val="nil"/>
              <w:left w:val="nil"/>
              <w:bottom w:val="single" w:sz="4" w:space="0" w:color="auto"/>
              <w:right w:val="single" w:sz="4" w:space="0" w:color="auto"/>
            </w:tcBorders>
            <w:shd w:val="clear" w:color="auto" w:fill="auto"/>
            <w:noWrap/>
            <w:vAlign w:val="bottom"/>
          </w:tcPr>
          <w:p w14:paraId="4EDDFF2A" w14:textId="0FC59149" w:rsidR="00190B39" w:rsidRPr="003E014F" w:rsidRDefault="00190B39" w:rsidP="00D3280F">
            <w:pPr>
              <w:jc w:val="right"/>
              <w:rPr>
                <w:rFonts w:ascii="Arial" w:hAnsi="Arial" w:cs="Arial"/>
                <w:b/>
                <w:sz w:val="16"/>
                <w:szCs w:val="16"/>
              </w:rPr>
            </w:pPr>
            <w:r w:rsidRPr="00190B39">
              <w:rPr>
                <w:rFonts w:ascii="Arial" w:hAnsi="Arial" w:cs="Arial"/>
                <w:b/>
                <w:sz w:val="16"/>
                <w:szCs w:val="16"/>
              </w:rPr>
              <w:t xml:space="preserve"> 44.830 </w:t>
            </w:r>
          </w:p>
        </w:tc>
        <w:tc>
          <w:tcPr>
            <w:tcW w:w="1257" w:type="dxa"/>
            <w:tcBorders>
              <w:top w:val="nil"/>
              <w:left w:val="nil"/>
              <w:bottom w:val="single" w:sz="4" w:space="0" w:color="auto"/>
              <w:right w:val="single" w:sz="4" w:space="0" w:color="auto"/>
            </w:tcBorders>
            <w:shd w:val="clear" w:color="auto" w:fill="auto"/>
            <w:noWrap/>
            <w:vAlign w:val="bottom"/>
          </w:tcPr>
          <w:p w14:paraId="3592DC1B" w14:textId="64773DAA" w:rsidR="00190B39" w:rsidRPr="00190B39" w:rsidRDefault="00190B39" w:rsidP="00D3280F">
            <w:pPr>
              <w:jc w:val="right"/>
              <w:rPr>
                <w:rFonts w:ascii="Arial" w:hAnsi="Arial" w:cs="Arial"/>
                <w:b/>
                <w:sz w:val="16"/>
                <w:szCs w:val="16"/>
              </w:rPr>
            </w:pPr>
            <w:r w:rsidRPr="00190B39">
              <w:rPr>
                <w:rFonts w:ascii="Arial" w:hAnsi="Arial" w:cs="Arial"/>
                <w:b/>
                <w:sz w:val="16"/>
                <w:szCs w:val="16"/>
              </w:rPr>
              <w:t xml:space="preserve"> -139.639.135 </w:t>
            </w:r>
          </w:p>
        </w:tc>
      </w:tr>
      <w:tr w:rsidR="00190B39" w:rsidRPr="005F090B" w14:paraId="36D05241" w14:textId="77777777" w:rsidTr="002775B9">
        <w:trPr>
          <w:trHeight w:val="301"/>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109D5A87" w14:textId="3D4C1615" w:rsidR="00190B39" w:rsidRPr="005F090B" w:rsidRDefault="00190B39" w:rsidP="00190B39">
            <w:pPr>
              <w:rPr>
                <w:rFonts w:ascii="Arial" w:hAnsi="Arial" w:cs="Arial"/>
                <w:color w:val="000000"/>
                <w:sz w:val="16"/>
                <w:szCs w:val="16"/>
                <w:lang w:eastAsia="es-AR"/>
              </w:rPr>
            </w:pPr>
            <w:r w:rsidRPr="003E014F">
              <w:rPr>
                <w:rFonts w:ascii="Arial" w:hAnsi="Arial" w:cs="Arial"/>
                <w:sz w:val="16"/>
                <w:szCs w:val="16"/>
              </w:rPr>
              <w:t xml:space="preserve">   </w:t>
            </w:r>
            <w:r w:rsidRPr="005F090B">
              <w:rPr>
                <w:rFonts w:ascii="Arial" w:hAnsi="Arial" w:cs="Arial"/>
                <w:sz w:val="16"/>
                <w:szCs w:val="16"/>
              </w:rPr>
              <w:t>Sector público no financiero</w:t>
            </w:r>
          </w:p>
        </w:tc>
        <w:tc>
          <w:tcPr>
            <w:tcW w:w="1323" w:type="dxa"/>
            <w:tcBorders>
              <w:top w:val="nil"/>
              <w:left w:val="nil"/>
              <w:bottom w:val="single" w:sz="4" w:space="0" w:color="auto"/>
              <w:right w:val="single" w:sz="4" w:space="0" w:color="auto"/>
            </w:tcBorders>
            <w:shd w:val="clear" w:color="auto" w:fill="auto"/>
            <w:noWrap/>
            <w:vAlign w:val="bottom"/>
          </w:tcPr>
          <w:p w14:paraId="7FA69B7F" w14:textId="20265E22"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-8.880 </w:t>
            </w:r>
          </w:p>
        </w:tc>
        <w:tc>
          <w:tcPr>
            <w:tcW w:w="1120" w:type="dxa"/>
            <w:tcBorders>
              <w:top w:val="nil"/>
              <w:left w:val="nil"/>
              <w:bottom w:val="single" w:sz="4" w:space="0" w:color="auto"/>
              <w:right w:val="single" w:sz="4" w:space="0" w:color="auto"/>
            </w:tcBorders>
            <w:shd w:val="clear" w:color="auto" w:fill="auto"/>
            <w:noWrap/>
            <w:vAlign w:val="bottom"/>
          </w:tcPr>
          <w:p w14:paraId="35A848A7" w14:textId="4C787394"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-1.519.543 </w:t>
            </w:r>
          </w:p>
        </w:tc>
        <w:tc>
          <w:tcPr>
            <w:tcW w:w="1259" w:type="dxa"/>
            <w:tcBorders>
              <w:top w:val="nil"/>
              <w:left w:val="nil"/>
              <w:bottom w:val="single" w:sz="4" w:space="0" w:color="auto"/>
              <w:right w:val="single" w:sz="4" w:space="0" w:color="auto"/>
            </w:tcBorders>
            <w:shd w:val="clear" w:color="auto" w:fill="auto"/>
            <w:noWrap/>
            <w:vAlign w:val="bottom"/>
          </w:tcPr>
          <w:p w14:paraId="13F80FB4" w14:textId="6E8EDFE9"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-4.039.772 </w:t>
            </w:r>
          </w:p>
        </w:tc>
        <w:tc>
          <w:tcPr>
            <w:tcW w:w="1119" w:type="dxa"/>
            <w:tcBorders>
              <w:top w:val="nil"/>
              <w:left w:val="nil"/>
              <w:bottom w:val="single" w:sz="4" w:space="0" w:color="auto"/>
              <w:right w:val="single" w:sz="4" w:space="0" w:color="auto"/>
            </w:tcBorders>
            <w:shd w:val="clear" w:color="auto" w:fill="auto"/>
            <w:noWrap/>
            <w:vAlign w:val="bottom"/>
          </w:tcPr>
          <w:p w14:paraId="2E7F287C" w14:textId="3DEE5FF2"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978" w:type="dxa"/>
            <w:tcBorders>
              <w:top w:val="nil"/>
              <w:left w:val="nil"/>
              <w:bottom w:val="single" w:sz="4" w:space="0" w:color="auto"/>
              <w:right w:val="single" w:sz="4" w:space="0" w:color="auto"/>
            </w:tcBorders>
            <w:shd w:val="clear" w:color="auto" w:fill="auto"/>
            <w:noWrap/>
            <w:vAlign w:val="bottom"/>
          </w:tcPr>
          <w:p w14:paraId="5F40EA72" w14:textId="459A86C4"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7" w:type="dxa"/>
            <w:tcBorders>
              <w:top w:val="nil"/>
              <w:left w:val="nil"/>
              <w:bottom w:val="single" w:sz="4" w:space="0" w:color="auto"/>
              <w:right w:val="single" w:sz="4" w:space="0" w:color="auto"/>
            </w:tcBorders>
            <w:shd w:val="clear" w:color="auto" w:fill="auto"/>
            <w:noWrap/>
            <w:vAlign w:val="bottom"/>
          </w:tcPr>
          <w:p w14:paraId="586F099B" w14:textId="7258EB76"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-5.568.195 </w:t>
            </w:r>
          </w:p>
        </w:tc>
      </w:tr>
      <w:tr w:rsidR="00190B39" w:rsidRPr="005F090B" w14:paraId="518492D4" w14:textId="77777777" w:rsidTr="002775B9">
        <w:trPr>
          <w:trHeight w:val="7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70F0645F" w14:textId="0830C5D8" w:rsidR="00190B39" w:rsidRPr="005F090B" w:rsidRDefault="00190B39" w:rsidP="00190B39">
            <w:pPr>
              <w:rPr>
                <w:rFonts w:ascii="Arial" w:hAnsi="Arial" w:cs="Arial"/>
                <w:color w:val="000000"/>
                <w:sz w:val="16"/>
                <w:szCs w:val="16"/>
                <w:lang w:eastAsia="es-AR"/>
              </w:rPr>
            </w:pPr>
            <w:r w:rsidRPr="005F090B">
              <w:rPr>
                <w:rFonts w:ascii="Arial" w:hAnsi="Arial" w:cs="Arial"/>
                <w:sz w:val="16"/>
                <w:szCs w:val="16"/>
              </w:rPr>
              <w:t xml:space="preserve">   Sector financiero</w:t>
            </w:r>
          </w:p>
        </w:tc>
        <w:tc>
          <w:tcPr>
            <w:tcW w:w="1323" w:type="dxa"/>
            <w:tcBorders>
              <w:top w:val="nil"/>
              <w:left w:val="nil"/>
              <w:bottom w:val="single" w:sz="4" w:space="0" w:color="auto"/>
              <w:right w:val="single" w:sz="4" w:space="0" w:color="auto"/>
            </w:tcBorders>
            <w:shd w:val="clear" w:color="auto" w:fill="auto"/>
            <w:noWrap/>
            <w:vAlign w:val="bottom"/>
          </w:tcPr>
          <w:p w14:paraId="51478BC5" w14:textId="416E091A"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-61.578 </w:t>
            </w:r>
          </w:p>
        </w:tc>
        <w:tc>
          <w:tcPr>
            <w:tcW w:w="1120" w:type="dxa"/>
            <w:tcBorders>
              <w:top w:val="nil"/>
              <w:left w:val="nil"/>
              <w:bottom w:val="single" w:sz="4" w:space="0" w:color="auto"/>
              <w:right w:val="single" w:sz="4" w:space="0" w:color="auto"/>
            </w:tcBorders>
            <w:shd w:val="clear" w:color="auto" w:fill="auto"/>
            <w:noWrap/>
            <w:vAlign w:val="bottom"/>
          </w:tcPr>
          <w:p w14:paraId="40C9D6C3" w14:textId="3FE49271"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9" w:type="dxa"/>
            <w:tcBorders>
              <w:top w:val="nil"/>
              <w:left w:val="nil"/>
              <w:bottom w:val="single" w:sz="4" w:space="0" w:color="auto"/>
              <w:right w:val="single" w:sz="4" w:space="0" w:color="auto"/>
            </w:tcBorders>
            <w:shd w:val="clear" w:color="auto" w:fill="auto"/>
            <w:noWrap/>
            <w:vAlign w:val="bottom"/>
          </w:tcPr>
          <w:p w14:paraId="1A40DAA6" w14:textId="38366EE8"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-62 </w:t>
            </w:r>
          </w:p>
        </w:tc>
        <w:tc>
          <w:tcPr>
            <w:tcW w:w="1119" w:type="dxa"/>
            <w:tcBorders>
              <w:top w:val="nil"/>
              <w:left w:val="nil"/>
              <w:bottom w:val="single" w:sz="4" w:space="0" w:color="auto"/>
              <w:right w:val="single" w:sz="4" w:space="0" w:color="auto"/>
            </w:tcBorders>
            <w:shd w:val="clear" w:color="auto" w:fill="auto"/>
            <w:noWrap/>
            <w:vAlign w:val="bottom"/>
          </w:tcPr>
          <w:p w14:paraId="4510C3AF" w14:textId="70991CDF"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978" w:type="dxa"/>
            <w:tcBorders>
              <w:top w:val="nil"/>
              <w:left w:val="nil"/>
              <w:bottom w:val="single" w:sz="4" w:space="0" w:color="auto"/>
              <w:right w:val="single" w:sz="4" w:space="0" w:color="auto"/>
            </w:tcBorders>
            <w:shd w:val="clear" w:color="auto" w:fill="auto"/>
            <w:noWrap/>
            <w:vAlign w:val="bottom"/>
          </w:tcPr>
          <w:p w14:paraId="2F2FDEF3" w14:textId="3269A551"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44.830 </w:t>
            </w:r>
          </w:p>
        </w:tc>
        <w:tc>
          <w:tcPr>
            <w:tcW w:w="1257" w:type="dxa"/>
            <w:tcBorders>
              <w:top w:val="nil"/>
              <w:left w:val="nil"/>
              <w:bottom w:val="single" w:sz="4" w:space="0" w:color="auto"/>
              <w:right w:val="single" w:sz="4" w:space="0" w:color="auto"/>
            </w:tcBorders>
            <w:shd w:val="clear" w:color="auto" w:fill="auto"/>
            <w:noWrap/>
            <w:vAlign w:val="bottom"/>
          </w:tcPr>
          <w:p w14:paraId="5A88E9F7" w14:textId="53E1C1E3"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-16.810 </w:t>
            </w:r>
          </w:p>
        </w:tc>
      </w:tr>
      <w:tr w:rsidR="00190B39" w:rsidRPr="005F090B" w14:paraId="3A0CDC60"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noWrap/>
            <w:vAlign w:val="bottom"/>
            <w:hideMark/>
          </w:tcPr>
          <w:p w14:paraId="6601B0A5" w14:textId="17CEB8B3" w:rsidR="00190B39" w:rsidRPr="005F090B" w:rsidRDefault="00190B39" w:rsidP="00190B39">
            <w:pPr>
              <w:ind w:left="72" w:hanging="72"/>
              <w:rPr>
                <w:rFonts w:ascii="Arial" w:hAnsi="Arial" w:cs="Arial"/>
                <w:color w:val="000000"/>
                <w:sz w:val="16"/>
                <w:szCs w:val="16"/>
                <w:lang w:eastAsia="es-AR"/>
              </w:rPr>
            </w:pPr>
            <w:r w:rsidRPr="005F090B">
              <w:rPr>
                <w:rFonts w:ascii="Arial" w:hAnsi="Arial" w:cs="Arial"/>
                <w:sz w:val="16"/>
                <w:szCs w:val="16"/>
              </w:rPr>
              <w:t xml:space="preserve">   Sector privado no financiero y residentes en el    exterior</w:t>
            </w:r>
          </w:p>
        </w:tc>
        <w:tc>
          <w:tcPr>
            <w:tcW w:w="1323" w:type="dxa"/>
            <w:tcBorders>
              <w:top w:val="nil"/>
              <w:left w:val="nil"/>
              <w:bottom w:val="single" w:sz="4" w:space="0" w:color="auto"/>
              <w:right w:val="single" w:sz="4" w:space="0" w:color="auto"/>
            </w:tcBorders>
            <w:shd w:val="clear" w:color="auto" w:fill="auto"/>
            <w:noWrap/>
            <w:vAlign w:val="bottom"/>
          </w:tcPr>
          <w:p w14:paraId="69E29DC7" w14:textId="798571D6"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-14.761.374 </w:t>
            </w:r>
          </w:p>
        </w:tc>
        <w:tc>
          <w:tcPr>
            <w:tcW w:w="1120" w:type="dxa"/>
            <w:tcBorders>
              <w:top w:val="nil"/>
              <w:left w:val="nil"/>
              <w:bottom w:val="single" w:sz="4" w:space="0" w:color="auto"/>
              <w:right w:val="single" w:sz="4" w:space="0" w:color="auto"/>
            </w:tcBorders>
            <w:shd w:val="clear" w:color="auto" w:fill="auto"/>
            <w:noWrap/>
            <w:vAlign w:val="bottom"/>
          </w:tcPr>
          <w:p w14:paraId="35CBD474" w14:textId="68DB952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-73.212.865 </w:t>
            </w:r>
          </w:p>
        </w:tc>
        <w:tc>
          <w:tcPr>
            <w:tcW w:w="1259" w:type="dxa"/>
            <w:tcBorders>
              <w:top w:val="nil"/>
              <w:left w:val="nil"/>
              <w:bottom w:val="single" w:sz="4" w:space="0" w:color="auto"/>
              <w:right w:val="single" w:sz="4" w:space="0" w:color="auto"/>
            </w:tcBorders>
            <w:shd w:val="clear" w:color="auto" w:fill="auto"/>
            <w:noWrap/>
            <w:vAlign w:val="bottom"/>
          </w:tcPr>
          <w:p w14:paraId="67A234F7" w14:textId="41B2B47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-43.431.230 </w:t>
            </w:r>
          </w:p>
        </w:tc>
        <w:tc>
          <w:tcPr>
            <w:tcW w:w="1119" w:type="dxa"/>
            <w:tcBorders>
              <w:top w:val="nil"/>
              <w:left w:val="nil"/>
              <w:bottom w:val="single" w:sz="4" w:space="0" w:color="auto"/>
              <w:right w:val="single" w:sz="4" w:space="0" w:color="auto"/>
            </w:tcBorders>
            <w:shd w:val="clear" w:color="auto" w:fill="auto"/>
            <w:noWrap/>
            <w:vAlign w:val="bottom"/>
          </w:tcPr>
          <w:p w14:paraId="54D6C4DE" w14:textId="3C38560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-2.648.661 </w:t>
            </w:r>
          </w:p>
        </w:tc>
        <w:tc>
          <w:tcPr>
            <w:tcW w:w="978" w:type="dxa"/>
            <w:tcBorders>
              <w:top w:val="nil"/>
              <w:left w:val="nil"/>
              <w:bottom w:val="single" w:sz="4" w:space="0" w:color="auto"/>
              <w:right w:val="single" w:sz="4" w:space="0" w:color="auto"/>
            </w:tcBorders>
            <w:shd w:val="clear" w:color="auto" w:fill="auto"/>
            <w:noWrap/>
            <w:vAlign w:val="bottom"/>
          </w:tcPr>
          <w:p w14:paraId="4E4B4A05" w14:textId="6FBC388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7" w:type="dxa"/>
            <w:tcBorders>
              <w:top w:val="nil"/>
              <w:left w:val="nil"/>
              <w:bottom w:val="single" w:sz="4" w:space="0" w:color="auto"/>
              <w:right w:val="single" w:sz="4" w:space="0" w:color="auto"/>
            </w:tcBorders>
            <w:shd w:val="clear" w:color="auto" w:fill="auto"/>
            <w:noWrap/>
            <w:vAlign w:val="bottom"/>
          </w:tcPr>
          <w:p w14:paraId="396385B2" w14:textId="457BF8F6"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-134.054.130 </w:t>
            </w:r>
          </w:p>
        </w:tc>
      </w:tr>
      <w:tr w:rsidR="00190B39" w:rsidRPr="005F090B" w14:paraId="3ED379D9"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noWrap/>
            <w:vAlign w:val="bottom"/>
            <w:hideMark/>
          </w:tcPr>
          <w:p w14:paraId="1A6F1922" w14:textId="6D60EE37"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Pasivos a valor razonable con cambios en resultados</w:t>
            </w:r>
          </w:p>
        </w:tc>
        <w:tc>
          <w:tcPr>
            <w:tcW w:w="1323" w:type="dxa"/>
            <w:tcBorders>
              <w:top w:val="nil"/>
              <w:left w:val="nil"/>
              <w:bottom w:val="single" w:sz="4" w:space="0" w:color="auto"/>
              <w:right w:val="single" w:sz="4" w:space="0" w:color="auto"/>
            </w:tcBorders>
            <w:shd w:val="clear" w:color="auto" w:fill="auto"/>
            <w:noWrap/>
            <w:vAlign w:val="bottom"/>
          </w:tcPr>
          <w:p w14:paraId="3323E10E" w14:textId="7D822F9F"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120" w:type="dxa"/>
            <w:tcBorders>
              <w:top w:val="nil"/>
              <w:left w:val="nil"/>
              <w:bottom w:val="single" w:sz="4" w:space="0" w:color="auto"/>
              <w:right w:val="single" w:sz="4" w:space="0" w:color="auto"/>
            </w:tcBorders>
            <w:shd w:val="clear" w:color="auto" w:fill="auto"/>
            <w:noWrap/>
            <w:vAlign w:val="bottom"/>
          </w:tcPr>
          <w:p w14:paraId="027D964E" w14:textId="2680F27B"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9" w:type="dxa"/>
            <w:tcBorders>
              <w:top w:val="nil"/>
              <w:left w:val="nil"/>
              <w:bottom w:val="single" w:sz="4" w:space="0" w:color="auto"/>
              <w:right w:val="single" w:sz="4" w:space="0" w:color="auto"/>
            </w:tcBorders>
            <w:shd w:val="clear" w:color="auto" w:fill="auto"/>
            <w:noWrap/>
            <w:vAlign w:val="bottom"/>
          </w:tcPr>
          <w:p w14:paraId="26FBD500" w14:textId="13F6C8CC"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-365.736 </w:t>
            </w:r>
          </w:p>
        </w:tc>
        <w:tc>
          <w:tcPr>
            <w:tcW w:w="1119" w:type="dxa"/>
            <w:tcBorders>
              <w:top w:val="nil"/>
              <w:left w:val="nil"/>
              <w:bottom w:val="single" w:sz="4" w:space="0" w:color="auto"/>
              <w:right w:val="single" w:sz="4" w:space="0" w:color="auto"/>
            </w:tcBorders>
            <w:shd w:val="clear" w:color="auto" w:fill="auto"/>
            <w:noWrap/>
            <w:vAlign w:val="bottom"/>
          </w:tcPr>
          <w:p w14:paraId="2627305A" w14:textId="7E30B1E4"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-568.673 </w:t>
            </w:r>
          </w:p>
        </w:tc>
        <w:tc>
          <w:tcPr>
            <w:tcW w:w="978" w:type="dxa"/>
            <w:tcBorders>
              <w:top w:val="nil"/>
              <w:left w:val="nil"/>
              <w:bottom w:val="single" w:sz="4" w:space="0" w:color="auto"/>
              <w:right w:val="single" w:sz="4" w:space="0" w:color="auto"/>
            </w:tcBorders>
            <w:shd w:val="clear" w:color="auto" w:fill="auto"/>
            <w:noWrap/>
            <w:vAlign w:val="bottom"/>
          </w:tcPr>
          <w:p w14:paraId="4876C4E3" w14:textId="11639DB1"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568.673 </w:t>
            </w:r>
          </w:p>
        </w:tc>
        <w:tc>
          <w:tcPr>
            <w:tcW w:w="1257" w:type="dxa"/>
            <w:tcBorders>
              <w:top w:val="nil"/>
              <w:left w:val="nil"/>
              <w:bottom w:val="single" w:sz="4" w:space="0" w:color="auto"/>
              <w:right w:val="single" w:sz="4" w:space="0" w:color="auto"/>
            </w:tcBorders>
            <w:shd w:val="clear" w:color="auto" w:fill="auto"/>
            <w:noWrap/>
            <w:vAlign w:val="bottom"/>
          </w:tcPr>
          <w:p w14:paraId="0F6C0A4A" w14:textId="202ABC07"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-365.736 </w:t>
            </w:r>
          </w:p>
        </w:tc>
      </w:tr>
      <w:tr w:rsidR="00190B39" w:rsidRPr="005F090B" w14:paraId="2249F1AD"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51F63FD0" w14:textId="1849A96F"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Operaciones de pase</w:t>
            </w:r>
          </w:p>
        </w:tc>
        <w:tc>
          <w:tcPr>
            <w:tcW w:w="1323" w:type="dxa"/>
            <w:tcBorders>
              <w:top w:val="nil"/>
              <w:left w:val="nil"/>
              <w:bottom w:val="single" w:sz="4" w:space="0" w:color="auto"/>
              <w:right w:val="single" w:sz="4" w:space="0" w:color="auto"/>
            </w:tcBorders>
            <w:shd w:val="clear" w:color="auto" w:fill="auto"/>
            <w:noWrap/>
            <w:vAlign w:val="bottom"/>
          </w:tcPr>
          <w:p w14:paraId="6EFB016D" w14:textId="0E10B488"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120" w:type="dxa"/>
            <w:tcBorders>
              <w:top w:val="nil"/>
              <w:left w:val="nil"/>
              <w:bottom w:val="single" w:sz="4" w:space="0" w:color="auto"/>
              <w:right w:val="single" w:sz="4" w:space="0" w:color="auto"/>
            </w:tcBorders>
            <w:shd w:val="clear" w:color="auto" w:fill="auto"/>
            <w:noWrap/>
            <w:vAlign w:val="bottom"/>
          </w:tcPr>
          <w:p w14:paraId="2E729DE5" w14:textId="0CA4D6D6"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9" w:type="dxa"/>
            <w:tcBorders>
              <w:top w:val="nil"/>
              <w:left w:val="nil"/>
              <w:bottom w:val="single" w:sz="4" w:space="0" w:color="auto"/>
              <w:right w:val="single" w:sz="4" w:space="0" w:color="auto"/>
            </w:tcBorders>
            <w:shd w:val="clear" w:color="auto" w:fill="auto"/>
            <w:noWrap/>
            <w:vAlign w:val="bottom"/>
          </w:tcPr>
          <w:p w14:paraId="7E203839" w14:textId="6885329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-282.843 </w:t>
            </w:r>
          </w:p>
        </w:tc>
        <w:tc>
          <w:tcPr>
            <w:tcW w:w="1119" w:type="dxa"/>
            <w:tcBorders>
              <w:top w:val="nil"/>
              <w:left w:val="nil"/>
              <w:bottom w:val="single" w:sz="4" w:space="0" w:color="auto"/>
              <w:right w:val="single" w:sz="4" w:space="0" w:color="auto"/>
            </w:tcBorders>
            <w:shd w:val="clear" w:color="auto" w:fill="auto"/>
            <w:noWrap/>
            <w:vAlign w:val="bottom"/>
          </w:tcPr>
          <w:p w14:paraId="3519E156" w14:textId="5C2412F9"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-241.530 </w:t>
            </w:r>
          </w:p>
        </w:tc>
        <w:tc>
          <w:tcPr>
            <w:tcW w:w="978" w:type="dxa"/>
            <w:tcBorders>
              <w:top w:val="nil"/>
              <w:left w:val="nil"/>
              <w:bottom w:val="single" w:sz="4" w:space="0" w:color="auto"/>
              <w:right w:val="single" w:sz="4" w:space="0" w:color="auto"/>
            </w:tcBorders>
            <w:shd w:val="clear" w:color="auto" w:fill="auto"/>
            <w:noWrap/>
            <w:vAlign w:val="bottom"/>
          </w:tcPr>
          <w:p w14:paraId="3CE6792F" w14:textId="597F52DF"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254.463 </w:t>
            </w:r>
          </w:p>
        </w:tc>
        <w:tc>
          <w:tcPr>
            <w:tcW w:w="1257" w:type="dxa"/>
            <w:tcBorders>
              <w:top w:val="nil"/>
              <w:left w:val="nil"/>
              <w:bottom w:val="single" w:sz="4" w:space="0" w:color="auto"/>
              <w:right w:val="single" w:sz="4" w:space="0" w:color="auto"/>
            </w:tcBorders>
            <w:shd w:val="clear" w:color="auto" w:fill="auto"/>
            <w:noWrap/>
            <w:vAlign w:val="bottom"/>
          </w:tcPr>
          <w:p w14:paraId="70C3CADA" w14:textId="4C140D2D"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-269.910 </w:t>
            </w:r>
          </w:p>
        </w:tc>
      </w:tr>
      <w:tr w:rsidR="00190B39" w:rsidRPr="005F090B" w14:paraId="112CCD4D"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09C943A8" w14:textId="597982BD"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Otros pasivos financieros</w:t>
            </w:r>
          </w:p>
        </w:tc>
        <w:tc>
          <w:tcPr>
            <w:tcW w:w="1323" w:type="dxa"/>
            <w:tcBorders>
              <w:top w:val="nil"/>
              <w:left w:val="nil"/>
              <w:bottom w:val="single" w:sz="4" w:space="0" w:color="auto"/>
              <w:right w:val="single" w:sz="4" w:space="0" w:color="auto"/>
            </w:tcBorders>
            <w:shd w:val="clear" w:color="auto" w:fill="auto"/>
            <w:noWrap/>
            <w:vAlign w:val="bottom"/>
          </w:tcPr>
          <w:p w14:paraId="0935344A" w14:textId="76E8A019"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-1.408.127 </w:t>
            </w:r>
          </w:p>
        </w:tc>
        <w:tc>
          <w:tcPr>
            <w:tcW w:w="1120" w:type="dxa"/>
            <w:tcBorders>
              <w:top w:val="nil"/>
              <w:left w:val="nil"/>
              <w:bottom w:val="single" w:sz="4" w:space="0" w:color="auto"/>
              <w:right w:val="single" w:sz="4" w:space="0" w:color="auto"/>
            </w:tcBorders>
            <w:shd w:val="clear" w:color="auto" w:fill="auto"/>
            <w:noWrap/>
            <w:vAlign w:val="bottom"/>
          </w:tcPr>
          <w:p w14:paraId="5923AD75" w14:textId="65A91825"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-2.651.267 </w:t>
            </w:r>
          </w:p>
        </w:tc>
        <w:tc>
          <w:tcPr>
            <w:tcW w:w="1259" w:type="dxa"/>
            <w:tcBorders>
              <w:top w:val="nil"/>
              <w:left w:val="nil"/>
              <w:bottom w:val="single" w:sz="4" w:space="0" w:color="auto"/>
              <w:right w:val="single" w:sz="4" w:space="0" w:color="auto"/>
            </w:tcBorders>
            <w:shd w:val="clear" w:color="auto" w:fill="auto"/>
            <w:noWrap/>
            <w:vAlign w:val="bottom"/>
          </w:tcPr>
          <w:p w14:paraId="48C252A5" w14:textId="41284C50"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-1.754.296 </w:t>
            </w:r>
          </w:p>
        </w:tc>
        <w:tc>
          <w:tcPr>
            <w:tcW w:w="1119" w:type="dxa"/>
            <w:tcBorders>
              <w:top w:val="nil"/>
              <w:left w:val="nil"/>
              <w:bottom w:val="single" w:sz="4" w:space="0" w:color="auto"/>
              <w:right w:val="single" w:sz="4" w:space="0" w:color="auto"/>
            </w:tcBorders>
            <w:shd w:val="clear" w:color="auto" w:fill="auto"/>
            <w:noWrap/>
            <w:vAlign w:val="bottom"/>
          </w:tcPr>
          <w:p w14:paraId="61E9686B" w14:textId="3FFAF69E"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-694.487 </w:t>
            </w:r>
          </w:p>
        </w:tc>
        <w:tc>
          <w:tcPr>
            <w:tcW w:w="978" w:type="dxa"/>
            <w:tcBorders>
              <w:top w:val="nil"/>
              <w:left w:val="nil"/>
              <w:bottom w:val="single" w:sz="4" w:space="0" w:color="auto"/>
              <w:right w:val="single" w:sz="4" w:space="0" w:color="auto"/>
            </w:tcBorders>
            <w:shd w:val="clear" w:color="auto" w:fill="auto"/>
            <w:noWrap/>
            <w:vAlign w:val="bottom"/>
          </w:tcPr>
          <w:p w14:paraId="5257C0F7" w14:textId="6E4826C6"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185.672 </w:t>
            </w:r>
          </w:p>
        </w:tc>
        <w:tc>
          <w:tcPr>
            <w:tcW w:w="1257" w:type="dxa"/>
            <w:tcBorders>
              <w:top w:val="nil"/>
              <w:left w:val="nil"/>
              <w:bottom w:val="single" w:sz="4" w:space="0" w:color="auto"/>
              <w:right w:val="single" w:sz="4" w:space="0" w:color="auto"/>
            </w:tcBorders>
            <w:shd w:val="clear" w:color="auto" w:fill="auto"/>
            <w:noWrap/>
            <w:vAlign w:val="bottom"/>
          </w:tcPr>
          <w:p w14:paraId="0B929362" w14:textId="010DFBDD"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-6.322.505 </w:t>
            </w:r>
          </w:p>
        </w:tc>
      </w:tr>
      <w:tr w:rsidR="00190B39" w:rsidRPr="005F090B" w14:paraId="388BBE33"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noWrap/>
            <w:vAlign w:val="bottom"/>
            <w:hideMark/>
          </w:tcPr>
          <w:p w14:paraId="7ECCCD5F" w14:textId="0BAD0F44"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Financiaciones recibidas del BCRA y otras instituciones financieras</w:t>
            </w:r>
          </w:p>
        </w:tc>
        <w:tc>
          <w:tcPr>
            <w:tcW w:w="1323" w:type="dxa"/>
            <w:tcBorders>
              <w:top w:val="nil"/>
              <w:left w:val="nil"/>
              <w:bottom w:val="single" w:sz="4" w:space="0" w:color="auto"/>
              <w:right w:val="single" w:sz="4" w:space="0" w:color="auto"/>
            </w:tcBorders>
            <w:shd w:val="clear" w:color="auto" w:fill="auto"/>
            <w:noWrap/>
            <w:vAlign w:val="bottom"/>
          </w:tcPr>
          <w:p w14:paraId="11EFC3E1" w14:textId="3138405F"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120" w:type="dxa"/>
            <w:tcBorders>
              <w:top w:val="nil"/>
              <w:left w:val="nil"/>
              <w:bottom w:val="single" w:sz="4" w:space="0" w:color="auto"/>
              <w:right w:val="single" w:sz="4" w:space="0" w:color="auto"/>
            </w:tcBorders>
            <w:shd w:val="clear" w:color="auto" w:fill="auto"/>
            <w:noWrap/>
            <w:vAlign w:val="bottom"/>
          </w:tcPr>
          <w:p w14:paraId="363A46B6" w14:textId="626AE14A"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-11.288 </w:t>
            </w:r>
          </w:p>
        </w:tc>
        <w:tc>
          <w:tcPr>
            <w:tcW w:w="1259" w:type="dxa"/>
            <w:tcBorders>
              <w:top w:val="nil"/>
              <w:left w:val="nil"/>
              <w:bottom w:val="single" w:sz="4" w:space="0" w:color="auto"/>
              <w:right w:val="single" w:sz="4" w:space="0" w:color="auto"/>
            </w:tcBorders>
            <w:shd w:val="clear" w:color="auto" w:fill="auto"/>
            <w:noWrap/>
            <w:vAlign w:val="bottom"/>
          </w:tcPr>
          <w:p w14:paraId="74B781E4" w14:textId="0E6B3968"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-8.039.718 </w:t>
            </w:r>
          </w:p>
        </w:tc>
        <w:tc>
          <w:tcPr>
            <w:tcW w:w="1119" w:type="dxa"/>
            <w:tcBorders>
              <w:top w:val="nil"/>
              <w:left w:val="nil"/>
              <w:bottom w:val="single" w:sz="4" w:space="0" w:color="auto"/>
              <w:right w:val="single" w:sz="4" w:space="0" w:color="auto"/>
            </w:tcBorders>
            <w:shd w:val="clear" w:color="auto" w:fill="auto"/>
            <w:noWrap/>
            <w:vAlign w:val="bottom"/>
          </w:tcPr>
          <w:p w14:paraId="3EFEF67F" w14:textId="2B1E88A4"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-460.627 </w:t>
            </w:r>
          </w:p>
        </w:tc>
        <w:tc>
          <w:tcPr>
            <w:tcW w:w="978" w:type="dxa"/>
            <w:tcBorders>
              <w:top w:val="nil"/>
              <w:left w:val="nil"/>
              <w:bottom w:val="single" w:sz="4" w:space="0" w:color="auto"/>
              <w:right w:val="single" w:sz="4" w:space="0" w:color="auto"/>
            </w:tcBorders>
            <w:shd w:val="clear" w:color="auto" w:fill="auto"/>
            <w:noWrap/>
            <w:vAlign w:val="bottom"/>
          </w:tcPr>
          <w:p w14:paraId="56434AEA" w14:textId="5EA6D0B2"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108.000 </w:t>
            </w:r>
          </w:p>
        </w:tc>
        <w:tc>
          <w:tcPr>
            <w:tcW w:w="1257" w:type="dxa"/>
            <w:tcBorders>
              <w:top w:val="nil"/>
              <w:left w:val="nil"/>
              <w:bottom w:val="single" w:sz="4" w:space="0" w:color="auto"/>
              <w:right w:val="single" w:sz="4" w:space="0" w:color="auto"/>
            </w:tcBorders>
            <w:shd w:val="clear" w:color="auto" w:fill="auto"/>
            <w:noWrap/>
            <w:vAlign w:val="bottom"/>
          </w:tcPr>
          <w:p w14:paraId="6E9DD89C" w14:textId="7FB53B59"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-8.403.633 </w:t>
            </w:r>
          </w:p>
        </w:tc>
      </w:tr>
      <w:tr w:rsidR="00190B39" w:rsidRPr="005F090B" w14:paraId="6CBB4631" w14:textId="77777777" w:rsidTr="002775B9">
        <w:trPr>
          <w:trHeight w:val="64"/>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640C8929" w14:textId="79FF1C8F"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Obligaciones negociables emitidas</w:t>
            </w:r>
          </w:p>
        </w:tc>
        <w:tc>
          <w:tcPr>
            <w:tcW w:w="1323" w:type="dxa"/>
            <w:tcBorders>
              <w:top w:val="nil"/>
              <w:left w:val="nil"/>
              <w:bottom w:val="single" w:sz="4" w:space="0" w:color="auto"/>
              <w:right w:val="single" w:sz="4" w:space="0" w:color="auto"/>
            </w:tcBorders>
            <w:shd w:val="clear" w:color="auto" w:fill="auto"/>
            <w:noWrap/>
            <w:vAlign w:val="bottom"/>
          </w:tcPr>
          <w:p w14:paraId="4FF6D38B" w14:textId="7564B28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-30.259 </w:t>
            </w:r>
          </w:p>
        </w:tc>
        <w:tc>
          <w:tcPr>
            <w:tcW w:w="1120" w:type="dxa"/>
            <w:tcBorders>
              <w:top w:val="nil"/>
              <w:left w:val="nil"/>
              <w:bottom w:val="single" w:sz="4" w:space="0" w:color="auto"/>
              <w:right w:val="single" w:sz="4" w:space="0" w:color="auto"/>
            </w:tcBorders>
            <w:shd w:val="clear" w:color="auto" w:fill="auto"/>
            <w:noWrap/>
            <w:vAlign w:val="bottom"/>
          </w:tcPr>
          <w:p w14:paraId="4B1E59AE" w14:textId="200F14F1"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-59.527 </w:t>
            </w:r>
          </w:p>
        </w:tc>
        <w:tc>
          <w:tcPr>
            <w:tcW w:w="1259" w:type="dxa"/>
            <w:tcBorders>
              <w:top w:val="nil"/>
              <w:left w:val="nil"/>
              <w:bottom w:val="single" w:sz="4" w:space="0" w:color="auto"/>
              <w:right w:val="single" w:sz="4" w:space="0" w:color="auto"/>
            </w:tcBorders>
            <w:shd w:val="clear" w:color="auto" w:fill="auto"/>
            <w:noWrap/>
            <w:vAlign w:val="bottom"/>
          </w:tcPr>
          <w:p w14:paraId="66634E69" w14:textId="747E9E4F"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-4.080.773 </w:t>
            </w:r>
          </w:p>
        </w:tc>
        <w:tc>
          <w:tcPr>
            <w:tcW w:w="1119" w:type="dxa"/>
            <w:tcBorders>
              <w:top w:val="nil"/>
              <w:left w:val="nil"/>
              <w:bottom w:val="single" w:sz="4" w:space="0" w:color="auto"/>
              <w:right w:val="single" w:sz="4" w:space="0" w:color="auto"/>
            </w:tcBorders>
            <w:shd w:val="clear" w:color="auto" w:fill="auto"/>
            <w:noWrap/>
            <w:vAlign w:val="bottom"/>
          </w:tcPr>
          <w:p w14:paraId="0AC4090F" w14:textId="72A82E19"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978" w:type="dxa"/>
            <w:tcBorders>
              <w:top w:val="nil"/>
              <w:left w:val="nil"/>
              <w:bottom w:val="single" w:sz="4" w:space="0" w:color="auto"/>
              <w:right w:val="single" w:sz="4" w:space="0" w:color="auto"/>
            </w:tcBorders>
            <w:shd w:val="clear" w:color="auto" w:fill="auto"/>
            <w:noWrap/>
            <w:vAlign w:val="bottom"/>
          </w:tcPr>
          <w:p w14:paraId="1D9C420B" w14:textId="6EE81EEC"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7" w:type="dxa"/>
            <w:tcBorders>
              <w:top w:val="nil"/>
              <w:left w:val="nil"/>
              <w:bottom w:val="single" w:sz="4" w:space="0" w:color="auto"/>
              <w:right w:val="single" w:sz="4" w:space="0" w:color="auto"/>
            </w:tcBorders>
            <w:shd w:val="clear" w:color="auto" w:fill="auto"/>
            <w:noWrap/>
            <w:vAlign w:val="bottom"/>
          </w:tcPr>
          <w:p w14:paraId="0E9E5F50" w14:textId="7AC2E4DD"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-4.170.559 </w:t>
            </w:r>
          </w:p>
        </w:tc>
      </w:tr>
      <w:tr w:rsidR="00190B39" w:rsidRPr="005F090B" w14:paraId="11ACED7F"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6780C69A" w14:textId="161E504C"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Pasivo por impuestos a las ganancias corriente</w:t>
            </w:r>
          </w:p>
        </w:tc>
        <w:tc>
          <w:tcPr>
            <w:tcW w:w="1323" w:type="dxa"/>
            <w:tcBorders>
              <w:top w:val="nil"/>
              <w:left w:val="nil"/>
              <w:bottom w:val="single" w:sz="4" w:space="0" w:color="auto"/>
              <w:right w:val="single" w:sz="4" w:space="0" w:color="auto"/>
            </w:tcBorders>
            <w:shd w:val="clear" w:color="auto" w:fill="auto"/>
            <w:noWrap/>
            <w:vAlign w:val="bottom"/>
          </w:tcPr>
          <w:p w14:paraId="524FE513" w14:textId="7D4B3A77"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-72.317 </w:t>
            </w:r>
          </w:p>
        </w:tc>
        <w:tc>
          <w:tcPr>
            <w:tcW w:w="1120" w:type="dxa"/>
            <w:tcBorders>
              <w:top w:val="nil"/>
              <w:left w:val="nil"/>
              <w:bottom w:val="single" w:sz="4" w:space="0" w:color="auto"/>
              <w:right w:val="single" w:sz="4" w:space="0" w:color="auto"/>
            </w:tcBorders>
            <w:shd w:val="clear" w:color="auto" w:fill="auto"/>
            <w:noWrap/>
            <w:vAlign w:val="bottom"/>
          </w:tcPr>
          <w:p w14:paraId="5E13EFA7" w14:textId="364D7C0A"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-142.265 </w:t>
            </w:r>
          </w:p>
        </w:tc>
        <w:tc>
          <w:tcPr>
            <w:tcW w:w="1259" w:type="dxa"/>
            <w:tcBorders>
              <w:top w:val="nil"/>
              <w:left w:val="nil"/>
              <w:bottom w:val="single" w:sz="4" w:space="0" w:color="auto"/>
              <w:right w:val="single" w:sz="4" w:space="0" w:color="auto"/>
            </w:tcBorders>
            <w:shd w:val="clear" w:color="auto" w:fill="auto"/>
            <w:noWrap/>
            <w:vAlign w:val="bottom"/>
          </w:tcPr>
          <w:p w14:paraId="3DDDCD22" w14:textId="6D43B53D"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-206.845 </w:t>
            </w:r>
          </w:p>
        </w:tc>
        <w:tc>
          <w:tcPr>
            <w:tcW w:w="1119" w:type="dxa"/>
            <w:tcBorders>
              <w:top w:val="nil"/>
              <w:left w:val="nil"/>
              <w:bottom w:val="single" w:sz="4" w:space="0" w:color="auto"/>
              <w:right w:val="single" w:sz="4" w:space="0" w:color="auto"/>
            </w:tcBorders>
            <w:shd w:val="clear" w:color="auto" w:fill="auto"/>
            <w:noWrap/>
            <w:vAlign w:val="bottom"/>
          </w:tcPr>
          <w:p w14:paraId="011367AC" w14:textId="08B60719"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978" w:type="dxa"/>
            <w:tcBorders>
              <w:top w:val="nil"/>
              <w:left w:val="nil"/>
              <w:bottom w:val="single" w:sz="4" w:space="0" w:color="auto"/>
              <w:right w:val="single" w:sz="4" w:space="0" w:color="auto"/>
            </w:tcBorders>
            <w:shd w:val="clear" w:color="auto" w:fill="auto"/>
            <w:noWrap/>
            <w:vAlign w:val="bottom"/>
          </w:tcPr>
          <w:p w14:paraId="607CEE8D" w14:textId="5271DBE4"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7" w:type="dxa"/>
            <w:tcBorders>
              <w:top w:val="nil"/>
              <w:left w:val="nil"/>
              <w:bottom w:val="single" w:sz="4" w:space="0" w:color="auto"/>
              <w:right w:val="single" w:sz="4" w:space="0" w:color="auto"/>
            </w:tcBorders>
            <w:shd w:val="clear" w:color="auto" w:fill="auto"/>
            <w:noWrap/>
            <w:vAlign w:val="bottom"/>
          </w:tcPr>
          <w:p w14:paraId="33D8727D" w14:textId="24DE392F"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-421.427 </w:t>
            </w:r>
          </w:p>
        </w:tc>
      </w:tr>
      <w:tr w:rsidR="00190B39" w:rsidRPr="005F090B" w14:paraId="72748D96" w14:textId="77777777" w:rsidTr="002775B9">
        <w:trPr>
          <w:trHeight w:val="207"/>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321FCA93" w14:textId="76565A4E"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Obligaciones negociables subordinadas</w:t>
            </w:r>
          </w:p>
        </w:tc>
        <w:tc>
          <w:tcPr>
            <w:tcW w:w="1323" w:type="dxa"/>
            <w:tcBorders>
              <w:top w:val="nil"/>
              <w:left w:val="nil"/>
              <w:bottom w:val="single" w:sz="4" w:space="0" w:color="auto"/>
              <w:right w:val="single" w:sz="4" w:space="0" w:color="auto"/>
            </w:tcBorders>
            <w:shd w:val="clear" w:color="auto" w:fill="auto"/>
            <w:noWrap/>
            <w:vAlign w:val="bottom"/>
          </w:tcPr>
          <w:p w14:paraId="08AB2E0A" w14:textId="6ADDA53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-5.336 </w:t>
            </w:r>
          </w:p>
        </w:tc>
        <w:tc>
          <w:tcPr>
            <w:tcW w:w="1120" w:type="dxa"/>
            <w:tcBorders>
              <w:top w:val="nil"/>
              <w:left w:val="nil"/>
              <w:bottom w:val="single" w:sz="4" w:space="0" w:color="auto"/>
              <w:right w:val="single" w:sz="4" w:space="0" w:color="auto"/>
            </w:tcBorders>
            <w:shd w:val="clear" w:color="auto" w:fill="auto"/>
            <w:noWrap/>
            <w:vAlign w:val="bottom"/>
          </w:tcPr>
          <w:p w14:paraId="2A11F7CC" w14:textId="26B8859D"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-10.498 </w:t>
            </w:r>
          </w:p>
        </w:tc>
        <w:tc>
          <w:tcPr>
            <w:tcW w:w="1259" w:type="dxa"/>
            <w:tcBorders>
              <w:top w:val="nil"/>
              <w:left w:val="nil"/>
              <w:bottom w:val="single" w:sz="4" w:space="0" w:color="auto"/>
              <w:right w:val="single" w:sz="4" w:space="0" w:color="auto"/>
            </w:tcBorders>
            <w:shd w:val="clear" w:color="auto" w:fill="auto"/>
            <w:noWrap/>
            <w:vAlign w:val="bottom"/>
          </w:tcPr>
          <w:p w14:paraId="0E5C0F80" w14:textId="393555DE"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-1.895.623 </w:t>
            </w:r>
          </w:p>
        </w:tc>
        <w:tc>
          <w:tcPr>
            <w:tcW w:w="1119" w:type="dxa"/>
            <w:tcBorders>
              <w:top w:val="nil"/>
              <w:left w:val="nil"/>
              <w:bottom w:val="single" w:sz="4" w:space="0" w:color="auto"/>
              <w:right w:val="single" w:sz="4" w:space="0" w:color="auto"/>
            </w:tcBorders>
            <w:shd w:val="clear" w:color="auto" w:fill="auto"/>
            <w:noWrap/>
            <w:vAlign w:val="bottom"/>
          </w:tcPr>
          <w:p w14:paraId="7CCB526D" w14:textId="07EF9BDB"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978" w:type="dxa"/>
            <w:tcBorders>
              <w:top w:val="nil"/>
              <w:left w:val="nil"/>
              <w:bottom w:val="single" w:sz="4" w:space="0" w:color="auto"/>
              <w:right w:val="single" w:sz="4" w:space="0" w:color="auto"/>
            </w:tcBorders>
            <w:shd w:val="clear" w:color="auto" w:fill="auto"/>
            <w:noWrap/>
            <w:vAlign w:val="bottom"/>
          </w:tcPr>
          <w:p w14:paraId="1F2610E4" w14:textId="00895E98"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7" w:type="dxa"/>
            <w:tcBorders>
              <w:top w:val="nil"/>
              <w:left w:val="nil"/>
              <w:bottom w:val="single" w:sz="4" w:space="0" w:color="auto"/>
              <w:right w:val="single" w:sz="4" w:space="0" w:color="auto"/>
            </w:tcBorders>
            <w:shd w:val="clear" w:color="auto" w:fill="auto"/>
            <w:noWrap/>
            <w:vAlign w:val="bottom"/>
          </w:tcPr>
          <w:p w14:paraId="1262C6E2" w14:textId="33537F3E"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-1.911.457 </w:t>
            </w:r>
          </w:p>
        </w:tc>
      </w:tr>
      <w:tr w:rsidR="00190B39" w:rsidRPr="005F090B" w14:paraId="0AC47F81"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7C68AA40" w14:textId="6DD6F589"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Provisiones</w:t>
            </w:r>
          </w:p>
        </w:tc>
        <w:tc>
          <w:tcPr>
            <w:tcW w:w="1323" w:type="dxa"/>
            <w:tcBorders>
              <w:top w:val="nil"/>
              <w:left w:val="nil"/>
              <w:bottom w:val="single" w:sz="4" w:space="0" w:color="auto"/>
              <w:right w:val="single" w:sz="4" w:space="0" w:color="auto"/>
            </w:tcBorders>
            <w:shd w:val="clear" w:color="auto" w:fill="auto"/>
            <w:noWrap/>
            <w:vAlign w:val="bottom"/>
          </w:tcPr>
          <w:p w14:paraId="565855B4" w14:textId="6E0A79CE"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-152.825 </w:t>
            </w:r>
          </w:p>
        </w:tc>
        <w:tc>
          <w:tcPr>
            <w:tcW w:w="1120" w:type="dxa"/>
            <w:tcBorders>
              <w:top w:val="nil"/>
              <w:left w:val="nil"/>
              <w:bottom w:val="single" w:sz="4" w:space="0" w:color="auto"/>
              <w:right w:val="single" w:sz="4" w:space="0" w:color="auto"/>
            </w:tcBorders>
            <w:shd w:val="clear" w:color="auto" w:fill="auto"/>
            <w:noWrap/>
            <w:vAlign w:val="bottom"/>
          </w:tcPr>
          <w:p w14:paraId="15DCCF5B" w14:textId="618BB49C"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-167.631 </w:t>
            </w:r>
          </w:p>
        </w:tc>
        <w:tc>
          <w:tcPr>
            <w:tcW w:w="1259" w:type="dxa"/>
            <w:tcBorders>
              <w:top w:val="nil"/>
              <w:left w:val="nil"/>
              <w:bottom w:val="single" w:sz="4" w:space="0" w:color="auto"/>
              <w:right w:val="single" w:sz="4" w:space="0" w:color="auto"/>
            </w:tcBorders>
            <w:shd w:val="clear" w:color="auto" w:fill="auto"/>
            <w:noWrap/>
            <w:vAlign w:val="bottom"/>
          </w:tcPr>
          <w:p w14:paraId="530B9E4A" w14:textId="6070E2A1"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-91.092 </w:t>
            </w:r>
          </w:p>
        </w:tc>
        <w:tc>
          <w:tcPr>
            <w:tcW w:w="1119" w:type="dxa"/>
            <w:tcBorders>
              <w:top w:val="nil"/>
              <w:left w:val="nil"/>
              <w:bottom w:val="single" w:sz="4" w:space="0" w:color="auto"/>
              <w:right w:val="single" w:sz="4" w:space="0" w:color="auto"/>
            </w:tcBorders>
            <w:shd w:val="clear" w:color="auto" w:fill="auto"/>
            <w:noWrap/>
            <w:vAlign w:val="bottom"/>
          </w:tcPr>
          <w:p w14:paraId="7FC45A9D" w14:textId="23367FA5"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-111.248 </w:t>
            </w:r>
          </w:p>
        </w:tc>
        <w:tc>
          <w:tcPr>
            <w:tcW w:w="978" w:type="dxa"/>
            <w:tcBorders>
              <w:top w:val="nil"/>
              <w:left w:val="nil"/>
              <w:bottom w:val="single" w:sz="4" w:space="0" w:color="auto"/>
              <w:right w:val="single" w:sz="4" w:space="0" w:color="auto"/>
            </w:tcBorders>
            <w:shd w:val="clear" w:color="auto" w:fill="auto"/>
            <w:noWrap/>
            <w:vAlign w:val="bottom"/>
          </w:tcPr>
          <w:p w14:paraId="2AD54228" w14:textId="2BB4A4E9"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   </w:t>
            </w:r>
          </w:p>
        </w:tc>
        <w:tc>
          <w:tcPr>
            <w:tcW w:w="1257" w:type="dxa"/>
            <w:tcBorders>
              <w:top w:val="nil"/>
              <w:left w:val="nil"/>
              <w:bottom w:val="single" w:sz="4" w:space="0" w:color="auto"/>
              <w:right w:val="single" w:sz="4" w:space="0" w:color="auto"/>
            </w:tcBorders>
            <w:shd w:val="clear" w:color="auto" w:fill="auto"/>
            <w:noWrap/>
            <w:vAlign w:val="bottom"/>
          </w:tcPr>
          <w:p w14:paraId="5257BB97" w14:textId="1AEDB091"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-522.796 </w:t>
            </w:r>
          </w:p>
        </w:tc>
      </w:tr>
      <w:tr w:rsidR="0037711A" w:rsidRPr="005F090B" w14:paraId="5A6BF6D8"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tcPr>
          <w:p w14:paraId="1510D85A" w14:textId="569CAE44" w:rsidR="0037711A" w:rsidRPr="005F090B" w:rsidRDefault="0037711A" w:rsidP="00190B39">
            <w:pPr>
              <w:rPr>
                <w:rFonts w:ascii="Arial" w:hAnsi="Arial" w:cs="Arial"/>
                <w:sz w:val="16"/>
                <w:szCs w:val="16"/>
              </w:rPr>
            </w:pPr>
            <w:r w:rsidRPr="0037711A">
              <w:rPr>
                <w:rFonts w:ascii="Arial" w:hAnsi="Arial" w:cs="Arial"/>
                <w:sz w:val="16"/>
                <w:szCs w:val="16"/>
              </w:rPr>
              <w:t>Pasivo por impuestos a las ganancias diferido</w:t>
            </w:r>
          </w:p>
        </w:tc>
        <w:tc>
          <w:tcPr>
            <w:tcW w:w="1323" w:type="dxa"/>
            <w:tcBorders>
              <w:top w:val="nil"/>
              <w:left w:val="nil"/>
              <w:bottom w:val="single" w:sz="4" w:space="0" w:color="auto"/>
              <w:right w:val="single" w:sz="4" w:space="0" w:color="auto"/>
            </w:tcBorders>
            <w:shd w:val="clear" w:color="auto" w:fill="auto"/>
            <w:noWrap/>
            <w:vAlign w:val="bottom"/>
          </w:tcPr>
          <w:p w14:paraId="4248A16D" w14:textId="119AE2D4" w:rsidR="0037711A" w:rsidRPr="005F090B" w:rsidRDefault="0037711A" w:rsidP="00D3280F">
            <w:pPr>
              <w:jc w:val="right"/>
              <w:rPr>
                <w:rFonts w:ascii="Arial" w:hAnsi="Arial" w:cs="Arial"/>
                <w:sz w:val="16"/>
                <w:szCs w:val="16"/>
              </w:rPr>
            </w:pPr>
            <w:r w:rsidRPr="0037711A">
              <w:rPr>
                <w:rFonts w:ascii="Arial" w:hAnsi="Arial" w:cs="Arial"/>
                <w:sz w:val="16"/>
                <w:szCs w:val="16"/>
              </w:rPr>
              <w:t>-157</w:t>
            </w:r>
          </w:p>
        </w:tc>
        <w:tc>
          <w:tcPr>
            <w:tcW w:w="1120" w:type="dxa"/>
            <w:tcBorders>
              <w:top w:val="nil"/>
              <w:left w:val="nil"/>
              <w:bottom w:val="single" w:sz="4" w:space="0" w:color="auto"/>
              <w:right w:val="single" w:sz="4" w:space="0" w:color="auto"/>
            </w:tcBorders>
            <w:shd w:val="clear" w:color="auto" w:fill="auto"/>
            <w:noWrap/>
            <w:vAlign w:val="bottom"/>
          </w:tcPr>
          <w:p w14:paraId="7765BD4B" w14:textId="7A1AA178" w:rsidR="0037711A" w:rsidRPr="005F090B" w:rsidRDefault="0037711A" w:rsidP="00D3280F">
            <w:pPr>
              <w:jc w:val="right"/>
              <w:rPr>
                <w:rFonts w:ascii="Arial" w:hAnsi="Arial" w:cs="Arial"/>
                <w:sz w:val="16"/>
                <w:szCs w:val="16"/>
              </w:rPr>
            </w:pPr>
            <w:r w:rsidRPr="0037711A">
              <w:rPr>
                <w:rFonts w:ascii="Arial" w:hAnsi="Arial" w:cs="Arial"/>
                <w:sz w:val="16"/>
                <w:szCs w:val="16"/>
              </w:rPr>
              <w:t>-308</w:t>
            </w:r>
          </w:p>
        </w:tc>
        <w:tc>
          <w:tcPr>
            <w:tcW w:w="1259" w:type="dxa"/>
            <w:tcBorders>
              <w:top w:val="nil"/>
              <w:left w:val="nil"/>
              <w:bottom w:val="single" w:sz="4" w:space="0" w:color="auto"/>
              <w:right w:val="single" w:sz="4" w:space="0" w:color="auto"/>
            </w:tcBorders>
            <w:shd w:val="clear" w:color="auto" w:fill="auto"/>
            <w:noWrap/>
            <w:vAlign w:val="bottom"/>
          </w:tcPr>
          <w:p w14:paraId="151BD944" w14:textId="2BE1EFC3" w:rsidR="0037711A" w:rsidRPr="005F090B" w:rsidRDefault="0037711A" w:rsidP="00D3280F">
            <w:pPr>
              <w:jc w:val="right"/>
              <w:rPr>
                <w:rFonts w:ascii="Arial" w:hAnsi="Arial" w:cs="Arial"/>
                <w:sz w:val="16"/>
                <w:szCs w:val="16"/>
              </w:rPr>
            </w:pPr>
            <w:r w:rsidRPr="0037711A">
              <w:rPr>
                <w:rFonts w:ascii="Arial" w:hAnsi="Arial" w:cs="Arial"/>
                <w:sz w:val="16"/>
                <w:szCs w:val="16"/>
              </w:rPr>
              <w:t>-447</w:t>
            </w:r>
          </w:p>
        </w:tc>
        <w:tc>
          <w:tcPr>
            <w:tcW w:w="1119" w:type="dxa"/>
            <w:tcBorders>
              <w:top w:val="nil"/>
              <w:left w:val="nil"/>
              <w:bottom w:val="single" w:sz="4" w:space="0" w:color="auto"/>
              <w:right w:val="single" w:sz="4" w:space="0" w:color="auto"/>
            </w:tcBorders>
            <w:shd w:val="clear" w:color="auto" w:fill="auto"/>
            <w:noWrap/>
            <w:vAlign w:val="bottom"/>
          </w:tcPr>
          <w:p w14:paraId="686AB249" w14:textId="328B7D47" w:rsidR="0037711A" w:rsidRPr="005F090B" w:rsidRDefault="0037711A" w:rsidP="00D3280F">
            <w:pPr>
              <w:jc w:val="right"/>
              <w:rPr>
                <w:rFonts w:ascii="Arial" w:hAnsi="Arial" w:cs="Arial"/>
                <w:sz w:val="16"/>
                <w:szCs w:val="16"/>
              </w:rPr>
            </w:pPr>
            <w:r>
              <w:rPr>
                <w:rFonts w:ascii="Arial" w:hAnsi="Arial" w:cs="Arial"/>
                <w:sz w:val="16"/>
                <w:szCs w:val="16"/>
              </w:rPr>
              <w:t>-</w:t>
            </w:r>
          </w:p>
        </w:tc>
        <w:tc>
          <w:tcPr>
            <w:tcW w:w="978" w:type="dxa"/>
            <w:tcBorders>
              <w:top w:val="nil"/>
              <w:left w:val="nil"/>
              <w:bottom w:val="single" w:sz="4" w:space="0" w:color="auto"/>
              <w:right w:val="single" w:sz="4" w:space="0" w:color="auto"/>
            </w:tcBorders>
            <w:shd w:val="clear" w:color="auto" w:fill="auto"/>
            <w:noWrap/>
            <w:vAlign w:val="bottom"/>
          </w:tcPr>
          <w:p w14:paraId="60467747" w14:textId="77777777" w:rsidR="0037711A" w:rsidRPr="005F090B" w:rsidRDefault="0037711A" w:rsidP="00D3280F">
            <w:pPr>
              <w:jc w:val="right"/>
              <w:rPr>
                <w:rFonts w:ascii="Arial" w:hAnsi="Arial" w:cs="Arial"/>
                <w:sz w:val="16"/>
                <w:szCs w:val="16"/>
              </w:rPr>
            </w:pPr>
          </w:p>
        </w:tc>
        <w:tc>
          <w:tcPr>
            <w:tcW w:w="1257" w:type="dxa"/>
            <w:tcBorders>
              <w:top w:val="nil"/>
              <w:left w:val="nil"/>
              <w:bottom w:val="single" w:sz="4" w:space="0" w:color="auto"/>
              <w:right w:val="single" w:sz="4" w:space="0" w:color="auto"/>
            </w:tcBorders>
            <w:shd w:val="clear" w:color="auto" w:fill="auto"/>
            <w:noWrap/>
            <w:vAlign w:val="bottom"/>
          </w:tcPr>
          <w:p w14:paraId="0A5ADA0E" w14:textId="387E258C" w:rsidR="0037711A" w:rsidRPr="005F090B" w:rsidRDefault="0037711A" w:rsidP="00D3280F">
            <w:pPr>
              <w:jc w:val="right"/>
              <w:rPr>
                <w:rFonts w:ascii="Arial" w:hAnsi="Arial" w:cs="Arial"/>
                <w:b/>
                <w:sz w:val="16"/>
                <w:szCs w:val="16"/>
              </w:rPr>
            </w:pPr>
            <w:r>
              <w:rPr>
                <w:rFonts w:ascii="Arial" w:hAnsi="Arial" w:cs="Arial"/>
                <w:b/>
                <w:sz w:val="16"/>
                <w:szCs w:val="16"/>
              </w:rPr>
              <w:t>-912</w:t>
            </w:r>
          </w:p>
        </w:tc>
      </w:tr>
      <w:tr w:rsidR="00190B39" w:rsidRPr="005F090B" w14:paraId="71DB7BE7"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2F5C1DB4" w14:textId="28DE4F23" w:rsidR="00190B39" w:rsidRPr="005F090B" w:rsidRDefault="00190B39" w:rsidP="00190B39">
            <w:pPr>
              <w:rPr>
                <w:rFonts w:ascii="Arial" w:hAnsi="Arial" w:cs="Arial"/>
                <w:b/>
                <w:bCs/>
                <w:sz w:val="16"/>
                <w:szCs w:val="16"/>
                <w:lang w:eastAsia="es-AR"/>
              </w:rPr>
            </w:pPr>
            <w:r w:rsidRPr="005F090B">
              <w:rPr>
                <w:rFonts w:ascii="Arial" w:hAnsi="Arial" w:cs="Arial"/>
                <w:sz w:val="16"/>
                <w:szCs w:val="16"/>
              </w:rPr>
              <w:t>Otros pasivos no financieros</w:t>
            </w:r>
          </w:p>
        </w:tc>
        <w:tc>
          <w:tcPr>
            <w:tcW w:w="1323" w:type="dxa"/>
            <w:tcBorders>
              <w:top w:val="nil"/>
              <w:left w:val="nil"/>
              <w:bottom w:val="single" w:sz="4" w:space="0" w:color="auto"/>
              <w:right w:val="single" w:sz="4" w:space="0" w:color="auto"/>
            </w:tcBorders>
            <w:shd w:val="clear" w:color="auto" w:fill="auto"/>
            <w:noWrap/>
            <w:vAlign w:val="bottom"/>
          </w:tcPr>
          <w:p w14:paraId="7BEC51D0" w14:textId="2B19B40C"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-8.006 </w:t>
            </w:r>
          </w:p>
        </w:tc>
        <w:tc>
          <w:tcPr>
            <w:tcW w:w="1120" w:type="dxa"/>
            <w:tcBorders>
              <w:top w:val="nil"/>
              <w:left w:val="nil"/>
              <w:bottom w:val="single" w:sz="4" w:space="0" w:color="auto"/>
              <w:right w:val="single" w:sz="4" w:space="0" w:color="auto"/>
            </w:tcBorders>
            <w:shd w:val="clear" w:color="auto" w:fill="auto"/>
            <w:noWrap/>
            <w:vAlign w:val="bottom"/>
          </w:tcPr>
          <w:p w14:paraId="340B8715" w14:textId="36799697"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-1.244.907 </w:t>
            </w:r>
          </w:p>
        </w:tc>
        <w:tc>
          <w:tcPr>
            <w:tcW w:w="1259" w:type="dxa"/>
            <w:tcBorders>
              <w:top w:val="nil"/>
              <w:left w:val="nil"/>
              <w:bottom w:val="single" w:sz="4" w:space="0" w:color="auto"/>
              <w:right w:val="single" w:sz="4" w:space="0" w:color="auto"/>
            </w:tcBorders>
            <w:shd w:val="clear" w:color="auto" w:fill="auto"/>
            <w:noWrap/>
            <w:vAlign w:val="bottom"/>
          </w:tcPr>
          <w:p w14:paraId="394A0779" w14:textId="2FB1A6F3"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-5.243.065 </w:t>
            </w:r>
          </w:p>
        </w:tc>
        <w:tc>
          <w:tcPr>
            <w:tcW w:w="1119" w:type="dxa"/>
            <w:tcBorders>
              <w:top w:val="nil"/>
              <w:left w:val="nil"/>
              <w:bottom w:val="single" w:sz="4" w:space="0" w:color="auto"/>
              <w:right w:val="single" w:sz="4" w:space="0" w:color="auto"/>
            </w:tcBorders>
            <w:shd w:val="clear" w:color="auto" w:fill="auto"/>
            <w:noWrap/>
            <w:vAlign w:val="bottom"/>
          </w:tcPr>
          <w:p w14:paraId="680D7470" w14:textId="3B894F14"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-1.077.952 </w:t>
            </w:r>
          </w:p>
        </w:tc>
        <w:tc>
          <w:tcPr>
            <w:tcW w:w="978" w:type="dxa"/>
            <w:tcBorders>
              <w:top w:val="nil"/>
              <w:left w:val="nil"/>
              <w:bottom w:val="single" w:sz="4" w:space="0" w:color="auto"/>
              <w:right w:val="single" w:sz="4" w:space="0" w:color="auto"/>
            </w:tcBorders>
            <w:shd w:val="clear" w:color="auto" w:fill="auto"/>
            <w:noWrap/>
            <w:vAlign w:val="bottom"/>
          </w:tcPr>
          <w:p w14:paraId="6738D177" w14:textId="56E053DD" w:rsidR="00190B39" w:rsidRPr="005F090B" w:rsidRDefault="00190B39" w:rsidP="00D3280F">
            <w:pPr>
              <w:jc w:val="right"/>
              <w:rPr>
                <w:rFonts w:ascii="Arial" w:hAnsi="Arial" w:cs="Arial"/>
                <w:sz w:val="16"/>
                <w:szCs w:val="16"/>
              </w:rPr>
            </w:pPr>
            <w:r w:rsidRPr="005F090B">
              <w:rPr>
                <w:rFonts w:ascii="Arial" w:hAnsi="Arial" w:cs="Arial"/>
                <w:sz w:val="16"/>
                <w:szCs w:val="16"/>
              </w:rPr>
              <w:t xml:space="preserve"> 446 </w:t>
            </w:r>
          </w:p>
        </w:tc>
        <w:tc>
          <w:tcPr>
            <w:tcW w:w="1257" w:type="dxa"/>
            <w:tcBorders>
              <w:top w:val="nil"/>
              <w:left w:val="nil"/>
              <w:bottom w:val="single" w:sz="4" w:space="0" w:color="auto"/>
              <w:right w:val="single" w:sz="4" w:space="0" w:color="auto"/>
            </w:tcBorders>
            <w:shd w:val="clear" w:color="auto" w:fill="auto"/>
            <w:noWrap/>
            <w:vAlign w:val="bottom"/>
          </w:tcPr>
          <w:p w14:paraId="09C8A7D6" w14:textId="0D6D26C4"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-7.573.484 </w:t>
            </w:r>
          </w:p>
        </w:tc>
      </w:tr>
      <w:tr w:rsidR="00190B39" w:rsidRPr="005F090B" w14:paraId="49F9206A" w14:textId="77777777" w:rsidTr="002775B9">
        <w:trPr>
          <w:trHeight w:val="220"/>
        </w:trPr>
        <w:tc>
          <w:tcPr>
            <w:tcW w:w="3284" w:type="dxa"/>
            <w:tcBorders>
              <w:top w:val="nil"/>
              <w:left w:val="single" w:sz="4" w:space="0" w:color="auto"/>
              <w:bottom w:val="single" w:sz="4" w:space="0" w:color="auto"/>
              <w:right w:val="single" w:sz="4" w:space="0" w:color="auto"/>
            </w:tcBorders>
            <w:shd w:val="clear" w:color="auto" w:fill="auto"/>
            <w:vAlign w:val="bottom"/>
            <w:hideMark/>
          </w:tcPr>
          <w:p w14:paraId="0C2D51D8" w14:textId="47F2FA75" w:rsidR="00190B39" w:rsidRPr="005F090B" w:rsidRDefault="00190B39" w:rsidP="00190B39">
            <w:pPr>
              <w:rPr>
                <w:rFonts w:ascii="Arial" w:hAnsi="Arial" w:cs="Arial"/>
                <w:b/>
                <w:bCs/>
                <w:sz w:val="16"/>
                <w:szCs w:val="16"/>
                <w:lang w:eastAsia="es-AR"/>
              </w:rPr>
            </w:pPr>
            <w:r w:rsidRPr="005F090B">
              <w:rPr>
                <w:rFonts w:ascii="Arial" w:hAnsi="Arial" w:cs="Arial"/>
                <w:b/>
                <w:sz w:val="16"/>
                <w:szCs w:val="16"/>
              </w:rPr>
              <w:t>TOTAL PASIVO</w:t>
            </w:r>
          </w:p>
        </w:tc>
        <w:tc>
          <w:tcPr>
            <w:tcW w:w="1323" w:type="dxa"/>
            <w:tcBorders>
              <w:top w:val="nil"/>
              <w:left w:val="nil"/>
              <w:bottom w:val="single" w:sz="4" w:space="0" w:color="auto"/>
              <w:right w:val="single" w:sz="4" w:space="0" w:color="auto"/>
            </w:tcBorders>
            <w:shd w:val="clear" w:color="auto" w:fill="auto"/>
            <w:noWrap/>
            <w:vAlign w:val="bottom"/>
          </w:tcPr>
          <w:p w14:paraId="41A987F0" w14:textId="33ED2D16"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-16.508.859 </w:t>
            </w:r>
          </w:p>
        </w:tc>
        <w:tc>
          <w:tcPr>
            <w:tcW w:w="1120" w:type="dxa"/>
            <w:tcBorders>
              <w:top w:val="nil"/>
              <w:left w:val="nil"/>
              <w:bottom w:val="single" w:sz="4" w:space="0" w:color="auto"/>
              <w:right w:val="single" w:sz="4" w:space="0" w:color="auto"/>
            </w:tcBorders>
            <w:shd w:val="clear" w:color="auto" w:fill="auto"/>
            <w:noWrap/>
            <w:vAlign w:val="bottom"/>
          </w:tcPr>
          <w:p w14:paraId="1FD0CC12" w14:textId="4941344F"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-79.020.099 </w:t>
            </w:r>
          </w:p>
        </w:tc>
        <w:tc>
          <w:tcPr>
            <w:tcW w:w="1259" w:type="dxa"/>
            <w:tcBorders>
              <w:top w:val="nil"/>
              <w:left w:val="nil"/>
              <w:bottom w:val="single" w:sz="4" w:space="0" w:color="auto"/>
              <w:right w:val="single" w:sz="4" w:space="0" w:color="auto"/>
            </w:tcBorders>
            <w:shd w:val="clear" w:color="auto" w:fill="auto"/>
            <w:noWrap/>
            <w:vAlign w:val="bottom"/>
          </w:tcPr>
          <w:p w14:paraId="283185C3" w14:textId="5937FCF2"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-69.431.50</w:t>
            </w:r>
            <w:r w:rsidR="00415EDF">
              <w:rPr>
                <w:rFonts w:ascii="Arial" w:hAnsi="Arial" w:cs="Arial"/>
                <w:b/>
                <w:sz w:val="16"/>
                <w:szCs w:val="16"/>
              </w:rPr>
              <w:t>2</w:t>
            </w:r>
            <w:r w:rsidRPr="005F090B">
              <w:rPr>
                <w:rFonts w:ascii="Arial" w:hAnsi="Arial" w:cs="Arial"/>
                <w:b/>
                <w:sz w:val="16"/>
                <w:szCs w:val="16"/>
              </w:rPr>
              <w:t xml:space="preserve"> </w:t>
            </w:r>
          </w:p>
        </w:tc>
        <w:tc>
          <w:tcPr>
            <w:tcW w:w="1119" w:type="dxa"/>
            <w:tcBorders>
              <w:top w:val="nil"/>
              <w:left w:val="nil"/>
              <w:bottom w:val="single" w:sz="4" w:space="0" w:color="auto"/>
              <w:right w:val="single" w:sz="4" w:space="0" w:color="auto"/>
            </w:tcBorders>
            <w:shd w:val="clear" w:color="auto" w:fill="auto"/>
            <w:noWrap/>
            <w:vAlign w:val="bottom"/>
          </w:tcPr>
          <w:p w14:paraId="0EE55EA9" w14:textId="78209787"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-5.803.178 </w:t>
            </w:r>
          </w:p>
        </w:tc>
        <w:tc>
          <w:tcPr>
            <w:tcW w:w="978" w:type="dxa"/>
            <w:tcBorders>
              <w:top w:val="nil"/>
              <w:left w:val="nil"/>
              <w:bottom w:val="single" w:sz="4" w:space="0" w:color="auto"/>
              <w:right w:val="single" w:sz="4" w:space="0" w:color="auto"/>
            </w:tcBorders>
            <w:shd w:val="clear" w:color="auto" w:fill="auto"/>
            <w:noWrap/>
            <w:vAlign w:val="bottom"/>
          </w:tcPr>
          <w:p w14:paraId="106D448D" w14:textId="6D8C512F"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1.162.084 </w:t>
            </w:r>
          </w:p>
        </w:tc>
        <w:tc>
          <w:tcPr>
            <w:tcW w:w="1257" w:type="dxa"/>
            <w:tcBorders>
              <w:top w:val="nil"/>
              <w:left w:val="nil"/>
              <w:bottom w:val="single" w:sz="4" w:space="0" w:color="auto"/>
              <w:right w:val="single" w:sz="4" w:space="0" w:color="auto"/>
            </w:tcBorders>
            <w:shd w:val="clear" w:color="auto" w:fill="auto"/>
            <w:noWrap/>
            <w:vAlign w:val="bottom"/>
          </w:tcPr>
          <w:p w14:paraId="4AEB8FD1" w14:textId="53EFBEBB" w:rsidR="00190B39" w:rsidRPr="005F090B" w:rsidRDefault="00190B39" w:rsidP="00D3280F">
            <w:pPr>
              <w:jc w:val="right"/>
              <w:rPr>
                <w:rFonts w:ascii="Arial" w:hAnsi="Arial" w:cs="Arial"/>
                <w:b/>
                <w:sz w:val="16"/>
                <w:szCs w:val="16"/>
              </w:rPr>
            </w:pPr>
            <w:r w:rsidRPr="005F090B">
              <w:rPr>
                <w:rFonts w:ascii="Arial" w:hAnsi="Arial" w:cs="Arial"/>
                <w:b/>
                <w:sz w:val="16"/>
                <w:szCs w:val="16"/>
              </w:rPr>
              <w:t xml:space="preserve"> -169.601.55</w:t>
            </w:r>
            <w:r w:rsidR="00415EDF">
              <w:rPr>
                <w:rFonts w:ascii="Arial" w:hAnsi="Arial" w:cs="Arial"/>
                <w:b/>
                <w:sz w:val="16"/>
                <w:szCs w:val="16"/>
              </w:rPr>
              <w:t>4</w:t>
            </w:r>
            <w:r w:rsidRPr="005F090B">
              <w:rPr>
                <w:rFonts w:ascii="Arial" w:hAnsi="Arial" w:cs="Arial"/>
                <w:b/>
                <w:sz w:val="16"/>
                <w:szCs w:val="16"/>
              </w:rPr>
              <w:t xml:space="preserve"> </w:t>
            </w:r>
          </w:p>
        </w:tc>
      </w:tr>
    </w:tbl>
    <w:p w14:paraId="626F78F2" w14:textId="77777777" w:rsidR="00CE4289" w:rsidRPr="005F090B" w:rsidRDefault="00CE4289" w:rsidP="006D43FB">
      <w:pPr>
        <w:spacing w:after="160" w:line="259" w:lineRule="auto"/>
        <w:jc w:val="both"/>
        <w:rPr>
          <w:rFonts w:ascii="Arial" w:eastAsia="Calibri" w:hAnsi="Arial" w:cs="Arial"/>
          <w:b/>
          <w:bCs/>
          <w:sz w:val="20"/>
        </w:rPr>
      </w:pPr>
    </w:p>
    <w:tbl>
      <w:tblPr>
        <w:tblW w:w="10290" w:type="dxa"/>
        <w:tblInd w:w="-356" w:type="dxa"/>
        <w:tblCellMar>
          <w:left w:w="70" w:type="dxa"/>
          <w:right w:w="70" w:type="dxa"/>
        </w:tblCellMar>
        <w:tblLook w:val="04A0" w:firstRow="1" w:lastRow="0" w:firstColumn="1" w:lastColumn="0" w:noHBand="0" w:noVBand="1"/>
      </w:tblPr>
      <w:tblGrid>
        <w:gridCol w:w="3403"/>
        <w:gridCol w:w="1341"/>
        <w:gridCol w:w="1231"/>
        <w:gridCol w:w="1231"/>
        <w:gridCol w:w="1110"/>
        <w:gridCol w:w="824"/>
        <w:gridCol w:w="1150"/>
      </w:tblGrid>
      <w:tr w:rsidR="008D322F" w:rsidRPr="005F090B" w14:paraId="53B75D32" w14:textId="77777777" w:rsidTr="00BA7A6B">
        <w:trPr>
          <w:trHeight w:val="190"/>
          <w:tblHeader/>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D825D" w14:textId="0590A79F"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Resultado por Segmentos al 31/03/2020</w:t>
            </w:r>
          </w:p>
        </w:tc>
        <w:tc>
          <w:tcPr>
            <w:tcW w:w="1341" w:type="dxa"/>
            <w:tcBorders>
              <w:top w:val="single" w:sz="4" w:space="0" w:color="auto"/>
              <w:left w:val="single" w:sz="4" w:space="0" w:color="auto"/>
              <w:bottom w:val="single" w:sz="4" w:space="0" w:color="auto"/>
              <w:right w:val="single" w:sz="4" w:space="0" w:color="auto"/>
            </w:tcBorders>
            <w:shd w:val="clear" w:color="auto" w:fill="auto"/>
            <w:hideMark/>
          </w:tcPr>
          <w:p w14:paraId="3C2ED9F7" w14:textId="0C58B93A" w:rsidR="008D322F" w:rsidRPr="00BA7A6B" w:rsidRDefault="008D322F" w:rsidP="008D322F">
            <w:pPr>
              <w:jc w:val="center"/>
              <w:rPr>
                <w:rFonts w:ascii="Arial" w:hAnsi="Arial" w:cs="Arial"/>
                <w:b/>
                <w:bCs/>
                <w:sz w:val="16"/>
                <w:szCs w:val="18"/>
                <w:lang w:eastAsia="es-AR"/>
              </w:rPr>
            </w:pPr>
            <w:r w:rsidRPr="005F090B">
              <w:rPr>
                <w:rFonts w:ascii="Arial" w:hAnsi="Arial" w:cs="Arial"/>
                <w:b/>
                <w:bCs/>
                <w:color w:val="000000"/>
                <w:sz w:val="16"/>
                <w:szCs w:val="16"/>
                <w:lang w:eastAsia="es-AR"/>
              </w:rPr>
              <w:t xml:space="preserve">Banca Corporativa </w:t>
            </w:r>
          </w:p>
        </w:tc>
        <w:tc>
          <w:tcPr>
            <w:tcW w:w="1231" w:type="dxa"/>
            <w:tcBorders>
              <w:top w:val="single" w:sz="4" w:space="0" w:color="auto"/>
              <w:left w:val="single" w:sz="4" w:space="0" w:color="auto"/>
              <w:bottom w:val="single" w:sz="4" w:space="0" w:color="auto"/>
              <w:right w:val="single" w:sz="4" w:space="0" w:color="auto"/>
            </w:tcBorders>
            <w:shd w:val="clear" w:color="auto" w:fill="auto"/>
            <w:hideMark/>
          </w:tcPr>
          <w:p w14:paraId="6C6CAAB3" w14:textId="42C69F04" w:rsidR="008D322F" w:rsidRPr="00BA7A6B" w:rsidRDefault="008D322F" w:rsidP="008D322F">
            <w:pPr>
              <w:jc w:val="center"/>
              <w:rPr>
                <w:rFonts w:ascii="Arial" w:hAnsi="Arial" w:cs="Arial"/>
                <w:b/>
                <w:bCs/>
                <w:sz w:val="16"/>
                <w:szCs w:val="18"/>
                <w:lang w:eastAsia="es-AR"/>
              </w:rPr>
            </w:pPr>
            <w:r w:rsidRPr="005F090B">
              <w:rPr>
                <w:rFonts w:ascii="Arial" w:hAnsi="Arial" w:cs="Arial"/>
                <w:b/>
                <w:bCs/>
                <w:color w:val="000000"/>
                <w:sz w:val="16"/>
                <w:szCs w:val="16"/>
                <w:lang w:eastAsia="es-AR"/>
              </w:rPr>
              <w:t>Banca Personas y Negocios</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D8A4B"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Tesorería</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110F1D11"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Consumo</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AC309"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Ajustes</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8EA0A"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TOTAL</w:t>
            </w:r>
          </w:p>
        </w:tc>
      </w:tr>
      <w:tr w:rsidR="00D3280F" w:rsidRPr="005F090B" w14:paraId="7496C01C"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3C7F1FA8" w14:textId="77777777" w:rsidR="00D3280F" w:rsidRPr="005F090B" w:rsidRDefault="00D3280F" w:rsidP="00D3280F">
            <w:pPr>
              <w:rPr>
                <w:rFonts w:ascii="Arial" w:hAnsi="Arial" w:cs="Arial"/>
                <w:sz w:val="16"/>
                <w:szCs w:val="18"/>
                <w:lang w:eastAsia="es-AR"/>
              </w:rPr>
            </w:pPr>
            <w:r w:rsidRPr="005F090B">
              <w:rPr>
                <w:rFonts w:ascii="Arial" w:hAnsi="Arial" w:cs="Arial"/>
                <w:sz w:val="16"/>
                <w:szCs w:val="18"/>
                <w:lang w:eastAsia="es-AR"/>
              </w:rPr>
              <w:t xml:space="preserve"> Ingresos por intereses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73EE375C" w14:textId="5750639E"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3.137.613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14CEC1A1" w14:textId="288E10D7"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4.970.826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5AE7050B" w14:textId="539EFC07"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4.116.678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6BB962BE" w14:textId="0A34B666"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934.334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420DF481" w14:textId="54C21613"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-111.733 </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2C69DED8" w14:textId="07F257C8"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13.047.718 </w:t>
            </w:r>
          </w:p>
        </w:tc>
      </w:tr>
      <w:tr w:rsidR="00D3280F" w:rsidRPr="005F090B" w14:paraId="07CD3BBE"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5654E27D" w14:textId="77777777" w:rsidR="00D3280F" w:rsidRPr="005F090B" w:rsidRDefault="00D3280F" w:rsidP="00D3280F">
            <w:pPr>
              <w:rPr>
                <w:rFonts w:ascii="Arial" w:hAnsi="Arial" w:cs="Arial"/>
                <w:sz w:val="16"/>
                <w:szCs w:val="18"/>
                <w:lang w:eastAsia="es-AR"/>
              </w:rPr>
            </w:pPr>
            <w:r w:rsidRPr="005F090B">
              <w:rPr>
                <w:rFonts w:ascii="Arial" w:hAnsi="Arial" w:cs="Arial"/>
                <w:sz w:val="16"/>
                <w:szCs w:val="18"/>
                <w:lang w:eastAsia="es-AR"/>
              </w:rPr>
              <w:t xml:space="preserve"> Egresos por intereses </w:t>
            </w:r>
          </w:p>
        </w:tc>
        <w:tc>
          <w:tcPr>
            <w:tcW w:w="1341" w:type="dxa"/>
            <w:tcBorders>
              <w:top w:val="nil"/>
              <w:left w:val="single" w:sz="4" w:space="0" w:color="auto"/>
              <w:bottom w:val="nil"/>
              <w:right w:val="single" w:sz="4" w:space="0" w:color="auto"/>
            </w:tcBorders>
            <w:shd w:val="clear" w:color="auto" w:fill="auto"/>
            <w:noWrap/>
            <w:vAlign w:val="bottom"/>
          </w:tcPr>
          <w:p w14:paraId="1181BA0B" w14:textId="6582F7E1" w:rsidR="00D3280F" w:rsidRPr="005F090B" w:rsidRDefault="00042B27" w:rsidP="00D3280F">
            <w:pPr>
              <w:jc w:val="right"/>
              <w:rPr>
                <w:rFonts w:ascii="Arial" w:hAnsi="Arial" w:cs="Arial"/>
                <w:sz w:val="16"/>
                <w:szCs w:val="18"/>
              </w:rPr>
            </w:pPr>
            <w:r>
              <w:rPr>
                <w:rFonts w:ascii="Arial" w:hAnsi="Arial" w:cs="Arial"/>
                <w:sz w:val="16"/>
                <w:szCs w:val="18"/>
              </w:rPr>
              <w:t>-</w:t>
            </w:r>
            <w:r w:rsidR="00D3280F" w:rsidRPr="005F090B">
              <w:rPr>
                <w:rFonts w:ascii="Arial" w:hAnsi="Arial" w:cs="Arial"/>
                <w:sz w:val="16"/>
                <w:szCs w:val="18"/>
              </w:rPr>
              <w:t xml:space="preserve"> 299.577 </w:t>
            </w:r>
          </w:p>
        </w:tc>
        <w:tc>
          <w:tcPr>
            <w:tcW w:w="1231" w:type="dxa"/>
            <w:tcBorders>
              <w:top w:val="nil"/>
              <w:left w:val="single" w:sz="4" w:space="0" w:color="auto"/>
              <w:bottom w:val="nil"/>
              <w:right w:val="single" w:sz="4" w:space="0" w:color="auto"/>
            </w:tcBorders>
            <w:shd w:val="clear" w:color="auto" w:fill="auto"/>
            <w:noWrap/>
            <w:vAlign w:val="bottom"/>
          </w:tcPr>
          <w:p w14:paraId="38CAE94D" w14:textId="6C6C6108"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w:t>
            </w:r>
            <w:r w:rsidR="00042B27">
              <w:rPr>
                <w:rFonts w:ascii="Arial" w:hAnsi="Arial" w:cs="Arial"/>
                <w:sz w:val="16"/>
                <w:szCs w:val="18"/>
              </w:rPr>
              <w:t>-</w:t>
            </w:r>
            <w:r w:rsidRPr="005F090B">
              <w:rPr>
                <w:rFonts w:ascii="Arial" w:hAnsi="Arial" w:cs="Arial"/>
                <w:sz w:val="16"/>
                <w:szCs w:val="18"/>
              </w:rPr>
              <w:t xml:space="preserve">1.780.690 </w:t>
            </w:r>
          </w:p>
        </w:tc>
        <w:tc>
          <w:tcPr>
            <w:tcW w:w="1231" w:type="dxa"/>
            <w:tcBorders>
              <w:top w:val="nil"/>
              <w:left w:val="single" w:sz="4" w:space="0" w:color="auto"/>
              <w:bottom w:val="nil"/>
              <w:right w:val="single" w:sz="4" w:space="0" w:color="auto"/>
            </w:tcBorders>
            <w:shd w:val="clear" w:color="auto" w:fill="auto"/>
            <w:noWrap/>
            <w:vAlign w:val="bottom"/>
          </w:tcPr>
          <w:p w14:paraId="5B64F661" w14:textId="14D35822"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w:t>
            </w:r>
            <w:r w:rsidR="00042B27">
              <w:rPr>
                <w:rFonts w:ascii="Arial" w:hAnsi="Arial" w:cs="Arial"/>
                <w:sz w:val="16"/>
                <w:szCs w:val="18"/>
              </w:rPr>
              <w:t>-</w:t>
            </w:r>
            <w:r w:rsidRPr="005F090B">
              <w:rPr>
                <w:rFonts w:ascii="Arial" w:hAnsi="Arial" w:cs="Arial"/>
                <w:sz w:val="16"/>
                <w:szCs w:val="18"/>
              </w:rPr>
              <w:t xml:space="preserve">3.715.186 </w:t>
            </w:r>
          </w:p>
        </w:tc>
        <w:tc>
          <w:tcPr>
            <w:tcW w:w="1110" w:type="dxa"/>
            <w:tcBorders>
              <w:top w:val="nil"/>
              <w:left w:val="single" w:sz="4" w:space="0" w:color="auto"/>
              <w:bottom w:val="nil"/>
              <w:right w:val="single" w:sz="4" w:space="0" w:color="auto"/>
            </w:tcBorders>
            <w:shd w:val="clear" w:color="auto" w:fill="auto"/>
            <w:noWrap/>
            <w:vAlign w:val="bottom"/>
          </w:tcPr>
          <w:p w14:paraId="4B4CC50C" w14:textId="0AE8DD4E"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w:t>
            </w:r>
            <w:r w:rsidR="00042B27">
              <w:rPr>
                <w:rFonts w:ascii="Arial" w:hAnsi="Arial" w:cs="Arial"/>
                <w:sz w:val="16"/>
                <w:szCs w:val="18"/>
              </w:rPr>
              <w:t>-</w:t>
            </w:r>
            <w:r w:rsidRPr="005F090B">
              <w:rPr>
                <w:rFonts w:ascii="Arial" w:hAnsi="Arial" w:cs="Arial"/>
                <w:sz w:val="16"/>
                <w:szCs w:val="18"/>
              </w:rPr>
              <w:t xml:space="preserve">392.662 </w:t>
            </w:r>
          </w:p>
        </w:tc>
        <w:tc>
          <w:tcPr>
            <w:tcW w:w="824" w:type="dxa"/>
            <w:tcBorders>
              <w:top w:val="nil"/>
              <w:left w:val="single" w:sz="4" w:space="0" w:color="auto"/>
              <w:bottom w:val="nil"/>
              <w:right w:val="single" w:sz="4" w:space="0" w:color="auto"/>
            </w:tcBorders>
            <w:shd w:val="clear" w:color="auto" w:fill="auto"/>
            <w:noWrap/>
            <w:vAlign w:val="bottom"/>
          </w:tcPr>
          <w:p w14:paraId="5B304715" w14:textId="7BF690D4"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111.733 </w:t>
            </w:r>
          </w:p>
        </w:tc>
        <w:tc>
          <w:tcPr>
            <w:tcW w:w="1150" w:type="dxa"/>
            <w:tcBorders>
              <w:top w:val="nil"/>
              <w:left w:val="single" w:sz="4" w:space="0" w:color="auto"/>
              <w:bottom w:val="nil"/>
              <w:right w:val="single" w:sz="4" w:space="0" w:color="auto"/>
            </w:tcBorders>
            <w:shd w:val="clear" w:color="auto" w:fill="auto"/>
            <w:noWrap/>
            <w:vAlign w:val="bottom"/>
          </w:tcPr>
          <w:p w14:paraId="6623D5C8" w14:textId="227EC1B8"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w:t>
            </w:r>
            <w:r w:rsidR="00042B27">
              <w:rPr>
                <w:rFonts w:ascii="Arial" w:hAnsi="Arial" w:cs="Arial"/>
                <w:sz w:val="16"/>
                <w:szCs w:val="18"/>
              </w:rPr>
              <w:t>-</w:t>
            </w:r>
            <w:r w:rsidRPr="005F090B">
              <w:rPr>
                <w:rFonts w:ascii="Arial" w:hAnsi="Arial" w:cs="Arial"/>
                <w:sz w:val="16"/>
                <w:szCs w:val="18"/>
              </w:rPr>
              <w:t xml:space="preserve">6.076.382 </w:t>
            </w:r>
          </w:p>
        </w:tc>
      </w:tr>
      <w:tr w:rsidR="00D3280F" w:rsidRPr="005F090B" w14:paraId="399D0D0F"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7799295" w14:textId="77777777" w:rsidR="00D3280F" w:rsidRPr="005F090B" w:rsidRDefault="00D3280F" w:rsidP="00D3280F">
            <w:pPr>
              <w:rPr>
                <w:rFonts w:ascii="Arial" w:hAnsi="Arial" w:cs="Arial"/>
                <w:sz w:val="16"/>
                <w:szCs w:val="18"/>
                <w:lang w:eastAsia="es-AR"/>
              </w:rPr>
            </w:pPr>
            <w:r w:rsidRPr="005F090B">
              <w:rPr>
                <w:rFonts w:ascii="Arial" w:hAnsi="Arial" w:cs="Arial"/>
                <w:sz w:val="16"/>
                <w:szCs w:val="18"/>
                <w:lang w:eastAsia="es-AR"/>
              </w:rPr>
              <w:t xml:space="preserve"> Resultados por Interés de Transferencia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3DF93E90" w14:textId="29EDFDE0"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-1.946.892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1DE1EB63" w14:textId="4113F82E"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882.393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7F0FFCF8" w14:textId="3CD4E194"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1.064.499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2368A54A" w14:textId="75462A32"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0099D0A4" w14:textId="30546AC3"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 </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27E5E55E" w14:textId="0E51FAAD" w:rsidR="00D3280F" w:rsidRPr="005F090B" w:rsidRDefault="00D3280F" w:rsidP="00D3280F">
            <w:pPr>
              <w:jc w:val="right"/>
              <w:rPr>
                <w:rFonts w:ascii="Arial" w:hAnsi="Arial" w:cs="Arial"/>
                <w:sz w:val="16"/>
                <w:szCs w:val="18"/>
              </w:rPr>
            </w:pPr>
            <w:r w:rsidRPr="005F090B">
              <w:rPr>
                <w:rFonts w:ascii="Arial" w:hAnsi="Arial" w:cs="Arial"/>
                <w:sz w:val="16"/>
                <w:szCs w:val="18"/>
              </w:rPr>
              <w:t xml:space="preserve"> - </w:t>
            </w:r>
          </w:p>
        </w:tc>
      </w:tr>
      <w:tr w:rsidR="00D3280F" w:rsidRPr="005F090B" w14:paraId="0C7C04F0" w14:textId="77777777" w:rsidTr="00BA7A6B">
        <w:trPr>
          <w:trHeight w:val="112"/>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AC97C" w14:textId="77777777" w:rsidR="00D3280F" w:rsidRPr="005F090B" w:rsidRDefault="00D3280F" w:rsidP="00D3280F">
            <w:pPr>
              <w:rPr>
                <w:rFonts w:ascii="Arial" w:hAnsi="Arial" w:cs="Arial"/>
                <w:b/>
                <w:bCs/>
                <w:sz w:val="16"/>
                <w:szCs w:val="18"/>
                <w:lang w:eastAsia="es-AR"/>
              </w:rPr>
            </w:pPr>
            <w:r w:rsidRPr="005F090B">
              <w:rPr>
                <w:rFonts w:ascii="Arial" w:hAnsi="Arial" w:cs="Arial"/>
                <w:b/>
                <w:bCs/>
                <w:sz w:val="16"/>
                <w:szCs w:val="18"/>
                <w:lang w:eastAsia="es-AR"/>
              </w:rPr>
              <w:t xml:space="preserve"> Resultado neto por intereses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071B7" w14:textId="1AFD667F" w:rsidR="00D3280F" w:rsidRPr="005F090B" w:rsidRDefault="00D3280F" w:rsidP="00D3280F">
            <w:pPr>
              <w:jc w:val="right"/>
              <w:rPr>
                <w:rFonts w:ascii="Arial" w:hAnsi="Arial" w:cs="Arial"/>
                <w:b/>
                <w:sz w:val="16"/>
                <w:szCs w:val="18"/>
              </w:rPr>
            </w:pPr>
            <w:r w:rsidRPr="005F090B">
              <w:rPr>
                <w:rFonts w:ascii="Arial" w:hAnsi="Arial" w:cs="Arial"/>
                <w:b/>
                <w:sz w:val="16"/>
                <w:szCs w:val="18"/>
              </w:rPr>
              <w:t xml:space="preserve"> 891.144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740E2" w14:textId="0D737DE5" w:rsidR="00D3280F" w:rsidRPr="005F090B" w:rsidRDefault="00D3280F" w:rsidP="00D3280F">
            <w:pPr>
              <w:jc w:val="right"/>
              <w:rPr>
                <w:rFonts w:ascii="Arial" w:hAnsi="Arial" w:cs="Arial"/>
                <w:b/>
                <w:sz w:val="16"/>
                <w:szCs w:val="18"/>
              </w:rPr>
            </w:pPr>
            <w:r w:rsidRPr="005F090B">
              <w:rPr>
                <w:rFonts w:ascii="Arial" w:hAnsi="Arial" w:cs="Arial"/>
                <w:b/>
                <w:sz w:val="16"/>
                <w:szCs w:val="18"/>
              </w:rPr>
              <w:t xml:space="preserve"> 4.072.529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012246" w14:textId="0F04E58D" w:rsidR="00D3280F" w:rsidRPr="005F090B" w:rsidRDefault="00D3280F" w:rsidP="00D3280F">
            <w:pPr>
              <w:jc w:val="right"/>
              <w:rPr>
                <w:rFonts w:ascii="Arial" w:hAnsi="Arial" w:cs="Arial"/>
                <w:b/>
                <w:sz w:val="16"/>
                <w:szCs w:val="18"/>
              </w:rPr>
            </w:pPr>
            <w:r w:rsidRPr="005F090B">
              <w:rPr>
                <w:rFonts w:ascii="Arial" w:hAnsi="Arial" w:cs="Arial"/>
                <w:b/>
                <w:sz w:val="16"/>
                <w:szCs w:val="18"/>
              </w:rPr>
              <w:t xml:space="preserve"> 1.465.991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CC127" w14:textId="3F1D3256" w:rsidR="00D3280F" w:rsidRPr="005F090B" w:rsidRDefault="00D3280F" w:rsidP="00D3280F">
            <w:pPr>
              <w:jc w:val="right"/>
              <w:rPr>
                <w:rFonts w:ascii="Arial" w:hAnsi="Arial" w:cs="Arial"/>
                <w:b/>
                <w:sz w:val="16"/>
                <w:szCs w:val="18"/>
              </w:rPr>
            </w:pPr>
            <w:r w:rsidRPr="005F090B">
              <w:rPr>
                <w:rFonts w:ascii="Arial" w:hAnsi="Arial" w:cs="Arial"/>
                <w:b/>
                <w:sz w:val="16"/>
                <w:szCs w:val="18"/>
              </w:rPr>
              <w:t xml:space="preserve"> 541.672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ADA52" w14:textId="306D555F" w:rsidR="00D3280F" w:rsidRPr="005F090B" w:rsidRDefault="00D3280F" w:rsidP="00D3280F">
            <w:pPr>
              <w:jc w:val="right"/>
              <w:rPr>
                <w:rFonts w:ascii="Arial" w:hAnsi="Arial" w:cs="Arial"/>
                <w:b/>
                <w:sz w:val="16"/>
                <w:szCs w:val="18"/>
              </w:rPr>
            </w:pPr>
            <w:r w:rsidRPr="005F090B">
              <w:rPr>
                <w:rFonts w:ascii="Arial" w:hAnsi="Arial" w:cs="Arial"/>
                <w:b/>
                <w:sz w:val="16"/>
                <w:szCs w:val="18"/>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65DDF" w14:textId="1D787B4A" w:rsidR="00D3280F" w:rsidRPr="005F090B" w:rsidRDefault="00D3280F" w:rsidP="00D3280F">
            <w:pPr>
              <w:jc w:val="right"/>
              <w:rPr>
                <w:rFonts w:ascii="Arial" w:hAnsi="Arial" w:cs="Arial"/>
                <w:b/>
                <w:sz w:val="16"/>
                <w:szCs w:val="18"/>
              </w:rPr>
            </w:pPr>
            <w:r w:rsidRPr="005F090B">
              <w:rPr>
                <w:rFonts w:ascii="Arial" w:hAnsi="Arial" w:cs="Arial"/>
                <w:b/>
                <w:sz w:val="16"/>
                <w:szCs w:val="18"/>
              </w:rPr>
              <w:t xml:space="preserve"> 6.971.336 </w:t>
            </w:r>
          </w:p>
        </w:tc>
      </w:tr>
      <w:tr w:rsidR="00E31F15" w:rsidRPr="005F090B" w14:paraId="575A9895"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0CD62543" w14:textId="77777777" w:rsidR="00E31F15" w:rsidRPr="005F090B" w:rsidRDefault="00E31F15" w:rsidP="00E31F15">
            <w:pPr>
              <w:rPr>
                <w:rFonts w:ascii="Arial" w:hAnsi="Arial" w:cs="Arial"/>
                <w:sz w:val="16"/>
                <w:szCs w:val="18"/>
                <w:lang w:eastAsia="es-AR"/>
              </w:rPr>
            </w:pPr>
            <w:r w:rsidRPr="005F090B">
              <w:rPr>
                <w:rFonts w:ascii="Arial" w:hAnsi="Arial" w:cs="Arial"/>
                <w:sz w:val="16"/>
                <w:szCs w:val="18"/>
                <w:lang w:eastAsia="es-AR"/>
              </w:rPr>
              <w:t xml:space="preserve"> Ingresos por comisiones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0E60260D" w14:textId="0C11C445"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155.275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19A088BB" w14:textId="2FCBC161"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1.671.954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3EAA36C4" w14:textId="75E7AB0F"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29.186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2303C5F6" w14:textId="6262131B"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277.508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62CE3027" w14:textId="485CD64F"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-584 </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1B1A3471" w14:textId="24013FF3"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2.133.339 </w:t>
            </w:r>
          </w:p>
        </w:tc>
      </w:tr>
      <w:tr w:rsidR="00E31F15" w:rsidRPr="005F090B" w14:paraId="4CDE9C9A"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499C7B8C" w14:textId="77777777" w:rsidR="00E31F15" w:rsidRPr="005F090B" w:rsidRDefault="00E31F15" w:rsidP="00E31F15">
            <w:pPr>
              <w:rPr>
                <w:rFonts w:ascii="Arial" w:hAnsi="Arial" w:cs="Arial"/>
                <w:sz w:val="16"/>
                <w:szCs w:val="18"/>
                <w:lang w:eastAsia="es-AR"/>
              </w:rPr>
            </w:pPr>
            <w:r w:rsidRPr="005F090B">
              <w:rPr>
                <w:rFonts w:ascii="Arial" w:hAnsi="Arial" w:cs="Arial"/>
                <w:sz w:val="16"/>
                <w:szCs w:val="18"/>
                <w:lang w:eastAsia="es-AR"/>
              </w:rPr>
              <w:t xml:space="preserve"> Egresos por comisiones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133C8786" w14:textId="73DA7526"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w:t>
            </w:r>
            <w:r w:rsidR="00042B27">
              <w:rPr>
                <w:rFonts w:ascii="Arial" w:hAnsi="Arial" w:cs="Arial"/>
                <w:sz w:val="16"/>
                <w:szCs w:val="16"/>
              </w:rPr>
              <w:t>-</w:t>
            </w:r>
            <w:r w:rsidRPr="005F090B">
              <w:rPr>
                <w:rFonts w:ascii="Arial" w:hAnsi="Arial" w:cs="Arial"/>
                <w:sz w:val="16"/>
                <w:szCs w:val="16"/>
              </w:rPr>
              <w:t xml:space="preserve">38.252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1427D51B" w14:textId="1ECD33AF"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w:t>
            </w:r>
            <w:r w:rsidR="00042B27">
              <w:rPr>
                <w:rFonts w:ascii="Arial" w:hAnsi="Arial" w:cs="Arial"/>
                <w:sz w:val="16"/>
                <w:szCs w:val="16"/>
              </w:rPr>
              <w:t>-</w:t>
            </w:r>
            <w:r w:rsidRPr="005F090B">
              <w:rPr>
                <w:rFonts w:ascii="Arial" w:hAnsi="Arial" w:cs="Arial"/>
                <w:sz w:val="16"/>
                <w:szCs w:val="16"/>
              </w:rPr>
              <w:t xml:space="preserve">434.606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572733D7" w14:textId="4144843C"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w:t>
            </w:r>
            <w:r w:rsidR="00042B27">
              <w:rPr>
                <w:rFonts w:ascii="Arial" w:hAnsi="Arial" w:cs="Arial"/>
                <w:sz w:val="16"/>
                <w:szCs w:val="16"/>
              </w:rPr>
              <w:t>-</w:t>
            </w:r>
            <w:r w:rsidRPr="005F090B">
              <w:rPr>
                <w:rFonts w:ascii="Arial" w:hAnsi="Arial" w:cs="Arial"/>
                <w:sz w:val="16"/>
                <w:szCs w:val="16"/>
              </w:rPr>
              <w:t xml:space="preserve">12.179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15FCA071" w14:textId="7C91CC75"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w:t>
            </w:r>
            <w:r w:rsidR="00042B27">
              <w:rPr>
                <w:rFonts w:ascii="Arial" w:hAnsi="Arial" w:cs="Arial"/>
                <w:sz w:val="16"/>
                <w:szCs w:val="16"/>
              </w:rPr>
              <w:t>-</w:t>
            </w:r>
            <w:r w:rsidRPr="005F090B">
              <w:rPr>
                <w:rFonts w:ascii="Arial" w:hAnsi="Arial" w:cs="Arial"/>
                <w:sz w:val="16"/>
                <w:szCs w:val="16"/>
              </w:rPr>
              <w:t xml:space="preserve">215.379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17A3C0A8" w14:textId="3D1F02C9"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442 </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0022A9F4" w14:textId="005D9C78" w:rsidR="00E31F15" w:rsidRPr="005F090B" w:rsidRDefault="00E31F15" w:rsidP="00E31F15">
            <w:pPr>
              <w:jc w:val="right"/>
              <w:rPr>
                <w:rFonts w:ascii="Arial" w:hAnsi="Arial" w:cs="Arial"/>
                <w:sz w:val="16"/>
                <w:szCs w:val="16"/>
              </w:rPr>
            </w:pPr>
            <w:r w:rsidRPr="005F090B">
              <w:rPr>
                <w:rFonts w:ascii="Arial" w:hAnsi="Arial" w:cs="Arial"/>
                <w:sz w:val="16"/>
                <w:szCs w:val="16"/>
              </w:rPr>
              <w:t xml:space="preserve"> </w:t>
            </w:r>
            <w:r w:rsidR="00042B27">
              <w:rPr>
                <w:rFonts w:ascii="Arial" w:hAnsi="Arial" w:cs="Arial"/>
                <w:sz w:val="16"/>
                <w:szCs w:val="16"/>
              </w:rPr>
              <w:t>-</w:t>
            </w:r>
            <w:r w:rsidRPr="005F090B">
              <w:rPr>
                <w:rFonts w:ascii="Arial" w:hAnsi="Arial" w:cs="Arial"/>
                <w:sz w:val="16"/>
                <w:szCs w:val="16"/>
              </w:rPr>
              <w:t xml:space="preserve">699.974 </w:t>
            </w:r>
          </w:p>
        </w:tc>
      </w:tr>
      <w:tr w:rsidR="00E31F15" w:rsidRPr="00701F32" w14:paraId="7D28A5B5" w14:textId="77777777" w:rsidTr="00BA7A6B">
        <w:trPr>
          <w:trHeight w:val="129"/>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AAB2C" w14:textId="77777777" w:rsidR="00E31F15" w:rsidRPr="005F090B" w:rsidRDefault="00E31F15" w:rsidP="00E31F15">
            <w:pPr>
              <w:rPr>
                <w:rFonts w:ascii="Arial" w:hAnsi="Arial" w:cs="Arial"/>
                <w:b/>
                <w:bCs/>
                <w:sz w:val="16"/>
                <w:szCs w:val="18"/>
                <w:lang w:eastAsia="es-AR"/>
              </w:rPr>
            </w:pPr>
            <w:r w:rsidRPr="005F090B">
              <w:rPr>
                <w:rFonts w:ascii="Arial" w:hAnsi="Arial" w:cs="Arial"/>
                <w:b/>
                <w:bCs/>
                <w:sz w:val="16"/>
                <w:szCs w:val="18"/>
                <w:lang w:eastAsia="es-AR"/>
              </w:rPr>
              <w:t xml:space="preserve"> Resultado neto por comisiones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57612" w14:textId="0BB966D2" w:rsidR="00E31F15" w:rsidRPr="005F090B" w:rsidRDefault="00E31F15" w:rsidP="00E31F15">
            <w:pPr>
              <w:jc w:val="right"/>
              <w:rPr>
                <w:rFonts w:ascii="Arial" w:hAnsi="Arial" w:cs="Arial"/>
                <w:b/>
                <w:sz w:val="16"/>
                <w:szCs w:val="16"/>
              </w:rPr>
            </w:pPr>
            <w:r w:rsidRPr="005F090B">
              <w:rPr>
                <w:rFonts w:ascii="Arial" w:hAnsi="Arial" w:cs="Arial"/>
                <w:b/>
                <w:sz w:val="16"/>
                <w:szCs w:val="16"/>
              </w:rPr>
              <w:t xml:space="preserve"> 117.023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F8E7E" w14:textId="3720A9C1" w:rsidR="00E31F15" w:rsidRPr="005F090B" w:rsidRDefault="00E31F15" w:rsidP="00E31F15">
            <w:pPr>
              <w:jc w:val="right"/>
              <w:rPr>
                <w:rFonts w:ascii="Arial" w:hAnsi="Arial" w:cs="Arial"/>
                <w:b/>
                <w:sz w:val="16"/>
                <w:szCs w:val="16"/>
              </w:rPr>
            </w:pPr>
            <w:r w:rsidRPr="005F090B">
              <w:rPr>
                <w:rFonts w:ascii="Arial" w:hAnsi="Arial" w:cs="Arial"/>
                <w:b/>
                <w:sz w:val="16"/>
                <w:szCs w:val="16"/>
              </w:rPr>
              <w:t xml:space="preserve"> 1.237.348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A5E93" w14:textId="2A3C1659" w:rsidR="00E31F15" w:rsidRPr="005F090B" w:rsidRDefault="00E31F15" w:rsidP="00E31F15">
            <w:pPr>
              <w:jc w:val="right"/>
              <w:rPr>
                <w:rFonts w:ascii="Arial" w:hAnsi="Arial" w:cs="Arial"/>
                <w:b/>
                <w:sz w:val="16"/>
                <w:szCs w:val="16"/>
              </w:rPr>
            </w:pPr>
            <w:r w:rsidRPr="005F090B">
              <w:rPr>
                <w:rFonts w:ascii="Arial" w:hAnsi="Arial" w:cs="Arial"/>
                <w:b/>
                <w:sz w:val="16"/>
                <w:szCs w:val="16"/>
              </w:rPr>
              <w:t xml:space="preserve"> 17.007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B0F55" w14:textId="42A14802" w:rsidR="00E31F15" w:rsidRPr="005F090B" w:rsidRDefault="00E31F15" w:rsidP="00E31F15">
            <w:pPr>
              <w:jc w:val="right"/>
              <w:rPr>
                <w:rFonts w:ascii="Arial" w:hAnsi="Arial" w:cs="Arial"/>
                <w:b/>
                <w:sz w:val="16"/>
                <w:szCs w:val="16"/>
              </w:rPr>
            </w:pPr>
            <w:r w:rsidRPr="005F090B">
              <w:rPr>
                <w:rFonts w:ascii="Arial" w:hAnsi="Arial" w:cs="Arial"/>
                <w:b/>
                <w:sz w:val="16"/>
                <w:szCs w:val="16"/>
              </w:rPr>
              <w:t xml:space="preserve"> 62.129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8193B" w14:textId="7A7CC331" w:rsidR="00E31F15" w:rsidRPr="005F090B" w:rsidRDefault="00E31F15" w:rsidP="00E31F15">
            <w:pPr>
              <w:jc w:val="right"/>
              <w:rPr>
                <w:rFonts w:ascii="Arial" w:hAnsi="Arial" w:cs="Arial"/>
                <w:b/>
                <w:sz w:val="16"/>
                <w:szCs w:val="16"/>
              </w:rPr>
            </w:pPr>
            <w:r w:rsidRPr="005F090B">
              <w:rPr>
                <w:rFonts w:ascii="Arial" w:hAnsi="Arial" w:cs="Arial"/>
                <w:b/>
                <w:sz w:val="16"/>
                <w:szCs w:val="16"/>
              </w:rPr>
              <w:t xml:space="preserve"> -142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CAEC0" w14:textId="3CFF7901" w:rsidR="00E31F15" w:rsidRPr="00E31F15" w:rsidRDefault="00E31F15" w:rsidP="00E31F15">
            <w:pPr>
              <w:jc w:val="right"/>
              <w:rPr>
                <w:rFonts w:ascii="Arial" w:hAnsi="Arial" w:cs="Arial"/>
                <w:b/>
                <w:sz w:val="16"/>
                <w:szCs w:val="16"/>
              </w:rPr>
            </w:pPr>
            <w:r w:rsidRPr="005F090B">
              <w:rPr>
                <w:rFonts w:ascii="Arial" w:hAnsi="Arial" w:cs="Arial"/>
                <w:b/>
                <w:sz w:val="16"/>
                <w:szCs w:val="16"/>
              </w:rPr>
              <w:t xml:space="preserve"> 1.433.365</w:t>
            </w:r>
            <w:r w:rsidRPr="00E31F15">
              <w:rPr>
                <w:rFonts w:ascii="Arial" w:hAnsi="Arial" w:cs="Arial"/>
                <w:b/>
                <w:sz w:val="16"/>
                <w:szCs w:val="16"/>
              </w:rPr>
              <w:t xml:space="preserve"> </w:t>
            </w:r>
          </w:p>
        </w:tc>
      </w:tr>
      <w:tr w:rsidR="00E31F15" w:rsidRPr="00701F32" w14:paraId="4EA2A7BB" w14:textId="77777777" w:rsidTr="00BA7A6B">
        <w:trPr>
          <w:trHeight w:val="111"/>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A062B" w14:textId="77777777" w:rsidR="00E31F15" w:rsidRPr="00701F32" w:rsidRDefault="00E31F15" w:rsidP="00E31F15">
            <w:pPr>
              <w:rPr>
                <w:rFonts w:ascii="Arial" w:hAnsi="Arial" w:cs="Arial"/>
                <w:b/>
                <w:bCs/>
                <w:sz w:val="16"/>
                <w:szCs w:val="18"/>
                <w:lang w:eastAsia="es-AR"/>
              </w:rPr>
            </w:pPr>
            <w:r w:rsidRPr="00701F32">
              <w:rPr>
                <w:rFonts w:ascii="Arial" w:hAnsi="Arial" w:cs="Arial"/>
                <w:b/>
                <w:bCs/>
                <w:sz w:val="16"/>
                <w:szCs w:val="18"/>
                <w:lang w:eastAsia="es-AR"/>
              </w:rPr>
              <w:t xml:space="preserve">Subtotal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B6B60" w14:textId="257934E6"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1.008.167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D30DDB" w14:textId="33ACA334"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5.309.877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74514" w14:textId="22E9A8E1"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1.482.998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1E4CA" w14:textId="23EEA406"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603.801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2C8AA" w14:textId="373940F1"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-142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8ECD7" w14:textId="213B8392"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8.404.701 </w:t>
            </w:r>
          </w:p>
        </w:tc>
      </w:tr>
      <w:tr w:rsidR="00E31F15" w:rsidRPr="00701F32" w14:paraId="2B845B77"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5109908B"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Resultado neto por medición de instrumentos financieros a valor razonable con cambios en resultados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76FAF5A4" w14:textId="5FD69911"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14AE89EB" w14:textId="12B4BDA9"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06EDC13C" w14:textId="3F50EFD0"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114.207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6A1ACB7F" w14:textId="4B6392C1"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24.285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20FDC9E4" w14:textId="4CFE478C"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4336E1E1" w14:textId="23C0BEC7"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138.492 </w:t>
            </w:r>
          </w:p>
        </w:tc>
      </w:tr>
      <w:tr w:rsidR="00E31F15" w:rsidRPr="00701F32" w14:paraId="0DBD84AD"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0FB5BF32" w14:textId="77777777" w:rsidR="00E31F15" w:rsidRPr="00701F32" w:rsidRDefault="00E31F15" w:rsidP="00E31F15">
            <w:pPr>
              <w:rPr>
                <w:rFonts w:ascii="Arial" w:hAnsi="Arial" w:cs="Arial"/>
                <w:sz w:val="16"/>
                <w:szCs w:val="18"/>
                <w:lang w:eastAsia="es-AR"/>
              </w:rPr>
            </w:pPr>
            <w:r w:rsidRPr="00701F32">
              <w:rPr>
                <w:rFonts w:ascii="Arial" w:hAnsi="Arial" w:cs="Arial"/>
                <w:sz w:val="16"/>
                <w:szCs w:val="18"/>
                <w:lang w:eastAsia="es-AR"/>
              </w:rPr>
              <w:t xml:space="preserve"> Diferencia de cotización de oro y moneda extranjera </w:t>
            </w:r>
          </w:p>
        </w:tc>
        <w:tc>
          <w:tcPr>
            <w:tcW w:w="1341" w:type="dxa"/>
            <w:tcBorders>
              <w:top w:val="nil"/>
              <w:left w:val="single" w:sz="4" w:space="0" w:color="auto"/>
              <w:bottom w:val="nil"/>
              <w:right w:val="single" w:sz="4" w:space="0" w:color="auto"/>
            </w:tcBorders>
            <w:shd w:val="clear" w:color="auto" w:fill="auto"/>
            <w:noWrap/>
            <w:vAlign w:val="bottom"/>
          </w:tcPr>
          <w:p w14:paraId="4A74A845" w14:textId="6D45D016" w:rsidR="00E31F15" w:rsidRPr="00E31F15" w:rsidRDefault="00E31F15" w:rsidP="00E31F15">
            <w:pPr>
              <w:jc w:val="right"/>
              <w:rPr>
                <w:rFonts w:ascii="Arial" w:hAnsi="Arial" w:cs="Arial"/>
                <w:sz w:val="16"/>
                <w:szCs w:val="16"/>
                <w:lang w:val="es-ES_tradnl"/>
              </w:rPr>
            </w:pPr>
            <w:r w:rsidRPr="00E31F15">
              <w:rPr>
                <w:rFonts w:ascii="Arial" w:hAnsi="Arial" w:cs="Arial"/>
                <w:sz w:val="16"/>
                <w:szCs w:val="16"/>
              </w:rPr>
              <w:t xml:space="preserve"> 13.366 </w:t>
            </w:r>
          </w:p>
        </w:tc>
        <w:tc>
          <w:tcPr>
            <w:tcW w:w="1231" w:type="dxa"/>
            <w:tcBorders>
              <w:top w:val="nil"/>
              <w:left w:val="single" w:sz="4" w:space="0" w:color="auto"/>
              <w:bottom w:val="nil"/>
              <w:right w:val="single" w:sz="4" w:space="0" w:color="auto"/>
            </w:tcBorders>
            <w:shd w:val="clear" w:color="auto" w:fill="auto"/>
            <w:noWrap/>
            <w:vAlign w:val="bottom"/>
          </w:tcPr>
          <w:p w14:paraId="7868475D" w14:textId="5DA04A43"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28.199 </w:t>
            </w:r>
          </w:p>
        </w:tc>
        <w:tc>
          <w:tcPr>
            <w:tcW w:w="1231" w:type="dxa"/>
            <w:tcBorders>
              <w:top w:val="nil"/>
              <w:left w:val="single" w:sz="4" w:space="0" w:color="auto"/>
              <w:bottom w:val="nil"/>
              <w:right w:val="single" w:sz="4" w:space="0" w:color="auto"/>
            </w:tcBorders>
            <w:shd w:val="clear" w:color="auto" w:fill="auto"/>
            <w:noWrap/>
            <w:vAlign w:val="bottom"/>
          </w:tcPr>
          <w:p w14:paraId="5386B4FE" w14:textId="6AE61FC8" w:rsidR="00E31F15" w:rsidRPr="00E31F15" w:rsidRDefault="00E31F15" w:rsidP="00E31F15">
            <w:pPr>
              <w:jc w:val="right"/>
              <w:rPr>
                <w:rFonts w:ascii="Arial" w:hAnsi="Arial" w:cs="Arial"/>
                <w:sz w:val="16"/>
                <w:szCs w:val="16"/>
                <w:lang w:val="es-ES_tradnl"/>
              </w:rPr>
            </w:pPr>
            <w:r w:rsidRPr="00E31F15">
              <w:rPr>
                <w:rFonts w:ascii="Arial" w:hAnsi="Arial" w:cs="Arial"/>
                <w:sz w:val="16"/>
                <w:szCs w:val="16"/>
              </w:rPr>
              <w:t xml:space="preserve"> 39.783 </w:t>
            </w:r>
          </w:p>
        </w:tc>
        <w:tc>
          <w:tcPr>
            <w:tcW w:w="1110" w:type="dxa"/>
            <w:tcBorders>
              <w:top w:val="nil"/>
              <w:left w:val="single" w:sz="4" w:space="0" w:color="auto"/>
              <w:bottom w:val="nil"/>
              <w:right w:val="single" w:sz="4" w:space="0" w:color="auto"/>
            </w:tcBorders>
            <w:shd w:val="clear" w:color="auto" w:fill="auto"/>
            <w:noWrap/>
            <w:vAlign w:val="bottom"/>
          </w:tcPr>
          <w:p w14:paraId="71DA5800" w14:textId="4CCCB3E2"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-352 </w:t>
            </w:r>
          </w:p>
        </w:tc>
        <w:tc>
          <w:tcPr>
            <w:tcW w:w="824" w:type="dxa"/>
            <w:tcBorders>
              <w:top w:val="nil"/>
              <w:left w:val="single" w:sz="4" w:space="0" w:color="auto"/>
              <w:bottom w:val="nil"/>
              <w:right w:val="single" w:sz="4" w:space="0" w:color="auto"/>
            </w:tcBorders>
            <w:shd w:val="clear" w:color="auto" w:fill="auto"/>
            <w:noWrap/>
            <w:vAlign w:val="bottom"/>
          </w:tcPr>
          <w:p w14:paraId="606EEF22" w14:textId="62362C1D"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150" w:type="dxa"/>
            <w:tcBorders>
              <w:top w:val="nil"/>
              <w:left w:val="single" w:sz="4" w:space="0" w:color="auto"/>
              <w:bottom w:val="nil"/>
              <w:right w:val="single" w:sz="4" w:space="0" w:color="auto"/>
            </w:tcBorders>
            <w:shd w:val="clear" w:color="auto" w:fill="auto"/>
            <w:noWrap/>
            <w:vAlign w:val="bottom"/>
          </w:tcPr>
          <w:p w14:paraId="1AD8E45D" w14:textId="6CCDCA6A"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80.996 </w:t>
            </w:r>
          </w:p>
        </w:tc>
      </w:tr>
      <w:tr w:rsidR="004579F4" w:rsidRPr="00701F32" w14:paraId="22DD49C9"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tcPr>
          <w:p w14:paraId="584D4700" w14:textId="5CD3A778" w:rsidR="004579F4" w:rsidRPr="00701F32" w:rsidRDefault="004579F4" w:rsidP="00E31F15">
            <w:pPr>
              <w:rPr>
                <w:rFonts w:ascii="Arial" w:hAnsi="Arial" w:cs="Arial"/>
                <w:sz w:val="16"/>
                <w:szCs w:val="18"/>
                <w:lang w:eastAsia="es-AR"/>
              </w:rPr>
            </w:pPr>
            <w:r w:rsidRPr="004579F4">
              <w:rPr>
                <w:rFonts w:ascii="Arial" w:hAnsi="Arial" w:cs="Arial"/>
                <w:sz w:val="16"/>
                <w:szCs w:val="18"/>
                <w:lang w:eastAsia="es-AR"/>
              </w:rPr>
              <w:t>Resultado por baja de activos medidos a costo amortizado</w:t>
            </w:r>
          </w:p>
        </w:tc>
        <w:tc>
          <w:tcPr>
            <w:tcW w:w="1341" w:type="dxa"/>
            <w:tcBorders>
              <w:top w:val="nil"/>
              <w:left w:val="single" w:sz="4" w:space="0" w:color="auto"/>
              <w:bottom w:val="nil"/>
              <w:right w:val="single" w:sz="4" w:space="0" w:color="auto"/>
            </w:tcBorders>
            <w:shd w:val="clear" w:color="auto" w:fill="auto"/>
            <w:noWrap/>
            <w:vAlign w:val="bottom"/>
          </w:tcPr>
          <w:p w14:paraId="27A9B6AC" w14:textId="6EA46E0B" w:rsidR="004579F4" w:rsidRPr="00E31F15" w:rsidRDefault="004579F4" w:rsidP="00E31F15">
            <w:pPr>
              <w:jc w:val="right"/>
              <w:rPr>
                <w:rFonts w:ascii="Arial" w:hAnsi="Arial" w:cs="Arial"/>
                <w:sz w:val="16"/>
                <w:szCs w:val="16"/>
              </w:rPr>
            </w:pPr>
            <w:r>
              <w:rPr>
                <w:rFonts w:ascii="Arial" w:hAnsi="Arial" w:cs="Arial"/>
                <w:sz w:val="16"/>
                <w:szCs w:val="16"/>
              </w:rPr>
              <w:t>-</w:t>
            </w:r>
          </w:p>
        </w:tc>
        <w:tc>
          <w:tcPr>
            <w:tcW w:w="1231" w:type="dxa"/>
            <w:tcBorders>
              <w:top w:val="nil"/>
              <w:left w:val="single" w:sz="4" w:space="0" w:color="auto"/>
              <w:bottom w:val="nil"/>
              <w:right w:val="single" w:sz="4" w:space="0" w:color="auto"/>
            </w:tcBorders>
            <w:shd w:val="clear" w:color="auto" w:fill="auto"/>
            <w:noWrap/>
            <w:vAlign w:val="bottom"/>
          </w:tcPr>
          <w:p w14:paraId="34D1BF00" w14:textId="351E9AA0" w:rsidR="004579F4" w:rsidRPr="00E31F15" w:rsidRDefault="004579F4" w:rsidP="00E31F15">
            <w:pPr>
              <w:jc w:val="right"/>
              <w:rPr>
                <w:rFonts w:ascii="Arial" w:hAnsi="Arial" w:cs="Arial"/>
                <w:sz w:val="16"/>
                <w:szCs w:val="16"/>
              </w:rPr>
            </w:pPr>
            <w:r>
              <w:rPr>
                <w:rFonts w:ascii="Arial" w:hAnsi="Arial" w:cs="Arial"/>
                <w:sz w:val="16"/>
                <w:szCs w:val="16"/>
              </w:rPr>
              <w:t>-</w:t>
            </w:r>
          </w:p>
        </w:tc>
        <w:tc>
          <w:tcPr>
            <w:tcW w:w="1231" w:type="dxa"/>
            <w:tcBorders>
              <w:top w:val="nil"/>
              <w:left w:val="single" w:sz="4" w:space="0" w:color="auto"/>
              <w:bottom w:val="nil"/>
              <w:right w:val="single" w:sz="4" w:space="0" w:color="auto"/>
            </w:tcBorders>
            <w:shd w:val="clear" w:color="auto" w:fill="auto"/>
            <w:noWrap/>
            <w:vAlign w:val="bottom"/>
          </w:tcPr>
          <w:p w14:paraId="6D9926A8" w14:textId="630269DF" w:rsidR="004579F4" w:rsidRPr="00E31F15" w:rsidRDefault="004579F4" w:rsidP="00E31F15">
            <w:pPr>
              <w:jc w:val="right"/>
              <w:rPr>
                <w:rFonts w:ascii="Arial" w:hAnsi="Arial" w:cs="Arial"/>
                <w:sz w:val="16"/>
                <w:szCs w:val="16"/>
              </w:rPr>
            </w:pPr>
            <w:r w:rsidRPr="004579F4">
              <w:rPr>
                <w:rFonts w:ascii="Arial" w:hAnsi="Arial" w:cs="Arial"/>
                <w:sz w:val="16"/>
                <w:szCs w:val="16"/>
              </w:rPr>
              <w:t>11.634</w:t>
            </w:r>
          </w:p>
        </w:tc>
        <w:tc>
          <w:tcPr>
            <w:tcW w:w="1110" w:type="dxa"/>
            <w:tcBorders>
              <w:top w:val="nil"/>
              <w:left w:val="single" w:sz="4" w:space="0" w:color="auto"/>
              <w:bottom w:val="nil"/>
              <w:right w:val="single" w:sz="4" w:space="0" w:color="auto"/>
            </w:tcBorders>
            <w:shd w:val="clear" w:color="auto" w:fill="auto"/>
            <w:noWrap/>
            <w:vAlign w:val="bottom"/>
          </w:tcPr>
          <w:p w14:paraId="276CFC0F" w14:textId="721EC510" w:rsidR="004579F4" w:rsidRPr="00E31F15" w:rsidRDefault="004579F4" w:rsidP="00E31F15">
            <w:pPr>
              <w:jc w:val="right"/>
              <w:rPr>
                <w:rFonts w:ascii="Arial" w:hAnsi="Arial" w:cs="Arial"/>
                <w:sz w:val="16"/>
                <w:szCs w:val="16"/>
              </w:rPr>
            </w:pPr>
            <w:r>
              <w:rPr>
                <w:rFonts w:ascii="Arial" w:hAnsi="Arial" w:cs="Arial"/>
                <w:sz w:val="16"/>
                <w:szCs w:val="16"/>
              </w:rPr>
              <w:t>-</w:t>
            </w:r>
          </w:p>
        </w:tc>
        <w:tc>
          <w:tcPr>
            <w:tcW w:w="824" w:type="dxa"/>
            <w:tcBorders>
              <w:top w:val="nil"/>
              <w:left w:val="single" w:sz="4" w:space="0" w:color="auto"/>
              <w:bottom w:val="nil"/>
              <w:right w:val="single" w:sz="4" w:space="0" w:color="auto"/>
            </w:tcBorders>
            <w:shd w:val="clear" w:color="auto" w:fill="auto"/>
            <w:noWrap/>
            <w:vAlign w:val="bottom"/>
          </w:tcPr>
          <w:p w14:paraId="1B0E9D33" w14:textId="217AE7F5" w:rsidR="004579F4" w:rsidRPr="00E31F15" w:rsidRDefault="004579F4" w:rsidP="00E31F15">
            <w:pPr>
              <w:jc w:val="right"/>
              <w:rPr>
                <w:rFonts w:ascii="Arial" w:hAnsi="Arial" w:cs="Arial"/>
                <w:sz w:val="16"/>
                <w:szCs w:val="16"/>
              </w:rPr>
            </w:pPr>
            <w:r>
              <w:rPr>
                <w:rFonts w:ascii="Arial" w:hAnsi="Arial" w:cs="Arial"/>
                <w:sz w:val="16"/>
                <w:szCs w:val="16"/>
              </w:rPr>
              <w:t>-</w:t>
            </w:r>
          </w:p>
        </w:tc>
        <w:tc>
          <w:tcPr>
            <w:tcW w:w="1150" w:type="dxa"/>
            <w:tcBorders>
              <w:top w:val="nil"/>
              <w:left w:val="single" w:sz="4" w:space="0" w:color="auto"/>
              <w:bottom w:val="nil"/>
              <w:right w:val="single" w:sz="4" w:space="0" w:color="auto"/>
            </w:tcBorders>
            <w:shd w:val="clear" w:color="auto" w:fill="auto"/>
            <w:noWrap/>
            <w:vAlign w:val="bottom"/>
          </w:tcPr>
          <w:p w14:paraId="1AB16786" w14:textId="03216046" w:rsidR="004579F4" w:rsidRPr="00E31F15" w:rsidRDefault="004579F4" w:rsidP="00E31F15">
            <w:pPr>
              <w:jc w:val="right"/>
              <w:rPr>
                <w:rFonts w:ascii="Arial" w:hAnsi="Arial" w:cs="Arial"/>
                <w:sz w:val="16"/>
                <w:szCs w:val="16"/>
              </w:rPr>
            </w:pPr>
            <w:r>
              <w:rPr>
                <w:rFonts w:ascii="Arial" w:hAnsi="Arial" w:cs="Arial"/>
                <w:sz w:val="16"/>
                <w:szCs w:val="16"/>
              </w:rPr>
              <w:t>-</w:t>
            </w:r>
          </w:p>
        </w:tc>
      </w:tr>
      <w:tr w:rsidR="00E31F15" w:rsidRPr="00701F32" w14:paraId="0B12FB60"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3A979FDD"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Otros ingresos operativos </w:t>
            </w:r>
          </w:p>
        </w:tc>
        <w:tc>
          <w:tcPr>
            <w:tcW w:w="1341" w:type="dxa"/>
            <w:tcBorders>
              <w:top w:val="nil"/>
              <w:left w:val="single" w:sz="4" w:space="0" w:color="auto"/>
              <w:bottom w:val="nil"/>
              <w:right w:val="single" w:sz="4" w:space="0" w:color="auto"/>
            </w:tcBorders>
            <w:shd w:val="clear" w:color="auto" w:fill="auto"/>
            <w:noWrap/>
            <w:vAlign w:val="bottom"/>
          </w:tcPr>
          <w:p w14:paraId="65DCB1E8" w14:textId="4F3873D4"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317.214 </w:t>
            </w:r>
          </w:p>
        </w:tc>
        <w:tc>
          <w:tcPr>
            <w:tcW w:w="1231" w:type="dxa"/>
            <w:tcBorders>
              <w:top w:val="nil"/>
              <w:left w:val="single" w:sz="4" w:space="0" w:color="auto"/>
              <w:bottom w:val="nil"/>
              <w:right w:val="single" w:sz="4" w:space="0" w:color="auto"/>
            </w:tcBorders>
            <w:shd w:val="clear" w:color="auto" w:fill="auto"/>
            <w:noWrap/>
            <w:vAlign w:val="bottom"/>
          </w:tcPr>
          <w:p w14:paraId="5EA1FC34" w14:textId="46837A91"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364.969 </w:t>
            </w:r>
          </w:p>
        </w:tc>
        <w:tc>
          <w:tcPr>
            <w:tcW w:w="1231" w:type="dxa"/>
            <w:tcBorders>
              <w:top w:val="nil"/>
              <w:left w:val="single" w:sz="4" w:space="0" w:color="auto"/>
              <w:bottom w:val="nil"/>
              <w:right w:val="single" w:sz="4" w:space="0" w:color="auto"/>
            </w:tcBorders>
            <w:shd w:val="clear" w:color="auto" w:fill="auto"/>
            <w:noWrap/>
            <w:vAlign w:val="bottom"/>
          </w:tcPr>
          <w:p w14:paraId="07553873" w14:textId="0E67F6F2"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42.164 </w:t>
            </w:r>
          </w:p>
        </w:tc>
        <w:tc>
          <w:tcPr>
            <w:tcW w:w="1110" w:type="dxa"/>
            <w:tcBorders>
              <w:top w:val="nil"/>
              <w:left w:val="single" w:sz="4" w:space="0" w:color="auto"/>
              <w:bottom w:val="nil"/>
              <w:right w:val="single" w:sz="4" w:space="0" w:color="auto"/>
            </w:tcBorders>
            <w:shd w:val="clear" w:color="auto" w:fill="auto"/>
            <w:noWrap/>
            <w:vAlign w:val="bottom"/>
          </w:tcPr>
          <w:p w14:paraId="6B635A48" w14:textId="5B8E4655"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37.176 </w:t>
            </w:r>
          </w:p>
        </w:tc>
        <w:tc>
          <w:tcPr>
            <w:tcW w:w="824" w:type="dxa"/>
            <w:tcBorders>
              <w:top w:val="nil"/>
              <w:left w:val="single" w:sz="4" w:space="0" w:color="auto"/>
              <w:bottom w:val="nil"/>
              <w:right w:val="single" w:sz="4" w:space="0" w:color="auto"/>
            </w:tcBorders>
            <w:shd w:val="clear" w:color="auto" w:fill="auto"/>
            <w:noWrap/>
            <w:vAlign w:val="bottom"/>
          </w:tcPr>
          <w:p w14:paraId="5D8B796F" w14:textId="6AA70423"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-483 </w:t>
            </w:r>
          </w:p>
        </w:tc>
        <w:tc>
          <w:tcPr>
            <w:tcW w:w="1150" w:type="dxa"/>
            <w:tcBorders>
              <w:top w:val="nil"/>
              <w:left w:val="single" w:sz="4" w:space="0" w:color="auto"/>
              <w:bottom w:val="nil"/>
              <w:right w:val="single" w:sz="4" w:space="0" w:color="auto"/>
            </w:tcBorders>
            <w:shd w:val="clear" w:color="auto" w:fill="auto"/>
            <w:noWrap/>
            <w:vAlign w:val="bottom"/>
          </w:tcPr>
          <w:p w14:paraId="4ABE8C23" w14:textId="2A23D530"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761.040 </w:t>
            </w:r>
          </w:p>
        </w:tc>
      </w:tr>
      <w:tr w:rsidR="00E31F15" w:rsidRPr="00701F32" w14:paraId="4A52E8B3"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7242517D"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Cargo por incobrabilidad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753D0A6A" w14:textId="52400148"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4579F4">
              <w:rPr>
                <w:rFonts w:ascii="Arial" w:hAnsi="Arial" w:cs="Arial"/>
                <w:sz w:val="16"/>
                <w:szCs w:val="16"/>
              </w:rPr>
              <w:t>-</w:t>
            </w:r>
            <w:r w:rsidRPr="00E31F15">
              <w:rPr>
                <w:rFonts w:ascii="Arial" w:hAnsi="Arial" w:cs="Arial"/>
                <w:sz w:val="16"/>
                <w:szCs w:val="16"/>
              </w:rPr>
              <w:t xml:space="preserve">599.535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41C574D3" w14:textId="7C7E06FC"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4579F4">
              <w:rPr>
                <w:rFonts w:ascii="Arial" w:hAnsi="Arial" w:cs="Arial"/>
                <w:sz w:val="16"/>
                <w:szCs w:val="16"/>
              </w:rPr>
              <w:t>-</w:t>
            </w:r>
            <w:r w:rsidRPr="00E31F15">
              <w:rPr>
                <w:rFonts w:ascii="Arial" w:hAnsi="Arial" w:cs="Arial"/>
                <w:sz w:val="16"/>
                <w:szCs w:val="16"/>
              </w:rPr>
              <w:t xml:space="preserve">764.433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4F1FA748" w14:textId="09DEFDF7"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4579F4">
              <w:rPr>
                <w:rFonts w:ascii="Arial" w:hAnsi="Arial" w:cs="Arial"/>
                <w:sz w:val="16"/>
                <w:szCs w:val="16"/>
              </w:rPr>
              <w:t>-</w:t>
            </w:r>
            <w:r w:rsidRPr="00E31F15">
              <w:rPr>
                <w:rFonts w:ascii="Arial" w:hAnsi="Arial" w:cs="Arial"/>
                <w:sz w:val="16"/>
                <w:szCs w:val="16"/>
              </w:rPr>
              <w:t xml:space="preserve">13.425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0C614CD3" w14:textId="4AC1AF7E"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4579F4">
              <w:rPr>
                <w:rFonts w:ascii="Arial" w:hAnsi="Arial" w:cs="Arial"/>
                <w:sz w:val="16"/>
                <w:szCs w:val="16"/>
              </w:rPr>
              <w:t>-</w:t>
            </w:r>
            <w:r w:rsidRPr="00E31F15">
              <w:rPr>
                <w:rFonts w:ascii="Arial" w:hAnsi="Arial" w:cs="Arial"/>
                <w:sz w:val="16"/>
                <w:szCs w:val="16"/>
              </w:rPr>
              <w:t xml:space="preserve">195.349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0BCD0210" w14:textId="0909544D"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52D4D742" w14:textId="0376488C"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4579F4">
              <w:rPr>
                <w:rFonts w:ascii="Arial" w:hAnsi="Arial" w:cs="Arial"/>
                <w:sz w:val="16"/>
                <w:szCs w:val="16"/>
              </w:rPr>
              <w:t>-</w:t>
            </w:r>
            <w:r w:rsidRPr="00E31F15">
              <w:rPr>
                <w:rFonts w:ascii="Arial" w:hAnsi="Arial" w:cs="Arial"/>
                <w:sz w:val="16"/>
                <w:szCs w:val="16"/>
              </w:rPr>
              <w:t xml:space="preserve">1.572.742 </w:t>
            </w:r>
          </w:p>
        </w:tc>
      </w:tr>
      <w:tr w:rsidR="00E31F15" w:rsidRPr="00701F32" w14:paraId="6FACC501" w14:textId="77777777" w:rsidTr="00BA7A6B">
        <w:trPr>
          <w:trHeight w:val="158"/>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6002E" w14:textId="77777777" w:rsidR="00E31F15" w:rsidRPr="00701F32" w:rsidRDefault="00E31F15" w:rsidP="00E31F15">
            <w:pPr>
              <w:jc w:val="both"/>
              <w:rPr>
                <w:rFonts w:ascii="Arial" w:hAnsi="Arial" w:cs="Arial"/>
                <w:b/>
                <w:bCs/>
                <w:sz w:val="16"/>
                <w:szCs w:val="18"/>
                <w:lang w:eastAsia="es-AR"/>
              </w:rPr>
            </w:pPr>
            <w:r w:rsidRPr="00701F32">
              <w:rPr>
                <w:rFonts w:ascii="Arial" w:hAnsi="Arial" w:cs="Arial"/>
                <w:b/>
                <w:bCs/>
                <w:sz w:val="16"/>
                <w:szCs w:val="18"/>
                <w:lang w:eastAsia="es-AR"/>
              </w:rPr>
              <w:t xml:space="preserve"> Ingreso operativo neto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1C6CC" w14:textId="79EBE21C"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739.212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42AAB" w14:textId="7BDD704E"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4.938.612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5C28E" w14:textId="69F17E03"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1.677.361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0592A8" w14:textId="673354FD"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469.561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82566" w14:textId="1EDA570B"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-625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FA940" w14:textId="68483431"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7.824.121 </w:t>
            </w:r>
          </w:p>
        </w:tc>
      </w:tr>
      <w:tr w:rsidR="00E31F15" w:rsidRPr="00701F32" w14:paraId="78CCA771"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520E9F83"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Beneficios al personal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160A5104" w14:textId="69BAB6E7" w:rsidR="00E31F15" w:rsidRPr="00E31F15" w:rsidRDefault="00BC78ED" w:rsidP="00E31F15">
            <w:pPr>
              <w:jc w:val="right"/>
              <w:rPr>
                <w:rFonts w:ascii="Arial" w:hAnsi="Arial" w:cs="Arial"/>
                <w:sz w:val="16"/>
                <w:szCs w:val="18"/>
              </w:rPr>
            </w:pPr>
            <w:r>
              <w:rPr>
                <w:rFonts w:ascii="Arial" w:hAnsi="Arial" w:cs="Arial"/>
                <w:sz w:val="16"/>
                <w:szCs w:val="18"/>
              </w:rPr>
              <w:t>-</w:t>
            </w:r>
            <w:r w:rsidR="00E31F15" w:rsidRPr="00E31F15">
              <w:rPr>
                <w:rFonts w:ascii="Arial" w:hAnsi="Arial" w:cs="Arial"/>
                <w:sz w:val="16"/>
                <w:szCs w:val="18"/>
              </w:rPr>
              <w:t xml:space="preserve">252.324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24D2B390" w14:textId="175A6176"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2.629.961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423F5C20" w14:textId="124FC770"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165.167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13BE160A" w14:textId="22FD97E7"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185.987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7E602C03" w14:textId="3764DCED"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 </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4A8559A3" w14:textId="517CAD41"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2E0A36">
              <w:rPr>
                <w:rFonts w:ascii="Arial" w:hAnsi="Arial" w:cs="Arial"/>
                <w:sz w:val="16"/>
                <w:szCs w:val="18"/>
              </w:rPr>
              <w:t>-</w:t>
            </w:r>
            <w:r w:rsidRPr="00E31F15">
              <w:rPr>
                <w:rFonts w:ascii="Arial" w:hAnsi="Arial" w:cs="Arial"/>
                <w:sz w:val="16"/>
                <w:szCs w:val="18"/>
              </w:rPr>
              <w:t xml:space="preserve">3.233.439 </w:t>
            </w:r>
          </w:p>
        </w:tc>
      </w:tr>
      <w:tr w:rsidR="00E31F15" w:rsidRPr="00701F32" w14:paraId="77D6598B"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5E408319"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lastRenderedPageBreak/>
              <w:t xml:space="preserve"> Gastos de administración </w:t>
            </w:r>
          </w:p>
        </w:tc>
        <w:tc>
          <w:tcPr>
            <w:tcW w:w="1341" w:type="dxa"/>
            <w:tcBorders>
              <w:top w:val="nil"/>
              <w:left w:val="single" w:sz="4" w:space="0" w:color="auto"/>
              <w:bottom w:val="nil"/>
              <w:right w:val="single" w:sz="4" w:space="0" w:color="auto"/>
            </w:tcBorders>
            <w:shd w:val="clear" w:color="auto" w:fill="auto"/>
            <w:noWrap/>
            <w:vAlign w:val="bottom"/>
          </w:tcPr>
          <w:p w14:paraId="6BF24965" w14:textId="685C728D"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87.764 </w:t>
            </w:r>
          </w:p>
        </w:tc>
        <w:tc>
          <w:tcPr>
            <w:tcW w:w="1231" w:type="dxa"/>
            <w:tcBorders>
              <w:top w:val="nil"/>
              <w:left w:val="single" w:sz="4" w:space="0" w:color="auto"/>
              <w:bottom w:val="nil"/>
              <w:right w:val="single" w:sz="4" w:space="0" w:color="auto"/>
            </w:tcBorders>
            <w:shd w:val="clear" w:color="auto" w:fill="auto"/>
            <w:noWrap/>
            <w:vAlign w:val="bottom"/>
          </w:tcPr>
          <w:p w14:paraId="48F6966F" w14:textId="0159A0B2"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1.287.391 </w:t>
            </w:r>
          </w:p>
        </w:tc>
        <w:tc>
          <w:tcPr>
            <w:tcW w:w="1231" w:type="dxa"/>
            <w:tcBorders>
              <w:top w:val="nil"/>
              <w:left w:val="single" w:sz="4" w:space="0" w:color="auto"/>
              <w:bottom w:val="nil"/>
              <w:right w:val="single" w:sz="4" w:space="0" w:color="auto"/>
            </w:tcBorders>
            <w:shd w:val="clear" w:color="auto" w:fill="auto"/>
            <w:noWrap/>
            <w:vAlign w:val="bottom"/>
          </w:tcPr>
          <w:p w14:paraId="36F60C26" w14:textId="19A2BE79"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76.507 </w:t>
            </w:r>
          </w:p>
        </w:tc>
        <w:tc>
          <w:tcPr>
            <w:tcW w:w="1110" w:type="dxa"/>
            <w:tcBorders>
              <w:top w:val="nil"/>
              <w:left w:val="single" w:sz="4" w:space="0" w:color="auto"/>
              <w:bottom w:val="nil"/>
              <w:right w:val="single" w:sz="4" w:space="0" w:color="auto"/>
            </w:tcBorders>
            <w:shd w:val="clear" w:color="auto" w:fill="auto"/>
            <w:noWrap/>
            <w:vAlign w:val="bottom"/>
          </w:tcPr>
          <w:p w14:paraId="183CCFE5" w14:textId="75B9372E"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188.695 </w:t>
            </w:r>
          </w:p>
        </w:tc>
        <w:tc>
          <w:tcPr>
            <w:tcW w:w="824" w:type="dxa"/>
            <w:tcBorders>
              <w:top w:val="nil"/>
              <w:left w:val="single" w:sz="4" w:space="0" w:color="auto"/>
              <w:bottom w:val="nil"/>
              <w:right w:val="single" w:sz="4" w:space="0" w:color="auto"/>
            </w:tcBorders>
            <w:shd w:val="clear" w:color="auto" w:fill="auto"/>
            <w:noWrap/>
            <w:vAlign w:val="bottom"/>
          </w:tcPr>
          <w:p w14:paraId="70003F9B" w14:textId="3B07AC9C"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625 </w:t>
            </w:r>
          </w:p>
        </w:tc>
        <w:tc>
          <w:tcPr>
            <w:tcW w:w="1150" w:type="dxa"/>
            <w:tcBorders>
              <w:top w:val="nil"/>
              <w:left w:val="single" w:sz="4" w:space="0" w:color="auto"/>
              <w:bottom w:val="nil"/>
              <w:right w:val="single" w:sz="4" w:space="0" w:color="auto"/>
            </w:tcBorders>
            <w:shd w:val="clear" w:color="auto" w:fill="auto"/>
            <w:noWrap/>
            <w:vAlign w:val="bottom"/>
          </w:tcPr>
          <w:p w14:paraId="54951F15" w14:textId="370F84C3"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2E0A36">
              <w:rPr>
                <w:rFonts w:ascii="Arial" w:hAnsi="Arial" w:cs="Arial"/>
                <w:sz w:val="16"/>
                <w:szCs w:val="18"/>
              </w:rPr>
              <w:t>-</w:t>
            </w:r>
            <w:r w:rsidRPr="00E31F15">
              <w:rPr>
                <w:rFonts w:ascii="Arial" w:hAnsi="Arial" w:cs="Arial"/>
                <w:sz w:val="16"/>
                <w:szCs w:val="18"/>
              </w:rPr>
              <w:t xml:space="preserve">1.639.732 </w:t>
            </w:r>
          </w:p>
        </w:tc>
      </w:tr>
      <w:tr w:rsidR="00E31F15" w:rsidRPr="00701F32" w14:paraId="4C84AF3F"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75361F6E"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Depreciaciones y desvalorizaciones de bienes </w:t>
            </w:r>
          </w:p>
        </w:tc>
        <w:tc>
          <w:tcPr>
            <w:tcW w:w="1341" w:type="dxa"/>
            <w:tcBorders>
              <w:top w:val="nil"/>
              <w:left w:val="single" w:sz="4" w:space="0" w:color="auto"/>
              <w:bottom w:val="nil"/>
              <w:right w:val="single" w:sz="4" w:space="0" w:color="auto"/>
            </w:tcBorders>
            <w:shd w:val="clear" w:color="auto" w:fill="auto"/>
            <w:noWrap/>
            <w:vAlign w:val="bottom"/>
          </w:tcPr>
          <w:p w14:paraId="3860BB91" w14:textId="3DA36F54"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24.571 </w:t>
            </w:r>
          </w:p>
        </w:tc>
        <w:tc>
          <w:tcPr>
            <w:tcW w:w="1231" w:type="dxa"/>
            <w:tcBorders>
              <w:top w:val="nil"/>
              <w:left w:val="single" w:sz="4" w:space="0" w:color="auto"/>
              <w:bottom w:val="nil"/>
              <w:right w:val="single" w:sz="4" w:space="0" w:color="auto"/>
            </w:tcBorders>
            <w:shd w:val="clear" w:color="auto" w:fill="auto"/>
            <w:noWrap/>
            <w:vAlign w:val="bottom"/>
          </w:tcPr>
          <w:p w14:paraId="72088636" w14:textId="66768250"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345.489 </w:t>
            </w:r>
          </w:p>
        </w:tc>
        <w:tc>
          <w:tcPr>
            <w:tcW w:w="1231" w:type="dxa"/>
            <w:tcBorders>
              <w:top w:val="nil"/>
              <w:left w:val="single" w:sz="4" w:space="0" w:color="auto"/>
              <w:bottom w:val="nil"/>
              <w:right w:val="single" w:sz="4" w:space="0" w:color="auto"/>
            </w:tcBorders>
            <w:shd w:val="clear" w:color="auto" w:fill="auto"/>
            <w:noWrap/>
            <w:vAlign w:val="bottom"/>
          </w:tcPr>
          <w:p w14:paraId="4C11ABF8" w14:textId="1371F6EF"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38.480 </w:t>
            </w:r>
          </w:p>
        </w:tc>
        <w:tc>
          <w:tcPr>
            <w:tcW w:w="1110" w:type="dxa"/>
            <w:tcBorders>
              <w:top w:val="nil"/>
              <w:left w:val="single" w:sz="4" w:space="0" w:color="auto"/>
              <w:bottom w:val="nil"/>
              <w:right w:val="single" w:sz="4" w:space="0" w:color="auto"/>
            </w:tcBorders>
            <w:shd w:val="clear" w:color="auto" w:fill="auto"/>
            <w:noWrap/>
            <w:vAlign w:val="bottom"/>
          </w:tcPr>
          <w:p w14:paraId="5CFF27BA" w14:textId="5D86DDBD"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20.424 </w:t>
            </w:r>
          </w:p>
        </w:tc>
        <w:tc>
          <w:tcPr>
            <w:tcW w:w="824" w:type="dxa"/>
            <w:tcBorders>
              <w:top w:val="nil"/>
              <w:left w:val="single" w:sz="4" w:space="0" w:color="auto"/>
              <w:bottom w:val="nil"/>
              <w:right w:val="single" w:sz="4" w:space="0" w:color="auto"/>
            </w:tcBorders>
            <w:shd w:val="clear" w:color="auto" w:fill="auto"/>
            <w:noWrap/>
            <w:vAlign w:val="bottom"/>
          </w:tcPr>
          <w:p w14:paraId="43A3F438" w14:textId="24D36CD8"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 </w:t>
            </w:r>
          </w:p>
        </w:tc>
        <w:tc>
          <w:tcPr>
            <w:tcW w:w="1150" w:type="dxa"/>
            <w:tcBorders>
              <w:top w:val="nil"/>
              <w:left w:val="single" w:sz="4" w:space="0" w:color="auto"/>
              <w:bottom w:val="nil"/>
              <w:right w:val="single" w:sz="4" w:space="0" w:color="auto"/>
            </w:tcBorders>
            <w:shd w:val="clear" w:color="auto" w:fill="auto"/>
            <w:noWrap/>
            <w:vAlign w:val="bottom"/>
          </w:tcPr>
          <w:p w14:paraId="03DCE688" w14:textId="6964F7C4"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2E0A36">
              <w:rPr>
                <w:rFonts w:ascii="Arial" w:hAnsi="Arial" w:cs="Arial"/>
                <w:sz w:val="16"/>
                <w:szCs w:val="18"/>
              </w:rPr>
              <w:t>-</w:t>
            </w:r>
            <w:r w:rsidRPr="00E31F15">
              <w:rPr>
                <w:rFonts w:ascii="Arial" w:hAnsi="Arial" w:cs="Arial"/>
                <w:sz w:val="16"/>
                <w:szCs w:val="18"/>
              </w:rPr>
              <w:t xml:space="preserve">428.964 </w:t>
            </w:r>
          </w:p>
        </w:tc>
      </w:tr>
      <w:tr w:rsidR="00E31F15" w:rsidRPr="00701F32" w14:paraId="29560147"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1943D470"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Otros gastos operativos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5A398A47" w14:textId="41F2B6C4"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293.847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6C7AAB78" w14:textId="6B721300"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716.461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39110717" w14:textId="161AF389"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109.628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5D49D7CB" w14:textId="19F58995"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BC78ED">
              <w:rPr>
                <w:rFonts w:ascii="Arial" w:hAnsi="Arial" w:cs="Arial"/>
                <w:sz w:val="16"/>
                <w:szCs w:val="18"/>
              </w:rPr>
              <w:t>-</w:t>
            </w:r>
            <w:r w:rsidRPr="00E31F15">
              <w:rPr>
                <w:rFonts w:ascii="Arial" w:hAnsi="Arial" w:cs="Arial"/>
                <w:sz w:val="16"/>
                <w:szCs w:val="18"/>
              </w:rPr>
              <w:t xml:space="preserve">102.549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74E869CC" w14:textId="2019F4EC"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 </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132FBC43" w14:textId="61820C9E" w:rsidR="00E31F15" w:rsidRPr="00E31F15" w:rsidRDefault="00E31F15" w:rsidP="00E31F15">
            <w:pPr>
              <w:jc w:val="right"/>
              <w:rPr>
                <w:rFonts w:ascii="Arial" w:hAnsi="Arial" w:cs="Arial"/>
                <w:sz w:val="16"/>
                <w:szCs w:val="18"/>
              </w:rPr>
            </w:pPr>
            <w:r w:rsidRPr="00E31F15">
              <w:rPr>
                <w:rFonts w:ascii="Arial" w:hAnsi="Arial" w:cs="Arial"/>
                <w:sz w:val="16"/>
                <w:szCs w:val="18"/>
              </w:rPr>
              <w:t xml:space="preserve"> </w:t>
            </w:r>
            <w:r w:rsidR="002E0A36">
              <w:rPr>
                <w:rFonts w:ascii="Arial" w:hAnsi="Arial" w:cs="Arial"/>
                <w:sz w:val="16"/>
                <w:szCs w:val="18"/>
              </w:rPr>
              <w:t>-</w:t>
            </w:r>
            <w:r w:rsidRPr="00E31F15">
              <w:rPr>
                <w:rFonts w:ascii="Arial" w:hAnsi="Arial" w:cs="Arial"/>
                <w:sz w:val="16"/>
                <w:szCs w:val="18"/>
              </w:rPr>
              <w:t xml:space="preserve">1.222.485 </w:t>
            </w:r>
          </w:p>
        </w:tc>
      </w:tr>
      <w:tr w:rsidR="00E31F15" w:rsidRPr="00701F32" w14:paraId="64B9F410" w14:textId="77777777" w:rsidTr="00BA7A6B">
        <w:trPr>
          <w:trHeight w:val="194"/>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BB757" w14:textId="77777777" w:rsidR="00E31F15" w:rsidRPr="00701F32" w:rsidRDefault="00E31F15" w:rsidP="00E31F1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operativo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56770" w14:textId="19AAB1AD"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80.706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DFD91" w14:textId="7139BC4D"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-40.690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58143" w14:textId="5F83A626"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1.287.579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CBC28" w14:textId="3C4CB6A8"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-28.094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B3C0B" w14:textId="5FDA836F"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B7951" w14:textId="2AB7BE8E" w:rsidR="00E31F15" w:rsidRPr="00E31F15" w:rsidRDefault="00E31F15" w:rsidP="00E31F15">
            <w:pPr>
              <w:jc w:val="right"/>
              <w:rPr>
                <w:rFonts w:ascii="Arial" w:hAnsi="Arial" w:cs="Arial"/>
                <w:b/>
                <w:sz w:val="16"/>
                <w:szCs w:val="18"/>
              </w:rPr>
            </w:pPr>
            <w:r w:rsidRPr="00E31F15">
              <w:rPr>
                <w:rFonts w:ascii="Arial" w:hAnsi="Arial" w:cs="Arial"/>
                <w:b/>
                <w:sz w:val="16"/>
                <w:szCs w:val="18"/>
              </w:rPr>
              <w:t xml:space="preserve"> 1.299.501 </w:t>
            </w:r>
          </w:p>
        </w:tc>
      </w:tr>
      <w:tr w:rsidR="00E31F15" w:rsidRPr="00701F32" w14:paraId="69BF0C56"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4E945"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Resultado por asociadas y negocios conjuntos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5E5A5" w14:textId="6DB98C45"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79BCC" w14:textId="011956EF"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30A512" w14:textId="6A4E512A" w:rsidR="00E31F15" w:rsidRPr="00E31F15" w:rsidRDefault="00E31F15" w:rsidP="00E31F15">
            <w:pPr>
              <w:jc w:val="right"/>
              <w:rPr>
                <w:rFonts w:ascii="Arial" w:hAnsi="Arial" w:cs="Arial"/>
                <w:b/>
                <w:sz w:val="16"/>
                <w:szCs w:val="16"/>
                <w:lang w:val="es-ES_tradnl"/>
              </w:rPr>
            </w:pPr>
            <w:r w:rsidRPr="00E31F15">
              <w:rPr>
                <w:rFonts w:ascii="Arial" w:hAnsi="Arial" w:cs="Arial"/>
                <w:sz w:val="16"/>
                <w:szCs w:val="16"/>
              </w:rPr>
              <w:t xml:space="preserve"> -144.977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973B6" w14:textId="06A177A3"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-617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8F498" w14:textId="2E613753"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142.147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C3F24" w14:textId="3075BDB5" w:rsidR="00E31F15" w:rsidRPr="00E31F15" w:rsidRDefault="00BC78ED" w:rsidP="00E31F15">
            <w:pPr>
              <w:jc w:val="right"/>
              <w:rPr>
                <w:rFonts w:ascii="Arial" w:hAnsi="Arial" w:cs="Arial"/>
                <w:b/>
                <w:sz w:val="16"/>
                <w:szCs w:val="16"/>
              </w:rPr>
            </w:pPr>
            <w:r w:rsidRPr="00BC78ED">
              <w:rPr>
                <w:rFonts w:ascii="Arial" w:hAnsi="Arial" w:cs="Arial"/>
                <w:sz w:val="16"/>
                <w:szCs w:val="16"/>
              </w:rPr>
              <w:t xml:space="preserve">-3.447 </w:t>
            </w:r>
            <w:r w:rsidR="00E31F15" w:rsidRPr="00E31F15">
              <w:rPr>
                <w:rFonts w:ascii="Arial" w:hAnsi="Arial" w:cs="Arial"/>
                <w:sz w:val="16"/>
                <w:szCs w:val="16"/>
              </w:rPr>
              <w:t xml:space="preserve"> </w:t>
            </w:r>
          </w:p>
        </w:tc>
      </w:tr>
      <w:tr w:rsidR="00E31F15" w:rsidRPr="00701F32" w14:paraId="7FED9C7E"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D7351" w14:textId="19B13AE9" w:rsidR="00E31F15" w:rsidRPr="00E31F15" w:rsidRDefault="00E31F15" w:rsidP="00E31F15">
            <w:pPr>
              <w:jc w:val="both"/>
              <w:rPr>
                <w:rFonts w:ascii="Arial" w:hAnsi="Arial" w:cs="Arial"/>
                <w:bCs/>
                <w:sz w:val="16"/>
                <w:szCs w:val="18"/>
                <w:lang w:eastAsia="es-AR"/>
              </w:rPr>
            </w:pPr>
            <w:r w:rsidRPr="00E31F15">
              <w:rPr>
                <w:rFonts w:ascii="Arial" w:hAnsi="Arial" w:cs="Arial"/>
                <w:bCs/>
                <w:sz w:val="16"/>
                <w:szCs w:val="18"/>
                <w:lang w:eastAsia="es-AR"/>
              </w:rPr>
              <w:t>Resultado por la posición monetaria neta</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DAFBC" w14:textId="629444B1"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-87.983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3B99D0" w14:textId="6D1C1676"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-173.070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888438" w14:textId="699696BD"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-251.668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5595E" w14:textId="5121C3D3"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-182.647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26341" w14:textId="17625676" w:rsidR="00E31F15" w:rsidRPr="00E31F15" w:rsidRDefault="00E31F15" w:rsidP="00E31F15">
            <w:pPr>
              <w:jc w:val="right"/>
              <w:rPr>
                <w:rFonts w:ascii="Arial" w:hAnsi="Arial" w:cs="Arial"/>
                <w:b/>
                <w:sz w:val="16"/>
                <w:szCs w:val="16"/>
              </w:rPr>
            </w:pPr>
            <w:r w:rsidRPr="00E31F15">
              <w:rPr>
                <w:rFonts w:ascii="Arial" w:hAnsi="Arial" w:cs="Arial"/>
                <w:sz w:val="16"/>
                <w:szCs w:val="16"/>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6BB57" w14:textId="2FFB84D9" w:rsidR="00E31F15" w:rsidRPr="00E31F15" w:rsidRDefault="00BC78ED" w:rsidP="00E31F15">
            <w:pPr>
              <w:jc w:val="right"/>
              <w:rPr>
                <w:rFonts w:ascii="Arial" w:hAnsi="Arial" w:cs="Arial"/>
                <w:b/>
                <w:sz w:val="16"/>
                <w:szCs w:val="16"/>
              </w:rPr>
            </w:pPr>
            <w:r w:rsidRPr="00BC78ED">
              <w:rPr>
                <w:rFonts w:ascii="Arial" w:hAnsi="Arial" w:cs="Arial"/>
                <w:sz w:val="16"/>
                <w:szCs w:val="16"/>
              </w:rPr>
              <w:t>-695.368</w:t>
            </w:r>
          </w:p>
        </w:tc>
      </w:tr>
      <w:tr w:rsidR="00E31F15" w:rsidRPr="00701F32" w14:paraId="0E5A2BA6"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92B49" w14:textId="77777777" w:rsidR="00E31F15" w:rsidRPr="00701F32" w:rsidRDefault="00E31F15" w:rsidP="00E31F1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antes de impuesto de las actividades que continúan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E8CE0" w14:textId="1B4B74A3"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-7.277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F42CA" w14:textId="2CC123E2"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-213.760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24249" w14:textId="4002F9EA"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890.934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5AA95" w14:textId="547E8DDD"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-211.358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DFB95" w14:textId="47E1D516"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142.147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95AB9" w14:textId="5F24463B" w:rsidR="00E31F15" w:rsidRPr="00E31F15" w:rsidRDefault="00BC78ED" w:rsidP="00E31F15">
            <w:pPr>
              <w:jc w:val="right"/>
              <w:rPr>
                <w:rFonts w:ascii="Arial" w:hAnsi="Arial" w:cs="Arial"/>
                <w:b/>
                <w:sz w:val="16"/>
                <w:szCs w:val="16"/>
              </w:rPr>
            </w:pPr>
            <w:r w:rsidRPr="00BC78ED">
              <w:rPr>
                <w:rFonts w:ascii="Arial" w:hAnsi="Arial" w:cs="Arial"/>
                <w:b/>
                <w:sz w:val="16"/>
                <w:szCs w:val="16"/>
              </w:rPr>
              <w:t>600.686</w:t>
            </w:r>
          </w:p>
        </w:tc>
      </w:tr>
      <w:tr w:rsidR="00E31F15" w:rsidRPr="00701F32" w14:paraId="57DADAE0"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93AE0" w14:textId="77777777" w:rsidR="00E31F15" w:rsidRPr="00701F32" w:rsidRDefault="00E31F15" w:rsidP="00E31F15">
            <w:pPr>
              <w:jc w:val="both"/>
              <w:rPr>
                <w:rFonts w:ascii="Arial" w:hAnsi="Arial" w:cs="Arial"/>
                <w:sz w:val="16"/>
                <w:szCs w:val="18"/>
                <w:lang w:eastAsia="es-AR"/>
              </w:rPr>
            </w:pPr>
            <w:r w:rsidRPr="00701F32">
              <w:rPr>
                <w:rFonts w:ascii="Arial" w:hAnsi="Arial" w:cs="Arial"/>
                <w:sz w:val="16"/>
                <w:szCs w:val="18"/>
                <w:lang w:eastAsia="es-AR"/>
              </w:rPr>
              <w:t xml:space="preserve"> Impuesto a las ganancias de las actividades que continúan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4665C" w14:textId="6D3B927A"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-2.651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B7C019" w14:textId="4450CC5C"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-77.846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14F7B" w14:textId="6827464F"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377.254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2F7B4" w14:textId="1F7226A4"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-61.730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57BF2" w14:textId="51642529"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0DEA9" w14:textId="0DA737A1" w:rsidR="00E31F15" w:rsidRPr="00E31F15" w:rsidRDefault="00BC78ED" w:rsidP="00E31F15">
            <w:pPr>
              <w:jc w:val="right"/>
              <w:rPr>
                <w:rFonts w:ascii="Arial" w:hAnsi="Arial" w:cs="Arial"/>
                <w:sz w:val="16"/>
                <w:szCs w:val="16"/>
              </w:rPr>
            </w:pPr>
            <w:r w:rsidRPr="00BC78ED">
              <w:rPr>
                <w:rFonts w:ascii="Arial" w:hAnsi="Arial" w:cs="Arial"/>
                <w:sz w:val="16"/>
                <w:szCs w:val="16"/>
              </w:rPr>
              <w:t>235.027</w:t>
            </w:r>
          </w:p>
        </w:tc>
      </w:tr>
      <w:tr w:rsidR="00E31F15" w:rsidRPr="00701F32" w14:paraId="77B5BFBD"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BA95B" w14:textId="77777777" w:rsidR="00E31F15" w:rsidRPr="00701F32" w:rsidRDefault="00E31F15" w:rsidP="00E31F1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neto de las actividades que continúan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CC3B4" w14:textId="37A66F16"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-4.626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C9A59" w14:textId="37425F66"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-135.914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A1D87" w14:textId="634BEF8A"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513.680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B8BAD" w14:textId="475955AE"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-149.628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A3834" w14:textId="24E387C6"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142.147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EAD9E4" w14:textId="630DC812" w:rsidR="00E31F15" w:rsidRPr="00E31F15" w:rsidRDefault="00BC78ED" w:rsidP="00E31F15">
            <w:pPr>
              <w:jc w:val="right"/>
              <w:rPr>
                <w:rFonts w:ascii="Arial" w:hAnsi="Arial" w:cs="Arial"/>
                <w:b/>
                <w:sz w:val="16"/>
                <w:szCs w:val="16"/>
              </w:rPr>
            </w:pPr>
            <w:r w:rsidRPr="00BC78ED">
              <w:rPr>
                <w:rFonts w:ascii="Arial" w:hAnsi="Arial" w:cs="Arial"/>
                <w:b/>
                <w:sz w:val="16"/>
                <w:szCs w:val="16"/>
              </w:rPr>
              <w:t>365.659</w:t>
            </w:r>
          </w:p>
        </w:tc>
      </w:tr>
      <w:tr w:rsidR="00E31F15" w:rsidRPr="00701F32" w14:paraId="1AF55AEC"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9B38B" w14:textId="21EF7F52" w:rsidR="00E31F15" w:rsidRPr="00701F32" w:rsidRDefault="00E31F15" w:rsidP="00E31F15">
            <w:pPr>
              <w:jc w:val="both"/>
              <w:rPr>
                <w:rFonts w:ascii="Arial" w:hAnsi="Arial" w:cs="Arial"/>
                <w:b/>
                <w:bCs/>
                <w:sz w:val="16"/>
                <w:szCs w:val="18"/>
                <w:lang w:eastAsia="es-AR"/>
              </w:rPr>
            </w:pPr>
            <w:r>
              <w:rPr>
                <w:rFonts w:ascii="Arial" w:hAnsi="Arial" w:cs="Arial"/>
                <w:b/>
                <w:bCs/>
                <w:sz w:val="16"/>
                <w:szCs w:val="18"/>
                <w:lang w:eastAsia="es-AR"/>
              </w:rPr>
              <w:t xml:space="preserve"> Resultado neto del período</w:t>
            </w:r>
            <w:r w:rsidRPr="00701F32">
              <w:rPr>
                <w:rFonts w:ascii="Arial" w:hAnsi="Arial" w:cs="Arial"/>
                <w:b/>
                <w:bCs/>
                <w:sz w:val="16"/>
                <w:szCs w:val="18"/>
                <w:lang w:eastAsia="es-AR"/>
              </w:rPr>
              <w:t xml:space="preserve">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994F7" w14:textId="70E7870D"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-4.626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4ADC9" w14:textId="719FE5A4"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-135.914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BBAA2" w14:textId="25C9A63D"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513.680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39EAF" w14:textId="16583EF3"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-149.628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B8481" w14:textId="38E25A59"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142.147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7160B" w14:textId="22C1374D" w:rsidR="00E31F15" w:rsidRPr="00E31F15" w:rsidRDefault="00BC78ED" w:rsidP="00E31F15">
            <w:pPr>
              <w:jc w:val="right"/>
              <w:rPr>
                <w:rFonts w:ascii="Arial" w:hAnsi="Arial" w:cs="Arial"/>
                <w:b/>
                <w:sz w:val="16"/>
                <w:szCs w:val="16"/>
              </w:rPr>
            </w:pPr>
            <w:r w:rsidRPr="00BC78ED">
              <w:rPr>
                <w:rFonts w:ascii="Arial" w:hAnsi="Arial" w:cs="Arial"/>
                <w:b/>
                <w:sz w:val="16"/>
                <w:szCs w:val="16"/>
              </w:rPr>
              <w:t>365.659</w:t>
            </w:r>
          </w:p>
        </w:tc>
      </w:tr>
      <w:tr w:rsidR="00E31F15" w:rsidRPr="00701F32" w14:paraId="54E72A39" w14:textId="77777777" w:rsidTr="00BA7A6B">
        <w:trPr>
          <w:trHeight w:val="162"/>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DC8AE" w14:textId="77777777" w:rsidR="00E31F15" w:rsidRPr="00701F32" w:rsidRDefault="00E31F15" w:rsidP="00E31F15">
            <w:pPr>
              <w:jc w:val="both"/>
              <w:rPr>
                <w:rFonts w:ascii="Arial" w:hAnsi="Arial" w:cs="Arial"/>
                <w:bCs/>
                <w:sz w:val="16"/>
                <w:szCs w:val="18"/>
                <w:lang w:eastAsia="es-AR"/>
              </w:rPr>
            </w:pPr>
            <w:r w:rsidRPr="00701F32">
              <w:rPr>
                <w:rFonts w:ascii="Arial" w:hAnsi="Arial" w:cs="Arial"/>
                <w:bCs/>
                <w:sz w:val="16"/>
                <w:szCs w:val="18"/>
                <w:lang w:eastAsia="es-AR"/>
              </w:rPr>
              <w:t>Otros Resultados Integrales (ORI)</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896DA" w14:textId="697359DD"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BC78ED">
              <w:rPr>
                <w:rFonts w:ascii="Arial" w:hAnsi="Arial" w:cs="Arial"/>
                <w:sz w:val="16"/>
                <w:szCs w:val="16"/>
              </w:rPr>
              <w:t>-</w:t>
            </w:r>
            <w:r w:rsidRPr="00E31F15">
              <w:rPr>
                <w:rFonts w:ascii="Arial" w:hAnsi="Arial" w:cs="Arial"/>
                <w:sz w:val="16"/>
                <w:szCs w:val="16"/>
              </w:rPr>
              <w:t xml:space="preserve">13.255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BFE24A" w14:textId="094B6BC6"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BC78ED">
              <w:rPr>
                <w:rFonts w:ascii="Arial" w:hAnsi="Arial" w:cs="Arial"/>
                <w:sz w:val="16"/>
                <w:szCs w:val="16"/>
              </w:rPr>
              <w:t>-</w:t>
            </w:r>
            <w:r w:rsidRPr="00E31F15">
              <w:rPr>
                <w:rFonts w:ascii="Arial" w:hAnsi="Arial" w:cs="Arial"/>
                <w:sz w:val="16"/>
                <w:szCs w:val="16"/>
              </w:rPr>
              <w:t xml:space="preserve">18.784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91A76" w14:textId="12F4E090"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BC78ED">
              <w:rPr>
                <w:rFonts w:ascii="Arial" w:hAnsi="Arial" w:cs="Arial"/>
                <w:sz w:val="16"/>
                <w:szCs w:val="16"/>
              </w:rPr>
              <w:t>-</w:t>
            </w:r>
            <w:r w:rsidRPr="00E31F15">
              <w:rPr>
                <w:rFonts w:ascii="Arial" w:hAnsi="Arial" w:cs="Arial"/>
                <w:sz w:val="16"/>
                <w:szCs w:val="16"/>
              </w:rPr>
              <w:t>33.</w:t>
            </w:r>
            <w:r w:rsidR="002E0A36" w:rsidRPr="00E31F15">
              <w:rPr>
                <w:rFonts w:ascii="Arial" w:hAnsi="Arial" w:cs="Arial"/>
                <w:sz w:val="16"/>
                <w:szCs w:val="16"/>
              </w:rPr>
              <w:t>45</w:t>
            </w:r>
            <w:r w:rsidR="002E0A36">
              <w:rPr>
                <w:rFonts w:ascii="Arial" w:hAnsi="Arial" w:cs="Arial"/>
                <w:sz w:val="16"/>
                <w:szCs w:val="16"/>
              </w:rPr>
              <w:t>5</w:t>
            </w:r>
            <w:r w:rsidR="002E0A36" w:rsidRPr="00E31F15">
              <w:rPr>
                <w:rFonts w:ascii="Arial" w:hAnsi="Arial" w:cs="Arial"/>
                <w:sz w:val="16"/>
                <w:szCs w:val="16"/>
              </w:rPr>
              <w:t xml:space="preserve">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8D1B9" w14:textId="437BA178"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26A2B" w14:textId="689B4C7A"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FC3CB" w14:textId="5757A9F6"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w:t>
            </w:r>
            <w:r w:rsidR="00BC78ED">
              <w:rPr>
                <w:rFonts w:ascii="Arial" w:hAnsi="Arial" w:cs="Arial"/>
                <w:sz w:val="16"/>
                <w:szCs w:val="16"/>
              </w:rPr>
              <w:t>-</w:t>
            </w:r>
            <w:r w:rsidRPr="00E31F15">
              <w:rPr>
                <w:rFonts w:ascii="Arial" w:hAnsi="Arial" w:cs="Arial"/>
                <w:sz w:val="16"/>
                <w:szCs w:val="16"/>
              </w:rPr>
              <w:t>65.</w:t>
            </w:r>
            <w:r w:rsidR="002E0A36" w:rsidRPr="00E31F15">
              <w:rPr>
                <w:rFonts w:ascii="Arial" w:hAnsi="Arial" w:cs="Arial"/>
                <w:sz w:val="16"/>
                <w:szCs w:val="16"/>
              </w:rPr>
              <w:t>49</w:t>
            </w:r>
            <w:r w:rsidR="002E0A36">
              <w:rPr>
                <w:rFonts w:ascii="Arial" w:hAnsi="Arial" w:cs="Arial"/>
                <w:sz w:val="16"/>
                <w:szCs w:val="16"/>
              </w:rPr>
              <w:t>4</w:t>
            </w:r>
            <w:r w:rsidR="002E0A36" w:rsidRPr="00E31F15">
              <w:rPr>
                <w:rFonts w:ascii="Arial" w:hAnsi="Arial" w:cs="Arial"/>
                <w:sz w:val="16"/>
                <w:szCs w:val="16"/>
              </w:rPr>
              <w:t xml:space="preserve"> </w:t>
            </w:r>
          </w:p>
        </w:tc>
      </w:tr>
      <w:tr w:rsidR="00E31F15" w:rsidRPr="00701F32" w14:paraId="42FFFE2B"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BA0A0" w14:textId="77777777" w:rsidR="00E31F15" w:rsidRPr="00701F32" w:rsidRDefault="00E31F15" w:rsidP="00E31F15">
            <w:pPr>
              <w:rPr>
                <w:rFonts w:ascii="Arial" w:hAnsi="Arial" w:cs="Arial"/>
                <w:sz w:val="16"/>
                <w:szCs w:val="18"/>
                <w:lang w:eastAsia="es-AR"/>
              </w:rPr>
            </w:pPr>
            <w:r w:rsidRPr="00701F32">
              <w:rPr>
                <w:rFonts w:ascii="Arial" w:hAnsi="Arial" w:cs="Arial"/>
                <w:bCs/>
                <w:sz w:val="16"/>
                <w:szCs w:val="18"/>
                <w:lang w:eastAsia="es-AR"/>
              </w:rPr>
              <w:t>Impuesto a las Ganancias ORI</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5E04BF" w14:textId="2F32E028"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3.493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8FF6E" w14:textId="4DCE3BBE"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4.949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C1C52" w14:textId="59201E4E"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8.</w:t>
            </w:r>
            <w:r w:rsidR="002E0A36" w:rsidRPr="00E31F15">
              <w:rPr>
                <w:rFonts w:ascii="Arial" w:hAnsi="Arial" w:cs="Arial"/>
                <w:sz w:val="16"/>
                <w:szCs w:val="16"/>
              </w:rPr>
              <w:t>81</w:t>
            </w:r>
            <w:r w:rsidR="002E0A36">
              <w:rPr>
                <w:rFonts w:ascii="Arial" w:hAnsi="Arial" w:cs="Arial"/>
                <w:sz w:val="16"/>
                <w:szCs w:val="16"/>
              </w:rPr>
              <w:t>3</w:t>
            </w:r>
            <w:r w:rsidR="002E0A36" w:rsidRPr="00E31F15">
              <w:rPr>
                <w:rFonts w:ascii="Arial" w:hAnsi="Arial" w:cs="Arial"/>
                <w:sz w:val="16"/>
                <w:szCs w:val="16"/>
              </w:rPr>
              <w:t xml:space="preserve">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F724EC" w14:textId="76DA0FCF"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02EE1" w14:textId="7F0D3C99"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3299B" w14:textId="40376B4E" w:rsidR="00E31F15" w:rsidRPr="00E31F15" w:rsidRDefault="00E31F15" w:rsidP="00E31F15">
            <w:pPr>
              <w:jc w:val="right"/>
              <w:rPr>
                <w:rFonts w:ascii="Arial" w:hAnsi="Arial" w:cs="Arial"/>
                <w:sz w:val="16"/>
                <w:szCs w:val="16"/>
              </w:rPr>
            </w:pPr>
            <w:r w:rsidRPr="00E31F15">
              <w:rPr>
                <w:rFonts w:ascii="Arial" w:hAnsi="Arial" w:cs="Arial"/>
                <w:sz w:val="16"/>
                <w:szCs w:val="16"/>
              </w:rPr>
              <w:t xml:space="preserve"> 17.</w:t>
            </w:r>
            <w:r w:rsidR="002E0A36" w:rsidRPr="00E31F15">
              <w:rPr>
                <w:rFonts w:ascii="Arial" w:hAnsi="Arial" w:cs="Arial"/>
                <w:sz w:val="16"/>
                <w:szCs w:val="16"/>
              </w:rPr>
              <w:t>25</w:t>
            </w:r>
            <w:r w:rsidR="002E0A36">
              <w:rPr>
                <w:rFonts w:ascii="Arial" w:hAnsi="Arial" w:cs="Arial"/>
                <w:sz w:val="16"/>
                <w:szCs w:val="16"/>
              </w:rPr>
              <w:t>5</w:t>
            </w:r>
            <w:r w:rsidR="002E0A36" w:rsidRPr="00E31F15">
              <w:rPr>
                <w:rFonts w:ascii="Arial" w:hAnsi="Arial" w:cs="Arial"/>
                <w:sz w:val="16"/>
                <w:szCs w:val="16"/>
              </w:rPr>
              <w:t xml:space="preserve"> </w:t>
            </w:r>
          </w:p>
        </w:tc>
      </w:tr>
      <w:tr w:rsidR="00E31F15" w:rsidRPr="00701F32" w14:paraId="23C4A9C7"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68FCF" w14:textId="7BF441D4" w:rsidR="00E31F15" w:rsidRPr="00701F32" w:rsidRDefault="00E31F15" w:rsidP="00E31F15">
            <w:pPr>
              <w:rPr>
                <w:rFonts w:ascii="Arial" w:hAnsi="Arial" w:cs="Arial"/>
                <w:b/>
                <w:bCs/>
                <w:sz w:val="16"/>
                <w:szCs w:val="18"/>
                <w:lang w:eastAsia="es-AR"/>
              </w:rPr>
            </w:pPr>
            <w:r>
              <w:rPr>
                <w:rFonts w:ascii="Arial" w:hAnsi="Arial" w:cs="Arial"/>
                <w:b/>
                <w:bCs/>
                <w:sz w:val="16"/>
                <w:szCs w:val="18"/>
                <w:lang w:eastAsia="es-AR"/>
              </w:rPr>
              <w:t xml:space="preserve"> Resultado Integral del período</w:t>
            </w:r>
            <w:r w:rsidRPr="00701F32">
              <w:rPr>
                <w:rFonts w:ascii="Arial" w:hAnsi="Arial" w:cs="Arial"/>
                <w:b/>
                <w:bCs/>
                <w:sz w:val="16"/>
                <w:szCs w:val="18"/>
                <w:lang w:eastAsia="es-AR"/>
              </w:rPr>
              <w:t xml:space="preserve">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7F062" w14:textId="47BF4B5D"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-14.388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DC6EE" w14:textId="73D08214"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-149.749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55E71" w14:textId="284852A8"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489.038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507EA" w14:textId="4CDF1318"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-149.628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D874F" w14:textId="19995B9B"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142.147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C995F" w14:textId="0786C873" w:rsidR="00E31F15" w:rsidRPr="00E31F15" w:rsidRDefault="00E31F15" w:rsidP="00E31F15">
            <w:pPr>
              <w:jc w:val="right"/>
              <w:rPr>
                <w:rFonts w:ascii="Arial" w:hAnsi="Arial" w:cs="Arial"/>
                <w:b/>
                <w:sz w:val="16"/>
                <w:szCs w:val="16"/>
              </w:rPr>
            </w:pPr>
            <w:r w:rsidRPr="00E31F15">
              <w:rPr>
                <w:rFonts w:ascii="Arial" w:hAnsi="Arial" w:cs="Arial"/>
                <w:b/>
                <w:sz w:val="16"/>
                <w:szCs w:val="16"/>
              </w:rPr>
              <w:t xml:space="preserve"> 317.420 </w:t>
            </w:r>
          </w:p>
        </w:tc>
      </w:tr>
    </w:tbl>
    <w:p w14:paraId="168079DF" w14:textId="77777777" w:rsidR="00CE4289" w:rsidRDefault="00CE4289" w:rsidP="00A06BE9">
      <w:pPr>
        <w:spacing w:after="160" w:line="259" w:lineRule="auto"/>
        <w:jc w:val="both"/>
        <w:rPr>
          <w:rFonts w:ascii="Arial" w:eastAsia="Calibri" w:hAnsi="Arial" w:cs="Arial"/>
          <w:b/>
          <w:bCs/>
          <w:sz w:val="20"/>
        </w:rPr>
      </w:pPr>
    </w:p>
    <w:tbl>
      <w:tblPr>
        <w:tblW w:w="10306" w:type="dxa"/>
        <w:tblInd w:w="-289" w:type="dxa"/>
        <w:tblCellMar>
          <w:left w:w="70" w:type="dxa"/>
          <w:right w:w="70" w:type="dxa"/>
        </w:tblCellMar>
        <w:tblLook w:val="04A0" w:firstRow="1" w:lastRow="0" w:firstColumn="1" w:lastColumn="0" w:noHBand="0" w:noVBand="1"/>
      </w:tblPr>
      <w:tblGrid>
        <w:gridCol w:w="2813"/>
        <w:gridCol w:w="6"/>
        <w:gridCol w:w="1688"/>
        <w:gridCol w:w="1328"/>
        <w:gridCol w:w="1026"/>
        <w:gridCol w:w="1238"/>
        <w:gridCol w:w="857"/>
        <w:gridCol w:w="1343"/>
        <w:gridCol w:w="8"/>
      </w:tblGrid>
      <w:tr w:rsidR="008D322F" w:rsidRPr="00E31F15" w14:paraId="2E35A77A" w14:textId="77777777" w:rsidTr="002775B9">
        <w:trPr>
          <w:trHeight w:val="389"/>
          <w:tblHeader/>
        </w:trPr>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tcPr>
          <w:p w14:paraId="23309A93" w14:textId="1A3FF6F3" w:rsidR="008D322F" w:rsidRPr="00BA7A6B" w:rsidRDefault="008D322F" w:rsidP="008D322F">
            <w:pPr>
              <w:ind w:left="-70" w:firstLine="70"/>
              <w:jc w:val="center"/>
              <w:rPr>
                <w:rFonts w:ascii="Arial" w:hAnsi="Arial" w:cs="Arial"/>
                <w:b/>
                <w:bCs/>
                <w:sz w:val="16"/>
                <w:szCs w:val="16"/>
                <w:lang w:val="es-ES_tradnl" w:eastAsia="es-AR"/>
              </w:rPr>
            </w:pPr>
            <w:r w:rsidRPr="00BA7A6B">
              <w:rPr>
                <w:rFonts w:ascii="Arial" w:hAnsi="Arial" w:cs="Arial"/>
                <w:b/>
                <w:bCs/>
                <w:sz w:val="16"/>
                <w:szCs w:val="16"/>
                <w:lang w:eastAsia="es-AR"/>
              </w:rPr>
              <w:t>ACTIVO al 31/03/2019</w:t>
            </w:r>
          </w:p>
        </w:tc>
        <w:tc>
          <w:tcPr>
            <w:tcW w:w="1693" w:type="dxa"/>
            <w:gridSpan w:val="2"/>
            <w:tcBorders>
              <w:top w:val="single" w:sz="4" w:space="0" w:color="auto"/>
              <w:left w:val="nil"/>
              <w:bottom w:val="single" w:sz="4" w:space="0" w:color="auto"/>
              <w:right w:val="single" w:sz="4" w:space="0" w:color="auto"/>
            </w:tcBorders>
            <w:shd w:val="clear" w:color="auto" w:fill="auto"/>
          </w:tcPr>
          <w:p w14:paraId="1AA6C2D6" w14:textId="58CF3817" w:rsidR="008D322F" w:rsidRPr="00BA7A6B" w:rsidRDefault="008D322F" w:rsidP="008D322F">
            <w:pPr>
              <w:ind w:left="-70" w:firstLine="70"/>
              <w:jc w:val="center"/>
              <w:rPr>
                <w:rFonts w:ascii="Arial" w:hAnsi="Arial" w:cs="Arial"/>
                <w:b/>
                <w:bCs/>
                <w:color w:val="000000"/>
                <w:sz w:val="16"/>
                <w:szCs w:val="16"/>
                <w:lang w:eastAsia="es-AR"/>
              </w:rPr>
            </w:pPr>
            <w:r w:rsidRPr="005F090B">
              <w:rPr>
                <w:rFonts w:ascii="Arial" w:hAnsi="Arial" w:cs="Arial"/>
                <w:b/>
                <w:bCs/>
                <w:color w:val="000000"/>
                <w:sz w:val="16"/>
                <w:szCs w:val="16"/>
                <w:lang w:eastAsia="es-AR"/>
              </w:rPr>
              <w:t xml:space="preserve">Banca Corporativa </w:t>
            </w:r>
          </w:p>
        </w:tc>
        <w:tc>
          <w:tcPr>
            <w:tcW w:w="1328" w:type="dxa"/>
            <w:tcBorders>
              <w:top w:val="single" w:sz="4" w:space="0" w:color="auto"/>
              <w:left w:val="nil"/>
              <w:bottom w:val="single" w:sz="4" w:space="0" w:color="auto"/>
              <w:right w:val="single" w:sz="4" w:space="0" w:color="auto"/>
            </w:tcBorders>
            <w:shd w:val="clear" w:color="auto" w:fill="auto"/>
          </w:tcPr>
          <w:p w14:paraId="0A8D3F85" w14:textId="20A7A9D1" w:rsidR="008D322F" w:rsidRPr="00BA7A6B" w:rsidRDefault="008D322F" w:rsidP="008D322F">
            <w:pPr>
              <w:ind w:left="-70" w:firstLine="70"/>
              <w:jc w:val="center"/>
              <w:rPr>
                <w:rFonts w:ascii="Arial" w:hAnsi="Arial" w:cs="Arial"/>
                <w:b/>
                <w:bCs/>
                <w:color w:val="000000"/>
                <w:sz w:val="16"/>
                <w:szCs w:val="16"/>
                <w:lang w:eastAsia="es-AR"/>
              </w:rPr>
            </w:pPr>
            <w:r w:rsidRPr="005F090B">
              <w:rPr>
                <w:rFonts w:ascii="Arial" w:hAnsi="Arial" w:cs="Arial"/>
                <w:b/>
                <w:bCs/>
                <w:color w:val="000000"/>
                <w:sz w:val="16"/>
                <w:szCs w:val="16"/>
                <w:lang w:eastAsia="es-AR"/>
              </w:rPr>
              <w:t>Banca Personas y Negocios</w:t>
            </w:r>
          </w:p>
        </w:tc>
        <w:tc>
          <w:tcPr>
            <w:tcW w:w="1026" w:type="dxa"/>
            <w:tcBorders>
              <w:top w:val="single" w:sz="4" w:space="0" w:color="auto"/>
              <w:left w:val="nil"/>
              <w:bottom w:val="single" w:sz="4" w:space="0" w:color="auto"/>
              <w:right w:val="single" w:sz="4" w:space="0" w:color="auto"/>
            </w:tcBorders>
            <w:shd w:val="clear" w:color="auto" w:fill="auto"/>
            <w:vAlign w:val="center"/>
          </w:tcPr>
          <w:p w14:paraId="67CA987F"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Tesorería </w:t>
            </w:r>
          </w:p>
        </w:tc>
        <w:tc>
          <w:tcPr>
            <w:tcW w:w="1238" w:type="dxa"/>
            <w:tcBorders>
              <w:top w:val="single" w:sz="4" w:space="0" w:color="auto"/>
              <w:left w:val="nil"/>
              <w:bottom w:val="single" w:sz="4" w:space="0" w:color="auto"/>
              <w:right w:val="single" w:sz="4" w:space="0" w:color="auto"/>
            </w:tcBorders>
            <w:shd w:val="clear" w:color="auto" w:fill="auto"/>
            <w:vAlign w:val="center"/>
          </w:tcPr>
          <w:p w14:paraId="62492F67"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Consumo </w:t>
            </w:r>
          </w:p>
        </w:tc>
        <w:tc>
          <w:tcPr>
            <w:tcW w:w="857" w:type="dxa"/>
            <w:tcBorders>
              <w:top w:val="single" w:sz="4" w:space="0" w:color="auto"/>
              <w:left w:val="nil"/>
              <w:bottom w:val="single" w:sz="4" w:space="0" w:color="auto"/>
              <w:right w:val="single" w:sz="4" w:space="0" w:color="auto"/>
            </w:tcBorders>
            <w:shd w:val="clear" w:color="auto" w:fill="auto"/>
            <w:vAlign w:val="center"/>
          </w:tcPr>
          <w:p w14:paraId="2CAC7882"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Ajustes </w:t>
            </w:r>
          </w:p>
        </w:tc>
        <w:tc>
          <w:tcPr>
            <w:tcW w:w="1351" w:type="dxa"/>
            <w:gridSpan w:val="2"/>
            <w:tcBorders>
              <w:top w:val="single" w:sz="4" w:space="0" w:color="auto"/>
              <w:left w:val="nil"/>
              <w:bottom w:val="single" w:sz="4" w:space="0" w:color="auto"/>
              <w:right w:val="single" w:sz="4" w:space="0" w:color="auto"/>
            </w:tcBorders>
            <w:shd w:val="clear" w:color="auto" w:fill="auto"/>
            <w:noWrap/>
            <w:vAlign w:val="center"/>
          </w:tcPr>
          <w:p w14:paraId="6F97D0E4" w14:textId="77777777" w:rsidR="008D322F" w:rsidRPr="00BA7A6B" w:rsidRDefault="008D322F" w:rsidP="008D322F">
            <w:pPr>
              <w:ind w:left="-70" w:firstLine="70"/>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TOTAL </w:t>
            </w:r>
          </w:p>
        </w:tc>
      </w:tr>
      <w:tr w:rsidR="00B31B58" w:rsidRPr="00E31F15" w14:paraId="10DAF4E3" w14:textId="77777777" w:rsidTr="002775B9">
        <w:trPr>
          <w:gridAfter w:val="1"/>
          <w:wAfter w:w="7" w:type="dxa"/>
          <w:trHeight w:val="212"/>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5B66B57B" w14:textId="77777777" w:rsidR="00B31B58" w:rsidRPr="005761FD" w:rsidRDefault="00B31B58" w:rsidP="00B31B58">
            <w:pPr>
              <w:ind w:left="-70" w:firstLine="70"/>
              <w:rPr>
                <w:rFonts w:ascii="Arial" w:hAnsi="Arial" w:cs="Arial"/>
                <w:b/>
                <w:bCs/>
                <w:sz w:val="16"/>
                <w:szCs w:val="16"/>
                <w:lang w:eastAsia="es-AR"/>
              </w:rPr>
            </w:pPr>
            <w:r w:rsidRPr="005761FD">
              <w:rPr>
                <w:rFonts w:ascii="Arial" w:hAnsi="Arial" w:cs="Arial"/>
                <w:b/>
                <w:sz w:val="16"/>
                <w:szCs w:val="16"/>
              </w:rPr>
              <w:t>Efectivo y Depósitos en Bancos</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0E4D1870" w14:textId="5B2A7A23" w:rsidR="00B31B58" w:rsidRPr="00A5409A" w:rsidRDefault="00B31B58">
            <w:pPr>
              <w:ind w:left="-70" w:firstLine="70"/>
              <w:jc w:val="right"/>
              <w:rPr>
                <w:rFonts w:ascii="Arial" w:hAnsi="Arial" w:cs="Arial"/>
                <w:b/>
                <w:sz w:val="16"/>
                <w:szCs w:val="16"/>
              </w:rPr>
            </w:pPr>
            <w:r w:rsidRPr="00A5409A">
              <w:rPr>
                <w:rFonts w:ascii="Arial" w:hAnsi="Arial" w:cs="Arial"/>
                <w:b/>
                <w:sz w:val="16"/>
                <w:szCs w:val="16"/>
              </w:rPr>
              <w:t xml:space="preserve"> 301.215 </w:t>
            </w:r>
          </w:p>
        </w:tc>
        <w:tc>
          <w:tcPr>
            <w:tcW w:w="1328" w:type="dxa"/>
            <w:tcBorders>
              <w:top w:val="nil"/>
              <w:left w:val="nil"/>
              <w:bottom w:val="single" w:sz="4" w:space="0" w:color="auto"/>
              <w:right w:val="single" w:sz="4" w:space="0" w:color="auto"/>
            </w:tcBorders>
            <w:shd w:val="clear" w:color="000000" w:fill="FFFFFF"/>
            <w:noWrap/>
            <w:vAlign w:val="bottom"/>
          </w:tcPr>
          <w:p w14:paraId="3EAF319E" w14:textId="079C67EF" w:rsidR="00B31B58" w:rsidRPr="00A5409A" w:rsidRDefault="00B31B58">
            <w:pPr>
              <w:ind w:left="-70" w:firstLine="70"/>
              <w:jc w:val="right"/>
              <w:rPr>
                <w:rFonts w:ascii="Arial" w:hAnsi="Arial" w:cs="Arial"/>
                <w:b/>
                <w:sz w:val="16"/>
                <w:szCs w:val="16"/>
              </w:rPr>
            </w:pPr>
            <w:r w:rsidRPr="00A5409A">
              <w:rPr>
                <w:rFonts w:ascii="Arial" w:hAnsi="Arial" w:cs="Arial"/>
                <w:b/>
                <w:sz w:val="16"/>
                <w:szCs w:val="16"/>
              </w:rPr>
              <w:t xml:space="preserve"> 5.897.097 </w:t>
            </w:r>
          </w:p>
        </w:tc>
        <w:tc>
          <w:tcPr>
            <w:tcW w:w="1026" w:type="dxa"/>
            <w:tcBorders>
              <w:top w:val="nil"/>
              <w:left w:val="nil"/>
              <w:bottom w:val="single" w:sz="4" w:space="0" w:color="auto"/>
              <w:right w:val="single" w:sz="4" w:space="0" w:color="auto"/>
            </w:tcBorders>
            <w:shd w:val="clear" w:color="000000" w:fill="FFFFFF"/>
            <w:noWrap/>
            <w:vAlign w:val="bottom"/>
          </w:tcPr>
          <w:p w14:paraId="620F4553" w14:textId="164BFFC9" w:rsidR="00B31B58" w:rsidRPr="00A5409A" w:rsidRDefault="00B31B58">
            <w:pPr>
              <w:ind w:left="-70" w:firstLine="70"/>
              <w:jc w:val="right"/>
              <w:rPr>
                <w:rFonts w:ascii="Arial" w:hAnsi="Arial" w:cs="Arial"/>
                <w:b/>
                <w:sz w:val="16"/>
                <w:szCs w:val="16"/>
              </w:rPr>
            </w:pPr>
            <w:r w:rsidRPr="00A5409A">
              <w:rPr>
                <w:rFonts w:ascii="Arial" w:hAnsi="Arial" w:cs="Arial"/>
                <w:b/>
                <w:sz w:val="16"/>
                <w:szCs w:val="16"/>
              </w:rPr>
              <w:t xml:space="preserve"> 39.220.977 </w:t>
            </w:r>
          </w:p>
        </w:tc>
        <w:tc>
          <w:tcPr>
            <w:tcW w:w="1238" w:type="dxa"/>
            <w:tcBorders>
              <w:top w:val="nil"/>
              <w:left w:val="nil"/>
              <w:bottom w:val="single" w:sz="4" w:space="0" w:color="auto"/>
              <w:right w:val="single" w:sz="4" w:space="0" w:color="auto"/>
            </w:tcBorders>
            <w:shd w:val="clear" w:color="000000" w:fill="FFFFFF"/>
            <w:noWrap/>
            <w:vAlign w:val="bottom"/>
          </w:tcPr>
          <w:p w14:paraId="7EE37390" w14:textId="7CA09230" w:rsidR="00B31B58" w:rsidRPr="00A5409A" w:rsidRDefault="00B31B58">
            <w:pPr>
              <w:ind w:left="-70" w:firstLine="70"/>
              <w:jc w:val="right"/>
              <w:rPr>
                <w:rFonts w:ascii="Arial" w:hAnsi="Arial" w:cs="Arial"/>
                <w:b/>
                <w:sz w:val="16"/>
                <w:szCs w:val="16"/>
              </w:rPr>
            </w:pPr>
            <w:r w:rsidRPr="00A5409A">
              <w:rPr>
                <w:rFonts w:ascii="Arial" w:hAnsi="Arial" w:cs="Arial"/>
                <w:b/>
                <w:sz w:val="16"/>
                <w:szCs w:val="16"/>
              </w:rPr>
              <w:t xml:space="preserve"> 345.654 </w:t>
            </w:r>
          </w:p>
        </w:tc>
        <w:tc>
          <w:tcPr>
            <w:tcW w:w="857" w:type="dxa"/>
            <w:tcBorders>
              <w:top w:val="nil"/>
              <w:left w:val="nil"/>
              <w:bottom w:val="single" w:sz="4" w:space="0" w:color="auto"/>
              <w:right w:val="single" w:sz="4" w:space="0" w:color="auto"/>
            </w:tcBorders>
            <w:shd w:val="clear" w:color="000000" w:fill="FFFFFF"/>
            <w:noWrap/>
            <w:vAlign w:val="bottom"/>
          </w:tcPr>
          <w:p w14:paraId="76D56986" w14:textId="37154947" w:rsidR="00B31B58" w:rsidRPr="00A5409A" w:rsidRDefault="00B31B58">
            <w:pPr>
              <w:ind w:left="-70" w:firstLine="70"/>
              <w:jc w:val="right"/>
              <w:rPr>
                <w:rFonts w:ascii="Arial" w:hAnsi="Arial" w:cs="Arial"/>
                <w:b/>
                <w:sz w:val="16"/>
                <w:szCs w:val="16"/>
              </w:rPr>
            </w:pPr>
            <w:r w:rsidRPr="00A5409A">
              <w:rPr>
                <w:rFonts w:ascii="Arial" w:hAnsi="Arial" w:cs="Arial"/>
                <w:b/>
                <w:sz w:val="16"/>
                <w:szCs w:val="16"/>
              </w:rPr>
              <w:t xml:space="preserve">-107.688 </w:t>
            </w:r>
          </w:p>
        </w:tc>
        <w:tc>
          <w:tcPr>
            <w:tcW w:w="1343" w:type="dxa"/>
            <w:tcBorders>
              <w:top w:val="nil"/>
              <w:left w:val="nil"/>
              <w:bottom w:val="single" w:sz="4" w:space="0" w:color="auto"/>
              <w:right w:val="single" w:sz="4" w:space="0" w:color="auto"/>
            </w:tcBorders>
            <w:shd w:val="clear" w:color="000000" w:fill="FFFFFF"/>
            <w:noWrap/>
            <w:vAlign w:val="bottom"/>
          </w:tcPr>
          <w:p w14:paraId="743E3097" w14:textId="46A8FCCA" w:rsidR="00B31B58" w:rsidRPr="00A5409A" w:rsidRDefault="00B31B58">
            <w:pPr>
              <w:ind w:left="-70" w:firstLine="70"/>
              <w:jc w:val="right"/>
              <w:rPr>
                <w:rFonts w:ascii="Arial" w:hAnsi="Arial" w:cs="Arial"/>
                <w:b/>
                <w:sz w:val="16"/>
                <w:szCs w:val="16"/>
              </w:rPr>
            </w:pPr>
            <w:r w:rsidRPr="00A5409A">
              <w:rPr>
                <w:rFonts w:ascii="Arial" w:hAnsi="Arial" w:cs="Arial"/>
                <w:b/>
                <w:sz w:val="16"/>
                <w:szCs w:val="16"/>
              </w:rPr>
              <w:t xml:space="preserve"> 45.657.255 </w:t>
            </w:r>
          </w:p>
        </w:tc>
      </w:tr>
      <w:tr w:rsidR="00B31B58" w:rsidRPr="00E31F15" w14:paraId="20100F8B"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noWrap/>
            <w:vAlign w:val="bottom"/>
          </w:tcPr>
          <w:p w14:paraId="3AF16ED3" w14:textId="77777777" w:rsidR="00B31B58" w:rsidRPr="00436FB1" w:rsidRDefault="00B31B58" w:rsidP="00B31B58">
            <w:pPr>
              <w:ind w:left="-70" w:firstLine="70"/>
              <w:rPr>
                <w:rFonts w:ascii="Arial" w:hAnsi="Arial" w:cs="Arial"/>
                <w:sz w:val="16"/>
                <w:szCs w:val="16"/>
                <w:lang w:eastAsia="es-AR"/>
              </w:rPr>
            </w:pPr>
            <w:r w:rsidRPr="00436FB1">
              <w:rPr>
                <w:rFonts w:ascii="Arial" w:hAnsi="Arial" w:cs="Arial"/>
                <w:sz w:val="16"/>
                <w:szCs w:val="16"/>
              </w:rPr>
              <w:t xml:space="preserve">   Efectivo</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5B355DA2" w14:textId="5BF69C9C"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301.150 </w:t>
            </w:r>
          </w:p>
        </w:tc>
        <w:tc>
          <w:tcPr>
            <w:tcW w:w="1328" w:type="dxa"/>
            <w:tcBorders>
              <w:top w:val="nil"/>
              <w:left w:val="nil"/>
              <w:bottom w:val="single" w:sz="4" w:space="0" w:color="auto"/>
              <w:right w:val="single" w:sz="4" w:space="0" w:color="auto"/>
            </w:tcBorders>
            <w:shd w:val="clear" w:color="000000" w:fill="FFFFFF"/>
            <w:noWrap/>
            <w:vAlign w:val="bottom"/>
          </w:tcPr>
          <w:p w14:paraId="2955E68C" w14:textId="1EE2F49A"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5.886.275 </w:t>
            </w:r>
          </w:p>
        </w:tc>
        <w:tc>
          <w:tcPr>
            <w:tcW w:w="1026" w:type="dxa"/>
            <w:tcBorders>
              <w:top w:val="nil"/>
              <w:left w:val="nil"/>
              <w:bottom w:val="single" w:sz="4" w:space="0" w:color="auto"/>
              <w:right w:val="single" w:sz="4" w:space="0" w:color="auto"/>
            </w:tcBorders>
            <w:shd w:val="clear" w:color="000000" w:fill="FFFFFF"/>
            <w:noWrap/>
            <w:vAlign w:val="bottom"/>
          </w:tcPr>
          <w:p w14:paraId="5F7A4267" w14:textId="03CE68F4"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238" w:type="dxa"/>
            <w:tcBorders>
              <w:top w:val="nil"/>
              <w:left w:val="nil"/>
              <w:bottom w:val="single" w:sz="4" w:space="0" w:color="auto"/>
              <w:right w:val="single" w:sz="4" w:space="0" w:color="auto"/>
            </w:tcBorders>
            <w:shd w:val="clear" w:color="000000" w:fill="FFFFFF"/>
            <w:noWrap/>
            <w:vAlign w:val="bottom"/>
          </w:tcPr>
          <w:p w14:paraId="70525670" w14:textId="209D042D"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15 </w:t>
            </w:r>
          </w:p>
        </w:tc>
        <w:tc>
          <w:tcPr>
            <w:tcW w:w="857" w:type="dxa"/>
            <w:tcBorders>
              <w:top w:val="nil"/>
              <w:left w:val="nil"/>
              <w:bottom w:val="single" w:sz="4" w:space="0" w:color="auto"/>
              <w:right w:val="single" w:sz="4" w:space="0" w:color="auto"/>
            </w:tcBorders>
            <w:shd w:val="clear" w:color="000000" w:fill="FFFFFF"/>
            <w:noWrap/>
            <w:vAlign w:val="bottom"/>
          </w:tcPr>
          <w:p w14:paraId="21CAEB8B" w14:textId="42B5FA47"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00BAF9DC" w14:textId="5A4F5E04"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6.187.440 </w:t>
            </w:r>
          </w:p>
        </w:tc>
      </w:tr>
      <w:tr w:rsidR="00B31B58" w:rsidRPr="00E31F15" w14:paraId="6B69A8B7"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noWrap/>
            <w:vAlign w:val="bottom"/>
          </w:tcPr>
          <w:p w14:paraId="2330F7D4" w14:textId="77777777" w:rsidR="00B31B58" w:rsidRPr="00436FB1" w:rsidRDefault="00B31B58" w:rsidP="00B31B58">
            <w:pPr>
              <w:ind w:left="-70" w:firstLine="70"/>
              <w:rPr>
                <w:rFonts w:ascii="Arial" w:hAnsi="Arial" w:cs="Arial"/>
                <w:sz w:val="16"/>
                <w:szCs w:val="16"/>
              </w:rPr>
            </w:pPr>
            <w:r w:rsidRPr="00436FB1">
              <w:rPr>
                <w:rFonts w:ascii="Arial" w:hAnsi="Arial" w:cs="Arial"/>
                <w:sz w:val="16"/>
                <w:szCs w:val="16"/>
                <w:lang w:eastAsia="es-AR"/>
              </w:rPr>
              <w:t xml:space="preserve">   Entidades Financieras y corresponsales</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28A04510" w14:textId="31D6B2B2"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27864C1F" w14:textId="14921814"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66230029" w14:textId="43B280B2"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238" w:type="dxa"/>
            <w:tcBorders>
              <w:top w:val="nil"/>
              <w:left w:val="nil"/>
              <w:bottom w:val="single" w:sz="4" w:space="0" w:color="auto"/>
              <w:right w:val="single" w:sz="4" w:space="0" w:color="auto"/>
            </w:tcBorders>
            <w:shd w:val="clear" w:color="000000" w:fill="FFFFFF"/>
            <w:noWrap/>
            <w:vAlign w:val="bottom"/>
          </w:tcPr>
          <w:p w14:paraId="67CA249C" w14:textId="320006CE"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50EB52A2" w14:textId="4F2ED571"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6ECDE225" w14:textId="4611D405"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   </w:t>
            </w:r>
          </w:p>
        </w:tc>
      </w:tr>
      <w:tr w:rsidR="00B31B58" w:rsidRPr="00E31F15" w14:paraId="129496EF"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noWrap/>
            <w:vAlign w:val="bottom"/>
          </w:tcPr>
          <w:p w14:paraId="4F7A574F" w14:textId="77777777" w:rsidR="00B31B58" w:rsidRPr="00436FB1" w:rsidRDefault="00B31B58" w:rsidP="00B31B58">
            <w:pPr>
              <w:ind w:left="-70" w:firstLine="70"/>
              <w:rPr>
                <w:rFonts w:ascii="Arial" w:hAnsi="Arial" w:cs="Arial"/>
                <w:sz w:val="16"/>
                <w:szCs w:val="16"/>
                <w:lang w:eastAsia="es-AR"/>
              </w:rPr>
            </w:pPr>
            <w:r w:rsidRPr="00436FB1">
              <w:rPr>
                <w:rFonts w:ascii="Arial" w:hAnsi="Arial" w:cs="Arial"/>
                <w:sz w:val="16"/>
                <w:szCs w:val="16"/>
              </w:rPr>
              <w:t xml:space="preserve">      BCRA</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23746205" w14:textId="34FF8CB9"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42E11802" w14:textId="4AC664EE"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5062D56C" w14:textId="381AE27E"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38.423.152 </w:t>
            </w:r>
          </w:p>
        </w:tc>
        <w:tc>
          <w:tcPr>
            <w:tcW w:w="1238" w:type="dxa"/>
            <w:tcBorders>
              <w:top w:val="nil"/>
              <w:left w:val="nil"/>
              <w:bottom w:val="single" w:sz="4" w:space="0" w:color="auto"/>
              <w:right w:val="single" w:sz="4" w:space="0" w:color="auto"/>
            </w:tcBorders>
            <w:shd w:val="clear" w:color="000000" w:fill="FFFFFF"/>
            <w:noWrap/>
            <w:vAlign w:val="bottom"/>
          </w:tcPr>
          <w:p w14:paraId="7AA2821F" w14:textId="7A6FC20E"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234.139 </w:t>
            </w:r>
          </w:p>
        </w:tc>
        <w:tc>
          <w:tcPr>
            <w:tcW w:w="857" w:type="dxa"/>
            <w:tcBorders>
              <w:top w:val="nil"/>
              <w:left w:val="nil"/>
              <w:bottom w:val="single" w:sz="4" w:space="0" w:color="auto"/>
              <w:right w:val="single" w:sz="4" w:space="0" w:color="auto"/>
            </w:tcBorders>
            <w:shd w:val="clear" w:color="000000" w:fill="FFFFFF"/>
            <w:noWrap/>
            <w:vAlign w:val="bottom"/>
          </w:tcPr>
          <w:p w14:paraId="4766E30F" w14:textId="2C747B76"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5121A3C5" w14:textId="0BB138C2"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38.657.291 </w:t>
            </w:r>
          </w:p>
        </w:tc>
      </w:tr>
      <w:tr w:rsidR="00B31B58" w:rsidRPr="00E31F15" w14:paraId="0917646B" w14:textId="77777777" w:rsidTr="002775B9">
        <w:trPr>
          <w:gridAfter w:val="1"/>
          <w:wAfter w:w="7" w:type="dxa"/>
          <w:trHeight w:val="211"/>
        </w:trPr>
        <w:tc>
          <w:tcPr>
            <w:tcW w:w="2819" w:type="dxa"/>
            <w:gridSpan w:val="2"/>
            <w:tcBorders>
              <w:top w:val="nil"/>
              <w:left w:val="single" w:sz="4" w:space="0" w:color="auto"/>
              <w:bottom w:val="single" w:sz="4" w:space="0" w:color="363639"/>
              <w:right w:val="single" w:sz="4" w:space="0" w:color="363639"/>
            </w:tcBorders>
            <w:shd w:val="clear" w:color="000000" w:fill="FFFFFF"/>
            <w:noWrap/>
            <w:vAlign w:val="bottom"/>
          </w:tcPr>
          <w:p w14:paraId="696F048C" w14:textId="77777777" w:rsidR="00B31B58" w:rsidRPr="00436FB1" w:rsidRDefault="00B31B58" w:rsidP="00B31B58">
            <w:pPr>
              <w:ind w:left="-70" w:firstLine="70"/>
              <w:rPr>
                <w:rFonts w:ascii="Arial" w:hAnsi="Arial" w:cs="Arial"/>
                <w:sz w:val="16"/>
                <w:szCs w:val="16"/>
                <w:lang w:eastAsia="es-AR"/>
              </w:rPr>
            </w:pPr>
            <w:r w:rsidRPr="00436FB1">
              <w:rPr>
                <w:rFonts w:ascii="Arial" w:hAnsi="Arial" w:cs="Arial"/>
                <w:sz w:val="16"/>
                <w:szCs w:val="16"/>
              </w:rPr>
              <w:t xml:space="preserve">      Otras del país y del exterior</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630E51C3" w14:textId="28DB2A9E"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37639D0D" w14:textId="7AFEB574"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4.445 </w:t>
            </w:r>
          </w:p>
        </w:tc>
        <w:tc>
          <w:tcPr>
            <w:tcW w:w="1026" w:type="dxa"/>
            <w:tcBorders>
              <w:top w:val="nil"/>
              <w:left w:val="nil"/>
              <w:bottom w:val="single" w:sz="4" w:space="0" w:color="auto"/>
              <w:right w:val="single" w:sz="4" w:space="0" w:color="auto"/>
            </w:tcBorders>
            <w:shd w:val="clear" w:color="000000" w:fill="FFFFFF"/>
            <w:noWrap/>
            <w:vAlign w:val="bottom"/>
          </w:tcPr>
          <w:p w14:paraId="038CD531" w14:textId="18841CFA"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797.751 </w:t>
            </w:r>
          </w:p>
        </w:tc>
        <w:tc>
          <w:tcPr>
            <w:tcW w:w="1238" w:type="dxa"/>
            <w:tcBorders>
              <w:top w:val="nil"/>
              <w:left w:val="nil"/>
              <w:bottom w:val="single" w:sz="4" w:space="0" w:color="auto"/>
              <w:right w:val="single" w:sz="4" w:space="0" w:color="auto"/>
            </w:tcBorders>
            <w:shd w:val="clear" w:color="000000" w:fill="FFFFFF"/>
            <w:noWrap/>
            <w:vAlign w:val="bottom"/>
          </w:tcPr>
          <w:p w14:paraId="4CDB67A1" w14:textId="1F5863C9"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111.500 </w:t>
            </w:r>
          </w:p>
        </w:tc>
        <w:tc>
          <w:tcPr>
            <w:tcW w:w="857" w:type="dxa"/>
            <w:tcBorders>
              <w:top w:val="nil"/>
              <w:left w:val="nil"/>
              <w:bottom w:val="single" w:sz="4" w:space="0" w:color="auto"/>
              <w:right w:val="single" w:sz="4" w:space="0" w:color="auto"/>
            </w:tcBorders>
            <w:shd w:val="clear" w:color="000000" w:fill="FFFFFF"/>
            <w:noWrap/>
            <w:vAlign w:val="bottom"/>
          </w:tcPr>
          <w:p w14:paraId="1823797C" w14:textId="1CF8DC01"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-107.688 </w:t>
            </w:r>
          </w:p>
        </w:tc>
        <w:tc>
          <w:tcPr>
            <w:tcW w:w="1343" w:type="dxa"/>
            <w:tcBorders>
              <w:top w:val="nil"/>
              <w:left w:val="nil"/>
              <w:bottom w:val="single" w:sz="4" w:space="0" w:color="auto"/>
              <w:right w:val="single" w:sz="4" w:space="0" w:color="auto"/>
            </w:tcBorders>
            <w:shd w:val="clear" w:color="000000" w:fill="FFFFFF"/>
            <w:noWrap/>
            <w:vAlign w:val="bottom"/>
          </w:tcPr>
          <w:p w14:paraId="23F85667" w14:textId="121CDEDE"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806.008 </w:t>
            </w:r>
          </w:p>
        </w:tc>
      </w:tr>
      <w:tr w:rsidR="00B31B58" w:rsidRPr="00E31F15" w14:paraId="49C3BD6C"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noWrap/>
            <w:vAlign w:val="bottom"/>
          </w:tcPr>
          <w:p w14:paraId="61741CC9" w14:textId="77777777" w:rsidR="00B31B58" w:rsidRPr="00436FB1" w:rsidRDefault="00B31B58" w:rsidP="00B31B58">
            <w:pPr>
              <w:ind w:left="-70" w:firstLine="70"/>
              <w:rPr>
                <w:rFonts w:ascii="Arial" w:hAnsi="Arial" w:cs="Arial"/>
                <w:sz w:val="16"/>
                <w:szCs w:val="16"/>
                <w:lang w:eastAsia="es-AR"/>
              </w:rPr>
            </w:pPr>
            <w:r w:rsidRPr="00436FB1">
              <w:rPr>
                <w:rFonts w:ascii="Arial" w:hAnsi="Arial" w:cs="Arial"/>
                <w:sz w:val="16"/>
                <w:szCs w:val="16"/>
              </w:rPr>
              <w:t xml:space="preserve">   Otros</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3E812289" w14:textId="789EAF94"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65 </w:t>
            </w:r>
          </w:p>
        </w:tc>
        <w:tc>
          <w:tcPr>
            <w:tcW w:w="1328" w:type="dxa"/>
            <w:tcBorders>
              <w:top w:val="nil"/>
              <w:left w:val="nil"/>
              <w:bottom w:val="single" w:sz="4" w:space="0" w:color="auto"/>
              <w:right w:val="single" w:sz="4" w:space="0" w:color="auto"/>
            </w:tcBorders>
            <w:shd w:val="clear" w:color="000000" w:fill="FFFFFF"/>
            <w:noWrap/>
            <w:vAlign w:val="bottom"/>
          </w:tcPr>
          <w:p w14:paraId="7B16C199" w14:textId="7AC2C529"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6.377 </w:t>
            </w:r>
          </w:p>
        </w:tc>
        <w:tc>
          <w:tcPr>
            <w:tcW w:w="1026" w:type="dxa"/>
            <w:tcBorders>
              <w:top w:val="nil"/>
              <w:left w:val="nil"/>
              <w:bottom w:val="single" w:sz="4" w:space="0" w:color="auto"/>
              <w:right w:val="single" w:sz="4" w:space="0" w:color="auto"/>
            </w:tcBorders>
            <w:shd w:val="clear" w:color="000000" w:fill="FFFFFF"/>
            <w:noWrap/>
            <w:vAlign w:val="bottom"/>
          </w:tcPr>
          <w:p w14:paraId="330E1700" w14:textId="1D12B49A"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74 </w:t>
            </w:r>
          </w:p>
        </w:tc>
        <w:tc>
          <w:tcPr>
            <w:tcW w:w="1238" w:type="dxa"/>
            <w:tcBorders>
              <w:top w:val="nil"/>
              <w:left w:val="nil"/>
              <w:bottom w:val="single" w:sz="4" w:space="0" w:color="auto"/>
              <w:right w:val="single" w:sz="4" w:space="0" w:color="auto"/>
            </w:tcBorders>
            <w:shd w:val="clear" w:color="000000" w:fill="FFFFFF"/>
            <w:noWrap/>
            <w:vAlign w:val="bottom"/>
          </w:tcPr>
          <w:p w14:paraId="3E951DC3" w14:textId="71A7316A"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79A3959B" w14:textId="361F9590"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13AF5E5C" w14:textId="74B97812"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6.516 </w:t>
            </w:r>
          </w:p>
        </w:tc>
      </w:tr>
      <w:tr w:rsidR="00B31B58" w:rsidRPr="00E31F15" w14:paraId="58584E7C" w14:textId="77777777" w:rsidTr="002775B9">
        <w:trPr>
          <w:gridAfter w:val="1"/>
          <w:wAfter w:w="7" w:type="dxa"/>
          <w:trHeight w:val="170"/>
        </w:trPr>
        <w:tc>
          <w:tcPr>
            <w:tcW w:w="2819" w:type="dxa"/>
            <w:gridSpan w:val="2"/>
            <w:tcBorders>
              <w:top w:val="nil"/>
              <w:left w:val="single" w:sz="4" w:space="0" w:color="auto"/>
              <w:bottom w:val="single" w:sz="4" w:space="0" w:color="363639"/>
              <w:right w:val="single" w:sz="4" w:space="0" w:color="363639"/>
            </w:tcBorders>
            <w:shd w:val="clear" w:color="000000" w:fill="FFFFFF"/>
            <w:noWrap/>
            <w:vAlign w:val="bottom"/>
          </w:tcPr>
          <w:p w14:paraId="7546B571" w14:textId="77777777" w:rsidR="00B31B58" w:rsidRPr="00436FB1" w:rsidRDefault="00B31B58" w:rsidP="00B31B58">
            <w:pPr>
              <w:ind w:left="-70" w:firstLine="70"/>
              <w:rPr>
                <w:rFonts w:ascii="Arial" w:hAnsi="Arial" w:cs="Arial"/>
                <w:sz w:val="16"/>
                <w:szCs w:val="16"/>
                <w:lang w:eastAsia="es-AR"/>
              </w:rPr>
            </w:pPr>
            <w:r w:rsidRPr="00436FB1">
              <w:rPr>
                <w:rFonts w:ascii="Arial" w:hAnsi="Arial" w:cs="Arial"/>
                <w:sz w:val="16"/>
                <w:szCs w:val="16"/>
              </w:rPr>
              <w:t>Títulos de deuda a valor razonable con cambios en resultados</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34ABAEC1" w14:textId="0A4044AD"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395C01F3" w14:textId="5E975752"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19C386F8" w14:textId="6EFDC0A6"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52.112.758 </w:t>
            </w:r>
          </w:p>
        </w:tc>
        <w:tc>
          <w:tcPr>
            <w:tcW w:w="1238" w:type="dxa"/>
            <w:tcBorders>
              <w:top w:val="nil"/>
              <w:left w:val="nil"/>
              <w:bottom w:val="single" w:sz="4" w:space="0" w:color="auto"/>
              <w:right w:val="single" w:sz="4" w:space="0" w:color="auto"/>
            </w:tcBorders>
            <w:shd w:val="clear" w:color="000000" w:fill="FFFFFF"/>
            <w:noWrap/>
            <w:vAlign w:val="bottom"/>
          </w:tcPr>
          <w:p w14:paraId="7D1D9AB4" w14:textId="17D494AC"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73C4D796" w14:textId="51584168"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618F7A6B" w14:textId="41D21217"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52.112.758 </w:t>
            </w:r>
          </w:p>
        </w:tc>
      </w:tr>
      <w:tr w:rsidR="00B31B58" w:rsidRPr="00E31F15" w14:paraId="04184558" w14:textId="77777777" w:rsidTr="002775B9">
        <w:trPr>
          <w:gridAfter w:val="1"/>
          <w:wAfter w:w="7" w:type="dxa"/>
          <w:trHeight w:val="17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4EC7CF4D"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 xml:space="preserve">Instrumentos derivados </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62689829" w14:textId="330CD7FE"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61A238E8" w14:textId="0EC70ABC"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276DF838" w14:textId="04F39183"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269.073 </w:t>
            </w:r>
          </w:p>
        </w:tc>
        <w:tc>
          <w:tcPr>
            <w:tcW w:w="1238" w:type="dxa"/>
            <w:tcBorders>
              <w:top w:val="nil"/>
              <w:left w:val="nil"/>
              <w:bottom w:val="single" w:sz="4" w:space="0" w:color="auto"/>
              <w:right w:val="single" w:sz="4" w:space="0" w:color="auto"/>
            </w:tcBorders>
            <w:shd w:val="clear" w:color="000000" w:fill="FFFFFF"/>
            <w:noWrap/>
            <w:vAlign w:val="bottom"/>
          </w:tcPr>
          <w:p w14:paraId="40D85150" w14:textId="0F21FF72"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45B44327" w14:textId="26517C60"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2F8107E2" w14:textId="1F1D3F0D"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269.073 </w:t>
            </w:r>
          </w:p>
        </w:tc>
      </w:tr>
      <w:tr w:rsidR="00B31B58" w:rsidRPr="00E31F15" w14:paraId="127C8B54"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55E90BB6"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 xml:space="preserve">Otros activos financieros </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68732566" w14:textId="400896D6"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263.392 </w:t>
            </w:r>
          </w:p>
        </w:tc>
        <w:tc>
          <w:tcPr>
            <w:tcW w:w="1328" w:type="dxa"/>
            <w:tcBorders>
              <w:top w:val="nil"/>
              <w:left w:val="nil"/>
              <w:bottom w:val="single" w:sz="4" w:space="0" w:color="auto"/>
              <w:right w:val="single" w:sz="4" w:space="0" w:color="auto"/>
            </w:tcBorders>
            <w:shd w:val="clear" w:color="000000" w:fill="FFFFFF"/>
            <w:noWrap/>
            <w:vAlign w:val="bottom"/>
          </w:tcPr>
          <w:p w14:paraId="246EA38E" w14:textId="2BEF3505"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746.879 </w:t>
            </w:r>
          </w:p>
        </w:tc>
        <w:tc>
          <w:tcPr>
            <w:tcW w:w="1026" w:type="dxa"/>
            <w:tcBorders>
              <w:top w:val="nil"/>
              <w:left w:val="nil"/>
              <w:bottom w:val="single" w:sz="4" w:space="0" w:color="auto"/>
              <w:right w:val="single" w:sz="4" w:space="0" w:color="auto"/>
            </w:tcBorders>
            <w:shd w:val="clear" w:color="000000" w:fill="FFFFFF"/>
            <w:noWrap/>
            <w:vAlign w:val="bottom"/>
          </w:tcPr>
          <w:p w14:paraId="43854ED6" w14:textId="12D1C681"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562.418 </w:t>
            </w:r>
          </w:p>
        </w:tc>
        <w:tc>
          <w:tcPr>
            <w:tcW w:w="1238" w:type="dxa"/>
            <w:tcBorders>
              <w:top w:val="nil"/>
              <w:left w:val="nil"/>
              <w:bottom w:val="single" w:sz="4" w:space="0" w:color="auto"/>
              <w:right w:val="single" w:sz="4" w:space="0" w:color="auto"/>
            </w:tcBorders>
            <w:shd w:val="clear" w:color="000000" w:fill="FFFFFF"/>
            <w:noWrap/>
            <w:vAlign w:val="bottom"/>
          </w:tcPr>
          <w:p w14:paraId="6C2E2FD2" w14:textId="14B8F37F"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363.124 </w:t>
            </w:r>
          </w:p>
        </w:tc>
        <w:tc>
          <w:tcPr>
            <w:tcW w:w="857" w:type="dxa"/>
            <w:tcBorders>
              <w:top w:val="nil"/>
              <w:left w:val="nil"/>
              <w:bottom w:val="single" w:sz="4" w:space="0" w:color="auto"/>
              <w:right w:val="single" w:sz="4" w:space="0" w:color="auto"/>
            </w:tcBorders>
            <w:shd w:val="clear" w:color="000000" w:fill="FFFFFF"/>
            <w:noWrap/>
            <w:vAlign w:val="bottom"/>
          </w:tcPr>
          <w:p w14:paraId="42ED8173" w14:textId="1661FE32"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-12.738 </w:t>
            </w:r>
          </w:p>
        </w:tc>
        <w:tc>
          <w:tcPr>
            <w:tcW w:w="1343" w:type="dxa"/>
            <w:tcBorders>
              <w:top w:val="nil"/>
              <w:left w:val="nil"/>
              <w:bottom w:val="single" w:sz="4" w:space="0" w:color="auto"/>
              <w:right w:val="single" w:sz="4" w:space="0" w:color="auto"/>
            </w:tcBorders>
            <w:shd w:val="clear" w:color="000000" w:fill="FFFFFF"/>
            <w:noWrap/>
            <w:vAlign w:val="bottom"/>
          </w:tcPr>
          <w:p w14:paraId="2C8C03DA" w14:textId="48617A56"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1.923.075 </w:t>
            </w:r>
          </w:p>
        </w:tc>
      </w:tr>
      <w:tr w:rsidR="00B31B58" w:rsidRPr="00E31F15" w14:paraId="3D8BBB0F"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4EF9D3C8" w14:textId="77777777" w:rsidR="00B31B58" w:rsidRPr="005761FD" w:rsidRDefault="00B31B58" w:rsidP="00B31B58">
            <w:pPr>
              <w:ind w:left="-70" w:firstLine="70"/>
              <w:rPr>
                <w:rFonts w:ascii="Arial" w:hAnsi="Arial" w:cs="Arial"/>
                <w:b/>
                <w:bCs/>
                <w:sz w:val="16"/>
                <w:szCs w:val="16"/>
                <w:lang w:eastAsia="es-AR"/>
              </w:rPr>
            </w:pPr>
            <w:r w:rsidRPr="005761FD">
              <w:rPr>
                <w:rFonts w:ascii="Arial" w:hAnsi="Arial" w:cs="Arial"/>
                <w:b/>
                <w:sz w:val="16"/>
                <w:szCs w:val="16"/>
              </w:rPr>
              <w:t xml:space="preserve">Préstamos y otras financiaciones </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613E7752" w14:textId="41DEF650" w:rsidR="00B31B58" w:rsidRPr="00A5409A" w:rsidRDefault="002E0A36">
            <w:pPr>
              <w:ind w:left="-70" w:firstLine="70"/>
              <w:jc w:val="right"/>
              <w:rPr>
                <w:rFonts w:ascii="Arial" w:hAnsi="Arial" w:cs="Arial"/>
                <w:b/>
                <w:sz w:val="16"/>
                <w:szCs w:val="16"/>
              </w:rPr>
            </w:pPr>
            <w:r w:rsidRPr="002E0A36">
              <w:rPr>
                <w:rFonts w:ascii="Arial" w:hAnsi="Arial" w:cs="Arial"/>
                <w:sz w:val="16"/>
                <w:szCs w:val="16"/>
              </w:rPr>
              <w:t>47.704.542</w:t>
            </w:r>
          </w:p>
        </w:tc>
        <w:tc>
          <w:tcPr>
            <w:tcW w:w="1328" w:type="dxa"/>
            <w:tcBorders>
              <w:top w:val="nil"/>
              <w:left w:val="nil"/>
              <w:bottom w:val="single" w:sz="4" w:space="0" w:color="auto"/>
              <w:right w:val="single" w:sz="4" w:space="0" w:color="auto"/>
            </w:tcBorders>
            <w:shd w:val="clear" w:color="000000" w:fill="FFFFFF"/>
            <w:noWrap/>
            <w:vAlign w:val="bottom"/>
          </w:tcPr>
          <w:p w14:paraId="3474728F" w14:textId="26493174" w:rsidR="00B31B58" w:rsidRPr="00A5409A" w:rsidRDefault="00A5409A">
            <w:pPr>
              <w:ind w:left="-70" w:firstLine="70"/>
              <w:jc w:val="right"/>
              <w:rPr>
                <w:rFonts w:ascii="Arial" w:hAnsi="Arial" w:cs="Arial"/>
                <w:b/>
                <w:sz w:val="16"/>
                <w:szCs w:val="16"/>
              </w:rPr>
            </w:pPr>
            <w:r w:rsidRPr="00A5409A">
              <w:rPr>
                <w:rFonts w:ascii="Arial" w:hAnsi="Arial" w:cs="Arial"/>
                <w:sz w:val="16"/>
                <w:szCs w:val="16"/>
              </w:rPr>
              <w:t>55.421.741</w:t>
            </w:r>
          </w:p>
        </w:tc>
        <w:tc>
          <w:tcPr>
            <w:tcW w:w="1026" w:type="dxa"/>
            <w:tcBorders>
              <w:top w:val="nil"/>
              <w:left w:val="nil"/>
              <w:bottom w:val="single" w:sz="4" w:space="0" w:color="auto"/>
              <w:right w:val="single" w:sz="4" w:space="0" w:color="auto"/>
            </w:tcBorders>
            <w:shd w:val="clear" w:color="000000" w:fill="FFFFFF"/>
            <w:noWrap/>
            <w:vAlign w:val="bottom"/>
          </w:tcPr>
          <w:p w14:paraId="725BB5C2" w14:textId="430E361D" w:rsidR="00B31B58" w:rsidRPr="00A5409A" w:rsidRDefault="00A5409A">
            <w:pPr>
              <w:ind w:left="-70" w:firstLine="70"/>
              <w:jc w:val="right"/>
              <w:rPr>
                <w:rFonts w:ascii="Arial" w:hAnsi="Arial" w:cs="Arial"/>
                <w:b/>
                <w:sz w:val="16"/>
                <w:szCs w:val="16"/>
              </w:rPr>
            </w:pPr>
            <w:r w:rsidRPr="00A5409A">
              <w:rPr>
                <w:rFonts w:ascii="Arial" w:hAnsi="Arial" w:cs="Arial"/>
                <w:sz w:val="16"/>
                <w:szCs w:val="16"/>
              </w:rPr>
              <w:t>6.439.186</w:t>
            </w:r>
          </w:p>
        </w:tc>
        <w:tc>
          <w:tcPr>
            <w:tcW w:w="1238" w:type="dxa"/>
            <w:tcBorders>
              <w:top w:val="nil"/>
              <w:left w:val="nil"/>
              <w:bottom w:val="single" w:sz="4" w:space="0" w:color="auto"/>
              <w:right w:val="single" w:sz="4" w:space="0" w:color="auto"/>
            </w:tcBorders>
            <w:shd w:val="clear" w:color="000000" w:fill="FFFFFF"/>
            <w:noWrap/>
            <w:vAlign w:val="bottom"/>
          </w:tcPr>
          <w:p w14:paraId="4358BD33" w14:textId="5A63F966"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w:t>
            </w:r>
            <w:r w:rsidR="00A5409A" w:rsidRPr="00A5409A">
              <w:rPr>
                <w:rFonts w:ascii="Arial" w:hAnsi="Arial" w:cs="Arial"/>
                <w:sz w:val="16"/>
                <w:szCs w:val="16"/>
              </w:rPr>
              <w:t xml:space="preserve"> 10.101.046</w:t>
            </w:r>
          </w:p>
        </w:tc>
        <w:tc>
          <w:tcPr>
            <w:tcW w:w="857" w:type="dxa"/>
            <w:tcBorders>
              <w:top w:val="nil"/>
              <w:left w:val="nil"/>
              <w:bottom w:val="single" w:sz="4" w:space="0" w:color="auto"/>
              <w:right w:val="single" w:sz="4" w:space="0" w:color="auto"/>
            </w:tcBorders>
            <w:shd w:val="clear" w:color="000000" w:fill="FFFFFF"/>
            <w:noWrap/>
            <w:vAlign w:val="bottom"/>
          </w:tcPr>
          <w:p w14:paraId="3E5F32C2" w14:textId="174D9078"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-3.306.318 </w:t>
            </w:r>
          </w:p>
        </w:tc>
        <w:tc>
          <w:tcPr>
            <w:tcW w:w="1343" w:type="dxa"/>
            <w:tcBorders>
              <w:top w:val="nil"/>
              <w:left w:val="nil"/>
              <w:bottom w:val="single" w:sz="4" w:space="0" w:color="auto"/>
              <w:right w:val="single" w:sz="4" w:space="0" w:color="auto"/>
            </w:tcBorders>
            <w:shd w:val="clear" w:color="000000" w:fill="FFFFFF"/>
            <w:noWrap/>
            <w:vAlign w:val="bottom"/>
          </w:tcPr>
          <w:p w14:paraId="652AFF29" w14:textId="15ABFCD3"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116.360.197 </w:t>
            </w:r>
          </w:p>
        </w:tc>
      </w:tr>
      <w:tr w:rsidR="00B31B58" w:rsidRPr="00E31F15" w14:paraId="1FC7FBB3" w14:textId="77777777" w:rsidTr="002775B9">
        <w:trPr>
          <w:gridAfter w:val="1"/>
          <w:wAfter w:w="7" w:type="dxa"/>
          <w:trHeight w:val="66"/>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34940F42"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 xml:space="preserve">   Sector público no financiero</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2F1A2487" w14:textId="020EEB18"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119 </w:t>
            </w:r>
          </w:p>
        </w:tc>
        <w:tc>
          <w:tcPr>
            <w:tcW w:w="1328" w:type="dxa"/>
            <w:tcBorders>
              <w:top w:val="nil"/>
              <w:left w:val="nil"/>
              <w:bottom w:val="single" w:sz="4" w:space="0" w:color="auto"/>
              <w:right w:val="single" w:sz="4" w:space="0" w:color="auto"/>
            </w:tcBorders>
            <w:shd w:val="clear" w:color="000000" w:fill="FFFFFF"/>
            <w:noWrap/>
            <w:vAlign w:val="bottom"/>
          </w:tcPr>
          <w:p w14:paraId="18F828CF" w14:textId="115DB34A"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82 </w:t>
            </w:r>
          </w:p>
        </w:tc>
        <w:tc>
          <w:tcPr>
            <w:tcW w:w="1026" w:type="dxa"/>
            <w:tcBorders>
              <w:top w:val="nil"/>
              <w:left w:val="nil"/>
              <w:bottom w:val="single" w:sz="4" w:space="0" w:color="auto"/>
              <w:right w:val="single" w:sz="4" w:space="0" w:color="auto"/>
            </w:tcBorders>
            <w:shd w:val="clear" w:color="000000" w:fill="FFFFFF"/>
            <w:noWrap/>
            <w:vAlign w:val="bottom"/>
          </w:tcPr>
          <w:p w14:paraId="034257E8" w14:textId="52B3E0DF"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44.427 </w:t>
            </w:r>
          </w:p>
        </w:tc>
        <w:tc>
          <w:tcPr>
            <w:tcW w:w="1238" w:type="dxa"/>
            <w:tcBorders>
              <w:top w:val="nil"/>
              <w:left w:val="nil"/>
              <w:bottom w:val="single" w:sz="4" w:space="0" w:color="auto"/>
              <w:right w:val="single" w:sz="4" w:space="0" w:color="auto"/>
            </w:tcBorders>
            <w:shd w:val="clear" w:color="000000" w:fill="FFFFFF"/>
            <w:noWrap/>
            <w:vAlign w:val="bottom"/>
          </w:tcPr>
          <w:p w14:paraId="2333166E" w14:textId="59C6A453"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79F047D0" w14:textId="349AF1C6"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11FFDCD8" w14:textId="373A08CE"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44.628 </w:t>
            </w:r>
          </w:p>
        </w:tc>
      </w:tr>
      <w:tr w:rsidR="00B31B58" w:rsidRPr="00E31F15" w14:paraId="68A10BE3"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noWrap/>
            <w:vAlign w:val="bottom"/>
          </w:tcPr>
          <w:p w14:paraId="560FC277" w14:textId="77777777" w:rsidR="00B31B58" w:rsidRPr="00436FB1" w:rsidRDefault="00B31B58" w:rsidP="00B31B58">
            <w:pPr>
              <w:ind w:left="-70" w:firstLine="70"/>
              <w:rPr>
                <w:rFonts w:ascii="Arial" w:hAnsi="Arial" w:cs="Arial"/>
                <w:sz w:val="16"/>
                <w:szCs w:val="16"/>
                <w:lang w:eastAsia="es-AR"/>
              </w:rPr>
            </w:pPr>
            <w:r w:rsidRPr="00436FB1">
              <w:rPr>
                <w:rFonts w:ascii="Arial" w:hAnsi="Arial" w:cs="Arial"/>
                <w:sz w:val="16"/>
                <w:szCs w:val="16"/>
              </w:rPr>
              <w:t xml:space="preserve">   Otras entidades financieras </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35A4312A" w14:textId="48709270"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82.363 </w:t>
            </w:r>
          </w:p>
        </w:tc>
        <w:tc>
          <w:tcPr>
            <w:tcW w:w="1328" w:type="dxa"/>
            <w:tcBorders>
              <w:top w:val="nil"/>
              <w:left w:val="nil"/>
              <w:bottom w:val="single" w:sz="4" w:space="0" w:color="auto"/>
              <w:right w:val="single" w:sz="4" w:space="0" w:color="auto"/>
            </w:tcBorders>
            <w:shd w:val="clear" w:color="000000" w:fill="FFFFFF"/>
            <w:noWrap/>
            <w:vAlign w:val="bottom"/>
          </w:tcPr>
          <w:p w14:paraId="76FEDB3E" w14:textId="21AEB718"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-11.333 </w:t>
            </w:r>
          </w:p>
        </w:tc>
        <w:tc>
          <w:tcPr>
            <w:tcW w:w="1026" w:type="dxa"/>
            <w:tcBorders>
              <w:top w:val="nil"/>
              <w:left w:val="nil"/>
              <w:bottom w:val="single" w:sz="4" w:space="0" w:color="auto"/>
              <w:right w:val="single" w:sz="4" w:space="0" w:color="auto"/>
            </w:tcBorders>
            <w:shd w:val="clear" w:color="000000" w:fill="FFFFFF"/>
            <w:noWrap/>
            <w:vAlign w:val="bottom"/>
          </w:tcPr>
          <w:p w14:paraId="2A2DC233" w14:textId="46B2D67B"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3.142.193 </w:t>
            </w:r>
          </w:p>
        </w:tc>
        <w:tc>
          <w:tcPr>
            <w:tcW w:w="1238" w:type="dxa"/>
            <w:tcBorders>
              <w:top w:val="nil"/>
              <w:left w:val="nil"/>
              <w:bottom w:val="single" w:sz="4" w:space="0" w:color="auto"/>
              <w:right w:val="single" w:sz="4" w:space="0" w:color="auto"/>
            </w:tcBorders>
            <w:shd w:val="clear" w:color="000000" w:fill="FFFFFF"/>
            <w:noWrap/>
            <w:vAlign w:val="bottom"/>
          </w:tcPr>
          <w:p w14:paraId="387FEEED" w14:textId="55DB0074"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1EFDD01E" w14:textId="4DAD3ED4"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-2.907.525 </w:t>
            </w:r>
          </w:p>
        </w:tc>
        <w:tc>
          <w:tcPr>
            <w:tcW w:w="1343" w:type="dxa"/>
            <w:tcBorders>
              <w:top w:val="nil"/>
              <w:left w:val="nil"/>
              <w:bottom w:val="single" w:sz="4" w:space="0" w:color="auto"/>
              <w:right w:val="single" w:sz="4" w:space="0" w:color="auto"/>
            </w:tcBorders>
            <w:shd w:val="clear" w:color="000000" w:fill="FFFFFF"/>
            <w:noWrap/>
            <w:vAlign w:val="bottom"/>
          </w:tcPr>
          <w:p w14:paraId="0A25D675" w14:textId="0A5018F2"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305.698 </w:t>
            </w:r>
          </w:p>
        </w:tc>
      </w:tr>
      <w:tr w:rsidR="00B31B58" w:rsidRPr="00E31F15" w14:paraId="1A314D0A"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0551E4F3" w14:textId="77777777" w:rsidR="00B31B58" w:rsidRPr="00436FB1" w:rsidRDefault="00B31B58" w:rsidP="00B31B58">
            <w:pPr>
              <w:ind w:left="-70" w:firstLine="70"/>
              <w:rPr>
                <w:rFonts w:ascii="Arial" w:hAnsi="Arial" w:cs="Arial"/>
                <w:sz w:val="16"/>
                <w:szCs w:val="16"/>
                <w:lang w:eastAsia="es-AR"/>
              </w:rPr>
            </w:pPr>
            <w:r w:rsidRPr="00436FB1">
              <w:rPr>
                <w:rFonts w:ascii="Arial" w:hAnsi="Arial" w:cs="Arial"/>
                <w:sz w:val="16"/>
                <w:szCs w:val="16"/>
              </w:rPr>
              <w:t xml:space="preserve">   Sector privado no financiero y residentes en el exterior </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31C8FDD1" w14:textId="72EBBD2B"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w:t>
            </w:r>
            <w:r w:rsidR="00A5409A" w:rsidRPr="00A5409A">
              <w:rPr>
                <w:rFonts w:ascii="Arial" w:hAnsi="Arial" w:cs="Arial"/>
                <w:sz w:val="16"/>
                <w:szCs w:val="16"/>
              </w:rPr>
              <w:t>47.622.060</w:t>
            </w:r>
            <w:r w:rsidRPr="00A5409A">
              <w:rPr>
                <w:rFonts w:ascii="Arial" w:hAnsi="Arial" w:cs="Arial"/>
                <w:sz w:val="16"/>
                <w:szCs w:val="16"/>
              </w:rPr>
              <w:t xml:space="preserve"> </w:t>
            </w:r>
          </w:p>
        </w:tc>
        <w:tc>
          <w:tcPr>
            <w:tcW w:w="1328" w:type="dxa"/>
            <w:tcBorders>
              <w:top w:val="nil"/>
              <w:left w:val="nil"/>
              <w:bottom w:val="single" w:sz="4" w:space="0" w:color="auto"/>
              <w:right w:val="single" w:sz="4" w:space="0" w:color="auto"/>
            </w:tcBorders>
            <w:shd w:val="clear" w:color="000000" w:fill="FFFFFF"/>
            <w:noWrap/>
            <w:vAlign w:val="bottom"/>
          </w:tcPr>
          <w:p w14:paraId="06BE15F8" w14:textId="1CBFA11C"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55.</w:t>
            </w:r>
            <w:r w:rsidR="00A5409A" w:rsidRPr="00A5409A">
              <w:rPr>
                <w:rFonts w:ascii="Arial" w:hAnsi="Arial" w:cs="Arial"/>
                <w:sz w:val="16"/>
                <w:szCs w:val="16"/>
              </w:rPr>
              <w:t>432</w:t>
            </w:r>
            <w:r w:rsidRPr="00A5409A">
              <w:rPr>
                <w:rFonts w:ascii="Arial" w:hAnsi="Arial" w:cs="Arial"/>
                <w:sz w:val="16"/>
                <w:szCs w:val="16"/>
              </w:rPr>
              <w:t>.</w:t>
            </w:r>
            <w:r w:rsidR="00A5409A" w:rsidRPr="00A5409A">
              <w:rPr>
                <w:rFonts w:ascii="Arial" w:hAnsi="Arial" w:cs="Arial"/>
                <w:sz w:val="16"/>
                <w:szCs w:val="16"/>
              </w:rPr>
              <w:t>99</w:t>
            </w:r>
            <w:r w:rsidRPr="00A5409A">
              <w:rPr>
                <w:rFonts w:ascii="Arial" w:hAnsi="Arial" w:cs="Arial"/>
                <w:sz w:val="16"/>
                <w:szCs w:val="16"/>
              </w:rPr>
              <w:t xml:space="preserve">2 </w:t>
            </w:r>
          </w:p>
        </w:tc>
        <w:tc>
          <w:tcPr>
            <w:tcW w:w="1026" w:type="dxa"/>
            <w:tcBorders>
              <w:top w:val="nil"/>
              <w:left w:val="nil"/>
              <w:bottom w:val="single" w:sz="4" w:space="0" w:color="auto"/>
              <w:right w:val="single" w:sz="4" w:space="0" w:color="auto"/>
            </w:tcBorders>
            <w:shd w:val="clear" w:color="000000" w:fill="FFFFFF"/>
            <w:noWrap/>
            <w:vAlign w:val="bottom"/>
          </w:tcPr>
          <w:p w14:paraId="455D72CE" w14:textId="3EA43BA3"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3.252.566 </w:t>
            </w:r>
          </w:p>
        </w:tc>
        <w:tc>
          <w:tcPr>
            <w:tcW w:w="1238" w:type="dxa"/>
            <w:tcBorders>
              <w:top w:val="nil"/>
              <w:left w:val="nil"/>
              <w:bottom w:val="single" w:sz="4" w:space="0" w:color="auto"/>
              <w:right w:val="single" w:sz="4" w:space="0" w:color="auto"/>
            </w:tcBorders>
            <w:shd w:val="clear" w:color="000000" w:fill="FFFFFF"/>
            <w:noWrap/>
            <w:vAlign w:val="bottom"/>
          </w:tcPr>
          <w:p w14:paraId="2D0A2D04" w14:textId="7E946651"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 10.101.04</w:t>
            </w:r>
            <w:r w:rsidR="00A5409A" w:rsidRPr="00A5409A">
              <w:rPr>
                <w:rFonts w:ascii="Arial" w:hAnsi="Arial" w:cs="Arial"/>
                <w:sz w:val="16"/>
                <w:szCs w:val="16"/>
              </w:rPr>
              <w:t>6</w:t>
            </w:r>
            <w:r w:rsidRPr="00A5409A">
              <w:rPr>
                <w:rFonts w:ascii="Arial" w:hAnsi="Arial" w:cs="Arial"/>
                <w:sz w:val="16"/>
                <w:szCs w:val="16"/>
              </w:rPr>
              <w:t xml:space="preserve"> </w:t>
            </w:r>
          </w:p>
        </w:tc>
        <w:tc>
          <w:tcPr>
            <w:tcW w:w="857" w:type="dxa"/>
            <w:tcBorders>
              <w:top w:val="nil"/>
              <w:left w:val="nil"/>
              <w:bottom w:val="single" w:sz="4" w:space="0" w:color="auto"/>
              <w:right w:val="single" w:sz="4" w:space="0" w:color="auto"/>
            </w:tcBorders>
            <w:shd w:val="clear" w:color="000000" w:fill="FFFFFF"/>
            <w:noWrap/>
            <w:vAlign w:val="bottom"/>
          </w:tcPr>
          <w:p w14:paraId="7A6DC6AB" w14:textId="74F559A0" w:rsidR="00B31B58" w:rsidRPr="00A5409A" w:rsidRDefault="00B31B58">
            <w:pPr>
              <w:ind w:left="-70" w:firstLine="70"/>
              <w:jc w:val="right"/>
              <w:rPr>
                <w:rFonts w:ascii="Arial" w:hAnsi="Arial" w:cs="Arial"/>
                <w:sz w:val="16"/>
                <w:szCs w:val="16"/>
              </w:rPr>
            </w:pPr>
            <w:r w:rsidRPr="00A5409A">
              <w:rPr>
                <w:rFonts w:ascii="Arial" w:hAnsi="Arial" w:cs="Arial"/>
                <w:sz w:val="16"/>
                <w:szCs w:val="16"/>
              </w:rPr>
              <w:t xml:space="preserve">-398.793 </w:t>
            </w:r>
          </w:p>
        </w:tc>
        <w:tc>
          <w:tcPr>
            <w:tcW w:w="1343" w:type="dxa"/>
            <w:tcBorders>
              <w:top w:val="nil"/>
              <w:left w:val="nil"/>
              <w:bottom w:val="single" w:sz="4" w:space="0" w:color="auto"/>
              <w:right w:val="single" w:sz="4" w:space="0" w:color="auto"/>
            </w:tcBorders>
            <w:shd w:val="clear" w:color="000000" w:fill="FFFFFF"/>
            <w:noWrap/>
            <w:vAlign w:val="bottom"/>
          </w:tcPr>
          <w:p w14:paraId="606B949E" w14:textId="037C3914" w:rsidR="00B31B58" w:rsidRPr="00A5409A" w:rsidRDefault="00B31B58">
            <w:pPr>
              <w:ind w:left="-70" w:firstLine="70"/>
              <w:jc w:val="right"/>
              <w:rPr>
                <w:rFonts w:ascii="Arial" w:hAnsi="Arial" w:cs="Arial"/>
                <w:b/>
                <w:sz w:val="16"/>
                <w:szCs w:val="16"/>
              </w:rPr>
            </w:pPr>
            <w:r w:rsidRPr="00A5409A">
              <w:rPr>
                <w:rFonts w:ascii="Arial" w:hAnsi="Arial" w:cs="Arial"/>
                <w:sz w:val="16"/>
                <w:szCs w:val="16"/>
              </w:rPr>
              <w:t xml:space="preserve"> 116.009.871 </w:t>
            </w:r>
          </w:p>
        </w:tc>
      </w:tr>
      <w:tr w:rsidR="00B31B58" w:rsidRPr="00E31F15" w14:paraId="2178335D"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706531BA"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Otros títulos de deuda</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75319624" w14:textId="4FA661BF"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0A59E0BD" w14:textId="3D00C00B"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350F574D" w14:textId="60D42FCC"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4.871.637 </w:t>
            </w:r>
          </w:p>
        </w:tc>
        <w:tc>
          <w:tcPr>
            <w:tcW w:w="1238" w:type="dxa"/>
            <w:tcBorders>
              <w:top w:val="nil"/>
              <w:left w:val="nil"/>
              <w:bottom w:val="single" w:sz="4" w:space="0" w:color="auto"/>
              <w:right w:val="single" w:sz="4" w:space="0" w:color="auto"/>
            </w:tcBorders>
            <w:shd w:val="clear" w:color="000000" w:fill="FFFFFF"/>
            <w:noWrap/>
            <w:vAlign w:val="bottom"/>
          </w:tcPr>
          <w:p w14:paraId="2894F7FF" w14:textId="473AA217"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75FAAF00" w14:textId="2F69254C"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2D188A23" w14:textId="6FC89F63"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4.871.637 </w:t>
            </w:r>
          </w:p>
        </w:tc>
      </w:tr>
      <w:tr w:rsidR="00B31B58" w:rsidRPr="00E31F15" w14:paraId="56973B23" w14:textId="77777777" w:rsidTr="002775B9">
        <w:trPr>
          <w:gridAfter w:val="1"/>
          <w:wAfter w:w="7" w:type="dxa"/>
          <w:trHeight w:val="283"/>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1B5737AD"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Activos financieros entregados en garantía</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7BFFA6DC" w14:textId="7E977D71"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5.163 </w:t>
            </w:r>
          </w:p>
        </w:tc>
        <w:tc>
          <w:tcPr>
            <w:tcW w:w="1328" w:type="dxa"/>
            <w:tcBorders>
              <w:top w:val="nil"/>
              <w:left w:val="nil"/>
              <w:bottom w:val="single" w:sz="4" w:space="0" w:color="auto"/>
              <w:right w:val="single" w:sz="4" w:space="0" w:color="auto"/>
            </w:tcBorders>
            <w:shd w:val="clear" w:color="000000" w:fill="FFFFFF"/>
            <w:noWrap/>
            <w:vAlign w:val="bottom"/>
          </w:tcPr>
          <w:p w14:paraId="19B13CE9" w14:textId="14B44839"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424.038 </w:t>
            </w:r>
          </w:p>
        </w:tc>
        <w:tc>
          <w:tcPr>
            <w:tcW w:w="1026" w:type="dxa"/>
            <w:tcBorders>
              <w:top w:val="nil"/>
              <w:left w:val="nil"/>
              <w:bottom w:val="single" w:sz="4" w:space="0" w:color="auto"/>
              <w:right w:val="single" w:sz="4" w:space="0" w:color="auto"/>
            </w:tcBorders>
            <w:shd w:val="clear" w:color="000000" w:fill="FFFFFF"/>
            <w:noWrap/>
            <w:vAlign w:val="bottom"/>
          </w:tcPr>
          <w:p w14:paraId="3F7A7B34" w14:textId="63436309"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6.609.401 </w:t>
            </w:r>
          </w:p>
        </w:tc>
        <w:tc>
          <w:tcPr>
            <w:tcW w:w="1238" w:type="dxa"/>
            <w:tcBorders>
              <w:top w:val="nil"/>
              <w:left w:val="nil"/>
              <w:bottom w:val="single" w:sz="4" w:space="0" w:color="auto"/>
              <w:right w:val="single" w:sz="4" w:space="0" w:color="auto"/>
            </w:tcBorders>
            <w:shd w:val="clear" w:color="000000" w:fill="FFFFFF"/>
            <w:noWrap/>
            <w:vAlign w:val="bottom"/>
          </w:tcPr>
          <w:p w14:paraId="58D55B72" w14:textId="2B3B302E"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214.343 </w:t>
            </w:r>
          </w:p>
        </w:tc>
        <w:tc>
          <w:tcPr>
            <w:tcW w:w="857" w:type="dxa"/>
            <w:tcBorders>
              <w:top w:val="nil"/>
              <w:left w:val="nil"/>
              <w:bottom w:val="single" w:sz="4" w:space="0" w:color="auto"/>
              <w:right w:val="single" w:sz="4" w:space="0" w:color="auto"/>
            </w:tcBorders>
            <w:shd w:val="clear" w:color="000000" w:fill="FFFFFF"/>
            <w:noWrap/>
            <w:vAlign w:val="bottom"/>
          </w:tcPr>
          <w:p w14:paraId="0C22114A" w14:textId="18B41B5F"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11FDF471" w14:textId="508ACA00"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7.252.945 </w:t>
            </w:r>
          </w:p>
        </w:tc>
      </w:tr>
      <w:tr w:rsidR="00B31B58" w:rsidRPr="00E31F15" w14:paraId="4E9F463A" w14:textId="77777777" w:rsidTr="002775B9">
        <w:trPr>
          <w:gridAfter w:val="1"/>
          <w:wAfter w:w="7" w:type="dxa"/>
          <w:trHeight w:val="257"/>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02C48E60"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Activos por impuestos a las ganancias corriente</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4996B87D" w14:textId="77744E91"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3630756B" w14:textId="43F71872"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7C156AD3" w14:textId="7971AC58"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858.715 </w:t>
            </w:r>
          </w:p>
        </w:tc>
        <w:tc>
          <w:tcPr>
            <w:tcW w:w="1238" w:type="dxa"/>
            <w:tcBorders>
              <w:top w:val="nil"/>
              <w:left w:val="nil"/>
              <w:bottom w:val="single" w:sz="4" w:space="0" w:color="auto"/>
              <w:right w:val="single" w:sz="4" w:space="0" w:color="auto"/>
            </w:tcBorders>
            <w:shd w:val="clear" w:color="000000" w:fill="FFFFFF"/>
            <w:noWrap/>
            <w:vAlign w:val="bottom"/>
          </w:tcPr>
          <w:p w14:paraId="5CB02280" w14:textId="18EDB17E"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20.944 </w:t>
            </w:r>
          </w:p>
        </w:tc>
        <w:tc>
          <w:tcPr>
            <w:tcW w:w="857" w:type="dxa"/>
            <w:tcBorders>
              <w:top w:val="nil"/>
              <w:left w:val="nil"/>
              <w:bottom w:val="single" w:sz="4" w:space="0" w:color="auto"/>
              <w:right w:val="single" w:sz="4" w:space="0" w:color="auto"/>
            </w:tcBorders>
            <w:shd w:val="clear" w:color="000000" w:fill="FFFFFF"/>
            <w:noWrap/>
            <w:vAlign w:val="bottom"/>
          </w:tcPr>
          <w:p w14:paraId="6C288075" w14:textId="71BEFC9F"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68D50149" w14:textId="46EE5566"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879.659 </w:t>
            </w:r>
          </w:p>
        </w:tc>
      </w:tr>
      <w:tr w:rsidR="00B31B58" w:rsidRPr="00E31F15" w14:paraId="31D5F9FE" w14:textId="77777777" w:rsidTr="002775B9">
        <w:trPr>
          <w:gridAfter w:val="1"/>
          <w:wAfter w:w="7" w:type="dxa"/>
          <w:trHeight w:val="94"/>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4F5610D0"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lastRenderedPageBreak/>
              <w:t>Inversiones en instrumentos de patrimonio</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33CFCB10" w14:textId="404F0ACA"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2.184 </w:t>
            </w:r>
          </w:p>
        </w:tc>
        <w:tc>
          <w:tcPr>
            <w:tcW w:w="1328" w:type="dxa"/>
            <w:tcBorders>
              <w:top w:val="nil"/>
              <w:left w:val="nil"/>
              <w:bottom w:val="single" w:sz="4" w:space="0" w:color="auto"/>
              <w:right w:val="single" w:sz="4" w:space="0" w:color="auto"/>
            </w:tcBorders>
            <w:shd w:val="clear" w:color="000000" w:fill="FFFFFF"/>
            <w:noWrap/>
            <w:vAlign w:val="bottom"/>
          </w:tcPr>
          <w:p w14:paraId="45ADF3F0" w14:textId="335DADF7"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10.782 </w:t>
            </w:r>
          </w:p>
        </w:tc>
        <w:tc>
          <w:tcPr>
            <w:tcW w:w="1026" w:type="dxa"/>
            <w:tcBorders>
              <w:top w:val="nil"/>
              <w:left w:val="nil"/>
              <w:bottom w:val="single" w:sz="4" w:space="0" w:color="auto"/>
              <w:right w:val="single" w:sz="4" w:space="0" w:color="auto"/>
            </w:tcBorders>
            <w:shd w:val="clear" w:color="000000" w:fill="FFFFFF"/>
            <w:noWrap/>
            <w:vAlign w:val="bottom"/>
          </w:tcPr>
          <w:p w14:paraId="3D7410D5" w14:textId="2BE7BA9E"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1.961 </w:t>
            </w:r>
          </w:p>
        </w:tc>
        <w:tc>
          <w:tcPr>
            <w:tcW w:w="1238" w:type="dxa"/>
            <w:tcBorders>
              <w:top w:val="nil"/>
              <w:left w:val="nil"/>
              <w:bottom w:val="single" w:sz="4" w:space="0" w:color="auto"/>
              <w:right w:val="single" w:sz="4" w:space="0" w:color="auto"/>
            </w:tcBorders>
            <w:shd w:val="clear" w:color="000000" w:fill="FFFFFF"/>
            <w:noWrap/>
            <w:vAlign w:val="bottom"/>
          </w:tcPr>
          <w:p w14:paraId="28B6A2A2" w14:textId="73EF09B9"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857" w:type="dxa"/>
            <w:tcBorders>
              <w:top w:val="nil"/>
              <w:left w:val="nil"/>
              <w:bottom w:val="single" w:sz="4" w:space="0" w:color="auto"/>
              <w:right w:val="single" w:sz="4" w:space="0" w:color="auto"/>
            </w:tcBorders>
            <w:shd w:val="clear" w:color="000000" w:fill="FFFFFF"/>
            <w:noWrap/>
            <w:vAlign w:val="bottom"/>
          </w:tcPr>
          <w:p w14:paraId="0189DFDF" w14:textId="3455059A"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215E1846" w14:textId="3CC4C77A"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14.927 </w:t>
            </w:r>
          </w:p>
        </w:tc>
      </w:tr>
      <w:tr w:rsidR="00B31B58" w:rsidRPr="00E31F15" w14:paraId="33FA3C4B" w14:textId="77777777" w:rsidTr="002775B9">
        <w:trPr>
          <w:gridAfter w:val="1"/>
          <w:wAfter w:w="7" w:type="dxa"/>
          <w:trHeight w:val="25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78E44BF7"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Inversión en subsidiarias, asociadas y negocios conjuntos</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69433E3F" w14:textId="642567B0"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53B7F4B1" w14:textId="0A07B903"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5333032A" w14:textId="6551550B"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2.953.640 </w:t>
            </w:r>
          </w:p>
        </w:tc>
        <w:tc>
          <w:tcPr>
            <w:tcW w:w="1238" w:type="dxa"/>
            <w:tcBorders>
              <w:top w:val="nil"/>
              <w:left w:val="nil"/>
              <w:bottom w:val="single" w:sz="4" w:space="0" w:color="auto"/>
              <w:right w:val="single" w:sz="4" w:space="0" w:color="auto"/>
            </w:tcBorders>
            <w:shd w:val="clear" w:color="000000" w:fill="FFFFFF"/>
            <w:noWrap/>
            <w:vAlign w:val="bottom"/>
          </w:tcPr>
          <w:p w14:paraId="670D4C6E" w14:textId="7C388698"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13.876 </w:t>
            </w:r>
          </w:p>
        </w:tc>
        <w:tc>
          <w:tcPr>
            <w:tcW w:w="857" w:type="dxa"/>
            <w:tcBorders>
              <w:top w:val="nil"/>
              <w:left w:val="nil"/>
              <w:bottom w:val="single" w:sz="4" w:space="0" w:color="auto"/>
              <w:right w:val="single" w:sz="4" w:space="0" w:color="auto"/>
            </w:tcBorders>
            <w:shd w:val="clear" w:color="000000" w:fill="FFFFFF"/>
            <w:noWrap/>
            <w:vAlign w:val="bottom"/>
          </w:tcPr>
          <w:p w14:paraId="043A0091" w14:textId="1F90823C"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-2.912.278 </w:t>
            </w:r>
          </w:p>
        </w:tc>
        <w:tc>
          <w:tcPr>
            <w:tcW w:w="1343" w:type="dxa"/>
            <w:tcBorders>
              <w:top w:val="nil"/>
              <w:left w:val="nil"/>
              <w:bottom w:val="single" w:sz="4" w:space="0" w:color="auto"/>
              <w:right w:val="single" w:sz="4" w:space="0" w:color="auto"/>
            </w:tcBorders>
            <w:shd w:val="clear" w:color="000000" w:fill="FFFFFF"/>
            <w:noWrap/>
            <w:vAlign w:val="bottom"/>
          </w:tcPr>
          <w:p w14:paraId="40345DAB" w14:textId="05E10BF2"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55.238 </w:t>
            </w:r>
          </w:p>
        </w:tc>
      </w:tr>
      <w:tr w:rsidR="00B31B58" w:rsidRPr="00E31F15" w14:paraId="66C12D88" w14:textId="77777777" w:rsidTr="002775B9">
        <w:trPr>
          <w:gridAfter w:val="1"/>
          <w:wAfter w:w="7"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21E7D48D"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Propiedad, planta y equipo</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55D1EDC1" w14:textId="2593F5B8"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719AD85B" w14:textId="38464D2A"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5C6B13B1" w14:textId="7C0B1C5F"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3.151.005 </w:t>
            </w:r>
          </w:p>
        </w:tc>
        <w:tc>
          <w:tcPr>
            <w:tcW w:w="1238" w:type="dxa"/>
            <w:tcBorders>
              <w:top w:val="nil"/>
              <w:left w:val="nil"/>
              <w:bottom w:val="single" w:sz="4" w:space="0" w:color="auto"/>
              <w:right w:val="single" w:sz="4" w:space="0" w:color="auto"/>
            </w:tcBorders>
            <w:shd w:val="clear" w:color="000000" w:fill="FFFFFF"/>
            <w:noWrap/>
            <w:vAlign w:val="bottom"/>
          </w:tcPr>
          <w:p w14:paraId="12DF583A" w14:textId="514C59BA"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96.190 </w:t>
            </w:r>
          </w:p>
        </w:tc>
        <w:tc>
          <w:tcPr>
            <w:tcW w:w="857" w:type="dxa"/>
            <w:tcBorders>
              <w:top w:val="nil"/>
              <w:left w:val="nil"/>
              <w:bottom w:val="single" w:sz="4" w:space="0" w:color="auto"/>
              <w:right w:val="single" w:sz="4" w:space="0" w:color="auto"/>
            </w:tcBorders>
            <w:shd w:val="clear" w:color="000000" w:fill="FFFFFF"/>
            <w:noWrap/>
            <w:vAlign w:val="bottom"/>
          </w:tcPr>
          <w:p w14:paraId="1D486444" w14:textId="791B2017"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7D3B4B35" w14:textId="20AB054C"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3.247.195 </w:t>
            </w:r>
          </w:p>
        </w:tc>
      </w:tr>
      <w:tr w:rsidR="005F090B" w:rsidRPr="00E31F15" w14:paraId="4A3C3DA7" w14:textId="77777777" w:rsidTr="002775B9">
        <w:trPr>
          <w:gridAfter w:val="1"/>
          <w:wAfter w:w="13"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1BFCAF39"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Activos intangibles</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47DAD800" w14:textId="5BF700A9"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319D5DFB" w14:textId="2DE13B3F"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7D2B21D3" w14:textId="34AAB049"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907.989 </w:t>
            </w:r>
          </w:p>
        </w:tc>
        <w:tc>
          <w:tcPr>
            <w:tcW w:w="1238" w:type="dxa"/>
            <w:tcBorders>
              <w:top w:val="nil"/>
              <w:left w:val="nil"/>
              <w:bottom w:val="single" w:sz="4" w:space="0" w:color="auto"/>
              <w:right w:val="single" w:sz="4" w:space="0" w:color="auto"/>
            </w:tcBorders>
            <w:shd w:val="clear" w:color="000000" w:fill="FFFFFF"/>
            <w:noWrap/>
            <w:vAlign w:val="bottom"/>
          </w:tcPr>
          <w:p w14:paraId="7ABD8BF7" w14:textId="1339B68A"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133.651 </w:t>
            </w:r>
          </w:p>
        </w:tc>
        <w:tc>
          <w:tcPr>
            <w:tcW w:w="851" w:type="dxa"/>
            <w:tcBorders>
              <w:top w:val="nil"/>
              <w:left w:val="nil"/>
              <w:bottom w:val="single" w:sz="4" w:space="0" w:color="auto"/>
              <w:right w:val="single" w:sz="4" w:space="0" w:color="auto"/>
            </w:tcBorders>
            <w:shd w:val="clear" w:color="000000" w:fill="FFFFFF"/>
            <w:noWrap/>
            <w:vAlign w:val="bottom"/>
          </w:tcPr>
          <w:p w14:paraId="54AF8DB9" w14:textId="281C93B1"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6DDCC9F2" w14:textId="6B5AB2AF"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1.041.640 </w:t>
            </w:r>
          </w:p>
        </w:tc>
      </w:tr>
      <w:tr w:rsidR="005F090B" w:rsidRPr="00E31F15" w14:paraId="0FB3D2D1" w14:textId="77777777" w:rsidTr="002775B9">
        <w:trPr>
          <w:gridAfter w:val="1"/>
          <w:wAfter w:w="13" w:type="dxa"/>
          <w:trHeight w:val="218"/>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04160983"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Activos por impuesto a las ganancias diferido</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5C7791E6" w14:textId="1185C50F"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7224FDF1" w14:textId="53E59010"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026" w:type="dxa"/>
            <w:tcBorders>
              <w:top w:val="nil"/>
              <w:left w:val="nil"/>
              <w:bottom w:val="single" w:sz="4" w:space="0" w:color="auto"/>
              <w:right w:val="single" w:sz="4" w:space="0" w:color="auto"/>
            </w:tcBorders>
            <w:shd w:val="clear" w:color="000000" w:fill="FFFFFF"/>
            <w:noWrap/>
            <w:vAlign w:val="bottom"/>
          </w:tcPr>
          <w:p w14:paraId="102EFB24" w14:textId="28D497D2"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420.636 </w:t>
            </w:r>
          </w:p>
        </w:tc>
        <w:tc>
          <w:tcPr>
            <w:tcW w:w="1238" w:type="dxa"/>
            <w:tcBorders>
              <w:top w:val="nil"/>
              <w:left w:val="nil"/>
              <w:bottom w:val="single" w:sz="4" w:space="0" w:color="auto"/>
              <w:right w:val="single" w:sz="4" w:space="0" w:color="auto"/>
            </w:tcBorders>
            <w:shd w:val="clear" w:color="000000" w:fill="FFFFFF"/>
            <w:noWrap/>
            <w:vAlign w:val="bottom"/>
          </w:tcPr>
          <w:p w14:paraId="75655FD4" w14:textId="7ED11D3D"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650.465 </w:t>
            </w:r>
          </w:p>
        </w:tc>
        <w:tc>
          <w:tcPr>
            <w:tcW w:w="851" w:type="dxa"/>
            <w:tcBorders>
              <w:top w:val="nil"/>
              <w:left w:val="nil"/>
              <w:bottom w:val="single" w:sz="4" w:space="0" w:color="auto"/>
              <w:right w:val="single" w:sz="4" w:space="0" w:color="auto"/>
            </w:tcBorders>
            <w:shd w:val="clear" w:color="000000" w:fill="FFFFFF"/>
            <w:noWrap/>
            <w:vAlign w:val="bottom"/>
          </w:tcPr>
          <w:p w14:paraId="4D1A3A5B" w14:textId="375BB814"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023D9618" w14:textId="54B1A81D"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1.071.101 </w:t>
            </w:r>
          </w:p>
        </w:tc>
      </w:tr>
      <w:tr w:rsidR="005F090B" w:rsidRPr="00E31F15" w14:paraId="5BD77F7E" w14:textId="77777777" w:rsidTr="002775B9">
        <w:trPr>
          <w:gridAfter w:val="1"/>
          <w:wAfter w:w="13"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00AB42F8"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sz w:val="16"/>
                <w:szCs w:val="16"/>
              </w:rPr>
              <w:t>Otros activos no financieros</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4534E090" w14:textId="3E8B3A00"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937.760 </w:t>
            </w:r>
          </w:p>
        </w:tc>
        <w:tc>
          <w:tcPr>
            <w:tcW w:w="1328" w:type="dxa"/>
            <w:tcBorders>
              <w:top w:val="nil"/>
              <w:left w:val="nil"/>
              <w:bottom w:val="single" w:sz="4" w:space="0" w:color="auto"/>
              <w:right w:val="single" w:sz="4" w:space="0" w:color="auto"/>
            </w:tcBorders>
            <w:shd w:val="clear" w:color="000000" w:fill="FFFFFF"/>
            <w:noWrap/>
            <w:vAlign w:val="bottom"/>
          </w:tcPr>
          <w:p w14:paraId="1897BE32" w14:textId="7E3CE731"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889.636 </w:t>
            </w:r>
          </w:p>
        </w:tc>
        <w:tc>
          <w:tcPr>
            <w:tcW w:w="1026" w:type="dxa"/>
            <w:tcBorders>
              <w:top w:val="nil"/>
              <w:left w:val="nil"/>
              <w:bottom w:val="single" w:sz="4" w:space="0" w:color="auto"/>
              <w:right w:val="single" w:sz="4" w:space="0" w:color="auto"/>
            </w:tcBorders>
            <w:shd w:val="clear" w:color="000000" w:fill="FFFFFF"/>
            <w:noWrap/>
            <w:vAlign w:val="bottom"/>
          </w:tcPr>
          <w:p w14:paraId="106846DA" w14:textId="017E30CD"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1.799.483 </w:t>
            </w:r>
          </w:p>
        </w:tc>
        <w:tc>
          <w:tcPr>
            <w:tcW w:w="1238" w:type="dxa"/>
            <w:tcBorders>
              <w:top w:val="nil"/>
              <w:left w:val="nil"/>
              <w:bottom w:val="single" w:sz="4" w:space="0" w:color="auto"/>
              <w:right w:val="single" w:sz="4" w:space="0" w:color="auto"/>
            </w:tcBorders>
            <w:shd w:val="clear" w:color="000000" w:fill="FFFFFF"/>
            <w:noWrap/>
            <w:vAlign w:val="bottom"/>
          </w:tcPr>
          <w:p w14:paraId="0B72E600" w14:textId="6122CE76"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61.080 </w:t>
            </w:r>
          </w:p>
        </w:tc>
        <w:tc>
          <w:tcPr>
            <w:tcW w:w="851" w:type="dxa"/>
            <w:tcBorders>
              <w:top w:val="nil"/>
              <w:left w:val="nil"/>
              <w:bottom w:val="single" w:sz="4" w:space="0" w:color="auto"/>
              <w:right w:val="single" w:sz="4" w:space="0" w:color="auto"/>
            </w:tcBorders>
            <w:shd w:val="clear" w:color="000000" w:fill="FFFFFF"/>
            <w:noWrap/>
            <w:vAlign w:val="bottom"/>
          </w:tcPr>
          <w:p w14:paraId="51EE4871" w14:textId="0F57623B"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3D5E0AF7" w14:textId="26603CD0"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3.687.959 </w:t>
            </w:r>
          </w:p>
        </w:tc>
      </w:tr>
      <w:tr w:rsidR="00B31B58" w:rsidRPr="00E31F15" w14:paraId="2369C60F" w14:textId="77777777" w:rsidTr="002775B9">
        <w:trPr>
          <w:gridAfter w:val="1"/>
          <w:wAfter w:w="13" w:type="dxa"/>
          <w:trHeight w:val="191"/>
        </w:trPr>
        <w:tc>
          <w:tcPr>
            <w:tcW w:w="2819" w:type="dxa"/>
            <w:gridSpan w:val="2"/>
            <w:tcBorders>
              <w:top w:val="nil"/>
              <w:left w:val="single" w:sz="4" w:space="0" w:color="auto"/>
              <w:bottom w:val="single" w:sz="4" w:space="0" w:color="363639"/>
              <w:right w:val="single" w:sz="4" w:space="0" w:color="363639"/>
            </w:tcBorders>
            <w:shd w:val="clear" w:color="000000" w:fill="FFFFFF"/>
            <w:vAlign w:val="bottom"/>
          </w:tcPr>
          <w:p w14:paraId="719D8739" w14:textId="44F6C999" w:rsidR="00B31B58" w:rsidRPr="00436FB1" w:rsidRDefault="00B31B58" w:rsidP="00B31B58">
            <w:pPr>
              <w:ind w:left="-70" w:firstLine="70"/>
              <w:rPr>
                <w:rFonts w:ascii="Arial" w:hAnsi="Arial" w:cs="Arial"/>
                <w:sz w:val="16"/>
                <w:szCs w:val="16"/>
              </w:rPr>
            </w:pPr>
            <w:r w:rsidRPr="00436FB1">
              <w:rPr>
                <w:rFonts w:ascii="Arial" w:hAnsi="Arial" w:cs="Arial"/>
                <w:sz w:val="16"/>
                <w:szCs w:val="16"/>
              </w:rPr>
              <w:t>Activos no corrientes mantenidos para la venta</w:t>
            </w:r>
          </w:p>
        </w:tc>
        <w:tc>
          <w:tcPr>
            <w:tcW w:w="1688" w:type="dxa"/>
            <w:tcBorders>
              <w:top w:val="nil"/>
              <w:left w:val="single" w:sz="4" w:space="0" w:color="auto"/>
              <w:bottom w:val="single" w:sz="4" w:space="0" w:color="auto"/>
              <w:right w:val="single" w:sz="4" w:space="0" w:color="auto"/>
            </w:tcBorders>
            <w:shd w:val="clear" w:color="000000" w:fill="FFFFFF"/>
            <w:noWrap/>
            <w:vAlign w:val="bottom"/>
          </w:tcPr>
          <w:p w14:paraId="435997EF" w14:textId="5509C70F"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328" w:type="dxa"/>
            <w:tcBorders>
              <w:top w:val="nil"/>
              <w:left w:val="nil"/>
              <w:bottom w:val="single" w:sz="4" w:space="0" w:color="auto"/>
              <w:right w:val="single" w:sz="4" w:space="0" w:color="auto"/>
            </w:tcBorders>
            <w:shd w:val="clear" w:color="000000" w:fill="FFFFFF"/>
            <w:noWrap/>
            <w:vAlign w:val="bottom"/>
          </w:tcPr>
          <w:p w14:paraId="5F2679F9" w14:textId="73267FEF"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4.644 </w:t>
            </w:r>
          </w:p>
        </w:tc>
        <w:tc>
          <w:tcPr>
            <w:tcW w:w="1026" w:type="dxa"/>
            <w:tcBorders>
              <w:top w:val="nil"/>
              <w:left w:val="nil"/>
              <w:bottom w:val="single" w:sz="4" w:space="0" w:color="auto"/>
              <w:right w:val="single" w:sz="4" w:space="0" w:color="auto"/>
            </w:tcBorders>
            <w:shd w:val="clear" w:color="000000" w:fill="FFFFFF"/>
            <w:noWrap/>
            <w:vAlign w:val="bottom"/>
          </w:tcPr>
          <w:p w14:paraId="6222309A" w14:textId="2706ECD6"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1238" w:type="dxa"/>
            <w:tcBorders>
              <w:top w:val="nil"/>
              <w:left w:val="nil"/>
              <w:bottom w:val="single" w:sz="4" w:space="0" w:color="auto"/>
              <w:right w:val="single" w:sz="4" w:space="0" w:color="auto"/>
            </w:tcBorders>
            <w:shd w:val="clear" w:color="000000" w:fill="FFFFFF"/>
            <w:noWrap/>
            <w:vAlign w:val="bottom"/>
          </w:tcPr>
          <w:p w14:paraId="54AF7A68" w14:textId="4FB88EB4" w:rsidR="00B31B58" w:rsidRPr="00B31B58" w:rsidRDefault="00B31B58">
            <w:pPr>
              <w:ind w:left="-70" w:firstLine="70"/>
              <w:jc w:val="right"/>
              <w:rPr>
                <w:rFonts w:ascii="Arial" w:hAnsi="Arial" w:cs="Arial"/>
                <w:sz w:val="16"/>
                <w:szCs w:val="16"/>
              </w:rPr>
            </w:pPr>
            <w:r w:rsidRPr="00C74698">
              <w:rPr>
                <w:rFonts w:ascii="Arial" w:hAnsi="Arial" w:cs="Arial"/>
                <w:sz w:val="16"/>
                <w:szCs w:val="16"/>
              </w:rPr>
              <w:t xml:space="preserve"> -   </w:t>
            </w:r>
          </w:p>
        </w:tc>
        <w:tc>
          <w:tcPr>
            <w:tcW w:w="851" w:type="dxa"/>
            <w:tcBorders>
              <w:top w:val="nil"/>
              <w:left w:val="nil"/>
              <w:bottom w:val="single" w:sz="4" w:space="0" w:color="auto"/>
              <w:right w:val="single" w:sz="4" w:space="0" w:color="auto"/>
            </w:tcBorders>
            <w:shd w:val="clear" w:color="000000" w:fill="FFFFFF"/>
            <w:noWrap/>
            <w:vAlign w:val="bottom"/>
          </w:tcPr>
          <w:p w14:paraId="6AF7C849" w14:textId="76477BBC"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   </w:t>
            </w:r>
          </w:p>
        </w:tc>
        <w:tc>
          <w:tcPr>
            <w:tcW w:w="1343" w:type="dxa"/>
            <w:tcBorders>
              <w:top w:val="nil"/>
              <w:left w:val="nil"/>
              <w:bottom w:val="single" w:sz="4" w:space="0" w:color="auto"/>
              <w:right w:val="single" w:sz="4" w:space="0" w:color="auto"/>
            </w:tcBorders>
            <w:shd w:val="clear" w:color="000000" w:fill="FFFFFF"/>
            <w:noWrap/>
            <w:vAlign w:val="bottom"/>
          </w:tcPr>
          <w:p w14:paraId="3ECB96ED" w14:textId="2F62CE2A" w:rsidR="00B31B58" w:rsidRPr="00B31B58" w:rsidRDefault="00B31B58">
            <w:pPr>
              <w:ind w:left="-70" w:firstLine="70"/>
              <w:jc w:val="right"/>
              <w:rPr>
                <w:rFonts w:ascii="Arial" w:hAnsi="Arial" w:cs="Arial"/>
                <w:b/>
                <w:sz w:val="16"/>
                <w:szCs w:val="16"/>
              </w:rPr>
            </w:pPr>
            <w:r w:rsidRPr="00C74698">
              <w:rPr>
                <w:rFonts w:ascii="Arial" w:hAnsi="Arial" w:cs="Arial"/>
                <w:sz w:val="16"/>
                <w:szCs w:val="16"/>
              </w:rPr>
              <w:t xml:space="preserve"> 4.644 </w:t>
            </w:r>
          </w:p>
        </w:tc>
      </w:tr>
      <w:tr w:rsidR="00B31B58" w:rsidRPr="00E31F15" w14:paraId="7A32E9D9" w14:textId="77777777" w:rsidTr="002775B9">
        <w:trPr>
          <w:gridAfter w:val="1"/>
          <w:wAfter w:w="13" w:type="dxa"/>
          <w:trHeight w:val="191"/>
        </w:trPr>
        <w:tc>
          <w:tcPr>
            <w:tcW w:w="2819" w:type="dxa"/>
            <w:gridSpan w:val="2"/>
            <w:tcBorders>
              <w:top w:val="single" w:sz="4" w:space="0" w:color="auto"/>
              <w:left w:val="single" w:sz="4" w:space="0" w:color="auto"/>
              <w:bottom w:val="single" w:sz="4" w:space="0" w:color="auto"/>
              <w:right w:val="single" w:sz="4" w:space="0" w:color="363639"/>
            </w:tcBorders>
            <w:shd w:val="clear" w:color="000000" w:fill="FFFFFF"/>
            <w:vAlign w:val="bottom"/>
          </w:tcPr>
          <w:p w14:paraId="7542F5D6" w14:textId="77777777" w:rsidR="00B31B58" w:rsidRPr="00436FB1" w:rsidRDefault="00B31B58" w:rsidP="00B31B58">
            <w:pPr>
              <w:ind w:left="-70" w:firstLine="70"/>
              <w:rPr>
                <w:rFonts w:ascii="Arial" w:hAnsi="Arial" w:cs="Arial"/>
                <w:b/>
                <w:bCs/>
                <w:sz w:val="16"/>
                <w:szCs w:val="16"/>
                <w:lang w:eastAsia="es-AR"/>
              </w:rPr>
            </w:pPr>
            <w:r w:rsidRPr="00436FB1">
              <w:rPr>
                <w:rFonts w:ascii="Arial" w:hAnsi="Arial" w:cs="Arial"/>
                <w:b/>
                <w:sz w:val="16"/>
                <w:szCs w:val="16"/>
              </w:rPr>
              <w:t>TOTAL ACTIVO</w:t>
            </w:r>
          </w:p>
        </w:tc>
        <w:tc>
          <w:tcPr>
            <w:tcW w:w="168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DE169E" w14:textId="498B644F" w:rsidR="00B31B58" w:rsidRPr="005F090B" w:rsidRDefault="00A5409A">
            <w:pPr>
              <w:ind w:left="-70" w:firstLine="70"/>
              <w:jc w:val="right"/>
              <w:rPr>
                <w:rFonts w:ascii="Arial" w:hAnsi="Arial" w:cs="Arial"/>
                <w:b/>
                <w:sz w:val="16"/>
                <w:szCs w:val="16"/>
              </w:rPr>
            </w:pPr>
            <w:r w:rsidRPr="00A5409A">
              <w:rPr>
                <w:rFonts w:ascii="Arial" w:hAnsi="Arial" w:cs="Arial"/>
                <w:b/>
                <w:sz w:val="16"/>
                <w:szCs w:val="16"/>
              </w:rPr>
              <w:t>49.214.256</w:t>
            </w:r>
          </w:p>
        </w:tc>
        <w:tc>
          <w:tcPr>
            <w:tcW w:w="1328" w:type="dxa"/>
            <w:tcBorders>
              <w:top w:val="single" w:sz="4" w:space="0" w:color="auto"/>
              <w:left w:val="nil"/>
              <w:bottom w:val="single" w:sz="4" w:space="0" w:color="auto"/>
              <w:right w:val="single" w:sz="4" w:space="0" w:color="auto"/>
            </w:tcBorders>
            <w:shd w:val="clear" w:color="000000" w:fill="FFFFFF"/>
            <w:noWrap/>
            <w:vAlign w:val="bottom"/>
          </w:tcPr>
          <w:p w14:paraId="7716793F" w14:textId="681172FA" w:rsidR="00B31B58" w:rsidRPr="005F090B" w:rsidRDefault="00B31B58">
            <w:pPr>
              <w:ind w:left="-70" w:firstLine="70"/>
              <w:jc w:val="right"/>
              <w:rPr>
                <w:rFonts w:ascii="Arial" w:hAnsi="Arial" w:cs="Arial"/>
                <w:b/>
                <w:sz w:val="16"/>
                <w:szCs w:val="16"/>
              </w:rPr>
            </w:pPr>
            <w:r w:rsidRPr="00BA7A6B">
              <w:rPr>
                <w:rFonts w:ascii="Arial" w:hAnsi="Arial" w:cs="Arial"/>
                <w:b/>
                <w:sz w:val="16"/>
                <w:szCs w:val="16"/>
              </w:rPr>
              <w:t xml:space="preserve"> </w:t>
            </w:r>
            <w:r w:rsidR="00A5409A" w:rsidRPr="00A5409A">
              <w:rPr>
                <w:rFonts w:ascii="Arial" w:hAnsi="Arial" w:cs="Arial"/>
                <w:b/>
                <w:sz w:val="16"/>
                <w:szCs w:val="16"/>
              </w:rPr>
              <w:t xml:space="preserve"> 63.394.817</w:t>
            </w:r>
          </w:p>
        </w:tc>
        <w:tc>
          <w:tcPr>
            <w:tcW w:w="1026" w:type="dxa"/>
            <w:tcBorders>
              <w:top w:val="single" w:sz="4" w:space="0" w:color="auto"/>
              <w:left w:val="nil"/>
              <w:bottom w:val="single" w:sz="4" w:space="0" w:color="auto"/>
              <w:right w:val="single" w:sz="4" w:space="0" w:color="auto"/>
            </w:tcBorders>
            <w:shd w:val="clear" w:color="000000" w:fill="FFFFFF"/>
            <w:noWrap/>
            <w:vAlign w:val="bottom"/>
          </w:tcPr>
          <w:p w14:paraId="34365B86" w14:textId="0C4E2AE7" w:rsidR="00B31B58" w:rsidRPr="005F090B" w:rsidRDefault="00B31B58">
            <w:pPr>
              <w:ind w:left="-70" w:firstLine="70"/>
              <w:jc w:val="right"/>
              <w:rPr>
                <w:rFonts w:ascii="Arial" w:hAnsi="Arial" w:cs="Arial"/>
                <w:b/>
                <w:sz w:val="16"/>
                <w:szCs w:val="16"/>
              </w:rPr>
            </w:pPr>
            <w:r w:rsidRPr="00BA7A6B">
              <w:rPr>
                <w:rFonts w:ascii="Arial" w:hAnsi="Arial" w:cs="Arial"/>
                <w:b/>
                <w:sz w:val="16"/>
                <w:szCs w:val="16"/>
              </w:rPr>
              <w:t xml:space="preserve"> 120.178.879 </w:t>
            </w:r>
          </w:p>
        </w:tc>
        <w:tc>
          <w:tcPr>
            <w:tcW w:w="1238" w:type="dxa"/>
            <w:tcBorders>
              <w:top w:val="single" w:sz="4" w:space="0" w:color="auto"/>
              <w:left w:val="nil"/>
              <w:bottom w:val="single" w:sz="4" w:space="0" w:color="auto"/>
              <w:right w:val="single" w:sz="4" w:space="0" w:color="auto"/>
            </w:tcBorders>
            <w:shd w:val="clear" w:color="000000" w:fill="FFFFFF"/>
            <w:noWrap/>
            <w:vAlign w:val="bottom"/>
          </w:tcPr>
          <w:p w14:paraId="2462046A" w14:textId="41689BCC" w:rsidR="00B31B58" w:rsidRPr="005F090B" w:rsidRDefault="00A5409A">
            <w:pPr>
              <w:ind w:left="-70" w:firstLine="70"/>
              <w:jc w:val="right"/>
              <w:rPr>
                <w:rFonts w:ascii="Arial" w:hAnsi="Arial" w:cs="Arial"/>
                <w:b/>
                <w:sz w:val="16"/>
                <w:szCs w:val="16"/>
              </w:rPr>
            </w:pPr>
            <w:r w:rsidRPr="00A5409A">
              <w:rPr>
                <w:rFonts w:ascii="Arial" w:hAnsi="Arial" w:cs="Arial"/>
                <w:b/>
                <w:sz w:val="16"/>
                <w:szCs w:val="16"/>
              </w:rPr>
              <w:t>12.000.373</w:t>
            </w:r>
          </w:p>
        </w:tc>
        <w:tc>
          <w:tcPr>
            <w:tcW w:w="851" w:type="dxa"/>
            <w:tcBorders>
              <w:top w:val="single" w:sz="4" w:space="0" w:color="auto"/>
              <w:left w:val="nil"/>
              <w:bottom w:val="single" w:sz="4" w:space="0" w:color="auto"/>
              <w:right w:val="single" w:sz="4" w:space="0" w:color="auto"/>
            </w:tcBorders>
            <w:shd w:val="clear" w:color="000000" w:fill="FFFFFF"/>
            <w:noWrap/>
            <w:vAlign w:val="bottom"/>
          </w:tcPr>
          <w:p w14:paraId="5F501D17" w14:textId="35997C87" w:rsidR="00B31B58" w:rsidRPr="005F090B" w:rsidRDefault="00B31B58">
            <w:pPr>
              <w:ind w:left="-70" w:firstLine="70"/>
              <w:jc w:val="right"/>
              <w:rPr>
                <w:rFonts w:ascii="Arial" w:hAnsi="Arial" w:cs="Arial"/>
                <w:b/>
                <w:sz w:val="16"/>
                <w:szCs w:val="16"/>
              </w:rPr>
            </w:pPr>
            <w:r w:rsidRPr="00BA7A6B">
              <w:rPr>
                <w:rFonts w:ascii="Arial" w:hAnsi="Arial" w:cs="Arial"/>
                <w:b/>
                <w:sz w:val="16"/>
                <w:szCs w:val="16"/>
              </w:rPr>
              <w:t xml:space="preserve">-6.339.022 </w:t>
            </w:r>
          </w:p>
        </w:tc>
        <w:tc>
          <w:tcPr>
            <w:tcW w:w="1343" w:type="dxa"/>
            <w:tcBorders>
              <w:top w:val="single" w:sz="4" w:space="0" w:color="auto"/>
              <w:left w:val="nil"/>
              <w:bottom w:val="single" w:sz="4" w:space="0" w:color="auto"/>
              <w:right w:val="single" w:sz="4" w:space="0" w:color="auto"/>
            </w:tcBorders>
            <w:shd w:val="clear" w:color="000000" w:fill="FFFFFF"/>
            <w:noWrap/>
            <w:vAlign w:val="bottom"/>
          </w:tcPr>
          <w:p w14:paraId="1F78D93E" w14:textId="5C4B1F28" w:rsidR="00B31B58" w:rsidRPr="00B31B58" w:rsidRDefault="00B31B58">
            <w:pPr>
              <w:ind w:left="-70" w:firstLine="70"/>
              <w:jc w:val="right"/>
              <w:rPr>
                <w:rFonts w:ascii="Arial" w:hAnsi="Arial" w:cs="Arial"/>
                <w:b/>
                <w:sz w:val="16"/>
                <w:szCs w:val="16"/>
              </w:rPr>
            </w:pPr>
            <w:r w:rsidRPr="00BA7A6B">
              <w:rPr>
                <w:rFonts w:ascii="Arial" w:hAnsi="Arial" w:cs="Arial"/>
                <w:b/>
                <w:sz w:val="16"/>
                <w:szCs w:val="16"/>
              </w:rPr>
              <w:t xml:space="preserve"> 238.449.303 </w:t>
            </w:r>
          </w:p>
        </w:tc>
      </w:tr>
    </w:tbl>
    <w:p w14:paraId="0E42313B" w14:textId="77777777" w:rsidR="00E31F15" w:rsidRPr="00E31F15" w:rsidRDefault="00E31F15" w:rsidP="00E31F15">
      <w:pPr>
        <w:spacing w:after="160" w:line="259" w:lineRule="auto"/>
        <w:jc w:val="both"/>
        <w:rPr>
          <w:rFonts w:ascii="Arial" w:eastAsia="Calibri" w:hAnsi="Arial" w:cs="Arial"/>
          <w:bCs/>
          <w:sz w:val="20"/>
          <w:highlight w:val="yellow"/>
        </w:rPr>
      </w:pPr>
    </w:p>
    <w:tbl>
      <w:tblPr>
        <w:tblW w:w="10329" w:type="dxa"/>
        <w:tblInd w:w="-356" w:type="dxa"/>
        <w:tblCellMar>
          <w:left w:w="70" w:type="dxa"/>
          <w:right w:w="70" w:type="dxa"/>
        </w:tblCellMar>
        <w:tblLook w:val="04A0" w:firstRow="1" w:lastRow="0" w:firstColumn="1" w:lastColumn="0" w:noHBand="0" w:noVBand="1"/>
      </w:tblPr>
      <w:tblGrid>
        <w:gridCol w:w="3276"/>
        <w:gridCol w:w="1319"/>
        <w:gridCol w:w="1174"/>
        <w:gridCol w:w="1289"/>
        <w:gridCol w:w="1091"/>
        <w:gridCol w:w="954"/>
        <w:gridCol w:w="1226"/>
      </w:tblGrid>
      <w:tr w:rsidR="008D322F" w:rsidRPr="00855DF9" w14:paraId="5CDEE1C9" w14:textId="77777777" w:rsidTr="00BA7A6B">
        <w:trPr>
          <w:trHeight w:val="438"/>
          <w:tblHeader/>
        </w:trPr>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67609A" w14:textId="3AD01D0C" w:rsidR="008D322F" w:rsidRPr="00BA7A6B" w:rsidRDefault="008D322F" w:rsidP="008D322F">
            <w:pPr>
              <w:jc w:val="center"/>
              <w:rPr>
                <w:rFonts w:ascii="Arial" w:hAnsi="Arial" w:cs="Arial"/>
                <w:b/>
                <w:bCs/>
                <w:sz w:val="16"/>
                <w:szCs w:val="16"/>
                <w:lang w:eastAsia="es-AR"/>
              </w:rPr>
            </w:pPr>
            <w:r w:rsidRPr="00BA7A6B">
              <w:rPr>
                <w:rFonts w:ascii="Arial" w:hAnsi="Arial" w:cs="Arial"/>
                <w:b/>
                <w:bCs/>
                <w:sz w:val="16"/>
                <w:szCs w:val="16"/>
                <w:lang w:eastAsia="es-AR"/>
              </w:rPr>
              <w:t>PASIVO al 31/03/2019</w:t>
            </w:r>
          </w:p>
        </w:tc>
        <w:tc>
          <w:tcPr>
            <w:tcW w:w="1319" w:type="dxa"/>
            <w:tcBorders>
              <w:top w:val="single" w:sz="4" w:space="0" w:color="auto"/>
              <w:left w:val="nil"/>
              <w:bottom w:val="single" w:sz="4" w:space="0" w:color="auto"/>
              <w:right w:val="single" w:sz="4" w:space="0" w:color="auto"/>
            </w:tcBorders>
            <w:shd w:val="clear" w:color="auto" w:fill="auto"/>
            <w:hideMark/>
          </w:tcPr>
          <w:p w14:paraId="44F1C851" w14:textId="48F732BF" w:rsidR="008D322F" w:rsidRPr="00BA7A6B" w:rsidRDefault="008D322F" w:rsidP="008D322F">
            <w:pPr>
              <w:jc w:val="center"/>
              <w:rPr>
                <w:rFonts w:ascii="Arial" w:hAnsi="Arial" w:cs="Arial"/>
                <w:b/>
                <w:bCs/>
                <w:color w:val="000000"/>
                <w:sz w:val="16"/>
                <w:szCs w:val="16"/>
                <w:lang w:eastAsia="es-AR"/>
              </w:rPr>
            </w:pPr>
            <w:r w:rsidRPr="005F090B">
              <w:rPr>
                <w:rFonts w:ascii="Arial" w:hAnsi="Arial" w:cs="Arial"/>
                <w:b/>
                <w:bCs/>
                <w:color w:val="000000"/>
                <w:sz w:val="16"/>
                <w:szCs w:val="16"/>
                <w:lang w:eastAsia="es-AR"/>
              </w:rPr>
              <w:t xml:space="preserve">Banca Corporativa </w:t>
            </w:r>
          </w:p>
        </w:tc>
        <w:tc>
          <w:tcPr>
            <w:tcW w:w="1174" w:type="dxa"/>
            <w:tcBorders>
              <w:top w:val="single" w:sz="4" w:space="0" w:color="auto"/>
              <w:left w:val="nil"/>
              <w:bottom w:val="single" w:sz="4" w:space="0" w:color="auto"/>
              <w:right w:val="single" w:sz="4" w:space="0" w:color="auto"/>
            </w:tcBorders>
            <w:shd w:val="clear" w:color="auto" w:fill="auto"/>
            <w:hideMark/>
          </w:tcPr>
          <w:p w14:paraId="0A9E9323" w14:textId="4E62B4D5" w:rsidR="008D322F" w:rsidRPr="00BA7A6B" w:rsidRDefault="008D322F" w:rsidP="008D322F">
            <w:pPr>
              <w:jc w:val="center"/>
              <w:rPr>
                <w:rFonts w:ascii="Arial" w:hAnsi="Arial" w:cs="Arial"/>
                <w:b/>
                <w:bCs/>
                <w:color w:val="000000"/>
                <w:sz w:val="16"/>
                <w:szCs w:val="16"/>
                <w:lang w:eastAsia="es-AR"/>
              </w:rPr>
            </w:pPr>
            <w:r w:rsidRPr="005F090B">
              <w:rPr>
                <w:rFonts w:ascii="Arial" w:hAnsi="Arial" w:cs="Arial"/>
                <w:b/>
                <w:bCs/>
                <w:color w:val="000000"/>
                <w:sz w:val="16"/>
                <w:szCs w:val="16"/>
                <w:lang w:eastAsia="es-AR"/>
              </w:rPr>
              <w:t>Banca Personas y Negocios</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007F52AD"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Tesorería </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2F9369BA"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Consumo </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454BC4DC"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Ajustes </w:t>
            </w:r>
          </w:p>
        </w:tc>
        <w:tc>
          <w:tcPr>
            <w:tcW w:w="1226" w:type="dxa"/>
            <w:tcBorders>
              <w:top w:val="single" w:sz="4" w:space="0" w:color="auto"/>
              <w:left w:val="nil"/>
              <w:bottom w:val="single" w:sz="4" w:space="0" w:color="auto"/>
              <w:right w:val="single" w:sz="4" w:space="0" w:color="auto"/>
            </w:tcBorders>
            <w:shd w:val="clear" w:color="auto" w:fill="auto"/>
            <w:noWrap/>
            <w:vAlign w:val="center"/>
            <w:hideMark/>
          </w:tcPr>
          <w:p w14:paraId="06CC0B6C" w14:textId="77777777" w:rsidR="008D322F" w:rsidRPr="00BA7A6B" w:rsidRDefault="008D322F" w:rsidP="008D322F">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TOTAL </w:t>
            </w:r>
          </w:p>
        </w:tc>
      </w:tr>
      <w:tr w:rsidR="00B31B58" w:rsidRPr="00855DF9" w14:paraId="1017B380" w14:textId="77777777" w:rsidTr="00BA7A6B">
        <w:trPr>
          <w:trHeight w:val="21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6D88B4A8" w14:textId="77777777" w:rsidR="00B31B58" w:rsidRPr="00855DF9" w:rsidRDefault="00B31B58" w:rsidP="00B31B58">
            <w:pPr>
              <w:rPr>
                <w:rFonts w:ascii="Arial" w:hAnsi="Arial" w:cs="Arial"/>
                <w:b/>
                <w:bCs/>
                <w:sz w:val="16"/>
                <w:szCs w:val="16"/>
                <w:lang w:eastAsia="es-AR"/>
              </w:rPr>
            </w:pPr>
            <w:r w:rsidRPr="00855DF9">
              <w:rPr>
                <w:rFonts w:ascii="Arial" w:hAnsi="Arial" w:cs="Arial"/>
                <w:sz w:val="16"/>
                <w:szCs w:val="16"/>
              </w:rPr>
              <w:t>Depósitos</w:t>
            </w:r>
          </w:p>
        </w:tc>
        <w:tc>
          <w:tcPr>
            <w:tcW w:w="1319" w:type="dxa"/>
            <w:tcBorders>
              <w:top w:val="nil"/>
              <w:left w:val="nil"/>
              <w:bottom w:val="single" w:sz="4" w:space="0" w:color="auto"/>
              <w:right w:val="single" w:sz="4" w:space="0" w:color="auto"/>
            </w:tcBorders>
            <w:shd w:val="clear" w:color="auto" w:fill="auto"/>
            <w:noWrap/>
            <w:vAlign w:val="bottom"/>
          </w:tcPr>
          <w:p w14:paraId="30878CAA" w14:textId="07BB7072" w:rsidR="00B31B58" w:rsidRPr="00855DF9" w:rsidRDefault="00306643">
            <w:pPr>
              <w:jc w:val="right"/>
              <w:rPr>
                <w:rFonts w:ascii="Arial" w:hAnsi="Arial" w:cs="Arial"/>
                <w:b/>
                <w:sz w:val="16"/>
                <w:szCs w:val="16"/>
              </w:rPr>
            </w:pPr>
            <w:r w:rsidRPr="00306643">
              <w:rPr>
                <w:rFonts w:ascii="Arial" w:hAnsi="Arial" w:cs="Arial"/>
                <w:sz w:val="16"/>
                <w:szCs w:val="16"/>
              </w:rPr>
              <w:t>-10.772.561</w:t>
            </w:r>
          </w:p>
        </w:tc>
        <w:tc>
          <w:tcPr>
            <w:tcW w:w="1174" w:type="dxa"/>
            <w:tcBorders>
              <w:top w:val="nil"/>
              <w:left w:val="nil"/>
              <w:bottom w:val="single" w:sz="4" w:space="0" w:color="auto"/>
              <w:right w:val="single" w:sz="4" w:space="0" w:color="auto"/>
            </w:tcBorders>
            <w:shd w:val="clear" w:color="auto" w:fill="auto"/>
            <w:noWrap/>
            <w:vAlign w:val="bottom"/>
          </w:tcPr>
          <w:p w14:paraId="5B2C2482" w14:textId="1DAD1EE1" w:rsidR="00B31B58" w:rsidRPr="00855DF9" w:rsidRDefault="00306643">
            <w:pPr>
              <w:jc w:val="right"/>
              <w:rPr>
                <w:rFonts w:ascii="Arial" w:hAnsi="Arial" w:cs="Arial"/>
                <w:b/>
                <w:sz w:val="16"/>
                <w:szCs w:val="16"/>
              </w:rPr>
            </w:pPr>
            <w:r w:rsidRPr="00306643">
              <w:rPr>
                <w:rFonts w:ascii="Arial" w:hAnsi="Arial" w:cs="Arial"/>
                <w:sz w:val="16"/>
                <w:szCs w:val="16"/>
              </w:rPr>
              <w:t>-87.743.220</w:t>
            </w:r>
          </w:p>
        </w:tc>
        <w:tc>
          <w:tcPr>
            <w:tcW w:w="1289" w:type="dxa"/>
            <w:tcBorders>
              <w:top w:val="nil"/>
              <w:left w:val="nil"/>
              <w:bottom w:val="single" w:sz="4" w:space="0" w:color="auto"/>
              <w:right w:val="single" w:sz="4" w:space="0" w:color="auto"/>
            </w:tcBorders>
            <w:shd w:val="clear" w:color="auto" w:fill="auto"/>
            <w:noWrap/>
            <w:vAlign w:val="bottom"/>
          </w:tcPr>
          <w:p w14:paraId="47816565" w14:textId="1D62ECBF" w:rsidR="00B31B58" w:rsidRPr="00855DF9" w:rsidRDefault="00306643">
            <w:pPr>
              <w:jc w:val="right"/>
              <w:rPr>
                <w:rFonts w:ascii="Arial" w:hAnsi="Arial" w:cs="Arial"/>
                <w:b/>
                <w:sz w:val="16"/>
                <w:szCs w:val="16"/>
              </w:rPr>
            </w:pPr>
            <w:r w:rsidRPr="00306643">
              <w:rPr>
                <w:rFonts w:ascii="Arial" w:hAnsi="Arial" w:cs="Arial"/>
                <w:sz w:val="16"/>
                <w:szCs w:val="16"/>
              </w:rPr>
              <w:t>-63.764.872</w:t>
            </w:r>
          </w:p>
        </w:tc>
        <w:tc>
          <w:tcPr>
            <w:tcW w:w="1091" w:type="dxa"/>
            <w:tcBorders>
              <w:top w:val="nil"/>
              <w:left w:val="nil"/>
              <w:bottom w:val="single" w:sz="4" w:space="0" w:color="auto"/>
              <w:right w:val="single" w:sz="4" w:space="0" w:color="auto"/>
            </w:tcBorders>
            <w:shd w:val="clear" w:color="auto" w:fill="auto"/>
            <w:noWrap/>
            <w:vAlign w:val="bottom"/>
          </w:tcPr>
          <w:p w14:paraId="4A1BA92F" w14:textId="15AD1BD5" w:rsidR="00B31B58" w:rsidRPr="00855DF9" w:rsidRDefault="00B31B58">
            <w:pPr>
              <w:jc w:val="right"/>
              <w:rPr>
                <w:rFonts w:ascii="Arial" w:hAnsi="Arial" w:cs="Arial"/>
                <w:b/>
                <w:sz w:val="16"/>
                <w:szCs w:val="16"/>
              </w:rPr>
            </w:pPr>
            <w:r w:rsidRPr="00BA7A6B">
              <w:rPr>
                <w:rFonts w:ascii="Arial" w:hAnsi="Arial" w:cs="Arial"/>
                <w:sz w:val="16"/>
                <w:szCs w:val="16"/>
              </w:rPr>
              <w:t xml:space="preserve"> </w:t>
            </w:r>
            <w:r w:rsidR="00306643" w:rsidRPr="00306643">
              <w:rPr>
                <w:rFonts w:ascii="Arial" w:hAnsi="Arial" w:cs="Arial"/>
                <w:sz w:val="16"/>
                <w:szCs w:val="16"/>
              </w:rPr>
              <w:t xml:space="preserve"> -3.137.652</w:t>
            </w:r>
          </w:p>
        </w:tc>
        <w:tc>
          <w:tcPr>
            <w:tcW w:w="954" w:type="dxa"/>
            <w:tcBorders>
              <w:top w:val="nil"/>
              <w:left w:val="nil"/>
              <w:bottom w:val="single" w:sz="4" w:space="0" w:color="auto"/>
              <w:right w:val="single" w:sz="4" w:space="0" w:color="auto"/>
            </w:tcBorders>
            <w:shd w:val="clear" w:color="auto" w:fill="auto"/>
            <w:noWrap/>
            <w:vAlign w:val="bottom"/>
          </w:tcPr>
          <w:p w14:paraId="22365395" w14:textId="3F63799B" w:rsidR="00B31B58" w:rsidRPr="00855DF9" w:rsidRDefault="00B31B58">
            <w:pPr>
              <w:jc w:val="right"/>
              <w:rPr>
                <w:rFonts w:ascii="Arial" w:hAnsi="Arial" w:cs="Arial"/>
                <w:sz w:val="16"/>
                <w:szCs w:val="16"/>
              </w:rPr>
            </w:pPr>
            <w:r w:rsidRPr="00855DF9">
              <w:rPr>
                <w:rFonts w:ascii="Arial" w:hAnsi="Arial" w:cs="Arial"/>
                <w:sz w:val="16"/>
                <w:szCs w:val="16"/>
              </w:rPr>
              <w:t>118.064</w:t>
            </w:r>
          </w:p>
        </w:tc>
        <w:tc>
          <w:tcPr>
            <w:tcW w:w="1226" w:type="dxa"/>
            <w:tcBorders>
              <w:top w:val="nil"/>
              <w:left w:val="nil"/>
              <w:bottom w:val="single" w:sz="4" w:space="0" w:color="auto"/>
              <w:right w:val="single" w:sz="4" w:space="0" w:color="auto"/>
            </w:tcBorders>
            <w:shd w:val="clear" w:color="auto" w:fill="auto"/>
            <w:noWrap/>
            <w:vAlign w:val="bottom"/>
          </w:tcPr>
          <w:p w14:paraId="19313700" w14:textId="7DC513D1" w:rsidR="00B31B58" w:rsidRPr="00855DF9" w:rsidRDefault="00B31B58">
            <w:pPr>
              <w:jc w:val="right"/>
              <w:rPr>
                <w:rFonts w:ascii="Arial" w:hAnsi="Arial" w:cs="Arial"/>
                <w:b/>
                <w:sz w:val="16"/>
                <w:szCs w:val="16"/>
              </w:rPr>
            </w:pPr>
            <w:r w:rsidRPr="00855DF9">
              <w:rPr>
                <w:rFonts w:ascii="Arial" w:hAnsi="Arial" w:cs="Arial"/>
                <w:b/>
                <w:sz w:val="16"/>
                <w:szCs w:val="16"/>
              </w:rPr>
              <w:t>-165.300.241</w:t>
            </w:r>
          </w:p>
        </w:tc>
      </w:tr>
      <w:tr w:rsidR="00B31B58" w:rsidRPr="00855DF9" w14:paraId="5A530BE7" w14:textId="77777777" w:rsidTr="00BA7A6B">
        <w:trPr>
          <w:trHeight w:val="294"/>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784DE753" w14:textId="77777777" w:rsidR="00B31B58" w:rsidRPr="00855DF9" w:rsidRDefault="00B31B58" w:rsidP="00B31B58">
            <w:pPr>
              <w:rPr>
                <w:rFonts w:ascii="Arial" w:hAnsi="Arial" w:cs="Arial"/>
                <w:color w:val="000000"/>
                <w:sz w:val="16"/>
                <w:szCs w:val="16"/>
                <w:lang w:eastAsia="es-AR"/>
              </w:rPr>
            </w:pPr>
            <w:r w:rsidRPr="00855DF9">
              <w:rPr>
                <w:rFonts w:ascii="Arial" w:hAnsi="Arial" w:cs="Arial"/>
                <w:sz w:val="16"/>
                <w:szCs w:val="16"/>
              </w:rPr>
              <w:t xml:space="preserve">   Sector público no financiero</w:t>
            </w:r>
          </w:p>
        </w:tc>
        <w:tc>
          <w:tcPr>
            <w:tcW w:w="1319" w:type="dxa"/>
            <w:tcBorders>
              <w:top w:val="nil"/>
              <w:left w:val="nil"/>
              <w:bottom w:val="single" w:sz="4" w:space="0" w:color="auto"/>
              <w:right w:val="single" w:sz="4" w:space="0" w:color="auto"/>
            </w:tcBorders>
            <w:shd w:val="clear" w:color="auto" w:fill="auto"/>
            <w:noWrap/>
            <w:vAlign w:val="bottom"/>
          </w:tcPr>
          <w:p w14:paraId="5FB05356" w14:textId="219C374D" w:rsidR="00B31B58" w:rsidRPr="00855DF9" w:rsidRDefault="00B31B58">
            <w:pPr>
              <w:jc w:val="right"/>
              <w:rPr>
                <w:rFonts w:ascii="Arial" w:hAnsi="Arial" w:cs="Arial"/>
                <w:b/>
                <w:sz w:val="16"/>
                <w:szCs w:val="16"/>
              </w:rPr>
            </w:pPr>
            <w:r w:rsidRPr="00BA7A6B">
              <w:rPr>
                <w:rFonts w:ascii="Arial" w:hAnsi="Arial" w:cs="Arial"/>
                <w:sz w:val="16"/>
                <w:szCs w:val="16"/>
              </w:rPr>
              <w:t xml:space="preserve"> -8.26</w:t>
            </w:r>
            <w:r w:rsidR="00457C5D">
              <w:rPr>
                <w:rFonts w:ascii="Arial" w:hAnsi="Arial" w:cs="Arial"/>
                <w:sz w:val="16"/>
                <w:szCs w:val="16"/>
              </w:rPr>
              <w:t>1</w:t>
            </w:r>
            <w:r w:rsidRPr="00BA7A6B">
              <w:rPr>
                <w:rFonts w:ascii="Arial" w:hAnsi="Arial" w:cs="Arial"/>
                <w:sz w:val="16"/>
                <w:szCs w:val="16"/>
              </w:rPr>
              <w:t xml:space="preserve"> </w:t>
            </w:r>
          </w:p>
        </w:tc>
        <w:tc>
          <w:tcPr>
            <w:tcW w:w="1174" w:type="dxa"/>
            <w:tcBorders>
              <w:top w:val="nil"/>
              <w:left w:val="nil"/>
              <w:bottom w:val="single" w:sz="4" w:space="0" w:color="auto"/>
              <w:right w:val="single" w:sz="4" w:space="0" w:color="auto"/>
            </w:tcBorders>
            <w:shd w:val="clear" w:color="auto" w:fill="auto"/>
            <w:noWrap/>
            <w:vAlign w:val="bottom"/>
          </w:tcPr>
          <w:p w14:paraId="0A79F192" w14:textId="01024F75" w:rsidR="00B31B58" w:rsidRPr="00855DF9" w:rsidRDefault="00B31B58">
            <w:pPr>
              <w:jc w:val="right"/>
              <w:rPr>
                <w:rFonts w:ascii="Arial" w:hAnsi="Arial" w:cs="Arial"/>
                <w:b/>
                <w:sz w:val="16"/>
                <w:szCs w:val="16"/>
              </w:rPr>
            </w:pPr>
            <w:r w:rsidRPr="00BA7A6B">
              <w:rPr>
                <w:rFonts w:ascii="Arial" w:hAnsi="Arial" w:cs="Arial"/>
                <w:sz w:val="16"/>
                <w:szCs w:val="16"/>
              </w:rPr>
              <w:t xml:space="preserve"> -1.803.82</w:t>
            </w:r>
            <w:r w:rsidR="00457C5D">
              <w:rPr>
                <w:rFonts w:ascii="Arial" w:hAnsi="Arial" w:cs="Arial"/>
                <w:sz w:val="16"/>
                <w:szCs w:val="16"/>
              </w:rPr>
              <w:t>5</w:t>
            </w:r>
            <w:r w:rsidRPr="00BA7A6B">
              <w:rPr>
                <w:rFonts w:ascii="Arial" w:hAnsi="Arial" w:cs="Arial"/>
                <w:sz w:val="16"/>
                <w:szCs w:val="16"/>
              </w:rPr>
              <w:t xml:space="preserve"> </w:t>
            </w:r>
          </w:p>
        </w:tc>
        <w:tc>
          <w:tcPr>
            <w:tcW w:w="1289" w:type="dxa"/>
            <w:tcBorders>
              <w:top w:val="nil"/>
              <w:left w:val="nil"/>
              <w:bottom w:val="single" w:sz="4" w:space="0" w:color="auto"/>
              <w:right w:val="single" w:sz="4" w:space="0" w:color="auto"/>
            </w:tcBorders>
            <w:shd w:val="clear" w:color="auto" w:fill="auto"/>
            <w:noWrap/>
            <w:vAlign w:val="bottom"/>
          </w:tcPr>
          <w:p w14:paraId="03353407" w14:textId="50AEDDBF" w:rsidR="00B31B58" w:rsidRPr="00855DF9" w:rsidRDefault="00B31B58">
            <w:pPr>
              <w:jc w:val="right"/>
              <w:rPr>
                <w:rFonts w:ascii="Arial" w:hAnsi="Arial" w:cs="Arial"/>
                <w:b/>
                <w:sz w:val="16"/>
                <w:szCs w:val="16"/>
              </w:rPr>
            </w:pPr>
            <w:r w:rsidRPr="00BA7A6B">
              <w:rPr>
                <w:rFonts w:ascii="Arial" w:hAnsi="Arial" w:cs="Arial"/>
                <w:sz w:val="16"/>
                <w:szCs w:val="16"/>
              </w:rPr>
              <w:t xml:space="preserve"> -14.811.41</w:t>
            </w:r>
            <w:r w:rsidR="00457C5D">
              <w:rPr>
                <w:rFonts w:ascii="Arial" w:hAnsi="Arial" w:cs="Arial"/>
                <w:sz w:val="16"/>
                <w:szCs w:val="16"/>
              </w:rPr>
              <w:t>5</w:t>
            </w:r>
            <w:r w:rsidRPr="00BA7A6B">
              <w:rPr>
                <w:rFonts w:ascii="Arial" w:hAnsi="Arial" w:cs="Arial"/>
                <w:sz w:val="16"/>
                <w:szCs w:val="16"/>
              </w:rPr>
              <w:t xml:space="preserve"> </w:t>
            </w:r>
          </w:p>
        </w:tc>
        <w:tc>
          <w:tcPr>
            <w:tcW w:w="1091" w:type="dxa"/>
            <w:tcBorders>
              <w:top w:val="nil"/>
              <w:left w:val="nil"/>
              <w:bottom w:val="single" w:sz="4" w:space="0" w:color="auto"/>
              <w:right w:val="single" w:sz="4" w:space="0" w:color="auto"/>
            </w:tcBorders>
            <w:shd w:val="clear" w:color="auto" w:fill="auto"/>
            <w:noWrap/>
            <w:vAlign w:val="bottom"/>
          </w:tcPr>
          <w:p w14:paraId="2B1996AF" w14:textId="163D4E78" w:rsidR="00B31B58" w:rsidRPr="00855DF9" w:rsidRDefault="00B31B58">
            <w:pPr>
              <w:jc w:val="right"/>
              <w:rPr>
                <w:rFonts w:ascii="Arial" w:hAnsi="Arial" w:cs="Arial"/>
                <w:b/>
                <w:sz w:val="16"/>
                <w:szCs w:val="16"/>
              </w:rPr>
            </w:pPr>
            <w:r w:rsidRPr="00BA7A6B">
              <w:rPr>
                <w:rFonts w:ascii="Arial" w:hAnsi="Arial" w:cs="Arial"/>
                <w:sz w:val="16"/>
                <w:szCs w:val="16"/>
              </w:rPr>
              <w:t xml:space="preserve"> -   </w:t>
            </w:r>
          </w:p>
        </w:tc>
        <w:tc>
          <w:tcPr>
            <w:tcW w:w="954" w:type="dxa"/>
            <w:tcBorders>
              <w:top w:val="nil"/>
              <w:left w:val="nil"/>
              <w:bottom w:val="single" w:sz="4" w:space="0" w:color="auto"/>
              <w:right w:val="single" w:sz="4" w:space="0" w:color="auto"/>
            </w:tcBorders>
            <w:shd w:val="clear" w:color="auto" w:fill="auto"/>
            <w:noWrap/>
            <w:vAlign w:val="bottom"/>
          </w:tcPr>
          <w:p w14:paraId="0FB67C84" w14:textId="77777777" w:rsidR="00B31B58" w:rsidRPr="00855DF9" w:rsidRDefault="00B31B58">
            <w:pPr>
              <w:jc w:val="right"/>
              <w:rPr>
                <w:rFonts w:ascii="Arial" w:hAnsi="Arial" w:cs="Arial"/>
                <w:sz w:val="16"/>
                <w:szCs w:val="16"/>
              </w:rPr>
            </w:pPr>
            <w:r w:rsidRPr="00855DF9">
              <w:rPr>
                <w:rFonts w:ascii="Arial" w:hAnsi="Arial" w:cs="Arial"/>
                <w:sz w:val="16"/>
                <w:szCs w:val="16"/>
              </w:rPr>
              <w:t xml:space="preserve"> -   </w:t>
            </w:r>
          </w:p>
        </w:tc>
        <w:tc>
          <w:tcPr>
            <w:tcW w:w="1226" w:type="dxa"/>
            <w:tcBorders>
              <w:top w:val="nil"/>
              <w:left w:val="nil"/>
              <w:bottom w:val="single" w:sz="4" w:space="0" w:color="auto"/>
              <w:right w:val="single" w:sz="4" w:space="0" w:color="auto"/>
            </w:tcBorders>
            <w:shd w:val="clear" w:color="auto" w:fill="auto"/>
            <w:noWrap/>
            <w:vAlign w:val="bottom"/>
          </w:tcPr>
          <w:p w14:paraId="66D37C43" w14:textId="3D248286" w:rsidR="00B31B58" w:rsidRPr="00855DF9" w:rsidRDefault="00B31B58">
            <w:pPr>
              <w:jc w:val="right"/>
              <w:rPr>
                <w:rFonts w:ascii="Arial" w:hAnsi="Arial" w:cs="Arial"/>
                <w:b/>
                <w:sz w:val="16"/>
                <w:szCs w:val="16"/>
              </w:rPr>
            </w:pPr>
            <w:r w:rsidRPr="00855DF9">
              <w:rPr>
                <w:rFonts w:ascii="Arial" w:hAnsi="Arial" w:cs="Arial"/>
                <w:b/>
                <w:sz w:val="16"/>
                <w:szCs w:val="16"/>
              </w:rPr>
              <w:t>-16.623.501</w:t>
            </w:r>
          </w:p>
        </w:tc>
      </w:tr>
      <w:tr w:rsidR="00B31B58" w:rsidRPr="00855DF9" w14:paraId="0C61512A" w14:textId="77777777" w:rsidTr="00BA7A6B">
        <w:trPr>
          <w:trHeight w:val="68"/>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3EFC7688" w14:textId="77777777" w:rsidR="00B31B58" w:rsidRPr="00855DF9" w:rsidRDefault="00B31B58" w:rsidP="00B31B58">
            <w:pPr>
              <w:rPr>
                <w:rFonts w:ascii="Arial" w:hAnsi="Arial" w:cs="Arial"/>
                <w:color w:val="000000"/>
                <w:sz w:val="16"/>
                <w:szCs w:val="16"/>
                <w:lang w:eastAsia="es-AR"/>
              </w:rPr>
            </w:pPr>
            <w:r w:rsidRPr="00855DF9">
              <w:rPr>
                <w:rFonts w:ascii="Arial" w:hAnsi="Arial" w:cs="Arial"/>
                <w:sz w:val="16"/>
                <w:szCs w:val="16"/>
              </w:rPr>
              <w:t xml:space="preserve">   Sector financiero</w:t>
            </w:r>
          </w:p>
        </w:tc>
        <w:tc>
          <w:tcPr>
            <w:tcW w:w="1319" w:type="dxa"/>
            <w:tcBorders>
              <w:top w:val="nil"/>
              <w:left w:val="nil"/>
              <w:bottom w:val="single" w:sz="4" w:space="0" w:color="auto"/>
              <w:right w:val="single" w:sz="4" w:space="0" w:color="auto"/>
            </w:tcBorders>
            <w:shd w:val="clear" w:color="auto" w:fill="auto"/>
            <w:noWrap/>
            <w:vAlign w:val="bottom"/>
          </w:tcPr>
          <w:p w14:paraId="765C2289" w14:textId="48F80B97" w:rsidR="00B31B58" w:rsidRPr="00855DF9" w:rsidRDefault="00B31B58">
            <w:pPr>
              <w:jc w:val="right"/>
              <w:rPr>
                <w:rFonts w:ascii="Arial" w:hAnsi="Arial" w:cs="Arial"/>
                <w:b/>
                <w:sz w:val="16"/>
                <w:szCs w:val="16"/>
              </w:rPr>
            </w:pPr>
            <w:r w:rsidRPr="00BA7A6B">
              <w:rPr>
                <w:rFonts w:ascii="Arial" w:hAnsi="Arial" w:cs="Arial"/>
                <w:sz w:val="16"/>
                <w:szCs w:val="16"/>
              </w:rPr>
              <w:t xml:space="preserve"> -133.352 </w:t>
            </w:r>
          </w:p>
        </w:tc>
        <w:tc>
          <w:tcPr>
            <w:tcW w:w="1174" w:type="dxa"/>
            <w:tcBorders>
              <w:top w:val="nil"/>
              <w:left w:val="nil"/>
              <w:bottom w:val="single" w:sz="4" w:space="0" w:color="auto"/>
              <w:right w:val="single" w:sz="4" w:space="0" w:color="auto"/>
            </w:tcBorders>
            <w:shd w:val="clear" w:color="auto" w:fill="auto"/>
            <w:noWrap/>
            <w:vAlign w:val="bottom"/>
          </w:tcPr>
          <w:p w14:paraId="47A5C786" w14:textId="6EE169F5" w:rsidR="00B31B58" w:rsidRPr="00855DF9" w:rsidRDefault="00B31B58">
            <w:pPr>
              <w:jc w:val="right"/>
              <w:rPr>
                <w:rFonts w:ascii="Arial" w:hAnsi="Arial" w:cs="Arial"/>
                <w:b/>
                <w:sz w:val="16"/>
                <w:szCs w:val="16"/>
              </w:rPr>
            </w:pPr>
            <w:r w:rsidRPr="00BA7A6B">
              <w:rPr>
                <w:rFonts w:ascii="Arial" w:hAnsi="Arial" w:cs="Arial"/>
                <w:sz w:val="16"/>
                <w:szCs w:val="16"/>
              </w:rPr>
              <w:t xml:space="preserve"> -34 </w:t>
            </w:r>
          </w:p>
        </w:tc>
        <w:tc>
          <w:tcPr>
            <w:tcW w:w="1289" w:type="dxa"/>
            <w:tcBorders>
              <w:top w:val="nil"/>
              <w:left w:val="nil"/>
              <w:bottom w:val="single" w:sz="4" w:space="0" w:color="auto"/>
              <w:right w:val="single" w:sz="4" w:space="0" w:color="auto"/>
            </w:tcBorders>
            <w:shd w:val="clear" w:color="auto" w:fill="auto"/>
            <w:noWrap/>
            <w:vAlign w:val="bottom"/>
          </w:tcPr>
          <w:p w14:paraId="3DE42CEE" w14:textId="58AACE7E" w:rsidR="00B31B58" w:rsidRPr="00855DF9" w:rsidRDefault="00B31B58">
            <w:pPr>
              <w:jc w:val="right"/>
              <w:rPr>
                <w:rFonts w:ascii="Arial" w:hAnsi="Arial" w:cs="Arial"/>
                <w:b/>
                <w:sz w:val="16"/>
                <w:szCs w:val="16"/>
              </w:rPr>
            </w:pPr>
            <w:r w:rsidRPr="00BA7A6B">
              <w:rPr>
                <w:rFonts w:ascii="Arial" w:hAnsi="Arial" w:cs="Arial"/>
                <w:sz w:val="16"/>
                <w:szCs w:val="16"/>
              </w:rPr>
              <w:t xml:space="preserve"> -67 </w:t>
            </w:r>
          </w:p>
        </w:tc>
        <w:tc>
          <w:tcPr>
            <w:tcW w:w="1091" w:type="dxa"/>
            <w:tcBorders>
              <w:top w:val="nil"/>
              <w:left w:val="nil"/>
              <w:bottom w:val="single" w:sz="4" w:space="0" w:color="auto"/>
              <w:right w:val="single" w:sz="4" w:space="0" w:color="auto"/>
            </w:tcBorders>
            <w:shd w:val="clear" w:color="auto" w:fill="auto"/>
            <w:noWrap/>
            <w:vAlign w:val="bottom"/>
          </w:tcPr>
          <w:p w14:paraId="759C8AB6" w14:textId="2BC0A698" w:rsidR="00B31B58" w:rsidRPr="00855DF9" w:rsidRDefault="00B31B58">
            <w:pPr>
              <w:jc w:val="right"/>
              <w:rPr>
                <w:rFonts w:ascii="Arial" w:hAnsi="Arial" w:cs="Arial"/>
                <w:b/>
                <w:sz w:val="16"/>
                <w:szCs w:val="16"/>
              </w:rPr>
            </w:pPr>
            <w:r w:rsidRPr="00BA7A6B">
              <w:rPr>
                <w:rFonts w:ascii="Arial" w:hAnsi="Arial" w:cs="Arial"/>
                <w:sz w:val="16"/>
                <w:szCs w:val="16"/>
              </w:rPr>
              <w:t xml:space="preserve"> -   </w:t>
            </w:r>
          </w:p>
        </w:tc>
        <w:tc>
          <w:tcPr>
            <w:tcW w:w="954" w:type="dxa"/>
            <w:tcBorders>
              <w:top w:val="nil"/>
              <w:left w:val="nil"/>
              <w:bottom w:val="single" w:sz="4" w:space="0" w:color="auto"/>
              <w:right w:val="single" w:sz="4" w:space="0" w:color="auto"/>
            </w:tcBorders>
            <w:shd w:val="clear" w:color="auto" w:fill="auto"/>
            <w:noWrap/>
            <w:vAlign w:val="bottom"/>
          </w:tcPr>
          <w:p w14:paraId="118269AC" w14:textId="663D0B18" w:rsidR="00B31B58" w:rsidRPr="00855DF9" w:rsidRDefault="00B31B58">
            <w:pPr>
              <w:jc w:val="right"/>
              <w:rPr>
                <w:rFonts w:ascii="Arial" w:hAnsi="Arial" w:cs="Arial"/>
                <w:sz w:val="16"/>
                <w:szCs w:val="16"/>
              </w:rPr>
            </w:pPr>
            <w:r w:rsidRPr="00855DF9">
              <w:rPr>
                <w:rFonts w:ascii="Arial" w:hAnsi="Arial" w:cs="Arial"/>
                <w:sz w:val="16"/>
                <w:szCs w:val="16"/>
              </w:rPr>
              <w:t xml:space="preserve">103.243  </w:t>
            </w:r>
          </w:p>
        </w:tc>
        <w:tc>
          <w:tcPr>
            <w:tcW w:w="1226" w:type="dxa"/>
            <w:tcBorders>
              <w:top w:val="nil"/>
              <w:left w:val="nil"/>
              <w:bottom w:val="single" w:sz="4" w:space="0" w:color="auto"/>
              <w:right w:val="single" w:sz="4" w:space="0" w:color="auto"/>
            </w:tcBorders>
            <w:shd w:val="clear" w:color="auto" w:fill="auto"/>
            <w:noWrap/>
            <w:vAlign w:val="bottom"/>
          </w:tcPr>
          <w:p w14:paraId="531CA135" w14:textId="401EBF4D" w:rsidR="00B31B58" w:rsidRPr="00855DF9" w:rsidRDefault="00B31B58">
            <w:pPr>
              <w:jc w:val="right"/>
              <w:rPr>
                <w:rFonts w:ascii="Arial" w:hAnsi="Arial" w:cs="Arial"/>
                <w:b/>
                <w:sz w:val="16"/>
                <w:szCs w:val="16"/>
              </w:rPr>
            </w:pPr>
            <w:r w:rsidRPr="00855DF9">
              <w:rPr>
                <w:rFonts w:ascii="Arial" w:hAnsi="Arial" w:cs="Arial"/>
                <w:b/>
                <w:sz w:val="16"/>
                <w:szCs w:val="16"/>
              </w:rPr>
              <w:t>-30.210</w:t>
            </w:r>
          </w:p>
        </w:tc>
      </w:tr>
      <w:tr w:rsidR="00B31B58" w:rsidRPr="00855DF9" w14:paraId="484DF90E" w14:textId="77777777" w:rsidTr="00BA7A6B">
        <w:trPr>
          <w:trHeight w:val="215"/>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0C7362BF" w14:textId="15A13481" w:rsidR="00B31B58" w:rsidRPr="00855DF9" w:rsidRDefault="00B31B58" w:rsidP="00B31B58">
            <w:pPr>
              <w:ind w:left="72" w:hanging="72"/>
              <w:rPr>
                <w:rFonts w:ascii="Arial" w:hAnsi="Arial" w:cs="Arial"/>
                <w:color w:val="000000"/>
                <w:sz w:val="16"/>
                <w:szCs w:val="16"/>
                <w:lang w:eastAsia="es-AR"/>
              </w:rPr>
            </w:pPr>
            <w:r w:rsidRPr="00855DF9">
              <w:rPr>
                <w:rFonts w:ascii="Arial" w:hAnsi="Arial" w:cs="Arial"/>
                <w:sz w:val="16"/>
                <w:szCs w:val="16"/>
              </w:rPr>
              <w:t xml:space="preserve">   Sector privado no financiero y residentes en el exterior</w:t>
            </w:r>
          </w:p>
        </w:tc>
        <w:tc>
          <w:tcPr>
            <w:tcW w:w="1319" w:type="dxa"/>
            <w:tcBorders>
              <w:top w:val="nil"/>
              <w:left w:val="nil"/>
              <w:bottom w:val="single" w:sz="4" w:space="0" w:color="auto"/>
              <w:right w:val="single" w:sz="4" w:space="0" w:color="auto"/>
            </w:tcBorders>
            <w:shd w:val="clear" w:color="auto" w:fill="auto"/>
            <w:noWrap/>
            <w:vAlign w:val="bottom"/>
          </w:tcPr>
          <w:p w14:paraId="419FEC7D" w14:textId="2DB93C73" w:rsidR="00B31B58" w:rsidRPr="00855DF9" w:rsidRDefault="00306643">
            <w:pPr>
              <w:jc w:val="right"/>
              <w:rPr>
                <w:rFonts w:ascii="Arial" w:hAnsi="Arial" w:cs="Arial"/>
                <w:b/>
                <w:sz w:val="16"/>
                <w:szCs w:val="16"/>
              </w:rPr>
            </w:pPr>
            <w:r w:rsidRPr="00306643">
              <w:rPr>
                <w:rFonts w:ascii="Arial" w:hAnsi="Arial" w:cs="Arial"/>
                <w:sz w:val="16"/>
                <w:szCs w:val="16"/>
              </w:rPr>
              <w:t>-10.630.948</w:t>
            </w:r>
          </w:p>
        </w:tc>
        <w:tc>
          <w:tcPr>
            <w:tcW w:w="1174" w:type="dxa"/>
            <w:tcBorders>
              <w:top w:val="nil"/>
              <w:left w:val="nil"/>
              <w:bottom w:val="single" w:sz="4" w:space="0" w:color="auto"/>
              <w:right w:val="single" w:sz="4" w:space="0" w:color="auto"/>
            </w:tcBorders>
            <w:shd w:val="clear" w:color="auto" w:fill="auto"/>
            <w:noWrap/>
            <w:vAlign w:val="bottom"/>
          </w:tcPr>
          <w:p w14:paraId="2F404C9B" w14:textId="62349903" w:rsidR="00B31B58" w:rsidRPr="00855DF9" w:rsidRDefault="00306643">
            <w:pPr>
              <w:jc w:val="right"/>
              <w:rPr>
                <w:rFonts w:ascii="Arial" w:hAnsi="Arial" w:cs="Arial"/>
                <w:b/>
                <w:sz w:val="16"/>
                <w:szCs w:val="16"/>
              </w:rPr>
            </w:pPr>
            <w:r w:rsidRPr="00306643">
              <w:rPr>
                <w:rFonts w:ascii="Arial" w:hAnsi="Arial" w:cs="Arial"/>
                <w:sz w:val="16"/>
                <w:szCs w:val="16"/>
              </w:rPr>
              <w:t>-85.939.361</w:t>
            </w:r>
          </w:p>
        </w:tc>
        <w:tc>
          <w:tcPr>
            <w:tcW w:w="1289" w:type="dxa"/>
            <w:tcBorders>
              <w:top w:val="nil"/>
              <w:left w:val="nil"/>
              <w:bottom w:val="single" w:sz="4" w:space="0" w:color="auto"/>
              <w:right w:val="single" w:sz="4" w:space="0" w:color="auto"/>
            </w:tcBorders>
            <w:shd w:val="clear" w:color="auto" w:fill="auto"/>
            <w:noWrap/>
            <w:vAlign w:val="bottom"/>
          </w:tcPr>
          <w:p w14:paraId="50C79DF0" w14:textId="23147E78" w:rsidR="00B31B58" w:rsidRPr="00855DF9" w:rsidRDefault="00306643">
            <w:pPr>
              <w:jc w:val="right"/>
              <w:rPr>
                <w:rFonts w:ascii="Arial" w:hAnsi="Arial" w:cs="Arial"/>
                <w:b/>
                <w:sz w:val="16"/>
                <w:szCs w:val="16"/>
              </w:rPr>
            </w:pPr>
            <w:r w:rsidRPr="00306643">
              <w:rPr>
                <w:rFonts w:ascii="Arial" w:hAnsi="Arial" w:cs="Arial"/>
                <w:sz w:val="16"/>
                <w:szCs w:val="16"/>
              </w:rPr>
              <w:t>-48.953.390</w:t>
            </w:r>
          </w:p>
        </w:tc>
        <w:tc>
          <w:tcPr>
            <w:tcW w:w="1091" w:type="dxa"/>
            <w:tcBorders>
              <w:top w:val="nil"/>
              <w:left w:val="nil"/>
              <w:bottom w:val="single" w:sz="4" w:space="0" w:color="auto"/>
              <w:right w:val="single" w:sz="4" w:space="0" w:color="auto"/>
            </w:tcBorders>
            <w:shd w:val="clear" w:color="auto" w:fill="auto"/>
            <w:noWrap/>
            <w:vAlign w:val="bottom"/>
          </w:tcPr>
          <w:p w14:paraId="1502F2E8" w14:textId="4D2CEA31" w:rsidR="00B31B58" w:rsidRPr="00855DF9" w:rsidRDefault="00B31B58">
            <w:pPr>
              <w:jc w:val="right"/>
              <w:rPr>
                <w:rFonts w:ascii="Arial" w:hAnsi="Arial" w:cs="Arial"/>
                <w:b/>
                <w:sz w:val="16"/>
                <w:szCs w:val="16"/>
              </w:rPr>
            </w:pPr>
            <w:r w:rsidRPr="00BA7A6B">
              <w:rPr>
                <w:rFonts w:ascii="Arial" w:hAnsi="Arial" w:cs="Arial"/>
                <w:sz w:val="16"/>
                <w:szCs w:val="16"/>
              </w:rPr>
              <w:t xml:space="preserve"> -3.137.652 </w:t>
            </w:r>
          </w:p>
        </w:tc>
        <w:tc>
          <w:tcPr>
            <w:tcW w:w="954" w:type="dxa"/>
            <w:tcBorders>
              <w:top w:val="nil"/>
              <w:left w:val="nil"/>
              <w:bottom w:val="single" w:sz="4" w:space="0" w:color="auto"/>
              <w:right w:val="single" w:sz="4" w:space="0" w:color="auto"/>
            </w:tcBorders>
            <w:shd w:val="clear" w:color="auto" w:fill="auto"/>
            <w:noWrap/>
            <w:vAlign w:val="bottom"/>
          </w:tcPr>
          <w:p w14:paraId="2D2D6548" w14:textId="0274B3F1" w:rsidR="00B31B58" w:rsidRPr="00855DF9" w:rsidRDefault="00B31B58">
            <w:pPr>
              <w:jc w:val="right"/>
              <w:rPr>
                <w:rFonts w:ascii="Arial" w:hAnsi="Arial" w:cs="Arial"/>
                <w:sz w:val="16"/>
                <w:szCs w:val="16"/>
              </w:rPr>
            </w:pPr>
            <w:r w:rsidRPr="00855DF9">
              <w:rPr>
                <w:rFonts w:ascii="Arial" w:hAnsi="Arial" w:cs="Arial"/>
                <w:sz w:val="16"/>
                <w:szCs w:val="16"/>
              </w:rPr>
              <w:t xml:space="preserve">14.821    </w:t>
            </w:r>
          </w:p>
        </w:tc>
        <w:tc>
          <w:tcPr>
            <w:tcW w:w="1226" w:type="dxa"/>
            <w:tcBorders>
              <w:top w:val="nil"/>
              <w:left w:val="nil"/>
              <w:bottom w:val="single" w:sz="4" w:space="0" w:color="auto"/>
              <w:right w:val="single" w:sz="4" w:space="0" w:color="auto"/>
            </w:tcBorders>
            <w:shd w:val="clear" w:color="auto" w:fill="auto"/>
            <w:noWrap/>
            <w:vAlign w:val="bottom"/>
          </w:tcPr>
          <w:p w14:paraId="41933B12" w14:textId="5FD7ACB1" w:rsidR="00B31B58" w:rsidRPr="00855DF9" w:rsidRDefault="00B31B58">
            <w:pPr>
              <w:jc w:val="right"/>
              <w:rPr>
                <w:rFonts w:ascii="Arial" w:hAnsi="Arial" w:cs="Arial"/>
                <w:b/>
                <w:sz w:val="16"/>
                <w:szCs w:val="16"/>
              </w:rPr>
            </w:pPr>
            <w:r w:rsidRPr="00855DF9">
              <w:rPr>
                <w:rFonts w:ascii="Arial" w:hAnsi="Arial" w:cs="Arial"/>
                <w:b/>
                <w:sz w:val="16"/>
                <w:szCs w:val="16"/>
              </w:rPr>
              <w:t>-148.646.530</w:t>
            </w:r>
          </w:p>
        </w:tc>
      </w:tr>
      <w:tr w:rsidR="0020673A" w:rsidRPr="00855DF9" w14:paraId="32E662F1"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72586DEB"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Pasivos a valor razonable con cambios en resultados</w:t>
            </w:r>
          </w:p>
        </w:tc>
        <w:tc>
          <w:tcPr>
            <w:tcW w:w="1319" w:type="dxa"/>
            <w:tcBorders>
              <w:top w:val="nil"/>
              <w:left w:val="nil"/>
              <w:bottom w:val="single" w:sz="4" w:space="0" w:color="auto"/>
              <w:right w:val="single" w:sz="4" w:space="0" w:color="auto"/>
            </w:tcBorders>
            <w:shd w:val="clear" w:color="auto" w:fill="auto"/>
            <w:noWrap/>
            <w:vAlign w:val="bottom"/>
          </w:tcPr>
          <w:p w14:paraId="457DB66C" w14:textId="4F213D28"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   </w:t>
            </w:r>
          </w:p>
        </w:tc>
        <w:tc>
          <w:tcPr>
            <w:tcW w:w="1174" w:type="dxa"/>
            <w:tcBorders>
              <w:top w:val="nil"/>
              <w:left w:val="nil"/>
              <w:bottom w:val="single" w:sz="4" w:space="0" w:color="auto"/>
              <w:right w:val="single" w:sz="4" w:space="0" w:color="auto"/>
            </w:tcBorders>
            <w:shd w:val="clear" w:color="auto" w:fill="auto"/>
            <w:noWrap/>
            <w:vAlign w:val="bottom"/>
          </w:tcPr>
          <w:p w14:paraId="02CC365D" w14:textId="4933FBD3"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   </w:t>
            </w:r>
          </w:p>
        </w:tc>
        <w:tc>
          <w:tcPr>
            <w:tcW w:w="1289" w:type="dxa"/>
            <w:tcBorders>
              <w:top w:val="nil"/>
              <w:left w:val="nil"/>
              <w:bottom w:val="single" w:sz="4" w:space="0" w:color="auto"/>
              <w:right w:val="single" w:sz="4" w:space="0" w:color="auto"/>
            </w:tcBorders>
            <w:shd w:val="clear" w:color="auto" w:fill="auto"/>
            <w:noWrap/>
            <w:vAlign w:val="bottom"/>
          </w:tcPr>
          <w:p w14:paraId="6F4E3B30" w14:textId="6A50B4C0"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-1.681.981 </w:t>
            </w:r>
          </w:p>
        </w:tc>
        <w:tc>
          <w:tcPr>
            <w:tcW w:w="1091" w:type="dxa"/>
            <w:tcBorders>
              <w:top w:val="nil"/>
              <w:left w:val="nil"/>
              <w:bottom w:val="single" w:sz="4" w:space="0" w:color="auto"/>
              <w:right w:val="single" w:sz="4" w:space="0" w:color="auto"/>
            </w:tcBorders>
            <w:shd w:val="clear" w:color="auto" w:fill="auto"/>
            <w:noWrap/>
            <w:vAlign w:val="bottom"/>
          </w:tcPr>
          <w:p w14:paraId="2741A37E" w14:textId="3533278E"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-346.435 </w:t>
            </w:r>
          </w:p>
        </w:tc>
        <w:tc>
          <w:tcPr>
            <w:tcW w:w="954" w:type="dxa"/>
            <w:tcBorders>
              <w:top w:val="nil"/>
              <w:left w:val="nil"/>
              <w:bottom w:val="single" w:sz="4" w:space="0" w:color="auto"/>
              <w:right w:val="single" w:sz="4" w:space="0" w:color="auto"/>
            </w:tcBorders>
            <w:shd w:val="clear" w:color="auto" w:fill="auto"/>
            <w:noWrap/>
            <w:vAlign w:val="bottom"/>
          </w:tcPr>
          <w:p w14:paraId="1C29D757" w14:textId="3775EFF9" w:rsidR="0020673A" w:rsidRPr="00855DF9" w:rsidRDefault="0020673A" w:rsidP="0020673A">
            <w:pPr>
              <w:jc w:val="right"/>
              <w:rPr>
                <w:rFonts w:ascii="Arial" w:hAnsi="Arial" w:cs="Arial"/>
                <w:b/>
                <w:sz w:val="16"/>
                <w:szCs w:val="16"/>
              </w:rPr>
            </w:pPr>
            <w:r w:rsidRPr="00855DF9">
              <w:rPr>
                <w:rFonts w:ascii="Arial" w:hAnsi="Arial" w:cs="Arial"/>
                <w:b/>
                <w:sz w:val="16"/>
                <w:szCs w:val="16"/>
              </w:rPr>
              <w:t xml:space="preserve">- </w:t>
            </w:r>
          </w:p>
        </w:tc>
        <w:tc>
          <w:tcPr>
            <w:tcW w:w="1226" w:type="dxa"/>
            <w:tcBorders>
              <w:top w:val="nil"/>
              <w:left w:val="nil"/>
              <w:bottom w:val="single" w:sz="4" w:space="0" w:color="auto"/>
              <w:right w:val="single" w:sz="4" w:space="0" w:color="auto"/>
            </w:tcBorders>
            <w:shd w:val="clear" w:color="auto" w:fill="auto"/>
            <w:noWrap/>
            <w:vAlign w:val="bottom"/>
          </w:tcPr>
          <w:p w14:paraId="0C36F1C9" w14:textId="75F5A6BA" w:rsidR="0020673A" w:rsidRPr="0020673A" w:rsidRDefault="0020673A">
            <w:pPr>
              <w:jc w:val="right"/>
              <w:rPr>
                <w:rFonts w:ascii="Arial" w:hAnsi="Arial" w:cs="Arial"/>
                <w:b/>
                <w:sz w:val="16"/>
                <w:szCs w:val="16"/>
              </w:rPr>
            </w:pPr>
            <w:r w:rsidRPr="002E1AF6">
              <w:rPr>
                <w:rFonts w:ascii="Arial" w:hAnsi="Arial" w:cs="Arial"/>
                <w:b/>
                <w:sz w:val="16"/>
                <w:szCs w:val="16"/>
              </w:rPr>
              <w:t>-2.028.416</w:t>
            </w:r>
          </w:p>
        </w:tc>
      </w:tr>
      <w:tr w:rsidR="0020673A" w:rsidRPr="00855DF9" w14:paraId="5399F4BC"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4B6E96DC"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Operaciones de pase</w:t>
            </w:r>
          </w:p>
        </w:tc>
        <w:tc>
          <w:tcPr>
            <w:tcW w:w="1319" w:type="dxa"/>
            <w:tcBorders>
              <w:top w:val="nil"/>
              <w:left w:val="nil"/>
              <w:bottom w:val="single" w:sz="4" w:space="0" w:color="auto"/>
              <w:right w:val="single" w:sz="4" w:space="0" w:color="auto"/>
            </w:tcBorders>
            <w:shd w:val="clear" w:color="auto" w:fill="auto"/>
            <w:noWrap/>
            <w:vAlign w:val="bottom"/>
          </w:tcPr>
          <w:p w14:paraId="6C9E518F" w14:textId="293864F4"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   </w:t>
            </w:r>
          </w:p>
        </w:tc>
        <w:tc>
          <w:tcPr>
            <w:tcW w:w="1174" w:type="dxa"/>
            <w:tcBorders>
              <w:top w:val="nil"/>
              <w:left w:val="nil"/>
              <w:bottom w:val="single" w:sz="4" w:space="0" w:color="auto"/>
              <w:right w:val="single" w:sz="4" w:space="0" w:color="auto"/>
            </w:tcBorders>
            <w:shd w:val="clear" w:color="auto" w:fill="auto"/>
            <w:noWrap/>
            <w:vAlign w:val="bottom"/>
          </w:tcPr>
          <w:p w14:paraId="10ABBA69" w14:textId="7385A6E0"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   </w:t>
            </w:r>
          </w:p>
        </w:tc>
        <w:tc>
          <w:tcPr>
            <w:tcW w:w="1289" w:type="dxa"/>
            <w:tcBorders>
              <w:top w:val="nil"/>
              <w:left w:val="nil"/>
              <w:bottom w:val="single" w:sz="4" w:space="0" w:color="auto"/>
              <w:right w:val="single" w:sz="4" w:space="0" w:color="auto"/>
            </w:tcBorders>
            <w:shd w:val="clear" w:color="auto" w:fill="auto"/>
            <w:noWrap/>
            <w:vAlign w:val="bottom"/>
          </w:tcPr>
          <w:p w14:paraId="271B1182" w14:textId="695FCF17"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-2.221.256 </w:t>
            </w:r>
          </w:p>
        </w:tc>
        <w:tc>
          <w:tcPr>
            <w:tcW w:w="1091" w:type="dxa"/>
            <w:tcBorders>
              <w:top w:val="nil"/>
              <w:left w:val="nil"/>
              <w:bottom w:val="single" w:sz="4" w:space="0" w:color="auto"/>
              <w:right w:val="single" w:sz="4" w:space="0" w:color="auto"/>
            </w:tcBorders>
            <w:shd w:val="clear" w:color="auto" w:fill="auto"/>
            <w:noWrap/>
            <w:vAlign w:val="bottom"/>
          </w:tcPr>
          <w:p w14:paraId="547B6704" w14:textId="1B989EF7"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   </w:t>
            </w:r>
          </w:p>
        </w:tc>
        <w:tc>
          <w:tcPr>
            <w:tcW w:w="954" w:type="dxa"/>
            <w:tcBorders>
              <w:top w:val="nil"/>
              <w:left w:val="nil"/>
              <w:bottom w:val="single" w:sz="4" w:space="0" w:color="auto"/>
              <w:right w:val="single" w:sz="4" w:space="0" w:color="auto"/>
            </w:tcBorders>
            <w:shd w:val="clear" w:color="auto" w:fill="auto"/>
            <w:noWrap/>
            <w:vAlign w:val="bottom"/>
          </w:tcPr>
          <w:p w14:paraId="1D2BE689" w14:textId="52A38EF9" w:rsidR="0020673A" w:rsidRPr="00855DF9" w:rsidRDefault="0020673A" w:rsidP="0020673A">
            <w:pPr>
              <w:jc w:val="right"/>
              <w:rPr>
                <w:rFonts w:ascii="Arial" w:hAnsi="Arial" w:cs="Arial"/>
                <w:b/>
                <w:sz w:val="16"/>
                <w:szCs w:val="16"/>
              </w:rPr>
            </w:pPr>
            <w:r w:rsidRPr="00855DF9">
              <w:rPr>
                <w:rFonts w:ascii="Arial" w:hAnsi="Arial" w:cs="Arial"/>
                <w:b/>
                <w:sz w:val="16"/>
                <w:szCs w:val="16"/>
              </w:rPr>
              <w:t xml:space="preserve"> - </w:t>
            </w:r>
          </w:p>
        </w:tc>
        <w:tc>
          <w:tcPr>
            <w:tcW w:w="1226" w:type="dxa"/>
            <w:tcBorders>
              <w:top w:val="nil"/>
              <w:left w:val="nil"/>
              <w:bottom w:val="single" w:sz="4" w:space="0" w:color="auto"/>
              <w:right w:val="single" w:sz="4" w:space="0" w:color="auto"/>
            </w:tcBorders>
            <w:shd w:val="clear" w:color="auto" w:fill="auto"/>
            <w:noWrap/>
            <w:vAlign w:val="bottom"/>
          </w:tcPr>
          <w:p w14:paraId="3837E6B1" w14:textId="6C0A28AD" w:rsidR="0020673A" w:rsidRPr="0020673A" w:rsidRDefault="0020673A">
            <w:pPr>
              <w:jc w:val="right"/>
              <w:rPr>
                <w:rFonts w:ascii="Arial" w:hAnsi="Arial" w:cs="Arial"/>
                <w:b/>
                <w:sz w:val="16"/>
                <w:szCs w:val="16"/>
              </w:rPr>
            </w:pPr>
            <w:r w:rsidRPr="002E1AF6">
              <w:rPr>
                <w:rFonts w:ascii="Arial" w:hAnsi="Arial" w:cs="Arial"/>
                <w:b/>
                <w:sz w:val="16"/>
                <w:szCs w:val="16"/>
              </w:rPr>
              <w:t>-2.221.256</w:t>
            </w:r>
          </w:p>
        </w:tc>
      </w:tr>
      <w:tr w:rsidR="0020673A" w:rsidRPr="00855DF9" w14:paraId="693AE746"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544EA15E"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Otros pasivos financieros</w:t>
            </w:r>
          </w:p>
        </w:tc>
        <w:tc>
          <w:tcPr>
            <w:tcW w:w="1319" w:type="dxa"/>
            <w:tcBorders>
              <w:top w:val="nil"/>
              <w:left w:val="nil"/>
              <w:bottom w:val="single" w:sz="4" w:space="0" w:color="auto"/>
              <w:right w:val="single" w:sz="4" w:space="0" w:color="auto"/>
            </w:tcBorders>
            <w:shd w:val="clear" w:color="auto" w:fill="auto"/>
            <w:noWrap/>
            <w:vAlign w:val="bottom"/>
          </w:tcPr>
          <w:p w14:paraId="67918184" w14:textId="1D19728F" w:rsidR="0020673A" w:rsidRPr="00855DF9" w:rsidRDefault="00306643" w:rsidP="0020673A">
            <w:pPr>
              <w:jc w:val="right"/>
              <w:rPr>
                <w:rFonts w:ascii="Arial" w:hAnsi="Arial" w:cs="Arial"/>
                <w:b/>
                <w:sz w:val="16"/>
                <w:szCs w:val="16"/>
              </w:rPr>
            </w:pPr>
            <w:r w:rsidRPr="00306643">
              <w:rPr>
                <w:rFonts w:ascii="Arial" w:hAnsi="Arial" w:cs="Arial"/>
                <w:sz w:val="16"/>
                <w:szCs w:val="16"/>
              </w:rPr>
              <w:t>-1.785.187</w:t>
            </w:r>
          </w:p>
        </w:tc>
        <w:tc>
          <w:tcPr>
            <w:tcW w:w="1174" w:type="dxa"/>
            <w:tcBorders>
              <w:top w:val="nil"/>
              <w:left w:val="nil"/>
              <w:bottom w:val="single" w:sz="4" w:space="0" w:color="auto"/>
              <w:right w:val="single" w:sz="4" w:space="0" w:color="auto"/>
            </w:tcBorders>
            <w:shd w:val="clear" w:color="auto" w:fill="auto"/>
            <w:noWrap/>
            <w:vAlign w:val="bottom"/>
          </w:tcPr>
          <w:p w14:paraId="54229425" w14:textId="39784B42"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w:t>
            </w:r>
            <w:r w:rsidR="00306643" w:rsidRPr="00306643">
              <w:rPr>
                <w:rFonts w:ascii="Arial" w:hAnsi="Arial" w:cs="Arial"/>
                <w:sz w:val="16"/>
                <w:szCs w:val="16"/>
              </w:rPr>
              <w:t xml:space="preserve"> -4.504.592</w:t>
            </w:r>
          </w:p>
        </w:tc>
        <w:tc>
          <w:tcPr>
            <w:tcW w:w="1289" w:type="dxa"/>
            <w:tcBorders>
              <w:top w:val="nil"/>
              <w:left w:val="nil"/>
              <w:bottom w:val="single" w:sz="4" w:space="0" w:color="auto"/>
              <w:right w:val="single" w:sz="4" w:space="0" w:color="auto"/>
            </w:tcBorders>
            <w:shd w:val="clear" w:color="auto" w:fill="auto"/>
            <w:noWrap/>
            <w:vAlign w:val="bottom"/>
          </w:tcPr>
          <w:p w14:paraId="4D9A3E8F" w14:textId="5D50A9A4" w:rsidR="0020673A" w:rsidRPr="00855DF9" w:rsidRDefault="00306643" w:rsidP="0020673A">
            <w:pPr>
              <w:jc w:val="right"/>
              <w:rPr>
                <w:rFonts w:ascii="Arial" w:hAnsi="Arial" w:cs="Arial"/>
                <w:b/>
                <w:sz w:val="16"/>
                <w:szCs w:val="16"/>
              </w:rPr>
            </w:pPr>
            <w:r w:rsidRPr="00306643">
              <w:rPr>
                <w:rFonts w:ascii="Arial" w:hAnsi="Arial" w:cs="Arial"/>
                <w:sz w:val="16"/>
                <w:szCs w:val="16"/>
              </w:rPr>
              <w:t>-1.839.581</w:t>
            </w:r>
          </w:p>
        </w:tc>
        <w:tc>
          <w:tcPr>
            <w:tcW w:w="1091" w:type="dxa"/>
            <w:tcBorders>
              <w:top w:val="nil"/>
              <w:left w:val="nil"/>
              <w:bottom w:val="single" w:sz="4" w:space="0" w:color="auto"/>
              <w:right w:val="single" w:sz="4" w:space="0" w:color="auto"/>
            </w:tcBorders>
            <w:shd w:val="clear" w:color="auto" w:fill="auto"/>
            <w:noWrap/>
            <w:vAlign w:val="bottom"/>
          </w:tcPr>
          <w:p w14:paraId="315EDC1A" w14:textId="764D3E9F"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-207.379 </w:t>
            </w:r>
          </w:p>
        </w:tc>
        <w:tc>
          <w:tcPr>
            <w:tcW w:w="954" w:type="dxa"/>
            <w:tcBorders>
              <w:top w:val="nil"/>
              <w:left w:val="nil"/>
              <w:bottom w:val="single" w:sz="4" w:space="0" w:color="auto"/>
              <w:right w:val="single" w:sz="4" w:space="0" w:color="auto"/>
            </w:tcBorders>
            <w:shd w:val="clear" w:color="auto" w:fill="auto"/>
            <w:noWrap/>
            <w:vAlign w:val="bottom"/>
          </w:tcPr>
          <w:p w14:paraId="1F2E975B" w14:textId="151D7C5E" w:rsidR="0020673A" w:rsidRPr="00855DF9" w:rsidRDefault="0020673A" w:rsidP="0020673A">
            <w:pPr>
              <w:jc w:val="right"/>
              <w:rPr>
                <w:rFonts w:ascii="Arial" w:hAnsi="Arial" w:cs="Arial"/>
                <w:sz w:val="16"/>
                <w:szCs w:val="16"/>
              </w:rPr>
            </w:pPr>
            <w:r w:rsidRPr="00855DF9">
              <w:rPr>
                <w:rFonts w:ascii="Arial" w:hAnsi="Arial" w:cs="Arial"/>
                <w:sz w:val="16"/>
                <w:szCs w:val="16"/>
              </w:rPr>
              <w:t>306.040</w:t>
            </w:r>
          </w:p>
        </w:tc>
        <w:tc>
          <w:tcPr>
            <w:tcW w:w="1226" w:type="dxa"/>
            <w:tcBorders>
              <w:top w:val="nil"/>
              <w:left w:val="nil"/>
              <w:bottom w:val="single" w:sz="4" w:space="0" w:color="auto"/>
              <w:right w:val="single" w:sz="4" w:space="0" w:color="auto"/>
            </w:tcBorders>
            <w:shd w:val="clear" w:color="auto" w:fill="auto"/>
            <w:noWrap/>
            <w:vAlign w:val="bottom"/>
          </w:tcPr>
          <w:p w14:paraId="59714397" w14:textId="5CC75F78" w:rsidR="0020673A" w:rsidRPr="0020673A" w:rsidRDefault="0020673A">
            <w:pPr>
              <w:jc w:val="right"/>
              <w:rPr>
                <w:rFonts w:ascii="Arial" w:hAnsi="Arial" w:cs="Arial"/>
                <w:b/>
                <w:sz w:val="16"/>
                <w:szCs w:val="16"/>
              </w:rPr>
            </w:pPr>
            <w:r w:rsidRPr="002E1AF6">
              <w:rPr>
                <w:rFonts w:ascii="Arial" w:hAnsi="Arial" w:cs="Arial"/>
                <w:b/>
                <w:sz w:val="16"/>
                <w:szCs w:val="16"/>
              </w:rPr>
              <w:t>-8.030.699</w:t>
            </w:r>
          </w:p>
        </w:tc>
      </w:tr>
      <w:tr w:rsidR="0020673A" w:rsidRPr="00855DF9" w14:paraId="1A5B5B26"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3C74618"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Financiaciones recibidas del BCRA y otras instituciones financieras</w:t>
            </w:r>
          </w:p>
        </w:tc>
        <w:tc>
          <w:tcPr>
            <w:tcW w:w="1319" w:type="dxa"/>
            <w:tcBorders>
              <w:top w:val="nil"/>
              <w:left w:val="nil"/>
              <w:bottom w:val="single" w:sz="4" w:space="0" w:color="auto"/>
              <w:right w:val="single" w:sz="4" w:space="0" w:color="auto"/>
            </w:tcBorders>
            <w:shd w:val="clear" w:color="auto" w:fill="auto"/>
            <w:noWrap/>
            <w:vAlign w:val="bottom"/>
          </w:tcPr>
          <w:p w14:paraId="5ED8BC24" w14:textId="19A971FB"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-3.137.697 </w:t>
            </w:r>
          </w:p>
        </w:tc>
        <w:tc>
          <w:tcPr>
            <w:tcW w:w="1174" w:type="dxa"/>
            <w:tcBorders>
              <w:top w:val="nil"/>
              <w:left w:val="nil"/>
              <w:bottom w:val="single" w:sz="4" w:space="0" w:color="auto"/>
              <w:right w:val="single" w:sz="4" w:space="0" w:color="auto"/>
            </w:tcBorders>
            <w:shd w:val="clear" w:color="auto" w:fill="auto"/>
            <w:noWrap/>
            <w:vAlign w:val="bottom"/>
          </w:tcPr>
          <w:p w14:paraId="3BB69E79" w14:textId="14866D06"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-17.539 </w:t>
            </w:r>
          </w:p>
        </w:tc>
        <w:tc>
          <w:tcPr>
            <w:tcW w:w="1289" w:type="dxa"/>
            <w:tcBorders>
              <w:top w:val="nil"/>
              <w:left w:val="nil"/>
              <w:bottom w:val="single" w:sz="4" w:space="0" w:color="auto"/>
              <w:right w:val="single" w:sz="4" w:space="0" w:color="auto"/>
            </w:tcBorders>
            <w:shd w:val="clear" w:color="auto" w:fill="auto"/>
            <w:noWrap/>
            <w:vAlign w:val="bottom"/>
          </w:tcPr>
          <w:p w14:paraId="67EA6949" w14:textId="0411338F"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-7.231.598 </w:t>
            </w:r>
          </w:p>
        </w:tc>
        <w:tc>
          <w:tcPr>
            <w:tcW w:w="1091" w:type="dxa"/>
            <w:tcBorders>
              <w:top w:val="nil"/>
              <w:left w:val="nil"/>
              <w:bottom w:val="single" w:sz="4" w:space="0" w:color="auto"/>
              <w:right w:val="single" w:sz="4" w:space="0" w:color="auto"/>
            </w:tcBorders>
            <w:shd w:val="clear" w:color="auto" w:fill="auto"/>
            <w:noWrap/>
            <w:vAlign w:val="bottom"/>
          </w:tcPr>
          <w:p w14:paraId="26D613DA" w14:textId="22F3A727" w:rsidR="0020673A" w:rsidRPr="00855DF9" w:rsidRDefault="0020673A" w:rsidP="0020673A">
            <w:pPr>
              <w:jc w:val="right"/>
              <w:rPr>
                <w:rFonts w:ascii="Arial" w:hAnsi="Arial" w:cs="Arial"/>
                <w:b/>
                <w:sz w:val="16"/>
                <w:szCs w:val="16"/>
              </w:rPr>
            </w:pPr>
            <w:r w:rsidRPr="00BA7A6B">
              <w:rPr>
                <w:rFonts w:ascii="Arial" w:hAnsi="Arial" w:cs="Arial"/>
                <w:sz w:val="16"/>
                <w:szCs w:val="16"/>
              </w:rPr>
              <w:t xml:space="preserve"> -2.911.827 </w:t>
            </w:r>
          </w:p>
        </w:tc>
        <w:tc>
          <w:tcPr>
            <w:tcW w:w="954" w:type="dxa"/>
            <w:tcBorders>
              <w:top w:val="nil"/>
              <w:left w:val="nil"/>
              <w:bottom w:val="single" w:sz="4" w:space="0" w:color="auto"/>
              <w:right w:val="single" w:sz="4" w:space="0" w:color="auto"/>
            </w:tcBorders>
            <w:shd w:val="clear" w:color="auto" w:fill="auto"/>
            <w:noWrap/>
            <w:vAlign w:val="bottom"/>
          </w:tcPr>
          <w:p w14:paraId="7DC44F1C" w14:textId="2738E80F" w:rsidR="0020673A" w:rsidRPr="00855DF9" w:rsidRDefault="0020673A" w:rsidP="0020673A">
            <w:pPr>
              <w:jc w:val="right"/>
              <w:rPr>
                <w:rFonts w:ascii="Arial" w:hAnsi="Arial" w:cs="Arial"/>
                <w:sz w:val="16"/>
                <w:szCs w:val="16"/>
              </w:rPr>
            </w:pPr>
            <w:r w:rsidRPr="00855DF9">
              <w:rPr>
                <w:rFonts w:ascii="Arial" w:hAnsi="Arial" w:cs="Arial"/>
                <w:sz w:val="16"/>
                <w:szCs w:val="16"/>
              </w:rPr>
              <w:t>2.893.020</w:t>
            </w:r>
          </w:p>
        </w:tc>
        <w:tc>
          <w:tcPr>
            <w:tcW w:w="1226" w:type="dxa"/>
            <w:tcBorders>
              <w:top w:val="nil"/>
              <w:left w:val="nil"/>
              <w:bottom w:val="single" w:sz="4" w:space="0" w:color="auto"/>
              <w:right w:val="single" w:sz="4" w:space="0" w:color="auto"/>
            </w:tcBorders>
            <w:shd w:val="clear" w:color="auto" w:fill="auto"/>
            <w:noWrap/>
            <w:vAlign w:val="bottom"/>
          </w:tcPr>
          <w:p w14:paraId="6F1BD8DC" w14:textId="67A66AB7" w:rsidR="0020673A" w:rsidRPr="0020673A" w:rsidRDefault="0020673A">
            <w:pPr>
              <w:jc w:val="right"/>
              <w:rPr>
                <w:rFonts w:ascii="Arial" w:hAnsi="Arial" w:cs="Arial"/>
                <w:b/>
                <w:sz w:val="16"/>
                <w:szCs w:val="16"/>
              </w:rPr>
            </w:pPr>
            <w:r w:rsidRPr="002E1AF6">
              <w:rPr>
                <w:rFonts w:ascii="Arial" w:hAnsi="Arial" w:cs="Arial"/>
                <w:b/>
                <w:sz w:val="16"/>
                <w:szCs w:val="16"/>
              </w:rPr>
              <w:t>-10.405.641</w:t>
            </w:r>
          </w:p>
        </w:tc>
      </w:tr>
      <w:tr w:rsidR="0020673A" w:rsidRPr="00855DF9" w14:paraId="28BB9E28" w14:textId="77777777" w:rsidTr="002E1AF6">
        <w:trPr>
          <w:trHeight w:val="63"/>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3DC47195"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Obligaciones negociables emitidas</w:t>
            </w:r>
          </w:p>
        </w:tc>
        <w:tc>
          <w:tcPr>
            <w:tcW w:w="1319" w:type="dxa"/>
            <w:tcBorders>
              <w:top w:val="nil"/>
              <w:left w:val="nil"/>
              <w:bottom w:val="single" w:sz="4" w:space="0" w:color="auto"/>
              <w:right w:val="single" w:sz="4" w:space="0" w:color="auto"/>
            </w:tcBorders>
            <w:shd w:val="clear" w:color="auto" w:fill="auto"/>
            <w:noWrap/>
            <w:vAlign w:val="bottom"/>
          </w:tcPr>
          <w:p w14:paraId="3446447C" w14:textId="22223B51"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-148.272 </w:t>
            </w:r>
          </w:p>
        </w:tc>
        <w:tc>
          <w:tcPr>
            <w:tcW w:w="1174" w:type="dxa"/>
            <w:tcBorders>
              <w:top w:val="nil"/>
              <w:left w:val="nil"/>
              <w:bottom w:val="single" w:sz="4" w:space="0" w:color="auto"/>
              <w:right w:val="single" w:sz="4" w:space="0" w:color="auto"/>
            </w:tcBorders>
            <w:shd w:val="clear" w:color="auto" w:fill="auto"/>
            <w:noWrap/>
            <w:vAlign w:val="bottom"/>
          </w:tcPr>
          <w:p w14:paraId="06BE1D58" w14:textId="164A5A49"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-145.365 </w:t>
            </w:r>
          </w:p>
        </w:tc>
        <w:tc>
          <w:tcPr>
            <w:tcW w:w="1289" w:type="dxa"/>
            <w:tcBorders>
              <w:top w:val="nil"/>
              <w:left w:val="nil"/>
              <w:bottom w:val="single" w:sz="4" w:space="0" w:color="auto"/>
              <w:right w:val="single" w:sz="4" w:space="0" w:color="auto"/>
            </w:tcBorders>
            <w:shd w:val="clear" w:color="auto" w:fill="auto"/>
            <w:noWrap/>
            <w:vAlign w:val="bottom"/>
          </w:tcPr>
          <w:p w14:paraId="467879B5" w14:textId="3D765D6A"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-16.062.176 </w:t>
            </w:r>
          </w:p>
        </w:tc>
        <w:tc>
          <w:tcPr>
            <w:tcW w:w="1091" w:type="dxa"/>
            <w:tcBorders>
              <w:top w:val="nil"/>
              <w:left w:val="nil"/>
              <w:bottom w:val="single" w:sz="4" w:space="0" w:color="auto"/>
              <w:right w:val="single" w:sz="4" w:space="0" w:color="auto"/>
            </w:tcBorders>
            <w:shd w:val="clear" w:color="auto" w:fill="auto"/>
            <w:noWrap/>
            <w:vAlign w:val="bottom"/>
          </w:tcPr>
          <w:p w14:paraId="16E1EC33" w14:textId="00EA7C82"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-1.372.932 </w:t>
            </w:r>
          </w:p>
        </w:tc>
        <w:tc>
          <w:tcPr>
            <w:tcW w:w="954" w:type="dxa"/>
            <w:tcBorders>
              <w:top w:val="nil"/>
              <w:left w:val="nil"/>
              <w:bottom w:val="single" w:sz="4" w:space="0" w:color="auto"/>
              <w:right w:val="single" w:sz="4" w:space="0" w:color="auto"/>
            </w:tcBorders>
            <w:shd w:val="clear" w:color="auto" w:fill="auto"/>
            <w:noWrap/>
            <w:vAlign w:val="bottom"/>
          </w:tcPr>
          <w:p w14:paraId="742F1307" w14:textId="77777777" w:rsidR="0020673A" w:rsidRPr="00855DF9" w:rsidRDefault="0020673A" w:rsidP="0020673A">
            <w:pPr>
              <w:jc w:val="right"/>
              <w:rPr>
                <w:rFonts w:ascii="Arial" w:hAnsi="Arial" w:cs="Arial"/>
                <w:sz w:val="16"/>
                <w:szCs w:val="16"/>
              </w:rPr>
            </w:pPr>
            <w:r w:rsidRPr="00855DF9">
              <w:rPr>
                <w:rFonts w:ascii="Arial" w:hAnsi="Arial" w:cs="Arial"/>
                <w:sz w:val="16"/>
                <w:szCs w:val="16"/>
              </w:rPr>
              <w:t xml:space="preserve"> -   </w:t>
            </w:r>
          </w:p>
        </w:tc>
        <w:tc>
          <w:tcPr>
            <w:tcW w:w="1226" w:type="dxa"/>
            <w:tcBorders>
              <w:top w:val="nil"/>
              <w:left w:val="nil"/>
              <w:bottom w:val="single" w:sz="4" w:space="0" w:color="auto"/>
              <w:right w:val="single" w:sz="4" w:space="0" w:color="auto"/>
            </w:tcBorders>
            <w:shd w:val="clear" w:color="auto" w:fill="auto"/>
            <w:noWrap/>
            <w:vAlign w:val="bottom"/>
          </w:tcPr>
          <w:p w14:paraId="4CF9DDB7" w14:textId="7658CC70" w:rsidR="0020673A" w:rsidRPr="0020673A" w:rsidRDefault="0020673A">
            <w:pPr>
              <w:jc w:val="right"/>
              <w:rPr>
                <w:rFonts w:ascii="Arial" w:hAnsi="Arial" w:cs="Arial"/>
                <w:b/>
                <w:sz w:val="16"/>
                <w:szCs w:val="16"/>
              </w:rPr>
            </w:pPr>
            <w:r w:rsidRPr="002E1AF6">
              <w:rPr>
                <w:rFonts w:ascii="Arial" w:hAnsi="Arial" w:cs="Arial"/>
                <w:b/>
                <w:sz w:val="16"/>
                <w:szCs w:val="16"/>
              </w:rPr>
              <w:t>-17.728.745</w:t>
            </w:r>
          </w:p>
        </w:tc>
      </w:tr>
      <w:tr w:rsidR="0020673A" w:rsidRPr="00855DF9" w14:paraId="6648D2F6"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40AF34DB"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Pasivo por impuestos a las ganancias corriente</w:t>
            </w:r>
          </w:p>
        </w:tc>
        <w:tc>
          <w:tcPr>
            <w:tcW w:w="1319" w:type="dxa"/>
            <w:tcBorders>
              <w:top w:val="nil"/>
              <w:left w:val="nil"/>
              <w:bottom w:val="single" w:sz="4" w:space="0" w:color="auto"/>
              <w:right w:val="single" w:sz="4" w:space="0" w:color="auto"/>
            </w:tcBorders>
            <w:shd w:val="clear" w:color="auto" w:fill="auto"/>
            <w:noWrap/>
            <w:vAlign w:val="bottom"/>
          </w:tcPr>
          <w:p w14:paraId="1C8B849C" w14:textId="185C25A9"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-264.397 </w:t>
            </w:r>
          </w:p>
        </w:tc>
        <w:tc>
          <w:tcPr>
            <w:tcW w:w="1174" w:type="dxa"/>
            <w:tcBorders>
              <w:top w:val="nil"/>
              <w:left w:val="nil"/>
              <w:bottom w:val="single" w:sz="4" w:space="0" w:color="auto"/>
              <w:right w:val="single" w:sz="4" w:space="0" w:color="auto"/>
            </w:tcBorders>
            <w:shd w:val="clear" w:color="auto" w:fill="auto"/>
            <w:noWrap/>
            <w:vAlign w:val="bottom"/>
          </w:tcPr>
          <w:p w14:paraId="2F6B205A" w14:textId="221D71E1"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-259.211 </w:t>
            </w:r>
          </w:p>
        </w:tc>
        <w:tc>
          <w:tcPr>
            <w:tcW w:w="1289" w:type="dxa"/>
            <w:tcBorders>
              <w:top w:val="nil"/>
              <w:left w:val="nil"/>
              <w:bottom w:val="single" w:sz="4" w:space="0" w:color="auto"/>
              <w:right w:val="single" w:sz="4" w:space="0" w:color="auto"/>
            </w:tcBorders>
            <w:shd w:val="clear" w:color="auto" w:fill="auto"/>
            <w:noWrap/>
            <w:vAlign w:val="bottom"/>
          </w:tcPr>
          <w:p w14:paraId="3BC4E1B4" w14:textId="5EA68207"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-534.827 </w:t>
            </w:r>
          </w:p>
        </w:tc>
        <w:tc>
          <w:tcPr>
            <w:tcW w:w="1091" w:type="dxa"/>
            <w:tcBorders>
              <w:top w:val="nil"/>
              <w:left w:val="nil"/>
              <w:bottom w:val="single" w:sz="4" w:space="0" w:color="auto"/>
              <w:right w:val="single" w:sz="4" w:space="0" w:color="auto"/>
            </w:tcBorders>
            <w:shd w:val="clear" w:color="auto" w:fill="auto"/>
            <w:noWrap/>
            <w:vAlign w:val="bottom"/>
          </w:tcPr>
          <w:p w14:paraId="0B139B66" w14:textId="34D736B6"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-55.458 </w:t>
            </w:r>
          </w:p>
        </w:tc>
        <w:tc>
          <w:tcPr>
            <w:tcW w:w="954" w:type="dxa"/>
            <w:tcBorders>
              <w:top w:val="nil"/>
              <w:left w:val="nil"/>
              <w:bottom w:val="single" w:sz="4" w:space="0" w:color="auto"/>
              <w:right w:val="single" w:sz="4" w:space="0" w:color="auto"/>
            </w:tcBorders>
            <w:shd w:val="clear" w:color="auto" w:fill="auto"/>
            <w:noWrap/>
            <w:vAlign w:val="bottom"/>
          </w:tcPr>
          <w:p w14:paraId="0A3D45D7" w14:textId="77777777" w:rsidR="0020673A" w:rsidRPr="00855DF9" w:rsidRDefault="0020673A" w:rsidP="0020673A">
            <w:pPr>
              <w:jc w:val="right"/>
              <w:rPr>
                <w:rFonts w:ascii="Arial" w:hAnsi="Arial" w:cs="Arial"/>
                <w:sz w:val="16"/>
                <w:szCs w:val="16"/>
              </w:rPr>
            </w:pPr>
            <w:r w:rsidRPr="00855DF9">
              <w:rPr>
                <w:rFonts w:ascii="Arial" w:hAnsi="Arial" w:cs="Arial"/>
                <w:sz w:val="16"/>
                <w:szCs w:val="16"/>
              </w:rPr>
              <w:t xml:space="preserve"> -   </w:t>
            </w:r>
          </w:p>
        </w:tc>
        <w:tc>
          <w:tcPr>
            <w:tcW w:w="1226" w:type="dxa"/>
            <w:tcBorders>
              <w:top w:val="nil"/>
              <w:left w:val="nil"/>
              <w:bottom w:val="single" w:sz="4" w:space="0" w:color="auto"/>
              <w:right w:val="single" w:sz="4" w:space="0" w:color="auto"/>
            </w:tcBorders>
            <w:shd w:val="clear" w:color="auto" w:fill="auto"/>
            <w:noWrap/>
            <w:vAlign w:val="bottom"/>
          </w:tcPr>
          <w:p w14:paraId="6BACFBE8" w14:textId="47A7DC59" w:rsidR="0020673A" w:rsidRPr="0020673A" w:rsidRDefault="0020673A">
            <w:pPr>
              <w:jc w:val="right"/>
              <w:rPr>
                <w:rFonts w:ascii="Arial" w:hAnsi="Arial" w:cs="Arial"/>
                <w:b/>
                <w:sz w:val="16"/>
                <w:szCs w:val="16"/>
              </w:rPr>
            </w:pPr>
            <w:r w:rsidRPr="002E1AF6">
              <w:rPr>
                <w:rFonts w:ascii="Arial" w:hAnsi="Arial" w:cs="Arial"/>
                <w:b/>
                <w:sz w:val="16"/>
                <w:szCs w:val="16"/>
              </w:rPr>
              <w:t>-1.113.893</w:t>
            </w:r>
          </w:p>
        </w:tc>
      </w:tr>
      <w:tr w:rsidR="0020673A" w:rsidRPr="00855DF9" w14:paraId="770A9E12" w14:textId="77777777" w:rsidTr="002E1AF6">
        <w:trPr>
          <w:trHeight w:val="203"/>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12D225ED"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Obligaciones negociables subordinadas</w:t>
            </w:r>
          </w:p>
        </w:tc>
        <w:tc>
          <w:tcPr>
            <w:tcW w:w="1319" w:type="dxa"/>
            <w:tcBorders>
              <w:top w:val="nil"/>
              <w:left w:val="nil"/>
              <w:bottom w:val="single" w:sz="4" w:space="0" w:color="auto"/>
              <w:right w:val="single" w:sz="4" w:space="0" w:color="auto"/>
            </w:tcBorders>
            <w:shd w:val="clear" w:color="auto" w:fill="auto"/>
            <w:noWrap/>
            <w:vAlign w:val="bottom"/>
          </w:tcPr>
          <w:p w14:paraId="2305A08F" w14:textId="16BA973D"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-585.399 </w:t>
            </w:r>
          </w:p>
        </w:tc>
        <w:tc>
          <w:tcPr>
            <w:tcW w:w="1174" w:type="dxa"/>
            <w:tcBorders>
              <w:top w:val="nil"/>
              <w:left w:val="nil"/>
              <w:bottom w:val="single" w:sz="4" w:space="0" w:color="auto"/>
              <w:right w:val="single" w:sz="4" w:space="0" w:color="auto"/>
            </w:tcBorders>
            <w:shd w:val="clear" w:color="auto" w:fill="auto"/>
            <w:noWrap/>
            <w:vAlign w:val="bottom"/>
          </w:tcPr>
          <w:p w14:paraId="29ED4EEA" w14:textId="0F48C9F1"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-573.916 </w:t>
            </w:r>
          </w:p>
        </w:tc>
        <w:tc>
          <w:tcPr>
            <w:tcW w:w="1289" w:type="dxa"/>
            <w:tcBorders>
              <w:top w:val="nil"/>
              <w:left w:val="nil"/>
              <w:bottom w:val="single" w:sz="4" w:space="0" w:color="auto"/>
              <w:right w:val="single" w:sz="4" w:space="0" w:color="auto"/>
            </w:tcBorders>
            <w:shd w:val="clear" w:color="auto" w:fill="auto"/>
            <w:noWrap/>
            <w:vAlign w:val="bottom"/>
          </w:tcPr>
          <w:p w14:paraId="0FF92CFE" w14:textId="7677E0AA"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-1.184.158 </w:t>
            </w:r>
          </w:p>
        </w:tc>
        <w:tc>
          <w:tcPr>
            <w:tcW w:w="1091" w:type="dxa"/>
            <w:tcBorders>
              <w:top w:val="nil"/>
              <w:left w:val="nil"/>
              <w:bottom w:val="single" w:sz="4" w:space="0" w:color="auto"/>
              <w:right w:val="single" w:sz="4" w:space="0" w:color="auto"/>
            </w:tcBorders>
            <w:shd w:val="clear" w:color="auto" w:fill="auto"/>
            <w:noWrap/>
            <w:vAlign w:val="bottom"/>
          </w:tcPr>
          <w:p w14:paraId="653FD8C6" w14:textId="6FF2C9D9"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   </w:t>
            </w:r>
          </w:p>
        </w:tc>
        <w:tc>
          <w:tcPr>
            <w:tcW w:w="954" w:type="dxa"/>
            <w:tcBorders>
              <w:top w:val="nil"/>
              <w:left w:val="nil"/>
              <w:bottom w:val="single" w:sz="4" w:space="0" w:color="auto"/>
              <w:right w:val="single" w:sz="4" w:space="0" w:color="auto"/>
            </w:tcBorders>
            <w:shd w:val="clear" w:color="auto" w:fill="auto"/>
            <w:noWrap/>
            <w:vAlign w:val="bottom"/>
          </w:tcPr>
          <w:p w14:paraId="5D6C0F3A" w14:textId="77777777" w:rsidR="0020673A" w:rsidRPr="00855DF9" w:rsidRDefault="0020673A" w:rsidP="0020673A">
            <w:pPr>
              <w:jc w:val="right"/>
              <w:rPr>
                <w:rFonts w:ascii="Arial" w:hAnsi="Arial" w:cs="Arial"/>
                <w:sz w:val="16"/>
                <w:szCs w:val="16"/>
              </w:rPr>
            </w:pPr>
            <w:r w:rsidRPr="00855DF9">
              <w:rPr>
                <w:rFonts w:ascii="Arial" w:hAnsi="Arial" w:cs="Arial"/>
                <w:sz w:val="16"/>
                <w:szCs w:val="16"/>
              </w:rPr>
              <w:t xml:space="preserve"> -   </w:t>
            </w:r>
          </w:p>
        </w:tc>
        <w:tc>
          <w:tcPr>
            <w:tcW w:w="1226" w:type="dxa"/>
            <w:tcBorders>
              <w:top w:val="nil"/>
              <w:left w:val="nil"/>
              <w:bottom w:val="single" w:sz="4" w:space="0" w:color="auto"/>
              <w:right w:val="single" w:sz="4" w:space="0" w:color="auto"/>
            </w:tcBorders>
            <w:shd w:val="clear" w:color="auto" w:fill="auto"/>
            <w:noWrap/>
            <w:vAlign w:val="bottom"/>
          </w:tcPr>
          <w:p w14:paraId="1591021C" w14:textId="0DBD1F52" w:rsidR="0020673A" w:rsidRPr="0020673A" w:rsidRDefault="0020673A">
            <w:pPr>
              <w:jc w:val="right"/>
              <w:rPr>
                <w:rFonts w:ascii="Arial" w:hAnsi="Arial" w:cs="Arial"/>
                <w:b/>
                <w:sz w:val="16"/>
                <w:szCs w:val="16"/>
              </w:rPr>
            </w:pPr>
            <w:r w:rsidRPr="002E1AF6">
              <w:rPr>
                <w:rFonts w:ascii="Arial" w:hAnsi="Arial" w:cs="Arial"/>
                <w:b/>
                <w:sz w:val="16"/>
                <w:szCs w:val="16"/>
              </w:rPr>
              <w:t>-2.343.473</w:t>
            </w:r>
          </w:p>
        </w:tc>
      </w:tr>
      <w:tr w:rsidR="0020673A" w:rsidRPr="00855DF9" w14:paraId="27A03C80"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6D5F17B1"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Provisiones</w:t>
            </w:r>
          </w:p>
        </w:tc>
        <w:tc>
          <w:tcPr>
            <w:tcW w:w="1319" w:type="dxa"/>
            <w:tcBorders>
              <w:top w:val="nil"/>
              <w:left w:val="nil"/>
              <w:bottom w:val="single" w:sz="4" w:space="0" w:color="auto"/>
              <w:right w:val="single" w:sz="4" w:space="0" w:color="auto"/>
            </w:tcBorders>
            <w:shd w:val="clear" w:color="auto" w:fill="auto"/>
            <w:noWrap/>
            <w:vAlign w:val="bottom"/>
          </w:tcPr>
          <w:p w14:paraId="741CC494" w14:textId="55D35E9B"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-17.772 </w:t>
            </w:r>
          </w:p>
        </w:tc>
        <w:tc>
          <w:tcPr>
            <w:tcW w:w="1174" w:type="dxa"/>
            <w:tcBorders>
              <w:top w:val="nil"/>
              <w:left w:val="nil"/>
              <w:bottom w:val="single" w:sz="4" w:space="0" w:color="auto"/>
              <w:right w:val="single" w:sz="4" w:space="0" w:color="auto"/>
            </w:tcBorders>
            <w:shd w:val="clear" w:color="auto" w:fill="auto"/>
            <w:noWrap/>
            <w:vAlign w:val="bottom"/>
          </w:tcPr>
          <w:p w14:paraId="0EAE5588" w14:textId="28E131AF"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-17.362 </w:t>
            </w:r>
          </w:p>
        </w:tc>
        <w:tc>
          <w:tcPr>
            <w:tcW w:w="1289" w:type="dxa"/>
            <w:tcBorders>
              <w:top w:val="nil"/>
              <w:left w:val="nil"/>
              <w:bottom w:val="single" w:sz="4" w:space="0" w:color="auto"/>
              <w:right w:val="single" w:sz="4" w:space="0" w:color="auto"/>
            </w:tcBorders>
            <w:shd w:val="clear" w:color="auto" w:fill="auto"/>
            <w:noWrap/>
            <w:vAlign w:val="bottom"/>
          </w:tcPr>
          <w:p w14:paraId="51140E4F" w14:textId="623BC417"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-33.951 </w:t>
            </w:r>
          </w:p>
        </w:tc>
        <w:tc>
          <w:tcPr>
            <w:tcW w:w="1091" w:type="dxa"/>
            <w:tcBorders>
              <w:top w:val="nil"/>
              <w:left w:val="nil"/>
              <w:bottom w:val="single" w:sz="4" w:space="0" w:color="auto"/>
              <w:right w:val="single" w:sz="4" w:space="0" w:color="auto"/>
            </w:tcBorders>
            <w:shd w:val="clear" w:color="auto" w:fill="auto"/>
            <w:noWrap/>
            <w:vAlign w:val="bottom"/>
          </w:tcPr>
          <w:p w14:paraId="0975C69E" w14:textId="29DE8511"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-46.006 </w:t>
            </w:r>
          </w:p>
        </w:tc>
        <w:tc>
          <w:tcPr>
            <w:tcW w:w="954" w:type="dxa"/>
            <w:tcBorders>
              <w:top w:val="nil"/>
              <w:left w:val="nil"/>
              <w:bottom w:val="single" w:sz="4" w:space="0" w:color="auto"/>
              <w:right w:val="single" w:sz="4" w:space="0" w:color="auto"/>
            </w:tcBorders>
            <w:shd w:val="clear" w:color="auto" w:fill="auto"/>
            <w:noWrap/>
            <w:vAlign w:val="bottom"/>
          </w:tcPr>
          <w:p w14:paraId="06514DAE" w14:textId="77777777" w:rsidR="0020673A" w:rsidRPr="00855DF9" w:rsidRDefault="0020673A" w:rsidP="0020673A">
            <w:pPr>
              <w:jc w:val="right"/>
              <w:rPr>
                <w:rFonts w:ascii="Arial" w:hAnsi="Arial" w:cs="Arial"/>
                <w:sz w:val="16"/>
                <w:szCs w:val="16"/>
              </w:rPr>
            </w:pPr>
            <w:r w:rsidRPr="00855DF9">
              <w:rPr>
                <w:rFonts w:ascii="Arial" w:hAnsi="Arial" w:cs="Arial"/>
                <w:sz w:val="16"/>
                <w:szCs w:val="16"/>
              </w:rPr>
              <w:t xml:space="preserve"> -   </w:t>
            </w:r>
          </w:p>
        </w:tc>
        <w:tc>
          <w:tcPr>
            <w:tcW w:w="1226" w:type="dxa"/>
            <w:tcBorders>
              <w:top w:val="nil"/>
              <w:left w:val="nil"/>
              <w:bottom w:val="single" w:sz="4" w:space="0" w:color="auto"/>
              <w:right w:val="single" w:sz="4" w:space="0" w:color="auto"/>
            </w:tcBorders>
            <w:shd w:val="clear" w:color="auto" w:fill="auto"/>
            <w:noWrap/>
            <w:vAlign w:val="bottom"/>
          </w:tcPr>
          <w:p w14:paraId="781DBB1D" w14:textId="2B67503A" w:rsidR="0020673A" w:rsidRPr="0020673A" w:rsidRDefault="0020673A">
            <w:pPr>
              <w:jc w:val="right"/>
              <w:rPr>
                <w:rFonts w:ascii="Arial" w:hAnsi="Arial" w:cs="Arial"/>
                <w:b/>
                <w:sz w:val="16"/>
                <w:szCs w:val="16"/>
              </w:rPr>
            </w:pPr>
            <w:r w:rsidRPr="002E1AF6">
              <w:rPr>
                <w:rFonts w:ascii="Arial" w:hAnsi="Arial" w:cs="Arial"/>
                <w:b/>
                <w:sz w:val="16"/>
                <w:szCs w:val="16"/>
              </w:rPr>
              <w:t>-115.091</w:t>
            </w:r>
          </w:p>
        </w:tc>
      </w:tr>
      <w:tr w:rsidR="0020673A" w:rsidRPr="00855DF9" w14:paraId="23C1721E"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vAlign w:val="bottom"/>
          </w:tcPr>
          <w:p w14:paraId="5B02704F" w14:textId="1A83CA6A" w:rsidR="0020673A" w:rsidRPr="00855DF9" w:rsidRDefault="0020673A" w:rsidP="0020673A">
            <w:pPr>
              <w:rPr>
                <w:rFonts w:ascii="Arial" w:hAnsi="Arial" w:cs="Arial"/>
                <w:sz w:val="16"/>
                <w:szCs w:val="16"/>
              </w:rPr>
            </w:pPr>
            <w:r w:rsidRPr="00855DF9">
              <w:rPr>
                <w:rFonts w:ascii="Arial" w:hAnsi="Arial" w:cs="Arial"/>
                <w:sz w:val="16"/>
                <w:szCs w:val="16"/>
              </w:rPr>
              <w:t>Pasivo por impuestos a las ganancias diferido</w:t>
            </w:r>
          </w:p>
        </w:tc>
        <w:tc>
          <w:tcPr>
            <w:tcW w:w="1319" w:type="dxa"/>
            <w:tcBorders>
              <w:top w:val="nil"/>
              <w:left w:val="nil"/>
              <w:bottom w:val="single" w:sz="4" w:space="0" w:color="auto"/>
              <w:right w:val="single" w:sz="4" w:space="0" w:color="auto"/>
            </w:tcBorders>
            <w:shd w:val="clear" w:color="auto" w:fill="auto"/>
            <w:noWrap/>
            <w:vAlign w:val="bottom"/>
          </w:tcPr>
          <w:p w14:paraId="079B5B4C" w14:textId="195B0107"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   </w:t>
            </w:r>
          </w:p>
        </w:tc>
        <w:tc>
          <w:tcPr>
            <w:tcW w:w="1174" w:type="dxa"/>
            <w:tcBorders>
              <w:top w:val="nil"/>
              <w:left w:val="nil"/>
              <w:bottom w:val="single" w:sz="4" w:space="0" w:color="auto"/>
              <w:right w:val="single" w:sz="4" w:space="0" w:color="auto"/>
            </w:tcBorders>
            <w:shd w:val="clear" w:color="auto" w:fill="auto"/>
            <w:noWrap/>
            <w:vAlign w:val="bottom"/>
          </w:tcPr>
          <w:p w14:paraId="6E0A28DB" w14:textId="534329C1"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   </w:t>
            </w:r>
          </w:p>
        </w:tc>
        <w:tc>
          <w:tcPr>
            <w:tcW w:w="1289" w:type="dxa"/>
            <w:tcBorders>
              <w:top w:val="nil"/>
              <w:left w:val="nil"/>
              <w:bottom w:val="single" w:sz="4" w:space="0" w:color="auto"/>
              <w:right w:val="single" w:sz="4" w:space="0" w:color="auto"/>
            </w:tcBorders>
            <w:shd w:val="clear" w:color="auto" w:fill="auto"/>
            <w:noWrap/>
            <w:vAlign w:val="bottom"/>
          </w:tcPr>
          <w:p w14:paraId="16CE46E2" w14:textId="52A5C481"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-295.370 </w:t>
            </w:r>
          </w:p>
        </w:tc>
        <w:tc>
          <w:tcPr>
            <w:tcW w:w="1091" w:type="dxa"/>
            <w:tcBorders>
              <w:top w:val="nil"/>
              <w:left w:val="nil"/>
              <w:bottom w:val="single" w:sz="4" w:space="0" w:color="auto"/>
              <w:right w:val="single" w:sz="4" w:space="0" w:color="auto"/>
            </w:tcBorders>
            <w:shd w:val="clear" w:color="auto" w:fill="auto"/>
            <w:noWrap/>
            <w:vAlign w:val="bottom"/>
          </w:tcPr>
          <w:p w14:paraId="0282002E" w14:textId="3C705836" w:rsidR="0020673A" w:rsidRPr="00855DF9" w:rsidRDefault="0020673A" w:rsidP="0020673A">
            <w:pPr>
              <w:jc w:val="right"/>
              <w:rPr>
                <w:rFonts w:ascii="Arial" w:hAnsi="Arial" w:cs="Arial"/>
                <w:sz w:val="16"/>
                <w:szCs w:val="16"/>
              </w:rPr>
            </w:pPr>
            <w:r w:rsidRPr="00BA7A6B">
              <w:rPr>
                <w:rFonts w:ascii="Arial" w:hAnsi="Arial" w:cs="Arial"/>
                <w:sz w:val="16"/>
                <w:szCs w:val="16"/>
              </w:rPr>
              <w:t xml:space="preserve"> -   </w:t>
            </w:r>
          </w:p>
        </w:tc>
        <w:tc>
          <w:tcPr>
            <w:tcW w:w="954" w:type="dxa"/>
            <w:tcBorders>
              <w:top w:val="nil"/>
              <w:left w:val="nil"/>
              <w:bottom w:val="single" w:sz="4" w:space="0" w:color="auto"/>
              <w:right w:val="single" w:sz="4" w:space="0" w:color="auto"/>
            </w:tcBorders>
            <w:shd w:val="clear" w:color="auto" w:fill="auto"/>
            <w:noWrap/>
            <w:vAlign w:val="bottom"/>
          </w:tcPr>
          <w:p w14:paraId="504DA167" w14:textId="2615B653" w:rsidR="0020673A" w:rsidRPr="00855DF9" w:rsidRDefault="0020673A" w:rsidP="0020673A">
            <w:pPr>
              <w:jc w:val="right"/>
              <w:rPr>
                <w:rFonts w:ascii="Arial" w:hAnsi="Arial" w:cs="Arial"/>
                <w:sz w:val="16"/>
                <w:szCs w:val="16"/>
              </w:rPr>
            </w:pPr>
            <w:r w:rsidRPr="00855DF9">
              <w:rPr>
                <w:rFonts w:ascii="Arial" w:hAnsi="Arial" w:cs="Arial"/>
                <w:sz w:val="16"/>
                <w:szCs w:val="16"/>
              </w:rPr>
              <w:t>-</w:t>
            </w:r>
          </w:p>
        </w:tc>
        <w:tc>
          <w:tcPr>
            <w:tcW w:w="1226" w:type="dxa"/>
            <w:tcBorders>
              <w:top w:val="nil"/>
              <w:left w:val="nil"/>
              <w:bottom w:val="single" w:sz="4" w:space="0" w:color="auto"/>
              <w:right w:val="single" w:sz="4" w:space="0" w:color="auto"/>
            </w:tcBorders>
            <w:shd w:val="clear" w:color="auto" w:fill="auto"/>
            <w:noWrap/>
            <w:vAlign w:val="bottom"/>
          </w:tcPr>
          <w:p w14:paraId="4D35CB34" w14:textId="357D86D4" w:rsidR="0020673A" w:rsidRPr="0020673A" w:rsidRDefault="0020673A">
            <w:pPr>
              <w:jc w:val="right"/>
              <w:rPr>
                <w:rFonts w:ascii="Arial" w:hAnsi="Arial" w:cs="Arial"/>
                <w:b/>
                <w:sz w:val="16"/>
                <w:szCs w:val="16"/>
              </w:rPr>
            </w:pPr>
            <w:r w:rsidRPr="002E1AF6">
              <w:rPr>
                <w:rFonts w:ascii="Arial" w:hAnsi="Arial" w:cs="Arial"/>
                <w:b/>
                <w:sz w:val="16"/>
                <w:szCs w:val="16"/>
              </w:rPr>
              <w:t>-295.370</w:t>
            </w:r>
          </w:p>
        </w:tc>
      </w:tr>
      <w:tr w:rsidR="0020673A" w:rsidRPr="00855DF9" w14:paraId="6EB56189"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493DC2CE" w14:textId="77777777" w:rsidR="0020673A" w:rsidRPr="00855DF9" w:rsidRDefault="0020673A" w:rsidP="0020673A">
            <w:pPr>
              <w:rPr>
                <w:rFonts w:ascii="Arial" w:hAnsi="Arial" w:cs="Arial"/>
                <w:b/>
                <w:bCs/>
                <w:sz w:val="16"/>
                <w:szCs w:val="16"/>
                <w:lang w:eastAsia="es-AR"/>
              </w:rPr>
            </w:pPr>
            <w:r w:rsidRPr="00855DF9">
              <w:rPr>
                <w:rFonts w:ascii="Arial" w:hAnsi="Arial" w:cs="Arial"/>
                <w:sz w:val="16"/>
                <w:szCs w:val="16"/>
              </w:rPr>
              <w:t>Otros pasivos no financieros</w:t>
            </w:r>
          </w:p>
        </w:tc>
        <w:tc>
          <w:tcPr>
            <w:tcW w:w="1319" w:type="dxa"/>
            <w:tcBorders>
              <w:top w:val="nil"/>
              <w:left w:val="nil"/>
              <w:bottom w:val="single" w:sz="4" w:space="0" w:color="auto"/>
              <w:right w:val="single" w:sz="4" w:space="0" w:color="auto"/>
            </w:tcBorders>
            <w:shd w:val="clear" w:color="auto" w:fill="auto"/>
            <w:noWrap/>
            <w:vAlign w:val="bottom"/>
          </w:tcPr>
          <w:p w14:paraId="61673D8A" w14:textId="631FC772" w:rsidR="0020673A" w:rsidRPr="00855DF9" w:rsidRDefault="00306643" w:rsidP="0020673A">
            <w:pPr>
              <w:jc w:val="right"/>
              <w:rPr>
                <w:rFonts w:ascii="Arial" w:hAnsi="Arial" w:cs="Arial"/>
                <w:sz w:val="16"/>
                <w:szCs w:val="16"/>
              </w:rPr>
            </w:pPr>
            <w:r w:rsidRPr="00306643">
              <w:rPr>
                <w:rFonts w:ascii="Arial" w:hAnsi="Arial" w:cs="Arial"/>
                <w:sz w:val="16"/>
                <w:szCs w:val="16"/>
              </w:rPr>
              <w:t>-13.106</w:t>
            </w:r>
          </w:p>
        </w:tc>
        <w:tc>
          <w:tcPr>
            <w:tcW w:w="1174" w:type="dxa"/>
            <w:tcBorders>
              <w:top w:val="nil"/>
              <w:left w:val="nil"/>
              <w:bottom w:val="single" w:sz="4" w:space="0" w:color="auto"/>
              <w:right w:val="single" w:sz="4" w:space="0" w:color="auto"/>
            </w:tcBorders>
            <w:shd w:val="clear" w:color="auto" w:fill="auto"/>
            <w:noWrap/>
            <w:vAlign w:val="bottom"/>
          </w:tcPr>
          <w:p w14:paraId="50B0B5C4" w14:textId="086F6AFE" w:rsidR="0020673A" w:rsidRPr="00855DF9" w:rsidRDefault="00306643" w:rsidP="0020673A">
            <w:pPr>
              <w:jc w:val="right"/>
              <w:rPr>
                <w:rFonts w:ascii="Arial" w:hAnsi="Arial" w:cs="Arial"/>
                <w:sz w:val="16"/>
                <w:szCs w:val="16"/>
              </w:rPr>
            </w:pPr>
            <w:r w:rsidRPr="00306643">
              <w:rPr>
                <w:rFonts w:ascii="Arial" w:hAnsi="Arial" w:cs="Arial"/>
                <w:sz w:val="16"/>
                <w:szCs w:val="16"/>
              </w:rPr>
              <w:t>-1.409.434</w:t>
            </w:r>
          </w:p>
        </w:tc>
        <w:tc>
          <w:tcPr>
            <w:tcW w:w="1289" w:type="dxa"/>
            <w:tcBorders>
              <w:top w:val="nil"/>
              <w:left w:val="nil"/>
              <w:bottom w:val="single" w:sz="4" w:space="0" w:color="auto"/>
              <w:right w:val="single" w:sz="4" w:space="0" w:color="auto"/>
            </w:tcBorders>
            <w:shd w:val="clear" w:color="auto" w:fill="auto"/>
            <w:noWrap/>
            <w:vAlign w:val="bottom"/>
          </w:tcPr>
          <w:p w14:paraId="263A09DB" w14:textId="1B815965" w:rsidR="0020673A" w:rsidRPr="00855DF9" w:rsidRDefault="00306643" w:rsidP="0020673A">
            <w:pPr>
              <w:jc w:val="right"/>
              <w:rPr>
                <w:rFonts w:ascii="Arial" w:hAnsi="Arial" w:cs="Arial"/>
                <w:sz w:val="16"/>
                <w:szCs w:val="16"/>
              </w:rPr>
            </w:pPr>
            <w:r w:rsidRPr="00306643">
              <w:rPr>
                <w:rFonts w:ascii="Arial" w:hAnsi="Arial" w:cs="Arial"/>
                <w:sz w:val="16"/>
                <w:szCs w:val="16"/>
              </w:rPr>
              <w:t>-5.203.992</w:t>
            </w:r>
          </w:p>
        </w:tc>
        <w:tc>
          <w:tcPr>
            <w:tcW w:w="1091" w:type="dxa"/>
            <w:tcBorders>
              <w:top w:val="nil"/>
              <w:left w:val="nil"/>
              <w:bottom w:val="single" w:sz="4" w:space="0" w:color="auto"/>
              <w:right w:val="single" w:sz="4" w:space="0" w:color="auto"/>
            </w:tcBorders>
            <w:shd w:val="clear" w:color="auto" w:fill="auto"/>
            <w:noWrap/>
            <w:vAlign w:val="bottom"/>
          </w:tcPr>
          <w:p w14:paraId="1B98CE62" w14:textId="78525FD5" w:rsidR="0020673A" w:rsidRPr="00855DF9" w:rsidRDefault="00306643" w:rsidP="0020673A">
            <w:pPr>
              <w:jc w:val="right"/>
              <w:rPr>
                <w:rFonts w:ascii="Arial" w:hAnsi="Arial" w:cs="Arial"/>
                <w:sz w:val="16"/>
                <w:szCs w:val="16"/>
              </w:rPr>
            </w:pPr>
            <w:r w:rsidRPr="00306643">
              <w:rPr>
                <w:rFonts w:ascii="Arial" w:hAnsi="Arial" w:cs="Arial"/>
                <w:sz w:val="16"/>
                <w:szCs w:val="16"/>
              </w:rPr>
              <w:t>-953.537</w:t>
            </w:r>
          </w:p>
        </w:tc>
        <w:tc>
          <w:tcPr>
            <w:tcW w:w="954" w:type="dxa"/>
            <w:tcBorders>
              <w:top w:val="nil"/>
              <w:left w:val="nil"/>
              <w:bottom w:val="single" w:sz="4" w:space="0" w:color="auto"/>
              <w:right w:val="single" w:sz="4" w:space="0" w:color="auto"/>
            </w:tcBorders>
            <w:shd w:val="clear" w:color="auto" w:fill="auto"/>
            <w:noWrap/>
            <w:vAlign w:val="bottom"/>
          </w:tcPr>
          <w:p w14:paraId="50324571" w14:textId="4D2B4CFB" w:rsidR="0020673A" w:rsidRPr="00855DF9" w:rsidRDefault="0020673A" w:rsidP="0020673A">
            <w:pPr>
              <w:jc w:val="right"/>
              <w:rPr>
                <w:rFonts w:ascii="Arial" w:hAnsi="Arial" w:cs="Arial"/>
                <w:sz w:val="16"/>
                <w:szCs w:val="16"/>
              </w:rPr>
            </w:pPr>
            <w:r w:rsidRPr="00855DF9">
              <w:rPr>
                <w:rFonts w:ascii="Arial" w:hAnsi="Arial" w:cs="Arial"/>
                <w:sz w:val="16"/>
                <w:szCs w:val="16"/>
              </w:rPr>
              <w:t>426</w:t>
            </w:r>
          </w:p>
        </w:tc>
        <w:tc>
          <w:tcPr>
            <w:tcW w:w="1226" w:type="dxa"/>
            <w:tcBorders>
              <w:top w:val="nil"/>
              <w:left w:val="nil"/>
              <w:bottom w:val="single" w:sz="4" w:space="0" w:color="auto"/>
              <w:right w:val="single" w:sz="4" w:space="0" w:color="auto"/>
            </w:tcBorders>
            <w:shd w:val="clear" w:color="auto" w:fill="auto"/>
            <w:noWrap/>
            <w:vAlign w:val="bottom"/>
          </w:tcPr>
          <w:p w14:paraId="339ED09A" w14:textId="2BAA50FA" w:rsidR="0020673A" w:rsidRPr="0020673A" w:rsidRDefault="0020673A">
            <w:pPr>
              <w:jc w:val="right"/>
              <w:rPr>
                <w:rFonts w:ascii="Arial" w:hAnsi="Arial" w:cs="Arial"/>
                <w:b/>
                <w:sz w:val="16"/>
                <w:szCs w:val="16"/>
              </w:rPr>
            </w:pPr>
            <w:r w:rsidRPr="002E1AF6">
              <w:rPr>
                <w:rFonts w:ascii="Arial" w:hAnsi="Arial" w:cs="Arial"/>
                <w:b/>
                <w:sz w:val="16"/>
                <w:szCs w:val="16"/>
              </w:rPr>
              <w:t>-7.579.643</w:t>
            </w:r>
          </w:p>
        </w:tc>
      </w:tr>
      <w:tr w:rsidR="0020673A" w:rsidRPr="00855DF9" w14:paraId="5C77CE35" w14:textId="77777777" w:rsidTr="002E1AF6">
        <w:trPr>
          <w:trHeight w:val="21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3F6BAA73" w14:textId="77777777" w:rsidR="0020673A" w:rsidRPr="00855DF9" w:rsidRDefault="0020673A" w:rsidP="0020673A">
            <w:pPr>
              <w:rPr>
                <w:rFonts w:ascii="Arial" w:hAnsi="Arial" w:cs="Arial"/>
                <w:b/>
                <w:bCs/>
                <w:sz w:val="16"/>
                <w:szCs w:val="16"/>
                <w:lang w:eastAsia="es-AR"/>
              </w:rPr>
            </w:pPr>
            <w:r w:rsidRPr="00855DF9">
              <w:rPr>
                <w:rFonts w:ascii="Arial" w:hAnsi="Arial" w:cs="Arial"/>
                <w:b/>
                <w:sz w:val="16"/>
                <w:szCs w:val="16"/>
              </w:rPr>
              <w:t>TOTAL PASIVO</w:t>
            </w:r>
          </w:p>
        </w:tc>
        <w:tc>
          <w:tcPr>
            <w:tcW w:w="1319" w:type="dxa"/>
            <w:tcBorders>
              <w:top w:val="nil"/>
              <w:left w:val="nil"/>
              <w:bottom w:val="single" w:sz="4" w:space="0" w:color="auto"/>
              <w:right w:val="single" w:sz="4" w:space="0" w:color="auto"/>
            </w:tcBorders>
            <w:shd w:val="clear" w:color="auto" w:fill="auto"/>
            <w:noWrap/>
            <w:vAlign w:val="bottom"/>
          </w:tcPr>
          <w:p w14:paraId="2076C3FD" w14:textId="50B03131" w:rsidR="0020673A" w:rsidRPr="0020673A" w:rsidRDefault="00306643" w:rsidP="0020673A">
            <w:pPr>
              <w:jc w:val="right"/>
              <w:rPr>
                <w:rFonts w:ascii="Arial" w:hAnsi="Arial" w:cs="Arial"/>
                <w:b/>
                <w:sz w:val="16"/>
                <w:szCs w:val="16"/>
              </w:rPr>
            </w:pPr>
            <w:r w:rsidRPr="00306643">
              <w:rPr>
                <w:rFonts w:ascii="Arial" w:hAnsi="Arial" w:cs="Arial"/>
                <w:b/>
                <w:sz w:val="16"/>
                <w:szCs w:val="16"/>
              </w:rPr>
              <w:t>-16.724.391</w:t>
            </w:r>
          </w:p>
        </w:tc>
        <w:tc>
          <w:tcPr>
            <w:tcW w:w="1174" w:type="dxa"/>
            <w:tcBorders>
              <w:top w:val="nil"/>
              <w:left w:val="nil"/>
              <w:bottom w:val="single" w:sz="4" w:space="0" w:color="auto"/>
              <w:right w:val="single" w:sz="4" w:space="0" w:color="auto"/>
            </w:tcBorders>
            <w:shd w:val="clear" w:color="auto" w:fill="auto"/>
            <w:noWrap/>
            <w:vAlign w:val="bottom"/>
          </w:tcPr>
          <w:p w14:paraId="07497BF5" w14:textId="15F07B28" w:rsidR="0020673A" w:rsidRPr="0020673A" w:rsidRDefault="00306643" w:rsidP="0020673A">
            <w:pPr>
              <w:jc w:val="right"/>
              <w:rPr>
                <w:rFonts w:ascii="Arial" w:hAnsi="Arial" w:cs="Arial"/>
                <w:b/>
                <w:sz w:val="16"/>
                <w:szCs w:val="16"/>
              </w:rPr>
            </w:pPr>
            <w:r w:rsidRPr="00306643">
              <w:rPr>
                <w:rFonts w:ascii="Arial" w:hAnsi="Arial" w:cs="Arial"/>
                <w:b/>
                <w:sz w:val="16"/>
                <w:szCs w:val="16"/>
              </w:rPr>
              <w:t>-94.670.639</w:t>
            </w:r>
          </w:p>
        </w:tc>
        <w:tc>
          <w:tcPr>
            <w:tcW w:w="1289" w:type="dxa"/>
            <w:tcBorders>
              <w:top w:val="nil"/>
              <w:left w:val="nil"/>
              <w:bottom w:val="single" w:sz="4" w:space="0" w:color="auto"/>
              <w:right w:val="single" w:sz="4" w:space="0" w:color="auto"/>
            </w:tcBorders>
            <w:shd w:val="clear" w:color="auto" w:fill="auto"/>
            <w:noWrap/>
            <w:vAlign w:val="bottom"/>
          </w:tcPr>
          <w:p w14:paraId="29251E94" w14:textId="5F7DC29A" w:rsidR="0020673A" w:rsidRPr="0020673A" w:rsidRDefault="00457C5D" w:rsidP="0020673A">
            <w:pPr>
              <w:jc w:val="right"/>
              <w:rPr>
                <w:rFonts w:ascii="Arial" w:hAnsi="Arial" w:cs="Arial"/>
                <w:b/>
                <w:sz w:val="16"/>
                <w:szCs w:val="16"/>
              </w:rPr>
            </w:pPr>
            <w:r w:rsidRPr="00457C5D">
              <w:rPr>
                <w:rFonts w:ascii="Arial" w:hAnsi="Arial" w:cs="Arial"/>
                <w:b/>
                <w:sz w:val="16"/>
                <w:szCs w:val="16"/>
              </w:rPr>
              <w:t xml:space="preserve">-100.053.762 </w:t>
            </w:r>
            <w:r w:rsidR="0020673A" w:rsidRPr="002E1AF6">
              <w:rPr>
                <w:rFonts w:ascii="Arial" w:hAnsi="Arial" w:cs="Arial"/>
                <w:b/>
                <w:sz w:val="16"/>
                <w:szCs w:val="16"/>
              </w:rPr>
              <w:t xml:space="preserve"> </w:t>
            </w:r>
          </w:p>
        </w:tc>
        <w:tc>
          <w:tcPr>
            <w:tcW w:w="1091" w:type="dxa"/>
            <w:tcBorders>
              <w:top w:val="nil"/>
              <w:left w:val="nil"/>
              <w:bottom w:val="single" w:sz="4" w:space="0" w:color="auto"/>
              <w:right w:val="single" w:sz="4" w:space="0" w:color="auto"/>
            </w:tcBorders>
            <w:shd w:val="clear" w:color="auto" w:fill="auto"/>
            <w:noWrap/>
            <w:vAlign w:val="bottom"/>
          </w:tcPr>
          <w:p w14:paraId="1012CC91" w14:textId="2B37F5CE" w:rsidR="0020673A" w:rsidRPr="0020673A" w:rsidRDefault="0020673A" w:rsidP="0020673A">
            <w:pPr>
              <w:jc w:val="right"/>
              <w:rPr>
                <w:rFonts w:ascii="Arial" w:hAnsi="Arial" w:cs="Arial"/>
                <w:b/>
                <w:sz w:val="16"/>
                <w:szCs w:val="16"/>
              </w:rPr>
            </w:pPr>
            <w:r w:rsidRPr="002E1AF6">
              <w:rPr>
                <w:rFonts w:ascii="Arial" w:hAnsi="Arial" w:cs="Arial"/>
                <w:b/>
                <w:sz w:val="16"/>
                <w:szCs w:val="16"/>
              </w:rPr>
              <w:t xml:space="preserve"> -9.031.226 </w:t>
            </w:r>
          </w:p>
        </w:tc>
        <w:tc>
          <w:tcPr>
            <w:tcW w:w="954" w:type="dxa"/>
            <w:tcBorders>
              <w:top w:val="nil"/>
              <w:left w:val="nil"/>
              <w:bottom w:val="single" w:sz="4" w:space="0" w:color="auto"/>
              <w:right w:val="single" w:sz="4" w:space="0" w:color="auto"/>
            </w:tcBorders>
            <w:shd w:val="clear" w:color="auto" w:fill="auto"/>
            <w:noWrap/>
            <w:vAlign w:val="bottom"/>
          </w:tcPr>
          <w:p w14:paraId="3C3E7E04" w14:textId="1135289B" w:rsidR="0020673A" w:rsidRPr="0020673A" w:rsidRDefault="0020673A" w:rsidP="0020673A">
            <w:pPr>
              <w:jc w:val="right"/>
              <w:rPr>
                <w:rFonts w:ascii="Arial" w:hAnsi="Arial" w:cs="Arial"/>
                <w:b/>
                <w:sz w:val="16"/>
                <w:szCs w:val="16"/>
              </w:rPr>
            </w:pPr>
            <w:r w:rsidRPr="0020673A">
              <w:rPr>
                <w:rFonts w:ascii="Arial" w:hAnsi="Arial" w:cs="Arial"/>
                <w:b/>
                <w:sz w:val="16"/>
                <w:szCs w:val="16"/>
              </w:rPr>
              <w:t>3.317.550</w:t>
            </w:r>
          </w:p>
        </w:tc>
        <w:tc>
          <w:tcPr>
            <w:tcW w:w="1226" w:type="dxa"/>
            <w:tcBorders>
              <w:top w:val="nil"/>
              <w:left w:val="nil"/>
              <w:bottom w:val="single" w:sz="4" w:space="0" w:color="auto"/>
              <w:right w:val="single" w:sz="4" w:space="0" w:color="auto"/>
            </w:tcBorders>
            <w:shd w:val="clear" w:color="auto" w:fill="auto"/>
            <w:noWrap/>
            <w:vAlign w:val="bottom"/>
          </w:tcPr>
          <w:p w14:paraId="447520CA" w14:textId="3FF1581E" w:rsidR="0020673A" w:rsidRPr="0020673A" w:rsidRDefault="0020673A">
            <w:pPr>
              <w:jc w:val="right"/>
              <w:rPr>
                <w:rFonts w:ascii="Arial" w:hAnsi="Arial" w:cs="Arial"/>
                <w:b/>
                <w:sz w:val="16"/>
                <w:szCs w:val="16"/>
              </w:rPr>
            </w:pPr>
            <w:r w:rsidRPr="002E1AF6">
              <w:rPr>
                <w:rFonts w:ascii="Arial" w:hAnsi="Arial" w:cs="Arial"/>
                <w:b/>
                <w:sz w:val="16"/>
                <w:szCs w:val="16"/>
              </w:rPr>
              <w:t>-217.162.468</w:t>
            </w:r>
          </w:p>
        </w:tc>
      </w:tr>
    </w:tbl>
    <w:p w14:paraId="049FD700" w14:textId="70803EBB" w:rsidR="00F20D65" w:rsidRDefault="00F20D65" w:rsidP="00E31F15">
      <w:pPr>
        <w:spacing w:after="160" w:line="259" w:lineRule="auto"/>
        <w:jc w:val="both"/>
        <w:rPr>
          <w:rFonts w:ascii="Arial" w:eastAsia="Calibri" w:hAnsi="Arial" w:cs="Arial"/>
          <w:b/>
          <w:bCs/>
          <w:sz w:val="20"/>
          <w:highlight w:val="yellow"/>
        </w:rPr>
      </w:pPr>
    </w:p>
    <w:p w14:paraId="02F3792F" w14:textId="77777777" w:rsidR="002E0A36" w:rsidRPr="00E31F15" w:rsidRDefault="002E0A36" w:rsidP="00E31F15">
      <w:pPr>
        <w:spacing w:after="160" w:line="259" w:lineRule="auto"/>
        <w:jc w:val="both"/>
        <w:rPr>
          <w:rFonts w:ascii="Arial" w:eastAsia="Calibri" w:hAnsi="Arial" w:cs="Arial"/>
          <w:b/>
          <w:bCs/>
          <w:sz w:val="20"/>
          <w:highlight w:val="yellow"/>
        </w:rPr>
      </w:pPr>
    </w:p>
    <w:tbl>
      <w:tblPr>
        <w:tblW w:w="10290" w:type="dxa"/>
        <w:tblInd w:w="-356" w:type="dxa"/>
        <w:tblCellMar>
          <w:left w:w="70" w:type="dxa"/>
          <w:right w:w="70" w:type="dxa"/>
        </w:tblCellMar>
        <w:tblLook w:val="04A0" w:firstRow="1" w:lastRow="0" w:firstColumn="1" w:lastColumn="0" w:noHBand="0" w:noVBand="1"/>
      </w:tblPr>
      <w:tblGrid>
        <w:gridCol w:w="3403"/>
        <w:gridCol w:w="1341"/>
        <w:gridCol w:w="1231"/>
        <w:gridCol w:w="1231"/>
        <w:gridCol w:w="1110"/>
        <w:gridCol w:w="824"/>
        <w:gridCol w:w="1150"/>
      </w:tblGrid>
      <w:tr w:rsidR="008D322F" w:rsidRPr="00E31F15" w14:paraId="4022EA9E" w14:textId="77777777" w:rsidTr="00BA7A6B">
        <w:trPr>
          <w:trHeight w:val="190"/>
          <w:tblHeader/>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07FC3" w14:textId="5062793A"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lastRenderedPageBreak/>
              <w:t>Resultado por Segmentos al 31/03/2019</w:t>
            </w:r>
          </w:p>
        </w:tc>
        <w:tc>
          <w:tcPr>
            <w:tcW w:w="1341" w:type="dxa"/>
            <w:tcBorders>
              <w:top w:val="single" w:sz="4" w:space="0" w:color="auto"/>
              <w:left w:val="single" w:sz="4" w:space="0" w:color="auto"/>
              <w:bottom w:val="single" w:sz="4" w:space="0" w:color="auto"/>
              <w:right w:val="single" w:sz="4" w:space="0" w:color="auto"/>
            </w:tcBorders>
            <w:shd w:val="clear" w:color="auto" w:fill="auto"/>
            <w:hideMark/>
          </w:tcPr>
          <w:p w14:paraId="0D822858" w14:textId="0159D153" w:rsidR="008D322F" w:rsidRPr="00BA7A6B" w:rsidRDefault="008D322F" w:rsidP="008D322F">
            <w:pPr>
              <w:jc w:val="center"/>
              <w:rPr>
                <w:rFonts w:ascii="Arial" w:hAnsi="Arial" w:cs="Arial"/>
                <w:b/>
                <w:bCs/>
                <w:sz w:val="16"/>
                <w:szCs w:val="18"/>
                <w:lang w:eastAsia="es-AR"/>
              </w:rPr>
            </w:pPr>
            <w:r w:rsidRPr="005F090B">
              <w:rPr>
                <w:rFonts w:ascii="Arial" w:hAnsi="Arial" w:cs="Arial"/>
                <w:b/>
                <w:bCs/>
                <w:color w:val="000000"/>
                <w:sz w:val="16"/>
                <w:szCs w:val="16"/>
                <w:lang w:eastAsia="es-AR"/>
              </w:rPr>
              <w:t xml:space="preserve">Banca Corporativa </w:t>
            </w:r>
          </w:p>
        </w:tc>
        <w:tc>
          <w:tcPr>
            <w:tcW w:w="1231" w:type="dxa"/>
            <w:tcBorders>
              <w:top w:val="single" w:sz="4" w:space="0" w:color="auto"/>
              <w:left w:val="single" w:sz="4" w:space="0" w:color="auto"/>
              <w:bottom w:val="single" w:sz="4" w:space="0" w:color="auto"/>
              <w:right w:val="single" w:sz="4" w:space="0" w:color="auto"/>
            </w:tcBorders>
            <w:shd w:val="clear" w:color="auto" w:fill="auto"/>
            <w:hideMark/>
          </w:tcPr>
          <w:p w14:paraId="55527CE7" w14:textId="6DC016D8" w:rsidR="008D322F" w:rsidRPr="00BA7A6B" w:rsidRDefault="008D322F" w:rsidP="008D322F">
            <w:pPr>
              <w:jc w:val="center"/>
              <w:rPr>
                <w:rFonts w:ascii="Arial" w:hAnsi="Arial" w:cs="Arial"/>
                <w:b/>
                <w:bCs/>
                <w:sz w:val="16"/>
                <w:szCs w:val="18"/>
                <w:lang w:eastAsia="es-AR"/>
              </w:rPr>
            </w:pPr>
            <w:r w:rsidRPr="005F090B">
              <w:rPr>
                <w:rFonts w:ascii="Arial" w:hAnsi="Arial" w:cs="Arial"/>
                <w:b/>
                <w:bCs/>
                <w:color w:val="000000"/>
                <w:sz w:val="16"/>
                <w:szCs w:val="16"/>
                <w:lang w:eastAsia="es-AR"/>
              </w:rPr>
              <w:t>Banca Personas y Negocios</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E87F4"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Tesorería</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6F0273E7"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Consumo</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56412"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Ajustes</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CE9D1" w14:textId="77777777" w:rsidR="008D322F" w:rsidRPr="00BA7A6B" w:rsidRDefault="008D322F" w:rsidP="008D322F">
            <w:pPr>
              <w:jc w:val="center"/>
              <w:rPr>
                <w:rFonts w:ascii="Arial" w:hAnsi="Arial" w:cs="Arial"/>
                <w:b/>
                <w:bCs/>
                <w:sz w:val="16"/>
                <w:szCs w:val="18"/>
                <w:lang w:eastAsia="es-AR"/>
              </w:rPr>
            </w:pPr>
            <w:r w:rsidRPr="00BA7A6B">
              <w:rPr>
                <w:rFonts w:ascii="Arial" w:hAnsi="Arial" w:cs="Arial"/>
                <w:b/>
                <w:bCs/>
                <w:sz w:val="16"/>
                <w:szCs w:val="18"/>
                <w:lang w:eastAsia="es-AR"/>
              </w:rPr>
              <w:t>TOTAL</w:t>
            </w:r>
          </w:p>
        </w:tc>
      </w:tr>
      <w:tr w:rsidR="00855DF9" w:rsidRPr="00E31F15" w14:paraId="496B1FF1"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168F7443" w14:textId="77777777" w:rsidR="00855DF9" w:rsidRPr="00827C8E" w:rsidRDefault="00855DF9" w:rsidP="00855DF9">
            <w:pPr>
              <w:rPr>
                <w:rFonts w:ascii="Arial" w:hAnsi="Arial" w:cs="Arial"/>
                <w:sz w:val="16"/>
                <w:szCs w:val="18"/>
                <w:lang w:eastAsia="es-AR"/>
              </w:rPr>
            </w:pPr>
            <w:r w:rsidRPr="00827C8E">
              <w:rPr>
                <w:rFonts w:ascii="Arial" w:hAnsi="Arial" w:cs="Arial"/>
                <w:sz w:val="16"/>
                <w:szCs w:val="18"/>
                <w:lang w:eastAsia="es-AR"/>
              </w:rPr>
              <w:t xml:space="preserve"> Ingresos por intereses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186BDF0C" w14:textId="7D39576D" w:rsidR="00855DF9" w:rsidRPr="00BA7A6B" w:rsidRDefault="00855DF9">
            <w:pPr>
              <w:jc w:val="right"/>
              <w:rPr>
                <w:rFonts w:ascii="Arial" w:hAnsi="Arial" w:cs="Arial"/>
                <w:sz w:val="16"/>
                <w:szCs w:val="16"/>
              </w:rPr>
            </w:pPr>
            <w:r w:rsidRPr="00BA7A6B">
              <w:rPr>
                <w:rFonts w:ascii="Arial" w:hAnsi="Arial" w:cs="Arial"/>
                <w:sz w:val="16"/>
                <w:szCs w:val="16"/>
              </w:rPr>
              <w:t xml:space="preserve"> 3.761.235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7D588561" w14:textId="1BDBD8D3" w:rsidR="00855DF9" w:rsidRPr="00BA7A6B" w:rsidRDefault="00855DF9">
            <w:pPr>
              <w:jc w:val="right"/>
              <w:rPr>
                <w:rFonts w:ascii="Arial" w:hAnsi="Arial" w:cs="Arial"/>
                <w:sz w:val="16"/>
                <w:szCs w:val="16"/>
              </w:rPr>
            </w:pPr>
            <w:r w:rsidRPr="00BA7A6B">
              <w:rPr>
                <w:rFonts w:ascii="Arial" w:hAnsi="Arial" w:cs="Arial"/>
                <w:sz w:val="16"/>
                <w:szCs w:val="16"/>
              </w:rPr>
              <w:t xml:space="preserve"> 6.353.954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4801D904" w14:textId="5C19E39A" w:rsidR="00855DF9" w:rsidRPr="00BA7A6B" w:rsidRDefault="00855DF9">
            <w:pPr>
              <w:jc w:val="right"/>
              <w:rPr>
                <w:rFonts w:ascii="Arial" w:hAnsi="Arial" w:cs="Arial"/>
                <w:sz w:val="16"/>
                <w:szCs w:val="16"/>
              </w:rPr>
            </w:pPr>
            <w:r w:rsidRPr="00BA7A6B">
              <w:rPr>
                <w:rFonts w:ascii="Arial" w:hAnsi="Arial" w:cs="Arial"/>
                <w:sz w:val="16"/>
                <w:szCs w:val="16"/>
              </w:rPr>
              <w:t xml:space="preserve"> 912.040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09EF552F" w14:textId="683D79B0" w:rsidR="00855DF9" w:rsidRPr="00BA7A6B" w:rsidRDefault="00855DF9">
            <w:pPr>
              <w:jc w:val="right"/>
              <w:rPr>
                <w:rFonts w:ascii="Arial" w:hAnsi="Arial" w:cs="Arial"/>
                <w:sz w:val="16"/>
                <w:szCs w:val="16"/>
              </w:rPr>
            </w:pPr>
            <w:r w:rsidRPr="00BA7A6B">
              <w:rPr>
                <w:rFonts w:ascii="Arial" w:hAnsi="Arial" w:cs="Arial"/>
                <w:sz w:val="16"/>
                <w:szCs w:val="16"/>
              </w:rPr>
              <w:t xml:space="preserve"> 1.587.709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3DA3A0AD" w14:textId="7683ABD7" w:rsidR="00855DF9" w:rsidRPr="00855DF9" w:rsidRDefault="00855DF9">
            <w:pPr>
              <w:jc w:val="right"/>
              <w:rPr>
                <w:rFonts w:ascii="Arial" w:hAnsi="Arial" w:cs="Arial"/>
                <w:sz w:val="16"/>
                <w:szCs w:val="16"/>
              </w:rPr>
            </w:pPr>
            <w:r w:rsidRPr="00855DF9">
              <w:rPr>
                <w:rFonts w:ascii="Arial" w:hAnsi="Arial" w:cs="Arial"/>
                <w:sz w:val="16"/>
                <w:szCs w:val="16"/>
              </w:rPr>
              <w:t xml:space="preserve"> -485.631 </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4957D3F4" w14:textId="072E9231" w:rsidR="00855DF9" w:rsidRPr="00855DF9" w:rsidRDefault="00855DF9">
            <w:pPr>
              <w:jc w:val="right"/>
              <w:rPr>
                <w:rFonts w:ascii="Arial" w:hAnsi="Arial" w:cs="Arial"/>
                <w:sz w:val="16"/>
                <w:szCs w:val="16"/>
              </w:rPr>
            </w:pPr>
            <w:r w:rsidRPr="00855DF9">
              <w:rPr>
                <w:rFonts w:ascii="Arial" w:hAnsi="Arial" w:cs="Arial"/>
                <w:sz w:val="16"/>
                <w:szCs w:val="16"/>
              </w:rPr>
              <w:t xml:space="preserve"> 12.129.307 </w:t>
            </w:r>
          </w:p>
        </w:tc>
      </w:tr>
      <w:tr w:rsidR="00855DF9" w:rsidRPr="00E31F15" w14:paraId="47ECC9C3"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2DB53466" w14:textId="77777777" w:rsidR="00855DF9" w:rsidRPr="00827C8E" w:rsidRDefault="00855DF9" w:rsidP="00855DF9">
            <w:pPr>
              <w:rPr>
                <w:rFonts w:ascii="Arial" w:hAnsi="Arial" w:cs="Arial"/>
                <w:sz w:val="16"/>
                <w:szCs w:val="18"/>
                <w:lang w:eastAsia="es-AR"/>
              </w:rPr>
            </w:pPr>
            <w:r w:rsidRPr="00827C8E">
              <w:rPr>
                <w:rFonts w:ascii="Arial" w:hAnsi="Arial" w:cs="Arial"/>
                <w:sz w:val="16"/>
                <w:szCs w:val="18"/>
                <w:lang w:eastAsia="es-AR"/>
              </w:rPr>
              <w:t xml:space="preserve"> Egresos por intereses </w:t>
            </w:r>
          </w:p>
        </w:tc>
        <w:tc>
          <w:tcPr>
            <w:tcW w:w="1341" w:type="dxa"/>
            <w:tcBorders>
              <w:top w:val="nil"/>
              <w:left w:val="single" w:sz="4" w:space="0" w:color="auto"/>
              <w:bottom w:val="nil"/>
              <w:right w:val="single" w:sz="4" w:space="0" w:color="auto"/>
            </w:tcBorders>
            <w:shd w:val="clear" w:color="auto" w:fill="auto"/>
            <w:noWrap/>
            <w:vAlign w:val="bottom"/>
          </w:tcPr>
          <w:p w14:paraId="1BA7EA59" w14:textId="7585F5BB"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1.076.954 </w:t>
            </w:r>
          </w:p>
        </w:tc>
        <w:tc>
          <w:tcPr>
            <w:tcW w:w="1231" w:type="dxa"/>
            <w:tcBorders>
              <w:top w:val="nil"/>
              <w:left w:val="single" w:sz="4" w:space="0" w:color="auto"/>
              <w:bottom w:val="nil"/>
              <w:right w:val="single" w:sz="4" w:space="0" w:color="auto"/>
            </w:tcBorders>
            <w:shd w:val="clear" w:color="auto" w:fill="auto"/>
            <w:noWrap/>
            <w:vAlign w:val="bottom"/>
          </w:tcPr>
          <w:p w14:paraId="13D62224" w14:textId="2F30FDB2"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2.217.010 </w:t>
            </w:r>
          </w:p>
        </w:tc>
        <w:tc>
          <w:tcPr>
            <w:tcW w:w="1231" w:type="dxa"/>
            <w:tcBorders>
              <w:top w:val="nil"/>
              <w:left w:val="single" w:sz="4" w:space="0" w:color="auto"/>
              <w:bottom w:val="nil"/>
              <w:right w:val="single" w:sz="4" w:space="0" w:color="auto"/>
            </w:tcBorders>
            <w:shd w:val="clear" w:color="auto" w:fill="auto"/>
            <w:noWrap/>
            <w:vAlign w:val="bottom"/>
          </w:tcPr>
          <w:p w14:paraId="18E86F56" w14:textId="05816BC3"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6.532.417 </w:t>
            </w:r>
          </w:p>
        </w:tc>
        <w:tc>
          <w:tcPr>
            <w:tcW w:w="1110" w:type="dxa"/>
            <w:tcBorders>
              <w:top w:val="nil"/>
              <w:left w:val="single" w:sz="4" w:space="0" w:color="auto"/>
              <w:bottom w:val="nil"/>
              <w:right w:val="single" w:sz="4" w:space="0" w:color="auto"/>
            </w:tcBorders>
            <w:shd w:val="clear" w:color="auto" w:fill="auto"/>
            <w:noWrap/>
            <w:vAlign w:val="bottom"/>
          </w:tcPr>
          <w:p w14:paraId="2803E8D2" w14:textId="510FC000"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1.041.197 </w:t>
            </w:r>
          </w:p>
        </w:tc>
        <w:tc>
          <w:tcPr>
            <w:tcW w:w="824" w:type="dxa"/>
            <w:tcBorders>
              <w:top w:val="nil"/>
              <w:left w:val="single" w:sz="4" w:space="0" w:color="auto"/>
              <w:bottom w:val="nil"/>
              <w:right w:val="single" w:sz="4" w:space="0" w:color="auto"/>
            </w:tcBorders>
            <w:shd w:val="clear" w:color="auto" w:fill="auto"/>
            <w:noWrap/>
            <w:vAlign w:val="bottom"/>
          </w:tcPr>
          <w:p w14:paraId="39078B11" w14:textId="28CE53D0" w:rsidR="00855DF9" w:rsidRPr="00855DF9" w:rsidRDefault="00855DF9">
            <w:pPr>
              <w:jc w:val="right"/>
              <w:rPr>
                <w:rFonts w:ascii="Arial" w:hAnsi="Arial" w:cs="Arial"/>
                <w:sz w:val="16"/>
                <w:szCs w:val="16"/>
              </w:rPr>
            </w:pPr>
            <w:r w:rsidRPr="00855DF9">
              <w:rPr>
                <w:rFonts w:ascii="Arial" w:hAnsi="Arial" w:cs="Arial"/>
                <w:sz w:val="16"/>
                <w:szCs w:val="16"/>
              </w:rPr>
              <w:t xml:space="preserve"> 429.213 </w:t>
            </w:r>
          </w:p>
        </w:tc>
        <w:tc>
          <w:tcPr>
            <w:tcW w:w="1150" w:type="dxa"/>
            <w:tcBorders>
              <w:top w:val="nil"/>
              <w:left w:val="single" w:sz="4" w:space="0" w:color="auto"/>
              <w:bottom w:val="nil"/>
              <w:right w:val="single" w:sz="4" w:space="0" w:color="auto"/>
            </w:tcBorders>
            <w:shd w:val="clear" w:color="auto" w:fill="auto"/>
            <w:noWrap/>
            <w:vAlign w:val="bottom"/>
          </w:tcPr>
          <w:p w14:paraId="716EEFA7" w14:textId="6445A7A0" w:rsidR="00855DF9" w:rsidRPr="00855DF9" w:rsidRDefault="00855DF9">
            <w:pPr>
              <w:jc w:val="right"/>
              <w:rPr>
                <w:rFonts w:ascii="Arial" w:hAnsi="Arial" w:cs="Arial"/>
                <w:sz w:val="16"/>
                <w:szCs w:val="16"/>
              </w:rPr>
            </w:pPr>
            <w:r w:rsidRPr="00855DF9">
              <w:rPr>
                <w:rFonts w:ascii="Arial" w:hAnsi="Arial" w:cs="Arial"/>
                <w:sz w:val="16"/>
                <w:szCs w:val="16"/>
              </w:rPr>
              <w:t xml:space="preserve"> </w:t>
            </w:r>
            <w:r w:rsidR="00EC4862">
              <w:rPr>
                <w:rFonts w:ascii="Arial" w:hAnsi="Arial" w:cs="Arial"/>
                <w:sz w:val="16"/>
                <w:szCs w:val="16"/>
              </w:rPr>
              <w:t>-</w:t>
            </w:r>
            <w:r w:rsidRPr="00855DF9">
              <w:rPr>
                <w:rFonts w:ascii="Arial" w:hAnsi="Arial" w:cs="Arial"/>
                <w:sz w:val="16"/>
                <w:szCs w:val="16"/>
              </w:rPr>
              <w:t xml:space="preserve">10.438.365 </w:t>
            </w:r>
          </w:p>
        </w:tc>
      </w:tr>
      <w:tr w:rsidR="00855DF9" w:rsidRPr="00E31F15" w14:paraId="51F6CA81"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2050D7D" w14:textId="77777777" w:rsidR="00855DF9" w:rsidRPr="00827C8E" w:rsidRDefault="00855DF9" w:rsidP="00855DF9">
            <w:pPr>
              <w:rPr>
                <w:rFonts w:ascii="Arial" w:hAnsi="Arial" w:cs="Arial"/>
                <w:sz w:val="16"/>
                <w:szCs w:val="18"/>
                <w:lang w:eastAsia="es-AR"/>
              </w:rPr>
            </w:pPr>
            <w:r w:rsidRPr="00827C8E">
              <w:rPr>
                <w:rFonts w:ascii="Arial" w:hAnsi="Arial" w:cs="Arial"/>
                <w:sz w:val="16"/>
                <w:szCs w:val="18"/>
                <w:lang w:eastAsia="es-AR"/>
              </w:rPr>
              <w:t xml:space="preserve"> Resultados por Interés de Transferencia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76E35178" w14:textId="540475ED" w:rsidR="00855DF9" w:rsidRPr="00BA7A6B" w:rsidRDefault="00172FBA">
            <w:pPr>
              <w:jc w:val="right"/>
              <w:rPr>
                <w:rFonts w:ascii="Arial" w:hAnsi="Arial" w:cs="Arial"/>
                <w:sz w:val="16"/>
                <w:szCs w:val="16"/>
              </w:rPr>
            </w:pPr>
            <w:r w:rsidRPr="00172FBA">
              <w:rPr>
                <w:rFonts w:ascii="Arial" w:hAnsi="Arial" w:cs="Arial"/>
                <w:sz w:val="16"/>
                <w:szCs w:val="16"/>
              </w:rPr>
              <w:t>-850.392</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09B9595D" w14:textId="08589F79" w:rsidR="00855DF9" w:rsidRPr="00BA7A6B" w:rsidRDefault="00172FBA">
            <w:pPr>
              <w:jc w:val="right"/>
              <w:rPr>
                <w:rFonts w:ascii="Arial" w:hAnsi="Arial" w:cs="Arial"/>
                <w:sz w:val="16"/>
                <w:szCs w:val="16"/>
              </w:rPr>
            </w:pPr>
            <w:r w:rsidRPr="00172FBA">
              <w:rPr>
                <w:rFonts w:ascii="Arial" w:hAnsi="Arial" w:cs="Arial"/>
                <w:sz w:val="16"/>
                <w:szCs w:val="16"/>
              </w:rPr>
              <w:t>480.692</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26A60680" w14:textId="769F678E" w:rsidR="00855DF9" w:rsidRPr="00BA7A6B" w:rsidRDefault="00855DF9">
            <w:pPr>
              <w:jc w:val="right"/>
              <w:rPr>
                <w:rFonts w:ascii="Arial" w:hAnsi="Arial" w:cs="Arial"/>
                <w:sz w:val="16"/>
                <w:szCs w:val="16"/>
              </w:rPr>
            </w:pPr>
            <w:r w:rsidRPr="00BA7A6B">
              <w:rPr>
                <w:rFonts w:ascii="Arial" w:hAnsi="Arial" w:cs="Arial"/>
                <w:sz w:val="16"/>
                <w:szCs w:val="16"/>
              </w:rPr>
              <w:t xml:space="preserve"> 369.</w:t>
            </w:r>
            <w:r w:rsidR="00457C5D">
              <w:rPr>
                <w:rFonts w:ascii="Arial" w:hAnsi="Arial" w:cs="Arial"/>
                <w:sz w:val="16"/>
                <w:szCs w:val="16"/>
              </w:rPr>
              <w:t>700</w:t>
            </w:r>
            <w:r w:rsidRPr="00BA7A6B">
              <w:rPr>
                <w:rFonts w:ascii="Arial" w:hAnsi="Arial" w:cs="Arial"/>
                <w:sz w:val="16"/>
                <w:szCs w:val="16"/>
              </w:rPr>
              <w:t xml:space="preserve">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4A541B71" w14:textId="2CAF3ABA" w:rsidR="00855DF9" w:rsidRPr="00BA7A6B" w:rsidRDefault="00855DF9">
            <w:pPr>
              <w:jc w:val="right"/>
              <w:rPr>
                <w:rFonts w:ascii="Arial" w:hAnsi="Arial" w:cs="Arial"/>
                <w:sz w:val="16"/>
                <w:szCs w:val="16"/>
              </w:rPr>
            </w:pPr>
            <w:r w:rsidRPr="00BA7A6B">
              <w:rPr>
                <w:rFonts w:ascii="Arial" w:hAnsi="Arial" w:cs="Arial"/>
                <w:sz w:val="16"/>
                <w:szCs w:val="16"/>
              </w:rPr>
              <w:t xml:space="preserve"> -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17AD87B5" w14:textId="3E27D92D" w:rsidR="00855DF9" w:rsidRPr="00855DF9" w:rsidRDefault="00855DF9">
            <w:pPr>
              <w:jc w:val="right"/>
              <w:rPr>
                <w:rFonts w:ascii="Arial" w:hAnsi="Arial" w:cs="Arial"/>
                <w:sz w:val="16"/>
                <w:szCs w:val="16"/>
              </w:rPr>
            </w:pPr>
            <w:r w:rsidRPr="00855DF9">
              <w:rPr>
                <w:rFonts w:ascii="Arial" w:hAnsi="Arial" w:cs="Arial"/>
                <w:sz w:val="16"/>
                <w:szCs w:val="16"/>
              </w:rPr>
              <w:t xml:space="preserve"> - </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773BF36E" w14:textId="79B676CE" w:rsidR="00855DF9" w:rsidRPr="00855DF9" w:rsidRDefault="00855DF9">
            <w:pPr>
              <w:jc w:val="right"/>
              <w:rPr>
                <w:rFonts w:ascii="Arial" w:hAnsi="Arial" w:cs="Arial"/>
                <w:sz w:val="16"/>
                <w:szCs w:val="16"/>
              </w:rPr>
            </w:pPr>
            <w:r w:rsidRPr="00855DF9">
              <w:rPr>
                <w:rFonts w:ascii="Arial" w:hAnsi="Arial" w:cs="Arial"/>
                <w:sz w:val="16"/>
                <w:szCs w:val="16"/>
              </w:rPr>
              <w:t xml:space="preserve"> - </w:t>
            </w:r>
          </w:p>
        </w:tc>
      </w:tr>
      <w:tr w:rsidR="00855DF9" w:rsidRPr="00E31F15" w14:paraId="3D209706" w14:textId="77777777" w:rsidTr="00BA7A6B">
        <w:trPr>
          <w:trHeight w:val="112"/>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3A756" w14:textId="77777777" w:rsidR="00855DF9" w:rsidRPr="00827C8E" w:rsidRDefault="00855DF9" w:rsidP="00855DF9">
            <w:pPr>
              <w:rPr>
                <w:rFonts w:ascii="Arial" w:hAnsi="Arial" w:cs="Arial"/>
                <w:b/>
                <w:bCs/>
                <w:sz w:val="16"/>
                <w:szCs w:val="18"/>
                <w:lang w:eastAsia="es-AR"/>
              </w:rPr>
            </w:pPr>
            <w:r w:rsidRPr="00827C8E">
              <w:rPr>
                <w:rFonts w:ascii="Arial" w:hAnsi="Arial" w:cs="Arial"/>
                <w:b/>
                <w:bCs/>
                <w:sz w:val="16"/>
                <w:szCs w:val="18"/>
                <w:lang w:eastAsia="es-AR"/>
              </w:rPr>
              <w:t xml:space="preserve"> Resultado neto por intereses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73403" w14:textId="1F8E4D16" w:rsidR="00855DF9" w:rsidRPr="00457C5D" w:rsidRDefault="00855DF9">
            <w:pPr>
              <w:jc w:val="right"/>
              <w:rPr>
                <w:rFonts w:ascii="Arial" w:hAnsi="Arial" w:cs="Arial"/>
                <w:b/>
                <w:sz w:val="16"/>
                <w:szCs w:val="16"/>
              </w:rPr>
            </w:pPr>
            <w:r w:rsidRPr="005333A4">
              <w:rPr>
                <w:rFonts w:ascii="Arial" w:hAnsi="Arial" w:cs="Arial"/>
                <w:b/>
                <w:sz w:val="16"/>
                <w:szCs w:val="16"/>
              </w:rPr>
              <w:t xml:space="preserve"> </w:t>
            </w:r>
            <w:r w:rsidR="00172FBA" w:rsidRPr="005333A4">
              <w:rPr>
                <w:rFonts w:ascii="Arial" w:hAnsi="Arial" w:cs="Arial"/>
                <w:b/>
                <w:sz w:val="16"/>
                <w:szCs w:val="16"/>
              </w:rPr>
              <w:t xml:space="preserve"> 1.833.889</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2F92F" w14:textId="01F27821" w:rsidR="00855DF9" w:rsidRPr="00457C5D" w:rsidRDefault="00172FBA">
            <w:pPr>
              <w:jc w:val="right"/>
              <w:rPr>
                <w:rFonts w:ascii="Arial" w:hAnsi="Arial" w:cs="Arial"/>
                <w:b/>
                <w:sz w:val="16"/>
                <w:szCs w:val="16"/>
              </w:rPr>
            </w:pPr>
            <w:r w:rsidRPr="005333A4">
              <w:rPr>
                <w:rFonts w:ascii="Arial" w:hAnsi="Arial" w:cs="Arial"/>
                <w:b/>
                <w:sz w:val="16"/>
                <w:szCs w:val="16"/>
              </w:rPr>
              <w:t>4.617.636</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E4C5A" w14:textId="5C54BC14" w:rsidR="00855DF9" w:rsidRPr="00457C5D" w:rsidRDefault="00855DF9">
            <w:pPr>
              <w:jc w:val="right"/>
              <w:rPr>
                <w:rFonts w:ascii="Arial" w:hAnsi="Arial" w:cs="Arial"/>
                <w:b/>
                <w:sz w:val="16"/>
                <w:szCs w:val="16"/>
              </w:rPr>
            </w:pPr>
            <w:r w:rsidRPr="005333A4">
              <w:rPr>
                <w:rFonts w:ascii="Arial" w:hAnsi="Arial" w:cs="Arial"/>
                <w:b/>
                <w:sz w:val="16"/>
                <w:szCs w:val="16"/>
              </w:rPr>
              <w:t xml:space="preserve"> -5.250.67</w:t>
            </w:r>
            <w:r w:rsidR="00457C5D">
              <w:rPr>
                <w:rFonts w:ascii="Arial" w:hAnsi="Arial" w:cs="Arial"/>
                <w:b/>
                <w:sz w:val="16"/>
                <w:szCs w:val="16"/>
              </w:rPr>
              <w:t>7</w:t>
            </w:r>
            <w:r w:rsidRPr="005333A4">
              <w:rPr>
                <w:rFonts w:ascii="Arial" w:hAnsi="Arial" w:cs="Arial"/>
                <w:b/>
                <w:sz w:val="16"/>
                <w:szCs w:val="16"/>
              </w:rPr>
              <w:t xml:space="preserve">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3EF17" w14:textId="3B171EA0" w:rsidR="00855DF9" w:rsidRPr="00457C5D" w:rsidRDefault="00855DF9">
            <w:pPr>
              <w:jc w:val="right"/>
              <w:rPr>
                <w:rFonts w:ascii="Arial" w:hAnsi="Arial" w:cs="Arial"/>
                <w:b/>
                <w:sz w:val="16"/>
                <w:szCs w:val="16"/>
              </w:rPr>
            </w:pPr>
            <w:r w:rsidRPr="005333A4">
              <w:rPr>
                <w:rFonts w:ascii="Arial" w:hAnsi="Arial" w:cs="Arial"/>
                <w:b/>
                <w:sz w:val="16"/>
                <w:szCs w:val="16"/>
              </w:rPr>
              <w:t xml:space="preserve"> 546.512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A80963" w14:textId="67F8AD14" w:rsidR="00855DF9" w:rsidRPr="00457C5D" w:rsidRDefault="00855DF9">
            <w:pPr>
              <w:jc w:val="right"/>
              <w:rPr>
                <w:rFonts w:ascii="Arial" w:hAnsi="Arial" w:cs="Arial"/>
                <w:b/>
                <w:sz w:val="16"/>
                <w:szCs w:val="16"/>
              </w:rPr>
            </w:pPr>
            <w:r w:rsidRPr="00457C5D">
              <w:rPr>
                <w:rFonts w:ascii="Arial" w:hAnsi="Arial" w:cs="Arial"/>
                <w:b/>
                <w:sz w:val="16"/>
                <w:szCs w:val="16"/>
              </w:rPr>
              <w:t xml:space="preserve"> -56.418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D1878" w14:textId="179700C2" w:rsidR="00855DF9" w:rsidRPr="00855DF9" w:rsidRDefault="00855DF9">
            <w:pPr>
              <w:jc w:val="right"/>
              <w:rPr>
                <w:rFonts w:ascii="Arial" w:hAnsi="Arial" w:cs="Arial"/>
                <w:b/>
                <w:sz w:val="16"/>
                <w:szCs w:val="16"/>
              </w:rPr>
            </w:pPr>
            <w:r w:rsidRPr="00855DF9">
              <w:rPr>
                <w:rFonts w:ascii="Arial" w:hAnsi="Arial" w:cs="Arial"/>
                <w:b/>
                <w:sz w:val="16"/>
                <w:szCs w:val="16"/>
              </w:rPr>
              <w:t xml:space="preserve"> 1.690.942 </w:t>
            </w:r>
          </w:p>
        </w:tc>
      </w:tr>
      <w:tr w:rsidR="00855DF9" w:rsidRPr="00E31F15" w14:paraId="21E3455B"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264E9C72" w14:textId="77777777" w:rsidR="00855DF9" w:rsidRPr="00827C8E" w:rsidRDefault="00855DF9" w:rsidP="00855DF9">
            <w:pPr>
              <w:rPr>
                <w:rFonts w:ascii="Arial" w:hAnsi="Arial" w:cs="Arial"/>
                <w:sz w:val="16"/>
                <w:szCs w:val="18"/>
                <w:lang w:eastAsia="es-AR"/>
              </w:rPr>
            </w:pPr>
            <w:r w:rsidRPr="00827C8E">
              <w:rPr>
                <w:rFonts w:ascii="Arial" w:hAnsi="Arial" w:cs="Arial"/>
                <w:sz w:val="16"/>
                <w:szCs w:val="18"/>
                <w:lang w:eastAsia="es-AR"/>
              </w:rPr>
              <w:t xml:space="preserve"> Ingresos por comisiones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30D47E08" w14:textId="00FEA5AA" w:rsidR="00855DF9" w:rsidRPr="00BA7A6B" w:rsidRDefault="00855DF9">
            <w:pPr>
              <w:jc w:val="right"/>
              <w:rPr>
                <w:rFonts w:ascii="Arial" w:hAnsi="Arial" w:cs="Arial"/>
                <w:sz w:val="16"/>
                <w:szCs w:val="16"/>
              </w:rPr>
            </w:pPr>
            <w:r w:rsidRPr="00BA7A6B">
              <w:rPr>
                <w:rFonts w:ascii="Arial" w:hAnsi="Arial" w:cs="Arial"/>
                <w:sz w:val="16"/>
                <w:szCs w:val="16"/>
              </w:rPr>
              <w:t xml:space="preserve"> 329.853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62F3D0B8" w14:textId="44260D73" w:rsidR="00855DF9" w:rsidRPr="00BA7A6B" w:rsidRDefault="00855DF9">
            <w:pPr>
              <w:jc w:val="right"/>
              <w:rPr>
                <w:rFonts w:ascii="Arial" w:hAnsi="Arial" w:cs="Arial"/>
                <w:sz w:val="16"/>
                <w:szCs w:val="16"/>
              </w:rPr>
            </w:pPr>
            <w:r w:rsidRPr="00BA7A6B">
              <w:rPr>
                <w:rFonts w:ascii="Arial" w:hAnsi="Arial" w:cs="Arial"/>
                <w:sz w:val="16"/>
                <w:szCs w:val="16"/>
              </w:rPr>
              <w:t xml:space="preserve"> 1.455.756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3E9B1E8D" w14:textId="02DED271" w:rsidR="00855DF9" w:rsidRPr="00BA7A6B" w:rsidRDefault="00855DF9">
            <w:pPr>
              <w:jc w:val="right"/>
              <w:rPr>
                <w:rFonts w:ascii="Arial" w:hAnsi="Arial" w:cs="Arial"/>
                <w:sz w:val="16"/>
                <w:szCs w:val="16"/>
              </w:rPr>
            </w:pPr>
            <w:r w:rsidRPr="00BA7A6B">
              <w:rPr>
                <w:rFonts w:ascii="Arial" w:hAnsi="Arial" w:cs="Arial"/>
                <w:sz w:val="16"/>
                <w:szCs w:val="16"/>
              </w:rPr>
              <w:t xml:space="preserve"> 12.920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5FEFDCCA" w14:textId="393BF9F0" w:rsidR="00855DF9" w:rsidRPr="00BA7A6B" w:rsidRDefault="00855DF9">
            <w:pPr>
              <w:jc w:val="right"/>
              <w:rPr>
                <w:rFonts w:ascii="Arial" w:hAnsi="Arial" w:cs="Arial"/>
                <w:sz w:val="16"/>
                <w:szCs w:val="16"/>
              </w:rPr>
            </w:pPr>
            <w:r w:rsidRPr="00BA7A6B">
              <w:rPr>
                <w:rFonts w:ascii="Arial" w:hAnsi="Arial" w:cs="Arial"/>
                <w:sz w:val="16"/>
                <w:szCs w:val="16"/>
              </w:rPr>
              <w:t xml:space="preserve"> 309.033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0FF61BDC" w14:textId="1704D564" w:rsidR="00855DF9" w:rsidRPr="00855DF9" w:rsidRDefault="00855DF9">
            <w:pPr>
              <w:jc w:val="right"/>
              <w:rPr>
                <w:rFonts w:ascii="Arial" w:hAnsi="Arial" w:cs="Arial"/>
                <w:sz w:val="16"/>
                <w:szCs w:val="16"/>
              </w:rPr>
            </w:pPr>
            <w:r w:rsidRPr="00855DF9">
              <w:rPr>
                <w:rFonts w:ascii="Arial" w:hAnsi="Arial" w:cs="Arial"/>
                <w:sz w:val="16"/>
                <w:szCs w:val="16"/>
              </w:rPr>
              <w:t xml:space="preserve"> -662 </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6F977EAA" w14:textId="206E52EE" w:rsidR="00855DF9" w:rsidRPr="00855DF9" w:rsidRDefault="00855DF9">
            <w:pPr>
              <w:jc w:val="right"/>
              <w:rPr>
                <w:rFonts w:ascii="Arial" w:hAnsi="Arial" w:cs="Arial"/>
                <w:sz w:val="16"/>
                <w:szCs w:val="16"/>
              </w:rPr>
            </w:pPr>
            <w:r w:rsidRPr="00855DF9">
              <w:rPr>
                <w:rFonts w:ascii="Arial" w:hAnsi="Arial" w:cs="Arial"/>
                <w:sz w:val="16"/>
                <w:szCs w:val="16"/>
              </w:rPr>
              <w:t xml:space="preserve"> 2.106.900 </w:t>
            </w:r>
          </w:p>
        </w:tc>
      </w:tr>
      <w:tr w:rsidR="00855DF9" w:rsidRPr="00E31F15" w14:paraId="27A99C3F"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6E888CE" w14:textId="77777777" w:rsidR="00855DF9" w:rsidRPr="00827C8E" w:rsidRDefault="00855DF9" w:rsidP="00855DF9">
            <w:pPr>
              <w:rPr>
                <w:rFonts w:ascii="Arial" w:hAnsi="Arial" w:cs="Arial"/>
                <w:sz w:val="16"/>
                <w:szCs w:val="18"/>
                <w:lang w:eastAsia="es-AR"/>
              </w:rPr>
            </w:pPr>
            <w:r w:rsidRPr="00827C8E">
              <w:rPr>
                <w:rFonts w:ascii="Arial" w:hAnsi="Arial" w:cs="Arial"/>
                <w:sz w:val="16"/>
                <w:szCs w:val="18"/>
                <w:lang w:eastAsia="es-AR"/>
              </w:rPr>
              <w:t xml:space="preserve"> Egresos por comisiones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41D50B05" w14:textId="5F3C86FB"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33.455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2514A3E6" w14:textId="30132D91"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352.638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23E0634E" w14:textId="6AC7DA1B"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10.378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724E7C60" w14:textId="10073420" w:rsidR="00855DF9" w:rsidRPr="00BA7A6B"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231.197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4806754C" w14:textId="0E720F08" w:rsidR="00855DF9" w:rsidRPr="00855DF9" w:rsidRDefault="00855DF9">
            <w:pPr>
              <w:jc w:val="right"/>
              <w:rPr>
                <w:rFonts w:ascii="Arial" w:hAnsi="Arial" w:cs="Arial"/>
                <w:sz w:val="16"/>
                <w:szCs w:val="16"/>
              </w:rPr>
            </w:pPr>
            <w:r w:rsidRPr="00855DF9">
              <w:rPr>
                <w:rFonts w:ascii="Arial" w:hAnsi="Arial" w:cs="Arial"/>
                <w:sz w:val="16"/>
                <w:szCs w:val="16"/>
              </w:rPr>
              <w:t xml:space="preserve"> 57.922 </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3ACEB95B" w14:textId="7F675BE7" w:rsidR="00855DF9" w:rsidRPr="00855DF9" w:rsidRDefault="00855DF9">
            <w:pPr>
              <w:jc w:val="right"/>
              <w:rPr>
                <w:rFonts w:ascii="Arial" w:hAnsi="Arial" w:cs="Arial"/>
                <w:sz w:val="16"/>
                <w:szCs w:val="16"/>
              </w:rPr>
            </w:pPr>
            <w:r w:rsidRPr="00855DF9">
              <w:rPr>
                <w:rFonts w:ascii="Arial" w:hAnsi="Arial" w:cs="Arial"/>
                <w:sz w:val="16"/>
                <w:szCs w:val="16"/>
              </w:rPr>
              <w:t xml:space="preserve"> </w:t>
            </w:r>
            <w:r w:rsidR="00EC4862">
              <w:rPr>
                <w:rFonts w:ascii="Arial" w:hAnsi="Arial" w:cs="Arial"/>
                <w:sz w:val="16"/>
                <w:szCs w:val="16"/>
              </w:rPr>
              <w:t>-</w:t>
            </w:r>
            <w:r w:rsidRPr="00855DF9">
              <w:rPr>
                <w:rFonts w:ascii="Arial" w:hAnsi="Arial" w:cs="Arial"/>
                <w:sz w:val="16"/>
                <w:szCs w:val="16"/>
              </w:rPr>
              <w:t xml:space="preserve">569.746 </w:t>
            </w:r>
          </w:p>
        </w:tc>
      </w:tr>
      <w:tr w:rsidR="00855DF9" w:rsidRPr="00E31F15" w14:paraId="469521DF" w14:textId="77777777" w:rsidTr="00BA7A6B">
        <w:trPr>
          <w:trHeight w:val="129"/>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BDB9A" w14:textId="77777777" w:rsidR="00855DF9" w:rsidRPr="00827C8E" w:rsidRDefault="00855DF9" w:rsidP="00855DF9">
            <w:pPr>
              <w:rPr>
                <w:rFonts w:ascii="Arial" w:hAnsi="Arial" w:cs="Arial"/>
                <w:b/>
                <w:bCs/>
                <w:sz w:val="16"/>
                <w:szCs w:val="18"/>
                <w:lang w:eastAsia="es-AR"/>
              </w:rPr>
            </w:pPr>
            <w:r w:rsidRPr="00827C8E">
              <w:rPr>
                <w:rFonts w:ascii="Arial" w:hAnsi="Arial" w:cs="Arial"/>
                <w:b/>
                <w:bCs/>
                <w:sz w:val="16"/>
                <w:szCs w:val="18"/>
                <w:lang w:eastAsia="es-AR"/>
              </w:rPr>
              <w:t xml:space="preserve"> Resultado neto por comisiones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47E0E" w14:textId="5854CC5A" w:rsidR="00855DF9" w:rsidRPr="00457C5D" w:rsidRDefault="00172FBA">
            <w:pPr>
              <w:jc w:val="right"/>
              <w:rPr>
                <w:rFonts w:ascii="Arial" w:hAnsi="Arial" w:cs="Arial"/>
                <w:b/>
                <w:sz w:val="16"/>
                <w:szCs w:val="16"/>
              </w:rPr>
            </w:pPr>
            <w:r w:rsidRPr="005333A4">
              <w:rPr>
                <w:rFonts w:ascii="Arial" w:hAnsi="Arial" w:cs="Arial"/>
                <w:b/>
                <w:sz w:val="16"/>
                <w:szCs w:val="16"/>
              </w:rPr>
              <w:t>296.398</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4DA7E" w14:textId="332F7729" w:rsidR="00855DF9" w:rsidRPr="00457C5D" w:rsidRDefault="00D465A3">
            <w:pPr>
              <w:jc w:val="right"/>
              <w:rPr>
                <w:rFonts w:ascii="Arial" w:hAnsi="Arial" w:cs="Arial"/>
                <w:b/>
                <w:sz w:val="16"/>
                <w:szCs w:val="16"/>
              </w:rPr>
            </w:pPr>
            <w:r w:rsidRPr="005333A4">
              <w:rPr>
                <w:rFonts w:ascii="Arial" w:hAnsi="Arial" w:cs="Arial"/>
                <w:b/>
                <w:sz w:val="16"/>
                <w:szCs w:val="16"/>
              </w:rPr>
              <w:t xml:space="preserve">1.103.118 </w:t>
            </w:r>
            <w:r w:rsidR="00855DF9" w:rsidRPr="005333A4">
              <w:rPr>
                <w:rFonts w:ascii="Arial" w:hAnsi="Arial" w:cs="Arial"/>
                <w:b/>
                <w:sz w:val="16"/>
                <w:szCs w:val="16"/>
              </w:rPr>
              <w:t xml:space="preserve">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EF3E9" w14:textId="3AF06312" w:rsidR="00855DF9" w:rsidRPr="00457C5D" w:rsidRDefault="00855DF9">
            <w:pPr>
              <w:jc w:val="right"/>
              <w:rPr>
                <w:rFonts w:ascii="Arial" w:hAnsi="Arial" w:cs="Arial"/>
                <w:b/>
                <w:sz w:val="16"/>
                <w:szCs w:val="16"/>
              </w:rPr>
            </w:pPr>
            <w:r w:rsidRPr="005333A4">
              <w:rPr>
                <w:rFonts w:ascii="Arial" w:hAnsi="Arial" w:cs="Arial"/>
                <w:b/>
                <w:sz w:val="16"/>
                <w:szCs w:val="16"/>
              </w:rPr>
              <w:t xml:space="preserve"> 2.542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FE6D8" w14:textId="33156A81" w:rsidR="00855DF9" w:rsidRPr="00457C5D" w:rsidRDefault="00855DF9">
            <w:pPr>
              <w:jc w:val="right"/>
              <w:rPr>
                <w:rFonts w:ascii="Arial" w:hAnsi="Arial" w:cs="Arial"/>
                <w:b/>
                <w:sz w:val="16"/>
                <w:szCs w:val="16"/>
              </w:rPr>
            </w:pPr>
            <w:r w:rsidRPr="005333A4">
              <w:rPr>
                <w:rFonts w:ascii="Arial" w:hAnsi="Arial" w:cs="Arial"/>
                <w:b/>
                <w:sz w:val="16"/>
                <w:szCs w:val="16"/>
              </w:rPr>
              <w:t xml:space="preserve"> 77.836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47C4F6" w14:textId="1E973CE5" w:rsidR="00855DF9" w:rsidRPr="00855DF9" w:rsidRDefault="00855DF9">
            <w:pPr>
              <w:jc w:val="right"/>
              <w:rPr>
                <w:rFonts w:ascii="Arial" w:hAnsi="Arial" w:cs="Arial"/>
                <w:b/>
                <w:sz w:val="16"/>
                <w:szCs w:val="16"/>
              </w:rPr>
            </w:pPr>
            <w:r w:rsidRPr="00855DF9">
              <w:rPr>
                <w:rFonts w:ascii="Arial" w:hAnsi="Arial" w:cs="Arial"/>
                <w:b/>
                <w:sz w:val="16"/>
                <w:szCs w:val="16"/>
              </w:rPr>
              <w:t xml:space="preserve"> 57.260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BD8B4" w14:textId="67A8ED19" w:rsidR="00855DF9" w:rsidRPr="00855DF9" w:rsidRDefault="00855DF9">
            <w:pPr>
              <w:jc w:val="right"/>
              <w:rPr>
                <w:rFonts w:ascii="Arial" w:hAnsi="Arial" w:cs="Arial"/>
                <w:b/>
                <w:sz w:val="16"/>
                <w:szCs w:val="16"/>
              </w:rPr>
            </w:pPr>
            <w:r w:rsidRPr="00855DF9">
              <w:rPr>
                <w:rFonts w:ascii="Arial" w:hAnsi="Arial" w:cs="Arial"/>
                <w:b/>
                <w:sz w:val="16"/>
                <w:szCs w:val="16"/>
              </w:rPr>
              <w:t xml:space="preserve"> 1.537.154 </w:t>
            </w:r>
          </w:p>
        </w:tc>
      </w:tr>
      <w:tr w:rsidR="00855DF9" w:rsidRPr="00E31F15" w14:paraId="4C0D5890" w14:textId="77777777" w:rsidTr="00BA7A6B">
        <w:trPr>
          <w:trHeight w:val="111"/>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12F7E" w14:textId="77777777" w:rsidR="00855DF9" w:rsidRPr="00827C8E" w:rsidRDefault="00855DF9" w:rsidP="00855DF9">
            <w:pPr>
              <w:rPr>
                <w:rFonts w:ascii="Arial" w:hAnsi="Arial" w:cs="Arial"/>
                <w:b/>
                <w:bCs/>
                <w:sz w:val="16"/>
                <w:szCs w:val="18"/>
                <w:lang w:eastAsia="es-AR"/>
              </w:rPr>
            </w:pPr>
            <w:r w:rsidRPr="00827C8E">
              <w:rPr>
                <w:rFonts w:ascii="Arial" w:hAnsi="Arial" w:cs="Arial"/>
                <w:b/>
                <w:bCs/>
                <w:sz w:val="16"/>
                <w:szCs w:val="18"/>
                <w:lang w:eastAsia="es-AR"/>
              </w:rPr>
              <w:t xml:space="preserve">Subtotal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7D98C" w14:textId="5150E9A3" w:rsidR="00855DF9" w:rsidRPr="00457C5D" w:rsidRDefault="00172FBA">
            <w:pPr>
              <w:jc w:val="right"/>
              <w:rPr>
                <w:rFonts w:ascii="Arial" w:hAnsi="Arial" w:cs="Arial"/>
                <w:b/>
                <w:sz w:val="16"/>
                <w:szCs w:val="16"/>
              </w:rPr>
            </w:pPr>
            <w:r w:rsidRPr="005333A4">
              <w:rPr>
                <w:rFonts w:ascii="Arial" w:hAnsi="Arial" w:cs="Arial"/>
                <w:b/>
                <w:sz w:val="16"/>
                <w:szCs w:val="16"/>
              </w:rPr>
              <w:t>2.130.287</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1DBD4" w14:textId="4F5610A4" w:rsidR="00855DF9" w:rsidRPr="00457C5D" w:rsidRDefault="00855DF9">
            <w:pPr>
              <w:jc w:val="right"/>
              <w:rPr>
                <w:rFonts w:ascii="Arial" w:hAnsi="Arial" w:cs="Arial"/>
                <w:b/>
                <w:sz w:val="16"/>
                <w:szCs w:val="16"/>
              </w:rPr>
            </w:pPr>
            <w:r w:rsidRPr="005333A4">
              <w:rPr>
                <w:rFonts w:ascii="Arial" w:hAnsi="Arial" w:cs="Arial"/>
                <w:b/>
                <w:sz w:val="16"/>
                <w:szCs w:val="16"/>
              </w:rPr>
              <w:t xml:space="preserve"> </w:t>
            </w:r>
            <w:r w:rsidR="00D465A3" w:rsidRPr="005333A4">
              <w:rPr>
                <w:rFonts w:ascii="Arial" w:hAnsi="Arial" w:cs="Arial"/>
                <w:b/>
                <w:sz w:val="16"/>
                <w:szCs w:val="16"/>
              </w:rPr>
              <w:t xml:space="preserve"> 5.720.754</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8B132F" w14:textId="39C03118" w:rsidR="00855DF9" w:rsidRPr="00457C5D" w:rsidRDefault="00855DF9">
            <w:pPr>
              <w:jc w:val="right"/>
              <w:rPr>
                <w:rFonts w:ascii="Arial" w:hAnsi="Arial" w:cs="Arial"/>
                <w:b/>
                <w:sz w:val="16"/>
                <w:szCs w:val="16"/>
              </w:rPr>
            </w:pPr>
            <w:r w:rsidRPr="005333A4">
              <w:rPr>
                <w:rFonts w:ascii="Arial" w:hAnsi="Arial" w:cs="Arial"/>
                <w:b/>
                <w:sz w:val="16"/>
                <w:szCs w:val="16"/>
              </w:rPr>
              <w:t xml:space="preserve"> -5.248.13</w:t>
            </w:r>
            <w:r w:rsidR="00457C5D">
              <w:rPr>
                <w:rFonts w:ascii="Arial" w:hAnsi="Arial" w:cs="Arial"/>
                <w:b/>
                <w:sz w:val="16"/>
                <w:szCs w:val="16"/>
              </w:rPr>
              <w:t>5</w:t>
            </w:r>
            <w:r w:rsidRPr="005333A4">
              <w:rPr>
                <w:rFonts w:ascii="Arial" w:hAnsi="Arial" w:cs="Arial"/>
                <w:b/>
                <w:sz w:val="16"/>
                <w:szCs w:val="16"/>
              </w:rPr>
              <w:t xml:space="preserve">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6BAA46" w14:textId="18C94963" w:rsidR="00855DF9" w:rsidRPr="00457C5D" w:rsidRDefault="00855DF9">
            <w:pPr>
              <w:jc w:val="right"/>
              <w:rPr>
                <w:rFonts w:ascii="Arial" w:hAnsi="Arial" w:cs="Arial"/>
                <w:b/>
                <w:sz w:val="16"/>
                <w:szCs w:val="16"/>
              </w:rPr>
            </w:pPr>
            <w:r w:rsidRPr="005333A4">
              <w:rPr>
                <w:rFonts w:ascii="Arial" w:hAnsi="Arial" w:cs="Arial"/>
                <w:b/>
                <w:sz w:val="16"/>
                <w:szCs w:val="16"/>
              </w:rPr>
              <w:t xml:space="preserve"> 624.348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012C1" w14:textId="569CD0A4" w:rsidR="00855DF9" w:rsidRPr="00855DF9" w:rsidRDefault="00855DF9">
            <w:pPr>
              <w:jc w:val="right"/>
              <w:rPr>
                <w:rFonts w:ascii="Arial" w:hAnsi="Arial" w:cs="Arial"/>
                <w:b/>
                <w:sz w:val="16"/>
                <w:szCs w:val="16"/>
              </w:rPr>
            </w:pPr>
            <w:r w:rsidRPr="00855DF9">
              <w:rPr>
                <w:rFonts w:ascii="Arial" w:hAnsi="Arial" w:cs="Arial"/>
                <w:b/>
                <w:sz w:val="16"/>
                <w:szCs w:val="16"/>
              </w:rPr>
              <w:t xml:space="preserve"> 842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C28FD" w14:textId="7E111257" w:rsidR="00855DF9" w:rsidRPr="00855DF9" w:rsidRDefault="00855DF9">
            <w:pPr>
              <w:jc w:val="right"/>
              <w:rPr>
                <w:rFonts w:ascii="Arial" w:hAnsi="Arial" w:cs="Arial"/>
                <w:b/>
                <w:sz w:val="16"/>
                <w:szCs w:val="16"/>
              </w:rPr>
            </w:pPr>
            <w:r w:rsidRPr="00855DF9">
              <w:rPr>
                <w:rFonts w:ascii="Arial" w:hAnsi="Arial" w:cs="Arial"/>
                <w:b/>
                <w:sz w:val="16"/>
                <w:szCs w:val="16"/>
              </w:rPr>
              <w:t xml:space="preserve"> 3.228.096 </w:t>
            </w:r>
          </w:p>
        </w:tc>
      </w:tr>
      <w:tr w:rsidR="00855DF9" w:rsidRPr="00E31F15" w14:paraId="6C3E4172"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370B6075"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Resultado neto por medición de instrumentos financieros a valor razonable con cambios en resultados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4A8041AB" w14:textId="7D110CDD" w:rsidR="00855DF9" w:rsidRPr="00855DF9" w:rsidRDefault="00855DF9">
            <w:pPr>
              <w:jc w:val="right"/>
              <w:rPr>
                <w:rFonts w:ascii="Arial" w:hAnsi="Arial" w:cs="Arial"/>
                <w:sz w:val="16"/>
                <w:szCs w:val="16"/>
              </w:rPr>
            </w:pPr>
            <w:r w:rsidRPr="00BA7A6B">
              <w:rPr>
                <w:rFonts w:ascii="Arial" w:hAnsi="Arial" w:cs="Arial"/>
                <w:sz w:val="16"/>
                <w:szCs w:val="16"/>
              </w:rPr>
              <w:t xml:space="preserve"> -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35641CCE" w14:textId="12277971" w:rsidR="00855DF9" w:rsidRPr="00855DF9" w:rsidRDefault="00855DF9">
            <w:pPr>
              <w:jc w:val="right"/>
              <w:rPr>
                <w:rFonts w:ascii="Arial" w:hAnsi="Arial" w:cs="Arial"/>
                <w:sz w:val="16"/>
                <w:szCs w:val="16"/>
              </w:rPr>
            </w:pPr>
            <w:r w:rsidRPr="00BA7A6B">
              <w:rPr>
                <w:rFonts w:ascii="Arial" w:hAnsi="Arial" w:cs="Arial"/>
                <w:sz w:val="16"/>
                <w:szCs w:val="16"/>
              </w:rPr>
              <w:t xml:space="preserve"> 5.643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5CB1E2F3" w14:textId="0F6AA0F9" w:rsidR="00855DF9" w:rsidRPr="00855DF9" w:rsidRDefault="00855DF9">
            <w:pPr>
              <w:jc w:val="right"/>
              <w:rPr>
                <w:rFonts w:ascii="Arial" w:hAnsi="Arial" w:cs="Arial"/>
                <w:sz w:val="16"/>
                <w:szCs w:val="16"/>
              </w:rPr>
            </w:pPr>
            <w:r w:rsidRPr="00BA7A6B">
              <w:rPr>
                <w:rFonts w:ascii="Arial" w:hAnsi="Arial" w:cs="Arial"/>
                <w:sz w:val="16"/>
                <w:szCs w:val="16"/>
              </w:rPr>
              <w:t xml:space="preserve"> 6.758.791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2F5C757F" w14:textId="08AE176C" w:rsidR="00855DF9" w:rsidRPr="00855DF9" w:rsidRDefault="00855DF9">
            <w:pPr>
              <w:jc w:val="right"/>
              <w:rPr>
                <w:rFonts w:ascii="Arial" w:hAnsi="Arial" w:cs="Arial"/>
                <w:sz w:val="16"/>
                <w:szCs w:val="16"/>
              </w:rPr>
            </w:pPr>
            <w:r w:rsidRPr="00BA7A6B">
              <w:rPr>
                <w:rFonts w:ascii="Arial" w:hAnsi="Arial" w:cs="Arial"/>
                <w:sz w:val="16"/>
                <w:szCs w:val="16"/>
              </w:rPr>
              <w:t xml:space="preserve"> -37.799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09144E39" w14:textId="3773E559" w:rsidR="00855DF9" w:rsidRPr="00855DF9" w:rsidRDefault="00855DF9">
            <w:pPr>
              <w:jc w:val="right"/>
              <w:rPr>
                <w:rFonts w:ascii="Arial" w:hAnsi="Arial" w:cs="Arial"/>
                <w:sz w:val="16"/>
                <w:szCs w:val="16"/>
              </w:rPr>
            </w:pPr>
            <w:r w:rsidRPr="00855DF9">
              <w:rPr>
                <w:rFonts w:ascii="Arial" w:hAnsi="Arial" w:cs="Arial"/>
                <w:sz w:val="16"/>
                <w:szCs w:val="16"/>
              </w:rPr>
              <w:t>1.384</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6B09A650" w14:textId="37EA0743" w:rsidR="00855DF9" w:rsidRPr="00855DF9" w:rsidRDefault="00855DF9">
            <w:pPr>
              <w:jc w:val="right"/>
              <w:rPr>
                <w:rFonts w:ascii="Arial" w:hAnsi="Arial" w:cs="Arial"/>
                <w:sz w:val="16"/>
                <w:szCs w:val="16"/>
              </w:rPr>
            </w:pPr>
            <w:r w:rsidRPr="00855DF9">
              <w:rPr>
                <w:rFonts w:ascii="Arial" w:hAnsi="Arial" w:cs="Arial"/>
                <w:sz w:val="16"/>
                <w:szCs w:val="16"/>
              </w:rPr>
              <w:t>6.728.019</w:t>
            </w:r>
          </w:p>
        </w:tc>
      </w:tr>
      <w:tr w:rsidR="00855DF9" w:rsidRPr="00E31F15" w14:paraId="7AE8A2D3"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2B61B251" w14:textId="77777777" w:rsidR="00855DF9" w:rsidRPr="00827C8E" w:rsidRDefault="00855DF9" w:rsidP="00855DF9">
            <w:pPr>
              <w:rPr>
                <w:rFonts w:ascii="Arial" w:hAnsi="Arial" w:cs="Arial"/>
                <w:sz w:val="16"/>
                <w:szCs w:val="18"/>
                <w:lang w:eastAsia="es-AR"/>
              </w:rPr>
            </w:pPr>
            <w:r w:rsidRPr="00827C8E">
              <w:rPr>
                <w:rFonts w:ascii="Arial" w:hAnsi="Arial" w:cs="Arial"/>
                <w:sz w:val="16"/>
                <w:szCs w:val="18"/>
                <w:lang w:eastAsia="es-AR"/>
              </w:rPr>
              <w:t xml:space="preserve"> Diferencia de cotización de oro y moneda extranjera </w:t>
            </w:r>
          </w:p>
        </w:tc>
        <w:tc>
          <w:tcPr>
            <w:tcW w:w="1341" w:type="dxa"/>
            <w:tcBorders>
              <w:top w:val="nil"/>
              <w:left w:val="single" w:sz="4" w:space="0" w:color="auto"/>
              <w:bottom w:val="nil"/>
              <w:right w:val="single" w:sz="4" w:space="0" w:color="auto"/>
            </w:tcBorders>
            <w:shd w:val="clear" w:color="auto" w:fill="auto"/>
            <w:noWrap/>
            <w:vAlign w:val="bottom"/>
          </w:tcPr>
          <w:p w14:paraId="5E02A9A9" w14:textId="19C54F19" w:rsidR="00855DF9" w:rsidRPr="00855DF9" w:rsidRDefault="00855DF9">
            <w:pPr>
              <w:jc w:val="right"/>
              <w:rPr>
                <w:rFonts w:ascii="Arial" w:hAnsi="Arial" w:cs="Arial"/>
                <w:sz w:val="16"/>
                <w:szCs w:val="16"/>
                <w:lang w:val="es-ES_tradnl"/>
              </w:rPr>
            </w:pPr>
            <w:r w:rsidRPr="00BA7A6B">
              <w:rPr>
                <w:rFonts w:ascii="Arial" w:hAnsi="Arial" w:cs="Arial"/>
                <w:sz w:val="16"/>
                <w:szCs w:val="16"/>
              </w:rPr>
              <w:t xml:space="preserve"> 32.046 </w:t>
            </w:r>
          </w:p>
        </w:tc>
        <w:tc>
          <w:tcPr>
            <w:tcW w:w="1231" w:type="dxa"/>
            <w:tcBorders>
              <w:top w:val="nil"/>
              <w:left w:val="single" w:sz="4" w:space="0" w:color="auto"/>
              <w:bottom w:val="nil"/>
              <w:right w:val="single" w:sz="4" w:space="0" w:color="auto"/>
            </w:tcBorders>
            <w:shd w:val="clear" w:color="auto" w:fill="auto"/>
            <w:noWrap/>
            <w:vAlign w:val="bottom"/>
          </w:tcPr>
          <w:p w14:paraId="2733A93D" w14:textId="417822C9" w:rsidR="00855DF9" w:rsidRPr="00855DF9" w:rsidRDefault="00855DF9">
            <w:pPr>
              <w:jc w:val="right"/>
              <w:rPr>
                <w:rFonts w:ascii="Arial" w:hAnsi="Arial" w:cs="Arial"/>
                <w:sz w:val="16"/>
                <w:szCs w:val="16"/>
              </w:rPr>
            </w:pPr>
            <w:r w:rsidRPr="00BA7A6B">
              <w:rPr>
                <w:rFonts w:ascii="Arial" w:hAnsi="Arial" w:cs="Arial"/>
                <w:sz w:val="16"/>
                <w:szCs w:val="16"/>
              </w:rPr>
              <w:t xml:space="preserve"> 281.670 </w:t>
            </w:r>
          </w:p>
        </w:tc>
        <w:tc>
          <w:tcPr>
            <w:tcW w:w="1231" w:type="dxa"/>
            <w:tcBorders>
              <w:top w:val="nil"/>
              <w:left w:val="single" w:sz="4" w:space="0" w:color="auto"/>
              <w:bottom w:val="nil"/>
              <w:right w:val="single" w:sz="4" w:space="0" w:color="auto"/>
            </w:tcBorders>
            <w:shd w:val="clear" w:color="auto" w:fill="auto"/>
            <w:noWrap/>
            <w:vAlign w:val="bottom"/>
          </w:tcPr>
          <w:p w14:paraId="03F051C5" w14:textId="38DB5568" w:rsidR="00855DF9" w:rsidRPr="00855DF9" w:rsidRDefault="00855DF9">
            <w:pPr>
              <w:jc w:val="right"/>
              <w:rPr>
                <w:rFonts w:ascii="Arial" w:hAnsi="Arial" w:cs="Arial"/>
                <w:sz w:val="16"/>
                <w:szCs w:val="16"/>
                <w:lang w:val="es-ES_tradnl"/>
              </w:rPr>
            </w:pPr>
            <w:r w:rsidRPr="00BA7A6B">
              <w:rPr>
                <w:rFonts w:ascii="Arial" w:hAnsi="Arial" w:cs="Arial"/>
                <w:sz w:val="16"/>
                <w:szCs w:val="16"/>
              </w:rPr>
              <w:t xml:space="preserve"> -781.758 </w:t>
            </w:r>
          </w:p>
        </w:tc>
        <w:tc>
          <w:tcPr>
            <w:tcW w:w="1110" w:type="dxa"/>
            <w:tcBorders>
              <w:top w:val="nil"/>
              <w:left w:val="single" w:sz="4" w:space="0" w:color="auto"/>
              <w:bottom w:val="nil"/>
              <w:right w:val="single" w:sz="4" w:space="0" w:color="auto"/>
            </w:tcBorders>
            <w:shd w:val="clear" w:color="auto" w:fill="auto"/>
            <w:noWrap/>
            <w:vAlign w:val="bottom"/>
          </w:tcPr>
          <w:p w14:paraId="357DA66B" w14:textId="51684F32" w:rsidR="00855DF9" w:rsidRPr="00855DF9" w:rsidRDefault="00855DF9">
            <w:pPr>
              <w:jc w:val="right"/>
              <w:rPr>
                <w:rFonts w:ascii="Arial" w:hAnsi="Arial" w:cs="Arial"/>
                <w:sz w:val="16"/>
                <w:szCs w:val="16"/>
              </w:rPr>
            </w:pPr>
            <w:r w:rsidRPr="00BA7A6B">
              <w:rPr>
                <w:rFonts w:ascii="Arial" w:hAnsi="Arial" w:cs="Arial"/>
                <w:sz w:val="16"/>
                <w:szCs w:val="16"/>
              </w:rPr>
              <w:t xml:space="preserve"> 42 </w:t>
            </w:r>
          </w:p>
        </w:tc>
        <w:tc>
          <w:tcPr>
            <w:tcW w:w="824" w:type="dxa"/>
            <w:tcBorders>
              <w:top w:val="nil"/>
              <w:left w:val="single" w:sz="4" w:space="0" w:color="auto"/>
              <w:bottom w:val="nil"/>
              <w:right w:val="single" w:sz="4" w:space="0" w:color="auto"/>
            </w:tcBorders>
            <w:shd w:val="clear" w:color="auto" w:fill="auto"/>
            <w:noWrap/>
            <w:vAlign w:val="bottom"/>
          </w:tcPr>
          <w:p w14:paraId="30662506" w14:textId="15614442" w:rsidR="00855DF9" w:rsidRPr="00855DF9" w:rsidRDefault="00855DF9">
            <w:pPr>
              <w:jc w:val="right"/>
              <w:rPr>
                <w:rFonts w:ascii="Arial" w:hAnsi="Arial" w:cs="Arial"/>
                <w:sz w:val="16"/>
                <w:szCs w:val="16"/>
              </w:rPr>
            </w:pPr>
            <w:r w:rsidRPr="00855DF9">
              <w:rPr>
                <w:rFonts w:ascii="Arial" w:hAnsi="Arial" w:cs="Arial"/>
                <w:sz w:val="16"/>
                <w:szCs w:val="16"/>
              </w:rPr>
              <w:t xml:space="preserve"> - </w:t>
            </w:r>
          </w:p>
        </w:tc>
        <w:tc>
          <w:tcPr>
            <w:tcW w:w="1150" w:type="dxa"/>
            <w:tcBorders>
              <w:top w:val="nil"/>
              <w:left w:val="single" w:sz="4" w:space="0" w:color="auto"/>
              <w:bottom w:val="nil"/>
              <w:right w:val="single" w:sz="4" w:space="0" w:color="auto"/>
            </w:tcBorders>
            <w:shd w:val="clear" w:color="auto" w:fill="auto"/>
            <w:noWrap/>
            <w:vAlign w:val="bottom"/>
          </w:tcPr>
          <w:p w14:paraId="59A71BF6" w14:textId="236EBA5F" w:rsidR="00855DF9" w:rsidRPr="00855DF9" w:rsidRDefault="00855DF9">
            <w:pPr>
              <w:jc w:val="right"/>
              <w:rPr>
                <w:rFonts w:ascii="Arial" w:hAnsi="Arial" w:cs="Arial"/>
                <w:sz w:val="16"/>
                <w:szCs w:val="16"/>
              </w:rPr>
            </w:pPr>
            <w:r w:rsidRPr="00855DF9">
              <w:rPr>
                <w:rFonts w:ascii="Arial" w:hAnsi="Arial" w:cs="Arial"/>
                <w:sz w:val="16"/>
                <w:szCs w:val="16"/>
              </w:rPr>
              <w:t xml:space="preserve"> -468.000 </w:t>
            </w:r>
          </w:p>
        </w:tc>
      </w:tr>
      <w:tr w:rsidR="00855DF9" w:rsidRPr="00E31F15" w14:paraId="5CDC1ABA"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49BB7F86"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Otros ingresos operativos </w:t>
            </w:r>
          </w:p>
        </w:tc>
        <w:tc>
          <w:tcPr>
            <w:tcW w:w="1341" w:type="dxa"/>
            <w:tcBorders>
              <w:top w:val="nil"/>
              <w:left w:val="single" w:sz="4" w:space="0" w:color="auto"/>
              <w:bottom w:val="nil"/>
              <w:right w:val="single" w:sz="4" w:space="0" w:color="auto"/>
            </w:tcBorders>
            <w:shd w:val="clear" w:color="auto" w:fill="auto"/>
            <w:noWrap/>
            <w:vAlign w:val="bottom"/>
          </w:tcPr>
          <w:p w14:paraId="39180FB9" w14:textId="29B317E4" w:rsidR="00855DF9" w:rsidRPr="00855DF9" w:rsidRDefault="00855DF9">
            <w:pPr>
              <w:jc w:val="right"/>
              <w:rPr>
                <w:rFonts w:ascii="Arial" w:hAnsi="Arial" w:cs="Arial"/>
                <w:sz w:val="16"/>
                <w:szCs w:val="16"/>
              </w:rPr>
            </w:pPr>
            <w:r w:rsidRPr="00BA7A6B">
              <w:rPr>
                <w:rFonts w:ascii="Arial" w:hAnsi="Arial" w:cs="Arial"/>
                <w:sz w:val="16"/>
                <w:szCs w:val="16"/>
              </w:rPr>
              <w:t xml:space="preserve"> 273.037 </w:t>
            </w:r>
          </w:p>
        </w:tc>
        <w:tc>
          <w:tcPr>
            <w:tcW w:w="1231" w:type="dxa"/>
            <w:tcBorders>
              <w:top w:val="nil"/>
              <w:left w:val="single" w:sz="4" w:space="0" w:color="auto"/>
              <w:bottom w:val="nil"/>
              <w:right w:val="single" w:sz="4" w:space="0" w:color="auto"/>
            </w:tcBorders>
            <w:shd w:val="clear" w:color="auto" w:fill="auto"/>
            <w:noWrap/>
            <w:vAlign w:val="bottom"/>
          </w:tcPr>
          <w:p w14:paraId="6B1FF017" w14:textId="56A860CA" w:rsidR="00855DF9" w:rsidRPr="00855DF9" w:rsidRDefault="00855DF9">
            <w:pPr>
              <w:jc w:val="right"/>
              <w:rPr>
                <w:rFonts w:ascii="Arial" w:hAnsi="Arial" w:cs="Arial"/>
                <w:sz w:val="16"/>
                <w:szCs w:val="16"/>
              </w:rPr>
            </w:pPr>
            <w:r w:rsidRPr="00BA7A6B">
              <w:rPr>
                <w:rFonts w:ascii="Arial" w:hAnsi="Arial" w:cs="Arial"/>
                <w:sz w:val="16"/>
                <w:szCs w:val="16"/>
              </w:rPr>
              <w:t xml:space="preserve"> 375.735 </w:t>
            </w:r>
          </w:p>
        </w:tc>
        <w:tc>
          <w:tcPr>
            <w:tcW w:w="1231" w:type="dxa"/>
            <w:tcBorders>
              <w:top w:val="nil"/>
              <w:left w:val="single" w:sz="4" w:space="0" w:color="auto"/>
              <w:bottom w:val="nil"/>
              <w:right w:val="single" w:sz="4" w:space="0" w:color="auto"/>
            </w:tcBorders>
            <w:shd w:val="clear" w:color="auto" w:fill="auto"/>
            <w:noWrap/>
            <w:vAlign w:val="bottom"/>
          </w:tcPr>
          <w:p w14:paraId="434A91EC" w14:textId="149612DB" w:rsidR="00855DF9" w:rsidRPr="00855DF9" w:rsidRDefault="00855DF9">
            <w:pPr>
              <w:jc w:val="right"/>
              <w:rPr>
                <w:rFonts w:ascii="Arial" w:hAnsi="Arial" w:cs="Arial"/>
                <w:sz w:val="16"/>
                <w:szCs w:val="16"/>
              </w:rPr>
            </w:pPr>
            <w:r w:rsidRPr="00BA7A6B">
              <w:rPr>
                <w:rFonts w:ascii="Arial" w:hAnsi="Arial" w:cs="Arial"/>
                <w:sz w:val="16"/>
                <w:szCs w:val="16"/>
              </w:rPr>
              <w:t xml:space="preserve"> 27.948 </w:t>
            </w:r>
          </w:p>
        </w:tc>
        <w:tc>
          <w:tcPr>
            <w:tcW w:w="1110" w:type="dxa"/>
            <w:tcBorders>
              <w:top w:val="nil"/>
              <w:left w:val="single" w:sz="4" w:space="0" w:color="auto"/>
              <w:bottom w:val="nil"/>
              <w:right w:val="single" w:sz="4" w:space="0" w:color="auto"/>
            </w:tcBorders>
            <w:shd w:val="clear" w:color="auto" w:fill="auto"/>
            <w:noWrap/>
            <w:vAlign w:val="bottom"/>
          </w:tcPr>
          <w:p w14:paraId="1ECCF669" w14:textId="5C5E1D7E" w:rsidR="00855DF9" w:rsidRPr="00855DF9" w:rsidRDefault="00855DF9">
            <w:pPr>
              <w:jc w:val="right"/>
              <w:rPr>
                <w:rFonts w:ascii="Arial" w:hAnsi="Arial" w:cs="Arial"/>
                <w:sz w:val="16"/>
                <w:szCs w:val="16"/>
              </w:rPr>
            </w:pPr>
            <w:r w:rsidRPr="00BA7A6B">
              <w:rPr>
                <w:rFonts w:ascii="Arial" w:hAnsi="Arial" w:cs="Arial"/>
                <w:sz w:val="16"/>
                <w:szCs w:val="16"/>
              </w:rPr>
              <w:t xml:space="preserve"> 93.347 </w:t>
            </w:r>
          </w:p>
        </w:tc>
        <w:tc>
          <w:tcPr>
            <w:tcW w:w="824" w:type="dxa"/>
            <w:tcBorders>
              <w:top w:val="nil"/>
              <w:left w:val="single" w:sz="4" w:space="0" w:color="auto"/>
              <w:bottom w:val="nil"/>
              <w:right w:val="single" w:sz="4" w:space="0" w:color="auto"/>
            </w:tcBorders>
            <w:shd w:val="clear" w:color="auto" w:fill="auto"/>
            <w:noWrap/>
            <w:vAlign w:val="bottom"/>
          </w:tcPr>
          <w:p w14:paraId="3815CE4C" w14:textId="69F09C49" w:rsidR="00855DF9" w:rsidRPr="00855DF9" w:rsidRDefault="00855DF9">
            <w:pPr>
              <w:jc w:val="right"/>
              <w:rPr>
                <w:rFonts w:ascii="Arial" w:hAnsi="Arial" w:cs="Arial"/>
                <w:sz w:val="16"/>
                <w:szCs w:val="16"/>
              </w:rPr>
            </w:pPr>
            <w:r w:rsidRPr="00855DF9">
              <w:rPr>
                <w:rFonts w:ascii="Arial" w:hAnsi="Arial" w:cs="Arial"/>
                <w:sz w:val="16"/>
                <w:szCs w:val="16"/>
              </w:rPr>
              <w:t xml:space="preserve"> -5.087 </w:t>
            </w:r>
          </w:p>
        </w:tc>
        <w:tc>
          <w:tcPr>
            <w:tcW w:w="1150" w:type="dxa"/>
            <w:tcBorders>
              <w:top w:val="nil"/>
              <w:left w:val="single" w:sz="4" w:space="0" w:color="auto"/>
              <w:bottom w:val="nil"/>
              <w:right w:val="single" w:sz="4" w:space="0" w:color="auto"/>
            </w:tcBorders>
            <w:shd w:val="clear" w:color="auto" w:fill="auto"/>
            <w:noWrap/>
            <w:vAlign w:val="bottom"/>
          </w:tcPr>
          <w:p w14:paraId="3797FD45" w14:textId="32F09524" w:rsidR="00855DF9" w:rsidRPr="00855DF9" w:rsidRDefault="00855DF9">
            <w:pPr>
              <w:jc w:val="right"/>
              <w:rPr>
                <w:rFonts w:ascii="Arial" w:hAnsi="Arial" w:cs="Arial"/>
                <w:sz w:val="16"/>
                <w:szCs w:val="16"/>
              </w:rPr>
            </w:pPr>
            <w:r w:rsidRPr="00855DF9">
              <w:rPr>
                <w:rFonts w:ascii="Arial" w:hAnsi="Arial" w:cs="Arial"/>
                <w:sz w:val="16"/>
                <w:szCs w:val="16"/>
              </w:rPr>
              <w:t xml:space="preserve"> 764.980 </w:t>
            </w:r>
          </w:p>
        </w:tc>
      </w:tr>
      <w:tr w:rsidR="00855DF9" w:rsidRPr="00E31F15" w14:paraId="262745AB"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2FA4989"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Cargo por incobrabilidad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56E3B8D4" w14:textId="3B3DBA88"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1.268.506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79366F5C" w14:textId="4A29D8EF"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923.914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385B252B" w14:textId="48B76FC9" w:rsidR="00855DF9" w:rsidRPr="00855DF9" w:rsidRDefault="00855DF9">
            <w:pPr>
              <w:jc w:val="right"/>
              <w:rPr>
                <w:rFonts w:ascii="Arial" w:hAnsi="Arial" w:cs="Arial"/>
                <w:sz w:val="16"/>
                <w:szCs w:val="16"/>
              </w:rPr>
            </w:pPr>
            <w:r w:rsidRPr="00BA7A6B">
              <w:rPr>
                <w:rFonts w:ascii="Arial" w:hAnsi="Arial" w:cs="Arial"/>
                <w:sz w:val="16"/>
                <w:szCs w:val="16"/>
              </w:rPr>
              <w:t xml:space="preserve"> 11.908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1BADA922" w14:textId="42742762"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648.683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703E2DE7" w14:textId="40484F9B" w:rsidR="00855DF9" w:rsidRPr="00855DF9" w:rsidRDefault="00855DF9">
            <w:pPr>
              <w:jc w:val="right"/>
              <w:rPr>
                <w:rFonts w:ascii="Arial" w:hAnsi="Arial" w:cs="Arial"/>
                <w:sz w:val="16"/>
                <w:szCs w:val="16"/>
              </w:rPr>
            </w:pPr>
            <w:r w:rsidRPr="00855DF9">
              <w:rPr>
                <w:rFonts w:ascii="Arial" w:hAnsi="Arial" w:cs="Arial"/>
                <w:sz w:val="16"/>
                <w:szCs w:val="16"/>
              </w:rPr>
              <w:t>5.583</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1C73EBBC" w14:textId="7D17BD47" w:rsidR="00855DF9" w:rsidRPr="00855DF9" w:rsidRDefault="00855DF9">
            <w:pPr>
              <w:jc w:val="right"/>
              <w:rPr>
                <w:rFonts w:ascii="Arial" w:hAnsi="Arial" w:cs="Arial"/>
                <w:sz w:val="16"/>
                <w:szCs w:val="16"/>
              </w:rPr>
            </w:pPr>
            <w:r w:rsidRPr="00855DF9">
              <w:rPr>
                <w:rFonts w:ascii="Arial" w:hAnsi="Arial" w:cs="Arial"/>
                <w:sz w:val="16"/>
                <w:szCs w:val="16"/>
              </w:rPr>
              <w:t xml:space="preserve"> </w:t>
            </w:r>
            <w:r w:rsidR="00EC4862">
              <w:rPr>
                <w:rFonts w:ascii="Arial" w:hAnsi="Arial" w:cs="Arial"/>
                <w:sz w:val="16"/>
                <w:szCs w:val="16"/>
              </w:rPr>
              <w:t>-</w:t>
            </w:r>
            <w:r w:rsidRPr="00855DF9">
              <w:rPr>
                <w:rFonts w:ascii="Arial" w:hAnsi="Arial" w:cs="Arial"/>
                <w:sz w:val="16"/>
                <w:szCs w:val="16"/>
              </w:rPr>
              <w:t xml:space="preserve">2.823.612 </w:t>
            </w:r>
          </w:p>
        </w:tc>
      </w:tr>
      <w:tr w:rsidR="00855DF9" w:rsidRPr="00E31F15" w14:paraId="1B3AF44B" w14:textId="77777777" w:rsidTr="00BA7A6B">
        <w:trPr>
          <w:trHeight w:val="158"/>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877B4" w14:textId="77777777" w:rsidR="00855DF9" w:rsidRPr="00827C8E" w:rsidRDefault="00855DF9" w:rsidP="00855DF9">
            <w:pPr>
              <w:jc w:val="both"/>
              <w:rPr>
                <w:rFonts w:ascii="Arial" w:hAnsi="Arial" w:cs="Arial"/>
                <w:b/>
                <w:bCs/>
                <w:sz w:val="16"/>
                <w:szCs w:val="18"/>
                <w:lang w:eastAsia="es-AR"/>
              </w:rPr>
            </w:pPr>
            <w:r w:rsidRPr="00827C8E">
              <w:rPr>
                <w:rFonts w:ascii="Arial" w:hAnsi="Arial" w:cs="Arial"/>
                <w:b/>
                <w:bCs/>
                <w:sz w:val="16"/>
                <w:szCs w:val="18"/>
                <w:lang w:eastAsia="es-AR"/>
              </w:rPr>
              <w:t xml:space="preserve"> Ingreso operativo neto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051247" w14:textId="248FA1BA" w:rsidR="00855DF9" w:rsidRPr="00457C5D" w:rsidRDefault="00855DF9">
            <w:pPr>
              <w:jc w:val="right"/>
              <w:rPr>
                <w:rFonts w:ascii="Arial" w:hAnsi="Arial" w:cs="Arial"/>
                <w:b/>
                <w:sz w:val="16"/>
                <w:szCs w:val="16"/>
              </w:rPr>
            </w:pPr>
            <w:r w:rsidRPr="005333A4">
              <w:rPr>
                <w:rFonts w:ascii="Arial" w:hAnsi="Arial" w:cs="Arial"/>
                <w:b/>
                <w:sz w:val="16"/>
                <w:szCs w:val="16"/>
              </w:rPr>
              <w:t xml:space="preserve"> </w:t>
            </w:r>
            <w:r w:rsidR="00172FBA" w:rsidRPr="005333A4">
              <w:rPr>
                <w:rFonts w:ascii="Arial" w:hAnsi="Arial" w:cs="Arial"/>
                <w:b/>
                <w:sz w:val="16"/>
                <w:szCs w:val="16"/>
              </w:rPr>
              <w:t xml:space="preserve"> 1.166.864</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AF81E" w14:textId="4D5233FD" w:rsidR="00855DF9" w:rsidRPr="00457C5D" w:rsidRDefault="00855DF9">
            <w:pPr>
              <w:jc w:val="right"/>
              <w:rPr>
                <w:rFonts w:ascii="Arial" w:hAnsi="Arial" w:cs="Arial"/>
                <w:b/>
                <w:sz w:val="16"/>
                <w:szCs w:val="16"/>
              </w:rPr>
            </w:pPr>
            <w:r w:rsidRPr="005333A4">
              <w:rPr>
                <w:rFonts w:ascii="Arial" w:hAnsi="Arial" w:cs="Arial"/>
                <w:b/>
                <w:sz w:val="16"/>
                <w:szCs w:val="16"/>
              </w:rPr>
              <w:t xml:space="preserve"> </w:t>
            </w:r>
            <w:r w:rsidR="00D465A3" w:rsidRPr="005333A4">
              <w:rPr>
                <w:rFonts w:ascii="Arial" w:hAnsi="Arial" w:cs="Arial"/>
                <w:b/>
                <w:sz w:val="16"/>
                <w:szCs w:val="16"/>
              </w:rPr>
              <w:t xml:space="preserve"> 5.459.888</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2D9E4B" w14:textId="1D2839CA" w:rsidR="00855DF9" w:rsidRPr="00457C5D" w:rsidRDefault="00D465A3">
            <w:pPr>
              <w:jc w:val="right"/>
              <w:rPr>
                <w:rFonts w:ascii="Arial" w:hAnsi="Arial" w:cs="Arial"/>
                <w:b/>
                <w:sz w:val="16"/>
                <w:szCs w:val="16"/>
              </w:rPr>
            </w:pPr>
            <w:r w:rsidRPr="005333A4">
              <w:rPr>
                <w:rFonts w:ascii="Arial" w:hAnsi="Arial" w:cs="Arial"/>
                <w:b/>
                <w:sz w:val="16"/>
                <w:szCs w:val="16"/>
              </w:rPr>
              <w:t>768.75</w:t>
            </w:r>
            <w:r w:rsidR="00457C5D" w:rsidRPr="005333A4">
              <w:rPr>
                <w:rFonts w:ascii="Arial" w:hAnsi="Arial" w:cs="Arial"/>
                <w:b/>
                <w:sz w:val="16"/>
                <w:szCs w:val="16"/>
              </w:rPr>
              <w:t>4</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E85C6" w14:textId="110C1012" w:rsidR="00855DF9" w:rsidRPr="00457C5D" w:rsidRDefault="00855DF9">
            <w:pPr>
              <w:jc w:val="right"/>
              <w:rPr>
                <w:rFonts w:ascii="Arial" w:hAnsi="Arial" w:cs="Arial"/>
                <w:b/>
                <w:sz w:val="16"/>
                <w:szCs w:val="16"/>
              </w:rPr>
            </w:pPr>
            <w:r w:rsidRPr="005333A4">
              <w:rPr>
                <w:rFonts w:ascii="Arial" w:hAnsi="Arial" w:cs="Arial"/>
                <w:b/>
                <w:sz w:val="16"/>
                <w:szCs w:val="16"/>
              </w:rPr>
              <w:t xml:space="preserve"> 31.255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EF7A9" w14:textId="6A0E48F2" w:rsidR="00855DF9" w:rsidRPr="00457C5D" w:rsidRDefault="00855DF9">
            <w:pPr>
              <w:jc w:val="right"/>
              <w:rPr>
                <w:rFonts w:ascii="Arial" w:hAnsi="Arial" w:cs="Arial"/>
                <w:b/>
                <w:sz w:val="16"/>
                <w:szCs w:val="16"/>
              </w:rPr>
            </w:pPr>
            <w:r w:rsidRPr="00457C5D">
              <w:rPr>
                <w:rFonts w:ascii="Arial" w:hAnsi="Arial" w:cs="Arial"/>
                <w:b/>
                <w:sz w:val="16"/>
                <w:szCs w:val="16"/>
              </w:rPr>
              <w:t>2.722</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6FFC9E" w14:textId="2564E0AE" w:rsidR="00855DF9" w:rsidRPr="00457C5D" w:rsidRDefault="00855DF9">
            <w:pPr>
              <w:jc w:val="right"/>
              <w:rPr>
                <w:rFonts w:ascii="Arial" w:hAnsi="Arial" w:cs="Arial"/>
                <w:b/>
                <w:sz w:val="16"/>
                <w:szCs w:val="16"/>
              </w:rPr>
            </w:pPr>
            <w:r w:rsidRPr="00457C5D">
              <w:rPr>
                <w:rFonts w:ascii="Arial" w:hAnsi="Arial" w:cs="Arial"/>
                <w:b/>
                <w:sz w:val="16"/>
                <w:szCs w:val="16"/>
              </w:rPr>
              <w:t xml:space="preserve"> 7.429.483 </w:t>
            </w:r>
          </w:p>
        </w:tc>
      </w:tr>
      <w:tr w:rsidR="00855DF9" w:rsidRPr="00E31F15" w14:paraId="326472A8" w14:textId="77777777" w:rsidTr="00BA7A6B">
        <w:trPr>
          <w:trHeight w:val="216"/>
        </w:trPr>
        <w:tc>
          <w:tcPr>
            <w:tcW w:w="3403" w:type="dxa"/>
            <w:tcBorders>
              <w:top w:val="single" w:sz="4" w:space="0" w:color="auto"/>
              <w:left w:val="single" w:sz="4" w:space="0" w:color="auto"/>
              <w:bottom w:val="nil"/>
              <w:right w:val="single" w:sz="4" w:space="0" w:color="auto"/>
            </w:tcBorders>
            <w:shd w:val="clear" w:color="auto" w:fill="auto"/>
            <w:noWrap/>
            <w:vAlign w:val="bottom"/>
            <w:hideMark/>
          </w:tcPr>
          <w:p w14:paraId="3FBAB23E"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Beneficios al personal </w:t>
            </w:r>
          </w:p>
        </w:tc>
        <w:tc>
          <w:tcPr>
            <w:tcW w:w="1341" w:type="dxa"/>
            <w:tcBorders>
              <w:top w:val="single" w:sz="4" w:space="0" w:color="auto"/>
              <w:left w:val="single" w:sz="4" w:space="0" w:color="auto"/>
              <w:bottom w:val="nil"/>
              <w:right w:val="single" w:sz="4" w:space="0" w:color="auto"/>
            </w:tcBorders>
            <w:shd w:val="clear" w:color="auto" w:fill="auto"/>
            <w:noWrap/>
            <w:vAlign w:val="bottom"/>
          </w:tcPr>
          <w:p w14:paraId="7854DBEC" w14:textId="12C55577"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258.672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6A85E00C" w14:textId="49C1D494"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2.571.137 </w:t>
            </w:r>
          </w:p>
        </w:tc>
        <w:tc>
          <w:tcPr>
            <w:tcW w:w="1231" w:type="dxa"/>
            <w:tcBorders>
              <w:top w:val="single" w:sz="4" w:space="0" w:color="auto"/>
              <w:left w:val="single" w:sz="4" w:space="0" w:color="auto"/>
              <w:bottom w:val="nil"/>
              <w:right w:val="single" w:sz="4" w:space="0" w:color="auto"/>
            </w:tcBorders>
            <w:shd w:val="clear" w:color="auto" w:fill="auto"/>
            <w:noWrap/>
            <w:vAlign w:val="bottom"/>
          </w:tcPr>
          <w:p w14:paraId="2CF11B2E" w14:textId="1BBFC7F4"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186.198 </w:t>
            </w:r>
          </w:p>
        </w:tc>
        <w:tc>
          <w:tcPr>
            <w:tcW w:w="1110" w:type="dxa"/>
            <w:tcBorders>
              <w:top w:val="single" w:sz="4" w:space="0" w:color="auto"/>
              <w:left w:val="single" w:sz="4" w:space="0" w:color="auto"/>
              <w:bottom w:val="nil"/>
              <w:right w:val="single" w:sz="4" w:space="0" w:color="auto"/>
            </w:tcBorders>
            <w:shd w:val="clear" w:color="auto" w:fill="auto"/>
            <w:noWrap/>
            <w:vAlign w:val="bottom"/>
          </w:tcPr>
          <w:p w14:paraId="38AC7FFD" w14:textId="6FB80C45"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180.327 </w:t>
            </w:r>
          </w:p>
        </w:tc>
        <w:tc>
          <w:tcPr>
            <w:tcW w:w="824" w:type="dxa"/>
            <w:tcBorders>
              <w:top w:val="single" w:sz="4" w:space="0" w:color="auto"/>
              <w:left w:val="single" w:sz="4" w:space="0" w:color="auto"/>
              <w:bottom w:val="nil"/>
              <w:right w:val="single" w:sz="4" w:space="0" w:color="auto"/>
            </w:tcBorders>
            <w:shd w:val="clear" w:color="auto" w:fill="auto"/>
            <w:noWrap/>
            <w:vAlign w:val="bottom"/>
          </w:tcPr>
          <w:p w14:paraId="4CB6E34D" w14:textId="0BB58C58" w:rsidR="00855DF9" w:rsidRPr="00855DF9" w:rsidRDefault="00855DF9">
            <w:pPr>
              <w:jc w:val="right"/>
              <w:rPr>
                <w:rFonts w:ascii="Arial" w:hAnsi="Arial" w:cs="Arial"/>
                <w:sz w:val="16"/>
                <w:szCs w:val="16"/>
              </w:rPr>
            </w:pPr>
            <w:r w:rsidRPr="00855DF9">
              <w:rPr>
                <w:rFonts w:ascii="Arial" w:hAnsi="Arial" w:cs="Arial"/>
                <w:sz w:val="16"/>
                <w:szCs w:val="16"/>
              </w:rPr>
              <w:t>-</w:t>
            </w:r>
          </w:p>
        </w:tc>
        <w:tc>
          <w:tcPr>
            <w:tcW w:w="1150" w:type="dxa"/>
            <w:tcBorders>
              <w:top w:val="single" w:sz="4" w:space="0" w:color="auto"/>
              <w:left w:val="single" w:sz="4" w:space="0" w:color="auto"/>
              <w:bottom w:val="nil"/>
              <w:right w:val="single" w:sz="4" w:space="0" w:color="auto"/>
            </w:tcBorders>
            <w:shd w:val="clear" w:color="auto" w:fill="auto"/>
            <w:noWrap/>
            <w:vAlign w:val="bottom"/>
          </w:tcPr>
          <w:p w14:paraId="1F3AEB60" w14:textId="0528EDD8" w:rsidR="00855DF9" w:rsidRPr="00855DF9" w:rsidRDefault="00855DF9">
            <w:pPr>
              <w:jc w:val="right"/>
              <w:rPr>
                <w:rFonts w:ascii="Arial" w:hAnsi="Arial" w:cs="Arial"/>
                <w:sz w:val="16"/>
                <w:szCs w:val="16"/>
              </w:rPr>
            </w:pPr>
            <w:r w:rsidRPr="00855DF9">
              <w:rPr>
                <w:rFonts w:ascii="Arial" w:hAnsi="Arial" w:cs="Arial"/>
                <w:sz w:val="16"/>
                <w:szCs w:val="16"/>
              </w:rPr>
              <w:t xml:space="preserve"> </w:t>
            </w:r>
            <w:r w:rsidR="00EC4862">
              <w:rPr>
                <w:rFonts w:ascii="Arial" w:hAnsi="Arial" w:cs="Arial"/>
                <w:sz w:val="16"/>
                <w:szCs w:val="16"/>
              </w:rPr>
              <w:t>-</w:t>
            </w:r>
            <w:r w:rsidRPr="00855DF9">
              <w:rPr>
                <w:rFonts w:ascii="Arial" w:hAnsi="Arial" w:cs="Arial"/>
                <w:sz w:val="16"/>
                <w:szCs w:val="16"/>
              </w:rPr>
              <w:t xml:space="preserve">3.196.334 </w:t>
            </w:r>
          </w:p>
        </w:tc>
      </w:tr>
      <w:tr w:rsidR="00855DF9" w:rsidRPr="00827C8E" w14:paraId="2776314E"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528F5406"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Gastos de administración </w:t>
            </w:r>
          </w:p>
        </w:tc>
        <w:tc>
          <w:tcPr>
            <w:tcW w:w="1341" w:type="dxa"/>
            <w:tcBorders>
              <w:top w:val="nil"/>
              <w:left w:val="single" w:sz="4" w:space="0" w:color="auto"/>
              <w:bottom w:val="nil"/>
              <w:right w:val="single" w:sz="4" w:space="0" w:color="auto"/>
            </w:tcBorders>
            <w:shd w:val="clear" w:color="auto" w:fill="auto"/>
            <w:noWrap/>
            <w:vAlign w:val="bottom"/>
          </w:tcPr>
          <w:p w14:paraId="5F973E79" w14:textId="376C75B2"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85.002 </w:t>
            </w:r>
          </w:p>
        </w:tc>
        <w:tc>
          <w:tcPr>
            <w:tcW w:w="1231" w:type="dxa"/>
            <w:tcBorders>
              <w:top w:val="nil"/>
              <w:left w:val="single" w:sz="4" w:space="0" w:color="auto"/>
              <w:bottom w:val="nil"/>
              <w:right w:val="single" w:sz="4" w:space="0" w:color="auto"/>
            </w:tcBorders>
            <w:shd w:val="clear" w:color="auto" w:fill="auto"/>
            <w:noWrap/>
            <w:vAlign w:val="bottom"/>
          </w:tcPr>
          <w:p w14:paraId="48448F0F" w14:textId="2C050982"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1.383.254 </w:t>
            </w:r>
          </w:p>
        </w:tc>
        <w:tc>
          <w:tcPr>
            <w:tcW w:w="1231" w:type="dxa"/>
            <w:tcBorders>
              <w:top w:val="nil"/>
              <w:left w:val="single" w:sz="4" w:space="0" w:color="auto"/>
              <w:bottom w:val="nil"/>
              <w:right w:val="single" w:sz="4" w:space="0" w:color="auto"/>
            </w:tcBorders>
            <w:shd w:val="clear" w:color="auto" w:fill="auto"/>
            <w:noWrap/>
            <w:vAlign w:val="bottom"/>
          </w:tcPr>
          <w:p w14:paraId="093109E5" w14:textId="276696E9"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87.039 </w:t>
            </w:r>
          </w:p>
        </w:tc>
        <w:tc>
          <w:tcPr>
            <w:tcW w:w="1110" w:type="dxa"/>
            <w:tcBorders>
              <w:top w:val="nil"/>
              <w:left w:val="single" w:sz="4" w:space="0" w:color="auto"/>
              <w:bottom w:val="nil"/>
              <w:right w:val="single" w:sz="4" w:space="0" w:color="auto"/>
            </w:tcBorders>
            <w:shd w:val="clear" w:color="auto" w:fill="auto"/>
            <w:noWrap/>
            <w:vAlign w:val="bottom"/>
          </w:tcPr>
          <w:p w14:paraId="395548B2" w14:textId="02BBB692"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208.975 </w:t>
            </w:r>
          </w:p>
        </w:tc>
        <w:tc>
          <w:tcPr>
            <w:tcW w:w="824" w:type="dxa"/>
            <w:tcBorders>
              <w:top w:val="nil"/>
              <w:left w:val="single" w:sz="4" w:space="0" w:color="auto"/>
              <w:bottom w:val="nil"/>
              <w:right w:val="single" w:sz="4" w:space="0" w:color="auto"/>
            </w:tcBorders>
            <w:shd w:val="clear" w:color="auto" w:fill="auto"/>
            <w:noWrap/>
            <w:vAlign w:val="bottom"/>
          </w:tcPr>
          <w:p w14:paraId="17D2987A" w14:textId="3122C221" w:rsidR="00855DF9" w:rsidRPr="00855DF9" w:rsidRDefault="00855DF9">
            <w:pPr>
              <w:jc w:val="right"/>
              <w:rPr>
                <w:rFonts w:ascii="Arial" w:hAnsi="Arial" w:cs="Arial"/>
                <w:sz w:val="16"/>
                <w:szCs w:val="16"/>
              </w:rPr>
            </w:pPr>
            <w:r w:rsidRPr="00855DF9">
              <w:rPr>
                <w:rFonts w:ascii="Arial" w:hAnsi="Arial" w:cs="Arial"/>
                <w:sz w:val="16"/>
                <w:szCs w:val="16"/>
              </w:rPr>
              <w:t>2.055</w:t>
            </w:r>
          </w:p>
        </w:tc>
        <w:tc>
          <w:tcPr>
            <w:tcW w:w="1150" w:type="dxa"/>
            <w:tcBorders>
              <w:top w:val="nil"/>
              <w:left w:val="single" w:sz="4" w:space="0" w:color="auto"/>
              <w:bottom w:val="nil"/>
              <w:right w:val="single" w:sz="4" w:space="0" w:color="auto"/>
            </w:tcBorders>
            <w:shd w:val="clear" w:color="auto" w:fill="auto"/>
            <w:noWrap/>
            <w:vAlign w:val="bottom"/>
          </w:tcPr>
          <w:p w14:paraId="05304290" w14:textId="0E3919A4" w:rsidR="00855DF9" w:rsidRPr="00855DF9" w:rsidRDefault="00855DF9">
            <w:pPr>
              <w:jc w:val="right"/>
              <w:rPr>
                <w:rFonts w:ascii="Arial" w:hAnsi="Arial" w:cs="Arial"/>
                <w:sz w:val="16"/>
                <w:szCs w:val="16"/>
              </w:rPr>
            </w:pPr>
            <w:r w:rsidRPr="00855DF9">
              <w:rPr>
                <w:rFonts w:ascii="Arial" w:hAnsi="Arial" w:cs="Arial"/>
                <w:sz w:val="16"/>
                <w:szCs w:val="16"/>
              </w:rPr>
              <w:t xml:space="preserve"> </w:t>
            </w:r>
            <w:r w:rsidR="00EC4862">
              <w:rPr>
                <w:rFonts w:ascii="Arial" w:hAnsi="Arial" w:cs="Arial"/>
                <w:sz w:val="16"/>
                <w:szCs w:val="16"/>
              </w:rPr>
              <w:t>-</w:t>
            </w:r>
            <w:r w:rsidRPr="00855DF9">
              <w:rPr>
                <w:rFonts w:ascii="Arial" w:hAnsi="Arial" w:cs="Arial"/>
                <w:sz w:val="16"/>
                <w:szCs w:val="16"/>
              </w:rPr>
              <w:t xml:space="preserve">1.762.215 </w:t>
            </w:r>
          </w:p>
        </w:tc>
      </w:tr>
      <w:tr w:rsidR="00855DF9" w:rsidRPr="00827C8E" w14:paraId="34BD1BAA" w14:textId="77777777" w:rsidTr="00BA7A6B">
        <w:trPr>
          <w:trHeight w:val="216"/>
        </w:trPr>
        <w:tc>
          <w:tcPr>
            <w:tcW w:w="3403" w:type="dxa"/>
            <w:tcBorders>
              <w:top w:val="nil"/>
              <w:left w:val="single" w:sz="4" w:space="0" w:color="auto"/>
              <w:bottom w:val="nil"/>
              <w:right w:val="single" w:sz="4" w:space="0" w:color="auto"/>
            </w:tcBorders>
            <w:shd w:val="clear" w:color="auto" w:fill="auto"/>
            <w:noWrap/>
            <w:vAlign w:val="bottom"/>
            <w:hideMark/>
          </w:tcPr>
          <w:p w14:paraId="7C4E5081"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Depreciaciones y desvalorizaciones de bienes </w:t>
            </w:r>
          </w:p>
        </w:tc>
        <w:tc>
          <w:tcPr>
            <w:tcW w:w="1341" w:type="dxa"/>
            <w:tcBorders>
              <w:top w:val="nil"/>
              <w:left w:val="single" w:sz="4" w:space="0" w:color="auto"/>
              <w:bottom w:val="nil"/>
              <w:right w:val="single" w:sz="4" w:space="0" w:color="auto"/>
            </w:tcBorders>
            <w:shd w:val="clear" w:color="auto" w:fill="auto"/>
            <w:noWrap/>
            <w:vAlign w:val="bottom"/>
          </w:tcPr>
          <w:p w14:paraId="63735687" w14:textId="56EC01BC"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21.567 </w:t>
            </w:r>
          </w:p>
        </w:tc>
        <w:tc>
          <w:tcPr>
            <w:tcW w:w="1231" w:type="dxa"/>
            <w:tcBorders>
              <w:top w:val="nil"/>
              <w:left w:val="single" w:sz="4" w:space="0" w:color="auto"/>
              <w:bottom w:val="nil"/>
              <w:right w:val="single" w:sz="4" w:space="0" w:color="auto"/>
            </w:tcBorders>
            <w:shd w:val="clear" w:color="auto" w:fill="auto"/>
            <w:noWrap/>
            <w:vAlign w:val="bottom"/>
          </w:tcPr>
          <w:p w14:paraId="5ACB6803" w14:textId="584A8E9A"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326.760 </w:t>
            </w:r>
          </w:p>
        </w:tc>
        <w:tc>
          <w:tcPr>
            <w:tcW w:w="1231" w:type="dxa"/>
            <w:tcBorders>
              <w:top w:val="nil"/>
              <w:left w:val="single" w:sz="4" w:space="0" w:color="auto"/>
              <w:bottom w:val="nil"/>
              <w:right w:val="single" w:sz="4" w:space="0" w:color="auto"/>
            </w:tcBorders>
            <w:shd w:val="clear" w:color="auto" w:fill="auto"/>
            <w:noWrap/>
            <w:vAlign w:val="bottom"/>
          </w:tcPr>
          <w:p w14:paraId="4862154E" w14:textId="25B8361F"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26.961 </w:t>
            </w:r>
          </w:p>
        </w:tc>
        <w:tc>
          <w:tcPr>
            <w:tcW w:w="1110" w:type="dxa"/>
            <w:tcBorders>
              <w:top w:val="nil"/>
              <w:left w:val="single" w:sz="4" w:space="0" w:color="auto"/>
              <w:bottom w:val="nil"/>
              <w:right w:val="single" w:sz="4" w:space="0" w:color="auto"/>
            </w:tcBorders>
            <w:shd w:val="clear" w:color="auto" w:fill="auto"/>
            <w:noWrap/>
            <w:vAlign w:val="bottom"/>
          </w:tcPr>
          <w:p w14:paraId="75D81F7C" w14:textId="7657AA1F"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16.989 </w:t>
            </w:r>
          </w:p>
        </w:tc>
        <w:tc>
          <w:tcPr>
            <w:tcW w:w="824" w:type="dxa"/>
            <w:tcBorders>
              <w:top w:val="nil"/>
              <w:left w:val="single" w:sz="4" w:space="0" w:color="auto"/>
              <w:bottom w:val="nil"/>
              <w:right w:val="single" w:sz="4" w:space="0" w:color="auto"/>
            </w:tcBorders>
            <w:shd w:val="clear" w:color="auto" w:fill="auto"/>
            <w:noWrap/>
            <w:vAlign w:val="bottom"/>
          </w:tcPr>
          <w:p w14:paraId="7F3CC331" w14:textId="67E3F3A0" w:rsidR="00855DF9" w:rsidRPr="00855DF9" w:rsidRDefault="00855DF9">
            <w:pPr>
              <w:jc w:val="right"/>
              <w:rPr>
                <w:rFonts w:ascii="Arial" w:hAnsi="Arial" w:cs="Arial"/>
                <w:sz w:val="16"/>
                <w:szCs w:val="16"/>
              </w:rPr>
            </w:pPr>
            <w:r w:rsidRPr="00855DF9">
              <w:rPr>
                <w:rFonts w:ascii="Arial" w:hAnsi="Arial" w:cs="Arial"/>
                <w:sz w:val="16"/>
                <w:szCs w:val="16"/>
              </w:rPr>
              <w:t>-</w:t>
            </w:r>
          </w:p>
        </w:tc>
        <w:tc>
          <w:tcPr>
            <w:tcW w:w="1150" w:type="dxa"/>
            <w:tcBorders>
              <w:top w:val="nil"/>
              <w:left w:val="single" w:sz="4" w:space="0" w:color="auto"/>
              <w:bottom w:val="nil"/>
              <w:right w:val="single" w:sz="4" w:space="0" w:color="auto"/>
            </w:tcBorders>
            <w:shd w:val="clear" w:color="auto" w:fill="auto"/>
            <w:noWrap/>
            <w:vAlign w:val="bottom"/>
          </w:tcPr>
          <w:p w14:paraId="59192569" w14:textId="3F995576" w:rsidR="00855DF9" w:rsidRPr="00855DF9" w:rsidRDefault="00855DF9">
            <w:pPr>
              <w:jc w:val="right"/>
              <w:rPr>
                <w:rFonts w:ascii="Arial" w:hAnsi="Arial" w:cs="Arial"/>
                <w:sz w:val="16"/>
                <w:szCs w:val="16"/>
              </w:rPr>
            </w:pPr>
            <w:r w:rsidRPr="00855DF9">
              <w:rPr>
                <w:rFonts w:ascii="Arial" w:hAnsi="Arial" w:cs="Arial"/>
                <w:sz w:val="16"/>
                <w:szCs w:val="16"/>
              </w:rPr>
              <w:t xml:space="preserve"> </w:t>
            </w:r>
            <w:r w:rsidR="00EC4862">
              <w:rPr>
                <w:rFonts w:ascii="Arial" w:hAnsi="Arial" w:cs="Arial"/>
                <w:sz w:val="16"/>
                <w:szCs w:val="16"/>
              </w:rPr>
              <w:t>-</w:t>
            </w:r>
            <w:r w:rsidRPr="00855DF9">
              <w:rPr>
                <w:rFonts w:ascii="Arial" w:hAnsi="Arial" w:cs="Arial"/>
                <w:sz w:val="16"/>
                <w:szCs w:val="16"/>
              </w:rPr>
              <w:t xml:space="preserve">392.277 </w:t>
            </w:r>
          </w:p>
        </w:tc>
      </w:tr>
      <w:tr w:rsidR="00855DF9" w:rsidRPr="00827C8E" w14:paraId="4C94891C" w14:textId="77777777" w:rsidTr="00BA7A6B">
        <w:trPr>
          <w:trHeight w:val="216"/>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55DB1F86"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Otros gastos operativos </w:t>
            </w:r>
          </w:p>
        </w:tc>
        <w:tc>
          <w:tcPr>
            <w:tcW w:w="1341" w:type="dxa"/>
            <w:tcBorders>
              <w:top w:val="nil"/>
              <w:left w:val="single" w:sz="4" w:space="0" w:color="auto"/>
              <w:bottom w:val="single" w:sz="4" w:space="0" w:color="auto"/>
              <w:right w:val="single" w:sz="4" w:space="0" w:color="auto"/>
            </w:tcBorders>
            <w:shd w:val="clear" w:color="auto" w:fill="auto"/>
            <w:noWrap/>
            <w:vAlign w:val="bottom"/>
          </w:tcPr>
          <w:p w14:paraId="52553E8E" w14:textId="1D7E3725" w:rsidR="00855DF9" w:rsidRPr="00855DF9" w:rsidRDefault="00EC4862">
            <w:pPr>
              <w:jc w:val="right"/>
              <w:rPr>
                <w:rFonts w:ascii="Arial" w:hAnsi="Arial" w:cs="Arial"/>
                <w:sz w:val="16"/>
                <w:szCs w:val="16"/>
              </w:rPr>
            </w:pPr>
            <w:r>
              <w:rPr>
                <w:rFonts w:ascii="Arial" w:hAnsi="Arial" w:cs="Arial"/>
                <w:sz w:val="16"/>
                <w:szCs w:val="16"/>
              </w:rPr>
              <w:t>-</w:t>
            </w:r>
            <w:r w:rsidR="00855DF9" w:rsidRPr="00BA7A6B">
              <w:rPr>
                <w:rFonts w:ascii="Arial" w:hAnsi="Arial" w:cs="Arial"/>
                <w:sz w:val="16"/>
                <w:szCs w:val="16"/>
              </w:rPr>
              <w:t xml:space="preserve">386.202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2B4DB67D" w14:textId="3F4D83A3"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834.798 </w:t>
            </w:r>
          </w:p>
        </w:tc>
        <w:tc>
          <w:tcPr>
            <w:tcW w:w="1231" w:type="dxa"/>
            <w:tcBorders>
              <w:top w:val="nil"/>
              <w:left w:val="single" w:sz="4" w:space="0" w:color="auto"/>
              <w:bottom w:val="single" w:sz="4" w:space="0" w:color="auto"/>
              <w:right w:val="single" w:sz="4" w:space="0" w:color="auto"/>
            </w:tcBorders>
            <w:shd w:val="clear" w:color="auto" w:fill="auto"/>
            <w:noWrap/>
            <w:vAlign w:val="bottom"/>
          </w:tcPr>
          <w:p w14:paraId="5F5E9846" w14:textId="2701160F"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128.794 </w:t>
            </w: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4B049E7B" w14:textId="1C26521D" w:rsidR="00855DF9" w:rsidRPr="00855DF9" w:rsidRDefault="00855DF9">
            <w:pPr>
              <w:jc w:val="right"/>
              <w:rPr>
                <w:rFonts w:ascii="Arial" w:hAnsi="Arial" w:cs="Arial"/>
                <w:sz w:val="16"/>
                <w:szCs w:val="16"/>
              </w:rPr>
            </w:pPr>
            <w:r w:rsidRPr="00BA7A6B">
              <w:rPr>
                <w:rFonts w:ascii="Arial" w:hAnsi="Arial" w:cs="Arial"/>
                <w:sz w:val="16"/>
                <w:szCs w:val="16"/>
              </w:rPr>
              <w:t xml:space="preserve"> </w:t>
            </w:r>
            <w:r w:rsidR="00EC4862">
              <w:rPr>
                <w:rFonts w:ascii="Arial" w:hAnsi="Arial" w:cs="Arial"/>
                <w:sz w:val="16"/>
                <w:szCs w:val="16"/>
              </w:rPr>
              <w:t>-</w:t>
            </w:r>
            <w:r w:rsidRPr="00BA7A6B">
              <w:rPr>
                <w:rFonts w:ascii="Arial" w:hAnsi="Arial" w:cs="Arial"/>
                <w:sz w:val="16"/>
                <w:szCs w:val="16"/>
              </w:rPr>
              <w:t xml:space="preserve">163.317 </w:t>
            </w:r>
          </w:p>
        </w:tc>
        <w:tc>
          <w:tcPr>
            <w:tcW w:w="824" w:type="dxa"/>
            <w:tcBorders>
              <w:top w:val="nil"/>
              <w:left w:val="single" w:sz="4" w:space="0" w:color="auto"/>
              <w:bottom w:val="single" w:sz="4" w:space="0" w:color="auto"/>
              <w:right w:val="single" w:sz="4" w:space="0" w:color="auto"/>
            </w:tcBorders>
            <w:shd w:val="clear" w:color="auto" w:fill="auto"/>
            <w:noWrap/>
            <w:vAlign w:val="bottom"/>
          </w:tcPr>
          <w:p w14:paraId="0B40A17D" w14:textId="1905DEBD" w:rsidR="00855DF9" w:rsidRPr="00855DF9" w:rsidRDefault="00855DF9">
            <w:pPr>
              <w:jc w:val="right"/>
              <w:rPr>
                <w:rFonts w:ascii="Arial" w:hAnsi="Arial" w:cs="Arial"/>
                <w:sz w:val="16"/>
                <w:szCs w:val="16"/>
              </w:rPr>
            </w:pPr>
            <w:r w:rsidRPr="00855DF9">
              <w:rPr>
                <w:rFonts w:ascii="Arial" w:hAnsi="Arial" w:cs="Arial"/>
                <w:sz w:val="16"/>
                <w:szCs w:val="16"/>
              </w:rPr>
              <w:t>-</w:t>
            </w:r>
          </w:p>
        </w:tc>
        <w:tc>
          <w:tcPr>
            <w:tcW w:w="1150" w:type="dxa"/>
            <w:tcBorders>
              <w:top w:val="nil"/>
              <w:left w:val="single" w:sz="4" w:space="0" w:color="auto"/>
              <w:bottom w:val="single" w:sz="4" w:space="0" w:color="auto"/>
              <w:right w:val="single" w:sz="4" w:space="0" w:color="auto"/>
            </w:tcBorders>
            <w:shd w:val="clear" w:color="auto" w:fill="auto"/>
            <w:noWrap/>
            <w:vAlign w:val="bottom"/>
          </w:tcPr>
          <w:p w14:paraId="497FF2DB" w14:textId="78706223" w:rsidR="00855DF9" w:rsidRPr="00855DF9" w:rsidRDefault="00855DF9">
            <w:pPr>
              <w:jc w:val="right"/>
              <w:rPr>
                <w:rFonts w:ascii="Arial" w:hAnsi="Arial" w:cs="Arial"/>
                <w:sz w:val="16"/>
                <w:szCs w:val="16"/>
              </w:rPr>
            </w:pPr>
            <w:r w:rsidRPr="00855DF9">
              <w:rPr>
                <w:rFonts w:ascii="Arial" w:hAnsi="Arial" w:cs="Arial"/>
                <w:sz w:val="16"/>
                <w:szCs w:val="16"/>
              </w:rPr>
              <w:t xml:space="preserve"> </w:t>
            </w:r>
            <w:r w:rsidR="00EC4862">
              <w:rPr>
                <w:rFonts w:ascii="Arial" w:hAnsi="Arial" w:cs="Arial"/>
                <w:sz w:val="16"/>
                <w:szCs w:val="16"/>
              </w:rPr>
              <w:t>-</w:t>
            </w:r>
            <w:r w:rsidRPr="00855DF9">
              <w:rPr>
                <w:rFonts w:ascii="Arial" w:hAnsi="Arial" w:cs="Arial"/>
                <w:sz w:val="16"/>
                <w:szCs w:val="16"/>
              </w:rPr>
              <w:t xml:space="preserve">1.513.111 </w:t>
            </w:r>
          </w:p>
        </w:tc>
      </w:tr>
      <w:tr w:rsidR="00855DF9" w:rsidRPr="00827C8E" w14:paraId="7384AD00" w14:textId="77777777" w:rsidTr="00BA7A6B">
        <w:trPr>
          <w:trHeight w:val="194"/>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CD0EF" w14:textId="77777777" w:rsidR="00855DF9" w:rsidRPr="00827C8E" w:rsidRDefault="00855DF9" w:rsidP="00855DF9">
            <w:pPr>
              <w:jc w:val="both"/>
              <w:rPr>
                <w:rFonts w:ascii="Arial" w:hAnsi="Arial" w:cs="Arial"/>
                <w:b/>
                <w:bCs/>
                <w:sz w:val="16"/>
                <w:szCs w:val="18"/>
                <w:lang w:eastAsia="es-AR"/>
              </w:rPr>
            </w:pPr>
            <w:r w:rsidRPr="00827C8E">
              <w:rPr>
                <w:rFonts w:ascii="Arial" w:hAnsi="Arial" w:cs="Arial"/>
                <w:b/>
                <w:bCs/>
                <w:sz w:val="16"/>
                <w:szCs w:val="18"/>
                <w:lang w:eastAsia="es-AR"/>
              </w:rPr>
              <w:t xml:space="preserve"> Resultado operativo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851E3" w14:textId="50E8BB51" w:rsidR="00855DF9" w:rsidRPr="00457C5D" w:rsidRDefault="00172FBA">
            <w:pPr>
              <w:jc w:val="right"/>
              <w:rPr>
                <w:rFonts w:ascii="Arial" w:hAnsi="Arial" w:cs="Arial"/>
                <w:b/>
                <w:sz w:val="16"/>
                <w:szCs w:val="16"/>
              </w:rPr>
            </w:pPr>
            <w:r w:rsidRPr="005333A4">
              <w:rPr>
                <w:rFonts w:ascii="Arial" w:hAnsi="Arial" w:cs="Arial"/>
                <w:b/>
                <w:sz w:val="16"/>
                <w:szCs w:val="16"/>
              </w:rPr>
              <w:t>415.421</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A756A" w14:textId="38FB0FCE" w:rsidR="00855DF9" w:rsidRPr="00457C5D" w:rsidRDefault="00D465A3">
            <w:pPr>
              <w:jc w:val="right"/>
              <w:rPr>
                <w:rFonts w:ascii="Arial" w:hAnsi="Arial" w:cs="Arial"/>
                <w:b/>
                <w:sz w:val="16"/>
                <w:szCs w:val="16"/>
              </w:rPr>
            </w:pPr>
            <w:r w:rsidRPr="005333A4">
              <w:rPr>
                <w:rFonts w:ascii="Arial" w:hAnsi="Arial" w:cs="Arial"/>
                <w:b/>
                <w:sz w:val="16"/>
                <w:szCs w:val="16"/>
              </w:rPr>
              <w:t>343.939</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73867" w14:textId="2B3DCC95" w:rsidR="00855DF9" w:rsidRPr="00457C5D" w:rsidRDefault="00D465A3">
            <w:pPr>
              <w:jc w:val="right"/>
              <w:rPr>
                <w:rFonts w:ascii="Arial" w:hAnsi="Arial" w:cs="Arial"/>
                <w:b/>
                <w:sz w:val="16"/>
                <w:szCs w:val="16"/>
              </w:rPr>
            </w:pPr>
            <w:r w:rsidRPr="005333A4">
              <w:rPr>
                <w:rFonts w:ascii="Arial" w:hAnsi="Arial" w:cs="Arial"/>
                <w:b/>
                <w:sz w:val="16"/>
                <w:szCs w:val="16"/>
              </w:rPr>
              <w:t>339.76</w:t>
            </w:r>
            <w:r w:rsidR="00457C5D" w:rsidRPr="005333A4">
              <w:rPr>
                <w:rFonts w:ascii="Arial" w:hAnsi="Arial" w:cs="Arial"/>
                <w:b/>
                <w:sz w:val="16"/>
                <w:szCs w:val="16"/>
              </w:rPr>
              <w:t>2</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B998A" w14:textId="0253D34F" w:rsidR="00855DF9" w:rsidRPr="00457C5D" w:rsidRDefault="00855DF9">
            <w:pPr>
              <w:jc w:val="right"/>
              <w:rPr>
                <w:rFonts w:ascii="Arial" w:hAnsi="Arial" w:cs="Arial"/>
                <w:b/>
                <w:sz w:val="16"/>
                <w:szCs w:val="16"/>
              </w:rPr>
            </w:pPr>
            <w:r w:rsidRPr="005333A4">
              <w:rPr>
                <w:rFonts w:ascii="Arial" w:hAnsi="Arial" w:cs="Arial"/>
                <w:b/>
                <w:sz w:val="16"/>
                <w:szCs w:val="16"/>
              </w:rPr>
              <w:t xml:space="preserve"> -538.353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E1FF8" w14:textId="3C9CD6A9" w:rsidR="00855DF9" w:rsidRPr="00855DF9" w:rsidRDefault="00855DF9">
            <w:pPr>
              <w:jc w:val="right"/>
              <w:rPr>
                <w:rFonts w:ascii="Arial" w:hAnsi="Arial" w:cs="Arial"/>
                <w:b/>
                <w:sz w:val="16"/>
                <w:szCs w:val="16"/>
              </w:rPr>
            </w:pPr>
            <w:r w:rsidRPr="00855DF9">
              <w:rPr>
                <w:rFonts w:ascii="Arial" w:hAnsi="Arial" w:cs="Arial"/>
                <w:b/>
                <w:sz w:val="16"/>
                <w:szCs w:val="16"/>
              </w:rPr>
              <w:t>4.777</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1D48F4" w14:textId="029F7A34" w:rsidR="00855DF9" w:rsidRPr="00855DF9" w:rsidRDefault="00855DF9">
            <w:pPr>
              <w:jc w:val="right"/>
              <w:rPr>
                <w:rFonts w:ascii="Arial" w:hAnsi="Arial" w:cs="Arial"/>
                <w:b/>
                <w:sz w:val="16"/>
                <w:szCs w:val="16"/>
              </w:rPr>
            </w:pPr>
            <w:r w:rsidRPr="00855DF9">
              <w:rPr>
                <w:rFonts w:ascii="Arial" w:hAnsi="Arial" w:cs="Arial"/>
                <w:b/>
                <w:sz w:val="16"/>
                <w:szCs w:val="16"/>
              </w:rPr>
              <w:t xml:space="preserve"> 565.546 </w:t>
            </w:r>
          </w:p>
        </w:tc>
      </w:tr>
      <w:tr w:rsidR="00B00444" w:rsidRPr="00827C8E" w14:paraId="14ECB113"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DDCA6" w14:textId="77777777" w:rsidR="00B00444" w:rsidRPr="00827C8E" w:rsidRDefault="00B00444" w:rsidP="00B00444">
            <w:pPr>
              <w:jc w:val="both"/>
              <w:rPr>
                <w:rFonts w:ascii="Arial" w:hAnsi="Arial" w:cs="Arial"/>
                <w:sz w:val="16"/>
                <w:szCs w:val="18"/>
                <w:lang w:eastAsia="es-AR"/>
              </w:rPr>
            </w:pPr>
            <w:r w:rsidRPr="00827C8E">
              <w:rPr>
                <w:rFonts w:ascii="Arial" w:hAnsi="Arial" w:cs="Arial"/>
                <w:sz w:val="16"/>
                <w:szCs w:val="18"/>
                <w:lang w:eastAsia="es-AR"/>
              </w:rPr>
              <w:t xml:space="preserve"> Resultado por asociadas y negocios conjuntos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6ABB1" w14:textId="7F72AF25" w:rsidR="00B00444" w:rsidRPr="00855DF9" w:rsidRDefault="00B00444">
            <w:pPr>
              <w:jc w:val="right"/>
              <w:rPr>
                <w:rFonts w:ascii="Arial" w:hAnsi="Arial" w:cs="Arial"/>
                <w:sz w:val="16"/>
                <w:szCs w:val="16"/>
              </w:rPr>
            </w:pPr>
            <w:r w:rsidRPr="00855DF9">
              <w:rPr>
                <w:rFonts w:ascii="Arial" w:hAnsi="Arial" w:cs="Arial"/>
                <w:sz w:val="16"/>
                <w:szCs w:val="16"/>
              </w:rPr>
              <w:t>-</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5618C" w14:textId="6DB6120E" w:rsidR="00B00444" w:rsidRPr="00855DF9" w:rsidRDefault="00B00444">
            <w:pPr>
              <w:jc w:val="right"/>
              <w:rPr>
                <w:rFonts w:ascii="Arial" w:hAnsi="Arial" w:cs="Arial"/>
                <w:sz w:val="16"/>
                <w:szCs w:val="16"/>
              </w:rPr>
            </w:pPr>
            <w:r w:rsidRPr="00855DF9">
              <w:rPr>
                <w:rFonts w:ascii="Arial" w:hAnsi="Arial" w:cs="Arial"/>
                <w:sz w:val="16"/>
                <w:szCs w:val="16"/>
              </w:rPr>
              <w:t>-</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BECD5" w14:textId="7CDF8769" w:rsidR="00B00444" w:rsidRPr="00855DF9" w:rsidRDefault="00B00444">
            <w:pPr>
              <w:jc w:val="right"/>
              <w:rPr>
                <w:rFonts w:ascii="Arial" w:hAnsi="Arial" w:cs="Arial"/>
                <w:sz w:val="16"/>
                <w:szCs w:val="16"/>
                <w:lang w:val="es-ES_tradnl"/>
              </w:rPr>
            </w:pPr>
            <w:r w:rsidRPr="00855DF9">
              <w:rPr>
                <w:rFonts w:ascii="Arial" w:hAnsi="Arial" w:cs="Arial"/>
                <w:sz w:val="16"/>
                <w:szCs w:val="16"/>
                <w:lang w:val="es-ES_tradnl"/>
              </w:rPr>
              <w:t>-</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99154" w14:textId="1A367536" w:rsidR="00B00444" w:rsidRPr="00855DF9" w:rsidRDefault="00B00444">
            <w:pPr>
              <w:jc w:val="right"/>
              <w:rPr>
                <w:rFonts w:ascii="Arial" w:hAnsi="Arial" w:cs="Arial"/>
                <w:sz w:val="16"/>
                <w:szCs w:val="16"/>
              </w:rPr>
            </w:pPr>
            <w:r w:rsidRPr="00855DF9">
              <w:rPr>
                <w:rFonts w:ascii="Arial" w:hAnsi="Arial" w:cs="Arial"/>
                <w:sz w:val="16"/>
                <w:szCs w:val="16"/>
              </w:rPr>
              <w:t>-664.909</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9175C" w14:textId="4B6115DF" w:rsidR="00B00444" w:rsidRPr="00855DF9" w:rsidRDefault="00B00444">
            <w:pPr>
              <w:jc w:val="right"/>
              <w:rPr>
                <w:rFonts w:ascii="Arial" w:hAnsi="Arial" w:cs="Arial"/>
                <w:sz w:val="16"/>
                <w:szCs w:val="16"/>
              </w:rPr>
            </w:pPr>
            <w:r w:rsidRPr="00855DF9">
              <w:rPr>
                <w:rFonts w:ascii="Arial" w:hAnsi="Arial" w:cs="Arial"/>
                <w:sz w:val="16"/>
                <w:szCs w:val="16"/>
              </w:rPr>
              <w:t xml:space="preserve"> 643.380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B20814" w14:textId="618F19B1" w:rsidR="00B00444" w:rsidRPr="00855DF9" w:rsidRDefault="00B00444">
            <w:pPr>
              <w:jc w:val="right"/>
              <w:rPr>
                <w:rFonts w:ascii="Arial" w:hAnsi="Arial" w:cs="Arial"/>
                <w:sz w:val="16"/>
                <w:szCs w:val="16"/>
              </w:rPr>
            </w:pPr>
            <w:r w:rsidRPr="00855DF9">
              <w:rPr>
                <w:rFonts w:ascii="Arial" w:hAnsi="Arial" w:cs="Arial"/>
                <w:sz w:val="16"/>
                <w:szCs w:val="16"/>
              </w:rPr>
              <w:t xml:space="preserve"> -21.529 </w:t>
            </w:r>
          </w:p>
        </w:tc>
      </w:tr>
      <w:tr w:rsidR="00B00444" w:rsidRPr="00827C8E" w14:paraId="70DB9468"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1D628" w14:textId="77777777" w:rsidR="00B00444" w:rsidRPr="00827C8E" w:rsidRDefault="00B00444" w:rsidP="00B00444">
            <w:pPr>
              <w:jc w:val="both"/>
              <w:rPr>
                <w:rFonts w:ascii="Arial" w:hAnsi="Arial" w:cs="Arial"/>
                <w:bCs/>
                <w:sz w:val="16"/>
                <w:szCs w:val="18"/>
                <w:lang w:eastAsia="es-AR"/>
              </w:rPr>
            </w:pPr>
            <w:r w:rsidRPr="00827C8E">
              <w:rPr>
                <w:rFonts w:ascii="Arial" w:hAnsi="Arial" w:cs="Arial"/>
                <w:bCs/>
                <w:sz w:val="16"/>
                <w:szCs w:val="18"/>
                <w:lang w:eastAsia="es-AR"/>
              </w:rPr>
              <w:t>Resultado por la posición monetaria neta</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19578" w14:textId="3B526C18" w:rsidR="00B00444" w:rsidRPr="00855DF9" w:rsidRDefault="00B00444">
            <w:pPr>
              <w:jc w:val="right"/>
              <w:rPr>
                <w:rFonts w:ascii="Arial" w:hAnsi="Arial" w:cs="Arial"/>
                <w:sz w:val="16"/>
                <w:szCs w:val="16"/>
              </w:rPr>
            </w:pPr>
            <w:r w:rsidRPr="00855DF9">
              <w:rPr>
                <w:rFonts w:ascii="Arial" w:hAnsi="Arial" w:cs="Arial"/>
                <w:sz w:val="16"/>
                <w:szCs w:val="16"/>
              </w:rPr>
              <w:t xml:space="preserve"> -797.611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00DBC" w14:textId="64DE41E2" w:rsidR="00B00444" w:rsidRPr="00855DF9" w:rsidRDefault="00855DF9">
            <w:pPr>
              <w:jc w:val="right"/>
              <w:rPr>
                <w:rFonts w:ascii="Arial" w:hAnsi="Arial" w:cs="Arial"/>
                <w:sz w:val="16"/>
                <w:szCs w:val="16"/>
              </w:rPr>
            </w:pPr>
            <w:r w:rsidRPr="00855DF9">
              <w:rPr>
                <w:rFonts w:ascii="Arial" w:hAnsi="Arial" w:cs="Arial"/>
                <w:sz w:val="16"/>
                <w:szCs w:val="16"/>
              </w:rPr>
              <w:t>-435.788</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BC9ED" w14:textId="3D92602F" w:rsidR="00B00444" w:rsidRPr="00855DF9" w:rsidRDefault="00855DF9">
            <w:pPr>
              <w:jc w:val="right"/>
              <w:rPr>
                <w:rFonts w:ascii="Arial" w:hAnsi="Arial" w:cs="Arial"/>
                <w:sz w:val="16"/>
                <w:szCs w:val="16"/>
              </w:rPr>
            </w:pPr>
            <w:r w:rsidRPr="00855DF9">
              <w:rPr>
                <w:rFonts w:ascii="Arial" w:hAnsi="Arial" w:cs="Arial"/>
                <w:sz w:val="16"/>
                <w:szCs w:val="16"/>
              </w:rPr>
              <w:t>-168.464</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3E60C4" w14:textId="3380B6D4" w:rsidR="00B00444" w:rsidRPr="00855DF9" w:rsidRDefault="00855DF9">
            <w:pPr>
              <w:jc w:val="right"/>
              <w:rPr>
                <w:rFonts w:ascii="Arial" w:hAnsi="Arial" w:cs="Arial"/>
                <w:sz w:val="16"/>
                <w:szCs w:val="16"/>
              </w:rPr>
            </w:pPr>
            <w:r w:rsidRPr="00855DF9">
              <w:rPr>
                <w:rFonts w:ascii="Arial" w:hAnsi="Arial" w:cs="Arial"/>
                <w:sz w:val="16"/>
                <w:szCs w:val="16"/>
              </w:rPr>
              <w:t>-239.336</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3069C" w14:textId="113ECA7C" w:rsidR="00B00444" w:rsidRPr="00855DF9" w:rsidRDefault="00B00444">
            <w:pPr>
              <w:jc w:val="right"/>
              <w:rPr>
                <w:rFonts w:ascii="Arial" w:hAnsi="Arial" w:cs="Arial"/>
                <w:sz w:val="16"/>
                <w:szCs w:val="16"/>
              </w:rPr>
            </w:pPr>
            <w:r w:rsidRPr="00855DF9">
              <w:rPr>
                <w:rFonts w:ascii="Arial" w:hAnsi="Arial" w:cs="Arial"/>
                <w:sz w:val="16"/>
                <w:szCs w:val="16"/>
              </w:rPr>
              <w:t>-</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16C7B" w14:textId="108EE418" w:rsidR="00B00444" w:rsidRPr="00855DF9" w:rsidRDefault="00827C8E">
            <w:pPr>
              <w:jc w:val="right"/>
              <w:rPr>
                <w:rFonts w:ascii="Arial" w:hAnsi="Arial" w:cs="Arial"/>
                <w:sz w:val="16"/>
                <w:szCs w:val="16"/>
              </w:rPr>
            </w:pPr>
            <w:r w:rsidRPr="00855DF9">
              <w:rPr>
                <w:rFonts w:ascii="Arial" w:hAnsi="Arial" w:cs="Arial"/>
                <w:sz w:val="16"/>
                <w:szCs w:val="16"/>
              </w:rPr>
              <w:t>-1.641.199</w:t>
            </w:r>
          </w:p>
        </w:tc>
      </w:tr>
      <w:tr w:rsidR="00855DF9" w:rsidRPr="00827C8E" w14:paraId="0F97FA26"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93EF0" w14:textId="77777777" w:rsidR="00855DF9" w:rsidRPr="00827C8E" w:rsidRDefault="00855DF9" w:rsidP="00855DF9">
            <w:pPr>
              <w:jc w:val="both"/>
              <w:rPr>
                <w:rFonts w:ascii="Arial" w:hAnsi="Arial" w:cs="Arial"/>
                <w:b/>
                <w:bCs/>
                <w:sz w:val="16"/>
                <w:szCs w:val="18"/>
                <w:lang w:eastAsia="es-AR"/>
              </w:rPr>
            </w:pPr>
            <w:r w:rsidRPr="00827C8E">
              <w:rPr>
                <w:rFonts w:ascii="Arial" w:hAnsi="Arial" w:cs="Arial"/>
                <w:b/>
                <w:bCs/>
                <w:sz w:val="16"/>
                <w:szCs w:val="18"/>
                <w:lang w:eastAsia="es-AR"/>
              </w:rPr>
              <w:t xml:space="preserve"> Resultado antes de impuesto de las actividades que continúan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0390E" w14:textId="2DE98D5C" w:rsidR="00855DF9" w:rsidRPr="00855DF9" w:rsidRDefault="00D465A3">
            <w:pPr>
              <w:jc w:val="right"/>
              <w:rPr>
                <w:rFonts w:ascii="Arial" w:hAnsi="Arial" w:cs="Arial"/>
                <w:b/>
                <w:sz w:val="16"/>
                <w:szCs w:val="16"/>
              </w:rPr>
            </w:pPr>
            <w:r w:rsidRPr="00D465A3">
              <w:rPr>
                <w:rFonts w:ascii="Arial" w:hAnsi="Arial" w:cs="Arial"/>
                <w:b/>
                <w:sz w:val="16"/>
                <w:szCs w:val="16"/>
              </w:rPr>
              <w:t>-382.190</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A9ACF2" w14:textId="7CDE2D91" w:rsidR="00855DF9" w:rsidRPr="00855DF9" w:rsidRDefault="00D465A3">
            <w:pPr>
              <w:jc w:val="right"/>
              <w:rPr>
                <w:rFonts w:ascii="Arial" w:hAnsi="Arial" w:cs="Arial"/>
                <w:b/>
                <w:sz w:val="16"/>
                <w:szCs w:val="16"/>
              </w:rPr>
            </w:pPr>
            <w:r w:rsidRPr="00D465A3">
              <w:rPr>
                <w:rFonts w:ascii="Arial" w:hAnsi="Arial" w:cs="Arial"/>
                <w:b/>
                <w:sz w:val="16"/>
                <w:szCs w:val="16"/>
              </w:rPr>
              <w:t>-91.84</w:t>
            </w:r>
            <w:r w:rsidR="00457C5D">
              <w:rPr>
                <w:rFonts w:ascii="Arial" w:hAnsi="Arial" w:cs="Arial"/>
                <w:b/>
                <w:sz w:val="16"/>
                <w:szCs w:val="16"/>
              </w:rPr>
              <w:t>9</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C981B" w14:textId="728711C7" w:rsidR="00855DF9" w:rsidRPr="00855DF9" w:rsidRDefault="00855DF9">
            <w:pPr>
              <w:jc w:val="right"/>
              <w:rPr>
                <w:rFonts w:ascii="Arial" w:hAnsi="Arial" w:cs="Arial"/>
                <w:b/>
                <w:sz w:val="16"/>
                <w:szCs w:val="16"/>
              </w:rPr>
            </w:pPr>
            <w:r w:rsidRPr="00BA7A6B">
              <w:rPr>
                <w:rFonts w:ascii="Arial" w:hAnsi="Arial" w:cs="Arial"/>
                <w:b/>
                <w:sz w:val="16"/>
                <w:szCs w:val="16"/>
              </w:rPr>
              <w:t xml:space="preserve"> 171.29</w:t>
            </w:r>
            <w:r w:rsidR="00457C5D">
              <w:rPr>
                <w:rFonts w:ascii="Arial" w:hAnsi="Arial" w:cs="Arial"/>
                <w:b/>
                <w:sz w:val="16"/>
                <w:szCs w:val="16"/>
              </w:rPr>
              <w:t>8</w:t>
            </w:r>
            <w:r w:rsidRPr="00BA7A6B">
              <w:rPr>
                <w:rFonts w:ascii="Arial" w:hAnsi="Arial" w:cs="Arial"/>
                <w:b/>
                <w:sz w:val="16"/>
                <w:szCs w:val="16"/>
              </w:rPr>
              <w:t xml:space="preserve">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415A2" w14:textId="1FD3EE3D" w:rsidR="00855DF9" w:rsidRPr="00855DF9" w:rsidRDefault="00855DF9">
            <w:pPr>
              <w:jc w:val="right"/>
              <w:rPr>
                <w:rFonts w:ascii="Arial" w:hAnsi="Arial" w:cs="Arial"/>
                <w:b/>
                <w:sz w:val="16"/>
                <w:szCs w:val="16"/>
              </w:rPr>
            </w:pPr>
            <w:r w:rsidRPr="00BA7A6B">
              <w:rPr>
                <w:rFonts w:ascii="Arial" w:hAnsi="Arial" w:cs="Arial"/>
                <w:b/>
                <w:sz w:val="16"/>
                <w:szCs w:val="16"/>
              </w:rPr>
              <w:t xml:space="preserve"> -1.442.598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EA8D1" w14:textId="40EF76C1" w:rsidR="00855DF9" w:rsidRPr="00855DF9" w:rsidRDefault="00855DF9">
            <w:pPr>
              <w:jc w:val="right"/>
              <w:rPr>
                <w:rFonts w:ascii="Arial" w:hAnsi="Arial" w:cs="Arial"/>
                <w:b/>
                <w:sz w:val="16"/>
                <w:szCs w:val="16"/>
              </w:rPr>
            </w:pPr>
            <w:r w:rsidRPr="00855DF9">
              <w:rPr>
                <w:rFonts w:ascii="Arial" w:hAnsi="Arial" w:cs="Arial"/>
                <w:b/>
                <w:sz w:val="16"/>
                <w:szCs w:val="16"/>
              </w:rPr>
              <w:t xml:space="preserve"> 648.157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9F1FE9" w14:textId="2067611F" w:rsidR="00855DF9" w:rsidRPr="00855DF9" w:rsidRDefault="00855DF9">
            <w:pPr>
              <w:jc w:val="right"/>
              <w:rPr>
                <w:rFonts w:ascii="Arial" w:hAnsi="Arial" w:cs="Arial"/>
                <w:b/>
                <w:sz w:val="16"/>
                <w:szCs w:val="16"/>
              </w:rPr>
            </w:pPr>
            <w:r w:rsidRPr="00BA7A6B">
              <w:rPr>
                <w:rFonts w:ascii="Arial" w:hAnsi="Arial" w:cs="Arial"/>
                <w:b/>
                <w:sz w:val="16"/>
                <w:szCs w:val="16"/>
              </w:rPr>
              <w:t xml:space="preserve"> -1.097.182 </w:t>
            </w:r>
          </w:p>
        </w:tc>
      </w:tr>
      <w:tr w:rsidR="00855DF9" w:rsidRPr="00827C8E" w14:paraId="307C5165"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448BD" w14:textId="77777777" w:rsidR="00855DF9" w:rsidRPr="00827C8E" w:rsidRDefault="00855DF9" w:rsidP="00855DF9">
            <w:pPr>
              <w:jc w:val="both"/>
              <w:rPr>
                <w:rFonts w:ascii="Arial" w:hAnsi="Arial" w:cs="Arial"/>
                <w:sz w:val="16"/>
                <w:szCs w:val="18"/>
                <w:lang w:eastAsia="es-AR"/>
              </w:rPr>
            </w:pPr>
            <w:r w:rsidRPr="00827C8E">
              <w:rPr>
                <w:rFonts w:ascii="Arial" w:hAnsi="Arial" w:cs="Arial"/>
                <w:sz w:val="16"/>
                <w:szCs w:val="18"/>
                <w:lang w:eastAsia="es-AR"/>
              </w:rPr>
              <w:t xml:space="preserve"> Impuesto a las ganancias de las actividades que continúan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4758B2" w14:textId="39059643" w:rsidR="00855DF9" w:rsidRPr="00855DF9" w:rsidRDefault="00855DF9">
            <w:pPr>
              <w:jc w:val="right"/>
              <w:rPr>
                <w:rFonts w:ascii="Arial" w:hAnsi="Arial" w:cs="Arial"/>
                <w:sz w:val="16"/>
                <w:szCs w:val="16"/>
              </w:rPr>
            </w:pPr>
            <w:r w:rsidRPr="00BA7A6B">
              <w:rPr>
                <w:rFonts w:ascii="Arial" w:hAnsi="Arial" w:cs="Arial"/>
                <w:sz w:val="16"/>
                <w:szCs w:val="16"/>
              </w:rPr>
              <w:t xml:space="preserve"> -1.357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27CEF" w14:textId="2662646E" w:rsidR="00855DF9" w:rsidRPr="00855DF9" w:rsidRDefault="00855DF9">
            <w:pPr>
              <w:jc w:val="right"/>
              <w:rPr>
                <w:rFonts w:ascii="Arial" w:hAnsi="Arial" w:cs="Arial"/>
                <w:sz w:val="16"/>
                <w:szCs w:val="16"/>
              </w:rPr>
            </w:pPr>
            <w:r w:rsidRPr="00BA7A6B">
              <w:rPr>
                <w:rFonts w:ascii="Arial" w:hAnsi="Arial" w:cs="Arial"/>
                <w:sz w:val="16"/>
                <w:szCs w:val="16"/>
              </w:rPr>
              <w:t xml:space="preserve"> 252.583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F8F40" w14:textId="27B38C81" w:rsidR="00855DF9" w:rsidRPr="00855DF9" w:rsidRDefault="00855DF9">
            <w:pPr>
              <w:jc w:val="right"/>
              <w:rPr>
                <w:rFonts w:ascii="Arial" w:hAnsi="Arial" w:cs="Arial"/>
                <w:sz w:val="16"/>
                <w:szCs w:val="16"/>
              </w:rPr>
            </w:pPr>
            <w:r w:rsidRPr="00BA7A6B">
              <w:rPr>
                <w:rFonts w:ascii="Arial" w:hAnsi="Arial" w:cs="Arial"/>
                <w:sz w:val="16"/>
                <w:szCs w:val="16"/>
              </w:rPr>
              <w:t xml:space="preserve"> 201.281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76D75" w14:textId="2E2201B6" w:rsidR="00855DF9" w:rsidRPr="00855DF9" w:rsidRDefault="00855DF9">
            <w:pPr>
              <w:jc w:val="right"/>
              <w:rPr>
                <w:rFonts w:ascii="Arial" w:hAnsi="Arial" w:cs="Arial"/>
                <w:sz w:val="16"/>
                <w:szCs w:val="16"/>
              </w:rPr>
            </w:pPr>
            <w:r w:rsidRPr="00BA7A6B">
              <w:rPr>
                <w:rFonts w:ascii="Arial" w:hAnsi="Arial" w:cs="Arial"/>
                <w:sz w:val="16"/>
                <w:szCs w:val="16"/>
              </w:rPr>
              <w:t xml:space="preserve"> -187.333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BEE7DC" w14:textId="6CDEE7E9" w:rsidR="00855DF9" w:rsidRPr="00855DF9" w:rsidRDefault="00855DF9">
            <w:pPr>
              <w:jc w:val="right"/>
              <w:rPr>
                <w:rFonts w:ascii="Arial" w:hAnsi="Arial" w:cs="Arial"/>
                <w:sz w:val="16"/>
                <w:szCs w:val="16"/>
              </w:rPr>
            </w:pPr>
            <w:r w:rsidRPr="00855DF9">
              <w:rPr>
                <w:rFonts w:ascii="Arial" w:hAnsi="Arial" w:cs="Arial"/>
                <w:sz w:val="16"/>
                <w:szCs w:val="16"/>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D1D243" w14:textId="69A87C94" w:rsidR="00855DF9" w:rsidRPr="00855DF9" w:rsidRDefault="00855DF9">
            <w:pPr>
              <w:jc w:val="right"/>
              <w:rPr>
                <w:rFonts w:ascii="Arial" w:hAnsi="Arial" w:cs="Arial"/>
                <w:sz w:val="16"/>
                <w:szCs w:val="16"/>
              </w:rPr>
            </w:pPr>
            <w:r w:rsidRPr="00BA7A6B">
              <w:rPr>
                <w:rFonts w:ascii="Arial" w:hAnsi="Arial" w:cs="Arial"/>
                <w:sz w:val="16"/>
                <w:szCs w:val="16"/>
              </w:rPr>
              <w:t xml:space="preserve"> 265.174 </w:t>
            </w:r>
          </w:p>
        </w:tc>
      </w:tr>
      <w:tr w:rsidR="00855DF9" w:rsidRPr="00E31F15" w14:paraId="77F01F68"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B6FAD" w14:textId="77777777" w:rsidR="00855DF9" w:rsidRPr="00827C8E" w:rsidRDefault="00855DF9" w:rsidP="00855DF9">
            <w:pPr>
              <w:jc w:val="both"/>
              <w:rPr>
                <w:rFonts w:ascii="Arial" w:hAnsi="Arial" w:cs="Arial"/>
                <w:b/>
                <w:bCs/>
                <w:sz w:val="16"/>
                <w:szCs w:val="18"/>
                <w:lang w:eastAsia="es-AR"/>
              </w:rPr>
            </w:pPr>
            <w:r w:rsidRPr="00827C8E">
              <w:rPr>
                <w:rFonts w:ascii="Arial" w:hAnsi="Arial" w:cs="Arial"/>
                <w:b/>
                <w:bCs/>
                <w:sz w:val="16"/>
                <w:szCs w:val="18"/>
                <w:lang w:eastAsia="es-AR"/>
              </w:rPr>
              <w:t xml:space="preserve"> Resultado neto de las actividades que continúan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80D79" w14:textId="57C1FB58" w:rsidR="00855DF9" w:rsidRPr="00855DF9" w:rsidRDefault="00D465A3">
            <w:pPr>
              <w:jc w:val="right"/>
              <w:rPr>
                <w:rFonts w:ascii="Arial" w:hAnsi="Arial" w:cs="Arial"/>
                <w:b/>
                <w:sz w:val="16"/>
                <w:szCs w:val="16"/>
              </w:rPr>
            </w:pPr>
            <w:r w:rsidRPr="00D465A3">
              <w:rPr>
                <w:rFonts w:ascii="Arial" w:hAnsi="Arial" w:cs="Arial"/>
                <w:b/>
                <w:sz w:val="16"/>
                <w:szCs w:val="16"/>
              </w:rPr>
              <w:t>-380.833</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F9BBB2" w14:textId="5E2970A4" w:rsidR="00855DF9" w:rsidRPr="00855DF9" w:rsidRDefault="00D465A3">
            <w:pPr>
              <w:jc w:val="right"/>
              <w:rPr>
                <w:rFonts w:ascii="Arial" w:hAnsi="Arial" w:cs="Arial"/>
                <w:b/>
                <w:sz w:val="16"/>
                <w:szCs w:val="16"/>
              </w:rPr>
            </w:pPr>
            <w:r w:rsidRPr="00D465A3">
              <w:rPr>
                <w:rFonts w:ascii="Arial" w:hAnsi="Arial" w:cs="Arial"/>
                <w:b/>
                <w:sz w:val="16"/>
                <w:szCs w:val="16"/>
              </w:rPr>
              <w:t>-344.431</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A23BE3" w14:textId="42C1F41B" w:rsidR="00855DF9" w:rsidRPr="00855DF9" w:rsidRDefault="00855DF9">
            <w:pPr>
              <w:jc w:val="right"/>
              <w:rPr>
                <w:rFonts w:ascii="Arial" w:hAnsi="Arial" w:cs="Arial"/>
                <w:b/>
                <w:sz w:val="16"/>
                <w:szCs w:val="16"/>
              </w:rPr>
            </w:pPr>
            <w:r w:rsidRPr="00BA7A6B">
              <w:rPr>
                <w:rFonts w:ascii="Arial" w:hAnsi="Arial" w:cs="Arial"/>
                <w:b/>
                <w:sz w:val="16"/>
                <w:szCs w:val="16"/>
              </w:rPr>
              <w:t xml:space="preserve"> -29.98</w:t>
            </w:r>
            <w:r w:rsidR="00457C5D">
              <w:rPr>
                <w:rFonts w:ascii="Arial" w:hAnsi="Arial" w:cs="Arial"/>
                <w:b/>
                <w:sz w:val="16"/>
                <w:szCs w:val="16"/>
              </w:rPr>
              <w:t>3</w:t>
            </w:r>
            <w:r w:rsidRPr="00BA7A6B">
              <w:rPr>
                <w:rFonts w:ascii="Arial" w:hAnsi="Arial" w:cs="Arial"/>
                <w:b/>
                <w:sz w:val="16"/>
                <w:szCs w:val="16"/>
              </w:rPr>
              <w:t xml:space="preserve">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E02AFC" w14:textId="1D24B0E0" w:rsidR="00855DF9" w:rsidRPr="00855DF9" w:rsidRDefault="00855DF9">
            <w:pPr>
              <w:jc w:val="right"/>
              <w:rPr>
                <w:rFonts w:ascii="Arial" w:hAnsi="Arial" w:cs="Arial"/>
                <w:b/>
                <w:sz w:val="16"/>
                <w:szCs w:val="16"/>
              </w:rPr>
            </w:pPr>
            <w:r w:rsidRPr="00BA7A6B">
              <w:rPr>
                <w:rFonts w:ascii="Arial" w:hAnsi="Arial" w:cs="Arial"/>
                <w:b/>
                <w:sz w:val="16"/>
                <w:szCs w:val="16"/>
              </w:rPr>
              <w:t xml:space="preserve"> -1.255.265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E01BE" w14:textId="78C31E1D" w:rsidR="00855DF9" w:rsidRPr="00855DF9" w:rsidRDefault="00855DF9">
            <w:pPr>
              <w:jc w:val="right"/>
              <w:rPr>
                <w:rFonts w:ascii="Arial" w:hAnsi="Arial" w:cs="Arial"/>
                <w:b/>
                <w:sz w:val="16"/>
                <w:szCs w:val="16"/>
              </w:rPr>
            </w:pPr>
            <w:r w:rsidRPr="00855DF9">
              <w:rPr>
                <w:rFonts w:ascii="Arial" w:hAnsi="Arial" w:cs="Arial"/>
                <w:b/>
                <w:sz w:val="16"/>
                <w:szCs w:val="16"/>
              </w:rPr>
              <w:t xml:space="preserve"> 648.157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59F60" w14:textId="23A24171" w:rsidR="00855DF9" w:rsidRPr="00855DF9" w:rsidRDefault="00855DF9">
            <w:pPr>
              <w:jc w:val="right"/>
              <w:rPr>
                <w:rFonts w:ascii="Arial" w:hAnsi="Arial" w:cs="Arial"/>
                <w:b/>
                <w:sz w:val="16"/>
                <w:szCs w:val="16"/>
              </w:rPr>
            </w:pPr>
            <w:r w:rsidRPr="00BA7A6B">
              <w:rPr>
                <w:rFonts w:ascii="Arial" w:hAnsi="Arial" w:cs="Arial"/>
                <w:b/>
                <w:sz w:val="16"/>
                <w:szCs w:val="16"/>
              </w:rPr>
              <w:t xml:space="preserve"> -1.362.356 </w:t>
            </w:r>
          </w:p>
        </w:tc>
      </w:tr>
      <w:tr w:rsidR="00855DF9" w:rsidRPr="00E31F15" w14:paraId="19832D65"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1CA72" w14:textId="77777777" w:rsidR="00855DF9" w:rsidRPr="00827C8E" w:rsidRDefault="00855DF9" w:rsidP="00855DF9">
            <w:pPr>
              <w:jc w:val="both"/>
              <w:rPr>
                <w:rFonts w:ascii="Arial" w:hAnsi="Arial" w:cs="Arial"/>
                <w:b/>
                <w:bCs/>
                <w:sz w:val="16"/>
                <w:szCs w:val="18"/>
                <w:lang w:eastAsia="es-AR"/>
              </w:rPr>
            </w:pPr>
            <w:r w:rsidRPr="00827C8E">
              <w:rPr>
                <w:rFonts w:ascii="Arial" w:hAnsi="Arial" w:cs="Arial"/>
                <w:b/>
                <w:bCs/>
                <w:sz w:val="16"/>
                <w:szCs w:val="18"/>
                <w:lang w:eastAsia="es-AR"/>
              </w:rPr>
              <w:t xml:space="preserve"> Resultado neto del período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06662" w14:textId="1795A4D8" w:rsidR="00855DF9" w:rsidRPr="00855DF9" w:rsidRDefault="00855DF9">
            <w:pPr>
              <w:jc w:val="right"/>
              <w:rPr>
                <w:rFonts w:ascii="Arial" w:hAnsi="Arial" w:cs="Arial"/>
                <w:b/>
                <w:sz w:val="16"/>
                <w:szCs w:val="16"/>
              </w:rPr>
            </w:pPr>
            <w:r w:rsidRPr="00BA7A6B">
              <w:rPr>
                <w:rFonts w:ascii="Arial" w:hAnsi="Arial" w:cs="Arial"/>
                <w:b/>
                <w:sz w:val="16"/>
                <w:szCs w:val="16"/>
              </w:rPr>
              <w:t xml:space="preserve"> </w:t>
            </w:r>
            <w:r w:rsidR="00D465A3" w:rsidRPr="00D465A3">
              <w:rPr>
                <w:rFonts w:ascii="Arial" w:hAnsi="Arial" w:cs="Arial"/>
                <w:b/>
                <w:sz w:val="16"/>
                <w:szCs w:val="16"/>
              </w:rPr>
              <w:t xml:space="preserve"> -380.833</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497D0" w14:textId="291AE3EA" w:rsidR="00855DF9" w:rsidRPr="00855DF9" w:rsidRDefault="00D465A3">
            <w:pPr>
              <w:jc w:val="right"/>
              <w:rPr>
                <w:rFonts w:ascii="Arial" w:hAnsi="Arial" w:cs="Arial"/>
                <w:b/>
                <w:sz w:val="16"/>
                <w:szCs w:val="16"/>
              </w:rPr>
            </w:pPr>
            <w:r w:rsidRPr="00D465A3">
              <w:rPr>
                <w:rFonts w:ascii="Arial" w:hAnsi="Arial" w:cs="Arial"/>
                <w:b/>
                <w:sz w:val="16"/>
                <w:szCs w:val="16"/>
              </w:rPr>
              <w:t>-344.431</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90FB13" w14:textId="25BE908B" w:rsidR="00855DF9" w:rsidRPr="00855DF9" w:rsidRDefault="00855DF9">
            <w:pPr>
              <w:jc w:val="right"/>
              <w:rPr>
                <w:rFonts w:ascii="Arial" w:hAnsi="Arial" w:cs="Arial"/>
                <w:b/>
                <w:sz w:val="16"/>
                <w:szCs w:val="16"/>
              </w:rPr>
            </w:pPr>
            <w:r w:rsidRPr="00BA7A6B">
              <w:rPr>
                <w:rFonts w:ascii="Arial" w:hAnsi="Arial" w:cs="Arial"/>
                <w:b/>
                <w:sz w:val="16"/>
                <w:szCs w:val="16"/>
              </w:rPr>
              <w:t xml:space="preserve"> -29.98</w:t>
            </w:r>
            <w:r w:rsidR="00457C5D">
              <w:rPr>
                <w:rFonts w:ascii="Arial" w:hAnsi="Arial" w:cs="Arial"/>
                <w:b/>
                <w:sz w:val="16"/>
                <w:szCs w:val="16"/>
              </w:rPr>
              <w:t>3</w:t>
            </w:r>
            <w:r w:rsidRPr="00BA7A6B">
              <w:rPr>
                <w:rFonts w:ascii="Arial" w:hAnsi="Arial" w:cs="Arial"/>
                <w:b/>
                <w:sz w:val="16"/>
                <w:szCs w:val="16"/>
              </w:rPr>
              <w:t xml:space="preserve">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FCF321" w14:textId="4CD280AA" w:rsidR="00855DF9" w:rsidRPr="00855DF9" w:rsidRDefault="00855DF9">
            <w:pPr>
              <w:jc w:val="right"/>
              <w:rPr>
                <w:rFonts w:ascii="Arial" w:hAnsi="Arial" w:cs="Arial"/>
                <w:b/>
                <w:sz w:val="16"/>
                <w:szCs w:val="16"/>
              </w:rPr>
            </w:pPr>
            <w:r w:rsidRPr="00BA7A6B">
              <w:rPr>
                <w:rFonts w:ascii="Arial" w:hAnsi="Arial" w:cs="Arial"/>
                <w:b/>
                <w:sz w:val="16"/>
                <w:szCs w:val="16"/>
              </w:rPr>
              <w:t xml:space="preserve"> -1.255.265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07E9C3" w14:textId="04270698" w:rsidR="00855DF9" w:rsidRPr="00855DF9" w:rsidRDefault="00855DF9">
            <w:pPr>
              <w:jc w:val="right"/>
              <w:rPr>
                <w:rFonts w:ascii="Arial" w:hAnsi="Arial" w:cs="Arial"/>
                <w:b/>
                <w:sz w:val="16"/>
                <w:szCs w:val="16"/>
              </w:rPr>
            </w:pPr>
            <w:r w:rsidRPr="00855DF9">
              <w:rPr>
                <w:rFonts w:ascii="Arial" w:hAnsi="Arial" w:cs="Arial"/>
                <w:b/>
                <w:sz w:val="16"/>
                <w:szCs w:val="16"/>
              </w:rPr>
              <w:t xml:space="preserve"> 648.157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9FE78F" w14:textId="429EE31B" w:rsidR="00855DF9" w:rsidRPr="00855DF9" w:rsidRDefault="00855DF9">
            <w:pPr>
              <w:jc w:val="right"/>
              <w:rPr>
                <w:rFonts w:ascii="Arial" w:hAnsi="Arial" w:cs="Arial"/>
                <w:b/>
                <w:sz w:val="16"/>
                <w:szCs w:val="16"/>
              </w:rPr>
            </w:pPr>
            <w:r w:rsidRPr="00BA7A6B">
              <w:rPr>
                <w:rFonts w:ascii="Arial" w:hAnsi="Arial" w:cs="Arial"/>
                <w:b/>
                <w:sz w:val="16"/>
                <w:szCs w:val="16"/>
              </w:rPr>
              <w:t xml:space="preserve"> -1.362.356 </w:t>
            </w:r>
          </w:p>
        </w:tc>
      </w:tr>
      <w:tr w:rsidR="00E31F15" w:rsidRPr="00E31F15" w14:paraId="70818405" w14:textId="77777777" w:rsidTr="00BA7A6B">
        <w:trPr>
          <w:trHeight w:val="162"/>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714A5D" w14:textId="77777777" w:rsidR="00E31F15" w:rsidRPr="00827C8E" w:rsidRDefault="00E31F15" w:rsidP="00E31F15">
            <w:pPr>
              <w:jc w:val="both"/>
              <w:rPr>
                <w:rFonts w:ascii="Arial" w:hAnsi="Arial" w:cs="Arial"/>
                <w:bCs/>
                <w:sz w:val="16"/>
                <w:szCs w:val="18"/>
                <w:lang w:eastAsia="es-AR"/>
              </w:rPr>
            </w:pPr>
            <w:r w:rsidRPr="00827C8E">
              <w:rPr>
                <w:rFonts w:ascii="Arial" w:hAnsi="Arial" w:cs="Arial"/>
                <w:bCs/>
                <w:sz w:val="16"/>
                <w:szCs w:val="18"/>
                <w:lang w:eastAsia="es-AR"/>
              </w:rPr>
              <w:t>Otros Resultados Integrales (ORI)</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3EC75A" w14:textId="5A9036A7" w:rsidR="00E31F15" w:rsidRPr="00855DF9" w:rsidRDefault="00827C8E">
            <w:pPr>
              <w:jc w:val="right"/>
              <w:rPr>
                <w:rFonts w:ascii="Arial" w:hAnsi="Arial" w:cs="Arial"/>
                <w:sz w:val="16"/>
                <w:szCs w:val="16"/>
              </w:rPr>
            </w:pPr>
            <w:r w:rsidRPr="00855DF9">
              <w:rPr>
                <w:rFonts w:ascii="Arial" w:hAnsi="Arial" w:cs="Arial"/>
                <w:sz w:val="16"/>
                <w:szCs w:val="16"/>
              </w:rPr>
              <w:t>-</w:t>
            </w:r>
            <w:r w:rsidR="00E31F15" w:rsidRPr="00855DF9">
              <w:rPr>
                <w:rFonts w:ascii="Arial" w:hAnsi="Arial" w:cs="Arial"/>
                <w:sz w:val="16"/>
                <w:szCs w:val="16"/>
              </w:rPr>
              <w:t xml:space="preserve">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27AF2" w14:textId="74A28E3D" w:rsidR="00E31F15" w:rsidRPr="00855DF9" w:rsidRDefault="00827C8E">
            <w:pPr>
              <w:jc w:val="right"/>
              <w:rPr>
                <w:rFonts w:ascii="Arial" w:hAnsi="Arial" w:cs="Arial"/>
                <w:sz w:val="16"/>
                <w:szCs w:val="16"/>
              </w:rPr>
            </w:pPr>
            <w:r w:rsidRPr="00855DF9">
              <w:rPr>
                <w:rFonts w:ascii="Arial" w:hAnsi="Arial" w:cs="Arial"/>
                <w:sz w:val="16"/>
                <w:szCs w:val="16"/>
              </w:rPr>
              <w:t>-</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3790C" w14:textId="1ABBEB15" w:rsidR="00E31F15" w:rsidRPr="00855DF9" w:rsidRDefault="001B163A">
            <w:pPr>
              <w:jc w:val="right"/>
              <w:rPr>
                <w:rFonts w:ascii="Arial" w:hAnsi="Arial" w:cs="Arial"/>
                <w:sz w:val="16"/>
                <w:szCs w:val="16"/>
              </w:rPr>
            </w:pPr>
            <w:r w:rsidRPr="001B163A">
              <w:rPr>
                <w:rFonts w:ascii="Arial" w:hAnsi="Arial" w:cs="Arial"/>
                <w:sz w:val="16"/>
                <w:szCs w:val="16"/>
              </w:rPr>
              <w:t>-2.212</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A780C0" w14:textId="77777777" w:rsidR="00E31F15" w:rsidRPr="00855DF9" w:rsidRDefault="00E31F15">
            <w:pPr>
              <w:jc w:val="right"/>
              <w:rPr>
                <w:rFonts w:ascii="Arial" w:hAnsi="Arial" w:cs="Arial"/>
                <w:sz w:val="16"/>
                <w:szCs w:val="16"/>
              </w:rPr>
            </w:pPr>
            <w:r w:rsidRPr="00855DF9">
              <w:rPr>
                <w:rFonts w:ascii="Arial" w:hAnsi="Arial" w:cs="Arial"/>
                <w:sz w:val="16"/>
                <w:szCs w:val="16"/>
              </w:rPr>
              <w:t xml:space="preserve"> -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312DB" w14:textId="77777777" w:rsidR="00E31F15" w:rsidRPr="00855DF9" w:rsidRDefault="00E31F15">
            <w:pPr>
              <w:jc w:val="right"/>
              <w:rPr>
                <w:rFonts w:ascii="Arial" w:hAnsi="Arial" w:cs="Arial"/>
                <w:sz w:val="16"/>
                <w:szCs w:val="16"/>
              </w:rPr>
            </w:pPr>
            <w:r w:rsidRPr="00855DF9">
              <w:rPr>
                <w:rFonts w:ascii="Arial" w:hAnsi="Arial" w:cs="Arial"/>
                <w:sz w:val="16"/>
                <w:szCs w:val="16"/>
              </w:rPr>
              <w:t xml:space="preserve"> -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70B84" w14:textId="36363C27" w:rsidR="00E31F15" w:rsidRPr="00855DF9" w:rsidRDefault="001B163A">
            <w:pPr>
              <w:jc w:val="right"/>
              <w:rPr>
                <w:rFonts w:ascii="Arial" w:hAnsi="Arial" w:cs="Arial"/>
                <w:sz w:val="16"/>
                <w:szCs w:val="16"/>
              </w:rPr>
            </w:pPr>
            <w:r w:rsidRPr="001B163A">
              <w:rPr>
                <w:rFonts w:ascii="Arial" w:hAnsi="Arial" w:cs="Arial"/>
                <w:sz w:val="16"/>
                <w:szCs w:val="16"/>
              </w:rPr>
              <w:t>-2.212</w:t>
            </w:r>
          </w:p>
        </w:tc>
      </w:tr>
      <w:tr w:rsidR="00E31F15" w:rsidRPr="00E31F15" w14:paraId="6D716DEB"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29CE8" w14:textId="77777777" w:rsidR="00E31F15" w:rsidRPr="00827C8E" w:rsidRDefault="00E31F15" w:rsidP="00E31F15">
            <w:pPr>
              <w:rPr>
                <w:rFonts w:ascii="Arial" w:hAnsi="Arial" w:cs="Arial"/>
                <w:sz w:val="16"/>
                <w:szCs w:val="18"/>
                <w:lang w:eastAsia="es-AR"/>
              </w:rPr>
            </w:pPr>
            <w:r w:rsidRPr="00827C8E">
              <w:rPr>
                <w:rFonts w:ascii="Arial" w:hAnsi="Arial" w:cs="Arial"/>
                <w:bCs/>
                <w:sz w:val="16"/>
                <w:szCs w:val="18"/>
                <w:lang w:eastAsia="es-AR"/>
              </w:rPr>
              <w:t>Impuesto a las Ganancias ORI</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A2D7F" w14:textId="7EA775CE" w:rsidR="00E31F15" w:rsidRPr="00855DF9" w:rsidRDefault="00827C8E">
            <w:pPr>
              <w:jc w:val="right"/>
              <w:rPr>
                <w:rFonts w:ascii="Arial" w:hAnsi="Arial" w:cs="Arial"/>
                <w:sz w:val="16"/>
                <w:szCs w:val="16"/>
              </w:rPr>
            </w:pPr>
            <w:r w:rsidRPr="00855DF9">
              <w:rPr>
                <w:rFonts w:ascii="Arial" w:hAnsi="Arial" w:cs="Arial"/>
                <w:sz w:val="16"/>
                <w:szCs w:val="16"/>
              </w:rPr>
              <w:t>-</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F04A56" w14:textId="5C6CC083" w:rsidR="00E31F15" w:rsidRPr="00855DF9" w:rsidRDefault="00827C8E">
            <w:pPr>
              <w:jc w:val="right"/>
              <w:rPr>
                <w:rFonts w:ascii="Arial" w:hAnsi="Arial" w:cs="Arial"/>
                <w:sz w:val="16"/>
                <w:szCs w:val="16"/>
              </w:rPr>
            </w:pPr>
            <w:r w:rsidRPr="00855DF9">
              <w:rPr>
                <w:rFonts w:ascii="Arial" w:hAnsi="Arial" w:cs="Arial"/>
                <w:sz w:val="16"/>
                <w:szCs w:val="16"/>
              </w:rPr>
              <w:t>-</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09FFA" w14:textId="59AE6E7F" w:rsidR="00E31F15" w:rsidRPr="00855DF9" w:rsidRDefault="001B163A">
            <w:pPr>
              <w:jc w:val="right"/>
              <w:rPr>
                <w:rFonts w:ascii="Arial" w:hAnsi="Arial" w:cs="Arial"/>
                <w:sz w:val="16"/>
                <w:szCs w:val="16"/>
              </w:rPr>
            </w:pPr>
            <w:r>
              <w:rPr>
                <w:rFonts w:ascii="Arial" w:hAnsi="Arial" w:cs="Arial"/>
                <w:sz w:val="16"/>
                <w:szCs w:val="16"/>
              </w:rPr>
              <w:t>202</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638BF" w14:textId="03FB645F" w:rsidR="00E31F15" w:rsidRPr="00855DF9" w:rsidRDefault="00827C8E">
            <w:pPr>
              <w:jc w:val="right"/>
              <w:rPr>
                <w:rFonts w:ascii="Arial" w:hAnsi="Arial" w:cs="Arial"/>
                <w:sz w:val="16"/>
                <w:szCs w:val="16"/>
              </w:rPr>
            </w:pPr>
            <w:r w:rsidRPr="00855DF9">
              <w:rPr>
                <w:rFonts w:ascii="Arial" w:hAnsi="Arial" w:cs="Arial"/>
                <w:sz w:val="16"/>
                <w:szCs w:val="16"/>
              </w:rPr>
              <w:t>-</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BEC33" w14:textId="49ED0419" w:rsidR="00E31F15" w:rsidRPr="00855DF9" w:rsidRDefault="00827C8E">
            <w:pPr>
              <w:jc w:val="right"/>
              <w:rPr>
                <w:rFonts w:ascii="Arial" w:hAnsi="Arial" w:cs="Arial"/>
                <w:sz w:val="16"/>
                <w:szCs w:val="16"/>
              </w:rPr>
            </w:pPr>
            <w:r w:rsidRPr="00855DF9">
              <w:rPr>
                <w:rFonts w:ascii="Arial" w:hAnsi="Arial" w:cs="Arial"/>
                <w:sz w:val="16"/>
                <w:szCs w:val="16"/>
              </w:rPr>
              <w:t>-</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414143" w14:textId="13D1DF2C" w:rsidR="00E31F15" w:rsidRPr="00855DF9" w:rsidRDefault="001B163A">
            <w:pPr>
              <w:jc w:val="right"/>
              <w:rPr>
                <w:rFonts w:ascii="Arial" w:hAnsi="Arial" w:cs="Arial"/>
                <w:sz w:val="16"/>
                <w:szCs w:val="16"/>
              </w:rPr>
            </w:pPr>
            <w:r>
              <w:rPr>
                <w:rFonts w:ascii="Arial" w:hAnsi="Arial" w:cs="Arial"/>
                <w:sz w:val="16"/>
                <w:szCs w:val="16"/>
              </w:rPr>
              <w:t>202</w:t>
            </w:r>
          </w:p>
        </w:tc>
      </w:tr>
      <w:tr w:rsidR="00827C8E" w:rsidRPr="00701F32" w14:paraId="79CE9A8F" w14:textId="77777777" w:rsidTr="00BA7A6B">
        <w:trPr>
          <w:trHeight w:val="21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2D49F" w14:textId="77777777" w:rsidR="00827C8E" w:rsidRPr="00827C8E" w:rsidRDefault="00827C8E" w:rsidP="00827C8E">
            <w:pPr>
              <w:rPr>
                <w:rFonts w:ascii="Arial" w:hAnsi="Arial" w:cs="Arial"/>
                <w:b/>
                <w:bCs/>
                <w:sz w:val="16"/>
                <w:szCs w:val="18"/>
                <w:lang w:eastAsia="es-AR"/>
              </w:rPr>
            </w:pPr>
            <w:r w:rsidRPr="00827C8E">
              <w:rPr>
                <w:rFonts w:ascii="Arial" w:hAnsi="Arial" w:cs="Arial"/>
                <w:b/>
                <w:bCs/>
                <w:sz w:val="16"/>
                <w:szCs w:val="18"/>
                <w:lang w:eastAsia="es-AR"/>
              </w:rPr>
              <w:t xml:space="preserve"> Resultado Integral del período </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3A22B" w14:textId="3083B505" w:rsidR="00827C8E" w:rsidRPr="00855DF9" w:rsidRDefault="00D465A3">
            <w:pPr>
              <w:jc w:val="right"/>
              <w:rPr>
                <w:rFonts w:ascii="Arial" w:hAnsi="Arial" w:cs="Arial"/>
                <w:b/>
                <w:sz w:val="16"/>
                <w:szCs w:val="16"/>
              </w:rPr>
            </w:pPr>
            <w:r w:rsidRPr="00D465A3">
              <w:rPr>
                <w:rFonts w:ascii="Arial" w:hAnsi="Arial" w:cs="Arial"/>
                <w:b/>
                <w:sz w:val="16"/>
                <w:szCs w:val="16"/>
              </w:rPr>
              <w:t xml:space="preserve">-380.833 </w:t>
            </w:r>
            <w:r w:rsidR="00827C8E" w:rsidRPr="00855DF9">
              <w:rPr>
                <w:rFonts w:ascii="Arial" w:hAnsi="Arial" w:cs="Arial"/>
                <w:b/>
                <w:sz w:val="16"/>
                <w:szCs w:val="16"/>
              </w:rPr>
              <w:t xml:space="preserve"> </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10D41" w14:textId="2985100B" w:rsidR="00827C8E" w:rsidRPr="00855DF9" w:rsidRDefault="00D465A3">
            <w:pPr>
              <w:jc w:val="right"/>
              <w:rPr>
                <w:rFonts w:ascii="Arial" w:hAnsi="Arial" w:cs="Arial"/>
                <w:b/>
                <w:sz w:val="16"/>
                <w:szCs w:val="16"/>
              </w:rPr>
            </w:pPr>
            <w:r w:rsidRPr="00D465A3">
              <w:rPr>
                <w:rFonts w:ascii="Arial" w:hAnsi="Arial" w:cs="Arial"/>
                <w:b/>
                <w:sz w:val="16"/>
                <w:szCs w:val="16"/>
              </w:rPr>
              <w:t>-344.431</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67B4F" w14:textId="31F867AB" w:rsidR="00827C8E" w:rsidRPr="00855DF9" w:rsidRDefault="001B163A">
            <w:pPr>
              <w:jc w:val="right"/>
              <w:rPr>
                <w:rFonts w:ascii="Arial" w:hAnsi="Arial" w:cs="Arial"/>
                <w:b/>
                <w:sz w:val="16"/>
                <w:szCs w:val="16"/>
              </w:rPr>
            </w:pPr>
            <w:r w:rsidRPr="001B163A">
              <w:rPr>
                <w:rFonts w:ascii="Arial" w:hAnsi="Arial" w:cs="Arial"/>
                <w:b/>
                <w:sz w:val="16"/>
                <w:szCs w:val="16"/>
              </w:rPr>
              <w:t>-31.994</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579E9" w14:textId="73DEB873" w:rsidR="00827C8E" w:rsidRPr="00855DF9" w:rsidRDefault="001466D2">
            <w:pPr>
              <w:jc w:val="right"/>
              <w:rPr>
                <w:rFonts w:ascii="Arial" w:hAnsi="Arial" w:cs="Arial"/>
                <w:b/>
                <w:sz w:val="16"/>
                <w:szCs w:val="16"/>
              </w:rPr>
            </w:pPr>
            <w:r w:rsidRPr="001466D2">
              <w:rPr>
                <w:rFonts w:ascii="Arial" w:hAnsi="Arial" w:cs="Arial"/>
                <w:b/>
                <w:sz w:val="16"/>
                <w:szCs w:val="16"/>
              </w:rPr>
              <w:t xml:space="preserve">-1.255.265 </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92D55B" w14:textId="67040F70" w:rsidR="00827C8E" w:rsidRPr="00855DF9" w:rsidRDefault="00827C8E">
            <w:pPr>
              <w:jc w:val="right"/>
              <w:rPr>
                <w:rFonts w:ascii="Arial" w:hAnsi="Arial" w:cs="Arial"/>
                <w:b/>
                <w:sz w:val="16"/>
                <w:szCs w:val="16"/>
              </w:rPr>
            </w:pPr>
            <w:r w:rsidRPr="00855DF9">
              <w:rPr>
                <w:rFonts w:ascii="Arial" w:hAnsi="Arial" w:cs="Arial"/>
                <w:b/>
                <w:sz w:val="16"/>
                <w:szCs w:val="16"/>
              </w:rPr>
              <w:t xml:space="preserve"> 648.157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FEB9C" w14:textId="251EDB18" w:rsidR="00827C8E" w:rsidRPr="00855DF9" w:rsidRDefault="00827C8E">
            <w:pPr>
              <w:jc w:val="right"/>
              <w:rPr>
                <w:rFonts w:ascii="Arial" w:hAnsi="Arial" w:cs="Arial"/>
                <w:b/>
                <w:sz w:val="16"/>
                <w:szCs w:val="16"/>
              </w:rPr>
            </w:pPr>
            <w:r w:rsidRPr="00855DF9">
              <w:rPr>
                <w:rFonts w:ascii="Arial" w:hAnsi="Arial" w:cs="Arial"/>
                <w:b/>
                <w:sz w:val="16"/>
                <w:szCs w:val="16"/>
              </w:rPr>
              <w:t xml:space="preserve"> </w:t>
            </w:r>
            <w:r w:rsidR="001B163A" w:rsidRPr="001B163A">
              <w:rPr>
                <w:rFonts w:ascii="Arial" w:hAnsi="Arial" w:cs="Arial"/>
                <w:b/>
                <w:sz w:val="16"/>
                <w:szCs w:val="16"/>
              </w:rPr>
              <w:t>-1.364.366</w:t>
            </w:r>
          </w:p>
        </w:tc>
      </w:tr>
    </w:tbl>
    <w:p w14:paraId="4782D929" w14:textId="77777777" w:rsidR="00F20D65" w:rsidRDefault="00F20D65" w:rsidP="00E31F15">
      <w:pPr>
        <w:spacing w:after="160" w:line="259" w:lineRule="auto"/>
        <w:jc w:val="both"/>
        <w:rPr>
          <w:rFonts w:ascii="Arial" w:eastAsia="Calibri" w:hAnsi="Arial" w:cs="Arial"/>
          <w:b/>
          <w:bCs/>
          <w:sz w:val="20"/>
        </w:rPr>
      </w:pPr>
    </w:p>
    <w:tbl>
      <w:tblPr>
        <w:tblW w:w="10360" w:type="dxa"/>
        <w:tblInd w:w="-356" w:type="dxa"/>
        <w:tblCellMar>
          <w:left w:w="70" w:type="dxa"/>
          <w:right w:w="70" w:type="dxa"/>
        </w:tblCellMar>
        <w:tblLook w:val="04A0" w:firstRow="1" w:lastRow="0" w:firstColumn="1" w:lastColumn="0" w:noHBand="0" w:noVBand="1"/>
      </w:tblPr>
      <w:tblGrid>
        <w:gridCol w:w="3341"/>
        <w:gridCol w:w="1265"/>
        <w:gridCol w:w="1256"/>
        <w:gridCol w:w="1212"/>
        <w:gridCol w:w="1065"/>
        <w:gridCol w:w="1025"/>
        <w:gridCol w:w="1196"/>
      </w:tblGrid>
      <w:tr w:rsidR="008B3E2E" w:rsidRPr="0047095D" w14:paraId="29FD1144" w14:textId="77777777" w:rsidTr="00A74911">
        <w:trPr>
          <w:trHeight w:val="435"/>
          <w:tblHeader/>
        </w:trPr>
        <w:tc>
          <w:tcPr>
            <w:tcW w:w="3341" w:type="dxa"/>
            <w:tcBorders>
              <w:top w:val="single" w:sz="4" w:space="0" w:color="auto"/>
              <w:left w:val="single" w:sz="4" w:space="0" w:color="auto"/>
              <w:bottom w:val="single" w:sz="4" w:space="0" w:color="auto"/>
              <w:right w:val="single" w:sz="4" w:space="0" w:color="auto"/>
            </w:tcBorders>
            <w:shd w:val="clear" w:color="000000" w:fill="FFFFFF"/>
            <w:vAlign w:val="center"/>
          </w:tcPr>
          <w:p w14:paraId="4513C28F" w14:textId="5C45E577" w:rsidR="008B3E2E" w:rsidRPr="00DC096C" w:rsidRDefault="008B3E2E" w:rsidP="00F349AC">
            <w:pPr>
              <w:ind w:left="-70" w:firstLine="70"/>
              <w:jc w:val="center"/>
              <w:rPr>
                <w:rFonts w:ascii="Arial" w:hAnsi="Arial" w:cs="Arial"/>
                <w:b/>
                <w:bCs/>
                <w:sz w:val="16"/>
                <w:szCs w:val="16"/>
                <w:lang w:val="es-ES_tradnl" w:eastAsia="es-AR"/>
              </w:rPr>
            </w:pPr>
            <w:r w:rsidRPr="00DC096C">
              <w:rPr>
                <w:rFonts w:ascii="Arial" w:hAnsi="Arial" w:cs="Arial"/>
                <w:b/>
                <w:bCs/>
                <w:sz w:val="16"/>
                <w:szCs w:val="16"/>
                <w:lang w:eastAsia="es-AR"/>
              </w:rPr>
              <w:t>ACTIVO al 31/12/2019</w:t>
            </w:r>
          </w:p>
        </w:tc>
        <w:tc>
          <w:tcPr>
            <w:tcW w:w="1265" w:type="dxa"/>
            <w:tcBorders>
              <w:top w:val="single" w:sz="4" w:space="0" w:color="auto"/>
              <w:left w:val="nil"/>
              <w:bottom w:val="single" w:sz="4" w:space="0" w:color="auto"/>
              <w:right w:val="single" w:sz="4" w:space="0" w:color="auto"/>
            </w:tcBorders>
            <w:shd w:val="clear" w:color="auto" w:fill="auto"/>
          </w:tcPr>
          <w:p w14:paraId="221BBFFE" w14:textId="77777777" w:rsidR="008B3E2E" w:rsidRPr="00DC096C" w:rsidRDefault="008B3E2E" w:rsidP="00F349AC">
            <w:pPr>
              <w:ind w:left="-70"/>
              <w:jc w:val="center"/>
              <w:rPr>
                <w:rFonts w:ascii="Arial" w:hAnsi="Arial" w:cs="Arial"/>
                <w:b/>
                <w:bCs/>
                <w:color w:val="000000"/>
                <w:sz w:val="16"/>
                <w:szCs w:val="16"/>
                <w:lang w:eastAsia="es-AR"/>
              </w:rPr>
            </w:pPr>
            <w:r w:rsidRPr="00DC096C">
              <w:rPr>
                <w:rFonts w:ascii="Arial" w:hAnsi="Arial" w:cs="Arial"/>
                <w:b/>
                <w:bCs/>
                <w:color w:val="000000"/>
                <w:sz w:val="16"/>
                <w:szCs w:val="16"/>
                <w:lang w:eastAsia="es-AR"/>
              </w:rPr>
              <w:t xml:space="preserve">Banca Corporativa </w:t>
            </w:r>
          </w:p>
        </w:tc>
        <w:tc>
          <w:tcPr>
            <w:tcW w:w="1256" w:type="dxa"/>
            <w:tcBorders>
              <w:top w:val="single" w:sz="4" w:space="0" w:color="auto"/>
              <w:left w:val="nil"/>
              <w:bottom w:val="single" w:sz="4" w:space="0" w:color="auto"/>
              <w:right w:val="single" w:sz="4" w:space="0" w:color="auto"/>
            </w:tcBorders>
            <w:shd w:val="clear" w:color="auto" w:fill="auto"/>
          </w:tcPr>
          <w:p w14:paraId="1DA13729" w14:textId="77777777" w:rsidR="008B3E2E" w:rsidRPr="00DC096C" w:rsidRDefault="008B3E2E" w:rsidP="00F349AC">
            <w:pPr>
              <w:ind w:left="-70" w:firstLine="70"/>
              <w:jc w:val="center"/>
              <w:rPr>
                <w:rFonts w:ascii="Arial" w:hAnsi="Arial" w:cs="Arial"/>
                <w:b/>
                <w:bCs/>
                <w:color w:val="000000"/>
                <w:sz w:val="16"/>
                <w:szCs w:val="16"/>
                <w:lang w:eastAsia="es-AR"/>
              </w:rPr>
            </w:pPr>
            <w:r w:rsidRPr="00DC096C">
              <w:rPr>
                <w:rFonts w:ascii="Arial" w:hAnsi="Arial" w:cs="Arial"/>
                <w:b/>
                <w:bCs/>
                <w:color w:val="000000"/>
                <w:sz w:val="16"/>
                <w:szCs w:val="16"/>
                <w:lang w:eastAsia="es-AR"/>
              </w:rPr>
              <w:t>Banca Personas y Negocios</w:t>
            </w:r>
          </w:p>
        </w:tc>
        <w:tc>
          <w:tcPr>
            <w:tcW w:w="1212" w:type="dxa"/>
            <w:tcBorders>
              <w:top w:val="single" w:sz="4" w:space="0" w:color="auto"/>
              <w:left w:val="nil"/>
              <w:bottom w:val="single" w:sz="4" w:space="0" w:color="auto"/>
              <w:right w:val="single" w:sz="4" w:space="0" w:color="auto"/>
            </w:tcBorders>
            <w:shd w:val="clear" w:color="auto" w:fill="auto"/>
            <w:vAlign w:val="center"/>
          </w:tcPr>
          <w:p w14:paraId="4CCDE919" w14:textId="77777777" w:rsidR="008B3E2E" w:rsidRPr="00DC096C" w:rsidRDefault="008B3E2E" w:rsidP="00F349AC">
            <w:pPr>
              <w:ind w:left="-70" w:firstLine="70"/>
              <w:jc w:val="center"/>
              <w:rPr>
                <w:rFonts w:ascii="Arial" w:hAnsi="Arial" w:cs="Arial"/>
                <w:b/>
                <w:bCs/>
                <w:color w:val="000000"/>
                <w:sz w:val="16"/>
                <w:szCs w:val="16"/>
                <w:lang w:eastAsia="es-AR"/>
              </w:rPr>
            </w:pPr>
            <w:r w:rsidRPr="00DC096C">
              <w:rPr>
                <w:rFonts w:ascii="Arial" w:hAnsi="Arial" w:cs="Arial"/>
                <w:b/>
                <w:bCs/>
                <w:color w:val="000000"/>
                <w:sz w:val="16"/>
                <w:szCs w:val="16"/>
                <w:lang w:eastAsia="es-AR"/>
              </w:rPr>
              <w:t xml:space="preserve"> Tesorería </w:t>
            </w:r>
          </w:p>
        </w:tc>
        <w:tc>
          <w:tcPr>
            <w:tcW w:w="1065" w:type="dxa"/>
            <w:tcBorders>
              <w:top w:val="single" w:sz="4" w:space="0" w:color="auto"/>
              <w:left w:val="nil"/>
              <w:bottom w:val="single" w:sz="4" w:space="0" w:color="auto"/>
              <w:right w:val="single" w:sz="4" w:space="0" w:color="auto"/>
            </w:tcBorders>
            <w:shd w:val="clear" w:color="auto" w:fill="auto"/>
            <w:vAlign w:val="center"/>
          </w:tcPr>
          <w:p w14:paraId="12744FAF" w14:textId="77777777" w:rsidR="008B3E2E" w:rsidRPr="00DC096C" w:rsidRDefault="008B3E2E" w:rsidP="00F349AC">
            <w:pPr>
              <w:ind w:left="-70" w:firstLine="70"/>
              <w:jc w:val="center"/>
              <w:rPr>
                <w:rFonts w:ascii="Arial" w:hAnsi="Arial" w:cs="Arial"/>
                <w:b/>
                <w:bCs/>
                <w:color w:val="000000"/>
                <w:sz w:val="16"/>
                <w:szCs w:val="16"/>
                <w:lang w:eastAsia="es-AR"/>
              </w:rPr>
            </w:pPr>
            <w:r w:rsidRPr="00DC096C">
              <w:rPr>
                <w:rFonts w:ascii="Arial" w:hAnsi="Arial" w:cs="Arial"/>
                <w:b/>
                <w:bCs/>
                <w:color w:val="000000"/>
                <w:sz w:val="16"/>
                <w:szCs w:val="16"/>
                <w:lang w:eastAsia="es-AR"/>
              </w:rPr>
              <w:t xml:space="preserve"> Consumo </w:t>
            </w:r>
          </w:p>
        </w:tc>
        <w:tc>
          <w:tcPr>
            <w:tcW w:w="1025" w:type="dxa"/>
            <w:tcBorders>
              <w:top w:val="single" w:sz="4" w:space="0" w:color="auto"/>
              <w:left w:val="nil"/>
              <w:bottom w:val="single" w:sz="4" w:space="0" w:color="auto"/>
              <w:right w:val="single" w:sz="4" w:space="0" w:color="auto"/>
            </w:tcBorders>
            <w:shd w:val="clear" w:color="auto" w:fill="auto"/>
            <w:vAlign w:val="center"/>
          </w:tcPr>
          <w:p w14:paraId="132199C2" w14:textId="77777777" w:rsidR="008B3E2E" w:rsidRPr="00DC096C" w:rsidRDefault="008B3E2E" w:rsidP="00F349AC">
            <w:pPr>
              <w:ind w:left="-70" w:firstLine="70"/>
              <w:jc w:val="center"/>
              <w:rPr>
                <w:rFonts w:ascii="Arial" w:hAnsi="Arial" w:cs="Arial"/>
                <w:b/>
                <w:bCs/>
                <w:color w:val="000000"/>
                <w:sz w:val="16"/>
                <w:szCs w:val="16"/>
                <w:lang w:eastAsia="es-AR"/>
              </w:rPr>
            </w:pPr>
            <w:r w:rsidRPr="00DC096C">
              <w:rPr>
                <w:rFonts w:ascii="Arial" w:hAnsi="Arial" w:cs="Arial"/>
                <w:b/>
                <w:bCs/>
                <w:color w:val="000000"/>
                <w:sz w:val="16"/>
                <w:szCs w:val="16"/>
                <w:lang w:eastAsia="es-AR"/>
              </w:rPr>
              <w:t xml:space="preserve"> Ajustes </w:t>
            </w:r>
          </w:p>
        </w:tc>
        <w:tc>
          <w:tcPr>
            <w:tcW w:w="1196" w:type="dxa"/>
            <w:tcBorders>
              <w:top w:val="single" w:sz="4" w:space="0" w:color="auto"/>
              <w:left w:val="nil"/>
              <w:bottom w:val="single" w:sz="4" w:space="0" w:color="auto"/>
              <w:right w:val="single" w:sz="4" w:space="0" w:color="auto"/>
            </w:tcBorders>
            <w:shd w:val="clear" w:color="auto" w:fill="auto"/>
            <w:noWrap/>
            <w:vAlign w:val="center"/>
          </w:tcPr>
          <w:p w14:paraId="0B146F43" w14:textId="77777777" w:rsidR="008B3E2E" w:rsidRPr="00DC096C" w:rsidRDefault="008B3E2E" w:rsidP="00F349AC">
            <w:pPr>
              <w:ind w:left="-70" w:firstLine="70"/>
              <w:jc w:val="center"/>
              <w:rPr>
                <w:rFonts w:ascii="Arial" w:hAnsi="Arial" w:cs="Arial"/>
                <w:b/>
                <w:bCs/>
                <w:color w:val="000000"/>
                <w:sz w:val="16"/>
                <w:szCs w:val="16"/>
                <w:lang w:eastAsia="es-AR"/>
              </w:rPr>
            </w:pPr>
            <w:r w:rsidRPr="00DC096C">
              <w:rPr>
                <w:rFonts w:ascii="Arial" w:hAnsi="Arial" w:cs="Arial"/>
                <w:b/>
                <w:bCs/>
                <w:color w:val="000000"/>
                <w:sz w:val="16"/>
                <w:szCs w:val="16"/>
                <w:lang w:eastAsia="es-AR"/>
              </w:rPr>
              <w:t xml:space="preserve"> TOTAL </w:t>
            </w:r>
          </w:p>
        </w:tc>
      </w:tr>
      <w:tr w:rsidR="008B3E2E" w:rsidRPr="0047095D" w14:paraId="4CE5BF73" w14:textId="77777777" w:rsidTr="00A74911">
        <w:trPr>
          <w:trHeight w:val="236"/>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6C8C32D2" w14:textId="77777777" w:rsidR="008B3E2E" w:rsidRPr="00DC096C" w:rsidRDefault="008B3E2E" w:rsidP="008B3E2E">
            <w:pPr>
              <w:ind w:left="-70" w:firstLine="70"/>
              <w:rPr>
                <w:rFonts w:ascii="Arial" w:hAnsi="Arial" w:cs="Arial"/>
                <w:b/>
                <w:bCs/>
                <w:sz w:val="16"/>
                <w:szCs w:val="16"/>
                <w:lang w:eastAsia="es-AR"/>
              </w:rPr>
            </w:pPr>
            <w:r w:rsidRPr="00DC096C">
              <w:rPr>
                <w:rFonts w:ascii="Arial" w:hAnsi="Arial" w:cs="Arial"/>
                <w:sz w:val="16"/>
                <w:szCs w:val="16"/>
              </w:rPr>
              <w:t>Efectivo y Depósitos en Bancos</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59868950" w14:textId="27D58378"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1.102.703 </w:t>
            </w:r>
          </w:p>
        </w:tc>
        <w:tc>
          <w:tcPr>
            <w:tcW w:w="1256" w:type="dxa"/>
            <w:tcBorders>
              <w:top w:val="nil"/>
              <w:left w:val="nil"/>
              <w:bottom w:val="single" w:sz="4" w:space="0" w:color="auto"/>
              <w:right w:val="single" w:sz="4" w:space="0" w:color="auto"/>
            </w:tcBorders>
            <w:shd w:val="clear" w:color="000000" w:fill="FFFFFF"/>
            <w:noWrap/>
            <w:vAlign w:val="bottom"/>
          </w:tcPr>
          <w:p w14:paraId="194EB8FA" w14:textId="2D04DE9D"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8.301.383 </w:t>
            </w:r>
          </w:p>
        </w:tc>
        <w:tc>
          <w:tcPr>
            <w:tcW w:w="1212" w:type="dxa"/>
            <w:tcBorders>
              <w:top w:val="nil"/>
              <w:left w:val="nil"/>
              <w:bottom w:val="single" w:sz="4" w:space="0" w:color="auto"/>
              <w:right w:val="single" w:sz="4" w:space="0" w:color="auto"/>
            </w:tcBorders>
            <w:shd w:val="clear" w:color="000000" w:fill="FFFFFF"/>
            <w:noWrap/>
            <w:vAlign w:val="bottom"/>
          </w:tcPr>
          <w:p w14:paraId="7C1B0C68" w14:textId="6B58AADA"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18.186.429 </w:t>
            </w:r>
          </w:p>
        </w:tc>
        <w:tc>
          <w:tcPr>
            <w:tcW w:w="1065" w:type="dxa"/>
            <w:tcBorders>
              <w:top w:val="nil"/>
              <w:left w:val="nil"/>
              <w:bottom w:val="single" w:sz="4" w:space="0" w:color="auto"/>
              <w:right w:val="single" w:sz="4" w:space="0" w:color="auto"/>
            </w:tcBorders>
            <w:shd w:val="clear" w:color="000000" w:fill="FFFFFF"/>
            <w:noWrap/>
            <w:vAlign w:val="bottom"/>
          </w:tcPr>
          <w:p w14:paraId="34B7FDD3" w14:textId="563D537D"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277.312 </w:t>
            </w:r>
          </w:p>
        </w:tc>
        <w:tc>
          <w:tcPr>
            <w:tcW w:w="1025" w:type="dxa"/>
            <w:tcBorders>
              <w:top w:val="nil"/>
              <w:left w:val="nil"/>
              <w:bottom w:val="single" w:sz="4" w:space="0" w:color="auto"/>
              <w:right w:val="single" w:sz="4" w:space="0" w:color="auto"/>
            </w:tcBorders>
            <w:shd w:val="clear" w:color="000000" w:fill="FFFFFF"/>
            <w:noWrap/>
            <w:vAlign w:val="bottom"/>
          </w:tcPr>
          <w:p w14:paraId="11914DDD" w14:textId="1D378E42" w:rsidR="008B3E2E" w:rsidRPr="002E1AF6" w:rsidRDefault="008B3E2E">
            <w:pPr>
              <w:ind w:left="-70" w:firstLine="70"/>
              <w:jc w:val="right"/>
              <w:rPr>
                <w:rFonts w:ascii="Arial" w:hAnsi="Arial" w:cs="Arial"/>
                <w:sz w:val="16"/>
                <w:szCs w:val="16"/>
              </w:rPr>
            </w:pPr>
            <w:r w:rsidRPr="002E1AF6">
              <w:rPr>
                <w:rFonts w:ascii="Arial" w:hAnsi="Arial" w:cs="Arial"/>
                <w:sz w:val="16"/>
                <w:szCs w:val="16"/>
              </w:rPr>
              <w:t xml:space="preserve"> -19.818</w:t>
            </w:r>
          </w:p>
        </w:tc>
        <w:tc>
          <w:tcPr>
            <w:tcW w:w="1196" w:type="dxa"/>
            <w:tcBorders>
              <w:top w:val="nil"/>
              <w:left w:val="nil"/>
              <w:bottom w:val="single" w:sz="4" w:space="0" w:color="auto"/>
              <w:right w:val="single" w:sz="4" w:space="0" w:color="auto"/>
            </w:tcBorders>
            <w:shd w:val="clear" w:color="000000" w:fill="FFFFFF"/>
            <w:noWrap/>
            <w:vAlign w:val="bottom"/>
          </w:tcPr>
          <w:p w14:paraId="0E64D255" w14:textId="4ABC04FF"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27.848.009 </w:t>
            </w:r>
          </w:p>
        </w:tc>
      </w:tr>
      <w:tr w:rsidR="008B3E2E" w:rsidRPr="0047095D" w14:paraId="6711C9E8"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noWrap/>
            <w:vAlign w:val="bottom"/>
          </w:tcPr>
          <w:p w14:paraId="24EE7DF0" w14:textId="77777777" w:rsidR="008B3E2E" w:rsidRPr="00DC096C" w:rsidRDefault="008B3E2E" w:rsidP="008B3E2E">
            <w:pPr>
              <w:ind w:left="-70" w:firstLine="70"/>
              <w:rPr>
                <w:rFonts w:ascii="Arial" w:hAnsi="Arial" w:cs="Arial"/>
                <w:sz w:val="16"/>
                <w:szCs w:val="16"/>
                <w:lang w:eastAsia="es-AR"/>
              </w:rPr>
            </w:pPr>
            <w:r w:rsidRPr="00DC096C">
              <w:rPr>
                <w:rFonts w:ascii="Arial" w:hAnsi="Arial" w:cs="Arial"/>
                <w:sz w:val="16"/>
                <w:szCs w:val="16"/>
              </w:rPr>
              <w:t xml:space="preserve">   Efectivo</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6C622DE3" w14:textId="0F45D2FC"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1.102.497 </w:t>
            </w:r>
          </w:p>
        </w:tc>
        <w:tc>
          <w:tcPr>
            <w:tcW w:w="1256" w:type="dxa"/>
            <w:tcBorders>
              <w:top w:val="nil"/>
              <w:left w:val="nil"/>
              <w:bottom w:val="single" w:sz="4" w:space="0" w:color="auto"/>
              <w:right w:val="single" w:sz="4" w:space="0" w:color="auto"/>
            </w:tcBorders>
            <w:shd w:val="clear" w:color="000000" w:fill="FFFFFF"/>
            <w:noWrap/>
            <w:vAlign w:val="bottom"/>
          </w:tcPr>
          <w:p w14:paraId="0D87452B" w14:textId="34139BE5"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8.271.237 </w:t>
            </w:r>
          </w:p>
        </w:tc>
        <w:tc>
          <w:tcPr>
            <w:tcW w:w="1212" w:type="dxa"/>
            <w:tcBorders>
              <w:top w:val="nil"/>
              <w:left w:val="nil"/>
              <w:bottom w:val="single" w:sz="4" w:space="0" w:color="auto"/>
              <w:right w:val="single" w:sz="4" w:space="0" w:color="auto"/>
            </w:tcBorders>
            <w:shd w:val="clear" w:color="000000" w:fill="FFFFFF"/>
            <w:noWrap/>
            <w:vAlign w:val="bottom"/>
          </w:tcPr>
          <w:p w14:paraId="19754516" w14:textId="791F27D9"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065" w:type="dxa"/>
            <w:tcBorders>
              <w:top w:val="nil"/>
              <w:left w:val="nil"/>
              <w:bottom w:val="single" w:sz="4" w:space="0" w:color="auto"/>
              <w:right w:val="single" w:sz="4" w:space="0" w:color="auto"/>
            </w:tcBorders>
            <w:shd w:val="clear" w:color="000000" w:fill="FFFFFF"/>
            <w:noWrap/>
            <w:vAlign w:val="bottom"/>
          </w:tcPr>
          <w:p w14:paraId="42E814E4" w14:textId="6E1D6072"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11 </w:t>
            </w:r>
          </w:p>
        </w:tc>
        <w:tc>
          <w:tcPr>
            <w:tcW w:w="1025" w:type="dxa"/>
            <w:tcBorders>
              <w:top w:val="nil"/>
              <w:left w:val="nil"/>
              <w:bottom w:val="single" w:sz="4" w:space="0" w:color="auto"/>
              <w:right w:val="single" w:sz="4" w:space="0" w:color="auto"/>
            </w:tcBorders>
            <w:shd w:val="clear" w:color="000000" w:fill="FFFFFF"/>
            <w:noWrap/>
            <w:vAlign w:val="bottom"/>
          </w:tcPr>
          <w:p w14:paraId="5C7635A2" w14:textId="7777777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3DF47AA4" w14:textId="0B96175D"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9.373.745 </w:t>
            </w:r>
          </w:p>
        </w:tc>
      </w:tr>
      <w:tr w:rsidR="008B3E2E" w:rsidRPr="0047095D" w14:paraId="0DB71A6B"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noWrap/>
            <w:vAlign w:val="bottom"/>
          </w:tcPr>
          <w:p w14:paraId="307BAB70" w14:textId="77777777" w:rsidR="008B3E2E" w:rsidRPr="00DC096C" w:rsidRDefault="008B3E2E" w:rsidP="00F349AC">
            <w:pPr>
              <w:ind w:left="-70" w:firstLine="70"/>
              <w:rPr>
                <w:rFonts w:ascii="Arial" w:hAnsi="Arial" w:cs="Arial"/>
                <w:sz w:val="16"/>
                <w:szCs w:val="16"/>
              </w:rPr>
            </w:pPr>
            <w:r w:rsidRPr="00DC096C">
              <w:rPr>
                <w:rFonts w:ascii="Arial" w:hAnsi="Arial" w:cs="Arial"/>
                <w:sz w:val="16"/>
                <w:szCs w:val="16"/>
                <w:lang w:eastAsia="es-AR"/>
              </w:rPr>
              <w:t xml:space="preserve">   Entidades Financieras y corresponsales</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136CBF95" w14:textId="77777777" w:rsidR="008B3E2E" w:rsidRPr="00753D34" w:rsidRDefault="008B3E2E">
            <w:pPr>
              <w:ind w:left="-70" w:firstLine="70"/>
              <w:jc w:val="right"/>
              <w:rPr>
                <w:rFonts w:ascii="Arial" w:hAnsi="Arial" w:cs="Arial"/>
                <w:sz w:val="16"/>
                <w:szCs w:val="16"/>
              </w:rPr>
            </w:pPr>
          </w:p>
        </w:tc>
        <w:tc>
          <w:tcPr>
            <w:tcW w:w="1256" w:type="dxa"/>
            <w:tcBorders>
              <w:top w:val="nil"/>
              <w:left w:val="nil"/>
              <w:bottom w:val="single" w:sz="4" w:space="0" w:color="auto"/>
              <w:right w:val="single" w:sz="4" w:space="0" w:color="auto"/>
            </w:tcBorders>
            <w:shd w:val="clear" w:color="000000" w:fill="FFFFFF"/>
            <w:noWrap/>
            <w:vAlign w:val="bottom"/>
          </w:tcPr>
          <w:p w14:paraId="4DFE6D14" w14:textId="77777777" w:rsidR="008B3E2E" w:rsidRPr="00753D34" w:rsidRDefault="008B3E2E">
            <w:pPr>
              <w:ind w:left="-70" w:firstLine="70"/>
              <w:jc w:val="right"/>
              <w:rPr>
                <w:rFonts w:ascii="Arial" w:hAnsi="Arial" w:cs="Arial"/>
                <w:sz w:val="16"/>
                <w:szCs w:val="16"/>
              </w:rPr>
            </w:pPr>
          </w:p>
        </w:tc>
        <w:tc>
          <w:tcPr>
            <w:tcW w:w="1212" w:type="dxa"/>
            <w:tcBorders>
              <w:top w:val="nil"/>
              <w:left w:val="nil"/>
              <w:bottom w:val="single" w:sz="4" w:space="0" w:color="auto"/>
              <w:right w:val="single" w:sz="4" w:space="0" w:color="auto"/>
            </w:tcBorders>
            <w:shd w:val="clear" w:color="000000" w:fill="FFFFFF"/>
            <w:noWrap/>
            <w:vAlign w:val="bottom"/>
          </w:tcPr>
          <w:p w14:paraId="34AB69B7" w14:textId="77777777" w:rsidR="008B3E2E" w:rsidRPr="00753D34" w:rsidRDefault="008B3E2E">
            <w:pPr>
              <w:ind w:left="-70" w:firstLine="70"/>
              <w:jc w:val="right"/>
              <w:rPr>
                <w:rFonts w:ascii="Arial" w:hAnsi="Arial" w:cs="Arial"/>
                <w:sz w:val="16"/>
                <w:szCs w:val="16"/>
              </w:rPr>
            </w:pPr>
          </w:p>
        </w:tc>
        <w:tc>
          <w:tcPr>
            <w:tcW w:w="1065" w:type="dxa"/>
            <w:tcBorders>
              <w:top w:val="nil"/>
              <w:left w:val="nil"/>
              <w:bottom w:val="single" w:sz="4" w:space="0" w:color="auto"/>
              <w:right w:val="single" w:sz="4" w:space="0" w:color="auto"/>
            </w:tcBorders>
            <w:shd w:val="clear" w:color="000000" w:fill="FFFFFF"/>
            <w:noWrap/>
            <w:vAlign w:val="bottom"/>
          </w:tcPr>
          <w:p w14:paraId="2F0355F7" w14:textId="77777777" w:rsidR="008B3E2E" w:rsidRPr="00753D34" w:rsidRDefault="008B3E2E">
            <w:pPr>
              <w:ind w:left="-70" w:firstLine="70"/>
              <w:jc w:val="right"/>
              <w:rPr>
                <w:rFonts w:ascii="Arial" w:hAnsi="Arial" w:cs="Arial"/>
                <w:sz w:val="16"/>
                <w:szCs w:val="16"/>
              </w:rPr>
            </w:pPr>
          </w:p>
        </w:tc>
        <w:tc>
          <w:tcPr>
            <w:tcW w:w="1025" w:type="dxa"/>
            <w:tcBorders>
              <w:top w:val="nil"/>
              <w:left w:val="nil"/>
              <w:bottom w:val="single" w:sz="4" w:space="0" w:color="auto"/>
              <w:right w:val="single" w:sz="4" w:space="0" w:color="auto"/>
            </w:tcBorders>
            <w:shd w:val="clear" w:color="000000" w:fill="FFFFFF"/>
            <w:noWrap/>
            <w:vAlign w:val="bottom"/>
          </w:tcPr>
          <w:p w14:paraId="2E05BF52" w14:textId="77777777" w:rsidR="008B3E2E" w:rsidRPr="00753D34" w:rsidRDefault="008B3E2E">
            <w:pPr>
              <w:ind w:left="-70" w:firstLine="70"/>
              <w:jc w:val="right"/>
              <w:rPr>
                <w:rFonts w:ascii="Arial" w:hAnsi="Arial" w:cs="Arial"/>
                <w:sz w:val="16"/>
                <w:szCs w:val="16"/>
              </w:rPr>
            </w:pPr>
          </w:p>
        </w:tc>
        <w:tc>
          <w:tcPr>
            <w:tcW w:w="1196" w:type="dxa"/>
            <w:tcBorders>
              <w:top w:val="nil"/>
              <w:left w:val="nil"/>
              <w:bottom w:val="single" w:sz="4" w:space="0" w:color="auto"/>
              <w:right w:val="single" w:sz="4" w:space="0" w:color="auto"/>
            </w:tcBorders>
            <w:shd w:val="clear" w:color="000000" w:fill="FFFFFF"/>
            <w:noWrap/>
            <w:vAlign w:val="bottom"/>
          </w:tcPr>
          <w:p w14:paraId="2D89776B" w14:textId="77777777" w:rsidR="008B3E2E" w:rsidRPr="002E1AF6" w:rsidRDefault="008B3E2E">
            <w:pPr>
              <w:ind w:left="-70" w:firstLine="70"/>
              <w:jc w:val="right"/>
              <w:rPr>
                <w:rFonts w:ascii="Arial" w:hAnsi="Arial" w:cs="Arial"/>
                <w:sz w:val="16"/>
                <w:szCs w:val="16"/>
              </w:rPr>
            </w:pPr>
          </w:p>
        </w:tc>
      </w:tr>
      <w:tr w:rsidR="008B3E2E" w:rsidRPr="0047095D" w14:paraId="1A24386F"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noWrap/>
            <w:vAlign w:val="bottom"/>
          </w:tcPr>
          <w:p w14:paraId="447D267B" w14:textId="77777777" w:rsidR="008B3E2E" w:rsidRPr="00DC096C" w:rsidRDefault="008B3E2E" w:rsidP="008B3E2E">
            <w:pPr>
              <w:ind w:left="-70" w:firstLine="70"/>
              <w:rPr>
                <w:rFonts w:ascii="Arial" w:hAnsi="Arial" w:cs="Arial"/>
                <w:sz w:val="16"/>
                <w:szCs w:val="16"/>
                <w:lang w:eastAsia="es-AR"/>
              </w:rPr>
            </w:pPr>
            <w:r w:rsidRPr="00DC096C">
              <w:rPr>
                <w:rFonts w:ascii="Arial" w:hAnsi="Arial" w:cs="Arial"/>
                <w:sz w:val="16"/>
                <w:szCs w:val="16"/>
              </w:rPr>
              <w:t xml:space="preserve">      BCRA</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103A0B96" w14:textId="52190863"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1DDB373C" w14:textId="78730F20"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7DE2C60B" w14:textId="4A295D05"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17.039.327 </w:t>
            </w:r>
          </w:p>
        </w:tc>
        <w:tc>
          <w:tcPr>
            <w:tcW w:w="1065" w:type="dxa"/>
            <w:tcBorders>
              <w:top w:val="nil"/>
              <w:left w:val="nil"/>
              <w:bottom w:val="single" w:sz="4" w:space="0" w:color="auto"/>
              <w:right w:val="single" w:sz="4" w:space="0" w:color="auto"/>
            </w:tcBorders>
            <w:shd w:val="clear" w:color="000000" w:fill="FFFFFF"/>
            <w:noWrap/>
            <w:vAlign w:val="bottom"/>
          </w:tcPr>
          <w:p w14:paraId="7FD49E9C" w14:textId="1D28BF19"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130.341 </w:t>
            </w:r>
          </w:p>
        </w:tc>
        <w:tc>
          <w:tcPr>
            <w:tcW w:w="1025" w:type="dxa"/>
            <w:tcBorders>
              <w:top w:val="nil"/>
              <w:left w:val="nil"/>
              <w:bottom w:val="single" w:sz="4" w:space="0" w:color="auto"/>
              <w:right w:val="single" w:sz="4" w:space="0" w:color="auto"/>
            </w:tcBorders>
            <w:shd w:val="clear" w:color="000000" w:fill="FFFFFF"/>
            <w:noWrap/>
            <w:vAlign w:val="bottom"/>
          </w:tcPr>
          <w:p w14:paraId="1AD5C860" w14:textId="7777777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1674CE8A" w14:textId="3CCA6D1A"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17.169.668 </w:t>
            </w:r>
          </w:p>
        </w:tc>
      </w:tr>
      <w:tr w:rsidR="008B3E2E" w:rsidRPr="0047095D" w14:paraId="398FDDB7" w14:textId="77777777" w:rsidTr="00A74911">
        <w:trPr>
          <w:trHeight w:val="236"/>
        </w:trPr>
        <w:tc>
          <w:tcPr>
            <w:tcW w:w="3341" w:type="dxa"/>
            <w:tcBorders>
              <w:top w:val="nil"/>
              <w:left w:val="single" w:sz="4" w:space="0" w:color="auto"/>
              <w:bottom w:val="single" w:sz="4" w:space="0" w:color="363639"/>
              <w:right w:val="single" w:sz="4" w:space="0" w:color="363639"/>
            </w:tcBorders>
            <w:shd w:val="clear" w:color="000000" w:fill="FFFFFF"/>
            <w:noWrap/>
            <w:vAlign w:val="bottom"/>
          </w:tcPr>
          <w:p w14:paraId="7A95CBEB" w14:textId="77777777" w:rsidR="008B3E2E" w:rsidRPr="00DC096C" w:rsidRDefault="008B3E2E" w:rsidP="008B3E2E">
            <w:pPr>
              <w:ind w:left="-70" w:firstLine="70"/>
              <w:rPr>
                <w:rFonts w:ascii="Arial" w:hAnsi="Arial" w:cs="Arial"/>
                <w:sz w:val="16"/>
                <w:szCs w:val="16"/>
                <w:lang w:eastAsia="es-AR"/>
              </w:rPr>
            </w:pPr>
            <w:r w:rsidRPr="00DC096C">
              <w:rPr>
                <w:rFonts w:ascii="Arial" w:hAnsi="Arial" w:cs="Arial"/>
                <w:sz w:val="16"/>
                <w:szCs w:val="16"/>
              </w:rPr>
              <w:lastRenderedPageBreak/>
              <w:t xml:space="preserve">      Otras del país y del exterior</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5FBCEF27" w14:textId="602A710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6E2FA3E0" w14:textId="27AC6A03"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9.836 </w:t>
            </w:r>
          </w:p>
        </w:tc>
        <w:tc>
          <w:tcPr>
            <w:tcW w:w="1212" w:type="dxa"/>
            <w:tcBorders>
              <w:top w:val="nil"/>
              <w:left w:val="nil"/>
              <w:bottom w:val="single" w:sz="4" w:space="0" w:color="auto"/>
              <w:right w:val="single" w:sz="4" w:space="0" w:color="auto"/>
            </w:tcBorders>
            <w:shd w:val="clear" w:color="000000" w:fill="FFFFFF"/>
            <w:noWrap/>
            <w:vAlign w:val="bottom"/>
          </w:tcPr>
          <w:p w14:paraId="34AEBA1E" w14:textId="6E13DBF6"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1.135.375 </w:t>
            </w:r>
          </w:p>
        </w:tc>
        <w:tc>
          <w:tcPr>
            <w:tcW w:w="1065" w:type="dxa"/>
            <w:tcBorders>
              <w:top w:val="nil"/>
              <w:left w:val="nil"/>
              <w:bottom w:val="single" w:sz="4" w:space="0" w:color="auto"/>
              <w:right w:val="single" w:sz="4" w:space="0" w:color="auto"/>
            </w:tcBorders>
            <w:shd w:val="clear" w:color="000000" w:fill="FFFFFF"/>
            <w:noWrap/>
            <w:vAlign w:val="bottom"/>
          </w:tcPr>
          <w:p w14:paraId="2E26E08C" w14:textId="597466E9"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146.960 </w:t>
            </w:r>
          </w:p>
        </w:tc>
        <w:tc>
          <w:tcPr>
            <w:tcW w:w="1025" w:type="dxa"/>
            <w:tcBorders>
              <w:top w:val="nil"/>
              <w:left w:val="nil"/>
              <w:bottom w:val="single" w:sz="4" w:space="0" w:color="auto"/>
              <w:right w:val="single" w:sz="4" w:space="0" w:color="auto"/>
            </w:tcBorders>
            <w:shd w:val="clear" w:color="000000" w:fill="FFFFFF"/>
            <w:noWrap/>
            <w:vAlign w:val="bottom"/>
          </w:tcPr>
          <w:p w14:paraId="248137EC" w14:textId="3C483F7F" w:rsidR="008B3E2E" w:rsidRPr="00753D34" w:rsidRDefault="008B3E2E">
            <w:pPr>
              <w:ind w:left="-70" w:firstLine="70"/>
              <w:jc w:val="right"/>
              <w:rPr>
                <w:rFonts w:ascii="Arial" w:hAnsi="Arial" w:cs="Arial"/>
                <w:sz w:val="16"/>
                <w:szCs w:val="16"/>
              </w:rPr>
            </w:pPr>
            <w:r w:rsidRPr="00753D34">
              <w:rPr>
                <w:rFonts w:ascii="Arial" w:hAnsi="Arial" w:cs="Arial"/>
                <w:sz w:val="16"/>
                <w:szCs w:val="16"/>
              </w:rPr>
              <w:t>-19.818</w:t>
            </w:r>
          </w:p>
        </w:tc>
        <w:tc>
          <w:tcPr>
            <w:tcW w:w="1196" w:type="dxa"/>
            <w:tcBorders>
              <w:top w:val="nil"/>
              <w:left w:val="nil"/>
              <w:bottom w:val="single" w:sz="4" w:space="0" w:color="auto"/>
              <w:right w:val="single" w:sz="4" w:space="0" w:color="auto"/>
            </w:tcBorders>
            <w:shd w:val="clear" w:color="000000" w:fill="FFFFFF"/>
            <w:noWrap/>
            <w:vAlign w:val="bottom"/>
          </w:tcPr>
          <w:p w14:paraId="0C4B2324" w14:textId="6EF522E9"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1.272.353 </w:t>
            </w:r>
          </w:p>
        </w:tc>
      </w:tr>
      <w:tr w:rsidR="008B3E2E" w:rsidRPr="0047095D" w14:paraId="4F8FC498"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noWrap/>
            <w:vAlign w:val="bottom"/>
          </w:tcPr>
          <w:p w14:paraId="5F3993D0" w14:textId="77777777" w:rsidR="008B3E2E" w:rsidRPr="00DC096C" w:rsidRDefault="008B3E2E" w:rsidP="008B3E2E">
            <w:pPr>
              <w:ind w:left="-70" w:firstLine="70"/>
              <w:rPr>
                <w:rFonts w:ascii="Arial" w:hAnsi="Arial" w:cs="Arial"/>
                <w:sz w:val="16"/>
                <w:szCs w:val="16"/>
                <w:lang w:eastAsia="es-AR"/>
              </w:rPr>
            </w:pPr>
            <w:r w:rsidRPr="00DC096C">
              <w:rPr>
                <w:rFonts w:ascii="Arial" w:hAnsi="Arial" w:cs="Arial"/>
                <w:sz w:val="16"/>
                <w:szCs w:val="16"/>
              </w:rPr>
              <w:t xml:space="preserve">   Otros</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3EE886B4" w14:textId="5CCFDC5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206 </w:t>
            </w:r>
          </w:p>
        </w:tc>
        <w:tc>
          <w:tcPr>
            <w:tcW w:w="1256" w:type="dxa"/>
            <w:tcBorders>
              <w:top w:val="nil"/>
              <w:left w:val="nil"/>
              <w:bottom w:val="single" w:sz="4" w:space="0" w:color="auto"/>
              <w:right w:val="single" w:sz="4" w:space="0" w:color="auto"/>
            </w:tcBorders>
            <w:shd w:val="clear" w:color="000000" w:fill="FFFFFF"/>
            <w:noWrap/>
            <w:vAlign w:val="bottom"/>
          </w:tcPr>
          <w:p w14:paraId="79846FB1" w14:textId="469D1A24"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20.310 </w:t>
            </w:r>
          </w:p>
        </w:tc>
        <w:tc>
          <w:tcPr>
            <w:tcW w:w="1212" w:type="dxa"/>
            <w:tcBorders>
              <w:top w:val="nil"/>
              <w:left w:val="nil"/>
              <w:bottom w:val="single" w:sz="4" w:space="0" w:color="auto"/>
              <w:right w:val="single" w:sz="4" w:space="0" w:color="auto"/>
            </w:tcBorders>
            <w:shd w:val="clear" w:color="000000" w:fill="FFFFFF"/>
            <w:noWrap/>
            <w:vAlign w:val="bottom"/>
          </w:tcPr>
          <w:p w14:paraId="68BDE45E" w14:textId="7C2DBAE8"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11.727 </w:t>
            </w:r>
          </w:p>
        </w:tc>
        <w:tc>
          <w:tcPr>
            <w:tcW w:w="1065" w:type="dxa"/>
            <w:tcBorders>
              <w:top w:val="nil"/>
              <w:left w:val="nil"/>
              <w:bottom w:val="single" w:sz="4" w:space="0" w:color="auto"/>
              <w:right w:val="single" w:sz="4" w:space="0" w:color="auto"/>
            </w:tcBorders>
            <w:shd w:val="clear" w:color="000000" w:fill="FFFFFF"/>
            <w:noWrap/>
            <w:vAlign w:val="bottom"/>
          </w:tcPr>
          <w:p w14:paraId="57EEC8C8" w14:textId="1A8E4796"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025" w:type="dxa"/>
            <w:tcBorders>
              <w:top w:val="nil"/>
              <w:left w:val="nil"/>
              <w:bottom w:val="single" w:sz="4" w:space="0" w:color="auto"/>
              <w:right w:val="single" w:sz="4" w:space="0" w:color="auto"/>
            </w:tcBorders>
            <w:shd w:val="clear" w:color="000000" w:fill="FFFFFF"/>
            <w:noWrap/>
            <w:vAlign w:val="bottom"/>
          </w:tcPr>
          <w:p w14:paraId="7E998A4D" w14:textId="7777777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635BB085" w14:textId="0CE3619A"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32.243 </w:t>
            </w:r>
          </w:p>
        </w:tc>
      </w:tr>
      <w:tr w:rsidR="008B3E2E" w:rsidRPr="0047095D" w14:paraId="6840A839" w14:textId="77777777" w:rsidTr="00A74911">
        <w:trPr>
          <w:trHeight w:val="190"/>
        </w:trPr>
        <w:tc>
          <w:tcPr>
            <w:tcW w:w="3341" w:type="dxa"/>
            <w:tcBorders>
              <w:top w:val="nil"/>
              <w:left w:val="single" w:sz="4" w:space="0" w:color="auto"/>
              <w:bottom w:val="single" w:sz="4" w:space="0" w:color="363639"/>
              <w:right w:val="single" w:sz="4" w:space="0" w:color="363639"/>
            </w:tcBorders>
            <w:shd w:val="clear" w:color="000000" w:fill="FFFFFF"/>
            <w:noWrap/>
            <w:vAlign w:val="bottom"/>
          </w:tcPr>
          <w:p w14:paraId="5975D2BC" w14:textId="77777777" w:rsidR="008B3E2E" w:rsidRPr="00DC096C" w:rsidRDefault="008B3E2E" w:rsidP="008B3E2E">
            <w:pPr>
              <w:ind w:left="-70" w:firstLine="70"/>
              <w:rPr>
                <w:rFonts w:ascii="Arial" w:hAnsi="Arial" w:cs="Arial"/>
                <w:sz w:val="16"/>
                <w:szCs w:val="16"/>
                <w:lang w:eastAsia="es-AR"/>
              </w:rPr>
            </w:pPr>
            <w:r w:rsidRPr="00DC096C">
              <w:rPr>
                <w:rFonts w:ascii="Arial" w:hAnsi="Arial" w:cs="Arial"/>
                <w:sz w:val="16"/>
                <w:szCs w:val="16"/>
              </w:rPr>
              <w:t>Títulos de deuda a valor razonable con cambios en resultados</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18225622" w14:textId="5B114278"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784F160A" w14:textId="05BFA0CB"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0D0D669C" w14:textId="3BF70A80"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336.664 </w:t>
            </w:r>
          </w:p>
        </w:tc>
        <w:tc>
          <w:tcPr>
            <w:tcW w:w="1065" w:type="dxa"/>
            <w:tcBorders>
              <w:top w:val="nil"/>
              <w:left w:val="nil"/>
              <w:bottom w:val="single" w:sz="4" w:space="0" w:color="auto"/>
              <w:right w:val="single" w:sz="4" w:space="0" w:color="auto"/>
            </w:tcBorders>
            <w:shd w:val="clear" w:color="000000" w:fill="FFFFFF"/>
            <w:noWrap/>
            <w:vAlign w:val="bottom"/>
          </w:tcPr>
          <w:p w14:paraId="56263494" w14:textId="25930E4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99.997 </w:t>
            </w:r>
          </w:p>
        </w:tc>
        <w:tc>
          <w:tcPr>
            <w:tcW w:w="1025" w:type="dxa"/>
            <w:tcBorders>
              <w:top w:val="nil"/>
              <w:left w:val="nil"/>
              <w:bottom w:val="single" w:sz="4" w:space="0" w:color="auto"/>
              <w:right w:val="single" w:sz="4" w:space="0" w:color="auto"/>
            </w:tcBorders>
            <w:shd w:val="clear" w:color="000000" w:fill="FFFFFF"/>
            <w:noWrap/>
            <w:vAlign w:val="bottom"/>
          </w:tcPr>
          <w:p w14:paraId="12BBFDAA" w14:textId="7777777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50FF2BD0" w14:textId="64CA6A5D"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436.661 </w:t>
            </w:r>
          </w:p>
        </w:tc>
      </w:tr>
      <w:tr w:rsidR="008B3E2E" w:rsidRPr="0047095D" w14:paraId="730042C7" w14:textId="77777777" w:rsidTr="00A74911">
        <w:trPr>
          <w:trHeight w:val="191"/>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13826E7F" w14:textId="77777777" w:rsidR="008B3E2E" w:rsidRPr="00DC096C" w:rsidRDefault="008B3E2E" w:rsidP="008B3E2E">
            <w:pPr>
              <w:ind w:left="-70" w:firstLine="70"/>
              <w:rPr>
                <w:rFonts w:ascii="Arial" w:hAnsi="Arial" w:cs="Arial"/>
                <w:b/>
                <w:bCs/>
                <w:sz w:val="16"/>
                <w:szCs w:val="16"/>
                <w:lang w:eastAsia="es-AR"/>
              </w:rPr>
            </w:pPr>
            <w:r w:rsidRPr="00DC096C">
              <w:rPr>
                <w:rFonts w:ascii="Arial" w:hAnsi="Arial" w:cs="Arial"/>
                <w:sz w:val="16"/>
                <w:szCs w:val="16"/>
              </w:rPr>
              <w:t xml:space="preserve">Instrumentos derivados </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0DD5C52C" w14:textId="704FDED1"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5CF9E3F4" w14:textId="55DBDCC5"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79AADF9A" w14:textId="22D1C484"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277.679 </w:t>
            </w:r>
          </w:p>
        </w:tc>
        <w:tc>
          <w:tcPr>
            <w:tcW w:w="1065" w:type="dxa"/>
            <w:tcBorders>
              <w:top w:val="nil"/>
              <w:left w:val="nil"/>
              <w:bottom w:val="single" w:sz="4" w:space="0" w:color="auto"/>
              <w:right w:val="single" w:sz="4" w:space="0" w:color="auto"/>
            </w:tcBorders>
            <w:shd w:val="clear" w:color="000000" w:fill="FFFFFF"/>
            <w:noWrap/>
            <w:vAlign w:val="bottom"/>
          </w:tcPr>
          <w:p w14:paraId="2B512097" w14:textId="3AC0878B"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025" w:type="dxa"/>
            <w:tcBorders>
              <w:top w:val="nil"/>
              <w:left w:val="nil"/>
              <w:bottom w:val="single" w:sz="4" w:space="0" w:color="auto"/>
              <w:right w:val="single" w:sz="4" w:space="0" w:color="auto"/>
            </w:tcBorders>
            <w:shd w:val="clear" w:color="000000" w:fill="FFFFFF"/>
            <w:noWrap/>
            <w:vAlign w:val="bottom"/>
          </w:tcPr>
          <w:p w14:paraId="625C0E41" w14:textId="7777777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009BC5CF" w14:textId="1C150F0D"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277.679 </w:t>
            </w:r>
          </w:p>
        </w:tc>
      </w:tr>
      <w:tr w:rsidR="008B3E2E" w:rsidRPr="0047095D" w14:paraId="43CD3844"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1B83D33F" w14:textId="77777777" w:rsidR="008B3E2E" w:rsidRPr="00DC096C" w:rsidRDefault="008B3E2E" w:rsidP="008B3E2E">
            <w:pPr>
              <w:ind w:left="-70" w:firstLine="70"/>
              <w:rPr>
                <w:rFonts w:ascii="Arial" w:hAnsi="Arial" w:cs="Arial"/>
                <w:b/>
                <w:bCs/>
                <w:sz w:val="16"/>
                <w:szCs w:val="16"/>
                <w:lang w:eastAsia="es-AR"/>
              </w:rPr>
            </w:pPr>
            <w:r w:rsidRPr="00DC096C">
              <w:rPr>
                <w:rFonts w:ascii="Arial" w:hAnsi="Arial" w:cs="Arial"/>
                <w:sz w:val="16"/>
                <w:szCs w:val="16"/>
              </w:rPr>
              <w:t xml:space="preserve">Otros activos financieros </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2B4BCD3D" w14:textId="32C9BE3C"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76.697 </w:t>
            </w:r>
          </w:p>
        </w:tc>
        <w:tc>
          <w:tcPr>
            <w:tcW w:w="1256" w:type="dxa"/>
            <w:tcBorders>
              <w:top w:val="nil"/>
              <w:left w:val="nil"/>
              <w:bottom w:val="single" w:sz="4" w:space="0" w:color="auto"/>
              <w:right w:val="single" w:sz="4" w:space="0" w:color="auto"/>
            </w:tcBorders>
            <w:shd w:val="clear" w:color="000000" w:fill="FFFFFF"/>
            <w:noWrap/>
            <w:vAlign w:val="bottom"/>
          </w:tcPr>
          <w:p w14:paraId="160D5D3A" w14:textId="430C6F00"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437.414 </w:t>
            </w:r>
          </w:p>
        </w:tc>
        <w:tc>
          <w:tcPr>
            <w:tcW w:w="1212" w:type="dxa"/>
            <w:tcBorders>
              <w:top w:val="nil"/>
              <w:left w:val="nil"/>
              <w:bottom w:val="single" w:sz="4" w:space="0" w:color="auto"/>
              <w:right w:val="single" w:sz="4" w:space="0" w:color="auto"/>
            </w:tcBorders>
            <w:shd w:val="clear" w:color="000000" w:fill="FFFFFF"/>
            <w:noWrap/>
            <w:vAlign w:val="bottom"/>
          </w:tcPr>
          <w:p w14:paraId="19BE392A" w14:textId="7A2BB818"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224.437 </w:t>
            </w:r>
          </w:p>
        </w:tc>
        <w:tc>
          <w:tcPr>
            <w:tcW w:w="1065" w:type="dxa"/>
            <w:tcBorders>
              <w:top w:val="nil"/>
              <w:left w:val="nil"/>
              <w:bottom w:val="single" w:sz="4" w:space="0" w:color="auto"/>
              <w:right w:val="single" w:sz="4" w:space="0" w:color="auto"/>
            </w:tcBorders>
            <w:shd w:val="clear" w:color="000000" w:fill="FFFFFF"/>
            <w:noWrap/>
            <w:vAlign w:val="bottom"/>
          </w:tcPr>
          <w:p w14:paraId="31A3B17D" w14:textId="6F30A3A2"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278.395 </w:t>
            </w:r>
          </w:p>
        </w:tc>
        <w:tc>
          <w:tcPr>
            <w:tcW w:w="1025" w:type="dxa"/>
            <w:tcBorders>
              <w:top w:val="nil"/>
              <w:left w:val="nil"/>
              <w:bottom w:val="single" w:sz="4" w:space="0" w:color="auto"/>
              <w:right w:val="single" w:sz="4" w:space="0" w:color="auto"/>
            </w:tcBorders>
            <w:shd w:val="clear" w:color="000000" w:fill="FFFFFF"/>
            <w:noWrap/>
            <w:vAlign w:val="bottom"/>
          </w:tcPr>
          <w:p w14:paraId="6FDCC8D9" w14:textId="27DCFA1A" w:rsidR="008B3E2E" w:rsidRPr="00753D34" w:rsidRDefault="008B3E2E">
            <w:pPr>
              <w:ind w:left="-70" w:firstLine="70"/>
              <w:jc w:val="right"/>
              <w:rPr>
                <w:rFonts w:ascii="Arial" w:hAnsi="Arial" w:cs="Arial"/>
                <w:sz w:val="16"/>
                <w:szCs w:val="16"/>
              </w:rPr>
            </w:pPr>
            <w:r w:rsidRPr="00753D34">
              <w:rPr>
                <w:rFonts w:ascii="Arial" w:hAnsi="Arial" w:cs="Arial"/>
                <w:sz w:val="16"/>
                <w:szCs w:val="16"/>
              </w:rPr>
              <w:t>-3.782</w:t>
            </w:r>
          </w:p>
        </w:tc>
        <w:tc>
          <w:tcPr>
            <w:tcW w:w="1196" w:type="dxa"/>
            <w:tcBorders>
              <w:top w:val="nil"/>
              <w:left w:val="nil"/>
              <w:bottom w:val="single" w:sz="4" w:space="0" w:color="auto"/>
              <w:right w:val="single" w:sz="4" w:space="0" w:color="auto"/>
            </w:tcBorders>
            <w:shd w:val="clear" w:color="000000" w:fill="FFFFFF"/>
            <w:noWrap/>
            <w:vAlign w:val="bottom"/>
          </w:tcPr>
          <w:p w14:paraId="04120EC4" w14:textId="1DD168FF" w:rsidR="008B3E2E" w:rsidRPr="002E1AF6" w:rsidRDefault="008B3E2E">
            <w:pPr>
              <w:ind w:left="-70" w:firstLine="70"/>
              <w:jc w:val="right"/>
              <w:rPr>
                <w:rFonts w:ascii="Arial" w:hAnsi="Arial" w:cs="Arial"/>
                <w:sz w:val="16"/>
                <w:szCs w:val="16"/>
              </w:rPr>
            </w:pPr>
            <w:r w:rsidRPr="002E1AF6">
              <w:rPr>
                <w:rFonts w:ascii="Arial" w:hAnsi="Arial" w:cs="Arial"/>
                <w:sz w:val="16"/>
                <w:szCs w:val="16"/>
              </w:rPr>
              <w:t xml:space="preserve"> 1.013.161</w:t>
            </w:r>
          </w:p>
        </w:tc>
      </w:tr>
      <w:tr w:rsidR="008B3E2E" w:rsidRPr="0047095D" w14:paraId="2E5FBFAD"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32F451FC" w14:textId="77777777" w:rsidR="008B3E2E" w:rsidRPr="00DC096C" w:rsidRDefault="008B3E2E" w:rsidP="008B3E2E">
            <w:pPr>
              <w:ind w:left="-70" w:firstLine="70"/>
              <w:rPr>
                <w:rFonts w:ascii="Arial" w:hAnsi="Arial" w:cs="Arial"/>
                <w:b/>
                <w:bCs/>
                <w:sz w:val="16"/>
                <w:szCs w:val="16"/>
                <w:lang w:eastAsia="es-AR"/>
              </w:rPr>
            </w:pPr>
            <w:r w:rsidRPr="00DC096C">
              <w:rPr>
                <w:rFonts w:ascii="Arial" w:hAnsi="Arial" w:cs="Arial"/>
                <w:sz w:val="16"/>
                <w:szCs w:val="16"/>
              </w:rPr>
              <w:t xml:space="preserve">Préstamos y otras financiaciones </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61F9FCBF" w14:textId="1787CF91"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41.475.013 </w:t>
            </w:r>
          </w:p>
        </w:tc>
        <w:tc>
          <w:tcPr>
            <w:tcW w:w="1256" w:type="dxa"/>
            <w:tcBorders>
              <w:top w:val="nil"/>
              <w:left w:val="nil"/>
              <w:bottom w:val="single" w:sz="4" w:space="0" w:color="auto"/>
              <w:right w:val="single" w:sz="4" w:space="0" w:color="auto"/>
            </w:tcBorders>
            <w:shd w:val="clear" w:color="000000" w:fill="FFFFFF"/>
            <w:noWrap/>
            <w:vAlign w:val="bottom"/>
          </w:tcPr>
          <w:p w14:paraId="4E62212C" w14:textId="42BEB6EF"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45.192.544 </w:t>
            </w:r>
          </w:p>
        </w:tc>
        <w:tc>
          <w:tcPr>
            <w:tcW w:w="1212" w:type="dxa"/>
            <w:tcBorders>
              <w:top w:val="nil"/>
              <w:left w:val="nil"/>
              <w:bottom w:val="single" w:sz="4" w:space="0" w:color="auto"/>
              <w:right w:val="single" w:sz="4" w:space="0" w:color="auto"/>
            </w:tcBorders>
            <w:shd w:val="clear" w:color="000000" w:fill="FFFFFF"/>
            <w:noWrap/>
            <w:vAlign w:val="bottom"/>
          </w:tcPr>
          <w:p w14:paraId="259F8381" w14:textId="31E0624E"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4.014.714 </w:t>
            </w:r>
          </w:p>
        </w:tc>
        <w:tc>
          <w:tcPr>
            <w:tcW w:w="1065" w:type="dxa"/>
            <w:tcBorders>
              <w:top w:val="nil"/>
              <w:left w:val="nil"/>
              <w:bottom w:val="single" w:sz="4" w:space="0" w:color="auto"/>
              <w:right w:val="single" w:sz="4" w:space="0" w:color="auto"/>
            </w:tcBorders>
            <w:shd w:val="clear" w:color="000000" w:fill="FFFFFF"/>
            <w:noWrap/>
            <w:vAlign w:val="bottom"/>
          </w:tcPr>
          <w:p w14:paraId="7384C2A1" w14:textId="0337EF9B"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6.145.026 </w:t>
            </w:r>
          </w:p>
        </w:tc>
        <w:tc>
          <w:tcPr>
            <w:tcW w:w="1025" w:type="dxa"/>
            <w:tcBorders>
              <w:top w:val="nil"/>
              <w:left w:val="nil"/>
              <w:bottom w:val="single" w:sz="4" w:space="0" w:color="auto"/>
              <w:right w:val="single" w:sz="4" w:space="0" w:color="auto"/>
            </w:tcBorders>
            <w:shd w:val="clear" w:color="000000" w:fill="FFFFFF"/>
            <w:noWrap/>
            <w:vAlign w:val="bottom"/>
          </w:tcPr>
          <w:p w14:paraId="472B815D" w14:textId="09C76A31" w:rsidR="008B3E2E" w:rsidRPr="002E1AF6" w:rsidRDefault="008B3E2E">
            <w:pPr>
              <w:ind w:left="-70" w:firstLine="70"/>
              <w:jc w:val="right"/>
              <w:rPr>
                <w:rFonts w:ascii="Arial" w:hAnsi="Arial" w:cs="Arial"/>
                <w:sz w:val="16"/>
                <w:szCs w:val="16"/>
              </w:rPr>
            </w:pPr>
            <w:r w:rsidRPr="002E1AF6">
              <w:rPr>
                <w:rFonts w:ascii="Arial" w:hAnsi="Arial" w:cs="Arial"/>
                <w:sz w:val="16"/>
                <w:szCs w:val="16"/>
              </w:rPr>
              <w:t xml:space="preserve"> -1.551.557</w:t>
            </w:r>
          </w:p>
        </w:tc>
        <w:tc>
          <w:tcPr>
            <w:tcW w:w="1196" w:type="dxa"/>
            <w:tcBorders>
              <w:top w:val="nil"/>
              <w:left w:val="nil"/>
              <w:bottom w:val="single" w:sz="4" w:space="0" w:color="auto"/>
              <w:right w:val="single" w:sz="4" w:space="0" w:color="auto"/>
            </w:tcBorders>
            <w:shd w:val="clear" w:color="000000" w:fill="FFFFFF"/>
            <w:noWrap/>
            <w:vAlign w:val="bottom"/>
          </w:tcPr>
          <w:p w14:paraId="6B0EB5C2" w14:textId="5D7B3827" w:rsidR="008B3E2E" w:rsidRPr="002E1AF6" w:rsidRDefault="008B3E2E">
            <w:pPr>
              <w:ind w:left="-70" w:firstLine="70"/>
              <w:jc w:val="right"/>
              <w:rPr>
                <w:rFonts w:ascii="Arial" w:hAnsi="Arial" w:cs="Arial"/>
                <w:sz w:val="16"/>
                <w:szCs w:val="16"/>
              </w:rPr>
            </w:pPr>
            <w:r w:rsidRPr="002E1AF6">
              <w:rPr>
                <w:rFonts w:ascii="Arial" w:hAnsi="Arial" w:cs="Arial"/>
                <w:sz w:val="16"/>
                <w:szCs w:val="16"/>
              </w:rPr>
              <w:t>95.275.740</w:t>
            </w:r>
          </w:p>
        </w:tc>
      </w:tr>
      <w:tr w:rsidR="008B3E2E" w:rsidRPr="0047095D" w14:paraId="338408D6" w14:textId="77777777" w:rsidTr="00A74911">
        <w:trPr>
          <w:trHeight w:val="75"/>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2A490E6A" w14:textId="77777777" w:rsidR="008B3E2E" w:rsidRPr="00DC096C" w:rsidRDefault="008B3E2E" w:rsidP="008B3E2E">
            <w:pPr>
              <w:ind w:left="-70" w:firstLine="70"/>
              <w:rPr>
                <w:rFonts w:ascii="Arial" w:hAnsi="Arial" w:cs="Arial"/>
                <w:b/>
                <w:bCs/>
                <w:sz w:val="16"/>
                <w:szCs w:val="16"/>
                <w:lang w:eastAsia="es-AR"/>
              </w:rPr>
            </w:pPr>
            <w:r w:rsidRPr="00DC096C">
              <w:rPr>
                <w:rFonts w:ascii="Arial" w:hAnsi="Arial" w:cs="Arial"/>
                <w:sz w:val="16"/>
                <w:szCs w:val="16"/>
              </w:rPr>
              <w:t xml:space="preserve">   Sector público no financiero</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4FBAC5AF" w14:textId="214862F9"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290 </w:t>
            </w:r>
          </w:p>
        </w:tc>
        <w:tc>
          <w:tcPr>
            <w:tcW w:w="1256" w:type="dxa"/>
            <w:tcBorders>
              <w:top w:val="nil"/>
              <w:left w:val="nil"/>
              <w:bottom w:val="single" w:sz="4" w:space="0" w:color="auto"/>
              <w:right w:val="single" w:sz="4" w:space="0" w:color="auto"/>
            </w:tcBorders>
            <w:shd w:val="clear" w:color="000000" w:fill="FFFFFF"/>
            <w:noWrap/>
            <w:vAlign w:val="bottom"/>
          </w:tcPr>
          <w:p w14:paraId="4B3EA7DC" w14:textId="1BE809E0"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612 </w:t>
            </w:r>
          </w:p>
        </w:tc>
        <w:tc>
          <w:tcPr>
            <w:tcW w:w="1212" w:type="dxa"/>
            <w:tcBorders>
              <w:top w:val="nil"/>
              <w:left w:val="nil"/>
              <w:bottom w:val="single" w:sz="4" w:space="0" w:color="auto"/>
              <w:right w:val="single" w:sz="4" w:space="0" w:color="auto"/>
            </w:tcBorders>
            <w:shd w:val="clear" w:color="000000" w:fill="FFFFFF"/>
            <w:noWrap/>
            <w:vAlign w:val="bottom"/>
          </w:tcPr>
          <w:p w14:paraId="3DBA823B" w14:textId="48443DBB"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30.222 </w:t>
            </w:r>
          </w:p>
        </w:tc>
        <w:tc>
          <w:tcPr>
            <w:tcW w:w="1065" w:type="dxa"/>
            <w:tcBorders>
              <w:top w:val="nil"/>
              <w:left w:val="nil"/>
              <w:bottom w:val="single" w:sz="4" w:space="0" w:color="auto"/>
              <w:right w:val="single" w:sz="4" w:space="0" w:color="auto"/>
            </w:tcBorders>
            <w:shd w:val="clear" w:color="000000" w:fill="FFFFFF"/>
            <w:noWrap/>
            <w:vAlign w:val="bottom"/>
          </w:tcPr>
          <w:p w14:paraId="3722ED12" w14:textId="29254359"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025" w:type="dxa"/>
            <w:tcBorders>
              <w:top w:val="nil"/>
              <w:left w:val="nil"/>
              <w:bottom w:val="single" w:sz="4" w:space="0" w:color="auto"/>
              <w:right w:val="single" w:sz="4" w:space="0" w:color="auto"/>
            </w:tcBorders>
            <w:shd w:val="clear" w:color="000000" w:fill="FFFFFF"/>
            <w:noWrap/>
            <w:vAlign w:val="bottom"/>
          </w:tcPr>
          <w:p w14:paraId="51EDAAFF" w14:textId="7777777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25C5E236" w14:textId="66DAEE2C"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31.124 </w:t>
            </w:r>
          </w:p>
        </w:tc>
      </w:tr>
      <w:tr w:rsidR="008B3E2E" w:rsidRPr="0047095D" w14:paraId="27252C0B"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noWrap/>
            <w:vAlign w:val="bottom"/>
          </w:tcPr>
          <w:p w14:paraId="6B53BDB3" w14:textId="77777777" w:rsidR="008B3E2E" w:rsidRPr="00DC096C" w:rsidRDefault="008B3E2E" w:rsidP="008B3E2E">
            <w:pPr>
              <w:ind w:left="-70" w:firstLine="70"/>
              <w:rPr>
                <w:rFonts w:ascii="Arial" w:hAnsi="Arial" w:cs="Arial"/>
                <w:sz w:val="16"/>
                <w:szCs w:val="16"/>
                <w:lang w:eastAsia="es-AR"/>
              </w:rPr>
            </w:pPr>
            <w:r w:rsidRPr="00DC096C">
              <w:rPr>
                <w:rFonts w:ascii="Arial" w:hAnsi="Arial" w:cs="Arial"/>
                <w:sz w:val="16"/>
                <w:szCs w:val="16"/>
              </w:rPr>
              <w:t xml:space="preserve">   Otras entidades financieras </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06A17291" w14:textId="22AF08D5"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33.304 </w:t>
            </w:r>
          </w:p>
        </w:tc>
        <w:tc>
          <w:tcPr>
            <w:tcW w:w="1256" w:type="dxa"/>
            <w:tcBorders>
              <w:top w:val="nil"/>
              <w:left w:val="nil"/>
              <w:bottom w:val="single" w:sz="4" w:space="0" w:color="auto"/>
              <w:right w:val="single" w:sz="4" w:space="0" w:color="auto"/>
            </w:tcBorders>
            <w:shd w:val="clear" w:color="000000" w:fill="FFFFFF"/>
            <w:noWrap/>
            <w:vAlign w:val="bottom"/>
          </w:tcPr>
          <w:p w14:paraId="7AB4E5EF" w14:textId="7A47200E"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-2.896 </w:t>
            </w:r>
          </w:p>
        </w:tc>
        <w:tc>
          <w:tcPr>
            <w:tcW w:w="1212" w:type="dxa"/>
            <w:tcBorders>
              <w:top w:val="nil"/>
              <w:left w:val="nil"/>
              <w:bottom w:val="single" w:sz="4" w:space="0" w:color="auto"/>
              <w:right w:val="single" w:sz="4" w:space="0" w:color="auto"/>
            </w:tcBorders>
            <w:shd w:val="clear" w:color="000000" w:fill="FFFFFF"/>
            <w:noWrap/>
            <w:vAlign w:val="bottom"/>
          </w:tcPr>
          <w:p w14:paraId="08E60A0C" w14:textId="286337C1"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1.258.631 </w:t>
            </w:r>
          </w:p>
        </w:tc>
        <w:tc>
          <w:tcPr>
            <w:tcW w:w="1065" w:type="dxa"/>
            <w:tcBorders>
              <w:top w:val="nil"/>
              <w:left w:val="nil"/>
              <w:bottom w:val="single" w:sz="4" w:space="0" w:color="auto"/>
              <w:right w:val="single" w:sz="4" w:space="0" w:color="auto"/>
            </w:tcBorders>
            <w:shd w:val="clear" w:color="000000" w:fill="FFFFFF"/>
            <w:noWrap/>
            <w:vAlign w:val="bottom"/>
          </w:tcPr>
          <w:p w14:paraId="7C1C2A86" w14:textId="28EF7B6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233.537 </w:t>
            </w:r>
          </w:p>
        </w:tc>
        <w:tc>
          <w:tcPr>
            <w:tcW w:w="1025" w:type="dxa"/>
            <w:tcBorders>
              <w:top w:val="nil"/>
              <w:left w:val="nil"/>
              <w:bottom w:val="single" w:sz="4" w:space="0" w:color="auto"/>
              <w:right w:val="single" w:sz="4" w:space="0" w:color="auto"/>
            </w:tcBorders>
            <w:shd w:val="clear" w:color="000000" w:fill="FFFFFF"/>
            <w:noWrap/>
            <w:vAlign w:val="bottom"/>
          </w:tcPr>
          <w:p w14:paraId="5F985169" w14:textId="5018B314"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-1.453.020 </w:t>
            </w:r>
          </w:p>
        </w:tc>
        <w:tc>
          <w:tcPr>
            <w:tcW w:w="1196" w:type="dxa"/>
            <w:tcBorders>
              <w:top w:val="nil"/>
              <w:left w:val="nil"/>
              <w:bottom w:val="single" w:sz="4" w:space="0" w:color="auto"/>
              <w:right w:val="single" w:sz="4" w:space="0" w:color="auto"/>
            </w:tcBorders>
            <w:shd w:val="clear" w:color="000000" w:fill="FFFFFF"/>
            <w:noWrap/>
            <w:vAlign w:val="bottom"/>
          </w:tcPr>
          <w:p w14:paraId="7178175D" w14:textId="4A6C5203"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69.556 </w:t>
            </w:r>
          </w:p>
        </w:tc>
      </w:tr>
      <w:tr w:rsidR="008B3E2E" w:rsidRPr="0047095D" w14:paraId="046F5D0D"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58177324" w14:textId="77777777" w:rsidR="008B3E2E" w:rsidRPr="00DC096C" w:rsidRDefault="008B3E2E" w:rsidP="008B3E2E">
            <w:pPr>
              <w:ind w:left="-70" w:firstLine="70"/>
              <w:rPr>
                <w:rFonts w:ascii="Arial" w:hAnsi="Arial" w:cs="Arial"/>
                <w:sz w:val="16"/>
                <w:szCs w:val="16"/>
                <w:lang w:eastAsia="es-AR"/>
              </w:rPr>
            </w:pPr>
            <w:r w:rsidRPr="00DC096C">
              <w:rPr>
                <w:rFonts w:ascii="Arial" w:hAnsi="Arial" w:cs="Arial"/>
                <w:sz w:val="16"/>
                <w:szCs w:val="16"/>
              </w:rPr>
              <w:t xml:space="preserve">   Sector privado no financiero y residentes en el exterior </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16A9216B" w14:textId="5D0CE487"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41.441.419 </w:t>
            </w:r>
          </w:p>
        </w:tc>
        <w:tc>
          <w:tcPr>
            <w:tcW w:w="1256" w:type="dxa"/>
            <w:tcBorders>
              <w:top w:val="nil"/>
              <w:left w:val="nil"/>
              <w:bottom w:val="single" w:sz="4" w:space="0" w:color="auto"/>
              <w:right w:val="single" w:sz="4" w:space="0" w:color="auto"/>
            </w:tcBorders>
            <w:shd w:val="clear" w:color="000000" w:fill="FFFFFF"/>
            <w:noWrap/>
            <w:vAlign w:val="bottom"/>
          </w:tcPr>
          <w:p w14:paraId="7173CA94" w14:textId="1359914E"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45.194.828 </w:t>
            </w:r>
          </w:p>
        </w:tc>
        <w:tc>
          <w:tcPr>
            <w:tcW w:w="1212" w:type="dxa"/>
            <w:tcBorders>
              <w:top w:val="nil"/>
              <w:left w:val="nil"/>
              <w:bottom w:val="single" w:sz="4" w:space="0" w:color="auto"/>
              <w:right w:val="single" w:sz="4" w:space="0" w:color="auto"/>
            </w:tcBorders>
            <w:shd w:val="clear" w:color="000000" w:fill="FFFFFF"/>
            <w:noWrap/>
            <w:vAlign w:val="bottom"/>
          </w:tcPr>
          <w:p w14:paraId="022F7F43" w14:textId="10F49A6E"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2.725.861 </w:t>
            </w:r>
          </w:p>
        </w:tc>
        <w:tc>
          <w:tcPr>
            <w:tcW w:w="1065" w:type="dxa"/>
            <w:tcBorders>
              <w:top w:val="nil"/>
              <w:left w:val="nil"/>
              <w:bottom w:val="single" w:sz="4" w:space="0" w:color="auto"/>
              <w:right w:val="single" w:sz="4" w:space="0" w:color="auto"/>
            </w:tcBorders>
            <w:shd w:val="clear" w:color="000000" w:fill="FFFFFF"/>
            <w:noWrap/>
            <w:vAlign w:val="bottom"/>
          </w:tcPr>
          <w:p w14:paraId="7331EB9A" w14:textId="15201AFC"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 5.911.489 </w:t>
            </w:r>
          </w:p>
        </w:tc>
        <w:tc>
          <w:tcPr>
            <w:tcW w:w="1025" w:type="dxa"/>
            <w:tcBorders>
              <w:top w:val="nil"/>
              <w:left w:val="nil"/>
              <w:bottom w:val="single" w:sz="4" w:space="0" w:color="auto"/>
              <w:right w:val="single" w:sz="4" w:space="0" w:color="auto"/>
            </w:tcBorders>
            <w:shd w:val="clear" w:color="000000" w:fill="FFFFFF"/>
            <w:noWrap/>
            <w:vAlign w:val="bottom"/>
          </w:tcPr>
          <w:p w14:paraId="5D2870FA" w14:textId="76FBB8D2" w:rsidR="008B3E2E" w:rsidRPr="00753D34" w:rsidRDefault="008B3E2E">
            <w:pPr>
              <w:ind w:left="-70" w:firstLine="70"/>
              <w:jc w:val="right"/>
              <w:rPr>
                <w:rFonts w:ascii="Arial" w:hAnsi="Arial" w:cs="Arial"/>
                <w:sz w:val="16"/>
                <w:szCs w:val="16"/>
              </w:rPr>
            </w:pPr>
            <w:r w:rsidRPr="00753D34">
              <w:rPr>
                <w:rFonts w:ascii="Arial" w:hAnsi="Arial" w:cs="Arial"/>
                <w:sz w:val="16"/>
                <w:szCs w:val="16"/>
              </w:rPr>
              <w:t xml:space="preserve">-98.537 </w:t>
            </w:r>
          </w:p>
        </w:tc>
        <w:tc>
          <w:tcPr>
            <w:tcW w:w="1196" w:type="dxa"/>
            <w:tcBorders>
              <w:top w:val="nil"/>
              <w:left w:val="nil"/>
              <w:bottom w:val="single" w:sz="4" w:space="0" w:color="auto"/>
              <w:right w:val="single" w:sz="4" w:space="0" w:color="auto"/>
            </w:tcBorders>
            <w:shd w:val="clear" w:color="000000" w:fill="FFFFFF"/>
            <w:noWrap/>
            <w:vAlign w:val="bottom"/>
          </w:tcPr>
          <w:p w14:paraId="7383054D" w14:textId="7F5EE90F" w:rsidR="008B3E2E" w:rsidRPr="002E1AF6" w:rsidRDefault="008B3E2E">
            <w:pPr>
              <w:ind w:left="-70" w:firstLine="70"/>
              <w:jc w:val="right"/>
              <w:rPr>
                <w:rFonts w:ascii="Arial" w:hAnsi="Arial" w:cs="Arial"/>
                <w:sz w:val="16"/>
                <w:szCs w:val="16"/>
              </w:rPr>
            </w:pPr>
            <w:r w:rsidRPr="00753D34">
              <w:rPr>
                <w:rFonts w:ascii="Arial" w:hAnsi="Arial" w:cs="Arial"/>
                <w:sz w:val="16"/>
                <w:szCs w:val="16"/>
              </w:rPr>
              <w:t xml:space="preserve"> 95.175.060 </w:t>
            </w:r>
          </w:p>
        </w:tc>
      </w:tr>
      <w:tr w:rsidR="00DC096C" w:rsidRPr="0047095D" w14:paraId="6887EFAD"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3F517BC9"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Otros títulos de deuda</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3406B379" w14:textId="6816EC7F"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0020008D" w14:textId="6EC3CAD2"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66C1E1A9" w14:textId="4D324E1C"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11.441.100 </w:t>
            </w:r>
          </w:p>
        </w:tc>
        <w:tc>
          <w:tcPr>
            <w:tcW w:w="1065" w:type="dxa"/>
            <w:tcBorders>
              <w:top w:val="nil"/>
              <w:left w:val="nil"/>
              <w:bottom w:val="single" w:sz="4" w:space="0" w:color="auto"/>
              <w:right w:val="single" w:sz="4" w:space="0" w:color="auto"/>
            </w:tcBorders>
            <w:shd w:val="clear" w:color="000000" w:fill="FFFFFF"/>
            <w:noWrap/>
            <w:vAlign w:val="bottom"/>
          </w:tcPr>
          <w:p w14:paraId="36FAF254" w14:textId="6B2CF279"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025" w:type="dxa"/>
            <w:tcBorders>
              <w:top w:val="nil"/>
              <w:left w:val="nil"/>
              <w:bottom w:val="single" w:sz="4" w:space="0" w:color="auto"/>
              <w:right w:val="single" w:sz="4" w:space="0" w:color="auto"/>
            </w:tcBorders>
            <w:shd w:val="clear" w:color="000000" w:fill="FFFFFF"/>
            <w:noWrap/>
            <w:vAlign w:val="bottom"/>
          </w:tcPr>
          <w:p w14:paraId="542F51E3" w14:textId="6F2D8709"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-383.208 </w:t>
            </w:r>
          </w:p>
        </w:tc>
        <w:tc>
          <w:tcPr>
            <w:tcW w:w="1196" w:type="dxa"/>
            <w:tcBorders>
              <w:top w:val="nil"/>
              <w:left w:val="nil"/>
              <w:bottom w:val="single" w:sz="4" w:space="0" w:color="auto"/>
              <w:right w:val="single" w:sz="4" w:space="0" w:color="auto"/>
            </w:tcBorders>
            <w:shd w:val="clear" w:color="000000" w:fill="FFFFFF"/>
            <w:noWrap/>
            <w:vAlign w:val="bottom"/>
          </w:tcPr>
          <w:p w14:paraId="36655558" w14:textId="149C3272"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11.057.892 </w:t>
            </w:r>
          </w:p>
        </w:tc>
      </w:tr>
      <w:tr w:rsidR="00DC096C" w:rsidRPr="0047095D" w14:paraId="42D528C8" w14:textId="77777777" w:rsidTr="00A74911">
        <w:trPr>
          <w:trHeight w:val="317"/>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4202B077"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Activos financieros entregados en garantía</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7C389F4A" w14:textId="762340EB"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64.927 </w:t>
            </w:r>
          </w:p>
        </w:tc>
        <w:tc>
          <w:tcPr>
            <w:tcW w:w="1256" w:type="dxa"/>
            <w:tcBorders>
              <w:top w:val="nil"/>
              <w:left w:val="nil"/>
              <w:bottom w:val="single" w:sz="4" w:space="0" w:color="auto"/>
              <w:right w:val="single" w:sz="4" w:space="0" w:color="auto"/>
            </w:tcBorders>
            <w:shd w:val="clear" w:color="000000" w:fill="FFFFFF"/>
            <w:noWrap/>
            <w:vAlign w:val="bottom"/>
          </w:tcPr>
          <w:p w14:paraId="2343E6D3" w14:textId="2B3CBA0C"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480.929 </w:t>
            </w:r>
          </w:p>
        </w:tc>
        <w:tc>
          <w:tcPr>
            <w:tcW w:w="1212" w:type="dxa"/>
            <w:tcBorders>
              <w:top w:val="nil"/>
              <w:left w:val="nil"/>
              <w:bottom w:val="single" w:sz="4" w:space="0" w:color="auto"/>
              <w:right w:val="single" w:sz="4" w:space="0" w:color="auto"/>
            </w:tcBorders>
            <w:shd w:val="clear" w:color="000000" w:fill="FFFFFF"/>
            <w:noWrap/>
            <w:vAlign w:val="bottom"/>
          </w:tcPr>
          <w:p w14:paraId="7EFAF9C0" w14:textId="255C2421"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4.762.799 </w:t>
            </w:r>
          </w:p>
        </w:tc>
        <w:tc>
          <w:tcPr>
            <w:tcW w:w="1065" w:type="dxa"/>
            <w:tcBorders>
              <w:top w:val="nil"/>
              <w:left w:val="nil"/>
              <w:bottom w:val="single" w:sz="4" w:space="0" w:color="auto"/>
              <w:right w:val="single" w:sz="4" w:space="0" w:color="auto"/>
            </w:tcBorders>
            <w:shd w:val="clear" w:color="000000" w:fill="FFFFFF"/>
            <w:noWrap/>
            <w:vAlign w:val="bottom"/>
          </w:tcPr>
          <w:p w14:paraId="7D4C376D" w14:textId="4B72880B"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819.937 </w:t>
            </w:r>
          </w:p>
        </w:tc>
        <w:tc>
          <w:tcPr>
            <w:tcW w:w="1025" w:type="dxa"/>
            <w:tcBorders>
              <w:top w:val="nil"/>
              <w:left w:val="nil"/>
              <w:bottom w:val="single" w:sz="4" w:space="0" w:color="auto"/>
              <w:right w:val="single" w:sz="4" w:space="0" w:color="auto"/>
            </w:tcBorders>
            <w:shd w:val="clear" w:color="000000" w:fill="FFFFFF"/>
            <w:noWrap/>
            <w:vAlign w:val="bottom"/>
          </w:tcPr>
          <w:p w14:paraId="6FF75A63" w14:textId="3048CF77"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-386.140 </w:t>
            </w:r>
          </w:p>
        </w:tc>
        <w:tc>
          <w:tcPr>
            <w:tcW w:w="1196" w:type="dxa"/>
            <w:tcBorders>
              <w:top w:val="nil"/>
              <w:left w:val="nil"/>
              <w:bottom w:val="single" w:sz="4" w:space="0" w:color="auto"/>
              <w:right w:val="single" w:sz="4" w:space="0" w:color="auto"/>
            </w:tcBorders>
            <w:shd w:val="clear" w:color="000000" w:fill="FFFFFF"/>
            <w:noWrap/>
            <w:vAlign w:val="bottom"/>
          </w:tcPr>
          <w:p w14:paraId="7F5389AA" w14:textId="2DEA8A40"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5.742.452 </w:t>
            </w:r>
          </w:p>
        </w:tc>
      </w:tr>
      <w:tr w:rsidR="00DC096C" w:rsidRPr="0047095D" w14:paraId="3072E5E7" w14:textId="77777777" w:rsidTr="00A74911">
        <w:trPr>
          <w:trHeight w:val="287"/>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068A5B66"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Activos por impuestos a las ganancias corriente</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04E10A43" w14:textId="591E743C"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48535447" w14:textId="2F85D9A8"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3FD4FA84" w14:textId="23D309B8"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316.062 </w:t>
            </w:r>
          </w:p>
        </w:tc>
        <w:tc>
          <w:tcPr>
            <w:tcW w:w="1065" w:type="dxa"/>
            <w:tcBorders>
              <w:top w:val="nil"/>
              <w:left w:val="nil"/>
              <w:bottom w:val="single" w:sz="4" w:space="0" w:color="auto"/>
              <w:right w:val="single" w:sz="4" w:space="0" w:color="auto"/>
            </w:tcBorders>
            <w:shd w:val="clear" w:color="000000" w:fill="FFFFFF"/>
            <w:noWrap/>
            <w:vAlign w:val="bottom"/>
          </w:tcPr>
          <w:p w14:paraId="689B61CF" w14:textId="1D69416E"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25.897 </w:t>
            </w:r>
          </w:p>
        </w:tc>
        <w:tc>
          <w:tcPr>
            <w:tcW w:w="1025" w:type="dxa"/>
            <w:tcBorders>
              <w:top w:val="nil"/>
              <w:left w:val="nil"/>
              <w:bottom w:val="single" w:sz="4" w:space="0" w:color="auto"/>
              <w:right w:val="single" w:sz="4" w:space="0" w:color="auto"/>
            </w:tcBorders>
            <w:shd w:val="clear" w:color="000000" w:fill="FFFFFF"/>
            <w:noWrap/>
            <w:vAlign w:val="bottom"/>
          </w:tcPr>
          <w:p w14:paraId="2C042375" w14:textId="1BF657B1"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35D11081" w14:textId="729E042C"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341.959 </w:t>
            </w:r>
          </w:p>
        </w:tc>
      </w:tr>
      <w:tr w:rsidR="00DC096C" w:rsidRPr="0047095D" w14:paraId="34021E96" w14:textId="77777777" w:rsidTr="00A74911">
        <w:trPr>
          <w:trHeight w:val="106"/>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42EA9BDF"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Inversiones en instrumentos de patrimonio</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3D6A8265" w14:textId="18DF0D7F"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1.903 </w:t>
            </w:r>
          </w:p>
        </w:tc>
        <w:tc>
          <w:tcPr>
            <w:tcW w:w="1256" w:type="dxa"/>
            <w:tcBorders>
              <w:top w:val="nil"/>
              <w:left w:val="nil"/>
              <w:bottom w:val="single" w:sz="4" w:space="0" w:color="auto"/>
              <w:right w:val="single" w:sz="4" w:space="0" w:color="auto"/>
            </w:tcBorders>
            <w:shd w:val="clear" w:color="000000" w:fill="FFFFFF"/>
            <w:noWrap/>
            <w:vAlign w:val="bottom"/>
          </w:tcPr>
          <w:p w14:paraId="3A192200" w14:textId="1266B9DD"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2.697 </w:t>
            </w:r>
          </w:p>
        </w:tc>
        <w:tc>
          <w:tcPr>
            <w:tcW w:w="1212" w:type="dxa"/>
            <w:tcBorders>
              <w:top w:val="nil"/>
              <w:left w:val="nil"/>
              <w:bottom w:val="single" w:sz="4" w:space="0" w:color="auto"/>
              <w:right w:val="single" w:sz="4" w:space="0" w:color="auto"/>
            </w:tcBorders>
            <w:shd w:val="clear" w:color="000000" w:fill="FFFFFF"/>
            <w:noWrap/>
            <w:vAlign w:val="bottom"/>
          </w:tcPr>
          <w:p w14:paraId="713A3483" w14:textId="1BA90F21"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11.116 </w:t>
            </w:r>
          </w:p>
        </w:tc>
        <w:tc>
          <w:tcPr>
            <w:tcW w:w="1065" w:type="dxa"/>
            <w:tcBorders>
              <w:top w:val="nil"/>
              <w:left w:val="nil"/>
              <w:bottom w:val="single" w:sz="4" w:space="0" w:color="auto"/>
              <w:right w:val="single" w:sz="4" w:space="0" w:color="auto"/>
            </w:tcBorders>
            <w:shd w:val="clear" w:color="000000" w:fill="FFFFFF"/>
            <w:noWrap/>
            <w:vAlign w:val="bottom"/>
          </w:tcPr>
          <w:p w14:paraId="60FD6F9D" w14:textId="4B5BF64B"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025" w:type="dxa"/>
            <w:tcBorders>
              <w:top w:val="nil"/>
              <w:left w:val="nil"/>
              <w:bottom w:val="single" w:sz="4" w:space="0" w:color="auto"/>
              <w:right w:val="single" w:sz="4" w:space="0" w:color="auto"/>
            </w:tcBorders>
            <w:shd w:val="clear" w:color="000000" w:fill="FFFFFF"/>
            <w:noWrap/>
            <w:vAlign w:val="bottom"/>
          </w:tcPr>
          <w:p w14:paraId="75AFB4C5" w14:textId="0765DDE2"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70B6E87E" w14:textId="78B9ADF1"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15.716 </w:t>
            </w:r>
          </w:p>
        </w:tc>
      </w:tr>
      <w:tr w:rsidR="00DC096C" w:rsidRPr="0047095D" w14:paraId="2F442DAD" w14:textId="77777777" w:rsidTr="00A74911">
        <w:trPr>
          <w:trHeight w:val="282"/>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505C4139"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Inversión en subsidiarias, asociadas y negocios conjuntos</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7E3F14A6" w14:textId="21880D98"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5508288D" w14:textId="38380FCC"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350899FE" w14:textId="21270206"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2.688.675 </w:t>
            </w:r>
          </w:p>
        </w:tc>
        <w:tc>
          <w:tcPr>
            <w:tcW w:w="1065" w:type="dxa"/>
            <w:tcBorders>
              <w:top w:val="nil"/>
              <w:left w:val="nil"/>
              <w:bottom w:val="single" w:sz="4" w:space="0" w:color="auto"/>
              <w:right w:val="single" w:sz="4" w:space="0" w:color="auto"/>
            </w:tcBorders>
            <w:shd w:val="clear" w:color="000000" w:fill="FFFFFF"/>
            <w:noWrap/>
            <w:vAlign w:val="bottom"/>
          </w:tcPr>
          <w:p w14:paraId="260866EA" w14:textId="4984BC0F"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9.371 </w:t>
            </w:r>
          </w:p>
        </w:tc>
        <w:tc>
          <w:tcPr>
            <w:tcW w:w="1025" w:type="dxa"/>
            <w:tcBorders>
              <w:top w:val="nil"/>
              <w:left w:val="nil"/>
              <w:bottom w:val="single" w:sz="4" w:space="0" w:color="auto"/>
              <w:right w:val="single" w:sz="4" w:space="0" w:color="auto"/>
            </w:tcBorders>
            <w:shd w:val="clear" w:color="000000" w:fill="FFFFFF"/>
            <w:noWrap/>
            <w:vAlign w:val="bottom"/>
          </w:tcPr>
          <w:p w14:paraId="2B60D6FB" w14:textId="49EDB4F2"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-2.655.763 </w:t>
            </w:r>
          </w:p>
        </w:tc>
        <w:tc>
          <w:tcPr>
            <w:tcW w:w="1196" w:type="dxa"/>
            <w:tcBorders>
              <w:top w:val="nil"/>
              <w:left w:val="nil"/>
              <w:bottom w:val="single" w:sz="4" w:space="0" w:color="auto"/>
              <w:right w:val="single" w:sz="4" w:space="0" w:color="auto"/>
            </w:tcBorders>
            <w:shd w:val="clear" w:color="000000" w:fill="FFFFFF"/>
            <w:noWrap/>
            <w:vAlign w:val="bottom"/>
          </w:tcPr>
          <w:p w14:paraId="3D2428F6" w14:textId="3891B345"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42.283 </w:t>
            </w:r>
          </w:p>
        </w:tc>
      </w:tr>
      <w:tr w:rsidR="00DC096C" w:rsidRPr="0047095D" w14:paraId="5CD10FEF"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65990430"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Propiedad, planta y equipo</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3A428413" w14:textId="15341092"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24D19031" w14:textId="2263BF12"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16955FA0" w14:textId="5FEF1B2C"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3.995.591 </w:t>
            </w:r>
          </w:p>
        </w:tc>
        <w:tc>
          <w:tcPr>
            <w:tcW w:w="1065" w:type="dxa"/>
            <w:tcBorders>
              <w:top w:val="nil"/>
              <w:left w:val="nil"/>
              <w:bottom w:val="single" w:sz="4" w:space="0" w:color="auto"/>
              <w:right w:val="single" w:sz="4" w:space="0" w:color="auto"/>
            </w:tcBorders>
            <w:shd w:val="clear" w:color="000000" w:fill="FFFFFF"/>
            <w:noWrap/>
            <w:vAlign w:val="bottom"/>
          </w:tcPr>
          <w:p w14:paraId="7B823CF6" w14:textId="560C0987"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55.292 </w:t>
            </w:r>
          </w:p>
        </w:tc>
        <w:tc>
          <w:tcPr>
            <w:tcW w:w="1025" w:type="dxa"/>
            <w:tcBorders>
              <w:top w:val="nil"/>
              <w:left w:val="nil"/>
              <w:bottom w:val="single" w:sz="4" w:space="0" w:color="auto"/>
              <w:right w:val="single" w:sz="4" w:space="0" w:color="auto"/>
            </w:tcBorders>
            <w:shd w:val="clear" w:color="000000" w:fill="FFFFFF"/>
            <w:noWrap/>
            <w:vAlign w:val="bottom"/>
          </w:tcPr>
          <w:p w14:paraId="4E69A047" w14:textId="77777777"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4536A7D2" w14:textId="79BCF924"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4.050.883 </w:t>
            </w:r>
          </w:p>
        </w:tc>
      </w:tr>
      <w:tr w:rsidR="00DC096C" w:rsidRPr="0047095D" w14:paraId="059C1D70"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5B5D2C33"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Activos intangibles</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20757B58" w14:textId="06EA144C"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56099823" w14:textId="5558A9ED"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491E6742" w14:textId="22E93C2D"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1.245.733 </w:t>
            </w:r>
          </w:p>
        </w:tc>
        <w:tc>
          <w:tcPr>
            <w:tcW w:w="1065" w:type="dxa"/>
            <w:tcBorders>
              <w:top w:val="nil"/>
              <w:left w:val="nil"/>
              <w:bottom w:val="single" w:sz="4" w:space="0" w:color="auto"/>
              <w:right w:val="single" w:sz="4" w:space="0" w:color="auto"/>
            </w:tcBorders>
            <w:shd w:val="clear" w:color="000000" w:fill="FFFFFF"/>
            <w:noWrap/>
            <w:vAlign w:val="bottom"/>
          </w:tcPr>
          <w:p w14:paraId="2E6C2213" w14:textId="33548EFB"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95.165 </w:t>
            </w:r>
          </w:p>
        </w:tc>
        <w:tc>
          <w:tcPr>
            <w:tcW w:w="1025" w:type="dxa"/>
            <w:tcBorders>
              <w:top w:val="nil"/>
              <w:left w:val="nil"/>
              <w:bottom w:val="single" w:sz="4" w:space="0" w:color="auto"/>
              <w:right w:val="single" w:sz="4" w:space="0" w:color="auto"/>
            </w:tcBorders>
            <w:shd w:val="clear" w:color="000000" w:fill="FFFFFF"/>
            <w:noWrap/>
            <w:vAlign w:val="bottom"/>
          </w:tcPr>
          <w:p w14:paraId="0563F73E" w14:textId="77777777"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6710ABCF" w14:textId="0C5A8982"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1.340.898 </w:t>
            </w:r>
          </w:p>
        </w:tc>
      </w:tr>
      <w:tr w:rsidR="00DC096C" w:rsidRPr="0047095D" w14:paraId="7B041600" w14:textId="77777777" w:rsidTr="00A74911">
        <w:trPr>
          <w:trHeight w:val="24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5122011E"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Activos por impuesto a las ganancias diferido</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2091B4EA" w14:textId="22CB58F2"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56" w:type="dxa"/>
            <w:tcBorders>
              <w:top w:val="nil"/>
              <w:left w:val="nil"/>
              <w:bottom w:val="single" w:sz="4" w:space="0" w:color="auto"/>
              <w:right w:val="single" w:sz="4" w:space="0" w:color="auto"/>
            </w:tcBorders>
            <w:shd w:val="clear" w:color="000000" w:fill="FFFFFF"/>
            <w:noWrap/>
            <w:vAlign w:val="bottom"/>
          </w:tcPr>
          <w:p w14:paraId="10D646C2" w14:textId="5BD90DDC"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212" w:type="dxa"/>
            <w:tcBorders>
              <w:top w:val="nil"/>
              <w:left w:val="nil"/>
              <w:bottom w:val="single" w:sz="4" w:space="0" w:color="auto"/>
              <w:right w:val="single" w:sz="4" w:space="0" w:color="auto"/>
            </w:tcBorders>
            <w:shd w:val="clear" w:color="000000" w:fill="FFFFFF"/>
            <w:noWrap/>
            <w:vAlign w:val="bottom"/>
          </w:tcPr>
          <w:p w14:paraId="07653A7A" w14:textId="5763264E"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454.094 </w:t>
            </w:r>
          </w:p>
        </w:tc>
        <w:tc>
          <w:tcPr>
            <w:tcW w:w="1065" w:type="dxa"/>
            <w:tcBorders>
              <w:top w:val="nil"/>
              <w:left w:val="nil"/>
              <w:bottom w:val="single" w:sz="4" w:space="0" w:color="auto"/>
              <w:right w:val="single" w:sz="4" w:space="0" w:color="auto"/>
            </w:tcBorders>
            <w:shd w:val="clear" w:color="000000" w:fill="FFFFFF"/>
            <w:noWrap/>
            <w:vAlign w:val="bottom"/>
          </w:tcPr>
          <w:p w14:paraId="5180FE0F" w14:textId="40695324"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654.157 </w:t>
            </w:r>
          </w:p>
        </w:tc>
        <w:tc>
          <w:tcPr>
            <w:tcW w:w="1025" w:type="dxa"/>
            <w:tcBorders>
              <w:top w:val="nil"/>
              <w:left w:val="nil"/>
              <w:bottom w:val="single" w:sz="4" w:space="0" w:color="auto"/>
              <w:right w:val="single" w:sz="4" w:space="0" w:color="auto"/>
            </w:tcBorders>
            <w:shd w:val="clear" w:color="000000" w:fill="FFFFFF"/>
            <w:noWrap/>
            <w:vAlign w:val="bottom"/>
          </w:tcPr>
          <w:p w14:paraId="5C9F77F0" w14:textId="77777777"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6CC92101" w14:textId="4B90663A"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1.108.251 </w:t>
            </w:r>
          </w:p>
        </w:tc>
      </w:tr>
      <w:tr w:rsidR="00DC096C" w:rsidRPr="0047095D" w14:paraId="0D961B36" w14:textId="77777777" w:rsidTr="00A74911">
        <w:trPr>
          <w:trHeight w:val="214"/>
        </w:trPr>
        <w:tc>
          <w:tcPr>
            <w:tcW w:w="3341" w:type="dxa"/>
            <w:tcBorders>
              <w:top w:val="nil"/>
              <w:left w:val="single" w:sz="4" w:space="0" w:color="auto"/>
              <w:bottom w:val="single" w:sz="4" w:space="0" w:color="363639"/>
              <w:right w:val="single" w:sz="4" w:space="0" w:color="363639"/>
            </w:tcBorders>
            <w:shd w:val="clear" w:color="000000" w:fill="FFFFFF"/>
            <w:vAlign w:val="bottom"/>
          </w:tcPr>
          <w:p w14:paraId="66CCFAE7" w14:textId="77777777" w:rsidR="00DC096C" w:rsidRPr="00DC096C" w:rsidRDefault="00DC096C" w:rsidP="00DC096C">
            <w:pPr>
              <w:ind w:left="-70" w:firstLine="70"/>
              <w:rPr>
                <w:rFonts w:ascii="Arial" w:hAnsi="Arial" w:cs="Arial"/>
                <w:bCs/>
                <w:sz w:val="16"/>
                <w:szCs w:val="16"/>
                <w:lang w:eastAsia="es-AR"/>
              </w:rPr>
            </w:pPr>
            <w:r w:rsidRPr="00DC096C">
              <w:rPr>
                <w:rFonts w:ascii="Arial" w:hAnsi="Arial" w:cs="Arial"/>
                <w:sz w:val="16"/>
                <w:szCs w:val="16"/>
              </w:rPr>
              <w:t>Otros activos no financieros</w:t>
            </w:r>
          </w:p>
        </w:tc>
        <w:tc>
          <w:tcPr>
            <w:tcW w:w="1265" w:type="dxa"/>
            <w:tcBorders>
              <w:top w:val="nil"/>
              <w:left w:val="single" w:sz="4" w:space="0" w:color="auto"/>
              <w:bottom w:val="single" w:sz="4" w:space="0" w:color="auto"/>
              <w:right w:val="single" w:sz="4" w:space="0" w:color="auto"/>
            </w:tcBorders>
            <w:shd w:val="clear" w:color="000000" w:fill="FFFFFF"/>
            <w:noWrap/>
            <w:vAlign w:val="bottom"/>
          </w:tcPr>
          <w:p w14:paraId="60C26853" w14:textId="694B2B0A"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1.127.603 </w:t>
            </w:r>
          </w:p>
        </w:tc>
        <w:tc>
          <w:tcPr>
            <w:tcW w:w="1256" w:type="dxa"/>
            <w:tcBorders>
              <w:top w:val="nil"/>
              <w:left w:val="nil"/>
              <w:bottom w:val="single" w:sz="4" w:space="0" w:color="auto"/>
              <w:right w:val="single" w:sz="4" w:space="0" w:color="auto"/>
            </w:tcBorders>
            <w:shd w:val="clear" w:color="000000" w:fill="FFFFFF"/>
            <w:noWrap/>
            <w:vAlign w:val="bottom"/>
          </w:tcPr>
          <w:p w14:paraId="1D293463" w14:textId="535728B6"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1.635.254 </w:t>
            </w:r>
          </w:p>
        </w:tc>
        <w:tc>
          <w:tcPr>
            <w:tcW w:w="1212" w:type="dxa"/>
            <w:tcBorders>
              <w:top w:val="nil"/>
              <w:left w:val="nil"/>
              <w:bottom w:val="single" w:sz="4" w:space="0" w:color="auto"/>
              <w:right w:val="single" w:sz="4" w:space="0" w:color="auto"/>
            </w:tcBorders>
            <w:shd w:val="clear" w:color="000000" w:fill="FFFFFF"/>
            <w:noWrap/>
            <w:vAlign w:val="bottom"/>
          </w:tcPr>
          <w:p w14:paraId="50CB7396" w14:textId="0D3E34B7"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2.770.534 </w:t>
            </w:r>
          </w:p>
        </w:tc>
        <w:tc>
          <w:tcPr>
            <w:tcW w:w="1065" w:type="dxa"/>
            <w:tcBorders>
              <w:top w:val="nil"/>
              <w:left w:val="nil"/>
              <w:bottom w:val="single" w:sz="4" w:space="0" w:color="auto"/>
              <w:right w:val="single" w:sz="4" w:space="0" w:color="auto"/>
            </w:tcBorders>
            <w:shd w:val="clear" w:color="000000" w:fill="FFFFFF"/>
            <w:noWrap/>
            <w:vAlign w:val="bottom"/>
          </w:tcPr>
          <w:p w14:paraId="281E0F1F" w14:textId="0AB969C4"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59.322 </w:t>
            </w:r>
          </w:p>
        </w:tc>
        <w:tc>
          <w:tcPr>
            <w:tcW w:w="1025" w:type="dxa"/>
            <w:tcBorders>
              <w:top w:val="nil"/>
              <w:left w:val="nil"/>
              <w:bottom w:val="single" w:sz="4" w:space="0" w:color="auto"/>
              <w:right w:val="single" w:sz="4" w:space="0" w:color="auto"/>
            </w:tcBorders>
            <w:shd w:val="clear" w:color="000000" w:fill="FFFFFF"/>
            <w:noWrap/>
            <w:vAlign w:val="bottom"/>
          </w:tcPr>
          <w:p w14:paraId="2436D2A2" w14:textId="77777777" w:rsidR="00DC096C" w:rsidRPr="00753D34" w:rsidRDefault="00DC096C">
            <w:pPr>
              <w:ind w:left="-70" w:firstLine="70"/>
              <w:jc w:val="right"/>
              <w:rPr>
                <w:rFonts w:ascii="Arial" w:hAnsi="Arial" w:cs="Arial"/>
                <w:sz w:val="16"/>
                <w:szCs w:val="16"/>
              </w:rPr>
            </w:pPr>
            <w:r w:rsidRPr="00753D34">
              <w:rPr>
                <w:rFonts w:ascii="Arial" w:hAnsi="Arial" w:cs="Arial"/>
                <w:sz w:val="16"/>
                <w:szCs w:val="16"/>
              </w:rPr>
              <w:t xml:space="preserve"> -   </w:t>
            </w:r>
          </w:p>
        </w:tc>
        <w:tc>
          <w:tcPr>
            <w:tcW w:w="1196" w:type="dxa"/>
            <w:tcBorders>
              <w:top w:val="nil"/>
              <w:left w:val="nil"/>
              <w:bottom w:val="single" w:sz="4" w:space="0" w:color="auto"/>
              <w:right w:val="single" w:sz="4" w:space="0" w:color="auto"/>
            </w:tcBorders>
            <w:shd w:val="clear" w:color="000000" w:fill="FFFFFF"/>
            <w:noWrap/>
            <w:vAlign w:val="bottom"/>
          </w:tcPr>
          <w:p w14:paraId="663B576F" w14:textId="2FD0ACE6" w:rsidR="00DC096C" w:rsidRPr="002E1AF6" w:rsidRDefault="00DC096C">
            <w:pPr>
              <w:ind w:left="-70" w:firstLine="70"/>
              <w:jc w:val="right"/>
              <w:rPr>
                <w:rFonts w:ascii="Arial" w:hAnsi="Arial" w:cs="Arial"/>
                <w:sz w:val="16"/>
                <w:szCs w:val="16"/>
              </w:rPr>
            </w:pPr>
            <w:r w:rsidRPr="00753D34">
              <w:rPr>
                <w:rFonts w:ascii="Arial" w:hAnsi="Arial" w:cs="Arial"/>
                <w:sz w:val="16"/>
                <w:szCs w:val="16"/>
              </w:rPr>
              <w:t xml:space="preserve"> 5.592.713 </w:t>
            </w:r>
          </w:p>
        </w:tc>
      </w:tr>
      <w:tr w:rsidR="00DC096C" w:rsidRPr="0047095D" w14:paraId="642D3EEB" w14:textId="77777777" w:rsidTr="00A74911">
        <w:trPr>
          <w:trHeight w:val="214"/>
        </w:trPr>
        <w:tc>
          <w:tcPr>
            <w:tcW w:w="3341" w:type="dxa"/>
            <w:tcBorders>
              <w:top w:val="single" w:sz="4" w:space="0" w:color="auto"/>
              <w:left w:val="single" w:sz="4" w:space="0" w:color="auto"/>
              <w:bottom w:val="single" w:sz="4" w:space="0" w:color="auto"/>
              <w:right w:val="single" w:sz="4" w:space="0" w:color="363639"/>
            </w:tcBorders>
            <w:shd w:val="clear" w:color="000000" w:fill="FFFFFF"/>
            <w:vAlign w:val="bottom"/>
          </w:tcPr>
          <w:p w14:paraId="529EB0F2" w14:textId="77777777" w:rsidR="00DC096C" w:rsidRPr="00DC096C" w:rsidRDefault="00DC096C" w:rsidP="00DC096C">
            <w:pPr>
              <w:ind w:left="-70" w:firstLine="70"/>
              <w:rPr>
                <w:rFonts w:ascii="Arial" w:hAnsi="Arial" w:cs="Arial"/>
                <w:b/>
                <w:bCs/>
                <w:sz w:val="16"/>
                <w:szCs w:val="16"/>
                <w:lang w:eastAsia="es-AR"/>
              </w:rPr>
            </w:pPr>
            <w:r w:rsidRPr="00DC096C">
              <w:rPr>
                <w:rFonts w:ascii="Arial" w:hAnsi="Arial" w:cs="Arial"/>
                <w:b/>
                <w:sz w:val="16"/>
                <w:szCs w:val="16"/>
              </w:rPr>
              <w:t>TOTAL ACTIVO</w:t>
            </w:r>
          </w:p>
        </w:tc>
        <w:tc>
          <w:tcPr>
            <w:tcW w:w="126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F714F3" w14:textId="35E22CC7" w:rsidR="00DC096C" w:rsidRPr="00BA7A6B" w:rsidRDefault="00DC096C">
            <w:pPr>
              <w:ind w:left="-70" w:firstLine="70"/>
              <w:jc w:val="right"/>
              <w:rPr>
                <w:rFonts w:ascii="Arial" w:hAnsi="Arial" w:cs="Arial"/>
                <w:b/>
                <w:sz w:val="16"/>
                <w:szCs w:val="16"/>
              </w:rPr>
            </w:pPr>
            <w:r w:rsidRPr="00BA7A6B">
              <w:rPr>
                <w:rFonts w:ascii="Arial" w:hAnsi="Arial" w:cs="Arial"/>
                <w:b/>
                <w:sz w:val="16"/>
                <w:szCs w:val="16"/>
              </w:rPr>
              <w:t xml:space="preserve"> 43.848.846 </w:t>
            </w:r>
          </w:p>
        </w:tc>
        <w:tc>
          <w:tcPr>
            <w:tcW w:w="1256" w:type="dxa"/>
            <w:tcBorders>
              <w:top w:val="single" w:sz="4" w:space="0" w:color="auto"/>
              <w:left w:val="nil"/>
              <w:bottom w:val="single" w:sz="4" w:space="0" w:color="auto"/>
              <w:right w:val="single" w:sz="4" w:space="0" w:color="auto"/>
            </w:tcBorders>
            <w:shd w:val="clear" w:color="000000" w:fill="FFFFFF"/>
            <w:noWrap/>
            <w:vAlign w:val="bottom"/>
          </w:tcPr>
          <w:p w14:paraId="1DEB6A5F" w14:textId="6FBB81FA" w:rsidR="00DC096C" w:rsidRPr="00BA7A6B" w:rsidRDefault="00DC096C">
            <w:pPr>
              <w:ind w:left="-70" w:firstLine="70"/>
              <w:jc w:val="right"/>
              <w:rPr>
                <w:rFonts w:ascii="Arial" w:hAnsi="Arial" w:cs="Arial"/>
                <w:b/>
                <w:sz w:val="16"/>
                <w:szCs w:val="16"/>
              </w:rPr>
            </w:pPr>
            <w:r w:rsidRPr="00BA7A6B">
              <w:rPr>
                <w:rFonts w:ascii="Arial" w:hAnsi="Arial" w:cs="Arial"/>
                <w:b/>
                <w:sz w:val="16"/>
                <w:szCs w:val="16"/>
              </w:rPr>
              <w:t xml:space="preserve"> 56.050.221 </w:t>
            </w:r>
          </w:p>
        </w:tc>
        <w:tc>
          <w:tcPr>
            <w:tcW w:w="1212" w:type="dxa"/>
            <w:tcBorders>
              <w:top w:val="single" w:sz="4" w:space="0" w:color="auto"/>
              <w:left w:val="nil"/>
              <w:bottom w:val="single" w:sz="4" w:space="0" w:color="auto"/>
              <w:right w:val="single" w:sz="4" w:space="0" w:color="auto"/>
            </w:tcBorders>
            <w:shd w:val="clear" w:color="000000" w:fill="FFFFFF"/>
            <w:noWrap/>
            <w:vAlign w:val="bottom"/>
          </w:tcPr>
          <w:p w14:paraId="6B5C8BE9" w14:textId="5FFB4D83" w:rsidR="00DC096C" w:rsidRPr="00BA7A6B" w:rsidRDefault="00DC096C">
            <w:pPr>
              <w:ind w:left="-70" w:firstLine="70"/>
              <w:jc w:val="right"/>
              <w:rPr>
                <w:rFonts w:ascii="Arial" w:hAnsi="Arial" w:cs="Arial"/>
                <w:b/>
                <w:sz w:val="16"/>
                <w:szCs w:val="16"/>
              </w:rPr>
            </w:pPr>
            <w:r w:rsidRPr="00BA7A6B">
              <w:rPr>
                <w:rFonts w:ascii="Arial" w:hAnsi="Arial" w:cs="Arial"/>
                <w:b/>
                <w:sz w:val="16"/>
                <w:szCs w:val="16"/>
              </w:rPr>
              <w:t xml:space="preserve"> 50.725.627 </w:t>
            </w:r>
          </w:p>
        </w:tc>
        <w:tc>
          <w:tcPr>
            <w:tcW w:w="1065" w:type="dxa"/>
            <w:tcBorders>
              <w:top w:val="single" w:sz="4" w:space="0" w:color="auto"/>
              <w:left w:val="nil"/>
              <w:bottom w:val="single" w:sz="4" w:space="0" w:color="auto"/>
              <w:right w:val="single" w:sz="4" w:space="0" w:color="auto"/>
            </w:tcBorders>
            <w:shd w:val="clear" w:color="000000" w:fill="FFFFFF"/>
            <w:noWrap/>
            <w:vAlign w:val="bottom"/>
          </w:tcPr>
          <w:p w14:paraId="58705BD6" w14:textId="6557379D" w:rsidR="00DC096C" w:rsidRPr="00BA7A6B" w:rsidRDefault="00DC096C">
            <w:pPr>
              <w:ind w:left="-70" w:firstLine="70"/>
              <w:jc w:val="right"/>
              <w:rPr>
                <w:rFonts w:ascii="Arial" w:hAnsi="Arial" w:cs="Arial"/>
                <w:b/>
                <w:sz w:val="16"/>
                <w:szCs w:val="16"/>
              </w:rPr>
            </w:pPr>
            <w:r w:rsidRPr="00BA7A6B">
              <w:rPr>
                <w:rFonts w:ascii="Arial" w:hAnsi="Arial" w:cs="Arial"/>
                <w:b/>
                <w:sz w:val="16"/>
                <w:szCs w:val="16"/>
              </w:rPr>
              <w:t xml:space="preserve"> 8.519.871 </w:t>
            </w:r>
          </w:p>
        </w:tc>
        <w:tc>
          <w:tcPr>
            <w:tcW w:w="1025" w:type="dxa"/>
            <w:tcBorders>
              <w:top w:val="single" w:sz="4" w:space="0" w:color="auto"/>
              <w:left w:val="nil"/>
              <w:bottom w:val="single" w:sz="4" w:space="0" w:color="auto"/>
              <w:right w:val="single" w:sz="4" w:space="0" w:color="auto"/>
            </w:tcBorders>
            <w:shd w:val="clear" w:color="000000" w:fill="FFFFFF"/>
            <w:noWrap/>
            <w:vAlign w:val="bottom"/>
          </w:tcPr>
          <w:p w14:paraId="697FF3B0" w14:textId="49134595" w:rsidR="00DC096C" w:rsidRPr="00BA7A6B" w:rsidRDefault="00DC096C">
            <w:pPr>
              <w:ind w:left="-70" w:firstLine="70"/>
              <w:jc w:val="right"/>
              <w:rPr>
                <w:rFonts w:ascii="Arial" w:hAnsi="Arial" w:cs="Arial"/>
                <w:b/>
                <w:sz w:val="16"/>
                <w:szCs w:val="16"/>
              </w:rPr>
            </w:pPr>
            <w:r w:rsidRPr="00BA7A6B">
              <w:rPr>
                <w:rFonts w:ascii="Arial" w:hAnsi="Arial" w:cs="Arial"/>
                <w:b/>
                <w:sz w:val="16"/>
                <w:szCs w:val="16"/>
              </w:rPr>
              <w:t>-5.000.268</w:t>
            </w:r>
          </w:p>
        </w:tc>
        <w:tc>
          <w:tcPr>
            <w:tcW w:w="1196" w:type="dxa"/>
            <w:tcBorders>
              <w:top w:val="single" w:sz="4" w:space="0" w:color="auto"/>
              <w:left w:val="nil"/>
              <w:bottom w:val="single" w:sz="4" w:space="0" w:color="auto"/>
              <w:right w:val="single" w:sz="4" w:space="0" w:color="auto"/>
            </w:tcBorders>
            <w:shd w:val="clear" w:color="000000" w:fill="FFFFFF"/>
            <w:noWrap/>
            <w:vAlign w:val="bottom"/>
          </w:tcPr>
          <w:p w14:paraId="6CB483B2" w14:textId="466D3922" w:rsidR="00DC096C" w:rsidRPr="00DC096C" w:rsidRDefault="00DC096C">
            <w:pPr>
              <w:ind w:left="-70" w:firstLine="70"/>
              <w:jc w:val="right"/>
              <w:rPr>
                <w:rFonts w:ascii="Arial" w:hAnsi="Arial" w:cs="Arial"/>
                <w:b/>
                <w:sz w:val="16"/>
                <w:szCs w:val="16"/>
              </w:rPr>
            </w:pPr>
            <w:r w:rsidRPr="00DC096C">
              <w:rPr>
                <w:rFonts w:ascii="Arial" w:hAnsi="Arial" w:cs="Arial"/>
                <w:b/>
                <w:sz w:val="16"/>
                <w:szCs w:val="16"/>
              </w:rPr>
              <w:t>154.144.297</w:t>
            </w:r>
          </w:p>
        </w:tc>
      </w:tr>
    </w:tbl>
    <w:p w14:paraId="36D3B5EE" w14:textId="77777777" w:rsidR="008B3E2E" w:rsidRPr="00701F32" w:rsidRDefault="008B3E2E" w:rsidP="008B3E2E">
      <w:pPr>
        <w:spacing w:after="160" w:line="259" w:lineRule="auto"/>
        <w:jc w:val="both"/>
        <w:rPr>
          <w:rFonts w:ascii="Arial" w:eastAsia="Calibri" w:hAnsi="Arial" w:cs="Arial"/>
          <w:bCs/>
          <w:sz w:val="20"/>
        </w:rPr>
      </w:pPr>
    </w:p>
    <w:tbl>
      <w:tblPr>
        <w:tblW w:w="10209" w:type="dxa"/>
        <w:tblInd w:w="-356" w:type="dxa"/>
        <w:tblCellMar>
          <w:left w:w="70" w:type="dxa"/>
          <w:right w:w="70" w:type="dxa"/>
        </w:tblCellMar>
        <w:tblLook w:val="04A0" w:firstRow="1" w:lastRow="0" w:firstColumn="1" w:lastColumn="0" w:noHBand="0" w:noVBand="1"/>
      </w:tblPr>
      <w:tblGrid>
        <w:gridCol w:w="3242"/>
        <w:gridCol w:w="1306"/>
        <w:gridCol w:w="1106"/>
        <w:gridCol w:w="1243"/>
        <w:gridCol w:w="1105"/>
        <w:gridCol w:w="966"/>
        <w:gridCol w:w="1241"/>
      </w:tblGrid>
      <w:tr w:rsidR="008B3E2E" w:rsidRPr="00701F32" w14:paraId="59A6B966" w14:textId="77777777" w:rsidTr="00F349AC">
        <w:trPr>
          <w:trHeight w:val="441"/>
          <w:tblHeader/>
        </w:trPr>
        <w:tc>
          <w:tcPr>
            <w:tcW w:w="32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74F43" w14:textId="58DEFBA3" w:rsidR="008B3E2E" w:rsidRPr="007E4E18" w:rsidRDefault="008B3E2E" w:rsidP="00F349AC">
            <w:pPr>
              <w:jc w:val="center"/>
              <w:rPr>
                <w:rFonts w:ascii="Arial" w:hAnsi="Arial" w:cs="Arial"/>
                <w:b/>
                <w:bCs/>
                <w:sz w:val="16"/>
                <w:szCs w:val="16"/>
                <w:lang w:eastAsia="es-AR"/>
              </w:rPr>
            </w:pPr>
            <w:r w:rsidRPr="007E4E18">
              <w:rPr>
                <w:rFonts w:ascii="Arial" w:hAnsi="Arial" w:cs="Arial"/>
                <w:b/>
                <w:bCs/>
                <w:sz w:val="16"/>
                <w:szCs w:val="16"/>
                <w:lang w:eastAsia="es-AR"/>
              </w:rPr>
              <w:t>PASIVO al 31</w:t>
            </w:r>
            <w:r w:rsidR="00DC096C">
              <w:rPr>
                <w:rFonts w:ascii="Arial" w:hAnsi="Arial" w:cs="Arial"/>
                <w:b/>
                <w:bCs/>
                <w:sz w:val="16"/>
                <w:szCs w:val="16"/>
                <w:lang w:eastAsia="es-AR"/>
              </w:rPr>
              <w:t>/12/2019</w:t>
            </w:r>
          </w:p>
        </w:tc>
        <w:tc>
          <w:tcPr>
            <w:tcW w:w="1306" w:type="dxa"/>
            <w:tcBorders>
              <w:top w:val="single" w:sz="4" w:space="0" w:color="auto"/>
              <w:left w:val="nil"/>
              <w:bottom w:val="single" w:sz="4" w:space="0" w:color="auto"/>
              <w:right w:val="single" w:sz="4" w:space="0" w:color="auto"/>
            </w:tcBorders>
            <w:shd w:val="clear" w:color="auto" w:fill="auto"/>
            <w:hideMark/>
          </w:tcPr>
          <w:p w14:paraId="14A8BB72" w14:textId="77777777" w:rsidR="008B3E2E" w:rsidRPr="007E4E18" w:rsidRDefault="008B3E2E" w:rsidP="00F349AC">
            <w:pPr>
              <w:jc w:val="center"/>
              <w:rPr>
                <w:rFonts w:ascii="Arial" w:hAnsi="Arial" w:cs="Arial"/>
                <w:b/>
                <w:bCs/>
                <w:color w:val="000000"/>
                <w:sz w:val="16"/>
                <w:szCs w:val="16"/>
                <w:lang w:eastAsia="es-AR"/>
              </w:rPr>
            </w:pPr>
            <w:r w:rsidRPr="00BD4914">
              <w:rPr>
                <w:rFonts w:ascii="Arial" w:hAnsi="Arial" w:cs="Arial"/>
                <w:b/>
                <w:bCs/>
                <w:color w:val="000000"/>
                <w:sz w:val="16"/>
                <w:szCs w:val="16"/>
                <w:lang w:eastAsia="es-AR"/>
              </w:rPr>
              <w:t xml:space="preserve">Banca Corporativa </w:t>
            </w:r>
          </w:p>
        </w:tc>
        <w:tc>
          <w:tcPr>
            <w:tcW w:w="1106" w:type="dxa"/>
            <w:tcBorders>
              <w:top w:val="single" w:sz="4" w:space="0" w:color="auto"/>
              <w:left w:val="nil"/>
              <w:bottom w:val="single" w:sz="4" w:space="0" w:color="auto"/>
              <w:right w:val="single" w:sz="4" w:space="0" w:color="auto"/>
            </w:tcBorders>
            <w:shd w:val="clear" w:color="auto" w:fill="auto"/>
            <w:hideMark/>
          </w:tcPr>
          <w:p w14:paraId="282BD2DE" w14:textId="77777777" w:rsidR="008B3E2E" w:rsidRPr="007E4E18" w:rsidRDefault="008B3E2E" w:rsidP="00F349AC">
            <w:pPr>
              <w:jc w:val="center"/>
              <w:rPr>
                <w:rFonts w:ascii="Arial" w:hAnsi="Arial" w:cs="Arial"/>
                <w:b/>
                <w:bCs/>
                <w:color w:val="000000"/>
                <w:sz w:val="16"/>
                <w:szCs w:val="16"/>
                <w:lang w:eastAsia="es-AR"/>
              </w:rPr>
            </w:pPr>
            <w:r w:rsidRPr="00BD4914">
              <w:rPr>
                <w:rFonts w:ascii="Arial" w:hAnsi="Arial" w:cs="Arial"/>
                <w:b/>
                <w:bCs/>
                <w:color w:val="000000"/>
                <w:sz w:val="16"/>
                <w:szCs w:val="16"/>
                <w:lang w:eastAsia="es-AR"/>
              </w:rPr>
              <w:t xml:space="preserve">Banca </w:t>
            </w:r>
            <w:r>
              <w:rPr>
                <w:rFonts w:ascii="Arial" w:hAnsi="Arial" w:cs="Arial"/>
                <w:b/>
                <w:bCs/>
                <w:color w:val="000000"/>
                <w:sz w:val="16"/>
                <w:szCs w:val="16"/>
                <w:lang w:eastAsia="es-AR"/>
              </w:rPr>
              <w:t>Personas y Negocios</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344548F2" w14:textId="77777777" w:rsidR="008B3E2E" w:rsidRPr="007E4E18" w:rsidRDefault="008B3E2E"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Tesorería </w:t>
            </w:r>
          </w:p>
        </w:tc>
        <w:tc>
          <w:tcPr>
            <w:tcW w:w="1105" w:type="dxa"/>
            <w:tcBorders>
              <w:top w:val="single" w:sz="4" w:space="0" w:color="auto"/>
              <w:left w:val="nil"/>
              <w:bottom w:val="single" w:sz="4" w:space="0" w:color="auto"/>
              <w:right w:val="single" w:sz="4" w:space="0" w:color="auto"/>
            </w:tcBorders>
            <w:shd w:val="clear" w:color="auto" w:fill="auto"/>
            <w:vAlign w:val="center"/>
            <w:hideMark/>
          </w:tcPr>
          <w:p w14:paraId="610C2B87" w14:textId="77777777" w:rsidR="008B3E2E" w:rsidRPr="007E4E18" w:rsidRDefault="008B3E2E"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Consumo </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2AEEBC0D" w14:textId="77777777" w:rsidR="008B3E2E" w:rsidRPr="007E4E18" w:rsidRDefault="008B3E2E"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Ajustes </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23B108AE" w14:textId="77777777" w:rsidR="008B3E2E" w:rsidRPr="007E4E18" w:rsidRDefault="008B3E2E"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TOTAL </w:t>
            </w:r>
          </w:p>
        </w:tc>
      </w:tr>
      <w:tr w:rsidR="00DC096C" w:rsidRPr="009203E4" w14:paraId="1A577E34"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6C23751D" w14:textId="77777777" w:rsidR="00DC096C" w:rsidRPr="003E014F" w:rsidRDefault="00DC096C" w:rsidP="00DC096C">
            <w:pPr>
              <w:rPr>
                <w:rFonts w:ascii="Arial" w:hAnsi="Arial" w:cs="Arial"/>
                <w:b/>
                <w:bCs/>
                <w:sz w:val="16"/>
                <w:szCs w:val="16"/>
                <w:lang w:eastAsia="es-AR"/>
              </w:rPr>
            </w:pPr>
            <w:r w:rsidRPr="003E014F">
              <w:rPr>
                <w:rFonts w:ascii="Arial" w:hAnsi="Arial" w:cs="Arial"/>
                <w:sz w:val="16"/>
                <w:szCs w:val="16"/>
              </w:rPr>
              <w:t>Depósitos</w:t>
            </w:r>
          </w:p>
        </w:tc>
        <w:tc>
          <w:tcPr>
            <w:tcW w:w="1306" w:type="dxa"/>
            <w:tcBorders>
              <w:top w:val="nil"/>
              <w:left w:val="nil"/>
              <w:bottom w:val="single" w:sz="4" w:space="0" w:color="auto"/>
              <w:right w:val="single" w:sz="4" w:space="0" w:color="auto"/>
            </w:tcBorders>
            <w:shd w:val="clear" w:color="auto" w:fill="auto"/>
            <w:noWrap/>
            <w:vAlign w:val="bottom"/>
          </w:tcPr>
          <w:p w14:paraId="2750CB6E" w14:textId="03B07FAF" w:rsidR="00DC096C" w:rsidRPr="00DC096C" w:rsidRDefault="00DC096C">
            <w:pPr>
              <w:jc w:val="right"/>
              <w:rPr>
                <w:rFonts w:ascii="Arial" w:hAnsi="Arial" w:cs="Arial"/>
                <w:b/>
                <w:sz w:val="16"/>
                <w:szCs w:val="16"/>
              </w:rPr>
            </w:pPr>
            <w:r w:rsidRPr="00BA7A6B">
              <w:rPr>
                <w:rFonts w:ascii="Arial" w:hAnsi="Arial" w:cs="Arial"/>
                <w:sz w:val="16"/>
                <w:szCs w:val="16"/>
              </w:rPr>
              <w:t xml:space="preserve"> -11.466.926 </w:t>
            </w:r>
          </w:p>
        </w:tc>
        <w:tc>
          <w:tcPr>
            <w:tcW w:w="1106" w:type="dxa"/>
            <w:tcBorders>
              <w:top w:val="nil"/>
              <w:left w:val="nil"/>
              <w:bottom w:val="single" w:sz="4" w:space="0" w:color="auto"/>
              <w:right w:val="single" w:sz="4" w:space="0" w:color="auto"/>
            </w:tcBorders>
            <w:shd w:val="clear" w:color="auto" w:fill="auto"/>
            <w:noWrap/>
            <w:vAlign w:val="bottom"/>
          </w:tcPr>
          <w:p w14:paraId="6198F208" w14:textId="350AC523" w:rsidR="00DC096C" w:rsidRPr="00DC096C" w:rsidRDefault="00DC096C">
            <w:pPr>
              <w:jc w:val="right"/>
              <w:rPr>
                <w:rFonts w:ascii="Arial" w:hAnsi="Arial" w:cs="Arial"/>
                <w:b/>
                <w:sz w:val="16"/>
                <w:szCs w:val="16"/>
              </w:rPr>
            </w:pPr>
            <w:r w:rsidRPr="00BA7A6B">
              <w:rPr>
                <w:rFonts w:ascii="Arial" w:hAnsi="Arial" w:cs="Arial"/>
                <w:sz w:val="16"/>
                <w:szCs w:val="16"/>
              </w:rPr>
              <w:t xml:space="preserve"> -68.370.274 </w:t>
            </w:r>
          </w:p>
        </w:tc>
        <w:tc>
          <w:tcPr>
            <w:tcW w:w="1243" w:type="dxa"/>
            <w:tcBorders>
              <w:top w:val="nil"/>
              <w:left w:val="nil"/>
              <w:bottom w:val="single" w:sz="4" w:space="0" w:color="auto"/>
              <w:right w:val="single" w:sz="4" w:space="0" w:color="auto"/>
            </w:tcBorders>
            <w:shd w:val="clear" w:color="auto" w:fill="auto"/>
            <w:noWrap/>
            <w:vAlign w:val="bottom"/>
          </w:tcPr>
          <w:p w14:paraId="438A0A27" w14:textId="3036ABC8" w:rsidR="00DC096C" w:rsidRPr="00DC096C" w:rsidRDefault="00DC096C">
            <w:pPr>
              <w:jc w:val="right"/>
              <w:rPr>
                <w:rFonts w:ascii="Arial" w:hAnsi="Arial" w:cs="Arial"/>
                <w:b/>
                <w:sz w:val="16"/>
                <w:szCs w:val="16"/>
              </w:rPr>
            </w:pPr>
            <w:r w:rsidRPr="00BA7A6B">
              <w:rPr>
                <w:rFonts w:ascii="Arial" w:hAnsi="Arial" w:cs="Arial"/>
                <w:sz w:val="16"/>
                <w:szCs w:val="16"/>
              </w:rPr>
              <w:t xml:space="preserve"> -16.899.360 </w:t>
            </w:r>
          </w:p>
        </w:tc>
        <w:tc>
          <w:tcPr>
            <w:tcW w:w="1105" w:type="dxa"/>
            <w:tcBorders>
              <w:top w:val="nil"/>
              <w:left w:val="nil"/>
              <w:bottom w:val="single" w:sz="4" w:space="0" w:color="auto"/>
              <w:right w:val="single" w:sz="4" w:space="0" w:color="auto"/>
            </w:tcBorders>
            <w:shd w:val="clear" w:color="auto" w:fill="auto"/>
            <w:noWrap/>
            <w:vAlign w:val="bottom"/>
          </w:tcPr>
          <w:p w14:paraId="21B44D91" w14:textId="1FE5F3BE" w:rsidR="00DC096C" w:rsidRPr="00DC096C" w:rsidRDefault="00DC096C">
            <w:pPr>
              <w:jc w:val="right"/>
              <w:rPr>
                <w:rFonts w:ascii="Arial" w:hAnsi="Arial" w:cs="Arial"/>
                <w:b/>
                <w:sz w:val="16"/>
                <w:szCs w:val="16"/>
              </w:rPr>
            </w:pPr>
            <w:r w:rsidRPr="00BA7A6B">
              <w:rPr>
                <w:rFonts w:ascii="Arial" w:hAnsi="Arial" w:cs="Arial"/>
                <w:sz w:val="16"/>
                <w:szCs w:val="16"/>
              </w:rPr>
              <w:t xml:space="preserve"> -1.895.966 </w:t>
            </w:r>
          </w:p>
        </w:tc>
        <w:tc>
          <w:tcPr>
            <w:tcW w:w="966" w:type="dxa"/>
            <w:tcBorders>
              <w:top w:val="nil"/>
              <w:left w:val="nil"/>
              <w:bottom w:val="single" w:sz="4" w:space="0" w:color="auto"/>
              <w:right w:val="single" w:sz="4" w:space="0" w:color="auto"/>
            </w:tcBorders>
            <w:shd w:val="clear" w:color="auto" w:fill="auto"/>
            <w:noWrap/>
            <w:vAlign w:val="bottom"/>
          </w:tcPr>
          <w:p w14:paraId="1D106D86" w14:textId="2124FBD4" w:rsidR="00DC096C" w:rsidRPr="00DC096C" w:rsidRDefault="00DC096C">
            <w:pPr>
              <w:jc w:val="right"/>
              <w:rPr>
                <w:rFonts w:ascii="Arial" w:hAnsi="Arial" w:cs="Arial"/>
                <w:b/>
                <w:sz w:val="16"/>
                <w:szCs w:val="16"/>
              </w:rPr>
            </w:pPr>
            <w:r w:rsidRPr="00BA7A6B">
              <w:rPr>
                <w:rFonts w:ascii="Arial" w:hAnsi="Arial" w:cs="Arial"/>
                <w:sz w:val="16"/>
                <w:szCs w:val="16"/>
              </w:rPr>
              <w:t xml:space="preserve">19.817 </w:t>
            </w:r>
          </w:p>
        </w:tc>
        <w:tc>
          <w:tcPr>
            <w:tcW w:w="1241" w:type="dxa"/>
            <w:tcBorders>
              <w:top w:val="nil"/>
              <w:left w:val="nil"/>
              <w:bottom w:val="single" w:sz="4" w:space="0" w:color="auto"/>
              <w:right w:val="single" w:sz="4" w:space="0" w:color="auto"/>
            </w:tcBorders>
            <w:shd w:val="clear" w:color="auto" w:fill="auto"/>
            <w:noWrap/>
            <w:vAlign w:val="bottom"/>
          </w:tcPr>
          <w:p w14:paraId="1A4669DA" w14:textId="759D948D" w:rsidR="00DC096C" w:rsidRPr="00DC096C" w:rsidRDefault="00DC096C">
            <w:pPr>
              <w:jc w:val="right"/>
              <w:rPr>
                <w:rFonts w:ascii="Arial" w:hAnsi="Arial" w:cs="Arial"/>
                <w:b/>
                <w:sz w:val="16"/>
                <w:szCs w:val="16"/>
              </w:rPr>
            </w:pPr>
            <w:r w:rsidRPr="00BA7A6B">
              <w:rPr>
                <w:rFonts w:ascii="Arial" w:hAnsi="Arial" w:cs="Arial"/>
                <w:sz w:val="16"/>
                <w:szCs w:val="16"/>
              </w:rPr>
              <w:t>-98.612.709</w:t>
            </w:r>
          </w:p>
        </w:tc>
      </w:tr>
      <w:tr w:rsidR="00DC096C" w:rsidRPr="007E4E18" w14:paraId="7E7C2C5A" w14:textId="77777777" w:rsidTr="00BA7A6B">
        <w:trPr>
          <w:trHeight w:val="29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29915899" w14:textId="77777777" w:rsidR="00DC096C" w:rsidRPr="007E4E18" w:rsidRDefault="00DC096C" w:rsidP="00DC096C">
            <w:pPr>
              <w:rPr>
                <w:rFonts w:ascii="Arial" w:hAnsi="Arial" w:cs="Arial"/>
                <w:color w:val="000000"/>
                <w:sz w:val="16"/>
                <w:szCs w:val="16"/>
                <w:lang w:eastAsia="es-AR"/>
              </w:rPr>
            </w:pPr>
            <w:r w:rsidRPr="003E014F">
              <w:rPr>
                <w:rFonts w:ascii="Arial" w:hAnsi="Arial" w:cs="Arial"/>
                <w:sz w:val="16"/>
                <w:szCs w:val="16"/>
              </w:rPr>
              <w:t xml:space="preserve">   </w:t>
            </w:r>
            <w:r w:rsidRPr="007E4E18">
              <w:rPr>
                <w:rFonts w:ascii="Arial" w:hAnsi="Arial" w:cs="Arial"/>
                <w:sz w:val="16"/>
                <w:szCs w:val="16"/>
              </w:rPr>
              <w:t>Sector público no financiero</w:t>
            </w:r>
          </w:p>
        </w:tc>
        <w:tc>
          <w:tcPr>
            <w:tcW w:w="1306" w:type="dxa"/>
            <w:tcBorders>
              <w:top w:val="nil"/>
              <w:left w:val="nil"/>
              <w:bottom w:val="single" w:sz="4" w:space="0" w:color="auto"/>
              <w:right w:val="single" w:sz="4" w:space="0" w:color="auto"/>
            </w:tcBorders>
            <w:shd w:val="clear" w:color="auto" w:fill="auto"/>
            <w:noWrap/>
            <w:vAlign w:val="bottom"/>
          </w:tcPr>
          <w:p w14:paraId="4800B8E7" w14:textId="36C2D6CE" w:rsidR="00DC096C" w:rsidRPr="00DC096C" w:rsidRDefault="00DC096C">
            <w:pPr>
              <w:jc w:val="right"/>
              <w:rPr>
                <w:rFonts w:ascii="Arial" w:hAnsi="Arial" w:cs="Arial"/>
                <w:sz w:val="16"/>
                <w:szCs w:val="16"/>
              </w:rPr>
            </w:pPr>
            <w:r w:rsidRPr="00BA7A6B">
              <w:rPr>
                <w:rFonts w:ascii="Arial" w:hAnsi="Arial" w:cs="Arial"/>
                <w:sz w:val="16"/>
                <w:szCs w:val="16"/>
              </w:rPr>
              <w:t xml:space="preserve"> -7.527 </w:t>
            </w:r>
          </w:p>
        </w:tc>
        <w:tc>
          <w:tcPr>
            <w:tcW w:w="1106" w:type="dxa"/>
            <w:tcBorders>
              <w:top w:val="nil"/>
              <w:left w:val="nil"/>
              <w:bottom w:val="single" w:sz="4" w:space="0" w:color="auto"/>
              <w:right w:val="single" w:sz="4" w:space="0" w:color="auto"/>
            </w:tcBorders>
            <w:shd w:val="clear" w:color="auto" w:fill="auto"/>
            <w:noWrap/>
            <w:vAlign w:val="bottom"/>
          </w:tcPr>
          <w:p w14:paraId="5EC24F28" w14:textId="773CA8EF" w:rsidR="00DC096C" w:rsidRPr="00DC096C" w:rsidRDefault="00DC096C">
            <w:pPr>
              <w:jc w:val="right"/>
              <w:rPr>
                <w:rFonts w:ascii="Arial" w:hAnsi="Arial" w:cs="Arial"/>
                <w:sz w:val="16"/>
                <w:szCs w:val="16"/>
              </w:rPr>
            </w:pPr>
            <w:r w:rsidRPr="00BA7A6B">
              <w:rPr>
                <w:rFonts w:ascii="Arial" w:hAnsi="Arial" w:cs="Arial"/>
                <w:sz w:val="16"/>
                <w:szCs w:val="16"/>
              </w:rPr>
              <w:t xml:space="preserve"> -1.388.704 </w:t>
            </w:r>
          </w:p>
        </w:tc>
        <w:tc>
          <w:tcPr>
            <w:tcW w:w="1243" w:type="dxa"/>
            <w:tcBorders>
              <w:top w:val="nil"/>
              <w:left w:val="nil"/>
              <w:bottom w:val="single" w:sz="4" w:space="0" w:color="auto"/>
              <w:right w:val="single" w:sz="4" w:space="0" w:color="auto"/>
            </w:tcBorders>
            <w:shd w:val="clear" w:color="auto" w:fill="auto"/>
            <w:noWrap/>
            <w:vAlign w:val="bottom"/>
          </w:tcPr>
          <w:p w14:paraId="5F63982E" w14:textId="75786154" w:rsidR="00DC096C" w:rsidRPr="00DC096C" w:rsidRDefault="00DC096C">
            <w:pPr>
              <w:jc w:val="right"/>
              <w:rPr>
                <w:rFonts w:ascii="Arial" w:hAnsi="Arial" w:cs="Arial"/>
                <w:sz w:val="16"/>
                <w:szCs w:val="16"/>
              </w:rPr>
            </w:pPr>
            <w:r w:rsidRPr="00BA7A6B">
              <w:rPr>
                <w:rFonts w:ascii="Arial" w:hAnsi="Arial" w:cs="Arial"/>
                <w:sz w:val="16"/>
                <w:szCs w:val="16"/>
              </w:rPr>
              <w:t xml:space="preserve"> -4.500.620 </w:t>
            </w:r>
          </w:p>
        </w:tc>
        <w:tc>
          <w:tcPr>
            <w:tcW w:w="1105" w:type="dxa"/>
            <w:tcBorders>
              <w:top w:val="nil"/>
              <w:left w:val="nil"/>
              <w:bottom w:val="single" w:sz="4" w:space="0" w:color="auto"/>
              <w:right w:val="single" w:sz="4" w:space="0" w:color="auto"/>
            </w:tcBorders>
            <w:shd w:val="clear" w:color="auto" w:fill="auto"/>
            <w:noWrap/>
            <w:vAlign w:val="bottom"/>
          </w:tcPr>
          <w:p w14:paraId="0AD21713" w14:textId="367AB264"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966" w:type="dxa"/>
            <w:tcBorders>
              <w:top w:val="nil"/>
              <w:left w:val="nil"/>
              <w:bottom w:val="single" w:sz="4" w:space="0" w:color="auto"/>
              <w:right w:val="single" w:sz="4" w:space="0" w:color="auto"/>
            </w:tcBorders>
            <w:shd w:val="clear" w:color="auto" w:fill="auto"/>
            <w:noWrap/>
            <w:vAlign w:val="bottom"/>
          </w:tcPr>
          <w:p w14:paraId="38CBD8C5" w14:textId="1FB47763"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1" w:type="dxa"/>
            <w:tcBorders>
              <w:top w:val="nil"/>
              <w:left w:val="nil"/>
              <w:bottom w:val="single" w:sz="4" w:space="0" w:color="auto"/>
              <w:right w:val="single" w:sz="4" w:space="0" w:color="auto"/>
            </w:tcBorders>
            <w:shd w:val="clear" w:color="auto" w:fill="auto"/>
            <w:noWrap/>
            <w:vAlign w:val="bottom"/>
          </w:tcPr>
          <w:p w14:paraId="7F47BF20" w14:textId="73B917F4" w:rsidR="00DC096C" w:rsidRPr="00DC096C" w:rsidRDefault="00DC096C">
            <w:pPr>
              <w:jc w:val="right"/>
              <w:rPr>
                <w:rFonts w:ascii="Arial" w:hAnsi="Arial" w:cs="Arial"/>
                <w:b/>
                <w:sz w:val="16"/>
                <w:szCs w:val="16"/>
              </w:rPr>
            </w:pPr>
            <w:r w:rsidRPr="00BA7A6B">
              <w:rPr>
                <w:rFonts w:ascii="Arial" w:hAnsi="Arial" w:cs="Arial"/>
                <w:sz w:val="16"/>
                <w:szCs w:val="16"/>
              </w:rPr>
              <w:t>-5.896.851</w:t>
            </w:r>
          </w:p>
        </w:tc>
      </w:tr>
      <w:tr w:rsidR="00DC096C" w:rsidRPr="007E4E18" w14:paraId="6AFBD567" w14:textId="77777777" w:rsidTr="00BA7A6B">
        <w:trPr>
          <w:trHeight w:val="69"/>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7CBE711A" w14:textId="77777777" w:rsidR="00DC096C" w:rsidRPr="007E4E18" w:rsidRDefault="00DC096C" w:rsidP="00DC096C">
            <w:pPr>
              <w:rPr>
                <w:rFonts w:ascii="Arial" w:hAnsi="Arial" w:cs="Arial"/>
                <w:color w:val="000000"/>
                <w:sz w:val="16"/>
                <w:szCs w:val="16"/>
                <w:lang w:eastAsia="es-AR"/>
              </w:rPr>
            </w:pPr>
            <w:r w:rsidRPr="007E4E18">
              <w:rPr>
                <w:rFonts w:ascii="Arial" w:hAnsi="Arial" w:cs="Arial"/>
                <w:sz w:val="16"/>
                <w:szCs w:val="16"/>
              </w:rPr>
              <w:t xml:space="preserve">   Sector financiero</w:t>
            </w:r>
          </w:p>
        </w:tc>
        <w:tc>
          <w:tcPr>
            <w:tcW w:w="1306" w:type="dxa"/>
            <w:tcBorders>
              <w:top w:val="nil"/>
              <w:left w:val="nil"/>
              <w:bottom w:val="single" w:sz="4" w:space="0" w:color="auto"/>
              <w:right w:val="single" w:sz="4" w:space="0" w:color="auto"/>
            </w:tcBorders>
            <w:shd w:val="clear" w:color="auto" w:fill="auto"/>
            <w:noWrap/>
            <w:vAlign w:val="bottom"/>
          </w:tcPr>
          <w:p w14:paraId="3105EEC1" w14:textId="3C3B8B41" w:rsidR="00DC096C" w:rsidRPr="00DC096C" w:rsidRDefault="00DC096C">
            <w:pPr>
              <w:jc w:val="right"/>
              <w:rPr>
                <w:rFonts w:ascii="Arial" w:hAnsi="Arial" w:cs="Arial"/>
                <w:sz w:val="16"/>
                <w:szCs w:val="16"/>
              </w:rPr>
            </w:pPr>
            <w:r w:rsidRPr="00BA7A6B">
              <w:rPr>
                <w:rFonts w:ascii="Arial" w:hAnsi="Arial" w:cs="Arial"/>
                <w:sz w:val="16"/>
                <w:szCs w:val="16"/>
              </w:rPr>
              <w:t xml:space="preserve"> -40.241 </w:t>
            </w:r>
          </w:p>
        </w:tc>
        <w:tc>
          <w:tcPr>
            <w:tcW w:w="1106" w:type="dxa"/>
            <w:tcBorders>
              <w:top w:val="nil"/>
              <w:left w:val="nil"/>
              <w:bottom w:val="single" w:sz="4" w:space="0" w:color="auto"/>
              <w:right w:val="single" w:sz="4" w:space="0" w:color="auto"/>
            </w:tcBorders>
            <w:shd w:val="clear" w:color="auto" w:fill="auto"/>
            <w:noWrap/>
            <w:vAlign w:val="bottom"/>
          </w:tcPr>
          <w:p w14:paraId="4BA522C7" w14:textId="432785C9"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3" w:type="dxa"/>
            <w:tcBorders>
              <w:top w:val="nil"/>
              <w:left w:val="nil"/>
              <w:bottom w:val="single" w:sz="4" w:space="0" w:color="auto"/>
              <w:right w:val="single" w:sz="4" w:space="0" w:color="auto"/>
            </w:tcBorders>
            <w:shd w:val="clear" w:color="auto" w:fill="auto"/>
            <w:noWrap/>
            <w:vAlign w:val="bottom"/>
          </w:tcPr>
          <w:p w14:paraId="1933FCC5" w14:textId="7CCF6EB8" w:rsidR="00DC096C" w:rsidRPr="00DC096C" w:rsidRDefault="00DC096C">
            <w:pPr>
              <w:jc w:val="right"/>
              <w:rPr>
                <w:rFonts w:ascii="Arial" w:hAnsi="Arial" w:cs="Arial"/>
                <w:sz w:val="16"/>
                <w:szCs w:val="16"/>
              </w:rPr>
            </w:pPr>
            <w:r w:rsidRPr="00BA7A6B">
              <w:rPr>
                <w:rFonts w:ascii="Arial" w:hAnsi="Arial" w:cs="Arial"/>
                <w:sz w:val="16"/>
                <w:szCs w:val="16"/>
              </w:rPr>
              <w:t xml:space="preserve"> -31 </w:t>
            </w:r>
          </w:p>
        </w:tc>
        <w:tc>
          <w:tcPr>
            <w:tcW w:w="1105" w:type="dxa"/>
            <w:tcBorders>
              <w:top w:val="nil"/>
              <w:left w:val="nil"/>
              <w:bottom w:val="single" w:sz="4" w:space="0" w:color="auto"/>
              <w:right w:val="single" w:sz="4" w:space="0" w:color="auto"/>
            </w:tcBorders>
            <w:shd w:val="clear" w:color="auto" w:fill="auto"/>
            <w:noWrap/>
            <w:vAlign w:val="bottom"/>
          </w:tcPr>
          <w:p w14:paraId="7A74C830" w14:textId="343E3CB2"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966" w:type="dxa"/>
            <w:tcBorders>
              <w:top w:val="nil"/>
              <w:left w:val="nil"/>
              <w:bottom w:val="single" w:sz="4" w:space="0" w:color="auto"/>
              <w:right w:val="single" w:sz="4" w:space="0" w:color="auto"/>
            </w:tcBorders>
            <w:shd w:val="clear" w:color="auto" w:fill="auto"/>
            <w:noWrap/>
            <w:vAlign w:val="bottom"/>
          </w:tcPr>
          <w:p w14:paraId="6D30C33C" w14:textId="22DDAE9D" w:rsidR="00DC096C" w:rsidRPr="00DC096C" w:rsidRDefault="00DC096C">
            <w:pPr>
              <w:jc w:val="right"/>
              <w:rPr>
                <w:rFonts w:ascii="Arial" w:hAnsi="Arial" w:cs="Arial"/>
                <w:sz w:val="16"/>
                <w:szCs w:val="16"/>
              </w:rPr>
            </w:pPr>
            <w:r w:rsidRPr="00BA7A6B">
              <w:rPr>
                <w:rFonts w:ascii="Arial" w:hAnsi="Arial" w:cs="Arial"/>
                <w:sz w:val="16"/>
                <w:szCs w:val="16"/>
              </w:rPr>
              <w:t xml:space="preserve">9.982 </w:t>
            </w:r>
          </w:p>
        </w:tc>
        <w:tc>
          <w:tcPr>
            <w:tcW w:w="1241" w:type="dxa"/>
            <w:tcBorders>
              <w:top w:val="nil"/>
              <w:left w:val="nil"/>
              <w:bottom w:val="single" w:sz="4" w:space="0" w:color="auto"/>
              <w:right w:val="single" w:sz="4" w:space="0" w:color="auto"/>
            </w:tcBorders>
            <w:shd w:val="clear" w:color="auto" w:fill="auto"/>
            <w:noWrap/>
            <w:vAlign w:val="bottom"/>
          </w:tcPr>
          <w:p w14:paraId="02BEC0EC" w14:textId="44EA44F5" w:rsidR="00DC096C" w:rsidRPr="00DC096C" w:rsidRDefault="00DC096C">
            <w:pPr>
              <w:jc w:val="right"/>
              <w:rPr>
                <w:rFonts w:ascii="Arial" w:hAnsi="Arial" w:cs="Arial"/>
                <w:b/>
                <w:sz w:val="16"/>
                <w:szCs w:val="16"/>
              </w:rPr>
            </w:pPr>
            <w:r w:rsidRPr="00BA7A6B">
              <w:rPr>
                <w:rFonts w:ascii="Arial" w:hAnsi="Arial" w:cs="Arial"/>
                <w:sz w:val="16"/>
                <w:szCs w:val="16"/>
              </w:rPr>
              <w:t>-30.290</w:t>
            </w:r>
          </w:p>
        </w:tc>
      </w:tr>
      <w:tr w:rsidR="00DC096C" w:rsidRPr="007E4E18" w14:paraId="5DFE5BA3"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noWrap/>
            <w:vAlign w:val="bottom"/>
            <w:hideMark/>
          </w:tcPr>
          <w:p w14:paraId="5A36CF0C" w14:textId="77777777" w:rsidR="00DC096C" w:rsidRPr="007E4E18" w:rsidRDefault="00DC096C" w:rsidP="00DC096C">
            <w:pPr>
              <w:ind w:left="72" w:hanging="72"/>
              <w:rPr>
                <w:rFonts w:ascii="Arial" w:hAnsi="Arial" w:cs="Arial"/>
                <w:color w:val="000000"/>
                <w:sz w:val="16"/>
                <w:szCs w:val="16"/>
                <w:lang w:eastAsia="es-AR"/>
              </w:rPr>
            </w:pPr>
            <w:r w:rsidRPr="007E4E18">
              <w:rPr>
                <w:rFonts w:ascii="Arial" w:hAnsi="Arial" w:cs="Arial"/>
                <w:sz w:val="16"/>
                <w:szCs w:val="16"/>
              </w:rPr>
              <w:t xml:space="preserve">   Sector privado no financiero y residentes en el    exterior</w:t>
            </w:r>
          </w:p>
        </w:tc>
        <w:tc>
          <w:tcPr>
            <w:tcW w:w="1306" w:type="dxa"/>
            <w:tcBorders>
              <w:top w:val="nil"/>
              <w:left w:val="nil"/>
              <w:bottom w:val="single" w:sz="4" w:space="0" w:color="auto"/>
              <w:right w:val="single" w:sz="4" w:space="0" w:color="auto"/>
            </w:tcBorders>
            <w:shd w:val="clear" w:color="auto" w:fill="auto"/>
            <w:noWrap/>
            <w:vAlign w:val="bottom"/>
          </w:tcPr>
          <w:p w14:paraId="03B1EF3B" w14:textId="0FF3A2C6" w:rsidR="00DC096C" w:rsidRPr="00DC096C" w:rsidRDefault="00DC096C">
            <w:pPr>
              <w:jc w:val="right"/>
              <w:rPr>
                <w:rFonts w:ascii="Arial" w:hAnsi="Arial" w:cs="Arial"/>
                <w:sz w:val="16"/>
                <w:szCs w:val="16"/>
              </w:rPr>
            </w:pPr>
            <w:r w:rsidRPr="00BA7A6B">
              <w:rPr>
                <w:rFonts w:ascii="Arial" w:hAnsi="Arial" w:cs="Arial"/>
                <w:sz w:val="16"/>
                <w:szCs w:val="16"/>
              </w:rPr>
              <w:t xml:space="preserve"> -11.419.158 </w:t>
            </w:r>
          </w:p>
        </w:tc>
        <w:tc>
          <w:tcPr>
            <w:tcW w:w="1106" w:type="dxa"/>
            <w:tcBorders>
              <w:top w:val="nil"/>
              <w:left w:val="nil"/>
              <w:bottom w:val="single" w:sz="4" w:space="0" w:color="auto"/>
              <w:right w:val="single" w:sz="4" w:space="0" w:color="auto"/>
            </w:tcBorders>
            <w:shd w:val="clear" w:color="auto" w:fill="auto"/>
            <w:noWrap/>
            <w:vAlign w:val="bottom"/>
          </w:tcPr>
          <w:p w14:paraId="5C33652D" w14:textId="07457389" w:rsidR="00DC096C" w:rsidRPr="00DC096C" w:rsidRDefault="00DC096C">
            <w:pPr>
              <w:jc w:val="right"/>
              <w:rPr>
                <w:rFonts w:ascii="Arial" w:hAnsi="Arial" w:cs="Arial"/>
                <w:sz w:val="16"/>
                <w:szCs w:val="16"/>
              </w:rPr>
            </w:pPr>
            <w:r w:rsidRPr="00BA7A6B">
              <w:rPr>
                <w:rFonts w:ascii="Arial" w:hAnsi="Arial" w:cs="Arial"/>
                <w:sz w:val="16"/>
                <w:szCs w:val="16"/>
              </w:rPr>
              <w:t xml:space="preserve"> -66.981.570 </w:t>
            </w:r>
          </w:p>
        </w:tc>
        <w:tc>
          <w:tcPr>
            <w:tcW w:w="1243" w:type="dxa"/>
            <w:tcBorders>
              <w:top w:val="nil"/>
              <w:left w:val="nil"/>
              <w:bottom w:val="single" w:sz="4" w:space="0" w:color="auto"/>
              <w:right w:val="single" w:sz="4" w:space="0" w:color="auto"/>
            </w:tcBorders>
            <w:shd w:val="clear" w:color="auto" w:fill="auto"/>
            <w:noWrap/>
            <w:vAlign w:val="bottom"/>
          </w:tcPr>
          <w:p w14:paraId="3ABD58C6" w14:textId="2AE938A0" w:rsidR="00DC096C" w:rsidRPr="00DC096C" w:rsidRDefault="00DC096C">
            <w:pPr>
              <w:jc w:val="right"/>
              <w:rPr>
                <w:rFonts w:ascii="Arial" w:hAnsi="Arial" w:cs="Arial"/>
                <w:sz w:val="16"/>
                <w:szCs w:val="16"/>
              </w:rPr>
            </w:pPr>
            <w:r w:rsidRPr="00BA7A6B">
              <w:rPr>
                <w:rFonts w:ascii="Arial" w:hAnsi="Arial" w:cs="Arial"/>
                <w:sz w:val="16"/>
                <w:szCs w:val="16"/>
              </w:rPr>
              <w:t xml:space="preserve"> -12.398.709 </w:t>
            </w:r>
          </w:p>
        </w:tc>
        <w:tc>
          <w:tcPr>
            <w:tcW w:w="1105" w:type="dxa"/>
            <w:tcBorders>
              <w:top w:val="nil"/>
              <w:left w:val="nil"/>
              <w:bottom w:val="single" w:sz="4" w:space="0" w:color="auto"/>
              <w:right w:val="single" w:sz="4" w:space="0" w:color="auto"/>
            </w:tcBorders>
            <w:shd w:val="clear" w:color="auto" w:fill="auto"/>
            <w:noWrap/>
            <w:vAlign w:val="bottom"/>
          </w:tcPr>
          <w:p w14:paraId="0D036D37" w14:textId="125182D5" w:rsidR="00DC096C" w:rsidRPr="00DC096C" w:rsidRDefault="00DC096C">
            <w:pPr>
              <w:jc w:val="right"/>
              <w:rPr>
                <w:rFonts w:ascii="Arial" w:hAnsi="Arial" w:cs="Arial"/>
                <w:sz w:val="16"/>
                <w:szCs w:val="16"/>
              </w:rPr>
            </w:pPr>
            <w:r w:rsidRPr="00BA7A6B">
              <w:rPr>
                <w:rFonts w:ascii="Arial" w:hAnsi="Arial" w:cs="Arial"/>
                <w:sz w:val="16"/>
                <w:szCs w:val="16"/>
              </w:rPr>
              <w:t xml:space="preserve"> -1.895.966 </w:t>
            </w:r>
          </w:p>
        </w:tc>
        <w:tc>
          <w:tcPr>
            <w:tcW w:w="966" w:type="dxa"/>
            <w:tcBorders>
              <w:top w:val="nil"/>
              <w:left w:val="nil"/>
              <w:bottom w:val="single" w:sz="4" w:space="0" w:color="auto"/>
              <w:right w:val="single" w:sz="4" w:space="0" w:color="auto"/>
            </w:tcBorders>
            <w:shd w:val="clear" w:color="auto" w:fill="auto"/>
            <w:noWrap/>
            <w:vAlign w:val="bottom"/>
          </w:tcPr>
          <w:p w14:paraId="57817CD1" w14:textId="2D807229" w:rsidR="00DC096C" w:rsidRPr="00DC096C" w:rsidRDefault="00DC096C">
            <w:pPr>
              <w:jc w:val="right"/>
              <w:rPr>
                <w:rFonts w:ascii="Arial" w:hAnsi="Arial" w:cs="Arial"/>
                <w:sz w:val="16"/>
                <w:szCs w:val="16"/>
              </w:rPr>
            </w:pPr>
            <w:r w:rsidRPr="00BA7A6B">
              <w:rPr>
                <w:rFonts w:ascii="Arial" w:hAnsi="Arial" w:cs="Arial"/>
                <w:sz w:val="16"/>
                <w:szCs w:val="16"/>
              </w:rPr>
              <w:t xml:space="preserve">9.835 </w:t>
            </w:r>
          </w:p>
        </w:tc>
        <w:tc>
          <w:tcPr>
            <w:tcW w:w="1241" w:type="dxa"/>
            <w:tcBorders>
              <w:top w:val="nil"/>
              <w:left w:val="nil"/>
              <w:bottom w:val="single" w:sz="4" w:space="0" w:color="auto"/>
              <w:right w:val="single" w:sz="4" w:space="0" w:color="auto"/>
            </w:tcBorders>
            <w:shd w:val="clear" w:color="auto" w:fill="auto"/>
            <w:noWrap/>
            <w:vAlign w:val="bottom"/>
          </w:tcPr>
          <w:p w14:paraId="1D9E53B7" w14:textId="5E7DEF65" w:rsidR="00DC096C" w:rsidRPr="00DC096C" w:rsidRDefault="00DC096C">
            <w:pPr>
              <w:jc w:val="right"/>
              <w:rPr>
                <w:rFonts w:ascii="Arial" w:hAnsi="Arial" w:cs="Arial"/>
                <w:b/>
                <w:sz w:val="16"/>
                <w:szCs w:val="16"/>
              </w:rPr>
            </w:pPr>
            <w:r w:rsidRPr="00BA7A6B">
              <w:rPr>
                <w:rFonts w:ascii="Arial" w:hAnsi="Arial" w:cs="Arial"/>
                <w:sz w:val="16"/>
                <w:szCs w:val="16"/>
              </w:rPr>
              <w:t>-92.685.568</w:t>
            </w:r>
          </w:p>
        </w:tc>
      </w:tr>
      <w:tr w:rsidR="00DC096C" w:rsidRPr="007E4E18" w14:paraId="2AABFA5C"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noWrap/>
            <w:vAlign w:val="bottom"/>
            <w:hideMark/>
          </w:tcPr>
          <w:p w14:paraId="020E52FC"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Pasivos a valor razonable con cambios en resultados</w:t>
            </w:r>
          </w:p>
        </w:tc>
        <w:tc>
          <w:tcPr>
            <w:tcW w:w="1306" w:type="dxa"/>
            <w:tcBorders>
              <w:top w:val="nil"/>
              <w:left w:val="nil"/>
              <w:bottom w:val="single" w:sz="4" w:space="0" w:color="auto"/>
              <w:right w:val="single" w:sz="4" w:space="0" w:color="auto"/>
            </w:tcBorders>
            <w:shd w:val="clear" w:color="auto" w:fill="auto"/>
            <w:noWrap/>
            <w:vAlign w:val="bottom"/>
          </w:tcPr>
          <w:p w14:paraId="7A924E0F" w14:textId="29FD96A2"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106" w:type="dxa"/>
            <w:tcBorders>
              <w:top w:val="nil"/>
              <w:left w:val="nil"/>
              <w:bottom w:val="single" w:sz="4" w:space="0" w:color="auto"/>
              <w:right w:val="single" w:sz="4" w:space="0" w:color="auto"/>
            </w:tcBorders>
            <w:shd w:val="clear" w:color="auto" w:fill="auto"/>
            <w:noWrap/>
            <w:vAlign w:val="bottom"/>
          </w:tcPr>
          <w:p w14:paraId="59C97E5A" w14:textId="11DE3943"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3" w:type="dxa"/>
            <w:tcBorders>
              <w:top w:val="nil"/>
              <w:left w:val="nil"/>
              <w:bottom w:val="single" w:sz="4" w:space="0" w:color="auto"/>
              <w:right w:val="single" w:sz="4" w:space="0" w:color="auto"/>
            </w:tcBorders>
            <w:shd w:val="clear" w:color="auto" w:fill="auto"/>
            <w:noWrap/>
            <w:vAlign w:val="bottom"/>
          </w:tcPr>
          <w:p w14:paraId="220118A4" w14:textId="74CF8DC6" w:rsidR="00DC096C" w:rsidRPr="00DC096C" w:rsidRDefault="00DC096C">
            <w:pPr>
              <w:jc w:val="right"/>
              <w:rPr>
                <w:rFonts w:ascii="Arial" w:hAnsi="Arial" w:cs="Arial"/>
                <w:sz w:val="16"/>
                <w:szCs w:val="16"/>
              </w:rPr>
            </w:pPr>
            <w:r w:rsidRPr="00BA7A6B">
              <w:rPr>
                <w:rFonts w:ascii="Arial" w:hAnsi="Arial" w:cs="Arial"/>
                <w:sz w:val="16"/>
                <w:szCs w:val="16"/>
              </w:rPr>
              <w:t xml:space="preserve"> -143.697 </w:t>
            </w:r>
          </w:p>
        </w:tc>
        <w:tc>
          <w:tcPr>
            <w:tcW w:w="1105" w:type="dxa"/>
            <w:tcBorders>
              <w:top w:val="nil"/>
              <w:left w:val="nil"/>
              <w:bottom w:val="single" w:sz="4" w:space="0" w:color="auto"/>
              <w:right w:val="single" w:sz="4" w:space="0" w:color="auto"/>
            </w:tcBorders>
            <w:shd w:val="clear" w:color="auto" w:fill="auto"/>
            <w:noWrap/>
            <w:vAlign w:val="bottom"/>
          </w:tcPr>
          <w:p w14:paraId="1F1B0C2B" w14:textId="709E33DC" w:rsidR="00DC096C" w:rsidRPr="00DC096C" w:rsidRDefault="00DC096C">
            <w:pPr>
              <w:jc w:val="right"/>
              <w:rPr>
                <w:rFonts w:ascii="Arial" w:hAnsi="Arial" w:cs="Arial"/>
                <w:sz w:val="16"/>
                <w:szCs w:val="16"/>
              </w:rPr>
            </w:pPr>
            <w:r w:rsidRPr="00BA7A6B">
              <w:rPr>
                <w:rFonts w:ascii="Arial" w:hAnsi="Arial" w:cs="Arial"/>
                <w:sz w:val="16"/>
                <w:szCs w:val="16"/>
              </w:rPr>
              <w:t xml:space="preserve"> -644.487 </w:t>
            </w:r>
          </w:p>
        </w:tc>
        <w:tc>
          <w:tcPr>
            <w:tcW w:w="966" w:type="dxa"/>
            <w:tcBorders>
              <w:top w:val="nil"/>
              <w:left w:val="nil"/>
              <w:bottom w:val="single" w:sz="4" w:space="0" w:color="auto"/>
              <w:right w:val="single" w:sz="4" w:space="0" w:color="auto"/>
            </w:tcBorders>
            <w:shd w:val="clear" w:color="auto" w:fill="auto"/>
            <w:noWrap/>
            <w:vAlign w:val="bottom"/>
          </w:tcPr>
          <w:p w14:paraId="6BAE9720" w14:textId="33A8606B" w:rsidR="00DC096C" w:rsidRPr="00DC096C" w:rsidRDefault="00DC096C">
            <w:pPr>
              <w:jc w:val="right"/>
              <w:rPr>
                <w:rFonts w:ascii="Arial" w:hAnsi="Arial" w:cs="Arial"/>
                <w:sz w:val="16"/>
                <w:szCs w:val="16"/>
              </w:rPr>
            </w:pPr>
            <w:r w:rsidRPr="00BA7A6B">
              <w:rPr>
                <w:rFonts w:ascii="Arial" w:hAnsi="Arial" w:cs="Arial"/>
                <w:sz w:val="16"/>
                <w:szCs w:val="16"/>
              </w:rPr>
              <w:t xml:space="preserve">583.845 </w:t>
            </w:r>
          </w:p>
        </w:tc>
        <w:tc>
          <w:tcPr>
            <w:tcW w:w="1241" w:type="dxa"/>
            <w:tcBorders>
              <w:top w:val="nil"/>
              <w:left w:val="nil"/>
              <w:bottom w:val="single" w:sz="4" w:space="0" w:color="auto"/>
              <w:right w:val="single" w:sz="4" w:space="0" w:color="auto"/>
            </w:tcBorders>
            <w:shd w:val="clear" w:color="auto" w:fill="auto"/>
            <w:noWrap/>
            <w:vAlign w:val="bottom"/>
          </w:tcPr>
          <w:p w14:paraId="23E887BC" w14:textId="69BC58AA" w:rsidR="00DC096C" w:rsidRPr="00DC096C" w:rsidRDefault="00DC096C">
            <w:pPr>
              <w:jc w:val="right"/>
              <w:rPr>
                <w:rFonts w:ascii="Arial" w:hAnsi="Arial" w:cs="Arial"/>
                <w:b/>
                <w:sz w:val="16"/>
                <w:szCs w:val="16"/>
              </w:rPr>
            </w:pPr>
            <w:r w:rsidRPr="00BA7A6B">
              <w:rPr>
                <w:rFonts w:ascii="Arial" w:hAnsi="Arial" w:cs="Arial"/>
                <w:sz w:val="16"/>
                <w:szCs w:val="16"/>
              </w:rPr>
              <w:t>-204.339</w:t>
            </w:r>
          </w:p>
        </w:tc>
      </w:tr>
      <w:tr w:rsidR="00DC096C" w:rsidRPr="007E4E18" w14:paraId="39DD8119"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22B064B4"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Operaciones de pase</w:t>
            </w:r>
          </w:p>
        </w:tc>
        <w:tc>
          <w:tcPr>
            <w:tcW w:w="1306" w:type="dxa"/>
            <w:tcBorders>
              <w:top w:val="nil"/>
              <w:left w:val="nil"/>
              <w:bottom w:val="single" w:sz="4" w:space="0" w:color="auto"/>
              <w:right w:val="single" w:sz="4" w:space="0" w:color="auto"/>
            </w:tcBorders>
            <w:shd w:val="clear" w:color="auto" w:fill="auto"/>
            <w:noWrap/>
            <w:vAlign w:val="bottom"/>
          </w:tcPr>
          <w:p w14:paraId="64141997" w14:textId="1246A23D"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106" w:type="dxa"/>
            <w:tcBorders>
              <w:top w:val="nil"/>
              <w:left w:val="nil"/>
              <w:bottom w:val="single" w:sz="4" w:space="0" w:color="auto"/>
              <w:right w:val="single" w:sz="4" w:space="0" w:color="auto"/>
            </w:tcBorders>
            <w:shd w:val="clear" w:color="auto" w:fill="auto"/>
            <w:noWrap/>
            <w:vAlign w:val="bottom"/>
          </w:tcPr>
          <w:p w14:paraId="7226ABA4" w14:textId="1080128E"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3" w:type="dxa"/>
            <w:tcBorders>
              <w:top w:val="nil"/>
              <w:left w:val="nil"/>
              <w:bottom w:val="single" w:sz="4" w:space="0" w:color="auto"/>
              <w:right w:val="single" w:sz="4" w:space="0" w:color="auto"/>
            </w:tcBorders>
            <w:shd w:val="clear" w:color="auto" w:fill="auto"/>
            <w:noWrap/>
            <w:vAlign w:val="bottom"/>
          </w:tcPr>
          <w:p w14:paraId="5093A119" w14:textId="7205C288" w:rsidR="00DC096C" w:rsidRPr="00DC096C" w:rsidRDefault="00DC096C">
            <w:pPr>
              <w:jc w:val="right"/>
              <w:rPr>
                <w:rFonts w:ascii="Arial" w:hAnsi="Arial" w:cs="Arial"/>
                <w:sz w:val="16"/>
                <w:szCs w:val="16"/>
              </w:rPr>
            </w:pPr>
            <w:r w:rsidRPr="00BA7A6B">
              <w:rPr>
                <w:rFonts w:ascii="Arial" w:hAnsi="Arial" w:cs="Arial"/>
                <w:sz w:val="16"/>
                <w:szCs w:val="16"/>
              </w:rPr>
              <w:t xml:space="preserve"> -259.251 </w:t>
            </w:r>
          </w:p>
        </w:tc>
        <w:tc>
          <w:tcPr>
            <w:tcW w:w="1105" w:type="dxa"/>
            <w:tcBorders>
              <w:top w:val="nil"/>
              <w:left w:val="nil"/>
              <w:bottom w:val="single" w:sz="4" w:space="0" w:color="auto"/>
              <w:right w:val="single" w:sz="4" w:space="0" w:color="auto"/>
            </w:tcBorders>
            <w:shd w:val="clear" w:color="auto" w:fill="auto"/>
            <w:noWrap/>
            <w:vAlign w:val="bottom"/>
          </w:tcPr>
          <w:p w14:paraId="4A9812EC" w14:textId="6FAEBE50" w:rsidR="00DC096C" w:rsidRPr="00DC096C" w:rsidRDefault="00DC096C">
            <w:pPr>
              <w:jc w:val="right"/>
              <w:rPr>
                <w:rFonts w:ascii="Arial" w:hAnsi="Arial" w:cs="Arial"/>
                <w:sz w:val="16"/>
                <w:szCs w:val="16"/>
              </w:rPr>
            </w:pPr>
            <w:r w:rsidRPr="00BA7A6B">
              <w:rPr>
                <w:rFonts w:ascii="Arial" w:hAnsi="Arial" w:cs="Arial"/>
                <w:sz w:val="16"/>
                <w:szCs w:val="16"/>
              </w:rPr>
              <w:t xml:space="preserve"> -319.020 </w:t>
            </w:r>
          </w:p>
        </w:tc>
        <w:tc>
          <w:tcPr>
            <w:tcW w:w="966" w:type="dxa"/>
            <w:tcBorders>
              <w:top w:val="nil"/>
              <w:left w:val="nil"/>
              <w:bottom w:val="single" w:sz="4" w:space="0" w:color="auto"/>
              <w:right w:val="single" w:sz="4" w:space="0" w:color="auto"/>
            </w:tcBorders>
            <w:shd w:val="clear" w:color="auto" w:fill="auto"/>
            <w:noWrap/>
            <w:vAlign w:val="bottom"/>
          </w:tcPr>
          <w:p w14:paraId="471AD594" w14:textId="5D87B453" w:rsidR="00DC096C" w:rsidRPr="00DC096C" w:rsidRDefault="00DC096C">
            <w:pPr>
              <w:jc w:val="right"/>
              <w:rPr>
                <w:rFonts w:ascii="Arial" w:hAnsi="Arial" w:cs="Arial"/>
                <w:sz w:val="16"/>
                <w:szCs w:val="16"/>
              </w:rPr>
            </w:pPr>
            <w:r w:rsidRPr="00BA7A6B">
              <w:rPr>
                <w:rFonts w:ascii="Arial" w:hAnsi="Arial" w:cs="Arial"/>
                <w:sz w:val="16"/>
                <w:szCs w:val="16"/>
              </w:rPr>
              <w:t xml:space="preserve">233.509 </w:t>
            </w:r>
          </w:p>
        </w:tc>
        <w:tc>
          <w:tcPr>
            <w:tcW w:w="1241" w:type="dxa"/>
            <w:tcBorders>
              <w:top w:val="nil"/>
              <w:left w:val="nil"/>
              <w:bottom w:val="single" w:sz="4" w:space="0" w:color="auto"/>
              <w:right w:val="single" w:sz="4" w:space="0" w:color="auto"/>
            </w:tcBorders>
            <w:shd w:val="clear" w:color="auto" w:fill="auto"/>
            <w:noWrap/>
            <w:vAlign w:val="bottom"/>
          </w:tcPr>
          <w:p w14:paraId="6B80738B" w14:textId="6186155F" w:rsidR="00DC096C" w:rsidRPr="00DC096C" w:rsidRDefault="00DC096C">
            <w:pPr>
              <w:jc w:val="right"/>
              <w:rPr>
                <w:rFonts w:ascii="Arial" w:hAnsi="Arial" w:cs="Arial"/>
                <w:b/>
                <w:sz w:val="16"/>
                <w:szCs w:val="16"/>
              </w:rPr>
            </w:pPr>
            <w:r w:rsidRPr="00BA7A6B">
              <w:rPr>
                <w:rFonts w:ascii="Arial" w:hAnsi="Arial" w:cs="Arial"/>
                <w:sz w:val="16"/>
                <w:szCs w:val="16"/>
              </w:rPr>
              <w:t>-344.762</w:t>
            </w:r>
          </w:p>
        </w:tc>
      </w:tr>
      <w:tr w:rsidR="00DC096C" w:rsidRPr="007E4E18" w14:paraId="22A027FC"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01AE819D"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Otros pasivos financieros</w:t>
            </w:r>
          </w:p>
        </w:tc>
        <w:tc>
          <w:tcPr>
            <w:tcW w:w="1306" w:type="dxa"/>
            <w:tcBorders>
              <w:top w:val="nil"/>
              <w:left w:val="nil"/>
              <w:bottom w:val="single" w:sz="4" w:space="0" w:color="auto"/>
              <w:right w:val="single" w:sz="4" w:space="0" w:color="auto"/>
            </w:tcBorders>
            <w:shd w:val="clear" w:color="auto" w:fill="auto"/>
            <w:noWrap/>
            <w:vAlign w:val="bottom"/>
          </w:tcPr>
          <w:p w14:paraId="1EAF1C3C" w14:textId="1AD9548E" w:rsidR="00DC096C" w:rsidRPr="00DC096C" w:rsidRDefault="00DC096C">
            <w:pPr>
              <w:jc w:val="right"/>
              <w:rPr>
                <w:rFonts w:ascii="Arial" w:hAnsi="Arial" w:cs="Arial"/>
                <w:sz w:val="16"/>
                <w:szCs w:val="16"/>
              </w:rPr>
            </w:pPr>
            <w:r w:rsidRPr="00BA7A6B">
              <w:rPr>
                <w:rFonts w:ascii="Arial" w:hAnsi="Arial" w:cs="Arial"/>
                <w:sz w:val="16"/>
                <w:szCs w:val="16"/>
              </w:rPr>
              <w:t xml:space="preserve"> -1.323.555 </w:t>
            </w:r>
          </w:p>
        </w:tc>
        <w:tc>
          <w:tcPr>
            <w:tcW w:w="1106" w:type="dxa"/>
            <w:tcBorders>
              <w:top w:val="nil"/>
              <w:left w:val="nil"/>
              <w:bottom w:val="single" w:sz="4" w:space="0" w:color="auto"/>
              <w:right w:val="single" w:sz="4" w:space="0" w:color="auto"/>
            </w:tcBorders>
            <w:shd w:val="clear" w:color="auto" w:fill="auto"/>
            <w:noWrap/>
            <w:vAlign w:val="bottom"/>
          </w:tcPr>
          <w:p w14:paraId="3EDAE61E" w14:textId="39EDC555" w:rsidR="00DC096C" w:rsidRPr="00DC096C" w:rsidRDefault="00DC096C">
            <w:pPr>
              <w:jc w:val="right"/>
              <w:rPr>
                <w:rFonts w:ascii="Arial" w:hAnsi="Arial" w:cs="Arial"/>
                <w:sz w:val="16"/>
                <w:szCs w:val="16"/>
              </w:rPr>
            </w:pPr>
            <w:r w:rsidRPr="00BA7A6B">
              <w:rPr>
                <w:rFonts w:ascii="Arial" w:hAnsi="Arial" w:cs="Arial"/>
                <w:sz w:val="16"/>
                <w:szCs w:val="16"/>
              </w:rPr>
              <w:t xml:space="preserve"> -3.685.074 </w:t>
            </w:r>
          </w:p>
        </w:tc>
        <w:tc>
          <w:tcPr>
            <w:tcW w:w="1243" w:type="dxa"/>
            <w:tcBorders>
              <w:top w:val="nil"/>
              <w:left w:val="nil"/>
              <w:bottom w:val="single" w:sz="4" w:space="0" w:color="auto"/>
              <w:right w:val="single" w:sz="4" w:space="0" w:color="auto"/>
            </w:tcBorders>
            <w:shd w:val="clear" w:color="auto" w:fill="auto"/>
            <w:noWrap/>
            <w:vAlign w:val="bottom"/>
          </w:tcPr>
          <w:p w14:paraId="6EBADFD7" w14:textId="3FE9FA40" w:rsidR="00DC096C" w:rsidRPr="00DC096C" w:rsidRDefault="00DC096C">
            <w:pPr>
              <w:jc w:val="right"/>
              <w:rPr>
                <w:rFonts w:ascii="Arial" w:hAnsi="Arial" w:cs="Arial"/>
                <w:sz w:val="16"/>
                <w:szCs w:val="16"/>
              </w:rPr>
            </w:pPr>
            <w:r w:rsidRPr="00BA7A6B">
              <w:rPr>
                <w:rFonts w:ascii="Arial" w:hAnsi="Arial" w:cs="Arial"/>
                <w:sz w:val="16"/>
                <w:szCs w:val="16"/>
              </w:rPr>
              <w:t xml:space="preserve"> -1.590.326 </w:t>
            </w:r>
          </w:p>
        </w:tc>
        <w:tc>
          <w:tcPr>
            <w:tcW w:w="1105" w:type="dxa"/>
            <w:tcBorders>
              <w:top w:val="nil"/>
              <w:left w:val="nil"/>
              <w:bottom w:val="single" w:sz="4" w:space="0" w:color="auto"/>
              <w:right w:val="single" w:sz="4" w:space="0" w:color="auto"/>
            </w:tcBorders>
            <w:shd w:val="clear" w:color="auto" w:fill="auto"/>
            <w:noWrap/>
            <w:vAlign w:val="bottom"/>
          </w:tcPr>
          <w:p w14:paraId="122A3E3C" w14:textId="38BAA13C" w:rsidR="00DC096C" w:rsidRPr="00DC096C" w:rsidRDefault="00DC096C">
            <w:pPr>
              <w:jc w:val="right"/>
              <w:rPr>
                <w:rFonts w:ascii="Arial" w:hAnsi="Arial" w:cs="Arial"/>
                <w:sz w:val="16"/>
                <w:szCs w:val="16"/>
              </w:rPr>
            </w:pPr>
            <w:r w:rsidRPr="00BA7A6B">
              <w:rPr>
                <w:rFonts w:ascii="Arial" w:hAnsi="Arial" w:cs="Arial"/>
                <w:sz w:val="16"/>
                <w:szCs w:val="16"/>
              </w:rPr>
              <w:t xml:space="preserve"> -1.275.046 </w:t>
            </w:r>
          </w:p>
        </w:tc>
        <w:tc>
          <w:tcPr>
            <w:tcW w:w="966" w:type="dxa"/>
            <w:tcBorders>
              <w:top w:val="nil"/>
              <w:left w:val="nil"/>
              <w:bottom w:val="single" w:sz="4" w:space="0" w:color="auto"/>
              <w:right w:val="single" w:sz="4" w:space="0" w:color="auto"/>
            </w:tcBorders>
            <w:shd w:val="clear" w:color="auto" w:fill="auto"/>
            <w:noWrap/>
            <w:vAlign w:val="bottom"/>
          </w:tcPr>
          <w:p w14:paraId="79A23279" w14:textId="3A1DAA9F" w:rsidR="00DC096C" w:rsidRPr="00DC096C" w:rsidRDefault="00DC096C">
            <w:pPr>
              <w:jc w:val="right"/>
              <w:rPr>
                <w:rFonts w:ascii="Arial" w:hAnsi="Arial" w:cs="Arial"/>
                <w:sz w:val="16"/>
                <w:szCs w:val="16"/>
              </w:rPr>
            </w:pPr>
            <w:r w:rsidRPr="00BA7A6B">
              <w:rPr>
                <w:rFonts w:ascii="Arial" w:hAnsi="Arial" w:cs="Arial"/>
                <w:sz w:val="16"/>
                <w:szCs w:val="16"/>
              </w:rPr>
              <w:t xml:space="preserve">415.802 </w:t>
            </w:r>
          </w:p>
        </w:tc>
        <w:tc>
          <w:tcPr>
            <w:tcW w:w="1241" w:type="dxa"/>
            <w:tcBorders>
              <w:top w:val="nil"/>
              <w:left w:val="nil"/>
              <w:bottom w:val="single" w:sz="4" w:space="0" w:color="auto"/>
              <w:right w:val="single" w:sz="4" w:space="0" w:color="auto"/>
            </w:tcBorders>
            <w:shd w:val="clear" w:color="auto" w:fill="auto"/>
            <w:noWrap/>
            <w:vAlign w:val="bottom"/>
          </w:tcPr>
          <w:p w14:paraId="5E775260" w14:textId="1C3063E6" w:rsidR="00DC096C" w:rsidRPr="00DC096C" w:rsidRDefault="00DC096C">
            <w:pPr>
              <w:jc w:val="right"/>
              <w:rPr>
                <w:rFonts w:ascii="Arial" w:hAnsi="Arial" w:cs="Arial"/>
                <w:b/>
                <w:sz w:val="16"/>
                <w:szCs w:val="16"/>
              </w:rPr>
            </w:pPr>
            <w:r w:rsidRPr="00BA7A6B">
              <w:rPr>
                <w:rFonts w:ascii="Arial" w:hAnsi="Arial" w:cs="Arial"/>
                <w:sz w:val="16"/>
                <w:szCs w:val="16"/>
              </w:rPr>
              <w:t>-7.458.199</w:t>
            </w:r>
          </w:p>
        </w:tc>
      </w:tr>
      <w:tr w:rsidR="00DC096C" w:rsidRPr="007E4E18" w14:paraId="370444C7"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noWrap/>
            <w:vAlign w:val="bottom"/>
            <w:hideMark/>
          </w:tcPr>
          <w:p w14:paraId="752AB2BB"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Financiaciones recibidas del BCRA y otras instituciones financieras</w:t>
            </w:r>
          </w:p>
        </w:tc>
        <w:tc>
          <w:tcPr>
            <w:tcW w:w="1306" w:type="dxa"/>
            <w:tcBorders>
              <w:top w:val="nil"/>
              <w:left w:val="nil"/>
              <w:bottom w:val="single" w:sz="4" w:space="0" w:color="auto"/>
              <w:right w:val="single" w:sz="4" w:space="0" w:color="auto"/>
            </w:tcBorders>
            <w:shd w:val="clear" w:color="auto" w:fill="auto"/>
            <w:noWrap/>
            <w:vAlign w:val="bottom"/>
          </w:tcPr>
          <w:p w14:paraId="02179504" w14:textId="23387952"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106" w:type="dxa"/>
            <w:tcBorders>
              <w:top w:val="nil"/>
              <w:left w:val="nil"/>
              <w:bottom w:val="single" w:sz="4" w:space="0" w:color="auto"/>
              <w:right w:val="single" w:sz="4" w:space="0" w:color="auto"/>
            </w:tcBorders>
            <w:shd w:val="clear" w:color="auto" w:fill="auto"/>
            <w:noWrap/>
            <w:vAlign w:val="bottom"/>
          </w:tcPr>
          <w:p w14:paraId="5DBC6F47" w14:textId="489E69CA" w:rsidR="00DC096C" w:rsidRPr="00DC096C" w:rsidRDefault="00DC096C">
            <w:pPr>
              <w:jc w:val="right"/>
              <w:rPr>
                <w:rFonts w:ascii="Arial" w:hAnsi="Arial" w:cs="Arial"/>
                <w:sz w:val="16"/>
                <w:szCs w:val="16"/>
              </w:rPr>
            </w:pPr>
            <w:r w:rsidRPr="00BA7A6B">
              <w:rPr>
                <w:rFonts w:ascii="Arial" w:hAnsi="Arial" w:cs="Arial"/>
                <w:sz w:val="16"/>
                <w:szCs w:val="16"/>
              </w:rPr>
              <w:t xml:space="preserve"> -13.587 </w:t>
            </w:r>
          </w:p>
        </w:tc>
        <w:tc>
          <w:tcPr>
            <w:tcW w:w="1243" w:type="dxa"/>
            <w:tcBorders>
              <w:top w:val="nil"/>
              <w:left w:val="nil"/>
              <w:bottom w:val="single" w:sz="4" w:space="0" w:color="auto"/>
              <w:right w:val="single" w:sz="4" w:space="0" w:color="auto"/>
            </w:tcBorders>
            <w:shd w:val="clear" w:color="auto" w:fill="auto"/>
            <w:noWrap/>
            <w:vAlign w:val="bottom"/>
          </w:tcPr>
          <w:p w14:paraId="2105D2CF" w14:textId="2E535AFC" w:rsidR="00DC096C" w:rsidRPr="00DC096C" w:rsidRDefault="00DC096C">
            <w:pPr>
              <w:jc w:val="right"/>
              <w:rPr>
                <w:rFonts w:ascii="Arial" w:hAnsi="Arial" w:cs="Arial"/>
                <w:sz w:val="16"/>
                <w:szCs w:val="16"/>
              </w:rPr>
            </w:pPr>
            <w:r w:rsidRPr="00BA7A6B">
              <w:rPr>
                <w:rFonts w:ascii="Arial" w:hAnsi="Arial" w:cs="Arial"/>
                <w:sz w:val="16"/>
                <w:szCs w:val="16"/>
              </w:rPr>
              <w:t xml:space="preserve"> -9.700.632 </w:t>
            </w:r>
          </w:p>
        </w:tc>
        <w:tc>
          <w:tcPr>
            <w:tcW w:w="1105" w:type="dxa"/>
            <w:tcBorders>
              <w:top w:val="nil"/>
              <w:left w:val="nil"/>
              <w:bottom w:val="single" w:sz="4" w:space="0" w:color="auto"/>
              <w:right w:val="single" w:sz="4" w:space="0" w:color="auto"/>
            </w:tcBorders>
            <w:shd w:val="clear" w:color="auto" w:fill="auto"/>
            <w:noWrap/>
            <w:vAlign w:val="bottom"/>
          </w:tcPr>
          <w:p w14:paraId="77751BC6" w14:textId="0D85767A" w:rsidR="00DC096C" w:rsidRPr="00DC096C" w:rsidRDefault="00DC096C">
            <w:pPr>
              <w:jc w:val="right"/>
              <w:rPr>
                <w:rFonts w:ascii="Arial" w:hAnsi="Arial" w:cs="Arial"/>
                <w:sz w:val="16"/>
                <w:szCs w:val="16"/>
              </w:rPr>
            </w:pPr>
            <w:r w:rsidRPr="00BA7A6B">
              <w:rPr>
                <w:rFonts w:ascii="Arial" w:hAnsi="Arial" w:cs="Arial"/>
                <w:sz w:val="16"/>
                <w:szCs w:val="16"/>
              </w:rPr>
              <w:t xml:space="preserve"> -1.022.237 </w:t>
            </w:r>
          </w:p>
        </w:tc>
        <w:tc>
          <w:tcPr>
            <w:tcW w:w="966" w:type="dxa"/>
            <w:tcBorders>
              <w:top w:val="nil"/>
              <w:left w:val="nil"/>
              <w:bottom w:val="single" w:sz="4" w:space="0" w:color="auto"/>
              <w:right w:val="single" w:sz="4" w:space="0" w:color="auto"/>
            </w:tcBorders>
            <w:shd w:val="clear" w:color="auto" w:fill="auto"/>
            <w:noWrap/>
            <w:vAlign w:val="bottom"/>
          </w:tcPr>
          <w:p w14:paraId="62B76D32" w14:textId="1F2760C4" w:rsidR="00DC096C" w:rsidRPr="00DC096C" w:rsidRDefault="00DC096C">
            <w:pPr>
              <w:jc w:val="right"/>
              <w:rPr>
                <w:rFonts w:ascii="Arial" w:hAnsi="Arial" w:cs="Arial"/>
                <w:sz w:val="16"/>
                <w:szCs w:val="16"/>
              </w:rPr>
            </w:pPr>
            <w:r w:rsidRPr="00BA7A6B">
              <w:rPr>
                <w:rFonts w:ascii="Arial" w:hAnsi="Arial" w:cs="Arial"/>
                <w:sz w:val="16"/>
                <w:szCs w:val="16"/>
              </w:rPr>
              <w:t xml:space="preserve">1.018.710 </w:t>
            </w:r>
          </w:p>
        </w:tc>
        <w:tc>
          <w:tcPr>
            <w:tcW w:w="1241" w:type="dxa"/>
            <w:tcBorders>
              <w:top w:val="nil"/>
              <w:left w:val="nil"/>
              <w:bottom w:val="single" w:sz="4" w:space="0" w:color="auto"/>
              <w:right w:val="single" w:sz="4" w:space="0" w:color="auto"/>
            </w:tcBorders>
            <w:shd w:val="clear" w:color="auto" w:fill="auto"/>
            <w:noWrap/>
            <w:vAlign w:val="bottom"/>
          </w:tcPr>
          <w:p w14:paraId="31E4F127" w14:textId="0370C63D" w:rsidR="00DC096C" w:rsidRPr="00DC096C" w:rsidRDefault="00DC096C">
            <w:pPr>
              <w:jc w:val="right"/>
              <w:rPr>
                <w:rFonts w:ascii="Arial" w:hAnsi="Arial" w:cs="Arial"/>
                <w:b/>
                <w:sz w:val="16"/>
                <w:szCs w:val="16"/>
              </w:rPr>
            </w:pPr>
            <w:r w:rsidRPr="00BA7A6B">
              <w:rPr>
                <w:rFonts w:ascii="Arial" w:hAnsi="Arial" w:cs="Arial"/>
                <w:sz w:val="16"/>
                <w:szCs w:val="16"/>
              </w:rPr>
              <w:t>-9.717.746</w:t>
            </w:r>
          </w:p>
        </w:tc>
      </w:tr>
      <w:tr w:rsidR="00DC096C" w:rsidRPr="007E4E18" w14:paraId="1683331E" w14:textId="77777777" w:rsidTr="00BA7A6B">
        <w:trPr>
          <w:trHeight w:val="64"/>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39CF5771"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Obligaciones negociables emitidas</w:t>
            </w:r>
          </w:p>
        </w:tc>
        <w:tc>
          <w:tcPr>
            <w:tcW w:w="1306" w:type="dxa"/>
            <w:tcBorders>
              <w:top w:val="nil"/>
              <w:left w:val="nil"/>
              <w:bottom w:val="single" w:sz="4" w:space="0" w:color="auto"/>
              <w:right w:val="single" w:sz="4" w:space="0" w:color="auto"/>
            </w:tcBorders>
            <w:shd w:val="clear" w:color="auto" w:fill="auto"/>
            <w:noWrap/>
            <w:vAlign w:val="bottom"/>
          </w:tcPr>
          <w:p w14:paraId="625A5906" w14:textId="3EC9F674" w:rsidR="00DC096C" w:rsidRPr="00DC096C" w:rsidRDefault="00DC096C">
            <w:pPr>
              <w:jc w:val="right"/>
              <w:rPr>
                <w:rFonts w:ascii="Arial" w:hAnsi="Arial" w:cs="Arial"/>
                <w:sz w:val="16"/>
                <w:szCs w:val="16"/>
              </w:rPr>
            </w:pPr>
            <w:r w:rsidRPr="00BA7A6B">
              <w:rPr>
                <w:rFonts w:ascii="Arial" w:hAnsi="Arial" w:cs="Arial"/>
                <w:sz w:val="16"/>
                <w:szCs w:val="16"/>
              </w:rPr>
              <w:t xml:space="preserve"> -82.540 </w:t>
            </w:r>
          </w:p>
        </w:tc>
        <w:tc>
          <w:tcPr>
            <w:tcW w:w="1106" w:type="dxa"/>
            <w:tcBorders>
              <w:top w:val="nil"/>
              <w:left w:val="nil"/>
              <w:bottom w:val="single" w:sz="4" w:space="0" w:color="auto"/>
              <w:right w:val="single" w:sz="4" w:space="0" w:color="auto"/>
            </w:tcBorders>
            <w:shd w:val="clear" w:color="auto" w:fill="auto"/>
            <w:noWrap/>
            <w:vAlign w:val="bottom"/>
          </w:tcPr>
          <w:p w14:paraId="3F162641" w14:textId="6370803C" w:rsidR="00DC096C" w:rsidRPr="00DC096C" w:rsidRDefault="00DC096C">
            <w:pPr>
              <w:jc w:val="right"/>
              <w:rPr>
                <w:rFonts w:ascii="Arial" w:hAnsi="Arial" w:cs="Arial"/>
                <w:sz w:val="16"/>
                <w:szCs w:val="16"/>
              </w:rPr>
            </w:pPr>
            <w:r w:rsidRPr="00BA7A6B">
              <w:rPr>
                <w:rFonts w:ascii="Arial" w:hAnsi="Arial" w:cs="Arial"/>
                <w:sz w:val="16"/>
                <w:szCs w:val="16"/>
              </w:rPr>
              <w:t xml:space="preserve"> -116.971 </w:t>
            </w:r>
          </w:p>
        </w:tc>
        <w:tc>
          <w:tcPr>
            <w:tcW w:w="1243" w:type="dxa"/>
            <w:tcBorders>
              <w:top w:val="nil"/>
              <w:left w:val="nil"/>
              <w:bottom w:val="single" w:sz="4" w:space="0" w:color="auto"/>
              <w:right w:val="single" w:sz="4" w:space="0" w:color="auto"/>
            </w:tcBorders>
            <w:shd w:val="clear" w:color="auto" w:fill="auto"/>
            <w:noWrap/>
            <w:vAlign w:val="bottom"/>
          </w:tcPr>
          <w:p w14:paraId="4FC654BE" w14:textId="51B61B2E" w:rsidR="00DC096C" w:rsidRPr="00DC096C" w:rsidRDefault="00DC096C">
            <w:pPr>
              <w:jc w:val="right"/>
              <w:rPr>
                <w:rFonts w:ascii="Arial" w:hAnsi="Arial" w:cs="Arial"/>
                <w:sz w:val="16"/>
                <w:szCs w:val="16"/>
              </w:rPr>
            </w:pPr>
            <w:r w:rsidRPr="00BA7A6B">
              <w:rPr>
                <w:rFonts w:ascii="Arial" w:hAnsi="Arial" w:cs="Arial"/>
                <w:sz w:val="16"/>
                <w:szCs w:val="16"/>
              </w:rPr>
              <w:t xml:space="preserve"> -6.344.939 </w:t>
            </w:r>
          </w:p>
        </w:tc>
        <w:tc>
          <w:tcPr>
            <w:tcW w:w="1105" w:type="dxa"/>
            <w:tcBorders>
              <w:top w:val="nil"/>
              <w:left w:val="nil"/>
              <w:bottom w:val="single" w:sz="4" w:space="0" w:color="auto"/>
              <w:right w:val="single" w:sz="4" w:space="0" w:color="auto"/>
            </w:tcBorders>
            <w:shd w:val="clear" w:color="auto" w:fill="auto"/>
            <w:noWrap/>
            <w:vAlign w:val="bottom"/>
          </w:tcPr>
          <w:p w14:paraId="06ADE1A8" w14:textId="1EC827C2"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966" w:type="dxa"/>
            <w:tcBorders>
              <w:top w:val="nil"/>
              <w:left w:val="nil"/>
              <w:bottom w:val="single" w:sz="4" w:space="0" w:color="auto"/>
              <w:right w:val="single" w:sz="4" w:space="0" w:color="auto"/>
            </w:tcBorders>
            <w:shd w:val="clear" w:color="auto" w:fill="auto"/>
            <w:noWrap/>
            <w:vAlign w:val="bottom"/>
          </w:tcPr>
          <w:p w14:paraId="57B69B55" w14:textId="624172A8"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1" w:type="dxa"/>
            <w:tcBorders>
              <w:top w:val="nil"/>
              <w:left w:val="nil"/>
              <w:bottom w:val="single" w:sz="4" w:space="0" w:color="auto"/>
              <w:right w:val="single" w:sz="4" w:space="0" w:color="auto"/>
            </w:tcBorders>
            <w:shd w:val="clear" w:color="auto" w:fill="auto"/>
            <w:noWrap/>
            <w:vAlign w:val="bottom"/>
          </w:tcPr>
          <w:p w14:paraId="1371F9A7" w14:textId="25853D9C" w:rsidR="00DC096C" w:rsidRPr="00DC096C" w:rsidRDefault="00DC096C">
            <w:pPr>
              <w:jc w:val="right"/>
              <w:rPr>
                <w:rFonts w:ascii="Arial" w:hAnsi="Arial" w:cs="Arial"/>
                <w:b/>
                <w:sz w:val="16"/>
                <w:szCs w:val="16"/>
              </w:rPr>
            </w:pPr>
            <w:r w:rsidRPr="00BA7A6B">
              <w:rPr>
                <w:rFonts w:ascii="Arial" w:hAnsi="Arial" w:cs="Arial"/>
                <w:sz w:val="16"/>
                <w:szCs w:val="16"/>
              </w:rPr>
              <w:t>-6.544.450</w:t>
            </w:r>
          </w:p>
        </w:tc>
      </w:tr>
      <w:tr w:rsidR="00DC096C" w:rsidRPr="007E4E18" w14:paraId="3070F5B9"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424CC942"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Pasivo por impuestos a las ganancias corriente</w:t>
            </w:r>
          </w:p>
        </w:tc>
        <w:tc>
          <w:tcPr>
            <w:tcW w:w="1306" w:type="dxa"/>
            <w:tcBorders>
              <w:top w:val="nil"/>
              <w:left w:val="nil"/>
              <w:bottom w:val="single" w:sz="4" w:space="0" w:color="auto"/>
              <w:right w:val="single" w:sz="4" w:space="0" w:color="auto"/>
            </w:tcBorders>
            <w:shd w:val="clear" w:color="auto" w:fill="auto"/>
            <w:noWrap/>
            <w:vAlign w:val="bottom"/>
          </w:tcPr>
          <w:p w14:paraId="16D1CE22" w14:textId="38B82DD8" w:rsidR="00DC096C" w:rsidRPr="00DC096C" w:rsidRDefault="00DC096C">
            <w:pPr>
              <w:jc w:val="right"/>
              <w:rPr>
                <w:rFonts w:ascii="Arial" w:hAnsi="Arial" w:cs="Arial"/>
                <w:sz w:val="16"/>
                <w:szCs w:val="16"/>
              </w:rPr>
            </w:pPr>
            <w:r w:rsidRPr="00BA7A6B">
              <w:rPr>
                <w:rFonts w:ascii="Arial" w:hAnsi="Arial" w:cs="Arial"/>
                <w:sz w:val="16"/>
                <w:szCs w:val="16"/>
              </w:rPr>
              <w:t xml:space="preserve"> -29.263 </w:t>
            </w:r>
          </w:p>
        </w:tc>
        <w:tc>
          <w:tcPr>
            <w:tcW w:w="1106" w:type="dxa"/>
            <w:tcBorders>
              <w:top w:val="nil"/>
              <w:left w:val="nil"/>
              <w:bottom w:val="single" w:sz="4" w:space="0" w:color="auto"/>
              <w:right w:val="single" w:sz="4" w:space="0" w:color="auto"/>
            </w:tcBorders>
            <w:shd w:val="clear" w:color="auto" w:fill="auto"/>
            <w:noWrap/>
            <w:vAlign w:val="bottom"/>
          </w:tcPr>
          <w:p w14:paraId="09DDAA13" w14:textId="43E9E98C" w:rsidR="00DC096C" w:rsidRPr="00DC096C" w:rsidRDefault="00DC096C">
            <w:pPr>
              <w:jc w:val="right"/>
              <w:rPr>
                <w:rFonts w:ascii="Arial" w:hAnsi="Arial" w:cs="Arial"/>
                <w:sz w:val="16"/>
                <w:szCs w:val="16"/>
              </w:rPr>
            </w:pPr>
            <w:r w:rsidRPr="00BA7A6B">
              <w:rPr>
                <w:rFonts w:ascii="Arial" w:hAnsi="Arial" w:cs="Arial"/>
                <w:sz w:val="16"/>
                <w:szCs w:val="16"/>
              </w:rPr>
              <w:t xml:space="preserve"> -41.470 </w:t>
            </w:r>
          </w:p>
        </w:tc>
        <w:tc>
          <w:tcPr>
            <w:tcW w:w="1243" w:type="dxa"/>
            <w:tcBorders>
              <w:top w:val="nil"/>
              <w:left w:val="nil"/>
              <w:bottom w:val="single" w:sz="4" w:space="0" w:color="auto"/>
              <w:right w:val="single" w:sz="4" w:space="0" w:color="auto"/>
            </w:tcBorders>
            <w:shd w:val="clear" w:color="auto" w:fill="auto"/>
            <w:noWrap/>
            <w:vAlign w:val="bottom"/>
          </w:tcPr>
          <w:p w14:paraId="17D24577" w14:textId="5520EA83" w:rsidR="00DC096C" w:rsidRPr="00DC096C" w:rsidRDefault="00DC096C">
            <w:pPr>
              <w:jc w:val="right"/>
              <w:rPr>
                <w:rFonts w:ascii="Arial" w:hAnsi="Arial" w:cs="Arial"/>
                <w:sz w:val="16"/>
                <w:szCs w:val="16"/>
              </w:rPr>
            </w:pPr>
            <w:r w:rsidRPr="00BA7A6B">
              <w:rPr>
                <w:rFonts w:ascii="Arial" w:hAnsi="Arial" w:cs="Arial"/>
                <w:sz w:val="16"/>
                <w:szCs w:val="16"/>
              </w:rPr>
              <w:t xml:space="preserve"> -73.857 </w:t>
            </w:r>
          </w:p>
        </w:tc>
        <w:tc>
          <w:tcPr>
            <w:tcW w:w="1105" w:type="dxa"/>
            <w:tcBorders>
              <w:top w:val="nil"/>
              <w:left w:val="nil"/>
              <w:bottom w:val="single" w:sz="4" w:space="0" w:color="auto"/>
              <w:right w:val="single" w:sz="4" w:space="0" w:color="auto"/>
            </w:tcBorders>
            <w:shd w:val="clear" w:color="auto" w:fill="auto"/>
            <w:noWrap/>
            <w:vAlign w:val="bottom"/>
          </w:tcPr>
          <w:p w14:paraId="78BFA04C" w14:textId="0180B9BE" w:rsidR="00DC096C" w:rsidRPr="00DC096C" w:rsidRDefault="00DC096C">
            <w:pPr>
              <w:jc w:val="right"/>
              <w:rPr>
                <w:rFonts w:ascii="Arial" w:hAnsi="Arial" w:cs="Arial"/>
                <w:sz w:val="16"/>
                <w:szCs w:val="16"/>
              </w:rPr>
            </w:pPr>
            <w:r w:rsidRPr="00BA7A6B">
              <w:rPr>
                <w:rFonts w:ascii="Arial" w:hAnsi="Arial" w:cs="Arial"/>
                <w:sz w:val="16"/>
                <w:szCs w:val="16"/>
              </w:rPr>
              <w:t xml:space="preserve"> -36.102 </w:t>
            </w:r>
          </w:p>
        </w:tc>
        <w:tc>
          <w:tcPr>
            <w:tcW w:w="966" w:type="dxa"/>
            <w:tcBorders>
              <w:top w:val="nil"/>
              <w:left w:val="nil"/>
              <w:bottom w:val="single" w:sz="4" w:space="0" w:color="auto"/>
              <w:right w:val="single" w:sz="4" w:space="0" w:color="auto"/>
            </w:tcBorders>
            <w:shd w:val="clear" w:color="auto" w:fill="auto"/>
            <w:noWrap/>
            <w:vAlign w:val="bottom"/>
          </w:tcPr>
          <w:p w14:paraId="6A757B0B" w14:textId="2DE4B1C4"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1" w:type="dxa"/>
            <w:tcBorders>
              <w:top w:val="nil"/>
              <w:left w:val="nil"/>
              <w:bottom w:val="single" w:sz="4" w:space="0" w:color="auto"/>
              <w:right w:val="single" w:sz="4" w:space="0" w:color="auto"/>
            </w:tcBorders>
            <w:shd w:val="clear" w:color="auto" w:fill="auto"/>
            <w:noWrap/>
            <w:vAlign w:val="bottom"/>
          </w:tcPr>
          <w:p w14:paraId="37FE4384" w14:textId="27995966" w:rsidR="00DC096C" w:rsidRPr="00DC096C" w:rsidRDefault="00DC096C">
            <w:pPr>
              <w:jc w:val="right"/>
              <w:rPr>
                <w:rFonts w:ascii="Arial" w:hAnsi="Arial" w:cs="Arial"/>
                <w:b/>
                <w:sz w:val="16"/>
                <w:szCs w:val="16"/>
              </w:rPr>
            </w:pPr>
            <w:r w:rsidRPr="00BA7A6B">
              <w:rPr>
                <w:rFonts w:ascii="Arial" w:hAnsi="Arial" w:cs="Arial"/>
                <w:sz w:val="16"/>
                <w:szCs w:val="16"/>
              </w:rPr>
              <w:t>-180.692</w:t>
            </w:r>
          </w:p>
        </w:tc>
      </w:tr>
      <w:tr w:rsidR="00DC096C" w:rsidRPr="007E4E18" w14:paraId="63B4B662" w14:textId="77777777" w:rsidTr="00BA7A6B">
        <w:trPr>
          <w:trHeight w:val="204"/>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788F7AB8"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lastRenderedPageBreak/>
              <w:t>Obligaciones negociables subordinadas</w:t>
            </w:r>
          </w:p>
        </w:tc>
        <w:tc>
          <w:tcPr>
            <w:tcW w:w="1306" w:type="dxa"/>
            <w:tcBorders>
              <w:top w:val="nil"/>
              <w:left w:val="nil"/>
              <w:bottom w:val="single" w:sz="4" w:space="0" w:color="auto"/>
              <w:right w:val="single" w:sz="4" w:space="0" w:color="auto"/>
            </w:tcBorders>
            <w:shd w:val="clear" w:color="auto" w:fill="auto"/>
            <w:noWrap/>
            <w:vAlign w:val="bottom"/>
          </w:tcPr>
          <w:p w14:paraId="3363CDBF" w14:textId="50CAD9A0"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106" w:type="dxa"/>
            <w:tcBorders>
              <w:top w:val="nil"/>
              <w:left w:val="nil"/>
              <w:bottom w:val="single" w:sz="4" w:space="0" w:color="auto"/>
              <w:right w:val="single" w:sz="4" w:space="0" w:color="auto"/>
            </w:tcBorders>
            <w:shd w:val="clear" w:color="auto" w:fill="auto"/>
            <w:noWrap/>
            <w:vAlign w:val="bottom"/>
          </w:tcPr>
          <w:p w14:paraId="16D8D741" w14:textId="06E802B5"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3" w:type="dxa"/>
            <w:tcBorders>
              <w:top w:val="nil"/>
              <w:left w:val="nil"/>
              <w:bottom w:val="single" w:sz="4" w:space="0" w:color="auto"/>
              <w:right w:val="single" w:sz="4" w:space="0" w:color="auto"/>
            </w:tcBorders>
            <w:shd w:val="clear" w:color="auto" w:fill="auto"/>
            <w:noWrap/>
            <w:vAlign w:val="bottom"/>
          </w:tcPr>
          <w:p w14:paraId="17C69B4D" w14:textId="17C4A81D" w:rsidR="00DC096C" w:rsidRPr="00DC096C" w:rsidRDefault="00DC096C">
            <w:pPr>
              <w:jc w:val="right"/>
              <w:rPr>
                <w:rFonts w:ascii="Arial" w:hAnsi="Arial" w:cs="Arial"/>
                <w:sz w:val="16"/>
                <w:szCs w:val="16"/>
              </w:rPr>
            </w:pPr>
            <w:r w:rsidRPr="00BA7A6B">
              <w:rPr>
                <w:rFonts w:ascii="Arial" w:hAnsi="Arial" w:cs="Arial"/>
                <w:sz w:val="16"/>
                <w:szCs w:val="16"/>
              </w:rPr>
              <w:t xml:space="preserve"> -2.285.239 </w:t>
            </w:r>
          </w:p>
        </w:tc>
        <w:tc>
          <w:tcPr>
            <w:tcW w:w="1105" w:type="dxa"/>
            <w:tcBorders>
              <w:top w:val="nil"/>
              <w:left w:val="nil"/>
              <w:bottom w:val="single" w:sz="4" w:space="0" w:color="auto"/>
              <w:right w:val="single" w:sz="4" w:space="0" w:color="auto"/>
            </w:tcBorders>
            <w:shd w:val="clear" w:color="auto" w:fill="auto"/>
            <w:noWrap/>
            <w:vAlign w:val="bottom"/>
          </w:tcPr>
          <w:p w14:paraId="3940A5C6" w14:textId="2BBE0E83"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966" w:type="dxa"/>
            <w:tcBorders>
              <w:top w:val="nil"/>
              <w:left w:val="nil"/>
              <w:bottom w:val="single" w:sz="4" w:space="0" w:color="auto"/>
              <w:right w:val="single" w:sz="4" w:space="0" w:color="auto"/>
            </w:tcBorders>
            <w:shd w:val="clear" w:color="auto" w:fill="auto"/>
            <w:noWrap/>
            <w:vAlign w:val="bottom"/>
          </w:tcPr>
          <w:p w14:paraId="00247DBE" w14:textId="565020B5"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1" w:type="dxa"/>
            <w:tcBorders>
              <w:top w:val="nil"/>
              <w:left w:val="nil"/>
              <w:bottom w:val="single" w:sz="4" w:space="0" w:color="auto"/>
              <w:right w:val="single" w:sz="4" w:space="0" w:color="auto"/>
            </w:tcBorders>
            <w:shd w:val="clear" w:color="auto" w:fill="auto"/>
            <w:noWrap/>
            <w:vAlign w:val="bottom"/>
          </w:tcPr>
          <w:p w14:paraId="12F88937" w14:textId="362D969D" w:rsidR="00DC096C" w:rsidRPr="00DC096C" w:rsidRDefault="00DC096C">
            <w:pPr>
              <w:jc w:val="right"/>
              <w:rPr>
                <w:rFonts w:ascii="Arial" w:hAnsi="Arial" w:cs="Arial"/>
                <w:b/>
                <w:sz w:val="16"/>
                <w:szCs w:val="16"/>
              </w:rPr>
            </w:pPr>
            <w:r w:rsidRPr="00BA7A6B">
              <w:rPr>
                <w:rFonts w:ascii="Arial" w:hAnsi="Arial" w:cs="Arial"/>
                <w:sz w:val="16"/>
                <w:szCs w:val="16"/>
              </w:rPr>
              <w:t>-2.285.239</w:t>
            </w:r>
          </w:p>
        </w:tc>
      </w:tr>
      <w:tr w:rsidR="00DC096C" w:rsidRPr="007E4E18" w14:paraId="19039C75"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26C5A6AD"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Provisiones</w:t>
            </w:r>
          </w:p>
        </w:tc>
        <w:tc>
          <w:tcPr>
            <w:tcW w:w="1306" w:type="dxa"/>
            <w:tcBorders>
              <w:top w:val="nil"/>
              <w:left w:val="nil"/>
              <w:bottom w:val="single" w:sz="4" w:space="0" w:color="auto"/>
              <w:right w:val="single" w:sz="4" w:space="0" w:color="auto"/>
            </w:tcBorders>
            <w:shd w:val="clear" w:color="auto" w:fill="auto"/>
            <w:noWrap/>
            <w:vAlign w:val="bottom"/>
          </w:tcPr>
          <w:p w14:paraId="0797F512" w14:textId="5E0970B1" w:rsidR="00DC096C" w:rsidRPr="00DC096C" w:rsidRDefault="00DC096C">
            <w:pPr>
              <w:jc w:val="right"/>
              <w:rPr>
                <w:rFonts w:ascii="Arial" w:hAnsi="Arial" w:cs="Arial"/>
                <w:sz w:val="16"/>
                <w:szCs w:val="16"/>
              </w:rPr>
            </w:pPr>
            <w:r w:rsidRPr="00BA7A6B">
              <w:rPr>
                <w:rFonts w:ascii="Arial" w:hAnsi="Arial" w:cs="Arial"/>
                <w:sz w:val="16"/>
                <w:szCs w:val="16"/>
              </w:rPr>
              <w:t xml:space="preserve"> -121.043 </w:t>
            </w:r>
          </w:p>
        </w:tc>
        <w:tc>
          <w:tcPr>
            <w:tcW w:w="1106" w:type="dxa"/>
            <w:tcBorders>
              <w:top w:val="nil"/>
              <w:left w:val="nil"/>
              <w:bottom w:val="single" w:sz="4" w:space="0" w:color="auto"/>
              <w:right w:val="single" w:sz="4" w:space="0" w:color="auto"/>
            </w:tcBorders>
            <w:shd w:val="clear" w:color="auto" w:fill="auto"/>
            <w:noWrap/>
            <w:vAlign w:val="bottom"/>
          </w:tcPr>
          <w:p w14:paraId="6BA16C2F" w14:textId="2D180DFE" w:rsidR="00DC096C" w:rsidRPr="00DC096C" w:rsidRDefault="00DC096C">
            <w:pPr>
              <w:jc w:val="right"/>
              <w:rPr>
                <w:rFonts w:ascii="Arial" w:hAnsi="Arial" w:cs="Arial"/>
                <w:sz w:val="16"/>
                <w:szCs w:val="16"/>
              </w:rPr>
            </w:pPr>
            <w:r w:rsidRPr="00BA7A6B">
              <w:rPr>
                <w:rFonts w:ascii="Arial" w:hAnsi="Arial" w:cs="Arial"/>
                <w:sz w:val="16"/>
                <w:szCs w:val="16"/>
              </w:rPr>
              <w:t xml:space="preserve"> -171.260 </w:t>
            </w:r>
          </w:p>
        </w:tc>
        <w:tc>
          <w:tcPr>
            <w:tcW w:w="1243" w:type="dxa"/>
            <w:tcBorders>
              <w:top w:val="nil"/>
              <w:left w:val="nil"/>
              <w:bottom w:val="single" w:sz="4" w:space="0" w:color="auto"/>
              <w:right w:val="single" w:sz="4" w:space="0" w:color="auto"/>
            </w:tcBorders>
            <w:shd w:val="clear" w:color="auto" w:fill="auto"/>
            <w:noWrap/>
            <w:vAlign w:val="bottom"/>
          </w:tcPr>
          <w:p w14:paraId="2AC02D34" w14:textId="67CD20F2" w:rsidR="00DC096C" w:rsidRPr="00DC096C" w:rsidRDefault="00DC096C">
            <w:pPr>
              <w:jc w:val="right"/>
              <w:rPr>
                <w:rFonts w:ascii="Arial" w:hAnsi="Arial" w:cs="Arial"/>
                <w:sz w:val="16"/>
                <w:szCs w:val="16"/>
              </w:rPr>
            </w:pPr>
            <w:r w:rsidRPr="00BA7A6B">
              <w:rPr>
                <w:rFonts w:ascii="Arial" w:hAnsi="Arial" w:cs="Arial"/>
                <w:sz w:val="16"/>
                <w:szCs w:val="16"/>
              </w:rPr>
              <w:t xml:space="preserve"> -304.800 </w:t>
            </w:r>
          </w:p>
        </w:tc>
        <w:tc>
          <w:tcPr>
            <w:tcW w:w="1105" w:type="dxa"/>
            <w:tcBorders>
              <w:top w:val="nil"/>
              <w:left w:val="nil"/>
              <w:bottom w:val="single" w:sz="4" w:space="0" w:color="auto"/>
              <w:right w:val="single" w:sz="4" w:space="0" w:color="auto"/>
            </w:tcBorders>
            <w:shd w:val="clear" w:color="auto" w:fill="auto"/>
            <w:noWrap/>
            <w:vAlign w:val="bottom"/>
          </w:tcPr>
          <w:p w14:paraId="2992ED8C" w14:textId="1B6FB393" w:rsidR="00DC096C" w:rsidRPr="00DC096C" w:rsidRDefault="00DC096C">
            <w:pPr>
              <w:jc w:val="right"/>
              <w:rPr>
                <w:rFonts w:ascii="Arial" w:hAnsi="Arial" w:cs="Arial"/>
                <w:sz w:val="16"/>
                <w:szCs w:val="16"/>
              </w:rPr>
            </w:pPr>
            <w:r w:rsidRPr="00BA7A6B">
              <w:rPr>
                <w:rFonts w:ascii="Arial" w:hAnsi="Arial" w:cs="Arial"/>
                <w:sz w:val="16"/>
                <w:szCs w:val="16"/>
              </w:rPr>
              <w:t xml:space="preserve"> -109.308 </w:t>
            </w:r>
          </w:p>
        </w:tc>
        <w:tc>
          <w:tcPr>
            <w:tcW w:w="966" w:type="dxa"/>
            <w:tcBorders>
              <w:top w:val="nil"/>
              <w:left w:val="nil"/>
              <w:bottom w:val="single" w:sz="4" w:space="0" w:color="auto"/>
              <w:right w:val="single" w:sz="4" w:space="0" w:color="auto"/>
            </w:tcBorders>
            <w:shd w:val="clear" w:color="auto" w:fill="auto"/>
            <w:noWrap/>
            <w:vAlign w:val="bottom"/>
          </w:tcPr>
          <w:p w14:paraId="04AFDC8B" w14:textId="772E6010"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1" w:type="dxa"/>
            <w:tcBorders>
              <w:top w:val="nil"/>
              <w:left w:val="nil"/>
              <w:bottom w:val="single" w:sz="4" w:space="0" w:color="auto"/>
              <w:right w:val="single" w:sz="4" w:space="0" w:color="auto"/>
            </w:tcBorders>
            <w:shd w:val="clear" w:color="auto" w:fill="auto"/>
            <w:noWrap/>
            <w:vAlign w:val="bottom"/>
          </w:tcPr>
          <w:p w14:paraId="69AC7B50" w14:textId="29B3D1F6" w:rsidR="00DC096C" w:rsidRPr="00DC096C" w:rsidRDefault="00DC096C">
            <w:pPr>
              <w:jc w:val="right"/>
              <w:rPr>
                <w:rFonts w:ascii="Arial" w:hAnsi="Arial" w:cs="Arial"/>
                <w:b/>
                <w:sz w:val="16"/>
                <w:szCs w:val="16"/>
              </w:rPr>
            </w:pPr>
            <w:r w:rsidRPr="00BA7A6B">
              <w:rPr>
                <w:rFonts w:ascii="Arial" w:hAnsi="Arial" w:cs="Arial"/>
                <w:sz w:val="16"/>
                <w:szCs w:val="16"/>
              </w:rPr>
              <w:t>-706.411</w:t>
            </w:r>
          </w:p>
        </w:tc>
      </w:tr>
      <w:tr w:rsidR="00DC096C" w:rsidRPr="007E4E18" w14:paraId="4DC613D9"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3A95F9AA" w14:textId="77777777" w:rsidR="00DC096C" w:rsidRPr="007E4E18" w:rsidRDefault="00DC096C" w:rsidP="00DC096C">
            <w:pPr>
              <w:rPr>
                <w:rFonts w:ascii="Arial" w:hAnsi="Arial" w:cs="Arial"/>
                <w:b/>
                <w:bCs/>
                <w:sz w:val="16"/>
                <w:szCs w:val="16"/>
                <w:lang w:eastAsia="es-AR"/>
              </w:rPr>
            </w:pPr>
            <w:r w:rsidRPr="007E4E18">
              <w:rPr>
                <w:rFonts w:ascii="Arial" w:hAnsi="Arial" w:cs="Arial"/>
                <w:sz w:val="16"/>
                <w:szCs w:val="16"/>
              </w:rPr>
              <w:t>Otros pasivos no financieros</w:t>
            </w:r>
          </w:p>
        </w:tc>
        <w:tc>
          <w:tcPr>
            <w:tcW w:w="1306" w:type="dxa"/>
            <w:tcBorders>
              <w:top w:val="nil"/>
              <w:left w:val="nil"/>
              <w:bottom w:val="single" w:sz="4" w:space="0" w:color="auto"/>
              <w:right w:val="single" w:sz="4" w:space="0" w:color="auto"/>
            </w:tcBorders>
            <w:shd w:val="clear" w:color="auto" w:fill="auto"/>
            <w:noWrap/>
            <w:vAlign w:val="bottom"/>
          </w:tcPr>
          <w:p w14:paraId="2697BB56" w14:textId="2FD7C8AB" w:rsidR="00DC096C" w:rsidRPr="00DC096C" w:rsidRDefault="00DC096C">
            <w:pPr>
              <w:jc w:val="right"/>
              <w:rPr>
                <w:rFonts w:ascii="Arial" w:hAnsi="Arial" w:cs="Arial"/>
                <w:sz w:val="16"/>
                <w:szCs w:val="16"/>
              </w:rPr>
            </w:pPr>
            <w:r w:rsidRPr="00BA7A6B">
              <w:rPr>
                <w:rFonts w:ascii="Arial" w:hAnsi="Arial" w:cs="Arial"/>
                <w:sz w:val="16"/>
                <w:szCs w:val="16"/>
              </w:rPr>
              <w:t xml:space="preserve"> -4.454 </w:t>
            </w:r>
          </w:p>
        </w:tc>
        <w:tc>
          <w:tcPr>
            <w:tcW w:w="1106" w:type="dxa"/>
            <w:tcBorders>
              <w:top w:val="nil"/>
              <w:left w:val="nil"/>
              <w:bottom w:val="single" w:sz="4" w:space="0" w:color="auto"/>
              <w:right w:val="single" w:sz="4" w:space="0" w:color="auto"/>
            </w:tcBorders>
            <w:shd w:val="clear" w:color="auto" w:fill="auto"/>
            <w:noWrap/>
            <w:vAlign w:val="bottom"/>
          </w:tcPr>
          <w:p w14:paraId="25FA9E25" w14:textId="4113DBA2" w:rsidR="00DC096C" w:rsidRPr="00DC096C" w:rsidRDefault="00DC096C">
            <w:pPr>
              <w:jc w:val="right"/>
              <w:rPr>
                <w:rFonts w:ascii="Arial" w:hAnsi="Arial" w:cs="Arial"/>
                <w:sz w:val="16"/>
                <w:szCs w:val="16"/>
              </w:rPr>
            </w:pPr>
            <w:r w:rsidRPr="00BA7A6B">
              <w:rPr>
                <w:rFonts w:ascii="Arial" w:hAnsi="Arial" w:cs="Arial"/>
                <w:sz w:val="16"/>
                <w:szCs w:val="16"/>
              </w:rPr>
              <w:t xml:space="preserve"> -1.155.709 </w:t>
            </w:r>
          </w:p>
        </w:tc>
        <w:tc>
          <w:tcPr>
            <w:tcW w:w="1243" w:type="dxa"/>
            <w:tcBorders>
              <w:top w:val="nil"/>
              <w:left w:val="nil"/>
              <w:bottom w:val="single" w:sz="4" w:space="0" w:color="auto"/>
              <w:right w:val="single" w:sz="4" w:space="0" w:color="auto"/>
            </w:tcBorders>
            <w:shd w:val="clear" w:color="auto" w:fill="auto"/>
            <w:noWrap/>
            <w:vAlign w:val="bottom"/>
          </w:tcPr>
          <w:p w14:paraId="1A91CB5C" w14:textId="1DE6CACA" w:rsidR="00DC096C" w:rsidRPr="00DC096C" w:rsidRDefault="00DC096C">
            <w:pPr>
              <w:jc w:val="right"/>
              <w:rPr>
                <w:rFonts w:ascii="Arial" w:hAnsi="Arial" w:cs="Arial"/>
                <w:sz w:val="16"/>
                <w:szCs w:val="16"/>
              </w:rPr>
            </w:pPr>
            <w:r w:rsidRPr="00BA7A6B">
              <w:rPr>
                <w:rFonts w:ascii="Arial" w:hAnsi="Arial" w:cs="Arial"/>
                <w:sz w:val="16"/>
                <w:szCs w:val="16"/>
              </w:rPr>
              <w:t xml:space="preserve"> -5.753.188 </w:t>
            </w:r>
          </w:p>
        </w:tc>
        <w:tc>
          <w:tcPr>
            <w:tcW w:w="1105" w:type="dxa"/>
            <w:tcBorders>
              <w:top w:val="nil"/>
              <w:left w:val="nil"/>
              <w:bottom w:val="single" w:sz="4" w:space="0" w:color="auto"/>
              <w:right w:val="single" w:sz="4" w:space="0" w:color="auto"/>
            </w:tcBorders>
            <w:shd w:val="clear" w:color="auto" w:fill="auto"/>
            <w:noWrap/>
            <w:vAlign w:val="bottom"/>
          </w:tcPr>
          <w:p w14:paraId="66333AB2" w14:textId="7051E02D" w:rsidR="00DC096C" w:rsidRPr="00DC096C" w:rsidRDefault="00DC096C">
            <w:pPr>
              <w:jc w:val="right"/>
              <w:rPr>
                <w:rFonts w:ascii="Arial" w:hAnsi="Arial" w:cs="Arial"/>
                <w:sz w:val="16"/>
                <w:szCs w:val="16"/>
              </w:rPr>
            </w:pPr>
            <w:r w:rsidRPr="00BA7A6B">
              <w:rPr>
                <w:rFonts w:ascii="Arial" w:hAnsi="Arial" w:cs="Arial"/>
                <w:sz w:val="16"/>
                <w:szCs w:val="16"/>
              </w:rPr>
              <w:t xml:space="preserve"> -742.803 </w:t>
            </w:r>
          </w:p>
        </w:tc>
        <w:tc>
          <w:tcPr>
            <w:tcW w:w="966" w:type="dxa"/>
            <w:tcBorders>
              <w:top w:val="nil"/>
              <w:left w:val="nil"/>
              <w:bottom w:val="single" w:sz="4" w:space="0" w:color="auto"/>
              <w:right w:val="single" w:sz="4" w:space="0" w:color="auto"/>
            </w:tcBorders>
            <w:shd w:val="clear" w:color="auto" w:fill="auto"/>
            <w:noWrap/>
            <w:vAlign w:val="bottom"/>
          </w:tcPr>
          <w:p w14:paraId="565FBA4B" w14:textId="46EDAEEC" w:rsidR="00DC096C" w:rsidRPr="00DC096C" w:rsidRDefault="00DC096C">
            <w:pPr>
              <w:jc w:val="right"/>
              <w:rPr>
                <w:rFonts w:ascii="Arial" w:hAnsi="Arial" w:cs="Arial"/>
                <w:sz w:val="16"/>
                <w:szCs w:val="16"/>
              </w:rPr>
            </w:pPr>
            <w:r w:rsidRPr="00BA7A6B">
              <w:rPr>
                <w:rFonts w:ascii="Arial" w:hAnsi="Arial" w:cs="Arial"/>
                <w:sz w:val="16"/>
                <w:szCs w:val="16"/>
              </w:rPr>
              <w:t xml:space="preserve"> -   </w:t>
            </w:r>
          </w:p>
        </w:tc>
        <w:tc>
          <w:tcPr>
            <w:tcW w:w="1241" w:type="dxa"/>
            <w:tcBorders>
              <w:top w:val="nil"/>
              <w:left w:val="nil"/>
              <w:bottom w:val="single" w:sz="4" w:space="0" w:color="auto"/>
              <w:right w:val="single" w:sz="4" w:space="0" w:color="auto"/>
            </w:tcBorders>
            <w:shd w:val="clear" w:color="auto" w:fill="auto"/>
            <w:noWrap/>
            <w:vAlign w:val="bottom"/>
          </w:tcPr>
          <w:p w14:paraId="317AC436" w14:textId="22CA10B6" w:rsidR="00DC096C" w:rsidRPr="00DC096C" w:rsidRDefault="00DC096C">
            <w:pPr>
              <w:jc w:val="right"/>
              <w:rPr>
                <w:rFonts w:ascii="Arial" w:hAnsi="Arial" w:cs="Arial"/>
                <w:b/>
                <w:sz w:val="16"/>
                <w:szCs w:val="16"/>
              </w:rPr>
            </w:pPr>
            <w:r w:rsidRPr="00BA7A6B">
              <w:rPr>
                <w:rFonts w:ascii="Arial" w:hAnsi="Arial" w:cs="Arial"/>
                <w:sz w:val="16"/>
                <w:szCs w:val="16"/>
              </w:rPr>
              <w:t>-7.656.154</w:t>
            </w:r>
          </w:p>
        </w:tc>
      </w:tr>
      <w:tr w:rsidR="00DC096C" w:rsidRPr="007E4E18" w14:paraId="5AA91897" w14:textId="77777777" w:rsidTr="00BA7A6B">
        <w:trPr>
          <w:trHeight w:val="217"/>
        </w:trPr>
        <w:tc>
          <w:tcPr>
            <w:tcW w:w="3242" w:type="dxa"/>
            <w:tcBorders>
              <w:top w:val="nil"/>
              <w:left w:val="single" w:sz="4" w:space="0" w:color="auto"/>
              <w:bottom w:val="single" w:sz="4" w:space="0" w:color="auto"/>
              <w:right w:val="single" w:sz="4" w:space="0" w:color="auto"/>
            </w:tcBorders>
            <w:shd w:val="clear" w:color="auto" w:fill="auto"/>
            <w:vAlign w:val="bottom"/>
            <w:hideMark/>
          </w:tcPr>
          <w:p w14:paraId="42F44991" w14:textId="77777777" w:rsidR="00DC096C" w:rsidRPr="007E4E18" w:rsidRDefault="00DC096C" w:rsidP="00DC096C">
            <w:pPr>
              <w:rPr>
                <w:rFonts w:ascii="Arial" w:hAnsi="Arial" w:cs="Arial"/>
                <w:b/>
                <w:bCs/>
                <w:sz w:val="16"/>
                <w:szCs w:val="16"/>
                <w:lang w:eastAsia="es-AR"/>
              </w:rPr>
            </w:pPr>
            <w:r w:rsidRPr="007E4E18">
              <w:rPr>
                <w:rFonts w:ascii="Arial" w:hAnsi="Arial" w:cs="Arial"/>
                <w:b/>
                <w:sz w:val="16"/>
                <w:szCs w:val="16"/>
              </w:rPr>
              <w:t>TOTAL PASIVO</w:t>
            </w:r>
          </w:p>
        </w:tc>
        <w:tc>
          <w:tcPr>
            <w:tcW w:w="1306" w:type="dxa"/>
            <w:tcBorders>
              <w:top w:val="nil"/>
              <w:left w:val="nil"/>
              <w:bottom w:val="single" w:sz="4" w:space="0" w:color="auto"/>
              <w:right w:val="single" w:sz="4" w:space="0" w:color="auto"/>
            </w:tcBorders>
            <w:shd w:val="clear" w:color="auto" w:fill="auto"/>
            <w:noWrap/>
            <w:vAlign w:val="bottom"/>
          </w:tcPr>
          <w:p w14:paraId="30B7226F" w14:textId="1DA74CF6" w:rsidR="00DC096C" w:rsidRPr="00DC096C" w:rsidRDefault="00DC096C">
            <w:pPr>
              <w:jc w:val="right"/>
              <w:rPr>
                <w:rFonts w:ascii="Arial" w:hAnsi="Arial" w:cs="Arial"/>
                <w:b/>
                <w:sz w:val="16"/>
                <w:szCs w:val="16"/>
              </w:rPr>
            </w:pPr>
            <w:r w:rsidRPr="00BA7A6B">
              <w:rPr>
                <w:rFonts w:ascii="Arial" w:hAnsi="Arial" w:cs="Arial"/>
                <w:b/>
                <w:sz w:val="16"/>
                <w:szCs w:val="16"/>
              </w:rPr>
              <w:t xml:space="preserve"> -13.027.781 </w:t>
            </w:r>
          </w:p>
        </w:tc>
        <w:tc>
          <w:tcPr>
            <w:tcW w:w="1106" w:type="dxa"/>
            <w:tcBorders>
              <w:top w:val="nil"/>
              <w:left w:val="nil"/>
              <w:bottom w:val="single" w:sz="4" w:space="0" w:color="auto"/>
              <w:right w:val="single" w:sz="4" w:space="0" w:color="auto"/>
            </w:tcBorders>
            <w:shd w:val="clear" w:color="auto" w:fill="auto"/>
            <w:noWrap/>
            <w:vAlign w:val="bottom"/>
          </w:tcPr>
          <w:p w14:paraId="7CB0BF3B" w14:textId="590D74BB" w:rsidR="00DC096C" w:rsidRPr="00DC096C" w:rsidRDefault="00DC096C">
            <w:pPr>
              <w:jc w:val="right"/>
              <w:rPr>
                <w:rFonts w:ascii="Arial" w:hAnsi="Arial" w:cs="Arial"/>
                <w:b/>
                <w:sz w:val="16"/>
                <w:szCs w:val="16"/>
              </w:rPr>
            </w:pPr>
            <w:r w:rsidRPr="00BA7A6B">
              <w:rPr>
                <w:rFonts w:ascii="Arial" w:hAnsi="Arial" w:cs="Arial"/>
                <w:b/>
                <w:sz w:val="16"/>
                <w:szCs w:val="16"/>
              </w:rPr>
              <w:t xml:space="preserve"> -73.554.345 </w:t>
            </w:r>
          </w:p>
        </w:tc>
        <w:tc>
          <w:tcPr>
            <w:tcW w:w="1243" w:type="dxa"/>
            <w:tcBorders>
              <w:top w:val="nil"/>
              <w:left w:val="nil"/>
              <w:bottom w:val="single" w:sz="4" w:space="0" w:color="auto"/>
              <w:right w:val="single" w:sz="4" w:space="0" w:color="auto"/>
            </w:tcBorders>
            <w:shd w:val="clear" w:color="auto" w:fill="auto"/>
            <w:noWrap/>
            <w:vAlign w:val="bottom"/>
          </w:tcPr>
          <w:p w14:paraId="23A54281" w14:textId="73739084" w:rsidR="00DC096C" w:rsidRPr="00DC096C" w:rsidRDefault="00DC096C">
            <w:pPr>
              <w:jc w:val="right"/>
              <w:rPr>
                <w:rFonts w:ascii="Arial" w:hAnsi="Arial" w:cs="Arial"/>
                <w:b/>
                <w:sz w:val="16"/>
                <w:szCs w:val="16"/>
              </w:rPr>
            </w:pPr>
            <w:r w:rsidRPr="00BA7A6B">
              <w:rPr>
                <w:rFonts w:ascii="Arial" w:hAnsi="Arial" w:cs="Arial"/>
                <w:b/>
                <w:sz w:val="16"/>
                <w:szCs w:val="16"/>
              </w:rPr>
              <w:t xml:space="preserve"> -43.355.289 </w:t>
            </w:r>
          </w:p>
        </w:tc>
        <w:tc>
          <w:tcPr>
            <w:tcW w:w="1105" w:type="dxa"/>
            <w:tcBorders>
              <w:top w:val="nil"/>
              <w:left w:val="nil"/>
              <w:bottom w:val="single" w:sz="4" w:space="0" w:color="auto"/>
              <w:right w:val="single" w:sz="4" w:space="0" w:color="auto"/>
            </w:tcBorders>
            <w:shd w:val="clear" w:color="auto" w:fill="auto"/>
            <w:noWrap/>
            <w:vAlign w:val="bottom"/>
          </w:tcPr>
          <w:p w14:paraId="15F5234F" w14:textId="3AD446FC" w:rsidR="00DC096C" w:rsidRPr="00DC096C" w:rsidRDefault="00DC096C">
            <w:pPr>
              <w:jc w:val="right"/>
              <w:rPr>
                <w:rFonts w:ascii="Arial" w:hAnsi="Arial" w:cs="Arial"/>
                <w:b/>
                <w:sz w:val="16"/>
                <w:szCs w:val="16"/>
              </w:rPr>
            </w:pPr>
            <w:r w:rsidRPr="00BA7A6B">
              <w:rPr>
                <w:rFonts w:ascii="Arial" w:hAnsi="Arial" w:cs="Arial"/>
                <w:b/>
                <w:sz w:val="16"/>
                <w:szCs w:val="16"/>
              </w:rPr>
              <w:t xml:space="preserve"> -6.044.969 </w:t>
            </w:r>
          </w:p>
        </w:tc>
        <w:tc>
          <w:tcPr>
            <w:tcW w:w="966" w:type="dxa"/>
            <w:tcBorders>
              <w:top w:val="nil"/>
              <w:left w:val="nil"/>
              <w:bottom w:val="single" w:sz="4" w:space="0" w:color="auto"/>
              <w:right w:val="single" w:sz="4" w:space="0" w:color="auto"/>
            </w:tcBorders>
            <w:shd w:val="clear" w:color="auto" w:fill="auto"/>
            <w:noWrap/>
            <w:vAlign w:val="bottom"/>
          </w:tcPr>
          <w:p w14:paraId="78585C5F" w14:textId="44B81239" w:rsidR="00DC096C" w:rsidRPr="00DC096C" w:rsidRDefault="00DC096C">
            <w:pPr>
              <w:jc w:val="right"/>
              <w:rPr>
                <w:rFonts w:ascii="Arial" w:hAnsi="Arial" w:cs="Arial"/>
                <w:b/>
                <w:sz w:val="16"/>
                <w:szCs w:val="16"/>
              </w:rPr>
            </w:pPr>
            <w:r w:rsidRPr="00BA7A6B">
              <w:rPr>
                <w:rFonts w:ascii="Arial" w:hAnsi="Arial" w:cs="Arial"/>
                <w:b/>
                <w:sz w:val="16"/>
                <w:szCs w:val="16"/>
              </w:rPr>
              <w:t xml:space="preserve">2.271.683 </w:t>
            </w:r>
          </w:p>
        </w:tc>
        <w:tc>
          <w:tcPr>
            <w:tcW w:w="1241" w:type="dxa"/>
            <w:tcBorders>
              <w:top w:val="nil"/>
              <w:left w:val="nil"/>
              <w:bottom w:val="single" w:sz="4" w:space="0" w:color="auto"/>
              <w:right w:val="single" w:sz="4" w:space="0" w:color="auto"/>
            </w:tcBorders>
            <w:shd w:val="clear" w:color="auto" w:fill="auto"/>
            <w:noWrap/>
            <w:vAlign w:val="bottom"/>
          </w:tcPr>
          <w:p w14:paraId="70DC9E12" w14:textId="3929D374" w:rsidR="00DC096C" w:rsidRPr="00DC096C" w:rsidRDefault="00DC096C">
            <w:pPr>
              <w:jc w:val="right"/>
              <w:rPr>
                <w:rFonts w:ascii="Arial" w:hAnsi="Arial" w:cs="Arial"/>
                <w:b/>
                <w:sz w:val="16"/>
                <w:szCs w:val="16"/>
              </w:rPr>
            </w:pPr>
            <w:r w:rsidRPr="00BA7A6B">
              <w:rPr>
                <w:rFonts w:ascii="Arial" w:hAnsi="Arial" w:cs="Arial"/>
                <w:b/>
                <w:sz w:val="16"/>
                <w:szCs w:val="16"/>
              </w:rPr>
              <w:t>-133.710.701</w:t>
            </w:r>
          </w:p>
        </w:tc>
      </w:tr>
    </w:tbl>
    <w:p w14:paraId="1E5D2D96" w14:textId="77777777" w:rsidR="00DC096C" w:rsidRDefault="00DC096C" w:rsidP="00E31F15">
      <w:pPr>
        <w:spacing w:after="160" w:line="259" w:lineRule="auto"/>
        <w:jc w:val="both"/>
        <w:rPr>
          <w:rFonts w:ascii="Arial" w:eastAsia="Calibri" w:hAnsi="Arial" w:cs="Arial"/>
          <w:b/>
          <w:bCs/>
          <w:sz w:val="20"/>
        </w:rPr>
      </w:pPr>
    </w:p>
    <w:p w14:paraId="0C28C672" w14:textId="7BE710A4" w:rsidR="00A06BE9" w:rsidRPr="00701F32" w:rsidRDefault="00D26051" w:rsidP="00A06BE9">
      <w:pPr>
        <w:spacing w:after="160" w:line="259" w:lineRule="auto"/>
        <w:jc w:val="both"/>
        <w:rPr>
          <w:rFonts w:ascii="Arial" w:eastAsia="Calibri" w:hAnsi="Arial" w:cs="Arial"/>
          <w:b/>
          <w:color w:val="943634"/>
          <w:sz w:val="20"/>
        </w:rPr>
      </w:pPr>
      <w:r w:rsidRPr="00DC0CC4">
        <w:rPr>
          <w:rFonts w:ascii="Arial" w:eastAsia="Calibri" w:hAnsi="Arial" w:cs="Arial"/>
          <w:b/>
          <w:bCs/>
          <w:sz w:val="20"/>
        </w:rPr>
        <w:t>4</w:t>
      </w:r>
      <w:r w:rsidR="00A06BE9" w:rsidRPr="00DC0CC4">
        <w:rPr>
          <w:rFonts w:ascii="Arial" w:eastAsia="Calibri" w:hAnsi="Arial" w:cs="Arial"/>
          <w:b/>
          <w:bCs/>
          <w:sz w:val="20"/>
        </w:rPr>
        <w:t xml:space="preserve">. </w:t>
      </w:r>
      <w:r w:rsidR="00582EAB" w:rsidRPr="00DC0CC4">
        <w:rPr>
          <w:rFonts w:ascii="Arial" w:eastAsia="Calibri" w:hAnsi="Arial" w:cs="Arial"/>
          <w:b/>
          <w:bCs/>
          <w:sz w:val="20"/>
        </w:rPr>
        <w:t>VALORES RAZONABLES</w:t>
      </w:r>
    </w:p>
    <w:p w14:paraId="6C2B9431" w14:textId="649FF86F" w:rsidR="00A06BE9" w:rsidRPr="00701F32" w:rsidRDefault="00A06BE9" w:rsidP="00A06BE9">
      <w:pPr>
        <w:spacing w:after="160" w:line="259" w:lineRule="auto"/>
        <w:jc w:val="both"/>
        <w:rPr>
          <w:rFonts w:ascii="Arial" w:eastAsia="Calibri" w:hAnsi="Arial" w:cs="Arial"/>
          <w:bCs/>
          <w:sz w:val="20"/>
        </w:rPr>
      </w:pPr>
      <w:r w:rsidRPr="00701F32">
        <w:rPr>
          <w:rFonts w:ascii="Arial" w:eastAsia="Calibri" w:hAnsi="Arial" w:cs="Arial"/>
          <w:bCs/>
          <w:sz w:val="20"/>
        </w:rPr>
        <w:t xml:space="preserve">La Entidad clasifica los valores razonables de los instrumentos financieros en tres niveles, </w:t>
      </w:r>
      <w:r w:rsidR="00F20D65" w:rsidRPr="00701F32">
        <w:rPr>
          <w:rFonts w:ascii="Arial" w:eastAsia="Calibri" w:hAnsi="Arial" w:cs="Arial"/>
          <w:bCs/>
          <w:sz w:val="20"/>
        </w:rPr>
        <w:t>de acuerdo con</w:t>
      </w:r>
      <w:r w:rsidRPr="00701F32">
        <w:rPr>
          <w:rFonts w:ascii="Arial" w:eastAsia="Calibri" w:hAnsi="Arial" w:cs="Arial"/>
          <w:bCs/>
          <w:sz w:val="20"/>
        </w:rPr>
        <w:t xml:space="preserve"> la calidad de los datos utilizados para su determinación. </w:t>
      </w:r>
    </w:p>
    <w:p w14:paraId="5EE0FA5C" w14:textId="21A9D28D" w:rsidR="00A06BE9" w:rsidRPr="00701F32" w:rsidRDefault="00A06BE9" w:rsidP="00A06BE9">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Valor Razonable Nivel 1: El</w:t>
      </w:r>
      <w:r w:rsidRPr="00701F32">
        <w:rPr>
          <w:rFonts w:ascii="Arial" w:eastAsia="Calibri" w:hAnsi="Arial" w:cs="Arial"/>
          <w:color w:val="000000"/>
          <w:sz w:val="20"/>
        </w:rPr>
        <w:t xml:space="preserve"> valor razonable de los instrumentos financieros negociados en mercados activos (como derivados negociados públicamente, inversiones negociables o disponibles para la venta) se basa en los precios de cotización de los merca</w:t>
      </w:r>
      <w:r w:rsidR="002D5805">
        <w:rPr>
          <w:rFonts w:ascii="Arial" w:eastAsia="Calibri" w:hAnsi="Arial" w:cs="Arial"/>
          <w:color w:val="000000"/>
          <w:sz w:val="20"/>
        </w:rPr>
        <w:t>dos (sin ajustar) a la fecha de cierre</w:t>
      </w:r>
      <w:r w:rsidRPr="00701F32">
        <w:rPr>
          <w:rFonts w:ascii="Arial" w:eastAsia="Calibri" w:hAnsi="Arial" w:cs="Arial"/>
          <w:color w:val="000000"/>
          <w:sz w:val="20"/>
        </w:rPr>
        <w:t xml:space="preserve">. El precio de mercado utilizado en los activos financieros mantenidos por la Entidad es el precio de compra actual. Estos instrumentos se incluyen en el nivel 1. </w:t>
      </w:r>
    </w:p>
    <w:p w14:paraId="77F17E40" w14:textId="77777777" w:rsidR="00A06BE9" w:rsidRPr="00701F32" w:rsidRDefault="00A06BE9" w:rsidP="00A06BE9">
      <w:pPr>
        <w:autoSpaceDE w:val="0"/>
        <w:autoSpaceDN w:val="0"/>
        <w:adjustRightInd w:val="0"/>
        <w:jc w:val="both"/>
        <w:rPr>
          <w:rFonts w:ascii="Arial" w:eastAsia="Calibri" w:hAnsi="Arial" w:cs="Arial"/>
          <w:bCs/>
          <w:color w:val="000000"/>
          <w:sz w:val="20"/>
        </w:rPr>
      </w:pPr>
    </w:p>
    <w:p w14:paraId="06854D7F" w14:textId="376B4E7A" w:rsidR="00A06BE9" w:rsidRPr="00701F32" w:rsidRDefault="00A06BE9" w:rsidP="00A06BE9">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 xml:space="preserve">Valor Razonable Nivel 2: </w:t>
      </w:r>
      <w:r w:rsidRPr="00701F32">
        <w:rPr>
          <w:rFonts w:ascii="Arial" w:eastAsia="Calibri" w:hAnsi="Arial" w:cs="Arial"/>
          <w:color w:val="000000"/>
          <w:sz w:val="20"/>
        </w:rPr>
        <w:t xml:space="preserve">El valor razonable de instrumentos financieros que no se negocian en mercados activos, por ejemplo, los derivados disponibles fuera de bolsa (over-the-counter), se determina utilizando técnicas de valuación que maximizan el uso de información observable y deposita la menor confianza posible en </w:t>
      </w:r>
      <w:r w:rsidR="00497DA1">
        <w:rPr>
          <w:rFonts w:ascii="Arial" w:eastAsia="Calibri" w:hAnsi="Arial" w:cs="Arial"/>
          <w:color w:val="000000"/>
          <w:sz w:val="20"/>
        </w:rPr>
        <w:t>estimaciones</w:t>
      </w:r>
      <w:r w:rsidR="00497DA1" w:rsidRPr="00701F32">
        <w:rPr>
          <w:rFonts w:ascii="Arial" w:eastAsia="Calibri" w:hAnsi="Arial" w:cs="Arial"/>
          <w:color w:val="000000"/>
          <w:sz w:val="20"/>
        </w:rPr>
        <w:t xml:space="preserve"> </w:t>
      </w:r>
      <w:r w:rsidRPr="00701F32">
        <w:rPr>
          <w:rFonts w:ascii="Arial" w:eastAsia="Calibri" w:hAnsi="Arial" w:cs="Arial"/>
          <w:color w:val="000000"/>
          <w:sz w:val="20"/>
        </w:rPr>
        <w:t>específic</w:t>
      </w:r>
      <w:r w:rsidR="003D3A29">
        <w:rPr>
          <w:rFonts w:ascii="Arial" w:eastAsia="Calibri" w:hAnsi="Arial" w:cs="Arial"/>
          <w:color w:val="000000"/>
          <w:sz w:val="20"/>
        </w:rPr>
        <w:t>a</w:t>
      </w:r>
      <w:r w:rsidRPr="00701F32">
        <w:rPr>
          <w:rFonts w:ascii="Arial" w:eastAsia="Calibri" w:hAnsi="Arial" w:cs="Arial"/>
          <w:color w:val="000000"/>
          <w:sz w:val="20"/>
        </w:rPr>
        <w:t xml:space="preserve">s de la gerencia. Si todas las variables relevantes para establecer el valor razonable de un instrumento financiero son observables, el instrumento se incluye en el nivel 2. </w:t>
      </w:r>
    </w:p>
    <w:p w14:paraId="42FAB882" w14:textId="77777777" w:rsidR="00A06BE9" w:rsidRPr="00701F32" w:rsidRDefault="00A06BE9" w:rsidP="00A06BE9">
      <w:pPr>
        <w:autoSpaceDE w:val="0"/>
        <w:autoSpaceDN w:val="0"/>
        <w:adjustRightInd w:val="0"/>
        <w:jc w:val="both"/>
        <w:rPr>
          <w:rFonts w:ascii="Arial" w:eastAsia="Calibri" w:hAnsi="Arial" w:cs="Arial"/>
          <w:bCs/>
          <w:color w:val="000000"/>
          <w:sz w:val="20"/>
        </w:rPr>
      </w:pPr>
    </w:p>
    <w:p w14:paraId="278535FC" w14:textId="77777777" w:rsidR="00A06BE9" w:rsidRPr="00701F32" w:rsidRDefault="00A06BE9" w:rsidP="00A06BE9">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 xml:space="preserve">Valor Razonable Nivel 3: </w:t>
      </w:r>
      <w:r w:rsidRPr="00701F32">
        <w:rPr>
          <w:rFonts w:ascii="Arial" w:eastAsia="Calibri" w:hAnsi="Arial" w:cs="Arial"/>
          <w:color w:val="000000"/>
          <w:sz w:val="20"/>
        </w:rPr>
        <w:t xml:space="preserve">Si una o más variables relevantes no se basan en información observable de mercado, el instrumento se incluye en el nivel 3. </w:t>
      </w:r>
    </w:p>
    <w:p w14:paraId="0000546A" w14:textId="77777777" w:rsidR="00AF05CB" w:rsidRPr="00701F32" w:rsidRDefault="00AF05CB" w:rsidP="00A06BE9">
      <w:pPr>
        <w:autoSpaceDE w:val="0"/>
        <w:autoSpaceDN w:val="0"/>
        <w:adjustRightInd w:val="0"/>
        <w:jc w:val="both"/>
        <w:rPr>
          <w:rFonts w:ascii="Arial" w:eastAsia="Calibri" w:hAnsi="Arial" w:cs="Arial"/>
          <w:color w:val="000000"/>
          <w:sz w:val="20"/>
        </w:rPr>
      </w:pPr>
    </w:p>
    <w:p w14:paraId="31A1C634" w14:textId="263D7D9A" w:rsidR="00D570C9" w:rsidRPr="005F090B" w:rsidRDefault="00A06BE9" w:rsidP="00A06BE9">
      <w:pPr>
        <w:spacing w:after="160" w:line="259" w:lineRule="auto"/>
        <w:jc w:val="both"/>
        <w:rPr>
          <w:rFonts w:ascii="Arial" w:eastAsia="Calibri" w:hAnsi="Arial" w:cs="Arial"/>
          <w:bCs/>
          <w:sz w:val="20"/>
        </w:rPr>
      </w:pPr>
      <w:r w:rsidRPr="00701F32">
        <w:rPr>
          <w:rFonts w:ascii="Arial" w:eastAsia="Calibri" w:hAnsi="Arial" w:cs="Arial"/>
          <w:bCs/>
          <w:sz w:val="20"/>
        </w:rPr>
        <w:t>A continuación</w:t>
      </w:r>
      <w:r w:rsidR="00B30DEB" w:rsidRPr="00701F32">
        <w:rPr>
          <w:rFonts w:ascii="Arial" w:eastAsia="Calibri" w:hAnsi="Arial" w:cs="Arial"/>
          <w:bCs/>
          <w:sz w:val="20"/>
        </w:rPr>
        <w:t>,</w:t>
      </w:r>
      <w:r w:rsidRPr="00701F32">
        <w:rPr>
          <w:rFonts w:ascii="Arial" w:eastAsia="Calibri" w:hAnsi="Arial" w:cs="Arial"/>
          <w:bCs/>
          <w:sz w:val="20"/>
        </w:rPr>
        <w:t xml:space="preserve"> se </w:t>
      </w:r>
      <w:r w:rsidRPr="005F090B">
        <w:rPr>
          <w:rFonts w:ascii="Arial" w:eastAsia="Calibri" w:hAnsi="Arial" w:cs="Arial"/>
          <w:bCs/>
          <w:sz w:val="20"/>
        </w:rPr>
        <w:t xml:space="preserve">detallan los instrumentos financieros registrados a valor razonable al </w:t>
      </w:r>
      <w:r w:rsidR="00CC6991" w:rsidRPr="005F090B">
        <w:rPr>
          <w:rFonts w:ascii="Arial" w:eastAsia="Calibri" w:hAnsi="Arial" w:cs="Arial"/>
          <w:bCs/>
          <w:sz w:val="20"/>
        </w:rPr>
        <w:t>3</w:t>
      </w:r>
      <w:r w:rsidR="00D570C9" w:rsidRPr="005F090B">
        <w:rPr>
          <w:rFonts w:ascii="Arial" w:eastAsia="Calibri" w:hAnsi="Arial" w:cs="Arial"/>
          <w:bCs/>
          <w:sz w:val="20"/>
        </w:rPr>
        <w:t>1</w:t>
      </w:r>
      <w:r w:rsidR="00CC6991" w:rsidRPr="005F090B">
        <w:rPr>
          <w:rFonts w:ascii="Arial" w:eastAsia="Calibri" w:hAnsi="Arial" w:cs="Arial"/>
          <w:bCs/>
          <w:sz w:val="20"/>
        </w:rPr>
        <w:t xml:space="preserve"> de </w:t>
      </w:r>
      <w:r w:rsidR="00D570C9" w:rsidRPr="005F090B">
        <w:rPr>
          <w:rFonts w:ascii="Arial" w:eastAsia="Calibri" w:hAnsi="Arial" w:cs="Arial"/>
          <w:bCs/>
          <w:sz w:val="20"/>
        </w:rPr>
        <w:t>marzo</w:t>
      </w:r>
      <w:r w:rsidR="00CC6991" w:rsidRPr="005F090B">
        <w:rPr>
          <w:rFonts w:ascii="Arial" w:eastAsia="Calibri" w:hAnsi="Arial" w:cs="Arial"/>
          <w:bCs/>
          <w:sz w:val="20"/>
        </w:rPr>
        <w:t xml:space="preserve"> de 20</w:t>
      </w:r>
      <w:r w:rsidR="00D570C9" w:rsidRPr="005F090B">
        <w:rPr>
          <w:rFonts w:ascii="Arial" w:eastAsia="Calibri" w:hAnsi="Arial" w:cs="Arial"/>
          <w:bCs/>
          <w:sz w:val="20"/>
        </w:rPr>
        <w:t>20</w:t>
      </w:r>
      <w:r w:rsidR="00CC6991" w:rsidRPr="005F090B">
        <w:rPr>
          <w:rFonts w:ascii="Arial" w:eastAsia="Calibri" w:hAnsi="Arial" w:cs="Arial"/>
          <w:bCs/>
          <w:sz w:val="20"/>
        </w:rPr>
        <w:t xml:space="preserve"> y </w:t>
      </w:r>
      <w:r w:rsidR="00C43BF8" w:rsidRPr="005F090B">
        <w:rPr>
          <w:rFonts w:ascii="Arial" w:eastAsia="Calibri" w:hAnsi="Arial" w:cs="Arial"/>
          <w:bCs/>
          <w:sz w:val="20"/>
        </w:rPr>
        <w:t xml:space="preserve">31 de diciembre de </w:t>
      </w:r>
      <w:r w:rsidR="00CC6991" w:rsidRPr="005F090B">
        <w:rPr>
          <w:rFonts w:ascii="Arial" w:eastAsia="Calibri" w:hAnsi="Arial" w:cs="Arial"/>
          <w:bCs/>
          <w:sz w:val="20"/>
        </w:rPr>
        <w:t>201</w:t>
      </w:r>
      <w:r w:rsidR="00D570C9" w:rsidRPr="005F090B">
        <w:rPr>
          <w:rFonts w:ascii="Arial" w:eastAsia="Calibri" w:hAnsi="Arial" w:cs="Arial"/>
          <w:bCs/>
          <w:sz w:val="20"/>
        </w:rPr>
        <w:t>9</w:t>
      </w:r>
      <w:r w:rsidRPr="005F090B">
        <w:rPr>
          <w:rFonts w:ascii="Arial" w:eastAsia="Calibri" w:hAnsi="Arial" w:cs="Arial"/>
          <w:bCs/>
          <w:sz w:val="20"/>
        </w:rPr>
        <w:t>:</w:t>
      </w:r>
    </w:p>
    <w:tbl>
      <w:tblPr>
        <w:tblW w:w="5415" w:type="pct"/>
        <w:tblLayout w:type="fixed"/>
        <w:tblCellMar>
          <w:left w:w="70" w:type="dxa"/>
          <w:right w:w="70" w:type="dxa"/>
        </w:tblCellMar>
        <w:tblLook w:val="04A0" w:firstRow="1" w:lastRow="0" w:firstColumn="1" w:lastColumn="0" w:noHBand="0" w:noVBand="1"/>
      </w:tblPr>
      <w:tblGrid>
        <w:gridCol w:w="4440"/>
        <w:gridCol w:w="1224"/>
        <w:gridCol w:w="1225"/>
        <w:gridCol w:w="1091"/>
        <w:gridCol w:w="1220"/>
      </w:tblGrid>
      <w:tr w:rsidR="002278C2" w:rsidRPr="005F090B" w14:paraId="0222A83D" w14:textId="77777777" w:rsidTr="00A55435">
        <w:trPr>
          <w:trHeight w:val="236"/>
          <w:tblHeader/>
        </w:trPr>
        <w:tc>
          <w:tcPr>
            <w:tcW w:w="24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101CA" w14:textId="06AED9B3" w:rsidR="002278C2" w:rsidRPr="002E1AF6" w:rsidRDefault="002278C2" w:rsidP="009C5DAE">
            <w:pPr>
              <w:jc w:val="both"/>
              <w:rPr>
                <w:rFonts w:ascii="Arial" w:hAnsi="Arial" w:cs="Arial"/>
                <w:b/>
                <w:sz w:val="16"/>
                <w:szCs w:val="16"/>
                <w:lang w:eastAsia="es-AR"/>
              </w:rPr>
            </w:pPr>
            <w:r w:rsidRPr="002E1AF6">
              <w:rPr>
                <w:rFonts w:ascii="Arial" w:eastAsia="Calibri" w:hAnsi="Arial" w:cs="Arial"/>
                <w:bCs/>
                <w:sz w:val="16"/>
                <w:szCs w:val="16"/>
              </w:rPr>
              <w:br w:type="page"/>
            </w:r>
            <w:r w:rsidR="009C5DAE" w:rsidRPr="002E1AF6">
              <w:rPr>
                <w:rFonts w:ascii="Arial" w:hAnsi="Arial" w:cs="Arial"/>
                <w:b/>
                <w:sz w:val="16"/>
                <w:szCs w:val="16"/>
                <w:lang w:eastAsia="es-AR"/>
              </w:rPr>
              <w:t xml:space="preserve">Cartera de instrumentos al </w:t>
            </w:r>
            <w:r w:rsidR="00D570C9" w:rsidRPr="002E1AF6">
              <w:rPr>
                <w:rFonts w:ascii="Arial" w:hAnsi="Arial" w:cs="Arial"/>
                <w:b/>
                <w:sz w:val="16"/>
                <w:szCs w:val="16"/>
                <w:lang w:eastAsia="es-AR"/>
              </w:rPr>
              <w:t>31/03/2020</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186E7C39" w14:textId="77777777" w:rsidR="002278C2" w:rsidRPr="002E1AF6" w:rsidRDefault="002278C2" w:rsidP="00992CF2">
            <w:pPr>
              <w:jc w:val="center"/>
              <w:rPr>
                <w:rFonts w:ascii="Arial" w:hAnsi="Arial" w:cs="Arial"/>
                <w:b/>
                <w:sz w:val="16"/>
                <w:szCs w:val="16"/>
                <w:lang w:eastAsia="es-AR"/>
              </w:rPr>
            </w:pPr>
            <w:r w:rsidRPr="002E1AF6">
              <w:rPr>
                <w:rFonts w:ascii="Arial" w:hAnsi="Arial" w:cs="Arial"/>
                <w:b/>
                <w:sz w:val="16"/>
                <w:szCs w:val="16"/>
                <w:lang w:eastAsia="es-AR"/>
              </w:rPr>
              <w:t>VR nivel 1</w:t>
            </w:r>
          </w:p>
        </w:tc>
        <w:tc>
          <w:tcPr>
            <w:tcW w:w="666" w:type="pct"/>
            <w:tcBorders>
              <w:top w:val="single" w:sz="4" w:space="0" w:color="auto"/>
              <w:left w:val="nil"/>
              <w:bottom w:val="single" w:sz="4" w:space="0" w:color="auto"/>
              <w:right w:val="single" w:sz="4" w:space="0" w:color="auto"/>
            </w:tcBorders>
            <w:shd w:val="clear" w:color="auto" w:fill="auto"/>
            <w:noWrap/>
            <w:vAlign w:val="bottom"/>
            <w:hideMark/>
          </w:tcPr>
          <w:p w14:paraId="61A06861" w14:textId="77777777" w:rsidR="002278C2" w:rsidRPr="002E1AF6" w:rsidRDefault="002278C2" w:rsidP="00992CF2">
            <w:pPr>
              <w:jc w:val="center"/>
              <w:rPr>
                <w:rFonts w:ascii="Arial" w:hAnsi="Arial" w:cs="Arial"/>
                <w:b/>
                <w:sz w:val="16"/>
                <w:szCs w:val="16"/>
                <w:lang w:eastAsia="es-AR"/>
              </w:rPr>
            </w:pPr>
            <w:r w:rsidRPr="002E1AF6">
              <w:rPr>
                <w:rFonts w:ascii="Arial" w:hAnsi="Arial" w:cs="Arial"/>
                <w:b/>
                <w:sz w:val="16"/>
                <w:szCs w:val="16"/>
                <w:lang w:eastAsia="es-AR"/>
              </w:rPr>
              <w:t>VR nivel 2</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14:paraId="61D12AA0" w14:textId="77777777" w:rsidR="002278C2" w:rsidRPr="002E1AF6" w:rsidRDefault="002278C2" w:rsidP="00992CF2">
            <w:pPr>
              <w:jc w:val="center"/>
              <w:rPr>
                <w:rFonts w:ascii="Arial" w:hAnsi="Arial" w:cs="Arial"/>
                <w:b/>
                <w:sz w:val="16"/>
                <w:szCs w:val="16"/>
                <w:lang w:eastAsia="es-AR"/>
              </w:rPr>
            </w:pPr>
            <w:r w:rsidRPr="002E1AF6">
              <w:rPr>
                <w:rFonts w:ascii="Arial" w:hAnsi="Arial" w:cs="Arial"/>
                <w:b/>
                <w:sz w:val="16"/>
                <w:szCs w:val="16"/>
                <w:lang w:eastAsia="es-AR"/>
              </w:rPr>
              <w:t>VR nivel 3</w:t>
            </w:r>
          </w:p>
        </w:tc>
        <w:tc>
          <w:tcPr>
            <w:tcW w:w="663" w:type="pct"/>
            <w:tcBorders>
              <w:top w:val="single" w:sz="4" w:space="0" w:color="auto"/>
              <w:left w:val="nil"/>
              <w:bottom w:val="single" w:sz="4" w:space="0" w:color="auto"/>
              <w:right w:val="single" w:sz="4" w:space="0" w:color="auto"/>
            </w:tcBorders>
            <w:vAlign w:val="center"/>
          </w:tcPr>
          <w:p w14:paraId="305D30B7" w14:textId="77777777" w:rsidR="002278C2" w:rsidRPr="002E1AF6" w:rsidRDefault="002278C2" w:rsidP="00992CF2">
            <w:pPr>
              <w:jc w:val="center"/>
              <w:rPr>
                <w:rFonts w:ascii="Arial" w:hAnsi="Arial" w:cs="Arial"/>
                <w:b/>
                <w:sz w:val="16"/>
                <w:szCs w:val="16"/>
                <w:lang w:eastAsia="es-AR"/>
              </w:rPr>
            </w:pPr>
            <w:r w:rsidRPr="002E1AF6">
              <w:rPr>
                <w:rFonts w:ascii="Arial" w:hAnsi="Arial" w:cs="Arial"/>
                <w:b/>
                <w:sz w:val="16"/>
                <w:szCs w:val="16"/>
                <w:lang w:eastAsia="es-AR"/>
              </w:rPr>
              <w:t>Total</w:t>
            </w:r>
          </w:p>
        </w:tc>
      </w:tr>
      <w:tr w:rsidR="002278C2" w:rsidRPr="005F090B" w14:paraId="3D7695BB" w14:textId="77777777" w:rsidTr="00A55435">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069CD1C7" w14:textId="77777777" w:rsidR="002278C2" w:rsidRPr="002E1AF6" w:rsidRDefault="002278C2" w:rsidP="00992CF2">
            <w:pPr>
              <w:jc w:val="both"/>
              <w:rPr>
                <w:rFonts w:ascii="Arial" w:hAnsi="Arial" w:cs="Arial"/>
                <w:b/>
                <w:bCs/>
                <w:sz w:val="16"/>
                <w:szCs w:val="16"/>
                <w:lang w:eastAsia="es-AR"/>
              </w:rPr>
            </w:pPr>
            <w:r w:rsidRPr="002E1AF6">
              <w:rPr>
                <w:rFonts w:ascii="Arial" w:hAnsi="Arial" w:cs="Arial"/>
                <w:b/>
                <w:bCs/>
                <w:sz w:val="16"/>
                <w:szCs w:val="16"/>
                <w:lang w:eastAsia="es-AR"/>
              </w:rPr>
              <w:t>Activos</w:t>
            </w:r>
          </w:p>
        </w:tc>
        <w:tc>
          <w:tcPr>
            <w:tcW w:w="665" w:type="pct"/>
            <w:tcBorders>
              <w:top w:val="nil"/>
              <w:left w:val="nil"/>
              <w:bottom w:val="single" w:sz="4" w:space="0" w:color="auto"/>
              <w:right w:val="single" w:sz="4" w:space="0" w:color="auto"/>
            </w:tcBorders>
            <w:shd w:val="clear" w:color="auto" w:fill="auto"/>
            <w:noWrap/>
            <w:vAlign w:val="bottom"/>
            <w:hideMark/>
          </w:tcPr>
          <w:p w14:paraId="492879D0" w14:textId="77777777" w:rsidR="002278C2" w:rsidRPr="002E1AF6" w:rsidRDefault="002278C2" w:rsidP="00992CF2">
            <w:pPr>
              <w:jc w:val="right"/>
              <w:rPr>
                <w:rFonts w:ascii="Arial" w:hAnsi="Arial" w:cs="Arial"/>
                <w:b/>
                <w:bCs/>
                <w:sz w:val="16"/>
                <w:szCs w:val="16"/>
                <w:lang w:val="es-ES_tradnl" w:eastAsia="es-AR"/>
              </w:rPr>
            </w:pPr>
            <w:r w:rsidRPr="002E1AF6">
              <w:rPr>
                <w:rFonts w:ascii="Arial" w:hAnsi="Arial" w:cs="Arial"/>
                <w:b/>
                <w:bCs/>
                <w:sz w:val="16"/>
                <w:szCs w:val="16"/>
                <w:lang w:eastAsia="es-AR"/>
              </w:rPr>
              <w:t> </w:t>
            </w:r>
          </w:p>
        </w:tc>
        <w:tc>
          <w:tcPr>
            <w:tcW w:w="666" w:type="pct"/>
            <w:tcBorders>
              <w:top w:val="nil"/>
              <w:left w:val="nil"/>
              <w:bottom w:val="single" w:sz="4" w:space="0" w:color="auto"/>
              <w:right w:val="single" w:sz="4" w:space="0" w:color="auto"/>
            </w:tcBorders>
            <w:shd w:val="clear" w:color="auto" w:fill="auto"/>
            <w:noWrap/>
            <w:vAlign w:val="bottom"/>
            <w:hideMark/>
          </w:tcPr>
          <w:p w14:paraId="30D60C14" w14:textId="77777777" w:rsidR="002278C2" w:rsidRPr="002E1AF6" w:rsidRDefault="002278C2" w:rsidP="00992CF2">
            <w:pPr>
              <w:jc w:val="right"/>
              <w:rPr>
                <w:rFonts w:ascii="Arial" w:hAnsi="Arial" w:cs="Arial"/>
                <w:b/>
                <w:bCs/>
                <w:sz w:val="16"/>
                <w:szCs w:val="16"/>
                <w:lang w:val="es-ES_tradnl" w:eastAsia="es-AR"/>
              </w:rPr>
            </w:pPr>
            <w:r w:rsidRPr="002E1AF6">
              <w:rPr>
                <w:rFonts w:ascii="Arial" w:hAnsi="Arial" w:cs="Arial"/>
                <w:b/>
                <w:bCs/>
                <w:sz w:val="16"/>
                <w:szCs w:val="16"/>
                <w:lang w:eastAsia="es-AR"/>
              </w:rPr>
              <w:t> </w:t>
            </w:r>
          </w:p>
        </w:tc>
        <w:tc>
          <w:tcPr>
            <w:tcW w:w="593" w:type="pct"/>
            <w:tcBorders>
              <w:top w:val="nil"/>
              <w:left w:val="nil"/>
              <w:bottom w:val="single" w:sz="4" w:space="0" w:color="auto"/>
              <w:right w:val="single" w:sz="4" w:space="0" w:color="auto"/>
            </w:tcBorders>
            <w:shd w:val="clear" w:color="auto" w:fill="auto"/>
            <w:noWrap/>
            <w:vAlign w:val="bottom"/>
            <w:hideMark/>
          </w:tcPr>
          <w:p w14:paraId="1E9A188F" w14:textId="77777777" w:rsidR="002278C2" w:rsidRPr="002E1AF6" w:rsidRDefault="002278C2" w:rsidP="00992CF2">
            <w:pPr>
              <w:jc w:val="right"/>
              <w:rPr>
                <w:rFonts w:ascii="Arial" w:hAnsi="Arial" w:cs="Arial"/>
                <w:b/>
                <w:bCs/>
                <w:sz w:val="16"/>
                <w:szCs w:val="16"/>
                <w:lang w:val="es-ES_tradnl" w:eastAsia="es-AR"/>
              </w:rPr>
            </w:pPr>
            <w:r w:rsidRPr="002E1AF6">
              <w:rPr>
                <w:rFonts w:ascii="Arial" w:hAnsi="Arial" w:cs="Arial"/>
                <w:b/>
                <w:bCs/>
                <w:sz w:val="16"/>
                <w:szCs w:val="16"/>
                <w:lang w:eastAsia="es-AR"/>
              </w:rPr>
              <w:t> </w:t>
            </w:r>
          </w:p>
        </w:tc>
        <w:tc>
          <w:tcPr>
            <w:tcW w:w="663" w:type="pct"/>
            <w:tcBorders>
              <w:top w:val="nil"/>
              <w:left w:val="nil"/>
              <w:bottom w:val="single" w:sz="4" w:space="0" w:color="auto"/>
              <w:right w:val="single" w:sz="4" w:space="0" w:color="auto"/>
            </w:tcBorders>
            <w:vAlign w:val="bottom"/>
          </w:tcPr>
          <w:p w14:paraId="18ACEFC2" w14:textId="77777777" w:rsidR="002278C2" w:rsidRPr="002E1AF6" w:rsidRDefault="002278C2" w:rsidP="00992CF2">
            <w:pPr>
              <w:jc w:val="right"/>
              <w:rPr>
                <w:rFonts w:ascii="Arial" w:hAnsi="Arial" w:cs="Arial"/>
                <w:b/>
                <w:bCs/>
                <w:sz w:val="16"/>
                <w:szCs w:val="16"/>
                <w:lang w:eastAsia="es-AR"/>
              </w:rPr>
            </w:pPr>
          </w:p>
        </w:tc>
      </w:tr>
      <w:tr w:rsidR="00D570C9" w:rsidRPr="005F090B" w14:paraId="466869BB"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095AFFE1"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Efectivo y depositos en bancos</w:t>
            </w:r>
          </w:p>
        </w:tc>
        <w:tc>
          <w:tcPr>
            <w:tcW w:w="665" w:type="pct"/>
            <w:tcBorders>
              <w:top w:val="nil"/>
              <w:left w:val="nil"/>
              <w:bottom w:val="single" w:sz="4" w:space="0" w:color="auto"/>
              <w:right w:val="single" w:sz="4" w:space="0" w:color="auto"/>
            </w:tcBorders>
            <w:shd w:val="clear" w:color="auto" w:fill="auto"/>
            <w:noWrap/>
            <w:vAlign w:val="bottom"/>
          </w:tcPr>
          <w:p w14:paraId="0316FF28" w14:textId="032A6A3F" w:rsidR="00D570C9" w:rsidRPr="002E1AF6" w:rsidRDefault="00D570C9" w:rsidP="00D570C9">
            <w:pPr>
              <w:jc w:val="right"/>
              <w:rPr>
                <w:rFonts w:ascii="Arial" w:hAnsi="Arial" w:cs="Arial"/>
                <w:sz w:val="16"/>
                <w:szCs w:val="16"/>
              </w:rPr>
            </w:pPr>
            <w:r w:rsidRPr="002E1AF6">
              <w:rPr>
                <w:rFonts w:ascii="Arial" w:hAnsi="Arial" w:cs="Arial"/>
                <w:sz w:val="16"/>
                <w:szCs w:val="16"/>
              </w:rPr>
              <w:t>26.275</w:t>
            </w:r>
          </w:p>
        </w:tc>
        <w:tc>
          <w:tcPr>
            <w:tcW w:w="666" w:type="pct"/>
            <w:tcBorders>
              <w:top w:val="nil"/>
              <w:left w:val="nil"/>
              <w:bottom w:val="single" w:sz="4" w:space="0" w:color="auto"/>
              <w:right w:val="single" w:sz="4" w:space="0" w:color="auto"/>
            </w:tcBorders>
            <w:shd w:val="clear" w:color="auto" w:fill="auto"/>
            <w:noWrap/>
            <w:vAlign w:val="bottom"/>
          </w:tcPr>
          <w:p w14:paraId="24475FA6" w14:textId="1B81F674" w:rsidR="00D570C9" w:rsidRPr="002E1AF6" w:rsidRDefault="00D570C9" w:rsidP="00D570C9">
            <w:pPr>
              <w:jc w:val="right"/>
              <w:rPr>
                <w:rFonts w:ascii="Arial" w:hAnsi="Arial" w:cs="Arial"/>
                <w:sz w:val="16"/>
                <w:szCs w:val="16"/>
              </w:rPr>
            </w:pPr>
          </w:p>
        </w:tc>
        <w:tc>
          <w:tcPr>
            <w:tcW w:w="593" w:type="pct"/>
            <w:tcBorders>
              <w:top w:val="nil"/>
              <w:left w:val="nil"/>
              <w:bottom w:val="single" w:sz="4" w:space="0" w:color="auto"/>
              <w:right w:val="single" w:sz="4" w:space="0" w:color="auto"/>
            </w:tcBorders>
            <w:shd w:val="clear" w:color="auto" w:fill="auto"/>
            <w:noWrap/>
            <w:vAlign w:val="bottom"/>
          </w:tcPr>
          <w:p w14:paraId="612D2D09" w14:textId="63D86FB8" w:rsidR="00D570C9" w:rsidRPr="002E1AF6" w:rsidRDefault="00D570C9" w:rsidP="00D570C9">
            <w:pPr>
              <w:jc w:val="right"/>
              <w:rPr>
                <w:rFonts w:ascii="Arial" w:hAnsi="Arial" w:cs="Arial"/>
                <w:sz w:val="16"/>
                <w:szCs w:val="16"/>
              </w:rPr>
            </w:pPr>
          </w:p>
        </w:tc>
        <w:tc>
          <w:tcPr>
            <w:tcW w:w="663" w:type="pct"/>
            <w:tcBorders>
              <w:top w:val="nil"/>
              <w:left w:val="nil"/>
              <w:bottom w:val="single" w:sz="4" w:space="0" w:color="auto"/>
              <w:right w:val="single" w:sz="4" w:space="0" w:color="auto"/>
            </w:tcBorders>
            <w:vAlign w:val="bottom"/>
          </w:tcPr>
          <w:p w14:paraId="1D2598EC" w14:textId="1FEFF9BC" w:rsidR="00D570C9" w:rsidRPr="002E1AF6" w:rsidRDefault="00D570C9" w:rsidP="00D570C9">
            <w:pPr>
              <w:jc w:val="right"/>
              <w:rPr>
                <w:rFonts w:ascii="Arial" w:hAnsi="Arial" w:cs="Arial"/>
                <w:sz w:val="16"/>
                <w:szCs w:val="16"/>
              </w:rPr>
            </w:pPr>
            <w:r w:rsidRPr="002E1AF6">
              <w:rPr>
                <w:rFonts w:ascii="Arial" w:hAnsi="Arial" w:cs="Arial"/>
                <w:sz w:val="16"/>
                <w:szCs w:val="16"/>
              </w:rPr>
              <w:t>26.275</w:t>
            </w:r>
          </w:p>
        </w:tc>
      </w:tr>
      <w:tr w:rsidR="00D570C9" w:rsidRPr="005F090B" w14:paraId="01B9D18F"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2EACF62A" w14:textId="491A4D9E"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Títulos de Deuda a Valor Razonable con Cambios en Resultados</w:t>
            </w:r>
          </w:p>
        </w:tc>
        <w:tc>
          <w:tcPr>
            <w:tcW w:w="665" w:type="pct"/>
            <w:tcBorders>
              <w:top w:val="nil"/>
              <w:left w:val="nil"/>
              <w:bottom w:val="single" w:sz="4" w:space="0" w:color="auto"/>
              <w:right w:val="single" w:sz="4" w:space="0" w:color="auto"/>
            </w:tcBorders>
            <w:shd w:val="clear" w:color="auto" w:fill="auto"/>
            <w:noWrap/>
            <w:vAlign w:val="bottom"/>
          </w:tcPr>
          <w:p w14:paraId="3C6C6AD2" w14:textId="1278E1CF"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155.678</w:t>
            </w:r>
          </w:p>
        </w:tc>
        <w:tc>
          <w:tcPr>
            <w:tcW w:w="666" w:type="pct"/>
            <w:tcBorders>
              <w:top w:val="nil"/>
              <w:left w:val="nil"/>
              <w:bottom w:val="single" w:sz="4" w:space="0" w:color="auto"/>
              <w:right w:val="single" w:sz="4" w:space="0" w:color="auto"/>
            </w:tcBorders>
            <w:shd w:val="clear" w:color="auto" w:fill="auto"/>
            <w:noWrap/>
            <w:vAlign w:val="bottom"/>
          </w:tcPr>
          <w:p w14:paraId="264AD1A8" w14:textId="14082EEA"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202.879</w:t>
            </w:r>
          </w:p>
        </w:tc>
        <w:tc>
          <w:tcPr>
            <w:tcW w:w="593" w:type="pct"/>
            <w:tcBorders>
              <w:top w:val="nil"/>
              <w:left w:val="nil"/>
              <w:bottom w:val="single" w:sz="4" w:space="0" w:color="auto"/>
              <w:right w:val="single" w:sz="4" w:space="0" w:color="auto"/>
            </w:tcBorders>
            <w:shd w:val="clear" w:color="auto" w:fill="auto"/>
            <w:noWrap/>
            <w:vAlign w:val="bottom"/>
          </w:tcPr>
          <w:p w14:paraId="1F59EBEE" w14:textId="27A367DA"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2.525</w:t>
            </w:r>
          </w:p>
        </w:tc>
        <w:tc>
          <w:tcPr>
            <w:tcW w:w="663" w:type="pct"/>
            <w:tcBorders>
              <w:top w:val="nil"/>
              <w:left w:val="nil"/>
              <w:bottom w:val="single" w:sz="4" w:space="0" w:color="auto"/>
              <w:right w:val="single" w:sz="4" w:space="0" w:color="auto"/>
            </w:tcBorders>
            <w:vAlign w:val="bottom"/>
          </w:tcPr>
          <w:p w14:paraId="57BCD164" w14:textId="680AB175" w:rsidR="00D570C9" w:rsidRPr="002E1AF6" w:rsidRDefault="00D570C9" w:rsidP="00D570C9">
            <w:pPr>
              <w:jc w:val="right"/>
              <w:rPr>
                <w:rFonts w:ascii="Arial" w:eastAsia="Calibri" w:hAnsi="Arial" w:cs="Arial"/>
                <w:color w:val="000000"/>
                <w:sz w:val="16"/>
                <w:szCs w:val="16"/>
              </w:rPr>
            </w:pPr>
            <w:r w:rsidRPr="002E1AF6">
              <w:rPr>
                <w:rFonts w:ascii="Arial" w:hAnsi="Arial" w:cs="Arial"/>
                <w:sz w:val="16"/>
                <w:szCs w:val="16"/>
              </w:rPr>
              <w:t>361.08</w:t>
            </w:r>
            <w:r w:rsidR="00E104CA" w:rsidRPr="002E1AF6">
              <w:rPr>
                <w:rFonts w:ascii="Arial" w:hAnsi="Arial" w:cs="Arial"/>
                <w:sz w:val="16"/>
                <w:szCs w:val="16"/>
              </w:rPr>
              <w:t>2</w:t>
            </w:r>
          </w:p>
        </w:tc>
      </w:tr>
      <w:tr w:rsidR="00D570C9" w:rsidRPr="005F090B" w14:paraId="213BBD3E"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50A90176"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Instrumentos Derivados</w:t>
            </w:r>
          </w:p>
        </w:tc>
        <w:tc>
          <w:tcPr>
            <w:tcW w:w="665" w:type="pct"/>
            <w:tcBorders>
              <w:top w:val="nil"/>
              <w:left w:val="nil"/>
              <w:bottom w:val="single" w:sz="4" w:space="0" w:color="auto"/>
              <w:right w:val="single" w:sz="4" w:space="0" w:color="auto"/>
            </w:tcBorders>
            <w:shd w:val="clear" w:color="auto" w:fill="auto"/>
            <w:noWrap/>
            <w:vAlign w:val="bottom"/>
          </w:tcPr>
          <w:p w14:paraId="7EA9F3A4" w14:textId="0E97D5C0"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143.424</w:t>
            </w:r>
          </w:p>
        </w:tc>
        <w:tc>
          <w:tcPr>
            <w:tcW w:w="666" w:type="pct"/>
            <w:tcBorders>
              <w:top w:val="nil"/>
              <w:left w:val="nil"/>
              <w:bottom w:val="single" w:sz="4" w:space="0" w:color="auto"/>
              <w:right w:val="single" w:sz="4" w:space="0" w:color="auto"/>
            </w:tcBorders>
            <w:shd w:val="clear" w:color="auto" w:fill="auto"/>
            <w:noWrap/>
            <w:vAlign w:val="bottom"/>
          </w:tcPr>
          <w:p w14:paraId="58F4E15F" w14:textId="1C487594"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593" w:type="pct"/>
            <w:tcBorders>
              <w:top w:val="nil"/>
              <w:left w:val="nil"/>
              <w:bottom w:val="single" w:sz="4" w:space="0" w:color="auto"/>
              <w:right w:val="single" w:sz="4" w:space="0" w:color="auto"/>
            </w:tcBorders>
            <w:shd w:val="clear" w:color="auto" w:fill="auto"/>
            <w:noWrap/>
            <w:vAlign w:val="bottom"/>
          </w:tcPr>
          <w:p w14:paraId="4576F106" w14:textId="23022F79"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663" w:type="pct"/>
            <w:tcBorders>
              <w:top w:val="nil"/>
              <w:left w:val="nil"/>
              <w:bottom w:val="single" w:sz="4" w:space="0" w:color="auto"/>
              <w:right w:val="single" w:sz="4" w:space="0" w:color="auto"/>
            </w:tcBorders>
            <w:vAlign w:val="bottom"/>
          </w:tcPr>
          <w:p w14:paraId="7F094227" w14:textId="35A8E15B" w:rsidR="00D570C9" w:rsidRPr="002E1AF6" w:rsidRDefault="00D570C9" w:rsidP="00D570C9">
            <w:pPr>
              <w:jc w:val="right"/>
              <w:rPr>
                <w:rFonts w:ascii="Arial" w:eastAsia="Calibri" w:hAnsi="Arial" w:cs="Arial"/>
                <w:color w:val="000000"/>
                <w:sz w:val="16"/>
                <w:szCs w:val="16"/>
              </w:rPr>
            </w:pPr>
            <w:r w:rsidRPr="002E1AF6">
              <w:rPr>
                <w:rFonts w:ascii="Arial" w:hAnsi="Arial" w:cs="Arial"/>
                <w:sz w:val="16"/>
                <w:szCs w:val="16"/>
              </w:rPr>
              <w:t>143.424</w:t>
            </w:r>
          </w:p>
        </w:tc>
      </w:tr>
      <w:tr w:rsidR="00D570C9" w:rsidRPr="005F090B" w14:paraId="26C3C4EA"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0BD7BCBB"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Otros Activos Financieros</w:t>
            </w:r>
          </w:p>
        </w:tc>
        <w:tc>
          <w:tcPr>
            <w:tcW w:w="665" w:type="pct"/>
            <w:tcBorders>
              <w:top w:val="nil"/>
              <w:left w:val="nil"/>
              <w:bottom w:val="single" w:sz="4" w:space="0" w:color="auto"/>
              <w:right w:val="single" w:sz="4" w:space="0" w:color="auto"/>
            </w:tcBorders>
            <w:shd w:val="clear" w:color="auto" w:fill="auto"/>
            <w:noWrap/>
            <w:vAlign w:val="bottom"/>
          </w:tcPr>
          <w:p w14:paraId="6E70172A" w14:textId="101D078B"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753.170</w:t>
            </w:r>
          </w:p>
        </w:tc>
        <w:tc>
          <w:tcPr>
            <w:tcW w:w="666" w:type="pct"/>
            <w:tcBorders>
              <w:top w:val="nil"/>
              <w:left w:val="nil"/>
              <w:bottom w:val="single" w:sz="4" w:space="0" w:color="auto"/>
              <w:right w:val="single" w:sz="4" w:space="0" w:color="auto"/>
            </w:tcBorders>
            <w:shd w:val="clear" w:color="auto" w:fill="auto"/>
            <w:noWrap/>
            <w:vAlign w:val="bottom"/>
          </w:tcPr>
          <w:p w14:paraId="5D35A02A" w14:textId="3CC77E7E"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593" w:type="pct"/>
            <w:tcBorders>
              <w:top w:val="nil"/>
              <w:left w:val="nil"/>
              <w:bottom w:val="single" w:sz="4" w:space="0" w:color="auto"/>
              <w:right w:val="single" w:sz="4" w:space="0" w:color="auto"/>
            </w:tcBorders>
            <w:shd w:val="clear" w:color="auto" w:fill="auto"/>
            <w:noWrap/>
            <w:vAlign w:val="bottom"/>
          </w:tcPr>
          <w:p w14:paraId="6D4E597A" w14:textId="2F79A5AC"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663" w:type="pct"/>
            <w:tcBorders>
              <w:top w:val="nil"/>
              <w:left w:val="nil"/>
              <w:bottom w:val="single" w:sz="4" w:space="0" w:color="auto"/>
              <w:right w:val="single" w:sz="4" w:space="0" w:color="auto"/>
            </w:tcBorders>
            <w:vAlign w:val="bottom"/>
          </w:tcPr>
          <w:p w14:paraId="71CB7E93" w14:textId="624C44CF" w:rsidR="00D570C9" w:rsidRPr="002E1AF6" w:rsidRDefault="00D570C9" w:rsidP="00D570C9">
            <w:pPr>
              <w:jc w:val="right"/>
              <w:rPr>
                <w:rFonts w:ascii="Arial" w:eastAsia="Calibri" w:hAnsi="Arial" w:cs="Arial"/>
                <w:color w:val="000000"/>
                <w:sz w:val="16"/>
                <w:szCs w:val="16"/>
              </w:rPr>
            </w:pPr>
            <w:r w:rsidRPr="002E1AF6">
              <w:rPr>
                <w:rFonts w:ascii="Arial" w:hAnsi="Arial" w:cs="Arial"/>
                <w:sz w:val="16"/>
                <w:szCs w:val="16"/>
              </w:rPr>
              <w:t>753.170</w:t>
            </w:r>
          </w:p>
        </w:tc>
      </w:tr>
      <w:tr w:rsidR="00D570C9" w:rsidRPr="005F090B" w14:paraId="64863D5F"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3F66140F"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Otros Títulos de Deuda</w:t>
            </w:r>
          </w:p>
        </w:tc>
        <w:tc>
          <w:tcPr>
            <w:tcW w:w="665" w:type="pct"/>
            <w:tcBorders>
              <w:top w:val="nil"/>
              <w:left w:val="nil"/>
              <w:bottom w:val="single" w:sz="4" w:space="0" w:color="auto"/>
              <w:right w:val="single" w:sz="4" w:space="0" w:color="auto"/>
            </w:tcBorders>
            <w:shd w:val="clear" w:color="auto" w:fill="auto"/>
            <w:noWrap/>
            <w:vAlign w:val="bottom"/>
          </w:tcPr>
          <w:p w14:paraId="4A1C4F20" w14:textId="369DA7C0"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666" w:type="pct"/>
            <w:tcBorders>
              <w:top w:val="nil"/>
              <w:left w:val="nil"/>
              <w:bottom w:val="single" w:sz="4" w:space="0" w:color="auto"/>
              <w:right w:val="single" w:sz="4" w:space="0" w:color="auto"/>
            </w:tcBorders>
            <w:shd w:val="clear" w:color="auto" w:fill="auto"/>
            <w:noWrap/>
            <w:vAlign w:val="bottom"/>
          </w:tcPr>
          <w:p w14:paraId="3B1469FF" w14:textId="074E04C1"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41.572.682</w:t>
            </w:r>
          </w:p>
        </w:tc>
        <w:tc>
          <w:tcPr>
            <w:tcW w:w="593" w:type="pct"/>
            <w:tcBorders>
              <w:top w:val="nil"/>
              <w:left w:val="nil"/>
              <w:bottom w:val="single" w:sz="4" w:space="0" w:color="auto"/>
              <w:right w:val="single" w:sz="4" w:space="0" w:color="auto"/>
            </w:tcBorders>
            <w:shd w:val="clear" w:color="auto" w:fill="auto"/>
            <w:noWrap/>
            <w:vAlign w:val="bottom"/>
          </w:tcPr>
          <w:p w14:paraId="193340A5" w14:textId="7764E149"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663" w:type="pct"/>
            <w:tcBorders>
              <w:top w:val="nil"/>
              <w:left w:val="nil"/>
              <w:bottom w:val="single" w:sz="4" w:space="0" w:color="auto"/>
              <w:right w:val="single" w:sz="4" w:space="0" w:color="auto"/>
            </w:tcBorders>
            <w:vAlign w:val="bottom"/>
          </w:tcPr>
          <w:p w14:paraId="5E43A7B9" w14:textId="148AC976" w:rsidR="00D570C9" w:rsidRPr="002E1AF6" w:rsidRDefault="00D570C9" w:rsidP="00D570C9">
            <w:pPr>
              <w:jc w:val="right"/>
              <w:rPr>
                <w:rFonts w:ascii="Arial" w:eastAsia="Calibri" w:hAnsi="Arial" w:cs="Arial"/>
                <w:color w:val="000000"/>
                <w:sz w:val="16"/>
                <w:szCs w:val="16"/>
              </w:rPr>
            </w:pPr>
            <w:r w:rsidRPr="002E1AF6">
              <w:rPr>
                <w:rFonts w:ascii="Arial" w:hAnsi="Arial" w:cs="Arial"/>
                <w:sz w:val="16"/>
                <w:szCs w:val="16"/>
              </w:rPr>
              <w:t>41.572.682</w:t>
            </w:r>
          </w:p>
        </w:tc>
      </w:tr>
      <w:tr w:rsidR="00D570C9" w:rsidRPr="005F090B" w14:paraId="07DA1608"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0CED4533"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Activos Financieros entregados en Garantía</w:t>
            </w:r>
          </w:p>
        </w:tc>
        <w:tc>
          <w:tcPr>
            <w:tcW w:w="665" w:type="pct"/>
            <w:tcBorders>
              <w:top w:val="nil"/>
              <w:left w:val="nil"/>
              <w:bottom w:val="single" w:sz="4" w:space="0" w:color="auto"/>
              <w:right w:val="single" w:sz="4" w:space="0" w:color="auto"/>
            </w:tcBorders>
            <w:shd w:val="clear" w:color="auto" w:fill="auto"/>
            <w:noWrap/>
            <w:vAlign w:val="bottom"/>
          </w:tcPr>
          <w:p w14:paraId="05846749" w14:textId="07E9972D"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5.610.753</w:t>
            </w:r>
          </w:p>
        </w:tc>
        <w:tc>
          <w:tcPr>
            <w:tcW w:w="666" w:type="pct"/>
            <w:tcBorders>
              <w:top w:val="nil"/>
              <w:left w:val="nil"/>
              <w:bottom w:val="single" w:sz="4" w:space="0" w:color="auto"/>
              <w:right w:val="single" w:sz="4" w:space="0" w:color="auto"/>
            </w:tcBorders>
            <w:shd w:val="clear" w:color="auto" w:fill="auto"/>
            <w:noWrap/>
            <w:vAlign w:val="bottom"/>
          </w:tcPr>
          <w:p w14:paraId="437B0002" w14:textId="28CB01FB"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593" w:type="pct"/>
            <w:tcBorders>
              <w:top w:val="nil"/>
              <w:left w:val="nil"/>
              <w:bottom w:val="single" w:sz="4" w:space="0" w:color="auto"/>
              <w:right w:val="single" w:sz="4" w:space="0" w:color="auto"/>
            </w:tcBorders>
            <w:shd w:val="clear" w:color="auto" w:fill="auto"/>
            <w:noWrap/>
            <w:vAlign w:val="bottom"/>
          </w:tcPr>
          <w:p w14:paraId="60BC382C" w14:textId="1CB2A3F2" w:rsidR="00D570C9"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663" w:type="pct"/>
            <w:tcBorders>
              <w:top w:val="nil"/>
              <w:left w:val="nil"/>
              <w:bottom w:val="single" w:sz="4" w:space="0" w:color="auto"/>
              <w:right w:val="single" w:sz="4" w:space="0" w:color="auto"/>
            </w:tcBorders>
            <w:vAlign w:val="bottom"/>
          </w:tcPr>
          <w:p w14:paraId="2FC3DBF5" w14:textId="49D1F0DC" w:rsidR="00D570C9" w:rsidRPr="002E1AF6" w:rsidRDefault="00D570C9" w:rsidP="00D570C9">
            <w:pPr>
              <w:jc w:val="right"/>
              <w:rPr>
                <w:rFonts w:ascii="Arial" w:eastAsia="Calibri" w:hAnsi="Arial" w:cs="Arial"/>
                <w:color w:val="000000"/>
                <w:sz w:val="16"/>
                <w:szCs w:val="16"/>
              </w:rPr>
            </w:pPr>
            <w:r w:rsidRPr="002E1AF6">
              <w:rPr>
                <w:rFonts w:ascii="Arial" w:hAnsi="Arial" w:cs="Arial"/>
                <w:sz w:val="16"/>
                <w:szCs w:val="16"/>
              </w:rPr>
              <w:t>5.610.753</w:t>
            </w:r>
          </w:p>
        </w:tc>
      </w:tr>
      <w:tr w:rsidR="00A55435" w:rsidRPr="005F090B" w14:paraId="5999501B"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548BE415" w14:textId="77777777" w:rsidR="00A55435" w:rsidRPr="002E1AF6" w:rsidRDefault="00A55435" w:rsidP="00A55435">
            <w:pPr>
              <w:jc w:val="both"/>
              <w:rPr>
                <w:rFonts w:ascii="Arial" w:hAnsi="Arial" w:cs="Arial"/>
                <w:sz w:val="16"/>
                <w:szCs w:val="16"/>
                <w:lang w:eastAsia="es-AR"/>
              </w:rPr>
            </w:pPr>
            <w:r w:rsidRPr="002E1AF6">
              <w:rPr>
                <w:rFonts w:ascii="Arial" w:hAnsi="Arial" w:cs="Arial"/>
                <w:sz w:val="16"/>
                <w:szCs w:val="16"/>
                <w:lang w:eastAsia="es-AR"/>
              </w:rPr>
              <w:t>- Inversiones en instrumentos de patrimonio</w:t>
            </w:r>
          </w:p>
        </w:tc>
        <w:tc>
          <w:tcPr>
            <w:tcW w:w="665" w:type="pct"/>
            <w:tcBorders>
              <w:top w:val="nil"/>
              <w:left w:val="nil"/>
              <w:bottom w:val="single" w:sz="4" w:space="0" w:color="auto"/>
              <w:right w:val="single" w:sz="4" w:space="0" w:color="auto"/>
            </w:tcBorders>
            <w:shd w:val="clear" w:color="auto" w:fill="auto"/>
            <w:noWrap/>
            <w:vAlign w:val="bottom"/>
          </w:tcPr>
          <w:p w14:paraId="15B9D5CB" w14:textId="16120536" w:rsidR="00A55435" w:rsidRPr="002E1AF6" w:rsidRDefault="00D570C9" w:rsidP="00D570C9">
            <w:pPr>
              <w:jc w:val="right"/>
              <w:rPr>
                <w:rFonts w:ascii="Arial" w:hAnsi="Arial" w:cs="Arial"/>
                <w:sz w:val="16"/>
                <w:szCs w:val="16"/>
                <w:lang w:eastAsia="es-AR"/>
              </w:rPr>
            </w:pPr>
            <w:r w:rsidRPr="002E1AF6">
              <w:rPr>
                <w:rFonts w:ascii="Arial" w:hAnsi="Arial" w:cs="Arial"/>
                <w:sz w:val="16"/>
                <w:szCs w:val="16"/>
              </w:rPr>
              <w:t>-</w:t>
            </w:r>
          </w:p>
        </w:tc>
        <w:tc>
          <w:tcPr>
            <w:tcW w:w="666" w:type="pct"/>
            <w:tcBorders>
              <w:top w:val="nil"/>
              <w:left w:val="nil"/>
              <w:bottom w:val="single" w:sz="4" w:space="0" w:color="auto"/>
              <w:right w:val="single" w:sz="4" w:space="0" w:color="auto"/>
            </w:tcBorders>
            <w:shd w:val="clear" w:color="auto" w:fill="auto"/>
            <w:noWrap/>
            <w:vAlign w:val="bottom"/>
          </w:tcPr>
          <w:p w14:paraId="154B9042" w14:textId="2BC8005C" w:rsidR="00A55435" w:rsidRPr="002E1AF6" w:rsidRDefault="00D570C9" w:rsidP="00D570C9">
            <w:pPr>
              <w:jc w:val="right"/>
              <w:rPr>
                <w:rFonts w:ascii="Arial" w:hAnsi="Arial" w:cs="Arial"/>
                <w:sz w:val="16"/>
                <w:szCs w:val="16"/>
                <w:lang w:eastAsia="es-AR"/>
              </w:rPr>
            </w:pPr>
            <w:r w:rsidRPr="002E1AF6">
              <w:rPr>
                <w:rFonts w:ascii="Arial" w:hAnsi="Arial" w:cs="Arial"/>
                <w:sz w:val="16"/>
                <w:szCs w:val="16"/>
              </w:rPr>
              <w:t>8.78</w:t>
            </w:r>
            <w:r w:rsidR="00377D7F">
              <w:rPr>
                <w:rFonts w:ascii="Arial" w:hAnsi="Arial" w:cs="Arial"/>
                <w:sz w:val="16"/>
                <w:szCs w:val="16"/>
              </w:rPr>
              <w:t>3</w:t>
            </w:r>
          </w:p>
        </w:tc>
        <w:tc>
          <w:tcPr>
            <w:tcW w:w="593" w:type="pct"/>
            <w:tcBorders>
              <w:top w:val="nil"/>
              <w:left w:val="nil"/>
              <w:bottom w:val="single" w:sz="4" w:space="0" w:color="auto"/>
              <w:right w:val="single" w:sz="4" w:space="0" w:color="auto"/>
            </w:tcBorders>
            <w:shd w:val="clear" w:color="auto" w:fill="auto"/>
            <w:noWrap/>
            <w:vAlign w:val="bottom"/>
          </w:tcPr>
          <w:p w14:paraId="0EEA00B5" w14:textId="6568ECF3" w:rsidR="00A55435" w:rsidRPr="002E1AF6" w:rsidRDefault="00A55435" w:rsidP="00D570C9">
            <w:pPr>
              <w:jc w:val="right"/>
              <w:rPr>
                <w:rFonts w:ascii="Arial" w:hAnsi="Arial" w:cs="Arial"/>
                <w:sz w:val="16"/>
                <w:szCs w:val="16"/>
                <w:lang w:eastAsia="es-AR"/>
              </w:rPr>
            </w:pPr>
            <w:r w:rsidRPr="002E1AF6">
              <w:rPr>
                <w:rFonts w:ascii="Arial" w:hAnsi="Arial" w:cs="Arial"/>
                <w:sz w:val="16"/>
                <w:szCs w:val="16"/>
              </w:rPr>
              <w:t>-</w:t>
            </w:r>
          </w:p>
        </w:tc>
        <w:tc>
          <w:tcPr>
            <w:tcW w:w="663" w:type="pct"/>
            <w:tcBorders>
              <w:top w:val="nil"/>
              <w:left w:val="nil"/>
              <w:bottom w:val="single" w:sz="4" w:space="0" w:color="auto"/>
              <w:right w:val="single" w:sz="4" w:space="0" w:color="auto"/>
            </w:tcBorders>
            <w:vAlign w:val="bottom"/>
          </w:tcPr>
          <w:p w14:paraId="4229D33B" w14:textId="32C29EB1" w:rsidR="00A55435" w:rsidRPr="002E1AF6" w:rsidRDefault="00D570C9" w:rsidP="00D570C9">
            <w:pPr>
              <w:jc w:val="right"/>
              <w:rPr>
                <w:rFonts w:ascii="Arial" w:eastAsia="Calibri" w:hAnsi="Arial" w:cs="Arial"/>
                <w:color w:val="000000"/>
                <w:sz w:val="16"/>
                <w:szCs w:val="16"/>
              </w:rPr>
            </w:pPr>
            <w:r w:rsidRPr="002E1AF6">
              <w:rPr>
                <w:rFonts w:ascii="Arial" w:hAnsi="Arial" w:cs="Arial"/>
                <w:sz w:val="16"/>
                <w:szCs w:val="16"/>
              </w:rPr>
              <w:t>8.78</w:t>
            </w:r>
            <w:r w:rsidR="00377D7F">
              <w:rPr>
                <w:rFonts w:ascii="Arial" w:hAnsi="Arial" w:cs="Arial"/>
                <w:sz w:val="16"/>
                <w:szCs w:val="16"/>
              </w:rPr>
              <w:t>3</w:t>
            </w:r>
          </w:p>
        </w:tc>
      </w:tr>
      <w:tr w:rsidR="00D570C9" w:rsidRPr="005F090B" w14:paraId="400DB63F" w14:textId="77777777" w:rsidTr="00D570C9">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69A2F532" w14:textId="77777777" w:rsidR="00D570C9" w:rsidRPr="002E1AF6" w:rsidRDefault="00D570C9" w:rsidP="00D570C9">
            <w:pPr>
              <w:jc w:val="both"/>
              <w:rPr>
                <w:rFonts w:ascii="Arial" w:hAnsi="Arial" w:cs="Arial"/>
                <w:b/>
                <w:bCs/>
                <w:sz w:val="16"/>
                <w:szCs w:val="16"/>
                <w:lang w:eastAsia="es-AR"/>
              </w:rPr>
            </w:pPr>
            <w:r w:rsidRPr="002E1AF6">
              <w:rPr>
                <w:rFonts w:ascii="Arial" w:hAnsi="Arial" w:cs="Arial"/>
                <w:b/>
                <w:bCs/>
                <w:sz w:val="16"/>
                <w:szCs w:val="16"/>
                <w:lang w:eastAsia="es-AR"/>
              </w:rPr>
              <w:lastRenderedPageBreak/>
              <w:t>Total Activos</w:t>
            </w:r>
          </w:p>
        </w:tc>
        <w:tc>
          <w:tcPr>
            <w:tcW w:w="665" w:type="pct"/>
            <w:tcBorders>
              <w:top w:val="nil"/>
              <w:left w:val="nil"/>
              <w:bottom w:val="single" w:sz="4" w:space="0" w:color="auto"/>
              <w:right w:val="single" w:sz="4" w:space="0" w:color="auto"/>
            </w:tcBorders>
            <w:shd w:val="clear" w:color="auto" w:fill="auto"/>
            <w:noWrap/>
            <w:vAlign w:val="bottom"/>
          </w:tcPr>
          <w:p w14:paraId="2BA573C1" w14:textId="7683E6DE" w:rsidR="00D570C9" w:rsidRPr="002E1AF6" w:rsidRDefault="00D570C9" w:rsidP="00D570C9">
            <w:pPr>
              <w:jc w:val="right"/>
              <w:rPr>
                <w:rFonts w:ascii="Arial" w:eastAsia="Calibri" w:hAnsi="Arial" w:cs="Arial"/>
                <w:b/>
                <w:color w:val="000000"/>
                <w:sz w:val="16"/>
                <w:szCs w:val="16"/>
              </w:rPr>
            </w:pPr>
            <w:r w:rsidRPr="002E1AF6">
              <w:rPr>
                <w:rFonts w:ascii="Arial" w:hAnsi="Arial" w:cs="Arial"/>
                <w:b/>
                <w:sz w:val="16"/>
                <w:szCs w:val="16"/>
              </w:rPr>
              <w:t>6.689.300</w:t>
            </w:r>
          </w:p>
        </w:tc>
        <w:tc>
          <w:tcPr>
            <w:tcW w:w="666" w:type="pct"/>
            <w:tcBorders>
              <w:top w:val="nil"/>
              <w:left w:val="nil"/>
              <w:bottom w:val="single" w:sz="4" w:space="0" w:color="auto"/>
              <w:right w:val="single" w:sz="4" w:space="0" w:color="auto"/>
            </w:tcBorders>
            <w:shd w:val="clear" w:color="auto" w:fill="auto"/>
            <w:noWrap/>
            <w:vAlign w:val="bottom"/>
          </w:tcPr>
          <w:p w14:paraId="05567EDF" w14:textId="6F4EBAE6" w:rsidR="00D570C9" w:rsidRPr="002E1AF6" w:rsidRDefault="00377D7F" w:rsidP="00D570C9">
            <w:pPr>
              <w:jc w:val="right"/>
              <w:rPr>
                <w:rFonts w:ascii="Arial" w:eastAsia="Calibri" w:hAnsi="Arial" w:cs="Arial"/>
                <w:b/>
                <w:color w:val="000000"/>
                <w:sz w:val="16"/>
                <w:szCs w:val="16"/>
              </w:rPr>
            </w:pPr>
            <w:r w:rsidRPr="00377D7F">
              <w:rPr>
                <w:rFonts w:ascii="Arial" w:hAnsi="Arial" w:cs="Arial"/>
                <w:b/>
                <w:sz w:val="16"/>
                <w:szCs w:val="16"/>
              </w:rPr>
              <w:t>41.784.344</w:t>
            </w:r>
          </w:p>
        </w:tc>
        <w:tc>
          <w:tcPr>
            <w:tcW w:w="593" w:type="pct"/>
            <w:tcBorders>
              <w:top w:val="nil"/>
              <w:left w:val="nil"/>
              <w:bottom w:val="single" w:sz="4" w:space="0" w:color="auto"/>
              <w:right w:val="single" w:sz="4" w:space="0" w:color="auto"/>
            </w:tcBorders>
            <w:shd w:val="clear" w:color="auto" w:fill="auto"/>
            <w:noWrap/>
            <w:vAlign w:val="bottom"/>
          </w:tcPr>
          <w:p w14:paraId="624DD6A0" w14:textId="1B56B2C4" w:rsidR="00D570C9" w:rsidRPr="002E1AF6" w:rsidRDefault="00D570C9" w:rsidP="00D570C9">
            <w:pPr>
              <w:jc w:val="right"/>
              <w:rPr>
                <w:rFonts w:ascii="Arial" w:eastAsia="Calibri" w:hAnsi="Arial" w:cs="Arial"/>
                <w:b/>
                <w:color w:val="000000"/>
                <w:sz w:val="16"/>
                <w:szCs w:val="16"/>
              </w:rPr>
            </w:pPr>
            <w:r w:rsidRPr="002E1AF6">
              <w:rPr>
                <w:rFonts w:ascii="Arial" w:hAnsi="Arial" w:cs="Arial"/>
                <w:b/>
                <w:sz w:val="16"/>
                <w:szCs w:val="16"/>
              </w:rPr>
              <w:t>2.525</w:t>
            </w:r>
          </w:p>
        </w:tc>
        <w:tc>
          <w:tcPr>
            <w:tcW w:w="663" w:type="pct"/>
            <w:tcBorders>
              <w:top w:val="nil"/>
              <w:left w:val="nil"/>
              <w:bottom w:val="single" w:sz="4" w:space="0" w:color="auto"/>
              <w:right w:val="single" w:sz="4" w:space="0" w:color="auto"/>
            </w:tcBorders>
            <w:vAlign w:val="bottom"/>
          </w:tcPr>
          <w:p w14:paraId="5F2F9901" w14:textId="3A64F826" w:rsidR="00D570C9" w:rsidRPr="002E1AF6" w:rsidRDefault="00377D7F" w:rsidP="00D570C9">
            <w:pPr>
              <w:jc w:val="right"/>
              <w:rPr>
                <w:rFonts w:ascii="Arial" w:eastAsia="Calibri" w:hAnsi="Arial" w:cs="Arial"/>
                <w:b/>
                <w:color w:val="000000"/>
                <w:sz w:val="16"/>
                <w:szCs w:val="16"/>
              </w:rPr>
            </w:pPr>
            <w:r w:rsidRPr="00377D7F">
              <w:rPr>
                <w:rFonts w:ascii="Arial" w:hAnsi="Arial" w:cs="Arial"/>
                <w:b/>
                <w:sz w:val="16"/>
                <w:szCs w:val="16"/>
              </w:rPr>
              <w:t>48.476.169</w:t>
            </w:r>
          </w:p>
        </w:tc>
      </w:tr>
      <w:tr w:rsidR="002278C2" w:rsidRPr="005F090B" w14:paraId="5F6A4854" w14:textId="77777777" w:rsidTr="00A55435">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78752B87" w14:textId="77777777" w:rsidR="00D570C9" w:rsidRPr="002E1AF6" w:rsidRDefault="00D570C9" w:rsidP="00992CF2">
            <w:pPr>
              <w:jc w:val="both"/>
              <w:rPr>
                <w:rFonts w:ascii="Arial" w:hAnsi="Arial" w:cs="Arial"/>
                <w:b/>
                <w:bCs/>
                <w:sz w:val="16"/>
                <w:szCs w:val="16"/>
                <w:lang w:eastAsia="es-AR"/>
              </w:rPr>
            </w:pPr>
          </w:p>
          <w:p w14:paraId="69156487" w14:textId="20084614" w:rsidR="002278C2" w:rsidRPr="002E1AF6" w:rsidRDefault="002278C2" w:rsidP="00992CF2">
            <w:pPr>
              <w:jc w:val="both"/>
              <w:rPr>
                <w:rFonts w:ascii="Arial" w:hAnsi="Arial" w:cs="Arial"/>
                <w:b/>
                <w:bCs/>
                <w:sz w:val="16"/>
                <w:szCs w:val="16"/>
                <w:lang w:eastAsia="es-AR"/>
              </w:rPr>
            </w:pPr>
            <w:r w:rsidRPr="002E1AF6">
              <w:rPr>
                <w:rFonts w:ascii="Arial" w:hAnsi="Arial" w:cs="Arial"/>
                <w:b/>
                <w:bCs/>
                <w:sz w:val="16"/>
                <w:szCs w:val="16"/>
                <w:lang w:eastAsia="es-AR"/>
              </w:rPr>
              <w:t>Pasivos</w:t>
            </w:r>
          </w:p>
        </w:tc>
        <w:tc>
          <w:tcPr>
            <w:tcW w:w="665" w:type="pct"/>
            <w:tcBorders>
              <w:top w:val="nil"/>
              <w:left w:val="nil"/>
              <w:bottom w:val="single" w:sz="4" w:space="0" w:color="auto"/>
              <w:right w:val="single" w:sz="4" w:space="0" w:color="auto"/>
            </w:tcBorders>
            <w:shd w:val="clear" w:color="auto" w:fill="auto"/>
            <w:noWrap/>
            <w:vAlign w:val="bottom"/>
          </w:tcPr>
          <w:p w14:paraId="74BE807B" w14:textId="77777777" w:rsidR="002278C2" w:rsidRPr="00E104CA" w:rsidRDefault="002278C2" w:rsidP="00A55435">
            <w:pPr>
              <w:jc w:val="right"/>
              <w:rPr>
                <w:rFonts w:ascii="Arial" w:hAnsi="Arial" w:cs="Arial"/>
                <w:b/>
                <w:bCs/>
                <w:sz w:val="16"/>
                <w:szCs w:val="16"/>
                <w:lang w:eastAsia="es-AR"/>
              </w:rPr>
            </w:pPr>
          </w:p>
        </w:tc>
        <w:tc>
          <w:tcPr>
            <w:tcW w:w="666" w:type="pct"/>
            <w:tcBorders>
              <w:top w:val="nil"/>
              <w:left w:val="nil"/>
              <w:bottom w:val="single" w:sz="4" w:space="0" w:color="auto"/>
              <w:right w:val="single" w:sz="4" w:space="0" w:color="auto"/>
            </w:tcBorders>
            <w:shd w:val="clear" w:color="auto" w:fill="auto"/>
            <w:noWrap/>
            <w:vAlign w:val="bottom"/>
          </w:tcPr>
          <w:p w14:paraId="4B53EF09" w14:textId="77777777" w:rsidR="002278C2" w:rsidRPr="00E104CA" w:rsidRDefault="002278C2" w:rsidP="00A55435">
            <w:pPr>
              <w:jc w:val="right"/>
              <w:rPr>
                <w:rFonts w:ascii="Arial" w:hAnsi="Arial" w:cs="Arial"/>
                <w:b/>
                <w:bCs/>
                <w:sz w:val="16"/>
                <w:szCs w:val="16"/>
                <w:lang w:eastAsia="es-AR"/>
              </w:rPr>
            </w:pPr>
          </w:p>
        </w:tc>
        <w:tc>
          <w:tcPr>
            <w:tcW w:w="593" w:type="pct"/>
            <w:tcBorders>
              <w:top w:val="nil"/>
              <w:left w:val="nil"/>
              <w:bottom w:val="single" w:sz="4" w:space="0" w:color="auto"/>
              <w:right w:val="single" w:sz="4" w:space="0" w:color="auto"/>
            </w:tcBorders>
            <w:shd w:val="clear" w:color="auto" w:fill="auto"/>
            <w:noWrap/>
            <w:vAlign w:val="bottom"/>
          </w:tcPr>
          <w:p w14:paraId="6E060BF3" w14:textId="77777777" w:rsidR="002278C2" w:rsidRPr="00E104CA" w:rsidRDefault="002278C2" w:rsidP="00A55435">
            <w:pPr>
              <w:jc w:val="right"/>
              <w:rPr>
                <w:rFonts w:ascii="Arial" w:hAnsi="Arial" w:cs="Arial"/>
                <w:b/>
                <w:bCs/>
                <w:sz w:val="16"/>
                <w:szCs w:val="16"/>
                <w:lang w:eastAsia="es-AR"/>
              </w:rPr>
            </w:pPr>
          </w:p>
        </w:tc>
        <w:tc>
          <w:tcPr>
            <w:tcW w:w="663" w:type="pct"/>
            <w:tcBorders>
              <w:top w:val="nil"/>
              <w:left w:val="nil"/>
              <w:bottom w:val="single" w:sz="4" w:space="0" w:color="auto"/>
              <w:right w:val="single" w:sz="4" w:space="0" w:color="auto"/>
            </w:tcBorders>
            <w:vAlign w:val="bottom"/>
          </w:tcPr>
          <w:p w14:paraId="790567C1" w14:textId="77777777" w:rsidR="002278C2" w:rsidRPr="00E104CA" w:rsidRDefault="002278C2" w:rsidP="00A55435">
            <w:pPr>
              <w:jc w:val="right"/>
              <w:rPr>
                <w:rFonts w:ascii="Arial" w:hAnsi="Arial" w:cs="Arial"/>
                <w:b/>
                <w:bCs/>
                <w:sz w:val="16"/>
                <w:szCs w:val="16"/>
                <w:lang w:eastAsia="es-AR"/>
              </w:rPr>
            </w:pPr>
          </w:p>
        </w:tc>
      </w:tr>
      <w:tr w:rsidR="00A55435" w:rsidRPr="005F090B" w14:paraId="07A3FCA2" w14:textId="77777777" w:rsidTr="00A55435">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0B05D7F6" w14:textId="0BD46DBB" w:rsidR="00A55435" w:rsidRPr="002E1AF6" w:rsidRDefault="00D570C9" w:rsidP="00D570C9">
            <w:pPr>
              <w:spacing w:after="160" w:line="259" w:lineRule="auto"/>
              <w:contextualSpacing/>
              <w:jc w:val="both"/>
              <w:rPr>
                <w:rFonts w:ascii="Arial" w:hAnsi="Arial" w:cs="Arial"/>
                <w:sz w:val="16"/>
                <w:szCs w:val="16"/>
                <w:lang w:eastAsia="es-AR"/>
              </w:rPr>
            </w:pPr>
            <w:r w:rsidRPr="002E1AF6">
              <w:rPr>
                <w:rFonts w:ascii="Arial" w:hAnsi="Arial" w:cs="Arial"/>
                <w:sz w:val="16"/>
                <w:szCs w:val="16"/>
                <w:lang w:eastAsia="es-AR"/>
              </w:rPr>
              <w:t>- Pasivos a valor razonable con cambios en resultados</w:t>
            </w:r>
          </w:p>
        </w:tc>
        <w:tc>
          <w:tcPr>
            <w:tcW w:w="665" w:type="pct"/>
            <w:tcBorders>
              <w:top w:val="nil"/>
              <w:left w:val="nil"/>
              <w:bottom w:val="single" w:sz="4" w:space="0" w:color="auto"/>
              <w:right w:val="single" w:sz="4" w:space="0" w:color="auto"/>
            </w:tcBorders>
            <w:shd w:val="clear" w:color="auto" w:fill="auto"/>
            <w:noWrap/>
            <w:vAlign w:val="bottom"/>
          </w:tcPr>
          <w:p w14:paraId="7A3AB44E" w14:textId="0309072D" w:rsidR="00A55435" w:rsidRPr="00E104CA" w:rsidRDefault="00D570C9" w:rsidP="00A55435">
            <w:pPr>
              <w:jc w:val="right"/>
              <w:rPr>
                <w:rFonts w:ascii="Arial" w:hAnsi="Arial" w:cs="Arial"/>
                <w:sz w:val="16"/>
                <w:szCs w:val="16"/>
                <w:lang w:eastAsia="es-AR"/>
              </w:rPr>
            </w:pPr>
            <w:r w:rsidRPr="00E104CA">
              <w:rPr>
                <w:rFonts w:ascii="Arial" w:hAnsi="Arial" w:cs="Arial"/>
                <w:sz w:val="16"/>
                <w:szCs w:val="16"/>
              </w:rPr>
              <w:t>365.736</w:t>
            </w:r>
          </w:p>
        </w:tc>
        <w:tc>
          <w:tcPr>
            <w:tcW w:w="666" w:type="pct"/>
            <w:tcBorders>
              <w:top w:val="nil"/>
              <w:left w:val="nil"/>
              <w:bottom w:val="single" w:sz="4" w:space="0" w:color="auto"/>
              <w:right w:val="single" w:sz="4" w:space="0" w:color="auto"/>
            </w:tcBorders>
            <w:shd w:val="clear" w:color="auto" w:fill="auto"/>
            <w:noWrap/>
            <w:vAlign w:val="bottom"/>
          </w:tcPr>
          <w:p w14:paraId="39242087" w14:textId="44CF65C4" w:rsidR="00A55435" w:rsidRPr="00E104CA" w:rsidRDefault="00A55435" w:rsidP="00A55435">
            <w:pPr>
              <w:jc w:val="right"/>
              <w:rPr>
                <w:rFonts w:ascii="Arial" w:hAnsi="Arial" w:cs="Arial"/>
                <w:sz w:val="16"/>
                <w:szCs w:val="16"/>
                <w:lang w:eastAsia="es-AR"/>
              </w:rPr>
            </w:pPr>
            <w:r w:rsidRPr="00E104CA">
              <w:rPr>
                <w:rFonts w:ascii="Arial" w:hAnsi="Arial" w:cs="Arial"/>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tcPr>
          <w:p w14:paraId="3A00AF30" w14:textId="637FFA99" w:rsidR="00A55435" w:rsidRPr="00E104CA" w:rsidRDefault="00A55435" w:rsidP="00A55435">
            <w:pPr>
              <w:jc w:val="right"/>
              <w:rPr>
                <w:rFonts w:ascii="Arial" w:hAnsi="Arial" w:cs="Arial"/>
                <w:sz w:val="16"/>
                <w:szCs w:val="16"/>
                <w:lang w:eastAsia="es-AR"/>
              </w:rPr>
            </w:pPr>
            <w:r w:rsidRPr="00E104CA">
              <w:rPr>
                <w:rFonts w:ascii="Arial" w:hAnsi="Arial" w:cs="Arial"/>
                <w:sz w:val="16"/>
                <w:szCs w:val="16"/>
              </w:rPr>
              <w:t xml:space="preserve"> -   </w:t>
            </w:r>
          </w:p>
        </w:tc>
        <w:tc>
          <w:tcPr>
            <w:tcW w:w="663" w:type="pct"/>
            <w:tcBorders>
              <w:top w:val="nil"/>
              <w:left w:val="nil"/>
              <w:bottom w:val="single" w:sz="4" w:space="0" w:color="auto"/>
              <w:right w:val="single" w:sz="4" w:space="0" w:color="auto"/>
            </w:tcBorders>
            <w:vAlign w:val="bottom"/>
          </w:tcPr>
          <w:p w14:paraId="474D9D9A" w14:textId="76F19ADE" w:rsidR="00A55435" w:rsidRPr="00E104CA" w:rsidRDefault="00D570C9" w:rsidP="00A55435">
            <w:pPr>
              <w:jc w:val="right"/>
              <w:rPr>
                <w:rFonts w:ascii="Arial" w:eastAsia="Calibri" w:hAnsi="Arial" w:cs="Arial"/>
                <w:color w:val="000000"/>
                <w:sz w:val="16"/>
                <w:szCs w:val="16"/>
              </w:rPr>
            </w:pPr>
            <w:r w:rsidRPr="00E104CA">
              <w:rPr>
                <w:rFonts w:ascii="Arial" w:hAnsi="Arial" w:cs="Arial"/>
                <w:sz w:val="16"/>
                <w:szCs w:val="16"/>
              </w:rPr>
              <w:t>365.736</w:t>
            </w:r>
          </w:p>
        </w:tc>
      </w:tr>
      <w:tr w:rsidR="00D570C9" w:rsidRPr="005F090B" w14:paraId="6E012BD3" w14:textId="77777777" w:rsidTr="00A55435">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4E29E926" w14:textId="52D5FFF0" w:rsidR="00D570C9" w:rsidRPr="002E1AF6" w:rsidRDefault="00D570C9" w:rsidP="00A55435">
            <w:pPr>
              <w:numPr>
                <w:ilvl w:val="0"/>
                <w:numId w:val="32"/>
              </w:numPr>
              <w:spacing w:after="160" w:line="259" w:lineRule="auto"/>
              <w:ind w:left="66" w:hanging="77"/>
              <w:contextualSpacing/>
              <w:jc w:val="both"/>
              <w:rPr>
                <w:rFonts w:ascii="Arial" w:hAnsi="Arial" w:cs="Arial"/>
                <w:sz w:val="16"/>
                <w:szCs w:val="16"/>
                <w:lang w:eastAsia="es-AR"/>
              </w:rPr>
            </w:pPr>
            <w:r w:rsidRPr="002E1AF6">
              <w:rPr>
                <w:rFonts w:ascii="Arial" w:hAnsi="Arial" w:cs="Arial"/>
                <w:sz w:val="16"/>
                <w:szCs w:val="16"/>
                <w:lang w:eastAsia="es-AR"/>
              </w:rPr>
              <w:t>Otros Pasivos Financieros</w:t>
            </w:r>
          </w:p>
        </w:tc>
        <w:tc>
          <w:tcPr>
            <w:tcW w:w="665" w:type="pct"/>
            <w:tcBorders>
              <w:top w:val="nil"/>
              <w:left w:val="nil"/>
              <w:bottom w:val="single" w:sz="4" w:space="0" w:color="auto"/>
              <w:right w:val="single" w:sz="4" w:space="0" w:color="auto"/>
            </w:tcBorders>
            <w:shd w:val="clear" w:color="auto" w:fill="auto"/>
            <w:noWrap/>
            <w:vAlign w:val="bottom"/>
          </w:tcPr>
          <w:p w14:paraId="38E237D6" w14:textId="4F0BF556" w:rsidR="00D570C9" w:rsidRPr="00E104CA" w:rsidRDefault="00D570C9" w:rsidP="00A55435">
            <w:pPr>
              <w:jc w:val="right"/>
              <w:rPr>
                <w:rFonts w:ascii="Arial" w:hAnsi="Arial" w:cs="Arial"/>
                <w:sz w:val="16"/>
                <w:szCs w:val="16"/>
              </w:rPr>
            </w:pPr>
            <w:r w:rsidRPr="00E104CA">
              <w:rPr>
                <w:rFonts w:ascii="Arial" w:hAnsi="Arial" w:cs="Arial"/>
                <w:sz w:val="16"/>
                <w:szCs w:val="16"/>
              </w:rPr>
              <w:t>5.684.843</w:t>
            </w:r>
          </w:p>
        </w:tc>
        <w:tc>
          <w:tcPr>
            <w:tcW w:w="666" w:type="pct"/>
            <w:tcBorders>
              <w:top w:val="nil"/>
              <w:left w:val="nil"/>
              <w:bottom w:val="single" w:sz="4" w:space="0" w:color="auto"/>
              <w:right w:val="single" w:sz="4" w:space="0" w:color="auto"/>
            </w:tcBorders>
            <w:shd w:val="clear" w:color="auto" w:fill="auto"/>
            <w:noWrap/>
            <w:vAlign w:val="bottom"/>
          </w:tcPr>
          <w:p w14:paraId="5984EF32" w14:textId="77777777" w:rsidR="00D570C9" w:rsidRPr="00E104CA" w:rsidRDefault="00D570C9" w:rsidP="00A55435">
            <w:pPr>
              <w:jc w:val="right"/>
              <w:rPr>
                <w:rFonts w:ascii="Arial" w:hAnsi="Arial" w:cs="Arial"/>
                <w:sz w:val="16"/>
                <w:szCs w:val="16"/>
              </w:rPr>
            </w:pPr>
          </w:p>
        </w:tc>
        <w:tc>
          <w:tcPr>
            <w:tcW w:w="593" w:type="pct"/>
            <w:tcBorders>
              <w:top w:val="nil"/>
              <w:left w:val="nil"/>
              <w:bottom w:val="single" w:sz="4" w:space="0" w:color="auto"/>
              <w:right w:val="single" w:sz="4" w:space="0" w:color="auto"/>
            </w:tcBorders>
            <w:shd w:val="clear" w:color="auto" w:fill="auto"/>
            <w:noWrap/>
            <w:vAlign w:val="bottom"/>
          </w:tcPr>
          <w:p w14:paraId="5BD944ED" w14:textId="77777777" w:rsidR="00D570C9" w:rsidRPr="00E104CA" w:rsidRDefault="00D570C9" w:rsidP="00A55435">
            <w:pPr>
              <w:jc w:val="right"/>
              <w:rPr>
                <w:rFonts w:ascii="Arial" w:hAnsi="Arial" w:cs="Arial"/>
                <w:sz w:val="16"/>
                <w:szCs w:val="16"/>
              </w:rPr>
            </w:pPr>
          </w:p>
        </w:tc>
        <w:tc>
          <w:tcPr>
            <w:tcW w:w="663" w:type="pct"/>
            <w:tcBorders>
              <w:top w:val="nil"/>
              <w:left w:val="nil"/>
              <w:bottom w:val="single" w:sz="4" w:space="0" w:color="auto"/>
              <w:right w:val="single" w:sz="4" w:space="0" w:color="auto"/>
            </w:tcBorders>
            <w:vAlign w:val="bottom"/>
          </w:tcPr>
          <w:p w14:paraId="39362A4A" w14:textId="0C8C5D75" w:rsidR="00D570C9" w:rsidRPr="00E104CA" w:rsidRDefault="00D570C9" w:rsidP="00A55435">
            <w:pPr>
              <w:jc w:val="right"/>
              <w:rPr>
                <w:rFonts w:ascii="Arial" w:hAnsi="Arial" w:cs="Arial"/>
                <w:sz w:val="16"/>
                <w:szCs w:val="16"/>
              </w:rPr>
            </w:pPr>
            <w:r w:rsidRPr="00E104CA">
              <w:rPr>
                <w:rFonts w:ascii="Arial" w:hAnsi="Arial" w:cs="Arial"/>
                <w:sz w:val="16"/>
                <w:szCs w:val="16"/>
              </w:rPr>
              <w:t>5.684.843</w:t>
            </w:r>
          </w:p>
        </w:tc>
      </w:tr>
      <w:tr w:rsidR="00A55435" w:rsidRPr="005F090B" w14:paraId="0618FDED" w14:textId="77777777" w:rsidTr="00A55435">
        <w:trPr>
          <w:trHeight w:val="236"/>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391F849B" w14:textId="77777777" w:rsidR="00A55435" w:rsidRPr="002E1AF6" w:rsidRDefault="00A55435" w:rsidP="00A55435">
            <w:pPr>
              <w:jc w:val="both"/>
              <w:rPr>
                <w:rFonts w:ascii="Arial" w:hAnsi="Arial" w:cs="Arial"/>
                <w:b/>
                <w:bCs/>
                <w:sz w:val="16"/>
                <w:szCs w:val="16"/>
                <w:lang w:eastAsia="es-AR"/>
              </w:rPr>
            </w:pPr>
            <w:r w:rsidRPr="002E1AF6">
              <w:rPr>
                <w:rFonts w:ascii="Arial" w:hAnsi="Arial" w:cs="Arial"/>
                <w:b/>
                <w:bCs/>
                <w:sz w:val="16"/>
                <w:szCs w:val="16"/>
                <w:lang w:eastAsia="es-AR"/>
              </w:rPr>
              <w:t>Total Pasivos</w:t>
            </w:r>
          </w:p>
        </w:tc>
        <w:tc>
          <w:tcPr>
            <w:tcW w:w="665" w:type="pct"/>
            <w:tcBorders>
              <w:top w:val="nil"/>
              <w:left w:val="nil"/>
              <w:bottom w:val="single" w:sz="4" w:space="0" w:color="auto"/>
              <w:right w:val="single" w:sz="4" w:space="0" w:color="auto"/>
            </w:tcBorders>
            <w:shd w:val="clear" w:color="auto" w:fill="auto"/>
            <w:noWrap/>
            <w:vAlign w:val="bottom"/>
          </w:tcPr>
          <w:p w14:paraId="092EF92A" w14:textId="460603F8" w:rsidR="00A55435" w:rsidRPr="00E104CA" w:rsidRDefault="00D570C9" w:rsidP="00A55435">
            <w:pPr>
              <w:jc w:val="right"/>
              <w:rPr>
                <w:rFonts w:ascii="Arial" w:hAnsi="Arial" w:cs="Arial"/>
                <w:b/>
                <w:bCs/>
                <w:sz w:val="16"/>
                <w:szCs w:val="16"/>
                <w:lang w:eastAsia="es-AR"/>
              </w:rPr>
            </w:pPr>
            <w:r w:rsidRPr="00E104CA">
              <w:rPr>
                <w:rFonts w:ascii="Arial" w:hAnsi="Arial" w:cs="Arial"/>
                <w:b/>
                <w:sz w:val="16"/>
                <w:szCs w:val="16"/>
              </w:rPr>
              <w:t>6.050.579</w:t>
            </w:r>
          </w:p>
        </w:tc>
        <w:tc>
          <w:tcPr>
            <w:tcW w:w="666" w:type="pct"/>
            <w:tcBorders>
              <w:top w:val="nil"/>
              <w:left w:val="nil"/>
              <w:bottom w:val="single" w:sz="4" w:space="0" w:color="auto"/>
              <w:right w:val="single" w:sz="4" w:space="0" w:color="auto"/>
            </w:tcBorders>
            <w:shd w:val="clear" w:color="auto" w:fill="auto"/>
            <w:noWrap/>
            <w:vAlign w:val="bottom"/>
          </w:tcPr>
          <w:p w14:paraId="6A198557" w14:textId="2269768C" w:rsidR="00A55435" w:rsidRPr="00E104CA" w:rsidRDefault="00A55435" w:rsidP="00A55435">
            <w:pPr>
              <w:jc w:val="right"/>
              <w:rPr>
                <w:rFonts w:ascii="Arial" w:eastAsia="Calibri" w:hAnsi="Arial" w:cs="Arial"/>
                <w:b/>
                <w:bCs/>
                <w:color w:val="000000"/>
                <w:sz w:val="16"/>
                <w:szCs w:val="16"/>
              </w:rPr>
            </w:pPr>
            <w:r w:rsidRPr="00E104CA">
              <w:rPr>
                <w:rFonts w:ascii="Arial" w:hAnsi="Arial" w:cs="Arial"/>
                <w:b/>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tcPr>
          <w:p w14:paraId="701D4693" w14:textId="42F5A297" w:rsidR="00A55435" w:rsidRPr="00E104CA" w:rsidRDefault="00A55435" w:rsidP="00A55435">
            <w:pPr>
              <w:jc w:val="right"/>
              <w:rPr>
                <w:rFonts w:ascii="Arial" w:hAnsi="Arial" w:cs="Arial"/>
                <w:b/>
                <w:bCs/>
                <w:sz w:val="16"/>
                <w:szCs w:val="16"/>
                <w:lang w:eastAsia="es-AR"/>
              </w:rPr>
            </w:pPr>
            <w:r w:rsidRPr="00E104CA">
              <w:rPr>
                <w:rFonts w:ascii="Arial" w:hAnsi="Arial" w:cs="Arial"/>
                <w:b/>
                <w:sz w:val="16"/>
                <w:szCs w:val="16"/>
              </w:rPr>
              <w:t xml:space="preserve"> -   </w:t>
            </w:r>
          </w:p>
        </w:tc>
        <w:tc>
          <w:tcPr>
            <w:tcW w:w="663" w:type="pct"/>
            <w:tcBorders>
              <w:top w:val="nil"/>
              <w:left w:val="nil"/>
              <w:bottom w:val="single" w:sz="4" w:space="0" w:color="auto"/>
              <w:right w:val="single" w:sz="4" w:space="0" w:color="auto"/>
            </w:tcBorders>
            <w:vAlign w:val="bottom"/>
          </w:tcPr>
          <w:p w14:paraId="2E296BCA" w14:textId="73534724" w:rsidR="00A55435" w:rsidRPr="00E104CA" w:rsidRDefault="00D570C9" w:rsidP="00A55435">
            <w:pPr>
              <w:jc w:val="right"/>
              <w:rPr>
                <w:rFonts w:ascii="Arial" w:hAnsi="Arial" w:cs="Arial"/>
                <w:b/>
                <w:bCs/>
                <w:sz w:val="16"/>
                <w:szCs w:val="16"/>
                <w:lang w:eastAsia="es-AR"/>
              </w:rPr>
            </w:pPr>
            <w:r w:rsidRPr="00E104CA">
              <w:rPr>
                <w:rFonts w:ascii="Arial" w:hAnsi="Arial" w:cs="Arial"/>
                <w:b/>
                <w:sz w:val="16"/>
                <w:szCs w:val="16"/>
              </w:rPr>
              <w:t>6.050.579</w:t>
            </w:r>
          </w:p>
        </w:tc>
      </w:tr>
    </w:tbl>
    <w:p w14:paraId="176B9665" w14:textId="77777777" w:rsidR="00C43BF8" w:rsidRPr="005F090B" w:rsidRDefault="00C43BF8" w:rsidP="00A06BE9">
      <w:pPr>
        <w:spacing w:after="160" w:line="259" w:lineRule="auto"/>
        <w:jc w:val="both"/>
        <w:rPr>
          <w:rFonts w:ascii="Arial" w:eastAsia="Calibri" w:hAnsi="Arial" w:cs="Arial"/>
          <w:bCs/>
          <w:sz w:val="20"/>
        </w:rPr>
      </w:pPr>
    </w:p>
    <w:tbl>
      <w:tblPr>
        <w:tblW w:w="5425" w:type="pct"/>
        <w:tblLayout w:type="fixed"/>
        <w:tblCellMar>
          <w:left w:w="70" w:type="dxa"/>
          <w:right w:w="70" w:type="dxa"/>
        </w:tblCellMar>
        <w:tblLook w:val="04A0" w:firstRow="1" w:lastRow="0" w:firstColumn="1" w:lastColumn="0" w:noHBand="0" w:noVBand="1"/>
      </w:tblPr>
      <w:tblGrid>
        <w:gridCol w:w="4446"/>
        <w:gridCol w:w="1226"/>
        <w:gridCol w:w="1228"/>
        <w:gridCol w:w="1093"/>
        <w:gridCol w:w="1224"/>
      </w:tblGrid>
      <w:tr w:rsidR="00A55435" w:rsidRPr="005F090B" w14:paraId="206283CB" w14:textId="77777777" w:rsidTr="00D570C9">
        <w:trPr>
          <w:trHeight w:val="237"/>
          <w:tblHeader/>
        </w:trPr>
        <w:tc>
          <w:tcPr>
            <w:tcW w:w="2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1F326" w14:textId="7CF8BE41" w:rsidR="00A55435" w:rsidRPr="002E1AF6" w:rsidRDefault="00A55435" w:rsidP="002F65FB">
            <w:pPr>
              <w:jc w:val="both"/>
              <w:rPr>
                <w:rFonts w:ascii="Arial" w:hAnsi="Arial" w:cs="Arial"/>
                <w:b/>
                <w:sz w:val="16"/>
                <w:szCs w:val="16"/>
                <w:lang w:eastAsia="es-AR"/>
              </w:rPr>
            </w:pPr>
            <w:r w:rsidRPr="002E1AF6">
              <w:rPr>
                <w:rFonts w:ascii="Arial" w:eastAsia="Calibri" w:hAnsi="Arial" w:cs="Arial"/>
                <w:bCs/>
                <w:sz w:val="16"/>
                <w:szCs w:val="16"/>
              </w:rPr>
              <w:br w:type="page"/>
            </w:r>
            <w:r w:rsidRPr="002E1AF6">
              <w:rPr>
                <w:rFonts w:ascii="Arial" w:hAnsi="Arial" w:cs="Arial"/>
                <w:b/>
                <w:sz w:val="16"/>
                <w:szCs w:val="16"/>
                <w:lang w:eastAsia="es-AR"/>
              </w:rPr>
              <w:t>Cartera de instrumentos al 31/12/20</w:t>
            </w:r>
            <w:r w:rsidR="00D570C9" w:rsidRPr="002E1AF6">
              <w:rPr>
                <w:rFonts w:ascii="Arial" w:hAnsi="Arial" w:cs="Arial"/>
                <w:b/>
                <w:sz w:val="16"/>
                <w:szCs w:val="16"/>
                <w:lang w:eastAsia="es-AR"/>
              </w:rPr>
              <w:t>19</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3F29AB88" w14:textId="77777777" w:rsidR="00A55435" w:rsidRPr="002E1AF6" w:rsidRDefault="00A55435" w:rsidP="002F65FB">
            <w:pPr>
              <w:jc w:val="center"/>
              <w:rPr>
                <w:rFonts w:ascii="Arial" w:hAnsi="Arial" w:cs="Arial"/>
                <w:b/>
                <w:sz w:val="16"/>
                <w:szCs w:val="16"/>
                <w:lang w:eastAsia="es-AR"/>
              </w:rPr>
            </w:pPr>
            <w:r w:rsidRPr="002E1AF6">
              <w:rPr>
                <w:rFonts w:ascii="Arial" w:hAnsi="Arial" w:cs="Arial"/>
                <w:b/>
                <w:sz w:val="16"/>
                <w:szCs w:val="16"/>
                <w:lang w:eastAsia="es-AR"/>
              </w:rPr>
              <w:t>VR nivel 1</w:t>
            </w:r>
          </w:p>
        </w:tc>
        <w:tc>
          <w:tcPr>
            <w:tcW w:w="666" w:type="pct"/>
            <w:tcBorders>
              <w:top w:val="single" w:sz="4" w:space="0" w:color="auto"/>
              <w:left w:val="nil"/>
              <w:bottom w:val="single" w:sz="4" w:space="0" w:color="auto"/>
              <w:right w:val="single" w:sz="4" w:space="0" w:color="auto"/>
            </w:tcBorders>
            <w:shd w:val="clear" w:color="auto" w:fill="auto"/>
            <w:noWrap/>
            <w:vAlign w:val="bottom"/>
            <w:hideMark/>
          </w:tcPr>
          <w:p w14:paraId="3CA6591F" w14:textId="77777777" w:rsidR="00A55435" w:rsidRPr="002E1AF6" w:rsidRDefault="00A55435" w:rsidP="002F65FB">
            <w:pPr>
              <w:jc w:val="center"/>
              <w:rPr>
                <w:rFonts w:ascii="Arial" w:hAnsi="Arial" w:cs="Arial"/>
                <w:b/>
                <w:sz w:val="16"/>
                <w:szCs w:val="16"/>
                <w:lang w:eastAsia="es-AR"/>
              </w:rPr>
            </w:pPr>
            <w:r w:rsidRPr="002E1AF6">
              <w:rPr>
                <w:rFonts w:ascii="Arial" w:hAnsi="Arial" w:cs="Arial"/>
                <w:b/>
                <w:sz w:val="16"/>
                <w:szCs w:val="16"/>
                <w:lang w:eastAsia="es-AR"/>
              </w:rPr>
              <w:t>VR nivel 2</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14:paraId="54B5D67F" w14:textId="77777777" w:rsidR="00A55435" w:rsidRPr="002E1AF6" w:rsidRDefault="00A55435" w:rsidP="002F65FB">
            <w:pPr>
              <w:jc w:val="center"/>
              <w:rPr>
                <w:rFonts w:ascii="Arial" w:hAnsi="Arial" w:cs="Arial"/>
                <w:b/>
                <w:sz w:val="16"/>
                <w:szCs w:val="16"/>
                <w:lang w:eastAsia="es-AR"/>
              </w:rPr>
            </w:pPr>
            <w:r w:rsidRPr="002E1AF6">
              <w:rPr>
                <w:rFonts w:ascii="Arial" w:hAnsi="Arial" w:cs="Arial"/>
                <w:b/>
                <w:sz w:val="16"/>
                <w:szCs w:val="16"/>
                <w:lang w:eastAsia="es-AR"/>
              </w:rPr>
              <w:t>VR nivel 3</w:t>
            </w:r>
          </w:p>
        </w:tc>
        <w:tc>
          <w:tcPr>
            <w:tcW w:w="664" w:type="pct"/>
            <w:tcBorders>
              <w:top w:val="single" w:sz="4" w:space="0" w:color="auto"/>
              <w:left w:val="nil"/>
              <w:bottom w:val="single" w:sz="4" w:space="0" w:color="auto"/>
              <w:right w:val="single" w:sz="4" w:space="0" w:color="auto"/>
            </w:tcBorders>
            <w:vAlign w:val="center"/>
          </w:tcPr>
          <w:p w14:paraId="5EF2B6FA" w14:textId="77777777" w:rsidR="00A55435" w:rsidRPr="002E1AF6" w:rsidRDefault="00A55435" w:rsidP="002F65FB">
            <w:pPr>
              <w:jc w:val="center"/>
              <w:rPr>
                <w:rFonts w:ascii="Arial" w:hAnsi="Arial" w:cs="Arial"/>
                <w:b/>
                <w:sz w:val="16"/>
                <w:szCs w:val="16"/>
                <w:lang w:eastAsia="es-AR"/>
              </w:rPr>
            </w:pPr>
            <w:r w:rsidRPr="002E1AF6">
              <w:rPr>
                <w:rFonts w:ascii="Arial" w:hAnsi="Arial" w:cs="Arial"/>
                <w:b/>
                <w:sz w:val="16"/>
                <w:szCs w:val="16"/>
                <w:lang w:eastAsia="es-AR"/>
              </w:rPr>
              <w:t>Total</w:t>
            </w:r>
          </w:p>
        </w:tc>
      </w:tr>
      <w:tr w:rsidR="00A55435" w:rsidRPr="005F090B" w14:paraId="114E2296"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E66B698" w14:textId="77777777" w:rsidR="00A55435" w:rsidRPr="002E1AF6" w:rsidRDefault="00A55435" w:rsidP="002F65FB">
            <w:pPr>
              <w:jc w:val="both"/>
              <w:rPr>
                <w:rFonts w:ascii="Arial" w:hAnsi="Arial" w:cs="Arial"/>
                <w:b/>
                <w:bCs/>
                <w:sz w:val="16"/>
                <w:szCs w:val="16"/>
                <w:lang w:eastAsia="es-AR"/>
              </w:rPr>
            </w:pPr>
            <w:r w:rsidRPr="002E1AF6">
              <w:rPr>
                <w:rFonts w:ascii="Arial" w:hAnsi="Arial" w:cs="Arial"/>
                <w:b/>
                <w:bCs/>
                <w:sz w:val="16"/>
                <w:szCs w:val="16"/>
                <w:lang w:eastAsia="es-AR"/>
              </w:rPr>
              <w:t>Activos</w:t>
            </w:r>
          </w:p>
        </w:tc>
        <w:tc>
          <w:tcPr>
            <w:tcW w:w="665" w:type="pct"/>
            <w:tcBorders>
              <w:top w:val="nil"/>
              <w:left w:val="nil"/>
              <w:bottom w:val="single" w:sz="4" w:space="0" w:color="auto"/>
              <w:right w:val="single" w:sz="4" w:space="0" w:color="auto"/>
            </w:tcBorders>
            <w:shd w:val="clear" w:color="auto" w:fill="auto"/>
            <w:noWrap/>
            <w:vAlign w:val="bottom"/>
            <w:hideMark/>
          </w:tcPr>
          <w:p w14:paraId="4577D9BB" w14:textId="77777777" w:rsidR="00A55435" w:rsidRPr="002E1AF6" w:rsidRDefault="00A55435" w:rsidP="002F0310">
            <w:pPr>
              <w:jc w:val="right"/>
              <w:rPr>
                <w:rFonts w:ascii="Arial" w:hAnsi="Arial" w:cs="Arial"/>
                <w:b/>
                <w:bCs/>
                <w:sz w:val="16"/>
                <w:szCs w:val="16"/>
                <w:lang w:val="es-ES_tradnl" w:eastAsia="es-AR"/>
              </w:rPr>
            </w:pPr>
            <w:r w:rsidRPr="002E1AF6">
              <w:rPr>
                <w:rFonts w:ascii="Arial" w:hAnsi="Arial" w:cs="Arial"/>
                <w:b/>
                <w:bCs/>
                <w:sz w:val="16"/>
                <w:szCs w:val="16"/>
                <w:lang w:eastAsia="es-AR"/>
              </w:rPr>
              <w:t> </w:t>
            </w:r>
          </w:p>
        </w:tc>
        <w:tc>
          <w:tcPr>
            <w:tcW w:w="666" w:type="pct"/>
            <w:tcBorders>
              <w:top w:val="nil"/>
              <w:left w:val="nil"/>
              <w:bottom w:val="single" w:sz="4" w:space="0" w:color="auto"/>
              <w:right w:val="single" w:sz="4" w:space="0" w:color="auto"/>
            </w:tcBorders>
            <w:shd w:val="clear" w:color="auto" w:fill="auto"/>
            <w:noWrap/>
            <w:vAlign w:val="bottom"/>
            <w:hideMark/>
          </w:tcPr>
          <w:p w14:paraId="21E8C628" w14:textId="77777777" w:rsidR="00A55435" w:rsidRPr="002E1AF6" w:rsidRDefault="00A55435" w:rsidP="002F0310">
            <w:pPr>
              <w:jc w:val="right"/>
              <w:rPr>
                <w:rFonts w:ascii="Arial" w:hAnsi="Arial" w:cs="Arial"/>
                <w:b/>
                <w:bCs/>
                <w:sz w:val="16"/>
                <w:szCs w:val="16"/>
                <w:lang w:val="es-ES_tradnl" w:eastAsia="es-AR"/>
              </w:rPr>
            </w:pPr>
            <w:r w:rsidRPr="002E1AF6">
              <w:rPr>
                <w:rFonts w:ascii="Arial" w:hAnsi="Arial" w:cs="Arial"/>
                <w:b/>
                <w:bCs/>
                <w:sz w:val="16"/>
                <w:szCs w:val="16"/>
                <w:lang w:eastAsia="es-AR"/>
              </w:rPr>
              <w:t> </w:t>
            </w:r>
          </w:p>
        </w:tc>
        <w:tc>
          <w:tcPr>
            <w:tcW w:w="593" w:type="pct"/>
            <w:tcBorders>
              <w:top w:val="nil"/>
              <w:left w:val="nil"/>
              <w:bottom w:val="single" w:sz="4" w:space="0" w:color="auto"/>
              <w:right w:val="single" w:sz="4" w:space="0" w:color="auto"/>
            </w:tcBorders>
            <w:shd w:val="clear" w:color="auto" w:fill="auto"/>
            <w:noWrap/>
            <w:vAlign w:val="bottom"/>
            <w:hideMark/>
          </w:tcPr>
          <w:p w14:paraId="7A06C398" w14:textId="77777777" w:rsidR="00A55435" w:rsidRPr="002E1AF6" w:rsidRDefault="00A55435" w:rsidP="002F0310">
            <w:pPr>
              <w:jc w:val="right"/>
              <w:rPr>
                <w:rFonts w:ascii="Arial" w:hAnsi="Arial" w:cs="Arial"/>
                <w:b/>
                <w:bCs/>
                <w:sz w:val="16"/>
                <w:szCs w:val="16"/>
                <w:lang w:val="es-ES_tradnl" w:eastAsia="es-AR"/>
              </w:rPr>
            </w:pPr>
            <w:r w:rsidRPr="002E1AF6">
              <w:rPr>
                <w:rFonts w:ascii="Arial" w:hAnsi="Arial" w:cs="Arial"/>
                <w:b/>
                <w:bCs/>
                <w:sz w:val="16"/>
                <w:szCs w:val="16"/>
                <w:lang w:eastAsia="es-AR"/>
              </w:rPr>
              <w:t> </w:t>
            </w:r>
          </w:p>
        </w:tc>
        <w:tc>
          <w:tcPr>
            <w:tcW w:w="664" w:type="pct"/>
            <w:tcBorders>
              <w:top w:val="nil"/>
              <w:left w:val="nil"/>
              <w:bottom w:val="single" w:sz="4" w:space="0" w:color="auto"/>
              <w:right w:val="single" w:sz="4" w:space="0" w:color="auto"/>
            </w:tcBorders>
            <w:vAlign w:val="bottom"/>
          </w:tcPr>
          <w:p w14:paraId="708AA0F7" w14:textId="77777777" w:rsidR="00A55435" w:rsidRPr="002E1AF6" w:rsidRDefault="00A55435" w:rsidP="002F0310">
            <w:pPr>
              <w:jc w:val="right"/>
              <w:rPr>
                <w:rFonts w:ascii="Arial" w:hAnsi="Arial" w:cs="Arial"/>
                <w:b/>
                <w:bCs/>
                <w:sz w:val="16"/>
                <w:szCs w:val="16"/>
                <w:lang w:eastAsia="es-AR"/>
              </w:rPr>
            </w:pPr>
          </w:p>
        </w:tc>
      </w:tr>
      <w:tr w:rsidR="00D570C9" w:rsidRPr="005F090B" w14:paraId="19C27AB7"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7D919BE5"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Efectivo y depositos en bancos</w:t>
            </w:r>
          </w:p>
        </w:tc>
        <w:tc>
          <w:tcPr>
            <w:tcW w:w="665" w:type="pct"/>
            <w:tcBorders>
              <w:top w:val="nil"/>
              <w:left w:val="nil"/>
              <w:bottom w:val="single" w:sz="4" w:space="0" w:color="auto"/>
              <w:right w:val="single" w:sz="4" w:space="0" w:color="auto"/>
            </w:tcBorders>
            <w:shd w:val="clear" w:color="auto" w:fill="auto"/>
            <w:noWrap/>
            <w:vAlign w:val="bottom"/>
          </w:tcPr>
          <w:p w14:paraId="5616A45D" w14:textId="06E4CF59" w:rsidR="00D570C9" w:rsidRPr="002E1AF6" w:rsidRDefault="00D570C9" w:rsidP="002F0310">
            <w:pPr>
              <w:jc w:val="right"/>
              <w:rPr>
                <w:rFonts w:ascii="Arial" w:hAnsi="Arial" w:cs="Arial"/>
                <w:sz w:val="16"/>
                <w:szCs w:val="16"/>
              </w:rPr>
            </w:pPr>
            <w:r w:rsidRPr="002E1AF6">
              <w:rPr>
                <w:rFonts w:ascii="Arial" w:hAnsi="Arial" w:cs="Arial"/>
                <w:sz w:val="16"/>
                <w:szCs w:val="16"/>
              </w:rPr>
              <w:t xml:space="preserve"> 32.243 </w:t>
            </w:r>
          </w:p>
        </w:tc>
        <w:tc>
          <w:tcPr>
            <w:tcW w:w="666" w:type="pct"/>
            <w:tcBorders>
              <w:top w:val="nil"/>
              <w:left w:val="nil"/>
              <w:bottom w:val="single" w:sz="4" w:space="0" w:color="auto"/>
              <w:right w:val="single" w:sz="4" w:space="0" w:color="auto"/>
            </w:tcBorders>
            <w:shd w:val="clear" w:color="auto" w:fill="auto"/>
            <w:noWrap/>
            <w:vAlign w:val="bottom"/>
          </w:tcPr>
          <w:p w14:paraId="3DAC6D82" w14:textId="12F33AA3" w:rsidR="00D570C9" w:rsidRPr="002E1AF6" w:rsidRDefault="00D570C9" w:rsidP="002F0310">
            <w:pPr>
              <w:jc w:val="right"/>
              <w:rPr>
                <w:rFonts w:ascii="Arial" w:hAnsi="Arial" w:cs="Arial"/>
                <w:sz w:val="16"/>
                <w:szCs w:val="16"/>
              </w:rPr>
            </w:pPr>
          </w:p>
        </w:tc>
        <w:tc>
          <w:tcPr>
            <w:tcW w:w="593" w:type="pct"/>
            <w:tcBorders>
              <w:top w:val="nil"/>
              <w:left w:val="nil"/>
              <w:bottom w:val="single" w:sz="4" w:space="0" w:color="auto"/>
              <w:right w:val="single" w:sz="4" w:space="0" w:color="auto"/>
            </w:tcBorders>
            <w:shd w:val="clear" w:color="auto" w:fill="auto"/>
            <w:noWrap/>
            <w:vAlign w:val="bottom"/>
          </w:tcPr>
          <w:p w14:paraId="1AF1F962" w14:textId="181D46A0" w:rsidR="00D570C9" w:rsidRPr="002E1AF6" w:rsidRDefault="00D570C9" w:rsidP="002F0310">
            <w:pPr>
              <w:jc w:val="right"/>
              <w:rPr>
                <w:rFonts w:ascii="Arial" w:hAnsi="Arial" w:cs="Arial"/>
                <w:sz w:val="16"/>
                <w:szCs w:val="16"/>
              </w:rPr>
            </w:pPr>
          </w:p>
        </w:tc>
        <w:tc>
          <w:tcPr>
            <w:tcW w:w="664" w:type="pct"/>
            <w:tcBorders>
              <w:top w:val="nil"/>
              <w:left w:val="nil"/>
              <w:bottom w:val="single" w:sz="4" w:space="0" w:color="auto"/>
              <w:right w:val="single" w:sz="4" w:space="0" w:color="auto"/>
            </w:tcBorders>
            <w:vAlign w:val="bottom"/>
          </w:tcPr>
          <w:p w14:paraId="4FF8E052" w14:textId="2F670DC4" w:rsidR="00D570C9" w:rsidRPr="002E1AF6" w:rsidRDefault="00D570C9" w:rsidP="002F0310">
            <w:pPr>
              <w:jc w:val="right"/>
              <w:rPr>
                <w:rFonts w:ascii="Arial" w:hAnsi="Arial" w:cs="Arial"/>
                <w:sz w:val="16"/>
                <w:szCs w:val="16"/>
              </w:rPr>
            </w:pPr>
            <w:r w:rsidRPr="002E1AF6">
              <w:rPr>
                <w:rFonts w:ascii="Arial" w:hAnsi="Arial" w:cs="Arial"/>
                <w:sz w:val="16"/>
                <w:szCs w:val="16"/>
              </w:rPr>
              <w:t xml:space="preserve"> 32.243 </w:t>
            </w:r>
          </w:p>
        </w:tc>
      </w:tr>
      <w:tr w:rsidR="00D570C9" w:rsidRPr="005F090B" w14:paraId="32C46097"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54EA788D"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Títulos de Deuda a Valor Razonable con Cambio en Resultados</w:t>
            </w:r>
          </w:p>
        </w:tc>
        <w:tc>
          <w:tcPr>
            <w:tcW w:w="665" w:type="pct"/>
            <w:tcBorders>
              <w:top w:val="nil"/>
              <w:left w:val="nil"/>
              <w:bottom w:val="single" w:sz="4" w:space="0" w:color="auto"/>
              <w:right w:val="single" w:sz="4" w:space="0" w:color="auto"/>
            </w:tcBorders>
            <w:shd w:val="clear" w:color="auto" w:fill="auto"/>
            <w:noWrap/>
            <w:vAlign w:val="bottom"/>
            <w:hideMark/>
          </w:tcPr>
          <w:p w14:paraId="421F8A4C" w14:textId="394FB05B" w:rsidR="00D570C9" w:rsidRPr="002E1AF6" w:rsidRDefault="00D570C9" w:rsidP="002F0310">
            <w:pPr>
              <w:jc w:val="right"/>
              <w:rPr>
                <w:rFonts w:ascii="Arial" w:hAnsi="Arial" w:cs="Arial"/>
                <w:sz w:val="16"/>
                <w:szCs w:val="16"/>
                <w:lang w:eastAsia="es-AR"/>
              </w:rPr>
            </w:pPr>
            <w:r w:rsidRPr="002E1AF6">
              <w:rPr>
                <w:rFonts w:ascii="Arial" w:hAnsi="Arial" w:cs="Arial"/>
                <w:sz w:val="16"/>
                <w:szCs w:val="16"/>
              </w:rPr>
              <w:t xml:space="preserve"> 432.704 </w:t>
            </w:r>
          </w:p>
        </w:tc>
        <w:tc>
          <w:tcPr>
            <w:tcW w:w="666" w:type="pct"/>
            <w:tcBorders>
              <w:top w:val="nil"/>
              <w:left w:val="nil"/>
              <w:bottom w:val="single" w:sz="4" w:space="0" w:color="auto"/>
              <w:right w:val="single" w:sz="4" w:space="0" w:color="auto"/>
            </w:tcBorders>
            <w:shd w:val="clear" w:color="auto" w:fill="auto"/>
            <w:noWrap/>
            <w:vAlign w:val="bottom"/>
            <w:hideMark/>
          </w:tcPr>
          <w:p w14:paraId="4F094D9D" w14:textId="0561749F" w:rsidR="00D570C9" w:rsidRPr="002E1AF6" w:rsidRDefault="00D570C9"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hideMark/>
          </w:tcPr>
          <w:p w14:paraId="32F36F3B" w14:textId="1A3CC3F7" w:rsidR="00D570C9" w:rsidRPr="002E1AF6" w:rsidRDefault="00D570C9" w:rsidP="002F0310">
            <w:pPr>
              <w:jc w:val="right"/>
              <w:rPr>
                <w:rFonts w:ascii="Arial" w:hAnsi="Arial" w:cs="Arial"/>
                <w:sz w:val="16"/>
                <w:szCs w:val="16"/>
                <w:lang w:eastAsia="es-AR"/>
              </w:rPr>
            </w:pPr>
            <w:r w:rsidRPr="002E1AF6">
              <w:rPr>
                <w:rFonts w:ascii="Arial" w:hAnsi="Arial" w:cs="Arial"/>
                <w:sz w:val="16"/>
                <w:szCs w:val="16"/>
              </w:rPr>
              <w:t xml:space="preserve"> 3.957 </w:t>
            </w:r>
          </w:p>
        </w:tc>
        <w:tc>
          <w:tcPr>
            <w:tcW w:w="664" w:type="pct"/>
            <w:tcBorders>
              <w:top w:val="nil"/>
              <w:left w:val="nil"/>
              <w:bottom w:val="single" w:sz="4" w:space="0" w:color="auto"/>
              <w:right w:val="single" w:sz="4" w:space="0" w:color="auto"/>
            </w:tcBorders>
            <w:vAlign w:val="bottom"/>
          </w:tcPr>
          <w:p w14:paraId="3FFEF330" w14:textId="532D9411" w:rsidR="00D570C9" w:rsidRPr="002E1AF6" w:rsidRDefault="00D570C9" w:rsidP="002F0310">
            <w:pPr>
              <w:jc w:val="right"/>
              <w:rPr>
                <w:rFonts w:ascii="Arial" w:eastAsia="Calibri" w:hAnsi="Arial" w:cs="Arial"/>
                <w:color w:val="000000"/>
                <w:sz w:val="16"/>
                <w:szCs w:val="16"/>
              </w:rPr>
            </w:pPr>
            <w:r w:rsidRPr="002E1AF6">
              <w:rPr>
                <w:rFonts w:ascii="Arial" w:hAnsi="Arial" w:cs="Arial"/>
                <w:sz w:val="16"/>
                <w:szCs w:val="16"/>
              </w:rPr>
              <w:t xml:space="preserve"> 436.661 </w:t>
            </w:r>
          </w:p>
        </w:tc>
      </w:tr>
      <w:tr w:rsidR="00D570C9" w:rsidRPr="005F090B" w14:paraId="4B371EAE"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32BA46C4" w14:textId="77777777" w:rsidR="00D570C9" w:rsidRPr="002E1AF6" w:rsidRDefault="00D570C9" w:rsidP="00D570C9">
            <w:pPr>
              <w:jc w:val="both"/>
              <w:rPr>
                <w:rFonts w:ascii="Arial" w:hAnsi="Arial" w:cs="Arial"/>
                <w:sz w:val="16"/>
                <w:szCs w:val="16"/>
                <w:lang w:eastAsia="es-AR"/>
              </w:rPr>
            </w:pPr>
            <w:r w:rsidRPr="002E1AF6">
              <w:rPr>
                <w:rFonts w:ascii="Arial" w:hAnsi="Arial" w:cs="Arial"/>
                <w:sz w:val="16"/>
                <w:szCs w:val="16"/>
                <w:lang w:eastAsia="es-AR"/>
              </w:rPr>
              <w:t>- Instrumentos Derivados</w:t>
            </w:r>
          </w:p>
        </w:tc>
        <w:tc>
          <w:tcPr>
            <w:tcW w:w="665" w:type="pct"/>
            <w:tcBorders>
              <w:top w:val="nil"/>
              <w:left w:val="nil"/>
              <w:bottom w:val="single" w:sz="4" w:space="0" w:color="auto"/>
              <w:right w:val="single" w:sz="4" w:space="0" w:color="auto"/>
            </w:tcBorders>
            <w:shd w:val="clear" w:color="auto" w:fill="auto"/>
            <w:noWrap/>
            <w:vAlign w:val="bottom"/>
            <w:hideMark/>
          </w:tcPr>
          <w:p w14:paraId="2F3992BD" w14:textId="1BFBB46D" w:rsidR="00D570C9" w:rsidRPr="002E1AF6" w:rsidRDefault="00D570C9" w:rsidP="002F0310">
            <w:pPr>
              <w:jc w:val="right"/>
              <w:rPr>
                <w:rFonts w:ascii="Arial" w:hAnsi="Arial" w:cs="Arial"/>
                <w:sz w:val="16"/>
                <w:szCs w:val="16"/>
                <w:lang w:eastAsia="es-AR"/>
              </w:rPr>
            </w:pPr>
            <w:r w:rsidRPr="002E1AF6">
              <w:rPr>
                <w:rFonts w:ascii="Arial" w:hAnsi="Arial" w:cs="Arial"/>
                <w:sz w:val="16"/>
                <w:szCs w:val="16"/>
              </w:rPr>
              <w:t xml:space="preserve"> 277.679 </w:t>
            </w:r>
          </w:p>
        </w:tc>
        <w:tc>
          <w:tcPr>
            <w:tcW w:w="666" w:type="pct"/>
            <w:tcBorders>
              <w:top w:val="nil"/>
              <w:left w:val="nil"/>
              <w:bottom w:val="single" w:sz="4" w:space="0" w:color="auto"/>
              <w:right w:val="single" w:sz="4" w:space="0" w:color="auto"/>
            </w:tcBorders>
            <w:shd w:val="clear" w:color="auto" w:fill="auto"/>
            <w:noWrap/>
            <w:vAlign w:val="bottom"/>
            <w:hideMark/>
          </w:tcPr>
          <w:p w14:paraId="4EBF25B7" w14:textId="5F2B0468" w:rsidR="00D570C9" w:rsidRPr="002E1AF6" w:rsidRDefault="00D570C9"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hideMark/>
          </w:tcPr>
          <w:p w14:paraId="1616BB25" w14:textId="243FB5D7" w:rsidR="00D570C9" w:rsidRPr="002E1AF6" w:rsidRDefault="00D570C9"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664" w:type="pct"/>
            <w:tcBorders>
              <w:top w:val="nil"/>
              <w:left w:val="nil"/>
              <w:bottom w:val="single" w:sz="4" w:space="0" w:color="auto"/>
              <w:right w:val="single" w:sz="4" w:space="0" w:color="auto"/>
            </w:tcBorders>
            <w:vAlign w:val="bottom"/>
          </w:tcPr>
          <w:p w14:paraId="01162FDF" w14:textId="31EAE00C" w:rsidR="00D570C9" w:rsidRPr="002E1AF6" w:rsidRDefault="00D570C9" w:rsidP="002F0310">
            <w:pPr>
              <w:jc w:val="right"/>
              <w:rPr>
                <w:rFonts w:ascii="Arial" w:eastAsia="Calibri" w:hAnsi="Arial" w:cs="Arial"/>
                <w:color w:val="000000"/>
                <w:sz w:val="16"/>
                <w:szCs w:val="16"/>
              </w:rPr>
            </w:pPr>
            <w:r w:rsidRPr="002E1AF6">
              <w:rPr>
                <w:rFonts w:ascii="Arial" w:hAnsi="Arial" w:cs="Arial"/>
                <w:sz w:val="16"/>
                <w:szCs w:val="16"/>
              </w:rPr>
              <w:t xml:space="preserve"> 277.679 </w:t>
            </w:r>
          </w:p>
        </w:tc>
      </w:tr>
      <w:tr w:rsidR="002F0310" w:rsidRPr="005F090B" w14:paraId="7725BE23"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1CA0DA8C" w14:textId="77777777" w:rsidR="002F0310" w:rsidRPr="002E1AF6" w:rsidRDefault="002F0310" w:rsidP="002F0310">
            <w:pPr>
              <w:jc w:val="both"/>
              <w:rPr>
                <w:rFonts w:ascii="Arial" w:hAnsi="Arial" w:cs="Arial"/>
                <w:sz w:val="16"/>
                <w:szCs w:val="16"/>
                <w:lang w:eastAsia="es-AR"/>
              </w:rPr>
            </w:pPr>
            <w:r w:rsidRPr="002E1AF6">
              <w:rPr>
                <w:rFonts w:ascii="Arial" w:hAnsi="Arial" w:cs="Arial"/>
                <w:sz w:val="16"/>
                <w:szCs w:val="16"/>
                <w:lang w:eastAsia="es-AR"/>
              </w:rPr>
              <w:t>- Otros Activos Financieros</w:t>
            </w:r>
          </w:p>
        </w:tc>
        <w:tc>
          <w:tcPr>
            <w:tcW w:w="665" w:type="pct"/>
            <w:tcBorders>
              <w:top w:val="nil"/>
              <w:left w:val="nil"/>
              <w:bottom w:val="single" w:sz="4" w:space="0" w:color="auto"/>
              <w:right w:val="single" w:sz="4" w:space="0" w:color="auto"/>
            </w:tcBorders>
            <w:shd w:val="clear" w:color="auto" w:fill="auto"/>
            <w:noWrap/>
            <w:vAlign w:val="bottom"/>
            <w:hideMark/>
          </w:tcPr>
          <w:p w14:paraId="61ECE9ED" w14:textId="4366E78D"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180.751 </w:t>
            </w:r>
          </w:p>
        </w:tc>
        <w:tc>
          <w:tcPr>
            <w:tcW w:w="666" w:type="pct"/>
            <w:tcBorders>
              <w:top w:val="nil"/>
              <w:left w:val="nil"/>
              <w:bottom w:val="single" w:sz="4" w:space="0" w:color="auto"/>
              <w:right w:val="single" w:sz="4" w:space="0" w:color="auto"/>
            </w:tcBorders>
            <w:shd w:val="clear" w:color="auto" w:fill="auto"/>
            <w:noWrap/>
            <w:vAlign w:val="bottom"/>
            <w:hideMark/>
          </w:tcPr>
          <w:p w14:paraId="58D7045C" w14:textId="3EFFC57C"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hideMark/>
          </w:tcPr>
          <w:p w14:paraId="4BCF2067" w14:textId="661F39E9"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664" w:type="pct"/>
            <w:tcBorders>
              <w:top w:val="nil"/>
              <w:left w:val="nil"/>
              <w:bottom w:val="single" w:sz="4" w:space="0" w:color="auto"/>
              <w:right w:val="single" w:sz="4" w:space="0" w:color="auto"/>
            </w:tcBorders>
            <w:vAlign w:val="bottom"/>
          </w:tcPr>
          <w:p w14:paraId="641AE73B" w14:textId="58CDB1D1" w:rsidR="002F0310" w:rsidRPr="002E1AF6" w:rsidRDefault="002F0310" w:rsidP="002F0310">
            <w:pPr>
              <w:jc w:val="right"/>
              <w:rPr>
                <w:rFonts w:ascii="Arial" w:eastAsia="Calibri" w:hAnsi="Arial" w:cs="Arial"/>
                <w:color w:val="000000"/>
                <w:sz w:val="16"/>
                <w:szCs w:val="16"/>
              </w:rPr>
            </w:pPr>
            <w:r w:rsidRPr="002E1AF6">
              <w:rPr>
                <w:rFonts w:ascii="Arial" w:hAnsi="Arial" w:cs="Arial"/>
                <w:sz w:val="16"/>
                <w:szCs w:val="16"/>
              </w:rPr>
              <w:t xml:space="preserve"> 180.751 </w:t>
            </w:r>
          </w:p>
        </w:tc>
      </w:tr>
      <w:tr w:rsidR="002F0310" w:rsidRPr="00701F32" w14:paraId="370D2F94"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DFC40A5" w14:textId="77777777" w:rsidR="002F0310" w:rsidRPr="002E1AF6" w:rsidRDefault="002F0310" w:rsidP="002F0310">
            <w:pPr>
              <w:jc w:val="both"/>
              <w:rPr>
                <w:rFonts w:ascii="Arial" w:hAnsi="Arial" w:cs="Arial"/>
                <w:sz w:val="16"/>
                <w:szCs w:val="16"/>
                <w:lang w:eastAsia="es-AR"/>
              </w:rPr>
            </w:pPr>
            <w:r w:rsidRPr="002E1AF6">
              <w:rPr>
                <w:rFonts w:ascii="Arial" w:hAnsi="Arial" w:cs="Arial"/>
                <w:sz w:val="16"/>
                <w:szCs w:val="16"/>
                <w:lang w:eastAsia="es-AR"/>
              </w:rPr>
              <w:t>- Otros Títulos de Deuda</w:t>
            </w:r>
          </w:p>
        </w:tc>
        <w:tc>
          <w:tcPr>
            <w:tcW w:w="665" w:type="pct"/>
            <w:tcBorders>
              <w:top w:val="nil"/>
              <w:left w:val="nil"/>
              <w:bottom w:val="single" w:sz="4" w:space="0" w:color="auto"/>
              <w:right w:val="single" w:sz="4" w:space="0" w:color="auto"/>
            </w:tcBorders>
            <w:shd w:val="clear" w:color="auto" w:fill="auto"/>
            <w:noWrap/>
            <w:vAlign w:val="bottom"/>
            <w:hideMark/>
          </w:tcPr>
          <w:p w14:paraId="5148E490" w14:textId="1E783BE4" w:rsidR="002F0310" w:rsidRPr="002E1AF6" w:rsidRDefault="00006579" w:rsidP="002F0310">
            <w:pPr>
              <w:jc w:val="right"/>
              <w:rPr>
                <w:rFonts w:ascii="Arial" w:hAnsi="Arial" w:cs="Arial"/>
                <w:sz w:val="16"/>
                <w:szCs w:val="16"/>
                <w:lang w:eastAsia="es-AR"/>
              </w:rPr>
            </w:pPr>
            <w:r>
              <w:rPr>
                <w:rFonts w:ascii="Arial" w:hAnsi="Arial" w:cs="Arial"/>
                <w:sz w:val="16"/>
                <w:szCs w:val="16"/>
              </w:rPr>
              <w:t>-</w:t>
            </w:r>
            <w:r w:rsidR="002F0310" w:rsidRPr="002E1AF6">
              <w:rPr>
                <w:rFonts w:ascii="Arial" w:hAnsi="Arial" w:cs="Arial"/>
                <w:sz w:val="16"/>
                <w:szCs w:val="16"/>
              </w:rPr>
              <w:t xml:space="preserve"> </w:t>
            </w:r>
          </w:p>
        </w:tc>
        <w:tc>
          <w:tcPr>
            <w:tcW w:w="666" w:type="pct"/>
            <w:tcBorders>
              <w:top w:val="nil"/>
              <w:left w:val="nil"/>
              <w:bottom w:val="single" w:sz="4" w:space="0" w:color="auto"/>
              <w:right w:val="single" w:sz="4" w:space="0" w:color="auto"/>
            </w:tcBorders>
            <w:shd w:val="clear" w:color="auto" w:fill="auto"/>
            <w:noWrap/>
            <w:vAlign w:val="bottom"/>
            <w:hideMark/>
          </w:tcPr>
          <w:p w14:paraId="7475546E" w14:textId="059E5CBE" w:rsidR="002F0310" w:rsidRPr="002E1AF6" w:rsidRDefault="00006579" w:rsidP="002F0310">
            <w:pPr>
              <w:jc w:val="right"/>
              <w:rPr>
                <w:rFonts w:ascii="Arial" w:hAnsi="Arial" w:cs="Arial"/>
                <w:sz w:val="16"/>
                <w:szCs w:val="16"/>
                <w:lang w:eastAsia="es-AR"/>
              </w:rPr>
            </w:pPr>
            <w:r w:rsidRPr="00006579">
              <w:rPr>
                <w:rFonts w:ascii="Arial" w:hAnsi="Arial" w:cs="Arial"/>
                <w:sz w:val="16"/>
                <w:szCs w:val="16"/>
              </w:rPr>
              <w:t>7.730.5</w:t>
            </w:r>
            <w:r>
              <w:rPr>
                <w:rFonts w:ascii="Arial" w:hAnsi="Arial" w:cs="Arial"/>
                <w:sz w:val="16"/>
                <w:szCs w:val="16"/>
              </w:rPr>
              <w:t>23</w:t>
            </w:r>
          </w:p>
        </w:tc>
        <w:tc>
          <w:tcPr>
            <w:tcW w:w="593" w:type="pct"/>
            <w:tcBorders>
              <w:top w:val="nil"/>
              <w:left w:val="nil"/>
              <w:bottom w:val="single" w:sz="4" w:space="0" w:color="auto"/>
              <w:right w:val="single" w:sz="4" w:space="0" w:color="auto"/>
            </w:tcBorders>
            <w:shd w:val="clear" w:color="auto" w:fill="auto"/>
            <w:noWrap/>
            <w:vAlign w:val="bottom"/>
            <w:hideMark/>
          </w:tcPr>
          <w:p w14:paraId="54350449" w14:textId="4A14424A"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664" w:type="pct"/>
            <w:tcBorders>
              <w:top w:val="nil"/>
              <w:left w:val="nil"/>
              <w:bottom w:val="single" w:sz="4" w:space="0" w:color="auto"/>
              <w:right w:val="single" w:sz="4" w:space="0" w:color="auto"/>
            </w:tcBorders>
            <w:vAlign w:val="bottom"/>
          </w:tcPr>
          <w:p w14:paraId="10F235F8" w14:textId="0E0D0A99" w:rsidR="002F0310" w:rsidRPr="002E1AF6" w:rsidRDefault="002F0310" w:rsidP="002F0310">
            <w:pPr>
              <w:jc w:val="right"/>
              <w:rPr>
                <w:rFonts w:ascii="Arial" w:eastAsia="Calibri" w:hAnsi="Arial" w:cs="Arial"/>
                <w:color w:val="000000"/>
                <w:sz w:val="16"/>
                <w:szCs w:val="16"/>
              </w:rPr>
            </w:pPr>
            <w:r w:rsidRPr="002E1AF6">
              <w:rPr>
                <w:rFonts w:ascii="Arial" w:hAnsi="Arial" w:cs="Arial"/>
                <w:sz w:val="16"/>
                <w:szCs w:val="16"/>
              </w:rPr>
              <w:t xml:space="preserve"> 7.730.5</w:t>
            </w:r>
            <w:r w:rsidR="00006579">
              <w:rPr>
                <w:rFonts w:ascii="Arial" w:hAnsi="Arial" w:cs="Arial"/>
                <w:sz w:val="16"/>
                <w:szCs w:val="16"/>
              </w:rPr>
              <w:t>23</w:t>
            </w:r>
            <w:r w:rsidRPr="002E1AF6">
              <w:rPr>
                <w:rFonts w:ascii="Arial" w:hAnsi="Arial" w:cs="Arial"/>
                <w:sz w:val="16"/>
                <w:szCs w:val="16"/>
              </w:rPr>
              <w:t xml:space="preserve"> </w:t>
            </w:r>
          </w:p>
        </w:tc>
      </w:tr>
      <w:tr w:rsidR="002F0310" w:rsidRPr="00701F32" w14:paraId="12320791"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0FE71B5B" w14:textId="77777777" w:rsidR="002F0310" w:rsidRPr="002E1AF6" w:rsidRDefault="002F0310" w:rsidP="002F0310">
            <w:pPr>
              <w:jc w:val="both"/>
              <w:rPr>
                <w:rFonts w:ascii="Arial" w:hAnsi="Arial" w:cs="Arial"/>
                <w:sz w:val="16"/>
                <w:szCs w:val="16"/>
                <w:lang w:eastAsia="es-AR"/>
              </w:rPr>
            </w:pPr>
            <w:r w:rsidRPr="002E1AF6">
              <w:rPr>
                <w:rFonts w:ascii="Arial" w:hAnsi="Arial" w:cs="Arial"/>
                <w:sz w:val="16"/>
                <w:szCs w:val="16"/>
                <w:lang w:eastAsia="es-AR"/>
              </w:rPr>
              <w:t>- Activos Financieros entregados en Garantía</w:t>
            </w:r>
          </w:p>
        </w:tc>
        <w:tc>
          <w:tcPr>
            <w:tcW w:w="665" w:type="pct"/>
            <w:tcBorders>
              <w:top w:val="nil"/>
              <w:left w:val="nil"/>
              <w:bottom w:val="single" w:sz="4" w:space="0" w:color="auto"/>
              <w:right w:val="single" w:sz="4" w:space="0" w:color="auto"/>
            </w:tcBorders>
            <w:shd w:val="clear" w:color="auto" w:fill="auto"/>
            <w:noWrap/>
            <w:vAlign w:val="bottom"/>
            <w:hideMark/>
          </w:tcPr>
          <w:p w14:paraId="30113CB0" w14:textId="042741AE"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5.308.655 </w:t>
            </w:r>
          </w:p>
        </w:tc>
        <w:tc>
          <w:tcPr>
            <w:tcW w:w="666" w:type="pct"/>
            <w:tcBorders>
              <w:top w:val="nil"/>
              <w:left w:val="nil"/>
              <w:bottom w:val="single" w:sz="4" w:space="0" w:color="auto"/>
              <w:right w:val="single" w:sz="4" w:space="0" w:color="auto"/>
            </w:tcBorders>
            <w:shd w:val="clear" w:color="auto" w:fill="auto"/>
            <w:noWrap/>
            <w:vAlign w:val="bottom"/>
            <w:hideMark/>
          </w:tcPr>
          <w:p w14:paraId="2052027B" w14:textId="73C12784"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hideMark/>
          </w:tcPr>
          <w:p w14:paraId="0535FAA9" w14:textId="672FAD85"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664" w:type="pct"/>
            <w:tcBorders>
              <w:top w:val="nil"/>
              <w:left w:val="nil"/>
              <w:bottom w:val="single" w:sz="4" w:space="0" w:color="auto"/>
              <w:right w:val="single" w:sz="4" w:space="0" w:color="auto"/>
            </w:tcBorders>
            <w:vAlign w:val="bottom"/>
          </w:tcPr>
          <w:p w14:paraId="02DDCDEF" w14:textId="218AC266" w:rsidR="002F0310" w:rsidRPr="002E1AF6" w:rsidRDefault="002F0310" w:rsidP="002F0310">
            <w:pPr>
              <w:jc w:val="right"/>
              <w:rPr>
                <w:rFonts w:ascii="Arial" w:eastAsia="Calibri" w:hAnsi="Arial" w:cs="Arial"/>
                <w:color w:val="000000"/>
                <w:sz w:val="16"/>
                <w:szCs w:val="16"/>
              </w:rPr>
            </w:pPr>
            <w:r w:rsidRPr="002E1AF6">
              <w:rPr>
                <w:rFonts w:ascii="Arial" w:hAnsi="Arial" w:cs="Arial"/>
                <w:sz w:val="16"/>
                <w:szCs w:val="16"/>
              </w:rPr>
              <w:t xml:space="preserve"> 5.308.655 </w:t>
            </w:r>
          </w:p>
        </w:tc>
      </w:tr>
      <w:tr w:rsidR="002F0310" w:rsidRPr="00701F32" w14:paraId="56817035"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245912EE" w14:textId="77777777" w:rsidR="002F0310" w:rsidRPr="002E1AF6" w:rsidRDefault="002F0310" w:rsidP="002F0310">
            <w:pPr>
              <w:jc w:val="both"/>
              <w:rPr>
                <w:rFonts w:ascii="Arial" w:hAnsi="Arial" w:cs="Arial"/>
                <w:sz w:val="16"/>
                <w:szCs w:val="16"/>
                <w:lang w:eastAsia="es-AR"/>
              </w:rPr>
            </w:pPr>
            <w:r w:rsidRPr="002E1AF6">
              <w:rPr>
                <w:rFonts w:ascii="Arial" w:hAnsi="Arial" w:cs="Arial"/>
                <w:sz w:val="16"/>
                <w:szCs w:val="16"/>
                <w:lang w:eastAsia="es-AR"/>
              </w:rPr>
              <w:t>- Inversiones en instrumentos de patrimonio</w:t>
            </w:r>
          </w:p>
        </w:tc>
        <w:tc>
          <w:tcPr>
            <w:tcW w:w="665" w:type="pct"/>
            <w:tcBorders>
              <w:top w:val="nil"/>
              <w:left w:val="nil"/>
              <w:bottom w:val="single" w:sz="4" w:space="0" w:color="auto"/>
              <w:right w:val="single" w:sz="4" w:space="0" w:color="auto"/>
            </w:tcBorders>
            <w:shd w:val="clear" w:color="auto" w:fill="auto"/>
            <w:noWrap/>
            <w:vAlign w:val="bottom"/>
            <w:hideMark/>
          </w:tcPr>
          <w:p w14:paraId="0838095C" w14:textId="235B5480"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6.248 </w:t>
            </w:r>
          </w:p>
        </w:tc>
        <w:tc>
          <w:tcPr>
            <w:tcW w:w="666" w:type="pct"/>
            <w:tcBorders>
              <w:top w:val="nil"/>
              <w:left w:val="nil"/>
              <w:bottom w:val="single" w:sz="4" w:space="0" w:color="auto"/>
              <w:right w:val="single" w:sz="4" w:space="0" w:color="auto"/>
            </w:tcBorders>
            <w:shd w:val="clear" w:color="auto" w:fill="auto"/>
            <w:noWrap/>
            <w:vAlign w:val="bottom"/>
            <w:hideMark/>
          </w:tcPr>
          <w:p w14:paraId="68CBBA2E" w14:textId="0E530912"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9.468 </w:t>
            </w:r>
          </w:p>
        </w:tc>
        <w:tc>
          <w:tcPr>
            <w:tcW w:w="593" w:type="pct"/>
            <w:tcBorders>
              <w:top w:val="nil"/>
              <w:left w:val="nil"/>
              <w:bottom w:val="single" w:sz="4" w:space="0" w:color="auto"/>
              <w:right w:val="single" w:sz="4" w:space="0" w:color="auto"/>
            </w:tcBorders>
            <w:shd w:val="clear" w:color="auto" w:fill="auto"/>
            <w:noWrap/>
            <w:vAlign w:val="bottom"/>
            <w:hideMark/>
          </w:tcPr>
          <w:p w14:paraId="6AB2538B" w14:textId="7E9D6A3C" w:rsidR="002F0310" w:rsidRPr="002E1AF6" w:rsidRDefault="002F0310" w:rsidP="002F0310">
            <w:pPr>
              <w:jc w:val="right"/>
              <w:rPr>
                <w:rFonts w:ascii="Arial" w:hAnsi="Arial" w:cs="Arial"/>
                <w:sz w:val="16"/>
                <w:szCs w:val="16"/>
                <w:lang w:eastAsia="es-AR"/>
              </w:rPr>
            </w:pPr>
            <w:r w:rsidRPr="002E1AF6">
              <w:rPr>
                <w:rFonts w:ascii="Arial" w:hAnsi="Arial" w:cs="Arial"/>
                <w:sz w:val="16"/>
                <w:szCs w:val="16"/>
              </w:rPr>
              <w:t xml:space="preserve"> -   </w:t>
            </w:r>
          </w:p>
        </w:tc>
        <w:tc>
          <w:tcPr>
            <w:tcW w:w="664" w:type="pct"/>
            <w:tcBorders>
              <w:top w:val="nil"/>
              <w:left w:val="nil"/>
              <w:bottom w:val="single" w:sz="4" w:space="0" w:color="auto"/>
              <w:right w:val="single" w:sz="4" w:space="0" w:color="auto"/>
            </w:tcBorders>
            <w:vAlign w:val="bottom"/>
          </w:tcPr>
          <w:p w14:paraId="563BFDB8" w14:textId="6B172313" w:rsidR="002F0310" w:rsidRPr="002E1AF6" w:rsidRDefault="002F0310" w:rsidP="002F0310">
            <w:pPr>
              <w:jc w:val="right"/>
              <w:rPr>
                <w:rFonts w:ascii="Arial" w:eastAsia="Calibri" w:hAnsi="Arial" w:cs="Arial"/>
                <w:color w:val="000000"/>
                <w:sz w:val="16"/>
                <w:szCs w:val="16"/>
              </w:rPr>
            </w:pPr>
            <w:r w:rsidRPr="002E1AF6">
              <w:rPr>
                <w:rFonts w:ascii="Arial" w:hAnsi="Arial" w:cs="Arial"/>
                <w:sz w:val="16"/>
                <w:szCs w:val="16"/>
              </w:rPr>
              <w:t xml:space="preserve"> 15.716 </w:t>
            </w:r>
          </w:p>
        </w:tc>
      </w:tr>
      <w:tr w:rsidR="002F0310" w:rsidRPr="00701F32" w14:paraId="5EB22CE2" w14:textId="77777777" w:rsidTr="002F0310">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3EBA7E77" w14:textId="77777777" w:rsidR="002F0310" w:rsidRPr="002E1AF6" w:rsidRDefault="002F0310" w:rsidP="002F0310">
            <w:pPr>
              <w:jc w:val="both"/>
              <w:rPr>
                <w:rFonts w:ascii="Arial" w:hAnsi="Arial" w:cs="Arial"/>
                <w:b/>
                <w:bCs/>
                <w:sz w:val="16"/>
                <w:szCs w:val="16"/>
                <w:lang w:eastAsia="es-AR"/>
              </w:rPr>
            </w:pPr>
            <w:r w:rsidRPr="002E1AF6">
              <w:rPr>
                <w:rFonts w:ascii="Arial" w:hAnsi="Arial" w:cs="Arial"/>
                <w:b/>
                <w:bCs/>
                <w:sz w:val="16"/>
                <w:szCs w:val="16"/>
                <w:lang w:eastAsia="es-AR"/>
              </w:rPr>
              <w:t>Total Activos</w:t>
            </w:r>
          </w:p>
        </w:tc>
        <w:tc>
          <w:tcPr>
            <w:tcW w:w="665" w:type="pct"/>
            <w:tcBorders>
              <w:top w:val="nil"/>
              <w:left w:val="nil"/>
              <w:bottom w:val="single" w:sz="4" w:space="0" w:color="auto"/>
              <w:right w:val="single" w:sz="4" w:space="0" w:color="auto"/>
            </w:tcBorders>
            <w:shd w:val="clear" w:color="auto" w:fill="auto"/>
            <w:noWrap/>
            <w:vAlign w:val="bottom"/>
          </w:tcPr>
          <w:p w14:paraId="13927393" w14:textId="6CFCA4F1" w:rsidR="002F0310" w:rsidRPr="002E1AF6" w:rsidRDefault="00006579" w:rsidP="002F0310">
            <w:pPr>
              <w:jc w:val="right"/>
              <w:rPr>
                <w:rFonts w:ascii="Arial" w:eastAsia="Calibri" w:hAnsi="Arial" w:cs="Arial"/>
                <w:b/>
                <w:color w:val="000000"/>
                <w:sz w:val="16"/>
                <w:szCs w:val="16"/>
              </w:rPr>
            </w:pPr>
            <w:r w:rsidRPr="00006579">
              <w:rPr>
                <w:rFonts w:ascii="Arial" w:hAnsi="Arial" w:cs="Arial"/>
                <w:b/>
                <w:sz w:val="16"/>
                <w:szCs w:val="16"/>
              </w:rPr>
              <w:t>6.238.280</w:t>
            </w:r>
          </w:p>
        </w:tc>
        <w:tc>
          <w:tcPr>
            <w:tcW w:w="666" w:type="pct"/>
            <w:tcBorders>
              <w:top w:val="nil"/>
              <w:left w:val="nil"/>
              <w:bottom w:val="single" w:sz="4" w:space="0" w:color="auto"/>
              <w:right w:val="single" w:sz="4" w:space="0" w:color="auto"/>
            </w:tcBorders>
            <w:shd w:val="clear" w:color="auto" w:fill="auto"/>
            <w:noWrap/>
            <w:vAlign w:val="bottom"/>
          </w:tcPr>
          <w:p w14:paraId="746887CB" w14:textId="335094AF" w:rsidR="002F0310" w:rsidRPr="002E1AF6" w:rsidRDefault="00006579" w:rsidP="002F0310">
            <w:pPr>
              <w:jc w:val="right"/>
              <w:rPr>
                <w:rFonts w:ascii="Arial" w:eastAsia="Calibri" w:hAnsi="Arial" w:cs="Arial"/>
                <w:b/>
                <w:color w:val="000000"/>
                <w:sz w:val="16"/>
                <w:szCs w:val="16"/>
              </w:rPr>
            </w:pPr>
            <w:r w:rsidRPr="00006579">
              <w:rPr>
                <w:rFonts w:ascii="Arial" w:hAnsi="Arial" w:cs="Arial"/>
                <w:b/>
                <w:sz w:val="16"/>
                <w:szCs w:val="16"/>
              </w:rPr>
              <w:t>7.739.99</w:t>
            </w:r>
            <w:r>
              <w:rPr>
                <w:rFonts w:ascii="Arial" w:hAnsi="Arial" w:cs="Arial"/>
                <w:b/>
                <w:sz w:val="16"/>
                <w:szCs w:val="16"/>
              </w:rPr>
              <w:t>1</w:t>
            </w:r>
          </w:p>
        </w:tc>
        <w:tc>
          <w:tcPr>
            <w:tcW w:w="593" w:type="pct"/>
            <w:tcBorders>
              <w:top w:val="nil"/>
              <w:left w:val="nil"/>
              <w:bottom w:val="single" w:sz="4" w:space="0" w:color="auto"/>
              <w:right w:val="single" w:sz="4" w:space="0" w:color="auto"/>
            </w:tcBorders>
            <w:shd w:val="clear" w:color="auto" w:fill="auto"/>
            <w:noWrap/>
            <w:vAlign w:val="bottom"/>
          </w:tcPr>
          <w:p w14:paraId="692E7C31" w14:textId="27F275FB" w:rsidR="002F0310" w:rsidRPr="002E1AF6" w:rsidRDefault="002F0310" w:rsidP="002F0310">
            <w:pPr>
              <w:jc w:val="right"/>
              <w:rPr>
                <w:rFonts w:ascii="Arial" w:eastAsia="Calibri" w:hAnsi="Arial" w:cs="Arial"/>
                <w:b/>
                <w:color w:val="000000"/>
                <w:sz w:val="16"/>
                <w:szCs w:val="16"/>
              </w:rPr>
            </w:pPr>
            <w:r w:rsidRPr="002E1AF6">
              <w:rPr>
                <w:rFonts w:ascii="Arial" w:hAnsi="Arial" w:cs="Arial"/>
                <w:b/>
                <w:sz w:val="16"/>
                <w:szCs w:val="16"/>
              </w:rPr>
              <w:t xml:space="preserve"> 3.957 </w:t>
            </w:r>
          </w:p>
        </w:tc>
        <w:tc>
          <w:tcPr>
            <w:tcW w:w="664" w:type="pct"/>
            <w:tcBorders>
              <w:top w:val="nil"/>
              <w:left w:val="nil"/>
              <w:bottom w:val="single" w:sz="4" w:space="0" w:color="auto"/>
              <w:right w:val="single" w:sz="4" w:space="0" w:color="auto"/>
            </w:tcBorders>
            <w:vAlign w:val="bottom"/>
          </w:tcPr>
          <w:p w14:paraId="375F50F9" w14:textId="3564BD0A" w:rsidR="002F0310" w:rsidRPr="002E1AF6" w:rsidRDefault="002F0310" w:rsidP="002F0310">
            <w:pPr>
              <w:jc w:val="right"/>
              <w:rPr>
                <w:rFonts w:ascii="Arial" w:eastAsia="Calibri" w:hAnsi="Arial" w:cs="Arial"/>
                <w:b/>
                <w:color w:val="000000"/>
                <w:sz w:val="16"/>
                <w:szCs w:val="16"/>
              </w:rPr>
            </w:pPr>
            <w:r w:rsidRPr="002E1AF6">
              <w:rPr>
                <w:rFonts w:ascii="Arial" w:hAnsi="Arial" w:cs="Arial"/>
                <w:b/>
                <w:sz w:val="16"/>
                <w:szCs w:val="16"/>
              </w:rPr>
              <w:t xml:space="preserve"> 13.982.22</w:t>
            </w:r>
            <w:r w:rsidR="00006579">
              <w:rPr>
                <w:rFonts w:ascii="Arial" w:hAnsi="Arial" w:cs="Arial"/>
                <w:b/>
                <w:sz w:val="16"/>
                <w:szCs w:val="16"/>
              </w:rPr>
              <w:t>8</w:t>
            </w:r>
            <w:r w:rsidRPr="002E1AF6">
              <w:rPr>
                <w:rFonts w:ascii="Arial" w:hAnsi="Arial" w:cs="Arial"/>
                <w:b/>
                <w:sz w:val="16"/>
                <w:szCs w:val="16"/>
              </w:rPr>
              <w:t xml:space="preserve"> </w:t>
            </w:r>
          </w:p>
        </w:tc>
      </w:tr>
      <w:tr w:rsidR="00A55435" w:rsidRPr="00701F32" w14:paraId="0B2ABE6E" w14:textId="77777777" w:rsidTr="00D570C9">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470BE6D" w14:textId="77777777" w:rsidR="00A55435" w:rsidRPr="002E1AF6" w:rsidRDefault="00A55435" w:rsidP="002F65FB">
            <w:pPr>
              <w:jc w:val="both"/>
              <w:rPr>
                <w:rFonts w:ascii="Arial" w:hAnsi="Arial" w:cs="Arial"/>
                <w:b/>
                <w:bCs/>
                <w:sz w:val="16"/>
                <w:szCs w:val="16"/>
                <w:lang w:eastAsia="es-AR"/>
              </w:rPr>
            </w:pPr>
            <w:r w:rsidRPr="002E1AF6">
              <w:rPr>
                <w:rFonts w:ascii="Arial" w:hAnsi="Arial" w:cs="Arial"/>
                <w:b/>
                <w:bCs/>
                <w:sz w:val="16"/>
                <w:szCs w:val="16"/>
                <w:lang w:eastAsia="es-AR"/>
              </w:rPr>
              <w:t>Pasivos</w:t>
            </w:r>
          </w:p>
        </w:tc>
        <w:tc>
          <w:tcPr>
            <w:tcW w:w="665" w:type="pct"/>
            <w:tcBorders>
              <w:top w:val="nil"/>
              <w:left w:val="nil"/>
              <w:bottom w:val="single" w:sz="4" w:space="0" w:color="auto"/>
              <w:right w:val="single" w:sz="4" w:space="0" w:color="auto"/>
            </w:tcBorders>
            <w:shd w:val="clear" w:color="auto" w:fill="auto"/>
            <w:noWrap/>
            <w:vAlign w:val="bottom"/>
            <w:hideMark/>
          </w:tcPr>
          <w:p w14:paraId="2446641E" w14:textId="77777777" w:rsidR="00A55435" w:rsidRPr="002E1AF6" w:rsidRDefault="00A55435" w:rsidP="002F65FB">
            <w:pPr>
              <w:jc w:val="right"/>
              <w:rPr>
                <w:rFonts w:ascii="Arial" w:hAnsi="Arial" w:cs="Arial"/>
                <w:b/>
                <w:bCs/>
                <w:sz w:val="16"/>
                <w:szCs w:val="16"/>
                <w:lang w:eastAsia="es-AR"/>
              </w:rPr>
            </w:pPr>
          </w:p>
        </w:tc>
        <w:tc>
          <w:tcPr>
            <w:tcW w:w="666" w:type="pct"/>
            <w:tcBorders>
              <w:top w:val="nil"/>
              <w:left w:val="nil"/>
              <w:bottom w:val="single" w:sz="4" w:space="0" w:color="auto"/>
              <w:right w:val="single" w:sz="4" w:space="0" w:color="auto"/>
            </w:tcBorders>
            <w:shd w:val="clear" w:color="auto" w:fill="auto"/>
            <w:noWrap/>
            <w:vAlign w:val="bottom"/>
            <w:hideMark/>
          </w:tcPr>
          <w:p w14:paraId="3B7BAAF1" w14:textId="77777777" w:rsidR="00A55435" w:rsidRPr="002E1AF6" w:rsidRDefault="00A55435" w:rsidP="002F65FB">
            <w:pPr>
              <w:jc w:val="right"/>
              <w:rPr>
                <w:rFonts w:ascii="Arial" w:hAnsi="Arial" w:cs="Arial"/>
                <w:b/>
                <w:bCs/>
                <w:sz w:val="16"/>
                <w:szCs w:val="16"/>
                <w:lang w:eastAsia="es-AR"/>
              </w:rPr>
            </w:pPr>
          </w:p>
        </w:tc>
        <w:tc>
          <w:tcPr>
            <w:tcW w:w="593" w:type="pct"/>
            <w:tcBorders>
              <w:top w:val="nil"/>
              <w:left w:val="nil"/>
              <w:bottom w:val="single" w:sz="4" w:space="0" w:color="auto"/>
              <w:right w:val="single" w:sz="4" w:space="0" w:color="auto"/>
            </w:tcBorders>
            <w:shd w:val="clear" w:color="auto" w:fill="auto"/>
            <w:noWrap/>
            <w:vAlign w:val="bottom"/>
            <w:hideMark/>
          </w:tcPr>
          <w:p w14:paraId="1259A370" w14:textId="77777777" w:rsidR="00A55435" w:rsidRPr="002E1AF6" w:rsidRDefault="00A55435" w:rsidP="002F65FB">
            <w:pPr>
              <w:jc w:val="right"/>
              <w:rPr>
                <w:rFonts w:ascii="Arial" w:hAnsi="Arial" w:cs="Arial"/>
                <w:b/>
                <w:bCs/>
                <w:sz w:val="16"/>
                <w:szCs w:val="16"/>
                <w:lang w:eastAsia="es-AR"/>
              </w:rPr>
            </w:pPr>
          </w:p>
        </w:tc>
        <w:tc>
          <w:tcPr>
            <w:tcW w:w="664" w:type="pct"/>
            <w:tcBorders>
              <w:top w:val="nil"/>
              <w:left w:val="nil"/>
              <w:bottom w:val="single" w:sz="4" w:space="0" w:color="auto"/>
              <w:right w:val="single" w:sz="4" w:space="0" w:color="auto"/>
            </w:tcBorders>
            <w:vAlign w:val="bottom"/>
          </w:tcPr>
          <w:p w14:paraId="13DFC8E5" w14:textId="77777777" w:rsidR="00A55435" w:rsidRPr="002E1AF6" w:rsidRDefault="00A55435" w:rsidP="002F65FB">
            <w:pPr>
              <w:jc w:val="right"/>
              <w:rPr>
                <w:rFonts w:ascii="Arial" w:hAnsi="Arial" w:cs="Arial"/>
                <w:b/>
                <w:bCs/>
                <w:sz w:val="16"/>
                <w:szCs w:val="16"/>
                <w:lang w:eastAsia="es-AR"/>
              </w:rPr>
            </w:pPr>
          </w:p>
        </w:tc>
      </w:tr>
      <w:tr w:rsidR="00A55435" w:rsidRPr="00701F32" w14:paraId="18C6B623" w14:textId="77777777" w:rsidTr="00D570C9">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01D82F26" w14:textId="77777777" w:rsidR="00A55435" w:rsidRPr="002E1AF6" w:rsidRDefault="00A55435" w:rsidP="002F65FB">
            <w:pPr>
              <w:jc w:val="both"/>
              <w:rPr>
                <w:rFonts w:ascii="Arial" w:hAnsi="Arial" w:cs="Arial"/>
                <w:bCs/>
                <w:sz w:val="16"/>
                <w:szCs w:val="16"/>
                <w:lang w:eastAsia="es-AR"/>
              </w:rPr>
            </w:pPr>
            <w:r w:rsidRPr="002E1AF6">
              <w:rPr>
                <w:rFonts w:ascii="Arial" w:hAnsi="Arial" w:cs="Arial"/>
                <w:bCs/>
                <w:sz w:val="16"/>
                <w:szCs w:val="16"/>
                <w:lang w:eastAsia="es-AR"/>
              </w:rPr>
              <w:t>- Pasivos a valor razonable con cambios en resultados</w:t>
            </w:r>
          </w:p>
        </w:tc>
        <w:tc>
          <w:tcPr>
            <w:tcW w:w="665" w:type="pct"/>
            <w:tcBorders>
              <w:top w:val="nil"/>
              <w:left w:val="nil"/>
              <w:bottom w:val="single" w:sz="4" w:space="0" w:color="auto"/>
              <w:right w:val="single" w:sz="4" w:space="0" w:color="auto"/>
            </w:tcBorders>
            <w:shd w:val="clear" w:color="auto" w:fill="auto"/>
            <w:noWrap/>
            <w:vAlign w:val="bottom"/>
          </w:tcPr>
          <w:p w14:paraId="5D956639" w14:textId="429ED47A" w:rsidR="00A55435" w:rsidRPr="002E1AF6" w:rsidRDefault="002F0310" w:rsidP="002F65FB">
            <w:pPr>
              <w:jc w:val="right"/>
              <w:rPr>
                <w:rFonts w:ascii="Arial" w:hAnsi="Arial" w:cs="Arial"/>
                <w:bCs/>
                <w:sz w:val="16"/>
                <w:szCs w:val="16"/>
                <w:lang w:eastAsia="es-AR"/>
              </w:rPr>
            </w:pPr>
            <w:r w:rsidRPr="002E1AF6">
              <w:rPr>
                <w:rFonts w:ascii="Arial" w:hAnsi="Arial" w:cs="Arial"/>
                <w:sz w:val="16"/>
                <w:szCs w:val="16"/>
              </w:rPr>
              <w:t>204.339</w:t>
            </w:r>
          </w:p>
        </w:tc>
        <w:tc>
          <w:tcPr>
            <w:tcW w:w="666" w:type="pct"/>
            <w:tcBorders>
              <w:top w:val="nil"/>
              <w:left w:val="nil"/>
              <w:bottom w:val="single" w:sz="4" w:space="0" w:color="auto"/>
              <w:right w:val="single" w:sz="4" w:space="0" w:color="auto"/>
            </w:tcBorders>
            <w:shd w:val="clear" w:color="auto" w:fill="auto"/>
            <w:noWrap/>
            <w:vAlign w:val="bottom"/>
          </w:tcPr>
          <w:p w14:paraId="477F72FF" w14:textId="77777777" w:rsidR="00A55435" w:rsidRPr="002E1AF6" w:rsidRDefault="00A55435" w:rsidP="002F65FB">
            <w:pPr>
              <w:jc w:val="right"/>
              <w:rPr>
                <w:rFonts w:ascii="Arial" w:hAnsi="Arial" w:cs="Arial"/>
                <w:b/>
                <w:bCs/>
                <w:sz w:val="16"/>
                <w:szCs w:val="16"/>
                <w:lang w:eastAsia="es-AR"/>
              </w:rPr>
            </w:pPr>
            <w:r w:rsidRPr="002E1AF6">
              <w:rPr>
                <w:rFonts w:ascii="Arial" w:hAnsi="Arial" w:cs="Arial"/>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tcPr>
          <w:p w14:paraId="7F6B8CC1" w14:textId="77777777" w:rsidR="00A55435" w:rsidRPr="002E1AF6" w:rsidRDefault="00A55435" w:rsidP="002F65FB">
            <w:pPr>
              <w:jc w:val="right"/>
              <w:rPr>
                <w:rFonts w:ascii="Arial" w:hAnsi="Arial" w:cs="Arial"/>
                <w:b/>
                <w:bCs/>
                <w:sz w:val="16"/>
                <w:szCs w:val="16"/>
                <w:lang w:eastAsia="es-AR"/>
              </w:rPr>
            </w:pPr>
            <w:r w:rsidRPr="002E1AF6">
              <w:rPr>
                <w:rFonts w:ascii="Arial" w:hAnsi="Arial" w:cs="Arial"/>
                <w:sz w:val="16"/>
                <w:szCs w:val="16"/>
              </w:rPr>
              <w:t xml:space="preserve"> -   </w:t>
            </w:r>
          </w:p>
        </w:tc>
        <w:tc>
          <w:tcPr>
            <w:tcW w:w="664" w:type="pct"/>
            <w:tcBorders>
              <w:top w:val="nil"/>
              <w:left w:val="nil"/>
              <w:bottom w:val="single" w:sz="4" w:space="0" w:color="auto"/>
              <w:right w:val="single" w:sz="4" w:space="0" w:color="auto"/>
            </w:tcBorders>
            <w:vAlign w:val="bottom"/>
          </w:tcPr>
          <w:p w14:paraId="5C03CC6F" w14:textId="1E65165F" w:rsidR="00A55435" w:rsidRPr="002E1AF6" w:rsidRDefault="002F0310" w:rsidP="002F65FB">
            <w:pPr>
              <w:jc w:val="right"/>
              <w:rPr>
                <w:rFonts w:ascii="Arial" w:hAnsi="Arial" w:cs="Arial"/>
                <w:bCs/>
                <w:sz w:val="16"/>
                <w:szCs w:val="16"/>
                <w:lang w:eastAsia="es-AR"/>
              </w:rPr>
            </w:pPr>
            <w:r w:rsidRPr="002E1AF6">
              <w:rPr>
                <w:rFonts w:ascii="Arial" w:hAnsi="Arial" w:cs="Arial"/>
                <w:sz w:val="16"/>
                <w:szCs w:val="16"/>
              </w:rPr>
              <w:t>204.339</w:t>
            </w:r>
          </w:p>
        </w:tc>
      </w:tr>
      <w:tr w:rsidR="00A55435" w:rsidRPr="00701F32" w14:paraId="583807DF" w14:textId="77777777" w:rsidTr="00D570C9">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46204864" w14:textId="77777777" w:rsidR="00A55435" w:rsidRPr="002E1AF6" w:rsidRDefault="00A55435" w:rsidP="00A55435">
            <w:pPr>
              <w:numPr>
                <w:ilvl w:val="0"/>
                <w:numId w:val="32"/>
              </w:numPr>
              <w:spacing w:after="160" w:line="259" w:lineRule="auto"/>
              <w:ind w:left="66" w:hanging="77"/>
              <w:contextualSpacing/>
              <w:jc w:val="both"/>
              <w:rPr>
                <w:rFonts w:ascii="Arial" w:hAnsi="Arial" w:cs="Arial"/>
                <w:sz w:val="16"/>
                <w:szCs w:val="16"/>
                <w:lang w:eastAsia="es-AR"/>
              </w:rPr>
            </w:pPr>
            <w:r w:rsidRPr="002E1AF6">
              <w:rPr>
                <w:rFonts w:ascii="Arial" w:hAnsi="Arial" w:cs="Arial"/>
                <w:sz w:val="16"/>
                <w:szCs w:val="16"/>
                <w:lang w:eastAsia="es-AR"/>
              </w:rPr>
              <w:t xml:space="preserve"> Otros Pasivos Financieros</w:t>
            </w:r>
          </w:p>
        </w:tc>
        <w:tc>
          <w:tcPr>
            <w:tcW w:w="665" w:type="pct"/>
            <w:tcBorders>
              <w:top w:val="nil"/>
              <w:left w:val="nil"/>
              <w:bottom w:val="single" w:sz="4" w:space="0" w:color="auto"/>
              <w:right w:val="single" w:sz="4" w:space="0" w:color="auto"/>
            </w:tcBorders>
            <w:shd w:val="clear" w:color="auto" w:fill="auto"/>
            <w:noWrap/>
            <w:vAlign w:val="bottom"/>
          </w:tcPr>
          <w:p w14:paraId="5F85F267" w14:textId="74B4FCB3" w:rsidR="00A55435" w:rsidRPr="002E1AF6" w:rsidRDefault="00A55435" w:rsidP="002F65FB">
            <w:pPr>
              <w:jc w:val="right"/>
              <w:rPr>
                <w:rFonts w:ascii="Arial" w:hAnsi="Arial" w:cs="Arial"/>
                <w:sz w:val="16"/>
                <w:szCs w:val="16"/>
                <w:lang w:eastAsia="es-AR"/>
              </w:rPr>
            </w:pPr>
            <w:r w:rsidRPr="002E1AF6">
              <w:rPr>
                <w:rFonts w:ascii="Arial" w:hAnsi="Arial" w:cs="Arial"/>
                <w:sz w:val="16"/>
                <w:szCs w:val="16"/>
              </w:rPr>
              <w:t xml:space="preserve">  </w:t>
            </w:r>
            <w:r w:rsidR="002F0310" w:rsidRPr="002E1AF6">
              <w:rPr>
                <w:rFonts w:ascii="Arial" w:hAnsi="Arial" w:cs="Arial"/>
                <w:sz w:val="16"/>
                <w:szCs w:val="16"/>
              </w:rPr>
              <w:t>6.464.48</w:t>
            </w:r>
            <w:r w:rsidR="00377D7F">
              <w:rPr>
                <w:rFonts w:ascii="Arial" w:hAnsi="Arial" w:cs="Arial"/>
                <w:sz w:val="16"/>
                <w:szCs w:val="16"/>
              </w:rPr>
              <w:t>7</w:t>
            </w:r>
          </w:p>
        </w:tc>
        <w:tc>
          <w:tcPr>
            <w:tcW w:w="666" w:type="pct"/>
            <w:tcBorders>
              <w:top w:val="nil"/>
              <w:left w:val="nil"/>
              <w:bottom w:val="single" w:sz="4" w:space="0" w:color="auto"/>
              <w:right w:val="single" w:sz="4" w:space="0" w:color="auto"/>
            </w:tcBorders>
            <w:shd w:val="clear" w:color="auto" w:fill="auto"/>
            <w:noWrap/>
            <w:vAlign w:val="bottom"/>
          </w:tcPr>
          <w:p w14:paraId="30B13D99" w14:textId="77777777" w:rsidR="00A55435" w:rsidRPr="002E1AF6" w:rsidRDefault="00A55435" w:rsidP="002F65FB">
            <w:pPr>
              <w:jc w:val="right"/>
              <w:rPr>
                <w:rFonts w:ascii="Arial" w:hAnsi="Arial" w:cs="Arial"/>
                <w:sz w:val="16"/>
                <w:szCs w:val="16"/>
                <w:lang w:eastAsia="es-AR"/>
              </w:rPr>
            </w:pPr>
            <w:r w:rsidRPr="002E1AF6">
              <w:rPr>
                <w:rFonts w:ascii="Arial" w:hAnsi="Arial" w:cs="Arial"/>
                <w:sz w:val="16"/>
                <w:szCs w:val="16"/>
              </w:rPr>
              <w:t xml:space="preserve"> -   </w:t>
            </w:r>
          </w:p>
        </w:tc>
        <w:tc>
          <w:tcPr>
            <w:tcW w:w="593" w:type="pct"/>
            <w:tcBorders>
              <w:top w:val="nil"/>
              <w:left w:val="nil"/>
              <w:bottom w:val="single" w:sz="4" w:space="0" w:color="auto"/>
              <w:right w:val="single" w:sz="4" w:space="0" w:color="auto"/>
            </w:tcBorders>
            <w:shd w:val="clear" w:color="auto" w:fill="auto"/>
            <w:noWrap/>
            <w:vAlign w:val="bottom"/>
          </w:tcPr>
          <w:p w14:paraId="1A94EACE" w14:textId="77777777" w:rsidR="00A55435" w:rsidRPr="002E1AF6" w:rsidRDefault="00A55435" w:rsidP="002F65FB">
            <w:pPr>
              <w:jc w:val="right"/>
              <w:rPr>
                <w:rFonts w:ascii="Arial" w:hAnsi="Arial" w:cs="Arial"/>
                <w:sz w:val="16"/>
                <w:szCs w:val="16"/>
                <w:lang w:eastAsia="es-AR"/>
              </w:rPr>
            </w:pPr>
            <w:r w:rsidRPr="002E1AF6">
              <w:rPr>
                <w:rFonts w:ascii="Arial" w:hAnsi="Arial" w:cs="Arial"/>
                <w:sz w:val="16"/>
                <w:szCs w:val="16"/>
              </w:rPr>
              <w:t xml:space="preserve"> -   </w:t>
            </w:r>
          </w:p>
        </w:tc>
        <w:tc>
          <w:tcPr>
            <w:tcW w:w="664" w:type="pct"/>
            <w:tcBorders>
              <w:top w:val="nil"/>
              <w:left w:val="nil"/>
              <w:bottom w:val="single" w:sz="4" w:space="0" w:color="auto"/>
              <w:right w:val="single" w:sz="4" w:space="0" w:color="auto"/>
            </w:tcBorders>
            <w:vAlign w:val="bottom"/>
          </w:tcPr>
          <w:p w14:paraId="5E009A9B" w14:textId="5E4F5796" w:rsidR="00A55435" w:rsidRPr="002E1AF6" w:rsidRDefault="002F0310" w:rsidP="002F65FB">
            <w:pPr>
              <w:jc w:val="right"/>
              <w:rPr>
                <w:rFonts w:ascii="Arial" w:eastAsia="Calibri" w:hAnsi="Arial" w:cs="Arial"/>
                <w:color w:val="000000"/>
                <w:sz w:val="16"/>
                <w:szCs w:val="16"/>
              </w:rPr>
            </w:pPr>
            <w:r w:rsidRPr="002E1AF6">
              <w:rPr>
                <w:rFonts w:ascii="Arial" w:hAnsi="Arial" w:cs="Arial"/>
                <w:sz w:val="16"/>
                <w:szCs w:val="16"/>
              </w:rPr>
              <w:t>6.464.48</w:t>
            </w:r>
            <w:r w:rsidR="00377D7F">
              <w:rPr>
                <w:rFonts w:ascii="Arial" w:hAnsi="Arial" w:cs="Arial"/>
                <w:sz w:val="16"/>
                <w:szCs w:val="16"/>
              </w:rPr>
              <w:t>7</w:t>
            </w:r>
          </w:p>
        </w:tc>
      </w:tr>
      <w:tr w:rsidR="00A55435" w:rsidRPr="00701F32" w14:paraId="56EB8540" w14:textId="77777777" w:rsidTr="00D570C9">
        <w:trPr>
          <w:trHeight w:val="23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892CE80" w14:textId="77777777" w:rsidR="00A55435" w:rsidRPr="002E1AF6" w:rsidRDefault="00A55435" w:rsidP="002F65FB">
            <w:pPr>
              <w:jc w:val="both"/>
              <w:rPr>
                <w:rFonts w:ascii="Arial" w:hAnsi="Arial" w:cs="Arial"/>
                <w:b/>
                <w:bCs/>
                <w:sz w:val="16"/>
                <w:szCs w:val="16"/>
                <w:lang w:eastAsia="es-AR"/>
              </w:rPr>
            </w:pPr>
            <w:r w:rsidRPr="002E1AF6">
              <w:rPr>
                <w:rFonts w:ascii="Arial" w:hAnsi="Arial" w:cs="Arial"/>
                <w:b/>
                <w:bCs/>
                <w:sz w:val="16"/>
                <w:szCs w:val="16"/>
                <w:lang w:eastAsia="es-AR"/>
              </w:rPr>
              <w:t>Total Pasivos</w:t>
            </w:r>
          </w:p>
        </w:tc>
        <w:tc>
          <w:tcPr>
            <w:tcW w:w="665" w:type="pct"/>
            <w:tcBorders>
              <w:top w:val="nil"/>
              <w:left w:val="nil"/>
              <w:bottom w:val="single" w:sz="4" w:space="0" w:color="auto"/>
              <w:right w:val="single" w:sz="4" w:space="0" w:color="auto"/>
            </w:tcBorders>
            <w:shd w:val="clear" w:color="auto" w:fill="auto"/>
            <w:noWrap/>
            <w:vAlign w:val="bottom"/>
            <w:hideMark/>
          </w:tcPr>
          <w:p w14:paraId="3308F232" w14:textId="24DFF960" w:rsidR="00A55435" w:rsidRPr="002E1AF6" w:rsidRDefault="002F0310" w:rsidP="002F65FB">
            <w:pPr>
              <w:jc w:val="right"/>
              <w:rPr>
                <w:rFonts w:ascii="Arial" w:hAnsi="Arial" w:cs="Arial"/>
                <w:b/>
                <w:bCs/>
                <w:sz w:val="16"/>
                <w:szCs w:val="16"/>
                <w:lang w:eastAsia="es-AR"/>
              </w:rPr>
            </w:pPr>
            <w:r w:rsidRPr="002E1AF6">
              <w:rPr>
                <w:rFonts w:ascii="Arial" w:hAnsi="Arial" w:cs="Arial"/>
                <w:b/>
                <w:sz w:val="16"/>
                <w:szCs w:val="16"/>
              </w:rPr>
              <w:t>6.668.82</w:t>
            </w:r>
            <w:r w:rsidR="00377D7F">
              <w:rPr>
                <w:rFonts w:ascii="Arial" w:hAnsi="Arial" w:cs="Arial"/>
                <w:b/>
                <w:sz w:val="16"/>
                <w:szCs w:val="16"/>
              </w:rPr>
              <w:t>6</w:t>
            </w:r>
          </w:p>
        </w:tc>
        <w:tc>
          <w:tcPr>
            <w:tcW w:w="666" w:type="pct"/>
            <w:tcBorders>
              <w:top w:val="nil"/>
              <w:left w:val="nil"/>
              <w:bottom w:val="single" w:sz="4" w:space="0" w:color="auto"/>
              <w:right w:val="single" w:sz="4" w:space="0" w:color="auto"/>
            </w:tcBorders>
            <w:shd w:val="clear" w:color="auto" w:fill="auto"/>
            <w:noWrap/>
            <w:vAlign w:val="bottom"/>
            <w:hideMark/>
          </w:tcPr>
          <w:p w14:paraId="79403F01" w14:textId="31C5AB7E" w:rsidR="00A55435" w:rsidRPr="002E1AF6" w:rsidRDefault="002F0310" w:rsidP="002F65FB">
            <w:pPr>
              <w:jc w:val="right"/>
              <w:rPr>
                <w:rFonts w:ascii="Arial" w:eastAsia="Calibri" w:hAnsi="Arial" w:cs="Arial"/>
                <w:b/>
                <w:bCs/>
                <w:color w:val="000000"/>
                <w:sz w:val="16"/>
                <w:szCs w:val="16"/>
              </w:rPr>
            </w:pPr>
            <w:r w:rsidRPr="002E1AF6">
              <w:rPr>
                <w:rFonts w:ascii="Arial" w:hAnsi="Arial" w:cs="Arial"/>
                <w:b/>
                <w:sz w:val="16"/>
                <w:szCs w:val="16"/>
              </w:rPr>
              <w:t>-</w:t>
            </w:r>
            <w:r w:rsidR="00A55435" w:rsidRPr="002E1AF6">
              <w:rPr>
                <w:rFonts w:ascii="Arial" w:hAnsi="Arial" w:cs="Arial"/>
                <w:b/>
                <w:sz w:val="16"/>
                <w:szCs w:val="16"/>
              </w:rPr>
              <w:t xml:space="preserve">    </w:t>
            </w:r>
          </w:p>
        </w:tc>
        <w:tc>
          <w:tcPr>
            <w:tcW w:w="593" w:type="pct"/>
            <w:tcBorders>
              <w:top w:val="nil"/>
              <w:left w:val="nil"/>
              <w:bottom w:val="single" w:sz="4" w:space="0" w:color="auto"/>
              <w:right w:val="single" w:sz="4" w:space="0" w:color="auto"/>
            </w:tcBorders>
            <w:shd w:val="clear" w:color="auto" w:fill="auto"/>
            <w:noWrap/>
            <w:vAlign w:val="bottom"/>
            <w:hideMark/>
          </w:tcPr>
          <w:p w14:paraId="30BDF736" w14:textId="77777777" w:rsidR="00A55435" w:rsidRPr="002E1AF6" w:rsidRDefault="00A55435" w:rsidP="002F65FB">
            <w:pPr>
              <w:jc w:val="right"/>
              <w:rPr>
                <w:rFonts w:ascii="Arial" w:hAnsi="Arial" w:cs="Arial"/>
                <w:b/>
                <w:bCs/>
                <w:sz w:val="16"/>
                <w:szCs w:val="16"/>
                <w:lang w:eastAsia="es-AR"/>
              </w:rPr>
            </w:pPr>
            <w:r w:rsidRPr="002E1AF6">
              <w:rPr>
                <w:rFonts w:ascii="Arial" w:hAnsi="Arial" w:cs="Arial"/>
                <w:b/>
                <w:sz w:val="16"/>
                <w:szCs w:val="16"/>
              </w:rPr>
              <w:t xml:space="preserve"> -   </w:t>
            </w:r>
          </w:p>
        </w:tc>
        <w:tc>
          <w:tcPr>
            <w:tcW w:w="664" w:type="pct"/>
            <w:tcBorders>
              <w:top w:val="nil"/>
              <w:left w:val="nil"/>
              <w:bottom w:val="single" w:sz="4" w:space="0" w:color="auto"/>
              <w:right w:val="single" w:sz="4" w:space="0" w:color="auto"/>
            </w:tcBorders>
            <w:vAlign w:val="bottom"/>
          </w:tcPr>
          <w:p w14:paraId="02C19130" w14:textId="3F6E9039" w:rsidR="00A55435" w:rsidRPr="002E1AF6" w:rsidRDefault="002F0310" w:rsidP="002F65FB">
            <w:pPr>
              <w:jc w:val="right"/>
              <w:rPr>
                <w:rFonts w:ascii="Arial" w:hAnsi="Arial" w:cs="Arial"/>
                <w:b/>
                <w:bCs/>
                <w:sz w:val="16"/>
                <w:szCs w:val="16"/>
                <w:lang w:eastAsia="es-AR"/>
              </w:rPr>
            </w:pPr>
            <w:r w:rsidRPr="002E1AF6">
              <w:rPr>
                <w:rFonts w:ascii="Arial" w:hAnsi="Arial" w:cs="Arial"/>
                <w:b/>
                <w:sz w:val="16"/>
                <w:szCs w:val="16"/>
              </w:rPr>
              <w:t>6.668.82</w:t>
            </w:r>
            <w:r w:rsidR="00377D7F">
              <w:rPr>
                <w:rFonts w:ascii="Arial" w:hAnsi="Arial" w:cs="Arial"/>
                <w:b/>
                <w:sz w:val="16"/>
                <w:szCs w:val="16"/>
              </w:rPr>
              <w:t>6</w:t>
            </w:r>
          </w:p>
        </w:tc>
      </w:tr>
    </w:tbl>
    <w:p w14:paraId="4A62FB83" w14:textId="77777777" w:rsidR="00CE4289" w:rsidRPr="00701F32" w:rsidRDefault="00CE4289" w:rsidP="00A06BE9">
      <w:pPr>
        <w:spacing w:after="160" w:line="259" w:lineRule="auto"/>
        <w:jc w:val="both"/>
        <w:rPr>
          <w:rFonts w:ascii="Arial" w:eastAsia="Calibri" w:hAnsi="Arial" w:cs="Arial"/>
          <w:bCs/>
          <w:sz w:val="20"/>
        </w:rPr>
      </w:pPr>
    </w:p>
    <w:p w14:paraId="4076969F" w14:textId="77777777" w:rsidR="00D376AD" w:rsidRPr="00701F32" w:rsidRDefault="00D376AD" w:rsidP="00D376AD">
      <w:pPr>
        <w:spacing w:after="160" w:line="259" w:lineRule="auto"/>
        <w:jc w:val="both"/>
        <w:rPr>
          <w:rFonts w:ascii="Arial" w:eastAsia="Calibri" w:hAnsi="Arial" w:cs="Arial"/>
          <w:b/>
          <w:bCs/>
          <w:sz w:val="20"/>
        </w:rPr>
      </w:pPr>
      <w:r w:rsidRPr="00701F32">
        <w:rPr>
          <w:rFonts w:ascii="Arial" w:eastAsia="Calibri" w:hAnsi="Arial" w:cs="Arial"/>
          <w:b/>
          <w:bCs/>
          <w:sz w:val="20"/>
        </w:rPr>
        <w:t>Técnicas de Valuación</w:t>
      </w:r>
    </w:p>
    <w:p w14:paraId="207D29BB" w14:textId="77777777" w:rsidR="00D376AD" w:rsidRPr="00701F32" w:rsidRDefault="00D376AD" w:rsidP="00D376AD">
      <w:pPr>
        <w:spacing w:after="160" w:line="259" w:lineRule="auto"/>
        <w:jc w:val="both"/>
        <w:rPr>
          <w:rFonts w:ascii="Arial" w:eastAsia="Calibri" w:hAnsi="Arial" w:cs="Arial"/>
          <w:bCs/>
          <w:sz w:val="20"/>
        </w:rPr>
      </w:pPr>
      <w:r w:rsidRPr="00701F32">
        <w:rPr>
          <w:rFonts w:ascii="Arial" w:eastAsia="Calibri" w:hAnsi="Arial" w:cs="Arial"/>
          <w:bCs/>
          <w:sz w:val="20"/>
        </w:rPr>
        <w:t>Las técnicas de valuación para la determinación de los Valores Razonables incluyen:</w:t>
      </w:r>
    </w:p>
    <w:p w14:paraId="7CB6A7D9" w14:textId="77777777" w:rsidR="00D376AD" w:rsidRPr="00701F32" w:rsidRDefault="00D376AD"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Precios de mercado o cotizaciones de instrumentos similares.</w:t>
      </w:r>
    </w:p>
    <w:p w14:paraId="06522386" w14:textId="0C678D93" w:rsidR="00D376AD" w:rsidRDefault="00D376AD"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Determinación de valor actual estimado de los instrumentos.</w:t>
      </w:r>
    </w:p>
    <w:p w14:paraId="7BAEF9CB" w14:textId="77777777" w:rsidR="006D13EE" w:rsidRPr="00701F32" w:rsidRDefault="006D13EE" w:rsidP="00066653">
      <w:pPr>
        <w:spacing w:after="160" w:line="259" w:lineRule="auto"/>
        <w:ind w:left="360"/>
        <w:contextualSpacing/>
        <w:jc w:val="both"/>
        <w:rPr>
          <w:rFonts w:ascii="Arial" w:eastAsia="Calibri" w:hAnsi="Arial" w:cs="Arial"/>
          <w:bCs/>
          <w:sz w:val="20"/>
        </w:rPr>
      </w:pPr>
    </w:p>
    <w:p w14:paraId="1829908B" w14:textId="77777777" w:rsidR="00D376AD" w:rsidRPr="00701F32" w:rsidRDefault="00D376AD" w:rsidP="00D376AD">
      <w:pPr>
        <w:spacing w:after="160" w:line="259" w:lineRule="auto"/>
        <w:jc w:val="both"/>
        <w:rPr>
          <w:rFonts w:ascii="Arial" w:eastAsia="Calibri" w:hAnsi="Arial" w:cs="Arial"/>
          <w:bCs/>
          <w:sz w:val="20"/>
        </w:rPr>
      </w:pPr>
      <w:r w:rsidRPr="00701F32">
        <w:rPr>
          <w:rFonts w:ascii="Arial" w:eastAsia="Calibri" w:hAnsi="Arial" w:cs="Arial"/>
          <w:bCs/>
          <w:sz w:val="20"/>
        </w:rPr>
        <w:t>Todas las estimaciones del valor razonable se incluyen en el nivel 2. Para ello, la Entidad utiliza técnicas de valorización por medio de curvas de tasa spot que estiman curvas de rendimiento en base a precios de mercado. Las mismas se detallan a continuación:</w:t>
      </w:r>
    </w:p>
    <w:p w14:paraId="0D9AD534" w14:textId="347F4DF7" w:rsidR="00D376AD" w:rsidRPr="00701F32" w:rsidRDefault="00D376AD" w:rsidP="00627289">
      <w:pPr>
        <w:pStyle w:val="ListParagraph"/>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 xml:space="preserve">Modelo de interpolación: Consiste en la determinación del valor de instrumentos financieros que no poseen precio de mercado a la fecha de cierre, a partir de las cotizaciones de especies asimilables (tanto en condiciones de emisión, moneda, y duración) en mercado activo (MAE, Bolsar o secundarios) por medio de la interpolación lineal de las mismas. Esta técnica ha sido utilizada por la Entidad para determinar el valor </w:t>
      </w:r>
      <w:r w:rsidRPr="00701F32">
        <w:rPr>
          <w:rFonts w:ascii="Arial" w:eastAsia="Calibri" w:hAnsi="Arial" w:cs="Arial"/>
          <w:bCs/>
          <w:sz w:val="20"/>
        </w:rPr>
        <w:lastRenderedPageBreak/>
        <w:t xml:space="preserve">razonable de los instrumentos emitidos por el BCRA y </w:t>
      </w:r>
      <w:r w:rsidRPr="00701F32">
        <w:rPr>
          <w:rFonts w:ascii="Arial" w:eastAsia="Calibri" w:hAnsi="Arial" w:cs="Arial"/>
          <w:bCs/>
          <w:smallCaps/>
          <w:sz w:val="20"/>
        </w:rPr>
        <w:t>L</w:t>
      </w:r>
      <w:r w:rsidRPr="00701F32">
        <w:rPr>
          <w:rFonts w:ascii="Arial" w:eastAsia="Calibri" w:hAnsi="Arial" w:cs="Arial"/>
          <w:bCs/>
          <w:sz w:val="20"/>
        </w:rPr>
        <w:t xml:space="preserve">etras del Tesoro sin cotización al cierre del presente </w:t>
      </w:r>
      <w:r w:rsidR="008F0913">
        <w:rPr>
          <w:rFonts w:ascii="Arial" w:eastAsia="Calibri" w:hAnsi="Arial" w:cs="Arial"/>
          <w:bCs/>
          <w:sz w:val="20"/>
        </w:rPr>
        <w:t xml:space="preserve">período / </w:t>
      </w:r>
      <w:r>
        <w:rPr>
          <w:rFonts w:ascii="Arial" w:eastAsia="Calibri" w:hAnsi="Arial" w:cs="Arial"/>
          <w:bCs/>
          <w:sz w:val="20"/>
        </w:rPr>
        <w:t>ejercicio.</w:t>
      </w:r>
    </w:p>
    <w:p w14:paraId="07F1E1EB" w14:textId="77777777" w:rsidR="00D376AD" w:rsidRPr="00701F32" w:rsidRDefault="00D376AD" w:rsidP="00D376AD">
      <w:pPr>
        <w:pStyle w:val="ListParagraph"/>
        <w:jc w:val="both"/>
        <w:rPr>
          <w:rFonts w:ascii="Arial" w:eastAsia="Calibri" w:hAnsi="Arial" w:cs="Arial"/>
          <w:bCs/>
          <w:sz w:val="20"/>
        </w:rPr>
      </w:pPr>
    </w:p>
    <w:p w14:paraId="6574A66C" w14:textId="77777777" w:rsidR="00D376AD" w:rsidRPr="00701F32" w:rsidRDefault="00D376AD" w:rsidP="00627289">
      <w:pPr>
        <w:pStyle w:val="ListParagraph"/>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Modelo de Curvas de rendimiento bajo Nelson Siegel: Este modelo propone una función continua para modelar la trayectoria de la tasa de interés forward instantánea considerando como dominio el plazo comprendido hasta el próximo pago de interés y/o capital. Consiste en la determinación del precio de una especie por medio de un modelo de valor de riesgo a precio teórico, estimándose para ello la volatilidad a través de curvas de mercado. La Entidad ha utilizado este modelo para estimar precios en obligaciones negociables o especies ajustables por tasa BADLAR o por inflación.</w:t>
      </w:r>
    </w:p>
    <w:p w14:paraId="472163F6" w14:textId="77777777" w:rsidR="00D376AD" w:rsidRPr="00701F32" w:rsidRDefault="00D376AD" w:rsidP="00D376AD">
      <w:pPr>
        <w:spacing w:after="160" w:line="259" w:lineRule="auto"/>
        <w:jc w:val="both"/>
        <w:rPr>
          <w:rFonts w:ascii="Arial" w:eastAsia="Calibri" w:hAnsi="Arial" w:cs="Arial"/>
          <w:bCs/>
          <w:color w:val="0000CC"/>
          <w:sz w:val="20"/>
        </w:rPr>
      </w:pPr>
      <w:r w:rsidRPr="00701F32">
        <w:rPr>
          <w:rFonts w:ascii="Arial" w:eastAsia="Calibri" w:hAnsi="Arial" w:cs="Arial"/>
          <w:bCs/>
          <w:sz w:val="20"/>
        </w:rPr>
        <w:t>La entidad evalúa periódicamente la performance de los modelos en función de indicadores los cuales poseen definidos umbrales de tolerancia</w:t>
      </w:r>
      <w:r w:rsidRPr="00701F32">
        <w:rPr>
          <w:rFonts w:ascii="Arial" w:eastAsia="Calibri" w:hAnsi="Arial" w:cs="Arial"/>
          <w:bCs/>
          <w:color w:val="0000CC"/>
          <w:sz w:val="20"/>
        </w:rPr>
        <w:t xml:space="preserve">. </w:t>
      </w:r>
    </w:p>
    <w:p w14:paraId="26F4E9D5" w14:textId="59C2A189" w:rsidR="00CE4289" w:rsidRDefault="00D376AD" w:rsidP="00D376AD">
      <w:pPr>
        <w:spacing w:after="160" w:line="259" w:lineRule="auto"/>
        <w:jc w:val="both"/>
        <w:rPr>
          <w:rFonts w:ascii="Arial" w:eastAsia="Calibri" w:hAnsi="Arial" w:cs="Arial"/>
          <w:bCs/>
          <w:sz w:val="20"/>
        </w:rPr>
      </w:pPr>
      <w:r w:rsidRPr="00701F32">
        <w:rPr>
          <w:rFonts w:ascii="Arial" w:eastAsia="Calibri" w:hAnsi="Arial" w:cs="Arial"/>
          <w:bCs/>
          <w:sz w:val="20"/>
        </w:rPr>
        <w:t>De acuerdo a las NIIF, el valor residual estimado de un instrumento al inicio es, generalmente, el precio de la transacción. En el caso que el precio de transacción difiera del valor razonable determinado, la diferencia será reconocida en el estado de resultados en forma proporcional durante la duración del instrumento. Al 3</w:t>
      </w:r>
      <w:r w:rsidR="002F0310">
        <w:rPr>
          <w:rFonts w:ascii="Arial" w:eastAsia="Calibri" w:hAnsi="Arial" w:cs="Arial"/>
          <w:bCs/>
          <w:sz w:val="20"/>
        </w:rPr>
        <w:t>1</w:t>
      </w:r>
      <w:r w:rsidRPr="00701F32">
        <w:rPr>
          <w:rFonts w:ascii="Arial" w:eastAsia="Calibri" w:hAnsi="Arial" w:cs="Arial"/>
          <w:bCs/>
          <w:sz w:val="20"/>
        </w:rPr>
        <w:t xml:space="preserve"> de </w:t>
      </w:r>
      <w:r w:rsidR="002F0310">
        <w:rPr>
          <w:rFonts w:ascii="Arial" w:eastAsia="Calibri" w:hAnsi="Arial" w:cs="Arial"/>
          <w:bCs/>
          <w:sz w:val="20"/>
        </w:rPr>
        <w:t>marzo</w:t>
      </w:r>
      <w:r w:rsidR="006D13EE">
        <w:rPr>
          <w:rFonts w:ascii="Arial" w:eastAsia="Calibri" w:hAnsi="Arial" w:cs="Arial"/>
          <w:bCs/>
          <w:sz w:val="20"/>
        </w:rPr>
        <w:t xml:space="preserve"> </w:t>
      </w:r>
      <w:r w:rsidRPr="00701F32">
        <w:rPr>
          <w:rFonts w:ascii="Arial" w:eastAsia="Calibri" w:hAnsi="Arial" w:cs="Arial"/>
          <w:bCs/>
          <w:sz w:val="20"/>
        </w:rPr>
        <w:t>de 20</w:t>
      </w:r>
      <w:r w:rsidR="002F0310">
        <w:rPr>
          <w:rFonts w:ascii="Arial" w:eastAsia="Calibri" w:hAnsi="Arial" w:cs="Arial"/>
          <w:bCs/>
          <w:sz w:val="20"/>
        </w:rPr>
        <w:t>20</w:t>
      </w:r>
      <w:r w:rsidRPr="00701F32">
        <w:rPr>
          <w:rFonts w:ascii="Arial" w:eastAsia="Calibri" w:hAnsi="Arial" w:cs="Arial"/>
          <w:bCs/>
          <w:sz w:val="20"/>
        </w:rPr>
        <w:t xml:space="preserve"> no se han registrado diferencias respecto del </w:t>
      </w:r>
      <w:r w:rsidR="008F0913">
        <w:rPr>
          <w:rFonts w:ascii="Arial" w:eastAsia="Calibri" w:hAnsi="Arial" w:cs="Arial"/>
          <w:bCs/>
          <w:sz w:val="20"/>
        </w:rPr>
        <w:t>precio de la transacción</w:t>
      </w:r>
      <w:r w:rsidRPr="00701F32">
        <w:rPr>
          <w:rFonts w:ascii="Arial" w:eastAsia="Calibri" w:hAnsi="Arial" w:cs="Arial"/>
          <w:bCs/>
          <w:sz w:val="20"/>
        </w:rPr>
        <w:t>.</w:t>
      </w:r>
    </w:p>
    <w:p w14:paraId="0C6B8ACF" w14:textId="77777777" w:rsidR="00DA1236" w:rsidRDefault="00DA1236" w:rsidP="00DA1236">
      <w:pPr>
        <w:spacing w:after="160" w:line="259" w:lineRule="auto"/>
        <w:jc w:val="both"/>
        <w:rPr>
          <w:rFonts w:ascii="Arial" w:eastAsia="Calibri" w:hAnsi="Arial" w:cs="Arial"/>
          <w:b/>
          <w:bCs/>
          <w:sz w:val="20"/>
        </w:rPr>
      </w:pPr>
      <w:r w:rsidRPr="00701F32">
        <w:rPr>
          <w:rFonts w:ascii="Arial" w:eastAsia="Calibri" w:hAnsi="Arial" w:cs="Arial"/>
          <w:b/>
          <w:bCs/>
          <w:sz w:val="20"/>
        </w:rPr>
        <w:t>Valor Razonable de Otros Instrumentos Financieros</w:t>
      </w:r>
    </w:p>
    <w:p w14:paraId="56F1F0FF" w14:textId="7D46CE5C" w:rsidR="00D376AD" w:rsidRDefault="00D376AD" w:rsidP="00D376AD">
      <w:pPr>
        <w:pStyle w:val="Textoinfaud"/>
        <w:autoSpaceDE w:val="0"/>
        <w:autoSpaceDN w:val="0"/>
        <w:spacing w:line="239" w:lineRule="exact"/>
        <w:rPr>
          <w:rFonts w:ascii="Arial" w:hAnsi="Arial" w:cs="Arial"/>
          <w:lang w:val="es-ES" w:eastAsia="es-ES"/>
        </w:rPr>
      </w:pPr>
      <w:r>
        <w:rPr>
          <w:rFonts w:ascii="Arial" w:hAnsi="Arial" w:cs="Arial"/>
          <w:lang w:val="es-ES" w:eastAsia="es-ES"/>
        </w:rPr>
        <w:t xml:space="preserve">A </w:t>
      </w:r>
      <w:r w:rsidR="00F20D65">
        <w:rPr>
          <w:rFonts w:ascii="Arial" w:hAnsi="Arial" w:cs="Arial"/>
          <w:lang w:val="es-ES" w:eastAsia="es-ES"/>
        </w:rPr>
        <w:t>continuación,</w:t>
      </w:r>
      <w:r>
        <w:rPr>
          <w:rFonts w:ascii="Arial" w:hAnsi="Arial" w:cs="Arial"/>
          <w:lang w:val="es-ES" w:eastAsia="es-ES"/>
        </w:rPr>
        <w:t xml:space="preserve"> se describen las metodologías y supuestos utilizados para determinar los valores razonables de los instrumentos financieros no registrados a su valor razonable en los presentes estados financieros: </w:t>
      </w:r>
    </w:p>
    <w:p w14:paraId="1AB742CD" w14:textId="77777777" w:rsidR="00D376AD" w:rsidRDefault="00D376AD" w:rsidP="00D376AD">
      <w:pPr>
        <w:pStyle w:val="Textoinfaud"/>
        <w:autoSpaceDE w:val="0"/>
        <w:autoSpaceDN w:val="0"/>
        <w:spacing w:line="239" w:lineRule="exact"/>
        <w:rPr>
          <w:rFonts w:ascii="Arial" w:hAnsi="Arial" w:cs="Arial"/>
          <w:lang w:val="es-ES" w:eastAsia="es-ES"/>
        </w:rPr>
      </w:pPr>
    </w:p>
    <w:p w14:paraId="71DD1145" w14:textId="163FAF10" w:rsidR="00D376AD" w:rsidRPr="00066653" w:rsidRDefault="00D376AD" w:rsidP="00066653">
      <w:pPr>
        <w:pStyle w:val="ListParagraph"/>
        <w:spacing w:after="200" w:line="276" w:lineRule="auto"/>
        <w:ind w:left="284" w:hanging="284"/>
        <w:jc w:val="both"/>
        <w:rPr>
          <w:rFonts w:ascii="Arial" w:hAnsi="Arial" w:cs="Arial"/>
          <w:i/>
          <w:iCs/>
          <w:sz w:val="20"/>
        </w:rPr>
      </w:pPr>
      <w:r>
        <w:rPr>
          <w:rFonts w:ascii="Arial" w:hAnsi="Arial" w:cs="Arial"/>
          <w:sz w:val="20"/>
        </w:rPr>
        <w:t>-</w:t>
      </w:r>
      <w:r>
        <w:rPr>
          <w:sz w:val="14"/>
          <w:szCs w:val="14"/>
        </w:rPr>
        <w:t xml:space="preserve">     </w:t>
      </w:r>
      <w:r>
        <w:rPr>
          <w:rFonts w:ascii="Arial" w:hAnsi="Arial" w:cs="Arial"/>
          <w:i/>
          <w:iCs/>
          <w:sz w:val="20"/>
        </w:rPr>
        <w:t xml:space="preserve">Activos cuyo valor razonable es similar al valor en libros: </w:t>
      </w:r>
      <w:r>
        <w:rPr>
          <w:rFonts w:ascii="Arial" w:hAnsi="Arial" w:cs="Arial"/>
          <w:sz w:val="20"/>
          <w:lang w:val="es-ES" w:eastAsia="es-ES"/>
        </w:rPr>
        <w:t xml:space="preserve">Para los activos y pasivos financieros que son líquidos o tienen vencimientos a corto plazo (menor a tres meses), se consideró que el valor en libros es similar al valor razonable. </w:t>
      </w:r>
    </w:p>
    <w:p w14:paraId="349B1CD0" w14:textId="761B7836" w:rsidR="00D376AD" w:rsidRPr="008F0913" w:rsidRDefault="00D376AD" w:rsidP="005A1F48">
      <w:pPr>
        <w:pStyle w:val="ListParagraph"/>
        <w:spacing w:after="200" w:line="276" w:lineRule="auto"/>
        <w:ind w:left="284" w:hanging="284"/>
        <w:jc w:val="both"/>
      </w:pPr>
      <w:r>
        <w:rPr>
          <w:rFonts w:ascii="Arial" w:hAnsi="Arial" w:cs="Arial"/>
          <w:sz w:val="20"/>
        </w:rPr>
        <w:t>-</w:t>
      </w:r>
      <w:r>
        <w:rPr>
          <w:sz w:val="14"/>
          <w:szCs w:val="14"/>
        </w:rPr>
        <w:t xml:space="preserve">     </w:t>
      </w:r>
      <w:r>
        <w:rPr>
          <w:rFonts w:ascii="Arial" w:hAnsi="Arial" w:cs="Arial"/>
          <w:i/>
          <w:iCs/>
          <w:sz w:val="20"/>
        </w:rPr>
        <w:t xml:space="preserve">Instrumentos financieros de tasa fija: </w:t>
      </w:r>
      <w:r>
        <w:rPr>
          <w:rFonts w:ascii="Arial" w:hAnsi="Arial" w:cs="Arial"/>
          <w:sz w:val="20"/>
        </w:rPr>
        <w:t xml:space="preserve">El valor razonable de los activos financieros se determinó descontando los flujos de fondos futuros a las tasas de mercado corrientes ofrecidas, para cada </w:t>
      </w:r>
      <w:r w:rsidR="008F0913">
        <w:rPr>
          <w:rFonts w:ascii="Arial" w:hAnsi="Arial" w:cs="Arial"/>
          <w:sz w:val="20"/>
        </w:rPr>
        <w:t xml:space="preserve">período / </w:t>
      </w:r>
      <w:r>
        <w:rPr>
          <w:rFonts w:ascii="Arial" w:hAnsi="Arial" w:cs="Arial"/>
          <w:sz w:val="20"/>
        </w:rPr>
        <w:t>ejercicio, para instrumentos financieros de similares características. El valor razonable estimado de los depósitos con tasa de interés fija se determinó descontando los flujos de fondos futuros mediante la utilización de tasas de interés de mercado para imposiciones con vencimientos similares a las de la cartera del Banco.</w:t>
      </w:r>
    </w:p>
    <w:p w14:paraId="3DAD37EC" w14:textId="77777777" w:rsidR="00D376AD" w:rsidRDefault="00D376AD" w:rsidP="00D376AD">
      <w:pPr>
        <w:pStyle w:val="ListParagraph"/>
        <w:ind w:left="284"/>
        <w:jc w:val="both"/>
        <w:rPr>
          <w:rFonts w:ascii="Arial" w:hAnsi="Arial" w:cs="Arial"/>
          <w:sz w:val="20"/>
        </w:rPr>
      </w:pPr>
      <w:r>
        <w:rPr>
          <w:rFonts w:ascii="Arial" w:hAnsi="Arial" w:cs="Arial"/>
          <w:sz w:val="20"/>
        </w:rPr>
        <w:t>Para los activos cotizados y la deuda cotizada emitida el valor razonable se determinó en base a los precios de mercado.</w:t>
      </w:r>
    </w:p>
    <w:p w14:paraId="394722D7" w14:textId="77777777" w:rsidR="00D376AD" w:rsidRDefault="00D376AD" w:rsidP="00D376AD">
      <w:pPr>
        <w:pStyle w:val="ListParagraph"/>
        <w:ind w:left="284"/>
        <w:jc w:val="both"/>
        <w:rPr>
          <w:rFonts w:ascii="Arial" w:hAnsi="Arial" w:cs="Arial"/>
          <w:i/>
          <w:iCs/>
          <w:sz w:val="20"/>
        </w:rPr>
      </w:pPr>
    </w:p>
    <w:p w14:paraId="79105E3B" w14:textId="77777777" w:rsidR="00D376AD" w:rsidRDefault="00D376AD" w:rsidP="00D376AD">
      <w:pPr>
        <w:pStyle w:val="ListParagraph"/>
        <w:spacing w:after="200" w:line="276" w:lineRule="auto"/>
        <w:ind w:left="284" w:hanging="360"/>
        <w:jc w:val="both"/>
        <w:rPr>
          <w:rFonts w:ascii="Arial" w:hAnsi="Arial" w:cs="Arial"/>
          <w:i/>
          <w:iCs/>
          <w:sz w:val="20"/>
        </w:rPr>
      </w:pPr>
      <w:r>
        <w:rPr>
          <w:rFonts w:ascii="Arial" w:hAnsi="Arial" w:cs="Arial"/>
          <w:sz w:val="20"/>
        </w:rPr>
        <w:lastRenderedPageBreak/>
        <w:t>-</w:t>
      </w:r>
      <w:r>
        <w:rPr>
          <w:sz w:val="14"/>
          <w:szCs w:val="14"/>
        </w:rPr>
        <w:t xml:space="preserve">       </w:t>
      </w:r>
      <w:r>
        <w:rPr>
          <w:rFonts w:ascii="Arial" w:hAnsi="Arial" w:cs="Arial"/>
          <w:i/>
          <w:iCs/>
          <w:sz w:val="20"/>
        </w:rPr>
        <w:t xml:space="preserve">Otros instrumentos financieros: </w:t>
      </w:r>
      <w:r>
        <w:rPr>
          <w:rFonts w:ascii="Arial" w:hAnsi="Arial" w:cs="Arial"/>
          <w:sz w:val="20"/>
        </w:rPr>
        <w:t>En el caso de activos y pasivos financieros que son líquidos o de un corto plazo de vencimiento, se estima que su valor razonable se asemeja a su valor contable. Este supuesto también se aplica para los depósitos de caja de ahorro, cuentas corrientes y otros.</w:t>
      </w:r>
    </w:p>
    <w:p w14:paraId="6AB742C8" w14:textId="1BF40463" w:rsidR="00D376AD" w:rsidRDefault="00FB6019" w:rsidP="00FB6019">
      <w:pPr>
        <w:jc w:val="both"/>
        <w:rPr>
          <w:rFonts w:ascii="Arial" w:hAnsi="Arial" w:cs="Arial"/>
          <w:sz w:val="20"/>
        </w:rPr>
      </w:pPr>
      <w:r>
        <w:rPr>
          <w:rFonts w:ascii="Arial" w:hAnsi="Arial" w:cs="Arial"/>
          <w:sz w:val="20"/>
        </w:rPr>
        <w:t>Los siguientes cuadros muestran una comparación entre el valor razonable y el valor contable de los instrumentos financieros no registrados a valor razonable al 3</w:t>
      </w:r>
      <w:r w:rsidR="002F0310">
        <w:rPr>
          <w:rFonts w:ascii="Arial" w:hAnsi="Arial" w:cs="Arial"/>
          <w:sz w:val="20"/>
        </w:rPr>
        <w:t>1</w:t>
      </w:r>
      <w:r>
        <w:rPr>
          <w:rFonts w:ascii="Arial" w:hAnsi="Arial" w:cs="Arial"/>
          <w:sz w:val="20"/>
        </w:rPr>
        <w:t xml:space="preserve"> de </w:t>
      </w:r>
      <w:r w:rsidR="002F0310">
        <w:rPr>
          <w:rFonts w:ascii="Arial" w:hAnsi="Arial" w:cs="Arial"/>
          <w:sz w:val="20"/>
        </w:rPr>
        <w:t>marzo</w:t>
      </w:r>
      <w:r>
        <w:rPr>
          <w:rFonts w:ascii="Arial" w:hAnsi="Arial" w:cs="Arial"/>
          <w:sz w:val="20"/>
        </w:rPr>
        <w:t xml:space="preserve"> de 20</w:t>
      </w:r>
      <w:r w:rsidR="002F0310">
        <w:rPr>
          <w:rFonts w:ascii="Arial" w:hAnsi="Arial" w:cs="Arial"/>
          <w:sz w:val="20"/>
        </w:rPr>
        <w:t>20</w:t>
      </w:r>
      <w:r w:rsidR="00C43BF8">
        <w:rPr>
          <w:rFonts w:ascii="Arial" w:hAnsi="Arial" w:cs="Arial"/>
          <w:sz w:val="20"/>
        </w:rPr>
        <w:t xml:space="preserve"> y 31 de diciembre de 201</w:t>
      </w:r>
      <w:r w:rsidR="002F0310">
        <w:rPr>
          <w:rFonts w:ascii="Arial" w:hAnsi="Arial" w:cs="Arial"/>
          <w:sz w:val="20"/>
        </w:rPr>
        <w:t>9</w:t>
      </w:r>
      <w:r>
        <w:rPr>
          <w:rFonts w:ascii="Arial" w:hAnsi="Arial" w:cs="Arial"/>
          <w:sz w:val="20"/>
        </w:rPr>
        <w:t>:</w:t>
      </w:r>
    </w:p>
    <w:p w14:paraId="3E55931C" w14:textId="77777777" w:rsidR="00FB6019" w:rsidRDefault="00FB6019" w:rsidP="00066653">
      <w:pPr>
        <w:jc w:val="both"/>
        <w:rPr>
          <w:rFonts w:ascii="Arial" w:eastAsia="Calibri" w:hAnsi="Arial" w:cs="Arial"/>
          <w:bCs/>
          <w:sz w:val="20"/>
        </w:rPr>
      </w:pPr>
    </w:p>
    <w:tbl>
      <w:tblPr>
        <w:tblW w:w="10166" w:type="dxa"/>
        <w:jc w:val="center"/>
        <w:tblLayout w:type="fixed"/>
        <w:tblCellMar>
          <w:left w:w="70" w:type="dxa"/>
          <w:right w:w="70" w:type="dxa"/>
        </w:tblCellMar>
        <w:tblLook w:val="04A0" w:firstRow="1" w:lastRow="0" w:firstColumn="1" w:lastColumn="0" w:noHBand="0" w:noVBand="1"/>
      </w:tblPr>
      <w:tblGrid>
        <w:gridCol w:w="4522"/>
        <w:gridCol w:w="1204"/>
        <w:gridCol w:w="1094"/>
        <w:gridCol w:w="196"/>
        <w:gridCol w:w="1000"/>
        <w:gridCol w:w="1056"/>
        <w:gridCol w:w="1094"/>
      </w:tblGrid>
      <w:tr w:rsidR="00953E42" w:rsidRPr="00613EB0" w14:paraId="7D9A6F1A" w14:textId="77777777" w:rsidTr="005172F5">
        <w:trPr>
          <w:trHeight w:val="357"/>
          <w:tblHeader/>
          <w:jc w:val="center"/>
        </w:trPr>
        <w:tc>
          <w:tcPr>
            <w:tcW w:w="4522" w:type="dxa"/>
            <w:tcBorders>
              <w:top w:val="single" w:sz="8" w:space="0" w:color="auto"/>
              <w:left w:val="single" w:sz="8" w:space="0" w:color="auto"/>
              <w:bottom w:val="nil"/>
              <w:right w:val="single" w:sz="4" w:space="0" w:color="auto"/>
            </w:tcBorders>
            <w:shd w:val="clear" w:color="auto" w:fill="auto"/>
            <w:noWrap/>
            <w:vAlign w:val="center"/>
            <w:hideMark/>
          </w:tcPr>
          <w:p w14:paraId="6AC57B41" w14:textId="5E5942C7" w:rsidR="00953E42" w:rsidRPr="00BA7A6B" w:rsidRDefault="009C5DAE" w:rsidP="009C5DAE">
            <w:pPr>
              <w:jc w:val="center"/>
              <w:rPr>
                <w:rFonts w:ascii="Arial" w:hAnsi="Arial" w:cs="Arial"/>
                <w:b/>
                <w:bCs/>
                <w:i/>
                <w:iCs/>
                <w:sz w:val="16"/>
                <w:szCs w:val="16"/>
                <w:lang w:eastAsia="es-AR"/>
              </w:rPr>
            </w:pPr>
            <w:r w:rsidRPr="00BA7A6B">
              <w:rPr>
                <w:rFonts w:ascii="Arial" w:hAnsi="Arial" w:cs="Arial"/>
                <w:b/>
                <w:bCs/>
                <w:i/>
                <w:iCs/>
                <w:sz w:val="16"/>
                <w:szCs w:val="16"/>
                <w:lang w:eastAsia="es-AR"/>
              </w:rPr>
              <w:t>3</w:t>
            </w:r>
            <w:r w:rsidR="002F0310" w:rsidRPr="00BA7A6B">
              <w:rPr>
                <w:rFonts w:ascii="Arial" w:hAnsi="Arial" w:cs="Arial"/>
                <w:b/>
                <w:bCs/>
                <w:i/>
                <w:iCs/>
                <w:sz w:val="16"/>
                <w:szCs w:val="16"/>
                <w:lang w:eastAsia="es-AR"/>
              </w:rPr>
              <w:t>1-03-2020</w:t>
            </w:r>
          </w:p>
        </w:tc>
        <w:tc>
          <w:tcPr>
            <w:tcW w:w="1204" w:type="dxa"/>
            <w:tcBorders>
              <w:top w:val="single" w:sz="8" w:space="0" w:color="auto"/>
              <w:left w:val="nil"/>
              <w:bottom w:val="nil"/>
              <w:right w:val="single" w:sz="4" w:space="0" w:color="auto"/>
            </w:tcBorders>
            <w:shd w:val="clear" w:color="auto" w:fill="auto"/>
            <w:vAlign w:val="center"/>
            <w:hideMark/>
          </w:tcPr>
          <w:p w14:paraId="351666F9" w14:textId="77777777" w:rsidR="00953E42" w:rsidRPr="00BA7A6B" w:rsidRDefault="00953E42" w:rsidP="00953E42">
            <w:pPr>
              <w:jc w:val="center"/>
              <w:rPr>
                <w:rFonts w:ascii="Arial" w:hAnsi="Arial" w:cs="Arial"/>
                <w:b/>
                <w:bCs/>
                <w:sz w:val="16"/>
                <w:szCs w:val="16"/>
                <w:lang w:eastAsia="es-AR"/>
              </w:rPr>
            </w:pPr>
            <w:r w:rsidRPr="00BA7A6B">
              <w:rPr>
                <w:rFonts w:ascii="Arial" w:hAnsi="Arial" w:cs="Arial"/>
                <w:b/>
                <w:bCs/>
                <w:sz w:val="16"/>
                <w:szCs w:val="16"/>
                <w:lang w:eastAsia="es-AR"/>
              </w:rPr>
              <w:t>Valor contable</w:t>
            </w:r>
          </w:p>
        </w:tc>
        <w:tc>
          <w:tcPr>
            <w:tcW w:w="1094" w:type="dxa"/>
            <w:tcBorders>
              <w:top w:val="single" w:sz="8" w:space="0" w:color="auto"/>
              <w:left w:val="nil"/>
              <w:bottom w:val="nil"/>
              <w:right w:val="single" w:sz="4" w:space="0" w:color="auto"/>
            </w:tcBorders>
            <w:shd w:val="clear" w:color="auto" w:fill="auto"/>
            <w:vAlign w:val="center"/>
            <w:hideMark/>
          </w:tcPr>
          <w:p w14:paraId="3779354D" w14:textId="77777777" w:rsidR="00953E42" w:rsidRPr="00BA7A6B" w:rsidRDefault="00953E42" w:rsidP="00953E42">
            <w:pPr>
              <w:jc w:val="center"/>
              <w:rPr>
                <w:rFonts w:ascii="Arial" w:hAnsi="Arial" w:cs="Arial"/>
                <w:b/>
                <w:bCs/>
                <w:sz w:val="16"/>
                <w:szCs w:val="16"/>
                <w:lang w:eastAsia="es-AR"/>
              </w:rPr>
            </w:pPr>
            <w:r w:rsidRPr="00BA7A6B">
              <w:rPr>
                <w:rFonts w:ascii="Arial" w:hAnsi="Arial" w:cs="Arial"/>
                <w:b/>
                <w:bCs/>
                <w:sz w:val="16"/>
                <w:szCs w:val="16"/>
                <w:lang w:eastAsia="es-AR"/>
              </w:rPr>
              <w:t>Valor razonable</w:t>
            </w:r>
          </w:p>
        </w:tc>
        <w:tc>
          <w:tcPr>
            <w:tcW w:w="196" w:type="dxa"/>
            <w:tcBorders>
              <w:top w:val="single" w:sz="8" w:space="0" w:color="auto"/>
              <w:left w:val="nil"/>
              <w:bottom w:val="nil"/>
              <w:right w:val="single" w:sz="4" w:space="0" w:color="auto"/>
            </w:tcBorders>
            <w:shd w:val="clear" w:color="auto" w:fill="auto"/>
            <w:vAlign w:val="center"/>
            <w:hideMark/>
          </w:tcPr>
          <w:p w14:paraId="3FFE9274" w14:textId="77777777" w:rsidR="00953E42" w:rsidRPr="00BA7A6B" w:rsidRDefault="00953E42" w:rsidP="00953E42">
            <w:pPr>
              <w:jc w:val="center"/>
              <w:rPr>
                <w:rFonts w:ascii="Arial" w:hAnsi="Arial" w:cs="Arial"/>
                <w:b/>
                <w:bCs/>
                <w:sz w:val="16"/>
                <w:szCs w:val="16"/>
                <w:lang w:eastAsia="es-AR"/>
              </w:rPr>
            </w:pPr>
            <w:r w:rsidRPr="00BA7A6B">
              <w:rPr>
                <w:rFonts w:ascii="Arial" w:hAnsi="Arial" w:cs="Arial"/>
                <w:b/>
                <w:bCs/>
                <w:sz w:val="16"/>
                <w:szCs w:val="16"/>
                <w:lang w:eastAsia="es-AR"/>
              </w:rPr>
              <w:t> </w:t>
            </w:r>
          </w:p>
        </w:tc>
        <w:tc>
          <w:tcPr>
            <w:tcW w:w="1000" w:type="dxa"/>
            <w:tcBorders>
              <w:top w:val="single" w:sz="8" w:space="0" w:color="auto"/>
              <w:left w:val="nil"/>
              <w:bottom w:val="nil"/>
              <w:right w:val="single" w:sz="4" w:space="0" w:color="auto"/>
            </w:tcBorders>
            <w:shd w:val="clear" w:color="auto" w:fill="auto"/>
            <w:vAlign w:val="center"/>
            <w:hideMark/>
          </w:tcPr>
          <w:p w14:paraId="244550EC" w14:textId="77777777" w:rsidR="00953E42" w:rsidRPr="00BA7A6B" w:rsidRDefault="00953E42" w:rsidP="00953E42">
            <w:pPr>
              <w:jc w:val="center"/>
              <w:rPr>
                <w:rFonts w:ascii="Arial" w:hAnsi="Arial" w:cs="Arial"/>
                <w:b/>
                <w:bCs/>
                <w:sz w:val="16"/>
                <w:szCs w:val="16"/>
                <w:lang w:eastAsia="es-AR"/>
              </w:rPr>
            </w:pPr>
            <w:r w:rsidRPr="00BA7A6B">
              <w:rPr>
                <w:rFonts w:ascii="Arial" w:hAnsi="Arial" w:cs="Arial"/>
                <w:b/>
                <w:bCs/>
                <w:sz w:val="16"/>
                <w:szCs w:val="16"/>
                <w:lang w:eastAsia="es-AR"/>
              </w:rPr>
              <w:t>VR Nivel 1</w:t>
            </w:r>
          </w:p>
        </w:tc>
        <w:tc>
          <w:tcPr>
            <w:tcW w:w="1056" w:type="dxa"/>
            <w:tcBorders>
              <w:top w:val="single" w:sz="8" w:space="0" w:color="auto"/>
              <w:left w:val="nil"/>
              <w:bottom w:val="nil"/>
              <w:right w:val="single" w:sz="4" w:space="0" w:color="auto"/>
            </w:tcBorders>
            <w:shd w:val="clear" w:color="auto" w:fill="auto"/>
            <w:vAlign w:val="center"/>
            <w:hideMark/>
          </w:tcPr>
          <w:p w14:paraId="123E2CFA" w14:textId="77777777" w:rsidR="00953E42" w:rsidRPr="00BA7A6B" w:rsidRDefault="00953E42" w:rsidP="00953E42">
            <w:pPr>
              <w:jc w:val="center"/>
              <w:rPr>
                <w:rFonts w:ascii="Arial" w:hAnsi="Arial" w:cs="Arial"/>
                <w:b/>
                <w:bCs/>
                <w:sz w:val="16"/>
                <w:szCs w:val="16"/>
                <w:lang w:eastAsia="es-AR"/>
              </w:rPr>
            </w:pPr>
            <w:r w:rsidRPr="00BA7A6B">
              <w:rPr>
                <w:rFonts w:ascii="Arial" w:hAnsi="Arial" w:cs="Arial"/>
                <w:b/>
                <w:bCs/>
                <w:sz w:val="16"/>
                <w:szCs w:val="16"/>
                <w:lang w:eastAsia="es-AR"/>
              </w:rPr>
              <w:t>VR Nivel 2</w:t>
            </w:r>
          </w:p>
        </w:tc>
        <w:tc>
          <w:tcPr>
            <w:tcW w:w="1094" w:type="dxa"/>
            <w:tcBorders>
              <w:top w:val="single" w:sz="8" w:space="0" w:color="auto"/>
              <w:left w:val="nil"/>
              <w:bottom w:val="nil"/>
              <w:right w:val="single" w:sz="8" w:space="0" w:color="auto"/>
            </w:tcBorders>
            <w:shd w:val="clear" w:color="auto" w:fill="auto"/>
            <w:vAlign w:val="center"/>
            <w:hideMark/>
          </w:tcPr>
          <w:p w14:paraId="765031FB" w14:textId="77777777" w:rsidR="00953E42" w:rsidRPr="00BA7A6B" w:rsidRDefault="00953E42" w:rsidP="00953E42">
            <w:pPr>
              <w:jc w:val="center"/>
              <w:rPr>
                <w:rFonts w:ascii="Arial" w:hAnsi="Arial" w:cs="Arial"/>
                <w:b/>
                <w:bCs/>
                <w:sz w:val="16"/>
                <w:szCs w:val="16"/>
                <w:lang w:eastAsia="es-AR"/>
              </w:rPr>
            </w:pPr>
            <w:r w:rsidRPr="00BA7A6B">
              <w:rPr>
                <w:rFonts w:ascii="Arial" w:hAnsi="Arial" w:cs="Arial"/>
                <w:b/>
                <w:bCs/>
                <w:sz w:val="16"/>
                <w:szCs w:val="16"/>
                <w:lang w:eastAsia="es-AR"/>
              </w:rPr>
              <w:t>VR Nivel 3</w:t>
            </w:r>
          </w:p>
        </w:tc>
      </w:tr>
      <w:tr w:rsidR="00953E42" w:rsidRPr="00613EB0" w14:paraId="42B32C3A" w14:textId="77777777" w:rsidTr="002E1AF6">
        <w:trPr>
          <w:trHeight w:val="226"/>
          <w:jc w:val="center"/>
        </w:trPr>
        <w:tc>
          <w:tcPr>
            <w:tcW w:w="452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8A541A4" w14:textId="77777777" w:rsidR="00953E42" w:rsidRPr="00613EB0" w:rsidRDefault="00953E42" w:rsidP="00953E42">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204" w:type="dxa"/>
            <w:tcBorders>
              <w:top w:val="single" w:sz="8" w:space="0" w:color="auto"/>
              <w:left w:val="nil"/>
              <w:bottom w:val="single" w:sz="8" w:space="0" w:color="auto"/>
              <w:right w:val="single" w:sz="4" w:space="0" w:color="auto"/>
            </w:tcBorders>
            <w:shd w:val="clear" w:color="auto" w:fill="auto"/>
            <w:vAlign w:val="center"/>
            <w:hideMark/>
          </w:tcPr>
          <w:p w14:paraId="66D3FA88"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94" w:type="dxa"/>
            <w:tcBorders>
              <w:top w:val="single" w:sz="8" w:space="0" w:color="auto"/>
              <w:left w:val="nil"/>
              <w:bottom w:val="single" w:sz="8" w:space="0" w:color="auto"/>
              <w:right w:val="single" w:sz="4" w:space="0" w:color="auto"/>
            </w:tcBorders>
            <w:shd w:val="clear" w:color="auto" w:fill="auto"/>
            <w:vAlign w:val="center"/>
            <w:hideMark/>
          </w:tcPr>
          <w:p w14:paraId="6D3F17F5"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96" w:type="dxa"/>
            <w:tcBorders>
              <w:top w:val="single" w:sz="8" w:space="0" w:color="auto"/>
              <w:left w:val="nil"/>
              <w:bottom w:val="single" w:sz="8" w:space="0" w:color="auto"/>
              <w:right w:val="single" w:sz="4" w:space="0" w:color="auto"/>
            </w:tcBorders>
            <w:shd w:val="clear" w:color="auto" w:fill="auto"/>
            <w:vAlign w:val="center"/>
            <w:hideMark/>
          </w:tcPr>
          <w:p w14:paraId="28870911"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00" w:type="dxa"/>
            <w:tcBorders>
              <w:top w:val="single" w:sz="8" w:space="0" w:color="auto"/>
              <w:left w:val="nil"/>
              <w:bottom w:val="single" w:sz="8" w:space="0" w:color="auto"/>
              <w:right w:val="single" w:sz="4" w:space="0" w:color="auto"/>
            </w:tcBorders>
            <w:shd w:val="clear" w:color="auto" w:fill="auto"/>
            <w:vAlign w:val="center"/>
            <w:hideMark/>
          </w:tcPr>
          <w:p w14:paraId="5F739CC7"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56" w:type="dxa"/>
            <w:tcBorders>
              <w:top w:val="single" w:sz="8" w:space="0" w:color="auto"/>
              <w:left w:val="nil"/>
              <w:bottom w:val="single" w:sz="8" w:space="0" w:color="auto"/>
              <w:right w:val="single" w:sz="4" w:space="0" w:color="auto"/>
            </w:tcBorders>
            <w:shd w:val="clear" w:color="auto" w:fill="auto"/>
            <w:vAlign w:val="center"/>
            <w:hideMark/>
          </w:tcPr>
          <w:p w14:paraId="715262B2"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94" w:type="dxa"/>
            <w:tcBorders>
              <w:top w:val="single" w:sz="8" w:space="0" w:color="auto"/>
              <w:left w:val="nil"/>
              <w:bottom w:val="single" w:sz="8" w:space="0" w:color="auto"/>
              <w:right w:val="single" w:sz="8" w:space="0" w:color="auto"/>
            </w:tcBorders>
            <w:shd w:val="clear" w:color="auto" w:fill="auto"/>
            <w:vAlign w:val="center"/>
            <w:hideMark/>
          </w:tcPr>
          <w:p w14:paraId="00A12FCB"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2F0310" w:rsidRPr="000B2F8E" w14:paraId="7319FFE3"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hideMark/>
          </w:tcPr>
          <w:p w14:paraId="6EB490B9"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204" w:type="dxa"/>
            <w:tcBorders>
              <w:top w:val="nil"/>
              <w:left w:val="nil"/>
              <w:bottom w:val="single" w:sz="4" w:space="0" w:color="auto"/>
              <w:right w:val="single" w:sz="4" w:space="0" w:color="auto"/>
            </w:tcBorders>
            <w:shd w:val="clear" w:color="auto" w:fill="auto"/>
            <w:noWrap/>
            <w:vAlign w:val="bottom"/>
          </w:tcPr>
          <w:p w14:paraId="202104D7" w14:textId="39F07311"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35.293.755 </w:t>
            </w:r>
          </w:p>
        </w:tc>
        <w:tc>
          <w:tcPr>
            <w:tcW w:w="1094" w:type="dxa"/>
            <w:tcBorders>
              <w:top w:val="nil"/>
              <w:left w:val="nil"/>
              <w:bottom w:val="single" w:sz="4" w:space="0" w:color="auto"/>
              <w:right w:val="single" w:sz="4" w:space="0" w:color="auto"/>
            </w:tcBorders>
            <w:shd w:val="clear" w:color="auto" w:fill="auto"/>
            <w:vAlign w:val="bottom"/>
          </w:tcPr>
          <w:p w14:paraId="2DC37ADB" w14:textId="07EDEA77"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35.293.755 </w:t>
            </w:r>
          </w:p>
        </w:tc>
        <w:tc>
          <w:tcPr>
            <w:tcW w:w="196" w:type="dxa"/>
            <w:tcBorders>
              <w:top w:val="nil"/>
              <w:left w:val="nil"/>
              <w:bottom w:val="single" w:sz="4" w:space="0" w:color="auto"/>
              <w:right w:val="single" w:sz="4" w:space="0" w:color="auto"/>
            </w:tcBorders>
            <w:shd w:val="clear" w:color="auto" w:fill="auto"/>
            <w:vAlign w:val="bottom"/>
          </w:tcPr>
          <w:p w14:paraId="3F4CF9BA" w14:textId="61427CF4" w:rsidR="002F0310" w:rsidRPr="00BB2CC9"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07152A11" w14:textId="4ACC830E"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35.293.755 </w:t>
            </w:r>
          </w:p>
        </w:tc>
        <w:tc>
          <w:tcPr>
            <w:tcW w:w="1056" w:type="dxa"/>
            <w:tcBorders>
              <w:top w:val="nil"/>
              <w:left w:val="nil"/>
              <w:bottom w:val="single" w:sz="4" w:space="0" w:color="auto"/>
              <w:right w:val="single" w:sz="4" w:space="0" w:color="auto"/>
            </w:tcBorders>
            <w:shd w:val="clear" w:color="auto" w:fill="auto"/>
            <w:vAlign w:val="bottom"/>
          </w:tcPr>
          <w:p w14:paraId="51FB8B51" w14:textId="1C0AB851"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94" w:type="dxa"/>
            <w:tcBorders>
              <w:top w:val="nil"/>
              <w:left w:val="nil"/>
              <w:bottom w:val="single" w:sz="4" w:space="0" w:color="auto"/>
              <w:right w:val="single" w:sz="8" w:space="0" w:color="auto"/>
            </w:tcBorders>
            <w:shd w:val="clear" w:color="auto" w:fill="auto"/>
            <w:vAlign w:val="bottom"/>
          </w:tcPr>
          <w:p w14:paraId="3A1C84A8" w14:textId="58EE0915"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r>
      <w:tr w:rsidR="002F0310" w:rsidRPr="000B2F8E" w14:paraId="5445E77B"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hideMark/>
          </w:tcPr>
          <w:p w14:paraId="477AA605" w14:textId="5385805A"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w:t>
            </w:r>
            <w:r>
              <w:rPr>
                <w:rFonts w:ascii="Arial" w:hAnsi="Arial" w:cs="Arial"/>
                <w:color w:val="000000"/>
                <w:sz w:val="16"/>
                <w:szCs w:val="16"/>
                <w:lang w:eastAsia="es-AR"/>
              </w:rPr>
              <w:t xml:space="preserve"> </w:t>
            </w:r>
            <w:r w:rsidRPr="007228CD">
              <w:rPr>
                <w:rFonts w:ascii="Arial" w:hAnsi="Arial" w:cs="Arial"/>
                <w:color w:val="000000"/>
                <w:sz w:val="16"/>
                <w:szCs w:val="16"/>
                <w:lang w:eastAsia="es-AR"/>
              </w:rPr>
              <w:t>Operaciones de pase</w:t>
            </w:r>
            <w:r w:rsidRPr="00613EB0">
              <w:rPr>
                <w:rFonts w:ascii="Arial" w:hAnsi="Arial" w:cs="Arial"/>
                <w:color w:val="000000"/>
                <w:sz w:val="16"/>
                <w:szCs w:val="16"/>
                <w:lang w:eastAsia="es-AR"/>
              </w:rPr>
              <w:t xml:space="preserve"> </w:t>
            </w:r>
          </w:p>
        </w:tc>
        <w:tc>
          <w:tcPr>
            <w:tcW w:w="1204" w:type="dxa"/>
            <w:tcBorders>
              <w:top w:val="nil"/>
              <w:left w:val="nil"/>
              <w:bottom w:val="single" w:sz="4" w:space="0" w:color="auto"/>
              <w:right w:val="single" w:sz="4" w:space="0" w:color="auto"/>
            </w:tcBorders>
            <w:shd w:val="clear" w:color="auto" w:fill="auto"/>
            <w:noWrap/>
            <w:vAlign w:val="bottom"/>
          </w:tcPr>
          <w:p w14:paraId="473FDFB7" w14:textId="7470E2BD"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79.143 </w:t>
            </w:r>
          </w:p>
        </w:tc>
        <w:tc>
          <w:tcPr>
            <w:tcW w:w="1094" w:type="dxa"/>
            <w:tcBorders>
              <w:top w:val="nil"/>
              <w:left w:val="nil"/>
              <w:bottom w:val="single" w:sz="4" w:space="0" w:color="auto"/>
              <w:right w:val="single" w:sz="4" w:space="0" w:color="auto"/>
            </w:tcBorders>
            <w:shd w:val="clear" w:color="auto" w:fill="auto"/>
            <w:vAlign w:val="bottom"/>
          </w:tcPr>
          <w:p w14:paraId="78763769" w14:textId="7D98C370"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79.143 </w:t>
            </w:r>
          </w:p>
        </w:tc>
        <w:tc>
          <w:tcPr>
            <w:tcW w:w="196" w:type="dxa"/>
            <w:tcBorders>
              <w:top w:val="nil"/>
              <w:left w:val="nil"/>
              <w:bottom w:val="single" w:sz="4" w:space="0" w:color="auto"/>
              <w:right w:val="single" w:sz="4" w:space="0" w:color="auto"/>
            </w:tcBorders>
            <w:shd w:val="clear" w:color="auto" w:fill="auto"/>
            <w:vAlign w:val="bottom"/>
          </w:tcPr>
          <w:p w14:paraId="6A389F5E" w14:textId="0E848988" w:rsidR="002F0310" w:rsidRPr="00BB2CC9"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1946CC77" w14:textId="15AEA8A4"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79.143 </w:t>
            </w:r>
          </w:p>
        </w:tc>
        <w:tc>
          <w:tcPr>
            <w:tcW w:w="1056" w:type="dxa"/>
            <w:tcBorders>
              <w:top w:val="nil"/>
              <w:left w:val="nil"/>
              <w:bottom w:val="single" w:sz="4" w:space="0" w:color="auto"/>
              <w:right w:val="single" w:sz="4" w:space="0" w:color="auto"/>
            </w:tcBorders>
            <w:shd w:val="clear" w:color="auto" w:fill="auto"/>
            <w:vAlign w:val="bottom"/>
          </w:tcPr>
          <w:p w14:paraId="4C1EB99C" w14:textId="68885353" w:rsidR="002F0310" w:rsidRPr="002F0310" w:rsidRDefault="002F0310" w:rsidP="002F0310">
            <w:pPr>
              <w:jc w:val="right"/>
              <w:rPr>
                <w:rFonts w:ascii="Arial" w:hAnsi="Arial" w:cs="Arial"/>
                <w:color w:val="000000"/>
                <w:sz w:val="16"/>
                <w:szCs w:val="16"/>
                <w:lang w:eastAsia="es-AR"/>
              </w:rPr>
            </w:pPr>
          </w:p>
        </w:tc>
        <w:tc>
          <w:tcPr>
            <w:tcW w:w="1094" w:type="dxa"/>
            <w:tcBorders>
              <w:top w:val="nil"/>
              <w:left w:val="nil"/>
              <w:bottom w:val="single" w:sz="4" w:space="0" w:color="auto"/>
              <w:right w:val="single" w:sz="8" w:space="0" w:color="auto"/>
            </w:tcBorders>
            <w:shd w:val="clear" w:color="auto" w:fill="auto"/>
            <w:vAlign w:val="bottom"/>
          </w:tcPr>
          <w:p w14:paraId="51C38158" w14:textId="50F17663" w:rsidR="002F0310" w:rsidRPr="002F0310" w:rsidRDefault="002F0310" w:rsidP="002F0310">
            <w:pPr>
              <w:jc w:val="right"/>
              <w:rPr>
                <w:rFonts w:ascii="Arial" w:hAnsi="Arial" w:cs="Arial"/>
                <w:color w:val="000000"/>
                <w:sz w:val="16"/>
                <w:szCs w:val="16"/>
                <w:lang w:eastAsia="es-AR"/>
              </w:rPr>
            </w:pPr>
          </w:p>
        </w:tc>
      </w:tr>
      <w:tr w:rsidR="002F0310" w:rsidRPr="000B2F8E" w14:paraId="740AC957"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tcPr>
          <w:p w14:paraId="73553D1B" w14:textId="4399EDD6" w:rsidR="002F0310" w:rsidRPr="00613EB0" w:rsidRDefault="002F0310" w:rsidP="002F0310">
            <w:pPr>
              <w:rPr>
                <w:rFonts w:ascii="Arial" w:hAnsi="Arial" w:cs="Arial"/>
                <w:color w:val="000000"/>
                <w:sz w:val="16"/>
                <w:szCs w:val="16"/>
                <w:lang w:eastAsia="es-AR"/>
              </w:rPr>
            </w:pPr>
            <w:r w:rsidRPr="007228CD">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Otros activos financieros</w:t>
            </w:r>
            <w:r w:rsidRPr="007228CD" w:rsidDel="00E469A2">
              <w:rPr>
                <w:rFonts w:ascii="Arial" w:hAnsi="Arial" w:cs="Arial"/>
                <w:color w:val="000000"/>
                <w:sz w:val="16"/>
                <w:szCs w:val="16"/>
                <w:lang w:eastAsia="es-AR"/>
              </w:rPr>
              <w:t xml:space="preserve"> </w:t>
            </w:r>
          </w:p>
        </w:tc>
        <w:tc>
          <w:tcPr>
            <w:tcW w:w="1204" w:type="dxa"/>
            <w:tcBorders>
              <w:top w:val="nil"/>
              <w:left w:val="nil"/>
              <w:bottom w:val="single" w:sz="4" w:space="0" w:color="auto"/>
              <w:right w:val="single" w:sz="4" w:space="0" w:color="auto"/>
            </w:tcBorders>
            <w:shd w:val="clear" w:color="auto" w:fill="auto"/>
            <w:noWrap/>
            <w:vAlign w:val="bottom"/>
          </w:tcPr>
          <w:p w14:paraId="28163084" w14:textId="437BD56F" w:rsidR="002F0310" w:rsidRPr="002F0310" w:rsidRDefault="002F0310" w:rsidP="002F0310">
            <w:pPr>
              <w:jc w:val="right"/>
              <w:rPr>
                <w:rFonts w:ascii="Arial" w:hAnsi="Arial" w:cs="Arial"/>
                <w:sz w:val="16"/>
                <w:szCs w:val="16"/>
              </w:rPr>
            </w:pPr>
            <w:r w:rsidRPr="002F0310">
              <w:rPr>
                <w:rFonts w:ascii="Arial" w:hAnsi="Arial" w:cs="Arial"/>
                <w:sz w:val="16"/>
                <w:szCs w:val="16"/>
              </w:rPr>
              <w:t xml:space="preserve"> 529.774 </w:t>
            </w:r>
          </w:p>
        </w:tc>
        <w:tc>
          <w:tcPr>
            <w:tcW w:w="1094" w:type="dxa"/>
            <w:tcBorders>
              <w:top w:val="nil"/>
              <w:left w:val="nil"/>
              <w:bottom w:val="single" w:sz="4" w:space="0" w:color="auto"/>
              <w:right w:val="single" w:sz="4" w:space="0" w:color="auto"/>
            </w:tcBorders>
            <w:shd w:val="clear" w:color="auto" w:fill="auto"/>
            <w:vAlign w:val="bottom"/>
          </w:tcPr>
          <w:p w14:paraId="76500D98" w14:textId="27E60EDB" w:rsidR="002F0310" w:rsidRPr="002F0310" w:rsidRDefault="002F0310" w:rsidP="002F0310">
            <w:pPr>
              <w:jc w:val="right"/>
              <w:rPr>
                <w:rFonts w:ascii="Arial" w:hAnsi="Arial" w:cs="Arial"/>
                <w:sz w:val="16"/>
                <w:szCs w:val="16"/>
              </w:rPr>
            </w:pPr>
            <w:r w:rsidRPr="002F0310">
              <w:rPr>
                <w:rFonts w:ascii="Arial" w:hAnsi="Arial" w:cs="Arial"/>
                <w:sz w:val="16"/>
                <w:szCs w:val="16"/>
              </w:rPr>
              <w:t xml:space="preserve"> 529.774 </w:t>
            </w:r>
          </w:p>
        </w:tc>
        <w:tc>
          <w:tcPr>
            <w:tcW w:w="196" w:type="dxa"/>
            <w:tcBorders>
              <w:top w:val="nil"/>
              <w:left w:val="nil"/>
              <w:bottom w:val="single" w:sz="4" w:space="0" w:color="auto"/>
              <w:right w:val="single" w:sz="4" w:space="0" w:color="auto"/>
            </w:tcBorders>
            <w:shd w:val="clear" w:color="auto" w:fill="auto"/>
            <w:vAlign w:val="bottom"/>
          </w:tcPr>
          <w:p w14:paraId="782671A8" w14:textId="46C6FC9A" w:rsidR="002F0310" w:rsidRPr="00BB2CC9"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75E33A88" w14:textId="6B21926E" w:rsidR="002F0310" w:rsidRPr="002F0310" w:rsidRDefault="002F0310" w:rsidP="002F0310">
            <w:pPr>
              <w:jc w:val="right"/>
              <w:rPr>
                <w:rFonts w:ascii="Arial" w:hAnsi="Arial" w:cs="Arial"/>
                <w:sz w:val="16"/>
                <w:szCs w:val="16"/>
              </w:rPr>
            </w:pPr>
            <w:r w:rsidRPr="002F0310">
              <w:rPr>
                <w:rFonts w:ascii="Arial" w:hAnsi="Arial" w:cs="Arial"/>
                <w:sz w:val="16"/>
                <w:szCs w:val="16"/>
              </w:rPr>
              <w:t xml:space="preserve"> 529.774 </w:t>
            </w:r>
          </w:p>
        </w:tc>
        <w:tc>
          <w:tcPr>
            <w:tcW w:w="1056" w:type="dxa"/>
            <w:tcBorders>
              <w:top w:val="nil"/>
              <w:left w:val="nil"/>
              <w:bottom w:val="single" w:sz="4" w:space="0" w:color="auto"/>
              <w:right w:val="single" w:sz="4" w:space="0" w:color="auto"/>
            </w:tcBorders>
            <w:shd w:val="clear" w:color="auto" w:fill="auto"/>
            <w:vAlign w:val="bottom"/>
          </w:tcPr>
          <w:p w14:paraId="29496107" w14:textId="01FB6F2A" w:rsidR="002F0310" w:rsidRPr="002F0310" w:rsidRDefault="002F0310" w:rsidP="002F0310">
            <w:pPr>
              <w:jc w:val="right"/>
              <w:rPr>
                <w:rFonts w:ascii="Arial" w:hAnsi="Arial" w:cs="Arial"/>
                <w:color w:val="000000"/>
                <w:sz w:val="16"/>
                <w:szCs w:val="16"/>
                <w:lang w:eastAsia="es-AR"/>
              </w:rPr>
            </w:pPr>
          </w:p>
        </w:tc>
        <w:tc>
          <w:tcPr>
            <w:tcW w:w="1094" w:type="dxa"/>
            <w:tcBorders>
              <w:top w:val="nil"/>
              <w:left w:val="nil"/>
              <w:bottom w:val="single" w:sz="4" w:space="0" w:color="auto"/>
              <w:right w:val="single" w:sz="8" w:space="0" w:color="auto"/>
            </w:tcBorders>
            <w:shd w:val="clear" w:color="auto" w:fill="auto"/>
            <w:vAlign w:val="bottom"/>
          </w:tcPr>
          <w:p w14:paraId="7F1C197D" w14:textId="25E452A2" w:rsidR="002F0310" w:rsidRPr="002F0310" w:rsidRDefault="002F0310" w:rsidP="002F0310">
            <w:pPr>
              <w:jc w:val="right"/>
              <w:rPr>
                <w:rFonts w:ascii="Arial" w:hAnsi="Arial" w:cs="Arial"/>
                <w:color w:val="000000"/>
                <w:sz w:val="16"/>
                <w:szCs w:val="16"/>
                <w:lang w:eastAsia="es-AR"/>
              </w:rPr>
            </w:pPr>
          </w:p>
        </w:tc>
      </w:tr>
      <w:tr w:rsidR="002F0310" w:rsidRPr="000B2F8E" w14:paraId="014112AF"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hideMark/>
          </w:tcPr>
          <w:p w14:paraId="18CE43B6" w14:textId="1B373C10"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 xml:space="preserve">Préstamos y otras financiaciones </w:t>
            </w:r>
          </w:p>
        </w:tc>
        <w:tc>
          <w:tcPr>
            <w:tcW w:w="1204" w:type="dxa"/>
            <w:tcBorders>
              <w:top w:val="nil"/>
              <w:left w:val="nil"/>
              <w:bottom w:val="single" w:sz="4" w:space="0" w:color="auto"/>
              <w:right w:val="single" w:sz="4" w:space="0" w:color="auto"/>
            </w:tcBorders>
            <w:shd w:val="clear" w:color="auto" w:fill="auto"/>
            <w:noWrap/>
            <w:vAlign w:val="bottom"/>
          </w:tcPr>
          <w:p w14:paraId="3C08516B" w14:textId="5C99CAEE"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88.212.159 </w:t>
            </w:r>
          </w:p>
        </w:tc>
        <w:tc>
          <w:tcPr>
            <w:tcW w:w="1094" w:type="dxa"/>
            <w:tcBorders>
              <w:top w:val="nil"/>
              <w:left w:val="nil"/>
              <w:bottom w:val="single" w:sz="4" w:space="0" w:color="auto"/>
              <w:right w:val="single" w:sz="4" w:space="0" w:color="auto"/>
            </w:tcBorders>
            <w:shd w:val="clear" w:color="auto" w:fill="auto"/>
            <w:vAlign w:val="bottom"/>
          </w:tcPr>
          <w:p w14:paraId="26284778" w14:textId="2634727F"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76.528.534 </w:t>
            </w:r>
          </w:p>
        </w:tc>
        <w:tc>
          <w:tcPr>
            <w:tcW w:w="196" w:type="dxa"/>
            <w:tcBorders>
              <w:top w:val="nil"/>
              <w:left w:val="nil"/>
              <w:bottom w:val="single" w:sz="4" w:space="0" w:color="auto"/>
              <w:right w:val="single" w:sz="4" w:space="0" w:color="auto"/>
            </w:tcBorders>
            <w:shd w:val="clear" w:color="auto" w:fill="auto"/>
            <w:vAlign w:val="bottom"/>
          </w:tcPr>
          <w:p w14:paraId="724A9903" w14:textId="3CD7BC4D" w:rsidR="002F0310" w:rsidRPr="00BB2CC9"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32DD00CD" w14:textId="7901932C"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56" w:type="dxa"/>
            <w:tcBorders>
              <w:top w:val="nil"/>
              <w:left w:val="nil"/>
              <w:bottom w:val="single" w:sz="4" w:space="0" w:color="auto"/>
              <w:right w:val="single" w:sz="4" w:space="0" w:color="auto"/>
            </w:tcBorders>
            <w:shd w:val="clear" w:color="auto" w:fill="auto"/>
            <w:vAlign w:val="bottom"/>
          </w:tcPr>
          <w:p w14:paraId="637483EC" w14:textId="3018C21F"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94" w:type="dxa"/>
            <w:tcBorders>
              <w:top w:val="nil"/>
              <w:left w:val="nil"/>
              <w:bottom w:val="single" w:sz="4" w:space="0" w:color="auto"/>
              <w:right w:val="single" w:sz="8" w:space="0" w:color="auto"/>
            </w:tcBorders>
            <w:shd w:val="clear" w:color="auto" w:fill="auto"/>
            <w:vAlign w:val="bottom"/>
          </w:tcPr>
          <w:p w14:paraId="07F5F192" w14:textId="4E5575A1"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76.528.534 </w:t>
            </w:r>
          </w:p>
        </w:tc>
      </w:tr>
      <w:tr w:rsidR="002F0310" w:rsidRPr="000B2F8E" w14:paraId="5BA8F75F"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hideMark/>
          </w:tcPr>
          <w:p w14:paraId="3876703B"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204" w:type="dxa"/>
            <w:tcBorders>
              <w:top w:val="nil"/>
              <w:left w:val="nil"/>
              <w:bottom w:val="single" w:sz="4" w:space="0" w:color="auto"/>
              <w:right w:val="single" w:sz="4" w:space="0" w:color="auto"/>
            </w:tcBorders>
            <w:shd w:val="clear" w:color="auto" w:fill="auto"/>
            <w:noWrap/>
            <w:vAlign w:val="bottom"/>
          </w:tcPr>
          <w:p w14:paraId="32BC6B2A" w14:textId="7522F765"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4.668.552 </w:t>
            </w:r>
          </w:p>
        </w:tc>
        <w:tc>
          <w:tcPr>
            <w:tcW w:w="1094" w:type="dxa"/>
            <w:tcBorders>
              <w:top w:val="nil"/>
              <w:left w:val="nil"/>
              <w:bottom w:val="single" w:sz="4" w:space="0" w:color="auto"/>
              <w:right w:val="single" w:sz="4" w:space="0" w:color="auto"/>
            </w:tcBorders>
            <w:shd w:val="clear" w:color="auto" w:fill="auto"/>
            <w:vAlign w:val="bottom"/>
          </w:tcPr>
          <w:p w14:paraId="01680680" w14:textId="346A7EB2"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3.220.065 </w:t>
            </w:r>
          </w:p>
        </w:tc>
        <w:tc>
          <w:tcPr>
            <w:tcW w:w="196" w:type="dxa"/>
            <w:tcBorders>
              <w:top w:val="nil"/>
              <w:left w:val="nil"/>
              <w:bottom w:val="single" w:sz="4" w:space="0" w:color="auto"/>
              <w:right w:val="single" w:sz="4" w:space="0" w:color="auto"/>
            </w:tcBorders>
            <w:shd w:val="clear" w:color="auto" w:fill="auto"/>
            <w:vAlign w:val="bottom"/>
          </w:tcPr>
          <w:p w14:paraId="0ECE009E" w14:textId="47F44C0F" w:rsidR="002F0310" w:rsidRPr="00BB2CC9"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0FFA7602" w14:textId="5AD2D805"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3.220.065 </w:t>
            </w:r>
          </w:p>
        </w:tc>
        <w:tc>
          <w:tcPr>
            <w:tcW w:w="1056" w:type="dxa"/>
            <w:tcBorders>
              <w:top w:val="nil"/>
              <w:left w:val="nil"/>
              <w:bottom w:val="single" w:sz="4" w:space="0" w:color="auto"/>
              <w:right w:val="single" w:sz="4" w:space="0" w:color="auto"/>
            </w:tcBorders>
            <w:shd w:val="clear" w:color="auto" w:fill="auto"/>
            <w:vAlign w:val="bottom"/>
          </w:tcPr>
          <w:p w14:paraId="168DEA15" w14:textId="65B6157A" w:rsidR="002F0310" w:rsidRPr="002F0310" w:rsidRDefault="002F0310" w:rsidP="002F0310">
            <w:pPr>
              <w:jc w:val="right"/>
              <w:rPr>
                <w:rFonts w:ascii="Arial" w:hAnsi="Arial" w:cs="Arial"/>
                <w:color w:val="000000"/>
                <w:sz w:val="16"/>
                <w:szCs w:val="16"/>
                <w:lang w:eastAsia="es-AR"/>
              </w:rPr>
            </w:pPr>
          </w:p>
        </w:tc>
        <w:tc>
          <w:tcPr>
            <w:tcW w:w="1094" w:type="dxa"/>
            <w:tcBorders>
              <w:top w:val="nil"/>
              <w:left w:val="nil"/>
              <w:bottom w:val="single" w:sz="4" w:space="0" w:color="auto"/>
              <w:right w:val="single" w:sz="8" w:space="0" w:color="auto"/>
            </w:tcBorders>
            <w:shd w:val="clear" w:color="auto" w:fill="auto"/>
            <w:vAlign w:val="bottom"/>
          </w:tcPr>
          <w:p w14:paraId="5D59DE10" w14:textId="1562C51C" w:rsidR="002F0310" w:rsidRPr="002F0310" w:rsidRDefault="002F0310" w:rsidP="002F0310">
            <w:pPr>
              <w:jc w:val="right"/>
              <w:rPr>
                <w:rFonts w:ascii="Arial" w:hAnsi="Arial" w:cs="Arial"/>
                <w:color w:val="000000"/>
                <w:sz w:val="16"/>
                <w:szCs w:val="16"/>
                <w:lang w:eastAsia="es-AR"/>
              </w:rPr>
            </w:pPr>
          </w:p>
        </w:tc>
      </w:tr>
      <w:tr w:rsidR="002F0310" w:rsidRPr="000B2F8E" w14:paraId="6CF57D3B" w14:textId="77777777" w:rsidTr="005172F5">
        <w:trPr>
          <w:trHeight w:val="226"/>
          <w:jc w:val="center"/>
        </w:trPr>
        <w:tc>
          <w:tcPr>
            <w:tcW w:w="4522" w:type="dxa"/>
            <w:tcBorders>
              <w:top w:val="nil"/>
              <w:left w:val="single" w:sz="8" w:space="0" w:color="auto"/>
              <w:bottom w:val="nil"/>
              <w:right w:val="single" w:sz="4" w:space="0" w:color="auto"/>
            </w:tcBorders>
            <w:shd w:val="clear" w:color="auto" w:fill="auto"/>
            <w:noWrap/>
            <w:vAlign w:val="center"/>
            <w:hideMark/>
          </w:tcPr>
          <w:p w14:paraId="7C26DAB7"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-Activos financieros entregados en garantía</w:t>
            </w:r>
          </w:p>
        </w:tc>
        <w:tc>
          <w:tcPr>
            <w:tcW w:w="1204" w:type="dxa"/>
            <w:tcBorders>
              <w:top w:val="nil"/>
              <w:left w:val="nil"/>
              <w:bottom w:val="nil"/>
              <w:right w:val="single" w:sz="4" w:space="0" w:color="auto"/>
            </w:tcBorders>
            <w:shd w:val="clear" w:color="auto" w:fill="auto"/>
            <w:noWrap/>
            <w:vAlign w:val="bottom"/>
          </w:tcPr>
          <w:p w14:paraId="79A18B33" w14:textId="1AE991BE"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204.350 </w:t>
            </w:r>
          </w:p>
        </w:tc>
        <w:tc>
          <w:tcPr>
            <w:tcW w:w="1094" w:type="dxa"/>
            <w:tcBorders>
              <w:top w:val="nil"/>
              <w:left w:val="nil"/>
              <w:bottom w:val="nil"/>
              <w:right w:val="single" w:sz="4" w:space="0" w:color="auto"/>
            </w:tcBorders>
            <w:shd w:val="clear" w:color="auto" w:fill="auto"/>
            <w:vAlign w:val="bottom"/>
          </w:tcPr>
          <w:p w14:paraId="456612F2" w14:textId="573207FB"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204.350 </w:t>
            </w:r>
          </w:p>
        </w:tc>
        <w:tc>
          <w:tcPr>
            <w:tcW w:w="196" w:type="dxa"/>
            <w:tcBorders>
              <w:top w:val="nil"/>
              <w:left w:val="nil"/>
              <w:bottom w:val="nil"/>
              <w:right w:val="single" w:sz="4" w:space="0" w:color="auto"/>
            </w:tcBorders>
            <w:shd w:val="clear" w:color="auto" w:fill="auto"/>
            <w:vAlign w:val="bottom"/>
          </w:tcPr>
          <w:p w14:paraId="77F1ABA5" w14:textId="00FAE715" w:rsidR="002F0310" w:rsidRPr="00BB2CC9" w:rsidRDefault="002F0310" w:rsidP="002F0310">
            <w:pPr>
              <w:jc w:val="right"/>
              <w:rPr>
                <w:rFonts w:ascii="Arial" w:hAnsi="Arial" w:cs="Arial"/>
                <w:color w:val="000000"/>
                <w:sz w:val="16"/>
                <w:szCs w:val="16"/>
                <w:lang w:eastAsia="es-AR"/>
              </w:rPr>
            </w:pPr>
          </w:p>
        </w:tc>
        <w:tc>
          <w:tcPr>
            <w:tcW w:w="1000" w:type="dxa"/>
            <w:tcBorders>
              <w:top w:val="nil"/>
              <w:left w:val="nil"/>
              <w:bottom w:val="nil"/>
              <w:right w:val="single" w:sz="4" w:space="0" w:color="auto"/>
            </w:tcBorders>
            <w:shd w:val="clear" w:color="auto" w:fill="auto"/>
            <w:vAlign w:val="bottom"/>
          </w:tcPr>
          <w:p w14:paraId="0D52E210" w14:textId="2632CE39"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204.350 </w:t>
            </w:r>
          </w:p>
        </w:tc>
        <w:tc>
          <w:tcPr>
            <w:tcW w:w="1056" w:type="dxa"/>
            <w:tcBorders>
              <w:top w:val="nil"/>
              <w:left w:val="nil"/>
              <w:bottom w:val="nil"/>
              <w:right w:val="single" w:sz="4" w:space="0" w:color="auto"/>
            </w:tcBorders>
            <w:shd w:val="clear" w:color="auto" w:fill="auto"/>
            <w:vAlign w:val="bottom"/>
          </w:tcPr>
          <w:p w14:paraId="3FB742E0" w14:textId="061E38AD" w:rsidR="002F0310" w:rsidRPr="002F0310" w:rsidRDefault="002F0310" w:rsidP="002F0310">
            <w:pPr>
              <w:jc w:val="right"/>
              <w:rPr>
                <w:rFonts w:ascii="Arial" w:hAnsi="Arial" w:cs="Arial"/>
                <w:color w:val="000000"/>
                <w:sz w:val="16"/>
                <w:szCs w:val="16"/>
                <w:lang w:eastAsia="es-AR"/>
              </w:rPr>
            </w:pPr>
          </w:p>
        </w:tc>
        <w:tc>
          <w:tcPr>
            <w:tcW w:w="1094" w:type="dxa"/>
            <w:tcBorders>
              <w:top w:val="nil"/>
              <w:left w:val="nil"/>
              <w:bottom w:val="nil"/>
              <w:right w:val="single" w:sz="8" w:space="0" w:color="auto"/>
            </w:tcBorders>
            <w:shd w:val="clear" w:color="auto" w:fill="auto"/>
            <w:vAlign w:val="bottom"/>
          </w:tcPr>
          <w:p w14:paraId="748D54A7" w14:textId="507101C4" w:rsidR="002F0310" w:rsidRPr="002F0310" w:rsidRDefault="002F0310" w:rsidP="002F0310">
            <w:pPr>
              <w:jc w:val="right"/>
              <w:rPr>
                <w:rFonts w:ascii="Arial" w:hAnsi="Arial" w:cs="Arial"/>
                <w:color w:val="000000"/>
                <w:sz w:val="16"/>
                <w:szCs w:val="16"/>
                <w:lang w:eastAsia="es-AR"/>
              </w:rPr>
            </w:pPr>
          </w:p>
        </w:tc>
      </w:tr>
      <w:tr w:rsidR="002F0310" w:rsidRPr="000B2F8E" w14:paraId="5E43508B" w14:textId="77777777" w:rsidTr="002E1AF6">
        <w:trPr>
          <w:trHeight w:val="60"/>
          <w:jc w:val="center"/>
        </w:trPr>
        <w:tc>
          <w:tcPr>
            <w:tcW w:w="452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0D2364C" w14:textId="77777777" w:rsidR="002F0310" w:rsidRPr="00613EB0" w:rsidRDefault="002F0310" w:rsidP="002F0310">
            <w:pPr>
              <w:rPr>
                <w:rFonts w:ascii="Arial" w:hAnsi="Arial" w:cs="Arial"/>
                <w:b/>
                <w:color w:val="000000"/>
                <w:sz w:val="16"/>
                <w:szCs w:val="16"/>
                <w:lang w:eastAsia="es-AR"/>
              </w:rPr>
            </w:pPr>
          </w:p>
        </w:tc>
        <w:tc>
          <w:tcPr>
            <w:tcW w:w="1204" w:type="dxa"/>
            <w:tcBorders>
              <w:top w:val="single" w:sz="8" w:space="0" w:color="auto"/>
              <w:left w:val="nil"/>
              <w:bottom w:val="single" w:sz="8" w:space="0" w:color="auto"/>
              <w:right w:val="single" w:sz="4" w:space="0" w:color="auto"/>
            </w:tcBorders>
            <w:shd w:val="clear" w:color="auto" w:fill="auto"/>
            <w:noWrap/>
            <w:vAlign w:val="bottom"/>
          </w:tcPr>
          <w:p w14:paraId="3B79D0CF" w14:textId="18AD6FC9" w:rsidR="002F0310" w:rsidRPr="002F0310" w:rsidRDefault="002F0310" w:rsidP="002F0310">
            <w:pPr>
              <w:jc w:val="right"/>
              <w:rPr>
                <w:rFonts w:ascii="Arial" w:hAnsi="Arial" w:cs="Arial"/>
                <w:b/>
                <w:bCs/>
                <w:color w:val="000000"/>
                <w:sz w:val="16"/>
                <w:szCs w:val="16"/>
                <w:lang w:eastAsia="es-AR"/>
              </w:rPr>
            </w:pPr>
            <w:r w:rsidRPr="002F0310">
              <w:rPr>
                <w:rFonts w:ascii="Arial" w:hAnsi="Arial" w:cs="Arial"/>
                <w:b/>
                <w:sz w:val="16"/>
                <w:szCs w:val="16"/>
              </w:rPr>
              <w:t xml:space="preserve"> 128.987.733 </w:t>
            </w:r>
          </w:p>
        </w:tc>
        <w:tc>
          <w:tcPr>
            <w:tcW w:w="1094" w:type="dxa"/>
            <w:tcBorders>
              <w:top w:val="single" w:sz="8" w:space="0" w:color="auto"/>
              <w:left w:val="nil"/>
              <w:bottom w:val="single" w:sz="8" w:space="0" w:color="auto"/>
              <w:right w:val="single" w:sz="4" w:space="0" w:color="auto"/>
            </w:tcBorders>
            <w:shd w:val="clear" w:color="auto" w:fill="auto"/>
            <w:noWrap/>
            <w:vAlign w:val="bottom"/>
          </w:tcPr>
          <w:p w14:paraId="4B4C6ED0" w14:textId="20679F1A" w:rsidR="002F0310" w:rsidRPr="002F0310" w:rsidRDefault="002F0310" w:rsidP="005172F5">
            <w:pPr>
              <w:rPr>
                <w:rFonts w:ascii="Arial" w:hAnsi="Arial" w:cs="Arial"/>
                <w:b/>
                <w:bCs/>
                <w:color w:val="000000"/>
                <w:sz w:val="16"/>
                <w:szCs w:val="16"/>
                <w:lang w:eastAsia="es-AR"/>
              </w:rPr>
            </w:pPr>
            <w:r w:rsidRPr="002F0310">
              <w:rPr>
                <w:rFonts w:ascii="Arial" w:hAnsi="Arial" w:cs="Arial"/>
                <w:b/>
                <w:sz w:val="16"/>
                <w:szCs w:val="16"/>
              </w:rPr>
              <w:t>115.855.62</w:t>
            </w:r>
            <w:r w:rsidR="00E104CA">
              <w:rPr>
                <w:rFonts w:ascii="Arial" w:hAnsi="Arial" w:cs="Arial"/>
                <w:b/>
                <w:sz w:val="16"/>
                <w:szCs w:val="16"/>
              </w:rPr>
              <w:t>1</w:t>
            </w:r>
            <w:r w:rsidRPr="002F0310">
              <w:rPr>
                <w:rFonts w:ascii="Arial" w:hAnsi="Arial" w:cs="Arial"/>
                <w:b/>
                <w:sz w:val="16"/>
                <w:szCs w:val="16"/>
              </w:rPr>
              <w:t xml:space="preserve"> </w:t>
            </w:r>
          </w:p>
        </w:tc>
        <w:tc>
          <w:tcPr>
            <w:tcW w:w="196" w:type="dxa"/>
            <w:tcBorders>
              <w:top w:val="single" w:sz="8" w:space="0" w:color="auto"/>
              <w:left w:val="nil"/>
              <w:bottom w:val="single" w:sz="8" w:space="0" w:color="auto"/>
              <w:right w:val="single" w:sz="4" w:space="0" w:color="auto"/>
            </w:tcBorders>
            <w:shd w:val="clear" w:color="auto" w:fill="auto"/>
            <w:noWrap/>
            <w:vAlign w:val="bottom"/>
          </w:tcPr>
          <w:p w14:paraId="4E4404B1" w14:textId="065A3495" w:rsidR="002F0310" w:rsidRPr="002F0310" w:rsidRDefault="002F0310" w:rsidP="002F0310">
            <w:pPr>
              <w:jc w:val="right"/>
              <w:rPr>
                <w:rFonts w:ascii="Arial" w:hAnsi="Arial" w:cs="Arial"/>
                <w:b/>
                <w:bCs/>
                <w:color w:val="000000"/>
                <w:sz w:val="16"/>
                <w:szCs w:val="16"/>
                <w:lang w:eastAsia="es-AR"/>
              </w:rPr>
            </w:pPr>
          </w:p>
        </w:tc>
        <w:tc>
          <w:tcPr>
            <w:tcW w:w="1000" w:type="dxa"/>
            <w:tcBorders>
              <w:top w:val="single" w:sz="8" w:space="0" w:color="auto"/>
              <w:left w:val="nil"/>
              <w:bottom w:val="single" w:sz="8" w:space="0" w:color="auto"/>
              <w:right w:val="single" w:sz="4" w:space="0" w:color="auto"/>
            </w:tcBorders>
            <w:shd w:val="clear" w:color="auto" w:fill="auto"/>
            <w:noWrap/>
            <w:vAlign w:val="bottom"/>
          </w:tcPr>
          <w:p w14:paraId="2274E00E" w14:textId="1171EB45" w:rsidR="002F0310" w:rsidRPr="002F0310" w:rsidRDefault="002F0310" w:rsidP="002F0310">
            <w:pPr>
              <w:jc w:val="right"/>
              <w:rPr>
                <w:rFonts w:ascii="Arial" w:hAnsi="Arial" w:cs="Arial"/>
                <w:b/>
                <w:bCs/>
                <w:color w:val="000000"/>
                <w:sz w:val="16"/>
                <w:szCs w:val="16"/>
                <w:lang w:val="es-ES_tradnl" w:eastAsia="es-AR"/>
              </w:rPr>
            </w:pPr>
            <w:r w:rsidRPr="002F0310">
              <w:rPr>
                <w:rFonts w:ascii="Arial" w:hAnsi="Arial" w:cs="Arial"/>
                <w:b/>
                <w:sz w:val="16"/>
                <w:szCs w:val="16"/>
              </w:rPr>
              <w:t xml:space="preserve"> 39.327.087 </w:t>
            </w:r>
          </w:p>
        </w:tc>
        <w:tc>
          <w:tcPr>
            <w:tcW w:w="1056" w:type="dxa"/>
            <w:tcBorders>
              <w:top w:val="single" w:sz="8" w:space="0" w:color="auto"/>
              <w:left w:val="nil"/>
              <w:bottom w:val="single" w:sz="8" w:space="0" w:color="auto"/>
              <w:right w:val="single" w:sz="4" w:space="0" w:color="auto"/>
            </w:tcBorders>
            <w:shd w:val="clear" w:color="auto" w:fill="auto"/>
            <w:noWrap/>
            <w:vAlign w:val="bottom"/>
          </w:tcPr>
          <w:p w14:paraId="78C4462F" w14:textId="7F826FF3" w:rsidR="002F0310" w:rsidRPr="002F0310" w:rsidRDefault="002F0310" w:rsidP="002F0310">
            <w:pPr>
              <w:jc w:val="right"/>
              <w:rPr>
                <w:rFonts w:ascii="Arial" w:hAnsi="Arial" w:cs="Arial"/>
                <w:b/>
                <w:bCs/>
                <w:color w:val="000000"/>
                <w:sz w:val="16"/>
                <w:szCs w:val="16"/>
                <w:lang w:eastAsia="es-AR"/>
              </w:rPr>
            </w:pPr>
            <w:r w:rsidRPr="002F0310">
              <w:rPr>
                <w:rFonts w:ascii="Arial" w:hAnsi="Arial" w:cs="Arial"/>
                <w:b/>
                <w:sz w:val="16"/>
                <w:szCs w:val="16"/>
              </w:rPr>
              <w:t xml:space="preserve"> -   </w:t>
            </w:r>
          </w:p>
        </w:tc>
        <w:tc>
          <w:tcPr>
            <w:tcW w:w="1094" w:type="dxa"/>
            <w:tcBorders>
              <w:top w:val="single" w:sz="8" w:space="0" w:color="auto"/>
              <w:left w:val="nil"/>
              <w:bottom w:val="single" w:sz="8" w:space="0" w:color="auto"/>
              <w:right w:val="single" w:sz="8" w:space="0" w:color="auto"/>
            </w:tcBorders>
            <w:shd w:val="clear" w:color="auto" w:fill="auto"/>
            <w:noWrap/>
            <w:vAlign w:val="bottom"/>
          </w:tcPr>
          <w:p w14:paraId="1CC575C2" w14:textId="0BF44BD1" w:rsidR="002F0310" w:rsidRPr="002F0310" w:rsidRDefault="002F0310" w:rsidP="002F0310">
            <w:pPr>
              <w:jc w:val="right"/>
              <w:rPr>
                <w:rFonts w:ascii="Arial" w:hAnsi="Arial" w:cs="Arial"/>
                <w:b/>
                <w:bCs/>
                <w:color w:val="000000"/>
                <w:sz w:val="16"/>
                <w:szCs w:val="16"/>
                <w:lang w:eastAsia="es-AR"/>
              </w:rPr>
            </w:pPr>
            <w:r w:rsidRPr="002F0310">
              <w:rPr>
                <w:rFonts w:ascii="Arial" w:hAnsi="Arial" w:cs="Arial"/>
                <w:b/>
                <w:sz w:val="16"/>
                <w:szCs w:val="16"/>
              </w:rPr>
              <w:t xml:space="preserve"> 76.528.534 </w:t>
            </w:r>
          </w:p>
        </w:tc>
      </w:tr>
      <w:tr w:rsidR="00953E42" w:rsidRPr="00C81C97" w14:paraId="5F7F29FF" w14:textId="77777777" w:rsidTr="002E1AF6">
        <w:trPr>
          <w:trHeight w:val="215"/>
          <w:jc w:val="center"/>
        </w:trPr>
        <w:tc>
          <w:tcPr>
            <w:tcW w:w="4522" w:type="dxa"/>
            <w:tcBorders>
              <w:top w:val="single" w:sz="8" w:space="0" w:color="auto"/>
              <w:left w:val="single" w:sz="8" w:space="0" w:color="auto"/>
              <w:bottom w:val="single" w:sz="4" w:space="0" w:color="auto"/>
              <w:right w:val="nil"/>
            </w:tcBorders>
            <w:shd w:val="clear" w:color="auto" w:fill="auto"/>
            <w:noWrap/>
            <w:vAlign w:val="center"/>
            <w:hideMark/>
          </w:tcPr>
          <w:p w14:paraId="5775BFC2" w14:textId="77777777" w:rsidR="00953E42" w:rsidRPr="00613EB0" w:rsidRDefault="00953E42" w:rsidP="00953E42">
            <w:pPr>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204" w:type="dxa"/>
            <w:tcBorders>
              <w:top w:val="single" w:sz="8" w:space="0" w:color="auto"/>
              <w:left w:val="nil"/>
              <w:bottom w:val="single" w:sz="4" w:space="0" w:color="auto"/>
              <w:right w:val="nil"/>
            </w:tcBorders>
            <w:shd w:val="clear" w:color="auto" w:fill="auto"/>
            <w:noWrap/>
            <w:vAlign w:val="bottom"/>
          </w:tcPr>
          <w:p w14:paraId="5B4A5875" w14:textId="77777777" w:rsidR="00953E42" w:rsidRPr="00C81C97" w:rsidRDefault="00953E42">
            <w:pPr>
              <w:jc w:val="right"/>
              <w:rPr>
                <w:rFonts w:ascii="Arial" w:hAnsi="Arial" w:cs="Arial"/>
                <w:b/>
                <w:bCs/>
                <w:i/>
                <w:iCs/>
                <w:color w:val="000000"/>
                <w:sz w:val="16"/>
                <w:szCs w:val="16"/>
                <w:lang w:eastAsia="es-AR"/>
              </w:rPr>
            </w:pPr>
          </w:p>
        </w:tc>
        <w:tc>
          <w:tcPr>
            <w:tcW w:w="1094" w:type="dxa"/>
            <w:tcBorders>
              <w:top w:val="single" w:sz="8" w:space="0" w:color="auto"/>
              <w:left w:val="nil"/>
              <w:bottom w:val="single" w:sz="4" w:space="0" w:color="auto"/>
              <w:right w:val="nil"/>
            </w:tcBorders>
            <w:shd w:val="clear" w:color="auto" w:fill="auto"/>
            <w:vAlign w:val="bottom"/>
          </w:tcPr>
          <w:p w14:paraId="4E305852" w14:textId="3C681DF0" w:rsidR="00953E42" w:rsidRPr="00C81C97" w:rsidRDefault="00953E42">
            <w:pPr>
              <w:jc w:val="right"/>
              <w:rPr>
                <w:rFonts w:ascii="Arial" w:hAnsi="Arial" w:cs="Arial"/>
                <w:b/>
                <w:bCs/>
                <w:i/>
                <w:iCs/>
                <w:color w:val="000000"/>
                <w:sz w:val="16"/>
                <w:szCs w:val="16"/>
                <w:lang w:eastAsia="es-AR"/>
              </w:rPr>
            </w:pPr>
          </w:p>
        </w:tc>
        <w:tc>
          <w:tcPr>
            <w:tcW w:w="196" w:type="dxa"/>
            <w:tcBorders>
              <w:top w:val="single" w:sz="8" w:space="0" w:color="auto"/>
              <w:left w:val="nil"/>
              <w:bottom w:val="single" w:sz="4" w:space="0" w:color="auto"/>
              <w:right w:val="nil"/>
            </w:tcBorders>
            <w:shd w:val="clear" w:color="auto" w:fill="auto"/>
            <w:vAlign w:val="bottom"/>
          </w:tcPr>
          <w:p w14:paraId="2FB91722" w14:textId="48A9FD52" w:rsidR="00953E42" w:rsidRPr="00613EB0" w:rsidRDefault="00953E42">
            <w:pPr>
              <w:jc w:val="right"/>
              <w:rPr>
                <w:rFonts w:ascii="Arial" w:hAnsi="Arial" w:cs="Arial"/>
                <w:b/>
                <w:bCs/>
                <w:i/>
                <w:iCs/>
                <w:color w:val="000000"/>
                <w:sz w:val="16"/>
                <w:szCs w:val="16"/>
                <w:lang w:eastAsia="es-AR"/>
              </w:rPr>
            </w:pPr>
          </w:p>
        </w:tc>
        <w:tc>
          <w:tcPr>
            <w:tcW w:w="1000" w:type="dxa"/>
            <w:tcBorders>
              <w:top w:val="single" w:sz="8" w:space="0" w:color="auto"/>
              <w:left w:val="nil"/>
              <w:bottom w:val="single" w:sz="4" w:space="0" w:color="auto"/>
              <w:right w:val="nil"/>
            </w:tcBorders>
            <w:shd w:val="clear" w:color="auto" w:fill="auto"/>
            <w:vAlign w:val="bottom"/>
          </w:tcPr>
          <w:p w14:paraId="6AB948EB" w14:textId="12D3211C" w:rsidR="00953E42" w:rsidRPr="00C81C97" w:rsidRDefault="00953E42">
            <w:pPr>
              <w:jc w:val="right"/>
              <w:rPr>
                <w:rFonts w:ascii="Arial" w:hAnsi="Arial" w:cs="Arial"/>
                <w:b/>
                <w:bCs/>
                <w:i/>
                <w:iCs/>
                <w:color w:val="000000"/>
                <w:sz w:val="16"/>
                <w:szCs w:val="16"/>
                <w:lang w:eastAsia="es-AR"/>
              </w:rPr>
            </w:pPr>
          </w:p>
        </w:tc>
        <w:tc>
          <w:tcPr>
            <w:tcW w:w="1056" w:type="dxa"/>
            <w:tcBorders>
              <w:top w:val="single" w:sz="8" w:space="0" w:color="auto"/>
              <w:left w:val="nil"/>
              <w:bottom w:val="single" w:sz="4" w:space="0" w:color="auto"/>
              <w:right w:val="nil"/>
            </w:tcBorders>
            <w:shd w:val="clear" w:color="auto" w:fill="auto"/>
            <w:vAlign w:val="bottom"/>
          </w:tcPr>
          <w:p w14:paraId="612F49D8" w14:textId="5A3A8A29" w:rsidR="00953E42" w:rsidRPr="00C81C97" w:rsidRDefault="00953E42">
            <w:pPr>
              <w:jc w:val="right"/>
              <w:rPr>
                <w:rFonts w:ascii="Arial" w:hAnsi="Arial" w:cs="Arial"/>
                <w:b/>
                <w:bCs/>
                <w:i/>
                <w:iCs/>
                <w:color w:val="000000"/>
                <w:sz w:val="16"/>
                <w:szCs w:val="16"/>
                <w:lang w:eastAsia="es-AR"/>
              </w:rPr>
            </w:pPr>
          </w:p>
        </w:tc>
        <w:tc>
          <w:tcPr>
            <w:tcW w:w="1094" w:type="dxa"/>
            <w:tcBorders>
              <w:top w:val="single" w:sz="8" w:space="0" w:color="auto"/>
              <w:left w:val="nil"/>
              <w:bottom w:val="single" w:sz="4" w:space="0" w:color="auto"/>
              <w:right w:val="single" w:sz="8" w:space="0" w:color="auto"/>
            </w:tcBorders>
            <w:shd w:val="clear" w:color="auto" w:fill="auto"/>
            <w:vAlign w:val="bottom"/>
          </w:tcPr>
          <w:p w14:paraId="6E30C194" w14:textId="1EAFD2E6" w:rsidR="00953E42" w:rsidRPr="00C81C97" w:rsidRDefault="00953E42">
            <w:pPr>
              <w:jc w:val="right"/>
              <w:rPr>
                <w:rFonts w:ascii="Arial" w:hAnsi="Arial" w:cs="Arial"/>
                <w:b/>
                <w:bCs/>
                <w:i/>
                <w:iCs/>
                <w:color w:val="000000"/>
                <w:sz w:val="16"/>
                <w:szCs w:val="16"/>
                <w:lang w:eastAsia="es-AR"/>
              </w:rPr>
            </w:pPr>
          </w:p>
        </w:tc>
      </w:tr>
      <w:tr w:rsidR="002F0310" w:rsidRPr="000B2F8E" w14:paraId="67F6E045"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hideMark/>
          </w:tcPr>
          <w:p w14:paraId="2C7B16BF"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204" w:type="dxa"/>
            <w:tcBorders>
              <w:top w:val="nil"/>
              <w:left w:val="nil"/>
              <w:bottom w:val="single" w:sz="4" w:space="0" w:color="auto"/>
              <w:right w:val="single" w:sz="4" w:space="0" w:color="auto"/>
            </w:tcBorders>
            <w:shd w:val="clear" w:color="auto" w:fill="auto"/>
            <w:noWrap/>
            <w:vAlign w:val="bottom"/>
          </w:tcPr>
          <w:p w14:paraId="09246193" w14:textId="1FBAA1D7"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139.639.135 </w:t>
            </w:r>
          </w:p>
        </w:tc>
        <w:tc>
          <w:tcPr>
            <w:tcW w:w="1094" w:type="dxa"/>
            <w:tcBorders>
              <w:top w:val="nil"/>
              <w:left w:val="nil"/>
              <w:bottom w:val="single" w:sz="4" w:space="0" w:color="auto"/>
              <w:right w:val="single" w:sz="4" w:space="0" w:color="auto"/>
            </w:tcBorders>
            <w:shd w:val="clear" w:color="auto" w:fill="auto"/>
            <w:vAlign w:val="bottom"/>
          </w:tcPr>
          <w:p w14:paraId="53C0031E" w14:textId="78A777AF"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138.124.117 </w:t>
            </w:r>
          </w:p>
        </w:tc>
        <w:tc>
          <w:tcPr>
            <w:tcW w:w="196" w:type="dxa"/>
            <w:tcBorders>
              <w:top w:val="nil"/>
              <w:left w:val="nil"/>
              <w:bottom w:val="single" w:sz="4" w:space="0" w:color="auto"/>
              <w:right w:val="single" w:sz="4" w:space="0" w:color="auto"/>
            </w:tcBorders>
            <w:shd w:val="clear" w:color="auto" w:fill="auto"/>
            <w:vAlign w:val="bottom"/>
          </w:tcPr>
          <w:p w14:paraId="08447104" w14:textId="0BE15184" w:rsidR="002F0310" w:rsidRPr="002F0310"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44B05522" w14:textId="78EDC1A8"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56" w:type="dxa"/>
            <w:tcBorders>
              <w:top w:val="nil"/>
              <w:left w:val="nil"/>
              <w:bottom w:val="single" w:sz="4" w:space="0" w:color="auto"/>
              <w:right w:val="single" w:sz="4" w:space="0" w:color="auto"/>
            </w:tcBorders>
            <w:shd w:val="clear" w:color="auto" w:fill="auto"/>
            <w:noWrap/>
            <w:vAlign w:val="bottom"/>
          </w:tcPr>
          <w:p w14:paraId="3BBED969" w14:textId="18DA936E"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94" w:type="dxa"/>
            <w:tcBorders>
              <w:top w:val="nil"/>
              <w:left w:val="nil"/>
              <w:bottom w:val="single" w:sz="4" w:space="0" w:color="auto"/>
              <w:right w:val="single" w:sz="8" w:space="0" w:color="auto"/>
            </w:tcBorders>
            <w:shd w:val="clear" w:color="auto" w:fill="auto"/>
            <w:noWrap/>
            <w:vAlign w:val="bottom"/>
          </w:tcPr>
          <w:p w14:paraId="23A765BE" w14:textId="5AA4E389"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138.124.117 </w:t>
            </w:r>
          </w:p>
        </w:tc>
      </w:tr>
      <w:tr w:rsidR="002F0310" w:rsidRPr="000B2F8E" w14:paraId="6CB0F092"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tcPr>
          <w:p w14:paraId="06F3946F" w14:textId="6C15BDA8" w:rsidR="002F0310" w:rsidRPr="00613EB0" w:rsidRDefault="002F0310" w:rsidP="002F0310">
            <w:pPr>
              <w:rPr>
                <w:rFonts w:ascii="Arial" w:hAnsi="Arial" w:cs="Arial"/>
                <w:color w:val="000000"/>
                <w:sz w:val="16"/>
                <w:szCs w:val="16"/>
                <w:lang w:eastAsia="es-AR"/>
              </w:rPr>
            </w:pPr>
            <w:r w:rsidRPr="00953E42">
              <w:rPr>
                <w:rFonts w:ascii="Arial" w:hAnsi="Arial" w:cs="Arial"/>
                <w:color w:val="000000"/>
                <w:sz w:val="16"/>
                <w:szCs w:val="16"/>
                <w:lang w:eastAsia="es-AR"/>
              </w:rPr>
              <w:t>- Operaciones de pase</w:t>
            </w:r>
          </w:p>
        </w:tc>
        <w:tc>
          <w:tcPr>
            <w:tcW w:w="1204" w:type="dxa"/>
            <w:tcBorders>
              <w:top w:val="nil"/>
              <w:left w:val="nil"/>
              <w:bottom w:val="single" w:sz="4" w:space="0" w:color="auto"/>
              <w:right w:val="single" w:sz="4" w:space="0" w:color="auto"/>
            </w:tcBorders>
            <w:shd w:val="clear" w:color="auto" w:fill="auto"/>
            <w:noWrap/>
            <w:vAlign w:val="bottom"/>
          </w:tcPr>
          <w:p w14:paraId="4992232A" w14:textId="7007412E" w:rsidR="002F0310" w:rsidRPr="002F0310" w:rsidRDefault="002F0310" w:rsidP="002F0310">
            <w:pPr>
              <w:jc w:val="right"/>
              <w:rPr>
                <w:rFonts w:ascii="Arial" w:hAnsi="Arial" w:cs="Arial"/>
                <w:sz w:val="16"/>
                <w:szCs w:val="16"/>
              </w:rPr>
            </w:pPr>
            <w:r w:rsidRPr="002F0310">
              <w:rPr>
                <w:rFonts w:ascii="Arial" w:hAnsi="Arial" w:cs="Arial"/>
                <w:sz w:val="16"/>
                <w:szCs w:val="16"/>
              </w:rPr>
              <w:t xml:space="preserve"> 269.910 </w:t>
            </w:r>
          </w:p>
        </w:tc>
        <w:tc>
          <w:tcPr>
            <w:tcW w:w="1094" w:type="dxa"/>
            <w:tcBorders>
              <w:top w:val="nil"/>
              <w:left w:val="nil"/>
              <w:bottom w:val="single" w:sz="4" w:space="0" w:color="auto"/>
              <w:right w:val="single" w:sz="4" w:space="0" w:color="auto"/>
            </w:tcBorders>
            <w:shd w:val="clear" w:color="auto" w:fill="auto"/>
            <w:vAlign w:val="bottom"/>
          </w:tcPr>
          <w:p w14:paraId="065BEEFC" w14:textId="3491E419" w:rsidR="002F0310" w:rsidRPr="002F0310" w:rsidRDefault="002F0310" w:rsidP="002F0310">
            <w:pPr>
              <w:jc w:val="right"/>
              <w:rPr>
                <w:rFonts w:ascii="Arial" w:hAnsi="Arial" w:cs="Arial"/>
                <w:color w:val="000000"/>
                <w:sz w:val="16"/>
                <w:szCs w:val="16"/>
              </w:rPr>
            </w:pPr>
            <w:r w:rsidRPr="002F0310">
              <w:rPr>
                <w:rFonts w:ascii="Arial" w:hAnsi="Arial" w:cs="Arial"/>
                <w:sz w:val="16"/>
                <w:szCs w:val="16"/>
              </w:rPr>
              <w:t xml:space="preserve"> 269.910 </w:t>
            </w:r>
          </w:p>
        </w:tc>
        <w:tc>
          <w:tcPr>
            <w:tcW w:w="196" w:type="dxa"/>
            <w:tcBorders>
              <w:top w:val="nil"/>
              <w:left w:val="nil"/>
              <w:bottom w:val="single" w:sz="4" w:space="0" w:color="auto"/>
              <w:right w:val="single" w:sz="4" w:space="0" w:color="auto"/>
            </w:tcBorders>
            <w:shd w:val="clear" w:color="auto" w:fill="auto"/>
            <w:vAlign w:val="bottom"/>
          </w:tcPr>
          <w:p w14:paraId="0FEBDC2B" w14:textId="42A713A3" w:rsidR="002F0310" w:rsidRPr="002F0310"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666A0DF3" w14:textId="32B41C6F" w:rsidR="002F0310" w:rsidRPr="002F0310" w:rsidRDefault="002F0310" w:rsidP="002F0310">
            <w:pPr>
              <w:jc w:val="right"/>
              <w:rPr>
                <w:rFonts w:ascii="Arial" w:hAnsi="Arial" w:cs="Arial"/>
                <w:color w:val="000000"/>
                <w:sz w:val="16"/>
                <w:szCs w:val="16"/>
              </w:rPr>
            </w:pPr>
            <w:r w:rsidRPr="002F0310">
              <w:rPr>
                <w:rFonts w:ascii="Arial" w:hAnsi="Arial" w:cs="Arial"/>
                <w:sz w:val="16"/>
                <w:szCs w:val="16"/>
              </w:rPr>
              <w:t xml:space="preserve"> 269.910 </w:t>
            </w:r>
          </w:p>
        </w:tc>
        <w:tc>
          <w:tcPr>
            <w:tcW w:w="1056" w:type="dxa"/>
            <w:tcBorders>
              <w:top w:val="nil"/>
              <w:left w:val="nil"/>
              <w:bottom w:val="single" w:sz="4" w:space="0" w:color="auto"/>
              <w:right w:val="single" w:sz="4" w:space="0" w:color="auto"/>
            </w:tcBorders>
            <w:shd w:val="clear" w:color="auto" w:fill="auto"/>
            <w:noWrap/>
            <w:vAlign w:val="bottom"/>
          </w:tcPr>
          <w:p w14:paraId="0DA60330" w14:textId="42B3A28C" w:rsidR="002F0310" w:rsidRPr="002F0310" w:rsidRDefault="002F0310" w:rsidP="002F0310">
            <w:pPr>
              <w:jc w:val="right"/>
              <w:rPr>
                <w:rFonts w:ascii="Arial" w:hAnsi="Arial" w:cs="Arial"/>
                <w:color w:val="000000"/>
                <w:sz w:val="16"/>
                <w:szCs w:val="16"/>
              </w:rPr>
            </w:pPr>
          </w:p>
        </w:tc>
        <w:tc>
          <w:tcPr>
            <w:tcW w:w="1094" w:type="dxa"/>
            <w:tcBorders>
              <w:top w:val="nil"/>
              <w:left w:val="nil"/>
              <w:bottom w:val="single" w:sz="4" w:space="0" w:color="auto"/>
              <w:right w:val="single" w:sz="8" w:space="0" w:color="auto"/>
            </w:tcBorders>
            <w:shd w:val="clear" w:color="auto" w:fill="auto"/>
            <w:noWrap/>
            <w:vAlign w:val="bottom"/>
          </w:tcPr>
          <w:p w14:paraId="34D50F19" w14:textId="006FA5A3" w:rsidR="002F0310" w:rsidRPr="002F0310" w:rsidRDefault="002F0310" w:rsidP="002F0310">
            <w:pPr>
              <w:jc w:val="right"/>
              <w:rPr>
                <w:rFonts w:ascii="Arial" w:hAnsi="Arial" w:cs="Arial"/>
                <w:color w:val="000000"/>
                <w:sz w:val="16"/>
                <w:szCs w:val="16"/>
              </w:rPr>
            </w:pPr>
          </w:p>
        </w:tc>
      </w:tr>
      <w:tr w:rsidR="002F0310" w:rsidRPr="000B2F8E" w14:paraId="28C0FFAF" w14:textId="77777777" w:rsidTr="005172F5">
        <w:trPr>
          <w:trHeight w:val="215"/>
          <w:jc w:val="center"/>
        </w:trPr>
        <w:tc>
          <w:tcPr>
            <w:tcW w:w="452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506A464"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-Otros pasivos financieros</w:t>
            </w:r>
          </w:p>
        </w:tc>
        <w:tc>
          <w:tcPr>
            <w:tcW w:w="1204" w:type="dxa"/>
            <w:tcBorders>
              <w:top w:val="single" w:sz="4" w:space="0" w:color="auto"/>
              <w:left w:val="nil"/>
              <w:bottom w:val="single" w:sz="4" w:space="0" w:color="auto"/>
              <w:right w:val="single" w:sz="4" w:space="0" w:color="auto"/>
            </w:tcBorders>
            <w:shd w:val="clear" w:color="auto" w:fill="auto"/>
            <w:noWrap/>
            <w:vAlign w:val="bottom"/>
          </w:tcPr>
          <w:p w14:paraId="6ADD4453" w14:textId="7E0F1242"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637.662 </w:t>
            </w:r>
          </w:p>
        </w:tc>
        <w:tc>
          <w:tcPr>
            <w:tcW w:w="1094" w:type="dxa"/>
            <w:tcBorders>
              <w:top w:val="single" w:sz="4" w:space="0" w:color="auto"/>
              <w:left w:val="nil"/>
              <w:bottom w:val="single" w:sz="4" w:space="0" w:color="auto"/>
              <w:right w:val="single" w:sz="4" w:space="0" w:color="auto"/>
            </w:tcBorders>
            <w:shd w:val="clear" w:color="auto" w:fill="auto"/>
            <w:vAlign w:val="bottom"/>
          </w:tcPr>
          <w:p w14:paraId="4593269A" w14:textId="5E872176"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637.662 </w:t>
            </w:r>
          </w:p>
        </w:tc>
        <w:tc>
          <w:tcPr>
            <w:tcW w:w="196" w:type="dxa"/>
            <w:tcBorders>
              <w:top w:val="single" w:sz="4" w:space="0" w:color="auto"/>
              <w:left w:val="nil"/>
              <w:bottom w:val="single" w:sz="4" w:space="0" w:color="auto"/>
              <w:right w:val="single" w:sz="4" w:space="0" w:color="auto"/>
            </w:tcBorders>
            <w:shd w:val="clear" w:color="auto" w:fill="auto"/>
            <w:vAlign w:val="bottom"/>
          </w:tcPr>
          <w:p w14:paraId="393CC4ED" w14:textId="0871A084" w:rsidR="002F0310" w:rsidRPr="002F0310" w:rsidRDefault="002F0310" w:rsidP="002F0310">
            <w:pPr>
              <w:jc w:val="right"/>
              <w:rPr>
                <w:rFonts w:ascii="Arial" w:hAnsi="Arial" w:cs="Arial"/>
                <w:color w:val="000000"/>
                <w:sz w:val="16"/>
                <w:szCs w:val="16"/>
                <w:lang w:eastAsia="es-AR"/>
              </w:rPr>
            </w:pP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6B5B8FE9" w14:textId="58C3D1A6"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637.662 </w:t>
            </w:r>
          </w:p>
        </w:tc>
        <w:tc>
          <w:tcPr>
            <w:tcW w:w="1056" w:type="dxa"/>
            <w:tcBorders>
              <w:top w:val="single" w:sz="4" w:space="0" w:color="auto"/>
              <w:left w:val="nil"/>
              <w:bottom w:val="single" w:sz="4" w:space="0" w:color="auto"/>
              <w:right w:val="single" w:sz="4" w:space="0" w:color="auto"/>
            </w:tcBorders>
            <w:shd w:val="clear" w:color="auto" w:fill="auto"/>
            <w:noWrap/>
            <w:vAlign w:val="bottom"/>
          </w:tcPr>
          <w:p w14:paraId="32ACD95A" w14:textId="6B4EA006" w:rsidR="002F0310" w:rsidRPr="002F0310" w:rsidRDefault="002F0310" w:rsidP="002F0310">
            <w:pPr>
              <w:jc w:val="right"/>
              <w:rPr>
                <w:rFonts w:ascii="Arial" w:hAnsi="Arial" w:cs="Arial"/>
                <w:color w:val="000000"/>
                <w:sz w:val="16"/>
                <w:szCs w:val="16"/>
                <w:lang w:eastAsia="es-AR"/>
              </w:rPr>
            </w:pPr>
          </w:p>
        </w:tc>
        <w:tc>
          <w:tcPr>
            <w:tcW w:w="1094" w:type="dxa"/>
            <w:tcBorders>
              <w:top w:val="single" w:sz="4" w:space="0" w:color="auto"/>
              <w:left w:val="nil"/>
              <w:bottom w:val="single" w:sz="4" w:space="0" w:color="auto"/>
              <w:right w:val="single" w:sz="8" w:space="0" w:color="auto"/>
            </w:tcBorders>
            <w:shd w:val="clear" w:color="auto" w:fill="auto"/>
            <w:noWrap/>
            <w:vAlign w:val="bottom"/>
          </w:tcPr>
          <w:p w14:paraId="2C1B2757" w14:textId="425DF466" w:rsidR="002F0310" w:rsidRPr="002F0310" w:rsidRDefault="002F0310" w:rsidP="002F0310">
            <w:pPr>
              <w:jc w:val="right"/>
              <w:rPr>
                <w:rFonts w:ascii="Arial" w:hAnsi="Arial" w:cs="Arial"/>
                <w:color w:val="000000"/>
                <w:sz w:val="16"/>
                <w:szCs w:val="16"/>
                <w:lang w:eastAsia="es-AR"/>
              </w:rPr>
            </w:pPr>
          </w:p>
        </w:tc>
      </w:tr>
      <w:tr w:rsidR="002F0310" w:rsidRPr="000B2F8E" w14:paraId="7C514210"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hideMark/>
          </w:tcPr>
          <w:p w14:paraId="0F1DB691"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204" w:type="dxa"/>
            <w:tcBorders>
              <w:top w:val="nil"/>
              <w:left w:val="nil"/>
              <w:bottom w:val="single" w:sz="4" w:space="0" w:color="auto"/>
              <w:right w:val="single" w:sz="4" w:space="0" w:color="auto"/>
            </w:tcBorders>
            <w:shd w:val="clear" w:color="auto" w:fill="auto"/>
            <w:noWrap/>
            <w:vAlign w:val="bottom"/>
          </w:tcPr>
          <w:p w14:paraId="01F191ED" w14:textId="1AC24173"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8.403.633 </w:t>
            </w:r>
          </w:p>
        </w:tc>
        <w:tc>
          <w:tcPr>
            <w:tcW w:w="1094" w:type="dxa"/>
            <w:tcBorders>
              <w:top w:val="nil"/>
              <w:left w:val="nil"/>
              <w:bottom w:val="single" w:sz="4" w:space="0" w:color="auto"/>
              <w:right w:val="single" w:sz="4" w:space="0" w:color="auto"/>
            </w:tcBorders>
            <w:shd w:val="clear" w:color="auto" w:fill="auto"/>
            <w:vAlign w:val="bottom"/>
          </w:tcPr>
          <w:p w14:paraId="2B77DBE2" w14:textId="555F2F57"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7.955.818 </w:t>
            </w:r>
          </w:p>
        </w:tc>
        <w:tc>
          <w:tcPr>
            <w:tcW w:w="196" w:type="dxa"/>
            <w:tcBorders>
              <w:top w:val="nil"/>
              <w:left w:val="nil"/>
              <w:bottom w:val="single" w:sz="4" w:space="0" w:color="auto"/>
              <w:right w:val="single" w:sz="4" w:space="0" w:color="auto"/>
            </w:tcBorders>
            <w:shd w:val="clear" w:color="auto" w:fill="auto"/>
            <w:vAlign w:val="bottom"/>
          </w:tcPr>
          <w:p w14:paraId="303B3C14" w14:textId="1833BDCB" w:rsidR="002F0310" w:rsidRPr="002F0310"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6B7CA6FA" w14:textId="277B83EF"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56" w:type="dxa"/>
            <w:tcBorders>
              <w:top w:val="nil"/>
              <w:left w:val="nil"/>
              <w:bottom w:val="single" w:sz="4" w:space="0" w:color="auto"/>
              <w:right w:val="single" w:sz="4" w:space="0" w:color="auto"/>
            </w:tcBorders>
            <w:shd w:val="clear" w:color="auto" w:fill="auto"/>
            <w:noWrap/>
            <w:vAlign w:val="bottom"/>
          </w:tcPr>
          <w:p w14:paraId="281EAB40" w14:textId="1D6B5A5A"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94" w:type="dxa"/>
            <w:tcBorders>
              <w:top w:val="nil"/>
              <w:left w:val="nil"/>
              <w:bottom w:val="single" w:sz="4" w:space="0" w:color="auto"/>
              <w:right w:val="single" w:sz="8" w:space="0" w:color="auto"/>
            </w:tcBorders>
            <w:shd w:val="clear" w:color="auto" w:fill="auto"/>
            <w:noWrap/>
            <w:vAlign w:val="bottom"/>
          </w:tcPr>
          <w:p w14:paraId="3B9C756A" w14:textId="5A0D65A7"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7.955.818 </w:t>
            </w:r>
          </w:p>
        </w:tc>
      </w:tr>
      <w:tr w:rsidR="002F0310" w:rsidRPr="000B2F8E" w14:paraId="3DC7BED1" w14:textId="77777777" w:rsidTr="005172F5">
        <w:trPr>
          <w:trHeight w:val="215"/>
          <w:jc w:val="center"/>
        </w:trPr>
        <w:tc>
          <w:tcPr>
            <w:tcW w:w="4522" w:type="dxa"/>
            <w:tcBorders>
              <w:top w:val="nil"/>
              <w:left w:val="single" w:sz="8" w:space="0" w:color="auto"/>
              <w:bottom w:val="single" w:sz="4" w:space="0" w:color="auto"/>
              <w:right w:val="single" w:sz="4" w:space="0" w:color="auto"/>
            </w:tcBorders>
            <w:shd w:val="clear" w:color="auto" w:fill="auto"/>
            <w:noWrap/>
            <w:vAlign w:val="center"/>
            <w:hideMark/>
          </w:tcPr>
          <w:p w14:paraId="546068DB"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204" w:type="dxa"/>
            <w:tcBorders>
              <w:top w:val="nil"/>
              <w:left w:val="nil"/>
              <w:bottom w:val="single" w:sz="4" w:space="0" w:color="auto"/>
              <w:right w:val="single" w:sz="4" w:space="0" w:color="auto"/>
            </w:tcBorders>
            <w:shd w:val="clear" w:color="auto" w:fill="auto"/>
            <w:noWrap/>
            <w:vAlign w:val="bottom"/>
          </w:tcPr>
          <w:p w14:paraId="11A37BF1" w14:textId="2D22CCE5"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4.170.559 </w:t>
            </w:r>
          </w:p>
        </w:tc>
        <w:tc>
          <w:tcPr>
            <w:tcW w:w="1094" w:type="dxa"/>
            <w:tcBorders>
              <w:top w:val="nil"/>
              <w:left w:val="nil"/>
              <w:bottom w:val="single" w:sz="4" w:space="0" w:color="auto"/>
              <w:right w:val="single" w:sz="4" w:space="0" w:color="auto"/>
            </w:tcBorders>
            <w:shd w:val="clear" w:color="auto" w:fill="auto"/>
            <w:vAlign w:val="bottom"/>
          </w:tcPr>
          <w:p w14:paraId="47D692FC" w14:textId="4DE02DD7"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4.170.559 </w:t>
            </w:r>
          </w:p>
        </w:tc>
        <w:tc>
          <w:tcPr>
            <w:tcW w:w="196" w:type="dxa"/>
            <w:tcBorders>
              <w:top w:val="nil"/>
              <w:left w:val="nil"/>
              <w:bottom w:val="single" w:sz="4" w:space="0" w:color="auto"/>
              <w:right w:val="single" w:sz="4" w:space="0" w:color="auto"/>
            </w:tcBorders>
            <w:shd w:val="clear" w:color="auto" w:fill="auto"/>
            <w:vAlign w:val="bottom"/>
          </w:tcPr>
          <w:p w14:paraId="0DD19D80" w14:textId="7A1C3144" w:rsidR="002F0310" w:rsidRPr="002F0310" w:rsidRDefault="002F0310" w:rsidP="002F0310">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3D93E3B5" w14:textId="0A99B581"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4.170.559 </w:t>
            </w:r>
          </w:p>
        </w:tc>
        <w:tc>
          <w:tcPr>
            <w:tcW w:w="1056" w:type="dxa"/>
            <w:tcBorders>
              <w:top w:val="nil"/>
              <w:left w:val="nil"/>
              <w:bottom w:val="single" w:sz="4" w:space="0" w:color="auto"/>
              <w:right w:val="single" w:sz="4" w:space="0" w:color="auto"/>
            </w:tcBorders>
            <w:shd w:val="clear" w:color="auto" w:fill="auto"/>
            <w:noWrap/>
            <w:vAlign w:val="bottom"/>
          </w:tcPr>
          <w:p w14:paraId="6D937709" w14:textId="112B4A09"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94" w:type="dxa"/>
            <w:tcBorders>
              <w:top w:val="nil"/>
              <w:left w:val="nil"/>
              <w:bottom w:val="single" w:sz="4" w:space="0" w:color="auto"/>
              <w:right w:val="single" w:sz="8" w:space="0" w:color="auto"/>
            </w:tcBorders>
            <w:shd w:val="clear" w:color="auto" w:fill="auto"/>
            <w:noWrap/>
            <w:vAlign w:val="bottom"/>
          </w:tcPr>
          <w:p w14:paraId="4D4A7DC5" w14:textId="2E9C052D"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r>
      <w:tr w:rsidR="002F0310" w:rsidRPr="000B2F8E" w14:paraId="6F7CA7B5" w14:textId="77777777" w:rsidTr="005172F5">
        <w:trPr>
          <w:trHeight w:val="226"/>
          <w:jc w:val="center"/>
        </w:trPr>
        <w:tc>
          <w:tcPr>
            <w:tcW w:w="4522" w:type="dxa"/>
            <w:tcBorders>
              <w:top w:val="nil"/>
              <w:left w:val="single" w:sz="8" w:space="0" w:color="auto"/>
              <w:bottom w:val="nil"/>
              <w:right w:val="single" w:sz="4" w:space="0" w:color="auto"/>
            </w:tcBorders>
            <w:shd w:val="clear" w:color="auto" w:fill="auto"/>
            <w:noWrap/>
            <w:vAlign w:val="center"/>
            <w:hideMark/>
          </w:tcPr>
          <w:p w14:paraId="32F02002"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204" w:type="dxa"/>
            <w:tcBorders>
              <w:top w:val="nil"/>
              <w:left w:val="nil"/>
              <w:bottom w:val="nil"/>
              <w:right w:val="single" w:sz="4" w:space="0" w:color="auto"/>
            </w:tcBorders>
            <w:shd w:val="clear" w:color="auto" w:fill="auto"/>
            <w:noWrap/>
            <w:vAlign w:val="bottom"/>
          </w:tcPr>
          <w:p w14:paraId="4108BC87" w14:textId="650A8F4F"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1.911.457 </w:t>
            </w:r>
          </w:p>
        </w:tc>
        <w:tc>
          <w:tcPr>
            <w:tcW w:w="1094" w:type="dxa"/>
            <w:tcBorders>
              <w:top w:val="nil"/>
              <w:left w:val="nil"/>
              <w:bottom w:val="nil"/>
              <w:right w:val="single" w:sz="4" w:space="0" w:color="auto"/>
            </w:tcBorders>
            <w:shd w:val="clear" w:color="auto" w:fill="auto"/>
            <w:vAlign w:val="bottom"/>
          </w:tcPr>
          <w:p w14:paraId="07354BAE" w14:textId="6FBD6F4D"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2.243.070 </w:t>
            </w:r>
          </w:p>
        </w:tc>
        <w:tc>
          <w:tcPr>
            <w:tcW w:w="196" w:type="dxa"/>
            <w:tcBorders>
              <w:top w:val="nil"/>
              <w:left w:val="nil"/>
              <w:bottom w:val="nil"/>
              <w:right w:val="single" w:sz="4" w:space="0" w:color="auto"/>
            </w:tcBorders>
            <w:shd w:val="clear" w:color="auto" w:fill="auto"/>
            <w:vAlign w:val="bottom"/>
          </w:tcPr>
          <w:p w14:paraId="22A51460" w14:textId="184756D8" w:rsidR="002F0310" w:rsidRPr="002F0310" w:rsidRDefault="002F0310" w:rsidP="002F0310">
            <w:pPr>
              <w:jc w:val="right"/>
              <w:rPr>
                <w:rFonts w:ascii="Arial" w:hAnsi="Arial" w:cs="Arial"/>
                <w:color w:val="000000"/>
                <w:sz w:val="16"/>
                <w:szCs w:val="16"/>
                <w:lang w:eastAsia="es-AR"/>
              </w:rPr>
            </w:pPr>
          </w:p>
        </w:tc>
        <w:tc>
          <w:tcPr>
            <w:tcW w:w="1000" w:type="dxa"/>
            <w:tcBorders>
              <w:top w:val="nil"/>
              <w:left w:val="nil"/>
              <w:bottom w:val="nil"/>
              <w:right w:val="single" w:sz="4" w:space="0" w:color="auto"/>
            </w:tcBorders>
            <w:shd w:val="clear" w:color="auto" w:fill="auto"/>
            <w:noWrap/>
            <w:vAlign w:val="bottom"/>
          </w:tcPr>
          <w:p w14:paraId="320B6943" w14:textId="5C0D3274"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2.243.070 </w:t>
            </w:r>
          </w:p>
        </w:tc>
        <w:tc>
          <w:tcPr>
            <w:tcW w:w="1056" w:type="dxa"/>
            <w:tcBorders>
              <w:top w:val="nil"/>
              <w:left w:val="nil"/>
              <w:bottom w:val="nil"/>
              <w:right w:val="single" w:sz="4" w:space="0" w:color="auto"/>
            </w:tcBorders>
            <w:shd w:val="clear" w:color="auto" w:fill="auto"/>
            <w:noWrap/>
            <w:vAlign w:val="bottom"/>
          </w:tcPr>
          <w:p w14:paraId="7AD206A1" w14:textId="478EB951"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c>
          <w:tcPr>
            <w:tcW w:w="1094" w:type="dxa"/>
            <w:tcBorders>
              <w:top w:val="nil"/>
              <w:left w:val="nil"/>
              <w:bottom w:val="nil"/>
              <w:right w:val="single" w:sz="8" w:space="0" w:color="auto"/>
            </w:tcBorders>
            <w:shd w:val="clear" w:color="auto" w:fill="auto"/>
            <w:noWrap/>
            <w:vAlign w:val="bottom"/>
          </w:tcPr>
          <w:p w14:paraId="66553FC7" w14:textId="3D3AB964" w:rsidR="002F0310" w:rsidRPr="002F0310" w:rsidRDefault="002F0310" w:rsidP="002F0310">
            <w:pPr>
              <w:jc w:val="right"/>
              <w:rPr>
                <w:rFonts w:ascii="Arial" w:hAnsi="Arial" w:cs="Arial"/>
                <w:color w:val="000000"/>
                <w:sz w:val="16"/>
                <w:szCs w:val="16"/>
                <w:lang w:eastAsia="es-AR"/>
              </w:rPr>
            </w:pPr>
            <w:r w:rsidRPr="002F0310">
              <w:rPr>
                <w:rFonts w:ascii="Arial" w:hAnsi="Arial" w:cs="Arial"/>
                <w:sz w:val="16"/>
                <w:szCs w:val="16"/>
              </w:rPr>
              <w:t xml:space="preserve"> -   </w:t>
            </w:r>
          </w:p>
        </w:tc>
      </w:tr>
      <w:tr w:rsidR="002F0310" w:rsidRPr="000B2F8E" w14:paraId="322766F4" w14:textId="77777777" w:rsidTr="002E1AF6">
        <w:trPr>
          <w:trHeight w:val="60"/>
          <w:jc w:val="center"/>
        </w:trPr>
        <w:tc>
          <w:tcPr>
            <w:tcW w:w="452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C3AB29B" w14:textId="09473C57" w:rsidR="002F0310" w:rsidRPr="00613EB0" w:rsidRDefault="002F0310" w:rsidP="002F0310">
            <w:pPr>
              <w:rPr>
                <w:rFonts w:ascii="Arial" w:hAnsi="Arial" w:cs="Arial"/>
                <w:b/>
                <w:color w:val="000000"/>
                <w:sz w:val="16"/>
                <w:szCs w:val="16"/>
                <w:lang w:eastAsia="es-AR"/>
              </w:rPr>
            </w:pPr>
          </w:p>
        </w:tc>
        <w:tc>
          <w:tcPr>
            <w:tcW w:w="1204" w:type="dxa"/>
            <w:tcBorders>
              <w:top w:val="single" w:sz="8" w:space="0" w:color="auto"/>
              <w:left w:val="nil"/>
              <w:bottom w:val="single" w:sz="8" w:space="0" w:color="auto"/>
              <w:right w:val="single" w:sz="4" w:space="0" w:color="auto"/>
            </w:tcBorders>
            <w:shd w:val="clear" w:color="auto" w:fill="auto"/>
            <w:noWrap/>
            <w:vAlign w:val="bottom"/>
          </w:tcPr>
          <w:p w14:paraId="12E2B4DC" w14:textId="7DC46921" w:rsidR="002F0310" w:rsidRPr="002F0310" w:rsidRDefault="002F0310" w:rsidP="002F0310">
            <w:pPr>
              <w:jc w:val="right"/>
              <w:rPr>
                <w:rFonts w:ascii="Arial" w:hAnsi="Arial" w:cs="Arial"/>
                <w:b/>
                <w:bCs/>
                <w:color w:val="000000"/>
                <w:sz w:val="16"/>
                <w:szCs w:val="16"/>
                <w:lang w:eastAsia="es-AR"/>
              </w:rPr>
            </w:pPr>
            <w:r w:rsidRPr="002F0310">
              <w:rPr>
                <w:rFonts w:ascii="Arial" w:hAnsi="Arial" w:cs="Arial"/>
                <w:b/>
                <w:sz w:val="16"/>
                <w:szCs w:val="16"/>
              </w:rPr>
              <w:t xml:space="preserve"> 155.032.356 </w:t>
            </w:r>
          </w:p>
        </w:tc>
        <w:tc>
          <w:tcPr>
            <w:tcW w:w="1094" w:type="dxa"/>
            <w:tcBorders>
              <w:top w:val="single" w:sz="8" w:space="0" w:color="auto"/>
              <w:left w:val="nil"/>
              <w:bottom w:val="single" w:sz="8" w:space="0" w:color="auto"/>
              <w:right w:val="single" w:sz="4" w:space="0" w:color="auto"/>
            </w:tcBorders>
            <w:shd w:val="clear" w:color="auto" w:fill="auto"/>
            <w:noWrap/>
            <w:vAlign w:val="bottom"/>
          </w:tcPr>
          <w:p w14:paraId="1E411984" w14:textId="5EE9BEBD" w:rsidR="002F0310" w:rsidRPr="002F0310" w:rsidRDefault="002F0310" w:rsidP="002F0310">
            <w:pPr>
              <w:rPr>
                <w:rFonts w:ascii="Arial" w:hAnsi="Arial" w:cs="Arial"/>
                <w:b/>
                <w:bCs/>
                <w:color w:val="000000"/>
                <w:sz w:val="16"/>
                <w:szCs w:val="16"/>
                <w:lang w:eastAsia="es-AR"/>
              </w:rPr>
            </w:pPr>
            <w:r w:rsidRPr="002F0310">
              <w:rPr>
                <w:rFonts w:ascii="Arial" w:hAnsi="Arial" w:cs="Arial"/>
                <w:b/>
                <w:sz w:val="16"/>
                <w:szCs w:val="16"/>
              </w:rPr>
              <w:t xml:space="preserve">153.401.136 </w:t>
            </w:r>
          </w:p>
        </w:tc>
        <w:tc>
          <w:tcPr>
            <w:tcW w:w="196" w:type="dxa"/>
            <w:tcBorders>
              <w:top w:val="single" w:sz="8" w:space="0" w:color="auto"/>
              <w:left w:val="nil"/>
              <w:bottom w:val="single" w:sz="8" w:space="0" w:color="auto"/>
              <w:right w:val="single" w:sz="4" w:space="0" w:color="auto"/>
            </w:tcBorders>
            <w:shd w:val="clear" w:color="auto" w:fill="auto"/>
            <w:noWrap/>
            <w:vAlign w:val="bottom"/>
          </w:tcPr>
          <w:p w14:paraId="427C9C45" w14:textId="6C3634C4" w:rsidR="002F0310" w:rsidRPr="002F0310" w:rsidRDefault="002F0310" w:rsidP="002F0310">
            <w:pPr>
              <w:jc w:val="right"/>
              <w:rPr>
                <w:rFonts w:ascii="Arial" w:hAnsi="Arial" w:cs="Arial"/>
                <w:b/>
                <w:bCs/>
                <w:color w:val="000000"/>
                <w:sz w:val="16"/>
                <w:szCs w:val="16"/>
                <w:lang w:eastAsia="es-AR"/>
              </w:rPr>
            </w:pPr>
          </w:p>
        </w:tc>
        <w:tc>
          <w:tcPr>
            <w:tcW w:w="1000" w:type="dxa"/>
            <w:tcBorders>
              <w:top w:val="single" w:sz="8" w:space="0" w:color="auto"/>
              <w:left w:val="nil"/>
              <w:bottom w:val="single" w:sz="8" w:space="0" w:color="auto"/>
              <w:right w:val="single" w:sz="4" w:space="0" w:color="auto"/>
            </w:tcBorders>
            <w:shd w:val="clear" w:color="auto" w:fill="auto"/>
            <w:noWrap/>
            <w:vAlign w:val="bottom"/>
          </w:tcPr>
          <w:p w14:paraId="4183C933" w14:textId="0B08DDC5" w:rsidR="002F0310" w:rsidRPr="002F0310" w:rsidRDefault="002F0310" w:rsidP="002F0310">
            <w:pPr>
              <w:jc w:val="right"/>
              <w:rPr>
                <w:rFonts w:ascii="Arial" w:hAnsi="Arial" w:cs="Arial"/>
                <w:b/>
                <w:bCs/>
                <w:color w:val="000000"/>
                <w:sz w:val="16"/>
                <w:szCs w:val="16"/>
                <w:lang w:eastAsia="es-AR"/>
              </w:rPr>
            </w:pPr>
            <w:r w:rsidRPr="002F0310">
              <w:rPr>
                <w:rFonts w:ascii="Arial" w:hAnsi="Arial" w:cs="Arial"/>
                <w:b/>
                <w:sz w:val="16"/>
                <w:szCs w:val="16"/>
              </w:rPr>
              <w:t xml:space="preserve"> 7.321.201 </w:t>
            </w:r>
          </w:p>
        </w:tc>
        <w:tc>
          <w:tcPr>
            <w:tcW w:w="1056" w:type="dxa"/>
            <w:tcBorders>
              <w:top w:val="single" w:sz="8" w:space="0" w:color="auto"/>
              <w:left w:val="nil"/>
              <w:bottom w:val="single" w:sz="8" w:space="0" w:color="auto"/>
              <w:right w:val="single" w:sz="4" w:space="0" w:color="auto"/>
            </w:tcBorders>
            <w:shd w:val="clear" w:color="auto" w:fill="auto"/>
            <w:noWrap/>
            <w:vAlign w:val="bottom"/>
          </w:tcPr>
          <w:p w14:paraId="77CA83F6" w14:textId="574A0289" w:rsidR="002F0310" w:rsidRPr="002F0310" w:rsidRDefault="002F0310" w:rsidP="002F0310">
            <w:pPr>
              <w:jc w:val="right"/>
              <w:rPr>
                <w:rFonts w:ascii="Arial" w:hAnsi="Arial" w:cs="Arial"/>
                <w:b/>
                <w:bCs/>
                <w:color w:val="000000"/>
                <w:sz w:val="16"/>
                <w:szCs w:val="16"/>
                <w:lang w:eastAsia="es-AR"/>
              </w:rPr>
            </w:pPr>
            <w:r w:rsidRPr="002F0310">
              <w:rPr>
                <w:rFonts w:ascii="Arial" w:hAnsi="Arial" w:cs="Arial"/>
                <w:b/>
                <w:sz w:val="16"/>
                <w:szCs w:val="16"/>
              </w:rPr>
              <w:t xml:space="preserve"> -   </w:t>
            </w:r>
          </w:p>
        </w:tc>
        <w:tc>
          <w:tcPr>
            <w:tcW w:w="1094" w:type="dxa"/>
            <w:tcBorders>
              <w:top w:val="single" w:sz="8" w:space="0" w:color="auto"/>
              <w:left w:val="nil"/>
              <w:bottom w:val="single" w:sz="8" w:space="0" w:color="auto"/>
              <w:right w:val="single" w:sz="8" w:space="0" w:color="auto"/>
            </w:tcBorders>
            <w:shd w:val="clear" w:color="auto" w:fill="auto"/>
            <w:noWrap/>
            <w:vAlign w:val="bottom"/>
          </w:tcPr>
          <w:p w14:paraId="2F357DC9" w14:textId="17ACE56A" w:rsidR="002F0310" w:rsidRPr="002F0310" w:rsidRDefault="002F0310" w:rsidP="002F0310">
            <w:pPr>
              <w:jc w:val="right"/>
              <w:rPr>
                <w:rFonts w:ascii="Arial" w:hAnsi="Arial" w:cs="Arial"/>
                <w:b/>
                <w:bCs/>
                <w:color w:val="000000"/>
                <w:sz w:val="16"/>
                <w:szCs w:val="16"/>
                <w:lang w:eastAsia="es-AR"/>
              </w:rPr>
            </w:pPr>
            <w:r w:rsidRPr="002F0310">
              <w:rPr>
                <w:rFonts w:ascii="Arial" w:hAnsi="Arial" w:cs="Arial"/>
                <w:b/>
                <w:sz w:val="16"/>
                <w:szCs w:val="16"/>
              </w:rPr>
              <w:t xml:space="preserve"> 146.079.935 </w:t>
            </w:r>
          </w:p>
        </w:tc>
      </w:tr>
    </w:tbl>
    <w:p w14:paraId="4B1CC80D" w14:textId="0D9F4925" w:rsidR="009A3CCD" w:rsidRDefault="009A3CCD" w:rsidP="00420ED8">
      <w:pPr>
        <w:pStyle w:val="Style1"/>
        <w:jc w:val="both"/>
        <w:rPr>
          <w:rFonts w:ascii="Arial" w:eastAsia="Calibri" w:hAnsi="Arial" w:cs="Arial"/>
          <w:noProof w:val="0"/>
          <w:szCs w:val="20"/>
        </w:rPr>
      </w:pPr>
    </w:p>
    <w:tbl>
      <w:tblPr>
        <w:tblW w:w="10153" w:type="dxa"/>
        <w:jc w:val="center"/>
        <w:tblLayout w:type="fixed"/>
        <w:tblCellMar>
          <w:left w:w="70" w:type="dxa"/>
          <w:right w:w="70" w:type="dxa"/>
        </w:tblCellMar>
        <w:tblLook w:val="04A0" w:firstRow="1" w:lastRow="0" w:firstColumn="1" w:lastColumn="0" w:noHBand="0" w:noVBand="1"/>
      </w:tblPr>
      <w:tblGrid>
        <w:gridCol w:w="4298"/>
        <w:gridCol w:w="1202"/>
        <w:gridCol w:w="1317"/>
        <w:gridCol w:w="208"/>
        <w:gridCol w:w="992"/>
        <w:gridCol w:w="1090"/>
        <w:gridCol w:w="1046"/>
      </w:tblGrid>
      <w:tr w:rsidR="00C43BF8" w:rsidRPr="00A376FF" w14:paraId="05F417EC" w14:textId="77777777" w:rsidTr="002775B9">
        <w:trPr>
          <w:trHeight w:val="385"/>
          <w:tblHeader/>
          <w:jc w:val="center"/>
        </w:trPr>
        <w:tc>
          <w:tcPr>
            <w:tcW w:w="4298" w:type="dxa"/>
            <w:tcBorders>
              <w:top w:val="single" w:sz="8" w:space="0" w:color="auto"/>
              <w:left w:val="single" w:sz="8" w:space="0" w:color="auto"/>
              <w:bottom w:val="nil"/>
              <w:right w:val="single" w:sz="4" w:space="0" w:color="auto"/>
            </w:tcBorders>
            <w:shd w:val="clear" w:color="auto" w:fill="auto"/>
            <w:noWrap/>
            <w:vAlign w:val="center"/>
            <w:hideMark/>
          </w:tcPr>
          <w:p w14:paraId="0CCE7B67" w14:textId="676196F1" w:rsidR="00C43BF8" w:rsidRPr="00BA7A6B" w:rsidRDefault="00C43BF8" w:rsidP="00C43BF8">
            <w:pPr>
              <w:jc w:val="center"/>
              <w:rPr>
                <w:rFonts w:ascii="Arial" w:hAnsi="Arial" w:cs="Arial"/>
                <w:b/>
                <w:bCs/>
                <w:i/>
                <w:iCs/>
                <w:sz w:val="16"/>
                <w:szCs w:val="16"/>
                <w:lang w:eastAsia="es-AR"/>
              </w:rPr>
            </w:pPr>
            <w:r w:rsidRPr="00BA7A6B">
              <w:rPr>
                <w:rFonts w:ascii="Arial" w:hAnsi="Arial" w:cs="Arial"/>
                <w:b/>
                <w:bCs/>
                <w:i/>
                <w:iCs/>
                <w:sz w:val="16"/>
                <w:szCs w:val="16"/>
                <w:lang w:eastAsia="es-AR"/>
              </w:rPr>
              <w:t>31-12-201</w:t>
            </w:r>
            <w:r w:rsidR="002F0310" w:rsidRPr="00BA7A6B">
              <w:rPr>
                <w:rFonts w:ascii="Arial" w:hAnsi="Arial" w:cs="Arial"/>
                <w:b/>
                <w:bCs/>
                <w:i/>
                <w:iCs/>
                <w:sz w:val="16"/>
                <w:szCs w:val="16"/>
                <w:lang w:eastAsia="es-AR"/>
              </w:rPr>
              <w:t>9</w:t>
            </w:r>
          </w:p>
        </w:tc>
        <w:tc>
          <w:tcPr>
            <w:tcW w:w="1202" w:type="dxa"/>
            <w:tcBorders>
              <w:top w:val="single" w:sz="8" w:space="0" w:color="auto"/>
              <w:left w:val="nil"/>
              <w:bottom w:val="nil"/>
              <w:right w:val="single" w:sz="4" w:space="0" w:color="auto"/>
            </w:tcBorders>
            <w:shd w:val="clear" w:color="auto" w:fill="auto"/>
            <w:vAlign w:val="center"/>
            <w:hideMark/>
          </w:tcPr>
          <w:p w14:paraId="6860D20B" w14:textId="77777777" w:rsidR="00C43BF8" w:rsidRPr="00BA7A6B" w:rsidRDefault="00C43BF8" w:rsidP="00C43BF8">
            <w:pPr>
              <w:jc w:val="center"/>
              <w:rPr>
                <w:rFonts w:ascii="Arial" w:hAnsi="Arial" w:cs="Arial"/>
                <w:b/>
                <w:bCs/>
                <w:sz w:val="16"/>
                <w:szCs w:val="16"/>
                <w:lang w:eastAsia="es-AR"/>
              </w:rPr>
            </w:pPr>
            <w:r w:rsidRPr="00BA7A6B">
              <w:rPr>
                <w:rFonts w:ascii="Arial" w:hAnsi="Arial" w:cs="Arial"/>
                <w:b/>
                <w:bCs/>
                <w:sz w:val="16"/>
                <w:szCs w:val="16"/>
                <w:lang w:eastAsia="es-AR"/>
              </w:rPr>
              <w:t>Valor contable</w:t>
            </w:r>
          </w:p>
        </w:tc>
        <w:tc>
          <w:tcPr>
            <w:tcW w:w="1317" w:type="dxa"/>
            <w:tcBorders>
              <w:top w:val="single" w:sz="8" w:space="0" w:color="auto"/>
              <w:left w:val="nil"/>
              <w:bottom w:val="nil"/>
              <w:right w:val="single" w:sz="4" w:space="0" w:color="auto"/>
            </w:tcBorders>
            <w:shd w:val="clear" w:color="auto" w:fill="auto"/>
            <w:vAlign w:val="center"/>
            <w:hideMark/>
          </w:tcPr>
          <w:p w14:paraId="6566CF9A" w14:textId="77777777" w:rsidR="00C43BF8" w:rsidRPr="00BA7A6B" w:rsidRDefault="00C43BF8" w:rsidP="00C43BF8">
            <w:pPr>
              <w:jc w:val="center"/>
              <w:rPr>
                <w:rFonts w:ascii="Arial" w:hAnsi="Arial" w:cs="Arial"/>
                <w:b/>
                <w:bCs/>
                <w:sz w:val="16"/>
                <w:szCs w:val="16"/>
                <w:lang w:eastAsia="es-AR"/>
              </w:rPr>
            </w:pPr>
            <w:r w:rsidRPr="00BA7A6B">
              <w:rPr>
                <w:rFonts w:ascii="Arial" w:hAnsi="Arial" w:cs="Arial"/>
                <w:b/>
                <w:bCs/>
                <w:sz w:val="16"/>
                <w:szCs w:val="16"/>
                <w:lang w:eastAsia="es-AR"/>
              </w:rPr>
              <w:t>Valor razonable</w:t>
            </w:r>
          </w:p>
        </w:tc>
        <w:tc>
          <w:tcPr>
            <w:tcW w:w="208" w:type="dxa"/>
            <w:tcBorders>
              <w:top w:val="single" w:sz="8" w:space="0" w:color="auto"/>
              <w:left w:val="nil"/>
              <w:bottom w:val="nil"/>
              <w:right w:val="single" w:sz="4" w:space="0" w:color="auto"/>
            </w:tcBorders>
            <w:shd w:val="clear" w:color="auto" w:fill="auto"/>
            <w:vAlign w:val="center"/>
            <w:hideMark/>
          </w:tcPr>
          <w:p w14:paraId="34373E75" w14:textId="77777777" w:rsidR="00C43BF8" w:rsidRPr="00BA7A6B" w:rsidRDefault="00C43BF8" w:rsidP="00C43BF8">
            <w:pPr>
              <w:jc w:val="center"/>
              <w:rPr>
                <w:rFonts w:ascii="Arial" w:hAnsi="Arial" w:cs="Arial"/>
                <w:b/>
                <w:bCs/>
                <w:sz w:val="16"/>
                <w:szCs w:val="16"/>
                <w:lang w:eastAsia="es-AR"/>
              </w:rPr>
            </w:pPr>
            <w:r w:rsidRPr="00BA7A6B">
              <w:rPr>
                <w:rFonts w:ascii="Arial" w:hAnsi="Arial" w:cs="Arial"/>
                <w:b/>
                <w:bCs/>
                <w:sz w:val="16"/>
                <w:szCs w:val="16"/>
                <w:lang w:eastAsia="es-AR"/>
              </w:rPr>
              <w:t> </w:t>
            </w:r>
          </w:p>
        </w:tc>
        <w:tc>
          <w:tcPr>
            <w:tcW w:w="992" w:type="dxa"/>
            <w:tcBorders>
              <w:top w:val="single" w:sz="8" w:space="0" w:color="auto"/>
              <w:left w:val="nil"/>
              <w:bottom w:val="nil"/>
              <w:right w:val="single" w:sz="4" w:space="0" w:color="auto"/>
            </w:tcBorders>
            <w:shd w:val="clear" w:color="auto" w:fill="auto"/>
            <w:vAlign w:val="center"/>
            <w:hideMark/>
          </w:tcPr>
          <w:p w14:paraId="4663DD7A" w14:textId="77777777" w:rsidR="00C43BF8" w:rsidRPr="00BA7A6B" w:rsidRDefault="00C43BF8" w:rsidP="00C43BF8">
            <w:pPr>
              <w:jc w:val="center"/>
              <w:rPr>
                <w:rFonts w:ascii="Arial" w:hAnsi="Arial" w:cs="Arial"/>
                <w:b/>
                <w:bCs/>
                <w:sz w:val="16"/>
                <w:szCs w:val="16"/>
                <w:lang w:eastAsia="es-AR"/>
              </w:rPr>
            </w:pPr>
            <w:r w:rsidRPr="00BA7A6B">
              <w:rPr>
                <w:rFonts w:ascii="Arial" w:hAnsi="Arial" w:cs="Arial"/>
                <w:b/>
                <w:bCs/>
                <w:sz w:val="16"/>
                <w:szCs w:val="16"/>
                <w:lang w:eastAsia="es-AR"/>
              </w:rPr>
              <w:t>VR Nivel 1</w:t>
            </w:r>
          </w:p>
        </w:tc>
        <w:tc>
          <w:tcPr>
            <w:tcW w:w="1090" w:type="dxa"/>
            <w:tcBorders>
              <w:top w:val="single" w:sz="8" w:space="0" w:color="auto"/>
              <w:left w:val="nil"/>
              <w:bottom w:val="nil"/>
              <w:right w:val="single" w:sz="4" w:space="0" w:color="auto"/>
            </w:tcBorders>
            <w:shd w:val="clear" w:color="auto" w:fill="auto"/>
            <w:vAlign w:val="center"/>
            <w:hideMark/>
          </w:tcPr>
          <w:p w14:paraId="00347C66" w14:textId="77777777" w:rsidR="00C43BF8" w:rsidRPr="00BA7A6B" w:rsidRDefault="00C43BF8" w:rsidP="00C43BF8">
            <w:pPr>
              <w:jc w:val="center"/>
              <w:rPr>
                <w:rFonts w:ascii="Arial" w:hAnsi="Arial" w:cs="Arial"/>
                <w:b/>
                <w:bCs/>
                <w:sz w:val="16"/>
                <w:szCs w:val="16"/>
                <w:lang w:eastAsia="es-AR"/>
              </w:rPr>
            </w:pPr>
            <w:r w:rsidRPr="00BA7A6B">
              <w:rPr>
                <w:rFonts w:ascii="Arial" w:hAnsi="Arial" w:cs="Arial"/>
                <w:b/>
                <w:bCs/>
                <w:sz w:val="16"/>
                <w:szCs w:val="16"/>
                <w:lang w:eastAsia="es-AR"/>
              </w:rPr>
              <w:t>VR Nivel 2</w:t>
            </w:r>
          </w:p>
        </w:tc>
        <w:tc>
          <w:tcPr>
            <w:tcW w:w="1046" w:type="dxa"/>
            <w:tcBorders>
              <w:top w:val="single" w:sz="8" w:space="0" w:color="auto"/>
              <w:left w:val="nil"/>
              <w:bottom w:val="nil"/>
              <w:right w:val="single" w:sz="8" w:space="0" w:color="auto"/>
            </w:tcBorders>
            <w:shd w:val="clear" w:color="auto" w:fill="auto"/>
            <w:vAlign w:val="center"/>
            <w:hideMark/>
          </w:tcPr>
          <w:p w14:paraId="7894F7D1" w14:textId="77777777" w:rsidR="00C43BF8" w:rsidRPr="00BA7A6B" w:rsidRDefault="00C43BF8" w:rsidP="00C43BF8">
            <w:pPr>
              <w:jc w:val="center"/>
              <w:rPr>
                <w:rFonts w:ascii="Arial" w:hAnsi="Arial" w:cs="Arial"/>
                <w:b/>
                <w:bCs/>
                <w:sz w:val="16"/>
                <w:szCs w:val="16"/>
                <w:lang w:eastAsia="es-AR"/>
              </w:rPr>
            </w:pPr>
            <w:r w:rsidRPr="00BA7A6B">
              <w:rPr>
                <w:rFonts w:ascii="Arial" w:hAnsi="Arial" w:cs="Arial"/>
                <w:b/>
                <w:bCs/>
                <w:sz w:val="16"/>
                <w:szCs w:val="16"/>
                <w:lang w:eastAsia="es-AR"/>
              </w:rPr>
              <w:t>VR Nivel 3</w:t>
            </w:r>
          </w:p>
        </w:tc>
      </w:tr>
      <w:tr w:rsidR="00C43BF8" w:rsidRPr="00A376FF" w14:paraId="6AC80612" w14:textId="77777777" w:rsidTr="002775B9">
        <w:trPr>
          <w:trHeight w:val="243"/>
          <w:jc w:val="center"/>
        </w:trPr>
        <w:tc>
          <w:tcPr>
            <w:tcW w:w="42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467881" w14:textId="77777777" w:rsidR="00C43BF8" w:rsidRPr="00613EB0" w:rsidRDefault="00C43BF8" w:rsidP="00C43BF8">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202" w:type="dxa"/>
            <w:tcBorders>
              <w:top w:val="single" w:sz="8" w:space="0" w:color="auto"/>
              <w:left w:val="nil"/>
              <w:bottom w:val="single" w:sz="8" w:space="0" w:color="auto"/>
              <w:right w:val="single" w:sz="4" w:space="0" w:color="auto"/>
            </w:tcBorders>
            <w:shd w:val="clear" w:color="auto" w:fill="auto"/>
            <w:vAlign w:val="center"/>
            <w:hideMark/>
          </w:tcPr>
          <w:p w14:paraId="2A899015"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317" w:type="dxa"/>
            <w:tcBorders>
              <w:top w:val="single" w:sz="8" w:space="0" w:color="auto"/>
              <w:left w:val="nil"/>
              <w:bottom w:val="single" w:sz="8" w:space="0" w:color="auto"/>
              <w:right w:val="single" w:sz="4" w:space="0" w:color="auto"/>
            </w:tcBorders>
            <w:shd w:val="clear" w:color="auto" w:fill="auto"/>
            <w:vAlign w:val="center"/>
            <w:hideMark/>
          </w:tcPr>
          <w:p w14:paraId="7A693757"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208" w:type="dxa"/>
            <w:tcBorders>
              <w:top w:val="single" w:sz="8" w:space="0" w:color="auto"/>
              <w:left w:val="nil"/>
              <w:bottom w:val="single" w:sz="8" w:space="0" w:color="auto"/>
              <w:right w:val="single" w:sz="4" w:space="0" w:color="auto"/>
            </w:tcBorders>
            <w:shd w:val="clear" w:color="auto" w:fill="auto"/>
            <w:vAlign w:val="center"/>
            <w:hideMark/>
          </w:tcPr>
          <w:p w14:paraId="317CF84C"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224E4078"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90" w:type="dxa"/>
            <w:tcBorders>
              <w:top w:val="single" w:sz="8" w:space="0" w:color="auto"/>
              <w:left w:val="nil"/>
              <w:bottom w:val="single" w:sz="8" w:space="0" w:color="auto"/>
              <w:right w:val="single" w:sz="4" w:space="0" w:color="auto"/>
            </w:tcBorders>
            <w:shd w:val="clear" w:color="auto" w:fill="auto"/>
            <w:vAlign w:val="center"/>
            <w:hideMark/>
          </w:tcPr>
          <w:p w14:paraId="2F0C12A9"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46" w:type="dxa"/>
            <w:tcBorders>
              <w:top w:val="single" w:sz="8" w:space="0" w:color="auto"/>
              <w:left w:val="nil"/>
              <w:bottom w:val="single" w:sz="8" w:space="0" w:color="auto"/>
              <w:right w:val="single" w:sz="8" w:space="0" w:color="auto"/>
            </w:tcBorders>
            <w:shd w:val="clear" w:color="auto" w:fill="auto"/>
            <w:vAlign w:val="center"/>
            <w:hideMark/>
          </w:tcPr>
          <w:p w14:paraId="7D34B9C7"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2F0310" w:rsidRPr="00A376FF" w14:paraId="0481554C"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hideMark/>
          </w:tcPr>
          <w:p w14:paraId="169DC745"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202" w:type="dxa"/>
            <w:tcBorders>
              <w:top w:val="nil"/>
              <w:left w:val="nil"/>
              <w:bottom w:val="single" w:sz="4" w:space="0" w:color="auto"/>
              <w:right w:val="single" w:sz="4" w:space="0" w:color="auto"/>
            </w:tcBorders>
            <w:shd w:val="clear" w:color="auto" w:fill="auto"/>
            <w:noWrap/>
            <w:vAlign w:val="bottom"/>
            <w:hideMark/>
          </w:tcPr>
          <w:p w14:paraId="3DF256BE" w14:textId="62473C8C"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27.815.766 </w:t>
            </w:r>
          </w:p>
        </w:tc>
        <w:tc>
          <w:tcPr>
            <w:tcW w:w="1317" w:type="dxa"/>
            <w:tcBorders>
              <w:top w:val="nil"/>
              <w:left w:val="nil"/>
              <w:bottom w:val="single" w:sz="4" w:space="0" w:color="auto"/>
              <w:right w:val="single" w:sz="4" w:space="0" w:color="auto"/>
            </w:tcBorders>
            <w:shd w:val="clear" w:color="auto" w:fill="auto"/>
            <w:vAlign w:val="bottom"/>
            <w:hideMark/>
          </w:tcPr>
          <w:p w14:paraId="14F6851A" w14:textId="01D8DC8E"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27.815.766 </w:t>
            </w:r>
          </w:p>
        </w:tc>
        <w:tc>
          <w:tcPr>
            <w:tcW w:w="208" w:type="dxa"/>
            <w:tcBorders>
              <w:top w:val="nil"/>
              <w:left w:val="nil"/>
              <w:bottom w:val="single" w:sz="4" w:space="0" w:color="auto"/>
              <w:right w:val="single" w:sz="4" w:space="0" w:color="auto"/>
            </w:tcBorders>
            <w:shd w:val="clear" w:color="auto" w:fill="auto"/>
            <w:vAlign w:val="bottom"/>
            <w:hideMark/>
          </w:tcPr>
          <w:p w14:paraId="505CF443" w14:textId="77777777" w:rsidR="002F0310" w:rsidRPr="00613EB0" w:rsidRDefault="002F0310" w:rsidP="002F0310">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vAlign w:val="bottom"/>
            <w:hideMark/>
          </w:tcPr>
          <w:p w14:paraId="19138290" w14:textId="0C611E08" w:rsidR="002F0310" w:rsidRPr="000B2F8E" w:rsidRDefault="002F0310" w:rsidP="002F0310">
            <w:pPr>
              <w:jc w:val="right"/>
              <w:rPr>
                <w:rFonts w:ascii="Arial" w:hAnsi="Arial" w:cs="Arial"/>
                <w:color w:val="000000"/>
                <w:sz w:val="16"/>
                <w:szCs w:val="16"/>
                <w:lang w:eastAsia="es-AR"/>
              </w:rPr>
            </w:pPr>
            <w:r w:rsidRPr="002F0310">
              <w:rPr>
                <w:rFonts w:ascii="Arial" w:hAnsi="Arial" w:cs="Arial"/>
                <w:color w:val="000000"/>
                <w:sz w:val="16"/>
                <w:szCs w:val="16"/>
              </w:rPr>
              <w:t>27.815.766</w:t>
            </w:r>
          </w:p>
        </w:tc>
        <w:tc>
          <w:tcPr>
            <w:tcW w:w="1090" w:type="dxa"/>
            <w:tcBorders>
              <w:top w:val="nil"/>
              <w:left w:val="nil"/>
              <w:bottom w:val="single" w:sz="4" w:space="0" w:color="auto"/>
              <w:right w:val="single" w:sz="4" w:space="0" w:color="auto"/>
            </w:tcBorders>
            <w:shd w:val="clear" w:color="auto" w:fill="auto"/>
            <w:vAlign w:val="bottom"/>
            <w:hideMark/>
          </w:tcPr>
          <w:p w14:paraId="1C848816"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nil"/>
              <w:left w:val="nil"/>
              <w:bottom w:val="single" w:sz="4" w:space="0" w:color="auto"/>
              <w:right w:val="single" w:sz="8" w:space="0" w:color="auto"/>
            </w:tcBorders>
            <w:shd w:val="clear" w:color="auto" w:fill="auto"/>
            <w:vAlign w:val="bottom"/>
            <w:hideMark/>
          </w:tcPr>
          <w:p w14:paraId="23656931"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2F0310" w:rsidRPr="00A376FF" w14:paraId="77FF937A"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hideMark/>
          </w:tcPr>
          <w:p w14:paraId="70B1E593"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-Otros activos financieros</w:t>
            </w:r>
          </w:p>
        </w:tc>
        <w:tc>
          <w:tcPr>
            <w:tcW w:w="1202" w:type="dxa"/>
            <w:tcBorders>
              <w:top w:val="nil"/>
              <w:left w:val="nil"/>
              <w:bottom w:val="single" w:sz="4" w:space="0" w:color="auto"/>
              <w:right w:val="single" w:sz="4" w:space="0" w:color="auto"/>
            </w:tcBorders>
            <w:shd w:val="clear" w:color="auto" w:fill="auto"/>
            <w:noWrap/>
            <w:vAlign w:val="bottom"/>
            <w:hideMark/>
          </w:tcPr>
          <w:p w14:paraId="73C1359B" w14:textId="24B78F59"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832.410 </w:t>
            </w:r>
          </w:p>
        </w:tc>
        <w:tc>
          <w:tcPr>
            <w:tcW w:w="1317" w:type="dxa"/>
            <w:tcBorders>
              <w:top w:val="nil"/>
              <w:left w:val="nil"/>
              <w:bottom w:val="single" w:sz="4" w:space="0" w:color="auto"/>
              <w:right w:val="single" w:sz="4" w:space="0" w:color="auto"/>
            </w:tcBorders>
            <w:shd w:val="clear" w:color="auto" w:fill="auto"/>
            <w:vAlign w:val="bottom"/>
            <w:hideMark/>
          </w:tcPr>
          <w:p w14:paraId="5632693A" w14:textId="5B13BE16"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832.410 </w:t>
            </w:r>
          </w:p>
        </w:tc>
        <w:tc>
          <w:tcPr>
            <w:tcW w:w="208" w:type="dxa"/>
            <w:tcBorders>
              <w:top w:val="nil"/>
              <w:left w:val="nil"/>
              <w:bottom w:val="single" w:sz="4" w:space="0" w:color="auto"/>
              <w:right w:val="single" w:sz="4" w:space="0" w:color="auto"/>
            </w:tcBorders>
            <w:shd w:val="clear" w:color="auto" w:fill="auto"/>
            <w:vAlign w:val="bottom"/>
            <w:hideMark/>
          </w:tcPr>
          <w:p w14:paraId="66FBC1E4" w14:textId="77777777" w:rsidR="002F0310" w:rsidRPr="00613EB0" w:rsidRDefault="002F0310" w:rsidP="002F0310">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vAlign w:val="bottom"/>
            <w:hideMark/>
          </w:tcPr>
          <w:p w14:paraId="634A3047" w14:textId="36B7D29F" w:rsidR="002F0310" w:rsidRPr="000B2F8E" w:rsidRDefault="002F0310" w:rsidP="002F0310">
            <w:pPr>
              <w:jc w:val="right"/>
              <w:rPr>
                <w:rFonts w:ascii="Arial" w:hAnsi="Arial" w:cs="Arial"/>
                <w:color w:val="000000"/>
                <w:sz w:val="16"/>
                <w:szCs w:val="16"/>
                <w:lang w:eastAsia="es-AR"/>
              </w:rPr>
            </w:pPr>
            <w:r>
              <w:rPr>
                <w:rFonts w:ascii="Arial" w:hAnsi="Arial" w:cs="Arial"/>
                <w:color w:val="000000"/>
                <w:sz w:val="16"/>
                <w:szCs w:val="16"/>
              </w:rPr>
              <w:t>832.410</w:t>
            </w:r>
            <w:r w:rsidRPr="00613EB0">
              <w:rPr>
                <w:rFonts w:ascii="Arial" w:hAnsi="Arial" w:cs="Arial"/>
                <w:color w:val="000000"/>
                <w:sz w:val="16"/>
                <w:szCs w:val="16"/>
              </w:rPr>
              <w:t xml:space="preserve"> </w:t>
            </w:r>
          </w:p>
        </w:tc>
        <w:tc>
          <w:tcPr>
            <w:tcW w:w="1090" w:type="dxa"/>
            <w:tcBorders>
              <w:top w:val="nil"/>
              <w:left w:val="nil"/>
              <w:bottom w:val="single" w:sz="4" w:space="0" w:color="auto"/>
              <w:right w:val="single" w:sz="4" w:space="0" w:color="auto"/>
            </w:tcBorders>
            <w:shd w:val="clear" w:color="auto" w:fill="auto"/>
            <w:vAlign w:val="bottom"/>
            <w:hideMark/>
          </w:tcPr>
          <w:p w14:paraId="302AF593"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nil"/>
              <w:left w:val="nil"/>
              <w:bottom w:val="single" w:sz="4" w:space="0" w:color="auto"/>
              <w:right w:val="single" w:sz="8" w:space="0" w:color="auto"/>
            </w:tcBorders>
            <w:shd w:val="clear" w:color="auto" w:fill="auto"/>
            <w:vAlign w:val="bottom"/>
            <w:hideMark/>
          </w:tcPr>
          <w:p w14:paraId="7B1BE3D0"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2F0310" w:rsidRPr="00A376FF" w14:paraId="4569AFE2"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hideMark/>
          </w:tcPr>
          <w:p w14:paraId="22C9A556"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 xml:space="preserve">-Préstamos y otras financiaciones </w:t>
            </w:r>
          </w:p>
        </w:tc>
        <w:tc>
          <w:tcPr>
            <w:tcW w:w="1202" w:type="dxa"/>
            <w:tcBorders>
              <w:top w:val="nil"/>
              <w:left w:val="nil"/>
              <w:bottom w:val="single" w:sz="4" w:space="0" w:color="auto"/>
              <w:right w:val="single" w:sz="4" w:space="0" w:color="auto"/>
            </w:tcBorders>
            <w:shd w:val="clear" w:color="auto" w:fill="auto"/>
            <w:noWrap/>
            <w:vAlign w:val="bottom"/>
            <w:hideMark/>
          </w:tcPr>
          <w:p w14:paraId="2CD88B04" w14:textId="2D627B26"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95.275.740 </w:t>
            </w:r>
          </w:p>
        </w:tc>
        <w:tc>
          <w:tcPr>
            <w:tcW w:w="1317" w:type="dxa"/>
            <w:tcBorders>
              <w:top w:val="nil"/>
              <w:left w:val="nil"/>
              <w:bottom w:val="single" w:sz="4" w:space="0" w:color="auto"/>
              <w:right w:val="single" w:sz="4" w:space="0" w:color="auto"/>
            </w:tcBorders>
            <w:shd w:val="clear" w:color="auto" w:fill="auto"/>
            <w:vAlign w:val="bottom"/>
            <w:hideMark/>
          </w:tcPr>
          <w:p w14:paraId="0A59E9D4" w14:textId="4941B02E"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101.719.112 </w:t>
            </w:r>
          </w:p>
        </w:tc>
        <w:tc>
          <w:tcPr>
            <w:tcW w:w="208" w:type="dxa"/>
            <w:tcBorders>
              <w:top w:val="nil"/>
              <w:left w:val="nil"/>
              <w:bottom w:val="single" w:sz="4" w:space="0" w:color="auto"/>
              <w:right w:val="single" w:sz="4" w:space="0" w:color="auto"/>
            </w:tcBorders>
            <w:shd w:val="clear" w:color="auto" w:fill="auto"/>
            <w:vAlign w:val="bottom"/>
            <w:hideMark/>
          </w:tcPr>
          <w:p w14:paraId="366C2788" w14:textId="77777777" w:rsidR="002F0310" w:rsidRPr="00613EB0" w:rsidRDefault="002F0310" w:rsidP="002F0310">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vAlign w:val="bottom"/>
            <w:hideMark/>
          </w:tcPr>
          <w:p w14:paraId="6E356B1D"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90" w:type="dxa"/>
            <w:tcBorders>
              <w:top w:val="nil"/>
              <w:left w:val="nil"/>
              <w:bottom w:val="single" w:sz="4" w:space="0" w:color="auto"/>
              <w:right w:val="single" w:sz="4" w:space="0" w:color="auto"/>
            </w:tcBorders>
            <w:shd w:val="clear" w:color="auto" w:fill="auto"/>
            <w:vAlign w:val="bottom"/>
            <w:hideMark/>
          </w:tcPr>
          <w:p w14:paraId="125B2828"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w:t>
            </w:r>
          </w:p>
        </w:tc>
        <w:tc>
          <w:tcPr>
            <w:tcW w:w="1046" w:type="dxa"/>
            <w:tcBorders>
              <w:top w:val="nil"/>
              <w:left w:val="nil"/>
              <w:bottom w:val="single" w:sz="4" w:space="0" w:color="auto"/>
              <w:right w:val="single" w:sz="8" w:space="0" w:color="auto"/>
            </w:tcBorders>
            <w:shd w:val="clear" w:color="auto" w:fill="auto"/>
            <w:vAlign w:val="bottom"/>
            <w:hideMark/>
          </w:tcPr>
          <w:p w14:paraId="4E203A4E" w14:textId="62E9D5F1" w:rsidR="002F0310" w:rsidRPr="000B2F8E" w:rsidRDefault="002F0310" w:rsidP="002F0310">
            <w:pPr>
              <w:jc w:val="right"/>
              <w:rPr>
                <w:rFonts w:ascii="Arial" w:hAnsi="Arial" w:cs="Arial"/>
                <w:color w:val="000000"/>
                <w:sz w:val="16"/>
                <w:szCs w:val="16"/>
                <w:lang w:eastAsia="es-AR"/>
              </w:rPr>
            </w:pPr>
            <w:r>
              <w:rPr>
                <w:rFonts w:ascii="Arial" w:hAnsi="Arial" w:cs="Arial"/>
                <w:color w:val="000000"/>
                <w:sz w:val="16"/>
                <w:szCs w:val="16"/>
              </w:rPr>
              <w:t>101.719.112</w:t>
            </w:r>
          </w:p>
        </w:tc>
      </w:tr>
      <w:tr w:rsidR="002F0310" w:rsidRPr="00A376FF" w14:paraId="5BC609EE"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hideMark/>
          </w:tcPr>
          <w:p w14:paraId="028D3A03"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202" w:type="dxa"/>
            <w:tcBorders>
              <w:top w:val="nil"/>
              <w:left w:val="nil"/>
              <w:bottom w:val="single" w:sz="4" w:space="0" w:color="auto"/>
              <w:right w:val="single" w:sz="4" w:space="0" w:color="auto"/>
            </w:tcBorders>
            <w:shd w:val="clear" w:color="auto" w:fill="auto"/>
            <w:noWrap/>
            <w:vAlign w:val="bottom"/>
            <w:hideMark/>
          </w:tcPr>
          <w:p w14:paraId="7EF72E72" w14:textId="32F6C98B"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3.327.369 </w:t>
            </w:r>
          </w:p>
        </w:tc>
        <w:tc>
          <w:tcPr>
            <w:tcW w:w="1317" w:type="dxa"/>
            <w:tcBorders>
              <w:top w:val="nil"/>
              <w:left w:val="nil"/>
              <w:bottom w:val="single" w:sz="4" w:space="0" w:color="auto"/>
              <w:right w:val="single" w:sz="4" w:space="0" w:color="auto"/>
            </w:tcBorders>
            <w:shd w:val="clear" w:color="auto" w:fill="auto"/>
            <w:vAlign w:val="bottom"/>
            <w:hideMark/>
          </w:tcPr>
          <w:p w14:paraId="6BBDD5CE" w14:textId="209B1B37"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3.416.598 </w:t>
            </w:r>
          </w:p>
        </w:tc>
        <w:tc>
          <w:tcPr>
            <w:tcW w:w="208" w:type="dxa"/>
            <w:tcBorders>
              <w:top w:val="nil"/>
              <w:left w:val="nil"/>
              <w:bottom w:val="single" w:sz="4" w:space="0" w:color="auto"/>
              <w:right w:val="single" w:sz="4" w:space="0" w:color="auto"/>
            </w:tcBorders>
            <w:shd w:val="clear" w:color="auto" w:fill="auto"/>
            <w:vAlign w:val="bottom"/>
            <w:hideMark/>
          </w:tcPr>
          <w:p w14:paraId="6CC0437C" w14:textId="77777777" w:rsidR="002F0310" w:rsidRPr="00613EB0" w:rsidRDefault="002F0310" w:rsidP="002F0310">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vAlign w:val="bottom"/>
            <w:hideMark/>
          </w:tcPr>
          <w:p w14:paraId="26E9CB6F" w14:textId="3B9E492C" w:rsidR="002F0310" w:rsidRPr="000B2F8E" w:rsidRDefault="002F0310" w:rsidP="002F0310">
            <w:pPr>
              <w:jc w:val="right"/>
              <w:rPr>
                <w:rFonts w:ascii="Arial" w:hAnsi="Arial" w:cs="Arial"/>
                <w:color w:val="000000"/>
                <w:sz w:val="16"/>
                <w:szCs w:val="16"/>
                <w:lang w:eastAsia="es-AR"/>
              </w:rPr>
            </w:pPr>
            <w:r>
              <w:rPr>
                <w:rFonts w:ascii="Arial" w:hAnsi="Arial" w:cs="Arial"/>
                <w:color w:val="000000"/>
                <w:sz w:val="16"/>
                <w:szCs w:val="16"/>
              </w:rPr>
              <w:t>3.416.598</w:t>
            </w:r>
            <w:r w:rsidRPr="00613EB0">
              <w:rPr>
                <w:rFonts w:ascii="Arial" w:hAnsi="Arial" w:cs="Arial"/>
                <w:color w:val="000000"/>
                <w:sz w:val="16"/>
                <w:szCs w:val="16"/>
              </w:rPr>
              <w:t xml:space="preserve"> </w:t>
            </w:r>
          </w:p>
        </w:tc>
        <w:tc>
          <w:tcPr>
            <w:tcW w:w="1090" w:type="dxa"/>
            <w:tcBorders>
              <w:top w:val="nil"/>
              <w:left w:val="nil"/>
              <w:bottom w:val="single" w:sz="4" w:space="0" w:color="auto"/>
              <w:right w:val="single" w:sz="4" w:space="0" w:color="auto"/>
            </w:tcBorders>
            <w:shd w:val="clear" w:color="auto" w:fill="auto"/>
            <w:vAlign w:val="bottom"/>
            <w:hideMark/>
          </w:tcPr>
          <w:p w14:paraId="722E1DA4"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w:t>
            </w:r>
          </w:p>
        </w:tc>
        <w:tc>
          <w:tcPr>
            <w:tcW w:w="1046" w:type="dxa"/>
            <w:tcBorders>
              <w:top w:val="nil"/>
              <w:left w:val="nil"/>
              <w:bottom w:val="single" w:sz="4" w:space="0" w:color="auto"/>
              <w:right w:val="single" w:sz="8" w:space="0" w:color="auto"/>
            </w:tcBorders>
            <w:shd w:val="clear" w:color="auto" w:fill="auto"/>
            <w:vAlign w:val="bottom"/>
            <w:hideMark/>
          </w:tcPr>
          <w:p w14:paraId="6E33FEE2"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2F0310" w:rsidRPr="00A376FF" w14:paraId="30BB1D91" w14:textId="77777777" w:rsidTr="002775B9">
        <w:trPr>
          <w:trHeight w:val="243"/>
          <w:jc w:val="center"/>
        </w:trPr>
        <w:tc>
          <w:tcPr>
            <w:tcW w:w="4298" w:type="dxa"/>
            <w:tcBorders>
              <w:top w:val="nil"/>
              <w:left w:val="single" w:sz="8" w:space="0" w:color="auto"/>
              <w:bottom w:val="nil"/>
              <w:right w:val="single" w:sz="4" w:space="0" w:color="auto"/>
            </w:tcBorders>
            <w:shd w:val="clear" w:color="auto" w:fill="auto"/>
            <w:noWrap/>
            <w:vAlign w:val="center"/>
            <w:hideMark/>
          </w:tcPr>
          <w:p w14:paraId="5777C39B" w14:textId="77777777" w:rsidR="002F0310" w:rsidRPr="00613EB0" w:rsidRDefault="002F0310" w:rsidP="002F0310">
            <w:pPr>
              <w:rPr>
                <w:rFonts w:ascii="Arial" w:hAnsi="Arial" w:cs="Arial"/>
                <w:color w:val="000000"/>
                <w:sz w:val="16"/>
                <w:szCs w:val="16"/>
                <w:lang w:eastAsia="es-AR"/>
              </w:rPr>
            </w:pPr>
            <w:r w:rsidRPr="00613EB0">
              <w:rPr>
                <w:rFonts w:ascii="Arial" w:hAnsi="Arial" w:cs="Arial"/>
                <w:color w:val="000000"/>
                <w:sz w:val="16"/>
                <w:szCs w:val="16"/>
                <w:lang w:eastAsia="es-AR"/>
              </w:rPr>
              <w:t>-Activos financieros entregados en garantía</w:t>
            </w:r>
          </w:p>
        </w:tc>
        <w:tc>
          <w:tcPr>
            <w:tcW w:w="1202" w:type="dxa"/>
            <w:tcBorders>
              <w:top w:val="nil"/>
              <w:left w:val="nil"/>
              <w:bottom w:val="nil"/>
              <w:right w:val="single" w:sz="4" w:space="0" w:color="auto"/>
            </w:tcBorders>
            <w:shd w:val="clear" w:color="auto" w:fill="auto"/>
            <w:noWrap/>
            <w:vAlign w:val="bottom"/>
            <w:hideMark/>
          </w:tcPr>
          <w:p w14:paraId="2897EA7A" w14:textId="4F201B36"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433.797 </w:t>
            </w:r>
          </w:p>
        </w:tc>
        <w:tc>
          <w:tcPr>
            <w:tcW w:w="1317" w:type="dxa"/>
            <w:tcBorders>
              <w:top w:val="nil"/>
              <w:left w:val="nil"/>
              <w:bottom w:val="nil"/>
              <w:right w:val="single" w:sz="4" w:space="0" w:color="auto"/>
            </w:tcBorders>
            <w:shd w:val="clear" w:color="auto" w:fill="auto"/>
            <w:vAlign w:val="bottom"/>
            <w:hideMark/>
          </w:tcPr>
          <w:p w14:paraId="670B03A3" w14:textId="05C9A402" w:rsidR="002F0310" w:rsidRPr="000B2F8E" w:rsidRDefault="002F0310" w:rsidP="002F0310">
            <w:pPr>
              <w:jc w:val="right"/>
              <w:rPr>
                <w:rFonts w:ascii="Arial" w:hAnsi="Arial" w:cs="Arial"/>
                <w:color w:val="000000"/>
                <w:sz w:val="16"/>
                <w:szCs w:val="16"/>
              </w:rPr>
            </w:pPr>
            <w:r w:rsidRPr="002F0310">
              <w:rPr>
                <w:rFonts w:ascii="Arial" w:hAnsi="Arial" w:cs="Arial"/>
                <w:color w:val="000000"/>
                <w:sz w:val="16"/>
                <w:szCs w:val="16"/>
              </w:rPr>
              <w:t xml:space="preserve"> 433.797 </w:t>
            </w:r>
          </w:p>
        </w:tc>
        <w:tc>
          <w:tcPr>
            <w:tcW w:w="208" w:type="dxa"/>
            <w:tcBorders>
              <w:top w:val="nil"/>
              <w:left w:val="nil"/>
              <w:bottom w:val="nil"/>
              <w:right w:val="single" w:sz="4" w:space="0" w:color="auto"/>
            </w:tcBorders>
            <w:shd w:val="clear" w:color="auto" w:fill="auto"/>
            <w:vAlign w:val="bottom"/>
            <w:hideMark/>
          </w:tcPr>
          <w:p w14:paraId="2C9782B2" w14:textId="77777777" w:rsidR="002F0310" w:rsidRPr="00613EB0" w:rsidRDefault="002F0310" w:rsidP="002F0310">
            <w:pPr>
              <w:jc w:val="right"/>
              <w:rPr>
                <w:rFonts w:ascii="Arial" w:hAnsi="Arial" w:cs="Arial"/>
                <w:color w:val="000000"/>
                <w:sz w:val="16"/>
                <w:szCs w:val="16"/>
                <w:lang w:eastAsia="es-AR"/>
              </w:rPr>
            </w:pPr>
          </w:p>
        </w:tc>
        <w:tc>
          <w:tcPr>
            <w:tcW w:w="992" w:type="dxa"/>
            <w:tcBorders>
              <w:top w:val="nil"/>
              <w:left w:val="nil"/>
              <w:bottom w:val="nil"/>
              <w:right w:val="single" w:sz="4" w:space="0" w:color="auto"/>
            </w:tcBorders>
            <w:shd w:val="clear" w:color="auto" w:fill="auto"/>
            <w:vAlign w:val="bottom"/>
            <w:hideMark/>
          </w:tcPr>
          <w:p w14:paraId="4B7DB184" w14:textId="27EB4231" w:rsidR="002F0310" w:rsidRPr="000B2F8E" w:rsidRDefault="002F0310" w:rsidP="002F0310">
            <w:pPr>
              <w:jc w:val="right"/>
              <w:rPr>
                <w:rFonts w:ascii="Arial" w:hAnsi="Arial" w:cs="Arial"/>
                <w:color w:val="000000"/>
                <w:sz w:val="16"/>
                <w:szCs w:val="16"/>
                <w:lang w:eastAsia="es-AR"/>
              </w:rPr>
            </w:pPr>
            <w:r>
              <w:rPr>
                <w:rFonts w:ascii="Arial" w:hAnsi="Arial" w:cs="Arial"/>
                <w:color w:val="000000"/>
                <w:sz w:val="16"/>
                <w:szCs w:val="16"/>
              </w:rPr>
              <w:t>433.797</w:t>
            </w:r>
            <w:r w:rsidRPr="00613EB0">
              <w:rPr>
                <w:rFonts w:ascii="Arial" w:hAnsi="Arial" w:cs="Arial"/>
                <w:color w:val="000000"/>
                <w:sz w:val="16"/>
                <w:szCs w:val="16"/>
              </w:rPr>
              <w:t xml:space="preserve"> </w:t>
            </w:r>
          </w:p>
        </w:tc>
        <w:tc>
          <w:tcPr>
            <w:tcW w:w="1090" w:type="dxa"/>
            <w:tcBorders>
              <w:top w:val="nil"/>
              <w:left w:val="nil"/>
              <w:bottom w:val="nil"/>
              <w:right w:val="single" w:sz="4" w:space="0" w:color="auto"/>
            </w:tcBorders>
            <w:shd w:val="clear" w:color="auto" w:fill="auto"/>
            <w:vAlign w:val="bottom"/>
            <w:hideMark/>
          </w:tcPr>
          <w:p w14:paraId="30100067"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nil"/>
              <w:left w:val="nil"/>
              <w:bottom w:val="nil"/>
              <w:right w:val="single" w:sz="8" w:space="0" w:color="auto"/>
            </w:tcBorders>
            <w:shd w:val="clear" w:color="auto" w:fill="auto"/>
            <w:vAlign w:val="bottom"/>
            <w:hideMark/>
          </w:tcPr>
          <w:p w14:paraId="70EC3506" w14:textId="77777777" w:rsidR="002F0310" w:rsidRPr="000B2F8E" w:rsidRDefault="002F0310" w:rsidP="002F0310">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2F0310" w:rsidRPr="00A376FF" w14:paraId="1481A18B" w14:textId="77777777" w:rsidTr="002775B9">
        <w:trPr>
          <w:trHeight w:val="243"/>
          <w:jc w:val="center"/>
        </w:trPr>
        <w:tc>
          <w:tcPr>
            <w:tcW w:w="42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56A1D38" w14:textId="77777777" w:rsidR="002F0310" w:rsidRPr="00613EB0" w:rsidRDefault="002F0310" w:rsidP="002F0310">
            <w:pPr>
              <w:rPr>
                <w:rFonts w:ascii="Arial" w:hAnsi="Arial" w:cs="Arial"/>
                <w:b/>
                <w:color w:val="000000"/>
                <w:sz w:val="16"/>
                <w:szCs w:val="16"/>
                <w:lang w:eastAsia="es-AR"/>
              </w:rPr>
            </w:pPr>
          </w:p>
        </w:tc>
        <w:tc>
          <w:tcPr>
            <w:tcW w:w="1202" w:type="dxa"/>
            <w:tcBorders>
              <w:top w:val="single" w:sz="8" w:space="0" w:color="auto"/>
              <w:left w:val="nil"/>
              <w:bottom w:val="single" w:sz="8" w:space="0" w:color="auto"/>
              <w:right w:val="single" w:sz="4" w:space="0" w:color="auto"/>
            </w:tcBorders>
            <w:shd w:val="clear" w:color="auto" w:fill="auto"/>
            <w:noWrap/>
            <w:vAlign w:val="bottom"/>
            <w:hideMark/>
          </w:tcPr>
          <w:p w14:paraId="22EFA325" w14:textId="2313967A" w:rsidR="002F0310" w:rsidRPr="005172F5" w:rsidRDefault="002F0310" w:rsidP="002F0310">
            <w:pPr>
              <w:jc w:val="right"/>
              <w:rPr>
                <w:rFonts w:ascii="Arial" w:hAnsi="Arial" w:cs="Arial"/>
                <w:b/>
                <w:sz w:val="16"/>
                <w:szCs w:val="16"/>
              </w:rPr>
            </w:pPr>
            <w:r w:rsidRPr="005172F5">
              <w:rPr>
                <w:rFonts w:ascii="Arial" w:hAnsi="Arial" w:cs="Arial"/>
                <w:b/>
                <w:sz w:val="16"/>
                <w:szCs w:val="16"/>
              </w:rPr>
              <w:t xml:space="preserve"> 127.685.082 </w:t>
            </w:r>
          </w:p>
        </w:tc>
        <w:tc>
          <w:tcPr>
            <w:tcW w:w="1317" w:type="dxa"/>
            <w:tcBorders>
              <w:top w:val="single" w:sz="8" w:space="0" w:color="auto"/>
              <w:left w:val="nil"/>
              <w:bottom w:val="single" w:sz="8" w:space="0" w:color="auto"/>
              <w:right w:val="single" w:sz="4" w:space="0" w:color="auto"/>
            </w:tcBorders>
            <w:shd w:val="clear" w:color="auto" w:fill="auto"/>
            <w:noWrap/>
            <w:vAlign w:val="bottom"/>
            <w:hideMark/>
          </w:tcPr>
          <w:p w14:paraId="5E5285F3" w14:textId="3DD452A9" w:rsidR="002F0310" w:rsidRPr="005172F5" w:rsidRDefault="002F0310" w:rsidP="002F0310">
            <w:pPr>
              <w:jc w:val="right"/>
              <w:rPr>
                <w:rFonts w:ascii="Arial" w:hAnsi="Arial" w:cs="Arial"/>
                <w:b/>
                <w:sz w:val="16"/>
                <w:szCs w:val="16"/>
              </w:rPr>
            </w:pPr>
            <w:r w:rsidRPr="005172F5">
              <w:rPr>
                <w:rFonts w:ascii="Arial" w:hAnsi="Arial" w:cs="Arial"/>
                <w:b/>
                <w:sz w:val="16"/>
                <w:szCs w:val="16"/>
              </w:rPr>
              <w:t xml:space="preserve">134.217.683 </w:t>
            </w:r>
          </w:p>
        </w:tc>
        <w:tc>
          <w:tcPr>
            <w:tcW w:w="208" w:type="dxa"/>
            <w:tcBorders>
              <w:top w:val="single" w:sz="8" w:space="0" w:color="auto"/>
              <w:left w:val="nil"/>
              <w:bottom w:val="single" w:sz="8" w:space="0" w:color="auto"/>
              <w:right w:val="single" w:sz="4" w:space="0" w:color="auto"/>
            </w:tcBorders>
            <w:shd w:val="clear" w:color="auto" w:fill="auto"/>
            <w:noWrap/>
            <w:vAlign w:val="bottom"/>
            <w:hideMark/>
          </w:tcPr>
          <w:p w14:paraId="1EE9AE5F" w14:textId="77777777" w:rsidR="002F0310" w:rsidRPr="005172F5" w:rsidRDefault="002F0310" w:rsidP="002F0310">
            <w:pPr>
              <w:jc w:val="right"/>
              <w:rPr>
                <w:rFonts w:ascii="Arial" w:hAnsi="Arial" w:cs="Arial"/>
                <w:b/>
                <w:sz w:val="16"/>
                <w:szCs w:val="16"/>
              </w:rPr>
            </w:pP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14:paraId="05D325FE" w14:textId="424F6FB4" w:rsidR="002F0310" w:rsidRPr="005172F5" w:rsidRDefault="005172F5" w:rsidP="002F0310">
            <w:pPr>
              <w:jc w:val="right"/>
              <w:rPr>
                <w:rFonts w:ascii="Arial" w:hAnsi="Arial" w:cs="Arial"/>
                <w:b/>
                <w:sz w:val="16"/>
                <w:szCs w:val="16"/>
              </w:rPr>
            </w:pPr>
            <w:r w:rsidRPr="005172F5">
              <w:rPr>
                <w:rFonts w:ascii="Arial" w:hAnsi="Arial" w:cs="Arial"/>
                <w:b/>
                <w:sz w:val="16"/>
                <w:szCs w:val="16"/>
              </w:rPr>
              <w:t>32.498.57</w:t>
            </w:r>
            <w:r w:rsidR="007F1DD8">
              <w:rPr>
                <w:rFonts w:ascii="Arial" w:hAnsi="Arial" w:cs="Arial"/>
                <w:b/>
                <w:sz w:val="16"/>
                <w:szCs w:val="16"/>
              </w:rPr>
              <w:t>1</w:t>
            </w:r>
            <w:r w:rsidR="002F0310" w:rsidRPr="005172F5">
              <w:rPr>
                <w:rFonts w:ascii="Arial" w:hAnsi="Arial" w:cs="Arial"/>
                <w:b/>
                <w:sz w:val="16"/>
                <w:szCs w:val="16"/>
              </w:rPr>
              <w:t xml:space="preserve"> </w:t>
            </w:r>
          </w:p>
        </w:tc>
        <w:tc>
          <w:tcPr>
            <w:tcW w:w="1090" w:type="dxa"/>
            <w:tcBorders>
              <w:top w:val="single" w:sz="8" w:space="0" w:color="auto"/>
              <w:left w:val="nil"/>
              <w:bottom w:val="single" w:sz="8" w:space="0" w:color="auto"/>
              <w:right w:val="single" w:sz="4" w:space="0" w:color="auto"/>
            </w:tcBorders>
            <w:shd w:val="clear" w:color="auto" w:fill="auto"/>
            <w:noWrap/>
            <w:vAlign w:val="bottom"/>
            <w:hideMark/>
          </w:tcPr>
          <w:p w14:paraId="10652C96" w14:textId="77777777" w:rsidR="002F0310" w:rsidRPr="005172F5" w:rsidRDefault="002F0310" w:rsidP="002F0310">
            <w:pPr>
              <w:jc w:val="right"/>
              <w:rPr>
                <w:rFonts w:ascii="Arial" w:hAnsi="Arial" w:cs="Arial"/>
                <w:b/>
                <w:sz w:val="16"/>
                <w:szCs w:val="16"/>
              </w:rPr>
            </w:pPr>
            <w:r w:rsidRPr="005172F5">
              <w:rPr>
                <w:rFonts w:ascii="Arial" w:hAnsi="Arial" w:cs="Arial"/>
                <w:b/>
                <w:sz w:val="16"/>
                <w:szCs w:val="16"/>
              </w:rPr>
              <w:t xml:space="preserve">-   </w:t>
            </w:r>
          </w:p>
        </w:tc>
        <w:tc>
          <w:tcPr>
            <w:tcW w:w="1046" w:type="dxa"/>
            <w:tcBorders>
              <w:top w:val="single" w:sz="8" w:space="0" w:color="auto"/>
              <w:left w:val="nil"/>
              <w:bottom w:val="single" w:sz="8" w:space="0" w:color="auto"/>
              <w:right w:val="single" w:sz="8" w:space="0" w:color="auto"/>
            </w:tcBorders>
            <w:shd w:val="clear" w:color="auto" w:fill="auto"/>
            <w:noWrap/>
            <w:vAlign w:val="bottom"/>
            <w:hideMark/>
          </w:tcPr>
          <w:p w14:paraId="146C2985" w14:textId="4D11C030" w:rsidR="002F0310" w:rsidRPr="005172F5" w:rsidRDefault="005172F5" w:rsidP="002F0310">
            <w:pPr>
              <w:jc w:val="right"/>
              <w:rPr>
                <w:rFonts w:ascii="Arial" w:hAnsi="Arial" w:cs="Arial"/>
                <w:b/>
                <w:sz w:val="16"/>
                <w:szCs w:val="16"/>
              </w:rPr>
            </w:pPr>
            <w:r w:rsidRPr="005172F5">
              <w:rPr>
                <w:rFonts w:ascii="Arial" w:hAnsi="Arial" w:cs="Arial"/>
                <w:b/>
                <w:sz w:val="16"/>
                <w:szCs w:val="16"/>
              </w:rPr>
              <w:t>101.719.112</w:t>
            </w:r>
            <w:r w:rsidR="002F0310" w:rsidRPr="005172F5">
              <w:rPr>
                <w:rFonts w:ascii="Arial" w:hAnsi="Arial" w:cs="Arial"/>
                <w:b/>
                <w:sz w:val="16"/>
                <w:szCs w:val="16"/>
              </w:rPr>
              <w:t xml:space="preserve"> </w:t>
            </w:r>
          </w:p>
        </w:tc>
      </w:tr>
      <w:tr w:rsidR="00C43BF8" w:rsidRPr="00A376FF" w14:paraId="0A14841B" w14:textId="77777777" w:rsidTr="002775B9">
        <w:trPr>
          <w:trHeight w:val="232"/>
          <w:jc w:val="center"/>
        </w:trPr>
        <w:tc>
          <w:tcPr>
            <w:tcW w:w="4298" w:type="dxa"/>
            <w:tcBorders>
              <w:top w:val="nil"/>
              <w:left w:val="single" w:sz="8" w:space="0" w:color="auto"/>
              <w:bottom w:val="single" w:sz="4" w:space="0" w:color="auto"/>
              <w:right w:val="nil"/>
            </w:tcBorders>
            <w:shd w:val="clear" w:color="auto" w:fill="auto"/>
            <w:noWrap/>
            <w:vAlign w:val="center"/>
            <w:hideMark/>
          </w:tcPr>
          <w:p w14:paraId="4C1F1D40" w14:textId="77777777" w:rsidR="00C43BF8" w:rsidRPr="00613EB0" w:rsidRDefault="00C43BF8" w:rsidP="00C43BF8">
            <w:pPr>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202" w:type="dxa"/>
            <w:tcBorders>
              <w:top w:val="nil"/>
              <w:left w:val="nil"/>
              <w:bottom w:val="single" w:sz="4" w:space="0" w:color="auto"/>
              <w:right w:val="nil"/>
            </w:tcBorders>
            <w:shd w:val="clear" w:color="auto" w:fill="auto"/>
            <w:noWrap/>
            <w:vAlign w:val="bottom"/>
            <w:hideMark/>
          </w:tcPr>
          <w:p w14:paraId="60B1EC3A" w14:textId="77777777" w:rsidR="00C43BF8" w:rsidRPr="00C81C97" w:rsidRDefault="00C43BF8" w:rsidP="00C43BF8">
            <w:pPr>
              <w:jc w:val="right"/>
              <w:rPr>
                <w:rFonts w:ascii="Arial" w:hAnsi="Arial" w:cs="Arial"/>
                <w:b/>
                <w:bCs/>
                <w:i/>
                <w:iCs/>
                <w:color w:val="000000"/>
                <w:sz w:val="16"/>
                <w:szCs w:val="16"/>
                <w:lang w:eastAsia="es-AR"/>
              </w:rPr>
            </w:pPr>
          </w:p>
        </w:tc>
        <w:tc>
          <w:tcPr>
            <w:tcW w:w="1317" w:type="dxa"/>
            <w:tcBorders>
              <w:top w:val="nil"/>
              <w:left w:val="nil"/>
              <w:bottom w:val="single" w:sz="4" w:space="0" w:color="auto"/>
              <w:right w:val="nil"/>
            </w:tcBorders>
            <w:shd w:val="clear" w:color="auto" w:fill="auto"/>
            <w:vAlign w:val="bottom"/>
            <w:hideMark/>
          </w:tcPr>
          <w:p w14:paraId="24C04DF4"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c>
          <w:tcPr>
            <w:tcW w:w="208" w:type="dxa"/>
            <w:tcBorders>
              <w:top w:val="nil"/>
              <w:left w:val="nil"/>
              <w:bottom w:val="single" w:sz="4" w:space="0" w:color="auto"/>
              <w:right w:val="nil"/>
            </w:tcBorders>
            <w:shd w:val="clear" w:color="auto" w:fill="auto"/>
            <w:vAlign w:val="center"/>
            <w:hideMark/>
          </w:tcPr>
          <w:p w14:paraId="007B5E2A" w14:textId="77777777" w:rsidR="00C43BF8" w:rsidRPr="00613EB0" w:rsidRDefault="00C43BF8" w:rsidP="00C43BF8">
            <w:pPr>
              <w:jc w:val="right"/>
              <w:rPr>
                <w:rFonts w:ascii="Arial" w:hAnsi="Arial" w:cs="Arial"/>
                <w:b/>
                <w:bCs/>
                <w:i/>
                <w:iCs/>
                <w:color w:val="000000"/>
                <w:sz w:val="16"/>
                <w:szCs w:val="16"/>
                <w:lang w:eastAsia="es-AR"/>
              </w:rPr>
            </w:pPr>
            <w:r w:rsidRPr="00613EB0">
              <w:rPr>
                <w:rFonts w:ascii="Arial" w:hAnsi="Arial" w:cs="Arial"/>
                <w:b/>
                <w:bCs/>
                <w:i/>
                <w:iCs/>
                <w:color w:val="000000"/>
                <w:sz w:val="16"/>
                <w:szCs w:val="16"/>
              </w:rPr>
              <w:t> </w:t>
            </w:r>
          </w:p>
        </w:tc>
        <w:tc>
          <w:tcPr>
            <w:tcW w:w="992" w:type="dxa"/>
            <w:tcBorders>
              <w:top w:val="nil"/>
              <w:left w:val="nil"/>
              <w:bottom w:val="single" w:sz="4" w:space="0" w:color="auto"/>
              <w:right w:val="nil"/>
            </w:tcBorders>
            <w:shd w:val="clear" w:color="auto" w:fill="auto"/>
            <w:vAlign w:val="bottom"/>
            <w:hideMark/>
          </w:tcPr>
          <w:p w14:paraId="17D8208A"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c>
          <w:tcPr>
            <w:tcW w:w="1090" w:type="dxa"/>
            <w:tcBorders>
              <w:top w:val="nil"/>
              <w:left w:val="nil"/>
              <w:bottom w:val="single" w:sz="4" w:space="0" w:color="auto"/>
              <w:right w:val="nil"/>
            </w:tcBorders>
            <w:shd w:val="clear" w:color="auto" w:fill="auto"/>
            <w:vAlign w:val="bottom"/>
            <w:hideMark/>
          </w:tcPr>
          <w:p w14:paraId="59651936"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c>
          <w:tcPr>
            <w:tcW w:w="1046" w:type="dxa"/>
            <w:tcBorders>
              <w:top w:val="nil"/>
              <w:left w:val="nil"/>
              <w:bottom w:val="single" w:sz="4" w:space="0" w:color="auto"/>
              <w:right w:val="single" w:sz="8" w:space="0" w:color="auto"/>
            </w:tcBorders>
            <w:shd w:val="clear" w:color="auto" w:fill="auto"/>
            <w:vAlign w:val="bottom"/>
            <w:hideMark/>
          </w:tcPr>
          <w:p w14:paraId="1685121C"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r>
      <w:tr w:rsidR="005172F5" w:rsidRPr="00A376FF" w14:paraId="6F83D1DE"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hideMark/>
          </w:tcPr>
          <w:p w14:paraId="501CC1AB" w14:textId="77777777" w:rsidR="005172F5" w:rsidRPr="00613EB0" w:rsidRDefault="005172F5" w:rsidP="005172F5">
            <w:pPr>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202" w:type="dxa"/>
            <w:tcBorders>
              <w:top w:val="nil"/>
              <w:left w:val="nil"/>
              <w:bottom w:val="single" w:sz="4" w:space="0" w:color="auto"/>
              <w:right w:val="single" w:sz="4" w:space="0" w:color="auto"/>
            </w:tcBorders>
            <w:shd w:val="clear" w:color="auto" w:fill="auto"/>
            <w:noWrap/>
            <w:hideMark/>
          </w:tcPr>
          <w:p w14:paraId="7A3EB05C" w14:textId="56DE4495" w:rsidR="005172F5" w:rsidRPr="000B2F8E" w:rsidRDefault="005172F5" w:rsidP="005172F5">
            <w:pPr>
              <w:jc w:val="right"/>
              <w:rPr>
                <w:rFonts w:ascii="Arial" w:hAnsi="Arial" w:cs="Arial"/>
                <w:color w:val="000000"/>
                <w:sz w:val="16"/>
                <w:szCs w:val="16"/>
              </w:rPr>
            </w:pPr>
            <w:r w:rsidRPr="005172F5">
              <w:rPr>
                <w:rFonts w:ascii="Arial" w:hAnsi="Arial" w:cs="Arial"/>
                <w:color w:val="000000"/>
                <w:sz w:val="16"/>
                <w:szCs w:val="16"/>
              </w:rPr>
              <w:t xml:space="preserve"> 98.612.709 </w:t>
            </w:r>
          </w:p>
        </w:tc>
        <w:tc>
          <w:tcPr>
            <w:tcW w:w="1317" w:type="dxa"/>
            <w:tcBorders>
              <w:top w:val="nil"/>
              <w:left w:val="nil"/>
              <w:bottom w:val="single" w:sz="4" w:space="0" w:color="auto"/>
              <w:right w:val="single" w:sz="4" w:space="0" w:color="auto"/>
            </w:tcBorders>
            <w:shd w:val="clear" w:color="auto" w:fill="auto"/>
            <w:hideMark/>
          </w:tcPr>
          <w:p w14:paraId="5200A132" w14:textId="3A27C434" w:rsidR="005172F5" w:rsidRPr="000B2F8E" w:rsidRDefault="005172F5" w:rsidP="005172F5">
            <w:pPr>
              <w:jc w:val="right"/>
              <w:rPr>
                <w:rFonts w:ascii="Arial" w:hAnsi="Arial" w:cs="Arial"/>
                <w:color w:val="000000"/>
                <w:sz w:val="16"/>
                <w:szCs w:val="16"/>
              </w:rPr>
            </w:pPr>
            <w:r w:rsidRPr="005172F5">
              <w:rPr>
                <w:rFonts w:ascii="Arial" w:hAnsi="Arial" w:cs="Arial"/>
                <w:color w:val="000000"/>
                <w:sz w:val="16"/>
                <w:szCs w:val="16"/>
              </w:rPr>
              <w:t xml:space="preserve"> 100.709.848 </w:t>
            </w:r>
          </w:p>
        </w:tc>
        <w:tc>
          <w:tcPr>
            <w:tcW w:w="208" w:type="dxa"/>
            <w:tcBorders>
              <w:top w:val="nil"/>
              <w:left w:val="nil"/>
              <w:bottom w:val="single" w:sz="4" w:space="0" w:color="auto"/>
              <w:right w:val="single" w:sz="4" w:space="0" w:color="auto"/>
            </w:tcBorders>
            <w:shd w:val="clear" w:color="auto" w:fill="auto"/>
            <w:vAlign w:val="center"/>
            <w:hideMark/>
          </w:tcPr>
          <w:p w14:paraId="7D34EB07" w14:textId="77777777" w:rsidR="005172F5" w:rsidRPr="00613EB0" w:rsidRDefault="005172F5" w:rsidP="005172F5">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noWrap/>
            <w:vAlign w:val="center"/>
            <w:hideMark/>
          </w:tcPr>
          <w:p w14:paraId="72297303" w14:textId="77777777" w:rsidR="005172F5" w:rsidRPr="000B2F8E" w:rsidRDefault="005172F5" w:rsidP="005172F5">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90" w:type="dxa"/>
            <w:tcBorders>
              <w:top w:val="nil"/>
              <w:left w:val="nil"/>
              <w:bottom w:val="single" w:sz="4" w:space="0" w:color="auto"/>
              <w:right w:val="single" w:sz="4" w:space="0" w:color="auto"/>
            </w:tcBorders>
            <w:shd w:val="clear" w:color="auto" w:fill="auto"/>
            <w:noWrap/>
            <w:vAlign w:val="center"/>
            <w:hideMark/>
          </w:tcPr>
          <w:p w14:paraId="3B2E2384" w14:textId="77777777" w:rsidR="005172F5" w:rsidRPr="000B2F8E" w:rsidRDefault="005172F5" w:rsidP="005172F5">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nil"/>
              <w:left w:val="nil"/>
              <w:bottom w:val="single" w:sz="4" w:space="0" w:color="auto"/>
              <w:right w:val="single" w:sz="8" w:space="0" w:color="auto"/>
            </w:tcBorders>
            <w:shd w:val="clear" w:color="auto" w:fill="auto"/>
            <w:noWrap/>
            <w:vAlign w:val="center"/>
            <w:hideMark/>
          </w:tcPr>
          <w:p w14:paraId="7415484E" w14:textId="58A22142" w:rsidR="005172F5" w:rsidRPr="000B2F8E" w:rsidRDefault="005172F5" w:rsidP="005172F5">
            <w:pPr>
              <w:jc w:val="right"/>
              <w:rPr>
                <w:rFonts w:ascii="Arial" w:hAnsi="Arial" w:cs="Arial"/>
                <w:color w:val="000000"/>
                <w:sz w:val="16"/>
                <w:szCs w:val="16"/>
                <w:lang w:eastAsia="es-AR"/>
              </w:rPr>
            </w:pPr>
            <w:r>
              <w:rPr>
                <w:rFonts w:ascii="Arial" w:hAnsi="Arial" w:cs="Arial"/>
                <w:color w:val="000000"/>
                <w:sz w:val="16"/>
                <w:szCs w:val="16"/>
              </w:rPr>
              <w:t>100.709.848</w:t>
            </w:r>
            <w:r w:rsidRPr="00613EB0">
              <w:rPr>
                <w:rFonts w:ascii="Arial" w:hAnsi="Arial" w:cs="Arial"/>
                <w:color w:val="000000"/>
                <w:sz w:val="16"/>
                <w:szCs w:val="16"/>
              </w:rPr>
              <w:t xml:space="preserve"> </w:t>
            </w:r>
          </w:p>
        </w:tc>
      </w:tr>
      <w:tr w:rsidR="005172F5" w:rsidRPr="00A376FF" w14:paraId="7C4A2321"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tcPr>
          <w:p w14:paraId="504BA5A4" w14:textId="659D694A" w:rsidR="005172F5" w:rsidRPr="00613EB0" w:rsidRDefault="005172F5" w:rsidP="005172F5">
            <w:pPr>
              <w:rPr>
                <w:rFonts w:ascii="Arial" w:hAnsi="Arial" w:cs="Arial"/>
                <w:color w:val="000000"/>
                <w:sz w:val="16"/>
                <w:szCs w:val="16"/>
                <w:lang w:eastAsia="es-AR"/>
              </w:rPr>
            </w:pPr>
            <w:r w:rsidRPr="005172F5">
              <w:rPr>
                <w:rFonts w:ascii="Arial" w:hAnsi="Arial" w:cs="Arial"/>
                <w:color w:val="000000"/>
                <w:sz w:val="16"/>
                <w:szCs w:val="16"/>
                <w:lang w:eastAsia="es-AR"/>
              </w:rPr>
              <w:t>- Operaciones de pase</w:t>
            </w:r>
          </w:p>
        </w:tc>
        <w:tc>
          <w:tcPr>
            <w:tcW w:w="1202" w:type="dxa"/>
            <w:tcBorders>
              <w:top w:val="nil"/>
              <w:left w:val="nil"/>
              <w:bottom w:val="single" w:sz="4" w:space="0" w:color="auto"/>
              <w:right w:val="single" w:sz="4" w:space="0" w:color="auto"/>
            </w:tcBorders>
            <w:shd w:val="clear" w:color="auto" w:fill="auto"/>
            <w:noWrap/>
          </w:tcPr>
          <w:p w14:paraId="011E5940" w14:textId="1ABBF83D" w:rsidR="005172F5" w:rsidRPr="005172F5" w:rsidRDefault="005172F5" w:rsidP="005172F5">
            <w:pPr>
              <w:jc w:val="right"/>
              <w:rPr>
                <w:rFonts w:ascii="Arial" w:hAnsi="Arial" w:cs="Arial"/>
                <w:color w:val="000000"/>
                <w:sz w:val="16"/>
                <w:szCs w:val="16"/>
              </w:rPr>
            </w:pPr>
            <w:r>
              <w:rPr>
                <w:rFonts w:ascii="Arial" w:hAnsi="Arial" w:cs="Arial"/>
                <w:color w:val="000000"/>
                <w:sz w:val="16"/>
                <w:szCs w:val="16"/>
              </w:rPr>
              <w:t>344.76</w:t>
            </w:r>
            <w:r w:rsidR="00377D7F">
              <w:rPr>
                <w:rFonts w:ascii="Arial" w:hAnsi="Arial" w:cs="Arial"/>
                <w:color w:val="000000"/>
                <w:sz w:val="16"/>
                <w:szCs w:val="16"/>
              </w:rPr>
              <w:t>2</w:t>
            </w:r>
          </w:p>
        </w:tc>
        <w:tc>
          <w:tcPr>
            <w:tcW w:w="1317" w:type="dxa"/>
            <w:tcBorders>
              <w:top w:val="nil"/>
              <w:left w:val="nil"/>
              <w:bottom w:val="single" w:sz="4" w:space="0" w:color="auto"/>
              <w:right w:val="single" w:sz="4" w:space="0" w:color="auto"/>
            </w:tcBorders>
            <w:shd w:val="clear" w:color="auto" w:fill="auto"/>
          </w:tcPr>
          <w:p w14:paraId="0452A978" w14:textId="382EEC1D" w:rsidR="005172F5" w:rsidRPr="005172F5" w:rsidRDefault="005172F5" w:rsidP="005172F5">
            <w:pPr>
              <w:jc w:val="right"/>
              <w:rPr>
                <w:rFonts w:ascii="Arial" w:hAnsi="Arial" w:cs="Arial"/>
                <w:color w:val="000000"/>
                <w:sz w:val="16"/>
                <w:szCs w:val="16"/>
              </w:rPr>
            </w:pPr>
            <w:r>
              <w:rPr>
                <w:rFonts w:ascii="Arial" w:hAnsi="Arial" w:cs="Arial"/>
                <w:color w:val="000000"/>
                <w:sz w:val="16"/>
                <w:szCs w:val="16"/>
              </w:rPr>
              <w:t>344.76</w:t>
            </w:r>
            <w:r w:rsidR="00377D7F">
              <w:rPr>
                <w:rFonts w:ascii="Arial" w:hAnsi="Arial" w:cs="Arial"/>
                <w:color w:val="000000"/>
                <w:sz w:val="16"/>
                <w:szCs w:val="16"/>
              </w:rPr>
              <w:t>2</w:t>
            </w:r>
          </w:p>
        </w:tc>
        <w:tc>
          <w:tcPr>
            <w:tcW w:w="208" w:type="dxa"/>
            <w:tcBorders>
              <w:top w:val="nil"/>
              <w:left w:val="nil"/>
              <w:bottom w:val="single" w:sz="4" w:space="0" w:color="auto"/>
              <w:right w:val="single" w:sz="4" w:space="0" w:color="auto"/>
            </w:tcBorders>
            <w:shd w:val="clear" w:color="auto" w:fill="auto"/>
            <w:vAlign w:val="center"/>
          </w:tcPr>
          <w:p w14:paraId="723C236E" w14:textId="77777777" w:rsidR="005172F5" w:rsidRPr="00613EB0" w:rsidRDefault="005172F5" w:rsidP="005172F5">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noWrap/>
            <w:vAlign w:val="center"/>
          </w:tcPr>
          <w:p w14:paraId="08281933" w14:textId="7B24F7F6" w:rsidR="005172F5" w:rsidRPr="00613EB0" w:rsidRDefault="005172F5" w:rsidP="005172F5">
            <w:pPr>
              <w:jc w:val="right"/>
              <w:rPr>
                <w:rFonts w:ascii="Arial" w:hAnsi="Arial" w:cs="Arial"/>
                <w:color w:val="000000"/>
                <w:sz w:val="16"/>
                <w:szCs w:val="16"/>
              </w:rPr>
            </w:pPr>
            <w:r>
              <w:rPr>
                <w:rFonts w:ascii="Arial" w:hAnsi="Arial" w:cs="Arial"/>
                <w:color w:val="000000"/>
                <w:sz w:val="16"/>
                <w:szCs w:val="16"/>
              </w:rPr>
              <w:t>344.76</w:t>
            </w:r>
            <w:r w:rsidR="00377D7F">
              <w:rPr>
                <w:rFonts w:ascii="Arial" w:hAnsi="Arial" w:cs="Arial"/>
                <w:color w:val="000000"/>
                <w:sz w:val="16"/>
                <w:szCs w:val="16"/>
              </w:rPr>
              <w:t>2</w:t>
            </w:r>
          </w:p>
        </w:tc>
        <w:tc>
          <w:tcPr>
            <w:tcW w:w="1090" w:type="dxa"/>
            <w:tcBorders>
              <w:top w:val="nil"/>
              <w:left w:val="nil"/>
              <w:bottom w:val="single" w:sz="4" w:space="0" w:color="auto"/>
              <w:right w:val="single" w:sz="4" w:space="0" w:color="auto"/>
            </w:tcBorders>
            <w:shd w:val="clear" w:color="auto" w:fill="auto"/>
            <w:noWrap/>
            <w:vAlign w:val="center"/>
          </w:tcPr>
          <w:p w14:paraId="055B72DA" w14:textId="40ED8321" w:rsidR="005172F5" w:rsidRPr="00613EB0" w:rsidRDefault="00377D7F" w:rsidP="005172F5">
            <w:pPr>
              <w:jc w:val="right"/>
              <w:rPr>
                <w:rFonts w:ascii="Arial" w:hAnsi="Arial" w:cs="Arial"/>
                <w:color w:val="000000"/>
                <w:sz w:val="16"/>
                <w:szCs w:val="16"/>
              </w:rPr>
            </w:pPr>
            <w:r>
              <w:rPr>
                <w:rFonts w:ascii="Arial" w:hAnsi="Arial" w:cs="Arial"/>
                <w:color w:val="000000"/>
                <w:sz w:val="16"/>
                <w:szCs w:val="16"/>
              </w:rPr>
              <w:t>-</w:t>
            </w:r>
          </w:p>
        </w:tc>
        <w:tc>
          <w:tcPr>
            <w:tcW w:w="1046" w:type="dxa"/>
            <w:tcBorders>
              <w:top w:val="nil"/>
              <w:left w:val="nil"/>
              <w:bottom w:val="single" w:sz="4" w:space="0" w:color="auto"/>
              <w:right w:val="single" w:sz="8" w:space="0" w:color="auto"/>
            </w:tcBorders>
            <w:shd w:val="clear" w:color="auto" w:fill="auto"/>
            <w:noWrap/>
            <w:vAlign w:val="center"/>
          </w:tcPr>
          <w:p w14:paraId="2051C6F3" w14:textId="72CC62C0" w:rsidR="005172F5" w:rsidRPr="00613EB0" w:rsidRDefault="00377D7F" w:rsidP="005172F5">
            <w:pPr>
              <w:jc w:val="right"/>
              <w:rPr>
                <w:rFonts w:ascii="Arial" w:hAnsi="Arial" w:cs="Arial"/>
                <w:color w:val="000000"/>
                <w:sz w:val="16"/>
                <w:szCs w:val="16"/>
              </w:rPr>
            </w:pPr>
            <w:r>
              <w:rPr>
                <w:rFonts w:ascii="Arial" w:hAnsi="Arial" w:cs="Arial"/>
                <w:color w:val="000000"/>
                <w:sz w:val="16"/>
                <w:szCs w:val="16"/>
              </w:rPr>
              <w:t>-</w:t>
            </w:r>
          </w:p>
        </w:tc>
      </w:tr>
      <w:tr w:rsidR="00C43BF8" w:rsidRPr="00A376FF" w14:paraId="658C995B" w14:textId="77777777" w:rsidTr="002775B9">
        <w:trPr>
          <w:trHeight w:val="232"/>
          <w:jc w:val="center"/>
        </w:trPr>
        <w:tc>
          <w:tcPr>
            <w:tcW w:w="42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F172377"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lastRenderedPageBreak/>
              <w:t>-Otros pasivos financieros</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25B862C6" w14:textId="08388177" w:rsidR="00C43BF8" w:rsidRPr="000B2F8E" w:rsidRDefault="005172F5" w:rsidP="00C43BF8">
            <w:pPr>
              <w:jc w:val="right"/>
              <w:rPr>
                <w:rFonts w:ascii="Arial" w:hAnsi="Arial" w:cs="Arial"/>
                <w:color w:val="000000"/>
                <w:sz w:val="16"/>
                <w:szCs w:val="16"/>
                <w:lang w:eastAsia="es-AR"/>
              </w:rPr>
            </w:pPr>
            <w:r w:rsidRPr="005172F5">
              <w:rPr>
                <w:rFonts w:ascii="Arial" w:hAnsi="Arial" w:cs="Arial"/>
                <w:sz w:val="16"/>
                <w:szCs w:val="16"/>
              </w:rPr>
              <w:t>993.712</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14:paraId="2DB217E7" w14:textId="3A1E589F" w:rsidR="00C43BF8" w:rsidRPr="000B2F8E" w:rsidRDefault="005172F5" w:rsidP="00C43BF8">
            <w:pPr>
              <w:jc w:val="right"/>
              <w:rPr>
                <w:rFonts w:ascii="Arial" w:hAnsi="Arial" w:cs="Arial"/>
                <w:color w:val="000000"/>
                <w:sz w:val="16"/>
                <w:szCs w:val="16"/>
                <w:lang w:eastAsia="es-AR"/>
              </w:rPr>
            </w:pPr>
            <w:r w:rsidRPr="005172F5">
              <w:rPr>
                <w:rFonts w:ascii="Arial" w:hAnsi="Arial" w:cs="Arial"/>
                <w:color w:val="000000"/>
                <w:sz w:val="16"/>
                <w:szCs w:val="16"/>
              </w:rPr>
              <w:t>993.712</w:t>
            </w:r>
          </w:p>
        </w:tc>
        <w:tc>
          <w:tcPr>
            <w:tcW w:w="208" w:type="dxa"/>
            <w:tcBorders>
              <w:top w:val="single" w:sz="4" w:space="0" w:color="auto"/>
              <w:left w:val="nil"/>
              <w:bottom w:val="single" w:sz="4" w:space="0" w:color="auto"/>
              <w:right w:val="single" w:sz="4" w:space="0" w:color="auto"/>
            </w:tcBorders>
            <w:shd w:val="clear" w:color="auto" w:fill="auto"/>
            <w:vAlign w:val="center"/>
            <w:hideMark/>
          </w:tcPr>
          <w:p w14:paraId="244BC7D2" w14:textId="77777777" w:rsidR="00C43BF8" w:rsidRPr="00613EB0" w:rsidRDefault="00C43BF8" w:rsidP="00C43BF8">
            <w:pPr>
              <w:jc w:val="right"/>
              <w:rPr>
                <w:rFonts w:ascii="Arial" w:hAnsi="Arial" w:cs="Arial"/>
                <w:color w:val="000000"/>
                <w:sz w:val="16"/>
                <w:szCs w:val="16"/>
                <w:lang w:eastAsia="es-AR"/>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3D8109" w14:textId="5E54E080" w:rsidR="00C43BF8" w:rsidRPr="000B2F8E" w:rsidRDefault="005172F5" w:rsidP="00C43BF8">
            <w:pPr>
              <w:jc w:val="right"/>
              <w:rPr>
                <w:rFonts w:ascii="Arial" w:hAnsi="Arial" w:cs="Arial"/>
                <w:color w:val="000000"/>
                <w:sz w:val="16"/>
                <w:szCs w:val="16"/>
                <w:lang w:eastAsia="es-AR"/>
              </w:rPr>
            </w:pPr>
            <w:r w:rsidRPr="005172F5">
              <w:rPr>
                <w:rFonts w:ascii="Arial" w:hAnsi="Arial" w:cs="Arial"/>
                <w:color w:val="000000"/>
                <w:sz w:val="16"/>
                <w:szCs w:val="16"/>
              </w:rPr>
              <w:t>993.712</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14:paraId="748BDD28"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single" w:sz="4" w:space="0" w:color="auto"/>
              <w:left w:val="nil"/>
              <w:bottom w:val="single" w:sz="4" w:space="0" w:color="auto"/>
              <w:right w:val="single" w:sz="8" w:space="0" w:color="auto"/>
            </w:tcBorders>
            <w:shd w:val="clear" w:color="auto" w:fill="auto"/>
            <w:noWrap/>
            <w:vAlign w:val="bottom"/>
            <w:hideMark/>
          </w:tcPr>
          <w:p w14:paraId="34B02BC9"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4255D9BE"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hideMark/>
          </w:tcPr>
          <w:p w14:paraId="5DE42201"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202" w:type="dxa"/>
            <w:tcBorders>
              <w:top w:val="nil"/>
              <w:left w:val="nil"/>
              <w:bottom w:val="single" w:sz="4" w:space="0" w:color="auto"/>
              <w:right w:val="single" w:sz="4" w:space="0" w:color="auto"/>
            </w:tcBorders>
            <w:shd w:val="clear" w:color="auto" w:fill="auto"/>
            <w:noWrap/>
            <w:vAlign w:val="bottom"/>
            <w:hideMark/>
          </w:tcPr>
          <w:p w14:paraId="13F97A6D" w14:textId="47F4CB8A" w:rsidR="00C43BF8" w:rsidRPr="00EC349E" w:rsidRDefault="005172F5" w:rsidP="00C43BF8">
            <w:pPr>
              <w:jc w:val="right"/>
              <w:rPr>
                <w:rFonts w:ascii="Arial" w:hAnsi="Arial" w:cs="Arial"/>
                <w:color w:val="000000"/>
                <w:sz w:val="16"/>
                <w:szCs w:val="16"/>
                <w:lang w:eastAsia="es-AR"/>
              </w:rPr>
            </w:pPr>
            <w:r w:rsidRPr="005172F5">
              <w:rPr>
                <w:rFonts w:ascii="Arial" w:hAnsi="Arial" w:cs="Arial"/>
                <w:sz w:val="16"/>
                <w:szCs w:val="16"/>
              </w:rPr>
              <w:t>9.717.746</w:t>
            </w:r>
          </w:p>
        </w:tc>
        <w:tc>
          <w:tcPr>
            <w:tcW w:w="1317" w:type="dxa"/>
            <w:tcBorders>
              <w:top w:val="nil"/>
              <w:left w:val="nil"/>
              <w:bottom w:val="single" w:sz="4" w:space="0" w:color="auto"/>
              <w:right w:val="single" w:sz="4" w:space="0" w:color="auto"/>
            </w:tcBorders>
            <w:shd w:val="clear" w:color="auto" w:fill="auto"/>
            <w:vAlign w:val="bottom"/>
            <w:hideMark/>
          </w:tcPr>
          <w:p w14:paraId="64DA56F3" w14:textId="6355D499" w:rsidR="00C43BF8" w:rsidRPr="00EC349E" w:rsidRDefault="005172F5" w:rsidP="00C43BF8">
            <w:pPr>
              <w:jc w:val="right"/>
              <w:rPr>
                <w:rFonts w:ascii="Arial" w:hAnsi="Arial" w:cs="Arial"/>
                <w:color w:val="000000"/>
                <w:sz w:val="16"/>
                <w:szCs w:val="16"/>
                <w:lang w:eastAsia="es-AR"/>
              </w:rPr>
            </w:pPr>
            <w:r w:rsidRPr="005172F5">
              <w:rPr>
                <w:rFonts w:ascii="Arial" w:hAnsi="Arial" w:cs="Arial"/>
                <w:color w:val="000000"/>
                <w:sz w:val="16"/>
                <w:szCs w:val="16"/>
              </w:rPr>
              <w:t>10.894.314</w:t>
            </w:r>
          </w:p>
        </w:tc>
        <w:tc>
          <w:tcPr>
            <w:tcW w:w="208" w:type="dxa"/>
            <w:tcBorders>
              <w:top w:val="nil"/>
              <w:left w:val="nil"/>
              <w:bottom w:val="single" w:sz="4" w:space="0" w:color="auto"/>
              <w:right w:val="single" w:sz="4" w:space="0" w:color="auto"/>
            </w:tcBorders>
            <w:shd w:val="clear" w:color="auto" w:fill="auto"/>
            <w:vAlign w:val="center"/>
            <w:hideMark/>
          </w:tcPr>
          <w:p w14:paraId="2746A0B0" w14:textId="77777777" w:rsidR="00C43BF8" w:rsidRPr="00613EB0" w:rsidRDefault="00C43BF8" w:rsidP="00C43BF8">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noWrap/>
            <w:vAlign w:val="center"/>
            <w:hideMark/>
          </w:tcPr>
          <w:p w14:paraId="5B8F55CE"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90" w:type="dxa"/>
            <w:tcBorders>
              <w:top w:val="nil"/>
              <w:left w:val="nil"/>
              <w:bottom w:val="single" w:sz="4" w:space="0" w:color="auto"/>
              <w:right w:val="single" w:sz="4" w:space="0" w:color="auto"/>
            </w:tcBorders>
            <w:shd w:val="clear" w:color="auto" w:fill="auto"/>
            <w:noWrap/>
            <w:vAlign w:val="bottom"/>
            <w:hideMark/>
          </w:tcPr>
          <w:p w14:paraId="24DB9FD2"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nil"/>
              <w:left w:val="nil"/>
              <w:bottom w:val="single" w:sz="4" w:space="0" w:color="auto"/>
              <w:right w:val="single" w:sz="8" w:space="0" w:color="auto"/>
            </w:tcBorders>
            <w:shd w:val="clear" w:color="auto" w:fill="auto"/>
            <w:noWrap/>
            <w:vAlign w:val="bottom"/>
            <w:hideMark/>
          </w:tcPr>
          <w:p w14:paraId="188F08EB" w14:textId="421FDE15" w:rsidR="00C43BF8" w:rsidRPr="000B2F8E" w:rsidRDefault="005172F5" w:rsidP="00C43BF8">
            <w:pPr>
              <w:jc w:val="right"/>
              <w:rPr>
                <w:rFonts w:ascii="Arial" w:hAnsi="Arial" w:cs="Arial"/>
                <w:color w:val="000000"/>
                <w:sz w:val="16"/>
                <w:szCs w:val="16"/>
                <w:lang w:eastAsia="es-AR"/>
              </w:rPr>
            </w:pPr>
            <w:r w:rsidRPr="005172F5">
              <w:rPr>
                <w:rFonts w:ascii="Arial" w:hAnsi="Arial" w:cs="Arial"/>
                <w:color w:val="000000"/>
                <w:sz w:val="16"/>
                <w:szCs w:val="16"/>
              </w:rPr>
              <w:t>10.894.314</w:t>
            </w:r>
          </w:p>
        </w:tc>
      </w:tr>
      <w:tr w:rsidR="00C43BF8" w:rsidRPr="00A376FF" w14:paraId="34C62693" w14:textId="77777777" w:rsidTr="002775B9">
        <w:trPr>
          <w:trHeight w:val="232"/>
          <w:jc w:val="center"/>
        </w:trPr>
        <w:tc>
          <w:tcPr>
            <w:tcW w:w="4298" w:type="dxa"/>
            <w:tcBorders>
              <w:top w:val="nil"/>
              <w:left w:val="single" w:sz="8" w:space="0" w:color="auto"/>
              <w:bottom w:val="single" w:sz="4" w:space="0" w:color="auto"/>
              <w:right w:val="single" w:sz="4" w:space="0" w:color="auto"/>
            </w:tcBorders>
            <w:shd w:val="clear" w:color="auto" w:fill="auto"/>
            <w:noWrap/>
            <w:vAlign w:val="center"/>
            <w:hideMark/>
          </w:tcPr>
          <w:p w14:paraId="728F149A"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202" w:type="dxa"/>
            <w:tcBorders>
              <w:top w:val="nil"/>
              <w:left w:val="nil"/>
              <w:bottom w:val="single" w:sz="4" w:space="0" w:color="auto"/>
              <w:right w:val="single" w:sz="4" w:space="0" w:color="auto"/>
            </w:tcBorders>
            <w:shd w:val="clear" w:color="auto" w:fill="auto"/>
            <w:noWrap/>
            <w:vAlign w:val="bottom"/>
            <w:hideMark/>
          </w:tcPr>
          <w:p w14:paraId="76165C31" w14:textId="0E3289F1" w:rsidR="00C43BF8" w:rsidRPr="000B2F8E" w:rsidRDefault="005172F5" w:rsidP="00C43BF8">
            <w:pPr>
              <w:jc w:val="right"/>
              <w:rPr>
                <w:rFonts w:ascii="Arial" w:hAnsi="Arial" w:cs="Arial"/>
                <w:color w:val="000000"/>
                <w:sz w:val="16"/>
                <w:szCs w:val="16"/>
                <w:lang w:eastAsia="es-AR"/>
              </w:rPr>
            </w:pPr>
            <w:r w:rsidRPr="005172F5">
              <w:rPr>
                <w:rFonts w:ascii="Arial" w:hAnsi="Arial" w:cs="Arial"/>
                <w:sz w:val="16"/>
                <w:szCs w:val="16"/>
              </w:rPr>
              <w:t>6.544.450</w:t>
            </w:r>
          </w:p>
        </w:tc>
        <w:tc>
          <w:tcPr>
            <w:tcW w:w="1317" w:type="dxa"/>
            <w:tcBorders>
              <w:top w:val="nil"/>
              <w:left w:val="nil"/>
              <w:bottom w:val="single" w:sz="4" w:space="0" w:color="auto"/>
              <w:right w:val="single" w:sz="4" w:space="0" w:color="auto"/>
            </w:tcBorders>
            <w:shd w:val="clear" w:color="auto" w:fill="auto"/>
            <w:vAlign w:val="center"/>
            <w:hideMark/>
          </w:tcPr>
          <w:p w14:paraId="52DBB491" w14:textId="3CBAF6A2" w:rsidR="00C43BF8" w:rsidRPr="000B2F8E" w:rsidRDefault="005172F5" w:rsidP="00C43BF8">
            <w:pPr>
              <w:jc w:val="right"/>
              <w:rPr>
                <w:rFonts w:ascii="Arial" w:hAnsi="Arial" w:cs="Arial"/>
                <w:color w:val="000000"/>
                <w:sz w:val="16"/>
                <w:szCs w:val="16"/>
                <w:lang w:eastAsia="es-AR"/>
              </w:rPr>
            </w:pPr>
            <w:r w:rsidRPr="005172F5">
              <w:rPr>
                <w:rFonts w:ascii="Arial" w:hAnsi="Arial" w:cs="Arial"/>
                <w:color w:val="000000"/>
                <w:sz w:val="16"/>
                <w:szCs w:val="16"/>
              </w:rPr>
              <w:t>6.544.450</w:t>
            </w:r>
          </w:p>
        </w:tc>
        <w:tc>
          <w:tcPr>
            <w:tcW w:w="208" w:type="dxa"/>
            <w:tcBorders>
              <w:top w:val="nil"/>
              <w:left w:val="nil"/>
              <w:bottom w:val="single" w:sz="4" w:space="0" w:color="auto"/>
              <w:right w:val="single" w:sz="4" w:space="0" w:color="auto"/>
            </w:tcBorders>
            <w:shd w:val="clear" w:color="auto" w:fill="auto"/>
            <w:vAlign w:val="center"/>
            <w:hideMark/>
          </w:tcPr>
          <w:p w14:paraId="51AB06C0" w14:textId="77777777" w:rsidR="00C43BF8" w:rsidRPr="00613EB0" w:rsidRDefault="00C43BF8" w:rsidP="00C43BF8">
            <w:pPr>
              <w:jc w:val="right"/>
              <w:rPr>
                <w:rFonts w:ascii="Arial" w:hAnsi="Arial" w:cs="Arial"/>
                <w:color w:val="000000"/>
                <w:sz w:val="16"/>
                <w:szCs w:val="16"/>
                <w:lang w:eastAsia="es-AR"/>
              </w:rPr>
            </w:pPr>
          </w:p>
        </w:tc>
        <w:tc>
          <w:tcPr>
            <w:tcW w:w="992" w:type="dxa"/>
            <w:tcBorders>
              <w:top w:val="nil"/>
              <w:left w:val="nil"/>
              <w:bottom w:val="single" w:sz="4" w:space="0" w:color="auto"/>
              <w:right w:val="single" w:sz="4" w:space="0" w:color="auto"/>
            </w:tcBorders>
            <w:shd w:val="clear" w:color="auto" w:fill="auto"/>
            <w:noWrap/>
            <w:vAlign w:val="center"/>
            <w:hideMark/>
          </w:tcPr>
          <w:p w14:paraId="292ED90E" w14:textId="064D4A63" w:rsidR="00C43BF8" w:rsidRPr="000B2F8E" w:rsidRDefault="005172F5" w:rsidP="00C43BF8">
            <w:pPr>
              <w:jc w:val="right"/>
              <w:rPr>
                <w:rFonts w:ascii="Arial" w:hAnsi="Arial" w:cs="Arial"/>
                <w:color w:val="000000"/>
                <w:sz w:val="16"/>
                <w:szCs w:val="16"/>
                <w:lang w:eastAsia="es-AR"/>
              </w:rPr>
            </w:pPr>
            <w:r w:rsidRPr="005172F5">
              <w:rPr>
                <w:rFonts w:ascii="Arial" w:hAnsi="Arial" w:cs="Arial"/>
                <w:color w:val="000000"/>
                <w:sz w:val="16"/>
                <w:szCs w:val="16"/>
              </w:rPr>
              <w:t>6.544.450</w:t>
            </w:r>
          </w:p>
        </w:tc>
        <w:tc>
          <w:tcPr>
            <w:tcW w:w="1090" w:type="dxa"/>
            <w:tcBorders>
              <w:top w:val="nil"/>
              <w:left w:val="nil"/>
              <w:bottom w:val="single" w:sz="4" w:space="0" w:color="auto"/>
              <w:right w:val="single" w:sz="4" w:space="0" w:color="auto"/>
            </w:tcBorders>
            <w:shd w:val="clear" w:color="auto" w:fill="auto"/>
            <w:noWrap/>
            <w:vAlign w:val="center"/>
            <w:hideMark/>
          </w:tcPr>
          <w:p w14:paraId="0549B7BF"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nil"/>
              <w:left w:val="nil"/>
              <w:bottom w:val="single" w:sz="4" w:space="0" w:color="auto"/>
              <w:right w:val="single" w:sz="8" w:space="0" w:color="auto"/>
            </w:tcBorders>
            <w:shd w:val="clear" w:color="auto" w:fill="auto"/>
            <w:noWrap/>
            <w:vAlign w:val="center"/>
            <w:hideMark/>
          </w:tcPr>
          <w:p w14:paraId="781ABCB3"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6820D5B6" w14:textId="77777777" w:rsidTr="002775B9">
        <w:trPr>
          <w:trHeight w:val="243"/>
          <w:jc w:val="center"/>
        </w:trPr>
        <w:tc>
          <w:tcPr>
            <w:tcW w:w="4298" w:type="dxa"/>
            <w:tcBorders>
              <w:top w:val="nil"/>
              <w:left w:val="single" w:sz="8" w:space="0" w:color="auto"/>
              <w:bottom w:val="nil"/>
              <w:right w:val="single" w:sz="4" w:space="0" w:color="auto"/>
            </w:tcBorders>
            <w:shd w:val="clear" w:color="auto" w:fill="auto"/>
            <w:noWrap/>
            <w:vAlign w:val="center"/>
            <w:hideMark/>
          </w:tcPr>
          <w:p w14:paraId="30C29F82"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202" w:type="dxa"/>
            <w:tcBorders>
              <w:top w:val="nil"/>
              <w:left w:val="nil"/>
              <w:bottom w:val="nil"/>
              <w:right w:val="single" w:sz="4" w:space="0" w:color="auto"/>
            </w:tcBorders>
            <w:shd w:val="clear" w:color="auto" w:fill="auto"/>
            <w:noWrap/>
            <w:vAlign w:val="bottom"/>
            <w:hideMark/>
          </w:tcPr>
          <w:p w14:paraId="356E0A5B" w14:textId="4674D097" w:rsidR="00C43BF8" w:rsidRPr="000B2F8E" w:rsidRDefault="005172F5" w:rsidP="00C43BF8">
            <w:pPr>
              <w:jc w:val="right"/>
              <w:rPr>
                <w:rFonts w:ascii="Arial" w:hAnsi="Arial" w:cs="Arial"/>
                <w:color w:val="000000"/>
                <w:sz w:val="16"/>
                <w:szCs w:val="16"/>
                <w:lang w:eastAsia="es-AR"/>
              </w:rPr>
            </w:pPr>
            <w:r w:rsidRPr="005172F5">
              <w:rPr>
                <w:rFonts w:ascii="Arial" w:hAnsi="Arial" w:cs="Arial"/>
                <w:sz w:val="16"/>
                <w:szCs w:val="16"/>
              </w:rPr>
              <w:t>2.285.239</w:t>
            </w:r>
          </w:p>
        </w:tc>
        <w:tc>
          <w:tcPr>
            <w:tcW w:w="1317" w:type="dxa"/>
            <w:tcBorders>
              <w:top w:val="nil"/>
              <w:left w:val="nil"/>
              <w:bottom w:val="nil"/>
              <w:right w:val="single" w:sz="4" w:space="0" w:color="auto"/>
            </w:tcBorders>
            <w:shd w:val="clear" w:color="auto" w:fill="auto"/>
            <w:vAlign w:val="center"/>
            <w:hideMark/>
          </w:tcPr>
          <w:p w14:paraId="59900D83" w14:textId="7C7D1C43" w:rsidR="00C43BF8" w:rsidRPr="000B2F8E" w:rsidRDefault="007F1DD8" w:rsidP="00C43BF8">
            <w:pPr>
              <w:jc w:val="right"/>
              <w:rPr>
                <w:rFonts w:ascii="Arial" w:hAnsi="Arial" w:cs="Arial"/>
                <w:color w:val="000000"/>
                <w:sz w:val="16"/>
                <w:szCs w:val="16"/>
                <w:lang w:eastAsia="es-AR"/>
              </w:rPr>
            </w:pPr>
            <w:r>
              <w:rPr>
                <w:rFonts w:ascii="Arial" w:hAnsi="Arial" w:cs="Arial"/>
                <w:color w:val="000000"/>
                <w:sz w:val="16"/>
                <w:szCs w:val="16"/>
              </w:rPr>
              <w:t>2.552.816</w:t>
            </w:r>
          </w:p>
        </w:tc>
        <w:tc>
          <w:tcPr>
            <w:tcW w:w="208" w:type="dxa"/>
            <w:tcBorders>
              <w:top w:val="nil"/>
              <w:left w:val="nil"/>
              <w:bottom w:val="nil"/>
              <w:right w:val="single" w:sz="4" w:space="0" w:color="auto"/>
            </w:tcBorders>
            <w:shd w:val="clear" w:color="auto" w:fill="auto"/>
            <w:vAlign w:val="center"/>
            <w:hideMark/>
          </w:tcPr>
          <w:p w14:paraId="06634D3C" w14:textId="77777777" w:rsidR="00C43BF8" w:rsidRPr="00613EB0" w:rsidRDefault="00C43BF8" w:rsidP="00C43BF8">
            <w:pPr>
              <w:jc w:val="right"/>
              <w:rPr>
                <w:rFonts w:ascii="Arial" w:hAnsi="Arial" w:cs="Arial"/>
                <w:color w:val="000000"/>
                <w:sz w:val="16"/>
                <w:szCs w:val="16"/>
                <w:lang w:eastAsia="es-AR"/>
              </w:rPr>
            </w:pPr>
          </w:p>
        </w:tc>
        <w:tc>
          <w:tcPr>
            <w:tcW w:w="992" w:type="dxa"/>
            <w:tcBorders>
              <w:top w:val="nil"/>
              <w:left w:val="nil"/>
              <w:bottom w:val="nil"/>
              <w:right w:val="single" w:sz="4" w:space="0" w:color="auto"/>
            </w:tcBorders>
            <w:shd w:val="clear" w:color="auto" w:fill="auto"/>
            <w:noWrap/>
            <w:vAlign w:val="center"/>
            <w:hideMark/>
          </w:tcPr>
          <w:p w14:paraId="2A96A6D4" w14:textId="66B2284E" w:rsidR="00C43BF8" w:rsidRPr="000B2F8E" w:rsidRDefault="005172F5" w:rsidP="00C43BF8">
            <w:pPr>
              <w:jc w:val="right"/>
              <w:rPr>
                <w:rFonts w:ascii="Arial" w:hAnsi="Arial" w:cs="Arial"/>
                <w:color w:val="000000"/>
                <w:sz w:val="16"/>
                <w:szCs w:val="16"/>
                <w:lang w:eastAsia="es-AR"/>
              </w:rPr>
            </w:pPr>
            <w:r w:rsidRPr="005172F5">
              <w:rPr>
                <w:rFonts w:ascii="Arial" w:hAnsi="Arial" w:cs="Arial"/>
                <w:color w:val="000000"/>
                <w:sz w:val="16"/>
                <w:szCs w:val="16"/>
              </w:rPr>
              <w:t>2</w:t>
            </w:r>
            <w:r w:rsidR="007F1DD8">
              <w:rPr>
                <w:rFonts w:ascii="Arial" w:hAnsi="Arial" w:cs="Arial"/>
                <w:color w:val="000000"/>
                <w:sz w:val="16"/>
                <w:szCs w:val="16"/>
              </w:rPr>
              <w:t>552.816</w:t>
            </w:r>
          </w:p>
        </w:tc>
        <w:tc>
          <w:tcPr>
            <w:tcW w:w="1090" w:type="dxa"/>
            <w:tcBorders>
              <w:top w:val="nil"/>
              <w:left w:val="nil"/>
              <w:bottom w:val="nil"/>
              <w:right w:val="single" w:sz="4" w:space="0" w:color="auto"/>
            </w:tcBorders>
            <w:shd w:val="clear" w:color="auto" w:fill="auto"/>
            <w:noWrap/>
            <w:vAlign w:val="center"/>
            <w:hideMark/>
          </w:tcPr>
          <w:p w14:paraId="708AD70C"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046" w:type="dxa"/>
            <w:tcBorders>
              <w:top w:val="nil"/>
              <w:left w:val="nil"/>
              <w:bottom w:val="nil"/>
              <w:right w:val="single" w:sz="8" w:space="0" w:color="auto"/>
            </w:tcBorders>
            <w:shd w:val="clear" w:color="auto" w:fill="auto"/>
            <w:noWrap/>
            <w:vAlign w:val="center"/>
            <w:hideMark/>
          </w:tcPr>
          <w:p w14:paraId="1968E4DE"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8F3BFA" w14:paraId="1C790AAD" w14:textId="77777777" w:rsidTr="002775B9">
        <w:trPr>
          <w:trHeight w:val="243"/>
          <w:jc w:val="center"/>
        </w:trPr>
        <w:tc>
          <w:tcPr>
            <w:tcW w:w="42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B3A8BE" w14:textId="77777777" w:rsidR="00C43BF8" w:rsidRPr="00613EB0" w:rsidRDefault="00C43BF8" w:rsidP="00C43BF8">
            <w:pPr>
              <w:rPr>
                <w:rFonts w:ascii="Arial" w:hAnsi="Arial" w:cs="Arial"/>
                <w:b/>
                <w:color w:val="000000"/>
                <w:sz w:val="16"/>
                <w:szCs w:val="16"/>
                <w:lang w:eastAsia="es-AR"/>
              </w:rPr>
            </w:pPr>
            <w:r w:rsidRPr="00613EB0">
              <w:rPr>
                <w:rFonts w:ascii="Arial" w:hAnsi="Arial" w:cs="Arial"/>
                <w:b/>
                <w:color w:val="000000"/>
                <w:sz w:val="16"/>
                <w:szCs w:val="16"/>
                <w:lang w:eastAsia="es-AR"/>
              </w:rPr>
              <w:t> </w:t>
            </w:r>
          </w:p>
        </w:tc>
        <w:tc>
          <w:tcPr>
            <w:tcW w:w="1202" w:type="dxa"/>
            <w:tcBorders>
              <w:top w:val="single" w:sz="8" w:space="0" w:color="auto"/>
              <w:left w:val="nil"/>
              <w:bottom w:val="single" w:sz="8" w:space="0" w:color="auto"/>
              <w:right w:val="single" w:sz="4" w:space="0" w:color="auto"/>
            </w:tcBorders>
            <w:shd w:val="clear" w:color="auto" w:fill="auto"/>
            <w:noWrap/>
            <w:vAlign w:val="bottom"/>
            <w:hideMark/>
          </w:tcPr>
          <w:p w14:paraId="5D5D6401" w14:textId="544999FE" w:rsidR="00C43BF8" w:rsidRPr="000B2F8E" w:rsidRDefault="005172F5" w:rsidP="00C43BF8">
            <w:pPr>
              <w:jc w:val="right"/>
              <w:rPr>
                <w:rFonts w:ascii="Arial" w:hAnsi="Arial" w:cs="Arial"/>
                <w:b/>
                <w:bCs/>
                <w:color w:val="000000"/>
                <w:sz w:val="16"/>
                <w:szCs w:val="16"/>
                <w:lang w:eastAsia="es-AR"/>
              </w:rPr>
            </w:pPr>
            <w:r w:rsidRPr="005172F5">
              <w:rPr>
                <w:rFonts w:ascii="Arial" w:hAnsi="Arial" w:cs="Arial"/>
                <w:b/>
                <w:sz w:val="16"/>
                <w:szCs w:val="16"/>
              </w:rPr>
              <w:t>118.498.61</w:t>
            </w:r>
            <w:r w:rsidR="00377D7F">
              <w:rPr>
                <w:rFonts w:ascii="Arial" w:hAnsi="Arial" w:cs="Arial"/>
                <w:b/>
                <w:sz w:val="16"/>
                <w:szCs w:val="16"/>
              </w:rPr>
              <w:t>8</w:t>
            </w:r>
          </w:p>
        </w:tc>
        <w:tc>
          <w:tcPr>
            <w:tcW w:w="1317" w:type="dxa"/>
            <w:tcBorders>
              <w:top w:val="single" w:sz="8" w:space="0" w:color="auto"/>
              <w:left w:val="nil"/>
              <w:bottom w:val="single" w:sz="8" w:space="0" w:color="auto"/>
              <w:right w:val="single" w:sz="4" w:space="0" w:color="auto"/>
            </w:tcBorders>
            <w:shd w:val="clear" w:color="auto" w:fill="auto"/>
            <w:noWrap/>
            <w:vAlign w:val="center"/>
            <w:hideMark/>
          </w:tcPr>
          <w:p w14:paraId="62D2522D" w14:textId="26A58868" w:rsidR="00C43BF8" w:rsidRPr="000B2F8E" w:rsidRDefault="005172F5" w:rsidP="00C43BF8">
            <w:pPr>
              <w:jc w:val="right"/>
              <w:rPr>
                <w:rFonts w:ascii="Arial" w:hAnsi="Arial" w:cs="Arial"/>
                <w:b/>
                <w:bCs/>
                <w:color w:val="000000"/>
                <w:sz w:val="16"/>
                <w:szCs w:val="16"/>
                <w:lang w:eastAsia="es-AR"/>
              </w:rPr>
            </w:pPr>
            <w:r w:rsidRPr="005172F5">
              <w:rPr>
                <w:rFonts w:ascii="Arial" w:hAnsi="Arial" w:cs="Arial"/>
                <w:b/>
                <w:bCs/>
                <w:color w:val="000000"/>
                <w:sz w:val="16"/>
                <w:szCs w:val="16"/>
              </w:rPr>
              <w:t>122.039.</w:t>
            </w:r>
            <w:r w:rsidR="00377D7F">
              <w:rPr>
                <w:rFonts w:ascii="Arial" w:hAnsi="Arial" w:cs="Arial"/>
                <w:b/>
                <w:bCs/>
                <w:color w:val="000000"/>
                <w:sz w:val="16"/>
                <w:szCs w:val="16"/>
              </w:rPr>
              <w:t>902</w:t>
            </w:r>
          </w:p>
        </w:tc>
        <w:tc>
          <w:tcPr>
            <w:tcW w:w="208" w:type="dxa"/>
            <w:tcBorders>
              <w:top w:val="single" w:sz="8" w:space="0" w:color="auto"/>
              <w:left w:val="nil"/>
              <w:bottom w:val="single" w:sz="8" w:space="0" w:color="auto"/>
              <w:right w:val="single" w:sz="4" w:space="0" w:color="auto"/>
            </w:tcBorders>
            <w:shd w:val="clear" w:color="auto" w:fill="auto"/>
            <w:noWrap/>
            <w:vAlign w:val="center"/>
            <w:hideMark/>
          </w:tcPr>
          <w:p w14:paraId="39A7840E" w14:textId="77777777" w:rsidR="00C43BF8" w:rsidRPr="00613EB0" w:rsidRDefault="00C43BF8" w:rsidP="00C43BF8">
            <w:pPr>
              <w:jc w:val="right"/>
              <w:rPr>
                <w:rFonts w:ascii="Arial" w:hAnsi="Arial" w:cs="Arial"/>
                <w:b/>
                <w:bCs/>
                <w:color w:val="000000"/>
                <w:sz w:val="16"/>
                <w:szCs w:val="16"/>
                <w:lang w:eastAsia="es-AR"/>
              </w:rPr>
            </w:pP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6A81E2A7" w14:textId="376EBD2C" w:rsidR="00C43BF8" w:rsidRPr="000B2F8E" w:rsidRDefault="005172F5" w:rsidP="00C43BF8">
            <w:pPr>
              <w:jc w:val="right"/>
              <w:rPr>
                <w:rFonts w:ascii="Arial" w:hAnsi="Arial" w:cs="Arial"/>
                <w:b/>
                <w:bCs/>
                <w:color w:val="000000"/>
                <w:sz w:val="16"/>
                <w:szCs w:val="16"/>
                <w:lang w:eastAsia="es-AR"/>
              </w:rPr>
            </w:pPr>
            <w:r w:rsidRPr="005172F5">
              <w:rPr>
                <w:rFonts w:ascii="Arial" w:hAnsi="Arial" w:cs="Arial"/>
                <w:b/>
                <w:bCs/>
                <w:color w:val="000000"/>
                <w:sz w:val="16"/>
                <w:szCs w:val="16"/>
              </w:rPr>
              <w:t>10.435.</w:t>
            </w:r>
            <w:r w:rsidR="00377D7F" w:rsidRPr="005172F5">
              <w:rPr>
                <w:rFonts w:ascii="Arial" w:hAnsi="Arial" w:cs="Arial"/>
                <w:b/>
                <w:bCs/>
                <w:color w:val="000000"/>
                <w:sz w:val="16"/>
                <w:szCs w:val="16"/>
              </w:rPr>
              <w:t>7</w:t>
            </w:r>
            <w:r w:rsidR="00377D7F">
              <w:rPr>
                <w:rFonts w:ascii="Arial" w:hAnsi="Arial" w:cs="Arial"/>
                <w:b/>
                <w:bCs/>
                <w:color w:val="000000"/>
                <w:sz w:val="16"/>
                <w:szCs w:val="16"/>
              </w:rPr>
              <w:t>40</w:t>
            </w:r>
          </w:p>
        </w:tc>
        <w:tc>
          <w:tcPr>
            <w:tcW w:w="1090" w:type="dxa"/>
            <w:tcBorders>
              <w:top w:val="single" w:sz="8" w:space="0" w:color="auto"/>
              <w:left w:val="nil"/>
              <w:bottom w:val="single" w:sz="8" w:space="0" w:color="auto"/>
              <w:right w:val="single" w:sz="4" w:space="0" w:color="auto"/>
            </w:tcBorders>
            <w:shd w:val="clear" w:color="auto" w:fill="auto"/>
            <w:noWrap/>
            <w:vAlign w:val="center"/>
            <w:hideMark/>
          </w:tcPr>
          <w:p w14:paraId="13E10B25" w14:textId="77777777" w:rsidR="00C43BF8" w:rsidRPr="000B2F8E" w:rsidRDefault="00C43BF8" w:rsidP="00C43BF8">
            <w:pPr>
              <w:jc w:val="right"/>
              <w:rPr>
                <w:rFonts w:ascii="Arial" w:hAnsi="Arial" w:cs="Arial"/>
                <w:b/>
                <w:bCs/>
                <w:color w:val="000000"/>
                <w:sz w:val="16"/>
                <w:szCs w:val="16"/>
                <w:lang w:eastAsia="es-AR"/>
              </w:rPr>
            </w:pPr>
            <w:r w:rsidRPr="00613EB0">
              <w:rPr>
                <w:rFonts w:ascii="Arial" w:hAnsi="Arial" w:cs="Arial"/>
                <w:b/>
                <w:bCs/>
                <w:color w:val="000000"/>
                <w:sz w:val="16"/>
                <w:szCs w:val="16"/>
              </w:rPr>
              <w:t xml:space="preserve">-   </w:t>
            </w:r>
          </w:p>
        </w:tc>
        <w:tc>
          <w:tcPr>
            <w:tcW w:w="1046" w:type="dxa"/>
            <w:tcBorders>
              <w:top w:val="single" w:sz="8" w:space="0" w:color="auto"/>
              <w:left w:val="nil"/>
              <w:bottom w:val="single" w:sz="8" w:space="0" w:color="auto"/>
              <w:right w:val="single" w:sz="8" w:space="0" w:color="auto"/>
            </w:tcBorders>
            <w:shd w:val="clear" w:color="auto" w:fill="auto"/>
            <w:noWrap/>
            <w:vAlign w:val="center"/>
            <w:hideMark/>
          </w:tcPr>
          <w:p w14:paraId="3B754230" w14:textId="51E31612" w:rsidR="00C43BF8" w:rsidRPr="000B2F8E" w:rsidRDefault="005172F5" w:rsidP="00C43BF8">
            <w:pPr>
              <w:jc w:val="right"/>
              <w:rPr>
                <w:rFonts w:ascii="Arial" w:hAnsi="Arial" w:cs="Arial"/>
                <w:b/>
                <w:bCs/>
                <w:color w:val="000000"/>
                <w:sz w:val="16"/>
                <w:szCs w:val="16"/>
                <w:lang w:eastAsia="es-AR"/>
              </w:rPr>
            </w:pPr>
            <w:r w:rsidRPr="005172F5">
              <w:rPr>
                <w:rFonts w:ascii="Arial" w:hAnsi="Arial" w:cs="Arial"/>
                <w:b/>
                <w:bCs/>
                <w:color w:val="000000"/>
                <w:sz w:val="16"/>
                <w:szCs w:val="16"/>
              </w:rPr>
              <w:t>111.604.162</w:t>
            </w:r>
          </w:p>
        </w:tc>
      </w:tr>
    </w:tbl>
    <w:p w14:paraId="6BB29E25" w14:textId="77777777" w:rsidR="00C43BF8" w:rsidRPr="00E446C3" w:rsidRDefault="00C43BF8" w:rsidP="00420ED8">
      <w:pPr>
        <w:pStyle w:val="Style1"/>
        <w:jc w:val="both"/>
        <w:rPr>
          <w:rFonts w:ascii="Arial" w:eastAsia="Calibri" w:hAnsi="Arial" w:cs="Arial"/>
          <w:noProof w:val="0"/>
          <w:szCs w:val="20"/>
        </w:rPr>
      </w:pPr>
    </w:p>
    <w:p w14:paraId="6BA03D01" w14:textId="7D5B4595" w:rsidR="00A06BE9" w:rsidRPr="00701F32" w:rsidRDefault="006B5772" w:rsidP="00A06BE9">
      <w:pPr>
        <w:autoSpaceDE w:val="0"/>
        <w:autoSpaceDN w:val="0"/>
        <w:adjustRightInd w:val="0"/>
        <w:jc w:val="both"/>
        <w:rPr>
          <w:rFonts w:ascii="Arial" w:eastAsia="Arial" w:hAnsi="Arial" w:cs="Arial"/>
          <w:b/>
          <w:bCs/>
          <w:i/>
          <w:noProof/>
          <w:sz w:val="20"/>
        </w:rPr>
      </w:pPr>
      <w:r w:rsidRPr="00BA7A6B">
        <w:rPr>
          <w:rFonts w:ascii="Arial" w:eastAsia="Arial" w:hAnsi="Arial" w:cs="Arial"/>
          <w:b/>
          <w:bCs/>
          <w:noProof/>
          <w:sz w:val="20"/>
        </w:rPr>
        <w:t>5</w:t>
      </w:r>
      <w:r w:rsidR="00A06BE9" w:rsidRPr="00BA7A6B">
        <w:rPr>
          <w:rFonts w:ascii="Arial" w:eastAsia="Arial" w:hAnsi="Arial" w:cs="Arial"/>
          <w:b/>
          <w:bCs/>
          <w:noProof/>
          <w:sz w:val="20"/>
        </w:rPr>
        <w:t xml:space="preserve">. </w:t>
      </w:r>
      <w:r w:rsidR="006D7FAF" w:rsidRPr="00BA7A6B">
        <w:rPr>
          <w:rFonts w:ascii="Arial" w:eastAsia="Arial" w:hAnsi="Arial" w:cs="Arial"/>
          <w:b/>
          <w:bCs/>
          <w:noProof/>
          <w:sz w:val="20"/>
        </w:rPr>
        <w:t>DISTRIBUCIÓN DE RESULTADOS</w:t>
      </w:r>
    </w:p>
    <w:p w14:paraId="7D514885" w14:textId="77777777" w:rsidR="00A06BE9" w:rsidRPr="001B2F17" w:rsidRDefault="00A06BE9" w:rsidP="00A06BE9">
      <w:pPr>
        <w:autoSpaceDE w:val="0"/>
        <w:autoSpaceDN w:val="0"/>
        <w:adjustRightInd w:val="0"/>
        <w:jc w:val="both"/>
        <w:rPr>
          <w:rFonts w:ascii="Arial" w:eastAsia="Arial" w:hAnsi="Arial" w:cs="Arial"/>
          <w:b/>
          <w:bCs/>
          <w:i/>
          <w:noProof/>
          <w:sz w:val="20"/>
        </w:rPr>
      </w:pPr>
    </w:p>
    <w:p w14:paraId="705424CD" w14:textId="255E20F6" w:rsidR="00E0369E" w:rsidRPr="00701F32" w:rsidRDefault="00E0369E" w:rsidP="00E0369E">
      <w:pPr>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 xml:space="preserve">La Asamblea Anual Ordinaria de Accionistas celebrada el </w:t>
      </w:r>
      <w:r w:rsidR="005172F5">
        <w:rPr>
          <w:rFonts w:ascii="Arial" w:eastAsia="Calibri" w:hAnsi="Arial" w:cs="Arial"/>
          <w:noProof/>
          <w:color w:val="000000"/>
          <w:sz w:val="20"/>
          <w:lang w:eastAsia="es-AR"/>
        </w:rPr>
        <w:t>23</w:t>
      </w:r>
      <w:r w:rsidRPr="00701F32">
        <w:rPr>
          <w:rFonts w:ascii="Arial" w:eastAsia="Calibri" w:hAnsi="Arial" w:cs="Arial"/>
          <w:noProof/>
          <w:color w:val="000000"/>
          <w:sz w:val="20"/>
          <w:lang w:eastAsia="es-AR"/>
        </w:rPr>
        <w:t xml:space="preserve"> de abril de 20</w:t>
      </w:r>
      <w:r w:rsidR="005172F5">
        <w:rPr>
          <w:rFonts w:ascii="Arial" w:eastAsia="Calibri" w:hAnsi="Arial" w:cs="Arial"/>
          <w:noProof/>
          <w:color w:val="000000"/>
          <w:sz w:val="20"/>
          <w:lang w:eastAsia="es-AR"/>
        </w:rPr>
        <w:t>20</w:t>
      </w:r>
      <w:r w:rsidRPr="00701F32">
        <w:rPr>
          <w:rFonts w:ascii="Arial" w:eastAsia="Calibri" w:hAnsi="Arial" w:cs="Arial"/>
          <w:noProof/>
          <w:color w:val="000000"/>
          <w:sz w:val="20"/>
          <w:lang w:eastAsia="es-AR"/>
        </w:rPr>
        <w:t xml:space="preserve"> aprobó los estados contables al 31 de diciembre de </w:t>
      </w:r>
      <w:r w:rsidR="002F3D8F" w:rsidRPr="00701F32">
        <w:rPr>
          <w:rFonts w:ascii="Arial" w:eastAsia="Calibri" w:hAnsi="Arial" w:cs="Arial"/>
          <w:noProof/>
          <w:color w:val="000000"/>
          <w:sz w:val="20"/>
          <w:lang w:eastAsia="es-AR"/>
        </w:rPr>
        <w:t>201</w:t>
      </w:r>
      <w:r w:rsidR="005172F5">
        <w:rPr>
          <w:rFonts w:ascii="Arial" w:eastAsia="Calibri" w:hAnsi="Arial" w:cs="Arial"/>
          <w:noProof/>
          <w:color w:val="000000"/>
          <w:sz w:val="20"/>
          <w:lang w:eastAsia="es-AR"/>
        </w:rPr>
        <w:t>9</w:t>
      </w:r>
      <w:r w:rsidR="002F3D8F" w:rsidRPr="00701F32">
        <w:rPr>
          <w:rFonts w:ascii="Arial" w:eastAsia="Calibri" w:hAnsi="Arial" w:cs="Arial"/>
          <w:noProof/>
          <w:color w:val="000000"/>
          <w:sz w:val="20"/>
          <w:lang w:eastAsia="es-AR"/>
        </w:rPr>
        <w:t xml:space="preserve"> </w:t>
      </w:r>
      <w:r w:rsidRPr="00701F32">
        <w:rPr>
          <w:rFonts w:ascii="Arial" w:eastAsia="Calibri" w:hAnsi="Arial" w:cs="Arial"/>
          <w:noProof/>
          <w:color w:val="000000"/>
          <w:sz w:val="20"/>
          <w:lang w:eastAsia="es-AR"/>
        </w:rPr>
        <w:t>y el tratamiento de los resultados correspondientes al ejercicio finalizado en esa fecha. Se dispuso, de acuerdo a la normativa vigente, el siguiente destino de los resultados no asignados al 31 de diciembre de 201</w:t>
      </w:r>
      <w:r w:rsidR="007339AB">
        <w:rPr>
          <w:rFonts w:ascii="Arial" w:eastAsia="Calibri" w:hAnsi="Arial" w:cs="Arial"/>
          <w:noProof/>
          <w:color w:val="000000"/>
          <w:sz w:val="20"/>
          <w:lang w:eastAsia="es-AR"/>
        </w:rPr>
        <w:t>9</w:t>
      </w:r>
      <w:r w:rsidRPr="00701F32">
        <w:rPr>
          <w:rFonts w:ascii="Arial" w:eastAsia="Calibri" w:hAnsi="Arial" w:cs="Arial"/>
          <w:noProof/>
          <w:color w:val="000000"/>
          <w:sz w:val="20"/>
          <w:lang w:eastAsia="es-AR"/>
        </w:rPr>
        <w:t>:</w:t>
      </w:r>
    </w:p>
    <w:p w14:paraId="6714D105" w14:textId="77777777" w:rsidR="00E0369E" w:rsidRPr="00701F32" w:rsidRDefault="00E0369E" w:rsidP="00E0369E">
      <w:pPr>
        <w:jc w:val="both"/>
        <w:rPr>
          <w:rFonts w:ascii="Arial" w:eastAsia="Calibri" w:hAnsi="Arial" w:cs="Arial"/>
          <w:noProof/>
          <w:color w:val="000000"/>
          <w:sz w:val="20"/>
          <w:lang w:eastAsia="es-AR"/>
        </w:rPr>
      </w:pPr>
    </w:p>
    <w:p w14:paraId="24A39318" w14:textId="5C6B52C4" w:rsidR="00E0369E" w:rsidRPr="00701F32" w:rsidRDefault="00E0369E" w:rsidP="00627289">
      <w:pPr>
        <w:numPr>
          <w:ilvl w:val="0"/>
          <w:numId w:val="28"/>
        </w:numPr>
        <w:spacing w:after="160"/>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 xml:space="preserve">A reserva legal: </w:t>
      </w:r>
      <w:r w:rsidR="005172F5" w:rsidRPr="005172F5">
        <w:rPr>
          <w:rFonts w:ascii="Arial" w:eastAsia="Calibri" w:hAnsi="Arial" w:cs="Arial"/>
          <w:noProof/>
          <w:color w:val="000000"/>
          <w:sz w:val="20"/>
          <w:lang w:eastAsia="es-AR"/>
        </w:rPr>
        <w:t>665.80</w:t>
      </w:r>
      <w:r w:rsidR="005172F5">
        <w:rPr>
          <w:rFonts w:ascii="Arial" w:eastAsia="Calibri" w:hAnsi="Arial" w:cs="Arial"/>
          <w:noProof/>
          <w:color w:val="000000"/>
          <w:sz w:val="20"/>
          <w:lang w:eastAsia="es-AR"/>
        </w:rPr>
        <w:t>8</w:t>
      </w:r>
    </w:p>
    <w:p w14:paraId="44F54B2D" w14:textId="061F8D2F" w:rsidR="00751A92" w:rsidRPr="002775B9" w:rsidRDefault="00E0369E" w:rsidP="002E1AF6">
      <w:pPr>
        <w:numPr>
          <w:ilvl w:val="0"/>
          <w:numId w:val="28"/>
        </w:numPr>
        <w:spacing w:after="160"/>
        <w:jc w:val="both"/>
        <w:rPr>
          <w:rFonts w:ascii="Arial" w:eastAsia="Arial" w:hAnsi="Arial" w:cs="Arial"/>
          <w:b/>
          <w:sz w:val="20"/>
        </w:rPr>
      </w:pPr>
      <w:r w:rsidRPr="00701F32">
        <w:rPr>
          <w:rFonts w:ascii="Arial" w:eastAsia="Calibri" w:hAnsi="Arial" w:cs="Arial"/>
          <w:noProof/>
          <w:color w:val="000000"/>
          <w:sz w:val="20"/>
          <w:lang w:eastAsia="es-AR"/>
        </w:rPr>
        <w:t xml:space="preserve">A reserva facultativa: </w:t>
      </w:r>
      <w:r w:rsidR="005172F5">
        <w:rPr>
          <w:rFonts w:ascii="Arial" w:eastAsia="Calibri" w:hAnsi="Arial" w:cs="Arial"/>
          <w:noProof/>
          <w:color w:val="000000"/>
          <w:sz w:val="20"/>
          <w:lang w:eastAsia="es-AR"/>
        </w:rPr>
        <w:t>2.663.231</w:t>
      </w:r>
    </w:p>
    <w:p w14:paraId="66E745EF" w14:textId="77777777" w:rsidR="00CE4289" w:rsidRPr="007228CD" w:rsidRDefault="00CE4289" w:rsidP="005333A4">
      <w:pPr>
        <w:spacing w:after="160"/>
        <w:jc w:val="both"/>
        <w:rPr>
          <w:rFonts w:ascii="Arial" w:eastAsia="Arial" w:hAnsi="Arial" w:cs="Arial"/>
          <w:b/>
          <w:sz w:val="20"/>
        </w:rPr>
      </w:pPr>
    </w:p>
    <w:p w14:paraId="084C67B1" w14:textId="67225DFA" w:rsidR="00A06BE9" w:rsidRPr="001B2F17" w:rsidRDefault="006B5772" w:rsidP="00A06BE9">
      <w:pPr>
        <w:spacing w:after="160" w:line="259" w:lineRule="auto"/>
        <w:jc w:val="both"/>
        <w:rPr>
          <w:rFonts w:ascii="Arial" w:eastAsia="Arial" w:hAnsi="Arial" w:cs="Arial"/>
          <w:b/>
          <w:sz w:val="20"/>
        </w:rPr>
      </w:pPr>
      <w:r>
        <w:rPr>
          <w:rFonts w:ascii="Arial" w:eastAsia="Arial" w:hAnsi="Arial" w:cs="Arial"/>
          <w:b/>
          <w:sz w:val="20"/>
        </w:rPr>
        <w:t>6</w:t>
      </w:r>
      <w:r w:rsidR="00A06BE9" w:rsidRPr="001B2F17">
        <w:rPr>
          <w:rFonts w:ascii="Arial" w:eastAsia="Arial" w:hAnsi="Arial" w:cs="Arial"/>
          <w:b/>
          <w:sz w:val="20"/>
        </w:rPr>
        <w:t xml:space="preserve">. </w:t>
      </w:r>
      <w:r w:rsidR="00582EAB" w:rsidRPr="001B2F17">
        <w:rPr>
          <w:rFonts w:ascii="Arial" w:eastAsia="Arial" w:hAnsi="Arial" w:cs="Arial"/>
          <w:b/>
          <w:sz w:val="20"/>
        </w:rPr>
        <w:t>COMPROMISOS Y CONTINGENCIAS</w:t>
      </w:r>
    </w:p>
    <w:p w14:paraId="75B5FA98" w14:textId="70EE86E1" w:rsidR="005474B7" w:rsidRDefault="005474B7" w:rsidP="00A06BE9">
      <w:pPr>
        <w:spacing w:after="160" w:line="259" w:lineRule="auto"/>
        <w:jc w:val="both"/>
        <w:rPr>
          <w:rFonts w:ascii="Arial" w:eastAsia="Arial" w:hAnsi="Arial" w:cs="Arial"/>
          <w:sz w:val="20"/>
          <w:u w:val="single"/>
        </w:rPr>
      </w:pPr>
      <w:r w:rsidRPr="00701F32">
        <w:rPr>
          <w:rFonts w:ascii="Arial" w:eastAsia="Arial" w:hAnsi="Arial" w:cs="Arial"/>
          <w:sz w:val="20"/>
        </w:rPr>
        <w:t>Las Normas Internacionales de Información Financiera establecen que un pasivo contingente consiste en (i) una obligación posible, surgida en función de sucesos pasados, cuya existencia ha de ser confirmada por la ocurrencia de uno o más hecho</w:t>
      </w:r>
      <w:r w:rsidR="008F0913">
        <w:rPr>
          <w:rFonts w:ascii="Arial" w:eastAsia="Arial" w:hAnsi="Arial" w:cs="Arial"/>
          <w:sz w:val="20"/>
        </w:rPr>
        <w:t>s</w:t>
      </w:r>
      <w:r w:rsidRPr="00701F32">
        <w:rPr>
          <w:rFonts w:ascii="Arial" w:eastAsia="Arial" w:hAnsi="Arial" w:cs="Arial"/>
          <w:sz w:val="20"/>
        </w:rPr>
        <w:t xml:space="preserve"> futuros de naturaleza incierta, las cuales no se hayan bajo el control de la Entidad o (ii) una obligación presente que no resulta probable o cuyo importe no ha de ser posible de medición o estimación con suficiente fiabilidad.</w:t>
      </w:r>
    </w:p>
    <w:p w14:paraId="6371BEC9" w14:textId="0678C7AF" w:rsidR="00584F49" w:rsidRDefault="000263A4" w:rsidP="002E1AF6">
      <w:pPr>
        <w:spacing w:after="160" w:line="259" w:lineRule="auto"/>
        <w:jc w:val="both"/>
        <w:rPr>
          <w:rFonts w:ascii="Arial" w:hAnsi="Arial" w:cs="Arial"/>
          <w:b/>
          <w:bCs/>
          <w:noProof/>
          <w:sz w:val="20"/>
        </w:rPr>
      </w:pPr>
      <w:r w:rsidRPr="000263A4">
        <w:rPr>
          <w:rFonts w:ascii="Arial" w:eastAsia="Arial" w:hAnsi="Arial" w:cs="Arial"/>
          <w:sz w:val="20"/>
        </w:rPr>
        <w:t xml:space="preserve">Los movimientos de provisiones ocurridos durante el </w:t>
      </w:r>
      <w:r w:rsidR="008F0913">
        <w:rPr>
          <w:rFonts w:ascii="Arial" w:eastAsia="Arial" w:hAnsi="Arial" w:cs="Arial"/>
          <w:sz w:val="20"/>
        </w:rPr>
        <w:t xml:space="preserve">período / </w:t>
      </w:r>
      <w:r w:rsidRPr="000263A4">
        <w:rPr>
          <w:rFonts w:ascii="Arial" w:eastAsia="Arial" w:hAnsi="Arial" w:cs="Arial"/>
          <w:sz w:val="20"/>
        </w:rPr>
        <w:t xml:space="preserve">ejercicio se encuentran detallados en el Anexo J </w:t>
      </w:r>
      <w:r>
        <w:rPr>
          <w:rFonts w:ascii="Arial" w:eastAsia="Arial" w:hAnsi="Arial" w:cs="Arial"/>
          <w:sz w:val="20"/>
        </w:rPr>
        <w:t>a los estados</w:t>
      </w:r>
      <w:r w:rsidR="0070171B">
        <w:rPr>
          <w:rFonts w:ascii="Arial" w:eastAsia="Arial" w:hAnsi="Arial" w:cs="Arial"/>
          <w:sz w:val="20"/>
        </w:rPr>
        <w:t xml:space="preserve"> </w:t>
      </w:r>
      <w:r>
        <w:rPr>
          <w:rFonts w:ascii="Arial" w:eastAsia="Arial" w:hAnsi="Arial" w:cs="Arial"/>
          <w:sz w:val="20"/>
        </w:rPr>
        <w:t>financieros condensados</w:t>
      </w:r>
      <w:r w:rsidR="0070171B">
        <w:rPr>
          <w:rFonts w:ascii="Arial" w:eastAsia="Arial" w:hAnsi="Arial" w:cs="Arial"/>
          <w:sz w:val="20"/>
        </w:rPr>
        <w:t xml:space="preserve"> </w:t>
      </w:r>
      <w:r>
        <w:rPr>
          <w:rFonts w:ascii="Arial" w:eastAsia="Arial" w:hAnsi="Arial" w:cs="Arial"/>
          <w:sz w:val="20"/>
        </w:rPr>
        <w:t>intermedios</w:t>
      </w:r>
      <w:r w:rsidR="003A0A33">
        <w:rPr>
          <w:rFonts w:ascii="Arial" w:eastAsia="Arial" w:hAnsi="Arial" w:cs="Arial"/>
          <w:sz w:val="20"/>
        </w:rPr>
        <w:t xml:space="preserve"> separados</w:t>
      </w:r>
      <w:r>
        <w:rPr>
          <w:rFonts w:ascii="Arial" w:eastAsia="Arial" w:hAnsi="Arial" w:cs="Arial"/>
          <w:sz w:val="20"/>
        </w:rPr>
        <w:t>.</w:t>
      </w:r>
      <w:r w:rsidR="00A06BE9" w:rsidRPr="00701F32">
        <w:rPr>
          <w:rFonts w:ascii="Arial" w:eastAsia="Arial" w:hAnsi="Arial" w:cs="Arial"/>
          <w:sz w:val="20"/>
        </w:rPr>
        <w:t xml:space="preserve"> </w:t>
      </w:r>
    </w:p>
    <w:p w14:paraId="191AF6DE" w14:textId="35E7BAD4" w:rsidR="00A06BE9" w:rsidRPr="00701F32" w:rsidRDefault="006B5772" w:rsidP="00A06BE9">
      <w:pPr>
        <w:keepNext/>
        <w:keepLines/>
        <w:jc w:val="both"/>
        <w:outlineLvl w:val="1"/>
        <w:rPr>
          <w:rFonts w:ascii="Arial" w:hAnsi="Arial" w:cs="Arial"/>
          <w:b/>
          <w:bCs/>
          <w:noProof/>
          <w:sz w:val="20"/>
        </w:rPr>
      </w:pPr>
      <w:r>
        <w:rPr>
          <w:rFonts w:ascii="Arial" w:hAnsi="Arial" w:cs="Arial"/>
          <w:b/>
          <w:bCs/>
          <w:noProof/>
          <w:sz w:val="20"/>
        </w:rPr>
        <w:t>7</w:t>
      </w:r>
      <w:r w:rsidR="00A06BE9" w:rsidRPr="00701F32">
        <w:rPr>
          <w:rFonts w:ascii="Arial" w:hAnsi="Arial" w:cs="Arial"/>
          <w:b/>
          <w:bCs/>
          <w:noProof/>
          <w:sz w:val="20"/>
        </w:rPr>
        <w:t xml:space="preserve">. TRANSACCIONES Y SALDOS ENTRE PARTES RELACIONADAS </w:t>
      </w:r>
    </w:p>
    <w:p w14:paraId="3A7D53E1" w14:textId="77777777" w:rsidR="00A06BE9" w:rsidRPr="00701F32" w:rsidRDefault="00A06BE9" w:rsidP="00A06BE9">
      <w:pPr>
        <w:jc w:val="both"/>
        <w:rPr>
          <w:rFonts w:ascii="Arial" w:eastAsia="Calibri" w:hAnsi="Arial" w:cs="Arial"/>
          <w:b/>
          <w:noProof/>
          <w:sz w:val="20"/>
        </w:rPr>
      </w:pPr>
    </w:p>
    <w:p w14:paraId="75079F2C"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t xml:space="preserve">Se consideran partes relacionadas todas aquellas entidades que poseen directa, o indirectamente a través de otras entidades, control sobre otra, se encuentren bajo el mismo control o pueda ejercer influencia significativa sobre las decisiones financieras u operacionales de otra entidad.  </w:t>
      </w:r>
    </w:p>
    <w:p w14:paraId="40726347" w14:textId="77777777" w:rsidR="00A06BE9" w:rsidRPr="00701F32" w:rsidRDefault="00A06BE9" w:rsidP="00A06BE9">
      <w:pPr>
        <w:contextualSpacing/>
        <w:jc w:val="both"/>
        <w:rPr>
          <w:rFonts w:ascii="Arial" w:eastAsia="Arial" w:hAnsi="Arial" w:cs="Arial"/>
          <w:sz w:val="20"/>
        </w:rPr>
      </w:pPr>
    </w:p>
    <w:p w14:paraId="7F578437"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t>La Entidad controla otra entidad cuando tiene el poder sobre las decisiones financieras y operativas de otras entidades y a su vez obtiene beneficios de la misma.</w:t>
      </w:r>
    </w:p>
    <w:p w14:paraId="5B78219F" w14:textId="77777777" w:rsidR="00A06BE9" w:rsidRPr="00701F32" w:rsidRDefault="00A06BE9" w:rsidP="00A06BE9">
      <w:pPr>
        <w:contextualSpacing/>
        <w:jc w:val="both"/>
        <w:rPr>
          <w:rFonts w:ascii="Arial" w:eastAsia="Arial" w:hAnsi="Arial" w:cs="Arial"/>
          <w:sz w:val="20"/>
        </w:rPr>
      </w:pPr>
    </w:p>
    <w:p w14:paraId="2AAEC37B"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lastRenderedPageBreak/>
        <w:t xml:space="preserve">Por otro lado, </w:t>
      </w:r>
      <w:r w:rsidR="002309A7" w:rsidRPr="00701F32">
        <w:rPr>
          <w:rFonts w:ascii="Arial" w:eastAsia="Arial" w:hAnsi="Arial" w:cs="Arial"/>
          <w:sz w:val="20"/>
        </w:rPr>
        <w:t>l</w:t>
      </w:r>
      <w:r w:rsidRPr="00701F32">
        <w:rPr>
          <w:rFonts w:ascii="Arial" w:eastAsia="Arial" w:hAnsi="Arial" w:cs="Arial"/>
          <w:sz w:val="20"/>
        </w:rPr>
        <w:t>a Entidad considera que tiene control conjunto cuando existe un acuerdo entre partes sobre el control de una actividad económica en común.</w:t>
      </w:r>
    </w:p>
    <w:p w14:paraId="0D8DFCAF" w14:textId="77777777" w:rsidR="00A06BE9" w:rsidRPr="00701F32" w:rsidRDefault="00A06BE9" w:rsidP="00A06BE9">
      <w:pPr>
        <w:contextualSpacing/>
        <w:jc w:val="both"/>
        <w:rPr>
          <w:rFonts w:ascii="Arial" w:eastAsia="Arial" w:hAnsi="Arial" w:cs="Arial"/>
          <w:sz w:val="20"/>
        </w:rPr>
      </w:pPr>
    </w:p>
    <w:p w14:paraId="1B23857E"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t xml:space="preserve">Por último, aquellos casos en los que </w:t>
      </w:r>
      <w:r w:rsidR="002309A7" w:rsidRPr="00701F32">
        <w:rPr>
          <w:rFonts w:ascii="Arial" w:eastAsia="Arial" w:hAnsi="Arial" w:cs="Arial"/>
          <w:sz w:val="20"/>
        </w:rPr>
        <w:t>l</w:t>
      </w:r>
      <w:r w:rsidRPr="00701F32">
        <w:rPr>
          <w:rFonts w:ascii="Arial" w:eastAsia="Arial" w:hAnsi="Arial" w:cs="Arial"/>
          <w:sz w:val="20"/>
        </w:rPr>
        <w:t>a Entidad posea influencia significativa es debido al poder de influir sobre las decisiones financieras y operativas de otra entidad pero no poder ejercer el control sobre las mismas.</w:t>
      </w:r>
    </w:p>
    <w:p w14:paraId="3CC4E3ED" w14:textId="77777777" w:rsidR="00A06BE9" w:rsidRPr="00701F32" w:rsidRDefault="00A06BE9" w:rsidP="00A06BE9">
      <w:pPr>
        <w:contextualSpacing/>
        <w:jc w:val="both"/>
        <w:rPr>
          <w:rFonts w:ascii="Arial" w:eastAsia="Arial" w:hAnsi="Arial" w:cs="Arial"/>
          <w:sz w:val="20"/>
        </w:rPr>
      </w:pPr>
    </w:p>
    <w:p w14:paraId="0372E5DC" w14:textId="489C3E50" w:rsidR="00067378" w:rsidRPr="00701F32" w:rsidRDefault="00A06BE9" w:rsidP="00A06BE9">
      <w:pPr>
        <w:contextualSpacing/>
        <w:jc w:val="both"/>
        <w:rPr>
          <w:rFonts w:ascii="Arial" w:eastAsia="Arial" w:hAnsi="Arial" w:cs="Arial"/>
          <w:sz w:val="20"/>
        </w:rPr>
      </w:pPr>
      <w:r w:rsidRPr="00701F32">
        <w:rPr>
          <w:rFonts w:ascii="Arial" w:eastAsia="Arial" w:hAnsi="Arial" w:cs="Arial"/>
          <w:sz w:val="20"/>
        </w:rPr>
        <w:t>Para la determinación de dichas situaciones, no solamente se observan los aspectos legales sino además la naturaleza y sustanciación de la relación.</w:t>
      </w:r>
    </w:p>
    <w:p w14:paraId="69E8DA26" w14:textId="77777777" w:rsidR="00067378" w:rsidRPr="00701F32" w:rsidRDefault="00067378" w:rsidP="00A06BE9">
      <w:pPr>
        <w:contextualSpacing/>
        <w:jc w:val="both"/>
        <w:rPr>
          <w:rFonts w:ascii="Arial" w:eastAsia="Arial" w:hAnsi="Arial" w:cs="Arial"/>
          <w:sz w:val="20"/>
        </w:rPr>
      </w:pPr>
    </w:p>
    <w:p w14:paraId="103DF483" w14:textId="77777777" w:rsidR="00A06BE9" w:rsidRPr="00701F32" w:rsidRDefault="00A06BE9" w:rsidP="00A06BE9">
      <w:pPr>
        <w:contextualSpacing/>
        <w:jc w:val="both"/>
        <w:rPr>
          <w:rFonts w:ascii="Arial" w:eastAsia="Arial" w:hAnsi="Arial" w:cs="Arial"/>
          <w:sz w:val="20"/>
          <w:u w:val="single"/>
        </w:rPr>
      </w:pPr>
      <w:r w:rsidRPr="00701F32">
        <w:rPr>
          <w:rFonts w:ascii="Arial" w:eastAsia="Arial" w:hAnsi="Arial" w:cs="Arial"/>
          <w:sz w:val="20"/>
          <w:u w:val="single"/>
        </w:rPr>
        <w:t>Entidades controladoras</w:t>
      </w:r>
    </w:p>
    <w:p w14:paraId="33DA0428" w14:textId="77777777" w:rsidR="00A06BE9" w:rsidRPr="00701F32" w:rsidRDefault="00A06BE9" w:rsidP="00A06BE9">
      <w:pPr>
        <w:contextualSpacing/>
        <w:jc w:val="both"/>
        <w:rPr>
          <w:rFonts w:ascii="Arial" w:eastAsia="Arial" w:hAnsi="Arial" w:cs="Arial"/>
          <w:sz w:val="20"/>
        </w:rPr>
      </w:pPr>
    </w:p>
    <w:p w14:paraId="4DDE3FB5" w14:textId="77777777" w:rsidR="00A06BE9" w:rsidRPr="00701F32" w:rsidRDefault="00490101" w:rsidP="00A06BE9">
      <w:pPr>
        <w:contextualSpacing/>
        <w:jc w:val="both"/>
        <w:rPr>
          <w:rFonts w:ascii="Arial" w:eastAsia="Arial" w:hAnsi="Arial" w:cs="Arial"/>
          <w:sz w:val="20"/>
        </w:rPr>
      </w:pPr>
      <w:r w:rsidRPr="00701F32">
        <w:rPr>
          <w:rFonts w:ascii="Arial" w:eastAsia="Arial" w:hAnsi="Arial" w:cs="Arial"/>
          <w:sz w:val="20"/>
        </w:rPr>
        <w:t xml:space="preserve">La </w:t>
      </w:r>
      <w:r w:rsidR="00A06BE9" w:rsidRPr="00701F32">
        <w:rPr>
          <w:rFonts w:ascii="Arial" w:eastAsia="Arial" w:hAnsi="Arial" w:cs="Arial"/>
          <w:sz w:val="20"/>
        </w:rPr>
        <w:t>Entidad es controlada por la siguiente entidad:</w:t>
      </w:r>
    </w:p>
    <w:p w14:paraId="623EE00A" w14:textId="77777777" w:rsidR="00A06BE9" w:rsidRPr="00701F32" w:rsidRDefault="00A06BE9" w:rsidP="00A06BE9">
      <w:pPr>
        <w:contextualSpacing/>
        <w:jc w:val="both"/>
        <w:rPr>
          <w:rFonts w:ascii="Calibri Light" w:eastAsia="Calibri" w:hAnsi="Calibri Light" w:cs="Calibri"/>
          <w:noProof/>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16"/>
        <w:gridCol w:w="1416"/>
        <w:gridCol w:w="1415"/>
        <w:gridCol w:w="1415"/>
        <w:gridCol w:w="1417"/>
      </w:tblGrid>
      <w:tr w:rsidR="00A06BE9" w:rsidRPr="00701F32" w14:paraId="2FE49A32" w14:textId="77777777" w:rsidTr="00464C0F">
        <w:tc>
          <w:tcPr>
            <w:tcW w:w="833" w:type="pct"/>
            <w:vMerge w:val="restart"/>
            <w:vAlign w:val="center"/>
          </w:tcPr>
          <w:p w14:paraId="2125BEF2"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Nombre</w:t>
            </w:r>
          </w:p>
        </w:tc>
        <w:tc>
          <w:tcPr>
            <w:tcW w:w="833" w:type="pct"/>
            <w:vMerge w:val="restart"/>
            <w:vAlign w:val="center"/>
          </w:tcPr>
          <w:p w14:paraId="401AFF30" w14:textId="77777777" w:rsidR="00A06BE9" w:rsidRPr="00701F32" w:rsidRDefault="00A06BE9">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Naturaleza</w:t>
            </w:r>
          </w:p>
        </w:tc>
        <w:tc>
          <w:tcPr>
            <w:tcW w:w="833" w:type="pct"/>
            <w:vMerge w:val="restart"/>
            <w:vAlign w:val="center"/>
          </w:tcPr>
          <w:p w14:paraId="66BCB3E5"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Actividad principal</w:t>
            </w:r>
          </w:p>
        </w:tc>
        <w:tc>
          <w:tcPr>
            <w:tcW w:w="833" w:type="pct"/>
            <w:vMerge w:val="restart"/>
            <w:vAlign w:val="center"/>
          </w:tcPr>
          <w:p w14:paraId="704E41C3"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Lugar de radicación</w:t>
            </w:r>
          </w:p>
        </w:tc>
        <w:tc>
          <w:tcPr>
            <w:tcW w:w="1667" w:type="pct"/>
            <w:gridSpan w:val="2"/>
            <w:vAlign w:val="center"/>
          </w:tcPr>
          <w:p w14:paraId="053DD36C"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Porcentaje de participación</w:t>
            </w:r>
          </w:p>
        </w:tc>
      </w:tr>
      <w:tr w:rsidR="00A06BE9" w:rsidRPr="00701F32" w14:paraId="57482153" w14:textId="77777777" w:rsidTr="00464C0F">
        <w:tc>
          <w:tcPr>
            <w:tcW w:w="833" w:type="pct"/>
            <w:vMerge/>
            <w:vAlign w:val="center"/>
          </w:tcPr>
          <w:p w14:paraId="6FFC4056"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Merge/>
            <w:vAlign w:val="center"/>
          </w:tcPr>
          <w:p w14:paraId="3B3D0AB8"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Merge/>
            <w:vAlign w:val="center"/>
          </w:tcPr>
          <w:p w14:paraId="2FD108D7"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Merge/>
            <w:vAlign w:val="center"/>
          </w:tcPr>
          <w:p w14:paraId="014CEB56"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Align w:val="center"/>
          </w:tcPr>
          <w:p w14:paraId="7EED03CD" w14:textId="789BB6D5" w:rsidR="00A06BE9" w:rsidRPr="00701F32" w:rsidRDefault="00A06BE9">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w:t>
            </w:r>
            <w:r w:rsidR="00AB4EE5">
              <w:rPr>
                <w:rFonts w:ascii="Arial" w:eastAsia="Calibri" w:hAnsi="Arial" w:cs="Arial"/>
                <w:b/>
                <w:noProof/>
                <w:sz w:val="18"/>
              </w:rPr>
              <w:t>20</w:t>
            </w:r>
          </w:p>
        </w:tc>
        <w:tc>
          <w:tcPr>
            <w:tcW w:w="834" w:type="pct"/>
            <w:vAlign w:val="center"/>
          </w:tcPr>
          <w:p w14:paraId="65B7CD34" w14:textId="7F21183A" w:rsidR="00A06BE9" w:rsidRPr="00701F32" w:rsidRDefault="00A06BE9">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201</w:t>
            </w:r>
            <w:r w:rsidR="007D54C2">
              <w:rPr>
                <w:rFonts w:ascii="Arial" w:eastAsia="Calibri" w:hAnsi="Arial" w:cs="Arial"/>
                <w:b/>
                <w:noProof/>
                <w:sz w:val="18"/>
              </w:rPr>
              <w:t>9</w:t>
            </w:r>
          </w:p>
        </w:tc>
      </w:tr>
      <w:tr w:rsidR="00A06BE9" w:rsidRPr="00701F32" w14:paraId="2777BF0E" w14:textId="77777777" w:rsidTr="0086282C">
        <w:trPr>
          <w:trHeight w:val="221"/>
        </w:trPr>
        <w:tc>
          <w:tcPr>
            <w:tcW w:w="833" w:type="pct"/>
          </w:tcPr>
          <w:p w14:paraId="05335A67" w14:textId="77777777" w:rsidR="00A06BE9" w:rsidRPr="00701F32" w:rsidRDefault="00A06BE9" w:rsidP="00464C0F">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Grupo Supervielle S.A.</w:t>
            </w:r>
          </w:p>
        </w:tc>
        <w:tc>
          <w:tcPr>
            <w:tcW w:w="833" w:type="pct"/>
          </w:tcPr>
          <w:p w14:paraId="1E1FCE74" w14:textId="367BDC4D" w:rsidR="00A06BE9" w:rsidRPr="00701F32" w:rsidRDefault="00A06BE9">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w:t>
            </w:r>
            <w:r w:rsidR="00CB0A40">
              <w:rPr>
                <w:rFonts w:ascii="Arial" w:eastAsia="Calibri" w:hAnsi="Arial" w:cs="Arial"/>
                <w:noProof/>
                <w:sz w:val="18"/>
              </w:rPr>
              <w:t>7</w:t>
            </w:r>
            <w:r w:rsidRPr="00701F32">
              <w:rPr>
                <w:rFonts w:ascii="Arial" w:eastAsia="Calibri" w:hAnsi="Arial" w:cs="Arial"/>
                <w:noProof/>
                <w:sz w:val="18"/>
              </w:rPr>
              <w:t>,</w:t>
            </w:r>
            <w:r w:rsidR="00CB0A40">
              <w:rPr>
                <w:rFonts w:ascii="Arial" w:eastAsia="Calibri" w:hAnsi="Arial" w:cs="Arial"/>
                <w:noProof/>
                <w:sz w:val="18"/>
              </w:rPr>
              <w:t>07</w:t>
            </w:r>
            <w:r w:rsidRPr="00701F32">
              <w:rPr>
                <w:rFonts w:ascii="Arial" w:eastAsia="Calibri" w:hAnsi="Arial" w:cs="Arial"/>
                <w:noProof/>
                <w:sz w:val="18"/>
              </w:rPr>
              <w:t>% de derecho a votos</w:t>
            </w:r>
          </w:p>
        </w:tc>
        <w:tc>
          <w:tcPr>
            <w:tcW w:w="833" w:type="pct"/>
          </w:tcPr>
          <w:p w14:paraId="453FF1FC" w14:textId="77777777" w:rsidR="00A06BE9" w:rsidRPr="00701F32" w:rsidRDefault="00A06BE9" w:rsidP="00464C0F">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Financiera y de Inversion</w:t>
            </w:r>
          </w:p>
        </w:tc>
        <w:tc>
          <w:tcPr>
            <w:tcW w:w="833" w:type="pct"/>
          </w:tcPr>
          <w:p w14:paraId="41333314" w14:textId="77777777" w:rsidR="00A06BE9" w:rsidRPr="00701F32" w:rsidRDefault="00A06BE9" w:rsidP="00464C0F">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Bme Mitre 434 5to Piso. CABA</w:t>
            </w:r>
          </w:p>
        </w:tc>
        <w:tc>
          <w:tcPr>
            <w:tcW w:w="833" w:type="pct"/>
            <w:vAlign w:val="center"/>
          </w:tcPr>
          <w:p w14:paraId="643B5AA2" w14:textId="6CA82447" w:rsidR="00A06BE9" w:rsidRPr="00701F32" w:rsidRDefault="00A06BE9">
            <w:pPr>
              <w:spacing w:after="160" w:line="259" w:lineRule="auto"/>
              <w:contextualSpacing/>
              <w:jc w:val="right"/>
              <w:rPr>
                <w:rFonts w:ascii="Arial" w:eastAsia="Calibri" w:hAnsi="Arial" w:cs="Arial"/>
                <w:noProof/>
                <w:sz w:val="18"/>
                <w:lang w:val="es-ES_tradnl"/>
              </w:rPr>
            </w:pPr>
            <w:r w:rsidRPr="00701F32">
              <w:rPr>
                <w:rFonts w:ascii="Arial" w:eastAsia="Calibri" w:hAnsi="Arial" w:cs="Arial"/>
                <w:noProof/>
                <w:sz w:val="18"/>
              </w:rPr>
              <w:t>9</w:t>
            </w:r>
            <w:r w:rsidR="00910C22">
              <w:rPr>
                <w:rFonts w:ascii="Arial" w:eastAsia="Calibri" w:hAnsi="Arial" w:cs="Arial"/>
                <w:noProof/>
                <w:sz w:val="18"/>
              </w:rPr>
              <w:t>7</w:t>
            </w:r>
            <w:r w:rsidRPr="00701F32">
              <w:rPr>
                <w:rFonts w:ascii="Arial" w:eastAsia="Calibri" w:hAnsi="Arial" w:cs="Arial"/>
                <w:noProof/>
                <w:sz w:val="18"/>
              </w:rPr>
              <w:t>,</w:t>
            </w:r>
            <w:r w:rsidR="00CB0A40">
              <w:rPr>
                <w:rFonts w:ascii="Arial" w:eastAsia="Calibri" w:hAnsi="Arial" w:cs="Arial"/>
                <w:noProof/>
                <w:sz w:val="18"/>
              </w:rPr>
              <w:t>1</w:t>
            </w:r>
            <w:r w:rsidR="00910C22">
              <w:rPr>
                <w:rFonts w:ascii="Arial" w:eastAsia="Calibri" w:hAnsi="Arial" w:cs="Arial"/>
                <w:noProof/>
                <w:sz w:val="18"/>
              </w:rPr>
              <w:t>0</w:t>
            </w:r>
            <w:r w:rsidRPr="00701F32">
              <w:rPr>
                <w:rFonts w:ascii="Arial" w:eastAsia="Calibri" w:hAnsi="Arial" w:cs="Arial"/>
                <w:noProof/>
                <w:sz w:val="18"/>
              </w:rPr>
              <w:t>%</w:t>
            </w:r>
          </w:p>
        </w:tc>
        <w:tc>
          <w:tcPr>
            <w:tcW w:w="834" w:type="pct"/>
            <w:vAlign w:val="center"/>
          </w:tcPr>
          <w:p w14:paraId="5410E6EC" w14:textId="390F309C" w:rsidR="00A06BE9" w:rsidRPr="00701F32" w:rsidRDefault="00A06BE9">
            <w:pPr>
              <w:spacing w:after="160" w:line="259" w:lineRule="auto"/>
              <w:contextualSpacing/>
              <w:jc w:val="right"/>
              <w:rPr>
                <w:rFonts w:ascii="Arial" w:eastAsia="Calibri" w:hAnsi="Arial" w:cs="Arial"/>
                <w:noProof/>
                <w:sz w:val="18"/>
                <w:lang w:val="es-ES_tradnl"/>
              </w:rPr>
            </w:pPr>
            <w:r w:rsidRPr="00701F32">
              <w:rPr>
                <w:rFonts w:ascii="Arial" w:eastAsia="Calibri" w:hAnsi="Arial" w:cs="Arial"/>
                <w:noProof/>
                <w:sz w:val="18"/>
              </w:rPr>
              <w:t>9</w:t>
            </w:r>
            <w:r w:rsidR="007D54C2">
              <w:rPr>
                <w:rFonts w:ascii="Arial" w:eastAsia="Calibri" w:hAnsi="Arial" w:cs="Arial"/>
                <w:noProof/>
                <w:sz w:val="18"/>
              </w:rPr>
              <w:t>7</w:t>
            </w:r>
            <w:r w:rsidRPr="00701F32">
              <w:rPr>
                <w:rFonts w:ascii="Arial" w:eastAsia="Calibri" w:hAnsi="Arial" w:cs="Arial"/>
                <w:noProof/>
                <w:sz w:val="18"/>
              </w:rPr>
              <w:t>,</w:t>
            </w:r>
            <w:r w:rsidR="007D54C2">
              <w:rPr>
                <w:rFonts w:ascii="Arial" w:eastAsia="Calibri" w:hAnsi="Arial" w:cs="Arial"/>
                <w:noProof/>
                <w:sz w:val="18"/>
              </w:rPr>
              <w:t>10</w:t>
            </w:r>
            <w:r w:rsidRPr="00701F32">
              <w:rPr>
                <w:rFonts w:ascii="Arial" w:eastAsia="Calibri" w:hAnsi="Arial" w:cs="Arial"/>
                <w:noProof/>
                <w:sz w:val="18"/>
              </w:rPr>
              <w:t>%</w:t>
            </w:r>
          </w:p>
        </w:tc>
      </w:tr>
    </w:tbl>
    <w:p w14:paraId="37E95554" w14:textId="77777777" w:rsidR="00A06BE9" w:rsidRPr="00701F32" w:rsidRDefault="00A06BE9" w:rsidP="00A06BE9">
      <w:pPr>
        <w:contextualSpacing/>
        <w:jc w:val="both"/>
        <w:rPr>
          <w:rFonts w:ascii="Arial" w:eastAsia="Arial" w:hAnsi="Arial" w:cs="Arial"/>
          <w:sz w:val="20"/>
          <w:u w:val="single"/>
        </w:rPr>
      </w:pPr>
    </w:p>
    <w:p w14:paraId="3D00131D" w14:textId="77777777" w:rsidR="00CE4289" w:rsidRDefault="00CE4289" w:rsidP="00A06BE9">
      <w:pPr>
        <w:contextualSpacing/>
        <w:jc w:val="both"/>
        <w:rPr>
          <w:rFonts w:ascii="Arial" w:eastAsia="Arial" w:hAnsi="Arial" w:cs="Arial"/>
          <w:sz w:val="20"/>
          <w:u w:val="single"/>
        </w:rPr>
      </w:pPr>
    </w:p>
    <w:p w14:paraId="4B18ADD5" w14:textId="5172D271" w:rsidR="00A06BE9" w:rsidRPr="00701F32" w:rsidRDefault="00614C70" w:rsidP="00A06BE9">
      <w:pPr>
        <w:contextualSpacing/>
        <w:jc w:val="both"/>
        <w:rPr>
          <w:rFonts w:ascii="Arial" w:eastAsia="Arial" w:hAnsi="Arial" w:cs="Arial"/>
          <w:sz w:val="20"/>
          <w:u w:val="single"/>
        </w:rPr>
      </w:pPr>
      <w:r w:rsidRPr="00701F32">
        <w:rPr>
          <w:rFonts w:ascii="Arial" w:eastAsia="Arial" w:hAnsi="Arial" w:cs="Arial"/>
          <w:sz w:val="20"/>
          <w:u w:val="single"/>
        </w:rPr>
        <w:t>S</w:t>
      </w:r>
      <w:r w:rsidR="00A06BE9" w:rsidRPr="00701F32">
        <w:rPr>
          <w:rFonts w:ascii="Arial" w:eastAsia="Arial" w:hAnsi="Arial" w:cs="Arial"/>
          <w:sz w:val="20"/>
          <w:u w:val="single"/>
        </w:rPr>
        <w:t xml:space="preserve">ubsidiarias </w:t>
      </w:r>
    </w:p>
    <w:p w14:paraId="0CD18F9C" w14:textId="77777777" w:rsidR="00A06BE9" w:rsidRPr="00701F32" w:rsidRDefault="00A06BE9" w:rsidP="00A06BE9">
      <w:pPr>
        <w:contextualSpacing/>
        <w:jc w:val="both"/>
        <w:rPr>
          <w:rFonts w:ascii="Arial" w:eastAsia="Arial" w:hAnsi="Arial" w:cs="Arial"/>
          <w:sz w:val="20"/>
        </w:rPr>
      </w:pPr>
    </w:p>
    <w:p w14:paraId="5E7F153C" w14:textId="56D2BC95" w:rsidR="00A06BE9" w:rsidRDefault="00A06BE9" w:rsidP="00A06BE9">
      <w:pPr>
        <w:contextualSpacing/>
        <w:jc w:val="both"/>
        <w:rPr>
          <w:rFonts w:ascii="Arial" w:eastAsia="Arial" w:hAnsi="Arial" w:cs="Arial"/>
          <w:sz w:val="20"/>
        </w:rPr>
      </w:pPr>
      <w:r w:rsidRPr="00701F32">
        <w:rPr>
          <w:rFonts w:ascii="Arial" w:eastAsia="Arial" w:hAnsi="Arial" w:cs="Arial"/>
          <w:sz w:val="20"/>
        </w:rPr>
        <w:t>Las partes relacionadas al 3</w:t>
      </w:r>
      <w:r w:rsidR="00714187">
        <w:rPr>
          <w:rFonts w:ascii="Arial" w:eastAsia="Arial" w:hAnsi="Arial" w:cs="Arial"/>
          <w:sz w:val="20"/>
        </w:rPr>
        <w:t>1</w:t>
      </w:r>
      <w:r w:rsidRPr="00701F32">
        <w:rPr>
          <w:rFonts w:ascii="Arial" w:eastAsia="Arial" w:hAnsi="Arial" w:cs="Arial"/>
          <w:sz w:val="20"/>
        </w:rPr>
        <w:t xml:space="preserve"> de </w:t>
      </w:r>
      <w:r w:rsidR="00714187">
        <w:rPr>
          <w:rFonts w:ascii="Arial" w:eastAsia="Arial" w:hAnsi="Arial" w:cs="Arial"/>
          <w:sz w:val="20"/>
        </w:rPr>
        <w:t>marzo</w:t>
      </w:r>
      <w:r w:rsidR="006104DE" w:rsidRPr="00701F32">
        <w:rPr>
          <w:rFonts w:ascii="Arial" w:eastAsia="Arial" w:hAnsi="Arial" w:cs="Arial"/>
          <w:sz w:val="20"/>
        </w:rPr>
        <w:t xml:space="preserve"> </w:t>
      </w:r>
      <w:r w:rsidRPr="00701F32">
        <w:rPr>
          <w:rFonts w:ascii="Arial" w:eastAsia="Arial" w:hAnsi="Arial" w:cs="Arial"/>
          <w:sz w:val="20"/>
        </w:rPr>
        <w:t xml:space="preserve">de </w:t>
      </w:r>
      <w:r w:rsidR="006104DE" w:rsidRPr="00701F32">
        <w:rPr>
          <w:rFonts w:ascii="Arial" w:eastAsia="Arial" w:hAnsi="Arial" w:cs="Arial"/>
          <w:sz w:val="20"/>
        </w:rPr>
        <w:t>20</w:t>
      </w:r>
      <w:r w:rsidR="00714187">
        <w:rPr>
          <w:rFonts w:ascii="Arial" w:eastAsia="Arial" w:hAnsi="Arial" w:cs="Arial"/>
          <w:sz w:val="20"/>
        </w:rPr>
        <w:t>20</w:t>
      </w:r>
      <w:r w:rsidR="006104DE" w:rsidRPr="00701F32">
        <w:rPr>
          <w:rFonts w:ascii="Arial" w:eastAsia="Arial" w:hAnsi="Arial" w:cs="Arial"/>
          <w:sz w:val="20"/>
        </w:rPr>
        <w:t xml:space="preserve"> </w:t>
      </w:r>
      <w:r w:rsidR="008F0913">
        <w:rPr>
          <w:rFonts w:ascii="Arial" w:eastAsia="Arial" w:hAnsi="Arial" w:cs="Arial"/>
          <w:sz w:val="20"/>
        </w:rPr>
        <w:t>y 31 de diciembre de 201</w:t>
      </w:r>
      <w:r w:rsidR="00714187">
        <w:rPr>
          <w:rFonts w:ascii="Arial" w:eastAsia="Arial" w:hAnsi="Arial" w:cs="Arial"/>
          <w:sz w:val="20"/>
        </w:rPr>
        <w:t>9</w:t>
      </w:r>
      <w:r w:rsidR="008F0913">
        <w:rPr>
          <w:rFonts w:ascii="Arial" w:eastAsia="Arial" w:hAnsi="Arial" w:cs="Arial"/>
          <w:sz w:val="20"/>
        </w:rPr>
        <w:t xml:space="preserve"> </w:t>
      </w:r>
      <w:r w:rsidRPr="00701F32">
        <w:rPr>
          <w:rFonts w:ascii="Arial" w:eastAsia="Arial" w:hAnsi="Arial" w:cs="Arial"/>
          <w:sz w:val="20"/>
        </w:rPr>
        <w:t>y el detalle de la naturaleza de su relación es la siguiente:</w:t>
      </w:r>
    </w:p>
    <w:p w14:paraId="1DF6F031" w14:textId="77777777" w:rsidR="00AF05CB" w:rsidRPr="00701F32" w:rsidRDefault="00AF05CB" w:rsidP="00A06BE9">
      <w:pPr>
        <w:contextualSpacing/>
        <w:jc w:val="both"/>
        <w:rPr>
          <w:rFonts w:ascii="Calibri Light" w:eastAsia="Calibri" w:hAnsi="Calibri Light" w:cs="Calibri"/>
          <w:noProof/>
          <w:sz w:val="20"/>
        </w:rPr>
      </w:pP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699"/>
        <w:gridCol w:w="1698"/>
        <w:gridCol w:w="1698"/>
        <w:gridCol w:w="1700"/>
      </w:tblGrid>
      <w:tr w:rsidR="00A06BE9" w:rsidRPr="00701F32" w14:paraId="7E04B7FE" w14:textId="77777777" w:rsidTr="00464C0F">
        <w:tc>
          <w:tcPr>
            <w:tcW w:w="950" w:type="pct"/>
            <w:vMerge w:val="restart"/>
            <w:vAlign w:val="center"/>
          </w:tcPr>
          <w:p w14:paraId="5EE7FB27" w14:textId="77777777"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Nombre</w:t>
            </w:r>
          </w:p>
        </w:tc>
        <w:tc>
          <w:tcPr>
            <w:tcW w:w="1012" w:type="pct"/>
            <w:vMerge w:val="restart"/>
            <w:vAlign w:val="center"/>
          </w:tcPr>
          <w:p w14:paraId="049AF577" w14:textId="77777777" w:rsidR="00A06BE9" w:rsidRPr="00701F32" w:rsidRDefault="00A06BE9">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Naturaleza</w:t>
            </w:r>
          </w:p>
        </w:tc>
        <w:tc>
          <w:tcPr>
            <w:tcW w:w="1012" w:type="pct"/>
            <w:vMerge w:val="restart"/>
            <w:vAlign w:val="center"/>
          </w:tcPr>
          <w:p w14:paraId="47C79818" w14:textId="77777777"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Lugar de radicación</w:t>
            </w:r>
          </w:p>
        </w:tc>
        <w:tc>
          <w:tcPr>
            <w:tcW w:w="2025" w:type="pct"/>
            <w:gridSpan w:val="2"/>
            <w:vAlign w:val="center"/>
          </w:tcPr>
          <w:p w14:paraId="4F229D98" w14:textId="77777777"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Porcentaje de participación</w:t>
            </w:r>
          </w:p>
        </w:tc>
      </w:tr>
      <w:tr w:rsidR="00A06BE9" w:rsidRPr="00701F32" w14:paraId="7F527070" w14:textId="77777777" w:rsidTr="00490101">
        <w:tc>
          <w:tcPr>
            <w:tcW w:w="950" w:type="pct"/>
            <w:vMerge/>
            <w:vAlign w:val="center"/>
          </w:tcPr>
          <w:p w14:paraId="16137B12" w14:textId="77777777" w:rsidR="00A06BE9" w:rsidRPr="00701F32" w:rsidRDefault="00A06BE9" w:rsidP="00464C0F">
            <w:pPr>
              <w:spacing w:after="160" w:line="259" w:lineRule="auto"/>
              <w:contextualSpacing/>
              <w:jc w:val="center"/>
              <w:rPr>
                <w:rFonts w:ascii="Arial" w:eastAsia="Calibri" w:hAnsi="Arial" w:cs="Arial"/>
                <w:b/>
                <w:noProof/>
                <w:sz w:val="18"/>
                <w:szCs w:val="18"/>
              </w:rPr>
            </w:pPr>
          </w:p>
        </w:tc>
        <w:tc>
          <w:tcPr>
            <w:tcW w:w="1012" w:type="pct"/>
            <w:vMerge/>
            <w:vAlign w:val="center"/>
          </w:tcPr>
          <w:p w14:paraId="04651552" w14:textId="77777777" w:rsidR="00A06BE9" w:rsidRPr="00701F32" w:rsidRDefault="00A06BE9" w:rsidP="00464C0F">
            <w:pPr>
              <w:spacing w:after="160" w:line="259" w:lineRule="auto"/>
              <w:contextualSpacing/>
              <w:jc w:val="center"/>
              <w:rPr>
                <w:rFonts w:ascii="Arial" w:eastAsia="Calibri" w:hAnsi="Arial" w:cs="Arial"/>
                <w:b/>
                <w:noProof/>
                <w:sz w:val="18"/>
                <w:szCs w:val="18"/>
              </w:rPr>
            </w:pPr>
          </w:p>
        </w:tc>
        <w:tc>
          <w:tcPr>
            <w:tcW w:w="1012" w:type="pct"/>
            <w:vMerge/>
            <w:vAlign w:val="center"/>
          </w:tcPr>
          <w:p w14:paraId="34EF8B9C" w14:textId="77777777" w:rsidR="00A06BE9" w:rsidRPr="00701F32" w:rsidRDefault="00A06BE9" w:rsidP="00464C0F">
            <w:pPr>
              <w:spacing w:after="160" w:line="259" w:lineRule="auto"/>
              <w:contextualSpacing/>
              <w:jc w:val="center"/>
              <w:rPr>
                <w:rFonts w:ascii="Arial" w:eastAsia="Calibri" w:hAnsi="Arial" w:cs="Arial"/>
                <w:b/>
                <w:noProof/>
                <w:sz w:val="18"/>
                <w:szCs w:val="18"/>
              </w:rPr>
            </w:pPr>
          </w:p>
        </w:tc>
        <w:tc>
          <w:tcPr>
            <w:tcW w:w="1012" w:type="pct"/>
            <w:vAlign w:val="center"/>
          </w:tcPr>
          <w:p w14:paraId="64CBA893" w14:textId="09835F8F" w:rsidR="00A06BE9" w:rsidRPr="00701F32" w:rsidRDefault="00A06BE9">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20</w:t>
            </w:r>
            <w:r w:rsidR="007D54C2">
              <w:rPr>
                <w:rFonts w:ascii="Arial" w:eastAsia="Calibri" w:hAnsi="Arial" w:cs="Arial"/>
                <w:b/>
                <w:noProof/>
                <w:sz w:val="18"/>
                <w:szCs w:val="18"/>
              </w:rPr>
              <w:t>20</w:t>
            </w:r>
          </w:p>
        </w:tc>
        <w:tc>
          <w:tcPr>
            <w:tcW w:w="1013" w:type="pct"/>
            <w:vAlign w:val="center"/>
          </w:tcPr>
          <w:p w14:paraId="740F057D" w14:textId="5E051784"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201</w:t>
            </w:r>
            <w:r w:rsidR="007D54C2">
              <w:rPr>
                <w:rFonts w:ascii="Arial" w:eastAsia="Calibri" w:hAnsi="Arial" w:cs="Arial"/>
                <w:b/>
                <w:noProof/>
                <w:sz w:val="18"/>
                <w:szCs w:val="18"/>
              </w:rPr>
              <w:t>9</w:t>
            </w:r>
          </w:p>
        </w:tc>
      </w:tr>
      <w:tr w:rsidR="002F0893" w:rsidRPr="00701F32" w14:paraId="5F4033C7" w14:textId="77777777" w:rsidTr="005819B2">
        <w:trPr>
          <w:trHeight w:val="221"/>
        </w:trPr>
        <w:tc>
          <w:tcPr>
            <w:tcW w:w="950" w:type="pct"/>
            <w:tcBorders>
              <w:top w:val="single" w:sz="4" w:space="0" w:color="auto"/>
              <w:left w:val="single" w:sz="4" w:space="0" w:color="auto"/>
              <w:bottom w:val="single" w:sz="4" w:space="0" w:color="auto"/>
              <w:right w:val="single" w:sz="4" w:space="0" w:color="auto"/>
            </w:tcBorders>
          </w:tcPr>
          <w:p w14:paraId="18B06569" w14:textId="77777777" w:rsidR="002F0893" w:rsidRPr="00701F32" w:rsidRDefault="002F0893" w:rsidP="002F0893">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Cordial Compañía Financiera S.A.</w:t>
            </w:r>
          </w:p>
        </w:tc>
        <w:tc>
          <w:tcPr>
            <w:tcW w:w="1012" w:type="pct"/>
            <w:tcBorders>
              <w:top w:val="single" w:sz="4" w:space="0" w:color="auto"/>
              <w:left w:val="single" w:sz="4" w:space="0" w:color="auto"/>
              <w:bottom w:val="single" w:sz="4" w:space="0" w:color="auto"/>
              <w:right w:val="single" w:sz="4" w:space="0" w:color="auto"/>
            </w:tcBorders>
          </w:tcPr>
          <w:p w14:paraId="422F3633" w14:textId="77777777" w:rsidR="002F0893" w:rsidRPr="00701F32" w:rsidRDefault="002F0893" w:rsidP="002F0893">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95 % del Capital Social y derecho a votos</w:t>
            </w:r>
          </w:p>
        </w:tc>
        <w:tc>
          <w:tcPr>
            <w:tcW w:w="1012" w:type="pct"/>
            <w:tcBorders>
              <w:top w:val="single" w:sz="4" w:space="0" w:color="auto"/>
              <w:left w:val="single" w:sz="4" w:space="0" w:color="auto"/>
              <w:bottom w:val="single" w:sz="4" w:space="0" w:color="auto"/>
              <w:right w:val="single" w:sz="4" w:space="0" w:color="auto"/>
            </w:tcBorders>
            <w:vAlign w:val="center"/>
          </w:tcPr>
          <w:p w14:paraId="283F2031" w14:textId="77777777" w:rsidR="002F0893" w:rsidRPr="00701F32" w:rsidRDefault="002F0893">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Reconquista 320 CABA</w:t>
            </w:r>
          </w:p>
        </w:tc>
        <w:tc>
          <w:tcPr>
            <w:tcW w:w="1012" w:type="pct"/>
            <w:tcBorders>
              <w:top w:val="single" w:sz="4" w:space="0" w:color="auto"/>
              <w:left w:val="single" w:sz="4" w:space="0" w:color="auto"/>
              <w:bottom w:val="single" w:sz="4" w:space="0" w:color="auto"/>
              <w:right w:val="single" w:sz="4" w:space="0" w:color="auto"/>
            </w:tcBorders>
            <w:vAlign w:val="center"/>
          </w:tcPr>
          <w:p w14:paraId="18C2AD3A" w14:textId="77777777" w:rsidR="002F0893" w:rsidRPr="00701F32" w:rsidRDefault="002F0893">
            <w:pPr>
              <w:spacing w:after="160" w:line="259" w:lineRule="auto"/>
              <w:contextualSpacing/>
              <w:jc w:val="right"/>
              <w:rPr>
                <w:rFonts w:ascii="Arial" w:eastAsia="Calibri" w:hAnsi="Arial" w:cs="Arial"/>
                <w:noProof/>
                <w:sz w:val="18"/>
                <w:szCs w:val="18"/>
              </w:rPr>
            </w:pPr>
            <w:r w:rsidRPr="00701F32">
              <w:rPr>
                <w:rFonts w:ascii="Arial" w:eastAsia="Calibri" w:hAnsi="Arial" w:cs="Arial"/>
                <w:noProof/>
                <w:sz w:val="18"/>
                <w:szCs w:val="18"/>
              </w:rPr>
              <w:t>95%</w:t>
            </w:r>
          </w:p>
        </w:tc>
        <w:tc>
          <w:tcPr>
            <w:tcW w:w="1013" w:type="pct"/>
            <w:tcBorders>
              <w:top w:val="single" w:sz="4" w:space="0" w:color="auto"/>
              <w:left w:val="single" w:sz="4" w:space="0" w:color="auto"/>
              <w:bottom w:val="single" w:sz="4" w:space="0" w:color="auto"/>
              <w:right w:val="single" w:sz="4" w:space="0" w:color="auto"/>
            </w:tcBorders>
            <w:vAlign w:val="center"/>
          </w:tcPr>
          <w:p w14:paraId="7F7C5119" w14:textId="77777777" w:rsidR="002F0893" w:rsidRPr="00701F32" w:rsidRDefault="002F0893">
            <w:pPr>
              <w:spacing w:after="160" w:line="259" w:lineRule="auto"/>
              <w:contextualSpacing/>
              <w:jc w:val="right"/>
              <w:rPr>
                <w:rFonts w:ascii="Arial" w:eastAsia="Calibri" w:hAnsi="Arial" w:cs="Arial"/>
                <w:noProof/>
                <w:sz w:val="18"/>
                <w:szCs w:val="18"/>
              </w:rPr>
            </w:pPr>
            <w:r w:rsidRPr="00701F32">
              <w:rPr>
                <w:rFonts w:ascii="Arial" w:eastAsia="Calibri" w:hAnsi="Arial" w:cs="Arial"/>
                <w:noProof/>
                <w:sz w:val="18"/>
                <w:szCs w:val="18"/>
              </w:rPr>
              <w:t>95%</w:t>
            </w:r>
          </w:p>
        </w:tc>
      </w:tr>
    </w:tbl>
    <w:p w14:paraId="2C3C17EE" w14:textId="7DC98D59" w:rsidR="00584F49" w:rsidRDefault="00584F49">
      <w:pPr>
        <w:rPr>
          <w:rFonts w:ascii="Arial" w:eastAsia="Calibri" w:hAnsi="Arial" w:cs="Arial"/>
          <w:sz w:val="20"/>
          <w:u w:val="single"/>
        </w:rPr>
      </w:pPr>
    </w:p>
    <w:p w14:paraId="0AE47421" w14:textId="1DB10C93" w:rsidR="00614C70" w:rsidRPr="00701F32" w:rsidRDefault="003A0C03" w:rsidP="005819B2">
      <w:pPr>
        <w:tabs>
          <w:tab w:val="left" w:pos="142"/>
        </w:tabs>
        <w:spacing w:after="160" w:line="259" w:lineRule="auto"/>
        <w:jc w:val="both"/>
        <w:rPr>
          <w:rFonts w:ascii="Arial" w:eastAsia="Arial" w:hAnsi="Arial" w:cs="Arial"/>
          <w:bCs/>
          <w:noProof/>
          <w:color w:val="000000"/>
          <w:sz w:val="20"/>
          <w:u w:val="single"/>
        </w:rPr>
      </w:pPr>
      <w:r w:rsidRPr="00701F32">
        <w:rPr>
          <w:rFonts w:ascii="Arial" w:eastAsia="Calibri" w:hAnsi="Arial" w:cs="Arial"/>
          <w:sz w:val="20"/>
          <w:u w:val="single"/>
        </w:rPr>
        <w:t>A</w:t>
      </w:r>
      <w:r w:rsidR="00C6108C" w:rsidRPr="00701F32">
        <w:rPr>
          <w:rFonts w:ascii="Arial" w:eastAsia="Calibri" w:hAnsi="Arial" w:cs="Arial"/>
          <w:sz w:val="20"/>
          <w:u w:val="single"/>
        </w:rPr>
        <w:t xml:space="preserve">sociadas </w:t>
      </w:r>
    </w:p>
    <w:p w14:paraId="619FCDD8" w14:textId="387ED3EE" w:rsidR="007F1DD8" w:rsidRPr="00701F32" w:rsidRDefault="00C6108C" w:rsidP="00C6108C">
      <w:pPr>
        <w:jc w:val="both"/>
        <w:rPr>
          <w:rFonts w:ascii="Arial" w:eastAsia="Calibri" w:hAnsi="Arial" w:cs="Arial"/>
          <w:sz w:val="20"/>
        </w:rPr>
      </w:pPr>
      <w:r w:rsidRPr="00701F32">
        <w:rPr>
          <w:rFonts w:ascii="Arial" w:eastAsia="Calibri" w:hAnsi="Arial" w:cs="Arial"/>
          <w:sz w:val="20"/>
        </w:rPr>
        <w:t>Al 3</w:t>
      </w:r>
      <w:r w:rsidR="00714187">
        <w:rPr>
          <w:rFonts w:ascii="Arial" w:eastAsia="Calibri" w:hAnsi="Arial" w:cs="Arial"/>
          <w:sz w:val="20"/>
        </w:rPr>
        <w:t>1</w:t>
      </w:r>
      <w:r w:rsidRPr="00701F32">
        <w:rPr>
          <w:rFonts w:ascii="Arial" w:eastAsia="Calibri" w:hAnsi="Arial" w:cs="Arial"/>
          <w:sz w:val="20"/>
        </w:rPr>
        <w:t xml:space="preserve"> de </w:t>
      </w:r>
      <w:r w:rsidR="00714187">
        <w:rPr>
          <w:rFonts w:ascii="Arial" w:eastAsia="Calibri" w:hAnsi="Arial" w:cs="Arial"/>
          <w:sz w:val="20"/>
        </w:rPr>
        <w:t>marzo</w:t>
      </w:r>
      <w:r w:rsidR="006104DE" w:rsidRPr="00701F32">
        <w:rPr>
          <w:rFonts w:ascii="Arial" w:eastAsia="Calibri" w:hAnsi="Arial" w:cs="Arial"/>
          <w:sz w:val="20"/>
        </w:rPr>
        <w:t xml:space="preserve"> </w:t>
      </w:r>
      <w:r w:rsidRPr="00701F32">
        <w:rPr>
          <w:rFonts w:ascii="Arial" w:eastAsia="Calibri" w:hAnsi="Arial" w:cs="Arial"/>
          <w:sz w:val="20"/>
        </w:rPr>
        <w:t xml:space="preserve">de </w:t>
      </w:r>
      <w:r w:rsidR="006104DE" w:rsidRPr="00701F32">
        <w:rPr>
          <w:rFonts w:ascii="Arial" w:eastAsia="Calibri" w:hAnsi="Arial" w:cs="Arial"/>
          <w:sz w:val="20"/>
        </w:rPr>
        <w:t>20</w:t>
      </w:r>
      <w:r w:rsidR="00714187">
        <w:rPr>
          <w:rFonts w:ascii="Arial" w:eastAsia="Calibri" w:hAnsi="Arial" w:cs="Arial"/>
          <w:sz w:val="20"/>
        </w:rPr>
        <w:t>20</w:t>
      </w:r>
      <w:r w:rsidR="006104DE" w:rsidRPr="00701F32">
        <w:rPr>
          <w:rFonts w:ascii="Arial" w:eastAsia="Calibri" w:hAnsi="Arial" w:cs="Arial"/>
          <w:sz w:val="20"/>
        </w:rPr>
        <w:t xml:space="preserve"> </w:t>
      </w:r>
      <w:r w:rsidRPr="00701F32">
        <w:rPr>
          <w:rFonts w:ascii="Arial" w:eastAsia="Calibri" w:hAnsi="Arial" w:cs="Arial"/>
          <w:sz w:val="20"/>
        </w:rPr>
        <w:t xml:space="preserve">la </w:t>
      </w:r>
      <w:r w:rsidR="00D376AD">
        <w:rPr>
          <w:rFonts w:ascii="Arial" w:eastAsia="Calibri" w:hAnsi="Arial" w:cs="Arial"/>
          <w:sz w:val="20"/>
        </w:rPr>
        <w:t>E</w:t>
      </w:r>
      <w:r w:rsidRPr="00701F32">
        <w:rPr>
          <w:rFonts w:ascii="Arial" w:eastAsia="Calibri" w:hAnsi="Arial" w:cs="Arial"/>
          <w:sz w:val="20"/>
        </w:rPr>
        <w:t>ntidad tenía una participación accionaria en Tarjeta Automática S.A.</w:t>
      </w:r>
      <w:r w:rsidR="00D376AD">
        <w:rPr>
          <w:rFonts w:ascii="Arial" w:eastAsia="Calibri" w:hAnsi="Arial" w:cs="Arial"/>
          <w:sz w:val="20"/>
        </w:rPr>
        <w:t>, la cual</w:t>
      </w:r>
      <w:r w:rsidRPr="00701F32">
        <w:rPr>
          <w:rFonts w:ascii="Arial" w:eastAsia="Calibri" w:hAnsi="Arial" w:cs="Arial"/>
          <w:sz w:val="20"/>
        </w:rPr>
        <w:t xml:space="preserve"> representa el </w:t>
      </w:r>
      <w:r w:rsidR="00E153A6" w:rsidRPr="007A6D9C">
        <w:rPr>
          <w:rFonts w:ascii="Arial" w:eastAsia="Calibri" w:hAnsi="Arial" w:cs="Arial"/>
          <w:sz w:val="20"/>
        </w:rPr>
        <w:t>1</w:t>
      </w:r>
      <w:r w:rsidR="007A6D9C">
        <w:rPr>
          <w:rFonts w:ascii="Arial" w:eastAsia="Calibri" w:hAnsi="Arial" w:cs="Arial"/>
          <w:sz w:val="20"/>
        </w:rPr>
        <w:t>2,375</w:t>
      </w:r>
      <w:r w:rsidRPr="00701F32">
        <w:rPr>
          <w:rFonts w:ascii="Arial" w:eastAsia="Calibri" w:hAnsi="Arial" w:cs="Arial"/>
          <w:sz w:val="20"/>
        </w:rPr>
        <w:t xml:space="preserve"> % del capital social y de los votos y se encuentra registrada en el rubro Inversión en subsidiarias, asociadas y negocios conjuntos </w:t>
      </w:r>
      <w:r w:rsidRPr="00C43BF8">
        <w:rPr>
          <w:rFonts w:ascii="Arial" w:eastAsia="Calibri" w:hAnsi="Arial" w:cs="Arial"/>
          <w:sz w:val="20"/>
        </w:rPr>
        <w:t xml:space="preserve">por </w:t>
      </w:r>
      <w:r w:rsidR="008F0913">
        <w:rPr>
          <w:rFonts w:ascii="Arial" w:eastAsia="Calibri" w:hAnsi="Arial" w:cs="Arial"/>
          <w:sz w:val="20"/>
        </w:rPr>
        <w:t xml:space="preserve">$ </w:t>
      </w:r>
      <w:r w:rsidR="008E4463" w:rsidRPr="00C43BF8">
        <w:rPr>
          <w:rFonts w:ascii="Arial" w:eastAsia="Calibri" w:hAnsi="Arial" w:cs="Arial"/>
          <w:sz w:val="20"/>
        </w:rPr>
        <w:t>3</w:t>
      </w:r>
      <w:r w:rsidR="00714187">
        <w:rPr>
          <w:rFonts w:ascii="Arial" w:eastAsia="Calibri" w:hAnsi="Arial" w:cs="Arial"/>
          <w:sz w:val="20"/>
        </w:rPr>
        <w:t>0</w:t>
      </w:r>
      <w:r w:rsidR="008E4463" w:rsidRPr="00C43BF8">
        <w:rPr>
          <w:rFonts w:ascii="Arial" w:eastAsia="Calibri" w:hAnsi="Arial" w:cs="Arial"/>
          <w:sz w:val="20"/>
        </w:rPr>
        <w:t>.</w:t>
      </w:r>
      <w:r w:rsidR="00714187">
        <w:rPr>
          <w:rFonts w:ascii="Arial" w:eastAsia="Calibri" w:hAnsi="Arial" w:cs="Arial"/>
          <w:sz w:val="20"/>
        </w:rPr>
        <w:t>17</w:t>
      </w:r>
      <w:r w:rsidR="00934F9A" w:rsidRPr="00C43BF8">
        <w:rPr>
          <w:rFonts w:ascii="Arial" w:eastAsia="Calibri" w:hAnsi="Arial" w:cs="Arial"/>
          <w:sz w:val="20"/>
        </w:rPr>
        <w:t>7</w:t>
      </w:r>
      <w:r w:rsidR="00FF003D" w:rsidRPr="00C43BF8">
        <w:rPr>
          <w:rFonts w:ascii="Arial" w:eastAsia="Calibri" w:hAnsi="Arial" w:cs="Arial"/>
          <w:sz w:val="20"/>
        </w:rPr>
        <w:t>.</w:t>
      </w:r>
    </w:p>
    <w:p w14:paraId="563A7DA2" w14:textId="3278962C" w:rsidR="00751A92" w:rsidRDefault="00751A92" w:rsidP="00C6108C">
      <w:pPr>
        <w:jc w:val="both"/>
        <w:rPr>
          <w:rFonts w:ascii="Arial" w:eastAsia="Arial" w:hAnsi="Arial" w:cs="Arial"/>
          <w:bCs/>
          <w:noProof/>
          <w:color w:val="000000"/>
          <w:sz w:val="20"/>
        </w:rPr>
      </w:pPr>
    </w:p>
    <w:p w14:paraId="5725E5C8" w14:textId="63ED14A7" w:rsidR="00377D7F" w:rsidRDefault="00377D7F" w:rsidP="00C6108C">
      <w:pPr>
        <w:jc w:val="both"/>
        <w:rPr>
          <w:rFonts w:ascii="Arial" w:eastAsia="Arial" w:hAnsi="Arial" w:cs="Arial"/>
          <w:bCs/>
          <w:noProof/>
          <w:color w:val="000000"/>
          <w:sz w:val="20"/>
        </w:rPr>
      </w:pPr>
    </w:p>
    <w:p w14:paraId="193E3332" w14:textId="023EC78E" w:rsidR="00377D7F" w:rsidRDefault="00377D7F" w:rsidP="00C6108C">
      <w:pPr>
        <w:jc w:val="both"/>
        <w:rPr>
          <w:rFonts w:ascii="Arial" w:eastAsia="Arial" w:hAnsi="Arial" w:cs="Arial"/>
          <w:bCs/>
          <w:noProof/>
          <w:color w:val="000000"/>
          <w:sz w:val="20"/>
        </w:rPr>
      </w:pPr>
    </w:p>
    <w:p w14:paraId="3D7A4384" w14:textId="167CE9E3" w:rsidR="00377D7F" w:rsidRDefault="00377D7F" w:rsidP="00C6108C">
      <w:pPr>
        <w:jc w:val="both"/>
        <w:rPr>
          <w:rFonts w:ascii="Arial" w:eastAsia="Arial" w:hAnsi="Arial" w:cs="Arial"/>
          <w:bCs/>
          <w:noProof/>
          <w:color w:val="000000"/>
          <w:sz w:val="20"/>
        </w:rPr>
      </w:pPr>
    </w:p>
    <w:p w14:paraId="51256628" w14:textId="77777777" w:rsidR="00377D7F" w:rsidRPr="00701F32" w:rsidRDefault="00377D7F" w:rsidP="00C6108C">
      <w:pPr>
        <w:jc w:val="both"/>
        <w:rPr>
          <w:rFonts w:ascii="Arial" w:eastAsia="Arial" w:hAnsi="Arial" w:cs="Arial"/>
          <w:bCs/>
          <w:noProof/>
          <w:color w:val="000000"/>
          <w:sz w:val="20"/>
        </w:rPr>
      </w:pPr>
    </w:p>
    <w:p w14:paraId="1A92A2DD" w14:textId="10747859" w:rsidR="00A06BE9" w:rsidRPr="00701F32" w:rsidRDefault="00A06BE9" w:rsidP="00BA7A6B">
      <w:pPr>
        <w:rPr>
          <w:rFonts w:ascii="Arial" w:eastAsia="Calibri" w:hAnsi="Arial" w:cs="Arial"/>
          <w:bCs/>
          <w:sz w:val="20"/>
          <w:lang w:eastAsia="es-AR"/>
        </w:rPr>
      </w:pPr>
      <w:r w:rsidRPr="00701F32">
        <w:rPr>
          <w:rFonts w:ascii="Arial" w:eastAsia="Calibri" w:hAnsi="Arial" w:cs="Arial"/>
          <w:sz w:val="20"/>
          <w:u w:val="single"/>
          <w:lang w:eastAsia="es-AR"/>
        </w:rPr>
        <w:lastRenderedPageBreak/>
        <w:t>Sociedades vinculadas</w:t>
      </w:r>
    </w:p>
    <w:p w14:paraId="067EA70B" w14:textId="77777777" w:rsidR="00A06BE9" w:rsidRPr="00701F32" w:rsidRDefault="00A06BE9" w:rsidP="00A06BE9">
      <w:pPr>
        <w:tabs>
          <w:tab w:val="left" w:pos="142"/>
        </w:tabs>
        <w:spacing w:after="200" w:line="276" w:lineRule="auto"/>
        <w:contextualSpacing/>
        <w:jc w:val="both"/>
        <w:rPr>
          <w:rFonts w:ascii="Arial" w:eastAsia="Calibri" w:hAnsi="Arial" w:cs="Arial"/>
          <w:bCs/>
          <w:sz w:val="20"/>
          <w:lang w:eastAsia="es-AR"/>
        </w:rPr>
      </w:pPr>
    </w:p>
    <w:p w14:paraId="43DB11A9" w14:textId="5E30BDC4" w:rsidR="00A06BE9" w:rsidRPr="00701F32" w:rsidRDefault="00A06BE9" w:rsidP="00A06BE9">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Banco Supervielle S.A. está vinculado a Sofital S.A.F.e I.I. Al 3</w:t>
      </w:r>
      <w:r w:rsidR="007D54C2">
        <w:rPr>
          <w:rFonts w:ascii="Arial" w:eastAsia="Calibri" w:hAnsi="Arial" w:cs="Arial"/>
          <w:sz w:val="20"/>
        </w:rPr>
        <w:t>1</w:t>
      </w:r>
      <w:r w:rsidRPr="00701F32">
        <w:rPr>
          <w:rFonts w:ascii="Arial" w:eastAsia="Calibri" w:hAnsi="Arial" w:cs="Arial"/>
          <w:sz w:val="20"/>
        </w:rPr>
        <w:t xml:space="preserve"> de </w:t>
      </w:r>
      <w:r w:rsidR="007D54C2">
        <w:rPr>
          <w:rFonts w:ascii="Arial" w:eastAsia="Calibri" w:hAnsi="Arial" w:cs="Arial"/>
          <w:sz w:val="20"/>
        </w:rPr>
        <w:t>marzo</w:t>
      </w:r>
      <w:r w:rsidRPr="00701F32">
        <w:rPr>
          <w:rFonts w:ascii="Arial" w:eastAsia="Calibri" w:hAnsi="Arial" w:cs="Arial"/>
          <w:sz w:val="20"/>
        </w:rPr>
        <w:t xml:space="preserve"> de 20</w:t>
      </w:r>
      <w:r w:rsidR="007D54C2">
        <w:rPr>
          <w:rFonts w:ascii="Arial" w:eastAsia="Calibri" w:hAnsi="Arial" w:cs="Arial"/>
          <w:sz w:val="20"/>
        </w:rPr>
        <w:t>20</w:t>
      </w:r>
      <w:r w:rsidRPr="00701F32">
        <w:rPr>
          <w:rFonts w:ascii="Arial" w:eastAsia="Calibri" w:hAnsi="Arial" w:cs="Arial"/>
          <w:sz w:val="20"/>
        </w:rPr>
        <w:t xml:space="preserve"> la participación accionaria de Sofital S.A.F.e I.I. en Banco Supervielle S.A. representa el </w:t>
      </w:r>
      <w:r w:rsidR="00910C22">
        <w:rPr>
          <w:rFonts w:ascii="Arial" w:eastAsia="Calibri" w:hAnsi="Arial" w:cs="Arial"/>
          <w:sz w:val="20"/>
        </w:rPr>
        <w:t>2</w:t>
      </w:r>
      <w:r w:rsidRPr="00701F32">
        <w:rPr>
          <w:rFonts w:ascii="Arial" w:eastAsia="Calibri" w:hAnsi="Arial" w:cs="Arial"/>
          <w:sz w:val="20"/>
        </w:rPr>
        <w:t>,</w:t>
      </w:r>
      <w:r w:rsidR="00CB0A40">
        <w:rPr>
          <w:rFonts w:ascii="Arial" w:eastAsia="Calibri" w:hAnsi="Arial" w:cs="Arial"/>
          <w:sz w:val="20"/>
        </w:rPr>
        <w:t>79</w:t>
      </w:r>
      <w:r w:rsidRPr="00701F32">
        <w:rPr>
          <w:rFonts w:ascii="Arial" w:eastAsia="Calibri" w:hAnsi="Arial" w:cs="Arial"/>
          <w:sz w:val="20"/>
        </w:rPr>
        <w:t xml:space="preserve">% del capital social y el </w:t>
      </w:r>
      <w:r w:rsidR="00910C22">
        <w:rPr>
          <w:rFonts w:ascii="Arial" w:eastAsia="Calibri" w:hAnsi="Arial" w:cs="Arial"/>
          <w:sz w:val="20"/>
        </w:rPr>
        <w:t>2</w:t>
      </w:r>
      <w:r w:rsidRPr="00701F32">
        <w:rPr>
          <w:rFonts w:ascii="Arial" w:eastAsia="Calibri" w:hAnsi="Arial" w:cs="Arial"/>
          <w:sz w:val="20"/>
        </w:rPr>
        <w:t>,</w:t>
      </w:r>
      <w:r w:rsidR="00910C22">
        <w:rPr>
          <w:rFonts w:ascii="Arial" w:eastAsia="Calibri" w:hAnsi="Arial" w:cs="Arial"/>
          <w:sz w:val="20"/>
        </w:rPr>
        <w:t>8</w:t>
      </w:r>
      <w:r w:rsidR="00CB0A40">
        <w:rPr>
          <w:rFonts w:ascii="Arial" w:eastAsia="Calibri" w:hAnsi="Arial" w:cs="Arial"/>
          <w:sz w:val="20"/>
        </w:rPr>
        <w:t>1</w:t>
      </w:r>
      <w:r w:rsidRPr="00701F32">
        <w:rPr>
          <w:rFonts w:ascii="Arial" w:eastAsia="Calibri" w:hAnsi="Arial" w:cs="Arial"/>
          <w:sz w:val="20"/>
        </w:rPr>
        <w:t>% de los votos</w:t>
      </w:r>
    </w:p>
    <w:p w14:paraId="464150DE" w14:textId="53559E67" w:rsidR="00A06BE9" w:rsidRPr="00701F32" w:rsidRDefault="00A06BE9" w:rsidP="00A06BE9">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La Entidad se encuentra vinculada a las empresas Supervielle Asset Management S.A., Espacio Cordial de Servicios S.A.</w:t>
      </w:r>
      <w:r w:rsidR="00631036" w:rsidRPr="00701F32">
        <w:rPr>
          <w:rFonts w:ascii="Arial" w:eastAsia="Calibri" w:hAnsi="Arial" w:cs="Arial"/>
          <w:sz w:val="20"/>
        </w:rPr>
        <w:t>,</w:t>
      </w:r>
      <w:r w:rsidRPr="00701F32">
        <w:rPr>
          <w:rFonts w:ascii="Arial" w:eastAsia="Calibri" w:hAnsi="Arial" w:cs="Arial"/>
          <w:sz w:val="20"/>
        </w:rPr>
        <w:t xml:space="preserve"> Supervielle Seguros S.A.</w:t>
      </w:r>
      <w:r w:rsidR="00805B59" w:rsidRPr="00701F32">
        <w:rPr>
          <w:rFonts w:ascii="Arial" w:eastAsia="Calibri" w:hAnsi="Arial" w:cs="Arial"/>
          <w:sz w:val="20"/>
        </w:rPr>
        <w:t>,</w:t>
      </w:r>
      <w:r w:rsidR="00631036" w:rsidRPr="00701F32">
        <w:rPr>
          <w:rFonts w:ascii="Arial" w:eastAsia="Calibri" w:hAnsi="Arial" w:cs="Arial"/>
          <w:sz w:val="20"/>
        </w:rPr>
        <w:t xml:space="preserve"> Invertir OnLine S.A.</w:t>
      </w:r>
      <w:r w:rsidR="00E462C7">
        <w:rPr>
          <w:rFonts w:ascii="Arial" w:eastAsia="Calibri" w:hAnsi="Arial" w:cs="Arial"/>
          <w:sz w:val="20"/>
        </w:rPr>
        <w:t>U.</w:t>
      </w:r>
      <w:r w:rsidR="00805B59" w:rsidRPr="00701F32">
        <w:rPr>
          <w:rFonts w:ascii="Arial" w:eastAsia="Calibri" w:hAnsi="Arial" w:cs="Arial"/>
          <w:sz w:val="20"/>
        </w:rPr>
        <w:t>, InvertirOnline.Com Argentina S.A.</w:t>
      </w:r>
      <w:r w:rsidR="003638C3">
        <w:rPr>
          <w:rFonts w:ascii="Arial" w:eastAsia="Calibri" w:hAnsi="Arial" w:cs="Arial"/>
          <w:sz w:val="20"/>
        </w:rPr>
        <w:t>U.</w:t>
      </w:r>
      <w:r w:rsidR="00805B59" w:rsidRPr="00701F32">
        <w:rPr>
          <w:rFonts w:ascii="Arial" w:eastAsia="Calibri" w:hAnsi="Arial" w:cs="Arial"/>
          <w:sz w:val="20"/>
        </w:rPr>
        <w:t xml:space="preserve"> y Micro Lending S.A.</w:t>
      </w:r>
      <w:r w:rsidR="00E462C7">
        <w:rPr>
          <w:rFonts w:ascii="Arial" w:eastAsia="Calibri" w:hAnsi="Arial" w:cs="Arial"/>
          <w:sz w:val="20"/>
        </w:rPr>
        <w:t>U.</w:t>
      </w:r>
      <w:r w:rsidR="00631036" w:rsidRPr="00701F32">
        <w:rPr>
          <w:rFonts w:ascii="Arial" w:eastAsia="Calibri" w:hAnsi="Arial" w:cs="Arial"/>
          <w:sz w:val="20"/>
        </w:rPr>
        <w:t xml:space="preserve"> </w:t>
      </w:r>
      <w:r w:rsidRPr="00701F32">
        <w:rPr>
          <w:rFonts w:ascii="Arial" w:eastAsia="Calibri" w:hAnsi="Arial" w:cs="Arial"/>
          <w:sz w:val="20"/>
        </w:rPr>
        <w:t>por ser sociedades controladas por Grupo Supervielle S.A.</w:t>
      </w:r>
    </w:p>
    <w:p w14:paraId="52C831A2" w14:textId="77777777" w:rsidR="00A06BE9" w:rsidRPr="00701F32" w:rsidRDefault="00A06BE9" w:rsidP="00A06BE9">
      <w:pPr>
        <w:contextualSpacing/>
        <w:jc w:val="both"/>
        <w:rPr>
          <w:rFonts w:ascii="Arial" w:eastAsia="Calibri" w:hAnsi="Arial" w:cs="Arial"/>
          <w:noProof/>
          <w:sz w:val="20"/>
          <w:u w:val="single"/>
        </w:rPr>
      </w:pPr>
      <w:r w:rsidRPr="00701F32">
        <w:rPr>
          <w:rFonts w:ascii="Arial" w:eastAsia="Calibri" w:hAnsi="Arial" w:cs="Arial"/>
          <w:noProof/>
          <w:sz w:val="20"/>
          <w:u w:val="single"/>
        </w:rPr>
        <w:t>A continuación se detallan los saldos y transacciones más significativas con partes relacionadas:</w:t>
      </w:r>
    </w:p>
    <w:p w14:paraId="6524FDA6" w14:textId="77777777" w:rsidR="00A06BE9" w:rsidRPr="00701F32" w:rsidRDefault="00A06BE9" w:rsidP="00A06BE9">
      <w:pPr>
        <w:widowControl w:val="0"/>
        <w:autoSpaceDE w:val="0"/>
        <w:autoSpaceDN w:val="0"/>
        <w:adjustRightInd w:val="0"/>
        <w:jc w:val="both"/>
        <w:rPr>
          <w:rFonts w:ascii="Arial" w:hAnsi="Arial" w:cs="Arial"/>
          <w:b/>
          <w:noProof/>
          <w:sz w:val="20"/>
        </w:rPr>
      </w:pPr>
    </w:p>
    <w:p w14:paraId="6CCEFCA5" w14:textId="040FC032" w:rsidR="001C765F" w:rsidRDefault="009C5DAE" w:rsidP="00A06BE9">
      <w:pPr>
        <w:widowControl w:val="0"/>
        <w:autoSpaceDE w:val="0"/>
        <w:autoSpaceDN w:val="0"/>
        <w:adjustRightInd w:val="0"/>
        <w:jc w:val="both"/>
        <w:rPr>
          <w:rFonts w:ascii="Arial" w:eastAsia="Calibri" w:hAnsi="Arial" w:cs="Arial"/>
          <w:color w:val="000000"/>
          <w:sz w:val="20"/>
        </w:rPr>
      </w:pPr>
      <w:r>
        <w:rPr>
          <w:rFonts w:ascii="Arial" w:eastAsia="Calibri" w:hAnsi="Arial" w:cs="Arial"/>
          <w:color w:val="000000"/>
          <w:sz w:val="20"/>
        </w:rPr>
        <w:t>Los saldos al 3</w:t>
      </w:r>
      <w:r w:rsidR="00714187">
        <w:rPr>
          <w:rFonts w:ascii="Arial" w:eastAsia="Calibri" w:hAnsi="Arial" w:cs="Arial"/>
          <w:color w:val="000000"/>
          <w:sz w:val="20"/>
        </w:rPr>
        <w:t>1</w:t>
      </w:r>
      <w:r w:rsidR="00A06BE9" w:rsidRPr="00701F32">
        <w:rPr>
          <w:rFonts w:ascii="Arial" w:eastAsia="Calibri" w:hAnsi="Arial" w:cs="Arial"/>
          <w:color w:val="000000"/>
          <w:sz w:val="20"/>
        </w:rPr>
        <w:t xml:space="preserve"> </w:t>
      </w:r>
      <w:r w:rsidR="006104DE">
        <w:rPr>
          <w:rFonts w:ascii="Arial" w:eastAsia="Calibri" w:hAnsi="Arial" w:cs="Arial"/>
          <w:color w:val="000000"/>
          <w:sz w:val="20"/>
        </w:rPr>
        <w:t xml:space="preserve">de </w:t>
      </w:r>
      <w:r w:rsidR="00714187">
        <w:rPr>
          <w:rFonts w:ascii="Arial" w:eastAsia="Calibri" w:hAnsi="Arial" w:cs="Arial"/>
          <w:color w:val="000000"/>
          <w:sz w:val="20"/>
        </w:rPr>
        <w:t>marzo</w:t>
      </w:r>
      <w:r w:rsidR="006104DE" w:rsidRPr="00701F32">
        <w:rPr>
          <w:rFonts w:ascii="Arial" w:eastAsia="Calibri" w:hAnsi="Arial" w:cs="Arial"/>
          <w:color w:val="000000"/>
          <w:sz w:val="20"/>
        </w:rPr>
        <w:t xml:space="preserve"> </w:t>
      </w:r>
      <w:r w:rsidR="00A06BE9" w:rsidRPr="00701F32">
        <w:rPr>
          <w:rFonts w:ascii="Arial" w:eastAsia="Calibri" w:hAnsi="Arial" w:cs="Arial"/>
          <w:color w:val="000000"/>
          <w:sz w:val="20"/>
        </w:rPr>
        <w:t xml:space="preserve">de </w:t>
      </w:r>
      <w:r w:rsidR="006104DE">
        <w:rPr>
          <w:rFonts w:ascii="Arial" w:eastAsia="Calibri" w:hAnsi="Arial" w:cs="Arial"/>
          <w:color w:val="000000"/>
          <w:sz w:val="20"/>
        </w:rPr>
        <w:t>20</w:t>
      </w:r>
      <w:r w:rsidR="00714187">
        <w:rPr>
          <w:rFonts w:ascii="Arial" w:eastAsia="Calibri" w:hAnsi="Arial" w:cs="Arial"/>
          <w:color w:val="000000"/>
          <w:sz w:val="20"/>
        </w:rPr>
        <w:t>20</w:t>
      </w:r>
      <w:r w:rsidR="00A06BE9" w:rsidRPr="00701F32">
        <w:rPr>
          <w:rFonts w:ascii="Arial" w:eastAsia="Calibri" w:hAnsi="Arial" w:cs="Arial"/>
          <w:color w:val="000000"/>
          <w:sz w:val="20"/>
        </w:rPr>
        <w:t>, con las sociedades indicadas son los siguientes:</w:t>
      </w:r>
    </w:p>
    <w:p w14:paraId="463DED56" w14:textId="77777777" w:rsidR="009A3CCD" w:rsidRDefault="009A3CCD" w:rsidP="00534414">
      <w:pPr>
        <w:widowControl w:val="0"/>
        <w:autoSpaceDE w:val="0"/>
        <w:autoSpaceDN w:val="0"/>
        <w:adjustRightInd w:val="0"/>
        <w:jc w:val="both"/>
        <w:rPr>
          <w:rFonts w:ascii="Arial" w:eastAsia="Calibri" w:hAnsi="Arial" w:cs="Arial"/>
          <w:color w:val="000000"/>
          <w:sz w:val="20"/>
        </w:rPr>
      </w:pPr>
    </w:p>
    <w:tbl>
      <w:tblPr>
        <w:tblW w:w="97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728"/>
        <w:gridCol w:w="1276"/>
        <w:gridCol w:w="35"/>
        <w:gridCol w:w="1276"/>
        <w:gridCol w:w="1134"/>
        <w:gridCol w:w="1134"/>
        <w:gridCol w:w="1191"/>
        <w:gridCol w:w="993"/>
      </w:tblGrid>
      <w:tr w:rsidR="00260816" w:rsidRPr="001B2F17" w14:paraId="5DE5BE62" w14:textId="77777777" w:rsidTr="00211E4B">
        <w:trPr>
          <w:trHeight w:val="151"/>
          <w:tblHeader/>
        </w:trPr>
        <w:tc>
          <w:tcPr>
            <w:tcW w:w="2728" w:type="dxa"/>
            <w:vMerge w:val="restart"/>
            <w:shd w:val="clear" w:color="auto" w:fill="auto"/>
            <w:vAlign w:val="center"/>
            <w:hideMark/>
          </w:tcPr>
          <w:p w14:paraId="31213E8D" w14:textId="77777777" w:rsidR="00260816" w:rsidRPr="0085237C" w:rsidRDefault="00260816" w:rsidP="00A50BF1">
            <w:pPr>
              <w:spacing w:after="160" w:line="259" w:lineRule="auto"/>
              <w:jc w:val="center"/>
              <w:rPr>
                <w:rFonts w:ascii="Arial" w:eastAsia="Calibri" w:hAnsi="Arial" w:cs="Arial"/>
                <w:b/>
                <w:color w:val="000000"/>
                <w:sz w:val="16"/>
                <w:szCs w:val="16"/>
              </w:rPr>
            </w:pPr>
            <w:r w:rsidRPr="0085237C">
              <w:rPr>
                <w:rFonts w:ascii="Arial" w:eastAsia="Calibri" w:hAnsi="Arial" w:cs="Arial"/>
                <w:b/>
                <w:color w:val="000000"/>
                <w:sz w:val="16"/>
                <w:szCs w:val="16"/>
              </w:rPr>
              <w:t>Sociedades</w:t>
            </w:r>
          </w:p>
        </w:tc>
        <w:tc>
          <w:tcPr>
            <w:tcW w:w="1276" w:type="dxa"/>
          </w:tcPr>
          <w:p w14:paraId="047C11A0" w14:textId="77777777" w:rsidR="00260816" w:rsidRDefault="00260816" w:rsidP="009C5DAE">
            <w:pPr>
              <w:spacing w:after="160" w:line="259" w:lineRule="auto"/>
              <w:jc w:val="center"/>
              <w:rPr>
                <w:rFonts w:ascii="Arial" w:eastAsia="Calibri" w:hAnsi="Arial" w:cs="Arial"/>
                <w:b/>
                <w:color w:val="000000"/>
                <w:sz w:val="16"/>
                <w:szCs w:val="16"/>
                <w:lang w:eastAsia="es-AR"/>
              </w:rPr>
            </w:pPr>
          </w:p>
        </w:tc>
        <w:tc>
          <w:tcPr>
            <w:tcW w:w="5763" w:type="dxa"/>
            <w:gridSpan w:val="6"/>
            <w:vAlign w:val="center"/>
          </w:tcPr>
          <w:p w14:paraId="636968C8" w14:textId="3F9CFBFE" w:rsidR="00260816" w:rsidRPr="0085237C" w:rsidRDefault="00260816" w:rsidP="009C5DAE">
            <w:pPr>
              <w:spacing w:after="160" w:line="259" w:lineRule="auto"/>
              <w:jc w:val="center"/>
              <w:rPr>
                <w:rFonts w:ascii="Arial" w:eastAsia="Calibri" w:hAnsi="Arial" w:cs="Arial"/>
                <w:b/>
                <w:color w:val="000000"/>
                <w:sz w:val="16"/>
                <w:szCs w:val="16"/>
                <w:lang w:eastAsia="es-AR"/>
              </w:rPr>
            </w:pPr>
            <w:r>
              <w:rPr>
                <w:rFonts w:ascii="Arial" w:eastAsia="Calibri" w:hAnsi="Arial" w:cs="Arial"/>
                <w:b/>
                <w:color w:val="000000"/>
                <w:sz w:val="16"/>
                <w:szCs w:val="16"/>
                <w:lang w:eastAsia="es-AR"/>
              </w:rPr>
              <w:t>31</w:t>
            </w:r>
            <w:r w:rsidRPr="0085237C">
              <w:rPr>
                <w:rFonts w:ascii="Arial" w:eastAsia="Calibri" w:hAnsi="Arial" w:cs="Arial"/>
                <w:b/>
                <w:color w:val="000000"/>
                <w:sz w:val="16"/>
                <w:szCs w:val="16"/>
                <w:lang w:eastAsia="es-AR"/>
              </w:rPr>
              <w:t>/</w:t>
            </w:r>
            <w:r>
              <w:rPr>
                <w:rFonts w:ascii="Arial" w:eastAsia="Calibri" w:hAnsi="Arial" w:cs="Arial"/>
                <w:b/>
                <w:color w:val="000000"/>
                <w:sz w:val="16"/>
                <w:szCs w:val="16"/>
                <w:lang w:eastAsia="es-AR"/>
              </w:rPr>
              <w:t>03</w:t>
            </w:r>
            <w:r w:rsidRPr="0085237C">
              <w:rPr>
                <w:rFonts w:ascii="Arial" w:eastAsia="Calibri" w:hAnsi="Arial" w:cs="Arial"/>
                <w:b/>
                <w:color w:val="000000"/>
                <w:sz w:val="16"/>
                <w:szCs w:val="16"/>
                <w:lang w:eastAsia="es-AR"/>
              </w:rPr>
              <w:t>/20</w:t>
            </w:r>
            <w:r>
              <w:rPr>
                <w:rFonts w:ascii="Arial" w:eastAsia="Calibri" w:hAnsi="Arial" w:cs="Arial"/>
                <w:b/>
                <w:color w:val="000000"/>
                <w:sz w:val="16"/>
                <w:szCs w:val="16"/>
                <w:lang w:eastAsia="es-AR"/>
              </w:rPr>
              <w:t>20</w:t>
            </w:r>
          </w:p>
        </w:tc>
      </w:tr>
      <w:tr w:rsidR="00211E4B" w:rsidRPr="001B2F17" w14:paraId="136D9AA4" w14:textId="77777777" w:rsidTr="00211E4B">
        <w:trPr>
          <w:trHeight w:val="20"/>
          <w:tblHeader/>
        </w:trPr>
        <w:tc>
          <w:tcPr>
            <w:tcW w:w="2728" w:type="dxa"/>
            <w:vMerge/>
            <w:shd w:val="clear" w:color="auto" w:fill="auto"/>
            <w:vAlign w:val="bottom"/>
            <w:hideMark/>
          </w:tcPr>
          <w:p w14:paraId="51C5ADDC" w14:textId="77777777" w:rsidR="00211E4B" w:rsidRPr="0085237C" w:rsidRDefault="00211E4B" w:rsidP="00211E4B">
            <w:pPr>
              <w:spacing w:after="160" w:line="259" w:lineRule="auto"/>
              <w:jc w:val="center"/>
              <w:rPr>
                <w:rFonts w:ascii="Arial" w:eastAsia="Calibri" w:hAnsi="Arial" w:cs="Arial"/>
                <w:color w:val="000000"/>
                <w:sz w:val="16"/>
                <w:szCs w:val="16"/>
              </w:rPr>
            </w:pPr>
          </w:p>
        </w:tc>
        <w:tc>
          <w:tcPr>
            <w:tcW w:w="1311" w:type="dxa"/>
            <w:gridSpan w:val="2"/>
            <w:vAlign w:val="center"/>
          </w:tcPr>
          <w:p w14:paraId="27ABBF38" w14:textId="77777777" w:rsidR="00211E4B" w:rsidRPr="0085237C" w:rsidRDefault="00211E4B" w:rsidP="00211E4B">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Préstamos y Otras Financiaciones</w:t>
            </w:r>
          </w:p>
        </w:tc>
        <w:tc>
          <w:tcPr>
            <w:tcW w:w="1276" w:type="dxa"/>
            <w:shd w:val="clear" w:color="auto" w:fill="auto"/>
            <w:vAlign w:val="center"/>
            <w:hideMark/>
          </w:tcPr>
          <w:p w14:paraId="08438322" w14:textId="77777777" w:rsidR="00211E4B" w:rsidRPr="0085237C" w:rsidRDefault="00211E4B" w:rsidP="00211E4B">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Otros Activos Financieros</w:t>
            </w:r>
          </w:p>
        </w:tc>
        <w:tc>
          <w:tcPr>
            <w:tcW w:w="1134" w:type="dxa"/>
            <w:shd w:val="clear" w:color="auto" w:fill="auto"/>
            <w:vAlign w:val="center"/>
            <w:hideMark/>
          </w:tcPr>
          <w:p w14:paraId="210A70C5" w14:textId="77777777" w:rsidR="00211E4B" w:rsidRPr="0085237C" w:rsidRDefault="00211E4B" w:rsidP="00211E4B">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Depósitos</w:t>
            </w:r>
          </w:p>
        </w:tc>
        <w:tc>
          <w:tcPr>
            <w:tcW w:w="1134" w:type="dxa"/>
            <w:vAlign w:val="center"/>
          </w:tcPr>
          <w:p w14:paraId="2894EFA1" w14:textId="77777777" w:rsidR="00211E4B" w:rsidRPr="0085237C" w:rsidRDefault="00211E4B" w:rsidP="00211E4B">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Otros Pasivos no Financieros</w:t>
            </w:r>
          </w:p>
        </w:tc>
        <w:tc>
          <w:tcPr>
            <w:tcW w:w="1191" w:type="dxa"/>
            <w:vAlign w:val="center"/>
          </w:tcPr>
          <w:p w14:paraId="33F05094" w14:textId="053BD6D0" w:rsidR="00211E4B" w:rsidRDefault="00211E4B" w:rsidP="00211E4B">
            <w:pPr>
              <w:spacing w:after="160" w:line="259" w:lineRule="auto"/>
              <w:jc w:val="center"/>
              <w:rPr>
                <w:rFonts w:ascii="Arial" w:eastAsia="Calibri" w:hAnsi="Arial" w:cs="Arial"/>
                <w:b/>
                <w:bCs/>
                <w:color w:val="000000"/>
                <w:sz w:val="16"/>
                <w:szCs w:val="16"/>
                <w:lang w:eastAsia="es-AR"/>
              </w:rPr>
            </w:pPr>
            <w:r>
              <w:rPr>
                <w:rFonts w:ascii="Arial" w:eastAsia="Calibri" w:hAnsi="Arial" w:cs="Arial"/>
                <w:b/>
                <w:bCs/>
                <w:color w:val="000000"/>
                <w:sz w:val="16"/>
                <w:szCs w:val="16"/>
                <w:lang w:eastAsia="es-AR"/>
              </w:rPr>
              <w:t>Obligaciones Negocibales emitidas</w:t>
            </w:r>
          </w:p>
        </w:tc>
        <w:tc>
          <w:tcPr>
            <w:tcW w:w="993" w:type="dxa"/>
            <w:shd w:val="clear" w:color="auto" w:fill="auto"/>
            <w:vAlign w:val="center"/>
          </w:tcPr>
          <w:p w14:paraId="74B9B54F" w14:textId="26BCCC24" w:rsidR="00211E4B" w:rsidRPr="0085237C" w:rsidRDefault="00211E4B" w:rsidP="00211E4B">
            <w:pPr>
              <w:spacing w:after="160" w:line="259" w:lineRule="auto"/>
              <w:jc w:val="center"/>
              <w:rPr>
                <w:rFonts w:ascii="Arial" w:eastAsia="Calibri" w:hAnsi="Arial" w:cs="Arial"/>
                <w:b/>
                <w:bCs/>
                <w:color w:val="000000"/>
                <w:sz w:val="16"/>
                <w:szCs w:val="16"/>
                <w:lang w:eastAsia="es-AR"/>
              </w:rPr>
            </w:pPr>
            <w:r>
              <w:rPr>
                <w:rFonts w:ascii="Arial" w:eastAsia="Calibri" w:hAnsi="Arial" w:cs="Arial"/>
                <w:b/>
                <w:bCs/>
                <w:color w:val="000000"/>
                <w:sz w:val="16"/>
                <w:szCs w:val="16"/>
                <w:lang w:eastAsia="es-AR"/>
              </w:rPr>
              <w:t>Otros Pasivos Financieros</w:t>
            </w:r>
          </w:p>
        </w:tc>
      </w:tr>
      <w:tr w:rsidR="00211E4B" w:rsidRPr="001B2F17" w14:paraId="4537CEC9" w14:textId="77777777" w:rsidTr="002E1AF6">
        <w:trPr>
          <w:trHeight w:val="20"/>
        </w:trPr>
        <w:tc>
          <w:tcPr>
            <w:tcW w:w="2728" w:type="dxa"/>
            <w:shd w:val="clear" w:color="auto" w:fill="auto"/>
            <w:vAlign w:val="center"/>
            <w:hideMark/>
          </w:tcPr>
          <w:p w14:paraId="6ED235E8" w14:textId="77777777" w:rsidR="00211E4B" w:rsidRPr="0085237C" w:rsidRDefault="00211E4B" w:rsidP="00211E4B">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Sofital S.A.F. e I.I.</w:t>
            </w:r>
          </w:p>
        </w:tc>
        <w:tc>
          <w:tcPr>
            <w:tcW w:w="1311" w:type="dxa"/>
            <w:gridSpan w:val="2"/>
            <w:vAlign w:val="bottom"/>
          </w:tcPr>
          <w:p w14:paraId="116AE531" w14:textId="696602D5"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6" w:type="dxa"/>
            <w:shd w:val="clear" w:color="auto" w:fill="auto"/>
            <w:vAlign w:val="bottom"/>
          </w:tcPr>
          <w:p w14:paraId="60E0205B" w14:textId="480F9D1A"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134" w:type="dxa"/>
            <w:shd w:val="clear" w:color="auto" w:fill="auto"/>
            <w:vAlign w:val="bottom"/>
          </w:tcPr>
          <w:p w14:paraId="11462FA2" w14:textId="089142D1"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131</w:t>
            </w:r>
          </w:p>
        </w:tc>
        <w:tc>
          <w:tcPr>
            <w:tcW w:w="1134" w:type="dxa"/>
            <w:vAlign w:val="bottom"/>
          </w:tcPr>
          <w:p w14:paraId="4C9E14E5" w14:textId="27732CBF"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191" w:type="dxa"/>
            <w:vAlign w:val="bottom"/>
          </w:tcPr>
          <w:p w14:paraId="0B0B597A" w14:textId="42DA8FC6" w:rsidR="00211E4B" w:rsidRDefault="00211E4B">
            <w:pPr>
              <w:spacing w:after="160" w:line="259" w:lineRule="auto"/>
              <w:jc w:val="right"/>
              <w:rPr>
                <w:rFonts w:ascii="Arial" w:eastAsia="Calibri" w:hAnsi="Arial" w:cs="Arial"/>
                <w:color w:val="000000"/>
                <w:sz w:val="16"/>
                <w:szCs w:val="16"/>
                <w:lang w:val="es-ES_tradnl"/>
              </w:rPr>
            </w:pPr>
            <w:r w:rsidRPr="00211E4B">
              <w:rPr>
                <w:rFonts w:ascii="Arial" w:eastAsia="Calibri" w:hAnsi="Arial" w:cs="Arial"/>
                <w:b/>
                <w:bCs/>
                <w:color w:val="000000"/>
                <w:sz w:val="16"/>
                <w:szCs w:val="16"/>
                <w:lang w:eastAsia="es-AR"/>
              </w:rPr>
              <w:t>-</w:t>
            </w:r>
          </w:p>
        </w:tc>
        <w:tc>
          <w:tcPr>
            <w:tcW w:w="993" w:type="dxa"/>
            <w:shd w:val="clear" w:color="auto" w:fill="auto"/>
            <w:vAlign w:val="bottom"/>
          </w:tcPr>
          <w:p w14:paraId="67947420" w14:textId="25500CE4"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2B8605CD" w14:textId="77777777" w:rsidTr="002E1AF6">
        <w:trPr>
          <w:trHeight w:val="20"/>
        </w:trPr>
        <w:tc>
          <w:tcPr>
            <w:tcW w:w="2728" w:type="dxa"/>
            <w:shd w:val="clear" w:color="auto" w:fill="auto"/>
            <w:vAlign w:val="center"/>
            <w:hideMark/>
          </w:tcPr>
          <w:p w14:paraId="0904C2B9" w14:textId="6FA003BF" w:rsidR="00211E4B" w:rsidRPr="0085237C" w:rsidRDefault="00211E4B" w:rsidP="00211E4B">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lang w:eastAsia="es-AR"/>
              </w:rPr>
              <w:t>Espacio Cordial de Servicios S</w:t>
            </w:r>
            <w:r>
              <w:rPr>
                <w:rFonts w:ascii="Arial" w:eastAsia="Calibri" w:hAnsi="Arial" w:cs="Arial"/>
                <w:color w:val="000000"/>
                <w:sz w:val="16"/>
                <w:szCs w:val="16"/>
                <w:lang w:eastAsia="es-AR"/>
              </w:rPr>
              <w:t>.</w:t>
            </w:r>
            <w:r w:rsidRPr="0085237C">
              <w:rPr>
                <w:rFonts w:ascii="Arial" w:eastAsia="Calibri" w:hAnsi="Arial" w:cs="Arial"/>
                <w:color w:val="000000"/>
                <w:sz w:val="16"/>
                <w:szCs w:val="16"/>
                <w:lang w:eastAsia="es-AR"/>
              </w:rPr>
              <w:t>A</w:t>
            </w:r>
            <w:r>
              <w:rPr>
                <w:rFonts w:ascii="Arial" w:eastAsia="Calibri" w:hAnsi="Arial" w:cs="Arial"/>
                <w:color w:val="000000"/>
                <w:sz w:val="16"/>
                <w:szCs w:val="16"/>
                <w:lang w:eastAsia="es-AR"/>
              </w:rPr>
              <w:t>.</w:t>
            </w:r>
          </w:p>
        </w:tc>
        <w:tc>
          <w:tcPr>
            <w:tcW w:w="1311" w:type="dxa"/>
            <w:gridSpan w:val="2"/>
            <w:vAlign w:val="bottom"/>
          </w:tcPr>
          <w:p w14:paraId="16AEF48C" w14:textId="1E4D0E9F"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w:t>
            </w:r>
          </w:p>
        </w:tc>
        <w:tc>
          <w:tcPr>
            <w:tcW w:w="1276" w:type="dxa"/>
            <w:shd w:val="clear" w:color="auto" w:fill="auto"/>
            <w:vAlign w:val="bottom"/>
          </w:tcPr>
          <w:p w14:paraId="7DEA650C" w14:textId="2AFA46F6"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134" w:type="dxa"/>
            <w:shd w:val="clear" w:color="auto" w:fill="auto"/>
            <w:vAlign w:val="bottom"/>
          </w:tcPr>
          <w:p w14:paraId="24336A88" w14:textId="47BD0938"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1.462</w:t>
            </w:r>
          </w:p>
        </w:tc>
        <w:tc>
          <w:tcPr>
            <w:tcW w:w="1134" w:type="dxa"/>
            <w:vAlign w:val="bottom"/>
          </w:tcPr>
          <w:p w14:paraId="638AAFE8" w14:textId="411938DA"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9.652</w:t>
            </w:r>
          </w:p>
        </w:tc>
        <w:tc>
          <w:tcPr>
            <w:tcW w:w="1191" w:type="dxa"/>
            <w:vAlign w:val="bottom"/>
          </w:tcPr>
          <w:p w14:paraId="044EFCA3" w14:textId="55CA7A31" w:rsidR="00211E4B" w:rsidRDefault="00211E4B">
            <w:pPr>
              <w:spacing w:after="160" w:line="259" w:lineRule="auto"/>
              <w:jc w:val="right"/>
              <w:rPr>
                <w:rFonts w:ascii="Arial" w:eastAsia="Calibri" w:hAnsi="Arial" w:cs="Arial"/>
                <w:color w:val="000000"/>
                <w:sz w:val="16"/>
                <w:szCs w:val="16"/>
                <w:lang w:val="es-ES_tradnl"/>
              </w:rPr>
            </w:pPr>
            <w:r w:rsidRPr="00211E4B">
              <w:rPr>
                <w:rFonts w:ascii="Arial" w:eastAsia="Calibri" w:hAnsi="Arial" w:cs="Arial"/>
                <w:b/>
                <w:bCs/>
                <w:color w:val="000000"/>
                <w:sz w:val="16"/>
                <w:szCs w:val="16"/>
                <w:lang w:eastAsia="es-AR"/>
              </w:rPr>
              <w:t>-</w:t>
            </w:r>
          </w:p>
        </w:tc>
        <w:tc>
          <w:tcPr>
            <w:tcW w:w="993" w:type="dxa"/>
            <w:shd w:val="clear" w:color="auto" w:fill="auto"/>
            <w:vAlign w:val="bottom"/>
          </w:tcPr>
          <w:p w14:paraId="5A8B4294" w14:textId="4D745E35"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06E1D396" w14:textId="77777777" w:rsidTr="002E1AF6">
        <w:trPr>
          <w:trHeight w:val="20"/>
        </w:trPr>
        <w:tc>
          <w:tcPr>
            <w:tcW w:w="2728" w:type="dxa"/>
            <w:shd w:val="clear" w:color="auto" w:fill="auto"/>
            <w:vAlign w:val="center"/>
            <w:hideMark/>
          </w:tcPr>
          <w:p w14:paraId="4F9961BD" w14:textId="77777777" w:rsidR="00211E4B" w:rsidRPr="0085237C" w:rsidRDefault="00211E4B" w:rsidP="00211E4B">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lang w:eastAsia="es-AR"/>
              </w:rPr>
              <w:t>Supervielle Seguros S.A.</w:t>
            </w:r>
          </w:p>
        </w:tc>
        <w:tc>
          <w:tcPr>
            <w:tcW w:w="1311" w:type="dxa"/>
            <w:gridSpan w:val="2"/>
            <w:vAlign w:val="bottom"/>
          </w:tcPr>
          <w:p w14:paraId="4A476873" w14:textId="0D36B212"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30.027</w:t>
            </w:r>
          </w:p>
        </w:tc>
        <w:tc>
          <w:tcPr>
            <w:tcW w:w="1276" w:type="dxa"/>
            <w:shd w:val="clear" w:color="auto" w:fill="auto"/>
            <w:vAlign w:val="bottom"/>
          </w:tcPr>
          <w:p w14:paraId="0F7017E8" w14:textId="3A33FE4E"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w:t>
            </w:r>
          </w:p>
        </w:tc>
        <w:tc>
          <w:tcPr>
            <w:tcW w:w="1134" w:type="dxa"/>
            <w:shd w:val="clear" w:color="auto" w:fill="auto"/>
            <w:vAlign w:val="bottom"/>
          </w:tcPr>
          <w:p w14:paraId="5A51E843" w14:textId="3A177326"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3.496</w:t>
            </w:r>
          </w:p>
        </w:tc>
        <w:tc>
          <w:tcPr>
            <w:tcW w:w="1134" w:type="dxa"/>
            <w:vAlign w:val="bottom"/>
          </w:tcPr>
          <w:p w14:paraId="13482909" w14:textId="7FA6E1C0"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14.580</w:t>
            </w:r>
          </w:p>
        </w:tc>
        <w:tc>
          <w:tcPr>
            <w:tcW w:w="1191" w:type="dxa"/>
            <w:vAlign w:val="bottom"/>
          </w:tcPr>
          <w:p w14:paraId="2F1243E2" w14:textId="53BE8CC8" w:rsidR="00211E4B" w:rsidRDefault="00211E4B">
            <w:pPr>
              <w:spacing w:after="160" w:line="259" w:lineRule="auto"/>
              <w:jc w:val="right"/>
              <w:rPr>
                <w:rFonts w:ascii="Arial" w:eastAsia="Calibri" w:hAnsi="Arial" w:cs="Arial"/>
                <w:color w:val="000000"/>
                <w:sz w:val="16"/>
                <w:szCs w:val="16"/>
                <w:lang w:val="es-ES_tradnl"/>
              </w:rPr>
            </w:pPr>
            <w:r w:rsidRPr="00211E4B">
              <w:rPr>
                <w:rFonts w:ascii="Arial" w:eastAsia="Calibri" w:hAnsi="Arial" w:cs="Arial"/>
                <w:b/>
                <w:bCs/>
                <w:color w:val="000000"/>
                <w:sz w:val="16"/>
                <w:szCs w:val="16"/>
                <w:lang w:eastAsia="es-AR"/>
              </w:rPr>
              <w:t>-</w:t>
            </w:r>
          </w:p>
        </w:tc>
        <w:tc>
          <w:tcPr>
            <w:tcW w:w="993" w:type="dxa"/>
            <w:shd w:val="clear" w:color="auto" w:fill="auto"/>
            <w:vAlign w:val="bottom"/>
          </w:tcPr>
          <w:p w14:paraId="525AF7D0" w14:textId="653EA379"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76107971" w14:textId="77777777" w:rsidTr="002E1AF6">
        <w:trPr>
          <w:trHeight w:val="20"/>
        </w:trPr>
        <w:tc>
          <w:tcPr>
            <w:tcW w:w="2728" w:type="dxa"/>
            <w:shd w:val="clear" w:color="auto" w:fill="auto"/>
            <w:vAlign w:val="center"/>
            <w:hideMark/>
          </w:tcPr>
          <w:p w14:paraId="207EDFFC" w14:textId="77777777" w:rsidR="00211E4B" w:rsidRPr="0085237C" w:rsidRDefault="00211E4B" w:rsidP="00211E4B">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Tarjeta Automática S.A.</w:t>
            </w:r>
          </w:p>
        </w:tc>
        <w:tc>
          <w:tcPr>
            <w:tcW w:w="1311" w:type="dxa"/>
            <w:gridSpan w:val="2"/>
            <w:vAlign w:val="bottom"/>
          </w:tcPr>
          <w:p w14:paraId="3E638CC1" w14:textId="065A1AE2"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w:t>
            </w:r>
          </w:p>
        </w:tc>
        <w:tc>
          <w:tcPr>
            <w:tcW w:w="1276" w:type="dxa"/>
            <w:shd w:val="clear" w:color="auto" w:fill="auto"/>
            <w:vAlign w:val="bottom"/>
          </w:tcPr>
          <w:p w14:paraId="1C433241" w14:textId="77AFBC17"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51</w:t>
            </w:r>
          </w:p>
        </w:tc>
        <w:tc>
          <w:tcPr>
            <w:tcW w:w="1134" w:type="dxa"/>
            <w:shd w:val="clear" w:color="auto" w:fill="auto"/>
            <w:vAlign w:val="bottom"/>
          </w:tcPr>
          <w:p w14:paraId="58EBA068" w14:textId="30A94F6C"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724</w:t>
            </w:r>
          </w:p>
        </w:tc>
        <w:tc>
          <w:tcPr>
            <w:tcW w:w="1134" w:type="dxa"/>
            <w:vAlign w:val="bottom"/>
          </w:tcPr>
          <w:p w14:paraId="6275A9D8" w14:textId="75EC24E7"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191" w:type="dxa"/>
            <w:vAlign w:val="bottom"/>
          </w:tcPr>
          <w:p w14:paraId="53895A1E" w14:textId="502BAC79" w:rsidR="00211E4B" w:rsidRDefault="00211E4B">
            <w:pPr>
              <w:spacing w:after="160" w:line="259" w:lineRule="auto"/>
              <w:jc w:val="right"/>
              <w:rPr>
                <w:rFonts w:ascii="Arial" w:eastAsia="Calibri" w:hAnsi="Arial" w:cs="Arial"/>
                <w:color w:val="000000"/>
                <w:sz w:val="16"/>
                <w:szCs w:val="16"/>
                <w:lang w:val="es-ES_tradnl"/>
              </w:rPr>
            </w:pPr>
            <w:r w:rsidRPr="00211E4B">
              <w:rPr>
                <w:rFonts w:ascii="Arial" w:eastAsia="Calibri" w:hAnsi="Arial" w:cs="Arial"/>
                <w:b/>
                <w:bCs/>
                <w:color w:val="000000"/>
                <w:sz w:val="16"/>
                <w:szCs w:val="16"/>
                <w:lang w:eastAsia="es-AR"/>
              </w:rPr>
              <w:t>-</w:t>
            </w:r>
          </w:p>
        </w:tc>
        <w:tc>
          <w:tcPr>
            <w:tcW w:w="993" w:type="dxa"/>
            <w:shd w:val="clear" w:color="auto" w:fill="auto"/>
            <w:vAlign w:val="bottom"/>
          </w:tcPr>
          <w:p w14:paraId="5701AB2B" w14:textId="6AC2F04B"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1C5A936B" w14:textId="77777777" w:rsidTr="002E1AF6">
        <w:trPr>
          <w:trHeight w:val="20"/>
        </w:trPr>
        <w:tc>
          <w:tcPr>
            <w:tcW w:w="2728" w:type="dxa"/>
            <w:shd w:val="clear" w:color="auto" w:fill="auto"/>
            <w:vAlign w:val="center"/>
            <w:hideMark/>
          </w:tcPr>
          <w:p w14:paraId="710FE8AC" w14:textId="77777777" w:rsidR="00211E4B" w:rsidRPr="0085237C" w:rsidRDefault="00211E4B" w:rsidP="00211E4B">
            <w:pPr>
              <w:spacing w:after="160" w:line="259" w:lineRule="auto"/>
              <w:rPr>
                <w:rFonts w:ascii="Arial" w:eastAsia="Calibri" w:hAnsi="Arial" w:cs="Arial"/>
                <w:color w:val="000000"/>
                <w:sz w:val="16"/>
                <w:szCs w:val="16"/>
                <w:lang w:val="en-US" w:eastAsia="es-AR"/>
              </w:rPr>
            </w:pPr>
            <w:r w:rsidRPr="0085237C">
              <w:rPr>
                <w:rFonts w:ascii="Arial" w:eastAsia="Calibri" w:hAnsi="Arial" w:cs="Arial"/>
                <w:color w:val="000000"/>
                <w:sz w:val="16"/>
                <w:szCs w:val="16"/>
                <w:lang w:val="fr-FR"/>
              </w:rPr>
              <w:t>Supervielle Asset Management S.A.</w:t>
            </w:r>
          </w:p>
        </w:tc>
        <w:tc>
          <w:tcPr>
            <w:tcW w:w="1311" w:type="dxa"/>
            <w:gridSpan w:val="2"/>
            <w:vAlign w:val="bottom"/>
          </w:tcPr>
          <w:p w14:paraId="0A5DFBCF" w14:textId="3275477C"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6" w:type="dxa"/>
            <w:shd w:val="clear" w:color="auto" w:fill="auto"/>
            <w:vAlign w:val="bottom"/>
          </w:tcPr>
          <w:p w14:paraId="4288A87C" w14:textId="2BCFC2AE"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240</w:t>
            </w:r>
          </w:p>
        </w:tc>
        <w:tc>
          <w:tcPr>
            <w:tcW w:w="1134" w:type="dxa"/>
            <w:shd w:val="clear" w:color="auto" w:fill="auto"/>
            <w:vAlign w:val="bottom"/>
          </w:tcPr>
          <w:p w14:paraId="0FB47BD6" w14:textId="6A58BB2C"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1.449</w:t>
            </w:r>
          </w:p>
        </w:tc>
        <w:tc>
          <w:tcPr>
            <w:tcW w:w="1134" w:type="dxa"/>
            <w:vAlign w:val="bottom"/>
          </w:tcPr>
          <w:p w14:paraId="19FF6B9B" w14:textId="558C03E8"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191" w:type="dxa"/>
            <w:vAlign w:val="bottom"/>
          </w:tcPr>
          <w:p w14:paraId="275FAB61" w14:textId="3684734D" w:rsidR="00211E4B" w:rsidRDefault="00211E4B">
            <w:pPr>
              <w:spacing w:after="160" w:line="259" w:lineRule="auto"/>
              <w:jc w:val="right"/>
              <w:rPr>
                <w:rFonts w:ascii="Arial" w:eastAsia="Calibri" w:hAnsi="Arial" w:cs="Arial"/>
                <w:color w:val="000000"/>
                <w:sz w:val="16"/>
                <w:szCs w:val="16"/>
                <w:lang w:val="es-ES_tradnl"/>
              </w:rPr>
            </w:pPr>
            <w:r w:rsidRPr="00211E4B">
              <w:rPr>
                <w:rFonts w:ascii="Arial" w:eastAsia="Calibri" w:hAnsi="Arial" w:cs="Arial"/>
                <w:b/>
                <w:bCs/>
                <w:color w:val="000000"/>
                <w:sz w:val="16"/>
                <w:szCs w:val="16"/>
                <w:lang w:eastAsia="es-AR"/>
              </w:rPr>
              <w:t>-</w:t>
            </w:r>
          </w:p>
        </w:tc>
        <w:tc>
          <w:tcPr>
            <w:tcW w:w="993" w:type="dxa"/>
            <w:shd w:val="clear" w:color="auto" w:fill="auto"/>
            <w:vAlign w:val="bottom"/>
          </w:tcPr>
          <w:p w14:paraId="76CFC8E3" w14:textId="575307D0"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06C1482A" w14:textId="77777777" w:rsidTr="002E1AF6">
        <w:trPr>
          <w:trHeight w:val="20"/>
        </w:trPr>
        <w:tc>
          <w:tcPr>
            <w:tcW w:w="2728" w:type="dxa"/>
            <w:shd w:val="clear" w:color="auto" w:fill="auto"/>
            <w:vAlign w:val="center"/>
          </w:tcPr>
          <w:p w14:paraId="59D63986" w14:textId="3D4B3C88" w:rsidR="00211E4B" w:rsidRPr="0023020F" w:rsidRDefault="00211E4B" w:rsidP="00211E4B">
            <w:pPr>
              <w:spacing w:after="160" w:line="259" w:lineRule="auto"/>
              <w:rPr>
                <w:rFonts w:ascii="Arial" w:eastAsia="Calibri" w:hAnsi="Arial" w:cs="Arial"/>
                <w:color w:val="000000"/>
                <w:sz w:val="16"/>
                <w:szCs w:val="16"/>
                <w:lang w:val="en-US"/>
              </w:rPr>
            </w:pPr>
            <w:r w:rsidRPr="0023020F">
              <w:rPr>
                <w:rFonts w:ascii="Arial" w:eastAsia="Calibri" w:hAnsi="Arial" w:cs="Arial"/>
                <w:color w:val="000000"/>
                <w:sz w:val="16"/>
                <w:szCs w:val="16"/>
                <w:lang w:val="en-US"/>
              </w:rPr>
              <w:t>Invertir OnLine S.A.U</w:t>
            </w:r>
            <w:r>
              <w:rPr>
                <w:rFonts w:ascii="Arial" w:eastAsia="Calibri" w:hAnsi="Arial" w:cs="Arial"/>
                <w:color w:val="000000"/>
                <w:sz w:val="16"/>
                <w:szCs w:val="16"/>
                <w:lang w:val="en-US"/>
              </w:rPr>
              <w:t>.</w:t>
            </w:r>
          </w:p>
        </w:tc>
        <w:tc>
          <w:tcPr>
            <w:tcW w:w="1311" w:type="dxa"/>
            <w:gridSpan w:val="2"/>
            <w:vAlign w:val="bottom"/>
          </w:tcPr>
          <w:p w14:paraId="0A69B8BA" w14:textId="4D3C0E29"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2</w:t>
            </w:r>
          </w:p>
        </w:tc>
        <w:tc>
          <w:tcPr>
            <w:tcW w:w="1276" w:type="dxa"/>
            <w:shd w:val="clear" w:color="auto" w:fill="auto"/>
            <w:vAlign w:val="bottom"/>
          </w:tcPr>
          <w:p w14:paraId="0191305D" w14:textId="177B0219"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134" w:type="dxa"/>
            <w:shd w:val="clear" w:color="auto" w:fill="auto"/>
            <w:vAlign w:val="bottom"/>
          </w:tcPr>
          <w:p w14:paraId="39F8FE95" w14:textId="69117820"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2.255.858</w:t>
            </w:r>
          </w:p>
        </w:tc>
        <w:tc>
          <w:tcPr>
            <w:tcW w:w="1134" w:type="dxa"/>
            <w:vAlign w:val="bottom"/>
          </w:tcPr>
          <w:p w14:paraId="204B66B6" w14:textId="559D9969"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191" w:type="dxa"/>
            <w:vAlign w:val="bottom"/>
          </w:tcPr>
          <w:p w14:paraId="2056E163" w14:textId="1248268B" w:rsidR="00211E4B" w:rsidRDefault="00211E4B">
            <w:pPr>
              <w:spacing w:after="160" w:line="259" w:lineRule="auto"/>
              <w:jc w:val="right"/>
              <w:rPr>
                <w:rFonts w:ascii="Arial" w:eastAsia="Calibri" w:hAnsi="Arial" w:cs="Arial"/>
                <w:color w:val="000000"/>
                <w:sz w:val="16"/>
                <w:szCs w:val="16"/>
                <w:lang w:val="es-ES_tradnl"/>
              </w:rPr>
            </w:pPr>
            <w:r w:rsidRPr="00211E4B">
              <w:rPr>
                <w:rFonts w:ascii="Arial" w:eastAsia="Calibri" w:hAnsi="Arial" w:cs="Arial"/>
                <w:b/>
                <w:bCs/>
                <w:color w:val="000000"/>
                <w:sz w:val="16"/>
                <w:szCs w:val="16"/>
                <w:lang w:eastAsia="es-AR"/>
              </w:rPr>
              <w:t>-</w:t>
            </w:r>
          </w:p>
        </w:tc>
        <w:tc>
          <w:tcPr>
            <w:tcW w:w="993" w:type="dxa"/>
            <w:shd w:val="clear" w:color="auto" w:fill="auto"/>
            <w:vAlign w:val="bottom"/>
          </w:tcPr>
          <w:p w14:paraId="07B00520" w14:textId="1C3E6289"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3F089CF2" w14:textId="77777777" w:rsidTr="002E1AF6">
        <w:trPr>
          <w:trHeight w:val="20"/>
        </w:trPr>
        <w:tc>
          <w:tcPr>
            <w:tcW w:w="2728" w:type="dxa"/>
            <w:shd w:val="clear" w:color="auto" w:fill="auto"/>
            <w:vAlign w:val="center"/>
          </w:tcPr>
          <w:p w14:paraId="3FFA14D3" w14:textId="16AAC284" w:rsidR="00211E4B" w:rsidRPr="0085237C" w:rsidRDefault="00211E4B" w:rsidP="00211E4B">
            <w:pPr>
              <w:spacing w:after="160" w:line="259" w:lineRule="auto"/>
              <w:rPr>
                <w:rFonts w:ascii="Arial" w:eastAsia="Calibri" w:hAnsi="Arial" w:cs="Arial"/>
                <w:color w:val="000000"/>
                <w:sz w:val="16"/>
                <w:szCs w:val="16"/>
              </w:rPr>
            </w:pPr>
            <w:r w:rsidRPr="0085237C">
              <w:rPr>
                <w:rFonts w:ascii="Arial" w:eastAsia="Calibri" w:hAnsi="Arial" w:cs="Arial"/>
                <w:color w:val="000000"/>
                <w:sz w:val="16"/>
                <w:szCs w:val="16"/>
              </w:rPr>
              <w:t>Invertir OnLine.com Argentina S.A.</w:t>
            </w:r>
            <w:r>
              <w:rPr>
                <w:rFonts w:ascii="Arial" w:eastAsia="Calibri" w:hAnsi="Arial" w:cs="Arial"/>
                <w:color w:val="000000"/>
                <w:sz w:val="16"/>
                <w:szCs w:val="16"/>
              </w:rPr>
              <w:t>U.</w:t>
            </w:r>
          </w:p>
        </w:tc>
        <w:tc>
          <w:tcPr>
            <w:tcW w:w="1311" w:type="dxa"/>
            <w:gridSpan w:val="2"/>
            <w:vAlign w:val="bottom"/>
          </w:tcPr>
          <w:p w14:paraId="77FDCAE0" w14:textId="4B8A755A" w:rsidR="00211E4B" w:rsidRPr="0085237C" w:rsidDel="00293759" w:rsidRDefault="00211E4B">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w:t>
            </w:r>
          </w:p>
        </w:tc>
        <w:tc>
          <w:tcPr>
            <w:tcW w:w="1276" w:type="dxa"/>
            <w:shd w:val="clear" w:color="auto" w:fill="auto"/>
            <w:vAlign w:val="bottom"/>
          </w:tcPr>
          <w:p w14:paraId="2D07FCF6" w14:textId="21078540" w:rsidR="00211E4B" w:rsidRPr="0085237C" w:rsidRDefault="00211E4B">
            <w:pPr>
              <w:spacing w:after="160" w:line="259" w:lineRule="auto"/>
              <w:jc w:val="right"/>
              <w:rPr>
                <w:rFonts w:ascii="Arial" w:eastAsia="Calibri" w:hAnsi="Arial" w:cs="Arial"/>
                <w:color w:val="000000"/>
                <w:sz w:val="16"/>
                <w:szCs w:val="16"/>
              </w:rPr>
            </w:pPr>
            <w:r>
              <w:rPr>
                <w:rFonts w:ascii="Arial" w:hAnsi="Arial" w:cs="Arial"/>
                <w:color w:val="000000"/>
                <w:sz w:val="15"/>
                <w:szCs w:val="15"/>
              </w:rPr>
              <w:t>-</w:t>
            </w:r>
          </w:p>
        </w:tc>
        <w:tc>
          <w:tcPr>
            <w:tcW w:w="1134" w:type="dxa"/>
            <w:shd w:val="clear" w:color="auto" w:fill="auto"/>
            <w:vAlign w:val="bottom"/>
          </w:tcPr>
          <w:p w14:paraId="268040BC" w14:textId="76830B71" w:rsidR="00211E4B" w:rsidRPr="0085237C" w:rsidDel="00293759" w:rsidRDefault="00211E4B">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4.397</w:t>
            </w:r>
          </w:p>
        </w:tc>
        <w:tc>
          <w:tcPr>
            <w:tcW w:w="1134" w:type="dxa"/>
            <w:vAlign w:val="bottom"/>
          </w:tcPr>
          <w:p w14:paraId="21403E32" w14:textId="7013ACCC" w:rsidR="00211E4B" w:rsidRPr="0085237C" w:rsidRDefault="00211E4B">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w:t>
            </w:r>
          </w:p>
        </w:tc>
        <w:tc>
          <w:tcPr>
            <w:tcW w:w="1191" w:type="dxa"/>
            <w:vAlign w:val="bottom"/>
          </w:tcPr>
          <w:p w14:paraId="730180A0" w14:textId="74FB669A" w:rsidR="00211E4B" w:rsidRDefault="00211E4B">
            <w:pPr>
              <w:spacing w:after="160" w:line="259" w:lineRule="auto"/>
              <w:jc w:val="right"/>
              <w:rPr>
                <w:rFonts w:ascii="Arial" w:eastAsia="Calibri" w:hAnsi="Arial" w:cs="Arial"/>
                <w:color w:val="000000"/>
                <w:sz w:val="16"/>
                <w:szCs w:val="16"/>
              </w:rPr>
            </w:pPr>
            <w:r w:rsidRPr="00211E4B">
              <w:rPr>
                <w:rFonts w:ascii="Arial" w:eastAsia="Calibri" w:hAnsi="Arial" w:cs="Arial"/>
                <w:b/>
                <w:bCs/>
                <w:color w:val="000000"/>
                <w:sz w:val="16"/>
                <w:szCs w:val="16"/>
                <w:lang w:eastAsia="es-AR"/>
              </w:rPr>
              <w:t>-</w:t>
            </w:r>
          </w:p>
        </w:tc>
        <w:tc>
          <w:tcPr>
            <w:tcW w:w="993" w:type="dxa"/>
            <w:shd w:val="clear" w:color="auto" w:fill="auto"/>
            <w:vAlign w:val="bottom"/>
          </w:tcPr>
          <w:p w14:paraId="389ECC19" w14:textId="40114E9C"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73BF4742" w14:textId="77777777" w:rsidTr="002E1AF6">
        <w:trPr>
          <w:trHeight w:val="20"/>
        </w:trPr>
        <w:tc>
          <w:tcPr>
            <w:tcW w:w="2728" w:type="dxa"/>
            <w:shd w:val="clear" w:color="auto" w:fill="auto"/>
            <w:vAlign w:val="center"/>
          </w:tcPr>
          <w:p w14:paraId="4879BCCA" w14:textId="54D2C75A" w:rsidR="00211E4B" w:rsidRPr="0023020F" w:rsidRDefault="00211E4B" w:rsidP="00211E4B">
            <w:pPr>
              <w:spacing w:after="160" w:line="259" w:lineRule="auto"/>
              <w:rPr>
                <w:rFonts w:ascii="Arial" w:eastAsia="Calibri" w:hAnsi="Arial" w:cs="Arial"/>
                <w:color w:val="000000"/>
                <w:sz w:val="16"/>
                <w:szCs w:val="16"/>
                <w:lang w:val="en-US"/>
              </w:rPr>
            </w:pPr>
            <w:r w:rsidRPr="0023020F">
              <w:rPr>
                <w:rFonts w:ascii="Arial" w:eastAsia="Calibri" w:hAnsi="Arial" w:cs="Arial"/>
                <w:color w:val="000000"/>
                <w:sz w:val="16"/>
                <w:szCs w:val="16"/>
                <w:lang w:val="en-US"/>
              </w:rPr>
              <w:t>Micro Lending S.A.U.</w:t>
            </w:r>
          </w:p>
        </w:tc>
        <w:tc>
          <w:tcPr>
            <w:tcW w:w="1311" w:type="dxa"/>
            <w:gridSpan w:val="2"/>
            <w:vAlign w:val="bottom"/>
          </w:tcPr>
          <w:p w14:paraId="014C792A" w14:textId="6EA229C7" w:rsidR="00211E4B" w:rsidRPr="0085237C" w:rsidDel="00293759" w:rsidRDefault="00211E4B">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33</w:t>
            </w:r>
          </w:p>
        </w:tc>
        <w:tc>
          <w:tcPr>
            <w:tcW w:w="1276" w:type="dxa"/>
            <w:shd w:val="clear" w:color="auto" w:fill="auto"/>
            <w:vAlign w:val="bottom"/>
          </w:tcPr>
          <w:p w14:paraId="01ADC14C" w14:textId="248C7CEC" w:rsidR="00211E4B" w:rsidRPr="00B712AA" w:rsidRDefault="00211E4B">
            <w:pPr>
              <w:spacing w:after="160" w:line="259" w:lineRule="auto"/>
              <w:jc w:val="right"/>
              <w:rPr>
                <w:rFonts w:ascii="Arial" w:hAnsi="Arial" w:cs="Arial"/>
                <w:color w:val="000000"/>
                <w:sz w:val="15"/>
                <w:szCs w:val="15"/>
              </w:rPr>
            </w:pPr>
            <w:r w:rsidRPr="00B712AA">
              <w:rPr>
                <w:rFonts w:ascii="Arial" w:hAnsi="Arial" w:cs="Arial"/>
                <w:color w:val="000000"/>
                <w:sz w:val="15"/>
                <w:szCs w:val="15"/>
              </w:rPr>
              <w:t>1.121</w:t>
            </w:r>
          </w:p>
        </w:tc>
        <w:tc>
          <w:tcPr>
            <w:tcW w:w="1134" w:type="dxa"/>
            <w:shd w:val="clear" w:color="auto" w:fill="auto"/>
            <w:vAlign w:val="bottom"/>
          </w:tcPr>
          <w:p w14:paraId="01DD2D0C" w14:textId="73C6D0A1" w:rsidR="00211E4B" w:rsidRPr="00B712AA" w:rsidDel="00293759" w:rsidRDefault="00211E4B">
            <w:pPr>
              <w:spacing w:after="160" w:line="259" w:lineRule="auto"/>
              <w:jc w:val="right"/>
              <w:rPr>
                <w:rFonts w:ascii="Arial" w:hAnsi="Arial" w:cs="Arial"/>
                <w:color w:val="000000"/>
                <w:sz w:val="15"/>
                <w:szCs w:val="15"/>
              </w:rPr>
            </w:pPr>
            <w:r w:rsidRPr="00B712AA">
              <w:rPr>
                <w:rFonts w:ascii="Arial" w:hAnsi="Arial" w:cs="Arial"/>
                <w:color w:val="000000"/>
                <w:sz w:val="15"/>
                <w:szCs w:val="15"/>
              </w:rPr>
              <w:t>105</w:t>
            </w:r>
          </w:p>
        </w:tc>
        <w:tc>
          <w:tcPr>
            <w:tcW w:w="1134" w:type="dxa"/>
            <w:vAlign w:val="bottom"/>
          </w:tcPr>
          <w:p w14:paraId="1D15CDD3" w14:textId="499CB51B" w:rsidR="00211E4B" w:rsidRPr="0085237C" w:rsidRDefault="00211E4B">
            <w:pPr>
              <w:spacing w:after="160" w:line="259" w:lineRule="auto"/>
              <w:jc w:val="right"/>
              <w:rPr>
                <w:rFonts w:ascii="Arial" w:eastAsia="Calibri" w:hAnsi="Arial" w:cs="Arial"/>
                <w:color w:val="000000"/>
                <w:sz w:val="16"/>
                <w:szCs w:val="16"/>
              </w:rPr>
            </w:pPr>
            <w:r>
              <w:rPr>
                <w:rFonts w:ascii="Arial" w:hAnsi="Arial" w:cs="Arial"/>
                <w:color w:val="000000"/>
                <w:sz w:val="15"/>
                <w:szCs w:val="15"/>
              </w:rPr>
              <w:t>-</w:t>
            </w:r>
          </w:p>
        </w:tc>
        <w:tc>
          <w:tcPr>
            <w:tcW w:w="1191" w:type="dxa"/>
            <w:vAlign w:val="bottom"/>
          </w:tcPr>
          <w:p w14:paraId="582D0A0F" w14:textId="1E43FE17" w:rsidR="00211E4B" w:rsidRPr="00B712AA" w:rsidRDefault="00211E4B">
            <w:pPr>
              <w:spacing w:after="160" w:line="259" w:lineRule="auto"/>
              <w:jc w:val="right"/>
              <w:rPr>
                <w:rFonts w:ascii="Arial" w:hAnsi="Arial" w:cs="Arial"/>
                <w:color w:val="000000"/>
                <w:sz w:val="15"/>
                <w:szCs w:val="15"/>
              </w:rPr>
            </w:pPr>
            <w:r>
              <w:rPr>
                <w:rFonts w:ascii="Arial" w:hAnsi="Arial" w:cs="Arial"/>
                <w:color w:val="000000"/>
                <w:sz w:val="15"/>
                <w:szCs w:val="15"/>
              </w:rPr>
              <w:t>-</w:t>
            </w:r>
          </w:p>
        </w:tc>
        <w:tc>
          <w:tcPr>
            <w:tcW w:w="993" w:type="dxa"/>
            <w:shd w:val="clear" w:color="auto" w:fill="auto"/>
            <w:vAlign w:val="bottom"/>
          </w:tcPr>
          <w:p w14:paraId="6885E56C" w14:textId="1BB05EAE"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672</w:t>
            </w:r>
          </w:p>
        </w:tc>
      </w:tr>
      <w:tr w:rsidR="00211E4B" w:rsidRPr="001B2F17" w14:paraId="45F0CF1A" w14:textId="77777777" w:rsidTr="002E1AF6">
        <w:trPr>
          <w:trHeight w:val="20"/>
        </w:trPr>
        <w:tc>
          <w:tcPr>
            <w:tcW w:w="2728" w:type="dxa"/>
            <w:shd w:val="clear" w:color="auto" w:fill="auto"/>
            <w:vAlign w:val="center"/>
            <w:hideMark/>
          </w:tcPr>
          <w:p w14:paraId="0C1DA5D1" w14:textId="77777777" w:rsidR="00211E4B" w:rsidRPr="0085237C" w:rsidRDefault="00211E4B" w:rsidP="00211E4B">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Grupo Supervielle S.A.</w:t>
            </w:r>
          </w:p>
        </w:tc>
        <w:tc>
          <w:tcPr>
            <w:tcW w:w="1311" w:type="dxa"/>
            <w:gridSpan w:val="2"/>
            <w:vAlign w:val="bottom"/>
          </w:tcPr>
          <w:p w14:paraId="686EF9B2" w14:textId="52C39A8C"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276" w:type="dxa"/>
            <w:shd w:val="clear" w:color="auto" w:fill="auto"/>
            <w:vAlign w:val="bottom"/>
          </w:tcPr>
          <w:p w14:paraId="0ED141F0" w14:textId="6F215024"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1.609</w:t>
            </w:r>
          </w:p>
        </w:tc>
        <w:tc>
          <w:tcPr>
            <w:tcW w:w="1134" w:type="dxa"/>
            <w:shd w:val="clear" w:color="auto" w:fill="auto"/>
            <w:vAlign w:val="bottom"/>
          </w:tcPr>
          <w:p w14:paraId="0CDB4C89" w14:textId="2AC766C9"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5.434</w:t>
            </w:r>
          </w:p>
        </w:tc>
        <w:tc>
          <w:tcPr>
            <w:tcW w:w="1134" w:type="dxa"/>
            <w:vAlign w:val="bottom"/>
          </w:tcPr>
          <w:p w14:paraId="5413EE06" w14:textId="793FF380" w:rsidR="00211E4B" w:rsidRPr="0085237C" w:rsidRDefault="00211E4B">
            <w:pPr>
              <w:spacing w:after="160" w:line="259" w:lineRule="auto"/>
              <w:jc w:val="right"/>
              <w:rPr>
                <w:rFonts w:ascii="Arial" w:eastAsia="Calibri" w:hAnsi="Arial" w:cs="Arial"/>
                <w:color w:val="000000"/>
                <w:sz w:val="16"/>
                <w:szCs w:val="16"/>
                <w:lang w:val="es-ES_tradnl"/>
              </w:rPr>
            </w:pPr>
            <w:r>
              <w:rPr>
                <w:rFonts w:ascii="Arial" w:hAnsi="Arial" w:cs="Arial"/>
                <w:color w:val="000000"/>
                <w:sz w:val="15"/>
                <w:szCs w:val="15"/>
              </w:rPr>
              <w:t>-</w:t>
            </w:r>
          </w:p>
        </w:tc>
        <w:tc>
          <w:tcPr>
            <w:tcW w:w="1191" w:type="dxa"/>
            <w:vAlign w:val="bottom"/>
          </w:tcPr>
          <w:p w14:paraId="1EFA7834" w14:textId="2CC8B534" w:rsidR="00211E4B" w:rsidRDefault="00211E4B">
            <w:pPr>
              <w:spacing w:after="160" w:line="259" w:lineRule="auto"/>
              <w:jc w:val="right"/>
              <w:rPr>
                <w:rFonts w:ascii="Arial" w:eastAsia="Calibri" w:hAnsi="Arial" w:cs="Arial"/>
                <w:color w:val="000000"/>
                <w:sz w:val="16"/>
                <w:szCs w:val="16"/>
                <w:lang w:val="es-ES_tradnl"/>
              </w:rPr>
            </w:pPr>
            <w:r>
              <w:rPr>
                <w:rFonts w:ascii="Arial" w:eastAsia="Calibri" w:hAnsi="Arial" w:cs="Arial"/>
                <w:b/>
                <w:bCs/>
                <w:color w:val="000000"/>
                <w:sz w:val="16"/>
                <w:szCs w:val="16"/>
                <w:lang w:eastAsia="es-AR"/>
              </w:rPr>
              <w:t>70.031</w:t>
            </w:r>
          </w:p>
        </w:tc>
        <w:tc>
          <w:tcPr>
            <w:tcW w:w="993" w:type="dxa"/>
            <w:shd w:val="clear" w:color="auto" w:fill="auto"/>
            <w:vAlign w:val="bottom"/>
          </w:tcPr>
          <w:p w14:paraId="1B9F363F" w14:textId="52E7BAEA"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w:t>
            </w:r>
          </w:p>
        </w:tc>
      </w:tr>
      <w:tr w:rsidR="00211E4B" w:rsidRPr="001B2F17" w14:paraId="117912B2" w14:textId="77777777" w:rsidTr="002E1AF6">
        <w:trPr>
          <w:trHeight w:val="20"/>
        </w:trPr>
        <w:tc>
          <w:tcPr>
            <w:tcW w:w="2728" w:type="dxa"/>
            <w:shd w:val="clear" w:color="auto" w:fill="auto"/>
            <w:vAlign w:val="center"/>
            <w:hideMark/>
          </w:tcPr>
          <w:p w14:paraId="4245E579" w14:textId="77777777" w:rsidR="00211E4B" w:rsidRPr="0085237C" w:rsidRDefault="00211E4B" w:rsidP="00211E4B">
            <w:pPr>
              <w:spacing w:after="160" w:line="259" w:lineRule="auto"/>
              <w:rPr>
                <w:rFonts w:ascii="Arial" w:eastAsia="Calibri" w:hAnsi="Arial" w:cs="Arial"/>
                <w:b/>
                <w:bCs/>
                <w:color w:val="000000"/>
                <w:sz w:val="16"/>
                <w:szCs w:val="16"/>
                <w:lang w:eastAsia="es-AR"/>
              </w:rPr>
            </w:pPr>
            <w:r w:rsidRPr="0085237C">
              <w:rPr>
                <w:rFonts w:ascii="Arial" w:eastAsia="Calibri" w:hAnsi="Arial" w:cs="Arial"/>
                <w:b/>
                <w:bCs/>
                <w:color w:val="000000"/>
                <w:sz w:val="16"/>
                <w:szCs w:val="16"/>
              </w:rPr>
              <w:t>TOTAL</w:t>
            </w:r>
          </w:p>
        </w:tc>
        <w:tc>
          <w:tcPr>
            <w:tcW w:w="1311" w:type="dxa"/>
            <w:gridSpan w:val="2"/>
            <w:vAlign w:val="bottom"/>
          </w:tcPr>
          <w:p w14:paraId="0E81224F" w14:textId="336F8D1F" w:rsidR="00211E4B" w:rsidRPr="0085237C" w:rsidRDefault="00211E4B">
            <w:pPr>
              <w:spacing w:after="160" w:line="259" w:lineRule="auto"/>
              <w:jc w:val="right"/>
              <w:rPr>
                <w:rFonts w:ascii="Arial" w:eastAsia="Calibri" w:hAnsi="Arial" w:cs="Arial"/>
                <w:b/>
                <w:color w:val="000000"/>
                <w:sz w:val="16"/>
                <w:szCs w:val="16"/>
              </w:rPr>
            </w:pPr>
            <w:r>
              <w:rPr>
                <w:rFonts w:ascii="Arial" w:eastAsia="Calibri" w:hAnsi="Arial" w:cs="Arial"/>
                <w:b/>
                <w:color w:val="000000"/>
                <w:sz w:val="16"/>
                <w:szCs w:val="16"/>
              </w:rPr>
              <w:t>30.064</w:t>
            </w:r>
          </w:p>
        </w:tc>
        <w:tc>
          <w:tcPr>
            <w:tcW w:w="1276" w:type="dxa"/>
            <w:shd w:val="clear" w:color="auto" w:fill="auto"/>
            <w:vAlign w:val="bottom"/>
          </w:tcPr>
          <w:p w14:paraId="31056C5B" w14:textId="6D2B41B5" w:rsidR="00211E4B" w:rsidRPr="0085237C" w:rsidRDefault="00211E4B">
            <w:pPr>
              <w:spacing w:after="160" w:line="259" w:lineRule="auto"/>
              <w:jc w:val="right"/>
              <w:rPr>
                <w:rFonts w:ascii="Arial" w:eastAsia="Calibri" w:hAnsi="Arial" w:cs="Arial"/>
                <w:b/>
                <w:color w:val="000000"/>
                <w:sz w:val="16"/>
                <w:szCs w:val="16"/>
              </w:rPr>
            </w:pPr>
            <w:r>
              <w:rPr>
                <w:rFonts w:ascii="Arial" w:eastAsia="Calibri" w:hAnsi="Arial" w:cs="Arial"/>
                <w:b/>
                <w:color w:val="000000"/>
                <w:sz w:val="16"/>
                <w:szCs w:val="16"/>
              </w:rPr>
              <w:t>3.022</w:t>
            </w:r>
          </w:p>
        </w:tc>
        <w:tc>
          <w:tcPr>
            <w:tcW w:w="1134" w:type="dxa"/>
            <w:shd w:val="clear" w:color="auto" w:fill="auto"/>
            <w:vAlign w:val="bottom"/>
          </w:tcPr>
          <w:p w14:paraId="381A9F33" w14:textId="2D626E69" w:rsidR="00211E4B" w:rsidRPr="0085237C" w:rsidRDefault="00211E4B">
            <w:pPr>
              <w:spacing w:after="160" w:line="259" w:lineRule="auto"/>
              <w:jc w:val="right"/>
              <w:rPr>
                <w:rFonts w:ascii="Arial" w:eastAsia="Calibri" w:hAnsi="Arial" w:cs="Arial"/>
                <w:b/>
                <w:color w:val="000000"/>
                <w:sz w:val="16"/>
                <w:szCs w:val="16"/>
              </w:rPr>
            </w:pPr>
            <w:r w:rsidRPr="00B712AA">
              <w:rPr>
                <w:rFonts w:ascii="Arial" w:eastAsia="Calibri" w:hAnsi="Arial" w:cs="Arial"/>
                <w:b/>
                <w:color w:val="000000"/>
                <w:sz w:val="16"/>
                <w:szCs w:val="16"/>
              </w:rPr>
              <w:t>2.273.056</w:t>
            </w:r>
          </w:p>
        </w:tc>
        <w:tc>
          <w:tcPr>
            <w:tcW w:w="1134" w:type="dxa"/>
            <w:vAlign w:val="bottom"/>
          </w:tcPr>
          <w:p w14:paraId="705A2D95" w14:textId="0797E749" w:rsidR="00211E4B" w:rsidRPr="0085237C" w:rsidRDefault="00211E4B">
            <w:pPr>
              <w:spacing w:after="160" w:line="259" w:lineRule="auto"/>
              <w:jc w:val="right"/>
              <w:rPr>
                <w:rFonts w:ascii="Arial" w:eastAsia="Calibri" w:hAnsi="Arial" w:cs="Arial"/>
                <w:b/>
                <w:color w:val="000000"/>
                <w:sz w:val="16"/>
                <w:szCs w:val="16"/>
              </w:rPr>
            </w:pPr>
            <w:r>
              <w:rPr>
                <w:rFonts w:ascii="Arial" w:hAnsi="Arial" w:cs="Arial"/>
                <w:b/>
                <w:bCs/>
                <w:color w:val="000000"/>
                <w:sz w:val="15"/>
                <w:szCs w:val="15"/>
              </w:rPr>
              <w:t>24.232</w:t>
            </w:r>
          </w:p>
        </w:tc>
        <w:tc>
          <w:tcPr>
            <w:tcW w:w="1191" w:type="dxa"/>
            <w:vAlign w:val="bottom"/>
          </w:tcPr>
          <w:p w14:paraId="44862308" w14:textId="3ED8DD73" w:rsidR="00211E4B" w:rsidRDefault="00211E4B">
            <w:pPr>
              <w:spacing w:after="160" w:line="259" w:lineRule="auto"/>
              <w:jc w:val="right"/>
              <w:rPr>
                <w:rFonts w:ascii="Arial" w:eastAsia="Calibri" w:hAnsi="Arial" w:cs="Arial"/>
                <w:b/>
                <w:color w:val="000000"/>
                <w:sz w:val="16"/>
                <w:szCs w:val="16"/>
              </w:rPr>
            </w:pPr>
            <w:r>
              <w:rPr>
                <w:rFonts w:ascii="Arial" w:eastAsia="Calibri" w:hAnsi="Arial" w:cs="Arial"/>
                <w:b/>
                <w:bCs/>
                <w:color w:val="000000"/>
                <w:sz w:val="16"/>
                <w:szCs w:val="16"/>
                <w:lang w:eastAsia="es-AR"/>
              </w:rPr>
              <w:t>70.031</w:t>
            </w:r>
          </w:p>
        </w:tc>
        <w:tc>
          <w:tcPr>
            <w:tcW w:w="993" w:type="dxa"/>
            <w:shd w:val="clear" w:color="auto" w:fill="auto"/>
            <w:vAlign w:val="bottom"/>
          </w:tcPr>
          <w:p w14:paraId="4E93A6F6" w14:textId="09E22A87" w:rsidR="00211E4B" w:rsidRPr="00211E4B" w:rsidRDefault="00211E4B" w:rsidP="002E1AF6">
            <w:pPr>
              <w:spacing w:after="160" w:line="259" w:lineRule="auto"/>
              <w:jc w:val="right"/>
              <w:rPr>
                <w:rFonts w:ascii="Arial" w:eastAsia="Calibri" w:hAnsi="Arial" w:cs="Arial"/>
                <w:b/>
                <w:bCs/>
                <w:color w:val="000000"/>
                <w:sz w:val="16"/>
                <w:szCs w:val="16"/>
                <w:lang w:eastAsia="es-AR"/>
              </w:rPr>
            </w:pPr>
            <w:r w:rsidRPr="00211E4B">
              <w:rPr>
                <w:rFonts w:ascii="Arial" w:eastAsia="Calibri" w:hAnsi="Arial" w:cs="Arial"/>
                <w:b/>
                <w:bCs/>
                <w:color w:val="000000"/>
                <w:sz w:val="16"/>
                <w:szCs w:val="16"/>
                <w:lang w:eastAsia="es-AR"/>
              </w:rPr>
              <w:t>672</w:t>
            </w:r>
          </w:p>
        </w:tc>
      </w:tr>
    </w:tbl>
    <w:p w14:paraId="7FDFAEA8" w14:textId="77777777" w:rsidR="0027557A" w:rsidRDefault="0027557A" w:rsidP="00E311C9">
      <w:pPr>
        <w:rPr>
          <w:rFonts w:ascii="Arial" w:eastAsia="Calibri" w:hAnsi="Arial" w:cs="Arial"/>
          <w:color w:val="000000"/>
          <w:sz w:val="20"/>
        </w:rPr>
      </w:pPr>
    </w:p>
    <w:p w14:paraId="1E6066C6" w14:textId="08C1F162" w:rsidR="00F77F7F" w:rsidRDefault="00F77F7F">
      <w:pPr>
        <w:rPr>
          <w:rFonts w:ascii="Arial" w:eastAsia="Calibri" w:hAnsi="Arial" w:cs="Arial"/>
          <w:color w:val="000000"/>
          <w:sz w:val="20"/>
        </w:rPr>
      </w:pPr>
    </w:p>
    <w:p w14:paraId="456CED3D" w14:textId="7AB04930" w:rsidR="00A06BE9" w:rsidRDefault="00A06BE9" w:rsidP="00A06BE9">
      <w:pPr>
        <w:widowControl w:val="0"/>
        <w:autoSpaceDE w:val="0"/>
        <w:autoSpaceDN w:val="0"/>
        <w:adjustRightInd w:val="0"/>
        <w:jc w:val="both"/>
        <w:rPr>
          <w:rFonts w:ascii="Arial" w:eastAsia="Calibri" w:hAnsi="Arial" w:cs="Arial"/>
          <w:color w:val="000000"/>
          <w:sz w:val="20"/>
        </w:rPr>
      </w:pPr>
      <w:r w:rsidRPr="00701F32">
        <w:rPr>
          <w:rFonts w:ascii="Arial" w:eastAsia="Calibri" w:hAnsi="Arial" w:cs="Arial"/>
          <w:color w:val="000000"/>
          <w:sz w:val="20"/>
        </w:rPr>
        <w:t xml:space="preserve">Los resultados más significativos al </w:t>
      </w:r>
      <w:r w:rsidR="009C5DAE">
        <w:rPr>
          <w:rFonts w:ascii="Arial" w:eastAsia="Calibri" w:hAnsi="Arial" w:cs="Arial"/>
          <w:color w:val="000000"/>
          <w:sz w:val="20"/>
        </w:rPr>
        <w:t>3</w:t>
      </w:r>
      <w:r w:rsidR="00714187">
        <w:rPr>
          <w:rFonts w:ascii="Arial" w:eastAsia="Calibri" w:hAnsi="Arial" w:cs="Arial"/>
          <w:color w:val="000000"/>
          <w:sz w:val="20"/>
        </w:rPr>
        <w:t>1</w:t>
      </w:r>
      <w:r w:rsidR="00F22F87" w:rsidRPr="00701F32">
        <w:rPr>
          <w:rFonts w:ascii="Arial" w:eastAsia="Calibri" w:hAnsi="Arial" w:cs="Arial"/>
          <w:color w:val="000000"/>
          <w:sz w:val="20"/>
        </w:rPr>
        <w:t xml:space="preserve"> de </w:t>
      </w:r>
      <w:r w:rsidR="00714187">
        <w:rPr>
          <w:rFonts w:ascii="Arial" w:eastAsia="Calibri" w:hAnsi="Arial" w:cs="Arial"/>
          <w:color w:val="000000"/>
          <w:sz w:val="20"/>
        </w:rPr>
        <w:t>marzo</w:t>
      </w:r>
      <w:r w:rsidR="006104DE">
        <w:rPr>
          <w:rFonts w:ascii="Arial" w:eastAsia="Calibri" w:hAnsi="Arial" w:cs="Arial"/>
          <w:color w:val="000000"/>
          <w:sz w:val="20"/>
        </w:rPr>
        <w:t xml:space="preserve"> </w:t>
      </w:r>
      <w:r w:rsidR="00475EFD">
        <w:rPr>
          <w:rFonts w:ascii="Arial" w:eastAsia="Calibri" w:hAnsi="Arial" w:cs="Arial"/>
          <w:color w:val="000000"/>
          <w:sz w:val="20"/>
        </w:rPr>
        <w:t xml:space="preserve">de </w:t>
      </w:r>
      <w:r w:rsidR="006104DE">
        <w:rPr>
          <w:rFonts w:ascii="Arial" w:eastAsia="Calibri" w:hAnsi="Arial" w:cs="Arial"/>
          <w:color w:val="000000"/>
          <w:sz w:val="20"/>
        </w:rPr>
        <w:t>20</w:t>
      </w:r>
      <w:r w:rsidR="00714187">
        <w:rPr>
          <w:rFonts w:ascii="Arial" w:eastAsia="Calibri" w:hAnsi="Arial" w:cs="Arial"/>
          <w:color w:val="000000"/>
          <w:sz w:val="20"/>
        </w:rPr>
        <w:t>20</w:t>
      </w:r>
      <w:r w:rsidR="006104DE">
        <w:rPr>
          <w:rFonts w:ascii="Arial" w:eastAsia="Calibri" w:hAnsi="Arial" w:cs="Arial"/>
          <w:color w:val="000000"/>
          <w:sz w:val="20"/>
        </w:rPr>
        <w:t xml:space="preserve"> </w:t>
      </w:r>
      <w:r w:rsidR="00475EFD">
        <w:rPr>
          <w:rFonts w:ascii="Arial" w:eastAsia="Calibri" w:hAnsi="Arial" w:cs="Arial"/>
          <w:color w:val="000000"/>
          <w:sz w:val="20"/>
        </w:rPr>
        <w:t xml:space="preserve">y </w:t>
      </w:r>
      <w:r w:rsidR="006104DE">
        <w:rPr>
          <w:rFonts w:ascii="Arial" w:eastAsia="Calibri" w:hAnsi="Arial" w:cs="Arial"/>
          <w:color w:val="000000"/>
          <w:sz w:val="20"/>
        </w:rPr>
        <w:t>201</w:t>
      </w:r>
      <w:r w:rsidR="00714187">
        <w:rPr>
          <w:rFonts w:ascii="Arial" w:eastAsia="Calibri" w:hAnsi="Arial" w:cs="Arial"/>
          <w:color w:val="000000"/>
          <w:sz w:val="20"/>
        </w:rPr>
        <w:t>9</w:t>
      </w:r>
      <w:r w:rsidR="006104DE">
        <w:rPr>
          <w:rFonts w:ascii="Arial" w:eastAsia="Calibri" w:hAnsi="Arial" w:cs="Arial"/>
          <w:color w:val="000000"/>
          <w:sz w:val="20"/>
        </w:rPr>
        <w:t xml:space="preserve"> </w:t>
      </w:r>
      <w:r w:rsidRPr="00701F32">
        <w:rPr>
          <w:rFonts w:ascii="Arial" w:eastAsia="Calibri" w:hAnsi="Arial" w:cs="Arial"/>
          <w:color w:val="000000"/>
          <w:sz w:val="20"/>
        </w:rPr>
        <w:t>son los siguientes</w:t>
      </w:r>
      <w:r w:rsidR="00D20EF9" w:rsidRPr="00701F32">
        <w:rPr>
          <w:rFonts w:ascii="Arial" w:eastAsia="Calibri" w:hAnsi="Arial" w:cs="Arial"/>
          <w:color w:val="000000"/>
          <w:sz w:val="20"/>
        </w:rPr>
        <w:t>:</w:t>
      </w:r>
    </w:p>
    <w:p w14:paraId="7ED61F63" w14:textId="77777777" w:rsidR="00A06BE9" w:rsidRPr="00701F32" w:rsidRDefault="00A06BE9" w:rsidP="00A06BE9">
      <w:pPr>
        <w:widowControl w:val="0"/>
        <w:autoSpaceDE w:val="0"/>
        <w:autoSpaceDN w:val="0"/>
        <w:adjustRightInd w:val="0"/>
        <w:jc w:val="both"/>
        <w:rPr>
          <w:rFonts w:ascii="Arial" w:eastAsia="Calibri" w:hAnsi="Arial" w:cs="Arial"/>
          <w:color w:val="000000"/>
          <w:sz w:val="16"/>
        </w:rPr>
      </w:pPr>
    </w:p>
    <w:tbl>
      <w:tblPr>
        <w:tblW w:w="97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396"/>
        <w:gridCol w:w="1145"/>
        <w:gridCol w:w="1068"/>
        <w:gridCol w:w="1202"/>
        <w:gridCol w:w="1201"/>
        <w:gridCol w:w="1422"/>
        <w:gridCol w:w="1268"/>
        <w:gridCol w:w="7"/>
      </w:tblGrid>
      <w:tr w:rsidR="00F53550" w:rsidRPr="00701F32" w14:paraId="78BC8520" w14:textId="77777777" w:rsidTr="00C43BF8">
        <w:trPr>
          <w:trHeight w:val="391"/>
          <w:tblHeader/>
        </w:trPr>
        <w:tc>
          <w:tcPr>
            <w:tcW w:w="2396" w:type="dxa"/>
            <w:vMerge w:val="restart"/>
            <w:shd w:val="clear" w:color="auto" w:fill="auto"/>
            <w:vAlign w:val="center"/>
            <w:hideMark/>
          </w:tcPr>
          <w:p w14:paraId="777F1E2F" w14:textId="77777777" w:rsidR="00F53550" w:rsidRPr="00701F32" w:rsidRDefault="00F53550" w:rsidP="00464C0F">
            <w:pPr>
              <w:tabs>
                <w:tab w:val="left" w:pos="142"/>
              </w:tabs>
              <w:spacing w:after="160" w:line="259" w:lineRule="auto"/>
              <w:jc w:val="center"/>
              <w:rPr>
                <w:rFonts w:ascii="Arial" w:eastAsia="Calibri" w:hAnsi="Arial" w:cs="Arial"/>
                <w:b/>
                <w:color w:val="000000"/>
                <w:sz w:val="16"/>
                <w:lang w:eastAsia="es-AR"/>
              </w:rPr>
            </w:pPr>
            <w:r w:rsidRPr="00701F32">
              <w:rPr>
                <w:rFonts w:ascii="Arial" w:eastAsia="Calibri" w:hAnsi="Arial" w:cs="Arial"/>
                <w:b/>
                <w:color w:val="000000"/>
                <w:sz w:val="16"/>
                <w:lang w:eastAsia="es-AR"/>
              </w:rPr>
              <w:t>Sociedades</w:t>
            </w:r>
          </w:p>
        </w:tc>
        <w:tc>
          <w:tcPr>
            <w:tcW w:w="7313" w:type="dxa"/>
            <w:gridSpan w:val="7"/>
            <w:vAlign w:val="center"/>
          </w:tcPr>
          <w:p w14:paraId="62B5EFC7" w14:textId="38E211EE" w:rsidR="00F53550" w:rsidRPr="00701F32" w:rsidRDefault="009C5DAE" w:rsidP="009C5DAE">
            <w:pPr>
              <w:spacing w:after="160" w:line="259" w:lineRule="auto"/>
              <w:jc w:val="center"/>
              <w:rPr>
                <w:rFonts w:ascii="Arial" w:eastAsia="Calibri" w:hAnsi="Arial" w:cs="Arial"/>
                <w:b/>
                <w:color w:val="000000"/>
                <w:sz w:val="16"/>
              </w:rPr>
            </w:pPr>
            <w:r>
              <w:rPr>
                <w:rFonts w:ascii="Arial" w:eastAsia="Calibri" w:hAnsi="Arial" w:cs="Arial"/>
                <w:b/>
                <w:color w:val="000000"/>
                <w:sz w:val="16"/>
              </w:rPr>
              <w:t>3</w:t>
            </w:r>
            <w:r w:rsidR="00714187">
              <w:rPr>
                <w:rFonts w:ascii="Arial" w:eastAsia="Calibri" w:hAnsi="Arial" w:cs="Arial"/>
                <w:b/>
                <w:color w:val="000000"/>
                <w:sz w:val="16"/>
              </w:rPr>
              <w:t>1</w:t>
            </w:r>
            <w:r w:rsidR="00F53550" w:rsidRPr="00701F32">
              <w:rPr>
                <w:rFonts w:ascii="Arial" w:eastAsia="Calibri" w:hAnsi="Arial" w:cs="Arial"/>
                <w:b/>
                <w:color w:val="000000"/>
                <w:sz w:val="16"/>
              </w:rPr>
              <w:t>/</w:t>
            </w:r>
            <w:r w:rsidR="0027557A">
              <w:rPr>
                <w:rFonts w:ascii="Arial" w:eastAsia="Calibri" w:hAnsi="Arial" w:cs="Arial"/>
                <w:b/>
                <w:color w:val="000000"/>
                <w:sz w:val="16"/>
              </w:rPr>
              <w:t>0</w:t>
            </w:r>
            <w:r w:rsidR="00714187">
              <w:rPr>
                <w:rFonts w:ascii="Arial" w:eastAsia="Calibri" w:hAnsi="Arial" w:cs="Arial"/>
                <w:b/>
                <w:color w:val="000000"/>
                <w:sz w:val="16"/>
              </w:rPr>
              <w:t>3</w:t>
            </w:r>
            <w:r w:rsidR="00F53550" w:rsidRPr="00701F32">
              <w:rPr>
                <w:rFonts w:ascii="Arial" w:eastAsia="Calibri" w:hAnsi="Arial" w:cs="Arial"/>
                <w:b/>
                <w:color w:val="000000"/>
                <w:sz w:val="16"/>
              </w:rPr>
              <w:t>/20</w:t>
            </w:r>
            <w:r w:rsidR="00714187">
              <w:rPr>
                <w:rFonts w:ascii="Arial" w:eastAsia="Calibri" w:hAnsi="Arial" w:cs="Arial"/>
                <w:b/>
                <w:color w:val="000000"/>
                <w:sz w:val="16"/>
              </w:rPr>
              <w:t>20</w:t>
            </w:r>
          </w:p>
        </w:tc>
      </w:tr>
      <w:tr w:rsidR="001B25DF" w:rsidRPr="00701F32" w14:paraId="1444FBDA" w14:textId="77777777" w:rsidTr="00C43BF8">
        <w:trPr>
          <w:gridAfter w:val="1"/>
          <w:wAfter w:w="7" w:type="dxa"/>
          <w:trHeight w:val="723"/>
          <w:tblHeader/>
        </w:trPr>
        <w:tc>
          <w:tcPr>
            <w:tcW w:w="2396" w:type="dxa"/>
            <w:vMerge/>
            <w:shd w:val="clear" w:color="auto" w:fill="auto"/>
            <w:vAlign w:val="center"/>
            <w:hideMark/>
          </w:tcPr>
          <w:p w14:paraId="734C02AD" w14:textId="77777777" w:rsidR="00A06BE9" w:rsidRPr="00701F32" w:rsidRDefault="00A06BE9" w:rsidP="00464C0F">
            <w:pPr>
              <w:tabs>
                <w:tab w:val="left" w:pos="142"/>
              </w:tabs>
              <w:spacing w:after="160" w:line="259" w:lineRule="auto"/>
              <w:jc w:val="center"/>
              <w:rPr>
                <w:rFonts w:ascii="Arial" w:eastAsia="Calibri" w:hAnsi="Arial" w:cs="Arial"/>
                <w:color w:val="000000"/>
                <w:sz w:val="16"/>
                <w:lang w:eastAsia="es-AR"/>
              </w:rPr>
            </w:pPr>
          </w:p>
        </w:tc>
        <w:tc>
          <w:tcPr>
            <w:tcW w:w="1145" w:type="dxa"/>
            <w:vAlign w:val="center"/>
          </w:tcPr>
          <w:p w14:paraId="460F8FF9"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Intereses</w:t>
            </w:r>
          </w:p>
        </w:tc>
        <w:tc>
          <w:tcPr>
            <w:tcW w:w="1068" w:type="dxa"/>
            <w:vAlign w:val="center"/>
          </w:tcPr>
          <w:p w14:paraId="5E13174D"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intereses</w:t>
            </w:r>
          </w:p>
        </w:tc>
        <w:tc>
          <w:tcPr>
            <w:tcW w:w="1202" w:type="dxa"/>
            <w:shd w:val="clear" w:color="auto" w:fill="auto"/>
            <w:vAlign w:val="center"/>
          </w:tcPr>
          <w:p w14:paraId="1D71C8A1"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Comisiones</w:t>
            </w:r>
          </w:p>
        </w:tc>
        <w:tc>
          <w:tcPr>
            <w:tcW w:w="1201" w:type="dxa"/>
            <w:vAlign w:val="center"/>
          </w:tcPr>
          <w:p w14:paraId="312A924B"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Comisiones</w:t>
            </w:r>
          </w:p>
        </w:tc>
        <w:tc>
          <w:tcPr>
            <w:tcW w:w="1422" w:type="dxa"/>
            <w:vAlign w:val="center"/>
          </w:tcPr>
          <w:p w14:paraId="493B1DDD" w14:textId="26057EF6"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Gastos de Administración</w:t>
            </w:r>
          </w:p>
        </w:tc>
        <w:tc>
          <w:tcPr>
            <w:tcW w:w="1268" w:type="dxa"/>
            <w:vAlign w:val="center"/>
          </w:tcPr>
          <w:p w14:paraId="7BF58039"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Otros Ingresos Operativos</w:t>
            </w:r>
          </w:p>
        </w:tc>
      </w:tr>
      <w:tr w:rsidR="00C07D83" w:rsidRPr="00701F32" w14:paraId="02011381" w14:textId="77777777" w:rsidTr="002E1AF6">
        <w:trPr>
          <w:gridAfter w:val="1"/>
          <w:wAfter w:w="7" w:type="dxa"/>
          <w:trHeight w:val="391"/>
        </w:trPr>
        <w:tc>
          <w:tcPr>
            <w:tcW w:w="2396" w:type="dxa"/>
            <w:shd w:val="clear" w:color="auto" w:fill="auto"/>
            <w:vAlign w:val="center"/>
            <w:hideMark/>
          </w:tcPr>
          <w:p w14:paraId="268490B0" w14:textId="77777777" w:rsidR="00C07D83" w:rsidRPr="00701F32" w:rsidRDefault="00C07D83" w:rsidP="00C07D8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Sofital S.A.F. e I.I.</w:t>
            </w:r>
          </w:p>
        </w:tc>
        <w:tc>
          <w:tcPr>
            <w:tcW w:w="1145" w:type="dxa"/>
            <w:vAlign w:val="bottom"/>
          </w:tcPr>
          <w:p w14:paraId="46AF7D7D" w14:textId="13AEDACB" w:rsidR="00C07D83" w:rsidRPr="00701F32" w:rsidRDefault="00FB62C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68" w:type="dxa"/>
            <w:vAlign w:val="bottom"/>
          </w:tcPr>
          <w:p w14:paraId="556DFE2C" w14:textId="383B8930" w:rsidR="00C07D83" w:rsidRPr="00701F32" w:rsidRDefault="00FB62C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02" w:type="dxa"/>
            <w:shd w:val="clear" w:color="auto" w:fill="auto"/>
            <w:vAlign w:val="bottom"/>
          </w:tcPr>
          <w:p w14:paraId="77BCCF0C" w14:textId="7A53B06E"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10</w:t>
            </w:r>
          </w:p>
        </w:tc>
        <w:tc>
          <w:tcPr>
            <w:tcW w:w="1201" w:type="dxa"/>
            <w:vAlign w:val="bottom"/>
          </w:tcPr>
          <w:p w14:paraId="2160033C" w14:textId="4F79EA8C" w:rsidR="00C07D83" w:rsidRPr="00701F32" w:rsidRDefault="00FB62C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422" w:type="dxa"/>
            <w:vAlign w:val="bottom"/>
          </w:tcPr>
          <w:p w14:paraId="7B68E2A5" w14:textId="77A1BC59" w:rsidR="00C07D83" w:rsidRPr="00701F32" w:rsidRDefault="00FB62C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68" w:type="dxa"/>
            <w:vAlign w:val="bottom"/>
          </w:tcPr>
          <w:p w14:paraId="01CBC995" w14:textId="09498A61" w:rsidR="00C07D83" w:rsidRPr="00701F32" w:rsidRDefault="00FB62C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C07D83" w:rsidRPr="00701F32" w14:paraId="01068BFC" w14:textId="77777777" w:rsidTr="002E1AF6">
        <w:trPr>
          <w:gridAfter w:val="1"/>
          <w:wAfter w:w="7" w:type="dxa"/>
          <w:trHeight w:val="391"/>
        </w:trPr>
        <w:tc>
          <w:tcPr>
            <w:tcW w:w="2396" w:type="dxa"/>
            <w:shd w:val="clear" w:color="auto" w:fill="auto"/>
            <w:vAlign w:val="center"/>
            <w:hideMark/>
          </w:tcPr>
          <w:p w14:paraId="7E55DC15" w14:textId="77777777" w:rsidR="00C07D83" w:rsidRPr="00701F32" w:rsidRDefault="00C07D83" w:rsidP="00C07D83">
            <w:pPr>
              <w:spacing w:after="160" w:line="259" w:lineRule="auto"/>
              <w:rPr>
                <w:rFonts w:ascii="Arial" w:eastAsia="Calibri" w:hAnsi="Arial" w:cs="Arial"/>
                <w:color w:val="000000"/>
                <w:sz w:val="16"/>
              </w:rPr>
            </w:pPr>
            <w:r w:rsidRPr="00701F32">
              <w:rPr>
                <w:rFonts w:ascii="Arial" w:eastAsia="Calibri" w:hAnsi="Arial" w:cs="Arial"/>
                <w:color w:val="000000"/>
                <w:sz w:val="16"/>
              </w:rPr>
              <w:t>Espacio Cordial S.A.</w:t>
            </w:r>
          </w:p>
        </w:tc>
        <w:tc>
          <w:tcPr>
            <w:tcW w:w="1145" w:type="dxa"/>
            <w:vAlign w:val="bottom"/>
          </w:tcPr>
          <w:p w14:paraId="3EE90683" w14:textId="0B8FE06B"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4</w:t>
            </w:r>
          </w:p>
        </w:tc>
        <w:tc>
          <w:tcPr>
            <w:tcW w:w="1068" w:type="dxa"/>
            <w:vAlign w:val="bottom"/>
          </w:tcPr>
          <w:p w14:paraId="0CABAFBA" w14:textId="3C01EFAF"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202" w:type="dxa"/>
            <w:shd w:val="clear" w:color="auto" w:fill="auto"/>
            <w:vAlign w:val="bottom"/>
          </w:tcPr>
          <w:p w14:paraId="318127C5" w14:textId="239B8196"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23</w:t>
            </w:r>
          </w:p>
        </w:tc>
        <w:tc>
          <w:tcPr>
            <w:tcW w:w="1201" w:type="dxa"/>
            <w:vAlign w:val="bottom"/>
          </w:tcPr>
          <w:p w14:paraId="42DF890F" w14:textId="7C588C31" w:rsidR="00C07D83" w:rsidRPr="00701F32" w:rsidRDefault="00FB62C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422" w:type="dxa"/>
            <w:vAlign w:val="bottom"/>
          </w:tcPr>
          <w:p w14:paraId="1499CBC9" w14:textId="764AB2FF"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268" w:type="dxa"/>
            <w:vAlign w:val="bottom"/>
          </w:tcPr>
          <w:p w14:paraId="6B2B8E7F" w14:textId="46EBEC9D"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85</w:t>
            </w:r>
          </w:p>
        </w:tc>
      </w:tr>
      <w:tr w:rsidR="00C07D83" w:rsidRPr="00701F32" w14:paraId="7F11B7F1" w14:textId="77777777" w:rsidTr="002E1AF6">
        <w:trPr>
          <w:gridAfter w:val="1"/>
          <w:wAfter w:w="7" w:type="dxa"/>
          <w:trHeight w:val="391"/>
        </w:trPr>
        <w:tc>
          <w:tcPr>
            <w:tcW w:w="2396" w:type="dxa"/>
            <w:shd w:val="clear" w:color="auto" w:fill="auto"/>
            <w:vAlign w:val="center"/>
          </w:tcPr>
          <w:p w14:paraId="7335011C" w14:textId="77777777" w:rsidR="00C07D83" w:rsidRPr="00701F32" w:rsidRDefault="00C07D83" w:rsidP="00C07D8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Supervielle Seguros S.A.</w:t>
            </w:r>
          </w:p>
        </w:tc>
        <w:tc>
          <w:tcPr>
            <w:tcW w:w="1145" w:type="dxa"/>
            <w:vAlign w:val="bottom"/>
          </w:tcPr>
          <w:p w14:paraId="537882B6" w14:textId="63E11E39"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1</w:t>
            </w:r>
          </w:p>
        </w:tc>
        <w:tc>
          <w:tcPr>
            <w:tcW w:w="1068" w:type="dxa"/>
            <w:vAlign w:val="bottom"/>
          </w:tcPr>
          <w:p w14:paraId="513B68F1" w14:textId="1E1304F9"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202" w:type="dxa"/>
            <w:shd w:val="clear" w:color="auto" w:fill="auto"/>
            <w:vAlign w:val="bottom"/>
          </w:tcPr>
          <w:p w14:paraId="6F35C3CF" w14:textId="1FF90AC8"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44.215</w:t>
            </w:r>
          </w:p>
        </w:tc>
        <w:tc>
          <w:tcPr>
            <w:tcW w:w="1201" w:type="dxa"/>
            <w:vAlign w:val="bottom"/>
          </w:tcPr>
          <w:p w14:paraId="7CA5C95E" w14:textId="6D17C873"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422" w:type="dxa"/>
            <w:vAlign w:val="bottom"/>
          </w:tcPr>
          <w:p w14:paraId="7F2B0E03" w14:textId="410A2637"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2.190</w:t>
            </w:r>
          </w:p>
        </w:tc>
        <w:tc>
          <w:tcPr>
            <w:tcW w:w="1268" w:type="dxa"/>
            <w:vAlign w:val="bottom"/>
          </w:tcPr>
          <w:p w14:paraId="31C57477" w14:textId="3D68E4B2"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4.391</w:t>
            </w:r>
          </w:p>
        </w:tc>
      </w:tr>
      <w:tr w:rsidR="00C07D83" w:rsidRPr="00701F32" w14:paraId="5869E853" w14:textId="77777777" w:rsidTr="002E1AF6">
        <w:trPr>
          <w:gridAfter w:val="1"/>
          <w:wAfter w:w="7" w:type="dxa"/>
          <w:trHeight w:val="391"/>
        </w:trPr>
        <w:tc>
          <w:tcPr>
            <w:tcW w:w="2396" w:type="dxa"/>
            <w:shd w:val="clear" w:color="auto" w:fill="auto"/>
            <w:vAlign w:val="center"/>
            <w:hideMark/>
          </w:tcPr>
          <w:p w14:paraId="7B9BF05D" w14:textId="77777777" w:rsidR="00C07D83" w:rsidRPr="00701F32" w:rsidRDefault="00C07D83" w:rsidP="00C07D8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Tarjeta Automática S.A.</w:t>
            </w:r>
          </w:p>
        </w:tc>
        <w:tc>
          <w:tcPr>
            <w:tcW w:w="1145" w:type="dxa"/>
            <w:vAlign w:val="bottom"/>
          </w:tcPr>
          <w:p w14:paraId="286116FF" w14:textId="7C1A5CE6"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1</w:t>
            </w:r>
          </w:p>
        </w:tc>
        <w:tc>
          <w:tcPr>
            <w:tcW w:w="1068" w:type="dxa"/>
            <w:vAlign w:val="bottom"/>
          </w:tcPr>
          <w:p w14:paraId="2FBC0E2D" w14:textId="0B064521"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202" w:type="dxa"/>
            <w:shd w:val="clear" w:color="auto" w:fill="auto"/>
            <w:vAlign w:val="bottom"/>
          </w:tcPr>
          <w:p w14:paraId="5C78B082" w14:textId="0F6315D0"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100</w:t>
            </w:r>
          </w:p>
        </w:tc>
        <w:tc>
          <w:tcPr>
            <w:tcW w:w="1201" w:type="dxa"/>
            <w:vAlign w:val="bottom"/>
          </w:tcPr>
          <w:p w14:paraId="1D18551A" w14:textId="5F5DF046"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422" w:type="dxa"/>
            <w:vAlign w:val="bottom"/>
          </w:tcPr>
          <w:p w14:paraId="4985932C" w14:textId="695D1B20"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268" w:type="dxa"/>
            <w:vAlign w:val="bottom"/>
          </w:tcPr>
          <w:p w14:paraId="246BD8D3" w14:textId="744777D7"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58</w:t>
            </w:r>
          </w:p>
        </w:tc>
      </w:tr>
      <w:tr w:rsidR="00C07D83" w:rsidRPr="00701F32" w14:paraId="69D57BB3" w14:textId="77777777" w:rsidTr="002E1AF6">
        <w:trPr>
          <w:gridAfter w:val="1"/>
          <w:wAfter w:w="7" w:type="dxa"/>
          <w:trHeight w:val="391"/>
        </w:trPr>
        <w:tc>
          <w:tcPr>
            <w:tcW w:w="2396" w:type="dxa"/>
            <w:shd w:val="clear" w:color="auto" w:fill="auto"/>
            <w:vAlign w:val="center"/>
            <w:hideMark/>
          </w:tcPr>
          <w:p w14:paraId="7202918A" w14:textId="77777777" w:rsidR="00C07D83" w:rsidRPr="00701F32" w:rsidRDefault="00C07D83" w:rsidP="00C07D83">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Supervielle Asset Management S.A.</w:t>
            </w:r>
          </w:p>
        </w:tc>
        <w:tc>
          <w:tcPr>
            <w:tcW w:w="1145" w:type="dxa"/>
            <w:vAlign w:val="bottom"/>
          </w:tcPr>
          <w:p w14:paraId="67964FB8" w14:textId="1315F80D"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068" w:type="dxa"/>
            <w:vAlign w:val="bottom"/>
          </w:tcPr>
          <w:p w14:paraId="0C7D37F7" w14:textId="54C2CF4E"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202" w:type="dxa"/>
            <w:shd w:val="clear" w:color="auto" w:fill="auto"/>
            <w:vAlign w:val="bottom"/>
          </w:tcPr>
          <w:p w14:paraId="3AD8A458" w14:textId="4E9CA156"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6</w:t>
            </w:r>
          </w:p>
        </w:tc>
        <w:tc>
          <w:tcPr>
            <w:tcW w:w="1201" w:type="dxa"/>
            <w:vAlign w:val="bottom"/>
          </w:tcPr>
          <w:p w14:paraId="2425A4DA" w14:textId="38D1212C"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422" w:type="dxa"/>
            <w:vAlign w:val="bottom"/>
          </w:tcPr>
          <w:p w14:paraId="533213B7" w14:textId="2EBAC09D"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268" w:type="dxa"/>
            <w:vAlign w:val="bottom"/>
          </w:tcPr>
          <w:p w14:paraId="432B2920" w14:textId="7F6255AB"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1.018</w:t>
            </w:r>
          </w:p>
        </w:tc>
      </w:tr>
      <w:tr w:rsidR="00C07D83" w:rsidRPr="00701F32" w14:paraId="770D6B17" w14:textId="77777777" w:rsidTr="002E1AF6">
        <w:trPr>
          <w:gridAfter w:val="1"/>
          <w:wAfter w:w="7" w:type="dxa"/>
          <w:trHeight w:val="391"/>
        </w:trPr>
        <w:tc>
          <w:tcPr>
            <w:tcW w:w="2396" w:type="dxa"/>
            <w:shd w:val="clear" w:color="auto" w:fill="auto"/>
            <w:vAlign w:val="center"/>
          </w:tcPr>
          <w:p w14:paraId="3DF78261" w14:textId="0153A2E4" w:rsidR="00C07D83" w:rsidRPr="00701F32" w:rsidRDefault="00C07D83" w:rsidP="00C07D83">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Invertir OnLine S.A.</w:t>
            </w:r>
            <w:r>
              <w:rPr>
                <w:rFonts w:ascii="Arial" w:eastAsia="Calibri" w:hAnsi="Arial" w:cs="Arial"/>
                <w:color w:val="000000"/>
                <w:sz w:val="16"/>
                <w:lang w:val="en-US" w:eastAsia="es-AR"/>
              </w:rPr>
              <w:t>U.</w:t>
            </w:r>
          </w:p>
        </w:tc>
        <w:tc>
          <w:tcPr>
            <w:tcW w:w="1145" w:type="dxa"/>
            <w:vAlign w:val="bottom"/>
          </w:tcPr>
          <w:p w14:paraId="5B51A2D8" w14:textId="4CD9D4FA" w:rsidR="00C07D83" w:rsidRPr="00701F32" w:rsidRDefault="00C07D83">
            <w:pPr>
              <w:spacing w:after="160" w:line="259" w:lineRule="auto"/>
              <w:jc w:val="right"/>
              <w:rPr>
                <w:rFonts w:ascii="Arial" w:eastAsia="Calibri" w:hAnsi="Arial" w:cs="Arial"/>
                <w:color w:val="000000"/>
                <w:sz w:val="16"/>
                <w:lang w:val="es-ES_tradnl"/>
              </w:rPr>
            </w:pPr>
            <w:r w:rsidRPr="00D01297">
              <w:rPr>
                <w:rFonts w:ascii="Arial" w:hAnsi="Arial" w:cs="Arial"/>
                <w:sz w:val="16"/>
                <w:szCs w:val="16"/>
                <w:lang w:val="en-US"/>
              </w:rPr>
              <w:t> </w:t>
            </w:r>
            <w:r w:rsidR="00FB62CD">
              <w:rPr>
                <w:rFonts w:ascii="Arial" w:hAnsi="Arial" w:cs="Arial"/>
                <w:sz w:val="16"/>
                <w:szCs w:val="16"/>
              </w:rPr>
              <w:t>-</w:t>
            </w:r>
          </w:p>
        </w:tc>
        <w:tc>
          <w:tcPr>
            <w:tcW w:w="1068" w:type="dxa"/>
            <w:vAlign w:val="bottom"/>
          </w:tcPr>
          <w:p w14:paraId="65E12FFA" w14:textId="39A3B83F"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3.330</w:t>
            </w:r>
          </w:p>
        </w:tc>
        <w:tc>
          <w:tcPr>
            <w:tcW w:w="1202" w:type="dxa"/>
            <w:shd w:val="clear" w:color="auto" w:fill="auto"/>
            <w:vAlign w:val="bottom"/>
          </w:tcPr>
          <w:p w14:paraId="0AFA7F29" w14:textId="58E02B6B" w:rsidR="00C07D83" w:rsidRPr="00701F32" w:rsidDel="00B660DC"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256</w:t>
            </w:r>
          </w:p>
        </w:tc>
        <w:tc>
          <w:tcPr>
            <w:tcW w:w="1201" w:type="dxa"/>
            <w:vAlign w:val="bottom"/>
          </w:tcPr>
          <w:p w14:paraId="46ED0C9B" w14:textId="49F26E4C"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 </w:t>
            </w:r>
            <w:r w:rsidR="00FB62CD">
              <w:rPr>
                <w:rFonts w:ascii="Arial" w:hAnsi="Arial" w:cs="Arial"/>
                <w:sz w:val="16"/>
                <w:szCs w:val="16"/>
              </w:rPr>
              <w:t>-</w:t>
            </w:r>
          </w:p>
        </w:tc>
        <w:tc>
          <w:tcPr>
            <w:tcW w:w="1422" w:type="dxa"/>
            <w:vAlign w:val="bottom"/>
          </w:tcPr>
          <w:p w14:paraId="0F095F71" w14:textId="4D7C1B8E"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 </w:t>
            </w:r>
            <w:r w:rsidR="00FB62CD">
              <w:rPr>
                <w:rFonts w:ascii="Arial" w:hAnsi="Arial" w:cs="Arial"/>
                <w:sz w:val="16"/>
                <w:szCs w:val="16"/>
              </w:rPr>
              <w:t>-</w:t>
            </w:r>
          </w:p>
        </w:tc>
        <w:tc>
          <w:tcPr>
            <w:tcW w:w="1268" w:type="dxa"/>
            <w:vAlign w:val="bottom"/>
          </w:tcPr>
          <w:p w14:paraId="759F3050" w14:textId="039190C2"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284</w:t>
            </w:r>
          </w:p>
        </w:tc>
      </w:tr>
      <w:tr w:rsidR="00C07D83" w:rsidRPr="00701F32" w14:paraId="18EC4903" w14:textId="77777777" w:rsidTr="002E1AF6">
        <w:trPr>
          <w:gridAfter w:val="1"/>
          <w:wAfter w:w="7" w:type="dxa"/>
          <w:trHeight w:val="391"/>
        </w:trPr>
        <w:tc>
          <w:tcPr>
            <w:tcW w:w="2396" w:type="dxa"/>
            <w:shd w:val="clear" w:color="auto" w:fill="auto"/>
            <w:vAlign w:val="center"/>
          </w:tcPr>
          <w:p w14:paraId="21DBEE85" w14:textId="2FF5076A" w:rsidR="00C07D83" w:rsidRPr="00701F32" w:rsidRDefault="00C07D83" w:rsidP="00C07D83">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rPr>
              <w:t>Invertir OnLine.com Argentina S.A.</w:t>
            </w:r>
            <w:r>
              <w:rPr>
                <w:rFonts w:ascii="Arial" w:eastAsia="Calibri" w:hAnsi="Arial" w:cs="Arial"/>
                <w:color w:val="000000"/>
                <w:sz w:val="16"/>
              </w:rPr>
              <w:t>U.</w:t>
            </w:r>
          </w:p>
        </w:tc>
        <w:tc>
          <w:tcPr>
            <w:tcW w:w="1145" w:type="dxa"/>
            <w:vAlign w:val="bottom"/>
          </w:tcPr>
          <w:p w14:paraId="0D5A35D8" w14:textId="48E148AE" w:rsidR="00C07D83" w:rsidRPr="00701F32" w:rsidRDefault="00FB62CD">
            <w:pPr>
              <w:spacing w:after="160" w:line="259" w:lineRule="auto"/>
              <w:jc w:val="right"/>
              <w:rPr>
                <w:rFonts w:ascii="Arial" w:eastAsia="Calibri" w:hAnsi="Arial" w:cs="Arial"/>
                <w:color w:val="000000"/>
                <w:sz w:val="16"/>
              </w:rPr>
            </w:pPr>
            <w:r>
              <w:rPr>
                <w:rFonts w:ascii="Arial" w:hAnsi="Arial" w:cs="Arial"/>
                <w:sz w:val="16"/>
                <w:szCs w:val="16"/>
              </w:rPr>
              <w:t>-</w:t>
            </w:r>
          </w:p>
        </w:tc>
        <w:tc>
          <w:tcPr>
            <w:tcW w:w="1068" w:type="dxa"/>
            <w:vAlign w:val="bottom"/>
          </w:tcPr>
          <w:p w14:paraId="58D0448F" w14:textId="611F0458" w:rsidR="00C07D83" w:rsidRPr="00701F32" w:rsidDel="00AA3E91" w:rsidRDefault="00C07D83">
            <w:pPr>
              <w:spacing w:after="160" w:line="259" w:lineRule="auto"/>
              <w:jc w:val="right"/>
              <w:rPr>
                <w:rFonts w:ascii="Arial" w:eastAsia="Calibri" w:hAnsi="Arial" w:cs="Arial"/>
                <w:color w:val="000000"/>
                <w:sz w:val="16"/>
              </w:rPr>
            </w:pPr>
            <w:r>
              <w:rPr>
                <w:rFonts w:ascii="Arial" w:hAnsi="Arial" w:cs="Arial"/>
                <w:sz w:val="16"/>
                <w:szCs w:val="16"/>
              </w:rPr>
              <w:t>171</w:t>
            </w:r>
          </w:p>
        </w:tc>
        <w:tc>
          <w:tcPr>
            <w:tcW w:w="1202" w:type="dxa"/>
            <w:shd w:val="clear" w:color="auto" w:fill="auto"/>
            <w:vAlign w:val="bottom"/>
          </w:tcPr>
          <w:p w14:paraId="48E2F86B" w14:textId="7DF69E53" w:rsidR="00C07D83" w:rsidRPr="00701F32" w:rsidDel="00AA3E91" w:rsidRDefault="00C07D83">
            <w:pPr>
              <w:spacing w:after="160" w:line="259" w:lineRule="auto"/>
              <w:jc w:val="right"/>
              <w:rPr>
                <w:rFonts w:ascii="Arial" w:eastAsia="Calibri" w:hAnsi="Arial" w:cs="Arial"/>
                <w:color w:val="000000"/>
                <w:sz w:val="16"/>
              </w:rPr>
            </w:pPr>
            <w:r>
              <w:rPr>
                <w:rFonts w:ascii="Arial" w:hAnsi="Arial" w:cs="Arial"/>
                <w:sz w:val="16"/>
                <w:szCs w:val="16"/>
              </w:rPr>
              <w:t>5</w:t>
            </w:r>
          </w:p>
        </w:tc>
        <w:tc>
          <w:tcPr>
            <w:tcW w:w="1201" w:type="dxa"/>
            <w:vAlign w:val="bottom"/>
          </w:tcPr>
          <w:p w14:paraId="4660EBE0" w14:textId="747E473A" w:rsidR="00C07D83" w:rsidRPr="00701F32" w:rsidRDefault="00C07D83">
            <w:pPr>
              <w:spacing w:after="160" w:line="259" w:lineRule="auto"/>
              <w:jc w:val="right"/>
              <w:rPr>
                <w:rFonts w:ascii="Arial" w:eastAsia="Calibri" w:hAnsi="Arial" w:cs="Arial"/>
                <w:color w:val="000000"/>
                <w:sz w:val="16"/>
              </w:rPr>
            </w:pPr>
            <w:r>
              <w:rPr>
                <w:rFonts w:ascii="Arial" w:hAnsi="Arial" w:cs="Arial"/>
                <w:sz w:val="16"/>
                <w:szCs w:val="16"/>
              </w:rPr>
              <w:t> </w:t>
            </w:r>
            <w:r w:rsidR="00FB62CD">
              <w:rPr>
                <w:rFonts w:ascii="Arial" w:hAnsi="Arial" w:cs="Arial"/>
                <w:sz w:val="16"/>
                <w:szCs w:val="16"/>
              </w:rPr>
              <w:t>-</w:t>
            </w:r>
          </w:p>
        </w:tc>
        <w:tc>
          <w:tcPr>
            <w:tcW w:w="1422" w:type="dxa"/>
            <w:vAlign w:val="bottom"/>
          </w:tcPr>
          <w:p w14:paraId="0F45C366" w14:textId="2D39EC3B" w:rsidR="00C07D83" w:rsidRPr="00701F32" w:rsidRDefault="00C07D83">
            <w:pPr>
              <w:spacing w:after="160" w:line="259" w:lineRule="auto"/>
              <w:jc w:val="right"/>
              <w:rPr>
                <w:rFonts w:ascii="Arial" w:eastAsia="Calibri" w:hAnsi="Arial" w:cs="Arial"/>
                <w:color w:val="000000"/>
                <w:sz w:val="16"/>
              </w:rPr>
            </w:pPr>
            <w:r>
              <w:rPr>
                <w:rFonts w:ascii="Arial" w:hAnsi="Arial" w:cs="Arial"/>
                <w:sz w:val="16"/>
                <w:szCs w:val="16"/>
              </w:rPr>
              <w:t> </w:t>
            </w:r>
            <w:r w:rsidR="00FB62CD">
              <w:rPr>
                <w:rFonts w:ascii="Arial" w:hAnsi="Arial" w:cs="Arial"/>
                <w:sz w:val="16"/>
                <w:szCs w:val="16"/>
              </w:rPr>
              <w:t>-</w:t>
            </w:r>
          </w:p>
        </w:tc>
        <w:tc>
          <w:tcPr>
            <w:tcW w:w="1268" w:type="dxa"/>
            <w:vAlign w:val="bottom"/>
          </w:tcPr>
          <w:p w14:paraId="0265DD6D" w14:textId="19B83D07" w:rsidR="00C07D83" w:rsidRPr="00701F32" w:rsidRDefault="00C07D83">
            <w:pPr>
              <w:spacing w:after="160" w:line="259" w:lineRule="auto"/>
              <w:jc w:val="right"/>
              <w:rPr>
                <w:rFonts w:ascii="Arial" w:eastAsia="Calibri" w:hAnsi="Arial" w:cs="Arial"/>
                <w:color w:val="000000"/>
                <w:sz w:val="16"/>
              </w:rPr>
            </w:pPr>
            <w:r>
              <w:rPr>
                <w:rFonts w:ascii="Arial" w:hAnsi="Arial" w:cs="Arial"/>
                <w:sz w:val="16"/>
                <w:szCs w:val="16"/>
              </w:rPr>
              <w:t>1</w:t>
            </w:r>
          </w:p>
        </w:tc>
      </w:tr>
      <w:tr w:rsidR="00C07D83" w:rsidRPr="00701F32" w14:paraId="2DCB679E" w14:textId="77777777" w:rsidTr="002E1AF6">
        <w:trPr>
          <w:gridAfter w:val="1"/>
          <w:wAfter w:w="7" w:type="dxa"/>
          <w:trHeight w:val="391"/>
        </w:trPr>
        <w:tc>
          <w:tcPr>
            <w:tcW w:w="2396" w:type="dxa"/>
            <w:shd w:val="clear" w:color="auto" w:fill="auto"/>
            <w:vAlign w:val="center"/>
          </w:tcPr>
          <w:p w14:paraId="6ECB8C74" w14:textId="14F3158F" w:rsidR="00C07D83" w:rsidRPr="00701F32" w:rsidRDefault="00C07D83" w:rsidP="00C07D83">
            <w:pPr>
              <w:tabs>
                <w:tab w:val="left" w:pos="142"/>
              </w:tabs>
              <w:spacing w:after="160" w:line="259" w:lineRule="auto"/>
              <w:rPr>
                <w:rFonts w:ascii="Arial" w:eastAsia="Calibri" w:hAnsi="Arial" w:cs="Arial"/>
                <w:color w:val="000000"/>
                <w:sz w:val="16"/>
                <w:lang w:val="en-US" w:eastAsia="es-AR"/>
              </w:rPr>
            </w:pPr>
            <w:r w:rsidRPr="0023020F">
              <w:rPr>
                <w:rFonts w:ascii="Arial" w:eastAsia="Calibri" w:hAnsi="Arial" w:cs="Arial"/>
                <w:color w:val="000000"/>
                <w:sz w:val="16"/>
                <w:lang w:val="en-US"/>
              </w:rPr>
              <w:t>Micro Lending S.A.U.</w:t>
            </w:r>
          </w:p>
        </w:tc>
        <w:tc>
          <w:tcPr>
            <w:tcW w:w="1145" w:type="dxa"/>
            <w:vAlign w:val="bottom"/>
          </w:tcPr>
          <w:p w14:paraId="11D84131" w14:textId="4C09E3D9" w:rsidR="00C07D83" w:rsidRPr="00701F32" w:rsidRDefault="00C07D83">
            <w:pPr>
              <w:spacing w:after="160" w:line="259" w:lineRule="auto"/>
              <w:jc w:val="right"/>
              <w:rPr>
                <w:rFonts w:ascii="Arial" w:eastAsia="Calibri" w:hAnsi="Arial" w:cs="Arial"/>
                <w:color w:val="000000"/>
                <w:sz w:val="16"/>
              </w:rPr>
            </w:pPr>
            <w:r>
              <w:rPr>
                <w:rFonts w:ascii="Arial" w:hAnsi="Arial" w:cs="Arial"/>
                <w:sz w:val="16"/>
                <w:szCs w:val="16"/>
              </w:rPr>
              <w:t>103</w:t>
            </w:r>
          </w:p>
        </w:tc>
        <w:tc>
          <w:tcPr>
            <w:tcW w:w="1068" w:type="dxa"/>
            <w:vAlign w:val="bottom"/>
          </w:tcPr>
          <w:p w14:paraId="3049C2CD" w14:textId="688915C9" w:rsidR="00C07D83" w:rsidRPr="00701F32" w:rsidDel="00AA3E91" w:rsidRDefault="00FB62CD">
            <w:pPr>
              <w:spacing w:after="160" w:line="259" w:lineRule="auto"/>
              <w:jc w:val="right"/>
              <w:rPr>
                <w:rFonts w:ascii="Arial" w:eastAsia="Calibri" w:hAnsi="Arial" w:cs="Arial"/>
                <w:color w:val="000000"/>
                <w:sz w:val="16"/>
              </w:rPr>
            </w:pPr>
            <w:r>
              <w:rPr>
                <w:rFonts w:ascii="Arial" w:hAnsi="Arial" w:cs="Arial"/>
                <w:sz w:val="16"/>
                <w:szCs w:val="16"/>
              </w:rPr>
              <w:t>-</w:t>
            </w:r>
          </w:p>
        </w:tc>
        <w:tc>
          <w:tcPr>
            <w:tcW w:w="1202" w:type="dxa"/>
            <w:shd w:val="clear" w:color="auto" w:fill="auto"/>
            <w:vAlign w:val="bottom"/>
          </w:tcPr>
          <w:p w14:paraId="18C30FB0" w14:textId="1565A859" w:rsidR="00C07D83" w:rsidRPr="00701F32" w:rsidDel="00AA3E91" w:rsidRDefault="00C07D83">
            <w:pPr>
              <w:spacing w:after="160" w:line="259" w:lineRule="auto"/>
              <w:jc w:val="right"/>
              <w:rPr>
                <w:rFonts w:ascii="Arial" w:eastAsia="Calibri" w:hAnsi="Arial" w:cs="Arial"/>
                <w:color w:val="000000"/>
                <w:sz w:val="16"/>
              </w:rPr>
            </w:pPr>
            <w:r>
              <w:rPr>
                <w:rFonts w:ascii="Arial" w:hAnsi="Arial" w:cs="Arial"/>
                <w:sz w:val="16"/>
                <w:szCs w:val="16"/>
              </w:rPr>
              <w:t>20</w:t>
            </w:r>
          </w:p>
        </w:tc>
        <w:tc>
          <w:tcPr>
            <w:tcW w:w="1201" w:type="dxa"/>
            <w:vAlign w:val="bottom"/>
          </w:tcPr>
          <w:p w14:paraId="0E3D84EB" w14:textId="2B7F724F" w:rsidR="00C07D83" w:rsidRPr="00701F32" w:rsidRDefault="00C07D83">
            <w:pPr>
              <w:spacing w:after="160" w:line="259" w:lineRule="auto"/>
              <w:jc w:val="right"/>
              <w:rPr>
                <w:rFonts w:ascii="Arial" w:eastAsia="Calibri" w:hAnsi="Arial" w:cs="Arial"/>
                <w:color w:val="000000"/>
                <w:sz w:val="16"/>
              </w:rPr>
            </w:pPr>
            <w:r>
              <w:rPr>
                <w:rFonts w:ascii="Arial" w:hAnsi="Arial" w:cs="Arial"/>
                <w:sz w:val="16"/>
                <w:szCs w:val="16"/>
              </w:rPr>
              <w:t> </w:t>
            </w:r>
            <w:r w:rsidR="00FB62CD">
              <w:rPr>
                <w:rFonts w:ascii="Arial" w:hAnsi="Arial" w:cs="Arial"/>
                <w:sz w:val="16"/>
                <w:szCs w:val="16"/>
              </w:rPr>
              <w:t>-</w:t>
            </w:r>
          </w:p>
        </w:tc>
        <w:tc>
          <w:tcPr>
            <w:tcW w:w="1422" w:type="dxa"/>
            <w:vAlign w:val="bottom"/>
          </w:tcPr>
          <w:p w14:paraId="6920E4C4" w14:textId="22285E84" w:rsidR="00C07D83" w:rsidRPr="00701F32" w:rsidRDefault="00C07D83">
            <w:pPr>
              <w:spacing w:after="160" w:line="259" w:lineRule="auto"/>
              <w:jc w:val="right"/>
              <w:rPr>
                <w:rFonts w:ascii="Arial" w:eastAsia="Calibri" w:hAnsi="Arial" w:cs="Arial"/>
                <w:color w:val="000000"/>
                <w:sz w:val="16"/>
              </w:rPr>
            </w:pPr>
            <w:r>
              <w:rPr>
                <w:rFonts w:ascii="Arial" w:hAnsi="Arial" w:cs="Arial"/>
                <w:sz w:val="16"/>
                <w:szCs w:val="16"/>
              </w:rPr>
              <w:t> </w:t>
            </w:r>
            <w:r w:rsidR="00FB62CD">
              <w:rPr>
                <w:rFonts w:ascii="Arial" w:hAnsi="Arial" w:cs="Arial"/>
                <w:sz w:val="16"/>
                <w:szCs w:val="16"/>
              </w:rPr>
              <w:t>-</w:t>
            </w:r>
          </w:p>
        </w:tc>
        <w:tc>
          <w:tcPr>
            <w:tcW w:w="1268" w:type="dxa"/>
            <w:vAlign w:val="bottom"/>
          </w:tcPr>
          <w:p w14:paraId="2DF5124A" w14:textId="2C7E523E" w:rsidR="00C07D83" w:rsidRPr="00701F32" w:rsidRDefault="00C07D83">
            <w:pPr>
              <w:spacing w:after="160" w:line="259" w:lineRule="auto"/>
              <w:jc w:val="right"/>
              <w:rPr>
                <w:rFonts w:ascii="Arial" w:eastAsia="Calibri" w:hAnsi="Arial" w:cs="Arial"/>
                <w:color w:val="000000"/>
                <w:sz w:val="16"/>
              </w:rPr>
            </w:pPr>
            <w:r>
              <w:rPr>
                <w:rFonts w:ascii="Arial" w:hAnsi="Arial" w:cs="Arial"/>
                <w:sz w:val="16"/>
                <w:szCs w:val="16"/>
              </w:rPr>
              <w:t>20</w:t>
            </w:r>
          </w:p>
        </w:tc>
      </w:tr>
      <w:tr w:rsidR="00C07D83" w:rsidRPr="00701F32" w14:paraId="28FFEE0E" w14:textId="77777777" w:rsidTr="002E1AF6">
        <w:trPr>
          <w:gridAfter w:val="1"/>
          <w:wAfter w:w="7" w:type="dxa"/>
          <w:trHeight w:val="391"/>
        </w:trPr>
        <w:tc>
          <w:tcPr>
            <w:tcW w:w="2396" w:type="dxa"/>
            <w:shd w:val="clear" w:color="auto" w:fill="auto"/>
            <w:vAlign w:val="center"/>
            <w:hideMark/>
          </w:tcPr>
          <w:p w14:paraId="58D23F46" w14:textId="77777777" w:rsidR="00C07D83" w:rsidRPr="00701F32" w:rsidRDefault="00C07D83" w:rsidP="00C07D8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Grupo Supervielle S.A.</w:t>
            </w:r>
          </w:p>
        </w:tc>
        <w:tc>
          <w:tcPr>
            <w:tcW w:w="1145" w:type="dxa"/>
            <w:vAlign w:val="bottom"/>
          </w:tcPr>
          <w:p w14:paraId="14D24C41" w14:textId="34C33A2F"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068" w:type="dxa"/>
            <w:vAlign w:val="bottom"/>
          </w:tcPr>
          <w:p w14:paraId="62C41BB3" w14:textId="167C24E9"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5</w:t>
            </w:r>
          </w:p>
        </w:tc>
        <w:tc>
          <w:tcPr>
            <w:tcW w:w="1202" w:type="dxa"/>
            <w:shd w:val="clear" w:color="auto" w:fill="auto"/>
            <w:vAlign w:val="bottom"/>
          </w:tcPr>
          <w:p w14:paraId="186783D0" w14:textId="33A0B139"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129</w:t>
            </w:r>
          </w:p>
        </w:tc>
        <w:tc>
          <w:tcPr>
            <w:tcW w:w="1201" w:type="dxa"/>
            <w:vAlign w:val="bottom"/>
          </w:tcPr>
          <w:p w14:paraId="5638779C" w14:textId="67578A1E" w:rsidR="00C07D83" w:rsidRPr="00701F32" w:rsidRDefault="00FB62CD">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422" w:type="dxa"/>
            <w:vAlign w:val="bottom"/>
          </w:tcPr>
          <w:p w14:paraId="4F518C97" w14:textId="57555386"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39.034</w:t>
            </w:r>
          </w:p>
        </w:tc>
        <w:tc>
          <w:tcPr>
            <w:tcW w:w="1268" w:type="dxa"/>
            <w:vAlign w:val="bottom"/>
          </w:tcPr>
          <w:p w14:paraId="068B4C6F" w14:textId="7F722BC5" w:rsidR="00C07D83" w:rsidRPr="00701F32" w:rsidRDefault="00C07D83">
            <w:pPr>
              <w:spacing w:after="160" w:line="259" w:lineRule="auto"/>
              <w:jc w:val="right"/>
              <w:rPr>
                <w:rFonts w:ascii="Arial" w:eastAsia="Calibri" w:hAnsi="Arial" w:cs="Arial"/>
                <w:color w:val="000000"/>
                <w:sz w:val="16"/>
                <w:lang w:val="es-ES_tradnl"/>
              </w:rPr>
            </w:pPr>
            <w:r>
              <w:rPr>
                <w:rFonts w:ascii="Arial" w:hAnsi="Arial" w:cs="Arial"/>
                <w:sz w:val="16"/>
                <w:szCs w:val="16"/>
              </w:rPr>
              <w:t>1.615</w:t>
            </w:r>
          </w:p>
        </w:tc>
      </w:tr>
      <w:tr w:rsidR="00C07D83" w:rsidRPr="00701F32" w14:paraId="148D2F5E" w14:textId="77777777" w:rsidTr="002E1AF6">
        <w:trPr>
          <w:gridAfter w:val="1"/>
          <w:wAfter w:w="7" w:type="dxa"/>
          <w:trHeight w:val="391"/>
        </w:trPr>
        <w:tc>
          <w:tcPr>
            <w:tcW w:w="2396" w:type="dxa"/>
            <w:shd w:val="clear" w:color="auto" w:fill="auto"/>
            <w:vAlign w:val="center"/>
            <w:hideMark/>
          </w:tcPr>
          <w:p w14:paraId="7D5C5D9B" w14:textId="66A34BF6" w:rsidR="00C07D83" w:rsidRPr="00701F32" w:rsidRDefault="00C07D83" w:rsidP="00C07D83">
            <w:pPr>
              <w:tabs>
                <w:tab w:val="left" w:pos="142"/>
              </w:tabs>
              <w:spacing w:after="160" w:line="259" w:lineRule="auto"/>
              <w:rPr>
                <w:rFonts w:ascii="Arial" w:eastAsia="Calibri" w:hAnsi="Arial" w:cs="Arial"/>
                <w:b/>
                <w:bCs/>
                <w:color w:val="000000"/>
                <w:sz w:val="16"/>
                <w:lang w:val="es-ES_tradnl" w:eastAsia="es-AR"/>
              </w:rPr>
            </w:pPr>
            <w:r w:rsidRPr="00701F32">
              <w:rPr>
                <w:rFonts w:ascii="Arial" w:eastAsia="Calibri" w:hAnsi="Arial" w:cs="Arial"/>
                <w:b/>
                <w:bCs/>
                <w:color w:val="000000"/>
                <w:sz w:val="16"/>
                <w:lang w:eastAsia="es-AR"/>
              </w:rPr>
              <w:t>TOTAL</w:t>
            </w:r>
          </w:p>
        </w:tc>
        <w:tc>
          <w:tcPr>
            <w:tcW w:w="1145" w:type="dxa"/>
            <w:vAlign w:val="bottom"/>
          </w:tcPr>
          <w:p w14:paraId="5B80114C" w14:textId="16EC80F8" w:rsidR="00C07D83" w:rsidRPr="00C07D83" w:rsidRDefault="00C07D83">
            <w:pPr>
              <w:spacing w:after="160" w:line="259" w:lineRule="auto"/>
              <w:jc w:val="right"/>
              <w:rPr>
                <w:rFonts w:ascii="Arial" w:eastAsia="Calibri" w:hAnsi="Arial" w:cs="Arial"/>
                <w:b/>
                <w:color w:val="000000"/>
                <w:sz w:val="16"/>
                <w:szCs w:val="16"/>
              </w:rPr>
            </w:pPr>
            <w:r w:rsidRPr="00C07D83">
              <w:rPr>
                <w:rFonts w:ascii="Arial" w:eastAsia="Calibri" w:hAnsi="Arial" w:cs="Arial"/>
                <w:b/>
                <w:color w:val="000000"/>
                <w:sz w:val="16"/>
                <w:szCs w:val="16"/>
              </w:rPr>
              <w:t>109</w:t>
            </w:r>
          </w:p>
        </w:tc>
        <w:tc>
          <w:tcPr>
            <w:tcW w:w="1068" w:type="dxa"/>
            <w:vAlign w:val="bottom"/>
          </w:tcPr>
          <w:p w14:paraId="5B24728A" w14:textId="0A1C6E82" w:rsidR="00C07D83" w:rsidRPr="00C07D83" w:rsidRDefault="00C07D83">
            <w:pPr>
              <w:spacing w:after="160" w:line="259" w:lineRule="auto"/>
              <w:jc w:val="right"/>
              <w:rPr>
                <w:rFonts w:ascii="Arial" w:eastAsia="Calibri" w:hAnsi="Arial" w:cs="Arial"/>
                <w:b/>
                <w:color w:val="000000"/>
                <w:sz w:val="16"/>
                <w:szCs w:val="16"/>
              </w:rPr>
            </w:pPr>
            <w:r w:rsidRPr="00C07D83">
              <w:rPr>
                <w:rFonts w:ascii="Arial" w:eastAsia="Calibri" w:hAnsi="Arial" w:cs="Arial"/>
                <w:b/>
                <w:color w:val="000000"/>
                <w:sz w:val="16"/>
                <w:szCs w:val="16"/>
              </w:rPr>
              <w:t>3.506</w:t>
            </w:r>
          </w:p>
        </w:tc>
        <w:tc>
          <w:tcPr>
            <w:tcW w:w="1202" w:type="dxa"/>
            <w:shd w:val="clear" w:color="auto" w:fill="auto"/>
            <w:vAlign w:val="bottom"/>
          </w:tcPr>
          <w:p w14:paraId="204B017C" w14:textId="7FC81E7B" w:rsidR="00C07D83" w:rsidRPr="00C07D83" w:rsidRDefault="00C07D83">
            <w:pPr>
              <w:spacing w:after="160" w:line="259" w:lineRule="auto"/>
              <w:jc w:val="right"/>
              <w:rPr>
                <w:rFonts w:ascii="Arial" w:eastAsia="Calibri" w:hAnsi="Arial" w:cs="Arial"/>
                <w:b/>
                <w:color w:val="000000"/>
                <w:sz w:val="16"/>
                <w:szCs w:val="16"/>
              </w:rPr>
            </w:pPr>
            <w:r w:rsidRPr="00C07D83">
              <w:rPr>
                <w:rFonts w:ascii="Arial" w:eastAsia="Calibri" w:hAnsi="Arial" w:cs="Arial"/>
                <w:b/>
                <w:color w:val="000000"/>
                <w:sz w:val="16"/>
                <w:szCs w:val="16"/>
              </w:rPr>
              <w:t>44.764</w:t>
            </w:r>
          </w:p>
        </w:tc>
        <w:tc>
          <w:tcPr>
            <w:tcW w:w="1201" w:type="dxa"/>
            <w:vAlign w:val="bottom"/>
          </w:tcPr>
          <w:p w14:paraId="7884B45B" w14:textId="3F31AA2D" w:rsidR="00C07D83" w:rsidRPr="00C07D83" w:rsidRDefault="00FB62CD">
            <w:pPr>
              <w:spacing w:after="160" w:line="259" w:lineRule="auto"/>
              <w:jc w:val="right"/>
              <w:rPr>
                <w:rFonts w:ascii="Arial" w:eastAsia="Calibri" w:hAnsi="Arial" w:cs="Arial"/>
                <w:b/>
                <w:color w:val="000000"/>
                <w:sz w:val="16"/>
                <w:szCs w:val="16"/>
              </w:rPr>
            </w:pPr>
            <w:r>
              <w:rPr>
                <w:rFonts w:ascii="Arial" w:eastAsia="Calibri" w:hAnsi="Arial" w:cs="Arial"/>
                <w:b/>
                <w:color w:val="000000"/>
                <w:sz w:val="16"/>
                <w:szCs w:val="16"/>
              </w:rPr>
              <w:t>-</w:t>
            </w:r>
          </w:p>
        </w:tc>
        <w:tc>
          <w:tcPr>
            <w:tcW w:w="1422" w:type="dxa"/>
            <w:vAlign w:val="bottom"/>
          </w:tcPr>
          <w:p w14:paraId="1607FDBF" w14:textId="1289ED5B" w:rsidR="00C07D83" w:rsidRPr="00C07D83" w:rsidRDefault="00C07D83">
            <w:pPr>
              <w:spacing w:after="160" w:line="259" w:lineRule="auto"/>
              <w:jc w:val="right"/>
              <w:rPr>
                <w:rFonts w:ascii="Arial" w:eastAsia="Calibri" w:hAnsi="Arial" w:cs="Arial"/>
                <w:b/>
                <w:color w:val="000000"/>
                <w:sz w:val="16"/>
                <w:szCs w:val="16"/>
              </w:rPr>
            </w:pPr>
            <w:r w:rsidRPr="00C07D83">
              <w:rPr>
                <w:rFonts w:ascii="Arial" w:eastAsia="Calibri" w:hAnsi="Arial" w:cs="Arial"/>
                <w:b/>
                <w:color w:val="000000"/>
                <w:sz w:val="16"/>
                <w:szCs w:val="16"/>
              </w:rPr>
              <w:t>41.224</w:t>
            </w:r>
          </w:p>
        </w:tc>
        <w:tc>
          <w:tcPr>
            <w:tcW w:w="1268" w:type="dxa"/>
            <w:vAlign w:val="bottom"/>
          </w:tcPr>
          <w:p w14:paraId="4B9E5770" w14:textId="50637228" w:rsidR="00C07D83" w:rsidRPr="00C07D83" w:rsidRDefault="00C07D83">
            <w:pPr>
              <w:spacing w:after="160" w:line="259" w:lineRule="auto"/>
              <w:jc w:val="right"/>
              <w:rPr>
                <w:rFonts w:ascii="Arial" w:eastAsia="Calibri" w:hAnsi="Arial" w:cs="Arial"/>
                <w:b/>
                <w:color w:val="000000"/>
                <w:sz w:val="16"/>
                <w:szCs w:val="16"/>
              </w:rPr>
            </w:pPr>
            <w:r w:rsidRPr="00C07D83">
              <w:rPr>
                <w:rFonts w:ascii="Arial" w:eastAsia="Calibri" w:hAnsi="Arial" w:cs="Arial"/>
                <w:b/>
                <w:color w:val="000000"/>
                <w:sz w:val="16"/>
                <w:szCs w:val="16"/>
              </w:rPr>
              <w:t>7.472</w:t>
            </w:r>
          </w:p>
        </w:tc>
      </w:tr>
    </w:tbl>
    <w:p w14:paraId="075EEE29" w14:textId="086A4D8E" w:rsidR="00A06BE9" w:rsidRPr="00701F32" w:rsidRDefault="00A06BE9" w:rsidP="00A06BE9">
      <w:pPr>
        <w:tabs>
          <w:tab w:val="left" w:pos="142"/>
        </w:tabs>
        <w:spacing w:after="160" w:line="259" w:lineRule="auto"/>
        <w:jc w:val="both"/>
        <w:rPr>
          <w:rFonts w:ascii="Arial" w:eastAsia="Calibri" w:hAnsi="Arial" w:cs="Arial"/>
          <w:color w:val="000000"/>
          <w:sz w:val="16"/>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349"/>
        <w:gridCol w:w="1073"/>
        <w:gridCol w:w="1073"/>
        <w:gridCol w:w="1208"/>
        <w:gridCol w:w="1342"/>
        <w:gridCol w:w="1389"/>
        <w:gridCol w:w="1275"/>
      </w:tblGrid>
      <w:tr w:rsidR="00F53550" w:rsidRPr="00701F32" w14:paraId="7305DA2B" w14:textId="77777777" w:rsidTr="00C43BF8">
        <w:trPr>
          <w:trHeight w:val="431"/>
          <w:tblHeader/>
        </w:trPr>
        <w:tc>
          <w:tcPr>
            <w:tcW w:w="2349" w:type="dxa"/>
            <w:vMerge w:val="restart"/>
            <w:shd w:val="clear" w:color="auto" w:fill="auto"/>
            <w:vAlign w:val="center"/>
            <w:hideMark/>
          </w:tcPr>
          <w:p w14:paraId="5FE35988" w14:textId="77777777" w:rsidR="00F53550" w:rsidRPr="00701F32" w:rsidRDefault="00F53550" w:rsidP="00AD40A3">
            <w:pPr>
              <w:tabs>
                <w:tab w:val="left" w:pos="142"/>
              </w:tabs>
              <w:jc w:val="center"/>
              <w:rPr>
                <w:rFonts w:ascii="Arial" w:hAnsi="Arial" w:cs="Arial"/>
                <w:b/>
                <w:color w:val="000000" w:themeColor="text1"/>
                <w:sz w:val="16"/>
                <w:szCs w:val="16"/>
                <w:lang w:eastAsia="es-AR"/>
              </w:rPr>
            </w:pPr>
            <w:r w:rsidRPr="00701F32">
              <w:rPr>
                <w:rFonts w:ascii="Arial" w:hAnsi="Arial" w:cs="Arial"/>
                <w:b/>
                <w:color w:val="000000" w:themeColor="text1"/>
                <w:sz w:val="16"/>
                <w:szCs w:val="16"/>
                <w:lang w:eastAsia="es-AR"/>
              </w:rPr>
              <w:t>Sociedades</w:t>
            </w:r>
          </w:p>
        </w:tc>
        <w:tc>
          <w:tcPr>
            <w:tcW w:w="7360" w:type="dxa"/>
            <w:gridSpan w:val="6"/>
            <w:vAlign w:val="center"/>
          </w:tcPr>
          <w:p w14:paraId="2FEEB0EA" w14:textId="217DE47C" w:rsidR="00F53550" w:rsidRPr="00701F32" w:rsidRDefault="009C5DAE" w:rsidP="009C5DAE">
            <w:pPr>
              <w:jc w:val="center"/>
              <w:rPr>
                <w:rFonts w:ascii="Arial" w:hAnsi="Arial" w:cs="Arial"/>
                <w:b/>
                <w:color w:val="000000" w:themeColor="text1"/>
                <w:sz w:val="16"/>
                <w:szCs w:val="16"/>
              </w:rPr>
            </w:pPr>
            <w:r>
              <w:rPr>
                <w:rFonts w:ascii="Arial" w:hAnsi="Arial" w:cs="Arial"/>
                <w:b/>
                <w:color w:val="000000" w:themeColor="text1"/>
                <w:sz w:val="16"/>
                <w:szCs w:val="16"/>
              </w:rPr>
              <w:t>3</w:t>
            </w:r>
            <w:r w:rsidR="002903C7">
              <w:rPr>
                <w:rFonts w:ascii="Arial" w:hAnsi="Arial" w:cs="Arial"/>
                <w:b/>
                <w:color w:val="000000" w:themeColor="text1"/>
                <w:sz w:val="16"/>
                <w:szCs w:val="16"/>
              </w:rPr>
              <w:t>1</w:t>
            </w:r>
            <w:r w:rsidR="00F53550" w:rsidRPr="00701F32">
              <w:rPr>
                <w:rFonts w:ascii="Arial" w:hAnsi="Arial" w:cs="Arial"/>
                <w:b/>
                <w:color w:val="000000" w:themeColor="text1"/>
                <w:sz w:val="16"/>
                <w:szCs w:val="16"/>
              </w:rPr>
              <w:t>/</w:t>
            </w:r>
            <w:r w:rsidR="00A50BF1">
              <w:rPr>
                <w:rFonts w:ascii="Arial" w:hAnsi="Arial" w:cs="Arial"/>
                <w:b/>
                <w:color w:val="000000" w:themeColor="text1"/>
                <w:sz w:val="16"/>
                <w:szCs w:val="16"/>
              </w:rPr>
              <w:t>0</w:t>
            </w:r>
            <w:r w:rsidR="002903C7">
              <w:rPr>
                <w:rFonts w:ascii="Arial" w:hAnsi="Arial" w:cs="Arial"/>
                <w:b/>
                <w:color w:val="000000" w:themeColor="text1"/>
                <w:sz w:val="16"/>
                <w:szCs w:val="16"/>
              </w:rPr>
              <w:t>3</w:t>
            </w:r>
            <w:r w:rsidR="00F53550" w:rsidRPr="00701F32">
              <w:rPr>
                <w:rFonts w:ascii="Arial" w:hAnsi="Arial" w:cs="Arial"/>
                <w:b/>
                <w:color w:val="000000" w:themeColor="text1"/>
                <w:sz w:val="16"/>
                <w:szCs w:val="16"/>
              </w:rPr>
              <w:t>/201</w:t>
            </w:r>
            <w:r w:rsidR="002903C7">
              <w:rPr>
                <w:rFonts w:ascii="Arial" w:hAnsi="Arial" w:cs="Arial"/>
                <w:b/>
                <w:color w:val="000000" w:themeColor="text1"/>
                <w:sz w:val="16"/>
                <w:szCs w:val="16"/>
              </w:rPr>
              <w:t>9</w:t>
            </w:r>
          </w:p>
        </w:tc>
      </w:tr>
      <w:tr w:rsidR="008D5AB2" w:rsidRPr="00701F32" w14:paraId="31A50AD1" w14:textId="77777777" w:rsidTr="0032673A">
        <w:trPr>
          <w:trHeight w:val="796"/>
          <w:tblHeader/>
        </w:trPr>
        <w:tc>
          <w:tcPr>
            <w:tcW w:w="2349" w:type="dxa"/>
            <w:vMerge/>
            <w:shd w:val="clear" w:color="auto" w:fill="auto"/>
            <w:vAlign w:val="center"/>
            <w:hideMark/>
          </w:tcPr>
          <w:p w14:paraId="428FA9AB" w14:textId="77777777" w:rsidR="00DD7075" w:rsidRPr="00701F32" w:rsidRDefault="00DD7075" w:rsidP="00AD40A3">
            <w:pPr>
              <w:tabs>
                <w:tab w:val="left" w:pos="142"/>
              </w:tabs>
              <w:jc w:val="center"/>
              <w:rPr>
                <w:rFonts w:ascii="Arial" w:hAnsi="Arial" w:cs="Arial"/>
                <w:color w:val="000000" w:themeColor="text1"/>
                <w:sz w:val="16"/>
                <w:szCs w:val="16"/>
                <w:lang w:eastAsia="es-AR"/>
              </w:rPr>
            </w:pPr>
          </w:p>
        </w:tc>
        <w:tc>
          <w:tcPr>
            <w:tcW w:w="1073" w:type="dxa"/>
            <w:vAlign w:val="center"/>
          </w:tcPr>
          <w:p w14:paraId="1C6CDD50" w14:textId="77777777" w:rsidR="00DD7075" w:rsidRPr="00701F32" w:rsidRDefault="00DD7075" w:rsidP="00AD40A3">
            <w:pPr>
              <w:jc w:val="center"/>
              <w:rPr>
                <w:rFonts w:ascii="Arial" w:hAnsi="Arial" w:cs="Arial"/>
                <w:b/>
                <w:color w:val="000000" w:themeColor="text1"/>
                <w:sz w:val="16"/>
                <w:szCs w:val="16"/>
              </w:rPr>
            </w:pPr>
            <w:r w:rsidRPr="00701F32">
              <w:rPr>
                <w:rFonts w:ascii="Arial" w:hAnsi="Arial" w:cs="Arial"/>
                <w:b/>
                <w:color w:val="000000" w:themeColor="text1"/>
                <w:sz w:val="16"/>
                <w:szCs w:val="16"/>
              </w:rPr>
              <w:t>Ingresos por Intereses</w:t>
            </w:r>
          </w:p>
        </w:tc>
        <w:tc>
          <w:tcPr>
            <w:tcW w:w="1073" w:type="dxa"/>
            <w:vAlign w:val="center"/>
          </w:tcPr>
          <w:p w14:paraId="177317E3" w14:textId="77777777" w:rsidR="00DD7075" w:rsidRPr="00701F32" w:rsidRDefault="00DD7075" w:rsidP="00AD40A3">
            <w:pPr>
              <w:jc w:val="center"/>
              <w:rPr>
                <w:rFonts w:ascii="Arial" w:hAnsi="Arial" w:cs="Arial"/>
                <w:b/>
                <w:color w:val="000000" w:themeColor="text1"/>
                <w:sz w:val="16"/>
                <w:szCs w:val="16"/>
              </w:rPr>
            </w:pPr>
            <w:r w:rsidRPr="00701F32">
              <w:rPr>
                <w:rFonts w:ascii="Arial" w:hAnsi="Arial" w:cs="Arial"/>
                <w:b/>
                <w:color w:val="000000" w:themeColor="text1"/>
                <w:sz w:val="16"/>
                <w:szCs w:val="16"/>
              </w:rPr>
              <w:t>Egresos por intereses</w:t>
            </w:r>
          </w:p>
        </w:tc>
        <w:tc>
          <w:tcPr>
            <w:tcW w:w="1208" w:type="dxa"/>
            <w:shd w:val="clear" w:color="auto" w:fill="auto"/>
            <w:vAlign w:val="center"/>
          </w:tcPr>
          <w:p w14:paraId="3568206E" w14:textId="77777777" w:rsidR="00DD7075" w:rsidRPr="00701F32" w:rsidRDefault="00DD7075" w:rsidP="00AD40A3">
            <w:pPr>
              <w:jc w:val="center"/>
              <w:rPr>
                <w:rFonts w:ascii="Arial" w:hAnsi="Arial" w:cs="Arial"/>
                <w:b/>
                <w:color w:val="000000" w:themeColor="text1"/>
                <w:sz w:val="16"/>
                <w:szCs w:val="16"/>
              </w:rPr>
            </w:pPr>
            <w:r w:rsidRPr="00701F32">
              <w:rPr>
                <w:rFonts w:ascii="Arial" w:hAnsi="Arial" w:cs="Arial"/>
                <w:b/>
                <w:color w:val="000000" w:themeColor="text1"/>
                <w:sz w:val="16"/>
                <w:szCs w:val="16"/>
              </w:rPr>
              <w:t>Ingresos por Comisiones</w:t>
            </w:r>
          </w:p>
        </w:tc>
        <w:tc>
          <w:tcPr>
            <w:tcW w:w="1342" w:type="dxa"/>
            <w:vAlign w:val="center"/>
          </w:tcPr>
          <w:p w14:paraId="76B0E1F1" w14:textId="77777777" w:rsidR="00DD7075" w:rsidRPr="00701F32" w:rsidRDefault="00DD7075" w:rsidP="00AD40A3">
            <w:pPr>
              <w:jc w:val="center"/>
              <w:rPr>
                <w:rFonts w:ascii="Arial" w:hAnsi="Arial" w:cs="Arial"/>
                <w:b/>
                <w:color w:val="000000" w:themeColor="text1"/>
                <w:sz w:val="16"/>
                <w:szCs w:val="16"/>
              </w:rPr>
            </w:pPr>
            <w:r w:rsidRPr="00701F32">
              <w:rPr>
                <w:rFonts w:ascii="Arial" w:hAnsi="Arial" w:cs="Arial"/>
                <w:b/>
                <w:color w:val="000000" w:themeColor="text1"/>
                <w:sz w:val="16"/>
                <w:szCs w:val="16"/>
              </w:rPr>
              <w:t>Egresos por Comisiones</w:t>
            </w:r>
          </w:p>
        </w:tc>
        <w:tc>
          <w:tcPr>
            <w:tcW w:w="1389" w:type="dxa"/>
            <w:vAlign w:val="center"/>
          </w:tcPr>
          <w:p w14:paraId="7AD8CD6A" w14:textId="77777777" w:rsidR="00DD7075" w:rsidRPr="00701F32" w:rsidRDefault="00DD7075" w:rsidP="00AD40A3">
            <w:pPr>
              <w:jc w:val="center"/>
              <w:rPr>
                <w:rFonts w:ascii="Arial" w:hAnsi="Arial" w:cs="Arial"/>
                <w:b/>
                <w:color w:val="000000" w:themeColor="text1"/>
                <w:sz w:val="16"/>
                <w:szCs w:val="16"/>
              </w:rPr>
            </w:pPr>
            <w:r w:rsidRPr="00701F32">
              <w:rPr>
                <w:rFonts w:ascii="Arial" w:hAnsi="Arial" w:cs="Arial"/>
                <w:b/>
                <w:color w:val="000000" w:themeColor="text1"/>
                <w:sz w:val="16"/>
                <w:szCs w:val="16"/>
              </w:rPr>
              <w:t>Gastos de Administración</w:t>
            </w:r>
          </w:p>
        </w:tc>
        <w:tc>
          <w:tcPr>
            <w:tcW w:w="1275" w:type="dxa"/>
            <w:vAlign w:val="center"/>
          </w:tcPr>
          <w:p w14:paraId="6A4D46E1" w14:textId="77777777" w:rsidR="00DD7075" w:rsidRPr="00701F32" w:rsidRDefault="00DD7075" w:rsidP="00AD40A3">
            <w:pPr>
              <w:jc w:val="center"/>
              <w:rPr>
                <w:rFonts w:ascii="Arial" w:hAnsi="Arial" w:cs="Arial"/>
                <w:b/>
                <w:color w:val="000000" w:themeColor="text1"/>
                <w:sz w:val="16"/>
                <w:szCs w:val="16"/>
              </w:rPr>
            </w:pPr>
            <w:r w:rsidRPr="00701F32">
              <w:rPr>
                <w:rFonts w:ascii="Arial" w:hAnsi="Arial" w:cs="Arial"/>
                <w:b/>
                <w:color w:val="000000" w:themeColor="text1"/>
                <w:sz w:val="16"/>
                <w:szCs w:val="16"/>
              </w:rPr>
              <w:t>Otros Ingresos Operativos</w:t>
            </w:r>
          </w:p>
        </w:tc>
      </w:tr>
      <w:tr w:rsidR="0032673A" w:rsidRPr="00701F32" w14:paraId="65B5FB30" w14:textId="77777777" w:rsidTr="0032673A">
        <w:trPr>
          <w:trHeight w:val="431"/>
        </w:trPr>
        <w:tc>
          <w:tcPr>
            <w:tcW w:w="2349" w:type="dxa"/>
            <w:shd w:val="clear" w:color="auto" w:fill="auto"/>
            <w:vAlign w:val="center"/>
            <w:hideMark/>
          </w:tcPr>
          <w:p w14:paraId="0494CF42" w14:textId="77777777" w:rsidR="0032673A" w:rsidRPr="00701F32" w:rsidRDefault="0032673A" w:rsidP="0032673A">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Sofital S.A.F. e I.I.</w:t>
            </w:r>
          </w:p>
        </w:tc>
        <w:tc>
          <w:tcPr>
            <w:tcW w:w="1073" w:type="dxa"/>
            <w:vAlign w:val="bottom"/>
          </w:tcPr>
          <w:p w14:paraId="5BDFC176" w14:textId="0F3A0A93"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073" w:type="dxa"/>
            <w:vAlign w:val="bottom"/>
          </w:tcPr>
          <w:p w14:paraId="320DA555" w14:textId="098F9DC4"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08" w:type="dxa"/>
            <w:shd w:val="clear" w:color="auto" w:fill="auto"/>
            <w:vAlign w:val="bottom"/>
          </w:tcPr>
          <w:p w14:paraId="508C8312" w14:textId="2E3E324B"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12</w:t>
            </w:r>
          </w:p>
        </w:tc>
        <w:tc>
          <w:tcPr>
            <w:tcW w:w="1342" w:type="dxa"/>
            <w:vAlign w:val="bottom"/>
          </w:tcPr>
          <w:p w14:paraId="398D3789" w14:textId="626DC366"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79984F1E" w14:textId="284226F5"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75" w:type="dxa"/>
            <w:vAlign w:val="bottom"/>
          </w:tcPr>
          <w:p w14:paraId="6320359F" w14:textId="019A4ECF"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r>
      <w:tr w:rsidR="0032673A" w:rsidRPr="00701F32" w14:paraId="321ADC31" w14:textId="77777777" w:rsidTr="0032673A">
        <w:trPr>
          <w:trHeight w:val="431"/>
        </w:trPr>
        <w:tc>
          <w:tcPr>
            <w:tcW w:w="2349" w:type="dxa"/>
            <w:shd w:val="clear" w:color="auto" w:fill="auto"/>
            <w:vAlign w:val="center"/>
            <w:hideMark/>
          </w:tcPr>
          <w:p w14:paraId="117245E5" w14:textId="77777777" w:rsidR="0032673A" w:rsidRPr="00701F32" w:rsidRDefault="0032673A" w:rsidP="0032673A">
            <w:pPr>
              <w:rPr>
                <w:rFonts w:ascii="Arial" w:hAnsi="Arial" w:cs="Arial"/>
                <w:color w:val="000000" w:themeColor="text1"/>
                <w:sz w:val="16"/>
                <w:szCs w:val="16"/>
              </w:rPr>
            </w:pPr>
            <w:r w:rsidRPr="00701F32">
              <w:rPr>
                <w:rFonts w:ascii="Arial" w:hAnsi="Arial" w:cs="Arial"/>
                <w:color w:val="000000" w:themeColor="text1"/>
                <w:sz w:val="16"/>
                <w:szCs w:val="16"/>
              </w:rPr>
              <w:t>Espacio Cordial S.A.</w:t>
            </w:r>
          </w:p>
        </w:tc>
        <w:tc>
          <w:tcPr>
            <w:tcW w:w="1073" w:type="dxa"/>
            <w:vAlign w:val="bottom"/>
          </w:tcPr>
          <w:p w14:paraId="67F0136B" w14:textId="64E8780D"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073" w:type="dxa"/>
            <w:vAlign w:val="bottom"/>
          </w:tcPr>
          <w:p w14:paraId="0025D6AD" w14:textId="68A69675"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08" w:type="dxa"/>
            <w:shd w:val="clear" w:color="auto" w:fill="auto"/>
            <w:vAlign w:val="bottom"/>
          </w:tcPr>
          <w:p w14:paraId="46A9666A" w14:textId="456F5960"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62</w:t>
            </w:r>
          </w:p>
        </w:tc>
        <w:tc>
          <w:tcPr>
            <w:tcW w:w="1342" w:type="dxa"/>
            <w:vAlign w:val="bottom"/>
          </w:tcPr>
          <w:p w14:paraId="6BCAD9DB" w14:textId="74A61DAA"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60149D9E" w14:textId="22BA7F95"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75" w:type="dxa"/>
            <w:vAlign w:val="bottom"/>
          </w:tcPr>
          <w:p w14:paraId="11EFA85E" w14:textId="23E1FDEF"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67</w:t>
            </w:r>
          </w:p>
        </w:tc>
      </w:tr>
      <w:tr w:rsidR="0032673A" w:rsidRPr="00701F32" w14:paraId="2BDB754E" w14:textId="77777777" w:rsidTr="0032673A">
        <w:trPr>
          <w:trHeight w:val="431"/>
        </w:trPr>
        <w:tc>
          <w:tcPr>
            <w:tcW w:w="2349" w:type="dxa"/>
            <w:shd w:val="clear" w:color="auto" w:fill="auto"/>
            <w:vAlign w:val="center"/>
          </w:tcPr>
          <w:p w14:paraId="4B7E0690" w14:textId="77777777" w:rsidR="0032673A" w:rsidRPr="00701F32" w:rsidRDefault="0032673A" w:rsidP="0032673A">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rPr>
              <w:t>Supervielle Seguros S.A.</w:t>
            </w:r>
          </w:p>
        </w:tc>
        <w:tc>
          <w:tcPr>
            <w:tcW w:w="1073" w:type="dxa"/>
            <w:vAlign w:val="bottom"/>
          </w:tcPr>
          <w:p w14:paraId="3CCE9615" w14:textId="0860F207"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073" w:type="dxa"/>
            <w:vAlign w:val="bottom"/>
          </w:tcPr>
          <w:p w14:paraId="5C608050" w14:textId="59CB9068"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08" w:type="dxa"/>
            <w:shd w:val="clear" w:color="auto" w:fill="auto"/>
            <w:vAlign w:val="bottom"/>
          </w:tcPr>
          <w:p w14:paraId="7D277159" w14:textId="7851852D"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66.697</w:t>
            </w:r>
          </w:p>
        </w:tc>
        <w:tc>
          <w:tcPr>
            <w:tcW w:w="1342" w:type="dxa"/>
            <w:vAlign w:val="bottom"/>
          </w:tcPr>
          <w:p w14:paraId="6D345FEF" w14:textId="08F20065"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0D5156BA" w14:textId="3E059064"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1.859</w:t>
            </w:r>
          </w:p>
        </w:tc>
        <w:tc>
          <w:tcPr>
            <w:tcW w:w="1275" w:type="dxa"/>
            <w:vAlign w:val="bottom"/>
          </w:tcPr>
          <w:p w14:paraId="0478DDA3" w14:textId="76810F50"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3.265</w:t>
            </w:r>
          </w:p>
        </w:tc>
      </w:tr>
      <w:tr w:rsidR="0032673A" w:rsidRPr="00701F32" w14:paraId="11FDB768" w14:textId="77777777" w:rsidTr="0032673A">
        <w:trPr>
          <w:trHeight w:val="431"/>
        </w:trPr>
        <w:tc>
          <w:tcPr>
            <w:tcW w:w="2349" w:type="dxa"/>
            <w:shd w:val="clear" w:color="auto" w:fill="auto"/>
            <w:vAlign w:val="center"/>
            <w:hideMark/>
          </w:tcPr>
          <w:p w14:paraId="1D3008EE" w14:textId="0309A34A" w:rsidR="0032673A" w:rsidRPr="00701F32" w:rsidRDefault="0032673A" w:rsidP="0032673A">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Tarjeta Automática S.A.</w:t>
            </w:r>
          </w:p>
        </w:tc>
        <w:tc>
          <w:tcPr>
            <w:tcW w:w="1073" w:type="dxa"/>
            <w:vAlign w:val="bottom"/>
          </w:tcPr>
          <w:p w14:paraId="56D352E6" w14:textId="503558BD"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73</w:t>
            </w:r>
          </w:p>
        </w:tc>
        <w:tc>
          <w:tcPr>
            <w:tcW w:w="1073" w:type="dxa"/>
            <w:vAlign w:val="bottom"/>
          </w:tcPr>
          <w:p w14:paraId="0420237D" w14:textId="2D268112"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08" w:type="dxa"/>
            <w:shd w:val="clear" w:color="auto" w:fill="auto"/>
            <w:vAlign w:val="bottom"/>
          </w:tcPr>
          <w:p w14:paraId="5FFE3565" w14:textId="180CE478"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246</w:t>
            </w:r>
          </w:p>
        </w:tc>
        <w:tc>
          <w:tcPr>
            <w:tcW w:w="1342" w:type="dxa"/>
            <w:vAlign w:val="bottom"/>
          </w:tcPr>
          <w:p w14:paraId="36534C5E" w14:textId="48DE7FCC"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34A58279" w14:textId="63DDF704"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75" w:type="dxa"/>
            <w:vAlign w:val="bottom"/>
          </w:tcPr>
          <w:p w14:paraId="4C8B2B02" w14:textId="54E54DBD"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r>
      <w:tr w:rsidR="0032673A" w:rsidRPr="00701F32" w14:paraId="1F29B4E7" w14:textId="77777777" w:rsidTr="0032673A">
        <w:trPr>
          <w:trHeight w:val="431"/>
        </w:trPr>
        <w:tc>
          <w:tcPr>
            <w:tcW w:w="2349" w:type="dxa"/>
            <w:shd w:val="clear" w:color="auto" w:fill="auto"/>
            <w:vAlign w:val="center"/>
            <w:hideMark/>
          </w:tcPr>
          <w:p w14:paraId="4D71D5CA" w14:textId="61F3D899" w:rsidR="0032673A" w:rsidRPr="00534414" w:rsidRDefault="0032673A" w:rsidP="0032673A">
            <w:pPr>
              <w:tabs>
                <w:tab w:val="left" w:pos="142"/>
              </w:tabs>
              <w:rPr>
                <w:rFonts w:ascii="Arial" w:hAnsi="Arial" w:cs="Arial"/>
                <w:color w:val="000000" w:themeColor="text1"/>
                <w:sz w:val="16"/>
                <w:szCs w:val="16"/>
                <w:lang w:val="en-US" w:eastAsia="es-AR"/>
              </w:rPr>
            </w:pPr>
            <w:r w:rsidRPr="00701F32">
              <w:rPr>
                <w:rFonts w:ascii="Arial" w:hAnsi="Arial" w:cs="Arial"/>
                <w:color w:val="000000" w:themeColor="text1"/>
                <w:sz w:val="16"/>
                <w:szCs w:val="16"/>
                <w:lang w:val="en-US" w:eastAsia="es-AR"/>
              </w:rPr>
              <w:t>Supervielle Asset Management S.A.</w:t>
            </w:r>
          </w:p>
        </w:tc>
        <w:tc>
          <w:tcPr>
            <w:tcW w:w="1073" w:type="dxa"/>
            <w:vAlign w:val="bottom"/>
          </w:tcPr>
          <w:p w14:paraId="23238B63" w14:textId="7BD9D18C"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073" w:type="dxa"/>
            <w:vAlign w:val="bottom"/>
          </w:tcPr>
          <w:p w14:paraId="25A7291C" w14:textId="3E2BCAFF"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08" w:type="dxa"/>
            <w:shd w:val="clear" w:color="auto" w:fill="auto"/>
            <w:vAlign w:val="bottom"/>
          </w:tcPr>
          <w:p w14:paraId="18E0F057" w14:textId="23218F99"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61</w:t>
            </w:r>
          </w:p>
        </w:tc>
        <w:tc>
          <w:tcPr>
            <w:tcW w:w="1342" w:type="dxa"/>
            <w:vAlign w:val="bottom"/>
          </w:tcPr>
          <w:p w14:paraId="0870F2EE" w14:textId="3AF9DB58"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70244636" w14:textId="5A8F9578"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75" w:type="dxa"/>
            <w:vAlign w:val="bottom"/>
          </w:tcPr>
          <w:p w14:paraId="3AA676D6" w14:textId="1E3BF491"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1.047</w:t>
            </w:r>
          </w:p>
        </w:tc>
      </w:tr>
      <w:tr w:rsidR="0032673A" w:rsidRPr="00701F32" w14:paraId="6998CF3B" w14:textId="77777777" w:rsidTr="0032673A">
        <w:trPr>
          <w:trHeight w:val="431"/>
        </w:trPr>
        <w:tc>
          <w:tcPr>
            <w:tcW w:w="2349" w:type="dxa"/>
            <w:shd w:val="clear" w:color="auto" w:fill="auto"/>
            <w:vAlign w:val="center"/>
          </w:tcPr>
          <w:p w14:paraId="37778FE9" w14:textId="1CBE2F15" w:rsidR="0032673A" w:rsidRPr="0023020F" w:rsidRDefault="0032673A" w:rsidP="0032673A">
            <w:pPr>
              <w:tabs>
                <w:tab w:val="left" w:pos="142"/>
              </w:tabs>
              <w:rPr>
                <w:rFonts w:ascii="Arial" w:hAnsi="Arial" w:cs="Arial"/>
                <w:color w:val="000000" w:themeColor="text1"/>
                <w:sz w:val="16"/>
                <w:szCs w:val="16"/>
                <w:lang w:val="en-US" w:eastAsia="es-AR"/>
              </w:rPr>
            </w:pPr>
            <w:r w:rsidRPr="00701F32">
              <w:rPr>
                <w:rFonts w:ascii="Arial" w:eastAsia="Calibri" w:hAnsi="Arial" w:cs="Arial"/>
                <w:color w:val="000000"/>
                <w:sz w:val="16"/>
                <w:lang w:val="en-US" w:eastAsia="es-AR"/>
              </w:rPr>
              <w:lastRenderedPageBreak/>
              <w:t>Invertir OnLine S.A.</w:t>
            </w:r>
            <w:r>
              <w:rPr>
                <w:rFonts w:ascii="Arial" w:eastAsia="Calibri" w:hAnsi="Arial" w:cs="Arial"/>
                <w:color w:val="000000"/>
                <w:sz w:val="16"/>
                <w:lang w:val="en-US" w:eastAsia="es-AR"/>
              </w:rPr>
              <w:t>U.</w:t>
            </w:r>
          </w:p>
        </w:tc>
        <w:tc>
          <w:tcPr>
            <w:tcW w:w="1073" w:type="dxa"/>
            <w:vAlign w:val="bottom"/>
          </w:tcPr>
          <w:p w14:paraId="00D8A01C" w14:textId="7DB682A9"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073" w:type="dxa"/>
            <w:vAlign w:val="bottom"/>
          </w:tcPr>
          <w:p w14:paraId="11830A12" w14:textId="1F6150DE"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33.869</w:t>
            </w:r>
          </w:p>
        </w:tc>
        <w:tc>
          <w:tcPr>
            <w:tcW w:w="1208" w:type="dxa"/>
            <w:shd w:val="clear" w:color="auto" w:fill="auto"/>
            <w:vAlign w:val="bottom"/>
          </w:tcPr>
          <w:p w14:paraId="6B261B58" w14:textId="73681C0D"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442</w:t>
            </w:r>
          </w:p>
        </w:tc>
        <w:tc>
          <w:tcPr>
            <w:tcW w:w="1342" w:type="dxa"/>
            <w:vAlign w:val="bottom"/>
          </w:tcPr>
          <w:p w14:paraId="2FF3FD43" w14:textId="7B9965F2"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3E47BFFE" w14:textId="521E75CD"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75" w:type="dxa"/>
            <w:vAlign w:val="bottom"/>
          </w:tcPr>
          <w:p w14:paraId="619D4624" w14:textId="7D39BA3C"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15</w:t>
            </w:r>
          </w:p>
        </w:tc>
      </w:tr>
      <w:tr w:rsidR="0032673A" w:rsidRPr="00091E81" w14:paraId="17F14412" w14:textId="77777777" w:rsidTr="0032673A">
        <w:trPr>
          <w:trHeight w:val="431"/>
        </w:trPr>
        <w:tc>
          <w:tcPr>
            <w:tcW w:w="2349" w:type="dxa"/>
            <w:shd w:val="clear" w:color="auto" w:fill="auto"/>
            <w:vAlign w:val="center"/>
          </w:tcPr>
          <w:p w14:paraId="763B7611" w14:textId="7B70BBFF" w:rsidR="0032673A" w:rsidRPr="00701F32" w:rsidRDefault="0032673A" w:rsidP="0032673A">
            <w:pPr>
              <w:tabs>
                <w:tab w:val="left" w:pos="142"/>
              </w:tabs>
              <w:rPr>
                <w:rFonts w:ascii="Arial" w:eastAsia="Calibri" w:hAnsi="Arial" w:cs="Arial"/>
                <w:color w:val="000000"/>
                <w:sz w:val="16"/>
                <w:lang w:val="en-US" w:eastAsia="es-AR"/>
              </w:rPr>
            </w:pPr>
            <w:r>
              <w:rPr>
                <w:rFonts w:ascii="Arial" w:eastAsia="Calibri" w:hAnsi="Arial" w:cs="Arial"/>
                <w:color w:val="000000"/>
                <w:sz w:val="16"/>
                <w:lang w:val="en-US" w:eastAsia="es-AR"/>
              </w:rPr>
              <w:t>Invertir OnLine.com Argentina S.A.U.</w:t>
            </w:r>
          </w:p>
        </w:tc>
        <w:tc>
          <w:tcPr>
            <w:tcW w:w="1073" w:type="dxa"/>
            <w:vAlign w:val="bottom"/>
          </w:tcPr>
          <w:p w14:paraId="622D5F49" w14:textId="173808E3"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073" w:type="dxa"/>
            <w:vAlign w:val="bottom"/>
          </w:tcPr>
          <w:p w14:paraId="01AD7021" w14:textId="68174BF4"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08" w:type="dxa"/>
            <w:shd w:val="clear" w:color="auto" w:fill="auto"/>
            <w:vAlign w:val="bottom"/>
          </w:tcPr>
          <w:p w14:paraId="75B35815" w14:textId="6D9FC5DB"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42" w:type="dxa"/>
            <w:vAlign w:val="bottom"/>
          </w:tcPr>
          <w:p w14:paraId="7C472360" w14:textId="6FA08DC8"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5025137C" w14:textId="362B0FF9"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75" w:type="dxa"/>
            <w:vAlign w:val="bottom"/>
          </w:tcPr>
          <w:p w14:paraId="39694E65" w14:textId="6ECB873A"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r>
      <w:tr w:rsidR="0032673A" w:rsidRPr="00091E81" w14:paraId="45927D1A" w14:textId="77777777" w:rsidTr="0032673A">
        <w:trPr>
          <w:trHeight w:val="431"/>
        </w:trPr>
        <w:tc>
          <w:tcPr>
            <w:tcW w:w="2349" w:type="dxa"/>
            <w:shd w:val="clear" w:color="auto" w:fill="auto"/>
            <w:vAlign w:val="center"/>
          </w:tcPr>
          <w:p w14:paraId="65B12CF9" w14:textId="5789DCE6" w:rsidR="0032673A" w:rsidRPr="00701F32" w:rsidRDefault="0032673A" w:rsidP="0032673A">
            <w:pPr>
              <w:tabs>
                <w:tab w:val="left" w:pos="142"/>
              </w:tabs>
              <w:rPr>
                <w:rFonts w:ascii="Arial" w:eastAsia="Calibri" w:hAnsi="Arial" w:cs="Arial"/>
                <w:color w:val="000000"/>
                <w:sz w:val="16"/>
                <w:lang w:val="en-US" w:eastAsia="es-AR"/>
              </w:rPr>
            </w:pPr>
            <w:r>
              <w:rPr>
                <w:rFonts w:ascii="Arial" w:eastAsia="Calibri" w:hAnsi="Arial" w:cs="Arial"/>
                <w:color w:val="000000"/>
                <w:sz w:val="16"/>
                <w:lang w:val="en-US" w:eastAsia="es-AR"/>
              </w:rPr>
              <w:t>Micro Lending S.A.U.</w:t>
            </w:r>
          </w:p>
        </w:tc>
        <w:tc>
          <w:tcPr>
            <w:tcW w:w="1073" w:type="dxa"/>
            <w:vAlign w:val="bottom"/>
          </w:tcPr>
          <w:p w14:paraId="59173954" w14:textId="3C3BAE55"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18.963</w:t>
            </w:r>
          </w:p>
        </w:tc>
        <w:tc>
          <w:tcPr>
            <w:tcW w:w="1073" w:type="dxa"/>
            <w:vAlign w:val="bottom"/>
          </w:tcPr>
          <w:p w14:paraId="6AFF226E" w14:textId="3482F954"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08" w:type="dxa"/>
            <w:shd w:val="clear" w:color="auto" w:fill="auto"/>
            <w:vAlign w:val="bottom"/>
          </w:tcPr>
          <w:p w14:paraId="58D8CAC6" w14:textId="4A447E2D"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42" w:type="dxa"/>
            <w:vAlign w:val="bottom"/>
          </w:tcPr>
          <w:p w14:paraId="0FE7EEAA" w14:textId="38D04D1E"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389" w:type="dxa"/>
            <w:vAlign w:val="bottom"/>
          </w:tcPr>
          <w:p w14:paraId="4FBBB657" w14:textId="6F47571C"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275" w:type="dxa"/>
            <w:vAlign w:val="bottom"/>
          </w:tcPr>
          <w:p w14:paraId="6F4F057D" w14:textId="00CACE34"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61</w:t>
            </w:r>
          </w:p>
        </w:tc>
      </w:tr>
      <w:tr w:rsidR="0032673A" w:rsidRPr="00701F32" w14:paraId="250D82EF" w14:textId="77777777" w:rsidTr="0032673A">
        <w:trPr>
          <w:trHeight w:val="431"/>
        </w:trPr>
        <w:tc>
          <w:tcPr>
            <w:tcW w:w="2349" w:type="dxa"/>
            <w:shd w:val="clear" w:color="auto" w:fill="auto"/>
            <w:vAlign w:val="center"/>
            <w:hideMark/>
          </w:tcPr>
          <w:p w14:paraId="1E0DCE7F" w14:textId="32B62330" w:rsidR="0032673A" w:rsidRPr="00701F32" w:rsidRDefault="0032673A" w:rsidP="0032673A">
            <w:pPr>
              <w:tabs>
                <w:tab w:val="left" w:pos="142"/>
              </w:tabs>
              <w:rPr>
                <w:rFonts w:ascii="Arial" w:hAnsi="Arial" w:cs="Arial"/>
                <w:color w:val="000000" w:themeColor="text1"/>
                <w:sz w:val="16"/>
                <w:szCs w:val="16"/>
                <w:lang w:val="en-US" w:eastAsia="es-AR"/>
              </w:rPr>
            </w:pPr>
            <w:r w:rsidRPr="00701F32">
              <w:rPr>
                <w:rFonts w:ascii="Arial" w:hAnsi="Arial" w:cs="Arial"/>
                <w:color w:val="000000" w:themeColor="text1"/>
                <w:sz w:val="16"/>
                <w:szCs w:val="16"/>
                <w:lang w:eastAsia="es-AR"/>
              </w:rPr>
              <w:t>Grupo Supervielle S.A.</w:t>
            </w:r>
          </w:p>
        </w:tc>
        <w:tc>
          <w:tcPr>
            <w:tcW w:w="1073" w:type="dxa"/>
            <w:vAlign w:val="bottom"/>
          </w:tcPr>
          <w:p w14:paraId="12B7AA0B" w14:textId="7AC3D786" w:rsidR="0032673A" w:rsidRPr="0032673A" w:rsidRDefault="0032673A" w:rsidP="0032673A">
            <w:pPr>
              <w:spacing w:after="160" w:line="259" w:lineRule="auto"/>
              <w:jc w:val="right"/>
              <w:rPr>
                <w:rFonts w:ascii="Arial" w:hAnsi="Arial" w:cs="Arial"/>
                <w:sz w:val="16"/>
                <w:szCs w:val="16"/>
              </w:rPr>
            </w:pPr>
            <w:r>
              <w:rPr>
                <w:rFonts w:ascii="Arial" w:hAnsi="Arial" w:cs="Arial"/>
                <w:sz w:val="16"/>
                <w:szCs w:val="16"/>
              </w:rPr>
              <w:t>-</w:t>
            </w:r>
          </w:p>
        </w:tc>
        <w:tc>
          <w:tcPr>
            <w:tcW w:w="1073" w:type="dxa"/>
            <w:vAlign w:val="bottom"/>
          </w:tcPr>
          <w:p w14:paraId="2B031B8C" w14:textId="0559456F"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4</w:t>
            </w:r>
          </w:p>
        </w:tc>
        <w:tc>
          <w:tcPr>
            <w:tcW w:w="1208" w:type="dxa"/>
            <w:shd w:val="clear" w:color="auto" w:fill="auto"/>
            <w:vAlign w:val="bottom"/>
          </w:tcPr>
          <w:p w14:paraId="3144A280" w14:textId="4CC955DE"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1.270</w:t>
            </w:r>
          </w:p>
        </w:tc>
        <w:tc>
          <w:tcPr>
            <w:tcW w:w="1342" w:type="dxa"/>
            <w:vAlign w:val="bottom"/>
          </w:tcPr>
          <w:p w14:paraId="311ADDC5" w14:textId="62EFF55F"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3.267</w:t>
            </w:r>
          </w:p>
        </w:tc>
        <w:tc>
          <w:tcPr>
            <w:tcW w:w="1389" w:type="dxa"/>
            <w:vAlign w:val="bottom"/>
          </w:tcPr>
          <w:p w14:paraId="6EBA9D2A" w14:textId="2AA5218B"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28.134</w:t>
            </w:r>
          </w:p>
        </w:tc>
        <w:tc>
          <w:tcPr>
            <w:tcW w:w="1275" w:type="dxa"/>
            <w:vAlign w:val="bottom"/>
          </w:tcPr>
          <w:p w14:paraId="082C42DB" w14:textId="1C0497C8" w:rsidR="0032673A" w:rsidRPr="0032673A" w:rsidRDefault="0032673A" w:rsidP="0032673A">
            <w:pPr>
              <w:spacing w:after="160" w:line="259" w:lineRule="auto"/>
              <w:jc w:val="right"/>
              <w:rPr>
                <w:rFonts w:ascii="Arial" w:hAnsi="Arial" w:cs="Arial"/>
                <w:sz w:val="16"/>
                <w:szCs w:val="16"/>
              </w:rPr>
            </w:pPr>
            <w:r w:rsidRPr="0032673A">
              <w:rPr>
                <w:rFonts w:ascii="Arial" w:hAnsi="Arial" w:cs="Arial"/>
                <w:sz w:val="16"/>
                <w:szCs w:val="16"/>
              </w:rPr>
              <w:t>960</w:t>
            </w:r>
          </w:p>
        </w:tc>
      </w:tr>
      <w:tr w:rsidR="0032673A" w:rsidRPr="00701F32" w14:paraId="014A91AB" w14:textId="77777777" w:rsidTr="0032673A">
        <w:trPr>
          <w:trHeight w:val="431"/>
        </w:trPr>
        <w:tc>
          <w:tcPr>
            <w:tcW w:w="2349" w:type="dxa"/>
            <w:shd w:val="clear" w:color="auto" w:fill="auto"/>
            <w:vAlign w:val="center"/>
            <w:hideMark/>
          </w:tcPr>
          <w:p w14:paraId="4EEB3CCB" w14:textId="6024ABAE" w:rsidR="0032673A" w:rsidRPr="00701F32" w:rsidRDefault="0032673A" w:rsidP="0032673A">
            <w:pPr>
              <w:tabs>
                <w:tab w:val="left" w:pos="142"/>
              </w:tabs>
              <w:rPr>
                <w:rFonts w:ascii="Arial" w:hAnsi="Arial" w:cs="Arial"/>
                <w:color w:val="000000" w:themeColor="text1"/>
                <w:sz w:val="16"/>
                <w:szCs w:val="16"/>
                <w:lang w:val="es-ES_tradnl" w:eastAsia="es-AR"/>
              </w:rPr>
            </w:pPr>
            <w:r w:rsidRPr="00701F32">
              <w:rPr>
                <w:rFonts w:ascii="Arial" w:hAnsi="Arial" w:cs="Arial"/>
                <w:b/>
                <w:bCs/>
                <w:color w:val="000000" w:themeColor="text1"/>
                <w:sz w:val="16"/>
                <w:szCs w:val="16"/>
                <w:lang w:eastAsia="es-AR"/>
              </w:rPr>
              <w:t>TOTAL</w:t>
            </w:r>
          </w:p>
        </w:tc>
        <w:tc>
          <w:tcPr>
            <w:tcW w:w="1073" w:type="dxa"/>
            <w:vAlign w:val="center"/>
          </w:tcPr>
          <w:p w14:paraId="318804D9" w14:textId="773F95AA" w:rsidR="0032673A" w:rsidRPr="0032673A" w:rsidRDefault="0032673A" w:rsidP="0032673A">
            <w:pPr>
              <w:spacing w:after="160" w:line="259" w:lineRule="auto"/>
              <w:jc w:val="right"/>
              <w:rPr>
                <w:rFonts w:ascii="Arial" w:hAnsi="Arial" w:cs="Arial"/>
                <w:b/>
                <w:bCs/>
                <w:sz w:val="16"/>
                <w:szCs w:val="16"/>
              </w:rPr>
            </w:pPr>
            <w:r w:rsidRPr="0032673A">
              <w:rPr>
                <w:rFonts w:ascii="Arial" w:hAnsi="Arial" w:cs="Arial"/>
                <w:b/>
                <w:bCs/>
                <w:sz w:val="16"/>
                <w:szCs w:val="16"/>
              </w:rPr>
              <w:t>19.036</w:t>
            </w:r>
          </w:p>
        </w:tc>
        <w:tc>
          <w:tcPr>
            <w:tcW w:w="1073" w:type="dxa"/>
            <w:vAlign w:val="center"/>
          </w:tcPr>
          <w:p w14:paraId="4A2ECF26" w14:textId="1355F493" w:rsidR="0032673A" w:rsidRPr="0032673A" w:rsidRDefault="0032673A" w:rsidP="0032673A">
            <w:pPr>
              <w:spacing w:after="160" w:line="259" w:lineRule="auto"/>
              <w:jc w:val="right"/>
              <w:rPr>
                <w:rFonts w:ascii="Arial" w:hAnsi="Arial" w:cs="Arial"/>
                <w:b/>
                <w:bCs/>
                <w:sz w:val="16"/>
                <w:szCs w:val="16"/>
              </w:rPr>
            </w:pPr>
            <w:r w:rsidRPr="0032673A">
              <w:rPr>
                <w:rFonts w:ascii="Arial" w:hAnsi="Arial" w:cs="Arial"/>
                <w:b/>
                <w:bCs/>
                <w:sz w:val="16"/>
                <w:szCs w:val="16"/>
              </w:rPr>
              <w:t>33.87</w:t>
            </w:r>
            <w:r w:rsidR="00281F4D">
              <w:rPr>
                <w:rFonts w:ascii="Arial" w:hAnsi="Arial" w:cs="Arial"/>
                <w:b/>
                <w:bCs/>
                <w:sz w:val="16"/>
                <w:szCs w:val="16"/>
              </w:rPr>
              <w:t>3</w:t>
            </w:r>
          </w:p>
        </w:tc>
        <w:tc>
          <w:tcPr>
            <w:tcW w:w="1208" w:type="dxa"/>
            <w:shd w:val="clear" w:color="auto" w:fill="auto"/>
            <w:vAlign w:val="center"/>
          </w:tcPr>
          <w:p w14:paraId="00CDC83D" w14:textId="6B33FF5B" w:rsidR="0032673A" w:rsidRPr="0032673A" w:rsidRDefault="0032673A" w:rsidP="0032673A">
            <w:pPr>
              <w:spacing w:after="160" w:line="259" w:lineRule="auto"/>
              <w:jc w:val="right"/>
              <w:rPr>
                <w:rFonts w:ascii="Arial" w:hAnsi="Arial" w:cs="Arial"/>
                <w:b/>
                <w:bCs/>
                <w:sz w:val="16"/>
                <w:szCs w:val="16"/>
              </w:rPr>
            </w:pPr>
            <w:r w:rsidRPr="0032673A">
              <w:rPr>
                <w:rFonts w:ascii="Arial" w:hAnsi="Arial" w:cs="Arial"/>
                <w:b/>
                <w:bCs/>
                <w:sz w:val="16"/>
                <w:szCs w:val="16"/>
              </w:rPr>
              <w:t>68.790</w:t>
            </w:r>
          </w:p>
        </w:tc>
        <w:tc>
          <w:tcPr>
            <w:tcW w:w="1342" w:type="dxa"/>
            <w:vAlign w:val="center"/>
          </w:tcPr>
          <w:p w14:paraId="7187810F" w14:textId="44D8369A" w:rsidR="0032673A" w:rsidRPr="0032673A" w:rsidRDefault="0032673A" w:rsidP="0032673A">
            <w:pPr>
              <w:spacing w:after="160" w:line="259" w:lineRule="auto"/>
              <w:jc w:val="right"/>
              <w:rPr>
                <w:rFonts w:ascii="Arial" w:hAnsi="Arial" w:cs="Arial"/>
                <w:b/>
                <w:bCs/>
                <w:sz w:val="16"/>
                <w:szCs w:val="16"/>
              </w:rPr>
            </w:pPr>
            <w:r w:rsidRPr="0032673A">
              <w:rPr>
                <w:rFonts w:ascii="Arial" w:hAnsi="Arial" w:cs="Arial"/>
                <w:b/>
                <w:bCs/>
                <w:sz w:val="16"/>
                <w:szCs w:val="16"/>
              </w:rPr>
              <w:t>3.267</w:t>
            </w:r>
          </w:p>
        </w:tc>
        <w:tc>
          <w:tcPr>
            <w:tcW w:w="1389" w:type="dxa"/>
            <w:vAlign w:val="center"/>
          </w:tcPr>
          <w:p w14:paraId="766EFF6D" w14:textId="6394792D" w:rsidR="0032673A" w:rsidRPr="0032673A" w:rsidRDefault="0032673A" w:rsidP="0032673A">
            <w:pPr>
              <w:spacing w:after="160" w:line="259" w:lineRule="auto"/>
              <w:jc w:val="right"/>
              <w:rPr>
                <w:rFonts w:ascii="Arial" w:hAnsi="Arial" w:cs="Arial"/>
                <w:b/>
                <w:bCs/>
                <w:sz w:val="16"/>
                <w:szCs w:val="16"/>
              </w:rPr>
            </w:pPr>
            <w:r w:rsidRPr="0032673A">
              <w:rPr>
                <w:rFonts w:ascii="Arial" w:hAnsi="Arial" w:cs="Arial"/>
                <w:b/>
                <w:bCs/>
                <w:sz w:val="16"/>
                <w:szCs w:val="16"/>
              </w:rPr>
              <w:t>29.99</w:t>
            </w:r>
            <w:r w:rsidR="00281F4D">
              <w:rPr>
                <w:rFonts w:ascii="Arial" w:hAnsi="Arial" w:cs="Arial"/>
                <w:b/>
                <w:bCs/>
                <w:sz w:val="16"/>
                <w:szCs w:val="16"/>
              </w:rPr>
              <w:t>3</w:t>
            </w:r>
          </w:p>
        </w:tc>
        <w:tc>
          <w:tcPr>
            <w:tcW w:w="1275" w:type="dxa"/>
            <w:vAlign w:val="center"/>
          </w:tcPr>
          <w:p w14:paraId="1B4A0265" w14:textId="43097B12" w:rsidR="0032673A" w:rsidRPr="0032673A" w:rsidRDefault="0032673A" w:rsidP="0032673A">
            <w:pPr>
              <w:spacing w:after="160" w:line="259" w:lineRule="auto"/>
              <w:jc w:val="right"/>
              <w:rPr>
                <w:rFonts w:ascii="Arial" w:hAnsi="Arial" w:cs="Arial"/>
                <w:b/>
                <w:bCs/>
                <w:sz w:val="16"/>
                <w:szCs w:val="16"/>
              </w:rPr>
            </w:pPr>
            <w:r w:rsidRPr="0032673A">
              <w:rPr>
                <w:rFonts w:ascii="Arial" w:hAnsi="Arial" w:cs="Arial"/>
                <w:b/>
                <w:bCs/>
                <w:sz w:val="16"/>
                <w:szCs w:val="16"/>
              </w:rPr>
              <w:t>5.415</w:t>
            </w:r>
          </w:p>
        </w:tc>
      </w:tr>
    </w:tbl>
    <w:p w14:paraId="455E7BD4" w14:textId="6AAD68C6" w:rsidR="00DC0CC4" w:rsidRDefault="00DC0CC4" w:rsidP="00582EAB">
      <w:pPr>
        <w:tabs>
          <w:tab w:val="left" w:pos="142"/>
        </w:tabs>
        <w:jc w:val="both"/>
        <w:rPr>
          <w:rFonts w:ascii="Arial" w:hAnsi="Arial" w:cs="Arial"/>
          <w:b/>
          <w:sz w:val="20"/>
        </w:rPr>
      </w:pPr>
    </w:p>
    <w:p w14:paraId="199972B6" w14:textId="77777777" w:rsidR="004676BD" w:rsidRDefault="004676BD" w:rsidP="00582EAB">
      <w:pPr>
        <w:tabs>
          <w:tab w:val="left" w:pos="142"/>
        </w:tabs>
        <w:jc w:val="both"/>
        <w:rPr>
          <w:rFonts w:ascii="Arial" w:hAnsi="Arial" w:cs="Arial"/>
          <w:b/>
          <w:sz w:val="20"/>
        </w:rPr>
      </w:pPr>
    </w:p>
    <w:p w14:paraId="49224739" w14:textId="45DCDFF1" w:rsidR="00582EAB" w:rsidRPr="00701F32" w:rsidRDefault="006B5772" w:rsidP="00582EAB">
      <w:pPr>
        <w:tabs>
          <w:tab w:val="left" w:pos="142"/>
        </w:tabs>
        <w:jc w:val="both"/>
        <w:rPr>
          <w:rFonts w:ascii="Arial" w:hAnsi="Arial" w:cs="Arial"/>
          <w:b/>
          <w:sz w:val="20"/>
        </w:rPr>
      </w:pPr>
      <w:r>
        <w:rPr>
          <w:rFonts w:ascii="Arial" w:hAnsi="Arial" w:cs="Arial"/>
          <w:b/>
          <w:sz w:val="20"/>
        </w:rPr>
        <w:t>8</w:t>
      </w:r>
      <w:r w:rsidR="00582EAB" w:rsidRPr="00701F32">
        <w:rPr>
          <w:rFonts w:ascii="Arial" w:hAnsi="Arial" w:cs="Arial"/>
          <w:b/>
          <w:sz w:val="20"/>
        </w:rPr>
        <w:t>. FONDOS COMUNES DE INVERSI</w:t>
      </w:r>
      <w:r>
        <w:rPr>
          <w:rFonts w:ascii="Arial" w:hAnsi="Arial" w:cs="Arial"/>
          <w:b/>
          <w:sz w:val="20"/>
        </w:rPr>
        <w:t>Ó</w:t>
      </w:r>
      <w:r w:rsidR="00582EAB" w:rsidRPr="00701F32">
        <w:rPr>
          <w:rFonts w:ascii="Arial" w:hAnsi="Arial" w:cs="Arial"/>
          <w:b/>
          <w:sz w:val="20"/>
        </w:rPr>
        <w:t>N</w:t>
      </w:r>
    </w:p>
    <w:p w14:paraId="431335EA" w14:textId="77777777" w:rsidR="00582EAB" w:rsidRPr="00701F32" w:rsidRDefault="00582EAB" w:rsidP="00582EAB">
      <w:pPr>
        <w:tabs>
          <w:tab w:val="left" w:pos="142"/>
        </w:tabs>
        <w:jc w:val="both"/>
        <w:rPr>
          <w:rFonts w:ascii="Arial" w:hAnsi="Arial" w:cs="Arial"/>
          <w:b/>
          <w:sz w:val="20"/>
        </w:rPr>
      </w:pPr>
    </w:p>
    <w:p w14:paraId="5308348A" w14:textId="3973F609" w:rsidR="00582EAB" w:rsidRPr="00701F32" w:rsidRDefault="00B74592" w:rsidP="00582EAB">
      <w:pPr>
        <w:tabs>
          <w:tab w:val="left" w:pos="142"/>
        </w:tabs>
        <w:jc w:val="both"/>
        <w:rPr>
          <w:rFonts w:ascii="Arial" w:hAnsi="Arial" w:cs="Arial"/>
          <w:sz w:val="20"/>
        </w:rPr>
      </w:pPr>
      <w:r>
        <w:rPr>
          <w:rFonts w:ascii="Arial" w:hAnsi="Arial" w:cs="Arial"/>
          <w:sz w:val="20"/>
        </w:rPr>
        <w:t>Al 31 de marzo de 2020 y 31 de diciembre de 2019</w:t>
      </w:r>
      <w:r w:rsidR="00582EAB" w:rsidRPr="00701F32">
        <w:rPr>
          <w:rFonts w:ascii="Arial" w:hAnsi="Arial" w:cs="Arial"/>
          <w:sz w:val="20"/>
        </w:rPr>
        <w:t>, Banco Supervielle S.A. es la sociedad depositaria de los Fondos Comunes de Inversión que administra Supervielle Asset Management S.A. De acuerdo a lo requerido por la Resolución General N° 622/13 de la CNV, se detalla a continuación la cartera, patrimonio neto y cantidad de cuotapartes de los fondos comunes de inversión mencionados precedentemente.</w:t>
      </w:r>
    </w:p>
    <w:p w14:paraId="783FEBC0" w14:textId="77777777" w:rsidR="007A20B7" w:rsidRPr="00701F32" w:rsidRDefault="007A20B7" w:rsidP="00582EAB">
      <w:pPr>
        <w:tabs>
          <w:tab w:val="left" w:pos="142"/>
        </w:tabs>
        <w:jc w:val="both"/>
        <w:rPr>
          <w:rFonts w:ascii="Arial" w:hAnsi="Arial" w:cs="Arial"/>
          <w:sz w:val="20"/>
        </w:rPr>
      </w:pPr>
    </w:p>
    <w:tbl>
      <w:tblPr>
        <w:tblW w:w="9451" w:type="dxa"/>
        <w:tblInd w:w="-289" w:type="dxa"/>
        <w:tblLayout w:type="fixed"/>
        <w:tblCellMar>
          <w:left w:w="70" w:type="dxa"/>
          <w:right w:w="70" w:type="dxa"/>
        </w:tblCellMar>
        <w:tblLook w:val="04A0" w:firstRow="1" w:lastRow="0" w:firstColumn="1" w:lastColumn="0" w:noHBand="0" w:noVBand="1"/>
      </w:tblPr>
      <w:tblGrid>
        <w:gridCol w:w="2415"/>
        <w:gridCol w:w="1269"/>
        <w:gridCol w:w="1134"/>
        <w:gridCol w:w="1067"/>
        <w:gridCol w:w="1069"/>
        <w:gridCol w:w="1209"/>
        <w:gridCol w:w="1276"/>
        <w:gridCol w:w="12"/>
      </w:tblGrid>
      <w:tr w:rsidR="006F2033" w:rsidRPr="006F2033" w14:paraId="24CE5317" w14:textId="77777777" w:rsidTr="00066653">
        <w:trPr>
          <w:trHeight w:val="184"/>
          <w:tblHeader/>
        </w:trPr>
        <w:tc>
          <w:tcPr>
            <w:tcW w:w="2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27422B" w14:textId="77777777" w:rsidR="006F2033" w:rsidRPr="00E01808" w:rsidRDefault="006F2033" w:rsidP="006F2033">
            <w:pPr>
              <w:jc w:val="center"/>
              <w:rPr>
                <w:rFonts w:ascii="Arial" w:hAnsi="Arial" w:cs="Arial"/>
                <w:b/>
                <w:bCs/>
                <w:color w:val="000000"/>
                <w:sz w:val="16"/>
                <w:szCs w:val="16"/>
                <w:lang w:eastAsia="es-AR"/>
              </w:rPr>
            </w:pPr>
            <w:bookmarkStart w:id="21" w:name="_Hlk22903087"/>
            <w:r w:rsidRPr="00EC349E">
              <w:rPr>
                <w:rFonts w:ascii="Arial" w:hAnsi="Arial" w:cs="Arial"/>
                <w:b/>
                <w:bCs/>
                <w:color w:val="000000"/>
                <w:sz w:val="16"/>
                <w:szCs w:val="18"/>
                <w:lang w:eastAsia="es-AR"/>
              </w:rPr>
              <w:t>Fondo común de inversión</w:t>
            </w:r>
          </w:p>
        </w:tc>
        <w:tc>
          <w:tcPr>
            <w:tcW w:w="24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224FE0" w14:textId="77777777" w:rsidR="006F2033" w:rsidRPr="00EC349E" w:rsidRDefault="006F2033" w:rsidP="006F2033">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Activo</w:t>
            </w:r>
          </w:p>
        </w:tc>
        <w:tc>
          <w:tcPr>
            <w:tcW w:w="2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5F1F91" w14:textId="77777777" w:rsidR="006F2033" w:rsidRPr="00EC349E" w:rsidRDefault="006F2033" w:rsidP="006F2033">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Patrimonio Neto</w:t>
            </w:r>
          </w:p>
        </w:tc>
        <w:tc>
          <w:tcPr>
            <w:tcW w:w="2497" w:type="dxa"/>
            <w:gridSpan w:val="3"/>
            <w:tcBorders>
              <w:top w:val="single" w:sz="4" w:space="0" w:color="auto"/>
              <w:left w:val="nil"/>
              <w:bottom w:val="single" w:sz="4" w:space="0" w:color="auto"/>
              <w:right w:val="single" w:sz="4" w:space="0" w:color="auto"/>
            </w:tcBorders>
            <w:shd w:val="clear" w:color="auto" w:fill="auto"/>
            <w:noWrap/>
            <w:vAlign w:val="bottom"/>
            <w:hideMark/>
          </w:tcPr>
          <w:p w14:paraId="384AB353" w14:textId="77777777" w:rsidR="006F2033" w:rsidRPr="00EC349E" w:rsidRDefault="006F2033" w:rsidP="006F2033">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Cantidad de Cuotapartes</w:t>
            </w:r>
          </w:p>
        </w:tc>
      </w:tr>
      <w:tr w:rsidR="00B74592" w:rsidRPr="006F2033" w14:paraId="35351588" w14:textId="77777777" w:rsidTr="00B74592">
        <w:trPr>
          <w:gridAfter w:val="1"/>
          <w:wAfter w:w="12" w:type="dxa"/>
          <w:trHeight w:val="184"/>
          <w:tblHeader/>
        </w:trPr>
        <w:tc>
          <w:tcPr>
            <w:tcW w:w="2415" w:type="dxa"/>
            <w:vMerge/>
            <w:tcBorders>
              <w:top w:val="single" w:sz="4" w:space="0" w:color="auto"/>
              <w:left w:val="single" w:sz="4" w:space="0" w:color="auto"/>
              <w:bottom w:val="single" w:sz="4" w:space="0" w:color="auto"/>
              <w:right w:val="single" w:sz="4" w:space="0" w:color="auto"/>
            </w:tcBorders>
            <w:vAlign w:val="center"/>
            <w:hideMark/>
          </w:tcPr>
          <w:p w14:paraId="1A566E54" w14:textId="77777777" w:rsidR="00B74592" w:rsidRPr="00EC349E" w:rsidRDefault="00B74592" w:rsidP="00B74592">
            <w:pPr>
              <w:rPr>
                <w:rFonts w:ascii="Arial" w:hAnsi="Arial" w:cs="Arial"/>
                <w:b/>
                <w:bCs/>
                <w:color w:val="000000"/>
                <w:sz w:val="16"/>
                <w:szCs w:val="18"/>
                <w:lang w:eastAsia="es-AR"/>
              </w:rPr>
            </w:pPr>
          </w:p>
        </w:tc>
        <w:tc>
          <w:tcPr>
            <w:tcW w:w="1269" w:type="dxa"/>
            <w:tcBorders>
              <w:top w:val="nil"/>
              <w:left w:val="nil"/>
              <w:bottom w:val="single" w:sz="4" w:space="0" w:color="auto"/>
              <w:right w:val="single" w:sz="4" w:space="0" w:color="auto"/>
            </w:tcBorders>
            <w:shd w:val="clear" w:color="auto" w:fill="auto"/>
            <w:noWrap/>
            <w:vAlign w:val="bottom"/>
          </w:tcPr>
          <w:p w14:paraId="00D33F3F" w14:textId="4977A703"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31/03/2020</w:t>
            </w:r>
          </w:p>
        </w:tc>
        <w:tc>
          <w:tcPr>
            <w:tcW w:w="1134" w:type="dxa"/>
            <w:tcBorders>
              <w:top w:val="nil"/>
              <w:left w:val="nil"/>
              <w:bottom w:val="single" w:sz="4" w:space="0" w:color="auto"/>
              <w:right w:val="single" w:sz="4" w:space="0" w:color="auto"/>
            </w:tcBorders>
            <w:shd w:val="clear" w:color="auto" w:fill="auto"/>
            <w:noWrap/>
            <w:vAlign w:val="bottom"/>
          </w:tcPr>
          <w:p w14:paraId="432E063D" w14:textId="0E4EF562"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31/12/2019</w:t>
            </w:r>
          </w:p>
        </w:tc>
        <w:tc>
          <w:tcPr>
            <w:tcW w:w="1067" w:type="dxa"/>
            <w:tcBorders>
              <w:top w:val="nil"/>
              <w:left w:val="nil"/>
              <w:bottom w:val="single" w:sz="4" w:space="0" w:color="auto"/>
              <w:right w:val="single" w:sz="4" w:space="0" w:color="auto"/>
            </w:tcBorders>
            <w:shd w:val="clear" w:color="auto" w:fill="auto"/>
            <w:noWrap/>
            <w:vAlign w:val="bottom"/>
          </w:tcPr>
          <w:p w14:paraId="57B22E66" w14:textId="06287B89"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31/03/2020</w:t>
            </w:r>
          </w:p>
        </w:tc>
        <w:tc>
          <w:tcPr>
            <w:tcW w:w="1069" w:type="dxa"/>
            <w:tcBorders>
              <w:top w:val="nil"/>
              <w:left w:val="nil"/>
              <w:bottom w:val="single" w:sz="4" w:space="0" w:color="auto"/>
              <w:right w:val="single" w:sz="4" w:space="0" w:color="auto"/>
            </w:tcBorders>
            <w:shd w:val="clear" w:color="auto" w:fill="auto"/>
            <w:noWrap/>
            <w:vAlign w:val="bottom"/>
          </w:tcPr>
          <w:p w14:paraId="69AAD4FF" w14:textId="5A17DC75"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31/12/2019</w:t>
            </w:r>
          </w:p>
        </w:tc>
        <w:tc>
          <w:tcPr>
            <w:tcW w:w="1209" w:type="dxa"/>
            <w:tcBorders>
              <w:top w:val="nil"/>
              <w:left w:val="nil"/>
              <w:bottom w:val="single" w:sz="4" w:space="0" w:color="auto"/>
              <w:right w:val="single" w:sz="4" w:space="0" w:color="auto"/>
            </w:tcBorders>
            <w:shd w:val="clear" w:color="auto" w:fill="auto"/>
            <w:noWrap/>
            <w:vAlign w:val="bottom"/>
          </w:tcPr>
          <w:p w14:paraId="59BA2196" w14:textId="60715C5A"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31/03/2020</w:t>
            </w:r>
          </w:p>
        </w:tc>
        <w:tc>
          <w:tcPr>
            <w:tcW w:w="1276" w:type="dxa"/>
            <w:tcBorders>
              <w:top w:val="nil"/>
              <w:left w:val="nil"/>
              <w:bottom w:val="single" w:sz="4" w:space="0" w:color="auto"/>
              <w:right w:val="single" w:sz="4" w:space="0" w:color="auto"/>
            </w:tcBorders>
            <w:shd w:val="clear" w:color="auto" w:fill="auto"/>
            <w:noWrap/>
            <w:vAlign w:val="bottom"/>
          </w:tcPr>
          <w:p w14:paraId="54A7675C" w14:textId="77F0DF74" w:rsidR="00B74592" w:rsidRPr="00534414" w:rsidRDefault="00B74592" w:rsidP="00B74592">
            <w:pPr>
              <w:jc w:val="center"/>
              <w:rPr>
                <w:rFonts w:ascii="Arial" w:hAnsi="Arial" w:cs="Arial"/>
                <w:b/>
                <w:sz w:val="16"/>
                <w:szCs w:val="16"/>
              </w:rPr>
            </w:pPr>
            <w:r>
              <w:rPr>
                <w:rFonts w:ascii="Arial" w:hAnsi="Arial" w:cs="Arial"/>
                <w:b/>
                <w:bCs/>
                <w:sz w:val="16"/>
                <w:szCs w:val="16"/>
              </w:rPr>
              <w:t>31/12/2019</w:t>
            </w:r>
          </w:p>
        </w:tc>
      </w:tr>
      <w:tr w:rsidR="003F29CE" w:rsidRPr="006F2033" w14:paraId="75EF56F3"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5087C577"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CP en Pesos</w:t>
            </w:r>
          </w:p>
        </w:tc>
        <w:tc>
          <w:tcPr>
            <w:tcW w:w="1269" w:type="dxa"/>
            <w:tcBorders>
              <w:top w:val="nil"/>
              <w:left w:val="nil"/>
              <w:bottom w:val="single" w:sz="4" w:space="0" w:color="auto"/>
              <w:right w:val="single" w:sz="4" w:space="0" w:color="auto"/>
            </w:tcBorders>
            <w:shd w:val="clear" w:color="auto" w:fill="auto"/>
            <w:noWrap/>
            <w:vAlign w:val="center"/>
          </w:tcPr>
          <w:p w14:paraId="03AF55E1" w14:textId="6EB96185" w:rsidR="003F29CE" w:rsidRPr="002047BA" w:rsidRDefault="003F29CE" w:rsidP="003F29CE">
            <w:pPr>
              <w:jc w:val="right"/>
              <w:rPr>
                <w:rFonts w:ascii="Arial" w:hAnsi="Arial" w:cs="Arial"/>
                <w:sz w:val="16"/>
                <w:szCs w:val="16"/>
                <w:lang w:eastAsia="es-AR"/>
              </w:rPr>
            </w:pPr>
            <w:r>
              <w:rPr>
                <w:rFonts w:ascii="Arial" w:hAnsi="Arial" w:cs="Arial"/>
                <w:sz w:val="16"/>
                <w:szCs w:val="16"/>
              </w:rPr>
              <w:t>19.691.885</w:t>
            </w:r>
          </w:p>
        </w:tc>
        <w:tc>
          <w:tcPr>
            <w:tcW w:w="1134" w:type="dxa"/>
            <w:tcBorders>
              <w:top w:val="nil"/>
              <w:left w:val="nil"/>
              <w:bottom w:val="single" w:sz="4" w:space="0" w:color="auto"/>
              <w:right w:val="single" w:sz="4" w:space="0" w:color="auto"/>
            </w:tcBorders>
            <w:shd w:val="clear" w:color="auto" w:fill="auto"/>
            <w:noWrap/>
            <w:vAlign w:val="center"/>
          </w:tcPr>
          <w:p w14:paraId="787E3E93" w14:textId="7666BF8F"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15.126.348</w:t>
            </w:r>
          </w:p>
        </w:tc>
        <w:tc>
          <w:tcPr>
            <w:tcW w:w="1067" w:type="dxa"/>
            <w:tcBorders>
              <w:top w:val="nil"/>
              <w:left w:val="nil"/>
              <w:bottom w:val="single" w:sz="4" w:space="0" w:color="auto"/>
              <w:right w:val="single" w:sz="4" w:space="0" w:color="auto"/>
            </w:tcBorders>
            <w:shd w:val="clear" w:color="auto" w:fill="auto"/>
            <w:noWrap/>
            <w:vAlign w:val="center"/>
          </w:tcPr>
          <w:p w14:paraId="1E338331" w14:textId="01D7FE9F" w:rsidR="003F29CE" w:rsidRPr="002047BA" w:rsidRDefault="003F29CE" w:rsidP="003F29CE">
            <w:pPr>
              <w:jc w:val="right"/>
              <w:rPr>
                <w:rFonts w:ascii="Arial" w:hAnsi="Arial" w:cs="Arial"/>
                <w:sz w:val="16"/>
                <w:szCs w:val="16"/>
                <w:lang w:eastAsia="es-AR"/>
              </w:rPr>
            </w:pPr>
            <w:r>
              <w:rPr>
                <w:rFonts w:ascii="Arial" w:hAnsi="Arial" w:cs="Arial"/>
                <w:sz w:val="16"/>
                <w:szCs w:val="16"/>
              </w:rPr>
              <w:t>19.661.664</w:t>
            </w:r>
          </w:p>
        </w:tc>
        <w:tc>
          <w:tcPr>
            <w:tcW w:w="1069" w:type="dxa"/>
            <w:tcBorders>
              <w:top w:val="nil"/>
              <w:left w:val="nil"/>
              <w:bottom w:val="single" w:sz="4" w:space="0" w:color="auto"/>
              <w:right w:val="single" w:sz="4" w:space="0" w:color="auto"/>
            </w:tcBorders>
            <w:shd w:val="clear" w:color="auto" w:fill="auto"/>
            <w:noWrap/>
            <w:vAlign w:val="center"/>
          </w:tcPr>
          <w:p w14:paraId="393CB6F5" w14:textId="5ECFC310"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15.103.196</w:t>
            </w:r>
          </w:p>
        </w:tc>
        <w:tc>
          <w:tcPr>
            <w:tcW w:w="1209" w:type="dxa"/>
            <w:tcBorders>
              <w:top w:val="nil"/>
              <w:left w:val="nil"/>
              <w:bottom w:val="single" w:sz="4" w:space="0" w:color="auto"/>
              <w:right w:val="single" w:sz="4" w:space="0" w:color="auto"/>
            </w:tcBorders>
            <w:shd w:val="clear" w:color="auto" w:fill="auto"/>
            <w:noWrap/>
            <w:vAlign w:val="center"/>
          </w:tcPr>
          <w:p w14:paraId="6943ABC5" w14:textId="50B1F59D" w:rsidR="003F29CE" w:rsidRPr="002047BA" w:rsidRDefault="003F29CE" w:rsidP="003F29CE">
            <w:pPr>
              <w:jc w:val="right"/>
              <w:rPr>
                <w:rFonts w:ascii="Arial" w:hAnsi="Arial" w:cs="Arial"/>
                <w:sz w:val="16"/>
                <w:szCs w:val="16"/>
                <w:lang w:eastAsia="es-AR"/>
              </w:rPr>
            </w:pPr>
            <w:r>
              <w:rPr>
                <w:rFonts w:ascii="Arial" w:hAnsi="Arial" w:cs="Arial"/>
                <w:sz w:val="16"/>
                <w:szCs w:val="16"/>
              </w:rPr>
              <w:t>5.210.548.181</w:t>
            </w:r>
          </w:p>
        </w:tc>
        <w:tc>
          <w:tcPr>
            <w:tcW w:w="1276" w:type="dxa"/>
            <w:tcBorders>
              <w:top w:val="nil"/>
              <w:left w:val="nil"/>
              <w:bottom w:val="single" w:sz="4" w:space="0" w:color="auto"/>
              <w:right w:val="single" w:sz="4" w:space="0" w:color="auto"/>
            </w:tcBorders>
            <w:shd w:val="clear" w:color="auto" w:fill="auto"/>
            <w:noWrap/>
            <w:vAlign w:val="center"/>
          </w:tcPr>
          <w:p w14:paraId="64218B71" w14:textId="51F9A204" w:rsidR="003F29CE" w:rsidRPr="00534414" w:rsidRDefault="003F29CE" w:rsidP="003F29CE">
            <w:pPr>
              <w:jc w:val="right"/>
              <w:rPr>
                <w:rFonts w:ascii="Arial" w:hAnsi="Arial" w:cs="Arial"/>
                <w:sz w:val="16"/>
                <w:szCs w:val="16"/>
              </w:rPr>
            </w:pPr>
            <w:r>
              <w:rPr>
                <w:rFonts w:ascii="Arial" w:hAnsi="Arial" w:cs="Arial"/>
                <w:sz w:val="16"/>
                <w:szCs w:val="16"/>
              </w:rPr>
              <w:t>3.958.398.573</w:t>
            </w:r>
          </w:p>
        </w:tc>
      </w:tr>
      <w:tr w:rsidR="003F29CE" w:rsidRPr="006F2033" w14:paraId="7CDECB3C"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79E78D81"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Plus en Pesos</w:t>
            </w:r>
          </w:p>
        </w:tc>
        <w:tc>
          <w:tcPr>
            <w:tcW w:w="1269" w:type="dxa"/>
            <w:tcBorders>
              <w:top w:val="nil"/>
              <w:left w:val="nil"/>
              <w:bottom w:val="single" w:sz="4" w:space="0" w:color="auto"/>
              <w:right w:val="single" w:sz="4" w:space="0" w:color="auto"/>
            </w:tcBorders>
            <w:shd w:val="clear" w:color="auto" w:fill="auto"/>
            <w:noWrap/>
            <w:vAlign w:val="center"/>
          </w:tcPr>
          <w:p w14:paraId="432C76FD" w14:textId="69EE75A0" w:rsidR="003F29CE" w:rsidRPr="002047BA" w:rsidRDefault="003F29CE" w:rsidP="003F29CE">
            <w:pPr>
              <w:jc w:val="right"/>
              <w:rPr>
                <w:rFonts w:ascii="Arial" w:hAnsi="Arial" w:cs="Arial"/>
                <w:sz w:val="16"/>
                <w:szCs w:val="16"/>
                <w:lang w:eastAsia="es-AR"/>
              </w:rPr>
            </w:pPr>
            <w:r>
              <w:rPr>
                <w:rFonts w:ascii="Arial" w:hAnsi="Arial" w:cs="Arial"/>
                <w:sz w:val="16"/>
                <w:szCs w:val="16"/>
              </w:rPr>
              <w:t>129.171</w:t>
            </w:r>
          </w:p>
        </w:tc>
        <w:tc>
          <w:tcPr>
            <w:tcW w:w="1134" w:type="dxa"/>
            <w:tcBorders>
              <w:top w:val="nil"/>
              <w:left w:val="nil"/>
              <w:bottom w:val="single" w:sz="4" w:space="0" w:color="auto"/>
              <w:right w:val="single" w:sz="4" w:space="0" w:color="auto"/>
            </w:tcBorders>
            <w:shd w:val="clear" w:color="auto" w:fill="auto"/>
            <w:noWrap/>
            <w:vAlign w:val="center"/>
          </w:tcPr>
          <w:p w14:paraId="1BDD9BC2" w14:textId="07CFABED"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117.660</w:t>
            </w:r>
          </w:p>
        </w:tc>
        <w:tc>
          <w:tcPr>
            <w:tcW w:w="1067" w:type="dxa"/>
            <w:tcBorders>
              <w:top w:val="nil"/>
              <w:left w:val="nil"/>
              <w:bottom w:val="single" w:sz="4" w:space="0" w:color="auto"/>
              <w:right w:val="single" w:sz="4" w:space="0" w:color="auto"/>
            </w:tcBorders>
            <w:shd w:val="clear" w:color="auto" w:fill="auto"/>
            <w:noWrap/>
            <w:vAlign w:val="center"/>
          </w:tcPr>
          <w:p w14:paraId="1FAD1EC5" w14:textId="76D4E77B" w:rsidR="003F29CE" w:rsidRPr="002047BA" w:rsidRDefault="003F29CE" w:rsidP="003F29CE">
            <w:pPr>
              <w:jc w:val="right"/>
              <w:rPr>
                <w:rFonts w:ascii="Arial" w:hAnsi="Arial" w:cs="Arial"/>
                <w:sz w:val="16"/>
                <w:szCs w:val="16"/>
                <w:lang w:eastAsia="es-AR"/>
              </w:rPr>
            </w:pPr>
            <w:r>
              <w:rPr>
                <w:rFonts w:ascii="Arial" w:hAnsi="Arial" w:cs="Arial"/>
                <w:sz w:val="16"/>
                <w:szCs w:val="16"/>
              </w:rPr>
              <w:t>127.872</w:t>
            </w:r>
          </w:p>
        </w:tc>
        <w:tc>
          <w:tcPr>
            <w:tcW w:w="1069" w:type="dxa"/>
            <w:tcBorders>
              <w:top w:val="nil"/>
              <w:left w:val="nil"/>
              <w:bottom w:val="single" w:sz="4" w:space="0" w:color="auto"/>
              <w:right w:val="single" w:sz="4" w:space="0" w:color="auto"/>
            </w:tcBorders>
            <w:shd w:val="clear" w:color="auto" w:fill="auto"/>
            <w:noWrap/>
            <w:vAlign w:val="center"/>
          </w:tcPr>
          <w:p w14:paraId="4F82355F" w14:textId="45034D22"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115.562</w:t>
            </w:r>
          </w:p>
        </w:tc>
        <w:tc>
          <w:tcPr>
            <w:tcW w:w="1209" w:type="dxa"/>
            <w:tcBorders>
              <w:top w:val="nil"/>
              <w:left w:val="nil"/>
              <w:bottom w:val="single" w:sz="4" w:space="0" w:color="auto"/>
              <w:right w:val="single" w:sz="4" w:space="0" w:color="auto"/>
            </w:tcBorders>
            <w:shd w:val="clear" w:color="auto" w:fill="auto"/>
            <w:noWrap/>
            <w:vAlign w:val="center"/>
          </w:tcPr>
          <w:p w14:paraId="51465421" w14:textId="71E4CAC4" w:rsidR="003F29CE" w:rsidRPr="002047BA" w:rsidRDefault="003F29CE" w:rsidP="003F29CE">
            <w:pPr>
              <w:jc w:val="right"/>
              <w:rPr>
                <w:rFonts w:ascii="Arial" w:hAnsi="Arial" w:cs="Arial"/>
                <w:sz w:val="16"/>
                <w:szCs w:val="16"/>
                <w:lang w:eastAsia="es-AR"/>
              </w:rPr>
            </w:pPr>
            <w:r>
              <w:rPr>
                <w:rFonts w:ascii="Arial" w:hAnsi="Arial" w:cs="Arial"/>
                <w:sz w:val="16"/>
                <w:szCs w:val="16"/>
              </w:rPr>
              <w:t>11.111.344</w:t>
            </w:r>
          </w:p>
        </w:tc>
        <w:tc>
          <w:tcPr>
            <w:tcW w:w="1276" w:type="dxa"/>
            <w:tcBorders>
              <w:top w:val="nil"/>
              <w:left w:val="nil"/>
              <w:bottom w:val="single" w:sz="4" w:space="0" w:color="auto"/>
              <w:right w:val="single" w:sz="4" w:space="0" w:color="auto"/>
            </w:tcBorders>
            <w:shd w:val="clear" w:color="auto" w:fill="auto"/>
            <w:noWrap/>
            <w:vAlign w:val="center"/>
          </w:tcPr>
          <w:p w14:paraId="12164EEE" w14:textId="70C95827" w:rsidR="003F29CE" w:rsidRPr="00534414" w:rsidRDefault="003F29CE" w:rsidP="003F29CE">
            <w:pPr>
              <w:jc w:val="right"/>
              <w:rPr>
                <w:rFonts w:ascii="Arial" w:hAnsi="Arial" w:cs="Arial"/>
                <w:sz w:val="16"/>
                <w:szCs w:val="16"/>
              </w:rPr>
            </w:pPr>
            <w:r>
              <w:rPr>
                <w:rFonts w:ascii="Arial" w:hAnsi="Arial" w:cs="Arial"/>
                <w:sz w:val="16"/>
                <w:szCs w:val="16"/>
              </w:rPr>
              <w:t>10.250.999</w:t>
            </w:r>
          </w:p>
        </w:tc>
      </w:tr>
      <w:tr w:rsidR="003F29CE" w:rsidRPr="006F2033" w14:paraId="104C59A5"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0A27C7A5"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Fija Ahorro</w:t>
            </w:r>
          </w:p>
        </w:tc>
        <w:tc>
          <w:tcPr>
            <w:tcW w:w="1269" w:type="dxa"/>
            <w:tcBorders>
              <w:top w:val="nil"/>
              <w:left w:val="nil"/>
              <w:bottom w:val="single" w:sz="4" w:space="0" w:color="auto"/>
              <w:right w:val="single" w:sz="4" w:space="0" w:color="auto"/>
            </w:tcBorders>
            <w:shd w:val="clear" w:color="auto" w:fill="auto"/>
            <w:noWrap/>
            <w:vAlign w:val="center"/>
          </w:tcPr>
          <w:p w14:paraId="3322A862" w14:textId="4BD04D99" w:rsidR="003F29CE" w:rsidRPr="002047BA" w:rsidRDefault="003F29CE" w:rsidP="003F29CE">
            <w:pPr>
              <w:jc w:val="right"/>
              <w:rPr>
                <w:rFonts w:ascii="Arial" w:hAnsi="Arial" w:cs="Arial"/>
                <w:sz w:val="16"/>
                <w:szCs w:val="16"/>
                <w:lang w:eastAsia="es-AR"/>
              </w:rPr>
            </w:pPr>
            <w:r>
              <w:rPr>
                <w:rFonts w:ascii="Arial" w:hAnsi="Arial" w:cs="Arial"/>
                <w:sz w:val="16"/>
                <w:szCs w:val="16"/>
              </w:rPr>
              <w:t>631.381</w:t>
            </w:r>
          </w:p>
        </w:tc>
        <w:tc>
          <w:tcPr>
            <w:tcW w:w="1134" w:type="dxa"/>
            <w:tcBorders>
              <w:top w:val="nil"/>
              <w:left w:val="nil"/>
              <w:bottom w:val="single" w:sz="4" w:space="0" w:color="auto"/>
              <w:right w:val="single" w:sz="4" w:space="0" w:color="auto"/>
            </w:tcBorders>
            <w:shd w:val="clear" w:color="auto" w:fill="auto"/>
            <w:noWrap/>
            <w:vAlign w:val="center"/>
          </w:tcPr>
          <w:p w14:paraId="53A28E38" w14:textId="2C62EF12"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501.730</w:t>
            </w:r>
          </w:p>
        </w:tc>
        <w:tc>
          <w:tcPr>
            <w:tcW w:w="1067" w:type="dxa"/>
            <w:tcBorders>
              <w:top w:val="nil"/>
              <w:left w:val="nil"/>
              <w:bottom w:val="single" w:sz="4" w:space="0" w:color="auto"/>
              <w:right w:val="single" w:sz="4" w:space="0" w:color="auto"/>
            </w:tcBorders>
            <w:shd w:val="clear" w:color="auto" w:fill="auto"/>
            <w:noWrap/>
            <w:vAlign w:val="center"/>
          </w:tcPr>
          <w:p w14:paraId="1E36D349" w14:textId="0B61A603" w:rsidR="003F29CE" w:rsidRPr="002047BA" w:rsidRDefault="003F29CE" w:rsidP="003F29CE">
            <w:pPr>
              <w:jc w:val="right"/>
              <w:rPr>
                <w:rFonts w:ascii="Arial" w:hAnsi="Arial" w:cs="Arial"/>
                <w:sz w:val="16"/>
                <w:szCs w:val="16"/>
                <w:lang w:eastAsia="es-AR"/>
              </w:rPr>
            </w:pPr>
            <w:r>
              <w:rPr>
                <w:rFonts w:ascii="Arial" w:hAnsi="Arial" w:cs="Arial"/>
                <w:sz w:val="16"/>
                <w:szCs w:val="16"/>
              </w:rPr>
              <w:t>626.490</w:t>
            </w:r>
          </w:p>
        </w:tc>
        <w:tc>
          <w:tcPr>
            <w:tcW w:w="1069" w:type="dxa"/>
            <w:tcBorders>
              <w:top w:val="nil"/>
              <w:left w:val="nil"/>
              <w:bottom w:val="single" w:sz="4" w:space="0" w:color="auto"/>
              <w:right w:val="single" w:sz="4" w:space="0" w:color="auto"/>
            </w:tcBorders>
            <w:shd w:val="clear" w:color="auto" w:fill="auto"/>
            <w:noWrap/>
            <w:vAlign w:val="center"/>
          </w:tcPr>
          <w:p w14:paraId="3854624C" w14:textId="6A7A4AEC"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495.335</w:t>
            </w:r>
          </w:p>
        </w:tc>
        <w:tc>
          <w:tcPr>
            <w:tcW w:w="1209" w:type="dxa"/>
            <w:tcBorders>
              <w:top w:val="nil"/>
              <w:left w:val="nil"/>
              <w:bottom w:val="single" w:sz="4" w:space="0" w:color="auto"/>
              <w:right w:val="single" w:sz="4" w:space="0" w:color="auto"/>
            </w:tcBorders>
            <w:shd w:val="clear" w:color="auto" w:fill="auto"/>
            <w:noWrap/>
            <w:vAlign w:val="center"/>
          </w:tcPr>
          <w:p w14:paraId="184BE217" w14:textId="41BB87E3" w:rsidR="003F29CE" w:rsidRPr="002047BA" w:rsidRDefault="003F29CE" w:rsidP="003F29CE">
            <w:pPr>
              <w:jc w:val="right"/>
              <w:rPr>
                <w:rFonts w:ascii="Arial" w:hAnsi="Arial" w:cs="Arial"/>
                <w:sz w:val="16"/>
                <w:szCs w:val="16"/>
                <w:lang w:eastAsia="es-AR"/>
              </w:rPr>
            </w:pPr>
            <w:r>
              <w:rPr>
                <w:rFonts w:ascii="Arial" w:hAnsi="Arial" w:cs="Arial"/>
                <w:sz w:val="16"/>
                <w:szCs w:val="16"/>
              </w:rPr>
              <w:t>15.890.152</w:t>
            </w:r>
          </w:p>
        </w:tc>
        <w:tc>
          <w:tcPr>
            <w:tcW w:w="1276" w:type="dxa"/>
            <w:tcBorders>
              <w:top w:val="nil"/>
              <w:left w:val="nil"/>
              <w:bottom w:val="single" w:sz="4" w:space="0" w:color="auto"/>
              <w:right w:val="single" w:sz="4" w:space="0" w:color="auto"/>
            </w:tcBorders>
            <w:shd w:val="clear" w:color="auto" w:fill="auto"/>
            <w:noWrap/>
            <w:vAlign w:val="center"/>
          </w:tcPr>
          <w:p w14:paraId="322D5616" w14:textId="7747D52A" w:rsidR="003F29CE" w:rsidRPr="00534414" w:rsidRDefault="003F29CE" w:rsidP="003F29CE">
            <w:pPr>
              <w:jc w:val="right"/>
              <w:rPr>
                <w:rFonts w:ascii="Arial" w:hAnsi="Arial" w:cs="Arial"/>
                <w:sz w:val="16"/>
                <w:szCs w:val="16"/>
              </w:rPr>
            </w:pPr>
            <w:r>
              <w:rPr>
                <w:rFonts w:ascii="Arial" w:hAnsi="Arial" w:cs="Arial"/>
                <w:sz w:val="16"/>
                <w:szCs w:val="16"/>
              </w:rPr>
              <w:t>12.851.475</w:t>
            </w:r>
          </w:p>
        </w:tc>
      </w:tr>
      <w:tr w:rsidR="003F29CE" w:rsidRPr="006F2033" w14:paraId="34764D31"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5C17C5A3"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Fija Crecimiento</w:t>
            </w:r>
          </w:p>
        </w:tc>
        <w:tc>
          <w:tcPr>
            <w:tcW w:w="1269" w:type="dxa"/>
            <w:tcBorders>
              <w:top w:val="nil"/>
              <w:left w:val="nil"/>
              <w:bottom w:val="single" w:sz="4" w:space="0" w:color="auto"/>
              <w:right w:val="single" w:sz="4" w:space="0" w:color="auto"/>
            </w:tcBorders>
            <w:shd w:val="clear" w:color="auto" w:fill="auto"/>
            <w:noWrap/>
            <w:vAlign w:val="center"/>
          </w:tcPr>
          <w:p w14:paraId="1705EEFC" w14:textId="3554C588" w:rsidR="003F29CE" w:rsidRPr="002047BA" w:rsidRDefault="003F29CE" w:rsidP="003F29CE">
            <w:pPr>
              <w:jc w:val="right"/>
              <w:rPr>
                <w:rFonts w:ascii="Arial" w:hAnsi="Arial" w:cs="Arial"/>
                <w:sz w:val="16"/>
                <w:szCs w:val="16"/>
                <w:lang w:eastAsia="es-AR"/>
              </w:rPr>
            </w:pPr>
            <w:r>
              <w:rPr>
                <w:rFonts w:ascii="Arial" w:hAnsi="Arial" w:cs="Arial"/>
                <w:sz w:val="16"/>
                <w:szCs w:val="16"/>
              </w:rPr>
              <w:t>52.874</w:t>
            </w:r>
          </w:p>
        </w:tc>
        <w:tc>
          <w:tcPr>
            <w:tcW w:w="1134" w:type="dxa"/>
            <w:tcBorders>
              <w:top w:val="nil"/>
              <w:left w:val="nil"/>
              <w:bottom w:val="single" w:sz="4" w:space="0" w:color="auto"/>
              <w:right w:val="single" w:sz="4" w:space="0" w:color="auto"/>
            </w:tcBorders>
            <w:shd w:val="clear" w:color="auto" w:fill="auto"/>
            <w:noWrap/>
            <w:vAlign w:val="center"/>
          </w:tcPr>
          <w:p w14:paraId="59ADFB2F" w14:textId="3D9C20E2"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50.582</w:t>
            </w:r>
          </w:p>
        </w:tc>
        <w:tc>
          <w:tcPr>
            <w:tcW w:w="1067" w:type="dxa"/>
            <w:tcBorders>
              <w:top w:val="nil"/>
              <w:left w:val="nil"/>
              <w:bottom w:val="single" w:sz="4" w:space="0" w:color="auto"/>
              <w:right w:val="single" w:sz="4" w:space="0" w:color="auto"/>
            </w:tcBorders>
            <w:shd w:val="clear" w:color="auto" w:fill="auto"/>
            <w:noWrap/>
            <w:vAlign w:val="center"/>
          </w:tcPr>
          <w:p w14:paraId="028A186A" w14:textId="511ECA45" w:rsidR="003F29CE" w:rsidRPr="002047BA" w:rsidRDefault="003F29CE" w:rsidP="003F29CE">
            <w:pPr>
              <w:jc w:val="right"/>
              <w:rPr>
                <w:rFonts w:ascii="Arial" w:hAnsi="Arial" w:cs="Arial"/>
                <w:sz w:val="16"/>
                <w:szCs w:val="16"/>
                <w:lang w:eastAsia="es-AR"/>
              </w:rPr>
            </w:pPr>
            <w:r>
              <w:rPr>
                <w:rFonts w:ascii="Arial" w:hAnsi="Arial" w:cs="Arial"/>
                <w:sz w:val="16"/>
                <w:szCs w:val="16"/>
              </w:rPr>
              <w:t>52.651</w:t>
            </w:r>
          </w:p>
        </w:tc>
        <w:tc>
          <w:tcPr>
            <w:tcW w:w="1069" w:type="dxa"/>
            <w:tcBorders>
              <w:top w:val="nil"/>
              <w:left w:val="nil"/>
              <w:bottom w:val="single" w:sz="4" w:space="0" w:color="auto"/>
              <w:right w:val="single" w:sz="4" w:space="0" w:color="auto"/>
            </w:tcBorders>
            <w:shd w:val="clear" w:color="auto" w:fill="auto"/>
            <w:noWrap/>
            <w:vAlign w:val="center"/>
          </w:tcPr>
          <w:p w14:paraId="06D741ED" w14:textId="29A65924"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50.296</w:t>
            </w:r>
          </w:p>
        </w:tc>
        <w:tc>
          <w:tcPr>
            <w:tcW w:w="1209" w:type="dxa"/>
            <w:tcBorders>
              <w:top w:val="nil"/>
              <w:left w:val="nil"/>
              <w:bottom w:val="single" w:sz="4" w:space="0" w:color="auto"/>
              <w:right w:val="single" w:sz="4" w:space="0" w:color="auto"/>
            </w:tcBorders>
            <w:shd w:val="clear" w:color="auto" w:fill="auto"/>
            <w:noWrap/>
            <w:vAlign w:val="center"/>
          </w:tcPr>
          <w:p w14:paraId="0B08C30C" w14:textId="07BF8C4D" w:rsidR="003F29CE" w:rsidRPr="002047BA" w:rsidRDefault="003F29CE" w:rsidP="003F29CE">
            <w:pPr>
              <w:jc w:val="right"/>
              <w:rPr>
                <w:rFonts w:ascii="Arial" w:hAnsi="Arial" w:cs="Arial"/>
                <w:sz w:val="16"/>
                <w:szCs w:val="16"/>
                <w:lang w:eastAsia="es-AR"/>
              </w:rPr>
            </w:pPr>
            <w:r>
              <w:rPr>
                <w:rFonts w:ascii="Arial" w:hAnsi="Arial" w:cs="Arial"/>
                <w:sz w:val="16"/>
                <w:szCs w:val="16"/>
              </w:rPr>
              <w:t>3.650.185</w:t>
            </w:r>
          </w:p>
        </w:tc>
        <w:tc>
          <w:tcPr>
            <w:tcW w:w="1276" w:type="dxa"/>
            <w:tcBorders>
              <w:top w:val="nil"/>
              <w:left w:val="nil"/>
              <w:bottom w:val="single" w:sz="4" w:space="0" w:color="auto"/>
              <w:right w:val="single" w:sz="4" w:space="0" w:color="auto"/>
            </w:tcBorders>
            <w:shd w:val="clear" w:color="auto" w:fill="auto"/>
            <w:noWrap/>
            <w:vAlign w:val="center"/>
          </w:tcPr>
          <w:p w14:paraId="6A2F5254" w14:textId="19C995FC" w:rsidR="003F29CE" w:rsidRPr="00534414" w:rsidRDefault="003F29CE" w:rsidP="003F29CE">
            <w:pPr>
              <w:jc w:val="right"/>
              <w:rPr>
                <w:rFonts w:ascii="Arial" w:hAnsi="Arial" w:cs="Arial"/>
                <w:sz w:val="16"/>
                <w:szCs w:val="16"/>
              </w:rPr>
            </w:pPr>
            <w:r>
              <w:rPr>
                <w:rFonts w:ascii="Arial" w:hAnsi="Arial" w:cs="Arial"/>
                <w:sz w:val="16"/>
                <w:szCs w:val="16"/>
              </w:rPr>
              <w:t>3.688.485</w:t>
            </w:r>
          </w:p>
        </w:tc>
      </w:tr>
      <w:tr w:rsidR="003F29CE" w:rsidRPr="006F2033" w14:paraId="41DF5AD9"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397C1A3B"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Variable</w:t>
            </w:r>
          </w:p>
        </w:tc>
        <w:tc>
          <w:tcPr>
            <w:tcW w:w="1269" w:type="dxa"/>
            <w:tcBorders>
              <w:top w:val="nil"/>
              <w:left w:val="nil"/>
              <w:bottom w:val="single" w:sz="4" w:space="0" w:color="auto"/>
              <w:right w:val="single" w:sz="4" w:space="0" w:color="auto"/>
            </w:tcBorders>
            <w:shd w:val="clear" w:color="auto" w:fill="auto"/>
            <w:noWrap/>
            <w:vAlign w:val="center"/>
          </w:tcPr>
          <w:p w14:paraId="69072392" w14:textId="7DC6F8F3" w:rsidR="003F29CE" w:rsidRPr="002047BA" w:rsidRDefault="003F29CE" w:rsidP="003F29CE">
            <w:pPr>
              <w:jc w:val="right"/>
              <w:rPr>
                <w:rFonts w:ascii="Arial" w:hAnsi="Arial" w:cs="Arial"/>
                <w:sz w:val="16"/>
                <w:szCs w:val="16"/>
                <w:lang w:eastAsia="es-AR"/>
              </w:rPr>
            </w:pPr>
            <w:r>
              <w:rPr>
                <w:rFonts w:ascii="Arial" w:hAnsi="Arial" w:cs="Arial"/>
                <w:sz w:val="16"/>
                <w:szCs w:val="16"/>
              </w:rPr>
              <w:t>104.752</w:t>
            </w:r>
          </w:p>
        </w:tc>
        <w:tc>
          <w:tcPr>
            <w:tcW w:w="1134" w:type="dxa"/>
            <w:tcBorders>
              <w:top w:val="nil"/>
              <w:left w:val="nil"/>
              <w:bottom w:val="single" w:sz="4" w:space="0" w:color="auto"/>
              <w:right w:val="single" w:sz="4" w:space="0" w:color="auto"/>
            </w:tcBorders>
            <w:shd w:val="clear" w:color="auto" w:fill="auto"/>
            <w:noWrap/>
            <w:vAlign w:val="center"/>
          </w:tcPr>
          <w:p w14:paraId="51EC8595" w14:textId="0E92245A"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179.369</w:t>
            </w:r>
          </w:p>
        </w:tc>
        <w:tc>
          <w:tcPr>
            <w:tcW w:w="1067" w:type="dxa"/>
            <w:tcBorders>
              <w:top w:val="nil"/>
              <w:left w:val="nil"/>
              <w:bottom w:val="single" w:sz="4" w:space="0" w:color="auto"/>
              <w:right w:val="single" w:sz="4" w:space="0" w:color="auto"/>
            </w:tcBorders>
            <w:shd w:val="clear" w:color="auto" w:fill="auto"/>
            <w:noWrap/>
            <w:vAlign w:val="center"/>
          </w:tcPr>
          <w:p w14:paraId="79CD9465" w14:textId="7E480FA3" w:rsidR="003F29CE" w:rsidRPr="002047BA" w:rsidRDefault="003F29CE" w:rsidP="003F29CE">
            <w:pPr>
              <w:jc w:val="right"/>
              <w:rPr>
                <w:rFonts w:ascii="Arial" w:hAnsi="Arial" w:cs="Arial"/>
                <w:sz w:val="16"/>
                <w:szCs w:val="16"/>
                <w:lang w:eastAsia="es-AR"/>
              </w:rPr>
            </w:pPr>
            <w:r>
              <w:rPr>
                <w:rFonts w:ascii="Arial" w:hAnsi="Arial" w:cs="Arial"/>
                <w:sz w:val="16"/>
                <w:szCs w:val="16"/>
              </w:rPr>
              <w:t>104.230</w:t>
            </w:r>
          </w:p>
        </w:tc>
        <w:tc>
          <w:tcPr>
            <w:tcW w:w="1069" w:type="dxa"/>
            <w:tcBorders>
              <w:top w:val="nil"/>
              <w:left w:val="nil"/>
              <w:bottom w:val="single" w:sz="4" w:space="0" w:color="auto"/>
              <w:right w:val="single" w:sz="4" w:space="0" w:color="auto"/>
            </w:tcBorders>
            <w:shd w:val="clear" w:color="auto" w:fill="auto"/>
            <w:noWrap/>
            <w:vAlign w:val="center"/>
          </w:tcPr>
          <w:p w14:paraId="5EC2DCC7" w14:textId="17893EA1"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176.790</w:t>
            </w:r>
          </w:p>
        </w:tc>
        <w:tc>
          <w:tcPr>
            <w:tcW w:w="1209" w:type="dxa"/>
            <w:tcBorders>
              <w:top w:val="nil"/>
              <w:left w:val="nil"/>
              <w:bottom w:val="single" w:sz="4" w:space="0" w:color="auto"/>
              <w:right w:val="single" w:sz="4" w:space="0" w:color="auto"/>
            </w:tcBorders>
            <w:shd w:val="clear" w:color="auto" w:fill="auto"/>
            <w:noWrap/>
            <w:vAlign w:val="center"/>
          </w:tcPr>
          <w:p w14:paraId="749CA252" w14:textId="0F50E8CB" w:rsidR="003F29CE" w:rsidRPr="002047BA" w:rsidRDefault="003F29CE" w:rsidP="003F29CE">
            <w:pPr>
              <w:jc w:val="right"/>
              <w:rPr>
                <w:rFonts w:ascii="Arial" w:hAnsi="Arial" w:cs="Arial"/>
                <w:sz w:val="16"/>
                <w:szCs w:val="16"/>
                <w:lang w:eastAsia="es-AR"/>
              </w:rPr>
            </w:pPr>
            <w:r>
              <w:rPr>
                <w:rFonts w:ascii="Arial" w:hAnsi="Arial" w:cs="Arial"/>
                <w:sz w:val="16"/>
                <w:szCs w:val="16"/>
              </w:rPr>
              <w:t>7.397.599</w:t>
            </w:r>
          </w:p>
        </w:tc>
        <w:tc>
          <w:tcPr>
            <w:tcW w:w="1276" w:type="dxa"/>
            <w:tcBorders>
              <w:top w:val="nil"/>
              <w:left w:val="nil"/>
              <w:bottom w:val="single" w:sz="4" w:space="0" w:color="auto"/>
              <w:right w:val="single" w:sz="4" w:space="0" w:color="auto"/>
            </w:tcBorders>
            <w:shd w:val="clear" w:color="auto" w:fill="auto"/>
            <w:noWrap/>
            <w:vAlign w:val="center"/>
          </w:tcPr>
          <w:p w14:paraId="380C1070" w14:textId="658BA369" w:rsidR="003F29CE" w:rsidRPr="00534414" w:rsidRDefault="003F29CE" w:rsidP="003F29CE">
            <w:pPr>
              <w:jc w:val="right"/>
              <w:rPr>
                <w:rFonts w:ascii="Arial" w:hAnsi="Arial" w:cs="Arial"/>
                <w:sz w:val="16"/>
                <w:szCs w:val="16"/>
              </w:rPr>
            </w:pPr>
            <w:r>
              <w:rPr>
                <w:rFonts w:ascii="Arial" w:hAnsi="Arial" w:cs="Arial"/>
                <w:sz w:val="16"/>
                <w:szCs w:val="16"/>
              </w:rPr>
              <w:t>6.982.580</w:t>
            </w:r>
          </w:p>
        </w:tc>
      </w:tr>
      <w:tr w:rsidR="003F29CE" w:rsidRPr="006F2033" w14:paraId="7B770B36"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30AD1F95"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Abierto Pymes</w:t>
            </w:r>
          </w:p>
        </w:tc>
        <w:tc>
          <w:tcPr>
            <w:tcW w:w="1269" w:type="dxa"/>
            <w:tcBorders>
              <w:top w:val="nil"/>
              <w:left w:val="nil"/>
              <w:bottom w:val="single" w:sz="4" w:space="0" w:color="auto"/>
              <w:right w:val="single" w:sz="4" w:space="0" w:color="auto"/>
            </w:tcBorders>
            <w:shd w:val="clear" w:color="auto" w:fill="auto"/>
            <w:noWrap/>
            <w:vAlign w:val="center"/>
          </w:tcPr>
          <w:p w14:paraId="7CA16E6B" w14:textId="3A80E35F" w:rsidR="003F29CE" w:rsidRPr="002047BA" w:rsidRDefault="003F29CE" w:rsidP="003F29CE">
            <w:pPr>
              <w:jc w:val="right"/>
              <w:rPr>
                <w:rFonts w:ascii="Arial" w:hAnsi="Arial" w:cs="Arial"/>
                <w:sz w:val="16"/>
                <w:szCs w:val="16"/>
                <w:lang w:eastAsia="es-AR"/>
              </w:rPr>
            </w:pPr>
            <w:r>
              <w:rPr>
                <w:rFonts w:ascii="Arial" w:hAnsi="Arial" w:cs="Arial"/>
                <w:sz w:val="16"/>
                <w:szCs w:val="16"/>
              </w:rPr>
              <w:t>616.249</w:t>
            </w:r>
          </w:p>
        </w:tc>
        <w:tc>
          <w:tcPr>
            <w:tcW w:w="1134" w:type="dxa"/>
            <w:tcBorders>
              <w:top w:val="nil"/>
              <w:left w:val="nil"/>
              <w:bottom w:val="single" w:sz="4" w:space="0" w:color="auto"/>
              <w:right w:val="single" w:sz="4" w:space="0" w:color="auto"/>
            </w:tcBorders>
            <w:shd w:val="clear" w:color="auto" w:fill="auto"/>
            <w:noWrap/>
            <w:vAlign w:val="center"/>
          </w:tcPr>
          <w:p w14:paraId="5815F029" w14:textId="0068F384"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604.068</w:t>
            </w:r>
          </w:p>
        </w:tc>
        <w:tc>
          <w:tcPr>
            <w:tcW w:w="1067" w:type="dxa"/>
            <w:tcBorders>
              <w:top w:val="nil"/>
              <w:left w:val="nil"/>
              <w:bottom w:val="single" w:sz="4" w:space="0" w:color="auto"/>
              <w:right w:val="single" w:sz="4" w:space="0" w:color="auto"/>
            </w:tcBorders>
            <w:shd w:val="clear" w:color="auto" w:fill="auto"/>
            <w:noWrap/>
            <w:vAlign w:val="center"/>
          </w:tcPr>
          <w:p w14:paraId="5CAB474F" w14:textId="6B077DFF" w:rsidR="003F29CE" w:rsidRPr="002047BA" w:rsidRDefault="003F29CE" w:rsidP="003F29CE">
            <w:pPr>
              <w:jc w:val="right"/>
              <w:rPr>
                <w:rFonts w:ascii="Arial" w:hAnsi="Arial" w:cs="Arial"/>
                <w:sz w:val="16"/>
                <w:szCs w:val="16"/>
                <w:lang w:eastAsia="es-AR"/>
              </w:rPr>
            </w:pPr>
            <w:r>
              <w:rPr>
                <w:rFonts w:ascii="Arial" w:hAnsi="Arial" w:cs="Arial"/>
                <w:sz w:val="16"/>
                <w:szCs w:val="16"/>
              </w:rPr>
              <w:t>614.569</w:t>
            </w:r>
          </w:p>
        </w:tc>
        <w:tc>
          <w:tcPr>
            <w:tcW w:w="1069" w:type="dxa"/>
            <w:tcBorders>
              <w:top w:val="nil"/>
              <w:left w:val="nil"/>
              <w:bottom w:val="single" w:sz="4" w:space="0" w:color="auto"/>
              <w:right w:val="single" w:sz="4" w:space="0" w:color="auto"/>
            </w:tcBorders>
            <w:shd w:val="clear" w:color="auto" w:fill="auto"/>
            <w:noWrap/>
            <w:vAlign w:val="center"/>
          </w:tcPr>
          <w:p w14:paraId="31DB898D" w14:textId="5552C174"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602.709</w:t>
            </w:r>
          </w:p>
        </w:tc>
        <w:tc>
          <w:tcPr>
            <w:tcW w:w="1209" w:type="dxa"/>
            <w:tcBorders>
              <w:top w:val="nil"/>
              <w:left w:val="nil"/>
              <w:bottom w:val="single" w:sz="4" w:space="0" w:color="auto"/>
              <w:right w:val="single" w:sz="4" w:space="0" w:color="auto"/>
            </w:tcBorders>
            <w:shd w:val="clear" w:color="auto" w:fill="auto"/>
            <w:noWrap/>
            <w:vAlign w:val="center"/>
          </w:tcPr>
          <w:p w14:paraId="4E38B69F" w14:textId="68BF5AD1" w:rsidR="003F29CE" w:rsidRPr="002047BA" w:rsidRDefault="003F29CE" w:rsidP="003F29CE">
            <w:pPr>
              <w:jc w:val="right"/>
              <w:rPr>
                <w:rFonts w:ascii="Arial" w:hAnsi="Arial" w:cs="Arial"/>
                <w:sz w:val="16"/>
                <w:szCs w:val="16"/>
                <w:lang w:eastAsia="es-AR"/>
              </w:rPr>
            </w:pPr>
            <w:r>
              <w:rPr>
                <w:rFonts w:ascii="Arial" w:hAnsi="Arial" w:cs="Arial"/>
                <w:sz w:val="16"/>
                <w:szCs w:val="16"/>
              </w:rPr>
              <w:t>92.958.805</w:t>
            </w:r>
          </w:p>
        </w:tc>
        <w:tc>
          <w:tcPr>
            <w:tcW w:w="1276" w:type="dxa"/>
            <w:tcBorders>
              <w:top w:val="nil"/>
              <w:left w:val="nil"/>
              <w:bottom w:val="single" w:sz="4" w:space="0" w:color="auto"/>
              <w:right w:val="single" w:sz="4" w:space="0" w:color="auto"/>
            </w:tcBorders>
            <w:shd w:val="clear" w:color="auto" w:fill="auto"/>
            <w:noWrap/>
            <w:vAlign w:val="center"/>
          </w:tcPr>
          <w:p w14:paraId="70C2C7C7" w14:textId="3908DC32" w:rsidR="003F29CE" w:rsidRPr="00534414" w:rsidRDefault="003F29CE" w:rsidP="003F29CE">
            <w:pPr>
              <w:jc w:val="right"/>
              <w:rPr>
                <w:rFonts w:ascii="Arial" w:hAnsi="Arial" w:cs="Arial"/>
                <w:sz w:val="16"/>
                <w:szCs w:val="16"/>
              </w:rPr>
            </w:pPr>
            <w:r>
              <w:rPr>
                <w:rFonts w:ascii="Arial" w:hAnsi="Arial" w:cs="Arial"/>
                <w:sz w:val="16"/>
                <w:szCs w:val="16"/>
              </w:rPr>
              <w:t>91.559.624</w:t>
            </w:r>
          </w:p>
        </w:tc>
      </w:tr>
      <w:tr w:rsidR="003F29CE" w:rsidRPr="006F2033" w14:paraId="449ABF93"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20F60271"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Commodities</w:t>
            </w:r>
          </w:p>
        </w:tc>
        <w:tc>
          <w:tcPr>
            <w:tcW w:w="1269" w:type="dxa"/>
            <w:tcBorders>
              <w:top w:val="nil"/>
              <w:left w:val="nil"/>
              <w:bottom w:val="single" w:sz="4" w:space="0" w:color="auto"/>
              <w:right w:val="single" w:sz="4" w:space="0" w:color="auto"/>
            </w:tcBorders>
            <w:shd w:val="clear" w:color="auto" w:fill="auto"/>
            <w:noWrap/>
            <w:vAlign w:val="center"/>
          </w:tcPr>
          <w:p w14:paraId="18C86B37" w14:textId="36B6E6CB" w:rsidR="003F29CE" w:rsidRPr="002047BA" w:rsidRDefault="003F29CE" w:rsidP="003F29CE">
            <w:pPr>
              <w:jc w:val="right"/>
              <w:rPr>
                <w:rFonts w:ascii="Arial" w:hAnsi="Arial" w:cs="Arial"/>
                <w:sz w:val="16"/>
                <w:szCs w:val="16"/>
                <w:lang w:eastAsia="es-AR"/>
              </w:rPr>
            </w:pPr>
            <w:r>
              <w:rPr>
                <w:rFonts w:ascii="Arial" w:hAnsi="Arial" w:cs="Arial"/>
                <w:sz w:val="16"/>
                <w:szCs w:val="16"/>
              </w:rPr>
              <w:t>32.985</w:t>
            </w:r>
          </w:p>
        </w:tc>
        <w:tc>
          <w:tcPr>
            <w:tcW w:w="1134" w:type="dxa"/>
            <w:tcBorders>
              <w:top w:val="nil"/>
              <w:left w:val="nil"/>
              <w:bottom w:val="single" w:sz="4" w:space="0" w:color="auto"/>
              <w:right w:val="single" w:sz="4" w:space="0" w:color="auto"/>
            </w:tcBorders>
            <w:shd w:val="clear" w:color="auto" w:fill="auto"/>
            <w:noWrap/>
            <w:vAlign w:val="center"/>
          </w:tcPr>
          <w:p w14:paraId="5BC5DF5E" w14:textId="09D9190D"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22.680</w:t>
            </w:r>
          </w:p>
        </w:tc>
        <w:tc>
          <w:tcPr>
            <w:tcW w:w="1067" w:type="dxa"/>
            <w:tcBorders>
              <w:top w:val="nil"/>
              <w:left w:val="nil"/>
              <w:bottom w:val="single" w:sz="4" w:space="0" w:color="auto"/>
              <w:right w:val="single" w:sz="4" w:space="0" w:color="auto"/>
            </w:tcBorders>
            <w:shd w:val="clear" w:color="auto" w:fill="auto"/>
            <w:noWrap/>
            <w:vAlign w:val="center"/>
          </w:tcPr>
          <w:p w14:paraId="5116F070" w14:textId="7AF57085" w:rsidR="003F29CE" w:rsidRPr="002047BA" w:rsidRDefault="003F29CE" w:rsidP="003F29CE">
            <w:pPr>
              <w:jc w:val="right"/>
              <w:rPr>
                <w:rFonts w:ascii="Arial" w:hAnsi="Arial" w:cs="Arial"/>
                <w:sz w:val="16"/>
                <w:szCs w:val="16"/>
                <w:lang w:eastAsia="es-AR"/>
              </w:rPr>
            </w:pPr>
            <w:r>
              <w:rPr>
                <w:rFonts w:ascii="Arial" w:hAnsi="Arial" w:cs="Arial"/>
                <w:sz w:val="16"/>
                <w:szCs w:val="16"/>
              </w:rPr>
              <w:t>22.529</w:t>
            </w:r>
          </w:p>
        </w:tc>
        <w:tc>
          <w:tcPr>
            <w:tcW w:w="1069" w:type="dxa"/>
            <w:tcBorders>
              <w:top w:val="nil"/>
              <w:left w:val="nil"/>
              <w:bottom w:val="single" w:sz="4" w:space="0" w:color="auto"/>
              <w:right w:val="single" w:sz="4" w:space="0" w:color="auto"/>
            </w:tcBorders>
            <w:shd w:val="clear" w:color="auto" w:fill="auto"/>
            <w:noWrap/>
            <w:vAlign w:val="center"/>
          </w:tcPr>
          <w:p w14:paraId="7812E9FA" w14:textId="68A2CC48"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14.653</w:t>
            </w:r>
          </w:p>
        </w:tc>
        <w:tc>
          <w:tcPr>
            <w:tcW w:w="1209" w:type="dxa"/>
            <w:tcBorders>
              <w:top w:val="nil"/>
              <w:left w:val="nil"/>
              <w:bottom w:val="single" w:sz="4" w:space="0" w:color="auto"/>
              <w:right w:val="single" w:sz="4" w:space="0" w:color="auto"/>
            </w:tcBorders>
            <w:shd w:val="clear" w:color="auto" w:fill="auto"/>
            <w:noWrap/>
            <w:vAlign w:val="center"/>
          </w:tcPr>
          <w:p w14:paraId="08A70E3D" w14:textId="24356FA7" w:rsidR="003F29CE" w:rsidRPr="002047BA" w:rsidRDefault="003F29CE" w:rsidP="003F29CE">
            <w:pPr>
              <w:jc w:val="right"/>
              <w:rPr>
                <w:rFonts w:ascii="Arial" w:hAnsi="Arial" w:cs="Arial"/>
                <w:sz w:val="16"/>
                <w:szCs w:val="16"/>
                <w:lang w:eastAsia="es-AR"/>
              </w:rPr>
            </w:pPr>
            <w:r>
              <w:rPr>
                <w:rFonts w:ascii="Arial" w:hAnsi="Arial" w:cs="Arial"/>
                <w:sz w:val="16"/>
                <w:szCs w:val="16"/>
              </w:rPr>
              <w:t>3.962.046</w:t>
            </w:r>
          </w:p>
        </w:tc>
        <w:tc>
          <w:tcPr>
            <w:tcW w:w="1276" w:type="dxa"/>
            <w:tcBorders>
              <w:top w:val="nil"/>
              <w:left w:val="nil"/>
              <w:bottom w:val="single" w:sz="4" w:space="0" w:color="auto"/>
              <w:right w:val="single" w:sz="4" w:space="0" w:color="auto"/>
            </w:tcBorders>
            <w:shd w:val="clear" w:color="auto" w:fill="auto"/>
            <w:noWrap/>
            <w:vAlign w:val="center"/>
          </w:tcPr>
          <w:p w14:paraId="0BD9FBBA" w14:textId="23F436F8" w:rsidR="003F29CE" w:rsidRPr="00534414" w:rsidRDefault="003F29CE" w:rsidP="003F29CE">
            <w:pPr>
              <w:jc w:val="right"/>
              <w:rPr>
                <w:rFonts w:ascii="Arial" w:hAnsi="Arial" w:cs="Arial"/>
                <w:sz w:val="16"/>
                <w:szCs w:val="16"/>
              </w:rPr>
            </w:pPr>
            <w:r>
              <w:rPr>
                <w:rFonts w:ascii="Arial" w:hAnsi="Arial" w:cs="Arial"/>
                <w:sz w:val="16"/>
                <w:szCs w:val="16"/>
              </w:rPr>
              <w:t>2.596.034</w:t>
            </w:r>
          </w:p>
        </w:tc>
      </w:tr>
      <w:tr w:rsidR="003F29CE" w:rsidRPr="006F2033" w14:paraId="5B91B888"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7FB43C4C"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Capital</w:t>
            </w:r>
          </w:p>
        </w:tc>
        <w:tc>
          <w:tcPr>
            <w:tcW w:w="1269" w:type="dxa"/>
            <w:tcBorders>
              <w:top w:val="nil"/>
              <w:left w:val="nil"/>
              <w:bottom w:val="single" w:sz="4" w:space="0" w:color="auto"/>
              <w:right w:val="single" w:sz="4" w:space="0" w:color="auto"/>
            </w:tcBorders>
            <w:shd w:val="clear" w:color="auto" w:fill="auto"/>
            <w:noWrap/>
            <w:vAlign w:val="center"/>
          </w:tcPr>
          <w:p w14:paraId="407A1DE7" w14:textId="48157EE4" w:rsidR="003F29CE" w:rsidRPr="002047BA" w:rsidRDefault="003F29CE" w:rsidP="003F29CE">
            <w:pPr>
              <w:jc w:val="right"/>
              <w:rPr>
                <w:rFonts w:ascii="Arial" w:hAnsi="Arial" w:cs="Arial"/>
                <w:sz w:val="16"/>
                <w:szCs w:val="16"/>
                <w:lang w:eastAsia="es-AR"/>
              </w:rPr>
            </w:pPr>
            <w:r>
              <w:rPr>
                <w:rFonts w:ascii="Arial" w:hAnsi="Arial" w:cs="Arial"/>
                <w:sz w:val="16"/>
                <w:szCs w:val="16"/>
              </w:rPr>
              <w:t>126.697</w:t>
            </w:r>
          </w:p>
        </w:tc>
        <w:tc>
          <w:tcPr>
            <w:tcW w:w="1134" w:type="dxa"/>
            <w:tcBorders>
              <w:top w:val="nil"/>
              <w:left w:val="nil"/>
              <w:bottom w:val="single" w:sz="4" w:space="0" w:color="auto"/>
              <w:right w:val="single" w:sz="4" w:space="0" w:color="auto"/>
            </w:tcBorders>
            <w:shd w:val="clear" w:color="auto" w:fill="auto"/>
            <w:noWrap/>
            <w:vAlign w:val="center"/>
          </w:tcPr>
          <w:p w14:paraId="27DA0F25" w14:textId="02917DFE"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139.125</w:t>
            </w:r>
          </w:p>
        </w:tc>
        <w:tc>
          <w:tcPr>
            <w:tcW w:w="1067" w:type="dxa"/>
            <w:tcBorders>
              <w:top w:val="nil"/>
              <w:left w:val="nil"/>
              <w:bottom w:val="single" w:sz="4" w:space="0" w:color="auto"/>
              <w:right w:val="single" w:sz="4" w:space="0" w:color="auto"/>
            </w:tcBorders>
            <w:shd w:val="clear" w:color="auto" w:fill="auto"/>
            <w:noWrap/>
            <w:vAlign w:val="center"/>
          </w:tcPr>
          <w:p w14:paraId="7383CB51" w14:textId="6F682BE7" w:rsidR="003F29CE" w:rsidRPr="002047BA" w:rsidRDefault="003F29CE" w:rsidP="003F29CE">
            <w:pPr>
              <w:jc w:val="right"/>
              <w:rPr>
                <w:rFonts w:ascii="Arial" w:hAnsi="Arial" w:cs="Arial"/>
                <w:sz w:val="16"/>
                <w:szCs w:val="16"/>
                <w:lang w:eastAsia="es-AR"/>
              </w:rPr>
            </w:pPr>
            <w:r>
              <w:rPr>
                <w:rFonts w:ascii="Arial" w:hAnsi="Arial" w:cs="Arial"/>
                <w:sz w:val="16"/>
                <w:szCs w:val="16"/>
              </w:rPr>
              <w:t>126.519</w:t>
            </w:r>
          </w:p>
        </w:tc>
        <w:tc>
          <w:tcPr>
            <w:tcW w:w="1069" w:type="dxa"/>
            <w:tcBorders>
              <w:top w:val="nil"/>
              <w:left w:val="nil"/>
              <w:bottom w:val="single" w:sz="4" w:space="0" w:color="auto"/>
              <w:right w:val="single" w:sz="4" w:space="0" w:color="auto"/>
            </w:tcBorders>
            <w:shd w:val="clear" w:color="auto" w:fill="auto"/>
            <w:noWrap/>
            <w:vAlign w:val="center"/>
          </w:tcPr>
          <w:p w14:paraId="221BCA34" w14:textId="229B29D4"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138.758</w:t>
            </w:r>
          </w:p>
        </w:tc>
        <w:tc>
          <w:tcPr>
            <w:tcW w:w="1209" w:type="dxa"/>
            <w:tcBorders>
              <w:top w:val="nil"/>
              <w:left w:val="nil"/>
              <w:bottom w:val="single" w:sz="4" w:space="0" w:color="auto"/>
              <w:right w:val="single" w:sz="4" w:space="0" w:color="auto"/>
            </w:tcBorders>
            <w:shd w:val="clear" w:color="auto" w:fill="auto"/>
            <w:noWrap/>
            <w:vAlign w:val="center"/>
          </w:tcPr>
          <w:p w14:paraId="1F28F666" w14:textId="7F1EC540" w:rsidR="003F29CE" w:rsidRPr="002047BA" w:rsidRDefault="003F29CE" w:rsidP="003F29CE">
            <w:pPr>
              <w:jc w:val="right"/>
              <w:rPr>
                <w:rFonts w:ascii="Arial" w:hAnsi="Arial" w:cs="Arial"/>
                <w:sz w:val="16"/>
                <w:szCs w:val="16"/>
                <w:lang w:eastAsia="es-AR"/>
              </w:rPr>
            </w:pPr>
            <w:r>
              <w:rPr>
                <w:rFonts w:ascii="Arial" w:hAnsi="Arial" w:cs="Arial"/>
                <w:sz w:val="16"/>
                <w:szCs w:val="16"/>
              </w:rPr>
              <w:t>31.739.096</w:t>
            </w:r>
          </w:p>
        </w:tc>
        <w:tc>
          <w:tcPr>
            <w:tcW w:w="1276" w:type="dxa"/>
            <w:tcBorders>
              <w:top w:val="nil"/>
              <w:left w:val="nil"/>
              <w:bottom w:val="single" w:sz="4" w:space="0" w:color="auto"/>
              <w:right w:val="single" w:sz="4" w:space="0" w:color="auto"/>
            </w:tcBorders>
            <w:shd w:val="clear" w:color="auto" w:fill="auto"/>
            <w:noWrap/>
            <w:vAlign w:val="center"/>
          </w:tcPr>
          <w:p w14:paraId="018161CD" w14:textId="6AED8289" w:rsidR="003F29CE" w:rsidRPr="00534414" w:rsidRDefault="003F29CE" w:rsidP="003F29CE">
            <w:pPr>
              <w:jc w:val="right"/>
              <w:rPr>
                <w:rFonts w:ascii="Arial" w:hAnsi="Arial" w:cs="Arial"/>
                <w:sz w:val="16"/>
                <w:szCs w:val="16"/>
              </w:rPr>
            </w:pPr>
            <w:r>
              <w:rPr>
                <w:rFonts w:ascii="Arial" w:hAnsi="Arial" w:cs="Arial"/>
                <w:sz w:val="16"/>
                <w:szCs w:val="16"/>
              </w:rPr>
              <w:t>36.057.519</w:t>
            </w:r>
          </w:p>
        </w:tc>
      </w:tr>
      <w:tr w:rsidR="003F29CE" w:rsidRPr="006F2033" w14:paraId="6836E16A"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0061290E"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Inversión</w:t>
            </w:r>
          </w:p>
        </w:tc>
        <w:tc>
          <w:tcPr>
            <w:tcW w:w="1269" w:type="dxa"/>
            <w:tcBorders>
              <w:top w:val="nil"/>
              <w:left w:val="nil"/>
              <w:bottom w:val="single" w:sz="4" w:space="0" w:color="auto"/>
              <w:right w:val="single" w:sz="4" w:space="0" w:color="auto"/>
            </w:tcBorders>
            <w:shd w:val="clear" w:color="auto" w:fill="auto"/>
            <w:noWrap/>
            <w:vAlign w:val="center"/>
          </w:tcPr>
          <w:p w14:paraId="2A70AF64" w14:textId="4EF4D4D9" w:rsidR="003F29CE" w:rsidRPr="002047BA" w:rsidRDefault="003F29CE" w:rsidP="003F29CE">
            <w:pPr>
              <w:jc w:val="right"/>
              <w:rPr>
                <w:rFonts w:ascii="Arial" w:hAnsi="Arial" w:cs="Arial"/>
                <w:sz w:val="16"/>
                <w:szCs w:val="16"/>
                <w:lang w:eastAsia="es-AR"/>
              </w:rPr>
            </w:pPr>
            <w:r>
              <w:rPr>
                <w:rFonts w:ascii="Arial" w:hAnsi="Arial" w:cs="Arial"/>
                <w:sz w:val="16"/>
                <w:szCs w:val="16"/>
              </w:rPr>
              <w:t>288.467</w:t>
            </w:r>
          </w:p>
        </w:tc>
        <w:tc>
          <w:tcPr>
            <w:tcW w:w="1134" w:type="dxa"/>
            <w:tcBorders>
              <w:top w:val="nil"/>
              <w:left w:val="nil"/>
              <w:bottom w:val="single" w:sz="4" w:space="0" w:color="auto"/>
              <w:right w:val="single" w:sz="4" w:space="0" w:color="auto"/>
            </w:tcBorders>
            <w:shd w:val="clear" w:color="auto" w:fill="auto"/>
            <w:noWrap/>
            <w:vAlign w:val="center"/>
          </w:tcPr>
          <w:p w14:paraId="400556BD" w14:textId="683A64E4"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145.918</w:t>
            </w:r>
          </w:p>
        </w:tc>
        <w:tc>
          <w:tcPr>
            <w:tcW w:w="1067" w:type="dxa"/>
            <w:tcBorders>
              <w:top w:val="nil"/>
              <w:left w:val="nil"/>
              <w:bottom w:val="single" w:sz="4" w:space="0" w:color="auto"/>
              <w:right w:val="single" w:sz="4" w:space="0" w:color="auto"/>
            </w:tcBorders>
            <w:shd w:val="clear" w:color="auto" w:fill="auto"/>
            <w:noWrap/>
            <w:vAlign w:val="center"/>
          </w:tcPr>
          <w:p w14:paraId="27DD567F" w14:textId="23E0B4CD" w:rsidR="003F29CE" w:rsidRPr="002047BA" w:rsidRDefault="003F29CE" w:rsidP="003F29CE">
            <w:pPr>
              <w:jc w:val="right"/>
              <w:rPr>
                <w:rFonts w:ascii="Arial" w:hAnsi="Arial" w:cs="Arial"/>
                <w:sz w:val="16"/>
                <w:szCs w:val="16"/>
                <w:lang w:eastAsia="es-AR"/>
              </w:rPr>
            </w:pPr>
            <w:r>
              <w:rPr>
                <w:rFonts w:ascii="Arial" w:hAnsi="Arial" w:cs="Arial"/>
                <w:sz w:val="16"/>
                <w:szCs w:val="16"/>
              </w:rPr>
              <w:t>288.316</w:t>
            </w:r>
          </w:p>
        </w:tc>
        <w:tc>
          <w:tcPr>
            <w:tcW w:w="1069" w:type="dxa"/>
            <w:tcBorders>
              <w:top w:val="nil"/>
              <w:left w:val="nil"/>
              <w:bottom w:val="single" w:sz="4" w:space="0" w:color="auto"/>
              <w:right w:val="single" w:sz="4" w:space="0" w:color="auto"/>
            </w:tcBorders>
            <w:shd w:val="clear" w:color="auto" w:fill="auto"/>
            <w:noWrap/>
            <w:vAlign w:val="center"/>
          </w:tcPr>
          <w:p w14:paraId="714C04B3" w14:textId="233D5BBE"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145.844</w:t>
            </w:r>
          </w:p>
        </w:tc>
        <w:tc>
          <w:tcPr>
            <w:tcW w:w="1209" w:type="dxa"/>
            <w:tcBorders>
              <w:top w:val="nil"/>
              <w:left w:val="nil"/>
              <w:bottom w:val="single" w:sz="4" w:space="0" w:color="auto"/>
              <w:right w:val="single" w:sz="4" w:space="0" w:color="auto"/>
            </w:tcBorders>
            <w:shd w:val="clear" w:color="auto" w:fill="auto"/>
            <w:noWrap/>
            <w:vAlign w:val="center"/>
          </w:tcPr>
          <w:p w14:paraId="0C5D3A92" w14:textId="4BA2A6FD" w:rsidR="003F29CE" w:rsidRPr="002047BA" w:rsidRDefault="003F29CE" w:rsidP="003F29CE">
            <w:pPr>
              <w:jc w:val="right"/>
              <w:rPr>
                <w:rFonts w:ascii="Arial" w:hAnsi="Arial" w:cs="Arial"/>
                <w:sz w:val="16"/>
                <w:szCs w:val="16"/>
                <w:lang w:eastAsia="es-AR"/>
              </w:rPr>
            </w:pPr>
            <w:r>
              <w:rPr>
                <w:rFonts w:ascii="Arial" w:hAnsi="Arial" w:cs="Arial"/>
                <w:sz w:val="16"/>
                <w:szCs w:val="16"/>
              </w:rPr>
              <w:t>852.107.518</w:t>
            </w:r>
          </w:p>
        </w:tc>
        <w:tc>
          <w:tcPr>
            <w:tcW w:w="1276" w:type="dxa"/>
            <w:tcBorders>
              <w:top w:val="nil"/>
              <w:left w:val="nil"/>
              <w:bottom w:val="single" w:sz="4" w:space="0" w:color="auto"/>
              <w:right w:val="single" w:sz="4" w:space="0" w:color="auto"/>
            </w:tcBorders>
            <w:shd w:val="clear" w:color="auto" w:fill="auto"/>
            <w:noWrap/>
            <w:vAlign w:val="center"/>
          </w:tcPr>
          <w:p w14:paraId="6F9CAA1C" w14:textId="34B5B5AF" w:rsidR="003F29CE" w:rsidRPr="00534414" w:rsidRDefault="003F29CE" w:rsidP="003F29CE">
            <w:pPr>
              <w:jc w:val="right"/>
              <w:rPr>
                <w:rFonts w:ascii="Arial" w:hAnsi="Arial" w:cs="Arial"/>
                <w:sz w:val="16"/>
                <w:szCs w:val="16"/>
              </w:rPr>
            </w:pPr>
            <w:r>
              <w:rPr>
                <w:rFonts w:ascii="Arial" w:hAnsi="Arial" w:cs="Arial"/>
                <w:sz w:val="16"/>
                <w:szCs w:val="16"/>
              </w:rPr>
              <w:t>442.160.447</w:t>
            </w:r>
          </w:p>
        </w:tc>
      </w:tr>
      <w:tr w:rsidR="003F29CE" w:rsidRPr="006F2033" w14:paraId="751C8B29"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1C72996B"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Balanceado</w:t>
            </w:r>
          </w:p>
        </w:tc>
        <w:tc>
          <w:tcPr>
            <w:tcW w:w="1269" w:type="dxa"/>
            <w:tcBorders>
              <w:top w:val="nil"/>
              <w:left w:val="nil"/>
              <w:bottom w:val="single" w:sz="4" w:space="0" w:color="auto"/>
              <w:right w:val="single" w:sz="4" w:space="0" w:color="auto"/>
            </w:tcBorders>
            <w:shd w:val="clear" w:color="auto" w:fill="auto"/>
            <w:noWrap/>
            <w:vAlign w:val="center"/>
          </w:tcPr>
          <w:p w14:paraId="737465A6" w14:textId="55A3D1DF" w:rsidR="003F29CE" w:rsidRPr="002047BA" w:rsidRDefault="003F29CE" w:rsidP="003F29CE">
            <w:pPr>
              <w:jc w:val="right"/>
              <w:rPr>
                <w:rFonts w:ascii="Arial" w:hAnsi="Arial" w:cs="Arial"/>
                <w:sz w:val="16"/>
                <w:szCs w:val="16"/>
                <w:lang w:eastAsia="es-AR"/>
              </w:rPr>
            </w:pPr>
            <w:r>
              <w:rPr>
                <w:rFonts w:ascii="Arial" w:hAnsi="Arial" w:cs="Arial"/>
                <w:sz w:val="16"/>
                <w:szCs w:val="16"/>
              </w:rPr>
              <w:t>738.586</w:t>
            </w:r>
          </w:p>
        </w:tc>
        <w:tc>
          <w:tcPr>
            <w:tcW w:w="1134" w:type="dxa"/>
            <w:tcBorders>
              <w:top w:val="nil"/>
              <w:left w:val="nil"/>
              <w:bottom w:val="single" w:sz="4" w:space="0" w:color="auto"/>
              <w:right w:val="single" w:sz="4" w:space="0" w:color="auto"/>
            </w:tcBorders>
            <w:shd w:val="clear" w:color="auto" w:fill="auto"/>
            <w:noWrap/>
            <w:vAlign w:val="center"/>
          </w:tcPr>
          <w:p w14:paraId="536C91F5" w14:textId="73515FA6"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672.523</w:t>
            </w:r>
          </w:p>
        </w:tc>
        <w:tc>
          <w:tcPr>
            <w:tcW w:w="1067" w:type="dxa"/>
            <w:tcBorders>
              <w:top w:val="nil"/>
              <w:left w:val="nil"/>
              <w:bottom w:val="single" w:sz="4" w:space="0" w:color="auto"/>
              <w:right w:val="single" w:sz="4" w:space="0" w:color="auto"/>
            </w:tcBorders>
            <w:shd w:val="clear" w:color="auto" w:fill="auto"/>
            <w:noWrap/>
            <w:vAlign w:val="center"/>
          </w:tcPr>
          <w:p w14:paraId="07283933" w14:textId="77EBFF42" w:rsidR="003F29CE" w:rsidRPr="002047BA" w:rsidRDefault="003F29CE" w:rsidP="003F29CE">
            <w:pPr>
              <w:jc w:val="right"/>
              <w:rPr>
                <w:rFonts w:ascii="Arial" w:hAnsi="Arial" w:cs="Arial"/>
                <w:sz w:val="16"/>
                <w:szCs w:val="16"/>
                <w:lang w:eastAsia="es-AR"/>
              </w:rPr>
            </w:pPr>
            <w:r>
              <w:rPr>
                <w:rFonts w:ascii="Arial" w:hAnsi="Arial" w:cs="Arial"/>
                <w:sz w:val="16"/>
                <w:szCs w:val="16"/>
              </w:rPr>
              <w:t>737.911</w:t>
            </w:r>
          </w:p>
        </w:tc>
        <w:tc>
          <w:tcPr>
            <w:tcW w:w="1069" w:type="dxa"/>
            <w:tcBorders>
              <w:top w:val="nil"/>
              <w:left w:val="nil"/>
              <w:bottom w:val="single" w:sz="4" w:space="0" w:color="auto"/>
              <w:right w:val="single" w:sz="4" w:space="0" w:color="auto"/>
            </w:tcBorders>
            <w:shd w:val="clear" w:color="auto" w:fill="auto"/>
            <w:noWrap/>
            <w:vAlign w:val="center"/>
          </w:tcPr>
          <w:p w14:paraId="2D272129" w14:textId="13CF6742"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671.910</w:t>
            </w:r>
          </w:p>
        </w:tc>
        <w:tc>
          <w:tcPr>
            <w:tcW w:w="1209" w:type="dxa"/>
            <w:tcBorders>
              <w:top w:val="nil"/>
              <w:left w:val="nil"/>
              <w:bottom w:val="single" w:sz="4" w:space="0" w:color="auto"/>
              <w:right w:val="single" w:sz="4" w:space="0" w:color="auto"/>
            </w:tcBorders>
            <w:shd w:val="clear" w:color="auto" w:fill="auto"/>
            <w:noWrap/>
            <w:vAlign w:val="center"/>
          </w:tcPr>
          <w:p w14:paraId="512FEE3F" w14:textId="7DD3358E" w:rsidR="003F29CE" w:rsidRPr="002047BA" w:rsidRDefault="003F29CE" w:rsidP="003F29CE">
            <w:pPr>
              <w:jc w:val="right"/>
              <w:rPr>
                <w:rFonts w:ascii="Arial" w:hAnsi="Arial" w:cs="Arial"/>
                <w:sz w:val="16"/>
                <w:szCs w:val="16"/>
                <w:lang w:eastAsia="es-AR"/>
              </w:rPr>
            </w:pPr>
            <w:r>
              <w:rPr>
                <w:rFonts w:ascii="Arial" w:hAnsi="Arial" w:cs="Arial"/>
                <w:sz w:val="16"/>
                <w:szCs w:val="16"/>
              </w:rPr>
              <w:t>249.317.925</w:t>
            </w:r>
          </w:p>
        </w:tc>
        <w:tc>
          <w:tcPr>
            <w:tcW w:w="1276" w:type="dxa"/>
            <w:tcBorders>
              <w:top w:val="nil"/>
              <w:left w:val="nil"/>
              <w:bottom w:val="single" w:sz="4" w:space="0" w:color="auto"/>
              <w:right w:val="single" w:sz="4" w:space="0" w:color="auto"/>
            </w:tcBorders>
            <w:shd w:val="clear" w:color="auto" w:fill="auto"/>
            <w:noWrap/>
            <w:vAlign w:val="center"/>
          </w:tcPr>
          <w:p w14:paraId="36D3C440" w14:textId="3A07D46A" w:rsidR="003F29CE" w:rsidRPr="00534414" w:rsidRDefault="003F29CE" w:rsidP="003F29CE">
            <w:pPr>
              <w:jc w:val="right"/>
              <w:rPr>
                <w:rFonts w:ascii="Arial" w:hAnsi="Arial" w:cs="Arial"/>
                <w:sz w:val="16"/>
                <w:szCs w:val="16"/>
              </w:rPr>
            </w:pPr>
            <w:r>
              <w:rPr>
                <w:rFonts w:ascii="Arial" w:hAnsi="Arial" w:cs="Arial"/>
                <w:sz w:val="16"/>
                <w:szCs w:val="16"/>
              </w:rPr>
              <w:t>249.317.925</w:t>
            </w:r>
          </w:p>
        </w:tc>
      </w:tr>
      <w:tr w:rsidR="003F29CE" w:rsidRPr="006F2033" w14:paraId="754E9816"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hideMark/>
          </w:tcPr>
          <w:p w14:paraId="6313A1C6"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Mixta</w:t>
            </w:r>
          </w:p>
        </w:tc>
        <w:tc>
          <w:tcPr>
            <w:tcW w:w="1269" w:type="dxa"/>
            <w:tcBorders>
              <w:top w:val="nil"/>
              <w:left w:val="nil"/>
              <w:bottom w:val="single" w:sz="4" w:space="0" w:color="auto"/>
              <w:right w:val="single" w:sz="4" w:space="0" w:color="auto"/>
            </w:tcBorders>
            <w:shd w:val="clear" w:color="auto" w:fill="auto"/>
            <w:noWrap/>
            <w:vAlign w:val="center"/>
          </w:tcPr>
          <w:p w14:paraId="033208C4" w14:textId="52C50C31" w:rsidR="003F29CE" w:rsidRPr="002047BA" w:rsidRDefault="003F29CE" w:rsidP="003F29CE">
            <w:pPr>
              <w:jc w:val="right"/>
              <w:rPr>
                <w:rFonts w:ascii="Arial" w:hAnsi="Arial" w:cs="Arial"/>
                <w:sz w:val="16"/>
                <w:szCs w:val="16"/>
                <w:lang w:eastAsia="es-AR"/>
              </w:rPr>
            </w:pPr>
            <w:r>
              <w:rPr>
                <w:rFonts w:ascii="Arial" w:hAnsi="Arial" w:cs="Arial"/>
                <w:sz w:val="16"/>
                <w:szCs w:val="16"/>
              </w:rPr>
              <w:t>214.792</w:t>
            </w:r>
          </w:p>
        </w:tc>
        <w:tc>
          <w:tcPr>
            <w:tcW w:w="1134" w:type="dxa"/>
            <w:tcBorders>
              <w:top w:val="nil"/>
              <w:left w:val="nil"/>
              <w:bottom w:val="single" w:sz="4" w:space="0" w:color="auto"/>
              <w:right w:val="single" w:sz="4" w:space="0" w:color="auto"/>
            </w:tcBorders>
            <w:shd w:val="clear" w:color="auto" w:fill="auto"/>
            <w:noWrap/>
            <w:vAlign w:val="center"/>
          </w:tcPr>
          <w:p w14:paraId="318706E5" w14:textId="51E23659"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143.649</w:t>
            </w:r>
          </w:p>
        </w:tc>
        <w:tc>
          <w:tcPr>
            <w:tcW w:w="1067" w:type="dxa"/>
            <w:tcBorders>
              <w:top w:val="nil"/>
              <w:left w:val="nil"/>
              <w:bottom w:val="single" w:sz="4" w:space="0" w:color="auto"/>
              <w:right w:val="single" w:sz="4" w:space="0" w:color="auto"/>
            </w:tcBorders>
            <w:shd w:val="clear" w:color="auto" w:fill="auto"/>
            <w:noWrap/>
            <w:vAlign w:val="center"/>
          </w:tcPr>
          <w:p w14:paraId="242041CF" w14:textId="5E8C9922" w:rsidR="003F29CE" w:rsidRPr="002047BA" w:rsidRDefault="003F29CE" w:rsidP="003F29CE">
            <w:pPr>
              <w:jc w:val="right"/>
              <w:rPr>
                <w:rFonts w:ascii="Arial" w:hAnsi="Arial" w:cs="Arial"/>
                <w:sz w:val="16"/>
                <w:szCs w:val="16"/>
                <w:lang w:eastAsia="es-AR"/>
              </w:rPr>
            </w:pPr>
            <w:r>
              <w:rPr>
                <w:rFonts w:ascii="Arial" w:hAnsi="Arial" w:cs="Arial"/>
                <w:sz w:val="16"/>
                <w:szCs w:val="16"/>
              </w:rPr>
              <w:t>214.547</w:t>
            </w:r>
          </w:p>
        </w:tc>
        <w:tc>
          <w:tcPr>
            <w:tcW w:w="1069" w:type="dxa"/>
            <w:tcBorders>
              <w:top w:val="nil"/>
              <w:left w:val="nil"/>
              <w:bottom w:val="single" w:sz="4" w:space="0" w:color="auto"/>
              <w:right w:val="single" w:sz="4" w:space="0" w:color="auto"/>
            </w:tcBorders>
            <w:shd w:val="clear" w:color="auto" w:fill="auto"/>
            <w:noWrap/>
            <w:vAlign w:val="center"/>
          </w:tcPr>
          <w:p w14:paraId="048958AD" w14:textId="6E4BD12A"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143.532</w:t>
            </w:r>
          </w:p>
        </w:tc>
        <w:tc>
          <w:tcPr>
            <w:tcW w:w="1209" w:type="dxa"/>
            <w:tcBorders>
              <w:top w:val="nil"/>
              <w:left w:val="nil"/>
              <w:bottom w:val="single" w:sz="4" w:space="0" w:color="auto"/>
              <w:right w:val="single" w:sz="4" w:space="0" w:color="auto"/>
            </w:tcBorders>
            <w:shd w:val="clear" w:color="auto" w:fill="auto"/>
            <w:noWrap/>
            <w:vAlign w:val="center"/>
          </w:tcPr>
          <w:p w14:paraId="241B9A59" w14:textId="4BC9E9DE" w:rsidR="003F29CE" w:rsidRPr="002047BA" w:rsidRDefault="003F29CE" w:rsidP="003F29CE">
            <w:pPr>
              <w:jc w:val="right"/>
              <w:rPr>
                <w:rFonts w:ascii="Arial" w:hAnsi="Arial" w:cs="Arial"/>
                <w:sz w:val="16"/>
                <w:szCs w:val="16"/>
                <w:lang w:eastAsia="es-AR"/>
              </w:rPr>
            </w:pPr>
            <w:r>
              <w:rPr>
                <w:rFonts w:ascii="Arial" w:hAnsi="Arial" w:cs="Arial"/>
                <w:sz w:val="16"/>
                <w:szCs w:val="16"/>
              </w:rPr>
              <w:t>104.502.581</w:t>
            </w:r>
          </w:p>
        </w:tc>
        <w:tc>
          <w:tcPr>
            <w:tcW w:w="1276" w:type="dxa"/>
            <w:tcBorders>
              <w:top w:val="nil"/>
              <w:left w:val="nil"/>
              <w:bottom w:val="single" w:sz="4" w:space="0" w:color="auto"/>
              <w:right w:val="single" w:sz="4" w:space="0" w:color="auto"/>
            </w:tcBorders>
            <w:shd w:val="clear" w:color="auto" w:fill="auto"/>
            <w:noWrap/>
            <w:vAlign w:val="center"/>
          </w:tcPr>
          <w:p w14:paraId="51FD1655" w14:textId="596CB82E" w:rsidR="003F29CE" w:rsidRPr="00534414" w:rsidRDefault="003F29CE" w:rsidP="003F29CE">
            <w:pPr>
              <w:jc w:val="right"/>
              <w:rPr>
                <w:rFonts w:ascii="Arial" w:hAnsi="Arial" w:cs="Arial"/>
                <w:sz w:val="16"/>
                <w:szCs w:val="16"/>
              </w:rPr>
            </w:pPr>
            <w:r>
              <w:rPr>
                <w:rFonts w:ascii="Arial" w:hAnsi="Arial" w:cs="Arial"/>
                <w:sz w:val="16"/>
                <w:szCs w:val="16"/>
              </w:rPr>
              <w:t>76.562.093</w:t>
            </w:r>
          </w:p>
        </w:tc>
      </w:tr>
      <w:tr w:rsidR="003F29CE" w:rsidRPr="006F2033" w14:paraId="4152B133" w14:textId="77777777" w:rsidTr="00066653">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center"/>
            <w:hideMark/>
          </w:tcPr>
          <w:p w14:paraId="632D82B2"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Mixta en Dólares</w:t>
            </w:r>
          </w:p>
        </w:tc>
        <w:tc>
          <w:tcPr>
            <w:tcW w:w="1269" w:type="dxa"/>
            <w:tcBorders>
              <w:top w:val="nil"/>
              <w:left w:val="nil"/>
              <w:bottom w:val="single" w:sz="4" w:space="0" w:color="auto"/>
              <w:right w:val="single" w:sz="4" w:space="0" w:color="auto"/>
            </w:tcBorders>
            <w:shd w:val="clear" w:color="auto" w:fill="auto"/>
            <w:noWrap/>
            <w:vAlign w:val="center"/>
          </w:tcPr>
          <w:p w14:paraId="63FBC67F" w14:textId="3DE9D82F" w:rsidR="003F29CE" w:rsidRPr="002047BA" w:rsidRDefault="003F29CE" w:rsidP="003F29CE">
            <w:pPr>
              <w:jc w:val="right"/>
              <w:rPr>
                <w:rFonts w:ascii="Arial" w:hAnsi="Arial" w:cs="Arial"/>
                <w:sz w:val="16"/>
                <w:szCs w:val="16"/>
                <w:lang w:eastAsia="es-AR"/>
              </w:rPr>
            </w:pPr>
            <w:r>
              <w:rPr>
                <w:rFonts w:ascii="Arial" w:hAnsi="Arial" w:cs="Arial"/>
                <w:sz w:val="16"/>
                <w:szCs w:val="16"/>
              </w:rPr>
              <w:t>107.987</w:t>
            </w:r>
          </w:p>
        </w:tc>
        <w:tc>
          <w:tcPr>
            <w:tcW w:w="1134" w:type="dxa"/>
            <w:tcBorders>
              <w:top w:val="nil"/>
              <w:left w:val="nil"/>
              <w:bottom w:val="single" w:sz="4" w:space="0" w:color="auto"/>
              <w:right w:val="single" w:sz="4" w:space="0" w:color="auto"/>
            </w:tcBorders>
            <w:shd w:val="clear" w:color="auto" w:fill="auto"/>
            <w:noWrap/>
            <w:vAlign w:val="center"/>
          </w:tcPr>
          <w:p w14:paraId="4CFADC30" w14:textId="50647532"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140.368</w:t>
            </w:r>
          </w:p>
        </w:tc>
        <w:tc>
          <w:tcPr>
            <w:tcW w:w="1067" w:type="dxa"/>
            <w:tcBorders>
              <w:top w:val="nil"/>
              <w:left w:val="nil"/>
              <w:bottom w:val="single" w:sz="4" w:space="0" w:color="auto"/>
              <w:right w:val="single" w:sz="4" w:space="0" w:color="auto"/>
            </w:tcBorders>
            <w:shd w:val="clear" w:color="auto" w:fill="auto"/>
            <w:noWrap/>
            <w:vAlign w:val="center"/>
          </w:tcPr>
          <w:p w14:paraId="4EDE0669" w14:textId="4EEF87B2" w:rsidR="003F29CE" w:rsidRPr="002047BA" w:rsidRDefault="003F29CE" w:rsidP="003F29CE">
            <w:pPr>
              <w:jc w:val="right"/>
              <w:rPr>
                <w:rFonts w:ascii="Arial" w:hAnsi="Arial" w:cs="Arial"/>
                <w:sz w:val="16"/>
                <w:szCs w:val="16"/>
                <w:lang w:eastAsia="es-AR"/>
              </w:rPr>
            </w:pPr>
            <w:r>
              <w:rPr>
                <w:rFonts w:ascii="Arial" w:hAnsi="Arial" w:cs="Arial"/>
                <w:sz w:val="16"/>
                <w:szCs w:val="16"/>
              </w:rPr>
              <w:t>107.471</w:t>
            </w:r>
          </w:p>
        </w:tc>
        <w:tc>
          <w:tcPr>
            <w:tcW w:w="1069" w:type="dxa"/>
            <w:tcBorders>
              <w:top w:val="nil"/>
              <w:left w:val="nil"/>
              <w:bottom w:val="single" w:sz="4" w:space="0" w:color="auto"/>
              <w:right w:val="single" w:sz="4" w:space="0" w:color="auto"/>
            </w:tcBorders>
            <w:shd w:val="clear" w:color="auto" w:fill="auto"/>
            <w:noWrap/>
            <w:vAlign w:val="center"/>
          </w:tcPr>
          <w:p w14:paraId="36A8D658" w14:textId="38F0EA63"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139.852</w:t>
            </w:r>
          </w:p>
        </w:tc>
        <w:tc>
          <w:tcPr>
            <w:tcW w:w="1209" w:type="dxa"/>
            <w:tcBorders>
              <w:top w:val="nil"/>
              <w:left w:val="nil"/>
              <w:bottom w:val="single" w:sz="4" w:space="0" w:color="auto"/>
              <w:right w:val="single" w:sz="4" w:space="0" w:color="auto"/>
            </w:tcBorders>
            <w:shd w:val="clear" w:color="auto" w:fill="auto"/>
            <w:noWrap/>
            <w:vAlign w:val="center"/>
          </w:tcPr>
          <w:p w14:paraId="0633AC8A" w14:textId="612FC71E" w:rsidR="003F29CE" w:rsidRPr="002047BA" w:rsidRDefault="003F29CE" w:rsidP="003F29CE">
            <w:pPr>
              <w:jc w:val="right"/>
              <w:rPr>
                <w:rFonts w:ascii="Arial" w:hAnsi="Arial" w:cs="Arial"/>
                <w:sz w:val="16"/>
                <w:szCs w:val="16"/>
                <w:lang w:eastAsia="es-AR"/>
              </w:rPr>
            </w:pPr>
            <w:r>
              <w:rPr>
                <w:rFonts w:ascii="Arial" w:hAnsi="Arial" w:cs="Arial"/>
                <w:sz w:val="16"/>
                <w:szCs w:val="16"/>
              </w:rPr>
              <w:t>2.671.646</w:t>
            </w:r>
          </w:p>
        </w:tc>
        <w:tc>
          <w:tcPr>
            <w:tcW w:w="1276" w:type="dxa"/>
            <w:tcBorders>
              <w:top w:val="nil"/>
              <w:left w:val="nil"/>
              <w:bottom w:val="single" w:sz="4" w:space="0" w:color="auto"/>
              <w:right w:val="single" w:sz="4" w:space="0" w:color="auto"/>
            </w:tcBorders>
            <w:shd w:val="clear" w:color="auto" w:fill="auto"/>
            <w:noWrap/>
            <w:vAlign w:val="center"/>
          </w:tcPr>
          <w:p w14:paraId="076ED0F3" w14:textId="3AE2961A" w:rsidR="003F29CE" w:rsidRPr="00534414" w:rsidRDefault="003F29CE" w:rsidP="003F29CE">
            <w:pPr>
              <w:jc w:val="right"/>
              <w:rPr>
                <w:rFonts w:ascii="Arial" w:hAnsi="Arial" w:cs="Arial"/>
                <w:sz w:val="16"/>
                <w:szCs w:val="16"/>
              </w:rPr>
            </w:pPr>
            <w:r>
              <w:rPr>
                <w:rFonts w:ascii="Arial" w:hAnsi="Arial" w:cs="Arial"/>
                <w:sz w:val="16"/>
                <w:szCs w:val="16"/>
              </w:rPr>
              <w:t>2.815.589</w:t>
            </w:r>
          </w:p>
        </w:tc>
      </w:tr>
      <w:tr w:rsidR="003F29CE" w:rsidRPr="006F2033" w14:paraId="774B08E4" w14:textId="77777777" w:rsidTr="00B74592">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8DCFC7B" w14:textId="763A8A2D"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Performance Dólares</w:t>
            </w:r>
          </w:p>
        </w:tc>
        <w:tc>
          <w:tcPr>
            <w:tcW w:w="1269" w:type="dxa"/>
            <w:tcBorders>
              <w:top w:val="nil"/>
              <w:left w:val="nil"/>
              <w:bottom w:val="single" w:sz="4" w:space="0" w:color="auto"/>
              <w:right w:val="single" w:sz="4" w:space="0" w:color="auto"/>
            </w:tcBorders>
            <w:shd w:val="clear" w:color="auto" w:fill="auto"/>
            <w:noWrap/>
            <w:vAlign w:val="center"/>
          </w:tcPr>
          <w:p w14:paraId="70CEC4C9" w14:textId="14D6EE97" w:rsidR="003F29CE" w:rsidRPr="002047BA" w:rsidRDefault="003F29CE" w:rsidP="003F29CE">
            <w:pPr>
              <w:jc w:val="right"/>
              <w:rPr>
                <w:rFonts w:ascii="Arial" w:hAnsi="Arial" w:cs="Arial"/>
                <w:sz w:val="16"/>
                <w:szCs w:val="16"/>
              </w:rPr>
            </w:pPr>
            <w:r>
              <w:rPr>
                <w:rFonts w:ascii="Arial" w:hAnsi="Arial" w:cs="Arial"/>
                <w:sz w:val="16"/>
                <w:szCs w:val="16"/>
              </w:rPr>
              <w:t>465.278</w:t>
            </w:r>
          </w:p>
        </w:tc>
        <w:tc>
          <w:tcPr>
            <w:tcW w:w="1134" w:type="dxa"/>
            <w:tcBorders>
              <w:top w:val="nil"/>
              <w:left w:val="nil"/>
              <w:bottom w:val="single" w:sz="4" w:space="0" w:color="auto"/>
              <w:right w:val="single" w:sz="4" w:space="0" w:color="auto"/>
            </w:tcBorders>
            <w:shd w:val="clear" w:color="auto" w:fill="auto"/>
            <w:noWrap/>
            <w:vAlign w:val="center"/>
          </w:tcPr>
          <w:p w14:paraId="47604583" w14:textId="37B3A24B" w:rsidR="003F29CE" w:rsidRPr="00534414" w:rsidRDefault="003F29CE" w:rsidP="003F29CE">
            <w:pPr>
              <w:jc w:val="right"/>
              <w:rPr>
                <w:rFonts w:ascii="Arial" w:hAnsi="Arial" w:cs="Arial"/>
                <w:sz w:val="16"/>
                <w:szCs w:val="16"/>
              </w:rPr>
            </w:pPr>
            <w:r>
              <w:rPr>
                <w:rFonts w:ascii="Arial" w:hAnsi="Arial" w:cs="Arial"/>
                <w:sz w:val="16"/>
                <w:szCs w:val="16"/>
              </w:rPr>
              <w:t>489.287</w:t>
            </w:r>
          </w:p>
        </w:tc>
        <w:tc>
          <w:tcPr>
            <w:tcW w:w="1067" w:type="dxa"/>
            <w:tcBorders>
              <w:top w:val="nil"/>
              <w:left w:val="nil"/>
              <w:bottom w:val="single" w:sz="4" w:space="0" w:color="auto"/>
              <w:right w:val="single" w:sz="4" w:space="0" w:color="auto"/>
            </w:tcBorders>
            <w:shd w:val="clear" w:color="auto" w:fill="auto"/>
            <w:noWrap/>
            <w:vAlign w:val="center"/>
          </w:tcPr>
          <w:p w14:paraId="53577B0B" w14:textId="50D587F3" w:rsidR="003F29CE" w:rsidRPr="002047BA" w:rsidRDefault="003F29CE" w:rsidP="003F29CE">
            <w:pPr>
              <w:jc w:val="right"/>
              <w:rPr>
                <w:rFonts w:ascii="Arial" w:hAnsi="Arial" w:cs="Arial"/>
                <w:sz w:val="16"/>
                <w:szCs w:val="16"/>
              </w:rPr>
            </w:pPr>
            <w:r>
              <w:rPr>
                <w:rFonts w:ascii="Arial" w:hAnsi="Arial" w:cs="Arial"/>
                <w:sz w:val="16"/>
                <w:szCs w:val="16"/>
              </w:rPr>
              <w:t>464.762</w:t>
            </w:r>
          </w:p>
        </w:tc>
        <w:tc>
          <w:tcPr>
            <w:tcW w:w="1069" w:type="dxa"/>
            <w:tcBorders>
              <w:top w:val="nil"/>
              <w:left w:val="nil"/>
              <w:bottom w:val="single" w:sz="4" w:space="0" w:color="auto"/>
              <w:right w:val="single" w:sz="4" w:space="0" w:color="auto"/>
            </w:tcBorders>
            <w:shd w:val="clear" w:color="auto" w:fill="auto"/>
            <w:noWrap/>
            <w:vAlign w:val="center"/>
          </w:tcPr>
          <w:p w14:paraId="5E1847A3" w14:textId="0165EFAA" w:rsidR="003F29CE" w:rsidRPr="00534414" w:rsidRDefault="003F29CE" w:rsidP="003F29CE">
            <w:pPr>
              <w:jc w:val="right"/>
              <w:rPr>
                <w:rFonts w:ascii="Arial" w:hAnsi="Arial" w:cs="Arial"/>
                <w:sz w:val="16"/>
                <w:szCs w:val="16"/>
              </w:rPr>
            </w:pPr>
            <w:r>
              <w:rPr>
                <w:rFonts w:ascii="Arial" w:hAnsi="Arial" w:cs="Arial"/>
                <w:sz w:val="16"/>
                <w:szCs w:val="16"/>
              </w:rPr>
              <w:t>488.190</w:t>
            </w:r>
          </w:p>
        </w:tc>
        <w:tc>
          <w:tcPr>
            <w:tcW w:w="1209" w:type="dxa"/>
            <w:tcBorders>
              <w:top w:val="nil"/>
              <w:left w:val="nil"/>
              <w:bottom w:val="single" w:sz="4" w:space="0" w:color="auto"/>
              <w:right w:val="single" w:sz="4" w:space="0" w:color="auto"/>
            </w:tcBorders>
            <w:shd w:val="clear" w:color="auto" w:fill="auto"/>
            <w:noWrap/>
            <w:vAlign w:val="center"/>
          </w:tcPr>
          <w:p w14:paraId="64810E9B" w14:textId="22D542DD" w:rsidR="003F29CE" w:rsidRPr="002047BA" w:rsidRDefault="003F29CE" w:rsidP="003F29CE">
            <w:pPr>
              <w:jc w:val="right"/>
              <w:rPr>
                <w:rFonts w:ascii="Arial" w:hAnsi="Arial" w:cs="Arial"/>
                <w:sz w:val="16"/>
                <w:szCs w:val="16"/>
              </w:rPr>
            </w:pPr>
            <w:r>
              <w:rPr>
                <w:rFonts w:ascii="Arial" w:hAnsi="Arial" w:cs="Arial"/>
                <w:sz w:val="16"/>
                <w:szCs w:val="16"/>
              </w:rPr>
              <w:t>8.883.822</w:t>
            </w:r>
          </w:p>
        </w:tc>
        <w:tc>
          <w:tcPr>
            <w:tcW w:w="1276" w:type="dxa"/>
            <w:tcBorders>
              <w:top w:val="nil"/>
              <w:left w:val="nil"/>
              <w:bottom w:val="single" w:sz="4" w:space="0" w:color="auto"/>
              <w:right w:val="single" w:sz="4" w:space="0" w:color="auto"/>
            </w:tcBorders>
            <w:shd w:val="clear" w:color="auto" w:fill="auto"/>
            <w:noWrap/>
            <w:vAlign w:val="center"/>
          </w:tcPr>
          <w:p w14:paraId="461A3AB5" w14:textId="21A531AC" w:rsidR="003F29CE" w:rsidRPr="00534414" w:rsidRDefault="003F29CE" w:rsidP="003F29CE">
            <w:pPr>
              <w:jc w:val="right"/>
              <w:rPr>
                <w:rFonts w:ascii="Arial" w:hAnsi="Arial" w:cs="Arial"/>
                <w:sz w:val="16"/>
                <w:szCs w:val="16"/>
              </w:rPr>
            </w:pPr>
            <w:r>
              <w:rPr>
                <w:rFonts w:ascii="Arial" w:hAnsi="Arial" w:cs="Arial"/>
                <w:sz w:val="16"/>
                <w:szCs w:val="16"/>
              </w:rPr>
              <w:t>9.312.208</w:t>
            </w:r>
          </w:p>
        </w:tc>
      </w:tr>
      <w:tr w:rsidR="003F29CE" w:rsidRPr="006F2033" w14:paraId="6D6F2D80" w14:textId="77777777" w:rsidTr="00066653">
        <w:trPr>
          <w:gridAfter w:val="1"/>
          <w:wAfter w:w="12" w:type="dxa"/>
          <w:trHeight w:val="184"/>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C64D0D7" w14:textId="1B0F981A" w:rsidR="003F29CE" w:rsidRPr="00EC349E" w:rsidRDefault="003F29CE" w:rsidP="003F29CE">
            <w:pPr>
              <w:rPr>
                <w:rFonts w:ascii="Arial" w:hAnsi="Arial" w:cs="Arial"/>
                <w:color w:val="000000"/>
                <w:sz w:val="16"/>
                <w:szCs w:val="18"/>
                <w:lang w:eastAsia="es-AR"/>
              </w:rPr>
            </w:pPr>
            <w:r w:rsidRPr="0066728C">
              <w:rPr>
                <w:rFonts w:ascii="Arial" w:hAnsi="Arial" w:cs="Arial"/>
                <w:color w:val="000000"/>
                <w:sz w:val="16"/>
                <w:szCs w:val="18"/>
                <w:lang w:eastAsia="es-AR"/>
              </w:rPr>
              <w:t>Premier Global USD</w:t>
            </w:r>
          </w:p>
        </w:tc>
        <w:tc>
          <w:tcPr>
            <w:tcW w:w="1269" w:type="dxa"/>
            <w:tcBorders>
              <w:top w:val="nil"/>
              <w:left w:val="nil"/>
              <w:bottom w:val="single" w:sz="4" w:space="0" w:color="auto"/>
              <w:right w:val="single" w:sz="4" w:space="0" w:color="auto"/>
            </w:tcBorders>
            <w:shd w:val="clear" w:color="auto" w:fill="auto"/>
            <w:noWrap/>
            <w:vAlign w:val="center"/>
          </w:tcPr>
          <w:p w14:paraId="62AC7D61" w14:textId="51F6FE64" w:rsidR="003F29CE" w:rsidRPr="002047BA" w:rsidRDefault="003F29CE" w:rsidP="003F29CE">
            <w:pPr>
              <w:jc w:val="right"/>
              <w:rPr>
                <w:rFonts w:ascii="Arial" w:hAnsi="Arial" w:cs="Arial"/>
                <w:sz w:val="16"/>
                <w:szCs w:val="16"/>
                <w:lang w:eastAsia="es-AR"/>
              </w:rPr>
            </w:pPr>
            <w:r>
              <w:rPr>
                <w:rFonts w:ascii="Arial" w:hAnsi="Arial" w:cs="Arial"/>
                <w:sz w:val="16"/>
                <w:szCs w:val="16"/>
              </w:rPr>
              <w:t>656.302</w:t>
            </w:r>
          </w:p>
        </w:tc>
        <w:tc>
          <w:tcPr>
            <w:tcW w:w="1134" w:type="dxa"/>
            <w:tcBorders>
              <w:top w:val="nil"/>
              <w:left w:val="nil"/>
              <w:bottom w:val="single" w:sz="4" w:space="0" w:color="auto"/>
              <w:right w:val="single" w:sz="4" w:space="0" w:color="auto"/>
            </w:tcBorders>
            <w:shd w:val="clear" w:color="auto" w:fill="auto"/>
            <w:noWrap/>
            <w:vAlign w:val="center"/>
          </w:tcPr>
          <w:p w14:paraId="0E52D1B3" w14:textId="500C393A" w:rsidR="003F29CE" w:rsidRPr="0066728C" w:rsidRDefault="003F29CE" w:rsidP="003F29CE">
            <w:pPr>
              <w:jc w:val="right"/>
              <w:rPr>
                <w:rFonts w:ascii="Arial" w:hAnsi="Arial" w:cs="Arial"/>
                <w:sz w:val="16"/>
                <w:szCs w:val="16"/>
                <w:lang w:eastAsia="es-AR"/>
              </w:rPr>
            </w:pPr>
            <w:r>
              <w:rPr>
                <w:rFonts w:ascii="Arial" w:hAnsi="Arial" w:cs="Arial"/>
                <w:sz w:val="16"/>
                <w:szCs w:val="16"/>
              </w:rPr>
              <w:t>753.430</w:t>
            </w:r>
          </w:p>
        </w:tc>
        <w:tc>
          <w:tcPr>
            <w:tcW w:w="1067" w:type="dxa"/>
            <w:tcBorders>
              <w:top w:val="nil"/>
              <w:left w:val="nil"/>
              <w:bottom w:val="single" w:sz="4" w:space="0" w:color="auto"/>
              <w:right w:val="single" w:sz="4" w:space="0" w:color="auto"/>
            </w:tcBorders>
            <w:shd w:val="clear" w:color="auto" w:fill="auto"/>
            <w:noWrap/>
            <w:vAlign w:val="center"/>
          </w:tcPr>
          <w:p w14:paraId="1A43833E" w14:textId="4AF77FD9" w:rsidR="003F29CE" w:rsidRPr="002047BA" w:rsidRDefault="003F29CE" w:rsidP="003F29CE">
            <w:pPr>
              <w:jc w:val="right"/>
              <w:rPr>
                <w:rFonts w:ascii="Arial" w:hAnsi="Arial" w:cs="Arial"/>
                <w:sz w:val="16"/>
                <w:szCs w:val="16"/>
                <w:lang w:eastAsia="es-AR"/>
              </w:rPr>
            </w:pPr>
            <w:r>
              <w:rPr>
                <w:rFonts w:ascii="Arial" w:hAnsi="Arial" w:cs="Arial"/>
                <w:sz w:val="16"/>
                <w:szCs w:val="16"/>
              </w:rPr>
              <w:t>655.850</w:t>
            </w:r>
          </w:p>
        </w:tc>
        <w:tc>
          <w:tcPr>
            <w:tcW w:w="1069" w:type="dxa"/>
            <w:tcBorders>
              <w:top w:val="nil"/>
              <w:left w:val="nil"/>
              <w:bottom w:val="single" w:sz="4" w:space="0" w:color="auto"/>
              <w:right w:val="single" w:sz="4" w:space="0" w:color="auto"/>
            </w:tcBorders>
            <w:shd w:val="clear" w:color="auto" w:fill="auto"/>
            <w:noWrap/>
            <w:vAlign w:val="center"/>
          </w:tcPr>
          <w:p w14:paraId="2B0E9261" w14:textId="7FFC38A3" w:rsidR="003F29CE" w:rsidRPr="0066728C" w:rsidRDefault="003F29CE" w:rsidP="003F29CE">
            <w:pPr>
              <w:jc w:val="right"/>
              <w:rPr>
                <w:rFonts w:ascii="Arial" w:hAnsi="Arial" w:cs="Arial"/>
                <w:sz w:val="16"/>
                <w:szCs w:val="16"/>
                <w:lang w:eastAsia="es-AR"/>
              </w:rPr>
            </w:pPr>
            <w:r>
              <w:rPr>
                <w:rFonts w:ascii="Arial" w:hAnsi="Arial" w:cs="Arial"/>
                <w:sz w:val="16"/>
                <w:szCs w:val="16"/>
              </w:rPr>
              <w:t>751.106</w:t>
            </w:r>
          </w:p>
        </w:tc>
        <w:tc>
          <w:tcPr>
            <w:tcW w:w="1209" w:type="dxa"/>
            <w:tcBorders>
              <w:top w:val="nil"/>
              <w:left w:val="nil"/>
              <w:bottom w:val="single" w:sz="4" w:space="0" w:color="auto"/>
              <w:right w:val="single" w:sz="4" w:space="0" w:color="auto"/>
            </w:tcBorders>
            <w:shd w:val="clear" w:color="auto" w:fill="auto"/>
            <w:noWrap/>
            <w:vAlign w:val="center"/>
          </w:tcPr>
          <w:p w14:paraId="69125732" w14:textId="0B2A467D" w:rsidR="003F29CE" w:rsidRPr="002047BA" w:rsidRDefault="003F29CE" w:rsidP="003F29CE">
            <w:pPr>
              <w:jc w:val="right"/>
              <w:rPr>
                <w:rFonts w:ascii="Arial" w:hAnsi="Arial" w:cs="Arial"/>
                <w:sz w:val="16"/>
                <w:szCs w:val="16"/>
                <w:lang w:eastAsia="es-AR"/>
              </w:rPr>
            </w:pPr>
            <w:r>
              <w:rPr>
                <w:rFonts w:ascii="Arial" w:hAnsi="Arial" w:cs="Arial"/>
                <w:sz w:val="16"/>
                <w:szCs w:val="16"/>
              </w:rPr>
              <w:t>9.886.682</w:t>
            </w:r>
          </w:p>
        </w:tc>
        <w:tc>
          <w:tcPr>
            <w:tcW w:w="1276" w:type="dxa"/>
            <w:tcBorders>
              <w:top w:val="nil"/>
              <w:left w:val="nil"/>
              <w:bottom w:val="single" w:sz="4" w:space="0" w:color="auto"/>
              <w:right w:val="single" w:sz="4" w:space="0" w:color="auto"/>
            </w:tcBorders>
            <w:shd w:val="clear" w:color="auto" w:fill="auto"/>
            <w:noWrap/>
            <w:vAlign w:val="center"/>
          </w:tcPr>
          <w:p w14:paraId="7FA80FB2" w14:textId="596F5F3C" w:rsidR="003F29CE" w:rsidRPr="0066728C" w:rsidRDefault="003F29CE" w:rsidP="003F29CE">
            <w:pPr>
              <w:jc w:val="right"/>
              <w:rPr>
                <w:rFonts w:ascii="Arial" w:hAnsi="Arial" w:cs="Arial"/>
                <w:sz w:val="16"/>
                <w:szCs w:val="16"/>
              </w:rPr>
            </w:pPr>
            <w:r>
              <w:rPr>
                <w:rFonts w:ascii="Arial" w:hAnsi="Arial" w:cs="Arial"/>
                <w:sz w:val="16"/>
                <w:szCs w:val="16"/>
              </w:rPr>
              <w:t>11.338.023</w:t>
            </w:r>
          </w:p>
        </w:tc>
      </w:tr>
      <w:bookmarkEnd w:id="21"/>
    </w:tbl>
    <w:p w14:paraId="66843351" w14:textId="77777777" w:rsidR="00F77F7F" w:rsidRDefault="00F77F7F">
      <w:pPr>
        <w:rPr>
          <w:rFonts w:ascii="Arial" w:hAnsi="Arial" w:cs="Arial"/>
          <w:b/>
          <w:noProof/>
          <w:sz w:val="20"/>
        </w:rPr>
      </w:pPr>
      <w:r>
        <w:rPr>
          <w:rFonts w:ascii="Arial" w:hAnsi="Arial" w:cs="Arial"/>
          <w:b/>
          <w:noProof/>
          <w:sz w:val="20"/>
        </w:rPr>
        <w:br w:type="page"/>
      </w:r>
    </w:p>
    <w:p w14:paraId="1DA2CB3E" w14:textId="7353878D" w:rsidR="00A06BE9" w:rsidRPr="00701F32" w:rsidRDefault="006B5772" w:rsidP="00A06BE9">
      <w:pPr>
        <w:widowControl w:val="0"/>
        <w:autoSpaceDE w:val="0"/>
        <w:autoSpaceDN w:val="0"/>
        <w:adjustRightInd w:val="0"/>
        <w:jc w:val="both"/>
        <w:rPr>
          <w:rFonts w:ascii="Arial" w:hAnsi="Arial" w:cs="Arial"/>
          <w:b/>
          <w:noProof/>
          <w:sz w:val="20"/>
        </w:rPr>
      </w:pPr>
      <w:r>
        <w:rPr>
          <w:rFonts w:ascii="Arial" w:hAnsi="Arial" w:cs="Arial"/>
          <w:b/>
          <w:noProof/>
          <w:sz w:val="20"/>
        </w:rPr>
        <w:lastRenderedPageBreak/>
        <w:t>9</w:t>
      </w:r>
      <w:r w:rsidR="00A06BE9" w:rsidRPr="00701F32">
        <w:rPr>
          <w:rFonts w:ascii="Arial" w:hAnsi="Arial" w:cs="Arial"/>
          <w:b/>
          <w:noProof/>
          <w:sz w:val="20"/>
        </w:rPr>
        <w:t xml:space="preserve">. </w:t>
      </w:r>
      <w:r w:rsidR="00582EAB" w:rsidRPr="00701F32">
        <w:rPr>
          <w:rFonts w:ascii="Arial" w:hAnsi="Arial" w:cs="Arial"/>
          <w:b/>
          <w:noProof/>
          <w:sz w:val="20"/>
        </w:rPr>
        <w:t>INFORMACION ADICIONAL REQUERIDA POR EL BCRA</w:t>
      </w:r>
    </w:p>
    <w:p w14:paraId="095BC16C" w14:textId="77777777" w:rsidR="00A06BE9" w:rsidRPr="00701F32" w:rsidRDefault="00A06BE9" w:rsidP="00A06BE9">
      <w:pPr>
        <w:jc w:val="both"/>
        <w:rPr>
          <w:rFonts w:ascii="Arial" w:hAnsi="Arial" w:cs="Arial"/>
          <w:b/>
          <w:sz w:val="20"/>
        </w:rPr>
      </w:pPr>
    </w:p>
    <w:p w14:paraId="2018130B" w14:textId="61999D00" w:rsidR="00A06BE9" w:rsidRPr="00701F32" w:rsidRDefault="006B5772" w:rsidP="00A06BE9">
      <w:pPr>
        <w:tabs>
          <w:tab w:val="left" w:pos="142"/>
          <w:tab w:val="left" w:pos="9923"/>
        </w:tabs>
        <w:spacing w:after="200" w:line="276" w:lineRule="auto"/>
        <w:contextualSpacing/>
        <w:jc w:val="both"/>
        <w:rPr>
          <w:rFonts w:ascii="Arial" w:hAnsi="Arial" w:cs="Arial"/>
          <w:b/>
          <w:sz w:val="20"/>
        </w:rPr>
      </w:pPr>
      <w:r>
        <w:rPr>
          <w:rFonts w:ascii="Arial" w:hAnsi="Arial" w:cs="Arial"/>
          <w:b/>
          <w:sz w:val="20"/>
        </w:rPr>
        <w:t>9</w:t>
      </w:r>
      <w:r w:rsidR="00A06BE9" w:rsidRPr="00701F32">
        <w:rPr>
          <w:rFonts w:ascii="Arial" w:hAnsi="Arial" w:cs="Arial"/>
          <w:b/>
          <w:sz w:val="20"/>
        </w:rPr>
        <w:t xml:space="preserve">.1 Sistema de Seguros de Garantía de Depósitos </w:t>
      </w:r>
    </w:p>
    <w:p w14:paraId="569F596C" w14:textId="77777777" w:rsidR="00A06BE9" w:rsidRPr="00701F32" w:rsidRDefault="00A06BE9" w:rsidP="00A06BE9">
      <w:pPr>
        <w:tabs>
          <w:tab w:val="left" w:pos="142"/>
          <w:tab w:val="left" w:pos="9923"/>
        </w:tabs>
        <w:spacing w:after="200" w:line="276" w:lineRule="auto"/>
        <w:contextualSpacing/>
        <w:jc w:val="both"/>
        <w:rPr>
          <w:rFonts w:ascii="Arial" w:hAnsi="Arial" w:cs="Arial"/>
          <w:sz w:val="20"/>
        </w:rPr>
      </w:pPr>
    </w:p>
    <w:p w14:paraId="3A366890"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Mediante la Ley N° 24485 y el Decreto N° 540/95 se dispuso la creación del Sistema de Seguro de Garantía de los Depósitos con el objeto de cubrir el riesgo de los depósitos bancarios adicionalmente al sistema de privilegios y protección previsto en la Ley de Entidades Financieras.</w:t>
      </w:r>
    </w:p>
    <w:p w14:paraId="54563E78" w14:textId="77777777" w:rsidR="00A06BE9" w:rsidRPr="00701F32" w:rsidRDefault="00A06BE9" w:rsidP="00A06BE9">
      <w:pPr>
        <w:tabs>
          <w:tab w:val="left" w:pos="142"/>
        </w:tabs>
        <w:jc w:val="both"/>
        <w:rPr>
          <w:rFonts w:ascii="Arial" w:hAnsi="Arial" w:cs="Arial"/>
          <w:sz w:val="20"/>
        </w:rPr>
      </w:pPr>
    </w:p>
    <w:p w14:paraId="0BA7597D" w14:textId="6B13D457" w:rsidR="00A06BE9" w:rsidRPr="00701F32" w:rsidRDefault="00A06BE9" w:rsidP="00A06BE9">
      <w:pPr>
        <w:tabs>
          <w:tab w:val="left" w:pos="142"/>
        </w:tabs>
        <w:jc w:val="both"/>
        <w:rPr>
          <w:rFonts w:ascii="Arial" w:hAnsi="Arial" w:cs="Arial"/>
          <w:sz w:val="20"/>
        </w:rPr>
      </w:pPr>
      <w:r w:rsidRPr="00701F32">
        <w:rPr>
          <w:rFonts w:ascii="Arial" w:hAnsi="Arial" w:cs="Arial"/>
          <w:sz w:val="20"/>
        </w:rPr>
        <w:t xml:space="preserve">Por el Decreto N° 1127/98 del 24 de septiembre de 1998, el P.E.N. estableció el límite máximo de cobertura del sistema de garantía, alcanzando a los depósitos a la vista o a plazo fijo, en pesos y/o moneda extranjera.  </w:t>
      </w:r>
      <w:r w:rsidR="00CB0AB9">
        <w:rPr>
          <w:rFonts w:ascii="Arial" w:hAnsi="Arial" w:cs="Arial"/>
          <w:sz w:val="20"/>
        </w:rPr>
        <w:t>Hasta el 28 de febrero de 2019,</w:t>
      </w:r>
      <w:r w:rsidR="00CB0AB9" w:rsidRPr="00701F32">
        <w:rPr>
          <w:rFonts w:ascii="Arial" w:hAnsi="Arial" w:cs="Arial"/>
          <w:sz w:val="20"/>
        </w:rPr>
        <w:t xml:space="preserve"> </w:t>
      </w:r>
      <w:r w:rsidRPr="00701F32">
        <w:rPr>
          <w:rFonts w:ascii="Arial" w:hAnsi="Arial" w:cs="Arial"/>
          <w:sz w:val="20"/>
        </w:rPr>
        <w:t>dicho límite alcanza</w:t>
      </w:r>
      <w:r w:rsidR="00CB0AB9">
        <w:rPr>
          <w:rFonts w:ascii="Arial" w:hAnsi="Arial" w:cs="Arial"/>
          <w:sz w:val="20"/>
        </w:rPr>
        <w:t>ba</w:t>
      </w:r>
      <w:r w:rsidRPr="00701F32">
        <w:rPr>
          <w:rFonts w:ascii="Arial" w:hAnsi="Arial" w:cs="Arial"/>
          <w:sz w:val="20"/>
        </w:rPr>
        <w:t xml:space="preserve"> la suma de </w:t>
      </w:r>
      <w:r w:rsidR="0049795D">
        <w:rPr>
          <w:rFonts w:ascii="Arial" w:hAnsi="Arial" w:cs="Arial"/>
          <w:sz w:val="20"/>
        </w:rPr>
        <w:t xml:space="preserve">$ </w:t>
      </w:r>
      <w:r w:rsidRPr="00701F32">
        <w:rPr>
          <w:rFonts w:ascii="Arial" w:hAnsi="Arial" w:cs="Arial"/>
          <w:sz w:val="20"/>
        </w:rPr>
        <w:t>450, el cual fue establecido por la comunicación “A” 5943.</w:t>
      </w:r>
      <w:r w:rsidR="00CB0AB9">
        <w:rPr>
          <w:rFonts w:ascii="Arial" w:hAnsi="Arial" w:cs="Arial"/>
          <w:sz w:val="20"/>
        </w:rPr>
        <w:t xml:space="preserve"> A partir del 1</w:t>
      </w:r>
      <w:r w:rsidR="00FC3A36">
        <w:rPr>
          <w:rFonts w:ascii="Arial" w:hAnsi="Arial" w:cs="Arial"/>
          <w:sz w:val="20"/>
        </w:rPr>
        <w:t>°</w:t>
      </w:r>
      <w:r w:rsidR="00CB0AB9">
        <w:rPr>
          <w:rFonts w:ascii="Arial" w:hAnsi="Arial" w:cs="Arial"/>
          <w:sz w:val="20"/>
        </w:rPr>
        <w:t xml:space="preserve"> de marzo de 2019 el nuevo límite asciende a </w:t>
      </w:r>
      <w:r w:rsidR="008F0913">
        <w:rPr>
          <w:rFonts w:ascii="Arial" w:hAnsi="Arial" w:cs="Arial"/>
          <w:sz w:val="20"/>
        </w:rPr>
        <w:t xml:space="preserve">$ </w:t>
      </w:r>
      <w:r w:rsidR="00CB0AB9">
        <w:rPr>
          <w:rFonts w:ascii="Arial" w:hAnsi="Arial" w:cs="Arial"/>
          <w:sz w:val="20"/>
        </w:rPr>
        <w:t xml:space="preserve">1.000, </w:t>
      </w:r>
      <w:r w:rsidR="00F20D65">
        <w:rPr>
          <w:rFonts w:ascii="Arial" w:hAnsi="Arial" w:cs="Arial"/>
          <w:sz w:val="20"/>
        </w:rPr>
        <w:t>de acuerdo con</w:t>
      </w:r>
      <w:r w:rsidR="00CB0AB9">
        <w:rPr>
          <w:rFonts w:ascii="Arial" w:hAnsi="Arial" w:cs="Arial"/>
          <w:sz w:val="20"/>
        </w:rPr>
        <w:t xml:space="preserve"> lo establecido por la Comun</w:t>
      </w:r>
      <w:r w:rsidR="00822C01">
        <w:rPr>
          <w:rFonts w:ascii="Arial" w:hAnsi="Arial" w:cs="Arial"/>
          <w:sz w:val="20"/>
        </w:rPr>
        <w:t>i</w:t>
      </w:r>
      <w:r w:rsidR="00CB0AB9">
        <w:rPr>
          <w:rFonts w:ascii="Arial" w:hAnsi="Arial" w:cs="Arial"/>
          <w:sz w:val="20"/>
        </w:rPr>
        <w:t>cación “A” 6654.</w:t>
      </w:r>
    </w:p>
    <w:p w14:paraId="2E20C65C"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 xml:space="preserve"> </w:t>
      </w:r>
    </w:p>
    <w:p w14:paraId="3A6688DF" w14:textId="5C8DA1C0" w:rsidR="00A06BE9" w:rsidRDefault="00A06BE9" w:rsidP="00A06BE9">
      <w:pPr>
        <w:jc w:val="both"/>
        <w:rPr>
          <w:rFonts w:ascii="Arial" w:hAnsi="Arial" w:cs="Arial"/>
          <w:sz w:val="20"/>
        </w:rPr>
      </w:pPr>
      <w:r w:rsidRPr="00701F32">
        <w:rPr>
          <w:rFonts w:ascii="Arial" w:hAnsi="Arial" w:cs="Arial"/>
          <w:sz w:val="20"/>
        </w:rPr>
        <w:t>No están incluidos en el presente régimen los depósitos efectuados por otras entidades financieras (incluyendo los certificados a plazo fijo adquiridos por negociación secundaria), los depósitos efectuados por personas vinculadas directa o indirectamente a la entidad, los depósitos de títulos valores, aceptaciones o garantías y</w:t>
      </w:r>
      <w:r w:rsidR="00682968" w:rsidRPr="00701F32">
        <w:rPr>
          <w:rFonts w:ascii="Arial" w:hAnsi="Arial" w:cs="Arial"/>
          <w:sz w:val="20"/>
        </w:rPr>
        <w:t>,</w:t>
      </w:r>
      <w:r w:rsidRPr="00701F32">
        <w:rPr>
          <w:rFonts w:ascii="Arial" w:hAnsi="Arial" w:cs="Arial"/>
          <w:sz w:val="20"/>
        </w:rPr>
        <w:t xml:space="preserve"> </w:t>
      </w:r>
      <w:r w:rsidR="00682968" w:rsidRPr="00701F32">
        <w:rPr>
          <w:rFonts w:ascii="Arial" w:hAnsi="Arial" w:cs="Arial"/>
          <w:sz w:val="20"/>
        </w:rPr>
        <w:t xml:space="preserve">los depósitos a la vista convenidos </w:t>
      </w:r>
      <w:r w:rsidRPr="00701F32">
        <w:rPr>
          <w:rFonts w:ascii="Arial" w:hAnsi="Arial" w:cs="Arial"/>
          <w:sz w:val="20"/>
        </w:rPr>
        <w:t>a una tasa superior a la establecida periódicamente por el BCRA en base a la encuesta diaria que realiza dicha institución</w:t>
      </w:r>
      <w:r w:rsidR="009D5931">
        <w:rPr>
          <w:rFonts w:ascii="Arial" w:hAnsi="Arial" w:cs="Arial"/>
          <w:sz w:val="20"/>
        </w:rPr>
        <w:t xml:space="preserve"> (*)</w:t>
      </w:r>
      <w:r w:rsidR="00682968" w:rsidRPr="00701F32">
        <w:rPr>
          <w:rFonts w:ascii="Arial" w:hAnsi="Arial" w:cs="Arial"/>
          <w:sz w:val="20"/>
        </w:rPr>
        <w:t xml:space="preserve"> y los depósitos </w:t>
      </w:r>
      <w:r w:rsidR="005C4329" w:rsidRPr="00701F32">
        <w:rPr>
          <w:rFonts w:ascii="Arial" w:hAnsi="Arial" w:cs="Arial"/>
          <w:sz w:val="20"/>
        </w:rPr>
        <w:t>e</w:t>
      </w:r>
      <w:r w:rsidR="00682968" w:rsidRPr="00701F32">
        <w:rPr>
          <w:rFonts w:ascii="Arial" w:hAnsi="Arial" w:cs="Arial"/>
          <w:sz w:val="20"/>
        </w:rPr>
        <w:t xml:space="preserve"> inversiones a plazo que superen en 1,3 veces dicha tasa o la tasa de referencia mas 5 puntos porcentuales, la que fuese mayor</w:t>
      </w:r>
      <w:r w:rsidR="009D5931">
        <w:rPr>
          <w:rFonts w:ascii="Arial" w:hAnsi="Arial" w:cs="Arial"/>
          <w:sz w:val="20"/>
        </w:rPr>
        <w:t xml:space="preserve"> (*)</w:t>
      </w:r>
      <w:r w:rsidRPr="00701F32">
        <w:rPr>
          <w:rFonts w:ascii="Arial" w:hAnsi="Arial" w:cs="Arial"/>
          <w:sz w:val="20"/>
        </w:rPr>
        <w:t>. También se hallan excluidos los depósitos cuya titularidad haya sido adquirida vía endoso y las imposiciones que ofrezcan incentivos adicionales a la tasa de interés. El sistema ha sido implementado mediante la creación de un fondo denominado "Fondo de Garantía de los Depósitos" (F.G.D.), que es administrado por la sociedad Seguros de Depósitos S.A. (SEDESA) y cuyos accionistas son el BCRA y las entidades financieras en la proporción que para cada una de ellas determina dicha institución en función de los aportes efectuados al mencionado fondo.</w:t>
      </w:r>
    </w:p>
    <w:p w14:paraId="6ADBFA3D" w14:textId="7E3DC286" w:rsidR="009D5931" w:rsidRDefault="009D5931" w:rsidP="00A06BE9">
      <w:pPr>
        <w:jc w:val="both"/>
        <w:rPr>
          <w:rFonts w:ascii="Arial" w:hAnsi="Arial" w:cs="Arial"/>
          <w:sz w:val="20"/>
        </w:rPr>
      </w:pPr>
    </w:p>
    <w:p w14:paraId="225C8931" w14:textId="06789DAD" w:rsidR="009D5931" w:rsidRPr="00701F32" w:rsidRDefault="00FF46E5" w:rsidP="00A06BE9">
      <w:pPr>
        <w:jc w:val="both"/>
        <w:rPr>
          <w:rFonts w:ascii="Arial" w:hAnsi="Arial" w:cs="Arial"/>
          <w:sz w:val="20"/>
        </w:rPr>
      </w:pPr>
      <w:r>
        <w:rPr>
          <w:rFonts w:ascii="Arial" w:hAnsi="Arial" w:cs="Arial"/>
          <w:sz w:val="20"/>
        </w:rPr>
        <w:t>(*)</w:t>
      </w:r>
      <w:r w:rsidR="00552269">
        <w:rPr>
          <w:rFonts w:ascii="Arial" w:hAnsi="Arial" w:cs="Arial"/>
          <w:sz w:val="20"/>
        </w:rPr>
        <w:t xml:space="preserve"> Con vigencia a</w:t>
      </w:r>
      <w:r w:rsidR="009D5931">
        <w:rPr>
          <w:rFonts w:ascii="Arial" w:hAnsi="Arial" w:cs="Arial"/>
          <w:sz w:val="20"/>
        </w:rPr>
        <w:t xml:space="preserve"> partir del 20 de enero de 2019</w:t>
      </w:r>
      <w:r w:rsidR="00552269">
        <w:rPr>
          <w:rFonts w:ascii="Arial" w:hAnsi="Arial" w:cs="Arial"/>
          <w:sz w:val="20"/>
        </w:rPr>
        <w:t>,</w:t>
      </w:r>
      <w:r w:rsidR="009D5931">
        <w:rPr>
          <w:rFonts w:ascii="Arial" w:hAnsi="Arial" w:cs="Arial"/>
          <w:sz w:val="20"/>
        </w:rPr>
        <w:t xml:space="preserve"> </w:t>
      </w:r>
      <w:r w:rsidR="00552269">
        <w:rPr>
          <w:rFonts w:ascii="Arial" w:hAnsi="Arial" w:cs="Arial"/>
          <w:sz w:val="20"/>
        </w:rPr>
        <w:t>por disposición de</w:t>
      </w:r>
      <w:r w:rsidR="009D5931">
        <w:rPr>
          <w:rFonts w:ascii="Arial" w:hAnsi="Arial" w:cs="Arial"/>
          <w:sz w:val="20"/>
        </w:rPr>
        <w:t xml:space="preserve"> la “A” 6435</w:t>
      </w:r>
      <w:r w:rsidR="00552269">
        <w:rPr>
          <w:rFonts w:ascii="Arial" w:hAnsi="Arial" w:cs="Arial"/>
          <w:sz w:val="20"/>
        </w:rPr>
        <w:t>, dichas exclusiones son las siguientes: Los depósitos a la vista en los que se convengan tasas de interés superiores a las tasas de referencia y los depósitos e inversiones a plazo que superen 1,3 veces esa tasa.  Las tasas de referencia son difundidas periódicamente por el BCRA según el promedio móvil de los últimos cinco días hábiles bancarios</w:t>
      </w:r>
      <w:r>
        <w:rPr>
          <w:rFonts w:ascii="Arial" w:hAnsi="Arial" w:cs="Arial"/>
          <w:sz w:val="20"/>
        </w:rPr>
        <w:t xml:space="preserve"> de las tasas pasivas que para los depósitos a plazo fijo de hasta 100 (o su equivalente en otras monedas), su</w:t>
      </w:r>
      <w:r w:rsidR="00D0115C">
        <w:rPr>
          <w:rFonts w:ascii="Arial" w:hAnsi="Arial" w:cs="Arial"/>
          <w:sz w:val="20"/>
        </w:rPr>
        <w:t>r</w:t>
      </w:r>
      <w:r>
        <w:rPr>
          <w:rFonts w:ascii="Arial" w:hAnsi="Arial" w:cs="Arial"/>
          <w:sz w:val="20"/>
        </w:rPr>
        <w:t>jan de la encuesta que realiza dicha Institución.</w:t>
      </w:r>
    </w:p>
    <w:p w14:paraId="0B74108E" w14:textId="77777777" w:rsidR="00067378" w:rsidRPr="00701F32" w:rsidRDefault="00067378" w:rsidP="00A06BE9">
      <w:pPr>
        <w:jc w:val="both"/>
        <w:rPr>
          <w:rFonts w:ascii="Arial" w:hAnsi="Arial" w:cs="Arial"/>
          <w:sz w:val="20"/>
        </w:rPr>
      </w:pPr>
    </w:p>
    <w:p w14:paraId="500BD544" w14:textId="77777777" w:rsidR="00F77F7F" w:rsidRDefault="00F77F7F">
      <w:pPr>
        <w:rPr>
          <w:rFonts w:ascii="Arial" w:hAnsi="Arial" w:cs="Arial"/>
          <w:b/>
          <w:sz w:val="20"/>
        </w:rPr>
      </w:pPr>
      <w:r>
        <w:rPr>
          <w:rFonts w:ascii="Arial" w:hAnsi="Arial" w:cs="Arial"/>
          <w:b/>
          <w:sz w:val="20"/>
        </w:rPr>
        <w:br w:type="page"/>
      </w:r>
    </w:p>
    <w:p w14:paraId="5AC9BDB9" w14:textId="78B19771" w:rsidR="00A06BE9" w:rsidRPr="00701F32" w:rsidRDefault="006B5772" w:rsidP="00A06BE9">
      <w:pPr>
        <w:tabs>
          <w:tab w:val="left" w:pos="9923"/>
        </w:tabs>
        <w:spacing w:after="200" w:line="276" w:lineRule="auto"/>
        <w:jc w:val="both"/>
        <w:rPr>
          <w:rFonts w:ascii="Arial" w:hAnsi="Arial" w:cs="Arial"/>
          <w:b/>
          <w:sz w:val="20"/>
        </w:rPr>
      </w:pPr>
      <w:r>
        <w:rPr>
          <w:rFonts w:ascii="Arial" w:hAnsi="Arial" w:cs="Arial"/>
          <w:b/>
          <w:sz w:val="20"/>
        </w:rPr>
        <w:lastRenderedPageBreak/>
        <w:t>9</w:t>
      </w:r>
      <w:r w:rsidR="00A06BE9" w:rsidRPr="00534414">
        <w:rPr>
          <w:rFonts w:ascii="Arial" w:hAnsi="Arial" w:cs="Arial"/>
          <w:b/>
          <w:sz w:val="20"/>
        </w:rPr>
        <w:t>.2 Bienes de disponibilidad restringida</w:t>
      </w:r>
    </w:p>
    <w:p w14:paraId="08805334"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La Entidad posee activos cuya disponibilidad se encuentra restringida, según el siguiente detalle:</w:t>
      </w:r>
    </w:p>
    <w:p w14:paraId="52CA5E83" w14:textId="77777777" w:rsidR="00A06BE9" w:rsidRPr="00701F32" w:rsidRDefault="00A06BE9" w:rsidP="00A06BE9">
      <w:pPr>
        <w:tabs>
          <w:tab w:val="left" w:pos="142"/>
        </w:tabs>
        <w:jc w:val="both"/>
        <w:rPr>
          <w:rFonts w:ascii="Arial" w:hAnsi="Arial" w:cs="Arial"/>
          <w:sz w:val="20"/>
        </w:rPr>
      </w:pPr>
    </w:p>
    <w:tbl>
      <w:tblPr>
        <w:tblW w:w="454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39"/>
        <w:gridCol w:w="1202"/>
        <w:gridCol w:w="1181"/>
      </w:tblGrid>
      <w:tr w:rsidR="00E52346" w:rsidRPr="00701F32" w14:paraId="2AE887A1" w14:textId="77777777" w:rsidTr="00F30223">
        <w:trPr>
          <w:trHeight w:val="397"/>
          <w:tblHeader/>
          <w:jc w:val="center"/>
        </w:trPr>
        <w:tc>
          <w:tcPr>
            <w:tcW w:w="34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8967D" w14:textId="77777777" w:rsidR="00E52346" w:rsidRPr="00701F32" w:rsidRDefault="00E52346" w:rsidP="00393CEB">
            <w:pPr>
              <w:tabs>
                <w:tab w:val="left" w:pos="142"/>
              </w:tabs>
              <w:rPr>
                <w:rFonts w:ascii="Arial" w:hAnsi="Arial" w:cs="Arial"/>
                <w:b/>
                <w:bCs/>
                <w:sz w:val="18"/>
              </w:rPr>
            </w:pPr>
            <w:r w:rsidRPr="00701F32">
              <w:rPr>
                <w:rFonts w:ascii="Arial" w:hAnsi="Arial" w:cs="Arial"/>
                <w:b/>
                <w:bCs/>
                <w:sz w:val="18"/>
              </w:rPr>
              <w:t>Concepto</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21D83" w14:textId="792AE036" w:rsidR="00E52346" w:rsidRPr="00701F32" w:rsidRDefault="00E52346" w:rsidP="009C5DAE">
            <w:pPr>
              <w:jc w:val="center"/>
              <w:rPr>
                <w:rFonts w:ascii="Arial" w:hAnsi="Arial" w:cs="Arial"/>
                <w:b/>
                <w:sz w:val="18"/>
              </w:rPr>
            </w:pPr>
            <w:r w:rsidRPr="00701F32">
              <w:rPr>
                <w:rFonts w:ascii="Arial" w:hAnsi="Arial" w:cs="Arial"/>
                <w:b/>
                <w:sz w:val="18"/>
              </w:rPr>
              <w:t>3</w:t>
            </w:r>
            <w:r w:rsidR="00492DB4">
              <w:rPr>
                <w:rFonts w:ascii="Arial" w:hAnsi="Arial" w:cs="Arial"/>
                <w:b/>
                <w:sz w:val="18"/>
              </w:rPr>
              <w:t>1</w:t>
            </w:r>
            <w:r w:rsidRPr="00701F32">
              <w:rPr>
                <w:rFonts w:ascii="Arial" w:hAnsi="Arial" w:cs="Arial"/>
                <w:b/>
                <w:sz w:val="18"/>
              </w:rPr>
              <w:t>/</w:t>
            </w:r>
            <w:r>
              <w:rPr>
                <w:rFonts w:ascii="Arial" w:hAnsi="Arial" w:cs="Arial"/>
                <w:b/>
                <w:sz w:val="18"/>
              </w:rPr>
              <w:t>0</w:t>
            </w:r>
            <w:r w:rsidR="00492DB4">
              <w:rPr>
                <w:rFonts w:ascii="Arial" w:hAnsi="Arial" w:cs="Arial"/>
                <w:b/>
                <w:sz w:val="18"/>
              </w:rPr>
              <w:t>3</w:t>
            </w:r>
            <w:r w:rsidRPr="00701F32">
              <w:rPr>
                <w:rFonts w:ascii="Arial" w:hAnsi="Arial" w:cs="Arial"/>
                <w:b/>
                <w:sz w:val="18"/>
              </w:rPr>
              <w:t>/20</w:t>
            </w:r>
            <w:r w:rsidR="00492DB4">
              <w:rPr>
                <w:rFonts w:ascii="Arial" w:hAnsi="Arial" w:cs="Arial"/>
                <w:b/>
                <w:sz w:val="18"/>
              </w:rPr>
              <w:t>20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C31E35" w14:textId="19424FE4" w:rsidR="00E52346" w:rsidRPr="00701F32" w:rsidRDefault="00E52346" w:rsidP="00466920">
            <w:pPr>
              <w:tabs>
                <w:tab w:val="left" w:pos="142"/>
              </w:tabs>
              <w:jc w:val="center"/>
              <w:rPr>
                <w:rFonts w:ascii="Arial" w:hAnsi="Arial" w:cs="Arial"/>
                <w:b/>
                <w:sz w:val="18"/>
              </w:rPr>
            </w:pPr>
            <w:r w:rsidRPr="00701F32">
              <w:rPr>
                <w:rFonts w:ascii="Arial" w:hAnsi="Arial" w:cs="Arial"/>
                <w:b/>
                <w:sz w:val="18"/>
              </w:rPr>
              <w:t>31/12/201</w:t>
            </w:r>
            <w:r w:rsidR="00492DB4">
              <w:rPr>
                <w:rFonts w:ascii="Arial" w:hAnsi="Arial" w:cs="Arial"/>
                <w:b/>
                <w:sz w:val="18"/>
              </w:rPr>
              <w:t>9</w:t>
            </w:r>
          </w:p>
        </w:tc>
      </w:tr>
      <w:tr w:rsidR="00624F80" w:rsidRPr="00701F32" w14:paraId="252148AF" w14:textId="77777777" w:rsidTr="00624F80">
        <w:trPr>
          <w:trHeight w:val="340"/>
          <w:jc w:val="center"/>
        </w:trPr>
        <w:tc>
          <w:tcPr>
            <w:tcW w:w="3457" w:type="pct"/>
            <w:tcBorders>
              <w:left w:val="single" w:sz="4" w:space="0" w:color="auto"/>
              <w:right w:val="single" w:sz="4" w:space="0" w:color="auto"/>
            </w:tcBorders>
            <w:shd w:val="clear" w:color="auto" w:fill="auto"/>
            <w:noWrap/>
            <w:vAlign w:val="bottom"/>
          </w:tcPr>
          <w:p w14:paraId="1480280F" w14:textId="77777777" w:rsidR="00624F80" w:rsidRPr="00701F32" w:rsidRDefault="00624F80" w:rsidP="00624F80">
            <w:pPr>
              <w:tabs>
                <w:tab w:val="left" w:pos="142"/>
              </w:tabs>
              <w:rPr>
                <w:rFonts w:ascii="Arial" w:hAnsi="Arial" w:cs="Arial"/>
                <w:sz w:val="18"/>
              </w:rPr>
            </w:pPr>
            <w:r w:rsidRPr="00701F32">
              <w:rPr>
                <w:rFonts w:ascii="Arial" w:hAnsi="Arial" w:cs="Arial"/>
                <w:sz w:val="18"/>
              </w:rPr>
              <w:t>Cuentas especiales de garantía en el BCRA</w:t>
            </w:r>
          </w:p>
        </w:tc>
        <w:tc>
          <w:tcPr>
            <w:tcW w:w="778" w:type="pct"/>
            <w:tcBorders>
              <w:left w:val="single" w:sz="4" w:space="0" w:color="auto"/>
              <w:right w:val="single" w:sz="4" w:space="0" w:color="auto"/>
            </w:tcBorders>
            <w:shd w:val="clear" w:color="auto" w:fill="auto"/>
            <w:noWrap/>
            <w:vAlign w:val="bottom"/>
          </w:tcPr>
          <w:p w14:paraId="138D9202" w14:textId="42B4055F" w:rsidR="00624F80" w:rsidRPr="00701F32" w:rsidRDefault="00624F80" w:rsidP="00624F80">
            <w:pPr>
              <w:tabs>
                <w:tab w:val="left" w:pos="142"/>
              </w:tabs>
              <w:jc w:val="right"/>
              <w:rPr>
                <w:rFonts w:ascii="Arial" w:hAnsi="Arial" w:cs="Arial"/>
                <w:sz w:val="18"/>
              </w:rPr>
            </w:pPr>
            <w:r>
              <w:rPr>
                <w:rFonts w:ascii="Arial" w:hAnsi="Arial" w:cs="Arial"/>
                <w:sz w:val="18"/>
              </w:rPr>
              <w:t>2.614.919</w:t>
            </w:r>
          </w:p>
        </w:tc>
        <w:tc>
          <w:tcPr>
            <w:tcW w:w="765" w:type="pct"/>
            <w:tcBorders>
              <w:left w:val="single" w:sz="4" w:space="0" w:color="auto"/>
              <w:right w:val="single" w:sz="4" w:space="0" w:color="auto"/>
            </w:tcBorders>
            <w:shd w:val="clear" w:color="auto" w:fill="auto"/>
            <w:noWrap/>
            <w:vAlign w:val="bottom"/>
          </w:tcPr>
          <w:p w14:paraId="3926FFF0" w14:textId="1002E123" w:rsidR="00624F80" w:rsidRPr="00624F80" w:rsidRDefault="00624F80" w:rsidP="00624F80">
            <w:pPr>
              <w:tabs>
                <w:tab w:val="left" w:pos="142"/>
              </w:tabs>
              <w:jc w:val="right"/>
              <w:rPr>
                <w:rFonts w:ascii="Arial" w:hAnsi="Arial" w:cs="Arial"/>
                <w:sz w:val="20"/>
              </w:rPr>
            </w:pPr>
            <w:r w:rsidRPr="00624F80">
              <w:rPr>
                <w:rFonts w:ascii="Arial" w:hAnsi="Arial" w:cs="Arial"/>
                <w:sz w:val="20"/>
              </w:rPr>
              <w:t>2.2</w:t>
            </w:r>
            <w:r w:rsidR="003E321B">
              <w:rPr>
                <w:rFonts w:ascii="Arial" w:hAnsi="Arial" w:cs="Arial"/>
                <w:sz w:val="20"/>
              </w:rPr>
              <w:t>86</w:t>
            </w:r>
            <w:r w:rsidRPr="00624F80">
              <w:rPr>
                <w:rFonts w:ascii="Arial" w:hAnsi="Arial" w:cs="Arial"/>
                <w:sz w:val="20"/>
              </w:rPr>
              <w:t>.</w:t>
            </w:r>
            <w:r w:rsidR="003E321B">
              <w:rPr>
                <w:rFonts w:ascii="Arial" w:hAnsi="Arial" w:cs="Arial"/>
                <w:sz w:val="20"/>
              </w:rPr>
              <w:t>149</w:t>
            </w:r>
          </w:p>
        </w:tc>
      </w:tr>
      <w:tr w:rsidR="00624F80" w:rsidRPr="00701F32" w14:paraId="58E68535" w14:textId="77777777" w:rsidTr="00624F80">
        <w:trPr>
          <w:trHeight w:val="340"/>
          <w:jc w:val="center"/>
        </w:trPr>
        <w:tc>
          <w:tcPr>
            <w:tcW w:w="3457" w:type="pct"/>
            <w:tcBorders>
              <w:left w:val="single" w:sz="4" w:space="0" w:color="auto"/>
              <w:right w:val="single" w:sz="4" w:space="0" w:color="auto"/>
            </w:tcBorders>
            <w:shd w:val="clear" w:color="auto" w:fill="auto"/>
            <w:noWrap/>
            <w:vAlign w:val="bottom"/>
          </w:tcPr>
          <w:p w14:paraId="08EE22D7" w14:textId="77777777" w:rsidR="00624F80" w:rsidRPr="00701F32" w:rsidRDefault="00624F80" w:rsidP="00624F80">
            <w:pPr>
              <w:tabs>
                <w:tab w:val="left" w:pos="142"/>
              </w:tabs>
              <w:rPr>
                <w:rFonts w:ascii="Arial" w:hAnsi="Arial" w:cs="Arial"/>
                <w:sz w:val="18"/>
              </w:rPr>
            </w:pPr>
            <w:r w:rsidRPr="00701F32">
              <w:rPr>
                <w:rFonts w:ascii="Arial" w:hAnsi="Arial" w:cs="Arial"/>
                <w:sz w:val="18"/>
              </w:rPr>
              <w:t>Depósitos en garantía por fideicomisos</w:t>
            </w:r>
          </w:p>
        </w:tc>
        <w:tc>
          <w:tcPr>
            <w:tcW w:w="778" w:type="pct"/>
            <w:tcBorders>
              <w:left w:val="single" w:sz="4" w:space="0" w:color="auto"/>
              <w:right w:val="single" w:sz="4" w:space="0" w:color="auto"/>
            </w:tcBorders>
            <w:shd w:val="clear" w:color="auto" w:fill="auto"/>
            <w:noWrap/>
            <w:vAlign w:val="bottom"/>
          </w:tcPr>
          <w:p w14:paraId="32BB4D9A" w14:textId="3377C568" w:rsidR="00624F80" w:rsidRPr="00701F32" w:rsidRDefault="00624F80" w:rsidP="00624F80">
            <w:pPr>
              <w:tabs>
                <w:tab w:val="left" w:pos="142"/>
              </w:tabs>
              <w:jc w:val="right"/>
              <w:rPr>
                <w:rFonts w:ascii="Arial" w:hAnsi="Arial" w:cs="Arial"/>
                <w:sz w:val="18"/>
              </w:rPr>
            </w:pPr>
            <w:r>
              <w:rPr>
                <w:rFonts w:ascii="Arial" w:hAnsi="Arial" w:cs="Arial"/>
                <w:sz w:val="18"/>
              </w:rPr>
              <w:t>14.239</w:t>
            </w:r>
          </w:p>
        </w:tc>
        <w:tc>
          <w:tcPr>
            <w:tcW w:w="765" w:type="pct"/>
            <w:tcBorders>
              <w:left w:val="single" w:sz="4" w:space="0" w:color="auto"/>
              <w:right w:val="single" w:sz="4" w:space="0" w:color="auto"/>
            </w:tcBorders>
            <w:shd w:val="clear" w:color="auto" w:fill="auto"/>
            <w:noWrap/>
            <w:vAlign w:val="bottom"/>
          </w:tcPr>
          <w:p w14:paraId="569CC8F6" w14:textId="64028153" w:rsidR="00624F80" w:rsidRPr="00624F80" w:rsidRDefault="00624F80" w:rsidP="00624F80">
            <w:pPr>
              <w:tabs>
                <w:tab w:val="left" w:pos="142"/>
              </w:tabs>
              <w:jc w:val="right"/>
              <w:rPr>
                <w:rFonts w:ascii="Arial" w:hAnsi="Arial" w:cs="Arial"/>
                <w:sz w:val="20"/>
              </w:rPr>
            </w:pPr>
            <w:r w:rsidRPr="00624F80">
              <w:rPr>
                <w:rFonts w:ascii="Arial" w:hAnsi="Arial" w:cs="Arial"/>
                <w:sz w:val="20"/>
              </w:rPr>
              <w:t>3.800</w:t>
            </w:r>
          </w:p>
        </w:tc>
      </w:tr>
      <w:tr w:rsidR="00624F80" w:rsidRPr="00701F32" w14:paraId="43284B80" w14:textId="77777777" w:rsidTr="00624F80">
        <w:trPr>
          <w:trHeight w:val="340"/>
          <w:jc w:val="center"/>
        </w:trPr>
        <w:tc>
          <w:tcPr>
            <w:tcW w:w="3457" w:type="pct"/>
            <w:tcBorders>
              <w:left w:val="single" w:sz="4" w:space="0" w:color="auto"/>
              <w:right w:val="single" w:sz="4" w:space="0" w:color="auto"/>
            </w:tcBorders>
            <w:shd w:val="clear" w:color="auto" w:fill="auto"/>
            <w:noWrap/>
            <w:vAlign w:val="bottom"/>
          </w:tcPr>
          <w:p w14:paraId="1E9114D4" w14:textId="77777777" w:rsidR="00624F80" w:rsidRPr="00701F32" w:rsidRDefault="00624F80" w:rsidP="00624F80">
            <w:pPr>
              <w:tabs>
                <w:tab w:val="left" w:pos="142"/>
              </w:tabs>
              <w:rPr>
                <w:rFonts w:ascii="Arial" w:hAnsi="Arial" w:cs="Arial"/>
                <w:sz w:val="18"/>
              </w:rPr>
            </w:pPr>
            <w:r w:rsidRPr="00701F32">
              <w:rPr>
                <w:rFonts w:ascii="Arial" w:hAnsi="Arial" w:cs="Arial"/>
                <w:sz w:val="18"/>
              </w:rPr>
              <w:t>Depósitos en garantía por operaciones de cambio a término</w:t>
            </w:r>
          </w:p>
        </w:tc>
        <w:tc>
          <w:tcPr>
            <w:tcW w:w="778" w:type="pct"/>
            <w:tcBorders>
              <w:left w:val="single" w:sz="4" w:space="0" w:color="auto"/>
              <w:right w:val="single" w:sz="4" w:space="0" w:color="auto"/>
            </w:tcBorders>
            <w:shd w:val="clear" w:color="auto" w:fill="auto"/>
            <w:noWrap/>
            <w:vAlign w:val="bottom"/>
          </w:tcPr>
          <w:p w14:paraId="3ED8C2F0" w14:textId="3D62D36E" w:rsidR="00624F80" w:rsidRPr="00701F32" w:rsidRDefault="00624F80" w:rsidP="00624F80">
            <w:pPr>
              <w:tabs>
                <w:tab w:val="left" w:pos="142"/>
              </w:tabs>
              <w:jc w:val="right"/>
              <w:rPr>
                <w:rFonts w:ascii="Arial" w:hAnsi="Arial" w:cs="Arial"/>
                <w:sz w:val="18"/>
              </w:rPr>
            </w:pPr>
            <w:r>
              <w:rPr>
                <w:rFonts w:ascii="Arial" w:hAnsi="Arial" w:cs="Arial"/>
                <w:sz w:val="18"/>
              </w:rPr>
              <w:t>2.112.891</w:t>
            </w:r>
          </w:p>
        </w:tc>
        <w:tc>
          <w:tcPr>
            <w:tcW w:w="765" w:type="pct"/>
            <w:tcBorders>
              <w:left w:val="single" w:sz="4" w:space="0" w:color="auto"/>
              <w:right w:val="single" w:sz="4" w:space="0" w:color="auto"/>
            </w:tcBorders>
            <w:shd w:val="clear" w:color="auto" w:fill="auto"/>
            <w:noWrap/>
            <w:vAlign w:val="bottom"/>
          </w:tcPr>
          <w:p w14:paraId="1CBB3453" w14:textId="2F5734C5" w:rsidR="00624F80" w:rsidRPr="00624F80" w:rsidRDefault="00624F80" w:rsidP="00624F80">
            <w:pPr>
              <w:tabs>
                <w:tab w:val="left" w:pos="142"/>
              </w:tabs>
              <w:jc w:val="right"/>
              <w:rPr>
                <w:rFonts w:ascii="Arial" w:hAnsi="Arial" w:cs="Arial"/>
                <w:sz w:val="20"/>
              </w:rPr>
            </w:pPr>
            <w:r w:rsidRPr="00624F80">
              <w:rPr>
                <w:rFonts w:ascii="Arial" w:hAnsi="Arial" w:cs="Arial"/>
                <w:sz w:val="20"/>
              </w:rPr>
              <w:t>2.</w:t>
            </w:r>
            <w:r w:rsidR="003E321B">
              <w:rPr>
                <w:rFonts w:ascii="Arial" w:hAnsi="Arial" w:cs="Arial"/>
                <w:sz w:val="20"/>
              </w:rPr>
              <w:t>306</w:t>
            </w:r>
            <w:r w:rsidRPr="00624F80">
              <w:rPr>
                <w:rFonts w:ascii="Arial" w:hAnsi="Arial" w:cs="Arial"/>
                <w:sz w:val="20"/>
              </w:rPr>
              <w:t>.</w:t>
            </w:r>
            <w:r w:rsidR="003E321B">
              <w:rPr>
                <w:rFonts w:ascii="Arial" w:hAnsi="Arial" w:cs="Arial"/>
                <w:sz w:val="20"/>
              </w:rPr>
              <w:t>796</w:t>
            </w:r>
          </w:p>
        </w:tc>
      </w:tr>
      <w:tr w:rsidR="00624F80" w:rsidRPr="00701F32" w14:paraId="4C66D248" w14:textId="77777777" w:rsidTr="00624F80">
        <w:trPr>
          <w:trHeight w:val="340"/>
          <w:jc w:val="center"/>
        </w:trPr>
        <w:tc>
          <w:tcPr>
            <w:tcW w:w="3457" w:type="pct"/>
            <w:tcBorders>
              <w:left w:val="single" w:sz="4" w:space="0" w:color="auto"/>
              <w:bottom w:val="single" w:sz="6" w:space="0" w:color="auto"/>
              <w:right w:val="single" w:sz="4" w:space="0" w:color="auto"/>
            </w:tcBorders>
            <w:shd w:val="clear" w:color="auto" w:fill="auto"/>
            <w:noWrap/>
            <w:vAlign w:val="bottom"/>
          </w:tcPr>
          <w:p w14:paraId="7BE53D4C" w14:textId="77777777" w:rsidR="00624F80" w:rsidRPr="00701F32" w:rsidRDefault="00624F80" w:rsidP="00624F80">
            <w:pPr>
              <w:tabs>
                <w:tab w:val="left" w:pos="142"/>
              </w:tabs>
              <w:rPr>
                <w:rFonts w:ascii="Arial" w:hAnsi="Arial" w:cs="Arial"/>
                <w:sz w:val="18"/>
              </w:rPr>
            </w:pPr>
            <w:r w:rsidRPr="00701F32">
              <w:rPr>
                <w:rFonts w:ascii="Arial" w:hAnsi="Arial" w:cs="Arial"/>
                <w:sz w:val="18"/>
              </w:rPr>
              <w:t>Depósitos en garantía por operaciones con tarjetas de crédito</w:t>
            </w:r>
          </w:p>
        </w:tc>
        <w:tc>
          <w:tcPr>
            <w:tcW w:w="778" w:type="pct"/>
            <w:tcBorders>
              <w:left w:val="single" w:sz="4" w:space="0" w:color="auto"/>
              <w:bottom w:val="single" w:sz="6" w:space="0" w:color="auto"/>
              <w:right w:val="single" w:sz="4" w:space="0" w:color="auto"/>
            </w:tcBorders>
            <w:shd w:val="clear" w:color="auto" w:fill="auto"/>
            <w:noWrap/>
            <w:vAlign w:val="bottom"/>
          </w:tcPr>
          <w:p w14:paraId="246D779C" w14:textId="6B1C1094" w:rsidR="00624F80" w:rsidRPr="00701F32" w:rsidRDefault="00624F80" w:rsidP="00624F80">
            <w:pPr>
              <w:tabs>
                <w:tab w:val="left" w:pos="142"/>
              </w:tabs>
              <w:jc w:val="right"/>
              <w:rPr>
                <w:rFonts w:ascii="Arial" w:hAnsi="Arial" w:cs="Arial"/>
                <w:sz w:val="18"/>
              </w:rPr>
            </w:pPr>
            <w:r>
              <w:rPr>
                <w:rFonts w:ascii="Arial" w:hAnsi="Arial" w:cs="Arial"/>
                <w:sz w:val="18"/>
              </w:rPr>
              <w:t>342.566</w:t>
            </w:r>
          </w:p>
        </w:tc>
        <w:tc>
          <w:tcPr>
            <w:tcW w:w="765" w:type="pct"/>
            <w:tcBorders>
              <w:left w:val="single" w:sz="4" w:space="0" w:color="auto"/>
              <w:bottom w:val="single" w:sz="6" w:space="0" w:color="auto"/>
              <w:right w:val="single" w:sz="4" w:space="0" w:color="auto"/>
            </w:tcBorders>
            <w:shd w:val="clear" w:color="auto" w:fill="auto"/>
            <w:noWrap/>
            <w:vAlign w:val="bottom"/>
          </w:tcPr>
          <w:p w14:paraId="16925DD6" w14:textId="3F9043C8" w:rsidR="00624F80" w:rsidRPr="00624F80" w:rsidRDefault="00624F80" w:rsidP="00624F80">
            <w:pPr>
              <w:tabs>
                <w:tab w:val="left" w:pos="142"/>
              </w:tabs>
              <w:jc w:val="right"/>
              <w:rPr>
                <w:rFonts w:ascii="Arial" w:hAnsi="Arial" w:cs="Arial"/>
                <w:sz w:val="20"/>
              </w:rPr>
            </w:pPr>
            <w:r w:rsidRPr="00624F80">
              <w:rPr>
                <w:rFonts w:ascii="Arial" w:hAnsi="Arial" w:cs="Arial"/>
                <w:sz w:val="20"/>
              </w:rPr>
              <w:t>317.4</w:t>
            </w:r>
            <w:r w:rsidR="003E321B">
              <w:rPr>
                <w:rFonts w:ascii="Arial" w:hAnsi="Arial" w:cs="Arial"/>
                <w:sz w:val="20"/>
              </w:rPr>
              <w:t>75</w:t>
            </w:r>
          </w:p>
        </w:tc>
      </w:tr>
      <w:tr w:rsidR="00624F80" w:rsidRPr="00701F32" w14:paraId="7B5DCA73" w14:textId="77777777" w:rsidTr="00624F80">
        <w:trPr>
          <w:trHeight w:val="340"/>
          <w:jc w:val="center"/>
        </w:trPr>
        <w:tc>
          <w:tcPr>
            <w:tcW w:w="3457" w:type="pct"/>
            <w:tcBorders>
              <w:top w:val="single" w:sz="6" w:space="0" w:color="auto"/>
              <w:left w:val="single" w:sz="4" w:space="0" w:color="auto"/>
              <w:bottom w:val="single" w:sz="6" w:space="0" w:color="auto"/>
              <w:right w:val="single" w:sz="4" w:space="0" w:color="auto"/>
            </w:tcBorders>
            <w:shd w:val="clear" w:color="auto" w:fill="auto"/>
            <w:noWrap/>
            <w:vAlign w:val="bottom"/>
          </w:tcPr>
          <w:p w14:paraId="1F9DDF16" w14:textId="77777777" w:rsidR="00624F80" w:rsidRPr="00701F32" w:rsidRDefault="00624F80" w:rsidP="00624F80">
            <w:pPr>
              <w:tabs>
                <w:tab w:val="left" w:pos="142"/>
              </w:tabs>
              <w:rPr>
                <w:rFonts w:ascii="Arial" w:hAnsi="Arial" w:cs="Arial"/>
                <w:sz w:val="18"/>
              </w:rPr>
            </w:pPr>
            <w:r w:rsidRPr="00701F32">
              <w:rPr>
                <w:rFonts w:ascii="Arial" w:hAnsi="Arial" w:cs="Arial"/>
                <w:sz w:val="18"/>
              </w:rPr>
              <w:t>Aforos por operaciones de pase</w:t>
            </w:r>
          </w:p>
        </w:tc>
        <w:tc>
          <w:tcPr>
            <w:tcW w:w="778" w:type="pct"/>
            <w:tcBorders>
              <w:top w:val="single" w:sz="6" w:space="0" w:color="auto"/>
              <w:left w:val="single" w:sz="4" w:space="0" w:color="auto"/>
              <w:bottom w:val="single" w:sz="6" w:space="0" w:color="auto"/>
              <w:right w:val="single" w:sz="4" w:space="0" w:color="auto"/>
            </w:tcBorders>
            <w:shd w:val="clear" w:color="auto" w:fill="auto"/>
            <w:noWrap/>
            <w:vAlign w:val="bottom"/>
          </w:tcPr>
          <w:p w14:paraId="06841B0C" w14:textId="172143B9" w:rsidR="00624F80" w:rsidRPr="00701F32" w:rsidRDefault="00624F80" w:rsidP="00624F80">
            <w:pPr>
              <w:tabs>
                <w:tab w:val="left" w:pos="142"/>
              </w:tabs>
              <w:jc w:val="right"/>
              <w:rPr>
                <w:rFonts w:ascii="Arial" w:hAnsi="Arial" w:cs="Arial"/>
                <w:sz w:val="18"/>
              </w:rPr>
            </w:pPr>
            <w:r>
              <w:rPr>
                <w:rFonts w:ascii="Arial" w:hAnsi="Arial" w:cs="Arial"/>
                <w:sz w:val="18"/>
              </w:rPr>
              <w:t>28.141</w:t>
            </w:r>
          </w:p>
        </w:tc>
        <w:tc>
          <w:tcPr>
            <w:tcW w:w="765" w:type="pct"/>
            <w:tcBorders>
              <w:top w:val="single" w:sz="6" w:space="0" w:color="auto"/>
              <w:left w:val="single" w:sz="4" w:space="0" w:color="auto"/>
              <w:bottom w:val="single" w:sz="6" w:space="0" w:color="auto"/>
              <w:right w:val="single" w:sz="4" w:space="0" w:color="auto"/>
            </w:tcBorders>
            <w:shd w:val="clear" w:color="auto" w:fill="auto"/>
            <w:noWrap/>
            <w:vAlign w:val="bottom"/>
          </w:tcPr>
          <w:p w14:paraId="150E5CDA" w14:textId="2CF954D4" w:rsidR="00624F80" w:rsidRPr="00624F80" w:rsidRDefault="00624F80" w:rsidP="00624F80">
            <w:pPr>
              <w:tabs>
                <w:tab w:val="left" w:pos="142"/>
              </w:tabs>
              <w:jc w:val="right"/>
              <w:rPr>
                <w:rFonts w:ascii="Arial" w:hAnsi="Arial" w:cs="Arial"/>
                <w:sz w:val="20"/>
              </w:rPr>
            </w:pPr>
            <w:r w:rsidRPr="00624F80">
              <w:rPr>
                <w:rFonts w:ascii="Arial" w:hAnsi="Arial" w:cs="Arial"/>
                <w:sz w:val="20"/>
              </w:rPr>
              <w:t>23.880</w:t>
            </w:r>
          </w:p>
        </w:tc>
      </w:tr>
      <w:tr w:rsidR="00624F80" w:rsidRPr="00701F32" w14:paraId="07304FCA" w14:textId="77777777" w:rsidTr="00624F80">
        <w:trPr>
          <w:trHeight w:val="340"/>
          <w:jc w:val="center"/>
        </w:trPr>
        <w:tc>
          <w:tcPr>
            <w:tcW w:w="3457" w:type="pct"/>
            <w:tcBorders>
              <w:top w:val="single" w:sz="6" w:space="0" w:color="auto"/>
              <w:left w:val="single" w:sz="4" w:space="0" w:color="auto"/>
              <w:bottom w:val="single" w:sz="4" w:space="0" w:color="auto"/>
              <w:right w:val="single" w:sz="4" w:space="0" w:color="auto"/>
            </w:tcBorders>
            <w:shd w:val="clear" w:color="auto" w:fill="auto"/>
            <w:noWrap/>
            <w:vAlign w:val="bottom"/>
          </w:tcPr>
          <w:p w14:paraId="582C8BB2" w14:textId="77777777" w:rsidR="00624F80" w:rsidRPr="00701F32" w:rsidRDefault="00624F80" w:rsidP="00624F80">
            <w:pPr>
              <w:tabs>
                <w:tab w:val="left" w:pos="142"/>
              </w:tabs>
              <w:rPr>
                <w:rFonts w:ascii="Arial" w:hAnsi="Arial" w:cs="Arial"/>
                <w:sz w:val="18"/>
              </w:rPr>
            </w:pPr>
            <w:r w:rsidRPr="00701F32">
              <w:rPr>
                <w:rFonts w:ascii="Arial" w:hAnsi="Arial" w:cs="Arial"/>
                <w:sz w:val="18"/>
              </w:rPr>
              <w:t xml:space="preserve">Otros depósitos en garantía </w:t>
            </w:r>
          </w:p>
        </w:tc>
        <w:tc>
          <w:tcPr>
            <w:tcW w:w="778" w:type="pct"/>
            <w:tcBorders>
              <w:top w:val="single" w:sz="6" w:space="0" w:color="auto"/>
              <w:left w:val="single" w:sz="4" w:space="0" w:color="auto"/>
              <w:bottom w:val="single" w:sz="4" w:space="0" w:color="auto"/>
              <w:right w:val="single" w:sz="4" w:space="0" w:color="auto"/>
            </w:tcBorders>
            <w:shd w:val="clear" w:color="auto" w:fill="auto"/>
            <w:noWrap/>
            <w:vAlign w:val="bottom"/>
          </w:tcPr>
          <w:p w14:paraId="3FF8177C" w14:textId="5D4AEADC" w:rsidR="00624F80" w:rsidRPr="00701F32" w:rsidRDefault="00624F80" w:rsidP="00624F80">
            <w:pPr>
              <w:tabs>
                <w:tab w:val="left" w:pos="142"/>
              </w:tabs>
              <w:jc w:val="right"/>
              <w:rPr>
                <w:rFonts w:ascii="Arial" w:hAnsi="Arial" w:cs="Arial"/>
                <w:sz w:val="18"/>
              </w:rPr>
            </w:pPr>
            <w:r>
              <w:rPr>
                <w:rFonts w:ascii="Arial" w:hAnsi="Arial" w:cs="Arial"/>
                <w:sz w:val="18"/>
              </w:rPr>
              <w:t>133.674</w:t>
            </w:r>
          </w:p>
        </w:tc>
        <w:tc>
          <w:tcPr>
            <w:tcW w:w="765" w:type="pct"/>
            <w:tcBorders>
              <w:top w:val="single" w:sz="6" w:space="0" w:color="auto"/>
              <w:left w:val="single" w:sz="4" w:space="0" w:color="auto"/>
              <w:bottom w:val="single" w:sz="4" w:space="0" w:color="auto"/>
              <w:right w:val="single" w:sz="4" w:space="0" w:color="auto"/>
            </w:tcBorders>
            <w:shd w:val="clear" w:color="auto" w:fill="auto"/>
            <w:noWrap/>
            <w:vAlign w:val="bottom"/>
          </w:tcPr>
          <w:p w14:paraId="2BA9D880" w14:textId="39D552FC" w:rsidR="00624F80" w:rsidRPr="00624F80" w:rsidRDefault="00624F80" w:rsidP="00624F80">
            <w:pPr>
              <w:tabs>
                <w:tab w:val="left" w:pos="142"/>
              </w:tabs>
              <w:jc w:val="right"/>
              <w:rPr>
                <w:rFonts w:ascii="Arial" w:hAnsi="Arial" w:cs="Arial"/>
                <w:sz w:val="20"/>
              </w:rPr>
            </w:pPr>
            <w:r w:rsidRPr="00624F80">
              <w:rPr>
                <w:rFonts w:ascii="Arial" w:hAnsi="Arial" w:cs="Arial"/>
                <w:sz w:val="20"/>
              </w:rPr>
              <w:t>15</w:t>
            </w:r>
            <w:r w:rsidR="003E321B">
              <w:rPr>
                <w:rFonts w:ascii="Arial" w:hAnsi="Arial" w:cs="Arial"/>
                <w:sz w:val="20"/>
              </w:rPr>
              <w:t>9</w:t>
            </w:r>
            <w:r w:rsidRPr="00624F80">
              <w:rPr>
                <w:rFonts w:ascii="Arial" w:hAnsi="Arial" w:cs="Arial"/>
                <w:sz w:val="20"/>
              </w:rPr>
              <w:t>.</w:t>
            </w:r>
            <w:r w:rsidR="003E321B">
              <w:rPr>
                <w:rFonts w:ascii="Arial" w:hAnsi="Arial" w:cs="Arial"/>
                <w:sz w:val="20"/>
              </w:rPr>
              <w:t>864</w:t>
            </w:r>
          </w:p>
        </w:tc>
      </w:tr>
      <w:tr w:rsidR="00624F80" w:rsidRPr="008F0913" w14:paraId="4D9B8208" w14:textId="77777777" w:rsidTr="00624F80">
        <w:trPr>
          <w:trHeight w:val="255"/>
          <w:jc w:val="center"/>
        </w:trPr>
        <w:tc>
          <w:tcPr>
            <w:tcW w:w="34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19C92" w14:textId="0EAD9657" w:rsidR="00624F80" w:rsidRPr="005A1F48" w:rsidRDefault="00624F80" w:rsidP="00624F80">
            <w:pPr>
              <w:tabs>
                <w:tab w:val="left" w:pos="142"/>
              </w:tabs>
              <w:jc w:val="both"/>
              <w:rPr>
                <w:rFonts w:ascii="Arial" w:hAnsi="Arial" w:cs="Arial"/>
                <w:b/>
                <w:sz w:val="18"/>
              </w:rPr>
            </w:pPr>
            <w:r w:rsidRPr="005A1F48">
              <w:rPr>
                <w:rFonts w:ascii="Arial" w:hAnsi="Arial" w:cs="Arial"/>
                <w:b/>
                <w:sz w:val="18"/>
              </w:rPr>
              <w:t>TOTAL</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082FB" w14:textId="47DD5DA5" w:rsidR="00624F80" w:rsidRPr="008F0913" w:rsidRDefault="00624F80" w:rsidP="00624F80">
            <w:pPr>
              <w:tabs>
                <w:tab w:val="left" w:pos="142"/>
              </w:tabs>
              <w:jc w:val="right"/>
              <w:rPr>
                <w:rFonts w:ascii="Arial" w:hAnsi="Arial" w:cs="Arial"/>
                <w:b/>
                <w:bCs/>
                <w:sz w:val="18"/>
              </w:rPr>
            </w:pPr>
            <w:r>
              <w:rPr>
                <w:rFonts w:ascii="Arial" w:hAnsi="Arial" w:cs="Arial"/>
                <w:b/>
                <w:bCs/>
                <w:sz w:val="18"/>
              </w:rPr>
              <w:t>5</w:t>
            </w:r>
            <w:r w:rsidRPr="008F0913">
              <w:rPr>
                <w:rFonts w:ascii="Arial" w:hAnsi="Arial" w:cs="Arial"/>
                <w:b/>
                <w:bCs/>
                <w:sz w:val="18"/>
              </w:rPr>
              <w:t>.2</w:t>
            </w:r>
            <w:r>
              <w:rPr>
                <w:rFonts w:ascii="Arial" w:hAnsi="Arial" w:cs="Arial"/>
                <w:b/>
                <w:bCs/>
                <w:sz w:val="18"/>
              </w:rPr>
              <w:t>46</w:t>
            </w:r>
            <w:r w:rsidRPr="008F0913">
              <w:rPr>
                <w:rFonts w:ascii="Arial" w:hAnsi="Arial" w:cs="Arial"/>
                <w:b/>
                <w:bCs/>
                <w:sz w:val="18"/>
              </w:rPr>
              <w:t>.</w:t>
            </w:r>
            <w:r>
              <w:rPr>
                <w:rFonts w:ascii="Arial" w:hAnsi="Arial" w:cs="Arial"/>
                <w:b/>
                <w:bCs/>
                <w:sz w:val="18"/>
              </w:rPr>
              <w:t>4</w:t>
            </w:r>
            <w:r w:rsidR="003E321B">
              <w:rPr>
                <w:rFonts w:ascii="Arial" w:hAnsi="Arial" w:cs="Arial"/>
                <w:b/>
                <w:bCs/>
                <w:sz w:val="18"/>
              </w:rPr>
              <w:t>3</w:t>
            </w:r>
            <w:r>
              <w:rPr>
                <w:rFonts w:ascii="Arial" w:hAnsi="Arial" w:cs="Arial"/>
                <w:b/>
                <w:bCs/>
                <w:sz w:val="18"/>
              </w:rPr>
              <w:t>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D86E9" w14:textId="641DDE2C" w:rsidR="00624F80" w:rsidRPr="00624F80" w:rsidRDefault="003E321B" w:rsidP="00624F80">
            <w:pPr>
              <w:tabs>
                <w:tab w:val="left" w:pos="142"/>
              </w:tabs>
              <w:jc w:val="right"/>
              <w:rPr>
                <w:rFonts w:ascii="Arial" w:hAnsi="Arial" w:cs="Arial"/>
                <w:b/>
                <w:bCs/>
                <w:sz w:val="20"/>
              </w:rPr>
            </w:pPr>
            <w:r>
              <w:rPr>
                <w:rFonts w:ascii="Arial" w:hAnsi="Arial" w:cs="Arial"/>
                <w:b/>
                <w:sz w:val="20"/>
              </w:rPr>
              <w:t>5</w:t>
            </w:r>
            <w:r w:rsidR="00624F80" w:rsidRPr="00624F80">
              <w:rPr>
                <w:rFonts w:ascii="Arial" w:hAnsi="Arial" w:cs="Arial"/>
                <w:b/>
                <w:sz w:val="20"/>
              </w:rPr>
              <w:t>.</w:t>
            </w:r>
            <w:r>
              <w:rPr>
                <w:rFonts w:ascii="Arial" w:hAnsi="Arial" w:cs="Arial"/>
                <w:b/>
                <w:sz w:val="20"/>
              </w:rPr>
              <w:t>097</w:t>
            </w:r>
            <w:r w:rsidR="00624F80" w:rsidRPr="00624F80">
              <w:rPr>
                <w:rFonts w:ascii="Arial" w:hAnsi="Arial" w:cs="Arial"/>
                <w:b/>
                <w:sz w:val="20"/>
              </w:rPr>
              <w:t>.</w:t>
            </w:r>
            <w:r>
              <w:rPr>
                <w:rFonts w:ascii="Arial" w:hAnsi="Arial" w:cs="Arial"/>
                <w:b/>
                <w:sz w:val="20"/>
              </w:rPr>
              <w:t>964</w:t>
            </w:r>
          </w:p>
        </w:tc>
      </w:tr>
    </w:tbl>
    <w:p w14:paraId="42555117" w14:textId="5C17F208" w:rsidR="00F53550" w:rsidRPr="00701F32" w:rsidRDefault="00F53550">
      <w:pPr>
        <w:rPr>
          <w:rFonts w:ascii="Arial" w:hAnsi="Arial" w:cs="Arial"/>
          <w:b/>
          <w:sz w:val="20"/>
        </w:rPr>
      </w:pPr>
    </w:p>
    <w:p w14:paraId="5E14C807" w14:textId="2F750B98" w:rsidR="00A06BE9" w:rsidRPr="00701F32" w:rsidRDefault="006B5772" w:rsidP="00A06BE9">
      <w:pPr>
        <w:tabs>
          <w:tab w:val="left" w:pos="142"/>
          <w:tab w:val="left" w:pos="9923"/>
        </w:tabs>
        <w:spacing w:after="200" w:line="276" w:lineRule="auto"/>
        <w:contextualSpacing/>
        <w:jc w:val="both"/>
        <w:rPr>
          <w:rFonts w:ascii="Arial" w:hAnsi="Arial" w:cs="Arial"/>
          <w:b/>
          <w:sz w:val="20"/>
        </w:rPr>
      </w:pPr>
      <w:r w:rsidRPr="00F85803">
        <w:rPr>
          <w:rFonts w:ascii="Arial" w:hAnsi="Arial" w:cs="Arial"/>
          <w:b/>
          <w:sz w:val="20"/>
        </w:rPr>
        <w:t>9</w:t>
      </w:r>
      <w:r w:rsidR="00A06BE9" w:rsidRPr="00F85803">
        <w:rPr>
          <w:rFonts w:ascii="Arial" w:hAnsi="Arial" w:cs="Arial"/>
          <w:b/>
          <w:sz w:val="20"/>
        </w:rPr>
        <w:t>.3 Aumentos de capital pendientes de autorización</w:t>
      </w:r>
    </w:p>
    <w:p w14:paraId="5E4AAB3A" w14:textId="77777777" w:rsidR="00A06BE9" w:rsidRPr="00701F32" w:rsidRDefault="00A06BE9" w:rsidP="00A06BE9">
      <w:pPr>
        <w:tabs>
          <w:tab w:val="left" w:pos="142"/>
        </w:tabs>
        <w:jc w:val="both"/>
        <w:rPr>
          <w:rFonts w:ascii="Arial" w:hAnsi="Arial" w:cs="Arial"/>
          <w:sz w:val="20"/>
        </w:rPr>
      </w:pPr>
    </w:p>
    <w:p w14:paraId="667FF1B9" w14:textId="015E8D5F" w:rsidR="00A06BE9" w:rsidRDefault="00A06BE9" w:rsidP="00A06BE9">
      <w:pPr>
        <w:tabs>
          <w:tab w:val="left" w:pos="142"/>
        </w:tabs>
        <w:jc w:val="both"/>
        <w:rPr>
          <w:rFonts w:ascii="Arial" w:hAnsi="Arial" w:cs="Arial"/>
          <w:sz w:val="20"/>
        </w:rPr>
      </w:pPr>
      <w:bookmarkStart w:id="22" w:name="_Hlk23171121"/>
      <w:r w:rsidRPr="00701F32">
        <w:rPr>
          <w:rFonts w:ascii="Arial" w:hAnsi="Arial" w:cs="Arial"/>
          <w:sz w:val="20"/>
        </w:rPr>
        <w:t xml:space="preserve">Se resume a continuación el estado de capital social al cierre del </w:t>
      </w:r>
      <w:r w:rsidR="002F3D8F">
        <w:rPr>
          <w:rFonts w:ascii="Arial" w:hAnsi="Arial" w:cs="Arial"/>
          <w:sz w:val="20"/>
        </w:rPr>
        <w:t>período</w:t>
      </w:r>
      <w:r w:rsidR="00475EFD">
        <w:rPr>
          <w:rFonts w:ascii="Arial" w:hAnsi="Arial" w:cs="Arial"/>
          <w:sz w:val="20"/>
        </w:rPr>
        <w:t xml:space="preserve"> </w:t>
      </w:r>
      <w:r w:rsidRPr="00701F32">
        <w:rPr>
          <w:rFonts w:ascii="Arial" w:hAnsi="Arial" w:cs="Arial"/>
          <w:sz w:val="20"/>
        </w:rPr>
        <w:t>finalizado el 3</w:t>
      </w:r>
      <w:r w:rsidR="005A5836">
        <w:rPr>
          <w:rFonts w:ascii="Arial" w:hAnsi="Arial" w:cs="Arial"/>
          <w:sz w:val="20"/>
        </w:rPr>
        <w:t>1</w:t>
      </w:r>
      <w:r w:rsidRPr="00701F32">
        <w:rPr>
          <w:rFonts w:ascii="Arial" w:hAnsi="Arial" w:cs="Arial"/>
          <w:sz w:val="20"/>
        </w:rPr>
        <w:t xml:space="preserve"> de </w:t>
      </w:r>
      <w:r w:rsidR="005A5836">
        <w:rPr>
          <w:rFonts w:ascii="Arial" w:hAnsi="Arial" w:cs="Arial"/>
          <w:sz w:val="20"/>
        </w:rPr>
        <w:t>marzo</w:t>
      </w:r>
      <w:r w:rsidR="002F3D8F" w:rsidRPr="00701F32">
        <w:rPr>
          <w:rFonts w:ascii="Arial" w:hAnsi="Arial" w:cs="Arial"/>
          <w:sz w:val="20"/>
        </w:rPr>
        <w:t xml:space="preserve"> </w:t>
      </w:r>
      <w:r w:rsidRPr="00701F32">
        <w:rPr>
          <w:rFonts w:ascii="Arial" w:hAnsi="Arial" w:cs="Arial"/>
          <w:sz w:val="20"/>
        </w:rPr>
        <w:t xml:space="preserve">de </w:t>
      </w:r>
      <w:r w:rsidR="002F3D8F" w:rsidRPr="00701F32">
        <w:rPr>
          <w:rFonts w:ascii="Arial" w:hAnsi="Arial" w:cs="Arial"/>
          <w:sz w:val="20"/>
        </w:rPr>
        <w:t>20</w:t>
      </w:r>
      <w:r w:rsidR="005A5836">
        <w:rPr>
          <w:rFonts w:ascii="Arial" w:hAnsi="Arial" w:cs="Arial"/>
          <w:sz w:val="20"/>
        </w:rPr>
        <w:t>20</w:t>
      </w:r>
      <w:r w:rsidR="002F3D8F" w:rsidRPr="00701F32">
        <w:rPr>
          <w:rFonts w:ascii="Arial" w:hAnsi="Arial" w:cs="Arial"/>
          <w:sz w:val="20"/>
        </w:rPr>
        <w:t xml:space="preserve"> </w:t>
      </w:r>
      <w:r w:rsidRPr="00701F32">
        <w:rPr>
          <w:rFonts w:ascii="Arial" w:hAnsi="Arial" w:cs="Arial"/>
          <w:sz w:val="20"/>
        </w:rPr>
        <w:t>a partir de los últimos 3 ejercicios anteriores:</w:t>
      </w:r>
    </w:p>
    <w:p w14:paraId="5B79E4F8" w14:textId="77777777" w:rsidR="00475EFD" w:rsidRPr="00701F32" w:rsidRDefault="00475EFD" w:rsidP="00A06BE9">
      <w:pPr>
        <w:tabs>
          <w:tab w:val="left" w:pos="142"/>
        </w:tabs>
        <w:jc w:val="both"/>
        <w:rPr>
          <w:rFonts w:ascii="Arial" w:hAnsi="Arial" w:cs="Arial"/>
          <w:sz w:val="20"/>
        </w:rPr>
      </w:pPr>
    </w:p>
    <w:tbl>
      <w:tblPr>
        <w:tblW w:w="8502" w:type="dxa"/>
        <w:tblInd w:w="53" w:type="dxa"/>
        <w:tblLayout w:type="fixed"/>
        <w:tblCellMar>
          <w:left w:w="70" w:type="dxa"/>
          <w:right w:w="70" w:type="dxa"/>
        </w:tblCellMar>
        <w:tblLook w:val="04A0" w:firstRow="1" w:lastRow="0" w:firstColumn="1" w:lastColumn="0" w:noHBand="0" w:noVBand="1"/>
      </w:tblPr>
      <w:tblGrid>
        <w:gridCol w:w="4201"/>
        <w:gridCol w:w="1748"/>
        <w:gridCol w:w="1347"/>
        <w:gridCol w:w="1206"/>
      </w:tblGrid>
      <w:tr w:rsidR="005A5836" w:rsidRPr="00701F32" w14:paraId="71B09D3C" w14:textId="77777777" w:rsidTr="00B805C8">
        <w:trPr>
          <w:trHeight w:val="276"/>
          <w:tblHeader/>
        </w:trPr>
        <w:tc>
          <w:tcPr>
            <w:tcW w:w="42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AB723B" w14:textId="77777777" w:rsidR="005A5836" w:rsidRPr="00701F32" w:rsidRDefault="005A5836" w:rsidP="00B805C8">
            <w:pPr>
              <w:jc w:val="center"/>
              <w:rPr>
                <w:rFonts w:ascii="Arial" w:hAnsi="Arial" w:cs="Arial"/>
                <w:b/>
                <w:bCs/>
                <w:sz w:val="18"/>
                <w:lang w:eastAsia="es-AR"/>
              </w:rPr>
            </w:pPr>
            <w:bookmarkStart w:id="23" w:name="OLE_LINK1"/>
            <w:r w:rsidRPr="00701F32">
              <w:rPr>
                <w:rFonts w:ascii="Arial" w:hAnsi="Arial" w:cs="Arial"/>
                <w:b/>
                <w:bCs/>
                <w:sz w:val="18"/>
                <w:lang w:eastAsia="es-AR"/>
              </w:rPr>
              <w:t>Concepto</w:t>
            </w:r>
          </w:p>
        </w:tc>
        <w:tc>
          <w:tcPr>
            <w:tcW w:w="17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4A0CF6" w14:textId="77777777" w:rsidR="005A5836" w:rsidRPr="00701F32" w:rsidRDefault="005A5836" w:rsidP="00B805C8">
            <w:pPr>
              <w:jc w:val="center"/>
              <w:rPr>
                <w:rFonts w:ascii="Arial" w:hAnsi="Arial" w:cs="Arial"/>
                <w:b/>
                <w:bCs/>
                <w:sz w:val="18"/>
                <w:lang w:eastAsia="es-AR"/>
              </w:rPr>
            </w:pPr>
            <w:r w:rsidRPr="00701F32">
              <w:rPr>
                <w:rFonts w:ascii="Arial" w:hAnsi="Arial" w:cs="Arial"/>
                <w:b/>
                <w:bCs/>
                <w:sz w:val="18"/>
                <w:lang w:eastAsia="es-AR"/>
              </w:rPr>
              <w:t>Importe</w:t>
            </w:r>
          </w:p>
        </w:tc>
        <w:tc>
          <w:tcPr>
            <w:tcW w:w="13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E016CD" w14:textId="77777777" w:rsidR="005A5836" w:rsidRPr="00701F32" w:rsidRDefault="005A5836" w:rsidP="00B805C8">
            <w:pPr>
              <w:jc w:val="center"/>
              <w:rPr>
                <w:rFonts w:ascii="Arial" w:hAnsi="Arial" w:cs="Arial"/>
                <w:b/>
                <w:bCs/>
                <w:sz w:val="18"/>
                <w:lang w:eastAsia="es-AR"/>
              </w:rPr>
            </w:pPr>
            <w:r w:rsidRPr="00701F32">
              <w:rPr>
                <w:rFonts w:ascii="Arial" w:hAnsi="Arial" w:cs="Arial"/>
                <w:b/>
                <w:bCs/>
                <w:sz w:val="18"/>
                <w:lang w:eastAsia="es-AR"/>
              </w:rPr>
              <w:t>Saldo del Capital Social</w:t>
            </w:r>
          </w:p>
        </w:tc>
        <w:tc>
          <w:tcPr>
            <w:tcW w:w="12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D7A3B8" w14:textId="77777777" w:rsidR="005A5836" w:rsidRPr="00701F32" w:rsidRDefault="005A5836" w:rsidP="00B805C8">
            <w:pPr>
              <w:jc w:val="center"/>
              <w:rPr>
                <w:rFonts w:ascii="Arial" w:hAnsi="Arial" w:cs="Arial"/>
                <w:b/>
                <w:bCs/>
                <w:sz w:val="18"/>
                <w:lang w:eastAsia="es-AR"/>
              </w:rPr>
            </w:pPr>
            <w:r w:rsidRPr="00701F32">
              <w:rPr>
                <w:rFonts w:ascii="Arial" w:hAnsi="Arial" w:cs="Arial"/>
                <w:b/>
                <w:bCs/>
                <w:sz w:val="18"/>
                <w:lang w:eastAsia="es-AR"/>
              </w:rPr>
              <w:t>Fecha de inscripción en la IGJ</w:t>
            </w:r>
          </w:p>
        </w:tc>
      </w:tr>
      <w:tr w:rsidR="005A5836" w:rsidRPr="00701F32" w14:paraId="33AF9391" w14:textId="77777777" w:rsidTr="00B805C8">
        <w:trPr>
          <w:trHeight w:val="284"/>
          <w:tblHeader/>
        </w:trPr>
        <w:tc>
          <w:tcPr>
            <w:tcW w:w="4201" w:type="dxa"/>
            <w:vMerge/>
            <w:tcBorders>
              <w:top w:val="nil"/>
              <w:left w:val="single" w:sz="4" w:space="0" w:color="auto"/>
              <w:bottom w:val="single" w:sz="4" w:space="0" w:color="auto"/>
              <w:right w:val="single" w:sz="4" w:space="0" w:color="auto"/>
            </w:tcBorders>
            <w:vAlign w:val="center"/>
            <w:hideMark/>
          </w:tcPr>
          <w:p w14:paraId="1F8D0D5F" w14:textId="77777777" w:rsidR="005A5836" w:rsidRPr="00701F32" w:rsidRDefault="005A5836" w:rsidP="00B805C8">
            <w:pPr>
              <w:jc w:val="both"/>
              <w:rPr>
                <w:rFonts w:ascii="Arial" w:hAnsi="Arial" w:cs="Arial"/>
                <w:b/>
                <w:bCs/>
                <w:sz w:val="18"/>
                <w:lang w:eastAsia="es-AR"/>
              </w:rPr>
            </w:pPr>
          </w:p>
        </w:tc>
        <w:tc>
          <w:tcPr>
            <w:tcW w:w="1748" w:type="dxa"/>
            <w:vMerge/>
            <w:tcBorders>
              <w:top w:val="nil"/>
              <w:left w:val="single" w:sz="4" w:space="0" w:color="auto"/>
              <w:bottom w:val="single" w:sz="4" w:space="0" w:color="auto"/>
              <w:right w:val="single" w:sz="4" w:space="0" w:color="auto"/>
            </w:tcBorders>
            <w:vAlign w:val="center"/>
            <w:hideMark/>
          </w:tcPr>
          <w:p w14:paraId="0146B1AF" w14:textId="77777777" w:rsidR="005A5836" w:rsidRPr="00701F32" w:rsidRDefault="005A5836" w:rsidP="00B805C8">
            <w:pPr>
              <w:jc w:val="both"/>
              <w:rPr>
                <w:rFonts w:ascii="Arial" w:hAnsi="Arial" w:cs="Arial"/>
                <w:b/>
                <w:bCs/>
                <w:sz w:val="18"/>
                <w:lang w:eastAsia="es-AR"/>
              </w:rPr>
            </w:pPr>
          </w:p>
        </w:tc>
        <w:tc>
          <w:tcPr>
            <w:tcW w:w="1347" w:type="dxa"/>
            <w:vMerge/>
            <w:tcBorders>
              <w:top w:val="nil"/>
              <w:left w:val="single" w:sz="4" w:space="0" w:color="auto"/>
              <w:bottom w:val="single" w:sz="4" w:space="0" w:color="auto"/>
              <w:right w:val="single" w:sz="4" w:space="0" w:color="auto"/>
            </w:tcBorders>
            <w:vAlign w:val="center"/>
            <w:hideMark/>
          </w:tcPr>
          <w:p w14:paraId="101B3495" w14:textId="77777777" w:rsidR="005A5836" w:rsidRPr="00701F32" w:rsidRDefault="005A5836" w:rsidP="00B805C8">
            <w:pPr>
              <w:jc w:val="center"/>
              <w:rPr>
                <w:rFonts w:ascii="Arial" w:hAnsi="Arial" w:cs="Arial"/>
                <w:b/>
                <w:bCs/>
                <w:sz w:val="18"/>
                <w:lang w:eastAsia="es-AR"/>
              </w:rPr>
            </w:pPr>
          </w:p>
        </w:tc>
        <w:tc>
          <w:tcPr>
            <w:tcW w:w="1206" w:type="dxa"/>
            <w:vMerge/>
            <w:tcBorders>
              <w:top w:val="nil"/>
              <w:left w:val="single" w:sz="4" w:space="0" w:color="auto"/>
              <w:bottom w:val="single" w:sz="4" w:space="0" w:color="auto"/>
              <w:right w:val="single" w:sz="4" w:space="0" w:color="auto"/>
            </w:tcBorders>
            <w:vAlign w:val="center"/>
            <w:hideMark/>
          </w:tcPr>
          <w:p w14:paraId="7EBCFFD5" w14:textId="77777777" w:rsidR="005A5836" w:rsidRPr="00701F32" w:rsidRDefault="005A5836" w:rsidP="00B805C8">
            <w:pPr>
              <w:jc w:val="both"/>
              <w:rPr>
                <w:rFonts w:ascii="Arial" w:hAnsi="Arial" w:cs="Arial"/>
                <w:b/>
                <w:bCs/>
                <w:sz w:val="18"/>
                <w:lang w:eastAsia="es-AR"/>
              </w:rPr>
            </w:pPr>
          </w:p>
        </w:tc>
      </w:tr>
      <w:tr w:rsidR="005A5836" w:rsidRPr="00701F32" w14:paraId="3D301AD1"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CE33C" w14:textId="77777777" w:rsidR="005A5836" w:rsidRPr="00701F32" w:rsidRDefault="005A5836" w:rsidP="00B805C8">
            <w:pPr>
              <w:rPr>
                <w:rFonts w:ascii="Arial" w:hAnsi="Arial" w:cs="Arial"/>
                <w:b/>
                <w:bCs/>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16</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67286" w14:textId="77777777" w:rsidR="005A5836" w:rsidRPr="00701F32" w:rsidRDefault="005A5836" w:rsidP="00B805C8">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47717" w14:textId="77777777" w:rsidR="005A5836" w:rsidRPr="00701F32" w:rsidRDefault="005A5836" w:rsidP="00B805C8">
            <w:pPr>
              <w:jc w:val="center"/>
              <w:rPr>
                <w:rFonts w:ascii="Arial" w:hAnsi="Arial" w:cs="Arial"/>
                <w:b/>
                <w:bCs/>
                <w:sz w:val="18"/>
                <w:lang w:eastAsia="es-AR"/>
              </w:rPr>
            </w:pPr>
            <w:r w:rsidRPr="00701F32">
              <w:rPr>
                <w:rFonts w:ascii="Arial" w:hAnsi="Arial" w:cs="Arial"/>
                <w:b/>
                <w:bCs/>
                <w:sz w:val="18"/>
                <w:lang w:eastAsia="es-AR"/>
              </w:rPr>
              <w:t>638.283</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9834D" w14:textId="77777777" w:rsidR="005A5836" w:rsidRPr="00701F32" w:rsidRDefault="005A5836" w:rsidP="00B805C8">
            <w:pPr>
              <w:jc w:val="center"/>
              <w:rPr>
                <w:rFonts w:ascii="Arial" w:hAnsi="Arial" w:cs="Arial"/>
                <w:sz w:val="18"/>
                <w:lang w:eastAsia="es-AR"/>
              </w:rPr>
            </w:pPr>
          </w:p>
          <w:p w14:paraId="104EE190" w14:textId="77777777" w:rsidR="005A5836" w:rsidRPr="00701F32" w:rsidRDefault="005A5836" w:rsidP="00B805C8">
            <w:pPr>
              <w:jc w:val="center"/>
              <w:rPr>
                <w:rFonts w:ascii="Arial" w:hAnsi="Arial" w:cs="Arial"/>
                <w:sz w:val="18"/>
                <w:lang w:eastAsia="es-AR"/>
              </w:rPr>
            </w:pPr>
          </w:p>
        </w:tc>
      </w:tr>
      <w:tr w:rsidR="005A5836" w:rsidRPr="00701F32" w14:paraId="655ADC44"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1A508" w14:textId="77777777" w:rsidR="005A5836" w:rsidRPr="00701F32" w:rsidRDefault="005A5836" w:rsidP="00B805C8">
            <w:pPr>
              <w:rPr>
                <w:rFonts w:ascii="Arial" w:hAnsi="Arial" w:cs="Arial"/>
                <w:sz w:val="18"/>
                <w:lang w:eastAsia="es-AR"/>
              </w:rPr>
            </w:pPr>
            <w:r w:rsidRPr="00701F32">
              <w:rPr>
                <w:rFonts w:ascii="Arial" w:hAnsi="Arial" w:cs="Arial"/>
                <w:sz w:val="18"/>
                <w:lang w:eastAsia="es-AR"/>
              </w:rPr>
              <w:t>Aumento de capital según Asamblea Ordinaria y Extraordinaria de Accionistas del 04-05-2017</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50D54" w14:textId="77777777" w:rsidR="005A5836" w:rsidRPr="00701F32" w:rsidRDefault="005A5836" w:rsidP="00B805C8">
            <w:pPr>
              <w:jc w:val="center"/>
              <w:rPr>
                <w:rFonts w:ascii="Arial" w:hAnsi="Arial" w:cs="Arial"/>
                <w:sz w:val="18"/>
                <w:lang w:eastAsia="es-AR"/>
              </w:rPr>
            </w:pPr>
            <w:r w:rsidRPr="00701F32">
              <w:rPr>
                <w:rFonts w:ascii="Arial" w:hAnsi="Arial" w:cs="Arial"/>
                <w:sz w:val="18"/>
                <w:lang w:eastAsia="es-AR"/>
              </w:rPr>
              <w:t>4.594</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D3F3C" w14:textId="77777777" w:rsidR="005A5836" w:rsidRPr="00701F32" w:rsidRDefault="005A5836" w:rsidP="00B805C8">
            <w:pPr>
              <w:jc w:val="center"/>
              <w:rPr>
                <w:rFonts w:ascii="Arial" w:hAnsi="Arial" w:cs="Arial"/>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FB40A" w14:textId="77777777" w:rsidR="005A5836" w:rsidRPr="00701F32" w:rsidRDefault="005A5836" w:rsidP="00B805C8">
            <w:pPr>
              <w:jc w:val="center"/>
              <w:rPr>
                <w:rFonts w:ascii="Arial" w:hAnsi="Arial" w:cs="Arial"/>
                <w:sz w:val="18"/>
                <w:lang w:eastAsia="es-AR"/>
              </w:rPr>
            </w:pPr>
            <w:r>
              <w:rPr>
                <w:rFonts w:ascii="Arial" w:hAnsi="Arial" w:cs="Arial"/>
                <w:bCs/>
                <w:sz w:val="18"/>
              </w:rPr>
              <w:t>11-01-2019</w:t>
            </w:r>
          </w:p>
        </w:tc>
      </w:tr>
      <w:tr w:rsidR="005A5836" w:rsidRPr="00701F32" w14:paraId="202F5350"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107A0" w14:textId="77777777" w:rsidR="005A5836" w:rsidRPr="00701F32" w:rsidRDefault="005A5836" w:rsidP="00B805C8">
            <w:pPr>
              <w:rPr>
                <w:rFonts w:ascii="Arial" w:hAnsi="Arial" w:cs="Arial"/>
                <w:sz w:val="18"/>
                <w:lang w:eastAsia="es-AR"/>
              </w:rPr>
            </w:pPr>
            <w:r w:rsidRPr="00701F32">
              <w:rPr>
                <w:rFonts w:ascii="Arial" w:hAnsi="Arial" w:cs="Arial"/>
                <w:sz w:val="18"/>
                <w:lang w:eastAsia="es-AR"/>
              </w:rPr>
              <w:t>Aumento de capital según Asamblea Ordinaria de Accionistas del 24-11-2017</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E66AF" w14:textId="77777777" w:rsidR="005A5836" w:rsidRPr="00701F32" w:rsidRDefault="005A5836" w:rsidP="00B805C8">
            <w:pPr>
              <w:jc w:val="center"/>
              <w:rPr>
                <w:rFonts w:ascii="Arial" w:hAnsi="Arial" w:cs="Arial"/>
                <w:sz w:val="18"/>
                <w:lang w:eastAsia="es-AR"/>
              </w:rPr>
            </w:pPr>
            <w:r w:rsidRPr="00701F32">
              <w:rPr>
                <w:rFonts w:ascii="Arial" w:hAnsi="Arial" w:cs="Arial"/>
                <w:sz w:val="18"/>
                <w:lang w:eastAsia="es-AR"/>
              </w:rPr>
              <w:t>101.509</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60E15" w14:textId="77777777" w:rsidR="005A5836" w:rsidRPr="00701F32" w:rsidRDefault="005A5836" w:rsidP="00B805C8">
            <w:pPr>
              <w:jc w:val="center"/>
              <w:rPr>
                <w:rFonts w:ascii="Arial" w:hAnsi="Arial" w:cs="Arial"/>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7128C" w14:textId="77777777" w:rsidR="005A5836" w:rsidRPr="00701F32" w:rsidRDefault="005A5836" w:rsidP="00B805C8">
            <w:pPr>
              <w:jc w:val="center"/>
              <w:rPr>
                <w:rFonts w:ascii="Arial" w:hAnsi="Arial" w:cs="Arial"/>
                <w:bCs/>
                <w:sz w:val="18"/>
              </w:rPr>
            </w:pPr>
            <w:r>
              <w:rPr>
                <w:rFonts w:ascii="Arial" w:hAnsi="Arial" w:cs="Arial"/>
                <w:bCs/>
                <w:sz w:val="18"/>
              </w:rPr>
              <w:t>15-03-2019</w:t>
            </w:r>
          </w:p>
        </w:tc>
      </w:tr>
      <w:tr w:rsidR="005A5836" w:rsidRPr="00701F32" w14:paraId="46B45B04"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BDE5B" w14:textId="77777777" w:rsidR="005A5836" w:rsidRPr="00701F32" w:rsidRDefault="005A5836" w:rsidP="00B805C8">
            <w:pPr>
              <w:rPr>
                <w:rFonts w:ascii="Arial" w:hAnsi="Arial" w:cs="Arial"/>
                <w:b/>
                <w:bCs/>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17</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E2F09" w14:textId="77777777" w:rsidR="005A5836" w:rsidRPr="00701F32" w:rsidRDefault="005A5836" w:rsidP="00B805C8">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4F4E46" w14:textId="77777777" w:rsidR="005A5836" w:rsidRPr="00701F32" w:rsidRDefault="005A5836" w:rsidP="00B805C8">
            <w:pPr>
              <w:jc w:val="center"/>
              <w:rPr>
                <w:rFonts w:ascii="Arial" w:hAnsi="Arial" w:cs="Arial"/>
                <w:b/>
                <w:bCs/>
                <w:sz w:val="18"/>
                <w:lang w:eastAsia="es-AR"/>
              </w:rPr>
            </w:pPr>
            <w:r w:rsidRPr="00701F32">
              <w:rPr>
                <w:rFonts w:ascii="Arial" w:hAnsi="Arial" w:cs="Arial"/>
                <w:b/>
                <w:bCs/>
                <w:sz w:val="18"/>
                <w:lang w:eastAsia="es-AR"/>
              </w:rPr>
              <w:t>744.386</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AC3BE" w14:textId="77777777" w:rsidR="005A5836" w:rsidRPr="00701F32" w:rsidRDefault="005A5836" w:rsidP="00B805C8">
            <w:pPr>
              <w:jc w:val="center"/>
              <w:rPr>
                <w:rFonts w:ascii="Arial" w:hAnsi="Arial" w:cs="Arial"/>
                <w:sz w:val="18"/>
                <w:lang w:eastAsia="es-AR"/>
              </w:rPr>
            </w:pPr>
          </w:p>
        </w:tc>
      </w:tr>
      <w:tr w:rsidR="005A5836" w:rsidRPr="00701F32" w14:paraId="3ECA2C78"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48033" w14:textId="77777777" w:rsidR="005A5836" w:rsidRPr="00701F32" w:rsidRDefault="005A5836" w:rsidP="00B805C8">
            <w:pPr>
              <w:rPr>
                <w:rFonts w:ascii="Arial" w:hAnsi="Arial" w:cs="Arial"/>
                <w:b/>
                <w:bCs/>
                <w:sz w:val="18"/>
              </w:rPr>
            </w:pPr>
            <w:r w:rsidRPr="00701F32">
              <w:rPr>
                <w:rFonts w:ascii="Arial" w:hAnsi="Arial" w:cs="Arial"/>
                <w:sz w:val="18"/>
                <w:lang w:eastAsia="es-AR"/>
              </w:rPr>
              <w:t>Aumento de capital según Asamblea Ordinaria y Extraordinaria de Accionistas del 19-04-2018</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6CC89" w14:textId="77777777" w:rsidR="005A5836" w:rsidRPr="00701F32" w:rsidRDefault="005A5836" w:rsidP="00B805C8">
            <w:pPr>
              <w:jc w:val="center"/>
              <w:rPr>
                <w:rFonts w:ascii="Arial" w:hAnsi="Arial" w:cs="Arial"/>
                <w:sz w:val="18"/>
                <w:lang w:eastAsia="es-AR"/>
              </w:rPr>
            </w:pPr>
            <w:r w:rsidRPr="00701F32">
              <w:rPr>
                <w:rFonts w:ascii="Arial" w:hAnsi="Arial" w:cs="Arial"/>
                <w:sz w:val="18"/>
                <w:lang w:eastAsia="es-AR"/>
              </w:rPr>
              <w:t>27.579</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1A3D3" w14:textId="77777777" w:rsidR="005A5836" w:rsidRPr="00701F32" w:rsidRDefault="005A5836" w:rsidP="00B805C8">
            <w:pPr>
              <w:jc w:val="center"/>
              <w:rPr>
                <w:rFonts w:ascii="Arial" w:hAnsi="Arial" w:cs="Arial"/>
                <w:b/>
                <w:bCs/>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69977" w14:textId="77777777" w:rsidR="005A5836" w:rsidRPr="00701F32" w:rsidRDefault="005A5836" w:rsidP="00B805C8">
            <w:pPr>
              <w:jc w:val="center"/>
              <w:rPr>
                <w:rFonts w:ascii="Arial" w:hAnsi="Arial" w:cs="Arial"/>
                <w:sz w:val="18"/>
                <w:lang w:eastAsia="es-AR"/>
              </w:rPr>
            </w:pPr>
            <w:r>
              <w:rPr>
                <w:rFonts w:ascii="Arial" w:hAnsi="Arial" w:cs="Arial"/>
                <w:bCs/>
                <w:sz w:val="18"/>
              </w:rPr>
              <w:t>11-04-2019</w:t>
            </w:r>
          </w:p>
        </w:tc>
      </w:tr>
      <w:tr w:rsidR="005A5836" w:rsidRPr="00701F32" w14:paraId="258EB213"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8C0F2" w14:textId="77777777" w:rsidR="005A5836" w:rsidRPr="00701F32" w:rsidRDefault="005A5836" w:rsidP="00B805C8">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Pr>
                <w:rFonts w:ascii="Arial" w:hAnsi="Arial" w:cs="Arial"/>
                <w:sz w:val="18"/>
                <w:lang w:eastAsia="es-AR"/>
              </w:rPr>
              <w:t>21</w:t>
            </w:r>
            <w:r w:rsidRPr="00701F32">
              <w:rPr>
                <w:rFonts w:ascii="Arial" w:hAnsi="Arial" w:cs="Arial"/>
                <w:sz w:val="18"/>
                <w:lang w:eastAsia="es-AR"/>
              </w:rPr>
              <w:t>-</w:t>
            </w:r>
            <w:r>
              <w:rPr>
                <w:rFonts w:ascii="Arial" w:hAnsi="Arial" w:cs="Arial"/>
                <w:sz w:val="18"/>
                <w:lang w:eastAsia="es-AR"/>
              </w:rPr>
              <w:t>11</w:t>
            </w:r>
            <w:r w:rsidRPr="00701F32">
              <w:rPr>
                <w:rFonts w:ascii="Arial" w:hAnsi="Arial" w:cs="Arial"/>
                <w:sz w:val="18"/>
                <w:lang w:eastAsia="es-AR"/>
              </w:rPr>
              <w:t>-2018</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EFD72" w14:textId="77777777" w:rsidR="005A5836" w:rsidRPr="00701F32" w:rsidRDefault="005A5836" w:rsidP="00B805C8">
            <w:pPr>
              <w:jc w:val="center"/>
              <w:rPr>
                <w:rFonts w:ascii="Arial" w:hAnsi="Arial" w:cs="Arial"/>
                <w:sz w:val="18"/>
                <w:lang w:eastAsia="es-AR"/>
              </w:rPr>
            </w:pPr>
            <w:r>
              <w:rPr>
                <w:rFonts w:ascii="Arial" w:hAnsi="Arial" w:cs="Arial"/>
                <w:sz w:val="18"/>
                <w:lang w:eastAsia="es-AR"/>
              </w:rPr>
              <w:t>36.887</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3DF03A" w14:textId="77777777" w:rsidR="005A5836" w:rsidRPr="00701F32" w:rsidRDefault="005A5836" w:rsidP="00B805C8">
            <w:pPr>
              <w:jc w:val="center"/>
              <w:rPr>
                <w:rFonts w:ascii="Arial" w:hAnsi="Arial" w:cs="Arial"/>
                <w:b/>
                <w:bCs/>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5DDE6" w14:textId="77777777" w:rsidR="005A5836" w:rsidRPr="00701F32" w:rsidRDefault="005A5836" w:rsidP="00B805C8">
            <w:pPr>
              <w:jc w:val="center"/>
              <w:rPr>
                <w:rFonts w:ascii="Arial" w:hAnsi="Arial" w:cs="Arial"/>
                <w:bCs/>
                <w:sz w:val="18"/>
              </w:rPr>
            </w:pPr>
            <w:r>
              <w:rPr>
                <w:rFonts w:ascii="Arial" w:hAnsi="Arial" w:cs="Arial"/>
                <w:bCs/>
                <w:sz w:val="18"/>
              </w:rPr>
              <w:t>02-05-2019</w:t>
            </w:r>
          </w:p>
        </w:tc>
      </w:tr>
      <w:tr w:rsidR="005A5836" w:rsidRPr="00701F32" w14:paraId="3DEA10D6"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3D7E" w14:textId="77777777" w:rsidR="005A5836" w:rsidRPr="00701F32" w:rsidRDefault="005A5836" w:rsidP="00B805C8">
            <w:pPr>
              <w:rPr>
                <w:rFonts w:ascii="Arial" w:hAnsi="Arial" w:cs="Arial"/>
                <w:sz w:val="18"/>
                <w:lang w:eastAsia="es-AR"/>
              </w:rPr>
            </w:pPr>
            <w:r>
              <w:rPr>
                <w:rFonts w:ascii="Arial" w:hAnsi="Arial" w:cs="Arial"/>
                <w:b/>
                <w:bCs/>
                <w:sz w:val="18"/>
              </w:rPr>
              <w:t>Saldo del Capital Social al 31</w:t>
            </w:r>
            <w:r w:rsidRPr="00701F32">
              <w:rPr>
                <w:rFonts w:ascii="Arial" w:hAnsi="Arial" w:cs="Arial"/>
                <w:b/>
                <w:bCs/>
                <w:sz w:val="18"/>
              </w:rPr>
              <w:t>/</w:t>
            </w:r>
            <w:r>
              <w:rPr>
                <w:rFonts w:ascii="Arial" w:hAnsi="Arial" w:cs="Arial"/>
                <w:b/>
                <w:bCs/>
                <w:sz w:val="18"/>
              </w:rPr>
              <w:t>12</w:t>
            </w:r>
            <w:r w:rsidRPr="00701F32">
              <w:rPr>
                <w:rFonts w:ascii="Arial" w:hAnsi="Arial" w:cs="Arial"/>
                <w:b/>
                <w:bCs/>
                <w:sz w:val="18"/>
              </w:rPr>
              <w:t>/1</w:t>
            </w:r>
            <w:r>
              <w:rPr>
                <w:rFonts w:ascii="Arial" w:hAnsi="Arial" w:cs="Arial"/>
                <w:b/>
                <w:bCs/>
                <w:sz w:val="18"/>
              </w:rPr>
              <w:t>8</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E0C9F" w14:textId="77777777" w:rsidR="005A5836" w:rsidRDefault="005A5836" w:rsidP="00B805C8">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727BA" w14:textId="77777777" w:rsidR="005A5836" w:rsidRPr="00701F32" w:rsidRDefault="005A5836" w:rsidP="00B805C8">
            <w:pPr>
              <w:jc w:val="center"/>
              <w:rPr>
                <w:rFonts w:ascii="Arial" w:hAnsi="Arial" w:cs="Arial"/>
                <w:b/>
                <w:bCs/>
                <w:sz w:val="18"/>
                <w:lang w:eastAsia="es-AR"/>
              </w:rPr>
            </w:pPr>
            <w:r>
              <w:rPr>
                <w:rFonts w:ascii="Arial" w:hAnsi="Arial" w:cs="Arial"/>
                <w:b/>
                <w:bCs/>
                <w:sz w:val="18"/>
                <w:lang w:eastAsia="es-AR"/>
              </w:rPr>
              <w:t>808.852</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BB6A1" w14:textId="77777777" w:rsidR="005A5836" w:rsidRDefault="005A5836" w:rsidP="00B805C8">
            <w:pPr>
              <w:jc w:val="center"/>
              <w:rPr>
                <w:rFonts w:ascii="Arial" w:hAnsi="Arial" w:cs="Arial"/>
                <w:bCs/>
                <w:sz w:val="18"/>
              </w:rPr>
            </w:pPr>
          </w:p>
        </w:tc>
      </w:tr>
      <w:tr w:rsidR="005A5836" w:rsidRPr="00701F32" w14:paraId="2E180821"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4AD1E" w14:textId="77777777" w:rsidR="005A5836" w:rsidRPr="00701F32" w:rsidRDefault="005A5836" w:rsidP="00B805C8">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Pr>
                <w:rFonts w:ascii="Arial" w:hAnsi="Arial" w:cs="Arial"/>
                <w:sz w:val="18"/>
                <w:lang w:eastAsia="es-AR"/>
              </w:rPr>
              <w:t>10</w:t>
            </w:r>
            <w:r w:rsidRPr="00701F32">
              <w:rPr>
                <w:rFonts w:ascii="Arial" w:hAnsi="Arial" w:cs="Arial"/>
                <w:sz w:val="18"/>
                <w:lang w:eastAsia="es-AR"/>
              </w:rPr>
              <w:t>-</w:t>
            </w:r>
            <w:r>
              <w:rPr>
                <w:rFonts w:ascii="Arial" w:hAnsi="Arial" w:cs="Arial"/>
                <w:sz w:val="18"/>
                <w:lang w:eastAsia="es-AR"/>
              </w:rPr>
              <w:t>07</w:t>
            </w:r>
            <w:r w:rsidRPr="00701F32">
              <w:rPr>
                <w:rFonts w:ascii="Arial" w:hAnsi="Arial" w:cs="Arial"/>
                <w:sz w:val="18"/>
                <w:lang w:eastAsia="es-AR"/>
              </w:rPr>
              <w:t>-201</w:t>
            </w:r>
            <w:r>
              <w:rPr>
                <w:rFonts w:ascii="Arial" w:hAnsi="Arial" w:cs="Arial"/>
                <w:sz w:val="18"/>
                <w:lang w:eastAsia="es-AR"/>
              </w:rPr>
              <w:t>9</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24DC2" w14:textId="77777777" w:rsidR="005A5836" w:rsidRDefault="005A5836" w:rsidP="00B805C8">
            <w:pPr>
              <w:jc w:val="center"/>
              <w:rPr>
                <w:rFonts w:ascii="Arial" w:hAnsi="Arial" w:cs="Arial"/>
                <w:sz w:val="18"/>
                <w:lang w:eastAsia="es-AR"/>
              </w:rPr>
            </w:pPr>
            <w:r>
              <w:rPr>
                <w:rFonts w:ascii="Arial" w:hAnsi="Arial" w:cs="Arial"/>
                <w:sz w:val="18"/>
                <w:lang w:eastAsia="es-AR"/>
              </w:rPr>
              <w:t>20.712</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E00F7" w14:textId="77777777" w:rsidR="005A5836" w:rsidRPr="00701F32" w:rsidRDefault="005A5836" w:rsidP="00B805C8">
            <w:pPr>
              <w:jc w:val="center"/>
              <w:rPr>
                <w:rFonts w:ascii="Arial" w:hAnsi="Arial" w:cs="Arial"/>
                <w:b/>
                <w:bCs/>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7D660" w14:textId="77777777" w:rsidR="005A5836" w:rsidRDefault="005A5836" w:rsidP="00B805C8">
            <w:pPr>
              <w:jc w:val="center"/>
              <w:rPr>
                <w:rFonts w:ascii="Arial" w:hAnsi="Arial" w:cs="Arial"/>
                <w:bCs/>
                <w:sz w:val="18"/>
              </w:rPr>
            </w:pPr>
            <w:r>
              <w:rPr>
                <w:rFonts w:ascii="Arial" w:hAnsi="Arial" w:cs="Arial"/>
                <w:bCs/>
                <w:sz w:val="18"/>
              </w:rPr>
              <w:t>17-12-2019</w:t>
            </w:r>
          </w:p>
        </w:tc>
      </w:tr>
      <w:tr w:rsidR="00827C8E" w:rsidRPr="00701F32" w14:paraId="016533E6" w14:textId="77777777" w:rsidTr="00B805C8">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5EC96" w14:textId="55459998" w:rsidR="00827C8E" w:rsidRPr="00701F32" w:rsidRDefault="00827C8E" w:rsidP="00827C8E">
            <w:pPr>
              <w:rPr>
                <w:rFonts w:ascii="Arial" w:hAnsi="Arial" w:cs="Arial"/>
                <w:sz w:val="18"/>
                <w:lang w:eastAsia="es-AR"/>
              </w:rPr>
            </w:pPr>
            <w:r>
              <w:rPr>
                <w:rFonts w:ascii="Arial" w:hAnsi="Arial" w:cs="Arial"/>
                <w:b/>
                <w:bCs/>
                <w:sz w:val="18"/>
              </w:rPr>
              <w:t>Saldo del Capital Social al 31</w:t>
            </w:r>
            <w:r w:rsidRPr="00701F32">
              <w:rPr>
                <w:rFonts w:ascii="Arial" w:hAnsi="Arial" w:cs="Arial"/>
                <w:b/>
                <w:bCs/>
                <w:sz w:val="18"/>
              </w:rPr>
              <w:t>/</w:t>
            </w:r>
            <w:r>
              <w:rPr>
                <w:rFonts w:ascii="Arial" w:hAnsi="Arial" w:cs="Arial"/>
                <w:b/>
                <w:bCs/>
                <w:sz w:val="18"/>
              </w:rPr>
              <w:t>12</w:t>
            </w:r>
            <w:r w:rsidRPr="00701F32">
              <w:rPr>
                <w:rFonts w:ascii="Arial" w:hAnsi="Arial" w:cs="Arial"/>
                <w:b/>
                <w:bCs/>
                <w:sz w:val="18"/>
              </w:rPr>
              <w:t>/1</w:t>
            </w:r>
            <w:r>
              <w:rPr>
                <w:rFonts w:ascii="Arial" w:hAnsi="Arial" w:cs="Arial"/>
                <w:b/>
                <w:bCs/>
                <w:sz w:val="18"/>
              </w:rPr>
              <w:t>9</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209F6" w14:textId="77777777" w:rsidR="00827C8E" w:rsidRDefault="00827C8E" w:rsidP="00827C8E">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5098C" w14:textId="6A22347B" w:rsidR="00827C8E" w:rsidRPr="00701F32" w:rsidRDefault="00827C8E" w:rsidP="00827C8E">
            <w:pPr>
              <w:jc w:val="center"/>
              <w:rPr>
                <w:rFonts w:ascii="Arial" w:hAnsi="Arial" w:cs="Arial"/>
                <w:b/>
                <w:bCs/>
                <w:sz w:val="18"/>
                <w:lang w:eastAsia="es-AR"/>
              </w:rPr>
            </w:pPr>
            <w:r>
              <w:rPr>
                <w:rFonts w:ascii="Arial" w:hAnsi="Arial" w:cs="Arial"/>
                <w:b/>
                <w:bCs/>
                <w:sz w:val="18"/>
                <w:lang w:eastAsia="es-AR"/>
              </w:rPr>
              <w:t>829.564</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BF7FA" w14:textId="77777777" w:rsidR="00827C8E" w:rsidRDefault="00827C8E" w:rsidP="00827C8E">
            <w:pPr>
              <w:jc w:val="center"/>
              <w:rPr>
                <w:rFonts w:ascii="Arial" w:hAnsi="Arial" w:cs="Arial"/>
                <w:bCs/>
                <w:sz w:val="18"/>
              </w:rPr>
            </w:pPr>
          </w:p>
        </w:tc>
      </w:tr>
      <w:tr w:rsidR="00827C8E" w:rsidRPr="00701F32" w14:paraId="3ABDD987" w14:textId="77777777" w:rsidTr="00827C8E">
        <w:trPr>
          <w:trHeight w:val="237"/>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C9900" w14:textId="6204394B" w:rsidR="00827C8E" w:rsidRPr="00701F32" w:rsidRDefault="00827C8E" w:rsidP="00827C8E">
            <w:pPr>
              <w:rPr>
                <w:rFonts w:ascii="Arial" w:hAnsi="Arial" w:cs="Arial"/>
                <w:b/>
                <w:bCs/>
                <w:sz w:val="18"/>
                <w:lang w:eastAsia="es-AR"/>
              </w:rPr>
            </w:pPr>
            <w:r>
              <w:rPr>
                <w:rFonts w:ascii="Arial" w:hAnsi="Arial" w:cs="Arial"/>
                <w:b/>
                <w:bCs/>
                <w:sz w:val="18"/>
              </w:rPr>
              <w:t>Saldo del Capital Social al 31</w:t>
            </w:r>
            <w:r w:rsidRPr="00701F32">
              <w:rPr>
                <w:rFonts w:ascii="Arial" w:hAnsi="Arial" w:cs="Arial"/>
                <w:b/>
                <w:bCs/>
                <w:sz w:val="18"/>
              </w:rPr>
              <w:t>/</w:t>
            </w:r>
            <w:r>
              <w:rPr>
                <w:rFonts w:ascii="Arial" w:hAnsi="Arial" w:cs="Arial"/>
                <w:b/>
                <w:bCs/>
                <w:sz w:val="18"/>
              </w:rPr>
              <w:t>03/20</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68BFC" w14:textId="77777777" w:rsidR="00827C8E" w:rsidRPr="00701F32" w:rsidRDefault="00827C8E" w:rsidP="00827C8E">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52D77" w14:textId="77777777" w:rsidR="00827C8E" w:rsidRPr="00701F32" w:rsidRDefault="00827C8E" w:rsidP="00827C8E">
            <w:pPr>
              <w:jc w:val="center"/>
              <w:rPr>
                <w:rFonts w:ascii="Arial" w:hAnsi="Arial" w:cs="Arial"/>
                <w:b/>
                <w:bCs/>
                <w:sz w:val="18"/>
                <w:lang w:eastAsia="es-AR"/>
              </w:rPr>
            </w:pPr>
            <w:r>
              <w:rPr>
                <w:rFonts w:ascii="Arial" w:hAnsi="Arial" w:cs="Arial"/>
                <w:b/>
                <w:bCs/>
                <w:sz w:val="18"/>
                <w:lang w:eastAsia="es-AR"/>
              </w:rPr>
              <w:t>829.564</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E3639" w14:textId="77777777" w:rsidR="00827C8E" w:rsidRPr="00701F32" w:rsidRDefault="00827C8E" w:rsidP="00827C8E">
            <w:pPr>
              <w:jc w:val="center"/>
              <w:rPr>
                <w:rFonts w:ascii="Arial" w:hAnsi="Arial" w:cs="Arial"/>
                <w:sz w:val="18"/>
                <w:lang w:eastAsia="es-AR"/>
              </w:rPr>
            </w:pPr>
          </w:p>
          <w:p w14:paraId="24931CA0" w14:textId="77777777" w:rsidR="00827C8E" w:rsidRPr="00701F32" w:rsidRDefault="00827C8E" w:rsidP="00827C8E">
            <w:pPr>
              <w:jc w:val="center"/>
              <w:rPr>
                <w:rFonts w:ascii="Arial" w:hAnsi="Arial" w:cs="Arial"/>
                <w:sz w:val="18"/>
                <w:lang w:eastAsia="es-AR"/>
              </w:rPr>
            </w:pPr>
          </w:p>
        </w:tc>
      </w:tr>
      <w:bookmarkEnd w:id="23"/>
    </w:tbl>
    <w:p w14:paraId="288C3FE6" w14:textId="77777777" w:rsidR="003856EC" w:rsidRDefault="003856EC" w:rsidP="00A209A7">
      <w:pPr>
        <w:tabs>
          <w:tab w:val="left" w:pos="142"/>
        </w:tabs>
        <w:jc w:val="both"/>
        <w:rPr>
          <w:rFonts w:ascii="Arial" w:hAnsi="Arial" w:cs="Arial"/>
          <w:sz w:val="20"/>
        </w:rPr>
      </w:pPr>
    </w:p>
    <w:bookmarkEnd w:id="22"/>
    <w:p w14:paraId="7317A821" w14:textId="77777777" w:rsidR="005A5836" w:rsidRPr="00A209A7" w:rsidRDefault="005A5836" w:rsidP="005A5836">
      <w:pPr>
        <w:tabs>
          <w:tab w:val="left" w:pos="142"/>
        </w:tabs>
        <w:jc w:val="both"/>
        <w:rPr>
          <w:rFonts w:ascii="Arial" w:hAnsi="Arial" w:cs="Arial"/>
          <w:sz w:val="20"/>
        </w:rPr>
      </w:pPr>
      <w:r>
        <w:rPr>
          <w:rFonts w:ascii="Arial" w:hAnsi="Arial" w:cs="Arial"/>
          <w:sz w:val="20"/>
        </w:rPr>
        <w:lastRenderedPageBreak/>
        <w:t xml:space="preserve">En fecha 12 de junio de 2019 el accionista Grupo Supervielle S.A. comunicó a la Entidad su decisión de realizar un aporte irrevocable de capital en efectivo por la suma de $ 475.000 para ser destinado a capital de trabajo.  Por tal motivo, la Entidad convocó una Asamblea General de Accionistas para el 10 de julio de 2019 a fines de aprobar el aumento del capital.  Dicha Asamblea resolvió aprobar la capitalización del aporte irrevocable y aprobar un aumento de capital por hasta la suma de $ 20.712 mediante la emisión de 20.711.607 acciones </w:t>
      </w:r>
      <w:r w:rsidRPr="00A209A7">
        <w:rPr>
          <w:rFonts w:ascii="Arial" w:hAnsi="Arial" w:cs="Arial"/>
          <w:sz w:val="20"/>
          <w:lang w:val="es-ES"/>
        </w:rPr>
        <w:t>ordinarias, escriturales, Clase B de valor nominal $ 1 cada una y con derecho a 1 voto por acción, a un precio de suscripción de $ 22,9340 por acción, con derecho a percibir dividendos o cualquier otra acreencia a partir de la fecha de su emisión y en igualdad de condiciones que el resto de las acciones Clase B que se encuentren en circulación en ese momento.</w:t>
      </w:r>
    </w:p>
    <w:p w14:paraId="6D99E01D" w14:textId="77777777" w:rsidR="005A5836" w:rsidRDefault="005A5836" w:rsidP="005A5836">
      <w:pPr>
        <w:tabs>
          <w:tab w:val="left" w:pos="142"/>
        </w:tabs>
        <w:jc w:val="both"/>
        <w:rPr>
          <w:rFonts w:ascii="Arial" w:hAnsi="Arial" w:cs="Arial"/>
          <w:sz w:val="20"/>
        </w:rPr>
      </w:pPr>
    </w:p>
    <w:p w14:paraId="4337A88E" w14:textId="77777777" w:rsidR="005A5836" w:rsidRPr="006E1AF7" w:rsidRDefault="005A5836" w:rsidP="005A5836">
      <w:pPr>
        <w:tabs>
          <w:tab w:val="left" w:pos="142"/>
          <w:tab w:val="left" w:pos="9923"/>
        </w:tabs>
        <w:spacing w:after="200" w:line="276" w:lineRule="auto"/>
        <w:contextualSpacing/>
        <w:jc w:val="both"/>
        <w:rPr>
          <w:rFonts w:ascii="Arial" w:hAnsi="Arial" w:cs="Arial"/>
          <w:sz w:val="20"/>
          <w:lang w:val="es-ES"/>
        </w:rPr>
      </w:pPr>
      <w:r w:rsidRPr="006E1AF7">
        <w:rPr>
          <w:rFonts w:ascii="Arial" w:hAnsi="Arial" w:cs="Arial"/>
          <w:sz w:val="20"/>
          <w:lang w:val="es-ES"/>
        </w:rPr>
        <w:t>A la fecha de los presentes estados financieros el capital social asciende a 829.564, conformado por 829.563.871 acciones, de las cuales, 930.371 son acciones ordinarias, nominativas no endosables, escriturales, clase A de un peso valor nominal cada una y con derecho a cinco votos por acción y 828.633.500 son acciones ordinarias, nominativas no endosables, escriturales, Clase B de un peso valor nominal cada una y con derecho a un voto por acción.</w:t>
      </w:r>
    </w:p>
    <w:p w14:paraId="1413A2FB" w14:textId="77777777" w:rsidR="00A6315E" w:rsidRPr="005A5836" w:rsidRDefault="00A6315E" w:rsidP="00A06BE9">
      <w:pPr>
        <w:tabs>
          <w:tab w:val="left" w:pos="142"/>
          <w:tab w:val="left" w:pos="9923"/>
        </w:tabs>
        <w:spacing w:after="200" w:line="276" w:lineRule="auto"/>
        <w:contextualSpacing/>
        <w:jc w:val="both"/>
        <w:rPr>
          <w:rFonts w:ascii="Arial" w:hAnsi="Arial" w:cs="Arial"/>
          <w:b/>
          <w:sz w:val="20"/>
          <w:lang w:val="es-ES"/>
        </w:rPr>
      </w:pPr>
    </w:p>
    <w:p w14:paraId="53931B23" w14:textId="58356940" w:rsidR="00C110B3" w:rsidRPr="00701F32" w:rsidRDefault="006B5772" w:rsidP="00A06BE9">
      <w:pPr>
        <w:tabs>
          <w:tab w:val="left" w:pos="142"/>
          <w:tab w:val="left" w:pos="9923"/>
        </w:tabs>
        <w:spacing w:after="200" w:line="276" w:lineRule="auto"/>
        <w:contextualSpacing/>
        <w:jc w:val="both"/>
        <w:rPr>
          <w:rFonts w:ascii="Arial" w:hAnsi="Arial" w:cs="Arial"/>
          <w:b/>
          <w:sz w:val="20"/>
        </w:rPr>
      </w:pPr>
      <w:r>
        <w:rPr>
          <w:rFonts w:ascii="Arial" w:hAnsi="Arial" w:cs="Arial"/>
          <w:b/>
          <w:sz w:val="20"/>
        </w:rPr>
        <w:t>9</w:t>
      </w:r>
      <w:r w:rsidR="00A06BE9" w:rsidRPr="00534414">
        <w:rPr>
          <w:rFonts w:ascii="Arial" w:hAnsi="Arial" w:cs="Arial"/>
          <w:b/>
          <w:sz w:val="20"/>
        </w:rPr>
        <w:t>.4 Actividades fiduciarias</w:t>
      </w:r>
    </w:p>
    <w:p w14:paraId="18980BD6" w14:textId="77777777" w:rsidR="00A06BE9" w:rsidRPr="00701F32" w:rsidRDefault="00A06BE9" w:rsidP="00A06BE9">
      <w:pPr>
        <w:tabs>
          <w:tab w:val="left" w:pos="142"/>
          <w:tab w:val="left" w:pos="9923"/>
        </w:tabs>
        <w:spacing w:after="200" w:line="276" w:lineRule="auto"/>
        <w:contextualSpacing/>
        <w:jc w:val="both"/>
        <w:rPr>
          <w:rFonts w:ascii="Arial" w:hAnsi="Arial" w:cs="Arial"/>
          <w:b/>
          <w:sz w:val="20"/>
        </w:rPr>
      </w:pPr>
    </w:p>
    <w:p w14:paraId="1C0AD933"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 xml:space="preserve">La Entidad actúa como Fiduciario </w:t>
      </w:r>
      <w:bookmarkStart w:id="24" w:name="RANGE!A1:H28"/>
      <w:r w:rsidRPr="00701F32">
        <w:rPr>
          <w:rFonts w:ascii="Arial" w:hAnsi="Arial" w:cs="Arial"/>
          <w:sz w:val="20"/>
        </w:rPr>
        <w:t>o Fiduciante en los fideicomisos que se detallan a continuación:</w:t>
      </w:r>
    </w:p>
    <w:p w14:paraId="673B45CD" w14:textId="77777777" w:rsidR="00A06BE9" w:rsidRPr="00701F32" w:rsidRDefault="00A06BE9" w:rsidP="00A06BE9">
      <w:pPr>
        <w:tabs>
          <w:tab w:val="left" w:pos="142"/>
        </w:tabs>
        <w:jc w:val="both"/>
        <w:rPr>
          <w:rFonts w:ascii="Arial" w:hAnsi="Arial" w:cs="Arial"/>
          <w:sz w:val="20"/>
        </w:rPr>
      </w:pPr>
    </w:p>
    <w:p w14:paraId="67F1C63A" w14:textId="77777777" w:rsidR="00A06BE9" w:rsidRPr="00701F32" w:rsidRDefault="00A06BE9" w:rsidP="00A06BE9">
      <w:pPr>
        <w:tabs>
          <w:tab w:val="left" w:pos="142"/>
        </w:tabs>
        <w:jc w:val="both"/>
        <w:rPr>
          <w:rFonts w:ascii="Arial" w:hAnsi="Arial" w:cs="Arial"/>
          <w:b/>
          <w:sz w:val="20"/>
          <w:u w:val="single"/>
        </w:rPr>
      </w:pPr>
      <w:r w:rsidRPr="00701F32">
        <w:rPr>
          <w:rFonts w:ascii="Arial" w:hAnsi="Arial" w:cs="Arial"/>
          <w:b/>
          <w:sz w:val="20"/>
          <w:u w:val="single"/>
        </w:rPr>
        <w:t>Actuación como Fiduciario</w:t>
      </w:r>
    </w:p>
    <w:p w14:paraId="414E8978" w14:textId="77777777" w:rsidR="00A06BE9" w:rsidRPr="00701F32" w:rsidRDefault="00A06BE9" w:rsidP="00A06BE9">
      <w:pPr>
        <w:tabs>
          <w:tab w:val="left" w:pos="142"/>
        </w:tabs>
        <w:jc w:val="both"/>
        <w:rPr>
          <w:rFonts w:ascii="Arial" w:hAnsi="Arial" w:cs="Arial"/>
          <w:sz w:val="20"/>
        </w:rPr>
      </w:pPr>
    </w:p>
    <w:p w14:paraId="0123C833" w14:textId="76A0E172" w:rsidR="00C110B3" w:rsidRPr="00701F32" w:rsidRDefault="00A06BE9" w:rsidP="00A06BE9">
      <w:pPr>
        <w:tabs>
          <w:tab w:val="left" w:pos="142"/>
        </w:tabs>
        <w:jc w:val="both"/>
        <w:rPr>
          <w:rFonts w:ascii="Arial" w:hAnsi="Arial" w:cs="Arial"/>
          <w:sz w:val="20"/>
        </w:rPr>
      </w:pPr>
      <w:r w:rsidRPr="00701F32">
        <w:rPr>
          <w:rFonts w:ascii="Arial" w:hAnsi="Arial" w:cs="Arial"/>
          <w:sz w:val="20"/>
        </w:rPr>
        <w:t>Se resume a continuación el detalle de los fideicomisos financieros:</w:t>
      </w:r>
    </w:p>
    <w:p w14:paraId="29C1929B" w14:textId="77777777" w:rsidR="008D246D" w:rsidRPr="00701F32" w:rsidRDefault="008D246D" w:rsidP="00A06BE9">
      <w:pPr>
        <w:tabs>
          <w:tab w:val="left" w:pos="142"/>
        </w:tabs>
        <w:jc w:val="both"/>
        <w:rPr>
          <w:rFonts w:ascii="Arial" w:hAnsi="Arial" w:cs="Arial"/>
          <w:sz w:val="20"/>
        </w:rPr>
      </w:pPr>
    </w:p>
    <w:p w14:paraId="1A22058C" w14:textId="67D6C652" w:rsidR="00D376AD" w:rsidRDefault="00A06BE9" w:rsidP="00066653">
      <w:pPr>
        <w:tabs>
          <w:tab w:val="left" w:pos="142"/>
        </w:tabs>
        <w:jc w:val="both"/>
        <w:rPr>
          <w:rFonts w:ascii="Arial" w:hAnsi="Arial" w:cs="Arial"/>
          <w:sz w:val="20"/>
        </w:rPr>
      </w:pPr>
      <w:r w:rsidRPr="00701F32">
        <w:rPr>
          <w:rFonts w:ascii="Arial" w:hAnsi="Arial" w:cs="Arial"/>
          <w:sz w:val="20"/>
        </w:rPr>
        <w:t>Fideicomisos de administración en garantía en los cuales Banco Supervielle S.A. actúa como fiduciario al 3</w:t>
      </w:r>
      <w:r w:rsidR="005A741E">
        <w:rPr>
          <w:rFonts w:ascii="Arial" w:hAnsi="Arial" w:cs="Arial"/>
          <w:sz w:val="20"/>
        </w:rPr>
        <w:t>1</w:t>
      </w:r>
      <w:r w:rsidRPr="00701F32">
        <w:rPr>
          <w:rFonts w:ascii="Arial" w:hAnsi="Arial" w:cs="Arial"/>
          <w:sz w:val="20"/>
        </w:rPr>
        <w:t xml:space="preserve"> de</w:t>
      </w:r>
      <w:r w:rsidR="001D2B86">
        <w:rPr>
          <w:rFonts w:ascii="Arial" w:hAnsi="Arial" w:cs="Arial"/>
          <w:sz w:val="20"/>
        </w:rPr>
        <w:t xml:space="preserve"> </w:t>
      </w:r>
      <w:r w:rsidR="005A741E">
        <w:rPr>
          <w:rFonts w:ascii="Arial" w:hAnsi="Arial" w:cs="Arial"/>
          <w:sz w:val="20"/>
        </w:rPr>
        <w:t>marzo</w:t>
      </w:r>
      <w:r w:rsidR="000E1F15">
        <w:rPr>
          <w:rFonts w:ascii="Arial" w:hAnsi="Arial" w:cs="Arial"/>
          <w:sz w:val="20"/>
        </w:rPr>
        <w:t xml:space="preserve"> de 20</w:t>
      </w:r>
      <w:r w:rsidR="00B27518">
        <w:rPr>
          <w:rFonts w:ascii="Arial" w:hAnsi="Arial" w:cs="Arial"/>
          <w:sz w:val="20"/>
        </w:rPr>
        <w:t>20</w:t>
      </w:r>
      <w:r w:rsidRPr="00701F32">
        <w:rPr>
          <w:rFonts w:ascii="Arial" w:hAnsi="Arial" w:cs="Arial"/>
          <w:sz w:val="20"/>
        </w:rPr>
        <w:t>:</w:t>
      </w:r>
    </w:p>
    <w:p w14:paraId="6700CD91" w14:textId="77777777" w:rsidR="00D376AD" w:rsidRPr="00701F32" w:rsidRDefault="00D376AD" w:rsidP="00534414">
      <w:pPr>
        <w:rPr>
          <w:rFonts w:ascii="Arial" w:hAnsi="Arial" w:cs="Arial"/>
          <w:sz w:val="20"/>
        </w:rPr>
      </w:pPr>
    </w:p>
    <w:tbl>
      <w:tblPr>
        <w:tblW w:w="9714" w:type="dxa"/>
        <w:tblInd w:w="-5" w:type="dxa"/>
        <w:tblLayout w:type="fixed"/>
        <w:tblCellMar>
          <w:left w:w="70" w:type="dxa"/>
          <w:right w:w="70" w:type="dxa"/>
        </w:tblCellMar>
        <w:tblLook w:val="04A0" w:firstRow="1" w:lastRow="0" w:firstColumn="1" w:lastColumn="0" w:noHBand="0" w:noVBand="1"/>
      </w:tblPr>
      <w:tblGrid>
        <w:gridCol w:w="1190"/>
        <w:gridCol w:w="941"/>
        <w:gridCol w:w="2339"/>
        <w:gridCol w:w="992"/>
        <w:gridCol w:w="709"/>
        <w:gridCol w:w="2409"/>
        <w:gridCol w:w="1134"/>
      </w:tblGrid>
      <w:tr w:rsidR="005E7BAB" w:rsidRPr="00701F32" w14:paraId="0A20566D" w14:textId="77777777" w:rsidTr="005A1F48">
        <w:trPr>
          <w:trHeight w:val="740"/>
          <w:tblHeader/>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59F55" w14:textId="77777777" w:rsidR="005E7BAB" w:rsidRPr="00701F32" w:rsidRDefault="005E7BAB" w:rsidP="00464C0F">
            <w:pPr>
              <w:jc w:val="center"/>
              <w:rPr>
                <w:rFonts w:ascii="Arial" w:hAnsi="Arial" w:cs="Arial"/>
                <w:b/>
                <w:sz w:val="16"/>
                <w:szCs w:val="16"/>
              </w:rPr>
            </w:pPr>
            <w:bookmarkStart w:id="25" w:name="RANGE!A1:H2"/>
            <w:r w:rsidRPr="00701F32">
              <w:rPr>
                <w:rFonts w:ascii="Arial" w:hAnsi="Arial" w:cs="Arial"/>
                <w:b/>
                <w:sz w:val="16"/>
                <w:szCs w:val="16"/>
              </w:rPr>
              <w:t>Fideicomiso</w:t>
            </w:r>
            <w:bookmarkEnd w:id="25"/>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1F6E5CB8"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Fecha Firma Contrato</w:t>
            </w:r>
          </w:p>
        </w:tc>
        <w:tc>
          <w:tcPr>
            <w:tcW w:w="2339" w:type="dxa"/>
            <w:tcBorders>
              <w:top w:val="single" w:sz="4" w:space="0" w:color="auto"/>
              <w:left w:val="nil"/>
              <w:bottom w:val="single" w:sz="4" w:space="0" w:color="auto"/>
              <w:right w:val="single" w:sz="4" w:space="0" w:color="auto"/>
            </w:tcBorders>
            <w:shd w:val="clear" w:color="auto" w:fill="auto"/>
            <w:vAlign w:val="center"/>
            <w:hideMark/>
          </w:tcPr>
          <w:p w14:paraId="3EFE61F8"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Vencimiento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001444E"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Monto de Capital Original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BA63CAE"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Saldo de Capital</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372989C"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Beneficiarios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555164"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Fiduciante</w:t>
            </w:r>
          </w:p>
        </w:tc>
      </w:tr>
      <w:tr w:rsidR="005E7BAB" w:rsidRPr="00701F32" w14:paraId="49F82F8A" w14:textId="77777777" w:rsidTr="00066653">
        <w:trPr>
          <w:trHeight w:val="580"/>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4402A63B" w14:textId="4B964185" w:rsidR="005E7BAB" w:rsidRPr="00701F32" w:rsidRDefault="005E7BAB" w:rsidP="00701F32">
            <w:pPr>
              <w:jc w:val="center"/>
              <w:rPr>
                <w:rFonts w:ascii="Arial" w:hAnsi="Arial" w:cs="Arial"/>
                <w:sz w:val="16"/>
                <w:szCs w:val="16"/>
              </w:rPr>
            </w:pPr>
            <w:r w:rsidRPr="00701F32">
              <w:rPr>
                <w:rFonts w:ascii="Arial" w:hAnsi="Arial" w:cs="Arial"/>
                <w:sz w:val="16"/>
                <w:szCs w:val="16"/>
              </w:rPr>
              <w:t>Fideicomiso de Administración Interconexión 500 KV ET Nueva San Juan - ET Rodeo Iglesia</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14:paraId="34B01168" w14:textId="5E5C6B73" w:rsidR="005E7BAB" w:rsidRPr="00701F32" w:rsidRDefault="005E7BAB" w:rsidP="00701F32">
            <w:pPr>
              <w:jc w:val="center"/>
              <w:rPr>
                <w:rFonts w:ascii="Arial" w:hAnsi="Arial" w:cs="Arial"/>
                <w:sz w:val="16"/>
                <w:szCs w:val="16"/>
              </w:rPr>
            </w:pPr>
            <w:r w:rsidRPr="00701F32">
              <w:rPr>
                <w:rFonts w:ascii="Arial" w:hAnsi="Arial" w:cs="Arial"/>
                <w:sz w:val="16"/>
                <w:szCs w:val="16"/>
              </w:rPr>
              <w:t>12/09/2018</w:t>
            </w:r>
          </w:p>
        </w:tc>
        <w:tc>
          <w:tcPr>
            <w:tcW w:w="2339" w:type="dxa"/>
            <w:tcBorders>
              <w:top w:val="single" w:sz="4" w:space="0" w:color="auto"/>
              <w:left w:val="nil"/>
              <w:bottom w:val="single" w:sz="4" w:space="0" w:color="auto"/>
              <w:right w:val="single" w:sz="4" w:space="0" w:color="auto"/>
            </w:tcBorders>
            <w:shd w:val="clear" w:color="auto" w:fill="auto"/>
            <w:vAlign w:val="center"/>
          </w:tcPr>
          <w:p w14:paraId="3544C260" w14:textId="32FA2584" w:rsidR="005E7BAB" w:rsidRPr="00701F32" w:rsidRDefault="00F337DD" w:rsidP="00F337DD">
            <w:pPr>
              <w:jc w:val="center"/>
              <w:rPr>
                <w:rFonts w:ascii="Arial" w:hAnsi="Arial" w:cs="Arial"/>
                <w:sz w:val="16"/>
                <w:szCs w:val="16"/>
                <w:lang w:val="es-ES_tradnl"/>
              </w:rPr>
            </w:pPr>
            <w:r>
              <w:rPr>
                <w:rFonts w:ascii="Arial" w:hAnsi="Arial" w:cs="Arial"/>
                <w:sz w:val="16"/>
                <w:szCs w:val="16"/>
              </w:rPr>
              <w:t xml:space="preserve">La duración de este Contrato de FIDEICOMISO será de 24 meses a contar  </w:t>
            </w:r>
            <w:r w:rsidR="005E7BAB" w:rsidRPr="00701F32">
              <w:rPr>
                <w:rFonts w:ascii="Arial" w:hAnsi="Arial" w:cs="Arial"/>
                <w:sz w:val="16"/>
                <w:szCs w:val="16"/>
              </w:rPr>
              <w:t>12/09/20</w:t>
            </w:r>
            <w:r>
              <w:rPr>
                <w:rFonts w:ascii="Arial" w:hAnsi="Arial" w:cs="Arial"/>
                <w:sz w:val="16"/>
                <w:szCs w:val="16"/>
              </w:rPr>
              <w:t>18</w:t>
            </w:r>
            <w:r w:rsidR="005E7BAB" w:rsidRPr="00701F32">
              <w:rPr>
                <w:rFonts w:ascii="Arial" w:hAnsi="Arial" w:cs="Arial"/>
                <w:sz w:val="16"/>
                <w:szCs w:val="16"/>
              </w:rPr>
              <w:t xml:space="preserve">, o hasta la extinción de las obligaciones de pago mediante Desembolsos (la “Fecha de Extinción”). </w:t>
            </w:r>
            <w:r w:rsidR="00CE31CA" w:rsidRPr="00CE31CA">
              <w:rPr>
                <w:rFonts w:ascii="Arial" w:hAnsi="Arial" w:cs="Arial"/>
                <w:sz w:val="16"/>
                <w:szCs w:val="16"/>
                <w:lang w:eastAsia="es-AR"/>
              </w:rPr>
              <w:t xml:space="preserve">Transcurridos 30 (treinta días ) días de la finalización del plazo del presente Contrato de FIDEICOMISO sin que las Partes hubieran acordado una </w:t>
            </w:r>
            <w:r w:rsidR="00CE31CA" w:rsidRPr="00CE31CA">
              <w:rPr>
                <w:rFonts w:ascii="Arial" w:hAnsi="Arial" w:cs="Arial"/>
                <w:sz w:val="16"/>
                <w:szCs w:val="16"/>
                <w:lang w:eastAsia="es-AR"/>
              </w:rPr>
              <w:lastRenderedPageBreak/>
              <w:t>Comisión de Prórroga, se dará por extinguido el FIDEICOMISO sin posibilidad de prórroga, percibiendo el FIDUCIARIO, de la Cuenta Fiduciaria, la suma de pesos equivalente a U$D 6.000 (dólares estadounidenses seis mil) al tipo de cambio comprador vigente en Banco Supervielle en concepto de penalidad</w:t>
            </w:r>
            <w:r w:rsidR="00CE31CA">
              <w:rPr>
                <w:rFonts w:ascii="Century Gothic" w:hAnsi="Century Gothic" w:cs="Arial"/>
                <w:sz w:val="16"/>
                <w:szCs w:val="16"/>
                <w:lang w:eastAsia="es-AR"/>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29E1B90A" w14:textId="39E8D2F1" w:rsidR="005E7BAB" w:rsidRPr="00701F32" w:rsidRDefault="005B2619">
            <w:pPr>
              <w:jc w:val="center"/>
              <w:rPr>
                <w:rFonts w:ascii="Arial" w:hAnsi="Arial" w:cs="Arial"/>
                <w:sz w:val="16"/>
                <w:szCs w:val="16"/>
                <w:lang w:val="es-ES_tradnl"/>
              </w:rPr>
            </w:pPr>
            <w:r w:rsidRPr="00701F32">
              <w:rPr>
                <w:rFonts w:ascii="Arial" w:hAnsi="Arial" w:cs="Arial"/>
                <w:sz w:val="16"/>
                <w:szCs w:val="16"/>
              </w:rPr>
              <w:lastRenderedPageBreak/>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53847824" w14:textId="33F12897" w:rsidR="005E7BAB" w:rsidRPr="00701F32" w:rsidRDefault="005B2619">
            <w:pPr>
              <w:jc w:val="center"/>
              <w:rPr>
                <w:rFonts w:ascii="Arial" w:hAnsi="Arial" w:cs="Arial"/>
                <w:sz w:val="16"/>
                <w:szCs w:val="16"/>
                <w:lang w:val="es-ES_tradnl"/>
              </w:rPr>
            </w:pPr>
            <w:r w:rsidRPr="00701F32">
              <w:rPr>
                <w:rFonts w:ascii="Arial" w:hAnsi="Arial" w:cs="Arial"/>
                <w:sz w:val="16"/>
                <w:szCs w:val="16"/>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C01F02C" w14:textId="0BCFCFA5" w:rsidR="005E7BAB" w:rsidRPr="00CE31CA" w:rsidRDefault="00CE31CA" w:rsidP="00701F32">
            <w:pPr>
              <w:jc w:val="center"/>
              <w:rPr>
                <w:rFonts w:ascii="Arial" w:hAnsi="Arial" w:cs="Arial"/>
                <w:sz w:val="16"/>
                <w:szCs w:val="16"/>
                <w:lang w:val="es-ES_tradnl"/>
              </w:rPr>
            </w:pPr>
            <w:r w:rsidRPr="00CE31CA">
              <w:rPr>
                <w:rFonts w:ascii="Arial" w:hAnsi="Arial" w:cs="Arial"/>
                <w:sz w:val="16"/>
                <w:szCs w:val="16"/>
                <w:lang w:eastAsia="es-AR"/>
              </w:rPr>
              <w:t xml:space="preserve">Los mencionados originalmente en el Anexo V (DISERVEL S.R.L., INGENIAS S.R.L, GEOTECNIA (INV. CALVENTE), NEWEN INGENIERIA S.A., INGICIAP S.A., MERCADOS ENERGETICOS, DISERVEL S.R.L.) y los proveedores de obras, bienes y servicios comprendidos en el Proyecto, a ser designados por el </w:t>
            </w:r>
            <w:r w:rsidRPr="00CE31CA">
              <w:rPr>
                <w:rFonts w:ascii="Arial" w:hAnsi="Arial" w:cs="Arial"/>
                <w:sz w:val="16"/>
                <w:szCs w:val="16"/>
                <w:lang w:eastAsia="es-AR"/>
              </w:rPr>
              <w:lastRenderedPageBreak/>
              <w:t>FIDUCIANTE con la previa conformidad del COMITENTE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677B77" w14:textId="45A07647" w:rsidR="005E7BAB" w:rsidRPr="00701F32" w:rsidRDefault="005E7BAB" w:rsidP="00701F32">
            <w:pPr>
              <w:jc w:val="center"/>
              <w:rPr>
                <w:rFonts w:ascii="Arial" w:hAnsi="Arial" w:cs="Arial"/>
                <w:sz w:val="16"/>
                <w:szCs w:val="16"/>
              </w:rPr>
            </w:pPr>
            <w:r w:rsidRPr="00701F32">
              <w:rPr>
                <w:rFonts w:ascii="Arial" w:hAnsi="Arial" w:cs="Arial"/>
                <w:sz w:val="16"/>
                <w:szCs w:val="16"/>
              </w:rPr>
              <w:lastRenderedPageBreak/>
              <w:t>Interconexion Electrica Rodeo S.A.</w:t>
            </w:r>
          </w:p>
        </w:tc>
      </w:tr>
    </w:tbl>
    <w:p w14:paraId="1CB5030E" w14:textId="77777777" w:rsidR="00A06BE9" w:rsidRPr="00701F32" w:rsidRDefault="00A06BE9" w:rsidP="00A06BE9">
      <w:pPr>
        <w:tabs>
          <w:tab w:val="left" w:pos="142"/>
        </w:tabs>
        <w:jc w:val="both"/>
        <w:rPr>
          <w:rFonts w:ascii="Arial" w:hAnsi="Arial" w:cs="Arial"/>
          <w:sz w:val="20"/>
        </w:rPr>
      </w:pPr>
    </w:p>
    <w:bookmarkEnd w:id="24"/>
    <w:p w14:paraId="7AE4D0E9" w14:textId="2C1A5AE1" w:rsidR="000E7BFA" w:rsidRPr="000E7BFA" w:rsidRDefault="000E7BFA" w:rsidP="000E7BFA">
      <w:pPr>
        <w:tabs>
          <w:tab w:val="left" w:pos="142"/>
        </w:tabs>
        <w:jc w:val="both"/>
        <w:rPr>
          <w:rFonts w:ascii="Arial" w:hAnsi="Arial" w:cs="Arial"/>
          <w:sz w:val="20"/>
        </w:rPr>
      </w:pPr>
      <w:r w:rsidRPr="000E7BFA">
        <w:rPr>
          <w:rFonts w:ascii="Arial" w:hAnsi="Arial" w:cs="Arial"/>
          <w:sz w:val="20"/>
        </w:rPr>
        <w:t>Con fech</w:t>
      </w:r>
      <w:r>
        <w:rPr>
          <w:rFonts w:ascii="Arial" w:hAnsi="Arial" w:cs="Arial"/>
          <w:sz w:val="20"/>
        </w:rPr>
        <w:t>a</w:t>
      </w:r>
      <w:r w:rsidRPr="000E7BFA">
        <w:rPr>
          <w:rFonts w:ascii="Arial" w:hAnsi="Arial" w:cs="Arial"/>
          <w:sz w:val="20"/>
        </w:rPr>
        <w:t xml:space="preserve"> 29-02-2020 </w:t>
      </w:r>
      <w:r>
        <w:rPr>
          <w:rFonts w:ascii="Arial" w:hAnsi="Arial" w:cs="Arial"/>
          <w:sz w:val="20"/>
        </w:rPr>
        <w:t>se retrocedió el Fideicomiso Financiero Supervielle Créditos 97</w:t>
      </w:r>
      <w:r w:rsidRPr="000E7BFA">
        <w:rPr>
          <w:rFonts w:ascii="Arial" w:hAnsi="Arial" w:cs="Arial"/>
          <w:sz w:val="20"/>
        </w:rPr>
        <w:t>, cuy</w:t>
      </w:r>
      <w:r>
        <w:rPr>
          <w:rFonts w:ascii="Arial" w:hAnsi="Arial" w:cs="Arial"/>
          <w:sz w:val="20"/>
        </w:rPr>
        <w:t>o fid</w:t>
      </w:r>
      <w:r w:rsidRPr="000E7BFA">
        <w:rPr>
          <w:rFonts w:ascii="Arial" w:hAnsi="Arial" w:cs="Arial"/>
          <w:sz w:val="20"/>
        </w:rPr>
        <w:t>uciario es TMF Trust Company (Argentina) S.A.</w:t>
      </w:r>
      <w:r>
        <w:rPr>
          <w:rFonts w:ascii="Arial" w:hAnsi="Arial" w:cs="Arial"/>
          <w:sz w:val="20"/>
        </w:rPr>
        <w:t xml:space="preserve"> por un saldo de cartera de 84.419.269, dicho fidceicomiso no tenia CP.</w:t>
      </w:r>
    </w:p>
    <w:p w14:paraId="48C60030" w14:textId="6F0218B0" w:rsidR="000E7BFA" w:rsidRDefault="000E7BFA" w:rsidP="000E7BFA">
      <w:pPr>
        <w:tabs>
          <w:tab w:val="left" w:pos="142"/>
        </w:tabs>
        <w:contextualSpacing/>
        <w:jc w:val="both"/>
        <w:rPr>
          <w:rFonts w:ascii="Arial" w:hAnsi="Arial" w:cs="Arial"/>
          <w:b/>
          <w:sz w:val="20"/>
          <w:lang w:eastAsia="es-AR"/>
        </w:rPr>
      </w:pPr>
    </w:p>
    <w:p w14:paraId="3E79FD51" w14:textId="77777777" w:rsidR="000E7BFA" w:rsidRPr="000E7BFA" w:rsidRDefault="000E7BFA" w:rsidP="000E7BFA">
      <w:pPr>
        <w:tabs>
          <w:tab w:val="left" w:pos="142"/>
        </w:tabs>
        <w:contextualSpacing/>
        <w:jc w:val="both"/>
        <w:rPr>
          <w:rFonts w:ascii="Arial" w:hAnsi="Arial" w:cs="Arial"/>
          <w:b/>
          <w:sz w:val="20"/>
          <w:lang w:eastAsia="es-AR"/>
        </w:rPr>
      </w:pPr>
    </w:p>
    <w:p w14:paraId="55D5FE71" w14:textId="35CC54FA" w:rsidR="00FD0151" w:rsidRPr="00701F32" w:rsidRDefault="00FD0151" w:rsidP="00FD0151">
      <w:pPr>
        <w:numPr>
          <w:ilvl w:val="0"/>
          <w:numId w:val="3"/>
        </w:numPr>
        <w:tabs>
          <w:tab w:val="left" w:pos="142"/>
        </w:tabs>
        <w:contextualSpacing/>
        <w:jc w:val="both"/>
        <w:rPr>
          <w:rFonts w:ascii="Arial" w:hAnsi="Arial" w:cs="Arial"/>
          <w:b/>
          <w:sz w:val="20"/>
          <w:lang w:eastAsia="es-AR"/>
        </w:rPr>
      </w:pPr>
      <w:r w:rsidRPr="00701F32">
        <w:rPr>
          <w:rFonts w:ascii="Arial" w:hAnsi="Arial" w:cs="Arial"/>
          <w:b/>
          <w:sz w:val="20"/>
          <w:lang w:eastAsia="es-AR"/>
        </w:rPr>
        <w:t xml:space="preserve">Fideicomiso Financiero </w:t>
      </w:r>
      <w:r>
        <w:rPr>
          <w:rFonts w:ascii="Arial" w:hAnsi="Arial" w:cs="Arial"/>
          <w:b/>
          <w:sz w:val="20"/>
          <w:lang w:eastAsia="es-AR"/>
        </w:rPr>
        <w:t>CCF</w:t>
      </w:r>
      <w:r w:rsidRPr="00701F32">
        <w:rPr>
          <w:rFonts w:ascii="Arial" w:hAnsi="Arial" w:cs="Arial"/>
          <w:b/>
          <w:sz w:val="20"/>
          <w:lang w:eastAsia="es-AR"/>
        </w:rPr>
        <w:t xml:space="preserve"> Créditos</w:t>
      </w:r>
    </w:p>
    <w:p w14:paraId="0D8F24C6" w14:textId="77777777" w:rsidR="00FD0151" w:rsidRPr="00701F32" w:rsidRDefault="00FD0151" w:rsidP="00FD0151">
      <w:pPr>
        <w:tabs>
          <w:tab w:val="left" w:pos="6990"/>
        </w:tabs>
        <w:jc w:val="both"/>
        <w:rPr>
          <w:rFonts w:ascii="Arial" w:hAnsi="Arial" w:cs="Arial"/>
          <w:b/>
          <w:sz w:val="20"/>
        </w:rPr>
      </w:pPr>
      <w:r w:rsidRPr="00701F32">
        <w:rPr>
          <w:rFonts w:ascii="Arial" w:hAnsi="Arial" w:cs="Arial"/>
          <w:b/>
          <w:sz w:val="20"/>
        </w:rPr>
        <w:tab/>
      </w:r>
    </w:p>
    <w:p w14:paraId="47826CBD" w14:textId="77777777" w:rsidR="00FD0151" w:rsidRPr="00701F32" w:rsidRDefault="00FD0151" w:rsidP="00FD0151">
      <w:pPr>
        <w:tabs>
          <w:tab w:val="left" w:pos="142"/>
        </w:tabs>
        <w:jc w:val="both"/>
        <w:rPr>
          <w:rFonts w:ascii="Arial" w:hAnsi="Arial" w:cs="Arial"/>
          <w:sz w:val="20"/>
        </w:rPr>
      </w:pPr>
      <w:r w:rsidRPr="00701F32">
        <w:rPr>
          <w:rFonts w:ascii="Arial" w:hAnsi="Arial" w:cs="Arial"/>
          <w:sz w:val="20"/>
          <w:u w:val="single"/>
        </w:rPr>
        <w:t>Activos Fideicomitidos</w:t>
      </w:r>
      <w:r w:rsidRPr="00701F32">
        <w:rPr>
          <w:rFonts w:ascii="Arial" w:hAnsi="Arial" w:cs="Arial"/>
          <w:sz w:val="20"/>
        </w:rPr>
        <w:t xml:space="preserve">: Préstamos Personales </w:t>
      </w:r>
    </w:p>
    <w:p w14:paraId="719259F6" w14:textId="77777777" w:rsidR="00FD0151" w:rsidRPr="00701F32" w:rsidRDefault="00FD0151" w:rsidP="00FD0151">
      <w:pPr>
        <w:tabs>
          <w:tab w:val="left" w:pos="142"/>
        </w:tabs>
        <w:jc w:val="both"/>
        <w:rPr>
          <w:rFonts w:ascii="Arial" w:hAnsi="Arial" w:cs="Arial"/>
          <w:sz w:val="20"/>
        </w:rPr>
      </w:pPr>
      <w:r w:rsidRPr="00701F32">
        <w:rPr>
          <w:rFonts w:ascii="Arial" w:hAnsi="Arial" w:cs="Arial"/>
          <w:sz w:val="20"/>
          <w:u w:val="single"/>
        </w:rPr>
        <w:t>Fiduciario:</w:t>
      </w:r>
      <w:r w:rsidRPr="00701F32">
        <w:rPr>
          <w:rFonts w:ascii="Arial" w:hAnsi="Arial" w:cs="Arial"/>
          <w:sz w:val="20"/>
        </w:rPr>
        <w:t xml:space="preserve"> TMF Trust Company (Argentina) S.A.</w:t>
      </w:r>
    </w:p>
    <w:p w14:paraId="71FB6EC9" w14:textId="77777777" w:rsidR="00FD0151" w:rsidRDefault="00FD0151" w:rsidP="004C6FE0">
      <w:pPr>
        <w:tabs>
          <w:tab w:val="left" w:pos="142"/>
          <w:tab w:val="left" w:pos="9923"/>
        </w:tabs>
        <w:spacing w:after="200" w:line="276" w:lineRule="auto"/>
        <w:contextualSpacing/>
        <w:jc w:val="both"/>
        <w:rPr>
          <w:rFonts w:ascii="Arial" w:hAnsi="Arial" w:cs="Arial"/>
          <w:sz w:val="20"/>
        </w:rPr>
      </w:pPr>
    </w:p>
    <w:tbl>
      <w:tblPr>
        <w:tblW w:w="5467" w:type="dxa"/>
        <w:jc w:val="center"/>
        <w:tblLayout w:type="fixed"/>
        <w:tblCellMar>
          <w:left w:w="70" w:type="dxa"/>
          <w:right w:w="70" w:type="dxa"/>
        </w:tblCellMar>
        <w:tblLook w:val="04A0" w:firstRow="1" w:lastRow="0" w:firstColumn="1" w:lastColumn="0" w:noHBand="0" w:noVBand="1"/>
      </w:tblPr>
      <w:tblGrid>
        <w:gridCol w:w="647"/>
        <w:gridCol w:w="1065"/>
        <w:gridCol w:w="1427"/>
        <w:gridCol w:w="1338"/>
        <w:gridCol w:w="990"/>
      </w:tblGrid>
      <w:tr w:rsidR="0084060D" w:rsidRPr="003E4DD0" w14:paraId="01653EB8" w14:textId="77777777" w:rsidTr="0084060D">
        <w:trPr>
          <w:trHeight w:val="217"/>
          <w:jc w:val="center"/>
        </w:trPr>
        <w:tc>
          <w:tcPr>
            <w:tcW w:w="647" w:type="dxa"/>
            <w:vMerge w:val="restart"/>
            <w:tcBorders>
              <w:top w:val="single" w:sz="8" w:space="0" w:color="auto"/>
              <w:left w:val="single" w:sz="8" w:space="0" w:color="auto"/>
              <w:bottom w:val="single" w:sz="8" w:space="0" w:color="000000"/>
              <w:right w:val="single" w:sz="8" w:space="0" w:color="auto"/>
            </w:tcBorders>
            <w:vAlign w:val="center"/>
            <w:hideMark/>
          </w:tcPr>
          <w:p w14:paraId="16DE15F7" w14:textId="77777777" w:rsidR="0084060D" w:rsidRPr="003E4DD0" w:rsidRDefault="0084060D" w:rsidP="00A978AB">
            <w:pPr>
              <w:jc w:val="center"/>
              <w:rPr>
                <w:rFonts w:ascii="Arial" w:hAnsi="Arial" w:cs="Arial"/>
                <w:b/>
                <w:bCs/>
                <w:sz w:val="16"/>
                <w:szCs w:val="16"/>
                <w:lang w:eastAsia="es-AR"/>
              </w:rPr>
            </w:pPr>
            <w:r w:rsidRPr="003E4DD0">
              <w:rPr>
                <w:rFonts w:ascii="Arial" w:hAnsi="Arial" w:cs="Arial"/>
                <w:b/>
                <w:bCs/>
                <w:sz w:val="16"/>
                <w:szCs w:val="16"/>
                <w:lang w:eastAsia="es-AR"/>
              </w:rPr>
              <w:t>Serie</w:t>
            </w:r>
          </w:p>
        </w:tc>
        <w:tc>
          <w:tcPr>
            <w:tcW w:w="1065" w:type="dxa"/>
            <w:vMerge w:val="restart"/>
            <w:tcBorders>
              <w:top w:val="single" w:sz="8" w:space="0" w:color="auto"/>
              <w:left w:val="single" w:sz="8" w:space="0" w:color="auto"/>
              <w:bottom w:val="single" w:sz="8" w:space="0" w:color="000000"/>
              <w:right w:val="single" w:sz="8" w:space="0" w:color="auto"/>
            </w:tcBorders>
            <w:vAlign w:val="center"/>
            <w:hideMark/>
          </w:tcPr>
          <w:p w14:paraId="75EDCFBA" w14:textId="77777777" w:rsidR="0084060D" w:rsidRPr="003E4DD0" w:rsidRDefault="0084060D" w:rsidP="00A978AB">
            <w:pPr>
              <w:jc w:val="center"/>
              <w:rPr>
                <w:rFonts w:ascii="Arial" w:hAnsi="Arial" w:cs="Arial"/>
                <w:b/>
                <w:bCs/>
                <w:sz w:val="16"/>
                <w:szCs w:val="16"/>
                <w:lang w:eastAsia="es-AR"/>
              </w:rPr>
            </w:pPr>
            <w:r w:rsidRPr="003E4DD0">
              <w:rPr>
                <w:rFonts w:ascii="Arial" w:hAnsi="Arial" w:cs="Arial"/>
                <w:b/>
                <w:bCs/>
                <w:sz w:val="16"/>
                <w:szCs w:val="16"/>
                <w:lang w:eastAsia="es-AR"/>
              </w:rPr>
              <w:t>Fecha de Emisión</w:t>
            </w:r>
          </w:p>
        </w:tc>
        <w:tc>
          <w:tcPr>
            <w:tcW w:w="1427" w:type="dxa"/>
            <w:vMerge w:val="restart"/>
            <w:tcBorders>
              <w:top w:val="single" w:sz="8" w:space="0" w:color="auto"/>
              <w:left w:val="single" w:sz="8" w:space="0" w:color="auto"/>
              <w:bottom w:val="single" w:sz="8" w:space="0" w:color="000000"/>
              <w:right w:val="single" w:sz="8" w:space="0" w:color="auto"/>
            </w:tcBorders>
            <w:vAlign w:val="center"/>
            <w:hideMark/>
          </w:tcPr>
          <w:p w14:paraId="3F4716F8" w14:textId="77777777" w:rsidR="0084060D" w:rsidRPr="003E4DD0" w:rsidRDefault="0084060D" w:rsidP="00A978AB">
            <w:pPr>
              <w:jc w:val="center"/>
              <w:rPr>
                <w:rFonts w:ascii="Arial" w:hAnsi="Arial" w:cs="Arial"/>
                <w:b/>
                <w:bCs/>
                <w:sz w:val="16"/>
                <w:szCs w:val="16"/>
                <w:lang w:eastAsia="es-AR"/>
              </w:rPr>
            </w:pPr>
            <w:r w:rsidRPr="003E4DD0">
              <w:rPr>
                <w:rFonts w:ascii="Arial" w:hAnsi="Arial" w:cs="Arial"/>
                <w:b/>
                <w:bCs/>
                <w:sz w:val="16"/>
                <w:szCs w:val="16"/>
                <w:lang w:eastAsia="es-AR"/>
              </w:rPr>
              <w:t>Valor fideicomitido inicial</w:t>
            </w:r>
          </w:p>
        </w:tc>
        <w:tc>
          <w:tcPr>
            <w:tcW w:w="2328" w:type="dxa"/>
            <w:gridSpan w:val="2"/>
            <w:tcBorders>
              <w:top w:val="single" w:sz="8" w:space="0" w:color="auto"/>
              <w:left w:val="nil"/>
              <w:bottom w:val="single" w:sz="8" w:space="0" w:color="auto"/>
              <w:right w:val="single" w:sz="8" w:space="0" w:color="000000"/>
            </w:tcBorders>
            <w:vAlign w:val="center"/>
            <w:hideMark/>
          </w:tcPr>
          <w:p w14:paraId="25490070" w14:textId="77777777" w:rsidR="0084060D" w:rsidRPr="003E4DD0" w:rsidRDefault="0084060D" w:rsidP="00A978AB">
            <w:pPr>
              <w:jc w:val="center"/>
              <w:rPr>
                <w:rFonts w:ascii="Arial" w:hAnsi="Arial" w:cs="Arial"/>
                <w:b/>
                <w:bCs/>
                <w:sz w:val="16"/>
                <w:szCs w:val="16"/>
                <w:lang w:eastAsia="es-AR"/>
              </w:rPr>
            </w:pPr>
            <w:r w:rsidRPr="003E4DD0">
              <w:rPr>
                <w:rFonts w:ascii="Arial" w:hAnsi="Arial" w:cs="Arial"/>
                <w:b/>
                <w:bCs/>
                <w:sz w:val="16"/>
                <w:szCs w:val="16"/>
                <w:lang w:eastAsia="es-AR"/>
              </w:rPr>
              <w:t>Títulos Emitidos</w:t>
            </w:r>
          </w:p>
        </w:tc>
      </w:tr>
      <w:tr w:rsidR="0084060D" w:rsidRPr="003E4DD0" w14:paraId="65C949D1" w14:textId="77777777" w:rsidTr="0084060D">
        <w:trPr>
          <w:trHeight w:val="240"/>
          <w:jc w:val="center"/>
        </w:trPr>
        <w:tc>
          <w:tcPr>
            <w:tcW w:w="647" w:type="dxa"/>
            <w:vMerge/>
            <w:tcBorders>
              <w:top w:val="single" w:sz="8" w:space="0" w:color="auto"/>
              <w:left w:val="single" w:sz="8" w:space="0" w:color="auto"/>
              <w:bottom w:val="single" w:sz="8" w:space="0" w:color="000000"/>
              <w:right w:val="single" w:sz="8" w:space="0" w:color="auto"/>
            </w:tcBorders>
            <w:vAlign w:val="center"/>
            <w:hideMark/>
          </w:tcPr>
          <w:p w14:paraId="2423B94A" w14:textId="77777777" w:rsidR="0084060D" w:rsidRPr="003E4DD0" w:rsidRDefault="0084060D" w:rsidP="00A978AB">
            <w:pPr>
              <w:rPr>
                <w:rFonts w:ascii="Arial" w:hAnsi="Arial" w:cs="Arial"/>
                <w:b/>
                <w:bCs/>
                <w:sz w:val="16"/>
                <w:szCs w:val="16"/>
                <w:lang w:eastAsia="es-AR"/>
              </w:rPr>
            </w:pPr>
          </w:p>
        </w:tc>
        <w:tc>
          <w:tcPr>
            <w:tcW w:w="1065" w:type="dxa"/>
            <w:vMerge/>
            <w:tcBorders>
              <w:top w:val="single" w:sz="8" w:space="0" w:color="auto"/>
              <w:left w:val="single" w:sz="8" w:space="0" w:color="auto"/>
              <w:bottom w:val="single" w:sz="8" w:space="0" w:color="000000"/>
              <w:right w:val="single" w:sz="8" w:space="0" w:color="auto"/>
            </w:tcBorders>
            <w:vAlign w:val="center"/>
            <w:hideMark/>
          </w:tcPr>
          <w:p w14:paraId="45197E88" w14:textId="77777777" w:rsidR="0084060D" w:rsidRPr="003E4DD0" w:rsidRDefault="0084060D" w:rsidP="00A978AB">
            <w:pPr>
              <w:rPr>
                <w:rFonts w:ascii="Arial" w:hAnsi="Arial" w:cs="Arial"/>
                <w:b/>
                <w:bCs/>
                <w:sz w:val="16"/>
                <w:szCs w:val="16"/>
                <w:lang w:eastAsia="es-AR"/>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7E17F1D8" w14:textId="77777777" w:rsidR="0084060D" w:rsidRPr="003E4DD0" w:rsidRDefault="0084060D" w:rsidP="00A978AB">
            <w:pPr>
              <w:rPr>
                <w:rFonts w:ascii="Arial" w:hAnsi="Arial" w:cs="Arial"/>
                <w:b/>
                <w:bCs/>
                <w:sz w:val="16"/>
                <w:szCs w:val="16"/>
                <w:lang w:eastAsia="es-AR"/>
              </w:rPr>
            </w:pPr>
          </w:p>
        </w:tc>
        <w:tc>
          <w:tcPr>
            <w:tcW w:w="1338" w:type="dxa"/>
            <w:tcBorders>
              <w:top w:val="nil"/>
              <w:left w:val="nil"/>
              <w:bottom w:val="single" w:sz="8" w:space="0" w:color="auto"/>
              <w:right w:val="single" w:sz="8" w:space="0" w:color="auto"/>
            </w:tcBorders>
            <w:vAlign w:val="center"/>
            <w:hideMark/>
          </w:tcPr>
          <w:p w14:paraId="77A5EA18" w14:textId="77777777" w:rsidR="0084060D" w:rsidRPr="003E4DD0" w:rsidRDefault="0084060D" w:rsidP="00A978AB">
            <w:pPr>
              <w:jc w:val="center"/>
              <w:rPr>
                <w:rFonts w:ascii="Arial" w:hAnsi="Arial" w:cs="Arial"/>
                <w:sz w:val="16"/>
                <w:szCs w:val="16"/>
                <w:lang w:eastAsia="es-AR"/>
              </w:rPr>
            </w:pPr>
            <w:r w:rsidRPr="003E4DD0">
              <w:rPr>
                <w:rFonts w:ascii="Arial" w:hAnsi="Arial" w:cs="Arial"/>
                <w:sz w:val="16"/>
                <w:szCs w:val="16"/>
                <w:lang w:eastAsia="es-AR"/>
              </w:rPr>
              <w:t>Certificados de participación</w:t>
            </w:r>
          </w:p>
        </w:tc>
        <w:tc>
          <w:tcPr>
            <w:tcW w:w="990" w:type="dxa"/>
            <w:tcBorders>
              <w:top w:val="nil"/>
              <w:left w:val="nil"/>
              <w:bottom w:val="single" w:sz="8" w:space="0" w:color="auto"/>
              <w:right w:val="single" w:sz="8" w:space="0" w:color="auto"/>
            </w:tcBorders>
            <w:vAlign w:val="center"/>
            <w:hideMark/>
          </w:tcPr>
          <w:p w14:paraId="33129A06" w14:textId="77777777" w:rsidR="0084060D" w:rsidRPr="003E4DD0" w:rsidRDefault="0084060D" w:rsidP="00A978AB">
            <w:pPr>
              <w:jc w:val="center"/>
              <w:rPr>
                <w:rFonts w:ascii="Arial" w:hAnsi="Arial" w:cs="Arial"/>
                <w:sz w:val="16"/>
                <w:szCs w:val="16"/>
                <w:lang w:eastAsia="es-AR"/>
              </w:rPr>
            </w:pPr>
            <w:r w:rsidRPr="003E4DD0">
              <w:rPr>
                <w:rFonts w:ascii="Arial" w:hAnsi="Arial" w:cs="Arial"/>
                <w:sz w:val="16"/>
                <w:szCs w:val="16"/>
                <w:lang w:eastAsia="es-AR"/>
              </w:rPr>
              <w:t>Títulos de deuda</w:t>
            </w:r>
          </w:p>
        </w:tc>
      </w:tr>
      <w:tr w:rsidR="0084060D" w:rsidRPr="003E4DD0" w14:paraId="0D914E99" w14:textId="77777777" w:rsidTr="0084060D">
        <w:trPr>
          <w:trHeight w:val="240"/>
          <w:jc w:val="center"/>
        </w:trPr>
        <w:tc>
          <w:tcPr>
            <w:tcW w:w="647" w:type="dxa"/>
            <w:tcBorders>
              <w:top w:val="nil"/>
              <w:left w:val="single" w:sz="8" w:space="0" w:color="auto"/>
              <w:bottom w:val="single" w:sz="8" w:space="0" w:color="auto"/>
              <w:right w:val="single" w:sz="8" w:space="0" w:color="auto"/>
            </w:tcBorders>
            <w:vAlign w:val="center"/>
            <w:hideMark/>
          </w:tcPr>
          <w:p w14:paraId="7621B4E2" w14:textId="43717922" w:rsidR="0084060D" w:rsidRPr="003E4DD0" w:rsidRDefault="0084060D" w:rsidP="0084060D">
            <w:pPr>
              <w:jc w:val="center"/>
              <w:rPr>
                <w:rFonts w:ascii="Arial" w:hAnsi="Arial" w:cs="Arial"/>
                <w:sz w:val="16"/>
                <w:szCs w:val="16"/>
                <w:lang w:eastAsia="es-AR"/>
              </w:rPr>
            </w:pPr>
            <w:r>
              <w:rPr>
                <w:rFonts w:ascii="Arial" w:hAnsi="Arial" w:cs="Arial"/>
                <w:sz w:val="16"/>
                <w:szCs w:val="16"/>
                <w:lang w:eastAsia="es-AR"/>
              </w:rPr>
              <w:t>20</w:t>
            </w:r>
          </w:p>
        </w:tc>
        <w:tc>
          <w:tcPr>
            <w:tcW w:w="1065" w:type="dxa"/>
            <w:tcBorders>
              <w:top w:val="nil"/>
              <w:left w:val="nil"/>
              <w:bottom w:val="single" w:sz="8" w:space="0" w:color="auto"/>
              <w:right w:val="single" w:sz="8" w:space="0" w:color="auto"/>
            </w:tcBorders>
            <w:vAlign w:val="center"/>
            <w:hideMark/>
          </w:tcPr>
          <w:p w14:paraId="5D25CAD3" w14:textId="1BBB76EF" w:rsidR="0084060D" w:rsidRPr="003E4DD0" w:rsidRDefault="0084060D" w:rsidP="0084060D">
            <w:pPr>
              <w:jc w:val="center"/>
              <w:rPr>
                <w:rFonts w:ascii="Arial" w:hAnsi="Arial" w:cs="Arial"/>
                <w:sz w:val="16"/>
                <w:szCs w:val="16"/>
                <w:lang w:eastAsia="es-AR"/>
              </w:rPr>
            </w:pPr>
            <w:r>
              <w:rPr>
                <w:rFonts w:ascii="Arial" w:hAnsi="Arial" w:cs="Arial"/>
                <w:sz w:val="16"/>
                <w:szCs w:val="16"/>
                <w:lang w:eastAsia="es-AR"/>
              </w:rPr>
              <w:t>08/04/2019</w:t>
            </w:r>
          </w:p>
        </w:tc>
        <w:tc>
          <w:tcPr>
            <w:tcW w:w="1427" w:type="dxa"/>
            <w:tcBorders>
              <w:top w:val="nil"/>
              <w:left w:val="nil"/>
              <w:bottom w:val="single" w:sz="8" w:space="0" w:color="auto"/>
              <w:right w:val="single" w:sz="8" w:space="0" w:color="auto"/>
            </w:tcBorders>
            <w:vAlign w:val="center"/>
            <w:hideMark/>
          </w:tcPr>
          <w:p w14:paraId="0DE2EA74" w14:textId="1ACC046F"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600.000</w:t>
            </w:r>
          </w:p>
        </w:tc>
        <w:tc>
          <w:tcPr>
            <w:tcW w:w="1338" w:type="dxa"/>
            <w:tcBorders>
              <w:top w:val="nil"/>
              <w:left w:val="nil"/>
              <w:bottom w:val="single" w:sz="8" w:space="0" w:color="auto"/>
              <w:right w:val="single" w:sz="8" w:space="0" w:color="auto"/>
            </w:tcBorders>
            <w:vAlign w:val="center"/>
            <w:hideMark/>
          </w:tcPr>
          <w:p w14:paraId="554929E6" w14:textId="72028924"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120.000</w:t>
            </w:r>
          </w:p>
        </w:tc>
        <w:tc>
          <w:tcPr>
            <w:tcW w:w="990" w:type="dxa"/>
            <w:tcBorders>
              <w:top w:val="nil"/>
              <w:left w:val="nil"/>
              <w:bottom w:val="single" w:sz="8" w:space="0" w:color="auto"/>
              <w:right w:val="single" w:sz="8" w:space="0" w:color="auto"/>
            </w:tcBorders>
            <w:vAlign w:val="center"/>
            <w:hideMark/>
          </w:tcPr>
          <w:p w14:paraId="72D93A83" w14:textId="45FDDCDE"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480.000</w:t>
            </w:r>
          </w:p>
        </w:tc>
      </w:tr>
      <w:tr w:rsidR="0084060D" w:rsidRPr="003E4DD0" w14:paraId="55844F07" w14:textId="77777777" w:rsidTr="0084060D">
        <w:trPr>
          <w:trHeight w:val="240"/>
          <w:jc w:val="center"/>
        </w:trPr>
        <w:tc>
          <w:tcPr>
            <w:tcW w:w="647" w:type="dxa"/>
            <w:tcBorders>
              <w:top w:val="single" w:sz="8" w:space="0" w:color="auto"/>
              <w:left w:val="single" w:sz="8" w:space="0" w:color="auto"/>
              <w:bottom w:val="single" w:sz="8" w:space="0" w:color="auto"/>
              <w:right w:val="single" w:sz="8" w:space="0" w:color="auto"/>
            </w:tcBorders>
            <w:vAlign w:val="center"/>
          </w:tcPr>
          <w:p w14:paraId="57812877" w14:textId="01CE6381" w:rsidR="0084060D" w:rsidRPr="003E4DD0" w:rsidRDefault="0084060D" w:rsidP="0084060D">
            <w:pPr>
              <w:jc w:val="center"/>
              <w:rPr>
                <w:rFonts w:ascii="Arial" w:hAnsi="Arial" w:cs="Arial"/>
                <w:sz w:val="16"/>
                <w:szCs w:val="16"/>
                <w:lang w:eastAsia="es-AR"/>
              </w:rPr>
            </w:pPr>
            <w:r>
              <w:rPr>
                <w:rFonts w:ascii="Arial" w:hAnsi="Arial" w:cs="Arial"/>
                <w:sz w:val="16"/>
                <w:szCs w:val="16"/>
                <w:lang w:eastAsia="es-AR"/>
              </w:rPr>
              <w:t>21</w:t>
            </w:r>
          </w:p>
        </w:tc>
        <w:tc>
          <w:tcPr>
            <w:tcW w:w="1065" w:type="dxa"/>
            <w:tcBorders>
              <w:top w:val="single" w:sz="8" w:space="0" w:color="auto"/>
              <w:left w:val="nil"/>
              <w:bottom w:val="single" w:sz="8" w:space="0" w:color="auto"/>
              <w:right w:val="single" w:sz="8" w:space="0" w:color="auto"/>
            </w:tcBorders>
            <w:vAlign w:val="center"/>
          </w:tcPr>
          <w:p w14:paraId="10FA39FF" w14:textId="65CBF393" w:rsidR="0084060D" w:rsidRPr="003E4DD0" w:rsidRDefault="0084060D" w:rsidP="0084060D">
            <w:pPr>
              <w:jc w:val="center"/>
              <w:rPr>
                <w:rFonts w:ascii="Arial" w:hAnsi="Arial" w:cs="Arial"/>
                <w:sz w:val="16"/>
                <w:szCs w:val="16"/>
                <w:lang w:eastAsia="es-AR"/>
              </w:rPr>
            </w:pPr>
            <w:r>
              <w:rPr>
                <w:rFonts w:ascii="Arial" w:hAnsi="Arial" w:cs="Arial"/>
                <w:sz w:val="16"/>
                <w:szCs w:val="16"/>
                <w:lang w:eastAsia="es-AR"/>
              </w:rPr>
              <w:t>24/06/2019</w:t>
            </w:r>
          </w:p>
        </w:tc>
        <w:tc>
          <w:tcPr>
            <w:tcW w:w="1427" w:type="dxa"/>
            <w:tcBorders>
              <w:top w:val="single" w:sz="8" w:space="0" w:color="auto"/>
              <w:left w:val="nil"/>
              <w:bottom w:val="single" w:sz="8" w:space="0" w:color="auto"/>
              <w:right w:val="single" w:sz="8" w:space="0" w:color="auto"/>
            </w:tcBorders>
            <w:vAlign w:val="center"/>
          </w:tcPr>
          <w:p w14:paraId="6A8F9A2A" w14:textId="1FD2CEF9"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1.000.000</w:t>
            </w:r>
          </w:p>
        </w:tc>
        <w:tc>
          <w:tcPr>
            <w:tcW w:w="1338" w:type="dxa"/>
            <w:tcBorders>
              <w:top w:val="single" w:sz="8" w:space="0" w:color="auto"/>
              <w:left w:val="nil"/>
              <w:bottom w:val="single" w:sz="8" w:space="0" w:color="auto"/>
              <w:right w:val="single" w:sz="8" w:space="0" w:color="auto"/>
            </w:tcBorders>
            <w:vAlign w:val="center"/>
          </w:tcPr>
          <w:p w14:paraId="221A35BF" w14:textId="370F1667"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780.000</w:t>
            </w:r>
          </w:p>
        </w:tc>
        <w:tc>
          <w:tcPr>
            <w:tcW w:w="990" w:type="dxa"/>
            <w:tcBorders>
              <w:top w:val="single" w:sz="8" w:space="0" w:color="auto"/>
              <w:left w:val="nil"/>
              <w:bottom w:val="single" w:sz="8" w:space="0" w:color="auto"/>
              <w:right w:val="single" w:sz="8" w:space="0" w:color="auto"/>
            </w:tcBorders>
            <w:vAlign w:val="center"/>
          </w:tcPr>
          <w:p w14:paraId="628C96DC" w14:textId="58DB3A85"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220.000</w:t>
            </w:r>
          </w:p>
        </w:tc>
      </w:tr>
      <w:tr w:rsidR="0084060D" w:rsidRPr="003E4DD0" w14:paraId="575CD387" w14:textId="77777777" w:rsidTr="0084060D">
        <w:trPr>
          <w:trHeight w:val="240"/>
          <w:jc w:val="center"/>
        </w:trPr>
        <w:tc>
          <w:tcPr>
            <w:tcW w:w="647" w:type="dxa"/>
            <w:tcBorders>
              <w:top w:val="single" w:sz="8" w:space="0" w:color="auto"/>
              <w:left w:val="single" w:sz="8" w:space="0" w:color="auto"/>
              <w:bottom w:val="single" w:sz="8" w:space="0" w:color="auto"/>
              <w:right w:val="single" w:sz="8" w:space="0" w:color="auto"/>
            </w:tcBorders>
            <w:vAlign w:val="center"/>
            <w:hideMark/>
          </w:tcPr>
          <w:p w14:paraId="1A810958" w14:textId="723D6959" w:rsidR="0084060D" w:rsidRPr="003E4DD0" w:rsidRDefault="0084060D" w:rsidP="0084060D">
            <w:pPr>
              <w:jc w:val="center"/>
              <w:rPr>
                <w:rFonts w:ascii="Arial" w:hAnsi="Arial" w:cs="Arial"/>
                <w:sz w:val="16"/>
                <w:szCs w:val="16"/>
                <w:lang w:eastAsia="es-AR"/>
              </w:rPr>
            </w:pPr>
            <w:r>
              <w:rPr>
                <w:rFonts w:ascii="Arial" w:hAnsi="Arial" w:cs="Arial"/>
                <w:sz w:val="16"/>
                <w:szCs w:val="16"/>
                <w:lang w:eastAsia="es-AR"/>
              </w:rPr>
              <w:t>22</w:t>
            </w:r>
          </w:p>
        </w:tc>
        <w:tc>
          <w:tcPr>
            <w:tcW w:w="1065" w:type="dxa"/>
            <w:tcBorders>
              <w:top w:val="single" w:sz="8" w:space="0" w:color="auto"/>
              <w:left w:val="nil"/>
              <w:bottom w:val="single" w:sz="8" w:space="0" w:color="auto"/>
              <w:right w:val="single" w:sz="8" w:space="0" w:color="auto"/>
            </w:tcBorders>
            <w:vAlign w:val="center"/>
            <w:hideMark/>
          </w:tcPr>
          <w:p w14:paraId="15CA87FA" w14:textId="3BC8AD60" w:rsidR="0084060D" w:rsidRPr="003E4DD0" w:rsidRDefault="0084060D" w:rsidP="0084060D">
            <w:pPr>
              <w:jc w:val="center"/>
              <w:rPr>
                <w:rFonts w:ascii="Arial" w:hAnsi="Arial" w:cs="Arial"/>
                <w:sz w:val="16"/>
                <w:szCs w:val="16"/>
                <w:lang w:eastAsia="es-AR"/>
              </w:rPr>
            </w:pPr>
            <w:r>
              <w:rPr>
                <w:rFonts w:ascii="Arial" w:hAnsi="Arial" w:cs="Arial"/>
                <w:sz w:val="16"/>
                <w:szCs w:val="16"/>
                <w:lang w:eastAsia="es-AR"/>
              </w:rPr>
              <w:t>13/11/2019</w:t>
            </w:r>
          </w:p>
        </w:tc>
        <w:tc>
          <w:tcPr>
            <w:tcW w:w="1427" w:type="dxa"/>
            <w:tcBorders>
              <w:top w:val="single" w:sz="8" w:space="0" w:color="auto"/>
              <w:left w:val="nil"/>
              <w:bottom w:val="single" w:sz="8" w:space="0" w:color="auto"/>
              <w:right w:val="single" w:sz="8" w:space="0" w:color="auto"/>
            </w:tcBorders>
            <w:vAlign w:val="center"/>
            <w:hideMark/>
          </w:tcPr>
          <w:p w14:paraId="15CF385F" w14:textId="3B3EE24A"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571.560</w:t>
            </w:r>
          </w:p>
        </w:tc>
        <w:tc>
          <w:tcPr>
            <w:tcW w:w="1338" w:type="dxa"/>
            <w:tcBorders>
              <w:top w:val="single" w:sz="8" w:space="0" w:color="auto"/>
              <w:left w:val="nil"/>
              <w:bottom w:val="single" w:sz="8" w:space="0" w:color="auto"/>
              <w:right w:val="single" w:sz="8" w:space="0" w:color="auto"/>
            </w:tcBorders>
            <w:vAlign w:val="center"/>
            <w:hideMark/>
          </w:tcPr>
          <w:p w14:paraId="49B250FB" w14:textId="3716E848"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102.300</w:t>
            </w:r>
          </w:p>
        </w:tc>
        <w:tc>
          <w:tcPr>
            <w:tcW w:w="990" w:type="dxa"/>
            <w:tcBorders>
              <w:top w:val="single" w:sz="8" w:space="0" w:color="auto"/>
              <w:left w:val="nil"/>
              <w:bottom w:val="single" w:sz="8" w:space="0" w:color="auto"/>
              <w:right w:val="single" w:sz="8" w:space="0" w:color="auto"/>
            </w:tcBorders>
            <w:vAlign w:val="center"/>
            <w:hideMark/>
          </w:tcPr>
          <w:p w14:paraId="58D97710" w14:textId="3778E4B9" w:rsidR="0084060D" w:rsidRPr="003E4DD0" w:rsidRDefault="0084060D" w:rsidP="0084060D">
            <w:pPr>
              <w:jc w:val="right"/>
              <w:rPr>
                <w:rFonts w:ascii="Arial" w:hAnsi="Arial" w:cs="Arial"/>
                <w:sz w:val="16"/>
                <w:szCs w:val="16"/>
                <w:lang w:eastAsia="es-AR"/>
              </w:rPr>
            </w:pPr>
            <w:r>
              <w:rPr>
                <w:rFonts w:ascii="Arial" w:hAnsi="Arial" w:cs="Arial"/>
                <w:sz w:val="16"/>
                <w:szCs w:val="16"/>
                <w:lang w:eastAsia="es-AR"/>
              </w:rPr>
              <w:t>469.260</w:t>
            </w:r>
          </w:p>
        </w:tc>
      </w:tr>
    </w:tbl>
    <w:p w14:paraId="4F45EE80" w14:textId="77777777" w:rsidR="008D7556" w:rsidRPr="00701F32" w:rsidRDefault="008D7556" w:rsidP="00A06BE9">
      <w:pPr>
        <w:tabs>
          <w:tab w:val="left" w:pos="142"/>
          <w:tab w:val="left" w:pos="9923"/>
        </w:tabs>
        <w:spacing w:after="200" w:line="276" w:lineRule="auto"/>
        <w:contextualSpacing/>
        <w:jc w:val="both"/>
        <w:rPr>
          <w:rFonts w:ascii="Arial" w:hAnsi="Arial" w:cs="Arial"/>
          <w:b/>
          <w:sz w:val="20"/>
        </w:rPr>
      </w:pPr>
    </w:p>
    <w:p w14:paraId="5168B0F4" w14:textId="4F6E9D63" w:rsidR="00A06BE9" w:rsidRPr="00701F32" w:rsidRDefault="001D2B86" w:rsidP="00A06BE9">
      <w:pPr>
        <w:tabs>
          <w:tab w:val="left" w:pos="142"/>
          <w:tab w:val="left" w:pos="9923"/>
        </w:tabs>
        <w:spacing w:after="200" w:line="276" w:lineRule="auto"/>
        <w:contextualSpacing/>
        <w:jc w:val="both"/>
        <w:rPr>
          <w:rFonts w:ascii="Arial" w:hAnsi="Arial" w:cs="Arial"/>
          <w:b/>
          <w:sz w:val="20"/>
        </w:rPr>
      </w:pPr>
      <w:r>
        <w:rPr>
          <w:rFonts w:ascii="Arial" w:hAnsi="Arial" w:cs="Arial"/>
          <w:b/>
          <w:sz w:val="20"/>
        </w:rPr>
        <w:t>9</w:t>
      </w:r>
      <w:r w:rsidR="00A06BE9" w:rsidRPr="00701F32">
        <w:rPr>
          <w:rFonts w:ascii="Arial" w:hAnsi="Arial" w:cs="Arial"/>
          <w:b/>
          <w:sz w:val="20"/>
        </w:rPr>
        <w:t>.</w:t>
      </w:r>
      <w:r w:rsidR="00582EAB" w:rsidRPr="00701F32">
        <w:rPr>
          <w:rFonts w:ascii="Arial" w:hAnsi="Arial" w:cs="Arial"/>
          <w:b/>
          <w:sz w:val="20"/>
        </w:rPr>
        <w:t xml:space="preserve">5 </w:t>
      </w:r>
      <w:r w:rsidR="00A06BE9" w:rsidRPr="00701F32">
        <w:rPr>
          <w:rFonts w:ascii="Arial" w:hAnsi="Arial" w:cs="Arial"/>
          <w:b/>
          <w:sz w:val="20"/>
        </w:rPr>
        <w:t>Cumplimiento de disposiciones requeridas por la Comisión Nacional de Valores</w:t>
      </w:r>
    </w:p>
    <w:p w14:paraId="38594F51" w14:textId="77777777" w:rsidR="00A06BE9" w:rsidRPr="00701F32" w:rsidRDefault="00A06BE9" w:rsidP="00A06BE9">
      <w:pPr>
        <w:tabs>
          <w:tab w:val="left" w:pos="142"/>
          <w:tab w:val="left" w:pos="9923"/>
        </w:tabs>
        <w:spacing w:after="200" w:line="276" w:lineRule="auto"/>
        <w:contextualSpacing/>
        <w:jc w:val="both"/>
        <w:rPr>
          <w:rFonts w:ascii="Arial" w:hAnsi="Arial" w:cs="Arial"/>
          <w:b/>
          <w:sz w:val="20"/>
        </w:rPr>
      </w:pPr>
    </w:p>
    <w:p w14:paraId="5544A5A0" w14:textId="6198C7CA" w:rsidR="00A06BE9" w:rsidRPr="00827C8E" w:rsidRDefault="001D2B86" w:rsidP="00A06BE9">
      <w:pPr>
        <w:tabs>
          <w:tab w:val="left" w:pos="142"/>
          <w:tab w:val="left" w:pos="9923"/>
        </w:tabs>
        <w:spacing w:after="200" w:line="276" w:lineRule="auto"/>
        <w:contextualSpacing/>
        <w:jc w:val="both"/>
        <w:rPr>
          <w:rFonts w:ascii="Arial" w:hAnsi="Arial" w:cs="Arial"/>
          <w:sz w:val="20"/>
        </w:rPr>
      </w:pPr>
      <w:r w:rsidRPr="00827C8E">
        <w:rPr>
          <w:rFonts w:ascii="Arial" w:hAnsi="Arial" w:cs="Arial"/>
          <w:b/>
          <w:sz w:val="20"/>
        </w:rPr>
        <w:t>9</w:t>
      </w:r>
      <w:r w:rsidR="00A06BE9" w:rsidRPr="00827C8E">
        <w:rPr>
          <w:rFonts w:ascii="Arial" w:hAnsi="Arial" w:cs="Arial"/>
          <w:b/>
          <w:sz w:val="20"/>
        </w:rPr>
        <w:t>.5.1 Disposiciones para operar como agente de mercado abierto</w:t>
      </w:r>
    </w:p>
    <w:p w14:paraId="4592C4BD" w14:textId="77777777" w:rsidR="00A06BE9" w:rsidRPr="00827C8E" w:rsidRDefault="00A06BE9" w:rsidP="00A06BE9">
      <w:pPr>
        <w:tabs>
          <w:tab w:val="left" w:pos="142"/>
          <w:tab w:val="left" w:pos="9923"/>
        </w:tabs>
        <w:spacing w:after="200" w:line="276" w:lineRule="auto"/>
        <w:contextualSpacing/>
        <w:jc w:val="both"/>
        <w:rPr>
          <w:rFonts w:ascii="Arial" w:hAnsi="Arial" w:cs="Arial"/>
          <w:sz w:val="20"/>
        </w:rPr>
      </w:pPr>
    </w:p>
    <w:p w14:paraId="1A4290BB" w14:textId="77777777" w:rsidR="005A5836" w:rsidRPr="00827C8E" w:rsidRDefault="005A5836" w:rsidP="005A5836">
      <w:pPr>
        <w:tabs>
          <w:tab w:val="left" w:pos="142"/>
        </w:tabs>
        <w:jc w:val="both"/>
        <w:rPr>
          <w:rFonts w:ascii="Arial" w:hAnsi="Arial" w:cs="Arial"/>
          <w:sz w:val="20"/>
        </w:rPr>
      </w:pPr>
      <w:bookmarkStart w:id="26" w:name="_Hlk23171388"/>
      <w:r w:rsidRPr="00827C8E">
        <w:rPr>
          <w:rFonts w:ascii="Arial" w:hAnsi="Arial" w:cs="Arial"/>
          <w:sz w:val="20"/>
        </w:rPr>
        <w:t>Considerando la operatoria que actualmente realiza la Entidad, y conforme a las diferentes categorías de agentes que establece la Resolución General N° 622/13 de la Comisión Nacional de Valores, la misma se encuentra inscripta ante dicho organismo para la categoría de Agente de Liquidación, Compensación y Agente de Negociación Integral.</w:t>
      </w:r>
    </w:p>
    <w:p w14:paraId="06B70DC2" w14:textId="77777777" w:rsidR="005A5836" w:rsidRPr="005A5836" w:rsidRDefault="005A5836" w:rsidP="005A5836">
      <w:pPr>
        <w:autoSpaceDE w:val="0"/>
        <w:autoSpaceDN w:val="0"/>
        <w:adjustRightInd w:val="0"/>
        <w:jc w:val="both"/>
        <w:rPr>
          <w:rFonts w:ascii="Arial" w:hAnsi="Arial" w:cs="Arial"/>
          <w:i/>
          <w:sz w:val="20"/>
          <w:highlight w:val="yellow"/>
        </w:rPr>
      </w:pPr>
    </w:p>
    <w:bookmarkEnd w:id="26"/>
    <w:p w14:paraId="6C753998" w14:textId="68E12D8D" w:rsidR="00827C8E" w:rsidRDefault="00827C8E" w:rsidP="00827C8E">
      <w:pPr>
        <w:jc w:val="both"/>
        <w:rPr>
          <w:rFonts w:ascii="Arial" w:hAnsi="Arial" w:cs="Arial"/>
          <w:sz w:val="20"/>
        </w:rPr>
      </w:pPr>
      <w:r w:rsidRPr="006E5E92">
        <w:rPr>
          <w:rFonts w:ascii="Arial" w:hAnsi="Arial" w:cs="Arial"/>
          <w:sz w:val="20"/>
        </w:rPr>
        <w:lastRenderedPageBreak/>
        <w:t xml:space="preserve">Asimismo, se informa que al 31 de marzo de </w:t>
      </w:r>
      <w:r w:rsidR="004676BD" w:rsidRPr="006E5E92">
        <w:rPr>
          <w:rFonts w:ascii="Arial" w:hAnsi="Arial" w:cs="Arial"/>
          <w:sz w:val="20"/>
        </w:rPr>
        <w:t>20</w:t>
      </w:r>
      <w:r w:rsidR="004676BD">
        <w:rPr>
          <w:rFonts w:ascii="Arial" w:hAnsi="Arial" w:cs="Arial"/>
          <w:sz w:val="20"/>
        </w:rPr>
        <w:t>20</w:t>
      </w:r>
      <w:r w:rsidR="004676BD" w:rsidRPr="006E5E92">
        <w:rPr>
          <w:rFonts w:ascii="Arial" w:hAnsi="Arial" w:cs="Arial"/>
          <w:sz w:val="20"/>
        </w:rPr>
        <w:t xml:space="preserve"> </w:t>
      </w:r>
      <w:r w:rsidRPr="006E5E92">
        <w:rPr>
          <w:rFonts w:ascii="Arial" w:hAnsi="Arial" w:cs="Arial"/>
          <w:sz w:val="20"/>
        </w:rPr>
        <w:t>y 31 de diciembre de 2019 el patrimonio neto de la Entidad supera el patrimonio neto mínimo requerido por dicha norma para actuar como agente de mercado abierto, el cual asciende a $ 24.279 y $ 22.182 miles respectivamente. La contrapartida líquida exigida por la norma asciende a $ 12.140 y $ 11.091 miles respectivamente y se encuentra constituida mediante la cuenta corriente en pesos abierta en el BCRA cuyo saldo ascendía a $ 14.779.215 y $ 8.511.827 miles al 31 de marzo de 2020 y 31 de diciembre de 2019 respectivamente</w:t>
      </w:r>
      <w:r w:rsidRPr="00F40E42">
        <w:rPr>
          <w:rFonts w:ascii="Arial" w:hAnsi="Arial" w:cs="Arial"/>
          <w:sz w:val="20"/>
        </w:rPr>
        <w:t>.</w:t>
      </w:r>
    </w:p>
    <w:p w14:paraId="627AC68D" w14:textId="77777777" w:rsidR="00827C8E" w:rsidRPr="00701F32" w:rsidRDefault="00827C8E" w:rsidP="00827C8E">
      <w:pPr>
        <w:jc w:val="both"/>
        <w:rPr>
          <w:rFonts w:ascii="Arial" w:hAnsi="Arial" w:cs="Arial"/>
          <w:sz w:val="20"/>
        </w:rPr>
      </w:pPr>
    </w:p>
    <w:p w14:paraId="682F5A40" w14:textId="14B07794" w:rsidR="00827C8E" w:rsidRDefault="00827C8E" w:rsidP="00827C8E">
      <w:pPr>
        <w:tabs>
          <w:tab w:val="left" w:pos="142"/>
        </w:tabs>
        <w:jc w:val="both"/>
        <w:rPr>
          <w:rFonts w:ascii="Arial" w:hAnsi="Arial" w:cs="Arial"/>
          <w:sz w:val="20"/>
        </w:rPr>
      </w:pPr>
      <w:r w:rsidRPr="00701F32">
        <w:rPr>
          <w:rFonts w:ascii="Arial" w:hAnsi="Arial" w:cs="Arial"/>
          <w:sz w:val="20"/>
        </w:rPr>
        <w:t>Por otra parte, en cumplimiento de la citada resolución general, el inmueble sito en la calle Reconquista 330 de esta Ciudad Autónoma</w:t>
      </w:r>
      <w:r>
        <w:rPr>
          <w:rFonts w:ascii="Arial" w:hAnsi="Arial" w:cs="Arial"/>
          <w:sz w:val="20"/>
        </w:rPr>
        <w:t xml:space="preserve"> de Buenos Aires</w:t>
      </w:r>
      <w:r w:rsidRPr="00701F32">
        <w:rPr>
          <w:rFonts w:ascii="Arial" w:hAnsi="Arial" w:cs="Arial"/>
          <w:sz w:val="20"/>
        </w:rPr>
        <w:t>, cuyo valor residual contable al 3</w:t>
      </w:r>
      <w:r>
        <w:rPr>
          <w:rFonts w:ascii="Arial" w:hAnsi="Arial" w:cs="Arial"/>
          <w:sz w:val="20"/>
        </w:rPr>
        <w:t>1</w:t>
      </w:r>
      <w:r w:rsidRPr="00701F32">
        <w:rPr>
          <w:rFonts w:ascii="Arial" w:hAnsi="Arial" w:cs="Arial"/>
          <w:sz w:val="20"/>
        </w:rPr>
        <w:t xml:space="preserve"> </w:t>
      </w:r>
      <w:r>
        <w:rPr>
          <w:rFonts w:ascii="Arial" w:hAnsi="Arial" w:cs="Arial"/>
          <w:sz w:val="20"/>
        </w:rPr>
        <w:t>de marzo</w:t>
      </w:r>
      <w:r w:rsidRPr="00701F32">
        <w:rPr>
          <w:rFonts w:ascii="Arial" w:hAnsi="Arial" w:cs="Arial"/>
          <w:sz w:val="20"/>
        </w:rPr>
        <w:t xml:space="preserve"> de </w:t>
      </w:r>
      <w:r>
        <w:rPr>
          <w:rFonts w:ascii="Arial" w:hAnsi="Arial" w:cs="Arial"/>
          <w:sz w:val="20"/>
        </w:rPr>
        <w:t xml:space="preserve">2020 y </w:t>
      </w:r>
      <w:r w:rsidRPr="00701F32">
        <w:rPr>
          <w:rFonts w:ascii="Arial" w:hAnsi="Arial" w:cs="Arial"/>
          <w:sz w:val="20"/>
        </w:rPr>
        <w:t>3</w:t>
      </w:r>
      <w:r>
        <w:rPr>
          <w:rFonts w:ascii="Arial" w:hAnsi="Arial" w:cs="Arial"/>
          <w:sz w:val="20"/>
        </w:rPr>
        <w:t>1</w:t>
      </w:r>
      <w:r w:rsidRPr="00701F32">
        <w:rPr>
          <w:rFonts w:ascii="Arial" w:hAnsi="Arial" w:cs="Arial"/>
          <w:sz w:val="20"/>
        </w:rPr>
        <w:t xml:space="preserve"> </w:t>
      </w:r>
      <w:r>
        <w:rPr>
          <w:rFonts w:ascii="Arial" w:hAnsi="Arial" w:cs="Arial"/>
          <w:sz w:val="20"/>
        </w:rPr>
        <w:t>de diciembre</w:t>
      </w:r>
      <w:r w:rsidRPr="00701F32">
        <w:rPr>
          <w:rFonts w:ascii="Arial" w:hAnsi="Arial" w:cs="Arial"/>
          <w:sz w:val="20"/>
        </w:rPr>
        <w:t xml:space="preserve"> de </w:t>
      </w:r>
      <w:r>
        <w:rPr>
          <w:rFonts w:ascii="Arial" w:hAnsi="Arial" w:cs="Arial"/>
          <w:sz w:val="20"/>
        </w:rPr>
        <w:t xml:space="preserve">2019 </w:t>
      </w:r>
      <w:r w:rsidRPr="00701F32">
        <w:rPr>
          <w:rFonts w:ascii="Arial" w:hAnsi="Arial" w:cs="Arial"/>
          <w:sz w:val="20"/>
        </w:rPr>
        <w:t xml:space="preserve">es de </w:t>
      </w:r>
      <w:r>
        <w:rPr>
          <w:rFonts w:ascii="Arial" w:hAnsi="Arial" w:cs="Arial"/>
          <w:sz w:val="20"/>
        </w:rPr>
        <w:t xml:space="preserve">$ </w:t>
      </w:r>
      <w:r w:rsidR="000B3411">
        <w:rPr>
          <w:rFonts w:ascii="Arial" w:hAnsi="Arial" w:cs="Arial"/>
          <w:sz w:val="20"/>
        </w:rPr>
        <w:t>304.010</w:t>
      </w:r>
      <w:r w:rsidRPr="00907B5E">
        <w:rPr>
          <w:rFonts w:ascii="Arial" w:hAnsi="Arial" w:cs="Arial"/>
          <w:sz w:val="20"/>
        </w:rPr>
        <w:t xml:space="preserve"> y</w:t>
      </w:r>
      <w:r w:rsidRPr="00701F32">
        <w:rPr>
          <w:rFonts w:ascii="Arial" w:hAnsi="Arial" w:cs="Arial"/>
          <w:sz w:val="20"/>
        </w:rPr>
        <w:t xml:space="preserve"> </w:t>
      </w:r>
      <w:r>
        <w:rPr>
          <w:rFonts w:ascii="Arial" w:hAnsi="Arial" w:cs="Arial"/>
          <w:sz w:val="20"/>
        </w:rPr>
        <w:t xml:space="preserve">$ </w:t>
      </w:r>
      <w:r w:rsidRPr="00907B5E">
        <w:rPr>
          <w:rFonts w:ascii="Arial" w:hAnsi="Arial" w:cs="Arial"/>
          <w:sz w:val="20"/>
        </w:rPr>
        <w:t>2</w:t>
      </w:r>
      <w:r>
        <w:rPr>
          <w:rFonts w:ascii="Arial" w:hAnsi="Arial" w:cs="Arial"/>
          <w:sz w:val="20"/>
        </w:rPr>
        <w:t>84</w:t>
      </w:r>
      <w:r w:rsidRPr="00907B5E">
        <w:rPr>
          <w:rFonts w:ascii="Arial" w:hAnsi="Arial" w:cs="Arial"/>
          <w:sz w:val="20"/>
        </w:rPr>
        <w:t>.</w:t>
      </w:r>
      <w:r>
        <w:rPr>
          <w:rFonts w:ascii="Arial" w:hAnsi="Arial" w:cs="Arial"/>
          <w:sz w:val="20"/>
        </w:rPr>
        <w:t>01</w:t>
      </w:r>
      <w:r w:rsidRPr="00907B5E">
        <w:rPr>
          <w:rFonts w:ascii="Arial" w:hAnsi="Arial" w:cs="Arial"/>
          <w:sz w:val="20"/>
        </w:rPr>
        <w:t xml:space="preserve">5 </w:t>
      </w:r>
      <w:r>
        <w:rPr>
          <w:rFonts w:ascii="Arial" w:hAnsi="Arial" w:cs="Arial"/>
          <w:sz w:val="20"/>
        </w:rPr>
        <w:t>miles, respectivamente</w:t>
      </w:r>
      <w:r w:rsidRPr="00701F32">
        <w:rPr>
          <w:rFonts w:ascii="Arial" w:hAnsi="Arial" w:cs="Arial"/>
          <w:sz w:val="20"/>
        </w:rPr>
        <w:t>, se encuentra afectado al desarrollo de las operaciones del Mercado Abierto.</w:t>
      </w:r>
    </w:p>
    <w:p w14:paraId="0C5D1E74" w14:textId="77777777" w:rsidR="00C110B3" w:rsidRPr="00701F32" w:rsidRDefault="00C110B3" w:rsidP="00A06BE9">
      <w:pPr>
        <w:tabs>
          <w:tab w:val="left" w:pos="142"/>
        </w:tabs>
        <w:jc w:val="both"/>
        <w:rPr>
          <w:rFonts w:ascii="Arial" w:hAnsi="Arial" w:cs="Arial"/>
          <w:sz w:val="20"/>
        </w:rPr>
      </w:pPr>
    </w:p>
    <w:p w14:paraId="031387E7" w14:textId="77536E11" w:rsidR="00A06BE9" w:rsidRPr="00701F32" w:rsidRDefault="001D2B86" w:rsidP="00A06BE9">
      <w:pPr>
        <w:tabs>
          <w:tab w:val="left" w:pos="142"/>
        </w:tabs>
        <w:spacing w:after="200" w:line="276" w:lineRule="auto"/>
        <w:contextualSpacing/>
        <w:jc w:val="both"/>
        <w:rPr>
          <w:rFonts w:ascii="Arial" w:hAnsi="Arial" w:cs="Arial"/>
          <w:b/>
          <w:sz w:val="20"/>
        </w:rPr>
      </w:pPr>
      <w:r w:rsidRPr="00BA7A6B">
        <w:rPr>
          <w:rFonts w:ascii="Arial" w:hAnsi="Arial" w:cs="Arial"/>
          <w:b/>
          <w:sz w:val="20"/>
        </w:rPr>
        <w:t>9</w:t>
      </w:r>
      <w:r w:rsidR="00A06BE9" w:rsidRPr="00BA7A6B">
        <w:rPr>
          <w:rFonts w:ascii="Arial" w:hAnsi="Arial" w:cs="Arial"/>
          <w:b/>
          <w:sz w:val="20"/>
        </w:rPr>
        <w:t>.5.2 Resolución N° 629 de la Comisión Nacional de Valores</w:t>
      </w:r>
    </w:p>
    <w:p w14:paraId="1F515A73" w14:textId="77777777" w:rsidR="00A06BE9" w:rsidRPr="00701F32" w:rsidRDefault="00A06BE9" w:rsidP="00A06BE9">
      <w:pPr>
        <w:tabs>
          <w:tab w:val="left" w:pos="142"/>
        </w:tabs>
        <w:spacing w:after="200" w:line="276" w:lineRule="auto"/>
        <w:contextualSpacing/>
        <w:jc w:val="both"/>
        <w:rPr>
          <w:rFonts w:ascii="Arial" w:hAnsi="Arial" w:cs="Arial"/>
          <w:b/>
          <w:sz w:val="20"/>
        </w:rPr>
      </w:pPr>
    </w:p>
    <w:p w14:paraId="5D3B6B36" w14:textId="77777777" w:rsidR="00D92241" w:rsidRPr="00C74698" w:rsidRDefault="00D92241" w:rsidP="00D92241">
      <w:pPr>
        <w:jc w:val="both"/>
        <w:rPr>
          <w:rFonts w:ascii="Arial" w:hAnsi="Arial" w:cs="Arial"/>
          <w:sz w:val="20"/>
        </w:rPr>
      </w:pPr>
      <w:bookmarkStart w:id="27" w:name="_Hlk40620668"/>
      <w:r w:rsidRPr="00C74698">
        <w:rPr>
          <w:rFonts w:ascii="Arial" w:hAnsi="Arial" w:cs="Arial"/>
          <w:sz w:val="20"/>
        </w:rPr>
        <w:t xml:space="preserve">En cumplimiento de lo dispuesto por la Resolución General N° 629 de la CNV se aclara que los libros de comercio y los libros societarios se guardan en la sede social inscripta (Bartolomé Mitre 434 de la Ciudad Autónoma de Buenos Aires) de acuerdo con el siguiente detalle: </w:t>
      </w:r>
    </w:p>
    <w:p w14:paraId="4B8CCC1C"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 xml:space="preserve">Libro Diario (Registro de Habilitación de Medios Ópticos y sus correspondientes soportes ópticos –CD y DVD-) desde el 1° de octubre de 2009. </w:t>
      </w:r>
    </w:p>
    <w:p w14:paraId="737F31AD"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 xml:space="preserve">Libro Inventario desde el 31 de diciembre de 2018. </w:t>
      </w:r>
    </w:p>
    <w:p w14:paraId="71A19C13"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 xml:space="preserve">Libro Balance desde el 31 de diciembre de 2002. </w:t>
      </w:r>
    </w:p>
    <w:p w14:paraId="5FED8A33"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Libro Actas de Directorio desde el diciembre de 1988 a noviembre de 1999, desde mayo de 2000 a octubre de 2003 y febrero de 2007 a la fecha.</w:t>
      </w:r>
    </w:p>
    <w:p w14:paraId="36DBA5C3"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Libro Depósito de Acciones y Registro de Asistencia a Asambleas desde el 30 de mayo de 2001 a la fecha.</w:t>
      </w:r>
    </w:p>
    <w:p w14:paraId="2372FE83"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Libro de Actas de Asambleas desde el 27 de mayo de 1999 a la fecha.</w:t>
      </w:r>
    </w:p>
    <w:p w14:paraId="0D9AA4CF"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 xml:space="preserve">Libro de Actas de Comisión Fiscalizadora desde el 13 de agosto de 2004.  </w:t>
      </w:r>
    </w:p>
    <w:p w14:paraId="00B15C0A" w14:textId="77777777" w:rsidR="00D92241" w:rsidRPr="00C74698" w:rsidRDefault="00D92241" w:rsidP="00D92241">
      <w:pPr>
        <w:jc w:val="both"/>
        <w:rPr>
          <w:rFonts w:ascii="Arial" w:hAnsi="Arial" w:cs="Arial"/>
          <w:sz w:val="20"/>
        </w:rPr>
      </w:pPr>
    </w:p>
    <w:p w14:paraId="2F24A002" w14:textId="77777777" w:rsidR="00D92241" w:rsidRPr="00C74698" w:rsidRDefault="00D92241" w:rsidP="00D92241">
      <w:pPr>
        <w:jc w:val="both"/>
        <w:rPr>
          <w:rFonts w:ascii="Arial" w:hAnsi="Arial" w:cs="Arial"/>
          <w:sz w:val="20"/>
        </w:rPr>
      </w:pPr>
      <w:r w:rsidRPr="00C74698">
        <w:rPr>
          <w:rFonts w:ascii="Arial" w:hAnsi="Arial" w:cs="Arial"/>
          <w:sz w:val="20"/>
        </w:rPr>
        <w:t xml:space="preserve">Respecto de los libros de operaciones de títulos y de mercado abierto, se encuentran en la sede social inscripta mencionada precedentemente de acuerdo con el siguiente detalle: </w:t>
      </w:r>
    </w:p>
    <w:p w14:paraId="2B1B454B"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Registro de Ordenes de Agente desde el 26 de septiembre de 2018.</w:t>
      </w:r>
    </w:p>
    <w:p w14:paraId="503E280C"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Registro de Operaciones desde el 22 de junio de 2018.</w:t>
      </w:r>
    </w:p>
    <w:p w14:paraId="7B9335BA"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Registro de Operaciones Cartera Propia desde el 5 de enero de 2015.</w:t>
      </w:r>
    </w:p>
    <w:p w14:paraId="59810F2A"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Libro de Caja desde el 15 de agosto de 2018.</w:t>
      </w:r>
    </w:p>
    <w:p w14:paraId="472F9BFE" w14:textId="77777777" w:rsidR="00D92241" w:rsidRPr="00C74698" w:rsidRDefault="00D92241" w:rsidP="00D92241">
      <w:pPr>
        <w:numPr>
          <w:ilvl w:val="0"/>
          <w:numId w:val="2"/>
        </w:numPr>
        <w:jc w:val="both"/>
        <w:rPr>
          <w:rFonts w:ascii="Arial" w:hAnsi="Arial" w:cs="Arial"/>
          <w:sz w:val="20"/>
        </w:rPr>
      </w:pPr>
      <w:r w:rsidRPr="00C74698">
        <w:rPr>
          <w:rFonts w:ascii="Arial" w:hAnsi="Arial" w:cs="Arial"/>
          <w:sz w:val="20"/>
        </w:rPr>
        <w:t>Registro de Ordenes (ACYL N° 57) desde el 7 de enero de 2015.</w:t>
      </w:r>
    </w:p>
    <w:p w14:paraId="08804208" w14:textId="77777777" w:rsidR="00D92241" w:rsidRPr="00C74698" w:rsidRDefault="00D92241" w:rsidP="00D92241">
      <w:pPr>
        <w:jc w:val="both"/>
        <w:rPr>
          <w:rFonts w:ascii="Arial" w:hAnsi="Arial" w:cs="Arial"/>
          <w:sz w:val="20"/>
        </w:rPr>
      </w:pPr>
    </w:p>
    <w:p w14:paraId="3B71EFD1" w14:textId="219D65D2" w:rsidR="00D92241" w:rsidRPr="00701F32" w:rsidRDefault="00D92241" w:rsidP="00D92241">
      <w:pPr>
        <w:jc w:val="both"/>
        <w:rPr>
          <w:rFonts w:ascii="Arial" w:hAnsi="Arial" w:cs="Arial"/>
          <w:sz w:val="20"/>
        </w:rPr>
      </w:pPr>
      <w:r w:rsidRPr="00C74698">
        <w:rPr>
          <w:rFonts w:ascii="Arial" w:hAnsi="Arial" w:cs="Arial"/>
          <w:sz w:val="20"/>
        </w:rPr>
        <w:t xml:space="preserve">Los libros antecesores a los señalados precedentemente que contienen las operaciones anteriores a la fecha indicada en cada </w:t>
      </w:r>
      <w:r w:rsidR="001466D3" w:rsidRPr="00C74698">
        <w:rPr>
          <w:rFonts w:ascii="Arial" w:hAnsi="Arial" w:cs="Arial"/>
          <w:sz w:val="20"/>
        </w:rPr>
        <w:t>caso</w:t>
      </w:r>
      <w:r w:rsidR="001466D3">
        <w:rPr>
          <w:rFonts w:ascii="Arial" w:hAnsi="Arial" w:cs="Arial"/>
          <w:sz w:val="20"/>
        </w:rPr>
        <w:t>,</w:t>
      </w:r>
      <w:r w:rsidRPr="00C74698">
        <w:rPr>
          <w:rFonts w:ascii="Arial" w:hAnsi="Arial" w:cs="Arial"/>
          <w:sz w:val="20"/>
        </w:rPr>
        <w:t xml:space="preserve"> se encuentran bajo la guarda de la empresa Adea S.A. cuyo depósito está ubicado en Ruta provincial N° 36, Km 31,500 localidad de Bosques, Partido de Florencio Varela de la Provincia de Buenos Aires.</w:t>
      </w:r>
    </w:p>
    <w:bookmarkEnd w:id="27"/>
    <w:p w14:paraId="5BB2BEAA" w14:textId="77777777" w:rsidR="005A5836" w:rsidRPr="00701F32" w:rsidRDefault="005A5836" w:rsidP="005A5836">
      <w:pPr>
        <w:jc w:val="both"/>
        <w:rPr>
          <w:rFonts w:ascii="Arial" w:hAnsi="Arial" w:cs="Arial"/>
          <w:sz w:val="20"/>
        </w:rPr>
      </w:pPr>
    </w:p>
    <w:p w14:paraId="73495DB7" w14:textId="77777777" w:rsidR="005A5836" w:rsidRPr="00701F32" w:rsidRDefault="005A5836" w:rsidP="005A5836">
      <w:pPr>
        <w:tabs>
          <w:tab w:val="left" w:pos="142"/>
        </w:tabs>
        <w:jc w:val="both"/>
        <w:rPr>
          <w:rFonts w:ascii="Arial" w:hAnsi="Arial" w:cs="Arial"/>
          <w:sz w:val="20"/>
        </w:rPr>
      </w:pPr>
      <w:r w:rsidRPr="00701F32">
        <w:rPr>
          <w:rFonts w:ascii="Arial" w:hAnsi="Arial" w:cs="Arial"/>
          <w:sz w:val="20"/>
        </w:rPr>
        <w:t xml:space="preserve">La documentación respaldatoria de las operaciones contables y de la gestión de la Entidad hasta una antigüedad de 2 (dos) meses anteriores a la actual, se encuentra en cada sucursal, y, con antigüedad superior a dicho lapso de tiempo se encuentra bajo la guarda de la empresa Adea S.A. </w:t>
      </w:r>
    </w:p>
    <w:p w14:paraId="239568AB" w14:textId="71481EA9" w:rsidR="002849A2" w:rsidRDefault="002849A2">
      <w:pPr>
        <w:rPr>
          <w:rFonts w:ascii="Arial" w:hAnsi="Arial" w:cs="Arial"/>
          <w:b/>
          <w:sz w:val="20"/>
        </w:rPr>
      </w:pPr>
    </w:p>
    <w:p w14:paraId="1410D14D" w14:textId="76CD3639" w:rsidR="00A06BE9" w:rsidRPr="00701F32" w:rsidRDefault="001D2B86" w:rsidP="00A06BE9">
      <w:pPr>
        <w:tabs>
          <w:tab w:val="left" w:pos="142"/>
        </w:tabs>
        <w:spacing w:after="200" w:line="276" w:lineRule="auto"/>
        <w:contextualSpacing/>
        <w:jc w:val="both"/>
        <w:rPr>
          <w:rFonts w:ascii="Arial" w:hAnsi="Arial" w:cs="Arial"/>
          <w:b/>
          <w:sz w:val="20"/>
        </w:rPr>
      </w:pPr>
      <w:r>
        <w:rPr>
          <w:rFonts w:ascii="Arial" w:hAnsi="Arial" w:cs="Arial"/>
          <w:b/>
          <w:sz w:val="20"/>
        </w:rPr>
        <w:t>9</w:t>
      </w:r>
      <w:r w:rsidR="00A06BE9" w:rsidRPr="00701F32">
        <w:rPr>
          <w:rFonts w:ascii="Arial" w:hAnsi="Arial" w:cs="Arial"/>
          <w:b/>
          <w:sz w:val="20"/>
        </w:rPr>
        <w:t>.6 Cuentas que identifican el cumplimiento de efectivo mínimo</w:t>
      </w:r>
    </w:p>
    <w:p w14:paraId="643A38FC" w14:textId="77777777" w:rsidR="00A06BE9" w:rsidRPr="00701F32" w:rsidRDefault="00A06BE9" w:rsidP="00A06BE9">
      <w:pPr>
        <w:tabs>
          <w:tab w:val="left" w:pos="142"/>
        </w:tabs>
        <w:spacing w:after="200" w:line="276" w:lineRule="auto"/>
        <w:contextualSpacing/>
        <w:jc w:val="both"/>
        <w:rPr>
          <w:rFonts w:ascii="Arial" w:hAnsi="Arial" w:cs="Arial"/>
          <w:b/>
          <w:sz w:val="20"/>
        </w:rPr>
      </w:pPr>
    </w:p>
    <w:p w14:paraId="28A8F65D" w14:textId="53B4B384" w:rsidR="00A06BE9" w:rsidRPr="00701F32" w:rsidRDefault="00D940BE" w:rsidP="00A06BE9">
      <w:pPr>
        <w:tabs>
          <w:tab w:val="left" w:pos="142"/>
        </w:tabs>
        <w:jc w:val="both"/>
        <w:rPr>
          <w:rFonts w:ascii="Arial" w:hAnsi="Arial" w:cs="Arial"/>
          <w:sz w:val="20"/>
        </w:rPr>
      </w:pPr>
      <w:r>
        <w:rPr>
          <w:rFonts w:ascii="Arial" w:hAnsi="Arial" w:cs="Arial"/>
          <w:sz w:val="20"/>
        </w:rPr>
        <w:t>Al 3</w:t>
      </w:r>
      <w:r w:rsidR="007354B6">
        <w:rPr>
          <w:rFonts w:ascii="Arial" w:hAnsi="Arial" w:cs="Arial"/>
          <w:sz w:val="20"/>
        </w:rPr>
        <w:t>1</w:t>
      </w:r>
      <w:r w:rsidR="00A06BE9" w:rsidRPr="00701F32">
        <w:rPr>
          <w:rFonts w:ascii="Arial" w:hAnsi="Arial" w:cs="Arial"/>
          <w:sz w:val="20"/>
        </w:rPr>
        <w:t xml:space="preserve"> de </w:t>
      </w:r>
      <w:r w:rsidR="007354B6">
        <w:rPr>
          <w:rFonts w:ascii="Arial" w:hAnsi="Arial" w:cs="Arial"/>
          <w:sz w:val="20"/>
        </w:rPr>
        <w:t>marzo</w:t>
      </w:r>
      <w:r w:rsidR="001D2B86" w:rsidRPr="00701F32">
        <w:rPr>
          <w:rFonts w:ascii="Arial" w:hAnsi="Arial" w:cs="Arial"/>
          <w:sz w:val="20"/>
        </w:rPr>
        <w:t xml:space="preserve"> </w:t>
      </w:r>
      <w:r w:rsidR="00A06BE9" w:rsidRPr="00701F32">
        <w:rPr>
          <w:rFonts w:ascii="Arial" w:hAnsi="Arial" w:cs="Arial"/>
          <w:sz w:val="20"/>
        </w:rPr>
        <w:t xml:space="preserve">de </w:t>
      </w:r>
      <w:r w:rsidR="001D2B86">
        <w:rPr>
          <w:rFonts w:ascii="Arial" w:hAnsi="Arial" w:cs="Arial"/>
          <w:sz w:val="20"/>
        </w:rPr>
        <w:t>20</w:t>
      </w:r>
      <w:r w:rsidR="007354B6">
        <w:rPr>
          <w:rFonts w:ascii="Arial" w:hAnsi="Arial" w:cs="Arial"/>
          <w:sz w:val="20"/>
        </w:rPr>
        <w:t>20</w:t>
      </w:r>
      <w:r w:rsidR="001D2B86">
        <w:rPr>
          <w:rFonts w:ascii="Arial" w:hAnsi="Arial" w:cs="Arial"/>
          <w:sz w:val="20"/>
        </w:rPr>
        <w:t xml:space="preserve"> </w:t>
      </w:r>
      <w:r w:rsidR="00475EFD">
        <w:rPr>
          <w:rFonts w:ascii="Arial" w:hAnsi="Arial" w:cs="Arial"/>
          <w:sz w:val="20"/>
        </w:rPr>
        <w:t xml:space="preserve">y </w:t>
      </w:r>
      <w:r w:rsidR="001D2B86">
        <w:rPr>
          <w:rFonts w:ascii="Arial" w:hAnsi="Arial" w:cs="Arial"/>
          <w:sz w:val="20"/>
        </w:rPr>
        <w:t xml:space="preserve">31 de diciembre de </w:t>
      </w:r>
      <w:r w:rsidR="001D2B86" w:rsidRPr="00701F32">
        <w:rPr>
          <w:rFonts w:ascii="Arial" w:hAnsi="Arial" w:cs="Arial"/>
          <w:sz w:val="20"/>
        </w:rPr>
        <w:t>201</w:t>
      </w:r>
      <w:r w:rsidR="007354B6">
        <w:rPr>
          <w:rFonts w:ascii="Arial" w:hAnsi="Arial" w:cs="Arial"/>
          <w:sz w:val="20"/>
        </w:rPr>
        <w:t>9</w:t>
      </w:r>
      <w:r w:rsidR="001D2B86" w:rsidRPr="00701F32">
        <w:rPr>
          <w:rFonts w:ascii="Arial" w:hAnsi="Arial" w:cs="Arial"/>
          <w:sz w:val="20"/>
        </w:rPr>
        <w:t xml:space="preserve"> </w:t>
      </w:r>
      <w:r w:rsidR="00A06BE9" w:rsidRPr="00701F32">
        <w:rPr>
          <w:rFonts w:ascii="Arial" w:hAnsi="Arial" w:cs="Arial"/>
          <w:sz w:val="20"/>
        </w:rPr>
        <w:t xml:space="preserve">la integración de efectivo mínimo estaba compuesta de la siguiente manera: </w:t>
      </w:r>
    </w:p>
    <w:p w14:paraId="0376EC9E" w14:textId="77777777" w:rsidR="00A06BE9" w:rsidRPr="00701F32" w:rsidRDefault="00A06BE9" w:rsidP="00A06BE9">
      <w:pPr>
        <w:tabs>
          <w:tab w:val="left" w:pos="142"/>
        </w:tabs>
        <w:jc w:val="both"/>
        <w:rPr>
          <w:rFonts w:ascii="Arial" w:hAnsi="Arial" w:cs="Arial"/>
          <w:sz w:val="20"/>
        </w:rPr>
      </w:pPr>
    </w:p>
    <w:tbl>
      <w:tblPr>
        <w:tblW w:w="44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483"/>
        <w:gridCol w:w="1411"/>
        <w:gridCol w:w="1595"/>
      </w:tblGrid>
      <w:tr w:rsidR="001D2B86" w:rsidRPr="00701F32" w14:paraId="0C040F3A" w14:textId="77777777" w:rsidTr="005333A4">
        <w:trPr>
          <w:trHeight w:val="452"/>
          <w:tblHeader/>
          <w:jc w:val="center"/>
        </w:trPr>
        <w:tc>
          <w:tcPr>
            <w:tcW w:w="2993" w:type="pct"/>
            <w:tcBorders>
              <w:top w:val="single" w:sz="4" w:space="0" w:color="auto"/>
              <w:left w:val="single" w:sz="4" w:space="0" w:color="auto"/>
              <w:bottom w:val="single" w:sz="4" w:space="0" w:color="auto"/>
            </w:tcBorders>
            <w:vAlign w:val="center"/>
          </w:tcPr>
          <w:p w14:paraId="1D17AF2F" w14:textId="30B97BDF" w:rsidR="001D2B86" w:rsidRPr="00701F32" w:rsidRDefault="001D2B86" w:rsidP="00534414">
            <w:pPr>
              <w:ind w:left="371" w:hanging="142"/>
              <w:jc w:val="both"/>
              <w:rPr>
                <w:rFonts w:ascii="Arial" w:hAnsi="Arial" w:cs="Arial"/>
                <w:b/>
                <w:sz w:val="18"/>
              </w:rPr>
            </w:pPr>
            <w:r w:rsidRPr="00701F32">
              <w:rPr>
                <w:rFonts w:ascii="Arial" w:hAnsi="Arial" w:cs="Arial"/>
                <w:b/>
                <w:sz w:val="18"/>
              </w:rPr>
              <w:t>Concepto</w:t>
            </w:r>
            <w:r w:rsidR="00F37EB9">
              <w:rPr>
                <w:rFonts w:ascii="Arial" w:hAnsi="Arial" w:cs="Arial"/>
                <w:b/>
                <w:sz w:val="18"/>
              </w:rPr>
              <w:t xml:space="preserve"> (*)</w:t>
            </w:r>
          </w:p>
        </w:tc>
        <w:tc>
          <w:tcPr>
            <w:tcW w:w="942" w:type="pct"/>
            <w:tcBorders>
              <w:top w:val="single" w:sz="4" w:space="0" w:color="auto"/>
              <w:bottom w:val="single" w:sz="4" w:space="0" w:color="auto"/>
            </w:tcBorders>
            <w:vAlign w:val="center"/>
          </w:tcPr>
          <w:p w14:paraId="20F760F3" w14:textId="03CD7218" w:rsidR="001D2B86" w:rsidRPr="00534414" w:rsidRDefault="00D940BE" w:rsidP="00D940BE">
            <w:pPr>
              <w:tabs>
                <w:tab w:val="left" w:pos="142"/>
              </w:tabs>
              <w:jc w:val="center"/>
              <w:rPr>
                <w:rFonts w:ascii="Arial" w:hAnsi="Arial" w:cs="Arial"/>
                <w:b/>
                <w:sz w:val="18"/>
              </w:rPr>
            </w:pPr>
            <w:r>
              <w:rPr>
                <w:rFonts w:ascii="Arial" w:hAnsi="Arial" w:cs="Arial"/>
                <w:b/>
                <w:sz w:val="18"/>
              </w:rPr>
              <w:t>3</w:t>
            </w:r>
            <w:r w:rsidR="007354B6">
              <w:rPr>
                <w:rFonts w:ascii="Arial" w:hAnsi="Arial" w:cs="Arial"/>
                <w:b/>
                <w:sz w:val="18"/>
              </w:rPr>
              <w:t>1</w:t>
            </w:r>
            <w:r w:rsidR="001D2B86" w:rsidRPr="00534414">
              <w:rPr>
                <w:rFonts w:ascii="Arial" w:hAnsi="Arial" w:cs="Arial"/>
                <w:b/>
                <w:sz w:val="18"/>
              </w:rPr>
              <w:t>/</w:t>
            </w:r>
            <w:r w:rsidR="007354B6">
              <w:rPr>
                <w:rFonts w:ascii="Arial" w:hAnsi="Arial" w:cs="Arial"/>
                <w:b/>
                <w:sz w:val="18"/>
              </w:rPr>
              <w:t>03</w:t>
            </w:r>
            <w:r w:rsidR="001D2B86" w:rsidRPr="00534414">
              <w:rPr>
                <w:rFonts w:ascii="Arial" w:hAnsi="Arial" w:cs="Arial"/>
                <w:b/>
                <w:sz w:val="18"/>
              </w:rPr>
              <w:t>/20</w:t>
            </w:r>
            <w:r w:rsidR="007354B6">
              <w:rPr>
                <w:rFonts w:ascii="Arial" w:hAnsi="Arial" w:cs="Arial"/>
                <w:b/>
                <w:sz w:val="18"/>
              </w:rPr>
              <w:t>20</w:t>
            </w:r>
          </w:p>
        </w:tc>
        <w:tc>
          <w:tcPr>
            <w:tcW w:w="1065" w:type="pct"/>
            <w:tcBorders>
              <w:top w:val="single" w:sz="4" w:space="0" w:color="auto"/>
              <w:bottom w:val="single" w:sz="4" w:space="0" w:color="auto"/>
              <w:right w:val="single" w:sz="4" w:space="0" w:color="auto"/>
            </w:tcBorders>
            <w:vAlign w:val="center"/>
          </w:tcPr>
          <w:p w14:paraId="50C81DC3" w14:textId="62C75E70" w:rsidR="001D2B86" w:rsidRPr="001D2B86" w:rsidRDefault="001D2B86" w:rsidP="00534414">
            <w:pPr>
              <w:tabs>
                <w:tab w:val="left" w:pos="142"/>
              </w:tabs>
              <w:jc w:val="center"/>
              <w:rPr>
                <w:rFonts w:ascii="Arial" w:hAnsi="Arial" w:cs="Arial"/>
                <w:b/>
                <w:sz w:val="18"/>
              </w:rPr>
            </w:pPr>
            <w:r w:rsidRPr="001D2B86">
              <w:rPr>
                <w:rFonts w:ascii="Arial" w:hAnsi="Arial" w:cs="Arial"/>
                <w:b/>
                <w:sz w:val="18"/>
              </w:rPr>
              <w:t>31/</w:t>
            </w:r>
            <w:r w:rsidR="007354B6">
              <w:rPr>
                <w:rFonts w:ascii="Arial" w:hAnsi="Arial" w:cs="Arial"/>
                <w:b/>
                <w:sz w:val="18"/>
              </w:rPr>
              <w:t>12</w:t>
            </w:r>
            <w:r w:rsidRPr="001D2B86">
              <w:rPr>
                <w:rFonts w:ascii="Arial" w:hAnsi="Arial" w:cs="Arial"/>
                <w:b/>
                <w:sz w:val="18"/>
              </w:rPr>
              <w:t>/201</w:t>
            </w:r>
            <w:r w:rsidR="007354B6">
              <w:rPr>
                <w:rFonts w:ascii="Arial" w:hAnsi="Arial" w:cs="Arial"/>
                <w:b/>
                <w:sz w:val="18"/>
              </w:rPr>
              <w:t>9</w:t>
            </w:r>
          </w:p>
        </w:tc>
      </w:tr>
      <w:tr w:rsidR="001D2B86" w:rsidRPr="00701F32" w14:paraId="4324D081" w14:textId="77777777" w:rsidTr="005333A4">
        <w:trPr>
          <w:trHeight w:val="330"/>
          <w:jc w:val="center"/>
        </w:trPr>
        <w:tc>
          <w:tcPr>
            <w:tcW w:w="2993" w:type="pct"/>
            <w:tcBorders>
              <w:top w:val="single" w:sz="4" w:space="0" w:color="auto"/>
              <w:left w:val="single" w:sz="4" w:space="0" w:color="auto"/>
            </w:tcBorders>
            <w:vAlign w:val="center"/>
          </w:tcPr>
          <w:p w14:paraId="12C8D155" w14:textId="56D1E90F" w:rsidR="001D2B86" w:rsidRPr="00701F32" w:rsidRDefault="001D2B86" w:rsidP="00534414">
            <w:pPr>
              <w:ind w:left="154"/>
              <w:jc w:val="both"/>
              <w:rPr>
                <w:rFonts w:ascii="Arial" w:hAnsi="Arial" w:cs="Arial"/>
                <w:sz w:val="18"/>
              </w:rPr>
            </w:pPr>
            <w:r w:rsidRPr="00701F32">
              <w:rPr>
                <w:rFonts w:ascii="Arial" w:hAnsi="Arial" w:cs="Arial"/>
                <w:sz w:val="18"/>
              </w:rPr>
              <w:t>Cuentas corrientes en el BCRA (*</w:t>
            </w:r>
            <w:r w:rsidR="00F37EB9">
              <w:rPr>
                <w:rFonts w:ascii="Arial" w:hAnsi="Arial" w:cs="Arial"/>
                <w:sz w:val="18"/>
              </w:rPr>
              <w:t>*</w:t>
            </w:r>
            <w:r w:rsidRPr="00701F32">
              <w:rPr>
                <w:rFonts w:ascii="Arial" w:hAnsi="Arial" w:cs="Arial"/>
                <w:sz w:val="18"/>
              </w:rPr>
              <w:t>)</w:t>
            </w:r>
          </w:p>
        </w:tc>
        <w:tc>
          <w:tcPr>
            <w:tcW w:w="942" w:type="pct"/>
            <w:tcBorders>
              <w:top w:val="single" w:sz="4" w:space="0" w:color="auto"/>
            </w:tcBorders>
            <w:vAlign w:val="bottom"/>
          </w:tcPr>
          <w:p w14:paraId="6DCDBFBA" w14:textId="470CCCE5" w:rsidR="001D2B86" w:rsidRPr="00534414" w:rsidRDefault="00663E45" w:rsidP="00534414">
            <w:pPr>
              <w:tabs>
                <w:tab w:val="left" w:pos="142"/>
              </w:tabs>
              <w:jc w:val="right"/>
              <w:rPr>
                <w:rFonts w:ascii="Arial" w:hAnsi="Arial" w:cs="Arial"/>
                <w:sz w:val="18"/>
                <w:lang w:val="es-ES_tradnl"/>
              </w:rPr>
            </w:pPr>
            <w:r>
              <w:rPr>
                <w:rFonts w:ascii="Arial" w:hAnsi="Arial" w:cs="Arial"/>
                <w:sz w:val="18"/>
                <w:lang w:val="es-ES_tradnl"/>
              </w:rPr>
              <w:t>1</w:t>
            </w:r>
            <w:r w:rsidR="007354B6">
              <w:rPr>
                <w:rFonts w:ascii="Arial" w:hAnsi="Arial" w:cs="Arial"/>
                <w:sz w:val="18"/>
                <w:lang w:val="es-ES_tradnl"/>
              </w:rPr>
              <w:t>5</w:t>
            </w:r>
            <w:r>
              <w:rPr>
                <w:rFonts w:ascii="Arial" w:hAnsi="Arial" w:cs="Arial"/>
                <w:sz w:val="18"/>
                <w:lang w:val="es-ES_tradnl"/>
              </w:rPr>
              <w:t>.</w:t>
            </w:r>
            <w:r w:rsidR="007354B6">
              <w:rPr>
                <w:rFonts w:ascii="Arial" w:hAnsi="Arial" w:cs="Arial"/>
                <w:sz w:val="18"/>
                <w:lang w:val="es-ES_tradnl"/>
              </w:rPr>
              <w:t>252</w:t>
            </w:r>
            <w:r>
              <w:rPr>
                <w:rFonts w:ascii="Arial" w:hAnsi="Arial" w:cs="Arial"/>
                <w:sz w:val="18"/>
                <w:lang w:val="es-ES_tradnl"/>
              </w:rPr>
              <w:t>.</w:t>
            </w:r>
            <w:r w:rsidR="007354B6">
              <w:rPr>
                <w:rFonts w:ascii="Arial" w:hAnsi="Arial" w:cs="Arial"/>
                <w:sz w:val="18"/>
                <w:lang w:val="es-ES_tradnl"/>
              </w:rPr>
              <w:t>022</w:t>
            </w:r>
          </w:p>
        </w:tc>
        <w:tc>
          <w:tcPr>
            <w:tcW w:w="1065" w:type="pct"/>
            <w:tcBorders>
              <w:top w:val="single" w:sz="4" w:space="0" w:color="auto"/>
              <w:right w:val="single" w:sz="4" w:space="0" w:color="auto"/>
            </w:tcBorders>
            <w:vAlign w:val="bottom"/>
          </w:tcPr>
          <w:p w14:paraId="071EA2D1" w14:textId="422AFC91" w:rsidR="001D2B86" w:rsidRPr="001D2B86" w:rsidRDefault="007354B6" w:rsidP="00534414">
            <w:pPr>
              <w:tabs>
                <w:tab w:val="left" w:pos="142"/>
              </w:tabs>
              <w:jc w:val="right"/>
              <w:rPr>
                <w:rFonts w:ascii="Arial" w:hAnsi="Arial" w:cs="Arial"/>
                <w:sz w:val="18"/>
              </w:rPr>
            </w:pPr>
            <w:r>
              <w:rPr>
                <w:rFonts w:ascii="Arial" w:hAnsi="Arial" w:cs="Arial"/>
                <w:sz w:val="18"/>
                <w:lang w:val="es-ES_tradnl"/>
              </w:rPr>
              <w:t>8</w:t>
            </w:r>
            <w:r w:rsidR="001D2B86" w:rsidRPr="001D2B86">
              <w:rPr>
                <w:rFonts w:ascii="Arial" w:hAnsi="Arial" w:cs="Arial"/>
                <w:sz w:val="18"/>
                <w:lang w:val="es-ES_tradnl"/>
              </w:rPr>
              <w:t>.</w:t>
            </w:r>
            <w:r>
              <w:rPr>
                <w:rFonts w:ascii="Arial" w:hAnsi="Arial" w:cs="Arial"/>
                <w:sz w:val="18"/>
                <w:lang w:val="es-ES_tradnl"/>
              </w:rPr>
              <w:t>554</w:t>
            </w:r>
            <w:r w:rsidR="001D2B86" w:rsidRPr="001D2B86">
              <w:rPr>
                <w:rFonts w:ascii="Arial" w:hAnsi="Arial" w:cs="Arial"/>
                <w:sz w:val="18"/>
                <w:lang w:val="es-ES_tradnl"/>
              </w:rPr>
              <w:t>.7</w:t>
            </w:r>
            <w:r>
              <w:rPr>
                <w:rFonts w:ascii="Arial" w:hAnsi="Arial" w:cs="Arial"/>
                <w:sz w:val="18"/>
                <w:lang w:val="es-ES_tradnl"/>
              </w:rPr>
              <w:t>97</w:t>
            </w:r>
          </w:p>
        </w:tc>
      </w:tr>
      <w:tr w:rsidR="000C271E" w:rsidRPr="00701F32" w14:paraId="3ADBDF25" w14:textId="77777777" w:rsidTr="005333A4">
        <w:trPr>
          <w:trHeight w:val="330"/>
          <w:jc w:val="center"/>
        </w:trPr>
        <w:tc>
          <w:tcPr>
            <w:tcW w:w="2993" w:type="pct"/>
            <w:tcBorders>
              <w:left w:val="single" w:sz="4" w:space="0" w:color="auto"/>
            </w:tcBorders>
            <w:vAlign w:val="center"/>
          </w:tcPr>
          <w:p w14:paraId="765FC85D" w14:textId="4DE6D67D" w:rsidR="001D2B86" w:rsidRPr="00701F32" w:rsidRDefault="001D2B86" w:rsidP="00534414">
            <w:pPr>
              <w:ind w:left="154"/>
              <w:jc w:val="both"/>
              <w:rPr>
                <w:rFonts w:ascii="Arial" w:hAnsi="Arial" w:cs="Arial"/>
                <w:sz w:val="18"/>
              </w:rPr>
            </w:pPr>
            <w:r w:rsidRPr="00701F32">
              <w:rPr>
                <w:rFonts w:ascii="Arial" w:hAnsi="Arial" w:cs="Arial"/>
                <w:sz w:val="18"/>
              </w:rPr>
              <w:t>Cuentas a la vista en el BCRA (*</w:t>
            </w:r>
            <w:r w:rsidR="00F37EB9">
              <w:rPr>
                <w:rFonts w:ascii="Arial" w:hAnsi="Arial" w:cs="Arial"/>
                <w:sz w:val="18"/>
              </w:rPr>
              <w:t>*</w:t>
            </w:r>
            <w:r w:rsidRPr="00701F32">
              <w:rPr>
                <w:rFonts w:ascii="Arial" w:hAnsi="Arial" w:cs="Arial"/>
                <w:sz w:val="18"/>
              </w:rPr>
              <w:t>)</w:t>
            </w:r>
          </w:p>
        </w:tc>
        <w:tc>
          <w:tcPr>
            <w:tcW w:w="942" w:type="pct"/>
            <w:vAlign w:val="bottom"/>
          </w:tcPr>
          <w:p w14:paraId="251095AF" w14:textId="0ECF2D14" w:rsidR="001D2B86" w:rsidRPr="00534414" w:rsidRDefault="00144D14" w:rsidP="00534414">
            <w:pPr>
              <w:tabs>
                <w:tab w:val="left" w:pos="142"/>
              </w:tabs>
              <w:jc w:val="right"/>
              <w:rPr>
                <w:rFonts w:ascii="Arial" w:hAnsi="Arial" w:cs="Arial"/>
                <w:sz w:val="18"/>
                <w:lang w:val="es-ES_tradnl"/>
              </w:rPr>
            </w:pPr>
            <w:r>
              <w:rPr>
                <w:rFonts w:ascii="Arial" w:hAnsi="Arial" w:cs="Arial"/>
                <w:sz w:val="18"/>
                <w:lang w:val="es-ES_tradnl"/>
              </w:rPr>
              <w:t>9.</w:t>
            </w:r>
            <w:r w:rsidR="007354B6">
              <w:rPr>
                <w:rFonts w:ascii="Arial" w:hAnsi="Arial" w:cs="Arial"/>
                <w:sz w:val="18"/>
                <w:lang w:val="es-ES_tradnl"/>
              </w:rPr>
              <w:t>134</w:t>
            </w:r>
            <w:r>
              <w:rPr>
                <w:rFonts w:ascii="Arial" w:hAnsi="Arial" w:cs="Arial"/>
                <w:sz w:val="18"/>
                <w:lang w:val="es-ES_tradnl"/>
              </w:rPr>
              <w:t>.</w:t>
            </w:r>
            <w:r w:rsidR="007354B6">
              <w:rPr>
                <w:rFonts w:ascii="Arial" w:hAnsi="Arial" w:cs="Arial"/>
                <w:sz w:val="18"/>
                <w:lang w:val="es-ES_tradnl"/>
              </w:rPr>
              <w:t>436</w:t>
            </w:r>
          </w:p>
        </w:tc>
        <w:tc>
          <w:tcPr>
            <w:tcW w:w="1065" w:type="pct"/>
            <w:tcBorders>
              <w:right w:val="single" w:sz="4" w:space="0" w:color="auto"/>
            </w:tcBorders>
            <w:vAlign w:val="bottom"/>
          </w:tcPr>
          <w:p w14:paraId="146590C4" w14:textId="6DB313D0" w:rsidR="001D2B86" w:rsidRPr="001D2B86" w:rsidRDefault="007354B6" w:rsidP="00534414">
            <w:pPr>
              <w:tabs>
                <w:tab w:val="left" w:pos="142"/>
              </w:tabs>
              <w:jc w:val="right"/>
              <w:rPr>
                <w:rFonts w:ascii="Arial" w:hAnsi="Arial" w:cs="Arial"/>
                <w:sz w:val="18"/>
              </w:rPr>
            </w:pPr>
            <w:r>
              <w:rPr>
                <w:rFonts w:ascii="Arial" w:hAnsi="Arial" w:cs="Arial"/>
                <w:sz w:val="18"/>
                <w:lang w:val="es-ES_tradnl"/>
              </w:rPr>
              <w:t>7</w:t>
            </w:r>
            <w:r w:rsidR="001D2B86" w:rsidRPr="001D2B86">
              <w:rPr>
                <w:rFonts w:ascii="Arial" w:hAnsi="Arial" w:cs="Arial"/>
                <w:sz w:val="18"/>
                <w:lang w:val="es-ES_tradnl"/>
              </w:rPr>
              <w:t>.</w:t>
            </w:r>
            <w:r>
              <w:rPr>
                <w:rFonts w:ascii="Arial" w:hAnsi="Arial" w:cs="Arial"/>
                <w:sz w:val="18"/>
                <w:lang w:val="es-ES_tradnl"/>
              </w:rPr>
              <w:t>909</w:t>
            </w:r>
            <w:r w:rsidR="001D2B86" w:rsidRPr="001D2B86">
              <w:rPr>
                <w:rFonts w:ascii="Arial" w:hAnsi="Arial" w:cs="Arial"/>
                <w:sz w:val="18"/>
                <w:lang w:val="es-ES_tradnl"/>
              </w:rPr>
              <w:t>.</w:t>
            </w:r>
            <w:r>
              <w:rPr>
                <w:rFonts w:ascii="Arial" w:hAnsi="Arial" w:cs="Arial"/>
                <w:sz w:val="18"/>
                <w:lang w:val="es-ES_tradnl"/>
              </w:rPr>
              <w:t>938</w:t>
            </w:r>
          </w:p>
        </w:tc>
      </w:tr>
      <w:tr w:rsidR="001D2B86" w:rsidRPr="00701F32" w14:paraId="64F0C428" w14:textId="77777777" w:rsidTr="005333A4">
        <w:trPr>
          <w:trHeight w:val="330"/>
          <w:jc w:val="center"/>
        </w:trPr>
        <w:tc>
          <w:tcPr>
            <w:tcW w:w="2993" w:type="pct"/>
            <w:tcBorders>
              <w:left w:val="single" w:sz="4" w:space="0" w:color="auto"/>
            </w:tcBorders>
            <w:vAlign w:val="center"/>
          </w:tcPr>
          <w:p w14:paraId="200C5C25" w14:textId="2BBF64C9" w:rsidR="001D2B86" w:rsidRPr="00701F32" w:rsidRDefault="001D2B86" w:rsidP="00534414">
            <w:pPr>
              <w:ind w:left="154"/>
              <w:jc w:val="both"/>
              <w:rPr>
                <w:rFonts w:ascii="Arial" w:hAnsi="Arial" w:cs="Arial"/>
                <w:sz w:val="18"/>
              </w:rPr>
            </w:pPr>
            <w:r w:rsidRPr="00701F32">
              <w:rPr>
                <w:rFonts w:ascii="Arial" w:hAnsi="Arial" w:cs="Arial"/>
                <w:sz w:val="18"/>
              </w:rPr>
              <w:t>Cuentas especiales de garantías en el BCRA (</w:t>
            </w:r>
            <w:r w:rsidR="00F37EB9">
              <w:rPr>
                <w:rFonts w:ascii="Arial" w:hAnsi="Arial" w:cs="Arial"/>
                <w:sz w:val="18"/>
              </w:rPr>
              <w:t>*</w:t>
            </w:r>
            <w:r w:rsidRPr="00701F32">
              <w:rPr>
                <w:rFonts w:ascii="Arial" w:hAnsi="Arial" w:cs="Arial"/>
                <w:sz w:val="18"/>
              </w:rPr>
              <w:t>*)</w:t>
            </w:r>
          </w:p>
        </w:tc>
        <w:tc>
          <w:tcPr>
            <w:tcW w:w="942" w:type="pct"/>
            <w:vAlign w:val="bottom"/>
          </w:tcPr>
          <w:p w14:paraId="42EDF451" w14:textId="7AC12350" w:rsidR="001D2B86" w:rsidRPr="00534414" w:rsidRDefault="007354B6" w:rsidP="00534414">
            <w:pPr>
              <w:tabs>
                <w:tab w:val="left" w:pos="142"/>
              </w:tabs>
              <w:jc w:val="right"/>
              <w:rPr>
                <w:rFonts w:ascii="Arial" w:hAnsi="Arial" w:cs="Arial"/>
                <w:sz w:val="18"/>
              </w:rPr>
            </w:pPr>
            <w:r>
              <w:rPr>
                <w:rFonts w:ascii="Arial" w:hAnsi="Arial" w:cs="Arial"/>
                <w:sz w:val="18"/>
              </w:rPr>
              <w:t>2</w:t>
            </w:r>
            <w:r w:rsidR="00663E45">
              <w:rPr>
                <w:rFonts w:ascii="Arial" w:hAnsi="Arial" w:cs="Arial"/>
                <w:sz w:val="18"/>
              </w:rPr>
              <w:t>.</w:t>
            </w:r>
            <w:r>
              <w:rPr>
                <w:rFonts w:ascii="Arial" w:hAnsi="Arial" w:cs="Arial"/>
                <w:sz w:val="18"/>
              </w:rPr>
              <w:t>428</w:t>
            </w:r>
            <w:r w:rsidR="00144D14">
              <w:rPr>
                <w:rFonts w:ascii="Arial" w:hAnsi="Arial" w:cs="Arial"/>
                <w:sz w:val="18"/>
              </w:rPr>
              <w:t>.</w:t>
            </w:r>
            <w:r>
              <w:rPr>
                <w:rFonts w:ascii="Arial" w:hAnsi="Arial" w:cs="Arial"/>
                <w:sz w:val="18"/>
              </w:rPr>
              <w:t>561</w:t>
            </w:r>
          </w:p>
        </w:tc>
        <w:tc>
          <w:tcPr>
            <w:tcW w:w="1065" w:type="pct"/>
            <w:tcBorders>
              <w:right w:val="single" w:sz="4" w:space="0" w:color="auto"/>
            </w:tcBorders>
            <w:vAlign w:val="bottom"/>
          </w:tcPr>
          <w:p w14:paraId="2A205CBE" w14:textId="43CC5C4D" w:rsidR="001D2B86" w:rsidRPr="001D2B86" w:rsidRDefault="001D2B86" w:rsidP="00534414">
            <w:pPr>
              <w:tabs>
                <w:tab w:val="left" w:pos="142"/>
              </w:tabs>
              <w:jc w:val="right"/>
              <w:rPr>
                <w:rFonts w:ascii="Arial" w:hAnsi="Arial" w:cs="Arial"/>
                <w:sz w:val="18"/>
              </w:rPr>
            </w:pPr>
            <w:r w:rsidRPr="001D2B86">
              <w:rPr>
                <w:rFonts w:ascii="Arial" w:hAnsi="Arial" w:cs="Arial"/>
                <w:sz w:val="18"/>
                <w:lang w:val="es-ES_tradnl"/>
              </w:rPr>
              <w:t>1.</w:t>
            </w:r>
            <w:r w:rsidR="007354B6">
              <w:rPr>
                <w:rFonts w:ascii="Arial" w:hAnsi="Arial" w:cs="Arial"/>
                <w:sz w:val="18"/>
                <w:lang w:val="es-ES_tradnl"/>
              </w:rPr>
              <w:t>975.535</w:t>
            </w:r>
          </w:p>
        </w:tc>
      </w:tr>
      <w:tr w:rsidR="007354B6" w:rsidRPr="00701F32" w14:paraId="02D52EE4" w14:textId="77777777" w:rsidTr="005333A4">
        <w:trPr>
          <w:trHeight w:val="330"/>
          <w:jc w:val="center"/>
        </w:trPr>
        <w:tc>
          <w:tcPr>
            <w:tcW w:w="2993" w:type="pct"/>
            <w:tcBorders>
              <w:left w:val="single" w:sz="4" w:space="0" w:color="auto"/>
            </w:tcBorders>
            <w:vAlign w:val="center"/>
          </w:tcPr>
          <w:p w14:paraId="31FB0AC1" w14:textId="688A31A8" w:rsidR="007354B6" w:rsidRPr="00701F32" w:rsidRDefault="007354B6" w:rsidP="00534414">
            <w:pPr>
              <w:ind w:left="154"/>
              <w:jc w:val="both"/>
              <w:rPr>
                <w:rFonts w:ascii="Arial" w:hAnsi="Arial" w:cs="Arial"/>
                <w:sz w:val="18"/>
              </w:rPr>
            </w:pPr>
            <w:r>
              <w:rPr>
                <w:rFonts w:ascii="Arial" w:hAnsi="Arial" w:cs="Arial"/>
                <w:sz w:val="18"/>
              </w:rPr>
              <w:t>Cuentas especiales para acred.haberes (*</w:t>
            </w:r>
            <w:r w:rsidR="00F37EB9">
              <w:rPr>
                <w:rFonts w:ascii="Arial" w:hAnsi="Arial" w:cs="Arial"/>
                <w:sz w:val="18"/>
              </w:rPr>
              <w:t>*</w:t>
            </w:r>
            <w:r>
              <w:rPr>
                <w:rFonts w:ascii="Arial" w:hAnsi="Arial" w:cs="Arial"/>
                <w:sz w:val="18"/>
              </w:rPr>
              <w:t>)</w:t>
            </w:r>
          </w:p>
        </w:tc>
        <w:tc>
          <w:tcPr>
            <w:tcW w:w="942" w:type="pct"/>
            <w:vAlign w:val="bottom"/>
          </w:tcPr>
          <w:p w14:paraId="06D862DC" w14:textId="00CFD86C" w:rsidR="007354B6" w:rsidRDefault="007354B6" w:rsidP="00534414">
            <w:pPr>
              <w:tabs>
                <w:tab w:val="left" w:pos="142"/>
              </w:tabs>
              <w:jc w:val="right"/>
              <w:rPr>
                <w:rFonts w:ascii="Arial" w:hAnsi="Arial" w:cs="Arial"/>
                <w:sz w:val="18"/>
              </w:rPr>
            </w:pPr>
            <w:r>
              <w:rPr>
                <w:rFonts w:ascii="Arial" w:hAnsi="Arial" w:cs="Arial"/>
                <w:sz w:val="18"/>
              </w:rPr>
              <w:t>303.588</w:t>
            </w:r>
          </w:p>
        </w:tc>
        <w:tc>
          <w:tcPr>
            <w:tcW w:w="1065" w:type="pct"/>
            <w:tcBorders>
              <w:right w:val="single" w:sz="4" w:space="0" w:color="auto"/>
            </w:tcBorders>
            <w:vAlign w:val="bottom"/>
          </w:tcPr>
          <w:p w14:paraId="3655561C" w14:textId="5EDA21A6" w:rsidR="007354B6" w:rsidRPr="001D2B86" w:rsidRDefault="007354B6" w:rsidP="00534414">
            <w:pPr>
              <w:tabs>
                <w:tab w:val="left" w:pos="142"/>
              </w:tabs>
              <w:jc w:val="right"/>
              <w:rPr>
                <w:rFonts w:ascii="Arial" w:hAnsi="Arial" w:cs="Arial"/>
                <w:sz w:val="18"/>
                <w:lang w:val="es-ES_tradnl"/>
              </w:rPr>
            </w:pPr>
            <w:r>
              <w:rPr>
                <w:rFonts w:ascii="Arial" w:hAnsi="Arial" w:cs="Arial"/>
                <w:sz w:val="18"/>
                <w:lang w:val="es-ES_tradnl"/>
              </w:rPr>
              <w:t>1.836</w:t>
            </w:r>
          </w:p>
        </w:tc>
      </w:tr>
      <w:tr w:rsidR="001D2B86" w:rsidRPr="00701F32" w14:paraId="17867383" w14:textId="77777777" w:rsidTr="005333A4">
        <w:trPr>
          <w:trHeight w:val="202"/>
          <w:jc w:val="center"/>
        </w:trPr>
        <w:tc>
          <w:tcPr>
            <w:tcW w:w="2993" w:type="pct"/>
            <w:tcBorders>
              <w:top w:val="single" w:sz="4" w:space="0" w:color="auto"/>
              <w:left w:val="single" w:sz="4" w:space="0" w:color="auto"/>
              <w:bottom w:val="single" w:sz="4" w:space="0" w:color="auto"/>
            </w:tcBorders>
            <w:vAlign w:val="center"/>
          </w:tcPr>
          <w:p w14:paraId="1C168E55" w14:textId="77777777" w:rsidR="001D2B86" w:rsidRPr="00701F32" w:rsidRDefault="001D2B86" w:rsidP="00534414">
            <w:pPr>
              <w:jc w:val="both"/>
              <w:rPr>
                <w:rFonts w:ascii="Arial" w:hAnsi="Arial" w:cs="Arial"/>
                <w:b/>
                <w:sz w:val="18"/>
              </w:rPr>
            </w:pPr>
            <w:r w:rsidRPr="00701F32">
              <w:rPr>
                <w:rFonts w:ascii="Arial" w:hAnsi="Arial" w:cs="Arial"/>
                <w:b/>
                <w:sz w:val="18"/>
              </w:rPr>
              <w:t xml:space="preserve">   Total</w:t>
            </w:r>
          </w:p>
        </w:tc>
        <w:tc>
          <w:tcPr>
            <w:tcW w:w="942" w:type="pct"/>
            <w:tcBorders>
              <w:top w:val="single" w:sz="4" w:space="0" w:color="auto"/>
              <w:bottom w:val="single" w:sz="4" w:space="0" w:color="auto"/>
            </w:tcBorders>
            <w:vAlign w:val="bottom"/>
          </w:tcPr>
          <w:p w14:paraId="6E586362" w14:textId="5F2C0322" w:rsidR="001D2B86" w:rsidRPr="00534414" w:rsidRDefault="007354B6" w:rsidP="00606E2A">
            <w:pPr>
              <w:tabs>
                <w:tab w:val="left" w:pos="142"/>
              </w:tabs>
              <w:jc w:val="right"/>
              <w:rPr>
                <w:rFonts w:ascii="Arial" w:hAnsi="Arial" w:cs="Arial"/>
                <w:b/>
                <w:bCs/>
                <w:sz w:val="18"/>
              </w:rPr>
            </w:pPr>
            <w:r>
              <w:rPr>
                <w:rFonts w:ascii="Arial" w:hAnsi="Arial" w:cs="Arial"/>
                <w:b/>
                <w:bCs/>
                <w:sz w:val="18"/>
              </w:rPr>
              <w:t>27</w:t>
            </w:r>
            <w:r w:rsidR="00663E45">
              <w:rPr>
                <w:rFonts w:ascii="Arial" w:hAnsi="Arial" w:cs="Arial"/>
                <w:b/>
                <w:bCs/>
                <w:sz w:val="18"/>
              </w:rPr>
              <w:t>.</w:t>
            </w:r>
            <w:r>
              <w:rPr>
                <w:rFonts w:ascii="Arial" w:hAnsi="Arial" w:cs="Arial"/>
                <w:b/>
                <w:bCs/>
                <w:sz w:val="18"/>
              </w:rPr>
              <w:t>118</w:t>
            </w:r>
            <w:r w:rsidR="00663E45">
              <w:rPr>
                <w:rFonts w:ascii="Arial" w:hAnsi="Arial" w:cs="Arial"/>
                <w:b/>
                <w:bCs/>
                <w:sz w:val="18"/>
              </w:rPr>
              <w:t>.</w:t>
            </w:r>
            <w:r>
              <w:rPr>
                <w:rFonts w:ascii="Arial" w:hAnsi="Arial" w:cs="Arial"/>
                <w:b/>
                <w:bCs/>
                <w:sz w:val="18"/>
              </w:rPr>
              <w:t>60</w:t>
            </w:r>
            <w:r w:rsidR="00EA0F6E">
              <w:rPr>
                <w:rFonts w:ascii="Arial" w:hAnsi="Arial" w:cs="Arial"/>
                <w:b/>
                <w:bCs/>
                <w:sz w:val="18"/>
              </w:rPr>
              <w:t>7</w:t>
            </w:r>
          </w:p>
        </w:tc>
        <w:tc>
          <w:tcPr>
            <w:tcW w:w="1065" w:type="pct"/>
            <w:tcBorders>
              <w:top w:val="single" w:sz="4" w:space="0" w:color="auto"/>
              <w:bottom w:val="single" w:sz="4" w:space="0" w:color="auto"/>
              <w:right w:val="single" w:sz="4" w:space="0" w:color="auto"/>
            </w:tcBorders>
            <w:vAlign w:val="bottom"/>
          </w:tcPr>
          <w:p w14:paraId="348ECE88" w14:textId="4F1D1534" w:rsidR="001D2B86" w:rsidRPr="001D2B86" w:rsidRDefault="007354B6" w:rsidP="00606E2A">
            <w:pPr>
              <w:tabs>
                <w:tab w:val="left" w:pos="142"/>
              </w:tabs>
              <w:jc w:val="right"/>
              <w:rPr>
                <w:rFonts w:ascii="Arial" w:hAnsi="Arial" w:cs="Arial"/>
                <w:b/>
                <w:sz w:val="18"/>
              </w:rPr>
            </w:pPr>
            <w:r>
              <w:rPr>
                <w:rFonts w:ascii="Arial" w:hAnsi="Arial" w:cs="Arial"/>
                <w:b/>
                <w:sz w:val="18"/>
                <w:lang w:val="es-ES_tradnl"/>
              </w:rPr>
              <w:t>18</w:t>
            </w:r>
            <w:r w:rsidR="001D2B86" w:rsidRPr="001D2B86">
              <w:rPr>
                <w:rFonts w:ascii="Arial" w:hAnsi="Arial" w:cs="Arial"/>
                <w:b/>
                <w:sz w:val="18"/>
                <w:lang w:val="es-ES_tradnl"/>
              </w:rPr>
              <w:t>.</w:t>
            </w:r>
            <w:r>
              <w:rPr>
                <w:rFonts w:ascii="Arial" w:hAnsi="Arial" w:cs="Arial"/>
                <w:b/>
                <w:sz w:val="18"/>
                <w:lang w:val="es-ES_tradnl"/>
              </w:rPr>
              <w:t>442</w:t>
            </w:r>
            <w:r w:rsidR="001D2B86" w:rsidRPr="001D2B86">
              <w:rPr>
                <w:rFonts w:ascii="Arial" w:hAnsi="Arial" w:cs="Arial"/>
                <w:b/>
                <w:sz w:val="18"/>
                <w:lang w:val="es-ES_tradnl"/>
              </w:rPr>
              <w:t>.</w:t>
            </w:r>
            <w:r>
              <w:rPr>
                <w:rFonts w:ascii="Arial" w:hAnsi="Arial" w:cs="Arial"/>
                <w:b/>
                <w:sz w:val="18"/>
                <w:lang w:val="es-ES_tradnl"/>
              </w:rPr>
              <w:t>105</w:t>
            </w:r>
          </w:p>
        </w:tc>
      </w:tr>
    </w:tbl>
    <w:p w14:paraId="1C0A2F53" w14:textId="409B4CB2" w:rsidR="00A06BE9" w:rsidRPr="00701F32" w:rsidRDefault="00606E2A" w:rsidP="00A06BE9">
      <w:pPr>
        <w:tabs>
          <w:tab w:val="left" w:pos="142"/>
        </w:tabs>
        <w:jc w:val="both"/>
        <w:rPr>
          <w:rFonts w:ascii="Arial" w:hAnsi="Arial" w:cs="Arial"/>
          <w:sz w:val="20"/>
        </w:rPr>
      </w:pPr>
      <w:r>
        <w:rPr>
          <w:rFonts w:ascii="Arial" w:hAnsi="Arial" w:cs="Arial"/>
          <w:sz w:val="20"/>
        </w:rPr>
        <w:tab/>
      </w:r>
      <w:r>
        <w:rPr>
          <w:rFonts w:ascii="Arial" w:hAnsi="Arial" w:cs="Arial"/>
          <w:sz w:val="20"/>
        </w:rPr>
        <w:tab/>
      </w:r>
    </w:p>
    <w:p w14:paraId="12E1325E" w14:textId="2E5C0E16" w:rsidR="00F37EB9" w:rsidRDefault="00A06BE9" w:rsidP="00A06BE9">
      <w:pPr>
        <w:tabs>
          <w:tab w:val="left" w:pos="142"/>
        </w:tabs>
        <w:jc w:val="both"/>
        <w:rPr>
          <w:rFonts w:ascii="Arial" w:hAnsi="Arial" w:cs="Arial"/>
          <w:sz w:val="20"/>
        </w:rPr>
      </w:pPr>
      <w:r w:rsidRPr="00701F32">
        <w:rPr>
          <w:rFonts w:ascii="Arial" w:hAnsi="Arial" w:cs="Arial"/>
          <w:sz w:val="20"/>
        </w:rPr>
        <w:t xml:space="preserve"> </w:t>
      </w:r>
      <w:bookmarkStart w:id="28" w:name="_Hlk41497273"/>
      <w:r w:rsidRPr="00701F32">
        <w:rPr>
          <w:rFonts w:ascii="Arial" w:hAnsi="Arial" w:cs="Arial"/>
          <w:sz w:val="20"/>
        </w:rPr>
        <w:t xml:space="preserve">(*) </w:t>
      </w:r>
      <w:r w:rsidR="00F37EB9" w:rsidRPr="00F37EB9">
        <w:rPr>
          <w:rFonts w:ascii="Arial" w:hAnsi="Arial" w:cs="Arial"/>
          <w:sz w:val="20"/>
        </w:rPr>
        <w:t>Valores históricos sin ajuste por inflación”</w:t>
      </w:r>
    </w:p>
    <w:p w14:paraId="06272FDB" w14:textId="5F0BB388" w:rsidR="00F37EB9" w:rsidRPr="00701F32" w:rsidRDefault="00F37EB9" w:rsidP="00A06BE9">
      <w:pPr>
        <w:tabs>
          <w:tab w:val="left" w:pos="142"/>
        </w:tabs>
        <w:jc w:val="both"/>
        <w:rPr>
          <w:rFonts w:ascii="Arial" w:hAnsi="Arial" w:cs="Arial"/>
          <w:sz w:val="20"/>
        </w:rPr>
      </w:pPr>
      <w:r>
        <w:rPr>
          <w:rFonts w:ascii="Arial" w:hAnsi="Arial" w:cs="Arial"/>
          <w:sz w:val="20"/>
        </w:rPr>
        <w:t xml:space="preserve"> (**)</w:t>
      </w:r>
      <w:r w:rsidRPr="00F37EB9">
        <w:rPr>
          <w:rFonts w:ascii="Arial" w:hAnsi="Arial" w:cs="Arial"/>
          <w:sz w:val="20"/>
        </w:rPr>
        <w:t>Corresponden a saldos según extractos bancarios.</w:t>
      </w:r>
    </w:p>
    <w:bookmarkEnd w:id="28"/>
    <w:p w14:paraId="4ADC711F" w14:textId="77777777" w:rsidR="00A06BE9" w:rsidRPr="00701F32" w:rsidRDefault="00A06BE9" w:rsidP="00A06BE9">
      <w:pPr>
        <w:tabs>
          <w:tab w:val="left" w:pos="142"/>
        </w:tabs>
        <w:jc w:val="both"/>
        <w:rPr>
          <w:rFonts w:ascii="Arial" w:hAnsi="Arial" w:cs="Arial"/>
          <w:sz w:val="20"/>
        </w:rPr>
      </w:pPr>
    </w:p>
    <w:p w14:paraId="05EC940C" w14:textId="56342C98" w:rsidR="00A06BE9" w:rsidRPr="005F5300" w:rsidRDefault="00A06BE9" w:rsidP="00A06BE9">
      <w:pPr>
        <w:tabs>
          <w:tab w:val="left" w:pos="142"/>
        </w:tabs>
        <w:jc w:val="both"/>
        <w:rPr>
          <w:rFonts w:ascii="Arial" w:hAnsi="Arial" w:cs="Arial"/>
          <w:sz w:val="20"/>
        </w:rPr>
      </w:pPr>
      <w:r w:rsidRPr="00701F32">
        <w:rPr>
          <w:rFonts w:ascii="Arial" w:hAnsi="Arial" w:cs="Arial"/>
          <w:sz w:val="20"/>
        </w:rPr>
        <w:t xml:space="preserve">Cabe señalar </w:t>
      </w:r>
      <w:r w:rsidRPr="005F5300">
        <w:rPr>
          <w:rFonts w:ascii="Arial" w:hAnsi="Arial" w:cs="Arial"/>
          <w:sz w:val="20"/>
        </w:rPr>
        <w:t>que en dichas fechas la Entidad no presentaba incumplimientos en la integración del efectivo mínimo</w:t>
      </w:r>
      <w:r w:rsidR="004B00AC" w:rsidRPr="005F5300">
        <w:rPr>
          <w:rFonts w:ascii="Arial" w:hAnsi="Arial" w:cs="Arial"/>
          <w:sz w:val="20"/>
        </w:rPr>
        <w:t>.</w:t>
      </w:r>
      <w:r w:rsidR="00976DC6" w:rsidRPr="005F5300">
        <w:rPr>
          <w:rFonts w:ascii="Arial" w:hAnsi="Arial" w:cs="Arial"/>
          <w:sz w:val="20"/>
        </w:rPr>
        <w:t xml:space="preserve"> </w:t>
      </w:r>
    </w:p>
    <w:p w14:paraId="5FF84568" w14:textId="77777777" w:rsidR="00D766AC" w:rsidRPr="005F5300" w:rsidRDefault="00D766AC" w:rsidP="00A06BE9">
      <w:pPr>
        <w:tabs>
          <w:tab w:val="left" w:pos="142"/>
        </w:tabs>
        <w:jc w:val="both"/>
        <w:rPr>
          <w:rFonts w:ascii="Arial" w:hAnsi="Arial" w:cs="Arial"/>
          <w:b/>
          <w:sz w:val="20"/>
        </w:rPr>
      </w:pPr>
    </w:p>
    <w:p w14:paraId="4A4EBE47" w14:textId="77777777" w:rsidR="00B36E45" w:rsidRPr="00701F32" w:rsidRDefault="00B36E45" w:rsidP="00B36E45">
      <w:pPr>
        <w:tabs>
          <w:tab w:val="left" w:pos="142"/>
        </w:tabs>
        <w:jc w:val="both"/>
        <w:rPr>
          <w:rFonts w:ascii="Arial" w:hAnsi="Arial" w:cs="Arial"/>
          <w:b/>
          <w:sz w:val="20"/>
        </w:rPr>
      </w:pPr>
      <w:r w:rsidRPr="00BA7A6B">
        <w:rPr>
          <w:rFonts w:ascii="Arial" w:hAnsi="Arial" w:cs="Arial"/>
          <w:b/>
          <w:sz w:val="20"/>
        </w:rPr>
        <w:t>9.7 Sanciones aplicadas a la Entidad financiera y sumarios iniciados por el BCRA</w:t>
      </w:r>
    </w:p>
    <w:p w14:paraId="49E67BB0" w14:textId="77777777" w:rsidR="00B36E45" w:rsidRPr="00701F32" w:rsidRDefault="00B36E45" w:rsidP="00B36E45">
      <w:pPr>
        <w:tabs>
          <w:tab w:val="left" w:pos="142"/>
        </w:tabs>
        <w:jc w:val="both"/>
        <w:rPr>
          <w:rFonts w:ascii="Arial" w:hAnsi="Arial" w:cs="Arial"/>
          <w:sz w:val="20"/>
        </w:rPr>
      </w:pPr>
    </w:p>
    <w:p w14:paraId="6D6CB913" w14:textId="77777777" w:rsidR="005A5836" w:rsidRPr="008E64EB" w:rsidRDefault="005A5836" w:rsidP="005A5836">
      <w:pPr>
        <w:tabs>
          <w:tab w:val="left" w:pos="142"/>
        </w:tabs>
        <w:jc w:val="both"/>
        <w:rPr>
          <w:rFonts w:ascii="Arial" w:hAnsi="Arial" w:cs="Arial"/>
          <w:b/>
          <w:sz w:val="20"/>
        </w:rPr>
      </w:pPr>
      <w:bookmarkStart w:id="29" w:name="_Hlk14879279"/>
      <w:r w:rsidRPr="008E64EB">
        <w:rPr>
          <w:rFonts w:ascii="Arial" w:hAnsi="Arial" w:cs="Arial"/>
          <w:b/>
          <w:sz w:val="20"/>
        </w:rPr>
        <w:t xml:space="preserve">1. </w:t>
      </w:r>
      <w:r w:rsidRPr="008E64EB">
        <w:rPr>
          <w:rFonts w:ascii="Arial" w:hAnsi="Arial" w:cs="Arial"/>
          <w:b/>
          <w:sz w:val="20"/>
          <w:u w:val="single"/>
        </w:rPr>
        <w:t>Sumarios iniciados por el BCRA</w:t>
      </w:r>
    </w:p>
    <w:p w14:paraId="7F04F11B" w14:textId="77777777" w:rsidR="005A5836" w:rsidRPr="008E64EB" w:rsidRDefault="005A5836" w:rsidP="005A5836">
      <w:pPr>
        <w:tabs>
          <w:tab w:val="left" w:pos="142"/>
        </w:tabs>
        <w:jc w:val="both"/>
        <w:rPr>
          <w:rFonts w:ascii="Arial" w:hAnsi="Arial" w:cs="Arial"/>
          <w:sz w:val="20"/>
        </w:rPr>
      </w:pPr>
    </w:p>
    <w:p w14:paraId="7BA28587"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rPr>
        <w:t>1.1. Banco Central de la República Argentina: “Supervielle S/ Sumario Penal Cambiario. Expte. Nº 100.936/07 (3928)”:</w:t>
      </w:r>
    </w:p>
    <w:p w14:paraId="24E97B77" w14:textId="77777777" w:rsidR="005A5836" w:rsidRPr="008E64EB" w:rsidRDefault="005A5836" w:rsidP="005A5836">
      <w:pPr>
        <w:tabs>
          <w:tab w:val="left" w:pos="142"/>
        </w:tabs>
        <w:jc w:val="both"/>
        <w:rPr>
          <w:rFonts w:ascii="Arial" w:hAnsi="Arial" w:cs="Arial"/>
          <w:sz w:val="20"/>
        </w:rPr>
      </w:pPr>
    </w:p>
    <w:p w14:paraId="2C323B9B"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u w:val="single"/>
        </w:rPr>
        <w:t>Fecha de notificación y N° de sumario</w:t>
      </w:r>
      <w:r w:rsidRPr="008E64EB">
        <w:rPr>
          <w:rFonts w:ascii="Arial" w:hAnsi="Arial" w:cs="Arial"/>
          <w:sz w:val="20"/>
        </w:rPr>
        <w:t>: iniciado por Resolución N° 535 del 8 de septiembre de 2008.</w:t>
      </w:r>
    </w:p>
    <w:p w14:paraId="1E2565B4"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u w:val="single"/>
        </w:rPr>
        <w:t>Cargo imputado</w:t>
      </w:r>
      <w:r w:rsidRPr="008E64EB">
        <w:rPr>
          <w:rFonts w:ascii="Arial" w:hAnsi="Arial" w:cs="Arial"/>
          <w:sz w:val="20"/>
        </w:rPr>
        <w:t>: Exceso en venta de dólares estadounidenses.</w:t>
      </w:r>
    </w:p>
    <w:p w14:paraId="1BBB6D4E"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u w:val="single"/>
        </w:rPr>
        <w:t>Personas Sumariadas</w:t>
      </w:r>
      <w:r w:rsidRPr="008E64EB">
        <w:rPr>
          <w:rFonts w:ascii="Arial" w:hAnsi="Arial" w:cs="Arial"/>
          <w:sz w:val="20"/>
        </w:rPr>
        <w:t>: Ricardo Pablo Villaverde, Raúl Oscar Pastor, Christian Bellanti, Fernando Suarez y de las Sras. Andrea Marisa Suarez, Eleonora Gabriela Laurini de Morolli.</w:t>
      </w:r>
    </w:p>
    <w:p w14:paraId="005D04AF"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u w:val="single"/>
        </w:rPr>
        <w:t>Estado Actual</w:t>
      </w:r>
      <w:r w:rsidRPr="008E64EB">
        <w:rPr>
          <w:rFonts w:ascii="Arial" w:hAnsi="Arial" w:cs="Arial"/>
          <w:sz w:val="20"/>
        </w:rPr>
        <w:t xml:space="preserve">: con fecha 25 de junio de 2013 el BCRA resolvió no hacer lugar a la excepción de falta de acción por prescripción de la acción penal interpuesta como así tampoco a la aplicación </w:t>
      </w:r>
      <w:r w:rsidRPr="008E64EB">
        <w:rPr>
          <w:rFonts w:ascii="Arial" w:hAnsi="Arial" w:cs="Arial"/>
          <w:sz w:val="20"/>
        </w:rPr>
        <w:lastRenderedPageBreak/>
        <w:t>del principio de ley penal más benigna; contra ello la Entidad presentó recurso de apelación. Con fecha 9 de febrero de 2015, se resolvió no conceder el recurso de apelación interpuesto.</w:t>
      </w:r>
    </w:p>
    <w:p w14:paraId="0B895BA9" w14:textId="77777777" w:rsidR="005A5836" w:rsidRPr="008E64EB" w:rsidRDefault="005A5836" w:rsidP="005A5836">
      <w:pPr>
        <w:tabs>
          <w:tab w:val="left" w:pos="142"/>
        </w:tabs>
        <w:jc w:val="both"/>
        <w:rPr>
          <w:rFonts w:ascii="Arial" w:hAnsi="Arial" w:cs="Arial"/>
          <w:sz w:val="20"/>
        </w:rPr>
      </w:pPr>
    </w:p>
    <w:p w14:paraId="2F8E0AB5"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rPr>
        <w:t>A raíz de ello, con fecha 20 de febrero de 2015, la Entidad interpuso recurso de queja el cual quedó radicado en el Juzgado Nacional en lo Penal Económico N° 5, bajo el N° 111/15. Con fecha 13 de abril de 2015 dicho Juzgado resolvió rechazar la queja, de modo que el 24 de abril de 2015 se devolvió el expediente al BCRA. Con fecha 3 de noviembre de 2015 se presentó ante el BCRA el memorial correspondiente en los términos del art. 8 inc c) de la Ley de Régimen Penal Cambiario.</w:t>
      </w:r>
    </w:p>
    <w:p w14:paraId="773D9F54" w14:textId="77777777" w:rsidR="005A5836" w:rsidRPr="008E64EB" w:rsidRDefault="005A5836" w:rsidP="005A5836">
      <w:pPr>
        <w:tabs>
          <w:tab w:val="left" w:pos="142"/>
        </w:tabs>
        <w:jc w:val="both"/>
        <w:rPr>
          <w:rFonts w:ascii="Arial" w:hAnsi="Arial" w:cs="Arial"/>
          <w:sz w:val="20"/>
        </w:rPr>
      </w:pPr>
    </w:p>
    <w:p w14:paraId="12164574"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rPr>
        <w:t>Luego de ello, concluido el trámite del sumario cambiario de referencia en el Banco Central de la República Argentina, ese organismo –según lo dispuesto por el art. 8° de la Ley del Régimen Penal Cambiario -, se elevó para el sorteo a la Excelentísima Cámara de Apelaciones del Fuero Penal económico en estado de conclusa para definitiva a fin de que se continuara la tramitación de conformidad con lo dispuesto por el art.9 de la ley 19.359 (T.O. por Decreto N° 480/95). Quedando el expediente radicado por ante el Juzgado Nacional en lo Penal Económico N° 5, Secretaría 9 bajo el N° 121/16 donde el 25 de agosto de 2016 se acompañó a audiencia art. 41 a Suarez Andrea, Morolli y Bellanti. Por Fernando Suarez, se dejó escrito haciendo constar que aún no se ha podido contactar. A la fecha no hay novedades.</w:t>
      </w:r>
    </w:p>
    <w:p w14:paraId="7B732C9B" w14:textId="77777777" w:rsidR="005A5836" w:rsidRPr="008E64EB" w:rsidRDefault="005A5836" w:rsidP="005A5836">
      <w:pPr>
        <w:tabs>
          <w:tab w:val="left" w:pos="142"/>
        </w:tabs>
        <w:jc w:val="both"/>
        <w:rPr>
          <w:rFonts w:ascii="Arial" w:hAnsi="Arial" w:cs="Arial"/>
          <w:sz w:val="20"/>
        </w:rPr>
      </w:pPr>
    </w:p>
    <w:p w14:paraId="0C8342BA"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rPr>
        <w:t>La defensa de Ricardo Pablo Villaverde planteó la extinción de la acción penal por aplicación de la ley penal más benigna que fue rechazada por el Juzgado, y al apelar, la Sala A de la Cámara Nacional de Apelaciones en lo Penal Económico revocó dicha resolución e hizo lugar al planteo. El Ministerio Público Fiscal presentó Recurso Extraordinario contra la resolución de Cámara que, con fecha 21 de noviembre de 2017, fue rechazado ante lo cual el Fiscal presentó queja ante la Corte Suprema de Justicia de la Nación que en este momento se encuentra a estudio.</w:t>
      </w:r>
    </w:p>
    <w:p w14:paraId="22A39C55" w14:textId="77777777" w:rsidR="005A5836" w:rsidRPr="008E64EB" w:rsidRDefault="005A5836" w:rsidP="005A5836">
      <w:pPr>
        <w:tabs>
          <w:tab w:val="left" w:pos="142"/>
        </w:tabs>
        <w:jc w:val="both"/>
        <w:rPr>
          <w:rFonts w:ascii="Arial" w:hAnsi="Arial" w:cs="Arial"/>
          <w:sz w:val="20"/>
        </w:rPr>
      </w:pPr>
    </w:p>
    <w:p w14:paraId="79B13CA5" w14:textId="77777777" w:rsidR="005A5836" w:rsidRPr="008E64EB" w:rsidRDefault="005A5836" w:rsidP="005A5836">
      <w:pPr>
        <w:tabs>
          <w:tab w:val="left" w:pos="142"/>
        </w:tabs>
        <w:jc w:val="both"/>
        <w:rPr>
          <w:rFonts w:ascii="Arial" w:hAnsi="Arial" w:cs="Arial"/>
          <w:sz w:val="20"/>
        </w:rPr>
      </w:pPr>
      <w:bookmarkStart w:id="30" w:name="_Hlk23169026"/>
      <w:r w:rsidRPr="008E64EB">
        <w:rPr>
          <w:rFonts w:ascii="Arial" w:hAnsi="Arial" w:cs="Arial"/>
          <w:sz w:val="20"/>
        </w:rPr>
        <w:t>1.2. Supervielle S/Sumario Penal Cambiario Expte. N° 48.225/07 (5424).</w:t>
      </w:r>
    </w:p>
    <w:bookmarkEnd w:id="30"/>
    <w:p w14:paraId="1F7088FE" w14:textId="77777777" w:rsidR="005A5836" w:rsidRPr="008E64EB" w:rsidRDefault="005A5836" w:rsidP="005A5836">
      <w:pPr>
        <w:tabs>
          <w:tab w:val="left" w:pos="142"/>
        </w:tabs>
        <w:jc w:val="both"/>
        <w:rPr>
          <w:rFonts w:ascii="Arial" w:hAnsi="Arial" w:cs="Arial"/>
          <w:sz w:val="20"/>
        </w:rPr>
      </w:pPr>
    </w:p>
    <w:p w14:paraId="3B444646"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u w:val="single"/>
        </w:rPr>
        <w:t>Fecha de inicio</w:t>
      </w:r>
      <w:r w:rsidRPr="008E64EB">
        <w:rPr>
          <w:rFonts w:ascii="Arial" w:hAnsi="Arial" w:cs="Arial"/>
          <w:sz w:val="20"/>
        </w:rPr>
        <w:t>: 31 de julio de 2013.</w:t>
      </w:r>
    </w:p>
    <w:p w14:paraId="4548C8A4"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u w:val="single"/>
        </w:rPr>
        <w:t>Personas Sumariadas</w:t>
      </w:r>
      <w:r w:rsidRPr="008E64EB">
        <w:rPr>
          <w:rFonts w:ascii="Arial" w:hAnsi="Arial" w:cs="Arial"/>
          <w:sz w:val="20"/>
        </w:rPr>
        <w:t>: Defensa de la Entidad y de los señores Jorge Di Péntima y Alberto Cid.</w:t>
      </w:r>
    </w:p>
    <w:p w14:paraId="144613EC" w14:textId="77777777" w:rsidR="005A5836" w:rsidRPr="008E64EB" w:rsidRDefault="005A5836" w:rsidP="005A5836">
      <w:pPr>
        <w:tabs>
          <w:tab w:val="left" w:pos="142"/>
        </w:tabs>
        <w:jc w:val="both"/>
        <w:rPr>
          <w:rFonts w:ascii="Arial" w:hAnsi="Arial" w:cs="Arial"/>
          <w:sz w:val="20"/>
        </w:rPr>
      </w:pPr>
      <w:r w:rsidRPr="008E64EB">
        <w:rPr>
          <w:rFonts w:ascii="Arial" w:hAnsi="Arial" w:cs="Arial"/>
          <w:sz w:val="20"/>
          <w:u w:val="single"/>
        </w:rPr>
        <w:t>Cargo Imputado</w:t>
      </w:r>
      <w:r w:rsidRPr="008E64EB">
        <w:rPr>
          <w:rFonts w:ascii="Arial" w:hAnsi="Arial" w:cs="Arial"/>
          <w:sz w:val="20"/>
        </w:rPr>
        <w:t>: Venta de dólares a Inhabilitados.</w:t>
      </w:r>
    </w:p>
    <w:p w14:paraId="5F76FE21" w14:textId="77777777" w:rsidR="005A5836" w:rsidRPr="008E64EB" w:rsidRDefault="005A5836" w:rsidP="005A5836">
      <w:pPr>
        <w:tabs>
          <w:tab w:val="left" w:pos="142"/>
        </w:tabs>
        <w:jc w:val="both"/>
        <w:rPr>
          <w:rFonts w:ascii="Arial" w:hAnsi="Arial" w:cs="Arial"/>
          <w:b/>
          <w:sz w:val="20"/>
        </w:rPr>
      </w:pPr>
      <w:r w:rsidRPr="008E64EB">
        <w:rPr>
          <w:rFonts w:ascii="Arial" w:hAnsi="Arial" w:cs="Arial"/>
          <w:sz w:val="20"/>
          <w:u w:val="single"/>
        </w:rPr>
        <w:t>Estado Actual</w:t>
      </w:r>
      <w:r w:rsidRPr="008E64EB">
        <w:rPr>
          <w:rFonts w:ascii="Arial" w:hAnsi="Arial" w:cs="Arial"/>
          <w:sz w:val="20"/>
        </w:rPr>
        <w:t xml:space="preserve">: con fecha 12 de febrero de 2015 el BCRA resolvió abrir el presente sumario a prueba por el término de 20 días hábiles bancarios, en los términos del artículo 8° de la Ley del Régimen Penal Cambiario. En ese sentido, se dispuso librar oficio al Departamento de Recursos Humanos de la Entidad y citar a las señoras Claudia Andretto y Mónica Carrizo a prestar declaración testimonial para el día 15 de abril de 2015, quienes efectivamente se presentaron a declarar. Con fecha 12 de junio de 2015 se respondió el oficio. Con fecha 14 de diciembre de 2017 se cerró el período de prueba, y el día 18 de diciembre de 2017 se presentó el memorial y se planteó la prescripción de la acción. El día 1 de marzo de 2018 el BCRA resolvió no hacer lugar al planteo de nulidad y a la violación de la garantía de ser Juzgado en un plazo justo. Contra dicha resolución, el día 15 de marzo de 2018, se interpuso recurso de apelación que fue </w:t>
      </w:r>
      <w:r w:rsidRPr="008E64EB">
        <w:rPr>
          <w:rFonts w:ascii="Arial" w:hAnsi="Arial" w:cs="Arial"/>
          <w:sz w:val="20"/>
        </w:rPr>
        <w:lastRenderedPageBreak/>
        <w:t>rechazado el día 21 de marzo de 2018. Luego, el 23 de marzo de 2018 se presentó el escrito manifestando que se consiente la resolución y que se hace reserva de plantear su nulidad. El BCRA declaró concluido el sumario y lo elevó al Juzgado Penal Económico N° 11, Secretaría N° 22, en el cual ingresó bajo el N° 645/2018 y actualmente se encuentra con medidas de prueba. Con fecha 18 de diciembre de 2018 se le recibió la declaración testimonial a un empleado de la Subgerencia General de Sistemas y Organización del BCRA a fin de que se expida respecto al envío de comunicados y comunicaciones de dicho organismo, entre otros. Con fecha 30 de mayo de 2019 se le tomó declaración testimonial a la Sra. Gladys Tacone, a cargo de la Gerencia de Asuntos Contenciosos en lo Cambiario del BCRA, a fin de que indique si se encuentran vigentes las suspensiones que dieron origen al sumario cambiario.</w:t>
      </w:r>
      <w:r w:rsidRPr="008E64EB">
        <w:rPr>
          <w:rFonts w:ascii="Arial" w:eastAsia="Calibri" w:hAnsi="Arial" w:cs="Arial"/>
          <w:szCs w:val="24"/>
        </w:rPr>
        <w:t xml:space="preserve"> </w:t>
      </w:r>
      <w:r w:rsidRPr="008E64EB">
        <w:rPr>
          <w:rFonts w:ascii="Arial" w:hAnsi="Arial" w:cs="Arial"/>
          <w:sz w:val="20"/>
        </w:rPr>
        <w:t>Los Sres. Cid y Di Péntima asistieron a la audiencia con el Juez prevista en el art. 41 del Código Penal (a fin de tomar conocimiento directo con los imputados). Con fecha 27 de febrero de 2020 el Juzgado resolvió dictar la absolución de Alberto Cid, Jorge Di Péntima y el Banco. Dicha resolución ya adquirió firmeza.</w:t>
      </w:r>
    </w:p>
    <w:p w14:paraId="73001712" w14:textId="77777777" w:rsidR="005A5836" w:rsidRPr="008E64EB" w:rsidRDefault="005A5836" w:rsidP="005A5836"/>
    <w:p w14:paraId="6581FAA2" w14:textId="77777777" w:rsidR="005A5836" w:rsidRPr="008E64EB" w:rsidRDefault="005A5836" w:rsidP="005A5836">
      <w:pPr>
        <w:rPr>
          <w:rFonts w:ascii="Arial" w:hAnsi="Arial" w:cs="Arial"/>
          <w:sz w:val="20"/>
        </w:rPr>
      </w:pPr>
      <w:r w:rsidRPr="008E64EB">
        <w:rPr>
          <w:rFonts w:ascii="Arial" w:hAnsi="Arial" w:cs="Arial"/>
          <w:sz w:val="20"/>
        </w:rPr>
        <w:t>1.3. Banco Central de la República Argentina: Sumario en lo Financiero N° 1556, Expediente N° 388/04/19.</w:t>
      </w:r>
    </w:p>
    <w:p w14:paraId="467904AC" w14:textId="77777777" w:rsidR="005A5836" w:rsidRPr="008E64EB" w:rsidRDefault="005A5836" w:rsidP="005A5836">
      <w:pPr>
        <w:rPr>
          <w:rFonts w:ascii="Arial" w:hAnsi="Arial" w:cs="Arial"/>
          <w:sz w:val="20"/>
        </w:rPr>
      </w:pPr>
    </w:p>
    <w:p w14:paraId="2BB522F0" w14:textId="77777777" w:rsidR="005A5836" w:rsidRPr="008E64EB" w:rsidRDefault="005A5836" w:rsidP="005A5836">
      <w:pPr>
        <w:rPr>
          <w:rFonts w:ascii="Arial" w:eastAsiaTheme="minorHAnsi" w:hAnsi="Arial" w:cs="Arial"/>
          <w:sz w:val="20"/>
        </w:rPr>
      </w:pPr>
      <w:r w:rsidRPr="008E64EB">
        <w:rPr>
          <w:rFonts w:ascii="Arial" w:eastAsiaTheme="minorHAnsi" w:hAnsi="Arial" w:cs="Arial"/>
          <w:sz w:val="20"/>
          <w:u w:val="single"/>
        </w:rPr>
        <w:t>Carátula:</w:t>
      </w:r>
      <w:r w:rsidRPr="008E64EB">
        <w:rPr>
          <w:rFonts w:ascii="Arial" w:eastAsiaTheme="minorHAnsi" w:hAnsi="Arial" w:cs="Arial"/>
          <w:sz w:val="20"/>
        </w:rPr>
        <w:t xml:space="preserve"> “Banco Supervielle S.A.”</w:t>
      </w:r>
    </w:p>
    <w:p w14:paraId="5F0A0C9B" w14:textId="77777777" w:rsidR="005A5836" w:rsidRPr="008E64EB" w:rsidRDefault="005A5836" w:rsidP="005A5836">
      <w:pPr>
        <w:rPr>
          <w:rFonts w:ascii="Arial" w:eastAsiaTheme="minorHAnsi" w:hAnsi="Arial" w:cs="Arial"/>
          <w:sz w:val="20"/>
        </w:rPr>
      </w:pPr>
      <w:r w:rsidRPr="008E64EB">
        <w:rPr>
          <w:rFonts w:ascii="Arial" w:eastAsiaTheme="minorHAnsi" w:hAnsi="Arial" w:cs="Arial"/>
          <w:sz w:val="20"/>
          <w:u w:val="single"/>
        </w:rPr>
        <w:t>Número de sumario:</w:t>
      </w:r>
      <w:r w:rsidRPr="008E64EB">
        <w:rPr>
          <w:rFonts w:ascii="Arial" w:eastAsiaTheme="minorHAnsi" w:hAnsi="Arial" w:cs="Arial"/>
          <w:sz w:val="20"/>
        </w:rPr>
        <w:t xml:space="preserve"> Sumario en lo Financiero N° 1556, Expediente N° 388/04/19. Iniciado por Resolución N° 204 de fecha 27.06.2019.</w:t>
      </w:r>
    </w:p>
    <w:p w14:paraId="1F9271B9" w14:textId="77777777" w:rsidR="005A5836" w:rsidRPr="008E64EB" w:rsidRDefault="005A5836" w:rsidP="005A5836">
      <w:pPr>
        <w:rPr>
          <w:rFonts w:ascii="Arial" w:eastAsiaTheme="minorHAnsi" w:hAnsi="Arial" w:cs="Arial"/>
          <w:sz w:val="20"/>
        </w:rPr>
      </w:pPr>
      <w:r w:rsidRPr="008E64EB">
        <w:rPr>
          <w:rFonts w:ascii="Arial" w:eastAsiaTheme="minorHAnsi" w:hAnsi="Arial" w:cs="Arial"/>
          <w:sz w:val="20"/>
          <w:u w:val="single"/>
        </w:rPr>
        <w:t>Fecha de notificación:</w:t>
      </w:r>
      <w:r w:rsidRPr="008E64EB">
        <w:rPr>
          <w:rFonts w:ascii="Arial" w:eastAsiaTheme="minorHAnsi" w:hAnsi="Arial" w:cs="Arial"/>
          <w:sz w:val="20"/>
        </w:rPr>
        <w:t xml:space="preserve"> 11/07/2019</w:t>
      </w:r>
    </w:p>
    <w:p w14:paraId="502190C3" w14:textId="77777777" w:rsidR="005A5836" w:rsidRPr="008E64EB" w:rsidRDefault="005A5836" w:rsidP="005A5836">
      <w:pPr>
        <w:rPr>
          <w:rFonts w:ascii="Arial" w:eastAsiaTheme="minorHAnsi" w:hAnsi="Arial" w:cs="Arial"/>
          <w:sz w:val="20"/>
        </w:rPr>
      </w:pPr>
      <w:r w:rsidRPr="008E64EB">
        <w:rPr>
          <w:rFonts w:ascii="Arial" w:eastAsiaTheme="minorHAnsi" w:hAnsi="Arial" w:cs="Arial"/>
          <w:sz w:val="20"/>
          <w:u w:val="single"/>
        </w:rPr>
        <w:t>Fecha de contestación:</w:t>
      </w:r>
      <w:r w:rsidRPr="008E64EB">
        <w:rPr>
          <w:rFonts w:ascii="Arial" w:eastAsiaTheme="minorHAnsi" w:hAnsi="Arial" w:cs="Arial"/>
          <w:sz w:val="20"/>
        </w:rPr>
        <w:t xml:space="preserve"> 09/08/2019</w:t>
      </w:r>
    </w:p>
    <w:p w14:paraId="32BB586A" w14:textId="77777777" w:rsidR="005A5836" w:rsidRPr="008E64EB" w:rsidRDefault="005A5836" w:rsidP="005A5836">
      <w:pPr>
        <w:rPr>
          <w:rFonts w:ascii="Arial" w:eastAsiaTheme="minorHAnsi" w:hAnsi="Arial" w:cs="Arial"/>
          <w:sz w:val="20"/>
        </w:rPr>
      </w:pPr>
      <w:r w:rsidRPr="008E64EB">
        <w:rPr>
          <w:rFonts w:ascii="Arial" w:eastAsiaTheme="minorHAnsi" w:hAnsi="Arial" w:cs="Arial"/>
          <w:sz w:val="20"/>
          <w:u w:val="single"/>
        </w:rPr>
        <w:t>El/Los Cargo/s imputado/s</w:t>
      </w:r>
      <w:r w:rsidRPr="008E64EB">
        <w:rPr>
          <w:rFonts w:ascii="Arial" w:eastAsiaTheme="minorHAnsi" w:hAnsi="Arial" w:cs="Arial"/>
          <w:sz w:val="20"/>
        </w:rPr>
        <w:t>:</w:t>
      </w:r>
    </w:p>
    <w:p w14:paraId="583BB099" w14:textId="77777777" w:rsidR="005A5836" w:rsidRPr="008E64EB" w:rsidRDefault="005A5836" w:rsidP="005A5836">
      <w:pPr>
        <w:rPr>
          <w:rFonts w:ascii="Arial" w:eastAsiaTheme="minorHAnsi" w:hAnsi="Arial" w:cs="Arial"/>
          <w:sz w:val="20"/>
        </w:rPr>
      </w:pPr>
    </w:p>
    <w:p w14:paraId="04F2D279" w14:textId="77777777" w:rsidR="005A5836" w:rsidRPr="008E64EB" w:rsidRDefault="005A5836" w:rsidP="005A5836">
      <w:pPr>
        <w:jc w:val="both"/>
        <w:rPr>
          <w:rFonts w:ascii="Arial" w:eastAsiaTheme="minorHAnsi" w:hAnsi="Arial" w:cs="Arial"/>
          <w:sz w:val="20"/>
        </w:rPr>
      </w:pPr>
      <w:r w:rsidRPr="008E64EB">
        <w:rPr>
          <w:rFonts w:ascii="Arial" w:eastAsiaTheme="minorHAnsi" w:hAnsi="Arial" w:cs="Arial"/>
          <w:sz w:val="20"/>
          <w:u w:val="single"/>
        </w:rPr>
        <w:t>Cargo 1:</w:t>
      </w:r>
      <w:r w:rsidRPr="008E64EB">
        <w:rPr>
          <w:rFonts w:ascii="Arial" w:eastAsiaTheme="minorHAnsi" w:hAnsi="Arial" w:cs="Arial"/>
          <w:sz w:val="20"/>
        </w:rPr>
        <w:t xml:space="preserve"> “Desempeño en el cargo de síndico encontrándose inhabilitado por el BCRA en contravención a lo dispuesto en la Ley de Entidades Financieras N° 21.526, artículo 10, inciso e) del citado texto legal y Texto Ordenado de las normas sobre “Autoridades de Entidades Financieras” Sección 2, punto 2.1. primer párrafo (conforme Comunicación A 2241, Circular CREFI 2, Anexo. Capítulo 1, sección 1, punto 1.1.3. –complementarias y modificatorias-)” (considerando 1. de la Resolución SEFyC n° 204/19).</w:t>
      </w:r>
    </w:p>
    <w:p w14:paraId="72812D38" w14:textId="357CF159" w:rsidR="005A5836" w:rsidRPr="008E64EB" w:rsidRDefault="005A5836" w:rsidP="005A5836">
      <w:pPr>
        <w:jc w:val="both"/>
        <w:rPr>
          <w:rFonts w:ascii="Arial" w:eastAsiaTheme="minorHAnsi" w:hAnsi="Arial" w:cs="Arial"/>
          <w:sz w:val="20"/>
        </w:rPr>
      </w:pPr>
      <w:r w:rsidRPr="008E64EB">
        <w:rPr>
          <w:rFonts w:ascii="Arial" w:eastAsiaTheme="minorHAnsi" w:hAnsi="Arial" w:cs="Arial"/>
          <w:sz w:val="20"/>
          <w:u w:val="single"/>
        </w:rPr>
        <w:t>Cargo 2:</w:t>
      </w:r>
      <w:r w:rsidRPr="008E64EB">
        <w:rPr>
          <w:rFonts w:ascii="Arial" w:eastAsiaTheme="minorHAnsi" w:hAnsi="Arial" w:cs="Arial"/>
          <w:sz w:val="20"/>
        </w:rPr>
        <w:t xml:space="preserve"> “Deficiencias en la certificación anual efectuada por la entidad, respecto de las habilidades legales de sus autoridades, en contravención a lo dispuesto en el Texto Ordenado de las normas sobre “Autoridades de Entidades Financieras” Sección 3, punto 3.1.2 tercer párrafo (conforme Comunicación A 5785, Circular CREFI 2, 84 Anexo. Capítulo 1, sección 5, punto 5.5., segundo párrafo –complementarias y modificatorias-; A 6111, Circular CREFI 2 – 92 – Anexo, Sección 3, punto 3.1.2., último párrafo –complementarias y modificatorios; A 6304, Circular CREFI 2 – 100 – Anexo, Sección 3, punto 3.1.2., segundo párrafo –complementarias y modificatorias-(considerando 2 de la Resolución SEFyC n° 204/19).</w:t>
      </w:r>
    </w:p>
    <w:p w14:paraId="60B09F33" w14:textId="77777777" w:rsidR="005A5836" w:rsidRPr="008E64EB" w:rsidRDefault="005A5836" w:rsidP="005A5836">
      <w:pPr>
        <w:jc w:val="both"/>
        <w:rPr>
          <w:rFonts w:ascii="Arial" w:eastAsiaTheme="minorHAnsi" w:hAnsi="Arial" w:cs="Arial"/>
          <w:sz w:val="20"/>
        </w:rPr>
      </w:pPr>
    </w:p>
    <w:p w14:paraId="72D84A0E" w14:textId="77777777" w:rsidR="005A5836" w:rsidRPr="008E64EB" w:rsidRDefault="005A5836" w:rsidP="005A5836">
      <w:pPr>
        <w:spacing w:after="200" w:line="276" w:lineRule="auto"/>
        <w:jc w:val="both"/>
        <w:rPr>
          <w:rFonts w:ascii="Arial" w:eastAsia="Calibri" w:hAnsi="Arial" w:cs="Arial"/>
          <w:sz w:val="20"/>
        </w:rPr>
      </w:pPr>
      <w:r w:rsidRPr="008E64EB">
        <w:rPr>
          <w:rFonts w:ascii="Arial" w:eastAsia="Calibri" w:hAnsi="Arial" w:cs="Arial"/>
          <w:sz w:val="20"/>
          <w:u w:val="single"/>
        </w:rPr>
        <w:t>Sumariados</w:t>
      </w:r>
      <w:r w:rsidRPr="008E64EB">
        <w:rPr>
          <w:rFonts w:ascii="Arial" w:eastAsia="Calibri" w:hAnsi="Arial" w:cs="Arial"/>
          <w:sz w:val="20"/>
        </w:rPr>
        <w:t xml:space="preserve">: Banco Supervielle S.A., Julio Patricio SUPERVIELLE, Carlos Alberto ASATO, Richard Guy GLUZMAN, Nicole Laurence MENGIN DE LOYER, Carlos Martín NOEL, Atilio María </w:t>
      </w:r>
      <w:r w:rsidRPr="008E64EB">
        <w:rPr>
          <w:rFonts w:ascii="Arial" w:eastAsia="Calibri" w:hAnsi="Arial" w:cs="Arial"/>
          <w:sz w:val="20"/>
        </w:rPr>
        <w:lastRenderedPageBreak/>
        <w:t>DELL ORO MAINI, Emérico Alejandro STENGEL, Jorge Oscar RAMIREZ, José Luis PANERO, Enrique José BARREIRO, Ariel José PORTNOY y María Cristina FIORIO.</w:t>
      </w:r>
    </w:p>
    <w:p w14:paraId="6E9DF5D1" w14:textId="77777777" w:rsidR="005A5836" w:rsidRPr="008E64EB" w:rsidRDefault="005A5836" w:rsidP="005A5836">
      <w:pPr>
        <w:rPr>
          <w:rFonts w:ascii="Arial" w:eastAsia="Calibri" w:hAnsi="Arial" w:cs="Arial"/>
          <w:sz w:val="20"/>
        </w:rPr>
      </w:pPr>
      <w:r w:rsidRPr="008E64EB">
        <w:rPr>
          <w:rFonts w:ascii="Arial" w:eastAsia="Calibri" w:hAnsi="Arial" w:cs="Arial"/>
          <w:sz w:val="20"/>
          <w:u w:val="single"/>
        </w:rPr>
        <w:t>Estado actual</w:t>
      </w:r>
      <w:r w:rsidRPr="008E64EB">
        <w:rPr>
          <w:rFonts w:ascii="Arial" w:eastAsia="Calibri" w:hAnsi="Arial" w:cs="Arial"/>
          <w:sz w:val="20"/>
        </w:rPr>
        <w:t>: El sumariante continúa el análisis de los descargos presentados y de la prueba ofrecida.</w:t>
      </w:r>
    </w:p>
    <w:p w14:paraId="3CEC4125" w14:textId="77777777" w:rsidR="005A5836" w:rsidRPr="008E64EB" w:rsidRDefault="005A5836" w:rsidP="005A5836">
      <w:pPr>
        <w:rPr>
          <w:rFonts w:ascii="Arial" w:eastAsia="Calibri" w:hAnsi="Arial" w:cs="Arial"/>
          <w:sz w:val="20"/>
        </w:rPr>
      </w:pPr>
    </w:p>
    <w:p w14:paraId="4E8C09C6" w14:textId="77777777" w:rsidR="005A5836" w:rsidRPr="008E64EB" w:rsidRDefault="005A5836" w:rsidP="005A5836">
      <w:pPr>
        <w:rPr>
          <w:rFonts w:ascii="Arial" w:eastAsia="Calibri" w:hAnsi="Arial" w:cs="Arial"/>
          <w:sz w:val="20"/>
        </w:rPr>
      </w:pPr>
    </w:p>
    <w:p w14:paraId="6D5FC8E5"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rPr>
        <w:t>1.4 Banco Central de la República Argentina: Sumario en lo Financiero N° 1.560.</w:t>
      </w:r>
    </w:p>
    <w:p w14:paraId="0EAADC7A" w14:textId="77777777" w:rsidR="005A5836" w:rsidRPr="008E64EB" w:rsidRDefault="005A5836" w:rsidP="005A5836">
      <w:pPr>
        <w:jc w:val="both"/>
        <w:rPr>
          <w:rFonts w:ascii="Arial" w:eastAsia="Calibri" w:hAnsi="Arial" w:cs="Arial"/>
          <w:sz w:val="20"/>
        </w:rPr>
      </w:pPr>
    </w:p>
    <w:p w14:paraId="4BD8DB5C"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Número de sumario:</w:t>
      </w:r>
      <w:r w:rsidRPr="008E64EB">
        <w:rPr>
          <w:rFonts w:ascii="Arial" w:eastAsia="Calibri" w:hAnsi="Arial" w:cs="Arial"/>
          <w:sz w:val="20"/>
        </w:rPr>
        <w:t xml:space="preserve"> Sumario en lo Financiero N° 1.560.</w:t>
      </w:r>
    </w:p>
    <w:p w14:paraId="59642440"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Fecha de notificación:</w:t>
      </w:r>
      <w:r w:rsidRPr="008E64EB">
        <w:rPr>
          <w:rFonts w:ascii="Arial" w:eastAsia="Calibri" w:hAnsi="Arial" w:cs="Arial"/>
          <w:sz w:val="20"/>
        </w:rPr>
        <w:t xml:space="preserve"> 29/10/2019.</w:t>
      </w:r>
    </w:p>
    <w:p w14:paraId="71CF7E31"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Fecha de contestación:</w:t>
      </w:r>
      <w:r w:rsidRPr="008E64EB">
        <w:rPr>
          <w:rFonts w:ascii="Arial" w:eastAsia="Calibri" w:hAnsi="Arial" w:cs="Arial"/>
          <w:sz w:val="20"/>
        </w:rPr>
        <w:t xml:space="preserve"> 13/11/2019</w:t>
      </w:r>
    </w:p>
    <w:p w14:paraId="402920ED" w14:textId="77777777" w:rsidR="005A5836" w:rsidRPr="008E64EB" w:rsidRDefault="005A5836" w:rsidP="005A5836">
      <w:pPr>
        <w:jc w:val="both"/>
        <w:rPr>
          <w:rFonts w:ascii="Arial" w:eastAsia="Calibri" w:hAnsi="Arial" w:cs="Arial"/>
          <w:sz w:val="20"/>
          <w:u w:val="single"/>
        </w:rPr>
      </w:pPr>
    </w:p>
    <w:p w14:paraId="04E0F925"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El Cargo imputado:</w:t>
      </w:r>
      <w:r w:rsidRPr="008E64EB">
        <w:rPr>
          <w:rFonts w:ascii="Arial" w:eastAsia="Calibri" w:hAnsi="Arial" w:cs="Arial"/>
          <w:sz w:val="20"/>
        </w:rPr>
        <w:t xml:space="preserve"> Reiteradas demoras en remitir al BCRA información y/o documentación vinculadas con nombramientos de nuevas autoridades de la entidad financiera, por lo que, prima facie, se habría transgredido lo dispuesto en el Texto Ordenado de las normas sobre “Autoridades de Entidades Financieras” Sección 3, punto 3.1.3., subpunto 3.1.3.2. (conforme Comunicación A 6111, Circular CREFI 2 - 92, Anexo. Sección 3, punto 3.1.3., subpunto 3.1.3.2. y “A” 6304, CREFI 2 – 100, Sección 3, punto 3.1.3., subpunto 3.1.3.2., en concordancia con la comunicación “B” 11.461 –complementarias y modificatorias-)” (considerando 1. de la Resolución SEFyC n° 307/19).</w:t>
      </w:r>
    </w:p>
    <w:p w14:paraId="45C2BA23" w14:textId="77777777" w:rsidR="005A5836" w:rsidRPr="008E64EB" w:rsidRDefault="005A5836" w:rsidP="005A5836">
      <w:pPr>
        <w:jc w:val="both"/>
        <w:rPr>
          <w:rFonts w:ascii="Arial" w:eastAsia="Calibri" w:hAnsi="Arial" w:cs="Arial"/>
          <w:sz w:val="20"/>
        </w:rPr>
      </w:pPr>
    </w:p>
    <w:p w14:paraId="5A6BA54F"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Sumariado</w:t>
      </w:r>
      <w:r w:rsidRPr="008E64EB">
        <w:rPr>
          <w:rFonts w:ascii="Arial" w:eastAsia="Calibri" w:hAnsi="Arial" w:cs="Arial"/>
          <w:sz w:val="20"/>
        </w:rPr>
        <w:t>: Banco Supervielle S.A.</w:t>
      </w:r>
    </w:p>
    <w:p w14:paraId="6EB1A44F" w14:textId="77777777" w:rsidR="005A5836" w:rsidRPr="008E64EB" w:rsidRDefault="005A5836" w:rsidP="005A5836">
      <w:pPr>
        <w:jc w:val="both"/>
        <w:rPr>
          <w:rFonts w:ascii="Arial" w:eastAsia="Calibri" w:hAnsi="Arial" w:cs="Arial"/>
          <w:sz w:val="20"/>
        </w:rPr>
      </w:pPr>
    </w:p>
    <w:p w14:paraId="2FF95805"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Estado actual</w:t>
      </w:r>
      <w:r w:rsidRPr="008E64EB">
        <w:rPr>
          <w:rFonts w:ascii="Arial" w:eastAsia="Calibri" w:hAnsi="Arial" w:cs="Arial"/>
          <w:sz w:val="20"/>
        </w:rPr>
        <w:t>: Continúa aún para proveer el descargo presentado.</w:t>
      </w:r>
    </w:p>
    <w:p w14:paraId="0BB29242" w14:textId="77777777" w:rsidR="005A5836" w:rsidRPr="008E64EB" w:rsidRDefault="005A5836" w:rsidP="005A5836">
      <w:pPr>
        <w:jc w:val="both"/>
        <w:rPr>
          <w:rFonts w:ascii="Arial" w:eastAsia="Calibri" w:hAnsi="Arial" w:cs="Arial"/>
          <w:sz w:val="20"/>
        </w:rPr>
      </w:pPr>
    </w:p>
    <w:p w14:paraId="5CA1AAAB" w14:textId="77777777" w:rsidR="005A5836" w:rsidRPr="008E64EB" w:rsidRDefault="005A5836" w:rsidP="005A5836">
      <w:pPr>
        <w:jc w:val="both"/>
        <w:rPr>
          <w:rFonts w:ascii="Arial" w:eastAsia="Calibri" w:hAnsi="Arial" w:cs="Arial"/>
          <w:sz w:val="20"/>
        </w:rPr>
      </w:pPr>
    </w:p>
    <w:p w14:paraId="411D40E8" w14:textId="77777777" w:rsidR="005A5836" w:rsidRPr="008E64EB" w:rsidRDefault="005A5836" w:rsidP="005A5836">
      <w:pPr>
        <w:jc w:val="both"/>
        <w:rPr>
          <w:rFonts w:ascii="Arial" w:eastAsia="Calibri" w:hAnsi="Arial" w:cs="Arial"/>
          <w:b/>
          <w:sz w:val="20"/>
        </w:rPr>
      </w:pPr>
      <w:r w:rsidRPr="008E64EB">
        <w:rPr>
          <w:rFonts w:ascii="Arial" w:eastAsia="Calibri" w:hAnsi="Arial" w:cs="Arial"/>
          <w:b/>
          <w:sz w:val="20"/>
        </w:rPr>
        <w:t>2. Unidad de Información Financiera:</w:t>
      </w:r>
    </w:p>
    <w:p w14:paraId="1A4FD582" w14:textId="77777777" w:rsidR="005A5836" w:rsidRPr="008E64EB" w:rsidRDefault="005A5836" w:rsidP="005A5836">
      <w:pPr>
        <w:jc w:val="both"/>
        <w:rPr>
          <w:rFonts w:ascii="Arial" w:eastAsia="Calibri" w:hAnsi="Arial" w:cs="Arial"/>
          <w:b/>
          <w:sz w:val="20"/>
        </w:rPr>
      </w:pPr>
    </w:p>
    <w:p w14:paraId="03BE8BCF"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rPr>
        <w:t>1. Banco Supervielle S.A. s/ Supervisión B.C.R.A.</w:t>
      </w:r>
    </w:p>
    <w:p w14:paraId="400644CA" w14:textId="77777777" w:rsidR="005A5836" w:rsidRPr="008E64EB" w:rsidRDefault="005A5836" w:rsidP="005A5836">
      <w:pPr>
        <w:jc w:val="both"/>
        <w:rPr>
          <w:rFonts w:ascii="Arial" w:eastAsia="Calibri" w:hAnsi="Arial" w:cs="Arial"/>
          <w:sz w:val="20"/>
          <w:u w:val="single"/>
        </w:rPr>
      </w:pPr>
    </w:p>
    <w:p w14:paraId="4B89C2E3"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Expte. UIF Nº:</w:t>
      </w:r>
      <w:r w:rsidRPr="008E64EB">
        <w:rPr>
          <w:rFonts w:ascii="Arial" w:eastAsia="Calibri" w:hAnsi="Arial" w:cs="Arial"/>
          <w:sz w:val="20"/>
        </w:rPr>
        <w:t xml:space="preserve"> 2545/14. </w:t>
      </w:r>
    </w:p>
    <w:p w14:paraId="7F065F92" w14:textId="77777777" w:rsidR="005A5836" w:rsidRPr="008E64EB" w:rsidRDefault="005A5836" w:rsidP="005A5836">
      <w:pPr>
        <w:jc w:val="both"/>
        <w:rPr>
          <w:rFonts w:ascii="Arial" w:eastAsia="Calibri" w:hAnsi="Arial" w:cs="Arial"/>
          <w:sz w:val="20"/>
          <w:u w:val="single"/>
        </w:rPr>
      </w:pPr>
      <w:r w:rsidRPr="008E64EB">
        <w:rPr>
          <w:rFonts w:ascii="Arial" w:eastAsia="Calibri" w:hAnsi="Arial" w:cs="Arial"/>
          <w:sz w:val="20"/>
          <w:u w:val="single"/>
        </w:rPr>
        <w:t>Sumariante:</w:t>
      </w:r>
      <w:r w:rsidRPr="008E64EB">
        <w:rPr>
          <w:rFonts w:ascii="Arial" w:eastAsia="Calibri" w:hAnsi="Arial" w:cs="Arial"/>
          <w:sz w:val="20"/>
        </w:rPr>
        <w:t xml:space="preserve"> Ignacio Bagnardi.</w:t>
      </w:r>
    </w:p>
    <w:p w14:paraId="328D4D77" w14:textId="77777777" w:rsidR="005A5836" w:rsidRPr="008E64EB" w:rsidRDefault="005A5836" w:rsidP="005A5836">
      <w:pPr>
        <w:jc w:val="both"/>
        <w:rPr>
          <w:rFonts w:ascii="Arial" w:eastAsia="Calibri" w:hAnsi="Arial" w:cs="Arial"/>
          <w:sz w:val="20"/>
        </w:rPr>
      </w:pPr>
    </w:p>
    <w:p w14:paraId="71E19795"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Fecha de notificación:</w:t>
      </w:r>
      <w:r w:rsidRPr="008E64EB">
        <w:rPr>
          <w:rFonts w:ascii="Arial" w:eastAsia="Calibri" w:hAnsi="Arial" w:cs="Arial"/>
          <w:sz w:val="20"/>
        </w:rPr>
        <w:t xml:space="preserve"> 26/12/2019.</w:t>
      </w:r>
    </w:p>
    <w:p w14:paraId="768128A9"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Fecha de contestación:</w:t>
      </w:r>
      <w:r w:rsidRPr="008E64EB">
        <w:rPr>
          <w:rFonts w:ascii="Arial" w:eastAsia="Calibri" w:hAnsi="Arial" w:cs="Arial"/>
          <w:sz w:val="20"/>
        </w:rPr>
        <w:t xml:space="preserve"> 13/01/2020.</w:t>
      </w:r>
    </w:p>
    <w:p w14:paraId="5401CD36" w14:textId="77777777" w:rsidR="005A5836" w:rsidRPr="008E64EB" w:rsidRDefault="005A5836" w:rsidP="005A5836">
      <w:pPr>
        <w:jc w:val="both"/>
        <w:rPr>
          <w:rFonts w:ascii="Arial" w:eastAsia="Calibri" w:hAnsi="Arial" w:cs="Arial"/>
          <w:sz w:val="20"/>
        </w:rPr>
      </w:pPr>
    </w:p>
    <w:p w14:paraId="642A6728" w14:textId="77777777" w:rsidR="005A5836" w:rsidRPr="008E64EB" w:rsidRDefault="005A5836" w:rsidP="005A5836">
      <w:pPr>
        <w:jc w:val="both"/>
        <w:rPr>
          <w:rFonts w:ascii="Arial" w:eastAsia="Calibri" w:hAnsi="Arial" w:cs="Arial"/>
          <w:sz w:val="20"/>
          <w:u w:val="single"/>
        </w:rPr>
      </w:pPr>
      <w:r w:rsidRPr="008E64EB">
        <w:rPr>
          <w:rFonts w:ascii="Arial" w:eastAsia="Calibri" w:hAnsi="Arial" w:cs="Arial"/>
          <w:sz w:val="20"/>
          <w:u w:val="single"/>
        </w:rPr>
        <w:t>Intervención:</w:t>
      </w:r>
      <w:r w:rsidRPr="008E64EB">
        <w:rPr>
          <w:rFonts w:ascii="Arial" w:eastAsia="Calibri" w:hAnsi="Arial" w:cs="Arial"/>
          <w:sz w:val="20"/>
        </w:rPr>
        <w:t xml:space="preserve"> Defensa del Banco, de los Sres. Jorge Oscar Ramírez, Atilio María Dell Oro Maini, Richard Guy Gluzman, Laurence Nicole Mengin, Emerico Alejandro Stengel, Carlos Martin Noel, Julio Patricio Supervielle Saavedra y Aníbal Rodríguez Melgarejo.</w:t>
      </w:r>
    </w:p>
    <w:p w14:paraId="49C461DE" w14:textId="77777777" w:rsidR="005A5836" w:rsidRPr="008E64EB" w:rsidRDefault="005A5836" w:rsidP="005A5836">
      <w:pPr>
        <w:jc w:val="both"/>
        <w:rPr>
          <w:rFonts w:ascii="Arial" w:eastAsia="Calibri" w:hAnsi="Arial" w:cs="Arial"/>
          <w:sz w:val="20"/>
        </w:rPr>
      </w:pPr>
    </w:p>
    <w:p w14:paraId="0DEB508D" w14:textId="77777777" w:rsidR="005A5836" w:rsidRPr="008E64EB" w:rsidRDefault="005A5836" w:rsidP="005A5836">
      <w:pPr>
        <w:jc w:val="both"/>
        <w:rPr>
          <w:rFonts w:ascii="Arial" w:eastAsia="Calibri" w:hAnsi="Arial" w:cs="Arial"/>
          <w:sz w:val="20"/>
          <w:u w:val="single"/>
        </w:rPr>
      </w:pPr>
      <w:r w:rsidRPr="008E64EB">
        <w:rPr>
          <w:rFonts w:ascii="Arial" w:eastAsia="Calibri" w:hAnsi="Arial" w:cs="Arial"/>
          <w:sz w:val="20"/>
          <w:u w:val="single"/>
        </w:rPr>
        <w:lastRenderedPageBreak/>
        <w:t>Objeto:</w:t>
      </w:r>
      <w:r w:rsidRPr="008E64EB">
        <w:rPr>
          <w:rFonts w:ascii="Arial" w:eastAsia="Calibri" w:hAnsi="Arial" w:cs="Arial"/>
          <w:sz w:val="20"/>
        </w:rPr>
        <w:t xml:space="preserve"> Se investigan las acciones vinculadas con el contenido de la inspección integral del BCRA enfocada principalmente en la revisión del sistema de monitoreo de las operaciones de los clientes, la emisión de alertas, su gestión y análisis, la matriz de riesgo y la definición y administración de perfiles entre los días 19/12/16 y 2/02/17 –la Inspección BCRA 2017-, así como la acción administrativa sancionatoria que se vincula con el aporte efectuado por Woodford S.A.R.L. a los clientes Valle del Carmen S.a. y Valle Encantado S.A. con fecha 31/07/2014 por un monto de $578.813.</w:t>
      </w:r>
    </w:p>
    <w:p w14:paraId="177DEEF7" w14:textId="77777777" w:rsidR="005A5836" w:rsidRPr="008E64EB" w:rsidRDefault="005A5836" w:rsidP="005A5836">
      <w:pPr>
        <w:jc w:val="both"/>
        <w:rPr>
          <w:rFonts w:ascii="Arial" w:eastAsia="Calibri" w:hAnsi="Arial" w:cs="Arial"/>
          <w:sz w:val="20"/>
        </w:rPr>
      </w:pPr>
    </w:p>
    <w:p w14:paraId="554546FB" w14:textId="77777777" w:rsidR="005A5836" w:rsidRPr="008E64EB" w:rsidRDefault="005A5836" w:rsidP="005A5836">
      <w:pPr>
        <w:jc w:val="both"/>
        <w:rPr>
          <w:rFonts w:ascii="Arial" w:eastAsia="Calibri" w:hAnsi="Arial" w:cs="Arial"/>
          <w:sz w:val="20"/>
        </w:rPr>
      </w:pPr>
      <w:r w:rsidRPr="008E64EB">
        <w:rPr>
          <w:rFonts w:ascii="Arial" w:eastAsia="Calibri" w:hAnsi="Arial" w:cs="Arial"/>
          <w:sz w:val="20"/>
          <w:u w:val="single"/>
        </w:rPr>
        <w:t>Estado Actual:</w:t>
      </w:r>
      <w:r w:rsidRPr="008E64EB">
        <w:rPr>
          <w:rFonts w:ascii="Arial" w:eastAsia="Calibri" w:hAnsi="Arial" w:cs="Arial"/>
          <w:sz w:val="20"/>
        </w:rPr>
        <w:t xml:space="preserve"> Nos presentamos formalmente por los sujetos mencionados. Con fecha 13 de enero de 2020 se presentaron los respectivos descargos por cada uno de los sumariados. Asimismo, se efectuaron planteos de nulidad, de prescripción y de falta de legitimación pasivo que por ahora se tuvieron presentes con fecha 13 de febrero de 2020. Con fecha 12 de marzo de 2020 la UIF nos notificó de la apertura a prueba del sumario por el plazo de 30 días. En ese sentido, se tuvo presente la prueba ofrecida en cada descargo y se fijaron las siguientes audiencias testimoniales: para el día 10/06/20 se citó a los Sres. Cuccia y Marteau, para el día 17/06/20 al representante del Banco y al Sr. Julio Patricio Supervielle, para el día 18/06/20 se citó a los Sres. Gluzman, Stengel y Noel, para el día 19/06/20 a los Sres. Nougues, Dell’ Oro Maini y Rodríguez Melgarejo, y para el día 22/06/20 se citó a los Sres. Ramírez y Mengin.</w:t>
      </w:r>
    </w:p>
    <w:p w14:paraId="5DC0EF70" w14:textId="77777777" w:rsidR="005A5836" w:rsidRPr="00871FEF" w:rsidRDefault="005A5836" w:rsidP="005A5836">
      <w:pPr>
        <w:jc w:val="both"/>
        <w:rPr>
          <w:rFonts w:ascii="Arial" w:eastAsia="Calibri" w:hAnsi="Arial" w:cs="Arial"/>
          <w:sz w:val="20"/>
        </w:rPr>
      </w:pPr>
    </w:p>
    <w:p w14:paraId="7B5A4EED" w14:textId="6538DFCC" w:rsidR="00A06BE9" w:rsidRPr="00701F32" w:rsidRDefault="006B5772" w:rsidP="00A06BE9">
      <w:pPr>
        <w:tabs>
          <w:tab w:val="left" w:pos="142"/>
        </w:tabs>
        <w:jc w:val="both"/>
        <w:rPr>
          <w:rFonts w:ascii="Arial" w:hAnsi="Arial" w:cs="Arial"/>
          <w:b/>
          <w:sz w:val="20"/>
        </w:rPr>
      </w:pPr>
      <w:r w:rsidRPr="00827C8E">
        <w:rPr>
          <w:rFonts w:ascii="Arial" w:hAnsi="Arial" w:cs="Arial"/>
          <w:b/>
          <w:sz w:val="20"/>
        </w:rPr>
        <w:t>9</w:t>
      </w:r>
      <w:r w:rsidR="00A06BE9" w:rsidRPr="00827C8E">
        <w:rPr>
          <w:rFonts w:ascii="Arial" w:hAnsi="Arial" w:cs="Arial"/>
          <w:b/>
          <w:sz w:val="20"/>
        </w:rPr>
        <w:t>.8 Emisión de obligaciones negociables</w:t>
      </w:r>
    </w:p>
    <w:p w14:paraId="5292C937" w14:textId="77777777" w:rsidR="00A06BE9" w:rsidRPr="00701F32" w:rsidRDefault="00A06BE9" w:rsidP="00A06BE9">
      <w:pPr>
        <w:tabs>
          <w:tab w:val="left" w:pos="142"/>
        </w:tabs>
        <w:jc w:val="both"/>
        <w:rPr>
          <w:rFonts w:ascii="Arial" w:hAnsi="Arial" w:cs="Arial"/>
          <w:b/>
          <w:sz w:val="20"/>
        </w:rPr>
      </w:pPr>
    </w:p>
    <w:p w14:paraId="24C3C23A" w14:textId="19960E77" w:rsidR="00FE71CD" w:rsidRDefault="00A06BE9" w:rsidP="00A06BE9">
      <w:pPr>
        <w:tabs>
          <w:tab w:val="left" w:pos="142"/>
          <w:tab w:val="left" w:pos="9923"/>
        </w:tabs>
        <w:jc w:val="both"/>
        <w:rPr>
          <w:rFonts w:ascii="Arial" w:hAnsi="Arial" w:cs="Arial"/>
          <w:sz w:val="20"/>
        </w:rPr>
      </w:pPr>
      <w:r w:rsidRPr="00701F32">
        <w:rPr>
          <w:rFonts w:ascii="Arial" w:hAnsi="Arial" w:cs="Arial"/>
          <w:b/>
          <w:sz w:val="20"/>
        </w:rPr>
        <w:t>Obligaciones Negociables no subordinadas</w:t>
      </w:r>
    </w:p>
    <w:p w14:paraId="56E460E8" w14:textId="77777777" w:rsidR="00FE71CD" w:rsidRPr="00701F32" w:rsidRDefault="00FE71CD" w:rsidP="00A06BE9">
      <w:pPr>
        <w:tabs>
          <w:tab w:val="left" w:pos="142"/>
          <w:tab w:val="left" w:pos="9923"/>
        </w:tabs>
        <w:jc w:val="both"/>
        <w:rPr>
          <w:rFonts w:ascii="Arial" w:hAnsi="Arial" w:cs="Arial"/>
          <w:sz w:val="20"/>
        </w:rPr>
      </w:pPr>
    </w:p>
    <w:p w14:paraId="11F5A485" w14:textId="7C0D724D" w:rsidR="00CC58AD" w:rsidRPr="00701F32" w:rsidRDefault="00CC58AD" w:rsidP="00A06BE9">
      <w:pPr>
        <w:spacing w:line="220" w:lineRule="exact"/>
        <w:jc w:val="both"/>
        <w:rPr>
          <w:rFonts w:ascii="Arial" w:hAnsi="Arial" w:cs="Arial"/>
          <w:b/>
          <w:sz w:val="20"/>
        </w:rPr>
      </w:pPr>
      <w:r w:rsidRPr="00701F32">
        <w:rPr>
          <w:rFonts w:ascii="Arial" w:hAnsi="Arial" w:cs="Arial"/>
          <w:b/>
          <w:sz w:val="20"/>
        </w:rPr>
        <w:t xml:space="preserve">Banco Supervielle S.A.: </w:t>
      </w:r>
    </w:p>
    <w:p w14:paraId="17B54A53" w14:textId="77777777" w:rsidR="00CC58AD" w:rsidRPr="00701F32" w:rsidRDefault="00CC58AD" w:rsidP="00A06BE9">
      <w:pPr>
        <w:spacing w:line="220" w:lineRule="exact"/>
        <w:jc w:val="both"/>
        <w:rPr>
          <w:rFonts w:ascii="Arial" w:hAnsi="Arial" w:cs="Arial"/>
          <w:sz w:val="20"/>
        </w:rPr>
      </w:pPr>
    </w:p>
    <w:p w14:paraId="4D5481A4" w14:textId="77777777" w:rsidR="00FC3DB3" w:rsidRDefault="00FC3DB3" w:rsidP="00FC3DB3">
      <w:pPr>
        <w:spacing w:line="220" w:lineRule="exact"/>
        <w:jc w:val="both"/>
        <w:rPr>
          <w:rFonts w:ascii="Arial" w:hAnsi="Arial" w:cs="Arial"/>
          <w:sz w:val="20"/>
        </w:rPr>
      </w:pPr>
      <w:r>
        <w:rPr>
          <w:rFonts w:ascii="Arial" w:hAnsi="Arial" w:cs="Arial"/>
          <w:sz w:val="20"/>
        </w:rPr>
        <w:t>Con fecha 25 de marzo de 2013, la Asamblea General Ordinaria de Accionistas, resolvió aprobar la creación de un Programa Global de emisión de Obligaciones Negociables (el “Programa”) por hasta un monto máximo en circulación de $750.000. El Programa fue autorizado por la Comisión Nacional de Valores (la “CNV”) a través de la Resolución N° 17.066 de fecha 02 de mayo de 2013. Con fecha 15 de abril de 2016, la Asamblea General Ordinaria y Extraordinaria de Accionistas, aprobó la ampliación del monto total del Programa a un valor nominal de hasta $ 2.000.000. Dicha ampliación fue aprobada por el directorio de la CNV, mediante Resolución N°18.224 de fecha 22 de septiembre de 2016. A partir de la fecha 2 de mayo de 2018 el programa ya no se encuentra vigente.</w:t>
      </w:r>
    </w:p>
    <w:p w14:paraId="2E1B122A" w14:textId="77777777" w:rsidR="008D7556" w:rsidRPr="00701F32" w:rsidRDefault="008D7556" w:rsidP="00393CEB">
      <w:pPr>
        <w:jc w:val="both"/>
        <w:rPr>
          <w:rFonts w:ascii="Arial" w:hAnsi="Arial" w:cs="Arial"/>
          <w:sz w:val="20"/>
        </w:rPr>
      </w:pPr>
    </w:p>
    <w:p w14:paraId="1A1D4D8D" w14:textId="40558F91" w:rsidR="00FD7AF2" w:rsidRPr="00701F32" w:rsidRDefault="00FD7AF2" w:rsidP="00FD7AF2">
      <w:pPr>
        <w:tabs>
          <w:tab w:val="left" w:pos="142"/>
          <w:tab w:val="left" w:pos="9923"/>
        </w:tabs>
        <w:jc w:val="both"/>
        <w:rPr>
          <w:rFonts w:ascii="Arial" w:hAnsi="Arial" w:cs="Arial"/>
          <w:b/>
          <w:sz w:val="20"/>
        </w:rPr>
      </w:pPr>
      <w:r w:rsidRPr="00701F32">
        <w:rPr>
          <w:rFonts w:ascii="Arial" w:hAnsi="Arial" w:cs="Arial"/>
          <w:b/>
          <w:sz w:val="20"/>
        </w:rPr>
        <w:t>Programa Global de Emisión de Títulos de Mediano Plazo por hasta V/N US$ 800.000</w:t>
      </w:r>
      <w:r w:rsidR="00CE53C0">
        <w:rPr>
          <w:rFonts w:ascii="Arial" w:hAnsi="Arial" w:cs="Arial"/>
          <w:b/>
          <w:sz w:val="20"/>
        </w:rPr>
        <w:t>.</w:t>
      </w:r>
    </w:p>
    <w:p w14:paraId="7134DC62" w14:textId="77777777" w:rsidR="00FD7AF2" w:rsidRPr="00701F32" w:rsidRDefault="00FD7AF2" w:rsidP="00A06BE9">
      <w:pPr>
        <w:tabs>
          <w:tab w:val="left" w:pos="142"/>
          <w:tab w:val="left" w:pos="9923"/>
        </w:tabs>
        <w:jc w:val="both"/>
        <w:rPr>
          <w:rFonts w:ascii="Arial" w:hAnsi="Arial" w:cs="Arial"/>
          <w:sz w:val="20"/>
        </w:rPr>
      </w:pPr>
    </w:p>
    <w:p w14:paraId="2F59676A" w14:textId="77777777" w:rsidR="003A2080" w:rsidRPr="00A059FB" w:rsidRDefault="003A2080" w:rsidP="003A2080">
      <w:pPr>
        <w:jc w:val="both"/>
        <w:rPr>
          <w:rFonts w:ascii="Arial" w:hAnsi="Arial" w:cs="Arial"/>
          <w:sz w:val="20"/>
        </w:rPr>
      </w:pPr>
      <w:r w:rsidRPr="00A059FB">
        <w:rPr>
          <w:rFonts w:ascii="Arial" w:hAnsi="Arial" w:cs="Arial"/>
          <w:sz w:val="20"/>
        </w:rPr>
        <w:t xml:space="preserve">Con fecha 22 de septiembre de 2016, la Asamblea General Extraordinaria resolvió aprobar la creación de un Programa Global de Emisión de Obligaciones Negociables por hasta un monto máximo en circulación en cualquier momento durante la vigencia del programa de U$S 800.000. El programa fue autorizado por la Comisión Nacional de Valores a través de la Resolución Nº 18.376 de fecha 24 de noviembre de 2016. Con fecha 06 marzo de 2018 se aprobó por acta de </w:t>
      </w:r>
      <w:r w:rsidRPr="00A059FB">
        <w:rPr>
          <w:rFonts w:ascii="Arial" w:hAnsi="Arial" w:cs="Arial"/>
          <w:sz w:val="20"/>
        </w:rPr>
        <w:lastRenderedPageBreak/>
        <w:t>asamblea la ampliación del Programa Global de Obligaciones Negociables por U$S 2.300.000. Con fecha 16 de abril de 2018 la CNV aprobó el aumento del Programa mediante la resolución Nro 19.470</w:t>
      </w:r>
      <w:r w:rsidRPr="00125A32">
        <w:rPr>
          <w:rFonts w:ascii="Arial" w:hAnsi="Arial" w:cs="Arial"/>
          <w:sz w:val="20"/>
        </w:rPr>
        <w:t>.</w:t>
      </w:r>
    </w:p>
    <w:p w14:paraId="3674E711" w14:textId="77777777" w:rsidR="007228CD" w:rsidRPr="00701F32" w:rsidRDefault="007228CD" w:rsidP="00FD7AF2">
      <w:pPr>
        <w:tabs>
          <w:tab w:val="left" w:pos="142"/>
          <w:tab w:val="left" w:pos="9923"/>
        </w:tabs>
        <w:jc w:val="both"/>
        <w:rPr>
          <w:rFonts w:ascii="Arial" w:hAnsi="Arial" w:cs="Arial"/>
          <w:sz w:val="20"/>
        </w:rPr>
      </w:pPr>
    </w:p>
    <w:p w14:paraId="7B3DCE78" w14:textId="77777777" w:rsidR="00FC3DB3" w:rsidRDefault="00FC3DB3" w:rsidP="00FC3DB3">
      <w:pPr>
        <w:spacing w:line="220" w:lineRule="exact"/>
        <w:jc w:val="both"/>
        <w:rPr>
          <w:rFonts w:ascii="Arial" w:hAnsi="Arial" w:cs="Arial"/>
          <w:b/>
          <w:bCs/>
          <w:sz w:val="20"/>
        </w:rPr>
      </w:pPr>
      <w:bookmarkStart w:id="31" w:name="_Hlk39741014"/>
      <w:r>
        <w:rPr>
          <w:rFonts w:ascii="Arial" w:hAnsi="Arial" w:cs="Arial"/>
          <w:b/>
          <w:bCs/>
          <w:sz w:val="20"/>
        </w:rPr>
        <w:t>Inscripción régimen emisor frecuente CNV</w:t>
      </w:r>
    </w:p>
    <w:p w14:paraId="0D26C79C" w14:textId="77777777" w:rsidR="00FC3DB3" w:rsidRDefault="00FC3DB3" w:rsidP="00FC3DB3">
      <w:pPr>
        <w:jc w:val="both"/>
        <w:rPr>
          <w:rFonts w:ascii="Century Gothic" w:hAnsi="Century Gothic" w:cs="Calibri"/>
          <w:sz w:val="20"/>
        </w:rPr>
      </w:pPr>
    </w:p>
    <w:p w14:paraId="400180C9" w14:textId="1543B18F" w:rsidR="00FC3DB3" w:rsidRDefault="00FC3DB3" w:rsidP="00FC3DB3">
      <w:pPr>
        <w:tabs>
          <w:tab w:val="left" w:pos="142"/>
          <w:tab w:val="left" w:pos="9923"/>
        </w:tabs>
        <w:jc w:val="both"/>
        <w:rPr>
          <w:rFonts w:ascii="Arial" w:hAnsi="Arial" w:cs="Arial"/>
          <w:sz w:val="20"/>
        </w:rPr>
      </w:pPr>
      <w:r>
        <w:rPr>
          <w:rFonts w:ascii="Arial" w:hAnsi="Arial" w:cs="Arial"/>
          <w:sz w:val="20"/>
        </w:rPr>
        <w:t>Con fecha 6 de agosto de 2018 el Directorio resolvió solicitar a la Comisión Nacional de Valores (la “CNV”) el registro del Banco como emisor frecuente de obligaciones negociables. Dicha solicitud fue autorizada por la CNV a través de la Resolución N° 19.958 de fecha 27 de diciembre de 2018. El Banco se encuentra registrado ante la CNV como emisor frecuente de Obligaciones Negociables bajo el N° 03. En la reunión de directorio de la sociedad 7 de marzo de 2019, se resolvió aprobar la ratificación del Banco en el Régimen de Emisor Frecuente y en la reunión de Directorio de fecha 02 de diciembre de 2019 se resolvió destinar el monto máximo de U$S 300.000 correspondientes al Programa Global de Emisión de Obligaciones Negociables por hasta U$S 2.300.000, encontrándose el banco en proceso de reducción del monto máximo de dicho Programa. La CNV aprobó dicha ratificación a través de la Resolución DI-2020-11-APN-GE #CNV de fecha 11 de febrero de 2020.</w:t>
      </w:r>
      <w:bookmarkEnd w:id="31"/>
    </w:p>
    <w:p w14:paraId="62D3AB0A" w14:textId="77777777" w:rsidR="00475EFD" w:rsidRPr="00FC3DB3" w:rsidRDefault="00475EFD">
      <w:pPr>
        <w:pStyle w:val="PrimerNivel"/>
        <w:numPr>
          <w:ilvl w:val="0"/>
          <w:numId w:val="0"/>
        </w:numPr>
        <w:rPr>
          <w:rFonts w:ascii="Arial" w:hAnsi="Arial" w:cs="Arial"/>
          <w:sz w:val="20"/>
          <w:lang w:val="es-AR"/>
        </w:rPr>
      </w:pPr>
    </w:p>
    <w:p w14:paraId="74A830A9" w14:textId="7D2ED4A7" w:rsidR="00A06BE9" w:rsidRDefault="00A06BE9">
      <w:pPr>
        <w:pStyle w:val="PrimerNivel"/>
        <w:numPr>
          <w:ilvl w:val="0"/>
          <w:numId w:val="0"/>
        </w:numPr>
        <w:rPr>
          <w:rFonts w:ascii="Arial" w:hAnsi="Arial" w:cs="Arial"/>
          <w:sz w:val="20"/>
        </w:rPr>
      </w:pPr>
      <w:r w:rsidRPr="00701F32">
        <w:rPr>
          <w:rFonts w:ascii="Arial" w:hAnsi="Arial" w:cs="Arial"/>
          <w:sz w:val="20"/>
        </w:rPr>
        <w:t>A continuación se expone un detalle</w:t>
      </w:r>
      <w:r w:rsidR="005D476E">
        <w:rPr>
          <w:rFonts w:ascii="Arial" w:hAnsi="Arial" w:cs="Arial"/>
          <w:sz w:val="20"/>
        </w:rPr>
        <w:t xml:space="preserve"> de las emisiones vigentes al 3</w:t>
      </w:r>
      <w:r w:rsidR="00FC3DB3">
        <w:rPr>
          <w:rFonts w:ascii="Arial" w:hAnsi="Arial" w:cs="Arial"/>
          <w:sz w:val="20"/>
        </w:rPr>
        <w:t>1</w:t>
      </w:r>
      <w:r w:rsidRPr="00701F32">
        <w:rPr>
          <w:rFonts w:ascii="Arial" w:hAnsi="Arial" w:cs="Arial"/>
          <w:sz w:val="20"/>
        </w:rPr>
        <w:t xml:space="preserve"> de </w:t>
      </w:r>
      <w:r w:rsidR="00FC3DB3">
        <w:rPr>
          <w:rFonts w:ascii="Arial" w:hAnsi="Arial" w:cs="Arial"/>
          <w:sz w:val="20"/>
        </w:rPr>
        <w:t>marzo</w:t>
      </w:r>
      <w:r w:rsidR="00C91FD2">
        <w:rPr>
          <w:rFonts w:ascii="Arial" w:hAnsi="Arial" w:cs="Arial"/>
          <w:sz w:val="20"/>
        </w:rPr>
        <w:t xml:space="preserve"> </w:t>
      </w:r>
      <w:r w:rsidR="00475EFD">
        <w:rPr>
          <w:rFonts w:ascii="Arial" w:hAnsi="Arial" w:cs="Arial"/>
          <w:sz w:val="20"/>
        </w:rPr>
        <w:t>de 20</w:t>
      </w:r>
      <w:r w:rsidR="00FC3DB3">
        <w:rPr>
          <w:rFonts w:ascii="Arial" w:hAnsi="Arial" w:cs="Arial"/>
          <w:sz w:val="20"/>
        </w:rPr>
        <w:t>20</w:t>
      </w:r>
      <w:r w:rsidR="00475EFD">
        <w:rPr>
          <w:rFonts w:ascii="Arial" w:hAnsi="Arial" w:cs="Arial"/>
          <w:sz w:val="20"/>
        </w:rPr>
        <w:t xml:space="preserve"> y </w:t>
      </w:r>
      <w:r w:rsidR="00C91FD2">
        <w:rPr>
          <w:rFonts w:ascii="Arial" w:hAnsi="Arial" w:cs="Arial"/>
          <w:sz w:val="20"/>
        </w:rPr>
        <w:t>31 de diciembre de 201</w:t>
      </w:r>
      <w:r w:rsidR="00FC3DB3">
        <w:rPr>
          <w:rFonts w:ascii="Arial" w:hAnsi="Arial" w:cs="Arial"/>
          <w:sz w:val="20"/>
        </w:rPr>
        <w:t>9</w:t>
      </w:r>
      <w:r w:rsidR="00C91FD2">
        <w:rPr>
          <w:rFonts w:ascii="Arial" w:hAnsi="Arial" w:cs="Arial"/>
          <w:sz w:val="20"/>
        </w:rPr>
        <w:t>:</w:t>
      </w:r>
    </w:p>
    <w:p w14:paraId="067AABAD" w14:textId="77777777" w:rsidR="002849A2" w:rsidRPr="00701F32" w:rsidRDefault="002849A2" w:rsidP="00A06BE9">
      <w:pPr>
        <w:pStyle w:val="PrimerNivel"/>
        <w:numPr>
          <w:ilvl w:val="0"/>
          <w:numId w:val="0"/>
        </w:numPr>
        <w:rPr>
          <w:rFonts w:ascii="Arial" w:hAnsi="Arial" w:cs="Arial"/>
          <w:sz w:val="20"/>
        </w:rPr>
      </w:pPr>
    </w:p>
    <w:tbl>
      <w:tblPr>
        <w:tblW w:w="5576" w:type="pct"/>
        <w:tblInd w:w="-10" w:type="dxa"/>
        <w:tblLayout w:type="fixed"/>
        <w:tblCellMar>
          <w:left w:w="70" w:type="dxa"/>
          <w:right w:w="70" w:type="dxa"/>
        </w:tblCellMar>
        <w:tblLook w:val="04A0" w:firstRow="1" w:lastRow="0" w:firstColumn="1" w:lastColumn="0" w:noHBand="0" w:noVBand="1"/>
      </w:tblPr>
      <w:tblGrid>
        <w:gridCol w:w="991"/>
        <w:gridCol w:w="750"/>
        <w:gridCol w:w="596"/>
        <w:gridCol w:w="877"/>
        <w:gridCol w:w="1197"/>
        <w:gridCol w:w="898"/>
        <w:gridCol w:w="1034"/>
        <w:gridCol w:w="1426"/>
        <w:gridCol w:w="841"/>
        <w:gridCol w:w="17"/>
        <w:gridCol w:w="841"/>
      </w:tblGrid>
      <w:tr w:rsidR="006D32C1" w:rsidRPr="00701F32" w14:paraId="0178E98F" w14:textId="77777777" w:rsidTr="001E09C8">
        <w:trPr>
          <w:trHeight w:val="316"/>
          <w:tblHeader/>
        </w:trPr>
        <w:tc>
          <w:tcPr>
            <w:tcW w:w="5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5FB761"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colocación</w:t>
            </w:r>
          </w:p>
        </w:tc>
        <w:tc>
          <w:tcPr>
            <w:tcW w:w="39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0B0B56"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Moneda</w:t>
            </w:r>
          </w:p>
        </w:tc>
        <w:tc>
          <w:tcPr>
            <w:tcW w:w="31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BEA8E6"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Nro. de Clase</w:t>
            </w:r>
          </w:p>
        </w:tc>
        <w:tc>
          <w:tcPr>
            <w:tcW w:w="46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626469"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Monto</w:t>
            </w:r>
          </w:p>
        </w:tc>
        <w:tc>
          <w:tcPr>
            <w:tcW w:w="63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6B2D65B"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Amortización</w:t>
            </w:r>
          </w:p>
        </w:tc>
        <w:tc>
          <w:tcPr>
            <w:tcW w:w="4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D61C1A"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Plazo</w:t>
            </w:r>
          </w:p>
        </w:tc>
        <w:tc>
          <w:tcPr>
            <w:tcW w:w="54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00F060"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vencimiento</w:t>
            </w:r>
          </w:p>
        </w:tc>
        <w:tc>
          <w:tcPr>
            <w:tcW w:w="753"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9129866"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Tasa</w:t>
            </w:r>
          </w:p>
        </w:tc>
        <w:tc>
          <w:tcPr>
            <w:tcW w:w="89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E70FF5"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Valor Libros</w:t>
            </w:r>
          </w:p>
        </w:tc>
      </w:tr>
      <w:tr w:rsidR="00FC3DB3" w:rsidRPr="00701F32" w14:paraId="0BC76C89" w14:textId="77777777" w:rsidTr="00FC3DB3">
        <w:trPr>
          <w:trHeight w:val="316"/>
          <w:tblHeader/>
        </w:trPr>
        <w:tc>
          <w:tcPr>
            <w:tcW w:w="524" w:type="pct"/>
            <w:vMerge/>
            <w:tcBorders>
              <w:top w:val="single" w:sz="8" w:space="0" w:color="auto"/>
              <w:left w:val="single" w:sz="8" w:space="0" w:color="auto"/>
              <w:bottom w:val="single" w:sz="8" w:space="0" w:color="000000"/>
              <w:right w:val="single" w:sz="8" w:space="0" w:color="auto"/>
            </w:tcBorders>
            <w:vAlign w:val="center"/>
            <w:hideMark/>
          </w:tcPr>
          <w:p w14:paraId="16A4CD2C" w14:textId="77777777" w:rsidR="00FC3DB3" w:rsidRPr="00701F32" w:rsidRDefault="00FC3DB3" w:rsidP="00FC3DB3">
            <w:pPr>
              <w:jc w:val="center"/>
              <w:rPr>
                <w:rFonts w:ascii="Arial" w:hAnsi="Arial" w:cs="Arial"/>
                <w:b/>
                <w:color w:val="000000"/>
                <w:sz w:val="14"/>
                <w:szCs w:val="14"/>
                <w:lang w:eastAsia="es-AR"/>
              </w:rPr>
            </w:pPr>
          </w:p>
        </w:tc>
        <w:tc>
          <w:tcPr>
            <w:tcW w:w="396" w:type="pct"/>
            <w:vMerge/>
            <w:tcBorders>
              <w:top w:val="single" w:sz="8" w:space="0" w:color="auto"/>
              <w:left w:val="single" w:sz="8" w:space="0" w:color="auto"/>
              <w:bottom w:val="single" w:sz="8" w:space="0" w:color="000000"/>
              <w:right w:val="single" w:sz="8" w:space="0" w:color="auto"/>
            </w:tcBorders>
            <w:vAlign w:val="center"/>
            <w:hideMark/>
          </w:tcPr>
          <w:p w14:paraId="4B5FC9A2" w14:textId="77777777" w:rsidR="00FC3DB3" w:rsidRPr="00701F32" w:rsidRDefault="00FC3DB3" w:rsidP="00FC3DB3">
            <w:pPr>
              <w:jc w:val="center"/>
              <w:rPr>
                <w:rFonts w:ascii="Arial" w:hAnsi="Arial" w:cs="Arial"/>
                <w:b/>
                <w:color w:val="000000"/>
                <w:sz w:val="14"/>
                <w:szCs w:val="14"/>
                <w:lang w:eastAsia="es-AR"/>
              </w:rPr>
            </w:pPr>
          </w:p>
        </w:tc>
        <w:tc>
          <w:tcPr>
            <w:tcW w:w="315" w:type="pct"/>
            <w:vMerge/>
            <w:tcBorders>
              <w:top w:val="single" w:sz="8" w:space="0" w:color="auto"/>
              <w:left w:val="single" w:sz="8" w:space="0" w:color="auto"/>
              <w:bottom w:val="single" w:sz="8" w:space="0" w:color="000000"/>
              <w:right w:val="single" w:sz="8" w:space="0" w:color="auto"/>
            </w:tcBorders>
            <w:vAlign w:val="center"/>
            <w:hideMark/>
          </w:tcPr>
          <w:p w14:paraId="34C7171E" w14:textId="77777777" w:rsidR="00FC3DB3" w:rsidRPr="00701F32" w:rsidRDefault="00FC3DB3" w:rsidP="00FC3DB3">
            <w:pPr>
              <w:jc w:val="center"/>
              <w:rPr>
                <w:rFonts w:ascii="Arial" w:hAnsi="Arial" w:cs="Arial"/>
                <w:b/>
                <w:color w:val="000000"/>
                <w:sz w:val="14"/>
                <w:szCs w:val="14"/>
                <w:lang w:eastAsia="es-AR"/>
              </w:rPr>
            </w:pPr>
          </w:p>
        </w:tc>
        <w:tc>
          <w:tcPr>
            <w:tcW w:w="463" w:type="pct"/>
            <w:vMerge/>
            <w:tcBorders>
              <w:top w:val="single" w:sz="8" w:space="0" w:color="auto"/>
              <w:left w:val="single" w:sz="8" w:space="0" w:color="auto"/>
              <w:bottom w:val="single" w:sz="8" w:space="0" w:color="000000"/>
              <w:right w:val="single" w:sz="8" w:space="0" w:color="auto"/>
            </w:tcBorders>
            <w:vAlign w:val="center"/>
            <w:hideMark/>
          </w:tcPr>
          <w:p w14:paraId="54CEB22A" w14:textId="77777777" w:rsidR="00FC3DB3" w:rsidRPr="00701F32" w:rsidRDefault="00FC3DB3" w:rsidP="00FC3DB3">
            <w:pPr>
              <w:jc w:val="center"/>
              <w:rPr>
                <w:rFonts w:ascii="Arial" w:hAnsi="Arial" w:cs="Arial"/>
                <w:b/>
                <w:color w:val="000000"/>
                <w:sz w:val="14"/>
                <w:szCs w:val="14"/>
                <w:lang w:eastAsia="es-AR"/>
              </w:rPr>
            </w:pPr>
          </w:p>
        </w:tc>
        <w:tc>
          <w:tcPr>
            <w:tcW w:w="632" w:type="pct"/>
            <w:vMerge/>
            <w:tcBorders>
              <w:top w:val="single" w:sz="8" w:space="0" w:color="auto"/>
              <w:left w:val="single" w:sz="8" w:space="0" w:color="auto"/>
              <w:bottom w:val="single" w:sz="8" w:space="0" w:color="000000"/>
              <w:right w:val="single" w:sz="8" w:space="0" w:color="auto"/>
            </w:tcBorders>
            <w:vAlign w:val="center"/>
            <w:hideMark/>
          </w:tcPr>
          <w:p w14:paraId="1895CE0D" w14:textId="77777777" w:rsidR="00FC3DB3" w:rsidRPr="00701F32" w:rsidRDefault="00FC3DB3" w:rsidP="00FC3DB3">
            <w:pPr>
              <w:jc w:val="center"/>
              <w:rPr>
                <w:rFonts w:ascii="Arial" w:hAnsi="Arial" w:cs="Arial"/>
                <w:b/>
                <w:color w:val="000000"/>
                <w:sz w:val="14"/>
                <w:szCs w:val="14"/>
                <w:lang w:eastAsia="es-AR"/>
              </w:rPr>
            </w:pPr>
          </w:p>
        </w:tc>
        <w:tc>
          <w:tcPr>
            <w:tcW w:w="474" w:type="pct"/>
            <w:vMerge/>
            <w:tcBorders>
              <w:top w:val="single" w:sz="8" w:space="0" w:color="auto"/>
              <w:left w:val="single" w:sz="8" w:space="0" w:color="auto"/>
              <w:bottom w:val="single" w:sz="8" w:space="0" w:color="000000"/>
              <w:right w:val="single" w:sz="8" w:space="0" w:color="auto"/>
            </w:tcBorders>
            <w:vAlign w:val="center"/>
            <w:hideMark/>
          </w:tcPr>
          <w:p w14:paraId="460E8590" w14:textId="77777777" w:rsidR="00FC3DB3" w:rsidRPr="00701F32" w:rsidRDefault="00FC3DB3" w:rsidP="00FC3DB3">
            <w:pPr>
              <w:jc w:val="center"/>
              <w:rPr>
                <w:rFonts w:ascii="Arial" w:hAnsi="Arial" w:cs="Arial"/>
                <w:b/>
                <w:color w:val="000000"/>
                <w:sz w:val="14"/>
                <w:szCs w:val="14"/>
                <w:lang w:eastAsia="es-AR"/>
              </w:rPr>
            </w:pPr>
          </w:p>
        </w:tc>
        <w:tc>
          <w:tcPr>
            <w:tcW w:w="546" w:type="pct"/>
            <w:vMerge/>
            <w:tcBorders>
              <w:top w:val="single" w:sz="8" w:space="0" w:color="auto"/>
              <w:left w:val="single" w:sz="8" w:space="0" w:color="auto"/>
              <w:bottom w:val="single" w:sz="8" w:space="0" w:color="000000"/>
              <w:right w:val="single" w:sz="8" w:space="0" w:color="auto"/>
            </w:tcBorders>
            <w:vAlign w:val="center"/>
            <w:hideMark/>
          </w:tcPr>
          <w:p w14:paraId="3626D209" w14:textId="77777777" w:rsidR="00FC3DB3" w:rsidRPr="00701F32" w:rsidRDefault="00FC3DB3" w:rsidP="00FC3DB3">
            <w:pPr>
              <w:jc w:val="center"/>
              <w:rPr>
                <w:rFonts w:ascii="Arial" w:hAnsi="Arial" w:cs="Arial"/>
                <w:b/>
                <w:color w:val="000000"/>
                <w:sz w:val="14"/>
                <w:szCs w:val="14"/>
                <w:lang w:eastAsia="es-AR"/>
              </w:rPr>
            </w:pPr>
          </w:p>
        </w:tc>
        <w:tc>
          <w:tcPr>
            <w:tcW w:w="753" w:type="pct"/>
            <w:vMerge/>
            <w:tcBorders>
              <w:top w:val="single" w:sz="8" w:space="0" w:color="auto"/>
              <w:left w:val="single" w:sz="8" w:space="0" w:color="auto"/>
              <w:bottom w:val="single" w:sz="8" w:space="0" w:color="000000"/>
              <w:right w:val="single" w:sz="8" w:space="0" w:color="auto"/>
            </w:tcBorders>
            <w:vAlign w:val="center"/>
            <w:hideMark/>
          </w:tcPr>
          <w:p w14:paraId="0A546C41" w14:textId="77777777" w:rsidR="00FC3DB3" w:rsidRPr="00701F32" w:rsidRDefault="00FC3DB3" w:rsidP="00FC3DB3">
            <w:pPr>
              <w:jc w:val="center"/>
              <w:rPr>
                <w:rFonts w:ascii="Arial" w:hAnsi="Arial" w:cs="Arial"/>
                <w:b/>
                <w:color w:val="000000"/>
                <w:sz w:val="14"/>
                <w:szCs w:val="14"/>
                <w:lang w:eastAsia="es-AR"/>
              </w:rPr>
            </w:pPr>
          </w:p>
        </w:tc>
        <w:tc>
          <w:tcPr>
            <w:tcW w:w="444" w:type="pct"/>
            <w:tcBorders>
              <w:top w:val="nil"/>
              <w:left w:val="nil"/>
              <w:bottom w:val="single" w:sz="8" w:space="0" w:color="auto"/>
              <w:right w:val="single" w:sz="8" w:space="0" w:color="auto"/>
            </w:tcBorders>
            <w:shd w:val="clear" w:color="auto" w:fill="auto"/>
            <w:vAlign w:val="center"/>
          </w:tcPr>
          <w:p w14:paraId="63C9A9F1" w14:textId="36556C8B" w:rsidR="00FC3DB3" w:rsidRPr="00701F32" w:rsidRDefault="00FC3DB3" w:rsidP="00FC3DB3">
            <w:pPr>
              <w:jc w:val="center"/>
              <w:rPr>
                <w:rFonts w:ascii="Arial" w:hAnsi="Arial" w:cs="Arial"/>
                <w:b/>
                <w:color w:val="000000"/>
                <w:sz w:val="14"/>
                <w:szCs w:val="14"/>
                <w:lang w:eastAsia="es-AR"/>
              </w:rPr>
            </w:pPr>
            <w:r>
              <w:rPr>
                <w:rFonts w:ascii="Arial" w:hAnsi="Arial" w:cs="Arial"/>
                <w:b/>
                <w:color w:val="000000"/>
                <w:sz w:val="14"/>
                <w:szCs w:val="14"/>
                <w:lang w:eastAsia="es-AR"/>
              </w:rPr>
              <w:t>31/03/20</w:t>
            </w:r>
          </w:p>
        </w:tc>
        <w:tc>
          <w:tcPr>
            <w:tcW w:w="453" w:type="pct"/>
            <w:gridSpan w:val="2"/>
            <w:tcBorders>
              <w:top w:val="nil"/>
              <w:left w:val="nil"/>
              <w:bottom w:val="single" w:sz="8" w:space="0" w:color="auto"/>
              <w:right w:val="single" w:sz="8" w:space="0" w:color="auto"/>
            </w:tcBorders>
            <w:shd w:val="clear" w:color="auto" w:fill="auto"/>
            <w:vAlign w:val="center"/>
          </w:tcPr>
          <w:p w14:paraId="4A896275" w14:textId="0631D236" w:rsidR="00FC3DB3" w:rsidRPr="00701F32" w:rsidRDefault="00FC3DB3" w:rsidP="00FC3DB3">
            <w:pPr>
              <w:jc w:val="center"/>
              <w:rPr>
                <w:rFonts w:ascii="Arial" w:hAnsi="Arial" w:cs="Arial"/>
                <w:b/>
                <w:color w:val="000000"/>
                <w:sz w:val="14"/>
                <w:szCs w:val="14"/>
                <w:lang w:eastAsia="es-AR"/>
              </w:rPr>
            </w:pPr>
            <w:r>
              <w:rPr>
                <w:rFonts w:ascii="Arial" w:hAnsi="Arial" w:cs="Arial"/>
                <w:b/>
                <w:color w:val="000000"/>
                <w:sz w:val="14"/>
                <w:szCs w:val="14"/>
                <w:lang w:eastAsia="es-AR"/>
              </w:rPr>
              <w:t>31/12/19</w:t>
            </w:r>
          </w:p>
        </w:tc>
      </w:tr>
      <w:tr w:rsidR="00FC3DB3" w:rsidRPr="00701F32" w14:paraId="15D18E11" w14:textId="77777777" w:rsidTr="001E09C8">
        <w:trPr>
          <w:trHeight w:val="527"/>
        </w:trPr>
        <w:tc>
          <w:tcPr>
            <w:tcW w:w="524" w:type="pct"/>
            <w:tcBorders>
              <w:top w:val="nil"/>
              <w:left w:val="single" w:sz="8" w:space="0" w:color="auto"/>
              <w:bottom w:val="single" w:sz="8" w:space="0" w:color="auto"/>
              <w:right w:val="single" w:sz="8" w:space="0" w:color="auto"/>
            </w:tcBorders>
            <w:shd w:val="clear" w:color="auto" w:fill="auto"/>
            <w:noWrap/>
            <w:vAlign w:val="center"/>
          </w:tcPr>
          <w:p w14:paraId="7A27ECE7"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09/02/17</w:t>
            </w:r>
          </w:p>
        </w:tc>
        <w:tc>
          <w:tcPr>
            <w:tcW w:w="396" w:type="pct"/>
            <w:tcBorders>
              <w:top w:val="nil"/>
              <w:left w:val="nil"/>
              <w:bottom w:val="single" w:sz="8" w:space="0" w:color="auto"/>
              <w:right w:val="single" w:sz="8" w:space="0" w:color="auto"/>
            </w:tcBorders>
            <w:shd w:val="clear" w:color="auto" w:fill="auto"/>
            <w:noWrap/>
            <w:vAlign w:val="center"/>
          </w:tcPr>
          <w:p w14:paraId="68B84CA2"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tcBorders>
              <w:top w:val="nil"/>
              <w:left w:val="nil"/>
              <w:bottom w:val="single" w:sz="8" w:space="0" w:color="auto"/>
              <w:right w:val="single" w:sz="8" w:space="0" w:color="auto"/>
            </w:tcBorders>
            <w:shd w:val="clear" w:color="auto" w:fill="auto"/>
            <w:noWrap/>
            <w:vAlign w:val="center"/>
          </w:tcPr>
          <w:p w14:paraId="0160C04B"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A</w:t>
            </w:r>
          </w:p>
        </w:tc>
        <w:tc>
          <w:tcPr>
            <w:tcW w:w="463" w:type="pct"/>
            <w:tcBorders>
              <w:top w:val="nil"/>
              <w:left w:val="nil"/>
              <w:bottom w:val="single" w:sz="8" w:space="0" w:color="auto"/>
              <w:right w:val="single" w:sz="8" w:space="0" w:color="auto"/>
            </w:tcBorders>
            <w:shd w:val="clear" w:color="auto" w:fill="auto"/>
            <w:noWrap/>
            <w:vAlign w:val="center"/>
          </w:tcPr>
          <w:p w14:paraId="77BD9DC3" w14:textId="469B1E5F" w:rsidR="00FC3DB3" w:rsidRPr="00701F32" w:rsidRDefault="00FC3DB3" w:rsidP="00FC3DB3">
            <w:pPr>
              <w:jc w:val="right"/>
              <w:rPr>
                <w:rFonts w:ascii="Arial" w:hAnsi="Arial" w:cs="Arial"/>
                <w:color w:val="000000"/>
                <w:sz w:val="14"/>
                <w:szCs w:val="14"/>
                <w:lang w:eastAsia="es-AR"/>
              </w:rPr>
            </w:pPr>
            <w:r w:rsidRPr="00701F32">
              <w:rPr>
                <w:rFonts w:ascii="Arial" w:hAnsi="Arial" w:cs="Arial"/>
                <w:color w:val="000000"/>
                <w:sz w:val="14"/>
                <w:szCs w:val="14"/>
                <w:lang w:eastAsia="es-AR"/>
              </w:rPr>
              <w:t>4.150.140</w:t>
            </w:r>
          </w:p>
        </w:tc>
        <w:tc>
          <w:tcPr>
            <w:tcW w:w="632" w:type="pct"/>
            <w:tcBorders>
              <w:top w:val="nil"/>
              <w:left w:val="nil"/>
              <w:bottom w:val="single" w:sz="8" w:space="0" w:color="auto"/>
              <w:right w:val="single" w:sz="8" w:space="0" w:color="auto"/>
            </w:tcBorders>
            <w:shd w:val="clear" w:color="auto" w:fill="auto"/>
            <w:vAlign w:val="center"/>
          </w:tcPr>
          <w:p w14:paraId="405A3B9A"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50% el 9-2-2020 y 50% al vencimiento el 9-8-2020</w:t>
            </w:r>
          </w:p>
        </w:tc>
        <w:tc>
          <w:tcPr>
            <w:tcW w:w="474" w:type="pct"/>
            <w:tcBorders>
              <w:top w:val="nil"/>
              <w:left w:val="nil"/>
              <w:bottom w:val="single" w:sz="8" w:space="0" w:color="auto"/>
              <w:right w:val="single" w:sz="8" w:space="0" w:color="auto"/>
            </w:tcBorders>
            <w:shd w:val="clear" w:color="auto" w:fill="auto"/>
            <w:noWrap/>
            <w:vAlign w:val="center"/>
          </w:tcPr>
          <w:p w14:paraId="60AD4867" w14:textId="2A6BD45E"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42 meses</w:t>
            </w:r>
          </w:p>
        </w:tc>
        <w:tc>
          <w:tcPr>
            <w:tcW w:w="546" w:type="pct"/>
            <w:tcBorders>
              <w:top w:val="nil"/>
              <w:left w:val="nil"/>
              <w:bottom w:val="single" w:sz="8" w:space="0" w:color="auto"/>
              <w:right w:val="single" w:sz="8" w:space="0" w:color="auto"/>
            </w:tcBorders>
            <w:shd w:val="clear" w:color="auto" w:fill="auto"/>
            <w:noWrap/>
            <w:vAlign w:val="center"/>
          </w:tcPr>
          <w:p w14:paraId="72BF7FDE"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09/08/2020</w:t>
            </w:r>
          </w:p>
        </w:tc>
        <w:tc>
          <w:tcPr>
            <w:tcW w:w="753" w:type="pct"/>
            <w:tcBorders>
              <w:top w:val="nil"/>
              <w:left w:val="nil"/>
              <w:bottom w:val="single" w:sz="8" w:space="0" w:color="auto"/>
              <w:right w:val="single" w:sz="8" w:space="0" w:color="auto"/>
            </w:tcBorders>
            <w:shd w:val="clear" w:color="auto" w:fill="auto"/>
            <w:vAlign w:val="center"/>
          </w:tcPr>
          <w:p w14:paraId="3799496E"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+ 4,50%, con un mínimo del 18% nominal anual</w:t>
            </w:r>
          </w:p>
        </w:tc>
        <w:tc>
          <w:tcPr>
            <w:tcW w:w="444" w:type="pct"/>
            <w:tcBorders>
              <w:top w:val="nil"/>
              <w:left w:val="nil"/>
              <w:bottom w:val="single" w:sz="8" w:space="0" w:color="auto"/>
              <w:right w:val="single" w:sz="8" w:space="0" w:color="auto"/>
            </w:tcBorders>
            <w:shd w:val="clear" w:color="auto" w:fill="auto"/>
            <w:noWrap/>
            <w:vAlign w:val="bottom"/>
          </w:tcPr>
          <w:p w14:paraId="0EA2DC74" w14:textId="32783B7C" w:rsidR="00FC3DB3" w:rsidRPr="00C91FD2" w:rsidRDefault="00FC3DB3" w:rsidP="00FC3DB3">
            <w:pPr>
              <w:jc w:val="right"/>
              <w:rPr>
                <w:rFonts w:ascii="Arial" w:hAnsi="Arial" w:cs="Arial"/>
                <w:color w:val="000000"/>
                <w:sz w:val="14"/>
                <w:szCs w:val="14"/>
                <w:lang w:eastAsia="es-AR"/>
              </w:rPr>
            </w:pPr>
            <w:r>
              <w:rPr>
                <w:rFonts w:ascii="Arial" w:hAnsi="Arial" w:cs="Arial"/>
                <w:color w:val="000000"/>
                <w:sz w:val="14"/>
                <w:szCs w:val="14"/>
                <w:lang w:eastAsia="es-AR"/>
              </w:rPr>
              <w:t>1.931.766</w:t>
            </w:r>
          </w:p>
        </w:tc>
        <w:tc>
          <w:tcPr>
            <w:tcW w:w="453" w:type="pct"/>
            <w:gridSpan w:val="2"/>
            <w:tcBorders>
              <w:top w:val="nil"/>
              <w:left w:val="nil"/>
              <w:bottom w:val="single" w:sz="8" w:space="0" w:color="auto"/>
              <w:right w:val="single" w:sz="8" w:space="0" w:color="auto"/>
            </w:tcBorders>
            <w:shd w:val="clear" w:color="auto" w:fill="auto"/>
            <w:noWrap/>
            <w:vAlign w:val="bottom"/>
          </w:tcPr>
          <w:p w14:paraId="18EFF94D" w14:textId="03082277" w:rsidR="00FC3DB3" w:rsidRPr="00C91FD2" w:rsidRDefault="00B86973" w:rsidP="00FC3DB3">
            <w:pPr>
              <w:jc w:val="right"/>
              <w:rPr>
                <w:rFonts w:ascii="Arial" w:hAnsi="Arial" w:cs="Arial"/>
                <w:color w:val="000000"/>
                <w:sz w:val="14"/>
                <w:szCs w:val="14"/>
                <w:lang w:eastAsia="es-AR"/>
              </w:rPr>
            </w:pPr>
            <w:r>
              <w:rPr>
                <w:rFonts w:ascii="Arial" w:hAnsi="Arial" w:cs="Arial"/>
                <w:color w:val="000000"/>
                <w:sz w:val="14"/>
                <w:szCs w:val="14"/>
                <w:lang w:eastAsia="es-AR"/>
              </w:rPr>
              <w:t>4.101.076</w:t>
            </w:r>
          </w:p>
        </w:tc>
      </w:tr>
      <w:tr w:rsidR="00FC3DB3" w:rsidRPr="00701F32" w14:paraId="143D10ED" w14:textId="77777777" w:rsidTr="001E09C8">
        <w:trPr>
          <w:trHeight w:val="1706"/>
        </w:trPr>
        <w:tc>
          <w:tcPr>
            <w:tcW w:w="524" w:type="pct"/>
            <w:tcBorders>
              <w:top w:val="nil"/>
              <w:left w:val="single" w:sz="8" w:space="0" w:color="auto"/>
              <w:bottom w:val="single" w:sz="8" w:space="0" w:color="auto"/>
              <w:right w:val="single" w:sz="8" w:space="0" w:color="auto"/>
            </w:tcBorders>
            <w:shd w:val="clear" w:color="auto" w:fill="auto"/>
            <w:noWrap/>
            <w:vAlign w:val="center"/>
            <w:hideMark/>
          </w:tcPr>
          <w:p w14:paraId="0EC9202F"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22/12/17</w:t>
            </w:r>
          </w:p>
        </w:tc>
        <w:tc>
          <w:tcPr>
            <w:tcW w:w="396" w:type="pct"/>
            <w:tcBorders>
              <w:top w:val="nil"/>
              <w:left w:val="nil"/>
              <w:bottom w:val="single" w:sz="8" w:space="0" w:color="auto"/>
              <w:right w:val="single" w:sz="8" w:space="0" w:color="auto"/>
            </w:tcBorders>
            <w:shd w:val="clear" w:color="auto" w:fill="auto"/>
            <w:noWrap/>
            <w:vAlign w:val="center"/>
            <w:hideMark/>
          </w:tcPr>
          <w:p w14:paraId="54E45F73"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tcBorders>
              <w:top w:val="nil"/>
              <w:left w:val="nil"/>
              <w:bottom w:val="single" w:sz="8" w:space="0" w:color="auto"/>
              <w:right w:val="single" w:sz="8" w:space="0" w:color="auto"/>
            </w:tcBorders>
            <w:shd w:val="clear" w:color="auto" w:fill="auto"/>
            <w:noWrap/>
            <w:vAlign w:val="center"/>
            <w:hideMark/>
          </w:tcPr>
          <w:p w14:paraId="582E9757"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C</w:t>
            </w:r>
          </w:p>
        </w:tc>
        <w:tc>
          <w:tcPr>
            <w:tcW w:w="463" w:type="pct"/>
            <w:tcBorders>
              <w:top w:val="nil"/>
              <w:left w:val="nil"/>
              <w:bottom w:val="single" w:sz="8" w:space="0" w:color="auto"/>
              <w:right w:val="single" w:sz="8" w:space="0" w:color="auto"/>
            </w:tcBorders>
            <w:shd w:val="clear" w:color="auto" w:fill="auto"/>
            <w:noWrap/>
            <w:vAlign w:val="center"/>
            <w:hideMark/>
          </w:tcPr>
          <w:p w14:paraId="0E70D946" w14:textId="77777777" w:rsidR="00FC3DB3" w:rsidRPr="00701F32" w:rsidRDefault="00FC3DB3" w:rsidP="00FC3DB3">
            <w:pPr>
              <w:jc w:val="right"/>
              <w:rPr>
                <w:rFonts w:ascii="Arial" w:hAnsi="Arial" w:cs="Arial"/>
                <w:color w:val="000000"/>
                <w:sz w:val="14"/>
                <w:szCs w:val="14"/>
                <w:lang w:eastAsia="es-AR"/>
              </w:rPr>
            </w:pPr>
            <w:r w:rsidRPr="00701F32">
              <w:rPr>
                <w:rFonts w:ascii="Arial" w:hAnsi="Arial" w:cs="Arial"/>
                <w:color w:val="000000"/>
                <w:sz w:val="14"/>
                <w:szCs w:val="14"/>
                <w:lang w:eastAsia="es-AR"/>
              </w:rPr>
              <w:t>659.750</w:t>
            </w:r>
          </w:p>
        </w:tc>
        <w:tc>
          <w:tcPr>
            <w:tcW w:w="632" w:type="pct"/>
            <w:tcBorders>
              <w:top w:val="nil"/>
              <w:left w:val="nil"/>
              <w:bottom w:val="single" w:sz="8" w:space="0" w:color="auto"/>
              <w:right w:val="single" w:sz="8" w:space="0" w:color="auto"/>
            </w:tcBorders>
            <w:shd w:val="clear" w:color="auto" w:fill="auto"/>
            <w:vAlign w:val="center"/>
            <w:hideMark/>
          </w:tcPr>
          <w:p w14:paraId="1A4BFECA"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707A533D" w14:textId="77777777" w:rsidR="00FC3DB3" w:rsidRPr="00701F32" w:rsidRDefault="00FC3DB3" w:rsidP="00FC3DB3">
            <w:pPr>
              <w:jc w:val="both"/>
              <w:rPr>
                <w:rFonts w:ascii="Arial" w:hAnsi="Arial" w:cs="Arial"/>
                <w:color w:val="000000"/>
                <w:sz w:val="14"/>
                <w:szCs w:val="14"/>
                <w:lang w:eastAsia="es-AR"/>
              </w:rPr>
            </w:pPr>
          </w:p>
          <w:p w14:paraId="1FD82C6B"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22-12-2020 33,33%,</w:t>
            </w:r>
          </w:p>
          <w:p w14:paraId="432CD605" w14:textId="77777777" w:rsidR="00FC3DB3" w:rsidRPr="00701F32" w:rsidRDefault="00FC3DB3" w:rsidP="00FC3DB3">
            <w:pPr>
              <w:jc w:val="both"/>
              <w:rPr>
                <w:rFonts w:ascii="Arial" w:hAnsi="Arial" w:cs="Arial"/>
                <w:color w:val="000000"/>
                <w:sz w:val="14"/>
                <w:szCs w:val="14"/>
                <w:lang w:eastAsia="es-AR"/>
              </w:rPr>
            </w:pPr>
          </w:p>
          <w:p w14:paraId="2A1B4CCB"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22-06-2021 33,33%,</w:t>
            </w:r>
          </w:p>
          <w:p w14:paraId="745DCC74" w14:textId="77777777" w:rsidR="00FC3DB3" w:rsidRPr="00701F32" w:rsidRDefault="00FC3DB3" w:rsidP="00FC3DB3">
            <w:pPr>
              <w:jc w:val="both"/>
              <w:rPr>
                <w:rFonts w:ascii="Arial" w:hAnsi="Arial" w:cs="Arial"/>
                <w:color w:val="000000"/>
                <w:sz w:val="14"/>
                <w:szCs w:val="14"/>
                <w:lang w:eastAsia="es-AR"/>
              </w:rPr>
            </w:pPr>
          </w:p>
          <w:p w14:paraId="4D796DA2"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 y en la fecha de vencimiento 33,34%.</w:t>
            </w:r>
          </w:p>
        </w:tc>
        <w:tc>
          <w:tcPr>
            <w:tcW w:w="474" w:type="pct"/>
            <w:tcBorders>
              <w:top w:val="nil"/>
              <w:left w:val="nil"/>
              <w:bottom w:val="single" w:sz="8" w:space="0" w:color="auto"/>
              <w:right w:val="single" w:sz="8" w:space="0" w:color="auto"/>
            </w:tcBorders>
            <w:shd w:val="clear" w:color="auto" w:fill="auto"/>
            <w:noWrap/>
            <w:vAlign w:val="center"/>
            <w:hideMark/>
          </w:tcPr>
          <w:p w14:paraId="466FC47B" w14:textId="58F69258"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48 meses</w:t>
            </w:r>
          </w:p>
        </w:tc>
        <w:tc>
          <w:tcPr>
            <w:tcW w:w="546" w:type="pct"/>
            <w:tcBorders>
              <w:top w:val="nil"/>
              <w:left w:val="nil"/>
              <w:bottom w:val="single" w:sz="8" w:space="0" w:color="auto"/>
              <w:right w:val="single" w:sz="8" w:space="0" w:color="auto"/>
            </w:tcBorders>
            <w:shd w:val="clear" w:color="auto" w:fill="auto"/>
            <w:noWrap/>
            <w:vAlign w:val="center"/>
            <w:hideMark/>
          </w:tcPr>
          <w:p w14:paraId="48D17A59"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22/12/2021</w:t>
            </w:r>
          </w:p>
        </w:tc>
        <w:tc>
          <w:tcPr>
            <w:tcW w:w="753" w:type="pct"/>
            <w:tcBorders>
              <w:top w:val="nil"/>
              <w:left w:val="nil"/>
              <w:bottom w:val="single" w:sz="8" w:space="0" w:color="auto"/>
              <w:right w:val="single" w:sz="8" w:space="0" w:color="auto"/>
            </w:tcBorders>
            <w:shd w:val="clear" w:color="auto" w:fill="auto"/>
            <w:vAlign w:val="center"/>
            <w:hideMark/>
          </w:tcPr>
          <w:p w14:paraId="274F961B"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+ 4,25%</w:t>
            </w:r>
          </w:p>
        </w:tc>
        <w:tc>
          <w:tcPr>
            <w:tcW w:w="444" w:type="pct"/>
            <w:tcBorders>
              <w:top w:val="nil"/>
              <w:left w:val="nil"/>
              <w:bottom w:val="single" w:sz="8" w:space="0" w:color="auto"/>
              <w:right w:val="single" w:sz="8" w:space="0" w:color="auto"/>
            </w:tcBorders>
            <w:shd w:val="clear" w:color="auto" w:fill="auto"/>
            <w:noWrap/>
            <w:vAlign w:val="bottom"/>
          </w:tcPr>
          <w:p w14:paraId="333E4142" w14:textId="7B1F1DFC" w:rsidR="00FC3DB3" w:rsidRPr="00C91FD2" w:rsidRDefault="00FC3DB3" w:rsidP="00FC3DB3">
            <w:pPr>
              <w:jc w:val="right"/>
              <w:rPr>
                <w:rFonts w:ascii="Arial" w:hAnsi="Arial" w:cs="Arial"/>
                <w:color w:val="000000"/>
                <w:sz w:val="14"/>
                <w:szCs w:val="14"/>
                <w:lang w:eastAsia="es-AR"/>
              </w:rPr>
            </w:pPr>
            <w:r>
              <w:rPr>
                <w:rFonts w:ascii="Arial" w:hAnsi="Arial" w:cs="Arial"/>
                <w:color w:val="000000"/>
                <w:sz w:val="14"/>
                <w:szCs w:val="14"/>
                <w:lang w:eastAsia="es-AR"/>
              </w:rPr>
              <w:t>665.249</w:t>
            </w:r>
          </w:p>
        </w:tc>
        <w:tc>
          <w:tcPr>
            <w:tcW w:w="453" w:type="pct"/>
            <w:gridSpan w:val="2"/>
            <w:tcBorders>
              <w:top w:val="nil"/>
              <w:left w:val="nil"/>
              <w:bottom w:val="single" w:sz="8" w:space="0" w:color="auto"/>
              <w:right w:val="single" w:sz="8" w:space="0" w:color="auto"/>
            </w:tcBorders>
            <w:shd w:val="clear" w:color="auto" w:fill="auto"/>
            <w:noWrap/>
            <w:vAlign w:val="bottom"/>
          </w:tcPr>
          <w:p w14:paraId="765A4456" w14:textId="6A1ED5BE" w:rsidR="00FC3DB3" w:rsidRPr="00C91FD2" w:rsidRDefault="00B86973" w:rsidP="00FC3DB3">
            <w:pPr>
              <w:jc w:val="right"/>
              <w:rPr>
                <w:rFonts w:ascii="Arial" w:hAnsi="Arial" w:cs="Arial"/>
                <w:color w:val="000000"/>
                <w:sz w:val="14"/>
                <w:szCs w:val="14"/>
                <w:lang w:eastAsia="es-AR"/>
              </w:rPr>
            </w:pPr>
            <w:r>
              <w:rPr>
                <w:rFonts w:ascii="Arial" w:hAnsi="Arial" w:cs="Arial"/>
                <w:sz w:val="14"/>
                <w:szCs w:val="14"/>
              </w:rPr>
              <w:t>719.208</w:t>
            </w:r>
          </w:p>
        </w:tc>
      </w:tr>
      <w:tr w:rsidR="00FC3DB3" w:rsidRPr="00701F32" w14:paraId="65E54E5E" w14:textId="77777777" w:rsidTr="0023020F">
        <w:trPr>
          <w:trHeight w:val="409"/>
        </w:trPr>
        <w:tc>
          <w:tcPr>
            <w:tcW w:w="52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F0D6FBD"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14/02/18</w:t>
            </w:r>
          </w:p>
        </w:tc>
        <w:tc>
          <w:tcPr>
            <w:tcW w:w="396" w:type="pct"/>
            <w:tcBorders>
              <w:top w:val="single" w:sz="8" w:space="0" w:color="auto"/>
              <w:left w:val="nil"/>
              <w:bottom w:val="single" w:sz="4" w:space="0" w:color="auto"/>
              <w:right w:val="single" w:sz="8" w:space="0" w:color="auto"/>
            </w:tcBorders>
            <w:shd w:val="clear" w:color="auto" w:fill="auto"/>
            <w:noWrap/>
            <w:vAlign w:val="center"/>
            <w:hideMark/>
          </w:tcPr>
          <w:p w14:paraId="718493A7"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tcBorders>
              <w:top w:val="single" w:sz="8" w:space="0" w:color="auto"/>
              <w:left w:val="nil"/>
              <w:bottom w:val="single" w:sz="4" w:space="0" w:color="auto"/>
              <w:right w:val="single" w:sz="8" w:space="0" w:color="auto"/>
            </w:tcBorders>
            <w:shd w:val="clear" w:color="auto" w:fill="auto"/>
            <w:noWrap/>
            <w:vAlign w:val="center"/>
            <w:hideMark/>
          </w:tcPr>
          <w:p w14:paraId="06216063" w14:textId="77777777" w:rsidR="00FC3DB3" w:rsidRPr="00701F32" w:rsidRDefault="00FC3DB3" w:rsidP="00FC3DB3">
            <w:pPr>
              <w:jc w:val="center"/>
              <w:rPr>
                <w:rFonts w:ascii="Arial" w:hAnsi="Arial" w:cs="Arial"/>
                <w:color w:val="000000"/>
                <w:sz w:val="14"/>
                <w:szCs w:val="14"/>
                <w:lang w:eastAsia="es-AR"/>
              </w:rPr>
            </w:pPr>
            <w:r w:rsidRPr="00701F32">
              <w:rPr>
                <w:rFonts w:ascii="Arial" w:hAnsi="Arial" w:cs="Arial"/>
                <w:color w:val="000000"/>
                <w:sz w:val="14"/>
                <w:szCs w:val="14"/>
                <w:lang w:eastAsia="es-AR"/>
              </w:rPr>
              <w:t>E</w:t>
            </w:r>
          </w:p>
        </w:tc>
        <w:tc>
          <w:tcPr>
            <w:tcW w:w="463" w:type="pct"/>
            <w:tcBorders>
              <w:top w:val="single" w:sz="8" w:space="0" w:color="auto"/>
              <w:left w:val="nil"/>
              <w:bottom w:val="single" w:sz="4" w:space="0" w:color="auto"/>
              <w:right w:val="single" w:sz="8" w:space="0" w:color="auto"/>
            </w:tcBorders>
            <w:shd w:val="clear" w:color="auto" w:fill="auto"/>
            <w:noWrap/>
            <w:vAlign w:val="center"/>
            <w:hideMark/>
          </w:tcPr>
          <w:p w14:paraId="497B6D09" w14:textId="77777777" w:rsidR="00FC3DB3" w:rsidRPr="00701F32" w:rsidRDefault="00FC3DB3" w:rsidP="00FC3DB3">
            <w:pPr>
              <w:jc w:val="right"/>
              <w:rPr>
                <w:rFonts w:ascii="Arial" w:hAnsi="Arial" w:cs="Arial"/>
                <w:color w:val="000000"/>
                <w:sz w:val="14"/>
                <w:szCs w:val="14"/>
                <w:lang w:eastAsia="es-AR"/>
              </w:rPr>
            </w:pPr>
            <w:r w:rsidRPr="00701F32">
              <w:rPr>
                <w:rFonts w:ascii="Arial" w:hAnsi="Arial" w:cs="Arial"/>
                <w:color w:val="000000"/>
                <w:sz w:val="14"/>
                <w:szCs w:val="14"/>
                <w:lang w:eastAsia="es-AR"/>
              </w:rPr>
              <w:t>1.607.667</w:t>
            </w:r>
          </w:p>
        </w:tc>
        <w:tc>
          <w:tcPr>
            <w:tcW w:w="632" w:type="pct"/>
            <w:tcBorders>
              <w:top w:val="single" w:sz="8" w:space="0" w:color="auto"/>
              <w:left w:val="nil"/>
              <w:bottom w:val="single" w:sz="4" w:space="0" w:color="auto"/>
              <w:right w:val="single" w:sz="8" w:space="0" w:color="auto"/>
            </w:tcBorders>
            <w:shd w:val="clear" w:color="auto" w:fill="auto"/>
            <w:vAlign w:val="center"/>
            <w:hideMark/>
          </w:tcPr>
          <w:p w14:paraId="6F6FD397"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30153387" w14:textId="77777777" w:rsidR="00FC3DB3" w:rsidRPr="00701F32" w:rsidRDefault="00FC3DB3" w:rsidP="00FC3DB3">
            <w:pPr>
              <w:jc w:val="both"/>
              <w:rPr>
                <w:rFonts w:ascii="Arial" w:hAnsi="Arial" w:cs="Arial"/>
                <w:color w:val="000000"/>
                <w:sz w:val="14"/>
                <w:szCs w:val="14"/>
                <w:lang w:eastAsia="es-AR"/>
              </w:rPr>
            </w:pPr>
          </w:p>
          <w:p w14:paraId="38669CA2" w14:textId="403A5A15" w:rsidR="00FC3DB3" w:rsidRPr="00701F32" w:rsidRDefault="00FC3DB3" w:rsidP="00FC3DB3">
            <w:pPr>
              <w:jc w:val="both"/>
              <w:rPr>
                <w:rFonts w:ascii="Arial" w:hAnsi="Arial" w:cs="Arial"/>
                <w:color w:val="000000"/>
                <w:sz w:val="14"/>
                <w:szCs w:val="14"/>
                <w:lang w:eastAsia="es-AR"/>
              </w:rPr>
            </w:pPr>
            <w:r>
              <w:rPr>
                <w:rFonts w:ascii="Arial" w:hAnsi="Arial" w:cs="Arial"/>
                <w:color w:val="000000"/>
                <w:sz w:val="14"/>
                <w:szCs w:val="14"/>
                <w:lang w:eastAsia="es-AR"/>
              </w:rPr>
              <w:t>14</w:t>
            </w:r>
            <w:r w:rsidRPr="00701F32">
              <w:rPr>
                <w:rFonts w:ascii="Arial" w:hAnsi="Arial" w:cs="Arial"/>
                <w:color w:val="000000"/>
                <w:sz w:val="14"/>
                <w:szCs w:val="14"/>
                <w:lang w:eastAsia="es-AR"/>
              </w:rPr>
              <w:t>-</w:t>
            </w:r>
            <w:r>
              <w:rPr>
                <w:rFonts w:ascii="Arial" w:hAnsi="Arial" w:cs="Arial"/>
                <w:color w:val="000000"/>
                <w:sz w:val="14"/>
                <w:szCs w:val="14"/>
                <w:lang w:eastAsia="es-AR"/>
              </w:rPr>
              <w:t>02</w:t>
            </w:r>
            <w:r w:rsidRPr="00701F32">
              <w:rPr>
                <w:rFonts w:ascii="Arial" w:hAnsi="Arial" w:cs="Arial"/>
                <w:color w:val="000000"/>
                <w:sz w:val="14"/>
                <w:szCs w:val="14"/>
                <w:lang w:eastAsia="es-AR"/>
              </w:rPr>
              <w:t>-202</w:t>
            </w:r>
            <w:r>
              <w:rPr>
                <w:rFonts w:ascii="Arial" w:hAnsi="Arial" w:cs="Arial"/>
                <w:color w:val="000000"/>
                <w:sz w:val="14"/>
                <w:szCs w:val="14"/>
                <w:lang w:eastAsia="es-AR"/>
              </w:rPr>
              <w:t>1</w:t>
            </w:r>
            <w:r w:rsidRPr="00701F32">
              <w:rPr>
                <w:rFonts w:ascii="Arial" w:hAnsi="Arial" w:cs="Arial"/>
                <w:color w:val="000000"/>
                <w:sz w:val="14"/>
                <w:szCs w:val="14"/>
                <w:lang w:eastAsia="es-AR"/>
              </w:rPr>
              <w:t xml:space="preserve"> 33,33%,</w:t>
            </w:r>
          </w:p>
          <w:p w14:paraId="5393BD7B" w14:textId="77777777" w:rsidR="00FC3DB3" w:rsidRPr="00701F32" w:rsidRDefault="00FC3DB3" w:rsidP="00FC3DB3">
            <w:pPr>
              <w:jc w:val="both"/>
              <w:rPr>
                <w:rFonts w:ascii="Arial" w:hAnsi="Arial" w:cs="Arial"/>
                <w:color w:val="000000"/>
                <w:sz w:val="14"/>
                <w:szCs w:val="14"/>
                <w:lang w:eastAsia="es-AR"/>
              </w:rPr>
            </w:pPr>
          </w:p>
          <w:p w14:paraId="65D8EE39" w14:textId="402F4DC6" w:rsidR="00FC3DB3" w:rsidRPr="00701F32" w:rsidRDefault="00FC3DB3" w:rsidP="00FC3DB3">
            <w:pPr>
              <w:jc w:val="both"/>
              <w:rPr>
                <w:rFonts w:ascii="Arial" w:hAnsi="Arial" w:cs="Arial"/>
                <w:color w:val="000000"/>
                <w:sz w:val="14"/>
                <w:szCs w:val="14"/>
                <w:lang w:eastAsia="es-AR"/>
              </w:rPr>
            </w:pPr>
            <w:r>
              <w:rPr>
                <w:rFonts w:ascii="Arial" w:hAnsi="Arial" w:cs="Arial"/>
                <w:color w:val="000000"/>
                <w:sz w:val="14"/>
                <w:szCs w:val="14"/>
                <w:lang w:eastAsia="es-AR"/>
              </w:rPr>
              <w:t>14</w:t>
            </w:r>
            <w:r w:rsidRPr="00701F32">
              <w:rPr>
                <w:rFonts w:ascii="Arial" w:hAnsi="Arial" w:cs="Arial"/>
                <w:color w:val="000000"/>
                <w:sz w:val="14"/>
                <w:szCs w:val="14"/>
                <w:lang w:eastAsia="es-AR"/>
              </w:rPr>
              <w:t>-</w:t>
            </w:r>
            <w:r>
              <w:rPr>
                <w:rFonts w:ascii="Arial" w:hAnsi="Arial" w:cs="Arial"/>
                <w:color w:val="000000"/>
                <w:sz w:val="14"/>
                <w:szCs w:val="14"/>
                <w:lang w:eastAsia="es-AR"/>
              </w:rPr>
              <w:t>02</w:t>
            </w:r>
            <w:r w:rsidRPr="00701F32">
              <w:rPr>
                <w:rFonts w:ascii="Arial" w:hAnsi="Arial" w:cs="Arial"/>
                <w:color w:val="000000"/>
                <w:sz w:val="14"/>
                <w:szCs w:val="14"/>
                <w:lang w:eastAsia="es-AR"/>
              </w:rPr>
              <w:t>-202</w:t>
            </w:r>
            <w:r>
              <w:rPr>
                <w:rFonts w:ascii="Arial" w:hAnsi="Arial" w:cs="Arial"/>
                <w:color w:val="000000"/>
                <w:sz w:val="14"/>
                <w:szCs w:val="14"/>
                <w:lang w:eastAsia="es-AR"/>
              </w:rPr>
              <w:t>2</w:t>
            </w:r>
            <w:r w:rsidRPr="00701F32">
              <w:rPr>
                <w:rFonts w:ascii="Arial" w:hAnsi="Arial" w:cs="Arial"/>
                <w:color w:val="000000"/>
                <w:sz w:val="14"/>
                <w:szCs w:val="14"/>
                <w:lang w:eastAsia="es-AR"/>
              </w:rPr>
              <w:t xml:space="preserve"> 33,33%,</w:t>
            </w:r>
          </w:p>
          <w:p w14:paraId="4E37F90B" w14:textId="77777777" w:rsidR="00FC3DB3" w:rsidRPr="00701F32" w:rsidRDefault="00FC3DB3" w:rsidP="00FC3DB3">
            <w:pPr>
              <w:jc w:val="both"/>
              <w:rPr>
                <w:rFonts w:ascii="Arial" w:hAnsi="Arial" w:cs="Arial"/>
                <w:color w:val="000000"/>
                <w:sz w:val="14"/>
                <w:szCs w:val="14"/>
                <w:lang w:eastAsia="es-AR"/>
              </w:rPr>
            </w:pPr>
          </w:p>
          <w:p w14:paraId="1F12DF84" w14:textId="3A71A75E"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lastRenderedPageBreak/>
              <w:t xml:space="preserve"> y en la fecha de vencimiento 33,34%.</w:t>
            </w:r>
          </w:p>
        </w:tc>
        <w:tc>
          <w:tcPr>
            <w:tcW w:w="474" w:type="pct"/>
            <w:tcBorders>
              <w:top w:val="single" w:sz="8" w:space="0" w:color="auto"/>
              <w:left w:val="nil"/>
              <w:bottom w:val="single" w:sz="4" w:space="0" w:color="auto"/>
              <w:right w:val="single" w:sz="8" w:space="0" w:color="auto"/>
            </w:tcBorders>
            <w:shd w:val="clear" w:color="auto" w:fill="auto"/>
            <w:noWrap/>
            <w:vAlign w:val="center"/>
            <w:hideMark/>
          </w:tcPr>
          <w:p w14:paraId="32159E59" w14:textId="40F6A06F"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lastRenderedPageBreak/>
              <w:t>60 meses</w:t>
            </w:r>
          </w:p>
        </w:tc>
        <w:tc>
          <w:tcPr>
            <w:tcW w:w="546" w:type="pct"/>
            <w:tcBorders>
              <w:top w:val="single" w:sz="8" w:space="0" w:color="auto"/>
              <w:left w:val="nil"/>
              <w:bottom w:val="single" w:sz="4" w:space="0" w:color="auto"/>
              <w:right w:val="single" w:sz="8" w:space="0" w:color="auto"/>
            </w:tcBorders>
            <w:shd w:val="clear" w:color="auto" w:fill="auto"/>
            <w:noWrap/>
            <w:vAlign w:val="center"/>
            <w:hideMark/>
          </w:tcPr>
          <w:p w14:paraId="02689C8B"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14/02/2023</w:t>
            </w:r>
          </w:p>
        </w:tc>
        <w:tc>
          <w:tcPr>
            <w:tcW w:w="753" w:type="pct"/>
            <w:tcBorders>
              <w:top w:val="single" w:sz="8" w:space="0" w:color="auto"/>
              <w:left w:val="nil"/>
              <w:bottom w:val="single" w:sz="4" w:space="0" w:color="auto"/>
              <w:right w:val="single" w:sz="8" w:space="0" w:color="auto"/>
            </w:tcBorders>
            <w:shd w:val="clear" w:color="auto" w:fill="auto"/>
            <w:vAlign w:val="center"/>
            <w:hideMark/>
          </w:tcPr>
          <w:p w14:paraId="024A3CAB" w14:textId="77777777" w:rsidR="00FC3DB3" w:rsidRPr="00701F32" w:rsidRDefault="00FC3DB3" w:rsidP="00FC3DB3">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+ 4,05%</w:t>
            </w:r>
          </w:p>
        </w:tc>
        <w:tc>
          <w:tcPr>
            <w:tcW w:w="444" w:type="pct"/>
            <w:tcBorders>
              <w:top w:val="single" w:sz="8" w:space="0" w:color="auto"/>
              <w:left w:val="nil"/>
              <w:bottom w:val="single" w:sz="4" w:space="0" w:color="auto"/>
              <w:right w:val="single" w:sz="8" w:space="0" w:color="auto"/>
            </w:tcBorders>
            <w:shd w:val="clear" w:color="auto" w:fill="auto"/>
            <w:noWrap/>
            <w:vAlign w:val="bottom"/>
          </w:tcPr>
          <w:p w14:paraId="75061A20" w14:textId="4D7CE6D3" w:rsidR="00FC3DB3" w:rsidRPr="00C91FD2" w:rsidRDefault="00FC3DB3" w:rsidP="00FC3DB3">
            <w:pPr>
              <w:jc w:val="right"/>
              <w:rPr>
                <w:rFonts w:ascii="Arial" w:hAnsi="Arial" w:cs="Arial"/>
                <w:color w:val="000000"/>
                <w:sz w:val="14"/>
                <w:szCs w:val="14"/>
                <w:lang w:eastAsia="es-AR"/>
              </w:rPr>
            </w:pPr>
            <w:r>
              <w:rPr>
                <w:rFonts w:ascii="Arial" w:hAnsi="Arial" w:cs="Arial"/>
                <w:color w:val="000000"/>
                <w:sz w:val="14"/>
                <w:szCs w:val="14"/>
                <w:lang w:eastAsia="es-AR"/>
              </w:rPr>
              <w:t>1.573.544</w:t>
            </w:r>
          </w:p>
        </w:tc>
        <w:tc>
          <w:tcPr>
            <w:tcW w:w="453" w:type="pct"/>
            <w:gridSpan w:val="2"/>
            <w:tcBorders>
              <w:top w:val="single" w:sz="8" w:space="0" w:color="auto"/>
              <w:left w:val="nil"/>
              <w:bottom w:val="single" w:sz="4" w:space="0" w:color="auto"/>
              <w:right w:val="single" w:sz="8" w:space="0" w:color="auto"/>
            </w:tcBorders>
            <w:shd w:val="clear" w:color="auto" w:fill="auto"/>
            <w:noWrap/>
            <w:vAlign w:val="bottom"/>
          </w:tcPr>
          <w:p w14:paraId="062542B2" w14:textId="23028840" w:rsidR="00FC3DB3" w:rsidRPr="00C91FD2" w:rsidRDefault="00B86973" w:rsidP="00FC3DB3">
            <w:pPr>
              <w:jc w:val="right"/>
              <w:rPr>
                <w:rFonts w:ascii="Arial" w:hAnsi="Arial" w:cs="Arial"/>
                <w:color w:val="000000"/>
                <w:sz w:val="14"/>
                <w:szCs w:val="14"/>
                <w:lang w:eastAsia="es-AR"/>
              </w:rPr>
            </w:pPr>
            <w:r>
              <w:rPr>
                <w:rFonts w:ascii="Arial" w:hAnsi="Arial" w:cs="Arial"/>
                <w:sz w:val="14"/>
                <w:szCs w:val="14"/>
              </w:rPr>
              <w:t>1.724.16</w:t>
            </w:r>
            <w:r w:rsidR="00377D7F">
              <w:rPr>
                <w:rFonts w:ascii="Arial" w:hAnsi="Arial" w:cs="Arial"/>
                <w:sz w:val="14"/>
                <w:szCs w:val="14"/>
              </w:rPr>
              <w:t>6</w:t>
            </w:r>
          </w:p>
        </w:tc>
      </w:tr>
      <w:tr w:rsidR="00FC3DB3" w:rsidRPr="00701F32" w14:paraId="0EB8E491" w14:textId="77777777" w:rsidTr="001E09C8">
        <w:trPr>
          <w:trHeight w:val="316"/>
        </w:trPr>
        <w:tc>
          <w:tcPr>
            <w:tcW w:w="3350" w:type="pct"/>
            <w:gridSpan w:val="7"/>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8FC48D6" w14:textId="77777777" w:rsidR="00FC3DB3" w:rsidRPr="00C91FD2" w:rsidRDefault="00FC3DB3" w:rsidP="00FC3DB3">
            <w:pPr>
              <w:jc w:val="both"/>
              <w:rPr>
                <w:rFonts w:ascii="Arial" w:hAnsi="Arial" w:cs="Arial"/>
                <w:color w:val="000000"/>
                <w:sz w:val="14"/>
                <w:szCs w:val="14"/>
                <w:lang w:eastAsia="es-AR"/>
              </w:rPr>
            </w:pPr>
          </w:p>
        </w:tc>
        <w:tc>
          <w:tcPr>
            <w:tcW w:w="753" w:type="pct"/>
            <w:tcBorders>
              <w:top w:val="single" w:sz="4" w:space="0" w:color="auto"/>
              <w:left w:val="nil"/>
              <w:bottom w:val="single" w:sz="4" w:space="0" w:color="auto"/>
              <w:right w:val="single" w:sz="8" w:space="0" w:color="auto"/>
            </w:tcBorders>
            <w:shd w:val="clear" w:color="auto" w:fill="auto"/>
            <w:noWrap/>
            <w:vAlign w:val="center"/>
            <w:hideMark/>
          </w:tcPr>
          <w:p w14:paraId="718307AA" w14:textId="77777777" w:rsidR="00FC3DB3" w:rsidRPr="00C91FD2" w:rsidRDefault="00FC3DB3" w:rsidP="00FC3DB3">
            <w:pPr>
              <w:jc w:val="both"/>
              <w:rPr>
                <w:rFonts w:ascii="Arial" w:hAnsi="Arial" w:cs="Arial"/>
                <w:b/>
                <w:bCs/>
                <w:color w:val="000000"/>
                <w:sz w:val="14"/>
                <w:szCs w:val="14"/>
                <w:lang w:eastAsia="es-AR"/>
              </w:rPr>
            </w:pPr>
            <w:r w:rsidRPr="00C91FD2">
              <w:rPr>
                <w:rFonts w:ascii="Arial" w:hAnsi="Arial" w:cs="Arial"/>
                <w:b/>
                <w:bCs/>
                <w:color w:val="000000"/>
                <w:sz w:val="14"/>
                <w:szCs w:val="14"/>
                <w:lang w:eastAsia="es-AR"/>
              </w:rPr>
              <w:t>Total</w:t>
            </w:r>
          </w:p>
        </w:tc>
        <w:tc>
          <w:tcPr>
            <w:tcW w:w="453" w:type="pct"/>
            <w:gridSpan w:val="2"/>
            <w:tcBorders>
              <w:top w:val="single" w:sz="4" w:space="0" w:color="auto"/>
              <w:left w:val="nil"/>
              <w:bottom w:val="single" w:sz="4" w:space="0" w:color="auto"/>
              <w:right w:val="single" w:sz="8" w:space="0" w:color="auto"/>
            </w:tcBorders>
            <w:shd w:val="clear" w:color="auto" w:fill="auto"/>
            <w:noWrap/>
            <w:vAlign w:val="bottom"/>
          </w:tcPr>
          <w:p w14:paraId="4ACA015D" w14:textId="6E539421" w:rsidR="00FC3DB3" w:rsidRPr="00F845F0" w:rsidRDefault="00FC3DB3" w:rsidP="00FC3DB3">
            <w:pPr>
              <w:jc w:val="right"/>
              <w:rPr>
                <w:rFonts w:ascii="Arial" w:hAnsi="Arial" w:cs="Arial"/>
                <w:b/>
                <w:bCs/>
                <w:color w:val="000000"/>
                <w:sz w:val="14"/>
                <w:szCs w:val="14"/>
                <w:lang w:val="es-ES_tradnl" w:eastAsia="es-AR"/>
              </w:rPr>
            </w:pPr>
            <w:r>
              <w:rPr>
                <w:rFonts w:ascii="Arial" w:hAnsi="Arial" w:cs="Arial"/>
                <w:b/>
                <w:bCs/>
                <w:color w:val="000000"/>
                <w:sz w:val="14"/>
                <w:szCs w:val="14"/>
                <w:lang w:val="es-ES_tradnl" w:eastAsia="es-AR"/>
              </w:rPr>
              <w:t>4.170.559</w:t>
            </w:r>
          </w:p>
        </w:tc>
        <w:tc>
          <w:tcPr>
            <w:tcW w:w="444" w:type="pct"/>
            <w:tcBorders>
              <w:top w:val="single" w:sz="4" w:space="0" w:color="auto"/>
              <w:left w:val="nil"/>
              <w:bottom w:val="single" w:sz="4" w:space="0" w:color="auto"/>
              <w:right w:val="single" w:sz="4" w:space="0" w:color="auto"/>
            </w:tcBorders>
            <w:shd w:val="clear" w:color="auto" w:fill="auto"/>
            <w:noWrap/>
            <w:vAlign w:val="bottom"/>
          </w:tcPr>
          <w:p w14:paraId="42A32952" w14:textId="29F4565B" w:rsidR="00FC3DB3" w:rsidRPr="00F845F0" w:rsidRDefault="00FC3DB3" w:rsidP="00FC3DB3">
            <w:pPr>
              <w:jc w:val="right"/>
              <w:rPr>
                <w:rFonts w:ascii="Arial" w:hAnsi="Arial" w:cs="Arial"/>
                <w:b/>
                <w:bCs/>
                <w:color w:val="000000"/>
                <w:sz w:val="14"/>
                <w:szCs w:val="14"/>
                <w:lang w:eastAsia="es-AR"/>
              </w:rPr>
            </w:pPr>
            <w:r>
              <w:rPr>
                <w:rFonts w:ascii="Arial" w:hAnsi="Arial" w:cs="Arial"/>
                <w:b/>
                <w:sz w:val="14"/>
                <w:szCs w:val="14"/>
              </w:rPr>
              <w:t>6.</w:t>
            </w:r>
            <w:r w:rsidR="00B86973">
              <w:rPr>
                <w:rFonts w:ascii="Arial" w:hAnsi="Arial" w:cs="Arial"/>
                <w:b/>
                <w:sz w:val="14"/>
                <w:szCs w:val="14"/>
              </w:rPr>
              <w:t>544</w:t>
            </w:r>
            <w:r>
              <w:rPr>
                <w:rFonts w:ascii="Arial" w:hAnsi="Arial" w:cs="Arial"/>
                <w:b/>
                <w:sz w:val="14"/>
                <w:szCs w:val="14"/>
              </w:rPr>
              <w:t>.</w:t>
            </w:r>
            <w:r w:rsidR="00B86973">
              <w:rPr>
                <w:rFonts w:ascii="Arial" w:hAnsi="Arial" w:cs="Arial"/>
                <w:b/>
                <w:sz w:val="14"/>
                <w:szCs w:val="14"/>
              </w:rPr>
              <w:t>450</w:t>
            </w:r>
          </w:p>
        </w:tc>
      </w:tr>
    </w:tbl>
    <w:p w14:paraId="66254406" w14:textId="77777777" w:rsidR="00A06BE9" w:rsidRDefault="00A06BE9" w:rsidP="00A06BE9">
      <w:pPr>
        <w:pStyle w:val="PrimerNivel"/>
        <w:numPr>
          <w:ilvl w:val="0"/>
          <w:numId w:val="0"/>
        </w:numPr>
        <w:rPr>
          <w:rFonts w:ascii="Arial" w:hAnsi="Arial" w:cs="Arial"/>
          <w:b/>
          <w:sz w:val="20"/>
        </w:rPr>
      </w:pPr>
    </w:p>
    <w:p w14:paraId="4E01AAB9" w14:textId="2BFC4C90" w:rsidR="001854C2" w:rsidRDefault="00FD1A20" w:rsidP="001854C2">
      <w:pPr>
        <w:tabs>
          <w:tab w:val="left" w:pos="142"/>
          <w:tab w:val="left" w:pos="9923"/>
        </w:tabs>
        <w:jc w:val="both"/>
        <w:rPr>
          <w:rFonts w:ascii="Arial" w:hAnsi="Arial" w:cs="Arial"/>
          <w:sz w:val="20"/>
        </w:rPr>
      </w:pPr>
      <w:r w:rsidRPr="00FD1A20">
        <w:rPr>
          <w:rFonts w:ascii="Arial" w:hAnsi="Arial" w:cs="Arial"/>
          <w:sz w:val="20"/>
        </w:rPr>
        <w:t>El monto en circulación de la Obligaciones Negociables Clase A fue reducido con fecha 17 de octubre de 2018 por un valor nominal en pesos de $ 618.030 y con fecha 23 de enero de 2019 por un valor nominal en pesos de $ 254.</w:t>
      </w:r>
      <w:r w:rsidR="00CE53C0" w:rsidRPr="00FD1A20">
        <w:rPr>
          <w:rFonts w:ascii="Arial" w:hAnsi="Arial" w:cs="Arial"/>
          <w:sz w:val="20"/>
        </w:rPr>
        <w:t>92</w:t>
      </w:r>
      <w:r w:rsidR="00CE53C0">
        <w:rPr>
          <w:rFonts w:ascii="Arial" w:hAnsi="Arial" w:cs="Arial"/>
          <w:sz w:val="20"/>
        </w:rPr>
        <w:t xml:space="preserve">5. </w:t>
      </w:r>
      <w:r w:rsidRPr="00FD1A20">
        <w:rPr>
          <w:rFonts w:ascii="Arial" w:hAnsi="Arial" w:cs="Arial"/>
          <w:sz w:val="20"/>
        </w:rPr>
        <w:t>Resultando así el monto total de circulación en pesos de $ 3.895.</w:t>
      </w:r>
      <w:r w:rsidR="00CE53C0">
        <w:rPr>
          <w:rFonts w:ascii="Arial" w:hAnsi="Arial" w:cs="Arial"/>
          <w:sz w:val="20"/>
        </w:rPr>
        <w:t>215.</w:t>
      </w:r>
    </w:p>
    <w:p w14:paraId="36793F8D" w14:textId="77777777" w:rsidR="00FD1A20" w:rsidRPr="00701F32" w:rsidRDefault="00FD1A20" w:rsidP="001854C2">
      <w:pPr>
        <w:tabs>
          <w:tab w:val="left" w:pos="142"/>
          <w:tab w:val="left" w:pos="9923"/>
        </w:tabs>
        <w:jc w:val="both"/>
        <w:rPr>
          <w:rFonts w:ascii="Arial" w:hAnsi="Arial" w:cs="Arial"/>
          <w:sz w:val="20"/>
        </w:rPr>
      </w:pPr>
    </w:p>
    <w:p w14:paraId="15D2846A" w14:textId="77777777" w:rsidR="00AD6433" w:rsidRPr="00BA370C" w:rsidRDefault="00AD6433" w:rsidP="00AD6433">
      <w:pPr>
        <w:tabs>
          <w:tab w:val="left" w:pos="142"/>
          <w:tab w:val="left" w:pos="9923"/>
        </w:tabs>
        <w:jc w:val="both"/>
        <w:rPr>
          <w:rFonts w:ascii="Arial" w:hAnsi="Arial" w:cs="Arial"/>
          <w:sz w:val="20"/>
        </w:rPr>
      </w:pPr>
      <w:r w:rsidRPr="00BA7A6B">
        <w:rPr>
          <w:rFonts w:ascii="Arial" w:hAnsi="Arial" w:cs="Arial"/>
          <w:sz w:val="20"/>
        </w:rPr>
        <w:t>Con fecha 22 de agosto de 2018 y 13 de septiembre de 2018, se recompraron $ 15.000 VN y $ 10.000 VN, respectivamente, correspondiente a la ON Clase XVI.</w:t>
      </w:r>
    </w:p>
    <w:p w14:paraId="0BF92EA9" w14:textId="77777777" w:rsidR="009B6951" w:rsidRPr="00AD6433" w:rsidRDefault="009B6951" w:rsidP="00A06BE9">
      <w:pPr>
        <w:pStyle w:val="PrimerNivel"/>
        <w:numPr>
          <w:ilvl w:val="0"/>
          <w:numId w:val="0"/>
        </w:numPr>
        <w:rPr>
          <w:rFonts w:ascii="Arial" w:hAnsi="Arial" w:cs="Arial"/>
          <w:b/>
          <w:sz w:val="20"/>
          <w:szCs w:val="20"/>
          <w:lang w:val="es-AR"/>
        </w:rPr>
      </w:pPr>
    </w:p>
    <w:p w14:paraId="1D2ED36F" w14:textId="617977E3" w:rsidR="00A06BE9" w:rsidRPr="00701F32" w:rsidRDefault="00A06BE9" w:rsidP="00A06BE9">
      <w:pPr>
        <w:pStyle w:val="PrimerNivel"/>
        <w:numPr>
          <w:ilvl w:val="0"/>
          <w:numId w:val="0"/>
        </w:numPr>
        <w:rPr>
          <w:rFonts w:ascii="Arial" w:hAnsi="Arial" w:cs="Arial"/>
          <w:b/>
          <w:sz w:val="20"/>
          <w:szCs w:val="20"/>
        </w:rPr>
      </w:pPr>
      <w:r w:rsidRPr="00701F32">
        <w:rPr>
          <w:rFonts w:ascii="Arial" w:hAnsi="Arial" w:cs="Arial"/>
          <w:b/>
          <w:sz w:val="20"/>
          <w:szCs w:val="20"/>
        </w:rPr>
        <w:t>Obligaciones Negociables subordinadas</w:t>
      </w:r>
    </w:p>
    <w:p w14:paraId="287209D7" w14:textId="77777777" w:rsidR="00A06BE9" w:rsidRPr="00701F32" w:rsidRDefault="00A06BE9" w:rsidP="00A06BE9">
      <w:pPr>
        <w:pStyle w:val="PrimerNivel"/>
        <w:numPr>
          <w:ilvl w:val="0"/>
          <w:numId w:val="0"/>
        </w:numPr>
        <w:ind w:left="66"/>
        <w:rPr>
          <w:rFonts w:ascii="Arial" w:hAnsi="Arial" w:cs="Arial"/>
          <w:b/>
          <w:sz w:val="20"/>
          <w:szCs w:val="20"/>
        </w:rPr>
      </w:pPr>
    </w:p>
    <w:p w14:paraId="39F03FA4" w14:textId="5B652532" w:rsidR="00A06BE9" w:rsidRPr="00701F32" w:rsidRDefault="00A06BE9" w:rsidP="00A06BE9">
      <w:pPr>
        <w:tabs>
          <w:tab w:val="left" w:pos="142"/>
          <w:tab w:val="left" w:pos="9923"/>
        </w:tabs>
        <w:jc w:val="both"/>
        <w:rPr>
          <w:rFonts w:ascii="Arial" w:hAnsi="Arial" w:cs="Arial"/>
          <w:b/>
          <w:sz w:val="20"/>
        </w:rPr>
      </w:pPr>
      <w:r w:rsidRPr="00701F32">
        <w:rPr>
          <w:rFonts w:ascii="Arial" w:hAnsi="Arial" w:cs="Arial"/>
          <w:b/>
          <w:sz w:val="20"/>
        </w:rPr>
        <w:t xml:space="preserve">Programa Global de Emisión de Obligaciones Negociables por hasta V/N $ 750.000 (ampliado a V/N $2.000.000). </w:t>
      </w:r>
    </w:p>
    <w:p w14:paraId="50C65BCE" w14:textId="77777777" w:rsidR="00A06BE9" w:rsidRPr="00701F32" w:rsidRDefault="00A06BE9" w:rsidP="00A06BE9">
      <w:pPr>
        <w:pStyle w:val="NoSpacing"/>
        <w:jc w:val="both"/>
        <w:rPr>
          <w:rFonts w:ascii="Arial" w:hAnsi="Arial" w:cs="Arial"/>
          <w:sz w:val="20"/>
          <w:szCs w:val="20"/>
        </w:rPr>
      </w:pPr>
    </w:p>
    <w:p w14:paraId="06B55A57" w14:textId="03DB3C00" w:rsidR="005C4329" w:rsidRPr="00701F32" w:rsidRDefault="005C4329" w:rsidP="00A06BE9">
      <w:pPr>
        <w:pStyle w:val="NoSpacing"/>
        <w:jc w:val="both"/>
        <w:rPr>
          <w:rFonts w:ascii="Arial" w:hAnsi="Arial" w:cs="Arial"/>
          <w:sz w:val="20"/>
          <w:szCs w:val="20"/>
        </w:rPr>
      </w:pPr>
      <w:r w:rsidRPr="00701F32">
        <w:rPr>
          <w:rFonts w:ascii="Arial" w:hAnsi="Arial" w:cs="Arial"/>
          <w:sz w:val="20"/>
          <w:szCs w:val="20"/>
        </w:rPr>
        <w:t xml:space="preserve">Con fecha 25 de marzo de 2013, la Asamblea General Extraordinaria de Accionistas resolvió aprobar la creación de un Programa Global de Emisión de Obligaciones Negociables por hasta un monto máximo en circulación en cualquier momento durante la vigencia del programa de </w:t>
      </w:r>
      <w:r w:rsidR="004C2C24">
        <w:rPr>
          <w:rFonts w:ascii="Arial" w:hAnsi="Arial" w:cs="Arial"/>
          <w:sz w:val="20"/>
          <w:szCs w:val="20"/>
        </w:rPr>
        <w:t>$</w:t>
      </w:r>
      <w:r w:rsidR="004C2C24" w:rsidRPr="00701F32">
        <w:rPr>
          <w:rFonts w:ascii="Arial" w:hAnsi="Arial" w:cs="Arial"/>
          <w:sz w:val="20"/>
          <w:szCs w:val="20"/>
        </w:rPr>
        <w:t xml:space="preserve"> </w:t>
      </w:r>
      <w:r w:rsidRPr="00701F32">
        <w:rPr>
          <w:rFonts w:ascii="Arial" w:hAnsi="Arial" w:cs="Arial"/>
          <w:sz w:val="20"/>
          <w:szCs w:val="20"/>
        </w:rPr>
        <w:t>750.000. Al respecto, cabe mencionar que en fecha 15 de abril de 2016 la Asamblea General Ordinaria y Extraordinaria de Accionistas resolvió incrementar el monto máximo de dicho programa hasta un valor nominal de pesos 2.000.000</w:t>
      </w:r>
      <w:r w:rsidR="00CE53C0">
        <w:rPr>
          <w:rFonts w:ascii="Arial" w:hAnsi="Arial" w:cs="Arial"/>
          <w:sz w:val="20"/>
          <w:szCs w:val="20"/>
        </w:rPr>
        <w:t xml:space="preserve"> </w:t>
      </w:r>
      <w:r w:rsidRPr="00701F32">
        <w:rPr>
          <w:rFonts w:ascii="Arial" w:hAnsi="Arial" w:cs="Arial"/>
          <w:sz w:val="20"/>
          <w:szCs w:val="20"/>
        </w:rPr>
        <w:t>o su equivalente en otras monedas, el cual fue aprobado por CNV mediante resolución N° 18.224 con fecha 22 de septiembre de 2016.</w:t>
      </w:r>
    </w:p>
    <w:p w14:paraId="5070EA2C" w14:textId="77777777" w:rsidR="00A06BE9" w:rsidRPr="00701F32" w:rsidRDefault="00A06BE9" w:rsidP="00A06BE9">
      <w:pPr>
        <w:pStyle w:val="NoSpacing"/>
        <w:jc w:val="both"/>
        <w:rPr>
          <w:rFonts w:ascii="Arial" w:hAnsi="Arial" w:cs="Arial"/>
          <w:sz w:val="20"/>
          <w:szCs w:val="20"/>
        </w:rPr>
      </w:pPr>
    </w:p>
    <w:p w14:paraId="16D4777F" w14:textId="417D67C9" w:rsidR="00A06BE9" w:rsidRPr="00701F32" w:rsidRDefault="00A06BE9" w:rsidP="00A06BE9">
      <w:pPr>
        <w:pStyle w:val="PrimerNivel"/>
        <w:numPr>
          <w:ilvl w:val="0"/>
          <w:numId w:val="0"/>
        </w:numPr>
        <w:rPr>
          <w:rFonts w:ascii="Arial" w:hAnsi="Arial" w:cs="Arial"/>
          <w:sz w:val="20"/>
          <w:szCs w:val="20"/>
        </w:rPr>
      </w:pPr>
      <w:r w:rsidRPr="00701F32">
        <w:rPr>
          <w:rFonts w:ascii="Arial" w:hAnsi="Arial" w:cs="Arial"/>
          <w:sz w:val="20"/>
          <w:szCs w:val="20"/>
        </w:rPr>
        <w:t>A continuación, se detallan los principales términos y condiciones</w:t>
      </w:r>
      <w:r w:rsidR="005D476E">
        <w:rPr>
          <w:rFonts w:ascii="Arial" w:hAnsi="Arial" w:cs="Arial"/>
          <w:sz w:val="20"/>
          <w:szCs w:val="20"/>
        </w:rPr>
        <w:t xml:space="preserve"> de las emisiones vigentes al 3</w:t>
      </w:r>
      <w:r w:rsidR="00FC3DB3">
        <w:rPr>
          <w:rFonts w:ascii="Arial" w:hAnsi="Arial" w:cs="Arial"/>
          <w:sz w:val="20"/>
          <w:szCs w:val="20"/>
        </w:rPr>
        <w:t>1</w:t>
      </w:r>
      <w:r w:rsidRPr="00701F32">
        <w:rPr>
          <w:rFonts w:ascii="Arial" w:hAnsi="Arial" w:cs="Arial"/>
          <w:sz w:val="20"/>
          <w:szCs w:val="20"/>
        </w:rPr>
        <w:t xml:space="preserve"> de </w:t>
      </w:r>
      <w:r w:rsidR="00FC3DB3">
        <w:rPr>
          <w:rFonts w:ascii="Arial" w:hAnsi="Arial" w:cs="Arial"/>
          <w:sz w:val="20"/>
          <w:szCs w:val="20"/>
        </w:rPr>
        <w:t>marzo</w:t>
      </w:r>
      <w:r w:rsidR="00FD1A20">
        <w:rPr>
          <w:rFonts w:ascii="Arial" w:hAnsi="Arial" w:cs="Arial"/>
          <w:sz w:val="20"/>
          <w:szCs w:val="20"/>
        </w:rPr>
        <w:t xml:space="preserve"> de 20</w:t>
      </w:r>
      <w:r w:rsidR="00FC3DB3">
        <w:rPr>
          <w:rFonts w:ascii="Arial" w:hAnsi="Arial" w:cs="Arial"/>
          <w:sz w:val="20"/>
          <w:szCs w:val="20"/>
        </w:rPr>
        <w:t>20</w:t>
      </w:r>
      <w:r w:rsidR="00FD1A20">
        <w:rPr>
          <w:rFonts w:ascii="Arial" w:hAnsi="Arial" w:cs="Arial"/>
          <w:sz w:val="20"/>
          <w:szCs w:val="20"/>
        </w:rPr>
        <w:t xml:space="preserve"> </w:t>
      </w:r>
      <w:r w:rsidR="00475EFD">
        <w:rPr>
          <w:rFonts w:ascii="Arial" w:hAnsi="Arial" w:cs="Arial"/>
          <w:sz w:val="20"/>
          <w:szCs w:val="20"/>
        </w:rPr>
        <w:t>y</w:t>
      </w:r>
      <w:r w:rsidR="00FD1A20">
        <w:rPr>
          <w:rFonts w:ascii="Arial" w:hAnsi="Arial" w:cs="Arial"/>
          <w:sz w:val="20"/>
          <w:szCs w:val="20"/>
        </w:rPr>
        <w:t xml:space="preserve"> 31 de diciembre de 201</w:t>
      </w:r>
      <w:r w:rsidR="00FC3DB3">
        <w:rPr>
          <w:rFonts w:ascii="Arial" w:hAnsi="Arial" w:cs="Arial"/>
          <w:sz w:val="20"/>
          <w:szCs w:val="20"/>
        </w:rPr>
        <w:t>9</w:t>
      </w:r>
      <w:r w:rsidRPr="00701F32">
        <w:rPr>
          <w:rFonts w:ascii="Arial" w:hAnsi="Arial" w:cs="Arial"/>
          <w:sz w:val="20"/>
          <w:szCs w:val="20"/>
        </w:rPr>
        <w:t>:</w:t>
      </w:r>
    </w:p>
    <w:p w14:paraId="6FF910FC" w14:textId="77777777" w:rsidR="00A06BE9" w:rsidRPr="00701F32" w:rsidRDefault="00A06BE9" w:rsidP="00A06BE9">
      <w:pPr>
        <w:pStyle w:val="NoSpacing"/>
        <w:jc w:val="both"/>
        <w:rPr>
          <w:rFonts w:ascii="Arial" w:hAnsi="Arial" w:cs="Arial"/>
          <w:sz w:val="20"/>
          <w:szCs w:val="20"/>
          <w:lang w:val="es-PE"/>
        </w:rPr>
      </w:pPr>
    </w:p>
    <w:tbl>
      <w:tblPr>
        <w:tblW w:w="9151" w:type="dxa"/>
        <w:tblInd w:w="55" w:type="dxa"/>
        <w:tblLayout w:type="fixed"/>
        <w:tblCellMar>
          <w:left w:w="70" w:type="dxa"/>
          <w:right w:w="70" w:type="dxa"/>
        </w:tblCellMar>
        <w:tblLook w:val="04A0" w:firstRow="1" w:lastRow="0" w:firstColumn="1" w:lastColumn="0" w:noHBand="0" w:noVBand="1"/>
      </w:tblPr>
      <w:tblGrid>
        <w:gridCol w:w="982"/>
        <w:gridCol w:w="750"/>
        <w:gridCol w:w="570"/>
        <w:gridCol w:w="873"/>
        <w:gridCol w:w="1227"/>
        <w:gridCol w:w="774"/>
        <w:gridCol w:w="1054"/>
        <w:gridCol w:w="845"/>
        <w:gridCol w:w="1176"/>
        <w:gridCol w:w="900"/>
      </w:tblGrid>
      <w:tr w:rsidR="006B05D4" w:rsidRPr="00701F32" w14:paraId="5EAFF631" w14:textId="77777777" w:rsidTr="002E1AF6">
        <w:trPr>
          <w:trHeight w:val="303"/>
        </w:trPr>
        <w:tc>
          <w:tcPr>
            <w:tcW w:w="9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0D892F"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colocación</w:t>
            </w:r>
          </w:p>
        </w:tc>
        <w:tc>
          <w:tcPr>
            <w:tcW w:w="7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54B0CF" w14:textId="77777777" w:rsidR="006B05D4" w:rsidRPr="00701F32" w:rsidRDefault="006B05D4" w:rsidP="00464C0F">
            <w:pPr>
              <w:jc w:val="center"/>
              <w:rPr>
                <w:rFonts w:ascii="Arial" w:hAnsi="Arial" w:cs="Arial"/>
                <w:color w:val="000000"/>
                <w:sz w:val="14"/>
                <w:szCs w:val="16"/>
                <w:lang w:eastAsia="es-AR"/>
              </w:rPr>
            </w:pPr>
            <w:r w:rsidRPr="00701F32">
              <w:rPr>
                <w:rFonts w:ascii="Arial" w:hAnsi="Arial" w:cs="Arial"/>
                <w:color w:val="000000"/>
                <w:sz w:val="14"/>
                <w:szCs w:val="16"/>
                <w:lang w:eastAsia="es-AR"/>
              </w:rPr>
              <w:t>Moneda</w:t>
            </w:r>
          </w:p>
        </w:tc>
        <w:tc>
          <w:tcPr>
            <w:tcW w:w="5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0FBBC8"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Nro. de Clase</w:t>
            </w:r>
          </w:p>
        </w:tc>
        <w:tc>
          <w:tcPr>
            <w:tcW w:w="87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A3C58C"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Monto</w:t>
            </w:r>
          </w:p>
        </w:tc>
        <w:tc>
          <w:tcPr>
            <w:tcW w:w="12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DE2FD3"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Amortización</w:t>
            </w:r>
          </w:p>
        </w:tc>
        <w:tc>
          <w:tcPr>
            <w:tcW w:w="7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8DD92AF"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Plazo</w:t>
            </w:r>
          </w:p>
        </w:tc>
        <w:tc>
          <w:tcPr>
            <w:tcW w:w="10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51261C"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vencimiento</w:t>
            </w:r>
          </w:p>
        </w:tc>
        <w:tc>
          <w:tcPr>
            <w:tcW w:w="8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2FAE2E"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Tasa</w:t>
            </w:r>
          </w:p>
        </w:tc>
        <w:tc>
          <w:tcPr>
            <w:tcW w:w="2076" w:type="dxa"/>
            <w:gridSpan w:val="2"/>
            <w:tcBorders>
              <w:top w:val="single" w:sz="8" w:space="0" w:color="auto"/>
              <w:left w:val="nil"/>
              <w:bottom w:val="single" w:sz="8" w:space="0" w:color="auto"/>
              <w:right w:val="single" w:sz="8" w:space="0" w:color="000000"/>
            </w:tcBorders>
            <w:shd w:val="clear" w:color="auto" w:fill="auto"/>
            <w:vAlign w:val="center"/>
            <w:hideMark/>
          </w:tcPr>
          <w:p w14:paraId="0339E26C"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Valor Libros</w:t>
            </w:r>
          </w:p>
        </w:tc>
      </w:tr>
      <w:tr w:rsidR="00FC3DB3" w:rsidRPr="00701F32" w14:paraId="6F01B466" w14:textId="77777777" w:rsidTr="002E1AF6">
        <w:trPr>
          <w:trHeight w:val="303"/>
        </w:trPr>
        <w:tc>
          <w:tcPr>
            <w:tcW w:w="982" w:type="dxa"/>
            <w:vMerge/>
            <w:tcBorders>
              <w:top w:val="single" w:sz="8" w:space="0" w:color="auto"/>
              <w:left w:val="single" w:sz="8" w:space="0" w:color="auto"/>
              <w:bottom w:val="single" w:sz="8" w:space="0" w:color="000000"/>
              <w:right w:val="single" w:sz="8" w:space="0" w:color="auto"/>
            </w:tcBorders>
            <w:vAlign w:val="center"/>
            <w:hideMark/>
          </w:tcPr>
          <w:p w14:paraId="1F848F0C" w14:textId="77777777" w:rsidR="00FC3DB3" w:rsidRPr="00701F32" w:rsidRDefault="00FC3DB3" w:rsidP="00FC3DB3">
            <w:pPr>
              <w:jc w:val="center"/>
              <w:rPr>
                <w:rFonts w:ascii="Arial" w:hAnsi="Arial" w:cs="Arial"/>
                <w:b/>
                <w:color w:val="000000"/>
                <w:sz w:val="14"/>
                <w:szCs w:val="16"/>
                <w:lang w:eastAsia="es-AR"/>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3B70704A" w14:textId="77777777" w:rsidR="00FC3DB3" w:rsidRPr="00701F32" w:rsidRDefault="00FC3DB3" w:rsidP="00FC3DB3">
            <w:pPr>
              <w:jc w:val="center"/>
              <w:rPr>
                <w:rFonts w:ascii="Arial" w:hAnsi="Arial" w:cs="Arial"/>
                <w:b/>
                <w:color w:val="000000"/>
                <w:sz w:val="14"/>
                <w:szCs w:val="16"/>
                <w:lang w:eastAsia="es-AR"/>
              </w:rPr>
            </w:pPr>
          </w:p>
        </w:tc>
        <w:tc>
          <w:tcPr>
            <w:tcW w:w="570" w:type="dxa"/>
            <w:vMerge/>
            <w:tcBorders>
              <w:top w:val="single" w:sz="8" w:space="0" w:color="auto"/>
              <w:left w:val="single" w:sz="8" w:space="0" w:color="auto"/>
              <w:bottom w:val="single" w:sz="8" w:space="0" w:color="000000"/>
              <w:right w:val="single" w:sz="8" w:space="0" w:color="auto"/>
            </w:tcBorders>
            <w:vAlign w:val="center"/>
            <w:hideMark/>
          </w:tcPr>
          <w:p w14:paraId="639091CF" w14:textId="77777777" w:rsidR="00FC3DB3" w:rsidRPr="00701F32" w:rsidRDefault="00FC3DB3" w:rsidP="00FC3DB3">
            <w:pPr>
              <w:jc w:val="center"/>
              <w:rPr>
                <w:rFonts w:ascii="Arial" w:hAnsi="Arial" w:cs="Arial"/>
                <w:b/>
                <w:color w:val="000000"/>
                <w:sz w:val="14"/>
                <w:szCs w:val="16"/>
                <w:lang w:eastAsia="es-AR"/>
              </w:rPr>
            </w:pPr>
          </w:p>
        </w:tc>
        <w:tc>
          <w:tcPr>
            <w:tcW w:w="873" w:type="dxa"/>
            <w:vMerge/>
            <w:tcBorders>
              <w:top w:val="single" w:sz="8" w:space="0" w:color="auto"/>
              <w:left w:val="single" w:sz="8" w:space="0" w:color="auto"/>
              <w:bottom w:val="single" w:sz="8" w:space="0" w:color="000000"/>
              <w:right w:val="single" w:sz="8" w:space="0" w:color="auto"/>
            </w:tcBorders>
            <w:vAlign w:val="center"/>
            <w:hideMark/>
          </w:tcPr>
          <w:p w14:paraId="3C36A49E" w14:textId="77777777" w:rsidR="00FC3DB3" w:rsidRPr="00701F32" w:rsidRDefault="00FC3DB3" w:rsidP="00FC3DB3">
            <w:pPr>
              <w:jc w:val="center"/>
              <w:rPr>
                <w:rFonts w:ascii="Arial" w:hAnsi="Arial" w:cs="Arial"/>
                <w:b/>
                <w:color w:val="000000"/>
                <w:sz w:val="14"/>
                <w:szCs w:val="16"/>
                <w:lang w:eastAsia="es-AR"/>
              </w:rPr>
            </w:pPr>
          </w:p>
        </w:tc>
        <w:tc>
          <w:tcPr>
            <w:tcW w:w="1227" w:type="dxa"/>
            <w:vMerge/>
            <w:tcBorders>
              <w:top w:val="single" w:sz="8" w:space="0" w:color="auto"/>
              <w:left w:val="single" w:sz="8" w:space="0" w:color="auto"/>
              <w:bottom w:val="single" w:sz="8" w:space="0" w:color="000000"/>
              <w:right w:val="single" w:sz="8" w:space="0" w:color="auto"/>
            </w:tcBorders>
            <w:vAlign w:val="center"/>
            <w:hideMark/>
          </w:tcPr>
          <w:p w14:paraId="175602E3" w14:textId="77777777" w:rsidR="00FC3DB3" w:rsidRPr="00701F32" w:rsidRDefault="00FC3DB3" w:rsidP="00FC3DB3">
            <w:pPr>
              <w:jc w:val="center"/>
              <w:rPr>
                <w:rFonts w:ascii="Arial" w:hAnsi="Arial" w:cs="Arial"/>
                <w:b/>
                <w:color w:val="000000"/>
                <w:sz w:val="14"/>
                <w:szCs w:val="16"/>
                <w:lang w:eastAsia="es-AR"/>
              </w:rPr>
            </w:pPr>
          </w:p>
        </w:tc>
        <w:tc>
          <w:tcPr>
            <w:tcW w:w="774" w:type="dxa"/>
            <w:vMerge/>
            <w:tcBorders>
              <w:top w:val="single" w:sz="8" w:space="0" w:color="auto"/>
              <w:left w:val="single" w:sz="8" w:space="0" w:color="auto"/>
              <w:bottom w:val="single" w:sz="8" w:space="0" w:color="000000"/>
              <w:right w:val="single" w:sz="8" w:space="0" w:color="auto"/>
            </w:tcBorders>
            <w:vAlign w:val="center"/>
            <w:hideMark/>
          </w:tcPr>
          <w:p w14:paraId="59B98EDD" w14:textId="77777777" w:rsidR="00FC3DB3" w:rsidRPr="00701F32" w:rsidRDefault="00FC3DB3" w:rsidP="00FC3DB3">
            <w:pPr>
              <w:jc w:val="center"/>
              <w:rPr>
                <w:rFonts w:ascii="Arial" w:hAnsi="Arial" w:cs="Arial"/>
                <w:b/>
                <w:color w:val="000000"/>
                <w:sz w:val="14"/>
                <w:szCs w:val="16"/>
                <w:lang w:eastAsia="es-AR"/>
              </w:rPr>
            </w:pPr>
          </w:p>
        </w:tc>
        <w:tc>
          <w:tcPr>
            <w:tcW w:w="1051" w:type="dxa"/>
            <w:vMerge/>
            <w:tcBorders>
              <w:top w:val="single" w:sz="8" w:space="0" w:color="auto"/>
              <w:left w:val="single" w:sz="8" w:space="0" w:color="auto"/>
              <w:bottom w:val="single" w:sz="8" w:space="0" w:color="000000"/>
              <w:right w:val="single" w:sz="8" w:space="0" w:color="auto"/>
            </w:tcBorders>
            <w:vAlign w:val="center"/>
            <w:hideMark/>
          </w:tcPr>
          <w:p w14:paraId="3EAA8A4E" w14:textId="77777777" w:rsidR="00FC3DB3" w:rsidRPr="00701F32" w:rsidRDefault="00FC3DB3" w:rsidP="00FC3DB3">
            <w:pPr>
              <w:jc w:val="center"/>
              <w:rPr>
                <w:rFonts w:ascii="Arial" w:hAnsi="Arial" w:cs="Arial"/>
                <w:b/>
                <w:color w:val="000000"/>
                <w:sz w:val="14"/>
                <w:szCs w:val="16"/>
                <w:lang w:eastAsia="es-AR"/>
              </w:rPr>
            </w:pPr>
          </w:p>
        </w:tc>
        <w:tc>
          <w:tcPr>
            <w:tcW w:w="845" w:type="dxa"/>
            <w:vMerge/>
            <w:tcBorders>
              <w:top w:val="single" w:sz="8" w:space="0" w:color="auto"/>
              <w:left w:val="single" w:sz="8" w:space="0" w:color="auto"/>
              <w:bottom w:val="single" w:sz="8" w:space="0" w:color="000000"/>
              <w:right w:val="single" w:sz="8" w:space="0" w:color="auto"/>
            </w:tcBorders>
            <w:vAlign w:val="center"/>
            <w:hideMark/>
          </w:tcPr>
          <w:p w14:paraId="2F8899E5" w14:textId="77777777" w:rsidR="00FC3DB3" w:rsidRPr="00701F32" w:rsidRDefault="00FC3DB3" w:rsidP="00FC3DB3">
            <w:pPr>
              <w:jc w:val="center"/>
              <w:rPr>
                <w:rFonts w:ascii="Arial" w:hAnsi="Arial" w:cs="Arial"/>
                <w:b/>
                <w:color w:val="000000"/>
                <w:sz w:val="14"/>
                <w:szCs w:val="16"/>
                <w:lang w:eastAsia="es-AR"/>
              </w:rPr>
            </w:pPr>
          </w:p>
        </w:tc>
        <w:tc>
          <w:tcPr>
            <w:tcW w:w="1176" w:type="dxa"/>
            <w:tcBorders>
              <w:top w:val="nil"/>
              <w:left w:val="nil"/>
              <w:bottom w:val="single" w:sz="8" w:space="0" w:color="auto"/>
              <w:right w:val="single" w:sz="8" w:space="0" w:color="auto"/>
            </w:tcBorders>
            <w:shd w:val="clear" w:color="auto" w:fill="auto"/>
            <w:vAlign w:val="center"/>
          </w:tcPr>
          <w:p w14:paraId="2684AB94" w14:textId="71DE2D29" w:rsidR="00FC3DB3" w:rsidRPr="00701F32" w:rsidRDefault="00FC3DB3" w:rsidP="00FC3DB3">
            <w:pPr>
              <w:jc w:val="center"/>
              <w:rPr>
                <w:rFonts w:ascii="Arial" w:hAnsi="Arial" w:cs="Arial"/>
                <w:b/>
                <w:color w:val="000000"/>
                <w:sz w:val="14"/>
                <w:szCs w:val="16"/>
                <w:lang w:eastAsia="es-AR"/>
              </w:rPr>
            </w:pPr>
            <w:r>
              <w:rPr>
                <w:rFonts w:ascii="Arial" w:hAnsi="Arial" w:cs="Arial"/>
                <w:b/>
                <w:color w:val="000000"/>
                <w:sz w:val="14"/>
                <w:szCs w:val="16"/>
                <w:lang w:eastAsia="es-AR"/>
              </w:rPr>
              <w:t>31/03/2020</w:t>
            </w:r>
          </w:p>
        </w:tc>
        <w:tc>
          <w:tcPr>
            <w:tcW w:w="900" w:type="dxa"/>
            <w:tcBorders>
              <w:top w:val="nil"/>
              <w:left w:val="nil"/>
              <w:bottom w:val="single" w:sz="8" w:space="0" w:color="auto"/>
              <w:right w:val="single" w:sz="8" w:space="0" w:color="auto"/>
            </w:tcBorders>
            <w:shd w:val="clear" w:color="auto" w:fill="auto"/>
            <w:vAlign w:val="center"/>
          </w:tcPr>
          <w:p w14:paraId="4AB707E2" w14:textId="73777973" w:rsidR="00FC3DB3" w:rsidRPr="00701F32" w:rsidRDefault="00FC3DB3" w:rsidP="00FC3DB3">
            <w:pPr>
              <w:jc w:val="center"/>
              <w:rPr>
                <w:rFonts w:ascii="Arial" w:hAnsi="Arial" w:cs="Arial"/>
                <w:b/>
                <w:color w:val="000000"/>
                <w:sz w:val="14"/>
                <w:szCs w:val="16"/>
                <w:lang w:eastAsia="es-AR"/>
              </w:rPr>
            </w:pPr>
            <w:r>
              <w:rPr>
                <w:rFonts w:ascii="Arial" w:hAnsi="Arial" w:cs="Arial"/>
                <w:b/>
                <w:color w:val="000000"/>
                <w:sz w:val="14"/>
                <w:szCs w:val="16"/>
                <w:lang w:eastAsia="es-AR"/>
              </w:rPr>
              <w:t>31/12/2019</w:t>
            </w:r>
          </w:p>
        </w:tc>
      </w:tr>
      <w:tr w:rsidR="00FC3DB3" w:rsidRPr="00701F32" w14:paraId="765E60A5" w14:textId="77777777" w:rsidTr="002E1AF6">
        <w:trPr>
          <w:trHeight w:val="303"/>
        </w:trPr>
        <w:tc>
          <w:tcPr>
            <w:tcW w:w="982" w:type="dxa"/>
            <w:tcBorders>
              <w:top w:val="nil"/>
              <w:left w:val="single" w:sz="8" w:space="0" w:color="auto"/>
              <w:bottom w:val="single" w:sz="8" w:space="0" w:color="auto"/>
              <w:right w:val="single" w:sz="8" w:space="0" w:color="auto"/>
            </w:tcBorders>
            <w:shd w:val="clear" w:color="auto" w:fill="auto"/>
            <w:noWrap/>
            <w:vAlign w:val="center"/>
            <w:hideMark/>
          </w:tcPr>
          <w:p w14:paraId="6D2911C3"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20/08/13</w:t>
            </w:r>
          </w:p>
        </w:tc>
        <w:tc>
          <w:tcPr>
            <w:tcW w:w="750" w:type="dxa"/>
            <w:tcBorders>
              <w:top w:val="nil"/>
              <w:left w:val="nil"/>
              <w:bottom w:val="single" w:sz="8" w:space="0" w:color="auto"/>
              <w:right w:val="single" w:sz="8" w:space="0" w:color="auto"/>
            </w:tcBorders>
            <w:shd w:val="clear" w:color="auto" w:fill="auto"/>
            <w:noWrap/>
            <w:vAlign w:val="center"/>
            <w:hideMark/>
          </w:tcPr>
          <w:p w14:paraId="5B9B55C8"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70" w:type="dxa"/>
            <w:tcBorders>
              <w:top w:val="nil"/>
              <w:left w:val="nil"/>
              <w:bottom w:val="single" w:sz="8" w:space="0" w:color="auto"/>
              <w:right w:val="single" w:sz="8" w:space="0" w:color="auto"/>
            </w:tcBorders>
            <w:shd w:val="clear" w:color="auto" w:fill="auto"/>
            <w:noWrap/>
            <w:vAlign w:val="center"/>
            <w:hideMark/>
          </w:tcPr>
          <w:p w14:paraId="7136C1E1"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III</w:t>
            </w:r>
          </w:p>
        </w:tc>
        <w:tc>
          <w:tcPr>
            <w:tcW w:w="873" w:type="dxa"/>
            <w:tcBorders>
              <w:top w:val="nil"/>
              <w:left w:val="nil"/>
              <w:bottom w:val="single" w:sz="8" w:space="0" w:color="auto"/>
              <w:right w:val="single" w:sz="8" w:space="0" w:color="auto"/>
            </w:tcBorders>
            <w:shd w:val="clear" w:color="auto" w:fill="auto"/>
            <w:noWrap/>
            <w:vAlign w:val="center"/>
            <w:hideMark/>
          </w:tcPr>
          <w:p w14:paraId="5CB8C7FA" w14:textId="77777777" w:rsidR="00FC3DB3" w:rsidRPr="00701F32" w:rsidRDefault="00FC3DB3" w:rsidP="00FC3DB3">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22.500</w:t>
            </w:r>
          </w:p>
        </w:tc>
        <w:tc>
          <w:tcPr>
            <w:tcW w:w="1227" w:type="dxa"/>
            <w:tcBorders>
              <w:top w:val="nil"/>
              <w:left w:val="nil"/>
              <w:bottom w:val="single" w:sz="8" w:space="0" w:color="auto"/>
              <w:right w:val="single" w:sz="8" w:space="0" w:color="auto"/>
            </w:tcBorders>
            <w:shd w:val="clear" w:color="auto" w:fill="auto"/>
            <w:vAlign w:val="center"/>
            <w:hideMark/>
          </w:tcPr>
          <w:p w14:paraId="37DCA9BF"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74" w:type="dxa"/>
            <w:tcBorders>
              <w:top w:val="nil"/>
              <w:left w:val="nil"/>
              <w:bottom w:val="single" w:sz="8" w:space="0" w:color="auto"/>
              <w:right w:val="single" w:sz="8" w:space="0" w:color="auto"/>
            </w:tcBorders>
            <w:shd w:val="clear" w:color="auto" w:fill="auto"/>
            <w:noWrap/>
            <w:vAlign w:val="center"/>
            <w:hideMark/>
          </w:tcPr>
          <w:p w14:paraId="2768DBC1" w14:textId="032C0077" w:rsidR="00FC3DB3" w:rsidRPr="00701F32" w:rsidRDefault="00FC3DB3" w:rsidP="00FC3DB3">
            <w:pPr>
              <w:jc w:val="center"/>
              <w:rPr>
                <w:rFonts w:ascii="Arial" w:hAnsi="Arial" w:cs="Arial"/>
                <w:color w:val="000000"/>
                <w:sz w:val="14"/>
                <w:szCs w:val="16"/>
                <w:lang w:eastAsia="es-AR"/>
              </w:rPr>
            </w:pPr>
            <w:r w:rsidRPr="00701F32">
              <w:rPr>
                <w:rFonts w:ascii="Arial" w:hAnsi="Arial" w:cs="Arial"/>
                <w:color w:val="000000"/>
                <w:sz w:val="14"/>
                <w:szCs w:val="16"/>
                <w:lang w:eastAsia="es-AR"/>
              </w:rPr>
              <w:t>84 meses</w:t>
            </w:r>
          </w:p>
        </w:tc>
        <w:tc>
          <w:tcPr>
            <w:tcW w:w="1051" w:type="dxa"/>
            <w:tcBorders>
              <w:top w:val="nil"/>
              <w:left w:val="nil"/>
              <w:bottom w:val="single" w:sz="8" w:space="0" w:color="auto"/>
              <w:right w:val="single" w:sz="8" w:space="0" w:color="auto"/>
            </w:tcBorders>
            <w:shd w:val="clear" w:color="auto" w:fill="auto"/>
            <w:noWrap/>
            <w:vAlign w:val="center"/>
            <w:hideMark/>
          </w:tcPr>
          <w:p w14:paraId="7CC34D02" w14:textId="77777777" w:rsidR="00FC3DB3" w:rsidRPr="00701F32" w:rsidRDefault="00FC3DB3" w:rsidP="00FC3DB3">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20/08/20</w:t>
            </w:r>
          </w:p>
        </w:tc>
        <w:tc>
          <w:tcPr>
            <w:tcW w:w="845" w:type="dxa"/>
            <w:tcBorders>
              <w:top w:val="nil"/>
              <w:left w:val="nil"/>
              <w:bottom w:val="single" w:sz="8" w:space="0" w:color="auto"/>
              <w:right w:val="single" w:sz="8" w:space="0" w:color="auto"/>
            </w:tcBorders>
            <w:shd w:val="clear" w:color="auto" w:fill="auto"/>
            <w:noWrap/>
            <w:vAlign w:val="center"/>
            <w:hideMark/>
          </w:tcPr>
          <w:p w14:paraId="6B6E3405" w14:textId="77777777" w:rsidR="00FC3DB3" w:rsidRPr="00701F32" w:rsidRDefault="00FC3DB3" w:rsidP="00FC3DB3">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1176" w:type="dxa"/>
            <w:tcBorders>
              <w:top w:val="nil"/>
              <w:left w:val="nil"/>
              <w:bottom w:val="single" w:sz="8" w:space="0" w:color="auto"/>
              <w:right w:val="single" w:sz="8" w:space="0" w:color="auto"/>
            </w:tcBorders>
            <w:shd w:val="clear" w:color="auto" w:fill="auto"/>
            <w:noWrap/>
            <w:vAlign w:val="center"/>
          </w:tcPr>
          <w:p w14:paraId="7DCE8C0A" w14:textId="497B1ED9" w:rsidR="00FC3DB3" w:rsidRPr="001E09C8" w:rsidRDefault="00FC3DB3" w:rsidP="00FC3DB3">
            <w:pPr>
              <w:jc w:val="right"/>
              <w:rPr>
                <w:rFonts w:ascii="Arial" w:hAnsi="Arial" w:cs="Arial"/>
                <w:color w:val="000000"/>
                <w:sz w:val="14"/>
                <w:szCs w:val="14"/>
                <w:lang w:val="es-ES_tradnl" w:eastAsia="es-AR"/>
              </w:rPr>
            </w:pPr>
            <w:r>
              <w:rPr>
                <w:rFonts w:ascii="Arial" w:hAnsi="Arial" w:cs="Arial"/>
                <w:color w:val="000000"/>
                <w:sz w:val="14"/>
                <w:szCs w:val="14"/>
              </w:rPr>
              <w:t>1.022.611</w:t>
            </w:r>
          </w:p>
        </w:tc>
        <w:tc>
          <w:tcPr>
            <w:tcW w:w="900" w:type="dxa"/>
            <w:tcBorders>
              <w:top w:val="nil"/>
              <w:left w:val="nil"/>
              <w:bottom w:val="single" w:sz="8" w:space="0" w:color="auto"/>
              <w:right w:val="single" w:sz="8" w:space="0" w:color="auto"/>
            </w:tcBorders>
            <w:shd w:val="clear" w:color="auto" w:fill="auto"/>
            <w:noWrap/>
            <w:vAlign w:val="center"/>
          </w:tcPr>
          <w:p w14:paraId="77DF4EF2" w14:textId="1DA1A911" w:rsidR="00FC3DB3" w:rsidRPr="00710EB6" w:rsidRDefault="00B86973" w:rsidP="00FC3DB3">
            <w:pPr>
              <w:jc w:val="right"/>
              <w:rPr>
                <w:rFonts w:ascii="Arial" w:hAnsi="Arial" w:cs="Arial"/>
                <w:color w:val="000000"/>
                <w:sz w:val="14"/>
                <w:szCs w:val="14"/>
                <w:lang w:val="es-ES_tradnl" w:eastAsia="es-AR"/>
              </w:rPr>
            </w:pPr>
            <w:r>
              <w:rPr>
                <w:rFonts w:ascii="Arial" w:hAnsi="Arial" w:cs="Arial"/>
                <w:color w:val="000000"/>
                <w:sz w:val="14"/>
                <w:szCs w:val="14"/>
              </w:rPr>
              <w:t>1.410.231</w:t>
            </w:r>
          </w:p>
        </w:tc>
      </w:tr>
      <w:tr w:rsidR="00FC3DB3" w:rsidRPr="00701F32" w14:paraId="1C53E9A0" w14:textId="77777777" w:rsidTr="002E1AF6">
        <w:trPr>
          <w:trHeight w:val="303"/>
        </w:trPr>
        <w:tc>
          <w:tcPr>
            <w:tcW w:w="982" w:type="dxa"/>
            <w:tcBorders>
              <w:top w:val="nil"/>
              <w:left w:val="single" w:sz="8" w:space="0" w:color="auto"/>
              <w:bottom w:val="single" w:sz="8" w:space="0" w:color="auto"/>
              <w:right w:val="single" w:sz="8" w:space="0" w:color="auto"/>
            </w:tcBorders>
            <w:shd w:val="clear" w:color="auto" w:fill="auto"/>
            <w:noWrap/>
            <w:vAlign w:val="center"/>
            <w:hideMark/>
          </w:tcPr>
          <w:p w14:paraId="1DAE9DAB"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18/11/14</w:t>
            </w:r>
          </w:p>
        </w:tc>
        <w:tc>
          <w:tcPr>
            <w:tcW w:w="750" w:type="dxa"/>
            <w:tcBorders>
              <w:top w:val="nil"/>
              <w:left w:val="nil"/>
              <w:bottom w:val="single" w:sz="8" w:space="0" w:color="auto"/>
              <w:right w:val="single" w:sz="8" w:space="0" w:color="auto"/>
            </w:tcBorders>
            <w:shd w:val="clear" w:color="auto" w:fill="auto"/>
            <w:noWrap/>
            <w:vAlign w:val="center"/>
            <w:hideMark/>
          </w:tcPr>
          <w:p w14:paraId="4EE3692F"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70" w:type="dxa"/>
            <w:tcBorders>
              <w:top w:val="nil"/>
              <w:left w:val="nil"/>
              <w:bottom w:val="single" w:sz="8" w:space="0" w:color="auto"/>
              <w:right w:val="single" w:sz="8" w:space="0" w:color="auto"/>
            </w:tcBorders>
            <w:shd w:val="clear" w:color="auto" w:fill="auto"/>
            <w:noWrap/>
            <w:vAlign w:val="center"/>
            <w:hideMark/>
          </w:tcPr>
          <w:p w14:paraId="05471588"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IV</w:t>
            </w:r>
          </w:p>
        </w:tc>
        <w:tc>
          <w:tcPr>
            <w:tcW w:w="873" w:type="dxa"/>
            <w:tcBorders>
              <w:top w:val="nil"/>
              <w:left w:val="nil"/>
              <w:bottom w:val="single" w:sz="8" w:space="0" w:color="auto"/>
              <w:right w:val="single" w:sz="8" w:space="0" w:color="auto"/>
            </w:tcBorders>
            <w:shd w:val="clear" w:color="auto" w:fill="auto"/>
            <w:noWrap/>
            <w:vAlign w:val="center"/>
            <w:hideMark/>
          </w:tcPr>
          <w:p w14:paraId="1311B3A3" w14:textId="77777777" w:rsidR="00FC3DB3" w:rsidRPr="00701F32" w:rsidRDefault="00FC3DB3" w:rsidP="00FC3DB3">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13.441</w:t>
            </w:r>
          </w:p>
        </w:tc>
        <w:tc>
          <w:tcPr>
            <w:tcW w:w="1227" w:type="dxa"/>
            <w:tcBorders>
              <w:top w:val="nil"/>
              <w:left w:val="nil"/>
              <w:bottom w:val="single" w:sz="8" w:space="0" w:color="auto"/>
              <w:right w:val="single" w:sz="8" w:space="0" w:color="auto"/>
            </w:tcBorders>
            <w:shd w:val="clear" w:color="auto" w:fill="auto"/>
            <w:vAlign w:val="center"/>
            <w:hideMark/>
          </w:tcPr>
          <w:p w14:paraId="292534A8" w14:textId="77777777" w:rsidR="00FC3DB3" w:rsidRPr="00701F32" w:rsidRDefault="00FC3DB3" w:rsidP="00FC3DB3">
            <w:pPr>
              <w:jc w:val="both"/>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74" w:type="dxa"/>
            <w:tcBorders>
              <w:top w:val="nil"/>
              <w:left w:val="nil"/>
              <w:bottom w:val="single" w:sz="8" w:space="0" w:color="auto"/>
              <w:right w:val="single" w:sz="8" w:space="0" w:color="auto"/>
            </w:tcBorders>
            <w:shd w:val="clear" w:color="auto" w:fill="auto"/>
            <w:noWrap/>
            <w:vAlign w:val="center"/>
            <w:hideMark/>
          </w:tcPr>
          <w:p w14:paraId="1361CC9A" w14:textId="75017030" w:rsidR="00FC3DB3" w:rsidRPr="00701F32" w:rsidRDefault="00FC3DB3" w:rsidP="00FC3DB3">
            <w:pPr>
              <w:jc w:val="center"/>
              <w:rPr>
                <w:rFonts w:ascii="Arial" w:hAnsi="Arial" w:cs="Arial"/>
                <w:color w:val="000000"/>
                <w:sz w:val="14"/>
                <w:szCs w:val="16"/>
                <w:lang w:eastAsia="es-AR"/>
              </w:rPr>
            </w:pPr>
            <w:r w:rsidRPr="00701F32">
              <w:rPr>
                <w:rFonts w:ascii="Arial" w:hAnsi="Arial" w:cs="Arial"/>
                <w:color w:val="000000"/>
                <w:sz w:val="14"/>
                <w:szCs w:val="16"/>
                <w:lang w:eastAsia="es-AR"/>
              </w:rPr>
              <w:t>84 meses</w:t>
            </w:r>
          </w:p>
        </w:tc>
        <w:tc>
          <w:tcPr>
            <w:tcW w:w="1051" w:type="dxa"/>
            <w:tcBorders>
              <w:top w:val="nil"/>
              <w:left w:val="nil"/>
              <w:bottom w:val="single" w:sz="8" w:space="0" w:color="auto"/>
              <w:right w:val="single" w:sz="8" w:space="0" w:color="auto"/>
            </w:tcBorders>
            <w:shd w:val="clear" w:color="auto" w:fill="auto"/>
            <w:noWrap/>
            <w:vAlign w:val="center"/>
            <w:hideMark/>
          </w:tcPr>
          <w:p w14:paraId="29F2F2EF" w14:textId="77777777" w:rsidR="00FC3DB3" w:rsidRPr="00701F32" w:rsidRDefault="00FC3DB3" w:rsidP="00FC3DB3">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18/11/21</w:t>
            </w:r>
          </w:p>
        </w:tc>
        <w:tc>
          <w:tcPr>
            <w:tcW w:w="845" w:type="dxa"/>
            <w:tcBorders>
              <w:top w:val="nil"/>
              <w:left w:val="nil"/>
              <w:bottom w:val="single" w:sz="8" w:space="0" w:color="auto"/>
              <w:right w:val="single" w:sz="8" w:space="0" w:color="auto"/>
            </w:tcBorders>
            <w:shd w:val="clear" w:color="auto" w:fill="auto"/>
            <w:noWrap/>
            <w:vAlign w:val="center"/>
            <w:hideMark/>
          </w:tcPr>
          <w:p w14:paraId="685E7D22" w14:textId="77777777" w:rsidR="00FC3DB3" w:rsidRPr="00701F32" w:rsidRDefault="00FC3DB3" w:rsidP="00FC3DB3">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1176" w:type="dxa"/>
            <w:tcBorders>
              <w:top w:val="nil"/>
              <w:left w:val="nil"/>
              <w:bottom w:val="single" w:sz="8" w:space="0" w:color="auto"/>
              <w:right w:val="single" w:sz="8" w:space="0" w:color="auto"/>
            </w:tcBorders>
            <w:shd w:val="clear" w:color="auto" w:fill="auto"/>
            <w:noWrap/>
            <w:vAlign w:val="center"/>
          </w:tcPr>
          <w:p w14:paraId="0BF3780B" w14:textId="2E6F1748" w:rsidR="00FC3DB3" w:rsidRPr="001E09C8" w:rsidRDefault="00FC3DB3" w:rsidP="00FC3DB3">
            <w:pPr>
              <w:jc w:val="right"/>
              <w:rPr>
                <w:rFonts w:ascii="Arial" w:hAnsi="Arial" w:cs="Arial"/>
                <w:color w:val="000000"/>
                <w:sz w:val="14"/>
                <w:szCs w:val="14"/>
                <w:lang w:val="es-ES_tradnl" w:eastAsia="es-AR"/>
              </w:rPr>
            </w:pPr>
            <w:r>
              <w:rPr>
                <w:rFonts w:ascii="Arial" w:hAnsi="Arial" w:cs="Arial"/>
                <w:color w:val="000000"/>
                <w:sz w:val="14"/>
                <w:szCs w:val="14"/>
              </w:rPr>
              <w:t>888.846</w:t>
            </w:r>
          </w:p>
        </w:tc>
        <w:tc>
          <w:tcPr>
            <w:tcW w:w="900" w:type="dxa"/>
            <w:tcBorders>
              <w:top w:val="nil"/>
              <w:left w:val="nil"/>
              <w:bottom w:val="single" w:sz="8" w:space="0" w:color="auto"/>
              <w:right w:val="single" w:sz="8" w:space="0" w:color="auto"/>
            </w:tcBorders>
            <w:shd w:val="clear" w:color="auto" w:fill="auto"/>
            <w:noWrap/>
            <w:vAlign w:val="center"/>
          </w:tcPr>
          <w:p w14:paraId="1650E6AF" w14:textId="5DDFBA01" w:rsidR="00FC3DB3" w:rsidRPr="00710EB6" w:rsidRDefault="00B86973" w:rsidP="00FC3DB3">
            <w:pPr>
              <w:jc w:val="right"/>
              <w:rPr>
                <w:rFonts w:ascii="Arial" w:hAnsi="Arial" w:cs="Arial"/>
                <w:color w:val="000000"/>
                <w:sz w:val="14"/>
                <w:szCs w:val="14"/>
                <w:lang w:val="es-ES_tradnl" w:eastAsia="es-AR"/>
              </w:rPr>
            </w:pPr>
            <w:r>
              <w:rPr>
                <w:rFonts w:ascii="Arial" w:hAnsi="Arial" w:cs="Arial"/>
                <w:color w:val="000000"/>
                <w:sz w:val="14"/>
                <w:szCs w:val="14"/>
              </w:rPr>
              <w:t>875.008</w:t>
            </w:r>
          </w:p>
        </w:tc>
      </w:tr>
      <w:tr w:rsidR="00FC3DB3" w:rsidRPr="00701F32" w14:paraId="050D4A6B" w14:textId="77777777" w:rsidTr="002E1AF6">
        <w:trPr>
          <w:trHeight w:val="303"/>
        </w:trPr>
        <w:tc>
          <w:tcPr>
            <w:tcW w:w="6230" w:type="dxa"/>
            <w:gridSpan w:val="7"/>
            <w:tcBorders>
              <w:top w:val="single" w:sz="8" w:space="0" w:color="auto"/>
              <w:left w:val="nil"/>
              <w:bottom w:val="nil"/>
              <w:right w:val="single" w:sz="8" w:space="0" w:color="000000"/>
            </w:tcBorders>
            <w:shd w:val="clear" w:color="auto" w:fill="auto"/>
            <w:noWrap/>
            <w:vAlign w:val="center"/>
          </w:tcPr>
          <w:p w14:paraId="5A365DC4" w14:textId="77777777" w:rsidR="00FC3DB3" w:rsidRPr="00701F32" w:rsidRDefault="00FC3DB3" w:rsidP="00FC3DB3">
            <w:pPr>
              <w:jc w:val="both"/>
              <w:rPr>
                <w:rFonts w:ascii="Arial" w:hAnsi="Arial" w:cs="Arial"/>
                <w:color w:val="000000"/>
                <w:sz w:val="14"/>
                <w:szCs w:val="16"/>
                <w:lang w:eastAsia="es-AR"/>
              </w:rPr>
            </w:pPr>
          </w:p>
        </w:tc>
        <w:tc>
          <w:tcPr>
            <w:tcW w:w="845" w:type="dxa"/>
            <w:tcBorders>
              <w:top w:val="nil"/>
              <w:left w:val="nil"/>
              <w:bottom w:val="single" w:sz="8" w:space="0" w:color="auto"/>
              <w:right w:val="single" w:sz="8" w:space="0" w:color="auto"/>
            </w:tcBorders>
            <w:shd w:val="clear" w:color="auto" w:fill="auto"/>
            <w:noWrap/>
            <w:vAlign w:val="center"/>
            <w:hideMark/>
          </w:tcPr>
          <w:p w14:paraId="72B7FC58" w14:textId="77777777" w:rsidR="00FC3DB3" w:rsidRPr="00534414" w:rsidRDefault="00FC3DB3" w:rsidP="00FC3DB3">
            <w:pPr>
              <w:jc w:val="both"/>
              <w:rPr>
                <w:rFonts w:ascii="Arial" w:hAnsi="Arial" w:cs="Arial"/>
                <w:b/>
                <w:bCs/>
                <w:color w:val="000000"/>
                <w:sz w:val="14"/>
                <w:szCs w:val="16"/>
                <w:lang w:eastAsia="es-AR"/>
              </w:rPr>
            </w:pPr>
            <w:r w:rsidRPr="00534414">
              <w:rPr>
                <w:rFonts w:ascii="Arial" w:hAnsi="Arial" w:cs="Arial"/>
                <w:b/>
                <w:bCs/>
                <w:color w:val="000000"/>
                <w:sz w:val="14"/>
                <w:szCs w:val="16"/>
                <w:lang w:eastAsia="es-AR"/>
              </w:rPr>
              <w:t>Total</w:t>
            </w:r>
          </w:p>
        </w:tc>
        <w:tc>
          <w:tcPr>
            <w:tcW w:w="1176" w:type="dxa"/>
            <w:tcBorders>
              <w:top w:val="nil"/>
              <w:left w:val="nil"/>
              <w:bottom w:val="single" w:sz="8" w:space="0" w:color="auto"/>
              <w:right w:val="single" w:sz="8" w:space="0" w:color="auto"/>
            </w:tcBorders>
            <w:shd w:val="clear" w:color="auto" w:fill="auto"/>
            <w:noWrap/>
            <w:vAlign w:val="center"/>
          </w:tcPr>
          <w:p w14:paraId="1758BB80" w14:textId="74B1034C" w:rsidR="00FC3DB3" w:rsidRPr="00534414" w:rsidRDefault="00FC3DB3" w:rsidP="00FC3DB3">
            <w:pPr>
              <w:jc w:val="right"/>
              <w:rPr>
                <w:rFonts w:ascii="Arial" w:hAnsi="Arial" w:cs="Arial"/>
                <w:b/>
                <w:bCs/>
                <w:color w:val="000000"/>
                <w:sz w:val="14"/>
                <w:szCs w:val="14"/>
                <w:lang w:eastAsia="es-AR"/>
              </w:rPr>
            </w:pPr>
            <w:r>
              <w:rPr>
                <w:rFonts w:ascii="Arial" w:hAnsi="Arial" w:cs="Arial"/>
                <w:b/>
                <w:bCs/>
                <w:color w:val="000000"/>
                <w:sz w:val="14"/>
                <w:szCs w:val="14"/>
                <w:lang w:eastAsia="es-AR"/>
              </w:rPr>
              <w:t>1.911.457</w:t>
            </w:r>
          </w:p>
        </w:tc>
        <w:tc>
          <w:tcPr>
            <w:tcW w:w="900" w:type="dxa"/>
            <w:tcBorders>
              <w:top w:val="nil"/>
              <w:left w:val="nil"/>
              <w:bottom w:val="single" w:sz="8" w:space="0" w:color="auto"/>
              <w:right w:val="single" w:sz="8" w:space="0" w:color="auto"/>
            </w:tcBorders>
            <w:shd w:val="clear" w:color="auto" w:fill="auto"/>
            <w:noWrap/>
            <w:vAlign w:val="center"/>
          </w:tcPr>
          <w:p w14:paraId="421DD6F8" w14:textId="6AEFA77B" w:rsidR="00FC3DB3" w:rsidRPr="00534414" w:rsidRDefault="00B86973" w:rsidP="00FC3DB3">
            <w:pPr>
              <w:jc w:val="right"/>
              <w:rPr>
                <w:rFonts w:ascii="Arial" w:hAnsi="Arial" w:cs="Arial"/>
                <w:b/>
                <w:bCs/>
                <w:color w:val="000000"/>
                <w:sz w:val="14"/>
                <w:szCs w:val="14"/>
                <w:lang w:val="es-ES_tradnl" w:eastAsia="es-AR"/>
              </w:rPr>
            </w:pPr>
            <w:r>
              <w:rPr>
                <w:rFonts w:ascii="Arial" w:hAnsi="Arial" w:cs="Arial"/>
                <w:b/>
                <w:sz w:val="14"/>
                <w:szCs w:val="14"/>
              </w:rPr>
              <w:t>2.285.239</w:t>
            </w:r>
          </w:p>
        </w:tc>
      </w:tr>
      <w:bookmarkEnd w:id="29"/>
    </w:tbl>
    <w:p w14:paraId="425EC55A" w14:textId="77777777" w:rsidR="00BB5356" w:rsidRDefault="00BB5356" w:rsidP="00A06BE9">
      <w:pPr>
        <w:tabs>
          <w:tab w:val="left" w:pos="142"/>
        </w:tabs>
        <w:jc w:val="both"/>
        <w:rPr>
          <w:rFonts w:ascii="Arial" w:hAnsi="Arial" w:cs="Arial"/>
          <w:sz w:val="20"/>
        </w:rPr>
      </w:pPr>
    </w:p>
    <w:p w14:paraId="156BF40C" w14:textId="48A7AEF7" w:rsidR="008D7556" w:rsidRDefault="008D7556" w:rsidP="00A06BE9">
      <w:pPr>
        <w:tabs>
          <w:tab w:val="left" w:pos="142"/>
        </w:tabs>
        <w:jc w:val="both"/>
        <w:rPr>
          <w:rFonts w:ascii="Arial" w:hAnsi="Arial" w:cs="Arial"/>
          <w:b/>
          <w:sz w:val="20"/>
        </w:rPr>
      </w:pPr>
    </w:p>
    <w:p w14:paraId="63F01810" w14:textId="77777777" w:rsidR="00C03F77" w:rsidRPr="00701F32" w:rsidRDefault="00C03F77" w:rsidP="00A06BE9">
      <w:pPr>
        <w:tabs>
          <w:tab w:val="left" w:pos="142"/>
        </w:tabs>
        <w:jc w:val="both"/>
        <w:rPr>
          <w:rFonts w:ascii="Arial" w:hAnsi="Arial" w:cs="Arial"/>
          <w:b/>
          <w:sz w:val="20"/>
        </w:rPr>
      </w:pPr>
    </w:p>
    <w:p w14:paraId="3843CE52" w14:textId="22A0ABC3" w:rsidR="00A06BE9" w:rsidRPr="00701F32" w:rsidRDefault="006B5772" w:rsidP="00A06BE9">
      <w:pPr>
        <w:tabs>
          <w:tab w:val="left" w:pos="142"/>
        </w:tabs>
        <w:jc w:val="both"/>
        <w:rPr>
          <w:rFonts w:ascii="Arial" w:hAnsi="Arial" w:cs="Arial"/>
          <w:b/>
          <w:sz w:val="20"/>
        </w:rPr>
      </w:pPr>
      <w:r>
        <w:rPr>
          <w:rFonts w:ascii="Arial" w:hAnsi="Arial" w:cs="Arial"/>
          <w:b/>
          <w:sz w:val="20"/>
        </w:rPr>
        <w:lastRenderedPageBreak/>
        <w:t>9</w:t>
      </w:r>
      <w:r w:rsidR="00A06BE9" w:rsidRPr="00701F32">
        <w:rPr>
          <w:rFonts w:ascii="Arial" w:hAnsi="Arial" w:cs="Arial"/>
          <w:b/>
          <w:sz w:val="20"/>
        </w:rPr>
        <w:t>.9 Restricciones para la distribución de utilidades</w:t>
      </w:r>
    </w:p>
    <w:p w14:paraId="1C4EECF8" w14:textId="77777777" w:rsidR="00A06BE9" w:rsidRPr="00701F32" w:rsidRDefault="00A06BE9" w:rsidP="00A06BE9">
      <w:pPr>
        <w:tabs>
          <w:tab w:val="left" w:pos="142"/>
        </w:tabs>
        <w:jc w:val="both"/>
        <w:rPr>
          <w:rFonts w:ascii="Arial" w:hAnsi="Arial" w:cs="Arial"/>
          <w:b/>
          <w:sz w:val="20"/>
        </w:rPr>
      </w:pPr>
    </w:p>
    <w:p w14:paraId="18F8AF19"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Conforme a las regulaciones establecidas por el B.C.R.A., corresponde asignar a reserva legal el 20% de las utilidades del ejercicio netas de los eventuales ajustes de ejercicios anteriores, en caso de corresponder.</w:t>
      </w:r>
    </w:p>
    <w:p w14:paraId="17621645" w14:textId="77777777" w:rsidR="0049702C" w:rsidRPr="0049702C" w:rsidRDefault="0049702C" w:rsidP="0049702C">
      <w:pPr>
        <w:tabs>
          <w:tab w:val="left" w:pos="142"/>
        </w:tabs>
        <w:jc w:val="both"/>
        <w:rPr>
          <w:rFonts w:ascii="Arial" w:hAnsi="Arial" w:cs="Arial"/>
          <w:sz w:val="20"/>
        </w:rPr>
      </w:pPr>
    </w:p>
    <w:p w14:paraId="28FD13C8"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Según lo estipulado en el texto ordenado sobre distribución de resultados, las entidades financieras deberán dar cumplimiento a una serie de requerimientos entre los que se destacan: i) No encontrarse alcanzada por las disposiciones de los artículos 34 y 35 bis de la Ley de Entidades Financieras, ii) No registrar asistencia por iliquidez, iii) No presentar atrasos o incumplimientos en los regímenes informativos, iv) No registrar deficiencias de integración de capital mínimo (sin computar a tales fines los efectos de las franquicias otorgadas por la Superintendencia de Entidades Financieras y Cambiarias) o de efectivo mínimo, v) haber dado cumplimiento a los márgenes adicionales de capital que les sean de aplicación.</w:t>
      </w:r>
    </w:p>
    <w:p w14:paraId="0FECBAC6" w14:textId="77777777" w:rsidR="0049702C" w:rsidRPr="0049702C" w:rsidRDefault="0049702C" w:rsidP="0049702C">
      <w:pPr>
        <w:tabs>
          <w:tab w:val="left" w:pos="142"/>
        </w:tabs>
        <w:jc w:val="both"/>
        <w:rPr>
          <w:rFonts w:ascii="Arial" w:hAnsi="Arial" w:cs="Arial"/>
          <w:sz w:val="20"/>
        </w:rPr>
      </w:pPr>
    </w:p>
    <w:p w14:paraId="07C5EC9D"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Las entidades no comprendidas en algunas de estas situaciones podrán distribuir resultados con arreglo a las regulaciones establecidas en dicho texto ordenado, siempre y cuando no se comprometa la liquidez y solvencia de la entidad.</w:t>
      </w:r>
    </w:p>
    <w:p w14:paraId="4F12FCBB" w14:textId="77777777" w:rsidR="0049702C" w:rsidRPr="0049702C" w:rsidRDefault="0049702C" w:rsidP="0049702C">
      <w:pPr>
        <w:tabs>
          <w:tab w:val="left" w:pos="142"/>
        </w:tabs>
        <w:jc w:val="both"/>
        <w:rPr>
          <w:rFonts w:ascii="Arial" w:hAnsi="Arial" w:cs="Arial"/>
          <w:sz w:val="20"/>
        </w:rPr>
      </w:pPr>
    </w:p>
    <w:p w14:paraId="26766688"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Cabe aclarar que a través de la Comunicación “A” 6464 el B.C.R.A. estableció que hasta el 31 de marzo de 2020 deberán contar con la autorización previa de la SEFyC para la distribución de resultados las entidades financieras que, para determinar el resultado distribuible, no hayan incrementado los márgenes de conservación de capital en 1 punto porcentual adicional a lo establecido en las normas.</w:t>
      </w:r>
    </w:p>
    <w:p w14:paraId="274825A8" w14:textId="77777777" w:rsidR="0049702C" w:rsidRPr="0049702C" w:rsidRDefault="0049702C" w:rsidP="0049702C">
      <w:pPr>
        <w:tabs>
          <w:tab w:val="left" w:pos="142"/>
        </w:tabs>
        <w:jc w:val="both"/>
        <w:rPr>
          <w:rFonts w:ascii="Arial" w:hAnsi="Arial" w:cs="Arial"/>
          <w:sz w:val="20"/>
        </w:rPr>
      </w:pPr>
    </w:p>
    <w:p w14:paraId="15D964FE"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En fecha 30 de agosto de 2019 y con el objetivo de estabilizar el mercado cambiario, el B.C.R.A. dispuso mediante la Comunicación “A” 6768 que las entidades financieras para proceder a la distribución de sus resultados deberán contar con la autorización previa de la Superintendencia de Entidades Financieras y Cambiarias.  En dicho proceso de autorización la Entidad de Contralor tendrá en consideración, entre otros elementos, los potenciales efectos de la aplicación de las normas internacionales de contabilidad según Comunicación "A" 6430 (Punto 5.5. de NIIF 9 - Deterioro de valor de activos financieros) como también los efectos de la reexpresión de estados financieros prevista por la Comunicación "A" 6651.</w:t>
      </w:r>
    </w:p>
    <w:p w14:paraId="50041846" w14:textId="77777777" w:rsidR="0049702C" w:rsidRPr="0049702C" w:rsidRDefault="0049702C" w:rsidP="0049702C">
      <w:pPr>
        <w:tabs>
          <w:tab w:val="left" w:pos="142"/>
        </w:tabs>
        <w:jc w:val="both"/>
        <w:rPr>
          <w:rFonts w:ascii="Arial" w:hAnsi="Arial" w:cs="Arial"/>
          <w:sz w:val="20"/>
        </w:rPr>
      </w:pPr>
    </w:p>
    <w:p w14:paraId="4325E3C5" w14:textId="717F9EF1" w:rsidR="0049702C" w:rsidRPr="00701F32" w:rsidRDefault="0049702C" w:rsidP="0049702C">
      <w:pPr>
        <w:tabs>
          <w:tab w:val="left" w:pos="142"/>
        </w:tabs>
        <w:jc w:val="both"/>
        <w:rPr>
          <w:rFonts w:ascii="Arial" w:hAnsi="Arial" w:cs="Arial"/>
          <w:sz w:val="20"/>
        </w:rPr>
      </w:pPr>
      <w:r w:rsidRPr="0049702C">
        <w:rPr>
          <w:rFonts w:ascii="Arial" w:hAnsi="Arial" w:cs="Arial"/>
          <w:sz w:val="20"/>
        </w:rPr>
        <w:t>Con fecha 19 de marzo de 2020, el B.C.R.A. dispuso mediante la Comunicación “A” 6939, la suspensión de la distribución de resultados de las entidades financieras hasta el 30.6.2020.</w:t>
      </w:r>
    </w:p>
    <w:p w14:paraId="600066E6" w14:textId="77777777" w:rsidR="00893B68" w:rsidRPr="00613EB0" w:rsidRDefault="00893B68" w:rsidP="00A06BE9">
      <w:pPr>
        <w:tabs>
          <w:tab w:val="left" w:pos="142"/>
        </w:tabs>
        <w:jc w:val="both"/>
        <w:rPr>
          <w:rFonts w:ascii="Arial" w:hAnsi="Arial" w:cs="Arial"/>
          <w:b/>
          <w:sz w:val="20"/>
        </w:rPr>
      </w:pPr>
    </w:p>
    <w:p w14:paraId="786C63EA" w14:textId="13A5AB52" w:rsidR="004B3C0B" w:rsidRPr="00DB5940" w:rsidRDefault="004B3C0B" w:rsidP="004B3C0B">
      <w:pPr>
        <w:spacing w:after="160" w:line="259" w:lineRule="auto"/>
        <w:jc w:val="both"/>
        <w:rPr>
          <w:rFonts w:ascii="Arial" w:eastAsia="Calibri" w:hAnsi="Arial" w:cs="Arial"/>
          <w:b/>
          <w:sz w:val="20"/>
        </w:rPr>
      </w:pPr>
      <w:r w:rsidRPr="00DB5940">
        <w:rPr>
          <w:rFonts w:ascii="Arial" w:eastAsia="Calibri" w:hAnsi="Arial" w:cs="Arial"/>
          <w:b/>
          <w:sz w:val="20"/>
        </w:rPr>
        <w:t xml:space="preserve">10. PROPIEDAD, PLANTA Y EQUIPOS </w:t>
      </w:r>
    </w:p>
    <w:p w14:paraId="6A0927E8" w14:textId="2C9E094D" w:rsidR="00751A92" w:rsidRPr="00DB5940" w:rsidRDefault="004B3C0B" w:rsidP="004B3C0B">
      <w:pPr>
        <w:spacing w:after="160" w:line="259" w:lineRule="auto"/>
        <w:jc w:val="both"/>
        <w:rPr>
          <w:rFonts w:ascii="Arial" w:eastAsia="Calibri" w:hAnsi="Arial" w:cs="Arial"/>
          <w:sz w:val="20"/>
        </w:rPr>
      </w:pPr>
      <w:r w:rsidRPr="00DB5940">
        <w:rPr>
          <w:rFonts w:ascii="Arial" w:eastAsia="Calibri" w:hAnsi="Arial" w:cs="Arial"/>
          <w:sz w:val="20"/>
        </w:rPr>
        <w:t>Los movimientos en propiedad, planta y equipo para el período finalizado el 3</w:t>
      </w:r>
      <w:r w:rsidR="00DB5940" w:rsidRPr="00DB5940">
        <w:rPr>
          <w:rFonts w:ascii="Arial" w:eastAsia="Calibri" w:hAnsi="Arial" w:cs="Arial"/>
          <w:sz w:val="20"/>
        </w:rPr>
        <w:t>1</w:t>
      </w:r>
      <w:r w:rsidRPr="00DB5940">
        <w:rPr>
          <w:rFonts w:ascii="Arial" w:eastAsia="Calibri" w:hAnsi="Arial" w:cs="Arial"/>
          <w:sz w:val="20"/>
        </w:rPr>
        <w:t xml:space="preserve"> de </w:t>
      </w:r>
      <w:r w:rsidR="00DB5940" w:rsidRPr="00DB5940">
        <w:rPr>
          <w:rFonts w:ascii="Arial" w:eastAsia="Calibri" w:hAnsi="Arial" w:cs="Arial"/>
          <w:sz w:val="20"/>
        </w:rPr>
        <w:t xml:space="preserve">marzo </w:t>
      </w:r>
      <w:r w:rsidRPr="00DB5940">
        <w:rPr>
          <w:rFonts w:ascii="Arial" w:eastAsia="Calibri" w:hAnsi="Arial" w:cs="Arial"/>
          <w:sz w:val="20"/>
        </w:rPr>
        <w:t>de 20</w:t>
      </w:r>
      <w:r w:rsidR="00DB5940" w:rsidRPr="00DB5940">
        <w:rPr>
          <w:rFonts w:ascii="Arial" w:eastAsia="Calibri" w:hAnsi="Arial" w:cs="Arial"/>
          <w:sz w:val="20"/>
        </w:rPr>
        <w:t>20</w:t>
      </w:r>
      <w:r w:rsidRPr="00DB5940">
        <w:rPr>
          <w:rFonts w:ascii="Arial" w:eastAsia="Calibri" w:hAnsi="Arial" w:cs="Arial"/>
          <w:sz w:val="20"/>
        </w:rPr>
        <w:t xml:space="preserve"> fueron los siguientes</w:t>
      </w:r>
    </w:p>
    <w:tbl>
      <w:tblPr>
        <w:tblW w:w="9722" w:type="dxa"/>
        <w:tblLayout w:type="fixed"/>
        <w:tblCellMar>
          <w:left w:w="70" w:type="dxa"/>
          <w:right w:w="70" w:type="dxa"/>
        </w:tblCellMar>
        <w:tblLook w:val="04A0" w:firstRow="1" w:lastRow="0" w:firstColumn="1" w:lastColumn="0" w:noHBand="0" w:noVBand="1"/>
      </w:tblPr>
      <w:tblGrid>
        <w:gridCol w:w="1696"/>
        <w:gridCol w:w="851"/>
        <w:gridCol w:w="850"/>
        <w:gridCol w:w="993"/>
        <w:gridCol w:w="708"/>
        <w:gridCol w:w="709"/>
        <w:gridCol w:w="851"/>
        <w:gridCol w:w="708"/>
        <w:gridCol w:w="709"/>
        <w:gridCol w:w="851"/>
        <w:gridCol w:w="796"/>
      </w:tblGrid>
      <w:tr w:rsidR="008E4463" w:rsidRPr="00524BA4" w14:paraId="368B92C0" w14:textId="77777777" w:rsidTr="00BA7A6B">
        <w:trPr>
          <w:trHeight w:val="300"/>
        </w:trPr>
        <w:tc>
          <w:tcPr>
            <w:tcW w:w="16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51AD2E"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lastRenderedPageBreak/>
              <w:t>Concepto</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6DAF3A"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Valor de origen al inicio del ejercicio</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E82507"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Vida Útil total estimada en años</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E15908"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Revaluación</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21596D"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Altas</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709C69"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Bajas</w:t>
            </w:r>
          </w:p>
        </w:tc>
        <w:tc>
          <w:tcPr>
            <w:tcW w:w="3119" w:type="dxa"/>
            <w:gridSpan w:val="4"/>
            <w:tcBorders>
              <w:top w:val="single" w:sz="4" w:space="0" w:color="auto"/>
              <w:left w:val="nil"/>
              <w:bottom w:val="single" w:sz="4" w:space="0" w:color="auto"/>
              <w:right w:val="single" w:sz="4" w:space="0" w:color="auto"/>
            </w:tcBorders>
            <w:shd w:val="clear" w:color="auto" w:fill="auto"/>
            <w:vAlign w:val="center"/>
            <w:hideMark/>
          </w:tcPr>
          <w:p w14:paraId="722D64F9"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Depreciación</w:t>
            </w:r>
          </w:p>
        </w:tc>
        <w:tc>
          <w:tcPr>
            <w:tcW w:w="7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8795D3"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Valor residual al cierre del período</w:t>
            </w:r>
          </w:p>
        </w:tc>
      </w:tr>
      <w:tr w:rsidR="008E4463" w:rsidRPr="00524BA4" w14:paraId="6C010CA8" w14:textId="77777777" w:rsidTr="00BA7A6B">
        <w:trPr>
          <w:trHeight w:val="300"/>
        </w:trPr>
        <w:tc>
          <w:tcPr>
            <w:tcW w:w="1696" w:type="dxa"/>
            <w:vMerge/>
            <w:tcBorders>
              <w:top w:val="single" w:sz="4" w:space="0" w:color="auto"/>
              <w:left w:val="single" w:sz="4" w:space="0" w:color="auto"/>
              <w:bottom w:val="single" w:sz="4" w:space="0" w:color="000000"/>
              <w:right w:val="single" w:sz="4" w:space="0" w:color="auto"/>
            </w:tcBorders>
            <w:vAlign w:val="center"/>
            <w:hideMark/>
          </w:tcPr>
          <w:p w14:paraId="23899416" w14:textId="77777777" w:rsidR="008E4463" w:rsidRPr="00BA7A6B" w:rsidRDefault="008E4463" w:rsidP="008E4463">
            <w:pPr>
              <w:rPr>
                <w:rFonts w:ascii="Arial" w:hAnsi="Arial" w:cs="Arial"/>
                <w:b/>
                <w:bCs/>
                <w:color w:val="000000"/>
                <w:sz w:val="14"/>
                <w:szCs w:val="14"/>
                <w:lang w:eastAsia="es-A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7002DCA4" w14:textId="77777777" w:rsidR="008E4463" w:rsidRPr="00BA7A6B" w:rsidRDefault="008E4463" w:rsidP="008E4463">
            <w:pPr>
              <w:rPr>
                <w:rFonts w:ascii="Arial" w:hAnsi="Arial" w:cs="Arial"/>
                <w:b/>
                <w:bCs/>
                <w:color w:val="000000"/>
                <w:sz w:val="14"/>
                <w:szCs w:val="14"/>
                <w:lang w:eastAsia="es-AR"/>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8D778D0" w14:textId="77777777" w:rsidR="008E4463" w:rsidRPr="00BA7A6B" w:rsidRDefault="008E4463" w:rsidP="008E4463">
            <w:pPr>
              <w:rPr>
                <w:rFonts w:ascii="Arial" w:hAnsi="Arial" w:cs="Arial"/>
                <w:b/>
                <w:bCs/>
                <w:color w:val="000000"/>
                <w:sz w:val="14"/>
                <w:szCs w:val="14"/>
                <w:lang w:eastAsia="es-AR"/>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3D429981" w14:textId="77777777" w:rsidR="008E4463" w:rsidRPr="00BA7A6B" w:rsidRDefault="008E4463" w:rsidP="008E4463">
            <w:pPr>
              <w:rPr>
                <w:rFonts w:ascii="Arial" w:hAnsi="Arial" w:cs="Arial"/>
                <w:b/>
                <w:bCs/>
                <w:color w:val="000000"/>
                <w:sz w:val="14"/>
                <w:szCs w:val="14"/>
                <w:lang w:eastAsia="es-AR"/>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3F07D0D1" w14:textId="77777777" w:rsidR="008E4463" w:rsidRPr="00BA7A6B" w:rsidRDefault="008E4463" w:rsidP="008E4463">
            <w:pPr>
              <w:rPr>
                <w:rFonts w:ascii="Arial" w:hAnsi="Arial" w:cs="Arial"/>
                <w:b/>
                <w:bCs/>
                <w:color w:val="000000"/>
                <w:sz w:val="14"/>
                <w:szCs w:val="14"/>
                <w:lang w:eastAsia="es-AR"/>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9E2AB6F" w14:textId="77777777" w:rsidR="008E4463" w:rsidRPr="00BA7A6B" w:rsidRDefault="008E4463" w:rsidP="008E4463">
            <w:pPr>
              <w:rPr>
                <w:rFonts w:ascii="Arial" w:hAnsi="Arial" w:cs="Arial"/>
                <w:b/>
                <w:bCs/>
                <w:color w:val="000000"/>
                <w:sz w:val="14"/>
                <w:szCs w:val="14"/>
                <w:lang w:eastAsia="es-AR"/>
              </w:rPr>
            </w:pPr>
          </w:p>
        </w:tc>
        <w:tc>
          <w:tcPr>
            <w:tcW w:w="851" w:type="dxa"/>
            <w:tcBorders>
              <w:top w:val="nil"/>
              <w:left w:val="nil"/>
              <w:bottom w:val="single" w:sz="4" w:space="0" w:color="auto"/>
              <w:right w:val="single" w:sz="4" w:space="0" w:color="auto"/>
            </w:tcBorders>
            <w:shd w:val="clear" w:color="auto" w:fill="auto"/>
            <w:vAlign w:val="center"/>
            <w:hideMark/>
          </w:tcPr>
          <w:p w14:paraId="77D77C11" w14:textId="45D7A969" w:rsidR="008E4463" w:rsidRPr="00BA7A6B" w:rsidRDefault="00764FB9"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A</w:t>
            </w:r>
            <w:r>
              <w:rPr>
                <w:rFonts w:ascii="Arial" w:hAnsi="Arial" w:cs="Arial"/>
                <w:b/>
                <w:bCs/>
                <w:color w:val="000000"/>
                <w:sz w:val="14"/>
                <w:szCs w:val="14"/>
                <w:lang w:eastAsia="es-AR"/>
              </w:rPr>
              <w:t>cum</w:t>
            </w:r>
          </w:p>
        </w:tc>
        <w:tc>
          <w:tcPr>
            <w:tcW w:w="708" w:type="dxa"/>
            <w:tcBorders>
              <w:top w:val="nil"/>
              <w:left w:val="nil"/>
              <w:bottom w:val="single" w:sz="4" w:space="0" w:color="auto"/>
              <w:right w:val="single" w:sz="4" w:space="0" w:color="auto"/>
            </w:tcBorders>
            <w:shd w:val="clear" w:color="auto" w:fill="auto"/>
            <w:vAlign w:val="center"/>
            <w:hideMark/>
          </w:tcPr>
          <w:p w14:paraId="20BF819A"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Bajas</w:t>
            </w:r>
          </w:p>
        </w:tc>
        <w:tc>
          <w:tcPr>
            <w:tcW w:w="709" w:type="dxa"/>
            <w:tcBorders>
              <w:top w:val="nil"/>
              <w:left w:val="nil"/>
              <w:bottom w:val="single" w:sz="4" w:space="0" w:color="auto"/>
              <w:right w:val="single" w:sz="4" w:space="0" w:color="auto"/>
            </w:tcBorders>
            <w:shd w:val="clear" w:color="auto" w:fill="auto"/>
            <w:vAlign w:val="center"/>
            <w:hideMark/>
          </w:tcPr>
          <w:p w14:paraId="6DDBBA4C"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Del período</w:t>
            </w:r>
          </w:p>
        </w:tc>
        <w:tc>
          <w:tcPr>
            <w:tcW w:w="851" w:type="dxa"/>
            <w:tcBorders>
              <w:top w:val="nil"/>
              <w:left w:val="nil"/>
              <w:bottom w:val="single" w:sz="4" w:space="0" w:color="auto"/>
              <w:right w:val="single" w:sz="4" w:space="0" w:color="auto"/>
            </w:tcBorders>
            <w:shd w:val="clear" w:color="auto" w:fill="auto"/>
            <w:vAlign w:val="center"/>
            <w:hideMark/>
          </w:tcPr>
          <w:p w14:paraId="2186EF25" w14:textId="77777777" w:rsidR="008E4463" w:rsidRPr="00BA7A6B" w:rsidRDefault="008E4463" w:rsidP="008E4463">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Al cierre</w:t>
            </w:r>
          </w:p>
        </w:tc>
        <w:tc>
          <w:tcPr>
            <w:tcW w:w="796" w:type="dxa"/>
            <w:vMerge/>
            <w:tcBorders>
              <w:top w:val="single" w:sz="4" w:space="0" w:color="auto"/>
              <w:left w:val="single" w:sz="4" w:space="0" w:color="auto"/>
              <w:bottom w:val="single" w:sz="4" w:space="0" w:color="000000"/>
              <w:right w:val="single" w:sz="4" w:space="0" w:color="auto"/>
            </w:tcBorders>
            <w:vAlign w:val="center"/>
            <w:hideMark/>
          </w:tcPr>
          <w:p w14:paraId="509129E5" w14:textId="77777777" w:rsidR="008E4463" w:rsidRPr="00BA7A6B" w:rsidRDefault="008E4463" w:rsidP="008E4463">
            <w:pPr>
              <w:rPr>
                <w:rFonts w:ascii="Arial" w:hAnsi="Arial" w:cs="Arial"/>
                <w:b/>
                <w:bCs/>
                <w:color w:val="000000"/>
                <w:sz w:val="14"/>
                <w:szCs w:val="14"/>
                <w:lang w:eastAsia="es-AR"/>
              </w:rPr>
            </w:pPr>
          </w:p>
        </w:tc>
      </w:tr>
      <w:tr w:rsidR="008E4463" w:rsidRPr="00524BA4" w14:paraId="27176E27" w14:textId="77777777" w:rsidTr="00534414">
        <w:trPr>
          <w:trHeight w:val="300"/>
        </w:trPr>
        <w:tc>
          <w:tcPr>
            <w:tcW w:w="972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F4F7A65" w14:textId="77777777" w:rsidR="008E4463" w:rsidRPr="00BA7A6B" w:rsidRDefault="008E4463" w:rsidP="008E4463">
            <w:pPr>
              <w:rPr>
                <w:rFonts w:ascii="Arial" w:hAnsi="Arial" w:cs="Arial"/>
                <w:b/>
                <w:bCs/>
                <w:color w:val="000000"/>
                <w:sz w:val="14"/>
                <w:szCs w:val="14"/>
                <w:lang w:eastAsia="es-AR"/>
              </w:rPr>
            </w:pPr>
            <w:r w:rsidRPr="00BA7A6B">
              <w:rPr>
                <w:rFonts w:ascii="Arial" w:hAnsi="Arial" w:cs="Arial"/>
                <w:b/>
                <w:bCs/>
                <w:color w:val="000000"/>
                <w:sz w:val="14"/>
                <w:szCs w:val="14"/>
                <w:lang w:eastAsia="es-AR"/>
              </w:rPr>
              <w:t>Medición a costo</w:t>
            </w:r>
          </w:p>
        </w:tc>
      </w:tr>
      <w:tr w:rsidR="00B07FC6" w:rsidRPr="00524BA4" w14:paraId="6284C555" w14:textId="77777777" w:rsidTr="002E1AF6">
        <w:trPr>
          <w:trHeight w:val="3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8E99294" w14:textId="77777777" w:rsidR="00B07FC6" w:rsidRPr="002E1AF6" w:rsidRDefault="00B07FC6" w:rsidP="00B07FC6">
            <w:pPr>
              <w:rPr>
                <w:rFonts w:ascii="Arial" w:hAnsi="Arial" w:cs="Arial"/>
                <w:sz w:val="14"/>
                <w:szCs w:val="14"/>
                <w:lang w:eastAsia="es-AR"/>
              </w:rPr>
            </w:pPr>
            <w:r w:rsidRPr="002E1AF6">
              <w:rPr>
                <w:rFonts w:ascii="Arial" w:hAnsi="Arial" w:cs="Arial"/>
                <w:sz w:val="14"/>
                <w:szCs w:val="14"/>
                <w:lang w:eastAsia="es-AR"/>
              </w:rPr>
              <w:t>- Mobiliario e Instalaciones</w:t>
            </w:r>
          </w:p>
        </w:tc>
        <w:tc>
          <w:tcPr>
            <w:tcW w:w="851" w:type="dxa"/>
            <w:tcBorders>
              <w:top w:val="nil"/>
              <w:left w:val="nil"/>
              <w:bottom w:val="single" w:sz="4" w:space="0" w:color="auto"/>
              <w:right w:val="single" w:sz="4" w:space="0" w:color="auto"/>
            </w:tcBorders>
            <w:shd w:val="clear" w:color="auto" w:fill="auto"/>
            <w:noWrap/>
            <w:vAlign w:val="center"/>
            <w:hideMark/>
          </w:tcPr>
          <w:p w14:paraId="43A90B63" w14:textId="37E758FB" w:rsidR="00B07FC6"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lang w:eastAsia="es-AR"/>
              </w:rPr>
              <w:t>1.070.172</w:t>
            </w:r>
          </w:p>
        </w:tc>
        <w:tc>
          <w:tcPr>
            <w:tcW w:w="850" w:type="dxa"/>
            <w:tcBorders>
              <w:top w:val="nil"/>
              <w:left w:val="nil"/>
              <w:bottom w:val="single" w:sz="4" w:space="0" w:color="auto"/>
              <w:right w:val="single" w:sz="4" w:space="0" w:color="auto"/>
            </w:tcBorders>
            <w:shd w:val="clear" w:color="auto" w:fill="auto"/>
            <w:noWrap/>
            <w:vAlign w:val="center"/>
            <w:hideMark/>
          </w:tcPr>
          <w:p w14:paraId="4726A3B7" w14:textId="726441FA" w:rsidR="00B07FC6" w:rsidRPr="002E1AF6" w:rsidRDefault="00B07FC6" w:rsidP="00B07FC6">
            <w:pPr>
              <w:jc w:val="center"/>
              <w:rPr>
                <w:rFonts w:ascii="Arial" w:hAnsi="Arial" w:cs="Arial"/>
                <w:sz w:val="14"/>
                <w:szCs w:val="14"/>
                <w:lang w:eastAsia="es-AR"/>
              </w:rPr>
            </w:pPr>
            <w:r w:rsidRPr="002E1AF6">
              <w:rPr>
                <w:rFonts w:ascii="Arial" w:hAnsi="Arial" w:cs="Arial"/>
                <w:sz w:val="14"/>
                <w:szCs w:val="14"/>
                <w:lang w:eastAsia="es-AR"/>
              </w:rPr>
              <w:t>10</w:t>
            </w:r>
          </w:p>
        </w:tc>
        <w:tc>
          <w:tcPr>
            <w:tcW w:w="993" w:type="dxa"/>
            <w:tcBorders>
              <w:top w:val="nil"/>
              <w:left w:val="nil"/>
              <w:bottom w:val="single" w:sz="4" w:space="0" w:color="auto"/>
              <w:right w:val="single" w:sz="4" w:space="0" w:color="auto"/>
            </w:tcBorders>
            <w:shd w:val="clear" w:color="auto" w:fill="auto"/>
            <w:vAlign w:val="center"/>
            <w:hideMark/>
          </w:tcPr>
          <w:p w14:paraId="306379A6" w14:textId="32AFDE04" w:rsidR="00B07FC6" w:rsidRPr="002E1AF6" w:rsidRDefault="00B07FC6" w:rsidP="00B07FC6">
            <w:pPr>
              <w:jc w:val="right"/>
              <w:rPr>
                <w:sz w:val="20"/>
                <w:lang w:eastAsia="es-AR"/>
              </w:rPr>
            </w:pPr>
          </w:p>
        </w:tc>
        <w:tc>
          <w:tcPr>
            <w:tcW w:w="708" w:type="dxa"/>
            <w:tcBorders>
              <w:top w:val="nil"/>
              <w:left w:val="nil"/>
              <w:bottom w:val="single" w:sz="4" w:space="0" w:color="auto"/>
              <w:right w:val="single" w:sz="4" w:space="0" w:color="auto"/>
            </w:tcBorders>
            <w:shd w:val="clear" w:color="auto" w:fill="auto"/>
            <w:noWrap/>
            <w:vAlign w:val="center"/>
            <w:hideMark/>
          </w:tcPr>
          <w:p w14:paraId="733EAACC" w14:textId="51E593A5"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2.626</w:t>
            </w:r>
          </w:p>
        </w:tc>
        <w:tc>
          <w:tcPr>
            <w:tcW w:w="709" w:type="dxa"/>
            <w:tcBorders>
              <w:top w:val="nil"/>
              <w:left w:val="nil"/>
              <w:bottom w:val="single" w:sz="4" w:space="0" w:color="auto"/>
              <w:right w:val="single" w:sz="4" w:space="0" w:color="auto"/>
            </w:tcBorders>
            <w:shd w:val="clear" w:color="auto" w:fill="auto"/>
            <w:noWrap/>
            <w:vAlign w:val="center"/>
            <w:hideMark/>
          </w:tcPr>
          <w:p w14:paraId="462B379D" w14:textId="0519C8EF"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-1</w:t>
            </w:r>
            <w:r w:rsidR="00524BA4" w:rsidRPr="002E1AF6">
              <w:rPr>
                <w:rFonts w:ascii="Arial" w:hAnsi="Arial" w:cs="Arial"/>
                <w:sz w:val="14"/>
                <w:szCs w:val="14"/>
              </w:rPr>
              <w:t>08.390</w:t>
            </w:r>
          </w:p>
        </w:tc>
        <w:tc>
          <w:tcPr>
            <w:tcW w:w="851" w:type="dxa"/>
            <w:tcBorders>
              <w:top w:val="nil"/>
              <w:left w:val="nil"/>
              <w:bottom w:val="single" w:sz="4" w:space="0" w:color="auto"/>
              <w:right w:val="single" w:sz="4" w:space="0" w:color="auto"/>
            </w:tcBorders>
            <w:shd w:val="clear" w:color="auto" w:fill="auto"/>
            <w:noWrap/>
            <w:vAlign w:val="center"/>
            <w:hideMark/>
          </w:tcPr>
          <w:p w14:paraId="03016445" w14:textId="493E2781"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823.283</w:t>
            </w:r>
          </w:p>
        </w:tc>
        <w:tc>
          <w:tcPr>
            <w:tcW w:w="708" w:type="dxa"/>
            <w:tcBorders>
              <w:top w:val="nil"/>
              <w:left w:val="nil"/>
              <w:bottom w:val="single" w:sz="4" w:space="0" w:color="auto"/>
              <w:right w:val="single" w:sz="4" w:space="0" w:color="auto"/>
            </w:tcBorders>
            <w:shd w:val="clear" w:color="auto" w:fill="auto"/>
            <w:noWrap/>
            <w:vAlign w:val="center"/>
            <w:hideMark/>
          </w:tcPr>
          <w:p w14:paraId="6770638F" w14:textId="707E5FEB"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108.397</w:t>
            </w:r>
          </w:p>
        </w:tc>
        <w:tc>
          <w:tcPr>
            <w:tcW w:w="709" w:type="dxa"/>
            <w:tcBorders>
              <w:top w:val="nil"/>
              <w:left w:val="nil"/>
              <w:bottom w:val="single" w:sz="4" w:space="0" w:color="auto"/>
              <w:right w:val="single" w:sz="4" w:space="0" w:color="auto"/>
            </w:tcBorders>
            <w:shd w:val="clear" w:color="auto" w:fill="auto"/>
            <w:noWrap/>
            <w:vAlign w:val="center"/>
            <w:hideMark/>
          </w:tcPr>
          <w:p w14:paraId="5DA86381" w14:textId="3B32B554"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766D46" w:rsidRPr="002E1AF6">
              <w:rPr>
                <w:rFonts w:ascii="Arial" w:hAnsi="Arial" w:cs="Arial"/>
                <w:sz w:val="14"/>
                <w:szCs w:val="14"/>
              </w:rPr>
              <w:t>1</w:t>
            </w:r>
            <w:r w:rsidR="00524BA4" w:rsidRPr="002E1AF6">
              <w:rPr>
                <w:rFonts w:ascii="Arial" w:hAnsi="Arial" w:cs="Arial"/>
                <w:sz w:val="14"/>
                <w:szCs w:val="14"/>
              </w:rPr>
              <w:t>5.838</w:t>
            </w:r>
          </w:p>
        </w:tc>
        <w:tc>
          <w:tcPr>
            <w:tcW w:w="851" w:type="dxa"/>
            <w:tcBorders>
              <w:top w:val="nil"/>
              <w:left w:val="nil"/>
              <w:bottom w:val="single" w:sz="4" w:space="0" w:color="auto"/>
              <w:right w:val="single" w:sz="4" w:space="0" w:color="auto"/>
            </w:tcBorders>
            <w:shd w:val="clear" w:color="auto" w:fill="auto"/>
            <w:noWrap/>
            <w:vAlign w:val="center"/>
            <w:hideMark/>
          </w:tcPr>
          <w:p w14:paraId="1FFE34B1" w14:textId="2FD67CD1"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730.724</w:t>
            </w:r>
          </w:p>
        </w:tc>
        <w:tc>
          <w:tcPr>
            <w:tcW w:w="796" w:type="dxa"/>
            <w:tcBorders>
              <w:top w:val="nil"/>
              <w:left w:val="nil"/>
              <w:bottom w:val="single" w:sz="4" w:space="0" w:color="auto"/>
              <w:right w:val="single" w:sz="4" w:space="0" w:color="auto"/>
            </w:tcBorders>
            <w:shd w:val="clear" w:color="auto" w:fill="auto"/>
            <w:noWrap/>
            <w:vAlign w:val="center"/>
            <w:hideMark/>
          </w:tcPr>
          <w:p w14:paraId="76382232" w14:textId="75013214" w:rsidR="00B07FC6" w:rsidRPr="002E1AF6" w:rsidRDefault="00694720" w:rsidP="00B07FC6">
            <w:pPr>
              <w:jc w:val="right"/>
              <w:rPr>
                <w:rFonts w:ascii="Arial" w:hAnsi="Arial" w:cs="Arial"/>
                <w:b/>
                <w:bCs/>
                <w:sz w:val="14"/>
                <w:szCs w:val="14"/>
                <w:lang w:eastAsia="es-AR"/>
              </w:rPr>
            </w:pPr>
            <w:r w:rsidRPr="002E1AF6">
              <w:rPr>
                <w:rFonts w:ascii="Arial" w:hAnsi="Arial" w:cs="Arial"/>
                <w:b/>
                <w:bCs/>
                <w:sz w:val="14"/>
                <w:szCs w:val="14"/>
              </w:rPr>
              <w:t>233.684</w:t>
            </w:r>
          </w:p>
        </w:tc>
      </w:tr>
      <w:tr w:rsidR="00B07FC6" w:rsidRPr="00524BA4" w14:paraId="386E6AEA" w14:textId="77777777" w:rsidTr="002E1AF6">
        <w:trPr>
          <w:trHeight w:val="3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A9340BF" w14:textId="77777777" w:rsidR="00B07FC6" w:rsidRPr="002E1AF6" w:rsidRDefault="00B07FC6" w:rsidP="00B07FC6">
            <w:pPr>
              <w:rPr>
                <w:rFonts w:ascii="Arial" w:hAnsi="Arial" w:cs="Arial"/>
                <w:sz w:val="14"/>
                <w:szCs w:val="14"/>
                <w:lang w:eastAsia="es-AR"/>
              </w:rPr>
            </w:pPr>
            <w:r w:rsidRPr="002E1AF6">
              <w:rPr>
                <w:rFonts w:ascii="Arial" w:hAnsi="Arial" w:cs="Arial"/>
                <w:sz w:val="14"/>
                <w:szCs w:val="14"/>
                <w:lang w:eastAsia="es-AR"/>
              </w:rPr>
              <w:t>- Máquinas y equipos</w:t>
            </w:r>
          </w:p>
        </w:tc>
        <w:tc>
          <w:tcPr>
            <w:tcW w:w="851" w:type="dxa"/>
            <w:tcBorders>
              <w:top w:val="nil"/>
              <w:left w:val="nil"/>
              <w:bottom w:val="single" w:sz="4" w:space="0" w:color="auto"/>
              <w:right w:val="single" w:sz="4" w:space="0" w:color="auto"/>
            </w:tcBorders>
            <w:shd w:val="clear" w:color="auto" w:fill="auto"/>
            <w:noWrap/>
            <w:vAlign w:val="center"/>
            <w:hideMark/>
          </w:tcPr>
          <w:p w14:paraId="1E27A453" w14:textId="49EB2F03" w:rsidR="00B07FC6"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lang w:eastAsia="es-AR"/>
              </w:rPr>
              <w:t>3.216.789</w:t>
            </w:r>
          </w:p>
        </w:tc>
        <w:tc>
          <w:tcPr>
            <w:tcW w:w="850" w:type="dxa"/>
            <w:tcBorders>
              <w:top w:val="nil"/>
              <w:left w:val="nil"/>
              <w:bottom w:val="single" w:sz="4" w:space="0" w:color="auto"/>
              <w:right w:val="single" w:sz="4" w:space="0" w:color="auto"/>
            </w:tcBorders>
            <w:shd w:val="clear" w:color="auto" w:fill="auto"/>
            <w:noWrap/>
            <w:vAlign w:val="center"/>
            <w:hideMark/>
          </w:tcPr>
          <w:p w14:paraId="71D7BBD2" w14:textId="4BB8B369" w:rsidR="00B07FC6" w:rsidRPr="002E1AF6" w:rsidRDefault="00B07FC6" w:rsidP="00B07FC6">
            <w:pPr>
              <w:jc w:val="center"/>
              <w:rPr>
                <w:rFonts w:ascii="Arial" w:hAnsi="Arial" w:cs="Arial"/>
                <w:sz w:val="14"/>
                <w:szCs w:val="14"/>
                <w:lang w:eastAsia="es-AR"/>
              </w:rPr>
            </w:pPr>
            <w:r w:rsidRPr="002E1AF6">
              <w:rPr>
                <w:rFonts w:ascii="Arial" w:hAnsi="Arial" w:cs="Arial"/>
                <w:sz w:val="14"/>
                <w:szCs w:val="14"/>
                <w:lang w:eastAsia="es-AR"/>
              </w:rPr>
              <w:t>5</w:t>
            </w:r>
          </w:p>
        </w:tc>
        <w:tc>
          <w:tcPr>
            <w:tcW w:w="993" w:type="dxa"/>
            <w:tcBorders>
              <w:top w:val="nil"/>
              <w:left w:val="nil"/>
              <w:bottom w:val="single" w:sz="4" w:space="0" w:color="auto"/>
              <w:right w:val="single" w:sz="4" w:space="0" w:color="auto"/>
            </w:tcBorders>
            <w:shd w:val="clear" w:color="auto" w:fill="auto"/>
            <w:vAlign w:val="center"/>
            <w:hideMark/>
          </w:tcPr>
          <w:p w14:paraId="7C4D65EA" w14:textId="3C330A72" w:rsidR="00B07FC6" w:rsidRPr="002E1AF6" w:rsidRDefault="00B07FC6" w:rsidP="00B07FC6">
            <w:pPr>
              <w:jc w:val="right"/>
              <w:rPr>
                <w:sz w:val="20"/>
                <w:lang w:eastAsia="es-AR"/>
              </w:rPr>
            </w:pPr>
          </w:p>
        </w:tc>
        <w:tc>
          <w:tcPr>
            <w:tcW w:w="708" w:type="dxa"/>
            <w:tcBorders>
              <w:top w:val="nil"/>
              <w:left w:val="nil"/>
              <w:bottom w:val="single" w:sz="4" w:space="0" w:color="auto"/>
              <w:right w:val="single" w:sz="4" w:space="0" w:color="auto"/>
            </w:tcBorders>
            <w:shd w:val="clear" w:color="auto" w:fill="auto"/>
            <w:noWrap/>
            <w:vAlign w:val="center"/>
            <w:hideMark/>
          </w:tcPr>
          <w:p w14:paraId="404BC150" w14:textId="5E7768C5"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12.845</w:t>
            </w:r>
          </w:p>
        </w:tc>
        <w:tc>
          <w:tcPr>
            <w:tcW w:w="709" w:type="dxa"/>
            <w:tcBorders>
              <w:top w:val="nil"/>
              <w:left w:val="nil"/>
              <w:bottom w:val="single" w:sz="4" w:space="0" w:color="auto"/>
              <w:right w:val="single" w:sz="4" w:space="0" w:color="auto"/>
            </w:tcBorders>
            <w:shd w:val="clear" w:color="auto" w:fill="auto"/>
            <w:noWrap/>
            <w:vAlign w:val="center"/>
            <w:hideMark/>
          </w:tcPr>
          <w:p w14:paraId="3543E4EB" w14:textId="25FB2FE0"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197.459</w:t>
            </w:r>
          </w:p>
        </w:tc>
        <w:tc>
          <w:tcPr>
            <w:tcW w:w="851" w:type="dxa"/>
            <w:tcBorders>
              <w:top w:val="nil"/>
              <w:left w:val="nil"/>
              <w:bottom w:val="single" w:sz="4" w:space="0" w:color="auto"/>
              <w:right w:val="single" w:sz="4" w:space="0" w:color="auto"/>
            </w:tcBorders>
            <w:shd w:val="clear" w:color="auto" w:fill="auto"/>
            <w:noWrap/>
            <w:vAlign w:val="center"/>
            <w:hideMark/>
          </w:tcPr>
          <w:p w14:paraId="08B1D075" w14:textId="306863D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2.792.094</w:t>
            </w:r>
          </w:p>
        </w:tc>
        <w:tc>
          <w:tcPr>
            <w:tcW w:w="708" w:type="dxa"/>
            <w:tcBorders>
              <w:top w:val="nil"/>
              <w:left w:val="nil"/>
              <w:bottom w:val="single" w:sz="4" w:space="0" w:color="auto"/>
              <w:right w:val="single" w:sz="4" w:space="0" w:color="auto"/>
            </w:tcBorders>
            <w:shd w:val="clear" w:color="auto" w:fill="auto"/>
            <w:noWrap/>
            <w:vAlign w:val="center"/>
            <w:hideMark/>
          </w:tcPr>
          <w:p w14:paraId="2896DE1D" w14:textId="2FCB032D"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197.351</w:t>
            </w:r>
          </w:p>
        </w:tc>
        <w:tc>
          <w:tcPr>
            <w:tcW w:w="709" w:type="dxa"/>
            <w:tcBorders>
              <w:top w:val="nil"/>
              <w:left w:val="nil"/>
              <w:bottom w:val="single" w:sz="4" w:space="0" w:color="auto"/>
              <w:right w:val="single" w:sz="4" w:space="0" w:color="auto"/>
            </w:tcBorders>
            <w:shd w:val="clear" w:color="auto" w:fill="auto"/>
            <w:noWrap/>
            <w:vAlign w:val="center"/>
            <w:hideMark/>
          </w:tcPr>
          <w:p w14:paraId="3ED3CE8F" w14:textId="1A45A78C"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54.806</w:t>
            </w:r>
          </w:p>
        </w:tc>
        <w:tc>
          <w:tcPr>
            <w:tcW w:w="851" w:type="dxa"/>
            <w:tcBorders>
              <w:top w:val="nil"/>
              <w:left w:val="nil"/>
              <w:bottom w:val="single" w:sz="4" w:space="0" w:color="auto"/>
              <w:right w:val="single" w:sz="4" w:space="0" w:color="auto"/>
            </w:tcBorders>
            <w:shd w:val="clear" w:color="auto" w:fill="auto"/>
            <w:noWrap/>
            <w:vAlign w:val="center"/>
            <w:hideMark/>
          </w:tcPr>
          <w:p w14:paraId="5EA81D7D" w14:textId="1DA358B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694720" w:rsidRPr="002E1AF6">
              <w:rPr>
                <w:rFonts w:ascii="Arial" w:hAnsi="Arial" w:cs="Arial"/>
                <w:sz w:val="14"/>
                <w:szCs w:val="14"/>
              </w:rPr>
              <w:t>2.649.549</w:t>
            </w:r>
          </w:p>
        </w:tc>
        <w:tc>
          <w:tcPr>
            <w:tcW w:w="796" w:type="dxa"/>
            <w:tcBorders>
              <w:top w:val="nil"/>
              <w:left w:val="nil"/>
              <w:bottom w:val="single" w:sz="4" w:space="0" w:color="auto"/>
              <w:right w:val="single" w:sz="4" w:space="0" w:color="auto"/>
            </w:tcBorders>
            <w:shd w:val="clear" w:color="auto" w:fill="auto"/>
            <w:noWrap/>
            <w:vAlign w:val="center"/>
            <w:hideMark/>
          </w:tcPr>
          <w:p w14:paraId="72802092" w14:textId="76A1B51E" w:rsidR="00B07FC6" w:rsidRPr="002E1AF6" w:rsidRDefault="00694720" w:rsidP="00B07FC6">
            <w:pPr>
              <w:jc w:val="right"/>
              <w:rPr>
                <w:rFonts w:ascii="Arial" w:hAnsi="Arial" w:cs="Arial"/>
                <w:b/>
                <w:bCs/>
                <w:sz w:val="14"/>
                <w:szCs w:val="14"/>
                <w:lang w:eastAsia="es-AR"/>
              </w:rPr>
            </w:pPr>
            <w:r w:rsidRPr="002E1AF6">
              <w:rPr>
                <w:rFonts w:ascii="Arial" w:hAnsi="Arial" w:cs="Arial"/>
                <w:b/>
                <w:bCs/>
                <w:sz w:val="14"/>
                <w:szCs w:val="14"/>
              </w:rPr>
              <w:t>382.626</w:t>
            </w:r>
          </w:p>
        </w:tc>
      </w:tr>
      <w:tr w:rsidR="00B07FC6" w:rsidRPr="00524BA4" w14:paraId="139F3A4F" w14:textId="77777777" w:rsidTr="002E1AF6">
        <w:trPr>
          <w:trHeight w:val="3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F085FCE" w14:textId="77777777" w:rsidR="00B07FC6" w:rsidRPr="002E1AF6" w:rsidRDefault="00B07FC6" w:rsidP="00B07FC6">
            <w:pPr>
              <w:rPr>
                <w:rFonts w:ascii="Arial" w:hAnsi="Arial" w:cs="Arial"/>
                <w:sz w:val="14"/>
                <w:szCs w:val="14"/>
                <w:lang w:eastAsia="es-AR"/>
              </w:rPr>
            </w:pPr>
            <w:r w:rsidRPr="002E1AF6">
              <w:rPr>
                <w:rFonts w:ascii="Arial" w:hAnsi="Arial" w:cs="Arial"/>
                <w:sz w:val="14"/>
                <w:szCs w:val="14"/>
                <w:lang w:eastAsia="es-AR"/>
              </w:rPr>
              <w:t>- Vehículos</w:t>
            </w:r>
          </w:p>
        </w:tc>
        <w:tc>
          <w:tcPr>
            <w:tcW w:w="851" w:type="dxa"/>
            <w:tcBorders>
              <w:top w:val="nil"/>
              <w:left w:val="nil"/>
              <w:bottom w:val="single" w:sz="4" w:space="0" w:color="auto"/>
              <w:right w:val="single" w:sz="4" w:space="0" w:color="auto"/>
            </w:tcBorders>
            <w:shd w:val="clear" w:color="auto" w:fill="auto"/>
            <w:noWrap/>
            <w:vAlign w:val="center"/>
            <w:hideMark/>
          </w:tcPr>
          <w:p w14:paraId="7F506901" w14:textId="34AE25E0" w:rsidR="00B07FC6"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lang w:eastAsia="es-AR"/>
              </w:rPr>
              <w:t>169.493</w:t>
            </w:r>
          </w:p>
        </w:tc>
        <w:tc>
          <w:tcPr>
            <w:tcW w:w="850" w:type="dxa"/>
            <w:tcBorders>
              <w:top w:val="nil"/>
              <w:left w:val="nil"/>
              <w:bottom w:val="single" w:sz="4" w:space="0" w:color="auto"/>
              <w:right w:val="single" w:sz="4" w:space="0" w:color="auto"/>
            </w:tcBorders>
            <w:shd w:val="clear" w:color="auto" w:fill="auto"/>
            <w:noWrap/>
            <w:vAlign w:val="center"/>
            <w:hideMark/>
          </w:tcPr>
          <w:p w14:paraId="4AD93F47" w14:textId="0EB06ECD" w:rsidR="00B07FC6" w:rsidRPr="002E1AF6" w:rsidRDefault="00B07FC6" w:rsidP="00B07FC6">
            <w:pPr>
              <w:jc w:val="center"/>
              <w:rPr>
                <w:rFonts w:ascii="Arial" w:hAnsi="Arial" w:cs="Arial"/>
                <w:sz w:val="14"/>
                <w:szCs w:val="14"/>
                <w:lang w:eastAsia="es-AR"/>
              </w:rPr>
            </w:pPr>
            <w:r w:rsidRPr="002E1AF6">
              <w:rPr>
                <w:rFonts w:ascii="Arial" w:hAnsi="Arial" w:cs="Arial"/>
                <w:sz w:val="14"/>
                <w:szCs w:val="14"/>
                <w:lang w:eastAsia="es-AR"/>
              </w:rPr>
              <w:t>5</w:t>
            </w:r>
          </w:p>
        </w:tc>
        <w:tc>
          <w:tcPr>
            <w:tcW w:w="993" w:type="dxa"/>
            <w:tcBorders>
              <w:top w:val="nil"/>
              <w:left w:val="nil"/>
              <w:bottom w:val="single" w:sz="4" w:space="0" w:color="auto"/>
              <w:right w:val="single" w:sz="4" w:space="0" w:color="auto"/>
            </w:tcBorders>
            <w:shd w:val="clear" w:color="auto" w:fill="auto"/>
            <w:vAlign w:val="center"/>
            <w:hideMark/>
          </w:tcPr>
          <w:p w14:paraId="0B5D60A3" w14:textId="72802270" w:rsidR="00B07FC6" w:rsidRPr="002E1AF6" w:rsidRDefault="00B07FC6" w:rsidP="00B07FC6">
            <w:pPr>
              <w:jc w:val="right"/>
              <w:rPr>
                <w:sz w:val="20"/>
                <w:lang w:eastAsia="es-AR"/>
              </w:rPr>
            </w:pPr>
          </w:p>
        </w:tc>
        <w:tc>
          <w:tcPr>
            <w:tcW w:w="708" w:type="dxa"/>
            <w:tcBorders>
              <w:top w:val="nil"/>
              <w:left w:val="nil"/>
              <w:bottom w:val="single" w:sz="4" w:space="0" w:color="auto"/>
              <w:right w:val="single" w:sz="4" w:space="0" w:color="auto"/>
            </w:tcBorders>
            <w:shd w:val="clear" w:color="auto" w:fill="auto"/>
            <w:noWrap/>
            <w:vAlign w:val="center"/>
            <w:hideMark/>
          </w:tcPr>
          <w:p w14:paraId="1850F887" w14:textId="17EFE475"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5.113</w:t>
            </w:r>
          </w:p>
        </w:tc>
        <w:tc>
          <w:tcPr>
            <w:tcW w:w="709" w:type="dxa"/>
            <w:tcBorders>
              <w:top w:val="nil"/>
              <w:left w:val="nil"/>
              <w:bottom w:val="single" w:sz="4" w:space="0" w:color="auto"/>
              <w:right w:val="single" w:sz="4" w:space="0" w:color="auto"/>
            </w:tcBorders>
            <w:shd w:val="clear" w:color="auto" w:fill="auto"/>
            <w:noWrap/>
            <w:vAlign w:val="center"/>
            <w:hideMark/>
          </w:tcPr>
          <w:p w14:paraId="755B0611" w14:textId="691C2D6D"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766D46" w:rsidRPr="002E1AF6">
              <w:rPr>
                <w:rFonts w:ascii="Arial" w:hAnsi="Arial" w:cs="Arial"/>
                <w:sz w:val="14"/>
                <w:szCs w:val="14"/>
              </w:rPr>
              <w:t>1</w:t>
            </w:r>
            <w:r w:rsidR="00524BA4" w:rsidRPr="002E1AF6">
              <w:rPr>
                <w:rFonts w:ascii="Arial" w:hAnsi="Arial" w:cs="Arial"/>
                <w:sz w:val="14"/>
                <w:szCs w:val="14"/>
              </w:rPr>
              <w:t>3.046</w:t>
            </w:r>
          </w:p>
        </w:tc>
        <w:tc>
          <w:tcPr>
            <w:tcW w:w="851" w:type="dxa"/>
            <w:tcBorders>
              <w:top w:val="nil"/>
              <w:left w:val="nil"/>
              <w:bottom w:val="single" w:sz="4" w:space="0" w:color="auto"/>
              <w:right w:val="single" w:sz="4" w:space="0" w:color="auto"/>
            </w:tcBorders>
            <w:shd w:val="clear" w:color="auto" w:fill="auto"/>
            <w:noWrap/>
            <w:vAlign w:val="center"/>
            <w:hideMark/>
          </w:tcPr>
          <w:p w14:paraId="4004AEC4" w14:textId="79078F0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74.434</w:t>
            </w:r>
          </w:p>
        </w:tc>
        <w:tc>
          <w:tcPr>
            <w:tcW w:w="708" w:type="dxa"/>
            <w:tcBorders>
              <w:top w:val="nil"/>
              <w:left w:val="nil"/>
              <w:bottom w:val="single" w:sz="4" w:space="0" w:color="auto"/>
              <w:right w:val="single" w:sz="4" w:space="0" w:color="auto"/>
            </w:tcBorders>
            <w:shd w:val="clear" w:color="auto" w:fill="auto"/>
            <w:noWrap/>
            <w:vAlign w:val="center"/>
            <w:hideMark/>
          </w:tcPr>
          <w:p w14:paraId="0EB160F5" w14:textId="3206F6FB"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6.338</w:t>
            </w:r>
          </w:p>
        </w:tc>
        <w:tc>
          <w:tcPr>
            <w:tcW w:w="709" w:type="dxa"/>
            <w:tcBorders>
              <w:top w:val="nil"/>
              <w:left w:val="nil"/>
              <w:bottom w:val="single" w:sz="4" w:space="0" w:color="auto"/>
              <w:right w:val="single" w:sz="4" w:space="0" w:color="auto"/>
            </w:tcBorders>
            <w:shd w:val="clear" w:color="auto" w:fill="auto"/>
            <w:noWrap/>
            <w:vAlign w:val="center"/>
            <w:hideMark/>
          </w:tcPr>
          <w:p w14:paraId="45E162FB" w14:textId="503DC35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7.018</w:t>
            </w:r>
          </w:p>
        </w:tc>
        <w:tc>
          <w:tcPr>
            <w:tcW w:w="851" w:type="dxa"/>
            <w:tcBorders>
              <w:top w:val="nil"/>
              <w:left w:val="nil"/>
              <w:bottom w:val="single" w:sz="4" w:space="0" w:color="auto"/>
              <w:right w:val="single" w:sz="4" w:space="0" w:color="auto"/>
            </w:tcBorders>
            <w:shd w:val="clear" w:color="auto" w:fill="auto"/>
            <w:noWrap/>
            <w:vAlign w:val="center"/>
            <w:hideMark/>
          </w:tcPr>
          <w:p w14:paraId="729F1810" w14:textId="61369E63"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694720" w:rsidRPr="002E1AF6">
              <w:rPr>
                <w:rFonts w:ascii="Arial" w:hAnsi="Arial" w:cs="Arial"/>
                <w:sz w:val="14"/>
                <w:szCs w:val="14"/>
              </w:rPr>
              <w:t>75.114</w:t>
            </w:r>
          </w:p>
        </w:tc>
        <w:tc>
          <w:tcPr>
            <w:tcW w:w="796" w:type="dxa"/>
            <w:tcBorders>
              <w:top w:val="nil"/>
              <w:left w:val="nil"/>
              <w:bottom w:val="single" w:sz="4" w:space="0" w:color="auto"/>
              <w:right w:val="single" w:sz="4" w:space="0" w:color="auto"/>
            </w:tcBorders>
            <w:shd w:val="clear" w:color="auto" w:fill="auto"/>
            <w:noWrap/>
            <w:vAlign w:val="center"/>
            <w:hideMark/>
          </w:tcPr>
          <w:p w14:paraId="5C6B18B2" w14:textId="1B00F763" w:rsidR="00B07FC6" w:rsidRPr="002E1AF6" w:rsidRDefault="00694720" w:rsidP="00B07FC6">
            <w:pPr>
              <w:jc w:val="right"/>
              <w:rPr>
                <w:rFonts w:ascii="Arial" w:hAnsi="Arial" w:cs="Arial"/>
                <w:b/>
                <w:bCs/>
                <w:sz w:val="14"/>
                <w:szCs w:val="14"/>
                <w:lang w:eastAsia="es-AR"/>
              </w:rPr>
            </w:pPr>
            <w:r w:rsidRPr="002E1AF6">
              <w:rPr>
                <w:rFonts w:ascii="Arial" w:hAnsi="Arial" w:cs="Arial"/>
                <w:b/>
                <w:bCs/>
                <w:sz w:val="14"/>
                <w:szCs w:val="14"/>
              </w:rPr>
              <w:t>86.446</w:t>
            </w:r>
          </w:p>
        </w:tc>
      </w:tr>
      <w:tr w:rsidR="00524BA4" w:rsidRPr="00524BA4" w14:paraId="57CA37F5" w14:textId="77777777" w:rsidTr="002E1AF6">
        <w:trPr>
          <w:trHeight w:val="300"/>
        </w:trPr>
        <w:tc>
          <w:tcPr>
            <w:tcW w:w="1696" w:type="dxa"/>
            <w:tcBorders>
              <w:top w:val="nil"/>
              <w:left w:val="single" w:sz="4" w:space="0" w:color="auto"/>
              <w:bottom w:val="single" w:sz="4" w:space="0" w:color="auto"/>
              <w:right w:val="single" w:sz="4" w:space="0" w:color="auto"/>
            </w:tcBorders>
            <w:shd w:val="clear" w:color="auto" w:fill="auto"/>
            <w:vAlign w:val="center"/>
          </w:tcPr>
          <w:p w14:paraId="5A43DB49" w14:textId="00B21E49" w:rsidR="00524BA4" w:rsidRPr="002E1AF6" w:rsidRDefault="00524BA4" w:rsidP="00B07FC6">
            <w:pPr>
              <w:rPr>
                <w:rFonts w:ascii="Arial" w:hAnsi="Arial" w:cs="Arial"/>
                <w:sz w:val="14"/>
                <w:szCs w:val="14"/>
                <w:lang w:eastAsia="es-AR"/>
              </w:rPr>
            </w:pPr>
            <w:r w:rsidRPr="002E1AF6">
              <w:rPr>
                <w:rFonts w:ascii="Arial" w:hAnsi="Arial" w:cs="Arial"/>
                <w:sz w:val="14"/>
                <w:szCs w:val="14"/>
                <w:lang w:eastAsia="es-AR"/>
              </w:rPr>
              <w:t>-Derecho de uso de Inmuebles arrendados</w:t>
            </w:r>
          </w:p>
        </w:tc>
        <w:tc>
          <w:tcPr>
            <w:tcW w:w="851" w:type="dxa"/>
            <w:tcBorders>
              <w:top w:val="nil"/>
              <w:left w:val="nil"/>
              <w:bottom w:val="single" w:sz="4" w:space="0" w:color="auto"/>
              <w:right w:val="single" w:sz="4" w:space="0" w:color="auto"/>
            </w:tcBorders>
            <w:shd w:val="clear" w:color="auto" w:fill="auto"/>
            <w:noWrap/>
            <w:vAlign w:val="center"/>
          </w:tcPr>
          <w:p w14:paraId="78406CC3" w14:textId="00CAB399" w:rsidR="00524BA4"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lang w:eastAsia="es-AR"/>
              </w:rPr>
              <w:t>1.621.072</w:t>
            </w:r>
          </w:p>
        </w:tc>
        <w:tc>
          <w:tcPr>
            <w:tcW w:w="850" w:type="dxa"/>
            <w:tcBorders>
              <w:top w:val="nil"/>
              <w:left w:val="nil"/>
              <w:bottom w:val="single" w:sz="4" w:space="0" w:color="auto"/>
              <w:right w:val="single" w:sz="4" w:space="0" w:color="auto"/>
            </w:tcBorders>
            <w:shd w:val="clear" w:color="auto" w:fill="auto"/>
            <w:noWrap/>
            <w:vAlign w:val="center"/>
          </w:tcPr>
          <w:p w14:paraId="5A996E99" w14:textId="131D1A29" w:rsidR="00524BA4" w:rsidRPr="002E1AF6" w:rsidRDefault="00524BA4" w:rsidP="00B07FC6">
            <w:pPr>
              <w:jc w:val="center"/>
              <w:rPr>
                <w:rFonts w:ascii="Arial" w:hAnsi="Arial" w:cs="Arial"/>
                <w:sz w:val="14"/>
                <w:szCs w:val="14"/>
                <w:lang w:eastAsia="es-AR"/>
              </w:rPr>
            </w:pPr>
            <w:r w:rsidRPr="002E1AF6">
              <w:rPr>
                <w:rFonts w:ascii="Arial" w:hAnsi="Arial" w:cs="Arial"/>
                <w:sz w:val="14"/>
                <w:szCs w:val="14"/>
                <w:lang w:eastAsia="es-AR"/>
              </w:rPr>
              <w:t>50</w:t>
            </w:r>
          </w:p>
        </w:tc>
        <w:tc>
          <w:tcPr>
            <w:tcW w:w="993" w:type="dxa"/>
            <w:tcBorders>
              <w:top w:val="nil"/>
              <w:left w:val="nil"/>
              <w:bottom w:val="single" w:sz="4" w:space="0" w:color="auto"/>
              <w:right w:val="single" w:sz="4" w:space="0" w:color="auto"/>
            </w:tcBorders>
            <w:shd w:val="clear" w:color="auto" w:fill="auto"/>
            <w:vAlign w:val="center"/>
          </w:tcPr>
          <w:p w14:paraId="4B34C3DD" w14:textId="77777777" w:rsidR="00524BA4" w:rsidRPr="002E1AF6" w:rsidRDefault="00524BA4" w:rsidP="00B07FC6">
            <w:pPr>
              <w:jc w:val="right"/>
              <w:rPr>
                <w:sz w:val="20"/>
                <w:lang w:eastAsia="es-AR"/>
              </w:rPr>
            </w:pPr>
          </w:p>
        </w:tc>
        <w:tc>
          <w:tcPr>
            <w:tcW w:w="708" w:type="dxa"/>
            <w:tcBorders>
              <w:top w:val="nil"/>
              <w:left w:val="nil"/>
              <w:bottom w:val="single" w:sz="4" w:space="0" w:color="auto"/>
              <w:right w:val="single" w:sz="4" w:space="0" w:color="auto"/>
            </w:tcBorders>
            <w:shd w:val="clear" w:color="auto" w:fill="auto"/>
            <w:noWrap/>
            <w:vAlign w:val="center"/>
          </w:tcPr>
          <w:p w14:paraId="424ADEC9" w14:textId="2387C97A" w:rsidR="00524BA4" w:rsidRPr="002E1AF6" w:rsidRDefault="00524BA4" w:rsidP="00B07FC6">
            <w:pPr>
              <w:jc w:val="right"/>
              <w:rPr>
                <w:rFonts w:ascii="Arial" w:hAnsi="Arial" w:cs="Arial"/>
                <w:sz w:val="14"/>
                <w:szCs w:val="14"/>
              </w:rPr>
            </w:pPr>
            <w:r w:rsidRPr="002E1AF6">
              <w:rPr>
                <w:rFonts w:ascii="Arial" w:hAnsi="Arial" w:cs="Arial"/>
                <w:sz w:val="14"/>
                <w:szCs w:val="14"/>
              </w:rPr>
              <w:t>46.604</w:t>
            </w:r>
          </w:p>
        </w:tc>
        <w:tc>
          <w:tcPr>
            <w:tcW w:w="709" w:type="dxa"/>
            <w:tcBorders>
              <w:top w:val="nil"/>
              <w:left w:val="nil"/>
              <w:bottom w:val="single" w:sz="4" w:space="0" w:color="auto"/>
              <w:right w:val="single" w:sz="4" w:space="0" w:color="auto"/>
            </w:tcBorders>
            <w:shd w:val="clear" w:color="auto" w:fill="auto"/>
            <w:noWrap/>
            <w:vAlign w:val="center"/>
          </w:tcPr>
          <w:p w14:paraId="4D519544" w14:textId="7754271E" w:rsidR="00524BA4" w:rsidRPr="002E1AF6" w:rsidRDefault="00524BA4" w:rsidP="00B07FC6">
            <w:pPr>
              <w:jc w:val="right"/>
              <w:rPr>
                <w:rFonts w:ascii="Arial" w:hAnsi="Arial" w:cs="Arial"/>
                <w:sz w:val="14"/>
                <w:szCs w:val="14"/>
              </w:rPr>
            </w:pPr>
            <w:r w:rsidRPr="002E1AF6">
              <w:rPr>
                <w:rFonts w:ascii="Arial" w:hAnsi="Arial" w:cs="Arial"/>
                <w:sz w:val="14"/>
                <w:szCs w:val="14"/>
              </w:rPr>
              <w:t>-</w:t>
            </w:r>
          </w:p>
        </w:tc>
        <w:tc>
          <w:tcPr>
            <w:tcW w:w="851" w:type="dxa"/>
            <w:tcBorders>
              <w:top w:val="nil"/>
              <w:left w:val="nil"/>
              <w:bottom w:val="single" w:sz="4" w:space="0" w:color="auto"/>
              <w:right w:val="single" w:sz="4" w:space="0" w:color="auto"/>
            </w:tcBorders>
            <w:shd w:val="clear" w:color="auto" w:fill="auto"/>
            <w:noWrap/>
            <w:vAlign w:val="center"/>
          </w:tcPr>
          <w:p w14:paraId="4DD84026" w14:textId="0C7326C7" w:rsidR="00524BA4" w:rsidRPr="002E1AF6" w:rsidRDefault="00524BA4" w:rsidP="00B07FC6">
            <w:pPr>
              <w:jc w:val="right"/>
              <w:rPr>
                <w:rFonts w:ascii="Arial" w:hAnsi="Arial" w:cs="Arial"/>
                <w:sz w:val="14"/>
                <w:szCs w:val="14"/>
              </w:rPr>
            </w:pPr>
            <w:r w:rsidRPr="002E1AF6">
              <w:rPr>
                <w:rFonts w:ascii="Arial" w:hAnsi="Arial" w:cs="Arial"/>
                <w:sz w:val="14"/>
                <w:szCs w:val="14"/>
              </w:rPr>
              <w:t>-610.736</w:t>
            </w:r>
          </w:p>
        </w:tc>
        <w:tc>
          <w:tcPr>
            <w:tcW w:w="708" w:type="dxa"/>
            <w:tcBorders>
              <w:top w:val="nil"/>
              <w:left w:val="nil"/>
              <w:bottom w:val="single" w:sz="4" w:space="0" w:color="auto"/>
              <w:right w:val="single" w:sz="4" w:space="0" w:color="auto"/>
            </w:tcBorders>
            <w:shd w:val="clear" w:color="auto" w:fill="auto"/>
            <w:noWrap/>
            <w:vAlign w:val="center"/>
          </w:tcPr>
          <w:p w14:paraId="7C21C19A" w14:textId="704C656B" w:rsidR="00524BA4" w:rsidRPr="002E1AF6" w:rsidRDefault="00524BA4" w:rsidP="00B07FC6">
            <w:pPr>
              <w:jc w:val="right"/>
              <w:rPr>
                <w:rFonts w:ascii="Arial" w:hAnsi="Arial" w:cs="Arial"/>
                <w:sz w:val="14"/>
                <w:szCs w:val="14"/>
              </w:rPr>
            </w:pPr>
            <w:r w:rsidRPr="002E1AF6">
              <w:rPr>
                <w:rFonts w:ascii="Arial" w:hAnsi="Arial" w:cs="Arial"/>
                <w:sz w:val="14"/>
                <w:szCs w:val="14"/>
              </w:rPr>
              <w:t>-</w:t>
            </w:r>
          </w:p>
        </w:tc>
        <w:tc>
          <w:tcPr>
            <w:tcW w:w="709" w:type="dxa"/>
            <w:tcBorders>
              <w:top w:val="nil"/>
              <w:left w:val="nil"/>
              <w:bottom w:val="single" w:sz="4" w:space="0" w:color="auto"/>
              <w:right w:val="single" w:sz="4" w:space="0" w:color="auto"/>
            </w:tcBorders>
            <w:shd w:val="clear" w:color="auto" w:fill="auto"/>
            <w:noWrap/>
            <w:vAlign w:val="center"/>
          </w:tcPr>
          <w:p w14:paraId="360D1BF2" w14:textId="7CDFAD47" w:rsidR="00524BA4" w:rsidRPr="002E1AF6" w:rsidRDefault="00524BA4" w:rsidP="00B07FC6">
            <w:pPr>
              <w:jc w:val="right"/>
              <w:rPr>
                <w:rFonts w:ascii="Arial" w:hAnsi="Arial" w:cs="Arial"/>
                <w:sz w:val="14"/>
                <w:szCs w:val="14"/>
              </w:rPr>
            </w:pPr>
            <w:r w:rsidRPr="002E1AF6">
              <w:rPr>
                <w:rFonts w:ascii="Arial" w:hAnsi="Arial" w:cs="Arial"/>
                <w:sz w:val="14"/>
                <w:szCs w:val="14"/>
              </w:rPr>
              <w:t>-158.820</w:t>
            </w:r>
          </w:p>
        </w:tc>
        <w:tc>
          <w:tcPr>
            <w:tcW w:w="851" w:type="dxa"/>
            <w:tcBorders>
              <w:top w:val="nil"/>
              <w:left w:val="nil"/>
              <w:bottom w:val="single" w:sz="4" w:space="0" w:color="auto"/>
              <w:right w:val="single" w:sz="4" w:space="0" w:color="auto"/>
            </w:tcBorders>
            <w:shd w:val="clear" w:color="auto" w:fill="auto"/>
            <w:noWrap/>
            <w:vAlign w:val="center"/>
          </w:tcPr>
          <w:p w14:paraId="2FF5D514" w14:textId="035DFB83" w:rsidR="00524BA4" w:rsidRPr="002E1AF6" w:rsidRDefault="00694720" w:rsidP="00B07FC6">
            <w:pPr>
              <w:jc w:val="right"/>
              <w:rPr>
                <w:rFonts w:ascii="Arial" w:hAnsi="Arial" w:cs="Arial"/>
                <w:sz w:val="14"/>
                <w:szCs w:val="14"/>
              </w:rPr>
            </w:pPr>
            <w:r w:rsidRPr="002E1AF6">
              <w:rPr>
                <w:rFonts w:ascii="Arial" w:hAnsi="Arial" w:cs="Arial"/>
                <w:sz w:val="14"/>
                <w:szCs w:val="14"/>
              </w:rPr>
              <w:t>-769.556</w:t>
            </w:r>
          </w:p>
        </w:tc>
        <w:tc>
          <w:tcPr>
            <w:tcW w:w="796" w:type="dxa"/>
            <w:tcBorders>
              <w:top w:val="nil"/>
              <w:left w:val="nil"/>
              <w:bottom w:val="single" w:sz="4" w:space="0" w:color="auto"/>
              <w:right w:val="single" w:sz="4" w:space="0" w:color="auto"/>
            </w:tcBorders>
            <w:shd w:val="clear" w:color="auto" w:fill="auto"/>
            <w:noWrap/>
            <w:vAlign w:val="center"/>
          </w:tcPr>
          <w:p w14:paraId="04FC22A8" w14:textId="427D5D7B" w:rsidR="00524BA4" w:rsidRPr="002E1AF6" w:rsidRDefault="00694720" w:rsidP="00B07FC6">
            <w:pPr>
              <w:jc w:val="right"/>
              <w:rPr>
                <w:rFonts w:ascii="Arial" w:hAnsi="Arial" w:cs="Arial"/>
                <w:b/>
                <w:bCs/>
                <w:sz w:val="14"/>
                <w:szCs w:val="14"/>
              </w:rPr>
            </w:pPr>
            <w:r w:rsidRPr="002E1AF6">
              <w:rPr>
                <w:rFonts w:ascii="Arial" w:hAnsi="Arial" w:cs="Arial"/>
                <w:b/>
                <w:bCs/>
                <w:sz w:val="14"/>
                <w:szCs w:val="14"/>
              </w:rPr>
              <w:t>898.120</w:t>
            </w:r>
          </w:p>
        </w:tc>
      </w:tr>
      <w:tr w:rsidR="00B07FC6" w:rsidRPr="00524BA4" w14:paraId="5FB228DF" w14:textId="77777777" w:rsidTr="002E1AF6">
        <w:trPr>
          <w:trHeight w:val="3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E8CB3C7" w14:textId="77777777" w:rsidR="00B07FC6" w:rsidRPr="002E1AF6" w:rsidRDefault="00B07FC6" w:rsidP="00B07FC6">
            <w:pPr>
              <w:rPr>
                <w:rFonts w:ascii="Arial" w:hAnsi="Arial" w:cs="Arial"/>
                <w:sz w:val="14"/>
                <w:szCs w:val="14"/>
                <w:lang w:eastAsia="es-AR"/>
              </w:rPr>
            </w:pPr>
            <w:r w:rsidRPr="002E1AF6">
              <w:rPr>
                <w:rFonts w:ascii="Arial" w:hAnsi="Arial" w:cs="Arial"/>
                <w:sz w:val="14"/>
                <w:szCs w:val="14"/>
                <w:lang w:eastAsia="es-AR"/>
              </w:rPr>
              <w:t>- Diversos</w:t>
            </w:r>
          </w:p>
        </w:tc>
        <w:tc>
          <w:tcPr>
            <w:tcW w:w="851" w:type="dxa"/>
            <w:tcBorders>
              <w:top w:val="nil"/>
              <w:left w:val="nil"/>
              <w:bottom w:val="single" w:sz="4" w:space="0" w:color="auto"/>
              <w:right w:val="single" w:sz="4" w:space="0" w:color="auto"/>
            </w:tcBorders>
            <w:shd w:val="clear" w:color="auto" w:fill="auto"/>
            <w:noWrap/>
            <w:vAlign w:val="center"/>
            <w:hideMark/>
          </w:tcPr>
          <w:p w14:paraId="56D9B348" w14:textId="076E066B" w:rsidR="00B07FC6" w:rsidRPr="002E1AF6" w:rsidRDefault="00B07FC6" w:rsidP="00B07FC6">
            <w:pPr>
              <w:jc w:val="right"/>
              <w:rPr>
                <w:rFonts w:ascii="Arial" w:hAnsi="Arial" w:cs="Arial"/>
                <w:b/>
                <w:bCs/>
                <w:sz w:val="14"/>
                <w:szCs w:val="14"/>
                <w:lang w:eastAsia="es-AR"/>
              </w:rPr>
            </w:pPr>
            <w:r w:rsidRPr="002E1AF6">
              <w:rPr>
                <w:rFonts w:ascii="Arial" w:hAnsi="Arial" w:cs="Arial"/>
                <w:b/>
                <w:bCs/>
                <w:sz w:val="14"/>
                <w:szCs w:val="14"/>
                <w:lang w:eastAsia="es-AR"/>
              </w:rPr>
              <w:t>304</w:t>
            </w:r>
          </w:p>
        </w:tc>
        <w:tc>
          <w:tcPr>
            <w:tcW w:w="850" w:type="dxa"/>
            <w:tcBorders>
              <w:top w:val="nil"/>
              <w:left w:val="nil"/>
              <w:bottom w:val="single" w:sz="4" w:space="0" w:color="auto"/>
              <w:right w:val="single" w:sz="4" w:space="0" w:color="auto"/>
            </w:tcBorders>
            <w:shd w:val="clear" w:color="auto" w:fill="auto"/>
            <w:noWrap/>
            <w:vAlign w:val="center"/>
            <w:hideMark/>
          </w:tcPr>
          <w:p w14:paraId="78BFB0C3" w14:textId="491F473B" w:rsidR="00B07FC6" w:rsidRPr="002E1AF6" w:rsidRDefault="00B07FC6" w:rsidP="00B07FC6">
            <w:pPr>
              <w:jc w:val="center"/>
              <w:rPr>
                <w:rFonts w:ascii="Arial" w:hAnsi="Arial" w:cs="Arial"/>
                <w:sz w:val="14"/>
                <w:szCs w:val="14"/>
                <w:lang w:eastAsia="es-AR"/>
              </w:rPr>
            </w:pPr>
            <w:r w:rsidRPr="002E1AF6">
              <w:rPr>
                <w:rFonts w:ascii="Arial" w:hAnsi="Arial" w:cs="Arial"/>
                <w:sz w:val="14"/>
                <w:szCs w:val="14"/>
                <w:lang w:eastAsia="es-AR"/>
              </w:rPr>
              <w:t>-</w:t>
            </w:r>
          </w:p>
        </w:tc>
        <w:tc>
          <w:tcPr>
            <w:tcW w:w="993" w:type="dxa"/>
            <w:tcBorders>
              <w:top w:val="nil"/>
              <w:left w:val="nil"/>
              <w:bottom w:val="single" w:sz="4" w:space="0" w:color="auto"/>
              <w:right w:val="single" w:sz="4" w:space="0" w:color="auto"/>
            </w:tcBorders>
            <w:shd w:val="clear" w:color="auto" w:fill="auto"/>
            <w:vAlign w:val="center"/>
            <w:hideMark/>
          </w:tcPr>
          <w:p w14:paraId="6CED2059" w14:textId="28937B04" w:rsidR="00B07FC6" w:rsidRPr="002E1AF6" w:rsidRDefault="00B07FC6" w:rsidP="00B07FC6">
            <w:pPr>
              <w:jc w:val="right"/>
              <w:rPr>
                <w:sz w:val="20"/>
                <w:lang w:eastAsia="es-AR"/>
              </w:rPr>
            </w:pPr>
          </w:p>
        </w:tc>
        <w:tc>
          <w:tcPr>
            <w:tcW w:w="708" w:type="dxa"/>
            <w:tcBorders>
              <w:top w:val="nil"/>
              <w:left w:val="nil"/>
              <w:bottom w:val="single" w:sz="4" w:space="0" w:color="auto"/>
              <w:right w:val="single" w:sz="4" w:space="0" w:color="auto"/>
            </w:tcBorders>
            <w:shd w:val="clear" w:color="auto" w:fill="auto"/>
            <w:noWrap/>
            <w:vAlign w:val="center"/>
            <w:hideMark/>
          </w:tcPr>
          <w:p w14:paraId="5FFEEBBE" w14:textId="395303EE"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709" w:type="dxa"/>
            <w:tcBorders>
              <w:top w:val="nil"/>
              <w:left w:val="nil"/>
              <w:bottom w:val="single" w:sz="4" w:space="0" w:color="auto"/>
              <w:right w:val="single" w:sz="4" w:space="0" w:color="auto"/>
            </w:tcBorders>
            <w:shd w:val="clear" w:color="auto" w:fill="auto"/>
            <w:noWrap/>
            <w:vAlign w:val="center"/>
            <w:hideMark/>
          </w:tcPr>
          <w:p w14:paraId="51A6CA23" w14:textId="346790AB"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851" w:type="dxa"/>
            <w:tcBorders>
              <w:top w:val="nil"/>
              <w:left w:val="nil"/>
              <w:bottom w:val="single" w:sz="4" w:space="0" w:color="auto"/>
              <w:right w:val="single" w:sz="4" w:space="0" w:color="auto"/>
            </w:tcBorders>
            <w:shd w:val="clear" w:color="auto" w:fill="auto"/>
            <w:noWrap/>
            <w:vAlign w:val="center"/>
            <w:hideMark/>
          </w:tcPr>
          <w:p w14:paraId="06A5930F" w14:textId="3649507E"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-304</w:t>
            </w:r>
          </w:p>
        </w:tc>
        <w:tc>
          <w:tcPr>
            <w:tcW w:w="708" w:type="dxa"/>
            <w:tcBorders>
              <w:top w:val="nil"/>
              <w:left w:val="nil"/>
              <w:bottom w:val="single" w:sz="4" w:space="0" w:color="auto"/>
              <w:right w:val="single" w:sz="4" w:space="0" w:color="auto"/>
            </w:tcBorders>
            <w:shd w:val="clear" w:color="auto" w:fill="auto"/>
            <w:noWrap/>
            <w:vAlign w:val="center"/>
            <w:hideMark/>
          </w:tcPr>
          <w:p w14:paraId="190760F9" w14:textId="18DF70CD"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709" w:type="dxa"/>
            <w:tcBorders>
              <w:top w:val="nil"/>
              <w:left w:val="nil"/>
              <w:bottom w:val="single" w:sz="4" w:space="0" w:color="auto"/>
              <w:right w:val="single" w:sz="4" w:space="0" w:color="auto"/>
            </w:tcBorders>
            <w:shd w:val="clear" w:color="auto" w:fill="auto"/>
            <w:noWrap/>
            <w:vAlign w:val="center"/>
            <w:hideMark/>
          </w:tcPr>
          <w:p w14:paraId="4B1FDE9D" w14:textId="77FB1654"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851" w:type="dxa"/>
            <w:tcBorders>
              <w:top w:val="nil"/>
              <w:left w:val="nil"/>
              <w:bottom w:val="single" w:sz="4" w:space="0" w:color="auto"/>
              <w:right w:val="single" w:sz="4" w:space="0" w:color="auto"/>
            </w:tcBorders>
            <w:shd w:val="clear" w:color="auto" w:fill="auto"/>
            <w:noWrap/>
            <w:vAlign w:val="center"/>
            <w:hideMark/>
          </w:tcPr>
          <w:p w14:paraId="20AC02AE" w14:textId="39E40D94"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-304</w:t>
            </w:r>
          </w:p>
        </w:tc>
        <w:tc>
          <w:tcPr>
            <w:tcW w:w="796" w:type="dxa"/>
            <w:tcBorders>
              <w:top w:val="nil"/>
              <w:left w:val="nil"/>
              <w:bottom w:val="single" w:sz="4" w:space="0" w:color="auto"/>
              <w:right w:val="single" w:sz="4" w:space="0" w:color="auto"/>
            </w:tcBorders>
            <w:shd w:val="clear" w:color="auto" w:fill="auto"/>
            <w:noWrap/>
            <w:vAlign w:val="center"/>
            <w:hideMark/>
          </w:tcPr>
          <w:p w14:paraId="01EF984B" w14:textId="2DF392F7" w:rsidR="00B07FC6" w:rsidRPr="002E1AF6" w:rsidRDefault="00B07FC6" w:rsidP="00B07FC6">
            <w:pPr>
              <w:jc w:val="right"/>
              <w:rPr>
                <w:rFonts w:ascii="Arial" w:hAnsi="Arial" w:cs="Arial"/>
                <w:b/>
                <w:bCs/>
                <w:sz w:val="14"/>
                <w:szCs w:val="14"/>
                <w:lang w:eastAsia="es-AR"/>
              </w:rPr>
            </w:pPr>
            <w:r w:rsidRPr="002E1AF6">
              <w:rPr>
                <w:rFonts w:ascii="Arial" w:hAnsi="Arial" w:cs="Arial"/>
                <w:b/>
                <w:bCs/>
                <w:sz w:val="14"/>
                <w:szCs w:val="14"/>
              </w:rPr>
              <w:t>-</w:t>
            </w:r>
          </w:p>
        </w:tc>
      </w:tr>
      <w:tr w:rsidR="00B07FC6" w:rsidRPr="00524BA4" w14:paraId="0085F4FE" w14:textId="77777777" w:rsidTr="002E1AF6">
        <w:trPr>
          <w:trHeight w:val="3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0D6D29F" w14:textId="77777777" w:rsidR="00B07FC6" w:rsidRPr="002E1AF6" w:rsidRDefault="00B07FC6" w:rsidP="00B07FC6">
            <w:pPr>
              <w:rPr>
                <w:rFonts w:ascii="Arial" w:hAnsi="Arial" w:cs="Arial"/>
                <w:sz w:val="14"/>
                <w:szCs w:val="14"/>
                <w:lang w:eastAsia="es-AR"/>
              </w:rPr>
            </w:pPr>
            <w:r w:rsidRPr="002E1AF6">
              <w:rPr>
                <w:rFonts w:ascii="Arial" w:hAnsi="Arial" w:cs="Arial"/>
                <w:sz w:val="14"/>
                <w:szCs w:val="14"/>
                <w:lang w:eastAsia="es-AR"/>
              </w:rPr>
              <w:t>- Obras en curso</w:t>
            </w:r>
          </w:p>
        </w:tc>
        <w:tc>
          <w:tcPr>
            <w:tcW w:w="851" w:type="dxa"/>
            <w:tcBorders>
              <w:top w:val="nil"/>
              <w:left w:val="nil"/>
              <w:bottom w:val="single" w:sz="4" w:space="0" w:color="auto"/>
              <w:right w:val="single" w:sz="4" w:space="0" w:color="auto"/>
            </w:tcBorders>
            <w:shd w:val="clear" w:color="auto" w:fill="auto"/>
            <w:noWrap/>
            <w:vAlign w:val="center"/>
            <w:hideMark/>
          </w:tcPr>
          <w:p w14:paraId="5C5B05E9" w14:textId="0F1F4F89" w:rsidR="00B07FC6"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lang w:eastAsia="es-AR"/>
              </w:rPr>
              <w:t>508.198</w:t>
            </w:r>
          </w:p>
        </w:tc>
        <w:tc>
          <w:tcPr>
            <w:tcW w:w="850" w:type="dxa"/>
            <w:tcBorders>
              <w:top w:val="nil"/>
              <w:left w:val="nil"/>
              <w:bottom w:val="single" w:sz="4" w:space="0" w:color="auto"/>
              <w:right w:val="single" w:sz="4" w:space="0" w:color="auto"/>
            </w:tcBorders>
            <w:shd w:val="clear" w:color="auto" w:fill="auto"/>
            <w:noWrap/>
            <w:vAlign w:val="center"/>
            <w:hideMark/>
          </w:tcPr>
          <w:p w14:paraId="2AFEA7EB" w14:textId="25C7E921" w:rsidR="00B07FC6" w:rsidRPr="002E1AF6" w:rsidRDefault="00B07FC6" w:rsidP="00B07FC6">
            <w:pPr>
              <w:jc w:val="center"/>
              <w:rPr>
                <w:rFonts w:ascii="Arial" w:hAnsi="Arial" w:cs="Arial"/>
                <w:sz w:val="14"/>
                <w:szCs w:val="14"/>
                <w:lang w:eastAsia="es-AR"/>
              </w:rPr>
            </w:pPr>
            <w:r w:rsidRPr="002E1AF6">
              <w:rPr>
                <w:rFonts w:ascii="Arial" w:hAnsi="Arial" w:cs="Arial"/>
                <w:sz w:val="14"/>
                <w:szCs w:val="14"/>
                <w:lang w:eastAsia="es-AR"/>
              </w:rPr>
              <w:t>-</w:t>
            </w:r>
          </w:p>
        </w:tc>
        <w:tc>
          <w:tcPr>
            <w:tcW w:w="993" w:type="dxa"/>
            <w:tcBorders>
              <w:top w:val="nil"/>
              <w:left w:val="nil"/>
              <w:bottom w:val="single" w:sz="4" w:space="0" w:color="auto"/>
              <w:right w:val="single" w:sz="4" w:space="0" w:color="auto"/>
            </w:tcBorders>
            <w:shd w:val="clear" w:color="auto" w:fill="auto"/>
            <w:vAlign w:val="center"/>
            <w:hideMark/>
          </w:tcPr>
          <w:p w14:paraId="067CA7E9" w14:textId="20589FCB" w:rsidR="00B07FC6" w:rsidRPr="002E1AF6" w:rsidRDefault="00B07FC6" w:rsidP="00B07FC6">
            <w:pPr>
              <w:jc w:val="right"/>
              <w:rPr>
                <w:sz w:val="20"/>
                <w:lang w:eastAsia="es-AR"/>
              </w:rPr>
            </w:pPr>
          </w:p>
        </w:tc>
        <w:tc>
          <w:tcPr>
            <w:tcW w:w="708" w:type="dxa"/>
            <w:tcBorders>
              <w:top w:val="nil"/>
              <w:left w:val="nil"/>
              <w:bottom w:val="single" w:sz="4" w:space="0" w:color="auto"/>
              <w:right w:val="single" w:sz="4" w:space="0" w:color="auto"/>
            </w:tcBorders>
            <w:shd w:val="clear" w:color="auto" w:fill="auto"/>
            <w:noWrap/>
            <w:vAlign w:val="center"/>
            <w:hideMark/>
          </w:tcPr>
          <w:p w14:paraId="77423855" w14:textId="3F3AE195"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5.349</w:t>
            </w:r>
          </w:p>
        </w:tc>
        <w:tc>
          <w:tcPr>
            <w:tcW w:w="709" w:type="dxa"/>
            <w:tcBorders>
              <w:top w:val="nil"/>
              <w:left w:val="nil"/>
              <w:bottom w:val="single" w:sz="4" w:space="0" w:color="auto"/>
              <w:right w:val="single" w:sz="4" w:space="0" w:color="auto"/>
            </w:tcBorders>
            <w:shd w:val="clear" w:color="auto" w:fill="auto"/>
            <w:noWrap/>
            <w:vAlign w:val="center"/>
            <w:hideMark/>
          </w:tcPr>
          <w:p w14:paraId="427818E7" w14:textId="2C8337D1"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22.004</w:t>
            </w:r>
          </w:p>
        </w:tc>
        <w:tc>
          <w:tcPr>
            <w:tcW w:w="851" w:type="dxa"/>
            <w:tcBorders>
              <w:top w:val="nil"/>
              <w:left w:val="nil"/>
              <w:bottom w:val="single" w:sz="4" w:space="0" w:color="auto"/>
              <w:right w:val="single" w:sz="4" w:space="0" w:color="auto"/>
            </w:tcBorders>
            <w:shd w:val="clear" w:color="auto" w:fill="auto"/>
            <w:noWrap/>
            <w:vAlign w:val="center"/>
            <w:hideMark/>
          </w:tcPr>
          <w:p w14:paraId="146031DC" w14:textId="0D56F5AF"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708" w:type="dxa"/>
            <w:tcBorders>
              <w:top w:val="nil"/>
              <w:left w:val="nil"/>
              <w:bottom w:val="single" w:sz="4" w:space="0" w:color="auto"/>
              <w:right w:val="single" w:sz="4" w:space="0" w:color="auto"/>
            </w:tcBorders>
            <w:shd w:val="clear" w:color="auto" w:fill="auto"/>
            <w:noWrap/>
            <w:vAlign w:val="center"/>
            <w:hideMark/>
          </w:tcPr>
          <w:p w14:paraId="49657387" w14:textId="34F5CC80"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709" w:type="dxa"/>
            <w:tcBorders>
              <w:top w:val="nil"/>
              <w:left w:val="nil"/>
              <w:bottom w:val="single" w:sz="4" w:space="0" w:color="auto"/>
              <w:right w:val="single" w:sz="4" w:space="0" w:color="auto"/>
            </w:tcBorders>
            <w:shd w:val="clear" w:color="auto" w:fill="auto"/>
            <w:noWrap/>
            <w:vAlign w:val="center"/>
            <w:hideMark/>
          </w:tcPr>
          <w:p w14:paraId="540DDB22" w14:textId="77AE2D7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851" w:type="dxa"/>
            <w:tcBorders>
              <w:top w:val="nil"/>
              <w:left w:val="nil"/>
              <w:bottom w:val="single" w:sz="4" w:space="0" w:color="auto"/>
              <w:right w:val="single" w:sz="4" w:space="0" w:color="auto"/>
            </w:tcBorders>
            <w:shd w:val="clear" w:color="auto" w:fill="auto"/>
            <w:noWrap/>
            <w:vAlign w:val="center"/>
            <w:hideMark/>
          </w:tcPr>
          <w:p w14:paraId="329C8011" w14:textId="27F24C3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796" w:type="dxa"/>
            <w:tcBorders>
              <w:top w:val="nil"/>
              <w:left w:val="nil"/>
              <w:bottom w:val="single" w:sz="4" w:space="0" w:color="auto"/>
              <w:right w:val="single" w:sz="4" w:space="0" w:color="auto"/>
            </w:tcBorders>
            <w:shd w:val="clear" w:color="auto" w:fill="auto"/>
            <w:noWrap/>
            <w:vAlign w:val="center"/>
            <w:hideMark/>
          </w:tcPr>
          <w:p w14:paraId="38E9E86A" w14:textId="647DFBC5" w:rsidR="00B07FC6" w:rsidRPr="002E1AF6" w:rsidRDefault="00694720" w:rsidP="00B07FC6">
            <w:pPr>
              <w:jc w:val="right"/>
              <w:rPr>
                <w:rFonts w:ascii="Arial" w:hAnsi="Arial" w:cs="Arial"/>
                <w:b/>
                <w:bCs/>
                <w:sz w:val="14"/>
                <w:szCs w:val="14"/>
                <w:lang w:eastAsia="es-AR"/>
              </w:rPr>
            </w:pPr>
            <w:r w:rsidRPr="002E1AF6">
              <w:rPr>
                <w:rFonts w:ascii="Arial" w:hAnsi="Arial" w:cs="Arial"/>
                <w:b/>
                <w:bCs/>
                <w:sz w:val="14"/>
                <w:szCs w:val="14"/>
              </w:rPr>
              <w:t>491.543</w:t>
            </w:r>
          </w:p>
        </w:tc>
      </w:tr>
      <w:tr w:rsidR="008E4463" w:rsidRPr="00524BA4" w14:paraId="668E1100" w14:textId="77777777" w:rsidTr="002E1AF6">
        <w:trPr>
          <w:trHeight w:val="300"/>
        </w:trPr>
        <w:tc>
          <w:tcPr>
            <w:tcW w:w="1696" w:type="dxa"/>
            <w:tcBorders>
              <w:top w:val="nil"/>
              <w:left w:val="single" w:sz="4" w:space="0" w:color="auto"/>
              <w:bottom w:val="single" w:sz="4" w:space="0" w:color="auto"/>
              <w:right w:val="nil"/>
            </w:tcBorders>
            <w:shd w:val="clear" w:color="auto" w:fill="auto"/>
            <w:vAlign w:val="center"/>
            <w:hideMark/>
          </w:tcPr>
          <w:p w14:paraId="2E145684" w14:textId="77777777" w:rsidR="008E4463" w:rsidRPr="002E1AF6" w:rsidRDefault="008E4463" w:rsidP="008E4463">
            <w:pPr>
              <w:rPr>
                <w:rFonts w:ascii="Arial" w:hAnsi="Arial" w:cs="Arial"/>
                <w:b/>
                <w:bCs/>
                <w:sz w:val="14"/>
                <w:szCs w:val="14"/>
                <w:lang w:eastAsia="es-AR"/>
              </w:rPr>
            </w:pPr>
            <w:r w:rsidRPr="002E1AF6">
              <w:rPr>
                <w:rFonts w:ascii="Arial" w:hAnsi="Arial" w:cs="Arial"/>
                <w:b/>
                <w:bCs/>
                <w:sz w:val="14"/>
                <w:szCs w:val="14"/>
                <w:lang w:eastAsia="es-AR"/>
              </w:rPr>
              <w:t>Modelo de revaluación</w:t>
            </w:r>
          </w:p>
        </w:tc>
        <w:tc>
          <w:tcPr>
            <w:tcW w:w="851" w:type="dxa"/>
            <w:tcBorders>
              <w:top w:val="nil"/>
              <w:left w:val="nil"/>
              <w:bottom w:val="single" w:sz="4" w:space="0" w:color="auto"/>
              <w:right w:val="nil"/>
            </w:tcBorders>
            <w:shd w:val="clear" w:color="auto" w:fill="auto"/>
            <w:vAlign w:val="center"/>
            <w:hideMark/>
          </w:tcPr>
          <w:p w14:paraId="5D47E02B" w14:textId="554674FF" w:rsidR="008E4463" w:rsidRPr="002E1AF6" w:rsidRDefault="008E4463" w:rsidP="00534414">
            <w:pPr>
              <w:jc w:val="right"/>
              <w:rPr>
                <w:rFonts w:ascii="Arial" w:hAnsi="Arial" w:cs="Arial"/>
                <w:b/>
                <w:bCs/>
                <w:sz w:val="14"/>
                <w:szCs w:val="14"/>
                <w:lang w:eastAsia="es-AR"/>
              </w:rPr>
            </w:pPr>
          </w:p>
        </w:tc>
        <w:tc>
          <w:tcPr>
            <w:tcW w:w="850" w:type="dxa"/>
            <w:tcBorders>
              <w:top w:val="nil"/>
              <w:left w:val="nil"/>
              <w:bottom w:val="single" w:sz="4" w:space="0" w:color="auto"/>
              <w:right w:val="nil"/>
            </w:tcBorders>
            <w:shd w:val="clear" w:color="auto" w:fill="auto"/>
            <w:vAlign w:val="center"/>
            <w:hideMark/>
          </w:tcPr>
          <w:p w14:paraId="296FAB46" w14:textId="01474CA4" w:rsidR="008E4463" w:rsidRPr="002E1AF6" w:rsidRDefault="008E4463" w:rsidP="00534414">
            <w:pPr>
              <w:jc w:val="center"/>
              <w:rPr>
                <w:rFonts w:ascii="Arial" w:hAnsi="Arial" w:cs="Arial"/>
                <w:b/>
                <w:bCs/>
                <w:sz w:val="14"/>
                <w:szCs w:val="14"/>
                <w:lang w:eastAsia="es-AR"/>
              </w:rPr>
            </w:pPr>
          </w:p>
        </w:tc>
        <w:tc>
          <w:tcPr>
            <w:tcW w:w="993" w:type="dxa"/>
            <w:tcBorders>
              <w:top w:val="nil"/>
              <w:left w:val="nil"/>
              <w:bottom w:val="single" w:sz="4" w:space="0" w:color="auto"/>
              <w:right w:val="nil"/>
            </w:tcBorders>
            <w:shd w:val="clear" w:color="auto" w:fill="auto"/>
            <w:vAlign w:val="center"/>
            <w:hideMark/>
          </w:tcPr>
          <w:p w14:paraId="3C0A6FE6" w14:textId="71EFCB53" w:rsidR="008E4463" w:rsidRPr="002E1AF6" w:rsidRDefault="008E4463" w:rsidP="00534414">
            <w:pPr>
              <w:jc w:val="right"/>
              <w:rPr>
                <w:rFonts w:ascii="Arial" w:hAnsi="Arial" w:cs="Arial"/>
                <w:b/>
                <w:bCs/>
                <w:sz w:val="14"/>
                <w:szCs w:val="14"/>
                <w:lang w:eastAsia="es-AR"/>
              </w:rPr>
            </w:pPr>
          </w:p>
        </w:tc>
        <w:tc>
          <w:tcPr>
            <w:tcW w:w="708" w:type="dxa"/>
            <w:tcBorders>
              <w:top w:val="nil"/>
              <w:left w:val="nil"/>
              <w:bottom w:val="single" w:sz="4" w:space="0" w:color="auto"/>
              <w:right w:val="nil"/>
            </w:tcBorders>
            <w:shd w:val="clear" w:color="auto" w:fill="auto"/>
            <w:vAlign w:val="center"/>
            <w:hideMark/>
          </w:tcPr>
          <w:p w14:paraId="7773B1BA" w14:textId="17581701" w:rsidR="008E4463" w:rsidRPr="002E1AF6" w:rsidRDefault="008E4463" w:rsidP="00534414">
            <w:pPr>
              <w:jc w:val="right"/>
              <w:rPr>
                <w:rFonts w:ascii="Arial" w:hAnsi="Arial" w:cs="Arial"/>
                <w:b/>
                <w:bCs/>
                <w:sz w:val="14"/>
                <w:szCs w:val="14"/>
                <w:lang w:eastAsia="es-AR"/>
              </w:rPr>
            </w:pPr>
          </w:p>
        </w:tc>
        <w:tc>
          <w:tcPr>
            <w:tcW w:w="709" w:type="dxa"/>
            <w:tcBorders>
              <w:top w:val="nil"/>
              <w:left w:val="nil"/>
              <w:bottom w:val="single" w:sz="4" w:space="0" w:color="auto"/>
              <w:right w:val="nil"/>
            </w:tcBorders>
            <w:shd w:val="clear" w:color="auto" w:fill="auto"/>
            <w:vAlign w:val="center"/>
            <w:hideMark/>
          </w:tcPr>
          <w:p w14:paraId="2C763158" w14:textId="297751EA" w:rsidR="008E4463" w:rsidRPr="002E1AF6" w:rsidRDefault="008E4463" w:rsidP="00534414">
            <w:pPr>
              <w:jc w:val="right"/>
              <w:rPr>
                <w:rFonts w:ascii="Arial" w:hAnsi="Arial" w:cs="Arial"/>
                <w:b/>
                <w:bCs/>
                <w:sz w:val="14"/>
                <w:szCs w:val="14"/>
                <w:lang w:eastAsia="es-AR"/>
              </w:rPr>
            </w:pPr>
          </w:p>
        </w:tc>
        <w:tc>
          <w:tcPr>
            <w:tcW w:w="851" w:type="dxa"/>
            <w:tcBorders>
              <w:top w:val="nil"/>
              <w:left w:val="nil"/>
              <w:bottom w:val="single" w:sz="4" w:space="0" w:color="auto"/>
              <w:right w:val="nil"/>
            </w:tcBorders>
            <w:shd w:val="clear" w:color="auto" w:fill="auto"/>
            <w:vAlign w:val="center"/>
            <w:hideMark/>
          </w:tcPr>
          <w:p w14:paraId="4D4FD1B6" w14:textId="618E3B99" w:rsidR="008E4463" w:rsidRPr="002E1AF6" w:rsidRDefault="008E4463" w:rsidP="00534414">
            <w:pPr>
              <w:jc w:val="right"/>
              <w:rPr>
                <w:rFonts w:ascii="Arial" w:hAnsi="Arial" w:cs="Arial"/>
                <w:b/>
                <w:bCs/>
                <w:sz w:val="14"/>
                <w:szCs w:val="14"/>
                <w:lang w:eastAsia="es-AR"/>
              </w:rPr>
            </w:pPr>
          </w:p>
        </w:tc>
        <w:tc>
          <w:tcPr>
            <w:tcW w:w="708" w:type="dxa"/>
            <w:tcBorders>
              <w:top w:val="nil"/>
              <w:left w:val="nil"/>
              <w:bottom w:val="single" w:sz="4" w:space="0" w:color="auto"/>
              <w:right w:val="nil"/>
            </w:tcBorders>
            <w:shd w:val="clear" w:color="auto" w:fill="auto"/>
            <w:vAlign w:val="center"/>
            <w:hideMark/>
          </w:tcPr>
          <w:p w14:paraId="0A2D1DAB" w14:textId="28914243" w:rsidR="008E4463" w:rsidRPr="002E1AF6" w:rsidRDefault="008E4463" w:rsidP="00534414">
            <w:pPr>
              <w:jc w:val="right"/>
              <w:rPr>
                <w:rFonts w:ascii="Arial" w:hAnsi="Arial" w:cs="Arial"/>
                <w:b/>
                <w:bCs/>
                <w:sz w:val="14"/>
                <w:szCs w:val="14"/>
                <w:lang w:eastAsia="es-AR"/>
              </w:rPr>
            </w:pPr>
          </w:p>
        </w:tc>
        <w:tc>
          <w:tcPr>
            <w:tcW w:w="709" w:type="dxa"/>
            <w:tcBorders>
              <w:top w:val="nil"/>
              <w:left w:val="nil"/>
              <w:bottom w:val="single" w:sz="4" w:space="0" w:color="auto"/>
              <w:right w:val="nil"/>
            </w:tcBorders>
            <w:shd w:val="clear" w:color="auto" w:fill="auto"/>
            <w:vAlign w:val="center"/>
            <w:hideMark/>
          </w:tcPr>
          <w:p w14:paraId="7FD7E7D5" w14:textId="67A7CA78" w:rsidR="008E4463" w:rsidRPr="002E1AF6" w:rsidRDefault="008E4463" w:rsidP="00534414">
            <w:pPr>
              <w:jc w:val="right"/>
              <w:rPr>
                <w:rFonts w:ascii="Arial" w:hAnsi="Arial" w:cs="Arial"/>
                <w:b/>
                <w:bCs/>
                <w:sz w:val="14"/>
                <w:szCs w:val="14"/>
                <w:lang w:eastAsia="es-AR"/>
              </w:rPr>
            </w:pPr>
          </w:p>
        </w:tc>
        <w:tc>
          <w:tcPr>
            <w:tcW w:w="851" w:type="dxa"/>
            <w:tcBorders>
              <w:top w:val="nil"/>
              <w:left w:val="nil"/>
              <w:bottom w:val="single" w:sz="4" w:space="0" w:color="auto"/>
              <w:right w:val="nil"/>
            </w:tcBorders>
            <w:shd w:val="clear" w:color="auto" w:fill="auto"/>
            <w:vAlign w:val="center"/>
            <w:hideMark/>
          </w:tcPr>
          <w:p w14:paraId="18E5D7DC" w14:textId="2B0F5E66" w:rsidR="008E4463" w:rsidRPr="002E1AF6" w:rsidRDefault="008E4463" w:rsidP="00534414">
            <w:pPr>
              <w:jc w:val="right"/>
              <w:rPr>
                <w:rFonts w:ascii="Arial" w:hAnsi="Arial" w:cs="Arial"/>
                <w:b/>
                <w:bCs/>
                <w:sz w:val="14"/>
                <w:szCs w:val="14"/>
                <w:lang w:eastAsia="es-AR"/>
              </w:rPr>
            </w:pPr>
          </w:p>
        </w:tc>
        <w:tc>
          <w:tcPr>
            <w:tcW w:w="796" w:type="dxa"/>
            <w:tcBorders>
              <w:top w:val="nil"/>
              <w:left w:val="nil"/>
              <w:bottom w:val="single" w:sz="4" w:space="0" w:color="auto"/>
              <w:right w:val="single" w:sz="4" w:space="0" w:color="auto"/>
            </w:tcBorders>
            <w:shd w:val="clear" w:color="auto" w:fill="auto"/>
            <w:vAlign w:val="center"/>
            <w:hideMark/>
          </w:tcPr>
          <w:p w14:paraId="4496C19A" w14:textId="71199377" w:rsidR="008E4463" w:rsidRPr="002E1AF6" w:rsidRDefault="008E4463" w:rsidP="00534414">
            <w:pPr>
              <w:jc w:val="right"/>
              <w:rPr>
                <w:rFonts w:ascii="Arial" w:hAnsi="Arial" w:cs="Arial"/>
                <w:b/>
                <w:bCs/>
                <w:sz w:val="14"/>
                <w:szCs w:val="14"/>
                <w:lang w:eastAsia="es-AR"/>
              </w:rPr>
            </w:pPr>
          </w:p>
        </w:tc>
      </w:tr>
      <w:tr w:rsidR="00B07FC6" w:rsidRPr="00524BA4" w14:paraId="5529645C" w14:textId="77777777" w:rsidTr="002E1AF6">
        <w:trPr>
          <w:trHeight w:val="3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32F27F4" w14:textId="77777777" w:rsidR="00B07FC6" w:rsidRPr="002E1AF6" w:rsidRDefault="00B07FC6" w:rsidP="00B07FC6">
            <w:pPr>
              <w:rPr>
                <w:rFonts w:ascii="Arial" w:hAnsi="Arial" w:cs="Arial"/>
                <w:sz w:val="14"/>
                <w:szCs w:val="14"/>
                <w:lang w:eastAsia="es-AR"/>
              </w:rPr>
            </w:pPr>
            <w:r w:rsidRPr="002E1AF6">
              <w:rPr>
                <w:rFonts w:ascii="Arial" w:hAnsi="Arial" w:cs="Arial"/>
                <w:sz w:val="14"/>
                <w:szCs w:val="14"/>
                <w:lang w:eastAsia="es-AR"/>
              </w:rPr>
              <w:t>- Inmuebles</w:t>
            </w:r>
          </w:p>
        </w:tc>
        <w:tc>
          <w:tcPr>
            <w:tcW w:w="851" w:type="dxa"/>
            <w:tcBorders>
              <w:top w:val="nil"/>
              <w:left w:val="nil"/>
              <w:bottom w:val="single" w:sz="4" w:space="0" w:color="auto"/>
              <w:right w:val="single" w:sz="4" w:space="0" w:color="auto"/>
            </w:tcBorders>
            <w:shd w:val="clear" w:color="auto" w:fill="auto"/>
            <w:noWrap/>
            <w:vAlign w:val="center"/>
            <w:hideMark/>
          </w:tcPr>
          <w:p w14:paraId="731CBE9D" w14:textId="50309E24" w:rsidR="00B07FC6" w:rsidRPr="002E1AF6" w:rsidRDefault="00B07FC6" w:rsidP="00B07FC6">
            <w:pPr>
              <w:jc w:val="right"/>
              <w:rPr>
                <w:rFonts w:ascii="Arial" w:hAnsi="Arial" w:cs="Arial"/>
                <w:b/>
                <w:bCs/>
                <w:sz w:val="14"/>
                <w:szCs w:val="14"/>
                <w:lang w:eastAsia="es-AR"/>
              </w:rPr>
            </w:pPr>
            <w:r w:rsidRPr="002E1AF6">
              <w:rPr>
                <w:rFonts w:ascii="Arial" w:hAnsi="Arial" w:cs="Arial"/>
                <w:b/>
                <w:bCs/>
                <w:sz w:val="14"/>
                <w:szCs w:val="14"/>
                <w:lang w:eastAsia="es-AR"/>
              </w:rPr>
              <w:t>1</w:t>
            </w:r>
            <w:r w:rsidR="00524BA4" w:rsidRPr="002E1AF6">
              <w:rPr>
                <w:rFonts w:ascii="Arial" w:hAnsi="Arial" w:cs="Arial"/>
                <w:b/>
                <w:bCs/>
                <w:sz w:val="14"/>
                <w:szCs w:val="14"/>
                <w:lang w:eastAsia="es-AR"/>
              </w:rPr>
              <w:t>.854.635</w:t>
            </w:r>
          </w:p>
        </w:tc>
        <w:tc>
          <w:tcPr>
            <w:tcW w:w="850" w:type="dxa"/>
            <w:tcBorders>
              <w:top w:val="nil"/>
              <w:left w:val="nil"/>
              <w:bottom w:val="single" w:sz="4" w:space="0" w:color="auto"/>
              <w:right w:val="single" w:sz="4" w:space="0" w:color="auto"/>
            </w:tcBorders>
            <w:shd w:val="clear" w:color="auto" w:fill="auto"/>
            <w:noWrap/>
            <w:vAlign w:val="center"/>
            <w:hideMark/>
          </w:tcPr>
          <w:p w14:paraId="30C97A5B" w14:textId="588ADE23" w:rsidR="00B07FC6" w:rsidRPr="002E1AF6" w:rsidRDefault="00B07FC6" w:rsidP="00B07FC6">
            <w:pPr>
              <w:jc w:val="center"/>
              <w:rPr>
                <w:rFonts w:ascii="Arial" w:hAnsi="Arial" w:cs="Arial"/>
                <w:sz w:val="14"/>
                <w:szCs w:val="14"/>
                <w:lang w:eastAsia="es-AR"/>
              </w:rPr>
            </w:pPr>
            <w:r w:rsidRPr="002E1AF6">
              <w:rPr>
                <w:rFonts w:ascii="Arial" w:hAnsi="Arial" w:cs="Arial"/>
                <w:sz w:val="14"/>
                <w:szCs w:val="14"/>
                <w:lang w:eastAsia="es-AR"/>
              </w:rPr>
              <w:t>50</w:t>
            </w:r>
          </w:p>
        </w:tc>
        <w:tc>
          <w:tcPr>
            <w:tcW w:w="993" w:type="dxa"/>
            <w:tcBorders>
              <w:top w:val="nil"/>
              <w:left w:val="nil"/>
              <w:bottom w:val="single" w:sz="4" w:space="0" w:color="auto"/>
              <w:right w:val="single" w:sz="4" w:space="0" w:color="auto"/>
            </w:tcBorders>
            <w:shd w:val="clear" w:color="auto" w:fill="auto"/>
            <w:noWrap/>
            <w:vAlign w:val="center"/>
            <w:hideMark/>
          </w:tcPr>
          <w:p w14:paraId="3C67CF7F" w14:textId="742FA24B" w:rsidR="00B07FC6" w:rsidRPr="002E1AF6" w:rsidRDefault="00063443" w:rsidP="00B07FC6">
            <w:pPr>
              <w:jc w:val="right"/>
              <w:rPr>
                <w:rFonts w:ascii="Arial" w:hAnsi="Arial" w:cs="Arial"/>
                <w:sz w:val="14"/>
                <w:szCs w:val="14"/>
                <w:lang w:eastAsia="es-AR"/>
              </w:rPr>
            </w:pPr>
            <w:r w:rsidRPr="002E1AF6">
              <w:rPr>
                <w:rFonts w:ascii="Arial" w:hAnsi="Arial" w:cs="Arial"/>
                <w:sz w:val="14"/>
                <w:szCs w:val="14"/>
                <w:lang w:eastAsia="es-AR"/>
              </w:rPr>
              <w:t>4</w:t>
            </w:r>
            <w:r w:rsidR="00524BA4" w:rsidRPr="002E1AF6">
              <w:rPr>
                <w:rFonts w:ascii="Arial" w:hAnsi="Arial" w:cs="Arial"/>
                <w:sz w:val="14"/>
                <w:szCs w:val="14"/>
                <w:lang w:eastAsia="es-AR"/>
              </w:rPr>
              <w:t>27.685</w:t>
            </w:r>
          </w:p>
        </w:tc>
        <w:tc>
          <w:tcPr>
            <w:tcW w:w="708" w:type="dxa"/>
            <w:tcBorders>
              <w:top w:val="nil"/>
              <w:left w:val="nil"/>
              <w:bottom w:val="single" w:sz="4" w:space="0" w:color="auto"/>
              <w:right w:val="single" w:sz="4" w:space="0" w:color="auto"/>
            </w:tcBorders>
            <w:shd w:val="clear" w:color="auto" w:fill="auto"/>
            <w:noWrap/>
            <w:vAlign w:val="center"/>
            <w:hideMark/>
          </w:tcPr>
          <w:p w14:paraId="75901E30" w14:textId="62720191" w:rsidR="00B07FC6" w:rsidRPr="002E1AF6" w:rsidRDefault="00524BA4" w:rsidP="00B07FC6">
            <w:pPr>
              <w:jc w:val="right"/>
              <w:rPr>
                <w:rFonts w:ascii="Arial" w:hAnsi="Arial" w:cs="Arial"/>
                <w:sz w:val="14"/>
                <w:szCs w:val="14"/>
                <w:lang w:eastAsia="es-AR"/>
              </w:rPr>
            </w:pPr>
            <w:r w:rsidRPr="002E1AF6">
              <w:rPr>
                <w:rFonts w:ascii="Arial" w:hAnsi="Arial" w:cs="Arial"/>
                <w:sz w:val="14"/>
                <w:szCs w:val="14"/>
              </w:rPr>
              <w:t>159.366</w:t>
            </w:r>
          </w:p>
        </w:tc>
        <w:tc>
          <w:tcPr>
            <w:tcW w:w="709" w:type="dxa"/>
            <w:tcBorders>
              <w:top w:val="nil"/>
              <w:left w:val="nil"/>
              <w:bottom w:val="single" w:sz="4" w:space="0" w:color="auto"/>
              <w:right w:val="single" w:sz="4" w:space="0" w:color="auto"/>
            </w:tcBorders>
            <w:shd w:val="clear" w:color="auto" w:fill="auto"/>
            <w:noWrap/>
            <w:vAlign w:val="center"/>
            <w:hideMark/>
          </w:tcPr>
          <w:p w14:paraId="34E31C96" w14:textId="4AB30E49"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p>
        </w:tc>
        <w:tc>
          <w:tcPr>
            <w:tcW w:w="851" w:type="dxa"/>
            <w:tcBorders>
              <w:top w:val="nil"/>
              <w:left w:val="nil"/>
              <w:bottom w:val="single" w:sz="4" w:space="0" w:color="auto"/>
              <w:right w:val="single" w:sz="4" w:space="0" w:color="auto"/>
            </w:tcBorders>
            <w:shd w:val="clear" w:color="auto" w:fill="auto"/>
            <w:noWrap/>
            <w:vAlign w:val="center"/>
            <w:hideMark/>
          </w:tcPr>
          <w:p w14:paraId="07CC77CB" w14:textId="5237F4F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88.929</w:t>
            </w:r>
          </w:p>
        </w:tc>
        <w:tc>
          <w:tcPr>
            <w:tcW w:w="708" w:type="dxa"/>
            <w:tcBorders>
              <w:top w:val="nil"/>
              <w:left w:val="nil"/>
              <w:bottom w:val="single" w:sz="4" w:space="0" w:color="auto"/>
              <w:right w:val="single" w:sz="4" w:space="0" w:color="auto"/>
            </w:tcBorders>
            <w:shd w:val="clear" w:color="auto" w:fill="auto"/>
            <w:noWrap/>
            <w:vAlign w:val="center"/>
            <w:hideMark/>
          </w:tcPr>
          <w:p w14:paraId="4A1C5D4B" w14:textId="577568E6"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524BA4" w:rsidRPr="002E1AF6">
              <w:rPr>
                <w:rFonts w:ascii="Arial" w:hAnsi="Arial" w:cs="Arial"/>
                <w:sz w:val="14"/>
                <w:szCs w:val="14"/>
              </w:rPr>
              <w:t>2961</w:t>
            </w:r>
          </w:p>
        </w:tc>
        <w:tc>
          <w:tcPr>
            <w:tcW w:w="709" w:type="dxa"/>
            <w:tcBorders>
              <w:top w:val="nil"/>
              <w:left w:val="nil"/>
              <w:bottom w:val="single" w:sz="4" w:space="0" w:color="auto"/>
              <w:right w:val="single" w:sz="4" w:space="0" w:color="auto"/>
            </w:tcBorders>
            <w:shd w:val="clear" w:color="auto" w:fill="auto"/>
            <w:noWrap/>
            <w:vAlign w:val="center"/>
            <w:hideMark/>
          </w:tcPr>
          <w:p w14:paraId="3D33E914" w14:textId="47BD7787"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-1</w:t>
            </w:r>
            <w:r w:rsidR="00524BA4" w:rsidRPr="002E1AF6">
              <w:rPr>
                <w:rFonts w:ascii="Arial" w:hAnsi="Arial" w:cs="Arial"/>
                <w:sz w:val="14"/>
                <w:szCs w:val="14"/>
              </w:rPr>
              <w:t>0.874</w:t>
            </w:r>
          </w:p>
        </w:tc>
        <w:tc>
          <w:tcPr>
            <w:tcW w:w="851" w:type="dxa"/>
            <w:tcBorders>
              <w:top w:val="nil"/>
              <w:left w:val="nil"/>
              <w:bottom w:val="single" w:sz="4" w:space="0" w:color="auto"/>
              <w:right w:val="single" w:sz="4" w:space="0" w:color="auto"/>
            </w:tcBorders>
            <w:shd w:val="clear" w:color="auto" w:fill="auto"/>
            <w:noWrap/>
            <w:vAlign w:val="center"/>
            <w:hideMark/>
          </w:tcPr>
          <w:p w14:paraId="0B816E26" w14:textId="5F5AA528" w:rsidR="00B07FC6" w:rsidRPr="002E1AF6" w:rsidRDefault="00B07FC6" w:rsidP="00B07FC6">
            <w:pPr>
              <w:jc w:val="right"/>
              <w:rPr>
                <w:rFonts w:ascii="Arial" w:hAnsi="Arial" w:cs="Arial"/>
                <w:sz w:val="14"/>
                <w:szCs w:val="14"/>
                <w:lang w:eastAsia="es-AR"/>
              </w:rPr>
            </w:pPr>
            <w:r w:rsidRPr="002E1AF6">
              <w:rPr>
                <w:rFonts w:ascii="Arial" w:hAnsi="Arial" w:cs="Arial"/>
                <w:sz w:val="14"/>
                <w:szCs w:val="14"/>
              </w:rPr>
              <w:t>-</w:t>
            </w:r>
            <w:r w:rsidR="00694720" w:rsidRPr="002E1AF6">
              <w:rPr>
                <w:rFonts w:ascii="Arial" w:hAnsi="Arial" w:cs="Arial"/>
                <w:sz w:val="14"/>
                <w:szCs w:val="14"/>
              </w:rPr>
              <w:t>102.764</w:t>
            </w:r>
          </w:p>
        </w:tc>
        <w:tc>
          <w:tcPr>
            <w:tcW w:w="796" w:type="dxa"/>
            <w:tcBorders>
              <w:top w:val="nil"/>
              <w:left w:val="nil"/>
              <w:bottom w:val="single" w:sz="4" w:space="0" w:color="auto"/>
              <w:right w:val="single" w:sz="4" w:space="0" w:color="auto"/>
            </w:tcBorders>
            <w:shd w:val="clear" w:color="auto" w:fill="auto"/>
            <w:noWrap/>
            <w:vAlign w:val="center"/>
            <w:hideMark/>
          </w:tcPr>
          <w:p w14:paraId="7F6B5F06" w14:textId="243C1973" w:rsidR="00B07FC6" w:rsidRPr="002E1AF6" w:rsidRDefault="00694720" w:rsidP="00B07FC6">
            <w:pPr>
              <w:jc w:val="right"/>
              <w:rPr>
                <w:rFonts w:ascii="Arial" w:hAnsi="Arial" w:cs="Arial"/>
                <w:b/>
                <w:bCs/>
                <w:sz w:val="14"/>
                <w:szCs w:val="14"/>
                <w:lang w:eastAsia="es-AR"/>
              </w:rPr>
            </w:pPr>
            <w:r w:rsidRPr="002E1AF6">
              <w:rPr>
                <w:rFonts w:ascii="Arial" w:hAnsi="Arial" w:cs="Arial"/>
                <w:b/>
                <w:bCs/>
                <w:sz w:val="14"/>
                <w:szCs w:val="14"/>
              </w:rPr>
              <w:t>2.338.922</w:t>
            </w:r>
          </w:p>
        </w:tc>
      </w:tr>
      <w:tr w:rsidR="00B07FC6" w:rsidRPr="00524BA4" w14:paraId="064D4C04" w14:textId="77777777" w:rsidTr="002E1AF6">
        <w:trPr>
          <w:trHeight w:val="36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FFC0EF1" w14:textId="77777777" w:rsidR="00B07FC6" w:rsidRPr="002E1AF6" w:rsidRDefault="00B07FC6" w:rsidP="00B07FC6">
            <w:pPr>
              <w:rPr>
                <w:rFonts w:ascii="Arial" w:hAnsi="Arial" w:cs="Arial"/>
                <w:b/>
                <w:bCs/>
                <w:sz w:val="14"/>
                <w:szCs w:val="14"/>
                <w:lang w:eastAsia="es-AR"/>
              </w:rPr>
            </w:pPr>
            <w:r w:rsidRPr="002E1AF6">
              <w:rPr>
                <w:rFonts w:ascii="Arial" w:hAnsi="Arial" w:cs="Arial"/>
                <w:b/>
                <w:bCs/>
                <w:sz w:val="14"/>
                <w:szCs w:val="14"/>
                <w:lang w:eastAsia="es-AR"/>
              </w:rPr>
              <w:t>TOTAL PROPIEDAD PLANTA Y EQUIPO</w:t>
            </w:r>
          </w:p>
        </w:tc>
        <w:tc>
          <w:tcPr>
            <w:tcW w:w="851" w:type="dxa"/>
            <w:tcBorders>
              <w:top w:val="nil"/>
              <w:left w:val="nil"/>
              <w:bottom w:val="single" w:sz="4" w:space="0" w:color="auto"/>
              <w:right w:val="single" w:sz="4" w:space="0" w:color="auto"/>
            </w:tcBorders>
            <w:shd w:val="clear" w:color="auto" w:fill="auto"/>
            <w:noWrap/>
            <w:vAlign w:val="center"/>
            <w:hideMark/>
          </w:tcPr>
          <w:p w14:paraId="73D5EE24" w14:textId="30A91BB5" w:rsidR="00B07FC6"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lang w:eastAsia="es-AR"/>
              </w:rPr>
              <w:t>8.440.663</w:t>
            </w:r>
          </w:p>
        </w:tc>
        <w:tc>
          <w:tcPr>
            <w:tcW w:w="850" w:type="dxa"/>
            <w:tcBorders>
              <w:top w:val="nil"/>
              <w:left w:val="nil"/>
              <w:bottom w:val="single" w:sz="4" w:space="0" w:color="auto"/>
              <w:right w:val="single" w:sz="4" w:space="0" w:color="auto"/>
            </w:tcBorders>
            <w:shd w:val="clear" w:color="auto" w:fill="auto"/>
            <w:vAlign w:val="center"/>
            <w:hideMark/>
          </w:tcPr>
          <w:p w14:paraId="711DDCED" w14:textId="6278C94E" w:rsidR="00B07FC6" w:rsidRPr="002E1AF6" w:rsidRDefault="00B07FC6" w:rsidP="00B07FC6">
            <w:pPr>
              <w:jc w:val="center"/>
              <w:rPr>
                <w:sz w:val="20"/>
                <w:lang w:eastAsia="es-AR"/>
              </w:rPr>
            </w:pPr>
          </w:p>
        </w:tc>
        <w:tc>
          <w:tcPr>
            <w:tcW w:w="993" w:type="dxa"/>
            <w:tcBorders>
              <w:top w:val="nil"/>
              <w:left w:val="nil"/>
              <w:bottom w:val="single" w:sz="4" w:space="0" w:color="auto"/>
              <w:right w:val="single" w:sz="4" w:space="0" w:color="auto"/>
            </w:tcBorders>
            <w:shd w:val="clear" w:color="auto" w:fill="auto"/>
            <w:noWrap/>
            <w:vAlign w:val="center"/>
            <w:hideMark/>
          </w:tcPr>
          <w:p w14:paraId="21B1680F" w14:textId="6298BACE" w:rsidR="00B07FC6" w:rsidRPr="002E1AF6" w:rsidRDefault="00063443" w:rsidP="00B07FC6">
            <w:pPr>
              <w:jc w:val="right"/>
              <w:rPr>
                <w:rFonts w:ascii="Arial" w:hAnsi="Arial" w:cs="Arial"/>
                <w:b/>
                <w:bCs/>
                <w:sz w:val="14"/>
                <w:szCs w:val="14"/>
                <w:lang w:eastAsia="es-AR"/>
              </w:rPr>
            </w:pPr>
            <w:r w:rsidRPr="002E1AF6">
              <w:rPr>
                <w:rFonts w:ascii="Arial" w:hAnsi="Arial" w:cs="Arial"/>
                <w:b/>
                <w:bCs/>
                <w:sz w:val="14"/>
                <w:szCs w:val="14"/>
                <w:lang w:eastAsia="es-AR"/>
              </w:rPr>
              <w:t>4</w:t>
            </w:r>
            <w:r w:rsidR="00524BA4" w:rsidRPr="002E1AF6">
              <w:rPr>
                <w:rFonts w:ascii="Arial" w:hAnsi="Arial" w:cs="Arial"/>
                <w:b/>
                <w:bCs/>
                <w:sz w:val="14"/>
                <w:szCs w:val="14"/>
                <w:lang w:eastAsia="es-AR"/>
              </w:rPr>
              <w:t>27.685</w:t>
            </w:r>
          </w:p>
        </w:tc>
        <w:tc>
          <w:tcPr>
            <w:tcW w:w="708" w:type="dxa"/>
            <w:tcBorders>
              <w:top w:val="nil"/>
              <w:left w:val="nil"/>
              <w:bottom w:val="single" w:sz="4" w:space="0" w:color="auto"/>
              <w:right w:val="single" w:sz="4" w:space="0" w:color="auto"/>
            </w:tcBorders>
            <w:shd w:val="clear" w:color="auto" w:fill="auto"/>
            <w:noWrap/>
            <w:vAlign w:val="center"/>
            <w:hideMark/>
          </w:tcPr>
          <w:p w14:paraId="2DF1D9F2" w14:textId="6AAE2855" w:rsidR="00B07FC6"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lang w:eastAsia="es-AR"/>
              </w:rPr>
              <w:t>231.903</w:t>
            </w:r>
          </w:p>
        </w:tc>
        <w:tc>
          <w:tcPr>
            <w:tcW w:w="709" w:type="dxa"/>
            <w:tcBorders>
              <w:top w:val="nil"/>
              <w:left w:val="nil"/>
              <w:bottom w:val="single" w:sz="4" w:space="0" w:color="auto"/>
              <w:right w:val="single" w:sz="4" w:space="0" w:color="auto"/>
            </w:tcBorders>
            <w:shd w:val="clear" w:color="auto" w:fill="auto"/>
            <w:noWrap/>
            <w:vAlign w:val="center"/>
            <w:hideMark/>
          </w:tcPr>
          <w:p w14:paraId="3242F23B" w14:textId="364E4143" w:rsidR="00B07FC6" w:rsidRPr="002E1AF6" w:rsidRDefault="00B07FC6" w:rsidP="00B07FC6">
            <w:pPr>
              <w:jc w:val="right"/>
              <w:rPr>
                <w:rFonts w:ascii="Arial" w:hAnsi="Arial" w:cs="Arial"/>
                <w:b/>
                <w:bCs/>
                <w:sz w:val="14"/>
                <w:szCs w:val="14"/>
                <w:lang w:eastAsia="es-AR"/>
              </w:rPr>
            </w:pPr>
            <w:r w:rsidRPr="002E1AF6">
              <w:rPr>
                <w:rFonts w:ascii="Arial" w:hAnsi="Arial" w:cs="Arial"/>
                <w:b/>
                <w:bCs/>
                <w:sz w:val="14"/>
                <w:szCs w:val="14"/>
              </w:rPr>
              <w:t>-</w:t>
            </w:r>
            <w:r w:rsidR="00524BA4" w:rsidRPr="002E1AF6">
              <w:rPr>
                <w:rFonts w:ascii="Arial" w:hAnsi="Arial" w:cs="Arial"/>
                <w:b/>
                <w:bCs/>
                <w:sz w:val="14"/>
                <w:szCs w:val="14"/>
              </w:rPr>
              <w:t>340.899</w:t>
            </w:r>
          </w:p>
        </w:tc>
        <w:tc>
          <w:tcPr>
            <w:tcW w:w="851" w:type="dxa"/>
            <w:tcBorders>
              <w:top w:val="nil"/>
              <w:left w:val="nil"/>
              <w:bottom w:val="single" w:sz="4" w:space="0" w:color="auto"/>
              <w:right w:val="single" w:sz="4" w:space="0" w:color="auto"/>
            </w:tcBorders>
            <w:shd w:val="clear" w:color="auto" w:fill="auto"/>
            <w:noWrap/>
            <w:vAlign w:val="center"/>
            <w:hideMark/>
          </w:tcPr>
          <w:p w14:paraId="4D5388B1" w14:textId="732A6EE5" w:rsidR="00B07FC6" w:rsidRPr="002E1AF6" w:rsidRDefault="00B07FC6" w:rsidP="00B07FC6">
            <w:pPr>
              <w:jc w:val="right"/>
              <w:rPr>
                <w:rFonts w:ascii="Arial" w:hAnsi="Arial" w:cs="Arial"/>
                <w:b/>
                <w:bCs/>
                <w:sz w:val="14"/>
                <w:szCs w:val="14"/>
                <w:lang w:eastAsia="es-AR"/>
              </w:rPr>
            </w:pPr>
            <w:r w:rsidRPr="002E1AF6">
              <w:rPr>
                <w:rFonts w:ascii="Arial" w:hAnsi="Arial" w:cs="Arial"/>
                <w:b/>
                <w:bCs/>
                <w:sz w:val="14"/>
                <w:szCs w:val="14"/>
              </w:rPr>
              <w:t>-</w:t>
            </w:r>
            <w:r w:rsidR="00524BA4" w:rsidRPr="002E1AF6">
              <w:rPr>
                <w:rFonts w:ascii="Arial" w:hAnsi="Arial" w:cs="Arial"/>
                <w:b/>
                <w:bCs/>
                <w:sz w:val="14"/>
                <w:szCs w:val="14"/>
              </w:rPr>
              <w:t>4.389.780</w:t>
            </w:r>
          </w:p>
        </w:tc>
        <w:tc>
          <w:tcPr>
            <w:tcW w:w="708" w:type="dxa"/>
            <w:tcBorders>
              <w:top w:val="nil"/>
              <w:left w:val="nil"/>
              <w:bottom w:val="single" w:sz="4" w:space="0" w:color="auto"/>
              <w:right w:val="single" w:sz="4" w:space="0" w:color="auto"/>
            </w:tcBorders>
            <w:shd w:val="clear" w:color="auto" w:fill="auto"/>
            <w:noWrap/>
            <w:vAlign w:val="center"/>
            <w:hideMark/>
          </w:tcPr>
          <w:p w14:paraId="18AFBE2D" w14:textId="3DED32F0" w:rsidR="00B07FC6" w:rsidRPr="002E1AF6" w:rsidRDefault="00524BA4" w:rsidP="00B07FC6">
            <w:pPr>
              <w:jc w:val="right"/>
              <w:rPr>
                <w:rFonts w:ascii="Arial" w:hAnsi="Arial" w:cs="Arial"/>
                <w:b/>
                <w:bCs/>
                <w:sz w:val="14"/>
                <w:szCs w:val="14"/>
                <w:lang w:eastAsia="es-AR"/>
              </w:rPr>
            </w:pPr>
            <w:r w:rsidRPr="002E1AF6">
              <w:rPr>
                <w:rFonts w:ascii="Arial" w:hAnsi="Arial" w:cs="Arial"/>
                <w:b/>
                <w:bCs/>
                <w:sz w:val="14"/>
                <w:szCs w:val="14"/>
              </w:rPr>
              <w:t>309.125</w:t>
            </w:r>
          </w:p>
        </w:tc>
        <w:tc>
          <w:tcPr>
            <w:tcW w:w="709" w:type="dxa"/>
            <w:tcBorders>
              <w:top w:val="nil"/>
              <w:left w:val="nil"/>
              <w:bottom w:val="single" w:sz="4" w:space="0" w:color="auto"/>
              <w:right w:val="single" w:sz="4" w:space="0" w:color="auto"/>
            </w:tcBorders>
            <w:shd w:val="clear" w:color="auto" w:fill="auto"/>
            <w:noWrap/>
            <w:vAlign w:val="center"/>
            <w:hideMark/>
          </w:tcPr>
          <w:p w14:paraId="291F8FF4" w14:textId="4720FFC4" w:rsidR="00B07FC6" w:rsidRPr="002E1AF6" w:rsidRDefault="00B07FC6" w:rsidP="00B07FC6">
            <w:pPr>
              <w:jc w:val="right"/>
              <w:rPr>
                <w:rFonts w:ascii="Arial" w:hAnsi="Arial" w:cs="Arial"/>
                <w:b/>
                <w:bCs/>
                <w:sz w:val="14"/>
                <w:szCs w:val="14"/>
                <w:lang w:eastAsia="es-AR"/>
              </w:rPr>
            </w:pPr>
            <w:r w:rsidRPr="002E1AF6">
              <w:rPr>
                <w:rFonts w:ascii="Arial" w:hAnsi="Arial" w:cs="Arial"/>
                <w:b/>
                <w:bCs/>
                <w:sz w:val="14"/>
                <w:szCs w:val="14"/>
              </w:rPr>
              <w:t>-</w:t>
            </w:r>
            <w:r w:rsidR="00524BA4" w:rsidRPr="002E1AF6">
              <w:rPr>
                <w:rFonts w:ascii="Arial" w:hAnsi="Arial" w:cs="Arial"/>
                <w:b/>
                <w:bCs/>
                <w:sz w:val="14"/>
                <w:szCs w:val="14"/>
              </w:rPr>
              <w:t>247.356</w:t>
            </w:r>
          </w:p>
        </w:tc>
        <w:tc>
          <w:tcPr>
            <w:tcW w:w="851" w:type="dxa"/>
            <w:tcBorders>
              <w:top w:val="nil"/>
              <w:left w:val="nil"/>
              <w:bottom w:val="single" w:sz="4" w:space="0" w:color="auto"/>
              <w:right w:val="single" w:sz="4" w:space="0" w:color="auto"/>
            </w:tcBorders>
            <w:shd w:val="clear" w:color="auto" w:fill="auto"/>
            <w:noWrap/>
            <w:vAlign w:val="center"/>
            <w:hideMark/>
          </w:tcPr>
          <w:p w14:paraId="3AE241AF" w14:textId="5800D4FF" w:rsidR="00B07FC6" w:rsidRPr="002E1AF6" w:rsidRDefault="00B07FC6" w:rsidP="00B07FC6">
            <w:pPr>
              <w:jc w:val="right"/>
              <w:rPr>
                <w:rFonts w:ascii="Arial" w:hAnsi="Arial" w:cs="Arial"/>
                <w:b/>
                <w:bCs/>
                <w:sz w:val="14"/>
                <w:szCs w:val="14"/>
                <w:lang w:eastAsia="es-AR"/>
              </w:rPr>
            </w:pPr>
            <w:r w:rsidRPr="002E1AF6">
              <w:rPr>
                <w:rFonts w:ascii="Arial" w:hAnsi="Arial" w:cs="Arial"/>
                <w:b/>
                <w:bCs/>
                <w:sz w:val="14"/>
                <w:szCs w:val="14"/>
              </w:rPr>
              <w:t>-</w:t>
            </w:r>
            <w:r w:rsidR="00694720" w:rsidRPr="002E1AF6">
              <w:rPr>
                <w:rFonts w:ascii="Arial" w:hAnsi="Arial" w:cs="Arial"/>
                <w:b/>
                <w:bCs/>
                <w:sz w:val="14"/>
                <w:szCs w:val="14"/>
              </w:rPr>
              <w:t>4.328.011</w:t>
            </w:r>
          </w:p>
        </w:tc>
        <w:tc>
          <w:tcPr>
            <w:tcW w:w="796" w:type="dxa"/>
            <w:tcBorders>
              <w:top w:val="nil"/>
              <w:left w:val="nil"/>
              <w:bottom w:val="single" w:sz="4" w:space="0" w:color="auto"/>
              <w:right w:val="single" w:sz="4" w:space="0" w:color="auto"/>
            </w:tcBorders>
            <w:shd w:val="clear" w:color="auto" w:fill="auto"/>
            <w:noWrap/>
            <w:vAlign w:val="center"/>
            <w:hideMark/>
          </w:tcPr>
          <w:p w14:paraId="14FE9957" w14:textId="32F82FD3" w:rsidR="00B07FC6" w:rsidRPr="002E1AF6" w:rsidRDefault="00694720" w:rsidP="00B07FC6">
            <w:pPr>
              <w:jc w:val="right"/>
              <w:rPr>
                <w:rFonts w:ascii="Arial" w:hAnsi="Arial" w:cs="Arial"/>
                <w:b/>
                <w:bCs/>
                <w:sz w:val="14"/>
                <w:szCs w:val="14"/>
                <w:lang w:eastAsia="es-AR"/>
              </w:rPr>
            </w:pPr>
            <w:r w:rsidRPr="002E1AF6">
              <w:rPr>
                <w:rFonts w:ascii="Arial" w:hAnsi="Arial" w:cs="Arial"/>
                <w:b/>
                <w:bCs/>
                <w:sz w:val="14"/>
                <w:szCs w:val="14"/>
              </w:rPr>
              <w:t>4.431.341</w:t>
            </w:r>
          </w:p>
        </w:tc>
      </w:tr>
    </w:tbl>
    <w:p w14:paraId="72B53833" w14:textId="1D858C84" w:rsidR="00B05BE2" w:rsidRPr="00AD6433" w:rsidRDefault="00B05BE2">
      <w:pPr>
        <w:rPr>
          <w:rFonts w:ascii="Arial" w:hAnsi="Arial" w:cs="Arial"/>
          <w:b/>
          <w:noProof/>
          <w:sz w:val="20"/>
          <w:highlight w:val="yellow"/>
        </w:rPr>
      </w:pPr>
    </w:p>
    <w:p w14:paraId="5B0C09E8" w14:textId="137B47E6" w:rsidR="004B3C0B" w:rsidRDefault="004B3C0B" w:rsidP="004B3C0B">
      <w:pPr>
        <w:widowControl w:val="0"/>
        <w:autoSpaceDE w:val="0"/>
        <w:autoSpaceDN w:val="0"/>
        <w:adjustRightInd w:val="0"/>
        <w:jc w:val="both"/>
        <w:rPr>
          <w:rFonts w:ascii="Arial" w:hAnsi="Arial" w:cs="Arial"/>
          <w:b/>
          <w:noProof/>
          <w:sz w:val="20"/>
        </w:rPr>
      </w:pPr>
      <w:r w:rsidRPr="00E12B5E">
        <w:rPr>
          <w:rFonts w:ascii="Arial" w:hAnsi="Arial" w:cs="Arial"/>
          <w:b/>
          <w:noProof/>
          <w:sz w:val="20"/>
        </w:rPr>
        <w:t xml:space="preserve">11. ARRENDAMIENTOS </w:t>
      </w:r>
    </w:p>
    <w:p w14:paraId="7B81FCEC" w14:textId="77777777" w:rsidR="001466D3" w:rsidRPr="00E12B5E" w:rsidRDefault="001466D3" w:rsidP="004B3C0B">
      <w:pPr>
        <w:widowControl w:val="0"/>
        <w:autoSpaceDE w:val="0"/>
        <w:autoSpaceDN w:val="0"/>
        <w:adjustRightInd w:val="0"/>
        <w:jc w:val="both"/>
        <w:rPr>
          <w:rFonts w:ascii="Arial" w:hAnsi="Arial" w:cs="Arial"/>
          <w:b/>
          <w:noProof/>
          <w:sz w:val="20"/>
        </w:rPr>
      </w:pPr>
    </w:p>
    <w:p w14:paraId="124C74C1" w14:textId="242645A1" w:rsidR="00AD6433" w:rsidRPr="00E12B5E" w:rsidRDefault="00AD6433" w:rsidP="00AD6433">
      <w:pPr>
        <w:autoSpaceDE w:val="0"/>
        <w:autoSpaceDN w:val="0"/>
        <w:adjustRightInd w:val="0"/>
        <w:jc w:val="both"/>
        <w:rPr>
          <w:rFonts w:ascii="Arial" w:hAnsi="Arial" w:cs="Arial"/>
          <w:color w:val="000000"/>
          <w:sz w:val="20"/>
        </w:rPr>
      </w:pPr>
      <w:r w:rsidRPr="00E12B5E">
        <w:rPr>
          <w:rFonts w:ascii="Arial" w:hAnsi="Arial" w:cs="Arial"/>
          <w:color w:val="000000"/>
          <w:sz w:val="20"/>
        </w:rPr>
        <w:t xml:space="preserve">Esta nota provee información de los arrendamientos en los cuales el Banco actúa como arrendatario. </w:t>
      </w:r>
    </w:p>
    <w:p w14:paraId="1A27D93F"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05C60428" w14:textId="6B49F2AC" w:rsidR="00AD6433" w:rsidRPr="00E12B5E" w:rsidRDefault="00AD6433" w:rsidP="00AD6433">
      <w:pPr>
        <w:pStyle w:val="ListParagraph"/>
        <w:numPr>
          <w:ilvl w:val="0"/>
          <w:numId w:val="42"/>
        </w:numPr>
        <w:autoSpaceDE w:val="0"/>
        <w:autoSpaceDN w:val="0"/>
        <w:adjustRightInd w:val="0"/>
        <w:contextualSpacing/>
        <w:jc w:val="both"/>
        <w:rPr>
          <w:rFonts w:ascii="Arial" w:hAnsi="Arial" w:cs="Arial"/>
          <w:color w:val="000000"/>
          <w:sz w:val="20"/>
        </w:rPr>
      </w:pPr>
      <w:r w:rsidRPr="00E12B5E">
        <w:rPr>
          <w:rFonts w:ascii="Arial" w:hAnsi="Arial" w:cs="Arial"/>
          <w:color w:val="000000"/>
          <w:sz w:val="20"/>
        </w:rPr>
        <w:t xml:space="preserve">Montos reconocidos en el estado de situación financiera </w:t>
      </w:r>
    </w:p>
    <w:p w14:paraId="189A23D6" w14:textId="77777777" w:rsidR="00AD6433" w:rsidRPr="00E12B5E" w:rsidRDefault="00AD6433" w:rsidP="00AD6433">
      <w:pPr>
        <w:autoSpaceDE w:val="0"/>
        <w:autoSpaceDN w:val="0"/>
        <w:adjustRightInd w:val="0"/>
        <w:ind w:left="360"/>
        <w:jc w:val="both"/>
        <w:rPr>
          <w:rFonts w:ascii="Arial" w:hAnsi="Arial" w:cs="Arial"/>
          <w:color w:val="000000"/>
          <w:sz w:val="20"/>
        </w:rPr>
      </w:pPr>
    </w:p>
    <w:tbl>
      <w:tblPr>
        <w:tblW w:w="7745" w:type="dxa"/>
        <w:tblInd w:w="474" w:type="dxa"/>
        <w:tblBorders>
          <w:top w:val="nil"/>
          <w:left w:val="nil"/>
          <w:bottom w:val="nil"/>
          <w:right w:val="nil"/>
        </w:tblBorders>
        <w:tblLayout w:type="fixed"/>
        <w:tblLook w:val="0000" w:firstRow="0" w:lastRow="0" w:firstColumn="0" w:lastColumn="0" w:noHBand="0" w:noVBand="0"/>
      </w:tblPr>
      <w:tblGrid>
        <w:gridCol w:w="3291"/>
        <w:gridCol w:w="2401"/>
        <w:gridCol w:w="2053"/>
      </w:tblGrid>
      <w:tr w:rsidR="00AD6433" w:rsidRPr="00E12B5E" w14:paraId="21F60418" w14:textId="77777777" w:rsidTr="002E1AF6">
        <w:trPr>
          <w:trHeight w:val="120"/>
        </w:trPr>
        <w:tc>
          <w:tcPr>
            <w:tcW w:w="3291" w:type="dxa"/>
          </w:tcPr>
          <w:p w14:paraId="5E3CDA0D" w14:textId="7D8B0432" w:rsidR="00AD6433" w:rsidRPr="002E1AF6" w:rsidRDefault="00AD6433" w:rsidP="00B805C8">
            <w:pPr>
              <w:pStyle w:val="Default"/>
              <w:jc w:val="both"/>
              <w:rPr>
                <w:sz w:val="18"/>
                <w:szCs w:val="18"/>
              </w:rPr>
            </w:pPr>
          </w:p>
        </w:tc>
        <w:tc>
          <w:tcPr>
            <w:tcW w:w="2401" w:type="dxa"/>
          </w:tcPr>
          <w:p w14:paraId="5F85FBB6" w14:textId="3DD08BCD" w:rsidR="00AD6433" w:rsidRPr="002E1AF6" w:rsidRDefault="00764FB9" w:rsidP="00B805C8">
            <w:pPr>
              <w:pStyle w:val="Default"/>
              <w:jc w:val="right"/>
              <w:rPr>
                <w:b/>
                <w:sz w:val="18"/>
                <w:szCs w:val="18"/>
              </w:rPr>
            </w:pPr>
            <w:r w:rsidRPr="002E1AF6">
              <w:rPr>
                <w:b/>
                <w:sz w:val="18"/>
                <w:szCs w:val="18"/>
              </w:rPr>
              <w:t>31/03/2020</w:t>
            </w:r>
          </w:p>
        </w:tc>
        <w:tc>
          <w:tcPr>
            <w:tcW w:w="2053" w:type="dxa"/>
          </w:tcPr>
          <w:p w14:paraId="321670E6" w14:textId="21D8C6EC" w:rsidR="00AD6433" w:rsidRPr="002E1AF6" w:rsidRDefault="00764FB9" w:rsidP="00B805C8">
            <w:pPr>
              <w:pStyle w:val="Default"/>
              <w:jc w:val="right"/>
              <w:rPr>
                <w:b/>
                <w:sz w:val="18"/>
                <w:szCs w:val="18"/>
              </w:rPr>
            </w:pPr>
            <w:r w:rsidRPr="002E1AF6">
              <w:rPr>
                <w:b/>
                <w:sz w:val="18"/>
                <w:szCs w:val="18"/>
              </w:rPr>
              <w:t>31/12/2016</w:t>
            </w:r>
          </w:p>
        </w:tc>
      </w:tr>
      <w:tr w:rsidR="00764FB9" w:rsidRPr="00E12B5E" w14:paraId="272D123A" w14:textId="77777777" w:rsidTr="002E1AF6">
        <w:trPr>
          <w:trHeight w:val="120"/>
        </w:trPr>
        <w:tc>
          <w:tcPr>
            <w:tcW w:w="3291" w:type="dxa"/>
          </w:tcPr>
          <w:p w14:paraId="1579EA70" w14:textId="7E856EE6" w:rsidR="00764FB9" w:rsidRPr="00764FB9" w:rsidRDefault="00764FB9" w:rsidP="00B805C8">
            <w:pPr>
              <w:pStyle w:val="Default"/>
              <w:jc w:val="both"/>
              <w:rPr>
                <w:b/>
                <w:bCs/>
                <w:sz w:val="18"/>
                <w:szCs w:val="18"/>
              </w:rPr>
            </w:pPr>
            <w:r w:rsidRPr="00642813">
              <w:rPr>
                <w:b/>
                <w:bCs/>
                <w:sz w:val="18"/>
                <w:szCs w:val="18"/>
              </w:rPr>
              <w:t>Derecho de uso del activo</w:t>
            </w:r>
          </w:p>
        </w:tc>
        <w:tc>
          <w:tcPr>
            <w:tcW w:w="2401" w:type="dxa"/>
          </w:tcPr>
          <w:p w14:paraId="01237B2C" w14:textId="77777777" w:rsidR="00764FB9" w:rsidRPr="00764FB9" w:rsidRDefault="00764FB9" w:rsidP="00B805C8">
            <w:pPr>
              <w:pStyle w:val="Default"/>
              <w:jc w:val="right"/>
              <w:rPr>
                <w:sz w:val="18"/>
                <w:szCs w:val="18"/>
              </w:rPr>
            </w:pPr>
          </w:p>
        </w:tc>
        <w:tc>
          <w:tcPr>
            <w:tcW w:w="2053" w:type="dxa"/>
          </w:tcPr>
          <w:p w14:paraId="4938E81A" w14:textId="77777777" w:rsidR="00764FB9" w:rsidRPr="00764FB9" w:rsidRDefault="00764FB9" w:rsidP="00B805C8">
            <w:pPr>
              <w:pStyle w:val="Default"/>
              <w:jc w:val="right"/>
              <w:rPr>
                <w:sz w:val="18"/>
                <w:szCs w:val="18"/>
              </w:rPr>
            </w:pPr>
          </w:p>
        </w:tc>
      </w:tr>
      <w:tr w:rsidR="00AD6433" w:rsidRPr="00E12B5E" w14:paraId="1A7C3E50" w14:textId="77777777" w:rsidTr="002E1AF6">
        <w:trPr>
          <w:trHeight w:val="120"/>
        </w:trPr>
        <w:tc>
          <w:tcPr>
            <w:tcW w:w="3291" w:type="dxa"/>
          </w:tcPr>
          <w:p w14:paraId="7607CCB4" w14:textId="77777777" w:rsidR="00AD6433" w:rsidRPr="002E1AF6" w:rsidRDefault="00AD6433" w:rsidP="00B805C8">
            <w:pPr>
              <w:pStyle w:val="Default"/>
              <w:jc w:val="both"/>
              <w:rPr>
                <w:b/>
                <w:sz w:val="18"/>
                <w:szCs w:val="18"/>
              </w:rPr>
            </w:pPr>
            <w:r w:rsidRPr="002E1AF6">
              <w:rPr>
                <w:sz w:val="18"/>
                <w:szCs w:val="18"/>
              </w:rPr>
              <w:t>Inmuebles – valor de origen</w:t>
            </w:r>
          </w:p>
        </w:tc>
        <w:tc>
          <w:tcPr>
            <w:tcW w:w="2401" w:type="dxa"/>
          </w:tcPr>
          <w:p w14:paraId="24451A3E" w14:textId="5B7DECD3" w:rsidR="00AD6433" w:rsidRPr="002E1AF6" w:rsidRDefault="00E12B5E" w:rsidP="00B805C8">
            <w:pPr>
              <w:pStyle w:val="Default"/>
              <w:jc w:val="right"/>
              <w:rPr>
                <w:bCs/>
                <w:sz w:val="18"/>
                <w:szCs w:val="18"/>
              </w:rPr>
            </w:pPr>
            <w:r w:rsidRPr="002E1AF6">
              <w:rPr>
                <w:bCs/>
                <w:sz w:val="18"/>
                <w:szCs w:val="18"/>
              </w:rPr>
              <w:t>1.667.676</w:t>
            </w:r>
          </w:p>
        </w:tc>
        <w:tc>
          <w:tcPr>
            <w:tcW w:w="2053" w:type="dxa"/>
          </w:tcPr>
          <w:p w14:paraId="0A0C71F3" w14:textId="5BA02BD4" w:rsidR="00AD6433" w:rsidRPr="002E1AF6" w:rsidRDefault="00E12B5E" w:rsidP="00B805C8">
            <w:pPr>
              <w:pStyle w:val="Default"/>
              <w:jc w:val="right"/>
              <w:rPr>
                <w:sz w:val="18"/>
                <w:szCs w:val="18"/>
              </w:rPr>
            </w:pPr>
            <w:r w:rsidRPr="002E1AF6">
              <w:rPr>
                <w:iCs/>
                <w:sz w:val="18"/>
                <w:szCs w:val="18"/>
              </w:rPr>
              <w:t>1.621.072</w:t>
            </w:r>
          </w:p>
        </w:tc>
      </w:tr>
      <w:tr w:rsidR="00AD6433" w:rsidRPr="00E12B5E" w14:paraId="47827092" w14:textId="77777777" w:rsidTr="002E1AF6">
        <w:trPr>
          <w:trHeight w:val="120"/>
        </w:trPr>
        <w:tc>
          <w:tcPr>
            <w:tcW w:w="3291" w:type="dxa"/>
          </w:tcPr>
          <w:p w14:paraId="2B6F3E08" w14:textId="77777777" w:rsidR="00AD6433" w:rsidRPr="002E1AF6" w:rsidRDefault="00AD6433" w:rsidP="00B805C8">
            <w:pPr>
              <w:pStyle w:val="Default"/>
              <w:jc w:val="both"/>
              <w:rPr>
                <w:sz w:val="18"/>
                <w:szCs w:val="18"/>
              </w:rPr>
            </w:pPr>
            <w:r w:rsidRPr="002E1AF6">
              <w:rPr>
                <w:b/>
                <w:bCs/>
                <w:sz w:val="18"/>
                <w:szCs w:val="18"/>
              </w:rPr>
              <w:t xml:space="preserve">Pasivo por arrendamiento </w:t>
            </w:r>
          </w:p>
        </w:tc>
        <w:tc>
          <w:tcPr>
            <w:tcW w:w="2401" w:type="dxa"/>
          </w:tcPr>
          <w:p w14:paraId="65AB90DF" w14:textId="77777777" w:rsidR="00AD6433" w:rsidRPr="002E1AF6" w:rsidRDefault="00AD6433" w:rsidP="00B805C8">
            <w:pPr>
              <w:pStyle w:val="Default"/>
              <w:jc w:val="right"/>
              <w:rPr>
                <w:bCs/>
                <w:sz w:val="18"/>
                <w:szCs w:val="18"/>
              </w:rPr>
            </w:pPr>
          </w:p>
        </w:tc>
        <w:tc>
          <w:tcPr>
            <w:tcW w:w="2053" w:type="dxa"/>
          </w:tcPr>
          <w:p w14:paraId="01E19E4C" w14:textId="77777777" w:rsidR="00AD6433" w:rsidRPr="002E1AF6" w:rsidRDefault="00AD6433" w:rsidP="00B805C8">
            <w:pPr>
              <w:pStyle w:val="Default"/>
              <w:jc w:val="right"/>
              <w:rPr>
                <w:iCs/>
                <w:sz w:val="18"/>
                <w:szCs w:val="18"/>
              </w:rPr>
            </w:pPr>
          </w:p>
        </w:tc>
      </w:tr>
      <w:tr w:rsidR="00AD6433" w:rsidRPr="00E12B5E" w14:paraId="2B77A558" w14:textId="77777777" w:rsidTr="002E1AF6">
        <w:trPr>
          <w:trHeight w:val="120"/>
        </w:trPr>
        <w:tc>
          <w:tcPr>
            <w:tcW w:w="3291" w:type="dxa"/>
          </w:tcPr>
          <w:p w14:paraId="72257C43" w14:textId="77777777" w:rsidR="00AD6433" w:rsidRPr="002E1AF6" w:rsidRDefault="00AD6433" w:rsidP="00B805C8">
            <w:pPr>
              <w:pStyle w:val="Default"/>
              <w:jc w:val="both"/>
              <w:rPr>
                <w:sz w:val="18"/>
                <w:szCs w:val="18"/>
              </w:rPr>
            </w:pPr>
            <w:r w:rsidRPr="002E1AF6">
              <w:rPr>
                <w:sz w:val="18"/>
                <w:szCs w:val="18"/>
              </w:rPr>
              <w:t>Corriente</w:t>
            </w:r>
          </w:p>
        </w:tc>
        <w:tc>
          <w:tcPr>
            <w:tcW w:w="2401" w:type="dxa"/>
            <w:vAlign w:val="bottom"/>
          </w:tcPr>
          <w:p w14:paraId="231D0469" w14:textId="7B22C248" w:rsidR="00AD6433" w:rsidRPr="002E1AF6" w:rsidRDefault="00AD6433" w:rsidP="00B805C8">
            <w:pPr>
              <w:pStyle w:val="Default"/>
              <w:jc w:val="right"/>
              <w:rPr>
                <w:iCs/>
                <w:sz w:val="18"/>
                <w:szCs w:val="18"/>
              </w:rPr>
            </w:pPr>
            <w:r w:rsidRPr="002E1AF6">
              <w:rPr>
                <w:iCs/>
                <w:sz w:val="18"/>
                <w:szCs w:val="18"/>
              </w:rPr>
              <w:t>4</w:t>
            </w:r>
            <w:r w:rsidR="00E12B5E" w:rsidRPr="002E1AF6">
              <w:rPr>
                <w:iCs/>
                <w:sz w:val="18"/>
                <w:szCs w:val="18"/>
              </w:rPr>
              <w:t>43.530</w:t>
            </w:r>
          </w:p>
        </w:tc>
        <w:tc>
          <w:tcPr>
            <w:tcW w:w="2053" w:type="dxa"/>
          </w:tcPr>
          <w:p w14:paraId="2B3F038B" w14:textId="4D04DFBC" w:rsidR="00AD6433" w:rsidRPr="002E1AF6" w:rsidRDefault="00AD6433" w:rsidP="00B805C8">
            <w:pPr>
              <w:pStyle w:val="Default"/>
              <w:jc w:val="right"/>
              <w:rPr>
                <w:iCs/>
                <w:sz w:val="18"/>
                <w:szCs w:val="18"/>
              </w:rPr>
            </w:pPr>
            <w:r w:rsidRPr="002E1AF6">
              <w:rPr>
                <w:iCs/>
                <w:sz w:val="18"/>
                <w:szCs w:val="18"/>
              </w:rPr>
              <w:t xml:space="preserve"> </w:t>
            </w:r>
            <w:r w:rsidR="00E12B5E" w:rsidRPr="002E1AF6">
              <w:rPr>
                <w:iCs/>
                <w:sz w:val="18"/>
                <w:szCs w:val="18"/>
              </w:rPr>
              <w:t>504.478</w:t>
            </w:r>
            <w:r w:rsidRPr="002E1AF6">
              <w:rPr>
                <w:iCs/>
                <w:sz w:val="18"/>
                <w:szCs w:val="18"/>
              </w:rPr>
              <w:t xml:space="preserve"> </w:t>
            </w:r>
          </w:p>
        </w:tc>
      </w:tr>
      <w:tr w:rsidR="00AD6433" w:rsidRPr="00E12B5E" w14:paraId="24FAC959" w14:textId="77777777" w:rsidTr="002E1AF6">
        <w:trPr>
          <w:trHeight w:val="120"/>
        </w:trPr>
        <w:tc>
          <w:tcPr>
            <w:tcW w:w="3291" w:type="dxa"/>
          </w:tcPr>
          <w:p w14:paraId="280EDD23" w14:textId="77777777" w:rsidR="00AD6433" w:rsidRPr="002E1AF6" w:rsidRDefault="00AD6433" w:rsidP="00B805C8">
            <w:pPr>
              <w:pStyle w:val="Default"/>
              <w:jc w:val="both"/>
              <w:rPr>
                <w:sz w:val="18"/>
                <w:szCs w:val="18"/>
              </w:rPr>
            </w:pPr>
            <w:r w:rsidRPr="002E1AF6">
              <w:rPr>
                <w:sz w:val="18"/>
                <w:szCs w:val="18"/>
              </w:rPr>
              <w:t xml:space="preserve">No corriente </w:t>
            </w:r>
          </w:p>
        </w:tc>
        <w:tc>
          <w:tcPr>
            <w:tcW w:w="2401" w:type="dxa"/>
            <w:vAlign w:val="bottom"/>
          </w:tcPr>
          <w:p w14:paraId="5D465C15" w14:textId="63266B3E" w:rsidR="00AD6433" w:rsidRPr="002E1AF6" w:rsidRDefault="00AD6433" w:rsidP="00B805C8">
            <w:pPr>
              <w:pStyle w:val="Default"/>
              <w:jc w:val="right"/>
              <w:rPr>
                <w:iCs/>
                <w:sz w:val="18"/>
                <w:szCs w:val="18"/>
              </w:rPr>
            </w:pPr>
            <w:r w:rsidRPr="002E1AF6">
              <w:rPr>
                <w:iCs/>
                <w:sz w:val="18"/>
                <w:szCs w:val="18"/>
              </w:rPr>
              <w:t>4</w:t>
            </w:r>
            <w:r w:rsidR="00E12B5E" w:rsidRPr="002E1AF6">
              <w:rPr>
                <w:iCs/>
                <w:sz w:val="18"/>
                <w:szCs w:val="18"/>
              </w:rPr>
              <w:t>67.740</w:t>
            </w:r>
          </w:p>
        </w:tc>
        <w:tc>
          <w:tcPr>
            <w:tcW w:w="2053" w:type="dxa"/>
          </w:tcPr>
          <w:p w14:paraId="6F477FB2" w14:textId="1CA18CAE" w:rsidR="00AD6433" w:rsidRPr="002E1AF6" w:rsidRDefault="00AD6433" w:rsidP="00B805C8">
            <w:pPr>
              <w:pStyle w:val="Default"/>
              <w:jc w:val="right"/>
              <w:rPr>
                <w:iCs/>
                <w:sz w:val="18"/>
                <w:szCs w:val="18"/>
              </w:rPr>
            </w:pPr>
            <w:r w:rsidRPr="002E1AF6">
              <w:rPr>
                <w:iCs/>
                <w:sz w:val="18"/>
                <w:szCs w:val="18"/>
              </w:rPr>
              <w:t xml:space="preserve"> 5</w:t>
            </w:r>
            <w:r w:rsidR="00E12B5E" w:rsidRPr="002E1AF6">
              <w:rPr>
                <w:iCs/>
                <w:sz w:val="18"/>
                <w:szCs w:val="18"/>
              </w:rPr>
              <w:t>15.729</w:t>
            </w:r>
            <w:r w:rsidRPr="002E1AF6">
              <w:rPr>
                <w:iCs/>
                <w:sz w:val="18"/>
                <w:szCs w:val="18"/>
              </w:rPr>
              <w:t xml:space="preserve"> </w:t>
            </w:r>
          </w:p>
        </w:tc>
      </w:tr>
      <w:tr w:rsidR="00AD6433" w:rsidRPr="00E12B5E" w14:paraId="34D123EA" w14:textId="77777777" w:rsidTr="002E1AF6">
        <w:trPr>
          <w:trHeight w:val="120"/>
        </w:trPr>
        <w:tc>
          <w:tcPr>
            <w:tcW w:w="3291" w:type="dxa"/>
          </w:tcPr>
          <w:p w14:paraId="440B3492" w14:textId="77777777" w:rsidR="00AD6433" w:rsidRPr="002E1AF6" w:rsidRDefault="00AD6433" w:rsidP="00B805C8">
            <w:pPr>
              <w:pStyle w:val="Default"/>
              <w:jc w:val="both"/>
              <w:rPr>
                <w:sz w:val="18"/>
                <w:szCs w:val="18"/>
              </w:rPr>
            </w:pPr>
            <w:r w:rsidRPr="002E1AF6">
              <w:rPr>
                <w:sz w:val="18"/>
                <w:szCs w:val="18"/>
              </w:rPr>
              <w:t xml:space="preserve">Total </w:t>
            </w:r>
          </w:p>
        </w:tc>
        <w:tc>
          <w:tcPr>
            <w:tcW w:w="2401" w:type="dxa"/>
            <w:vAlign w:val="center"/>
          </w:tcPr>
          <w:p w14:paraId="7CECABB0" w14:textId="7F6A1FA2" w:rsidR="00AD6433" w:rsidRPr="002E1AF6" w:rsidRDefault="00AD6433" w:rsidP="00B805C8">
            <w:pPr>
              <w:pStyle w:val="Default"/>
              <w:jc w:val="right"/>
              <w:rPr>
                <w:b/>
                <w:iCs/>
                <w:sz w:val="18"/>
                <w:szCs w:val="18"/>
              </w:rPr>
            </w:pPr>
            <w:r w:rsidRPr="002E1AF6">
              <w:rPr>
                <w:b/>
                <w:iCs/>
                <w:sz w:val="18"/>
                <w:szCs w:val="18"/>
              </w:rPr>
              <w:t>9</w:t>
            </w:r>
            <w:r w:rsidR="00E12B5E" w:rsidRPr="002E1AF6">
              <w:rPr>
                <w:b/>
                <w:iCs/>
                <w:sz w:val="18"/>
                <w:szCs w:val="18"/>
              </w:rPr>
              <w:t>11.270</w:t>
            </w:r>
          </w:p>
        </w:tc>
        <w:tc>
          <w:tcPr>
            <w:tcW w:w="2053" w:type="dxa"/>
          </w:tcPr>
          <w:p w14:paraId="1E83794C" w14:textId="14B4F68E" w:rsidR="00AD6433" w:rsidRPr="002E1AF6" w:rsidRDefault="00E12B5E" w:rsidP="00B805C8">
            <w:pPr>
              <w:pStyle w:val="Default"/>
              <w:jc w:val="right"/>
              <w:rPr>
                <w:iCs/>
                <w:sz w:val="18"/>
                <w:szCs w:val="18"/>
              </w:rPr>
            </w:pPr>
            <w:r w:rsidRPr="002E1AF6">
              <w:rPr>
                <w:b/>
                <w:iCs/>
                <w:sz w:val="18"/>
                <w:szCs w:val="18"/>
              </w:rPr>
              <w:t>1.020.207</w:t>
            </w:r>
          </w:p>
        </w:tc>
      </w:tr>
    </w:tbl>
    <w:p w14:paraId="565B908A"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11C4D162" w14:textId="77777777" w:rsidR="00AD6433" w:rsidRPr="00E12B5E" w:rsidRDefault="00AD6433" w:rsidP="00AD6433">
      <w:pPr>
        <w:pStyle w:val="ListParagraph"/>
        <w:numPr>
          <w:ilvl w:val="0"/>
          <w:numId w:val="42"/>
        </w:numPr>
        <w:autoSpaceDE w:val="0"/>
        <w:autoSpaceDN w:val="0"/>
        <w:adjustRightInd w:val="0"/>
        <w:contextualSpacing/>
        <w:jc w:val="both"/>
        <w:rPr>
          <w:rFonts w:ascii="Arial" w:hAnsi="Arial" w:cs="Arial"/>
          <w:color w:val="000000"/>
          <w:sz w:val="20"/>
        </w:rPr>
      </w:pPr>
      <w:r w:rsidRPr="00E12B5E">
        <w:rPr>
          <w:rFonts w:ascii="Arial" w:hAnsi="Arial" w:cs="Arial"/>
          <w:color w:val="000000"/>
          <w:sz w:val="20"/>
        </w:rPr>
        <w:t xml:space="preserve">Montos reconocidos en el estado de resultados </w:t>
      </w:r>
    </w:p>
    <w:p w14:paraId="46A14882" w14:textId="77777777" w:rsidR="00AD6433" w:rsidRPr="00E12B5E" w:rsidRDefault="00AD6433" w:rsidP="00AD6433">
      <w:pPr>
        <w:pStyle w:val="ListParagraph"/>
        <w:autoSpaceDE w:val="0"/>
        <w:autoSpaceDN w:val="0"/>
        <w:adjustRightInd w:val="0"/>
        <w:ind w:left="1080"/>
        <w:jc w:val="both"/>
        <w:rPr>
          <w:rFonts w:ascii="Arial" w:hAnsi="Arial" w:cs="Arial"/>
          <w:color w:val="000000"/>
          <w:sz w:val="20"/>
        </w:rPr>
      </w:pPr>
    </w:p>
    <w:tbl>
      <w:tblPr>
        <w:tblStyle w:val="TableGrid"/>
        <w:tblW w:w="0" w:type="auto"/>
        <w:tblInd w:w="360" w:type="dxa"/>
        <w:tblLook w:val="04A0" w:firstRow="1" w:lastRow="0" w:firstColumn="1" w:lastColumn="0" w:noHBand="0" w:noVBand="1"/>
      </w:tblPr>
      <w:tblGrid>
        <w:gridCol w:w="5558"/>
        <w:gridCol w:w="2577"/>
      </w:tblGrid>
      <w:tr w:rsidR="00AD6433" w:rsidRPr="00E12B5E" w14:paraId="6143C782" w14:textId="77777777" w:rsidTr="00764FB9">
        <w:tc>
          <w:tcPr>
            <w:tcW w:w="5558" w:type="dxa"/>
          </w:tcPr>
          <w:p w14:paraId="34678E00" w14:textId="77777777" w:rsidR="00AD6433" w:rsidRPr="002E1AF6" w:rsidRDefault="00AD6433" w:rsidP="002E1AF6">
            <w:pPr>
              <w:autoSpaceDE w:val="0"/>
              <w:autoSpaceDN w:val="0"/>
              <w:adjustRightInd w:val="0"/>
              <w:jc w:val="both"/>
              <w:rPr>
                <w:rFonts w:ascii="Arial" w:hAnsi="Arial" w:cs="Arial"/>
                <w:b/>
                <w:color w:val="000000"/>
                <w:sz w:val="18"/>
                <w:szCs w:val="18"/>
              </w:rPr>
            </w:pPr>
            <w:r w:rsidRPr="002E1AF6">
              <w:rPr>
                <w:rFonts w:ascii="Arial" w:hAnsi="Arial" w:cs="Arial"/>
                <w:b/>
                <w:color w:val="000000"/>
                <w:sz w:val="18"/>
                <w:szCs w:val="18"/>
              </w:rPr>
              <w:t>Depreciación de derecho de uso</w:t>
            </w:r>
          </w:p>
        </w:tc>
        <w:tc>
          <w:tcPr>
            <w:tcW w:w="2577" w:type="dxa"/>
          </w:tcPr>
          <w:p w14:paraId="03BF69A0" w14:textId="77777777" w:rsidR="00AD6433" w:rsidRPr="002E1AF6" w:rsidRDefault="00AD6433" w:rsidP="00B805C8">
            <w:pPr>
              <w:autoSpaceDE w:val="0"/>
              <w:autoSpaceDN w:val="0"/>
              <w:adjustRightInd w:val="0"/>
              <w:jc w:val="both"/>
              <w:rPr>
                <w:rFonts w:ascii="Arial" w:hAnsi="Arial" w:cs="Arial"/>
                <w:color w:val="000000"/>
                <w:sz w:val="18"/>
                <w:szCs w:val="18"/>
              </w:rPr>
            </w:pPr>
          </w:p>
        </w:tc>
      </w:tr>
      <w:tr w:rsidR="00AD6433" w:rsidRPr="00E12B5E" w14:paraId="1DD84A9A" w14:textId="77777777" w:rsidTr="00764FB9">
        <w:tc>
          <w:tcPr>
            <w:tcW w:w="5558" w:type="dxa"/>
          </w:tcPr>
          <w:p w14:paraId="0049C2C3" w14:textId="77777777" w:rsidR="00AD6433" w:rsidRPr="002E1AF6" w:rsidRDefault="00AD6433" w:rsidP="00B805C8">
            <w:pPr>
              <w:autoSpaceDE w:val="0"/>
              <w:autoSpaceDN w:val="0"/>
              <w:adjustRightInd w:val="0"/>
              <w:jc w:val="both"/>
              <w:rPr>
                <w:rFonts w:ascii="Arial" w:hAnsi="Arial" w:cs="Arial"/>
                <w:color w:val="000000"/>
                <w:sz w:val="18"/>
                <w:szCs w:val="18"/>
              </w:rPr>
            </w:pPr>
            <w:r w:rsidRPr="002E1AF6">
              <w:rPr>
                <w:rFonts w:ascii="Arial" w:hAnsi="Arial" w:cs="Arial"/>
                <w:color w:val="000000"/>
                <w:sz w:val="18"/>
                <w:szCs w:val="18"/>
              </w:rPr>
              <w:t>Edificios</w:t>
            </w:r>
          </w:p>
        </w:tc>
        <w:tc>
          <w:tcPr>
            <w:tcW w:w="2577" w:type="dxa"/>
          </w:tcPr>
          <w:p w14:paraId="28C161F9" w14:textId="3B66B94C" w:rsidR="00AD6433" w:rsidRPr="002E1AF6" w:rsidRDefault="00E12B5E" w:rsidP="00B805C8">
            <w:pPr>
              <w:autoSpaceDE w:val="0"/>
              <w:autoSpaceDN w:val="0"/>
              <w:adjustRightInd w:val="0"/>
              <w:jc w:val="right"/>
              <w:rPr>
                <w:rFonts w:ascii="Arial" w:hAnsi="Arial" w:cs="Arial"/>
                <w:color w:val="000000"/>
                <w:sz w:val="18"/>
                <w:szCs w:val="18"/>
              </w:rPr>
            </w:pPr>
            <w:r w:rsidRPr="002E1AF6">
              <w:rPr>
                <w:rFonts w:ascii="Arial" w:hAnsi="Arial" w:cs="Arial"/>
                <w:color w:val="000000"/>
                <w:sz w:val="18"/>
                <w:szCs w:val="18"/>
              </w:rPr>
              <w:t>158.820</w:t>
            </w:r>
          </w:p>
        </w:tc>
      </w:tr>
      <w:tr w:rsidR="00AD6433" w:rsidRPr="00E12B5E" w14:paraId="4D05918C" w14:textId="77777777" w:rsidTr="00764FB9">
        <w:tc>
          <w:tcPr>
            <w:tcW w:w="5558" w:type="dxa"/>
          </w:tcPr>
          <w:p w14:paraId="4DAA285A" w14:textId="77777777" w:rsidR="00AD6433" w:rsidRPr="002E1AF6" w:rsidRDefault="00AD6433" w:rsidP="00B805C8">
            <w:pPr>
              <w:autoSpaceDE w:val="0"/>
              <w:autoSpaceDN w:val="0"/>
              <w:adjustRightInd w:val="0"/>
              <w:jc w:val="both"/>
              <w:rPr>
                <w:rFonts w:ascii="Arial" w:hAnsi="Arial" w:cs="Arial"/>
                <w:color w:val="000000"/>
                <w:sz w:val="18"/>
                <w:szCs w:val="18"/>
              </w:rPr>
            </w:pPr>
            <w:r w:rsidRPr="002E1AF6">
              <w:rPr>
                <w:rFonts w:ascii="Arial" w:hAnsi="Arial" w:cs="Arial"/>
                <w:color w:val="000000"/>
                <w:sz w:val="18"/>
                <w:szCs w:val="18"/>
              </w:rPr>
              <w:t>Intereses sobre pasivos por arrendamientos (Otros gastos operativos)</w:t>
            </w:r>
          </w:p>
        </w:tc>
        <w:tc>
          <w:tcPr>
            <w:tcW w:w="2577" w:type="dxa"/>
          </w:tcPr>
          <w:p w14:paraId="13DAD40C" w14:textId="6B1567CC" w:rsidR="00AD6433" w:rsidRPr="002E1AF6" w:rsidRDefault="00E12B5E" w:rsidP="00B805C8">
            <w:pPr>
              <w:autoSpaceDE w:val="0"/>
              <w:autoSpaceDN w:val="0"/>
              <w:adjustRightInd w:val="0"/>
              <w:jc w:val="right"/>
              <w:rPr>
                <w:rFonts w:ascii="Arial" w:hAnsi="Arial" w:cs="Arial"/>
                <w:color w:val="000000"/>
                <w:sz w:val="18"/>
                <w:szCs w:val="18"/>
              </w:rPr>
            </w:pPr>
            <w:r w:rsidRPr="002E1AF6">
              <w:rPr>
                <w:rFonts w:ascii="Arial" w:hAnsi="Arial" w:cs="Arial"/>
                <w:color w:val="000000"/>
                <w:sz w:val="18"/>
                <w:szCs w:val="18"/>
              </w:rPr>
              <w:t>37.597</w:t>
            </w:r>
          </w:p>
        </w:tc>
      </w:tr>
    </w:tbl>
    <w:p w14:paraId="69AD82BF"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407DBFE4" w14:textId="77777777" w:rsidR="00AD6433" w:rsidRPr="00E12B5E" w:rsidRDefault="00AD6433" w:rsidP="00AD6433">
      <w:pPr>
        <w:autoSpaceDE w:val="0"/>
        <w:autoSpaceDN w:val="0"/>
        <w:adjustRightInd w:val="0"/>
        <w:ind w:firstLine="360"/>
        <w:jc w:val="both"/>
        <w:rPr>
          <w:rFonts w:ascii="Arial" w:hAnsi="Arial" w:cs="Arial"/>
          <w:color w:val="000000"/>
          <w:sz w:val="20"/>
        </w:rPr>
      </w:pPr>
      <w:r w:rsidRPr="00E12B5E">
        <w:rPr>
          <w:rFonts w:ascii="Arial" w:hAnsi="Arial" w:cs="Arial"/>
          <w:color w:val="000000"/>
          <w:sz w:val="20"/>
        </w:rPr>
        <w:t xml:space="preserve">(iii) Actividades de arrendamiento de la Entidad y cómo se contabilizan según la NIIF 16 </w:t>
      </w:r>
    </w:p>
    <w:p w14:paraId="333753E3"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6C99FEEF"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lastRenderedPageBreak/>
        <w:t>El Banco arrienda varias sucursales. Los contratos de alquiler generalmente se realizan por períodos fijos de 1 a 10 años, pero pueden tener opciones de extensión como se describe en (v) a continuación.</w:t>
      </w:r>
    </w:p>
    <w:p w14:paraId="6AD5FE00" w14:textId="0EEFB1BD"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Los contratos pueden contener componentes de arrendamiento y no. El Banco asigna la consideración en el contrato a los componentes de arrendamiento y no arrendamiento con base en sus precios relativos independientes. Sin embargo, para los arrendamientos de bienes inmuebles para los cuales el Banco es arrendatario, ha optado por no separar los componentes de arrendamiento y los que no lo son, y en su lugar los contabiliza como un solo componente de arrendamiento.</w:t>
      </w:r>
    </w:p>
    <w:p w14:paraId="2E7E247C"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Los términos de arrendamiento se negocian de manera individual y contienen una amplia gama de términos y condiciones diferentes. Los contratos de arrendamiento no imponen otras obligaciones de hacer o no hacer, que no sean los activos arrendados que posee el arrendador. Los activos arrendados no se pueden usar como garantía para la obtención de préstamos.</w:t>
      </w:r>
    </w:p>
    <w:p w14:paraId="384A84D6"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1DD6CCC7"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Hasta el ejercicio 2018, los arrendamientos de propiedad, planta y equipo se clasificaron como arrendamientos operativos. A partir del 1 de enero de 2019, los arrendamientos se reconocen como un activo por derecho de uso registrando un pasivo como contrapartida en la fecha en que el activo arrendado está disponible para uso de la Entidad.</w:t>
      </w:r>
    </w:p>
    <w:p w14:paraId="547AA943"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00BC474F"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Los activos y pasivos que surgen de un arrendamiento se miden inicialmente sobre la base del valor presente. Los pasivos por arrendamiento incluyen el valor presente neto de los siguientes pagos por arrendamiento:</w:t>
      </w:r>
    </w:p>
    <w:p w14:paraId="52085E9D"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2622A0BA"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pagos fijos (incluidos los pagos fijos en sustancia), menos cualquier activo por incentivo a cobrar</w:t>
      </w:r>
    </w:p>
    <w:p w14:paraId="197CCFE5"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pagos por arrendamiento variable basados en un índice o una tasa, inicialmente medido utilizando el índice o la tasa en la fecha de inicio</w:t>
      </w:r>
    </w:p>
    <w:p w14:paraId="6440533D"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importes que el Banco debe pagar bajo garantías de valor residual</w:t>
      </w:r>
    </w:p>
    <w:p w14:paraId="12C63D34"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el precio de ejercicio de una opción de compra si el Banco está razonablemente seguro de ejercer esa opción, y</w:t>
      </w:r>
    </w:p>
    <w:p w14:paraId="5A26B8E6"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 xml:space="preserve">pagos de multas por rescindir el arrendamiento, si el plazo del arrendamiento refleja que el Banco va a ejercer esa opción. </w:t>
      </w:r>
    </w:p>
    <w:p w14:paraId="1A903490"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293D2618"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Los pagos por arrendamiento que se realizarán bajo opciones de extensión razonablemente ciertas también se incluyen en la medición del pasivo.</w:t>
      </w:r>
    </w:p>
    <w:p w14:paraId="29EB3FE3"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40FEA0C9"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 xml:space="preserve">Los pagos de arrendamiento se descuentan utilizando la tasa de interés implícita en el arrendamiento. Si esa tasa no se puede determinar fácilmente, que generalmente es el caso de los arrendamientos en el Banco, se utiliza la tasa de endeudamiento incremental del arrendatario, que es la tasa que el arrendatario individual tendría que pagar para pedir </w:t>
      </w:r>
      <w:r w:rsidRPr="00E12B5E">
        <w:rPr>
          <w:rFonts w:ascii="Arial" w:hAnsi="Arial" w:cs="Arial"/>
          <w:color w:val="000000"/>
          <w:sz w:val="20"/>
        </w:rPr>
        <w:lastRenderedPageBreak/>
        <w:t>prestados los fondos necesarios para obtener un activo de valor similar al activo por derecho de uso en un entorno económico similar con términos, seguridad y condiciones similares.</w:t>
      </w:r>
    </w:p>
    <w:p w14:paraId="036B1724" w14:textId="77777777" w:rsidR="00AD6433" w:rsidRPr="00E12B5E" w:rsidRDefault="00AD6433" w:rsidP="00AD6433">
      <w:pPr>
        <w:autoSpaceDE w:val="0"/>
        <w:autoSpaceDN w:val="0"/>
        <w:adjustRightInd w:val="0"/>
        <w:jc w:val="both"/>
        <w:rPr>
          <w:rFonts w:ascii="Arial" w:hAnsi="Arial" w:cs="Arial"/>
          <w:color w:val="000000"/>
          <w:sz w:val="20"/>
        </w:rPr>
      </w:pPr>
    </w:p>
    <w:p w14:paraId="3E636492"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Para determinar la tasa de interés incremental, el Banco:</w:t>
      </w:r>
    </w:p>
    <w:p w14:paraId="0615FA20"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1429633D"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siempre que sea posible, utiliza el financiamiento externo recibido recientemente como punto de partida, ajustado para reflejar los cambios en las condiciones de financiamiento desde que se recibió el financiamiento externo.</w:t>
      </w:r>
    </w:p>
    <w:p w14:paraId="12D0C4D3"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utiliza un enfoque de determinación de la tasa que comienza con una tasa de interés libre de riesgo ajustada por riesgo de crédito para arrendamientos que ya posee la Entidad para aquellos casos en los que no cuenta con financiamiento reciente de terceros, y</w:t>
      </w:r>
    </w:p>
    <w:p w14:paraId="6E1B85D3"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realiza ajustes específicos para el arrendamiento, por ejemplo, plazo, moneda y garantía.</w:t>
      </w:r>
    </w:p>
    <w:p w14:paraId="30E9F22E"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19FC9260"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El Banco está expuesto a posibles aumentos futuros en los pagos de arrendamiento variables basados ​​en un índice o tasa, que no se incluyen en el pasivo por arrendamiento hasta que entren en vigencia. Cuando los ajustes a los pagos por arrendamiento basados ​​en un índice o tasa entran en vigencia, el pasivo por arrendamiento se reevalúa y ajusta contra el activo por derecho de uso.</w:t>
      </w:r>
    </w:p>
    <w:p w14:paraId="0988212E"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466D8CF2"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 xml:space="preserve">Los pagos por arrendamiento se asignan entre el capital y el costo financiero. El costo financiero se carga a resultados durante el período de arrendamiento para producir una tasa de interés periódica constante sobre el saldo restante del pasivo para cada período. </w:t>
      </w:r>
    </w:p>
    <w:p w14:paraId="73C4F255"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65919F96"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Los activos por derecho de uso se miden al costo que comprende lo siguiente:</w:t>
      </w:r>
    </w:p>
    <w:p w14:paraId="1EA42F50"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1BB7C02B"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el importe de la medición inicial del pasivo por arrendamiento</w:t>
      </w:r>
    </w:p>
    <w:p w14:paraId="7353FC9F"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 xml:space="preserve">cualquier pago por arrendamiento realizado en o antes de la fecha de inicio menos cualquier activo por incentivo de arrendamiento </w:t>
      </w:r>
    </w:p>
    <w:p w14:paraId="780F5924"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cualquier costo directo inicial, y</w:t>
      </w:r>
    </w:p>
    <w:p w14:paraId="7FDBC42B" w14:textId="77777777" w:rsidR="00AD6433" w:rsidRPr="00E12B5E" w:rsidRDefault="00AD6433" w:rsidP="00AD6433">
      <w:pPr>
        <w:pStyle w:val="ListParagraph"/>
        <w:numPr>
          <w:ilvl w:val="0"/>
          <w:numId w:val="41"/>
        </w:numPr>
        <w:autoSpaceDE w:val="0"/>
        <w:autoSpaceDN w:val="0"/>
        <w:adjustRightInd w:val="0"/>
        <w:jc w:val="both"/>
        <w:rPr>
          <w:rFonts w:ascii="Arial" w:hAnsi="Arial" w:cs="Arial"/>
          <w:color w:val="000000"/>
          <w:sz w:val="20"/>
        </w:rPr>
      </w:pPr>
      <w:r w:rsidRPr="00E12B5E">
        <w:rPr>
          <w:rFonts w:ascii="Arial" w:hAnsi="Arial" w:cs="Arial"/>
          <w:color w:val="000000"/>
          <w:sz w:val="20"/>
        </w:rPr>
        <w:t>costos de restauración.</w:t>
      </w:r>
    </w:p>
    <w:p w14:paraId="2D019CD5"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31EA70EB"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Los activos por derecho de uso generalmente se deprecian durante la vida útil más corta del activo y el plazo del arrendamiento en forma lineal.</w:t>
      </w:r>
    </w:p>
    <w:p w14:paraId="09FAC389"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742C2247"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Los pagos asociados con arrendamientos a corto plazo de equipos y todos los arrendamientos de activos de bajo valor se reconocen linealmente como un gasto en resultados. Los arrendamientos a corto plazo son arrendamientos con un plazo de arrendamiento de 12 meses o menos. Los activos de bajo valor comprenden equipos informáticos y pequeños artículos de mobiliario de oficina.</w:t>
      </w:r>
    </w:p>
    <w:p w14:paraId="5C2BF0E2" w14:textId="77777777" w:rsidR="00AD6433" w:rsidRPr="00E12B5E" w:rsidRDefault="00AD6433" w:rsidP="00AD6433">
      <w:pPr>
        <w:autoSpaceDE w:val="0"/>
        <w:autoSpaceDN w:val="0"/>
        <w:adjustRightInd w:val="0"/>
        <w:jc w:val="both"/>
        <w:rPr>
          <w:rFonts w:ascii="Arial" w:hAnsi="Arial" w:cs="Arial"/>
          <w:color w:val="000000"/>
          <w:sz w:val="20"/>
        </w:rPr>
      </w:pPr>
    </w:p>
    <w:p w14:paraId="1CC4E7F1"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lastRenderedPageBreak/>
        <w:t>(v) Opciones de extensión y terminación</w:t>
      </w:r>
    </w:p>
    <w:p w14:paraId="4902DA39" w14:textId="77777777" w:rsidR="00AD6433" w:rsidRPr="00E12B5E" w:rsidRDefault="00AD6433" w:rsidP="00AD6433">
      <w:pPr>
        <w:autoSpaceDE w:val="0"/>
        <w:autoSpaceDN w:val="0"/>
        <w:adjustRightInd w:val="0"/>
        <w:ind w:left="360"/>
        <w:jc w:val="both"/>
        <w:rPr>
          <w:rFonts w:ascii="Arial" w:hAnsi="Arial" w:cs="Arial"/>
          <w:color w:val="000000"/>
          <w:sz w:val="20"/>
        </w:rPr>
      </w:pPr>
    </w:p>
    <w:p w14:paraId="0D7A961A" w14:textId="77777777" w:rsidR="00AD6433" w:rsidRPr="00E12B5E" w:rsidRDefault="00AD6433" w:rsidP="00AD6433">
      <w:pPr>
        <w:autoSpaceDE w:val="0"/>
        <w:autoSpaceDN w:val="0"/>
        <w:adjustRightInd w:val="0"/>
        <w:ind w:left="360"/>
        <w:jc w:val="both"/>
        <w:rPr>
          <w:rFonts w:ascii="Arial" w:hAnsi="Arial" w:cs="Arial"/>
          <w:color w:val="000000"/>
          <w:sz w:val="20"/>
        </w:rPr>
      </w:pPr>
      <w:r w:rsidRPr="00E12B5E">
        <w:rPr>
          <w:rFonts w:ascii="Arial" w:hAnsi="Arial" w:cs="Arial"/>
          <w:color w:val="000000"/>
          <w:sz w:val="20"/>
        </w:rPr>
        <w:t>Las opciones de extensión y terminación están incluidas en varios contratos de arrendamiento de propiedades. Estos se utilizan para maximizar la flexibilidad operativa en términos de gestión de los activos utilizados en las operaciones. La mayoría de las opciones de extensión y terminación mantenidas son ejercibles solo por el Banco y no por el arrendador respectivo.</w:t>
      </w:r>
    </w:p>
    <w:p w14:paraId="25D45D25" w14:textId="77777777" w:rsidR="004B3C0B" w:rsidRPr="00AD6433" w:rsidRDefault="004B3C0B" w:rsidP="004B3C0B">
      <w:pPr>
        <w:widowControl w:val="0"/>
        <w:autoSpaceDE w:val="0"/>
        <w:autoSpaceDN w:val="0"/>
        <w:adjustRightInd w:val="0"/>
        <w:jc w:val="both"/>
        <w:rPr>
          <w:rFonts w:ascii="Arial" w:hAnsi="Arial" w:cs="Arial"/>
          <w:noProof/>
          <w:sz w:val="20"/>
          <w:highlight w:val="yellow"/>
        </w:rPr>
      </w:pPr>
    </w:p>
    <w:p w14:paraId="6C975357" w14:textId="4374EA20" w:rsidR="004B3C0B" w:rsidRPr="00BA7A6B" w:rsidRDefault="006B5772" w:rsidP="004B3C0B">
      <w:pPr>
        <w:spacing w:after="160" w:line="259" w:lineRule="auto"/>
        <w:jc w:val="both"/>
        <w:rPr>
          <w:rFonts w:ascii="Arial" w:eastAsia="Calibri" w:hAnsi="Arial" w:cs="Arial"/>
          <w:b/>
          <w:sz w:val="20"/>
        </w:rPr>
      </w:pPr>
      <w:r w:rsidRPr="00BA7A6B">
        <w:rPr>
          <w:rFonts w:ascii="Arial" w:hAnsi="Arial" w:cs="Arial"/>
          <w:b/>
          <w:sz w:val="20"/>
        </w:rPr>
        <w:t>12</w:t>
      </w:r>
      <w:r w:rsidR="003E58B4" w:rsidRPr="00BA7A6B">
        <w:rPr>
          <w:rFonts w:ascii="Arial" w:hAnsi="Arial" w:cs="Arial"/>
          <w:b/>
          <w:sz w:val="20"/>
        </w:rPr>
        <w:t xml:space="preserve">. </w:t>
      </w:r>
      <w:r w:rsidR="004B3C0B" w:rsidRPr="00BA7A6B">
        <w:rPr>
          <w:rFonts w:ascii="Arial" w:eastAsia="Calibri" w:hAnsi="Arial" w:cs="Arial"/>
          <w:b/>
          <w:sz w:val="20"/>
        </w:rPr>
        <w:t>ACTIVOS INTANGIBLES</w:t>
      </w:r>
    </w:p>
    <w:p w14:paraId="386A59EF" w14:textId="592CF74F" w:rsidR="008D7556" w:rsidRPr="00BA7A6B" w:rsidRDefault="004B3C0B" w:rsidP="00066653">
      <w:pPr>
        <w:tabs>
          <w:tab w:val="left" w:pos="142"/>
        </w:tabs>
        <w:jc w:val="both"/>
        <w:rPr>
          <w:rFonts w:ascii="Arial" w:hAnsi="Arial" w:cs="Arial"/>
          <w:noProof/>
          <w:sz w:val="20"/>
        </w:rPr>
      </w:pPr>
      <w:r w:rsidRPr="00BA7A6B">
        <w:rPr>
          <w:rFonts w:ascii="Arial" w:eastAsia="Calibri" w:hAnsi="Arial" w:cs="Arial"/>
          <w:sz w:val="20"/>
        </w:rPr>
        <w:t>Los movimientos en activos intangibles para el período finalizado e</w:t>
      </w:r>
      <w:r w:rsidR="005D476E" w:rsidRPr="00BA7A6B">
        <w:rPr>
          <w:rFonts w:ascii="Arial" w:eastAsia="Calibri" w:hAnsi="Arial" w:cs="Arial"/>
          <w:sz w:val="20"/>
        </w:rPr>
        <w:t>l 3</w:t>
      </w:r>
      <w:r w:rsidR="00EC7D93">
        <w:rPr>
          <w:rFonts w:ascii="Arial" w:eastAsia="Calibri" w:hAnsi="Arial" w:cs="Arial"/>
          <w:sz w:val="20"/>
        </w:rPr>
        <w:t>1</w:t>
      </w:r>
      <w:r w:rsidRPr="00BA7A6B">
        <w:rPr>
          <w:rFonts w:ascii="Arial" w:eastAsia="Calibri" w:hAnsi="Arial" w:cs="Arial"/>
          <w:sz w:val="20"/>
        </w:rPr>
        <w:t xml:space="preserve"> de </w:t>
      </w:r>
      <w:r w:rsidR="00764FB9">
        <w:rPr>
          <w:rFonts w:ascii="Arial" w:eastAsia="Calibri" w:hAnsi="Arial" w:cs="Arial"/>
          <w:sz w:val="20"/>
        </w:rPr>
        <w:t>m</w:t>
      </w:r>
      <w:r w:rsidR="00EC7D93">
        <w:rPr>
          <w:rFonts w:ascii="Arial" w:eastAsia="Calibri" w:hAnsi="Arial" w:cs="Arial"/>
          <w:sz w:val="20"/>
        </w:rPr>
        <w:t>arzo</w:t>
      </w:r>
      <w:r w:rsidRPr="00BA7A6B">
        <w:rPr>
          <w:rFonts w:ascii="Arial" w:eastAsia="Calibri" w:hAnsi="Arial" w:cs="Arial"/>
          <w:sz w:val="20"/>
        </w:rPr>
        <w:t xml:space="preserve"> de 20</w:t>
      </w:r>
      <w:r w:rsidR="00EC7D93">
        <w:rPr>
          <w:rFonts w:ascii="Arial" w:eastAsia="Calibri" w:hAnsi="Arial" w:cs="Arial"/>
          <w:sz w:val="20"/>
        </w:rPr>
        <w:t>20</w:t>
      </w:r>
      <w:r w:rsidRPr="00BA7A6B">
        <w:rPr>
          <w:rFonts w:ascii="Arial" w:eastAsia="Calibri" w:hAnsi="Arial" w:cs="Arial"/>
          <w:sz w:val="20"/>
        </w:rPr>
        <w:t xml:space="preserve"> fueron los siguientes:</w:t>
      </w:r>
    </w:p>
    <w:p w14:paraId="3FB64EBB" w14:textId="5D916480" w:rsidR="008D7556" w:rsidRPr="00BA7A6B" w:rsidRDefault="00D376AD" w:rsidP="003E58B4">
      <w:pPr>
        <w:widowControl w:val="0"/>
        <w:autoSpaceDE w:val="0"/>
        <w:autoSpaceDN w:val="0"/>
        <w:adjustRightInd w:val="0"/>
        <w:jc w:val="both"/>
        <w:rPr>
          <w:rFonts w:ascii="Arial" w:hAnsi="Arial" w:cs="Arial"/>
          <w:noProof/>
          <w:sz w:val="20"/>
        </w:rPr>
      </w:pPr>
      <w:r w:rsidRPr="00BA7A6B">
        <w:rPr>
          <w:rFonts w:ascii="Arial" w:hAnsi="Arial" w:cs="Arial"/>
          <w:noProof/>
          <w:sz w:val="20"/>
        </w:rPr>
        <w:tab/>
      </w:r>
    </w:p>
    <w:tbl>
      <w:tblPr>
        <w:tblW w:w="8644" w:type="dxa"/>
        <w:tblCellMar>
          <w:left w:w="70" w:type="dxa"/>
          <w:right w:w="70" w:type="dxa"/>
        </w:tblCellMar>
        <w:tblLook w:val="04A0" w:firstRow="1" w:lastRow="0" w:firstColumn="1" w:lastColumn="0" w:noHBand="0" w:noVBand="1"/>
      </w:tblPr>
      <w:tblGrid>
        <w:gridCol w:w="1551"/>
        <w:gridCol w:w="854"/>
        <w:gridCol w:w="747"/>
        <w:gridCol w:w="792"/>
        <w:gridCol w:w="547"/>
        <w:gridCol w:w="927"/>
        <w:gridCol w:w="628"/>
        <w:gridCol w:w="792"/>
        <w:gridCol w:w="927"/>
        <w:gridCol w:w="935"/>
      </w:tblGrid>
      <w:tr w:rsidR="00C7614C" w:rsidRPr="00694720" w14:paraId="31CD9C1D" w14:textId="77777777" w:rsidTr="002E1AF6">
        <w:trPr>
          <w:trHeight w:val="269"/>
        </w:trPr>
        <w:tc>
          <w:tcPr>
            <w:tcW w:w="1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F1733C"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Concepto</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E72E1"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Valor de origen al inicio del ejercicio</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9F06A"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Vida Útil total estimada en años</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B8E1B5"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Altas</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B7B65F"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Bajas</w:t>
            </w:r>
          </w:p>
        </w:tc>
        <w:tc>
          <w:tcPr>
            <w:tcW w:w="3274" w:type="dxa"/>
            <w:gridSpan w:val="4"/>
            <w:tcBorders>
              <w:top w:val="single" w:sz="4" w:space="0" w:color="auto"/>
              <w:left w:val="nil"/>
              <w:bottom w:val="single" w:sz="4" w:space="0" w:color="auto"/>
              <w:right w:val="single" w:sz="4" w:space="0" w:color="auto"/>
            </w:tcBorders>
            <w:shd w:val="clear" w:color="auto" w:fill="auto"/>
            <w:vAlign w:val="center"/>
            <w:hideMark/>
          </w:tcPr>
          <w:p w14:paraId="7EDC1746"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Depreciación</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75E48B"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Valor residual al cierre del período</w:t>
            </w:r>
          </w:p>
        </w:tc>
      </w:tr>
      <w:tr w:rsidR="00C7614C" w:rsidRPr="00694720" w14:paraId="483CF0EC" w14:textId="77777777" w:rsidTr="002E1AF6">
        <w:trPr>
          <w:trHeight w:val="269"/>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37EAC26D" w14:textId="77777777" w:rsidR="00D16E38" w:rsidRPr="00BA7A6B" w:rsidRDefault="00D16E38" w:rsidP="00D16E38">
            <w:pPr>
              <w:rPr>
                <w:rFonts w:ascii="Arial" w:hAnsi="Arial" w:cs="Arial"/>
                <w:b/>
                <w:bCs/>
                <w:color w:val="000000"/>
                <w:sz w:val="14"/>
                <w:szCs w:val="14"/>
                <w:lang w:eastAsia="es-AR"/>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4431AAC9" w14:textId="77777777" w:rsidR="00D16E38" w:rsidRPr="00BA7A6B" w:rsidRDefault="00D16E38" w:rsidP="00D16E38">
            <w:pPr>
              <w:rPr>
                <w:rFonts w:ascii="Arial" w:hAnsi="Arial" w:cs="Arial"/>
                <w:b/>
                <w:bCs/>
                <w:color w:val="000000"/>
                <w:sz w:val="14"/>
                <w:szCs w:val="14"/>
                <w:lang w:eastAsia="es-AR"/>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14:paraId="4071BD08" w14:textId="77777777" w:rsidR="00D16E38" w:rsidRPr="00BA7A6B" w:rsidRDefault="00D16E38" w:rsidP="00D16E38">
            <w:pPr>
              <w:rPr>
                <w:rFonts w:ascii="Arial" w:hAnsi="Arial" w:cs="Arial"/>
                <w:b/>
                <w:bCs/>
                <w:color w:val="000000"/>
                <w:sz w:val="14"/>
                <w:szCs w:val="14"/>
                <w:lang w:eastAsia="es-AR"/>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666DB7D7" w14:textId="77777777" w:rsidR="00D16E38" w:rsidRPr="00BA7A6B" w:rsidRDefault="00D16E38" w:rsidP="00D16E38">
            <w:pPr>
              <w:rPr>
                <w:rFonts w:ascii="Arial" w:hAnsi="Arial" w:cs="Arial"/>
                <w:b/>
                <w:bCs/>
                <w:color w:val="000000"/>
                <w:sz w:val="14"/>
                <w:szCs w:val="14"/>
                <w:lang w:eastAsia="es-AR"/>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1A32AE71" w14:textId="77777777" w:rsidR="00D16E38" w:rsidRPr="00BA7A6B" w:rsidRDefault="00D16E38" w:rsidP="00D16E38">
            <w:pPr>
              <w:rPr>
                <w:rFonts w:ascii="Arial" w:hAnsi="Arial" w:cs="Arial"/>
                <w:b/>
                <w:bCs/>
                <w:color w:val="000000"/>
                <w:sz w:val="14"/>
                <w:szCs w:val="14"/>
                <w:lang w:eastAsia="es-AR"/>
              </w:rPr>
            </w:pPr>
          </w:p>
        </w:tc>
        <w:tc>
          <w:tcPr>
            <w:tcW w:w="927" w:type="dxa"/>
            <w:tcBorders>
              <w:top w:val="nil"/>
              <w:left w:val="nil"/>
              <w:bottom w:val="single" w:sz="4" w:space="0" w:color="auto"/>
              <w:right w:val="single" w:sz="4" w:space="0" w:color="auto"/>
            </w:tcBorders>
            <w:shd w:val="clear" w:color="auto" w:fill="auto"/>
            <w:vAlign w:val="center"/>
            <w:hideMark/>
          </w:tcPr>
          <w:p w14:paraId="255AD7C7" w14:textId="77777777" w:rsidR="00D16E38" w:rsidRPr="00BA7A6B" w:rsidRDefault="00D16E38" w:rsidP="00D16E38">
            <w:pPr>
              <w:jc w:val="right"/>
              <w:rPr>
                <w:rFonts w:ascii="Arial" w:hAnsi="Arial" w:cs="Arial"/>
                <w:b/>
                <w:bCs/>
                <w:color w:val="000000"/>
                <w:sz w:val="14"/>
                <w:szCs w:val="14"/>
                <w:lang w:eastAsia="es-AR"/>
              </w:rPr>
            </w:pPr>
            <w:r w:rsidRPr="00BA7A6B">
              <w:rPr>
                <w:rFonts w:ascii="Arial" w:hAnsi="Arial" w:cs="Arial"/>
                <w:b/>
                <w:bCs/>
                <w:color w:val="000000"/>
                <w:sz w:val="14"/>
                <w:szCs w:val="14"/>
                <w:lang w:eastAsia="es-AR"/>
              </w:rPr>
              <w:t>Acumulada</w:t>
            </w:r>
          </w:p>
        </w:tc>
        <w:tc>
          <w:tcPr>
            <w:tcW w:w="628" w:type="dxa"/>
            <w:tcBorders>
              <w:top w:val="nil"/>
              <w:left w:val="nil"/>
              <w:bottom w:val="single" w:sz="4" w:space="0" w:color="auto"/>
              <w:right w:val="single" w:sz="4" w:space="0" w:color="auto"/>
            </w:tcBorders>
            <w:shd w:val="clear" w:color="auto" w:fill="auto"/>
            <w:vAlign w:val="center"/>
            <w:hideMark/>
          </w:tcPr>
          <w:p w14:paraId="2914C603" w14:textId="77777777" w:rsidR="00D16E38" w:rsidRPr="00BA7A6B" w:rsidRDefault="00D16E38" w:rsidP="00D16E38">
            <w:pPr>
              <w:jc w:val="right"/>
              <w:rPr>
                <w:rFonts w:ascii="Arial" w:hAnsi="Arial" w:cs="Arial"/>
                <w:b/>
                <w:bCs/>
                <w:color w:val="000000"/>
                <w:sz w:val="14"/>
                <w:szCs w:val="14"/>
                <w:lang w:eastAsia="es-AR"/>
              </w:rPr>
            </w:pPr>
            <w:r w:rsidRPr="00BA7A6B">
              <w:rPr>
                <w:rFonts w:ascii="Arial" w:hAnsi="Arial" w:cs="Arial"/>
                <w:b/>
                <w:bCs/>
                <w:color w:val="000000"/>
                <w:sz w:val="14"/>
                <w:szCs w:val="14"/>
                <w:lang w:eastAsia="es-AR"/>
              </w:rPr>
              <w:t>Baja</w:t>
            </w:r>
          </w:p>
        </w:tc>
        <w:tc>
          <w:tcPr>
            <w:tcW w:w="792" w:type="dxa"/>
            <w:tcBorders>
              <w:top w:val="nil"/>
              <w:left w:val="nil"/>
              <w:bottom w:val="single" w:sz="4" w:space="0" w:color="auto"/>
              <w:right w:val="single" w:sz="4" w:space="0" w:color="auto"/>
            </w:tcBorders>
            <w:shd w:val="clear" w:color="auto" w:fill="auto"/>
            <w:vAlign w:val="center"/>
            <w:hideMark/>
          </w:tcPr>
          <w:p w14:paraId="1CFD16F7"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Del período</w:t>
            </w:r>
          </w:p>
        </w:tc>
        <w:tc>
          <w:tcPr>
            <w:tcW w:w="927" w:type="dxa"/>
            <w:tcBorders>
              <w:top w:val="nil"/>
              <w:left w:val="nil"/>
              <w:bottom w:val="single" w:sz="4" w:space="0" w:color="auto"/>
              <w:right w:val="single" w:sz="4" w:space="0" w:color="auto"/>
            </w:tcBorders>
            <w:shd w:val="clear" w:color="auto" w:fill="auto"/>
            <w:vAlign w:val="center"/>
            <w:hideMark/>
          </w:tcPr>
          <w:p w14:paraId="3466CC36" w14:textId="77777777" w:rsidR="00D16E38" w:rsidRPr="00BA7A6B" w:rsidRDefault="00D16E38" w:rsidP="00D16E38">
            <w:pPr>
              <w:jc w:val="center"/>
              <w:rPr>
                <w:rFonts w:ascii="Arial" w:hAnsi="Arial" w:cs="Arial"/>
                <w:b/>
                <w:bCs/>
                <w:color w:val="000000"/>
                <w:sz w:val="14"/>
                <w:szCs w:val="14"/>
                <w:lang w:eastAsia="es-AR"/>
              </w:rPr>
            </w:pPr>
            <w:r w:rsidRPr="00BA7A6B">
              <w:rPr>
                <w:rFonts w:ascii="Arial" w:hAnsi="Arial" w:cs="Arial"/>
                <w:b/>
                <w:bCs/>
                <w:color w:val="000000"/>
                <w:sz w:val="14"/>
                <w:szCs w:val="14"/>
                <w:lang w:eastAsia="es-AR"/>
              </w:rPr>
              <w:t>Al cierre</w:t>
            </w:r>
          </w:p>
        </w:tc>
        <w:tc>
          <w:tcPr>
            <w:tcW w:w="935" w:type="dxa"/>
            <w:vMerge/>
            <w:tcBorders>
              <w:top w:val="single" w:sz="4" w:space="0" w:color="auto"/>
              <w:left w:val="single" w:sz="4" w:space="0" w:color="auto"/>
              <w:bottom w:val="single" w:sz="4" w:space="0" w:color="auto"/>
              <w:right w:val="single" w:sz="4" w:space="0" w:color="auto"/>
            </w:tcBorders>
            <w:vAlign w:val="center"/>
            <w:hideMark/>
          </w:tcPr>
          <w:p w14:paraId="66B4FC38" w14:textId="77777777" w:rsidR="00D16E38" w:rsidRPr="00BA7A6B" w:rsidRDefault="00D16E38" w:rsidP="00D16E38">
            <w:pPr>
              <w:rPr>
                <w:rFonts w:ascii="Arial" w:hAnsi="Arial" w:cs="Arial"/>
                <w:b/>
                <w:bCs/>
                <w:color w:val="000000"/>
                <w:sz w:val="14"/>
                <w:szCs w:val="14"/>
                <w:lang w:eastAsia="es-AR"/>
              </w:rPr>
            </w:pPr>
          </w:p>
        </w:tc>
      </w:tr>
      <w:tr w:rsidR="00C7614C" w:rsidRPr="00694720" w14:paraId="0E08C0EA" w14:textId="77777777" w:rsidTr="002E1AF6">
        <w:trPr>
          <w:trHeight w:val="269"/>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4F35BE2" w14:textId="77777777" w:rsidR="002611F4" w:rsidRPr="00BA7A6B" w:rsidRDefault="002611F4" w:rsidP="002611F4">
            <w:pPr>
              <w:rPr>
                <w:rFonts w:ascii="Arial" w:hAnsi="Arial" w:cs="Arial"/>
                <w:color w:val="000000"/>
                <w:sz w:val="14"/>
                <w:szCs w:val="14"/>
                <w:lang w:eastAsia="es-AR"/>
              </w:rPr>
            </w:pPr>
            <w:r w:rsidRPr="00BA7A6B">
              <w:rPr>
                <w:rFonts w:ascii="Arial" w:hAnsi="Arial" w:cs="Arial"/>
                <w:color w:val="000000"/>
                <w:sz w:val="14"/>
                <w:szCs w:val="14"/>
                <w:lang w:eastAsia="es-AR"/>
              </w:rPr>
              <w:t>Llave de negocio- Combinación de negocios</w:t>
            </w:r>
          </w:p>
        </w:tc>
        <w:tc>
          <w:tcPr>
            <w:tcW w:w="854" w:type="dxa"/>
            <w:tcBorders>
              <w:top w:val="nil"/>
              <w:left w:val="nil"/>
              <w:bottom w:val="single" w:sz="4" w:space="0" w:color="auto"/>
              <w:right w:val="single" w:sz="4" w:space="0" w:color="auto"/>
            </w:tcBorders>
            <w:shd w:val="clear" w:color="auto" w:fill="auto"/>
            <w:noWrap/>
            <w:vAlign w:val="center"/>
            <w:hideMark/>
          </w:tcPr>
          <w:p w14:paraId="6718D83F" w14:textId="3CB2EDBA" w:rsidR="002611F4" w:rsidRPr="00BA7A6B" w:rsidRDefault="00C7614C" w:rsidP="002611F4">
            <w:pPr>
              <w:jc w:val="right"/>
              <w:rPr>
                <w:rFonts w:ascii="Arial" w:hAnsi="Arial" w:cs="Arial"/>
                <w:b/>
                <w:bCs/>
                <w:color w:val="000000"/>
                <w:sz w:val="14"/>
                <w:szCs w:val="14"/>
                <w:lang w:eastAsia="es-AR"/>
              </w:rPr>
            </w:pPr>
            <w:r>
              <w:rPr>
                <w:rFonts w:ascii="Arial" w:hAnsi="Arial" w:cs="Arial"/>
                <w:b/>
                <w:bCs/>
                <w:color w:val="000000"/>
                <w:sz w:val="14"/>
                <w:szCs w:val="14"/>
              </w:rPr>
              <w:t>297.779</w:t>
            </w:r>
          </w:p>
        </w:tc>
        <w:tc>
          <w:tcPr>
            <w:tcW w:w="691" w:type="dxa"/>
            <w:tcBorders>
              <w:top w:val="nil"/>
              <w:left w:val="nil"/>
              <w:bottom w:val="single" w:sz="4" w:space="0" w:color="auto"/>
              <w:right w:val="single" w:sz="4" w:space="0" w:color="auto"/>
            </w:tcBorders>
            <w:shd w:val="clear" w:color="auto" w:fill="auto"/>
            <w:noWrap/>
            <w:vAlign w:val="center"/>
            <w:hideMark/>
          </w:tcPr>
          <w:p w14:paraId="3F2CDF59" w14:textId="67B88CAB" w:rsidR="002611F4" w:rsidRPr="00BA7A6B" w:rsidRDefault="002611F4" w:rsidP="002611F4">
            <w:pPr>
              <w:jc w:val="right"/>
              <w:rPr>
                <w:color w:val="000000"/>
                <w:sz w:val="20"/>
                <w:lang w:eastAsia="es-AR"/>
              </w:rPr>
            </w:pPr>
          </w:p>
        </w:tc>
        <w:tc>
          <w:tcPr>
            <w:tcW w:w="792" w:type="dxa"/>
            <w:tcBorders>
              <w:top w:val="nil"/>
              <w:left w:val="nil"/>
              <w:bottom w:val="single" w:sz="4" w:space="0" w:color="auto"/>
              <w:right w:val="single" w:sz="4" w:space="0" w:color="auto"/>
            </w:tcBorders>
            <w:shd w:val="clear" w:color="auto" w:fill="auto"/>
            <w:noWrap/>
            <w:vAlign w:val="center"/>
            <w:hideMark/>
          </w:tcPr>
          <w:p w14:paraId="378139D7" w14:textId="56A7B362" w:rsidR="002611F4" w:rsidRPr="00BA7A6B" w:rsidRDefault="002611F4" w:rsidP="002611F4">
            <w:pPr>
              <w:jc w:val="right"/>
              <w:rPr>
                <w:rFonts w:ascii="Arial" w:hAnsi="Arial" w:cs="Arial"/>
                <w:color w:val="000000"/>
                <w:sz w:val="14"/>
                <w:szCs w:val="14"/>
                <w:lang w:eastAsia="es-AR"/>
              </w:rPr>
            </w:pPr>
            <w:r w:rsidRPr="00BA7A6B">
              <w:rPr>
                <w:rFonts w:ascii="Arial" w:hAnsi="Arial" w:cs="Arial"/>
                <w:color w:val="000000"/>
                <w:sz w:val="14"/>
                <w:szCs w:val="14"/>
              </w:rPr>
              <w:t>-</w:t>
            </w:r>
          </w:p>
        </w:tc>
        <w:tc>
          <w:tcPr>
            <w:tcW w:w="547" w:type="dxa"/>
            <w:tcBorders>
              <w:top w:val="nil"/>
              <w:left w:val="nil"/>
              <w:bottom w:val="single" w:sz="4" w:space="0" w:color="auto"/>
              <w:right w:val="single" w:sz="4" w:space="0" w:color="auto"/>
            </w:tcBorders>
            <w:shd w:val="clear" w:color="auto" w:fill="auto"/>
            <w:noWrap/>
            <w:vAlign w:val="center"/>
            <w:hideMark/>
          </w:tcPr>
          <w:p w14:paraId="7394C525" w14:textId="73C50880" w:rsidR="002611F4" w:rsidRPr="00BA7A6B" w:rsidRDefault="002611F4" w:rsidP="002611F4">
            <w:pPr>
              <w:jc w:val="right"/>
              <w:rPr>
                <w:rFonts w:ascii="Arial" w:hAnsi="Arial" w:cs="Arial"/>
                <w:color w:val="000000"/>
                <w:sz w:val="14"/>
                <w:szCs w:val="14"/>
                <w:lang w:eastAsia="es-AR"/>
              </w:rPr>
            </w:pPr>
            <w:r w:rsidRPr="00BA7A6B">
              <w:rPr>
                <w:rFonts w:ascii="Arial" w:hAnsi="Arial" w:cs="Arial"/>
                <w:color w:val="000000"/>
                <w:sz w:val="14"/>
                <w:szCs w:val="14"/>
              </w:rPr>
              <w:t>-</w:t>
            </w:r>
          </w:p>
        </w:tc>
        <w:tc>
          <w:tcPr>
            <w:tcW w:w="927" w:type="dxa"/>
            <w:tcBorders>
              <w:top w:val="nil"/>
              <w:left w:val="nil"/>
              <w:bottom w:val="single" w:sz="4" w:space="0" w:color="auto"/>
              <w:right w:val="single" w:sz="4" w:space="0" w:color="auto"/>
            </w:tcBorders>
            <w:shd w:val="clear" w:color="auto" w:fill="auto"/>
            <w:noWrap/>
            <w:vAlign w:val="center"/>
            <w:hideMark/>
          </w:tcPr>
          <w:p w14:paraId="2D5C06B1" w14:textId="0EE0A4D1" w:rsidR="002611F4" w:rsidRPr="00BA7A6B" w:rsidRDefault="002611F4" w:rsidP="002611F4">
            <w:pPr>
              <w:jc w:val="right"/>
              <w:rPr>
                <w:rFonts w:ascii="Arial" w:hAnsi="Arial" w:cs="Arial"/>
                <w:color w:val="000000"/>
                <w:sz w:val="14"/>
                <w:szCs w:val="14"/>
                <w:lang w:eastAsia="es-AR"/>
              </w:rPr>
            </w:pPr>
            <w:r w:rsidRPr="00BA7A6B">
              <w:rPr>
                <w:rFonts w:ascii="Arial" w:hAnsi="Arial" w:cs="Arial"/>
                <w:color w:val="000000"/>
                <w:sz w:val="14"/>
                <w:szCs w:val="14"/>
              </w:rPr>
              <w:t>-</w:t>
            </w:r>
          </w:p>
        </w:tc>
        <w:tc>
          <w:tcPr>
            <w:tcW w:w="628" w:type="dxa"/>
            <w:tcBorders>
              <w:top w:val="nil"/>
              <w:left w:val="nil"/>
              <w:bottom w:val="single" w:sz="4" w:space="0" w:color="auto"/>
              <w:right w:val="single" w:sz="4" w:space="0" w:color="auto"/>
            </w:tcBorders>
            <w:shd w:val="clear" w:color="auto" w:fill="auto"/>
            <w:noWrap/>
            <w:vAlign w:val="center"/>
            <w:hideMark/>
          </w:tcPr>
          <w:p w14:paraId="3E797DA8" w14:textId="1CE50D9F" w:rsidR="002611F4" w:rsidRPr="00BA7A6B" w:rsidRDefault="00C7614C" w:rsidP="002611F4">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792" w:type="dxa"/>
            <w:tcBorders>
              <w:top w:val="nil"/>
              <w:left w:val="nil"/>
              <w:bottom w:val="single" w:sz="4" w:space="0" w:color="auto"/>
              <w:right w:val="single" w:sz="4" w:space="0" w:color="auto"/>
            </w:tcBorders>
            <w:shd w:val="clear" w:color="auto" w:fill="auto"/>
            <w:noWrap/>
            <w:vAlign w:val="center"/>
            <w:hideMark/>
          </w:tcPr>
          <w:p w14:paraId="55D66933" w14:textId="11058AE4" w:rsidR="002611F4" w:rsidRPr="00BA7A6B" w:rsidRDefault="002611F4" w:rsidP="002611F4">
            <w:pPr>
              <w:jc w:val="right"/>
              <w:rPr>
                <w:rFonts w:ascii="Arial" w:hAnsi="Arial" w:cs="Arial"/>
                <w:color w:val="000000"/>
                <w:sz w:val="14"/>
                <w:szCs w:val="14"/>
                <w:lang w:eastAsia="es-AR"/>
              </w:rPr>
            </w:pPr>
            <w:r w:rsidRPr="00BA7A6B">
              <w:rPr>
                <w:rFonts w:ascii="Arial" w:hAnsi="Arial" w:cs="Arial"/>
                <w:color w:val="000000"/>
                <w:sz w:val="14"/>
                <w:szCs w:val="14"/>
              </w:rPr>
              <w:t>-</w:t>
            </w:r>
          </w:p>
        </w:tc>
        <w:tc>
          <w:tcPr>
            <w:tcW w:w="927" w:type="dxa"/>
            <w:tcBorders>
              <w:top w:val="nil"/>
              <w:left w:val="nil"/>
              <w:bottom w:val="single" w:sz="4" w:space="0" w:color="auto"/>
              <w:right w:val="single" w:sz="4" w:space="0" w:color="auto"/>
            </w:tcBorders>
            <w:shd w:val="clear" w:color="auto" w:fill="auto"/>
            <w:noWrap/>
            <w:vAlign w:val="center"/>
            <w:hideMark/>
          </w:tcPr>
          <w:p w14:paraId="1D8EBB32" w14:textId="5D1D21AD" w:rsidR="002611F4" w:rsidRPr="00BA7A6B" w:rsidRDefault="002611F4" w:rsidP="002611F4">
            <w:pPr>
              <w:jc w:val="right"/>
              <w:rPr>
                <w:rFonts w:ascii="Arial" w:hAnsi="Arial" w:cs="Arial"/>
                <w:color w:val="000000"/>
                <w:sz w:val="14"/>
                <w:szCs w:val="14"/>
                <w:lang w:eastAsia="es-AR"/>
              </w:rPr>
            </w:pPr>
            <w:r w:rsidRPr="00BA7A6B">
              <w:rPr>
                <w:rFonts w:ascii="Arial" w:hAnsi="Arial" w:cs="Arial"/>
                <w:color w:val="000000"/>
                <w:sz w:val="14"/>
                <w:szCs w:val="14"/>
              </w:rPr>
              <w:t>-</w:t>
            </w:r>
          </w:p>
        </w:tc>
        <w:tc>
          <w:tcPr>
            <w:tcW w:w="935" w:type="dxa"/>
            <w:tcBorders>
              <w:top w:val="nil"/>
              <w:left w:val="nil"/>
              <w:bottom w:val="single" w:sz="4" w:space="0" w:color="auto"/>
              <w:right w:val="single" w:sz="4" w:space="0" w:color="auto"/>
            </w:tcBorders>
            <w:shd w:val="clear" w:color="auto" w:fill="auto"/>
            <w:noWrap/>
            <w:vAlign w:val="center"/>
            <w:hideMark/>
          </w:tcPr>
          <w:p w14:paraId="07B035B3" w14:textId="3756BABC" w:rsidR="002611F4" w:rsidRPr="00BA7A6B" w:rsidRDefault="00C7614C" w:rsidP="002611F4">
            <w:pPr>
              <w:jc w:val="right"/>
              <w:rPr>
                <w:rFonts w:ascii="Arial" w:hAnsi="Arial" w:cs="Arial"/>
                <w:b/>
                <w:bCs/>
                <w:color w:val="000000"/>
                <w:sz w:val="14"/>
                <w:szCs w:val="14"/>
                <w:lang w:eastAsia="es-AR"/>
              </w:rPr>
            </w:pPr>
            <w:r>
              <w:rPr>
                <w:rFonts w:ascii="Arial" w:hAnsi="Arial" w:cs="Arial"/>
                <w:b/>
                <w:bCs/>
                <w:color w:val="000000"/>
                <w:sz w:val="14"/>
                <w:szCs w:val="14"/>
              </w:rPr>
              <w:t>297.779</w:t>
            </w:r>
          </w:p>
        </w:tc>
      </w:tr>
      <w:tr w:rsidR="00C7614C" w:rsidRPr="00694720" w14:paraId="2EFC9150" w14:textId="77777777" w:rsidTr="002E1AF6">
        <w:trPr>
          <w:trHeight w:val="269"/>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0DD7CEC" w14:textId="77777777" w:rsidR="002611F4" w:rsidRPr="00BA7A6B" w:rsidRDefault="002611F4" w:rsidP="002611F4">
            <w:pPr>
              <w:rPr>
                <w:rFonts w:ascii="Arial" w:hAnsi="Arial" w:cs="Arial"/>
                <w:color w:val="000000"/>
                <w:sz w:val="14"/>
                <w:szCs w:val="14"/>
                <w:lang w:eastAsia="es-AR"/>
              </w:rPr>
            </w:pPr>
            <w:r w:rsidRPr="00BA7A6B">
              <w:rPr>
                <w:rFonts w:ascii="Arial" w:hAnsi="Arial" w:cs="Arial"/>
                <w:color w:val="000000"/>
                <w:sz w:val="14"/>
                <w:szCs w:val="14"/>
                <w:lang w:eastAsia="es-AR"/>
              </w:rPr>
              <w:t>Otros activos intangibles</w:t>
            </w:r>
          </w:p>
        </w:tc>
        <w:tc>
          <w:tcPr>
            <w:tcW w:w="854" w:type="dxa"/>
            <w:tcBorders>
              <w:top w:val="nil"/>
              <w:left w:val="nil"/>
              <w:bottom w:val="single" w:sz="4" w:space="0" w:color="auto"/>
              <w:right w:val="single" w:sz="4" w:space="0" w:color="auto"/>
            </w:tcBorders>
            <w:shd w:val="clear" w:color="auto" w:fill="auto"/>
            <w:noWrap/>
            <w:vAlign w:val="center"/>
            <w:hideMark/>
          </w:tcPr>
          <w:p w14:paraId="4C0E07C8" w14:textId="154680B0" w:rsidR="002611F4" w:rsidRPr="00BA7A6B" w:rsidRDefault="00C7614C" w:rsidP="002611F4">
            <w:pPr>
              <w:jc w:val="right"/>
              <w:rPr>
                <w:rFonts w:ascii="Arial" w:hAnsi="Arial" w:cs="Arial"/>
                <w:b/>
                <w:bCs/>
                <w:color w:val="000000"/>
                <w:sz w:val="14"/>
                <w:szCs w:val="14"/>
              </w:rPr>
            </w:pPr>
            <w:r>
              <w:rPr>
                <w:rFonts w:ascii="Arial" w:hAnsi="Arial" w:cs="Arial"/>
                <w:b/>
                <w:bCs/>
                <w:color w:val="000000"/>
                <w:sz w:val="14"/>
                <w:szCs w:val="14"/>
              </w:rPr>
              <w:t>2.165.145</w:t>
            </w:r>
          </w:p>
        </w:tc>
        <w:tc>
          <w:tcPr>
            <w:tcW w:w="691" w:type="dxa"/>
            <w:tcBorders>
              <w:top w:val="nil"/>
              <w:left w:val="nil"/>
              <w:bottom w:val="single" w:sz="4" w:space="0" w:color="auto"/>
              <w:right w:val="single" w:sz="4" w:space="0" w:color="auto"/>
            </w:tcBorders>
            <w:shd w:val="clear" w:color="auto" w:fill="auto"/>
            <w:noWrap/>
            <w:vAlign w:val="center"/>
            <w:hideMark/>
          </w:tcPr>
          <w:p w14:paraId="514D5747" w14:textId="46E38E78" w:rsidR="002611F4" w:rsidRPr="00BA7A6B" w:rsidRDefault="002611F4" w:rsidP="002611F4">
            <w:pPr>
              <w:jc w:val="center"/>
              <w:rPr>
                <w:rFonts w:ascii="Arial" w:hAnsi="Arial" w:cs="Arial"/>
                <w:b/>
                <w:bCs/>
                <w:color w:val="000000"/>
                <w:sz w:val="14"/>
                <w:szCs w:val="14"/>
              </w:rPr>
            </w:pPr>
            <w:r w:rsidRPr="00BA7A6B">
              <w:rPr>
                <w:rFonts w:ascii="Arial" w:hAnsi="Arial" w:cs="Arial"/>
                <w:color w:val="000000"/>
                <w:sz w:val="14"/>
                <w:szCs w:val="14"/>
              </w:rPr>
              <w:t>3</w:t>
            </w:r>
          </w:p>
        </w:tc>
        <w:tc>
          <w:tcPr>
            <w:tcW w:w="792" w:type="dxa"/>
            <w:tcBorders>
              <w:top w:val="nil"/>
              <w:left w:val="nil"/>
              <w:bottom w:val="single" w:sz="4" w:space="0" w:color="auto"/>
              <w:right w:val="single" w:sz="4" w:space="0" w:color="auto"/>
            </w:tcBorders>
            <w:shd w:val="clear" w:color="auto" w:fill="auto"/>
            <w:noWrap/>
            <w:vAlign w:val="center"/>
            <w:hideMark/>
          </w:tcPr>
          <w:p w14:paraId="1F1A1902" w14:textId="4CC390DD" w:rsidR="002611F4" w:rsidRPr="00BA7A6B" w:rsidRDefault="00C7614C" w:rsidP="002611F4">
            <w:pPr>
              <w:jc w:val="right"/>
              <w:rPr>
                <w:rFonts w:ascii="Arial" w:hAnsi="Arial" w:cs="Arial"/>
                <w:b/>
                <w:bCs/>
                <w:color w:val="000000"/>
                <w:sz w:val="14"/>
                <w:szCs w:val="14"/>
              </w:rPr>
            </w:pPr>
            <w:r>
              <w:rPr>
                <w:rFonts w:ascii="Arial" w:hAnsi="Arial" w:cs="Arial"/>
                <w:color w:val="000000"/>
                <w:sz w:val="14"/>
                <w:szCs w:val="14"/>
              </w:rPr>
              <w:t>60.766</w:t>
            </w:r>
          </w:p>
        </w:tc>
        <w:tc>
          <w:tcPr>
            <w:tcW w:w="547" w:type="dxa"/>
            <w:tcBorders>
              <w:top w:val="nil"/>
              <w:left w:val="nil"/>
              <w:bottom w:val="single" w:sz="4" w:space="0" w:color="auto"/>
              <w:right w:val="single" w:sz="4" w:space="0" w:color="auto"/>
            </w:tcBorders>
            <w:shd w:val="clear" w:color="auto" w:fill="auto"/>
            <w:noWrap/>
            <w:vAlign w:val="center"/>
            <w:hideMark/>
          </w:tcPr>
          <w:p w14:paraId="473E2FE0" w14:textId="05995F95" w:rsidR="002611F4" w:rsidRPr="00BA7A6B" w:rsidRDefault="002611F4" w:rsidP="002611F4">
            <w:pPr>
              <w:jc w:val="right"/>
              <w:rPr>
                <w:rFonts w:ascii="Arial" w:hAnsi="Arial" w:cs="Arial"/>
                <w:b/>
                <w:bCs/>
                <w:color w:val="000000"/>
                <w:sz w:val="14"/>
                <w:szCs w:val="14"/>
              </w:rPr>
            </w:pPr>
            <w:r w:rsidRPr="00BA7A6B">
              <w:rPr>
                <w:rFonts w:ascii="Arial" w:hAnsi="Arial" w:cs="Arial"/>
                <w:color w:val="000000"/>
                <w:sz w:val="14"/>
                <w:szCs w:val="14"/>
              </w:rPr>
              <w:t>-</w:t>
            </w:r>
            <w:r w:rsidR="00C7614C">
              <w:rPr>
                <w:rFonts w:ascii="Arial" w:hAnsi="Arial" w:cs="Arial"/>
                <w:color w:val="000000"/>
                <w:sz w:val="14"/>
                <w:szCs w:val="14"/>
              </w:rPr>
              <w:t>4.553</w:t>
            </w:r>
          </w:p>
        </w:tc>
        <w:tc>
          <w:tcPr>
            <w:tcW w:w="927" w:type="dxa"/>
            <w:tcBorders>
              <w:top w:val="nil"/>
              <w:left w:val="nil"/>
              <w:bottom w:val="single" w:sz="4" w:space="0" w:color="auto"/>
              <w:right w:val="single" w:sz="4" w:space="0" w:color="auto"/>
            </w:tcBorders>
            <w:shd w:val="clear" w:color="auto" w:fill="auto"/>
            <w:noWrap/>
            <w:vAlign w:val="center"/>
            <w:hideMark/>
          </w:tcPr>
          <w:p w14:paraId="37BF8F86" w14:textId="67F47CD1" w:rsidR="002611F4" w:rsidRPr="00BA7A6B" w:rsidRDefault="002611F4" w:rsidP="002611F4">
            <w:pPr>
              <w:jc w:val="right"/>
              <w:rPr>
                <w:rFonts w:ascii="Arial" w:hAnsi="Arial" w:cs="Arial"/>
                <w:b/>
                <w:bCs/>
                <w:color w:val="000000"/>
                <w:sz w:val="14"/>
                <w:szCs w:val="14"/>
              </w:rPr>
            </w:pPr>
            <w:r w:rsidRPr="00BA7A6B">
              <w:rPr>
                <w:rFonts w:ascii="Arial" w:hAnsi="Arial" w:cs="Arial"/>
                <w:color w:val="000000"/>
                <w:sz w:val="14"/>
                <w:szCs w:val="14"/>
              </w:rPr>
              <w:t>-</w:t>
            </w:r>
            <w:r w:rsidR="00C7614C">
              <w:rPr>
                <w:rFonts w:ascii="Arial" w:hAnsi="Arial" w:cs="Arial"/>
                <w:color w:val="000000"/>
                <w:sz w:val="14"/>
                <w:szCs w:val="14"/>
              </w:rPr>
              <w:t>1.122.026</w:t>
            </w:r>
          </w:p>
        </w:tc>
        <w:tc>
          <w:tcPr>
            <w:tcW w:w="628" w:type="dxa"/>
            <w:tcBorders>
              <w:top w:val="nil"/>
              <w:left w:val="nil"/>
              <w:bottom w:val="single" w:sz="4" w:space="0" w:color="auto"/>
              <w:right w:val="single" w:sz="4" w:space="0" w:color="auto"/>
            </w:tcBorders>
            <w:shd w:val="clear" w:color="auto" w:fill="auto"/>
            <w:noWrap/>
            <w:vAlign w:val="center"/>
            <w:hideMark/>
          </w:tcPr>
          <w:p w14:paraId="4AF1D7C7" w14:textId="296545C7" w:rsidR="002611F4" w:rsidRPr="00BA7A6B" w:rsidRDefault="00C7614C" w:rsidP="002611F4">
            <w:pPr>
              <w:jc w:val="right"/>
              <w:rPr>
                <w:rFonts w:ascii="Arial" w:hAnsi="Arial" w:cs="Arial"/>
                <w:b/>
                <w:bCs/>
                <w:color w:val="000000"/>
                <w:sz w:val="14"/>
                <w:szCs w:val="14"/>
              </w:rPr>
            </w:pPr>
            <w:r>
              <w:rPr>
                <w:rFonts w:ascii="Arial" w:hAnsi="Arial" w:cs="Arial"/>
                <w:color w:val="000000"/>
                <w:sz w:val="14"/>
                <w:szCs w:val="14"/>
              </w:rPr>
              <w:t>-</w:t>
            </w:r>
          </w:p>
        </w:tc>
        <w:tc>
          <w:tcPr>
            <w:tcW w:w="792" w:type="dxa"/>
            <w:tcBorders>
              <w:top w:val="nil"/>
              <w:left w:val="nil"/>
              <w:bottom w:val="single" w:sz="4" w:space="0" w:color="auto"/>
              <w:right w:val="single" w:sz="4" w:space="0" w:color="auto"/>
            </w:tcBorders>
            <w:shd w:val="clear" w:color="auto" w:fill="auto"/>
            <w:noWrap/>
            <w:vAlign w:val="center"/>
            <w:hideMark/>
          </w:tcPr>
          <w:p w14:paraId="3AEFCDCD" w14:textId="0D246352" w:rsidR="002611F4" w:rsidRPr="00BA7A6B" w:rsidRDefault="002611F4" w:rsidP="002611F4">
            <w:pPr>
              <w:jc w:val="right"/>
              <w:rPr>
                <w:rFonts w:ascii="Arial" w:hAnsi="Arial" w:cs="Arial"/>
                <w:b/>
                <w:bCs/>
                <w:color w:val="000000"/>
                <w:sz w:val="14"/>
                <w:szCs w:val="14"/>
              </w:rPr>
            </w:pPr>
            <w:r w:rsidRPr="00BA7A6B">
              <w:rPr>
                <w:rFonts w:ascii="Arial" w:hAnsi="Arial" w:cs="Arial"/>
                <w:color w:val="000000"/>
                <w:sz w:val="14"/>
                <w:szCs w:val="14"/>
              </w:rPr>
              <w:t>-1</w:t>
            </w:r>
            <w:r w:rsidR="00C7614C">
              <w:rPr>
                <w:rFonts w:ascii="Arial" w:hAnsi="Arial" w:cs="Arial"/>
                <w:color w:val="000000"/>
                <w:sz w:val="14"/>
                <w:szCs w:val="14"/>
              </w:rPr>
              <w:t>31.322</w:t>
            </w:r>
          </w:p>
        </w:tc>
        <w:tc>
          <w:tcPr>
            <w:tcW w:w="927" w:type="dxa"/>
            <w:tcBorders>
              <w:top w:val="nil"/>
              <w:left w:val="nil"/>
              <w:bottom w:val="single" w:sz="4" w:space="0" w:color="auto"/>
              <w:right w:val="single" w:sz="4" w:space="0" w:color="auto"/>
            </w:tcBorders>
            <w:shd w:val="clear" w:color="auto" w:fill="auto"/>
            <w:noWrap/>
            <w:vAlign w:val="center"/>
            <w:hideMark/>
          </w:tcPr>
          <w:p w14:paraId="1CB70984" w14:textId="48030858" w:rsidR="002611F4" w:rsidRPr="00BA7A6B" w:rsidRDefault="002611F4" w:rsidP="002611F4">
            <w:pPr>
              <w:jc w:val="right"/>
              <w:rPr>
                <w:rFonts w:ascii="Arial" w:hAnsi="Arial" w:cs="Arial"/>
                <w:b/>
                <w:bCs/>
                <w:color w:val="000000"/>
                <w:sz w:val="14"/>
                <w:szCs w:val="14"/>
              </w:rPr>
            </w:pPr>
            <w:r w:rsidRPr="00BA7A6B">
              <w:rPr>
                <w:rFonts w:ascii="Arial" w:hAnsi="Arial" w:cs="Arial"/>
                <w:color w:val="000000"/>
                <w:sz w:val="14"/>
                <w:szCs w:val="14"/>
              </w:rPr>
              <w:t>-</w:t>
            </w:r>
            <w:r w:rsidR="00C7614C">
              <w:rPr>
                <w:rFonts w:ascii="Arial" w:hAnsi="Arial" w:cs="Arial"/>
                <w:color w:val="000000"/>
                <w:sz w:val="14"/>
                <w:szCs w:val="14"/>
              </w:rPr>
              <w:t>1.253.348</w:t>
            </w:r>
          </w:p>
        </w:tc>
        <w:tc>
          <w:tcPr>
            <w:tcW w:w="935" w:type="dxa"/>
            <w:tcBorders>
              <w:top w:val="nil"/>
              <w:left w:val="nil"/>
              <w:bottom w:val="single" w:sz="4" w:space="0" w:color="auto"/>
              <w:right w:val="single" w:sz="4" w:space="0" w:color="auto"/>
            </w:tcBorders>
            <w:shd w:val="clear" w:color="auto" w:fill="auto"/>
            <w:noWrap/>
            <w:vAlign w:val="center"/>
            <w:hideMark/>
          </w:tcPr>
          <w:p w14:paraId="34F4D0D7" w14:textId="376403B7" w:rsidR="002611F4" w:rsidRPr="00BA7A6B" w:rsidRDefault="00C7614C" w:rsidP="002611F4">
            <w:pPr>
              <w:jc w:val="right"/>
              <w:rPr>
                <w:rFonts w:ascii="Arial" w:hAnsi="Arial" w:cs="Arial"/>
                <w:b/>
                <w:bCs/>
                <w:color w:val="000000"/>
                <w:sz w:val="14"/>
                <w:szCs w:val="14"/>
                <w:lang w:eastAsia="es-AR"/>
              </w:rPr>
            </w:pPr>
            <w:r>
              <w:rPr>
                <w:rFonts w:ascii="Arial" w:hAnsi="Arial" w:cs="Arial"/>
                <w:b/>
                <w:bCs/>
                <w:color w:val="000000"/>
                <w:sz w:val="14"/>
                <w:szCs w:val="14"/>
              </w:rPr>
              <w:t>968.010</w:t>
            </w:r>
          </w:p>
        </w:tc>
      </w:tr>
      <w:tr w:rsidR="00C7614C" w:rsidRPr="00D16E38" w14:paraId="3E040CE5" w14:textId="77777777" w:rsidTr="002E1AF6">
        <w:trPr>
          <w:trHeight w:val="269"/>
        </w:trPr>
        <w:tc>
          <w:tcPr>
            <w:tcW w:w="1551" w:type="dxa"/>
            <w:tcBorders>
              <w:top w:val="nil"/>
              <w:left w:val="single" w:sz="4" w:space="0" w:color="auto"/>
              <w:bottom w:val="single" w:sz="4" w:space="0" w:color="auto"/>
              <w:right w:val="single" w:sz="4" w:space="0" w:color="auto"/>
            </w:tcBorders>
            <w:shd w:val="clear" w:color="auto" w:fill="auto"/>
            <w:vAlign w:val="center"/>
            <w:hideMark/>
          </w:tcPr>
          <w:p w14:paraId="2A5F6F4C" w14:textId="77777777" w:rsidR="002611F4" w:rsidRPr="00BA7A6B" w:rsidRDefault="002611F4" w:rsidP="002611F4">
            <w:pPr>
              <w:rPr>
                <w:rFonts w:ascii="Arial" w:hAnsi="Arial" w:cs="Arial"/>
                <w:b/>
                <w:bCs/>
                <w:color w:val="000000"/>
                <w:sz w:val="14"/>
                <w:szCs w:val="14"/>
                <w:lang w:eastAsia="es-AR"/>
              </w:rPr>
            </w:pPr>
            <w:r w:rsidRPr="00BA7A6B">
              <w:rPr>
                <w:rFonts w:ascii="Arial" w:hAnsi="Arial" w:cs="Arial"/>
                <w:b/>
                <w:bCs/>
                <w:color w:val="000000"/>
                <w:sz w:val="14"/>
                <w:szCs w:val="14"/>
                <w:lang w:eastAsia="es-AR"/>
              </w:rPr>
              <w:t>TOTAL ACTIVOS INTANGIBLES</w:t>
            </w:r>
          </w:p>
        </w:tc>
        <w:tc>
          <w:tcPr>
            <w:tcW w:w="854" w:type="dxa"/>
            <w:tcBorders>
              <w:top w:val="nil"/>
              <w:left w:val="nil"/>
              <w:bottom w:val="single" w:sz="4" w:space="0" w:color="auto"/>
              <w:right w:val="single" w:sz="4" w:space="0" w:color="auto"/>
            </w:tcBorders>
            <w:shd w:val="clear" w:color="auto" w:fill="auto"/>
            <w:noWrap/>
            <w:vAlign w:val="center"/>
            <w:hideMark/>
          </w:tcPr>
          <w:p w14:paraId="2A3D8A28" w14:textId="12EF64F7" w:rsidR="002611F4" w:rsidRPr="00BA7A6B" w:rsidRDefault="00C7614C" w:rsidP="002611F4">
            <w:pPr>
              <w:jc w:val="right"/>
              <w:rPr>
                <w:rFonts w:ascii="Arial" w:hAnsi="Arial" w:cs="Arial"/>
                <w:b/>
                <w:bCs/>
                <w:color w:val="000000"/>
                <w:sz w:val="14"/>
                <w:szCs w:val="14"/>
              </w:rPr>
            </w:pPr>
            <w:r>
              <w:rPr>
                <w:rFonts w:ascii="Arial" w:hAnsi="Arial" w:cs="Arial"/>
                <w:b/>
                <w:bCs/>
                <w:color w:val="000000"/>
                <w:sz w:val="14"/>
                <w:szCs w:val="14"/>
              </w:rPr>
              <w:t>2.462.924</w:t>
            </w:r>
          </w:p>
        </w:tc>
        <w:tc>
          <w:tcPr>
            <w:tcW w:w="691" w:type="dxa"/>
            <w:tcBorders>
              <w:top w:val="nil"/>
              <w:left w:val="nil"/>
              <w:bottom w:val="single" w:sz="4" w:space="0" w:color="auto"/>
              <w:right w:val="single" w:sz="4" w:space="0" w:color="auto"/>
            </w:tcBorders>
            <w:shd w:val="clear" w:color="auto" w:fill="auto"/>
            <w:vAlign w:val="center"/>
            <w:hideMark/>
          </w:tcPr>
          <w:p w14:paraId="15E9E851" w14:textId="45807916" w:rsidR="002611F4" w:rsidRPr="00BA7A6B" w:rsidRDefault="002611F4" w:rsidP="002611F4">
            <w:pPr>
              <w:jc w:val="right"/>
              <w:rPr>
                <w:rFonts w:ascii="Arial" w:hAnsi="Arial" w:cs="Arial"/>
                <w:b/>
                <w:bCs/>
                <w:color w:val="000000"/>
                <w:sz w:val="14"/>
                <w:szCs w:val="14"/>
              </w:rPr>
            </w:pPr>
          </w:p>
        </w:tc>
        <w:tc>
          <w:tcPr>
            <w:tcW w:w="792" w:type="dxa"/>
            <w:tcBorders>
              <w:top w:val="nil"/>
              <w:left w:val="nil"/>
              <w:bottom w:val="single" w:sz="4" w:space="0" w:color="auto"/>
              <w:right w:val="single" w:sz="4" w:space="0" w:color="auto"/>
            </w:tcBorders>
            <w:shd w:val="clear" w:color="auto" w:fill="auto"/>
            <w:noWrap/>
            <w:vAlign w:val="center"/>
            <w:hideMark/>
          </w:tcPr>
          <w:p w14:paraId="49821F5A" w14:textId="05011746" w:rsidR="002611F4" w:rsidRPr="00BA7A6B" w:rsidRDefault="00C7614C" w:rsidP="002611F4">
            <w:pPr>
              <w:jc w:val="right"/>
              <w:rPr>
                <w:rFonts w:ascii="Arial" w:hAnsi="Arial" w:cs="Arial"/>
                <w:b/>
                <w:bCs/>
                <w:color w:val="000000"/>
                <w:sz w:val="14"/>
                <w:szCs w:val="14"/>
              </w:rPr>
            </w:pPr>
            <w:r>
              <w:rPr>
                <w:rFonts w:ascii="Arial" w:hAnsi="Arial" w:cs="Arial"/>
                <w:b/>
                <w:bCs/>
                <w:color w:val="000000"/>
                <w:sz w:val="14"/>
                <w:szCs w:val="14"/>
              </w:rPr>
              <w:t>60.766</w:t>
            </w:r>
          </w:p>
        </w:tc>
        <w:tc>
          <w:tcPr>
            <w:tcW w:w="547" w:type="dxa"/>
            <w:tcBorders>
              <w:top w:val="nil"/>
              <w:left w:val="nil"/>
              <w:bottom w:val="single" w:sz="4" w:space="0" w:color="auto"/>
              <w:right w:val="single" w:sz="4" w:space="0" w:color="auto"/>
            </w:tcBorders>
            <w:shd w:val="clear" w:color="auto" w:fill="auto"/>
            <w:noWrap/>
            <w:vAlign w:val="center"/>
            <w:hideMark/>
          </w:tcPr>
          <w:p w14:paraId="1FF994D1" w14:textId="15E68D1B" w:rsidR="002611F4" w:rsidRPr="00BA7A6B" w:rsidRDefault="002611F4" w:rsidP="002611F4">
            <w:pPr>
              <w:jc w:val="right"/>
              <w:rPr>
                <w:rFonts w:ascii="Arial" w:hAnsi="Arial" w:cs="Arial"/>
                <w:b/>
                <w:bCs/>
                <w:color w:val="000000"/>
                <w:sz w:val="14"/>
                <w:szCs w:val="14"/>
              </w:rPr>
            </w:pPr>
            <w:r w:rsidRPr="00BA7A6B">
              <w:rPr>
                <w:rFonts w:ascii="Arial" w:hAnsi="Arial" w:cs="Arial"/>
                <w:b/>
                <w:bCs/>
                <w:color w:val="000000"/>
                <w:sz w:val="14"/>
                <w:szCs w:val="14"/>
              </w:rPr>
              <w:t>-</w:t>
            </w:r>
            <w:r w:rsidR="00C7614C">
              <w:rPr>
                <w:rFonts w:ascii="Arial" w:hAnsi="Arial" w:cs="Arial"/>
                <w:b/>
                <w:bCs/>
                <w:color w:val="000000"/>
                <w:sz w:val="14"/>
                <w:szCs w:val="14"/>
              </w:rPr>
              <w:t>4.553</w:t>
            </w:r>
          </w:p>
        </w:tc>
        <w:tc>
          <w:tcPr>
            <w:tcW w:w="927" w:type="dxa"/>
            <w:tcBorders>
              <w:top w:val="nil"/>
              <w:left w:val="nil"/>
              <w:bottom w:val="single" w:sz="4" w:space="0" w:color="auto"/>
              <w:right w:val="single" w:sz="4" w:space="0" w:color="auto"/>
            </w:tcBorders>
            <w:shd w:val="clear" w:color="auto" w:fill="auto"/>
            <w:noWrap/>
            <w:vAlign w:val="center"/>
            <w:hideMark/>
          </w:tcPr>
          <w:p w14:paraId="44CED697" w14:textId="48C012E2" w:rsidR="002611F4" w:rsidRPr="00BA7A6B" w:rsidRDefault="002611F4" w:rsidP="002611F4">
            <w:pPr>
              <w:jc w:val="right"/>
              <w:rPr>
                <w:rFonts w:ascii="Arial" w:hAnsi="Arial" w:cs="Arial"/>
                <w:b/>
                <w:bCs/>
                <w:color w:val="000000"/>
                <w:sz w:val="14"/>
                <w:szCs w:val="14"/>
              </w:rPr>
            </w:pPr>
            <w:r w:rsidRPr="00BA7A6B">
              <w:rPr>
                <w:rFonts w:ascii="Arial" w:hAnsi="Arial" w:cs="Arial"/>
                <w:b/>
                <w:bCs/>
                <w:color w:val="000000"/>
                <w:sz w:val="14"/>
                <w:szCs w:val="14"/>
              </w:rPr>
              <w:t>-</w:t>
            </w:r>
            <w:r w:rsidR="00C7614C">
              <w:rPr>
                <w:rFonts w:ascii="Arial" w:hAnsi="Arial" w:cs="Arial"/>
                <w:b/>
                <w:bCs/>
                <w:color w:val="000000"/>
                <w:sz w:val="14"/>
                <w:szCs w:val="14"/>
              </w:rPr>
              <w:t>1.122.026</w:t>
            </w:r>
          </w:p>
        </w:tc>
        <w:tc>
          <w:tcPr>
            <w:tcW w:w="628" w:type="dxa"/>
            <w:tcBorders>
              <w:top w:val="nil"/>
              <w:left w:val="nil"/>
              <w:bottom w:val="single" w:sz="4" w:space="0" w:color="auto"/>
              <w:right w:val="single" w:sz="4" w:space="0" w:color="auto"/>
            </w:tcBorders>
            <w:shd w:val="clear" w:color="auto" w:fill="auto"/>
            <w:noWrap/>
            <w:vAlign w:val="center"/>
            <w:hideMark/>
          </w:tcPr>
          <w:p w14:paraId="4E0B2F54" w14:textId="0BA14C49" w:rsidR="002611F4" w:rsidRPr="00BA7A6B" w:rsidRDefault="00C7614C" w:rsidP="002611F4">
            <w:pPr>
              <w:jc w:val="right"/>
              <w:rPr>
                <w:rFonts w:ascii="Arial" w:hAnsi="Arial" w:cs="Arial"/>
                <w:b/>
                <w:bCs/>
                <w:color w:val="000000"/>
                <w:sz w:val="14"/>
                <w:szCs w:val="14"/>
              </w:rPr>
            </w:pPr>
            <w:r>
              <w:rPr>
                <w:rFonts w:ascii="Arial" w:hAnsi="Arial" w:cs="Arial"/>
                <w:b/>
                <w:bCs/>
                <w:color w:val="000000"/>
                <w:sz w:val="14"/>
                <w:szCs w:val="14"/>
              </w:rPr>
              <w:t>-</w:t>
            </w:r>
          </w:p>
        </w:tc>
        <w:tc>
          <w:tcPr>
            <w:tcW w:w="792" w:type="dxa"/>
            <w:tcBorders>
              <w:top w:val="nil"/>
              <w:left w:val="nil"/>
              <w:bottom w:val="single" w:sz="4" w:space="0" w:color="auto"/>
              <w:right w:val="single" w:sz="4" w:space="0" w:color="auto"/>
            </w:tcBorders>
            <w:shd w:val="clear" w:color="auto" w:fill="auto"/>
            <w:noWrap/>
            <w:vAlign w:val="center"/>
            <w:hideMark/>
          </w:tcPr>
          <w:p w14:paraId="1E238681" w14:textId="45F83A60" w:rsidR="002611F4" w:rsidRPr="00BA7A6B" w:rsidRDefault="002611F4" w:rsidP="002611F4">
            <w:pPr>
              <w:jc w:val="right"/>
              <w:rPr>
                <w:rFonts w:ascii="Arial" w:hAnsi="Arial" w:cs="Arial"/>
                <w:b/>
                <w:bCs/>
                <w:color w:val="000000"/>
                <w:sz w:val="14"/>
                <w:szCs w:val="14"/>
              </w:rPr>
            </w:pPr>
            <w:r w:rsidRPr="00BA7A6B">
              <w:rPr>
                <w:rFonts w:ascii="Arial" w:hAnsi="Arial" w:cs="Arial"/>
                <w:b/>
                <w:bCs/>
                <w:color w:val="000000"/>
                <w:sz w:val="14"/>
                <w:szCs w:val="14"/>
              </w:rPr>
              <w:t>-1</w:t>
            </w:r>
            <w:r w:rsidR="00C7614C">
              <w:rPr>
                <w:rFonts w:ascii="Arial" w:hAnsi="Arial" w:cs="Arial"/>
                <w:b/>
                <w:bCs/>
                <w:color w:val="000000"/>
                <w:sz w:val="14"/>
                <w:szCs w:val="14"/>
              </w:rPr>
              <w:t>31.322</w:t>
            </w:r>
          </w:p>
        </w:tc>
        <w:tc>
          <w:tcPr>
            <w:tcW w:w="927" w:type="dxa"/>
            <w:tcBorders>
              <w:top w:val="nil"/>
              <w:left w:val="nil"/>
              <w:bottom w:val="single" w:sz="4" w:space="0" w:color="auto"/>
              <w:right w:val="single" w:sz="4" w:space="0" w:color="auto"/>
            </w:tcBorders>
            <w:shd w:val="clear" w:color="auto" w:fill="auto"/>
            <w:noWrap/>
            <w:vAlign w:val="center"/>
            <w:hideMark/>
          </w:tcPr>
          <w:p w14:paraId="53EBC64C" w14:textId="5EE45502" w:rsidR="002611F4" w:rsidRPr="00BA7A6B" w:rsidRDefault="002611F4" w:rsidP="002611F4">
            <w:pPr>
              <w:jc w:val="right"/>
              <w:rPr>
                <w:rFonts w:ascii="Arial" w:hAnsi="Arial" w:cs="Arial"/>
                <w:b/>
                <w:bCs/>
                <w:color w:val="000000"/>
                <w:sz w:val="14"/>
                <w:szCs w:val="14"/>
              </w:rPr>
            </w:pPr>
            <w:r w:rsidRPr="00BA7A6B">
              <w:rPr>
                <w:rFonts w:ascii="Arial" w:hAnsi="Arial" w:cs="Arial"/>
                <w:b/>
                <w:bCs/>
                <w:color w:val="000000"/>
                <w:sz w:val="14"/>
                <w:szCs w:val="14"/>
              </w:rPr>
              <w:t>-</w:t>
            </w:r>
            <w:r w:rsidR="00C7614C">
              <w:rPr>
                <w:rFonts w:ascii="Arial" w:hAnsi="Arial" w:cs="Arial"/>
                <w:b/>
                <w:bCs/>
                <w:color w:val="000000"/>
                <w:sz w:val="14"/>
                <w:szCs w:val="14"/>
              </w:rPr>
              <w:t>1.253.348</w:t>
            </w:r>
          </w:p>
        </w:tc>
        <w:tc>
          <w:tcPr>
            <w:tcW w:w="935" w:type="dxa"/>
            <w:tcBorders>
              <w:top w:val="nil"/>
              <w:left w:val="nil"/>
              <w:bottom w:val="single" w:sz="4" w:space="0" w:color="auto"/>
              <w:right w:val="single" w:sz="4" w:space="0" w:color="auto"/>
            </w:tcBorders>
            <w:shd w:val="clear" w:color="auto" w:fill="auto"/>
            <w:noWrap/>
            <w:vAlign w:val="center"/>
            <w:hideMark/>
          </w:tcPr>
          <w:p w14:paraId="17233DBC" w14:textId="2D18895C" w:rsidR="002611F4" w:rsidRPr="00D16E38" w:rsidRDefault="00C7614C" w:rsidP="002611F4">
            <w:pPr>
              <w:jc w:val="right"/>
              <w:rPr>
                <w:rFonts w:ascii="Arial" w:hAnsi="Arial" w:cs="Arial"/>
                <w:b/>
                <w:bCs/>
                <w:color w:val="000000"/>
                <w:sz w:val="14"/>
                <w:szCs w:val="14"/>
              </w:rPr>
            </w:pPr>
            <w:r>
              <w:rPr>
                <w:rFonts w:ascii="Arial" w:hAnsi="Arial" w:cs="Arial"/>
                <w:b/>
                <w:bCs/>
                <w:color w:val="000000"/>
                <w:sz w:val="14"/>
                <w:szCs w:val="14"/>
              </w:rPr>
              <w:t>1.265.7</w:t>
            </w:r>
            <w:r w:rsidR="0051270D">
              <w:rPr>
                <w:rFonts w:ascii="Arial" w:hAnsi="Arial" w:cs="Arial"/>
                <w:b/>
                <w:bCs/>
                <w:color w:val="000000"/>
                <w:sz w:val="14"/>
                <w:szCs w:val="14"/>
              </w:rPr>
              <w:t>8</w:t>
            </w:r>
            <w:r>
              <w:rPr>
                <w:rFonts w:ascii="Arial" w:hAnsi="Arial" w:cs="Arial"/>
                <w:b/>
                <w:bCs/>
                <w:color w:val="000000"/>
                <w:sz w:val="14"/>
                <w:szCs w:val="14"/>
              </w:rPr>
              <w:t>9</w:t>
            </w:r>
          </w:p>
        </w:tc>
      </w:tr>
    </w:tbl>
    <w:p w14:paraId="16A5740C" w14:textId="77777777" w:rsidR="008D0F76" w:rsidRPr="00534414" w:rsidRDefault="008D0F76" w:rsidP="003E58B4">
      <w:pPr>
        <w:widowControl w:val="0"/>
        <w:autoSpaceDE w:val="0"/>
        <w:autoSpaceDN w:val="0"/>
        <w:adjustRightInd w:val="0"/>
        <w:jc w:val="both"/>
        <w:rPr>
          <w:rFonts w:ascii="Arial" w:hAnsi="Arial" w:cs="Arial"/>
          <w:noProof/>
          <w:sz w:val="20"/>
        </w:rPr>
      </w:pPr>
    </w:p>
    <w:p w14:paraId="392D5771" w14:textId="19FAB76F" w:rsidR="008D0F76" w:rsidRPr="00901250" w:rsidRDefault="008D0F76" w:rsidP="008D0F76">
      <w:pPr>
        <w:widowControl w:val="0"/>
        <w:autoSpaceDE w:val="0"/>
        <w:autoSpaceDN w:val="0"/>
        <w:adjustRightInd w:val="0"/>
        <w:jc w:val="both"/>
        <w:rPr>
          <w:rFonts w:ascii="Arial" w:hAnsi="Arial" w:cs="Arial"/>
          <w:b/>
          <w:caps/>
          <w:noProof/>
          <w:sz w:val="20"/>
        </w:rPr>
      </w:pPr>
      <w:bookmarkStart w:id="32" w:name="_Hlk23172755"/>
      <w:r w:rsidRPr="00901250">
        <w:rPr>
          <w:rFonts w:ascii="Arial" w:hAnsi="Arial" w:cs="Arial"/>
          <w:b/>
          <w:caps/>
          <w:noProof/>
          <w:sz w:val="20"/>
        </w:rPr>
        <w:t>13. Factores de riesgos financieros</w:t>
      </w:r>
    </w:p>
    <w:p w14:paraId="25124FB2" w14:textId="77777777" w:rsidR="008D0F76" w:rsidRPr="00901250" w:rsidRDefault="008D0F76" w:rsidP="008D0F76">
      <w:pPr>
        <w:widowControl w:val="0"/>
        <w:autoSpaceDE w:val="0"/>
        <w:autoSpaceDN w:val="0"/>
        <w:adjustRightInd w:val="0"/>
        <w:jc w:val="both"/>
        <w:rPr>
          <w:rFonts w:ascii="Arial" w:hAnsi="Arial" w:cs="Arial"/>
          <w:noProof/>
          <w:sz w:val="20"/>
        </w:rPr>
      </w:pPr>
    </w:p>
    <w:p w14:paraId="538E5FE5" w14:textId="215A6B56" w:rsidR="007228CD" w:rsidRDefault="00EE7892" w:rsidP="008D0F76">
      <w:pPr>
        <w:widowControl w:val="0"/>
        <w:autoSpaceDE w:val="0"/>
        <w:autoSpaceDN w:val="0"/>
        <w:adjustRightInd w:val="0"/>
        <w:jc w:val="both"/>
        <w:rPr>
          <w:rFonts w:ascii="Arial" w:hAnsi="Arial" w:cs="Arial"/>
          <w:noProof/>
          <w:sz w:val="20"/>
        </w:rPr>
      </w:pPr>
      <w:r w:rsidRPr="00901250">
        <w:rPr>
          <w:rFonts w:ascii="Arial" w:hAnsi="Arial" w:cs="Arial"/>
          <w:noProof/>
          <w:sz w:val="20"/>
        </w:rPr>
        <w:t>No ha habido cambios significativos en las políticas de gestión de los riesgos a los que está expuesto el Banco, respecto de lo informado en los estados financieros al 31 de diciembre de 201</w:t>
      </w:r>
      <w:bookmarkEnd w:id="32"/>
      <w:r w:rsidR="00901250" w:rsidRPr="00901250">
        <w:rPr>
          <w:rFonts w:ascii="Arial" w:hAnsi="Arial" w:cs="Arial"/>
          <w:noProof/>
          <w:sz w:val="20"/>
        </w:rPr>
        <w:t>9</w:t>
      </w:r>
      <w:r w:rsidRPr="00901250">
        <w:rPr>
          <w:rFonts w:ascii="Arial" w:hAnsi="Arial" w:cs="Arial"/>
          <w:noProof/>
          <w:sz w:val="20"/>
        </w:rPr>
        <w:t>.</w:t>
      </w:r>
    </w:p>
    <w:p w14:paraId="5C55A4A8" w14:textId="77777777" w:rsidR="0076627B" w:rsidRDefault="0076627B" w:rsidP="00E23C30">
      <w:pPr>
        <w:widowControl w:val="0"/>
        <w:autoSpaceDE w:val="0"/>
        <w:autoSpaceDN w:val="0"/>
        <w:adjustRightInd w:val="0"/>
        <w:jc w:val="both"/>
        <w:rPr>
          <w:rFonts w:ascii="Arial" w:hAnsi="Arial" w:cs="Arial"/>
          <w:b/>
          <w:noProof/>
          <w:sz w:val="20"/>
        </w:rPr>
      </w:pPr>
    </w:p>
    <w:p w14:paraId="0F3FB227" w14:textId="391100BA" w:rsidR="00E23C30" w:rsidRPr="00F30223" w:rsidRDefault="00E23C30" w:rsidP="00E23C30">
      <w:pPr>
        <w:widowControl w:val="0"/>
        <w:autoSpaceDE w:val="0"/>
        <w:autoSpaceDN w:val="0"/>
        <w:adjustRightInd w:val="0"/>
        <w:jc w:val="both"/>
        <w:rPr>
          <w:rFonts w:ascii="Arial" w:hAnsi="Arial" w:cs="Arial"/>
          <w:b/>
          <w:noProof/>
          <w:sz w:val="20"/>
        </w:rPr>
      </w:pPr>
      <w:r w:rsidRPr="00BA7A6B">
        <w:rPr>
          <w:rFonts w:ascii="Arial" w:hAnsi="Arial" w:cs="Arial"/>
          <w:b/>
          <w:noProof/>
          <w:sz w:val="20"/>
        </w:rPr>
        <w:t>14. CONTRATO COMO AGENTE FINANCIERO POR PARTE DE LA PROVINCIA DE SAN LUIS</w:t>
      </w:r>
    </w:p>
    <w:p w14:paraId="19A24DA0" w14:textId="77777777" w:rsidR="00E23C30" w:rsidRPr="00E23C30" w:rsidRDefault="00E23C30" w:rsidP="00E23C30">
      <w:pPr>
        <w:widowControl w:val="0"/>
        <w:autoSpaceDE w:val="0"/>
        <w:autoSpaceDN w:val="0"/>
        <w:adjustRightInd w:val="0"/>
        <w:jc w:val="both"/>
        <w:rPr>
          <w:rFonts w:ascii="Arial" w:hAnsi="Arial" w:cs="Arial"/>
          <w:noProof/>
          <w:sz w:val="20"/>
        </w:rPr>
      </w:pPr>
    </w:p>
    <w:p w14:paraId="400D27A4" w14:textId="070DD600" w:rsidR="00B805C8" w:rsidRDefault="00F30223" w:rsidP="00B805C8">
      <w:pPr>
        <w:widowControl w:val="0"/>
        <w:autoSpaceDE w:val="0"/>
        <w:autoSpaceDN w:val="0"/>
        <w:adjustRightInd w:val="0"/>
        <w:jc w:val="both"/>
        <w:rPr>
          <w:rFonts w:ascii="Arial" w:hAnsi="Arial" w:cs="Arial"/>
          <w:sz w:val="20"/>
        </w:rPr>
      </w:pPr>
      <w:r w:rsidRPr="00F30223">
        <w:rPr>
          <w:sz w:val="20"/>
        </w:rPr>
        <w:t xml:space="preserve"> </w:t>
      </w:r>
      <w:r w:rsidR="00B805C8" w:rsidRPr="001859C8">
        <w:rPr>
          <w:rFonts w:ascii="Arial" w:hAnsi="Arial" w:cs="Arial"/>
          <w:sz w:val="20"/>
        </w:rPr>
        <w:t>Con fecha 17 de enero de 2017 se recibió una comunicación fehaciente del Ministerio de Hacienda Pública de la Provincia de San Luis mediante la cual se comunica a Banco Supervielle S.A. que a partir del 28 de febrero de 2017 se rescindió el Contrato de Vinculación mediante el cual la Entidad cumple el rol de Agente Financiero de esa provincia. Dicho Ministerio también manifestó que, sin perjuicio del ejercicio del derecho a rescindir el contrato, el Estado Provincial podrá continuar operando con el Banco hasta tanto se seleccione un nuevo agente financiero.</w:t>
      </w:r>
    </w:p>
    <w:p w14:paraId="2446551F" w14:textId="77777777" w:rsidR="00332855" w:rsidRPr="001859C8" w:rsidRDefault="00332855" w:rsidP="00B805C8">
      <w:pPr>
        <w:widowControl w:val="0"/>
        <w:autoSpaceDE w:val="0"/>
        <w:autoSpaceDN w:val="0"/>
        <w:adjustRightInd w:val="0"/>
        <w:jc w:val="both"/>
        <w:rPr>
          <w:rFonts w:ascii="Arial" w:hAnsi="Arial" w:cs="Arial"/>
          <w:sz w:val="20"/>
        </w:rPr>
      </w:pPr>
    </w:p>
    <w:p w14:paraId="53B6902D" w14:textId="77777777" w:rsidR="00B805C8" w:rsidRPr="001859C8" w:rsidRDefault="00B805C8" w:rsidP="00B805C8">
      <w:pPr>
        <w:widowControl w:val="0"/>
        <w:autoSpaceDE w:val="0"/>
        <w:autoSpaceDN w:val="0"/>
        <w:adjustRightInd w:val="0"/>
        <w:jc w:val="both"/>
        <w:rPr>
          <w:rFonts w:ascii="Arial" w:hAnsi="Arial" w:cs="Arial"/>
          <w:sz w:val="20"/>
        </w:rPr>
      </w:pPr>
      <w:r w:rsidRPr="001859C8">
        <w:rPr>
          <w:rFonts w:ascii="Arial" w:hAnsi="Arial" w:cs="Arial"/>
          <w:sz w:val="20"/>
        </w:rPr>
        <w:t>Desde febrero de 2017, el Banco ha continuado brindando servicios financieros al gobierno de la Provincia de San Luis y a sus empleados a pesar de la terminación del acuerdo en febrero de 2017.</w:t>
      </w:r>
    </w:p>
    <w:p w14:paraId="1DC5E0C5" w14:textId="77777777" w:rsidR="00B805C8" w:rsidRPr="001859C8" w:rsidRDefault="00B805C8" w:rsidP="00B805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4B4CB7EA" w14:textId="77777777" w:rsidR="00B805C8" w:rsidRPr="001859C8" w:rsidRDefault="00B805C8" w:rsidP="00B805C8">
      <w:pPr>
        <w:widowControl w:val="0"/>
        <w:autoSpaceDE w:val="0"/>
        <w:autoSpaceDN w:val="0"/>
        <w:adjustRightInd w:val="0"/>
        <w:jc w:val="both"/>
        <w:rPr>
          <w:rFonts w:ascii="Arial" w:hAnsi="Arial" w:cs="Arial"/>
          <w:sz w:val="20"/>
        </w:rPr>
      </w:pPr>
      <w:r w:rsidRPr="001859C8">
        <w:rPr>
          <w:rFonts w:ascii="Arial" w:hAnsi="Arial" w:cs="Arial"/>
          <w:sz w:val="20"/>
        </w:rPr>
        <w:lastRenderedPageBreak/>
        <w:t>El 23 de mayo de 2018, la Municipalidad de la ciudad de San Luis designó al Banco Supervielle como agente financiero por un período de 2 años, con renovación automática por 2 años adicionales, comenzando con el primer pago de sueldos el 29 de junio del año en curso. Con esta designación, el Banco se convirtió en agente financiero de todos los municipios de la Provincia.</w:t>
      </w:r>
    </w:p>
    <w:p w14:paraId="59385762" w14:textId="77777777" w:rsidR="00B805C8" w:rsidRPr="001859C8" w:rsidRDefault="00B805C8" w:rsidP="00B805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00B14B61" w14:textId="62EAA1D3" w:rsidR="00554F71" w:rsidRPr="001859C8" w:rsidRDefault="00554F71" w:rsidP="00B805C8">
      <w:pPr>
        <w:widowControl w:val="0"/>
        <w:autoSpaceDE w:val="0"/>
        <w:autoSpaceDN w:val="0"/>
        <w:adjustRightInd w:val="0"/>
        <w:jc w:val="both"/>
        <w:rPr>
          <w:rFonts w:ascii="Arial" w:hAnsi="Arial" w:cs="Arial"/>
          <w:sz w:val="20"/>
        </w:rPr>
      </w:pPr>
      <w:r w:rsidRPr="00554F71">
        <w:rPr>
          <w:rFonts w:ascii="Arial" w:hAnsi="Arial" w:cs="Arial"/>
          <w:sz w:val="20"/>
        </w:rPr>
        <w:t>El 7 de junio de 2018, la Provincia ratificó el convenio firmado con el Banco por un plazo de 12 meses formalizando su rol de agente de servicios financieros exclusivo que ha continuado ejerciendo desde hace más de 20 años. Dicho convenio ha sido renovado en sucesivas oportunidades y conforme la última renovación firmada, vence el 30 de junio de 2020.</w:t>
      </w:r>
    </w:p>
    <w:p w14:paraId="1D1EE45B" w14:textId="77777777" w:rsidR="00B805C8" w:rsidRPr="001859C8" w:rsidRDefault="00B805C8" w:rsidP="00B805C8">
      <w:pPr>
        <w:widowControl w:val="0"/>
        <w:autoSpaceDE w:val="0"/>
        <w:autoSpaceDN w:val="0"/>
        <w:adjustRightInd w:val="0"/>
        <w:jc w:val="both"/>
        <w:rPr>
          <w:rFonts w:ascii="Arial" w:hAnsi="Arial" w:cs="Arial"/>
          <w:sz w:val="20"/>
        </w:rPr>
      </w:pPr>
    </w:p>
    <w:p w14:paraId="452B49B4" w14:textId="77777777" w:rsidR="00B805C8" w:rsidRPr="006E1AF7" w:rsidRDefault="00B805C8" w:rsidP="00B805C8">
      <w:pPr>
        <w:jc w:val="both"/>
        <w:rPr>
          <w:szCs w:val="24"/>
          <w:lang w:eastAsia="es-ES_tradnl"/>
        </w:rPr>
      </w:pPr>
      <w:r>
        <w:rPr>
          <w:rFonts w:ascii="Arial" w:hAnsi="Arial" w:cs="Arial"/>
          <w:color w:val="000000"/>
          <w:sz w:val="20"/>
          <w:lang w:eastAsia="es-ES_tradnl"/>
        </w:rPr>
        <w:t xml:space="preserve">En enero de 2019, el gobierno de la Provincia de San Luis dio a conocer los términos y condiciones de la subasta que realizará la Provincia para el nuevo acuerdo de agencia financiera. El Banco presentó una oferta el 15 de marzo de 2019. Solamente dos ofertas fueron presentadas. Con fecha 6 de diciembre de 2019, el gobierno de la Provincia de San Luis emitió el Decreto Nro, 8589 que resolvió cerrar la licitación sin adjudicar el acuerdo de agente financiero. </w:t>
      </w:r>
      <w:r w:rsidRPr="001859C8">
        <w:rPr>
          <w:rFonts w:ascii="Arial" w:hAnsi="Arial" w:cs="Arial"/>
          <w:sz w:val="20"/>
        </w:rPr>
        <w:t xml:space="preserve"> </w:t>
      </w:r>
    </w:p>
    <w:p w14:paraId="28B765A5" w14:textId="77777777" w:rsidR="00B805C8" w:rsidRPr="001859C8" w:rsidRDefault="00B805C8" w:rsidP="00B805C8">
      <w:pPr>
        <w:widowControl w:val="0"/>
        <w:autoSpaceDE w:val="0"/>
        <w:autoSpaceDN w:val="0"/>
        <w:adjustRightInd w:val="0"/>
        <w:jc w:val="both"/>
        <w:rPr>
          <w:rFonts w:ascii="Arial" w:hAnsi="Arial" w:cs="Arial"/>
          <w:sz w:val="20"/>
        </w:rPr>
      </w:pPr>
    </w:p>
    <w:p w14:paraId="727AF78A" w14:textId="467EBFE1" w:rsidR="00F74879" w:rsidRDefault="00B805C8" w:rsidP="00B805C8">
      <w:pPr>
        <w:widowControl w:val="0"/>
        <w:autoSpaceDE w:val="0"/>
        <w:autoSpaceDN w:val="0"/>
        <w:adjustRightInd w:val="0"/>
        <w:jc w:val="both"/>
        <w:rPr>
          <w:rFonts w:ascii="Arial" w:hAnsi="Arial" w:cs="Arial"/>
          <w:sz w:val="20"/>
        </w:rPr>
      </w:pPr>
      <w:r w:rsidRPr="001859C8">
        <w:rPr>
          <w:rFonts w:ascii="Arial" w:hAnsi="Arial" w:cs="Arial"/>
          <w:sz w:val="20"/>
        </w:rPr>
        <w:t>A la fecha de los presentes estados financieros, el Banco continúa brindando servicios financieros al gobierno provincial de la Provincia de San Luis y sus empleados.</w:t>
      </w:r>
    </w:p>
    <w:p w14:paraId="251A1E40" w14:textId="77777777" w:rsidR="00B05BE2" w:rsidRDefault="00B05BE2" w:rsidP="00F74879">
      <w:pPr>
        <w:spacing w:after="160" w:line="259" w:lineRule="auto"/>
        <w:jc w:val="both"/>
        <w:rPr>
          <w:rFonts w:ascii="Arial" w:eastAsia="Calibri" w:hAnsi="Arial" w:cs="Arial"/>
          <w:b/>
          <w:sz w:val="20"/>
        </w:rPr>
      </w:pPr>
    </w:p>
    <w:p w14:paraId="74C757F9" w14:textId="2D39FFE1" w:rsidR="00F74879" w:rsidRPr="00701F32" w:rsidRDefault="00F74879" w:rsidP="00F74879">
      <w:pPr>
        <w:spacing w:after="160" w:line="259" w:lineRule="auto"/>
        <w:jc w:val="both"/>
        <w:rPr>
          <w:rFonts w:ascii="Arial" w:eastAsia="Calibri" w:hAnsi="Arial" w:cs="Arial"/>
          <w:b/>
          <w:sz w:val="20"/>
        </w:rPr>
      </w:pPr>
      <w:r w:rsidRPr="00BA7A6B">
        <w:rPr>
          <w:rFonts w:ascii="Arial" w:eastAsia="Calibri" w:hAnsi="Arial" w:cs="Arial"/>
          <w:b/>
          <w:sz w:val="20"/>
        </w:rPr>
        <w:t>15. DETALLE DE PRINCIPALES RUBROS</w:t>
      </w:r>
    </w:p>
    <w:p w14:paraId="1E86F195" w14:textId="7C0EFC08" w:rsidR="00F74879" w:rsidRPr="00701F32" w:rsidRDefault="00F74879" w:rsidP="00F74879">
      <w:pPr>
        <w:spacing w:after="160" w:line="259" w:lineRule="auto"/>
        <w:jc w:val="both"/>
        <w:rPr>
          <w:rFonts w:ascii="Arial" w:eastAsia="Calibri" w:hAnsi="Arial" w:cs="Arial"/>
          <w:sz w:val="20"/>
        </w:rPr>
      </w:pPr>
      <w:r w:rsidRPr="00701F32">
        <w:rPr>
          <w:rFonts w:ascii="Arial" w:eastAsia="Calibri" w:hAnsi="Arial" w:cs="Arial"/>
          <w:sz w:val="20"/>
        </w:rPr>
        <w:t xml:space="preserve">Se expone a continuación el detalle de los principales rubros de </w:t>
      </w:r>
      <w:r>
        <w:rPr>
          <w:rFonts w:ascii="Arial" w:eastAsia="Calibri" w:hAnsi="Arial" w:cs="Arial"/>
          <w:sz w:val="20"/>
        </w:rPr>
        <w:t>resultados</w:t>
      </w:r>
      <w:r w:rsidR="00151C24">
        <w:rPr>
          <w:rFonts w:ascii="Arial" w:eastAsia="Calibri" w:hAnsi="Arial" w:cs="Arial"/>
          <w:sz w:val="20"/>
        </w:rPr>
        <w:t xml:space="preserve"> al 3</w:t>
      </w:r>
      <w:r w:rsidR="00DB5940">
        <w:rPr>
          <w:rFonts w:ascii="Arial" w:eastAsia="Calibri" w:hAnsi="Arial" w:cs="Arial"/>
          <w:sz w:val="20"/>
        </w:rPr>
        <w:t>1</w:t>
      </w:r>
      <w:r w:rsidR="00151C24">
        <w:rPr>
          <w:rFonts w:ascii="Arial" w:eastAsia="Calibri" w:hAnsi="Arial" w:cs="Arial"/>
          <w:sz w:val="20"/>
        </w:rPr>
        <w:t xml:space="preserve"> de </w:t>
      </w:r>
      <w:r w:rsidR="00DB5940">
        <w:rPr>
          <w:rFonts w:ascii="Arial" w:eastAsia="Calibri" w:hAnsi="Arial" w:cs="Arial"/>
          <w:sz w:val="20"/>
        </w:rPr>
        <w:t>marzo</w:t>
      </w:r>
      <w:r w:rsidR="00151C24">
        <w:rPr>
          <w:rFonts w:ascii="Arial" w:eastAsia="Calibri" w:hAnsi="Arial" w:cs="Arial"/>
          <w:sz w:val="20"/>
        </w:rPr>
        <w:t xml:space="preserve"> de 20</w:t>
      </w:r>
      <w:r w:rsidR="00DB5940">
        <w:rPr>
          <w:rFonts w:ascii="Arial" w:eastAsia="Calibri" w:hAnsi="Arial" w:cs="Arial"/>
          <w:sz w:val="20"/>
        </w:rPr>
        <w:t>20</w:t>
      </w:r>
      <w:r w:rsidR="00151C24">
        <w:rPr>
          <w:rFonts w:ascii="Arial" w:eastAsia="Calibri" w:hAnsi="Arial" w:cs="Arial"/>
          <w:sz w:val="20"/>
        </w:rPr>
        <w:t xml:space="preserve"> y 201</w:t>
      </w:r>
      <w:r w:rsidR="00DB5940">
        <w:rPr>
          <w:rFonts w:ascii="Arial" w:eastAsia="Calibri" w:hAnsi="Arial" w:cs="Arial"/>
          <w:sz w:val="20"/>
        </w:rPr>
        <w:t>9</w:t>
      </w:r>
      <w:r w:rsidRPr="00701F32">
        <w:rPr>
          <w:rFonts w:ascii="Arial" w:eastAsia="Calibri" w:hAnsi="Arial" w:cs="Arial"/>
          <w:sz w:val="20"/>
        </w:rPr>
        <w:t>:</w:t>
      </w:r>
    </w:p>
    <w:p w14:paraId="7379EE9E" w14:textId="717269C2" w:rsidR="00151C24" w:rsidRDefault="00151C24" w:rsidP="00151C24">
      <w:pPr>
        <w:rPr>
          <w:rFonts w:ascii="Arial" w:hAnsi="Arial" w:cs="Arial"/>
          <w:bCs/>
          <w:color w:val="000000"/>
          <w:sz w:val="20"/>
          <w:lang w:eastAsia="es-AR"/>
        </w:rPr>
      </w:pPr>
      <w:r>
        <w:rPr>
          <w:rFonts w:ascii="Arial" w:hAnsi="Arial" w:cs="Arial"/>
          <w:bCs/>
          <w:color w:val="000000"/>
          <w:sz w:val="20"/>
          <w:lang w:eastAsia="es-AR"/>
        </w:rPr>
        <w:t>15.1</w:t>
      </w:r>
      <w:r w:rsidRPr="00701F32">
        <w:rPr>
          <w:rFonts w:ascii="Arial" w:hAnsi="Arial" w:cs="Arial"/>
          <w:bCs/>
          <w:color w:val="000000"/>
          <w:sz w:val="20"/>
          <w:lang w:eastAsia="es-AR"/>
        </w:rPr>
        <w:t xml:space="preserve"> </w:t>
      </w:r>
      <w:r>
        <w:rPr>
          <w:rFonts w:ascii="Arial" w:hAnsi="Arial" w:cs="Arial"/>
          <w:bCs/>
          <w:color w:val="000000"/>
          <w:sz w:val="20"/>
          <w:lang w:eastAsia="es-AR"/>
        </w:rPr>
        <w:t>Ingresos por intereses</w:t>
      </w:r>
    </w:p>
    <w:p w14:paraId="7D8D722C" w14:textId="77777777" w:rsidR="00151C24" w:rsidRDefault="00151C24" w:rsidP="00151C24">
      <w:pPr>
        <w:rPr>
          <w:rFonts w:ascii="Arial" w:hAnsi="Arial" w:cs="Arial"/>
          <w:bCs/>
          <w:color w:val="000000"/>
          <w:sz w:val="20"/>
          <w:lang w:eastAsia="es-A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559"/>
        <w:gridCol w:w="1418"/>
      </w:tblGrid>
      <w:tr w:rsidR="00151C24" w:rsidRPr="00701F32" w14:paraId="7E53919B" w14:textId="77777777" w:rsidTr="0084502B">
        <w:trPr>
          <w:trHeight w:val="167"/>
          <w:tblHeader/>
        </w:trPr>
        <w:tc>
          <w:tcPr>
            <w:tcW w:w="5954" w:type="dxa"/>
            <w:shd w:val="clear" w:color="auto" w:fill="auto"/>
          </w:tcPr>
          <w:p w14:paraId="3661F6CC" w14:textId="77777777" w:rsidR="00151C24" w:rsidRPr="002E1AF6" w:rsidRDefault="00151C24" w:rsidP="0084502B">
            <w:pPr>
              <w:tabs>
                <w:tab w:val="decimal" w:pos="284"/>
                <w:tab w:val="decimal" w:pos="6237"/>
                <w:tab w:val="decimal" w:pos="7200"/>
                <w:tab w:val="decimal" w:pos="8220"/>
                <w:tab w:val="decimal" w:pos="8900"/>
              </w:tabs>
              <w:jc w:val="both"/>
              <w:rPr>
                <w:rFonts w:ascii="Arial" w:hAnsi="Arial" w:cs="Arial"/>
                <w:b/>
                <w:sz w:val="18"/>
              </w:rPr>
            </w:pPr>
          </w:p>
        </w:tc>
        <w:tc>
          <w:tcPr>
            <w:tcW w:w="1559" w:type="dxa"/>
          </w:tcPr>
          <w:p w14:paraId="6745D0D7" w14:textId="1D54D207" w:rsidR="00151C24" w:rsidRPr="002E1AF6" w:rsidRDefault="00901250"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31/03/2020</w:t>
            </w:r>
          </w:p>
        </w:tc>
        <w:tc>
          <w:tcPr>
            <w:tcW w:w="1418" w:type="dxa"/>
            <w:shd w:val="clear" w:color="auto" w:fill="auto"/>
            <w:vAlign w:val="center"/>
          </w:tcPr>
          <w:p w14:paraId="7C69B50C" w14:textId="2C4BC896" w:rsidR="00151C24" w:rsidRPr="002E1AF6" w:rsidRDefault="00901250"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31/03/2019</w:t>
            </w:r>
          </w:p>
        </w:tc>
      </w:tr>
      <w:tr w:rsidR="00151C24" w:rsidRPr="00701F32" w14:paraId="31FFF948" w14:textId="77777777" w:rsidTr="0084502B">
        <w:trPr>
          <w:trHeight w:val="270"/>
        </w:trPr>
        <w:tc>
          <w:tcPr>
            <w:tcW w:w="5954" w:type="dxa"/>
          </w:tcPr>
          <w:p w14:paraId="6705D813" w14:textId="77777777" w:rsidR="00151C24" w:rsidRPr="002E1AF6" w:rsidRDefault="00151C24" w:rsidP="0084502B">
            <w:pPr>
              <w:ind w:left="29"/>
              <w:jc w:val="both"/>
              <w:rPr>
                <w:rFonts w:ascii="Arial" w:hAnsi="Arial" w:cs="Arial"/>
                <w:sz w:val="18"/>
              </w:rPr>
            </w:pPr>
            <w:r w:rsidRPr="002E1AF6">
              <w:rPr>
                <w:rFonts w:ascii="Arial" w:hAnsi="Arial" w:cs="Arial"/>
                <w:sz w:val="18"/>
              </w:rPr>
              <w:t>Por efectivo y depósitos en bancos</w:t>
            </w:r>
          </w:p>
        </w:tc>
        <w:tc>
          <w:tcPr>
            <w:tcW w:w="1559" w:type="dxa"/>
          </w:tcPr>
          <w:p w14:paraId="663F38FA" w14:textId="10473BFC" w:rsidR="00151C24" w:rsidRPr="002E1AF6" w:rsidRDefault="002804F4" w:rsidP="0084502B">
            <w:pPr>
              <w:ind w:right="107"/>
              <w:jc w:val="right"/>
              <w:rPr>
                <w:rFonts w:ascii="Arial" w:hAnsi="Arial" w:cs="Arial"/>
                <w:sz w:val="18"/>
              </w:rPr>
            </w:pPr>
            <w:r w:rsidRPr="002E1AF6">
              <w:rPr>
                <w:rFonts w:ascii="Arial" w:hAnsi="Arial" w:cs="Arial"/>
                <w:sz w:val="18"/>
              </w:rPr>
              <w:t>-</w:t>
            </w:r>
          </w:p>
        </w:tc>
        <w:tc>
          <w:tcPr>
            <w:tcW w:w="1418" w:type="dxa"/>
          </w:tcPr>
          <w:p w14:paraId="2279B420" w14:textId="7DDF6039" w:rsidR="00151C24" w:rsidRPr="002E1AF6" w:rsidRDefault="00CD6156" w:rsidP="0084502B">
            <w:pPr>
              <w:ind w:right="107"/>
              <w:jc w:val="right"/>
              <w:rPr>
                <w:rFonts w:ascii="Arial" w:hAnsi="Arial" w:cs="Arial"/>
                <w:sz w:val="18"/>
              </w:rPr>
            </w:pPr>
            <w:r w:rsidRPr="002E1AF6">
              <w:rPr>
                <w:rFonts w:ascii="Arial" w:hAnsi="Arial" w:cs="Arial"/>
                <w:sz w:val="18"/>
              </w:rPr>
              <w:t>1.648</w:t>
            </w:r>
          </w:p>
        </w:tc>
      </w:tr>
      <w:tr w:rsidR="00151C24" w:rsidRPr="00701F32" w14:paraId="70D53225" w14:textId="77777777" w:rsidTr="0084502B">
        <w:trPr>
          <w:trHeight w:val="270"/>
        </w:trPr>
        <w:tc>
          <w:tcPr>
            <w:tcW w:w="5954" w:type="dxa"/>
          </w:tcPr>
          <w:p w14:paraId="440B07D6" w14:textId="77777777" w:rsidR="00151C24" w:rsidRPr="002E1AF6" w:rsidRDefault="00151C24" w:rsidP="0084502B">
            <w:pPr>
              <w:ind w:left="29"/>
              <w:jc w:val="both"/>
              <w:rPr>
                <w:rFonts w:ascii="Arial" w:hAnsi="Arial" w:cs="Arial"/>
                <w:sz w:val="18"/>
              </w:rPr>
            </w:pPr>
            <w:r w:rsidRPr="002E1AF6">
              <w:rPr>
                <w:rFonts w:ascii="Arial" w:hAnsi="Arial" w:cs="Arial"/>
                <w:sz w:val="18"/>
              </w:rPr>
              <w:t>Por títulos públicos y privados</w:t>
            </w:r>
          </w:p>
        </w:tc>
        <w:tc>
          <w:tcPr>
            <w:tcW w:w="1559" w:type="dxa"/>
          </w:tcPr>
          <w:p w14:paraId="76387DEC" w14:textId="1F9F3C41" w:rsidR="00151C24" w:rsidRPr="002E1AF6" w:rsidRDefault="00CD6156" w:rsidP="0084502B">
            <w:pPr>
              <w:ind w:right="107"/>
              <w:jc w:val="right"/>
              <w:rPr>
                <w:rFonts w:ascii="Arial" w:hAnsi="Arial" w:cs="Arial"/>
                <w:sz w:val="18"/>
              </w:rPr>
            </w:pPr>
            <w:r w:rsidRPr="002E1AF6">
              <w:rPr>
                <w:rFonts w:ascii="Arial" w:hAnsi="Arial" w:cs="Arial"/>
                <w:sz w:val="18"/>
              </w:rPr>
              <w:t>3.727.135</w:t>
            </w:r>
          </w:p>
        </w:tc>
        <w:tc>
          <w:tcPr>
            <w:tcW w:w="1418" w:type="dxa"/>
          </w:tcPr>
          <w:p w14:paraId="7043B720" w14:textId="2E1F194A" w:rsidR="00151C24" w:rsidRPr="002E1AF6" w:rsidRDefault="00CD6156" w:rsidP="0084502B">
            <w:pPr>
              <w:ind w:right="107"/>
              <w:jc w:val="right"/>
              <w:rPr>
                <w:rFonts w:ascii="Arial" w:hAnsi="Arial" w:cs="Arial"/>
                <w:sz w:val="18"/>
              </w:rPr>
            </w:pPr>
            <w:r w:rsidRPr="002E1AF6">
              <w:rPr>
                <w:rFonts w:ascii="Arial" w:hAnsi="Arial" w:cs="Arial"/>
                <w:sz w:val="18"/>
              </w:rPr>
              <w:t>432.079</w:t>
            </w:r>
          </w:p>
        </w:tc>
      </w:tr>
      <w:tr w:rsidR="00151C24" w:rsidRPr="00701F32" w14:paraId="7E9CF62C" w14:textId="77777777" w:rsidTr="0084502B">
        <w:trPr>
          <w:trHeight w:val="270"/>
        </w:trPr>
        <w:tc>
          <w:tcPr>
            <w:tcW w:w="5954" w:type="dxa"/>
          </w:tcPr>
          <w:p w14:paraId="3DF1A875" w14:textId="77777777" w:rsidR="00151C24" w:rsidRPr="002E1AF6" w:rsidRDefault="00151C24" w:rsidP="0084502B">
            <w:pPr>
              <w:ind w:left="29"/>
              <w:jc w:val="both"/>
              <w:rPr>
                <w:rFonts w:ascii="Arial" w:hAnsi="Arial" w:cs="Arial"/>
                <w:sz w:val="18"/>
              </w:rPr>
            </w:pPr>
            <w:r w:rsidRPr="002E1AF6">
              <w:rPr>
                <w:rFonts w:ascii="Arial" w:hAnsi="Arial" w:cs="Arial"/>
                <w:sz w:val="18"/>
              </w:rPr>
              <w:t>Por otros activos financieros</w:t>
            </w:r>
          </w:p>
        </w:tc>
        <w:tc>
          <w:tcPr>
            <w:tcW w:w="1559" w:type="dxa"/>
          </w:tcPr>
          <w:p w14:paraId="7AD86372" w14:textId="679CD6F0" w:rsidR="00151C24" w:rsidRPr="002E1AF6" w:rsidRDefault="00CD6156" w:rsidP="0084502B">
            <w:pPr>
              <w:ind w:right="107"/>
              <w:jc w:val="right"/>
              <w:rPr>
                <w:rFonts w:ascii="Arial" w:hAnsi="Arial" w:cs="Arial"/>
                <w:sz w:val="18"/>
              </w:rPr>
            </w:pPr>
            <w:r w:rsidRPr="002E1AF6">
              <w:rPr>
                <w:rFonts w:ascii="Arial" w:hAnsi="Arial" w:cs="Arial"/>
                <w:sz w:val="18"/>
              </w:rPr>
              <w:t>41.224</w:t>
            </w:r>
          </w:p>
        </w:tc>
        <w:tc>
          <w:tcPr>
            <w:tcW w:w="1418" w:type="dxa"/>
          </w:tcPr>
          <w:p w14:paraId="5A6C0F8A" w14:textId="646B2881" w:rsidR="00151C24" w:rsidRPr="002E1AF6" w:rsidRDefault="00CD6156" w:rsidP="0084502B">
            <w:pPr>
              <w:ind w:right="107"/>
              <w:jc w:val="right"/>
              <w:rPr>
                <w:rFonts w:ascii="Arial" w:hAnsi="Arial" w:cs="Arial"/>
                <w:sz w:val="18"/>
              </w:rPr>
            </w:pPr>
            <w:r w:rsidRPr="002E1AF6">
              <w:rPr>
                <w:rFonts w:ascii="Arial" w:hAnsi="Arial" w:cs="Arial"/>
                <w:sz w:val="18"/>
              </w:rPr>
              <w:t>270</w:t>
            </w:r>
          </w:p>
        </w:tc>
      </w:tr>
      <w:tr w:rsidR="00151C24" w:rsidRPr="00701F32" w14:paraId="0F6E5F27" w14:textId="77777777" w:rsidTr="0084502B">
        <w:trPr>
          <w:trHeight w:val="270"/>
        </w:trPr>
        <w:tc>
          <w:tcPr>
            <w:tcW w:w="5954" w:type="dxa"/>
          </w:tcPr>
          <w:p w14:paraId="669CFC67" w14:textId="77777777" w:rsidR="00151C24" w:rsidRPr="002E1AF6" w:rsidRDefault="00151C24" w:rsidP="0084502B">
            <w:pPr>
              <w:ind w:left="29"/>
              <w:jc w:val="both"/>
              <w:rPr>
                <w:rFonts w:ascii="Arial" w:hAnsi="Arial" w:cs="Arial"/>
                <w:sz w:val="18"/>
              </w:rPr>
            </w:pPr>
            <w:r w:rsidRPr="002E1AF6">
              <w:rPr>
                <w:rFonts w:ascii="Arial" w:hAnsi="Arial" w:cs="Arial"/>
                <w:sz w:val="18"/>
              </w:rPr>
              <w:t>Al sector financiero</w:t>
            </w:r>
          </w:p>
        </w:tc>
        <w:tc>
          <w:tcPr>
            <w:tcW w:w="1559" w:type="dxa"/>
          </w:tcPr>
          <w:p w14:paraId="2F8BF687" w14:textId="1F75A14B" w:rsidR="00151C24" w:rsidRPr="002E1AF6" w:rsidRDefault="00CD6156" w:rsidP="0084502B">
            <w:pPr>
              <w:tabs>
                <w:tab w:val="left" w:pos="1307"/>
              </w:tabs>
              <w:ind w:right="107"/>
              <w:jc w:val="right"/>
              <w:rPr>
                <w:rFonts w:ascii="Arial" w:hAnsi="Arial" w:cs="Arial"/>
                <w:sz w:val="18"/>
              </w:rPr>
            </w:pPr>
            <w:r w:rsidRPr="002E1AF6">
              <w:rPr>
                <w:rFonts w:ascii="Arial" w:hAnsi="Arial" w:cs="Arial"/>
                <w:sz w:val="18"/>
              </w:rPr>
              <w:t>2.879</w:t>
            </w:r>
          </w:p>
        </w:tc>
        <w:tc>
          <w:tcPr>
            <w:tcW w:w="1418" w:type="dxa"/>
          </w:tcPr>
          <w:p w14:paraId="277D5D3B" w14:textId="3DF3EBDD" w:rsidR="00151C24" w:rsidRPr="002E1AF6" w:rsidRDefault="00CD6156" w:rsidP="0084502B">
            <w:pPr>
              <w:tabs>
                <w:tab w:val="left" w:pos="1307"/>
              </w:tabs>
              <w:ind w:right="107"/>
              <w:jc w:val="right"/>
              <w:rPr>
                <w:rFonts w:ascii="Arial" w:hAnsi="Arial" w:cs="Arial"/>
                <w:sz w:val="18"/>
              </w:rPr>
            </w:pPr>
            <w:r w:rsidRPr="002E1AF6">
              <w:rPr>
                <w:rFonts w:ascii="Arial" w:hAnsi="Arial" w:cs="Arial"/>
                <w:sz w:val="18"/>
              </w:rPr>
              <w:t>13.069</w:t>
            </w:r>
          </w:p>
        </w:tc>
      </w:tr>
      <w:tr w:rsidR="00CD6156" w:rsidRPr="00701F32" w14:paraId="4907C045" w14:textId="77777777" w:rsidTr="0084502B">
        <w:trPr>
          <w:trHeight w:val="270"/>
        </w:trPr>
        <w:tc>
          <w:tcPr>
            <w:tcW w:w="5954" w:type="dxa"/>
          </w:tcPr>
          <w:p w14:paraId="18450FEC" w14:textId="77777777" w:rsidR="00CD6156" w:rsidRPr="002E1AF6" w:rsidRDefault="00CD6156" w:rsidP="00CD6156">
            <w:pPr>
              <w:ind w:left="29"/>
              <w:jc w:val="both"/>
              <w:rPr>
                <w:rFonts w:ascii="Arial" w:hAnsi="Arial" w:cs="Arial"/>
                <w:sz w:val="18"/>
              </w:rPr>
            </w:pPr>
            <w:r w:rsidRPr="002E1AF6">
              <w:rPr>
                <w:rFonts w:ascii="Arial" w:hAnsi="Arial" w:cs="Arial"/>
                <w:sz w:val="18"/>
              </w:rPr>
              <w:t>Adelantos</w:t>
            </w:r>
          </w:p>
        </w:tc>
        <w:tc>
          <w:tcPr>
            <w:tcW w:w="1559" w:type="dxa"/>
          </w:tcPr>
          <w:p w14:paraId="2C807F6B" w14:textId="5C4CE060"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780.929</w:t>
            </w:r>
          </w:p>
        </w:tc>
        <w:tc>
          <w:tcPr>
            <w:tcW w:w="1418" w:type="dxa"/>
          </w:tcPr>
          <w:p w14:paraId="58A4E591" w14:textId="5DC85691"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1.236.961</w:t>
            </w:r>
          </w:p>
        </w:tc>
      </w:tr>
      <w:tr w:rsidR="00CD6156" w:rsidRPr="00701F32" w14:paraId="62A9C7A2" w14:textId="77777777" w:rsidTr="0084502B">
        <w:trPr>
          <w:trHeight w:val="270"/>
        </w:trPr>
        <w:tc>
          <w:tcPr>
            <w:tcW w:w="5954" w:type="dxa"/>
          </w:tcPr>
          <w:p w14:paraId="4967F3AD" w14:textId="77777777" w:rsidR="00CD6156" w:rsidRPr="002E1AF6" w:rsidRDefault="00CD6156" w:rsidP="00CD6156">
            <w:pPr>
              <w:ind w:left="29"/>
              <w:jc w:val="both"/>
              <w:rPr>
                <w:rFonts w:ascii="Arial" w:hAnsi="Arial" w:cs="Arial"/>
                <w:sz w:val="18"/>
              </w:rPr>
            </w:pPr>
            <w:r w:rsidRPr="002E1AF6">
              <w:rPr>
                <w:rFonts w:ascii="Arial" w:hAnsi="Arial" w:cs="Arial"/>
                <w:sz w:val="18"/>
              </w:rPr>
              <w:t>Documentos</w:t>
            </w:r>
          </w:p>
        </w:tc>
        <w:tc>
          <w:tcPr>
            <w:tcW w:w="1559" w:type="dxa"/>
          </w:tcPr>
          <w:p w14:paraId="33FC212B" w14:textId="18C6F269"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2.595.199</w:t>
            </w:r>
          </w:p>
        </w:tc>
        <w:tc>
          <w:tcPr>
            <w:tcW w:w="1418" w:type="dxa"/>
          </w:tcPr>
          <w:p w14:paraId="6A9148FB" w14:textId="510F4E79"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3.041.818</w:t>
            </w:r>
          </w:p>
        </w:tc>
      </w:tr>
      <w:tr w:rsidR="00CD6156" w:rsidRPr="00701F32" w14:paraId="68128697" w14:textId="77777777" w:rsidTr="0084502B">
        <w:trPr>
          <w:trHeight w:val="270"/>
        </w:trPr>
        <w:tc>
          <w:tcPr>
            <w:tcW w:w="5954" w:type="dxa"/>
          </w:tcPr>
          <w:p w14:paraId="265C74C2" w14:textId="77777777" w:rsidR="00CD6156" w:rsidRPr="002E1AF6" w:rsidRDefault="00CD6156" w:rsidP="00CD6156">
            <w:pPr>
              <w:ind w:left="29"/>
              <w:jc w:val="both"/>
              <w:rPr>
                <w:rFonts w:ascii="Arial" w:hAnsi="Arial" w:cs="Arial"/>
                <w:sz w:val="18"/>
              </w:rPr>
            </w:pPr>
            <w:r w:rsidRPr="002E1AF6">
              <w:rPr>
                <w:rFonts w:ascii="Arial" w:hAnsi="Arial" w:cs="Arial"/>
                <w:sz w:val="18"/>
              </w:rPr>
              <w:t>Hipotecarios</w:t>
            </w:r>
          </w:p>
        </w:tc>
        <w:tc>
          <w:tcPr>
            <w:tcW w:w="1559" w:type="dxa"/>
          </w:tcPr>
          <w:p w14:paraId="43F80753" w14:textId="17BA67D8"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121.847</w:t>
            </w:r>
          </w:p>
        </w:tc>
        <w:tc>
          <w:tcPr>
            <w:tcW w:w="1418" w:type="dxa"/>
          </w:tcPr>
          <w:p w14:paraId="1D3DD49F" w14:textId="315A3B84"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126.931</w:t>
            </w:r>
          </w:p>
        </w:tc>
      </w:tr>
      <w:tr w:rsidR="00CD6156" w:rsidRPr="00701F32" w14:paraId="30A95D9F" w14:textId="77777777" w:rsidTr="0084502B">
        <w:trPr>
          <w:trHeight w:val="270"/>
        </w:trPr>
        <w:tc>
          <w:tcPr>
            <w:tcW w:w="5954" w:type="dxa"/>
          </w:tcPr>
          <w:p w14:paraId="29C23CDA" w14:textId="77777777" w:rsidR="00CD6156" w:rsidRPr="002E1AF6" w:rsidRDefault="00CD6156" w:rsidP="00CD6156">
            <w:pPr>
              <w:ind w:left="29"/>
              <w:jc w:val="both"/>
              <w:rPr>
                <w:rFonts w:ascii="Arial" w:hAnsi="Arial" w:cs="Arial"/>
                <w:sz w:val="18"/>
              </w:rPr>
            </w:pPr>
            <w:r w:rsidRPr="002E1AF6">
              <w:rPr>
                <w:rFonts w:ascii="Arial" w:hAnsi="Arial" w:cs="Arial"/>
                <w:sz w:val="18"/>
              </w:rPr>
              <w:t>Prendarios</w:t>
            </w:r>
          </w:p>
        </w:tc>
        <w:tc>
          <w:tcPr>
            <w:tcW w:w="1559" w:type="dxa"/>
          </w:tcPr>
          <w:p w14:paraId="1BA5438D" w14:textId="0D353E57"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113.789</w:t>
            </w:r>
          </w:p>
        </w:tc>
        <w:tc>
          <w:tcPr>
            <w:tcW w:w="1418" w:type="dxa"/>
          </w:tcPr>
          <w:p w14:paraId="2E1D2F39" w14:textId="2FC633C2"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137.230</w:t>
            </w:r>
          </w:p>
        </w:tc>
      </w:tr>
      <w:tr w:rsidR="00CD6156" w:rsidRPr="00701F32" w14:paraId="6BE80631" w14:textId="77777777" w:rsidTr="0084502B">
        <w:trPr>
          <w:trHeight w:val="270"/>
        </w:trPr>
        <w:tc>
          <w:tcPr>
            <w:tcW w:w="5954" w:type="dxa"/>
          </w:tcPr>
          <w:p w14:paraId="6C797447" w14:textId="77777777" w:rsidR="00CD6156" w:rsidRPr="002E1AF6" w:rsidRDefault="00CD6156" w:rsidP="00CD6156">
            <w:pPr>
              <w:ind w:left="29"/>
              <w:jc w:val="both"/>
              <w:rPr>
                <w:rFonts w:ascii="Arial" w:hAnsi="Arial" w:cs="Arial"/>
                <w:sz w:val="18"/>
              </w:rPr>
            </w:pPr>
            <w:r w:rsidRPr="002E1AF6">
              <w:rPr>
                <w:rFonts w:ascii="Arial" w:hAnsi="Arial" w:cs="Arial"/>
                <w:sz w:val="18"/>
              </w:rPr>
              <w:t>Personales</w:t>
            </w:r>
          </w:p>
        </w:tc>
        <w:tc>
          <w:tcPr>
            <w:tcW w:w="1559" w:type="dxa"/>
          </w:tcPr>
          <w:p w14:paraId="0A6EA7A1" w14:textId="7EBEEB9A"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2.527.368</w:t>
            </w:r>
          </w:p>
        </w:tc>
        <w:tc>
          <w:tcPr>
            <w:tcW w:w="1418" w:type="dxa"/>
          </w:tcPr>
          <w:p w14:paraId="52218B40" w14:textId="1156AD81"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2.720.889</w:t>
            </w:r>
          </w:p>
        </w:tc>
      </w:tr>
      <w:tr w:rsidR="00CD6156" w:rsidRPr="00701F32" w14:paraId="52472A38" w14:textId="77777777" w:rsidTr="0084502B">
        <w:trPr>
          <w:trHeight w:val="270"/>
        </w:trPr>
        <w:tc>
          <w:tcPr>
            <w:tcW w:w="5954" w:type="dxa"/>
          </w:tcPr>
          <w:p w14:paraId="3F426DE0" w14:textId="77777777" w:rsidR="00CD6156" w:rsidRPr="002E1AF6" w:rsidRDefault="00CD6156" w:rsidP="00CD6156">
            <w:pPr>
              <w:ind w:left="29"/>
              <w:jc w:val="both"/>
              <w:rPr>
                <w:rFonts w:ascii="Arial" w:hAnsi="Arial" w:cs="Arial"/>
                <w:sz w:val="18"/>
              </w:rPr>
            </w:pPr>
            <w:r w:rsidRPr="002E1AF6">
              <w:rPr>
                <w:rFonts w:ascii="Arial" w:hAnsi="Arial" w:cs="Arial"/>
                <w:sz w:val="18"/>
              </w:rPr>
              <w:t>Tarjetas de crédito</w:t>
            </w:r>
          </w:p>
        </w:tc>
        <w:tc>
          <w:tcPr>
            <w:tcW w:w="1559" w:type="dxa"/>
          </w:tcPr>
          <w:p w14:paraId="727E0FC0" w14:textId="17132BC4"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971.722</w:t>
            </w:r>
          </w:p>
        </w:tc>
        <w:tc>
          <w:tcPr>
            <w:tcW w:w="1418" w:type="dxa"/>
          </w:tcPr>
          <w:p w14:paraId="692F2FBC" w14:textId="64D616B9"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1.496.970</w:t>
            </w:r>
          </w:p>
        </w:tc>
      </w:tr>
      <w:tr w:rsidR="00CD6156" w:rsidRPr="00701F32" w14:paraId="4C9CB967" w14:textId="77777777" w:rsidTr="0084502B">
        <w:trPr>
          <w:trHeight w:val="270"/>
        </w:trPr>
        <w:tc>
          <w:tcPr>
            <w:tcW w:w="5954" w:type="dxa"/>
          </w:tcPr>
          <w:p w14:paraId="0F2B87E7" w14:textId="77777777" w:rsidR="00CD6156" w:rsidRPr="002E1AF6" w:rsidRDefault="00CD6156" w:rsidP="00CD6156">
            <w:pPr>
              <w:ind w:left="29"/>
              <w:jc w:val="both"/>
              <w:rPr>
                <w:rFonts w:ascii="Arial" w:hAnsi="Arial" w:cs="Arial"/>
                <w:sz w:val="18"/>
              </w:rPr>
            </w:pPr>
            <w:r w:rsidRPr="002E1AF6">
              <w:rPr>
                <w:rFonts w:ascii="Arial" w:hAnsi="Arial" w:cs="Arial"/>
                <w:sz w:val="18"/>
              </w:rPr>
              <w:t>Arrendamientos Financieros</w:t>
            </w:r>
          </w:p>
        </w:tc>
        <w:tc>
          <w:tcPr>
            <w:tcW w:w="1559" w:type="dxa"/>
          </w:tcPr>
          <w:p w14:paraId="14096F6E" w14:textId="5F839759"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146.454</w:t>
            </w:r>
          </w:p>
        </w:tc>
        <w:tc>
          <w:tcPr>
            <w:tcW w:w="1418" w:type="dxa"/>
          </w:tcPr>
          <w:p w14:paraId="49047F84" w14:textId="26F85CBC"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361.155</w:t>
            </w:r>
          </w:p>
        </w:tc>
      </w:tr>
      <w:tr w:rsidR="00CD6156" w:rsidRPr="00701F32" w14:paraId="56DEC557" w14:textId="77777777" w:rsidTr="0084502B">
        <w:trPr>
          <w:trHeight w:val="270"/>
        </w:trPr>
        <w:tc>
          <w:tcPr>
            <w:tcW w:w="5954" w:type="dxa"/>
          </w:tcPr>
          <w:p w14:paraId="33818514" w14:textId="77777777" w:rsidR="00CD6156" w:rsidRPr="002E1AF6" w:rsidRDefault="00CD6156" w:rsidP="00CD6156">
            <w:pPr>
              <w:ind w:left="29"/>
              <w:jc w:val="both"/>
              <w:rPr>
                <w:rFonts w:ascii="Arial" w:hAnsi="Arial" w:cs="Arial"/>
                <w:sz w:val="18"/>
              </w:rPr>
            </w:pPr>
            <w:r w:rsidRPr="002E1AF6">
              <w:rPr>
                <w:rFonts w:ascii="Arial" w:hAnsi="Arial" w:cs="Arial"/>
                <w:sz w:val="18"/>
              </w:rPr>
              <w:lastRenderedPageBreak/>
              <w:t>Otros</w:t>
            </w:r>
          </w:p>
        </w:tc>
        <w:tc>
          <w:tcPr>
            <w:tcW w:w="1559" w:type="dxa"/>
          </w:tcPr>
          <w:p w14:paraId="0ADB0FE2" w14:textId="48592D1C"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1.835.657</w:t>
            </w:r>
          </w:p>
        </w:tc>
        <w:tc>
          <w:tcPr>
            <w:tcW w:w="1418" w:type="dxa"/>
          </w:tcPr>
          <w:p w14:paraId="10FD0CBF" w14:textId="2617996D" w:rsidR="00CD6156" w:rsidRPr="002E1AF6" w:rsidRDefault="00CD6156" w:rsidP="00CD6156">
            <w:pPr>
              <w:tabs>
                <w:tab w:val="left" w:pos="1307"/>
              </w:tabs>
              <w:ind w:right="107"/>
              <w:jc w:val="right"/>
              <w:rPr>
                <w:rFonts w:ascii="Arial" w:hAnsi="Arial" w:cs="Arial"/>
                <w:sz w:val="18"/>
              </w:rPr>
            </w:pPr>
            <w:r w:rsidRPr="002E1AF6">
              <w:rPr>
                <w:rFonts w:ascii="Arial" w:hAnsi="Arial" w:cs="Arial"/>
                <w:sz w:val="18"/>
              </w:rPr>
              <w:t>2.545.349</w:t>
            </w:r>
          </w:p>
        </w:tc>
      </w:tr>
      <w:tr w:rsidR="00151C24" w:rsidRPr="00751A92" w14:paraId="6B185ED2" w14:textId="77777777" w:rsidTr="0084502B">
        <w:trPr>
          <w:trHeight w:val="270"/>
        </w:trPr>
        <w:tc>
          <w:tcPr>
            <w:tcW w:w="5954" w:type="dxa"/>
          </w:tcPr>
          <w:p w14:paraId="3B457F29" w14:textId="2A3442BF" w:rsidR="00151C24" w:rsidRPr="002E1AF6" w:rsidRDefault="00151C24" w:rsidP="0084502B">
            <w:pPr>
              <w:pStyle w:val="Style1"/>
              <w:adjustRightInd/>
              <w:ind w:left="29"/>
              <w:jc w:val="both"/>
              <w:rPr>
                <w:rFonts w:ascii="Arial" w:hAnsi="Arial" w:cs="Arial"/>
                <w:spacing w:val="-6"/>
                <w:sz w:val="18"/>
                <w:szCs w:val="20"/>
              </w:rPr>
            </w:pPr>
            <w:r w:rsidRPr="002E1AF6">
              <w:rPr>
                <w:rFonts w:ascii="Arial" w:hAnsi="Arial" w:cs="Arial"/>
                <w:spacing w:val="-6"/>
                <w:sz w:val="18"/>
                <w:szCs w:val="20"/>
              </w:rPr>
              <w:t xml:space="preserve">Por operaciones de pase con </w:t>
            </w:r>
            <w:r w:rsidR="00111ADD" w:rsidRPr="002E1AF6">
              <w:rPr>
                <w:rFonts w:ascii="Arial" w:hAnsi="Arial" w:cs="Arial"/>
                <w:spacing w:val="-6"/>
                <w:sz w:val="18"/>
                <w:szCs w:val="20"/>
              </w:rPr>
              <w:t>el sector</w:t>
            </w:r>
            <w:r w:rsidRPr="002E1AF6">
              <w:rPr>
                <w:rFonts w:ascii="Arial" w:hAnsi="Arial" w:cs="Arial"/>
                <w:spacing w:val="-6"/>
                <w:sz w:val="18"/>
                <w:szCs w:val="20"/>
              </w:rPr>
              <w:t xml:space="preserve"> financier</w:t>
            </w:r>
            <w:r w:rsidR="00111ADD" w:rsidRPr="002E1AF6">
              <w:rPr>
                <w:rFonts w:ascii="Arial" w:hAnsi="Arial" w:cs="Arial"/>
                <w:spacing w:val="-6"/>
                <w:sz w:val="18"/>
                <w:szCs w:val="20"/>
              </w:rPr>
              <w:t>o</w:t>
            </w:r>
          </w:p>
        </w:tc>
        <w:tc>
          <w:tcPr>
            <w:tcW w:w="1559" w:type="dxa"/>
          </w:tcPr>
          <w:p w14:paraId="742C1897" w14:textId="7512EC4F" w:rsidR="00151C24" w:rsidRPr="002E1AF6" w:rsidRDefault="00CD6156" w:rsidP="0084502B">
            <w:pPr>
              <w:pStyle w:val="Style1"/>
              <w:adjustRightInd/>
              <w:ind w:right="107"/>
              <w:jc w:val="right"/>
              <w:rPr>
                <w:rFonts w:ascii="Arial" w:hAnsi="Arial" w:cs="Arial"/>
                <w:spacing w:val="-4"/>
                <w:sz w:val="18"/>
                <w:szCs w:val="20"/>
              </w:rPr>
            </w:pPr>
            <w:r w:rsidRPr="002E1AF6">
              <w:rPr>
                <w:rFonts w:ascii="Arial" w:hAnsi="Arial" w:cs="Arial"/>
                <w:spacing w:val="-4"/>
                <w:sz w:val="18"/>
                <w:szCs w:val="20"/>
              </w:rPr>
              <w:t>183.515</w:t>
            </w:r>
          </w:p>
        </w:tc>
        <w:tc>
          <w:tcPr>
            <w:tcW w:w="1418" w:type="dxa"/>
          </w:tcPr>
          <w:p w14:paraId="5AB84ABF" w14:textId="663CC18C" w:rsidR="00151C24" w:rsidRPr="002E1AF6" w:rsidRDefault="00CD6156" w:rsidP="0084502B">
            <w:pPr>
              <w:pStyle w:val="Style1"/>
              <w:adjustRightInd/>
              <w:ind w:right="107"/>
              <w:jc w:val="right"/>
              <w:rPr>
                <w:rFonts w:ascii="Arial" w:hAnsi="Arial" w:cs="Arial"/>
                <w:spacing w:val="-4"/>
                <w:sz w:val="18"/>
                <w:szCs w:val="20"/>
              </w:rPr>
            </w:pPr>
            <w:r w:rsidRPr="002E1AF6">
              <w:rPr>
                <w:rFonts w:ascii="Arial" w:hAnsi="Arial" w:cs="Arial"/>
                <w:spacing w:val="-4"/>
                <w:sz w:val="18"/>
                <w:szCs w:val="20"/>
              </w:rPr>
              <w:t>14.938</w:t>
            </w:r>
          </w:p>
        </w:tc>
      </w:tr>
      <w:tr w:rsidR="00151C24" w:rsidRPr="00751A92" w14:paraId="6AE0548A" w14:textId="77777777" w:rsidTr="0084502B">
        <w:trPr>
          <w:trHeight w:val="270"/>
        </w:trPr>
        <w:tc>
          <w:tcPr>
            <w:tcW w:w="5954" w:type="dxa"/>
            <w:shd w:val="clear" w:color="auto" w:fill="auto"/>
          </w:tcPr>
          <w:p w14:paraId="20FA8B89" w14:textId="77777777" w:rsidR="00151C24" w:rsidRPr="002E1AF6" w:rsidRDefault="00151C24" w:rsidP="0084502B">
            <w:pPr>
              <w:jc w:val="both"/>
              <w:rPr>
                <w:rFonts w:ascii="Arial" w:hAnsi="Arial" w:cs="Arial"/>
                <w:b/>
                <w:sz w:val="18"/>
              </w:rPr>
            </w:pPr>
            <w:r w:rsidRPr="002E1AF6">
              <w:rPr>
                <w:rFonts w:ascii="Arial" w:hAnsi="Arial" w:cs="Arial"/>
                <w:b/>
                <w:sz w:val="18"/>
              </w:rPr>
              <w:t>Total</w:t>
            </w:r>
          </w:p>
        </w:tc>
        <w:tc>
          <w:tcPr>
            <w:tcW w:w="1559" w:type="dxa"/>
          </w:tcPr>
          <w:p w14:paraId="46C7DA51" w14:textId="78E86B92" w:rsidR="00151C24" w:rsidRPr="002E1AF6" w:rsidRDefault="00CD6156" w:rsidP="0084502B">
            <w:pPr>
              <w:pStyle w:val="Style1"/>
              <w:adjustRightInd/>
              <w:ind w:right="107"/>
              <w:jc w:val="right"/>
              <w:rPr>
                <w:rFonts w:ascii="Arial" w:hAnsi="Arial" w:cs="Arial"/>
                <w:b/>
                <w:spacing w:val="-4"/>
                <w:sz w:val="18"/>
                <w:szCs w:val="20"/>
              </w:rPr>
            </w:pPr>
            <w:r w:rsidRPr="002E1AF6">
              <w:rPr>
                <w:rFonts w:ascii="Arial" w:hAnsi="Arial" w:cs="Arial"/>
                <w:b/>
                <w:spacing w:val="-4"/>
                <w:sz w:val="18"/>
                <w:szCs w:val="20"/>
              </w:rPr>
              <w:t>13.047.718</w:t>
            </w:r>
          </w:p>
        </w:tc>
        <w:tc>
          <w:tcPr>
            <w:tcW w:w="1418" w:type="dxa"/>
            <w:shd w:val="clear" w:color="auto" w:fill="auto"/>
          </w:tcPr>
          <w:p w14:paraId="7C0F1D34" w14:textId="066F7C52" w:rsidR="00151C24" w:rsidRPr="002E1AF6" w:rsidRDefault="00CD6156" w:rsidP="0084502B">
            <w:pPr>
              <w:pStyle w:val="Style1"/>
              <w:adjustRightInd/>
              <w:ind w:right="107"/>
              <w:jc w:val="right"/>
              <w:rPr>
                <w:rFonts w:ascii="Arial" w:hAnsi="Arial" w:cs="Arial"/>
                <w:b/>
                <w:sz w:val="18"/>
                <w:szCs w:val="20"/>
              </w:rPr>
            </w:pPr>
            <w:r w:rsidRPr="002E1AF6">
              <w:rPr>
                <w:rFonts w:ascii="Arial" w:hAnsi="Arial" w:cs="Arial"/>
                <w:b/>
                <w:sz w:val="18"/>
                <w:szCs w:val="20"/>
              </w:rPr>
              <w:t>12.129.307</w:t>
            </w:r>
          </w:p>
        </w:tc>
      </w:tr>
    </w:tbl>
    <w:p w14:paraId="3B182DB1" w14:textId="77777777" w:rsidR="00151C24" w:rsidRPr="00751A92" w:rsidRDefault="00151C24" w:rsidP="00151C24">
      <w:pPr>
        <w:rPr>
          <w:rFonts w:ascii="Arial" w:hAnsi="Arial" w:cs="Arial"/>
          <w:bCs/>
          <w:color w:val="000000"/>
          <w:sz w:val="20"/>
          <w:lang w:eastAsia="es-AR"/>
        </w:rPr>
      </w:pPr>
    </w:p>
    <w:p w14:paraId="299DA702" w14:textId="5FDC935E" w:rsidR="00151C24" w:rsidRPr="00751A92" w:rsidRDefault="00151C24" w:rsidP="00151C24">
      <w:pPr>
        <w:rPr>
          <w:rFonts w:ascii="Arial" w:hAnsi="Arial" w:cs="Arial"/>
          <w:bCs/>
          <w:color w:val="000000"/>
          <w:sz w:val="20"/>
          <w:lang w:eastAsia="es-AR"/>
        </w:rPr>
      </w:pPr>
      <w:r w:rsidRPr="00751A92">
        <w:rPr>
          <w:rFonts w:ascii="Arial" w:hAnsi="Arial" w:cs="Arial"/>
          <w:bCs/>
          <w:color w:val="000000"/>
          <w:sz w:val="20"/>
          <w:lang w:eastAsia="es-AR"/>
        </w:rPr>
        <w:t>15.2 Ingresos por comisiones</w:t>
      </w:r>
    </w:p>
    <w:p w14:paraId="096E283D" w14:textId="77777777" w:rsidR="00151C24" w:rsidRPr="00751A92" w:rsidRDefault="00151C24" w:rsidP="00151C24">
      <w:pPr>
        <w:rPr>
          <w:rFonts w:ascii="Arial" w:hAnsi="Arial" w:cs="Arial"/>
          <w:bCs/>
          <w:color w:val="000000"/>
          <w:sz w:val="20"/>
          <w:lang w:eastAsia="es-A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559"/>
        <w:gridCol w:w="1418"/>
      </w:tblGrid>
      <w:tr w:rsidR="00901250" w:rsidRPr="00751A92" w14:paraId="513101F8" w14:textId="77777777" w:rsidTr="0084502B">
        <w:trPr>
          <w:trHeight w:val="255"/>
          <w:tblHeader/>
        </w:trPr>
        <w:tc>
          <w:tcPr>
            <w:tcW w:w="5954" w:type="dxa"/>
            <w:shd w:val="clear" w:color="auto" w:fill="auto"/>
          </w:tcPr>
          <w:p w14:paraId="620A59CA" w14:textId="77777777" w:rsidR="00901250" w:rsidRPr="002E1AF6" w:rsidRDefault="00901250" w:rsidP="00901250">
            <w:pPr>
              <w:tabs>
                <w:tab w:val="decimal" w:pos="284"/>
                <w:tab w:val="decimal" w:pos="6237"/>
                <w:tab w:val="decimal" w:pos="7200"/>
                <w:tab w:val="decimal" w:pos="8220"/>
                <w:tab w:val="decimal" w:pos="8900"/>
              </w:tabs>
              <w:jc w:val="both"/>
              <w:rPr>
                <w:rFonts w:ascii="Arial" w:hAnsi="Arial" w:cs="Arial"/>
                <w:b/>
                <w:sz w:val="18"/>
              </w:rPr>
            </w:pPr>
          </w:p>
        </w:tc>
        <w:tc>
          <w:tcPr>
            <w:tcW w:w="1559" w:type="dxa"/>
          </w:tcPr>
          <w:p w14:paraId="42238BF9" w14:textId="608EB953" w:rsidR="00901250" w:rsidRPr="002E1AF6" w:rsidRDefault="00901250" w:rsidP="00901250">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31/03/2020</w:t>
            </w:r>
          </w:p>
        </w:tc>
        <w:tc>
          <w:tcPr>
            <w:tcW w:w="1418" w:type="dxa"/>
            <w:shd w:val="clear" w:color="auto" w:fill="auto"/>
            <w:vAlign w:val="center"/>
          </w:tcPr>
          <w:p w14:paraId="68BDB761" w14:textId="6B3E3809" w:rsidR="00901250" w:rsidRPr="002E1AF6" w:rsidRDefault="00901250" w:rsidP="00901250">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31/03/2019</w:t>
            </w:r>
          </w:p>
        </w:tc>
      </w:tr>
      <w:tr w:rsidR="00384584" w:rsidRPr="00751A92" w14:paraId="2606A2C7" w14:textId="77777777" w:rsidTr="004D679A">
        <w:trPr>
          <w:trHeight w:val="255"/>
        </w:trPr>
        <w:tc>
          <w:tcPr>
            <w:tcW w:w="5954" w:type="dxa"/>
          </w:tcPr>
          <w:p w14:paraId="602558FD" w14:textId="77777777" w:rsidR="00384584" w:rsidRPr="002E1AF6" w:rsidRDefault="00384584" w:rsidP="00384584">
            <w:pPr>
              <w:jc w:val="both"/>
              <w:rPr>
                <w:rFonts w:ascii="Arial" w:hAnsi="Arial" w:cs="Arial"/>
                <w:sz w:val="18"/>
              </w:rPr>
            </w:pPr>
            <w:r w:rsidRPr="002E1AF6">
              <w:rPr>
                <w:rFonts w:ascii="Arial" w:hAnsi="Arial" w:cs="Arial"/>
                <w:sz w:val="18"/>
              </w:rPr>
              <w:t>Comisiones vinculadas con obligaciones</w:t>
            </w:r>
          </w:p>
        </w:tc>
        <w:tc>
          <w:tcPr>
            <w:tcW w:w="1559" w:type="dxa"/>
            <w:vAlign w:val="bottom"/>
          </w:tcPr>
          <w:p w14:paraId="13D3D035" w14:textId="1235E6B1" w:rsidR="00384584" w:rsidRPr="002E1AF6" w:rsidRDefault="00384584" w:rsidP="00384584">
            <w:pPr>
              <w:ind w:right="113"/>
              <w:jc w:val="right"/>
              <w:rPr>
                <w:rFonts w:ascii="Arial" w:hAnsi="Arial" w:cs="Arial"/>
                <w:sz w:val="18"/>
              </w:rPr>
            </w:pPr>
            <w:r w:rsidRPr="002E1AF6">
              <w:rPr>
                <w:rFonts w:ascii="Arial" w:hAnsi="Arial" w:cs="Arial"/>
                <w:sz w:val="18"/>
              </w:rPr>
              <w:t>1.041.502</w:t>
            </w:r>
          </w:p>
        </w:tc>
        <w:tc>
          <w:tcPr>
            <w:tcW w:w="1418" w:type="dxa"/>
          </w:tcPr>
          <w:p w14:paraId="3FE7431E" w14:textId="4283B296" w:rsidR="00384584" w:rsidRPr="002E1AF6" w:rsidRDefault="00384584" w:rsidP="00384584">
            <w:pPr>
              <w:ind w:right="113"/>
              <w:jc w:val="right"/>
              <w:rPr>
                <w:rFonts w:ascii="Arial" w:hAnsi="Arial" w:cs="Arial"/>
                <w:sz w:val="18"/>
              </w:rPr>
            </w:pPr>
            <w:r w:rsidRPr="002E1AF6">
              <w:rPr>
                <w:rFonts w:ascii="Arial" w:hAnsi="Arial" w:cs="Arial"/>
                <w:sz w:val="18"/>
              </w:rPr>
              <w:t>1.006.492</w:t>
            </w:r>
          </w:p>
        </w:tc>
      </w:tr>
      <w:tr w:rsidR="00384584" w:rsidRPr="00751A92" w14:paraId="6FED4829" w14:textId="77777777" w:rsidTr="004D679A">
        <w:trPr>
          <w:trHeight w:val="255"/>
        </w:trPr>
        <w:tc>
          <w:tcPr>
            <w:tcW w:w="5954" w:type="dxa"/>
          </w:tcPr>
          <w:p w14:paraId="679F6DB4" w14:textId="77777777" w:rsidR="00384584" w:rsidRPr="002E1AF6" w:rsidRDefault="00384584" w:rsidP="00384584">
            <w:pPr>
              <w:jc w:val="both"/>
              <w:rPr>
                <w:rFonts w:ascii="Arial" w:hAnsi="Arial" w:cs="Arial"/>
                <w:sz w:val="18"/>
              </w:rPr>
            </w:pPr>
            <w:r w:rsidRPr="002E1AF6">
              <w:rPr>
                <w:rFonts w:ascii="Arial" w:hAnsi="Arial" w:cs="Arial"/>
                <w:sz w:val="18"/>
              </w:rPr>
              <w:t>Comisiones vinculadas con créditos</w:t>
            </w:r>
          </w:p>
        </w:tc>
        <w:tc>
          <w:tcPr>
            <w:tcW w:w="1559" w:type="dxa"/>
            <w:vAlign w:val="bottom"/>
          </w:tcPr>
          <w:p w14:paraId="6A40822E" w14:textId="0B6BDFE0" w:rsidR="00384584" w:rsidRPr="002E1AF6" w:rsidRDefault="00384584" w:rsidP="00384584">
            <w:pPr>
              <w:ind w:right="113"/>
              <w:jc w:val="right"/>
              <w:rPr>
                <w:rFonts w:ascii="Arial" w:hAnsi="Arial" w:cs="Arial"/>
                <w:sz w:val="18"/>
              </w:rPr>
            </w:pPr>
            <w:r w:rsidRPr="002E1AF6">
              <w:rPr>
                <w:rFonts w:ascii="Arial" w:hAnsi="Arial" w:cs="Arial"/>
                <w:sz w:val="18"/>
              </w:rPr>
              <w:t>911.949</w:t>
            </w:r>
          </w:p>
        </w:tc>
        <w:tc>
          <w:tcPr>
            <w:tcW w:w="1418" w:type="dxa"/>
          </w:tcPr>
          <w:p w14:paraId="47CF1F36" w14:textId="757D2877" w:rsidR="00384584" w:rsidRPr="002E1AF6" w:rsidRDefault="00384584" w:rsidP="00384584">
            <w:pPr>
              <w:ind w:right="113"/>
              <w:jc w:val="right"/>
              <w:rPr>
                <w:rFonts w:ascii="Arial" w:hAnsi="Arial" w:cs="Arial"/>
                <w:sz w:val="18"/>
              </w:rPr>
            </w:pPr>
            <w:r w:rsidRPr="002E1AF6">
              <w:rPr>
                <w:rFonts w:ascii="Arial" w:hAnsi="Arial" w:cs="Arial"/>
                <w:sz w:val="18"/>
              </w:rPr>
              <w:t>895.001</w:t>
            </w:r>
          </w:p>
        </w:tc>
      </w:tr>
      <w:tr w:rsidR="00384584" w:rsidRPr="00751A92" w14:paraId="6FBDC106" w14:textId="77777777" w:rsidTr="00C71087">
        <w:trPr>
          <w:trHeight w:val="255"/>
        </w:trPr>
        <w:tc>
          <w:tcPr>
            <w:tcW w:w="5954" w:type="dxa"/>
          </w:tcPr>
          <w:p w14:paraId="7CF63C29" w14:textId="77777777" w:rsidR="00384584" w:rsidRPr="002E1AF6" w:rsidRDefault="00384584" w:rsidP="00384584">
            <w:pPr>
              <w:jc w:val="both"/>
              <w:rPr>
                <w:rFonts w:ascii="Arial" w:hAnsi="Arial" w:cs="Arial"/>
                <w:sz w:val="18"/>
              </w:rPr>
            </w:pPr>
            <w:r w:rsidRPr="002E1AF6">
              <w:rPr>
                <w:rFonts w:ascii="Arial" w:hAnsi="Arial" w:cs="Arial"/>
                <w:sz w:val="18"/>
              </w:rPr>
              <w:t>Comisiones vinculadas con compromisos eventuales y garantías financieras</w:t>
            </w:r>
          </w:p>
        </w:tc>
        <w:tc>
          <w:tcPr>
            <w:tcW w:w="1559" w:type="dxa"/>
            <w:vAlign w:val="center"/>
          </w:tcPr>
          <w:p w14:paraId="0D6EE70F" w14:textId="1EBE9DC7" w:rsidR="00384584" w:rsidRPr="002E1AF6" w:rsidRDefault="00384584" w:rsidP="00C71087">
            <w:pPr>
              <w:tabs>
                <w:tab w:val="left" w:pos="1307"/>
              </w:tabs>
              <w:ind w:right="113"/>
              <w:jc w:val="right"/>
              <w:rPr>
                <w:rFonts w:ascii="Arial" w:hAnsi="Arial" w:cs="Arial"/>
                <w:sz w:val="18"/>
              </w:rPr>
            </w:pPr>
            <w:r w:rsidRPr="002E1AF6">
              <w:rPr>
                <w:rFonts w:ascii="Arial" w:hAnsi="Arial" w:cs="Arial"/>
                <w:sz w:val="18"/>
              </w:rPr>
              <w:t>4.010</w:t>
            </w:r>
          </w:p>
        </w:tc>
        <w:tc>
          <w:tcPr>
            <w:tcW w:w="1418" w:type="dxa"/>
            <w:vAlign w:val="center"/>
          </w:tcPr>
          <w:p w14:paraId="72A2EF28" w14:textId="04095C1D" w:rsidR="00384584" w:rsidRPr="002E1AF6" w:rsidRDefault="00384584" w:rsidP="00C71087">
            <w:pPr>
              <w:tabs>
                <w:tab w:val="left" w:pos="1307"/>
              </w:tabs>
              <w:ind w:right="113"/>
              <w:jc w:val="right"/>
              <w:rPr>
                <w:rFonts w:ascii="Arial" w:hAnsi="Arial" w:cs="Arial"/>
                <w:sz w:val="18"/>
              </w:rPr>
            </w:pPr>
            <w:r w:rsidRPr="002E1AF6">
              <w:rPr>
                <w:rFonts w:ascii="Arial" w:hAnsi="Arial" w:cs="Arial"/>
                <w:sz w:val="18"/>
              </w:rPr>
              <w:t>8.728</w:t>
            </w:r>
          </w:p>
        </w:tc>
      </w:tr>
      <w:tr w:rsidR="00384584" w:rsidRPr="00751A92" w14:paraId="1759FBCA" w14:textId="77777777" w:rsidTr="004D679A">
        <w:trPr>
          <w:trHeight w:val="255"/>
        </w:trPr>
        <w:tc>
          <w:tcPr>
            <w:tcW w:w="5954" w:type="dxa"/>
          </w:tcPr>
          <w:p w14:paraId="5DA2E7CF" w14:textId="77777777" w:rsidR="00384584" w:rsidRPr="002E1AF6" w:rsidRDefault="00384584" w:rsidP="00384584">
            <w:pPr>
              <w:pStyle w:val="Style1"/>
              <w:adjustRightInd/>
              <w:jc w:val="both"/>
              <w:rPr>
                <w:rFonts w:ascii="Arial" w:hAnsi="Arial" w:cs="Arial"/>
                <w:spacing w:val="-6"/>
                <w:sz w:val="18"/>
                <w:szCs w:val="20"/>
              </w:rPr>
            </w:pPr>
            <w:r w:rsidRPr="002E1AF6">
              <w:rPr>
                <w:rFonts w:ascii="Arial" w:hAnsi="Arial" w:cs="Arial"/>
                <w:spacing w:val="-6"/>
                <w:sz w:val="18"/>
                <w:szCs w:val="20"/>
              </w:rPr>
              <w:t>Comisiones vinculadas con valores mobiliarios</w:t>
            </w:r>
          </w:p>
        </w:tc>
        <w:tc>
          <w:tcPr>
            <w:tcW w:w="1559" w:type="dxa"/>
            <w:vAlign w:val="bottom"/>
          </w:tcPr>
          <w:p w14:paraId="4DA3C7F1" w14:textId="4F9B38DD" w:rsidR="00384584" w:rsidRPr="002E1AF6" w:rsidRDefault="00384584" w:rsidP="00384584">
            <w:pPr>
              <w:pStyle w:val="Style1"/>
              <w:adjustRightInd/>
              <w:ind w:right="113"/>
              <w:jc w:val="right"/>
              <w:rPr>
                <w:rFonts w:ascii="Arial" w:hAnsi="Arial" w:cs="Arial"/>
                <w:spacing w:val="-4"/>
                <w:sz w:val="18"/>
                <w:szCs w:val="20"/>
              </w:rPr>
            </w:pPr>
            <w:r w:rsidRPr="002E1AF6">
              <w:rPr>
                <w:rFonts w:ascii="Arial" w:hAnsi="Arial" w:cs="Arial"/>
                <w:spacing w:val="-4"/>
                <w:sz w:val="18"/>
                <w:szCs w:val="20"/>
              </w:rPr>
              <w:t>2.110</w:t>
            </w:r>
          </w:p>
        </w:tc>
        <w:tc>
          <w:tcPr>
            <w:tcW w:w="1418" w:type="dxa"/>
          </w:tcPr>
          <w:p w14:paraId="1F3A36EE" w14:textId="1D0D1534" w:rsidR="00384584" w:rsidRPr="002E1AF6" w:rsidRDefault="00384584" w:rsidP="00384584">
            <w:pPr>
              <w:pStyle w:val="Style1"/>
              <w:adjustRightInd/>
              <w:ind w:right="113"/>
              <w:jc w:val="right"/>
              <w:rPr>
                <w:rFonts w:ascii="Arial" w:hAnsi="Arial" w:cs="Arial"/>
                <w:spacing w:val="-4"/>
                <w:sz w:val="18"/>
                <w:szCs w:val="20"/>
              </w:rPr>
            </w:pPr>
            <w:r w:rsidRPr="002E1AF6">
              <w:rPr>
                <w:rFonts w:ascii="Arial" w:hAnsi="Arial" w:cs="Arial"/>
                <w:sz w:val="18"/>
                <w:szCs w:val="20"/>
              </w:rPr>
              <w:t>3.699</w:t>
            </w:r>
          </w:p>
        </w:tc>
      </w:tr>
      <w:tr w:rsidR="00384584" w:rsidRPr="00751A92" w14:paraId="4DE9BEC4" w14:textId="77777777" w:rsidTr="004D679A">
        <w:trPr>
          <w:trHeight w:val="255"/>
        </w:trPr>
        <w:tc>
          <w:tcPr>
            <w:tcW w:w="5954" w:type="dxa"/>
          </w:tcPr>
          <w:p w14:paraId="721D381E" w14:textId="77777777" w:rsidR="00384584" w:rsidRPr="002E1AF6" w:rsidRDefault="00384584" w:rsidP="00384584">
            <w:pPr>
              <w:pStyle w:val="Style1"/>
              <w:adjustRightInd/>
              <w:jc w:val="both"/>
              <w:rPr>
                <w:rFonts w:ascii="Arial" w:hAnsi="Arial" w:cs="Arial"/>
                <w:spacing w:val="-6"/>
                <w:sz w:val="18"/>
                <w:szCs w:val="20"/>
              </w:rPr>
            </w:pPr>
            <w:r w:rsidRPr="002E1AF6">
              <w:rPr>
                <w:rFonts w:ascii="Arial" w:hAnsi="Arial" w:cs="Arial"/>
                <w:spacing w:val="-6"/>
                <w:sz w:val="18"/>
                <w:szCs w:val="20"/>
              </w:rPr>
              <w:t>Comisiones por operaciones  exterior y cambio</w:t>
            </w:r>
          </w:p>
        </w:tc>
        <w:tc>
          <w:tcPr>
            <w:tcW w:w="1559" w:type="dxa"/>
            <w:vAlign w:val="bottom"/>
          </w:tcPr>
          <w:p w14:paraId="65FEB887" w14:textId="613AA08A" w:rsidR="00384584" w:rsidRPr="002E1AF6" w:rsidRDefault="00384584" w:rsidP="00384584">
            <w:pPr>
              <w:pStyle w:val="Style1"/>
              <w:adjustRightInd/>
              <w:ind w:right="113"/>
              <w:jc w:val="right"/>
              <w:rPr>
                <w:rFonts w:ascii="Arial" w:hAnsi="Arial" w:cs="Arial"/>
                <w:spacing w:val="-4"/>
                <w:sz w:val="18"/>
                <w:szCs w:val="20"/>
              </w:rPr>
            </w:pPr>
            <w:r w:rsidRPr="002E1AF6">
              <w:rPr>
                <w:rFonts w:ascii="Arial" w:hAnsi="Arial" w:cs="Arial"/>
                <w:spacing w:val="-4"/>
                <w:sz w:val="18"/>
                <w:szCs w:val="20"/>
              </w:rPr>
              <w:t>72.979</w:t>
            </w:r>
          </w:p>
        </w:tc>
        <w:tc>
          <w:tcPr>
            <w:tcW w:w="1418" w:type="dxa"/>
          </w:tcPr>
          <w:p w14:paraId="77FA06F4" w14:textId="4DBB09D3" w:rsidR="00384584" w:rsidRPr="002E1AF6" w:rsidRDefault="00384584" w:rsidP="00384584">
            <w:pPr>
              <w:pStyle w:val="Style1"/>
              <w:adjustRightInd/>
              <w:ind w:right="113"/>
              <w:jc w:val="right"/>
              <w:rPr>
                <w:rFonts w:ascii="Arial" w:hAnsi="Arial" w:cs="Arial"/>
                <w:spacing w:val="-4"/>
                <w:sz w:val="18"/>
                <w:szCs w:val="20"/>
              </w:rPr>
            </w:pPr>
            <w:r w:rsidRPr="002E1AF6">
              <w:rPr>
                <w:rFonts w:ascii="Arial" w:hAnsi="Arial" w:cs="Arial"/>
                <w:sz w:val="18"/>
                <w:szCs w:val="20"/>
              </w:rPr>
              <w:t>85.277</w:t>
            </w:r>
          </w:p>
        </w:tc>
      </w:tr>
      <w:tr w:rsidR="00384584" w:rsidRPr="00751A92" w14:paraId="1A6E7CA0" w14:textId="77777777" w:rsidTr="004D679A">
        <w:trPr>
          <w:trHeight w:val="255"/>
        </w:trPr>
        <w:tc>
          <w:tcPr>
            <w:tcW w:w="5954" w:type="dxa"/>
          </w:tcPr>
          <w:p w14:paraId="61661F31" w14:textId="2229C1A8" w:rsidR="00384584" w:rsidRPr="002E1AF6" w:rsidRDefault="00384584" w:rsidP="00384584">
            <w:pPr>
              <w:pStyle w:val="Style1"/>
              <w:adjustRightInd/>
              <w:jc w:val="both"/>
              <w:rPr>
                <w:rFonts w:ascii="Arial" w:hAnsi="Arial" w:cs="Arial"/>
                <w:spacing w:val="-6"/>
                <w:sz w:val="18"/>
                <w:szCs w:val="20"/>
              </w:rPr>
            </w:pPr>
            <w:r w:rsidRPr="002E1AF6">
              <w:rPr>
                <w:rFonts w:ascii="Arial" w:hAnsi="Arial" w:cs="Arial"/>
                <w:spacing w:val="-6"/>
                <w:sz w:val="18"/>
                <w:szCs w:val="20"/>
              </w:rPr>
              <w:t>Otros</w:t>
            </w:r>
          </w:p>
        </w:tc>
        <w:tc>
          <w:tcPr>
            <w:tcW w:w="1559" w:type="dxa"/>
            <w:vAlign w:val="bottom"/>
          </w:tcPr>
          <w:p w14:paraId="25C773F8" w14:textId="1F6C27BE" w:rsidR="00384584" w:rsidRPr="002E1AF6" w:rsidRDefault="00384584" w:rsidP="00384584">
            <w:pPr>
              <w:pStyle w:val="Style1"/>
              <w:adjustRightInd/>
              <w:ind w:right="113"/>
              <w:jc w:val="right"/>
              <w:rPr>
                <w:rFonts w:ascii="Arial" w:hAnsi="Arial" w:cs="Arial"/>
                <w:spacing w:val="-4"/>
                <w:sz w:val="18"/>
                <w:szCs w:val="20"/>
              </w:rPr>
            </w:pPr>
            <w:r w:rsidRPr="002E1AF6">
              <w:rPr>
                <w:rFonts w:ascii="Arial" w:hAnsi="Arial" w:cs="Arial"/>
                <w:spacing w:val="-4"/>
                <w:sz w:val="18"/>
                <w:szCs w:val="20"/>
              </w:rPr>
              <w:t>100.789</w:t>
            </w:r>
          </w:p>
        </w:tc>
        <w:tc>
          <w:tcPr>
            <w:tcW w:w="1418" w:type="dxa"/>
          </w:tcPr>
          <w:p w14:paraId="6FB8AA69" w14:textId="677F88FD" w:rsidR="00384584" w:rsidRPr="002E1AF6" w:rsidRDefault="00384584" w:rsidP="00384584">
            <w:pPr>
              <w:pStyle w:val="Style1"/>
              <w:adjustRightInd/>
              <w:ind w:right="113"/>
              <w:jc w:val="right"/>
              <w:rPr>
                <w:rFonts w:ascii="Arial" w:hAnsi="Arial" w:cs="Arial"/>
                <w:spacing w:val="-4"/>
                <w:sz w:val="18"/>
                <w:szCs w:val="20"/>
              </w:rPr>
            </w:pPr>
            <w:r w:rsidRPr="002E1AF6">
              <w:rPr>
                <w:rFonts w:ascii="Arial" w:hAnsi="Arial" w:cs="Arial"/>
                <w:sz w:val="18"/>
                <w:szCs w:val="20"/>
              </w:rPr>
              <w:t>107.703</w:t>
            </w:r>
          </w:p>
        </w:tc>
      </w:tr>
      <w:tr w:rsidR="00151C24" w:rsidRPr="00751A92" w14:paraId="4EE9CE14" w14:textId="77777777" w:rsidTr="0084502B">
        <w:trPr>
          <w:trHeight w:val="255"/>
        </w:trPr>
        <w:tc>
          <w:tcPr>
            <w:tcW w:w="5954" w:type="dxa"/>
            <w:shd w:val="clear" w:color="auto" w:fill="auto"/>
          </w:tcPr>
          <w:p w14:paraId="1B48566C" w14:textId="77777777" w:rsidR="00151C24" w:rsidRPr="002E1AF6" w:rsidRDefault="00151C24" w:rsidP="0084502B">
            <w:pPr>
              <w:jc w:val="both"/>
              <w:rPr>
                <w:rFonts w:ascii="Arial" w:hAnsi="Arial" w:cs="Arial"/>
                <w:b/>
                <w:sz w:val="18"/>
              </w:rPr>
            </w:pPr>
            <w:r w:rsidRPr="002E1AF6">
              <w:rPr>
                <w:rFonts w:ascii="Arial" w:hAnsi="Arial" w:cs="Arial"/>
                <w:b/>
                <w:sz w:val="18"/>
              </w:rPr>
              <w:t>Total</w:t>
            </w:r>
          </w:p>
        </w:tc>
        <w:tc>
          <w:tcPr>
            <w:tcW w:w="1559" w:type="dxa"/>
          </w:tcPr>
          <w:p w14:paraId="41283252" w14:textId="5CC768CC" w:rsidR="00151C24" w:rsidRPr="002E1AF6" w:rsidRDefault="00384584" w:rsidP="0084502B">
            <w:pPr>
              <w:ind w:right="134"/>
              <w:jc w:val="right"/>
              <w:rPr>
                <w:rFonts w:ascii="Arial" w:hAnsi="Arial" w:cs="Arial"/>
                <w:b/>
                <w:sz w:val="18"/>
              </w:rPr>
            </w:pPr>
            <w:r w:rsidRPr="002E1AF6">
              <w:rPr>
                <w:rFonts w:ascii="Arial" w:hAnsi="Arial" w:cs="Arial"/>
                <w:b/>
                <w:sz w:val="18"/>
              </w:rPr>
              <w:t>2.133.339</w:t>
            </w:r>
          </w:p>
        </w:tc>
        <w:tc>
          <w:tcPr>
            <w:tcW w:w="1418" w:type="dxa"/>
            <w:shd w:val="clear" w:color="auto" w:fill="auto"/>
          </w:tcPr>
          <w:p w14:paraId="3E1F3966" w14:textId="18C58521" w:rsidR="00151C24" w:rsidRPr="002E1AF6" w:rsidRDefault="00384584" w:rsidP="0084502B">
            <w:pPr>
              <w:ind w:right="134"/>
              <w:jc w:val="right"/>
              <w:rPr>
                <w:rFonts w:ascii="Arial" w:hAnsi="Arial" w:cs="Arial"/>
                <w:b/>
                <w:sz w:val="18"/>
              </w:rPr>
            </w:pPr>
            <w:r w:rsidRPr="002E1AF6">
              <w:rPr>
                <w:rFonts w:ascii="Arial" w:hAnsi="Arial" w:cs="Arial"/>
                <w:b/>
                <w:sz w:val="18"/>
              </w:rPr>
              <w:t>2.106.900</w:t>
            </w:r>
          </w:p>
        </w:tc>
      </w:tr>
    </w:tbl>
    <w:p w14:paraId="7A93AECD" w14:textId="77777777" w:rsidR="00151C24" w:rsidRPr="00751A92" w:rsidRDefault="00151C24" w:rsidP="00151C24">
      <w:pPr>
        <w:rPr>
          <w:rFonts w:ascii="Arial" w:hAnsi="Arial" w:cs="Arial"/>
          <w:bCs/>
          <w:color w:val="000000"/>
          <w:sz w:val="20"/>
          <w:lang w:eastAsia="es-AR"/>
        </w:rPr>
      </w:pPr>
    </w:p>
    <w:p w14:paraId="0EA5F100" w14:textId="6D0FD9F0" w:rsidR="00151C24" w:rsidRPr="00751A92" w:rsidRDefault="00151C24" w:rsidP="00151C24">
      <w:pPr>
        <w:rPr>
          <w:rFonts w:ascii="Arial" w:hAnsi="Arial" w:cs="Arial"/>
          <w:bCs/>
          <w:color w:val="000000"/>
          <w:sz w:val="20"/>
          <w:lang w:eastAsia="es-AR"/>
        </w:rPr>
      </w:pPr>
      <w:r w:rsidRPr="00751A92">
        <w:rPr>
          <w:rFonts w:ascii="Arial" w:hAnsi="Arial" w:cs="Arial"/>
          <w:bCs/>
          <w:color w:val="000000"/>
          <w:sz w:val="20"/>
          <w:lang w:eastAsia="es-AR"/>
        </w:rPr>
        <w:t>15.3 Egresos por intereses</w:t>
      </w:r>
    </w:p>
    <w:p w14:paraId="6F0C4A1D" w14:textId="77777777" w:rsidR="00DB7AF1" w:rsidRPr="00751A92" w:rsidRDefault="00DB7AF1" w:rsidP="00151C24">
      <w:pPr>
        <w:rPr>
          <w:rFonts w:ascii="Arial" w:hAnsi="Arial" w:cs="Arial"/>
          <w:bCs/>
          <w:color w:val="000000"/>
          <w:sz w:val="20"/>
          <w:lang w:eastAsia="es-A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559"/>
        <w:gridCol w:w="1418"/>
      </w:tblGrid>
      <w:tr w:rsidR="00901250" w:rsidRPr="00751A92" w14:paraId="5AC39585" w14:textId="77777777" w:rsidTr="0084502B">
        <w:trPr>
          <w:trHeight w:val="255"/>
          <w:tblHeader/>
        </w:trPr>
        <w:tc>
          <w:tcPr>
            <w:tcW w:w="5954" w:type="dxa"/>
            <w:shd w:val="clear" w:color="auto" w:fill="auto"/>
          </w:tcPr>
          <w:p w14:paraId="110679C9" w14:textId="77777777" w:rsidR="00901250" w:rsidRPr="002E1AF6" w:rsidRDefault="00901250" w:rsidP="00901250">
            <w:pPr>
              <w:tabs>
                <w:tab w:val="decimal" w:pos="284"/>
                <w:tab w:val="decimal" w:pos="6237"/>
                <w:tab w:val="decimal" w:pos="7200"/>
                <w:tab w:val="decimal" w:pos="8220"/>
                <w:tab w:val="decimal" w:pos="8900"/>
              </w:tabs>
              <w:jc w:val="both"/>
              <w:rPr>
                <w:rFonts w:ascii="Arial" w:hAnsi="Arial" w:cs="Arial"/>
                <w:b/>
                <w:sz w:val="18"/>
              </w:rPr>
            </w:pPr>
          </w:p>
        </w:tc>
        <w:tc>
          <w:tcPr>
            <w:tcW w:w="1559" w:type="dxa"/>
          </w:tcPr>
          <w:p w14:paraId="407AC001" w14:textId="71C7E390" w:rsidR="00901250" w:rsidRPr="002E1AF6" w:rsidRDefault="00901250" w:rsidP="00901250">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31/03/2020</w:t>
            </w:r>
          </w:p>
        </w:tc>
        <w:tc>
          <w:tcPr>
            <w:tcW w:w="1418" w:type="dxa"/>
            <w:shd w:val="clear" w:color="auto" w:fill="auto"/>
            <w:vAlign w:val="center"/>
          </w:tcPr>
          <w:p w14:paraId="4024B1BE" w14:textId="5BD213E9" w:rsidR="00901250" w:rsidRPr="002E1AF6" w:rsidRDefault="00901250" w:rsidP="00901250">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31/03/2019</w:t>
            </w:r>
          </w:p>
        </w:tc>
      </w:tr>
      <w:tr w:rsidR="00B53FFB" w:rsidRPr="00751A92" w14:paraId="7EC7A433" w14:textId="77777777" w:rsidTr="0084502B">
        <w:trPr>
          <w:trHeight w:val="255"/>
        </w:trPr>
        <w:tc>
          <w:tcPr>
            <w:tcW w:w="5954" w:type="dxa"/>
          </w:tcPr>
          <w:p w14:paraId="1C4C04CE" w14:textId="77777777" w:rsidR="00B53FFB" w:rsidRPr="002E1AF6" w:rsidRDefault="00B53FFB" w:rsidP="00B53FFB">
            <w:pPr>
              <w:ind w:left="180" w:hanging="151"/>
              <w:jc w:val="both"/>
              <w:rPr>
                <w:rFonts w:ascii="Arial" w:hAnsi="Arial" w:cs="Arial"/>
                <w:sz w:val="18"/>
              </w:rPr>
            </w:pPr>
            <w:r w:rsidRPr="002E1AF6">
              <w:rPr>
                <w:rFonts w:ascii="Arial" w:hAnsi="Arial" w:cs="Arial"/>
                <w:sz w:val="18"/>
              </w:rPr>
              <w:t>Cuentas corrientes</w:t>
            </w:r>
          </w:p>
        </w:tc>
        <w:tc>
          <w:tcPr>
            <w:tcW w:w="1559" w:type="dxa"/>
          </w:tcPr>
          <w:p w14:paraId="2B61257C" w14:textId="5FD5B15B" w:rsidR="00B53FFB" w:rsidRPr="002E1AF6" w:rsidRDefault="00B53FFB" w:rsidP="00B53FFB">
            <w:pPr>
              <w:ind w:right="134"/>
              <w:jc w:val="right"/>
              <w:rPr>
                <w:rFonts w:ascii="Arial" w:hAnsi="Arial" w:cs="Arial"/>
                <w:sz w:val="18"/>
              </w:rPr>
            </w:pPr>
            <w:r w:rsidRPr="002E1AF6">
              <w:rPr>
                <w:rFonts w:ascii="Arial" w:hAnsi="Arial" w:cs="Arial"/>
                <w:sz w:val="18"/>
              </w:rPr>
              <w:t>917.322</w:t>
            </w:r>
          </w:p>
        </w:tc>
        <w:tc>
          <w:tcPr>
            <w:tcW w:w="1418" w:type="dxa"/>
          </w:tcPr>
          <w:p w14:paraId="48E7C6EF" w14:textId="3F4A1086" w:rsidR="00B53FFB" w:rsidRPr="002E1AF6" w:rsidRDefault="00B53FFB" w:rsidP="00B53FFB">
            <w:pPr>
              <w:ind w:right="134"/>
              <w:jc w:val="right"/>
              <w:rPr>
                <w:rFonts w:ascii="Arial" w:hAnsi="Arial" w:cs="Arial"/>
                <w:sz w:val="18"/>
              </w:rPr>
            </w:pPr>
            <w:r w:rsidRPr="002E1AF6">
              <w:rPr>
                <w:rFonts w:ascii="Arial" w:hAnsi="Arial" w:cs="Arial"/>
                <w:sz w:val="18"/>
              </w:rPr>
              <w:t>2.071.994</w:t>
            </w:r>
          </w:p>
        </w:tc>
      </w:tr>
      <w:tr w:rsidR="00B53FFB" w:rsidRPr="00751A92" w14:paraId="46B5E650" w14:textId="77777777" w:rsidTr="0084502B">
        <w:trPr>
          <w:trHeight w:val="255"/>
        </w:trPr>
        <w:tc>
          <w:tcPr>
            <w:tcW w:w="5954" w:type="dxa"/>
          </w:tcPr>
          <w:p w14:paraId="4BF32F83" w14:textId="77777777" w:rsidR="00B53FFB" w:rsidRPr="002E1AF6" w:rsidRDefault="00B53FFB" w:rsidP="00B53FFB">
            <w:pPr>
              <w:ind w:left="180" w:hanging="151"/>
              <w:jc w:val="both"/>
              <w:rPr>
                <w:rFonts w:ascii="Arial" w:hAnsi="Arial" w:cs="Arial"/>
                <w:sz w:val="18"/>
              </w:rPr>
            </w:pPr>
            <w:r w:rsidRPr="002E1AF6">
              <w:rPr>
                <w:rFonts w:ascii="Arial" w:hAnsi="Arial" w:cs="Arial"/>
                <w:sz w:val="18"/>
              </w:rPr>
              <w:t>Cajas de ahorro</w:t>
            </w:r>
          </w:p>
        </w:tc>
        <w:tc>
          <w:tcPr>
            <w:tcW w:w="1559" w:type="dxa"/>
          </w:tcPr>
          <w:p w14:paraId="4B729F83" w14:textId="7118496E" w:rsidR="00B53FFB" w:rsidRPr="002E1AF6" w:rsidRDefault="00B53FFB" w:rsidP="00B53FFB">
            <w:pPr>
              <w:ind w:right="134"/>
              <w:jc w:val="right"/>
              <w:rPr>
                <w:rFonts w:ascii="Arial" w:hAnsi="Arial" w:cs="Arial"/>
                <w:sz w:val="18"/>
              </w:rPr>
            </w:pPr>
            <w:r w:rsidRPr="002E1AF6">
              <w:rPr>
                <w:rFonts w:ascii="Arial" w:hAnsi="Arial" w:cs="Arial"/>
                <w:sz w:val="18"/>
              </w:rPr>
              <w:t>1.990</w:t>
            </w:r>
          </w:p>
        </w:tc>
        <w:tc>
          <w:tcPr>
            <w:tcW w:w="1418" w:type="dxa"/>
          </w:tcPr>
          <w:p w14:paraId="075E4626" w14:textId="1768B096" w:rsidR="00B53FFB" w:rsidRPr="002E1AF6" w:rsidRDefault="00B53FFB" w:rsidP="00B53FFB">
            <w:pPr>
              <w:ind w:right="134"/>
              <w:jc w:val="right"/>
              <w:rPr>
                <w:rFonts w:ascii="Arial" w:hAnsi="Arial" w:cs="Arial"/>
                <w:sz w:val="18"/>
              </w:rPr>
            </w:pPr>
            <w:r w:rsidRPr="002E1AF6">
              <w:rPr>
                <w:rFonts w:ascii="Arial" w:hAnsi="Arial" w:cs="Arial"/>
                <w:sz w:val="18"/>
              </w:rPr>
              <w:t>2.571</w:t>
            </w:r>
          </w:p>
        </w:tc>
      </w:tr>
      <w:tr w:rsidR="00B53FFB" w:rsidRPr="00751A92" w14:paraId="635D7434" w14:textId="77777777" w:rsidTr="0084502B">
        <w:trPr>
          <w:trHeight w:val="255"/>
        </w:trPr>
        <w:tc>
          <w:tcPr>
            <w:tcW w:w="5954" w:type="dxa"/>
          </w:tcPr>
          <w:p w14:paraId="4B5161FB" w14:textId="77777777" w:rsidR="00B53FFB" w:rsidRPr="002E1AF6" w:rsidRDefault="00B53FFB" w:rsidP="00B53FFB">
            <w:pPr>
              <w:ind w:left="180" w:hanging="151"/>
              <w:jc w:val="both"/>
              <w:rPr>
                <w:rFonts w:ascii="Arial" w:hAnsi="Arial" w:cs="Arial"/>
                <w:sz w:val="18"/>
              </w:rPr>
            </w:pPr>
            <w:r w:rsidRPr="002E1AF6">
              <w:rPr>
                <w:rFonts w:ascii="Arial" w:hAnsi="Arial" w:cs="Arial"/>
                <w:sz w:val="18"/>
              </w:rPr>
              <w:t>Plazo fijo e inversiones a plazo</w:t>
            </w:r>
          </w:p>
        </w:tc>
        <w:tc>
          <w:tcPr>
            <w:tcW w:w="1559" w:type="dxa"/>
          </w:tcPr>
          <w:p w14:paraId="0C28A8A3" w14:textId="44F6A581" w:rsidR="00B53FFB" w:rsidRPr="002E1AF6" w:rsidRDefault="00B53FFB" w:rsidP="00B53FFB">
            <w:pPr>
              <w:ind w:right="134"/>
              <w:jc w:val="right"/>
              <w:rPr>
                <w:rFonts w:ascii="Arial" w:hAnsi="Arial" w:cs="Arial"/>
                <w:sz w:val="18"/>
              </w:rPr>
            </w:pPr>
            <w:r w:rsidRPr="002E1AF6">
              <w:rPr>
                <w:rFonts w:ascii="Arial" w:hAnsi="Arial" w:cs="Arial"/>
                <w:sz w:val="18"/>
              </w:rPr>
              <w:t>3.283.672</w:t>
            </w:r>
          </w:p>
        </w:tc>
        <w:tc>
          <w:tcPr>
            <w:tcW w:w="1418" w:type="dxa"/>
          </w:tcPr>
          <w:p w14:paraId="0EDA2F83" w14:textId="264B1E0B" w:rsidR="00B53FFB" w:rsidRPr="002E1AF6" w:rsidRDefault="00B53FFB" w:rsidP="00B53FFB">
            <w:pPr>
              <w:ind w:right="134"/>
              <w:jc w:val="right"/>
              <w:rPr>
                <w:rFonts w:ascii="Arial" w:hAnsi="Arial" w:cs="Arial"/>
                <w:sz w:val="18"/>
              </w:rPr>
            </w:pPr>
            <w:r w:rsidRPr="002E1AF6">
              <w:rPr>
                <w:rFonts w:ascii="Arial" w:hAnsi="Arial" w:cs="Arial"/>
                <w:sz w:val="18"/>
              </w:rPr>
              <w:t>4.897.840</w:t>
            </w:r>
          </w:p>
        </w:tc>
      </w:tr>
      <w:tr w:rsidR="00B53FFB" w:rsidRPr="00751A92" w14:paraId="28DD655B" w14:textId="77777777" w:rsidTr="0084502B">
        <w:trPr>
          <w:trHeight w:val="255"/>
        </w:trPr>
        <w:tc>
          <w:tcPr>
            <w:tcW w:w="5954" w:type="dxa"/>
          </w:tcPr>
          <w:p w14:paraId="133FD0E6" w14:textId="77777777" w:rsidR="00B53FFB" w:rsidRPr="002E1AF6" w:rsidRDefault="00B53FFB" w:rsidP="00B53FFB">
            <w:pPr>
              <w:ind w:left="180" w:hanging="151"/>
              <w:jc w:val="both"/>
              <w:rPr>
                <w:rFonts w:ascii="Arial" w:hAnsi="Arial" w:cs="Arial"/>
                <w:sz w:val="18"/>
              </w:rPr>
            </w:pPr>
            <w:r w:rsidRPr="002E1AF6">
              <w:rPr>
                <w:rFonts w:ascii="Arial" w:hAnsi="Arial" w:cs="Arial"/>
                <w:sz w:val="18"/>
              </w:rPr>
              <w:t>Otros</w:t>
            </w:r>
          </w:p>
        </w:tc>
        <w:tc>
          <w:tcPr>
            <w:tcW w:w="1559" w:type="dxa"/>
          </w:tcPr>
          <w:p w14:paraId="123DD183" w14:textId="7D122B0E" w:rsidR="00B53FFB" w:rsidRPr="002E1AF6" w:rsidRDefault="00B53FFB" w:rsidP="00B53FFB">
            <w:pPr>
              <w:ind w:right="134"/>
              <w:jc w:val="right"/>
              <w:rPr>
                <w:rFonts w:ascii="Arial" w:hAnsi="Arial" w:cs="Arial"/>
                <w:sz w:val="18"/>
              </w:rPr>
            </w:pPr>
            <w:r w:rsidRPr="002E1AF6">
              <w:rPr>
                <w:rFonts w:ascii="Arial" w:hAnsi="Arial" w:cs="Arial"/>
                <w:sz w:val="18"/>
              </w:rPr>
              <w:t>954.836</w:t>
            </w:r>
          </w:p>
        </w:tc>
        <w:tc>
          <w:tcPr>
            <w:tcW w:w="1418" w:type="dxa"/>
          </w:tcPr>
          <w:p w14:paraId="689B4CC7" w14:textId="2ACC64A3" w:rsidR="00B53FFB" w:rsidRPr="002E1AF6" w:rsidRDefault="00B53FFB" w:rsidP="00B53FFB">
            <w:pPr>
              <w:ind w:right="134"/>
              <w:jc w:val="right"/>
              <w:rPr>
                <w:rFonts w:ascii="Arial" w:hAnsi="Arial" w:cs="Arial"/>
                <w:sz w:val="18"/>
              </w:rPr>
            </w:pPr>
            <w:r w:rsidRPr="002E1AF6">
              <w:rPr>
                <w:rFonts w:ascii="Arial" w:hAnsi="Arial" w:cs="Arial"/>
                <w:sz w:val="18"/>
              </w:rPr>
              <w:t>869.934</w:t>
            </w:r>
          </w:p>
        </w:tc>
      </w:tr>
      <w:tr w:rsidR="00B53FFB" w:rsidRPr="00751A92" w14:paraId="6349FA5D" w14:textId="77777777" w:rsidTr="00C71087">
        <w:trPr>
          <w:trHeight w:val="255"/>
        </w:trPr>
        <w:tc>
          <w:tcPr>
            <w:tcW w:w="5954" w:type="dxa"/>
          </w:tcPr>
          <w:p w14:paraId="50861F96" w14:textId="77777777" w:rsidR="00B53FFB" w:rsidRPr="002E1AF6" w:rsidRDefault="00B53FFB" w:rsidP="00B53FFB">
            <w:pPr>
              <w:ind w:left="180" w:hanging="151"/>
              <w:jc w:val="both"/>
              <w:rPr>
                <w:rFonts w:ascii="Arial" w:hAnsi="Arial" w:cs="Arial"/>
                <w:sz w:val="18"/>
              </w:rPr>
            </w:pPr>
            <w:r w:rsidRPr="002E1AF6">
              <w:rPr>
                <w:rFonts w:ascii="Arial" w:hAnsi="Arial" w:cs="Arial"/>
                <w:sz w:val="18"/>
              </w:rPr>
              <w:t>Por financiaciones recibidas del BCRA y otras instituciones financieras</w:t>
            </w:r>
          </w:p>
        </w:tc>
        <w:tc>
          <w:tcPr>
            <w:tcW w:w="1559" w:type="dxa"/>
            <w:vAlign w:val="center"/>
          </w:tcPr>
          <w:p w14:paraId="44769AEE" w14:textId="500E52C1" w:rsidR="00B53FFB" w:rsidRPr="002E1AF6" w:rsidRDefault="00B53FFB" w:rsidP="00C71087">
            <w:pPr>
              <w:ind w:right="134"/>
              <w:jc w:val="right"/>
              <w:rPr>
                <w:rFonts w:ascii="Arial" w:hAnsi="Arial" w:cs="Arial"/>
                <w:sz w:val="18"/>
              </w:rPr>
            </w:pPr>
            <w:r w:rsidRPr="002E1AF6">
              <w:rPr>
                <w:rFonts w:ascii="Arial" w:hAnsi="Arial" w:cs="Arial"/>
                <w:sz w:val="18"/>
              </w:rPr>
              <w:t>94.740</w:t>
            </w:r>
          </w:p>
        </w:tc>
        <w:tc>
          <w:tcPr>
            <w:tcW w:w="1418" w:type="dxa"/>
            <w:vAlign w:val="center"/>
          </w:tcPr>
          <w:p w14:paraId="15226359" w14:textId="7E3D967B" w:rsidR="00B53FFB" w:rsidRPr="002E1AF6" w:rsidRDefault="00B53FFB" w:rsidP="00C71087">
            <w:pPr>
              <w:ind w:right="134"/>
              <w:jc w:val="right"/>
              <w:rPr>
                <w:rFonts w:ascii="Arial" w:hAnsi="Arial" w:cs="Arial"/>
                <w:sz w:val="18"/>
              </w:rPr>
            </w:pPr>
            <w:r w:rsidRPr="002E1AF6">
              <w:rPr>
                <w:rFonts w:ascii="Arial" w:hAnsi="Arial" w:cs="Arial"/>
                <w:sz w:val="18"/>
              </w:rPr>
              <w:t>279.407</w:t>
            </w:r>
          </w:p>
        </w:tc>
      </w:tr>
      <w:tr w:rsidR="00B53FFB" w:rsidRPr="00751A92" w14:paraId="2569E6F6" w14:textId="77777777" w:rsidTr="0084502B">
        <w:trPr>
          <w:trHeight w:val="255"/>
        </w:trPr>
        <w:tc>
          <w:tcPr>
            <w:tcW w:w="5954" w:type="dxa"/>
          </w:tcPr>
          <w:p w14:paraId="2816A1FF" w14:textId="77777777" w:rsidR="00B53FFB" w:rsidRPr="002E1AF6" w:rsidRDefault="00B53FFB" w:rsidP="00B53FFB">
            <w:pPr>
              <w:ind w:left="180" w:hanging="151"/>
              <w:jc w:val="both"/>
              <w:rPr>
                <w:rFonts w:ascii="Arial" w:hAnsi="Arial" w:cs="Arial"/>
                <w:sz w:val="18"/>
              </w:rPr>
            </w:pPr>
            <w:r w:rsidRPr="002E1AF6">
              <w:rPr>
                <w:rFonts w:ascii="Arial" w:hAnsi="Arial" w:cs="Arial"/>
                <w:sz w:val="18"/>
              </w:rPr>
              <w:t>Por operaciones de pase</w:t>
            </w:r>
          </w:p>
        </w:tc>
        <w:tc>
          <w:tcPr>
            <w:tcW w:w="1559" w:type="dxa"/>
          </w:tcPr>
          <w:p w14:paraId="07516FCF" w14:textId="17EC4EBF" w:rsidR="00B53FFB" w:rsidRPr="002E1AF6" w:rsidRDefault="00B53FFB" w:rsidP="00B53FFB">
            <w:pPr>
              <w:tabs>
                <w:tab w:val="left" w:pos="1307"/>
              </w:tabs>
              <w:ind w:right="134"/>
              <w:jc w:val="right"/>
              <w:rPr>
                <w:rFonts w:ascii="Arial" w:hAnsi="Arial" w:cs="Arial"/>
                <w:sz w:val="18"/>
              </w:rPr>
            </w:pPr>
            <w:r w:rsidRPr="002E1AF6">
              <w:rPr>
                <w:rFonts w:ascii="Arial" w:hAnsi="Arial" w:cs="Arial"/>
                <w:sz w:val="18"/>
              </w:rPr>
              <w:t>64.951</w:t>
            </w:r>
          </w:p>
        </w:tc>
        <w:tc>
          <w:tcPr>
            <w:tcW w:w="1418" w:type="dxa"/>
          </w:tcPr>
          <w:p w14:paraId="5A3B0634" w14:textId="597D1C3C" w:rsidR="00B53FFB" w:rsidRPr="002E1AF6" w:rsidRDefault="00B53FFB" w:rsidP="00B53FFB">
            <w:pPr>
              <w:tabs>
                <w:tab w:val="left" w:pos="1307"/>
              </w:tabs>
              <w:ind w:right="134"/>
              <w:jc w:val="right"/>
              <w:rPr>
                <w:rFonts w:ascii="Arial" w:hAnsi="Arial" w:cs="Arial"/>
                <w:sz w:val="18"/>
              </w:rPr>
            </w:pPr>
            <w:r w:rsidRPr="002E1AF6">
              <w:rPr>
                <w:rFonts w:ascii="Arial" w:hAnsi="Arial" w:cs="Arial"/>
                <w:sz w:val="18"/>
              </w:rPr>
              <w:t>213.377</w:t>
            </w:r>
          </w:p>
        </w:tc>
      </w:tr>
      <w:tr w:rsidR="00B53FFB" w:rsidRPr="00751A92" w14:paraId="7A089BDD" w14:textId="77777777" w:rsidTr="0084502B">
        <w:trPr>
          <w:trHeight w:val="255"/>
        </w:trPr>
        <w:tc>
          <w:tcPr>
            <w:tcW w:w="5954" w:type="dxa"/>
          </w:tcPr>
          <w:p w14:paraId="6ACE3EAF" w14:textId="77777777" w:rsidR="00B53FFB" w:rsidRPr="002E1AF6" w:rsidRDefault="00B53FFB" w:rsidP="00B53FFB">
            <w:pPr>
              <w:pStyle w:val="Style1"/>
              <w:adjustRightInd/>
              <w:ind w:left="162" w:hanging="151"/>
              <w:jc w:val="both"/>
              <w:rPr>
                <w:rFonts w:ascii="Arial" w:hAnsi="Arial" w:cs="Arial"/>
                <w:spacing w:val="-6"/>
                <w:sz w:val="18"/>
                <w:szCs w:val="20"/>
              </w:rPr>
            </w:pPr>
            <w:r w:rsidRPr="002E1AF6">
              <w:rPr>
                <w:rFonts w:ascii="Arial" w:hAnsi="Arial" w:cs="Arial"/>
                <w:spacing w:val="-6"/>
                <w:sz w:val="18"/>
                <w:szCs w:val="20"/>
              </w:rPr>
              <w:t>Por otros pasivos financieros</w:t>
            </w:r>
          </w:p>
        </w:tc>
        <w:tc>
          <w:tcPr>
            <w:tcW w:w="1559" w:type="dxa"/>
          </w:tcPr>
          <w:p w14:paraId="0547BF2E" w14:textId="796011D4" w:rsidR="00B53FFB" w:rsidRPr="002E1AF6" w:rsidRDefault="00B53FFB" w:rsidP="00B53FFB">
            <w:pPr>
              <w:pStyle w:val="Style1"/>
              <w:adjustRightInd/>
              <w:ind w:right="134"/>
              <w:jc w:val="right"/>
              <w:rPr>
                <w:rFonts w:ascii="Arial" w:hAnsi="Arial" w:cs="Arial"/>
                <w:spacing w:val="-4"/>
                <w:sz w:val="18"/>
                <w:szCs w:val="20"/>
              </w:rPr>
            </w:pPr>
            <w:r w:rsidRPr="002E1AF6">
              <w:rPr>
                <w:rFonts w:ascii="Arial" w:hAnsi="Arial" w:cs="Arial"/>
                <w:spacing w:val="-4"/>
                <w:sz w:val="18"/>
                <w:szCs w:val="20"/>
              </w:rPr>
              <w:t>723.052</w:t>
            </w:r>
          </w:p>
        </w:tc>
        <w:tc>
          <w:tcPr>
            <w:tcW w:w="1418" w:type="dxa"/>
          </w:tcPr>
          <w:p w14:paraId="2C7E0813" w14:textId="2FB0FD58" w:rsidR="00B53FFB" w:rsidRPr="002E1AF6" w:rsidRDefault="00B53FFB" w:rsidP="00B53FFB">
            <w:pPr>
              <w:pStyle w:val="Style1"/>
              <w:adjustRightInd/>
              <w:ind w:right="134"/>
              <w:jc w:val="right"/>
              <w:rPr>
                <w:rFonts w:ascii="Arial" w:hAnsi="Arial" w:cs="Arial"/>
                <w:spacing w:val="-4"/>
                <w:sz w:val="18"/>
                <w:szCs w:val="20"/>
              </w:rPr>
            </w:pPr>
            <w:r w:rsidRPr="002E1AF6">
              <w:rPr>
                <w:rFonts w:ascii="Arial" w:hAnsi="Arial" w:cs="Arial"/>
                <w:sz w:val="18"/>
                <w:szCs w:val="20"/>
              </w:rPr>
              <w:t>2.065.965</w:t>
            </w:r>
          </w:p>
        </w:tc>
      </w:tr>
      <w:tr w:rsidR="00151C24" w:rsidRPr="00751A92" w14:paraId="10101E3E" w14:textId="77777777" w:rsidTr="0084502B">
        <w:trPr>
          <w:trHeight w:val="255"/>
        </w:trPr>
        <w:tc>
          <w:tcPr>
            <w:tcW w:w="5954" w:type="dxa"/>
          </w:tcPr>
          <w:p w14:paraId="37505AC2" w14:textId="77777777" w:rsidR="00151C24" w:rsidRPr="002E1AF6" w:rsidRDefault="00151C24" w:rsidP="0084502B">
            <w:pPr>
              <w:pStyle w:val="Style1"/>
              <w:adjustRightInd/>
              <w:ind w:left="162" w:hanging="151"/>
              <w:jc w:val="both"/>
              <w:rPr>
                <w:rFonts w:ascii="Arial" w:hAnsi="Arial" w:cs="Arial"/>
                <w:spacing w:val="-6"/>
                <w:sz w:val="18"/>
                <w:szCs w:val="20"/>
              </w:rPr>
            </w:pPr>
            <w:r w:rsidRPr="002E1AF6">
              <w:rPr>
                <w:rFonts w:ascii="Arial" w:hAnsi="Arial" w:cs="Arial"/>
                <w:spacing w:val="-6"/>
                <w:sz w:val="18"/>
                <w:szCs w:val="20"/>
              </w:rPr>
              <w:t>Por otras obligaciones negociables subordinadas</w:t>
            </w:r>
          </w:p>
        </w:tc>
        <w:tc>
          <w:tcPr>
            <w:tcW w:w="1559" w:type="dxa"/>
          </w:tcPr>
          <w:p w14:paraId="20B6867E" w14:textId="71B4B588" w:rsidR="00151C24" w:rsidRPr="002E1AF6" w:rsidRDefault="00384584" w:rsidP="0084502B">
            <w:pPr>
              <w:pStyle w:val="Style1"/>
              <w:adjustRightInd/>
              <w:ind w:right="134"/>
              <w:jc w:val="right"/>
              <w:rPr>
                <w:rFonts w:ascii="Arial" w:hAnsi="Arial" w:cs="Arial"/>
                <w:spacing w:val="-4"/>
                <w:sz w:val="18"/>
                <w:szCs w:val="20"/>
              </w:rPr>
            </w:pPr>
            <w:r w:rsidRPr="002E1AF6">
              <w:rPr>
                <w:rFonts w:ascii="Arial" w:hAnsi="Arial" w:cs="Arial"/>
                <w:spacing w:val="-4"/>
                <w:sz w:val="18"/>
                <w:szCs w:val="20"/>
              </w:rPr>
              <w:t>35.819</w:t>
            </w:r>
          </w:p>
        </w:tc>
        <w:tc>
          <w:tcPr>
            <w:tcW w:w="1418" w:type="dxa"/>
          </w:tcPr>
          <w:p w14:paraId="1552443A" w14:textId="2EF0093D" w:rsidR="00151C24" w:rsidRPr="002E1AF6" w:rsidRDefault="00B53FFB" w:rsidP="0084502B">
            <w:pPr>
              <w:pStyle w:val="Style1"/>
              <w:adjustRightInd/>
              <w:ind w:right="134"/>
              <w:jc w:val="right"/>
              <w:rPr>
                <w:rFonts w:ascii="Arial" w:hAnsi="Arial" w:cs="Arial"/>
                <w:spacing w:val="-4"/>
                <w:sz w:val="18"/>
                <w:szCs w:val="20"/>
              </w:rPr>
            </w:pPr>
            <w:r w:rsidRPr="002E1AF6">
              <w:rPr>
                <w:rFonts w:ascii="Arial" w:hAnsi="Arial" w:cs="Arial"/>
                <w:spacing w:val="-4"/>
                <w:sz w:val="18"/>
                <w:szCs w:val="20"/>
              </w:rPr>
              <w:t>37.277</w:t>
            </w:r>
          </w:p>
        </w:tc>
      </w:tr>
      <w:tr w:rsidR="00151C24" w:rsidRPr="00751A92" w14:paraId="26989D0A" w14:textId="77777777" w:rsidTr="0084502B">
        <w:trPr>
          <w:trHeight w:val="255"/>
        </w:trPr>
        <w:tc>
          <w:tcPr>
            <w:tcW w:w="5954" w:type="dxa"/>
            <w:shd w:val="clear" w:color="auto" w:fill="auto"/>
          </w:tcPr>
          <w:p w14:paraId="5564FAB4" w14:textId="77777777" w:rsidR="00151C24" w:rsidRPr="002E1AF6" w:rsidRDefault="00151C24" w:rsidP="0084502B">
            <w:pPr>
              <w:jc w:val="both"/>
              <w:rPr>
                <w:rFonts w:ascii="Arial" w:hAnsi="Arial" w:cs="Arial"/>
                <w:b/>
                <w:sz w:val="18"/>
              </w:rPr>
            </w:pPr>
            <w:r w:rsidRPr="002E1AF6">
              <w:rPr>
                <w:rFonts w:ascii="Arial" w:hAnsi="Arial" w:cs="Arial"/>
                <w:b/>
                <w:sz w:val="18"/>
              </w:rPr>
              <w:t>Total</w:t>
            </w:r>
          </w:p>
        </w:tc>
        <w:tc>
          <w:tcPr>
            <w:tcW w:w="1559" w:type="dxa"/>
          </w:tcPr>
          <w:p w14:paraId="1DF29E7D" w14:textId="3EF24F17" w:rsidR="00151C24" w:rsidRPr="002E1AF6" w:rsidRDefault="00384584" w:rsidP="0084502B">
            <w:pPr>
              <w:pStyle w:val="Style1"/>
              <w:adjustRightInd/>
              <w:ind w:right="107"/>
              <w:jc w:val="right"/>
              <w:rPr>
                <w:rFonts w:ascii="Arial" w:hAnsi="Arial" w:cs="Arial"/>
                <w:b/>
                <w:spacing w:val="-4"/>
                <w:sz w:val="18"/>
                <w:szCs w:val="20"/>
              </w:rPr>
            </w:pPr>
            <w:r w:rsidRPr="002E1AF6">
              <w:rPr>
                <w:rFonts w:ascii="Arial" w:hAnsi="Arial" w:cs="Arial"/>
                <w:b/>
                <w:spacing w:val="-4"/>
                <w:sz w:val="18"/>
                <w:szCs w:val="20"/>
              </w:rPr>
              <w:t>6.076.382</w:t>
            </w:r>
          </w:p>
        </w:tc>
        <w:tc>
          <w:tcPr>
            <w:tcW w:w="1418" w:type="dxa"/>
            <w:shd w:val="clear" w:color="auto" w:fill="auto"/>
          </w:tcPr>
          <w:p w14:paraId="7FB6E5BE" w14:textId="44DD451D" w:rsidR="00151C24" w:rsidRPr="002E1AF6" w:rsidRDefault="00B53FFB" w:rsidP="0084502B">
            <w:pPr>
              <w:pStyle w:val="Style1"/>
              <w:adjustRightInd/>
              <w:ind w:right="107"/>
              <w:jc w:val="right"/>
              <w:rPr>
                <w:rFonts w:ascii="Arial" w:hAnsi="Arial" w:cs="Arial"/>
                <w:b/>
                <w:sz w:val="18"/>
                <w:szCs w:val="20"/>
              </w:rPr>
            </w:pPr>
            <w:r w:rsidRPr="002E1AF6">
              <w:rPr>
                <w:rFonts w:ascii="Arial" w:hAnsi="Arial" w:cs="Arial"/>
                <w:b/>
                <w:sz w:val="18"/>
                <w:szCs w:val="20"/>
              </w:rPr>
              <w:t>10.438.365</w:t>
            </w:r>
          </w:p>
        </w:tc>
      </w:tr>
    </w:tbl>
    <w:p w14:paraId="47CD5B94" w14:textId="77777777" w:rsidR="00151C24" w:rsidRPr="00751A92" w:rsidRDefault="00151C24" w:rsidP="00151C24">
      <w:pPr>
        <w:rPr>
          <w:rFonts w:ascii="Arial" w:hAnsi="Arial" w:cs="Arial"/>
          <w:bCs/>
          <w:color w:val="000000"/>
          <w:sz w:val="20"/>
          <w:lang w:eastAsia="es-AR"/>
        </w:rPr>
      </w:pPr>
    </w:p>
    <w:p w14:paraId="2C3F1987" w14:textId="4E868A9F" w:rsidR="00151C24" w:rsidRPr="00751A92" w:rsidRDefault="00151C24" w:rsidP="00151C24">
      <w:pPr>
        <w:rPr>
          <w:rFonts w:ascii="Arial" w:hAnsi="Arial" w:cs="Arial"/>
          <w:bCs/>
          <w:color w:val="000000"/>
          <w:sz w:val="20"/>
          <w:lang w:eastAsia="es-AR"/>
        </w:rPr>
      </w:pPr>
      <w:r w:rsidRPr="00751A92">
        <w:rPr>
          <w:rFonts w:ascii="Arial" w:hAnsi="Arial" w:cs="Arial"/>
          <w:bCs/>
          <w:color w:val="000000"/>
          <w:sz w:val="20"/>
          <w:lang w:eastAsia="es-AR"/>
        </w:rPr>
        <w:t>15.4 Egresos por comisiones</w:t>
      </w:r>
    </w:p>
    <w:p w14:paraId="0BC324F1" w14:textId="77777777" w:rsidR="00151C24" w:rsidRPr="00751A92" w:rsidRDefault="00151C24" w:rsidP="00151C24">
      <w:pPr>
        <w:rPr>
          <w:rFonts w:ascii="Arial" w:hAnsi="Arial" w:cs="Arial"/>
          <w:bCs/>
          <w:color w:val="000000"/>
          <w:sz w:val="20"/>
          <w:lang w:eastAsia="es-AR"/>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559"/>
        <w:gridCol w:w="1559"/>
      </w:tblGrid>
      <w:tr w:rsidR="00901250" w:rsidRPr="00751A92" w14:paraId="02FA3520" w14:textId="77777777" w:rsidTr="0084502B">
        <w:trPr>
          <w:trHeight w:val="255"/>
          <w:tblHeader/>
        </w:trPr>
        <w:tc>
          <w:tcPr>
            <w:tcW w:w="5954" w:type="dxa"/>
            <w:shd w:val="clear" w:color="auto" w:fill="auto"/>
          </w:tcPr>
          <w:p w14:paraId="4D4EEFA2" w14:textId="77777777" w:rsidR="00901250" w:rsidRPr="002E1AF6" w:rsidRDefault="00901250" w:rsidP="00901250">
            <w:pPr>
              <w:tabs>
                <w:tab w:val="decimal" w:pos="284"/>
                <w:tab w:val="decimal" w:pos="6237"/>
                <w:tab w:val="decimal" w:pos="7200"/>
                <w:tab w:val="decimal" w:pos="8220"/>
                <w:tab w:val="decimal" w:pos="8900"/>
              </w:tabs>
              <w:jc w:val="both"/>
              <w:rPr>
                <w:rFonts w:ascii="Arial" w:hAnsi="Arial" w:cs="Arial"/>
                <w:b/>
                <w:sz w:val="18"/>
              </w:rPr>
            </w:pPr>
          </w:p>
        </w:tc>
        <w:tc>
          <w:tcPr>
            <w:tcW w:w="1559" w:type="dxa"/>
          </w:tcPr>
          <w:p w14:paraId="684BE7DA" w14:textId="68ED5475" w:rsidR="00901250" w:rsidRPr="002E1AF6" w:rsidRDefault="00901250" w:rsidP="00901250">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31/03/2020</w:t>
            </w:r>
          </w:p>
        </w:tc>
        <w:tc>
          <w:tcPr>
            <w:tcW w:w="1559" w:type="dxa"/>
            <w:shd w:val="clear" w:color="auto" w:fill="auto"/>
            <w:vAlign w:val="center"/>
          </w:tcPr>
          <w:p w14:paraId="430A7368" w14:textId="4026CBD1" w:rsidR="00901250" w:rsidRPr="002E1AF6" w:rsidRDefault="00901250" w:rsidP="00901250">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31/03/2019</w:t>
            </w:r>
          </w:p>
        </w:tc>
      </w:tr>
      <w:tr w:rsidR="00151C24" w:rsidRPr="00751A92" w14:paraId="44D6846C" w14:textId="77777777" w:rsidTr="0084502B">
        <w:trPr>
          <w:trHeight w:val="255"/>
        </w:trPr>
        <w:tc>
          <w:tcPr>
            <w:tcW w:w="5954" w:type="dxa"/>
            <w:shd w:val="clear" w:color="auto" w:fill="auto"/>
          </w:tcPr>
          <w:p w14:paraId="53D4C605" w14:textId="77777777" w:rsidR="00151C24" w:rsidRPr="002E1AF6" w:rsidRDefault="00151C24" w:rsidP="0084502B">
            <w:pPr>
              <w:ind w:left="29"/>
              <w:jc w:val="both"/>
              <w:rPr>
                <w:rFonts w:ascii="Arial" w:hAnsi="Arial" w:cs="Arial"/>
                <w:sz w:val="18"/>
              </w:rPr>
            </w:pPr>
            <w:r w:rsidRPr="002E1AF6">
              <w:rPr>
                <w:rFonts w:ascii="Arial" w:hAnsi="Arial" w:cs="Arial"/>
                <w:sz w:val="18"/>
              </w:rPr>
              <w:t>Comisiones vinculadas con operaciones con títulos valores</w:t>
            </w:r>
          </w:p>
        </w:tc>
        <w:tc>
          <w:tcPr>
            <w:tcW w:w="1559" w:type="dxa"/>
            <w:vAlign w:val="center"/>
          </w:tcPr>
          <w:p w14:paraId="24BD8CE8" w14:textId="0BC8FBA1" w:rsidR="00151C24" w:rsidRPr="002E1AF6" w:rsidRDefault="00B53FFB" w:rsidP="0084502B">
            <w:pPr>
              <w:ind w:right="113"/>
              <w:jc w:val="right"/>
              <w:rPr>
                <w:rFonts w:ascii="Arial" w:hAnsi="Arial" w:cs="Arial"/>
                <w:sz w:val="18"/>
              </w:rPr>
            </w:pPr>
            <w:r w:rsidRPr="002E1AF6">
              <w:rPr>
                <w:rFonts w:ascii="Arial" w:hAnsi="Arial" w:cs="Arial"/>
                <w:sz w:val="18"/>
              </w:rPr>
              <w:t>722</w:t>
            </w:r>
          </w:p>
        </w:tc>
        <w:tc>
          <w:tcPr>
            <w:tcW w:w="1559" w:type="dxa"/>
            <w:shd w:val="clear" w:color="auto" w:fill="auto"/>
            <w:vAlign w:val="center"/>
          </w:tcPr>
          <w:p w14:paraId="16D357A8" w14:textId="2B46D99C" w:rsidR="00151C24" w:rsidRPr="002E1AF6" w:rsidRDefault="00B53FFB" w:rsidP="0084502B">
            <w:pPr>
              <w:ind w:right="113"/>
              <w:jc w:val="right"/>
              <w:rPr>
                <w:rFonts w:ascii="Arial" w:hAnsi="Arial" w:cs="Arial"/>
                <w:sz w:val="18"/>
              </w:rPr>
            </w:pPr>
            <w:r w:rsidRPr="002E1AF6">
              <w:rPr>
                <w:rFonts w:ascii="Arial" w:hAnsi="Arial" w:cs="Arial"/>
                <w:sz w:val="18"/>
              </w:rPr>
              <w:t>4.771</w:t>
            </w:r>
          </w:p>
        </w:tc>
      </w:tr>
      <w:tr w:rsidR="00B53FFB" w:rsidRPr="00751A92" w14:paraId="15248EBE" w14:textId="77777777" w:rsidTr="004D679A">
        <w:trPr>
          <w:trHeight w:val="255"/>
        </w:trPr>
        <w:tc>
          <w:tcPr>
            <w:tcW w:w="5954" w:type="dxa"/>
          </w:tcPr>
          <w:p w14:paraId="74A30C81" w14:textId="77777777" w:rsidR="00B53FFB" w:rsidRPr="002E1AF6" w:rsidRDefault="00B53FFB" w:rsidP="00B53FFB">
            <w:pPr>
              <w:ind w:left="29"/>
              <w:jc w:val="both"/>
              <w:rPr>
                <w:rFonts w:ascii="Arial" w:hAnsi="Arial" w:cs="Arial"/>
                <w:sz w:val="18"/>
              </w:rPr>
            </w:pPr>
            <w:r w:rsidRPr="002E1AF6">
              <w:rPr>
                <w:rFonts w:ascii="Arial" w:hAnsi="Arial" w:cs="Arial"/>
                <w:sz w:val="18"/>
              </w:rPr>
              <w:t>Comisiones bancarias</w:t>
            </w:r>
          </w:p>
        </w:tc>
        <w:tc>
          <w:tcPr>
            <w:tcW w:w="1559" w:type="dxa"/>
          </w:tcPr>
          <w:p w14:paraId="2E23B8EF" w14:textId="4A851C5D" w:rsidR="00B53FFB" w:rsidRPr="002E1AF6" w:rsidRDefault="00B53FFB" w:rsidP="00B53FFB">
            <w:pPr>
              <w:ind w:right="113"/>
              <w:jc w:val="right"/>
              <w:rPr>
                <w:rFonts w:ascii="Arial" w:hAnsi="Arial" w:cs="Arial"/>
                <w:sz w:val="18"/>
              </w:rPr>
            </w:pPr>
            <w:r w:rsidRPr="002E1AF6">
              <w:rPr>
                <w:rFonts w:ascii="Arial" w:hAnsi="Arial" w:cs="Arial"/>
                <w:sz w:val="18"/>
              </w:rPr>
              <w:t>1.501</w:t>
            </w:r>
          </w:p>
        </w:tc>
        <w:tc>
          <w:tcPr>
            <w:tcW w:w="1559" w:type="dxa"/>
          </w:tcPr>
          <w:p w14:paraId="2B7A7D45" w14:textId="5BB6F605" w:rsidR="00B53FFB" w:rsidRPr="002E1AF6" w:rsidRDefault="00B53FFB" w:rsidP="00B53FFB">
            <w:pPr>
              <w:ind w:right="113"/>
              <w:jc w:val="right"/>
              <w:rPr>
                <w:rFonts w:ascii="Arial" w:hAnsi="Arial" w:cs="Arial"/>
                <w:sz w:val="18"/>
              </w:rPr>
            </w:pPr>
            <w:r w:rsidRPr="002E1AF6">
              <w:rPr>
                <w:rFonts w:ascii="Arial" w:hAnsi="Arial" w:cs="Arial"/>
                <w:sz w:val="18"/>
              </w:rPr>
              <w:t>1.114</w:t>
            </w:r>
          </w:p>
        </w:tc>
      </w:tr>
      <w:tr w:rsidR="00B53FFB" w:rsidRPr="00751A92" w14:paraId="3284F320" w14:textId="77777777" w:rsidTr="004D679A">
        <w:trPr>
          <w:trHeight w:val="255"/>
        </w:trPr>
        <w:tc>
          <w:tcPr>
            <w:tcW w:w="5954" w:type="dxa"/>
          </w:tcPr>
          <w:p w14:paraId="3684DE39" w14:textId="77777777" w:rsidR="00B53FFB" w:rsidRPr="002E1AF6" w:rsidRDefault="00B53FFB" w:rsidP="00B53FFB">
            <w:pPr>
              <w:ind w:left="29"/>
              <w:jc w:val="both"/>
              <w:rPr>
                <w:rFonts w:ascii="Arial" w:hAnsi="Arial" w:cs="Arial"/>
                <w:sz w:val="18"/>
              </w:rPr>
            </w:pPr>
            <w:r w:rsidRPr="002E1AF6">
              <w:rPr>
                <w:rFonts w:ascii="Arial" w:hAnsi="Arial" w:cs="Arial"/>
                <w:sz w:val="18"/>
              </w:rPr>
              <w:t>Seguros</w:t>
            </w:r>
          </w:p>
        </w:tc>
        <w:tc>
          <w:tcPr>
            <w:tcW w:w="1559" w:type="dxa"/>
          </w:tcPr>
          <w:p w14:paraId="224E0A53" w14:textId="1A7494B8" w:rsidR="00B53FFB" w:rsidRPr="002E1AF6" w:rsidRDefault="00B53FFB" w:rsidP="00B53FFB">
            <w:pPr>
              <w:ind w:right="113"/>
              <w:jc w:val="right"/>
              <w:rPr>
                <w:rFonts w:ascii="Arial" w:hAnsi="Arial" w:cs="Arial"/>
                <w:sz w:val="18"/>
              </w:rPr>
            </w:pPr>
            <w:r w:rsidRPr="002E1AF6">
              <w:rPr>
                <w:rFonts w:ascii="Arial" w:hAnsi="Arial" w:cs="Arial"/>
                <w:sz w:val="18"/>
              </w:rPr>
              <w:t>8.590</w:t>
            </w:r>
          </w:p>
        </w:tc>
        <w:tc>
          <w:tcPr>
            <w:tcW w:w="1559" w:type="dxa"/>
          </w:tcPr>
          <w:p w14:paraId="26EECEEC" w14:textId="1819AB47" w:rsidR="00B53FFB" w:rsidRPr="002E1AF6" w:rsidRDefault="00B53FFB" w:rsidP="00B53FFB">
            <w:pPr>
              <w:ind w:right="113"/>
              <w:jc w:val="right"/>
              <w:rPr>
                <w:rFonts w:ascii="Arial" w:hAnsi="Arial" w:cs="Arial"/>
                <w:sz w:val="18"/>
              </w:rPr>
            </w:pPr>
            <w:r w:rsidRPr="002E1AF6">
              <w:rPr>
                <w:rFonts w:ascii="Arial" w:hAnsi="Arial" w:cs="Arial"/>
                <w:sz w:val="18"/>
              </w:rPr>
              <w:t>4.128</w:t>
            </w:r>
          </w:p>
        </w:tc>
      </w:tr>
      <w:tr w:rsidR="00B53FFB" w:rsidRPr="00751A92" w14:paraId="07818F75" w14:textId="77777777" w:rsidTr="004D679A">
        <w:trPr>
          <w:trHeight w:val="255"/>
        </w:trPr>
        <w:tc>
          <w:tcPr>
            <w:tcW w:w="5954" w:type="dxa"/>
          </w:tcPr>
          <w:p w14:paraId="316FDFBA" w14:textId="77777777" w:rsidR="00B53FFB" w:rsidRPr="002E1AF6" w:rsidRDefault="00B53FFB" w:rsidP="00B53FFB">
            <w:pPr>
              <w:ind w:left="29"/>
              <w:jc w:val="both"/>
              <w:rPr>
                <w:rFonts w:ascii="Arial" w:hAnsi="Arial" w:cs="Arial"/>
                <w:sz w:val="18"/>
              </w:rPr>
            </w:pPr>
            <w:r w:rsidRPr="002E1AF6">
              <w:rPr>
                <w:rFonts w:ascii="Arial" w:hAnsi="Arial" w:cs="Arial"/>
                <w:sz w:val="18"/>
              </w:rPr>
              <w:t>Servicios de marketing</w:t>
            </w:r>
          </w:p>
        </w:tc>
        <w:tc>
          <w:tcPr>
            <w:tcW w:w="1559" w:type="dxa"/>
          </w:tcPr>
          <w:p w14:paraId="2BE6B8E4" w14:textId="38BF1CDF" w:rsidR="00B53FFB" w:rsidRPr="002E1AF6" w:rsidRDefault="00B53FFB" w:rsidP="00B53FFB">
            <w:pPr>
              <w:ind w:right="113"/>
              <w:jc w:val="right"/>
              <w:rPr>
                <w:rFonts w:ascii="Arial" w:hAnsi="Arial" w:cs="Arial"/>
                <w:sz w:val="18"/>
              </w:rPr>
            </w:pPr>
            <w:r w:rsidRPr="002E1AF6">
              <w:rPr>
                <w:rFonts w:ascii="Arial" w:hAnsi="Arial" w:cs="Arial"/>
                <w:sz w:val="18"/>
              </w:rPr>
              <w:t>16.800</w:t>
            </w:r>
          </w:p>
        </w:tc>
        <w:tc>
          <w:tcPr>
            <w:tcW w:w="1559" w:type="dxa"/>
          </w:tcPr>
          <w:p w14:paraId="4D4FBFE5" w14:textId="6051CAAC" w:rsidR="00B53FFB" w:rsidRPr="002E1AF6" w:rsidRDefault="00B53FFB" w:rsidP="00B53FFB">
            <w:pPr>
              <w:ind w:right="113"/>
              <w:jc w:val="right"/>
              <w:rPr>
                <w:rFonts w:ascii="Arial" w:hAnsi="Arial" w:cs="Arial"/>
                <w:sz w:val="18"/>
              </w:rPr>
            </w:pPr>
            <w:r w:rsidRPr="002E1AF6">
              <w:rPr>
                <w:rFonts w:ascii="Arial" w:hAnsi="Arial" w:cs="Arial"/>
                <w:sz w:val="18"/>
              </w:rPr>
              <w:t>11.186</w:t>
            </w:r>
          </w:p>
        </w:tc>
      </w:tr>
      <w:tr w:rsidR="00B53FFB" w:rsidRPr="00751A92" w14:paraId="642E773D" w14:textId="77777777" w:rsidTr="004D679A">
        <w:trPr>
          <w:trHeight w:val="255"/>
        </w:trPr>
        <w:tc>
          <w:tcPr>
            <w:tcW w:w="5954" w:type="dxa"/>
          </w:tcPr>
          <w:p w14:paraId="10693820" w14:textId="77777777" w:rsidR="00B53FFB" w:rsidRPr="002E1AF6" w:rsidRDefault="00B53FFB" w:rsidP="00B53FFB">
            <w:pPr>
              <w:ind w:left="29"/>
              <w:jc w:val="both"/>
              <w:rPr>
                <w:rFonts w:ascii="Arial" w:hAnsi="Arial" w:cs="Arial"/>
                <w:sz w:val="18"/>
              </w:rPr>
            </w:pPr>
            <w:r w:rsidRPr="002E1AF6">
              <w:rPr>
                <w:rFonts w:ascii="Arial" w:hAnsi="Arial" w:cs="Arial"/>
                <w:sz w:val="18"/>
              </w:rPr>
              <w:t>Financiaciones y consumo de tarjeta de crédito</w:t>
            </w:r>
          </w:p>
        </w:tc>
        <w:tc>
          <w:tcPr>
            <w:tcW w:w="1559" w:type="dxa"/>
          </w:tcPr>
          <w:p w14:paraId="2F9AD514" w14:textId="6254724C" w:rsidR="00B53FFB" w:rsidRPr="002E1AF6" w:rsidRDefault="00B53FFB" w:rsidP="00B53FFB">
            <w:pPr>
              <w:ind w:right="113"/>
              <w:jc w:val="right"/>
              <w:rPr>
                <w:rFonts w:ascii="Arial" w:hAnsi="Arial" w:cs="Arial"/>
                <w:sz w:val="18"/>
              </w:rPr>
            </w:pPr>
            <w:r w:rsidRPr="002E1AF6">
              <w:rPr>
                <w:rFonts w:ascii="Arial" w:hAnsi="Arial" w:cs="Arial"/>
                <w:sz w:val="18"/>
              </w:rPr>
              <w:t>451.662</w:t>
            </w:r>
          </w:p>
        </w:tc>
        <w:tc>
          <w:tcPr>
            <w:tcW w:w="1559" w:type="dxa"/>
          </w:tcPr>
          <w:p w14:paraId="61ED359B" w14:textId="70206EF2" w:rsidR="00B53FFB" w:rsidRPr="002E1AF6" w:rsidRDefault="00B53FFB" w:rsidP="00B53FFB">
            <w:pPr>
              <w:ind w:right="113"/>
              <w:jc w:val="right"/>
              <w:rPr>
                <w:rFonts w:ascii="Arial" w:hAnsi="Arial" w:cs="Arial"/>
                <w:sz w:val="18"/>
              </w:rPr>
            </w:pPr>
            <w:r w:rsidRPr="002E1AF6">
              <w:rPr>
                <w:rFonts w:ascii="Arial" w:hAnsi="Arial" w:cs="Arial"/>
                <w:sz w:val="18"/>
              </w:rPr>
              <w:t>228.799</w:t>
            </w:r>
          </w:p>
        </w:tc>
      </w:tr>
      <w:tr w:rsidR="00B53FFB" w:rsidRPr="00751A92" w14:paraId="1E08E5B1" w14:textId="77777777" w:rsidTr="004D679A">
        <w:trPr>
          <w:trHeight w:val="255"/>
        </w:trPr>
        <w:tc>
          <w:tcPr>
            <w:tcW w:w="5954" w:type="dxa"/>
          </w:tcPr>
          <w:p w14:paraId="65A149A2" w14:textId="77777777" w:rsidR="00B53FFB" w:rsidRPr="002E1AF6" w:rsidRDefault="00B53FFB" w:rsidP="00B53FFB">
            <w:pPr>
              <w:ind w:left="29"/>
              <w:jc w:val="both"/>
              <w:rPr>
                <w:rFonts w:ascii="Arial" w:hAnsi="Arial" w:cs="Arial"/>
                <w:sz w:val="18"/>
              </w:rPr>
            </w:pPr>
            <w:r w:rsidRPr="002E1AF6">
              <w:rPr>
                <w:rFonts w:ascii="Arial" w:hAnsi="Arial" w:cs="Arial"/>
                <w:sz w:val="18"/>
              </w:rPr>
              <w:lastRenderedPageBreak/>
              <w:t>Servicios de Comercializadora y Recaudación</w:t>
            </w:r>
          </w:p>
        </w:tc>
        <w:tc>
          <w:tcPr>
            <w:tcW w:w="1559" w:type="dxa"/>
          </w:tcPr>
          <w:p w14:paraId="7792A9F5" w14:textId="29519758" w:rsidR="00B53FFB" w:rsidRPr="002E1AF6" w:rsidRDefault="00B53FFB" w:rsidP="00B53FFB">
            <w:pPr>
              <w:ind w:right="113"/>
              <w:jc w:val="right"/>
              <w:rPr>
                <w:rFonts w:ascii="Arial" w:hAnsi="Arial" w:cs="Arial"/>
                <w:sz w:val="18"/>
              </w:rPr>
            </w:pPr>
            <w:r w:rsidRPr="002E1AF6">
              <w:rPr>
                <w:rFonts w:ascii="Arial" w:hAnsi="Arial" w:cs="Arial"/>
                <w:sz w:val="18"/>
              </w:rPr>
              <w:t>120.293</w:t>
            </w:r>
          </w:p>
        </w:tc>
        <w:tc>
          <w:tcPr>
            <w:tcW w:w="1559" w:type="dxa"/>
          </w:tcPr>
          <w:p w14:paraId="508F219A" w14:textId="5714D595" w:rsidR="00B53FFB" w:rsidRPr="002E1AF6" w:rsidRDefault="00B53FFB" w:rsidP="00B53FFB">
            <w:pPr>
              <w:ind w:right="113"/>
              <w:jc w:val="right"/>
              <w:rPr>
                <w:rFonts w:ascii="Arial" w:hAnsi="Arial" w:cs="Arial"/>
                <w:sz w:val="18"/>
              </w:rPr>
            </w:pPr>
            <w:r w:rsidRPr="002E1AF6">
              <w:rPr>
                <w:rFonts w:ascii="Arial" w:hAnsi="Arial" w:cs="Arial"/>
                <w:sz w:val="18"/>
              </w:rPr>
              <w:t>87.731</w:t>
            </w:r>
          </w:p>
        </w:tc>
      </w:tr>
      <w:tr w:rsidR="00B53FFB" w:rsidRPr="00751A92" w14:paraId="0EF9A6B5" w14:textId="77777777" w:rsidTr="004D679A">
        <w:trPr>
          <w:trHeight w:val="255"/>
        </w:trPr>
        <w:tc>
          <w:tcPr>
            <w:tcW w:w="5954" w:type="dxa"/>
          </w:tcPr>
          <w:p w14:paraId="56607B7C" w14:textId="77777777" w:rsidR="00B53FFB" w:rsidRPr="002E1AF6" w:rsidRDefault="00B53FFB" w:rsidP="00B53FFB">
            <w:pPr>
              <w:ind w:left="29"/>
              <w:jc w:val="both"/>
              <w:rPr>
                <w:rFonts w:ascii="Arial" w:hAnsi="Arial" w:cs="Arial"/>
                <w:sz w:val="18"/>
              </w:rPr>
            </w:pPr>
            <w:r w:rsidRPr="002E1AF6">
              <w:rPr>
                <w:rFonts w:ascii="Arial" w:hAnsi="Arial" w:cs="Arial"/>
                <w:sz w:val="18"/>
              </w:rPr>
              <w:t>Otros</w:t>
            </w:r>
          </w:p>
        </w:tc>
        <w:tc>
          <w:tcPr>
            <w:tcW w:w="1559" w:type="dxa"/>
          </w:tcPr>
          <w:p w14:paraId="4E6E2920" w14:textId="027D50EB" w:rsidR="00B53FFB" w:rsidRPr="002E1AF6" w:rsidRDefault="00B53FFB" w:rsidP="00B53FFB">
            <w:pPr>
              <w:ind w:right="113"/>
              <w:jc w:val="right"/>
              <w:rPr>
                <w:rFonts w:ascii="Arial" w:hAnsi="Arial" w:cs="Arial"/>
                <w:sz w:val="18"/>
              </w:rPr>
            </w:pPr>
            <w:r w:rsidRPr="002E1AF6">
              <w:rPr>
                <w:rFonts w:ascii="Arial" w:hAnsi="Arial" w:cs="Arial"/>
                <w:sz w:val="18"/>
              </w:rPr>
              <w:t>100.406</w:t>
            </w:r>
          </w:p>
        </w:tc>
        <w:tc>
          <w:tcPr>
            <w:tcW w:w="1559" w:type="dxa"/>
          </w:tcPr>
          <w:p w14:paraId="732C8BBC" w14:textId="15D9AE22" w:rsidR="00B53FFB" w:rsidRPr="002E1AF6" w:rsidRDefault="00720BED" w:rsidP="00B53FFB">
            <w:pPr>
              <w:ind w:right="113"/>
              <w:jc w:val="right"/>
              <w:rPr>
                <w:rFonts w:ascii="Arial" w:hAnsi="Arial" w:cs="Arial"/>
                <w:sz w:val="18"/>
              </w:rPr>
            </w:pPr>
            <w:r w:rsidRPr="002E1AF6">
              <w:rPr>
                <w:rFonts w:ascii="Arial" w:hAnsi="Arial" w:cs="Arial"/>
                <w:sz w:val="18"/>
              </w:rPr>
              <w:t>232</w:t>
            </w:r>
            <w:r w:rsidR="00B53FFB" w:rsidRPr="002E1AF6">
              <w:rPr>
                <w:rFonts w:ascii="Arial" w:hAnsi="Arial" w:cs="Arial"/>
                <w:sz w:val="18"/>
              </w:rPr>
              <w:t>.</w:t>
            </w:r>
            <w:r w:rsidRPr="002E1AF6">
              <w:rPr>
                <w:rFonts w:ascii="Arial" w:hAnsi="Arial" w:cs="Arial"/>
                <w:sz w:val="18"/>
              </w:rPr>
              <w:t>017</w:t>
            </w:r>
          </w:p>
        </w:tc>
      </w:tr>
      <w:tr w:rsidR="00151C24" w:rsidRPr="00751A92" w14:paraId="59404AC9" w14:textId="77777777" w:rsidTr="0084502B">
        <w:trPr>
          <w:trHeight w:val="255"/>
        </w:trPr>
        <w:tc>
          <w:tcPr>
            <w:tcW w:w="5954" w:type="dxa"/>
            <w:shd w:val="clear" w:color="auto" w:fill="auto"/>
          </w:tcPr>
          <w:p w14:paraId="1A7D2787" w14:textId="77777777" w:rsidR="00151C24" w:rsidRPr="002E1AF6" w:rsidRDefault="00151C24" w:rsidP="0084502B">
            <w:pPr>
              <w:jc w:val="both"/>
              <w:rPr>
                <w:rFonts w:ascii="Arial" w:hAnsi="Arial" w:cs="Arial"/>
                <w:b/>
                <w:sz w:val="18"/>
              </w:rPr>
            </w:pPr>
            <w:r w:rsidRPr="002E1AF6">
              <w:rPr>
                <w:rFonts w:ascii="Arial" w:hAnsi="Arial" w:cs="Arial"/>
                <w:b/>
                <w:sz w:val="18"/>
              </w:rPr>
              <w:t>Total</w:t>
            </w:r>
          </w:p>
        </w:tc>
        <w:tc>
          <w:tcPr>
            <w:tcW w:w="1559" w:type="dxa"/>
            <w:vAlign w:val="center"/>
          </w:tcPr>
          <w:p w14:paraId="4E621B3E" w14:textId="6B6B732E" w:rsidR="00151C24" w:rsidRPr="002E1AF6" w:rsidRDefault="00B53FFB" w:rsidP="0084502B">
            <w:pPr>
              <w:pStyle w:val="Style1"/>
              <w:adjustRightInd/>
              <w:ind w:right="107"/>
              <w:jc w:val="right"/>
              <w:rPr>
                <w:rFonts w:ascii="Arial" w:hAnsi="Arial" w:cs="Arial"/>
                <w:b/>
                <w:spacing w:val="-4"/>
                <w:sz w:val="18"/>
                <w:szCs w:val="20"/>
              </w:rPr>
            </w:pPr>
            <w:r w:rsidRPr="002E1AF6">
              <w:rPr>
                <w:rFonts w:ascii="Arial" w:hAnsi="Arial" w:cs="Arial"/>
                <w:b/>
                <w:spacing w:val="-4"/>
                <w:sz w:val="18"/>
                <w:szCs w:val="20"/>
              </w:rPr>
              <w:t>699.974</w:t>
            </w:r>
          </w:p>
        </w:tc>
        <w:tc>
          <w:tcPr>
            <w:tcW w:w="1559" w:type="dxa"/>
            <w:shd w:val="clear" w:color="auto" w:fill="auto"/>
            <w:vAlign w:val="center"/>
          </w:tcPr>
          <w:p w14:paraId="24BBF204" w14:textId="15CEF351" w:rsidR="00151C24" w:rsidRPr="002E1AF6" w:rsidRDefault="00B53FFB" w:rsidP="0084502B">
            <w:pPr>
              <w:pStyle w:val="Style1"/>
              <w:adjustRightInd/>
              <w:ind w:right="107"/>
              <w:jc w:val="right"/>
              <w:rPr>
                <w:rFonts w:ascii="Arial" w:hAnsi="Arial" w:cs="Arial"/>
                <w:b/>
                <w:sz w:val="18"/>
                <w:szCs w:val="20"/>
              </w:rPr>
            </w:pPr>
            <w:r w:rsidRPr="002E1AF6">
              <w:rPr>
                <w:rFonts w:ascii="Arial" w:hAnsi="Arial" w:cs="Arial"/>
                <w:b/>
                <w:sz w:val="18"/>
                <w:szCs w:val="20"/>
              </w:rPr>
              <w:t>569.746</w:t>
            </w:r>
          </w:p>
        </w:tc>
      </w:tr>
    </w:tbl>
    <w:p w14:paraId="1281D7DD" w14:textId="77777777" w:rsidR="00151C24" w:rsidRPr="00751A92" w:rsidRDefault="00151C24" w:rsidP="00151C24">
      <w:pPr>
        <w:rPr>
          <w:rFonts w:ascii="Arial" w:hAnsi="Arial" w:cs="Arial"/>
          <w:bCs/>
          <w:color w:val="000000"/>
          <w:sz w:val="20"/>
          <w:lang w:eastAsia="es-AR"/>
        </w:rPr>
      </w:pPr>
    </w:p>
    <w:p w14:paraId="1A4300C5" w14:textId="46B7BFCD" w:rsidR="00151C24" w:rsidRPr="00751A92" w:rsidRDefault="00151C24" w:rsidP="00151C24">
      <w:pPr>
        <w:jc w:val="both"/>
        <w:rPr>
          <w:rFonts w:ascii="Arial" w:hAnsi="Arial" w:cs="Arial"/>
          <w:bCs/>
          <w:color w:val="000000"/>
          <w:sz w:val="20"/>
          <w:lang w:eastAsia="es-AR"/>
        </w:rPr>
      </w:pPr>
      <w:r w:rsidRPr="00751A92">
        <w:rPr>
          <w:rFonts w:ascii="Arial" w:hAnsi="Arial" w:cs="Arial"/>
          <w:bCs/>
          <w:color w:val="000000"/>
          <w:sz w:val="20"/>
          <w:lang w:eastAsia="es-AR"/>
        </w:rPr>
        <w:t>15.5 Resultado neto por medición de instrumentos financieros a valor razonable con cambios en resultados</w:t>
      </w:r>
    </w:p>
    <w:p w14:paraId="178143FC" w14:textId="77777777" w:rsidR="00151C24" w:rsidRPr="00751A92" w:rsidRDefault="00151C24" w:rsidP="00151C24">
      <w:pPr>
        <w:jc w:val="both"/>
        <w:rPr>
          <w:rFonts w:ascii="Arial" w:hAnsi="Arial" w:cs="Arial"/>
          <w:bCs/>
          <w:color w:val="000000"/>
          <w:sz w:val="20"/>
          <w:lang w:eastAsia="es-AR"/>
        </w:rPr>
      </w:pPr>
    </w:p>
    <w:tbl>
      <w:tblPr>
        <w:tblW w:w="89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6"/>
        <w:gridCol w:w="1414"/>
        <w:gridCol w:w="1425"/>
      </w:tblGrid>
      <w:tr w:rsidR="00901250" w:rsidRPr="00751A92" w14:paraId="0E5720E0" w14:textId="77777777" w:rsidTr="00066653">
        <w:trPr>
          <w:trHeight w:val="255"/>
        </w:trPr>
        <w:tc>
          <w:tcPr>
            <w:tcW w:w="6096" w:type="dxa"/>
            <w:shd w:val="clear" w:color="auto" w:fill="auto"/>
            <w:noWrap/>
            <w:vAlign w:val="center"/>
            <w:hideMark/>
          </w:tcPr>
          <w:p w14:paraId="29DAAE6C" w14:textId="77777777" w:rsidR="00901250" w:rsidRPr="002E1AF6" w:rsidRDefault="00901250" w:rsidP="00901250">
            <w:pPr>
              <w:rPr>
                <w:rFonts w:ascii="Arial" w:hAnsi="Arial" w:cs="Arial"/>
                <w:b/>
                <w:bCs/>
                <w:color w:val="000000"/>
                <w:sz w:val="18"/>
                <w:lang w:eastAsia="es-AR"/>
              </w:rPr>
            </w:pPr>
          </w:p>
        </w:tc>
        <w:tc>
          <w:tcPr>
            <w:tcW w:w="1414" w:type="dxa"/>
            <w:shd w:val="clear" w:color="auto" w:fill="auto"/>
            <w:noWrap/>
            <w:hideMark/>
          </w:tcPr>
          <w:p w14:paraId="4562218D" w14:textId="29FD6572" w:rsidR="00901250" w:rsidRPr="002E1AF6" w:rsidRDefault="00901250" w:rsidP="00901250">
            <w:pPr>
              <w:jc w:val="center"/>
              <w:rPr>
                <w:rFonts w:ascii="Arial" w:hAnsi="Arial" w:cs="Arial"/>
                <w:b/>
                <w:color w:val="000000"/>
                <w:sz w:val="18"/>
                <w:lang w:eastAsia="es-AR"/>
              </w:rPr>
            </w:pPr>
            <w:r w:rsidRPr="002E1AF6">
              <w:rPr>
                <w:rFonts w:ascii="Arial" w:hAnsi="Arial" w:cs="Arial"/>
                <w:b/>
                <w:sz w:val="18"/>
              </w:rPr>
              <w:t>31/03/2020</w:t>
            </w:r>
          </w:p>
        </w:tc>
        <w:tc>
          <w:tcPr>
            <w:tcW w:w="1425" w:type="dxa"/>
            <w:vAlign w:val="center"/>
          </w:tcPr>
          <w:p w14:paraId="60AE0087" w14:textId="4AB3E948" w:rsidR="00901250" w:rsidRPr="002E1AF6" w:rsidRDefault="00901250" w:rsidP="00901250">
            <w:pPr>
              <w:jc w:val="center"/>
              <w:rPr>
                <w:rFonts w:ascii="Arial" w:hAnsi="Arial" w:cs="Arial"/>
                <w:b/>
                <w:color w:val="000000"/>
                <w:sz w:val="18"/>
                <w:lang w:eastAsia="es-AR"/>
              </w:rPr>
            </w:pPr>
            <w:r w:rsidRPr="002E1AF6">
              <w:rPr>
                <w:rFonts w:ascii="Arial" w:hAnsi="Arial" w:cs="Arial"/>
                <w:b/>
                <w:sz w:val="18"/>
              </w:rPr>
              <w:t>31/03/2019</w:t>
            </w:r>
          </w:p>
        </w:tc>
      </w:tr>
      <w:tr w:rsidR="00151C24" w:rsidRPr="00751A92" w14:paraId="4099E43F" w14:textId="77777777" w:rsidTr="0084502B">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4DF15"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Resultado de títulos públicos</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EFAD3" w14:textId="78AE51EF" w:rsidR="00151C24"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128.295</w:t>
            </w:r>
          </w:p>
        </w:tc>
        <w:tc>
          <w:tcPr>
            <w:tcW w:w="1425" w:type="dxa"/>
            <w:tcBorders>
              <w:top w:val="single" w:sz="4" w:space="0" w:color="auto"/>
              <w:left w:val="single" w:sz="4" w:space="0" w:color="auto"/>
              <w:bottom w:val="single" w:sz="4" w:space="0" w:color="auto"/>
              <w:right w:val="single" w:sz="4" w:space="0" w:color="auto"/>
            </w:tcBorders>
            <w:vAlign w:val="bottom"/>
          </w:tcPr>
          <w:p w14:paraId="04295476" w14:textId="5BDFB071" w:rsidR="00151C24"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6.631.113</w:t>
            </w:r>
          </w:p>
        </w:tc>
      </w:tr>
      <w:tr w:rsidR="00151C24" w:rsidRPr="00751A92" w14:paraId="47121615" w14:textId="77777777" w:rsidTr="0084502B">
        <w:trPr>
          <w:trHeight w:val="255"/>
        </w:trPr>
        <w:tc>
          <w:tcPr>
            <w:tcW w:w="6096" w:type="dxa"/>
            <w:shd w:val="clear" w:color="auto" w:fill="auto"/>
            <w:noWrap/>
            <w:vAlign w:val="center"/>
          </w:tcPr>
          <w:p w14:paraId="6AD61342"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Resultado de títulos privados</w:t>
            </w:r>
          </w:p>
        </w:tc>
        <w:tc>
          <w:tcPr>
            <w:tcW w:w="1414" w:type="dxa"/>
            <w:shd w:val="clear" w:color="auto" w:fill="auto"/>
            <w:noWrap/>
            <w:vAlign w:val="bottom"/>
          </w:tcPr>
          <w:p w14:paraId="31ADCB08" w14:textId="3B17A199" w:rsidR="00151C24"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w:t>
            </w:r>
            <w:r w:rsidR="00293D28" w:rsidRPr="002E1AF6">
              <w:rPr>
                <w:rFonts w:ascii="Arial" w:hAnsi="Arial" w:cs="Arial"/>
                <w:color w:val="000000"/>
                <w:sz w:val="18"/>
                <w:lang w:val="es-ES_tradnl" w:eastAsia="es-AR"/>
              </w:rPr>
              <w:t>6</w:t>
            </w:r>
            <w:r w:rsidRPr="002E1AF6">
              <w:rPr>
                <w:rFonts w:ascii="Arial" w:hAnsi="Arial" w:cs="Arial"/>
                <w:color w:val="000000"/>
                <w:sz w:val="18"/>
                <w:lang w:val="es-ES_tradnl" w:eastAsia="es-AR"/>
              </w:rPr>
              <w:t>.491</w:t>
            </w:r>
          </w:p>
        </w:tc>
        <w:tc>
          <w:tcPr>
            <w:tcW w:w="1425" w:type="dxa"/>
            <w:vAlign w:val="bottom"/>
          </w:tcPr>
          <w:p w14:paraId="7352B5B7" w14:textId="16843D43" w:rsidR="00151C24"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12.866</w:t>
            </w:r>
          </w:p>
        </w:tc>
      </w:tr>
      <w:tr w:rsidR="00151C24" w:rsidRPr="00751A92" w14:paraId="44040256" w14:textId="77777777" w:rsidTr="0084502B">
        <w:trPr>
          <w:trHeight w:val="255"/>
        </w:trPr>
        <w:tc>
          <w:tcPr>
            <w:tcW w:w="6096" w:type="dxa"/>
            <w:shd w:val="clear" w:color="auto" w:fill="auto"/>
            <w:noWrap/>
            <w:vAlign w:val="center"/>
          </w:tcPr>
          <w:p w14:paraId="1BE5ECFC"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Operaciones a término</w:t>
            </w:r>
          </w:p>
        </w:tc>
        <w:tc>
          <w:tcPr>
            <w:tcW w:w="1414" w:type="dxa"/>
            <w:shd w:val="clear" w:color="auto" w:fill="auto"/>
            <w:noWrap/>
            <w:vAlign w:val="bottom"/>
          </w:tcPr>
          <w:p w14:paraId="5EC152B7" w14:textId="7E7B1C6D" w:rsidR="00151C24"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38.978</w:t>
            </w:r>
          </w:p>
        </w:tc>
        <w:tc>
          <w:tcPr>
            <w:tcW w:w="1425" w:type="dxa"/>
            <w:vAlign w:val="bottom"/>
          </w:tcPr>
          <w:p w14:paraId="398F2826" w14:textId="558D2E5F" w:rsidR="00151C24"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86.494</w:t>
            </w:r>
          </w:p>
        </w:tc>
      </w:tr>
      <w:tr w:rsidR="00720BED" w:rsidRPr="00751A92" w14:paraId="4CF62810" w14:textId="77777777" w:rsidTr="0084502B">
        <w:trPr>
          <w:trHeight w:val="255"/>
        </w:trPr>
        <w:tc>
          <w:tcPr>
            <w:tcW w:w="6096" w:type="dxa"/>
            <w:shd w:val="clear" w:color="auto" w:fill="auto"/>
            <w:noWrap/>
            <w:vAlign w:val="center"/>
          </w:tcPr>
          <w:p w14:paraId="45DD8440" w14:textId="5A80AB19" w:rsidR="00720BED" w:rsidRPr="002E1AF6" w:rsidRDefault="00720BED" w:rsidP="0084502B">
            <w:pPr>
              <w:rPr>
                <w:rFonts w:ascii="Arial" w:hAnsi="Arial" w:cs="Arial"/>
                <w:color w:val="000000"/>
                <w:sz w:val="18"/>
                <w:lang w:eastAsia="es-AR"/>
              </w:rPr>
            </w:pPr>
            <w:r w:rsidRPr="002E1AF6">
              <w:rPr>
                <w:rFonts w:ascii="Arial" w:hAnsi="Arial" w:cs="Arial"/>
                <w:color w:val="000000"/>
                <w:sz w:val="18"/>
                <w:lang w:eastAsia="es-AR"/>
              </w:rPr>
              <w:t>Otros activos financieros</w:t>
            </w:r>
          </w:p>
        </w:tc>
        <w:tc>
          <w:tcPr>
            <w:tcW w:w="1414" w:type="dxa"/>
            <w:shd w:val="clear" w:color="auto" w:fill="auto"/>
            <w:noWrap/>
            <w:vAlign w:val="bottom"/>
          </w:tcPr>
          <w:p w14:paraId="5E276F47" w14:textId="24B6B222" w:rsidR="00720BED"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-2.290</w:t>
            </w:r>
          </w:p>
        </w:tc>
        <w:tc>
          <w:tcPr>
            <w:tcW w:w="1425" w:type="dxa"/>
            <w:vAlign w:val="bottom"/>
          </w:tcPr>
          <w:p w14:paraId="29E4E371" w14:textId="4DCDA6CB" w:rsidR="00720BED" w:rsidRPr="002E1AF6" w:rsidRDefault="00720BED"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-2.454</w:t>
            </w:r>
          </w:p>
        </w:tc>
      </w:tr>
      <w:tr w:rsidR="00151C24" w:rsidRPr="00751A92" w14:paraId="6329BE5B" w14:textId="77777777" w:rsidTr="0084502B">
        <w:trPr>
          <w:trHeight w:val="270"/>
        </w:trPr>
        <w:tc>
          <w:tcPr>
            <w:tcW w:w="6096" w:type="dxa"/>
            <w:shd w:val="clear" w:color="auto" w:fill="auto"/>
            <w:noWrap/>
            <w:vAlign w:val="center"/>
            <w:hideMark/>
          </w:tcPr>
          <w:p w14:paraId="4547626C"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414" w:type="dxa"/>
            <w:shd w:val="clear" w:color="auto" w:fill="auto"/>
            <w:noWrap/>
            <w:vAlign w:val="bottom"/>
          </w:tcPr>
          <w:p w14:paraId="5E97A82B" w14:textId="0BC6438B" w:rsidR="00151C24" w:rsidRPr="002E1AF6" w:rsidRDefault="00720BED"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138.492</w:t>
            </w:r>
          </w:p>
        </w:tc>
        <w:tc>
          <w:tcPr>
            <w:tcW w:w="1425" w:type="dxa"/>
            <w:vAlign w:val="bottom"/>
          </w:tcPr>
          <w:p w14:paraId="7B1B58C7" w14:textId="14A8FA65" w:rsidR="00151C24" w:rsidRPr="002E1AF6" w:rsidRDefault="00720BED"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6.728.019</w:t>
            </w:r>
          </w:p>
        </w:tc>
      </w:tr>
    </w:tbl>
    <w:p w14:paraId="537890D5" w14:textId="77777777" w:rsidR="00151C24" w:rsidRPr="00751A92" w:rsidRDefault="00151C24" w:rsidP="00151C24">
      <w:pPr>
        <w:rPr>
          <w:rFonts w:ascii="Arial" w:hAnsi="Arial" w:cs="Arial"/>
          <w:bCs/>
          <w:color w:val="000000"/>
          <w:sz w:val="20"/>
          <w:lang w:eastAsia="es-AR"/>
        </w:rPr>
      </w:pPr>
    </w:p>
    <w:p w14:paraId="53592B2C" w14:textId="3C8B0468" w:rsidR="00151C24" w:rsidRPr="00751A92" w:rsidRDefault="00151C24" w:rsidP="00151C24">
      <w:pPr>
        <w:rPr>
          <w:rFonts w:ascii="Arial" w:hAnsi="Arial" w:cs="Arial"/>
          <w:bCs/>
          <w:color w:val="000000"/>
          <w:sz w:val="20"/>
          <w:lang w:eastAsia="es-AR"/>
        </w:rPr>
      </w:pPr>
      <w:r w:rsidRPr="00751A92">
        <w:rPr>
          <w:rFonts w:ascii="Arial" w:hAnsi="Arial" w:cs="Arial"/>
          <w:bCs/>
          <w:color w:val="000000"/>
          <w:sz w:val="20"/>
          <w:lang w:eastAsia="es-AR"/>
        </w:rPr>
        <w:t>15.6 Otros ingresos operativos.</w:t>
      </w:r>
    </w:p>
    <w:p w14:paraId="72FE311A" w14:textId="77777777" w:rsidR="00151C24" w:rsidRPr="00751A92" w:rsidRDefault="00151C24" w:rsidP="00151C24">
      <w:pPr>
        <w:jc w:val="both"/>
        <w:rPr>
          <w:rFonts w:ascii="Arial" w:hAnsi="Arial" w:cs="Arial"/>
          <w:bCs/>
          <w:color w:val="000000"/>
          <w:sz w:val="20"/>
          <w:lang w:eastAsia="es-AR"/>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7"/>
        <w:gridCol w:w="1418"/>
        <w:gridCol w:w="1276"/>
      </w:tblGrid>
      <w:tr w:rsidR="00901250" w:rsidRPr="00751A92" w14:paraId="2ABC1D9F" w14:textId="77777777" w:rsidTr="00BF746E">
        <w:trPr>
          <w:trHeight w:val="255"/>
          <w:tblHeader/>
        </w:trPr>
        <w:tc>
          <w:tcPr>
            <w:tcW w:w="6237" w:type="dxa"/>
            <w:shd w:val="clear" w:color="auto" w:fill="auto"/>
            <w:noWrap/>
            <w:vAlign w:val="center"/>
            <w:hideMark/>
          </w:tcPr>
          <w:p w14:paraId="1CAEA889" w14:textId="77777777" w:rsidR="00901250" w:rsidRPr="002E1AF6" w:rsidRDefault="00901250" w:rsidP="00901250">
            <w:pPr>
              <w:rPr>
                <w:rFonts w:ascii="Arial" w:hAnsi="Arial" w:cs="Arial"/>
                <w:b/>
                <w:bCs/>
                <w:color w:val="000000"/>
                <w:sz w:val="18"/>
                <w:lang w:eastAsia="es-AR"/>
              </w:rPr>
            </w:pPr>
          </w:p>
        </w:tc>
        <w:tc>
          <w:tcPr>
            <w:tcW w:w="1418" w:type="dxa"/>
            <w:shd w:val="clear" w:color="auto" w:fill="auto"/>
            <w:noWrap/>
            <w:hideMark/>
          </w:tcPr>
          <w:p w14:paraId="73844D6F" w14:textId="0565DF1B" w:rsidR="00901250" w:rsidRPr="002E1AF6" w:rsidRDefault="00901250" w:rsidP="00901250">
            <w:pPr>
              <w:jc w:val="center"/>
              <w:rPr>
                <w:rFonts w:ascii="Arial" w:hAnsi="Arial" w:cs="Arial"/>
                <w:b/>
                <w:color w:val="000000"/>
                <w:sz w:val="18"/>
                <w:lang w:eastAsia="es-AR"/>
              </w:rPr>
            </w:pPr>
            <w:r w:rsidRPr="002E1AF6">
              <w:rPr>
                <w:rFonts w:ascii="Arial" w:hAnsi="Arial" w:cs="Arial"/>
                <w:b/>
                <w:sz w:val="18"/>
              </w:rPr>
              <w:t>31/03/2020</w:t>
            </w:r>
          </w:p>
        </w:tc>
        <w:tc>
          <w:tcPr>
            <w:tcW w:w="1276" w:type="dxa"/>
            <w:vAlign w:val="center"/>
          </w:tcPr>
          <w:p w14:paraId="359B87F9" w14:textId="3E9F4DC8" w:rsidR="00901250" w:rsidRPr="002E1AF6" w:rsidRDefault="00901250" w:rsidP="00901250">
            <w:pPr>
              <w:jc w:val="center"/>
              <w:rPr>
                <w:rFonts w:ascii="Arial" w:hAnsi="Arial" w:cs="Arial"/>
                <w:b/>
                <w:color w:val="000000"/>
                <w:sz w:val="18"/>
                <w:lang w:eastAsia="es-AR"/>
              </w:rPr>
            </w:pPr>
            <w:r w:rsidRPr="002E1AF6">
              <w:rPr>
                <w:rFonts w:ascii="Arial" w:hAnsi="Arial" w:cs="Arial"/>
                <w:b/>
                <w:sz w:val="18"/>
              </w:rPr>
              <w:t>31/03/2019</w:t>
            </w:r>
          </w:p>
        </w:tc>
      </w:tr>
      <w:tr w:rsidR="00151C24" w:rsidRPr="00751A92" w14:paraId="7E638D23"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91F27"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Alquiler de cajas de seguridad</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BCCC18" w14:textId="69FCED3C" w:rsidR="00151C24" w:rsidRPr="002E1AF6" w:rsidRDefault="0079734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67.991</w:t>
            </w:r>
          </w:p>
        </w:tc>
        <w:tc>
          <w:tcPr>
            <w:tcW w:w="1276" w:type="dxa"/>
            <w:tcBorders>
              <w:top w:val="single" w:sz="4" w:space="0" w:color="auto"/>
              <w:left w:val="single" w:sz="4" w:space="0" w:color="auto"/>
              <w:bottom w:val="single" w:sz="4" w:space="0" w:color="auto"/>
              <w:right w:val="single" w:sz="4" w:space="0" w:color="auto"/>
            </w:tcBorders>
            <w:vAlign w:val="bottom"/>
          </w:tcPr>
          <w:p w14:paraId="20EEA603" w14:textId="21BB4AA8"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77.647</w:t>
            </w:r>
          </w:p>
        </w:tc>
      </w:tr>
      <w:tr w:rsidR="00151C24" w:rsidRPr="00751A92" w14:paraId="20AD94E4" w14:textId="77777777" w:rsidTr="00066653">
        <w:trPr>
          <w:trHeight w:val="255"/>
        </w:trPr>
        <w:tc>
          <w:tcPr>
            <w:tcW w:w="6237" w:type="dxa"/>
            <w:shd w:val="clear" w:color="auto" w:fill="auto"/>
            <w:noWrap/>
            <w:vAlign w:val="center"/>
          </w:tcPr>
          <w:p w14:paraId="4C2A85EE"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Previsiones desafectadas y créditos recuperados</w:t>
            </w:r>
          </w:p>
        </w:tc>
        <w:tc>
          <w:tcPr>
            <w:tcW w:w="1418" w:type="dxa"/>
            <w:shd w:val="clear" w:color="auto" w:fill="auto"/>
            <w:noWrap/>
            <w:vAlign w:val="bottom"/>
          </w:tcPr>
          <w:p w14:paraId="1660CC03" w14:textId="025C4473" w:rsidR="00151C24" w:rsidRPr="002E1AF6" w:rsidRDefault="009667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333.062</w:t>
            </w:r>
          </w:p>
        </w:tc>
        <w:tc>
          <w:tcPr>
            <w:tcW w:w="1276" w:type="dxa"/>
            <w:vAlign w:val="bottom"/>
          </w:tcPr>
          <w:p w14:paraId="1A7F4CAF" w14:textId="1A0D2C93"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129.866</w:t>
            </w:r>
          </w:p>
        </w:tc>
      </w:tr>
      <w:tr w:rsidR="00151C24" w:rsidRPr="00751A92" w14:paraId="178A599D" w14:textId="77777777" w:rsidTr="00066653">
        <w:trPr>
          <w:trHeight w:val="255"/>
        </w:trPr>
        <w:tc>
          <w:tcPr>
            <w:tcW w:w="6237" w:type="dxa"/>
            <w:shd w:val="clear" w:color="auto" w:fill="auto"/>
            <w:noWrap/>
            <w:vAlign w:val="center"/>
          </w:tcPr>
          <w:p w14:paraId="3E35B4F6"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Intereses punitorios cobrados</w:t>
            </w:r>
          </w:p>
        </w:tc>
        <w:tc>
          <w:tcPr>
            <w:tcW w:w="1418" w:type="dxa"/>
            <w:shd w:val="clear" w:color="auto" w:fill="auto"/>
            <w:noWrap/>
            <w:vAlign w:val="bottom"/>
          </w:tcPr>
          <w:p w14:paraId="2D6C1BCF" w14:textId="1EC87DA7" w:rsidR="00151C24" w:rsidRPr="002E1AF6" w:rsidRDefault="009667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90.209</w:t>
            </w:r>
          </w:p>
        </w:tc>
        <w:tc>
          <w:tcPr>
            <w:tcW w:w="1276" w:type="dxa"/>
            <w:vAlign w:val="bottom"/>
          </w:tcPr>
          <w:p w14:paraId="277390E5" w14:textId="24943585"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174.707</w:t>
            </w:r>
          </w:p>
        </w:tc>
      </w:tr>
      <w:tr w:rsidR="00151C24" w:rsidRPr="00751A92" w14:paraId="28ABC1A9" w14:textId="77777777" w:rsidTr="00066653">
        <w:trPr>
          <w:trHeight w:val="255"/>
        </w:trPr>
        <w:tc>
          <w:tcPr>
            <w:tcW w:w="6237" w:type="dxa"/>
            <w:shd w:val="clear" w:color="auto" w:fill="auto"/>
            <w:noWrap/>
            <w:vAlign w:val="center"/>
          </w:tcPr>
          <w:p w14:paraId="319CAD42" w14:textId="765E7236"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Rendimiento fondo de riesgo S.G.R.</w:t>
            </w:r>
          </w:p>
        </w:tc>
        <w:tc>
          <w:tcPr>
            <w:tcW w:w="1418" w:type="dxa"/>
            <w:shd w:val="clear" w:color="auto" w:fill="auto"/>
            <w:noWrap/>
            <w:vAlign w:val="bottom"/>
          </w:tcPr>
          <w:p w14:paraId="62AF92EB" w14:textId="4CE29331" w:rsidR="00151C24" w:rsidRPr="002E1AF6" w:rsidRDefault="009667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54.371</w:t>
            </w:r>
          </w:p>
        </w:tc>
        <w:tc>
          <w:tcPr>
            <w:tcW w:w="1276" w:type="dxa"/>
            <w:vAlign w:val="bottom"/>
          </w:tcPr>
          <w:p w14:paraId="04A42854" w14:textId="63E33AB4"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29.653</w:t>
            </w:r>
          </w:p>
        </w:tc>
      </w:tr>
      <w:tr w:rsidR="00151C24" w:rsidRPr="00751A92" w14:paraId="5FE08A9F" w14:textId="77777777" w:rsidTr="00066653">
        <w:trPr>
          <w:trHeight w:val="255"/>
        </w:trPr>
        <w:tc>
          <w:tcPr>
            <w:tcW w:w="6237" w:type="dxa"/>
            <w:shd w:val="clear" w:color="auto" w:fill="auto"/>
            <w:noWrap/>
            <w:vAlign w:val="center"/>
            <w:hideMark/>
          </w:tcPr>
          <w:p w14:paraId="60312B23"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Alquileres ganados</w:t>
            </w:r>
          </w:p>
        </w:tc>
        <w:tc>
          <w:tcPr>
            <w:tcW w:w="1418" w:type="dxa"/>
            <w:shd w:val="clear" w:color="auto" w:fill="auto"/>
            <w:noWrap/>
            <w:vAlign w:val="bottom"/>
          </w:tcPr>
          <w:p w14:paraId="5950C723" w14:textId="74A53A2D" w:rsidR="00151C24" w:rsidRPr="002E1AF6" w:rsidRDefault="009667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8.251</w:t>
            </w:r>
          </w:p>
        </w:tc>
        <w:tc>
          <w:tcPr>
            <w:tcW w:w="1276" w:type="dxa"/>
            <w:vAlign w:val="bottom"/>
          </w:tcPr>
          <w:p w14:paraId="0AF4795D" w14:textId="77C1BAC0"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1.392</w:t>
            </w:r>
          </w:p>
        </w:tc>
      </w:tr>
      <w:tr w:rsidR="00151C24" w:rsidRPr="00751A92" w14:paraId="7F7A7563"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2EB8D"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Ajustes e intereses de créditos diversos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34860" w14:textId="4B58110D" w:rsidR="00151C24" w:rsidRPr="002E1AF6" w:rsidRDefault="009667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27.778</w:t>
            </w:r>
          </w:p>
        </w:tc>
        <w:tc>
          <w:tcPr>
            <w:tcW w:w="1276" w:type="dxa"/>
            <w:tcBorders>
              <w:top w:val="single" w:sz="4" w:space="0" w:color="auto"/>
              <w:left w:val="single" w:sz="4" w:space="0" w:color="auto"/>
              <w:bottom w:val="single" w:sz="4" w:space="0" w:color="auto"/>
              <w:right w:val="single" w:sz="4" w:space="0" w:color="auto"/>
            </w:tcBorders>
            <w:vAlign w:val="bottom"/>
          </w:tcPr>
          <w:p w14:paraId="777C8801" w14:textId="43ECF7EB"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45.232</w:t>
            </w:r>
          </w:p>
        </w:tc>
      </w:tr>
      <w:tr w:rsidR="00151C24" w:rsidRPr="00751A92" w14:paraId="5F9B50B7"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7C454"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Seguros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C38ABB" w14:textId="1EB59725" w:rsidR="00151C24" w:rsidRPr="002E1AF6" w:rsidRDefault="0096677A" w:rsidP="0084502B">
            <w:pPr>
              <w:jc w:val="right"/>
              <w:rPr>
                <w:rFonts w:ascii="Arial" w:hAnsi="Arial" w:cs="Arial"/>
                <w:color w:val="000000"/>
                <w:sz w:val="18"/>
                <w:lang w:eastAsia="es-AR"/>
              </w:rPr>
            </w:pPr>
            <w:r w:rsidRPr="002E1AF6">
              <w:rPr>
                <w:rFonts w:ascii="Arial" w:hAnsi="Arial" w:cs="Arial"/>
                <w:color w:val="000000"/>
                <w:sz w:val="18"/>
                <w:lang w:eastAsia="es-AR"/>
              </w:rPr>
              <w:t>-</w:t>
            </w:r>
          </w:p>
        </w:tc>
        <w:tc>
          <w:tcPr>
            <w:tcW w:w="1276" w:type="dxa"/>
            <w:tcBorders>
              <w:top w:val="single" w:sz="4" w:space="0" w:color="auto"/>
              <w:left w:val="single" w:sz="4" w:space="0" w:color="auto"/>
              <w:bottom w:val="single" w:sz="4" w:space="0" w:color="auto"/>
              <w:right w:val="single" w:sz="4" w:space="0" w:color="auto"/>
            </w:tcBorders>
            <w:vAlign w:val="bottom"/>
          </w:tcPr>
          <w:p w14:paraId="4FADF4F6" w14:textId="3D2ABB65"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1.144</w:t>
            </w:r>
          </w:p>
        </w:tc>
      </w:tr>
      <w:tr w:rsidR="00151C24" w:rsidRPr="00751A92" w14:paraId="749F7D43"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3BA3E"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Comisión por administración de cartera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CCAAC" w14:textId="51B1E569" w:rsidR="00151C24" w:rsidRPr="002E1AF6" w:rsidRDefault="0096677A" w:rsidP="0084502B">
            <w:pPr>
              <w:jc w:val="right"/>
              <w:rPr>
                <w:rFonts w:ascii="Arial" w:hAnsi="Arial" w:cs="Arial"/>
                <w:color w:val="000000"/>
                <w:sz w:val="18"/>
                <w:lang w:eastAsia="es-AR"/>
              </w:rPr>
            </w:pPr>
            <w:r w:rsidRPr="002E1AF6">
              <w:rPr>
                <w:rFonts w:ascii="Arial" w:hAnsi="Arial" w:cs="Arial"/>
                <w:color w:val="000000"/>
                <w:sz w:val="18"/>
                <w:lang w:eastAsia="es-AR"/>
              </w:rPr>
              <w:t>3.768</w:t>
            </w:r>
          </w:p>
        </w:tc>
        <w:tc>
          <w:tcPr>
            <w:tcW w:w="1276" w:type="dxa"/>
            <w:tcBorders>
              <w:top w:val="single" w:sz="4" w:space="0" w:color="auto"/>
              <w:left w:val="single" w:sz="4" w:space="0" w:color="auto"/>
              <w:bottom w:val="single" w:sz="4" w:space="0" w:color="auto"/>
              <w:right w:val="single" w:sz="4" w:space="0" w:color="auto"/>
            </w:tcBorders>
            <w:vAlign w:val="bottom"/>
          </w:tcPr>
          <w:p w14:paraId="1C07DC6A" w14:textId="30942D64"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5.084</w:t>
            </w:r>
          </w:p>
        </w:tc>
      </w:tr>
      <w:tr w:rsidR="00BB01F0" w:rsidRPr="00751A92" w14:paraId="78B0E20C"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02EA5" w14:textId="125AA2AF" w:rsidR="00BB01F0" w:rsidRPr="002E1AF6" w:rsidRDefault="00BB01F0" w:rsidP="0084502B">
            <w:pPr>
              <w:rPr>
                <w:rFonts w:ascii="Arial" w:hAnsi="Arial" w:cs="Arial"/>
                <w:color w:val="000000"/>
                <w:sz w:val="18"/>
                <w:lang w:eastAsia="es-AR"/>
              </w:rPr>
            </w:pPr>
            <w:r w:rsidRPr="002E1AF6">
              <w:rPr>
                <w:rFonts w:ascii="Arial" w:hAnsi="Arial" w:cs="Arial"/>
                <w:color w:val="000000"/>
                <w:sz w:val="18"/>
                <w:lang w:eastAsia="es-AR"/>
              </w:rPr>
              <w:t>Comisión por arrendamiento financiero</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A7623" w14:textId="03183B2B" w:rsidR="00BB01F0" w:rsidRPr="002E1AF6" w:rsidRDefault="0096677A" w:rsidP="0084502B">
            <w:pPr>
              <w:jc w:val="right"/>
              <w:rPr>
                <w:rFonts w:ascii="Arial" w:hAnsi="Arial" w:cs="Arial"/>
                <w:color w:val="000000"/>
                <w:sz w:val="18"/>
                <w:lang w:eastAsia="es-AR"/>
              </w:rPr>
            </w:pPr>
            <w:r w:rsidRPr="002E1AF6">
              <w:rPr>
                <w:rFonts w:ascii="Arial" w:hAnsi="Arial" w:cs="Arial"/>
                <w:color w:val="000000"/>
                <w:sz w:val="18"/>
                <w:lang w:eastAsia="es-AR"/>
              </w:rPr>
              <w:t>81</w:t>
            </w:r>
          </w:p>
        </w:tc>
        <w:tc>
          <w:tcPr>
            <w:tcW w:w="1276" w:type="dxa"/>
            <w:tcBorders>
              <w:top w:val="single" w:sz="4" w:space="0" w:color="auto"/>
              <w:left w:val="single" w:sz="4" w:space="0" w:color="auto"/>
              <w:bottom w:val="single" w:sz="4" w:space="0" w:color="auto"/>
              <w:right w:val="single" w:sz="4" w:space="0" w:color="auto"/>
            </w:tcBorders>
            <w:vAlign w:val="bottom"/>
          </w:tcPr>
          <w:p w14:paraId="30A302D8" w14:textId="736FEBE8" w:rsidR="00BB01F0"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1.547</w:t>
            </w:r>
          </w:p>
        </w:tc>
      </w:tr>
      <w:tr w:rsidR="00BB01F0" w:rsidRPr="00751A92" w14:paraId="4A778ABD"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416FE" w14:textId="2D2612A3" w:rsidR="00BB01F0" w:rsidRPr="002E1AF6" w:rsidRDefault="00BB01F0" w:rsidP="0084502B">
            <w:pPr>
              <w:rPr>
                <w:rFonts w:ascii="Arial" w:hAnsi="Arial" w:cs="Arial"/>
                <w:color w:val="000000"/>
                <w:sz w:val="18"/>
                <w:lang w:eastAsia="es-AR"/>
              </w:rPr>
            </w:pPr>
            <w:r w:rsidRPr="002E1AF6">
              <w:rPr>
                <w:rFonts w:ascii="Arial" w:hAnsi="Arial" w:cs="Arial"/>
                <w:color w:val="000000"/>
                <w:sz w:val="18"/>
                <w:lang w:eastAsia="es-AR"/>
              </w:rPr>
              <w:t>Comisión por gestión de cuenta corriente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2EC29" w14:textId="3ADAD51F" w:rsidR="00BB01F0" w:rsidRPr="002E1AF6" w:rsidRDefault="0096677A" w:rsidP="0084502B">
            <w:pPr>
              <w:jc w:val="right"/>
              <w:rPr>
                <w:rFonts w:ascii="Arial" w:hAnsi="Arial" w:cs="Arial"/>
                <w:color w:val="000000"/>
                <w:sz w:val="18"/>
                <w:lang w:eastAsia="es-AR"/>
              </w:rPr>
            </w:pPr>
            <w:r w:rsidRPr="002E1AF6">
              <w:rPr>
                <w:rFonts w:ascii="Arial" w:hAnsi="Arial" w:cs="Arial"/>
                <w:color w:val="000000"/>
                <w:sz w:val="18"/>
                <w:lang w:eastAsia="es-AR"/>
              </w:rPr>
              <w:t>62.039</w:t>
            </w:r>
          </w:p>
        </w:tc>
        <w:tc>
          <w:tcPr>
            <w:tcW w:w="1276" w:type="dxa"/>
            <w:tcBorders>
              <w:top w:val="single" w:sz="4" w:space="0" w:color="auto"/>
              <w:left w:val="single" w:sz="4" w:space="0" w:color="auto"/>
              <w:bottom w:val="single" w:sz="4" w:space="0" w:color="auto"/>
              <w:right w:val="single" w:sz="4" w:space="0" w:color="auto"/>
            </w:tcBorders>
            <w:vAlign w:val="bottom"/>
          </w:tcPr>
          <w:p w14:paraId="4CAAAB39" w14:textId="1EF90504" w:rsidR="00BB01F0"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31.901</w:t>
            </w:r>
          </w:p>
        </w:tc>
      </w:tr>
      <w:tr w:rsidR="00151C24" w:rsidRPr="00751A92" w14:paraId="2E0B3B3A"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55A5E"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Comisiones por administración de cheques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898B2" w14:textId="4B774537" w:rsidR="00151C24" w:rsidRPr="002E1AF6" w:rsidRDefault="0096677A" w:rsidP="0084502B">
            <w:pPr>
              <w:jc w:val="right"/>
              <w:rPr>
                <w:rFonts w:ascii="Arial" w:hAnsi="Arial" w:cs="Arial"/>
                <w:color w:val="000000"/>
                <w:sz w:val="18"/>
                <w:lang w:eastAsia="es-AR"/>
              </w:rPr>
            </w:pPr>
            <w:r w:rsidRPr="002E1AF6">
              <w:rPr>
                <w:rFonts w:ascii="Arial" w:hAnsi="Arial" w:cs="Arial"/>
                <w:color w:val="000000"/>
                <w:sz w:val="18"/>
                <w:lang w:eastAsia="es-AR"/>
              </w:rPr>
              <w:t>153</w:t>
            </w:r>
          </w:p>
        </w:tc>
        <w:tc>
          <w:tcPr>
            <w:tcW w:w="1276" w:type="dxa"/>
            <w:tcBorders>
              <w:top w:val="single" w:sz="4" w:space="0" w:color="auto"/>
              <w:left w:val="single" w:sz="4" w:space="0" w:color="auto"/>
              <w:bottom w:val="single" w:sz="4" w:space="0" w:color="auto"/>
              <w:right w:val="single" w:sz="4" w:space="0" w:color="auto"/>
            </w:tcBorders>
            <w:vAlign w:val="bottom"/>
          </w:tcPr>
          <w:p w14:paraId="5DC6C89E" w14:textId="0497F58C"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40.396</w:t>
            </w:r>
          </w:p>
        </w:tc>
      </w:tr>
      <w:tr w:rsidR="00151C24" w:rsidRPr="00751A92" w14:paraId="1A20E569" w14:textId="77777777" w:rsidTr="00066653">
        <w:trPr>
          <w:trHeight w:val="255"/>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BF423"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Otros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1DB47" w14:textId="2215BE01" w:rsidR="00151C24" w:rsidRPr="002E1AF6" w:rsidRDefault="009667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113.337</w:t>
            </w:r>
          </w:p>
        </w:tc>
        <w:tc>
          <w:tcPr>
            <w:tcW w:w="1276" w:type="dxa"/>
            <w:tcBorders>
              <w:top w:val="single" w:sz="4" w:space="0" w:color="auto"/>
              <w:left w:val="single" w:sz="4" w:space="0" w:color="auto"/>
              <w:bottom w:val="single" w:sz="4" w:space="0" w:color="auto"/>
              <w:right w:val="single" w:sz="4" w:space="0" w:color="auto"/>
            </w:tcBorders>
            <w:vAlign w:val="bottom"/>
          </w:tcPr>
          <w:p w14:paraId="5445F04F" w14:textId="727802A1"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226.411</w:t>
            </w:r>
          </w:p>
        </w:tc>
      </w:tr>
      <w:tr w:rsidR="00151C24" w:rsidRPr="00751A92" w14:paraId="249F9417" w14:textId="77777777" w:rsidTr="00066653">
        <w:trPr>
          <w:trHeight w:val="270"/>
        </w:trPr>
        <w:tc>
          <w:tcPr>
            <w:tcW w:w="6237" w:type="dxa"/>
            <w:shd w:val="clear" w:color="auto" w:fill="auto"/>
            <w:noWrap/>
            <w:vAlign w:val="center"/>
            <w:hideMark/>
          </w:tcPr>
          <w:p w14:paraId="7B0DB765"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418" w:type="dxa"/>
            <w:shd w:val="clear" w:color="auto" w:fill="auto"/>
            <w:noWrap/>
            <w:vAlign w:val="bottom"/>
          </w:tcPr>
          <w:p w14:paraId="58419E1E" w14:textId="4ECEEEC0" w:rsidR="00151C24" w:rsidRPr="002E1AF6" w:rsidRDefault="0096677A"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761.040</w:t>
            </w:r>
          </w:p>
        </w:tc>
        <w:tc>
          <w:tcPr>
            <w:tcW w:w="1276" w:type="dxa"/>
            <w:vAlign w:val="bottom"/>
          </w:tcPr>
          <w:p w14:paraId="685BCB9F" w14:textId="4C4214EC" w:rsidR="00151C24" w:rsidRPr="002E1AF6" w:rsidRDefault="00E11B09"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764.980</w:t>
            </w:r>
          </w:p>
        </w:tc>
      </w:tr>
    </w:tbl>
    <w:p w14:paraId="4484A6BE" w14:textId="77777777" w:rsidR="0051270D" w:rsidRPr="00751A92" w:rsidRDefault="0051270D" w:rsidP="00151C24">
      <w:pPr>
        <w:rPr>
          <w:rFonts w:ascii="Arial" w:hAnsi="Arial" w:cs="Arial"/>
          <w:bCs/>
          <w:color w:val="000000"/>
          <w:sz w:val="20"/>
          <w:lang w:eastAsia="es-AR"/>
        </w:rPr>
      </w:pPr>
    </w:p>
    <w:p w14:paraId="5608802B" w14:textId="3AB83668" w:rsidR="00151C24" w:rsidRPr="00751A92" w:rsidRDefault="00151C24" w:rsidP="00151C24">
      <w:pPr>
        <w:rPr>
          <w:rFonts w:ascii="Arial" w:hAnsi="Arial" w:cs="Arial"/>
          <w:bCs/>
          <w:color w:val="000000"/>
          <w:sz w:val="20"/>
          <w:lang w:eastAsia="es-AR"/>
        </w:rPr>
      </w:pPr>
      <w:r w:rsidRPr="00751A92">
        <w:rPr>
          <w:rFonts w:ascii="Arial" w:hAnsi="Arial" w:cs="Arial"/>
          <w:bCs/>
          <w:color w:val="000000"/>
          <w:sz w:val="20"/>
          <w:lang w:eastAsia="es-AR"/>
        </w:rPr>
        <w:t>15.7 Beneficios al personal</w:t>
      </w:r>
    </w:p>
    <w:p w14:paraId="1F29C578" w14:textId="77777777" w:rsidR="00151C24" w:rsidRPr="00751A92" w:rsidRDefault="00151C24" w:rsidP="00151C24">
      <w:pPr>
        <w:rPr>
          <w:rFonts w:ascii="Arial" w:hAnsi="Arial" w:cs="Arial"/>
          <w:bCs/>
          <w:color w:val="000000"/>
          <w:sz w:val="20"/>
          <w:lang w:eastAsia="es-AR"/>
        </w:rPr>
      </w:pPr>
    </w:p>
    <w:tbl>
      <w:tblPr>
        <w:tblW w:w="89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82"/>
        <w:gridCol w:w="1330"/>
        <w:gridCol w:w="1292"/>
      </w:tblGrid>
      <w:tr w:rsidR="00901250" w:rsidRPr="00751A92" w14:paraId="7209BA69" w14:textId="77777777" w:rsidTr="00066653">
        <w:trPr>
          <w:trHeight w:val="259"/>
        </w:trPr>
        <w:tc>
          <w:tcPr>
            <w:tcW w:w="6282" w:type="dxa"/>
            <w:shd w:val="clear" w:color="auto" w:fill="auto"/>
            <w:noWrap/>
            <w:vAlign w:val="bottom"/>
            <w:hideMark/>
          </w:tcPr>
          <w:p w14:paraId="4B5B54AF" w14:textId="77777777" w:rsidR="00901250" w:rsidRPr="002E1AF6" w:rsidRDefault="00901250" w:rsidP="00901250">
            <w:pPr>
              <w:rPr>
                <w:rFonts w:ascii="Arial" w:hAnsi="Arial" w:cs="Arial"/>
                <w:b/>
                <w:bCs/>
                <w:color w:val="000000"/>
                <w:sz w:val="18"/>
                <w:lang w:eastAsia="es-AR"/>
              </w:rPr>
            </w:pPr>
          </w:p>
        </w:tc>
        <w:tc>
          <w:tcPr>
            <w:tcW w:w="1330" w:type="dxa"/>
            <w:shd w:val="clear" w:color="auto" w:fill="auto"/>
            <w:noWrap/>
            <w:hideMark/>
          </w:tcPr>
          <w:p w14:paraId="09CC9685" w14:textId="31F3D522" w:rsidR="00901250" w:rsidRPr="002E1AF6" w:rsidRDefault="00901250" w:rsidP="00901250">
            <w:pPr>
              <w:jc w:val="right"/>
              <w:rPr>
                <w:rFonts w:ascii="Arial" w:hAnsi="Arial" w:cs="Arial"/>
                <w:b/>
                <w:color w:val="000000"/>
                <w:sz w:val="18"/>
                <w:lang w:eastAsia="es-AR"/>
              </w:rPr>
            </w:pPr>
            <w:r w:rsidRPr="002E1AF6">
              <w:rPr>
                <w:rFonts w:ascii="Arial" w:hAnsi="Arial" w:cs="Arial"/>
                <w:b/>
                <w:sz w:val="18"/>
              </w:rPr>
              <w:t>31/03/2020</w:t>
            </w:r>
          </w:p>
        </w:tc>
        <w:tc>
          <w:tcPr>
            <w:tcW w:w="1292" w:type="dxa"/>
            <w:vAlign w:val="center"/>
          </w:tcPr>
          <w:p w14:paraId="08B710BC" w14:textId="4340C493" w:rsidR="00901250" w:rsidRPr="002E1AF6" w:rsidRDefault="00901250" w:rsidP="00901250">
            <w:pPr>
              <w:jc w:val="right"/>
              <w:rPr>
                <w:rFonts w:ascii="Arial" w:hAnsi="Arial" w:cs="Arial"/>
                <w:b/>
                <w:color w:val="000000"/>
                <w:sz w:val="18"/>
                <w:lang w:eastAsia="es-AR"/>
              </w:rPr>
            </w:pPr>
            <w:r w:rsidRPr="002E1AF6">
              <w:rPr>
                <w:rFonts w:ascii="Arial" w:hAnsi="Arial" w:cs="Arial"/>
                <w:b/>
                <w:sz w:val="18"/>
              </w:rPr>
              <w:t>31/03/2019</w:t>
            </w:r>
          </w:p>
        </w:tc>
      </w:tr>
      <w:tr w:rsidR="00151C24" w:rsidRPr="00751A92" w14:paraId="38EFCF9D" w14:textId="77777777" w:rsidTr="0084502B">
        <w:trPr>
          <w:trHeight w:val="259"/>
        </w:trPr>
        <w:tc>
          <w:tcPr>
            <w:tcW w:w="6282" w:type="dxa"/>
            <w:shd w:val="clear" w:color="auto" w:fill="auto"/>
            <w:noWrap/>
            <w:vAlign w:val="bottom"/>
            <w:hideMark/>
          </w:tcPr>
          <w:p w14:paraId="7A413E3C"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Gastos de personal</w:t>
            </w:r>
          </w:p>
        </w:tc>
        <w:tc>
          <w:tcPr>
            <w:tcW w:w="1330" w:type="dxa"/>
            <w:shd w:val="clear" w:color="auto" w:fill="auto"/>
            <w:noWrap/>
            <w:vAlign w:val="bottom"/>
          </w:tcPr>
          <w:p w14:paraId="33FD79CF" w14:textId="2242350F"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267.744</w:t>
            </w:r>
          </w:p>
        </w:tc>
        <w:tc>
          <w:tcPr>
            <w:tcW w:w="1292" w:type="dxa"/>
            <w:vAlign w:val="bottom"/>
          </w:tcPr>
          <w:p w14:paraId="1E36D756" w14:textId="22789AA5"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452.785</w:t>
            </w:r>
          </w:p>
        </w:tc>
      </w:tr>
      <w:tr w:rsidR="00151C24" w:rsidRPr="00751A92" w14:paraId="34351A26" w14:textId="77777777" w:rsidTr="0084502B">
        <w:trPr>
          <w:trHeight w:val="259"/>
        </w:trPr>
        <w:tc>
          <w:tcPr>
            <w:tcW w:w="62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C9DEA"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Remuneraciones y cargas sociales</w:t>
            </w:r>
          </w:p>
        </w:tc>
        <w:tc>
          <w:tcPr>
            <w:tcW w:w="13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2F8B8" w14:textId="1FCE07BC"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2.965.695</w:t>
            </w:r>
          </w:p>
        </w:tc>
        <w:tc>
          <w:tcPr>
            <w:tcW w:w="1292" w:type="dxa"/>
            <w:tcBorders>
              <w:top w:val="single" w:sz="4" w:space="0" w:color="auto"/>
              <w:left w:val="single" w:sz="4" w:space="0" w:color="auto"/>
              <w:bottom w:val="single" w:sz="4" w:space="0" w:color="auto"/>
              <w:right w:val="single" w:sz="4" w:space="0" w:color="auto"/>
            </w:tcBorders>
            <w:vAlign w:val="bottom"/>
          </w:tcPr>
          <w:p w14:paraId="744C7518" w14:textId="356B8E49" w:rsidR="00151C24" w:rsidRPr="002E1AF6" w:rsidRDefault="00E11B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2.743.549</w:t>
            </w:r>
          </w:p>
        </w:tc>
      </w:tr>
      <w:tr w:rsidR="00151C24" w:rsidRPr="00751A92" w14:paraId="0B1D52A1" w14:textId="77777777" w:rsidTr="0084502B">
        <w:trPr>
          <w:trHeight w:val="274"/>
        </w:trPr>
        <w:tc>
          <w:tcPr>
            <w:tcW w:w="6282" w:type="dxa"/>
            <w:shd w:val="clear" w:color="auto" w:fill="auto"/>
            <w:noWrap/>
            <w:vAlign w:val="bottom"/>
            <w:hideMark/>
          </w:tcPr>
          <w:p w14:paraId="7438E42A"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lastRenderedPageBreak/>
              <w:t>Total</w:t>
            </w:r>
          </w:p>
        </w:tc>
        <w:tc>
          <w:tcPr>
            <w:tcW w:w="1330" w:type="dxa"/>
            <w:shd w:val="clear" w:color="auto" w:fill="auto"/>
            <w:noWrap/>
            <w:vAlign w:val="bottom"/>
          </w:tcPr>
          <w:p w14:paraId="45962096" w14:textId="44822BEE" w:rsidR="00151C24" w:rsidRPr="002E1AF6" w:rsidRDefault="00E11B09"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3.233.439</w:t>
            </w:r>
          </w:p>
        </w:tc>
        <w:tc>
          <w:tcPr>
            <w:tcW w:w="1292" w:type="dxa"/>
            <w:vAlign w:val="bottom"/>
          </w:tcPr>
          <w:p w14:paraId="2B6CE1C0" w14:textId="3E6B5905" w:rsidR="00151C24" w:rsidRPr="002E1AF6" w:rsidRDefault="00E11B09"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3.196.334</w:t>
            </w:r>
          </w:p>
        </w:tc>
      </w:tr>
    </w:tbl>
    <w:p w14:paraId="7EF78FB9" w14:textId="56799598" w:rsidR="00151C24" w:rsidRPr="00751A92" w:rsidRDefault="00151C24" w:rsidP="00151C24">
      <w:pPr>
        <w:rPr>
          <w:rFonts w:ascii="Arial" w:hAnsi="Arial" w:cs="Arial"/>
          <w:bCs/>
          <w:color w:val="000000"/>
          <w:sz w:val="20"/>
          <w:lang w:eastAsia="es-AR"/>
        </w:rPr>
      </w:pPr>
    </w:p>
    <w:p w14:paraId="7A51B6F9" w14:textId="2C7ED808" w:rsidR="00151C24" w:rsidRPr="00751A92" w:rsidRDefault="00151C24" w:rsidP="00151C24">
      <w:pPr>
        <w:rPr>
          <w:rFonts w:ascii="Arial" w:hAnsi="Arial" w:cs="Arial"/>
          <w:bCs/>
          <w:color w:val="000000"/>
          <w:sz w:val="20"/>
          <w:lang w:eastAsia="es-AR"/>
        </w:rPr>
      </w:pPr>
      <w:r w:rsidRPr="00751A92">
        <w:rPr>
          <w:rFonts w:ascii="Arial" w:hAnsi="Arial" w:cs="Arial"/>
          <w:bCs/>
          <w:color w:val="000000"/>
          <w:sz w:val="20"/>
          <w:lang w:eastAsia="es-AR"/>
        </w:rPr>
        <w:t>15.8 Gastos de Administración</w:t>
      </w:r>
    </w:p>
    <w:p w14:paraId="600DAE1C" w14:textId="77777777" w:rsidR="00151C24" w:rsidRPr="00751A92" w:rsidRDefault="00151C24" w:rsidP="00151C24">
      <w:pPr>
        <w:rPr>
          <w:rFonts w:ascii="Arial" w:hAnsi="Arial" w:cs="Arial"/>
          <w:bCs/>
          <w:color w:val="000000"/>
          <w:sz w:val="20"/>
          <w:lang w:eastAsia="es-AR"/>
        </w:rPr>
      </w:pPr>
    </w:p>
    <w:tbl>
      <w:tblPr>
        <w:tblW w:w="88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07"/>
        <w:gridCol w:w="1290"/>
        <w:gridCol w:w="1290"/>
      </w:tblGrid>
      <w:tr w:rsidR="00901250" w:rsidRPr="00751A92" w14:paraId="3C603A15" w14:textId="77777777" w:rsidTr="00066653">
        <w:trPr>
          <w:trHeight w:val="261"/>
          <w:tblHeader/>
        </w:trPr>
        <w:tc>
          <w:tcPr>
            <w:tcW w:w="6307" w:type="dxa"/>
            <w:shd w:val="clear" w:color="auto" w:fill="auto"/>
            <w:noWrap/>
            <w:vAlign w:val="bottom"/>
            <w:hideMark/>
          </w:tcPr>
          <w:p w14:paraId="07DD5858" w14:textId="77777777" w:rsidR="00901250" w:rsidRPr="002E1AF6" w:rsidRDefault="00901250" w:rsidP="00901250">
            <w:pPr>
              <w:rPr>
                <w:rFonts w:ascii="Arial" w:hAnsi="Arial" w:cs="Arial"/>
                <w:b/>
                <w:bCs/>
                <w:color w:val="000000"/>
                <w:sz w:val="18"/>
                <w:lang w:eastAsia="es-AR"/>
              </w:rPr>
            </w:pPr>
          </w:p>
        </w:tc>
        <w:tc>
          <w:tcPr>
            <w:tcW w:w="1290" w:type="dxa"/>
            <w:shd w:val="clear" w:color="auto" w:fill="auto"/>
            <w:noWrap/>
            <w:hideMark/>
          </w:tcPr>
          <w:p w14:paraId="5192D839" w14:textId="396C340E" w:rsidR="00901250" w:rsidRPr="002E1AF6" w:rsidRDefault="00901250" w:rsidP="00901250">
            <w:pPr>
              <w:jc w:val="right"/>
              <w:rPr>
                <w:rFonts w:ascii="Arial" w:hAnsi="Arial" w:cs="Arial"/>
                <w:b/>
                <w:color w:val="000000"/>
                <w:sz w:val="18"/>
                <w:lang w:eastAsia="es-AR"/>
              </w:rPr>
            </w:pPr>
            <w:r w:rsidRPr="002E1AF6">
              <w:rPr>
                <w:rFonts w:ascii="Arial" w:hAnsi="Arial" w:cs="Arial"/>
                <w:b/>
                <w:sz w:val="18"/>
              </w:rPr>
              <w:t>31/03/2020</w:t>
            </w:r>
          </w:p>
        </w:tc>
        <w:tc>
          <w:tcPr>
            <w:tcW w:w="1290" w:type="dxa"/>
            <w:vAlign w:val="center"/>
          </w:tcPr>
          <w:p w14:paraId="097DDBA7" w14:textId="6B78B88D" w:rsidR="00901250" w:rsidRPr="002E1AF6" w:rsidRDefault="00901250" w:rsidP="00901250">
            <w:pPr>
              <w:jc w:val="right"/>
              <w:rPr>
                <w:rFonts w:ascii="Arial" w:hAnsi="Arial" w:cs="Arial"/>
                <w:b/>
                <w:color w:val="000000"/>
                <w:sz w:val="18"/>
                <w:lang w:eastAsia="es-AR"/>
              </w:rPr>
            </w:pPr>
            <w:r w:rsidRPr="002E1AF6">
              <w:rPr>
                <w:rFonts w:ascii="Arial" w:hAnsi="Arial" w:cs="Arial"/>
                <w:b/>
                <w:sz w:val="18"/>
              </w:rPr>
              <w:t>31/03/2019</w:t>
            </w:r>
          </w:p>
        </w:tc>
      </w:tr>
      <w:tr w:rsidR="00151C24" w:rsidRPr="00751A92" w14:paraId="2334CFBD" w14:textId="77777777" w:rsidTr="0084502B">
        <w:trPr>
          <w:trHeight w:val="261"/>
        </w:trPr>
        <w:tc>
          <w:tcPr>
            <w:tcW w:w="6307" w:type="dxa"/>
            <w:shd w:val="clear" w:color="auto" w:fill="auto"/>
            <w:noWrap/>
            <w:vAlign w:val="bottom"/>
            <w:hideMark/>
          </w:tcPr>
          <w:p w14:paraId="52A11C1B"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Alquileres pagados</w:t>
            </w:r>
          </w:p>
        </w:tc>
        <w:tc>
          <w:tcPr>
            <w:tcW w:w="1290" w:type="dxa"/>
            <w:shd w:val="clear" w:color="auto" w:fill="auto"/>
            <w:noWrap/>
            <w:vAlign w:val="bottom"/>
          </w:tcPr>
          <w:p w14:paraId="09C027E8" w14:textId="4527D7BB"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7.694</w:t>
            </w:r>
          </w:p>
        </w:tc>
        <w:tc>
          <w:tcPr>
            <w:tcW w:w="1290" w:type="dxa"/>
            <w:vAlign w:val="bottom"/>
          </w:tcPr>
          <w:p w14:paraId="2BC79891" w14:textId="7C66C65D"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6.192</w:t>
            </w:r>
          </w:p>
        </w:tc>
      </w:tr>
      <w:tr w:rsidR="00151C24" w:rsidRPr="00751A92" w14:paraId="6C3C8F54"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25011"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Honorarios y retribuciones por servicios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65DD1" w14:textId="4C2A5A86"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610.320</w:t>
            </w:r>
          </w:p>
        </w:tc>
        <w:tc>
          <w:tcPr>
            <w:tcW w:w="1290" w:type="dxa"/>
            <w:tcBorders>
              <w:top w:val="single" w:sz="4" w:space="0" w:color="auto"/>
              <w:left w:val="single" w:sz="4" w:space="0" w:color="auto"/>
              <w:bottom w:val="single" w:sz="4" w:space="0" w:color="auto"/>
              <w:right w:val="single" w:sz="4" w:space="0" w:color="auto"/>
            </w:tcBorders>
            <w:vAlign w:val="bottom"/>
          </w:tcPr>
          <w:p w14:paraId="1499D2E6" w14:textId="515D0EEE"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641.788</w:t>
            </w:r>
          </w:p>
        </w:tc>
      </w:tr>
      <w:tr w:rsidR="00151C24" w:rsidRPr="00751A92" w14:paraId="3A93C6A3"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3782F"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Impuestos y tasas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687DB" w14:textId="64A05B52"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322.733</w:t>
            </w:r>
          </w:p>
        </w:tc>
        <w:tc>
          <w:tcPr>
            <w:tcW w:w="1290" w:type="dxa"/>
            <w:tcBorders>
              <w:top w:val="single" w:sz="4" w:space="0" w:color="auto"/>
              <w:left w:val="single" w:sz="4" w:space="0" w:color="auto"/>
              <w:bottom w:val="single" w:sz="4" w:space="0" w:color="auto"/>
              <w:right w:val="single" w:sz="4" w:space="0" w:color="auto"/>
            </w:tcBorders>
            <w:vAlign w:val="bottom"/>
          </w:tcPr>
          <w:p w14:paraId="0A069BCD" w14:textId="5163FC40"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373.069</w:t>
            </w:r>
          </w:p>
        </w:tc>
      </w:tr>
      <w:tr w:rsidR="00151C24" w:rsidRPr="00751A92" w14:paraId="0D0AF1A7"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3839C6"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Mantenimiento y reparaciones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D439C" w14:textId="63BF9120"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228.150</w:t>
            </w:r>
          </w:p>
        </w:tc>
        <w:tc>
          <w:tcPr>
            <w:tcW w:w="1290" w:type="dxa"/>
            <w:tcBorders>
              <w:top w:val="single" w:sz="4" w:space="0" w:color="auto"/>
              <w:left w:val="single" w:sz="4" w:space="0" w:color="auto"/>
              <w:bottom w:val="single" w:sz="4" w:space="0" w:color="auto"/>
              <w:right w:val="single" w:sz="4" w:space="0" w:color="auto"/>
            </w:tcBorders>
            <w:vAlign w:val="bottom"/>
          </w:tcPr>
          <w:p w14:paraId="61E799FA" w14:textId="03556776"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197.753</w:t>
            </w:r>
          </w:p>
        </w:tc>
      </w:tr>
      <w:tr w:rsidR="00151C24" w:rsidRPr="00751A92" w14:paraId="2ECA4795"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5415F" w14:textId="79C42E4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 xml:space="preserve">Energía eléctrica, </w:t>
            </w:r>
            <w:r w:rsidR="00DC3851" w:rsidRPr="002E1AF6">
              <w:rPr>
                <w:rFonts w:ascii="Arial" w:hAnsi="Arial" w:cs="Arial"/>
                <w:color w:val="000000"/>
                <w:sz w:val="18"/>
                <w:lang w:eastAsia="es-AR"/>
              </w:rPr>
              <w:t>gas y</w:t>
            </w:r>
            <w:r w:rsidRPr="002E1AF6">
              <w:rPr>
                <w:rFonts w:ascii="Arial" w:hAnsi="Arial" w:cs="Arial"/>
                <w:color w:val="000000"/>
                <w:sz w:val="18"/>
                <w:lang w:eastAsia="es-AR"/>
              </w:rPr>
              <w:t xml:space="preserve"> teléfono</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9D213" w14:textId="752D531F"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120.032</w:t>
            </w:r>
          </w:p>
        </w:tc>
        <w:tc>
          <w:tcPr>
            <w:tcW w:w="1290" w:type="dxa"/>
            <w:tcBorders>
              <w:top w:val="single" w:sz="4" w:space="0" w:color="auto"/>
              <w:left w:val="single" w:sz="4" w:space="0" w:color="auto"/>
              <w:bottom w:val="single" w:sz="4" w:space="0" w:color="auto"/>
              <w:right w:val="single" w:sz="4" w:space="0" w:color="auto"/>
            </w:tcBorders>
            <w:vAlign w:val="bottom"/>
          </w:tcPr>
          <w:p w14:paraId="60CCE06B" w14:textId="3CAD26F5"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124.967</w:t>
            </w:r>
          </w:p>
        </w:tc>
      </w:tr>
      <w:tr w:rsidR="00151C24" w:rsidRPr="00751A92" w14:paraId="24E2AE45"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8E963"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Gastos de publicidad, promoción e investigación</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E2EAB" w14:textId="533866B9"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90.630</w:t>
            </w:r>
          </w:p>
        </w:tc>
        <w:tc>
          <w:tcPr>
            <w:tcW w:w="1290" w:type="dxa"/>
            <w:tcBorders>
              <w:top w:val="single" w:sz="4" w:space="0" w:color="auto"/>
              <w:left w:val="single" w:sz="4" w:space="0" w:color="auto"/>
              <w:bottom w:val="single" w:sz="4" w:space="0" w:color="auto"/>
              <w:right w:val="single" w:sz="4" w:space="0" w:color="auto"/>
            </w:tcBorders>
            <w:vAlign w:val="bottom"/>
          </w:tcPr>
          <w:p w14:paraId="1EA11656" w14:textId="30CCC46B"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135.413</w:t>
            </w:r>
          </w:p>
        </w:tc>
      </w:tr>
      <w:tr w:rsidR="00151C24" w:rsidRPr="00751A92" w14:paraId="6E64A1BE"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45C6B"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Gastos de representación y movilidad</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A3610" w14:textId="7C1ABAA3"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19.206</w:t>
            </w:r>
          </w:p>
        </w:tc>
        <w:tc>
          <w:tcPr>
            <w:tcW w:w="1290" w:type="dxa"/>
            <w:tcBorders>
              <w:top w:val="single" w:sz="4" w:space="0" w:color="auto"/>
              <w:left w:val="single" w:sz="4" w:space="0" w:color="auto"/>
              <w:bottom w:val="single" w:sz="4" w:space="0" w:color="auto"/>
              <w:right w:val="single" w:sz="4" w:space="0" w:color="auto"/>
            </w:tcBorders>
            <w:vAlign w:val="bottom"/>
          </w:tcPr>
          <w:p w14:paraId="2B18B857" w14:textId="5829ECA8"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23.138</w:t>
            </w:r>
          </w:p>
        </w:tc>
      </w:tr>
      <w:tr w:rsidR="00151C24" w:rsidRPr="00751A92" w14:paraId="2C020F18"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DE272"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Honorarios al Directorio</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502F6" w14:textId="48B69C48"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10.961</w:t>
            </w:r>
          </w:p>
        </w:tc>
        <w:tc>
          <w:tcPr>
            <w:tcW w:w="1290" w:type="dxa"/>
            <w:tcBorders>
              <w:top w:val="single" w:sz="4" w:space="0" w:color="auto"/>
              <w:left w:val="single" w:sz="4" w:space="0" w:color="auto"/>
              <w:bottom w:val="single" w:sz="4" w:space="0" w:color="auto"/>
              <w:right w:val="single" w:sz="4" w:space="0" w:color="auto"/>
            </w:tcBorders>
            <w:vAlign w:val="bottom"/>
          </w:tcPr>
          <w:p w14:paraId="1C4F5F27" w14:textId="65AAF260"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52.700</w:t>
            </w:r>
          </w:p>
        </w:tc>
      </w:tr>
      <w:tr w:rsidR="00151C24" w:rsidRPr="00751A92" w14:paraId="28CBB29F" w14:textId="77777777" w:rsidTr="0084502B">
        <w:trPr>
          <w:trHeight w:val="276"/>
        </w:trPr>
        <w:tc>
          <w:tcPr>
            <w:tcW w:w="6307" w:type="dxa"/>
            <w:shd w:val="clear" w:color="auto" w:fill="auto"/>
            <w:noWrap/>
            <w:vAlign w:val="center"/>
          </w:tcPr>
          <w:p w14:paraId="6609E0D6" w14:textId="43B4B12E" w:rsidR="00151C24" w:rsidRPr="002E1AF6" w:rsidRDefault="00AE73E8" w:rsidP="0084502B">
            <w:pPr>
              <w:rPr>
                <w:rFonts w:ascii="Arial" w:hAnsi="Arial" w:cs="Arial"/>
                <w:color w:val="000000"/>
                <w:sz w:val="18"/>
                <w:lang w:eastAsia="es-AR"/>
              </w:rPr>
            </w:pPr>
            <w:r w:rsidRPr="002E1AF6">
              <w:rPr>
                <w:rFonts w:ascii="Arial" w:hAnsi="Arial" w:cs="Arial"/>
                <w:color w:val="000000"/>
                <w:sz w:val="18"/>
                <w:lang w:eastAsia="es-AR"/>
              </w:rPr>
              <w:t>Útiles</w:t>
            </w:r>
            <w:r w:rsidR="00151C24" w:rsidRPr="002E1AF6">
              <w:rPr>
                <w:rFonts w:ascii="Arial" w:hAnsi="Arial" w:cs="Arial"/>
                <w:color w:val="000000"/>
                <w:sz w:val="18"/>
                <w:lang w:eastAsia="es-AR"/>
              </w:rPr>
              <w:t xml:space="preserve"> de oficina</w:t>
            </w:r>
          </w:p>
        </w:tc>
        <w:tc>
          <w:tcPr>
            <w:tcW w:w="1290" w:type="dxa"/>
            <w:shd w:val="clear" w:color="auto" w:fill="auto"/>
            <w:noWrap/>
            <w:vAlign w:val="bottom"/>
          </w:tcPr>
          <w:p w14:paraId="240358C5" w14:textId="21778914"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99.061</w:t>
            </w:r>
          </w:p>
        </w:tc>
        <w:tc>
          <w:tcPr>
            <w:tcW w:w="1290" w:type="dxa"/>
            <w:vAlign w:val="bottom"/>
          </w:tcPr>
          <w:p w14:paraId="2F714E0A" w14:textId="203CD280"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56.312</w:t>
            </w:r>
          </w:p>
        </w:tc>
      </w:tr>
      <w:tr w:rsidR="00151C24" w:rsidRPr="00751A92" w14:paraId="7C3B94FA" w14:textId="77777777" w:rsidTr="0084502B">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04133"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Diversos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2074A" w14:textId="6A5FB28B"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130.945</w:t>
            </w:r>
          </w:p>
        </w:tc>
        <w:tc>
          <w:tcPr>
            <w:tcW w:w="1290" w:type="dxa"/>
            <w:tcBorders>
              <w:top w:val="single" w:sz="4" w:space="0" w:color="auto"/>
              <w:left w:val="single" w:sz="4" w:space="0" w:color="auto"/>
              <w:bottom w:val="single" w:sz="4" w:space="0" w:color="auto"/>
              <w:right w:val="single" w:sz="4" w:space="0" w:color="auto"/>
            </w:tcBorders>
            <w:vAlign w:val="bottom"/>
          </w:tcPr>
          <w:p w14:paraId="1A7E597B" w14:textId="38D948B3" w:rsidR="00151C24" w:rsidRPr="002E1AF6" w:rsidRDefault="005F26E2"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150.883</w:t>
            </w:r>
          </w:p>
        </w:tc>
      </w:tr>
      <w:tr w:rsidR="00151C24" w:rsidRPr="00701F32" w14:paraId="1980EB2F" w14:textId="77777777" w:rsidTr="0084502B">
        <w:trPr>
          <w:trHeight w:val="276"/>
        </w:trPr>
        <w:tc>
          <w:tcPr>
            <w:tcW w:w="6307" w:type="dxa"/>
            <w:shd w:val="clear" w:color="auto" w:fill="auto"/>
            <w:noWrap/>
            <w:vAlign w:val="bottom"/>
            <w:hideMark/>
          </w:tcPr>
          <w:p w14:paraId="14CF3E19"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290" w:type="dxa"/>
            <w:shd w:val="clear" w:color="auto" w:fill="auto"/>
            <w:noWrap/>
            <w:vAlign w:val="bottom"/>
          </w:tcPr>
          <w:p w14:paraId="6D8E018C" w14:textId="1A2C0069" w:rsidR="00151C24" w:rsidRPr="002E1AF6" w:rsidRDefault="005F26E2"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1.639.732</w:t>
            </w:r>
          </w:p>
        </w:tc>
        <w:tc>
          <w:tcPr>
            <w:tcW w:w="1290" w:type="dxa"/>
            <w:vAlign w:val="bottom"/>
          </w:tcPr>
          <w:p w14:paraId="7BDE4819" w14:textId="4C86E2A0" w:rsidR="00151C24" w:rsidRPr="002E1AF6" w:rsidRDefault="005F26E2"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1.762.215</w:t>
            </w:r>
          </w:p>
        </w:tc>
      </w:tr>
    </w:tbl>
    <w:p w14:paraId="01CB268C" w14:textId="77777777" w:rsidR="00151C24" w:rsidRPr="00701F32" w:rsidRDefault="00151C24" w:rsidP="00151C24">
      <w:pPr>
        <w:rPr>
          <w:rFonts w:ascii="Arial" w:hAnsi="Arial" w:cs="Arial"/>
          <w:bCs/>
          <w:color w:val="000000"/>
          <w:sz w:val="20"/>
          <w:lang w:eastAsia="es-AR"/>
        </w:rPr>
      </w:pPr>
    </w:p>
    <w:p w14:paraId="69926C60" w14:textId="1306D7AD" w:rsidR="00151C24" w:rsidRPr="00701F32" w:rsidRDefault="00151C24" w:rsidP="00151C24">
      <w:pPr>
        <w:rPr>
          <w:rFonts w:ascii="Arial" w:hAnsi="Arial" w:cs="Arial"/>
          <w:bCs/>
          <w:color w:val="000000"/>
          <w:sz w:val="20"/>
          <w:lang w:eastAsia="es-AR"/>
        </w:rPr>
      </w:pPr>
      <w:r>
        <w:rPr>
          <w:rFonts w:ascii="Arial" w:hAnsi="Arial" w:cs="Arial"/>
          <w:bCs/>
          <w:color w:val="000000"/>
          <w:sz w:val="20"/>
          <w:lang w:eastAsia="es-AR"/>
        </w:rPr>
        <w:t>15.9</w:t>
      </w:r>
      <w:r w:rsidRPr="00701F32">
        <w:rPr>
          <w:rFonts w:ascii="Arial" w:hAnsi="Arial" w:cs="Arial"/>
          <w:bCs/>
          <w:color w:val="000000"/>
          <w:sz w:val="20"/>
          <w:lang w:eastAsia="es-AR"/>
        </w:rPr>
        <w:t xml:space="preserve"> Otros gastos operativos.</w:t>
      </w:r>
    </w:p>
    <w:p w14:paraId="31547C77" w14:textId="77777777" w:rsidR="00151C24" w:rsidRPr="00701F32" w:rsidRDefault="00151C24" w:rsidP="00151C24">
      <w:pPr>
        <w:rPr>
          <w:rFonts w:ascii="Arial" w:hAnsi="Arial" w:cs="Arial"/>
          <w:bCs/>
          <w:color w:val="000000"/>
          <w:sz w:val="20"/>
          <w:lang w:eastAsia="es-AR"/>
        </w:rPr>
      </w:pPr>
    </w:p>
    <w:tbl>
      <w:tblPr>
        <w:tblW w:w="882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5"/>
        <w:gridCol w:w="1200"/>
        <w:gridCol w:w="1492"/>
      </w:tblGrid>
      <w:tr w:rsidR="00901250" w:rsidRPr="00701F32" w14:paraId="06EA461F" w14:textId="77777777" w:rsidTr="00066653">
        <w:trPr>
          <w:trHeight w:val="256"/>
          <w:tblHeader/>
        </w:trPr>
        <w:tc>
          <w:tcPr>
            <w:tcW w:w="6135" w:type="dxa"/>
            <w:shd w:val="clear" w:color="auto" w:fill="auto"/>
            <w:noWrap/>
            <w:vAlign w:val="bottom"/>
            <w:hideMark/>
          </w:tcPr>
          <w:p w14:paraId="415035BF" w14:textId="77777777" w:rsidR="00901250" w:rsidRPr="002E1AF6" w:rsidRDefault="00901250" w:rsidP="00901250">
            <w:pPr>
              <w:rPr>
                <w:rFonts w:ascii="Arial" w:hAnsi="Arial" w:cs="Arial"/>
                <w:b/>
                <w:bCs/>
                <w:color w:val="000000"/>
                <w:sz w:val="18"/>
                <w:lang w:eastAsia="es-AR"/>
              </w:rPr>
            </w:pPr>
          </w:p>
        </w:tc>
        <w:tc>
          <w:tcPr>
            <w:tcW w:w="1200" w:type="dxa"/>
            <w:shd w:val="clear" w:color="auto" w:fill="auto"/>
            <w:noWrap/>
            <w:hideMark/>
          </w:tcPr>
          <w:p w14:paraId="3D2ABBCD" w14:textId="3E49F3B1" w:rsidR="00901250" w:rsidRPr="002E1AF6" w:rsidRDefault="00901250" w:rsidP="00901250">
            <w:pPr>
              <w:jc w:val="center"/>
              <w:rPr>
                <w:rFonts w:ascii="Arial" w:hAnsi="Arial" w:cs="Arial"/>
                <w:b/>
                <w:color w:val="000000"/>
                <w:sz w:val="18"/>
                <w:lang w:eastAsia="es-AR"/>
              </w:rPr>
            </w:pPr>
            <w:r w:rsidRPr="002E1AF6">
              <w:rPr>
                <w:rFonts w:ascii="Arial" w:hAnsi="Arial" w:cs="Arial"/>
                <w:b/>
                <w:sz w:val="18"/>
              </w:rPr>
              <w:t>31/03/2020</w:t>
            </w:r>
          </w:p>
        </w:tc>
        <w:tc>
          <w:tcPr>
            <w:tcW w:w="1492" w:type="dxa"/>
            <w:vAlign w:val="center"/>
          </w:tcPr>
          <w:p w14:paraId="2B737207" w14:textId="1F8F70D0" w:rsidR="00901250" w:rsidRPr="002E1AF6" w:rsidRDefault="00901250" w:rsidP="00901250">
            <w:pPr>
              <w:jc w:val="center"/>
              <w:rPr>
                <w:rFonts w:ascii="Arial" w:hAnsi="Arial" w:cs="Arial"/>
                <w:b/>
                <w:color w:val="000000"/>
                <w:sz w:val="18"/>
                <w:lang w:eastAsia="es-AR"/>
              </w:rPr>
            </w:pPr>
            <w:r w:rsidRPr="002E1AF6">
              <w:rPr>
                <w:rFonts w:ascii="Arial" w:hAnsi="Arial" w:cs="Arial"/>
                <w:b/>
                <w:sz w:val="18"/>
              </w:rPr>
              <w:t>31/03/2019</w:t>
            </w:r>
          </w:p>
        </w:tc>
      </w:tr>
      <w:tr w:rsidR="00151C24" w:rsidRPr="00701F32" w14:paraId="6D241B27" w14:textId="77777777" w:rsidTr="0084502B">
        <w:trPr>
          <w:trHeight w:val="256"/>
        </w:trPr>
        <w:tc>
          <w:tcPr>
            <w:tcW w:w="6135" w:type="dxa"/>
            <w:shd w:val="clear" w:color="auto" w:fill="auto"/>
            <w:noWrap/>
            <w:vAlign w:val="bottom"/>
          </w:tcPr>
          <w:p w14:paraId="6490C2FD" w14:textId="77777777" w:rsidR="00151C24" w:rsidRPr="002E1AF6" w:rsidRDefault="00151C24" w:rsidP="0084502B">
            <w:pPr>
              <w:rPr>
                <w:rFonts w:ascii="Arial" w:hAnsi="Arial" w:cs="Arial"/>
                <w:b/>
                <w:bCs/>
                <w:color w:val="000000"/>
                <w:sz w:val="18"/>
                <w:lang w:eastAsia="es-AR"/>
              </w:rPr>
            </w:pPr>
            <w:r w:rsidRPr="002E1AF6">
              <w:rPr>
                <w:rFonts w:ascii="Arial" w:hAnsi="Arial" w:cs="Arial"/>
                <w:color w:val="000000"/>
                <w:sz w:val="18"/>
                <w:lang w:eastAsia="es-AR"/>
              </w:rPr>
              <w:t>Ingresos brutos</w:t>
            </w:r>
          </w:p>
        </w:tc>
        <w:tc>
          <w:tcPr>
            <w:tcW w:w="1200" w:type="dxa"/>
            <w:shd w:val="clear" w:color="auto" w:fill="auto"/>
            <w:noWrap/>
            <w:vAlign w:val="bottom"/>
          </w:tcPr>
          <w:p w14:paraId="209558CD" w14:textId="5331B87E"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812.692</w:t>
            </w:r>
          </w:p>
        </w:tc>
        <w:tc>
          <w:tcPr>
            <w:tcW w:w="1492" w:type="dxa"/>
            <w:vAlign w:val="bottom"/>
          </w:tcPr>
          <w:p w14:paraId="1C7C71BD" w14:textId="1E72208B"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1.031.483</w:t>
            </w:r>
          </w:p>
        </w:tc>
      </w:tr>
      <w:tr w:rsidR="00151C24" w:rsidRPr="00701F32" w14:paraId="2FDB71A6" w14:textId="77777777" w:rsidTr="00C71087">
        <w:trPr>
          <w:trHeight w:val="256"/>
        </w:trPr>
        <w:tc>
          <w:tcPr>
            <w:tcW w:w="6135" w:type="dxa"/>
            <w:shd w:val="clear" w:color="auto" w:fill="auto"/>
            <w:noWrap/>
            <w:vAlign w:val="center"/>
          </w:tcPr>
          <w:p w14:paraId="1D32898D"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Ajuste inicial a valor razonable de financiaciones a tasas inferiores a las de mercado</w:t>
            </w:r>
          </w:p>
        </w:tc>
        <w:tc>
          <w:tcPr>
            <w:tcW w:w="1200" w:type="dxa"/>
            <w:shd w:val="clear" w:color="auto" w:fill="auto"/>
            <w:noWrap/>
            <w:vAlign w:val="center"/>
          </w:tcPr>
          <w:p w14:paraId="36D3ACBB" w14:textId="5CDE4ABF" w:rsidR="00151C24" w:rsidRPr="002E1AF6" w:rsidRDefault="00C54859" w:rsidP="00C71087">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42.207</w:t>
            </w:r>
          </w:p>
        </w:tc>
        <w:tc>
          <w:tcPr>
            <w:tcW w:w="1492" w:type="dxa"/>
            <w:vAlign w:val="center"/>
          </w:tcPr>
          <w:p w14:paraId="719658D9" w14:textId="54A9A181" w:rsidR="00151C24" w:rsidRPr="002E1AF6" w:rsidRDefault="00C54859" w:rsidP="00C71087">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66.106</w:t>
            </w:r>
          </w:p>
        </w:tc>
      </w:tr>
      <w:tr w:rsidR="00151C24" w:rsidRPr="00701F32" w14:paraId="1340723D" w14:textId="77777777" w:rsidTr="0084502B">
        <w:trPr>
          <w:trHeight w:val="256"/>
        </w:trPr>
        <w:tc>
          <w:tcPr>
            <w:tcW w:w="6135" w:type="dxa"/>
            <w:shd w:val="clear" w:color="auto" w:fill="auto"/>
            <w:noWrap/>
            <w:vAlign w:val="bottom"/>
            <w:hideMark/>
          </w:tcPr>
          <w:p w14:paraId="10A3A7AD"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Donaciones</w:t>
            </w:r>
          </w:p>
        </w:tc>
        <w:tc>
          <w:tcPr>
            <w:tcW w:w="1200" w:type="dxa"/>
            <w:shd w:val="clear" w:color="auto" w:fill="auto"/>
            <w:noWrap/>
            <w:vAlign w:val="bottom"/>
          </w:tcPr>
          <w:p w14:paraId="71645E6D" w14:textId="1F9B525D"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3.802</w:t>
            </w:r>
          </w:p>
        </w:tc>
        <w:tc>
          <w:tcPr>
            <w:tcW w:w="1492" w:type="dxa"/>
            <w:vAlign w:val="bottom"/>
          </w:tcPr>
          <w:p w14:paraId="32877FD9" w14:textId="6578B73E"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4.791</w:t>
            </w:r>
          </w:p>
        </w:tc>
      </w:tr>
      <w:tr w:rsidR="00151C24" w:rsidRPr="00701F32" w14:paraId="223D1242" w14:textId="77777777" w:rsidTr="0084502B">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B4FCD"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Fondo de garantía de los depósitos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12371" w14:textId="31D29FC6"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46.103</w:t>
            </w:r>
          </w:p>
        </w:tc>
        <w:tc>
          <w:tcPr>
            <w:tcW w:w="1492" w:type="dxa"/>
            <w:tcBorders>
              <w:top w:val="single" w:sz="4" w:space="0" w:color="auto"/>
              <w:left w:val="single" w:sz="4" w:space="0" w:color="auto"/>
              <w:bottom w:val="single" w:sz="4" w:space="0" w:color="auto"/>
              <w:right w:val="single" w:sz="4" w:space="0" w:color="auto"/>
            </w:tcBorders>
            <w:vAlign w:val="bottom"/>
          </w:tcPr>
          <w:p w14:paraId="65199A30" w14:textId="453F3D55"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68.028</w:t>
            </w:r>
          </w:p>
        </w:tc>
      </w:tr>
      <w:tr w:rsidR="00151C24" w:rsidRPr="00701F32" w14:paraId="525235FB" w14:textId="77777777" w:rsidTr="0084502B">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23A42"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Obligaciones diversas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1A602" w14:textId="19F8DE6A"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2.489</w:t>
            </w:r>
          </w:p>
        </w:tc>
        <w:tc>
          <w:tcPr>
            <w:tcW w:w="1492" w:type="dxa"/>
            <w:tcBorders>
              <w:top w:val="single" w:sz="4" w:space="0" w:color="auto"/>
              <w:left w:val="single" w:sz="4" w:space="0" w:color="auto"/>
              <w:bottom w:val="single" w:sz="4" w:space="0" w:color="auto"/>
              <w:right w:val="single" w:sz="4" w:space="0" w:color="auto"/>
            </w:tcBorders>
            <w:vAlign w:val="bottom"/>
          </w:tcPr>
          <w:p w14:paraId="583A5EC3" w14:textId="5D32CC42" w:rsidR="00151C24" w:rsidRPr="002E1AF6" w:rsidRDefault="008027E3"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1.200</w:t>
            </w:r>
          </w:p>
        </w:tc>
      </w:tr>
      <w:tr w:rsidR="00151C24" w:rsidRPr="00701F32" w14:paraId="38644D78" w14:textId="77777777" w:rsidTr="0084502B">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DC18A"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Otras provisiones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269F6D" w14:textId="112F3106"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32.077</w:t>
            </w:r>
          </w:p>
        </w:tc>
        <w:tc>
          <w:tcPr>
            <w:tcW w:w="1492" w:type="dxa"/>
            <w:tcBorders>
              <w:top w:val="single" w:sz="4" w:space="0" w:color="auto"/>
              <w:left w:val="single" w:sz="4" w:space="0" w:color="auto"/>
              <w:bottom w:val="single" w:sz="4" w:space="0" w:color="auto"/>
              <w:right w:val="single" w:sz="4" w:space="0" w:color="auto"/>
            </w:tcBorders>
            <w:vAlign w:val="bottom"/>
          </w:tcPr>
          <w:p w14:paraId="16BEFFB4" w14:textId="197C7A6A" w:rsidR="00151C24" w:rsidRPr="002E1AF6" w:rsidRDefault="008027E3"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5.983</w:t>
            </w:r>
          </w:p>
        </w:tc>
      </w:tr>
      <w:tr w:rsidR="00151C24" w:rsidRPr="00751A92" w14:paraId="6D03C900" w14:textId="77777777" w:rsidTr="0084502B">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CCD75"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Promociones por tarjetas de crédito</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62EBAD" w14:textId="08035C4F" w:rsidR="00151C24" w:rsidRPr="002E1AF6" w:rsidRDefault="00C54859" w:rsidP="0084502B">
            <w:pPr>
              <w:jc w:val="right"/>
              <w:rPr>
                <w:rFonts w:ascii="Arial" w:hAnsi="Arial" w:cs="Arial"/>
                <w:color w:val="000000"/>
                <w:sz w:val="18"/>
                <w:lang w:eastAsia="es-AR"/>
              </w:rPr>
            </w:pPr>
            <w:r w:rsidRPr="002E1AF6">
              <w:rPr>
                <w:rFonts w:ascii="Arial" w:hAnsi="Arial" w:cs="Arial"/>
                <w:color w:val="000000"/>
                <w:sz w:val="18"/>
                <w:lang w:eastAsia="es-AR"/>
              </w:rPr>
              <w:t>113.812</w:t>
            </w:r>
          </w:p>
        </w:tc>
        <w:tc>
          <w:tcPr>
            <w:tcW w:w="1492" w:type="dxa"/>
            <w:tcBorders>
              <w:top w:val="single" w:sz="4" w:space="0" w:color="auto"/>
              <w:left w:val="single" w:sz="4" w:space="0" w:color="auto"/>
              <w:bottom w:val="single" w:sz="4" w:space="0" w:color="auto"/>
              <w:right w:val="single" w:sz="4" w:space="0" w:color="auto"/>
            </w:tcBorders>
            <w:vAlign w:val="bottom"/>
          </w:tcPr>
          <w:p w14:paraId="20F83486" w14:textId="517FE148" w:rsidR="00151C24" w:rsidRPr="002E1AF6" w:rsidRDefault="008027E3"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79.291</w:t>
            </w:r>
          </w:p>
        </w:tc>
      </w:tr>
      <w:tr w:rsidR="00C54859" w:rsidRPr="00751A92" w14:paraId="7A28FA1A" w14:textId="77777777" w:rsidTr="0084502B">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F05F8" w14:textId="4A89770E" w:rsidR="00C54859" w:rsidRPr="002E1AF6" w:rsidRDefault="00C54859" w:rsidP="0084502B">
            <w:pPr>
              <w:rPr>
                <w:rFonts w:ascii="Arial" w:hAnsi="Arial" w:cs="Arial"/>
                <w:color w:val="000000"/>
                <w:sz w:val="18"/>
                <w:lang w:eastAsia="es-AR"/>
              </w:rPr>
            </w:pPr>
            <w:r w:rsidRPr="002E1AF6">
              <w:rPr>
                <w:rFonts w:ascii="Arial" w:hAnsi="Arial" w:cs="Arial"/>
                <w:color w:val="000000"/>
                <w:sz w:val="18"/>
                <w:lang w:eastAsia="es-AR"/>
              </w:rPr>
              <w:t>Gastos por arrendamiento financiero</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4B504" w14:textId="6FD74E5D" w:rsidR="00C54859"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37.597</w:t>
            </w:r>
          </w:p>
        </w:tc>
        <w:tc>
          <w:tcPr>
            <w:tcW w:w="1492" w:type="dxa"/>
            <w:tcBorders>
              <w:top w:val="single" w:sz="4" w:space="0" w:color="auto"/>
              <w:left w:val="single" w:sz="4" w:space="0" w:color="auto"/>
              <w:bottom w:val="single" w:sz="4" w:space="0" w:color="auto"/>
              <w:right w:val="single" w:sz="4" w:space="0" w:color="auto"/>
            </w:tcBorders>
            <w:vAlign w:val="bottom"/>
          </w:tcPr>
          <w:p w14:paraId="20911D97" w14:textId="79E5E224" w:rsidR="00C54859" w:rsidRPr="002E1AF6" w:rsidRDefault="008027E3"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62.421</w:t>
            </w:r>
          </w:p>
        </w:tc>
      </w:tr>
      <w:tr w:rsidR="00151C24" w:rsidRPr="00751A92" w14:paraId="59C2424F" w14:textId="77777777" w:rsidTr="0084502B">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2FA6A"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Otros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D8043" w14:textId="57532D03" w:rsidR="00151C24" w:rsidRPr="002E1AF6" w:rsidRDefault="00C5485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131.706</w:t>
            </w:r>
          </w:p>
        </w:tc>
        <w:tc>
          <w:tcPr>
            <w:tcW w:w="1492" w:type="dxa"/>
            <w:tcBorders>
              <w:top w:val="single" w:sz="4" w:space="0" w:color="auto"/>
              <w:left w:val="single" w:sz="4" w:space="0" w:color="auto"/>
              <w:bottom w:val="single" w:sz="4" w:space="0" w:color="auto"/>
              <w:right w:val="single" w:sz="4" w:space="0" w:color="auto"/>
            </w:tcBorders>
            <w:vAlign w:val="bottom"/>
          </w:tcPr>
          <w:p w14:paraId="107E5652" w14:textId="0B41D84B" w:rsidR="00151C24" w:rsidRPr="002E1AF6" w:rsidRDefault="008027E3"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193.808</w:t>
            </w:r>
          </w:p>
        </w:tc>
      </w:tr>
      <w:tr w:rsidR="00151C24" w:rsidRPr="00751A92" w14:paraId="674E21E6" w14:textId="77777777" w:rsidTr="0084502B">
        <w:trPr>
          <w:trHeight w:val="271"/>
        </w:trPr>
        <w:tc>
          <w:tcPr>
            <w:tcW w:w="6135" w:type="dxa"/>
            <w:shd w:val="clear" w:color="auto" w:fill="auto"/>
            <w:noWrap/>
            <w:vAlign w:val="bottom"/>
            <w:hideMark/>
          </w:tcPr>
          <w:p w14:paraId="0C76A539"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200" w:type="dxa"/>
            <w:shd w:val="clear" w:color="auto" w:fill="auto"/>
            <w:noWrap/>
            <w:vAlign w:val="bottom"/>
          </w:tcPr>
          <w:p w14:paraId="3EAD2AFD" w14:textId="23A6A4FA" w:rsidR="00151C24" w:rsidRPr="002E1AF6" w:rsidRDefault="00C54859"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1.222.485</w:t>
            </w:r>
          </w:p>
        </w:tc>
        <w:tc>
          <w:tcPr>
            <w:tcW w:w="1492" w:type="dxa"/>
            <w:vAlign w:val="bottom"/>
          </w:tcPr>
          <w:p w14:paraId="1456F6FE" w14:textId="0433D445" w:rsidR="00151C24" w:rsidRPr="002E1AF6" w:rsidRDefault="008027E3"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1.513.111</w:t>
            </w:r>
          </w:p>
        </w:tc>
      </w:tr>
    </w:tbl>
    <w:p w14:paraId="3B77542A" w14:textId="77777777" w:rsidR="00151C24" w:rsidRPr="00751A92" w:rsidRDefault="00151C24" w:rsidP="00151C24">
      <w:pPr>
        <w:rPr>
          <w:rFonts w:ascii="Arial" w:hAnsi="Arial" w:cs="Arial"/>
          <w:bCs/>
          <w:color w:val="000000"/>
          <w:sz w:val="20"/>
          <w:lang w:eastAsia="es-AR"/>
        </w:rPr>
      </w:pPr>
    </w:p>
    <w:p w14:paraId="6BE4A067" w14:textId="1D303689" w:rsidR="00151C24" w:rsidRPr="00751A92" w:rsidRDefault="00151C24" w:rsidP="00151C24">
      <w:pPr>
        <w:rPr>
          <w:rFonts w:ascii="Arial" w:hAnsi="Arial" w:cs="Arial"/>
          <w:bCs/>
          <w:color w:val="000000"/>
          <w:sz w:val="20"/>
          <w:lang w:eastAsia="es-AR"/>
        </w:rPr>
      </w:pPr>
      <w:r w:rsidRPr="00751A92">
        <w:rPr>
          <w:rFonts w:ascii="Arial" w:hAnsi="Arial" w:cs="Arial"/>
          <w:bCs/>
          <w:color w:val="000000"/>
          <w:sz w:val="20"/>
          <w:lang w:eastAsia="es-AR"/>
        </w:rPr>
        <w:t>15.10 Depreciaciones y desvalorizaciones de bienes</w:t>
      </w:r>
    </w:p>
    <w:p w14:paraId="3CEA84C2" w14:textId="77777777" w:rsidR="00151C24" w:rsidRPr="00751A92" w:rsidRDefault="00151C24" w:rsidP="00151C24">
      <w:pPr>
        <w:rPr>
          <w:rFonts w:ascii="Arial" w:hAnsi="Arial" w:cs="Arial"/>
          <w:bCs/>
          <w:color w:val="000000"/>
          <w:sz w:val="20"/>
          <w:lang w:eastAsia="es-AR"/>
        </w:rPr>
      </w:pPr>
    </w:p>
    <w:tbl>
      <w:tblPr>
        <w:tblStyle w:val="TableGrid"/>
        <w:tblW w:w="8789" w:type="dxa"/>
        <w:tblInd w:w="108" w:type="dxa"/>
        <w:tblLook w:val="04A0" w:firstRow="1" w:lastRow="0" w:firstColumn="1" w:lastColumn="0" w:noHBand="0" w:noVBand="1"/>
      </w:tblPr>
      <w:tblGrid>
        <w:gridCol w:w="6096"/>
        <w:gridCol w:w="1275"/>
        <w:gridCol w:w="1418"/>
      </w:tblGrid>
      <w:tr w:rsidR="00901250" w:rsidRPr="00751A92" w14:paraId="5F12EE30" w14:textId="77777777" w:rsidTr="00066653">
        <w:tc>
          <w:tcPr>
            <w:tcW w:w="6096" w:type="dxa"/>
          </w:tcPr>
          <w:p w14:paraId="1956A817" w14:textId="77777777" w:rsidR="00901250" w:rsidRPr="002E1AF6" w:rsidRDefault="00901250" w:rsidP="00901250">
            <w:pPr>
              <w:jc w:val="center"/>
              <w:rPr>
                <w:rFonts w:ascii="Arial" w:hAnsi="Arial" w:cs="Arial"/>
                <w:sz w:val="18"/>
              </w:rPr>
            </w:pPr>
          </w:p>
        </w:tc>
        <w:tc>
          <w:tcPr>
            <w:tcW w:w="1275" w:type="dxa"/>
          </w:tcPr>
          <w:p w14:paraId="2C7B2C69" w14:textId="06657C4A" w:rsidR="00901250" w:rsidRPr="002E1AF6" w:rsidRDefault="00901250" w:rsidP="00901250">
            <w:pPr>
              <w:jc w:val="center"/>
              <w:rPr>
                <w:rFonts w:ascii="Arial" w:hAnsi="Arial" w:cs="Arial"/>
                <w:b/>
                <w:sz w:val="18"/>
              </w:rPr>
            </w:pPr>
            <w:r w:rsidRPr="002E1AF6">
              <w:rPr>
                <w:rFonts w:ascii="Arial" w:hAnsi="Arial" w:cs="Arial"/>
                <w:b/>
                <w:sz w:val="18"/>
              </w:rPr>
              <w:t>31/03/2020</w:t>
            </w:r>
          </w:p>
        </w:tc>
        <w:tc>
          <w:tcPr>
            <w:tcW w:w="1418" w:type="dxa"/>
            <w:vAlign w:val="center"/>
          </w:tcPr>
          <w:p w14:paraId="0C637883" w14:textId="7170F388" w:rsidR="00901250" w:rsidRPr="002E1AF6" w:rsidRDefault="00901250" w:rsidP="00901250">
            <w:pPr>
              <w:jc w:val="center"/>
              <w:rPr>
                <w:rFonts w:ascii="Arial" w:hAnsi="Arial" w:cs="Arial"/>
                <w:b/>
                <w:sz w:val="18"/>
              </w:rPr>
            </w:pPr>
            <w:r w:rsidRPr="002E1AF6">
              <w:rPr>
                <w:rFonts w:ascii="Arial" w:hAnsi="Arial" w:cs="Arial"/>
                <w:b/>
                <w:sz w:val="18"/>
              </w:rPr>
              <w:t>31/03/2019</w:t>
            </w:r>
          </w:p>
        </w:tc>
      </w:tr>
      <w:tr w:rsidR="00151C24" w:rsidRPr="00751A92" w14:paraId="02364F1E" w14:textId="77777777" w:rsidTr="00066653">
        <w:tc>
          <w:tcPr>
            <w:tcW w:w="6096" w:type="dxa"/>
          </w:tcPr>
          <w:p w14:paraId="744894E8" w14:textId="3C125F7E" w:rsidR="00151C24" w:rsidRPr="002E1AF6" w:rsidRDefault="00151C24" w:rsidP="0084502B">
            <w:pPr>
              <w:rPr>
                <w:rFonts w:ascii="Arial" w:hAnsi="Arial" w:cs="Arial"/>
                <w:sz w:val="18"/>
              </w:rPr>
            </w:pPr>
            <w:r w:rsidRPr="002E1AF6">
              <w:rPr>
                <w:rFonts w:ascii="Arial" w:hAnsi="Arial" w:cs="Arial"/>
                <w:sz w:val="18"/>
              </w:rPr>
              <w:t xml:space="preserve">Depreciación de bienes de uso </w:t>
            </w:r>
          </w:p>
        </w:tc>
        <w:tc>
          <w:tcPr>
            <w:tcW w:w="1275" w:type="dxa"/>
          </w:tcPr>
          <w:p w14:paraId="1F857095" w14:textId="61D7345F" w:rsidR="00151C24" w:rsidRPr="002E1AF6" w:rsidRDefault="00AC0CE6" w:rsidP="0084502B">
            <w:pPr>
              <w:jc w:val="right"/>
              <w:rPr>
                <w:rFonts w:ascii="Arial" w:hAnsi="Arial" w:cs="Arial"/>
                <w:sz w:val="18"/>
              </w:rPr>
            </w:pPr>
            <w:r w:rsidRPr="002E1AF6">
              <w:rPr>
                <w:rFonts w:ascii="Arial" w:hAnsi="Arial" w:cs="Arial"/>
                <w:sz w:val="18"/>
              </w:rPr>
              <w:t>88.536</w:t>
            </w:r>
          </w:p>
        </w:tc>
        <w:tc>
          <w:tcPr>
            <w:tcW w:w="1418" w:type="dxa"/>
            <w:vAlign w:val="bottom"/>
          </w:tcPr>
          <w:p w14:paraId="5D3CD7F9" w14:textId="18010E49" w:rsidR="00151C24" w:rsidRPr="002E1AF6" w:rsidRDefault="001A02AA" w:rsidP="0084502B">
            <w:pPr>
              <w:jc w:val="right"/>
              <w:rPr>
                <w:rFonts w:ascii="Arial" w:hAnsi="Arial" w:cs="Arial"/>
                <w:sz w:val="18"/>
              </w:rPr>
            </w:pPr>
            <w:r w:rsidRPr="002E1AF6">
              <w:rPr>
                <w:rFonts w:ascii="Arial" w:hAnsi="Arial" w:cs="Arial"/>
                <w:sz w:val="18"/>
              </w:rPr>
              <w:t>11</w:t>
            </w:r>
            <w:r w:rsidR="00AC0CE6" w:rsidRPr="002E1AF6">
              <w:rPr>
                <w:rFonts w:ascii="Arial" w:hAnsi="Arial" w:cs="Arial"/>
                <w:sz w:val="18"/>
              </w:rPr>
              <w:t>5.900</w:t>
            </w:r>
          </w:p>
        </w:tc>
      </w:tr>
      <w:tr w:rsidR="00151C24" w:rsidRPr="00751A92" w14:paraId="1BC80341" w14:textId="77777777" w:rsidTr="00066653">
        <w:tc>
          <w:tcPr>
            <w:tcW w:w="6096" w:type="dxa"/>
          </w:tcPr>
          <w:p w14:paraId="7885D556" w14:textId="77777777" w:rsidR="00151C24" w:rsidRPr="002E1AF6" w:rsidRDefault="00151C24" w:rsidP="0084502B">
            <w:pPr>
              <w:rPr>
                <w:rFonts w:ascii="Arial" w:hAnsi="Arial" w:cs="Arial"/>
                <w:sz w:val="18"/>
              </w:rPr>
            </w:pPr>
            <w:r w:rsidRPr="002E1AF6">
              <w:rPr>
                <w:rFonts w:ascii="Arial" w:hAnsi="Arial" w:cs="Arial"/>
                <w:sz w:val="18"/>
              </w:rPr>
              <w:t>Depreciación de bienes diversos</w:t>
            </w:r>
          </w:p>
        </w:tc>
        <w:tc>
          <w:tcPr>
            <w:tcW w:w="1275" w:type="dxa"/>
          </w:tcPr>
          <w:p w14:paraId="4156413A" w14:textId="7B8DBDF7" w:rsidR="00151C24" w:rsidRPr="002E1AF6" w:rsidRDefault="001A02AA" w:rsidP="0084502B">
            <w:pPr>
              <w:jc w:val="right"/>
              <w:rPr>
                <w:rFonts w:ascii="Arial" w:hAnsi="Arial" w:cs="Arial"/>
                <w:sz w:val="18"/>
              </w:rPr>
            </w:pPr>
            <w:r w:rsidRPr="002E1AF6">
              <w:rPr>
                <w:rFonts w:ascii="Arial" w:hAnsi="Arial" w:cs="Arial"/>
                <w:sz w:val="18"/>
              </w:rPr>
              <w:t>5</w:t>
            </w:r>
            <w:r w:rsidR="00AC0CE6" w:rsidRPr="002E1AF6">
              <w:rPr>
                <w:rFonts w:ascii="Arial" w:hAnsi="Arial" w:cs="Arial"/>
                <w:sz w:val="18"/>
              </w:rPr>
              <w:t>0.286</w:t>
            </w:r>
          </w:p>
        </w:tc>
        <w:tc>
          <w:tcPr>
            <w:tcW w:w="1418" w:type="dxa"/>
            <w:vAlign w:val="bottom"/>
          </w:tcPr>
          <w:p w14:paraId="251117BA" w14:textId="07BD9675" w:rsidR="00151C24" w:rsidRPr="002E1AF6" w:rsidRDefault="00BD7898" w:rsidP="0084502B">
            <w:pPr>
              <w:jc w:val="right"/>
              <w:rPr>
                <w:rFonts w:ascii="Arial" w:hAnsi="Arial" w:cs="Arial"/>
                <w:sz w:val="18"/>
              </w:rPr>
            </w:pPr>
            <w:r w:rsidRPr="002E1AF6">
              <w:rPr>
                <w:rFonts w:ascii="Arial" w:hAnsi="Arial" w:cs="Arial"/>
                <w:sz w:val="18"/>
              </w:rPr>
              <w:t>33.807</w:t>
            </w:r>
          </w:p>
        </w:tc>
      </w:tr>
      <w:tr w:rsidR="00151C24" w:rsidRPr="00751A92" w14:paraId="7AA28FFE" w14:textId="77777777" w:rsidTr="00066653">
        <w:tc>
          <w:tcPr>
            <w:tcW w:w="6096" w:type="dxa"/>
          </w:tcPr>
          <w:p w14:paraId="63318F6E" w14:textId="27E626A3" w:rsidR="00151C24" w:rsidRPr="002E1AF6" w:rsidRDefault="00151C24" w:rsidP="0084502B">
            <w:pPr>
              <w:rPr>
                <w:rFonts w:ascii="Arial" w:hAnsi="Arial" w:cs="Arial"/>
                <w:sz w:val="18"/>
              </w:rPr>
            </w:pPr>
            <w:r w:rsidRPr="002E1AF6">
              <w:rPr>
                <w:rFonts w:ascii="Arial" w:hAnsi="Arial" w:cs="Arial"/>
                <w:sz w:val="18"/>
              </w:rPr>
              <w:t xml:space="preserve">Amortización de bienes intangibles </w:t>
            </w:r>
          </w:p>
        </w:tc>
        <w:tc>
          <w:tcPr>
            <w:tcW w:w="1275" w:type="dxa"/>
          </w:tcPr>
          <w:p w14:paraId="7F585F5A" w14:textId="0F41C55F" w:rsidR="00151C24" w:rsidRPr="002E1AF6" w:rsidRDefault="001A02AA" w:rsidP="0084502B">
            <w:pPr>
              <w:jc w:val="right"/>
              <w:rPr>
                <w:rFonts w:ascii="Arial" w:hAnsi="Arial" w:cs="Arial"/>
                <w:sz w:val="18"/>
              </w:rPr>
            </w:pPr>
            <w:r w:rsidRPr="002E1AF6">
              <w:rPr>
                <w:rFonts w:ascii="Arial" w:hAnsi="Arial" w:cs="Arial"/>
                <w:sz w:val="18"/>
              </w:rPr>
              <w:t>1</w:t>
            </w:r>
            <w:r w:rsidR="00AC0CE6" w:rsidRPr="002E1AF6">
              <w:rPr>
                <w:rFonts w:ascii="Arial" w:hAnsi="Arial" w:cs="Arial"/>
                <w:sz w:val="18"/>
              </w:rPr>
              <w:t>31.322</w:t>
            </w:r>
          </w:p>
        </w:tc>
        <w:tc>
          <w:tcPr>
            <w:tcW w:w="1418" w:type="dxa"/>
            <w:vAlign w:val="bottom"/>
          </w:tcPr>
          <w:p w14:paraId="7C4EEB37" w14:textId="693D9032" w:rsidR="00151C24" w:rsidRPr="002E1AF6" w:rsidRDefault="00BD7898" w:rsidP="0084502B">
            <w:pPr>
              <w:jc w:val="right"/>
              <w:rPr>
                <w:rFonts w:ascii="Arial" w:hAnsi="Arial" w:cs="Arial"/>
                <w:sz w:val="18"/>
              </w:rPr>
            </w:pPr>
            <w:r w:rsidRPr="002E1AF6">
              <w:rPr>
                <w:rFonts w:ascii="Arial" w:hAnsi="Arial" w:cs="Arial"/>
                <w:sz w:val="18"/>
              </w:rPr>
              <w:t>93.280</w:t>
            </w:r>
          </w:p>
        </w:tc>
      </w:tr>
      <w:tr w:rsidR="00151C24" w:rsidRPr="00751A92" w14:paraId="34B33438" w14:textId="77777777" w:rsidTr="00066653">
        <w:tc>
          <w:tcPr>
            <w:tcW w:w="6096" w:type="dxa"/>
          </w:tcPr>
          <w:p w14:paraId="497AFC95" w14:textId="276C5EB3" w:rsidR="00151C24" w:rsidRPr="002E1AF6" w:rsidRDefault="00654160" w:rsidP="0084502B">
            <w:pPr>
              <w:rPr>
                <w:rFonts w:ascii="Arial" w:hAnsi="Arial" w:cs="Arial"/>
                <w:sz w:val="18"/>
              </w:rPr>
            </w:pPr>
            <w:r w:rsidRPr="002E1AF6">
              <w:rPr>
                <w:rFonts w:ascii="Arial" w:hAnsi="Arial" w:cs="Arial"/>
                <w:sz w:val="18"/>
              </w:rPr>
              <w:lastRenderedPageBreak/>
              <w:t>Depreciación activos por derecho de uso</w:t>
            </w:r>
            <w:r w:rsidR="00773ABB" w:rsidRPr="002E1AF6">
              <w:rPr>
                <w:rFonts w:ascii="Arial" w:hAnsi="Arial" w:cs="Arial"/>
                <w:sz w:val="18"/>
              </w:rPr>
              <w:t xml:space="preserve"> </w:t>
            </w:r>
          </w:p>
        </w:tc>
        <w:tc>
          <w:tcPr>
            <w:tcW w:w="1275" w:type="dxa"/>
          </w:tcPr>
          <w:p w14:paraId="0E38BCF8" w14:textId="79D1C153" w:rsidR="00151C24" w:rsidRPr="002E1AF6" w:rsidRDefault="00AC0CE6" w:rsidP="0084502B">
            <w:pPr>
              <w:jc w:val="right"/>
              <w:rPr>
                <w:rFonts w:ascii="Arial" w:hAnsi="Arial" w:cs="Arial"/>
                <w:sz w:val="18"/>
              </w:rPr>
            </w:pPr>
            <w:r w:rsidRPr="002E1AF6">
              <w:rPr>
                <w:rFonts w:ascii="Arial" w:hAnsi="Arial" w:cs="Arial"/>
                <w:sz w:val="18"/>
              </w:rPr>
              <w:t>158.820</w:t>
            </w:r>
          </w:p>
        </w:tc>
        <w:tc>
          <w:tcPr>
            <w:tcW w:w="1418" w:type="dxa"/>
            <w:vAlign w:val="bottom"/>
          </w:tcPr>
          <w:p w14:paraId="31B62B98" w14:textId="7EF29452" w:rsidR="00151C24" w:rsidRPr="002E1AF6" w:rsidRDefault="00BD7898" w:rsidP="0084502B">
            <w:pPr>
              <w:jc w:val="right"/>
              <w:rPr>
                <w:rFonts w:ascii="Arial" w:hAnsi="Arial" w:cs="Arial"/>
                <w:sz w:val="18"/>
              </w:rPr>
            </w:pPr>
            <w:r w:rsidRPr="002E1AF6">
              <w:rPr>
                <w:rFonts w:ascii="Arial" w:hAnsi="Arial" w:cs="Arial"/>
                <w:sz w:val="18"/>
              </w:rPr>
              <w:t>149.290</w:t>
            </w:r>
          </w:p>
        </w:tc>
      </w:tr>
      <w:tr w:rsidR="00151C24" w:rsidRPr="00751A92" w14:paraId="1F8CB7A5" w14:textId="77777777" w:rsidTr="00066653">
        <w:tc>
          <w:tcPr>
            <w:tcW w:w="6096" w:type="dxa"/>
          </w:tcPr>
          <w:p w14:paraId="59E7258E" w14:textId="77777777" w:rsidR="00151C24" w:rsidRPr="002E1AF6" w:rsidRDefault="00151C24" w:rsidP="0084502B">
            <w:pPr>
              <w:rPr>
                <w:rFonts w:ascii="Arial" w:hAnsi="Arial" w:cs="Arial"/>
                <w:b/>
                <w:sz w:val="18"/>
              </w:rPr>
            </w:pPr>
            <w:r w:rsidRPr="002E1AF6">
              <w:rPr>
                <w:rFonts w:ascii="Arial" w:hAnsi="Arial" w:cs="Arial"/>
                <w:b/>
                <w:sz w:val="18"/>
              </w:rPr>
              <w:t>Total</w:t>
            </w:r>
          </w:p>
        </w:tc>
        <w:tc>
          <w:tcPr>
            <w:tcW w:w="1275" w:type="dxa"/>
          </w:tcPr>
          <w:p w14:paraId="139890EE" w14:textId="3B3101B4" w:rsidR="00151C24" w:rsidRPr="002E1AF6" w:rsidRDefault="00AC0CE6" w:rsidP="0084502B">
            <w:pPr>
              <w:jc w:val="right"/>
              <w:rPr>
                <w:rFonts w:ascii="Arial" w:hAnsi="Arial" w:cs="Arial"/>
                <w:b/>
                <w:sz w:val="18"/>
              </w:rPr>
            </w:pPr>
            <w:r w:rsidRPr="002E1AF6">
              <w:rPr>
                <w:rFonts w:ascii="Arial" w:hAnsi="Arial" w:cs="Arial"/>
                <w:b/>
                <w:sz w:val="18"/>
              </w:rPr>
              <w:t>428.964</w:t>
            </w:r>
          </w:p>
        </w:tc>
        <w:tc>
          <w:tcPr>
            <w:tcW w:w="1418" w:type="dxa"/>
            <w:vAlign w:val="bottom"/>
          </w:tcPr>
          <w:p w14:paraId="5EFCB3DB" w14:textId="621B303A" w:rsidR="00151C24" w:rsidRPr="002E1AF6" w:rsidRDefault="00BD7898" w:rsidP="0084502B">
            <w:pPr>
              <w:jc w:val="right"/>
              <w:rPr>
                <w:rFonts w:ascii="Arial" w:hAnsi="Arial" w:cs="Arial"/>
                <w:b/>
                <w:sz w:val="18"/>
              </w:rPr>
            </w:pPr>
            <w:r w:rsidRPr="002E1AF6">
              <w:rPr>
                <w:rFonts w:ascii="Arial" w:hAnsi="Arial" w:cs="Arial"/>
                <w:b/>
                <w:sz w:val="18"/>
              </w:rPr>
              <w:t>392.277</w:t>
            </w:r>
          </w:p>
        </w:tc>
      </w:tr>
    </w:tbl>
    <w:p w14:paraId="71E84948" w14:textId="0D67AB4F" w:rsidR="00E23C30" w:rsidRPr="00751A92" w:rsidRDefault="00E23C30" w:rsidP="00E23C30">
      <w:pPr>
        <w:widowControl w:val="0"/>
        <w:autoSpaceDE w:val="0"/>
        <w:autoSpaceDN w:val="0"/>
        <w:adjustRightInd w:val="0"/>
        <w:jc w:val="both"/>
        <w:rPr>
          <w:rFonts w:ascii="Arial" w:hAnsi="Arial" w:cs="Arial"/>
          <w:noProof/>
          <w:sz w:val="20"/>
        </w:rPr>
      </w:pPr>
    </w:p>
    <w:p w14:paraId="1B59506C" w14:textId="3CB8E087" w:rsidR="005643AA" w:rsidRPr="002E1AF6" w:rsidRDefault="00D025E4" w:rsidP="002E1AF6">
      <w:pPr>
        <w:spacing w:after="160" w:line="259" w:lineRule="auto"/>
        <w:jc w:val="both"/>
        <w:rPr>
          <w:rFonts w:ascii="Arial" w:eastAsia="Calibri" w:hAnsi="Arial" w:cs="Arial"/>
          <w:b/>
        </w:rPr>
      </w:pPr>
      <w:r w:rsidRPr="002E1AF6">
        <w:rPr>
          <w:rFonts w:ascii="Arial" w:eastAsia="Calibri" w:hAnsi="Arial" w:cs="Arial"/>
          <w:b/>
          <w:sz w:val="20"/>
        </w:rPr>
        <w:t>1</w:t>
      </w:r>
      <w:r w:rsidR="005643AA">
        <w:rPr>
          <w:rFonts w:ascii="Arial" w:eastAsia="Calibri" w:hAnsi="Arial" w:cs="Arial"/>
          <w:b/>
          <w:sz w:val="20"/>
        </w:rPr>
        <w:t>6</w:t>
      </w:r>
      <w:r w:rsidRPr="002E1AF6">
        <w:rPr>
          <w:rFonts w:ascii="Arial" w:eastAsia="Calibri" w:hAnsi="Arial" w:cs="Arial"/>
          <w:b/>
          <w:sz w:val="20"/>
        </w:rPr>
        <w:t xml:space="preserve">. </w:t>
      </w:r>
      <w:bookmarkStart w:id="33" w:name="_Toc32923100"/>
      <w:bookmarkStart w:id="34" w:name="_Hlk31716303"/>
      <w:r w:rsidR="005643AA" w:rsidRPr="002E1AF6">
        <w:rPr>
          <w:rFonts w:ascii="Arial" w:eastAsia="Calibri" w:hAnsi="Arial" w:cs="Arial"/>
          <w:b/>
          <w:sz w:val="20"/>
        </w:rPr>
        <w:t>PROGRAMA DE FACILITACIÓN DE FINANCIAMIENTO AL COMERCIO EXTERIOR</w:t>
      </w:r>
      <w:bookmarkEnd w:id="33"/>
      <w:bookmarkEnd w:id="34"/>
    </w:p>
    <w:p w14:paraId="4C6F0FC8" w14:textId="77777777" w:rsidR="005643AA" w:rsidRPr="002E1AF6" w:rsidRDefault="005643AA" w:rsidP="005643AA">
      <w:pPr>
        <w:pStyle w:val="PlainText"/>
        <w:jc w:val="both"/>
        <w:rPr>
          <w:rFonts w:ascii="Arial" w:hAnsi="Arial" w:cs="Arial"/>
        </w:rPr>
      </w:pPr>
      <w:r w:rsidRPr="002E1AF6">
        <w:rPr>
          <w:rFonts w:ascii="Arial" w:hAnsi="Arial" w:cs="Arial"/>
        </w:rPr>
        <w:t xml:space="preserve">Banco Supervielle S.A. mantiene activos los siguientes convenios: 1) Programa de Facilitación de Financiamiento al Comercio Exterior del Banco Interamericano de Desarrollo (BID), cuya línea asciende a USD 20.000.000 (dólares estadounidenses veinte millones) y 2) el Global Trade Finance Program de la Corporación Financiera Internacional (IFC), cuya línea asciende a USD 30.000.000 (dólares estadounidenses treinta millones). </w:t>
      </w:r>
    </w:p>
    <w:p w14:paraId="5BBD4F9C" w14:textId="77777777" w:rsidR="005643AA" w:rsidRPr="002E1AF6" w:rsidRDefault="005643AA" w:rsidP="005643AA">
      <w:pPr>
        <w:pStyle w:val="PlainText"/>
        <w:jc w:val="both"/>
        <w:rPr>
          <w:rFonts w:ascii="Arial" w:hAnsi="Arial" w:cs="Arial"/>
        </w:rPr>
      </w:pPr>
    </w:p>
    <w:p w14:paraId="08A3F95A" w14:textId="77777777" w:rsidR="005643AA" w:rsidRPr="002E1AF6" w:rsidRDefault="005643AA" w:rsidP="005643AA">
      <w:pPr>
        <w:pBdr>
          <w:top w:val="nil"/>
          <w:left w:val="nil"/>
          <w:bottom w:val="nil"/>
          <w:right w:val="nil"/>
          <w:between w:val="nil"/>
          <w:bar w:val="nil"/>
        </w:pBdr>
        <w:tabs>
          <w:tab w:val="left" w:pos="142"/>
        </w:tabs>
        <w:jc w:val="both"/>
        <w:rPr>
          <w:rFonts w:ascii="Arial" w:eastAsiaTheme="minorHAnsi" w:hAnsi="Arial" w:cs="Arial"/>
          <w:sz w:val="20"/>
        </w:rPr>
      </w:pPr>
      <w:r w:rsidRPr="002E1AF6">
        <w:rPr>
          <w:rFonts w:ascii="Arial" w:eastAsiaTheme="minorHAnsi" w:hAnsi="Arial" w:cs="Arial"/>
          <w:sz w:val="20"/>
        </w:rPr>
        <w:t>Por otra parte, el Banco recibió durante el mes de septiembre un préstamo sindicado senior no garantizado por USD 80.000.000 (dólares estadounidenses ochenta millones) a un plazo de tres años y con una tasa de interés de Libor + 3,40% a través del FMO, el banco holandés de desarrollo, como organizador, y de Proparco, una subsidiaria de la Agencia Francesa de Desarrollo (AFD). Los fondos recibidos fueron rápidamente colocados entre los clientes PYMEs de nuestra cartera que se desempeñan en economías regionales exportadoras en varios sectores.</w:t>
      </w:r>
    </w:p>
    <w:p w14:paraId="15A1B7D5" w14:textId="77777777" w:rsidR="005643AA" w:rsidRPr="002E1AF6" w:rsidRDefault="005643AA" w:rsidP="005643AA">
      <w:pPr>
        <w:pBdr>
          <w:top w:val="nil"/>
          <w:left w:val="nil"/>
          <w:bottom w:val="nil"/>
          <w:right w:val="nil"/>
          <w:between w:val="nil"/>
          <w:bar w:val="nil"/>
        </w:pBdr>
        <w:tabs>
          <w:tab w:val="left" w:pos="142"/>
        </w:tabs>
        <w:jc w:val="both"/>
        <w:rPr>
          <w:rFonts w:ascii="Arial" w:eastAsiaTheme="minorHAnsi" w:hAnsi="Arial" w:cs="Arial"/>
          <w:sz w:val="20"/>
        </w:rPr>
      </w:pPr>
    </w:p>
    <w:p w14:paraId="78161A73" w14:textId="77777777" w:rsidR="005643AA" w:rsidRPr="002E1AF6" w:rsidRDefault="005643AA" w:rsidP="005643AA">
      <w:pPr>
        <w:pBdr>
          <w:top w:val="nil"/>
          <w:left w:val="nil"/>
          <w:bottom w:val="nil"/>
          <w:right w:val="nil"/>
          <w:between w:val="nil"/>
          <w:bar w:val="nil"/>
        </w:pBdr>
        <w:tabs>
          <w:tab w:val="left" w:pos="142"/>
        </w:tabs>
        <w:jc w:val="both"/>
        <w:rPr>
          <w:rFonts w:ascii="Arial" w:eastAsiaTheme="minorHAnsi" w:hAnsi="Arial" w:cs="Arial"/>
          <w:sz w:val="20"/>
        </w:rPr>
      </w:pPr>
      <w:r w:rsidRPr="002E1AF6">
        <w:rPr>
          <w:rFonts w:ascii="Arial" w:eastAsiaTheme="minorHAnsi" w:hAnsi="Arial" w:cs="Arial"/>
          <w:sz w:val="20"/>
        </w:rPr>
        <w:t>Corresponde señalar que tanto los convenios como el préstamo sindicado se encuentran subordinados al cumplimiento de determinados covenants financieros, ciertas obligaciones de hacer y no hacer, como así también ciertos requerimientos de información.</w:t>
      </w:r>
    </w:p>
    <w:p w14:paraId="0301B733" w14:textId="77777777" w:rsidR="005643AA" w:rsidRPr="002E1AF6" w:rsidRDefault="005643AA" w:rsidP="005643AA">
      <w:pPr>
        <w:pBdr>
          <w:top w:val="nil"/>
          <w:left w:val="nil"/>
          <w:bottom w:val="nil"/>
          <w:right w:val="nil"/>
          <w:between w:val="nil"/>
          <w:bar w:val="nil"/>
        </w:pBdr>
        <w:tabs>
          <w:tab w:val="left" w:pos="142"/>
        </w:tabs>
        <w:jc w:val="both"/>
        <w:rPr>
          <w:rFonts w:ascii="Arial" w:eastAsiaTheme="minorHAnsi" w:hAnsi="Arial" w:cs="Arial"/>
          <w:sz w:val="20"/>
        </w:rPr>
      </w:pPr>
    </w:p>
    <w:p w14:paraId="73DDD818" w14:textId="77777777" w:rsidR="005643AA" w:rsidRPr="002E1AF6" w:rsidRDefault="005643AA" w:rsidP="005643AA">
      <w:pPr>
        <w:pBdr>
          <w:top w:val="nil"/>
          <w:left w:val="nil"/>
          <w:bottom w:val="nil"/>
          <w:right w:val="nil"/>
          <w:between w:val="nil"/>
          <w:bar w:val="nil"/>
        </w:pBdr>
        <w:tabs>
          <w:tab w:val="left" w:pos="142"/>
        </w:tabs>
        <w:jc w:val="both"/>
        <w:rPr>
          <w:rFonts w:ascii="Arial" w:hAnsi="Arial" w:cs="Arial"/>
          <w:noProof/>
          <w:sz w:val="20"/>
        </w:rPr>
      </w:pPr>
      <w:r w:rsidRPr="002E1AF6">
        <w:rPr>
          <w:rFonts w:ascii="Arial" w:hAnsi="Arial" w:cs="Arial"/>
          <w:noProof/>
          <w:sz w:val="20"/>
        </w:rPr>
        <w:t>Al 31 de diciembre de 2019 la Entidad no cumplía con el ratio de préstamos non-performing ni con el de cobertura, lo cual genera un potencial incumplimiento de los acuerdos de préstamo con el FMO y Proparco por las cláusulas de cross default contenidas en dicho contratos. Este incumplimiento habilitaría a los organismos mencionados anteriormente a acelerar el pago de los préstamos mencionados anteriormente por un importe de $7.167 millones al 31 de diciembre de 2019.</w:t>
      </w:r>
    </w:p>
    <w:p w14:paraId="20B8163F" w14:textId="77777777" w:rsidR="005643AA" w:rsidRPr="002E1AF6" w:rsidRDefault="005643AA" w:rsidP="005643AA">
      <w:pPr>
        <w:pBdr>
          <w:top w:val="nil"/>
          <w:left w:val="nil"/>
          <w:bottom w:val="nil"/>
          <w:right w:val="nil"/>
          <w:between w:val="nil"/>
          <w:bar w:val="nil"/>
        </w:pBdr>
        <w:tabs>
          <w:tab w:val="left" w:pos="142"/>
        </w:tabs>
        <w:jc w:val="both"/>
        <w:rPr>
          <w:rFonts w:ascii="Arial" w:hAnsi="Arial" w:cs="Arial"/>
          <w:noProof/>
          <w:sz w:val="20"/>
        </w:rPr>
      </w:pPr>
    </w:p>
    <w:p w14:paraId="513A2D4D" w14:textId="48C1B482" w:rsidR="005643AA" w:rsidRPr="002E1AF6" w:rsidRDefault="005643AA" w:rsidP="005643AA">
      <w:pPr>
        <w:pBdr>
          <w:top w:val="nil"/>
          <w:left w:val="nil"/>
          <w:bottom w:val="nil"/>
          <w:right w:val="nil"/>
          <w:between w:val="nil"/>
          <w:bar w:val="nil"/>
        </w:pBdr>
        <w:tabs>
          <w:tab w:val="left" w:pos="142"/>
        </w:tabs>
        <w:jc w:val="both"/>
        <w:rPr>
          <w:rFonts w:ascii="Arial" w:eastAsiaTheme="minorHAnsi" w:hAnsi="Arial" w:cs="Arial"/>
          <w:sz w:val="20"/>
        </w:rPr>
      </w:pPr>
      <w:r w:rsidRPr="002E1AF6">
        <w:rPr>
          <w:rFonts w:ascii="Arial" w:eastAsiaTheme="minorHAnsi" w:hAnsi="Arial" w:cs="Arial"/>
          <w:sz w:val="20"/>
        </w:rPr>
        <w:t xml:space="preserve">En consecuencia, con fecha 29 de enero de 2020 la Entidad inició el trámite para obtener un waiver con el BID, el cual se obtuvo el 18 de febrero de 2020. Por el mismo, el BID renuncia a su derecho de acelerar la deuda por el incumplimiento de </w:t>
      </w:r>
      <w:r w:rsidR="00A34394" w:rsidRPr="005643AA">
        <w:rPr>
          <w:rFonts w:ascii="Arial" w:eastAsiaTheme="minorHAnsi" w:hAnsi="Arial" w:cs="Arial"/>
          <w:sz w:val="20"/>
        </w:rPr>
        <w:t>las ratios</w:t>
      </w:r>
      <w:r w:rsidRPr="002E1AF6">
        <w:rPr>
          <w:rFonts w:ascii="Arial" w:eastAsiaTheme="minorHAnsi" w:hAnsi="Arial" w:cs="Arial"/>
          <w:sz w:val="20"/>
        </w:rPr>
        <w:t xml:space="preserve"> de préstamos no performing y de cobertura por el periodo que va del 1 de octubre de 2019 al 31 de diciembre de 2019. También el 16 de abril de 2020, se solicitó una nueva exención al BID, que se obtuvo el 30 de abril de 2020, extendiendo lo mencionado anteriormente hasta el 31 de mayo de 2020.</w:t>
      </w:r>
    </w:p>
    <w:p w14:paraId="2B79B201" w14:textId="7D597902" w:rsidR="001466D3" w:rsidRDefault="001466D3" w:rsidP="00D025E4">
      <w:pPr>
        <w:pStyle w:val="BodyText2Sgl0"/>
        <w:ind w:firstLine="0"/>
        <w:jc w:val="both"/>
        <w:rPr>
          <w:rFonts w:ascii="Arial" w:hAnsi="Arial" w:cs="Arial"/>
          <w:b/>
          <w:color w:val="000000"/>
          <w:lang w:eastAsia="es-AR"/>
        </w:rPr>
      </w:pPr>
      <w:bookmarkStart w:id="35" w:name="_Hlk41059712"/>
    </w:p>
    <w:p w14:paraId="6C843FE7" w14:textId="28947CA0" w:rsidR="001466D3" w:rsidRDefault="001466D3" w:rsidP="00D025E4">
      <w:pPr>
        <w:pStyle w:val="BodyText2Sgl0"/>
        <w:ind w:firstLine="0"/>
        <w:jc w:val="both"/>
        <w:rPr>
          <w:rFonts w:ascii="Arial" w:hAnsi="Arial" w:cs="Arial"/>
          <w:b/>
          <w:color w:val="000000"/>
          <w:lang w:eastAsia="es-AR"/>
        </w:rPr>
      </w:pPr>
    </w:p>
    <w:p w14:paraId="637DDBC4" w14:textId="77777777" w:rsidR="001466D3" w:rsidRPr="007E4E18" w:rsidRDefault="001466D3" w:rsidP="00D025E4">
      <w:pPr>
        <w:pStyle w:val="BodyText2Sgl0"/>
        <w:ind w:firstLine="0"/>
        <w:jc w:val="both"/>
        <w:rPr>
          <w:rFonts w:ascii="Arial" w:hAnsi="Arial" w:cs="Arial"/>
          <w:b/>
          <w:color w:val="000000"/>
          <w:lang w:eastAsia="es-AR"/>
        </w:rPr>
      </w:pPr>
    </w:p>
    <w:bookmarkEnd w:id="35"/>
    <w:p w14:paraId="2198381A" w14:textId="2B04D063" w:rsidR="00D025E4" w:rsidRPr="002E1AF6" w:rsidRDefault="00D025E4" w:rsidP="002E1AF6">
      <w:pPr>
        <w:spacing w:after="160" w:line="259" w:lineRule="auto"/>
        <w:jc w:val="both"/>
        <w:rPr>
          <w:rFonts w:ascii="Arial" w:eastAsia="Calibri" w:hAnsi="Arial" w:cs="Arial"/>
          <w:b/>
        </w:rPr>
      </w:pPr>
      <w:r w:rsidRPr="002E1AF6">
        <w:rPr>
          <w:rFonts w:ascii="Arial" w:eastAsia="Calibri" w:hAnsi="Arial" w:cs="Arial"/>
          <w:b/>
          <w:sz w:val="20"/>
        </w:rPr>
        <w:lastRenderedPageBreak/>
        <w:t>1</w:t>
      </w:r>
      <w:r w:rsidR="001466D3" w:rsidRPr="002E1AF6">
        <w:rPr>
          <w:rFonts w:ascii="Arial" w:eastAsia="Calibri" w:hAnsi="Arial" w:cs="Arial"/>
          <w:b/>
          <w:sz w:val="20"/>
        </w:rPr>
        <w:t>7</w:t>
      </w:r>
      <w:r w:rsidRPr="002E1AF6">
        <w:rPr>
          <w:rFonts w:ascii="Arial" w:eastAsia="Calibri" w:hAnsi="Arial" w:cs="Arial"/>
          <w:b/>
          <w:sz w:val="20"/>
        </w:rPr>
        <w:t>.IMPACTO DEL COVID-19 EN LAS OPERACIONES DEL BANCO SUPERVIELLE</w:t>
      </w:r>
    </w:p>
    <w:p w14:paraId="67AD054D" w14:textId="77777777" w:rsidR="00D025E4" w:rsidRPr="007E4E18" w:rsidRDefault="00D025E4" w:rsidP="00D025E4">
      <w:pPr>
        <w:pStyle w:val="BodyText2Sgl0"/>
        <w:ind w:firstLine="0"/>
        <w:jc w:val="both"/>
        <w:rPr>
          <w:rFonts w:ascii="Arial" w:eastAsia="Times New Roman" w:hAnsi="Arial" w:cs="Arial"/>
          <w:color w:val="000000"/>
          <w:lang w:eastAsia="es-AR"/>
        </w:rPr>
      </w:pPr>
      <w:r w:rsidRPr="007E4E18">
        <w:rPr>
          <w:rFonts w:ascii="Arial" w:eastAsia="Times New Roman" w:hAnsi="Arial" w:cs="Arial"/>
          <w:color w:val="000000"/>
          <w:lang w:eastAsia="es-AR"/>
        </w:rPr>
        <w:t>En diciembre de 2019, se informó que una nueva cepa de coronavirus (COVID-19) apareció en Wuhan, China. Desde entonces, COVID-19 se ha extendido a más de 100 países, incluida Argentina. El 11 de marzo de 2020, la Organización Mundial de la Salud declaró a COVID-19 una pandemia. Es probable que la pandemia provoque una desaceleración económica de duración potencialmente prolongada, y es posible que pueda causar una recesión global.</w:t>
      </w:r>
    </w:p>
    <w:p w14:paraId="73B13C3A" w14:textId="16E04F61" w:rsidR="00D025E4" w:rsidRPr="007E4E18" w:rsidRDefault="00D025E4" w:rsidP="00D025E4">
      <w:pPr>
        <w:pStyle w:val="BodyText2Sgl0"/>
        <w:ind w:firstLine="0"/>
        <w:jc w:val="both"/>
        <w:rPr>
          <w:rFonts w:ascii="Arial" w:eastAsia="Times New Roman" w:hAnsi="Arial" w:cs="Arial"/>
          <w:color w:val="000000"/>
          <w:lang w:eastAsia="es-AR"/>
        </w:rPr>
      </w:pPr>
      <w:r w:rsidRPr="007E4E18">
        <w:rPr>
          <w:rFonts w:ascii="Arial" w:eastAsia="Times New Roman" w:hAnsi="Arial" w:cs="Arial"/>
          <w:color w:val="000000"/>
          <w:lang w:eastAsia="es-AR"/>
        </w:rPr>
        <w:t xml:space="preserve">Desde febrero de 2020, el gobierno argentino ha adoptado varias medidas en respuesta al brote de COVID-19 en el país destinadas a prevenir el contagio masivo, incluido el cierre de las fronteras argentinas, la suspensión de vuelos nacionales y, desde el 19 de marzo de 2020, la imposición de un cierre obligatorio </w:t>
      </w:r>
      <w:r w:rsidRPr="00461508">
        <w:rPr>
          <w:rFonts w:ascii="Arial" w:eastAsia="Times New Roman" w:hAnsi="Arial" w:cs="Arial"/>
          <w:color w:val="000000"/>
          <w:lang w:eastAsia="es-AR"/>
        </w:rPr>
        <w:t>en todo el país, por el cual solo se permitieron actividades excepcionales y esenciales y a partir de</w:t>
      </w:r>
      <w:r w:rsidR="001253C8">
        <w:rPr>
          <w:rFonts w:ascii="Arial" w:eastAsia="Times New Roman" w:hAnsi="Arial" w:cs="Arial"/>
          <w:color w:val="000000"/>
          <w:lang w:eastAsia="es-AR"/>
        </w:rPr>
        <w:t xml:space="preserve">l 11 </w:t>
      </w:r>
      <w:r w:rsidRPr="00461508">
        <w:rPr>
          <w:rFonts w:ascii="Arial" w:eastAsia="Times New Roman" w:hAnsi="Arial" w:cs="Arial"/>
          <w:color w:val="000000"/>
          <w:lang w:eastAsia="es-AR"/>
        </w:rPr>
        <w:t>de marzo de 2020</w:t>
      </w:r>
      <w:r w:rsidRPr="007E4E18">
        <w:rPr>
          <w:rFonts w:ascii="Arial" w:eastAsia="Times New Roman" w:hAnsi="Arial" w:cs="Arial"/>
          <w:color w:val="000000"/>
          <w:lang w:eastAsia="es-AR"/>
        </w:rPr>
        <w:t xml:space="preserve"> se comenzaron a sumar progresivamente ciertas actividades consideradas no esenciales, con diferencias entre cada Provincia y la Ciudad de Buenos Aires. Las actividades bancarias se consideraron esenciales desde el 11 de abril de 2020, con atención en las sucursales permitidas solo con turnos programados previamente. Desde el 20 de marzo hasta el 10 de abril de 2020, las sucursales se cerraron, abriendo solo para pagos de pensiones en ciertas fechas. Durante este período, las actividades bancarias se realizaron solo a través de medios digitales.</w:t>
      </w:r>
    </w:p>
    <w:p w14:paraId="7160746E" w14:textId="77777777" w:rsidR="00D025E4" w:rsidRPr="007E4E18" w:rsidRDefault="00D025E4" w:rsidP="00D025E4">
      <w:pPr>
        <w:pStyle w:val="BodyText2Sgl0"/>
        <w:ind w:firstLine="0"/>
        <w:jc w:val="both"/>
        <w:rPr>
          <w:rFonts w:ascii="Arial" w:eastAsia="Times New Roman" w:hAnsi="Arial" w:cs="Arial"/>
          <w:color w:val="000000"/>
          <w:lang w:eastAsia="es-AR"/>
        </w:rPr>
      </w:pPr>
      <w:r w:rsidRPr="007E4E18">
        <w:rPr>
          <w:rFonts w:ascii="Arial" w:eastAsia="Times New Roman" w:hAnsi="Arial" w:cs="Arial"/>
          <w:color w:val="000000"/>
          <w:lang w:eastAsia="es-AR"/>
        </w:rPr>
        <w:t>Durante este tiempo, todas las transacciones se han procesado casi exclusivamente a través de canales digitales. También solicitamos a nuestros empleados administrativos y del back office, que trabajen desde su hogar, proporcionando la infraestructura de hardware requerida y el acceso remoto, mientras que las sucursales comerciales operan con medidas de seguridad adicionales para proteger la salud de los clientes y empleados.</w:t>
      </w:r>
    </w:p>
    <w:p w14:paraId="1C5F8770" w14:textId="77777777" w:rsidR="00D025E4" w:rsidRPr="007E4E18" w:rsidRDefault="00D025E4" w:rsidP="00D025E4">
      <w:pPr>
        <w:pStyle w:val="BodyText2Sgl0"/>
        <w:ind w:firstLine="0"/>
        <w:jc w:val="both"/>
        <w:rPr>
          <w:rFonts w:ascii="Arial" w:eastAsia="Times New Roman" w:hAnsi="Arial" w:cs="Arial"/>
          <w:color w:val="000000"/>
          <w:lang w:eastAsia="es-AR"/>
        </w:rPr>
      </w:pPr>
      <w:r w:rsidRPr="007E4E18">
        <w:rPr>
          <w:rFonts w:ascii="Arial" w:eastAsia="Times New Roman" w:hAnsi="Arial" w:cs="Arial"/>
          <w:color w:val="000000"/>
          <w:lang w:eastAsia="es-AR"/>
        </w:rPr>
        <w:t>Para mitigar el impacto económico del aislamiento, el Banco Central emitió una serie de medidas preventivas, que incluyen las siguientes:</w:t>
      </w:r>
    </w:p>
    <w:p w14:paraId="17DBA7AF" w14:textId="77777777" w:rsidR="00D025E4" w:rsidRPr="007E4E18" w:rsidRDefault="00D025E4" w:rsidP="00D025E4">
      <w:pPr>
        <w:pStyle w:val="ListParagraph"/>
        <w:numPr>
          <w:ilvl w:val="0"/>
          <w:numId w:val="46"/>
        </w:numPr>
        <w:contextualSpacing/>
        <w:jc w:val="both"/>
        <w:rPr>
          <w:rFonts w:ascii="Arial" w:hAnsi="Arial" w:cs="Arial"/>
          <w:color w:val="000000"/>
          <w:sz w:val="20"/>
          <w:lang w:eastAsia="es-AR"/>
        </w:rPr>
      </w:pPr>
      <w:r w:rsidRPr="007E4E18">
        <w:rPr>
          <w:rFonts w:ascii="Arial" w:hAnsi="Arial" w:cs="Arial"/>
          <w:color w:val="000000"/>
          <w:sz w:val="20"/>
          <w:lang w:eastAsia="es-AR"/>
        </w:rPr>
        <w:t>La comunicación “A” 6937 redujo las restricciones de posición sobre la posición máxima en notas de liquidez del Banco Central (LELIQ), con el fin de poner a disposición la liquidez y alentar la provisión de líneas de crédito a las PYME a un tipo preferencial (no más de 24% por año).</w:t>
      </w:r>
    </w:p>
    <w:p w14:paraId="60BCAFCD" w14:textId="77777777" w:rsidR="00D025E4" w:rsidRPr="007E4E18" w:rsidRDefault="00D025E4" w:rsidP="00D025E4">
      <w:pPr>
        <w:pStyle w:val="ListParagraph"/>
        <w:ind w:left="1080"/>
        <w:contextualSpacing/>
        <w:jc w:val="both"/>
        <w:rPr>
          <w:rFonts w:ascii="Arial" w:hAnsi="Arial" w:cs="Arial"/>
          <w:color w:val="000000"/>
          <w:sz w:val="20"/>
          <w:lang w:eastAsia="es-AR"/>
        </w:rPr>
      </w:pPr>
    </w:p>
    <w:p w14:paraId="41B13366" w14:textId="77777777" w:rsidR="00D025E4" w:rsidRPr="007E4E18" w:rsidRDefault="00D025E4" w:rsidP="00D025E4">
      <w:pPr>
        <w:pStyle w:val="ListParagraph"/>
        <w:numPr>
          <w:ilvl w:val="0"/>
          <w:numId w:val="46"/>
        </w:numPr>
        <w:contextualSpacing/>
        <w:jc w:val="both"/>
        <w:rPr>
          <w:rFonts w:ascii="Arial" w:hAnsi="Arial" w:cs="Arial"/>
          <w:color w:val="000000"/>
          <w:sz w:val="20"/>
          <w:lang w:eastAsia="es-AR"/>
        </w:rPr>
      </w:pPr>
      <w:r w:rsidRPr="007E4E18">
        <w:rPr>
          <w:rFonts w:ascii="Arial" w:hAnsi="Arial" w:cs="Arial"/>
          <w:color w:val="000000"/>
          <w:sz w:val="20"/>
          <w:lang w:eastAsia="es-AR"/>
        </w:rPr>
        <w:t>Comunicaciones “A” 6939 y “A” 6942, por medio de las cuales se determinó que: (i) las instituciones financieras no estarán abiertas al público desde el 20 de marzo hasta el 12 de abril de 2020, y (ii) el vencimiento de los financiamientos otorgado por instituciones financieras locales que iban a ocurrir durante ese período fueron pospuestos. En este sentido, la Comunicación "A" 6949 también renunció a cualquier interés punitivo sobre saldos impagos en créditos otorgados por entidades financieras.</w:t>
      </w:r>
    </w:p>
    <w:p w14:paraId="460DA76C" w14:textId="77777777" w:rsidR="00D025E4" w:rsidRPr="007E4E18" w:rsidRDefault="00D025E4" w:rsidP="00D025E4">
      <w:pPr>
        <w:pStyle w:val="ListParagraph"/>
        <w:rPr>
          <w:rFonts w:ascii="Arial" w:hAnsi="Arial" w:cs="Arial"/>
          <w:color w:val="000000"/>
          <w:sz w:val="20"/>
          <w:lang w:eastAsia="es-AR"/>
        </w:rPr>
      </w:pPr>
    </w:p>
    <w:p w14:paraId="14DCAC22" w14:textId="77777777" w:rsidR="00D025E4" w:rsidRPr="007E4E18" w:rsidRDefault="00D025E4" w:rsidP="00D025E4">
      <w:pPr>
        <w:pStyle w:val="ListParagraph"/>
        <w:numPr>
          <w:ilvl w:val="0"/>
          <w:numId w:val="46"/>
        </w:numPr>
        <w:contextualSpacing/>
        <w:jc w:val="both"/>
        <w:rPr>
          <w:rFonts w:ascii="Arial" w:hAnsi="Arial" w:cs="Arial"/>
          <w:color w:val="000000"/>
          <w:sz w:val="20"/>
          <w:lang w:eastAsia="es-AR"/>
        </w:rPr>
      </w:pPr>
      <w:r w:rsidRPr="007E4E18">
        <w:rPr>
          <w:rFonts w:ascii="Arial" w:hAnsi="Arial" w:cs="Arial"/>
          <w:color w:val="000000"/>
          <w:sz w:val="20"/>
          <w:lang w:eastAsia="es-AR"/>
        </w:rPr>
        <w:lastRenderedPageBreak/>
        <w:t>La comunicación “A” 6939 también suspendió, hasta el 30 de junio de 2020, la distribución de dividendos por entidades financieras.</w:t>
      </w:r>
    </w:p>
    <w:p w14:paraId="70C45C48" w14:textId="77777777" w:rsidR="00D025E4" w:rsidRPr="007E4E18" w:rsidRDefault="00D025E4" w:rsidP="00D025E4">
      <w:pPr>
        <w:pStyle w:val="ListParagraph"/>
        <w:rPr>
          <w:rFonts w:ascii="Arial" w:hAnsi="Arial" w:cs="Arial"/>
          <w:color w:val="000000"/>
          <w:sz w:val="20"/>
          <w:lang w:eastAsia="es-AR"/>
        </w:rPr>
      </w:pPr>
    </w:p>
    <w:p w14:paraId="38151E62" w14:textId="77777777" w:rsidR="00D025E4" w:rsidRPr="007E4E18" w:rsidRDefault="00D025E4" w:rsidP="00D025E4">
      <w:pPr>
        <w:pStyle w:val="ListParagraph"/>
        <w:numPr>
          <w:ilvl w:val="0"/>
          <w:numId w:val="46"/>
        </w:numPr>
        <w:contextualSpacing/>
        <w:jc w:val="both"/>
        <w:rPr>
          <w:rFonts w:ascii="Arial" w:hAnsi="Arial" w:cs="Arial"/>
          <w:color w:val="000000"/>
          <w:sz w:val="20"/>
          <w:lang w:eastAsia="es-AR"/>
        </w:rPr>
      </w:pPr>
      <w:r w:rsidRPr="007E4E18">
        <w:rPr>
          <w:rFonts w:ascii="Arial" w:hAnsi="Arial" w:cs="Arial"/>
          <w:color w:val="000000"/>
          <w:sz w:val="20"/>
          <w:lang w:eastAsia="es-AR"/>
        </w:rPr>
        <w:t>La comunicación “A” 6945 determinó que hasta el 30 de junio de 2020, cualquier operación efectuada a través de cajeros automáticos no estará sujeta a ningún cargo o tarifa.</w:t>
      </w:r>
    </w:p>
    <w:p w14:paraId="1D3B628E" w14:textId="77777777" w:rsidR="00D025E4" w:rsidRPr="007E4E18" w:rsidRDefault="00D025E4" w:rsidP="00D025E4">
      <w:pPr>
        <w:pStyle w:val="ListParagraph"/>
        <w:rPr>
          <w:rFonts w:ascii="Arial" w:hAnsi="Arial" w:cs="Arial"/>
          <w:color w:val="000000"/>
          <w:sz w:val="20"/>
          <w:lang w:eastAsia="es-AR"/>
        </w:rPr>
      </w:pPr>
    </w:p>
    <w:p w14:paraId="0A40A9F8" w14:textId="77777777" w:rsidR="00D025E4" w:rsidRPr="007E4E18" w:rsidRDefault="00D025E4" w:rsidP="00D025E4">
      <w:pPr>
        <w:pStyle w:val="ListParagraph"/>
        <w:numPr>
          <w:ilvl w:val="0"/>
          <w:numId w:val="46"/>
        </w:numPr>
        <w:contextualSpacing/>
        <w:jc w:val="both"/>
        <w:rPr>
          <w:rFonts w:ascii="Arial" w:hAnsi="Arial" w:cs="Arial"/>
          <w:color w:val="000000"/>
          <w:sz w:val="20"/>
          <w:lang w:eastAsia="es-AR"/>
        </w:rPr>
      </w:pPr>
      <w:r w:rsidRPr="007E4E18">
        <w:rPr>
          <w:rFonts w:ascii="Arial" w:hAnsi="Arial" w:cs="Arial"/>
          <w:color w:val="000000"/>
          <w:sz w:val="20"/>
          <w:lang w:eastAsia="es-AR"/>
        </w:rPr>
        <w:t>La Comunicación “A” 6964 determinó que los saldos impagos de financiamientos de tarjetas de crédito que tienen lugar entre el 13 de abril de 2020 y el 30 de abril de 2020, se refinanciarán automáticamente durante al menos un año con 3 meses de gracia en 9 cuotas mensuales iguales y consecutivas. Además, a través de la Comunicación “A” 6993, del 24 de abril de 2020, el Banco Central estableció una política de financiamiento de tasa de interés cero, aplicable solo a los clientes elegibles que la AFIP determinará en el futuro.</w:t>
      </w:r>
    </w:p>
    <w:p w14:paraId="6DC55466" w14:textId="77777777" w:rsidR="00D025E4" w:rsidRPr="007E4E18" w:rsidRDefault="00D025E4" w:rsidP="00D025E4">
      <w:pPr>
        <w:pStyle w:val="ListParagraph"/>
        <w:rPr>
          <w:rFonts w:ascii="Arial" w:hAnsi="Arial" w:cs="Arial"/>
          <w:color w:val="000000"/>
          <w:sz w:val="20"/>
          <w:lang w:eastAsia="es-AR"/>
        </w:rPr>
      </w:pPr>
    </w:p>
    <w:p w14:paraId="4643CDEE" w14:textId="77777777" w:rsidR="00D025E4" w:rsidRPr="007E4E18" w:rsidRDefault="00D025E4" w:rsidP="00D025E4">
      <w:pPr>
        <w:pStyle w:val="ListParagraph"/>
        <w:numPr>
          <w:ilvl w:val="0"/>
          <w:numId w:val="46"/>
        </w:numPr>
        <w:contextualSpacing/>
        <w:jc w:val="both"/>
        <w:rPr>
          <w:rFonts w:ascii="Arial" w:hAnsi="Arial" w:cs="Arial"/>
          <w:color w:val="000000"/>
          <w:sz w:val="20"/>
          <w:lang w:eastAsia="es-AR"/>
        </w:rPr>
      </w:pPr>
      <w:r w:rsidRPr="007E4E18">
        <w:rPr>
          <w:rFonts w:ascii="Arial" w:hAnsi="Arial" w:cs="Arial"/>
          <w:color w:val="000000"/>
          <w:sz w:val="20"/>
          <w:lang w:eastAsia="es-AR"/>
        </w:rPr>
        <w:t>La comunicación “A” 6980 dictaminó que todos los depósitos a plazo no ajustables por debajo de Ps. 1 millón integrado por individuos a partir del 20 de abril de 2020, tendrá una tasa mínima equivalente al 70% de la licitación promedio de LELIQ.</w:t>
      </w:r>
    </w:p>
    <w:p w14:paraId="32400D7C" w14:textId="77777777" w:rsidR="00D025E4" w:rsidRPr="007E4E18" w:rsidRDefault="00D025E4" w:rsidP="00D025E4">
      <w:pPr>
        <w:pStyle w:val="BodyText2Sgl0"/>
        <w:ind w:firstLine="0"/>
        <w:jc w:val="both"/>
        <w:rPr>
          <w:rFonts w:ascii="Arial" w:eastAsia="Times New Roman" w:hAnsi="Arial" w:cs="Arial"/>
          <w:color w:val="000000"/>
          <w:lang w:eastAsia="es-AR"/>
        </w:rPr>
      </w:pPr>
    </w:p>
    <w:p w14:paraId="5E5228B5" w14:textId="77777777" w:rsidR="00D025E4" w:rsidRPr="007E4E18" w:rsidRDefault="00D025E4" w:rsidP="00D025E4">
      <w:pPr>
        <w:pStyle w:val="BodyText2Sgl0"/>
        <w:ind w:firstLine="0"/>
        <w:jc w:val="both"/>
        <w:rPr>
          <w:rFonts w:ascii="Arial" w:eastAsia="Times New Roman" w:hAnsi="Arial" w:cs="Arial"/>
          <w:color w:val="000000"/>
          <w:lang w:eastAsia="es-AR"/>
        </w:rPr>
      </w:pPr>
      <w:r w:rsidRPr="007E4E18">
        <w:rPr>
          <w:rFonts w:ascii="Arial" w:eastAsia="Times New Roman" w:hAnsi="Arial" w:cs="Arial"/>
          <w:color w:val="000000"/>
          <w:lang w:eastAsia="es-AR"/>
        </w:rPr>
        <w:t>Algunas de estas medidas pueden afectar negativamente nuestros ingresos, mientras que las consecuencias del aislamiento en la actividad económica pueden afectar la capacidad de algunos de nuestros clientes para pagar sus préstamos, aumentando así las provisiones para pérdidas crediticias. No obstante, la medida en que nuestro negocio se verá afectado dependerá de desarrollos futuros, que son altamente inciertos y no se pueden predecir. Ciertos factores que podrían compensar estos impactos negativos, incluyen (i) la reducción del costo de fondeo, que ha disminuido desde el inicio de la crisis por la pandemia, y (ii) la estructura de nuestros pasivos, sobre los que estimamos que no enfrentaremos restricciones de liquidez como resultado de la pandemia.</w:t>
      </w:r>
    </w:p>
    <w:p w14:paraId="10F09FB8" w14:textId="77777777" w:rsidR="00D025E4" w:rsidRPr="007E4E18" w:rsidRDefault="00D025E4" w:rsidP="00D025E4">
      <w:pPr>
        <w:jc w:val="both"/>
        <w:rPr>
          <w:rFonts w:ascii="Arial" w:eastAsia="Georgia" w:hAnsi="Arial" w:cs="Arial"/>
          <w:color w:val="000000"/>
          <w:sz w:val="20"/>
        </w:rPr>
      </w:pPr>
      <w:r w:rsidRPr="007E4E18">
        <w:rPr>
          <w:rFonts w:ascii="Arial" w:eastAsia="Georgia" w:hAnsi="Arial" w:cs="Arial"/>
          <w:color w:val="000000"/>
          <w:sz w:val="20"/>
        </w:rPr>
        <w:t>.</w:t>
      </w:r>
    </w:p>
    <w:p w14:paraId="1F056278" w14:textId="77777777" w:rsidR="0023251D" w:rsidRPr="00C74698" w:rsidRDefault="0023251D" w:rsidP="0023251D">
      <w:pPr>
        <w:jc w:val="both"/>
        <w:rPr>
          <w:rFonts w:ascii="Arial" w:eastAsia="Georgia" w:hAnsi="Arial" w:cs="Arial"/>
          <w:color w:val="000000"/>
          <w:sz w:val="20"/>
        </w:rPr>
      </w:pPr>
      <w:r w:rsidRPr="00C74698">
        <w:rPr>
          <w:rFonts w:ascii="Arial" w:eastAsia="Georgia" w:hAnsi="Arial" w:cs="Arial"/>
          <w:color w:val="000000"/>
          <w:sz w:val="20"/>
        </w:rPr>
        <w:t>.</w:t>
      </w:r>
    </w:p>
    <w:p w14:paraId="2C9F59C8" w14:textId="77777777" w:rsidR="0023251D" w:rsidRPr="00C74698" w:rsidRDefault="0023251D" w:rsidP="0023251D">
      <w:pPr>
        <w:jc w:val="both"/>
        <w:rPr>
          <w:rFonts w:ascii="Arial" w:hAnsi="Arial" w:cs="Arial"/>
          <w:color w:val="000000"/>
          <w:sz w:val="20"/>
        </w:rPr>
      </w:pPr>
    </w:p>
    <w:p w14:paraId="78440C5E" w14:textId="77777777" w:rsidR="0023251D" w:rsidRPr="00C74698" w:rsidRDefault="0023251D" w:rsidP="0023251D">
      <w:pPr>
        <w:widowControl w:val="0"/>
        <w:autoSpaceDE w:val="0"/>
        <w:autoSpaceDN w:val="0"/>
        <w:adjustRightInd w:val="0"/>
        <w:jc w:val="both"/>
        <w:rPr>
          <w:rFonts w:ascii="Arial" w:hAnsi="Arial" w:cs="Arial"/>
          <w:noProof/>
          <w:sz w:val="20"/>
        </w:rPr>
      </w:pPr>
    </w:p>
    <w:p w14:paraId="659B739F" w14:textId="77777777" w:rsidR="0023251D" w:rsidRPr="00C74698" w:rsidRDefault="0023251D" w:rsidP="0023251D">
      <w:pPr>
        <w:tabs>
          <w:tab w:val="left" w:pos="709"/>
          <w:tab w:val="left" w:pos="851"/>
        </w:tabs>
        <w:ind w:left="284" w:right="51"/>
        <w:contextualSpacing/>
        <w:jc w:val="both"/>
        <w:rPr>
          <w:rFonts w:ascii="Arial" w:hAnsi="Arial" w:cs="Arial"/>
          <w:b/>
          <w:sz w:val="20"/>
        </w:rPr>
      </w:pPr>
    </w:p>
    <w:p w14:paraId="46CD5464" w14:textId="77777777" w:rsidR="007C7173" w:rsidRDefault="007C7173" w:rsidP="00E23C30">
      <w:pPr>
        <w:widowControl w:val="0"/>
        <w:autoSpaceDE w:val="0"/>
        <w:autoSpaceDN w:val="0"/>
        <w:adjustRightInd w:val="0"/>
        <w:jc w:val="both"/>
        <w:rPr>
          <w:rFonts w:ascii="Arial" w:hAnsi="Arial" w:cs="Arial"/>
          <w:noProof/>
          <w:sz w:val="20"/>
        </w:rPr>
      </w:pPr>
    </w:p>
    <w:p w14:paraId="7D316A90" w14:textId="77777777" w:rsidR="006C1D52" w:rsidRDefault="006C1D52" w:rsidP="008D0F76">
      <w:pPr>
        <w:widowControl w:val="0"/>
        <w:autoSpaceDE w:val="0"/>
        <w:autoSpaceDN w:val="0"/>
        <w:adjustRightInd w:val="0"/>
        <w:jc w:val="both"/>
        <w:rPr>
          <w:rFonts w:ascii="Arial" w:hAnsi="Arial" w:cs="Arial"/>
          <w:noProof/>
          <w:sz w:val="20"/>
          <w:highlight w:val="yellow"/>
        </w:rPr>
        <w:sectPr w:rsidR="006C1D52" w:rsidSect="00CC5C97">
          <w:headerReference w:type="even" r:id="rId19"/>
          <w:headerReference w:type="default" r:id="rId20"/>
          <w:headerReference w:type="first" r:id="rId21"/>
          <w:pgSz w:w="11907" w:h="16839" w:code="9"/>
          <w:pgMar w:top="1418" w:right="1701" w:bottom="1418" w:left="1701" w:header="567" w:footer="0" w:gutter="0"/>
          <w:cols w:space="708"/>
          <w:docGrid w:linePitch="360"/>
        </w:sectPr>
      </w:pPr>
    </w:p>
    <w:tbl>
      <w:tblPr>
        <w:tblStyle w:val="TableGrid"/>
        <w:tblW w:w="77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1276"/>
        <w:gridCol w:w="1275"/>
      </w:tblGrid>
      <w:tr w:rsidR="00451F3D" w14:paraId="4D4C9908" w14:textId="77777777" w:rsidTr="00AA40A5">
        <w:tc>
          <w:tcPr>
            <w:tcW w:w="5240" w:type="dxa"/>
            <w:tcBorders>
              <w:top w:val="single" w:sz="4" w:space="0" w:color="auto"/>
              <w:left w:val="single" w:sz="4" w:space="0" w:color="auto"/>
              <w:bottom w:val="single" w:sz="4" w:space="0" w:color="auto"/>
            </w:tcBorders>
            <w:shd w:val="clear" w:color="auto" w:fill="BFBFBF" w:themeFill="background1" w:themeFillShade="BF"/>
          </w:tcPr>
          <w:p w14:paraId="77C703D8" w14:textId="23ADEB22" w:rsidR="00451F3D" w:rsidRPr="007B34B2" w:rsidRDefault="007F3EE6" w:rsidP="007F3EE6">
            <w:pPr>
              <w:widowControl w:val="0"/>
              <w:autoSpaceDE w:val="0"/>
              <w:autoSpaceDN w:val="0"/>
              <w:adjustRightInd w:val="0"/>
              <w:jc w:val="center"/>
              <w:rPr>
                <w:rFonts w:ascii="Arial" w:hAnsi="Arial" w:cs="Arial"/>
                <w:b/>
                <w:noProof/>
                <w:sz w:val="18"/>
                <w:szCs w:val="18"/>
              </w:rPr>
            </w:pPr>
            <w:bookmarkStart w:id="36" w:name="_Hlk9603770"/>
            <w:bookmarkStart w:id="37" w:name="_Hlk9605216"/>
            <w:r w:rsidRPr="007B34B2">
              <w:rPr>
                <w:rFonts w:ascii="Arial" w:hAnsi="Arial" w:cs="Arial"/>
                <w:b/>
                <w:noProof/>
                <w:sz w:val="18"/>
                <w:szCs w:val="18"/>
              </w:rPr>
              <w:lastRenderedPageBreak/>
              <w:t>Concepto</w:t>
            </w:r>
          </w:p>
        </w:tc>
        <w:tc>
          <w:tcPr>
            <w:tcW w:w="1276" w:type="dxa"/>
            <w:tcBorders>
              <w:top w:val="single" w:sz="4" w:space="0" w:color="auto"/>
              <w:bottom w:val="single" w:sz="4" w:space="0" w:color="auto"/>
            </w:tcBorders>
            <w:shd w:val="clear" w:color="auto" w:fill="BFBFBF" w:themeFill="background1" w:themeFillShade="BF"/>
          </w:tcPr>
          <w:p w14:paraId="6B02C555" w14:textId="7DF5810D" w:rsidR="00451F3D" w:rsidRPr="007B34B2" w:rsidRDefault="0056793F" w:rsidP="005D476E">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31/03/2020</w:t>
            </w:r>
          </w:p>
        </w:tc>
        <w:tc>
          <w:tcPr>
            <w:tcW w:w="1275" w:type="dxa"/>
            <w:tcBorders>
              <w:top w:val="single" w:sz="4" w:space="0" w:color="auto"/>
              <w:bottom w:val="single" w:sz="4" w:space="0" w:color="auto"/>
              <w:right w:val="single" w:sz="4" w:space="0" w:color="auto"/>
            </w:tcBorders>
            <w:shd w:val="clear" w:color="auto" w:fill="BFBFBF" w:themeFill="background1" w:themeFillShade="BF"/>
          </w:tcPr>
          <w:p w14:paraId="645934D4" w14:textId="7DC31CD9" w:rsidR="00451F3D" w:rsidRPr="007B34B2" w:rsidRDefault="0056793F" w:rsidP="007F3EE6">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31/12/2019</w:t>
            </w:r>
          </w:p>
        </w:tc>
      </w:tr>
      <w:tr w:rsidR="00451F3D" w14:paraId="5F614A0E" w14:textId="77777777" w:rsidTr="00915F29">
        <w:tc>
          <w:tcPr>
            <w:tcW w:w="5240" w:type="dxa"/>
            <w:tcBorders>
              <w:top w:val="single" w:sz="4" w:space="0" w:color="auto"/>
            </w:tcBorders>
          </w:tcPr>
          <w:p w14:paraId="0E97B6F4" w14:textId="59313013" w:rsidR="00451F3D" w:rsidRPr="00915F29" w:rsidRDefault="007F3EE6" w:rsidP="008D0F76">
            <w:pPr>
              <w:widowControl w:val="0"/>
              <w:autoSpaceDE w:val="0"/>
              <w:autoSpaceDN w:val="0"/>
              <w:adjustRightInd w:val="0"/>
              <w:jc w:val="both"/>
              <w:rPr>
                <w:rFonts w:ascii="Arial" w:hAnsi="Arial" w:cs="Arial"/>
                <w:b/>
                <w:noProof/>
                <w:sz w:val="20"/>
                <w:szCs w:val="18"/>
              </w:rPr>
            </w:pPr>
            <w:r w:rsidRPr="00915F29">
              <w:rPr>
                <w:rFonts w:ascii="Arial" w:hAnsi="Arial" w:cs="Arial"/>
                <w:b/>
                <w:noProof/>
                <w:sz w:val="20"/>
                <w:szCs w:val="18"/>
              </w:rPr>
              <w:t>CARTERA COMERCIAL</w:t>
            </w:r>
          </w:p>
        </w:tc>
        <w:tc>
          <w:tcPr>
            <w:tcW w:w="1276" w:type="dxa"/>
            <w:tcBorders>
              <w:top w:val="single" w:sz="4" w:space="0" w:color="auto"/>
            </w:tcBorders>
          </w:tcPr>
          <w:p w14:paraId="0DA49DE6" w14:textId="77777777" w:rsidR="00451F3D" w:rsidRPr="000436E1" w:rsidRDefault="00451F3D" w:rsidP="008D0F76">
            <w:pPr>
              <w:widowControl w:val="0"/>
              <w:autoSpaceDE w:val="0"/>
              <w:autoSpaceDN w:val="0"/>
              <w:adjustRightInd w:val="0"/>
              <w:jc w:val="both"/>
              <w:rPr>
                <w:rFonts w:ascii="Arial" w:hAnsi="Arial" w:cs="Arial"/>
                <w:b/>
                <w:noProof/>
                <w:sz w:val="20"/>
                <w:szCs w:val="18"/>
                <w:highlight w:val="yellow"/>
              </w:rPr>
            </w:pPr>
          </w:p>
        </w:tc>
        <w:tc>
          <w:tcPr>
            <w:tcW w:w="1275" w:type="dxa"/>
            <w:tcBorders>
              <w:top w:val="single" w:sz="4" w:space="0" w:color="auto"/>
            </w:tcBorders>
          </w:tcPr>
          <w:p w14:paraId="7F4A45B6" w14:textId="77777777" w:rsidR="00451F3D" w:rsidRPr="000436E1" w:rsidRDefault="00451F3D" w:rsidP="008D0F76">
            <w:pPr>
              <w:widowControl w:val="0"/>
              <w:autoSpaceDE w:val="0"/>
              <w:autoSpaceDN w:val="0"/>
              <w:adjustRightInd w:val="0"/>
              <w:jc w:val="both"/>
              <w:rPr>
                <w:rFonts w:ascii="Arial" w:hAnsi="Arial" w:cs="Arial"/>
                <w:b/>
                <w:noProof/>
                <w:sz w:val="20"/>
                <w:szCs w:val="18"/>
                <w:highlight w:val="yellow"/>
              </w:rPr>
            </w:pPr>
          </w:p>
        </w:tc>
      </w:tr>
      <w:tr w:rsidR="00451F3D" w14:paraId="50E37037" w14:textId="77777777" w:rsidTr="00915F29">
        <w:tc>
          <w:tcPr>
            <w:tcW w:w="5240" w:type="dxa"/>
          </w:tcPr>
          <w:p w14:paraId="3262ED81" w14:textId="77777777" w:rsidR="00451F3D" w:rsidRPr="000436E1" w:rsidRDefault="00451F3D" w:rsidP="008D0F76">
            <w:pPr>
              <w:widowControl w:val="0"/>
              <w:autoSpaceDE w:val="0"/>
              <w:autoSpaceDN w:val="0"/>
              <w:adjustRightInd w:val="0"/>
              <w:jc w:val="both"/>
              <w:rPr>
                <w:rFonts w:ascii="Arial" w:hAnsi="Arial" w:cs="Arial"/>
                <w:noProof/>
                <w:sz w:val="18"/>
                <w:szCs w:val="18"/>
                <w:highlight w:val="yellow"/>
              </w:rPr>
            </w:pPr>
          </w:p>
        </w:tc>
        <w:tc>
          <w:tcPr>
            <w:tcW w:w="1276" w:type="dxa"/>
          </w:tcPr>
          <w:p w14:paraId="24AB6018" w14:textId="77777777" w:rsidR="00451F3D" w:rsidRPr="000436E1" w:rsidRDefault="00451F3D"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5D924EBC" w14:textId="77777777" w:rsidR="00451F3D" w:rsidRPr="000436E1" w:rsidRDefault="00451F3D" w:rsidP="008D0F76">
            <w:pPr>
              <w:widowControl w:val="0"/>
              <w:autoSpaceDE w:val="0"/>
              <w:autoSpaceDN w:val="0"/>
              <w:adjustRightInd w:val="0"/>
              <w:jc w:val="both"/>
              <w:rPr>
                <w:rFonts w:ascii="Arial" w:hAnsi="Arial" w:cs="Arial"/>
                <w:noProof/>
                <w:sz w:val="18"/>
                <w:szCs w:val="18"/>
                <w:highlight w:val="yellow"/>
              </w:rPr>
            </w:pPr>
          </w:p>
        </w:tc>
      </w:tr>
      <w:tr w:rsidR="00F075C4" w:rsidRPr="00865094" w14:paraId="055A0056" w14:textId="77777777" w:rsidTr="006637B6">
        <w:trPr>
          <w:trHeight w:val="170"/>
        </w:trPr>
        <w:tc>
          <w:tcPr>
            <w:tcW w:w="5240" w:type="dxa"/>
          </w:tcPr>
          <w:p w14:paraId="4054D9BA" w14:textId="67CB1C15" w:rsidR="00F075C4" w:rsidRPr="00865094" w:rsidRDefault="00F075C4" w:rsidP="00F075C4">
            <w:pPr>
              <w:jc w:val="both"/>
              <w:rPr>
                <w:rFonts w:ascii="Arial" w:hAnsi="Arial" w:cs="Arial"/>
                <w:b/>
                <w:bCs/>
                <w:sz w:val="18"/>
                <w:szCs w:val="18"/>
                <w:lang w:eastAsia="es-AR"/>
              </w:rPr>
            </w:pPr>
            <w:r w:rsidRPr="00865094">
              <w:rPr>
                <w:rFonts w:ascii="Arial" w:hAnsi="Arial" w:cs="Arial"/>
                <w:b/>
                <w:bCs/>
                <w:sz w:val="18"/>
                <w:szCs w:val="18"/>
              </w:rPr>
              <w:t>En situación normal</w:t>
            </w:r>
          </w:p>
        </w:tc>
        <w:tc>
          <w:tcPr>
            <w:tcW w:w="1276" w:type="dxa"/>
            <w:tcBorders>
              <w:bottom w:val="single" w:sz="4" w:space="0" w:color="auto"/>
            </w:tcBorders>
            <w:vAlign w:val="bottom"/>
          </w:tcPr>
          <w:p w14:paraId="135656A1" w14:textId="17DAFB09" w:rsidR="00F075C4" w:rsidRPr="00733C86" w:rsidRDefault="00F075C4" w:rsidP="00F075C4">
            <w:pPr>
              <w:widowControl w:val="0"/>
              <w:autoSpaceDE w:val="0"/>
              <w:autoSpaceDN w:val="0"/>
              <w:adjustRightInd w:val="0"/>
              <w:jc w:val="right"/>
              <w:rPr>
                <w:rFonts w:ascii="Arial" w:eastAsia="Batang" w:hAnsi="Arial" w:cs="Arial"/>
                <w:b/>
                <w:bCs/>
                <w:color w:val="000000"/>
                <w:sz w:val="18"/>
                <w:szCs w:val="18"/>
              </w:rPr>
            </w:pPr>
            <w:r w:rsidRPr="00733C86">
              <w:rPr>
                <w:rFonts w:ascii="Arial" w:hAnsi="Arial" w:cs="Arial"/>
                <w:b/>
                <w:bCs/>
                <w:color w:val="000000"/>
                <w:sz w:val="18"/>
                <w:szCs w:val="18"/>
              </w:rPr>
              <w:t>42.072.737</w:t>
            </w:r>
          </w:p>
        </w:tc>
        <w:tc>
          <w:tcPr>
            <w:tcW w:w="1275" w:type="dxa"/>
            <w:tcBorders>
              <w:bottom w:val="single" w:sz="4" w:space="0" w:color="auto"/>
            </w:tcBorders>
            <w:vAlign w:val="bottom"/>
          </w:tcPr>
          <w:p w14:paraId="72461329" w14:textId="74781BB7" w:rsidR="00F075C4" w:rsidRPr="00733C86" w:rsidRDefault="00F075C4" w:rsidP="00F075C4">
            <w:pPr>
              <w:widowControl w:val="0"/>
              <w:autoSpaceDE w:val="0"/>
              <w:autoSpaceDN w:val="0"/>
              <w:adjustRightInd w:val="0"/>
              <w:jc w:val="right"/>
              <w:rPr>
                <w:rFonts w:ascii="Arial" w:eastAsia="Batang" w:hAnsi="Arial" w:cs="Arial"/>
                <w:noProof/>
                <w:sz w:val="18"/>
                <w:szCs w:val="18"/>
                <w:highlight w:val="yellow"/>
              </w:rPr>
            </w:pPr>
            <w:r w:rsidRPr="00733C86">
              <w:rPr>
                <w:rFonts w:ascii="Arial" w:hAnsi="Arial" w:cs="Arial"/>
                <w:b/>
                <w:bCs/>
                <w:color w:val="000000"/>
                <w:sz w:val="18"/>
                <w:szCs w:val="18"/>
              </w:rPr>
              <w:t>44.340.652</w:t>
            </w:r>
          </w:p>
        </w:tc>
      </w:tr>
      <w:tr w:rsidR="00F075C4" w:rsidRPr="00865094" w14:paraId="2B242A94" w14:textId="77777777" w:rsidTr="006637B6">
        <w:trPr>
          <w:trHeight w:val="170"/>
        </w:trPr>
        <w:tc>
          <w:tcPr>
            <w:tcW w:w="5240" w:type="dxa"/>
          </w:tcPr>
          <w:p w14:paraId="68CBA135" w14:textId="633F19B1"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45BDA409" w14:textId="46DD5299" w:rsidR="00F075C4" w:rsidRPr="00733C86" w:rsidRDefault="00F075C4" w:rsidP="00F075C4">
            <w:pPr>
              <w:widowControl w:val="0"/>
              <w:autoSpaceDE w:val="0"/>
              <w:autoSpaceDN w:val="0"/>
              <w:adjustRightInd w:val="0"/>
              <w:jc w:val="right"/>
              <w:rPr>
                <w:rFonts w:ascii="Arial" w:eastAsia="Batang" w:hAnsi="Arial" w:cs="Arial"/>
                <w:color w:val="000000"/>
                <w:sz w:val="18"/>
                <w:szCs w:val="18"/>
              </w:rPr>
            </w:pPr>
            <w:r w:rsidRPr="00733C86">
              <w:rPr>
                <w:rFonts w:ascii="Arial" w:hAnsi="Arial" w:cs="Arial"/>
                <w:color w:val="000000"/>
                <w:sz w:val="18"/>
                <w:szCs w:val="18"/>
              </w:rPr>
              <w:t>1.992.117</w:t>
            </w:r>
          </w:p>
        </w:tc>
        <w:tc>
          <w:tcPr>
            <w:tcW w:w="1275" w:type="dxa"/>
            <w:tcBorders>
              <w:top w:val="single" w:sz="4" w:space="0" w:color="auto"/>
            </w:tcBorders>
            <w:vAlign w:val="bottom"/>
          </w:tcPr>
          <w:p w14:paraId="174AC996" w14:textId="3ECC30E5" w:rsidR="00F075C4" w:rsidRPr="00733C86" w:rsidRDefault="00F075C4" w:rsidP="00F075C4">
            <w:pPr>
              <w:widowControl w:val="0"/>
              <w:autoSpaceDE w:val="0"/>
              <w:autoSpaceDN w:val="0"/>
              <w:adjustRightInd w:val="0"/>
              <w:jc w:val="right"/>
              <w:rPr>
                <w:rFonts w:ascii="Arial" w:eastAsia="Batang" w:hAnsi="Arial" w:cs="Arial"/>
                <w:noProof/>
                <w:sz w:val="18"/>
                <w:szCs w:val="18"/>
                <w:highlight w:val="yellow"/>
              </w:rPr>
            </w:pPr>
            <w:r w:rsidRPr="00733C86">
              <w:rPr>
                <w:rFonts w:ascii="Arial" w:hAnsi="Arial" w:cs="Arial"/>
                <w:color w:val="000000"/>
                <w:sz w:val="18"/>
                <w:szCs w:val="18"/>
              </w:rPr>
              <w:t>2.287.540</w:t>
            </w:r>
          </w:p>
        </w:tc>
      </w:tr>
      <w:tr w:rsidR="00F075C4" w:rsidRPr="00865094" w14:paraId="531FFF14" w14:textId="77777777" w:rsidTr="006637B6">
        <w:trPr>
          <w:trHeight w:val="170"/>
        </w:trPr>
        <w:tc>
          <w:tcPr>
            <w:tcW w:w="5240" w:type="dxa"/>
          </w:tcPr>
          <w:p w14:paraId="25823441" w14:textId="7FB75EC0"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26B8E3BC" w14:textId="33B6989E" w:rsidR="00F075C4" w:rsidRPr="00733C86" w:rsidRDefault="00F075C4" w:rsidP="00F075C4">
            <w:pPr>
              <w:widowControl w:val="0"/>
              <w:autoSpaceDE w:val="0"/>
              <w:autoSpaceDN w:val="0"/>
              <w:adjustRightInd w:val="0"/>
              <w:jc w:val="right"/>
              <w:rPr>
                <w:rFonts w:ascii="Arial" w:eastAsia="Batang" w:hAnsi="Arial" w:cs="Arial"/>
                <w:color w:val="000000"/>
                <w:sz w:val="18"/>
                <w:szCs w:val="18"/>
              </w:rPr>
            </w:pPr>
            <w:r w:rsidRPr="00733C86">
              <w:rPr>
                <w:rFonts w:ascii="Arial" w:hAnsi="Arial" w:cs="Arial"/>
                <w:color w:val="000000"/>
                <w:sz w:val="18"/>
                <w:szCs w:val="18"/>
              </w:rPr>
              <w:t>8.481.828</w:t>
            </w:r>
          </w:p>
        </w:tc>
        <w:tc>
          <w:tcPr>
            <w:tcW w:w="1275" w:type="dxa"/>
            <w:vAlign w:val="bottom"/>
          </w:tcPr>
          <w:p w14:paraId="1E0579D7" w14:textId="3A7C8CF2" w:rsidR="00F075C4" w:rsidRPr="00733C86" w:rsidRDefault="00F075C4" w:rsidP="00F075C4">
            <w:pPr>
              <w:widowControl w:val="0"/>
              <w:autoSpaceDE w:val="0"/>
              <w:autoSpaceDN w:val="0"/>
              <w:adjustRightInd w:val="0"/>
              <w:jc w:val="right"/>
              <w:rPr>
                <w:rFonts w:ascii="Arial" w:eastAsia="Batang" w:hAnsi="Arial" w:cs="Arial"/>
                <w:noProof/>
                <w:sz w:val="18"/>
                <w:szCs w:val="18"/>
                <w:highlight w:val="yellow"/>
              </w:rPr>
            </w:pPr>
            <w:r w:rsidRPr="00733C86">
              <w:rPr>
                <w:rFonts w:ascii="Arial" w:hAnsi="Arial" w:cs="Arial"/>
                <w:color w:val="000000"/>
                <w:sz w:val="18"/>
                <w:szCs w:val="18"/>
              </w:rPr>
              <w:t>9.384.827</w:t>
            </w:r>
          </w:p>
        </w:tc>
      </w:tr>
      <w:tr w:rsidR="00F075C4" w:rsidRPr="00865094" w14:paraId="4FA989BD" w14:textId="77777777" w:rsidTr="006637B6">
        <w:trPr>
          <w:trHeight w:val="170"/>
        </w:trPr>
        <w:tc>
          <w:tcPr>
            <w:tcW w:w="5240" w:type="dxa"/>
          </w:tcPr>
          <w:p w14:paraId="0D89712B" w14:textId="459AD22D"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3263890A" w14:textId="7F09A17D" w:rsidR="00F075C4" w:rsidRPr="00733C86" w:rsidRDefault="00F075C4" w:rsidP="00F075C4">
            <w:pPr>
              <w:widowControl w:val="0"/>
              <w:autoSpaceDE w:val="0"/>
              <w:autoSpaceDN w:val="0"/>
              <w:adjustRightInd w:val="0"/>
              <w:jc w:val="right"/>
              <w:rPr>
                <w:rFonts w:ascii="Arial" w:eastAsia="Batang" w:hAnsi="Arial" w:cs="Arial"/>
                <w:color w:val="000000"/>
                <w:sz w:val="18"/>
                <w:szCs w:val="18"/>
              </w:rPr>
            </w:pPr>
            <w:r w:rsidRPr="00733C86">
              <w:rPr>
                <w:rFonts w:ascii="Arial" w:hAnsi="Arial" w:cs="Arial"/>
                <w:color w:val="000000"/>
                <w:sz w:val="18"/>
                <w:szCs w:val="18"/>
              </w:rPr>
              <w:t>31.598.792</w:t>
            </w:r>
          </w:p>
        </w:tc>
        <w:tc>
          <w:tcPr>
            <w:tcW w:w="1275" w:type="dxa"/>
            <w:vAlign w:val="bottom"/>
          </w:tcPr>
          <w:p w14:paraId="2F8D029A" w14:textId="5737EBE4" w:rsidR="00F075C4" w:rsidRPr="00733C86" w:rsidRDefault="00F075C4" w:rsidP="00F075C4">
            <w:pPr>
              <w:widowControl w:val="0"/>
              <w:autoSpaceDE w:val="0"/>
              <w:autoSpaceDN w:val="0"/>
              <w:adjustRightInd w:val="0"/>
              <w:jc w:val="right"/>
              <w:rPr>
                <w:rFonts w:ascii="Arial" w:eastAsia="Batang" w:hAnsi="Arial" w:cs="Arial"/>
                <w:noProof/>
                <w:sz w:val="18"/>
                <w:szCs w:val="18"/>
                <w:highlight w:val="yellow"/>
              </w:rPr>
            </w:pPr>
            <w:r w:rsidRPr="00733C86">
              <w:rPr>
                <w:rFonts w:ascii="Arial" w:hAnsi="Arial" w:cs="Arial"/>
                <w:color w:val="000000"/>
                <w:sz w:val="18"/>
                <w:szCs w:val="18"/>
              </w:rPr>
              <w:t>32.668.285</w:t>
            </w:r>
          </w:p>
        </w:tc>
      </w:tr>
      <w:tr w:rsidR="000436E1" w:rsidRPr="00865094" w14:paraId="55E9D86E" w14:textId="77777777" w:rsidTr="00915F29">
        <w:trPr>
          <w:trHeight w:val="170"/>
        </w:trPr>
        <w:tc>
          <w:tcPr>
            <w:tcW w:w="5240" w:type="dxa"/>
          </w:tcPr>
          <w:p w14:paraId="69A50C76" w14:textId="77777777" w:rsidR="000436E1" w:rsidRPr="00865094" w:rsidRDefault="000436E1" w:rsidP="007F3EE6">
            <w:pPr>
              <w:ind w:firstLineChars="200" w:firstLine="360"/>
              <w:jc w:val="both"/>
              <w:rPr>
                <w:rFonts w:ascii="Arial" w:hAnsi="Arial" w:cs="Arial"/>
                <w:sz w:val="18"/>
                <w:szCs w:val="18"/>
              </w:rPr>
            </w:pPr>
          </w:p>
        </w:tc>
        <w:tc>
          <w:tcPr>
            <w:tcW w:w="1276" w:type="dxa"/>
          </w:tcPr>
          <w:p w14:paraId="7BDBF902"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40ECC261"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r>
      <w:tr w:rsidR="00F075C4" w:rsidRPr="00865094" w14:paraId="60132FAE" w14:textId="77777777" w:rsidTr="004F5C72">
        <w:trPr>
          <w:trHeight w:val="170"/>
        </w:trPr>
        <w:tc>
          <w:tcPr>
            <w:tcW w:w="5240" w:type="dxa"/>
          </w:tcPr>
          <w:p w14:paraId="3615EF8D" w14:textId="22EC835D" w:rsidR="00F075C4" w:rsidRPr="00865094" w:rsidRDefault="00F075C4" w:rsidP="00F075C4">
            <w:pPr>
              <w:jc w:val="both"/>
              <w:rPr>
                <w:rFonts w:ascii="Arial" w:hAnsi="Arial" w:cs="Arial"/>
                <w:b/>
                <w:bCs/>
                <w:sz w:val="18"/>
                <w:szCs w:val="18"/>
                <w:lang w:eastAsia="es-AR"/>
              </w:rPr>
            </w:pPr>
            <w:r w:rsidRPr="00865094">
              <w:rPr>
                <w:rFonts w:ascii="Arial" w:hAnsi="Arial" w:cs="Arial"/>
                <w:b/>
                <w:bCs/>
                <w:sz w:val="18"/>
                <w:szCs w:val="18"/>
              </w:rPr>
              <w:t>Con seguimiento especial</w:t>
            </w:r>
          </w:p>
        </w:tc>
        <w:tc>
          <w:tcPr>
            <w:tcW w:w="1276" w:type="dxa"/>
            <w:vAlign w:val="bottom"/>
          </w:tcPr>
          <w:p w14:paraId="7BB3E937" w14:textId="3AF9A808"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1.111.667</w:t>
            </w:r>
          </w:p>
        </w:tc>
        <w:tc>
          <w:tcPr>
            <w:tcW w:w="1275" w:type="dxa"/>
            <w:vAlign w:val="bottom"/>
          </w:tcPr>
          <w:p w14:paraId="4006CDD5" w14:textId="16B02010"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262.270</w:t>
            </w:r>
          </w:p>
        </w:tc>
      </w:tr>
      <w:tr w:rsidR="000436E1" w:rsidRPr="00865094" w14:paraId="0517F611" w14:textId="77777777" w:rsidTr="00915F29">
        <w:trPr>
          <w:trHeight w:val="170"/>
        </w:trPr>
        <w:tc>
          <w:tcPr>
            <w:tcW w:w="5240" w:type="dxa"/>
          </w:tcPr>
          <w:p w14:paraId="10BCC3E4" w14:textId="77777777" w:rsidR="000436E1" w:rsidRPr="00865094" w:rsidRDefault="000436E1" w:rsidP="007F3EE6">
            <w:pPr>
              <w:jc w:val="both"/>
              <w:rPr>
                <w:rFonts w:ascii="Arial" w:hAnsi="Arial" w:cs="Arial"/>
                <w:b/>
                <w:bCs/>
                <w:sz w:val="18"/>
                <w:szCs w:val="18"/>
              </w:rPr>
            </w:pPr>
          </w:p>
        </w:tc>
        <w:tc>
          <w:tcPr>
            <w:tcW w:w="1276" w:type="dxa"/>
          </w:tcPr>
          <w:p w14:paraId="34B3CA96"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706F9E47"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r>
      <w:tr w:rsidR="00F075C4" w:rsidRPr="00865094" w14:paraId="63B7664E" w14:textId="77777777" w:rsidTr="006637B6">
        <w:trPr>
          <w:trHeight w:val="170"/>
        </w:trPr>
        <w:tc>
          <w:tcPr>
            <w:tcW w:w="5240" w:type="dxa"/>
          </w:tcPr>
          <w:p w14:paraId="4A575FB4" w14:textId="25840B74" w:rsidR="00F075C4" w:rsidRPr="00865094" w:rsidRDefault="00F075C4" w:rsidP="00F075C4">
            <w:pPr>
              <w:ind w:firstLineChars="100" w:firstLine="181"/>
              <w:jc w:val="both"/>
              <w:rPr>
                <w:rFonts w:ascii="Arial" w:hAnsi="Arial" w:cs="Arial"/>
                <w:b/>
                <w:bCs/>
                <w:sz w:val="18"/>
                <w:szCs w:val="18"/>
                <w:lang w:eastAsia="es-AR"/>
              </w:rPr>
            </w:pPr>
            <w:r w:rsidRPr="00865094">
              <w:rPr>
                <w:rFonts w:ascii="Arial" w:hAnsi="Arial" w:cs="Arial"/>
                <w:b/>
                <w:bCs/>
                <w:sz w:val="18"/>
                <w:szCs w:val="18"/>
              </w:rPr>
              <w:t>En observación</w:t>
            </w:r>
          </w:p>
        </w:tc>
        <w:tc>
          <w:tcPr>
            <w:tcW w:w="1276" w:type="dxa"/>
            <w:tcBorders>
              <w:bottom w:val="single" w:sz="4" w:space="0" w:color="auto"/>
            </w:tcBorders>
            <w:vAlign w:val="bottom"/>
          </w:tcPr>
          <w:p w14:paraId="14FF5628" w14:textId="1CFE164F" w:rsidR="00F075C4" w:rsidRPr="00733C86" w:rsidRDefault="00F075C4" w:rsidP="00F075C4">
            <w:pPr>
              <w:widowControl w:val="0"/>
              <w:autoSpaceDE w:val="0"/>
              <w:autoSpaceDN w:val="0"/>
              <w:adjustRightInd w:val="0"/>
              <w:jc w:val="right"/>
              <w:rPr>
                <w:rFonts w:ascii="Arial" w:hAnsi="Arial" w:cs="Arial"/>
                <w:b/>
                <w:bCs/>
                <w:color w:val="000000"/>
                <w:sz w:val="18"/>
                <w:szCs w:val="18"/>
              </w:rPr>
            </w:pPr>
            <w:r w:rsidRPr="00733C86">
              <w:rPr>
                <w:rFonts w:ascii="Arial" w:hAnsi="Arial" w:cs="Arial"/>
                <w:b/>
                <w:bCs/>
                <w:color w:val="000000"/>
                <w:sz w:val="18"/>
                <w:szCs w:val="18"/>
              </w:rPr>
              <w:t>1.111.667</w:t>
            </w:r>
          </w:p>
        </w:tc>
        <w:tc>
          <w:tcPr>
            <w:tcW w:w="1275" w:type="dxa"/>
            <w:tcBorders>
              <w:bottom w:val="single" w:sz="4" w:space="0" w:color="auto"/>
            </w:tcBorders>
            <w:vAlign w:val="bottom"/>
          </w:tcPr>
          <w:p w14:paraId="2299073D" w14:textId="5AAA8E8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262.270</w:t>
            </w:r>
          </w:p>
        </w:tc>
      </w:tr>
      <w:tr w:rsidR="00F075C4" w:rsidRPr="00865094" w14:paraId="3357C35F" w14:textId="77777777" w:rsidTr="006637B6">
        <w:trPr>
          <w:trHeight w:val="170"/>
        </w:trPr>
        <w:tc>
          <w:tcPr>
            <w:tcW w:w="5240" w:type="dxa"/>
          </w:tcPr>
          <w:p w14:paraId="6A7901BE" w14:textId="7E00A5FA"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3F44BCE6" w14:textId="5C2B4D07" w:rsidR="00F075C4" w:rsidRPr="00733C86" w:rsidRDefault="00F075C4" w:rsidP="00F075C4">
            <w:pPr>
              <w:widowControl w:val="0"/>
              <w:autoSpaceDE w:val="0"/>
              <w:autoSpaceDN w:val="0"/>
              <w:adjustRightInd w:val="0"/>
              <w:jc w:val="right"/>
              <w:rPr>
                <w:rFonts w:ascii="Arial" w:hAnsi="Arial" w:cs="Arial"/>
                <w:bCs/>
                <w:color w:val="000000"/>
                <w:sz w:val="18"/>
                <w:szCs w:val="18"/>
              </w:rPr>
            </w:pPr>
            <w:r w:rsidRPr="00733C86">
              <w:rPr>
                <w:rFonts w:ascii="Arial" w:hAnsi="Arial" w:cs="Arial"/>
                <w:sz w:val="18"/>
                <w:szCs w:val="18"/>
              </w:rPr>
              <w:t xml:space="preserve">- </w:t>
            </w:r>
          </w:p>
        </w:tc>
        <w:tc>
          <w:tcPr>
            <w:tcW w:w="1275" w:type="dxa"/>
            <w:tcBorders>
              <w:top w:val="single" w:sz="4" w:space="0" w:color="auto"/>
            </w:tcBorders>
            <w:vAlign w:val="bottom"/>
          </w:tcPr>
          <w:p w14:paraId="4B0FAC74" w14:textId="0436D9E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11.513</w:t>
            </w:r>
          </w:p>
        </w:tc>
      </w:tr>
      <w:tr w:rsidR="00F075C4" w:rsidRPr="00865094" w14:paraId="69EBAB02" w14:textId="77777777" w:rsidTr="006637B6">
        <w:trPr>
          <w:trHeight w:val="170"/>
        </w:trPr>
        <w:tc>
          <w:tcPr>
            <w:tcW w:w="5240" w:type="dxa"/>
          </w:tcPr>
          <w:p w14:paraId="0464A3DB" w14:textId="0080DA4C"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23EEC853" w14:textId="4752ADB7" w:rsidR="00F075C4" w:rsidRPr="00733C86" w:rsidRDefault="00F075C4" w:rsidP="00F075C4">
            <w:pPr>
              <w:widowControl w:val="0"/>
              <w:autoSpaceDE w:val="0"/>
              <w:autoSpaceDN w:val="0"/>
              <w:adjustRightInd w:val="0"/>
              <w:jc w:val="right"/>
              <w:rPr>
                <w:rFonts w:ascii="Arial" w:hAnsi="Arial" w:cs="Arial"/>
                <w:bCs/>
                <w:color w:val="000000"/>
                <w:sz w:val="18"/>
                <w:szCs w:val="18"/>
              </w:rPr>
            </w:pPr>
            <w:r w:rsidRPr="00733C86">
              <w:rPr>
                <w:rFonts w:ascii="Arial" w:hAnsi="Arial" w:cs="Arial"/>
                <w:color w:val="000000"/>
                <w:sz w:val="18"/>
                <w:szCs w:val="18"/>
              </w:rPr>
              <w:t>926.703</w:t>
            </w:r>
          </w:p>
        </w:tc>
        <w:tc>
          <w:tcPr>
            <w:tcW w:w="1275" w:type="dxa"/>
            <w:vAlign w:val="bottom"/>
          </w:tcPr>
          <w:p w14:paraId="1A87E1BC" w14:textId="49DF18CD"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148.363</w:t>
            </w:r>
          </w:p>
        </w:tc>
      </w:tr>
      <w:tr w:rsidR="00F075C4" w:rsidRPr="00865094" w14:paraId="5CE2CE74" w14:textId="77777777" w:rsidTr="006637B6">
        <w:trPr>
          <w:trHeight w:val="170"/>
        </w:trPr>
        <w:tc>
          <w:tcPr>
            <w:tcW w:w="5240" w:type="dxa"/>
          </w:tcPr>
          <w:p w14:paraId="110C5108" w14:textId="79EC54FD"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208D6990" w14:textId="0EC749B7" w:rsidR="00F075C4" w:rsidRPr="00733C86" w:rsidRDefault="00F075C4" w:rsidP="00F075C4">
            <w:pPr>
              <w:widowControl w:val="0"/>
              <w:autoSpaceDE w:val="0"/>
              <w:autoSpaceDN w:val="0"/>
              <w:adjustRightInd w:val="0"/>
              <w:jc w:val="right"/>
              <w:rPr>
                <w:rFonts w:ascii="Arial" w:hAnsi="Arial" w:cs="Arial"/>
                <w:bCs/>
                <w:color w:val="000000"/>
                <w:sz w:val="18"/>
                <w:szCs w:val="18"/>
              </w:rPr>
            </w:pPr>
            <w:r w:rsidRPr="00733C86">
              <w:rPr>
                <w:rFonts w:ascii="Arial" w:hAnsi="Arial" w:cs="Arial"/>
                <w:color w:val="000000"/>
                <w:sz w:val="18"/>
                <w:szCs w:val="18"/>
              </w:rPr>
              <w:t>184.964</w:t>
            </w:r>
          </w:p>
        </w:tc>
        <w:tc>
          <w:tcPr>
            <w:tcW w:w="1275" w:type="dxa"/>
            <w:vAlign w:val="bottom"/>
          </w:tcPr>
          <w:p w14:paraId="6C1781FE" w14:textId="0E63B1C6"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102.394</w:t>
            </w:r>
          </w:p>
        </w:tc>
      </w:tr>
      <w:tr w:rsidR="006E32E6" w:rsidRPr="00865094" w14:paraId="2572B3AD" w14:textId="77777777" w:rsidTr="006637B6">
        <w:trPr>
          <w:trHeight w:val="170"/>
        </w:trPr>
        <w:tc>
          <w:tcPr>
            <w:tcW w:w="5240" w:type="dxa"/>
          </w:tcPr>
          <w:p w14:paraId="725F5C57" w14:textId="77777777" w:rsidR="006E32E6" w:rsidRPr="00865094" w:rsidRDefault="006E32E6" w:rsidP="007F3EE6">
            <w:pPr>
              <w:ind w:firstLineChars="200" w:firstLine="360"/>
              <w:jc w:val="both"/>
              <w:rPr>
                <w:rFonts w:ascii="Arial" w:hAnsi="Arial" w:cs="Arial"/>
                <w:sz w:val="18"/>
                <w:szCs w:val="18"/>
              </w:rPr>
            </w:pPr>
          </w:p>
        </w:tc>
        <w:tc>
          <w:tcPr>
            <w:tcW w:w="1276" w:type="dxa"/>
            <w:vAlign w:val="bottom"/>
          </w:tcPr>
          <w:p w14:paraId="4F666A91" w14:textId="77777777" w:rsidR="006E32E6" w:rsidRPr="00733C86" w:rsidRDefault="006E32E6" w:rsidP="004C5A96">
            <w:pPr>
              <w:widowControl w:val="0"/>
              <w:autoSpaceDE w:val="0"/>
              <w:autoSpaceDN w:val="0"/>
              <w:adjustRightInd w:val="0"/>
              <w:jc w:val="right"/>
              <w:rPr>
                <w:rFonts w:ascii="Arial" w:hAnsi="Arial" w:cs="Arial"/>
                <w:bCs/>
                <w:color w:val="000000"/>
                <w:sz w:val="18"/>
                <w:szCs w:val="18"/>
              </w:rPr>
            </w:pPr>
          </w:p>
        </w:tc>
        <w:tc>
          <w:tcPr>
            <w:tcW w:w="1275" w:type="dxa"/>
            <w:vAlign w:val="bottom"/>
          </w:tcPr>
          <w:p w14:paraId="27132B59" w14:textId="77777777" w:rsidR="006E32E6" w:rsidRPr="00733C86" w:rsidRDefault="006E32E6" w:rsidP="004C5A96">
            <w:pPr>
              <w:widowControl w:val="0"/>
              <w:autoSpaceDE w:val="0"/>
              <w:autoSpaceDN w:val="0"/>
              <w:adjustRightInd w:val="0"/>
              <w:jc w:val="right"/>
              <w:rPr>
                <w:rFonts w:ascii="Arial" w:hAnsi="Arial" w:cs="Arial"/>
                <w:color w:val="000000"/>
                <w:sz w:val="18"/>
                <w:szCs w:val="18"/>
              </w:rPr>
            </w:pPr>
          </w:p>
        </w:tc>
      </w:tr>
      <w:tr w:rsidR="00F075C4" w:rsidRPr="004C5A96" w14:paraId="6A944ABC" w14:textId="77777777" w:rsidTr="006637B6">
        <w:trPr>
          <w:trHeight w:val="170"/>
        </w:trPr>
        <w:tc>
          <w:tcPr>
            <w:tcW w:w="5240" w:type="dxa"/>
          </w:tcPr>
          <w:p w14:paraId="0417289D" w14:textId="4160A4AD" w:rsidR="00F075C4" w:rsidRPr="00865094" w:rsidRDefault="00F075C4" w:rsidP="00F075C4">
            <w:pPr>
              <w:ind w:firstLineChars="100" w:firstLine="181"/>
              <w:jc w:val="both"/>
              <w:rPr>
                <w:rFonts w:ascii="Arial" w:hAnsi="Arial" w:cs="Arial"/>
                <w:b/>
                <w:bCs/>
                <w:sz w:val="18"/>
                <w:szCs w:val="18"/>
                <w:lang w:eastAsia="es-AR"/>
              </w:rPr>
            </w:pPr>
            <w:r w:rsidRPr="00865094">
              <w:rPr>
                <w:rFonts w:ascii="Arial" w:hAnsi="Arial" w:cs="Arial"/>
                <w:b/>
                <w:bCs/>
                <w:sz w:val="18"/>
                <w:szCs w:val="18"/>
              </w:rPr>
              <w:t>En negociación o con acuerdos de refinanciación</w:t>
            </w:r>
          </w:p>
        </w:tc>
        <w:tc>
          <w:tcPr>
            <w:tcW w:w="1276" w:type="dxa"/>
            <w:tcBorders>
              <w:bottom w:val="single" w:sz="4" w:space="0" w:color="auto"/>
            </w:tcBorders>
            <w:vAlign w:val="bottom"/>
          </w:tcPr>
          <w:p w14:paraId="077DB4CE" w14:textId="24A757DA" w:rsidR="00F075C4" w:rsidRPr="00733C86" w:rsidRDefault="00F075C4" w:rsidP="00F075C4">
            <w:pPr>
              <w:widowControl w:val="0"/>
              <w:autoSpaceDE w:val="0"/>
              <w:autoSpaceDN w:val="0"/>
              <w:adjustRightInd w:val="0"/>
              <w:jc w:val="right"/>
              <w:rPr>
                <w:rFonts w:ascii="Arial" w:hAnsi="Arial" w:cs="Arial"/>
                <w:noProof/>
                <w:sz w:val="18"/>
                <w:szCs w:val="18"/>
              </w:rPr>
            </w:pPr>
            <w:r w:rsidRPr="00733C86">
              <w:rPr>
                <w:rFonts w:ascii="Arial" w:hAnsi="Arial" w:cs="Arial"/>
                <w:b/>
                <w:bCs/>
                <w:sz w:val="18"/>
                <w:szCs w:val="18"/>
              </w:rPr>
              <w:t xml:space="preserve">- </w:t>
            </w:r>
          </w:p>
        </w:tc>
        <w:tc>
          <w:tcPr>
            <w:tcW w:w="1275" w:type="dxa"/>
            <w:tcBorders>
              <w:bottom w:val="single" w:sz="4" w:space="0" w:color="auto"/>
            </w:tcBorders>
            <w:vAlign w:val="bottom"/>
          </w:tcPr>
          <w:p w14:paraId="7C8DE4ED" w14:textId="42E20B81"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sz w:val="18"/>
                <w:szCs w:val="18"/>
              </w:rPr>
              <w:t xml:space="preserve">- </w:t>
            </w:r>
          </w:p>
        </w:tc>
      </w:tr>
      <w:tr w:rsidR="00F075C4" w:rsidRPr="004C5A96" w14:paraId="423BBC27" w14:textId="77777777" w:rsidTr="006637B6">
        <w:trPr>
          <w:trHeight w:val="170"/>
        </w:trPr>
        <w:tc>
          <w:tcPr>
            <w:tcW w:w="5240" w:type="dxa"/>
          </w:tcPr>
          <w:p w14:paraId="11F7BB42" w14:textId="42FB650E"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67D780D5" w14:textId="74E02E60" w:rsidR="00F075C4" w:rsidRPr="00733C86" w:rsidRDefault="00F075C4" w:rsidP="00F075C4">
            <w:pPr>
              <w:widowControl w:val="0"/>
              <w:autoSpaceDE w:val="0"/>
              <w:autoSpaceDN w:val="0"/>
              <w:adjustRightInd w:val="0"/>
              <w:jc w:val="right"/>
              <w:rPr>
                <w:rFonts w:ascii="Arial" w:hAnsi="Arial" w:cs="Arial"/>
                <w:noProof/>
                <w:sz w:val="18"/>
                <w:szCs w:val="18"/>
              </w:rPr>
            </w:pPr>
            <w:r w:rsidRPr="00733C86">
              <w:rPr>
                <w:rFonts w:ascii="Arial" w:hAnsi="Arial" w:cs="Arial"/>
                <w:sz w:val="18"/>
                <w:szCs w:val="18"/>
              </w:rPr>
              <w:t xml:space="preserve">- </w:t>
            </w:r>
          </w:p>
        </w:tc>
        <w:tc>
          <w:tcPr>
            <w:tcW w:w="1275" w:type="dxa"/>
            <w:tcBorders>
              <w:top w:val="single" w:sz="4" w:space="0" w:color="auto"/>
            </w:tcBorders>
            <w:vAlign w:val="bottom"/>
          </w:tcPr>
          <w:p w14:paraId="51764B83" w14:textId="576002E6"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 </w:t>
            </w:r>
          </w:p>
        </w:tc>
      </w:tr>
      <w:tr w:rsidR="00F075C4" w:rsidRPr="004C5A96" w14:paraId="284D1DFE" w14:textId="77777777" w:rsidTr="006637B6">
        <w:trPr>
          <w:trHeight w:val="170"/>
        </w:trPr>
        <w:tc>
          <w:tcPr>
            <w:tcW w:w="5240" w:type="dxa"/>
          </w:tcPr>
          <w:p w14:paraId="08ADFCA9" w14:textId="32912014"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15C2A6BB" w14:textId="195C0C4C" w:rsidR="00F075C4" w:rsidRPr="00733C86" w:rsidRDefault="00F075C4" w:rsidP="00F075C4">
            <w:pPr>
              <w:widowControl w:val="0"/>
              <w:autoSpaceDE w:val="0"/>
              <w:autoSpaceDN w:val="0"/>
              <w:adjustRightInd w:val="0"/>
              <w:jc w:val="right"/>
              <w:rPr>
                <w:rFonts w:ascii="Arial" w:hAnsi="Arial" w:cs="Arial"/>
                <w:noProof/>
                <w:sz w:val="18"/>
                <w:szCs w:val="18"/>
              </w:rPr>
            </w:pPr>
            <w:r w:rsidRPr="00733C86">
              <w:rPr>
                <w:rFonts w:ascii="Arial" w:hAnsi="Arial" w:cs="Arial"/>
                <w:sz w:val="18"/>
                <w:szCs w:val="18"/>
              </w:rPr>
              <w:t xml:space="preserve">- </w:t>
            </w:r>
          </w:p>
        </w:tc>
        <w:tc>
          <w:tcPr>
            <w:tcW w:w="1275" w:type="dxa"/>
            <w:vAlign w:val="bottom"/>
          </w:tcPr>
          <w:p w14:paraId="67830469" w14:textId="7B5071CF"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 </w:t>
            </w:r>
          </w:p>
        </w:tc>
      </w:tr>
      <w:tr w:rsidR="00F075C4" w:rsidRPr="004C5A96" w14:paraId="4D7E78F4" w14:textId="77777777" w:rsidTr="006637B6">
        <w:trPr>
          <w:trHeight w:val="170"/>
        </w:trPr>
        <w:tc>
          <w:tcPr>
            <w:tcW w:w="5240" w:type="dxa"/>
          </w:tcPr>
          <w:p w14:paraId="318457B1" w14:textId="339A4B7A"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3D24E08A" w14:textId="582B06DD" w:rsidR="00F075C4" w:rsidRPr="00733C86" w:rsidRDefault="00F075C4" w:rsidP="00F075C4">
            <w:pPr>
              <w:widowControl w:val="0"/>
              <w:autoSpaceDE w:val="0"/>
              <w:autoSpaceDN w:val="0"/>
              <w:adjustRightInd w:val="0"/>
              <w:jc w:val="right"/>
              <w:rPr>
                <w:rFonts w:ascii="Arial" w:hAnsi="Arial" w:cs="Arial"/>
                <w:noProof/>
                <w:sz w:val="18"/>
                <w:szCs w:val="18"/>
              </w:rPr>
            </w:pPr>
            <w:r w:rsidRPr="00733C86">
              <w:rPr>
                <w:rFonts w:ascii="Arial" w:hAnsi="Arial" w:cs="Arial"/>
                <w:sz w:val="18"/>
                <w:szCs w:val="18"/>
              </w:rPr>
              <w:t xml:space="preserve">- </w:t>
            </w:r>
          </w:p>
        </w:tc>
        <w:tc>
          <w:tcPr>
            <w:tcW w:w="1275" w:type="dxa"/>
            <w:vAlign w:val="bottom"/>
          </w:tcPr>
          <w:p w14:paraId="4AC6F3A9" w14:textId="05B31F16"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 </w:t>
            </w:r>
          </w:p>
        </w:tc>
      </w:tr>
      <w:tr w:rsidR="000436E1" w:rsidRPr="00865094" w14:paraId="218C9AE4" w14:textId="77777777" w:rsidTr="0084060D">
        <w:trPr>
          <w:trHeight w:val="170"/>
        </w:trPr>
        <w:tc>
          <w:tcPr>
            <w:tcW w:w="5240" w:type="dxa"/>
          </w:tcPr>
          <w:p w14:paraId="4DC0AF26" w14:textId="77777777" w:rsidR="000436E1" w:rsidRPr="00865094" w:rsidRDefault="000436E1" w:rsidP="007F3EE6">
            <w:pPr>
              <w:jc w:val="both"/>
              <w:rPr>
                <w:rFonts w:ascii="Arial" w:hAnsi="Arial" w:cs="Arial"/>
                <w:b/>
                <w:bCs/>
                <w:sz w:val="18"/>
                <w:szCs w:val="18"/>
              </w:rPr>
            </w:pPr>
          </w:p>
        </w:tc>
        <w:tc>
          <w:tcPr>
            <w:tcW w:w="1276" w:type="dxa"/>
          </w:tcPr>
          <w:p w14:paraId="740C1C51"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0FA755A0"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r>
      <w:tr w:rsidR="00F075C4" w:rsidRPr="00865094" w14:paraId="4FAE7041" w14:textId="77777777" w:rsidTr="0084060D">
        <w:trPr>
          <w:trHeight w:val="170"/>
        </w:trPr>
        <w:tc>
          <w:tcPr>
            <w:tcW w:w="5240" w:type="dxa"/>
          </w:tcPr>
          <w:p w14:paraId="2806F1B3" w14:textId="67C69776" w:rsidR="00F075C4" w:rsidRPr="00865094" w:rsidRDefault="00F075C4" w:rsidP="00F075C4">
            <w:pPr>
              <w:ind w:firstLineChars="100" w:firstLine="181"/>
              <w:jc w:val="both"/>
              <w:rPr>
                <w:rFonts w:ascii="Arial" w:hAnsi="Arial" w:cs="Arial"/>
                <w:b/>
                <w:bCs/>
                <w:sz w:val="18"/>
                <w:szCs w:val="18"/>
              </w:rPr>
            </w:pPr>
            <w:r w:rsidRPr="0084060D">
              <w:rPr>
                <w:rFonts w:ascii="Arial" w:hAnsi="Arial" w:cs="Arial"/>
                <w:b/>
                <w:bCs/>
                <w:sz w:val="18"/>
                <w:szCs w:val="18"/>
              </w:rPr>
              <w:t>En tratamiento especial</w:t>
            </w:r>
          </w:p>
        </w:tc>
        <w:tc>
          <w:tcPr>
            <w:tcW w:w="1276" w:type="dxa"/>
            <w:tcBorders>
              <w:bottom w:val="single" w:sz="4" w:space="0" w:color="auto"/>
            </w:tcBorders>
            <w:vAlign w:val="bottom"/>
          </w:tcPr>
          <w:p w14:paraId="2D73178D" w14:textId="1C655FAE" w:rsidR="00F075C4" w:rsidRPr="00733C86" w:rsidRDefault="00F075C4" w:rsidP="00F075C4">
            <w:pPr>
              <w:widowControl w:val="0"/>
              <w:autoSpaceDE w:val="0"/>
              <w:autoSpaceDN w:val="0"/>
              <w:adjustRightInd w:val="0"/>
              <w:ind w:firstLineChars="100" w:firstLine="181"/>
              <w:jc w:val="right"/>
              <w:rPr>
                <w:rFonts w:ascii="Arial" w:hAnsi="Arial" w:cs="Arial"/>
                <w:b/>
                <w:bCs/>
                <w:sz w:val="18"/>
                <w:szCs w:val="18"/>
              </w:rPr>
            </w:pPr>
            <w:r w:rsidRPr="00733C86">
              <w:rPr>
                <w:rFonts w:ascii="Arial" w:hAnsi="Arial" w:cs="Arial"/>
                <w:b/>
                <w:bCs/>
                <w:sz w:val="18"/>
                <w:szCs w:val="18"/>
              </w:rPr>
              <w:t xml:space="preserve">- </w:t>
            </w:r>
          </w:p>
        </w:tc>
        <w:tc>
          <w:tcPr>
            <w:tcW w:w="1275" w:type="dxa"/>
            <w:tcBorders>
              <w:bottom w:val="single" w:sz="4" w:space="0" w:color="auto"/>
            </w:tcBorders>
            <w:vAlign w:val="bottom"/>
          </w:tcPr>
          <w:p w14:paraId="335B468D" w14:textId="781456B9" w:rsidR="00F075C4" w:rsidRPr="00733C86" w:rsidRDefault="00F075C4" w:rsidP="00F075C4">
            <w:pPr>
              <w:widowControl w:val="0"/>
              <w:autoSpaceDE w:val="0"/>
              <w:autoSpaceDN w:val="0"/>
              <w:adjustRightInd w:val="0"/>
              <w:ind w:firstLineChars="100" w:firstLine="181"/>
              <w:jc w:val="right"/>
              <w:rPr>
                <w:rFonts w:ascii="Arial" w:hAnsi="Arial" w:cs="Arial"/>
                <w:b/>
                <w:bCs/>
                <w:sz w:val="18"/>
                <w:szCs w:val="18"/>
              </w:rPr>
            </w:pPr>
            <w:r w:rsidRPr="00733C86">
              <w:rPr>
                <w:rFonts w:ascii="Arial" w:hAnsi="Arial" w:cs="Arial"/>
                <w:b/>
                <w:bCs/>
                <w:sz w:val="18"/>
                <w:szCs w:val="18"/>
              </w:rPr>
              <w:t xml:space="preserve">- </w:t>
            </w:r>
          </w:p>
        </w:tc>
      </w:tr>
      <w:tr w:rsidR="00F075C4" w:rsidRPr="00865094" w14:paraId="0051280F" w14:textId="77777777" w:rsidTr="0084060D">
        <w:trPr>
          <w:trHeight w:val="170"/>
        </w:trPr>
        <w:tc>
          <w:tcPr>
            <w:tcW w:w="5240" w:type="dxa"/>
          </w:tcPr>
          <w:p w14:paraId="72155011" w14:textId="60BF84F4" w:rsidR="00F075C4" w:rsidRPr="0084060D" w:rsidRDefault="00F075C4" w:rsidP="00F075C4">
            <w:pPr>
              <w:ind w:firstLineChars="200" w:firstLine="360"/>
              <w:jc w:val="both"/>
              <w:rPr>
                <w:rFonts w:ascii="Arial" w:hAnsi="Arial" w:cs="Arial"/>
                <w:sz w:val="18"/>
                <w:szCs w:val="18"/>
              </w:rPr>
            </w:pPr>
            <w:r w:rsidRPr="0084060D">
              <w:rPr>
                <w:rFonts w:ascii="Arial" w:hAnsi="Arial" w:cs="Arial"/>
                <w:sz w:val="18"/>
                <w:szCs w:val="18"/>
              </w:rPr>
              <w:t>Con garantías y contragarantías preferidas "A"</w:t>
            </w:r>
          </w:p>
        </w:tc>
        <w:tc>
          <w:tcPr>
            <w:tcW w:w="1276" w:type="dxa"/>
            <w:tcBorders>
              <w:top w:val="single" w:sz="4" w:space="0" w:color="auto"/>
            </w:tcBorders>
            <w:vAlign w:val="bottom"/>
          </w:tcPr>
          <w:p w14:paraId="36AD8FF1" w14:textId="3F4FE01B" w:rsidR="00F075C4" w:rsidRPr="00733C86" w:rsidRDefault="00F075C4" w:rsidP="00F075C4">
            <w:pPr>
              <w:widowControl w:val="0"/>
              <w:autoSpaceDE w:val="0"/>
              <w:autoSpaceDN w:val="0"/>
              <w:adjustRightInd w:val="0"/>
              <w:ind w:firstLineChars="100" w:firstLine="180"/>
              <w:jc w:val="right"/>
              <w:rPr>
                <w:rFonts w:ascii="Arial" w:hAnsi="Arial" w:cs="Arial"/>
                <w:b/>
                <w:bCs/>
                <w:sz w:val="18"/>
                <w:szCs w:val="18"/>
              </w:rPr>
            </w:pPr>
            <w:r w:rsidRPr="00733C86">
              <w:rPr>
                <w:rFonts w:ascii="Arial" w:hAnsi="Arial" w:cs="Arial"/>
                <w:sz w:val="18"/>
                <w:szCs w:val="18"/>
              </w:rPr>
              <w:t xml:space="preserve">- </w:t>
            </w:r>
          </w:p>
        </w:tc>
        <w:tc>
          <w:tcPr>
            <w:tcW w:w="1275" w:type="dxa"/>
            <w:tcBorders>
              <w:top w:val="single" w:sz="4" w:space="0" w:color="auto"/>
            </w:tcBorders>
            <w:vAlign w:val="bottom"/>
          </w:tcPr>
          <w:p w14:paraId="3B77DC74" w14:textId="76555109" w:rsidR="00F075C4" w:rsidRPr="00733C86" w:rsidRDefault="00F075C4" w:rsidP="00F075C4">
            <w:pPr>
              <w:widowControl w:val="0"/>
              <w:autoSpaceDE w:val="0"/>
              <w:autoSpaceDN w:val="0"/>
              <w:adjustRightInd w:val="0"/>
              <w:ind w:firstLineChars="100" w:firstLine="180"/>
              <w:jc w:val="right"/>
              <w:rPr>
                <w:rFonts w:ascii="Arial" w:hAnsi="Arial" w:cs="Arial"/>
                <w:b/>
                <w:bCs/>
                <w:sz w:val="18"/>
                <w:szCs w:val="18"/>
              </w:rPr>
            </w:pPr>
            <w:r w:rsidRPr="00733C86">
              <w:rPr>
                <w:rFonts w:ascii="Arial" w:hAnsi="Arial" w:cs="Arial"/>
                <w:sz w:val="18"/>
                <w:szCs w:val="18"/>
              </w:rPr>
              <w:t xml:space="preserve">- </w:t>
            </w:r>
          </w:p>
        </w:tc>
      </w:tr>
      <w:tr w:rsidR="00F075C4" w:rsidRPr="00865094" w14:paraId="1754AE28" w14:textId="77777777" w:rsidTr="0084060D">
        <w:trPr>
          <w:trHeight w:val="170"/>
        </w:trPr>
        <w:tc>
          <w:tcPr>
            <w:tcW w:w="5240" w:type="dxa"/>
          </w:tcPr>
          <w:p w14:paraId="447A79BA" w14:textId="2E5C6FDD" w:rsidR="00F075C4" w:rsidRPr="0084060D" w:rsidRDefault="00F075C4" w:rsidP="00F075C4">
            <w:pPr>
              <w:ind w:firstLineChars="200" w:firstLine="360"/>
              <w:jc w:val="both"/>
              <w:rPr>
                <w:rFonts w:ascii="Arial" w:hAnsi="Arial" w:cs="Arial"/>
                <w:sz w:val="18"/>
                <w:szCs w:val="18"/>
              </w:rPr>
            </w:pPr>
            <w:r w:rsidRPr="0084060D">
              <w:rPr>
                <w:rFonts w:ascii="Arial" w:hAnsi="Arial" w:cs="Arial"/>
                <w:sz w:val="18"/>
                <w:szCs w:val="18"/>
              </w:rPr>
              <w:t>Con garantías y contragarantías preferidas "B"</w:t>
            </w:r>
          </w:p>
        </w:tc>
        <w:tc>
          <w:tcPr>
            <w:tcW w:w="1276" w:type="dxa"/>
            <w:vAlign w:val="bottom"/>
          </w:tcPr>
          <w:p w14:paraId="299CA9D8" w14:textId="4212AF52" w:rsidR="00F075C4" w:rsidRPr="00733C86" w:rsidRDefault="00F075C4" w:rsidP="00F075C4">
            <w:pPr>
              <w:widowControl w:val="0"/>
              <w:autoSpaceDE w:val="0"/>
              <w:autoSpaceDN w:val="0"/>
              <w:adjustRightInd w:val="0"/>
              <w:ind w:firstLineChars="100" w:firstLine="180"/>
              <w:jc w:val="right"/>
              <w:rPr>
                <w:rFonts w:ascii="Arial" w:hAnsi="Arial" w:cs="Arial"/>
                <w:b/>
                <w:bCs/>
                <w:sz w:val="18"/>
                <w:szCs w:val="18"/>
              </w:rPr>
            </w:pPr>
            <w:r w:rsidRPr="00733C86">
              <w:rPr>
                <w:rFonts w:ascii="Arial" w:hAnsi="Arial" w:cs="Arial"/>
                <w:sz w:val="18"/>
                <w:szCs w:val="18"/>
              </w:rPr>
              <w:t xml:space="preserve">- </w:t>
            </w:r>
          </w:p>
        </w:tc>
        <w:tc>
          <w:tcPr>
            <w:tcW w:w="1275" w:type="dxa"/>
            <w:vAlign w:val="bottom"/>
          </w:tcPr>
          <w:p w14:paraId="7A2C7A17" w14:textId="61DCA9BD" w:rsidR="00F075C4" w:rsidRPr="00733C86" w:rsidRDefault="00F075C4" w:rsidP="00F075C4">
            <w:pPr>
              <w:widowControl w:val="0"/>
              <w:autoSpaceDE w:val="0"/>
              <w:autoSpaceDN w:val="0"/>
              <w:adjustRightInd w:val="0"/>
              <w:ind w:firstLineChars="100" w:firstLine="180"/>
              <w:jc w:val="right"/>
              <w:rPr>
                <w:rFonts w:ascii="Arial" w:hAnsi="Arial" w:cs="Arial"/>
                <w:b/>
                <w:bCs/>
                <w:sz w:val="18"/>
                <w:szCs w:val="18"/>
              </w:rPr>
            </w:pPr>
            <w:r w:rsidRPr="00733C86">
              <w:rPr>
                <w:rFonts w:ascii="Arial" w:hAnsi="Arial" w:cs="Arial"/>
                <w:sz w:val="18"/>
                <w:szCs w:val="18"/>
              </w:rPr>
              <w:t xml:space="preserve">- </w:t>
            </w:r>
          </w:p>
        </w:tc>
      </w:tr>
      <w:tr w:rsidR="00F075C4" w:rsidRPr="00865094" w14:paraId="4B22C51D" w14:textId="77777777" w:rsidTr="0084060D">
        <w:trPr>
          <w:trHeight w:val="170"/>
        </w:trPr>
        <w:tc>
          <w:tcPr>
            <w:tcW w:w="5240" w:type="dxa"/>
          </w:tcPr>
          <w:p w14:paraId="26A9FA4B" w14:textId="2B3C485A" w:rsidR="00F075C4" w:rsidRPr="0084060D" w:rsidRDefault="00F075C4" w:rsidP="00F075C4">
            <w:pPr>
              <w:ind w:firstLineChars="200" w:firstLine="360"/>
              <w:jc w:val="both"/>
              <w:rPr>
                <w:rFonts w:ascii="Arial" w:hAnsi="Arial" w:cs="Arial"/>
                <w:sz w:val="18"/>
                <w:szCs w:val="18"/>
              </w:rPr>
            </w:pPr>
            <w:r w:rsidRPr="0084060D">
              <w:rPr>
                <w:rFonts w:ascii="Arial" w:hAnsi="Arial" w:cs="Arial"/>
                <w:sz w:val="18"/>
                <w:szCs w:val="18"/>
              </w:rPr>
              <w:t>Sin garantías ni contragarantías preferidas</w:t>
            </w:r>
          </w:p>
        </w:tc>
        <w:tc>
          <w:tcPr>
            <w:tcW w:w="1276" w:type="dxa"/>
            <w:vAlign w:val="bottom"/>
          </w:tcPr>
          <w:p w14:paraId="61F3C6D7" w14:textId="6968A667" w:rsidR="00F075C4" w:rsidRPr="00733C86" w:rsidRDefault="00F075C4" w:rsidP="00F075C4">
            <w:pPr>
              <w:widowControl w:val="0"/>
              <w:autoSpaceDE w:val="0"/>
              <w:autoSpaceDN w:val="0"/>
              <w:adjustRightInd w:val="0"/>
              <w:ind w:firstLineChars="100" w:firstLine="180"/>
              <w:jc w:val="right"/>
              <w:rPr>
                <w:rFonts w:ascii="Arial" w:hAnsi="Arial" w:cs="Arial"/>
                <w:b/>
                <w:bCs/>
                <w:sz w:val="18"/>
                <w:szCs w:val="18"/>
              </w:rPr>
            </w:pPr>
            <w:r w:rsidRPr="00733C86">
              <w:rPr>
                <w:rFonts w:ascii="Arial" w:hAnsi="Arial" w:cs="Arial"/>
                <w:sz w:val="18"/>
                <w:szCs w:val="18"/>
              </w:rPr>
              <w:t xml:space="preserve">- </w:t>
            </w:r>
          </w:p>
        </w:tc>
        <w:tc>
          <w:tcPr>
            <w:tcW w:w="1275" w:type="dxa"/>
            <w:vAlign w:val="bottom"/>
          </w:tcPr>
          <w:p w14:paraId="60201DC4" w14:textId="6EC4A916" w:rsidR="00F075C4" w:rsidRPr="00733C86" w:rsidRDefault="00F075C4" w:rsidP="00F075C4">
            <w:pPr>
              <w:widowControl w:val="0"/>
              <w:autoSpaceDE w:val="0"/>
              <w:autoSpaceDN w:val="0"/>
              <w:adjustRightInd w:val="0"/>
              <w:ind w:firstLineChars="100" w:firstLine="180"/>
              <w:jc w:val="right"/>
              <w:rPr>
                <w:rFonts w:ascii="Arial" w:hAnsi="Arial" w:cs="Arial"/>
                <w:b/>
                <w:bCs/>
                <w:sz w:val="18"/>
                <w:szCs w:val="18"/>
              </w:rPr>
            </w:pPr>
            <w:r w:rsidRPr="00733C86">
              <w:rPr>
                <w:rFonts w:ascii="Arial" w:hAnsi="Arial" w:cs="Arial"/>
                <w:sz w:val="18"/>
                <w:szCs w:val="18"/>
              </w:rPr>
              <w:t xml:space="preserve">- </w:t>
            </w:r>
          </w:p>
        </w:tc>
      </w:tr>
      <w:tr w:rsidR="0084060D" w:rsidRPr="00865094" w14:paraId="5269A4CE" w14:textId="77777777" w:rsidTr="0084060D">
        <w:trPr>
          <w:trHeight w:val="170"/>
        </w:trPr>
        <w:tc>
          <w:tcPr>
            <w:tcW w:w="5240" w:type="dxa"/>
          </w:tcPr>
          <w:p w14:paraId="0FF0CC5E" w14:textId="77777777" w:rsidR="0084060D" w:rsidRPr="00865094" w:rsidRDefault="0084060D" w:rsidP="007F3EE6">
            <w:pPr>
              <w:jc w:val="both"/>
              <w:rPr>
                <w:rFonts w:ascii="Arial" w:hAnsi="Arial" w:cs="Arial"/>
                <w:b/>
                <w:bCs/>
                <w:sz w:val="18"/>
                <w:szCs w:val="18"/>
              </w:rPr>
            </w:pPr>
          </w:p>
        </w:tc>
        <w:tc>
          <w:tcPr>
            <w:tcW w:w="1276" w:type="dxa"/>
            <w:vAlign w:val="bottom"/>
          </w:tcPr>
          <w:p w14:paraId="23DCFC08" w14:textId="77777777" w:rsidR="0084060D" w:rsidRPr="00733C86" w:rsidRDefault="0084060D" w:rsidP="004C5A96">
            <w:pPr>
              <w:widowControl w:val="0"/>
              <w:autoSpaceDE w:val="0"/>
              <w:autoSpaceDN w:val="0"/>
              <w:adjustRightInd w:val="0"/>
              <w:jc w:val="right"/>
              <w:rPr>
                <w:rFonts w:ascii="Arial" w:hAnsi="Arial" w:cs="Arial"/>
                <w:noProof/>
                <w:sz w:val="18"/>
                <w:szCs w:val="18"/>
              </w:rPr>
            </w:pPr>
          </w:p>
        </w:tc>
        <w:tc>
          <w:tcPr>
            <w:tcW w:w="1275" w:type="dxa"/>
            <w:vAlign w:val="bottom"/>
          </w:tcPr>
          <w:p w14:paraId="6FBD7620" w14:textId="77777777" w:rsidR="0084060D" w:rsidRPr="00733C86" w:rsidRDefault="0084060D" w:rsidP="004C5A96">
            <w:pPr>
              <w:widowControl w:val="0"/>
              <w:autoSpaceDE w:val="0"/>
              <w:autoSpaceDN w:val="0"/>
              <w:adjustRightInd w:val="0"/>
              <w:jc w:val="right"/>
              <w:rPr>
                <w:rFonts w:ascii="Arial" w:hAnsi="Arial" w:cs="Arial"/>
                <w:noProof/>
                <w:sz w:val="18"/>
                <w:szCs w:val="18"/>
              </w:rPr>
            </w:pPr>
          </w:p>
        </w:tc>
      </w:tr>
      <w:tr w:rsidR="00F075C4" w:rsidRPr="00865094" w14:paraId="6E09C87B" w14:textId="77777777" w:rsidTr="0084060D">
        <w:trPr>
          <w:trHeight w:val="170"/>
        </w:trPr>
        <w:tc>
          <w:tcPr>
            <w:tcW w:w="5240" w:type="dxa"/>
          </w:tcPr>
          <w:p w14:paraId="2C6A57EE" w14:textId="64773F15" w:rsidR="00F075C4" w:rsidRPr="00865094" w:rsidRDefault="00F075C4" w:rsidP="00F075C4">
            <w:pPr>
              <w:jc w:val="both"/>
              <w:rPr>
                <w:rFonts w:ascii="Arial" w:hAnsi="Arial" w:cs="Arial"/>
                <w:b/>
                <w:bCs/>
                <w:sz w:val="18"/>
                <w:szCs w:val="18"/>
                <w:lang w:eastAsia="es-AR"/>
              </w:rPr>
            </w:pPr>
            <w:r w:rsidRPr="00865094">
              <w:rPr>
                <w:rFonts w:ascii="Arial" w:hAnsi="Arial" w:cs="Arial"/>
                <w:b/>
                <w:bCs/>
                <w:sz w:val="18"/>
                <w:szCs w:val="18"/>
              </w:rPr>
              <w:t>Con problemas</w:t>
            </w:r>
          </w:p>
        </w:tc>
        <w:tc>
          <w:tcPr>
            <w:tcW w:w="1276" w:type="dxa"/>
            <w:tcBorders>
              <w:bottom w:val="single" w:sz="4" w:space="0" w:color="auto"/>
            </w:tcBorders>
            <w:vAlign w:val="bottom"/>
          </w:tcPr>
          <w:p w14:paraId="06BC17A9" w14:textId="16675647"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244.876</w:t>
            </w:r>
          </w:p>
        </w:tc>
        <w:tc>
          <w:tcPr>
            <w:tcW w:w="1275" w:type="dxa"/>
            <w:tcBorders>
              <w:bottom w:val="single" w:sz="4" w:space="0" w:color="auto"/>
            </w:tcBorders>
            <w:vAlign w:val="bottom"/>
          </w:tcPr>
          <w:p w14:paraId="78E46BD5" w14:textId="1565AB73"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107.746</w:t>
            </w:r>
          </w:p>
        </w:tc>
      </w:tr>
      <w:tr w:rsidR="00F075C4" w:rsidRPr="00865094" w14:paraId="33EFD141" w14:textId="77777777" w:rsidTr="006637B6">
        <w:trPr>
          <w:trHeight w:val="170"/>
        </w:trPr>
        <w:tc>
          <w:tcPr>
            <w:tcW w:w="5240" w:type="dxa"/>
          </w:tcPr>
          <w:p w14:paraId="085D0B80" w14:textId="1525C159"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748EE7DE" w14:textId="786F2374"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3.256</w:t>
            </w:r>
          </w:p>
        </w:tc>
        <w:tc>
          <w:tcPr>
            <w:tcW w:w="1275" w:type="dxa"/>
            <w:tcBorders>
              <w:top w:val="single" w:sz="4" w:space="0" w:color="auto"/>
            </w:tcBorders>
            <w:vAlign w:val="bottom"/>
          </w:tcPr>
          <w:p w14:paraId="29621C99" w14:textId="5AB020AF"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6.610 </w:t>
            </w:r>
          </w:p>
        </w:tc>
      </w:tr>
      <w:tr w:rsidR="00F075C4" w:rsidRPr="00865094" w14:paraId="072ADD9D" w14:textId="77777777" w:rsidTr="006637B6">
        <w:trPr>
          <w:trHeight w:val="170"/>
        </w:trPr>
        <w:tc>
          <w:tcPr>
            <w:tcW w:w="5240" w:type="dxa"/>
          </w:tcPr>
          <w:p w14:paraId="123B82E2" w14:textId="4BF4C5F0"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"B"</w:t>
            </w:r>
          </w:p>
        </w:tc>
        <w:tc>
          <w:tcPr>
            <w:tcW w:w="1276" w:type="dxa"/>
            <w:vAlign w:val="bottom"/>
          </w:tcPr>
          <w:p w14:paraId="1018CA88" w14:textId="31E2CA0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112.633</w:t>
            </w:r>
          </w:p>
        </w:tc>
        <w:tc>
          <w:tcPr>
            <w:tcW w:w="1275" w:type="dxa"/>
            <w:vAlign w:val="bottom"/>
          </w:tcPr>
          <w:p w14:paraId="221E8040" w14:textId="646DD41F"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40.666 </w:t>
            </w:r>
          </w:p>
        </w:tc>
      </w:tr>
      <w:tr w:rsidR="00F075C4" w:rsidRPr="00865094" w14:paraId="1DB6D72E" w14:textId="77777777" w:rsidTr="006637B6">
        <w:trPr>
          <w:trHeight w:val="170"/>
        </w:trPr>
        <w:tc>
          <w:tcPr>
            <w:tcW w:w="5240" w:type="dxa"/>
          </w:tcPr>
          <w:p w14:paraId="5C68A789" w14:textId="08361CF4"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35F017B3" w14:textId="646F9814"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128.987</w:t>
            </w:r>
          </w:p>
        </w:tc>
        <w:tc>
          <w:tcPr>
            <w:tcW w:w="1275" w:type="dxa"/>
            <w:vAlign w:val="bottom"/>
          </w:tcPr>
          <w:p w14:paraId="56C9FB34" w14:textId="282A29E8"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60.470 </w:t>
            </w:r>
          </w:p>
        </w:tc>
      </w:tr>
      <w:tr w:rsidR="000436E1" w:rsidRPr="00865094" w14:paraId="07842D6E" w14:textId="77777777" w:rsidTr="00915F29">
        <w:trPr>
          <w:trHeight w:val="170"/>
        </w:trPr>
        <w:tc>
          <w:tcPr>
            <w:tcW w:w="5240" w:type="dxa"/>
          </w:tcPr>
          <w:p w14:paraId="60BEA8F0" w14:textId="77777777" w:rsidR="000436E1" w:rsidRPr="00865094" w:rsidRDefault="000436E1" w:rsidP="007F3EE6">
            <w:pPr>
              <w:jc w:val="both"/>
              <w:rPr>
                <w:rFonts w:ascii="Arial" w:hAnsi="Arial" w:cs="Arial"/>
                <w:b/>
                <w:bCs/>
                <w:sz w:val="18"/>
                <w:szCs w:val="18"/>
              </w:rPr>
            </w:pPr>
          </w:p>
        </w:tc>
        <w:tc>
          <w:tcPr>
            <w:tcW w:w="1276" w:type="dxa"/>
          </w:tcPr>
          <w:p w14:paraId="0D63EE3C"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4DB72E9D"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r>
      <w:tr w:rsidR="00F075C4" w:rsidRPr="00865094" w14:paraId="7F8E1A56" w14:textId="77777777" w:rsidTr="004F5C72">
        <w:trPr>
          <w:trHeight w:val="170"/>
        </w:trPr>
        <w:tc>
          <w:tcPr>
            <w:tcW w:w="5240" w:type="dxa"/>
          </w:tcPr>
          <w:p w14:paraId="0A69B8A9" w14:textId="09AEE7C5" w:rsidR="00F075C4" w:rsidRPr="00865094" w:rsidRDefault="00F075C4" w:rsidP="00F075C4">
            <w:pPr>
              <w:jc w:val="both"/>
              <w:rPr>
                <w:rFonts w:ascii="Arial" w:hAnsi="Arial" w:cs="Arial"/>
                <w:b/>
                <w:bCs/>
                <w:sz w:val="18"/>
                <w:szCs w:val="18"/>
                <w:lang w:eastAsia="es-AR"/>
              </w:rPr>
            </w:pPr>
            <w:r w:rsidRPr="00865094">
              <w:rPr>
                <w:rFonts w:ascii="Arial" w:hAnsi="Arial" w:cs="Arial"/>
                <w:b/>
                <w:bCs/>
                <w:sz w:val="18"/>
                <w:szCs w:val="18"/>
              </w:rPr>
              <w:t>Con alto riesgo de insolvencia</w:t>
            </w:r>
          </w:p>
        </w:tc>
        <w:tc>
          <w:tcPr>
            <w:tcW w:w="1276" w:type="dxa"/>
            <w:tcBorders>
              <w:bottom w:val="single" w:sz="4" w:space="0" w:color="auto"/>
            </w:tcBorders>
            <w:vAlign w:val="bottom"/>
          </w:tcPr>
          <w:p w14:paraId="14DDE0AC" w14:textId="0C47494A"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color w:val="000000"/>
                <w:sz w:val="18"/>
                <w:szCs w:val="18"/>
              </w:rPr>
              <w:t>3.570.477</w:t>
            </w:r>
          </w:p>
        </w:tc>
        <w:tc>
          <w:tcPr>
            <w:tcW w:w="1275" w:type="dxa"/>
            <w:tcBorders>
              <w:bottom w:val="single" w:sz="4" w:space="0" w:color="auto"/>
            </w:tcBorders>
            <w:vAlign w:val="bottom"/>
          </w:tcPr>
          <w:p w14:paraId="1F00DF95" w14:textId="25D35F65"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color w:val="000000"/>
                <w:sz w:val="18"/>
                <w:szCs w:val="18"/>
              </w:rPr>
              <w:t>3.880.371</w:t>
            </w:r>
          </w:p>
        </w:tc>
      </w:tr>
      <w:tr w:rsidR="00F075C4" w:rsidRPr="00865094" w14:paraId="025FFFBC" w14:textId="77777777" w:rsidTr="004F5C72">
        <w:trPr>
          <w:trHeight w:val="170"/>
        </w:trPr>
        <w:tc>
          <w:tcPr>
            <w:tcW w:w="5240" w:type="dxa"/>
          </w:tcPr>
          <w:p w14:paraId="099552D3" w14:textId="33E52ED7"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40972C9D" w14:textId="38FF726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 </w:t>
            </w:r>
          </w:p>
        </w:tc>
        <w:tc>
          <w:tcPr>
            <w:tcW w:w="1275" w:type="dxa"/>
            <w:tcBorders>
              <w:top w:val="single" w:sz="4" w:space="0" w:color="auto"/>
            </w:tcBorders>
            <w:vAlign w:val="bottom"/>
          </w:tcPr>
          <w:p w14:paraId="02975336" w14:textId="3AD54CB6"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20.379 </w:t>
            </w:r>
          </w:p>
        </w:tc>
      </w:tr>
      <w:tr w:rsidR="00F075C4" w:rsidRPr="00865094" w14:paraId="55871118" w14:textId="77777777" w:rsidTr="004F5C72">
        <w:trPr>
          <w:trHeight w:val="170"/>
        </w:trPr>
        <w:tc>
          <w:tcPr>
            <w:tcW w:w="5240" w:type="dxa"/>
          </w:tcPr>
          <w:p w14:paraId="27F5C54A" w14:textId="085A672A"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1A9E7B95" w14:textId="23ECB3C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1.461.720</w:t>
            </w:r>
          </w:p>
        </w:tc>
        <w:tc>
          <w:tcPr>
            <w:tcW w:w="1275" w:type="dxa"/>
            <w:vAlign w:val="bottom"/>
          </w:tcPr>
          <w:p w14:paraId="4CF7B27C" w14:textId="4ABA25C6"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1.502.709 </w:t>
            </w:r>
          </w:p>
        </w:tc>
      </w:tr>
      <w:tr w:rsidR="00F075C4" w:rsidRPr="00865094" w14:paraId="732B76A5" w14:textId="77777777" w:rsidTr="004F5C72">
        <w:trPr>
          <w:trHeight w:val="170"/>
        </w:trPr>
        <w:tc>
          <w:tcPr>
            <w:tcW w:w="5240" w:type="dxa"/>
          </w:tcPr>
          <w:p w14:paraId="39A79B96" w14:textId="779709A6"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6E08A979" w14:textId="6247EB27"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color w:val="000000"/>
                <w:sz w:val="18"/>
                <w:szCs w:val="18"/>
              </w:rPr>
              <w:t>2.108.757</w:t>
            </w:r>
          </w:p>
        </w:tc>
        <w:tc>
          <w:tcPr>
            <w:tcW w:w="1275" w:type="dxa"/>
            <w:vAlign w:val="bottom"/>
          </w:tcPr>
          <w:p w14:paraId="5D5A7AF2" w14:textId="7C152948"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2.357.283 </w:t>
            </w:r>
          </w:p>
        </w:tc>
      </w:tr>
      <w:tr w:rsidR="000436E1" w:rsidRPr="00865094" w14:paraId="59880E3E" w14:textId="77777777" w:rsidTr="00915F29">
        <w:trPr>
          <w:trHeight w:val="170"/>
        </w:trPr>
        <w:tc>
          <w:tcPr>
            <w:tcW w:w="5240" w:type="dxa"/>
          </w:tcPr>
          <w:p w14:paraId="7F821561" w14:textId="77777777" w:rsidR="000436E1" w:rsidRPr="00865094" w:rsidRDefault="000436E1" w:rsidP="007F3EE6">
            <w:pPr>
              <w:jc w:val="both"/>
              <w:rPr>
                <w:rFonts w:ascii="Arial" w:hAnsi="Arial" w:cs="Arial"/>
                <w:b/>
                <w:bCs/>
                <w:sz w:val="18"/>
                <w:szCs w:val="18"/>
              </w:rPr>
            </w:pPr>
          </w:p>
        </w:tc>
        <w:tc>
          <w:tcPr>
            <w:tcW w:w="1276" w:type="dxa"/>
          </w:tcPr>
          <w:p w14:paraId="3C7B2100"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5AADD317"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r>
      <w:tr w:rsidR="00F075C4" w:rsidRPr="00865094" w14:paraId="4FBB6BFE" w14:textId="77777777" w:rsidTr="006637B6">
        <w:trPr>
          <w:trHeight w:val="170"/>
        </w:trPr>
        <w:tc>
          <w:tcPr>
            <w:tcW w:w="5240" w:type="dxa"/>
          </w:tcPr>
          <w:p w14:paraId="657384E3" w14:textId="1B883FEB" w:rsidR="00F075C4" w:rsidRPr="00865094" w:rsidRDefault="00F075C4" w:rsidP="00F075C4">
            <w:pPr>
              <w:jc w:val="both"/>
              <w:rPr>
                <w:rFonts w:ascii="Arial" w:hAnsi="Arial" w:cs="Arial"/>
                <w:b/>
                <w:bCs/>
                <w:sz w:val="18"/>
                <w:szCs w:val="18"/>
                <w:lang w:eastAsia="es-AR"/>
              </w:rPr>
            </w:pPr>
            <w:r w:rsidRPr="00865094">
              <w:rPr>
                <w:rFonts w:ascii="Arial" w:hAnsi="Arial" w:cs="Arial"/>
                <w:b/>
                <w:bCs/>
                <w:sz w:val="18"/>
                <w:szCs w:val="18"/>
              </w:rPr>
              <w:t>Irrecuperable</w:t>
            </w:r>
          </w:p>
        </w:tc>
        <w:tc>
          <w:tcPr>
            <w:tcW w:w="1276" w:type="dxa"/>
            <w:tcBorders>
              <w:bottom w:val="single" w:sz="4" w:space="0" w:color="auto"/>
            </w:tcBorders>
            <w:vAlign w:val="bottom"/>
          </w:tcPr>
          <w:p w14:paraId="1BBDD681" w14:textId="7939753F"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11.746</w:t>
            </w:r>
          </w:p>
        </w:tc>
        <w:tc>
          <w:tcPr>
            <w:tcW w:w="1275" w:type="dxa"/>
            <w:tcBorders>
              <w:bottom w:val="single" w:sz="4" w:space="0" w:color="auto"/>
            </w:tcBorders>
            <w:vAlign w:val="bottom"/>
          </w:tcPr>
          <w:p w14:paraId="5CDAC4C4" w14:textId="2C53EA73"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22.995</w:t>
            </w:r>
          </w:p>
        </w:tc>
      </w:tr>
      <w:tr w:rsidR="00F075C4" w:rsidRPr="00865094" w14:paraId="689B0F62" w14:textId="77777777" w:rsidTr="006637B6">
        <w:trPr>
          <w:trHeight w:val="170"/>
        </w:trPr>
        <w:tc>
          <w:tcPr>
            <w:tcW w:w="5240" w:type="dxa"/>
          </w:tcPr>
          <w:p w14:paraId="734BFA82" w14:textId="74C743FD"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44D65380" w14:textId="2A55FB4C"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 </w:t>
            </w:r>
          </w:p>
        </w:tc>
        <w:tc>
          <w:tcPr>
            <w:tcW w:w="1275" w:type="dxa"/>
            <w:tcBorders>
              <w:top w:val="single" w:sz="4" w:space="0" w:color="auto"/>
            </w:tcBorders>
            <w:vAlign w:val="bottom"/>
          </w:tcPr>
          <w:p w14:paraId="6D4E1C28" w14:textId="3F964AF5"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 </w:t>
            </w:r>
          </w:p>
        </w:tc>
      </w:tr>
      <w:tr w:rsidR="00F075C4" w:rsidRPr="00865094" w14:paraId="5DF964E7" w14:textId="77777777" w:rsidTr="006637B6">
        <w:trPr>
          <w:trHeight w:val="170"/>
        </w:trPr>
        <w:tc>
          <w:tcPr>
            <w:tcW w:w="5240" w:type="dxa"/>
          </w:tcPr>
          <w:p w14:paraId="1FAA0F53" w14:textId="048EC925"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5A1AAC22" w14:textId="03C66343"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1.551</w:t>
            </w:r>
          </w:p>
        </w:tc>
        <w:tc>
          <w:tcPr>
            <w:tcW w:w="1275" w:type="dxa"/>
            <w:vAlign w:val="bottom"/>
          </w:tcPr>
          <w:p w14:paraId="4C4A6B0B" w14:textId="6CDAB50A"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1.672 </w:t>
            </w:r>
          </w:p>
        </w:tc>
      </w:tr>
      <w:tr w:rsidR="00F075C4" w:rsidRPr="00865094" w14:paraId="1CB6FA4D" w14:textId="77777777" w:rsidTr="006637B6">
        <w:trPr>
          <w:trHeight w:val="170"/>
        </w:trPr>
        <w:tc>
          <w:tcPr>
            <w:tcW w:w="5240" w:type="dxa"/>
          </w:tcPr>
          <w:p w14:paraId="43A0DEF0" w14:textId="0AA20462" w:rsidR="00F075C4" w:rsidRPr="00865094" w:rsidRDefault="00F075C4" w:rsidP="00F075C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0D95820B" w14:textId="1D602736"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10.195</w:t>
            </w:r>
          </w:p>
        </w:tc>
        <w:tc>
          <w:tcPr>
            <w:tcW w:w="1275" w:type="dxa"/>
            <w:vAlign w:val="bottom"/>
          </w:tcPr>
          <w:p w14:paraId="3BAAA634" w14:textId="0CCD0FB9"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21.323 </w:t>
            </w:r>
          </w:p>
        </w:tc>
      </w:tr>
      <w:tr w:rsidR="000436E1" w:rsidRPr="00865094" w14:paraId="1D8AB7F4" w14:textId="77777777" w:rsidTr="00915F29">
        <w:trPr>
          <w:trHeight w:val="170"/>
        </w:trPr>
        <w:tc>
          <w:tcPr>
            <w:tcW w:w="5240" w:type="dxa"/>
          </w:tcPr>
          <w:p w14:paraId="733AACCC" w14:textId="77777777" w:rsidR="000436E1" w:rsidRPr="00865094" w:rsidRDefault="000436E1" w:rsidP="000436E1">
            <w:pPr>
              <w:jc w:val="both"/>
              <w:rPr>
                <w:rFonts w:ascii="Arial" w:hAnsi="Arial" w:cs="Arial"/>
                <w:b/>
                <w:bCs/>
                <w:sz w:val="18"/>
                <w:szCs w:val="18"/>
              </w:rPr>
            </w:pPr>
          </w:p>
        </w:tc>
        <w:tc>
          <w:tcPr>
            <w:tcW w:w="1276" w:type="dxa"/>
          </w:tcPr>
          <w:p w14:paraId="2D040B64"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0F35C9C8"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r>
      <w:tr w:rsidR="000436E1" w:rsidRPr="00865094" w14:paraId="47D8FB66" w14:textId="77777777" w:rsidTr="00915F29">
        <w:trPr>
          <w:trHeight w:val="80"/>
        </w:trPr>
        <w:tc>
          <w:tcPr>
            <w:tcW w:w="5240" w:type="dxa"/>
            <w:tcBorders>
              <w:bottom w:val="single" w:sz="4" w:space="0" w:color="auto"/>
            </w:tcBorders>
          </w:tcPr>
          <w:p w14:paraId="4C40281C" w14:textId="77777777" w:rsidR="000436E1" w:rsidRPr="00865094" w:rsidRDefault="000436E1" w:rsidP="000436E1">
            <w:pPr>
              <w:ind w:firstLineChars="200" w:firstLine="360"/>
              <w:jc w:val="both"/>
              <w:rPr>
                <w:rFonts w:ascii="Arial" w:hAnsi="Arial" w:cs="Arial"/>
                <w:sz w:val="18"/>
                <w:szCs w:val="18"/>
              </w:rPr>
            </w:pPr>
          </w:p>
        </w:tc>
        <w:tc>
          <w:tcPr>
            <w:tcW w:w="1276" w:type="dxa"/>
            <w:tcBorders>
              <w:bottom w:val="single" w:sz="4" w:space="0" w:color="auto"/>
            </w:tcBorders>
          </w:tcPr>
          <w:p w14:paraId="544F91D6"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Borders>
              <w:bottom w:val="single" w:sz="4" w:space="0" w:color="auto"/>
            </w:tcBorders>
          </w:tcPr>
          <w:p w14:paraId="0B9AAC84" w14:textId="77777777" w:rsidR="000436E1" w:rsidRPr="00733C86" w:rsidRDefault="000436E1" w:rsidP="008D0F76">
            <w:pPr>
              <w:widowControl w:val="0"/>
              <w:autoSpaceDE w:val="0"/>
              <w:autoSpaceDN w:val="0"/>
              <w:adjustRightInd w:val="0"/>
              <w:jc w:val="both"/>
              <w:rPr>
                <w:rFonts w:ascii="Arial" w:hAnsi="Arial" w:cs="Arial"/>
                <w:noProof/>
                <w:sz w:val="18"/>
                <w:szCs w:val="18"/>
                <w:highlight w:val="yellow"/>
              </w:rPr>
            </w:pPr>
          </w:p>
        </w:tc>
      </w:tr>
      <w:tr w:rsidR="00F075C4" w:rsidRPr="00865094" w14:paraId="6EB9CDD5" w14:textId="77777777" w:rsidTr="006637B6">
        <w:tc>
          <w:tcPr>
            <w:tcW w:w="5240" w:type="dxa"/>
            <w:tcBorders>
              <w:top w:val="single" w:sz="4" w:space="0" w:color="auto"/>
              <w:bottom w:val="single" w:sz="4" w:space="0" w:color="auto"/>
            </w:tcBorders>
          </w:tcPr>
          <w:p w14:paraId="09A9F0A3" w14:textId="26B1F2A0" w:rsidR="00F075C4" w:rsidRPr="00865094" w:rsidRDefault="00F075C4" w:rsidP="00F075C4">
            <w:pPr>
              <w:jc w:val="both"/>
              <w:rPr>
                <w:rFonts w:ascii="Arial" w:hAnsi="Arial" w:cs="Arial"/>
                <w:b/>
                <w:bCs/>
                <w:sz w:val="18"/>
                <w:szCs w:val="18"/>
                <w:lang w:eastAsia="es-AR"/>
              </w:rPr>
            </w:pPr>
            <w:r w:rsidRPr="00865094">
              <w:rPr>
                <w:rFonts w:ascii="Arial" w:hAnsi="Arial" w:cs="Arial"/>
                <w:b/>
                <w:bCs/>
                <w:sz w:val="18"/>
                <w:szCs w:val="18"/>
              </w:rPr>
              <w:t>TOTAL</w:t>
            </w:r>
          </w:p>
        </w:tc>
        <w:tc>
          <w:tcPr>
            <w:tcW w:w="1276" w:type="dxa"/>
            <w:tcBorders>
              <w:top w:val="single" w:sz="4" w:space="0" w:color="auto"/>
              <w:bottom w:val="single" w:sz="4" w:space="0" w:color="auto"/>
            </w:tcBorders>
            <w:vAlign w:val="center"/>
          </w:tcPr>
          <w:p w14:paraId="5781599B" w14:textId="395F10D3" w:rsidR="00F075C4" w:rsidRPr="00733C86" w:rsidRDefault="00F075C4" w:rsidP="00F075C4">
            <w:pPr>
              <w:jc w:val="right"/>
              <w:rPr>
                <w:rFonts w:ascii="Arial" w:hAnsi="Arial" w:cs="Arial"/>
                <w:b/>
                <w:bCs/>
                <w:color w:val="000000"/>
                <w:sz w:val="18"/>
                <w:szCs w:val="18"/>
              </w:rPr>
            </w:pPr>
            <w:r w:rsidRPr="00733C86">
              <w:rPr>
                <w:rFonts w:ascii="Arial" w:hAnsi="Arial" w:cs="Arial"/>
                <w:b/>
                <w:bCs/>
                <w:color w:val="000000"/>
                <w:sz w:val="18"/>
                <w:szCs w:val="18"/>
              </w:rPr>
              <w:t>47.011.503</w:t>
            </w:r>
          </w:p>
        </w:tc>
        <w:tc>
          <w:tcPr>
            <w:tcW w:w="1275" w:type="dxa"/>
            <w:tcBorders>
              <w:top w:val="single" w:sz="4" w:space="0" w:color="auto"/>
              <w:bottom w:val="single" w:sz="4" w:space="0" w:color="auto"/>
            </w:tcBorders>
            <w:vAlign w:val="center"/>
          </w:tcPr>
          <w:p w14:paraId="18577896" w14:textId="0F154041"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b/>
                <w:bCs/>
                <w:color w:val="000000"/>
                <w:sz w:val="18"/>
                <w:szCs w:val="18"/>
              </w:rPr>
              <w:t>48.614.034</w:t>
            </w:r>
          </w:p>
        </w:tc>
      </w:tr>
      <w:tr w:rsidR="007F3EE6" w:rsidRPr="00865094" w14:paraId="65E475CD" w14:textId="77777777" w:rsidTr="00915F29">
        <w:tc>
          <w:tcPr>
            <w:tcW w:w="5240" w:type="dxa"/>
            <w:tcBorders>
              <w:top w:val="single" w:sz="4" w:space="0" w:color="auto"/>
            </w:tcBorders>
          </w:tcPr>
          <w:p w14:paraId="691A5F2F" w14:textId="77777777" w:rsidR="007F3EE6" w:rsidRPr="00865094" w:rsidRDefault="007F3EE6" w:rsidP="008D0F76">
            <w:pPr>
              <w:widowControl w:val="0"/>
              <w:autoSpaceDE w:val="0"/>
              <w:autoSpaceDN w:val="0"/>
              <w:adjustRightInd w:val="0"/>
              <w:jc w:val="both"/>
              <w:rPr>
                <w:rFonts w:ascii="Arial" w:hAnsi="Arial" w:cs="Arial"/>
                <w:noProof/>
                <w:sz w:val="18"/>
                <w:szCs w:val="18"/>
                <w:highlight w:val="yellow"/>
              </w:rPr>
            </w:pPr>
          </w:p>
        </w:tc>
        <w:tc>
          <w:tcPr>
            <w:tcW w:w="1276" w:type="dxa"/>
            <w:tcBorders>
              <w:top w:val="single" w:sz="4" w:space="0" w:color="auto"/>
            </w:tcBorders>
          </w:tcPr>
          <w:p w14:paraId="33C28330" w14:textId="77777777" w:rsidR="007F3EE6" w:rsidRPr="00865094" w:rsidRDefault="007F3EE6" w:rsidP="008D0F76">
            <w:pPr>
              <w:widowControl w:val="0"/>
              <w:autoSpaceDE w:val="0"/>
              <w:autoSpaceDN w:val="0"/>
              <w:adjustRightInd w:val="0"/>
              <w:jc w:val="both"/>
              <w:rPr>
                <w:rFonts w:ascii="Arial" w:hAnsi="Arial" w:cs="Arial"/>
                <w:noProof/>
                <w:sz w:val="18"/>
                <w:szCs w:val="18"/>
                <w:highlight w:val="yellow"/>
              </w:rPr>
            </w:pPr>
          </w:p>
        </w:tc>
        <w:tc>
          <w:tcPr>
            <w:tcW w:w="1275" w:type="dxa"/>
            <w:tcBorders>
              <w:top w:val="single" w:sz="4" w:space="0" w:color="auto"/>
            </w:tcBorders>
          </w:tcPr>
          <w:p w14:paraId="482F9E9B" w14:textId="77777777" w:rsidR="007F3EE6" w:rsidRPr="00865094" w:rsidRDefault="007F3EE6" w:rsidP="008D0F76">
            <w:pPr>
              <w:widowControl w:val="0"/>
              <w:autoSpaceDE w:val="0"/>
              <w:autoSpaceDN w:val="0"/>
              <w:adjustRightInd w:val="0"/>
              <w:jc w:val="both"/>
              <w:rPr>
                <w:rFonts w:ascii="Arial" w:hAnsi="Arial" w:cs="Arial"/>
                <w:noProof/>
                <w:sz w:val="18"/>
                <w:szCs w:val="18"/>
                <w:highlight w:val="yellow"/>
              </w:rPr>
            </w:pPr>
          </w:p>
        </w:tc>
      </w:tr>
      <w:bookmarkEnd w:id="36"/>
    </w:tbl>
    <w:p w14:paraId="6E766513" w14:textId="5635C6AA" w:rsidR="007E64FE" w:rsidRPr="00701F32" w:rsidRDefault="007E64FE" w:rsidP="00675A40">
      <w:pPr>
        <w:rPr>
          <w:sz w:val="20"/>
          <w:lang w:eastAsia="es-AR"/>
        </w:rPr>
      </w:pPr>
    </w:p>
    <w:p w14:paraId="323879E3" w14:textId="371E3270" w:rsidR="00125098" w:rsidRDefault="00125098">
      <w:pPr>
        <w:rPr>
          <w:sz w:val="20"/>
          <w:lang w:eastAsia="es-AR"/>
        </w:rPr>
      </w:pPr>
      <w:r>
        <w:rPr>
          <w:sz w:val="20"/>
          <w:lang w:eastAsia="es-AR"/>
        </w:rPr>
        <w:br w:type="page"/>
      </w:r>
    </w:p>
    <w:p w14:paraId="1C81C9FB" w14:textId="77777777" w:rsidR="000618A3" w:rsidRPr="00701F32" w:rsidRDefault="000618A3" w:rsidP="00675A40">
      <w:pPr>
        <w:rPr>
          <w:sz w:val="20"/>
          <w:lang w:eastAsia="es-AR"/>
        </w:rPr>
      </w:pPr>
    </w:p>
    <w:tbl>
      <w:tblPr>
        <w:tblStyle w:val="TableGrid"/>
        <w:tblW w:w="779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1417"/>
        <w:gridCol w:w="1418"/>
      </w:tblGrid>
      <w:tr w:rsidR="00915F29" w14:paraId="2666C3F2" w14:textId="77777777" w:rsidTr="003C2633">
        <w:tc>
          <w:tcPr>
            <w:tcW w:w="4957" w:type="dxa"/>
            <w:tcBorders>
              <w:top w:val="single" w:sz="4" w:space="0" w:color="auto"/>
              <w:left w:val="single" w:sz="4" w:space="0" w:color="auto"/>
              <w:bottom w:val="single" w:sz="4" w:space="0" w:color="auto"/>
            </w:tcBorders>
            <w:shd w:val="clear" w:color="auto" w:fill="BFBFBF" w:themeFill="background1" w:themeFillShade="BF"/>
          </w:tcPr>
          <w:p w14:paraId="79E2C362" w14:textId="77777777" w:rsidR="00915F29" w:rsidRPr="007B34B2" w:rsidRDefault="00915F29" w:rsidP="00AA40A5">
            <w:pPr>
              <w:widowControl w:val="0"/>
              <w:autoSpaceDE w:val="0"/>
              <w:autoSpaceDN w:val="0"/>
              <w:adjustRightInd w:val="0"/>
              <w:jc w:val="center"/>
              <w:rPr>
                <w:rFonts w:ascii="Arial" w:hAnsi="Arial" w:cs="Arial"/>
                <w:b/>
                <w:noProof/>
                <w:sz w:val="18"/>
                <w:szCs w:val="18"/>
              </w:rPr>
            </w:pPr>
            <w:bookmarkStart w:id="38" w:name="_Hlk9948019"/>
            <w:r w:rsidRPr="007B34B2">
              <w:rPr>
                <w:rFonts w:ascii="Arial" w:hAnsi="Arial" w:cs="Arial"/>
                <w:b/>
                <w:noProof/>
                <w:sz w:val="18"/>
                <w:szCs w:val="18"/>
              </w:rPr>
              <w:t>Concepto</w:t>
            </w:r>
          </w:p>
        </w:tc>
        <w:tc>
          <w:tcPr>
            <w:tcW w:w="1417" w:type="dxa"/>
            <w:tcBorders>
              <w:top w:val="single" w:sz="4" w:space="0" w:color="auto"/>
              <w:bottom w:val="single" w:sz="4" w:space="0" w:color="auto"/>
            </w:tcBorders>
            <w:shd w:val="clear" w:color="auto" w:fill="BFBFBF" w:themeFill="background1" w:themeFillShade="BF"/>
          </w:tcPr>
          <w:p w14:paraId="0B6E81CA" w14:textId="35F90215" w:rsidR="00915F29" w:rsidRPr="007B34B2" w:rsidRDefault="0056793F" w:rsidP="00AA40A5">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31/03/2020</w:t>
            </w:r>
          </w:p>
        </w:tc>
        <w:tc>
          <w:tcPr>
            <w:tcW w:w="1418" w:type="dxa"/>
            <w:tcBorders>
              <w:top w:val="single" w:sz="4" w:space="0" w:color="auto"/>
              <w:bottom w:val="single" w:sz="4" w:space="0" w:color="auto"/>
              <w:right w:val="single" w:sz="4" w:space="0" w:color="auto"/>
            </w:tcBorders>
            <w:shd w:val="clear" w:color="auto" w:fill="BFBFBF" w:themeFill="background1" w:themeFillShade="BF"/>
          </w:tcPr>
          <w:p w14:paraId="2975C72D" w14:textId="012D2BA7" w:rsidR="00915F29" w:rsidRPr="007B34B2" w:rsidRDefault="00915F29" w:rsidP="00AA40A5">
            <w:pPr>
              <w:widowControl w:val="0"/>
              <w:autoSpaceDE w:val="0"/>
              <w:autoSpaceDN w:val="0"/>
              <w:adjustRightInd w:val="0"/>
              <w:jc w:val="center"/>
              <w:rPr>
                <w:rFonts w:ascii="Arial" w:hAnsi="Arial" w:cs="Arial"/>
                <w:b/>
                <w:noProof/>
                <w:sz w:val="18"/>
                <w:szCs w:val="18"/>
              </w:rPr>
            </w:pPr>
            <w:r w:rsidRPr="007B34B2">
              <w:rPr>
                <w:rFonts w:ascii="Arial" w:hAnsi="Arial" w:cs="Arial"/>
                <w:b/>
                <w:noProof/>
                <w:sz w:val="18"/>
                <w:szCs w:val="18"/>
              </w:rPr>
              <w:t>31/12/201</w:t>
            </w:r>
            <w:r w:rsidR="0056793F">
              <w:rPr>
                <w:rFonts w:ascii="Arial" w:hAnsi="Arial" w:cs="Arial"/>
                <w:b/>
                <w:noProof/>
                <w:sz w:val="18"/>
                <w:szCs w:val="18"/>
              </w:rPr>
              <w:t>9</w:t>
            </w:r>
          </w:p>
        </w:tc>
      </w:tr>
      <w:tr w:rsidR="00915F29" w:rsidRPr="00AF3AB8" w14:paraId="11BD4804" w14:textId="77777777" w:rsidTr="003C2633">
        <w:tc>
          <w:tcPr>
            <w:tcW w:w="4957" w:type="dxa"/>
            <w:tcBorders>
              <w:top w:val="single" w:sz="4" w:space="0" w:color="auto"/>
            </w:tcBorders>
          </w:tcPr>
          <w:p w14:paraId="4F77D00A" w14:textId="1BB0AC92" w:rsidR="00915F29" w:rsidRPr="00AF3AB8" w:rsidRDefault="00915F29" w:rsidP="00915F29">
            <w:pPr>
              <w:jc w:val="both"/>
              <w:rPr>
                <w:rFonts w:ascii="Arial" w:hAnsi="Arial" w:cs="Arial"/>
                <w:b/>
                <w:bCs/>
                <w:sz w:val="20"/>
                <w:lang w:eastAsia="es-AR"/>
              </w:rPr>
            </w:pPr>
            <w:r w:rsidRPr="00AF3AB8">
              <w:rPr>
                <w:rFonts w:ascii="Arial" w:hAnsi="Arial" w:cs="Arial"/>
                <w:b/>
                <w:bCs/>
                <w:sz w:val="20"/>
              </w:rPr>
              <w:t>CARTERA CONSUMO Y VIVIENDA</w:t>
            </w:r>
          </w:p>
        </w:tc>
        <w:tc>
          <w:tcPr>
            <w:tcW w:w="1417" w:type="dxa"/>
            <w:tcBorders>
              <w:top w:val="single" w:sz="4" w:space="0" w:color="auto"/>
            </w:tcBorders>
          </w:tcPr>
          <w:p w14:paraId="4274E128" w14:textId="77777777" w:rsidR="00915F29" w:rsidRPr="00AF3AB8" w:rsidRDefault="00915F29" w:rsidP="00AA40A5">
            <w:pPr>
              <w:widowControl w:val="0"/>
              <w:autoSpaceDE w:val="0"/>
              <w:autoSpaceDN w:val="0"/>
              <w:adjustRightInd w:val="0"/>
              <w:jc w:val="both"/>
              <w:rPr>
                <w:rFonts w:ascii="Arial" w:hAnsi="Arial" w:cs="Arial"/>
                <w:b/>
                <w:noProof/>
                <w:sz w:val="20"/>
                <w:szCs w:val="18"/>
                <w:highlight w:val="yellow"/>
              </w:rPr>
            </w:pPr>
          </w:p>
        </w:tc>
        <w:tc>
          <w:tcPr>
            <w:tcW w:w="1418" w:type="dxa"/>
            <w:tcBorders>
              <w:top w:val="single" w:sz="4" w:space="0" w:color="auto"/>
            </w:tcBorders>
          </w:tcPr>
          <w:p w14:paraId="18EE86FD" w14:textId="77777777" w:rsidR="00915F29" w:rsidRPr="00AF3AB8" w:rsidRDefault="00915F29" w:rsidP="00AA40A5">
            <w:pPr>
              <w:widowControl w:val="0"/>
              <w:autoSpaceDE w:val="0"/>
              <w:autoSpaceDN w:val="0"/>
              <w:adjustRightInd w:val="0"/>
              <w:jc w:val="both"/>
              <w:rPr>
                <w:rFonts w:ascii="Arial" w:hAnsi="Arial" w:cs="Arial"/>
                <w:b/>
                <w:noProof/>
                <w:sz w:val="20"/>
                <w:szCs w:val="18"/>
                <w:highlight w:val="yellow"/>
              </w:rPr>
            </w:pPr>
          </w:p>
        </w:tc>
      </w:tr>
      <w:tr w:rsidR="00915F29" w:rsidRPr="00AF3AB8" w14:paraId="00CDD3EC" w14:textId="77777777" w:rsidTr="003C2633">
        <w:tc>
          <w:tcPr>
            <w:tcW w:w="4957" w:type="dxa"/>
          </w:tcPr>
          <w:p w14:paraId="25808C75" w14:textId="77777777" w:rsidR="00915F29" w:rsidRPr="00AF3AB8" w:rsidRDefault="00915F29" w:rsidP="00AA40A5">
            <w:pPr>
              <w:widowControl w:val="0"/>
              <w:autoSpaceDE w:val="0"/>
              <w:autoSpaceDN w:val="0"/>
              <w:adjustRightInd w:val="0"/>
              <w:jc w:val="both"/>
              <w:rPr>
                <w:rFonts w:ascii="Arial" w:hAnsi="Arial" w:cs="Arial"/>
                <w:noProof/>
                <w:sz w:val="18"/>
                <w:szCs w:val="18"/>
                <w:highlight w:val="yellow"/>
              </w:rPr>
            </w:pPr>
          </w:p>
        </w:tc>
        <w:tc>
          <w:tcPr>
            <w:tcW w:w="1417" w:type="dxa"/>
          </w:tcPr>
          <w:p w14:paraId="4F993786" w14:textId="77777777" w:rsidR="00915F29" w:rsidRPr="00AF3AB8" w:rsidRDefault="00915F29" w:rsidP="00AA40A5">
            <w:pPr>
              <w:widowControl w:val="0"/>
              <w:autoSpaceDE w:val="0"/>
              <w:autoSpaceDN w:val="0"/>
              <w:adjustRightInd w:val="0"/>
              <w:jc w:val="both"/>
              <w:rPr>
                <w:rFonts w:ascii="Arial" w:hAnsi="Arial" w:cs="Arial"/>
                <w:noProof/>
                <w:sz w:val="18"/>
                <w:szCs w:val="18"/>
                <w:highlight w:val="yellow"/>
              </w:rPr>
            </w:pPr>
          </w:p>
        </w:tc>
        <w:tc>
          <w:tcPr>
            <w:tcW w:w="1418" w:type="dxa"/>
          </w:tcPr>
          <w:p w14:paraId="43F3F369" w14:textId="77777777" w:rsidR="00915F29" w:rsidRPr="00AF3AB8" w:rsidRDefault="00915F29" w:rsidP="00AA40A5">
            <w:pPr>
              <w:widowControl w:val="0"/>
              <w:autoSpaceDE w:val="0"/>
              <w:autoSpaceDN w:val="0"/>
              <w:adjustRightInd w:val="0"/>
              <w:jc w:val="both"/>
              <w:rPr>
                <w:rFonts w:ascii="Arial" w:hAnsi="Arial" w:cs="Arial"/>
                <w:noProof/>
                <w:sz w:val="18"/>
                <w:szCs w:val="18"/>
                <w:highlight w:val="yellow"/>
              </w:rPr>
            </w:pPr>
          </w:p>
        </w:tc>
      </w:tr>
      <w:tr w:rsidR="00F075C4" w:rsidRPr="00AF3AB8" w14:paraId="3983FCDE" w14:textId="77777777" w:rsidTr="003C2633">
        <w:trPr>
          <w:trHeight w:val="170"/>
        </w:trPr>
        <w:tc>
          <w:tcPr>
            <w:tcW w:w="4957" w:type="dxa"/>
          </w:tcPr>
          <w:p w14:paraId="7347B0DD" w14:textId="706A6F0E" w:rsidR="00F075C4" w:rsidRPr="00AF3AB8" w:rsidRDefault="00F075C4" w:rsidP="00F075C4">
            <w:pPr>
              <w:jc w:val="both"/>
              <w:rPr>
                <w:rFonts w:ascii="Arial" w:hAnsi="Arial" w:cs="Arial"/>
                <w:b/>
                <w:bCs/>
                <w:sz w:val="18"/>
                <w:szCs w:val="18"/>
                <w:lang w:eastAsia="es-AR"/>
              </w:rPr>
            </w:pPr>
            <w:r w:rsidRPr="00AF3AB8">
              <w:rPr>
                <w:rFonts w:ascii="Arial" w:hAnsi="Arial" w:cs="Arial"/>
                <w:b/>
                <w:bCs/>
                <w:sz w:val="18"/>
                <w:szCs w:val="18"/>
              </w:rPr>
              <w:t>Cumplimiento normal</w:t>
            </w:r>
          </w:p>
        </w:tc>
        <w:tc>
          <w:tcPr>
            <w:tcW w:w="1417" w:type="dxa"/>
            <w:tcBorders>
              <w:bottom w:val="single" w:sz="4" w:space="0" w:color="auto"/>
            </w:tcBorders>
            <w:vAlign w:val="bottom"/>
          </w:tcPr>
          <w:p w14:paraId="20590DF7" w14:textId="709EB94C"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49.538.361</w:t>
            </w:r>
          </w:p>
        </w:tc>
        <w:tc>
          <w:tcPr>
            <w:tcW w:w="1418" w:type="dxa"/>
            <w:tcBorders>
              <w:bottom w:val="single" w:sz="4" w:space="0" w:color="auto"/>
            </w:tcBorders>
            <w:vAlign w:val="bottom"/>
          </w:tcPr>
          <w:p w14:paraId="13798F87" w14:textId="143785A2"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49.071.838</w:t>
            </w:r>
          </w:p>
        </w:tc>
      </w:tr>
      <w:tr w:rsidR="00F075C4" w:rsidRPr="00AF3AB8" w14:paraId="032F010B" w14:textId="77777777" w:rsidTr="003C2633">
        <w:trPr>
          <w:trHeight w:val="170"/>
        </w:trPr>
        <w:tc>
          <w:tcPr>
            <w:tcW w:w="4957" w:type="dxa"/>
          </w:tcPr>
          <w:p w14:paraId="1788ADC9"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717FC964" w14:textId="310E566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831.002</w:t>
            </w:r>
          </w:p>
        </w:tc>
        <w:tc>
          <w:tcPr>
            <w:tcW w:w="1418" w:type="dxa"/>
            <w:tcBorders>
              <w:top w:val="single" w:sz="4" w:space="0" w:color="auto"/>
            </w:tcBorders>
            <w:vAlign w:val="bottom"/>
          </w:tcPr>
          <w:p w14:paraId="4E5DE535" w14:textId="0E16140D"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749.371 </w:t>
            </w:r>
          </w:p>
        </w:tc>
      </w:tr>
      <w:tr w:rsidR="00F075C4" w:rsidRPr="00AF3AB8" w14:paraId="2907C4F2" w14:textId="77777777" w:rsidTr="003C2633">
        <w:trPr>
          <w:trHeight w:val="170"/>
        </w:trPr>
        <w:tc>
          <w:tcPr>
            <w:tcW w:w="4957" w:type="dxa"/>
          </w:tcPr>
          <w:p w14:paraId="3D47ADDB" w14:textId="6A08349C"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01E58082" w14:textId="000BEDA6"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6.415.767</w:t>
            </w:r>
          </w:p>
        </w:tc>
        <w:tc>
          <w:tcPr>
            <w:tcW w:w="1418" w:type="dxa"/>
            <w:vAlign w:val="bottom"/>
          </w:tcPr>
          <w:p w14:paraId="5C7FAC74" w14:textId="64A8B240"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6.672.015 </w:t>
            </w:r>
          </w:p>
        </w:tc>
      </w:tr>
      <w:tr w:rsidR="00F075C4" w:rsidRPr="00AF3AB8" w14:paraId="2EBD38B4" w14:textId="77777777" w:rsidTr="003C2633">
        <w:trPr>
          <w:trHeight w:val="170"/>
        </w:trPr>
        <w:tc>
          <w:tcPr>
            <w:tcW w:w="4957" w:type="dxa"/>
          </w:tcPr>
          <w:p w14:paraId="2A1B4A7D"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74055754" w14:textId="36CB1CE4"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42.291.592</w:t>
            </w:r>
          </w:p>
        </w:tc>
        <w:tc>
          <w:tcPr>
            <w:tcW w:w="1418" w:type="dxa"/>
            <w:vAlign w:val="bottom"/>
          </w:tcPr>
          <w:p w14:paraId="0BF41B05" w14:textId="29201D90"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41.650.452 </w:t>
            </w:r>
          </w:p>
        </w:tc>
      </w:tr>
      <w:tr w:rsidR="006637B6" w:rsidRPr="00AF3AB8" w14:paraId="771F0F77" w14:textId="77777777" w:rsidTr="003C2633">
        <w:trPr>
          <w:trHeight w:val="170"/>
        </w:trPr>
        <w:tc>
          <w:tcPr>
            <w:tcW w:w="4957" w:type="dxa"/>
          </w:tcPr>
          <w:p w14:paraId="3676FE72" w14:textId="77777777" w:rsidR="006637B6" w:rsidRPr="00AF3AB8" w:rsidRDefault="006637B6" w:rsidP="00AA40A5">
            <w:pPr>
              <w:jc w:val="both"/>
              <w:rPr>
                <w:rFonts w:ascii="Arial" w:hAnsi="Arial" w:cs="Arial"/>
                <w:b/>
                <w:bCs/>
                <w:sz w:val="18"/>
                <w:szCs w:val="18"/>
              </w:rPr>
            </w:pPr>
          </w:p>
        </w:tc>
        <w:tc>
          <w:tcPr>
            <w:tcW w:w="1417" w:type="dxa"/>
            <w:vAlign w:val="bottom"/>
          </w:tcPr>
          <w:p w14:paraId="0E0C2BF7" w14:textId="7E367E42"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03FF6053" w14:textId="2B5A85E0"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r>
      <w:tr w:rsidR="00F075C4" w:rsidRPr="00AF3AB8" w14:paraId="4F03D850" w14:textId="77777777" w:rsidTr="003C2633">
        <w:trPr>
          <w:trHeight w:val="170"/>
        </w:trPr>
        <w:tc>
          <w:tcPr>
            <w:tcW w:w="4957" w:type="dxa"/>
          </w:tcPr>
          <w:p w14:paraId="7DA134B9" w14:textId="51EE4463" w:rsidR="00F075C4" w:rsidRPr="00AF3AB8" w:rsidRDefault="00F075C4" w:rsidP="00F075C4">
            <w:pPr>
              <w:jc w:val="both"/>
              <w:rPr>
                <w:rFonts w:ascii="Arial" w:hAnsi="Arial" w:cs="Arial"/>
                <w:b/>
                <w:bCs/>
                <w:sz w:val="18"/>
                <w:szCs w:val="18"/>
                <w:lang w:eastAsia="es-AR"/>
              </w:rPr>
            </w:pPr>
            <w:r w:rsidRPr="00AF3AB8">
              <w:rPr>
                <w:rFonts w:ascii="Arial" w:hAnsi="Arial" w:cs="Arial"/>
                <w:b/>
                <w:bCs/>
                <w:sz w:val="18"/>
                <w:szCs w:val="18"/>
              </w:rPr>
              <w:t>Riesgo bajo</w:t>
            </w:r>
          </w:p>
        </w:tc>
        <w:tc>
          <w:tcPr>
            <w:tcW w:w="1417" w:type="dxa"/>
            <w:tcBorders>
              <w:bottom w:val="single" w:sz="4" w:space="0" w:color="auto"/>
            </w:tcBorders>
            <w:vAlign w:val="bottom"/>
          </w:tcPr>
          <w:p w14:paraId="2C709E03" w14:textId="6B6CC4D7"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790.156</w:t>
            </w:r>
          </w:p>
        </w:tc>
        <w:tc>
          <w:tcPr>
            <w:tcW w:w="1418" w:type="dxa"/>
            <w:tcBorders>
              <w:bottom w:val="single" w:sz="4" w:space="0" w:color="auto"/>
            </w:tcBorders>
            <w:vAlign w:val="bottom"/>
          </w:tcPr>
          <w:p w14:paraId="776A95DB" w14:textId="46C84E09"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1.741.716</w:t>
            </w:r>
          </w:p>
        </w:tc>
      </w:tr>
      <w:tr w:rsidR="00F075C4" w:rsidRPr="00AF3AB8" w14:paraId="1DE99C0D" w14:textId="77777777" w:rsidTr="003C2633">
        <w:trPr>
          <w:trHeight w:val="170"/>
        </w:trPr>
        <w:tc>
          <w:tcPr>
            <w:tcW w:w="4957" w:type="dxa"/>
          </w:tcPr>
          <w:p w14:paraId="618E4250"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2992DB51" w14:textId="0D6698B2"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30.128</w:t>
            </w:r>
          </w:p>
        </w:tc>
        <w:tc>
          <w:tcPr>
            <w:tcW w:w="1418" w:type="dxa"/>
            <w:tcBorders>
              <w:top w:val="single" w:sz="4" w:space="0" w:color="auto"/>
            </w:tcBorders>
            <w:vAlign w:val="bottom"/>
          </w:tcPr>
          <w:p w14:paraId="01F48D9E" w14:textId="33FCADF2"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97.862 </w:t>
            </w:r>
          </w:p>
        </w:tc>
      </w:tr>
      <w:tr w:rsidR="00F075C4" w:rsidRPr="00AF3AB8" w14:paraId="339D70B5" w14:textId="77777777" w:rsidTr="003C2633">
        <w:trPr>
          <w:trHeight w:val="170"/>
        </w:trPr>
        <w:tc>
          <w:tcPr>
            <w:tcW w:w="4957" w:type="dxa"/>
          </w:tcPr>
          <w:p w14:paraId="2614544D" w14:textId="78D8F2C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74F2D394" w14:textId="7FA9E91D"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75.477</w:t>
            </w:r>
          </w:p>
        </w:tc>
        <w:tc>
          <w:tcPr>
            <w:tcW w:w="1418" w:type="dxa"/>
            <w:vAlign w:val="bottom"/>
          </w:tcPr>
          <w:p w14:paraId="22ABCB28" w14:textId="3460F353"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214.896 </w:t>
            </w:r>
          </w:p>
        </w:tc>
      </w:tr>
      <w:tr w:rsidR="00F075C4" w:rsidRPr="00AF3AB8" w14:paraId="531201DB" w14:textId="77777777" w:rsidTr="003C2633">
        <w:trPr>
          <w:trHeight w:val="170"/>
        </w:trPr>
        <w:tc>
          <w:tcPr>
            <w:tcW w:w="4957" w:type="dxa"/>
          </w:tcPr>
          <w:p w14:paraId="39F9ABEB"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3A4519E2" w14:textId="06637F50"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684.551</w:t>
            </w:r>
          </w:p>
        </w:tc>
        <w:tc>
          <w:tcPr>
            <w:tcW w:w="1418" w:type="dxa"/>
            <w:vAlign w:val="bottom"/>
          </w:tcPr>
          <w:p w14:paraId="07FEBFD5" w14:textId="3217D078"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1.428.958 </w:t>
            </w:r>
          </w:p>
        </w:tc>
      </w:tr>
      <w:tr w:rsidR="006637B6" w:rsidRPr="00AF3AB8" w14:paraId="3B3498B7" w14:textId="77777777" w:rsidTr="00F075C4">
        <w:trPr>
          <w:trHeight w:val="170"/>
        </w:trPr>
        <w:tc>
          <w:tcPr>
            <w:tcW w:w="4957" w:type="dxa"/>
          </w:tcPr>
          <w:p w14:paraId="5966A421" w14:textId="77777777" w:rsidR="006637B6" w:rsidRPr="00AF3AB8" w:rsidRDefault="006637B6" w:rsidP="00AA40A5">
            <w:pPr>
              <w:jc w:val="both"/>
              <w:rPr>
                <w:rFonts w:ascii="Arial" w:hAnsi="Arial" w:cs="Arial"/>
                <w:b/>
                <w:bCs/>
                <w:sz w:val="18"/>
                <w:szCs w:val="18"/>
              </w:rPr>
            </w:pPr>
          </w:p>
        </w:tc>
        <w:tc>
          <w:tcPr>
            <w:tcW w:w="1417" w:type="dxa"/>
            <w:vAlign w:val="bottom"/>
          </w:tcPr>
          <w:p w14:paraId="51B3799A" w14:textId="11A0BB74"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6D4CED32" w14:textId="249BA107"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r>
      <w:tr w:rsidR="00F075C4" w:rsidRPr="00AF3AB8" w14:paraId="54654C60" w14:textId="77777777" w:rsidTr="00F075C4">
        <w:trPr>
          <w:trHeight w:val="170"/>
        </w:trPr>
        <w:tc>
          <w:tcPr>
            <w:tcW w:w="4957" w:type="dxa"/>
          </w:tcPr>
          <w:p w14:paraId="7FD16159" w14:textId="0A84E15A" w:rsidR="00F075C4" w:rsidRPr="00F075C4" w:rsidRDefault="00F075C4" w:rsidP="00F075C4">
            <w:pPr>
              <w:jc w:val="both"/>
              <w:rPr>
                <w:rFonts w:ascii="Arial" w:hAnsi="Arial" w:cs="Arial"/>
                <w:b/>
                <w:bCs/>
                <w:sz w:val="18"/>
                <w:szCs w:val="18"/>
              </w:rPr>
            </w:pPr>
            <w:r w:rsidRPr="00F075C4">
              <w:rPr>
                <w:rFonts w:ascii="Arial" w:hAnsi="Arial" w:cs="Arial"/>
                <w:b/>
                <w:bCs/>
                <w:sz w:val="18"/>
                <w:szCs w:val="18"/>
              </w:rPr>
              <w:t>Riesgo bajo - En tratamiento especial</w:t>
            </w:r>
          </w:p>
        </w:tc>
        <w:tc>
          <w:tcPr>
            <w:tcW w:w="1417" w:type="dxa"/>
            <w:tcBorders>
              <w:bottom w:val="single" w:sz="4" w:space="0" w:color="auto"/>
            </w:tcBorders>
            <w:vAlign w:val="bottom"/>
          </w:tcPr>
          <w:p w14:paraId="1E90963C" w14:textId="7BF76B7C"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 xml:space="preserve">- </w:t>
            </w:r>
          </w:p>
        </w:tc>
        <w:tc>
          <w:tcPr>
            <w:tcW w:w="1418" w:type="dxa"/>
            <w:tcBorders>
              <w:bottom w:val="single" w:sz="4" w:space="0" w:color="auto"/>
            </w:tcBorders>
            <w:vAlign w:val="bottom"/>
          </w:tcPr>
          <w:p w14:paraId="2BE03BDD" w14:textId="5DE35D9F"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 xml:space="preserve">- </w:t>
            </w:r>
          </w:p>
        </w:tc>
      </w:tr>
      <w:tr w:rsidR="00F075C4" w:rsidRPr="00AF3AB8" w14:paraId="094F0918" w14:textId="77777777" w:rsidTr="00F075C4">
        <w:trPr>
          <w:trHeight w:val="170"/>
        </w:trPr>
        <w:tc>
          <w:tcPr>
            <w:tcW w:w="4957" w:type="dxa"/>
          </w:tcPr>
          <w:p w14:paraId="4D2FD677" w14:textId="6874E955" w:rsidR="00F075C4" w:rsidRPr="00F075C4" w:rsidRDefault="00F075C4" w:rsidP="00F075C4">
            <w:pPr>
              <w:ind w:firstLineChars="200" w:firstLine="360"/>
              <w:jc w:val="both"/>
              <w:rPr>
                <w:rFonts w:ascii="Arial" w:hAnsi="Arial" w:cs="Arial"/>
                <w:sz w:val="18"/>
                <w:szCs w:val="18"/>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3F437A08" w14:textId="768B740D"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sz w:val="18"/>
                <w:szCs w:val="18"/>
              </w:rPr>
              <w:t xml:space="preserve">- </w:t>
            </w:r>
          </w:p>
        </w:tc>
        <w:tc>
          <w:tcPr>
            <w:tcW w:w="1418" w:type="dxa"/>
            <w:tcBorders>
              <w:top w:val="single" w:sz="4" w:space="0" w:color="auto"/>
            </w:tcBorders>
            <w:vAlign w:val="bottom"/>
          </w:tcPr>
          <w:p w14:paraId="1AAD66D7" w14:textId="5EF00803"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sz w:val="18"/>
                <w:szCs w:val="18"/>
              </w:rPr>
              <w:t xml:space="preserve">- </w:t>
            </w:r>
          </w:p>
        </w:tc>
      </w:tr>
      <w:tr w:rsidR="00F075C4" w:rsidRPr="00AF3AB8" w14:paraId="516729B9" w14:textId="77777777" w:rsidTr="00F075C4">
        <w:trPr>
          <w:trHeight w:val="170"/>
        </w:trPr>
        <w:tc>
          <w:tcPr>
            <w:tcW w:w="4957" w:type="dxa"/>
          </w:tcPr>
          <w:p w14:paraId="381CA008" w14:textId="68284BAD" w:rsidR="00F075C4" w:rsidRPr="00F075C4" w:rsidRDefault="00F075C4" w:rsidP="00F075C4">
            <w:pPr>
              <w:ind w:firstLineChars="200" w:firstLine="360"/>
              <w:jc w:val="both"/>
              <w:rPr>
                <w:rFonts w:ascii="Arial" w:hAnsi="Arial" w:cs="Arial"/>
                <w:sz w:val="18"/>
                <w:szCs w:val="18"/>
              </w:rPr>
            </w:pPr>
            <w:r w:rsidRPr="00AF3AB8">
              <w:rPr>
                <w:rFonts w:ascii="Arial" w:hAnsi="Arial" w:cs="Arial"/>
                <w:sz w:val="18"/>
                <w:szCs w:val="18"/>
              </w:rPr>
              <w:t>Con garantías y contragarantías "B"</w:t>
            </w:r>
          </w:p>
        </w:tc>
        <w:tc>
          <w:tcPr>
            <w:tcW w:w="1417" w:type="dxa"/>
            <w:vAlign w:val="bottom"/>
          </w:tcPr>
          <w:p w14:paraId="3D34233B" w14:textId="39704D82"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sz w:val="18"/>
                <w:szCs w:val="18"/>
              </w:rPr>
              <w:t xml:space="preserve">- </w:t>
            </w:r>
          </w:p>
        </w:tc>
        <w:tc>
          <w:tcPr>
            <w:tcW w:w="1418" w:type="dxa"/>
            <w:vAlign w:val="bottom"/>
          </w:tcPr>
          <w:p w14:paraId="14385D7C" w14:textId="245A35B7"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sz w:val="18"/>
                <w:szCs w:val="18"/>
              </w:rPr>
              <w:t xml:space="preserve">- </w:t>
            </w:r>
          </w:p>
        </w:tc>
      </w:tr>
      <w:tr w:rsidR="00F075C4" w:rsidRPr="00AF3AB8" w14:paraId="6E364348" w14:textId="77777777" w:rsidTr="00F075C4">
        <w:trPr>
          <w:trHeight w:val="170"/>
        </w:trPr>
        <w:tc>
          <w:tcPr>
            <w:tcW w:w="4957" w:type="dxa"/>
          </w:tcPr>
          <w:p w14:paraId="7DB88993" w14:textId="6CEC17F7" w:rsidR="00F075C4" w:rsidRPr="00F075C4" w:rsidRDefault="00F075C4" w:rsidP="00F075C4">
            <w:pPr>
              <w:ind w:firstLineChars="200" w:firstLine="360"/>
              <w:jc w:val="both"/>
              <w:rPr>
                <w:rFonts w:ascii="Arial" w:hAnsi="Arial" w:cs="Arial"/>
                <w:sz w:val="18"/>
                <w:szCs w:val="18"/>
              </w:rPr>
            </w:pPr>
            <w:r w:rsidRPr="00AF3AB8">
              <w:rPr>
                <w:rFonts w:ascii="Arial" w:hAnsi="Arial" w:cs="Arial"/>
                <w:sz w:val="18"/>
                <w:szCs w:val="18"/>
              </w:rPr>
              <w:t>Sin garantías ni contragarantías preferidas</w:t>
            </w:r>
          </w:p>
        </w:tc>
        <w:tc>
          <w:tcPr>
            <w:tcW w:w="1417" w:type="dxa"/>
            <w:vAlign w:val="bottom"/>
          </w:tcPr>
          <w:p w14:paraId="2B82D7C5" w14:textId="33CB7DE1"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sz w:val="18"/>
                <w:szCs w:val="18"/>
              </w:rPr>
              <w:t xml:space="preserve">- </w:t>
            </w:r>
          </w:p>
        </w:tc>
        <w:tc>
          <w:tcPr>
            <w:tcW w:w="1418" w:type="dxa"/>
            <w:vAlign w:val="bottom"/>
          </w:tcPr>
          <w:p w14:paraId="559C74B6" w14:textId="20A8F6C2"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sz w:val="18"/>
                <w:szCs w:val="18"/>
              </w:rPr>
              <w:t xml:space="preserve">- </w:t>
            </w:r>
          </w:p>
        </w:tc>
      </w:tr>
      <w:tr w:rsidR="00F075C4" w:rsidRPr="00AF3AB8" w14:paraId="13B8344A" w14:textId="77777777" w:rsidTr="00F075C4">
        <w:trPr>
          <w:trHeight w:val="170"/>
        </w:trPr>
        <w:tc>
          <w:tcPr>
            <w:tcW w:w="4957" w:type="dxa"/>
          </w:tcPr>
          <w:p w14:paraId="32C000D7" w14:textId="64C4E188" w:rsidR="00F075C4" w:rsidRPr="00F075C4" w:rsidRDefault="00F075C4" w:rsidP="00F075C4">
            <w:pPr>
              <w:ind w:firstLineChars="200" w:firstLine="360"/>
              <w:jc w:val="both"/>
              <w:rPr>
                <w:rFonts w:ascii="Arial" w:hAnsi="Arial" w:cs="Arial"/>
                <w:sz w:val="18"/>
                <w:szCs w:val="18"/>
              </w:rPr>
            </w:pPr>
          </w:p>
        </w:tc>
        <w:tc>
          <w:tcPr>
            <w:tcW w:w="1417" w:type="dxa"/>
            <w:vAlign w:val="bottom"/>
          </w:tcPr>
          <w:p w14:paraId="0AED104D" w14:textId="77777777"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p>
        </w:tc>
        <w:tc>
          <w:tcPr>
            <w:tcW w:w="1418" w:type="dxa"/>
            <w:vAlign w:val="bottom"/>
          </w:tcPr>
          <w:p w14:paraId="4397056E" w14:textId="77777777"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p>
        </w:tc>
      </w:tr>
      <w:tr w:rsidR="00F075C4" w:rsidRPr="00AF3AB8" w14:paraId="0486294A" w14:textId="77777777" w:rsidTr="00F075C4">
        <w:trPr>
          <w:trHeight w:val="170"/>
        </w:trPr>
        <w:tc>
          <w:tcPr>
            <w:tcW w:w="4957" w:type="dxa"/>
          </w:tcPr>
          <w:p w14:paraId="6BD38091" w14:textId="7C599835" w:rsidR="00F075C4" w:rsidRPr="00AF3AB8" w:rsidRDefault="00F075C4" w:rsidP="00F075C4">
            <w:pPr>
              <w:jc w:val="both"/>
              <w:rPr>
                <w:rFonts w:ascii="Arial" w:hAnsi="Arial" w:cs="Arial"/>
                <w:b/>
                <w:bCs/>
                <w:sz w:val="18"/>
                <w:szCs w:val="18"/>
                <w:lang w:eastAsia="es-AR"/>
              </w:rPr>
            </w:pPr>
            <w:r w:rsidRPr="00AF3AB8">
              <w:rPr>
                <w:rFonts w:ascii="Arial" w:hAnsi="Arial" w:cs="Arial"/>
                <w:b/>
                <w:bCs/>
                <w:sz w:val="18"/>
                <w:szCs w:val="18"/>
              </w:rPr>
              <w:t>Riesgo medio</w:t>
            </w:r>
          </w:p>
        </w:tc>
        <w:tc>
          <w:tcPr>
            <w:tcW w:w="1417" w:type="dxa"/>
            <w:tcBorders>
              <w:bottom w:val="single" w:sz="4" w:space="0" w:color="auto"/>
            </w:tcBorders>
            <w:vAlign w:val="bottom"/>
          </w:tcPr>
          <w:p w14:paraId="2BF81D95" w14:textId="7B5F7457"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1.041.102</w:t>
            </w:r>
          </w:p>
        </w:tc>
        <w:tc>
          <w:tcPr>
            <w:tcW w:w="1418" w:type="dxa"/>
            <w:tcBorders>
              <w:bottom w:val="single" w:sz="4" w:space="0" w:color="auto"/>
            </w:tcBorders>
            <w:vAlign w:val="bottom"/>
          </w:tcPr>
          <w:p w14:paraId="6893ADF9" w14:textId="17FF3381"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1.409.756</w:t>
            </w:r>
          </w:p>
        </w:tc>
      </w:tr>
      <w:tr w:rsidR="00F075C4" w:rsidRPr="00AF3AB8" w14:paraId="0D1B1BD4" w14:textId="77777777" w:rsidTr="003C2633">
        <w:trPr>
          <w:trHeight w:val="170"/>
        </w:trPr>
        <w:tc>
          <w:tcPr>
            <w:tcW w:w="4957" w:type="dxa"/>
          </w:tcPr>
          <w:p w14:paraId="29EAAAB7"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2AA3F61D" w14:textId="3467A61E"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19.996</w:t>
            </w:r>
          </w:p>
        </w:tc>
        <w:tc>
          <w:tcPr>
            <w:tcW w:w="1418" w:type="dxa"/>
            <w:tcBorders>
              <w:top w:val="single" w:sz="4" w:space="0" w:color="auto"/>
            </w:tcBorders>
            <w:vAlign w:val="bottom"/>
          </w:tcPr>
          <w:p w14:paraId="6F2582E2" w14:textId="075CA6F7"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50.444 </w:t>
            </w:r>
          </w:p>
        </w:tc>
      </w:tr>
      <w:tr w:rsidR="00F075C4" w:rsidRPr="00AF3AB8" w14:paraId="791AB31F" w14:textId="77777777" w:rsidTr="003C2633">
        <w:trPr>
          <w:trHeight w:val="170"/>
        </w:trPr>
        <w:tc>
          <w:tcPr>
            <w:tcW w:w="4957" w:type="dxa"/>
          </w:tcPr>
          <w:p w14:paraId="64075414" w14:textId="5479E75D"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"B"</w:t>
            </w:r>
          </w:p>
        </w:tc>
        <w:tc>
          <w:tcPr>
            <w:tcW w:w="1417" w:type="dxa"/>
            <w:vAlign w:val="bottom"/>
          </w:tcPr>
          <w:p w14:paraId="083168B9" w14:textId="087E11F3"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118.698</w:t>
            </w:r>
          </w:p>
        </w:tc>
        <w:tc>
          <w:tcPr>
            <w:tcW w:w="1418" w:type="dxa"/>
            <w:vAlign w:val="bottom"/>
          </w:tcPr>
          <w:p w14:paraId="6A8B326F" w14:textId="67833DF0"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139.057 </w:t>
            </w:r>
          </w:p>
        </w:tc>
      </w:tr>
      <w:tr w:rsidR="00F075C4" w:rsidRPr="00AF3AB8" w14:paraId="6B28D1B6" w14:textId="77777777" w:rsidTr="003C2633">
        <w:trPr>
          <w:trHeight w:val="170"/>
        </w:trPr>
        <w:tc>
          <w:tcPr>
            <w:tcW w:w="4957" w:type="dxa"/>
          </w:tcPr>
          <w:p w14:paraId="1056B48F"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69599502" w14:textId="30EC15E7"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902.408</w:t>
            </w:r>
          </w:p>
        </w:tc>
        <w:tc>
          <w:tcPr>
            <w:tcW w:w="1418" w:type="dxa"/>
            <w:vAlign w:val="bottom"/>
          </w:tcPr>
          <w:p w14:paraId="2CB65D5F" w14:textId="6C11001A"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1.220.255 </w:t>
            </w:r>
          </w:p>
        </w:tc>
      </w:tr>
      <w:tr w:rsidR="006637B6" w:rsidRPr="00AF3AB8" w14:paraId="6076C004" w14:textId="77777777" w:rsidTr="003C2633">
        <w:trPr>
          <w:trHeight w:val="170"/>
        </w:trPr>
        <w:tc>
          <w:tcPr>
            <w:tcW w:w="4957" w:type="dxa"/>
          </w:tcPr>
          <w:p w14:paraId="180228E8" w14:textId="77777777" w:rsidR="006637B6" w:rsidRPr="00AF3AB8" w:rsidRDefault="006637B6" w:rsidP="00AA40A5">
            <w:pPr>
              <w:jc w:val="both"/>
              <w:rPr>
                <w:rFonts w:ascii="Arial" w:hAnsi="Arial" w:cs="Arial"/>
                <w:b/>
                <w:bCs/>
                <w:sz w:val="18"/>
                <w:szCs w:val="18"/>
              </w:rPr>
            </w:pPr>
          </w:p>
        </w:tc>
        <w:tc>
          <w:tcPr>
            <w:tcW w:w="1417" w:type="dxa"/>
            <w:vAlign w:val="bottom"/>
          </w:tcPr>
          <w:p w14:paraId="25E81470" w14:textId="58B39ABD"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5364E374" w14:textId="2BCA09EF"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r>
      <w:tr w:rsidR="00F075C4" w:rsidRPr="00AF3AB8" w14:paraId="0971CCD3" w14:textId="77777777" w:rsidTr="003C2633">
        <w:trPr>
          <w:trHeight w:val="170"/>
        </w:trPr>
        <w:tc>
          <w:tcPr>
            <w:tcW w:w="4957" w:type="dxa"/>
          </w:tcPr>
          <w:p w14:paraId="46B1425A" w14:textId="1023A672" w:rsidR="00F075C4" w:rsidRPr="00AF3AB8" w:rsidRDefault="00F075C4" w:rsidP="00F075C4">
            <w:pPr>
              <w:jc w:val="both"/>
              <w:rPr>
                <w:rFonts w:ascii="Arial" w:hAnsi="Arial" w:cs="Arial"/>
                <w:b/>
                <w:bCs/>
                <w:sz w:val="18"/>
                <w:szCs w:val="18"/>
                <w:lang w:eastAsia="es-AR"/>
              </w:rPr>
            </w:pPr>
            <w:r w:rsidRPr="00AF3AB8">
              <w:rPr>
                <w:rFonts w:ascii="Arial" w:hAnsi="Arial" w:cs="Arial"/>
                <w:b/>
                <w:bCs/>
                <w:sz w:val="18"/>
                <w:szCs w:val="18"/>
              </w:rPr>
              <w:t>Riesgo alto</w:t>
            </w:r>
          </w:p>
        </w:tc>
        <w:tc>
          <w:tcPr>
            <w:tcW w:w="1417" w:type="dxa"/>
            <w:tcBorders>
              <w:bottom w:val="single" w:sz="4" w:space="0" w:color="auto"/>
            </w:tcBorders>
            <w:vAlign w:val="bottom"/>
          </w:tcPr>
          <w:p w14:paraId="194B5BED" w14:textId="063035DC"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1.009.083</w:t>
            </w:r>
          </w:p>
        </w:tc>
        <w:tc>
          <w:tcPr>
            <w:tcW w:w="1418" w:type="dxa"/>
            <w:tcBorders>
              <w:bottom w:val="single" w:sz="4" w:space="0" w:color="auto"/>
            </w:tcBorders>
            <w:vAlign w:val="bottom"/>
          </w:tcPr>
          <w:p w14:paraId="7B1255C8" w14:textId="028EF35F"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1.819.223</w:t>
            </w:r>
          </w:p>
        </w:tc>
      </w:tr>
      <w:tr w:rsidR="00F075C4" w:rsidRPr="00AF3AB8" w14:paraId="70689D4D" w14:textId="77777777" w:rsidTr="003C2633">
        <w:trPr>
          <w:trHeight w:val="170"/>
        </w:trPr>
        <w:tc>
          <w:tcPr>
            <w:tcW w:w="4957" w:type="dxa"/>
          </w:tcPr>
          <w:p w14:paraId="6DCB752B"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315AED81" w14:textId="411B2AB3"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28.042</w:t>
            </w:r>
          </w:p>
        </w:tc>
        <w:tc>
          <w:tcPr>
            <w:tcW w:w="1418" w:type="dxa"/>
            <w:tcBorders>
              <w:top w:val="single" w:sz="4" w:space="0" w:color="auto"/>
            </w:tcBorders>
            <w:vAlign w:val="bottom"/>
          </w:tcPr>
          <w:p w14:paraId="08564383" w14:textId="4A41EEC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25.870 </w:t>
            </w:r>
          </w:p>
        </w:tc>
      </w:tr>
      <w:tr w:rsidR="00F075C4" w:rsidRPr="00AF3AB8" w14:paraId="7A272DA5" w14:textId="77777777" w:rsidTr="003C2633">
        <w:trPr>
          <w:trHeight w:val="170"/>
        </w:trPr>
        <w:tc>
          <w:tcPr>
            <w:tcW w:w="4957" w:type="dxa"/>
          </w:tcPr>
          <w:p w14:paraId="78679352" w14:textId="1BC8DAD9"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388BB6D6" w14:textId="5E72C373"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62.481</w:t>
            </w:r>
          </w:p>
        </w:tc>
        <w:tc>
          <w:tcPr>
            <w:tcW w:w="1418" w:type="dxa"/>
            <w:vAlign w:val="bottom"/>
          </w:tcPr>
          <w:p w14:paraId="62F207EE" w14:textId="73C10D95"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104.425 </w:t>
            </w:r>
          </w:p>
        </w:tc>
      </w:tr>
      <w:tr w:rsidR="00F075C4" w:rsidRPr="00AF3AB8" w14:paraId="443AEA0C" w14:textId="77777777" w:rsidTr="003C2633">
        <w:trPr>
          <w:trHeight w:val="170"/>
        </w:trPr>
        <w:tc>
          <w:tcPr>
            <w:tcW w:w="4957" w:type="dxa"/>
          </w:tcPr>
          <w:p w14:paraId="4C0EFA44"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75A3EF1F" w14:textId="5033022B"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918.560</w:t>
            </w:r>
          </w:p>
        </w:tc>
        <w:tc>
          <w:tcPr>
            <w:tcW w:w="1418" w:type="dxa"/>
            <w:vAlign w:val="bottom"/>
          </w:tcPr>
          <w:p w14:paraId="2D197219" w14:textId="4FE6FAF8"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1.688.928 </w:t>
            </w:r>
          </w:p>
        </w:tc>
      </w:tr>
      <w:tr w:rsidR="006637B6" w:rsidRPr="00AF3AB8" w14:paraId="6D9756DC" w14:textId="77777777" w:rsidTr="003C2633">
        <w:trPr>
          <w:trHeight w:val="170"/>
        </w:trPr>
        <w:tc>
          <w:tcPr>
            <w:tcW w:w="4957" w:type="dxa"/>
          </w:tcPr>
          <w:p w14:paraId="23319458" w14:textId="77777777" w:rsidR="006637B6" w:rsidRPr="00AF3AB8" w:rsidRDefault="006637B6" w:rsidP="00AA40A5">
            <w:pPr>
              <w:jc w:val="both"/>
              <w:rPr>
                <w:rFonts w:ascii="Arial" w:hAnsi="Arial" w:cs="Arial"/>
                <w:b/>
                <w:bCs/>
                <w:sz w:val="18"/>
                <w:szCs w:val="18"/>
              </w:rPr>
            </w:pPr>
          </w:p>
        </w:tc>
        <w:tc>
          <w:tcPr>
            <w:tcW w:w="1417" w:type="dxa"/>
            <w:vAlign w:val="bottom"/>
          </w:tcPr>
          <w:p w14:paraId="4014C079" w14:textId="17E1B25A"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7728A6E3" w14:textId="5E452A5E"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r>
      <w:tr w:rsidR="00F075C4" w:rsidRPr="00AF3AB8" w14:paraId="12C37010" w14:textId="77777777" w:rsidTr="003C2633">
        <w:trPr>
          <w:trHeight w:val="170"/>
        </w:trPr>
        <w:tc>
          <w:tcPr>
            <w:tcW w:w="4957" w:type="dxa"/>
          </w:tcPr>
          <w:p w14:paraId="61EC34A0" w14:textId="77777777" w:rsidR="00F075C4" w:rsidRPr="00AF3AB8" w:rsidRDefault="00F075C4" w:rsidP="00F075C4">
            <w:pPr>
              <w:jc w:val="both"/>
              <w:rPr>
                <w:rFonts w:ascii="Arial" w:hAnsi="Arial" w:cs="Arial"/>
                <w:b/>
                <w:bCs/>
                <w:sz w:val="18"/>
                <w:szCs w:val="18"/>
                <w:lang w:eastAsia="es-AR"/>
              </w:rPr>
            </w:pPr>
            <w:r w:rsidRPr="00AF3AB8">
              <w:rPr>
                <w:rFonts w:ascii="Arial" w:hAnsi="Arial" w:cs="Arial"/>
                <w:b/>
                <w:bCs/>
                <w:sz w:val="18"/>
                <w:szCs w:val="18"/>
              </w:rPr>
              <w:t>Irrecuperable</w:t>
            </w:r>
          </w:p>
        </w:tc>
        <w:tc>
          <w:tcPr>
            <w:tcW w:w="1417" w:type="dxa"/>
            <w:tcBorders>
              <w:bottom w:val="single" w:sz="4" w:space="0" w:color="auto"/>
            </w:tcBorders>
            <w:vAlign w:val="bottom"/>
          </w:tcPr>
          <w:p w14:paraId="3DABBDF5" w14:textId="117E0221"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478.614</w:t>
            </w:r>
          </w:p>
        </w:tc>
        <w:tc>
          <w:tcPr>
            <w:tcW w:w="1418" w:type="dxa"/>
            <w:tcBorders>
              <w:bottom w:val="single" w:sz="4" w:space="0" w:color="auto"/>
            </w:tcBorders>
            <w:vAlign w:val="bottom"/>
          </w:tcPr>
          <w:p w14:paraId="00A3460F" w14:textId="2A2466F5"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305.292</w:t>
            </w:r>
          </w:p>
        </w:tc>
      </w:tr>
      <w:tr w:rsidR="00F075C4" w:rsidRPr="00AF3AB8" w14:paraId="341C89BF" w14:textId="77777777" w:rsidTr="003C2633">
        <w:trPr>
          <w:trHeight w:val="170"/>
        </w:trPr>
        <w:tc>
          <w:tcPr>
            <w:tcW w:w="4957" w:type="dxa"/>
          </w:tcPr>
          <w:p w14:paraId="6EAEDBA5"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452D395F" w14:textId="518E9CF8"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9.687</w:t>
            </w:r>
          </w:p>
        </w:tc>
        <w:tc>
          <w:tcPr>
            <w:tcW w:w="1418" w:type="dxa"/>
            <w:tcBorders>
              <w:top w:val="single" w:sz="4" w:space="0" w:color="auto"/>
            </w:tcBorders>
            <w:vAlign w:val="bottom"/>
          </w:tcPr>
          <w:p w14:paraId="72FECD72" w14:textId="6728B95F"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5.379 </w:t>
            </w:r>
          </w:p>
        </w:tc>
      </w:tr>
      <w:tr w:rsidR="00F075C4" w:rsidRPr="00AF3AB8" w14:paraId="7388411C" w14:textId="77777777" w:rsidTr="003C2633">
        <w:trPr>
          <w:trHeight w:val="170"/>
        </w:trPr>
        <w:tc>
          <w:tcPr>
            <w:tcW w:w="4957" w:type="dxa"/>
          </w:tcPr>
          <w:p w14:paraId="45DD3DA0"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539209C7" w14:textId="205C6534"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103.457</w:t>
            </w:r>
          </w:p>
        </w:tc>
        <w:tc>
          <w:tcPr>
            <w:tcW w:w="1418" w:type="dxa"/>
            <w:vAlign w:val="bottom"/>
          </w:tcPr>
          <w:p w14:paraId="248DEB4A" w14:textId="13A340C1"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74.993 </w:t>
            </w:r>
          </w:p>
        </w:tc>
      </w:tr>
      <w:tr w:rsidR="00F075C4" w:rsidRPr="00AF3AB8" w14:paraId="581330AB" w14:textId="77777777" w:rsidTr="003C2633">
        <w:trPr>
          <w:trHeight w:val="170"/>
        </w:trPr>
        <w:tc>
          <w:tcPr>
            <w:tcW w:w="4957" w:type="dxa"/>
          </w:tcPr>
          <w:p w14:paraId="4D36B719" w14:textId="77777777" w:rsidR="00F075C4" w:rsidRPr="00AF3AB8" w:rsidRDefault="00F075C4" w:rsidP="00F075C4">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471B1186" w14:textId="78F7DCD0"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365.470</w:t>
            </w:r>
          </w:p>
        </w:tc>
        <w:tc>
          <w:tcPr>
            <w:tcW w:w="1418" w:type="dxa"/>
            <w:vAlign w:val="bottom"/>
          </w:tcPr>
          <w:p w14:paraId="747C1A8B" w14:textId="57DF1A50" w:rsidR="00F075C4" w:rsidRPr="00733C86" w:rsidRDefault="00F075C4" w:rsidP="00F075C4">
            <w:pPr>
              <w:widowControl w:val="0"/>
              <w:autoSpaceDE w:val="0"/>
              <w:autoSpaceDN w:val="0"/>
              <w:adjustRightInd w:val="0"/>
              <w:jc w:val="right"/>
              <w:rPr>
                <w:rFonts w:ascii="Arial" w:hAnsi="Arial" w:cs="Arial"/>
                <w:noProof/>
                <w:sz w:val="18"/>
                <w:szCs w:val="18"/>
                <w:highlight w:val="yellow"/>
              </w:rPr>
            </w:pPr>
            <w:r w:rsidRPr="00733C86">
              <w:rPr>
                <w:rFonts w:ascii="Arial" w:hAnsi="Arial" w:cs="Arial"/>
                <w:sz w:val="18"/>
                <w:szCs w:val="18"/>
              </w:rPr>
              <w:t xml:space="preserve">224.920 </w:t>
            </w:r>
          </w:p>
        </w:tc>
      </w:tr>
      <w:tr w:rsidR="006637B6" w:rsidRPr="00AF3AB8" w14:paraId="14641E48" w14:textId="77777777" w:rsidTr="003C2633">
        <w:trPr>
          <w:trHeight w:val="80"/>
        </w:trPr>
        <w:tc>
          <w:tcPr>
            <w:tcW w:w="4957" w:type="dxa"/>
            <w:tcBorders>
              <w:bottom w:val="single" w:sz="4" w:space="0" w:color="auto"/>
            </w:tcBorders>
          </w:tcPr>
          <w:p w14:paraId="7C85C058" w14:textId="77777777" w:rsidR="006637B6" w:rsidRPr="00AF3AB8" w:rsidRDefault="006637B6" w:rsidP="00AA40A5">
            <w:pPr>
              <w:ind w:firstLineChars="200" w:firstLine="360"/>
              <w:jc w:val="both"/>
              <w:rPr>
                <w:rFonts w:ascii="Arial" w:hAnsi="Arial" w:cs="Arial"/>
                <w:sz w:val="18"/>
                <w:szCs w:val="18"/>
              </w:rPr>
            </w:pPr>
          </w:p>
        </w:tc>
        <w:tc>
          <w:tcPr>
            <w:tcW w:w="1417" w:type="dxa"/>
            <w:tcBorders>
              <w:bottom w:val="single" w:sz="4" w:space="0" w:color="auto"/>
            </w:tcBorders>
            <w:vAlign w:val="bottom"/>
          </w:tcPr>
          <w:p w14:paraId="3230D832" w14:textId="6C209202"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tcBorders>
              <w:bottom w:val="single" w:sz="4" w:space="0" w:color="auto"/>
            </w:tcBorders>
            <w:vAlign w:val="bottom"/>
          </w:tcPr>
          <w:p w14:paraId="16E2C31E" w14:textId="62A532FD"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r>
      <w:tr w:rsidR="00F075C4" w:rsidRPr="00AF3AB8" w14:paraId="1B104E06" w14:textId="77777777" w:rsidTr="003C2633">
        <w:tc>
          <w:tcPr>
            <w:tcW w:w="4957" w:type="dxa"/>
            <w:tcBorders>
              <w:top w:val="single" w:sz="4" w:space="0" w:color="auto"/>
              <w:bottom w:val="single" w:sz="4" w:space="0" w:color="auto"/>
            </w:tcBorders>
          </w:tcPr>
          <w:p w14:paraId="5FEA7577" w14:textId="77777777" w:rsidR="00F075C4" w:rsidRPr="00AF3AB8" w:rsidRDefault="00F075C4" w:rsidP="00F075C4">
            <w:pPr>
              <w:jc w:val="both"/>
              <w:rPr>
                <w:rFonts w:ascii="Arial" w:hAnsi="Arial" w:cs="Arial"/>
                <w:b/>
                <w:bCs/>
                <w:sz w:val="18"/>
                <w:szCs w:val="18"/>
                <w:lang w:eastAsia="es-AR"/>
              </w:rPr>
            </w:pPr>
            <w:r w:rsidRPr="00AF3AB8">
              <w:rPr>
                <w:rFonts w:ascii="Arial" w:hAnsi="Arial" w:cs="Arial"/>
                <w:b/>
                <w:bCs/>
                <w:sz w:val="18"/>
                <w:szCs w:val="18"/>
              </w:rPr>
              <w:t>TOTAL</w:t>
            </w:r>
          </w:p>
        </w:tc>
        <w:tc>
          <w:tcPr>
            <w:tcW w:w="1417" w:type="dxa"/>
            <w:tcBorders>
              <w:top w:val="single" w:sz="4" w:space="0" w:color="auto"/>
              <w:bottom w:val="single" w:sz="4" w:space="0" w:color="auto"/>
            </w:tcBorders>
            <w:vAlign w:val="bottom"/>
          </w:tcPr>
          <w:p w14:paraId="40A930BE" w14:textId="6B9F32AE" w:rsidR="00F075C4" w:rsidRPr="00733C86" w:rsidRDefault="00F075C4" w:rsidP="00F075C4">
            <w:pPr>
              <w:jc w:val="right"/>
              <w:rPr>
                <w:rFonts w:ascii="Arial" w:hAnsi="Arial" w:cs="Arial"/>
                <w:b/>
                <w:bCs/>
                <w:sz w:val="18"/>
                <w:szCs w:val="18"/>
              </w:rPr>
            </w:pPr>
            <w:r w:rsidRPr="00733C86">
              <w:rPr>
                <w:rFonts w:ascii="Arial" w:hAnsi="Arial" w:cs="Arial"/>
                <w:b/>
                <w:bCs/>
                <w:sz w:val="18"/>
                <w:szCs w:val="18"/>
              </w:rPr>
              <w:t>52.857.316</w:t>
            </w:r>
          </w:p>
        </w:tc>
        <w:tc>
          <w:tcPr>
            <w:tcW w:w="1418" w:type="dxa"/>
            <w:tcBorders>
              <w:top w:val="single" w:sz="4" w:space="0" w:color="auto"/>
              <w:bottom w:val="single" w:sz="4" w:space="0" w:color="auto"/>
            </w:tcBorders>
            <w:vAlign w:val="bottom"/>
          </w:tcPr>
          <w:p w14:paraId="35BFD30C" w14:textId="5568243D"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54.347.825</w:t>
            </w:r>
          </w:p>
        </w:tc>
      </w:tr>
      <w:tr w:rsidR="006637B6" w:rsidRPr="00AF3AB8" w14:paraId="187C1B79" w14:textId="77777777" w:rsidTr="003C2633">
        <w:trPr>
          <w:trHeight w:val="20"/>
        </w:trPr>
        <w:tc>
          <w:tcPr>
            <w:tcW w:w="4957" w:type="dxa"/>
            <w:tcBorders>
              <w:top w:val="single" w:sz="4" w:space="0" w:color="auto"/>
              <w:bottom w:val="single" w:sz="4" w:space="0" w:color="auto"/>
            </w:tcBorders>
          </w:tcPr>
          <w:p w14:paraId="5B8E0DC6" w14:textId="77777777" w:rsidR="006637B6" w:rsidRPr="00AF3AB8" w:rsidRDefault="006637B6" w:rsidP="00AA40A5">
            <w:pPr>
              <w:widowControl w:val="0"/>
              <w:autoSpaceDE w:val="0"/>
              <w:autoSpaceDN w:val="0"/>
              <w:adjustRightInd w:val="0"/>
              <w:jc w:val="both"/>
              <w:rPr>
                <w:rFonts w:ascii="Arial" w:hAnsi="Arial" w:cs="Arial"/>
                <w:noProof/>
                <w:sz w:val="10"/>
                <w:szCs w:val="10"/>
                <w:highlight w:val="yellow"/>
              </w:rPr>
            </w:pPr>
          </w:p>
        </w:tc>
        <w:tc>
          <w:tcPr>
            <w:tcW w:w="1417" w:type="dxa"/>
            <w:tcBorders>
              <w:top w:val="single" w:sz="4" w:space="0" w:color="auto"/>
              <w:bottom w:val="single" w:sz="4" w:space="0" w:color="auto"/>
            </w:tcBorders>
          </w:tcPr>
          <w:p w14:paraId="73B35DB6" w14:textId="448D7E1B"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tcBorders>
              <w:top w:val="single" w:sz="4" w:space="0" w:color="auto"/>
              <w:bottom w:val="single" w:sz="4" w:space="0" w:color="auto"/>
            </w:tcBorders>
          </w:tcPr>
          <w:p w14:paraId="431F07D4" w14:textId="2B488572" w:rsidR="006637B6" w:rsidRPr="00733C86" w:rsidRDefault="006637B6" w:rsidP="006637B6">
            <w:pPr>
              <w:widowControl w:val="0"/>
              <w:autoSpaceDE w:val="0"/>
              <w:autoSpaceDN w:val="0"/>
              <w:adjustRightInd w:val="0"/>
              <w:jc w:val="right"/>
              <w:rPr>
                <w:rFonts w:ascii="Arial" w:hAnsi="Arial" w:cs="Arial"/>
                <w:noProof/>
                <w:sz w:val="18"/>
                <w:szCs w:val="18"/>
                <w:highlight w:val="yellow"/>
              </w:rPr>
            </w:pPr>
          </w:p>
        </w:tc>
      </w:tr>
      <w:tr w:rsidR="00F075C4" w:rsidRPr="00AF3AB8" w14:paraId="164D4C1E" w14:textId="77777777" w:rsidTr="003C2633">
        <w:tc>
          <w:tcPr>
            <w:tcW w:w="4957" w:type="dxa"/>
            <w:tcBorders>
              <w:top w:val="single" w:sz="4" w:space="0" w:color="auto"/>
              <w:bottom w:val="single" w:sz="4" w:space="0" w:color="auto"/>
            </w:tcBorders>
          </w:tcPr>
          <w:p w14:paraId="40B4ED55" w14:textId="73D6CA00" w:rsidR="00F075C4" w:rsidRPr="00AF3AB8" w:rsidRDefault="00F075C4" w:rsidP="00F075C4">
            <w:pPr>
              <w:jc w:val="both"/>
              <w:rPr>
                <w:rFonts w:ascii="Arial" w:hAnsi="Arial" w:cs="Arial"/>
                <w:b/>
                <w:bCs/>
                <w:sz w:val="18"/>
                <w:szCs w:val="18"/>
                <w:lang w:eastAsia="es-AR"/>
              </w:rPr>
            </w:pPr>
            <w:r w:rsidRPr="00AF3AB8">
              <w:rPr>
                <w:rFonts w:ascii="Arial" w:hAnsi="Arial" w:cs="Arial"/>
                <w:b/>
                <w:bCs/>
                <w:sz w:val="18"/>
                <w:szCs w:val="18"/>
              </w:rPr>
              <w:t>TOTAL GENERAL (1)</w:t>
            </w:r>
          </w:p>
        </w:tc>
        <w:tc>
          <w:tcPr>
            <w:tcW w:w="1417" w:type="dxa"/>
            <w:tcBorders>
              <w:top w:val="single" w:sz="4" w:space="0" w:color="auto"/>
              <w:bottom w:val="single" w:sz="4" w:space="0" w:color="auto"/>
            </w:tcBorders>
          </w:tcPr>
          <w:p w14:paraId="78019CAF" w14:textId="05E3C602" w:rsidR="00F075C4" w:rsidRPr="00733C86" w:rsidRDefault="00F075C4" w:rsidP="00F075C4">
            <w:pPr>
              <w:jc w:val="right"/>
              <w:rPr>
                <w:rFonts w:ascii="Arial" w:hAnsi="Arial" w:cs="Arial"/>
                <w:b/>
                <w:bCs/>
                <w:color w:val="000000"/>
                <w:sz w:val="18"/>
                <w:szCs w:val="18"/>
              </w:rPr>
            </w:pPr>
            <w:r w:rsidRPr="00733C86">
              <w:rPr>
                <w:rFonts w:ascii="Arial" w:hAnsi="Arial" w:cs="Arial"/>
                <w:b/>
                <w:bCs/>
                <w:color w:val="000000"/>
                <w:sz w:val="18"/>
                <w:szCs w:val="18"/>
              </w:rPr>
              <w:t>99.868.819</w:t>
            </w:r>
          </w:p>
        </w:tc>
        <w:tc>
          <w:tcPr>
            <w:tcW w:w="1418" w:type="dxa"/>
            <w:tcBorders>
              <w:top w:val="single" w:sz="4" w:space="0" w:color="auto"/>
              <w:bottom w:val="single" w:sz="4" w:space="0" w:color="auto"/>
            </w:tcBorders>
          </w:tcPr>
          <w:p w14:paraId="70E4D85D" w14:textId="0E2FFADE" w:rsidR="00F075C4" w:rsidRPr="00733C86" w:rsidRDefault="00F075C4" w:rsidP="00F075C4">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color w:val="000000"/>
                <w:sz w:val="18"/>
                <w:szCs w:val="18"/>
              </w:rPr>
              <w:t>102.961.859</w:t>
            </w:r>
          </w:p>
        </w:tc>
      </w:tr>
      <w:tr w:rsidR="00F246A3" w:rsidRPr="00AF3AB8" w14:paraId="06A85C89" w14:textId="77777777" w:rsidTr="003C2633">
        <w:tc>
          <w:tcPr>
            <w:tcW w:w="4957" w:type="dxa"/>
            <w:tcBorders>
              <w:top w:val="single" w:sz="4" w:space="0" w:color="auto"/>
            </w:tcBorders>
          </w:tcPr>
          <w:p w14:paraId="4BC54E2D" w14:textId="77777777" w:rsidR="00F246A3" w:rsidRPr="00AF3AB8" w:rsidRDefault="00F246A3" w:rsidP="00AA40A5">
            <w:pPr>
              <w:widowControl w:val="0"/>
              <w:autoSpaceDE w:val="0"/>
              <w:autoSpaceDN w:val="0"/>
              <w:adjustRightInd w:val="0"/>
              <w:jc w:val="both"/>
              <w:rPr>
                <w:rFonts w:ascii="Arial" w:hAnsi="Arial" w:cs="Arial"/>
                <w:noProof/>
                <w:sz w:val="18"/>
                <w:szCs w:val="18"/>
                <w:highlight w:val="yellow"/>
              </w:rPr>
            </w:pPr>
          </w:p>
        </w:tc>
        <w:tc>
          <w:tcPr>
            <w:tcW w:w="1417" w:type="dxa"/>
            <w:tcBorders>
              <w:top w:val="single" w:sz="4" w:space="0" w:color="auto"/>
            </w:tcBorders>
          </w:tcPr>
          <w:p w14:paraId="6B54F7DA" w14:textId="77777777" w:rsidR="00F246A3" w:rsidRPr="00AF3AB8" w:rsidRDefault="00F246A3" w:rsidP="00AA40A5">
            <w:pPr>
              <w:widowControl w:val="0"/>
              <w:autoSpaceDE w:val="0"/>
              <w:autoSpaceDN w:val="0"/>
              <w:adjustRightInd w:val="0"/>
              <w:jc w:val="both"/>
              <w:rPr>
                <w:rFonts w:ascii="Arial" w:hAnsi="Arial" w:cs="Arial"/>
                <w:noProof/>
                <w:sz w:val="18"/>
                <w:szCs w:val="18"/>
                <w:highlight w:val="yellow"/>
              </w:rPr>
            </w:pPr>
          </w:p>
        </w:tc>
        <w:tc>
          <w:tcPr>
            <w:tcW w:w="1418" w:type="dxa"/>
            <w:tcBorders>
              <w:top w:val="single" w:sz="4" w:space="0" w:color="auto"/>
            </w:tcBorders>
          </w:tcPr>
          <w:p w14:paraId="35B5486D" w14:textId="77777777" w:rsidR="00F246A3" w:rsidRPr="00AF3AB8" w:rsidRDefault="00F246A3" w:rsidP="00AA40A5">
            <w:pPr>
              <w:widowControl w:val="0"/>
              <w:autoSpaceDE w:val="0"/>
              <w:autoSpaceDN w:val="0"/>
              <w:adjustRightInd w:val="0"/>
              <w:jc w:val="both"/>
              <w:rPr>
                <w:rFonts w:ascii="Arial" w:hAnsi="Arial" w:cs="Arial"/>
                <w:noProof/>
                <w:sz w:val="18"/>
                <w:szCs w:val="18"/>
                <w:highlight w:val="yellow"/>
              </w:rPr>
            </w:pPr>
          </w:p>
        </w:tc>
      </w:tr>
      <w:tr w:rsidR="00F246A3" w14:paraId="7CD84CAA" w14:textId="77777777" w:rsidTr="003C2633">
        <w:tc>
          <w:tcPr>
            <w:tcW w:w="7792" w:type="dxa"/>
            <w:gridSpan w:val="3"/>
          </w:tcPr>
          <w:p w14:paraId="72FA0680" w14:textId="4E00CA9C" w:rsidR="00F246A3" w:rsidRPr="00F246A3" w:rsidRDefault="00F246A3" w:rsidP="00AA40A5">
            <w:pPr>
              <w:widowControl w:val="0"/>
              <w:autoSpaceDE w:val="0"/>
              <w:autoSpaceDN w:val="0"/>
              <w:adjustRightInd w:val="0"/>
              <w:jc w:val="both"/>
              <w:rPr>
                <w:rFonts w:ascii="Arial" w:hAnsi="Arial" w:cs="Arial"/>
                <w:b/>
                <w:noProof/>
                <w:sz w:val="18"/>
                <w:szCs w:val="18"/>
                <w:highlight w:val="yellow"/>
              </w:rPr>
            </w:pPr>
            <w:r w:rsidRPr="00F246A3">
              <w:rPr>
                <w:rFonts w:ascii="Arial" w:hAnsi="Arial" w:cs="Arial"/>
                <w:b/>
                <w:noProof/>
                <w:sz w:val="18"/>
                <w:szCs w:val="18"/>
              </w:rPr>
              <w:t>(1) Conciliación entre el Anexo B  y el Estado de Situacion Financiera:</w:t>
            </w:r>
          </w:p>
        </w:tc>
      </w:tr>
      <w:tr w:rsidR="00F30989" w14:paraId="51E31AC7" w14:textId="77777777" w:rsidTr="003C2633">
        <w:tc>
          <w:tcPr>
            <w:tcW w:w="4957" w:type="dxa"/>
          </w:tcPr>
          <w:p w14:paraId="110212D1" w14:textId="5B1BBAE5" w:rsidR="00F30989" w:rsidRPr="00F246A3" w:rsidRDefault="00F30989" w:rsidP="00F30989">
            <w:pPr>
              <w:jc w:val="both"/>
              <w:rPr>
                <w:rFonts w:ascii="Arial" w:hAnsi="Arial" w:cs="Arial"/>
                <w:b/>
                <w:bCs/>
                <w:color w:val="000000"/>
                <w:sz w:val="18"/>
                <w:szCs w:val="18"/>
                <w:lang w:eastAsia="es-AR"/>
              </w:rPr>
            </w:pPr>
            <w:r w:rsidRPr="00F246A3">
              <w:rPr>
                <w:rFonts w:ascii="Arial" w:hAnsi="Arial" w:cs="Arial"/>
                <w:b/>
                <w:bCs/>
                <w:color w:val="000000"/>
                <w:sz w:val="18"/>
                <w:szCs w:val="18"/>
              </w:rPr>
              <w:t>Préstamos y otras financiaciones</w:t>
            </w:r>
          </w:p>
        </w:tc>
        <w:tc>
          <w:tcPr>
            <w:tcW w:w="1417" w:type="dxa"/>
            <w:vAlign w:val="bottom"/>
          </w:tcPr>
          <w:p w14:paraId="1798958C" w14:textId="1B8E2111" w:rsidR="00F30989" w:rsidRPr="00F075C4" w:rsidRDefault="00F30989" w:rsidP="00F30989">
            <w:pPr>
              <w:widowControl w:val="0"/>
              <w:autoSpaceDE w:val="0"/>
              <w:autoSpaceDN w:val="0"/>
              <w:adjustRightInd w:val="0"/>
              <w:jc w:val="right"/>
              <w:rPr>
                <w:rFonts w:ascii="Arial" w:hAnsi="Arial" w:cs="Arial"/>
                <w:b/>
                <w:noProof/>
                <w:sz w:val="16"/>
                <w:szCs w:val="16"/>
                <w:highlight w:val="yellow"/>
              </w:rPr>
            </w:pPr>
            <w:r w:rsidRPr="00F075C4">
              <w:rPr>
                <w:rFonts w:ascii="Arial" w:hAnsi="Arial" w:cs="Arial"/>
                <w:b/>
                <w:bCs/>
                <w:sz w:val="16"/>
                <w:szCs w:val="16"/>
              </w:rPr>
              <w:t>88.212.159</w:t>
            </w:r>
          </w:p>
        </w:tc>
        <w:tc>
          <w:tcPr>
            <w:tcW w:w="1418" w:type="dxa"/>
            <w:vAlign w:val="bottom"/>
          </w:tcPr>
          <w:p w14:paraId="53ADE97C" w14:textId="5E4F00F4" w:rsidR="00F30989" w:rsidRPr="00F30989" w:rsidRDefault="00F30989" w:rsidP="00F30989">
            <w:pPr>
              <w:widowControl w:val="0"/>
              <w:autoSpaceDE w:val="0"/>
              <w:autoSpaceDN w:val="0"/>
              <w:adjustRightInd w:val="0"/>
              <w:jc w:val="right"/>
              <w:rPr>
                <w:rFonts w:ascii="Arial" w:hAnsi="Arial" w:cs="Arial"/>
                <w:b/>
                <w:noProof/>
                <w:sz w:val="16"/>
                <w:szCs w:val="16"/>
                <w:highlight w:val="yellow"/>
              </w:rPr>
            </w:pPr>
            <w:r w:rsidRPr="00F30989">
              <w:rPr>
                <w:rFonts w:ascii="Arial" w:hAnsi="Arial" w:cs="Arial"/>
                <w:b/>
                <w:bCs/>
                <w:sz w:val="16"/>
                <w:szCs w:val="16"/>
              </w:rPr>
              <w:t>95.275.74</w:t>
            </w:r>
            <w:r w:rsidR="00AE10E4">
              <w:rPr>
                <w:rFonts w:ascii="Arial" w:hAnsi="Arial" w:cs="Arial"/>
                <w:b/>
                <w:bCs/>
                <w:sz w:val="16"/>
                <w:szCs w:val="16"/>
              </w:rPr>
              <w:t>0</w:t>
            </w:r>
            <w:r w:rsidRPr="00F30989">
              <w:rPr>
                <w:rFonts w:ascii="Arial" w:hAnsi="Arial" w:cs="Arial"/>
                <w:b/>
                <w:bCs/>
                <w:sz w:val="16"/>
                <w:szCs w:val="16"/>
              </w:rPr>
              <w:t xml:space="preserve"> </w:t>
            </w:r>
          </w:p>
        </w:tc>
      </w:tr>
      <w:tr w:rsidR="00F30989" w14:paraId="6F6545F8" w14:textId="77777777" w:rsidTr="003C2633">
        <w:tc>
          <w:tcPr>
            <w:tcW w:w="4957" w:type="dxa"/>
          </w:tcPr>
          <w:p w14:paraId="1087313E" w14:textId="56A017EB" w:rsidR="00F30989" w:rsidRPr="00F246A3" w:rsidRDefault="00F30989" w:rsidP="00F30989">
            <w:pPr>
              <w:jc w:val="both"/>
              <w:rPr>
                <w:rFonts w:ascii="Arial" w:hAnsi="Arial" w:cs="Arial"/>
                <w:b/>
                <w:bCs/>
                <w:color w:val="000000"/>
                <w:sz w:val="18"/>
                <w:szCs w:val="18"/>
                <w:lang w:eastAsia="es-AR"/>
              </w:rPr>
            </w:pPr>
            <w:r w:rsidRPr="00F246A3">
              <w:rPr>
                <w:rFonts w:ascii="Arial" w:hAnsi="Arial" w:cs="Arial"/>
                <w:b/>
                <w:bCs/>
                <w:color w:val="000000"/>
                <w:sz w:val="18"/>
                <w:szCs w:val="18"/>
              </w:rPr>
              <w:t>Otros títulos de deuda</w:t>
            </w:r>
          </w:p>
        </w:tc>
        <w:tc>
          <w:tcPr>
            <w:tcW w:w="1417" w:type="dxa"/>
            <w:vAlign w:val="bottom"/>
          </w:tcPr>
          <w:p w14:paraId="2D78CF0C" w14:textId="36973F20" w:rsidR="00F30989" w:rsidRPr="00F075C4" w:rsidRDefault="00F30989" w:rsidP="00F30989">
            <w:pPr>
              <w:widowControl w:val="0"/>
              <w:autoSpaceDE w:val="0"/>
              <w:autoSpaceDN w:val="0"/>
              <w:adjustRightInd w:val="0"/>
              <w:jc w:val="right"/>
              <w:rPr>
                <w:rFonts w:ascii="Arial" w:hAnsi="Arial" w:cs="Arial"/>
                <w:b/>
                <w:noProof/>
                <w:sz w:val="16"/>
                <w:szCs w:val="16"/>
                <w:highlight w:val="yellow"/>
              </w:rPr>
            </w:pPr>
            <w:r w:rsidRPr="00F075C4">
              <w:rPr>
                <w:rFonts w:ascii="Arial" w:hAnsi="Arial" w:cs="Arial"/>
                <w:b/>
                <w:bCs/>
                <w:sz w:val="16"/>
                <w:szCs w:val="16"/>
              </w:rPr>
              <w:t>46.241.234</w:t>
            </w:r>
          </w:p>
        </w:tc>
        <w:tc>
          <w:tcPr>
            <w:tcW w:w="1418" w:type="dxa"/>
            <w:vAlign w:val="bottom"/>
          </w:tcPr>
          <w:p w14:paraId="0EABC9B1" w14:textId="17E480A9" w:rsidR="00F30989" w:rsidRPr="00F30989" w:rsidRDefault="00F30989" w:rsidP="00F30989">
            <w:pPr>
              <w:widowControl w:val="0"/>
              <w:autoSpaceDE w:val="0"/>
              <w:autoSpaceDN w:val="0"/>
              <w:adjustRightInd w:val="0"/>
              <w:jc w:val="right"/>
              <w:rPr>
                <w:rFonts w:ascii="Arial" w:hAnsi="Arial" w:cs="Arial"/>
                <w:b/>
                <w:noProof/>
                <w:sz w:val="16"/>
                <w:szCs w:val="16"/>
                <w:highlight w:val="yellow"/>
              </w:rPr>
            </w:pPr>
            <w:r w:rsidRPr="00F30989">
              <w:rPr>
                <w:rFonts w:ascii="Arial" w:hAnsi="Arial" w:cs="Arial"/>
                <w:b/>
                <w:bCs/>
                <w:sz w:val="16"/>
                <w:szCs w:val="16"/>
              </w:rPr>
              <w:t>11.057.89</w:t>
            </w:r>
            <w:r w:rsidR="00AE10E4">
              <w:rPr>
                <w:rFonts w:ascii="Arial" w:hAnsi="Arial" w:cs="Arial"/>
                <w:b/>
                <w:bCs/>
                <w:sz w:val="16"/>
                <w:szCs w:val="16"/>
              </w:rPr>
              <w:t>2</w:t>
            </w:r>
          </w:p>
        </w:tc>
      </w:tr>
      <w:tr w:rsidR="00F075C4" w14:paraId="767EC60A" w14:textId="77777777" w:rsidTr="003C2633">
        <w:tc>
          <w:tcPr>
            <w:tcW w:w="4957" w:type="dxa"/>
          </w:tcPr>
          <w:p w14:paraId="0CC1DEA6" w14:textId="17F7CE55" w:rsidR="00F075C4" w:rsidRPr="00F246A3" w:rsidRDefault="00F075C4" w:rsidP="00F075C4">
            <w:pPr>
              <w:jc w:val="both"/>
              <w:rPr>
                <w:rFonts w:ascii="Arial" w:hAnsi="Arial" w:cs="Arial"/>
                <w:b/>
                <w:bCs/>
                <w:color w:val="000000"/>
                <w:sz w:val="18"/>
                <w:szCs w:val="18"/>
                <w:lang w:eastAsia="es-AR"/>
              </w:rPr>
            </w:pPr>
            <w:r w:rsidRPr="00F246A3">
              <w:rPr>
                <w:rFonts w:ascii="Arial" w:hAnsi="Arial" w:cs="Arial"/>
                <w:b/>
                <w:bCs/>
                <w:color w:val="000000"/>
                <w:sz w:val="18"/>
                <w:szCs w:val="18"/>
              </w:rPr>
              <w:t>Partidas computables fuera de balance</w:t>
            </w:r>
          </w:p>
        </w:tc>
        <w:tc>
          <w:tcPr>
            <w:tcW w:w="1417" w:type="dxa"/>
            <w:vAlign w:val="bottom"/>
          </w:tcPr>
          <w:p w14:paraId="04874D91" w14:textId="635D8012" w:rsidR="00F075C4" w:rsidRPr="00F075C4" w:rsidRDefault="00F075C4" w:rsidP="00F075C4">
            <w:pPr>
              <w:widowControl w:val="0"/>
              <w:autoSpaceDE w:val="0"/>
              <w:autoSpaceDN w:val="0"/>
              <w:adjustRightInd w:val="0"/>
              <w:jc w:val="right"/>
              <w:rPr>
                <w:rFonts w:ascii="Arial" w:hAnsi="Arial" w:cs="Arial"/>
                <w:b/>
                <w:noProof/>
                <w:sz w:val="16"/>
                <w:szCs w:val="16"/>
                <w:highlight w:val="yellow"/>
              </w:rPr>
            </w:pPr>
            <w:r w:rsidRPr="00F075C4">
              <w:rPr>
                <w:rFonts w:ascii="Arial" w:hAnsi="Arial" w:cs="Arial"/>
                <w:b/>
                <w:bCs/>
                <w:sz w:val="16"/>
                <w:szCs w:val="16"/>
              </w:rPr>
              <w:t>5.189.972</w:t>
            </w:r>
          </w:p>
        </w:tc>
        <w:tc>
          <w:tcPr>
            <w:tcW w:w="1418" w:type="dxa"/>
            <w:vAlign w:val="bottom"/>
          </w:tcPr>
          <w:p w14:paraId="55B75D2F" w14:textId="565615AE" w:rsidR="00F075C4" w:rsidRPr="00F075C4" w:rsidRDefault="00F075C4" w:rsidP="00F075C4">
            <w:pPr>
              <w:widowControl w:val="0"/>
              <w:autoSpaceDE w:val="0"/>
              <w:autoSpaceDN w:val="0"/>
              <w:adjustRightInd w:val="0"/>
              <w:jc w:val="right"/>
              <w:rPr>
                <w:rFonts w:ascii="Arial" w:hAnsi="Arial" w:cs="Arial"/>
                <w:b/>
                <w:noProof/>
                <w:sz w:val="16"/>
                <w:szCs w:val="16"/>
                <w:highlight w:val="yellow"/>
              </w:rPr>
            </w:pPr>
            <w:r w:rsidRPr="00F075C4">
              <w:rPr>
                <w:rFonts w:ascii="Arial" w:hAnsi="Arial" w:cs="Arial"/>
                <w:b/>
                <w:bCs/>
                <w:sz w:val="16"/>
                <w:szCs w:val="16"/>
              </w:rPr>
              <w:t xml:space="preserve">962.613 </w:t>
            </w:r>
          </w:p>
        </w:tc>
      </w:tr>
      <w:tr w:rsidR="00F075C4" w14:paraId="4E4B3580" w14:textId="77777777" w:rsidTr="003C2633">
        <w:tc>
          <w:tcPr>
            <w:tcW w:w="4957" w:type="dxa"/>
          </w:tcPr>
          <w:p w14:paraId="78805209" w14:textId="0F68B294" w:rsidR="00F075C4" w:rsidRPr="00F246A3" w:rsidRDefault="00F075C4" w:rsidP="00F075C4">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previsiones</w:t>
            </w:r>
          </w:p>
        </w:tc>
        <w:tc>
          <w:tcPr>
            <w:tcW w:w="1417" w:type="dxa"/>
            <w:vAlign w:val="bottom"/>
          </w:tcPr>
          <w:p w14:paraId="6DD80C64" w14:textId="15071D64" w:rsidR="00F075C4" w:rsidRPr="00F075C4" w:rsidRDefault="00F075C4" w:rsidP="00F075C4">
            <w:pPr>
              <w:widowControl w:val="0"/>
              <w:autoSpaceDE w:val="0"/>
              <w:autoSpaceDN w:val="0"/>
              <w:adjustRightInd w:val="0"/>
              <w:jc w:val="right"/>
              <w:rPr>
                <w:rFonts w:ascii="Arial" w:hAnsi="Arial" w:cs="Arial"/>
                <w:noProof/>
                <w:sz w:val="16"/>
                <w:szCs w:val="16"/>
                <w:highlight w:val="yellow"/>
              </w:rPr>
            </w:pPr>
            <w:r w:rsidRPr="00F075C4">
              <w:rPr>
                <w:rFonts w:ascii="Arial" w:hAnsi="Arial" w:cs="Arial"/>
                <w:color w:val="000000"/>
                <w:sz w:val="16"/>
                <w:szCs w:val="16"/>
              </w:rPr>
              <w:t>6.069.752</w:t>
            </w:r>
          </w:p>
        </w:tc>
        <w:tc>
          <w:tcPr>
            <w:tcW w:w="1418" w:type="dxa"/>
            <w:vAlign w:val="bottom"/>
          </w:tcPr>
          <w:p w14:paraId="1460528A" w14:textId="4A68F4D0" w:rsidR="00F075C4" w:rsidRPr="00F30989" w:rsidRDefault="00F30989" w:rsidP="00F30989">
            <w:pPr>
              <w:jc w:val="right"/>
              <w:rPr>
                <w:rFonts w:ascii="Arial" w:hAnsi="Arial" w:cs="Arial"/>
                <w:color w:val="000000"/>
                <w:sz w:val="16"/>
                <w:szCs w:val="16"/>
                <w:lang w:eastAsia="es-AR"/>
              </w:rPr>
            </w:pPr>
            <w:r w:rsidRPr="00F30989">
              <w:rPr>
                <w:rFonts w:ascii="Arial" w:hAnsi="Arial" w:cs="Arial"/>
                <w:color w:val="000000"/>
                <w:sz w:val="16"/>
                <w:szCs w:val="16"/>
              </w:rPr>
              <w:t>6.261.364</w:t>
            </w:r>
          </w:p>
        </w:tc>
      </w:tr>
      <w:tr w:rsidR="00F075C4" w14:paraId="16ADB9C4" w14:textId="77777777" w:rsidTr="003C2633">
        <w:tc>
          <w:tcPr>
            <w:tcW w:w="4957" w:type="dxa"/>
          </w:tcPr>
          <w:p w14:paraId="36504046" w14:textId="6062F558" w:rsidR="00F075C4" w:rsidRPr="00F246A3" w:rsidRDefault="00F075C4" w:rsidP="00F075C4">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ajustes NIIF no computables para el ESD</w:t>
            </w:r>
          </w:p>
        </w:tc>
        <w:tc>
          <w:tcPr>
            <w:tcW w:w="1417" w:type="dxa"/>
            <w:vAlign w:val="bottom"/>
          </w:tcPr>
          <w:p w14:paraId="3FBE8FED" w14:textId="4CFF398D" w:rsidR="00F075C4" w:rsidRPr="00F075C4" w:rsidRDefault="00F075C4" w:rsidP="00F075C4">
            <w:pPr>
              <w:widowControl w:val="0"/>
              <w:autoSpaceDE w:val="0"/>
              <w:autoSpaceDN w:val="0"/>
              <w:adjustRightInd w:val="0"/>
              <w:jc w:val="right"/>
              <w:rPr>
                <w:rFonts w:ascii="Arial" w:hAnsi="Arial" w:cs="Arial"/>
                <w:noProof/>
                <w:sz w:val="16"/>
                <w:szCs w:val="16"/>
                <w:highlight w:val="yellow"/>
              </w:rPr>
            </w:pPr>
            <w:r w:rsidRPr="00F075C4">
              <w:rPr>
                <w:rFonts w:ascii="Arial" w:hAnsi="Arial" w:cs="Arial"/>
                <w:color w:val="000000"/>
                <w:sz w:val="16"/>
                <w:szCs w:val="16"/>
              </w:rPr>
              <w:t>401.320</w:t>
            </w:r>
          </w:p>
        </w:tc>
        <w:tc>
          <w:tcPr>
            <w:tcW w:w="1418" w:type="dxa"/>
            <w:vAlign w:val="bottom"/>
          </w:tcPr>
          <w:p w14:paraId="0CA4506A" w14:textId="4474F7FE" w:rsidR="00F075C4" w:rsidRPr="00F075C4" w:rsidRDefault="00F075C4" w:rsidP="00F075C4">
            <w:pPr>
              <w:widowControl w:val="0"/>
              <w:autoSpaceDE w:val="0"/>
              <w:autoSpaceDN w:val="0"/>
              <w:adjustRightInd w:val="0"/>
              <w:jc w:val="right"/>
              <w:rPr>
                <w:rFonts w:ascii="Arial" w:hAnsi="Arial" w:cs="Arial"/>
                <w:noProof/>
                <w:sz w:val="16"/>
                <w:szCs w:val="16"/>
                <w:highlight w:val="yellow"/>
              </w:rPr>
            </w:pPr>
            <w:r w:rsidRPr="00F075C4">
              <w:rPr>
                <w:rFonts w:ascii="Arial" w:hAnsi="Arial" w:cs="Arial"/>
                <w:color w:val="000000"/>
                <w:sz w:val="16"/>
                <w:szCs w:val="16"/>
              </w:rPr>
              <w:t>467.941</w:t>
            </w:r>
          </w:p>
        </w:tc>
      </w:tr>
      <w:tr w:rsidR="00F075C4" w14:paraId="43C076E8" w14:textId="77777777" w:rsidTr="003C2633">
        <w:tc>
          <w:tcPr>
            <w:tcW w:w="4957" w:type="dxa"/>
          </w:tcPr>
          <w:p w14:paraId="1FAB2E63" w14:textId="466DB0EB" w:rsidR="00F075C4" w:rsidRPr="00F246A3" w:rsidRDefault="00F075C4" w:rsidP="00F075C4">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menos conceptos no computables para el ESD</w:t>
            </w:r>
          </w:p>
        </w:tc>
        <w:tc>
          <w:tcPr>
            <w:tcW w:w="1417" w:type="dxa"/>
            <w:vAlign w:val="bottom"/>
          </w:tcPr>
          <w:p w14:paraId="051F55D9" w14:textId="67A37641" w:rsidR="00F075C4" w:rsidRPr="00733C86" w:rsidRDefault="00733C86" w:rsidP="00F075C4">
            <w:pPr>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 xml:space="preserve">               </w:t>
            </w:r>
            <w:r w:rsidR="00F075C4" w:rsidRPr="00F075C4">
              <w:rPr>
                <w:rFonts w:ascii="Arial" w:hAnsi="Arial" w:cs="Arial"/>
                <w:color w:val="000000"/>
                <w:sz w:val="16"/>
                <w:szCs w:val="16"/>
              </w:rPr>
              <w:t>(4.417)</w:t>
            </w:r>
          </w:p>
        </w:tc>
        <w:tc>
          <w:tcPr>
            <w:tcW w:w="1418" w:type="dxa"/>
            <w:vAlign w:val="bottom"/>
          </w:tcPr>
          <w:p w14:paraId="1E2D1D0E" w14:textId="565AB4FF" w:rsidR="00F075C4" w:rsidRPr="00733C86" w:rsidRDefault="00F075C4" w:rsidP="00F075C4">
            <w:pPr>
              <w:widowControl w:val="0"/>
              <w:autoSpaceDE w:val="0"/>
              <w:autoSpaceDN w:val="0"/>
              <w:adjustRightInd w:val="0"/>
              <w:jc w:val="right"/>
              <w:rPr>
                <w:rFonts w:ascii="Arial" w:hAnsi="Arial" w:cs="Arial"/>
                <w:color w:val="000000"/>
                <w:sz w:val="16"/>
                <w:szCs w:val="16"/>
              </w:rPr>
            </w:pPr>
            <w:r w:rsidRPr="00F075C4">
              <w:rPr>
                <w:rFonts w:ascii="Arial" w:hAnsi="Arial" w:cs="Arial"/>
                <w:color w:val="000000"/>
                <w:sz w:val="16"/>
                <w:szCs w:val="16"/>
              </w:rPr>
              <w:t xml:space="preserve">            (5.835)</w:t>
            </w:r>
          </w:p>
        </w:tc>
      </w:tr>
      <w:tr w:rsidR="00F075C4" w14:paraId="525D7876" w14:textId="77777777" w:rsidTr="003C2633">
        <w:tc>
          <w:tcPr>
            <w:tcW w:w="4957" w:type="dxa"/>
          </w:tcPr>
          <w:p w14:paraId="499E6D6F" w14:textId="2FA364AC" w:rsidR="00F075C4" w:rsidRPr="00F246A3" w:rsidRDefault="00F075C4" w:rsidP="00F075C4">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Menos Títulos Públicos valuados a Costo Amortizado</w:t>
            </w:r>
          </w:p>
        </w:tc>
        <w:tc>
          <w:tcPr>
            <w:tcW w:w="1417" w:type="dxa"/>
            <w:tcBorders>
              <w:bottom w:val="single" w:sz="4" w:space="0" w:color="auto"/>
            </w:tcBorders>
            <w:vAlign w:val="bottom"/>
          </w:tcPr>
          <w:p w14:paraId="5DD91C48" w14:textId="6D9A5F85" w:rsidR="00F075C4" w:rsidRPr="00F075C4" w:rsidRDefault="00F075C4" w:rsidP="00F075C4">
            <w:pPr>
              <w:widowControl w:val="0"/>
              <w:autoSpaceDE w:val="0"/>
              <w:autoSpaceDN w:val="0"/>
              <w:adjustRightInd w:val="0"/>
              <w:jc w:val="right"/>
              <w:rPr>
                <w:rFonts w:ascii="Arial" w:hAnsi="Arial" w:cs="Arial"/>
                <w:noProof/>
                <w:sz w:val="16"/>
                <w:szCs w:val="16"/>
                <w:highlight w:val="yellow"/>
              </w:rPr>
            </w:pPr>
            <w:r w:rsidRPr="00F075C4">
              <w:rPr>
                <w:rFonts w:ascii="Arial" w:hAnsi="Arial" w:cs="Arial"/>
                <w:color w:val="000000"/>
                <w:sz w:val="16"/>
                <w:szCs w:val="16"/>
              </w:rPr>
              <w:t xml:space="preserve">      (46.241.201)</w:t>
            </w:r>
          </w:p>
        </w:tc>
        <w:tc>
          <w:tcPr>
            <w:tcW w:w="1418" w:type="dxa"/>
            <w:tcBorders>
              <w:bottom w:val="single" w:sz="4" w:space="0" w:color="auto"/>
            </w:tcBorders>
            <w:vAlign w:val="bottom"/>
          </w:tcPr>
          <w:p w14:paraId="6D1ED1A4" w14:textId="16F6119B" w:rsidR="00F075C4" w:rsidRPr="00F075C4" w:rsidRDefault="00F075C4" w:rsidP="00F075C4">
            <w:pPr>
              <w:widowControl w:val="0"/>
              <w:autoSpaceDE w:val="0"/>
              <w:autoSpaceDN w:val="0"/>
              <w:adjustRightInd w:val="0"/>
              <w:jc w:val="right"/>
              <w:rPr>
                <w:rFonts w:ascii="Arial" w:hAnsi="Arial" w:cs="Arial"/>
                <w:noProof/>
                <w:sz w:val="16"/>
                <w:szCs w:val="16"/>
                <w:highlight w:val="yellow"/>
              </w:rPr>
            </w:pPr>
            <w:r w:rsidRPr="00F075C4">
              <w:rPr>
                <w:rFonts w:ascii="Arial" w:hAnsi="Arial" w:cs="Arial"/>
                <w:color w:val="000000"/>
                <w:sz w:val="16"/>
                <w:szCs w:val="16"/>
              </w:rPr>
              <w:t xml:space="preserve"> (1</w:t>
            </w:r>
            <w:r w:rsidR="00F30989">
              <w:rPr>
                <w:rFonts w:ascii="Arial" w:hAnsi="Arial" w:cs="Arial"/>
                <w:color w:val="000000"/>
                <w:sz w:val="16"/>
                <w:szCs w:val="16"/>
              </w:rPr>
              <w:t>1</w:t>
            </w:r>
            <w:r w:rsidRPr="00F075C4">
              <w:rPr>
                <w:rFonts w:ascii="Arial" w:hAnsi="Arial" w:cs="Arial"/>
                <w:color w:val="000000"/>
                <w:sz w:val="16"/>
                <w:szCs w:val="16"/>
              </w:rPr>
              <w:t>.</w:t>
            </w:r>
            <w:r w:rsidR="00F30989">
              <w:rPr>
                <w:rFonts w:ascii="Arial" w:hAnsi="Arial" w:cs="Arial"/>
                <w:color w:val="000000"/>
                <w:sz w:val="16"/>
                <w:szCs w:val="16"/>
              </w:rPr>
              <w:t>057</w:t>
            </w:r>
            <w:r w:rsidRPr="00F075C4">
              <w:rPr>
                <w:rFonts w:ascii="Arial" w:hAnsi="Arial" w:cs="Arial"/>
                <w:color w:val="000000"/>
                <w:sz w:val="16"/>
                <w:szCs w:val="16"/>
              </w:rPr>
              <w:t>.</w:t>
            </w:r>
            <w:r w:rsidR="00F30989">
              <w:rPr>
                <w:rFonts w:ascii="Arial" w:hAnsi="Arial" w:cs="Arial"/>
                <w:color w:val="000000"/>
                <w:sz w:val="16"/>
                <w:szCs w:val="16"/>
              </w:rPr>
              <w:t>856</w:t>
            </w:r>
            <w:r w:rsidRPr="00F075C4">
              <w:rPr>
                <w:rFonts w:ascii="Arial" w:hAnsi="Arial" w:cs="Arial"/>
                <w:color w:val="000000"/>
                <w:sz w:val="16"/>
                <w:szCs w:val="16"/>
              </w:rPr>
              <w:t>)</w:t>
            </w:r>
          </w:p>
        </w:tc>
      </w:tr>
      <w:tr w:rsidR="00F075C4" w:rsidRPr="00F246A3" w14:paraId="5ABD8805" w14:textId="77777777" w:rsidTr="003C2633">
        <w:tc>
          <w:tcPr>
            <w:tcW w:w="4957" w:type="dxa"/>
          </w:tcPr>
          <w:p w14:paraId="66E338AE" w14:textId="46EDDAFE" w:rsidR="00F075C4" w:rsidRPr="00F246A3" w:rsidRDefault="00F075C4" w:rsidP="00F075C4">
            <w:pPr>
              <w:widowControl w:val="0"/>
              <w:autoSpaceDE w:val="0"/>
              <w:autoSpaceDN w:val="0"/>
              <w:adjustRightInd w:val="0"/>
              <w:jc w:val="both"/>
              <w:rPr>
                <w:rFonts w:ascii="Arial" w:hAnsi="Arial" w:cs="Arial"/>
                <w:b/>
                <w:noProof/>
                <w:sz w:val="20"/>
                <w:szCs w:val="18"/>
                <w:highlight w:val="yellow"/>
              </w:rPr>
            </w:pPr>
            <w:r w:rsidRPr="00F246A3">
              <w:rPr>
                <w:rFonts w:ascii="Arial" w:hAnsi="Arial" w:cs="Arial"/>
                <w:b/>
                <w:noProof/>
                <w:sz w:val="20"/>
                <w:szCs w:val="18"/>
              </w:rPr>
              <w:t>Total</w:t>
            </w:r>
          </w:p>
        </w:tc>
        <w:tc>
          <w:tcPr>
            <w:tcW w:w="1417" w:type="dxa"/>
            <w:tcBorders>
              <w:top w:val="single" w:sz="4" w:space="0" w:color="auto"/>
              <w:bottom w:val="single" w:sz="4" w:space="0" w:color="auto"/>
            </w:tcBorders>
            <w:vAlign w:val="bottom"/>
          </w:tcPr>
          <w:p w14:paraId="3602680B" w14:textId="564F69BA" w:rsidR="00F075C4" w:rsidRPr="00F075C4" w:rsidRDefault="00F075C4" w:rsidP="00F075C4">
            <w:pPr>
              <w:jc w:val="right"/>
              <w:rPr>
                <w:rFonts w:ascii="Arial" w:hAnsi="Arial" w:cs="Arial"/>
                <w:b/>
                <w:bCs/>
                <w:sz w:val="16"/>
                <w:szCs w:val="16"/>
              </w:rPr>
            </w:pPr>
            <w:r w:rsidRPr="00F075C4">
              <w:rPr>
                <w:rFonts w:ascii="Arial" w:hAnsi="Arial" w:cs="Arial"/>
                <w:b/>
                <w:bCs/>
                <w:sz w:val="16"/>
                <w:szCs w:val="16"/>
              </w:rPr>
              <w:t>99.868.819</w:t>
            </w:r>
          </w:p>
        </w:tc>
        <w:tc>
          <w:tcPr>
            <w:tcW w:w="1418" w:type="dxa"/>
            <w:tcBorders>
              <w:top w:val="single" w:sz="4" w:space="0" w:color="auto"/>
              <w:bottom w:val="single" w:sz="4" w:space="0" w:color="auto"/>
            </w:tcBorders>
            <w:vAlign w:val="bottom"/>
          </w:tcPr>
          <w:p w14:paraId="155E3901" w14:textId="22D94A77" w:rsidR="00F075C4" w:rsidRPr="00F075C4" w:rsidRDefault="00F075C4" w:rsidP="00F075C4">
            <w:pPr>
              <w:widowControl w:val="0"/>
              <w:autoSpaceDE w:val="0"/>
              <w:autoSpaceDN w:val="0"/>
              <w:adjustRightInd w:val="0"/>
              <w:jc w:val="right"/>
              <w:rPr>
                <w:rFonts w:ascii="Arial" w:hAnsi="Arial" w:cs="Arial"/>
                <w:b/>
                <w:noProof/>
                <w:sz w:val="16"/>
                <w:szCs w:val="16"/>
                <w:highlight w:val="yellow"/>
              </w:rPr>
            </w:pPr>
            <w:r w:rsidRPr="00F075C4">
              <w:rPr>
                <w:rFonts w:ascii="Arial" w:hAnsi="Arial" w:cs="Arial"/>
                <w:b/>
                <w:bCs/>
                <w:sz w:val="16"/>
                <w:szCs w:val="16"/>
              </w:rPr>
              <w:t xml:space="preserve">102.961.859 </w:t>
            </w:r>
          </w:p>
        </w:tc>
      </w:tr>
      <w:bookmarkEnd w:id="37"/>
      <w:bookmarkEnd w:id="38"/>
    </w:tbl>
    <w:p w14:paraId="24EF38F7" w14:textId="77777777" w:rsidR="00125098" w:rsidRDefault="00125098" w:rsidP="00276790">
      <w:pPr>
        <w:rPr>
          <w:sz w:val="20"/>
          <w:lang w:eastAsia="es-AR"/>
        </w:rPr>
        <w:sectPr w:rsidR="00125098" w:rsidSect="0056456F">
          <w:headerReference w:type="default" r:id="rId22"/>
          <w:pgSz w:w="11907" w:h="16839" w:code="9"/>
          <w:pgMar w:top="1418" w:right="1701" w:bottom="1418" w:left="1701" w:header="567" w:footer="0" w:gutter="0"/>
          <w:cols w:space="708"/>
          <w:docGrid w:linePitch="360"/>
        </w:sectPr>
      </w:pPr>
    </w:p>
    <w:p w14:paraId="0400658A" w14:textId="453532EB" w:rsidR="00537732" w:rsidRPr="00701F32" w:rsidRDefault="00537732" w:rsidP="00276790">
      <w:pPr>
        <w:rPr>
          <w:sz w:val="20"/>
          <w:lang w:eastAsia="es-AR"/>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14647F" w:rsidRPr="00C17D08" w14:paraId="2D10FA03" w14:textId="77777777" w:rsidTr="00066653">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6428F8" w14:textId="77777777" w:rsidR="0014647F" w:rsidRPr="007B34B2" w:rsidRDefault="0014647F" w:rsidP="00AA40A5">
            <w:pPr>
              <w:jc w:val="center"/>
              <w:rPr>
                <w:rFonts w:ascii="Arial" w:hAnsi="Arial" w:cs="Arial"/>
                <w:b/>
                <w:sz w:val="18"/>
                <w:szCs w:val="18"/>
              </w:rPr>
            </w:pPr>
            <w:bookmarkStart w:id="39" w:name="_Hlk9948038"/>
            <w:r w:rsidRPr="007B34B2">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46B31"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FINANCIACIONES</w:t>
            </w:r>
          </w:p>
        </w:tc>
      </w:tr>
      <w:tr w:rsidR="0014647F" w:rsidRPr="00C17D08" w14:paraId="7C2D8B53" w14:textId="77777777" w:rsidTr="00066653">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541C4E" w14:textId="77777777" w:rsidR="0014647F" w:rsidRPr="007B34B2" w:rsidRDefault="0014647F" w:rsidP="00AA40A5">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EDDA9" w14:textId="26B3553F" w:rsidR="0014647F" w:rsidRPr="007B34B2" w:rsidRDefault="0056793F" w:rsidP="005D476E">
            <w:pPr>
              <w:jc w:val="center"/>
              <w:rPr>
                <w:rFonts w:ascii="Arial" w:hAnsi="Arial" w:cs="Arial"/>
                <w:b/>
                <w:sz w:val="18"/>
                <w:szCs w:val="18"/>
              </w:rPr>
            </w:pPr>
            <w:r>
              <w:rPr>
                <w:rFonts w:ascii="Arial" w:hAnsi="Arial" w:cs="Arial"/>
                <w:b/>
                <w:sz w:val="18"/>
                <w:szCs w:val="18"/>
              </w:rPr>
              <w:t>31/03/2020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1A8A05" w14:textId="743C96B5" w:rsidR="0014647F" w:rsidRPr="007B34B2" w:rsidRDefault="0014647F" w:rsidP="00AA40A5">
            <w:pPr>
              <w:jc w:val="center"/>
              <w:rPr>
                <w:rFonts w:ascii="Arial" w:hAnsi="Arial" w:cs="Arial"/>
                <w:b/>
                <w:sz w:val="18"/>
                <w:szCs w:val="18"/>
              </w:rPr>
            </w:pPr>
            <w:r w:rsidRPr="007B34B2">
              <w:rPr>
                <w:rFonts w:ascii="Arial" w:hAnsi="Arial" w:cs="Arial"/>
                <w:b/>
                <w:sz w:val="18"/>
                <w:szCs w:val="18"/>
              </w:rPr>
              <w:t>31/12/201</w:t>
            </w:r>
            <w:r w:rsidR="0056793F">
              <w:rPr>
                <w:rFonts w:ascii="Arial" w:hAnsi="Arial" w:cs="Arial"/>
                <w:b/>
                <w:sz w:val="18"/>
                <w:szCs w:val="18"/>
              </w:rPr>
              <w:t>9</w:t>
            </w:r>
          </w:p>
        </w:tc>
      </w:tr>
      <w:tr w:rsidR="0014647F" w:rsidRPr="00C17D08" w14:paraId="41AFDF99" w14:textId="77777777" w:rsidTr="00066653">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46E11D" w14:textId="77777777" w:rsidR="0014647F" w:rsidRPr="007B34B2" w:rsidRDefault="0014647F" w:rsidP="00AA40A5">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372061"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Saldo de deuda</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E1F30B"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35C39D"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Saldo de deuda</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9E36FA"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 sobre Cartera total</w:t>
            </w:r>
          </w:p>
        </w:tc>
      </w:tr>
      <w:tr w:rsidR="0014647F" w:rsidRPr="00C17D08" w14:paraId="0E6CC7B5" w14:textId="77777777" w:rsidTr="00066653">
        <w:trPr>
          <w:trHeight w:val="113"/>
          <w:jc w:val="center"/>
        </w:trPr>
        <w:tc>
          <w:tcPr>
            <w:tcW w:w="3261" w:type="dxa"/>
            <w:tcBorders>
              <w:top w:val="single" w:sz="4" w:space="0" w:color="auto"/>
            </w:tcBorders>
            <w:vAlign w:val="bottom"/>
          </w:tcPr>
          <w:p w14:paraId="1321D510" w14:textId="77777777" w:rsidR="0014647F" w:rsidRDefault="0014647F" w:rsidP="00AA40A5">
            <w:pPr>
              <w:rPr>
                <w:rFonts w:ascii="Arial" w:hAnsi="Arial" w:cs="Arial"/>
                <w:sz w:val="18"/>
                <w:szCs w:val="18"/>
              </w:rPr>
            </w:pPr>
          </w:p>
        </w:tc>
        <w:tc>
          <w:tcPr>
            <w:tcW w:w="1417" w:type="dxa"/>
            <w:tcBorders>
              <w:top w:val="single" w:sz="4" w:space="0" w:color="auto"/>
            </w:tcBorders>
          </w:tcPr>
          <w:p w14:paraId="13F7908C" w14:textId="77777777" w:rsidR="0014647F" w:rsidRPr="00C17D08" w:rsidRDefault="0014647F" w:rsidP="00AA40A5">
            <w:pPr>
              <w:rPr>
                <w:rFonts w:ascii="Arial" w:hAnsi="Arial" w:cs="Arial"/>
                <w:sz w:val="18"/>
                <w:szCs w:val="18"/>
              </w:rPr>
            </w:pPr>
          </w:p>
        </w:tc>
        <w:tc>
          <w:tcPr>
            <w:tcW w:w="1418" w:type="dxa"/>
            <w:tcBorders>
              <w:top w:val="single" w:sz="4" w:space="0" w:color="auto"/>
            </w:tcBorders>
          </w:tcPr>
          <w:p w14:paraId="1B70F426" w14:textId="77777777" w:rsidR="0014647F" w:rsidRPr="00C17D08" w:rsidRDefault="0014647F" w:rsidP="00AA40A5">
            <w:pPr>
              <w:rPr>
                <w:rFonts w:ascii="Arial" w:hAnsi="Arial" w:cs="Arial"/>
                <w:sz w:val="18"/>
                <w:szCs w:val="18"/>
              </w:rPr>
            </w:pPr>
          </w:p>
        </w:tc>
        <w:tc>
          <w:tcPr>
            <w:tcW w:w="1276" w:type="dxa"/>
            <w:tcBorders>
              <w:top w:val="single" w:sz="4" w:space="0" w:color="auto"/>
            </w:tcBorders>
          </w:tcPr>
          <w:p w14:paraId="57530C80" w14:textId="77777777" w:rsidR="0014647F" w:rsidRPr="00C17D08" w:rsidRDefault="0014647F" w:rsidP="00AA40A5">
            <w:pPr>
              <w:rPr>
                <w:rFonts w:ascii="Arial" w:hAnsi="Arial" w:cs="Arial"/>
                <w:sz w:val="18"/>
                <w:szCs w:val="18"/>
              </w:rPr>
            </w:pPr>
          </w:p>
        </w:tc>
        <w:tc>
          <w:tcPr>
            <w:tcW w:w="1417" w:type="dxa"/>
            <w:tcBorders>
              <w:top w:val="single" w:sz="4" w:space="0" w:color="auto"/>
            </w:tcBorders>
          </w:tcPr>
          <w:p w14:paraId="28137B45" w14:textId="77777777" w:rsidR="0014647F" w:rsidRPr="00C17D08" w:rsidRDefault="0014647F" w:rsidP="00AA40A5">
            <w:pPr>
              <w:rPr>
                <w:rFonts w:ascii="Arial" w:hAnsi="Arial" w:cs="Arial"/>
                <w:sz w:val="18"/>
                <w:szCs w:val="18"/>
              </w:rPr>
            </w:pPr>
          </w:p>
        </w:tc>
      </w:tr>
      <w:tr w:rsidR="00893FD0" w:rsidRPr="00C17D08" w14:paraId="679CDE2D" w14:textId="77777777" w:rsidTr="00E66306">
        <w:trPr>
          <w:trHeight w:val="454"/>
          <w:jc w:val="center"/>
        </w:trPr>
        <w:tc>
          <w:tcPr>
            <w:tcW w:w="3261" w:type="dxa"/>
            <w:vAlign w:val="center"/>
          </w:tcPr>
          <w:p w14:paraId="7E3622B9" w14:textId="77777777" w:rsidR="00893FD0" w:rsidRDefault="00893FD0" w:rsidP="00893FD0">
            <w:pPr>
              <w:rPr>
                <w:rFonts w:ascii="Arial" w:hAnsi="Arial" w:cs="Arial"/>
                <w:sz w:val="18"/>
                <w:szCs w:val="18"/>
              </w:rPr>
            </w:pPr>
            <w:r>
              <w:rPr>
                <w:rFonts w:ascii="Arial" w:hAnsi="Arial" w:cs="Arial"/>
                <w:sz w:val="18"/>
                <w:szCs w:val="18"/>
              </w:rPr>
              <w:t>10 mayores clientes</w:t>
            </w:r>
          </w:p>
        </w:tc>
        <w:tc>
          <w:tcPr>
            <w:tcW w:w="1417" w:type="dxa"/>
            <w:vAlign w:val="center"/>
          </w:tcPr>
          <w:p w14:paraId="7DDF0758" w14:textId="17FA3BA1" w:rsidR="00893FD0" w:rsidRPr="00E66306" w:rsidRDefault="00893FD0" w:rsidP="00893FD0">
            <w:pPr>
              <w:jc w:val="right"/>
              <w:rPr>
                <w:rFonts w:ascii="Arial" w:hAnsi="Arial" w:cs="Arial"/>
                <w:sz w:val="18"/>
                <w:szCs w:val="18"/>
              </w:rPr>
            </w:pPr>
            <w:r>
              <w:rPr>
                <w:rFonts w:ascii="Arial" w:hAnsi="Arial" w:cs="Arial"/>
                <w:sz w:val="18"/>
                <w:szCs w:val="18"/>
              </w:rPr>
              <w:t xml:space="preserve">12.668.216 </w:t>
            </w:r>
          </w:p>
        </w:tc>
        <w:tc>
          <w:tcPr>
            <w:tcW w:w="1418" w:type="dxa"/>
            <w:vAlign w:val="center"/>
          </w:tcPr>
          <w:p w14:paraId="7029A9C9" w14:textId="75CE4356" w:rsidR="00893FD0" w:rsidRPr="00E66306" w:rsidRDefault="00893FD0" w:rsidP="00893FD0">
            <w:pPr>
              <w:jc w:val="right"/>
              <w:rPr>
                <w:rFonts w:ascii="Arial" w:hAnsi="Arial" w:cs="Arial"/>
                <w:sz w:val="18"/>
                <w:szCs w:val="18"/>
              </w:rPr>
            </w:pPr>
            <w:r>
              <w:rPr>
                <w:rFonts w:ascii="Arial" w:hAnsi="Arial" w:cs="Arial"/>
                <w:sz w:val="18"/>
                <w:szCs w:val="18"/>
              </w:rPr>
              <w:t>12,68%</w:t>
            </w:r>
          </w:p>
        </w:tc>
        <w:tc>
          <w:tcPr>
            <w:tcW w:w="1276" w:type="dxa"/>
            <w:vAlign w:val="center"/>
          </w:tcPr>
          <w:p w14:paraId="096376BD" w14:textId="04FA2EC2" w:rsidR="00893FD0" w:rsidRPr="00756A6F" w:rsidRDefault="00893FD0" w:rsidP="00893FD0">
            <w:pPr>
              <w:jc w:val="right"/>
              <w:rPr>
                <w:rFonts w:ascii="Arial" w:hAnsi="Arial" w:cs="Arial"/>
                <w:sz w:val="18"/>
                <w:szCs w:val="18"/>
              </w:rPr>
            </w:pPr>
            <w:r>
              <w:rPr>
                <w:rFonts w:ascii="Arial" w:hAnsi="Arial" w:cs="Arial"/>
                <w:sz w:val="18"/>
                <w:szCs w:val="18"/>
              </w:rPr>
              <w:t xml:space="preserve">13.039.330 </w:t>
            </w:r>
          </w:p>
        </w:tc>
        <w:tc>
          <w:tcPr>
            <w:tcW w:w="1417" w:type="dxa"/>
            <w:vAlign w:val="center"/>
          </w:tcPr>
          <w:p w14:paraId="47CEE7BB" w14:textId="0CE08D57" w:rsidR="00893FD0" w:rsidRPr="00756A6F" w:rsidRDefault="00893FD0" w:rsidP="00893FD0">
            <w:pPr>
              <w:jc w:val="right"/>
              <w:rPr>
                <w:rFonts w:ascii="Arial" w:hAnsi="Arial" w:cs="Arial"/>
                <w:sz w:val="18"/>
                <w:szCs w:val="18"/>
              </w:rPr>
            </w:pPr>
            <w:r>
              <w:rPr>
                <w:rFonts w:ascii="Arial" w:hAnsi="Arial" w:cs="Arial"/>
                <w:sz w:val="18"/>
                <w:szCs w:val="18"/>
              </w:rPr>
              <w:t>12,66%</w:t>
            </w:r>
          </w:p>
        </w:tc>
      </w:tr>
      <w:tr w:rsidR="00893FD0" w:rsidRPr="00C17D08" w14:paraId="55C01D96" w14:textId="77777777" w:rsidTr="00066653">
        <w:trPr>
          <w:trHeight w:val="299"/>
          <w:jc w:val="center"/>
        </w:trPr>
        <w:tc>
          <w:tcPr>
            <w:tcW w:w="3261" w:type="dxa"/>
            <w:vAlign w:val="center"/>
          </w:tcPr>
          <w:p w14:paraId="08045E1C" w14:textId="77777777" w:rsidR="00893FD0" w:rsidRPr="00C17D08" w:rsidRDefault="00893FD0" w:rsidP="00893FD0">
            <w:pPr>
              <w:rPr>
                <w:rFonts w:ascii="Arial" w:hAnsi="Arial" w:cs="Arial"/>
                <w:sz w:val="18"/>
                <w:szCs w:val="18"/>
              </w:rPr>
            </w:pPr>
          </w:p>
        </w:tc>
        <w:tc>
          <w:tcPr>
            <w:tcW w:w="1417" w:type="dxa"/>
            <w:vAlign w:val="center"/>
          </w:tcPr>
          <w:p w14:paraId="2A9B1205" w14:textId="77777777" w:rsidR="00893FD0" w:rsidRPr="00C17D08" w:rsidRDefault="00893FD0" w:rsidP="00893FD0">
            <w:pPr>
              <w:jc w:val="right"/>
              <w:rPr>
                <w:rFonts w:ascii="Arial" w:hAnsi="Arial" w:cs="Arial"/>
                <w:sz w:val="18"/>
                <w:szCs w:val="18"/>
              </w:rPr>
            </w:pPr>
          </w:p>
        </w:tc>
        <w:tc>
          <w:tcPr>
            <w:tcW w:w="1418" w:type="dxa"/>
            <w:vAlign w:val="center"/>
          </w:tcPr>
          <w:p w14:paraId="1A0F05FD" w14:textId="77777777" w:rsidR="00893FD0" w:rsidRPr="00C17D08" w:rsidRDefault="00893FD0" w:rsidP="00893FD0">
            <w:pPr>
              <w:jc w:val="right"/>
              <w:rPr>
                <w:rFonts w:ascii="Arial" w:hAnsi="Arial" w:cs="Arial"/>
                <w:sz w:val="18"/>
                <w:szCs w:val="18"/>
              </w:rPr>
            </w:pPr>
          </w:p>
        </w:tc>
        <w:tc>
          <w:tcPr>
            <w:tcW w:w="1276" w:type="dxa"/>
            <w:vAlign w:val="center"/>
          </w:tcPr>
          <w:p w14:paraId="4D6568EA" w14:textId="77777777" w:rsidR="00893FD0" w:rsidRPr="00C17D08" w:rsidRDefault="00893FD0" w:rsidP="00893FD0">
            <w:pPr>
              <w:jc w:val="right"/>
              <w:rPr>
                <w:rFonts w:ascii="Arial" w:hAnsi="Arial" w:cs="Arial"/>
                <w:sz w:val="18"/>
                <w:szCs w:val="18"/>
              </w:rPr>
            </w:pPr>
          </w:p>
        </w:tc>
        <w:tc>
          <w:tcPr>
            <w:tcW w:w="1417" w:type="dxa"/>
            <w:vAlign w:val="center"/>
          </w:tcPr>
          <w:p w14:paraId="4676C714" w14:textId="77777777" w:rsidR="00893FD0" w:rsidRPr="00C17D08" w:rsidRDefault="00893FD0" w:rsidP="00893FD0">
            <w:pPr>
              <w:jc w:val="right"/>
              <w:rPr>
                <w:rFonts w:ascii="Arial" w:hAnsi="Arial" w:cs="Arial"/>
                <w:sz w:val="18"/>
                <w:szCs w:val="18"/>
              </w:rPr>
            </w:pPr>
          </w:p>
        </w:tc>
      </w:tr>
      <w:tr w:rsidR="00893FD0" w:rsidRPr="00C17D08" w14:paraId="1C9F3FA1" w14:textId="77777777" w:rsidTr="00E66306">
        <w:trPr>
          <w:trHeight w:val="454"/>
          <w:jc w:val="center"/>
        </w:trPr>
        <w:tc>
          <w:tcPr>
            <w:tcW w:w="3261" w:type="dxa"/>
            <w:vAlign w:val="center"/>
          </w:tcPr>
          <w:p w14:paraId="463BDCBB" w14:textId="77777777" w:rsidR="00893FD0" w:rsidRPr="00C17D08" w:rsidRDefault="00893FD0" w:rsidP="00893FD0">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018FD897" w14:textId="1D9AF350" w:rsidR="00893FD0" w:rsidRPr="00E66306" w:rsidRDefault="00893FD0" w:rsidP="00893FD0">
            <w:pPr>
              <w:jc w:val="right"/>
              <w:rPr>
                <w:rFonts w:ascii="Arial" w:hAnsi="Arial" w:cs="Arial"/>
                <w:sz w:val="18"/>
                <w:szCs w:val="18"/>
              </w:rPr>
            </w:pPr>
            <w:r>
              <w:rPr>
                <w:rFonts w:ascii="Arial" w:hAnsi="Arial" w:cs="Arial"/>
                <w:sz w:val="18"/>
                <w:szCs w:val="18"/>
              </w:rPr>
              <w:t xml:space="preserve">18.300.681 </w:t>
            </w:r>
          </w:p>
        </w:tc>
        <w:tc>
          <w:tcPr>
            <w:tcW w:w="1418" w:type="dxa"/>
            <w:vAlign w:val="center"/>
          </w:tcPr>
          <w:p w14:paraId="0674C67E" w14:textId="5C74FA16" w:rsidR="00893FD0" w:rsidRPr="00E66306" w:rsidRDefault="00893FD0" w:rsidP="00893FD0">
            <w:pPr>
              <w:jc w:val="right"/>
              <w:rPr>
                <w:rFonts w:ascii="Arial" w:hAnsi="Arial" w:cs="Arial"/>
                <w:sz w:val="18"/>
                <w:szCs w:val="18"/>
              </w:rPr>
            </w:pPr>
            <w:r>
              <w:rPr>
                <w:rFonts w:ascii="Arial" w:hAnsi="Arial" w:cs="Arial"/>
                <w:sz w:val="18"/>
                <w:szCs w:val="18"/>
              </w:rPr>
              <w:t>18,32%</w:t>
            </w:r>
          </w:p>
        </w:tc>
        <w:tc>
          <w:tcPr>
            <w:tcW w:w="1276" w:type="dxa"/>
            <w:vAlign w:val="center"/>
          </w:tcPr>
          <w:p w14:paraId="48EF74A4" w14:textId="0EAAF669" w:rsidR="00893FD0" w:rsidRPr="00756A6F" w:rsidRDefault="00893FD0" w:rsidP="00893FD0">
            <w:pPr>
              <w:jc w:val="right"/>
              <w:rPr>
                <w:rFonts w:ascii="Arial" w:hAnsi="Arial" w:cs="Arial"/>
                <w:sz w:val="18"/>
                <w:szCs w:val="18"/>
              </w:rPr>
            </w:pPr>
            <w:r>
              <w:rPr>
                <w:rFonts w:ascii="Arial" w:hAnsi="Arial" w:cs="Arial"/>
                <w:sz w:val="18"/>
                <w:szCs w:val="18"/>
              </w:rPr>
              <w:t xml:space="preserve">18.243.041 </w:t>
            </w:r>
          </w:p>
        </w:tc>
        <w:tc>
          <w:tcPr>
            <w:tcW w:w="1417" w:type="dxa"/>
            <w:vAlign w:val="center"/>
          </w:tcPr>
          <w:p w14:paraId="255A84A4" w14:textId="4FBBDA82" w:rsidR="00893FD0" w:rsidRPr="00756A6F" w:rsidRDefault="00893FD0" w:rsidP="00893FD0">
            <w:pPr>
              <w:jc w:val="right"/>
              <w:rPr>
                <w:rFonts w:ascii="Arial" w:hAnsi="Arial" w:cs="Arial"/>
                <w:sz w:val="18"/>
                <w:szCs w:val="18"/>
              </w:rPr>
            </w:pPr>
            <w:r>
              <w:rPr>
                <w:rFonts w:ascii="Arial" w:hAnsi="Arial" w:cs="Arial"/>
                <w:sz w:val="18"/>
                <w:szCs w:val="18"/>
              </w:rPr>
              <w:t>17,72%</w:t>
            </w:r>
          </w:p>
        </w:tc>
      </w:tr>
      <w:tr w:rsidR="00893FD0" w:rsidRPr="00C17D08" w14:paraId="6FD95FEC" w14:textId="77777777" w:rsidTr="00066653">
        <w:trPr>
          <w:trHeight w:val="254"/>
          <w:jc w:val="center"/>
        </w:trPr>
        <w:tc>
          <w:tcPr>
            <w:tcW w:w="3261" w:type="dxa"/>
            <w:vAlign w:val="center"/>
          </w:tcPr>
          <w:p w14:paraId="2458B1DF" w14:textId="77777777" w:rsidR="00893FD0" w:rsidRPr="00C17D08" w:rsidRDefault="00893FD0" w:rsidP="00893FD0">
            <w:pPr>
              <w:rPr>
                <w:rFonts w:ascii="Arial" w:hAnsi="Arial" w:cs="Arial"/>
                <w:sz w:val="18"/>
                <w:szCs w:val="18"/>
              </w:rPr>
            </w:pPr>
          </w:p>
        </w:tc>
        <w:tc>
          <w:tcPr>
            <w:tcW w:w="1417" w:type="dxa"/>
            <w:vAlign w:val="center"/>
          </w:tcPr>
          <w:p w14:paraId="79AC7C31" w14:textId="77777777" w:rsidR="00893FD0" w:rsidRPr="00C17D08" w:rsidRDefault="00893FD0" w:rsidP="00893FD0">
            <w:pPr>
              <w:jc w:val="right"/>
              <w:rPr>
                <w:rFonts w:ascii="Arial" w:hAnsi="Arial" w:cs="Arial"/>
                <w:sz w:val="18"/>
                <w:szCs w:val="18"/>
              </w:rPr>
            </w:pPr>
          </w:p>
        </w:tc>
        <w:tc>
          <w:tcPr>
            <w:tcW w:w="1418" w:type="dxa"/>
            <w:vAlign w:val="center"/>
          </w:tcPr>
          <w:p w14:paraId="69256F3D" w14:textId="77777777" w:rsidR="00893FD0" w:rsidRPr="00C17D08" w:rsidRDefault="00893FD0" w:rsidP="00893FD0">
            <w:pPr>
              <w:jc w:val="right"/>
              <w:rPr>
                <w:rFonts w:ascii="Arial" w:hAnsi="Arial" w:cs="Arial"/>
                <w:sz w:val="18"/>
                <w:szCs w:val="18"/>
              </w:rPr>
            </w:pPr>
          </w:p>
        </w:tc>
        <w:tc>
          <w:tcPr>
            <w:tcW w:w="1276" w:type="dxa"/>
            <w:vAlign w:val="center"/>
          </w:tcPr>
          <w:p w14:paraId="5C2978B6" w14:textId="77777777" w:rsidR="00893FD0" w:rsidRPr="00C17D08" w:rsidRDefault="00893FD0" w:rsidP="00893FD0">
            <w:pPr>
              <w:jc w:val="right"/>
              <w:rPr>
                <w:rFonts w:ascii="Arial" w:hAnsi="Arial" w:cs="Arial"/>
                <w:sz w:val="18"/>
                <w:szCs w:val="18"/>
              </w:rPr>
            </w:pPr>
          </w:p>
        </w:tc>
        <w:tc>
          <w:tcPr>
            <w:tcW w:w="1417" w:type="dxa"/>
            <w:vAlign w:val="center"/>
          </w:tcPr>
          <w:p w14:paraId="3E08BA21" w14:textId="77777777" w:rsidR="00893FD0" w:rsidRPr="00C17D08" w:rsidRDefault="00893FD0" w:rsidP="00893FD0">
            <w:pPr>
              <w:jc w:val="right"/>
              <w:rPr>
                <w:rFonts w:ascii="Arial" w:hAnsi="Arial" w:cs="Arial"/>
                <w:sz w:val="18"/>
                <w:szCs w:val="18"/>
              </w:rPr>
            </w:pPr>
          </w:p>
        </w:tc>
      </w:tr>
      <w:tr w:rsidR="00893FD0" w:rsidRPr="00C17D08" w14:paraId="4F0F2E06" w14:textId="77777777" w:rsidTr="00E66306">
        <w:trPr>
          <w:trHeight w:val="454"/>
          <w:jc w:val="center"/>
        </w:trPr>
        <w:tc>
          <w:tcPr>
            <w:tcW w:w="3261" w:type="dxa"/>
            <w:vAlign w:val="center"/>
          </w:tcPr>
          <w:p w14:paraId="0141DC12" w14:textId="77777777" w:rsidR="00893FD0" w:rsidRPr="00C17D08" w:rsidRDefault="00893FD0" w:rsidP="00893FD0">
            <w:pPr>
              <w:rPr>
                <w:rFonts w:ascii="Arial" w:hAnsi="Arial" w:cs="Arial"/>
                <w:sz w:val="18"/>
                <w:szCs w:val="18"/>
              </w:rPr>
            </w:pPr>
            <w:r>
              <w:rPr>
                <w:rFonts w:ascii="Arial" w:hAnsi="Arial" w:cs="Arial"/>
                <w:sz w:val="18"/>
                <w:szCs w:val="18"/>
              </w:rPr>
              <w:t>100 siguientes mayores clientes</w:t>
            </w:r>
          </w:p>
        </w:tc>
        <w:tc>
          <w:tcPr>
            <w:tcW w:w="1417" w:type="dxa"/>
            <w:vAlign w:val="center"/>
          </w:tcPr>
          <w:p w14:paraId="56A4516A" w14:textId="74BA8830" w:rsidR="00893FD0" w:rsidRPr="00E66306" w:rsidRDefault="00893FD0" w:rsidP="00893FD0">
            <w:pPr>
              <w:jc w:val="right"/>
              <w:rPr>
                <w:rFonts w:ascii="Arial" w:hAnsi="Arial" w:cs="Arial"/>
                <w:sz w:val="18"/>
                <w:szCs w:val="18"/>
              </w:rPr>
            </w:pPr>
            <w:r>
              <w:rPr>
                <w:rFonts w:ascii="Arial" w:hAnsi="Arial" w:cs="Arial"/>
                <w:sz w:val="18"/>
                <w:szCs w:val="18"/>
              </w:rPr>
              <w:t xml:space="preserve">9.754.739 </w:t>
            </w:r>
          </w:p>
        </w:tc>
        <w:tc>
          <w:tcPr>
            <w:tcW w:w="1418" w:type="dxa"/>
            <w:vAlign w:val="center"/>
          </w:tcPr>
          <w:p w14:paraId="78D43628" w14:textId="330786E9" w:rsidR="00893FD0" w:rsidRPr="00E66306" w:rsidRDefault="00893FD0" w:rsidP="00893FD0">
            <w:pPr>
              <w:jc w:val="right"/>
              <w:rPr>
                <w:rFonts w:ascii="Arial" w:hAnsi="Arial" w:cs="Arial"/>
                <w:sz w:val="18"/>
                <w:szCs w:val="18"/>
              </w:rPr>
            </w:pPr>
            <w:r>
              <w:rPr>
                <w:rFonts w:ascii="Arial" w:hAnsi="Arial" w:cs="Arial"/>
                <w:sz w:val="18"/>
                <w:szCs w:val="18"/>
              </w:rPr>
              <w:t>9,77%</w:t>
            </w:r>
          </w:p>
        </w:tc>
        <w:tc>
          <w:tcPr>
            <w:tcW w:w="1276" w:type="dxa"/>
            <w:vAlign w:val="center"/>
          </w:tcPr>
          <w:p w14:paraId="002EA25B" w14:textId="42CF5AA8" w:rsidR="00893FD0" w:rsidRPr="00756A6F" w:rsidRDefault="00893FD0" w:rsidP="00893FD0">
            <w:pPr>
              <w:jc w:val="right"/>
              <w:rPr>
                <w:rFonts w:ascii="Arial" w:hAnsi="Arial" w:cs="Arial"/>
                <w:sz w:val="18"/>
                <w:szCs w:val="18"/>
              </w:rPr>
            </w:pPr>
            <w:r>
              <w:rPr>
                <w:rFonts w:ascii="Arial" w:hAnsi="Arial" w:cs="Arial"/>
                <w:sz w:val="18"/>
                <w:szCs w:val="18"/>
              </w:rPr>
              <w:t xml:space="preserve">9.864.121 </w:t>
            </w:r>
          </w:p>
        </w:tc>
        <w:tc>
          <w:tcPr>
            <w:tcW w:w="1417" w:type="dxa"/>
            <w:vAlign w:val="center"/>
          </w:tcPr>
          <w:p w14:paraId="1817406C" w14:textId="27D5B9D9" w:rsidR="00893FD0" w:rsidRPr="00756A6F" w:rsidRDefault="00893FD0" w:rsidP="00893FD0">
            <w:pPr>
              <w:jc w:val="right"/>
              <w:rPr>
                <w:rFonts w:ascii="Arial" w:hAnsi="Arial" w:cs="Arial"/>
                <w:sz w:val="18"/>
                <w:szCs w:val="18"/>
              </w:rPr>
            </w:pPr>
            <w:r>
              <w:rPr>
                <w:rFonts w:ascii="Arial" w:hAnsi="Arial" w:cs="Arial"/>
                <w:sz w:val="18"/>
                <w:szCs w:val="18"/>
              </w:rPr>
              <w:t>9,58%</w:t>
            </w:r>
          </w:p>
        </w:tc>
      </w:tr>
      <w:tr w:rsidR="00893FD0" w:rsidRPr="00C17D08" w14:paraId="168D767F" w14:textId="77777777" w:rsidTr="00066653">
        <w:trPr>
          <w:trHeight w:val="263"/>
          <w:jc w:val="center"/>
        </w:trPr>
        <w:tc>
          <w:tcPr>
            <w:tcW w:w="3261" w:type="dxa"/>
            <w:vAlign w:val="center"/>
          </w:tcPr>
          <w:p w14:paraId="14658CA2" w14:textId="77777777" w:rsidR="00893FD0" w:rsidRPr="00C17D08" w:rsidRDefault="00893FD0" w:rsidP="00893FD0">
            <w:pPr>
              <w:rPr>
                <w:rFonts w:ascii="Arial" w:hAnsi="Arial" w:cs="Arial"/>
                <w:sz w:val="18"/>
                <w:szCs w:val="18"/>
              </w:rPr>
            </w:pPr>
          </w:p>
        </w:tc>
        <w:tc>
          <w:tcPr>
            <w:tcW w:w="1417" w:type="dxa"/>
            <w:vAlign w:val="center"/>
          </w:tcPr>
          <w:p w14:paraId="16D0D07C" w14:textId="77777777" w:rsidR="00893FD0" w:rsidRPr="00C17D08" w:rsidRDefault="00893FD0" w:rsidP="00893FD0">
            <w:pPr>
              <w:jc w:val="right"/>
              <w:rPr>
                <w:rFonts w:ascii="Arial" w:hAnsi="Arial" w:cs="Arial"/>
                <w:sz w:val="18"/>
                <w:szCs w:val="18"/>
              </w:rPr>
            </w:pPr>
          </w:p>
        </w:tc>
        <w:tc>
          <w:tcPr>
            <w:tcW w:w="1418" w:type="dxa"/>
            <w:vAlign w:val="center"/>
          </w:tcPr>
          <w:p w14:paraId="63DAF046" w14:textId="77777777" w:rsidR="00893FD0" w:rsidRPr="00C17D08" w:rsidRDefault="00893FD0" w:rsidP="00893FD0">
            <w:pPr>
              <w:jc w:val="right"/>
              <w:rPr>
                <w:rFonts w:ascii="Arial" w:hAnsi="Arial" w:cs="Arial"/>
                <w:sz w:val="18"/>
                <w:szCs w:val="18"/>
              </w:rPr>
            </w:pPr>
          </w:p>
        </w:tc>
        <w:tc>
          <w:tcPr>
            <w:tcW w:w="1276" w:type="dxa"/>
            <w:vAlign w:val="center"/>
          </w:tcPr>
          <w:p w14:paraId="6140955B" w14:textId="77777777" w:rsidR="00893FD0" w:rsidRPr="00C17D08" w:rsidRDefault="00893FD0" w:rsidP="00893FD0">
            <w:pPr>
              <w:jc w:val="right"/>
              <w:rPr>
                <w:rFonts w:ascii="Arial" w:hAnsi="Arial" w:cs="Arial"/>
                <w:sz w:val="18"/>
                <w:szCs w:val="18"/>
              </w:rPr>
            </w:pPr>
          </w:p>
        </w:tc>
        <w:tc>
          <w:tcPr>
            <w:tcW w:w="1417" w:type="dxa"/>
            <w:vAlign w:val="center"/>
          </w:tcPr>
          <w:p w14:paraId="05AE9B6E" w14:textId="77777777" w:rsidR="00893FD0" w:rsidRPr="00C17D08" w:rsidRDefault="00893FD0" w:rsidP="00893FD0">
            <w:pPr>
              <w:jc w:val="right"/>
              <w:rPr>
                <w:rFonts w:ascii="Arial" w:hAnsi="Arial" w:cs="Arial"/>
                <w:sz w:val="18"/>
                <w:szCs w:val="18"/>
              </w:rPr>
            </w:pPr>
          </w:p>
        </w:tc>
      </w:tr>
      <w:tr w:rsidR="00893FD0" w:rsidRPr="00C17D08" w14:paraId="4FF7D0CF" w14:textId="77777777" w:rsidTr="00E66306">
        <w:trPr>
          <w:trHeight w:val="454"/>
          <w:jc w:val="center"/>
        </w:trPr>
        <w:tc>
          <w:tcPr>
            <w:tcW w:w="3261" w:type="dxa"/>
            <w:vAlign w:val="center"/>
          </w:tcPr>
          <w:p w14:paraId="4C07AE11" w14:textId="77777777" w:rsidR="00893FD0" w:rsidRPr="00C17D08" w:rsidRDefault="00893FD0" w:rsidP="00893FD0">
            <w:pPr>
              <w:rPr>
                <w:rFonts w:ascii="Arial" w:hAnsi="Arial" w:cs="Arial"/>
                <w:sz w:val="18"/>
                <w:szCs w:val="18"/>
              </w:rPr>
            </w:pPr>
            <w:r>
              <w:rPr>
                <w:rFonts w:ascii="Arial" w:hAnsi="Arial" w:cs="Arial"/>
                <w:sz w:val="18"/>
                <w:szCs w:val="18"/>
              </w:rPr>
              <w:t>Resto de clientes</w:t>
            </w:r>
          </w:p>
        </w:tc>
        <w:tc>
          <w:tcPr>
            <w:tcW w:w="1417" w:type="dxa"/>
            <w:vAlign w:val="center"/>
          </w:tcPr>
          <w:p w14:paraId="5DADAA66" w14:textId="4D477300" w:rsidR="00893FD0" w:rsidRPr="00E66306" w:rsidRDefault="00893FD0" w:rsidP="00893FD0">
            <w:pPr>
              <w:jc w:val="right"/>
              <w:rPr>
                <w:rFonts w:ascii="Arial" w:hAnsi="Arial" w:cs="Arial"/>
                <w:sz w:val="18"/>
                <w:szCs w:val="18"/>
              </w:rPr>
            </w:pPr>
            <w:r>
              <w:rPr>
                <w:rFonts w:ascii="Arial" w:hAnsi="Arial" w:cs="Arial"/>
                <w:sz w:val="18"/>
                <w:szCs w:val="18"/>
              </w:rPr>
              <w:t xml:space="preserve">59.145.183 </w:t>
            </w:r>
          </w:p>
        </w:tc>
        <w:tc>
          <w:tcPr>
            <w:tcW w:w="1418" w:type="dxa"/>
            <w:vAlign w:val="center"/>
          </w:tcPr>
          <w:p w14:paraId="6A6EFE4B" w14:textId="48299E06" w:rsidR="00893FD0" w:rsidRPr="00E66306" w:rsidRDefault="00893FD0" w:rsidP="00893FD0">
            <w:pPr>
              <w:jc w:val="right"/>
              <w:rPr>
                <w:rFonts w:ascii="Arial" w:hAnsi="Arial" w:cs="Arial"/>
                <w:sz w:val="18"/>
                <w:szCs w:val="18"/>
              </w:rPr>
            </w:pPr>
            <w:r>
              <w:rPr>
                <w:rFonts w:ascii="Arial" w:hAnsi="Arial" w:cs="Arial"/>
                <w:sz w:val="18"/>
                <w:szCs w:val="18"/>
              </w:rPr>
              <w:t>59,23%</w:t>
            </w:r>
          </w:p>
        </w:tc>
        <w:tc>
          <w:tcPr>
            <w:tcW w:w="1276" w:type="dxa"/>
            <w:vAlign w:val="center"/>
          </w:tcPr>
          <w:p w14:paraId="3F1E6B06" w14:textId="14752298" w:rsidR="00893FD0" w:rsidRPr="00756A6F" w:rsidRDefault="00893FD0" w:rsidP="00893FD0">
            <w:pPr>
              <w:jc w:val="right"/>
              <w:rPr>
                <w:rFonts w:ascii="Arial" w:hAnsi="Arial" w:cs="Arial"/>
                <w:sz w:val="18"/>
                <w:szCs w:val="18"/>
              </w:rPr>
            </w:pPr>
            <w:r>
              <w:rPr>
                <w:rFonts w:ascii="Arial" w:hAnsi="Arial" w:cs="Arial"/>
                <w:sz w:val="18"/>
                <w:szCs w:val="18"/>
              </w:rPr>
              <w:t xml:space="preserve">61.815.367 </w:t>
            </w:r>
          </w:p>
        </w:tc>
        <w:tc>
          <w:tcPr>
            <w:tcW w:w="1417" w:type="dxa"/>
            <w:vAlign w:val="center"/>
          </w:tcPr>
          <w:p w14:paraId="0CFC8E9D" w14:textId="6CBCE58D" w:rsidR="00893FD0" w:rsidRPr="00756A6F" w:rsidRDefault="00893FD0" w:rsidP="00893FD0">
            <w:pPr>
              <w:jc w:val="right"/>
              <w:rPr>
                <w:rFonts w:ascii="Arial" w:hAnsi="Arial" w:cs="Arial"/>
                <w:sz w:val="18"/>
                <w:szCs w:val="18"/>
              </w:rPr>
            </w:pPr>
            <w:r>
              <w:rPr>
                <w:rFonts w:ascii="Arial" w:hAnsi="Arial" w:cs="Arial"/>
                <w:sz w:val="18"/>
                <w:szCs w:val="18"/>
              </w:rPr>
              <w:t>60,04%</w:t>
            </w:r>
          </w:p>
        </w:tc>
      </w:tr>
      <w:tr w:rsidR="00893FD0" w:rsidRPr="0014647F" w14:paraId="2BA53D6B" w14:textId="77777777" w:rsidTr="00893FD0">
        <w:trPr>
          <w:trHeight w:val="340"/>
          <w:jc w:val="center"/>
        </w:trPr>
        <w:tc>
          <w:tcPr>
            <w:tcW w:w="3261" w:type="dxa"/>
            <w:tcBorders>
              <w:top w:val="single" w:sz="4" w:space="0" w:color="auto"/>
              <w:bottom w:val="single" w:sz="4" w:space="0" w:color="auto"/>
            </w:tcBorders>
            <w:vAlign w:val="bottom"/>
          </w:tcPr>
          <w:p w14:paraId="5548907D" w14:textId="77777777" w:rsidR="00893FD0" w:rsidRPr="0014647F" w:rsidRDefault="00893FD0" w:rsidP="00893FD0">
            <w:pP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center"/>
          </w:tcPr>
          <w:p w14:paraId="5BDC0026" w14:textId="25BF453D" w:rsidR="00893FD0" w:rsidRPr="00893FD0" w:rsidRDefault="00893FD0" w:rsidP="00893FD0">
            <w:pPr>
              <w:jc w:val="right"/>
              <w:rPr>
                <w:rFonts w:ascii="Arial" w:hAnsi="Arial" w:cs="Arial"/>
                <w:b/>
                <w:bCs/>
                <w:sz w:val="18"/>
                <w:szCs w:val="18"/>
              </w:rPr>
            </w:pPr>
            <w:r w:rsidRPr="00893FD0">
              <w:rPr>
                <w:rFonts w:ascii="Arial" w:hAnsi="Arial" w:cs="Arial"/>
                <w:b/>
                <w:bCs/>
                <w:sz w:val="18"/>
                <w:szCs w:val="18"/>
              </w:rPr>
              <w:t xml:space="preserve">99.868.819 </w:t>
            </w:r>
          </w:p>
        </w:tc>
        <w:tc>
          <w:tcPr>
            <w:tcW w:w="1418" w:type="dxa"/>
            <w:tcBorders>
              <w:top w:val="single" w:sz="4" w:space="0" w:color="auto"/>
              <w:bottom w:val="single" w:sz="4" w:space="0" w:color="auto"/>
            </w:tcBorders>
            <w:vAlign w:val="center"/>
          </w:tcPr>
          <w:p w14:paraId="21FE8B7F" w14:textId="35D0081B" w:rsidR="00893FD0" w:rsidRPr="00893FD0" w:rsidRDefault="00893FD0" w:rsidP="00893FD0">
            <w:pPr>
              <w:jc w:val="right"/>
              <w:rPr>
                <w:rFonts w:ascii="Arial" w:hAnsi="Arial" w:cs="Arial"/>
                <w:b/>
                <w:sz w:val="18"/>
                <w:szCs w:val="18"/>
              </w:rPr>
            </w:pPr>
            <w:r w:rsidRPr="00893FD0">
              <w:rPr>
                <w:rFonts w:ascii="Arial" w:hAnsi="Arial" w:cs="Arial"/>
                <w:b/>
                <w:bCs/>
                <w:sz w:val="18"/>
                <w:szCs w:val="18"/>
              </w:rPr>
              <w:t>100,00%</w:t>
            </w:r>
          </w:p>
        </w:tc>
        <w:tc>
          <w:tcPr>
            <w:tcW w:w="1276" w:type="dxa"/>
            <w:tcBorders>
              <w:top w:val="single" w:sz="4" w:space="0" w:color="auto"/>
              <w:bottom w:val="single" w:sz="4" w:space="0" w:color="auto"/>
            </w:tcBorders>
            <w:vAlign w:val="center"/>
          </w:tcPr>
          <w:p w14:paraId="3D3A4ADF" w14:textId="08D3D093" w:rsidR="00893FD0" w:rsidRPr="00893FD0" w:rsidRDefault="00893FD0" w:rsidP="00893FD0">
            <w:pPr>
              <w:jc w:val="right"/>
              <w:rPr>
                <w:rFonts w:ascii="Arial" w:hAnsi="Arial" w:cs="Arial"/>
                <w:b/>
                <w:bCs/>
                <w:sz w:val="18"/>
                <w:szCs w:val="18"/>
              </w:rPr>
            </w:pPr>
            <w:r w:rsidRPr="00893FD0">
              <w:rPr>
                <w:rFonts w:ascii="Arial" w:hAnsi="Arial" w:cs="Arial"/>
                <w:b/>
                <w:bCs/>
                <w:sz w:val="18"/>
                <w:szCs w:val="18"/>
              </w:rPr>
              <w:t xml:space="preserve">102.961.859 </w:t>
            </w:r>
          </w:p>
        </w:tc>
        <w:tc>
          <w:tcPr>
            <w:tcW w:w="1417" w:type="dxa"/>
            <w:tcBorders>
              <w:top w:val="single" w:sz="4" w:space="0" w:color="auto"/>
              <w:bottom w:val="single" w:sz="4" w:space="0" w:color="auto"/>
            </w:tcBorders>
            <w:vAlign w:val="center"/>
          </w:tcPr>
          <w:p w14:paraId="00572EA6" w14:textId="40F545EF" w:rsidR="00893FD0" w:rsidRPr="00893FD0" w:rsidRDefault="00893FD0" w:rsidP="00893FD0">
            <w:pPr>
              <w:jc w:val="right"/>
              <w:rPr>
                <w:rFonts w:ascii="Arial" w:hAnsi="Arial" w:cs="Arial"/>
                <w:b/>
                <w:sz w:val="18"/>
                <w:szCs w:val="18"/>
              </w:rPr>
            </w:pPr>
            <w:r w:rsidRPr="00893FD0">
              <w:rPr>
                <w:rFonts w:ascii="Arial" w:hAnsi="Arial" w:cs="Arial"/>
                <w:b/>
                <w:bCs/>
                <w:sz w:val="18"/>
                <w:szCs w:val="18"/>
              </w:rPr>
              <w:t>100,00%</w:t>
            </w:r>
          </w:p>
        </w:tc>
      </w:tr>
      <w:bookmarkEnd w:id="39"/>
    </w:tbl>
    <w:p w14:paraId="1E440533" w14:textId="77777777" w:rsidR="00211A4E" w:rsidRPr="00701F32" w:rsidRDefault="00211A4E" w:rsidP="00276790">
      <w:pPr>
        <w:rPr>
          <w:rFonts w:ascii="Arial" w:hAnsi="Arial" w:cs="Arial"/>
          <w:szCs w:val="24"/>
        </w:rPr>
        <w:sectPr w:rsidR="00211A4E" w:rsidRPr="00701F32" w:rsidSect="0056456F">
          <w:headerReference w:type="default" r:id="rId23"/>
          <w:pgSz w:w="11907" w:h="16839" w:code="9"/>
          <w:pgMar w:top="1418" w:right="1701" w:bottom="1418" w:left="1701" w:header="567" w:footer="0" w:gutter="0"/>
          <w:cols w:space="708"/>
          <w:docGrid w:linePitch="360"/>
        </w:sectPr>
      </w:pPr>
    </w:p>
    <w:p w14:paraId="25255C79" w14:textId="255946D4" w:rsidR="003A3E18" w:rsidRDefault="003A3E18" w:rsidP="00276790">
      <w:pPr>
        <w:rPr>
          <w:sz w:val="20"/>
          <w:lang w:eastAsia="es-AR"/>
        </w:rPr>
      </w:pPr>
    </w:p>
    <w:tbl>
      <w:tblPr>
        <w:tblStyle w:val="TableGrid"/>
        <w:tblW w:w="10059" w:type="dxa"/>
        <w:tblInd w:w="-365" w:type="dxa"/>
        <w:tblLook w:val="04A0" w:firstRow="1" w:lastRow="0" w:firstColumn="1" w:lastColumn="0" w:noHBand="0" w:noVBand="1"/>
      </w:tblPr>
      <w:tblGrid>
        <w:gridCol w:w="2239"/>
        <w:gridCol w:w="1063"/>
        <w:gridCol w:w="917"/>
        <w:gridCol w:w="917"/>
        <w:gridCol w:w="955"/>
        <w:gridCol w:w="955"/>
        <w:gridCol w:w="955"/>
        <w:gridCol w:w="1063"/>
        <w:gridCol w:w="995"/>
      </w:tblGrid>
      <w:tr w:rsidR="008B2A1C" w:rsidRPr="008B2A1C" w14:paraId="6A3ADB03" w14:textId="1D69BA05" w:rsidTr="00AA40A5">
        <w:trPr>
          <w:trHeight w:val="190"/>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ADECF9" w14:textId="61034ABF" w:rsidR="00326E79" w:rsidRPr="008B2A1C" w:rsidRDefault="00326E79" w:rsidP="003A3E18">
            <w:pPr>
              <w:jc w:val="center"/>
              <w:rPr>
                <w:rFonts w:ascii="Arial" w:hAnsi="Arial" w:cs="Arial"/>
                <w:b/>
                <w:sz w:val="14"/>
                <w:szCs w:val="14"/>
                <w:lang w:eastAsia="es-AR"/>
              </w:rPr>
            </w:pPr>
            <w:bookmarkStart w:id="40" w:name="_Hlk9948076"/>
            <w:bookmarkStart w:id="41" w:name="OLE_LINK2"/>
            <w:r w:rsidRPr="008B2A1C">
              <w:rPr>
                <w:rFonts w:ascii="Arial" w:hAnsi="Arial" w:cs="Arial"/>
                <w:b/>
                <w:sz w:val="14"/>
                <w:szCs w:val="14"/>
                <w:lang w:eastAsia="es-AR"/>
              </w:rPr>
              <w:t>Concepto</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68C674" w14:textId="0549FA77" w:rsidR="00326E79" w:rsidRPr="008B2A1C" w:rsidRDefault="00326E79" w:rsidP="003A3E18">
            <w:pPr>
              <w:jc w:val="center"/>
              <w:rPr>
                <w:rFonts w:ascii="Arial" w:hAnsi="Arial" w:cs="Arial"/>
                <w:b/>
                <w:sz w:val="14"/>
                <w:szCs w:val="14"/>
                <w:lang w:eastAsia="es-AR"/>
              </w:rPr>
            </w:pPr>
            <w:r w:rsidRPr="008B2A1C">
              <w:rPr>
                <w:rFonts w:ascii="Arial" w:hAnsi="Arial" w:cs="Arial"/>
                <w:b/>
                <w:sz w:val="14"/>
                <w:szCs w:val="14"/>
                <w:lang w:eastAsia="es-AR"/>
              </w:rPr>
              <w:t>Cartera Vencida</w:t>
            </w:r>
          </w:p>
        </w:tc>
        <w:tc>
          <w:tcPr>
            <w:tcW w:w="569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5966C2" w14:textId="580E96C1" w:rsidR="00326E79" w:rsidRPr="008B2A1C" w:rsidRDefault="00326E79" w:rsidP="003A3E18">
            <w:pPr>
              <w:jc w:val="center"/>
              <w:rPr>
                <w:rFonts w:ascii="Arial" w:hAnsi="Arial" w:cs="Arial"/>
                <w:b/>
                <w:sz w:val="14"/>
                <w:szCs w:val="14"/>
                <w:lang w:eastAsia="es-AR"/>
              </w:rPr>
            </w:pPr>
            <w:r w:rsidRPr="008B2A1C">
              <w:rPr>
                <w:rFonts w:ascii="Arial" w:hAnsi="Arial" w:cs="Arial"/>
                <w:b/>
                <w:sz w:val="14"/>
                <w:szCs w:val="14"/>
                <w:lang w:eastAsia="es-AR"/>
              </w:rPr>
              <w:t>Plazos que restan para su vencimiento</w:t>
            </w:r>
          </w:p>
        </w:tc>
        <w:tc>
          <w:tcPr>
            <w:tcW w:w="88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120E6E" w14:textId="37291FA7"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Total</w:t>
            </w:r>
          </w:p>
        </w:tc>
      </w:tr>
      <w:tr w:rsidR="001110A4" w:rsidRPr="008B2A1C" w14:paraId="6C1ED384" w14:textId="5BC09024" w:rsidTr="00AA40A5">
        <w:trPr>
          <w:trHeight w:val="631"/>
        </w:trPr>
        <w:tc>
          <w:tcPr>
            <w:tcW w:w="2400" w:type="dxa"/>
            <w:vMerge/>
            <w:tcBorders>
              <w:top w:val="single" w:sz="4" w:space="0" w:color="auto"/>
              <w:bottom w:val="single" w:sz="4" w:space="0" w:color="auto"/>
            </w:tcBorders>
            <w:vAlign w:val="center"/>
          </w:tcPr>
          <w:p w14:paraId="6EF0FD32" w14:textId="77777777" w:rsidR="00326E79" w:rsidRPr="008B2A1C" w:rsidRDefault="00326E79" w:rsidP="003A3E18">
            <w:pPr>
              <w:jc w:val="center"/>
              <w:rPr>
                <w:rFonts w:ascii="Arial" w:hAnsi="Arial" w:cs="Arial"/>
                <w:b/>
                <w:sz w:val="14"/>
                <w:szCs w:val="14"/>
                <w:lang w:eastAsia="es-AR"/>
              </w:rPr>
            </w:pPr>
          </w:p>
        </w:tc>
        <w:tc>
          <w:tcPr>
            <w:tcW w:w="1080" w:type="dxa"/>
            <w:vMerge/>
            <w:tcBorders>
              <w:top w:val="single" w:sz="4" w:space="0" w:color="auto"/>
              <w:bottom w:val="single" w:sz="4" w:space="0" w:color="auto"/>
            </w:tcBorders>
            <w:vAlign w:val="center"/>
          </w:tcPr>
          <w:p w14:paraId="2E2E51B7" w14:textId="77777777" w:rsidR="00326E79" w:rsidRPr="008B2A1C" w:rsidRDefault="00326E79" w:rsidP="003A3E18">
            <w:pPr>
              <w:jc w:val="center"/>
              <w:rPr>
                <w:rFonts w:ascii="Arial" w:hAnsi="Arial" w:cs="Arial"/>
                <w:b/>
                <w:sz w:val="14"/>
                <w:szCs w:val="14"/>
                <w:lang w:eastAsia="es-AR"/>
              </w:rPr>
            </w:pPr>
          </w:p>
        </w:tc>
        <w:tc>
          <w:tcPr>
            <w:tcW w:w="872" w:type="dxa"/>
            <w:tcBorders>
              <w:top w:val="single" w:sz="4" w:space="0" w:color="auto"/>
              <w:bottom w:val="single" w:sz="4" w:space="0" w:color="auto"/>
            </w:tcBorders>
            <w:shd w:val="clear" w:color="auto" w:fill="BFBFBF" w:themeFill="background1" w:themeFillShade="BF"/>
            <w:vAlign w:val="center"/>
          </w:tcPr>
          <w:p w14:paraId="21F5B811" w14:textId="77777777"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1</w:t>
            </w:r>
          </w:p>
          <w:p w14:paraId="523E5104" w14:textId="6FB5867F"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 xml:space="preserve"> mes</w:t>
            </w:r>
          </w:p>
        </w:tc>
        <w:tc>
          <w:tcPr>
            <w:tcW w:w="858" w:type="dxa"/>
            <w:tcBorders>
              <w:top w:val="single" w:sz="4" w:space="0" w:color="auto"/>
              <w:bottom w:val="single" w:sz="4" w:space="0" w:color="auto"/>
            </w:tcBorders>
            <w:shd w:val="clear" w:color="auto" w:fill="BFBFBF" w:themeFill="background1" w:themeFillShade="BF"/>
            <w:vAlign w:val="center"/>
          </w:tcPr>
          <w:p w14:paraId="4FA45DF6" w14:textId="6438D4BC" w:rsidR="00326E79" w:rsidRPr="008B2A1C" w:rsidRDefault="00326E79" w:rsidP="00326E79">
            <w:pPr>
              <w:ind w:right="-210"/>
              <w:rPr>
                <w:rFonts w:ascii="Arial" w:hAnsi="Arial" w:cs="Arial"/>
                <w:b/>
                <w:sz w:val="14"/>
                <w:szCs w:val="14"/>
                <w:lang w:eastAsia="es-AR"/>
              </w:rPr>
            </w:pPr>
            <w:r w:rsidRPr="008B2A1C">
              <w:rPr>
                <w:rFonts w:ascii="Arial" w:hAnsi="Arial" w:cs="Arial"/>
                <w:b/>
                <w:sz w:val="14"/>
                <w:szCs w:val="14"/>
                <w:lang w:eastAsia="es-AR"/>
              </w:rPr>
              <w:t xml:space="preserve">     3</w:t>
            </w:r>
          </w:p>
          <w:p w14:paraId="3BB6F99E" w14:textId="50EDD8D6" w:rsidR="00326E79" w:rsidRPr="008B2A1C" w:rsidRDefault="00326E79" w:rsidP="00326E79">
            <w:pPr>
              <w:ind w:right="-210"/>
              <w:rPr>
                <w:rFonts w:ascii="Arial" w:hAnsi="Arial" w:cs="Arial"/>
                <w:b/>
                <w:sz w:val="14"/>
                <w:szCs w:val="14"/>
                <w:lang w:eastAsia="es-AR"/>
              </w:rPr>
            </w:pPr>
            <w:r w:rsidRPr="008B2A1C">
              <w:rPr>
                <w:rFonts w:ascii="Arial" w:hAnsi="Arial" w:cs="Arial"/>
                <w:b/>
                <w:sz w:val="14"/>
                <w:szCs w:val="14"/>
                <w:lang w:eastAsia="es-AR"/>
              </w:rPr>
              <w:t xml:space="preserve"> meses</w:t>
            </w:r>
          </w:p>
        </w:tc>
        <w:tc>
          <w:tcPr>
            <w:tcW w:w="960" w:type="dxa"/>
            <w:tcBorders>
              <w:top w:val="single" w:sz="4" w:space="0" w:color="auto"/>
              <w:bottom w:val="single" w:sz="4" w:space="0" w:color="auto"/>
            </w:tcBorders>
            <w:shd w:val="clear" w:color="auto" w:fill="BFBFBF" w:themeFill="background1" w:themeFillShade="BF"/>
            <w:vAlign w:val="center"/>
          </w:tcPr>
          <w:p w14:paraId="43272CC8" w14:textId="77777777"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 xml:space="preserve">6 </w:t>
            </w:r>
          </w:p>
          <w:p w14:paraId="75930334" w14:textId="1113E43A"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meses</w:t>
            </w:r>
          </w:p>
        </w:tc>
        <w:tc>
          <w:tcPr>
            <w:tcW w:w="960" w:type="dxa"/>
            <w:tcBorders>
              <w:top w:val="single" w:sz="4" w:space="0" w:color="auto"/>
              <w:bottom w:val="single" w:sz="4" w:space="0" w:color="auto"/>
            </w:tcBorders>
            <w:shd w:val="clear" w:color="auto" w:fill="BFBFBF" w:themeFill="background1" w:themeFillShade="BF"/>
            <w:vAlign w:val="center"/>
          </w:tcPr>
          <w:p w14:paraId="23EED5CF" w14:textId="5A4B8DB3"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12 meses</w:t>
            </w:r>
          </w:p>
        </w:tc>
        <w:tc>
          <w:tcPr>
            <w:tcW w:w="960" w:type="dxa"/>
            <w:tcBorders>
              <w:top w:val="single" w:sz="4" w:space="0" w:color="auto"/>
              <w:bottom w:val="single" w:sz="4" w:space="0" w:color="auto"/>
            </w:tcBorders>
            <w:shd w:val="clear" w:color="auto" w:fill="BFBFBF" w:themeFill="background1" w:themeFillShade="BF"/>
            <w:vAlign w:val="center"/>
          </w:tcPr>
          <w:p w14:paraId="1C8D19AD" w14:textId="143ACF4A"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24 meses</w:t>
            </w:r>
          </w:p>
        </w:tc>
        <w:tc>
          <w:tcPr>
            <w:tcW w:w="1080" w:type="dxa"/>
            <w:tcBorders>
              <w:top w:val="single" w:sz="4" w:space="0" w:color="auto"/>
              <w:bottom w:val="single" w:sz="4" w:space="0" w:color="auto"/>
            </w:tcBorders>
            <w:shd w:val="clear" w:color="auto" w:fill="BFBFBF" w:themeFill="background1" w:themeFillShade="BF"/>
            <w:vAlign w:val="center"/>
          </w:tcPr>
          <w:p w14:paraId="328BB442" w14:textId="232BF3E5" w:rsidR="00326E79" w:rsidRPr="008B2A1C" w:rsidRDefault="00326E79" w:rsidP="003A3E18">
            <w:pPr>
              <w:jc w:val="center"/>
              <w:rPr>
                <w:rFonts w:ascii="Arial" w:hAnsi="Arial" w:cs="Arial"/>
                <w:b/>
                <w:sz w:val="14"/>
                <w:szCs w:val="14"/>
                <w:lang w:eastAsia="es-AR"/>
              </w:rPr>
            </w:pPr>
            <w:r w:rsidRPr="008B2A1C">
              <w:rPr>
                <w:rFonts w:ascii="Arial" w:hAnsi="Arial" w:cs="Arial"/>
                <w:b/>
                <w:sz w:val="14"/>
                <w:szCs w:val="14"/>
                <w:lang w:eastAsia="es-AR"/>
              </w:rPr>
              <w:t>Mas de 24 meses</w:t>
            </w:r>
          </w:p>
        </w:tc>
        <w:tc>
          <w:tcPr>
            <w:tcW w:w="889" w:type="dxa"/>
            <w:vMerge/>
            <w:tcBorders>
              <w:top w:val="single" w:sz="4" w:space="0" w:color="auto"/>
              <w:bottom w:val="single" w:sz="4" w:space="0" w:color="auto"/>
            </w:tcBorders>
          </w:tcPr>
          <w:p w14:paraId="05668A6D" w14:textId="77777777" w:rsidR="00326E79" w:rsidRPr="008B2A1C" w:rsidRDefault="00326E79" w:rsidP="003A3E18">
            <w:pPr>
              <w:jc w:val="center"/>
              <w:rPr>
                <w:rFonts w:ascii="Arial" w:hAnsi="Arial" w:cs="Arial"/>
                <w:b/>
                <w:sz w:val="14"/>
                <w:szCs w:val="14"/>
                <w:lang w:eastAsia="es-AR"/>
              </w:rPr>
            </w:pPr>
          </w:p>
        </w:tc>
      </w:tr>
      <w:tr w:rsidR="008B2A1C" w:rsidRPr="008B2A1C" w14:paraId="31BE76DF" w14:textId="49D926CD" w:rsidTr="00326E79">
        <w:trPr>
          <w:trHeight w:val="454"/>
        </w:trPr>
        <w:tc>
          <w:tcPr>
            <w:tcW w:w="2400" w:type="dxa"/>
            <w:tcBorders>
              <w:top w:val="single" w:sz="4" w:space="0" w:color="auto"/>
              <w:left w:val="nil"/>
              <w:bottom w:val="nil"/>
              <w:right w:val="nil"/>
            </w:tcBorders>
          </w:tcPr>
          <w:p w14:paraId="75A56EB4" w14:textId="77777777" w:rsidR="00326E79" w:rsidRPr="008B2A1C" w:rsidRDefault="00326E79" w:rsidP="00276790">
            <w:pPr>
              <w:rPr>
                <w:rFonts w:ascii="Arial" w:hAnsi="Arial" w:cs="Arial"/>
                <w:sz w:val="14"/>
                <w:szCs w:val="14"/>
                <w:lang w:eastAsia="es-AR"/>
              </w:rPr>
            </w:pPr>
          </w:p>
        </w:tc>
        <w:tc>
          <w:tcPr>
            <w:tcW w:w="1080" w:type="dxa"/>
            <w:tcBorders>
              <w:top w:val="single" w:sz="4" w:space="0" w:color="auto"/>
              <w:left w:val="nil"/>
              <w:bottom w:val="nil"/>
              <w:right w:val="nil"/>
            </w:tcBorders>
          </w:tcPr>
          <w:p w14:paraId="6694E40D" w14:textId="77777777" w:rsidR="00326E79" w:rsidRPr="008B2A1C" w:rsidRDefault="00326E79" w:rsidP="00276790">
            <w:pPr>
              <w:rPr>
                <w:rFonts w:ascii="Arial" w:hAnsi="Arial" w:cs="Arial"/>
                <w:sz w:val="14"/>
                <w:szCs w:val="14"/>
                <w:lang w:eastAsia="es-AR"/>
              </w:rPr>
            </w:pPr>
          </w:p>
        </w:tc>
        <w:tc>
          <w:tcPr>
            <w:tcW w:w="872" w:type="dxa"/>
            <w:tcBorders>
              <w:top w:val="single" w:sz="4" w:space="0" w:color="auto"/>
              <w:left w:val="nil"/>
              <w:bottom w:val="nil"/>
              <w:right w:val="nil"/>
            </w:tcBorders>
          </w:tcPr>
          <w:p w14:paraId="39B70FED" w14:textId="77777777" w:rsidR="00326E79" w:rsidRPr="008B2A1C" w:rsidRDefault="00326E79" w:rsidP="00276790">
            <w:pPr>
              <w:rPr>
                <w:rFonts w:ascii="Arial" w:hAnsi="Arial" w:cs="Arial"/>
                <w:sz w:val="14"/>
                <w:szCs w:val="14"/>
                <w:lang w:eastAsia="es-AR"/>
              </w:rPr>
            </w:pPr>
          </w:p>
        </w:tc>
        <w:tc>
          <w:tcPr>
            <w:tcW w:w="858" w:type="dxa"/>
            <w:tcBorders>
              <w:top w:val="single" w:sz="4" w:space="0" w:color="auto"/>
              <w:left w:val="nil"/>
              <w:bottom w:val="nil"/>
              <w:right w:val="nil"/>
            </w:tcBorders>
          </w:tcPr>
          <w:p w14:paraId="3EEAD43C" w14:textId="77777777" w:rsidR="00326E79" w:rsidRPr="008B2A1C" w:rsidRDefault="00326E79" w:rsidP="00276790">
            <w:pPr>
              <w:rPr>
                <w:rFonts w:ascii="Arial" w:hAnsi="Arial" w:cs="Arial"/>
                <w:sz w:val="14"/>
                <w:szCs w:val="14"/>
                <w:lang w:eastAsia="es-AR"/>
              </w:rPr>
            </w:pPr>
          </w:p>
        </w:tc>
        <w:tc>
          <w:tcPr>
            <w:tcW w:w="960" w:type="dxa"/>
            <w:tcBorders>
              <w:top w:val="single" w:sz="4" w:space="0" w:color="auto"/>
              <w:left w:val="nil"/>
              <w:bottom w:val="nil"/>
              <w:right w:val="nil"/>
            </w:tcBorders>
          </w:tcPr>
          <w:p w14:paraId="51DCD32B" w14:textId="77777777" w:rsidR="00326E79" w:rsidRPr="008B2A1C" w:rsidRDefault="00326E79" w:rsidP="00276790">
            <w:pPr>
              <w:rPr>
                <w:rFonts w:ascii="Arial" w:hAnsi="Arial" w:cs="Arial"/>
                <w:sz w:val="14"/>
                <w:szCs w:val="14"/>
                <w:lang w:eastAsia="es-AR"/>
              </w:rPr>
            </w:pPr>
          </w:p>
        </w:tc>
        <w:tc>
          <w:tcPr>
            <w:tcW w:w="960" w:type="dxa"/>
            <w:tcBorders>
              <w:top w:val="single" w:sz="4" w:space="0" w:color="auto"/>
              <w:left w:val="nil"/>
              <w:bottom w:val="nil"/>
              <w:right w:val="nil"/>
            </w:tcBorders>
          </w:tcPr>
          <w:p w14:paraId="1F9DFC81" w14:textId="77777777" w:rsidR="00326E79" w:rsidRPr="008B2A1C" w:rsidRDefault="00326E79" w:rsidP="00276790">
            <w:pPr>
              <w:rPr>
                <w:rFonts w:ascii="Arial" w:hAnsi="Arial" w:cs="Arial"/>
                <w:sz w:val="14"/>
                <w:szCs w:val="14"/>
                <w:lang w:eastAsia="es-AR"/>
              </w:rPr>
            </w:pPr>
          </w:p>
        </w:tc>
        <w:tc>
          <w:tcPr>
            <w:tcW w:w="960" w:type="dxa"/>
            <w:tcBorders>
              <w:top w:val="single" w:sz="4" w:space="0" w:color="auto"/>
              <w:left w:val="nil"/>
              <w:bottom w:val="nil"/>
              <w:right w:val="nil"/>
            </w:tcBorders>
          </w:tcPr>
          <w:p w14:paraId="0AEC9937" w14:textId="77777777" w:rsidR="00326E79" w:rsidRPr="008B2A1C" w:rsidRDefault="00326E79" w:rsidP="00276790">
            <w:pPr>
              <w:rPr>
                <w:rFonts w:ascii="Arial" w:hAnsi="Arial" w:cs="Arial"/>
                <w:sz w:val="14"/>
                <w:szCs w:val="14"/>
                <w:lang w:eastAsia="es-AR"/>
              </w:rPr>
            </w:pPr>
          </w:p>
        </w:tc>
        <w:tc>
          <w:tcPr>
            <w:tcW w:w="1080" w:type="dxa"/>
            <w:tcBorders>
              <w:top w:val="single" w:sz="4" w:space="0" w:color="auto"/>
              <w:left w:val="nil"/>
              <w:bottom w:val="nil"/>
              <w:right w:val="nil"/>
            </w:tcBorders>
          </w:tcPr>
          <w:p w14:paraId="72140077" w14:textId="77777777" w:rsidR="00326E79" w:rsidRPr="008B2A1C" w:rsidRDefault="00326E79" w:rsidP="00276790">
            <w:pPr>
              <w:rPr>
                <w:rFonts w:ascii="Arial" w:hAnsi="Arial" w:cs="Arial"/>
                <w:sz w:val="14"/>
                <w:szCs w:val="14"/>
                <w:lang w:eastAsia="es-AR"/>
              </w:rPr>
            </w:pPr>
          </w:p>
        </w:tc>
        <w:tc>
          <w:tcPr>
            <w:tcW w:w="889" w:type="dxa"/>
            <w:tcBorders>
              <w:top w:val="single" w:sz="4" w:space="0" w:color="auto"/>
              <w:left w:val="nil"/>
              <w:bottom w:val="nil"/>
              <w:right w:val="nil"/>
            </w:tcBorders>
          </w:tcPr>
          <w:p w14:paraId="2AB270F3" w14:textId="77777777" w:rsidR="00326E79" w:rsidRPr="008B2A1C" w:rsidRDefault="00326E79" w:rsidP="00276790">
            <w:pPr>
              <w:rPr>
                <w:rFonts w:ascii="Arial" w:hAnsi="Arial" w:cs="Arial"/>
                <w:sz w:val="14"/>
                <w:szCs w:val="14"/>
                <w:lang w:eastAsia="es-AR"/>
              </w:rPr>
            </w:pPr>
          </w:p>
        </w:tc>
      </w:tr>
      <w:tr w:rsidR="008B2A1C" w:rsidRPr="008B2A1C" w14:paraId="1C43F0F2" w14:textId="1AA3D207" w:rsidTr="00BE26A8">
        <w:trPr>
          <w:trHeight w:val="454"/>
        </w:trPr>
        <w:tc>
          <w:tcPr>
            <w:tcW w:w="2400" w:type="dxa"/>
            <w:tcBorders>
              <w:top w:val="nil"/>
              <w:left w:val="nil"/>
              <w:bottom w:val="nil"/>
              <w:right w:val="nil"/>
            </w:tcBorders>
            <w:vAlign w:val="bottom"/>
          </w:tcPr>
          <w:p w14:paraId="72E32313" w14:textId="6909FC6E" w:rsidR="00782ED3" w:rsidRPr="008B2A1C" w:rsidRDefault="00782ED3" w:rsidP="00BE26A8">
            <w:pPr>
              <w:rPr>
                <w:rFonts w:ascii="Arial" w:hAnsi="Arial" w:cs="Arial"/>
                <w:sz w:val="14"/>
                <w:szCs w:val="14"/>
                <w:lang w:eastAsia="es-AR"/>
              </w:rPr>
            </w:pPr>
            <w:r w:rsidRPr="008B2A1C">
              <w:rPr>
                <w:rFonts w:ascii="Arial" w:hAnsi="Arial" w:cs="Arial"/>
                <w:sz w:val="14"/>
                <w:szCs w:val="14"/>
                <w:lang w:eastAsia="es-AR"/>
              </w:rPr>
              <w:t>Sector Público no financiero</w:t>
            </w:r>
          </w:p>
        </w:tc>
        <w:tc>
          <w:tcPr>
            <w:tcW w:w="1080" w:type="dxa"/>
            <w:tcBorders>
              <w:top w:val="nil"/>
              <w:left w:val="nil"/>
              <w:bottom w:val="nil"/>
              <w:right w:val="nil"/>
            </w:tcBorders>
            <w:vAlign w:val="bottom"/>
          </w:tcPr>
          <w:p w14:paraId="0EC5767C" w14:textId="6700CC6E"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w:t>
            </w:r>
          </w:p>
        </w:tc>
        <w:tc>
          <w:tcPr>
            <w:tcW w:w="872" w:type="dxa"/>
            <w:tcBorders>
              <w:top w:val="nil"/>
              <w:left w:val="nil"/>
              <w:bottom w:val="nil"/>
              <w:right w:val="nil"/>
            </w:tcBorders>
            <w:vAlign w:val="bottom"/>
          </w:tcPr>
          <w:p w14:paraId="036D0A57" w14:textId="270F1F28"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39.578</w:t>
            </w:r>
          </w:p>
        </w:tc>
        <w:tc>
          <w:tcPr>
            <w:tcW w:w="858" w:type="dxa"/>
            <w:tcBorders>
              <w:top w:val="nil"/>
              <w:left w:val="nil"/>
              <w:bottom w:val="nil"/>
              <w:right w:val="nil"/>
            </w:tcBorders>
            <w:vAlign w:val="bottom"/>
          </w:tcPr>
          <w:p w14:paraId="093268AD" w14:textId="3634C77C"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4.104</w:t>
            </w:r>
          </w:p>
        </w:tc>
        <w:tc>
          <w:tcPr>
            <w:tcW w:w="960" w:type="dxa"/>
            <w:tcBorders>
              <w:top w:val="nil"/>
              <w:left w:val="nil"/>
              <w:bottom w:val="nil"/>
              <w:right w:val="nil"/>
            </w:tcBorders>
            <w:vAlign w:val="bottom"/>
          </w:tcPr>
          <w:p w14:paraId="6DE669BF" w14:textId="5BB13DA3"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6.298</w:t>
            </w:r>
          </w:p>
        </w:tc>
        <w:tc>
          <w:tcPr>
            <w:tcW w:w="960" w:type="dxa"/>
            <w:tcBorders>
              <w:top w:val="nil"/>
              <w:left w:val="nil"/>
              <w:bottom w:val="nil"/>
              <w:right w:val="nil"/>
            </w:tcBorders>
            <w:vAlign w:val="bottom"/>
          </w:tcPr>
          <w:p w14:paraId="3B73A75E" w14:textId="0D5D4257"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13.347</w:t>
            </w:r>
          </w:p>
        </w:tc>
        <w:tc>
          <w:tcPr>
            <w:tcW w:w="960" w:type="dxa"/>
            <w:tcBorders>
              <w:top w:val="nil"/>
              <w:left w:val="nil"/>
              <w:bottom w:val="nil"/>
              <w:right w:val="nil"/>
            </w:tcBorders>
            <w:vAlign w:val="bottom"/>
          </w:tcPr>
          <w:p w14:paraId="5EE8990A" w14:textId="7EFF177C"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30.156</w:t>
            </w:r>
          </w:p>
        </w:tc>
        <w:tc>
          <w:tcPr>
            <w:tcW w:w="1080" w:type="dxa"/>
            <w:tcBorders>
              <w:top w:val="nil"/>
              <w:left w:val="nil"/>
              <w:bottom w:val="nil"/>
              <w:right w:val="nil"/>
            </w:tcBorders>
            <w:vAlign w:val="bottom"/>
          </w:tcPr>
          <w:p w14:paraId="5DF37D09" w14:textId="1E6B5AF8"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14.439</w:t>
            </w:r>
          </w:p>
        </w:tc>
        <w:tc>
          <w:tcPr>
            <w:tcW w:w="889" w:type="dxa"/>
            <w:tcBorders>
              <w:top w:val="nil"/>
              <w:left w:val="nil"/>
              <w:bottom w:val="nil"/>
              <w:right w:val="nil"/>
            </w:tcBorders>
            <w:vAlign w:val="bottom"/>
          </w:tcPr>
          <w:p w14:paraId="19BD0F6B" w14:textId="23A82003"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107.922</w:t>
            </w:r>
          </w:p>
        </w:tc>
      </w:tr>
      <w:tr w:rsidR="008B2A1C" w:rsidRPr="008B2A1C" w14:paraId="715379E7" w14:textId="05052A2E" w:rsidTr="00BE26A8">
        <w:trPr>
          <w:trHeight w:val="454"/>
        </w:trPr>
        <w:tc>
          <w:tcPr>
            <w:tcW w:w="2400" w:type="dxa"/>
            <w:tcBorders>
              <w:top w:val="nil"/>
              <w:left w:val="nil"/>
              <w:bottom w:val="nil"/>
              <w:right w:val="nil"/>
            </w:tcBorders>
            <w:vAlign w:val="bottom"/>
          </w:tcPr>
          <w:p w14:paraId="757F455C" w14:textId="238C2E19" w:rsidR="00782ED3" w:rsidRPr="008B2A1C" w:rsidRDefault="00782ED3" w:rsidP="00BE26A8">
            <w:pPr>
              <w:rPr>
                <w:rFonts w:ascii="Arial" w:hAnsi="Arial" w:cs="Arial"/>
                <w:sz w:val="14"/>
                <w:szCs w:val="14"/>
                <w:lang w:eastAsia="es-AR"/>
              </w:rPr>
            </w:pPr>
            <w:r w:rsidRPr="008B2A1C">
              <w:rPr>
                <w:rFonts w:ascii="Arial" w:hAnsi="Arial" w:cs="Arial"/>
                <w:sz w:val="14"/>
                <w:szCs w:val="14"/>
                <w:lang w:eastAsia="es-AR"/>
              </w:rPr>
              <w:t>Sector Fi</w:t>
            </w:r>
            <w:r w:rsidR="00945157" w:rsidRPr="008B2A1C">
              <w:rPr>
                <w:rFonts w:ascii="Arial" w:hAnsi="Arial" w:cs="Arial"/>
                <w:sz w:val="14"/>
                <w:szCs w:val="14"/>
                <w:lang w:eastAsia="es-AR"/>
              </w:rPr>
              <w:t>n</w:t>
            </w:r>
            <w:r w:rsidRPr="008B2A1C">
              <w:rPr>
                <w:rFonts w:ascii="Arial" w:hAnsi="Arial" w:cs="Arial"/>
                <w:sz w:val="14"/>
                <w:szCs w:val="14"/>
                <w:lang w:eastAsia="es-AR"/>
              </w:rPr>
              <w:t>anciero</w:t>
            </w:r>
          </w:p>
        </w:tc>
        <w:tc>
          <w:tcPr>
            <w:tcW w:w="1080" w:type="dxa"/>
            <w:tcBorders>
              <w:top w:val="nil"/>
              <w:left w:val="nil"/>
              <w:bottom w:val="nil"/>
              <w:right w:val="nil"/>
            </w:tcBorders>
            <w:vAlign w:val="bottom"/>
          </w:tcPr>
          <w:p w14:paraId="2E94C545" w14:textId="03E0E43E"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w:t>
            </w:r>
          </w:p>
        </w:tc>
        <w:tc>
          <w:tcPr>
            <w:tcW w:w="872" w:type="dxa"/>
            <w:tcBorders>
              <w:top w:val="nil"/>
              <w:left w:val="nil"/>
              <w:bottom w:val="nil"/>
              <w:right w:val="nil"/>
            </w:tcBorders>
            <w:vAlign w:val="bottom"/>
          </w:tcPr>
          <w:p w14:paraId="471E3167" w14:textId="4C03C431"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9.577</w:t>
            </w:r>
          </w:p>
        </w:tc>
        <w:tc>
          <w:tcPr>
            <w:tcW w:w="858" w:type="dxa"/>
            <w:tcBorders>
              <w:top w:val="nil"/>
              <w:left w:val="nil"/>
              <w:bottom w:val="nil"/>
              <w:right w:val="nil"/>
            </w:tcBorders>
            <w:vAlign w:val="bottom"/>
          </w:tcPr>
          <w:p w14:paraId="6C5A0AB7" w14:textId="00D60DBF"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8.074</w:t>
            </w:r>
          </w:p>
        </w:tc>
        <w:tc>
          <w:tcPr>
            <w:tcW w:w="960" w:type="dxa"/>
            <w:tcBorders>
              <w:top w:val="nil"/>
              <w:left w:val="nil"/>
              <w:bottom w:val="nil"/>
              <w:right w:val="nil"/>
            </w:tcBorders>
            <w:vAlign w:val="bottom"/>
          </w:tcPr>
          <w:p w14:paraId="555A0790" w14:textId="550185CF"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56.758</w:t>
            </w:r>
          </w:p>
        </w:tc>
        <w:tc>
          <w:tcPr>
            <w:tcW w:w="960" w:type="dxa"/>
            <w:tcBorders>
              <w:top w:val="nil"/>
              <w:left w:val="nil"/>
              <w:bottom w:val="nil"/>
              <w:right w:val="nil"/>
            </w:tcBorders>
            <w:vAlign w:val="bottom"/>
          </w:tcPr>
          <w:p w14:paraId="79E10D87" w14:textId="5C2991D4"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14.396</w:t>
            </w:r>
          </w:p>
        </w:tc>
        <w:tc>
          <w:tcPr>
            <w:tcW w:w="960" w:type="dxa"/>
            <w:tcBorders>
              <w:top w:val="nil"/>
              <w:left w:val="nil"/>
              <w:bottom w:val="nil"/>
              <w:right w:val="nil"/>
            </w:tcBorders>
            <w:vAlign w:val="bottom"/>
          </w:tcPr>
          <w:p w14:paraId="49D0FBAA" w14:textId="15B9A50D"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33.829</w:t>
            </w:r>
          </w:p>
        </w:tc>
        <w:tc>
          <w:tcPr>
            <w:tcW w:w="1080" w:type="dxa"/>
            <w:tcBorders>
              <w:top w:val="nil"/>
              <w:left w:val="nil"/>
              <w:bottom w:val="nil"/>
              <w:right w:val="nil"/>
            </w:tcBorders>
            <w:vAlign w:val="bottom"/>
          </w:tcPr>
          <w:p w14:paraId="54B4D62E" w14:textId="43C1BB41" w:rsidR="00782ED3" w:rsidRPr="008B2A1C" w:rsidRDefault="001466D3" w:rsidP="00BE26A8">
            <w:pPr>
              <w:jc w:val="right"/>
              <w:rPr>
                <w:rFonts w:ascii="Arial" w:hAnsi="Arial" w:cs="Arial"/>
                <w:sz w:val="14"/>
                <w:szCs w:val="14"/>
                <w:lang w:eastAsia="es-AR"/>
              </w:rPr>
            </w:pPr>
            <w:r>
              <w:rPr>
                <w:rFonts w:ascii="Arial" w:hAnsi="Arial" w:cs="Arial"/>
                <w:sz w:val="14"/>
                <w:szCs w:val="14"/>
                <w:lang w:eastAsia="es-AR"/>
              </w:rPr>
              <w:t>-</w:t>
            </w:r>
          </w:p>
        </w:tc>
        <w:tc>
          <w:tcPr>
            <w:tcW w:w="889" w:type="dxa"/>
            <w:tcBorders>
              <w:top w:val="nil"/>
              <w:left w:val="nil"/>
              <w:bottom w:val="nil"/>
              <w:right w:val="nil"/>
            </w:tcBorders>
            <w:vAlign w:val="bottom"/>
          </w:tcPr>
          <w:p w14:paraId="322FE3EE" w14:textId="61BD452F"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122.634</w:t>
            </w:r>
          </w:p>
        </w:tc>
      </w:tr>
      <w:tr w:rsidR="008B2A1C" w:rsidRPr="008B2A1C" w14:paraId="0F5C9F41" w14:textId="7247E44B" w:rsidTr="00BE26A8">
        <w:trPr>
          <w:trHeight w:val="454"/>
        </w:trPr>
        <w:tc>
          <w:tcPr>
            <w:tcW w:w="2400" w:type="dxa"/>
            <w:tcBorders>
              <w:top w:val="nil"/>
              <w:left w:val="nil"/>
              <w:bottom w:val="nil"/>
              <w:right w:val="nil"/>
            </w:tcBorders>
            <w:vAlign w:val="bottom"/>
          </w:tcPr>
          <w:p w14:paraId="2A788842" w14:textId="476E8778" w:rsidR="00782ED3" w:rsidRPr="008B2A1C" w:rsidRDefault="00782ED3" w:rsidP="00BE26A8">
            <w:pPr>
              <w:rPr>
                <w:rFonts w:ascii="Arial" w:hAnsi="Arial" w:cs="Arial"/>
                <w:sz w:val="14"/>
                <w:szCs w:val="14"/>
                <w:lang w:eastAsia="es-AR"/>
              </w:rPr>
            </w:pPr>
            <w:r w:rsidRPr="008B2A1C">
              <w:rPr>
                <w:rFonts w:ascii="Arial" w:hAnsi="Arial" w:cs="Arial"/>
                <w:sz w:val="14"/>
                <w:szCs w:val="14"/>
                <w:lang w:eastAsia="es-AR"/>
              </w:rPr>
              <w:t>Sector privado no financiero y residentes en el exterior</w:t>
            </w:r>
          </w:p>
        </w:tc>
        <w:tc>
          <w:tcPr>
            <w:tcW w:w="1080" w:type="dxa"/>
            <w:tcBorders>
              <w:top w:val="nil"/>
              <w:left w:val="nil"/>
              <w:bottom w:val="nil"/>
              <w:right w:val="nil"/>
            </w:tcBorders>
            <w:vAlign w:val="bottom"/>
          </w:tcPr>
          <w:p w14:paraId="6D1010D5" w14:textId="1A9B9900"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11.302.024</w:t>
            </w:r>
          </w:p>
        </w:tc>
        <w:tc>
          <w:tcPr>
            <w:tcW w:w="872" w:type="dxa"/>
            <w:tcBorders>
              <w:top w:val="nil"/>
              <w:left w:val="nil"/>
              <w:bottom w:val="nil"/>
              <w:right w:val="nil"/>
            </w:tcBorders>
            <w:vAlign w:val="bottom"/>
          </w:tcPr>
          <w:p w14:paraId="1258B9BD" w14:textId="1AF5D7D7"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54.224.640</w:t>
            </w:r>
          </w:p>
        </w:tc>
        <w:tc>
          <w:tcPr>
            <w:tcW w:w="858" w:type="dxa"/>
            <w:tcBorders>
              <w:top w:val="nil"/>
              <w:left w:val="nil"/>
              <w:bottom w:val="nil"/>
              <w:right w:val="nil"/>
            </w:tcBorders>
            <w:vAlign w:val="bottom"/>
          </w:tcPr>
          <w:p w14:paraId="70DA47A5" w14:textId="544AC6D0"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23.842.848</w:t>
            </w:r>
          </w:p>
        </w:tc>
        <w:tc>
          <w:tcPr>
            <w:tcW w:w="960" w:type="dxa"/>
            <w:tcBorders>
              <w:top w:val="nil"/>
              <w:left w:val="nil"/>
              <w:bottom w:val="nil"/>
              <w:right w:val="nil"/>
            </w:tcBorders>
            <w:vAlign w:val="bottom"/>
          </w:tcPr>
          <w:p w14:paraId="00FB89CB" w14:textId="633E47C2"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25.724.116</w:t>
            </w:r>
          </w:p>
        </w:tc>
        <w:tc>
          <w:tcPr>
            <w:tcW w:w="960" w:type="dxa"/>
            <w:tcBorders>
              <w:top w:val="nil"/>
              <w:left w:val="nil"/>
              <w:bottom w:val="nil"/>
              <w:right w:val="nil"/>
            </w:tcBorders>
            <w:vAlign w:val="bottom"/>
          </w:tcPr>
          <w:p w14:paraId="4CE1E62B" w14:textId="2A34F505"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31.037.284</w:t>
            </w:r>
          </w:p>
        </w:tc>
        <w:tc>
          <w:tcPr>
            <w:tcW w:w="960" w:type="dxa"/>
            <w:tcBorders>
              <w:top w:val="nil"/>
              <w:left w:val="nil"/>
              <w:bottom w:val="nil"/>
              <w:right w:val="nil"/>
            </w:tcBorders>
            <w:vAlign w:val="bottom"/>
          </w:tcPr>
          <w:p w14:paraId="1147ED05" w14:textId="31D85C84"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43.357.625</w:t>
            </w:r>
          </w:p>
        </w:tc>
        <w:tc>
          <w:tcPr>
            <w:tcW w:w="1080" w:type="dxa"/>
            <w:tcBorders>
              <w:top w:val="nil"/>
              <w:left w:val="nil"/>
              <w:bottom w:val="nil"/>
              <w:right w:val="nil"/>
            </w:tcBorders>
            <w:vAlign w:val="bottom"/>
          </w:tcPr>
          <w:p w14:paraId="0EEECE37" w14:textId="18B40EB2"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89.287.440</w:t>
            </w:r>
          </w:p>
        </w:tc>
        <w:tc>
          <w:tcPr>
            <w:tcW w:w="889" w:type="dxa"/>
            <w:tcBorders>
              <w:top w:val="nil"/>
              <w:left w:val="nil"/>
              <w:bottom w:val="nil"/>
              <w:right w:val="nil"/>
            </w:tcBorders>
            <w:vAlign w:val="bottom"/>
          </w:tcPr>
          <w:p w14:paraId="4B0E1259" w14:textId="15965D82" w:rsidR="00782ED3" w:rsidRPr="008B2A1C" w:rsidRDefault="001110A4" w:rsidP="00BE26A8">
            <w:pPr>
              <w:jc w:val="right"/>
              <w:rPr>
                <w:rFonts w:ascii="Arial" w:hAnsi="Arial" w:cs="Arial"/>
                <w:sz w:val="14"/>
                <w:szCs w:val="14"/>
                <w:lang w:eastAsia="es-AR"/>
              </w:rPr>
            </w:pPr>
            <w:r>
              <w:rPr>
                <w:rFonts w:ascii="Arial" w:hAnsi="Arial" w:cs="Arial"/>
                <w:sz w:val="14"/>
                <w:szCs w:val="14"/>
                <w:lang w:eastAsia="es-AR"/>
              </w:rPr>
              <w:t>278.775.977</w:t>
            </w:r>
          </w:p>
        </w:tc>
      </w:tr>
      <w:tr w:rsidR="008B2A1C" w:rsidRPr="008B2A1C" w14:paraId="30EAE332" w14:textId="77777777" w:rsidTr="00326E79">
        <w:trPr>
          <w:trHeight w:val="454"/>
        </w:trPr>
        <w:tc>
          <w:tcPr>
            <w:tcW w:w="2400" w:type="dxa"/>
            <w:tcBorders>
              <w:top w:val="nil"/>
              <w:left w:val="nil"/>
              <w:bottom w:val="single" w:sz="4" w:space="0" w:color="auto"/>
              <w:right w:val="nil"/>
            </w:tcBorders>
          </w:tcPr>
          <w:p w14:paraId="546ED7B7" w14:textId="77777777" w:rsidR="00782ED3" w:rsidRPr="008B2A1C" w:rsidRDefault="00782ED3" w:rsidP="00782ED3">
            <w:pPr>
              <w:rPr>
                <w:rFonts w:ascii="Arial" w:hAnsi="Arial" w:cs="Arial"/>
                <w:sz w:val="14"/>
                <w:szCs w:val="14"/>
                <w:lang w:eastAsia="es-AR"/>
              </w:rPr>
            </w:pPr>
          </w:p>
        </w:tc>
        <w:tc>
          <w:tcPr>
            <w:tcW w:w="1080" w:type="dxa"/>
            <w:tcBorders>
              <w:top w:val="nil"/>
              <w:left w:val="nil"/>
              <w:bottom w:val="single" w:sz="4" w:space="0" w:color="auto"/>
              <w:right w:val="nil"/>
            </w:tcBorders>
          </w:tcPr>
          <w:p w14:paraId="3B566BF6" w14:textId="77777777" w:rsidR="00782ED3" w:rsidRPr="008B2A1C" w:rsidRDefault="00782ED3" w:rsidP="00782ED3">
            <w:pPr>
              <w:rPr>
                <w:rFonts w:ascii="Arial" w:hAnsi="Arial" w:cs="Arial"/>
                <w:sz w:val="14"/>
                <w:szCs w:val="14"/>
                <w:lang w:eastAsia="es-AR"/>
              </w:rPr>
            </w:pPr>
          </w:p>
        </w:tc>
        <w:tc>
          <w:tcPr>
            <w:tcW w:w="872" w:type="dxa"/>
            <w:tcBorders>
              <w:top w:val="nil"/>
              <w:left w:val="nil"/>
              <w:bottom w:val="single" w:sz="4" w:space="0" w:color="auto"/>
              <w:right w:val="nil"/>
            </w:tcBorders>
          </w:tcPr>
          <w:p w14:paraId="7D788618" w14:textId="77777777" w:rsidR="00782ED3" w:rsidRPr="008B2A1C" w:rsidRDefault="00782ED3" w:rsidP="00782ED3">
            <w:pPr>
              <w:rPr>
                <w:rFonts w:ascii="Arial" w:hAnsi="Arial" w:cs="Arial"/>
                <w:sz w:val="14"/>
                <w:szCs w:val="14"/>
                <w:lang w:eastAsia="es-AR"/>
              </w:rPr>
            </w:pPr>
          </w:p>
        </w:tc>
        <w:tc>
          <w:tcPr>
            <w:tcW w:w="858" w:type="dxa"/>
            <w:tcBorders>
              <w:top w:val="nil"/>
              <w:left w:val="nil"/>
              <w:bottom w:val="single" w:sz="4" w:space="0" w:color="auto"/>
              <w:right w:val="nil"/>
            </w:tcBorders>
          </w:tcPr>
          <w:p w14:paraId="13BD3CBC" w14:textId="77777777" w:rsidR="00782ED3" w:rsidRPr="008B2A1C" w:rsidRDefault="00782ED3" w:rsidP="00782ED3">
            <w:pPr>
              <w:rPr>
                <w:rFonts w:ascii="Arial" w:hAnsi="Arial" w:cs="Arial"/>
                <w:sz w:val="14"/>
                <w:szCs w:val="14"/>
                <w:lang w:eastAsia="es-AR"/>
              </w:rPr>
            </w:pPr>
          </w:p>
        </w:tc>
        <w:tc>
          <w:tcPr>
            <w:tcW w:w="960" w:type="dxa"/>
            <w:tcBorders>
              <w:top w:val="nil"/>
              <w:left w:val="nil"/>
              <w:bottom w:val="single" w:sz="4" w:space="0" w:color="auto"/>
              <w:right w:val="nil"/>
            </w:tcBorders>
          </w:tcPr>
          <w:p w14:paraId="5DCFAF11" w14:textId="77777777" w:rsidR="00782ED3" w:rsidRPr="008B2A1C" w:rsidRDefault="00782ED3" w:rsidP="00782ED3">
            <w:pPr>
              <w:rPr>
                <w:rFonts w:ascii="Arial" w:hAnsi="Arial" w:cs="Arial"/>
                <w:sz w:val="14"/>
                <w:szCs w:val="14"/>
                <w:lang w:eastAsia="es-AR"/>
              </w:rPr>
            </w:pPr>
          </w:p>
        </w:tc>
        <w:tc>
          <w:tcPr>
            <w:tcW w:w="960" w:type="dxa"/>
            <w:tcBorders>
              <w:top w:val="nil"/>
              <w:left w:val="nil"/>
              <w:bottom w:val="single" w:sz="4" w:space="0" w:color="auto"/>
              <w:right w:val="nil"/>
            </w:tcBorders>
          </w:tcPr>
          <w:p w14:paraId="037C16EA" w14:textId="77777777" w:rsidR="00782ED3" w:rsidRPr="008B2A1C" w:rsidRDefault="00782ED3" w:rsidP="00782ED3">
            <w:pPr>
              <w:rPr>
                <w:rFonts w:ascii="Arial" w:hAnsi="Arial" w:cs="Arial"/>
                <w:sz w:val="14"/>
                <w:szCs w:val="14"/>
                <w:lang w:eastAsia="es-AR"/>
              </w:rPr>
            </w:pPr>
          </w:p>
        </w:tc>
        <w:tc>
          <w:tcPr>
            <w:tcW w:w="960" w:type="dxa"/>
            <w:tcBorders>
              <w:top w:val="nil"/>
              <w:left w:val="nil"/>
              <w:bottom w:val="single" w:sz="4" w:space="0" w:color="auto"/>
              <w:right w:val="nil"/>
            </w:tcBorders>
          </w:tcPr>
          <w:p w14:paraId="4A87CC86" w14:textId="77777777" w:rsidR="00782ED3" w:rsidRPr="008B2A1C" w:rsidRDefault="00782ED3" w:rsidP="00782ED3">
            <w:pPr>
              <w:rPr>
                <w:rFonts w:ascii="Arial" w:hAnsi="Arial" w:cs="Arial"/>
                <w:sz w:val="14"/>
                <w:szCs w:val="14"/>
                <w:lang w:eastAsia="es-AR"/>
              </w:rPr>
            </w:pPr>
          </w:p>
        </w:tc>
        <w:tc>
          <w:tcPr>
            <w:tcW w:w="1080" w:type="dxa"/>
            <w:tcBorders>
              <w:top w:val="nil"/>
              <w:left w:val="nil"/>
              <w:bottom w:val="single" w:sz="4" w:space="0" w:color="auto"/>
              <w:right w:val="nil"/>
            </w:tcBorders>
          </w:tcPr>
          <w:p w14:paraId="56BE0F63" w14:textId="77777777" w:rsidR="00782ED3" w:rsidRPr="008B2A1C" w:rsidRDefault="00782ED3" w:rsidP="00782ED3">
            <w:pPr>
              <w:rPr>
                <w:rFonts w:ascii="Arial" w:hAnsi="Arial" w:cs="Arial"/>
                <w:sz w:val="14"/>
                <w:szCs w:val="14"/>
                <w:lang w:eastAsia="es-AR"/>
              </w:rPr>
            </w:pPr>
          </w:p>
        </w:tc>
        <w:tc>
          <w:tcPr>
            <w:tcW w:w="889" w:type="dxa"/>
            <w:tcBorders>
              <w:top w:val="nil"/>
              <w:left w:val="nil"/>
              <w:bottom w:val="single" w:sz="4" w:space="0" w:color="auto"/>
              <w:right w:val="nil"/>
            </w:tcBorders>
          </w:tcPr>
          <w:p w14:paraId="54613995" w14:textId="77777777" w:rsidR="00782ED3" w:rsidRPr="008B2A1C" w:rsidRDefault="00782ED3" w:rsidP="00782ED3">
            <w:pPr>
              <w:rPr>
                <w:rFonts w:ascii="Arial" w:hAnsi="Arial" w:cs="Arial"/>
                <w:sz w:val="14"/>
                <w:szCs w:val="14"/>
                <w:lang w:eastAsia="es-AR"/>
              </w:rPr>
            </w:pPr>
          </w:p>
        </w:tc>
      </w:tr>
      <w:tr w:rsidR="008B2A1C" w:rsidRPr="008B2A1C" w14:paraId="35C8D177" w14:textId="77777777" w:rsidTr="00B30A0B">
        <w:trPr>
          <w:trHeight w:val="340"/>
        </w:trPr>
        <w:tc>
          <w:tcPr>
            <w:tcW w:w="2400" w:type="dxa"/>
            <w:tcBorders>
              <w:top w:val="single" w:sz="4" w:space="0" w:color="auto"/>
              <w:left w:val="nil"/>
              <w:right w:val="nil"/>
            </w:tcBorders>
            <w:vAlign w:val="center"/>
          </w:tcPr>
          <w:p w14:paraId="5BF34261" w14:textId="1C9EA29B" w:rsidR="00782ED3" w:rsidRPr="008B2A1C" w:rsidRDefault="00782ED3" w:rsidP="00782ED3">
            <w:pPr>
              <w:jc w:val="center"/>
              <w:rPr>
                <w:rFonts w:ascii="Arial" w:hAnsi="Arial" w:cs="Arial"/>
                <w:b/>
                <w:sz w:val="14"/>
                <w:szCs w:val="14"/>
                <w:lang w:eastAsia="es-AR"/>
              </w:rPr>
            </w:pPr>
            <w:r w:rsidRPr="008B2A1C">
              <w:rPr>
                <w:rFonts w:ascii="Arial" w:hAnsi="Arial" w:cs="Arial"/>
                <w:b/>
                <w:sz w:val="14"/>
                <w:szCs w:val="14"/>
                <w:lang w:eastAsia="es-AR"/>
              </w:rPr>
              <w:t>TOTAL</w:t>
            </w:r>
          </w:p>
        </w:tc>
        <w:tc>
          <w:tcPr>
            <w:tcW w:w="1080" w:type="dxa"/>
            <w:tcBorders>
              <w:top w:val="single" w:sz="4" w:space="0" w:color="auto"/>
              <w:left w:val="nil"/>
              <w:right w:val="nil"/>
            </w:tcBorders>
            <w:vAlign w:val="center"/>
          </w:tcPr>
          <w:p w14:paraId="1E46720F" w14:textId="7833D15B"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11.302.024</w:t>
            </w:r>
          </w:p>
        </w:tc>
        <w:tc>
          <w:tcPr>
            <w:tcW w:w="872" w:type="dxa"/>
            <w:tcBorders>
              <w:top w:val="single" w:sz="4" w:space="0" w:color="auto"/>
              <w:left w:val="nil"/>
              <w:right w:val="nil"/>
            </w:tcBorders>
            <w:vAlign w:val="center"/>
          </w:tcPr>
          <w:p w14:paraId="0F9275BB" w14:textId="33A389EB"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54.273.795</w:t>
            </w:r>
          </w:p>
        </w:tc>
        <w:tc>
          <w:tcPr>
            <w:tcW w:w="858" w:type="dxa"/>
            <w:tcBorders>
              <w:top w:val="single" w:sz="4" w:space="0" w:color="auto"/>
              <w:left w:val="nil"/>
              <w:right w:val="nil"/>
            </w:tcBorders>
            <w:vAlign w:val="center"/>
          </w:tcPr>
          <w:p w14:paraId="00BB36F8" w14:textId="67388C41"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23.855.026</w:t>
            </w:r>
          </w:p>
        </w:tc>
        <w:tc>
          <w:tcPr>
            <w:tcW w:w="960" w:type="dxa"/>
            <w:tcBorders>
              <w:top w:val="single" w:sz="4" w:space="0" w:color="auto"/>
              <w:left w:val="nil"/>
              <w:right w:val="nil"/>
            </w:tcBorders>
            <w:vAlign w:val="center"/>
          </w:tcPr>
          <w:p w14:paraId="293865C4" w14:textId="01223631"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25.787.172</w:t>
            </w:r>
          </w:p>
        </w:tc>
        <w:tc>
          <w:tcPr>
            <w:tcW w:w="960" w:type="dxa"/>
            <w:tcBorders>
              <w:top w:val="single" w:sz="4" w:space="0" w:color="auto"/>
              <w:left w:val="nil"/>
              <w:right w:val="nil"/>
            </w:tcBorders>
            <w:vAlign w:val="center"/>
          </w:tcPr>
          <w:p w14:paraId="73A4E758" w14:textId="7669EAFC"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31.065.027</w:t>
            </w:r>
          </w:p>
        </w:tc>
        <w:tc>
          <w:tcPr>
            <w:tcW w:w="960" w:type="dxa"/>
            <w:tcBorders>
              <w:top w:val="single" w:sz="4" w:space="0" w:color="auto"/>
              <w:left w:val="nil"/>
              <w:right w:val="nil"/>
            </w:tcBorders>
            <w:vAlign w:val="center"/>
          </w:tcPr>
          <w:p w14:paraId="184C09D4" w14:textId="70720FD0"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43.421.610</w:t>
            </w:r>
          </w:p>
        </w:tc>
        <w:tc>
          <w:tcPr>
            <w:tcW w:w="1080" w:type="dxa"/>
            <w:tcBorders>
              <w:top w:val="single" w:sz="4" w:space="0" w:color="auto"/>
              <w:left w:val="nil"/>
              <w:right w:val="nil"/>
            </w:tcBorders>
            <w:vAlign w:val="center"/>
          </w:tcPr>
          <w:p w14:paraId="3821C6A2" w14:textId="637F870F"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89.301.879</w:t>
            </w:r>
          </w:p>
        </w:tc>
        <w:tc>
          <w:tcPr>
            <w:tcW w:w="889" w:type="dxa"/>
            <w:tcBorders>
              <w:top w:val="single" w:sz="4" w:space="0" w:color="auto"/>
              <w:left w:val="nil"/>
              <w:right w:val="nil"/>
            </w:tcBorders>
            <w:vAlign w:val="center"/>
          </w:tcPr>
          <w:p w14:paraId="02CE0CAC" w14:textId="3A76E718" w:rsidR="00782ED3" w:rsidRPr="008B2A1C" w:rsidRDefault="001110A4" w:rsidP="00782ED3">
            <w:pPr>
              <w:jc w:val="right"/>
              <w:rPr>
                <w:rFonts w:ascii="Arial" w:hAnsi="Arial" w:cs="Arial"/>
                <w:b/>
                <w:sz w:val="14"/>
                <w:szCs w:val="14"/>
                <w:lang w:eastAsia="es-AR"/>
              </w:rPr>
            </w:pPr>
            <w:r>
              <w:rPr>
                <w:rFonts w:ascii="Arial" w:hAnsi="Arial" w:cs="Arial"/>
                <w:b/>
                <w:sz w:val="14"/>
                <w:szCs w:val="14"/>
                <w:lang w:eastAsia="es-AR"/>
              </w:rPr>
              <w:t>279.006.533</w:t>
            </w:r>
          </w:p>
        </w:tc>
      </w:tr>
      <w:bookmarkEnd w:id="40"/>
      <w:bookmarkEnd w:id="41"/>
    </w:tbl>
    <w:p w14:paraId="6CFF07AF" w14:textId="0ED6A828" w:rsidR="003A3E18" w:rsidRDefault="003A3E18" w:rsidP="00276790">
      <w:pPr>
        <w:rPr>
          <w:sz w:val="20"/>
          <w:lang w:eastAsia="es-AR"/>
        </w:rPr>
      </w:pPr>
    </w:p>
    <w:p w14:paraId="5BFDC971" w14:textId="3225D5C2" w:rsidR="003A3E18" w:rsidRDefault="003A3E18" w:rsidP="00276790">
      <w:pPr>
        <w:rPr>
          <w:sz w:val="20"/>
          <w:lang w:eastAsia="es-AR"/>
        </w:rPr>
      </w:pPr>
    </w:p>
    <w:p w14:paraId="708647EB" w14:textId="6A81F768" w:rsidR="003A3E18" w:rsidRDefault="003A3E18" w:rsidP="00276790">
      <w:pPr>
        <w:rPr>
          <w:sz w:val="20"/>
          <w:lang w:eastAsia="es-AR"/>
        </w:rPr>
      </w:pPr>
    </w:p>
    <w:p w14:paraId="6A10614E" w14:textId="1171D4BD" w:rsidR="003A3E18" w:rsidRDefault="003A3E18" w:rsidP="00276790">
      <w:pPr>
        <w:rPr>
          <w:sz w:val="20"/>
          <w:lang w:eastAsia="es-AR"/>
        </w:rPr>
      </w:pPr>
    </w:p>
    <w:p w14:paraId="56FB239C" w14:textId="77777777" w:rsidR="003A3E18" w:rsidRPr="00701F32" w:rsidRDefault="003A3E18" w:rsidP="00276790">
      <w:pPr>
        <w:rPr>
          <w:sz w:val="20"/>
          <w:lang w:eastAsia="es-AR"/>
        </w:rPr>
      </w:pPr>
    </w:p>
    <w:p w14:paraId="2E2C4AEE" w14:textId="73462FAC" w:rsidR="00D47717" w:rsidRPr="00701F32" w:rsidRDefault="00D47717" w:rsidP="00276790">
      <w:pPr>
        <w:rPr>
          <w:rFonts w:ascii="Arial" w:hAnsi="Arial" w:cs="Arial"/>
          <w:szCs w:val="24"/>
        </w:rPr>
        <w:sectPr w:rsidR="00D47717" w:rsidRPr="00701F32" w:rsidSect="0056456F">
          <w:headerReference w:type="default" r:id="rId24"/>
          <w:pgSz w:w="11907" w:h="16839" w:code="9"/>
          <w:pgMar w:top="1418" w:right="1701" w:bottom="1418" w:left="1701" w:header="567" w:footer="0" w:gutter="0"/>
          <w:cols w:space="708"/>
          <w:docGrid w:linePitch="360"/>
        </w:sectPr>
      </w:pPr>
    </w:p>
    <w:p w14:paraId="119D222E" w14:textId="6AA1ACF4" w:rsidR="002F2ED6" w:rsidRDefault="002F2ED6" w:rsidP="00276790">
      <w:pPr>
        <w:rPr>
          <w:sz w:val="20"/>
          <w:lang w:eastAsia="es-AR"/>
        </w:rPr>
      </w:pPr>
    </w:p>
    <w:p w14:paraId="57750EE7" w14:textId="40C9989F" w:rsidR="00326E79" w:rsidRDefault="00326E79" w:rsidP="00276790">
      <w:pPr>
        <w:rPr>
          <w:sz w:val="20"/>
          <w:lang w:eastAsia="es-AR"/>
        </w:rPr>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326E79" w:rsidRPr="00C17D08" w14:paraId="7333B8C2" w14:textId="77777777" w:rsidTr="00066653">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C57223" w14:textId="77777777" w:rsidR="00326E79" w:rsidRPr="007B34B2" w:rsidRDefault="00326E79" w:rsidP="00AA40A5">
            <w:pPr>
              <w:jc w:val="center"/>
              <w:rPr>
                <w:rFonts w:ascii="Arial" w:hAnsi="Arial" w:cs="Arial"/>
                <w:b/>
                <w:sz w:val="18"/>
                <w:szCs w:val="18"/>
              </w:rPr>
            </w:pPr>
            <w:bookmarkStart w:id="42" w:name="_Hlk9948093"/>
            <w:r w:rsidRPr="007B34B2">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B86CD3" w14:textId="54275C51" w:rsidR="00326E79" w:rsidRPr="007B34B2" w:rsidRDefault="00326E79" w:rsidP="00AA40A5">
            <w:pPr>
              <w:jc w:val="center"/>
              <w:rPr>
                <w:rFonts w:ascii="Arial" w:hAnsi="Arial" w:cs="Arial"/>
                <w:b/>
                <w:sz w:val="18"/>
                <w:szCs w:val="18"/>
              </w:rPr>
            </w:pPr>
            <w:r w:rsidRPr="007B34B2">
              <w:rPr>
                <w:rFonts w:ascii="Arial" w:hAnsi="Arial" w:cs="Arial"/>
                <w:b/>
                <w:sz w:val="18"/>
                <w:szCs w:val="18"/>
              </w:rPr>
              <w:t>DEPÓSITOS</w:t>
            </w:r>
          </w:p>
        </w:tc>
      </w:tr>
      <w:tr w:rsidR="00326E79" w:rsidRPr="00C17D08" w14:paraId="01FFB97E" w14:textId="77777777" w:rsidTr="00066653">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43F013" w14:textId="77777777" w:rsidR="00326E79" w:rsidRPr="007B34B2" w:rsidRDefault="00326E79" w:rsidP="00AA40A5">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5DDDA6" w14:textId="7FC8BC7B" w:rsidR="00326E79" w:rsidRPr="007B34B2" w:rsidRDefault="0056793F" w:rsidP="005D476E">
            <w:pPr>
              <w:jc w:val="center"/>
              <w:rPr>
                <w:rFonts w:ascii="Arial" w:hAnsi="Arial" w:cs="Arial"/>
                <w:b/>
                <w:sz w:val="18"/>
                <w:szCs w:val="18"/>
              </w:rPr>
            </w:pPr>
            <w:r>
              <w:rPr>
                <w:rFonts w:ascii="Arial" w:hAnsi="Arial" w:cs="Arial"/>
                <w:b/>
                <w:sz w:val="18"/>
                <w:szCs w:val="18"/>
              </w:rPr>
              <w:t>31/03/2020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0CED7D" w14:textId="6AB74F3F" w:rsidR="00326E79" w:rsidRPr="007B34B2" w:rsidRDefault="00326E79" w:rsidP="00AA40A5">
            <w:pPr>
              <w:jc w:val="center"/>
              <w:rPr>
                <w:rFonts w:ascii="Arial" w:hAnsi="Arial" w:cs="Arial"/>
                <w:b/>
                <w:sz w:val="18"/>
                <w:szCs w:val="18"/>
              </w:rPr>
            </w:pPr>
            <w:r w:rsidRPr="007B34B2">
              <w:rPr>
                <w:rFonts w:ascii="Arial" w:hAnsi="Arial" w:cs="Arial"/>
                <w:b/>
                <w:sz w:val="18"/>
                <w:szCs w:val="18"/>
              </w:rPr>
              <w:t>31/12/201</w:t>
            </w:r>
            <w:r w:rsidR="0056793F">
              <w:rPr>
                <w:rFonts w:ascii="Arial" w:hAnsi="Arial" w:cs="Arial"/>
                <w:b/>
                <w:sz w:val="18"/>
                <w:szCs w:val="18"/>
              </w:rPr>
              <w:t>9</w:t>
            </w:r>
          </w:p>
        </w:tc>
      </w:tr>
      <w:tr w:rsidR="00326E79" w:rsidRPr="00C17D08" w14:paraId="354BD1FD" w14:textId="77777777" w:rsidTr="00066653">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7BCB86" w14:textId="77777777" w:rsidR="00326E79" w:rsidRPr="007B34B2" w:rsidRDefault="00326E79" w:rsidP="00AA40A5">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3BA8BB" w14:textId="058EE848" w:rsidR="00326E79" w:rsidRPr="007B34B2" w:rsidRDefault="00326E79" w:rsidP="00AA40A5">
            <w:pPr>
              <w:jc w:val="center"/>
              <w:rPr>
                <w:rFonts w:ascii="Arial" w:hAnsi="Arial" w:cs="Arial"/>
                <w:b/>
                <w:sz w:val="18"/>
                <w:szCs w:val="18"/>
              </w:rPr>
            </w:pPr>
            <w:r w:rsidRPr="007B34B2">
              <w:rPr>
                <w:rFonts w:ascii="Arial" w:hAnsi="Arial" w:cs="Arial"/>
                <w:b/>
                <w:sz w:val="18"/>
                <w:szCs w:val="18"/>
              </w:rPr>
              <w:t>Saldo de colocación</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C4B845" w14:textId="77777777" w:rsidR="00326E79" w:rsidRPr="007B34B2" w:rsidRDefault="00326E79" w:rsidP="00AA40A5">
            <w:pPr>
              <w:jc w:val="center"/>
              <w:rPr>
                <w:rFonts w:ascii="Arial" w:hAnsi="Arial" w:cs="Arial"/>
                <w:b/>
                <w:sz w:val="18"/>
                <w:szCs w:val="18"/>
              </w:rPr>
            </w:pPr>
            <w:r w:rsidRPr="007B34B2">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DDFA97" w14:textId="6044CF84" w:rsidR="00326E79" w:rsidRPr="007B34B2" w:rsidRDefault="00326E79" w:rsidP="00AA40A5">
            <w:pPr>
              <w:jc w:val="center"/>
              <w:rPr>
                <w:rFonts w:ascii="Arial" w:hAnsi="Arial" w:cs="Arial"/>
                <w:b/>
                <w:sz w:val="18"/>
                <w:szCs w:val="18"/>
              </w:rPr>
            </w:pPr>
            <w:r w:rsidRPr="007B34B2">
              <w:rPr>
                <w:rFonts w:ascii="Arial" w:hAnsi="Arial" w:cs="Arial"/>
                <w:b/>
                <w:sz w:val="18"/>
                <w:szCs w:val="18"/>
              </w:rPr>
              <w:t>Saldo de colocación</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E376A7" w14:textId="77777777" w:rsidR="00326E79" w:rsidRPr="007B34B2" w:rsidRDefault="00326E79" w:rsidP="00AA40A5">
            <w:pPr>
              <w:jc w:val="center"/>
              <w:rPr>
                <w:rFonts w:ascii="Arial" w:hAnsi="Arial" w:cs="Arial"/>
                <w:b/>
                <w:sz w:val="18"/>
                <w:szCs w:val="18"/>
              </w:rPr>
            </w:pPr>
            <w:r w:rsidRPr="007B34B2">
              <w:rPr>
                <w:rFonts w:ascii="Arial" w:hAnsi="Arial" w:cs="Arial"/>
                <w:b/>
                <w:sz w:val="18"/>
                <w:szCs w:val="18"/>
              </w:rPr>
              <w:t>% sobre Cartera total</w:t>
            </w:r>
          </w:p>
        </w:tc>
      </w:tr>
      <w:tr w:rsidR="00326E79" w:rsidRPr="00C17D08" w14:paraId="7D9F6B19" w14:textId="77777777" w:rsidTr="00066653">
        <w:trPr>
          <w:trHeight w:val="113"/>
          <w:jc w:val="center"/>
        </w:trPr>
        <w:tc>
          <w:tcPr>
            <w:tcW w:w="3261" w:type="dxa"/>
            <w:tcBorders>
              <w:top w:val="single" w:sz="4" w:space="0" w:color="auto"/>
            </w:tcBorders>
            <w:vAlign w:val="bottom"/>
          </w:tcPr>
          <w:p w14:paraId="38C3B146" w14:textId="77777777" w:rsidR="00326E79" w:rsidRDefault="00326E79" w:rsidP="00AA40A5">
            <w:pPr>
              <w:rPr>
                <w:rFonts w:ascii="Arial" w:hAnsi="Arial" w:cs="Arial"/>
                <w:sz w:val="18"/>
                <w:szCs w:val="18"/>
              </w:rPr>
            </w:pPr>
          </w:p>
        </w:tc>
        <w:tc>
          <w:tcPr>
            <w:tcW w:w="1417" w:type="dxa"/>
            <w:tcBorders>
              <w:top w:val="single" w:sz="4" w:space="0" w:color="auto"/>
            </w:tcBorders>
          </w:tcPr>
          <w:p w14:paraId="4674A684" w14:textId="77777777" w:rsidR="00326E79" w:rsidRPr="00C17D08" w:rsidRDefault="00326E79" w:rsidP="00AA40A5">
            <w:pPr>
              <w:rPr>
                <w:rFonts w:ascii="Arial" w:hAnsi="Arial" w:cs="Arial"/>
                <w:sz w:val="18"/>
                <w:szCs w:val="18"/>
              </w:rPr>
            </w:pPr>
          </w:p>
        </w:tc>
        <w:tc>
          <w:tcPr>
            <w:tcW w:w="1418" w:type="dxa"/>
            <w:tcBorders>
              <w:top w:val="single" w:sz="4" w:space="0" w:color="auto"/>
            </w:tcBorders>
          </w:tcPr>
          <w:p w14:paraId="0424F8DD" w14:textId="77777777" w:rsidR="00326E79" w:rsidRPr="00C17D08" w:rsidRDefault="00326E79" w:rsidP="00AA40A5">
            <w:pPr>
              <w:rPr>
                <w:rFonts w:ascii="Arial" w:hAnsi="Arial" w:cs="Arial"/>
                <w:sz w:val="18"/>
                <w:szCs w:val="18"/>
              </w:rPr>
            </w:pPr>
          </w:p>
        </w:tc>
        <w:tc>
          <w:tcPr>
            <w:tcW w:w="1276" w:type="dxa"/>
            <w:tcBorders>
              <w:top w:val="single" w:sz="4" w:space="0" w:color="auto"/>
            </w:tcBorders>
          </w:tcPr>
          <w:p w14:paraId="196BE0C6" w14:textId="77777777" w:rsidR="00326E79" w:rsidRPr="00C17D08" w:rsidRDefault="00326E79" w:rsidP="00AA40A5">
            <w:pPr>
              <w:rPr>
                <w:rFonts w:ascii="Arial" w:hAnsi="Arial" w:cs="Arial"/>
                <w:sz w:val="18"/>
                <w:szCs w:val="18"/>
              </w:rPr>
            </w:pPr>
          </w:p>
        </w:tc>
        <w:tc>
          <w:tcPr>
            <w:tcW w:w="1417" w:type="dxa"/>
            <w:tcBorders>
              <w:top w:val="single" w:sz="4" w:space="0" w:color="auto"/>
            </w:tcBorders>
          </w:tcPr>
          <w:p w14:paraId="5A9ABF08" w14:textId="77777777" w:rsidR="00326E79" w:rsidRPr="00C17D08" w:rsidRDefault="00326E79" w:rsidP="00AA40A5">
            <w:pPr>
              <w:rPr>
                <w:rFonts w:ascii="Arial" w:hAnsi="Arial" w:cs="Arial"/>
                <w:sz w:val="18"/>
                <w:szCs w:val="18"/>
              </w:rPr>
            </w:pPr>
          </w:p>
        </w:tc>
      </w:tr>
      <w:tr w:rsidR="00326E79" w:rsidRPr="00C17D08" w14:paraId="6E649852" w14:textId="77777777" w:rsidTr="00066653">
        <w:trPr>
          <w:trHeight w:val="454"/>
          <w:jc w:val="center"/>
        </w:trPr>
        <w:tc>
          <w:tcPr>
            <w:tcW w:w="3261" w:type="dxa"/>
            <w:vAlign w:val="center"/>
          </w:tcPr>
          <w:p w14:paraId="67DC8C13" w14:textId="77777777" w:rsidR="00326E79" w:rsidRDefault="00326E79" w:rsidP="00606E2A">
            <w:pPr>
              <w:rPr>
                <w:rFonts w:ascii="Arial" w:hAnsi="Arial" w:cs="Arial"/>
                <w:sz w:val="18"/>
                <w:szCs w:val="18"/>
              </w:rPr>
            </w:pPr>
            <w:r>
              <w:rPr>
                <w:rFonts w:ascii="Arial" w:hAnsi="Arial" w:cs="Arial"/>
                <w:sz w:val="18"/>
                <w:szCs w:val="18"/>
              </w:rPr>
              <w:t>10 mayores clientes</w:t>
            </w:r>
          </w:p>
        </w:tc>
        <w:tc>
          <w:tcPr>
            <w:tcW w:w="1417" w:type="dxa"/>
            <w:vAlign w:val="center"/>
          </w:tcPr>
          <w:p w14:paraId="12F6A79F" w14:textId="68374C86" w:rsidR="00326E79" w:rsidRPr="00C17D08" w:rsidRDefault="007A5063" w:rsidP="00606E2A">
            <w:pPr>
              <w:jc w:val="right"/>
              <w:rPr>
                <w:rFonts w:ascii="Arial" w:hAnsi="Arial" w:cs="Arial"/>
                <w:sz w:val="18"/>
                <w:szCs w:val="18"/>
              </w:rPr>
            </w:pPr>
            <w:r>
              <w:rPr>
                <w:rFonts w:ascii="Arial" w:hAnsi="Arial" w:cs="Arial"/>
                <w:sz w:val="18"/>
                <w:szCs w:val="18"/>
              </w:rPr>
              <w:t>37.306.620</w:t>
            </w:r>
          </w:p>
        </w:tc>
        <w:tc>
          <w:tcPr>
            <w:tcW w:w="1418" w:type="dxa"/>
            <w:vAlign w:val="center"/>
          </w:tcPr>
          <w:p w14:paraId="1B8935C3" w14:textId="02E732E9" w:rsidR="00326E79" w:rsidRPr="00C17D08" w:rsidRDefault="007A5063" w:rsidP="00606E2A">
            <w:pPr>
              <w:jc w:val="center"/>
              <w:rPr>
                <w:rFonts w:ascii="Arial" w:hAnsi="Arial" w:cs="Arial"/>
                <w:sz w:val="18"/>
                <w:szCs w:val="18"/>
              </w:rPr>
            </w:pPr>
            <w:r>
              <w:rPr>
                <w:rFonts w:ascii="Arial" w:hAnsi="Arial" w:cs="Arial"/>
                <w:sz w:val="18"/>
                <w:szCs w:val="18"/>
              </w:rPr>
              <w:t>26,72%</w:t>
            </w:r>
          </w:p>
        </w:tc>
        <w:tc>
          <w:tcPr>
            <w:tcW w:w="1276" w:type="dxa"/>
            <w:vAlign w:val="center"/>
          </w:tcPr>
          <w:p w14:paraId="79E039C0" w14:textId="1E941025" w:rsidR="00326E79" w:rsidRPr="00C17D08" w:rsidRDefault="007A5063" w:rsidP="00606E2A">
            <w:pPr>
              <w:jc w:val="right"/>
              <w:rPr>
                <w:rFonts w:ascii="Arial" w:hAnsi="Arial" w:cs="Arial"/>
                <w:sz w:val="18"/>
                <w:szCs w:val="18"/>
              </w:rPr>
            </w:pPr>
            <w:r>
              <w:rPr>
                <w:rFonts w:ascii="Arial" w:hAnsi="Arial" w:cs="Arial"/>
                <w:sz w:val="18"/>
                <w:szCs w:val="18"/>
              </w:rPr>
              <w:t>12.843.220</w:t>
            </w:r>
          </w:p>
        </w:tc>
        <w:tc>
          <w:tcPr>
            <w:tcW w:w="1417" w:type="dxa"/>
            <w:vAlign w:val="center"/>
          </w:tcPr>
          <w:p w14:paraId="2A1478A2" w14:textId="1F1E3224" w:rsidR="00326E79" w:rsidRPr="00C17D08" w:rsidRDefault="007A5063" w:rsidP="00606E2A">
            <w:pPr>
              <w:jc w:val="center"/>
              <w:rPr>
                <w:rFonts w:ascii="Arial" w:hAnsi="Arial" w:cs="Arial"/>
                <w:sz w:val="18"/>
                <w:szCs w:val="18"/>
              </w:rPr>
            </w:pPr>
            <w:r>
              <w:rPr>
                <w:rFonts w:ascii="Arial" w:hAnsi="Arial" w:cs="Arial"/>
                <w:sz w:val="18"/>
                <w:szCs w:val="18"/>
              </w:rPr>
              <w:t>13,02%</w:t>
            </w:r>
          </w:p>
        </w:tc>
      </w:tr>
      <w:tr w:rsidR="00326E79" w:rsidRPr="00C17D08" w14:paraId="23EB4D8C" w14:textId="77777777" w:rsidTr="00066653">
        <w:trPr>
          <w:trHeight w:val="218"/>
          <w:jc w:val="center"/>
        </w:trPr>
        <w:tc>
          <w:tcPr>
            <w:tcW w:w="3261" w:type="dxa"/>
            <w:vAlign w:val="center"/>
          </w:tcPr>
          <w:p w14:paraId="243467D8" w14:textId="77777777" w:rsidR="00326E79" w:rsidRPr="00C17D08" w:rsidRDefault="00326E79" w:rsidP="00606E2A">
            <w:pPr>
              <w:rPr>
                <w:rFonts w:ascii="Arial" w:hAnsi="Arial" w:cs="Arial"/>
                <w:sz w:val="18"/>
                <w:szCs w:val="18"/>
              </w:rPr>
            </w:pPr>
          </w:p>
        </w:tc>
        <w:tc>
          <w:tcPr>
            <w:tcW w:w="1417" w:type="dxa"/>
            <w:vAlign w:val="center"/>
          </w:tcPr>
          <w:p w14:paraId="09808C3C" w14:textId="77777777" w:rsidR="00326E79" w:rsidRPr="00C17D08" w:rsidRDefault="00326E79" w:rsidP="00606E2A">
            <w:pPr>
              <w:jc w:val="right"/>
              <w:rPr>
                <w:rFonts w:ascii="Arial" w:hAnsi="Arial" w:cs="Arial"/>
                <w:sz w:val="18"/>
                <w:szCs w:val="18"/>
              </w:rPr>
            </w:pPr>
          </w:p>
        </w:tc>
        <w:tc>
          <w:tcPr>
            <w:tcW w:w="1418" w:type="dxa"/>
            <w:vAlign w:val="center"/>
          </w:tcPr>
          <w:p w14:paraId="23908735" w14:textId="77777777" w:rsidR="00326E79" w:rsidRPr="00C17D08" w:rsidRDefault="00326E79" w:rsidP="00606E2A">
            <w:pPr>
              <w:jc w:val="center"/>
              <w:rPr>
                <w:rFonts w:ascii="Arial" w:hAnsi="Arial" w:cs="Arial"/>
                <w:sz w:val="18"/>
                <w:szCs w:val="18"/>
              </w:rPr>
            </w:pPr>
          </w:p>
        </w:tc>
        <w:tc>
          <w:tcPr>
            <w:tcW w:w="1276" w:type="dxa"/>
            <w:vAlign w:val="center"/>
          </w:tcPr>
          <w:p w14:paraId="7A9FB293" w14:textId="77777777" w:rsidR="00326E79" w:rsidRPr="00C17D08" w:rsidRDefault="00326E79" w:rsidP="00606E2A">
            <w:pPr>
              <w:jc w:val="right"/>
              <w:rPr>
                <w:rFonts w:ascii="Arial" w:hAnsi="Arial" w:cs="Arial"/>
                <w:sz w:val="18"/>
                <w:szCs w:val="18"/>
              </w:rPr>
            </w:pPr>
          </w:p>
        </w:tc>
        <w:tc>
          <w:tcPr>
            <w:tcW w:w="1417" w:type="dxa"/>
            <w:vAlign w:val="center"/>
          </w:tcPr>
          <w:p w14:paraId="5B92A5B1" w14:textId="77777777" w:rsidR="00326E79" w:rsidRPr="00C17D08" w:rsidRDefault="00326E79" w:rsidP="00606E2A">
            <w:pPr>
              <w:jc w:val="center"/>
              <w:rPr>
                <w:rFonts w:ascii="Arial" w:hAnsi="Arial" w:cs="Arial"/>
                <w:sz w:val="18"/>
                <w:szCs w:val="18"/>
              </w:rPr>
            </w:pPr>
          </w:p>
        </w:tc>
      </w:tr>
      <w:tr w:rsidR="00326E79" w:rsidRPr="00C17D08" w14:paraId="238B2D80" w14:textId="77777777" w:rsidTr="00066653">
        <w:trPr>
          <w:trHeight w:val="454"/>
          <w:jc w:val="center"/>
        </w:trPr>
        <w:tc>
          <w:tcPr>
            <w:tcW w:w="3261" w:type="dxa"/>
            <w:vAlign w:val="center"/>
          </w:tcPr>
          <w:p w14:paraId="150AA9F6" w14:textId="77777777" w:rsidR="00326E79" w:rsidRPr="00C17D08" w:rsidRDefault="00326E79" w:rsidP="00606E2A">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5526FB63" w14:textId="2074B531" w:rsidR="00326E79" w:rsidRPr="00C17D08" w:rsidRDefault="007A5063" w:rsidP="00606E2A">
            <w:pPr>
              <w:jc w:val="right"/>
              <w:rPr>
                <w:rFonts w:ascii="Arial" w:hAnsi="Arial" w:cs="Arial"/>
                <w:sz w:val="18"/>
                <w:szCs w:val="18"/>
              </w:rPr>
            </w:pPr>
            <w:r>
              <w:rPr>
                <w:rFonts w:ascii="Arial" w:hAnsi="Arial" w:cs="Arial"/>
                <w:sz w:val="18"/>
                <w:szCs w:val="18"/>
              </w:rPr>
              <w:t>21.968.040</w:t>
            </w:r>
          </w:p>
        </w:tc>
        <w:tc>
          <w:tcPr>
            <w:tcW w:w="1418" w:type="dxa"/>
            <w:vAlign w:val="center"/>
          </w:tcPr>
          <w:p w14:paraId="5386E792" w14:textId="0F0781F5" w:rsidR="00326E79" w:rsidRPr="00C17D08" w:rsidRDefault="007A5063" w:rsidP="00606E2A">
            <w:pPr>
              <w:jc w:val="center"/>
              <w:rPr>
                <w:rFonts w:ascii="Arial" w:hAnsi="Arial" w:cs="Arial"/>
                <w:sz w:val="18"/>
                <w:szCs w:val="18"/>
              </w:rPr>
            </w:pPr>
            <w:r>
              <w:rPr>
                <w:rFonts w:ascii="Arial" w:hAnsi="Arial" w:cs="Arial"/>
                <w:sz w:val="18"/>
                <w:szCs w:val="18"/>
              </w:rPr>
              <w:t>15,73%</w:t>
            </w:r>
          </w:p>
        </w:tc>
        <w:tc>
          <w:tcPr>
            <w:tcW w:w="1276" w:type="dxa"/>
            <w:vAlign w:val="center"/>
          </w:tcPr>
          <w:p w14:paraId="796EA760" w14:textId="47ED1C5C" w:rsidR="00326E79" w:rsidRPr="00C17D08" w:rsidRDefault="007A5063" w:rsidP="00606E2A">
            <w:pPr>
              <w:jc w:val="right"/>
              <w:rPr>
                <w:rFonts w:ascii="Arial" w:hAnsi="Arial" w:cs="Arial"/>
                <w:sz w:val="18"/>
                <w:szCs w:val="18"/>
              </w:rPr>
            </w:pPr>
            <w:r>
              <w:rPr>
                <w:rFonts w:ascii="Arial" w:hAnsi="Arial" w:cs="Arial"/>
                <w:sz w:val="18"/>
                <w:szCs w:val="18"/>
              </w:rPr>
              <w:t>12.636.854</w:t>
            </w:r>
          </w:p>
        </w:tc>
        <w:tc>
          <w:tcPr>
            <w:tcW w:w="1417" w:type="dxa"/>
            <w:vAlign w:val="center"/>
          </w:tcPr>
          <w:p w14:paraId="2517F7D3" w14:textId="04CF6FBE" w:rsidR="00326E79" w:rsidRPr="00C17D08" w:rsidRDefault="007A5063" w:rsidP="00606E2A">
            <w:pPr>
              <w:jc w:val="center"/>
              <w:rPr>
                <w:rFonts w:ascii="Arial" w:hAnsi="Arial" w:cs="Arial"/>
                <w:sz w:val="18"/>
                <w:szCs w:val="18"/>
              </w:rPr>
            </w:pPr>
            <w:r>
              <w:rPr>
                <w:rFonts w:ascii="Arial" w:hAnsi="Arial" w:cs="Arial"/>
                <w:sz w:val="18"/>
                <w:szCs w:val="18"/>
              </w:rPr>
              <w:t>12,81%</w:t>
            </w:r>
          </w:p>
        </w:tc>
      </w:tr>
      <w:tr w:rsidR="00326E79" w:rsidRPr="00C17D08" w14:paraId="703B6331" w14:textId="77777777" w:rsidTr="00066653">
        <w:trPr>
          <w:trHeight w:val="99"/>
          <w:jc w:val="center"/>
        </w:trPr>
        <w:tc>
          <w:tcPr>
            <w:tcW w:w="3261" w:type="dxa"/>
            <w:vAlign w:val="center"/>
          </w:tcPr>
          <w:p w14:paraId="2D5D44CB" w14:textId="77777777" w:rsidR="00326E79" w:rsidRPr="00C17D08" w:rsidRDefault="00326E79" w:rsidP="00606E2A">
            <w:pPr>
              <w:rPr>
                <w:rFonts w:ascii="Arial" w:hAnsi="Arial" w:cs="Arial"/>
                <w:sz w:val="18"/>
                <w:szCs w:val="18"/>
              </w:rPr>
            </w:pPr>
          </w:p>
        </w:tc>
        <w:tc>
          <w:tcPr>
            <w:tcW w:w="1417" w:type="dxa"/>
            <w:vAlign w:val="center"/>
          </w:tcPr>
          <w:p w14:paraId="6E24E98C" w14:textId="77777777" w:rsidR="00326E79" w:rsidRPr="00C17D08" w:rsidRDefault="00326E79" w:rsidP="00606E2A">
            <w:pPr>
              <w:jc w:val="right"/>
              <w:rPr>
                <w:rFonts w:ascii="Arial" w:hAnsi="Arial" w:cs="Arial"/>
                <w:sz w:val="18"/>
                <w:szCs w:val="18"/>
              </w:rPr>
            </w:pPr>
          </w:p>
        </w:tc>
        <w:tc>
          <w:tcPr>
            <w:tcW w:w="1418" w:type="dxa"/>
            <w:vAlign w:val="center"/>
          </w:tcPr>
          <w:p w14:paraId="19209CD8" w14:textId="77777777" w:rsidR="00326E79" w:rsidRPr="00C17D08" w:rsidRDefault="00326E79" w:rsidP="00606E2A">
            <w:pPr>
              <w:jc w:val="center"/>
              <w:rPr>
                <w:rFonts w:ascii="Arial" w:hAnsi="Arial" w:cs="Arial"/>
                <w:sz w:val="18"/>
                <w:szCs w:val="18"/>
              </w:rPr>
            </w:pPr>
          </w:p>
        </w:tc>
        <w:tc>
          <w:tcPr>
            <w:tcW w:w="1276" w:type="dxa"/>
            <w:vAlign w:val="center"/>
          </w:tcPr>
          <w:p w14:paraId="132DBD0C" w14:textId="77777777" w:rsidR="00326E79" w:rsidRPr="00C17D08" w:rsidRDefault="00326E79" w:rsidP="00606E2A">
            <w:pPr>
              <w:jc w:val="right"/>
              <w:rPr>
                <w:rFonts w:ascii="Arial" w:hAnsi="Arial" w:cs="Arial"/>
                <w:sz w:val="18"/>
                <w:szCs w:val="18"/>
              </w:rPr>
            </w:pPr>
          </w:p>
        </w:tc>
        <w:tc>
          <w:tcPr>
            <w:tcW w:w="1417" w:type="dxa"/>
            <w:vAlign w:val="center"/>
          </w:tcPr>
          <w:p w14:paraId="5CBA4023" w14:textId="77777777" w:rsidR="00326E79" w:rsidRPr="00C17D08" w:rsidRDefault="00326E79" w:rsidP="00606E2A">
            <w:pPr>
              <w:jc w:val="center"/>
              <w:rPr>
                <w:rFonts w:ascii="Arial" w:hAnsi="Arial" w:cs="Arial"/>
                <w:sz w:val="18"/>
                <w:szCs w:val="18"/>
              </w:rPr>
            </w:pPr>
          </w:p>
        </w:tc>
      </w:tr>
      <w:tr w:rsidR="00326E79" w:rsidRPr="00C17D08" w14:paraId="48DAA40C" w14:textId="77777777" w:rsidTr="00066653">
        <w:trPr>
          <w:trHeight w:val="454"/>
          <w:jc w:val="center"/>
        </w:trPr>
        <w:tc>
          <w:tcPr>
            <w:tcW w:w="3261" w:type="dxa"/>
            <w:vAlign w:val="center"/>
          </w:tcPr>
          <w:p w14:paraId="31593EE5" w14:textId="77777777" w:rsidR="00326E79" w:rsidRPr="00C17D08" w:rsidRDefault="00326E79" w:rsidP="00606E2A">
            <w:pPr>
              <w:rPr>
                <w:rFonts w:ascii="Arial" w:hAnsi="Arial" w:cs="Arial"/>
                <w:sz w:val="18"/>
                <w:szCs w:val="18"/>
              </w:rPr>
            </w:pPr>
            <w:r>
              <w:rPr>
                <w:rFonts w:ascii="Arial" w:hAnsi="Arial" w:cs="Arial"/>
                <w:sz w:val="18"/>
                <w:szCs w:val="18"/>
              </w:rPr>
              <w:t>100 siguientes mayores clientes</w:t>
            </w:r>
          </w:p>
        </w:tc>
        <w:tc>
          <w:tcPr>
            <w:tcW w:w="1417" w:type="dxa"/>
            <w:vAlign w:val="center"/>
          </w:tcPr>
          <w:p w14:paraId="47CEA6D7" w14:textId="471CD34B" w:rsidR="00326E79" w:rsidRPr="00C17D08" w:rsidRDefault="007A5063" w:rsidP="00606E2A">
            <w:pPr>
              <w:jc w:val="right"/>
              <w:rPr>
                <w:rFonts w:ascii="Arial" w:hAnsi="Arial" w:cs="Arial"/>
                <w:sz w:val="18"/>
                <w:szCs w:val="18"/>
              </w:rPr>
            </w:pPr>
            <w:r>
              <w:rPr>
                <w:rFonts w:ascii="Arial" w:hAnsi="Arial" w:cs="Arial"/>
                <w:sz w:val="18"/>
                <w:szCs w:val="18"/>
              </w:rPr>
              <w:t>7.718.674</w:t>
            </w:r>
          </w:p>
        </w:tc>
        <w:tc>
          <w:tcPr>
            <w:tcW w:w="1418" w:type="dxa"/>
            <w:vAlign w:val="center"/>
          </w:tcPr>
          <w:p w14:paraId="5DE3632A" w14:textId="48E9DA88" w:rsidR="00326E79" w:rsidRPr="00C17D08" w:rsidRDefault="007A5063" w:rsidP="00606E2A">
            <w:pPr>
              <w:jc w:val="center"/>
              <w:rPr>
                <w:rFonts w:ascii="Arial" w:hAnsi="Arial" w:cs="Arial"/>
                <w:sz w:val="18"/>
                <w:szCs w:val="18"/>
              </w:rPr>
            </w:pPr>
            <w:r>
              <w:rPr>
                <w:rFonts w:ascii="Arial" w:hAnsi="Arial" w:cs="Arial"/>
                <w:sz w:val="18"/>
                <w:szCs w:val="18"/>
              </w:rPr>
              <w:t>5,53%</w:t>
            </w:r>
          </w:p>
        </w:tc>
        <w:tc>
          <w:tcPr>
            <w:tcW w:w="1276" w:type="dxa"/>
            <w:vAlign w:val="center"/>
          </w:tcPr>
          <w:p w14:paraId="77603306" w14:textId="6EEBFA0A" w:rsidR="00326E79" w:rsidRPr="00C17D08" w:rsidRDefault="007A5063" w:rsidP="00606E2A">
            <w:pPr>
              <w:jc w:val="right"/>
              <w:rPr>
                <w:rFonts w:ascii="Arial" w:hAnsi="Arial" w:cs="Arial"/>
                <w:sz w:val="18"/>
                <w:szCs w:val="18"/>
              </w:rPr>
            </w:pPr>
            <w:r>
              <w:rPr>
                <w:rFonts w:ascii="Arial" w:hAnsi="Arial" w:cs="Arial"/>
                <w:sz w:val="18"/>
                <w:szCs w:val="18"/>
              </w:rPr>
              <w:t>6.477.520</w:t>
            </w:r>
          </w:p>
        </w:tc>
        <w:tc>
          <w:tcPr>
            <w:tcW w:w="1417" w:type="dxa"/>
            <w:vAlign w:val="center"/>
          </w:tcPr>
          <w:p w14:paraId="4092552E" w14:textId="39E747FA" w:rsidR="00326E79" w:rsidRPr="00C17D08" w:rsidRDefault="007A5063" w:rsidP="00606E2A">
            <w:pPr>
              <w:jc w:val="center"/>
              <w:rPr>
                <w:rFonts w:ascii="Arial" w:hAnsi="Arial" w:cs="Arial"/>
                <w:sz w:val="18"/>
                <w:szCs w:val="18"/>
              </w:rPr>
            </w:pPr>
            <w:r>
              <w:rPr>
                <w:rFonts w:ascii="Arial" w:hAnsi="Arial" w:cs="Arial"/>
                <w:sz w:val="18"/>
                <w:szCs w:val="18"/>
              </w:rPr>
              <w:t>6,57%</w:t>
            </w:r>
          </w:p>
        </w:tc>
      </w:tr>
      <w:tr w:rsidR="00326E79" w:rsidRPr="00C17D08" w14:paraId="03F01628" w14:textId="77777777" w:rsidTr="00066653">
        <w:trPr>
          <w:trHeight w:val="97"/>
          <w:jc w:val="center"/>
        </w:trPr>
        <w:tc>
          <w:tcPr>
            <w:tcW w:w="3261" w:type="dxa"/>
            <w:vAlign w:val="center"/>
          </w:tcPr>
          <w:p w14:paraId="06D42E24" w14:textId="77777777" w:rsidR="00326E79" w:rsidRPr="00C17D08" w:rsidRDefault="00326E79" w:rsidP="00606E2A">
            <w:pPr>
              <w:rPr>
                <w:rFonts w:ascii="Arial" w:hAnsi="Arial" w:cs="Arial"/>
                <w:sz w:val="18"/>
                <w:szCs w:val="18"/>
              </w:rPr>
            </w:pPr>
          </w:p>
        </w:tc>
        <w:tc>
          <w:tcPr>
            <w:tcW w:w="1417" w:type="dxa"/>
            <w:vAlign w:val="center"/>
          </w:tcPr>
          <w:p w14:paraId="14FABD06" w14:textId="77777777" w:rsidR="00326E79" w:rsidRPr="00C17D08" w:rsidRDefault="00326E79" w:rsidP="00606E2A">
            <w:pPr>
              <w:jc w:val="right"/>
              <w:rPr>
                <w:rFonts w:ascii="Arial" w:hAnsi="Arial" w:cs="Arial"/>
                <w:sz w:val="18"/>
                <w:szCs w:val="18"/>
              </w:rPr>
            </w:pPr>
          </w:p>
        </w:tc>
        <w:tc>
          <w:tcPr>
            <w:tcW w:w="1418" w:type="dxa"/>
            <w:vAlign w:val="center"/>
          </w:tcPr>
          <w:p w14:paraId="72324D84" w14:textId="77777777" w:rsidR="00326E79" w:rsidRPr="00C17D08" w:rsidRDefault="00326E79" w:rsidP="00606E2A">
            <w:pPr>
              <w:jc w:val="center"/>
              <w:rPr>
                <w:rFonts w:ascii="Arial" w:hAnsi="Arial" w:cs="Arial"/>
                <w:sz w:val="18"/>
                <w:szCs w:val="18"/>
              </w:rPr>
            </w:pPr>
          </w:p>
        </w:tc>
        <w:tc>
          <w:tcPr>
            <w:tcW w:w="1276" w:type="dxa"/>
            <w:vAlign w:val="center"/>
          </w:tcPr>
          <w:p w14:paraId="0ED4C5F4" w14:textId="77777777" w:rsidR="00326E79" w:rsidRPr="00C17D08" w:rsidRDefault="00326E79" w:rsidP="00606E2A">
            <w:pPr>
              <w:jc w:val="right"/>
              <w:rPr>
                <w:rFonts w:ascii="Arial" w:hAnsi="Arial" w:cs="Arial"/>
                <w:sz w:val="18"/>
                <w:szCs w:val="18"/>
              </w:rPr>
            </w:pPr>
          </w:p>
        </w:tc>
        <w:tc>
          <w:tcPr>
            <w:tcW w:w="1417" w:type="dxa"/>
            <w:vAlign w:val="center"/>
          </w:tcPr>
          <w:p w14:paraId="13BAE501" w14:textId="77777777" w:rsidR="00326E79" w:rsidRPr="00C17D08" w:rsidRDefault="00326E79" w:rsidP="00606E2A">
            <w:pPr>
              <w:jc w:val="center"/>
              <w:rPr>
                <w:rFonts w:ascii="Arial" w:hAnsi="Arial" w:cs="Arial"/>
                <w:sz w:val="18"/>
                <w:szCs w:val="18"/>
              </w:rPr>
            </w:pPr>
          </w:p>
        </w:tc>
      </w:tr>
      <w:tr w:rsidR="00326E79" w:rsidRPr="00C17D08" w14:paraId="14498875" w14:textId="77777777" w:rsidTr="00066653">
        <w:trPr>
          <w:trHeight w:val="454"/>
          <w:jc w:val="center"/>
        </w:trPr>
        <w:tc>
          <w:tcPr>
            <w:tcW w:w="3261" w:type="dxa"/>
            <w:vAlign w:val="center"/>
          </w:tcPr>
          <w:p w14:paraId="2C8EB840" w14:textId="77777777" w:rsidR="00326E79" w:rsidRPr="00C17D08" w:rsidRDefault="00326E79" w:rsidP="00606E2A">
            <w:pPr>
              <w:rPr>
                <w:rFonts w:ascii="Arial" w:hAnsi="Arial" w:cs="Arial"/>
                <w:sz w:val="18"/>
                <w:szCs w:val="18"/>
              </w:rPr>
            </w:pPr>
            <w:r>
              <w:rPr>
                <w:rFonts w:ascii="Arial" w:hAnsi="Arial" w:cs="Arial"/>
                <w:sz w:val="18"/>
                <w:szCs w:val="18"/>
              </w:rPr>
              <w:t>Resto de clientes</w:t>
            </w:r>
          </w:p>
        </w:tc>
        <w:tc>
          <w:tcPr>
            <w:tcW w:w="1417" w:type="dxa"/>
            <w:vAlign w:val="center"/>
          </w:tcPr>
          <w:p w14:paraId="7A3F402B" w14:textId="2BE98DBA" w:rsidR="00326E79" w:rsidRPr="00C17D08" w:rsidRDefault="007A5063" w:rsidP="00606E2A">
            <w:pPr>
              <w:jc w:val="right"/>
              <w:rPr>
                <w:rFonts w:ascii="Arial" w:hAnsi="Arial" w:cs="Arial"/>
                <w:sz w:val="18"/>
                <w:szCs w:val="18"/>
              </w:rPr>
            </w:pPr>
            <w:r>
              <w:rPr>
                <w:rFonts w:ascii="Arial" w:hAnsi="Arial" w:cs="Arial"/>
                <w:sz w:val="18"/>
                <w:szCs w:val="18"/>
              </w:rPr>
              <w:t>72.645.</w:t>
            </w:r>
            <w:r w:rsidR="00236C29">
              <w:rPr>
                <w:rFonts w:ascii="Arial" w:hAnsi="Arial" w:cs="Arial"/>
                <w:sz w:val="18"/>
                <w:szCs w:val="18"/>
              </w:rPr>
              <w:t>801</w:t>
            </w:r>
          </w:p>
        </w:tc>
        <w:tc>
          <w:tcPr>
            <w:tcW w:w="1418" w:type="dxa"/>
            <w:vAlign w:val="center"/>
          </w:tcPr>
          <w:p w14:paraId="678DB86A" w14:textId="1DBD97BD" w:rsidR="00326E79" w:rsidRPr="00C17D08" w:rsidRDefault="007A5063" w:rsidP="00606E2A">
            <w:pPr>
              <w:jc w:val="center"/>
              <w:rPr>
                <w:rFonts w:ascii="Arial" w:hAnsi="Arial" w:cs="Arial"/>
                <w:sz w:val="18"/>
                <w:szCs w:val="18"/>
              </w:rPr>
            </w:pPr>
            <w:r>
              <w:rPr>
                <w:rFonts w:ascii="Arial" w:hAnsi="Arial" w:cs="Arial"/>
                <w:sz w:val="18"/>
                <w:szCs w:val="18"/>
              </w:rPr>
              <w:t>52,02%</w:t>
            </w:r>
          </w:p>
        </w:tc>
        <w:tc>
          <w:tcPr>
            <w:tcW w:w="1276" w:type="dxa"/>
            <w:vAlign w:val="center"/>
          </w:tcPr>
          <w:p w14:paraId="42E8B205" w14:textId="58690A2F" w:rsidR="00326E79" w:rsidRPr="00C17D08" w:rsidRDefault="007A5063" w:rsidP="00606E2A">
            <w:pPr>
              <w:jc w:val="right"/>
              <w:rPr>
                <w:rFonts w:ascii="Arial" w:hAnsi="Arial" w:cs="Arial"/>
                <w:sz w:val="18"/>
                <w:szCs w:val="18"/>
              </w:rPr>
            </w:pPr>
            <w:r>
              <w:rPr>
                <w:rFonts w:ascii="Arial" w:hAnsi="Arial" w:cs="Arial"/>
                <w:sz w:val="18"/>
                <w:szCs w:val="18"/>
              </w:rPr>
              <w:t>66.655.115</w:t>
            </w:r>
          </w:p>
        </w:tc>
        <w:tc>
          <w:tcPr>
            <w:tcW w:w="1417" w:type="dxa"/>
            <w:vAlign w:val="center"/>
          </w:tcPr>
          <w:p w14:paraId="740238CA" w14:textId="1FF0B0E7" w:rsidR="00326E79" w:rsidRPr="00C17D08" w:rsidRDefault="007A5063" w:rsidP="00606E2A">
            <w:pPr>
              <w:jc w:val="center"/>
              <w:rPr>
                <w:rFonts w:ascii="Arial" w:hAnsi="Arial" w:cs="Arial"/>
                <w:sz w:val="18"/>
                <w:szCs w:val="18"/>
              </w:rPr>
            </w:pPr>
            <w:r>
              <w:rPr>
                <w:rFonts w:ascii="Arial" w:hAnsi="Arial" w:cs="Arial"/>
                <w:sz w:val="18"/>
                <w:szCs w:val="18"/>
              </w:rPr>
              <w:t>67,59%</w:t>
            </w:r>
          </w:p>
        </w:tc>
      </w:tr>
      <w:tr w:rsidR="00326E79" w:rsidRPr="0014647F" w14:paraId="51B66F7B" w14:textId="77777777" w:rsidTr="00066653">
        <w:trPr>
          <w:trHeight w:val="340"/>
          <w:jc w:val="center"/>
        </w:trPr>
        <w:tc>
          <w:tcPr>
            <w:tcW w:w="3261" w:type="dxa"/>
            <w:tcBorders>
              <w:top w:val="single" w:sz="4" w:space="0" w:color="auto"/>
              <w:bottom w:val="single" w:sz="4" w:space="0" w:color="auto"/>
            </w:tcBorders>
            <w:vAlign w:val="bottom"/>
          </w:tcPr>
          <w:p w14:paraId="34F87C55" w14:textId="77777777" w:rsidR="00326E79" w:rsidRPr="0014647F" w:rsidRDefault="00326E79" w:rsidP="00AA40A5">
            <w:pP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center"/>
          </w:tcPr>
          <w:p w14:paraId="3BC69A1A" w14:textId="39EED0D8" w:rsidR="00326E79" w:rsidRPr="0014647F" w:rsidRDefault="007A5063" w:rsidP="00606E2A">
            <w:pPr>
              <w:jc w:val="right"/>
              <w:rPr>
                <w:rFonts w:ascii="Arial" w:hAnsi="Arial" w:cs="Arial"/>
                <w:b/>
                <w:sz w:val="18"/>
                <w:szCs w:val="18"/>
              </w:rPr>
            </w:pPr>
            <w:r>
              <w:rPr>
                <w:rFonts w:ascii="Arial" w:hAnsi="Arial" w:cs="Arial"/>
                <w:b/>
                <w:sz w:val="18"/>
                <w:szCs w:val="18"/>
              </w:rPr>
              <w:t>139.639.1</w:t>
            </w:r>
            <w:r w:rsidR="001B1F0A">
              <w:rPr>
                <w:rFonts w:ascii="Arial" w:hAnsi="Arial" w:cs="Arial"/>
                <w:b/>
                <w:sz w:val="18"/>
                <w:szCs w:val="18"/>
              </w:rPr>
              <w:t>3</w:t>
            </w:r>
            <w:r>
              <w:rPr>
                <w:rFonts w:ascii="Arial" w:hAnsi="Arial" w:cs="Arial"/>
                <w:b/>
                <w:sz w:val="18"/>
                <w:szCs w:val="18"/>
              </w:rPr>
              <w:t>5</w:t>
            </w:r>
          </w:p>
        </w:tc>
        <w:tc>
          <w:tcPr>
            <w:tcW w:w="1418" w:type="dxa"/>
            <w:tcBorders>
              <w:top w:val="single" w:sz="4" w:space="0" w:color="auto"/>
              <w:bottom w:val="single" w:sz="4" w:space="0" w:color="auto"/>
            </w:tcBorders>
            <w:vAlign w:val="center"/>
          </w:tcPr>
          <w:p w14:paraId="4D12AD63" w14:textId="6F290AFF" w:rsidR="00326E79" w:rsidRPr="0014647F" w:rsidRDefault="007A5063" w:rsidP="00606E2A">
            <w:pPr>
              <w:jc w:val="center"/>
              <w:rPr>
                <w:rFonts w:ascii="Arial" w:hAnsi="Arial" w:cs="Arial"/>
                <w:b/>
                <w:sz w:val="18"/>
                <w:szCs w:val="18"/>
              </w:rPr>
            </w:pPr>
            <w:r>
              <w:rPr>
                <w:rFonts w:ascii="Arial" w:hAnsi="Arial" w:cs="Arial"/>
                <w:b/>
                <w:sz w:val="18"/>
                <w:szCs w:val="18"/>
              </w:rPr>
              <w:t>100%</w:t>
            </w:r>
          </w:p>
        </w:tc>
        <w:tc>
          <w:tcPr>
            <w:tcW w:w="1276" w:type="dxa"/>
            <w:tcBorders>
              <w:top w:val="single" w:sz="4" w:space="0" w:color="auto"/>
              <w:bottom w:val="single" w:sz="4" w:space="0" w:color="auto"/>
            </w:tcBorders>
            <w:vAlign w:val="center"/>
          </w:tcPr>
          <w:p w14:paraId="609295EA" w14:textId="1B2A44FB" w:rsidR="00326E79" w:rsidRPr="0014647F" w:rsidRDefault="007A5063" w:rsidP="00606E2A">
            <w:pPr>
              <w:jc w:val="right"/>
              <w:rPr>
                <w:rFonts w:ascii="Arial" w:hAnsi="Arial" w:cs="Arial"/>
                <w:b/>
                <w:sz w:val="18"/>
                <w:szCs w:val="18"/>
              </w:rPr>
            </w:pPr>
            <w:r>
              <w:rPr>
                <w:rFonts w:ascii="Arial" w:hAnsi="Arial" w:cs="Arial"/>
                <w:b/>
                <w:sz w:val="18"/>
                <w:szCs w:val="18"/>
              </w:rPr>
              <w:t>98.612.70</w:t>
            </w:r>
            <w:r w:rsidR="002F39C4">
              <w:rPr>
                <w:rFonts w:ascii="Arial" w:hAnsi="Arial" w:cs="Arial"/>
                <w:b/>
                <w:sz w:val="18"/>
                <w:szCs w:val="18"/>
              </w:rPr>
              <w:t>9</w:t>
            </w:r>
          </w:p>
        </w:tc>
        <w:tc>
          <w:tcPr>
            <w:tcW w:w="1417" w:type="dxa"/>
            <w:tcBorders>
              <w:top w:val="single" w:sz="4" w:space="0" w:color="auto"/>
              <w:bottom w:val="single" w:sz="4" w:space="0" w:color="auto"/>
            </w:tcBorders>
            <w:vAlign w:val="center"/>
          </w:tcPr>
          <w:p w14:paraId="728E21DF" w14:textId="7FE761CC" w:rsidR="00326E79" w:rsidRPr="0014647F" w:rsidRDefault="007A5063" w:rsidP="00606E2A">
            <w:pPr>
              <w:jc w:val="center"/>
              <w:rPr>
                <w:rFonts w:ascii="Arial" w:hAnsi="Arial" w:cs="Arial"/>
                <w:b/>
                <w:sz w:val="18"/>
                <w:szCs w:val="18"/>
              </w:rPr>
            </w:pPr>
            <w:r>
              <w:rPr>
                <w:rFonts w:ascii="Arial" w:hAnsi="Arial" w:cs="Arial"/>
                <w:b/>
                <w:sz w:val="18"/>
                <w:szCs w:val="18"/>
              </w:rPr>
              <w:t>100%</w:t>
            </w:r>
          </w:p>
        </w:tc>
      </w:tr>
      <w:bookmarkEnd w:id="42"/>
    </w:tbl>
    <w:p w14:paraId="10F0EA66" w14:textId="055D0E58" w:rsidR="00326E79" w:rsidRDefault="00326E79" w:rsidP="00276790">
      <w:pPr>
        <w:rPr>
          <w:sz w:val="20"/>
          <w:lang w:eastAsia="es-AR"/>
        </w:rPr>
      </w:pPr>
    </w:p>
    <w:p w14:paraId="5DFBFDCA" w14:textId="27441496" w:rsidR="00326E79" w:rsidRDefault="00326E79" w:rsidP="00276790">
      <w:pPr>
        <w:rPr>
          <w:sz w:val="20"/>
          <w:lang w:eastAsia="es-AR"/>
        </w:rPr>
      </w:pPr>
    </w:p>
    <w:p w14:paraId="2920DC9A" w14:textId="6CBBDBCE" w:rsidR="00326E79" w:rsidRDefault="00326E79" w:rsidP="00276790">
      <w:pPr>
        <w:rPr>
          <w:sz w:val="20"/>
          <w:lang w:eastAsia="es-AR"/>
        </w:rPr>
      </w:pPr>
    </w:p>
    <w:p w14:paraId="7DEC6232" w14:textId="77777777" w:rsidR="00326E79" w:rsidRPr="00701F32" w:rsidRDefault="00326E79" w:rsidP="00276790">
      <w:pPr>
        <w:rPr>
          <w:sz w:val="20"/>
          <w:lang w:eastAsia="es-AR"/>
        </w:rPr>
      </w:pPr>
    </w:p>
    <w:p w14:paraId="5434FFE6" w14:textId="1F4803C5" w:rsidR="007F3B18" w:rsidRPr="00701F32" w:rsidRDefault="007F3B18" w:rsidP="00276790">
      <w:pPr>
        <w:rPr>
          <w:rFonts w:ascii="Arial" w:hAnsi="Arial" w:cs="Arial"/>
          <w:szCs w:val="24"/>
        </w:rPr>
        <w:sectPr w:rsidR="007F3B18" w:rsidRPr="00701F32" w:rsidSect="002C6517">
          <w:headerReference w:type="default" r:id="rId25"/>
          <w:pgSz w:w="11907" w:h="16839" w:code="9"/>
          <w:pgMar w:top="1418" w:right="1701" w:bottom="1418" w:left="1701" w:header="567" w:footer="0" w:gutter="0"/>
          <w:cols w:space="708"/>
          <w:docGrid w:linePitch="360"/>
        </w:sectPr>
      </w:pPr>
    </w:p>
    <w:p w14:paraId="1049F572" w14:textId="676D6C53" w:rsidR="006F3DB5" w:rsidRPr="00701F32" w:rsidRDefault="000D4C17" w:rsidP="00B5057C">
      <w:pPr>
        <w:rPr>
          <w:sz w:val="20"/>
          <w:lang w:eastAsia="es-AR"/>
        </w:rPr>
      </w:pPr>
      <w:r w:rsidRPr="00701F32">
        <w:rPr>
          <w:sz w:val="20"/>
          <w:lang w:eastAsia="es-AR"/>
        </w:rPr>
        <w:lastRenderedPageBreak/>
        <w:t xml:space="preserve"> </w:t>
      </w:r>
    </w:p>
    <w:tbl>
      <w:tblPr>
        <w:tblStyle w:val="TableGrid"/>
        <w:tblW w:w="10457" w:type="dxa"/>
        <w:tblLook w:val="04A0" w:firstRow="1" w:lastRow="0" w:firstColumn="1" w:lastColumn="0" w:noHBand="0" w:noVBand="1"/>
      </w:tblPr>
      <w:tblGrid>
        <w:gridCol w:w="2977"/>
        <w:gridCol w:w="1195"/>
        <w:gridCol w:w="1017"/>
        <w:gridCol w:w="1017"/>
        <w:gridCol w:w="980"/>
        <w:gridCol w:w="980"/>
        <w:gridCol w:w="1096"/>
        <w:gridCol w:w="1195"/>
      </w:tblGrid>
      <w:tr w:rsidR="00B30A0B" w:rsidRPr="003A3E18" w14:paraId="201B1A36" w14:textId="77777777" w:rsidTr="00066653">
        <w:trPr>
          <w:trHeight w:val="168"/>
        </w:trPr>
        <w:tc>
          <w:tcPr>
            <w:tcW w:w="297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DEA494" w14:textId="77777777" w:rsidR="00B30A0B" w:rsidRPr="003A3E18" w:rsidRDefault="00B30A0B" w:rsidP="00AA40A5">
            <w:pPr>
              <w:jc w:val="center"/>
              <w:rPr>
                <w:rFonts w:ascii="Arial" w:hAnsi="Arial" w:cs="Arial"/>
                <w:b/>
                <w:sz w:val="18"/>
                <w:szCs w:val="18"/>
                <w:lang w:eastAsia="es-AR"/>
              </w:rPr>
            </w:pPr>
            <w:bookmarkStart w:id="43" w:name="_Hlk9948110"/>
            <w:r w:rsidRPr="003A3E18">
              <w:rPr>
                <w:rFonts w:ascii="Arial" w:hAnsi="Arial" w:cs="Arial"/>
                <w:b/>
                <w:sz w:val="18"/>
                <w:szCs w:val="18"/>
                <w:lang w:eastAsia="es-AR"/>
              </w:rPr>
              <w:t>Concepto</w:t>
            </w:r>
          </w:p>
        </w:tc>
        <w:tc>
          <w:tcPr>
            <w:tcW w:w="748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D7711B" w14:textId="74463FD0" w:rsidR="00B30A0B" w:rsidRPr="003A3E18" w:rsidRDefault="00B30A0B" w:rsidP="00B30A0B">
            <w:pPr>
              <w:jc w:val="center"/>
              <w:rPr>
                <w:rFonts w:ascii="Arial" w:hAnsi="Arial" w:cs="Arial"/>
                <w:b/>
                <w:sz w:val="18"/>
                <w:szCs w:val="18"/>
                <w:lang w:eastAsia="es-AR"/>
              </w:rPr>
            </w:pPr>
            <w:r w:rsidRPr="003A3E18">
              <w:rPr>
                <w:rFonts w:ascii="Arial" w:hAnsi="Arial" w:cs="Arial"/>
                <w:b/>
                <w:sz w:val="18"/>
                <w:szCs w:val="18"/>
                <w:lang w:eastAsia="es-AR"/>
              </w:rPr>
              <w:t>Plazos que restan para su vencimiento</w:t>
            </w:r>
          </w:p>
        </w:tc>
      </w:tr>
      <w:tr w:rsidR="00BA2B34" w:rsidRPr="003A3E18" w14:paraId="355DA941" w14:textId="77777777" w:rsidTr="00066653">
        <w:trPr>
          <w:trHeight w:val="561"/>
        </w:trPr>
        <w:tc>
          <w:tcPr>
            <w:tcW w:w="2977" w:type="dxa"/>
            <w:vMerge/>
            <w:tcBorders>
              <w:top w:val="single" w:sz="4" w:space="0" w:color="auto"/>
              <w:bottom w:val="single" w:sz="4" w:space="0" w:color="auto"/>
            </w:tcBorders>
            <w:shd w:val="clear" w:color="auto" w:fill="BFBFBF" w:themeFill="background1" w:themeFillShade="BF"/>
            <w:vAlign w:val="center"/>
          </w:tcPr>
          <w:p w14:paraId="4AC957C4" w14:textId="77777777" w:rsidR="00B30A0B" w:rsidRPr="003A3E18" w:rsidRDefault="00B30A0B" w:rsidP="00AA40A5">
            <w:pPr>
              <w:jc w:val="center"/>
              <w:rPr>
                <w:rFonts w:ascii="Arial" w:hAnsi="Arial" w:cs="Arial"/>
                <w:b/>
                <w:sz w:val="18"/>
                <w:szCs w:val="18"/>
                <w:lang w:eastAsia="es-AR"/>
              </w:rPr>
            </w:pPr>
          </w:p>
        </w:tc>
        <w:tc>
          <w:tcPr>
            <w:tcW w:w="1195" w:type="dxa"/>
            <w:tcBorders>
              <w:top w:val="single" w:sz="4" w:space="0" w:color="auto"/>
              <w:bottom w:val="single" w:sz="4" w:space="0" w:color="auto"/>
            </w:tcBorders>
            <w:shd w:val="clear" w:color="auto" w:fill="BFBFBF" w:themeFill="background1" w:themeFillShade="BF"/>
            <w:vAlign w:val="center"/>
          </w:tcPr>
          <w:p w14:paraId="06C37DCC" w14:textId="77777777" w:rsidR="00B30A0B" w:rsidRDefault="00B30A0B" w:rsidP="00AA40A5">
            <w:pPr>
              <w:jc w:val="center"/>
              <w:rPr>
                <w:rFonts w:ascii="Arial" w:hAnsi="Arial" w:cs="Arial"/>
                <w:b/>
                <w:sz w:val="18"/>
                <w:szCs w:val="18"/>
                <w:lang w:eastAsia="es-AR"/>
              </w:rPr>
            </w:pPr>
            <w:r w:rsidRPr="003A3E18">
              <w:rPr>
                <w:rFonts w:ascii="Arial" w:hAnsi="Arial" w:cs="Arial"/>
                <w:b/>
                <w:sz w:val="18"/>
                <w:szCs w:val="18"/>
                <w:lang w:eastAsia="es-AR"/>
              </w:rPr>
              <w:t>1</w:t>
            </w:r>
          </w:p>
          <w:p w14:paraId="14BDB542" w14:textId="77777777" w:rsidR="00B30A0B" w:rsidRPr="003A3E18" w:rsidRDefault="00B30A0B" w:rsidP="00AA40A5">
            <w:pPr>
              <w:jc w:val="center"/>
              <w:rPr>
                <w:rFonts w:ascii="Arial" w:hAnsi="Arial" w:cs="Arial"/>
                <w:b/>
                <w:sz w:val="18"/>
                <w:szCs w:val="18"/>
                <w:lang w:eastAsia="es-AR"/>
              </w:rPr>
            </w:pPr>
            <w:r w:rsidRPr="003A3E18">
              <w:rPr>
                <w:rFonts w:ascii="Arial" w:hAnsi="Arial" w:cs="Arial"/>
                <w:b/>
                <w:sz w:val="18"/>
                <w:szCs w:val="18"/>
                <w:lang w:eastAsia="es-AR"/>
              </w:rPr>
              <w:t xml:space="preserve"> mes</w:t>
            </w:r>
          </w:p>
        </w:tc>
        <w:tc>
          <w:tcPr>
            <w:tcW w:w="1017" w:type="dxa"/>
            <w:tcBorders>
              <w:top w:val="single" w:sz="4" w:space="0" w:color="auto"/>
              <w:bottom w:val="single" w:sz="4" w:space="0" w:color="auto"/>
            </w:tcBorders>
            <w:shd w:val="clear" w:color="auto" w:fill="BFBFBF" w:themeFill="background1" w:themeFillShade="BF"/>
            <w:vAlign w:val="center"/>
          </w:tcPr>
          <w:p w14:paraId="4CDF56A7" w14:textId="77777777" w:rsidR="00B30A0B" w:rsidRDefault="00B30A0B" w:rsidP="00AA40A5">
            <w:pPr>
              <w:ind w:right="-210"/>
              <w:rPr>
                <w:rFonts w:ascii="Arial" w:hAnsi="Arial" w:cs="Arial"/>
                <w:b/>
                <w:sz w:val="18"/>
                <w:szCs w:val="18"/>
                <w:lang w:eastAsia="es-AR"/>
              </w:rPr>
            </w:pPr>
            <w:r>
              <w:rPr>
                <w:rFonts w:ascii="Arial" w:hAnsi="Arial" w:cs="Arial"/>
                <w:b/>
                <w:sz w:val="18"/>
                <w:szCs w:val="18"/>
                <w:lang w:eastAsia="es-AR"/>
              </w:rPr>
              <w:t xml:space="preserve">     </w:t>
            </w:r>
            <w:r w:rsidRPr="003A3E18">
              <w:rPr>
                <w:rFonts w:ascii="Arial" w:hAnsi="Arial" w:cs="Arial"/>
                <w:b/>
                <w:sz w:val="18"/>
                <w:szCs w:val="18"/>
                <w:lang w:eastAsia="es-AR"/>
              </w:rPr>
              <w:t>3</w:t>
            </w:r>
          </w:p>
          <w:p w14:paraId="2F0C2EEB" w14:textId="77777777" w:rsidR="00B30A0B" w:rsidRPr="003A3E18" w:rsidRDefault="00B30A0B" w:rsidP="00AA40A5">
            <w:pPr>
              <w:ind w:right="-210"/>
              <w:rPr>
                <w:rFonts w:ascii="Arial" w:hAnsi="Arial" w:cs="Arial"/>
                <w:b/>
                <w:sz w:val="18"/>
                <w:szCs w:val="18"/>
                <w:lang w:eastAsia="es-AR"/>
              </w:rPr>
            </w:pPr>
            <w:r w:rsidRPr="003A3E18">
              <w:rPr>
                <w:rFonts w:ascii="Arial" w:hAnsi="Arial" w:cs="Arial"/>
                <w:b/>
                <w:sz w:val="18"/>
                <w:szCs w:val="18"/>
                <w:lang w:eastAsia="es-AR"/>
              </w:rPr>
              <w:t xml:space="preserve"> meses</w:t>
            </w:r>
          </w:p>
        </w:tc>
        <w:tc>
          <w:tcPr>
            <w:tcW w:w="1017" w:type="dxa"/>
            <w:tcBorders>
              <w:top w:val="single" w:sz="4" w:space="0" w:color="auto"/>
              <w:bottom w:val="single" w:sz="4" w:space="0" w:color="auto"/>
            </w:tcBorders>
            <w:shd w:val="clear" w:color="auto" w:fill="BFBFBF" w:themeFill="background1" w:themeFillShade="BF"/>
            <w:vAlign w:val="center"/>
          </w:tcPr>
          <w:p w14:paraId="0170B695" w14:textId="77777777" w:rsidR="00B30A0B" w:rsidRDefault="00B30A0B" w:rsidP="00AA40A5">
            <w:pPr>
              <w:jc w:val="center"/>
              <w:rPr>
                <w:rFonts w:ascii="Arial" w:hAnsi="Arial" w:cs="Arial"/>
                <w:b/>
                <w:sz w:val="18"/>
                <w:szCs w:val="18"/>
                <w:lang w:eastAsia="es-AR"/>
              </w:rPr>
            </w:pPr>
            <w:r w:rsidRPr="003A3E18">
              <w:rPr>
                <w:rFonts w:ascii="Arial" w:hAnsi="Arial" w:cs="Arial"/>
                <w:b/>
                <w:sz w:val="18"/>
                <w:szCs w:val="18"/>
                <w:lang w:eastAsia="es-AR"/>
              </w:rPr>
              <w:t xml:space="preserve">6 </w:t>
            </w:r>
          </w:p>
          <w:p w14:paraId="5C1910FF" w14:textId="77777777" w:rsidR="00B30A0B" w:rsidRPr="003A3E18" w:rsidRDefault="00B30A0B" w:rsidP="00AA40A5">
            <w:pPr>
              <w:jc w:val="center"/>
              <w:rPr>
                <w:rFonts w:ascii="Arial" w:hAnsi="Arial" w:cs="Arial"/>
                <w:b/>
                <w:sz w:val="18"/>
                <w:szCs w:val="18"/>
                <w:lang w:eastAsia="es-AR"/>
              </w:rPr>
            </w:pPr>
            <w:r w:rsidRPr="003A3E18">
              <w:rPr>
                <w:rFonts w:ascii="Arial" w:hAnsi="Arial" w:cs="Arial"/>
                <w:b/>
                <w:sz w:val="18"/>
                <w:szCs w:val="18"/>
                <w:lang w:eastAsia="es-AR"/>
              </w:rPr>
              <w:t>meses</w:t>
            </w:r>
          </w:p>
        </w:tc>
        <w:tc>
          <w:tcPr>
            <w:tcW w:w="980" w:type="dxa"/>
            <w:tcBorders>
              <w:top w:val="single" w:sz="4" w:space="0" w:color="auto"/>
              <w:bottom w:val="single" w:sz="4" w:space="0" w:color="auto"/>
            </w:tcBorders>
            <w:shd w:val="clear" w:color="auto" w:fill="BFBFBF" w:themeFill="background1" w:themeFillShade="BF"/>
            <w:vAlign w:val="center"/>
          </w:tcPr>
          <w:p w14:paraId="48AE008C" w14:textId="77777777" w:rsidR="00B30A0B" w:rsidRPr="003A3E18" w:rsidRDefault="00B30A0B" w:rsidP="00AA40A5">
            <w:pPr>
              <w:jc w:val="center"/>
              <w:rPr>
                <w:rFonts w:ascii="Arial" w:hAnsi="Arial" w:cs="Arial"/>
                <w:b/>
                <w:sz w:val="18"/>
                <w:szCs w:val="18"/>
                <w:lang w:eastAsia="es-AR"/>
              </w:rPr>
            </w:pPr>
            <w:r w:rsidRPr="003A3E18">
              <w:rPr>
                <w:rFonts w:ascii="Arial" w:hAnsi="Arial" w:cs="Arial"/>
                <w:b/>
                <w:sz w:val="18"/>
                <w:szCs w:val="18"/>
                <w:lang w:eastAsia="es-AR"/>
              </w:rPr>
              <w:t>12 meses</w:t>
            </w:r>
          </w:p>
        </w:tc>
        <w:tc>
          <w:tcPr>
            <w:tcW w:w="980" w:type="dxa"/>
            <w:tcBorders>
              <w:top w:val="single" w:sz="4" w:space="0" w:color="auto"/>
              <w:bottom w:val="single" w:sz="4" w:space="0" w:color="auto"/>
            </w:tcBorders>
            <w:shd w:val="clear" w:color="auto" w:fill="BFBFBF" w:themeFill="background1" w:themeFillShade="BF"/>
            <w:vAlign w:val="center"/>
          </w:tcPr>
          <w:p w14:paraId="5657CE1B" w14:textId="77777777" w:rsidR="00B30A0B" w:rsidRPr="003A3E18" w:rsidRDefault="00B30A0B" w:rsidP="00AA40A5">
            <w:pPr>
              <w:jc w:val="center"/>
              <w:rPr>
                <w:rFonts w:ascii="Arial" w:hAnsi="Arial" w:cs="Arial"/>
                <w:b/>
                <w:sz w:val="18"/>
                <w:szCs w:val="18"/>
                <w:lang w:eastAsia="es-AR"/>
              </w:rPr>
            </w:pPr>
            <w:r w:rsidRPr="003A3E18">
              <w:rPr>
                <w:rFonts w:ascii="Arial" w:hAnsi="Arial" w:cs="Arial"/>
                <w:b/>
                <w:sz w:val="18"/>
                <w:szCs w:val="18"/>
                <w:lang w:eastAsia="es-AR"/>
              </w:rPr>
              <w:t>24 meses</w:t>
            </w:r>
          </w:p>
        </w:tc>
        <w:tc>
          <w:tcPr>
            <w:tcW w:w="1096" w:type="dxa"/>
            <w:tcBorders>
              <w:top w:val="single" w:sz="4" w:space="0" w:color="auto"/>
              <w:bottom w:val="single" w:sz="4" w:space="0" w:color="auto"/>
            </w:tcBorders>
            <w:shd w:val="clear" w:color="auto" w:fill="BFBFBF" w:themeFill="background1" w:themeFillShade="BF"/>
            <w:vAlign w:val="center"/>
          </w:tcPr>
          <w:p w14:paraId="018AB416" w14:textId="77777777" w:rsidR="00B30A0B" w:rsidRPr="003A3E18" w:rsidRDefault="00B30A0B" w:rsidP="00AA40A5">
            <w:pPr>
              <w:jc w:val="center"/>
              <w:rPr>
                <w:rFonts w:ascii="Arial" w:hAnsi="Arial" w:cs="Arial"/>
                <w:b/>
                <w:sz w:val="18"/>
                <w:szCs w:val="18"/>
                <w:lang w:eastAsia="es-AR"/>
              </w:rPr>
            </w:pPr>
            <w:r w:rsidRPr="003A3E18">
              <w:rPr>
                <w:rFonts w:ascii="Arial" w:hAnsi="Arial" w:cs="Arial"/>
                <w:b/>
                <w:sz w:val="18"/>
                <w:szCs w:val="18"/>
                <w:lang w:eastAsia="es-AR"/>
              </w:rPr>
              <w:t>Mas de 24 meses</w:t>
            </w:r>
          </w:p>
        </w:tc>
        <w:tc>
          <w:tcPr>
            <w:tcW w:w="1195" w:type="dxa"/>
            <w:tcBorders>
              <w:top w:val="single" w:sz="4" w:space="0" w:color="auto"/>
              <w:bottom w:val="single" w:sz="4" w:space="0" w:color="auto"/>
            </w:tcBorders>
            <w:shd w:val="clear" w:color="auto" w:fill="BFBFBF" w:themeFill="background1" w:themeFillShade="BF"/>
            <w:vAlign w:val="center"/>
          </w:tcPr>
          <w:p w14:paraId="412B4E0A" w14:textId="74D35B37" w:rsidR="00B30A0B" w:rsidRPr="003A3E18" w:rsidRDefault="00B30A0B" w:rsidP="00B30A0B">
            <w:pPr>
              <w:jc w:val="center"/>
              <w:rPr>
                <w:rFonts w:ascii="Arial" w:hAnsi="Arial" w:cs="Arial"/>
                <w:b/>
                <w:sz w:val="18"/>
                <w:szCs w:val="18"/>
                <w:lang w:eastAsia="es-AR"/>
              </w:rPr>
            </w:pPr>
            <w:r w:rsidRPr="00B30A0B">
              <w:rPr>
                <w:rFonts w:ascii="Arial" w:hAnsi="Arial" w:cs="Arial"/>
                <w:b/>
                <w:sz w:val="18"/>
                <w:szCs w:val="18"/>
                <w:lang w:eastAsia="es-AR"/>
              </w:rPr>
              <w:t>Total</w:t>
            </w:r>
          </w:p>
        </w:tc>
      </w:tr>
      <w:tr w:rsidR="00BA2B34" w:rsidRPr="00326E79" w14:paraId="0B590378" w14:textId="77777777" w:rsidTr="00066653">
        <w:trPr>
          <w:trHeight w:val="70"/>
        </w:trPr>
        <w:tc>
          <w:tcPr>
            <w:tcW w:w="2977" w:type="dxa"/>
            <w:tcBorders>
              <w:top w:val="single" w:sz="4" w:space="0" w:color="auto"/>
              <w:left w:val="nil"/>
              <w:bottom w:val="nil"/>
              <w:right w:val="nil"/>
            </w:tcBorders>
          </w:tcPr>
          <w:p w14:paraId="6532FCD3" w14:textId="77777777" w:rsidR="00B30A0B" w:rsidRPr="00326E79" w:rsidRDefault="00B30A0B" w:rsidP="00AA40A5">
            <w:pPr>
              <w:rPr>
                <w:rFonts w:ascii="Arial" w:hAnsi="Arial" w:cs="Arial"/>
                <w:sz w:val="16"/>
                <w:szCs w:val="18"/>
                <w:lang w:eastAsia="es-AR"/>
              </w:rPr>
            </w:pPr>
          </w:p>
        </w:tc>
        <w:tc>
          <w:tcPr>
            <w:tcW w:w="1195" w:type="dxa"/>
            <w:tcBorders>
              <w:top w:val="single" w:sz="4" w:space="0" w:color="auto"/>
              <w:left w:val="nil"/>
              <w:bottom w:val="nil"/>
              <w:right w:val="nil"/>
            </w:tcBorders>
          </w:tcPr>
          <w:p w14:paraId="352A7968" w14:textId="77777777" w:rsidR="00B30A0B" w:rsidRPr="00326E79" w:rsidRDefault="00B30A0B" w:rsidP="00AA40A5">
            <w:pPr>
              <w:rPr>
                <w:rFonts w:ascii="Arial" w:hAnsi="Arial" w:cs="Arial"/>
                <w:sz w:val="16"/>
                <w:szCs w:val="18"/>
                <w:lang w:eastAsia="es-AR"/>
              </w:rPr>
            </w:pPr>
          </w:p>
        </w:tc>
        <w:tc>
          <w:tcPr>
            <w:tcW w:w="1017" w:type="dxa"/>
            <w:tcBorders>
              <w:top w:val="single" w:sz="4" w:space="0" w:color="auto"/>
              <w:left w:val="nil"/>
              <w:bottom w:val="nil"/>
              <w:right w:val="nil"/>
            </w:tcBorders>
          </w:tcPr>
          <w:p w14:paraId="39805B08" w14:textId="77777777" w:rsidR="00B30A0B" w:rsidRPr="00326E79" w:rsidRDefault="00B30A0B" w:rsidP="00AA40A5">
            <w:pPr>
              <w:rPr>
                <w:rFonts w:ascii="Arial" w:hAnsi="Arial" w:cs="Arial"/>
                <w:sz w:val="16"/>
                <w:szCs w:val="18"/>
                <w:lang w:eastAsia="es-AR"/>
              </w:rPr>
            </w:pPr>
          </w:p>
        </w:tc>
        <w:tc>
          <w:tcPr>
            <w:tcW w:w="1017" w:type="dxa"/>
            <w:tcBorders>
              <w:top w:val="single" w:sz="4" w:space="0" w:color="auto"/>
              <w:left w:val="nil"/>
              <w:bottom w:val="nil"/>
              <w:right w:val="nil"/>
            </w:tcBorders>
          </w:tcPr>
          <w:p w14:paraId="0C3109FE" w14:textId="77777777" w:rsidR="00B30A0B" w:rsidRPr="00326E79" w:rsidRDefault="00B30A0B" w:rsidP="00AA40A5">
            <w:pPr>
              <w:rPr>
                <w:rFonts w:ascii="Arial" w:hAnsi="Arial" w:cs="Arial"/>
                <w:sz w:val="16"/>
                <w:szCs w:val="18"/>
                <w:lang w:eastAsia="es-AR"/>
              </w:rPr>
            </w:pPr>
          </w:p>
        </w:tc>
        <w:tc>
          <w:tcPr>
            <w:tcW w:w="980" w:type="dxa"/>
            <w:tcBorders>
              <w:top w:val="single" w:sz="4" w:space="0" w:color="auto"/>
              <w:left w:val="nil"/>
              <w:bottom w:val="nil"/>
              <w:right w:val="nil"/>
            </w:tcBorders>
          </w:tcPr>
          <w:p w14:paraId="5058FEB5" w14:textId="77777777" w:rsidR="00B30A0B" w:rsidRPr="00326E79" w:rsidRDefault="00B30A0B" w:rsidP="00AA40A5">
            <w:pPr>
              <w:rPr>
                <w:rFonts w:ascii="Arial" w:hAnsi="Arial" w:cs="Arial"/>
                <w:sz w:val="16"/>
                <w:szCs w:val="18"/>
                <w:lang w:eastAsia="es-AR"/>
              </w:rPr>
            </w:pPr>
          </w:p>
        </w:tc>
        <w:tc>
          <w:tcPr>
            <w:tcW w:w="980" w:type="dxa"/>
            <w:tcBorders>
              <w:top w:val="single" w:sz="4" w:space="0" w:color="auto"/>
              <w:left w:val="nil"/>
              <w:bottom w:val="nil"/>
              <w:right w:val="nil"/>
            </w:tcBorders>
          </w:tcPr>
          <w:p w14:paraId="013050C1" w14:textId="77777777" w:rsidR="00B30A0B" w:rsidRPr="00326E79" w:rsidRDefault="00B30A0B" w:rsidP="00AA40A5">
            <w:pPr>
              <w:rPr>
                <w:rFonts w:ascii="Arial" w:hAnsi="Arial" w:cs="Arial"/>
                <w:sz w:val="16"/>
                <w:szCs w:val="18"/>
                <w:lang w:eastAsia="es-AR"/>
              </w:rPr>
            </w:pPr>
          </w:p>
        </w:tc>
        <w:tc>
          <w:tcPr>
            <w:tcW w:w="1096" w:type="dxa"/>
            <w:tcBorders>
              <w:top w:val="single" w:sz="4" w:space="0" w:color="auto"/>
              <w:left w:val="nil"/>
              <w:bottom w:val="nil"/>
              <w:right w:val="nil"/>
            </w:tcBorders>
          </w:tcPr>
          <w:p w14:paraId="3596BE47" w14:textId="77777777" w:rsidR="00B30A0B" w:rsidRPr="00326E79" w:rsidRDefault="00B30A0B" w:rsidP="00AA40A5">
            <w:pPr>
              <w:rPr>
                <w:rFonts w:ascii="Arial" w:hAnsi="Arial" w:cs="Arial"/>
                <w:sz w:val="16"/>
                <w:szCs w:val="18"/>
                <w:lang w:eastAsia="es-AR"/>
              </w:rPr>
            </w:pPr>
          </w:p>
        </w:tc>
        <w:tc>
          <w:tcPr>
            <w:tcW w:w="1195" w:type="dxa"/>
            <w:tcBorders>
              <w:top w:val="single" w:sz="4" w:space="0" w:color="auto"/>
              <w:left w:val="nil"/>
              <w:bottom w:val="nil"/>
              <w:right w:val="nil"/>
            </w:tcBorders>
          </w:tcPr>
          <w:p w14:paraId="730E6C2E" w14:textId="77777777" w:rsidR="00B30A0B" w:rsidRPr="00326E79" w:rsidRDefault="00B30A0B" w:rsidP="00AA40A5">
            <w:pPr>
              <w:rPr>
                <w:rFonts w:ascii="Arial" w:hAnsi="Arial" w:cs="Arial"/>
                <w:sz w:val="16"/>
                <w:szCs w:val="18"/>
                <w:lang w:eastAsia="es-AR"/>
              </w:rPr>
            </w:pPr>
          </w:p>
        </w:tc>
      </w:tr>
      <w:tr w:rsidR="00BA2B34" w:rsidRPr="00326E79" w14:paraId="497DD318" w14:textId="77777777" w:rsidTr="00066653">
        <w:trPr>
          <w:trHeight w:val="403"/>
        </w:trPr>
        <w:tc>
          <w:tcPr>
            <w:tcW w:w="2977" w:type="dxa"/>
            <w:tcBorders>
              <w:top w:val="nil"/>
              <w:left w:val="nil"/>
              <w:bottom w:val="nil"/>
              <w:right w:val="nil"/>
            </w:tcBorders>
            <w:vAlign w:val="bottom"/>
          </w:tcPr>
          <w:p w14:paraId="5F63CB97" w14:textId="0CCC62ED" w:rsidR="00B30A0B" w:rsidRPr="001A10B5" w:rsidRDefault="00B30A0B" w:rsidP="00B30A0B">
            <w:pPr>
              <w:rPr>
                <w:rFonts w:ascii="Arial" w:hAnsi="Arial" w:cs="Arial"/>
                <w:b/>
                <w:sz w:val="16"/>
                <w:szCs w:val="16"/>
                <w:lang w:eastAsia="es-AR"/>
              </w:rPr>
            </w:pPr>
            <w:r w:rsidRPr="00066653">
              <w:rPr>
                <w:rFonts w:ascii="Arial" w:hAnsi="Arial" w:cs="Arial"/>
                <w:b/>
                <w:sz w:val="16"/>
                <w:szCs w:val="16"/>
                <w:lang w:eastAsia="es-AR"/>
              </w:rPr>
              <w:t>Depósitos</w:t>
            </w:r>
          </w:p>
        </w:tc>
        <w:tc>
          <w:tcPr>
            <w:tcW w:w="1195" w:type="dxa"/>
            <w:tcBorders>
              <w:top w:val="nil"/>
              <w:left w:val="nil"/>
              <w:bottom w:val="nil"/>
              <w:right w:val="nil"/>
            </w:tcBorders>
            <w:vAlign w:val="bottom"/>
          </w:tcPr>
          <w:p w14:paraId="44D5B703" w14:textId="020FB6E1" w:rsidR="00B30A0B" w:rsidRPr="004708CB" w:rsidRDefault="00B30A0B" w:rsidP="00B30A0B">
            <w:pPr>
              <w:rPr>
                <w:rFonts w:ascii="Arial" w:hAnsi="Arial" w:cs="Arial"/>
                <w:sz w:val="16"/>
                <w:szCs w:val="16"/>
                <w:lang w:eastAsia="es-AR"/>
              </w:rPr>
            </w:pPr>
          </w:p>
        </w:tc>
        <w:tc>
          <w:tcPr>
            <w:tcW w:w="1017" w:type="dxa"/>
            <w:tcBorders>
              <w:top w:val="nil"/>
              <w:left w:val="nil"/>
              <w:bottom w:val="nil"/>
              <w:right w:val="nil"/>
            </w:tcBorders>
            <w:vAlign w:val="bottom"/>
          </w:tcPr>
          <w:p w14:paraId="55DAD9B0" w14:textId="77777777" w:rsidR="00B30A0B" w:rsidRPr="00F77F7F" w:rsidRDefault="00B30A0B" w:rsidP="00B30A0B">
            <w:pPr>
              <w:rPr>
                <w:rFonts w:ascii="Arial" w:hAnsi="Arial" w:cs="Arial"/>
                <w:sz w:val="16"/>
                <w:szCs w:val="16"/>
                <w:lang w:eastAsia="es-AR"/>
              </w:rPr>
            </w:pPr>
          </w:p>
        </w:tc>
        <w:tc>
          <w:tcPr>
            <w:tcW w:w="1017" w:type="dxa"/>
            <w:tcBorders>
              <w:top w:val="nil"/>
              <w:left w:val="nil"/>
              <w:bottom w:val="nil"/>
              <w:right w:val="nil"/>
            </w:tcBorders>
            <w:vAlign w:val="bottom"/>
          </w:tcPr>
          <w:p w14:paraId="47DE087B" w14:textId="77777777" w:rsidR="00B30A0B" w:rsidRPr="0012241E" w:rsidRDefault="00B30A0B" w:rsidP="00B30A0B">
            <w:pPr>
              <w:rPr>
                <w:rFonts w:ascii="Arial" w:hAnsi="Arial" w:cs="Arial"/>
                <w:sz w:val="16"/>
                <w:szCs w:val="16"/>
                <w:lang w:eastAsia="es-AR"/>
              </w:rPr>
            </w:pPr>
          </w:p>
        </w:tc>
        <w:tc>
          <w:tcPr>
            <w:tcW w:w="980" w:type="dxa"/>
            <w:tcBorders>
              <w:top w:val="nil"/>
              <w:left w:val="nil"/>
              <w:bottom w:val="nil"/>
              <w:right w:val="nil"/>
            </w:tcBorders>
            <w:vAlign w:val="bottom"/>
          </w:tcPr>
          <w:p w14:paraId="2BF844D4" w14:textId="77777777" w:rsidR="00B30A0B" w:rsidRPr="00B85009" w:rsidRDefault="00B30A0B" w:rsidP="00B30A0B">
            <w:pPr>
              <w:rPr>
                <w:rFonts w:ascii="Arial" w:hAnsi="Arial" w:cs="Arial"/>
                <w:sz w:val="16"/>
                <w:szCs w:val="16"/>
                <w:lang w:eastAsia="es-AR"/>
              </w:rPr>
            </w:pPr>
          </w:p>
        </w:tc>
        <w:tc>
          <w:tcPr>
            <w:tcW w:w="980" w:type="dxa"/>
            <w:tcBorders>
              <w:top w:val="nil"/>
              <w:left w:val="nil"/>
              <w:bottom w:val="nil"/>
              <w:right w:val="nil"/>
            </w:tcBorders>
            <w:vAlign w:val="bottom"/>
          </w:tcPr>
          <w:p w14:paraId="6E75534D" w14:textId="77777777" w:rsidR="00B30A0B" w:rsidRPr="00EC10A9" w:rsidRDefault="00B30A0B" w:rsidP="00B30A0B">
            <w:pPr>
              <w:rPr>
                <w:rFonts w:ascii="Arial" w:hAnsi="Arial" w:cs="Arial"/>
                <w:sz w:val="16"/>
                <w:szCs w:val="16"/>
                <w:lang w:eastAsia="es-AR"/>
              </w:rPr>
            </w:pPr>
          </w:p>
        </w:tc>
        <w:tc>
          <w:tcPr>
            <w:tcW w:w="1096" w:type="dxa"/>
            <w:tcBorders>
              <w:top w:val="nil"/>
              <w:left w:val="nil"/>
              <w:bottom w:val="nil"/>
              <w:right w:val="nil"/>
            </w:tcBorders>
            <w:vAlign w:val="bottom"/>
          </w:tcPr>
          <w:p w14:paraId="2609AC75" w14:textId="77777777" w:rsidR="00B30A0B" w:rsidRPr="003D4ED0" w:rsidRDefault="00B30A0B" w:rsidP="00B30A0B">
            <w:pPr>
              <w:rPr>
                <w:rFonts w:ascii="Arial" w:hAnsi="Arial" w:cs="Arial"/>
                <w:sz w:val="16"/>
                <w:szCs w:val="16"/>
                <w:lang w:eastAsia="es-AR"/>
              </w:rPr>
            </w:pPr>
          </w:p>
        </w:tc>
        <w:tc>
          <w:tcPr>
            <w:tcW w:w="1195" w:type="dxa"/>
            <w:tcBorders>
              <w:top w:val="nil"/>
              <w:left w:val="nil"/>
              <w:bottom w:val="nil"/>
              <w:right w:val="nil"/>
            </w:tcBorders>
            <w:vAlign w:val="bottom"/>
          </w:tcPr>
          <w:p w14:paraId="5C29C52A" w14:textId="77777777" w:rsidR="00B30A0B" w:rsidRPr="00066653" w:rsidRDefault="00B30A0B" w:rsidP="00B30A0B">
            <w:pPr>
              <w:rPr>
                <w:rFonts w:ascii="Arial" w:hAnsi="Arial" w:cs="Arial"/>
                <w:sz w:val="16"/>
                <w:szCs w:val="16"/>
                <w:lang w:eastAsia="es-AR"/>
              </w:rPr>
            </w:pPr>
          </w:p>
        </w:tc>
      </w:tr>
      <w:tr w:rsidR="00BA2B34" w:rsidRPr="00326E79" w14:paraId="1F6343AA" w14:textId="77777777" w:rsidTr="0023020F">
        <w:trPr>
          <w:trHeight w:val="307"/>
        </w:trPr>
        <w:tc>
          <w:tcPr>
            <w:tcW w:w="2977" w:type="dxa"/>
            <w:tcBorders>
              <w:top w:val="nil"/>
              <w:left w:val="nil"/>
              <w:bottom w:val="nil"/>
              <w:right w:val="nil"/>
            </w:tcBorders>
            <w:vAlign w:val="bottom"/>
          </w:tcPr>
          <w:p w14:paraId="70E6D5A7" w14:textId="77777777" w:rsidR="00B30A0B" w:rsidRPr="001A10B5" w:rsidRDefault="00B30A0B" w:rsidP="00B30A0B">
            <w:pPr>
              <w:rPr>
                <w:rFonts w:ascii="Arial" w:hAnsi="Arial" w:cs="Arial"/>
                <w:sz w:val="16"/>
                <w:szCs w:val="16"/>
                <w:lang w:eastAsia="es-AR"/>
              </w:rPr>
            </w:pPr>
            <w:r w:rsidRPr="001A10B5">
              <w:rPr>
                <w:rFonts w:ascii="Arial" w:hAnsi="Arial" w:cs="Arial"/>
                <w:sz w:val="16"/>
                <w:szCs w:val="16"/>
                <w:lang w:eastAsia="es-AR"/>
              </w:rPr>
              <w:t>Sector Público no financiero</w:t>
            </w:r>
          </w:p>
        </w:tc>
        <w:tc>
          <w:tcPr>
            <w:tcW w:w="1195" w:type="dxa"/>
            <w:tcBorders>
              <w:top w:val="nil"/>
              <w:left w:val="nil"/>
              <w:bottom w:val="nil"/>
              <w:right w:val="nil"/>
            </w:tcBorders>
            <w:vAlign w:val="bottom"/>
          </w:tcPr>
          <w:p w14:paraId="15E5646B" w14:textId="16AAE8CF" w:rsidR="00B30A0B" w:rsidRPr="004708CB" w:rsidRDefault="00186CDF">
            <w:pPr>
              <w:jc w:val="right"/>
              <w:rPr>
                <w:rFonts w:ascii="Arial" w:hAnsi="Arial" w:cs="Arial"/>
                <w:sz w:val="16"/>
                <w:szCs w:val="16"/>
                <w:lang w:eastAsia="es-AR"/>
              </w:rPr>
            </w:pPr>
            <w:r>
              <w:rPr>
                <w:rFonts w:ascii="Arial" w:hAnsi="Arial" w:cs="Arial"/>
                <w:sz w:val="16"/>
                <w:szCs w:val="16"/>
                <w:lang w:eastAsia="es-AR"/>
              </w:rPr>
              <w:t>4.694.680</w:t>
            </w:r>
          </w:p>
        </w:tc>
        <w:tc>
          <w:tcPr>
            <w:tcW w:w="1017" w:type="dxa"/>
            <w:tcBorders>
              <w:top w:val="nil"/>
              <w:left w:val="nil"/>
              <w:bottom w:val="nil"/>
              <w:right w:val="nil"/>
            </w:tcBorders>
            <w:vAlign w:val="bottom"/>
          </w:tcPr>
          <w:p w14:paraId="1C4A13DF" w14:textId="197FB269" w:rsidR="00B30A0B" w:rsidRPr="0012241E" w:rsidRDefault="00186CDF">
            <w:pPr>
              <w:jc w:val="right"/>
              <w:rPr>
                <w:rFonts w:ascii="Arial" w:hAnsi="Arial" w:cs="Arial"/>
                <w:sz w:val="16"/>
                <w:szCs w:val="16"/>
                <w:lang w:eastAsia="es-AR"/>
              </w:rPr>
            </w:pPr>
            <w:r>
              <w:rPr>
                <w:rFonts w:ascii="Arial" w:hAnsi="Arial" w:cs="Arial"/>
                <w:sz w:val="16"/>
                <w:szCs w:val="16"/>
                <w:lang w:eastAsia="es-AR"/>
              </w:rPr>
              <w:t>931.149</w:t>
            </w:r>
          </w:p>
        </w:tc>
        <w:tc>
          <w:tcPr>
            <w:tcW w:w="1017" w:type="dxa"/>
            <w:tcBorders>
              <w:top w:val="nil"/>
              <w:left w:val="nil"/>
              <w:bottom w:val="nil"/>
              <w:right w:val="nil"/>
            </w:tcBorders>
            <w:vAlign w:val="bottom"/>
          </w:tcPr>
          <w:p w14:paraId="60E911ED" w14:textId="52EC25FC" w:rsidR="00B30A0B" w:rsidRPr="00EC10A9" w:rsidRDefault="00186CDF">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6861889D" w14:textId="487A0518"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00C2CEDF" w14:textId="0C224DAD"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1096" w:type="dxa"/>
            <w:tcBorders>
              <w:top w:val="nil"/>
              <w:left w:val="nil"/>
              <w:bottom w:val="nil"/>
              <w:right w:val="nil"/>
            </w:tcBorders>
            <w:vAlign w:val="bottom"/>
          </w:tcPr>
          <w:p w14:paraId="4C8700B3" w14:textId="1B0AA52A"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1195" w:type="dxa"/>
            <w:tcBorders>
              <w:top w:val="nil"/>
              <w:left w:val="nil"/>
              <w:bottom w:val="nil"/>
              <w:right w:val="nil"/>
            </w:tcBorders>
            <w:vAlign w:val="bottom"/>
          </w:tcPr>
          <w:p w14:paraId="7232BC00" w14:textId="007703E0" w:rsidR="00B30A0B" w:rsidRPr="00066653" w:rsidRDefault="00186CDF">
            <w:pPr>
              <w:jc w:val="right"/>
              <w:rPr>
                <w:rFonts w:ascii="Arial" w:hAnsi="Arial" w:cs="Arial"/>
                <w:sz w:val="16"/>
                <w:szCs w:val="16"/>
                <w:lang w:eastAsia="es-AR"/>
              </w:rPr>
            </w:pPr>
            <w:r>
              <w:rPr>
                <w:rFonts w:ascii="Arial" w:hAnsi="Arial" w:cs="Arial"/>
                <w:sz w:val="16"/>
                <w:szCs w:val="16"/>
                <w:lang w:eastAsia="es-AR"/>
              </w:rPr>
              <w:t>5.625.829</w:t>
            </w:r>
          </w:p>
        </w:tc>
      </w:tr>
      <w:tr w:rsidR="00BA2B34" w:rsidRPr="00326E79" w14:paraId="179111F1" w14:textId="77777777" w:rsidTr="0023020F">
        <w:trPr>
          <w:trHeight w:val="403"/>
        </w:trPr>
        <w:tc>
          <w:tcPr>
            <w:tcW w:w="2977" w:type="dxa"/>
            <w:tcBorders>
              <w:top w:val="nil"/>
              <w:left w:val="nil"/>
              <w:bottom w:val="nil"/>
              <w:right w:val="nil"/>
            </w:tcBorders>
            <w:vAlign w:val="bottom"/>
          </w:tcPr>
          <w:p w14:paraId="3E278762" w14:textId="05A46416" w:rsidR="00B30A0B" w:rsidRPr="004708CB" w:rsidRDefault="00B30A0B" w:rsidP="00B30A0B">
            <w:pPr>
              <w:rPr>
                <w:rFonts w:ascii="Arial" w:hAnsi="Arial" w:cs="Arial"/>
                <w:sz w:val="16"/>
                <w:szCs w:val="16"/>
                <w:lang w:eastAsia="es-AR"/>
              </w:rPr>
            </w:pPr>
            <w:r w:rsidRPr="001A10B5">
              <w:rPr>
                <w:rFonts w:ascii="Arial" w:hAnsi="Arial" w:cs="Arial"/>
                <w:sz w:val="16"/>
                <w:szCs w:val="16"/>
                <w:lang w:eastAsia="es-AR"/>
              </w:rPr>
              <w:t>Sector Fi</w:t>
            </w:r>
            <w:r w:rsidR="00BB3066" w:rsidRPr="001A10B5">
              <w:rPr>
                <w:rFonts w:ascii="Arial" w:hAnsi="Arial" w:cs="Arial"/>
                <w:sz w:val="16"/>
                <w:szCs w:val="16"/>
                <w:lang w:eastAsia="es-AR"/>
              </w:rPr>
              <w:t>n</w:t>
            </w:r>
            <w:r w:rsidRPr="004708CB">
              <w:rPr>
                <w:rFonts w:ascii="Arial" w:hAnsi="Arial" w:cs="Arial"/>
                <w:sz w:val="16"/>
                <w:szCs w:val="16"/>
                <w:lang w:eastAsia="es-AR"/>
              </w:rPr>
              <w:t>anciero</w:t>
            </w:r>
          </w:p>
        </w:tc>
        <w:tc>
          <w:tcPr>
            <w:tcW w:w="1195" w:type="dxa"/>
            <w:tcBorders>
              <w:top w:val="nil"/>
              <w:left w:val="nil"/>
              <w:bottom w:val="nil"/>
              <w:right w:val="nil"/>
            </w:tcBorders>
            <w:vAlign w:val="bottom"/>
          </w:tcPr>
          <w:p w14:paraId="3BCD0B64" w14:textId="296B5CA7" w:rsidR="00B30A0B" w:rsidRPr="00B85009" w:rsidRDefault="00186CDF">
            <w:pPr>
              <w:jc w:val="right"/>
              <w:rPr>
                <w:rFonts w:ascii="Arial" w:hAnsi="Arial" w:cs="Arial"/>
                <w:sz w:val="16"/>
                <w:szCs w:val="16"/>
                <w:lang w:eastAsia="es-AR"/>
              </w:rPr>
            </w:pPr>
            <w:r>
              <w:rPr>
                <w:rFonts w:ascii="Arial" w:hAnsi="Arial" w:cs="Arial"/>
                <w:sz w:val="16"/>
                <w:szCs w:val="16"/>
                <w:lang w:eastAsia="es-AR"/>
              </w:rPr>
              <w:t>16.810</w:t>
            </w:r>
          </w:p>
        </w:tc>
        <w:tc>
          <w:tcPr>
            <w:tcW w:w="1017" w:type="dxa"/>
            <w:tcBorders>
              <w:top w:val="nil"/>
              <w:left w:val="nil"/>
              <w:bottom w:val="nil"/>
              <w:right w:val="nil"/>
            </w:tcBorders>
            <w:vAlign w:val="bottom"/>
          </w:tcPr>
          <w:p w14:paraId="443AD94A" w14:textId="16CE3F79" w:rsidR="00B30A0B" w:rsidRPr="003D4ED0" w:rsidRDefault="00186CDF">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20AEBD2F" w14:textId="0165BF68"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6A9C6A9F" w14:textId="376C9FF8"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0DB33898" w14:textId="5D41C6DC"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1096" w:type="dxa"/>
            <w:tcBorders>
              <w:top w:val="nil"/>
              <w:left w:val="nil"/>
              <w:bottom w:val="nil"/>
              <w:right w:val="nil"/>
            </w:tcBorders>
            <w:vAlign w:val="bottom"/>
          </w:tcPr>
          <w:p w14:paraId="2F8EE919" w14:textId="0A847E7A" w:rsidR="00B30A0B" w:rsidRPr="00066653" w:rsidRDefault="00B30A0B">
            <w:pPr>
              <w:jc w:val="right"/>
              <w:rPr>
                <w:rFonts w:ascii="Arial" w:hAnsi="Arial" w:cs="Arial"/>
                <w:sz w:val="16"/>
                <w:szCs w:val="16"/>
                <w:lang w:eastAsia="es-AR"/>
              </w:rPr>
            </w:pPr>
          </w:p>
        </w:tc>
        <w:tc>
          <w:tcPr>
            <w:tcW w:w="1195" w:type="dxa"/>
            <w:tcBorders>
              <w:top w:val="nil"/>
              <w:left w:val="nil"/>
              <w:bottom w:val="nil"/>
              <w:right w:val="nil"/>
            </w:tcBorders>
            <w:vAlign w:val="bottom"/>
          </w:tcPr>
          <w:p w14:paraId="189141AC" w14:textId="4A849BBF" w:rsidR="00B30A0B" w:rsidRPr="00066653" w:rsidRDefault="00186CDF">
            <w:pPr>
              <w:jc w:val="right"/>
              <w:rPr>
                <w:rFonts w:ascii="Arial" w:hAnsi="Arial" w:cs="Arial"/>
                <w:sz w:val="16"/>
                <w:szCs w:val="16"/>
                <w:lang w:eastAsia="es-AR"/>
              </w:rPr>
            </w:pPr>
            <w:r>
              <w:rPr>
                <w:rFonts w:ascii="Arial" w:hAnsi="Arial" w:cs="Arial"/>
                <w:sz w:val="16"/>
                <w:szCs w:val="16"/>
                <w:lang w:eastAsia="es-AR"/>
              </w:rPr>
              <w:t>16.810</w:t>
            </w:r>
          </w:p>
        </w:tc>
      </w:tr>
      <w:tr w:rsidR="00BA2B34" w:rsidRPr="00326E79" w14:paraId="0031C3B2" w14:textId="77777777" w:rsidTr="0023020F">
        <w:trPr>
          <w:trHeight w:val="403"/>
        </w:trPr>
        <w:tc>
          <w:tcPr>
            <w:tcW w:w="2977" w:type="dxa"/>
            <w:tcBorders>
              <w:top w:val="nil"/>
              <w:left w:val="nil"/>
              <w:bottom w:val="nil"/>
              <w:right w:val="nil"/>
            </w:tcBorders>
            <w:vAlign w:val="bottom"/>
          </w:tcPr>
          <w:p w14:paraId="336A15B4" w14:textId="77777777" w:rsidR="00B30A0B" w:rsidRPr="004708CB" w:rsidRDefault="00B30A0B" w:rsidP="00B30A0B">
            <w:pPr>
              <w:rPr>
                <w:rFonts w:ascii="Arial" w:hAnsi="Arial" w:cs="Arial"/>
                <w:sz w:val="16"/>
                <w:szCs w:val="16"/>
                <w:lang w:eastAsia="es-AR"/>
              </w:rPr>
            </w:pPr>
            <w:r w:rsidRPr="001A10B5">
              <w:rPr>
                <w:rFonts w:ascii="Arial" w:hAnsi="Arial" w:cs="Arial"/>
                <w:sz w:val="16"/>
                <w:szCs w:val="16"/>
                <w:lang w:eastAsia="es-AR"/>
              </w:rPr>
              <w:t>Sector privado no financiero y residentes en el exterior</w:t>
            </w:r>
          </w:p>
        </w:tc>
        <w:tc>
          <w:tcPr>
            <w:tcW w:w="1195" w:type="dxa"/>
            <w:tcBorders>
              <w:top w:val="nil"/>
              <w:left w:val="nil"/>
              <w:bottom w:val="nil"/>
              <w:right w:val="nil"/>
            </w:tcBorders>
            <w:vAlign w:val="bottom"/>
          </w:tcPr>
          <w:p w14:paraId="3DBBE0D2" w14:textId="23181214" w:rsidR="00B30A0B" w:rsidRPr="0012241E" w:rsidRDefault="00186CDF">
            <w:pPr>
              <w:jc w:val="right"/>
              <w:rPr>
                <w:rFonts w:ascii="Arial" w:hAnsi="Arial" w:cs="Arial"/>
                <w:sz w:val="16"/>
                <w:szCs w:val="16"/>
                <w:lang w:eastAsia="es-AR"/>
              </w:rPr>
            </w:pPr>
            <w:r>
              <w:rPr>
                <w:rFonts w:ascii="Arial" w:hAnsi="Arial" w:cs="Arial"/>
                <w:sz w:val="16"/>
                <w:szCs w:val="16"/>
                <w:lang w:eastAsia="es-AR"/>
              </w:rPr>
              <w:t>116.882.586</w:t>
            </w:r>
          </w:p>
        </w:tc>
        <w:tc>
          <w:tcPr>
            <w:tcW w:w="1017" w:type="dxa"/>
            <w:tcBorders>
              <w:top w:val="nil"/>
              <w:left w:val="nil"/>
              <w:bottom w:val="nil"/>
              <w:right w:val="nil"/>
            </w:tcBorders>
            <w:vAlign w:val="bottom"/>
          </w:tcPr>
          <w:p w14:paraId="6BACA9CF" w14:textId="475B2D1A" w:rsidR="00B30A0B" w:rsidRPr="00EC10A9" w:rsidRDefault="00186CDF">
            <w:pPr>
              <w:jc w:val="right"/>
              <w:rPr>
                <w:rFonts w:ascii="Arial" w:hAnsi="Arial" w:cs="Arial"/>
                <w:sz w:val="16"/>
                <w:szCs w:val="16"/>
                <w:lang w:eastAsia="es-AR"/>
              </w:rPr>
            </w:pPr>
            <w:r>
              <w:rPr>
                <w:rFonts w:ascii="Arial" w:hAnsi="Arial" w:cs="Arial"/>
                <w:sz w:val="16"/>
                <w:szCs w:val="16"/>
                <w:lang w:eastAsia="es-AR"/>
              </w:rPr>
              <w:t>10.050.030</w:t>
            </w:r>
          </w:p>
        </w:tc>
        <w:tc>
          <w:tcPr>
            <w:tcW w:w="1017" w:type="dxa"/>
            <w:tcBorders>
              <w:top w:val="nil"/>
              <w:left w:val="nil"/>
              <w:bottom w:val="nil"/>
              <w:right w:val="nil"/>
            </w:tcBorders>
            <w:vAlign w:val="bottom"/>
          </w:tcPr>
          <w:p w14:paraId="59FB5C04" w14:textId="3A040E57" w:rsidR="00B30A0B" w:rsidRPr="00066653" w:rsidRDefault="00186CDF">
            <w:pPr>
              <w:jc w:val="right"/>
              <w:rPr>
                <w:rFonts w:ascii="Arial" w:hAnsi="Arial" w:cs="Arial"/>
                <w:sz w:val="16"/>
                <w:szCs w:val="16"/>
                <w:lang w:eastAsia="es-AR"/>
              </w:rPr>
            </w:pPr>
            <w:r>
              <w:rPr>
                <w:rFonts w:ascii="Arial" w:hAnsi="Arial" w:cs="Arial"/>
                <w:sz w:val="16"/>
                <w:szCs w:val="16"/>
                <w:lang w:eastAsia="es-AR"/>
              </w:rPr>
              <w:t>8.057.804</w:t>
            </w:r>
          </w:p>
        </w:tc>
        <w:tc>
          <w:tcPr>
            <w:tcW w:w="980" w:type="dxa"/>
            <w:tcBorders>
              <w:top w:val="nil"/>
              <w:left w:val="nil"/>
              <w:bottom w:val="nil"/>
              <w:right w:val="nil"/>
            </w:tcBorders>
            <w:vAlign w:val="bottom"/>
          </w:tcPr>
          <w:p w14:paraId="1B05DBFF" w14:textId="6931101D" w:rsidR="00B30A0B" w:rsidRPr="00066653" w:rsidRDefault="00186CDF">
            <w:pPr>
              <w:jc w:val="right"/>
              <w:rPr>
                <w:rFonts w:ascii="Arial" w:hAnsi="Arial" w:cs="Arial"/>
                <w:sz w:val="16"/>
                <w:szCs w:val="16"/>
                <w:lang w:eastAsia="es-AR"/>
              </w:rPr>
            </w:pPr>
            <w:r>
              <w:rPr>
                <w:rFonts w:ascii="Arial" w:hAnsi="Arial" w:cs="Arial"/>
                <w:sz w:val="16"/>
                <w:szCs w:val="16"/>
                <w:lang w:eastAsia="es-AR"/>
              </w:rPr>
              <w:t>626.048</w:t>
            </w:r>
          </w:p>
        </w:tc>
        <w:tc>
          <w:tcPr>
            <w:tcW w:w="980" w:type="dxa"/>
            <w:tcBorders>
              <w:top w:val="nil"/>
              <w:left w:val="nil"/>
              <w:bottom w:val="nil"/>
              <w:right w:val="nil"/>
            </w:tcBorders>
            <w:vAlign w:val="bottom"/>
          </w:tcPr>
          <w:p w14:paraId="4AD5979C" w14:textId="1A4427EA"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1096" w:type="dxa"/>
            <w:tcBorders>
              <w:top w:val="nil"/>
              <w:left w:val="nil"/>
              <w:bottom w:val="nil"/>
              <w:right w:val="nil"/>
            </w:tcBorders>
            <w:vAlign w:val="bottom"/>
          </w:tcPr>
          <w:p w14:paraId="7F260A91" w14:textId="43BC0DC1" w:rsidR="00B30A0B"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1195" w:type="dxa"/>
            <w:tcBorders>
              <w:top w:val="nil"/>
              <w:left w:val="nil"/>
              <w:bottom w:val="nil"/>
              <w:right w:val="nil"/>
            </w:tcBorders>
            <w:vAlign w:val="bottom"/>
          </w:tcPr>
          <w:p w14:paraId="71706724" w14:textId="659AA27D" w:rsidR="00B30A0B" w:rsidRPr="00066653" w:rsidRDefault="00186CDF">
            <w:pPr>
              <w:jc w:val="right"/>
              <w:rPr>
                <w:rFonts w:ascii="Arial" w:hAnsi="Arial" w:cs="Arial"/>
                <w:sz w:val="16"/>
                <w:szCs w:val="16"/>
                <w:lang w:eastAsia="es-AR"/>
              </w:rPr>
            </w:pPr>
            <w:r>
              <w:rPr>
                <w:rFonts w:ascii="Arial" w:hAnsi="Arial" w:cs="Arial"/>
                <w:sz w:val="16"/>
                <w:szCs w:val="16"/>
                <w:lang w:eastAsia="es-AR"/>
              </w:rPr>
              <w:t>135.616.468</w:t>
            </w:r>
          </w:p>
        </w:tc>
      </w:tr>
      <w:tr w:rsidR="00BA2B34" w:rsidRPr="00326E79" w14:paraId="3D69A376" w14:textId="77777777" w:rsidTr="0023020F">
        <w:trPr>
          <w:trHeight w:val="102"/>
        </w:trPr>
        <w:tc>
          <w:tcPr>
            <w:tcW w:w="2977" w:type="dxa"/>
            <w:tcBorders>
              <w:top w:val="nil"/>
              <w:left w:val="nil"/>
              <w:bottom w:val="nil"/>
              <w:right w:val="nil"/>
            </w:tcBorders>
            <w:vAlign w:val="bottom"/>
          </w:tcPr>
          <w:p w14:paraId="0E29AFA0" w14:textId="77777777" w:rsidR="00B30A0B" w:rsidRPr="001A10B5" w:rsidRDefault="00B30A0B" w:rsidP="00B30A0B">
            <w:pPr>
              <w:rPr>
                <w:rFonts w:ascii="Arial" w:hAnsi="Arial" w:cs="Arial"/>
                <w:sz w:val="16"/>
                <w:szCs w:val="16"/>
                <w:lang w:eastAsia="es-AR"/>
              </w:rPr>
            </w:pPr>
          </w:p>
        </w:tc>
        <w:tc>
          <w:tcPr>
            <w:tcW w:w="1195" w:type="dxa"/>
            <w:tcBorders>
              <w:top w:val="nil"/>
              <w:left w:val="nil"/>
              <w:bottom w:val="nil"/>
              <w:right w:val="nil"/>
            </w:tcBorders>
            <w:vAlign w:val="bottom"/>
          </w:tcPr>
          <w:p w14:paraId="70433369" w14:textId="77777777" w:rsidR="00B30A0B" w:rsidRPr="004708CB" w:rsidRDefault="00B30A0B">
            <w:pPr>
              <w:jc w:val="right"/>
              <w:rPr>
                <w:rFonts w:ascii="Arial" w:hAnsi="Arial" w:cs="Arial"/>
                <w:sz w:val="16"/>
                <w:szCs w:val="16"/>
                <w:lang w:eastAsia="es-AR"/>
              </w:rPr>
            </w:pPr>
          </w:p>
        </w:tc>
        <w:tc>
          <w:tcPr>
            <w:tcW w:w="1017" w:type="dxa"/>
            <w:tcBorders>
              <w:top w:val="nil"/>
              <w:left w:val="nil"/>
              <w:bottom w:val="nil"/>
              <w:right w:val="nil"/>
            </w:tcBorders>
            <w:vAlign w:val="bottom"/>
          </w:tcPr>
          <w:p w14:paraId="5D183C61" w14:textId="77777777" w:rsidR="00B30A0B" w:rsidRPr="00F77F7F" w:rsidRDefault="00B30A0B">
            <w:pPr>
              <w:jc w:val="right"/>
              <w:rPr>
                <w:rFonts w:ascii="Arial" w:hAnsi="Arial" w:cs="Arial"/>
                <w:sz w:val="16"/>
                <w:szCs w:val="16"/>
                <w:lang w:eastAsia="es-AR"/>
              </w:rPr>
            </w:pPr>
          </w:p>
        </w:tc>
        <w:tc>
          <w:tcPr>
            <w:tcW w:w="1017" w:type="dxa"/>
            <w:tcBorders>
              <w:top w:val="nil"/>
              <w:left w:val="nil"/>
              <w:bottom w:val="nil"/>
              <w:right w:val="nil"/>
            </w:tcBorders>
            <w:vAlign w:val="bottom"/>
          </w:tcPr>
          <w:p w14:paraId="05D12B2F" w14:textId="77777777" w:rsidR="00B30A0B" w:rsidRPr="0012241E" w:rsidRDefault="00B30A0B">
            <w:pPr>
              <w:jc w:val="right"/>
              <w:rPr>
                <w:rFonts w:ascii="Arial" w:hAnsi="Arial" w:cs="Arial"/>
                <w:sz w:val="16"/>
                <w:szCs w:val="16"/>
                <w:lang w:eastAsia="es-AR"/>
              </w:rPr>
            </w:pPr>
          </w:p>
        </w:tc>
        <w:tc>
          <w:tcPr>
            <w:tcW w:w="980" w:type="dxa"/>
            <w:tcBorders>
              <w:top w:val="nil"/>
              <w:left w:val="nil"/>
              <w:bottom w:val="nil"/>
              <w:right w:val="nil"/>
            </w:tcBorders>
            <w:vAlign w:val="bottom"/>
          </w:tcPr>
          <w:p w14:paraId="44726AAA" w14:textId="77777777" w:rsidR="00B30A0B" w:rsidRPr="00B85009" w:rsidRDefault="00B30A0B">
            <w:pPr>
              <w:jc w:val="right"/>
              <w:rPr>
                <w:rFonts w:ascii="Arial" w:hAnsi="Arial" w:cs="Arial"/>
                <w:sz w:val="16"/>
                <w:szCs w:val="16"/>
                <w:lang w:eastAsia="es-AR"/>
              </w:rPr>
            </w:pPr>
          </w:p>
        </w:tc>
        <w:tc>
          <w:tcPr>
            <w:tcW w:w="980" w:type="dxa"/>
            <w:tcBorders>
              <w:top w:val="nil"/>
              <w:left w:val="nil"/>
              <w:bottom w:val="nil"/>
              <w:right w:val="nil"/>
            </w:tcBorders>
            <w:vAlign w:val="bottom"/>
          </w:tcPr>
          <w:p w14:paraId="7472C542" w14:textId="77777777" w:rsidR="00B30A0B" w:rsidRPr="00EC10A9" w:rsidRDefault="00B30A0B">
            <w:pPr>
              <w:jc w:val="right"/>
              <w:rPr>
                <w:rFonts w:ascii="Arial" w:hAnsi="Arial" w:cs="Arial"/>
                <w:sz w:val="16"/>
                <w:szCs w:val="16"/>
                <w:lang w:eastAsia="es-AR"/>
              </w:rPr>
            </w:pPr>
          </w:p>
        </w:tc>
        <w:tc>
          <w:tcPr>
            <w:tcW w:w="1096" w:type="dxa"/>
            <w:tcBorders>
              <w:top w:val="nil"/>
              <w:left w:val="nil"/>
              <w:bottom w:val="nil"/>
              <w:right w:val="nil"/>
            </w:tcBorders>
            <w:vAlign w:val="bottom"/>
          </w:tcPr>
          <w:p w14:paraId="72067C72" w14:textId="77777777" w:rsidR="00B30A0B" w:rsidRPr="003D4ED0" w:rsidRDefault="00B30A0B">
            <w:pPr>
              <w:jc w:val="right"/>
              <w:rPr>
                <w:rFonts w:ascii="Arial" w:hAnsi="Arial" w:cs="Arial"/>
                <w:sz w:val="16"/>
                <w:szCs w:val="16"/>
                <w:lang w:eastAsia="es-AR"/>
              </w:rPr>
            </w:pPr>
          </w:p>
        </w:tc>
        <w:tc>
          <w:tcPr>
            <w:tcW w:w="1195" w:type="dxa"/>
            <w:tcBorders>
              <w:top w:val="nil"/>
              <w:left w:val="nil"/>
              <w:bottom w:val="nil"/>
              <w:right w:val="nil"/>
            </w:tcBorders>
            <w:vAlign w:val="bottom"/>
          </w:tcPr>
          <w:p w14:paraId="7DE10AD6" w14:textId="77777777" w:rsidR="00B30A0B" w:rsidRPr="00066653" w:rsidRDefault="00B30A0B">
            <w:pPr>
              <w:jc w:val="right"/>
              <w:rPr>
                <w:rFonts w:ascii="Arial" w:hAnsi="Arial" w:cs="Arial"/>
                <w:sz w:val="16"/>
                <w:szCs w:val="16"/>
                <w:lang w:eastAsia="es-AR"/>
              </w:rPr>
            </w:pPr>
          </w:p>
        </w:tc>
      </w:tr>
      <w:tr w:rsidR="00410804" w:rsidRPr="00326E79" w14:paraId="06F3772F" w14:textId="77777777" w:rsidTr="002E1AF6">
        <w:trPr>
          <w:trHeight w:val="339"/>
        </w:trPr>
        <w:tc>
          <w:tcPr>
            <w:tcW w:w="2977" w:type="dxa"/>
            <w:tcBorders>
              <w:top w:val="nil"/>
              <w:left w:val="nil"/>
              <w:bottom w:val="nil"/>
              <w:right w:val="nil"/>
            </w:tcBorders>
            <w:vAlign w:val="bottom"/>
          </w:tcPr>
          <w:p w14:paraId="32A8D5B4" w14:textId="4ED6B338" w:rsidR="00410804" w:rsidRPr="002E1AF6" w:rsidRDefault="00410804" w:rsidP="00B30A0B">
            <w:pPr>
              <w:rPr>
                <w:rFonts w:ascii="Arial" w:hAnsi="Arial" w:cs="Arial"/>
                <w:b/>
                <w:sz w:val="16"/>
                <w:szCs w:val="16"/>
                <w:lang w:eastAsia="es-AR"/>
              </w:rPr>
            </w:pPr>
            <w:r w:rsidRPr="002E1AF6">
              <w:rPr>
                <w:rFonts w:ascii="Arial" w:hAnsi="Arial" w:cs="Arial"/>
                <w:b/>
                <w:sz w:val="16"/>
                <w:szCs w:val="16"/>
                <w:lang w:eastAsia="es-AR"/>
              </w:rPr>
              <w:t>Pasivos a valor razonable con cambios en resultados</w:t>
            </w:r>
          </w:p>
        </w:tc>
        <w:tc>
          <w:tcPr>
            <w:tcW w:w="1195" w:type="dxa"/>
            <w:tcBorders>
              <w:top w:val="nil"/>
              <w:left w:val="nil"/>
              <w:bottom w:val="nil"/>
              <w:right w:val="nil"/>
            </w:tcBorders>
            <w:vAlign w:val="bottom"/>
          </w:tcPr>
          <w:p w14:paraId="121B23D3" w14:textId="26A9E0B6" w:rsidR="00410804" w:rsidRPr="004708CB" w:rsidRDefault="00410804">
            <w:pPr>
              <w:jc w:val="right"/>
              <w:rPr>
                <w:rFonts w:ascii="Arial" w:hAnsi="Arial" w:cs="Arial"/>
                <w:sz w:val="16"/>
                <w:szCs w:val="16"/>
                <w:lang w:eastAsia="es-AR"/>
              </w:rPr>
            </w:pPr>
            <w:r>
              <w:rPr>
                <w:rFonts w:ascii="Arial" w:hAnsi="Arial" w:cs="Arial"/>
                <w:sz w:val="16"/>
                <w:szCs w:val="16"/>
                <w:lang w:eastAsia="es-AR"/>
              </w:rPr>
              <w:t>365.736</w:t>
            </w:r>
          </w:p>
        </w:tc>
        <w:tc>
          <w:tcPr>
            <w:tcW w:w="1017" w:type="dxa"/>
            <w:tcBorders>
              <w:top w:val="nil"/>
              <w:left w:val="nil"/>
              <w:bottom w:val="nil"/>
              <w:right w:val="nil"/>
            </w:tcBorders>
            <w:vAlign w:val="bottom"/>
          </w:tcPr>
          <w:p w14:paraId="363A096E" w14:textId="5E1E6E6C" w:rsidR="00410804" w:rsidRPr="00F77F7F" w:rsidRDefault="00410804">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6B888824" w14:textId="507F09F0" w:rsidR="00410804" w:rsidRPr="0012241E" w:rsidRDefault="00410804">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6FDBBC58" w14:textId="34AD1AD3" w:rsidR="00410804" w:rsidRPr="00B85009" w:rsidRDefault="00410804">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5BD57221" w14:textId="6FEAD3EF" w:rsidR="00410804" w:rsidRPr="00EC10A9" w:rsidRDefault="00410804">
            <w:pPr>
              <w:jc w:val="right"/>
              <w:rPr>
                <w:rFonts w:ascii="Arial" w:hAnsi="Arial" w:cs="Arial"/>
                <w:sz w:val="16"/>
                <w:szCs w:val="16"/>
                <w:lang w:eastAsia="es-AR"/>
              </w:rPr>
            </w:pPr>
            <w:r>
              <w:rPr>
                <w:rFonts w:ascii="Arial" w:hAnsi="Arial" w:cs="Arial"/>
                <w:sz w:val="16"/>
                <w:szCs w:val="16"/>
                <w:lang w:eastAsia="es-AR"/>
              </w:rPr>
              <w:t>-</w:t>
            </w:r>
          </w:p>
        </w:tc>
        <w:tc>
          <w:tcPr>
            <w:tcW w:w="1096" w:type="dxa"/>
            <w:tcBorders>
              <w:top w:val="nil"/>
              <w:left w:val="nil"/>
              <w:bottom w:val="nil"/>
              <w:right w:val="nil"/>
            </w:tcBorders>
            <w:vAlign w:val="bottom"/>
          </w:tcPr>
          <w:p w14:paraId="26884710" w14:textId="1ED17C60" w:rsidR="00410804" w:rsidRPr="003D4ED0" w:rsidRDefault="00410804">
            <w:pPr>
              <w:jc w:val="right"/>
              <w:rPr>
                <w:rFonts w:ascii="Arial" w:hAnsi="Arial" w:cs="Arial"/>
                <w:sz w:val="16"/>
                <w:szCs w:val="16"/>
                <w:lang w:eastAsia="es-AR"/>
              </w:rPr>
            </w:pPr>
            <w:r>
              <w:rPr>
                <w:rFonts w:ascii="Arial" w:hAnsi="Arial" w:cs="Arial"/>
                <w:sz w:val="16"/>
                <w:szCs w:val="16"/>
                <w:lang w:eastAsia="es-AR"/>
              </w:rPr>
              <w:t>-</w:t>
            </w:r>
          </w:p>
        </w:tc>
        <w:tc>
          <w:tcPr>
            <w:tcW w:w="1195" w:type="dxa"/>
            <w:tcBorders>
              <w:top w:val="nil"/>
              <w:left w:val="nil"/>
              <w:bottom w:val="nil"/>
              <w:right w:val="nil"/>
            </w:tcBorders>
            <w:vAlign w:val="bottom"/>
          </w:tcPr>
          <w:p w14:paraId="551AF9F1" w14:textId="244B1CAE" w:rsidR="00410804" w:rsidRPr="00066653" w:rsidRDefault="00410804">
            <w:pPr>
              <w:jc w:val="right"/>
              <w:rPr>
                <w:rFonts w:ascii="Arial" w:hAnsi="Arial" w:cs="Arial"/>
                <w:sz w:val="16"/>
                <w:szCs w:val="16"/>
                <w:lang w:eastAsia="es-AR"/>
              </w:rPr>
            </w:pPr>
            <w:r>
              <w:rPr>
                <w:rFonts w:ascii="Arial" w:hAnsi="Arial" w:cs="Arial"/>
                <w:sz w:val="16"/>
                <w:szCs w:val="16"/>
                <w:lang w:eastAsia="es-AR"/>
              </w:rPr>
              <w:t>365.736</w:t>
            </w:r>
          </w:p>
        </w:tc>
      </w:tr>
      <w:tr w:rsidR="0043794C" w:rsidRPr="00326E79" w14:paraId="0351C306" w14:textId="77777777" w:rsidTr="0023020F">
        <w:trPr>
          <w:trHeight w:val="403"/>
        </w:trPr>
        <w:tc>
          <w:tcPr>
            <w:tcW w:w="2977" w:type="dxa"/>
            <w:tcBorders>
              <w:top w:val="nil"/>
              <w:left w:val="nil"/>
              <w:bottom w:val="nil"/>
              <w:right w:val="nil"/>
            </w:tcBorders>
            <w:vAlign w:val="bottom"/>
          </w:tcPr>
          <w:p w14:paraId="352BF283" w14:textId="4169B218" w:rsidR="0043794C" w:rsidRPr="001A10B5" w:rsidRDefault="0043794C" w:rsidP="0043794C">
            <w:pPr>
              <w:rPr>
                <w:rFonts w:ascii="Arial" w:hAnsi="Arial" w:cs="Arial"/>
                <w:b/>
                <w:sz w:val="16"/>
                <w:szCs w:val="16"/>
                <w:lang w:eastAsia="es-AR"/>
              </w:rPr>
            </w:pPr>
            <w:r w:rsidRPr="001A10B5">
              <w:rPr>
                <w:rFonts w:ascii="Arial" w:hAnsi="Arial" w:cs="Arial"/>
                <w:b/>
                <w:sz w:val="16"/>
                <w:szCs w:val="16"/>
                <w:lang w:eastAsia="es-AR"/>
              </w:rPr>
              <w:t>Operaciones de pase</w:t>
            </w:r>
          </w:p>
        </w:tc>
        <w:tc>
          <w:tcPr>
            <w:tcW w:w="1195" w:type="dxa"/>
            <w:tcBorders>
              <w:top w:val="nil"/>
              <w:left w:val="nil"/>
              <w:bottom w:val="nil"/>
              <w:right w:val="nil"/>
            </w:tcBorders>
            <w:vAlign w:val="bottom"/>
          </w:tcPr>
          <w:p w14:paraId="720348A7" w14:textId="22ABAF7E" w:rsidR="0043794C" w:rsidRPr="004708CB"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0307304C" w14:textId="2F783D75" w:rsidR="0043794C" w:rsidRPr="00F77F7F"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45D49060" w14:textId="32DA6C53" w:rsidR="0043794C" w:rsidRPr="0012241E"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06B398A2" w14:textId="007A7630" w:rsidR="0043794C" w:rsidRPr="00B85009"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32F33C98" w14:textId="7514AE3B" w:rsidR="0043794C" w:rsidRPr="00EC10A9" w:rsidRDefault="0043794C">
            <w:pPr>
              <w:jc w:val="right"/>
              <w:rPr>
                <w:rFonts w:ascii="Arial" w:hAnsi="Arial" w:cs="Arial"/>
                <w:sz w:val="16"/>
                <w:szCs w:val="16"/>
                <w:lang w:eastAsia="es-AR"/>
              </w:rPr>
            </w:pPr>
          </w:p>
        </w:tc>
        <w:tc>
          <w:tcPr>
            <w:tcW w:w="1096" w:type="dxa"/>
            <w:tcBorders>
              <w:top w:val="nil"/>
              <w:left w:val="nil"/>
              <w:bottom w:val="nil"/>
              <w:right w:val="nil"/>
            </w:tcBorders>
            <w:vAlign w:val="bottom"/>
          </w:tcPr>
          <w:p w14:paraId="38686078" w14:textId="356D0060" w:rsidR="0043794C" w:rsidRPr="003D4ED0" w:rsidRDefault="0043794C">
            <w:pPr>
              <w:jc w:val="right"/>
              <w:rPr>
                <w:rFonts w:ascii="Arial" w:hAnsi="Arial" w:cs="Arial"/>
                <w:sz w:val="16"/>
                <w:szCs w:val="16"/>
                <w:lang w:eastAsia="es-AR"/>
              </w:rPr>
            </w:pPr>
          </w:p>
        </w:tc>
        <w:tc>
          <w:tcPr>
            <w:tcW w:w="1195" w:type="dxa"/>
            <w:tcBorders>
              <w:top w:val="nil"/>
              <w:left w:val="nil"/>
              <w:bottom w:val="nil"/>
              <w:right w:val="nil"/>
            </w:tcBorders>
            <w:vAlign w:val="bottom"/>
          </w:tcPr>
          <w:p w14:paraId="1749BFDA" w14:textId="31B43A51" w:rsidR="0043794C" w:rsidRPr="00066653" w:rsidRDefault="0043794C">
            <w:pPr>
              <w:jc w:val="right"/>
              <w:rPr>
                <w:rFonts w:ascii="Arial" w:hAnsi="Arial" w:cs="Arial"/>
                <w:sz w:val="16"/>
                <w:szCs w:val="16"/>
                <w:lang w:eastAsia="es-AR"/>
              </w:rPr>
            </w:pPr>
          </w:p>
        </w:tc>
      </w:tr>
      <w:tr w:rsidR="0043794C" w:rsidRPr="00326E79" w14:paraId="68CBF823" w14:textId="77777777" w:rsidTr="0023020F">
        <w:trPr>
          <w:trHeight w:val="403"/>
        </w:trPr>
        <w:tc>
          <w:tcPr>
            <w:tcW w:w="2977" w:type="dxa"/>
            <w:tcBorders>
              <w:top w:val="nil"/>
              <w:left w:val="nil"/>
              <w:bottom w:val="nil"/>
              <w:right w:val="nil"/>
            </w:tcBorders>
            <w:vAlign w:val="bottom"/>
          </w:tcPr>
          <w:p w14:paraId="56C2D5A3" w14:textId="35B4AE00" w:rsidR="0043794C" w:rsidRPr="00066653" w:rsidRDefault="0043794C" w:rsidP="0043794C">
            <w:pPr>
              <w:rPr>
                <w:rFonts w:ascii="Arial" w:hAnsi="Arial" w:cs="Arial"/>
                <w:sz w:val="16"/>
                <w:szCs w:val="16"/>
                <w:lang w:eastAsia="es-AR"/>
              </w:rPr>
            </w:pPr>
            <w:r w:rsidRPr="00066653">
              <w:rPr>
                <w:rFonts w:ascii="Arial" w:hAnsi="Arial" w:cs="Arial"/>
                <w:sz w:val="16"/>
                <w:szCs w:val="16"/>
                <w:lang w:eastAsia="es-AR"/>
              </w:rPr>
              <w:t>Otras entidades financieras</w:t>
            </w:r>
          </w:p>
        </w:tc>
        <w:tc>
          <w:tcPr>
            <w:tcW w:w="1195" w:type="dxa"/>
            <w:tcBorders>
              <w:top w:val="nil"/>
              <w:left w:val="nil"/>
              <w:bottom w:val="nil"/>
              <w:right w:val="nil"/>
            </w:tcBorders>
            <w:vAlign w:val="bottom"/>
          </w:tcPr>
          <w:p w14:paraId="0B8A9FE4" w14:textId="000F837E" w:rsidR="0043794C" w:rsidRPr="004708CB" w:rsidRDefault="00186CDF">
            <w:pPr>
              <w:jc w:val="right"/>
              <w:rPr>
                <w:rFonts w:ascii="Arial" w:hAnsi="Arial" w:cs="Arial"/>
                <w:sz w:val="16"/>
                <w:szCs w:val="16"/>
                <w:lang w:eastAsia="es-AR"/>
              </w:rPr>
            </w:pPr>
            <w:r>
              <w:rPr>
                <w:rFonts w:ascii="Arial" w:hAnsi="Arial" w:cs="Arial"/>
                <w:sz w:val="16"/>
                <w:szCs w:val="16"/>
                <w:lang w:eastAsia="es-AR"/>
              </w:rPr>
              <w:t>269.910</w:t>
            </w:r>
          </w:p>
        </w:tc>
        <w:tc>
          <w:tcPr>
            <w:tcW w:w="1017" w:type="dxa"/>
            <w:tcBorders>
              <w:top w:val="nil"/>
              <w:left w:val="nil"/>
              <w:bottom w:val="nil"/>
              <w:right w:val="nil"/>
            </w:tcBorders>
            <w:vAlign w:val="bottom"/>
          </w:tcPr>
          <w:p w14:paraId="6024A0DA" w14:textId="6E3433BD" w:rsidR="0043794C" w:rsidRPr="0012241E" w:rsidRDefault="00186CDF">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783BBFC8" w14:textId="63B1D7FD" w:rsidR="0043794C" w:rsidRPr="00EC10A9" w:rsidRDefault="00186CDF">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27394DC6" w14:textId="38B7F5FA" w:rsidR="0043794C"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980" w:type="dxa"/>
            <w:tcBorders>
              <w:top w:val="nil"/>
              <w:left w:val="nil"/>
              <w:bottom w:val="nil"/>
              <w:right w:val="nil"/>
            </w:tcBorders>
            <w:vAlign w:val="bottom"/>
          </w:tcPr>
          <w:p w14:paraId="5C6970FB" w14:textId="04645556" w:rsidR="0043794C"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1096" w:type="dxa"/>
            <w:tcBorders>
              <w:top w:val="nil"/>
              <w:left w:val="nil"/>
              <w:bottom w:val="nil"/>
              <w:right w:val="nil"/>
            </w:tcBorders>
            <w:vAlign w:val="bottom"/>
          </w:tcPr>
          <w:p w14:paraId="54203509" w14:textId="182A6BBB" w:rsidR="0043794C" w:rsidRPr="00066653" w:rsidRDefault="00186CDF">
            <w:pPr>
              <w:jc w:val="right"/>
              <w:rPr>
                <w:rFonts w:ascii="Arial" w:hAnsi="Arial" w:cs="Arial"/>
                <w:sz w:val="16"/>
                <w:szCs w:val="16"/>
                <w:lang w:eastAsia="es-AR"/>
              </w:rPr>
            </w:pPr>
            <w:r>
              <w:rPr>
                <w:rFonts w:ascii="Arial" w:hAnsi="Arial" w:cs="Arial"/>
                <w:sz w:val="16"/>
                <w:szCs w:val="16"/>
                <w:lang w:eastAsia="es-AR"/>
              </w:rPr>
              <w:t>-</w:t>
            </w:r>
          </w:p>
        </w:tc>
        <w:tc>
          <w:tcPr>
            <w:tcW w:w="1195" w:type="dxa"/>
            <w:tcBorders>
              <w:top w:val="nil"/>
              <w:left w:val="nil"/>
              <w:bottom w:val="nil"/>
              <w:right w:val="nil"/>
            </w:tcBorders>
            <w:vAlign w:val="bottom"/>
          </w:tcPr>
          <w:p w14:paraId="729F6AAA" w14:textId="5A91B3CD" w:rsidR="0043794C" w:rsidRPr="00066653" w:rsidRDefault="00186CDF">
            <w:pPr>
              <w:jc w:val="right"/>
              <w:rPr>
                <w:rFonts w:ascii="Arial" w:hAnsi="Arial" w:cs="Arial"/>
                <w:sz w:val="16"/>
                <w:szCs w:val="16"/>
                <w:lang w:eastAsia="es-AR"/>
              </w:rPr>
            </w:pPr>
            <w:r>
              <w:rPr>
                <w:rFonts w:ascii="Arial" w:hAnsi="Arial" w:cs="Arial"/>
                <w:sz w:val="16"/>
                <w:szCs w:val="16"/>
                <w:lang w:eastAsia="es-AR"/>
              </w:rPr>
              <w:t>269.910</w:t>
            </w:r>
          </w:p>
        </w:tc>
      </w:tr>
      <w:tr w:rsidR="0043794C" w:rsidRPr="00326E79" w14:paraId="01285939" w14:textId="77777777" w:rsidTr="0023020F">
        <w:trPr>
          <w:trHeight w:val="102"/>
        </w:trPr>
        <w:tc>
          <w:tcPr>
            <w:tcW w:w="2977" w:type="dxa"/>
            <w:tcBorders>
              <w:top w:val="nil"/>
              <w:left w:val="nil"/>
              <w:bottom w:val="nil"/>
              <w:right w:val="nil"/>
            </w:tcBorders>
            <w:vAlign w:val="bottom"/>
          </w:tcPr>
          <w:p w14:paraId="3A99C8A7" w14:textId="77777777" w:rsidR="0043794C" w:rsidRPr="001A10B5" w:rsidRDefault="0043794C" w:rsidP="0043794C">
            <w:pPr>
              <w:rPr>
                <w:rFonts w:ascii="Arial" w:hAnsi="Arial" w:cs="Arial"/>
                <w:b/>
                <w:sz w:val="16"/>
                <w:szCs w:val="16"/>
                <w:lang w:eastAsia="es-AR"/>
              </w:rPr>
            </w:pPr>
          </w:p>
        </w:tc>
        <w:tc>
          <w:tcPr>
            <w:tcW w:w="1195" w:type="dxa"/>
            <w:tcBorders>
              <w:top w:val="nil"/>
              <w:left w:val="nil"/>
              <w:bottom w:val="nil"/>
              <w:right w:val="nil"/>
            </w:tcBorders>
            <w:vAlign w:val="bottom"/>
          </w:tcPr>
          <w:p w14:paraId="38B3819D" w14:textId="77777777" w:rsidR="0043794C" w:rsidRPr="004708CB"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598040CC" w14:textId="77777777" w:rsidR="0043794C" w:rsidRPr="00F77F7F"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2842A701" w14:textId="77777777" w:rsidR="0043794C" w:rsidRPr="0012241E"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200DA37D" w14:textId="77777777" w:rsidR="0043794C" w:rsidRPr="00B85009"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4645A8E2" w14:textId="77777777" w:rsidR="0043794C" w:rsidRPr="00EC10A9" w:rsidRDefault="0043794C">
            <w:pPr>
              <w:jc w:val="right"/>
              <w:rPr>
                <w:rFonts w:ascii="Arial" w:hAnsi="Arial" w:cs="Arial"/>
                <w:sz w:val="16"/>
                <w:szCs w:val="16"/>
                <w:lang w:eastAsia="es-AR"/>
              </w:rPr>
            </w:pPr>
          </w:p>
        </w:tc>
        <w:tc>
          <w:tcPr>
            <w:tcW w:w="1096" w:type="dxa"/>
            <w:tcBorders>
              <w:top w:val="nil"/>
              <w:left w:val="nil"/>
              <w:bottom w:val="nil"/>
              <w:right w:val="nil"/>
            </w:tcBorders>
            <w:vAlign w:val="bottom"/>
          </w:tcPr>
          <w:p w14:paraId="796CC1F6" w14:textId="77777777" w:rsidR="0043794C" w:rsidRPr="003D4ED0" w:rsidRDefault="0043794C">
            <w:pPr>
              <w:jc w:val="right"/>
              <w:rPr>
                <w:rFonts w:ascii="Arial" w:hAnsi="Arial" w:cs="Arial"/>
                <w:sz w:val="16"/>
                <w:szCs w:val="16"/>
                <w:lang w:eastAsia="es-AR"/>
              </w:rPr>
            </w:pPr>
          </w:p>
        </w:tc>
        <w:tc>
          <w:tcPr>
            <w:tcW w:w="1195" w:type="dxa"/>
            <w:tcBorders>
              <w:top w:val="nil"/>
              <w:left w:val="nil"/>
              <w:bottom w:val="nil"/>
              <w:right w:val="nil"/>
            </w:tcBorders>
            <w:vAlign w:val="bottom"/>
          </w:tcPr>
          <w:p w14:paraId="5C59EEBB" w14:textId="77777777" w:rsidR="0043794C" w:rsidRPr="00066653" w:rsidRDefault="0043794C">
            <w:pPr>
              <w:jc w:val="right"/>
              <w:rPr>
                <w:rFonts w:ascii="Arial" w:hAnsi="Arial" w:cs="Arial"/>
                <w:sz w:val="16"/>
                <w:szCs w:val="16"/>
                <w:lang w:eastAsia="es-AR"/>
              </w:rPr>
            </w:pPr>
          </w:p>
        </w:tc>
      </w:tr>
      <w:tr w:rsidR="0043794C" w:rsidRPr="00326E79" w14:paraId="36E2C591" w14:textId="77777777" w:rsidTr="0023020F">
        <w:trPr>
          <w:trHeight w:val="102"/>
        </w:trPr>
        <w:tc>
          <w:tcPr>
            <w:tcW w:w="2977" w:type="dxa"/>
            <w:tcBorders>
              <w:top w:val="nil"/>
              <w:left w:val="nil"/>
              <w:bottom w:val="nil"/>
              <w:right w:val="nil"/>
            </w:tcBorders>
            <w:vAlign w:val="bottom"/>
          </w:tcPr>
          <w:p w14:paraId="71A2EE54" w14:textId="28CBC9C2" w:rsidR="0043794C" w:rsidRPr="001A10B5" w:rsidRDefault="0043794C" w:rsidP="0043794C">
            <w:pPr>
              <w:rPr>
                <w:rFonts w:ascii="Arial" w:hAnsi="Arial" w:cs="Arial"/>
                <w:b/>
                <w:sz w:val="16"/>
                <w:szCs w:val="16"/>
                <w:lang w:eastAsia="es-AR"/>
              </w:rPr>
            </w:pPr>
            <w:r w:rsidRPr="001A10B5">
              <w:rPr>
                <w:rFonts w:ascii="Arial" w:hAnsi="Arial" w:cs="Arial"/>
                <w:b/>
                <w:sz w:val="16"/>
                <w:szCs w:val="16"/>
                <w:lang w:eastAsia="es-AR"/>
              </w:rPr>
              <w:t>Otros pasivos financieros</w:t>
            </w:r>
          </w:p>
        </w:tc>
        <w:tc>
          <w:tcPr>
            <w:tcW w:w="1195" w:type="dxa"/>
            <w:tcBorders>
              <w:top w:val="nil"/>
              <w:left w:val="nil"/>
              <w:bottom w:val="nil"/>
              <w:right w:val="nil"/>
            </w:tcBorders>
            <w:vAlign w:val="bottom"/>
          </w:tcPr>
          <w:p w14:paraId="129DF08C" w14:textId="54B1FCFC" w:rsidR="0043794C" w:rsidRPr="001A10B5" w:rsidRDefault="00186CDF">
            <w:pPr>
              <w:jc w:val="right"/>
              <w:rPr>
                <w:rFonts w:ascii="Arial" w:hAnsi="Arial" w:cs="Arial"/>
                <w:sz w:val="16"/>
                <w:szCs w:val="16"/>
                <w:lang w:eastAsia="es-AR"/>
              </w:rPr>
            </w:pPr>
            <w:r>
              <w:rPr>
                <w:rFonts w:ascii="Arial" w:hAnsi="Arial" w:cs="Arial"/>
                <w:sz w:val="16"/>
                <w:szCs w:val="16"/>
                <w:lang w:eastAsia="es-AR"/>
              </w:rPr>
              <w:t>4.937.187</w:t>
            </w:r>
          </w:p>
        </w:tc>
        <w:tc>
          <w:tcPr>
            <w:tcW w:w="1017" w:type="dxa"/>
            <w:tcBorders>
              <w:top w:val="nil"/>
              <w:left w:val="nil"/>
              <w:bottom w:val="nil"/>
              <w:right w:val="nil"/>
            </w:tcBorders>
            <w:vAlign w:val="bottom"/>
          </w:tcPr>
          <w:p w14:paraId="5021F137" w14:textId="6B635FC8" w:rsidR="0043794C" w:rsidRPr="001A10B5" w:rsidRDefault="00186CDF">
            <w:pPr>
              <w:jc w:val="right"/>
              <w:rPr>
                <w:rFonts w:ascii="Arial" w:hAnsi="Arial" w:cs="Arial"/>
                <w:sz w:val="16"/>
                <w:szCs w:val="16"/>
                <w:lang w:eastAsia="es-AR"/>
              </w:rPr>
            </w:pPr>
            <w:r>
              <w:rPr>
                <w:rFonts w:ascii="Arial" w:hAnsi="Arial" w:cs="Arial"/>
                <w:sz w:val="16"/>
                <w:szCs w:val="16"/>
                <w:lang w:eastAsia="es-AR"/>
              </w:rPr>
              <w:t>355.005</w:t>
            </w:r>
          </w:p>
        </w:tc>
        <w:tc>
          <w:tcPr>
            <w:tcW w:w="1017" w:type="dxa"/>
            <w:tcBorders>
              <w:top w:val="nil"/>
              <w:left w:val="nil"/>
              <w:bottom w:val="nil"/>
              <w:right w:val="nil"/>
            </w:tcBorders>
            <w:vAlign w:val="bottom"/>
          </w:tcPr>
          <w:p w14:paraId="412FBA53" w14:textId="2164DF0F" w:rsidR="0043794C" w:rsidRPr="001A10B5" w:rsidRDefault="00186CDF">
            <w:pPr>
              <w:jc w:val="right"/>
              <w:rPr>
                <w:rFonts w:ascii="Arial" w:hAnsi="Arial" w:cs="Arial"/>
                <w:sz w:val="16"/>
                <w:szCs w:val="16"/>
                <w:lang w:eastAsia="es-AR"/>
              </w:rPr>
            </w:pPr>
            <w:r>
              <w:rPr>
                <w:rFonts w:ascii="Arial" w:hAnsi="Arial" w:cs="Arial"/>
                <w:sz w:val="16"/>
                <w:szCs w:val="16"/>
                <w:lang w:eastAsia="es-AR"/>
              </w:rPr>
              <w:t>430.979</w:t>
            </w:r>
          </w:p>
        </w:tc>
        <w:tc>
          <w:tcPr>
            <w:tcW w:w="980" w:type="dxa"/>
            <w:tcBorders>
              <w:top w:val="nil"/>
              <w:left w:val="nil"/>
              <w:bottom w:val="nil"/>
              <w:right w:val="nil"/>
            </w:tcBorders>
            <w:vAlign w:val="bottom"/>
          </w:tcPr>
          <w:p w14:paraId="5F0BD8D8" w14:textId="60732777" w:rsidR="0043794C" w:rsidRPr="001A10B5" w:rsidRDefault="00186CDF">
            <w:pPr>
              <w:jc w:val="right"/>
              <w:rPr>
                <w:rFonts w:ascii="Arial" w:hAnsi="Arial" w:cs="Arial"/>
                <w:sz w:val="16"/>
                <w:szCs w:val="16"/>
                <w:lang w:eastAsia="es-AR"/>
              </w:rPr>
            </w:pPr>
            <w:r>
              <w:rPr>
                <w:rFonts w:ascii="Arial" w:hAnsi="Arial" w:cs="Arial"/>
                <w:sz w:val="16"/>
                <w:szCs w:val="16"/>
                <w:lang w:eastAsia="es-AR"/>
              </w:rPr>
              <w:t>564.809</w:t>
            </w:r>
          </w:p>
        </w:tc>
        <w:tc>
          <w:tcPr>
            <w:tcW w:w="980" w:type="dxa"/>
            <w:tcBorders>
              <w:top w:val="nil"/>
              <w:left w:val="nil"/>
              <w:bottom w:val="nil"/>
              <w:right w:val="nil"/>
            </w:tcBorders>
            <w:vAlign w:val="bottom"/>
          </w:tcPr>
          <w:p w14:paraId="648AB660" w14:textId="3670DD54" w:rsidR="0043794C" w:rsidRPr="001A10B5" w:rsidRDefault="00186CDF">
            <w:pPr>
              <w:jc w:val="right"/>
              <w:rPr>
                <w:rFonts w:ascii="Arial" w:hAnsi="Arial" w:cs="Arial"/>
                <w:sz w:val="16"/>
                <w:szCs w:val="16"/>
                <w:lang w:eastAsia="es-AR"/>
              </w:rPr>
            </w:pPr>
            <w:r>
              <w:rPr>
                <w:rFonts w:ascii="Arial" w:hAnsi="Arial" w:cs="Arial"/>
                <w:sz w:val="16"/>
                <w:szCs w:val="16"/>
                <w:lang w:eastAsia="es-AR"/>
              </w:rPr>
              <w:t>337.255</w:t>
            </w:r>
          </w:p>
        </w:tc>
        <w:tc>
          <w:tcPr>
            <w:tcW w:w="1096" w:type="dxa"/>
            <w:tcBorders>
              <w:top w:val="nil"/>
              <w:left w:val="nil"/>
              <w:bottom w:val="nil"/>
              <w:right w:val="nil"/>
            </w:tcBorders>
            <w:vAlign w:val="bottom"/>
          </w:tcPr>
          <w:p w14:paraId="38836DE5" w14:textId="086915D3" w:rsidR="0043794C" w:rsidRPr="001A10B5" w:rsidRDefault="00186CDF">
            <w:pPr>
              <w:jc w:val="right"/>
              <w:rPr>
                <w:rFonts w:ascii="Arial" w:hAnsi="Arial" w:cs="Arial"/>
                <w:sz w:val="16"/>
                <w:szCs w:val="16"/>
                <w:lang w:eastAsia="es-AR"/>
              </w:rPr>
            </w:pPr>
            <w:r>
              <w:rPr>
                <w:rFonts w:ascii="Arial" w:hAnsi="Arial" w:cs="Arial"/>
                <w:sz w:val="16"/>
                <w:szCs w:val="16"/>
                <w:lang w:eastAsia="es-AR"/>
              </w:rPr>
              <w:t>326.316</w:t>
            </w:r>
          </w:p>
        </w:tc>
        <w:tc>
          <w:tcPr>
            <w:tcW w:w="1195" w:type="dxa"/>
            <w:tcBorders>
              <w:top w:val="nil"/>
              <w:left w:val="nil"/>
              <w:bottom w:val="nil"/>
              <w:right w:val="nil"/>
            </w:tcBorders>
            <w:vAlign w:val="bottom"/>
          </w:tcPr>
          <w:p w14:paraId="251BCF0C" w14:textId="03F62BA6" w:rsidR="0043794C" w:rsidRPr="001A10B5" w:rsidRDefault="00186CDF">
            <w:pPr>
              <w:jc w:val="right"/>
              <w:rPr>
                <w:rFonts w:ascii="Arial" w:hAnsi="Arial" w:cs="Arial"/>
                <w:sz w:val="16"/>
                <w:szCs w:val="16"/>
                <w:lang w:eastAsia="es-AR"/>
              </w:rPr>
            </w:pPr>
            <w:r>
              <w:rPr>
                <w:rFonts w:ascii="Arial" w:hAnsi="Arial" w:cs="Arial"/>
                <w:sz w:val="16"/>
                <w:szCs w:val="16"/>
                <w:lang w:eastAsia="es-AR"/>
              </w:rPr>
              <w:t>6.951.551</w:t>
            </w:r>
          </w:p>
        </w:tc>
      </w:tr>
      <w:tr w:rsidR="0043794C" w:rsidRPr="00326E79" w14:paraId="0D8A77BB" w14:textId="77777777" w:rsidTr="0023020F">
        <w:trPr>
          <w:trHeight w:val="102"/>
        </w:trPr>
        <w:tc>
          <w:tcPr>
            <w:tcW w:w="2977" w:type="dxa"/>
            <w:tcBorders>
              <w:top w:val="nil"/>
              <w:left w:val="nil"/>
              <w:bottom w:val="nil"/>
              <w:right w:val="nil"/>
            </w:tcBorders>
            <w:vAlign w:val="bottom"/>
          </w:tcPr>
          <w:p w14:paraId="0BF40A4D" w14:textId="77777777" w:rsidR="0043794C" w:rsidRPr="001A10B5" w:rsidRDefault="0043794C" w:rsidP="0043794C">
            <w:pPr>
              <w:rPr>
                <w:rFonts w:ascii="Arial" w:hAnsi="Arial" w:cs="Arial"/>
                <w:b/>
                <w:sz w:val="16"/>
                <w:szCs w:val="16"/>
                <w:lang w:eastAsia="es-AR"/>
              </w:rPr>
            </w:pPr>
          </w:p>
        </w:tc>
        <w:tc>
          <w:tcPr>
            <w:tcW w:w="1195" w:type="dxa"/>
            <w:tcBorders>
              <w:top w:val="nil"/>
              <w:left w:val="nil"/>
              <w:bottom w:val="nil"/>
              <w:right w:val="nil"/>
            </w:tcBorders>
            <w:vAlign w:val="bottom"/>
          </w:tcPr>
          <w:p w14:paraId="2C3BD569" w14:textId="77777777" w:rsidR="0043794C" w:rsidRPr="004708CB"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0E76E1C8" w14:textId="77777777" w:rsidR="0043794C" w:rsidRPr="00F77F7F"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01C077D2" w14:textId="77777777" w:rsidR="0043794C" w:rsidRPr="0012241E"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4FC175AD" w14:textId="77777777" w:rsidR="0043794C" w:rsidRPr="00B85009"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4BCC4524" w14:textId="77777777" w:rsidR="0043794C" w:rsidRPr="00EC10A9" w:rsidRDefault="0043794C">
            <w:pPr>
              <w:jc w:val="right"/>
              <w:rPr>
                <w:rFonts w:ascii="Arial" w:hAnsi="Arial" w:cs="Arial"/>
                <w:sz w:val="16"/>
                <w:szCs w:val="16"/>
                <w:lang w:eastAsia="es-AR"/>
              </w:rPr>
            </w:pPr>
          </w:p>
        </w:tc>
        <w:tc>
          <w:tcPr>
            <w:tcW w:w="1096" w:type="dxa"/>
            <w:tcBorders>
              <w:top w:val="nil"/>
              <w:left w:val="nil"/>
              <w:bottom w:val="nil"/>
              <w:right w:val="nil"/>
            </w:tcBorders>
            <w:vAlign w:val="bottom"/>
          </w:tcPr>
          <w:p w14:paraId="76855802" w14:textId="77777777" w:rsidR="0043794C" w:rsidRPr="003D4ED0" w:rsidRDefault="0043794C">
            <w:pPr>
              <w:jc w:val="right"/>
              <w:rPr>
                <w:rFonts w:ascii="Arial" w:hAnsi="Arial" w:cs="Arial"/>
                <w:sz w:val="16"/>
                <w:szCs w:val="16"/>
                <w:lang w:eastAsia="es-AR"/>
              </w:rPr>
            </w:pPr>
          </w:p>
        </w:tc>
        <w:tc>
          <w:tcPr>
            <w:tcW w:w="1195" w:type="dxa"/>
            <w:tcBorders>
              <w:top w:val="nil"/>
              <w:left w:val="nil"/>
              <w:bottom w:val="nil"/>
              <w:right w:val="nil"/>
            </w:tcBorders>
            <w:vAlign w:val="bottom"/>
          </w:tcPr>
          <w:p w14:paraId="748E2E13" w14:textId="77777777" w:rsidR="0043794C" w:rsidRPr="00066653" w:rsidRDefault="0043794C">
            <w:pPr>
              <w:jc w:val="right"/>
              <w:rPr>
                <w:rFonts w:ascii="Arial" w:hAnsi="Arial" w:cs="Arial"/>
                <w:sz w:val="16"/>
                <w:szCs w:val="16"/>
                <w:lang w:eastAsia="es-AR"/>
              </w:rPr>
            </w:pPr>
          </w:p>
        </w:tc>
      </w:tr>
      <w:tr w:rsidR="0043794C" w:rsidRPr="00326E79" w14:paraId="4ABF84D4" w14:textId="77777777" w:rsidTr="0023020F">
        <w:trPr>
          <w:trHeight w:val="403"/>
        </w:trPr>
        <w:tc>
          <w:tcPr>
            <w:tcW w:w="2977" w:type="dxa"/>
            <w:tcBorders>
              <w:top w:val="nil"/>
              <w:left w:val="nil"/>
              <w:bottom w:val="nil"/>
              <w:right w:val="nil"/>
            </w:tcBorders>
            <w:vAlign w:val="bottom"/>
          </w:tcPr>
          <w:p w14:paraId="433019A8" w14:textId="2301C8FC" w:rsidR="0043794C" w:rsidRPr="004708CB" w:rsidRDefault="0043794C" w:rsidP="0043794C">
            <w:pPr>
              <w:rPr>
                <w:rFonts w:ascii="Arial" w:hAnsi="Arial" w:cs="Arial"/>
                <w:b/>
                <w:sz w:val="16"/>
                <w:szCs w:val="16"/>
                <w:lang w:eastAsia="es-AR"/>
              </w:rPr>
            </w:pPr>
            <w:r w:rsidRPr="001A10B5">
              <w:rPr>
                <w:rFonts w:ascii="Arial" w:hAnsi="Arial" w:cs="Arial"/>
                <w:b/>
                <w:sz w:val="16"/>
                <w:szCs w:val="16"/>
                <w:lang w:eastAsia="es-AR"/>
              </w:rPr>
              <w:t xml:space="preserve">Financiaciones recibidas del BCRA y otras </w:t>
            </w:r>
            <w:r w:rsidRPr="004708CB">
              <w:rPr>
                <w:rFonts w:ascii="Arial" w:hAnsi="Arial" w:cs="Arial"/>
                <w:b/>
                <w:sz w:val="16"/>
                <w:szCs w:val="16"/>
                <w:lang w:eastAsia="es-AR"/>
              </w:rPr>
              <w:t>instituciones financieras</w:t>
            </w:r>
          </w:p>
        </w:tc>
        <w:tc>
          <w:tcPr>
            <w:tcW w:w="1195" w:type="dxa"/>
            <w:tcBorders>
              <w:top w:val="nil"/>
              <w:left w:val="nil"/>
              <w:bottom w:val="nil"/>
              <w:right w:val="nil"/>
            </w:tcBorders>
            <w:vAlign w:val="bottom"/>
          </w:tcPr>
          <w:p w14:paraId="275523BD" w14:textId="256B19C2" w:rsidR="0043794C" w:rsidRPr="001A10B5" w:rsidRDefault="00206B9E">
            <w:pPr>
              <w:jc w:val="right"/>
              <w:rPr>
                <w:rFonts w:ascii="Arial" w:hAnsi="Arial" w:cs="Arial"/>
                <w:sz w:val="16"/>
                <w:szCs w:val="16"/>
                <w:lang w:eastAsia="es-AR"/>
              </w:rPr>
            </w:pPr>
            <w:r>
              <w:rPr>
                <w:rFonts w:ascii="Arial" w:hAnsi="Arial" w:cs="Arial"/>
                <w:sz w:val="16"/>
                <w:szCs w:val="16"/>
                <w:lang w:eastAsia="es-AR"/>
              </w:rPr>
              <w:t>533.950</w:t>
            </w:r>
          </w:p>
        </w:tc>
        <w:tc>
          <w:tcPr>
            <w:tcW w:w="1017" w:type="dxa"/>
            <w:tcBorders>
              <w:top w:val="nil"/>
              <w:left w:val="nil"/>
              <w:bottom w:val="nil"/>
              <w:right w:val="nil"/>
            </w:tcBorders>
            <w:vAlign w:val="bottom"/>
          </w:tcPr>
          <w:p w14:paraId="0848DE1C" w14:textId="2565A0D5" w:rsidR="0043794C" w:rsidRPr="001A10B5" w:rsidRDefault="00206B9E">
            <w:pPr>
              <w:jc w:val="right"/>
              <w:rPr>
                <w:rFonts w:ascii="Arial" w:hAnsi="Arial" w:cs="Arial"/>
                <w:sz w:val="16"/>
                <w:szCs w:val="16"/>
                <w:lang w:eastAsia="es-AR"/>
              </w:rPr>
            </w:pPr>
            <w:r>
              <w:rPr>
                <w:rFonts w:ascii="Arial" w:hAnsi="Arial" w:cs="Arial"/>
                <w:sz w:val="16"/>
                <w:szCs w:val="16"/>
                <w:lang w:eastAsia="es-AR"/>
              </w:rPr>
              <w:t>7.325.178</w:t>
            </w:r>
          </w:p>
        </w:tc>
        <w:tc>
          <w:tcPr>
            <w:tcW w:w="1017" w:type="dxa"/>
            <w:tcBorders>
              <w:top w:val="nil"/>
              <w:left w:val="nil"/>
              <w:bottom w:val="nil"/>
              <w:right w:val="nil"/>
            </w:tcBorders>
            <w:vAlign w:val="bottom"/>
          </w:tcPr>
          <w:p w14:paraId="6E7D807B" w14:textId="1D0EB583" w:rsidR="0043794C" w:rsidRPr="001A10B5" w:rsidRDefault="00E617EE">
            <w:pPr>
              <w:jc w:val="right"/>
              <w:rPr>
                <w:rFonts w:ascii="Arial" w:hAnsi="Arial" w:cs="Arial"/>
                <w:sz w:val="16"/>
                <w:szCs w:val="16"/>
                <w:lang w:eastAsia="es-AR"/>
              </w:rPr>
            </w:pPr>
            <w:r>
              <w:rPr>
                <w:rFonts w:ascii="Arial" w:hAnsi="Arial" w:cs="Arial"/>
                <w:sz w:val="16"/>
                <w:szCs w:val="16"/>
                <w:lang w:eastAsia="es-AR"/>
              </w:rPr>
              <w:t>211.519</w:t>
            </w:r>
          </w:p>
        </w:tc>
        <w:tc>
          <w:tcPr>
            <w:tcW w:w="980" w:type="dxa"/>
            <w:tcBorders>
              <w:top w:val="nil"/>
              <w:left w:val="nil"/>
              <w:bottom w:val="nil"/>
              <w:right w:val="nil"/>
            </w:tcBorders>
            <w:vAlign w:val="bottom"/>
          </w:tcPr>
          <w:p w14:paraId="5FB6E43F" w14:textId="0927CDF3" w:rsidR="0043794C" w:rsidRPr="001A10B5" w:rsidRDefault="00E617EE">
            <w:pPr>
              <w:jc w:val="right"/>
              <w:rPr>
                <w:rFonts w:ascii="Arial" w:hAnsi="Arial" w:cs="Arial"/>
                <w:sz w:val="16"/>
                <w:szCs w:val="16"/>
                <w:lang w:eastAsia="es-AR"/>
              </w:rPr>
            </w:pPr>
            <w:r>
              <w:rPr>
                <w:rFonts w:ascii="Arial" w:hAnsi="Arial" w:cs="Arial"/>
                <w:sz w:val="16"/>
                <w:szCs w:val="16"/>
                <w:lang w:eastAsia="es-AR"/>
              </w:rPr>
              <w:t>269.775</w:t>
            </w:r>
          </w:p>
        </w:tc>
        <w:tc>
          <w:tcPr>
            <w:tcW w:w="980" w:type="dxa"/>
            <w:tcBorders>
              <w:top w:val="nil"/>
              <w:left w:val="nil"/>
              <w:bottom w:val="nil"/>
              <w:right w:val="nil"/>
            </w:tcBorders>
            <w:vAlign w:val="bottom"/>
          </w:tcPr>
          <w:p w14:paraId="065F1E94" w14:textId="19B2A08B" w:rsidR="0043794C" w:rsidRPr="001A10B5" w:rsidRDefault="00E617EE">
            <w:pPr>
              <w:jc w:val="right"/>
              <w:rPr>
                <w:rFonts w:ascii="Arial" w:hAnsi="Arial" w:cs="Arial"/>
                <w:sz w:val="16"/>
                <w:szCs w:val="16"/>
                <w:lang w:eastAsia="es-AR"/>
              </w:rPr>
            </w:pPr>
            <w:r>
              <w:rPr>
                <w:rFonts w:ascii="Arial" w:hAnsi="Arial" w:cs="Arial"/>
                <w:sz w:val="16"/>
                <w:szCs w:val="16"/>
                <w:lang w:eastAsia="es-AR"/>
              </w:rPr>
              <w:t>454.867</w:t>
            </w:r>
          </w:p>
        </w:tc>
        <w:tc>
          <w:tcPr>
            <w:tcW w:w="1096" w:type="dxa"/>
            <w:tcBorders>
              <w:top w:val="nil"/>
              <w:left w:val="nil"/>
              <w:bottom w:val="nil"/>
              <w:right w:val="nil"/>
            </w:tcBorders>
            <w:vAlign w:val="bottom"/>
          </w:tcPr>
          <w:p w14:paraId="0A24D781" w14:textId="1C9B27C8" w:rsidR="0043794C" w:rsidRPr="001A10B5" w:rsidRDefault="00E617EE">
            <w:pPr>
              <w:jc w:val="right"/>
              <w:rPr>
                <w:rFonts w:ascii="Arial" w:hAnsi="Arial" w:cs="Arial"/>
                <w:sz w:val="16"/>
                <w:szCs w:val="16"/>
                <w:lang w:eastAsia="es-AR"/>
              </w:rPr>
            </w:pPr>
            <w:r>
              <w:rPr>
                <w:rFonts w:ascii="Arial" w:hAnsi="Arial" w:cs="Arial"/>
                <w:sz w:val="16"/>
                <w:szCs w:val="16"/>
                <w:lang w:eastAsia="es-AR"/>
              </w:rPr>
              <w:t>209.573</w:t>
            </w:r>
          </w:p>
        </w:tc>
        <w:tc>
          <w:tcPr>
            <w:tcW w:w="1195" w:type="dxa"/>
            <w:tcBorders>
              <w:top w:val="nil"/>
              <w:left w:val="nil"/>
              <w:bottom w:val="nil"/>
              <w:right w:val="nil"/>
            </w:tcBorders>
            <w:vAlign w:val="bottom"/>
          </w:tcPr>
          <w:p w14:paraId="426C2B22" w14:textId="2AD0E764" w:rsidR="0043794C" w:rsidRPr="001A10B5" w:rsidRDefault="00E617EE">
            <w:pPr>
              <w:jc w:val="right"/>
              <w:rPr>
                <w:rFonts w:ascii="Arial" w:hAnsi="Arial" w:cs="Arial"/>
                <w:sz w:val="16"/>
                <w:szCs w:val="16"/>
                <w:lang w:eastAsia="es-AR"/>
              </w:rPr>
            </w:pPr>
            <w:r>
              <w:rPr>
                <w:rFonts w:ascii="Arial" w:hAnsi="Arial" w:cs="Arial"/>
                <w:sz w:val="16"/>
                <w:szCs w:val="16"/>
                <w:lang w:eastAsia="es-AR"/>
              </w:rPr>
              <w:t>9.004.862</w:t>
            </w:r>
          </w:p>
        </w:tc>
      </w:tr>
      <w:tr w:rsidR="0043794C" w:rsidRPr="00326E79" w14:paraId="44617732" w14:textId="77777777" w:rsidTr="0023020F">
        <w:trPr>
          <w:trHeight w:val="102"/>
        </w:trPr>
        <w:tc>
          <w:tcPr>
            <w:tcW w:w="2977" w:type="dxa"/>
            <w:tcBorders>
              <w:top w:val="nil"/>
              <w:left w:val="nil"/>
              <w:bottom w:val="nil"/>
              <w:right w:val="nil"/>
            </w:tcBorders>
            <w:vAlign w:val="bottom"/>
          </w:tcPr>
          <w:p w14:paraId="142624E4" w14:textId="77777777" w:rsidR="0043794C" w:rsidRPr="001A10B5" w:rsidRDefault="0043794C" w:rsidP="0043794C">
            <w:pPr>
              <w:rPr>
                <w:rFonts w:ascii="Arial" w:hAnsi="Arial" w:cs="Arial"/>
                <w:b/>
                <w:sz w:val="16"/>
                <w:szCs w:val="16"/>
                <w:lang w:eastAsia="es-AR"/>
              </w:rPr>
            </w:pPr>
          </w:p>
        </w:tc>
        <w:tc>
          <w:tcPr>
            <w:tcW w:w="1195" w:type="dxa"/>
            <w:tcBorders>
              <w:top w:val="nil"/>
              <w:left w:val="nil"/>
              <w:bottom w:val="nil"/>
              <w:right w:val="nil"/>
            </w:tcBorders>
            <w:vAlign w:val="bottom"/>
          </w:tcPr>
          <w:p w14:paraId="1662008B" w14:textId="77777777" w:rsidR="0043794C" w:rsidRPr="004708CB"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48BB9370" w14:textId="77777777" w:rsidR="0043794C" w:rsidRPr="00F77F7F"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5F13F957" w14:textId="77777777" w:rsidR="0043794C" w:rsidRPr="0012241E"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1C516DA7" w14:textId="77777777" w:rsidR="0043794C" w:rsidRPr="00B85009"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7AE85A7C" w14:textId="77777777" w:rsidR="0043794C" w:rsidRPr="00EC10A9" w:rsidRDefault="0043794C">
            <w:pPr>
              <w:jc w:val="right"/>
              <w:rPr>
                <w:rFonts w:ascii="Arial" w:hAnsi="Arial" w:cs="Arial"/>
                <w:sz w:val="16"/>
                <w:szCs w:val="16"/>
                <w:lang w:eastAsia="es-AR"/>
              </w:rPr>
            </w:pPr>
          </w:p>
        </w:tc>
        <w:tc>
          <w:tcPr>
            <w:tcW w:w="1096" w:type="dxa"/>
            <w:tcBorders>
              <w:top w:val="nil"/>
              <w:left w:val="nil"/>
              <w:bottom w:val="nil"/>
              <w:right w:val="nil"/>
            </w:tcBorders>
            <w:vAlign w:val="bottom"/>
          </w:tcPr>
          <w:p w14:paraId="3EE43771" w14:textId="77777777" w:rsidR="0043794C" w:rsidRPr="003D4ED0" w:rsidRDefault="0043794C">
            <w:pPr>
              <w:jc w:val="right"/>
              <w:rPr>
                <w:rFonts w:ascii="Arial" w:hAnsi="Arial" w:cs="Arial"/>
                <w:sz w:val="16"/>
                <w:szCs w:val="16"/>
                <w:lang w:eastAsia="es-AR"/>
              </w:rPr>
            </w:pPr>
          </w:p>
        </w:tc>
        <w:tc>
          <w:tcPr>
            <w:tcW w:w="1195" w:type="dxa"/>
            <w:tcBorders>
              <w:top w:val="nil"/>
              <w:left w:val="nil"/>
              <w:bottom w:val="nil"/>
              <w:right w:val="nil"/>
            </w:tcBorders>
            <w:vAlign w:val="bottom"/>
          </w:tcPr>
          <w:p w14:paraId="542FAF35" w14:textId="77777777" w:rsidR="0043794C" w:rsidRPr="00066653" w:rsidRDefault="0043794C">
            <w:pPr>
              <w:jc w:val="right"/>
              <w:rPr>
                <w:rFonts w:ascii="Arial" w:hAnsi="Arial" w:cs="Arial"/>
                <w:sz w:val="16"/>
                <w:szCs w:val="16"/>
                <w:lang w:eastAsia="es-AR"/>
              </w:rPr>
            </w:pPr>
          </w:p>
        </w:tc>
      </w:tr>
      <w:tr w:rsidR="0043794C" w:rsidRPr="00326E79" w14:paraId="43541D0F" w14:textId="77777777" w:rsidTr="0023020F">
        <w:trPr>
          <w:trHeight w:val="403"/>
        </w:trPr>
        <w:tc>
          <w:tcPr>
            <w:tcW w:w="2977" w:type="dxa"/>
            <w:tcBorders>
              <w:top w:val="nil"/>
              <w:left w:val="nil"/>
              <w:bottom w:val="nil"/>
              <w:right w:val="nil"/>
            </w:tcBorders>
            <w:vAlign w:val="bottom"/>
          </w:tcPr>
          <w:p w14:paraId="59AB93B7" w14:textId="7AC6535F" w:rsidR="0043794C" w:rsidRPr="001A10B5" w:rsidRDefault="0043794C" w:rsidP="0043794C">
            <w:pPr>
              <w:rPr>
                <w:rFonts w:ascii="Arial" w:hAnsi="Arial" w:cs="Arial"/>
                <w:b/>
                <w:sz w:val="16"/>
                <w:szCs w:val="16"/>
                <w:lang w:eastAsia="es-AR"/>
              </w:rPr>
            </w:pPr>
            <w:r w:rsidRPr="001A10B5">
              <w:rPr>
                <w:rFonts w:ascii="Arial" w:hAnsi="Arial" w:cs="Arial"/>
                <w:b/>
                <w:sz w:val="16"/>
                <w:szCs w:val="16"/>
                <w:lang w:eastAsia="es-AR"/>
              </w:rPr>
              <w:t>Obligaciones negociables emitidas</w:t>
            </w:r>
          </w:p>
        </w:tc>
        <w:tc>
          <w:tcPr>
            <w:tcW w:w="1195" w:type="dxa"/>
            <w:tcBorders>
              <w:top w:val="nil"/>
              <w:left w:val="nil"/>
              <w:bottom w:val="nil"/>
              <w:right w:val="nil"/>
            </w:tcBorders>
            <w:vAlign w:val="bottom"/>
          </w:tcPr>
          <w:p w14:paraId="264EBF01" w14:textId="2B49BB79" w:rsidR="0043794C" w:rsidRPr="004708CB" w:rsidRDefault="00E617EE">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360255F1" w14:textId="3D441AF2" w:rsidR="0043794C" w:rsidRPr="0012241E" w:rsidRDefault="00E617EE">
            <w:pPr>
              <w:jc w:val="right"/>
              <w:rPr>
                <w:rFonts w:ascii="Arial" w:hAnsi="Arial" w:cs="Arial"/>
                <w:sz w:val="16"/>
                <w:szCs w:val="16"/>
                <w:lang w:eastAsia="es-AR"/>
              </w:rPr>
            </w:pPr>
            <w:r>
              <w:rPr>
                <w:rFonts w:ascii="Arial" w:hAnsi="Arial" w:cs="Arial"/>
                <w:sz w:val="16"/>
                <w:szCs w:val="16"/>
                <w:lang w:eastAsia="es-AR"/>
              </w:rPr>
              <w:t>251.042</w:t>
            </w:r>
          </w:p>
        </w:tc>
        <w:tc>
          <w:tcPr>
            <w:tcW w:w="1017" w:type="dxa"/>
            <w:tcBorders>
              <w:top w:val="nil"/>
              <w:left w:val="nil"/>
              <w:bottom w:val="nil"/>
              <w:right w:val="nil"/>
            </w:tcBorders>
            <w:vAlign w:val="bottom"/>
          </w:tcPr>
          <w:p w14:paraId="12A7CA75" w14:textId="16C9EB98" w:rsidR="0043794C" w:rsidRPr="00EC10A9" w:rsidRDefault="00E617EE">
            <w:pPr>
              <w:jc w:val="right"/>
              <w:rPr>
                <w:rFonts w:ascii="Arial" w:hAnsi="Arial" w:cs="Arial"/>
                <w:sz w:val="16"/>
                <w:szCs w:val="16"/>
                <w:lang w:eastAsia="es-AR"/>
              </w:rPr>
            </w:pPr>
            <w:r>
              <w:rPr>
                <w:rFonts w:ascii="Arial" w:hAnsi="Arial" w:cs="Arial"/>
                <w:sz w:val="16"/>
                <w:szCs w:val="16"/>
                <w:lang w:eastAsia="es-AR"/>
              </w:rPr>
              <w:t>1.229.249</w:t>
            </w:r>
          </w:p>
        </w:tc>
        <w:tc>
          <w:tcPr>
            <w:tcW w:w="980" w:type="dxa"/>
            <w:tcBorders>
              <w:top w:val="nil"/>
              <w:left w:val="nil"/>
              <w:bottom w:val="nil"/>
              <w:right w:val="nil"/>
            </w:tcBorders>
            <w:vAlign w:val="bottom"/>
          </w:tcPr>
          <w:p w14:paraId="4A0E9E0E" w14:textId="0948798E" w:rsidR="0043794C" w:rsidRPr="00066653" w:rsidRDefault="00E617EE">
            <w:pPr>
              <w:jc w:val="right"/>
              <w:rPr>
                <w:rFonts w:ascii="Arial" w:hAnsi="Arial" w:cs="Arial"/>
                <w:sz w:val="16"/>
                <w:szCs w:val="16"/>
                <w:lang w:eastAsia="es-AR"/>
              </w:rPr>
            </w:pPr>
            <w:r>
              <w:rPr>
                <w:rFonts w:ascii="Arial" w:hAnsi="Arial" w:cs="Arial"/>
                <w:sz w:val="16"/>
                <w:szCs w:val="16"/>
                <w:lang w:eastAsia="es-AR"/>
              </w:rPr>
              <w:t>1.107.575</w:t>
            </w:r>
          </w:p>
        </w:tc>
        <w:tc>
          <w:tcPr>
            <w:tcW w:w="980" w:type="dxa"/>
            <w:tcBorders>
              <w:top w:val="nil"/>
              <w:left w:val="nil"/>
              <w:bottom w:val="nil"/>
              <w:right w:val="nil"/>
            </w:tcBorders>
            <w:vAlign w:val="bottom"/>
          </w:tcPr>
          <w:p w14:paraId="2DD257BA" w14:textId="2D2608B9" w:rsidR="0043794C" w:rsidRPr="00066653" w:rsidRDefault="00E617EE">
            <w:pPr>
              <w:jc w:val="right"/>
              <w:rPr>
                <w:rFonts w:ascii="Arial" w:hAnsi="Arial" w:cs="Arial"/>
                <w:sz w:val="16"/>
                <w:szCs w:val="16"/>
                <w:lang w:eastAsia="es-AR"/>
              </w:rPr>
            </w:pPr>
            <w:r>
              <w:rPr>
                <w:rFonts w:ascii="Arial" w:hAnsi="Arial" w:cs="Arial"/>
                <w:sz w:val="16"/>
                <w:szCs w:val="16"/>
                <w:lang w:eastAsia="es-AR"/>
              </w:rPr>
              <w:t>1.625.196</w:t>
            </w:r>
          </w:p>
        </w:tc>
        <w:tc>
          <w:tcPr>
            <w:tcW w:w="1096" w:type="dxa"/>
            <w:tcBorders>
              <w:top w:val="nil"/>
              <w:left w:val="nil"/>
              <w:bottom w:val="nil"/>
              <w:right w:val="nil"/>
            </w:tcBorders>
            <w:vAlign w:val="bottom"/>
          </w:tcPr>
          <w:p w14:paraId="797C4FD6" w14:textId="3724569E" w:rsidR="0043794C" w:rsidRPr="00066653" w:rsidRDefault="00E617EE">
            <w:pPr>
              <w:jc w:val="right"/>
              <w:rPr>
                <w:rFonts w:ascii="Arial" w:hAnsi="Arial" w:cs="Arial"/>
                <w:sz w:val="16"/>
                <w:szCs w:val="16"/>
                <w:lang w:eastAsia="es-AR"/>
              </w:rPr>
            </w:pPr>
            <w:r>
              <w:rPr>
                <w:rFonts w:ascii="Arial" w:hAnsi="Arial" w:cs="Arial"/>
                <w:sz w:val="16"/>
                <w:szCs w:val="16"/>
                <w:lang w:eastAsia="es-AR"/>
              </w:rPr>
              <w:t>1.027.232</w:t>
            </w:r>
          </w:p>
        </w:tc>
        <w:tc>
          <w:tcPr>
            <w:tcW w:w="1195" w:type="dxa"/>
            <w:tcBorders>
              <w:top w:val="nil"/>
              <w:left w:val="nil"/>
              <w:bottom w:val="nil"/>
              <w:right w:val="nil"/>
            </w:tcBorders>
            <w:vAlign w:val="bottom"/>
          </w:tcPr>
          <w:p w14:paraId="310FB9B5" w14:textId="2B444B5F" w:rsidR="0043794C" w:rsidRPr="00066653" w:rsidRDefault="00E617EE">
            <w:pPr>
              <w:jc w:val="right"/>
              <w:rPr>
                <w:rFonts w:ascii="Arial" w:hAnsi="Arial" w:cs="Arial"/>
                <w:sz w:val="16"/>
                <w:szCs w:val="16"/>
                <w:lang w:eastAsia="es-AR"/>
              </w:rPr>
            </w:pPr>
            <w:r>
              <w:rPr>
                <w:rFonts w:ascii="Arial" w:hAnsi="Arial" w:cs="Arial"/>
                <w:sz w:val="16"/>
                <w:szCs w:val="16"/>
                <w:lang w:eastAsia="es-AR"/>
              </w:rPr>
              <w:t>5.240.294</w:t>
            </w:r>
          </w:p>
        </w:tc>
      </w:tr>
      <w:tr w:rsidR="0043794C" w:rsidRPr="00326E79" w14:paraId="043013D3" w14:textId="77777777" w:rsidTr="0023020F">
        <w:trPr>
          <w:trHeight w:val="102"/>
        </w:trPr>
        <w:tc>
          <w:tcPr>
            <w:tcW w:w="2977" w:type="dxa"/>
            <w:tcBorders>
              <w:top w:val="nil"/>
              <w:left w:val="nil"/>
              <w:bottom w:val="nil"/>
              <w:right w:val="nil"/>
            </w:tcBorders>
            <w:vAlign w:val="bottom"/>
          </w:tcPr>
          <w:p w14:paraId="4FC97731" w14:textId="77777777" w:rsidR="0043794C" w:rsidRPr="001A10B5" w:rsidRDefault="0043794C" w:rsidP="0043794C">
            <w:pPr>
              <w:rPr>
                <w:rFonts w:ascii="Arial" w:hAnsi="Arial" w:cs="Arial"/>
                <w:b/>
                <w:sz w:val="16"/>
                <w:szCs w:val="16"/>
                <w:lang w:eastAsia="es-AR"/>
              </w:rPr>
            </w:pPr>
          </w:p>
        </w:tc>
        <w:tc>
          <w:tcPr>
            <w:tcW w:w="1195" w:type="dxa"/>
            <w:tcBorders>
              <w:top w:val="nil"/>
              <w:left w:val="nil"/>
              <w:bottom w:val="nil"/>
              <w:right w:val="nil"/>
            </w:tcBorders>
            <w:vAlign w:val="bottom"/>
          </w:tcPr>
          <w:p w14:paraId="7EEE65BE" w14:textId="77777777" w:rsidR="0043794C" w:rsidRPr="004708CB"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1AC22D27" w14:textId="77777777" w:rsidR="0043794C" w:rsidRPr="00F77F7F" w:rsidRDefault="0043794C">
            <w:pPr>
              <w:jc w:val="right"/>
              <w:rPr>
                <w:rFonts w:ascii="Arial" w:hAnsi="Arial" w:cs="Arial"/>
                <w:sz w:val="16"/>
                <w:szCs w:val="16"/>
                <w:lang w:eastAsia="es-AR"/>
              </w:rPr>
            </w:pPr>
          </w:p>
        </w:tc>
        <w:tc>
          <w:tcPr>
            <w:tcW w:w="1017" w:type="dxa"/>
            <w:tcBorders>
              <w:top w:val="nil"/>
              <w:left w:val="nil"/>
              <w:bottom w:val="nil"/>
              <w:right w:val="nil"/>
            </w:tcBorders>
            <w:vAlign w:val="bottom"/>
          </w:tcPr>
          <w:p w14:paraId="264ADFDA" w14:textId="77777777" w:rsidR="0043794C" w:rsidRPr="0012241E"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217A67E4" w14:textId="77777777" w:rsidR="0043794C" w:rsidRPr="00B85009" w:rsidRDefault="0043794C">
            <w:pPr>
              <w:jc w:val="right"/>
              <w:rPr>
                <w:rFonts w:ascii="Arial" w:hAnsi="Arial" w:cs="Arial"/>
                <w:sz w:val="16"/>
                <w:szCs w:val="16"/>
                <w:lang w:eastAsia="es-AR"/>
              </w:rPr>
            </w:pPr>
          </w:p>
        </w:tc>
        <w:tc>
          <w:tcPr>
            <w:tcW w:w="980" w:type="dxa"/>
            <w:tcBorders>
              <w:top w:val="nil"/>
              <w:left w:val="nil"/>
              <w:bottom w:val="nil"/>
              <w:right w:val="nil"/>
            </w:tcBorders>
            <w:vAlign w:val="bottom"/>
          </w:tcPr>
          <w:p w14:paraId="6FF06A6B" w14:textId="77777777" w:rsidR="0043794C" w:rsidRPr="00EC10A9" w:rsidRDefault="0043794C">
            <w:pPr>
              <w:jc w:val="right"/>
              <w:rPr>
                <w:rFonts w:ascii="Arial" w:hAnsi="Arial" w:cs="Arial"/>
                <w:sz w:val="16"/>
                <w:szCs w:val="16"/>
                <w:lang w:eastAsia="es-AR"/>
              </w:rPr>
            </w:pPr>
          </w:p>
        </w:tc>
        <w:tc>
          <w:tcPr>
            <w:tcW w:w="1096" w:type="dxa"/>
            <w:tcBorders>
              <w:top w:val="nil"/>
              <w:left w:val="nil"/>
              <w:bottom w:val="nil"/>
              <w:right w:val="nil"/>
            </w:tcBorders>
            <w:vAlign w:val="bottom"/>
          </w:tcPr>
          <w:p w14:paraId="752F8DD8" w14:textId="77777777" w:rsidR="0043794C" w:rsidRPr="003D4ED0" w:rsidRDefault="0043794C">
            <w:pPr>
              <w:jc w:val="right"/>
              <w:rPr>
                <w:rFonts w:ascii="Arial" w:hAnsi="Arial" w:cs="Arial"/>
                <w:sz w:val="16"/>
                <w:szCs w:val="16"/>
                <w:lang w:eastAsia="es-AR"/>
              </w:rPr>
            </w:pPr>
          </w:p>
        </w:tc>
        <w:tc>
          <w:tcPr>
            <w:tcW w:w="1195" w:type="dxa"/>
            <w:tcBorders>
              <w:top w:val="nil"/>
              <w:left w:val="nil"/>
              <w:bottom w:val="nil"/>
              <w:right w:val="nil"/>
            </w:tcBorders>
            <w:vAlign w:val="bottom"/>
          </w:tcPr>
          <w:p w14:paraId="3C6184CA" w14:textId="77777777" w:rsidR="0043794C" w:rsidRPr="00066653" w:rsidRDefault="0043794C">
            <w:pPr>
              <w:jc w:val="right"/>
              <w:rPr>
                <w:rFonts w:ascii="Arial" w:hAnsi="Arial" w:cs="Arial"/>
                <w:sz w:val="16"/>
                <w:szCs w:val="16"/>
                <w:lang w:eastAsia="es-AR"/>
              </w:rPr>
            </w:pPr>
          </w:p>
        </w:tc>
      </w:tr>
      <w:tr w:rsidR="0043794C" w:rsidRPr="00326E79" w14:paraId="3E82F654" w14:textId="77777777" w:rsidTr="0023020F">
        <w:trPr>
          <w:trHeight w:val="403"/>
        </w:trPr>
        <w:tc>
          <w:tcPr>
            <w:tcW w:w="2977" w:type="dxa"/>
            <w:tcBorders>
              <w:top w:val="nil"/>
              <w:left w:val="nil"/>
              <w:bottom w:val="nil"/>
              <w:right w:val="nil"/>
            </w:tcBorders>
            <w:vAlign w:val="bottom"/>
          </w:tcPr>
          <w:p w14:paraId="64B44943" w14:textId="5C8DD412" w:rsidR="0043794C" w:rsidRPr="004708CB" w:rsidRDefault="0043794C" w:rsidP="0043794C">
            <w:pPr>
              <w:rPr>
                <w:rFonts w:ascii="Arial" w:hAnsi="Arial" w:cs="Arial"/>
                <w:b/>
                <w:sz w:val="16"/>
                <w:szCs w:val="16"/>
                <w:lang w:eastAsia="es-AR"/>
              </w:rPr>
            </w:pPr>
            <w:r w:rsidRPr="001A10B5">
              <w:rPr>
                <w:rFonts w:ascii="Arial" w:hAnsi="Arial" w:cs="Arial"/>
                <w:b/>
                <w:sz w:val="16"/>
                <w:szCs w:val="16"/>
                <w:lang w:eastAsia="es-AR"/>
              </w:rPr>
              <w:t>Obligaciones negociables subordinadas</w:t>
            </w:r>
          </w:p>
        </w:tc>
        <w:tc>
          <w:tcPr>
            <w:tcW w:w="1195" w:type="dxa"/>
            <w:tcBorders>
              <w:top w:val="nil"/>
              <w:left w:val="nil"/>
              <w:bottom w:val="nil"/>
              <w:right w:val="nil"/>
            </w:tcBorders>
            <w:vAlign w:val="bottom"/>
          </w:tcPr>
          <w:p w14:paraId="736B83B3" w14:textId="760C47C9" w:rsidR="0043794C" w:rsidRPr="0012241E" w:rsidRDefault="00E617EE">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7EA86D99" w14:textId="49179086" w:rsidR="0043794C" w:rsidRPr="00EC10A9" w:rsidRDefault="00E617EE">
            <w:pPr>
              <w:jc w:val="right"/>
              <w:rPr>
                <w:rFonts w:ascii="Arial" w:hAnsi="Arial" w:cs="Arial"/>
                <w:sz w:val="16"/>
                <w:szCs w:val="16"/>
                <w:lang w:eastAsia="es-AR"/>
              </w:rPr>
            </w:pPr>
            <w:r>
              <w:rPr>
                <w:rFonts w:ascii="Arial" w:hAnsi="Arial" w:cs="Arial"/>
                <w:sz w:val="16"/>
                <w:szCs w:val="16"/>
                <w:lang w:eastAsia="es-AR"/>
              </w:rPr>
              <w:t>30.666</w:t>
            </w:r>
          </w:p>
        </w:tc>
        <w:tc>
          <w:tcPr>
            <w:tcW w:w="1017" w:type="dxa"/>
            <w:tcBorders>
              <w:top w:val="nil"/>
              <w:left w:val="nil"/>
              <w:bottom w:val="nil"/>
              <w:right w:val="nil"/>
            </w:tcBorders>
            <w:vAlign w:val="bottom"/>
          </w:tcPr>
          <w:p w14:paraId="1E81854A" w14:textId="72C09A2C" w:rsidR="0043794C" w:rsidRPr="00066653" w:rsidRDefault="00E617EE">
            <w:pPr>
              <w:jc w:val="right"/>
              <w:rPr>
                <w:rFonts w:ascii="Arial" w:hAnsi="Arial" w:cs="Arial"/>
                <w:sz w:val="16"/>
                <w:szCs w:val="16"/>
                <w:lang w:eastAsia="es-AR"/>
              </w:rPr>
            </w:pPr>
            <w:r>
              <w:rPr>
                <w:rFonts w:ascii="Arial" w:hAnsi="Arial" w:cs="Arial"/>
                <w:sz w:val="16"/>
                <w:szCs w:val="16"/>
                <w:lang w:eastAsia="es-AR"/>
              </w:rPr>
              <w:t>1.501.902</w:t>
            </w:r>
          </w:p>
        </w:tc>
        <w:tc>
          <w:tcPr>
            <w:tcW w:w="980" w:type="dxa"/>
            <w:tcBorders>
              <w:top w:val="nil"/>
              <w:left w:val="nil"/>
              <w:bottom w:val="nil"/>
              <w:right w:val="nil"/>
            </w:tcBorders>
            <w:vAlign w:val="bottom"/>
          </w:tcPr>
          <w:p w14:paraId="69E3215A" w14:textId="2DAD5214" w:rsidR="0043794C" w:rsidRPr="00066653" w:rsidRDefault="00E617EE">
            <w:pPr>
              <w:jc w:val="right"/>
              <w:rPr>
                <w:rFonts w:ascii="Arial" w:hAnsi="Arial" w:cs="Arial"/>
                <w:sz w:val="16"/>
                <w:szCs w:val="16"/>
                <w:lang w:eastAsia="es-AR"/>
              </w:rPr>
            </w:pPr>
            <w:r>
              <w:rPr>
                <w:rFonts w:ascii="Arial" w:hAnsi="Arial" w:cs="Arial"/>
                <w:sz w:val="16"/>
                <w:szCs w:val="16"/>
                <w:lang w:eastAsia="es-AR"/>
              </w:rPr>
              <w:t>31.003</w:t>
            </w:r>
          </w:p>
        </w:tc>
        <w:tc>
          <w:tcPr>
            <w:tcW w:w="980" w:type="dxa"/>
            <w:tcBorders>
              <w:top w:val="nil"/>
              <w:left w:val="nil"/>
              <w:bottom w:val="nil"/>
              <w:right w:val="nil"/>
            </w:tcBorders>
            <w:vAlign w:val="bottom"/>
          </w:tcPr>
          <w:p w14:paraId="49835FBF" w14:textId="0D8C967A" w:rsidR="0043794C" w:rsidRPr="00066653" w:rsidRDefault="00E617EE">
            <w:pPr>
              <w:jc w:val="right"/>
              <w:rPr>
                <w:rFonts w:ascii="Arial" w:hAnsi="Arial" w:cs="Arial"/>
                <w:sz w:val="16"/>
                <w:szCs w:val="16"/>
                <w:lang w:eastAsia="es-AR"/>
              </w:rPr>
            </w:pPr>
            <w:r>
              <w:rPr>
                <w:rFonts w:ascii="Arial" w:hAnsi="Arial" w:cs="Arial"/>
                <w:sz w:val="16"/>
                <w:szCs w:val="16"/>
                <w:lang w:eastAsia="es-AR"/>
              </w:rPr>
              <w:t>928.037</w:t>
            </w:r>
          </w:p>
        </w:tc>
        <w:tc>
          <w:tcPr>
            <w:tcW w:w="1096" w:type="dxa"/>
            <w:tcBorders>
              <w:top w:val="nil"/>
              <w:left w:val="nil"/>
              <w:bottom w:val="nil"/>
              <w:right w:val="nil"/>
            </w:tcBorders>
            <w:vAlign w:val="bottom"/>
          </w:tcPr>
          <w:p w14:paraId="4FFD0B5C" w14:textId="65758482" w:rsidR="0043794C" w:rsidRPr="00066653" w:rsidRDefault="00E617EE">
            <w:pPr>
              <w:jc w:val="right"/>
              <w:rPr>
                <w:rFonts w:ascii="Arial" w:hAnsi="Arial" w:cs="Arial"/>
                <w:sz w:val="16"/>
                <w:szCs w:val="16"/>
                <w:lang w:eastAsia="es-AR"/>
              </w:rPr>
            </w:pPr>
            <w:r>
              <w:rPr>
                <w:rFonts w:ascii="Arial" w:hAnsi="Arial" w:cs="Arial"/>
                <w:sz w:val="16"/>
                <w:szCs w:val="16"/>
                <w:lang w:eastAsia="es-AR"/>
              </w:rPr>
              <w:t>-</w:t>
            </w:r>
          </w:p>
        </w:tc>
        <w:tc>
          <w:tcPr>
            <w:tcW w:w="1195" w:type="dxa"/>
            <w:tcBorders>
              <w:top w:val="nil"/>
              <w:left w:val="nil"/>
              <w:bottom w:val="nil"/>
              <w:right w:val="nil"/>
            </w:tcBorders>
            <w:vAlign w:val="bottom"/>
          </w:tcPr>
          <w:p w14:paraId="39A9B49E" w14:textId="0157256C" w:rsidR="0043794C" w:rsidRPr="00066653" w:rsidRDefault="00E617EE">
            <w:pPr>
              <w:jc w:val="right"/>
              <w:rPr>
                <w:rFonts w:ascii="Arial" w:hAnsi="Arial" w:cs="Arial"/>
                <w:sz w:val="16"/>
                <w:szCs w:val="16"/>
                <w:lang w:eastAsia="es-AR"/>
              </w:rPr>
            </w:pPr>
            <w:r>
              <w:rPr>
                <w:rFonts w:ascii="Arial" w:hAnsi="Arial" w:cs="Arial"/>
                <w:sz w:val="16"/>
                <w:szCs w:val="16"/>
                <w:lang w:eastAsia="es-AR"/>
              </w:rPr>
              <w:t>2.491.608</w:t>
            </w:r>
          </w:p>
        </w:tc>
      </w:tr>
      <w:tr w:rsidR="0043794C" w:rsidRPr="00326E79" w14:paraId="3E7549BA" w14:textId="77777777" w:rsidTr="0023020F">
        <w:trPr>
          <w:trHeight w:val="102"/>
        </w:trPr>
        <w:tc>
          <w:tcPr>
            <w:tcW w:w="2977" w:type="dxa"/>
            <w:tcBorders>
              <w:top w:val="nil"/>
              <w:left w:val="nil"/>
              <w:bottom w:val="single" w:sz="4" w:space="0" w:color="auto"/>
              <w:right w:val="nil"/>
            </w:tcBorders>
            <w:vAlign w:val="bottom"/>
          </w:tcPr>
          <w:p w14:paraId="102D41A2" w14:textId="77777777" w:rsidR="0043794C" w:rsidRPr="001A10B5" w:rsidRDefault="0043794C" w:rsidP="0043794C">
            <w:pPr>
              <w:rPr>
                <w:rFonts w:ascii="Arial" w:hAnsi="Arial" w:cs="Arial"/>
                <w:sz w:val="16"/>
                <w:szCs w:val="16"/>
                <w:lang w:eastAsia="es-AR"/>
              </w:rPr>
            </w:pPr>
          </w:p>
        </w:tc>
        <w:tc>
          <w:tcPr>
            <w:tcW w:w="1195" w:type="dxa"/>
            <w:tcBorders>
              <w:top w:val="nil"/>
              <w:left w:val="nil"/>
              <w:bottom w:val="single" w:sz="4" w:space="0" w:color="auto"/>
              <w:right w:val="nil"/>
            </w:tcBorders>
            <w:vAlign w:val="bottom"/>
          </w:tcPr>
          <w:p w14:paraId="11686334" w14:textId="77777777" w:rsidR="0043794C" w:rsidRPr="004708CB" w:rsidRDefault="0043794C">
            <w:pPr>
              <w:jc w:val="right"/>
              <w:rPr>
                <w:rFonts w:ascii="Arial" w:hAnsi="Arial" w:cs="Arial"/>
                <w:sz w:val="16"/>
                <w:szCs w:val="16"/>
                <w:lang w:eastAsia="es-AR"/>
              </w:rPr>
            </w:pPr>
          </w:p>
        </w:tc>
        <w:tc>
          <w:tcPr>
            <w:tcW w:w="1017" w:type="dxa"/>
            <w:tcBorders>
              <w:top w:val="nil"/>
              <w:left w:val="nil"/>
              <w:bottom w:val="single" w:sz="4" w:space="0" w:color="auto"/>
              <w:right w:val="nil"/>
            </w:tcBorders>
            <w:vAlign w:val="bottom"/>
          </w:tcPr>
          <w:p w14:paraId="6CB27AE9" w14:textId="77777777" w:rsidR="0043794C" w:rsidRPr="00F77F7F" w:rsidRDefault="0043794C">
            <w:pPr>
              <w:jc w:val="right"/>
              <w:rPr>
                <w:rFonts w:ascii="Arial" w:hAnsi="Arial" w:cs="Arial"/>
                <w:sz w:val="16"/>
                <w:szCs w:val="16"/>
                <w:lang w:eastAsia="es-AR"/>
              </w:rPr>
            </w:pPr>
          </w:p>
        </w:tc>
        <w:tc>
          <w:tcPr>
            <w:tcW w:w="1017" w:type="dxa"/>
            <w:tcBorders>
              <w:top w:val="nil"/>
              <w:left w:val="nil"/>
              <w:bottom w:val="single" w:sz="4" w:space="0" w:color="auto"/>
              <w:right w:val="nil"/>
            </w:tcBorders>
            <w:vAlign w:val="bottom"/>
          </w:tcPr>
          <w:p w14:paraId="16221F41" w14:textId="77777777" w:rsidR="0043794C" w:rsidRPr="0012241E" w:rsidRDefault="0043794C">
            <w:pPr>
              <w:jc w:val="right"/>
              <w:rPr>
                <w:rFonts w:ascii="Arial" w:hAnsi="Arial" w:cs="Arial"/>
                <w:sz w:val="16"/>
                <w:szCs w:val="16"/>
                <w:lang w:eastAsia="es-AR"/>
              </w:rPr>
            </w:pPr>
          </w:p>
        </w:tc>
        <w:tc>
          <w:tcPr>
            <w:tcW w:w="980" w:type="dxa"/>
            <w:tcBorders>
              <w:top w:val="nil"/>
              <w:left w:val="nil"/>
              <w:bottom w:val="single" w:sz="4" w:space="0" w:color="auto"/>
              <w:right w:val="nil"/>
            </w:tcBorders>
            <w:vAlign w:val="bottom"/>
          </w:tcPr>
          <w:p w14:paraId="3615B597" w14:textId="77777777" w:rsidR="0043794C" w:rsidRPr="00B85009" w:rsidRDefault="0043794C">
            <w:pPr>
              <w:jc w:val="right"/>
              <w:rPr>
                <w:rFonts w:ascii="Arial" w:hAnsi="Arial" w:cs="Arial"/>
                <w:sz w:val="16"/>
                <w:szCs w:val="16"/>
                <w:lang w:eastAsia="es-AR"/>
              </w:rPr>
            </w:pPr>
          </w:p>
        </w:tc>
        <w:tc>
          <w:tcPr>
            <w:tcW w:w="980" w:type="dxa"/>
            <w:tcBorders>
              <w:top w:val="nil"/>
              <w:left w:val="nil"/>
              <w:bottom w:val="single" w:sz="4" w:space="0" w:color="auto"/>
              <w:right w:val="nil"/>
            </w:tcBorders>
            <w:vAlign w:val="bottom"/>
          </w:tcPr>
          <w:p w14:paraId="79E42570" w14:textId="77777777" w:rsidR="0043794C" w:rsidRPr="00EC10A9" w:rsidRDefault="0043794C">
            <w:pPr>
              <w:jc w:val="right"/>
              <w:rPr>
                <w:rFonts w:ascii="Arial" w:hAnsi="Arial" w:cs="Arial"/>
                <w:sz w:val="16"/>
                <w:szCs w:val="16"/>
                <w:lang w:eastAsia="es-AR"/>
              </w:rPr>
            </w:pPr>
          </w:p>
        </w:tc>
        <w:tc>
          <w:tcPr>
            <w:tcW w:w="1096" w:type="dxa"/>
            <w:tcBorders>
              <w:top w:val="nil"/>
              <w:left w:val="nil"/>
              <w:bottom w:val="single" w:sz="4" w:space="0" w:color="auto"/>
              <w:right w:val="nil"/>
            </w:tcBorders>
            <w:vAlign w:val="bottom"/>
          </w:tcPr>
          <w:p w14:paraId="407D33BF" w14:textId="77777777" w:rsidR="0043794C" w:rsidRPr="003D4ED0" w:rsidRDefault="0043794C">
            <w:pPr>
              <w:jc w:val="right"/>
              <w:rPr>
                <w:rFonts w:ascii="Arial" w:hAnsi="Arial" w:cs="Arial"/>
                <w:sz w:val="16"/>
                <w:szCs w:val="16"/>
                <w:lang w:eastAsia="es-AR"/>
              </w:rPr>
            </w:pPr>
          </w:p>
        </w:tc>
        <w:tc>
          <w:tcPr>
            <w:tcW w:w="1195" w:type="dxa"/>
            <w:tcBorders>
              <w:top w:val="nil"/>
              <w:left w:val="nil"/>
              <w:bottom w:val="single" w:sz="4" w:space="0" w:color="auto"/>
              <w:right w:val="nil"/>
            </w:tcBorders>
            <w:vAlign w:val="bottom"/>
          </w:tcPr>
          <w:p w14:paraId="1E36FC2F" w14:textId="77777777" w:rsidR="0043794C" w:rsidRPr="00066653" w:rsidRDefault="0043794C">
            <w:pPr>
              <w:jc w:val="right"/>
              <w:rPr>
                <w:rFonts w:ascii="Arial" w:hAnsi="Arial" w:cs="Arial"/>
                <w:sz w:val="16"/>
                <w:szCs w:val="16"/>
                <w:lang w:eastAsia="es-AR"/>
              </w:rPr>
            </w:pPr>
          </w:p>
        </w:tc>
      </w:tr>
      <w:tr w:rsidR="0043794C" w:rsidRPr="00B30A0B" w14:paraId="3005E29A" w14:textId="77777777" w:rsidTr="0023020F">
        <w:trPr>
          <w:trHeight w:val="302"/>
        </w:trPr>
        <w:tc>
          <w:tcPr>
            <w:tcW w:w="2977" w:type="dxa"/>
            <w:tcBorders>
              <w:top w:val="single" w:sz="4" w:space="0" w:color="auto"/>
              <w:left w:val="nil"/>
              <w:right w:val="nil"/>
            </w:tcBorders>
            <w:vAlign w:val="center"/>
          </w:tcPr>
          <w:p w14:paraId="349A3651" w14:textId="77777777" w:rsidR="0043794C" w:rsidRPr="00B30A0B" w:rsidRDefault="0043794C" w:rsidP="0043794C">
            <w:pPr>
              <w:jc w:val="center"/>
              <w:rPr>
                <w:rFonts w:ascii="Arial" w:hAnsi="Arial" w:cs="Arial"/>
                <w:b/>
                <w:sz w:val="20"/>
                <w:szCs w:val="18"/>
                <w:lang w:eastAsia="es-AR"/>
              </w:rPr>
            </w:pPr>
            <w:r w:rsidRPr="00066653">
              <w:rPr>
                <w:rFonts w:ascii="Arial" w:hAnsi="Arial" w:cs="Arial"/>
                <w:b/>
                <w:sz w:val="16"/>
                <w:szCs w:val="18"/>
                <w:lang w:eastAsia="es-AR"/>
              </w:rPr>
              <w:t>TOTAL</w:t>
            </w:r>
          </w:p>
        </w:tc>
        <w:tc>
          <w:tcPr>
            <w:tcW w:w="1195" w:type="dxa"/>
            <w:tcBorders>
              <w:top w:val="single" w:sz="4" w:space="0" w:color="auto"/>
              <w:left w:val="nil"/>
              <w:right w:val="nil"/>
            </w:tcBorders>
            <w:vAlign w:val="bottom"/>
          </w:tcPr>
          <w:p w14:paraId="1AA56620" w14:textId="495A9561" w:rsidR="0043794C" w:rsidRPr="001A10B5" w:rsidRDefault="00E617EE">
            <w:pPr>
              <w:jc w:val="right"/>
              <w:rPr>
                <w:rFonts w:ascii="Arial" w:hAnsi="Arial" w:cs="Arial"/>
                <w:b/>
                <w:sz w:val="16"/>
                <w:szCs w:val="18"/>
                <w:lang w:eastAsia="es-AR"/>
              </w:rPr>
            </w:pPr>
            <w:r>
              <w:rPr>
                <w:rFonts w:ascii="Arial" w:hAnsi="Arial" w:cs="Arial"/>
                <w:b/>
                <w:sz w:val="16"/>
                <w:szCs w:val="18"/>
                <w:lang w:eastAsia="es-AR"/>
              </w:rPr>
              <w:t>127.700.859</w:t>
            </w:r>
          </w:p>
        </w:tc>
        <w:tc>
          <w:tcPr>
            <w:tcW w:w="1017" w:type="dxa"/>
            <w:tcBorders>
              <w:top w:val="single" w:sz="4" w:space="0" w:color="auto"/>
              <w:left w:val="nil"/>
              <w:right w:val="nil"/>
            </w:tcBorders>
            <w:vAlign w:val="bottom"/>
          </w:tcPr>
          <w:p w14:paraId="564BA5C0" w14:textId="59903EDB" w:rsidR="0043794C" w:rsidRPr="001A10B5" w:rsidRDefault="00E617EE">
            <w:pPr>
              <w:jc w:val="right"/>
              <w:rPr>
                <w:rFonts w:ascii="Arial" w:hAnsi="Arial" w:cs="Arial"/>
                <w:b/>
                <w:sz w:val="16"/>
                <w:szCs w:val="18"/>
                <w:lang w:eastAsia="es-AR"/>
              </w:rPr>
            </w:pPr>
            <w:r>
              <w:rPr>
                <w:rFonts w:ascii="Arial" w:hAnsi="Arial" w:cs="Arial"/>
                <w:b/>
                <w:sz w:val="16"/>
                <w:szCs w:val="18"/>
                <w:lang w:eastAsia="es-AR"/>
              </w:rPr>
              <w:t>18.943.070</w:t>
            </w:r>
          </w:p>
        </w:tc>
        <w:tc>
          <w:tcPr>
            <w:tcW w:w="1017" w:type="dxa"/>
            <w:tcBorders>
              <w:top w:val="single" w:sz="4" w:space="0" w:color="auto"/>
              <w:left w:val="nil"/>
              <w:right w:val="nil"/>
            </w:tcBorders>
            <w:vAlign w:val="bottom"/>
          </w:tcPr>
          <w:p w14:paraId="2F22A592" w14:textId="13471FE8" w:rsidR="0043794C" w:rsidRPr="001A10B5" w:rsidRDefault="00E617EE">
            <w:pPr>
              <w:jc w:val="right"/>
              <w:rPr>
                <w:rFonts w:ascii="Arial" w:hAnsi="Arial" w:cs="Arial"/>
                <w:b/>
                <w:sz w:val="16"/>
                <w:szCs w:val="18"/>
                <w:lang w:eastAsia="es-AR"/>
              </w:rPr>
            </w:pPr>
            <w:r>
              <w:rPr>
                <w:rFonts w:ascii="Arial" w:hAnsi="Arial" w:cs="Arial"/>
                <w:b/>
                <w:sz w:val="16"/>
                <w:szCs w:val="18"/>
                <w:lang w:eastAsia="es-AR"/>
              </w:rPr>
              <w:t>11.431.453</w:t>
            </w:r>
          </w:p>
        </w:tc>
        <w:tc>
          <w:tcPr>
            <w:tcW w:w="980" w:type="dxa"/>
            <w:tcBorders>
              <w:top w:val="single" w:sz="4" w:space="0" w:color="auto"/>
              <w:left w:val="nil"/>
              <w:right w:val="nil"/>
            </w:tcBorders>
            <w:vAlign w:val="bottom"/>
          </w:tcPr>
          <w:p w14:paraId="5F369E51" w14:textId="704A133B" w:rsidR="0043794C" w:rsidRPr="001A10B5" w:rsidRDefault="00E617EE">
            <w:pPr>
              <w:jc w:val="right"/>
              <w:rPr>
                <w:rFonts w:ascii="Arial" w:hAnsi="Arial" w:cs="Arial"/>
                <w:b/>
                <w:sz w:val="16"/>
                <w:szCs w:val="18"/>
                <w:lang w:eastAsia="es-AR"/>
              </w:rPr>
            </w:pPr>
            <w:r>
              <w:rPr>
                <w:rFonts w:ascii="Arial" w:hAnsi="Arial" w:cs="Arial"/>
                <w:b/>
                <w:sz w:val="16"/>
                <w:szCs w:val="18"/>
                <w:lang w:eastAsia="es-AR"/>
              </w:rPr>
              <w:t>2.599.210</w:t>
            </w:r>
          </w:p>
        </w:tc>
        <w:tc>
          <w:tcPr>
            <w:tcW w:w="980" w:type="dxa"/>
            <w:tcBorders>
              <w:top w:val="single" w:sz="4" w:space="0" w:color="auto"/>
              <w:left w:val="nil"/>
              <w:right w:val="nil"/>
            </w:tcBorders>
            <w:vAlign w:val="bottom"/>
          </w:tcPr>
          <w:p w14:paraId="4D645FD1" w14:textId="0BE2F446" w:rsidR="0043794C" w:rsidRPr="001A10B5" w:rsidRDefault="00E617EE">
            <w:pPr>
              <w:jc w:val="right"/>
              <w:rPr>
                <w:rFonts w:ascii="Arial" w:hAnsi="Arial" w:cs="Arial"/>
                <w:b/>
                <w:sz w:val="16"/>
                <w:szCs w:val="18"/>
                <w:lang w:eastAsia="es-AR"/>
              </w:rPr>
            </w:pPr>
            <w:r>
              <w:rPr>
                <w:rFonts w:ascii="Arial" w:hAnsi="Arial" w:cs="Arial"/>
                <w:b/>
                <w:sz w:val="16"/>
                <w:szCs w:val="18"/>
                <w:lang w:eastAsia="es-AR"/>
              </w:rPr>
              <w:t>3.345.355</w:t>
            </w:r>
          </w:p>
        </w:tc>
        <w:tc>
          <w:tcPr>
            <w:tcW w:w="1096" w:type="dxa"/>
            <w:tcBorders>
              <w:top w:val="single" w:sz="4" w:space="0" w:color="auto"/>
              <w:left w:val="nil"/>
              <w:right w:val="nil"/>
            </w:tcBorders>
            <w:vAlign w:val="bottom"/>
          </w:tcPr>
          <w:p w14:paraId="1EBCBF54" w14:textId="7B49BC83" w:rsidR="0043794C" w:rsidRPr="001A10B5" w:rsidRDefault="00E617EE">
            <w:pPr>
              <w:jc w:val="right"/>
              <w:rPr>
                <w:rFonts w:ascii="Arial" w:hAnsi="Arial" w:cs="Arial"/>
                <w:b/>
                <w:sz w:val="16"/>
                <w:szCs w:val="18"/>
                <w:lang w:eastAsia="es-AR"/>
              </w:rPr>
            </w:pPr>
            <w:r>
              <w:rPr>
                <w:rFonts w:ascii="Arial" w:hAnsi="Arial" w:cs="Arial"/>
                <w:b/>
                <w:sz w:val="16"/>
                <w:szCs w:val="18"/>
                <w:lang w:eastAsia="es-AR"/>
              </w:rPr>
              <w:t>1.563.121</w:t>
            </w:r>
          </w:p>
        </w:tc>
        <w:tc>
          <w:tcPr>
            <w:tcW w:w="1195" w:type="dxa"/>
            <w:tcBorders>
              <w:top w:val="single" w:sz="4" w:space="0" w:color="auto"/>
              <w:left w:val="nil"/>
              <w:right w:val="nil"/>
            </w:tcBorders>
            <w:vAlign w:val="bottom"/>
          </w:tcPr>
          <w:p w14:paraId="4A04AA4B" w14:textId="3E701509" w:rsidR="0043794C" w:rsidRPr="001A10B5" w:rsidRDefault="00E617EE">
            <w:pPr>
              <w:jc w:val="right"/>
              <w:rPr>
                <w:rFonts w:ascii="Arial" w:hAnsi="Arial" w:cs="Arial"/>
                <w:b/>
                <w:sz w:val="16"/>
                <w:szCs w:val="18"/>
                <w:lang w:eastAsia="es-AR"/>
              </w:rPr>
            </w:pPr>
            <w:r>
              <w:rPr>
                <w:rFonts w:ascii="Arial" w:hAnsi="Arial" w:cs="Arial"/>
                <w:b/>
                <w:sz w:val="16"/>
                <w:szCs w:val="18"/>
                <w:lang w:eastAsia="es-AR"/>
              </w:rPr>
              <w:t>165.583.068</w:t>
            </w:r>
          </w:p>
        </w:tc>
      </w:tr>
      <w:bookmarkEnd w:id="43"/>
    </w:tbl>
    <w:p w14:paraId="19344FA7" w14:textId="77777777" w:rsidR="00C24422" w:rsidRDefault="00C24422" w:rsidP="00B5057C">
      <w:pPr>
        <w:rPr>
          <w:sz w:val="20"/>
          <w:lang w:eastAsia="es-AR"/>
        </w:rPr>
        <w:sectPr w:rsidR="00C24422" w:rsidSect="00DA660B">
          <w:headerReference w:type="default" r:id="rId26"/>
          <w:pgSz w:w="11907" w:h="16839" w:code="9"/>
          <w:pgMar w:top="1418" w:right="1701" w:bottom="1418" w:left="1134" w:header="567" w:footer="0" w:gutter="0"/>
          <w:cols w:space="708"/>
          <w:docGrid w:linePitch="360"/>
        </w:sectPr>
      </w:pPr>
    </w:p>
    <w:p w14:paraId="07D7B130" w14:textId="77777777" w:rsidR="00F36164" w:rsidRPr="00701F32" w:rsidRDefault="00F36164" w:rsidP="00B5057C">
      <w:pPr>
        <w:rPr>
          <w:sz w:val="20"/>
          <w:lang w:eastAsia="es-AR"/>
        </w:rPr>
      </w:pPr>
    </w:p>
    <w:p w14:paraId="31EE6321" w14:textId="26424457" w:rsidR="00910815" w:rsidRDefault="00910815" w:rsidP="00B5057C">
      <w:pPr>
        <w:rPr>
          <w:sz w:val="20"/>
          <w:lang w:eastAsia="es-AR"/>
        </w:rPr>
      </w:pPr>
    </w:p>
    <w:tbl>
      <w:tblPr>
        <w:tblW w:w="10371" w:type="dxa"/>
        <w:tblInd w:w="-714" w:type="dxa"/>
        <w:tblLayout w:type="fixed"/>
        <w:tblCellMar>
          <w:left w:w="70" w:type="dxa"/>
          <w:right w:w="70" w:type="dxa"/>
        </w:tblCellMar>
        <w:tblLook w:val="04A0" w:firstRow="1" w:lastRow="0" w:firstColumn="1" w:lastColumn="0" w:noHBand="0" w:noVBand="1"/>
      </w:tblPr>
      <w:tblGrid>
        <w:gridCol w:w="2547"/>
        <w:gridCol w:w="1204"/>
        <w:gridCol w:w="997"/>
        <w:gridCol w:w="897"/>
        <w:gridCol w:w="1229"/>
        <w:gridCol w:w="1229"/>
        <w:gridCol w:w="1134"/>
        <w:gridCol w:w="1134"/>
      </w:tblGrid>
      <w:tr w:rsidR="005F5300" w:rsidRPr="000B563A" w14:paraId="4C7A21F8" w14:textId="77777777" w:rsidTr="00FC64C0">
        <w:tc>
          <w:tcPr>
            <w:tcW w:w="2547"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14FE0758" w14:textId="77777777" w:rsidR="005F5300" w:rsidRPr="000B563A" w:rsidRDefault="005F5300" w:rsidP="00FC64C0">
            <w:pPr>
              <w:jc w:val="center"/>
              <w:rPr>
                <w:rFonts w:ascii="Arial" w:hAnsi="Arial" w:cs="Arial"/>
                <w:b/>
                <w:bCs/>
                <w:sz w:val="16"/>
                <w:szCs w:val="16"/>
                <w:lang w:eastAsia="es-AR"/>
              </w:rPr>
            </w:pPr>
            <w:r w:rsidRPr="000B563A">
              <w:rPr>
                <w:rFonts w:ascii="Arial" w:hAnsi="Arial" w:cs="Arial"/>
                <w:b/>
                <w:bCs/>
                <w:sz w:val="16"/>
                <w:szCs w:val="16"/>
                <w:lang w:eastAsia="es-AR"/>
              </w:rPr>
              <w:t>Conceptos</w:t>
            </w:r>
          </w:p>
        </w:tc>
        <w:tc>
          <w:tcPr>
            <w:tcW w:w="120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06C7EED" w14:textId="77777777" w:rsidR="005F5300" w:rsidRPr="000B563A" w:rsidRDefault="005F5300" w:rsidP="00FC64C0">
            <w:pPr>
              <w:jc w:val="center"/>
              <w:rPr>
                <w:rFonts w:ascii="Arial" w:hAnsi="Arial" w:cs="Arial"/>
                <w:b/>
                <w:bCs/>
                <w:sz w:val="16"/>
                <w:szCs w:val="16"/>
                <w:lang w:eastAsia="es-AR"/>
              </w:rPr>
            </w:pPr>
            <w:r w:rsidRPr="000B563A">
              <w:rPr>
                <w:rFonts w:ascii="Arial" w:hAnsi="Arial" w:cs="Arial"/>
                <w:b/>
                <w:bCs/>
                <w:sz w:val="16"/>
                <w:szCs w:val="16"/>
                <w:lang w:eastAsia="es-AR"/>
              </w:rPr>
              <w:t>Saldos al inicio del ejercicio</w:t>
            </w:r>
          </w:p>
        </w:tc>
        <w:tc>
          <w:tcPr>
            <w:tcW w:w="997"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0D4E40A3" w14:textId="77777777" w:rsidR="005F5300" w:rsidRPr="000B563A" w:rsidRDefault="005F5300" w:rsidP="00FC64C0">
            <w:pPr>
              <w:rPr>
                <w:rFonts w:ascii="Arial" w:hAnsi="Arial" w:cs="Arial"/>
                <w:b/>
                <w:bCs/>
                <w:sz w:val="16"/>
                <w:szCs w:val="16"/>
                <w:lang w:eastAsia="es-AR"/>
              </w:rPr>
            </w:pPr>
            <w:r w:rsidRPr="00124DDB">
              <w:rPr>
                <w:rFonts w:ascii="Arial" w:hAnsi="Arial" w:cs="Arial"/>
                <w:b/>
                <w:bCs/>
                <w:sz w:val="16"/>
                <w:szCs w:val="16"/>
                <w:lang w:eastAsia="es-AR"/>
              </w:rPr>
              <w:t>PCE de los próximos 12 meses</w:t>
            </w:r>
          </w:p>
        </w:tc>
        <w:tc>
          <w:tcPr>
            <w:tcW w:w="3355" w:type="dxa"/>
            <w:gridSpan w:val="3"/>
            <w:tcBorders>
              <w:top w:val="single" w:sz="4" w:space="0" w:color="363639"/>
              <w:left w:val="single" w:sz="4" w:space="0" w:color="363639"/>
              <w:bottom w:val="single" w:sz="4" w:space="0" w:color="363639"/>
              <w:right w:val="single" w:sz="4" w:space="0" w:color="363639"/>
            </w:tcBorders>
            <w:shd w:val="clear" w:color="auto" w:fill="BFBFBF" w:themeFill="background1" w:themeFillShade="BF"/>
          </w:tcPr>
          <w:p w14:paraId="0E126E7B" w14:textId="77777777" w:rsidR="005F5300" w:rsidRPr="000B563A" w:rsidRDefault="005F5300" w:rsidP="00FC64C0">
            <w:pPr>
              <w:jc w:val="center"/>
              <w:rPr>
                <w:rFonts w:ascii="Arial" w:hAnsi="Arial" w:cs="Arial"/>
                <w:b/>
                <w:bCs/>
                <w:sz w:val="16"/>
                <w:szCs w:val="16"/>
                <w:lang w:eastAsia="es-AR"/>
              </w:rPr>
            </w:pPr>
            <w:r w:rsidRPr="00E20558">
              <w:rPr>
                <w:rFonts w:ascii="Arial" w:hAnsi="Arial" w:cs="Arial"/>
                <w:b/>
                <w:bCs/>
                <w:sz w:val="16"/>
                <w:szCs w:val="16"/>
                <w:lang w:eastAsia="es-AR"/>
              </w:rPr>
              <w:t>PCE de vida remanente del activo financiero</w:t>
            </w:r>
          </w:p>
        </w:tc>
        <w:tc>
          <w:tcPr>
            <w:tcW w:w="113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425202C" w14:textId="77777777" w:rsidR="005F5300" w:rsidRPr="00124DDB" w:rsidRDefault="005F5300" w:rsidP="00FC64C0">
            <w:pPr>
              <w:rPr>
                <w:rFonts w:ascii="Arial" w:hAnsi="Arial" w:cs="Arial"/>
                <w:b/>
                <w:bCs/>
                <w:sz w:val="16"/>
                <w:szCs w:val="16"/>
                <w:lang w:eastAsia="es-AR"/>
              </w:rPr>
            </w:pPr>
            <w:r w:rsidRPr="00124DDB">
              <w:rPr>
                <w:rFonts w:ascii="Arial" w:hAnsi="Arial" w:cs="Arial"/>
                <w:b/>
                <w:bCs/>
                <w:sz w:val="16"/>
                <w:szCs w:val="16"/>
                <w:lang w:eastAsia="es-AR"/>
              </w:rPr>
              <w:t>Resultado monetario generado por previsiones</w:t>
            </w:r>
          </w:p>
          <w:p w14:paraId="4F5040BA" w14:textId="77777777" w:rsidR="005F5300" w:rsidRPr="000B563A" w:rsidRDefault="005F5300" w:rsidP="00FC64C0">
            <w:pPr>
              <w:jc w:val="center"/>
              <w:rPr>
                <w:rFonts w:ascii="Arial" w:hAnsi="Arial" w:cs="Arial"/>
                <w:b/>
                <w:bCs/>
                <w:sz w:val="16"/>
                <w:szCs w:val="16"/>
                <w:lang w:eastAsia="es-AR"/>
              </w:rPr>
            </w:pPr>
          </w:p>
        </w:tc>
        <w:tc>
          <w:tcPr>
            <w:tcW w:w="113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54D00C71" w14:textId="77777777" w:rsidR="005F5300" w:rsidRPr="000B563A" w:rsidRDefault="005F5300" w:rsidP="00FC64C0">
            <w:pPr>
              <w:jc w:val="center"/>
              <w:rPr>
                <w:rFonts w:ascii="Arial" w:hAnsi="Arial" w:cs="Arial"/>
                <w:b/>
                <w:bCs/>
                <w:sz w:val="16"/>
                <w:szCs w:val="16"/>
                <w:lang w:eastAsia="es-AR"/>
              </w:rPr>
            </w:pPr>
            <w:r w:rsidRPr="000B563A">
              <w:rPr>
                <w:rFonts w:ascii="Arial" w:hAnsi="Arial" w:cs="Arial"/>
                <w:b/>
                <w:bCs/>
                <w:sz w:val="16"/>
                <w:szCs w:val="16"/>
                <w:lang w:eastAsia="es-AR"/>
              </w:rPr>
              <w:t>Saldo al 31/</w:t>
            </w:r>
            <w:r>
              <w:rPr>
                <w:rFonts w:ascii="Arial" w:hAnsi="Arial" w:cs="Arial"/>
                <w:b/>
                <w:bCs/>
                <w:sz w:val="16"/>
                <w:szCs w:val="16"/>
                <w:lang w:eastAsia="es-AR"/>
              </w:rPr>
              <w:t>03/2020</w:t>
            </w:r>
          </w:p>
        </w:tc>
      </w:tr>
      <w:tr w:rsidR="005F5300" w:rsidRPr="000B563A" w14:paraId="19FC7156" w14:textId="77777777" w:rsidTr="00FC64C0">
        <w:tc>
          <w:tcPr>
            <w:tcW w:w="2547" w:type="dxa"/>
            <w:vMerge/>
            <w:tcBorders>
              <w:top w:val="single" w:sz="4" w:space="0" w:color="363639"/>
              <w:left w:val="single" w:sz="4" w:space="0" w:color="363639"/>
              <w:bottom w:val="single" w:sz="4" w:space="0" w:color="auto"/>
              <w:right w:val="single" w:sz="4" w:space="0" w:color="363639"/>
            </w:tcBorders>
            <w:vAlign w:val="center"/>
            <w:hideMark/>
          </w:tcPr>
          <w:p w14:paraId="0475F58C" w14:textId="77777777" w:rsidR="005F5300" w:rsidRPr="000B563A" w:rsidRDefault="005F5300" w:rsidP="00FC64C0">
            <w:pPr>
              <w:rPr>
                <w:rFonts w:ascii="Arial" w:hAnsi="Arial" w:cs="Arial"/>
                <w:b/>
                <w:bCs/>
                <w:sz w:val="16"/>
                <w:szCs w:val="16"/>
                <w:lang w:eastAsia="es-AR"/>
              </w:rPr>
            </w:pPr>
          </w:p>
        </w:tc>
        <w:tc>
          <w:tcPr>
            <w:tcW w:w="1204" w:type="dxa"/>
            <w:vMerge/>
            <w:tcBorders>
              <w:top w:val="single" w:sz="4" w:space="0" w:color="363639"/>
              <w:left w:val="single" w:sz="4" w:space="0" w:color="363639"/>
              <w:bottom w:val="single" w:sz="4" w:space="0" w:color="auto"/>
              <w:right w:val="single" w:sz="4" w:space="0" w:color="363639"/>
            </w:tcBorders>
            <w:vAlign w:val="center"/>
            <w:hideMark/>
          </w:tcPr>
          <w:p w14:paraId="3C59B627" w14:textId="77777777" w:rsidR="005F5300" w:rsidRPr="000B563A" w:rsidRDefault="005F5300" w:rsidP="00FC64C0">
            <w:pPr>
              <w:rPr>
                <w:rFonts w:ascii="Arial" w:hAnsi="Arial" w:cs="Arial"/>
                <w:b/>
                <w:bCs/>
                <w:sz w:val="16"/>
                <w:szCs w:val="16"/>
                <w:lang w:eastAsia="es-AR"/>
              </w:rPr>
            </w:pPr>
          </w:p>
        </w:tc>
        <w:tc>
          <w:tcPr>
            <w:tcW w:w="997" w:type="dxa"/>
            <w:vMerge/>
            <w:tcBorders>
              <w:top w:val="single" w:sz="4" w:space="0" w:color="363639"/>
              <w:left w:val="single" w:sz="4" w:space="0" w:color="363639"/>
              <w:bottom w:val="single" w:sz="4" w:space="0" w:color="auto"/>
              <w:right w:val="single" w:sz="4" w:space="0" w:color="363639"/>
            </w:tcBorders>
            <w:vAlign w:val="center"/>
            <w:hideMark/>
          </w:tcPr>
          <w:p w14:paraId="58ADDC25" w14:textId="77777777" w:rsidR="005F5300" w:rsidRPr="000B563A" w:rsidRDefault="005F5300" w:rsidP="00FC64C0">
            <w:pPr>
              <w:rPr>
                <w:rFonts w:ascii="Arial" w:hAnsi="Arial" w:cs="Arial"/>
                <w:b/>
                <w:bCs/>
                <w:sz w:val="16"/>
                <w:szCs w:val="16"/>
                <w:lang w:eastAsia="es-AR"/>
              </w:rPr>
            </w:pPr>
          </w:p>
        </w:tc>
        <w:tc>
          <w:tcPr>
            <w:tcW w:w="897" w:type="dxa"/>
            <w:tcBorders>
              <w:top w:val="nil"/>
              <w:left w:val="nil"/>
              <w:bottom w:val="single" w:sz="4" w:space="0" w:color="auto"/>
              <w:right w:val="single" w:sz="4" w:space="0" w:color="auto"/>
            </w:tcBorders>
            <w:shd w:val="clear" w:color="auto" w:fill="BFBFBF" w:themeFill="background1" w:themeFillShade="BF"/>
            <w:hideMark/>
          </w:tcPr>
          <w:p w14:paraId="20E35973" w14:textId="77777777" w:rsidR="005F5300" w:rsidRPr="000B563A" w:rsidRDefault="005F5300" w:rsidP="00FC64C0">
            <w:pPr>
              <w:jc w:val="center"/>
              <w:rPr>
                <w:rFonts w:ascii="Arial" w:hAnsi="Arial" w:cs="Arial"/>
                <w:b/>
                <w:bCs/>
                <w:sz w:val="16"/>
                <w:szCs w:val="16"/>
                <w:lang w:eastAsia="es-AR"/>
              </w:rPr>
            </w:pPr>
            <w:r w:rsidRPr="00124DDB">
              <w:rPr>
                <w:rFonts w:ascii="Arial" w:hAnsi="Arial" w:cs="Arial"/>
                <w:b/>
                <w:bCs/>
                <w:sz w:val="16"/>
                <w:szCs w:val="16"/>
                <w:lang w:eastAsia="es-AR"/>
              </w:rPr>
              <w:t>IF con increm. signif. del riesgo crediticio</w:t>
            </w:r>
          </w:p>
        </w:tc>
        <w:tc>
          <w:tcPr>
            <w:tcW w:w="12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EB5ABB" w14:textId="77777777" w:rsidR="005F5300" w:rsidRPr="000B563A" w:rsidRDefault="005F5300" w:rsidP="00FC64C0">
            <w:pPr>
              <w:jc w:val="center"/>
              <w:rPr>
                <w:rFonts w:ascii="Arial" w:hAnsi="Arial" w:cs="Arial"/>
                <w:b/>
                <w:bCs/>
                <w:sz w:val="16"/>
                <w:szCs w:val="16"/>
                <w:lang w:eastAsia="es-AR"/>
              </w:rPr>
            </w:pPr>
            <w:r w:rsidRPr="00124DDB">
              <w:rPr>
                <w:rFonts w:ascii="Arial" w:hAnsi="Arial" w:cs="Arial"/>
                <w:b/>
                <w:bCs/>
                <w:sz w:val="16"/>
                <w:szCs w:val="16"/>
                <w:lang w:eastAsia="es-AR"/>
              </w:rPr>
              <w:t>IF con deterioro crediticio</w:t>
            </w:r>
          </w:p>
        </w:tc>
        <w:tc>
          <w:tcPr>
            <w:tcW w:w="1229" w:type="dxa"/>
            <w:tcBorders>
              <w:top w:val="nil"/>
              <w:left w:val="single" w:sz="4" w:space="0" w:color="auto"/>
              <w:bottom w:val="single" w:sz="4" w:space="0" w:color="auto"/>
              <w:right w:val="single" w:sz="4" w:space="0" w:color="363639"/>
            </w:tcBorders>
            <w:shd w:val="clear" w:color="auto" w:fill="BFBFBF" w:themeFill="background1" w:themeFillShade="BF"/>
            <w:hideMark/>
          </w:tcPr>
          <w:p w14:paraId="7C049C7C" w14:textId="77777777" w:rsidR="005F5300" w:rsidRPr="000B563A" w:rsidRDefault="005F5300" w:rsidP="00FC64C0">
            <w:pPr>
              <w:jc w:val="center"/>
              <w:rPr>
                <w:rFonts w:ascii="Arial" w:hAnsi="Arial" w:cs="Arial"/>
                <w:b/>
                <w:bCs/>
                <w:sz w:val="16"/>
                <w:szCs w:val="16"/>
                <w:lang w:eastAsia="es-AR"/>
              </w:rPr>
            </w:pPr>
            <w:r w:rsidRPr="00124DDB">
              <w:rPr>
                <w:rFonts w:ascii="Arial" w:hAnsi="Arial" w:cs="Arial"/>
                <w:b/>
                <w:bCs/>
                <w:sz w:val="16"/>
                <w:szCs w:val="16"/>
                <w:lang w:eastAsia="es-AR"/>
              </w:rPr>
              <w:t>IF con deterioro crediticio comprado u originado</w:t>
            </w:r>
          </w:p>
        </w:tc>
        <w:tc>
          <w:tcPr>
            <w:tcW w:w="1134" w:type="dxa"/>
            <w:vMerge/>
            <w:tcBorders>
              <w:top w:val="single" w:sz="4" w:space="0" w:color="363639"/>
              <w:left w:val="single" w:sz="4" w:space="0" w:color="363639"/>
              <w:bottom w:val="single" w:sz="4" w:space="0" w:color="auto"/>
              <w:right w:val="single" w:sz="4" w:space="0" w:color="363639"/>
            </w:tcBorders>
            <w:vAlign w:val="center"/>
            <w:hideMark/>
          </w:tcPr>
          <w:p w14:paraId="57F4381B" w14:textId="77777777" w:rsidR="005F5300" w:rsidRPr="000B563A" w:rsidRDefault="005F5300" w:rsidP="00FC64C0">
            <w:pPr>
              <w:rPr>
                <w:rFonts w:ascii="Arial" w:hAnsi="Arial" w:cs="Arial"/>
                <w:b/>
                <w:bCs/>
                <w:sz w:val="16"/>
                <w:szCs w:val="16"/>
                <w:lang w:eastAsia="es-AR"/>
              </w:rPr>
            </w:pPr>
          </w:p>
        </w:tc>
        <w:tc>
          <w:tcPr>
            <w:tcW w:w="1134" w:type="dxa"/>
            <w:vMerge/>
            <w:tcBorders>
              <w:top w:val="single" w:sz="4" w:space="0" w:color="363639"/>
              <w:left w:val="single" w:sz="4" w:space="0" w:color="363639"/>
              <w:bottom w:val="single" w:sz="4" w:space="0" w:color="auto"/>
              <w:right w:val="single" w:sz="4" w:space="0" w:color="363639"/>
            </w:tcBorders>
            <w:shd w:val="clear" w:color="auto" w:fill="BDB3BD"/>
            <w:vAlign w:val="center"/>
            <w:hideMark/>
          </w:tcPr>
          <w:p w14:paraId="4F1955C6" w14:textId="77777777" w:rsidR="005F5300" w:rsidRPr="000B563A" w:rsidRDefault="005F5300" w:rsidP="00FC64C0">
            <w:pPr>
              <w:rPr>
                <w:rFonts w:ascii="Arial" w:hAnsi="Arial" w:cs="Arial"/>
                <w:b/>
                <w:bCs/>
                <w:sz w:val="16"/>
                <w:szCs w:val="16"/>
                <w:lang w:eastAsia="es-AR"/>
              </w:rPr>
            </w:pPr>
          </w:p>
        </w:tc>
      </w:tr>
      <w:tr w:rsidR="005F5300" w:rsidRPr="000B563A" w14:paraId="56AAF9C5" w14:textId="77777777" w:rsidTr="00FC64C0">
        <w:tc>
          <w:tcPr>
            <w:tcW w:w="2547" w:type="dxa"/>
            <w:tcBorders>
              <w:top w:val="single" w:sz="4" w:space="0" w:color="auto"/>
              <w:left w:val="nil"/>
              <w:bottom w:val="nil"/>
              <w:right w:val="nil"/>
            </w:tcBorders>
            <w:shd w:val="clear" w:color="auto" w:fill="auto"/>
            <w:vAlign w:val="center"/>
            <w:hideMark/>
          </w:tcPr>
          <w:p w14:paraId="0494B302" w14:textId="77777777" w:rsidR="005F5300" w:rsidRPr="000B563A" w:rsidRDefault="005F5300" w:rsidP="00FC64C0">
            <w:pPr>
              <w:jc w:val="center"/>
              <w:rPr>
                <w:rFonts w:ascii="Arial" w:hAnsi="Arial" w:cs="Arial"/>
                <w:sz w:val="16"/>
                <w:szCs w:val="16"/>
                <w:lang w:eastAsia="es-AR"/>
              </w:rPr>
            </w:pPr>
            <w:r w:rsidRPr="000B563A">
              <w:rPr>
                <w:rFonts w:ascii="Arial" w:hAnsi="Arial" w:cs="Arial"/>
                <w:sz w:val="16"/>
                <w:szCs w:val="16"/>
                <w:lang w:eastAsia="es-AR"/>
              </w:rPr>
              <w:t> </w:t>
            </w:r>
          </w:p>
        </w:tc>
        <w:tc>
          <w:tcPr>
            <w:tcW w:w="1204" w:type="dxa"/>
            <w:tcBorders>
              <w:top w:val="single" w:sz="4" w:space="0" w:color="auto"/>
              <w:left w:val="nil"/>
              <w:bottom w:val="nil"/>
              <w:right w:val="nil"/>
            </w:tcBorders>
            <w:shd w:val="clear" w:color="auto" w:fill="auto"/>
            <w:hideMark/>
          </w:tcPr>
          <w:p w14:paraId="57A40122" w14:textId="77777777" w:rsidR="005F5300" w:rsidRPr="000B563A" w:rsidRDefault="005F5300" w:rsidP="00FC64C0">
            <w:pPr>
              <w:jc w:val="center"/>
              <w:rPr>
                <w:rFonts w:ascii="Arial" w:hAnsi="Arial" w:cs="Arial"/>
                <w:sz w:val="16"/>
                <w:szCs w:val="16"/>
                <w:lang w:eastAsia="es-AR"/>
              </w:rPr>
            </w:pPr>
            <w:r w:rsidRPr="000B563A">
              <w:rPr>
                <w:rFonts w:ascii="Arial" w:hAnsi="Arial" w:cs="Arial"/>
                <w:sz w:val="16"/>
                <w:szCs w:val="16"/>
                <w:lang w:eastAsia="es-AR"/>
              </w:rPr>
              <w:t> </w:t>
            </w:r>
          </w:p>
        </w:tc>
        <w:tc>
          <w:tcPr>
            <w:tcW w:w="997" w:type="dxa"/>
            <w:tcBorders>
              <w:top w:val="single" w:sz="4" w:space="0" w:color="auto"/>
              <w:left w:val="nil"/>
              <w:bottom w:val="nil"/>
              <w:right w:val="nil"/>
            </w:tcBorders>
            <w:shd w:val="clear" w:color="auto" w:fill="auto"/>
            <w:vAlign w:val="center"/>
            <w:hideMark/>
          </w:tcPr>
          <w:p w14:paraId="49CC520A" w14:textId="77777777" w:rsidR="005F5300" w:rsidRPr="000B563A" w:rsidRDefault="005F5300" w:rsidP="00FC64C0">
            <w:pPr>
              <w:jc w:val="center"/>
              <w:rPr>
                <w:rFonts w:ascii="Arial" w:hAnsi="Arial" w:cs="Arial"/>
                <w:sz w:val="16"/>
                <w:szCs w:val="16"/>
                <w:lang w:eastAsia="es-AR"/>
              </w:rPr>
            </w:pPr>
            <w:r w:rsidRPr="000B563A">
              <w:rPr>
                <w:rFonts w:ascii="Arial" w:hAnsi="Arial" w:cs="Arial"/>
                <w:sz w:val="16"/>
                <w:szCs w:val="16"/>
                <w:lang w:eastAsia="es-AR"/>
              </w:rPr>
              <w:t> </w:t>
            </w:r>
          </w:p>
        </w:tc>
        <w:tc>
          <w:tcPr>
            <w:tcW w:w="897" w:type="dxa"/>
            <w:tcBorders>
              <w:top w:val="single" w:sz="4" w:space="0" w:color="auto"/>
              <w:left w:val="nil"/>
              <w:bottom w:val="nil"/>
              <w:right w:val="nil"/>
            </w:tcBorders>
            <w:shd w:val="clear" w:color="auto" w:fill="auto"/>
            <w:hideMark/>
          </w:tcPr>
          <w:p w14:paraId="3E74178F" w14:textId="77777777" w:rsidR="005F5300" w:rsidRPr="000B563A" w:rsidRDefault="005F5300" w:rsidP="00FC64C0">
            <w:pPr>
              <w:jc w:val="center"/>
              <w:rPr>
                <w:rFonts w:ascii="Arial" w:hAnsi="Arial" w:cs="Arial"/>
                <w:sz w:val="16"/>
                <w:szCs w:val="16"/>
                <w:lang w:eastAsia="es-AR"/>
              </w:rPr>
            </w:pPr>
            <w:r w:rsidRPr="000B563A">
              <w:rPr>
                <w:rFonts w:ascii="Arial" w:hAnsi="Arial" w:cs="Arial"/>
                <w:sz w:val="16"/>
                <w:szCs w:val="16"/>
                <w:lang w:eastAsia="es-AR"/>
              </w:rPr>
              <w:t> </w:t>
            </w:r>
          </w:p>
        </w:tc>
        <w:tc>
          <w:tcPr>
            <w:tcW w:w="1229" w:type="dxa"/>
            <w:tcBorders>
              <w:top w:val="single" w:sz="4" w:space="0" w:color="auto"/>
              <w:left w:val="nil"/>
              <w:bottom w:val="nil"/>
              <w:right w:val="nil"/>
            </w:tcBorders>
          </w:tcPr>
          <w:p w14:paraId="06B89F32" w14:textId="77777777" w:rsidR="005F5300" w:rsidRPr="000B563A" w:rsidRDefault="005F5300" w:rsidP="00FC64C0">
            <w:pPr>
              <w:jc w:val="center"/>
              <w:rPr>
                <w:rFonts w:ascii="Arial" w:hAnsi="Arial" w:cs="Arial"/>
                <w:sz w:val="16"/>
                <w:szCs w:val="16"/>
                <w:lang w:eastAsia="es-AR"/>
              </w:rPr>
            </w:pPr>
          </w:p>
        </w:tc>
        <w:tc>
          <w:tcPr>
            <w:tcW w:w="1229" w:type="dxa"/>
            <w:tcBorders>
              <w:top w:val="single" w:sz="4" w:space="0" w:color="auto"/>
              <w:left w:val="nil"/>
              <w:bottom w:val="nil"/>
              <w:right w:val="nil"/>
            </w:tcBorders>
            <w:shd w:val="clear" w:color="auto" w:fill="auto"/>
            <w:hideMark/>
          </w:tcPr>
          <w:p w14:paraId="73BFF742" w14:textId="77777777" w:rsidR="005F5300" w:rsidRPr="000B563A" w:rsidRDefault="005F5300" w:rsidP="00FC64C0">
            <w:pPr>
              <w:jc w:val="center"/>
              <w:rPr>
                <w:rFonts w:ascii="Arial" w:hAnsi="Arial" w:cs="Arial"/>
                <w:sz w:val="16"/>
                <w:szCs w:val="16"/>
                <w:lang w:eastAsia="es-AR"/>
              </w:rPr>
            </w:pPr>
            <w:r w:rsidRPr="000B563A">
              <w:rPr>
                <w:rFonts w:ascii="Arial" w:hAnsi="Arial" w:cs="Arial"/>
                <w:sz w:val="16"/>
                <w:szCs w:val="16"/>
                <w:lang w:eastAsia="es-AR"/>
              </w:rPr>
              <w:t> </w:t>
            </w:r>
          </w:p>
        </w:tc>
        <w:tc>
          <w:tcPr>
            <w:tcW w:w="1134" w:type="dxa"/>
            <w:tcBorders>
              <w:top w:val="single" w:sz="4" w:space="0" w:color="auto"/>
              <w:left w:val="nil"/>
              <w:bottom w:val="nil"/>
              <w:right w:val="nil"/>
            </w:tcBorders>
            <w:shd w:val="clear" w:color="auto" w:fill="auto"/>
            <w:hideMark/>
          </w:tcPr>
          <w:p w14:paraId="267DA4BA" w14:textId="77777777" w:rsidR="005F5300" w:rsidRPr="000B563A" w:rsidRDefault="005F5300" w:rsidP="00FC64C0">
            <w:pPr>
              <w:jc w:val="center"/>
              <w:rPr>
                <w:rFonts w:ascii="Arial" w:hAnsi="Arial" w:cs="Arial"/>
                <w:sz w:val="16"/>
                <w:szCs w:val="16"/>
                <w:lang w:eastAsia="es-AR"/>
              </w:rPr>
            </w:pPr>
            <w:r w:rsidRPr="000B563A">
              <w:rPr>
                <w:rFonts w:ascii="Arial" w:hAnsi="Arial" w:cs="Arial"/>
                <w:sz w:val="16"/>
                <w:szCs w:val="16"/>
                <w:lang w:eastAsia="es-AR"/>
              </w:rPr>
              <w:t> </w:t>
            </w:r>
          </w:p>
        </w:tc>
        <w:tc>
          <w:tcPr>
            <w:tcW w:w="1134" w:type="dxa"/>
            <w:tcBorders>
              <w:top w:val="single" w:sz="4" w:space="0" w:color="auto"/>
              <w:left w:val="nil"/>
              <w:bottom w:val="nil"/>
              <w:right w:val="nil"/>
            </w:tcBorders>
            <w:shd w:val="clear" w:color="auto" w:fill="auto"/>
            <w:hideMark/>
          </w:tcPr>
          <w:p w14:paraId="3D252FE3" w14:textId="77777777" w:rsidR="005F5300" w:rsidRPr="000B563A" w:rsidRDefault="005F5300" w:rsidP="00FC64C0">
            <w:pPr>
              <w:jc w:val="center"/>
              <w:rPr>
                <w:rFonts w:ascii="Arial" w:hAnsi="Arial" w:cs="Arial"/>
                <w:sz w:val="16"/>
                <w:szCs w:val="16"/>
                <w:lang w:eastAsia="es-AR"/>
              </w:rPr>
            </w:pPr>
            <w:r w:rsidRPr="000B563A">
              <w:rPr>
                <w:rFonts w:ascii="Arial" w:hAnsi="Arial" w:cs="Arial"/>
                <w:sz w:val="16"/>
                <w:szCs w:val="16"/>
                <w:lang w:eastAsia="es-AR"/>
              </w:rPr>
              <w:t> </w:t>
            </w:r>
          </w:p>
        </w:tc>
      </w:tr>
      <w:tr w:rsidR="00E839A9" w:rsidRPr="000B563A" w14:paraId="7FE539CA" w14:textId="77777777" w:rsidTr="005333A4">
        <w:tc>
          <w:tcPr>
            <w:tcW w:w="2547" w:type="dxa"/>
            <w:tcBorders>
              <w:left w:val="nil"/>
              <w:bottom w:val="nil"/>
              <w:right w:val="nil"/>
            </w:tcBorders>
            <w:shd w:val="clear" w:color="auto" w:fill="auto"/>
            <w:vAlign w:val="center"/>
          </w:tcPr>
          <w:p w14:paraId="783CE064" w14:textId="77777777" w:rsidR="00E839A9" w:rsidRPr="000B563A" w:rsidRDefault="00E839A9" w:rsidP="00E839A9">
            <w:pPr>
              <w:rPr>
                <w:rFonts w:ascii="Arial" w:hAnsi="Arial" w:cs="Arial"/>
                <w:sz w:val="16"/>
                <w:szCs w:val="16"/>
                <w:lang w:eastAsia="es-AR"/>
              </w:rPr>
            </w:pPr>
            <w:r>
              <w:rPr>
                <w:rFonts w:ascii="Arial" w:hAnsi="Arial" w:cs="Arial"/>
                <w:sz w:val="16"/>
                <w:szCs w:val="16"/>
                <w:lang w:eastAsia="es-AR"/>
              </w:rPr>
              <w:t>Otros activos financieros</w:t>
            </w:r>
          </w:p>
        </w:tc>
        <w:tc>
          <w:tcPr>
            <w:tcW w:w="1204" w:type="dxa"/>
            <w:tcBorders>
              <w:left w:val="nil"/>
              <w:bottom w:val="nil"/>
              <w:right w:val="nil"/>
            </w:tcBorders>
            <w:shd w:val="clear" w:color="auto" w:fill="auto"/>
            <w:vAlign w:val="bottom"/>
          </w:tcPr>
          <w:p w14:paraId="527956C3" w14:textId="3020BEBD"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332.877 </w:t>
            </w:r>
          </w:p>
        </w:tc>
        <w:tc>
          <w:tcPr>
            <w:tcW w:w="997" w:type="dxa"/>
            <w:tcBorders>
              <w:left w:val="nil"/>
              <w:bottom w:val="nil"/>
              <w:right w:val="nil"/>
            </w:tcBorders>
            <w:shd w:val="clear" w:color="auto" w:fill="auto"/>
            <w:vAlign w:val="bottom"/>
          </w:tcPr>
          <w:p w14:paraId="14024930" w14:textId="463B8BD7"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820 </w:t>
            </w:r>
          </w:p>
        </w:tc>
        <w:tc>
          <w:tcPr>
            <w:tcW w:w="897" w:type="dxa"/>
            <w:tcBorders>
              <w:left w:val="nil"/>
              <w:bottom w:val="nil"/>
              <w:right w:val="nil"/>
            </w:tcBorders>
            <w:shd w:val="clear" w:color="auto" w:fill="auto"/>
            <w:vAlign w:val="bottom"/>
          </w:tcPr>
          <w:p w14:paraId="36BE81D1" w14:textId="757080FB"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   </w:t>
            </w:r>
          </w:p>
        </w:tc>
        <w:tc>
          <w:tcPr>
            <w:tcW w:w="1229" w:type="dxa"/>
            <w:tcBorders>
              <w:left w:val="nil"/>
              <w:bottom w:val="nil"/>
              <w:right w:val="nil"/>
            </w:tcBorders>
            <w:vAlign w:val="bottom"/>
          </w:tcPr>
          <w:p w14:paraId="4586FE6D" w14:textId="78112121"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83.922 </w:t>
            </w:r>
          </w:p>
        </w:tc>
        <w:tc>
          <w:tcPr>
            <w:tcW w:w="1229" w:type="dxa"/>
            <w:tcBorders>
              <w:left w:val="nil"/>
              <w:bottom w:val="nil"/>
              <w:right w:val="nil"/>
            </w:tcBorders>
            <w:shd w:val="clear" w:color="auto" w:fill="auto"/>
            <w:vAlign w:val="bottom"/>
          </w:tcPr>
          <w:p w14:paraId="66DB6AB8" w14:textId="612BA738"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left w:val="nil"/>
              <w:bottom w:val="nil"/>
              <w:right w:val="nil"/>
            </w:tcBorders>
            <w:shd w:val="clear" w:color="auto" w:fill="auto"/>
            <w:vAlign w:val="bottom"/>
          </w:tcPr>
          <w:p w14:paraId="0A9A0DDB" w14:textId="7D421A6E"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-24.086 </w:t>
            </w:r>
          </w:p>
        </w:tc>
        <w:tc>
          <w:tcPr>
            <w:tcW w:w="1134" w:type="dxa"/>
            <w:tcBorders>
              <w:left w:val="nil"/>
              <w:bottom w:val="nil"/>
              <w:right w:val="nil"/>
            </w:tcBorders>
            <w:shd w:val="clear" w:color="auto" w:fill="auto"/>
            <w:vAlign w:val="bottom"/>
          </w:tcPr>
          <w:p w14:paraId="53124B72" w14:textId="6BFCEC10"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393.533 </w:t>
            </w:r>
          </w:p>
        </w:tc>
      </w:tr>
      <w:tr w:rsidR="00410804" w:rsidRPr="000B563A" w14:paraId="6D4083A0" w14:textId="77777777" w:rsidTr="005333A4">
        <w:tc>
          <w:tcPr>
            <w:tcW w:w="2547" w:type="dxa"/>
            <w:tcBorders>
              <w:left w:val="nil"/>
              <w:bottom w:val="nil"/>
              <w:right w:val="nil"/>
            </w:tcBorders>
            <w:shd w:val="clear" w:color="auto" w:fill="auto"/>
            <w:vAlign w:val="center"/>
          </w:tcPr>
          <w:p w14:paraId="17E6F15F" w14:textId="77777777" w:rsidR="00410804" w:rsidRPr="000B563A" w:rsidRDefault="00410804" w:rsidP="00410804">
            <w:pPr>
              <w:rPr>
                <w:rFonts w:ascii="Arial" w:hAnsi="Arial" w:cs="Arial"/>
                <w:sz w:val="16"/>
                <w:szCs w:val="16"/>
                <w:lang w:eastAsia="es-AR"/>
              </w:rPr>
            </w:pPr>
          </w:p>
        </w:tc>
        <w:tc>
          <w:tcPr>
            <w:tcW w:w="1204" w:type="dxa"/>
            <w:tcBorders>
              <w:left w:val="nil"/>
              <w:bottom w:val="nil"/>
              <w:right w:val="nil"/>
            </w:tcBorders>
            <w:shd w:val="clear" w:color="auto" w:fill="auto"/>
            <w:vAlign w:val="bottom"/>
          </w:tcPr>
          <w:p w14:paraId="11C68E13" w14:textId="093BD77B" w:rsidR="00410804" w:rsidRPr="00E839A9" w:rsidRDefault="00410804">
            <w:pPr>
              <w:jc w:val="right"/>
              <w:rPr>
                <w:rFonts w:ascii="Arial" w:hAnsi="Arial" w:cs="Arial"/>
                <w:sz w:val="16"/>
                <w:szCs w:val="16"/>
                <w:lang w:eastAsia="es-AR"/>
              </w:rPr>
            </w:pPr>
          </w:p>
        </w:tc>
        <w:tc>
          <w:tcPr>
            <w:tcW w:w="997" w:type="dxa"/>
            <w:tcBorders>
              <w:left w:val="nil"/>
              <w:bottom w:val="nil"/>
              <w:right w:val="nil"/>
            </w:tcBorders>
            <w:shd w:val="clear" w:color="auto" w:fill="auto"/>
            <w:vAlign w:val="bottom"/>
          </w:tcPr>
          <w:p w14:paraId="09452A19" w14:textId="6EE2AE0B" w:rsidR="00410804" w:rsidRPr="00E839A9" w:rsidRDefault="00410804">
            <w:pPr>
              <w:jc w:val="right"/>
              <w:rPr>
                <w:rFonts w:ascii="Arial" w:hAnsi="Arial" w:cs="Arial"/>
                <w:sz w:val="16"/>
                <w:szCs w:val="16"/>
                <w:lang w:eastAsia="es-AR"/>
              </w:rPr>
            </w:pPr>
          </w:p>
        </w:tc>
        <w:tc>
          <w:tcPr>
            <w:tcW w:w="897" w:type="dxa"/>
            <w:tcBorders>
              <w:left w:val="nil"/>
              <w:bottom w:val="nil"/>
              <w:right w:val="nil"/>
            </w:tcBorders>
            <w:shd w:val="clear" w:color="auto" w:fill="auto"/>
            <w:vAlign w:val="bottom"/>
          </w:tcPr>
          <w:p w14:paraId="3D6CC797" w14:textId="56F422AA" w:rsidR="00410804" w:rsidRPr="00E839A9" w:rsidRDefault="00410804">
            <w:pPr>
              <w:jc w:val="right"/>
              <w:rPr>
                <w:rFonts w:ascii="Arial" w:hAnsi="Arial" w:cs="Arial"/>
                <w:sz w:val="16"/>
                <w:szCs w:val="16"/>
                <w:lang w:eastAsia="es-AR"/>
              </w:rPr>
            </w:pPr>
          </w:p>
        </w:tc>
        <w:tc>
          <w:tcPr>
            <w:tcW w:w="1229" w:type="dxa"/>
            <w:tcBorders>
              <w:left w:val="nil"/>
              <w:bottom w:val="nil"/>
              <w:right w:val="nil"/>
            </w:tcBorders>
            <w:vAlign w:val="bottom"/>
          </w:tcPr>
          <w:p w14:paraId="1131C2C7" w14:textId="3481144A" w:rsidR="00410804" w:rsidRPr="00E839A9" w:rsidRDefault="00410804">
            <w:pPr>
              <w:jc w:val="right"/>
              <w:rPr>
                <w:rFonts w:ascii="Arial" w:hAnsi="Arial" w:cs="Arial"/>
                <w:sz w:val="16"/>
                <w:szCs w:val="16"/>
                <w:lang w:eastAsia="es-AR"/>
              </w:rPr>
            </w:pPr>
          </w:p>
        </w:tc>
        <w:tc>
          <w:tcPr>
            <w:tcW w:w="1229" w:type="dxa"/>
            <w:tcBorders>
              <w:left w:val="nil"/>
              <w:bottom w:val="nil"/>
              <w:right w:val="nil"/>
            </w:tcBorders>
            <w:shd w:val="clear" w:color="auto" w:fill="auto"/>
            <w:vAlign w:val="bottom"/>
          </w:tcPr>
          <w:p w14:paraId="3D09F461" w14:textId="77777777" w:rsidR="00410804" w:rsidRPr="00E839A9" w:rsidRDefault="00410804">
            <w:pPr>
              <w:jc w:val="right"/>
              <w:rPr>
                <w:rFonts w:ascii="Arial" w:hAnsi="Arial" w:cs="Arial"/>
                <w:sz w:val="16"/>
                <w:szCs w:val="16"/>
                <w:lang w:eastAsia="es-AR"/>
              </w:rPr>
            </w:pPr>
          </w:p>
        </w:tc>
        <w:tc>
          <w:tcPr>
            <w:tcW w:w="1134" w:type="dxa"/>
            <w:tcBorders>
              <w:left w:val="nil"/>
              <w:bottom w:val="nil"/>
              <w:right w:val="nil"/>
            </w:tcBorders>
            <w:shd w:val="clear" w:color="auto" w:fill="auto"/>
            <w:vAlign w:val="bottom"/>
          </w:tcPr>
          <w:p w14:paraId="41F10DE5" w14:textId="53ADBD18" w:rsidR="00410804" w:rsidRPr="00E839A9" w:rsidRDefault="00410804">
            <w:pPr>
              <w:jc w:val="right"/>
              <w:rPr>
                <w:rFonts w:ascii="Arial" w:hAnsi="Arial" w:cs="Arial"/>
                <w:sz w:val="16"/>
                <w:szCs w:val="16"/>
                <w:lang w:eastAsia="es-AR"/>
              </w:rPr>
            </w:pPr>
          </w:p>
        </w:tc>
        <w:tc>
          <w:tcPr>
            <w:tcW w:w="1134" w:type="dxa"/>
            <w:tcBorders>
              <w:left w:val="nil"/>
              <w:bottom w:val="nil"/>
              <w:right w:val="nil"/>
            </w:tcBorders>
            <w:shd w:val="clear" w:color="auto" w:fill="auto"/>
            <w:vAlign w:val="bottom"/>
          </w:tcPr>
          <w:p w14:paraId="57AEF02B" w14:textId="4B3C200E" w:rsidR="00410804" w:rsidRPr="00E839A9" w:rsidRDefault="00410804">
            <w:pPr>
              <w:jc w:val="right"/>
              <w:rPr>
                <w:rFonts w:ascii="Arial" w:hAnsi="Arial" w:cs="Arial"/>
                <w:sz w:val="16"/>
                <w:szCs w:val="16"/>
                <w:lang w:eastAsia="es-AR"/>
              </w:rPr>
            </w:pPr>
          </w:p>
        </w:tc>
      </w:tr>
      <w:tr w:rsidR="00410804" w:rsidRPr="000B563A" w14:paraId="0C206A0A" w14:textId="77777777" w:rsidTr="005333A4">
        <w:tc>
          <w:tcPr>
            <w:tcW w:w="2547" w:type="dxa"/>
            <w:tcBorders>
              <w:top w:val="nil"/>
              <w:left w:val="nil"/>
              <w:bottom w:val="nil"/>
              <w:right w:val="nil"/>
            </w:tcBorders>
            <w:shd w:val="clear" w:color="auto" w:fill="auto"/>
            <w:vAlign w:val="bottom"/>
            <w:hideMark/>
          </w:tcPr>
          <w:p w14:paraId="5F068171" w14:textId="77777777" w:rsidR="00410804" w:rsidRPr="000B563A" w:rsidRDefault="00410804" w:rsidP="00410804">
            <w:pPr>
              <w:rPr>
                <w:rFonts w:ascii="Arial" w:hAnsi="Arial" w:cs="Arial"/>
                <w:sz w:val="16"/>
                <w:szCs w:val="16"/>
                <w:lang w:eastAsia="es-AR"/>
              </w:rPr>
            </w:pPr>
            <w:r w:rsidRPr="000B563A">
              <w:rPr>
                <w:rFonts w:ascii="Arial" w:hAnsi="Arial" w:cs="Arial"/>
                <w:sz w:val="16"/>
                <w:szCs w:val="16"/>
                <w:lang w:eastAsia="es-AR"/>
              </w:rPr>
              <w:t>Préstamos y otras financiaciones</w:t>
            </w:r>
          </w:p>
        </w:tc>
        <w:tc>
          <w:tcPr>
            <w:tcW w:w="1204" w:type="dxa"/>
            <w:tcBorders>
              <w:top w:val="nil"/>
              <w:left w:val="nil"/>
              <w:bottom w:val="nil"/>
              <w:right w:val="nil"/>
            </w:tcBorders>
            <w:shd w:val="clear" w:color="auto" w:fill="auto"/>
            <w:vAlign w:val="bottom"/>
          </w:tcPr>
          <w:p w14:paraId="17A0B0AF" w14:textId="0616992B" w:rsidR="00410804" w:rsidRPr="00E839A9" w:rsidRDefault="00410804">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bottom"/>
          </w:tcPr>
          <w:p w14:paraId="0AA6DAE1" w14:textId="5AA1A3D2" w:rsidR="00410804" w:rsidRPr="00E839A9" w:rsidRDefault="00410804">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bottom"/>
          </w:tcPr>
          <w:p w14:paraId="3E27B125" w14:textId="6D1F08CD" w:rsidR="00410804" w:rsidRPr="00E839A9" w:rsidRDefault="00410804">
            <w:pPr>
              <w:jc w:val="right"/>
              <w:rPr>
                <w:rFonts w:ascii="Arial" w:hAnsi="Arial" w:cs="Arial"/>
                <w:sz w:val="16"/>
                <w:szCs w:val="16"/>
                <w:lang w:eastAsia="es-AR"/>
              </w:rPr>
            </w:pPr>
          </w:p>
        </w:tc>
        <w:tc>
          <w:tcPr>
            <w:tcW w:w="1229" w:type="dxa"/>
            <w:tcBorders>
              <w:top w:val="nil"/>
              <w:left w:val="nil"/>
              <w:bottom w:val="nil"/>
              <w:right w:val="nil"/>
            </w:tcBorders>
            <w:vAlign w:val="bottom"/>
          </w:tcPr>
          <w:p w14:paraId="13C3B641" w14:textId="57C64A58" w:rsidR="00410804" w:rsidRPr="00E839A9" w:rsidRDefault="00410804">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bottom"/>
          </w:tcPr>
          <w:p w14:paraId="56339EF9" w14:textId="77777777" w:rsidR="00410804" w:rsidRPr="00E839A9" w:rsidRDefault="00410804">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15669B9D" w14:textId="2A682ADB" w:rsidR="00410804" w:rsidRPr="00E839A9" w:rsidRDefault="00410804">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1C6C91C1" w14:textId="7940D258" w:rsidR="00410804" w:rsidRPr="00E839A9" w:rsidRDefault="00410804">
            <w:pPr>
              <w:jc w:val="right"/>
              <w:rPr>
                <w:rFonts w:ascii="Arial" w:hAnsi="Arial" w:cs="Arial"/>
                <w:sz w:val="16"/>
                <w:szCs w:val="16"/>
                <w:lang w:eastAsia="es-AR"/>
              </w:rPr>
            </w:pPr>
          </w:p>
        </w:tc>
      </w:tr>
      <w:tr w:rsidR="00E839A9" w:rsidRPr="000B563A" w14:paraId="2E87493E" w14:textId="77777777" w:rsidTr="005333A4">
        <w:tc>
          <w:tcPr>
            <w:tcW w:w="2547" w:type="dxa"/>
            <w:tcBorders>
              <w:top w:val="nil"/>
              <w:left w:val="nil"/>
              <w:bottom w:val="nil"/>
              <w:right w:val="nil"/>
            </w:tcBorders>
            <w:shd w:val="clear" w:color="auto" w:fill="auto"/>
            <w:vAlign w:val="bottom"/>
            <w:hideMark/>
          </w:tcPr>
          <w:p w14:paraId="5290BBB4" w14:textId="77777777" w:rsidR="00E839A9" w:rsidRPr="000B563A" w:rsidRDefault="00E839A9" w:rsidP="00E839A9">
            <w:pPr>
              <w:ind w:firstLineChars="200" w:firstLine="320"/>
              <w:rPr>
                <w:rFonts w:ascii="Arial" w:hAnsi="Arial" w:cs="Arial"/>
                <w:sz w:val="16"/>
                <w:szCs w:val="16"/>
                <w:lang w:eastAsia="es-AR"/>
              </w:rPr>
            </w:pPr>
            <w:r w:rsidRPr="000B563A">
              <w:rPr>
                <w:rFonts w:ascii="Arial" w:hAnsi="Arial" w:cs="Arial"/>
                <w:sz w:val="16"/>
                <w:szCs w:val="16"/>
                <w:lang w:eastAsia="es-AR"/>
              </w:rPr>
              <w:t>Otras Entidades Financieras</w:t>
            </w:r>
          </w:p>
        </w:tc>
        <w:tc>
          <w:tcPr>
            <w:tcW w:w="1204" w:type="dxa"/>
            <w:tcBorders>
              <w:top w:val="nil"/>
              <w:left w:val="nil"/>
              <w:bottom w:val="nil"/>
              <w:right w:val="nil"/>
            </w:tcBorders>
            <w:shd w:val="clear" w:color="auto" w:fill="auto"/>
            <w:vAlign w:val="bottom"/>
          </w:tcPr>
          <w:p w14:paraId="157DB977" w14:textId="60F916A0"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1.466 </w:t>
            </w:r>
          </w:p>
        </w:tc>
        <w:tc>
          <w:tcPr>
            <w:tcW w:w="997" w:type="dxa"/>
            <w:tcBorders>
              <w:top w:val="nil"/>
              <w:left w:val="nil"/>
              <w:bottom w:val="nil"/>
              <w:right w:val="nil"/>
            </w:tcBorders>
            <w:shd w:val="clear" w:color="auto" w:fill="auto"/>
            <w:vAlign w:val="bottom"/>
          </w:tcPr>
          <w:p w14:paraId="1340D23D" w14:textId="4EE5D8DB"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29.081 </w:t>
            </w:r>
          </w:p>
        </w:tc>
        <w:tc>
          <w:tcPr>
            <w:tcW w:w="897" w:type="dxa"/>
            <w:tcBorders>
              <w:top w:val="nil"/>
              <w:left w:val="nil"/>
              <w:bottom w:val="nil"/>
              <w:right w:val="nil"/>
            </w:tcBorders>
            <w:shd w:val="clear" w:color="auto" w:fill="auto"/>
            <w:vAlign w:val="bottom"/>
          </w:tcPr>
          <w:p w14:paraId="38CE36FE" w14:textId="62BD3681"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   </w:t>
            </w:r>
          </w:p>
        </w:tc>
        <w:tc>
          <w:tcPr>
            <w:tcW w:w="1229" w:type="dxa"/>
            <w:tcBorders>
              <w:top w:val="nil"/>
              <w:left w:val="nil"/>
              <w:bottom w:val="nil"/>
              <w:right w:val="nil"/>
            </w:tcBorders>
            <w:vAlign w:val="bottom"/>
          </w:tcPr>
          <w:p w14:paraId="5A207707" w14:textId="0FE0D0C0"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   </w:t>
            </w:r>
          </w:p>
        </w:tc>
        <w:tc>
          <w:tcPr>
            <w:tcW w:w="1229" w:type="dxa"/>
            <w:tcBorders>
              <w:top w:val="nil"/>
              <w:left w:val="nil"/>
              <w:bottom w:val="nil"/>
              <w:right w:val="nil"/>
            </w:tcBorders>
            <w:shd w:val="clear" w:color="auto" w:fill="auto"/>
            <w:vAlign w:val="bottom"/>
          </w:tcPr>
          <w:p w14:paraId="2A832FB2" w14:textId="584C60E8"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05C98593" w14:textId="3EB52014"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-105 </w:t>
            </w:r>
          </w:p>
        </w:tc>
        <w:tc>
          <w:tcPr>
            <w:tcW w:w="1134" w:type="dxa"/>
            <w:tcBorders>
              <w:top w:val="nil"/>
              <w:left w:val="nil"/>
              <w:bottom w:val="nil"/>
              <w:right w:val="nil"/>
            </w:tcBorders>
            <w:shd w:val="clear" w:color="auto" w:fill="auto"/>
            <w:vAlign w:val="bottom"/>
          </w:tcPr>
          <w:p w14:paraId="1F161DF0" w14:textId="459C804C"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30.442 </w:t>
            </w:r>
          </w:p>
        </w:tc>
      </w:tr>
      <w:tr w:rsidR="00E839A9" w:rsidRPr="000B563A" w14:paraId="4429F17E" w14:textId="77777777" w:rsidTr="005333A4">
        <w:tc>
          <w:tcPr>
            <w:tcW w:w="2547" w:type="dxa"/>
            <w:tcBorders>
              <w:top w:val="nil"/>
              <w:left w:val="nil"/>
              <w:bottom w:val="nil"/>
              <w:right w:val="nil"/>
            </w:tcBorders>
            <w:shd w:val="clear" w:color="auto" w:fill="auto"/>
            <w:vAlign w:val="bottom"/>
            <w:hideMark/>
          </w:tcPr>
          <w:p w14:paraId="1711AD30" w14:textId="77777777" w:rsidR="00E839A9" w:rsidRPr="000B563A" w:rsidRDefault="00E839A9" w:rsidP="00E839A9">
            <w:pPr>
              <w:ind w:firstLineChars="200" w:firstLine="320"/>
              <w:rPr>
                <w:rFonts w:ascii="Arial" w:hAnsi="Arial" w:cs="Arial"/>
                <w:sz w:val="16"/>
                <w:szCs w:val="16"/>
                <w:lang w:eastAsia="es-AR"/>
              </w:rPr>
            </w:pPr>
            <w:r w:rsidRPr="000B563A">
              <w:rPr>
                <w:rFonts w:ascii="Arial" w:hAnsi="Arial" w:cs="Arial"/>
                <w:sz w:val="16"/>
                <w:szCs w:val="16"/>
                <w:lang w:eastAsia="es-AR"/>
              </w:rPr>
              <w:t>Sector privado no financiero y residentes en el Exterior</w:t>
            </w:r>
          </w:p>
        </w:tc>
        <w:tc>
          <w:tcPr>
            <w:tcW w:w="1204" w:type="dxa"/>
            <w:tcBorders>
              <w:top w:val="nil"/>
              <w:left w:val="nil"/>
              <w:bottom w:val="nil"/>
              <w:right w:val="nil"/>
            </w:tcBorders>
            <w:shd w:val="clear" w:color="auto" w:fill="auto"/>
            <w:vAlign w:val="bottom"/>
          </w:tcPr>
          <w:p w14:paraId="1C2DBFDD" w14:textId="3FA54794" w:rsidR="00E839A9" w:rsidRPr="00E839A9" w:rsidRDefault="00E839A9" w:rsidP="005333A4">
            <w:pPr>
              <w:ind w:firstLineChars="200" w:firstLine="321"/>
              <w:jc w:val="right"/>
              <w:rPr>
                <w:rFonts w:ascii="Arial" w:hAnsi="Arial" w:cs="Arial"/>
                <w:b/>
                <w:bCs/>
                <w:sz w:val="16"/>
                <w:szCs w:val="16"/>
                <w:lang w:eastAsia="es-AR"/>
              </w:rPr>
            </w:pPr>
            <w:r w:rsidRPr="005333A4">
              <w:rPr>
                <w:rFonts w:ascii="Arial" w:hAnsi="Arial" w:cs="Arial"/>
                <w:b/>
                <w:sz w:val="16"/>
                <w:szCs w:val="16"/>
              </w:rPr>
              <w:t xml:space="preserve"> 5.997.968 </w:t>
            </w:r>
          </w:p>
        </w:tc>
        <w:tc>
          <w:tcPr>
            <w:tcW w:w="997" w:type="dxa"/>
            <w:tcBorders>
              <w:top w:val="nil"/>
              <w:left w:val="nil"/>
              <w:bottom w:val="nil"/>
              <w:right w:val="nil"/>
            </w:tcBorders>
            <w:shd w:val="clear" w:color="auto" w:fill="auto"/>
            <w:vAlign w:val="bottom"/>
          </w:tcPr>
          <w:p w14:paraId="22264852" w14:textId="42B7C498"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-116.168 </w:t>
            </w:r>
          </w:p>
        </w:tc>
        <w:tc>
          <w:tcPr>
            <w:tcW w:w="897" w:type="dxa"/>
            <w:tcBorders>
              <w:top w:val="nil"/>
              <w:left w:val="nil"/>
              <w:bottom w:val="nil"/>
              <w:right w:val="nil"/>
            </w:tcBorders>
            <w:shd w:val="clear" w:color="auto" w:fill="auto"/>
            <w:vAlign w:val="bottom"/>
          </w:tcPr>
          <w:p w14:paraId="31B12CC2" w14:textId="1EFDCE2B"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 113.193 </w:t>
            </w:r>
          </w:p>
        </w:tc>
        <w:tc>
          <w:tcPr>
            <w:tcW w:w="1229" w:type="dxa"/>
            <w:tcBorders>
              <w:top w:val="nil"/>
              <w:left w:val="nil"/>
              <w:bottom w:val="nil"/>
              <w:right w:val="nil"/>
            </w:tcBorders>
            <w:vAlign w:val="bottom"/>
          </w:tcPr>
          <w:p w14:paraId="750EE671" w14:textId="09DAFE06"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 143.485 </w:t>
            </w:r>
          </w:p>
        </w:tc>
        <w:tc>
          <w:tcPr>
            <w:tcW w:w="1229" w:type="dxa"/>
            <w:tcBorders>
              <w:top w:val="nil"/>
              <w:left w:val="nil"/>
              <w:bottom w:val="nil"/>
              <w:right w:val="nil"/>
            </w:tcBorders>
            <w:shd w:val="clear" w:color="auto" w:fill="auto"/>
            <w:vAlign w:val="bottom"/>
          </w:tcPr>
          <w:p w14:paraId="57AB6054" w14:textId="2F72C17F" w:rsidR="00E839A9" w:rsidRPr="00E839A9" w:rsidRDefault="00E839A9">
            <w:pPr>
              <w:jc w:val="right"/>
              <w:rPr>
                <w:rFonts w:ascii="Arial" w:hAnsi="Arial" w:cs="Arial"/>
                <w:b/>
                <w:bCs/>
                <w:sz w:val="16"/>
                <w:szCs w:val="16"/>
                <w:lang w:eastAsia="es-AR"/>
              </w:rPr>
            </w:pPr>
            <w:r w:rsidRPr="005333A4">
              <w:rPr>
                <w:rFonts w:ascii="Arial" w:hAnsi="Arial" w:cs="Arial"/>
                <w:b/>
                <w:color w:val="000000"/>
                <w:sz w:val="16"/>
                <w:szCs w:val="16"/>
              </w:rPr>
              <w:t>-</w:t>
            </w:r>
          </w:p>
        </w:tc>
        <w:tc>
          <w:tcPr>
            <w:tcW w:w="1134" w:type="dxa"/>
            <w:tcBorders>
              <w:top w:val="nil"/>
              <w:left w:val="nil"/>
              <w:bottom w:val="nil"/>
              <w:right w:val="nil"/>
            </w:tcBorders>
            <w:shd w:val="clear" w:color="auto" w:fill="auto"/>
            <w:vAlign w:val="bottom"/>
          </w:tcPr>
          <w:p w14:paraId="649B6A47" w14:textId="314FDAB6"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-433.993 </w:t>
            </w:r>
          </w:p>
        </w:tc>
        <w:tc>
          <w:tcPr>
            <w:tcW w:w="1134" w:type="dxa"/>
            <w:tcBorders>
              <w:top w:val="nil"/>
              <w:left w:val="nil"/>
              <w:bottom w:val="nil"/>
              <w:right w:val="nil"/>
            </w:tcBorders>
            <w:shd w:val="clear" w:color="auto" w:fill="auto"/>
            <w:vAlign w:val="bottom"/>
          </w:tcPr>
          <w:p w14:paraId="394917FC" w14:textId="5F864A3D"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 5.704.485 </w:t>
            </w:r>
          </w:p>
        </w:tc>
      </w:tr>
      <w:tr w:rsidR="00E839A9" w:rsidRPr="000B563A" w14:paraId="009AE95B" w14:textId="77777777" w:rsidTr="005333A4">
        <w:tc>
          <w:tcPr>
            <w:tcW w:w="2547" w:type="dxa"/>
            <w:tcBorders>
              <w:top w:val="nil"/>
              <w:left w:val="nil"/>
              <w:bottom w:val="nil"/>
              <w:right w:val="nil"/>
            </w:tcBorders>
            <w:shd w:val="clear" w:color="auto" w:fill="auto"/>
            <w:vAlign w:val="bottom"/>
            <w:hideMark/>
          </w:tcPr>
          <w:p w14:paraId="18224B8A"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Adelantos</w:t>
            </w:r>
          </w:p>
        </w:tc>
        <w:tc>
          <w:tcPr>
            <w:tcW w:w="1204" w:type="dxa"/>
            <w:tcBorders>
              <w:top w:val="nil"/>
              <w:left w:val="nil"/>
              <w:bottom w:val="nil"/>
              <w:right w:val="nil"/>
            </w:tcBorders>
            <w:shd w:val="clear" w:color="auto" w:fill="auto"/>
            <w:vAlign w:val="bottom"/>
          </w:tcPr>
          <w:p w14:paraId="76B89BA9" w14:textId="3DDAE2FF" w:rsidR="00E839A9" w:rsidRPr="00E839A9" w:rsidRDefault="00E839A9">
            <w:pPr>
              <w:jc w:val="right"/>
              <w:rPr>
                <w:rFonts w:ascii="Arial" w:hAnsi="Arial" w:cs="Arial"/>
                <w:sz w:val="16"/>
                <w:szCs w:val="16"/>
              </w:rPr>
            </w:pPr>
            <w:r w:rsidRPr="005333A4">
              <w:rPr>
                <w:rFonts w:ascii="Arial" w:hAnsi="Arial" w:cs="Arial"/>
                <w:sz w:val="16"/>
                <w:szCs w:val="16"/>
              </w:rPr>
              <w:t xml:space="preserve"> 1.225.286 </w:t>
            </w:r>
          </w:p>
        </w:tc>
        <w:tc>
          <w:tcPr>
            <w:tcW w:w="997" w:type="dxa"/>
            <w:tcBorders>
              <w:top w:val="nil"/>
              <w:left w:val="nil"/>
              <w:bottom w:val="nil"/>
              <w:right w:val="nil"/>
            </w:tcBorders>
            <w:shd w:val="clear" w:color="auto" w:fill="auto"/>
            <w:vAlign w:val="bottom"/>
          </w:tcPr>
          <w:p w14:paraId="23389AE2" w14:textId="11432C81"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46.638 </w:t>
            </w:r>
          </w:p>
        </w:tc>
        <w:tc>
          <w:tcPr>
            <w:tcW w:w="897" w:type="dxa"/>
            <w:tcBorders>
              <w:top w:val="nil"/>
              <w:left w:val="nil"/>
              <w:bottom w:val="nil"/>
              <w:right w:val="nil"/>
            </w:tcBorders>
            <w:shd w:val="clear" w:color="auto" w:fill="auto"/>
            <w:vAlign w:val="bottom"/>
          </w:tcPr>
          <w:p w14:paraId="4D9A8693" w14:textId="590EF880"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-3.021 </w:t>
            </w:r>
          </w:p>
        </w:tc>
        <w:tc>
          <w:tcPr>
            <w:tcW w:w="1229" w:type="dxa"/>
            <w:tcBorders>
              <w:top w:val="nil"/>
              <w:left w:val="nil"/>
              <w:bottom w:val="nil"/>
              <w:right w:val="nil"/>
            </w:tcBorders>
            <w:vAlign w:val="bottom"/>
          </w:tcPr>
          <w:p w14:paraId="3C299144" w14:textId="2E6023B6"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-103.217 </w:t>
            </w:r>
          </w:p>
        </w:tc>
        <w:tc>
          <w:tcPr>
            <w:tcW w:w="1229" w:type="dxa"/>
            <w:tcBorders>
              <w:top w:val="nil"/>
              <w:left w:val="nil"/>
              <w:bottom w:val="nil"/>
              <w:right w:val="nil"/>
            </w:tcBorders>
            <w:shd w:val="clear" w:color="auto" w:fill="auto"/>
            <w:vAlign w:val="bottom"/>
          </w:tcPr>
          <w:p w14:paraId="21B6ABB5" w14:textId="34B9BE22"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77E5F599" w14:textId="3946D575"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-88.657 </w:t>
            </w:r>
          </w:p>
        </w:tc>
        <w:tc>
          <w:tcPr>
            <w:tcW w:w="1134" w:type="dxa"/>
            <w:tcBorders>
              <w:top w:val="nil"/>
              <w:left w:val="nil"/>
              <w:bottom w:val="nil"/>
              <w:right w:val="nil"/>
            </w:tcBorders>
            <w:shd w:val="clear" w:color="auto" w:fill="auto"/>
            <w:vAlign w:val="bottom"/>
          </w:tcPr>
          <w:p w14:paraId="4C0BED49" w14:textId="6D77C943"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1.077.029 </w:t>
            </w:r>
          </w:p>
        </w:tc>
      </w:tr>
      <w:tr w:rsidR="00E839A9" w:rsidRPr="000B563A" w14:paraId="7ACB9621" w14:textId="77777777" w:rsidTr="005333A4">
        <w:tc>
          <w:tcPr>
            <w:tcW w:w="2547" w:type="dxa"/>
            <w:tcBorders>
              <w:top w:val="nil"/>
              <w:left w:val="nil"/>
              <w:bottom w:val="nil"/>
              <w:right w:val="nil"/>
            </w:tcBorders>
            <w:shd w:val="clear" w:color="auto" w:fill="auto"/>
            <w:vAlign w:val="bottom"/>
            <w:hideMark/>
          </w:tcPr>
          <w:p w14:paraId="51F707BF"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Documentos</w:t>
            </w:r>
          </w:p>
        </w:tc>
        <w:tc>
          <w:tcPr>
            <w:tcW w:w="1204" w:type="dxa"/>
            <w:tcBorders>
              <w:top w:val="nil"/>
              <w:left w:val="nil"/>
              <w:bottom w:val="nil"/>
              <w:right w:val="nil"/>
            </w:tcBorders>
            <w:shd w:val="clear" w:color="auto" w:fill="auto"/>
            <w:vAlign w:val="bottom"/>
          </w:tcPr>
          <w:p w14:paraId="0CF1135E" w14:textId="30386C36" w:rsidR="00E839A9" w:rsidRPr="00E839A9" w:rsidRDefault="00E839A9">
            <w:pPr>
              <w:jc w:val="right"/>
              <w:rPr>
                <w:rFonts w:ascii="Arial" w:hAnsi="Arial" w:cs="Arial"/>
                <w:sz w:val="16"/>
                <w:szCs w:val="16"/>
              </w:rPr>
            </w:pPr>
            <w:r w:rsidRPr="005333A4">
              <w:rPr>
                <w:rFonts w:ascii="Arial" w:hAnsi="Arial" w:cs="Arial"/>
                <w:sz w:val="16"/>
                <w:szCs w:val="16"/>
              </w:rPr>
              <w:t xml:space="preserve"> 356.274 </w:t>
            </w:r>
          </w:p>
        </w:tc>
        <w:tc>
          <w:tcPr>
            <w:tcW w:w="997" w:type="dxa"/>
            <w:tcBorders>
              <w:top w:val="nil"/>
              <w:left w:val="nil"/>
              <w:bottom w:val="nil"/>
              <w:right w:val="nil"/>
            </w:tcBorders>
            <w:shd w:val="clear" w:color="auto" w:fill="auto"/>
            <w:vAlign w:val="bottom"/>
          </w:tcPr>
          <w:p w14:paraId="1780A816" w14:textId="7F9C1194"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-2.963 </w:t>
            </w:r>
          </w:p>
        </w:tc>
        <w:tc>
          <w:tcPr>
            <w:tcW w:w="897" w:type="dxa"/>
            <w:tcBorders>
              <w:top w:val="nil"/>
              <w:left w:val="nil"/>
              <w:bottom w:val="nil"/>
              <w:right w:val="nil"/>
            </w:tcBorders>
            <w:shd w:val="clear" w:color="auto" w:fill="auto"/>
            <w:vAlign w:val="bottom"/>
          </w:tcPr>
          <w:p w14:paraId="3DBD0A8A" w14:textId="215B634A"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-24.090 </w:t>
            </w:r>
          </w:p>
        </w:tc>
        <w:tc>
          <w:tcPr>
            <w:tcW w:w="1229" w:type="dxa"/>
            <w:tcBorders>
              <w:top w:val="nil"/>
              <w:left w:val="nil"/>
              <w:bottom w:val="nil"/>
              <w:right w:val="nil"/>
            </w:tcBorders>
            <w:vAlign w:val="bottom"/>
          </w:tcPr>
          <w:p w14:paraId="184A32F7" w14:textId="49FCBF8F"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35.636 </w:t>
            </w:r>
          </w:p>
        </w:tc>
        <w:tc>
          <w:tcPr>
            <w:tcW w:w="1229" w:type="dxa"/>
            <w:tcBorders>
              <w:top w:val="nil"/>
              <w:left w:val="nil"/>
              <w:bottom w:val="nil"/>
              <w:right w:val="nil"/>
            </w:tcBorders>
            <w:shd w:val="clear" w:color="auto" w:fill="auto"/>
            <w:vAlign w:val="bottom"/>
          </w:tcPr>
          <w:p w14:paraId="7191F79B" w14:textId="2E8C92DF"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07D4F943" w14:textId="004DBB34"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-25.779 </w:t>
            </w:r>
          </w:p>
        </w:tc>
        <w:tc>
          <w:tcPr>
            <w:tcW w:w="1134" w:type="dxa"/>
            <w:tcBorders>
              <w:top w:val="nil"/>
              <w:left w:val="nil"/>
              <w:bottom w:val="nil"/>
              <w:right w:val="nil"/>
            </w:tcBorders>
            <w:shd w:val="clear" w:color="auto" w:fill="auto"/>
            <w:vAlign w:val="bottom"/>
          </w:tcPr>
          <w:p w14:paraId="106B2DE0" w14:textId="41135CBC"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339.078 </w:t>
            </w:r>
          </w:p>
        </w:tc>
      </w:tr>
      <w:tr w:rsidR="00E839A9" w:rsidRPr="000B563A" w14:paraId="17D7003C" w14:textId="77777777" w:rsidTr="005333A4">
        <w:tc>
          <w:tcPr>
            <w:tcW w:w="2547" w:type="dxa"/>
            <w:tcBorders>
              <w:top w:val="nil"/>
              <w:left w:val="nil"/>
              <w:bottom w:val="nil"/>
              <w:right w:val="nil"/>
            </w:tcBorders>
            <w:shd w:val="clear" w:color="auto" w:fill="auto"/>
            <w:vAlign w:val="bottom"/>
            <w:hideMark/>
          </w:tcPr>
          <w:p w14:paraId="6F4B732F"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Hipotecarios</w:t>
            </w:r>
          </w:p>
        </w:tc>
        <w:tc>
          <w:tcPr>
            <w:tcW w:w="1204" w:type="dxa"/>
            <w:tcBorders>
              <w:top w:val="nil"/>
              <w:left w:val="nil"/>
              <w:bottom w:val="nil"/>
              <w:right w:val="nil"/>
            </w:tcBorders>
            <w:shd w:val="clear" w:color="auto" w:fill="auto"/>
            <w:vAlign w:val="bottom"/>
          </w:tcPr>
          <w:p w14:paraId="3C8ED460" w14:textId="7B742897" w:rsidR="00E839A9" w:rsidRPr="00E839A9" w:rsidRDefault="00E839A9">
            <w:pPr>
              <w:jc w:val="right"/>
              <w:rPr>
                <w:rFonts w:ascii="Arial" w:hAnsi="Arial" w:cs="Arial"/>
                <w:sz w:val="16"/>
                <w:szCs w:val="16"/>
              </w:rPr>
            </w:pPr>
            <w:r w:rsidRPr="005333A4">
              <w:rPr>
                <w:rFonts w:ascii="Arial" w:hAnsi="Arial" w:cs="Arial"/>
                <w:sz w:val="16"/>
                <w:szCs w:val="16"/>
              </w:rPr>
              <w:t xml:space="preserve"> 560.278 </w:t>
            </w:r>
          </w:p>
        </w:tc>
        <w:tc>
          <w:tcPr>
            <w:tcW w:w="997" w:type="dxa"/>
            <w:tcBorders>
              <w:top w:val="nil"/>
              <w:left w:val="nil"/>
              <w:bottom w:val="nil"/>
              <w:right w:val="nil"/>
            </w:tcBorders>
            <w:shd w:val="clear" w:color="auto" w:fill="auto"/>
            <w:vAlign w:val="bottom"/>
          </w:tcPr>
          <w:p w14:paraId="4E763BEB" w14:textId="32461188"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18.272 </w:t>
            </w:r>
          </w:p>
        </w:tc>
        <w:tc>
          <w:tcPr>
            <w:tcW w:w="897" w:type="dxa"/>
            <w:tcBorders>
              <w:top w:val="nil"/>
              <w:left w:val="nil"/>
              <w:bottom w:val="nil"/>
              <w:right w:val="nil"/>
            </w:tcBorders>
            <w:shd w:val="clear" w:color="auto" w:fill="auto"/>
            <w:vAlign w:val="bottom"/>
          </w:tcPr>
          <w:p w14:paraId="28E5866E" w14:textId="451B5ECE"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-5.820 </w:t>
            </w:r>
          </w:p>
        </w:tc>
        <w:tc>
          <w:tcPr>
            <w:tcW w:w="1229" w:type="dxa"/>
            <w:tcBorders>
              <w:top w:val="nil"/>
              <w:left w:val="nil"/>
              <w:bottom w:val="nil"/>
              <w:right w:val="nil"/>
            </w:tcBorders>
            <w:vAlign w:val="bottom"/>
          </w:tcPr>
          <w:p w14:paraId="0862FE8F" w14:textId="4610DADB"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14.148 </w:t>
            </w:r>
          </w:p>
        </w:tc>
        <w:tc>
          <w:tcPr>
            <w:tcW w:w="1229" w:type="dxa"/>
            <w:tcBorders>
              <w:top w:val="nil"/>
              <w:left w:val="nil"/>
              <w:bottom w:val="nil"/>
              <w:right w:val="nil"/>
            </w:tcBorders>
            <w:shd w:val="clear" w:color="auto" w:fill="auto"/>
            <w:vAlign w:val="bottom"/>
          </w:tcPr>
          <w:p w14:paraId="58CC6A32" w14:textId="199FA351"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3512ED7C" w14:textId="0FA8CB1E"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-40.540 </w:t>
            </w:r>
          </w:p>
        </w:tc>
        <w:tc>
          <w:tcPr>
            <w:tcW w:w="1134" w:type="dxa"/>
            <w:tcBorders>
              <w:top w:val="nil"/>
              <w:left w:val="nil"/>
              <w:bottom w:val="nil"/>
              <w:right w:val="nil"/>
            </w:tcBorders>
            <w:shd w:val="clear" w:color="auto" w:fill="auto"/>
            <w:vAlign w:val="bottom"/>
          </w:tcPr>
          <w:p w14:paraId="322D8869" w14:textId="59850348"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546.338 </w:t>
            </w:r>
          </w:p>
        </w:tc>
      </w:tr>
      <w:tr w:rsidR="00E839A9" w:rsidRPr="000B563A" w14:paraId="1DC258E1" w14:textId="77777777" w:rsidTr="005333A4">
        <w:tc>
          <w:tcPr>
            <w:tcW w:w="2547" w:type="dxa"/>
            <w:tcBorders>
              <w:top w:val="nil"/>
              <w:left w:val="nil"/>
              <w:bottom w:val="nil"/>
              <w:right w:val="nil"/>
            </w:tcBorders>
            <w:shd w:val="clear" w:color="auto" w:fill="auto"/>
            <w:vAlign w:val="bottom"/>
            <w:hideMark/>
          </w:tcPr>
          <w:p w14:paraId="2E30BA57"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Prendarios</w:t>
            </w:r>
          </w:p>
        </w:tc>
        <w:tc>
          <w:tcPr>
            <w:tcW w:w="1204" w:type="dxa"/>
            <w:tcBorders>
              <w:top w:val="nil"/>
              <w:left w:val="nil"/>
              <w:bottom w:val="nil"/>
              <w:right w:val="nil"/>
            </w:tcBorders>
            <w:shd w:val="clear" w:color="auto" w:fill="auto"/>
            <w:vAlign w:val="bottom"/>
          </w:tcPr>
          <w:p w14:paraId="1E696C75" w14:textId="5EDBC2A3" w:rsidR="00E839A9" w:rsidRPr="00E839A9" w:rsidRDefault="00E839A9">
            <w:pPr>
              <w:jc w:val="right"/>
              <w:rPr>
                <w:rFonts w:ascii="Arial" w:hAnsi="Arial" w:cs="Arial"/>
                <w:sz w:val="16"/>
                <w:szCs w:val="16"/>
              </w:rPr>
            </w:pPr>
            <w:r w:rsidRPr="005333A4">
              <w:rPr>
                <w:rFonts w:ascii="Arial" w:hAnsi="Arial" w:cs="Arial"/>
                <w:sz w:val="16"/>
                <w:szCs w:val="16"/>
              </w:rPr>
              <w:t xml:space="preserve"> 87.284 </w:t>
            </w:r>
          </w:p>
        </w:tc>
        <w:tc>
          <w:tcPr>
            <w:tcW w:w="997" w:type="dxa"/>
            <w:tcBorders>
              <w:top w:val="nil"/>
              <w:left w:val="nil"/>
              <w:bottom w:val="nil"/>
              <w:right w:val="nil"/>
            </w:tcBorders>
            <w:shd w:val="clear" w:color="auto" w:fill="auto"/>
            <w:vAlign w:val="bottom"/>
          </w:tcPr>
          <w:p w14:paraId="4D72779B" w14:textId="2FC6CD1E"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168.115 </w:t>
            </w:r>
          </w:p>
        </w:tc>
        <w:tc>
          <w:tcPr>
            <w:tcW w:w="897" w:type="dxa"/>
            <w:tcBorders>
              <w:top w:val="nil"/>
              <w:left w:val="nil"/>
              <w:bottom w:val="nil"/>
              <w:right w:val="nil"/>
            </w:tcBorders>
            <w:shd w:val="clear" w:color="auto" w:fill="auto"/>
            <w:vAlign w:val="bottom"/>
          </w:tcPr>
          <w:p w14:paraId="3B634A81" w14:textId="78B7D2EF"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83.366 </w:t>
            </w:r>
          </w:p>
        </w:tc>
        <w:tc>
          <w:tcPr>
            <w:tcW w:w="1229" w:type="dxa"/>
            <w:tcBorders>
              <w:top w:val="nil"/>
              <w:left w:val="nil"/>
              <w:bottom w:val="nil"/>
              <w:right w:val="nil"/>
            </w:tcBorders>
            <w:vAlign w:val="bottom"/>
          </w:tcPr>
          <w:p w14:paraId="6B2DFE7E" w14:textId="3F240F43"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280.638 </w:t>
            </w:r>
          </w:p>
        </w:tc>
        <w:tc>
          <w:tcPr>
            <w:tcW w:w="1229" w:type="dxa"/>
            <w:tcBorders>
              <w:top w:val="nil"/>
              <w:left w:val="nil"/>
              <w:bottom w:val="nil"/>
              <w:right w:val="nil"/>
            </w:tcBorders>
            <w:shd w:val="clear" w:color="auto" w:fill="auto"/>
            <w:vAlign w:val="bottom"/>
          </w:tcPr>
          <w:p w14:paraId="5E891A7D" w14:textId="436DCE66"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4CCA0AD8" w14:textId="656A61AB"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-6.316 </w:t>
            </w:r>
          </w:p>
        </w:tc>
        <w:tc>
          <w:tcPr>
            <w:tcW w:w="1134" w:type="dxa"/>
            <w:tcBorders>
              <w:top w:val="nil"/>
              <w:left w:val="nil"/>
              <w:bottom w:val="nil"/>
              <w:right w:val="nil"/>
            </w:tcBorders>
            <w:shd w:val="clear" w:color="auto" w:fill="auto"/>
            <w:vAlign w:val="bottom"/>
          </w:tcPr>
          <w:p w14:paraId="7E0EEDB6" w14:textId="3D31BF47"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613.087 </w:t>
            </w:r>
          </w:p>
        </w:tc>
      </w:tr>
      <w:tr w:rsidR="00E839A9" w:rsidRPr="000B563A" w14:paraId="749110B2" w14:textId="77777777" w:rsidTr="005333A4">
        <w:tc>
          <w:tcPr>
            <w:tcW w:w="2547" w:type="dxa"/>
            <w:tcBorders>
              <w:top w:val="nil"/>
              <w:left w:val="nil"/>
              <w:bottom w:val="nil"/>
              <w:right w:val="nil"/>
            </w:tcBorders>
            <w:shd w:val="clear" w:color="auto" w:fill="auto"/>
            <w:vAlign w:val="bottom"/>
            <w:hideMark/>
          </w:tcPr>
          <w:p w14:paraId="43D869A8"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Personales</w:t>
            </w:r>
          </w:p>
        </w:tc>
        <w:tc>
          <w:tcPr>
            <w:tcW w:w="1204" w:type="dxa"/>
            <w:tcBorders>
              <w:top w:val="nil"/>
              <w:left w:val="nil"/>
              <w:bottom w:val="nil"/>
              <w:right w:val="nil"/>
            </w:tcBorders>
            <w:shd w:val="clear" w:color="auto" w:fill="auto"/>
            <w:vAlign w:val="bottom"/>
          </w:tcPr>
          <w:p w14:paraId="605A3B87" w14:textId="3883DEAF" w:rsidR="00E839A9" w:rsidRPr="00E839A9" w:rsidRDefault="00E839A9">
            <w:pPr>
              <w:jc w:val="right"/>
              <w:rPr>
                <w:rFonts w:ascii="Arial" w:hAnsi="Arial" w:cs="Arial"/>
                <w:sz w:val="16"/>
                <w:szCs w:val="16"/>
              </w:rPr>
            </w:pPr>
            <w:r w:rsidRPr="005333A4">
              <w:rPr>
                <w:rFonts w:ascii="Arial" w:hAnsi="Arial" w:cs="Arial"/>
                <w:sz w:val="16"/>
                <w:szCs w:val="16"/>
              </w:rPr>
              <w:t xml:space="preserve"> 1.092.087 </w:t>
            </w:r>
          </w:p>
        </w:tc>
        <w:tc>
          <w:tcPr>
            <w:tcW w:w="997" w:type="dxa"/>
            <w:tcBorders>
              <w:top w:val="nil"/>
              <w:left w:val="nil"/>
              <w:bottom w:val="nil"/>
              <w:right w:val="nil"/>
            </w:tcBorders>
            <w:shd w:val="clear" w:color="auto" w:fill="auto"/>
            <w:vAlign w:val="bottom"/>
          </w:tcPr>
          <w:p w14:paraId="00AAA0A9" w14:textId="3602BBE3"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-25.313 </w:t>
            </w:r>
          </w:p>
        </w:tc>
        <w:tc>
          <w:tcPr>
            <w:tcW w:w="897" w:type="dxa"/>
            <w:tcBorders>
              <w:top w:val="nil"/>
              <w:left w:val="nil"/>
              <w:bottom w:val="nil"/>
              <w:right w:val="nil"/>
            </w:tcBorders>
            <w:shd w:val="clear" w:color="auto" w:fill="auto"/>
            <w:vAlign w:val="bottom"/>
          </w:tcPr>
          <w:p w14:paraId="2CE2151D" w14:textId="21EEC4EA"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104.652 </w:t>
            </w:r>
          </w:p>
        </w:tc>
        <w:tc>
          <w:tcPr>
            <w:tcW w:w="1229" w:type="dxa"/>
            <w:tcBorders>
              <w:top w:val="nil"/>
              <w:left w:val="nil"/>
              <w:bottom w:val="nil"/>
              <w:right w:val="nil"/>
            </w:tcBorders>
            <w:vAlign w:val="bottom"/>
          </w:tcPr>
          <w:p w14:paraId="7850C955" w14:textId="6005097E"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706.163 </w:t>
            </w:r>
          </w:p>
        </w:tc>
        <w:tc>
          <w:tcPr>
            <w:tcW w:w="1229" w:type="dxa"/>
            <w:tcBorders>
              <w:top w:val="nil"/>
              <w:left w:val="nil"/>
              <w:bottom w:val="nil"/>
              <w:right w:val="nil"/>
            </w:tcBorders>
            <w:shd w:val="clear" w:color="auto" w:fill="auto"/>
            <w:vAlign w:val="bottom"/>
          </w:tcPr>
          <w:p w14:paraId="4E48B861" w14:textId="4CF1B4AC"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56D63216" w14:textId="3C4A015D"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-79.019 </w:t>
            </w:r>
          </w:p>
        </w:tc>
        <w:tc>
          <w:tcPr>
            <w:tcW w:w="1134" w:type="dxa"/>
            <w:tcBorders>
              <w:top w:val="nil"/>
              <w:left w:val="nil"/>
              <w:bottom w:val="nil"/>
              <w:right w:val="nil"/>
            </w:tcBorders>
            <w:shd w:val="clear" w:color="auto" w:fill="auto"/>
            <w:vAlign w:val="bottom"/>
          </w:tcPr>
          <w:p w14:paraId="724C4F74" w14:textId="7E231769"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1.798.570 </w:t>
            </w:r>
          </w:p>
        </w:tc>
      </w:tr>
      <w:tr w:rsidR="00E839A9" w:rsidRPr="000B563A" w14:paraId="71AFCE0B" w14:textId="77777777" w:rsidTr="005333A4">
        <w:tc>
          <w:tcPr>
            <w:tcW w:w="2547" w:type="dxa"/>
            <w:tcBorders>
              <w:top w:val="nil"/>
              <w:left w:val="nil"/>
              <w:bottom w:val="nil"/>
              <w:right w:val="nil"/>
            </w:tcBorders>
            <w:shd w:val="clear" w:color="auto" w:fill="auto"/>
            <w:vAlign w:val="bottom"/>
            <w:hideMark/>
          </w:tcPr>
          <w:p w14:paraId="7C3A6ABB"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Tarjetas de Crédito</w:t>
            </w:r>
          </w:p>
        </w:tc>
        <w:tc>
          <w:tcPr>
            <w:tcW w:w="1204" w:type="dxa"/>
            <w:tcBorders>
              <w:top w:val="nil"/>
              <w:left w:val="nil"/>
              <w:bottom w:val="nil"/>
              <w:right w:val="nil"/>
            </w:tcBorders>
            <w:shd w:val="clear" w:color="auto" w:fill="auto"/>
            <w:vAlign w:val="bottom"/>
          </w:tcPr>
          <w:p w14:paraId="681D81B1" w14:textId="2346140D" w:rsidR="00E839A9" w:rsidRPr="00E839A9" w:rsidRDefault="00E839A9">
            <w:pPr>
              <w:jc w:val="right"/>
              <w:rPr>
                <w:rFonts w:ascii="Arial" w:hAnsi="Arial" w:cs="Arial"/>
                <w:sz w:val="16"/>
                <w:szCs w:val="16"/>
              </w:rPr>
            </w:pPr>
            <w:r w:rsidRPr="005333A4">
              <w:rPr>
                <w:rFonts w:ascii="Arial" w:hAnsi="Arial" w:cs="Arial"/>
                <w:sz w:val="16"/>
                <w:szCs w:val="16"/>
              </w:rPr>
              <w:t xml:space="preserve"> 874.061 </w:t>
            </w:r>
          </w:p>
        </w:tc>
        <w:tc>
          <w:tcPr>
            <w:tcW w:w="997" w:type="dxa"/>
            <w:tcBorders>
              <w:top w:val="nil"/>
              <w:left w:val="nil"/>
              <w:bottom w:val="nil"/>
              <w:right w:val="nil"/>
            </w:tcBorders>
            <w:shd w:val="clear" w:color="auto" w:fill="auto"/>
            <w:vAlign w:val="bottom"/>
          </w:tcPr>
          <w:p w14:paraId="4F054395" w14:textId="527C08C5"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-288.835 </w:t>
            </w:r>
          </w:p>
        </w:tc>
        <w:tc>
          <w:tcPr>
            <w:tcW w:w="897" w:type="dxa"/>
            <w:tcBorders>
              <w:top w:val="nil"/>
              <w:left w:val="nil"/>
              <w:bottom w:val="nil"/>
              <w:right w:val="nil"/>
            </w:tcBorders>
            <w:shd w:val="clear" w:color="auto" w:fill="auto"/>
            <w:vAlign w:val="bottom"/>
          </w:tcPr>
          <w:p w14:paraId="17FE94A1" w14:textId="7B69436E"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-105.785 </w:t>
            </w:r>
          </w:p>
        </w:tc>
        <w:tc>
          <w:tcPr>
            <w:tcW w:w="1229" w:type="dxa"/>
            <w:tcBorders>
              <w:top w:val="nil"/>
              <w:left w:val="nil"/>
              <w:bottom w:val="nil"/>
              <w:right w:val="nil"/>
            </w:tcBorders>
            <w:vAlign w:val="bottom"/>
          </w:tcPr>
          <w:p w14:paraId="1C98B4BD" w14:textId="104CD950"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-282.506 </w:t>
            </w:r>
          </w:p>
        </w:tc>
        <w:tc>
          <w:tcPr>
            <w:tcW w:w="1229" w:type="dxa"/>
            <w:tcBorders>
              <w:top w:val="nil"/>
              <w:left w:val="nil"/>
              <w:bottom w:val="nil"/>
              <w:right w:val="nil"/>
            </w:tcBorders>
            <w:shd w:val="clear" w:color="auto" w:fill="auto"/>
            <w:vAlign w:val="bottom"/>
          </w:tcPr>
          <w:p w14:paraId="295A7EBE" w14:textId="28EEE2DB"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0FBD0ED3" w14:textId="6F397966"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-63.245 </w:t>
            </w:r>
          </w:p>
        </w:tc>
        <w:tc>
          <w:tcPr>
            <w:tcW w:w="1134" w:type="dxa"/>
            <w:tcBorders>
              <w:top w:val="nil"/>
              <w:left w:val="nil"/>
              <w:bottom w:val="nil"/>
              <w:right w:val="nil"/>
            </w:tcBorders>
            <w:shd w:val="clear" w:color="auto" w:fill="auto"/>
            <w:vAlign w:val="bottom"/>
          </w:tcPr>
          <w:p w14:paraId="62EE7949" w14:textId="0AF325C2"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133.690 </w:t>
            </w:r>
          </w:p>
        </w:tc>
      </w:tr>
      <w:tr w:rsidR="00E839A9" w:rsidRPr="000B563A" w14:paraId="214BD6EC" w14:textId="77777777" w:rsidTr="005333A4">
        <w:tc>
          <w:tcPr>
            <w:tcW w:w="2547" w:type="dxa"/>
            <w:tcBorders>
              <w:top w:val="nil"/>
              <w:left w:val="nil"/>
              <w:bottom w:val="nil"/>
              <w:right w:val="nil"/>
            </w:tcBorders>
            <w:shd w:val="clear" w:color="auto" w:fill="auto"/>
            <w:vAlign w:val="bottom"/>
            <w:hideMark/>
          </w:tcPr>
          <w:p w14:paraId="008064C0"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Arrendamientos Finan</w:t>
            </w:r>
            <w:r>
              <w:rPr>
                <w:rFonts w:ascii="Arial" w:hAnsi="Arial" w:cs="Arial"/>
                <w:sz w:val="16"/>
                <w:szCs w:val="16"/>
                <w:lang w:eastAsia="es-AR"/>
              </w:rPr>
              <w:t>c.</w:t>
            </w:r>
          </w:p>
        </w:tc>
        <w:tc>
          <w:tcPr>
            <w:tcW w:w="1204" w:type="dxa"/>
            <w:tcBorders>
              <w:top w:val="nil"/>
              <w:left w:val="nil"/>
              <w:bottom w:val="nil"/>
              <w:right w:val="nil"/>
            </w:tcBorders>
            <w:shd w:val="clear" w:color="auto" w:fill="auto"/>
            <w:vAlign w:val="bottom"/>
          </w:tcPr>
          <w:p w14:paraId="58A5CAD4" w14:textId="2CFC45F0" w:rsidR="00E839A9" w:rsidRPr="00E839A9" w:rsidRDefault="00E839A9">
            <w:pPr>
              <w:jc w:val="right"/>
              <w:rPr>
                <w:rFonts w:ascii="Arial" w:hAnsi="Arial" w:cs="Arial"/>
                <w:sz w:val="16"/>
                <w:szCs w:val="16"/>
              </w:rPr>
            </w:pPr>
            <w:r w:rsidRPr="005333A4">
              <w:rPr>
                <w:rFonts w:ascii="Arial" w:hAnsi="Arial" w:cs="Arial"/>
                <w:sz w:val="16"/>
                <w:szCs w:val="16"/>
              </w:rPr>
              <w:t xml:space="preserve"> 255.107 </w:t>
            </w:r>
          </w:p>
        </w:tc>
        <w:tc>
          <w:tcPr>
            <w:tcW w:w="997" w:type="dxa"/>
            <w:tcBorders>
              <w:top w:val="nil"/>
              <w:left w:val="nil"/>
              <w:bottom w:val="nil"/>
              <w:right w:val="nil"/>
            </w:tcBorders>
            <w:shd w:val="clear" w:color="auto" w:fill="auto"/>
            <w:vAlign w:val="bottom"/>
          </w:tcPr>
          <w:p w14:paraId="6B62FFE1" w14:textId="6513E672"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-15.610 </w:t>
            </w:r>
          </w:p>
        </w:tc>
        <w:tc>
          <w:tcPr>
            <w:tcW w:w="897" w:type="dxa"/>
            <w:tcBorders>
              <w:top w:val="nil"/>
              <w:left w:val="nil"/>
              <w:bottom w:val="nil"/>
              <w:right w:val="nil"/>
            </w:tcBorders>
            <w:shd w:val="clear" w:color="auto" w:fill="auto"/>
            <w:vAlign w:val="bottom"/>
          </w:tcPr>
          <w:p w14:paraId="4FFF5060" w14:textId="477C9096"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-31.653 </w:t>
            </w:r>
          </w:p>
        </w:tc>
        <w:tc>
          <w:tcPr>
            <w:tcW w:w="1229" w:type="dxa"/>
            <w:tcBorders>
              <w:top w:val="nil"/>
              <w:left w:val="nil"/>
              <w:bottom w:val="nil"/>
              <w:right w:val="nil"/>
            </w:tcBorders>
            <w:vAlign w:val="bottom"/>
          </w:tcPr>
          <w:p w14:paraId="10BB539C" w14:textId="10C396EC"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61.655 </w:t>
            </w:r>
          </w:p>
        </w:tc>
        <w:tc>
          <w:tcPr>
            <w:tcW w:w="1229" w:type="dxa"/>
            <w:tcBorders>
              <w:top w:val="nil"/>
              <w:left w:val="nil"/>
              <w:bottom w:val="nil"/>
              <w:right w:val="nil"/>
            </w:tcBorders>
            <w:shd w:val="clear" w:color="auto" w:fill="auto"/>
            <w:vAlign w:val="bottom"/>
          </w:tcPr>
          <w:p w14:paraId="7D834E40" w14:textId="072988F3"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315DF180" w14:textId="3A8199B3"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-18.459 </w:t>
            </w:r>
          </w:p>
        </w:tc>
        <w:tc>
          <w:tcPr>
            <w:tcW w:w="1134" w:type="dxa"/>
            <w:tcBorders>
              <w:top w:val="nil"/>
              <w:left w:val="nil"/>
              <w:bottom w:val="nil"/>
              <w:right w:val="nil"/>
            </w:tcBorders>
            <w:shd w:val="clear" w:color="auto" w:fill="auto"/>
            <w:vAlign w:val="bottom"/>
          </w:tcPr>
          <w:p w14:paraId="7C0685E7" w14:textId="18F24A30"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251.040 </w:t>
            </w:r>
          </w:p>
        </w:tc>
      </w:tr>
      <w:tr w:rsidR="00E839A9" w:rsidRPr="000B563A" w14:paraId="42980190" w14:textId="77777777" w:rsidTr="005333A4">
        <w:tc>
          <w:tcPr>
            <w:tcW w:w="2547" w:type="dxa"/>
            <w:tcBorders>
              <w:top w:val="nil"/>
              <w:left w:val="nil"/>
              <w:bottom w:val="nil"/>
              <w:right w:val="nil"/>
            </w:tcBorders>
            <w:shd w:val="clear" w:color="auto" w:fill="auto"/>
            <w:vAlign w:val="bottom"/>
            <w:hideMark/>
          </w:tcPr>
          <w:p w14:paraId="7580D3B4" w14:textId="77777777" w:rsidR="00E839A9" w:rsidRPr="000B563A" w:rsidRDefault="00E839A9" w:rsidP="00E839A9">
            <w:pPr>
              <w:ind w:firstLineChars="400" w:firstLine="640"/>
              <w:rPr>
                <w:rFonts w:ascii="Arial" w:hAnsi="Arial" w:cs="Arial"/>
                <w:sz w:val="16"/>
                <w:szCs w:val="16"/>
                <w:lang w:eastAsia="es-AR"/>
              </w:rPr>
            </w:pPr>
            <w:r w:rsidRPr="000B563A">
              <w:rPr>
                <w:rFonts w:ascii="Arial" w:hAnsi="Arial" w:cs="Arial"/>
                <w:sz w:val="16"/>
                <w:szCs w:val="16"/>
                <w:lang w:eastAsia="es-AR"/>
              </w:rPr>
              <w:t>Otros</w:t>
            </w:r>
          </w:p>
        </w:tc>
        <w:tc>
          <w:tcPr>
            <w:tcW w:w="1204" w:type="dxa"/>
            <w:tcBorders>
              <w:top w:val="nil"/>
              <w:left w:val="nil"/>
              <w:bottom w:val="nil"/>
              <w:right w:val="nil"/>
            </w:tcBorders>
            <w:shd w:val="clear" w:color="auto" w:fill="auto"/>
            <w:vAlign w:val="bottom"/>
          </w:tcPr>
          <w:p w14:paraId="6A469487" w14:textId="2214C4F8" w:rsidR="00E839A9" w:rsidRPr="00E839A9" w:rsidRDefault="00E839A9">
            <w:pPr>
              <w:jc w:val="right"/>
              <w:rPr>
                <w:rFonts w:ascii="Arial" w:hAnsi="Arial" w:cs="Arial"/>
                <w:sz w:val="16"/>
                <w:szCs w:val="16"/>
              </w:rPr>
            </w:pPr>
            <w:r w:rsidRPr="005333A4">
              <w:rPr>
                <w:rFonts w:ascii="Arial" w:hAnsi="Arial" w:cs="Arial"/>
                <w:sz w:val="16"/>
                <w:szCs w:val="16"/>
              </w:rPr>
              <w:t xml:space="preserve"> 1.547.591 </w:t>
            </w:r>
          </w:p>
        </w:tc>
        <w:tc>
          <w:tcPr>
            <w:tcW w:w="997" w:type="dxa"/>
            <w:tcBorders>
              <w:top w:val="nil"/>
              <w:left w:val="nil"/>
              <w:bottom w:val="nil"/>
              <w:right w:val="nil"/>
            </w:tcBorders>
            <w:shd w:val="clear" w:color="auto" w:fill="auto"/>
            <w:vAlign w:val="bottom"/>
          </w:tcPr>
          <w:p w14:paraId="30BCEDDD" w14:textId="11D5140C"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-16.472 </w:t>
            </w:r>
          </w:p>
        </w:tc>
        <w:tc>
          <w:tcPr>
            <w:tcW w:w="897" w:type="dxa"/>
            <w:tcBorders>
              <w:top w:val="nil"/>
              <w:left w:val="nil"/>
              <w:bottom w:val="nil"/>
              <w:right w:val="nil"/>
            </w:tcBorders>
            <w:shd w:val="clear" w:color="auto" w:fill="auto"/>
            <w:vAlign w:val="bottom"/>
          </w:tcPr>
          <w:p w14:paraId="5AFE0390" w14:textId="366EBB72"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95.544 </w:t>
            </w:r>
          </w:p>
        </w:tc>
        <w:tc>
          <w:tcPr>
            <w:tcW w:w="1229" w:type="dxa"/>
            <w:tcBorders>
              <w:top w:val="nil"/>
              <w:left w:val="nil"/>
              <w:bottom w:val="nil"/>
              <w:right w:val="nil"/>
            </w:tcBorders>
            <w:vAlign w:val="bottom"/>
          </w:tcPr>
          <w:p w14:paraId="5DDB81B4" w14:textId="5119C8E6"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-569.032 </w:t>
            </w:r>
          </w:p>
        </w:tc>
        <w:tc>
          <w:tcPr>
            <w:tcW w:w="1229" w:type="dxa"/>
            <w:tcBorders>
              <w:top w:val="nil"/>
              <w:left w:val="nil"/>
              <w:bottom w:val="nil"/>
              <w:right w:val="nil"/>
            </w:tcBorders>
            <w:shd w:val="clear" w:color="auto" w:fill="auto"/>
            <w:vAlign w:val="bottom"/>
          </w:tcPr>
          <w:p w14:paraId="490BC0CA" w14:textId="607D4C77"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62EFDC86" w14:textId="653CFA24"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-111.978 </w:t>
            </w:r>
          </w:p>
        </w:tc>
        <w:tc>
          <w:tcPr>
            <w:tcW w:w="1134" w:type="dxa"/>
            <w:tcBorders>
              <w:top w:val="nil"/>
              <w:left w:val="nil"/>
              <w:bottom w:val="nil"/>
              <w:right w:val="nil"/>
            </w:tcBorders>
            <w:shd w:val="clear" w:color="auto" w:fill="auto"/>
            <w:vAlign w:val="bottom"/>
          </w:tcPr>
          <w:p w14:paraId="26EBE409" w14:textId="6F552811"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945.653 </w:t>
            </w:r>
          </w:p>
        </w:tc>
      </w:tr>
      <w:tr w:rsidR="005F5300" w:rsidRPr="000B563A" w14:paraId="783D522A" w14:textId="77777777" w:rsidTr="005333A4">
        <w:tc>
          <w:tcPr>
            <w:tcW w:w="2547" w:type="dxa"/>
            <w:tcBorders>
              <w:top w:val="nil"/>
              <w:left w:val="nil"/>
              <w:bottom w:val="nil"/>
              <w:right w:val="nil"/>
            </w:tcBorders>
            <w:shd w:val="clear" w:color="auto" w:fill="auto"/>
            <w:vAlign w:val="bottom"/>
            <w:hideMark/>
          </w:tcPr>
          <w:p w14:paraId="5C80D86A" w14:textId="77777777" w:rsidR="005F5300" w:rsidRPr="000B563A" w:rsidRDefault="005F5300" w:rsidP="00FC64C0">
            <w:pPr>
              <w:rPr>
                <w:rFonts w:ascii="Arial" w:hAnsi="Arial" w:cs="Arial"/>
                <w:sz w:val="16"/>
                <w:szCs w:val="16"/>
                <w:lang w:eastAsia="es-AR"/>
              </w:rPr>
            </w:pPr>
          </w:p>
        </w:tc>
        <w:tc>
          <w:tcPr>
            <w:tcW w:w="1204" w:type="dxa"/>
            <w:tcBorders>
              <w:top w:val="nil"/>
              <w:left w:val="nil"/>
              <w:bottom w:val="nil"/>
              <w:right w:val="nil"/>
            </w:tcBorders>
            <w:shd w:val="clear" w:color="auto" w:fill="auto"/>
            <w:vAlign w:val="bottom"/>
          </w:tcPr>
          <w:p w14:paraId="55FB31F3" w14:textId="77777777" w:rsidR="005F5300" w:rsidRPr="00E839A9" w:rsidRDefault="005F5300">
            <w:pPr>
              <w:jc w:val="right"/>
              <w:rPr>
                <w:rFonts w:ascii="Arial" w:hAnsi="Arial" w:cs="Arial"/>
                <w:sz w:val="16"/>
                <w:szCs w:val="16"/>
              </w:rPr>
            </w:pPr>
          </w:p>
        </w:tc>
        <w:tc>
          <w:tcPr>
            <w:tcW w:w="997" w:type="dxa"/>
            <w:tcBorders>
              <w:top w:val="nil"/>
              <w:left w:val="nil"/>
              <w:bottom w:val="nil"/>
              <w:right w:val="nil"/>
            </w:tcBorders>
            <w:shd w:val="clear" w:color="auto" w:fill="auto"/>
            <w:vAlign w:val="bottom"/>
          </w:tcPr>
          <w:p w14:paraId="20B81025" w14:textId="77777777" w:rsidR="005F5300" w:rsidRPr="00E839A9" w:rsidRDefault="005F5300">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bottom"/>
          </w:tcPr>
          <w:p w14:paraId="50501F40" w14:textId="77777777" w:rsidR="005F5300" w:rsidRPr="00E839A9" w:rsidRDefault="005F5300">
            <w:pPr>
              <w:jc w:val="right"/>
              <w:rPr>
                <w:rFonts w:ascii="Arial" w:hAnsi="Arial" w:cs="Arial"/>
                <w:sz w:val="16"/>
                <w:szCs w:val="16"/>
                <w:lang w:eastAsia="es-AR"/>
              </w:rPr>
            </w:pPr>
          </w:p>
        </w:tc>
        <w:tc>
          <w:tcPr>
            <w:tcW w:w="1229" w:type="dxa"/>
            <w:tcBorders>
              <w:top w:val="nil"/>
              <w:left w:val="nil"/>
              <w:bottom w:val="nil"/>
              <w:right w:val="nil"/>
            </w:tcBorders>
            <w:vAlign w:val="bottom"/>
          </w:tcPr>
          <w:p w14:paraId="2CCBC2DA" w14:textId="77777777" w:rsidR="005F5300" w:rsidRPr="00E839A9" w:rsidRDefault="005F5300">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bottom"/>
          </w:tcPr>
          <w:p w14:paraId="1FFEEE8D" w14:textId="77777777" w:rsidR="005F5300" w:rsidRPr="00E839A9" w:rsidRDefault="005F5300">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12126A65" w14:textId="77777777" w:rsidR="005F5300" w:rsidRPr="00E839A9" w:rsidRDefault="005F5300">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67886FFE" w14:textId="77777777" w:rsidR="005F5300" w:rsidRPr="00E839A9" w:rsidRDefault="005F5300">
            <w:pPr>
              <w:jc w:val="right"/>
              <w:rPr>
                <w:rFonts w:ascii="Arial" w:hAnsi="Arial" w:cs="Arial"/>
                <w:sz w:val="16"/>
                <w:szCs w:val="16"/>
                <w:lang w:eastAsia="es-AR"/>
              </w:rPr>
            </w:pPr>
          </w:p>
        </w:tc>
      </w:tr>
      <w:tr w:rsidR="009C2B7A" w:rsidRPr="000B563A" w14:paraId="52A0826C" w14:textId="77777777" w:rsidTr="005333A4">
        <w:tc>
          <w:tcPr>
            <w:tcW w:w="2547" w:type="dxa"/>
            <w:tcBorders>
              <w:top w:val="nil"/>
              <w:left w:val="nil"/>
              <w:bottom w:val="nil"/>
              <w:right w:val="nil"/>
            </w:tcBorders>
            <w:shd w:val="clear" w:color="auto" w:fill="auto"/>
            <w:vAlign w:val="bottom"/>
            <w:hideMark/>
          </w:tcPr>
          <w:p w14:paraId="63860EDD" w14:textId="77777777" w:rsidR="009C2B7A" w:rsidRPr="000B563A" w:rsidRDefault="009C2B7A" w:rsidP="009C2B7A">
            <w:pPr>
              <w:rPr>
                <w:rFonts w:ascii="Arial" w:hAnsi="Arial" w:cs="Arial"/>
                <w:sz w:val="16"/>
                <w:szCs w:val="16"/>
                <w:lang w:eastAsia="es-AR"/>
              </w:rPr>
            </w:pPr>
            <w:r w:rsidRPr="000B563A">
              <w:rPr>
                <w:rFonts w:ascii="Arial" w:hAnsi="Arial" w:cs="Arial"/>
                <w:sz w:val="16"/>
                <w:szCs w:val="16"/>
                <w:lang w:eastAsia="es-AR"/>
              </w:rPr>
              <w:t>Títulos Privados</w:t>
            </w:r>
          </w:p>
        </w:tc>
        <w:tc>
          <w:tcPr>
            <w:tcW w:w="1204" w:type="dxa"/>
            <w:tcBorders>
              <w:top w:val="nil"/>
              <w:left w:val="nil"/>
              <w:bottom w:val="nil"/>
              <w:right w:val="nil"/>
            </w:tcBorders>
            <w:shd w:val="clear" w:color="auto" w:fill="auto"/>
            <w:vAlign w:val="bottom"/>
          </w:tcPr>
          <w:p w14:paraId="28F52CFF" w14:textId="3A013FD7" w:rsidR="009C2B7A" w:rsidRPr="00E839A9" w:rsidRDefault="00410804">
            <w:pPr>
              <w:jc w:val="right"/>
              <w:rPr>
                <w:rFonts w:ascii="Arial" w:hAnsi="Arial" w:cs="Arial"/>
                <w:sz w:val="16"/>
                <w:szCs w:val="16"/>
                <w:lang w:eastAsia="es-AR"/>
              </w:rPr>
            </w:pPr>
            <w:r w:rsidRPr="00E839A9">
              <w:rPr>
                <w:rFonts w:ascii="Arial" w:hAnsi="Arial" w:cs="Arial"/>
                <w:color w:val="000000"/>
                <w:sz w:val="16"/>
                <w:szCs w:val="16"/>
              </w:rPr>
              <w:t>-</w:t>
            </w:r>
          </w:p>
        </w:tc>
        <w:tc>
          <w:tcPr>
            <w:tcW w:w="997" w:type="dxa"/>
            <w:tcBorders>
              <w:top w:val="nil"/>
              <w:left w:val="nil"/>
              <w:bottom w:val="nil"/>
              <w:right w:val="nil"/>
            </w:tcBorders>
            <w:shd w:val="clear" w:color="auto" w:fill="auto"/>
            <w:vAlign w:val="bottom"/>
          </w:tcPr>
          <w:p w14:paraId="60CBFE03" w14:textId="30EF1115" w:rsidR="009C2B7A" w:rsidRPr="00E839A9" w:rsidRDefault="00E839A9">
            <w:pPr>
              <w:jc w:val="right"/>
              <w:rPr>
                <w:rFonts w:ascii="Arial" w:hAnsi="Arial" w:cs="Arial"/>
                <w:sz w:val="16"/>
                <w:szCs w:val="16"/>
                <w:lang w:eastAsia="es-AR"/>
              </w:rPr>
            </w:pPr>
            <w:r w:rsidRPr="00E839A9">
              <w:rPr>
                <w:rFonts w:ascii="Arial" w:hAnsi="Arial" w:cs="Arial"/>
                <w:color w:val="000000"/>
                <w:sz w:val="16"/>
                <w:szCs w:val="16"/>
              </w:rPr>
              <w:t>74</w:t>
            </w:r>
          </w:p>
        </w:tc>
        <w:tc>
          <w:tcPr>
            <w:tcW w:w="897" w:type="dxa"/>
            <w:tcBorders>
              <w:top w:val="nil"/>
              <w:left w:val="nil"/>
              <w:bottom w:val="nil"/>
              <w:right w:val="nil"/>
            </w:tcBorders>
            <w:shd w:val="clear" w:color="auto" w:fill="auto"/>
            <w:vAlign w:val="bottom"/>
          </w:tcPr>
          <w:p w14:paraId="0CDCAEF5" w14:textId="2054D374" w:rsidR="009C2B7A" w:rsidRPr="00E839A9" w:rsidRDefault="008F1A68">
            <w:pPr>
              <w:jc w:val="right"/>
              <w:rPr>
                <w:rFonts w:ascii="Arial" w:hAnsi="Arial" w:cs="Arial"/>
                <w:sz w:val="16"/>
                <w:szCs w:val="16"/>
                <w:lang w:eastAsia="es-AR"/>
              </w:rPr>
            </w:pPr>
            <w:r w:rsidRPr="00E839A9">
              <w:rPr>
                <w:rFonts w:ascii="Arial" w:hAnsi="Arial" w:cs="Arial"/>
                <w:color w:val="000000"/>
                <w:sz w:val="16"/>
                <w:szCs w:val="16"/>
              </w:rPr>
              <w:t>-</w:t>
            </w:r>
          </w:p>
        </w:tc>
        <w:tc>
          <w:tcPr>
            <w:tcW w:w="1229" w:type="dxa"/>
            <w:tcBorders>
              <w:top w:val="nil"/>
              <w:left w:val="nil"/>
              <w:bottom w:val="nil"/>
              <w:right w:val="nil"/>
            </w:tcBorders>
            <w:vAlign w:val="bottom"/>
          </w:tcPr>
          <w:p w14:paraId="093095C5" w14:textId="7140CEBF" w:rsidR="009C2B7A" w:rsidRPr="00E839A9" w:rsidRDefault="008F1A68">
            <w:pPr>
              <w:jc w:val="right"/>
              <w:rPr>
                <w:rFonts w:ascii="Arial" w:hAnsi="Arial" w:cs="Arial"/>
                <w:sz w:val="16"/>
                <w:szCs w:val="16"/>
                <w:lang w:eastAsia="es-AR"/>
              </w:rPr>
            </w:pPr>
            <w:r w:rsidRPr="00E839A9">
              <w:rPr>
                <w:rFonts w:ascii="Arial" w:hAnsi="Arial" w:cs="Arial"/>
                <w:color w:val="000000"/>
                <w:sz w:val="16"/>
                <w:szCs w:val="16"/>
              </w:rPr>
              <w:t>-</w:t>
            </w:r>
          </w:p>
        </w:tc>
        <w:tc>
          <w:tcPr>
            <w:tcW w:w="1229" w:type="dxa"/>
            <w:tcBorders>
              <w:top w:val="nil"/>
              <w:left w:val="nil"/>
              <w:bottom w:val="nil"/>
              <w:right w:val="nil"/>
            </w:tcBorders>
            <w:shd w:val="clear" w:color="auto" w:fill="auto"/>
            <w:vAlign w:val="bottom"/>
          </w:tcPr>
          <w:p w14:paraId="27EE52DA" w14:textId="5E486BC6" w:rsidR="009C2B7A" w:rsidRPr="00E839A9" w:rsidRDefault="008F1A68">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7CED3614" w14:textId="5E6F24AD" w:rsidR="009C2B7A" w:rsidRPr="00E839A9" w:rsidRDefault="00E839A9">
            <w:pPr>
              <w:jc w:val="right"/>
              <w:rPr>
                <w:rFonts w:ascii="Arial" w:hAnsi="Arial" w:cs="Arial"/>
                <w:sz w:val="16"/>
                <w:szCs w:val="16"/>
                <w:lang w:eastAsia="es-AR"/>
              </w:rPr>
            </w:pPr>
            <w:r w:rsidRPr="00E839A9">
              <w:rPr>
                <w:rFonts w:ascii="Arial" w:hAnsi="Arial" w:cs="Arial"/>
                <w:color w:val="000000"/>
                <w:sz w:val="16"/>
                <w:szCs w:val="16"/>
              </w:rPr>
              <w:t>1</w:t>
            </w:r>
          </w:p>
        </w:tc>
        <w:tc>
          <w:tcPr>
            <w:tcW w:w="1134" w:type="dxa"/>
            <w:tcBorders>
              <w:top w:val="nil"/>
              <w:left w:val="nil"/>
              <w:bottom w:val="nil"/>
              <w:right w:val="nil"/>
            </w:tcBorders>
            <w:shd w:val="clear" w:color="auto" w:fill="auto"/>
            <w:vAlign w:val="bottom"/>
          </w:tcPr>
          <w:p w14:paraId="3340A902" w14:textId="4037A56F" w:rsidR="009C2B7A" w:rsidRPr="00E839A9" w:rsidRDefault="009C2B7A">
            <w:pPr>
              <w:jc w:val="right"/>
              <w:rPr>
                <w:rFonts w:ascii="Arial" w:hAnsi="Arial" w:cs="Arial"/>
                <w:sz w:val="16"/>
                <w:szCs w:val="16"/>
                <w:lang w:eastAsia="es-AR"/>
              </w:rPr>
            </w:pPr>
            <w:r w:rsidRPr="00E839A9">
              <w:rPr>
                <w:rFonts w:ascii="Arial" w:hAnsi="Arial" w:cs="Arial"/>
                <w:sz w:val="16"/>
                <w:szCs w:val="16"/>
              </w:rPr>
              <w:t>75</w:t>
            </w:r>
          </w:p>
        </w:tc>
      </w:tr>
      <w:tr w:rsidR="005F5300" w:rsidRPr="000B563A" w14:paraId="32B0E0C8" w14:textId="77777777" w:rsidTr="005333A4">
        <w:tc>
          <w:tcPr>
            <w:tcW w:w="2547" w:type="dxa"/>
            <w:tcBorders>
              <w:top w:val="nil"/>
              <w:left w:val="nil"/>
              <w:bottom w:val="nil"/>
              <w:right w:val="nil"/>
            </w:tcBorders>
            <w:shd w:val="clear" w:color="auto" w:fill="auto"/>
            <w:vAlign w:val="bottom"/>
            <w:hideMark/>
          </w:tcPr>
          <w:p w14:paraId="72B85B1F" w14:textId="77777777" w:rsidR="005F5300" w:rsidRPr="000B563A" w:rsidRDefault="005F5300" w:rsidP="00FC64C0">
            <w:pPr>
              <w:rPr>
                <w:rFonts w:ascii="Arial" w:hAnsi="Arial" w:cs="Arial"/>
                <w:sz w:val="16"/>
                <w:szCs w:val="16"/>
                <w:lang w:eastAsia="es-AR"/>
              </w:rPr>
            </w:pPr>
          </w:p>
        </w:tc>
        <w:tc>
          <w:tcPr>
            <w:tcW w:w="1204" w:type="dxa"/>
            <w:tcBorders>
              <w:top w:val="nil"/>
              <w:left w:val="nil"/>
              <w:bottom w:val="nil"/>
              <w:right w:val="nil"/>
            </w:tcBorders>
            <w:shd w:val="clear" w:color="auto" w:fill="auto"/>
            <w:vAlign w:val="bottom"/>
          </w:tcPr>
          <w:p w14:paraId="258CB810" w14:textId="77777777" w:rsidR="005F5300" w:rsidRPr="00E839A9" w:rsidRDefault="005F5300">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bottom"/>
          </w:tcPr>
          <w:p w14:paraId="227E04C6" w14:textId="77777777" w:rsidR="005F5300" w:rsidRPr="00E839A9" w:rsidRDefault="005F5300">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bottom"/>
          </w:tcPr>
          <w:p w14:paraId="5789D3EE" w14:textId="77777777" w:rsidR="005F5300" w:rsidRPr="00E839A9" w:rsidRDefault="005F5300">
            <w:pPr>
              <w:jc w:val="right"/>
              <w:rPr>
                <w:rFonts w:ascii="Arial" w:hAnsi="Arial" w:cs="Arial"/>
                <w:sz w:val="16"/>
                <w:szCs w:val="16"/>
                <w:lang w:eastAsia="es-AR"/>
              </w:rPr>
            </w:pPr>
          </w:p>
        </w:tc>
        <w:tc>
          <w:tcPr>
            <w:tcW w:w="1229" w:type="dxa"/>
            <w:tcBorders>
              <w:top w:val="nil"/>
              <w:left w:val="nil"/>
              <w:bottom w:val="nil"/>
              <w:right w:val="nil"/>
            </w:tcBorders>
            <w:vAlign w:val="bottom"/>
          </w:tcPr>
          <w:p w14:paraId="5D942D8C" w14:textId="77777777" w:rsidR="005F5300" w:rsidRPr="00E839A9" w:rsidRDefault="005F5300">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bottom"/>
          </w:tcPr>
          <w:p w14:paraId="18A436C4" w14:textId="77777777" w:rsidR="005F5300" w:rsidRPr="00E839A9" w:rsidRDefault="005F5300">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6ED5CE0C" w14:textId="77777777" w:rsidR="005F5300" w:rsidRPr="00E839A9" w:rsidRDefault="005F5300">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1B4EA231" w14:textId="77777777" w:rsidR="005F5300" w:rsidRPr="00E839A9" w:rsidRDefault="005F5300">
            <w:pPr>
              <w:jc w:val="right"/>
              <w:rPr>
                <w:rFonts w:ascii="Arial" w:hAnsi="Arial" w:cs="Arial"/>
                <w:sz w:val="16"/>
                <w:szCs w:val="16"/>
                <w:lang w:eastAsia="es-AR"/>
              </w:rPr>
            </w:pPr>
          </w:p>
        </w:tc>
      </w:tr>
      <w:tr w:rsidR="00E839A9" w:rsidRPr="000B563A" w14:paraId="2D6983D2" w14:textId="77777777" w:rsidTr="005333A4">
        <w:tc>
          <w:tcPr>
            <w:tcW w:w="2547" w:type="dxa"/>
            <w:tcBorders>
              <w:top w:val="nil"/>
              <w:left w:val="nil"/>
              <w:bottom w:val="nil"/>
              <w:right w:val="nil"/>
            </w:tcBorders>
            <w:shd w:val="clear" w:color="auto" w:fill="auto"/>
            <w:vAlign w:val="bottom"/>
            <w:hideMark/>
          </w:tcPr>
          <w:p w14:paraId="46AC2E39" w14:textId="5D55F5A6" w:rsidR="00E839A9" w:rsidRPr="000B563A" w:rsidRDefault="00E839A9" w:rsidP="00E839A9">
            <w:pPr>
              <w:rPr>
                <w:rFonts w:ascii="Arial" w:hAnsi="Arial" w:cs="Arial"/>
                <w:sz w:val="16"/>
                <w:szCs w:val="16"/>
                <w:lang w:eastAsia="es-AR"/>
              </w:rPr>
            </w:pPr>
            <w:r w:rsidRPr="000B563A">
              <w:rPr>
                <w:rFonts w:ascii="Arial" w:hAnsi="Arial" w:cs="Arial"/>
                <w:sz w:val="16"/>
                <w:szCs w:val="16"/>
                <w:lang w:eastAsia="es-AR"/>
              </w:rPr>
              <w:t xml:space="preserve">Compromisos eventuales </w:t>
            </w:r>
          </w:p>
        </w:tc>
        <w:tc>
          <w:tcPr>
            <w:tcW w:w="1204" w:type="dxa"/>
            <w:tcBorders>
              <w:top w:val="nil"/>
              <w:left w:val="nil"/>
              <w:bottom w:val="nil"/>
              <w:right w:val="nil"/>
            </w:tcBorders>
            <w:shd w:val="clear" w:color="auto" w:fill="auto"/>
            <w:vAlign w:val="bottom"/>
          </w:tcPr>
          <w:p w14:paraId="56762B2E" w14:textId="68DED6B7"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396 </w:t>
            </w:r>
          </w:p>
        </w:tc>
        <w:tc>
          <w:tcPr>
            <w:tcW w:w="997" w:type="dxa"/>
            <w:tcBorders>
              <w:top w:val="nil"/>
              <w:left w:val="nil"/>
              <w:bottom w:val="nil"/>
              <w:right w:val="nil"/>
            </w:tcBorders>
            <w:shd w:val="clear" w:color="auto" w:fill="auto"/>
            <w:vAlign w:val="bottom"/>
          </w:tcPr>
          <w:p w14:paraId="0E6361D3" w14:textId="47E00A77"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15.329 </w:t>
            </w:r>
          </w:p>
        </w:tc>
        <w:tc>
          <w:tcPr>
            <w:tcW w:w="897" w:type="dxa"/>
            <w:tcBorders>
              <w:top w:val="nil"/>
              <w:left w:val="nil"/>
              <w:bottom w:val="nil"/>
              <w:right w:val="nil"/>
            </w:tcBorders>
            <w:shd w:val="clear" w:color="auto" w:fill="auto"/>
            <w:vAlign w:val="bottom"/>
          </w:tcPr>
          <w:p w14:paraId="15AC9487" w14:textId="18DD74FD"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229" w:type="dxa"/>
            <w:tcBorders>
              <w:top w:val="nil"/>
              <w:left w:val="nil"/>
              <w:bottom w:val="nil"/>
              <w:right w:val="nil"/>
            </w:tcBorders>
            <w:vAlign w:val="bottom"/>
          </w:tcPr>
          <w:p w14:paraId="18CAAD5A" w14:textId="02DDDAA4"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229" w:type="dxa"/>
            <w:tcBorders>
              <w:top w:val="nil"/>
              <w:left w:val="nil"/>
              <w:bottom w:val="nil"/>
              <w:right w:val="nil"/>
            </w:tcBorders>
            <w:shd w:val="clear" w:color="auto" w:fill="auto"/>
            <w:vAlign w:val="bottom"/>
          </w:tcPr>
          <w:p w14:paraId="326912EA" w14:textId="1419790F" w:rsidR="00E839A9" w:rsidRPr="00E839A9" w:rsidRDefault="00E839A9">
            <w:pPr>
              <w:jc w:val="right"/>
              <w:rPr>
                <w:rFonts w:ascii="Arial" w:hAnsi="Arial" w:cs="Arial"/>
                <w:sz w:val="16"/>
                <w:szCs w:val="16"/>
                <w:lang w:eastAsia="es-AR"/>
              </w:rPr>
            </w:pPr>
            <w:r w:rsidRPr="00E839A9">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04075DD9" w14:textId="78FE44DA"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-28 </w:t>
            </w:r>
          </w:p>
        </w:tc>
        <w:tc>
          <w:tcPr>
            <w:tcW w:w="1134" w:type="dxa"/>
            <w:tcBorders>
              <w:top w:val="nil"/>
              <w:left w:val="nil"/>
              <w:bottom w:val="nil"/>
              <w:right w:val="nil"/>
            </w:tcBorders>
            <w:shd w:val="clear" w:color="auto" w:fill="auto"/>
            <w:vAlign w:val="bottom"/>
          </w:tcPr>
          <w:p w14:paraId="29A80235" w14:textId="72BCAFC5" w:rsidR="00E839A9" w:rsidRPr="00E839A9" w:rsidRDefault="00E839A9">
            <w:pPr>
              <w:jc w:val="right"/>
              <w:rPr>
                <w:rFonts w:ascii="Arial" w:hAnsi="Arial" w:cs="Arial"/>
                <w:sz w:val="16"/>
                <w:szCs w:val="16"/>
                <w:lang w:eastAsia="es-AR"/>
              </w:rPr>
            </w:pPr>
            <w:r w:rsidRPr="005333A4">
              <w:rPr>
                <w:rFonts w:ascii="Arial" w:hAnsi="Arial" w:cs="Arial"/>
                <w:sz w:val="16"/>
                <w:szCs w:val="16"/>
              </w:rPr>
              <w:t xml:space="preserve"> 15.697 </w:t>
            </w:r>
          </w:p>
        </w:tc>
      </w:tr>
      <w:tr w:rsidR="005F5300" w:rsidRPr="000B563A" w14:paraId="021CDD30" w14:textId="77777777" w:rsidTr="005333A4">
        <w:tc>
          <w:tcPr>
            <w:tcW w:w="2547" w:type="dxa"/>
            <w:tcBorders>
              <w:top w:val="nil"/>
              <w:left w:val="nil"/>
              <w:bottom w:val="nil"/>
              <w:right w:val="nil"/>
            </w:tcBorders>
            <w:shd w:val="clear" w:color="auto" w:fill="auto"/>
            <w:vAlign w:val="bottom"/>
            <w:hideMark/>
          </w:tcPr>
          <w:p w14:paraId="43F2DD97" w14:textId="77777777" w:rsidR="005F5300" w:rsidRPr="000B563A" w:rsidRDefault="005F5300" w:rsidP="00FC64C0">
            <w:pPr>
              <w:rPr>
                <w:rFonts w:ascii="Arial" w:hAnsi="Arial" w:cs="Arial"/>
                <w:sz w:val="16"/>
                <w:szCs w:val="16"/>
                <w:lang w:eastAsia="es-AR"/>
              </w:rPr>
            </w:pPr>
          </w:p>
        </w:tc>
        <w:tc>
          <w:tcPr>
            <w:tcW w:w="1204" w:type="dxa"/>
            <w:tcBorders>
              <w:top w:val="nil"/>
              <w:left w:val="nil"/>
              <w:bottom w:val="nil"/>
              <w:right w:val="nil"/>
            </w:tcBorders>
            <w:shd w:val="clear" w:color="auto" w:fill="auto"/>
            <w:vAlign w:val="bottom"/>
          </w:tcPr>
          <w:p w14:paraId="572BBC93" w14:textId="77777777" w:rsidR="005F5300" w:rsidRPr="00E839A9" w:rsidRDefault="005F5300">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bottom"/>
          </w:tcPr>
          <w:p w14:paraId="43EE419F" w14:textId="77777777" w:rsidR="005F5300" w:rsidRPr="00E839A9" w:rsidRDefault="005F5300">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bottom"/>
          </w:tcPr>
          <w:p w14:paraId="26585205" w14:textId="77777777" w:rsidR="005F5300" w:rsidRPr="00E839A9" w:rsidRDefault="005F5300">
            <w:pPr>
              <w:jc w:val="right"/>
              <w:rPr>
                <w:rFonts w:ascii="Arial" w:hAnsi="Arial" w:cs="Arial"/>
                <w:sz w:val="16"/>
                <w:szCs w:val="16"/>
                <w:lang w:eastAsia="es-AR"/>
              </w:rPr>
            </w:pPr>
          </w:p>
        </w:tc>
        <w:tc>
          <w:tcPr>
            <w:tcW w:w="1229" w:type="dxa"/>
            <w:tcBorders>
              <w:top w:val="nil"/>
              <w:left w:val="nil"/>
              <w:bottom w:val="nil"/>
              <w:right w:val="nil"/>
            </w:tcBorders>
            <w:vAlign w:val="bottom"/>
          </w:tcPr>
          <w:p w14:paraId="254F5AD1" w14:textId="77777777" w:rsidR="005F5300" w:rsidRPr="00E839A9" w:rsidRDefault="005F5300">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bottom"/>
          </w:tcPr>
          <w:p w14:paraId="705BC4F6" w14:textId="77777777" w:rsidR="005F5300" w:rsidRPr="00E839A9" w:rsidRDefault="005F5300">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0BA004AF" w14:textId="77777777" w:rsidR="005F5300" w:rsidRPr="00E839A9" w:rsidRDefault="005F5300">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14E07608" w14:textId="77777777" w:rsidR="005F5300" w:rsidRPr="00E839A9" w:rsidRDefault="005F5300">
            <w:pPr>
              <w:jc w:val="right"/>
              <w:rPr>
                <w:rFonts w:ascii="Arial" w:hAnsi="Arial" w:cs="Arial"/>
                <w:sz w:val="16"/>
                <w:szCs w:val="16"/>
                <w:lang w:eastAsia="es-AR"/>
              </w:rPr>
            </w:pPr>
          </w:p>
        </w:tc>
      </w:tr>
      <w:tr w:rsidR="00E839A9" w:rsidRPr="000B563A" w14:paraId="4D93F90C" w14:textId="77777777" w:rsidTr="005333A4">
        <w:tc>
          <w:tcPr>
            <w:tcW w:w="2547" w:type="dxa"/>
            <w:tcBorders>
              <w:top w:val="nil"/>
              <w:left w:val="nil"/>
              <w:bottom w:val="nil"/>
              <w:right w:val="nil"/>
            </w:tcBorders>
            <w:shd w:val="clear" w:color="auto" w:fill="auto"/>
            <w:vAlign w:val="bottom"/>
            <w:hideMark/>
          </w:tcPr>
          <w:p w14:paraId="285E2A78" w14:textId="77777777" w:rsidR="00E839A9" w:rsidRPr="000B563A" w:rsidRDefault="00E839A9" w:rsidP="00E839A9">
            <w:pPr>
              <w:rPr>
                <w:rFonts w:ascii="Arial" w:hAnsi="Arial" w:cs="Arial"/>
                <w:b/>
                <w:bCs/>
                <w:sz w:val="16"/>
                <w:szCs w:val="16"/>
                <w:lang w:eastAsia="es-AR"/>
              </w:rPr>
            </w:pPr>
            <w:r w:rsidRPr="000B563A">
              <w:rPr>
                <w:rFonts w:ascii="Arial" w:hAnsi="Arial" w:cs="Arial"/>
                <w:b/>
                <w:bCs/>
                <w:sz w:val="16"/>
                <w:szCs w:val="16"/>
                <w:lang w:eastAsia="es-AR"/>
              </w:rPr>
              <w:t>TOTAL DE PREVISIONES</w:t>
            </w:r>
          </w:p>
        </w:tc>
        <w:tc>
          <w:tcPr>
            <w:tcW w:w="1204" w:type="dxa"/>
            <w:tcBorders>
              <w:top w:val="single" w:sz="4" w:space="0" w:color="auto"/>
              <w:left w:val="nil"/>
              <w:bottom w:val="single" w:sz="4" w:space="0" w:color="auto"/>
              <w:right w:val="nil"/>
            </w:tcBorders>
            <w:shd w:val="clear" w:color="auto" w:fill="auto"/>
            <w:vAlign w:val="bottom"/>
          </w:tcPr>
          <w:p w14:paraId="3F9001A2" w14:textId="4BB00523"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 6.332.707 </w:t>
            </w:r>
          </w:p>
        </w:tc>
        <w:tc>
          <w:tcPr>
            <w:tcW w:w="997" w:type="dxa"/>
            <w:tcBorders>
              <w:top w:val="single" w:sz="4" w:space="0" w:color="auto"/>
              <w:left w:val="nil"/>
              <w:bottom w:val="single" w:sz="4" w:space="0" w:color="auto"/>
              <w:right w:val="nil"/>
            </w:tcBorders>
            <w:shd w:val="clear" w:color="auto" w:fill="auto"/>
            <w:vAlign w:val="bottom"/>
          </w:tcPr>
          <w:p w14:paraId="129B6BA3" w14:textId="1882F437"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-70.864 </w:t>
            </w:r>
          </w:p>
        </w:tc>
        <w:tc>
          <w:tcPr>
            <w:tcW w:w="897" w:type="dxa"/>
            <w:tcBorders>
              <w:top w:val="single" w:sz="4" w:space="0" w:color="auto"/>
              <w:left w:val="nil"/>
              <w:bottom w:val="single" w:sz="4" w:space="0" w:color="auto"/>
              <w:right w:val="nil"/>
            </w:tcBorders>
            <w:shd w:val="clear" w:color="auto" w:fill="auto"/>
            <w:vAlign w:val="bottom"/>
          </w:tcPr>
          <w:p w14:paraId="6F7D0023" w14:textId="4FA81DFF"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 113.193 </w:t>
            </w:r>
          </w:p>
        </w:tc>
        <w:tc>
          <w:tcPr>
            <w:tcW w:w="1229" w:type="dxa"/>
            <w:tcBorders>
              <w:top w:val="single" w:sz="4" w:space="0" w:color="auto"/>
              <w:left w:val="nil"/>
              <w:bottom w:val="single" w:sz="4" w:space="0" w:color="auto"/>
              <w:right w:val="nil"/>
            </w:tcBorders>
            <w:vAlign w:val="bottom"/>
          </w:tcPr>
          <w:p w14:paraId="297B3A33" w14:textId="7F93A6BC"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 227.407 </w:t>
            </w:r>
          </w:p>
        </w:tc>
        <w:tc>
          <w:tcPr>
            <w:tcW w:w="1229" w:type="dxa"/>
            <w:tcBorders>
              <w:top w:val="single" w:sz="4" w:space="0" w:color="auto"/>
              <w:left w:val="nil"/>
              <w:bottom w:val="single" w:sz="4" w:space="0" w:color="auto"/>
              <w:right w:val="nil"/>
            </w:tcBorders>
            <w:shd w:val="clear" w:color="auto" w:fill="auto"/>
            <w:vAlign w:val="bottom"/>
          </w:tcPr>
          <w:p w14:paraId="77747730" w14:textId="7404B7C4" w:rsidR="00E839A9" w:rsidRPr="00E839A9" w:rsidRDefault="00E839A9">
            <w:pPr>
              <w:jc w:val="right"/>
              <w:rPr>
                <w:rFonts w:ascii="Arial" w:hAnsi="Arial" w:cs="Arial"/>
                <w:b/>
                <w:bCs/>
                <w:sz w:val="16"/>
                <w:szCs w:val="16"/>
                <w:lang w:eastAsia="es-AR"/>
              </w:rPr>
            </w:pPr>
            <w:r w:rsidRPr="00E839A9">
              <w:rPr>
                <w:rFonts w:ascii="Arial" w:hAnsi="Arial" w:cs="Arial"/>
                <w:b/>
                <w:bCs/>
                <w:sz w:val="16"/>
                <w:szCs w:val="16"/>
              </w:rPr>
              <w:t>-</w:t>
            </w:r>
          </w:p>
        </w:tc>
        <w:tc>
          <w:tcPr>
            <w:tcW w:w="1134" w:type="dxa"/>
            <w:tcBorders>
              <w:top w:val="single" w:sz="4" w:space="0" w:color="auto"/>
              <w:left w:val="nil"/>
              <w:bottom w:val="single" w:sz="4" w:space="0" w:color="auto"/>
              <w:right w:val="nil"/>
            </w:tcBorders>
            <w:shd w:val="clear" w:color="auto" w:fill="auto"/>
            <w:vAlign w:val="bottom"/>
          </w:tcPr>
          <w:p w14:paraId="4A0D6346" w14:textId="1BBC5663"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-458.211 </w:t>
            </w:r>
          </w:p>
        </w:tc>
        <w:tc>
          <w:tcPr>
            <w:tcW w:w="1134" w:type="dxa"/>
            <w:tcBorders>
              <w:top w:val="single" w:sz="4" w:space="0" w:color="auto"/>
              <w:left w:val="nil"/>
              <w:bottom w:val="single" w:sz="4" w:space="0" w:color="auto"/>
              <w:right w:val="nil"/>
            </w:tcBorders>
            <w:shd w:val="clear" w:color="auto" w:fill="auto"/>
            <w:vAlign w:val="bottom"/>
          </w:tcPr>
          <w:p w14:paraId="7EA65190" w14:textId="234ADEBF" w:rsidR="00E839A9" w:rsidRPr="00E839A9" w:rsidRDefault="00E839A9">
            <w:pPr>
              <w:jc w:val="right"/>
              <w:rPr>
                <w:rFonts w:ascii="Arial" w:hAnsi="Arial" w:cs="Arial"/>
                <w:b/>
                <w:bCs/>
                <w:sz w:val="16"/>
                <w:szCs w:val="16"/>
                <w:lang w:eastAsia="es-AR"/>
              </w:rPr>
            </w:pPr>
            <w:r w:rsidRPr="005333A4">
              <w:rPr>
                <w:rFonts w:ascii="Arial" w:hAnsi="Arial" w:cs="Arial"/>
                <w:b/>
                <w:sz w:val="16"/>
                <w:szCs w:val="16"/>
              </w:rPr>
              <w:t xml:space="preserve"> 6.144.232 </w:t>
            </w:r>
          </w:p>
        </w:tc>
      </w:tr>
    </w:tbl>
    <w:p w14:paraId="78B529E5" w14:textId="7F992A08" w:rsidR="00E340E9" w:rsidRPr="00534414" w:rsidRDefault="00E340E9" w:rsidP="00B5057C">
      <w:pPr>
        <w:rPr>
          <w:sz w:val="16"/>
          <w:szCs w:val="16"/>
          <w:lang w:eastAsia="es-AR"/>
        </w:rPr>
      </w:pPr>
    </w:p>
    <w:p w14:paraId="7BE7BBE7" w14:textId="77777777" w:rsidR="00967546" w:rsidRDefault="00967546" w:rsidP="00B5057C">
      <w:pPr>
        <w:rPr>
          <w:sz w:val="16"/>
          <w:szCs w:val="16"/>
          <w:lang w:eastAsia="es-AR"/>
        </w:rPr>
      </w:pPr>
    </w:p>
    <w:p w14:paraId="7184BC8D" w14:textId="77777777" w:rsidR="00967546" w:rsidRPr="00534414" w:rsidRDefault="00967546" w:rsidP="00B5057C">
      <w:pPr>
        <w:rPr>
          <w:sz w:val="16"/>
          <w:szCs w:val="16"/>
          <w:lang w:eastAsia="es-AR"/>
        </w:rPr>
      </w:pPr>
    </w:p>
    <w:p w14:paraId="2A147F17" w14:textId="77777777" w:rsidR="00967546" w:rsidRPr="00534414" w:rsidRDefault="00967546" w:rsidP="00B5057C">
      <w:pPr>
        <w:rPr>
          <w:sz w:val="16"/>
          <w:szCs w:val="16"/>
          <w:lang w:eastAsia="es-AR"/>
        </w:rPr>
        <w:sectPr w:rsidR="00967546" w:rsidRPr="00534414" w:rsidSect="00DA660B">
          <w:headerReference w:type="default" r:id="rId27"/>
          <w:pgSz w:w="11907" w:h="16839" w:code="9"/>
          <w:pgMar w:top="1418" w:right="1701" w:bottom="1418" w:left="1134" w:header="567" w:footer="0" w:gutter="0"/>
          <w:cols w:space="708"/>
          <w:docGrid w:linePitch="360"/>
        </w:sectPr>
      </w:pPr>
    </w:p>
    <w:p w14:paraId="68DF5450" w14:textId="21CDC1C0" w:rsidR="00967546" w:rsidRDefault="00967546" w:rsidP="00D878CB">
      <w:pPr>
        <w:jc w:val="center"/>
        <w:rPr>
          <w:sz w:val="20"/>
          <w:lang w:eastAsia="es-AR"/>
        </w:rPr>
      </w:pPr>
    </w:p>
    <w:p w14:paraId="6C2D57C1" w14:textId="77777777" w:rsidR="00967546" w:rsidRDefault="00967546" w:rsidP="00B5057C">
      <w:pPr>
        <w:rPr>
          <w:sz w:val="20"/>
          <w:lang w:eastAsia="es-AR"/>
        </w:rPr>
      </w:pPr>
    </w:p>
    <w:p w14:paraId="38EC0FF3" w14:textId="77777777" w:rsidR="00D90995" w:rsidRPr="00701F32" w:rsidRDefault="00D90995" w:rsidP="007045C3">
      <w:pPr>
        <w:pStyle w:val="Ttuloprincipal"/>
        <w:jc w:val="left"/>
        <w:rPr>
          <w:rFonts w:ascii="Arial" w:hAnsi="Arial" w:cs="Arial"/>
          <w:szCs w:val="24"/>
        </w:rPr>
      </w:pPr>
    </w:p>
    <w:p w14:paraId="532CBEE8" w14:textId="77777777" w:rsidR="007045C3" w:rsidRPr="00701F32" w:rsidRDefault="007045C3" w:rsidP="007045C3">
      <w:pPr>
        <w:pStyle w:val="Ttuloprincipal"/>
        <w:jc w:val="left"/>
        <w:rPr>
          <w:rFonts w:ascii="Arial" w:hAnsi="Arial" w:cs="Arial"/>
          <w:szCs w:val="24"/>
        </w:rPr>
      </w:pPr>
    </w:p>
    <w:p w14:paraId="3BF29DAA" w14:textId="77777777" w:rsidR="006470AD" w:rsidRPr="00701F32" w:rsidRDefault="006470AD" w:rsidP="007045C3">
      <w:pPr>
        <w:pStyle w:val="Ttuloprincipal"/>
        <w:jc w:val="left"/>
        <w:rPr>
          <w:rFonts w:ascii="Arial" w:hAnsi="Arial" w:cs="Arial"/>
          <w:szCs w:val="24"/>
        </w:rPr>
      </w:pPr>
    </w:p>
    <w:p w14:paraId="6597503B" w14:textId="77777777" w:rsidR="006470AD" w:rsidRPr="00701F32" w:rsidRDefault="006470AD" w:rsidP="007045C3">
      <w:pPr>
        <w:pStyle w:val="Ttuloprincipal"/>
        <w:jc w:val="left"/>
        <w:rPr>
          <w:rFonts w:ascii="Arial" w:hAnsi="Arial" w:cs="Arial"/>
          <w:szCs w:val="24"/>
        </w:rPr>
      </w:pPr>
    </w:p>
    <w:p w14:paraId="78EDE097" w14:textId="77777777" w:rsidR="006470AD" w:rsidRPr="00701F32" w:rsidRDefault="006470AD" w:rsidP="007045C3">
      <w:pPr>
        <w:pStyle w:val="Ttuloprincipal"/>
        <w:jc w:val="left"/>
        <w:rPr>
          <w:rFonts w:ascii="Arial" w:hAnsi="Arial" w:cs="Arial"/>
          <w:szCs w:val="24"/>
        </w:rPr>
      </w:pPr>
    </w:p>
    <w:p w14:paraId="58CDF60B" w14:textId="77777777" w:rsidR="006470AD" w:rsidRPr="00701F32" w:rsidRDefault="006470AD" w:rsidP="007045C3">
      <w:pPr>
        <w:pStyle w:val="Ttuloprincipal"/>
        <w:jc w:val="left"/>
        <w:rPr>
          <w:rFonts w:ascii="Arial" w:hAnsi="Arial" w:cs="Arial"/>
          <w:szCs w:val="24"/>
        </w:rPr>
      </w:pPr>
    </w:p>
    <w:p w14:paraId="7064E121" w14:textId="77777777" w:rsidR="006470AD" w:rsidRPr="00701F32" w:rsidRDefault="006470AD" w:rsidP="007045C3">
      <w:pPr>
        <w:pStyle w:val="Ttuloprincipal"/>
        <w:jc w:val="left"/>
        <w:rPr>
          <w:rFonts w:ascii="Arial" w:hAnsi="Arial" w:cs="Arial"/>
          <w:szCs w:val="24"/>
        </w:rPr>
      </w:pPr>
    </w:p>
    <w:p w14:paraId="76A4BE1E" w14:textId="77777777" w:rsidR="007045C3" w:rsidRPr="00701F32" w:rsidRDefault="007045C3" w:rsidP="007045C3">
      <w:pPr>
        <w:pStyle w:val="Ttuloprincipal"/>
        <w:jc w:val="left"/>
        <w:rPr>
          <w:rFonts w:ascii="Arial" w:hAnsi="Arial" w:cs="Arial"/>
          <w:szCs w:val="24"/>
        </w:rPr>
      </w:pPr>
      <w:r w:rsidRPr="00701F32">
        <w:rPr>
          <w:rFonts w:ascii="Arial" w:hAnsi="Arial" w:cs="Arial"/>
          <w:szCs w:val="24"/>
        </w:rPr>
        <w:t>BANCO SUPERVIELLE S.A.</w:t>
      </w:r>
    </w:p>
    <w:p w14:paraId="291E7E0F" w14:textId="77777777" w:rsidR="007045C3" w:rsidRPr="00701F32" w:rsidRDefault="007045C3" w:rsidP="007045C3">
      <w:pPr>
        <w:pStyle w:val="Ttuloprincipal"/>
        <w:ind w:left="-120"/>
        <w:rPr>
          <w:rFonts w:ascii="Arial" w:hAnsi="Arial" w:cs="Arial"/>
          <w:szCs w:val="24"/>
        </w:rPr>
      </w:pPr>
    </w:p>
    <w:p w14:paraId="11D6D45A" w14:textId="77777777" w:rsidR="007045C3" w:rsidRPr="00701F32" w:rsidRDefault="007045C3" w:rsidP="007045C3">
      <w:pPr>
        <w:pStyle w:val="Ttuloprincipal"/>
        <w:ind w:left="-120"/>
        <w:jc w:val="left"/>
        <w:rPr>
          <w:rFonts w:ascii="Arial" w:hAnsi="Arial" w:cs="Arial"/>
          <w:szCs w:val="24"/>
        </w:rPr>
      </w:pPr>
    </w:p>
    <w:p w14:paraId="799D3E6F" w14:textId="69D40AB3" w:rsidR="007045C3" w:rsidRPr="00701F32" w:rsidRDefault="007045C3" w:rsidP="007045C3">
      <w:pPr>
        <w:pStyle w:val="Ttuloprincipal"/>
        <w:ind w:left="-120"/>
        <w:jc w:val="left"/>
        <w:rPr>
          <w:rFonts w:ascii="Arial" w:hAnsi="Arial" w:cs="Arial"/>
          <w:szCs w:val="24"/>
        </w:rPr>
      </w:pPr>
      <w:r w:rsidRPr="00701F32">
        <w:rPr>
          <w:rFonts w:ascii="Arial" w:hAnsi="Arial" w:cs="Arial"/>
          <w:szCs w:val="24"/>
        </w:rPr>
        <w:t xml:space="preserve">Estados </w:t>
      </w:r>
      <w:r w:rsidR="00B0586C" w:rsidRPr="00701F32">
        <w:rPr>
          <w:rFonts w:ascii="Arial" w:hAnsi="Arial" w:cs="Arial"/>
          <w:szCs w:val="24"/>
        </w:rPr>
        <w:t>f</w:t>
      </w:r>
      <w:r w:rsidR="009D3B80" w:rsidRPr="00701F32">
        <w:rPr>
          <w:rFonts w:ascii="Arial" w:hAnsi="Arial" w:cs="Arial"/>
          <w:szCs w:val="24"/>
        </w:rPr>
        <w:t>i</w:t>
      </w:r>
      <w:r w:rsidR="0055495D" w:rsidRPr="00701F32">
        <w:rPr>
          <w:rFonts w:ascii="Arial" w:hAnsi="Arial" w:cs="Arial"/>
          <w:szCs w:val="24"/>
        </w:rPr>
        <w:t>n</w:t>
      </w:r>
      <w:r w:rsidR="009D3B80" w:rsidRPr="00701F32">
        <w:rPr>
          <w:rFonts w:ascii="Arial" w:hAnsi="Arial" w:cs="Arial"/>
          <w:szCs w:val="24"/>
        </w:rPr>
        <w:t xml:space="preserve">ancieros </w:t>
      </w:r>
      <w:r w:rsidR="000924A1">
        <w:rPr>
          <w:rFonts w:ascii="Arial" w:hAnsi="Arial" w:cs="Arial"/>
          <w:szCs w:val="24"/>
        </w:rPr>
        <w:t>condensados intermedios</w:t>
      </w:r>
      <w:r w:rsidR="003A0A33" w:rsidRPr="003A0A33">
        <w:rPr>
          <w:rFonts w:ascii="Arial" w:hAnsi="Arial" w:cs="Arial"/>
          <w:szCs w:val="24"/>
        </w:rPr>
        <w:t xml:space="preserve"> </w:t>
      </w:r>
      <w:r w:rsidR="003A0A33" w:rsidRPr="00701F32">
        <w:rPr>
          <w:rFonts w:ascii="Arial" w:hAnsi="Arial" w:cs="Arial"/>
          <w:szCs w:val="24"/>
        </w:rPr>
        <w:t>separados</w:t>
      </w:r>
    </w:p>
    <w:p w14:paraId="20711BF1" w14:textId="77777777" w:rsidR="007045C3" w:rsidRPr="00701F32" w:rsidRDefault="007045C3" w:rsidP="007045C3">
      <w:pPr>
        <w:pStyle w:val="Ttuloprincipal"/>
        <w:ind w:left="-120"/>
        <w:jc w:val="left"/>
        <w:rPr>
          <w:rFonts w:ascii="Arial" w:hAnsi="Arial" w:cs="Arial"/>
          <w:szCs w:val="24"/>
        </w:rPr>
      </w:pPr>
    </w:p>
    <w:p w14:paraId="706DD809" w14:textId="1A74DB30" w:rsidR="000924A1" w:rsidRPr="00701F32" w:rsidRDefault="000924A1" w:rsidP="000924A1">
      <w:pPr>
        <w:pStyle w:val="Ttuloprincipal"/>
        <w:ind w:left="-120"/>
        <w:jc w:val="left"/>
        <w:rPr>
          <w:rFonts w:ascii="Arial" w:hAnsi="Arial" w:cs="Arial"/>
          <w:b w:val="0"/>
          <w:szCs w:val="24"/>
        </w:rPr>
      </w:pPr>
      <w:r w:rsidRPr="00701F32">
        <w:rPr>
          <w:rFonts w:ascii="Arial" w:hAnsi="Arial" w:cs="Arial"/>
          <w:b w:val="0"/>
          <w:szCs w:val="24"/>
        </w:rPr>
        <w:t xml:space="preserve">Correspondientes al período de </w:t>
      </w:r>
      <w:r w:rsidR="003C2633">
        <w:rPr>
          <w:rFonts w:ascii="Arial" w:hAnsi="Arial" w:cs="Arial"/>
          <w:b w:val="0"/>
          <w:szCs w:val="24"/>
        </w:rPr>
        <w:t>nueve</w:t>
      </w:r>
      <w:r w:rsidRPr="00701F32">
        <w:rPr>
          <w:rFonts w:ascii="Arial" w:hAnsi="Arial" w:cs="Arial"/>
          <w:b w:val="0"/>
          <w:szCs w:val="24"/>
        </w:rPr>
        <w:t xml:space="preserve"> meses finalizado el </w:t>
      </w:r>
    </w:p>
    <w:p w14:paraId="5B1F6C1C" w14:textId="479C27C3" w:rsidR="000D1F5D" w:rsidRPr="00701F32" w:rsidRDefault="000924A1" w:rsidP="007E1BCD">
      <w:pPr>
        <w:pStyle w:val="Ttuloprincipal"/>
        <w:ind w:left="-120"/>
        <w:jc w:val="left"/>
        <w:rPr>
          <w:rFonts w:ascii="Arial" w:hAnsi="Arial" w:cs="Arial"/>
          <w:b w:val="0"/>
          <w:szCs w:val="24"/>
        </w:rPr>
        <w:sectPr w:rsidR="000D1F5D" w:rsidRPr="00701F32" w:rsidSect="005B295D">
          <w:headerReference w:type="even" r:id="rId28"/>
          <w:headerReference w:type="default" r:id="rId29"/>
          <w:footerReference w:type="default" r:id="rId30"/>
          <w:headerReference w:type="first" r:id="rId31"/>
          <w:pgSz w:w="11907" w:h="16839" w:code="9"/>
          <w:pgMar w:top="1418" w:right="1701" w:bottom="1418" w:left="1701" w:header="680" w:footer="720" w:gutter="0"/>
          <w:paperSrc w:first="256" w:other="256"/>
          <w:cols w:space="720"/>
          <w:docGrid w:linePitch="326"/>
        </w:sectPr>
      </w:pPr>
      <w:r w:rsidRPr="00701F32">
        <w:rPr>
          <w:rFonts w:ascii="Arial" w:hAnsi="Arial" w:cs="Arial"/>
          <w:b w:val="0"/>
          <w:szCs w:val="24"/>
        </w:rPr>
        <w:t>3</w:t>
      </w:r>
      <w:r w:rsidR="0056793F">
        <w:rPr>
          <w:rFonts w:ascii="Arial" w:hAnsi="Arial" w:cs="Arial"/>
          <w:b w:val="0"/>
          <w:szCs w:val="24"/>
        </w:rPr>
        <w:t>1</w:t>
      </w:r>
      <w:r w:rsidRPr="00701F32">
        <w:rPr>
          <w:rFonts w:ascii="Arial" w:hAnsi="Arial" w:cs="Arial"/>
          <w:b w:val="0"/>
          <w:szCs w:val="24"/>
        </w:rPr>
        <w:t xml:space="preserve"> de </w:t>
      </w:r>
      <w:r w:rsidR="0056793F">
        <w:rPr>
          <w:rFonts w:ascii="Arial" w:hAnsi="Arial" w:cs="Arial"/>
          <w:b w:val="0"/>
          <w:szCs w:val="24"/>
        </w:rPr>
        <w:t>marzo</w:t>
      </w:r>
      <w:r w:rsidRPr="00701F32">
        <w:rPr>
          <w:rFonts w:ascii="Arial" w:hAnsi="Arial" w:cs="Arial"/>
          <w:b w:val="0"/>
          <w:szCs w:val="24"/>
        </w:rPr>
        <w:t xml:space="preserve"> de 20</w:t>
      </w:r>
      <w:r w:rsidR="0056793F">
        <w:rPr>
          <w:rFonts w:ascii="Arial" w:hAnsi="Arial" w:cs="Arial"/>
          <w:b w:val="0"/>
          <w:szCs w:val="24"/>
        </w:rPr>
        <w:t>20</w:t>
      </w:r>
      <w:r w:rsidRPr="00701F32">
        <w:rPr>
          <w:rFonts w:ascii="Arial" w:hAnsi="Arial" w:cs="Arial"/>
          <w:b w:val="0"/>
          <w:szCs w:val="24"/>
        </w:rPr>
        <w:t>, presentados en forma comparativa</w:t>
      </w:r>
      <w:r w:rsidRPr="00701F32" w:rsidDel="000924A1">
        <w:rPr>
          <w:rFonts w:ascii="Arial" w:hAnsi="Arial" w:cs="Arial"/>
          <w:b w:val="0"/>
          <w:szCs w:val="24"/>
        </w:rPr>
        <w:t xml:space="preserve"> </w:t>
      </w:r>
    </w:p>
    <w:p w14:paraId="0F56B2CA" w14:textId="77777777" w:rsidR="0003705B" w:rsidRPr="00701F32" w:rsidRDefault="007A4B5A">
      <w:pPr>
        <w:pStyle w:val="Header"/>
        <w:jc w:val="center"/>
        <w:rPr>
          <w:sz w:val="20"/>
          <w:lang w:eastAsia="es-AR"/>
        </w:rPr>
      </w:pPr>
      <w:r w:rsidRPr="00701F32">
        <w:rPr>
          <w:sz w:val="20"/>
          <w:lang w:eastAsia="es-AR"/>
        </w:rPr>
        <w:lastRenderedPageBreak/>
        <w:t xml:space="preserve"> </w:t>
      </w:r>
      <w:r w:rsidR="00A70353" w:rsidRPr="00701F32">
        <w:rPr>
          <w:sz w:val="20"/>
          <w:lang w:eastAsia="es-AR"/>
        </w:rPr>
        <w:t xml:space="preserve"> </w:t>
      </w:r>
    </w:p>
    <w:tbl>
      <w:tblPr>
        <w:tblW w:w="4836" w:type="pct"/>
        <w:tblLayout w:type="fixed"/>
        <w:tblCellMar>
          <w:left w:w="70" w:type="dxa"/>
          <w:right w:w="70" w:type="dxa"/>
        </w:tblCellMar>
        <w:tblLook w:val="04A0" w:firstRow="1" w:lastRow="0" w:firstColumn="1" w:lastColumn="0" w:noHBand="0" w:noVBand="1"/>
      </w:tblPr>
      <w:tblGrid>
        <w:gridCol w:w="4436"/>
        <w:gridCol w:w="809"/>
        <w:gridCol w:w="1418"/>
        <w:gridCol w:w="1553"/>
      </w:tblGrid>
      <w:tr w:rsidR="00426B7A" w:rsidRPr="0003705B" w14:paraId="520FC77A" w14:textId="77777777" w:rsidTr="00281F4D">
        <w:trPr>
          <w:trHeight w:val="300"/>
        </w:trPr>
        <w:tc>
          <w:tcPr>
            <w:tcW w:w="4436"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0C15AB07"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Conceptos</w:t>
            </w:r>
          </w:p>
        </w:tc>
        <w:tc>
          <w:tcPr>
            <w:tcW w:w="809"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364EF580"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Notas</w:t>
            </w:r>
          </w:p>
        </w:tc>
        <w:tc>
          <w:tcPr>
            <w:tcW w:w="1418"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tcPr>
          <w:p w14:paraId="0E2CEDB2" w14:textId="4E7A399E" w:rsidR="00426B7A" w:rsidRPr="0003705B" w:rsidRDefault="002551C6" w:rsidP="00BD3EC5">
            <w:pPr>
              <w:jc w:val="center"/>
              <w:rPr>
                <w:rFonts w:ascii="Arial" w:hAnsi="Arial" w:cs="Arial"/>
                <w:b/>
                <w:bCs/>
                <w:sz w:val="16"/>
                <w:szCs w:val="16"/>
                <w:lang w:eastAsia="es-AR"/>
              </w:rPr>
            </w:pPr>
            <w:r>
              <w:rPr>
                <w:rFonts w:ascii="Arial" w:hAnsi="Arial" w:cs="Arial"/>
                <w:b/>
                <w:bCs/>
                <w:sz w:val="16"/>
                <w:szCs w:val="16"/>
                <w:lang w:eastAsia="es-AR"/>
              </w:rPr>
              <w:t>31/03/2020</w:t>
            </w:r>
          </w:p>
        </w:tc>
        <w:tc>
          <w:tcPr>
            <w:tcW w:w="1553"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tcPr>
          <w:p w14:paraId="6CA76FFF" w14:textId="58E55E78" w:rsidR="00426B7A" w:rsidRPr="0003705B" w:rsidRDefault="002551C6">
            <w:pPr>
              <w:jc w:val="center"/>
              <w:rPr>
                <w:rFonts w:ascii="Arial" w:hAnsi="Arial" w:cs="Arial"/>
                <w:b/>
                <w:bCs/>
                <w:sz w:val="16"/>
                <w:szCs w:val="16"/>
                <w:lang w:eastAsia="es-AR"/>
              </w:rPr>
            </w:pPr>
            <w:r>
              <w:rPr>
                <w:rFonts w:ascii="Arial" w:hAnsi="Arial" w:cs="Arial"/>
                <w:b/>
                <w:bCs/>
                <w:sz w:val="16"/>
                <w:szCs w:val="16"/>
                <w:lang w:eastAsia="es-AR"/>
              </w:rPr>
              <w:t>31/12/2019</w:t>
            </w:r>
          </w:p>
        </w:tc>
      </w:tr>
      <w:tr w:rsidR="00426B7A" w:rsidRPr="0003705B" w14:paraId="373913A3" w14:textId="77777777" w:rsidTr="00281F4D">
        <w:trPr>
          <w:trHeight w:val="300"/>
        </w:trPr>
        <w:tc>
          <w:tcPr>
            <w:tcW w:w="4436" w:type="dxa"/>
            <w:vMerge/>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426480A4" w14:textId="77777777" w:rsidR="00426B7A" w:rsidRPr="0003705B" w:rsidRDefault="00426B7A" w:rsidP="0003705B">
            <w:pPr>
              <w:rPr>
                <w:rFonts w:ascii="Arial" w:hAnsi="Arial" w:cs="Arial"/>
                <w:b/>
                <w:bCs/>
                <w:sz w:val="16"/>
                <w:szCs w:val="16"/>
                <w:lang w:eastAsia="es-AR"/>
              </w:rPr>
            </w:pPr>
          </w:p>
        </w:tc>
        <w:tc>
          <w:tcPr>
            <w:tcW w:w="809" w:type="dxa"/>
            <w:vMerge/>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24A7EDF2" w14:textId="77777777" w:rsidR="00426B7A" w:rsidRPr="0003705B" w:rsidRDefault="00426B7A" w:rsidP="0003705B">
            <w:pPr>
              <w:rPr>
                <w:rFonts w:ascii="Arial" w:hAnsi="Arial" w:cs="Arial"/>
                <w:b/>
                <w:bCs/>
                <w:sz w:val="16"/>
                <w:szCs w:val="16"/>
                <w:lang w:eastAsia="es-AR"/>
              </w:rPr>
            </w:pPr>
          </w:p>
        </w:tc>
        <w:tc>
          <w:tcPr>
            <w:tcW w:w="1418" w:type="dxa"/>
            <w:vMerge/>
            <w:tcBorders>
              <w:top w:val="single" w:sz="4" w:space="0" w:color="363639"/>
              <w:left w:val="single" w:sz="4" w:space="0" w:color="363639"/>
              <w:bottom w:val="single" w:sz="4" w:space="0" w:color="363639"/>
              <w:right w:val="single" w:sz="4" w:space="0" w:color="363639"/>
            </w:tcBorders>
            <w:shd w:val="clear" w:color="auto" w:fill="C5C5C5"/>
            <w:vAlign w:val="center"/>
          </w:tcPr>
          <w:p w14:paraId="596012A3" w14:textId="77777777" w:rsidR="00426B7A" w:rsidRPr="0003705B" w:rsidRDefault="00426B7A" w:rsidP="0003705B">
            <w:pPr>
              <w:rPr>
                <w:rFonts w:ascii="Arial" w:hAnsi="Arial" w:cs="Arial"/>
                <w:b/>
                <w:bCs/>
                <w:sz w:val="16"/>
                <w:szCs w:val="16"/>
                <w:lang w:eastAsia="es-AR"/>
              </w:rPr>
            </w:pPr>
          </w:p>
        </w:tc>
        <w:tc>
          <w:tcPr>
            <w:tcW w:w="1553" w:type="dxa"/>
            <w:vMerge/>
            <w:tcBorders>
              <w:top w:val="single" w:sz="4" w:space="0" w:color="363639"/>
              <w:left w:val="single" w:sz="4" w:space="0" w:color="363639"/>
              <w:bottom w:val="single" w:sz="4" w:space="0" w:color="363639"/>
              <w:right w:val="single" w:sz="4" w:space="0" w:color="363639"/>
            </w:tcBorders>
            <w:shd w:val="clear" w:color="auto" w:fill="C5C5C5"/>
            <w:vAlign w:val="center"/>
          </w:tcPr>
          <w:p w14:paraId="55B7DA1F" w14:textId="77777777" w:rsidR="00426B7A" w:rsidRPr="0003705B" w:rsidRDefault="00426B7A" w:rsidP="0003705B">
            <w:pPr>
              <w:rPr>
                <w:rFonts w:ascii="Arial" w:hAnsi="Arial" w:cs="Arial"/>
                <w:b/>
                <w:bCs/>
                <w:sz w:val="16"/>
                <w:szCs w:val="16"/>
                <w:lang w:eastAsia="es-AR"/>
              </w:rPr>
            </w:pPr>
          </w:p>
        </w:tc>
      </w:tr>
      <w:tr w:rsidR="00426B7A" w:rsidRPr="0003705B" w14:paraId="52CFABC4" w14:textId="77777777" w:rsidTr="00281F4D">
        <w:trPr>
          <w:trHeight w:val="300"/>
        </w:trPr>
        <w:tc>
          <w:tcPr>
            <w:tcW w:w="4436" w:type="dxa"/>
            <w:tcBorders>
              <w:top w:val="nil"/>
              <w:left w:val="nil"/>
              <w:bottom w:val="nil"/>
              <w:right w:val="nil"/>
            </w:tcBorders>
            <w:shd w:val="clear" w:color="auto" w:fill="auto"/>
            <w:vAlign w:val="center"/>
            <w:hideMark/>
          </w:tcPr>
          <w:p w14:paraId="23B32969"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 </w:t>
            </w:r>
          </w:p>
        </w:tc>
        <w:tc>
          <w:tcPr>
            <w:tcW w:w="809" w:type="dxa"/>
            <w:tcBorders>
              <w:top w:val="nil"/>
              <w:left w:val="nil"/>
              <w:bottom w:val="nil"/>
              <w:right w:val="nil"/>
            </w:tcBorders>
            <w:shd w:val="clear" w:color="auto" w:fill="auto"/>
            <w:vAlign w:val="center"/>
            <w:hideMark/>
          </w:tcPr>
          <w:p w14:paraId="2B4868C7"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 </w:t>
            </w:r>
          </w:p>
        </w:tc>
        <w:tc>
          <w:tcPr>
            <w:tcW w:w="1418" w:type="dxa"/>
            <w:tcBorders>
              <w:top w:val="nil"/>
              <w:left w:val="nil"/>
              <w:bottom w:val="nil"/>
              <w:right w:val="nil"/>
            </w:tcBorders>
            <w:shd w:val="clear" w:color="auto" w:fill="auto"/>
            <w:noWrap/>
            <w:vAlign w:val="center"/>
            <w:hideMark/>
          </w:tcPr>
          <w:p w14:paraId="13E866A6" w14:textId="77777777" w:rsidR="00426B7A" w:rsidRPr="0003705B" w:rsidRDefault="00426B7A" w:rsidP="0003705B">
            <w:pPr>
              <w:jc w:val="center"/>
              <w:rPr>
                <w:rFonts w:ascii="Arial" w:hAnsi="Arial" w:cs="Arial"/>
                <w:color w:val="000000"/>
                <w:sz w:val="16"/>
                <w:szCs w:val="16"/>
                <w:lang w:eastAsia="es-AR"/>
              </w:rPr>
            </w:pPr>
            <w:r w:rsidRPr="0003705B">
              <w:rPr>
                <w:rFonts w:ascii="Arial" w:hAnsi="Arial" w:cs="Arial"/>
                <w:color w:val="000000"/>
                <w:sz w:val="16"/>
                <w:szCs w:val="16"/>
                <w:lang w:eastAsia="es-AR"/>
              </w:rPr>
              <w:t> </w:t>
            </w:r>
          </w:p>
        </w:tc>
        <w:tc>
          <w:tcPr>
            <w:tcW w:w="1553" w:type="dxa"/>
            <w:tcBorders>
              <w:top w:val="nil"/>
              <w:left w:val="nil"/>
              <w:bottom w:val="nil"/>
              <w:right w:val="nil"/>
            </w:tcBorders>
            <w:shd w:val="clear" w:color="auto" w:fill="auto"/>
            <w:noWrap/>
            <w:vAlign w:val="center"/>
            <w:hideMark/>
          </w:tcPr>
          <w:p w14:paraId="55B6A54D" w14:textId="77777777" w:rsidR="00426B7A" w:rsidRPr="0003705B" w:rsidRDefault="00426B7A" w:rsidP="0003705B">
            <w:pPr>
              <w:jc w:val="center"/>
              <w:rPr>
                <w:rFonts w:ascii="Arial" w:hAnsi="Arial" w:cs="Arial"/>
                <w:color w:val="000000"/>
                <w:sz w:val="16"/>
                <w:szCs w:val="16"/>
                <w:lang w:eastAsia="es-AR"/>
              </w:rPr>
            </w:pPr>
            <w:r w:rsidRPr="0003705B">
              <w:rPr>
                <w:rFonts w:ascii="Arial" w:hAnsi="Arial" w:cs="Arial"/>
                <w:color w:val="000000"/>
                <w:sz w:val="16"/>
                <w:szCs w:val="16"/>
                <w:lang w:eastAsia="es-AR"/>
              </w:rPr>
              <w:t> </w:t>
            </w:r>
          </w:p>
        </w:tc>
      </w:tr>
      <w:tr w:rsidR="00426B7A" w:rsidRPr="0003705B" w14:paraId="5DFD73C7" w14:textId="77777777" w:rsidTr="00281F4D">
        <w:trPr>
          <w:trHeight w:val="300"/>
        </w:trPr>
        <w:tc>
          <w:tcPr>
            <w:tcW w:w="4436" w:type="dxa"/>
            <w:tcBorders>
              <w:top w:val="nil"/>
              <w:left w:val="nil"/>
              <w:bottom w:val="nil"/>
              <w:right w:val="nil"/>
            </w:tcBorders>
            <w:shd w:val="clear" w:color="auto" w:fill="auto"/>
            <w:hideMark/>
          </w:tcPr>
          <w:p w14:paraId="03FD5E0A" w14:textId="77777777" w:rsidR="00426B7A" w:rsidRPr="0003705B" w:rsidRDefault="00426B7A" w:rsidP="0003705B">
            <w:pPr>
              <w:rPr>
                <w:rFonts w:ascii="Arial" w:hAnsi="Arial" w:cs="Arial"/>
                <w:b/>
                <w:bCs/>
                <w:sz w:val="16"/>
                <w:szCs w:val="16"/>
                <w:lang w:eastAsia="es-AR"/>
              </w:rPr>
            </w:pPr>
            <w:r w:rsidRPr="0003705B">
              <w:rPr>
                <w:rFonts w:ascii="Arial" w:hAnsi="Arial" w:cs="Arial"/>
                <w:b/>
                <w:bCs/>
                <w:sz w:val="16"/>
                <w:szCs w:val="16"/>
                <w:lang w:eastAsia="es-AR"/>
              </w:rPr>
              <w:t>ACTIVO</w:t>
            </w:r>
          </w:p>
        </w:tc>
        <w:tc>
          <w:tcPr>
            <w:tcW w:w="809" w:type="dxa"/>
            <w:tcBorders>
              <w:top w:val="nil"/>
              <w:left w:val="nil"/>
              <w:bottom w:val="nil"/>
              <w:right w:val="nil"/>
            </w:tcBorders>
            <w:shd w:val="clear" w:color="auto" w:fill="auto"/>
            <w:noWrap/>
            <w:hideMark/>
          </w:tcPr>
          <w:p w14:paraId="2A0D6553" w14:textId="77777777" w:rsidR="00426B7A" w:rsidRPr="0003705B" w:rsidRDefault="00426B7A" w:rsidP="0003705B">
            <w:pPr>
              <w:rPr>
                <w:rFonts w:ascii="Arial" w:hAnsi="Arial" w:cs="Arial"/>
                <w:b/>
                <w:bCs/>
                <w:sz w:val="16"/>
                <w:szCs w:val="16"/>
                <w:lang w:eastAsia="es-AR"/>
              </w:rPr>
            </w:pPr>
          </w:p>
        </w:tc>
        <w:tc>
          <w:tcPr>
            <w:tcW w:w="1418" w:type="dxa"/>
            <w:tcBorders>
              <w:top w:val="nil"/>
              <w:left w:val="nil"/>
              <w:bottom w:val="nil"/>
              <w:right w:val="nil"/>
            </w:tcBorders>
            <w:shd w:val="clear" w:color="auto" w:fill="auto"/>
            <w:noWrap/>
            <w:hideMark/>
          </w:tcPr>
          <w:p w14:paraId="5EF4E3C3" w14:textId="77777777" w:rsidR="00426B7A" w:rsidRPr="0003705B" w:rsidRDefault="00426B7A" w:rsidP="0003705B">
            <w:pPr>
              <w:jc w:val="center"/>
              <w:rPr>
                <w:rFonts w:ascii="Arial" w:hAnsi="Arial" w:cs="Arial"/>
                <w:sz w:val="16"/>
                <w:szCs w:val="16"/>
                <w:lang w:eastAsia="es-AR"/>
              </w:rPr>
            </w:pPr>
          </w:p>
        </w:tc>
        <w:tc>
          <w:tcPr>
            <w:tcW w:w="1553" w:type="dxa"/>
            <w:tcBorders>
              <w:top w:val="nil"/>
              <w:left w:val="nil"/>
              <w:bottom w:val="nil"/>
              <w:right w:val="nil"/>
            </w:tcBorders>
            <w:shd w:val="clear" w:color="auto" w:fill="auto"/>
            <w:noWrap/>
            <w:hideMark/>
          </w:tcPr>
          <w:p w14:paraId="73D29C09" w14:textId="77777777" w:rsidR="00426B7A" w:rsidRPr="0003705B" w:rsidRDefault="00426B7A" w:rsidP="0003705B">
            <w:pPr>
              <w:rPr>
                <w:rFonts w:ascii="Arial" w:hAnsi="Arial" w:cs="Arial"/>
                <w:sz w:val="16"/>
                <w:szCs w:val="16"/>
                <w:lang w:eastAsia="es-AR"/>
              </w:rPr>
            </w:pPr>
          </w:p>
        </w:tc>
      </w:tr>
      <w:tr w:rsidR="00281F4D" w:rsidRPr="0003705B" w14:paraId="6D7F1A61" w14:textId="77777777" w:rsidTr="00281F4D">
        <w:trPr>
          <w:trHeight w:val="300"/>
        </w:trPr>
        <w:tc>
          <w:tcPr>
            <w:tcW w:w="4436" w:type="dxa"/>
            <w:tcBorders>
              <w:top w:val="nil"/>
              <w:left w:val="nil"/>
              <w:bottom w:val="nil"/>
              <w:right w:val="nil"/>
            </w:tcBorders>
            <w:shd w:val="clear" w:color="auto" w:fill="auto"/>
            <w:vAlign w:val="center"/>
            <w:hideMark/>
          </w:tcPr>
          <w:p w14:paraId="5F4F7D9F" w14:textId="34D6FE8A"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Efectivo y Depósitos en Bancos </w:t>
            </w:r>
          </w:p>
        </w:tc>
        <w:tc>
          <w:tcPr>
            <w:tcW w:w="809" w:type="dxa"/>
            <w:tcBorders>
              <w:top w:val="nil"/>
              <w:left w:val="nil"/>
              <w:bottom w:val="nil"/>
              <w:right w:val="nil"/>
            </w:tcBorders>
            <w:shd w:val="clear" w:color="auto" w:fill="auto"/>
            <w:vAlign w:val="center"/>
          </w:tcPr>
          <w:p w14:paraId="07931EEC" w14:textId="7D0D5C6A" w:rsidR="00281F4D" w:rsidRPr="0003705B" w:rsidRDefault="00281F4D" w:rsidP="00281F4D">
            <w:pPr>
              <w:jc w:val="center"/>
              <w:rPr>
                <w:rFonts w:ascii="Arial" w:hAnsi="Arial" w:cs="Arial"/>
                <w:sz w:val="16"/>
                <w:szCs w:val="16"/>
                <w:lang w:eastAsia="es-AR"/>
              </w:rPr>
            </w:pPr>
            <w:r>
              <w:rPr>
                <w:rFonts w:ascii="Arial" w:hAnsi="Arial" w:cs="Arial"/>
                <w:sz w:val="16"/>
                <w:szCs w:val="16"/>
                <w:lang w:eastAsia="es-AR"/>
              </w:rPr>
              <w:t>1.3</w:t>
            </w:r>
          </w:p>
        </w:tc>
        <w:tc>
          <w:tcPr>
            <w:tcW w:w="1418" w:type="dxa"/>
            <w:tcBorders>
              <w:top w:val="nil"/>
              <w:left w:val="nil"/>
              <w:bottom w:val="nil"/>
              <w:right w:val="nil"/>
            </w:tcBorders>
            <w:shd w:val="clear" w:color="auto" w:fill="auto"/>
            <w:noWrap/>
            <w:vAlign w:val="center"/>
          </w:tcPr>
          <w:p w14:paraId="3215F543" w14:textId="4828154D" w:rsidR="00281F4D" w:rsidRPr="00281F4D" w:rsidRDefault="00281F4D" w:rsidP="00281F4D">
            <w:pPr>
              <w:jc w:val="right"/>
              <w:rPr>
                <w:rFonts w:ascii="Arial" w:hAnsi="Arial" w:cs="Arial"/>
                <w:sz w:val="16"/>
                <w:szCs w:val="16"/>
              </w:rPr>
            </w:pPr>
            <w:r w:rsidRPr="002E1AF6">
              <w:rPr>
                <w:rFonts w:ascii="Arial" w:hAnsi="Arial" w:cs="Arial"/>
                <w:sz w:val="16"/>
                <w:szCs w:val="16"/>
              </w:rPr>
              <w:t>35.162.486</w:t>
            </w:r>
          </w:p>
        </w:tc>
        <w:tc>
          <w:tcPr>
            <w:tcW w:w="1553" w:type="dxa"/>
            <w:tcBorders>
              <w:top w:val="nil"/>
              <w:left w:val="nil"/>
              <w:bottom w:val="nil"/>
              <w:right w:val="nil"/>
            </w:tcBorders>
            <w:shd w:val="clear" w:color="auto" w:fill="auto"/>
            <w:noWrap/>
            <w:vAlign w:val="center"/>
          </w:tcPr>
          <w:p w14:paraId="0F6EE7A8" w14:textId="2A0A0E84" w:rsidR="00281F4D" w:rsidRPr="000C1442" w:rsidRDefault="00281F4D" w:rsidP="00281F4D">
            <w:pPr>
              <w:jc w:val="right"/>
              <w:rPr>
                <w:rFonts w:ascii="Arial" w:hAnsi="Arial" w:cs="Arial"/>
                <w:sz w:val="16"/>
                <w:szCs w:val="16"/>
                <w:lang w:eastAsia="es-AR"/>
              </w:rPr>
            </w:pPr>
            <w:r w:rsidRPr="000C1442">
              <w:rPr>
                <w:rFonts w:ascii="Arial" w:hAnsi="Arial" w:cs="Arial"/>
                <w:sz w:val="16"/>
                <w:szCs w:val="16"/>
              </w:rPr>
              <w:t>27.580.677</w:t>
            </w:r>
          </w:p>
        </w:tc>
      </w:tr>
      <w:tr w:rsidR="00281F4D" w:rsidRPr="0003705B" w14:paraId="1DC02D0E" w14:textId="77777777" w:rsidTr="00281F4D">
        <w:trPr>
          <w:trHeight w:val="300"/>
        </w:trPr>
        <w:tc>
          <w:tcPr>
            <w:tcW w:w="4436" w:type="dxa"/>
            <w:tcBorders>
              <w:top w:val="nil"/>
              <w:left w:val="nil"/>
              <w:bottom w:val="nil"/>
              <w:right w:val="nil"/>
            </w:tcBorders>
            <w:shd w:val="clear" w:color="auto" w:fill="auto"/>
            <w:vAlign w:val="center"/>
            <w:hideMark/>
          </w:tcPr>
          <w:p w14:paraId="4023FC31" w14:textId="77777777" w:rsidR="00281F4D" w:rsidRPr="0003705B" w:rsidRDefault="00281F4D" w:rsidP="00281F4D">
            <w:pPr>
              <w:ind w:firstLineChars="300" w:firstLine="480"/>
              <w:rPr>
                <w:rFonts w:ascii="Arial" w:hAnsi="Arial" w:cs="Arial"/>
                <w:sz w:val="16"/>
                <w:szCs w:val="16"/>
                <w:lang w:eastAsia="es-AR"/>
              </w:rPr>
            </w:pPr>
            <w:r w:rsidRPr="0003705B">
              <w:rPr>
                <w:rFonts w:ascii="Arial" w:hAnsi="Arial" w:cs="Arial"/>
                <w:sz w:val="16"/>
                <w:szCs w:val="16"/>
                <w:lang w:eastAsia="es-AR"/>
              </w:rPr>
              <w:t>Efectivo</w:t>
            </w:r>
          </w:p>
        </w:tc>
        <w:tc>
          <w:tcPr>
            <w:tcW w:w="809" w:type="dxa"/>
            <w:tcBorders>
              <w:top w:val="nil"/>
              <w:left w:val="nil"/>
              <w:bottom w:val="nil"/>
              <w:right w:val="nil"/>
            </w:tcBorders>
            <w:shd w:val="clear" w:color="auto" w:fill="auto"/>
            <w:vAlign w:val="center"/>
          </w:tcPr>
          <w:p w14:paraId="3F8EAE81" w14:textId="77777777" w:rsidR="00281F4D" w:rsidRPr="0003705B" w:rsidRDefault="00281F4D" w:rsidP="00281F4D">
            <w:pPr>
              <w:ind w:firstLineChars="300" w:firstLine="48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5FC9685F" w14:textId="44C60CD4" w:rsidR="00281F4D" w:rsidRPr="00281F4D" w:rsidRDefault="00281F4D" w:rsidP="00281F4D">
            <w:pPr>
              <w:jc w:val="right"/>
              <w:rPr>
                <w:rFonts w:ascii="Arial" w:hAnsi="Arial" w:cs="Arial"/>
                <w:sz w:val="16"/>
                <w:szCs w:val="16"/>
              </w:rPr>
            </w:pPr>
            <w:r w:rsidRPr="002E1AF6">
              <w:rPr>
                <w:rFonts w:ascii="Arial" w:hAnsi="Arial" w:cs="Arial"/>
                <w:sz w:val="16"/>
                <w:szCs w:val="16"/>
              </w:rPr>
              <w:t>9.538.275</w:t>
            </w:r>
          </w:p>
        </w:tc>
        <w:tc>
          <w:tcPr>
            <w:tcW w:w="1553" w:type="dxa"/>
            <w:tcBorders>
              <w:top w:val="nil"/>
              <w:left w:val="nil"/>
              <w:bottom w:val="nil"/>
              <w:right w:val="nil"/>
            </w:tcBorders>
            <w:shd w:val="clear" w:color="auto" w:fill="auto"/>
            <w:noWrap/>
            <w:vAlign w:val="center"/>
          </w:tcPr>
          <w:p w14:paraId="4CB5F8BA" w14:textId="5EDBA7D5" w:rsidR="00281F4D" w:rsidRPr="000C1442" w:rsidRDefault="00281F4D" w:rsidP="00281F4D">
            <w:pPr>
              <w:jc w:val="right"/>
              <w:rPr>
                <w:rFonts w:ascii="Arial" w:hAnsi="Arial" w:cs="Arial"/>
                <w:sz w:val="16"/>
                <w:szCs w:val="16"/>
                <w:lang w:eastAsia="es-AR"/>
              </w:rPr>
            </w:pPr>
            <w:r w:rsidRPr="000C1442">
              <w:rPr>
                <w:rFonts w:ascii="Arial" w:hAnsi="Arial" w:cs="Arial"/>
                <w:sz w:val="16"/>
                <w:szCs w:val="16"/>
              </w:rPr>
              <w:t>9.373.734</w:t>
            </w:r>
          </w:p>
        </w:tc>
      </w:tr>
      <w:tr w:rsidR="00281F4D" w:rsidRPr="0003705B" w14:paraId="09BA30D0" w14:textId="77777777" w:rsidTr="00281F4D">
        <w:trPr>
          <w:trHeight w:val="300"/>
        </w:trPr>
        <w:tc>
          <w:tcPr>
            <w:tcW w:w="4436" w:type="dxa"/>
            <w:tcBorders>
              <w:top w:val="nil"/>
              <w:left w:val="nil"/>
              <w:bottom w:val="nil"/>
              <w:right w:val="nil"/>
            </w:tcBorders>
            <w:shd w:val="clear" w:color="auto" w:fill="auto"/>
            <w:vAlign w:val="center"/>
            <w:hideMark/>
          </w:tcPr>
          <w:p w14:paraId="708D2ACE" w14:textId="77777777" w:rsidR="00281F4D" w:rsidRPr="0003705B" w:rsidRDefault="00281F4D" w:rsidP="00281F4D">
            <w:pPr>
              <w:ind w:firstLineChars="300" w:firstLine="480"/>
              <w:rPr>
                <w:rFonts w:ascii="Arial" w:hAnsi="Arial" w:cs="Arial"/>
                <w:sz w:val="16"/>
                <w:szCs w:val="16"/>
                <w:lang w:eastAsia="es-AR"/>
              </w:rPr>
            </w:pPr>
            <w:r w:rsidRPr="0003705B">
              <w:rPr>
                <w:rFonts w:ascii="Arial" w:hAnsi="Arial" w:cs="Arial"/>
                <w:sz w:val="16"/>
                <w:szCs w:val="16"/>
                <w:lang w:eastAsia="es-AR"/>
              </w:rPr>
              <w:t>Entidades Financieras y corresponsales</w:t>
            </w:r>
          </w:p>
        </w:tc>
        <w:tc>
          <w:tcPr>
            <w:tcW w:w="809" w:type="dxa"/>
            <w:tcBorders>
              <w:top w:val="nil"/>
              <w:left w:val="nil"/>
              <w:bottom w:val="nil"/>
              <w:right w:val="nil"/>
            </w:tcBorders>
            <w:shd w:val="clear" w:color="auto" w:fill="auto"/>
            <w:vAlign w:val="center"/>
          </w:tcPr>
          <w:p w14:paraId="72B00DEE" w14:textId="77777777" w:rsidR="00281F4D" w:rsidRPr="0003705B" w:rsidRDefault="00281F4D" w:rsidP="00281F4D">
            <w:pPr>
              <w:ind w:firstLineChars="300" w:firstLine="48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67134F48" w14:textId="7CE70365" w:rsidR="00281F4D" w:rsidRPr="00281F4D" w:rsidRDefault="00281F4D" w:rsidP="00281F4D">
            <w:pPr>
              <w:jc w:val="right"/>
              <w:rPr>
                <w:rFonts w:ascii="Arial" w:hAnsi="Arial" w:cs="Arial"/>
                <w:sz w:val="16"/>
                <w:szCs w:val="16"/>
              </w:rPr>
            </w:pPr>
            <w:r w:rsidRPr="002E1AF6">
              <w:rPr>
                <w:rFonts w:ascii="Arial" w:hAnsi="Arial" w:cs="Arial"/>
                <w:sz w:val="16"/>
                <w:szCs w:val="16"/>
              </w:rPr>
              <w:t> </w:t>
            </w:r>
          </w:p>
        </w:tc>
        <w:tc>
          <w:tcPr>
            <w:tcW w:w="1553" w:type="dxa"/>
            <w:tcBorders>
              <w:top w:val="nil"/>
              <w:left w:val="nil"/>
              <w:bottom w:val="nil"/>
              <w:right w:val="nil"/>
            </w:tcBorders>
            <w:shd w:val="clear" w:color="auto" w:fill="auto"/>
            <w:noWrap/>
            <w:vAlign w:val="center"/>
          </w:tcPr>
          <w:p w14:paraId="6AD565AE" w14:textId="0A500382" w:rsidR="00281F4D" w:rsidRPr="003565A3" w:rsidRDefault="00281F4D" w:rsidP="00281F4D">
            <w:pPr>
              <w:jc w:val="right"/>
              <w:rPr>
                <w:rFonts w:ascii="Arial" w:hAnsi="Arial" w:cs="Arial"/>
                <w:sz w:val="16"/>
                <w:szCs w:val="16"/>
                <w:lang w:eastAsia="es-AR"/>
              </w:rPr>
            </w:pPr>
          </w:p>
        </w:tc>
      </w:tr>
      <w:tr w:rsidR="00281F4D" w:rsidRPr="0003705B" w14:paraId="5C8E137A" w14:textId="77777777" w:rsidTr="00281F4D">
        <w:trPr>
          <w:trHeight w:val="300"/>
        </w:trPr>
        <w:tc>
          <w:tcPr>
            <w:tcW w:w="4436" w:type="dxa"/>
            <w:tcBorders>
              <w:top w:val="nil"/>
              <w:left w:val="nil"/>
              <w:bottom w:val="nil"/>
              <w:right w:val="nil"/>
            </w:tcBorders>
            <w:shd w:val="clear" w:color="auto" w:fill="auto"/>
            <w:vAlign w:val="center"/>
            <w:hideMark/>
          </w:tcPr>
          <w:p w14:paraId="46EF4E10" w14:textId="77777777" w:rsidR="00281F4D" w:rsidRPr="0003705B" w:rsidRDefault="00281F4D" w:rsidP="00281F4D">
            <w:pPr>
              <w:ind w:firstLineChars="500" w:firstLine="800"/>
              <w:rPr>
                <w:rFonts w:ascii="Arial" w:hAnsi="Arial" w:cs="Arial"/>
                <w:sz w:val="16"/>
                <w:szCs w:val="16"/>
                <w:lang w:eastAsia="es-AR"/>
              </w:rPr>
            </w:pPr>
            <w:r w:rsidRPr="0003705B">
              <w:rPr>
                <w:rFonts w:ascii="Arial" w:hAnsi="Arial" w:cs="Arial"/>
                <w:sz w:val="16"/>
                <w:szCs w:val="16"/>
                <w:lang w:eastAsia="es-AR"/>
              </w:rPr>
              <w:t>BCRA</w:t>
            </w:r>
          </w:p>
        </w:tc>
        <w:tc>
          <w:tcPr>
            <w:tcW w:w="809" w:type="dxa"/>
            <w:tcBorders>
              <w:top w:val="nil"/>
              <w:left w:val="nil"/>
              <w:bottom w:val="nil"/>
              <w:right w:val="nil"/>
            </w:tcBorders>
            <w:shd w:val="clear" w:color="auto" w:fill="auto"/>
            <w:vAlign w:val="center"/>
          </w:tcPr>
          <w:p w14:paraId="6592A5FC" w14:textId="77777777" w:rsidR="00281F4D" w:rsidRPr="0003705B" w:rsidRDefault="00281F4D" w:rsidP="00281F4D">
            <w:pPr>
              <w:ind w:firstLineChars="500" w:firstLine="80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45F69D26" w14:textId="457A267D" w:rsidR="00281F4D" w:rsidRPr="00281F4D" w:rsidRDefault="00281F4D" w:rsidP="00281F4D">
            <w:pPr>
              <w:jc w:val="right"/>
              <w:rPr>
                <w:rFonts w:ascii="Arial" w:hAnsi="Arial" w:cs="Arial"/>
                <w:sz w:val="16"/>
                <w:szCs w:val="16"/>
              </w:rPr>
            </w:pPr>
            <w:r w:rsidRPr="002E1AF6">
              <w:rPr>
                <w:rFonts w:ascii="Arial" w:hAnsi="Arial" w:cs="Arial"/>
                <w:sz w:val="16"/>
                <w:szCs w:val="16"/>
              </w:rPr>
              <w:t>24.214.769</w:t>
            </w:r>
          </w:p>
        </w:tc>
        <w:tc>
          <w:tcPr>
            <w:tcW w:w="1553" w:type="dxa"/>
            <w:tcBorders>
              <w:top w:val="nil"/>
              <w:left w:val="nil"/>
              <w:bottom w:val="nil"/>
              <w:right w:val="nil"/>
            </w:tcBorders>
            <w:shd w:val="clear" w:color="auto" w:fill="auto"/>
            <w:noWrap/>
            <w:vAlign w:val="center"/>
          </w:tcPr>
          <w:p w14:paraId="20F78429" w14:textId="7A7146F2"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17.039.327</w:t>
            </w:r>
          </w:p>
        </w:tc>
      </w:tr>
      <w:tr w:rsidR="00281F4D" w:rsidRPr="0003705B" w14:paraId="47B1FCAC" w14:textId="77777777" w:rsidTr="00281F4D">
        <w:trPr>
          <w:trHeight w:val="300"/>
        </w:trPr>
        <w:tc>
          <w:tcPr>
            <w:tcW w:w="4436" w:type="dxa"/>
            <w:tcBorders>
              <w:top w:val="nil"/>
              <w:left w:val="nil"/>
              <w:bottom w:val="nil"/>
              <w:right w:val="nil"/>
            </w:tcBorders>
            <w:shd w:val="clear" w:color="auto" w:fill="auto"/>
            <w:vAlign w:val="center"/>
            <w:hideMark/>
          </w:tcPr>
          <w:p w14:paraId="518E1E37" w14:textId="77777777" w:rsidR="00281F4D" w:rsidRPr="0003705B" w:rsidRDefault="00281F4D" w:rsidP="00281F4D">
            <w:pPr>
              <w:ind w:firstLineChars="500" w:firstLine="800"/>
              <w:rPr>
                <w:rFonts w:ascii="Arial" w:hAnsi="Arial" w:cs="Arial"/>
                <w:sz w:val="16"/>
                <w:szCs w:val="16"/>
                <w:lang w:eastAsia="es-AR"/>
              </w:rPr>
            </w:pPr>
            <w:r w:rsidRPr="0003705B">
              <w:rPr>
                <w:rFonts w:ascii="Arial" w:hAnsi="Arial" w:cs="Arial"/>
                <w:sz w:val="16"/>
                <w:szCs w:val="16"/>
                <w:lang w:eastAsia="es-AR"/>
              </w:rPr>
              <w:t>Otras del país y del exterior</w:t>
            </w:r>
          </w:p>
        </w:tc>
        <w:tc>
          <w:tcPr>
            <w:tcW w:w="809" w:type="dxa"/>
            <w:tcBorders>
              <w:top w:val="nil"/>
              <w:left w:val="nil"/>
              <w:bottom w:val="nil"/>
              <w:right w:val="nil"/>
            </w:tcBorders>
            <w:shd w:val="clear" w:color="auto" w:fill="auto"/>
            <w:vAlign w:val="center"/>
          </w:tcPr>
          <w:p w14:paraId="5429F73A" w14:textId="77777777" w:rsidR="00281F4D" w:rsidRPr="0003705B" w:rsidRDefault="00281F4D" w:rsidP="00281F4D">
            <w:pPr>
              <w:ind w:firstLineChars="500" w:firstLine="80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68FE3E57" w14:textId="7A23595B" w:rsidR="00281F4D" w:rsidRPr="00281F4D" w:rsidRDefault="00281F4D" w:rsidP="00281F4D">
            <w:pPr>
              <w:jc w:val="right"/>
              <w:rPr>
                <w:rFonts w:ascii="Arial" w:hAnsi="Arial" w:cs="Arial"/>
                <w:sz w:val="16"/>
                <w:szCs w:val="16"/>
              </w:rPr>
            </w:pPr>
            <w:r w:rsidRPr="002E1AF6">
              <w:rPr>
                <w:rFonts w:ascii="Arial" w:hAnsi="Arial" w:cs="Arial"/>
                <w:sz w:val="16"/>
                <w:szCs w:val="16"/>
              </w:rPr>
              <w:t>1.383.167</w:t>
            </w:r>
          </w:p>
        </w:tc>
        <w:tc>
          <w:tcPr>
            <w:tcW w:w="1553" w:type="dxa"/>
            <w:tcBorders>
              <w:top w:val="nil"/>
              <w:left w:val="nil"/>
              <w:bottom w:val="nil"/>
              <w:right w:val="nil"/>
            </w:tcBorders>
            <w:shd w:val="clear" w:color="auto" w:fill="auto"/>
            <w:noWrap/>
            <w:vAlign w:val="center"/>
          </w:tcPr>
          <w:p w14:paraId="7CAA7A60" w14:textId="66BBA633"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1.135.373</w:t>
            </w:r>
          </w:p>
        </w:tc>
      </w:tr>
      <w:tr w:rsidR="00281F4D" w:rsidRPr="0003705B" w14:paraId="16D7034D" w14:textId="77777777" w:rsidTr="00281F4D">
        <w:trPr>
          <w:trHeight w:val="300"/>
        </w:trPr>
        <w:tc>
          <w:tcPr>
            <w:tcW w:w="4436" w:type="dxa"/>
            <w:tcBorders>
              <w:top w:val="nil"/>
              <w:left w:val="nil"/>
              <w:bottom w:val="nil"/>
              <w:right w:val="nil"/>
            </w:tcBorders>
            <w:shd w:val="clear" w:color="auto" w:fill="auto"/>
            <w:vAlign w:val="center"/>
            <w:hideMark/>
          </w:tcPr>
          <w:p w14:paraId="123728A8" w14:textId="77777777" w:rsidR="00281F4D" w:rsidRPr="0003705B" w:rsidRDefault="00281F4D" w:rsidP="00281F4D">
            <w:pPr>
              <w:ind w:firstLineChars="300" w:firstLine="480"/>
              <w:rPr>
                <w:rFonts w:ascii="Arial" w:hAnsi="Arial" w:cs="Arial"/>
                <w:sz w:val="16"/>
                <w:szCs w:val="16"/>
                <w:lang w:eastAsia="es-AR"/>
              </w:rPr>
            </w:pPr>
            <w:r w:rsidRPr="0003705B">
              <w:rPr>
                <w:rFonts w:ascii="Arial" w:hAnsi="Arial" w:cs="Arial"/>
                <w:sz w:val="16"/>
                <w:szCs w:val="16"/>
                <w:lang w:eastAsia="es-AR"/>
              </w:rPr>
              <w:t>Otros</w:t>
            </w:r>
          </w:p>
        </w:tc>
        <w:tc>
          <w:tcPr>
            <w:tcW w:w="809" w:type="dxa"/>
            <w:tcBorders>
              <w:top w:val="nil"/>
              <w:left w:val="nil"/>
              <w:bottom w:val="nil"/>
              <w:right w:val="nil"/>
            </w:tcBorders>
            <w:shd w:val="clear" w:color="auto" w:fill="auto"/>
            <w:vAlign w:val="center"/>
          </w:tcPr>
          <w:p w14:paraId="691F6429" w14:textId="77777777" w:rsidR="00281F4D" w:rsidRPr="0003705B" w:rsidRDefault="00281F4D" w:rsidP="00281F4D">
            <w:pPr>
              <w:ind w:firstLineChars="300" w:firstLine="48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74525C65" w14:textId="3927F0FE" w:rsidR="00281F4D" w:rsidRPr="00281F4D" w:rsidRDefault="00281F4D" w:rsidP="00281F4D">
            <w:pPr>
              <w:jc w:val="right"/>
              <w:rPr>
                <w:rFonts w:ascii="Arial" w:hAnsi="Arial" w:cs="Arial"/>
                <w:sz w:val="16"/>
                <w:szCs w:val="16"/>
              </w:rPr>
            </w:pPr>
            <w:r w:rsidRPr="002E1AF6">
              <w:rPr>
                <w:rFonts w:ascii="Arial" w:hAnsi="Arial" w:cs="Arial"/>
                <w:sz w:val="16"/>
                <w:szCs w:val="16"/>
              </w:rPr>
              <w:t>26.275</w:t>
            </w:r>
          </w:p>
        </w:tc>
        <w:tc>
          <w:tcPr>
            <w:tcW w:w="1553" w:type="dxa"/>
            <w:tcBorders>
              <w:top w:val="nil"/>
              <w:left w:val="nil"/>
              <w:bottom w:val="nil"/>
              <w:right w:val="nil"/>
            </w:tcBorders>
            <w:shd w:val="clear" w:color="auto" w:fill="auto"/>
            <w:noWrap/>
            <w:vAlign w:val="center"/>
          </w:tcPr>
          <w:p w14:paraId="16AF974A" w14:textId="47E3EF22"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32.243</w:t>
            </w:r>
          </w:p>
        </w:tc>
      </w:tr>
      <w:tr w:rsidR="00281F4D" w:rsidRPr="0003705B" w14:paraId="1D9C7A9E" w14:textId="77777777" w:rsidTr="00281F4D">
        <w:trPr>
          <w:trHeight w:val="510"/>
        </w:trPr>
        <w:tc>
          <w:tcPr>
            <w:tcW w:w="4436" w:type="dxa"/>
            <w:tcBorders>
              <w:top w:val="nil"/>
              <w:left w:val="nil"/>
              <w:bottom w:val="nil"/>
              <w:right w:val="nil"/>
            </w:tcBorders>
            <w:shd w:val="clear" w:color="auto" w:fill="auto"/>
            <w:vAlign w:val="center"/>
            <w:hideMark/>
          </w:tcPr>
          <w:p w14:paraId="51A66EAC" w14:textId="2E34FB12"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Títulos de deuda a valor razonable con cambios en resultados </w:t>
            </w:r>
            <w:r w:rsidRPr="0003705B">
              <w:rPr>
                <w:rFonts w:ascii="Arial" w:hAnsi="Arial" w:cs="Arial"/>
                <w:b/>
                <w:bCs/>
                <w:sz w:val="16"/>
                <w:szCs w:val="16"/>
                <w:lang w:eastAsia="es-AR"/>
              </w:rPr>
              <w:t>(Anexo A)</w:t>
            </w:r>
          </w:p>
        </w:tc>
        <w:tc>
          <w:tcPr>
            <w:tcW w:w="809" w:type="dxa"/>
            <w:tcBorders>
              <w:top w:val="nil"/>
              <w:left w:val="nil"/>
              <w:bottom w:val="nil"/>
              <w:right w:val="nil"/>
            </w:tcBorders>
            <w:shd w:val="clear" w:color="auto" w:fill="auto"/>
            <w:vAlign w:val="center"/>
          </w:tcPr>
          <w:p w14:paraId="78F0A42F" w14:textId="251254EB" w:rsidR="00281F4D" w:rsidRPr="0003705B" w:rsidRDefault="00281F4D" w:rsidP="00281F4D">
            <w:pPr>
              <w:jc w:val="center"/>
              <w:rPr>
                <w:rFonts w:ascii="Arial" w:hAnsi="Arial" w:cs="Arial"/>
                <w:sz w:val="16"/>
                <w:szCs w:val="16"/>
                <w:lang w:eastAsia="es-AR"/>
              </w:rPr>
            </w:pPr>
            <w:r>
              <w:rPr>
                <w:rFonts w:ascii="Arial" w:hAnsi="Arial" w:cs="Arial"/>
                <w:sz w:val="16"/>
                <w:szCs w:val="16"/>
                <w:lang w:eastAsia="es-AR"/>
              </w:rPr>
              <w:t>1.3, 4</w:t>
            </w:r>
          </w:p>
        </w:tc>
        <w:tc>
          <w:tcPr>
            <w:tcW w:w="1418" w:type="dxa"/>
            <w:tcBorders>
              <w:top w:val="nil"/>
              <w:left w:val="nil"/>
              <w:bottom w:val="nil"/>
              <w:right w:val="nil"/>
            </w:tcBorders>
            <w:shd w:val="clear" w:color="auto" w:fill="auto"/>
            <w:noWrap/>
            <w:vAlign w:val="center"/>
          </w:tcPr>
          <w:p w14:paraId="42D787E6" w14:textId="4C5520B5" w:rsidR="00281F4D" w:rsidRPr="00281F4D" w:rsidRDefault="00281F4D" w:rsidP="00281F4D">
            <w:pPr>
              <w:jc w:val="right"/>
              <w:rPr>
                <w:rFonts w:ascii="Arial" w:hAnsi="Arial" w:cs="Arial"/>
                <w:sz w:val="16"/>
                <w:szCs w:val="16"/>
              </w:rPr>
            </w:pPr>
            <w:r w:rsidRPr="002E1AF6">
              <w:rPr>
                <w:rFonts w:ascii="Arial" w:hAnsi="Arial" w:cs="Arial"/>
                <w:sz w:val="16"/>
                <w:szCs w:val="16"/>
              </w:rPr>
              <w:t>260.060</w:t>
            </w:r>
          </w:p>
        </w:tc>
        <w:tc>
          <w:tcPr>
            <w:tcW w:w="1553" w:type="dxa"/>
            <w:tcBorders>
              <w:top w:val="nil"/>
              <w:left w:val="nil"/>
              <w:bottom w:val="nil"/>
              <w:right w:val="nil"/>
            </w:tcBorders>
            <w:shd w:val="clear" w:color="auto" w:fill="auto"/>
            <w:noWrap/>
            <w:vAlign w:val="center"/>
          </w:tcPr>
          <w:p w14:paraId="618560E3" w14:textId="0E59C7D1"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336.665</w:t>
            </w:r>
          </w:p>
        </w:tc>
      </w:tr>
      <w:tr w:rsidR="00281F4D" w:rsidRPr="0003705B" w14:paraId="58C4D3AF" w14:textId="77777777" w:rsidTr="00281F4D">
        <w:trPr>
          <w:trHeight w:val="300"/>
        </w:trPr>
        <w:tc>
          <w:tcPr>
            <w:tcW w:w="4436" w:type="dxa"/>
            <w:tcBorders>
              <w:top w:val="nil"/>
              <w:left w:val="nil"/>
              <w:bottom w:val="nil"/>
              <w:right w:val="nil"/>
            </w:tcBorders>
            <w:shd w:val="clear" w:color="auto" w:fill="auto"/>
            <w:vAlign w:val="center"/>
            <w:hideMark/>
          </w:tcPr>
          <w:p w14:paraId="1718BDBE" w14:textId="15F7B47F"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Instrumentos derivados </w:t>
            </w:r>
          </w:p>
        </w:tc>
        <w:tc>
          <w:tcPr>
            <w:tcW w:w="809" w:type="dxa"/>
            <w:tcBorders>
              <w:top w:val="nil"/>
              <w:left w:val="nil"/>
              <w:bottom w:val="nil"/>
              <w:right w:val="nil"/>
            </w:tcBorders>
            <w:shd w:val="clear" w:color="auto" w:fill="auto"/>
            <w:vAlign w:val="center"/>
          </w:tcPr>
          <w:p w14:paraId="2B33DA4C" w14:textId="5AD431BE"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7F4A58E4" w14:textId="78D490D3" w:rsidR="00281F4D" w:rsidRPr="00281F4D" w:rsidRDefault="00281F4D" w:rsidP="00281F4D">
            <w:pPr>
              <w:jc w:val="right"/>
              <w:rPr>
                <w:rFonts w:ascii="Arial" w:hAnsi="Arial" w:cs="Arial"/>
                <w:sz w:val="16"/>
                <w:szCs w:val="16"/>
              </w:rPr>
            </w:pPr>
            <w:r w:rsidRPr="002E1AF6">
              <w:rPr>
                <w:rFonts w:ascii="Arial" w:hAnsi="Arial" w:cs="Arial"/>
                <w:sz w:val="16"/>
                <w:szCs w:val="16"/>
              </w:rPr>
              <w:t>143.424</w:t>
            </w:r>
          </w:p>
        </w:tc>
        <w:tc>
          <w:tcPr>
            <w:tcW w:w="1553" w:type="dxa"/>
            <w:tcBorders>
              <w:top w:val="nil"/>
              <w:left w:val="nil"/>
              <w:bottom w:val="nil"/>
              <w:right w:val="nil"/>
            </w:tcBorders>
            <w:shd w:val="clear" w:color="auto" w:fill="auto"/>
            <w:noWrap/>
            <w:vAlign w:val="center"/>
          </w:tcPr>
          <w:p w14:paraId="62412760" w14:textId="255355F3"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277.679</w:t>
            </w:r>
          </w:p>
        </w:tc>
      </w:tr>
      <w:tr w:rsidR="00281F4D" w:rsidRPr="0003705B" w14:paraId="3AA7802E" w14:textId="77777777" w:rsidTr="00281F4D">
        <w:trPr>
          <w:trHeight w:val="300"/>
        </w:trPr>
        <w:tc>
          <w:tcPr>
            <w:tcW w:w="4436" w:type="dxa"/>
            <w:tcBorders>
              <w:top w:val="nil"/>
              <w:left w:val="nil"/>
              <w:bottom w:val="nil"/>
              <w:right w:val="nil"/>
            </w:tcBorders>
            <w:shd w:val="clear" w:color="auto" w:fill="auto"/>
            <w:vAlign w:val="center"/>
          </w:tcPr>
          <w:p w14:paraId="306AAF42" w14:textId="470DB645" w:rsidR="00281F4D" w:rsidRPr="0003705B" w:rsidRDefault="00281F4D" w:rsidP="00281F4D">
            <w:pPr>
              <w:rPr>
                <w:rFonts w:ascii="Arial" w:hAnsi="Arial" w:cs="Arial"/>
                <w:sz w:val="16"/>
                <w:szCs w:val="16"/>
                <w:lang w:eastAsia="es-AR"/>
              </w:rPr>
            </w:pPr>
            <w:r>
              <w:rPr>
                <w:rFonts w:ascii="Arial" w:hAnsi="Arial" w:cs="Arial"/>
                <w:sz w:val="16"/>
                <w:szCs w:val="16"/>
                <w:lang w:eastAsia="es-AR"/>
              </w:rPr>
              <w:t>Operaciones de pase</w:t>
            </w:r>
          </w:p>
        </w:tc>
        <w:tc>
          <w:tcPr>
            <w:tcW w:w="809" w:type="dxa"/>
            <w:tcBorders>
              <w:top w:val="nil"/>
              <w:left w:val="nil"/>
              <w:bottom w:val="nil"/>
              <w:right w:val="nil"/>
            </w:tcBorders>
            <w:shd w:val="clear" w:color="auto" w:fill="auto"/>
            <w:vAlign w:val="center"/>
          </w:tcPr>
          <w:p w14:paraId="07D24E0C" w14:textId="77777777"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2A08D862" w14:textId="0DC4DD06" w:rsidR="00281F4D" w:rsidRPr="00281F4D" w:rsidRDefault="00281F4D" w:rsidP="00281F4D">
            <w:pPr>
              <w:jc w:val="right"/>
              <w:rPr>
                <w:rFonts w:ascii="Arial" w:hAnsi="Arial" w:cs="Arial"/>
                <w:sz w:val="16"/>
                <w:szCs w:val="16"/>
              </w:rPr>
            </w:pPr>
            <w:r w:rsidRPr="002E1AF6">
              <w:rPr>
                <w:rFonts w:ascii="Arial" w:hAnsi="Arial" w:cs="Arial"/>
                <w:sz w:val="16"/>
                <w:szCs w:val="16"/>
              </w:rPr>
              <w:t>79.143</w:t>
            </w:r>
          </w:p>
        </w:tc>
        <w:tc>
          <w:tcPr>
            <w:tcW w:w="1553" w:type="dxa"/>
            <w:tcBorders>
              <w:top w:val="nil"/>
              <w:left w:val="nil"/>
              <w:bottom w:val="nil"/>
              <w:right w:val="nil"/>
            </w:tcBorders>
            <w:shd w:val="clear" w:color="auto" w:fill="auto"/>
            <w:noWrap/>
            <w:vAlign w:val="center"/>
          </w:tcPr>
          <w:p w14:paraId="30620005" w14:textId="27603A1D" w:rsidR="00281F4D" w:rsidRPr="003565A3" w:rsidRDefault="00281F4D" w:rsidP="00281F4D">
            <w:pPr>
              <w:jc w:val="right"/>
              <w:rPr>
                <w:rFonts w:ascii="Arial" w:hAnsi="Arial" w:cs="Arial"/>
                <w:sz w:val="16"/>
                <w:szCs w:val="16"/>
              </w:rPr>
            </w:pPr>
            <w:r w:rsidRPr="003565A3">
              <w:rPr>
                <w:rFonts w:ascii="Arial" w:hAnsi="Arial" w:cs="Arial"/>
                <w:sz w:val="16"/>
                <w:szCs w:val="16"/>
              </w:rPr>
              <w:t>0</w:t>
            </w:r>
          </w:p>
        </w:tc>
      </w:tr>
      <w:tr w:rsidR="00281F4D" w:rsidRPr="0003705B" w14:paraId="5FC82C35" w14:textId="77777777" w:rsidTr="00281F4D">
        <w:trPr>
          <w:trHeight w:val="300"/>
        </w:trPr>
        <w:tc>
          <w:tcPr>
            <w:tcW w:w="4436" w:type="dxa"/>
            <w:tcBorders>
              <w:top w:val="nil"/>
              <w:left w:val="nil"/>
              <w:bottom w:val="nil"/>
              <w:right w:val="nil"/>
            </w:tcBorders>
            <w:shd w:val="clear" w:color="auto" w:fill="auto"/>
            <w:vAlign w:val="center"/>
            <w:hideMark/>
          </w:tcPr>
          <w:p w14:paraId="1C3D48D4" w14:textId="5D8F52BC"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Otros activos financieros </w:t>
            </w:r>
          </w:p>
        </w:tc>
        <w:tc>
          <w:tcPr>
            <w:tcW w:w="809" w:type="dxa"/>
            <w:tcBorders>
              <w:top w:val="nil"/>
              <w:left w:val="nil"/>
              <w:bottom w:val="nil"/>
              <w:right w:val="nil"/>
            </w:tcBorders>
            <w:shd w:val="clear" w:color="auto" w:fill="auto"/>
            <w:vAlign w:val="center"/>
          </w:tcPr>
          <w:p w14:paraId="761FA1D6" w14:textId="0555C4B7"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3690911E" w14:textId="545FF816" w:rsidR="00281F4D" w:rsidRPr="00281F4D" w:rsidRDefault="00281F4D" w:rsidP="00281F4D">
            <w:pPr>
              <w:jc w:val="right"/>
              <w:rPr>
                <w:rFonts w:ascii="Arial" w:hAnsi="Arial" w:cs="Arial"/>
                <w:sz w:val="16"/>
                <w:szCs w:val="16"/>
              </w:rPr>
            </w:pPr>
            <w:r w:rsidRPr="002E1AF6">
              <w:rPr>
                <w:rFonts w:ascii="Arial" w:hAnsi="Arial" w:cs="Arial"/>
                <w:sz w:val="16"/>
                <w:szCs w:val="16"/>
              </w:rPr>
              <w:t>1.022.713</w:t>
            </w:r>
          </w:p>
        </w:tc>
        <w:tc>
          <w:tcPr>
            <w:tcW w:w="1553" w:type="dxa"/>
            <w:tcBorders>
              <w:top w:val="nil"/>
              <w:left w:val="nil"/>
              <w:bottom w:val="nil"/>
              <w:right w:val="nil"/>
            </w:tcBorders>
            <w:shd w:val="clear" w:color="auto" w:fill="auto"/>
            <w:noWrap/>
            <w:vAlign w:val="center"/>
          </w:tcPr>
          <w:p w14:paraId="631C07D5" w14:textId="31A22402"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733.037</w:t>
            </w:r>
          </w:p>
        </w:tc>
      </w:tr>
      <w:tr w:rsidR="00281F4D" w:rsidRPr="0003705B" w14:paraId="73600620" w14:textId="77777777" w:rsidTr="00281F4D">
        <w:trPr>
          <w:trHeight w:val="300"/>
        </w:trPr>
        <w:tc>
          <w:tcPr>
            <w:tcW w:w="4436" w:type="dxa"/>
            <w:tcBorders>
              <w:top w:val="nil"/>
              <w:left w:val="nil"/>
              <w:bottom w:val="nil"/>
              <w:right w:val="nil"/>
            </w:tcBorders>
            <w:shd w:val="clear" w:color="auto" w:fill="auto"/>
            <w:vAlign w:val="center"/>
            <w:hideMark/>
          </w:tcPr>
          <w:p w14:paraId="1D54C5F9" w14:textId="6C263970"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Préstamos y otras financiaciones </w:t>
            </w:r>
          </w:p>
        </w:tc>
        <w:tc>
          <w:tcPr>
            <w:tcW w:w="809" w:type="dxa"/>
            <w:tcBorders>
              <w:top w:val="nil"/>
              <w:left w:val="nil"/>
              <w:bottom w:val="nil"/>
              <w:right w:val="nil"/>
            </w:tcBorders>
            <w:shd w:val="clear" w:color="auto" w:fill="auto"/>
            <w:vAlign w:val="center"/>
          </w:tcPr>
          <w:p w14:paraId="583B9754" w14:textId="06686CB9"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0129625D" w14:textId="00BD33B8" w:rsidR="00281F4D" w:rsidRPr="00281F4D" w:rsidRDefault="00281F4D" w:rsidP="00281F4D">
            <w:pPr>
              <w:jc w:val="right"/>
              <w:rPr>
                <w:rFonts w:ascii="Arial" w:hAnsi="Arial" w:cs="Arial"/>
                <w:sz w:val="16"/>
                <w:szCs w:val="16"/>
              </w:rPr>
            </w:pPr>
            <w:r w:rsidRPr="002E1AF6">
              <w:rPr>
                <w:rFonts w:ascii="Arial" w:hAnsi="Arial" w:cs="Arial"/>
                <w:sz w:val="16"/>
                <w:szCs w:val="16"/>
              </w:rPr>
              <w:t>82.678.402</w:t>
            </w:r>
          </w:p>
        </w:tc>
        <w:tc>
          <w:tcPr>
            <w:tcW w:w="1553" w:type="dxa"/>
            <w:tcBorders>
              <w:top w:val="nil"/>
              <w:left w:val="nil"/>
              <w:bottom w:val="nil"/>
              <w:right w:val="nil"/>
            </w:tcBorders>
            <w:shd w:val="clear" w:color="auto" w:fill="auto"/>
            <w:noWrap/>
            <w:vAlign w:val="center"/>
          </w:tcPr>
          <w:p w14:paraId="2BAF2C07" w14:textId="344C206B"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90.583.733</w:t>
            </w:r>
          </w:p>
        </w:tc>
      </w:tr>
      <w:tr w:rsidR="00281F4D" w:rsidRPr="0003705B" w14:paraId="08F3B15F" w14:textId="77777777" w:rsidTr="00281F4D">
        <w:trPr>
          <w:trHeight w:val="300"/>
        </w:trPr>
        <w:tc>
          <w:tcPr>
            <w:tcW w:w="4436" w:type="dxa"/>
            <w:tcBorders>
              <w:top w:val="nil"/>
              <w:left w:val="nil"/>
              <w:bottom w:val="nil"/>
              <w:right w:val="nil"/>
            </w:tcBorders>
            <w:shd w:val="clear" w:color="auto" w:fill="auto"/>
            <w:vAlign w:val="center"/>
            <w:hideMark/>
          </w:tcPr>
          <w:p w14:paraId="45D7F389" w14:textId="77777777" w:rsidR="00281F4D" w:rsidRPr="0003705B" w:rsidRDefault="00281F4D" w:rsidP="00281F4D">
            <w:pPr>
              <w:ind w:firstLineChars="300" w:firstLine="480"/>
              <w:rPr>
                <w:rFonts w:ascii="Arial" w:hAnsi="Arial" w:cs="Arial"/>
                <w:sz w:val="16"/>
                <w:szCs w:val="16"/>
                <w:lang w:eastAsia="es-AR"/>
              </w:rPr>
            </w:pPr>
            <w:r w:rsidRPr="0003705B">
              <w:rPr>
                <w:rFonts w:ascii="Arial" w:hAnsi="Arial" w:cs="Arial"/>
                <w:sz w:val="16"/>
                <w:szCs w:val="16"/>
                <w:lang w:eastAsia="es-AR"/>
              </w:rPr>
              <w:t>Sector Público no Financiero</w:t>
            </w:r>
          </w:p>
        </w:tc>
        <w:tc>
          <w:tcPr>
            <w:tcW w:w="809" w:type="dxa"/>
            <w:tcBorders>
              <w:top w:val="nil"/>
              <w:left w:val="nil"/>
              <w:bottom w:val="nil"/>
              <w:right w:val="nil"/>
            </w:tcBorders>
            <w:shd w:val="clear" w:color="auto" w:fill="auto"/>
            <w:vAlign w:val="center"/>
          </w:tcPr>
          <w:p w14:paraId="08A696A1" w14:textId="77777777" w:rsidR="00281F4D" w:rsidRPr="0003705B" w:rsidRDefault="00281F4D" w:rsidP="00281F4D">
            <w:pPr>
              <w:ind w:firstLineChars="300" w:firstLine="48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79ED5961" w14:textId="7575D782" w:rsidR="00281F4D" w:rsidRPr="00281F4D" w:rsidRDefault="00281F4D" w:rsidP="00281F4D">
            <w:pPr>
              <w:jc w:val="right"/>
              <w:rPr>
                <w:rFonts w:ascii="Arial" w:hAnsi="Arial" w:cs="Arial"/>
                <w:sz w:val="16"/>
                <w:szCs w:val="16"/>
              </w:rPr>
            </w:pPr>
            <w:r w:rsidRPr="002E1AF6">
              <w:rPr>
                <w:rFonts w:ascii="Arial" w:hAnsi="Arial" w:cs="Arial"/>
                <w:sz w:val="16"/>
                <w:szCs w:val="16"/>
              </w:rPr>
              <w:t>61.188</w:t>
            </w:r>
          </w:p>
        </w:tc>
        <w:tc>
          <w:tcPr>
            <w:tcW w:w="1553" w:type="dxa"/>
            <w:tcBorders>
              <w:top w:val="nil"/>
              <w:left w:val="nil"/>
              <w:bottom w:val="nil"/>
              <w:right w:val="nil"/>
            </w:tcBorders>
            <w:shd w:val="clear" w:color="auto" w:fill="auto"/>
            <w:noWrap/>
            <w:vAlign w:val="center"/>
          </w:tcPr>
          <w:p w14:paraId="218AD59A" w14:textId="67846B7B"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31.124</w:t>
            </w:r>
          </w:p>
        </w:tc>
      </w:tr>
      <w:tr w:rsidR="00281F4D" w:rsidRPr="0003705B" w14:paraId="34E00C1B" w14:textId="77777777" w:rsidTr="002E1AF6">
        <w:trPr>
          <w:trHeight w:val="300"/>
        </w:trPr>
        <w:tc>
          <w:tcPr>
            <w:tcW w:w="4436" w:type="dxa"/>
            <w:tcBorders>
              <w:top w:val="nil"/>
              <w:left w:val="nil"/>
              <w:bottom w:val="nil"/>
              <w:right w:val="nil"/>
            </w:tcBorders>
            <w:shd w:val="clear" w:color="auto" w:fill="auto"/>
            <w:vAlign w:val="center"/>
            <w:hideMark/>
          </w:tcPr>
          <w:p w14:paraId="07E84DC6" w14:textId="77777777" w:rsidR="00281F4D" w:rsidRPr="0003705B" w:rsidRDefault="00281F4D" w:rsidP="00281F4D">
            <w:pPr>
              <w:ind w:firstLineChars="300" w:firstLine="480"/>
              <w:rPr>
                <w:rFonts w:ascii="Arial" w:hAnsi="Arial" w:cs="Arial"/>
                <w:sz w:val="16"/>
                <w:szCs w:val="16"/>
                <w:lang w:eastAsia="es-AR"/>
              </w:rPr>
            </w:pPr>
            <w:r w:rsidRPr="0003705B">
              <w:rPr>
                <w:rFonts w:ascii="Arial" w:hAnsi="Arial" w:cs="Arial"/>
                <w:sz w:val="16"/>
                <w:szCs w:val="16"/>
                <w:lang w:eastAsia="es-AR"/>
              </w:rPr>
              <w:t>Otras Entidades financieras</w:t>
            </w:r>
          </w:p>
        </w:tc>
        <w:tc>
          <w:tcPr>
            <w:tcW w:w="809" w:type="dxa"/>
            <w:tcBorders>
              <w:top w:val="nil"/>
              <w:left w:val="nil"/>
              <w:bottom w:val="nil"/>
              <w:right w:val="nil"/>
            </w:tcBorders>
            <w:shd w:val="clear" w:color="auto" w:fill="auto"/>
            <w:vAlign w:val="center"/>
          </w:tcPr>
          <w:p w14:paraId="75FC6A9C" w14:textId="77777777" w:rsidR="00281F4D" w:rsidRPr="0003705B" w:rsidRDefault="00281F4D" w:rsidP="00281F4D">
            <w:pPr>
              <w:ind w:firstLineChars="300" w:firstLine="48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6F92E006" w14:textId="44D982E0" w:rsidR="00281F4D" w:rsidRPr="00281F4D" w:rsidRDefault="00281F4D" w:rsidP="00281F4D">
            <w:pPr>
              <w:jc w:val="right"/>
              <w:rPr>
                <w:rFonts w:ascii="Arial" w:hAnsi="Arial" w:cs="Arial"/>
                <w:sz w:val="16"/>
                <w:szCs w:val="16"/>
              </w:rPr>
            </w:pPr>
            <w:r w:rsidRPr="00120E4B">
              <w:rPr>
                <w:rFonts w:ascii="Arial" w:hAnsi="Arial" w:cs="Arial"/>
                <w:sz w:val="16"/>
                <w:szCs w:val="16"/>
              </w:rPr>
              <w:t>162.820</w:t>
            </w:r>
          </w:p>
        </w:tc>
        <w:tc>
          <w:tcPr>
            <w:tcW w:w="1553" w:type="dxa"/>
            <w:tcBorders>
              <w:top w:val="nil"/>
              <w:left w:val="nil"/>
              <w:bottom w:val="nil"/>
              <w:right w:val="nil"/>
            </w:tcBorders>
            <w:shd w:val="clear" w:color="auto" w:fill="auto"/>
            <w:noWrap/>
            <w:vAlign w:val="center"/>
          </w:tcPr>
          <w:p w14:paraId="70A94209" w14:textId="1C9A0677"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1.289.039</w:t>
            </w:r>
          </w:p>
        </w:tc>
      </w:tr>
      <w:tr w:rsidR="00281F4D" w:rsidRPr="0003705B" w14:paraId="330D14DD" w14:textId="77777777" w:rsidTr="002E1AF6">
        <w:trPr>
          <w:trHeight w:val="510"/>
        </w:trPr>
        <w:tc>
          <w:tcPr>
            <w:tcW w:w="4436" w:type="dxa"/>
            <w:tcBorders>
              <w:top w:val="nil"/>
              <w:left w:val="nil"/>
              <w:bottom w:val="nil"/>
              <w:right w:val="nil"/>
            </w:tcBorders>
            <w:shd w:val="clear" w:color="auto" w:fill="auto"/>
            <w:vAlign w:val="center"/>
            <w:hideMark/>
          </w:tcPr>
          <w:p w14:paraId="123D4985" w14:textId="77777777" w:rsidR="00281F4D" w:rsidRPr="0003705B" w:rsidRDefault="00281F4D" w:rsidP="00281F4D">
            <w:pPr>
              <w:ind w:firstLineChars="300" w:firstLine="480"/>
              <w:rPr>
                <w:rFonts w:ascii="Arial" w:hAnsi="Arial" w:cs="Arial"/>
                <w:sz w:val="16"/>
                <w:szCs w:val="16"/>
                <w:lang w:eastAsia="es-AR"/>
              </w:rPr>
            </w:pPr>
            <w:r w:rsidRPr="0003705B">
              <w:rPr>
                <w:rFonts w:ascii="Arial" w:hAnsi="Arial" w:cs="Arial"/>
                <w:sz w:val="16"/>
                <w:szCs w:val="16"/>
                <w:lang w:eastAsia="es-AR"/>
              </w:rPr>
              <w:t>Sector Privado no Financiero y Residentes en el exterior</w:t>
            </w:r>
          </w:p>
        </w:tc>
        <w:tc>
          <w:tcPr>
            <w:tcW w:w="809" w:type="dxa"/>
            <w:tcBorders>
              <w:top w:val="nil"/>
              <w:left w:val="nil"/>
              <w:bottom w:val="nil"/>
              <w:right w:val="nil"/>
            </w:tcBorders>
            <w:shd w:val="clear" w:color="auto" w:fill="auto"/>
            <w:vAlign w:val="center"/>
          </w:tcPr>
          <w:p w14:paraId="543A2165" w14:textId="77777777" w:rsidR="00281F4D" w:rsidRPr="0003705B" w:rsidRDefault="00281F4D" w:rsidP="00281F4D">
            <w:pPr>
              <w:ind w:firstLineChars="300" w:firstLine="480"/>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552014BA" w14:textId="677E98EC" w:rsidR="00281F4D" w:rsidRPr="00281F4D" w:rsidRDefault="00281F4D" w:rsidP="00281F4D">
            <w:pPr>
              <w:jc w:val="right"/>
              <w:rPr>
                <w:rFonts w:ascii="Arial" w:hAnsi="Arial" w:cs="Arial"/>
                <w:sz w:val="16"/>
                <w:szCs w:val="16"/>
              </w:rPr>
            </w:pPr>
            <w:r w:rsidRPr="00120E4B">
              <w:rPr>
                <w:rFonts w:ascii="Arial" w:hAnsi="Arial" w:cs="Arial"/>
                <w:sz w:val="16"/>
                <w:szCs w:val="16"/>
              </w:rPr>
              <w:t>82.454.394</w:t>
            </w:r>
          </w:p>
        </w:tc>
        <w:tc>
          <w:tcPr>
            <w:tcW w:w="1553" w:type="dxa"/>
            <w:tcBorders>
              <w:top w:val="nil"/>
              <w:left w:val="nil"/>
              <w:bottom w:val="nil"/>
              <w:right w:val="nil"/>
            </w:tcBorders>
            <w:shd w:val="clear" w:color="auto" w:fill="auto"/>
            <w:noWrap/>
            <w:vAlign w:val="center"/>
          </w:tcPr>
          <w:p w14:paraId="4AC81922" w14:textId="5BF6CD68"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89.263.570</w:t>
            </w:r>
          </w:p>
        </w:tc>
      </w:tr>
      <w:tr w:rsidR="00281F4D" w:rsidRPr="0003705B" w14:paraId="71166952" w14:textId="77777777" w:rsidTr="002E1AF6">
        <w:trPr>
          <w:trHeight w:val="300"/>
        </w:trPr>
        <w:tc>
          <w:tcPr>
            <w:tcW w:w="4436" w:type="dxa"/>
            <w:tcBorders>
              <w:top w:val="nil"/>
              <w:left w:val="nil"/>
              <w:bottom w:val="nil"/>
              <w:right w:val="nil"/>
            </w:tcBorders>
            <w:shd w:val="clear" w:color="auto" w:fill="auto"/>
            <w:vAlign w:val="center"/>
            <w:hideMark/>
          </w:tcPr>
          <w:p w14:paraId="17E621C1" w14:textId="77777777"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Otros Títulos de Deuda </w:t>
            </w:r>
            <w:r w:rsidRPr="0003705B">
              <w:rPr>
                <w:rFonts w:ascii="Arial" w:hAnsi="Arial" w:cs="Arial"/>
                <w:b/>
                <w:bCs/>
                <w:sz w:val="16"/>
                <w:szCs w:val="16"/>
                <w:lang w:eastAsia="es-AR"/>
              </w:rPr>
              <w:t>(Anexo A)</w:t>
            </w:r>
          </w:p>
        </w:tc>
        <w:tc>
          <w:tcPr>
            <w:tcW w:w="809" w:type="dxa"/>
            <w:tcBorders>
              <w:top w:val="nil"/>
              <w:left w:val="nil"/>
              <w:bottom w:val="nil"/>
              <w:right w:val="nil"/>
            </w:tcBorders>
            <w:shd w:val="clear" w:color="auto" w:fill="auto"/>
            <w:vAlign w:val="center"/>
          </w:tcPr>
          <w:p w14:paraId="72A996D1" w14:textId="02E72B48"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6F0BC87C" w14:textId="7EBD95DC" w:rsidR="00281F4D" w:rsidRPr="00281F4D" w:rsidRDefault="00281F4D" w:rsidP="00281F4D">
            <w:pPr>
              <w:jc w:val="right"/>
              <w:rPr>
                <w:rFonts w:ascii="Arial" w:hAnsi="Arial" w:cs="Arial"/>
                <w:sz w:val="16"/>
                <w:szCs w:val="16"/>
              </w:rPr>
            </w:pPr>
            <w:r w:rsidRPr="00120E4B">
              <w:rPr>
                <w:rFonts w:ascii="Arial" w:hAnsi="Arial" w:cs="Arial"/>
                <w:sz w:val="16"/>
                <w:szCs w:val="16"/>
              </w:rPr>
              <w:t>46.426.583</w:t>
            </w:r>
          </w:p>
        </w:tc>
        <w:tc>
          <w:tcPr>
            <w:tcW w:w="1553" w:type="dxa"/>
            <w:tcBorders>
              <w:top w:val="nil"/>
              <w:left w:val="nil"/>
              <w:bottom w:val="nil"/>
              <w:right w:val="nil"/>
            </w:tcBorders>
            <w:shd w:val="clear" w:color="auto" w:fill="auto"/>
            <w:noWrap/>
            <w:vAlign w:val="center"/>
          </w:tcPr>
          <w:p w14:paraId="321720ED" w14:textId="2633083E"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11.441.100</w:t>
            </w:r>
          </w:p>
        </w:tc>
      </w:tr>
      <w:tr w:rsidR="00281F4D" w:rsidRPr="0003705B" w14:paraId="6E1B7E62" w14:textId="77777777" w:rsidTr="002E1AF6">
        <w:trPr>
          <w:trHeight w:val="300"/>
        </w:trPr>
        <w:tc>
          <w:tcPr>
            <w:tcW w:w="4436" w:type="dxa"/>
            <w:tcBorders>
              <w:top w:val="nil"/>
              <w:left w:val="nil"/>
              <w:bottom w:val="nil"/>
              <w:right w:val="nil"/>
            </w:tcBorders>
            <w:shd w:val="clear" w:color="auto" w:fill="auto"/>
            <w:vAlign w:val="center"/>
            <w:hideMark/>
          </w:tcPr>
          <w:p w14:paraId="03D36B19" w14:textId="452A35A4"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Activos financieros entregados en garantía </w:t>
            </w:r>
          </w:p>
        </w:tc>
        <w:tc>
          <w:tcPr>
            <w:tcW w:w="809" w:type="dxa"/>
            <w:tcBorders>
              <w:top w:val="nil"/>
              <w:left w:val="nil"/>
              <w:bottom w:val="nil"/>
              <w:right w:val="nil"/>
            </w:tcBorders>
            <w:shd w:val="clear" w:color="auto" w:fill="auto"/>
            <w:vAlign w:val="center"/>
          </w:tcPr>
          <w:p w14:paraId="60C05EBE" w14:textId="08AC4A99"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4EFF95DC" w14:textId="4A2B09FD" w:rsidR="00281F4D" w:rsidRPr="00281F4D" w:rsidRDefault="00281F4D" w:rsidP="00281F4D">
            <w:pPr>
              <w:jc w:val="right"/>
              <w:rPr>
                <w:rFonts w:ascii="Arial" w:hAnsi="Arial" w:cs="Arial"/>
                <w:sz w:val="16"/>
                <w:szCs w:val="16"/>
              </w:rPr>
            </w:pPr>
            <w:r w:rsidRPr="00120E4B">
              <w:rPr>
                <w:rFonts w:ascii="Arial" w:hAnsi="Arial" w:cs="Arial"/>
                <w:sz w:val="16"/>
                <w:szCs w:val="16"/>
              </w:rPr>
              <w:t>5.610.753</w:t>
            </w:r>
          </w:p>
        </w:tc>
        <w:tc>
          <w:tcPr>
            <w:tcW w:w="1553" w:type="dxa"/>
            <w:tcBorders>
              <w:top w:val="nil"/>
              <w:left w:val="nil"/>
              <w:bottom w:val="nil"/>
              <w:right w:val="nil"/>
            </w:tcBorders>
            <w:shd w:val="clear" w:color="auto" w:fill="auto"/>
            <w:noWrap/>
            <w:vAlign w:val="center"/>
          </w:tcPr>
          <w:p w14:paraId="3E24F5E9" w14:textId="0ECFF6DD"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5.308.655</w:t>
            </w:r>
          </w:p>
        </w:tc>
      </w:tr>
      <w:tr w:rsidR="00281F4D" w:rsidRPr="0003705B" w14:paraId="3F693B2E" w14:textId="77777777" w:rsidTr="002E1AF6">
        <w:trPr>
          <w:trHeight w:val="300"/>
        </w:trPr>
        <w:tc>
          <w:tcPr>
            <w:tcW w:w="4436" w:type="dxa"/>
            <w:tcBorders>
              <w:top w:val="nil"/>
              <w:left w:val="nil"/>
              <w:bottom w:val="nil"/>
              <w:right w:val="nil"/>
            </w:tcBorders>
            <w:shd w:val="clear" w:color="auto" w:fill="auto"/>
            <w:vAlign w:val="center"/>
            <w:hideMark/>
          </w:tcPr>
          <w:p w14:paraId="2FCC79ED" w14:textId="77777777"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Activos por impuestos a las ganancias corriente</w:t>
            </w:r>
          </w:p>
        </w:tc>
        <w:tc>
          <w:tcPr>
            <w:tcW w:w="809" w:type="dxa"/>
            <w:tcBorders>
              <w:top w:val="nil"/>
              <w:left w:val="nil"/>
              <w:bottom w:val="nil"/>
              <w:right w:val="nil"/>
            </w:tcBorders>
            <w:shd w:val="clear" w:color="auto" w:fill="auto"/>
            <w:vAlign w:val="center"/>
          </w:tcPr>
          <w:p w14:paraId="526E4A8B" w14:textId="77777777" w:rsidR="00281F4D" w:rsidRPr="0003705B" w:rsidRDefault="00281F4D" w:rsidP="00281F4D">
            <w:pP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6C2EA157" w14:textId="702B0C7E" w:rsidR="00281F4D" w:rsidRPr="00281F4D" w:rsidRDefault="00281F4D" w:rsidP="00281F4D">
            <w:pPr>
              <w:jc w:val="right"/>
              <w:rPr>
                <w:rFonts w:ascii="Arial" w:hAnsi="Arial" w:cs="Arial"/>
                <w:sz w:val="16"/>
                <w:szCs w:val="16"/>
              </w:rPr>
            </w:pPr>
            <w:r w:rsidRPr="00120E4B">
              <w:rPr>
                <w:rFonts w:ascii="Arial" w:hAnsi="Arial" w:cs="Arial"/>
                <w:sz w:val="16"/>
                <w:szCs w:val="16"/>
              </w:rPr>
              <w:t>415.107</w:t>
            </w:r>
          </w:p>
        </w:tc>
        <w:tc>
          <w:tcPr>
            <w:tcW w:w="1553" w:type="dxa"/>
            <w:tcBorders>
              <w:top w:val="nil"/>
              <w:left w:val="nil"/>
              <w:bottom w:val="nil"/>
              <w:right w:val="nil"/>
            </w:tcBorders>
            <w:shd w:val="clear" w:color="auto" w:fill="auto"/>
            <w:noWrap/>
            <w:vAlign w:val="center"/>
          </w:tcPr>
          <w:p w14:paraId="53F0878E" w14:textId="5B3E2292"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316.061</w:t>
            </w:r>
          </w:p>
        </w:tc>
      </w:tr>
      <w:tr w:rsidR="00281F4D" w:rsidRPr="0003705B" w14:paraId="57B5DB82" w14:textId="77777777" w:rsidTr="002E1AF6">
        <w:trPr>
          <w:trHeight w:val="300"/>
        </w:trPr>
        <w:tc>
          <w:tcPr>
            <w:tcW w:w="4436" w:type="dxa"/>
            <w:tcBorders>
              <w:top w:val="nil"/>
              <w:left w:val="nil"/>
              <w:bottom w:val="nil"/>
              <w:right w:val="nil"/>
            </w:tcBorders>
            <w:shd w:val="clear" w:color="auto" w:fill="auto"/>
            <w:vAlign w:val="center"/>
            <w:hideMark/>
          </w:tcPr>
          <w:p w14:paraId="43102190" w14:textId="6DA1148A"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Inversiones en Instrumentos de Patrimonio </w:t>
            </w:r>
            <w:r w:rsidRPr="0003705B">
              <w:rPr>
                <w:rFonts w:ascii="Arial" w:hAnsi="Arial" w:cs="Arial"/>
                <w:b/>
                <w:bCs/>
                <w:sz w:val="16"/>
                <w:szCs w:val="16"/>
                <w:lang w:eastAsia="es-AR"/>
              </w:rPr>
              <w:t>(Anexo A)</w:t>
            </w:r>
          </w:p>
        </w:tc>
        <w:tc>
          <w:tcPr>
            <w:tcW w:w="809" w:type="dxa"/>
            <w:tcBorders>
              <w:top w:val="nil"/>
              <w:left w:val="nil"/>
              <w:bottom w:val="nil"/>
              <w:right w:val="nil"/>
            </w:tcBorders>
            <w:shd w:val="clear" w:color="auto" w:fill="auto"/>
            <w:vAlign w:val="center"/>
          </w:tcPr>
          <w:p w14:paraId="5CE46096" w14:textId="5C6498AB"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405A3B13" w14:textId="3E8B38F5" w:rsidR="00281F4D" w:rsidRPr="00281F4D" w:rsidRDefault="00281F4D" w:rsidP="00281F4D">
            <w:pPr>
              <w:jc w:val="right"/>
              <w:rPr>
                <w:rFonts w:ascii="Arial" w:hAnsi="Arial" w:cs="Arial"/>
                <w:sz w:val="16"/>
                <w:szCs w:val="16"/>
              </w:rPr>
            </w:pPr>
            <w:r w:rsidRPr="00120E4B">
              <w:rPr>
                <w:rFonts w:ascii="Arial" w:hAnsi="Arial" w:cs="Arial"/>
                <w:sz w:val="16"/>
                <w:szCs w:val="16"/>
              </w:rPr>
              <w:t>8.783</w:t>
            </w:r>
          </w:p>
        </w:tc>
        <w:tc>
          <w:tcPr>
            <w:tcW w:w="1553" w:type="dxa"/>
            <w:tcBorders>
              <w:top w:val="nil"/>
              <w:left w:val="nil"/>
              <w:bottom w:val="nil"/>
              <w:right w:val="nil"/>
            </w:tcBorders>
            <w:shd w:val="clear" w:color="auto" w:fill="auto"/>
            <w:noWrap/>
            <w:vAlign w:val="center"/>
          </w:tcPr>
          <w:p w14:paraId="609926E9" w14:textId="79C13445"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15.716</w:t>
            </w:r>
          </w:p>
        </w:tc>
      </w:tr>
      <w:tr w:rsidR="00281F4D" w:rsidRPr="0003705B" w14:paraId="484E632F" w14:textId="77777777" w:rsidTr="002E1AF6">
        <w:trPr>
          <w:trHeight w:val="303"/>
        </w:trPr>
        <w:tc>
          <w:tcPr>
            <w:tcW w:w="4436" w:type="dxa"/>
            <w:tcBorders>
              <w:top w:val="nil"/>
              <w:left w:val="nil"/>
              <w:bottom w:val="nil"/>
              <w:right w:val="nil"/>
            </w:tcBorders>
            <w:shd w:val="clear" w:color="auto" w:fill="auto"/>
            <w:vAlign w:val="center"/>
            <w:hideMark/>
          </w:tcPr>
          <w:p w14:paraId="76B2F273" w14:textId="319CDA8A"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Inversión en subsidiarias, asociadas y negocios conjuntos </w:t>
            </w:r>
          </w:p>
        </w:tc>
        <w:tc>
          <w:tcPr>
            <w:tcW w:w="809" w:type="dxa"/>
            <w:tcBorders>
              <w:top w:val="nil"/>
              <w:left w:val="nil"/>
              <w:bottom w:val="nil"/>
              <w:right w:val="nil"/>
            </w:tcBorders>
            <w:shd w:val="clear" w:color="auto" w:fill="auto"/>
            <w:vAlign w:val="center"/>
          </w:tcPr>
          <w:p w14:paraId="4A0C1904" w14:textId="00E84685"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4D289661" w14:textId="7E14DA27" w:rsidR="00281F4D" w:rsidRPr="00281F4D" w:rsidRDefault="00281F4D" w:rsidP="00281F4D">
            <w:pPr>
              <w:jc w:val="right"/>
              <w:rPr>
                <w:rFonts w:ascii="Arial" w:hAnsi="Arial" w:cs="Arial"/>
                <w:sz w:val="16"/>
                <w:szCs w:val="16"/>
              </w:rPr>
            </w:pPr>
            <w:r w:rsidRPr="00120E4B">
              <w:rPr>
                <w:rFonts w:ascii="Arial" w:hAnsi="Arial" w:cs="Arial"/>
                <w:sz w:val="16"/>
                <w:szCs w:val="16"/>
              </w:rPr>
              <w:t>2.543.937</w:t>
            </w:r>
          </w:p>
        </w:tc>
        <w:tc>
          <w:tcPr>
            <w:tcW w:w="1553" w:type="dxa"/>
            <w:tcBorders>
              <w:top w:val="nil"/>
              <w:left w:val="nil"/>
              <w:bottom w:val="nil"/>
              <w:right w:val="nil"/>
            </w:tcBorders>
            <w:shd w:val="clear" w:color="auto" w:fill="auto"/>
            <w:noWrap/>
            <w:vAlign w:val="center"/>
          </w:tcPr>
          <w:p w14:paraId="291DDE9B" w14:textId="03FF373A"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2.688.925</w:t>
            </w:r>
          </w:p>
        </w:tc>
      </w:tr>
      <w:tr w:rsidR="00281F4D" w:rsidRPr="0003705B" w14:paraId="46298F42" w14:textId="77777777" w:rsidTr="002E1AF6">
        <w:trPr>
          <w:trHeight w:val="300"/>
        </w:trPr>
        <w:tc>
          <w:tcPr>
            <w:tcW w:w="4436" w:type="dxa"/>
            <w:tcBorders>
              <w:top w:val="nil"/>
              <w:left w:val="nil"/>
              <w:bottom w:val="nil"/>
              <w:right w:val="nil"/>
            </w:tcBorders>
            <w:shd w:val="clear" w:color="auto" w:fill="auto"/>
            <w:vAlign w:val="center"/>
            <w:hideMark/>
          </w:tcPr>
          <w:p w14:paraId="023FEA4E" w14:textId="6E7314E9"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Propiedad, planta y equipo </w:t>
            </w:r>
          </w:p>
        </w:tc>
        <w:tc>
          <w:tcPr>
            <w:tcW w:w="809" w:type="dxa"/>
            <w:tcBorders>
              <w:top w:val="nil"/>
              <w:left w:val="nil"/>
              <w:bottom w:val="nil"/>
              <w:right w:val="nil"/>
            </w:tcBorders>
            <w:shd w:val="clear" w:color="auto" w:fill="auto"/>
            <w:vAlign w:val="center"/>
          </w:tcPr>
          <w:p w14:paraId="690C58D9" w14:textId="35508804" w:rsidR="00281F4D" w:rsidRPr="0003705B" w:rsidRDefault="00281F4D" w:rsidP="00281F4D">
            <w:pPr>
              <w:jc w:val="center"/>
              <w:rPr>
                <w:rFonts w:ascii="Arial" w:hAnsi="Arial" w:cs="Arial"/>
                <w:sz w:val="16"/>
                <w:szCs w:val="16"/>
                <w:lang w:val="es-ES_tradnl" w:eastAsia="es-AR"/>
              </w:rPr>
            </w:pPr>
            <w:r>
              <w:rPr>
                <w:rFonts w:ascii="Arial" w:hAnsi="Arial" w:cs="Arial"/>
                <w:sz w:val="16"/>
                <w:szCs w:val="16"/>
                <w:lang w:eastAsia="es-AR"/>
              </w:rPr>
              <w:t>10</w:t>
            </w:r>
          </w:p>
        </w:tc>
        <w:tc>
          <w:tcPr>
            <w:tcW w:w="1418" w:type="dxa"/>
            <w:tcBorders>
              <w:top w:val="nil"/>
              <w:left w:val="nil"/>
              <w:bottom w:val="nil"/>
              <w:right w:val="nil"/>
            </w:tcBorders>
            <w:shd w:val="clear" w:color="auto" w:fill="auto"/>
            <w:noWrap/>
            <w:vAlign w:val="center"/>
          </w:tcPr>
          <w:p w14:paraId="19B9649D" w14:textId="0102117E" w:rsidR="00281F4D" w:rsidRPr="00281F4D" w:rsidRDefault="00281F4D" w:rsidP="00281F4D">
            <w:pPr>
              <w:jc w:val="right"/>
              <w:rPr>
                <w:rFonts w:ascii="Arial" w:hAnsi="Arial" w:cs="Arial"/>
                <w:sz w:val="16"/>
                <w:szCs w:val="16"/>
              </w:rPr>
            </w:pPr>
            <w:r w:rsidRPr="00120E4B">
              <w:rPr>
                <w:rFonts w:ascii="Arial" w:hAnsi="Arial" w:cs="Arial"/>
                <w:sz w:val="16"/>
                <w:szCs w:val="16"/>
              </w:rPr>
              <w:t>4.354.399</w:t>
            </w:r>
          </w:p>
        </w:tc>
        <w:tc>
          <w:tcPr>
            <w:tcW w:w="1553" w:type="dxa"/>
            <w:tcBorders>
              <w:top w:val="nil"/>
              <w:left w:val="nil"/>
              <w:bottom w:val="nil"/>
              <w:right w:val="nil"/>
            </w:tcBorders>
            <w:shd w:val="clear" w:color="auto" w:fill="auto"/>
            <w:noWrap/>
            <w:vAlign w:val="center"/>
          </w:tcPr>
          <w:p w14:paraId="7855951A" w14:textId="70F65ECB"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3.964.843</w:t>
            </w:r>
          </w:p>
        </w:tc>
      </w:tr>
      <w:tr w:rsidR="00281F4D" w:rsidRPr="0003705B" w14:paraId="0ABB6B55" w14:textId="77777777" w:rsidTr="002E1AF6">
        <w:trPr>
          <w:trHeight w:val="300"/>
        </w:trPr>
        <w:tc>
          <w:tcPr>
            <w:tcW w:w="4436" w:type="dxa"/>
            <w:tcBorders>
              <w:top w:val="nil"/>
              <w:left w:val="nil"/>
              <w:bottom w:val="nil"/>
              <w:right w:val="nil"/>
            </w:tcBorders>
            <w:shd w:val="clear" w:color="auto" w:fill="auto"/>
            <w:vAlign w:val="center"/>
            <w:hideMark/>
          </w:tcPr>
          <w:p w14:paraId="4369ADBE" w14:textId="00AEDD12"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 xml:space="preserve">Activos intangibles </w:t>
            </w:r>
          </w:p>
        </w:tc>
        <w:tc>
          <w:tcPr>
            <w:tcW w:w="809" w:type="dxa"/>
            <w:tcBorders>
              <w:top w:val="nil"/>
              <w:left w:val="nil"/>
              <w:bottom w:val="nil"/>
              <w:right w:val="nil"/>
            </w:tcBorders>
            <w:shd w:val="clear" w:color="auto" w:fill="auto"/>
            <w:vAlign w:val="center"/>
          </w:tcPr>
          <w:p w14:paraId="483B38E6" w14:textId="4F63AC77" w:rsidR="00281F4D" w:rsidRPr="0003705B" w:rsidRDefault="00281F4D" w:rsidP="00281F4D">
            <w:pPr>
              <w:jc w:val="center"/>
              <w:rPr>
                <w:rFonts w:ascii="Arial" w:hAnsi="Arial" w:cs="Arial"/>
                <w:sz w:val="16"/>
                <w:szCs w:val="16"/>
                <w:lang w:val="es-ES_tradnl" w:eastAsia="es-AR"/>
              </w:rPr>
            </w:pPr>
            <w:r>
              <w:rPr>
                <w:rFonts w:ascii="Arial" w:hAnsi="Arial" w:cs="Arial"/>
                <w:sz w:val="16"/>
                <w:szCs w:val="16"/>
                <w:lang w:eastAsia="es-AR"/>
              </w:rPr>
              <w:t>12</w:t>
            </w:r>
          </w:p>
        </w:tc>
        <w:tc>
          <w:tcPr>
            <w:tcW w:w="1418" w:type="dxa"/>
            <w:tcBorders>
              <w:top w:val="nil"/>
              <w:left w:val="nil"/>
              <w:bottom w:val="nil"/>
              <w:right w:val="nil"/>
            </w:tcBorders>
            <w:shd w:val="clear" w:color="auto" w:fill="auto"/>
            <w:noWrap/>
            <w:vAlign w:val="center"/>
          </w:tcPr>
          <w:p w14:paraId="2302B875" w14:textId="4765C40C" w:rsidR="00281F4D" w:rsidRPr="00281F4D" w:rsidRDefault="00281F4D" w:rsidP="00281F4D">
            <w:pPr>
              <w:jc w:val="right"/>
              <w:rPr>
                <w:rFonts w:ascii="Arial" w:hAnsi="Arial" w:cs="Arial"/>
                <w:sz w:val="16"/>
                <w:szCs w:val="16"/>
              </w:rPr>
            </w:pPr>
            <w:r w:rsidRPr="00120E4B">
              <w:rPr>
                <w:rFonts w:ascii="Arial" w:hAnsi="Arial" w:cs="Arial"/>
                <w:sz w:val="16"/>
                <w:szCs w:val="16"/>
              </w:rPr>
              <w:t>1.159.848</w:t>
            </w:r>
          </w:p>
        </w:tc>
        <w:tc>
          <w:tcPr>
            <w:tcW w:w="1553" w:type="dxa"/>
            <w:tcBorders>
              <w:top w:val="nil"/>
              <w:left w:val="nil"/>
              <w:bottom w:val="nil"/>
              <w:right w:val="nil"/>
            </w:tcBorders>
            <w:shd w:val="clear" w:color="auto" w:fill="auto"/>
            <w:noWrap/>
            <w:vAlign w:val="center"/>
          </w:tcPr>
          <w:p w14:paraId="3A6B1F5F" w14:textId="1D4C48B0"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1.235.33</w:t>
            </w:r>
            <w:r>
              <w:rPr>
                <w:rFonts w:ascii="Arial" w:hAnsi="Arial" w:cs="Arial"/>
                <w:sz w:val="16"/>
                <w:szCs w:val="16"/>
              </w:rPr>
              <w:t>3</w:t>
            </w:r>
          </w:p>
        </w:tc>
      </w:tr>
      <w:tr w:rsidR="00281F4D" w:rsidRPr="0003705B" w14:paraId="52A98E8D" w14:textId="77777777" w:rsidTr="002E1AF6">
        <w:trPr>
          <w:trHeight w:val="300"/>
        </w:trPr>
        <w:tc>
          <w:tcPr>
            <w:tcW w:w="4436" w:type="dxa"/>
            <w:tcBorders>
              <w:top w:val="nil"/>
              <w:left w:val="nil"/>
              <w:bottom w:val="nil"/>
              <w:right w:val="nil"/>
            </w:tcBorders>
            <w:shd w:val="clear" w:color="auto" w:fill="auto"/>
            <w:vAlign w:val="center"/>
            <w:hideMark/>
          </w:tcPr>
          <w:p w14:paraId="53115652" w14:textId="77777777"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Activos por impuesto a las ganancias diferido</w:t>
            </w:r>
          </w:p>
        </w:tc>
        <w:tc>
          <w:tcPr>
            <w:tcW w:w="809" w:type="dxa"/>
            <w:tcBorders>
              <w:top w:val="nil"/>
              <w:left w:val="nil"/>
              <w:bottom w:val="nil"/>
              <w:right w:val="nil"/>
            </w:tcBorders>
            <w:shd w:val="clear" w:color="auto" w:fill="auto"/>
            <w:vAlign w:val="center"/>
          </w:tcPr>
          <w:p w14:paraId="5B297BB4" w14:textId="45BBEBFF" w:rsidR="00281F4D" w:rsidRPr="0003705B" w:rsidRDefault="00281F4D" w:rsidP="00281F4D">
            <w:pPr>
              <w:jc w:val="center"/>
              <w:rPr>
                <w:rFonts w:ascii="Arial" w:hAnsi="Arial" w:cs="Arial"/>
                <w:sz w:val="16"/>
                <w:szCs w:val="16"/>
                <w:lang w:val="es-ES_tradnl" w:eastAsia="es-AR"/>
              </w:rPr>
            </w:pPr>
          </w:p>
        </w:tc>
        <w:tc>
          <w:tcPr>
            <w:tcW w:w="1418" w:type="dxa"/>
            <w:tcBorders>
              <w:top w:val="nil"/>
              <w:left w:val="nil"/>
              <w:bottom w:val="nil"/>
              <w:right w:val="nil"/>
            </w:tcBorders>
            <w:shd w:val="clear" w:color="auto" w:fill="auto"/>
            <w:noWrap/>
            <w:vAlign w:val="center"/>
          </w:tcPr>
          <w:p w14:paraId="617B8227" w14:textId="261EDFD2" w:rsidR="00281F4D" w:rsidRPr="00281F4D" w:rsidRDefault="00281F4D" w:rsidP="00281F4D">
            <w:pPr>
              <w:jc w:val="right"/>
              <w:rPr>
                <w:rFonts w:ascii="Arial" w:hAnsi="Arial" w:cs="Arial"/>
                <w:sz w:val="16"/>
                <w:szCs w:val="16"/>
              </w:rPr>
            </w:pPr>
            <w:r w:rsidRPr="00120E4B">
              <w:rPr>
                <w:rFonts w:ascii="Arial" w:hAnsi="Arial" w:cs="Arial"/>
                <w:sz w:val="16"/>
                <w:szCs w:val="16"/>
              </w:rPr>
              <w:t>161.841</w:t>
            </w:r>
          </w:p>
        </w:tc>
        <w:tc>
          <w:tcPr>
            <w:tcW w:w="1553" w:type="dxa"/>
            <w:tcBorders>
              <w:top w:val="nil"/>
              <w:left w:val="nil"/>
              <w:bottom w:val="nil"/>
              <w:right w:val="nil"/>
            </w:tcBorders>
            <w:shd w:val="clear" w:color="auto" w:fill="auto"/>
            <w:noWrap/>
            <w:vAlign w:val="center"/>
          </w:tcPr>
          <w:p w14:paraId="5A3D033C" w14:textId="2283CAE4"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188.713</w:t>
            </w:r>
          </w:p>
        </w:tc>
      </w:tr>
      <w:tr w:rsidR="00281F4D" w:rsidRPr="0003705B" w14:paraId="291369EB" w14:textId="77777777" w:rsidTr="002E1AF6">
        <w:trPr>
          <w:trHeight w:val="300"/>
        </w:trPr>
        <w:tc>
          <w:tcPr>
            <w:tcW w:w="4436" w:type="dxa"/>
            <w:tcBorders>
              <w:top w:val="nil"/>
              <w:left w:val="nil"/>
              <w:bottom w:val="nil"/>
              <w:right w:val="nil"/>
            </w:tcBorders>
            <w:shd w:val="clear" w:color="auto" w:fill="auto"/>
            <w:vAlign w:val="center"/>
            <w:hideMark/>
          </w:tcPr>
          <w:p w14:paraId="4DCE8692" w14:textId="77777777" w:rsidR="00281F4D" w:rsidRPr="0003705B" w:rsidRDefault="00281F4D" w:rsidP="00281F4D">
            <w:pPr>
              <w:rPr>
                <w:rFonts w:ascii="Arial" w:hAnsi="Arial" w:cs="Arial"/>
                <w:sz w:val="16"/>
                <w:szCs w:val="16"/>
                <w:lang w:eastAsia="es-AR"/>
              </w:rPr>
            </w:pPr>
            <w:r w:rsidRPr="0003705B">
              <w:rPr>
                <w:rFonts w:ascii="Arial" w:hAnsi="Arial" w:cs="Arial"/>
                <w:sz w:val="16"/>
                <w:szCs w:val="16"/>
                <w:lang w:eastAsia="es-AR"/>
              </w:rPr>
              <w:t>Otros activos no financieros</w:t>
            </w:r>
          </w:p>
        </w:tc>
        <w:tc>
          <w:tcPr>
            <w:tcW w:w="809" w:type="dxa"/>
            <w:tcBorders>
              <w:top w:val="nil"/>
              <w:left w:val="nil"/>
              <w:bottom w:val="nil"/>
              <w:right w:val="nil"/>
            </w:tcBorders>
            <w:shd w:val="clear" w:color="auto" w:fill="auto"/>
            <w:vAlign w:val="center"/>
          </w:tcPr>
          <w:p w14:paraId="070D7698" w14:textId="1328CA09"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2A8B59BF" w14:textId="097D49F8" w:rsidR="00281F4D" w:rsidRPr="00281F4D" w:rsidRDefault="00281F4D" w:rsidP="00281F4D">
            <w:pPr>
              <w:jc w:val="right"/>
              <w:rPr>
                <w:rFonts w:ascii="Arial" w:hAnsi="Arial" w:cs="Arial"/>
                <w:sz w:val="16"/>
                <w:szCs w:val="16"/>
              </w:rPr>
            </w:pPr>
            <w:r w:rsidRPr="00120E4B">
              <w:rPr>
                <w:rFonts w:ascii="Arial" w:hAnsi="Arial" w:cs="Arial"/>
                <w:sz w:val="16"/>
                <w:szCs w:val="16"/>
              </w:rPr>
              <w:t>5.552.091</w:t>
            </w:r>
          </w:p>
        </w:tc>
        <w:tc>
          <w:tcPr>
            <w:tcW w:w="1553" w:type="dxa"/>
            <w:tcBorders>
              <w:top w:val="nil"/>
              <w:left w:val="nil"/>
              <w:bottom w:val="nil"/>
              <w:right w:val="nil"/>
            </w:tcBorders>
            <w:shd w:val="clear" w:color="auto" w:fill="auto"/>
            <w:noWrap/>
            <w:vAlign w:val="center"/>
          </w:tcPr>
          <w:p w14:paraId="3EFEB487" w14:textId="350B574F" w:rsidR="00281F4D" w:rsidRPr="003565A3" w:rsidRDefault="00281F4D" w:rsidP="00281F4D">
            <w:pPr>
              <w:jc w:val="right"/>
              <w:rPr>
                <w:rFonts w:ascii="Arial" w:hAnsi="Arial" w:cs="Arial"/>
                <w:sz w:val="16"/>
                <w:szCs w:val="16"/>
                <w:lang w:eastAsia="es-AR"/>
              </w:rPr>
            </w:pPr>
            <w:r w:rsidRPr="003565A3">
              <w:rPr>
                <w:rFonts w:ascii="Arial" w:hAnsi="Arial" w:cs="Arial"/>
                <w:sz w:val="16"/>
                <w:szCs w:val="16"/>
              </w:rPr>
              <w:t>5.514.396</w:t>
            </w:r>
          </w:p>
        </w:tc>
      </w:tr>
      <w:tr w:rsidR="00281F4D" w:rsidRPr="0003705B" w14:paraId="0027809E" w14:textId="77777777" w:rsidTr="002E1AF6">
        <w:trPr>
          <w:trHeight w:val="300"/>
        </w:trPr>
        <w:tc>
          <w:tcPr>
            <w:tcW w:w="4436" w:type="dxa"/>
            <w:tcBorders>
              <w:top w:val="nil"/>
              <w:left w:val="nil"/>
              <w:bottom w:val="nil"/>
              <w:right w:val="nil"/>
            </w:tcBorders>
            <w:shd w:val="clear" w:color="auto" w:fill="auto"/>
            <w:vAlign w:val="center"/>
          </w:tcPr>
          <w:p w14:paraId="7E1FE316" w14:textId="43D3D5A6" w:rsidR="00281F4D" w:rsidRPr="0003705B" w:rsidRDefault="00281F4D" w:rsidP="00281F4D">
            <w:pPr>
              <w:rPr>
                <w:rFonts w:ascii="Arial" w:hAnsi="Arial" w:cs="Arial"/>
                <w:sz w:val="16"/>
                <w:szCs w:val="16"/>
                <w:lang w:eastAsia="es-AR"/>
              </w:rPr>
            </w:pPr>
            <w:r w:rsidRPr="002E1AEA">
              <w:rPr>
                <w:rFonts w:ascii="Arial" w:hAnsi="Arial" w:cs="Arial"/>
                <w:sz w:val="16"/>
                <w:szCs w:val="16"/>
                <w:lang w:eastAsia="es-AR"/>
              </w:rPr>
              <w:t>Activos no corrientes mantenidos para la venta</w:t>
            </w:r>
          </w:p>
        </w:tc>
        <w:tc>
          <w:tcPr>
            <w:tcW w:w="809" w:type="dxa"/>
            <w:tcBorders>
              <w:top w:val="nil"/>
              <w:left w:val="nil"/>
              <w:bottom w:val="nil"/>
              <w:right w:val="nil"/>
            </w:tcBorders>
            <w:shd w:val="clear" w:color="auto" w:fill="auto"/>
            <w:vAlign w:val="center"/>
          </w:tcPr>
          <w:p w14:paraId="2857B5EF" w14:textId="05A812E2" w:rsidR="00281F4D" w:rsidRPr="0003705B" w:rsidRDefault="00281F4D" w:rsidP="00281F4D">
            <w:pPr>
              <w:jc w:val="center"/>
              <w:rPr>
                <w:rFonts w:ascii="Arial" w:hAnsi="Arial" w:cs="Arial"/>
                <w:sz w:val="16"/>
                <w:szCs w:val="16"/>
                <w:lang w:eastAsia="es-AR"/>
              </w:rPr>
            </w:pPr>
          </w:p>
        </w:tc>
        <w:tc>
          <w:tcPr>
            <w:tcW w:w="1418" w:type="dxa"/>
            <w:tcBorders>
              <w:top w:val="nil"/>
              <w:left w:val="nil"/>
              <w:bottom w:val="nil"/>
              <w:right w:val="nil"/>
            </w:tcBorders>
            <w:shd w:val="clear" w:color="auto" w:fill="auto"/>
            <w:noWrap/>
            <w:vAlign w:val="center"/>
          </w:tcPr>
          <w:p w14:paraId="47EB5DE0" w14:textId="223F4228" w:rsidR="00281F4D" w:rsidRPr="00281F4D" w:rsidRDefault="00461508" w:rsidP="00281F4D">
            <w:pPr>
              <w:jc w:val="right"/>
              <w:rPr>
                <w:rFonts w:ascii="Arial" w:hAnsi="Arial" w:cs="Arial"/>
                <w:sz w:val="16"/>
                <w:szCs w:val="16"/>
              </w:rPr>
            </w:pPr>
            <w:r>
              <w:rPr>
                <w:rFonts w:ascii="Arial" w:hAnsi="Arial" w:cs="Arial"/>
                <w:sz w:val="16"/>
                <w:szCs w:val="16"/>
              </w:rPr>
              <w:t>-</w:t>
            </w:r>
          </w:p>
        </w:tc>
        <w:tc>
          <w:tcPr>
            <w:tcW w:w="1553" w:type="dxa"/>
            <w:tcBorders>
              <w:top w:val="nil"/>
              <w:left w:val="nil"/>
              <w:bottom w:val="nil"/>
              <w:right w:val="nil"/>
            </w:tcBorders>
            <w:shd w:val="clear" w:color="auto" w:fill="auto"/>
            <w:noWrap/>
            <w:vAlign w:val="center"/>
          </w:tcPr>
          <w:p w14:paraId="2B7D423A" w14:textId="73CD4D06" w:rsidR="00281F4D" w:rsidRPr="0003705B" w:rsidRDefault="00281F4D" w:rsidP="00281F4D">
            <w:pPr>
              <w:jc w:val="right"/>
              <w:rPr>
                <w:rFonts w:ascii="Arial" w:hAnsi="Arial" w:cs="Arial"/>
                <w:sz w:val="16"/>
                <w:szCs w:val="16"/>
                <w:lang w:eastAsia="es-AR"/>
              </w:rPr>
            </w:pPr>
            <w:r>
              <w:rPr>
                <w:rFonts w:ascii="Arial" w:hAnsi="Arial" w:cs="Arial"/>
                <w:sz w:val="16"/>
                <w:szCs w:val="16"/>
                <w:lang w:eastAsia="es-AR"/>
              </w:rPr>
              <w:t>-</w:t>
            </w:r>
          </w:p>
        </w:tc>
      </w:tr>
      <w:tr w:rsidR="00281F4D" w:rsidRPr="0003705B" w14:paraId="1DFD823F" w14:textId="77777777" w:rsidTr="002E1AF6">
        <w:trPr>
          <w:trHeight w:val="202"/>
        </w:trPr>
        <w:tc>
          <w:tcPr>
            <w:tcW w:w="4436" w:type="dxa"/>
            <w:tcBorders>
              <w:top w:val="nil"/>
              <w:left w:val="nil"/>
              <w:bottom w:val="nil"/>
              <w:right w:val="nil"/>
            </w:tcBorders>
            <w:shd w:val="clear" w:color="auto" w:fill="auto"/>
            <w:vAlign w:val="center"/>
            <w:hideMark/>
          </w:tcPr>
          <w:p w14:paraId="68D31D2F" w14:textId="77777777" w:rsidR="00281F4D" w:rsidRPr="0003705B" w:rsidRDefault="00281F4D" w:rsidP="00281F4D">
            <w:pPr>
              <w:rPr>
                <w:rFonts w:ascii="Arial" w:hAnsi="Arial" w:cs="Arial"/>
                <w:sz w:val="16"/>
                <w:szCs w:val="16"/>
                <w:lang w:eastAsia="es-AR"/>
              </w:rPr>
            </w:pPr>
          </w:p>
        </w:tc>
        <w:tc>
          <w:tcPr>
            <w:tcW w:w="809" w:type="dxa"/>
            <w:tcBorders>
              <w:top w:val="nil"/>
              <w:left w:val="nil"/>
              <w:bottom w:val="nil"/>
              <w:right w:val="nil"/>
            </w:tcBorders>
            <w:shd w:val="clear" w:color="auto" w:fill="auto"/>
            <w:vAlign w:val="center"/>
            <w:hideMark/>
          </w:tcPr>
          <w:p w14:paraId="0613727D" w14:textId="77777777" w:rsidR="00281F4D" w:rsidRPr="0003705B" w:rsidRDefault="00281F4D" w:rsidP="00281F4D">
            <w:pPr>
              <w:rPr>
                <w:rFonts w:ascii="Arial" w:hAnsi="Arial" w:cs="Arial"/>
                <w:sz w:val="16"/>
                <w:szCs w:val="16"/>
                <w:lang w:eastAsia="es-AR"/>
              </w:rPr>
            </w:pPr>
          </w:p>
        </w:tc>
        <w:tc>
          <w:tcPr>
            <w:tcW w:w="1418" w:type="dxa"/>
            <w:tcBorders>
              <w:top w:val="nil"/>
              <w:left w:val="nil"/>
              <w:bottom w:val="single" w:sz="4" w:space="0" w:color="auto"/>
              <w:right w:val="nil"/>
            </w:tcBorders>
            <w:shd w:val="clear" w:color="auto" w:fill="auto"/>
            <w:noWrap/>
            <w:vAlign w:val="center"/>
          </w:tcPr>
          <w:p w14:paraId="331BD3CB" w14:textId="7D266493" w:rsidR="00281F4D" w:rsidRPr="00281F4D" w:rsidRDefault="00281F4D" w:rsidP="00281F4D">
            <w:pPr>
              <w:jc w:val="right"/>
              <w:rPr>
                <w:rFonts w:ascii="Arial" w:hAnsi="Arial" w:cs="Arial"/>
                <w:sz w:val="16"/>
                <w:szCs w:val="16"/>
              </w:rPr>
            </w:pPr>
          </w:p>
        </w:tc>
        <w:tc>
          <w:tcPr>
            <w:tcW w:w="1553" w:type="dxa"/>
            <w:tcBorders>
              <w:top w:val="nil"/>
              <w:left w:val="nil"/>
              <w:bottom w:val="single" w:sz="4" w:space="0" w:color="auto"/>
              <w:right w:val="nil"/>
            </w:tcBorders>
            <w:shd w:val="clear" w:color="auto" w:fill="auto"/>
            <w:noWrap/>
            <w:vAlign w:val="center"/>
          </w:tcPr>
          <w:p w14:paraId="4D98D6EE" w14:textId="77777777" w:rsidR="00281F4D" w:rsidRPr="0003705B" w:rsidRDefault="00281F4D" w:rsidP="00281F4D">
            <w:pPr>
              <w:jc w:val="right"/>
              <w:rPr>
                <w:rFonts w:ascii="Arial" w:hAnsi="Arial" w:cs="Arial"/>
                <w:sz w:val="16"/>
                <w:szCs w:val="16"/>
                <w:lang w:eastAsia="es-AR"/>
              </w:rPr>
            </w:pPr>
          </w:p>
        </w:tc>
      </w:tr>
      <w:tr w:rsidR="00281F4D" w:rsidRPr="0003705B" w14:paraId="1A631D15" w14:textId="77777777" w:rsidTr="00281F4D">
        <w:trPr>
          <w:trHeight w:val="300"/>
        </w:trPr>
        <w:tc>
          <w:tcPr>
            <w:tcW w:w="4436" w:type="dxa"/>
            <w:tcBorders>
              <w:top w:val="nil"/>
              <w:left w:val="nil"/>
              <w:bottom w:val="nil"/>
              <w:right w:val="nil"/>
            </w:tcBorders>
            <w:shd w:val="clear" w:color="auto" w:fill="auto"/>
            <w:vAlign w:val="center"/>
            <w:hideMark/>
          </w:tcPr>
          <w:p w14:paraId="217A7FEF" w14:textId="77777777" w:rsidR="00281F4D" w:rsidRPr="0003705B" w:rsidRDefault="00281F4D" w:rsidP="00281F4D">
            <w:pPr>
              <w:rPr>
                <w:rFonts w:ascii="Arial" w:hAnsi="Arial" w:cs="Arial"/>
                <w:b/>
                <w:bCs/>
                <w:sz w:val="16"/>
                <w:szCs w:val="16"/>
                <w:lang w:eastAsia="es-AR"/>
              </w:rPr>
            </w:pPr>
            <w:r w:rsidRPr="0003705B">
              <w:rPr>
                <w:rFonts w:ascii="Arial" w:hAnsi="Arial" w:cs="Arial"/>
                <w:b/>
                <w:bCs/>
                <w:sz w:val="16"/>
                <w:szCs w:val="16"/>
                <w:lang w:eastAsia="es-AR"/>
              </w:rPr>
              <w:t>TOTAL DEL ACTIVO</w:t>
            </w:r>
          </w:p>
        </w:tc>
        <w:tc>
          <w:tcPr>
            <w:tcW w:w="809" w:type="dxa"/>
            <w:tcBorders>
              <w:top w:val="nil"/>
              <w:left w:val="nil"/>
              <w:bottom w:val="nil"/>
              <w:right w:val="nil"/>
            </w:tcBorders>
            <w:shd w:val="clear" w:color="auto" w:fill="auto"/>
            <w:vAlign w:val="center"/>
            <w:hideMark/>
          </w:tcPr>
          <w:p w14:paraId="738AAD84" w14:textId="77777777" w:rsidR="00281F4D" w:rsidRPr="0003705B" w:rsidRDefault="00281F4D" w:rsidP="00281F4D">
            <w:pPr>
              <w:rPr>
                <w:rFonts w:ascii="Arial" w:hAnsi="Arial" w:cs="Arial"/>
                <w:b/>
                <w:bCs/>
                <w:sz w:val="16"/>
                <w:szCs w:val="16"/>
                <w:lang w:eastAsia="es-AR"/>
              </w:rPr>
            </w:pPr>
          </w:p>
        </w:tc>
        <w:tc>
          <w:tcPr>
            <w:tcW w:w="1418" w:type="dxa"/>
            <w:tcBorders>
              <w:top w:val="single" w:sz="4" w:space="0" w:color="auto"/>
              <w:left w:val="nil"/>
              <w:bottom w:val="single" w:sz="4" w:space="0" w:color="auto"/>
              <w:right w:val="nil"/>
            </w:tcBorders>
            <w:shd w:val="clear" w:color="auto" w:fill="auto"/>
            <w:noWrap/>
            <w:vAlign w:val="center"/>
          </w:tcPr>
          <w:p w14:paraId="2A2F9BEA" w14:textId="4AB91F13" w:rsidR="00281F4D" w:rsidRPr="00281F4D" w:rsidRDefault="00281F4D" w:rsidP="00281F4D">
            <w:pPr>
              <w:jc w:val="right"/>
              <w:rPr>
                <w:rFonts w:ascii="Arial" w:hAnsi="Arial" w:cs="Arial"/>
                <w:b/>
                <w:bCs/>
                <w:sz w:val="16"/>
                <w:szCs w:val="16"/>
              </w:rPr>
            </w:pPr>
            <w:r w:rsidRPr="002E1AF6">
              <w:rPr>
                <w:rFonts w:ascii="Arial" w:hAnsi="Arial" w:cs="Arial"/>
                <w:b/>
                <w:bCs/>
                <w:sz w:val="16"/>
                <w:szCs w:val="16"/>
              </w:rPr>
              <w:t>185.579.570</w:t>
            </w:r>
          </w:p>
        </w:tc>
        <w:tc>
          <w:tcPr>
            <w:tcW w:w="1553" w:type="dxa"/>
            <w:tcBorders>
              <w:top w:val="single" w:sz="4" w:space="0" w:color="auto"/>
              <w:left w:val="nil"/>
              <w:bottom w:val="single" w:sz="4" w:space="0" w:color="auto"/>
              <w:right w:val="nil"/>
            </w:tcBorders>
            <w:shd w:val="clear" w:color="auto" w:fill="auto"/>
            <w:noWrap/>
            <w:vAlign w:val="center"/>
          </w:tcPr>
          <w:p w14:paraId="7F7D1654" w14:textId="128D5651" w:rsidR="00281F4D" w:rsidRPr="003565A3" w:rsidRDefault="00281F4D" w:rsidP="00281F4D">
            <w:pPr>
              <w:jc w:val="right"/>
              <w:rPr>
                <w:rFonts w:ascii="Arial" w:hAnsi="Arial" w:cs="Arial"/>
                <w:b/>
                <w:bCs/>
                <w:sz w:val="16"/>
                <w:szCs w:val="16"/>
                <w:lang w:eastAsia="es-AR"/>
              </w:rPr>
            </w:pPr>
            <w:r w:rsidRPr="003565A3">
              <w:rPr>
                <w:rFonts w:ascii="Arial" w:hAnsi="Arial" w:cs="Arial"/>
                <w:b/>
                <w:bCs/>
                <w:sz w:val="16"/>
                <w:szCs w:val="16"/>
              </w:rPr>
              <w:t>150.185.53</w:t>
            </w:r>
            <w:r>
              <w:rPr>
                <w:rFonts w:ascii="Arial" w:hAnsi="Arial" w:cs="Arial"/>
                <w:b/>
                <w:bCs/>
                <w:sz w:val="16"/>
                <w:szCs w:val="16"/>
              </w:rPr>
              <w:t>3</w:t>
            </w:r>
          </w:p>
        </w:tc>
      </w:tr>
    </w:tbl>
    <w:p w14:paraId="5F834610" w14:textId="1B6679D2" w:rsidR="00EC2B51" w:rsidRPr="00701F32" w:rsidRDefault="002B2055">
      <w:pPr>
        <w:pStyle w:val="Header"/>
        <w:jc w:val="center"/>
        <w:rPr>
          <w:sz w:val="20"/>
          <w:lang w:eastAsia="es-AR"/>
        </w:rPr>
      </w:pPr>
      <w:r w:rsidRPr="00701F32">
        <w:rPr>
          <w:sz w:val="20"/>
          <w:lang w:eastAsia="es-AR"/>
        </w:rPr>
        <w:t xml:space="preserve"> </w:t>
      </w:r>
    </w:p>
    <w:p w14:paraId="4A23B020" w14:textId="77777777" w:rsidR="00D24C22" w:rsidRPr="00701F32" w:rsidRDefault="00D24C22" w:rsidP="00FB4E04">
      <w:pPr>
        <w:pStyle w:val="Header"/>
        <w:rPr>
          <w:rFonts w:ascii="Arial" w:hAnsi="Arial" w:cs="Arial"/>
          <w:b/>
          <w:szCs w:val="24"/>
          <w:lang w:val="es-ES_tradnl"/>
        </w:rPr>
      </w:pPr>
    </w:p>
    <w:p w14:paraId="56288D12" w14:textId="77777777" w:rsidR="00D24C22" w:rsidRPr="00701F32" w:rsidRDefault="00D24C22" w:rsidP="00FB4E04">
      <w:pPr>
        <w:pStyle w:val="Header"/>
        <w:rPr>
          <w:rFonts w:ascii="Arial" w:hAnsi="Arial" w:cs="Arial"/>
          <w:b/>
          <w:szCs w:val="24"/>
          <w:lang w:val="es-ES_tradnl"/>
        </w:rPr>
      </w:pPr>
    </w:p>
    <w:p w14:paraId="4958FB04" w14:textId="77777777" w:rsidR="00A6292B" w:rsidRPr="00A6292B" w:rsidRDefault="007A4B5A" w:rsidP="00FB4E04">
      <w:pPr>
        <w:pStyle w:val="Header"/>
        <w:rPr>
          <w:rFonts w:ascii="Arial" w:hAnsi="Arial" w:cs="Arial"/>
          <w:b/>
          <w:sz w:val="10"/>
          <w:szCs w:val="10"/>
          <w:lang w:val="es-ES_tradnl"/>
        </w:rPr>
      </w:pPr>
      <w:r w:rsidRPr="00A6292B">
        <w:rPr>
          <w:rFonts w:ascii="Arial" w:hAnsi="Arial" w:cs="Arial"/>
          <w:b/>
          <w:sz w:val="10"/>
          <w:szCs w:val="10"/>
          <w:lang w:val="es-ES_tradnl"/>
        </w:rPr>
        <w:lastRenderedPageBreak/>
        <w:t xml:space="preserve"> </w:t>
      </w:r>
    </w:p>
    <w:tbl>
      <w:tblPr>
        <w:tblW w:w="4878" w:type="pct"/>
        <w:tblCellMar>
          <w:left w:w="70" w:type="dxa"/>
          <w:right w:w="70" w:type="dxa"/>
        </w:tblCellMar>
        <w:tblLook w:val="04A0" w:firstRow="1" w:lastRow="0" w:firstColumn="1" w:lastColumn="0" w:noHBand="0" w:noVBand="1"/>
      </w:tblPr>
      <w:tblGrid>
        <w:gridCol w:w="4666"/>
        <w:gridCol w:w="698"/>
        <w:gridCol w:w="1391"/>
        <w:gridCol w:w="1533"/>
      </w:tblGrid>
      <w:tr w:rsidR="0083616E" w:rsidRPr="00A6292B" w14:paraId="551A5AC9" w14:textId="77777777" w:rsidTr="00884FDE">
        <w:trPr>
          <w:trHeight w:val="595"/>
        </w:trPr>
        <w:tc>
          <w:tcPr>
            <w:tcW w:w="2815"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5A2A9EF" w14:textId="77777777" w:rsidR="0083616E" w:rsidRPr="00A6292B" w:rsidRDefault="0083616E" w:rsidP="00A6292B">
            <w:pPr>
              <w:jc w:val="center"/>
              <w:rPr>
                <w:rFonts w:ascii="Arial" w:hAnsi="Arial" w:cs="Arial"/>
                <w:b/>
                <w:bCs/>
                <w:sz w:val="16"/>
                <w:szCs w:val="16"/>
                <w:lang w:eastAsia="es-AR"/>
              </w:rPr>
            </w:pPr>
            <w:r w:rsidRPr="00A6292B">
              <w:rPr>
                <w:rFonts w:ascii="Arial" w:hAnsi="Arial" w:cs="Arial"/>
                <w:b/>
                <w:bCs/>
                <w:sz w:val="16"/>
                <w:szCs w:val="16"/>
                <w:lang w:eastAsia="es-AR"/>
              </w:rPr>
              <w:t>Conceptos</w:t>
            </w:r>
          </w:p>
        </w:tc>
        <w:tc>
          <w:tcPr>
            <w:tcW w:w="421"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C5E1BB9" w14:textId="77777777" w:rsidR="0083616E" w:rsidRPr="00A6292B" w:rsidRDefault="0083616E" w:rsidP="00A6292B">
            <w:pPr>
              <w:jc w:val="center"/>
              <w:rPr>
                <w:rFonts w:ascii="Arial" w:hAnsi="Arial" w:cs="Arial"/>
                <w:b/>
                <w:bCs/>
                <w:sz w:val="16"/>
                <w:szCs w:val="16"/>
                <w:lang w:eastAsia="es-AR"/>
              </w:rPr>
            </w:pPr>
            <w:r w:rsidRPr="00A6292B">
              <w:rPr>
                <w:rFonts w:ascii="Arial" w:hAnsi="Arial" w:cs="Arial"/>
                <w:b/>
                <w:bCs/>
                <w:sz w:val="16"/>
                <w:szCs w:val="16"/>
                <w:lang w:eastAsia="es-AR"/>
              </w:rPr>
              <w:t>Notas</w:t>
            </w:r>
          </w:p>
        </w:tc>
        <w:tc>
          <w:tcPr>
            <w:tcW w:w="839"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0796C585" w14:textId="4D09598A" w:rsidR="0083616E" w:rsidRDefault="002551C6" w:rsidP="00BD3EC5">
            <w:pPr>
              <w:jc w:val="center"/>
              <w:rPr>
                <w:rFonts w:ascii="Arial" w:hAnsi="Arial" w:cs="Arial"/>
                <w:b/>
                <w:bCs/>
                <w:sz w:val="16"/>
                <w:szCs w:val="16"/>
                <w:lang w:eastAsia="es-AR"/>
              </w:rPr>
            </w:pPr>
            <w:r>
              <w:rPr>
                <w:rFonts w:ascii="Arial" w:hAnsi="Arial" w:cs="Arial"/>
                <w:b/>
                <w:bCs/>
                <w:sz w:val="16"/>
                <w:szCs w:val="16"/>
                <w:lang w:eastAsia="es-AR"/>
              </w:rPr>
              <w:t>31/03/2020</w:t>
            </w:r>
          </w:p>
        </w:tc>
        <w:tc>
          <w:tcPr>
            <w:tcW w:w="925"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15A899C" w14:textId="3A64CEE8" w:rsidR="0083616E" w:rsidRPr="00A6292B" w:rsidRDefault="0083616E" w:rsidP="00A6292B">
            <w:pPr>
              <w:jc w:val="center"/>
              <w:rPr>
                <w:rFonts w:ascii="Arial" w:hAnsi="Arial" w:cs="Arial"/>
                <w:b/>
                <w:bCs/>
                <w:sz w:val="16"/>
                <w:szCs w:val="16"/>
                <w:lang w:eastAsia="es-AR"/>
              </w:rPr>
            </w:pPr>
            <w:r>
              <w:rPr>
                <w:rFonts w:ascii="Arial" w:hAnsi="Arial" w:cs="Arial"/>
                <w:b/>
                <w:bCs/>
                <w:sz w:val="16"/>
                <w:szCs w:val="16"/>
                <w:lang w:eastAsia="es-AR"/>
              </w:rPr>
              <w:t>31</w:t>
            </w:r>
            <w:r w:rsidRPr="00A6292B">
              <w:rPr>
                <w:rFonts w:ascii="Arial" w:hAnsi="Arial" w:cs="Arial"/>
                <w:b/>
                <w:bCs/>
                <w:sz w:val="16"/>
                <w:szCs w:val="16"/>
                <w:lang w:eastAsia="es-AR"/>
              </w:rPr>
              <w:t>/</w:t>
            </w:r>
            <w:r>
              <w:rPr>
                <w:rFonts w:ascii="Arial" w:hAnsi="Arial" w:cs="Arial"/>
                <w:b/>
                <w:bCs/>
                <w:sz w:val="16"/>
                <w:szCs w:val="16"/>
                <w:lang w:eastAsia="es-AR"/>
              </w:rPr>
              <w:t>12</w:t>
            </w:r>
            <w:r w:rsidRPr="00A6292B">
              <w:rPr>
                <w:rFonts w:ascii="Arial" w:hAnsi="Arial" w:cs="Arial"/>
                <w:b/>
                <w:bCs/>
                <w:sz w:val="16"/>
                <w:szCs w:val="16"/>
                <w:lang w:eastAsia="es-AR"/>
              </w:rPr>
              <w:t>/201</w:t>
            </w:r>
            <w:r w:rsidR="002551C6">
              <w:rPr>
                <w:rFonts w:ascii="Arial" w:hAnsi="Arial" w:cs="Arial"/>
                <w:b/>
                <w:bCs/>
                <w:sz w:val="16"/>
                <w:szCs w:val="16"/>
                <w:lang w:eastAsia="es-AR"/>
              </w:rPr>
              <w:t>9</w:t>
            </w:r>
          </w:p>
        </w:tc>
      </w:tr>
      <w:tr w:rsidR="0083616E" w:rsidRPr="00A6292B" w14:paraId="2B55B49F" w14:textId="77777777" w:rsidTr="00884FDE">
        <w:trPr>
          <w:trHeight w:val="185"/>
        </w:trPr>
        <w:tc>
          <w:tcPr>
            <w:tcW w:w="2815" w:type="pct"/>
            <w:tcBorders>
              <w:top w:val="nil"/>
              <w:left w:val="nil"/>
              <w:bottom w:val="nil"/>
              <w:right w:val="nil"/>
            </w:tcBorders>
            <w:shd w:val="clear" w:color="auto" w:fill="auto"/>
            <w:vAlign w:val="center"/>
            <w:hideMark/>
          </w:tcPr>
          <w:p w14:paraId="454B1CD8" w14:textId="77777777" w:rsidR="0083616E" w:rsidRPr="00A6292B" w:rsidRDefault="0083616E" w:rsidP="00A6292B">
            <w:pPr>
              <w:jc w:val="center"/>
              <w:rPr>
                <w:rFonts w:ascii="Arial" w:hAnsi="Arial" w:cs="Arial"/>
                <w:b/>
                <w:bCs/>
                <w:sz w:val="10"/>
                <w:szCs w:val="10"/>
                <w:lang w:eastAsia="es-AR"/>
              </w:rPr>
            </w:pPr>
            <w:r w:rsidRPr="00A6292B">
              <w:rPr>
                <w:rFonts w:ascii="Arial" w:hAnsi="Arial" w:cs="Arial"/>
                <w:b/>
                <w:bCs/>
                <w:sz w:val="10"/>
                <w:szCs w:val="10"/>
                <w:lang w:eastAsia="es-AR"/>
              </w:rPr>
              <w:t> </w:t>
            </w:r>
          </w:p>
        </w:tc>
        <w:tc>
          <w:tcPr>
            <w:tcW w:w="421" w:type="pct"/>
            <w:tcBorders>
              <w:top w:val="nil"/>
              <w:left w:val="nil"/>
              <w:bottom w:val="nil"/>
              <w:right w:val="nil"/>
            </w:tcBorders>
            <w:shd w:val="clear" w:color="auto" w:fill="auto"/>
            <w:vAlign w:val="center"/>
            <w:hideMark/>
          </w:tcPr>
          <w:p w14:paraId="6D9E7683" w14:textId="0C71EDA7" w:rsidR="0083616E" w:rsidRPr="00A6292B" w:rsidRDefault="0083616E" w:rsidP="00A6292B">
            <w:pPr>
              <w:jc w:val="center"/>
              <w:rPr>
                <w:rFonts w:ascii="Arial" w:hAnsi="Arial" w:cs="Arial"/>
                <w:b/>
                <w:bCs/>
                <w:sz w:val="10"/>
                <w:szCs w:val="10"/>
                <w:lang w:eastAsia="es-AR"/>
              </w:rPr>
            </w:pPr>
          </w:p>
        </w:tc>
        <w:tc>
          <w:tcPr>
            <w:tcW w:w="839" w:type="pct"/>
            <w:tcBorders>
              <w:top w:val="single" w:sz="4" w:space="0" w:color="363639"/>
              <w:left w:val="nil"/>
              <w:bottom w:val="nil"/>
              <w:right w:val="nil"/>
            </w:tcBorders>
          </w:tcPr>
          <w:p w14:paraId="07E0A765" w14:textId="77777777" w:rsidR="0083616E" w:rsidRPr="00A6292B" w:rsidRDefault="0083616E" w:rsidP="00A6292B">
            <w:pPr>
              <w:jc w:val="center"/>
              <w:rPr>
                <w:rFonts w:ascii="Arial" w:hAnsi="Arial" w:cs="Arial"/>
                <w:color w:val="000000"/>
                <w:sz w:val="10"/>
                <w:szCs w:val="10"/>
                <w:lang w:eastAsia="es-AR"/>
              </w:rPr>
            </w:pPr>
          </w:p>
        </w:tc>
        <w:tc>
          <w:tcPr>
            <w:tcW w:w="925" w:type="pct"/>
            <w:tcBorders>
              <w:top w:val="nil"/>
              <w:left w:val="nil"/>
              <w:bottom w:val="nil"/>
              <w:right w:val="nil"/>
            </w:tcBorders>
            <w:shd w:val="clear" w:color="auto" w:fill="auto"/>
            <w:noWrap/>
            <w:vAlign w:val="center"/>
            <w:hideMark/>
          </w:tcPr>
          <w:p w14:paraId="73357CF1" w14:textId="1CFF4401" w:rsidR="0083616E" w:rsidRPr="00A6292B" w:rsidRDefault="0083616E" w:rsidP="00A6292B">
            <w:pPr>
              <w:jc w:val="center"/>
              <w:rPr>
                <w:rFonts w:ascii="Arial" w:hAnsi="Arial" w:cs="Arial"/>
                <w:color w:val="000000"/>
                <w:sz w:val="10"/>
                <w:szCs w:val="10"/>
                <w:lang w:eastAsia="es-AR"/>
              </w:rPr>
            </w:pPr>
            <w:r w:rsidRPr="00A6292B">
              <w:rPr>
                <w:rFonts w:ascii="Arial" w:hAnsi="Arial" w:cs="Arial"/>
                <w:color w:val="000000"/>
                <w:sz w:val="10"/>
                <w:szCs w:val="10"/>
                <w:lang w:eastAsia="es-AR"/>
              </w:rPr>
              <w:t> </w:t>
            </w:r>
          </w:p>
        </w:tc>
      </w:tr>
      <w:tr w:rsidR="0083616E" w:rsidRPr="00A6292B" w14:paraId="4E9CB7A3" w14:textId="77777777" w:rsidTr="00884FDE">
        <w:trPr>
          <w:trHeight w:val="285"/>
        </w:trPr>
        <w:tc>
          <w:tcPr>
            <w:tcW w:w="2815" w:type="pct"/>
            <w:tcBorders>
              <w:top w:val="nil"/>
              <w:left w:val="nil"/>
              <w:bottom w:val="nil"/>
              <w:right w:val="nil"/>
            </w:tcBorders>
            <w:shd w:val="clear" w:color="auto" w:fill="auto"/>
            <w:hideMark/>
          </w:tcPr>
          <w:p w14:paraId="11FF1281" w14:textId="77777777" w:rsidR="0083616E" w:rsidRPr="00A6292B" w:rsidRDefault="0083616E" w:rsidP="00A6292B">
            <w:pPr>
              <w:rPr>
                <w:rFonts w:ascii="Arial" w:hAnsi="Arial" w:cs="Arial"/>
                <w:b/>
                <w:bCs/>
                <w:sz w:val="16"/>
                <w:szCs w:val="16"/>
                <w:lang w:eastAsia="es-AR"/>
              </w:rPr>
            </w:pPr>
            <w:r w:rsidRPr="00A6292B">
              <w:rPr>
                <w:rFonts w:ascii="Arial" w:hAnsi="Arial" w:cs="Arial"/>
                <w:b/>
                <w:bCs/>
                <w:sz w:val="16"/>
                <w:szCs w:val="16"/>
                <w:lang w:eastAsia="es-AR"/>
              </w:rPr>
              <w:t>PASIVO</w:t>
            </w:r>
          </w:p>
        </w:tc>
        <w:tc>
          <w:tcPr>
            <w:tcW w:w="421" w:type="pct"/>
            <w:tcBorders>
              <w:top w:val="nil"/>
              <w:left w:val="nil"/>
              <w:bottom w:val="nil"/>
              <w:right w:val="nil"/>
            </w:tcBorders>
            <w:shd w:val="clear" w:color="auto" w:fill="auto"/>
            <w:hideMark/>
          </w:tcPr>
          <w:p w14:paraId="01759112" w14:textId="77777777" w:rsidR="0083616E" w:rsidRPr="00A6292B" w:rsidRDefault="0083616E" w:rsidP="00A6292B">
            <w:pPr>
              <w:jc w:val="center"/>
              <w:rPr>
                <w:rFonts w:ascii="Arial" w:hAnsi="Arial" w:cs="Arial"/>
                <w:b/>
                <w:bCs/>
                <w:sz w:val="16"/>
                <w:szCs w:val="16"/>
                <w:lang w:eastAsia="es-AR"/>
              </w:rPr>
            </w:pPr>
          </w:p>
        </w:tc>
        <w:tc>
          <w:tcPr>
            <w:tcW w:w="839" w:type="pct"/>
            <w:tcBorders>
              <w:top w:val="nil"/>
              <w:left w:val="nil"/>
              <w:bottom w:val="nil"/>
              <w:right w:val="nil"/>
            </w:tcBorders>
          </w:tcPr>
          <w:p w14:paraId="380FB266" w14:textId="77777777" w:rsidR="0083616E" w:rsidRPr="00A6292B" w:rsidRDefault="0083616E" w:rsidP="00A6292B">
            <w:pPr>
              <w:jc w:val="center"/>
              <w:rPr>
                <w:rFonts w:ascii="Arial" w:hAnsi="Arial" w:cs="Arial"/>
                <w:sz w:val="16"/>
                <w:szCs w:val="16"/>
                <w:lang w:eastAsia="es-AR"/>
              </w:rPr>
            </w:pPr>
          </w:p>
        </w:tc>
        <w:tc>
          <w:tcPr>
            <w:tcW w:w="925" w:type="pct"/>
            <w:tcBorders>
              <w:top w:val="nil"/>
              <w:left w:val="nil"/>
              <w:bottom w:val="nil"/>
              <w:right w:val="nil"/>
            </w:tcBorders>
            <w:shd w:val="clear" w:color="auto" w:fill="auto"/>
            <w:hideMark/>
          </w:tcPr>
          <w:p w14:paraId="164B077B" w14:textId="508276AD" w:rsidR="0083616E" w:rsidRPr="00A6292B" w:rsidRDefault="0083616E" w:rsidP="00A6292B">
            <w:pPr>
              <w:jc w:val="center"/>
              <w:rPr>
                <w:rFonts w:ascii="Arial" w:hAnsi="Arial" w:cs="Arial"/>
                <w:sz w:val="16"/>
                <w:szCs w:val="16"/>
                <w:lang w:eastAsia="es-AR"/>
              </w:rPr>
            </w:pPr>
          </w:p>
        </w:tc>
      </w:tr>
      <w:tr w:rsidR="003565A3" w:rsidRPr="00A6292B" w14:paraId="77BAF614" w14:textId="77777777" w:rsidTr="003E487A">
        <w:trPr>
          <w:trHeight w:val="285"/>
        </w:trPr>
        <w:tc>
          <w:tcPr>
            <w:tcW w:w="2815" w:type="pct"/>
            <w:tcBorders>
              <w:top w:val="nil"/>
              <w:left w:val="nil"/>
              <w:bottom w:val="nil"/>
              <w:right w:val="nil"/>
            </w:tcBorders>
            <w:shd w:val="clear" w:color="auto" w:fill="auto"/>
            <w:vAlign w:val="center"/>
            <w:hideMark/>
          </w:tcPr>
          <w:p w14:paraId="6D3DD04A" w14:textId="1C6BBC5F"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Depósitos </w:t>
            </w:r>
            <w:r w:rsidRPr="00A6292B">
              <w:rPr>
                <w:rFonts w:ascii="Arial" w:hAnsi="Arial" w:cs="Arial"/>
                <w:b/>
                <w:bCs/>
                <w:sz w:val="16"/>
                <w:szCs w:val="16"/>
                <w:lang w:eastAsia="es-AR"/>
              </w:rPr>
              <w:t>(Anexos H)</w:t>
            </w:r>
          </w:p>
        </w:tc>
        <w:tc>
          <w:tcPr>
            <w:tcW w:w="421" w:type="pct"/>
            <w:tcBorders>
              <w:top w:val="nil"/>
              <w:left w:val="nil"/>
              <w:bottom w:val="nil"/>
              <w:right w:val="nil"/>
            </w:tcBorders>
            <w:shd w:val="clear" w:color="auto" w:fill="auto"/>
          </w:tcPr>
          <w:p w14:paraId="776C8C2F" w14:textId="0F29C5C8"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0A587D0E" w14:textId="76CB7376" w:rsidR="003565A3" w:rsidRPr="008E2E2D" w:rsidRDefault="003565A3" w:rsidP="003565A3">
            <w:pPr>
              <w:jc w:val="right"/>
              <w:rPr>
                <w:rFonts w:ascii="Arial" w:hAnsi="Arial" w:cs="Arial"/>
                <w:sz w:val="16"/>
                <w:szCs w:val="16"/>
              </w:rPr>
            </w:pPr>
            <w:r w:rsidRPr="008E2E2D">
              <w:rPr>
                <w:rFonts w:ascii="Arial" w:hAnsi="Arial" w:cs="Arial"/>
                <w:sz w:val="16"/>
                <w:szCs w:val="16"/>
              </w:rPr>
              <w:t>137.035.304</w:t>
            </w:r>
          </w:p>
        </w:tc>
        <w:tc>
          <w:tcPr>
            <w:tcW w:w="925" w:type="pct"/>
            <w:tcBorders>
              <w:top w:val="nil"/>
              <w:left w:val="nil"/>
              <w:bottom w:val="nil"/>
              <w:right w:val="nil"/>
            </w:tcBorders>
            <w:shd w:val="clear" w:color="auto" w:fill="auto"/>
            <w:noWrap/>
            <w:vAlign w:val="center"/>
          </w:tcPr>
          <w:p w14:paraId="1A4AD718" w14:textId="6B870725"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96.736.559</w:t>
            </w:r>
          </w:p>
        </w:tc>
      </w:tr>
      <w:tr w:rsidR="003565A3" w:rsidRPr="00A6292B" w14:paraId="0938C975" w14:textId="77777777" w:rsidTr="003E487A">
        <w:trPr>
          <w:trHeight w:val="285"/>
        </w:trPr>
        <w:tc>
          <w:tcPr>
            <w:tcW w:w="2815" w:type="pct"/>
            <w:tcBorders>
              <w:top w:val="nil"/>
              <w:left w:val="nil"/>
              <w:bottom w:val="nil"/>
              <w:right w:val="nil"/>
            </w:tcBorders>
            <w:shd w:val="clear" w:color="auto" w:fill="auto"/>
            <w:vAlign w:val="center"/>
            <w:hideMark/>
          </w:tcPr>
          <w:p w14:paraId="5A7F4929" w14:textId="77777777"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Sector Público no Financiero</w:t>
            </w:r>
          </w:p>
        </w:tc>
        <w:tc>
          <w:tcPr>
            <w:tcW w:w="421" w:type="pct"/>
            <w:tcBorders>
              <w:top w:val="nil"/>
              <w:left w:val="nil"/>
              <w:bottom w:val="nil"/>
              <w:right w:val="nil"/>
            </w:tcBorders>
            <w:shd w:val="clear" w:color="auto" w:fill="auto"/>
            <w:vAlign w:val="center"/>
          </w:tcPr>
          <w:p w14:paraId="60269950"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5B5686E9" w14:textId="76196D00" w:rsidR="003565A3" w:rsidRPr="008E2E2D" w:rsidRDefault="003565A3" w:rsidP="003565A3">
            <w:pPr>
              <w:jc w:val="right"/>
              <w:rPr>
                <w:rFonts w:ascii="Arial" w:hAnsi="Arial" w:cs="Arial"/>
                <w:sz w:val="16"/>
                <w:szCs w:val="16"/>
              </w:rPr>
            </w:pPr>
            <w:r w:rsidRPr="008E2E2D">
              <w:rPr>
                <w:rFonts w:ascii="Arial" w:hAnsi="Arial" w:cs="Arial"/>
                <w:sz w:val="16"/>
                <w:szCs w:val="16"/>
              </w:rPr>
              <w:t>5.568.195</w:t>
            </w:r>
          </w:p>
        </w:tc>
        <w:tc>
          <w:tcPr>
            <w:tcW w:w="925" w:type="pct"/>
            <w:tcBorders>
              <w:top w:val="nil"/>
              <w:left w:val="nil"/>
              <w:bottom w:val="nil"/>
              <w:right w:val="nil"/>
            </w:tcBorders>
            <w:shd w:val="clear" w:color="auto" w:fill="auto"/>
            <w:noWrap/>
            <w:vAlign w:val="center"/>
          </w:tcPr>
          <w:p w14:paraId="43D46FB9" w14:textId="362A17FE"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5.896.851</w:t>
            </w:r>
          </w:p>
        </w:tc>
      </w:tr>
      <w:tr w:rsidR="003565A3" w:rsidRPr="00A6292B" w14:paraId="10DEE8B8" w14:textId="77777777" w:rsidTr="003E487A">
        <w:trPr>
          <w:trHeight w:val="285"/>
        </w:trPr>
        <w:tc>
          <w:tcPr>
            <w:tcW w:w="2815" w:type="pct"/>
            <w:tcBorders>
              <w:top w:val="nil"/>
              <w:left w:val="nil"/>
              <w:bottom w:val="nil"/>
              <w:right w:val="nil"/>
            </w:tcBorders>
            <w:shd w:val="clear" w:color="auto" w:fill="auto"/>
            <w:vAlign w:val="center"/>
            <w:hideMark/>
          </w:tcPr>
          <w:p w14:paraId="62953F1B" w14:textId="77777777"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Sector Financiero</w:t>
            </w:r>
          </w:p>
        </w:tc>
        <w:tc>
          <w:tcPr>
            <w:tcW w:w="421" w:type="pct"/>
            <w:tcBorders>
              <w:top w:val="nil"/>
              <w:left w:val="nil"/>
              <w:bottom w:val="nil"/>
              <w:right w:val="nil"/>
            </w:tcBorders>
            <w:shd w:val="clear" w:color="auto" w:fill="auto"/>
            <w:vAlign w:val="center"/>
          </w:tcPr>
          <w:p w14:paraId="12A2D217"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26743971" w14:textId="48779202" w:rsidR="003565A3" w:rsidRPr="008E2E2D" w:rsidRDefault="003565A3" w:rsidP="003565A3">
            <w:pPr>
              <w:jc w:val="right"/>
              <w:rPr>
                <w:rFonts w:ascii="Arial" w:hAnsi="Arial" w:cs="Arial"/>
                <w:sz w:val="16"/>
                <w:szCs w:val="16"/>
              </w:rPr>
            </w:pPr>
            <w:r w:rsidRPr="008E2E2D">
              <w:rPr>
                <w:rFonts w:ascii="Arial" w:hAnsi="Arial" w:cs="Arial"/>
                <w:sz w:val="16"/>
                <w:szCs w:val="16"/>
              </w:rPr>
              <w:t>61.640</w:t>
            </w:r>
          </w:p>
        </w:tc>
        <w:tc>
          <w:tcPr>
            <w:tcW w:w="925" w:type="pct"/>
            <w:tcBorders>
              <w:top w:val="nil"/>
              <w:left w:val="nil"/>
              <w:bottom w:val="nil"/>
              <w:right w:val="nil"/>
            </w:tcBorders>
            <w:shd w:val="clear" w:color="auto" w:fill="auto"/>
            <w:noWrap/>
            <w:vAlign w:val="center"/>
          </w:tcPr>
          <w:p w14:paraId="0B6289AF" w14:textId="07E7475D"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40.272</w:t>
            </w:r>
          </w:p>
        </w:tc>
      </w:tr>
      <w:tr w:rsidR="003565A3" w:rsidRPr="00A6292B" w14:paraId="1DB5D792" w14:textId="77777777" w:rsidTr="003E487A">
        <w:trPr>
          <w:trHeight w:val="285"/>
        </w:trPr>
        <w:tc>
          <w:tcPr>
            <w:tcW w:w="2815" w:type="pct"/>
            <w:tcBorders>
              <w:top w:val="nil"/>
              <w:left w:val="nil"/>
              <w:bottom w:val="nil"/>
              <w:right w:val="nil"/>
            </w:tcBorders>
            <w:shd w:val="clear" w:color="auto" w:fill="auto"/>
            <w:vAlign w:val="center"/>
            <w:hideMark/>
          </w:tcPr>
          <w:p w14:paraId="52928CE5" w14:textId="77777777"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Sector Privado no Financiero y Residentes en el exterior</w:t>
            </w:r>
          </w:p>
        </w:tc>
        <w:tc>
          <w:tcPr>
            <w:tcW w:w="421" w:type="pct"/>
            <w:tcBorders>
              <w:top w:val="nil"/>
              <w:left w:val="nil"/>
              <w:bottom w:val="nil"/>
              <w:right w:val="nil"/>
            </w:tcBorders>
            <w:shd w:val="clear" w:color="auto" w:fill="auto"/>
            <w:vAlign w:val="center"/>
          </w:tcPr>
          <w:p w14:paraId="5B3413EB"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6506BC85" w14:textId="2E293E0E" w:rsidR="003565A3" w:rsidRPr="008E2E2D" w:rsidRDefault="003565A3" w:rsidP="003565A3">
            <w:pPr>
              <w:jc w:val="right"/>
              <w:rPr>
                <w:rFonts w:ascii="Arial" w:hAnsi="Arial" w:cs="Arial"/>
                <w:sz w:val="16"/>
                <w:szCs w:val="16"/>
              </w:rPr>
            </w:pPr>
            <w:r w:rsidRPr="008E2E2D">
              <w:rPr>
                <w:rFonts w:ascii="Arial" w:hAnsi="Arial" w:cs="Arial"/>
                <w:sz w:val="16"/>
                <w:szCs w:val="16"/>
              </w:rPr>
              <w:t>131.405.469</w:t>
            </w:r>
          </w:p>
        </w:tc>
        <w:tc>
          <w:tcPr>
            <w:tcW w:w="925" w:type="pct"/>
            <w:tcBorders>
              <w:top w:val="nil"/>
              <w:left w:val="nil"/>
              <w:bottom w:val="nil"/>
              <w:right w:val="nil"/>
            </w:tcBorders>
            <w:shd w:val="clear" w:color="auto" w:fill="auto"/>
            <w:noWrap/>
            <w:vAlign w:val="center"/>
          </w:tcPr>
          <w:p w14:paraId="77ECF955" w14:textId="4EA97754"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90.799.436</w:t>
            </w:r>
          </w:p>
        </w:tc>
      </w:tr>
      <w:tr w:rsidR="003565A3" w:rsidRPr="00A6292B" w14:paraId="2DF63F19" w14:textId="77777777" w:rsidTr="003E487A">
        <w:trPr>
          <w:trHeight w:val="275"/>
        </w:trPr>
        <w:tc>
          <w:tcPr>
            <w:tcW w:w="2815" w:type="pct"/>
            <w:tcBorders>
              <w:top w:val="nil"/>
              <w:left w:val="nil"/>
              <w:bottom w:val="nil"/>
              <w:right w:val="nil"/>
            </w:tcBorders>
            <w:shd w:val="clear" w:color="auto" w:fill="auto"/>
            <w:vAlign w:val="center"/>
            <w:hideMark/>
          </w:tcPr>
          <w:p w14:paraId="641BB535" w14:textId="3C582A00"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Pasivos a valor razonable con cambios en resultados</w:t>
            </w:r>
          </w:p>
        </w:tc>
        <w:tc>
          <w:tcPr>
            <w:tcW w:w="421" w:type="pct"/>
            <w:tcBorders>
              <w:top w:val="nil"/>
              <w:left w:val="nil"/>
              <w:bottom w:val="nil"/>
              <w:right w:val="nil"/>
            </w:tcBorders>
            <w:shd w:val="clear" w:color="auto" w:fill="auto"/>
            <w:vAlign w:val="center"/>
          </w:tcPr>
          <w:p w14:paraId="1603A2CD" w14:textId="4B508B78" w:rsidR="003565A3" w:rsidRPr="00A6292B" w:rsidRDefault="003565A3" w:rsidP="003565A3">
            <w:pPr>
              <w:jc w:val="center"/>
              <w:rPr>
                <w:rFonts w:ascii="Arial" w:hAnsi="Arial" w:cs="Arial"/>
                <w:sz w:val="16"/>
                <w:szCs w:val="16"/>
                <w:lang w:eastAsia="es-AR"/>
              </w:rPr>
            </w:pPr>
            <w:r>
              <w:rPr>
                <w:rFonts w:ascii="Arial" w:hAnsi="Arial" w:cs="Arial"/>
                <w:sz w:val="16"/>
                <w:szCs w:val="16"/>
                <w:lang w:eastAsia="es-AR"/>
              </w:rPr>
              <w:t>4</w:t>
            </w:r>
          </w:p>
        </w:tc>
        <w:tc>
          <w:tcPr>
            <w:tcW w:w="839" w:type="pct"/>
            <w:tcBorders>
              <w:top w:val="nil"/>
              <w:left w:val="nil"/>
              <w:bottom w:val="nil"/>
              <w:right w:val="nil"/>
            </w:tcBorders>
            <w:vAlign w:val="center"/>
          </w:tcPr>
          <w:p w14:paraId="63620CF6" w14:textId="7F3E6511" w:rsidR="003565A3" w:rsidRPr="008E2E2D" w:rsidRDefault="003565A3" w:rsidP="003565A3">
            <w:pPr>
              <w:jc w:val="right"/>
              <w:rPr>
                <w:rFonts w:ascii="Arial" w:hAnsi="Arial" w:cs="Arial"/>
                <w:sz w:val="16"/>
                <w:szCs w:val="16"/>
              </w:rPr>
            </w:pPr>
            <w:r w:rsidRPr="008E2E2D">
              <w:rPr>
                <w:rFonts w:ascii="Arial" w:hAnsi="Arial" w:cs="Arial"/>
                <w:sz w:val="16"/>
                <w:szCs w:val="16"/>
              </w:rPr>
              <w:t>365.736</w:t>
            </w:r>
          </w:p>
        </w:tc>
        <w:tc>
          <w:tcPr>
            <w:tcW w:w="925" w:type="pct"/>
            <w:tcBorders>
              <w:top w:val="nil"/>
              <w:left w:val="nil"/>
              <w:bottom w:val="nil"/>
              <w:right w:val="nil"/>
            </w:tcBorders>
            <w:shd w:val="clear" w:color="auto" w:fill="auto"/>
            <w:noWrap/>
            <w:vAlign w:val="center"/>
          </w:tcPr>
          <w:p w14:paraId="24893F35" w14:textId="5653A25D"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143.697</w:t>
            </w:r>
          </w:p>
        </w:tc>
      </w:tr>
      <w:tr w:rsidR="003565A3" w:rsidRPr="00A6292B" w14:paraId="7E1EA147" w14:textId="77777777" w:rsidTr="003E487A">
        <w:trPr>
          <w:trHeight w:val="285"/>
        </w:trPr>
        <w:tc>
          <w:tcPr>
            <w:tcW w:w="2815" w:type="pct"/>
            <w:tcBorders>
              <w:top w:val="nil"/>
              <w:left w:val="nil"/>
              <w:bottom w:val="nil"/>
              <w:right w:val="nil"/>
            </w:tcBorders>
            <w:shd w:val="clear" w:color="auto" w:fill="auto"/>
            <w:vAlign w:val="center"/>
            <w:hideMark/>
          </w:tcPr>
          <w:p w14:paraId="5ADF77E0" w14:textId="25B05420"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Instrumentos derivados </w:t>
            </w:r>
          </w:p>
        </w:tc>
        <w:tc>
          <w:tcPr>
            <w:tcW w:w="421" w:type="pct"/>
            <w:tcBorders>
              <w:top w:val="nil"/>
              <w:left w:val="nil"/>
              <w:bottom w:val="nil"/>
              <w:right w:val="nil"/>
            </w:tcBorders>
            <w:shd w:val="clear" w:color="auto" w:fill="auto"/>
            <w:vAlign w:val="center"/>
          </w:tcPr>
          <w:p w14:paraId="4A06A564" w14:textId="789807BE"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3BFD6BBD" w14:textId="05E669B0" w:rsidR="003565A3" w:rsidRPr="008E2E2D" w:rsidRDefault="003565A3" w:rsidP="003565A3">
            <w:pPr>
              <w:jc w:val="right"/>
              <w:rPr>
                <w:rFonts w:ascii="Arial" w:hAnsi="Arial" w:cs="Arial"/>
                <w:sz w:val="16"/>
                <w:szCs w:val="16"/>
              </w:rPr>
            </w:pPr>
            <w:r>
              <w:rPr>
                <w:rFonts w:ascii="Arial" w:hAnsi="Arial" w:cs="Arial"/>
                <w:sz w:val="16"/>
                <w:szCs w:val="16"/>
              </w:rPr>
              <w:t>-</w:t>
            </w:r>
          </w:p>
        </w:tc>
        <w:tc>
          <w:tcPr>
            <w:tcW w:w="925" w:type="pct"/>
            <w:tcBorders>
              <w:top w:val="nil"/>
              <w:left w:val="nil"/>
              <w:bottom w:val="nil"/>
              <w:right w:val="nil"/>
            </w:tcBorders>
            <w:shd w:val="clear" w:color="auto" w:fill="auto"/>
            <w:noWrap/>
            <w:vAlign w:val="center"/>
          </w:tcPr>
          <w:p w14:paraId="7C03BF12" w14:textId="3AA33598" w:rsidR="003565A3" w:rsidRPr="003565A3" w:rsidRDefault="00F22917" w:rsidP="003565A3">
            <w:pPr>
              <w:jc w:val="right"/>
              <w:rPr>
                <w:rFonts w:ascii="Arial" w:hAnsi="Arial" w:cs="Arial"/>
                <w:sz w:val="16"/>
                <w:szCs w:val="16"/>
                <w:lang w:eastAsia="es-AR"/>
              </w:rPr>
            </w:pPr>
            <w:r>
              <w:rPr>
                <w:rFonts w:ascii="Arial" w:hAnsi="Arial" w:cs="Arial"/>
                <w:sz w:val="16"/>
                <w:szCs w:val="16"/>
                <w:lang w:eastAsia="es-AR"/>
              </w:rPr>
              <w:t>-</w:t>
            </w:r>
          </w:p>
        </w:tc>
      </w:tr>
      <w:tr w:rsidR="003565A3" w:rsidRPr="00A6292B" w14:paraId="7BA35AD1" w14:textId="77777777" w:rsidTr="003E487A">
        <w:trPr>
          <w:trHeight w:val="285"/>
        </w:trPr>
        <w:tc>
          <w:tcPr>
            <w:tcW w:w="2815" w:type="pct"/>
            <w:tcBorders>
              <w:top w:val="nil"/>
              <w:left w:val="nil"/>
              <w:bottom w:val="nil"/>
              <w:right w:val="nil"/>
            </w:tcBorders>
            <w:shd w:val="clear" w:color="auto" w:fill="auto"/>
            <w:vAlign w:val="center"/>
            <w:hideMark/>
          </w:tcPr>
          <w:p w14:paraId="781E2DBB" w14:textId="7B6E0618"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Operaciones de pase </w:t>
            </w:r>
          </w:p>
        </w:tc>
        <w:tc>
          <w:tcPr>
            <w:tcW w:w="421" w:type="pct"/>
            <w:tcBorders>
              <w:top w:val="nil"/>
              <w:left w:val="nil"/>
              <w:bottom w:val="nil"/>
              <w:right w:val="nil"/>
            </w:tcBorders>
            <w:shd w:val="clear" w:color="auto" w:fill="auto"/>
            <w:vAlign w:val="center"/>
          </w:tcPr>
          <w:p w14:paraId="38CD5266" w14:textId="067B07C2"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19A9A0CD" w14:textId="1017DB02" w:rsidR="003565A3" w:rsidRPr="008E2E2D" w:rsidRDefault="003565A3" w:rsidP="003565A3">
            <w:pPr>
              <w:jc w:val="right"/>
              <w:rPr>
                <w:rFonts w:ascii="Arial" w:hAnsi="Arial" w:cs="Arial"/>
                <w:sz w:val="16"/>
                <w:szCs w:val="16"/>
              </w:rPr>
            </w:pPr>
            <w:r w:rsidRPr="008E2E2D">
              <w:rPr>
                <w:rFonts w:ascii="Arial" w:hAnsi="Arial" w:cs="Arial"/>
                <w:sz w:val="16"/>
                <w:szCs w:val="16"/>
              </w:rPr>
              <w:t>282.843</w:t>
            </w:r>
          </w:p>
        </w:tc>
        <w:tc>
          <w:tcPr>
            <w:tcW w:w="925" w:type="pct"/>
            <w:tcBorders>
              <w:top w:val="nil"/>
              <w:left w:val="nil"/>
              <w:bottom w:val="nil"/>
              <w:right w:val="nil"/>
            </w:tcBorders>
            <w:shd w:val="clear" w:color="auto" w:fill="auto"/>
            <w:noWrap/>
            <w:vAlign w:val="center"/>
          </w:tcPr>
          <w:p w14:paraId="37DEE973" w14:textId="51EBA371"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259.251</w:t>
            </w:r>
          </w:p>
        </w:tc>
      </w:tr>
      <w:tr w:rsidR="003565A3" w:rsidRPr="00A6292B" w14:paraId="400EA984" w14:textId="77777777" w:rsidTr="003E487A">
        <w:trPr>
          <w:trHeight w:val="285"/>
        </w:trPr>
        <w:tc>
          <w:tcPr>
            <w:tcW w:w="2815" w:type="pct"/>
            <w:tcBorders>
              <w:top w:val="nil"/>
              <w:left w:val="nil"/>
              <w:bottom w:val="nil"/>
              <w:right w:val="nil"/>
            </w:tcBorders>
            <w:shd w:val="clear" w:color="auto" w:fill="auto"/>
            <w:vAlign w:val="center"/>
            <w:hideMark/>
          </w:tcPr>
          <w:p w14:paraId="44E0058D" w14:textId="38E555AC"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Otros pasivos financieros </w:t>
            </w:r>
          </w:p>
        </w:tc>
        <w:tc>
          <w:tcPr>
            <w:tcW w:w="421" w:type="pct"/>
            <w:tcBorders>
              <w:top w:val="nil"/>
              <w:left w:val="nil"/>
              <w:bottom w:val="nil"/>
              <w:right w:val="nil"/>
            </w:tcBorders>
            <w:shd w:val="clear" w:color="auto" w:fill="auto"/>
            <w:vAlign w:val="center"/>
          </w:tcPr>
          <w:p w14:paraId="6141D55A" w14:textId="1C054F91"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2CAF0062" w14:textId="7E399A5D" w:rsidR="003565A3" w:rsidRPr="008E2E2D" w:rsidRDefault="003565A3" w:rsidP="003565A3">
            <w:pPr>
              <w:jc w:val="right"/>
              <w:rPr>
                <w:rFonts w:ascii="Arial" w:hAnsi="Arial" w:cs="Arial"/>
                <w:sz w:val="16"/>
                <w:szCs w:val="16"/>
              </w:rPr>
            </w:pPr>
            <w:r w:rsidRPr="008E2E2D">
              <w:rPr>
                <w:rFonts w:ascii="Arial" w:hAnsi="Arial" w:cs="Arial"/>
                <w:sz w:val="16"/>
                <w:szCs w:val="16"/>
              </w:rPr>
              <w:t>5.813.690</w:t>
            </w:r>
          </w:p>
        </w:tc>
        <w:tc>
          <w:tcPr>
            <w:tcW w:w="925" w:type="pct"/>
            <w:tcBorders>
              <w:top w:val="nil"/>
              <w:left w:val="nil"/>
              <w:bottom w:val="nil"/>
              <w:right w:val="nil"/>
            </w:tcBorders>
            <w:shd w:val="clear" w:color="auto" w:fill="auto"/>
            <w:noWrap/>
            <w:vAlign w:val="center"/>
          </w:tcPr>
          <w:p w14:paraId="35A2C373" w14:textId="57EA140B"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6.559.375</w:t>
            </w:r>
          </w:p>
        </w:tc>
      </w:tr>
      <w:tr w:rsidR="003565A3" w:rsidRPr="00A6292B" w14:paraId="4BB24A29" w14:textId="77777777" w:rsidTr="003E487A">
        <w:trPr>
          <w:trHeight w:val="510"/>
        </w:trPr>
        <w:tc>
          <w:tcPr>
            <w:tcW w:w="2815" w:type="pct"/>
            <w:tcBorders>
              <w:top w:val="nil"/>
              <w:left w:val="nil"/>
              <w:bottom w:val="nil"/>
              <w:right w:val="nil"/>
            </w:tcBorders>
            <w:shd w:val="clear" w:color="auto" w:fill="auto"/>
            <w:vAlign w:val="center"/>
            <w:hideMark/>
          </w:tcPr>
          <w:p w14:paraId="0D8A0838" w14:textId="12CA2D25"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Financiaciones recibidas del BCRA y otras instituciones financieras </w:t>
            </w:r>
          </w:p>
        </w:tc>
        <w:tc>
          <w:tcPr>
            <w:tcW w:w="421" w:type="pct"/>
            <w:tcBorders>
              <w:top w:val="nil"/>
              <w:left w:val="nil"/>
              <w:bottom w:val="nil"/>
              <w:right w:val="nil"/>
            </w:tcBorders>
            <w:shd w:val="clear" w:color="auto" w:fill="auto"/>
            <w:vAlign w:val="center"/>
          </w:tcPr>
          <w:p w14:paraId="036A08F7" w14:textId="3C1D8E00"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4FFBA6D4" w14:textId="02E3DC4C" w:rsidR="003565A3" w:rsidRPr="008E2E2D" w:rsidRDefault="003565A3" w:rsidP="003565A3">
            <w:pPr>
              <w:jc w:val="right"/>
              <w:rPr>
                <w:rFonts w:ascii="Arial" w:hAnsi="Arial" w:cs="Arial"/>
                <w:sz w:val="16"/>
                <w:szCs w:val="16"/>
              </w:rPr>
            </w:pPr>
            <w:r w:rsidRPr="008E2E2D">
              <w:rPr>
                <w:rFonts w:ascii="Arial" w:hAnsi="Arial" w:cs="Arial"/>
                <w:sz w:val="16"/>
                <w:szCs w:val="16"/>
              </w:rPr>
              <w:t>8.051.006</w:t>
            </w:r>
          </w:p>
        </w:tc>
        <w:tc>
          <w:tcPr>
            <w:tcW w:w="925" w:type="pct"/>
            <w:tcBorders>
              <w:top w:val="nil"/>
              <w:left w:val="nil"/>
              <w:bottom w:val="nil"/>
              <w:right w:val="nil"/>
            </w:tcBorders>
            <w:shd w:val="clear" w:color="auto" w:fill="auto"/>
            <w:noWrap/>
            <w:vAlign w:val="center"/>
          </w:tcPr>
          <w:p w14:paraId="15E69D30" w14:textId="4A0FDCB6"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9.714.220</w:t>
            </w:r>
          </w:p>
        </w:tc>
      </w:tr>
      <w:tr w:rsidR="003565A3" w:rsidRPr="00A6292B" w14:paraId="5A803BA0" w14:textId="77777777" w:rsidTr="003E487A">
        <w:trPr>
          <w:trHeight w:val="285"/>
        </w:trPr>
        <w:tc>
          <w:tcPr>
            <w:tcW w:w="2815" w:type="pct"/>
            <w:tcBorders>
              <w:top w:val="nil"/>
              <w:left w:val="nil"/>
              <w:bottom w:val="nil"/>
              <w:right w:val="nil"/>
            </w:tcBorders>
            <w:shd w:val="clear" w:color="auto" w:fill="auto"/>
            <w:vAlign w:val="center"/>
            <w:hideMark/>
          </w:tcPr>
          <w:p w14:paraId="11D3E515" w14:textId="54DD79E1"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Obligaciones negociables emitidas </w:t>
            </w:r>
          </w:p>
        </w:tc>
        <w:tc>
          <w:tcPr>
            <w:tcW w:w="421" w:type="pct"/>
            <w:tcBorders>
              <w:top w:val="nil"/>
              <w:left w:val="nil"/>
              <w:bottom w:val="nil"/>
              <w:right w:val="nil"/>
            </w:tcBorders>
            <w:shd w:val="clear" w:color="auto" w:fill="auto"/>
            <w:vAlign w:val="center"/>
          </w:tcPr>
          <w:p w14:paraId="09081679" w14:textId="6D7EC290" w:rsidR="003565A3" w:rsidRPr="00A6292B" w:rsidRDefault="003565A3" w:rsidP="003565A3">
            <w:pPr>
              <w:jc w:val="center"/>
              <w:rPr>
                <w:rFonts w:ascii="Arial" w:hAnsi="Arial" w:cs="Arial"/>
                <w:sz w:val="16"/>
                <w:szCs w:val="16"/>
                <w:lang w:eastAsia="es-AR"/>
              </w:rPr>
            </w:pPr>
            <w:r>
              <w:rPr>
                <w:rFonts w:ascii="Arial" w:hAnsi="Arial" w:cs="Arial"/>
                <w:sz w:val="16"/>
                <w:szCs w:val="16"/>
                <w:lang w:eastAsia="es-AR"/>
              </w:rPr>
              <w:t>9.8</w:t>
            </w:r>
          </w:p>
        </w:tc>
        <w:tc>
          <w:tcPr>
            <w:tcW w:w="839" w:type="pct"/>
            <w:tcBorders>
              <w:top w:val="nil"/>
              <w:left w:val="nil"/>
              <w:bottom w:val="nil"/>
              <w:right w:val="nil"/>
            </w:tcBorders>
            <w:vAlign w:val="center"/>
          </w:tcPr>
          <w:p w14:paraId="0CC8FEE7" w14:textId="7A87027C" w:rsidR="003565A3" w:rsidRPr="008E2E2D" w:rsidRDefault="003565A3" w:rsidP="003565A3">
            <w:pPr>
              <w:jc w:val="right"/>
              <w:rPr>
                <w:rFonts w:ascii="Arial" w:hAnsi="Arial" w:cs="Arial"/>
                <w:sz w:val="16"/>
                <w:szCs w:val="16"/>
              </w:rPr>
            </w:pPr>
            <w:r w:rsidRPr="008E2E2D">
              <w:rPr>
                <w:rFonts w:ascii="Arial" w:hAnsi="Arial" w:cs="Arial"/>
                <w:sz w:val="16"/>
                <w:szCs w:val="16"/>
              </w:rPr>
              <w:t>4.170.559</w:t>
            </w:r>
          </w:p>
        </w:tc>
        <w:tc>
          <w:tcPr>
            <w:tcW w:w="925" w:type="pct"/>
            <w:tcBorders>
              <w:top w:val="nil"/>
              <w:left w:val="nil"/>
              <w:bottom w:val="nil"/>
              <w:right w:val="nil"/>
            </w:tcBorders>
            <w:shd w:val="clear" w:color="auto" w:fill="auto"/>
            <w:noWrap/>
            <w:vAlign w:val="center"/>
          </w:tcPr>
          <w:p w14:paraId="1652CA25" w14:textId="5D930F7A"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6.544.450</w:t>
            </w:r>
          </w:p>
        </w:tc>
      </w:tr>
      <w:tr w:rsidR="003565A3" w:rsidRPr="00A6292B" w14:paraId="4A8A2BED" w14:textId="77777777" w:rsidTr="003E487A">
        <w:trPr>
          <w:trHeight w:val="285"/>
        </w:trPr>
        <w:tc>
          <w:tcPr>
            <w:tcW w:w="2815" w:type="pct"/>
            <w:tcBorders>
              <w:top w:val="nil"/>
              <w:left w:val="nil"/>
              <w:bottom w:val="nil"/>
              <w:right w:val="nil"/>
            </w:tcBorders>
            <w:shd w:val="clear" w:color="auto" w:fill="auto"/>
            <w:vAlign w:val="center"/>
            <w:hideMark/>
          </w:tcPr>
          <w:p w14:paraId="047C4F10" w14:textId="5A01FFF9"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Pasivo impuestos a las ganancias corriente</w:t>
            </w:r>
          </w:p>
        </w:tc>
        <w:tc>
          <w:tcPr>
            <w:tcW w:w="421" w:type="pct"/>
            <w:tcBorders>
              <w:top w:val="nil"/>
              <w:left w:val="nil"/>
              <w:bottom w:val="nil"/>
              <w:right w:val="nil"/>
            </w:tcBorders>
            <w:shd w:val="clear" w:color="auto" w:fill="auto"/>
            <w:vAlign w:val="center"/>
          </w:tcPr>
          <w:p w14:paraId="2FF1DC8D" w14:textId="50878508"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716B4691" w14:textId="287735B4" w:rsidR="003565A3" w:rsidRPr="008E2E2D" w:rsidRDefault="003565A3" w:rsidP="003565A3">
            <w:pPr>
              <w:jc w:val="right"/>
              <w:rPr>
                <w:rFonts w:ascii="Arial" w:hAnsi="Arial" w:cs="Arial"/>
                <w:sz w:val="16"/>
                <w:szCs w:val="16"/>
              </w:rPr>
            </w:pPr>
            <w:r w:rsidRPr="008E2E2D">
              <w:rPr>
                <w:rFonts w:ascii="Arial" w:hAnsi="Arial" w:cs="Arial"/>
                <w:sz w:val="16"/>
                <w:szCs w:val="16"/>
              </w:rPr>
              <w:t>421.427</w:t>
            </w:r>
          </w:p>
        </w:tc>
        <w:tc>
          <w:tcPr>
            <w:tcW w:w="925" w:type="pct"/>
            <w:tcBorders>
              <w:top w:val="nil"/>
              <w:left w:val="nil"/>
              <w:bottom w:val="nil"/>
              <w:right w:val="nil"/>
            </w:tcBorders>
            <w:shd w:val="clear" w:color="auto" w:fill="auto"/>
            <w:noWrap/>
            <w:vAlign w:val="center"/>
          </w:tcPr>
          <w:p w14:paraId="6CA6C87D" w14:textId="6DC5A198"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180.692</w:t>
            </w:r>
          </w:p>
        </w:tc>
      </w:tr>
      <w:tr w:rsidR="003565A3" w:rsidRPr="00A6292B" w14:paraId="0E501F5F" w14:textId="77777777" w:rsidTr="003E487A">
        <w:trPr>
          <w:trHeight w:val="285"/>
        </w:trPr>
        <w:tc>
          <w:tcPr>
            <w:tcW w:w="2815" w:type="pct"/>
            <w:tcBorders>
              <w:top w:val="nil"/>
              <w:left w:val="nil"/>
              <w:bottom w:val="nil"/>
              <w:right w:val="nil"/>
            </w:tcBorders>
            <w:shd w:val="clear" w:color="auto" w:fill="auto"/>
            <w:vAlign w:val="center"/>
            <w:hideMark/>
          </w:tcPr>
          <w:p w14:paraId="31C3F7FE" w14:textId="7A075DF8"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Obligaciones negociables subordinadas </w:t>
            </w:r>
          </w:p>
        </w:tc>
        <w:tc>
          <w:tcPr>
            <w:tcW w:w="421" w:type="pct"/>
            <w:tcBorders>
              <w:top w:val="nil"/>
              <w:left w:val="nil"/>
              <w:bottom w:val="nil"/>
              <w:right w:val="nil"/>
            </w:tcBorders>
            <w:shd w:val="clear" w:color="auto" w:fill="auto"/>
            <w:vAlign w:val="center"/>
          </w:tcPr>
          <w:p w14:paraId="460D9D65" w14:textId="32FB0899" w:rsidR="003565A3" w:rsidRPr="00A6292B" w:rsidRDefault="003565A3" w:rsidP="003565A3">
            <w:pPr>
              <w:jc w:val="center"/>
              <w:rPr>
                <w:rFonts w:ascii="Arial" w:hAnsi="Arial" w:cs="Arial"/>
                <w:sz w:val="16"/>
                <w:szCs w:val="16"/>
                <w:lang w:eastAsia="es-AR"/>
              </w:rPr>
            </w:pPr>
            <w:r>
              <w:rPr>
                <w:rFonts w:ascii="Arial" w:hAnsi="Arial" w:cs="Arial"/>
                <w:sz w:val="16"/>
                <w:szCs w:val="16"/>
                <w:lang w:eastAsia="es-AR"/>
              </w:rPr>
              <w:t>9.8</w:t>
            </w:r>
          </w:p>
        </w:tc>
        <w:tc>
          <w:tcPr>
            <w:tcW w:w="839" w:type="pct"/>
            <w:tcBorders>
              <w:top w:val="nil"/>
              <w:left w:val="nil"/>
              <w:bottom w:val="nil"/>
              <w:right w:val="nil"/>
            </w:tcBorders>
            <w:vAlign w:val="center"/>
          </w:tcPr>
          <w:p w14:paraId="167E6670" w14:textId="0053FF1B" w:rsidR="003565A3" w:rsidRPr="008E2E2D" w:rsidRDefault="003565A3" w:rsidP="003565A3">
            <w:pPr>
              <w:jc w:val="right"/>
              <w:rPr>
                <w:rFonts w:ascii="Arial" w:hAnsi="Arial" w:cs="Arial"/>
                <w:sz w:val="16"/>
                <w:szCs w:val="16"/>
              </w:rPr>
            </w:pPr>
            <w:r w:rsidRPr="008E2E2D">
              <w:rPr>
                <w:rFonts w:ascii="Arial" w:hAnsi="Arial" w:cs="Arial"/>
                <w:sz w:val="16"/>
                <w:szCs w:val="16"/>
              </w:rPr>
              <w:t>1.911.457</w:t>
            </w:r>
          </w:p>
        </w:tc>
        <w:tc>
          <w:tcPr>
            <w:tcW w:w="925" w:type="pct"/>
            <w:tcBorders>
              <w:top w:val="nil"/>
              <w:left w:val="nil"/>
              <w:bottom w:val="nil"/>
              <w:right w:val="nil"/>
            </w:tcBorders>
            <w:shd w:val="clear" w:color="auto" w:fill="auto"/>
            <w:noWrap/>
            <w:vAlign w:val="center"/>
          </w:tcPr>
          <w:p w14:paraId="135C0888" w14:textId="51D54219"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2.285.239</w:t>
            </w:r>
          </w:p>
        </w:tc>
      </w:tr>
      <w:tr w:rsidR="003565A3" w:rsidRPr="00A6292B" w14:paraId="78CC24FC" w14:textId="77777777" w:rsidTr="003E487A">
        <w:trPr>
          <w:trHeight w:val="285"/>
        </w:trPr>
        <w:tc>
          <w:tcPr>
            <w:tcW w:w="2815" w:type="pct"/>
            <w:tcBorders>
              <w:top w:val="nil"/>
              <w:left w:val="nil"/>
              <w:bottom w:val="nil"/>
              <w:right w:val="nil"/>
            </w:tcBorders>
            <w:shd w:val="clear" w:color="auto" w:fill="auto"/>
            <w:vAlign w:val="center"/>
            <w:hideMark/>
          </w:tcPr>
          <w:p w14:paraId="32D0317D" w14:textId="77777777"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 xml:space="preserve">Provisiones </w:t>
            </w:r>
            <w:r w:rsidRPr="00A6292B">
              <w:rPr>
                <w:rFonts w:ascii="Arial" w:hAnsi="Arial" w:cs="Arial"/>
                <w:b/>
                <w:bCs/>
                <w:sz w:val="16"/>
                <w:szCs w:val="16"/>
                <w:lang w:eastAsia="es-AR"/>
              </w:rPr>
              <w:t>(Anexo J)</w:t>
            </w:r>
          </w:p>
        </w:tc>
        <w:tc>
          <w:tcPr>
            <w:tcW w:w="421" w:type="pct"/>
            <w:tcBorders>
              <w:top w:val="nil"/>
              <w:left w:val="nil"/>
              <w:bottom w:val="nil"/>
              <w:right w:val="nil"/>
            </w:tcBorders>
            <w:shd w:val="clear" w:color="auto" w:fill="auto"/>
            <w:vAlign w:val="center"/>
          </w:tcPr>
          <w:p w14:paraId="7807682A" w14:textId="0D276897"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6D077909" w14:textId="316E5194" w:rsidR="003565A3" w:rsidRPr="008E2E2D" w:rsidRDefault="003565A3" w:rsidP="003565A3">
            <w:pPr>
              <w:jc w:val="right"/>
              <w:rPr>
                <w:rFonts w:ascii="Arial" w:hAnsi="Arial" w:cs="Arial"/>
                <w:sz w:val="16"/>
                <w:szCs w:val="16"/>
              </w:rPr>
            </w:pPr>
            <w:r w:rsidRPr="008E2E2D">
              <w:rPr>
                <w:rFonts w:ascii="Arial" w:hAnsi="Arial" w:cs="Arial"/>
                <w:sz w:val="16"/>
                <w:szCs w:val="16"/>
              </w:rPr>
              <w:t>411.547</w:t>
            </w:r>
          </w:p>
        </w:tc>
        <w:tc>
          <w:tcPr>
            <w:tcW w:w="925" w:type="pct"/>
            <w:tcBorders>
              <w:top w:val="nil"/>
              <w:left w:val="nil"/>
              <w:bottom w:val="nil"/>
              <w:right w:val="nil"/>
            </w:tcBorders>
            <w:shd w:val="clear" w:color="auto" w:fill="auto"/>
            <w:noWrap/>
            <w:vAlign w:val="center"/>
          </w:tcPr>
          <w:p w14:paraId="4F3418B4" w14:textId="7D5598E9"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597.102</w:t>
            </w:r>
          </w:p>
        </w:tc>
      </w:tr>
      <w:tr w:rsidR="003565A3" w:rsidRPr="00A6292B" w14:paraId="5CABFB48" w14:textId="77777777" w:rsidTr="003E487A">
        <w:trPr>
          <w:trHeight w:val="285"/>
        </w:trPr>
        <w:tc>
          <w:tcPr>
            <w:tcW w:w="2815" w:type="pct"/>
            <w:tcBorders>
              <w:top w:val="nil"/>
              <w:left w:val="nil"/>
              <w:bottom w:val="nil"/>
              <w:right w:val="nil"/>
            </w:tcBorders>
            <w:shd w:val="clear" w:color="auto" w:fill="auto"/>
            <w:vAlign w:val="center"/>
          </w:tcPr>
          <w:p w14:paraId="62E9BAFF" w14:textId="303597BA" w:rsidR="003565A3" w:rsidRPr="00A6292B" w:rsidRDefault="003565A3" w:rsidP="003565A3">
            <w:pPr>
              <w:rPr>
                <w:rFonts w:ascii="Arial" w:hAnsi="Arial" w:cs="Arial"/>
                <w:sz w:val="16"/>
                <w:szCs w:val="16"/>
                <w:lang w:eastAsia="es-AR"/>
              </w:rPr>
            </w:pPr>
            <w:r w:rsidRPr="008E2E2D">
              <w:rPr>
                <w:rFonts w:ascii="Arial" w:hAnsi="Arial" w:cs="Arial"/>
                <w:sz w:val="16"/>
                <w:szCs w:val="16"/>
                <w:lang w:eastAsia="es-AR"/>
              </w:rPr>
              <w:t>Pasivo por impuestos a las ganancias diferido</w:t>
            </w:r>
          </w:p>
        </w:tc>
        <w:tc>
          <w:tcPr>
            <w:tcW w:w="421" w:type="pct"/>
            <w:tcBorders>
              <w:top w:val="nil"/>
              <w:left w:val="nil"/>
              <w:bottom w:val="nil"/>
              <w:right w:val="nil"/>
            </w:tcBorders>
            <w:shd w:val="clear" w:color="auto" w:fill="auto"/>
            <w:vAlign w:val="center"/>
          </w:tcPr>
          <w:p w14:paraId="3BB7B56F" w14:textId="77777777"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11B83347" w14:textId="703C5908" w:rsidR="003565A3" w:rsidRPr="008E2E2D" w:rsidRDefault="003565A3" w:rsidP="003565A3">
            <w:pPr>
              <w:jc w:val="right"/>
              <w:rPr>
                <w:rFonts w:ascii="Arial" w:hAnsi="Arial" w:cs="Arial"/>
                <w:sz w:val="16"/>
                <w:szCs w:val="16"/>
              </w:rPr>
            </w:pPr>
            <w:r w:rsidRPr="008E2E2D">
              <w:rPr>
                <w:rFonts w:ascii="Arial" w:hAnsi="Arial" w:cs="Arial"/>
                <w:sz w:val="16"/>
                <w:szCs w:val="16"/>
              </w:rPr>
              <w:t>912</w:t>
            </w:r>
          </w:p>
        </w:tc>
        <w:tc>
          <w:tcPr>
            <w:tcW w:w="925" w:type="pct"/>
            <w:tcBorders>
              <w:top w:val="nil"/>
              <w:left w:val="nil"/>
              <w:bottom w:val="nil"/>
              <w:right w:val="nil"/>
            </w:tcBorders>
            <w:shd w:val="clear" w:color="auto" w:fill="auto"/>
            <w:noWrap/>
            <w:vAlign w:val="center"/>
          </w:tcPr>
          <w:p w14:paraId="6293D700" w14:textId="7A23E4C4" w:rsidR="003565A3" w:rsidRPr="003565A3" w:rsidRDefault="003565A3" w:rsidP="003565A3">
            <w:pPr>
              <w:jc w:val="right"/>
              <w:rPr>
                <w:rFonts w:ascii="Arial" w:hAnsi="Arial" w:cs="Arial"/>
                <w:sz w:val="16"/>
                <w:szCs w:val="16"/>
                <w:lang w:eastAsia="es-AR"/>
              </w:rPr>
            </w:pPr>
            <w:r>
              <w:rPr>
                <w:rFonts w:ascii="Arial" w:hAnsi="Arial" w:cs="Arial"/>
                <w:sz w:val="16"/>
                <w:szCs w:val="16"/>
                <w:lang w:eastAsia="es-AR"/>
              </w:rPr>
              <w:t>-</w:t>
            </w:r>
          </w:p>
        </w:tc>
      </w:tr>
      <w:tr w:rsidR="003565A3" w:rsidRPr="00A6292B" w14:paraId="59895A6A" w14:textId="77777777" w:rsidTr="003E487A">
        <w:trPr>
          <w:trHeight w:val="285"/>
        </w:trPr>
        <w:tc>
          <w:tcPr>
            <w:tcW w:w="2815" w:type="pct"/>
            <w:tcBorders>
              <w:top w:val="nil"/>
              <w:left w:val="nil"/>
              <w:bottom w:val="nil"/>
              <w:right w:val="nil"/>
            </w:tcBorders>
            <w:shd w:val="clear" w:color="auto" w:fill="auto"/>
            <w:vAlign w:val="center"/>
            <w:hideMark/>
          </w:tcPr>
          <w:p w14:paraId="5587CE59" w14:textId="77777777" w:rsidR="003565A3" w:rsidRPr="00A6292B" w:rsidRDefault="003565A3" w:rsidP="003565A3">
            <w:pPr>
              <w:rPr>
                <w:rFonts w:ascii="Arial" w:hAnsi="Arial" w:cs="Arial"/>
                <w:sz w:val="16"/>
                <w:szCs w:val="16"/>
                <w:lang w:eastAsia="es-AR"/>
              </w:rPr>
            </w:pPr>
            <w:r w:rsidRPr="00A6292B">
              <w:rPr>
                <w:rFonts w:ascii="Arial" w:hAnsi="Arial" w:cs="Arial"/>
                <w:sz w:val="16"/>
                <w:szCs w:val="16"/>
                <w:lang w:eastAsia="es-AR"/>
              </w:rPr>
              <w:t>Otros pasivos no financieros</w:t>
            </w:r>
          </w:p>
        </w:tc>
        <w:tc>
          <w:tcPr>
            <w:tcW w:w="421" w:type="pct"/>
            <w:tcBorders>
              <w:top w:val="nil"/>
              <w:left w:val="nil"/>
              <w:bottom w:val="nil"/>
              <w:right w:val="nil"/>
            </w:tcBorders>
            <w:shd w:val="clear" w:color="auto" w:fill="auto"/>
            <w:vAlign w:val="center"/>
          </w:tcPr>
          <w:p w14:paraId="56040A37" w14:textId="3898A0A1" w:rsidR="003565A3" w:rsidRPr="00A6292B" w:rsidRDefault="003565A3" w:rsidP="003565A3">
            <w:pPr>
              <w:jc w:val="center"/>
              <w:rPr>
                <w:rFonts w:ascii="Arial" w:hAnsi="Arial" w:cs="Arial"/>
                <w:sz w:val="16"/>
                <w:szCs w:val="16"/>
                <w:lang w:eastAsia="es-AR"/>
              </w:rPr>
            </w:pPr>
          </w:p>
        </w:tc>
        <w:tc>
          <w:tcPr>
            <w:tcW w:w="839" w:type="pct"/>
            <w:tcBorders>
              <w:top w:val="nil"/>
              <w:left w:val="nil"/>
              <w:bottom w:val="nil"/>
              <w:right w:val="nil"/>
            </w:tcBorders>
            <w:vAlign w:val="center"/>
          </w:tcPr>
          <w:p w14:paraId="73F289FA" w14:textId="56306DF5" w:rsidR="003565A3" w:rsidRPr="008E2E2D" w:rsidRDefault="003565A3" w:rsidP="003565A3">
            <w:pPr>
              <w:jc w:val="right"/>
              <w:rPr>
                <w:rFonts w:ascii="Arial" w:hAnsi="Arial" w:cs="Arial"/>
                <w:sz w:val="16"/>
                <w:szCs w:val="16"/>
              </w:rPr>
            </w:pPr>
            <w:r w:rsidRPr="008E2E2D">
              <w:rPr>
                <w:rFonts w:ascii="Arial" w:hAnsi="Arial" w:cs="Arial"/>
                <w:sz w:val="16"/>
                <w:szCs w:val="16"/>
              </w:rPr>
              <w:t>6.495.978</w:t>
            </w:r>
          </w:p>
        </w:tc>
        <w:tc>
          <w:tcPr>
            <w:tcW w:w="925" w:type="pct"/>
            <w:tcBorders>
              <w:top w:val="nil"/>
              <w:left w:val="nil"/>
              <w:bottom w:val="nil"/>
              <w:right w:val="nil"/>
            </w:tcBorders>
            <w:shd w:val="clear" w:color="auto" w:fill="auto"/>
            <w:noWrap/>
            <w:vAlign w:val="center"/>
          </w:tcPr>
          <w:p w14:paraId="7408D0AB" w14:textId="1B923B93"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6.871.129</w:t>
            </w:r>
          </w:p>
        </w:tc>
      </w:tr>
      <w:tr w:rsidR="003565A3" w:rsidRPr="00A6292B" w14:paraId="1A4AC199" w14:textId="77777777" w:rsidTr="003E487A">
        <w:trPr>
          <w:trHeight w:val="285"/>
        </w:trPr>
        <w:tc>
          <w:tcPr>
            <w:tcW w:w="2815" w:type="pct"/>
            <w:tcBorders>
              <w:top w:val="nil"/>
              <w:left w:val="nil"/>
              <w:bottom w:val="nil"/>
              <w:right w:val="nil"/>
            </w:tcBorders>
            <w:shd w:val="clear" w:color="auto" w:fill="auto"/>
            <w:vAlign w:val="center"/>
            <w:hideMark/>
          </w:tcPr>
          <w:p w14:paraId="055E8295" w14:textId="77777777" w:rsidR="003565A3" w:rsidRPr="00A6292B" w:rsidRDefault="003565A3" w:rsidP="003565A3">
            <w:pPr>
              <w:rPr>
                <w:rFonts w:ascii="Arial" w:hAnsi="Arial" w:cs="Arial"/>
                <w:b/>
                <w:bCs/>
                <w:sz w:val="16"/>
                <w:szCs w:val="16"/>
                <w:lang w:eastAsia="es-AR"/>
              </w:rPr>
            </w:pPr>
            <w:r w:rsidRPr="00A6292B">
              <w:rPr>
                <w:rFonts w:ascii="Arial" w:hAnsi="Arial" w:cs="Arial"/>
                <w:b/>
                <w:bCs/>
                <w:sz w:val="16"/>
                <w:szCs w:val="16"/>
                <w:lang w:eastAsia="es-AR"/>
              </w:rPr>
              <w:t>TOTAL DEL PASIVO</w:t>
            </w:r>
          </w:p>
        </w:tc>
        <w:tc>
          <w:tcPr>
            <w:tcW w:w="421" w:type="pct"/>
            <w:tcBorders>
              <w:top w:val="nil"/>
              <w:left w:val="nil"/>
              <w:bottom w:val="nil"/>
              <w:right w:val="nil"/>
            </w:tcBorders>
            <w:shd w:val="clear" w:color="auto" w:fill="auto"/>
            <w:vAlign w:val="center"/>
            <w:hideMark/>
          </w:tcPr>
          <w:p w14:paraId="15C4468E" w14:textId="77777777" w:rsidR="003565A3" w:rsidRPr="00A6292B" w:rsidRDefault="003565A3" w:rsidP="003565A3">
            <w:pPr>
              <w:jc w:val="center"/>
              <w:rPr>
                <w:rFonts w:ascii="Arial" w:hAnsi="Arial" w:cs="Arial"/>
                <w:b/>
                <w:bCs/>
                <w:sz w:val="16"/>
                <w:szCs w:val="16"/>
                <w:lang w:eastAsia="es-AR"/>
              </w:rPr>
            </w:pPr>
          </w:p>
        </w:tc>
        <w:tc>
          <w:tcPr>
            <w:tcW w:w="839" w:type="pct"/>
            <w:tcBorders>
              <w:top w:val="single" w:sz="4" w:space="0" w:color="auto"/>
              <w:left w:val="nil"/>
              <w:bottom w:val="nil"/>
              <w:right w:val="nil"/>
            </w:tcBorders>
            <w:vAlign w:val="center"/>
          </w:tcPr>
          <w:p w14:paraId="4A321D68" w14:textId="1AF73922" w:rsidR="003565A3" w:rsidRPr="000C1442" w:rsidRDefault="003565A3" w:rsidP="003565A3">
            <w:pPr>
              <w:jc w:val="right"/>
              <w:rPr>
                <w:rFonts w:ascii="Arial" w:hAnsi="Arial" w:cs="Arial"/>
                <w:b/>
                <w:bCs/>
                <w:sz w:val="16"/>
                <w:szCs w:val="16"/>
              </w:rPr>
            </w:pPr>
            <w:r w:rsidRPr="000C1442">
              <w:rPr>
                <w:rFonts w:ascii="Arial" w:hAnsi="Arial" w:cs="Arial"/>
                <w:b/>
                <w:bCs/>
                <w:sz w:val="16"/>
                <w:szCs w:val="16"/>
              </w:rPr>
              <w:t>164.960.459</w:t>
            </w:r>
          </w:p>
        </w:tc>
        <w:tc>
          <w:tcPr>
            <w:tcW w:w="925" w:type="pct"/>
            <w:tcBorders>
              <w:top w:val="single" w:sz="4" w:space="0" w:color="auto"/>
              <w:left w:val="nil"/>
              <w:bottom w:val="nil"/>
              <w:right w:val="nil"/>
            </w:tcBorders>
            <w:shd w:val="clear" w:color="auto" w:fill="auto"/>
            <w:noWrap/>
            <w:vAlign w:val="center"/>
          </w:tcPr>
          <w:p w14:paraId="25D36072" w14:textId="54044A2C" w:rsidR="003565A3" w:rsidRPr="003565A3" w:rsidRDefault="003565A3" w:rsidP="003565A3">
            <w:pPr>
              <w:jc w:val="right"/>
              <w:rPr>
                <w:rFonts w:ascii="Arial" w:hAnsi="Arial" w:cs="Arial"/>
                <w:b/>
                <w:bCs/>
                <w:sz w:val="16"/>
                <w:szCs w:val="16"/>
                <w:lang w:eastAsia="es-AR"/>
              </w:rPr>
            </w:pPr>
            <w:r w:rsidRPr="003565A3">
              <w:rPr>
                <w:rFonts w:ascii="Arial" w:hAnsi="Arial" w:cs="Arial"/>
                <w:b/>
                <w:bCs/>
                <w:sz w:val="16"/>
                <w:szCs w:val="16"/>
              </w:rPr>
              <w:t>129.891.714</w:t>
            </w:r>
          </w:p>
        </w:tc>
      </w:tr>
      <w:tr w:rsidR="003E487A" w:rsidRPr="00A6292B" w14:paraId="70AD46D0" w14:textId="77777777" w:rsidTr="003E487A">
        <w:trPr>
          <w:trHeight w:val="80"/>
        </w:trPr>
        <w:tc>
          <w:tcPr>
            <w:tcW w:w="2815" w:type="pct"/>
            <w:tcBorders>
              <w:top w:val="nil"/>
              <w:left w:val="nil"/>
              <w:bottom w:val="nil"/>
              <w:right w:val="nil"/>
            </w:tcBorders>
            <w:shd w:val="clear" w:color="auto" w:fill="auto"/>
            <w:hideMark/>
          </w:tcPr>
          <w:p w14:paraId="40F1C553" w14:textId="77777777" w:rsidR="003E487A" w:rsidRPr="00A6292B" w:rsidRDefault="003E487A" w:rsidP="003E487A">
            <w:pPr>
              <w:rPr>
                <w:rFonts w:ascii="Arial" w:hAnsi="Arial" w:cs="Arial"/>
                <w:b/>
                <w:bCs/>
                <w:sz w:val="10"/>
                <w:szCs w:val="10"/>
                <w:lang w:eastAsia="es-AR"/>
              </w:rPr>
            </w:pPr>
          </w:p>
        </w:tc>
        <w:tc>
          <w:tcPr>
            <w:tcW w:w="421" w:type="pct"/>
            <w:tcBorders>
              <w:top w:val="nil"/>
              <w:left w:val="nil"/>
              <w:bottom w:val="nil"/>
              <w:right w:val="nil"/>
            </w:tcBorders>
            <w:shd w:val="clear" w:color="auto" w:fill="auto"/>
            <w:vAlign w:val="center"/>
            <w:hideMark/>
          </w:tcPr>
          <w:p w14:paraId="162BEA94" w14:textId="77777777" w:rsidR="003E487A" w:rsidRPr="00A6292B" w:rsidRDefault="003E487A" w:rsidP="003E487A">
            <w:pPr>
              <w:jc w:val="center"/>
              <w:rPr>
                <w:rFonts w:ascii="Arial" w:hAnsi="Arial" w:cs="Arial"/>
                <w:sz w:val="10"/>
                <w:szCs w:val="10"/>
                <w:lang w:eastAsia="es-AR"/>
              </w:rPr>
            </w:pPr>
          </w:p>
        </w:tc>
        <w:tc>
          <w:tcPr>
            <w:tcW w:w="839" w:type="pct"/>
            <w:tcBorders>
              <w:top w:val="nil"/>
              <w:left w:val="nil"/>
              <w:bottom w:val="nil"/>
              <w:right w:val="nil"/>
            </w:tcBorders>
            <w:vAlign w:val="center"/>
          </w:tcPr>
          <w:p w14:paraId="0FF9E5D8" w14:textId="77777777" w:rsidR="003E487A" w:rsidRPr="003E487A" w:rsidRDefault="003E487A" w:rsidP="003E487A">
            <w:pPr>
              <w:jc w:val="right"/>
              <w:rPr>
                <w:rFonts w:ascii="Arial" w:hAnsi="Arial" w:cs="Arial"/>
                <w:b/>
                <w:sz w:val="16"/>
                <w:szCs w:val="16"/>
                <w:lang w:eastAsia="es-AR"/>
              </w:rPr>
            </w:pPr>
          </w:p>
        </w:tc>
        <w:tc>
          <w:tcPr>
            <w:tcW w:w="925" w:type="pct"/>
            <w:tcBorders>
              <w:top w:val="nil"/>
              <w:left w:val="nil"/>
              <w:bottom w:val="nil"/>
              <w:right w:val="nil"/>
            </w:tcBorders>
            <w:shd w:val="clear" w:color="auto" w:fill="auto"/>
            <w:noWrap/>
            <w:vAlign w:val="center"/>
          </w:tcPr>
          <w:p w14:paraId="2DD2F90C" w14:textId="7F9EF3BF" w:rsidR="003E487A" w:rsidRPr="002E1AEA" w:rsidRDefault="003E487A" w:rsidP="003E487A">
            <w:pPr>
              <w:jc w:val="right"/>
              <w:rPr>
                <w:rFonts w:ascii="Arial" w:hAnsi="Arial" w:cs="Arial"/>
                <w:sz w:val="16"/>
                <w:szCs w:val="16"/>
                <w:lang w:eastAsia="es-AR"/>
              </w:rPr>
            </w:pPr>
          </w:p>
        </w:tc>
      </w:tr>
      <w:tr w:rsidR="003E487A" w:rsidRPr="00A6292B" w14:paraId="15493709" w14:textId="77777777" w:rsidTr="003E487A">
        <w:trPr>
          <w:trHeight w:val="285"/>
        </w:trPr>
        <w:tc>
          <w:tcPr>
            <w:tcW w:w="2815" w:type="pct"/>
            <w:tcBorders>
              <w:top w:val="nil"/>
              <w:left w:val="nil"/>
              <w:bottom w:val="nil"/>
              <w:right w:val="nil"/>
            </w:tcBorders>
            <w:shd w:val="clear" w:color="auto" w:fill="auto"/>
            <w:hideMark/>
          </w:tcPr>
          <w:p w14:paraId="428296B1" w14:textId="638599D7" w:rsidR="003E487A" w:rsidRPr="00A6292B" w:rsidRDefault="003E487A" w:rsidP="003E487A">
            <w:pPr>
              <w:rPr>
                <w:rFonts w:ascii="Arial" w:hAnsi="Arial" w:cs="Arial"/>
                <w:b/>
                <w:bCs/>
                <w:sz w:val="16"/>
                <w:szCs w:val="16"/>
                <w:lang w:eastAsia="es-AR"/>
              </w:rPr>
            </w:pPr>
            <w:r w:rsidRPr="00A6292B">
              <w:rPr>
                <w:rFonts w:ascii="Arial" w:hAnsi="Arial" w:cs="Arial"/>
                <w:b/>
                <w:bCs/>
                <w:sz w:val="16"/>
                <w:szCs w:val="16"/>
                <w:lang w:eastAsia="es-AR"/>
              </w:rPr>
              <w:t>PATRIMONIO NETO (Según estado respectivo)</w:t>
            </w:r>
          </w:p>
        </w:tc>
        <w:tc>
          <w:tcPr>
            <w:tcW w:w="421" w:type="pct"/>
            <w:tcBorders>
              <w:top w:val="nil"/>
              <w:left w:val="nil"/>
              <w:bottom w:val="nil"/>
              <w:right w:val="nil"/>
            </w:tcBorders>
            <w:shd w:val="clear" w:color="auto" w:fill="auto"/>
            <w:vAlign w:val="center"/>
            <w:hideMark/>
          </w:tcPr>
          <w:p w14:paraId="26DBEB54" w14:textId="77777777" w:rsidR="003E487A" w:rsidRPr="00A6292B" w:rsidRDefault="003E487A" w:rsidP="003E487A">
            <w:pPr>
              <w:jc w:val="center"/>
              <w:rPr>
                <w:rFonts w:ascii="Arial" w:hAnsi="Arial" w:cs="Arial"/>
                <w:b/>
                <w:bCs/>
                <w:sz w:val="16"/>
                <w:szCs w:val="16"/>
                <w:lang w:eastAsia="es-AR"/>
              </w:rPr>
            </w:pPr>
          </w:p>
        </w:tc>
        <w:tc>
          <w:tcPr>
            <w:tcW w:w="839" w:type="pct"/>
            <w:tcBorders>
              <w:top w:val="nil"/>
              <w:left w:val="nil"/>
              <w:bottom w:val="nil"/>
              <w:right w:val="nil"/>
            </w:tcBorders>
            <w:vAlign w:val="center"/>
          </w:tcPr>
          <w:p w14:paraId="0F33D166" w14:textId="77777777" w:rsidR="003E487A" w:rsidRPr="003E487A" w:rsidRDefault="003E487A" w:rsidP="003E487A">
            <w:pPr>
              <w:jc w:val="right"/>
              <w:rPr>
                <w:rFonts w:ascii="Arial" w:hAnsi="Arial" w:cs="Arial"/>
                <w:sz w:val="16"/>
                <w:szCs w:val="16"/>
                <w:lang w:eastAsia="es-AR"/>
              </w:rPr>
            </w:pPr>
          </w:p>
        </w:tc>
        <w:tc>
          <w:tcPr>
            <w:tcW w:w="925" w:type="pct"/>
            <w:tcBorders>
              <w:top w:val="nil"/>
              <w:left w:val="nil"/>
              <w:bottom w:val="nil"/>
              <w:right w:val="nil"/>
            </w:tcBorders>
            <w:shd w:val="clear" w:color="auto" w:fill="auto"/>
            <w:noWrap/>
            <w:vAlign w:val="center"/>
          </w:tcPr>
          <w:p w14:paraId="5DDFC5FD" w14:textId="00F341E6" w:rsidR="003E487A" w:rsidRPr="002E1AEA" w:rsidRDefault="003E487A" w:rsidP="003E487A">
            <w:pPr>
              <w:jc w:val="right"/>
              <w:rPr>
                <w:rFonts w:ascii="Arial" w:hAnsi="Arial" w:cs="Arial"/>
                <w:sz w:val="16"/>
                <w:szCs w:val="16"/>
                <w:lang w:eastAsia="es-AR"/>
              </w:rPr>
            </w:pPr>
          </w:p>
        </w:tc>
      </w:tr>
      <w:tr w:rsidR="003565A3" w:rsidRPr="00A6292B" w14:paraId="155AC4B0" w14:textId="77777777" w:rsidTr="003E487A">
        <w:trPr>
          <w:trHeight w:val="285"/>
        </w:trPr>
        <w:tc>
          <w:tcPr>
            <w:tcW w:w="2815" w:type="pct"/>
            <w:tcBorders>
              <w:top w:val="nil"/>
              <w:left w:val="nil"/>
              <w:bottom w:val="nil"/>
              <w:right w:val="nil"/>
            </w:tcBorders>
            <w:shd w:val="clear" w:color="auto" w:fill="auto"/>
            <w:vAlign w:val="center"/>
            <w:hideMark/>
          </w:tcPr>
          <w:p w14:paraId="34D10BDE" w14:textId="52571BC0"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 xml:space="preserve">Capital social </w:t>
            </w:r>
          </w:p>
        </w:tc>
        <w:tc>
          <w:tcPr>
            <w:tcW w:w="421" w:type="pct"/>
            <w:tcBorders>
              <w:top w:val="nil"/>
              <w:left w:val="nil"/>
              <w:bottom w:val="nil"/>
              <w:right w:val="nil"/>
            </w:tcBorders>
            <w:shd w:val="clear" w:color="auto" w:fill="auto"/>
            <w:vAlign w:val="center"/>
            <w:hideMark/>
          </w:tcPr>
          <w:p w14:paraId="52C114F2"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3E8442FD" w14:textId="40D4168D" w:rsidR="003565A3" w:rsidRPr="008E2E2D" w:rsidRDefault="003565A3" w:rsidP="003565A3">
            <w:pPr>
              <w:jc w:val="right"/>
              <w:rPr>
                <w:rFonts w:ascii="Arial" w:hAnsi="Arial" w:cs="Arial"/>
                <w:sz w:val="16"/>
                <w:szCs w:val="16"/>
              </w:rPr>
            </w:pPr>
            <w:r w:rsidRPr="008E2E2D">
              <w:rPr>
                <w:rFonts w:ascii="Arial" w:hAnsi="Arial" w:cs="Arial"/>
                <w:sz w:val="16"/>
                <w:szCs w:val="16"/>
              </w:rPr>
              <w:t>829.564</w:t>
            </w:r>
          </w:p>
        </w:tc>
        <w:tc>
          <w:tcPr>
            <w:tcW w:w="925" w:type="pct"/>
            <w:tcBorders>
              <w:top w:val="nil"/>
              <w:left w:val="nil"/>
              <w:bottom w:val="nil"/>
              <w:right w:val="nil"/>
            </w:tcBorders>
            <w:shd w:val="clear" w:color="auto" w:fill="auto"/>
            <w:noWrap/>
            <w:vAlign w:val="center"/>
          </w:tcPr>
          <w:p w14:paraId="544D64D3" w14:textId="4817F308"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829.564</w:t>
            </w:r>
          </w:p>
        </w:tc>
      </w:tr>
      <w:tr w:rsidR="003565A3" w:rsidRPr="00A6292B" w14:paraId="05306769" w14:textId="77777777" w:rsidTr="003E487A">
        <w:trPr>
          <w:trHeight w:val="285"/>
        </w:trPr>
        <w:tc>
          <w:tcPr>
            <w:tcW w:w="2815" w:type="pct"/>
            <w:tcBorders>
              <w:top w:val="nil"/>
              <w:left w:val="nil"/>
              <w:bottom w:val="nil"/>
              <w:right w:val="nil"/>
            </w:tcBorders>
            <w:shd w:val="clear" w:color="auto" w:fill="auto"/>
            <w:vAlign w:val="center"/>
            <w:hideMark/>
          </w:tcPr>
          <w:p w14:paraId="56384264" w14:textId="77777777"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Aportes no capitalizados</w:t>
            </w:r>
          </w:p>
        </w:tc>
        <w:tc>
          <w:tcPr>
            <w:tcW w:w="421" w:type="pct"/>
            <w:tcBorders>
              <w:top w:val="nil"/>
              <w:left w:val="nil"/>
              <w:bottom w:val="nil"/>
              <w:right w:val="nil"/>
            </w:tcBorders>
            <w:shd w:val="clear" w:color="auto" w:fill="auto"/>
            <w:vAlign w:val="center"/>
            <w:hideMark/>
          </w:tcPr>
          <w:p w14:paraId="4757E7D8"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7FD60CA2" w14:textId="2372085A" w:rsidR="003565A3" w:rsidRPr="008E2E2D" w:rsidRDefault="003565A3" w:rsidP="003565A3">
            <w:pPr>
              <w:jc w:val="right"/>
              <w:rPr>
                <w:rFonts w:ascii="Arial" w:hAnsi="Arial" w:cs="Arial"/>
                <w:sz w:val="16"/>
                <w:szCs w:val="16"/>
              </w:rPr>
            </w:pPr>
            <w:r w:rsidRPr="008E2E2D">
              <w:rPr>
                <w:rFonts w:ascii="Arial" w:hAnsi="Arial" w:cs="Arial"/>
                <w:sz w:val="16"/>
                <w:szCs w:val="16"/>
              </w:rPr>
              <w:t>6.898.635</w:t>
            </w:r>
          </w:p>
        </w:tc>
        <w:tc>
          <w:tcPr>
            <w:tcW w:w="925" w:type="pct"/>
            <w:tcBorders>
              <w:top w:val="nil"/>
              <w:left w:val="nil"/>
              <w:bottom w:val="nil"/>
              <w:right w:val="nil"/>
            </w:tcBorders>
            <w:shd w:val="clear" w:color="auto" w:fill="auto"/>
            <w:noWrap/>
            <w:vAlign w:val="center"/>
          </w:tcPr>
          <w:p w14:paraId="12662A6E" w14:textId="59D356D1"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6.898.635</w:t>
            </w:r>
          </w:p>
        </w:tc>
      </w:tr>
      <w:tr w:rsidR="003565A3" w:rsidRPr="00A6292B" w14:paraId="5EA41F64" w14:textId="77777777" w:rsidTr="003E487A">
        <w:trPr>
          <w:trHeight w:val="285"/>
        </w:trPr>
        <w:tc>
          <w:tcPr>
            <w:tcW w:w="2815" w:type="pct"/>
            <w:tcBorders>
              <w:top w:val="nil"/>
              <w:left w:val="nil"/>
              <w:bottom w:val="nil"/>
              <w:right w:val="nil"/>
            </w:tcBorders>
            <w:shd w:val="clear" w:color="auto" w:fill="auto"/>
            <w:vAlign w:val="center"/>
          </w:tcPr>
          <w:p w14:paraId="62DC8440" w14:textId="729EEE1D" w:rsidR="003565A3" w:rsidRPr="00A6292B" w:rsidRDefault="003565A3" w:rsidP="003565A3">
            <w:pPr>
              <w:ind w:firstLineChars="300" w:firstLine="480"/>
              <w:rPr>
                <w:rFonts w:ascii="Arial" w:hAnsi="Arial" w:cs="Arial"/>
                <w:sz w:val="16"/>
                <w:szCs w:val="16"/>
                <w:lang w:eastAsia="es-AR"/>
              </w:rPr>
            </w:pPr>
            <w:r w:rsidRPr="008E2E2D">
              <w:rPr>
                <w:rFonts w:ascii="Arial" w:hAnsi="Arial" w:cs="Arial"/>
                <w:sz w:val="16"/>
                <w:szCs w:val="16"/>
                <w:lang w:eastAsia="es-AR"/>
              </w:rPr>
              <w:t>Ajustes al capital</w:t>
            </w:r>
          </w:p>
        </w:tc>
        <w:tc>
          <w:tcPr>
            <w:tcW w:w="421" w:type="pct"/>
            <w:tcBorders>
              <w:top w:val="nil"/>
              <w:left w:val="nil"/>
              <w:bottom w:val="nil"/>
              <w:right w:val="nil"/>
            </w:tcBorders>
            <w:shd w:val="clear" w:color="auto" w:fill="auto"/>
            <w:vAlign w:val="center"/>
          </w:tcPr>
          <w:p w14:paraId="40CA896E"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3507164E" w14:textId="68B7291A" w:rsidR="003565A3" w:rsidRPr="008E2E2D" w:rsidRDefault="003565A3" w:rsidP="003565A3">
            <w:pPr>
              <w:jc w:val="right"/>
              <w:rPr>
                <w:rFonts w:ascii="Arial" w:hAnsi="Arial" w:cs="Arial"/>
                <w:sz w:val="16"/>
                <w:szCs w:val="16"/>
              </w:rPr>
            </w:pPr>
            <w:r w:rsidRPr="008E2E2D">
              <w:rPr>
                <w:rFonts w:ascii="Arial" w:hAnsi="Arial" w:cs="Arial"/>
                <w:sz w:val="16"/>
                <w:szCs w:val="16"/>
              </w:rPr>
              <w:t>16.376.393</w:t>
            </w:r>
          </w:p>
        </w:tc>
        <w:tc>
          <w:tcPr>
            <w:tcW w:w="925" w:type="pct"/>
            <w:tcBorders>
              <w:top w:val="nil"/>
              <w:left w:val="nil"/>
              <w:bottom w:val="nil"/>
              <w:right w:val="nil"/>
            </w:tcBorders>
            <w:shd w:val="clear" w:color="auto" w:fill="auto"/>
            <w:noWrap/>
            <w:vAlign w:val="center"/>
          </w:tcPr>
          <w:p w14:paraId="6BEF83E7" w14:textId="1BB672C2"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16.376.393</w:t>
            </w:r>
          </w:p>
        </w:tc>
      </w:tr>
      <w:tr w:rsidR="003565A3" w:rsidRPr="00A6292B" w14:paraId="608B26BD" w14:textId="77777777" w:rsidTr="003E487A">
        <w:trPr>
          <w:trHeight w:val="285"/>
        </w:trPr>
        <w:tc>
          <w:tcPr>
            <w:tcW w:w="2815" w:type="pct"/>
            <w:tcBorders>
              <w:top w:val="nil"/>
              <w:left w:val="nil"/>
              <w:bottom w:val="nil"/>
              <w:right w:val="nil"/>
            </w:tcBorders>
            <w:shd w:val="clear" w:color="auto" w:fill="auto"/>
            <w:vAlign w:val="center"/>
            <w:hideMark/>
          </w:tcPr>
          <w:p w14:paraId="53168AFA" w14:textId="77777777"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Ganancias reservadas</w:t>
            </w:r>
          </w:p>
        </w:tc>
        <w:tc>
          <w:tcPr>
            <w:tcW w:w="421" w:type="pct"/>
            <w:tcBorders>
              <w:top w:val="nil"/>
              <w:left w:val="nil"/>
              <w:bottom w:val="nil"/>
              <w:right w:val="nil"/>
            </w:tcBorders>
            <w:shd w:val="clear" w:color="auto" w:fill="auto"/>
            <w:vAlign w:val="center"/>
            <w:hideMark/>
          </w:tcPr>
          <w:p w14:paraId="22DE74E9"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30D75689" w14:textId="55B0C46D" w:rsidR="003565A3" w:rsidRPr="008E2E2D" w:rsidRDefault="003565A3" w:rsidP="003565A3">
            <w:pPr>
              <w:jc w:val="right"/>
              <w:rPr>
                <w:rFonts w:ascii="Arial" w:hAnsi="Arial" w:cs="Arial"/>
                <w:sz w:val="16"/>
                <w:szCs w:val="16"/>
              </w:rPr>
            </w:pPr>
            <w:r w:rsidRPr="008E2E2D">
              <w:rPr>
                <w:rFonts w:ascii="Arial" w:hAnsi="Arial" w:cs="Arial"/>
                <w:sz w:val="16"/>
                <w:szCs w:val="16"/>
              </w:rPr>
              <w:t>8.859.959</w:t>
            </w:r>
          </w:p>
        </w:tc>
        <w:tc>
          <w:tcPr>
            <w:tcW w:w="925" w:type="pct"/>
            <w:tcBorders>
              <w:top w:val="nil"/>
              <w:left w:val="nil"/>
              <w:bottom w:val="nil"/>
              <w:right w:val="nil"/>
            </w:tcBorders>
            <w:shd w:val="clear" w:color="auto" w:fill="auto"/>
            <w:noWrap/>
            <w:vAlign w:val="center"/>
          </w:tcPr>
          <w:p w14:paraId="4B37CB30" w14:textId="415D465B"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8.859.959</w:t>
            </w:r>
          </w:p>
        </w:tc>
      </w:tr>
      <w:tr w:rsidR="003565A3" w:rsidRPr="00A6292B" w14:paraId="289FFF1F" w14:textId="77777777" w:rsidTr="003E487A">
        <w:trPr>
          <w:trHeight w:val="285"/>
        </w:trPr>
        <w:tc>
          <w:tcPr>
            <w:tcW w:w="2815" w:type="pct"/>
            <w:tcBorders>
              <w:top w:val="nil"/>
              <w:left w:val="nil"/>
              <w:bottom w:val="nil"/>
              <w:right w:val="nil"/>
            </w:tcBorders>
            <w:shd w:val="clear" w:color="auto" w:fill="auto"/>
            <w:vAlign w:val="center"/>
            <w:hideMark/>
          </w:tcPr>
          <w:p w14:paraId="555A0EA7" w14:textId="77777777"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Resultados no asignados</w:t>
            </w:r>
          </w:p>
        </w:tc>
        <w:tc>
          <w:tcPr>
            <w:tcW w:w="421" w:type="pct"/>
            <w:tcBorders>
              <w:top w:val="nil"/>
              <w:left w:val="nil"/>
              <w:bottom w:val="nil"/>
              <w:right w:val="nil"/>
            </w:tcBorders>
            <w:shd w:val="clear" w:color="auto" w:fill="auto"/>
            <w:vAlign w:val="center"/>
            <w:hideMark/>
          </w:tcPr>
          <w:p w14:paraId="7AF10F61"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65C571AA" w14:textId="796C7EB5" w:rsidR="003565A3" w:rsidRPr="008E2E2D" w:rsidRDefault="003565A3" w:rsidP="003565A3">
            <w:pPr>
              <w:jc w:val="right"/>
              <w:rPr>
                <w:rFonts w:ascii="Arial" w:hAnsi="Arial" w:cs="Arial"/>
                <w:sz w:val="16"/>
                <w:szCs w:val="16"/>
              </w:rPr>
            </w:pPr>
            <w:r w:rsidRPr="008E2E2D">
              <w:rPr>
                <w:rFonts w:ascii="Arial" w:hAnsi="Arial" w:cs="Arial"/>
                <w:sz w:val="16"/>
                <w:szCs w:val="16"/>
              </w:rPr>
              <w:t>-12.676.228</w:t>
            </w:r>
          </w:p>
        </w:tc>
        <w:tc>
          <w:tcPr>
            <w:tcW w:w="925" w:type="pct"/>
            <w:tcBorders>
              <w:top w:val="nil"/>
              <w:left w:val="nil"/>
              <w:bottom w:val="nil"/>
              <w:right w:val="nil"/>
            </w:tcBorders>
            <w:shd w:val="clear" w:color="auto" w:fill="auto"/>
            <w:noWrap/>
            <w:vAlign w:val="center"/>
          </w:tcPr>
          <w:p w14:paraId="0CE7FFF7" w14:textId="3260EEA5"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-9.857.781</w:t>
            </w:r>
          </w:p>
        </w:tc>
      </w:tr>
      <w:tr w:rsidR="003565A3" w:rsidRPr="00A6292B" w14:paraId="55F705CA" w14:textId="77777777" w:rsidTr="003E487A">
        <w:trPr>
          <w:trHeight w:val="285"/>
        </w:trPr>
        <w:tc>
          <w:tcPr>
            <w:tcW w:w="2815" w:type="pct"/>
            <w:tcBorders>
              <w:top w:val="nil"/>
              <w:left w:val="nil"/>
              <w:bottom w:val="nil"/>
              <w:right w:val="nil"/>
            </w:tcBorders>
            <w:shd w:val="clear" w:color="auto" w:fill="auto"/>
            <w:vAlign w:val="center"/>
            <w:hideMark/>
          </w:tcPr>
          <w:p w14:paraId="1D0B08B4" w14:textId="77777777"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Otros Resultados Integrales acumulados</w:t>
            </w:r>
          </w:p>
        </w:tc>
        <w:tc>
          <w:tcPr>
            <w:tcW w:w="421" w:type="pct"/>
            <w:tcBorders>
              <w:top w:val="nil"/>
              <w:left w:val="nil"/>
              <w:bottom w:val="nil"/>
              <w:right w:val="nil"/>
            </w:tcBorders>
            <w:shd w:val="clear" w:color="auto" w:fill="auto"/>
            <w:vAlign w:val="center"/>
            <w:hideMark/>
          </w:tcPr>
          <w:p w14:paraId="4B599CF5"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26C89D3E" w14:textId="5245E249" w:rsidR="003565A3" w:rsidRPr="008E2E2D" w:rsidRDefault="003565A3" w:rsidP="003565A3">
            <w:pPr>
              <w:jc w:val="right"/>
              <w:rPr>
                <w:rFonts w:ascii="Arial" w:hAnsi="Arial" w:cs="Arial"/>
                <w:sz w:val="16"/>
                <w:szCs w:val="16"/>
              </w:rPr>
            </w:pPr>
            <w:r w:rsidRPr="008E2E2D">
              <w:rPr>
                <w:rFonts w:ascii="Arial" w:hAnsi="Arial" w:cs="Arial"/>
                <w:sz w:val="16"/>
                <w:szCs w:val="16"/>
              </w:rPr>
              <w:t>-42.352</w:t>
            </w:r>
          </w:p>
        </w:tc>
        <w:tc>
          <w:tcPr>
            <w:tcW w:w="925" w:type="pct"/>
            <w:tcBorders>
              <w:top w:val="nil"/>
              <w:left w:val="nil"/>
              <w:bottom w:val="nil"/>
              <w:right w:val="nil"/>
            </w:tcBorders>
            <w:shd w:val="clear" w:color="auto" w:fill="auto"/>
            <w:noWrap/>
            <w:vAlign w:val="center"/>
          </w:tcPr>
          <w:p w14:paraId="47E74C5A" w14:textId="4BB004C3"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5.887</w:t>
            </w:r>
          </w:p>
        </w:tc>
      </w:tr>
      <w:tr w:rsidR="003565A3" w:rsidRPr="00A6292B" w14:paraId="428553B8" w14:textId="77777777" w:rsidTr="003E487A">
        <w:trPr>
          <w:trHeight w:val="285"/>
        </w:trPr>
        <w:tc>
          <w:tcPr>
            <w:tcW w:w="2815" w:type="pct"/>
            <w:tcBorders>
              <w:top w:val="nil"/>
              <w:left w:val="nil"/>
              <w:bottom w:val="nil"/>
              <w:right w:val="nil"/>
            </w:tcBorders>
            <w:shd w:val="clear" w:color="auto" w:fill="auto"/>
            <w:vAlign w:val="center"/>
            <w:hideMark/>
          </w:tcPr>
          <w:p w14:paraId="00A6086E" w14:textId="04E39CFF" w:rsidR="003565A3" w:rsidRPr="00A6292B" w:rsidRDefault="003565A3" w:rsidP="003565A3">
            <w:pPr>
              <w:ind w:firstLineChars="300" w:firstLine="480"/>
              <w:rPr>
                <w:rFonts w:ascii="Arial" w:hAnsi="Arial" w:cs="Arial"/>
                <w:sz w:val="16"/>
                <w:szCs w:val="16"/>
                <w:lang w:eastAsia="es-AR"/>
              </w:rPr>
            </w:pPr>
            <w:r w:rsidRPr="00A6292B">
              <w:rPr>
                <w:rFonts w:ascii="Arial" w:hAnsi="Arial" w:cs="Arial"/>
                <w:sz w:val="16"/>
                <w:szCs w:val="16"/>
                <w:lang w:eastAsia="es-AR"/>
              </w:rPr>
              <w:t xml:space="preserve">Resultado del </w:t>
            </w:r>
            <w:r>
              <w:rPr>
                <w:rFonts w:ascii="Arial" w:hAnsi="Arial" w:cs="Arial"/>
                <w:sz w:val="16"/>
                <w:szCs w:val="16"/>
                <w:lang w:eastAsia="es-AR"/>
              </w:rPr>
              <w:t>período / ejercicio</w:t>
            </w:r>
          </w:p>
        </w:tc>
        <w:tc>
          <w:tcPr>
            <w:tcW w:w="421" w:type="pct"/>
            <w:tcBorders>
              <w:top w:val="nil"/>
              <w:left w:val="nil"/>
              <w:bottom w:val="nil"/>
              <w:right w:val="nil"/>
            </w:tcBorders>
            <w:shd w:val="clear" w:color="auto" w:fill="auto"/>
            <w:vAlign w:val="center"/>
            <w:hideMark/>
          </w:tcPr>
          <w:p w14:paraId="7C9E029A" w14:textId="77777777" w:rsidR="003565A3" w:rsidRPr="00A6292B" w:rsidRDefault="003565A3" w:rsidP="003565A3">
            <w:pPr>
              <w:ind w:firstLineChars="300" w:firstLine="480"/>
              <w:jc w:val="center"/>
              <w:rPr>
                <w:rFonts w:ascii="Arial" w:hAnsi="Arial" w:cs="Arial"/>
                <w:sz w:val="16"/>
                <w:szCs w:val="16"/>
                <w:lang w:eastAsia="es-AR"/>
              </w:rPr>
            </w:pPr>
          </w:p>
        </w:tc>
        <w:tc>
          <w:tcPr>
            <w:tcW w:w="839" w:type="pct"/>
            <w:tcBorders>
              <w:top w:val="nil"/>
              <w:left w:val="nil"/>
              <w:bottom w:val="nil"/>
              <w:right w:val="nil"/>
            </w:tcBorders>
            <w:vAlign w:val="center"/>
          </w:tcPr>
          <w:p w14:paraId="6C660BEA" w14:textId="5E06E029" w:rsidR="003565A3" w:rsidRPr="008E2E2D" w:rsidRDefault="003565A3" w:rsidP="003565A3">
            <w:pPr>
              <w:jc w:val="right"/>
              <w:rPr>
                <w:rFonts w:ascii="Arial" w:hAnsi="Arial" w:cs="Arial"/>
                <w:sz w:val="16"/>
                <w:szCs w:val="16"/>
              </w:rPr>
            </w:pPr>
            <w:r w:rsidRPr="008E2E2D">
              <w:rPr>
                <w:rFonts w:ascii="Arial" w:hAnsi="Arial" w:cs="Arial"/>
                <w:sz w:val="16"/>
                <w:szCs w:val="16"/>
              </w:rPr>
              <w:t>373.140</w:t>
            </w:r>
          </w:p>
        </w:tc>
        <w:tc>
          <w:tcPr>
            <w:tcW w:w="925" w:type="pct"/>
            <w:tcBorders>
              <w:top w:val="nil"/>
              <w:left w:val="nil"/>
              <w:bottom w:val="nil"/>
              <w:right w:val="nil"/>
            </w:tcBorders>
            <w:shd w:val="clear" w:color="auto" w:fill="auto"/>
            <w:noWrap/>
            <w:vAlign w:val="center"/>
          </w:tcPr>
          <w:p w14:paraId="54D6D950" w14:textId="533514C0" w:rsidR="003565A3" w:rsidRPr="003565A3" w:rsidRDefault="003565A3" w:rsidP="003565A3">
            <w:pPr>
              <w:jc w:val="right"/>
              <w:rPr>
                <w:rFonts w:ascii="Arial" w:hAnsi="Arial" w:cs="Arial"/>
                <w:sz w:val="16"/>
                <w:szCs w:val="16"/>
                <w:lang w:eastAsia="es-AR"/>
              </w:rPr>
            </w:pPr>
            <w:r w:rsidRPr="003565A3">
              <w:rPr>
                <w:rFonts w:ascii="Arial" w:hAnsi="Arial" w:cs="Arial"/>
                <w:sz w:val="16"/>
                <w:szCs w:val="16"/>
              </w:rPr>
              <w:t>-2.818.83</w:t>
            </w:r>
            <w:r w:rsidR="00666113">
              <w:rPr>
                <w:rFonts w:ascii="Arial" w:hAnsi="Arial" w:cs="Arial"/>
                <w:sz w:val="16"/>
                <w:szCs w:val="16"/>
              </w:rPr>
              <w:t>8</w:t>
            </w:r>
          </w:p>
        </w:tc>
      </w:tr>
      <w:tr w:rsidR="008E2E2D" w:rsidRPr="00A6292B" w14:paraId="699B1724" w14:textId="77777777" w:rsidTr="002551C6">
        <w:trPr>
          <w:trHeight w:val="80"/>
        </w:trPr>
        <w:tc>
          <w:tcPr>
            <w:tcW w:w="2815" w:type="pct"/>
            <w:tcBorders>
              <w:top w:val="nil"/>
              <w:left w:val="nil"/>
              <w:bottom w:val="nil"/>
              <w:right w:val="nil"/>
            </w:tcBorders>
            <w:shd w:val="clear" w:color="auto" w:fill="auto"/>
            <w:hideMark/>
          </w:tcPr>
          <w:p w14:paraId="47589BC8" w14:textId="77777777" w:rsidR="008E2E2D" w:rsidRPr="00A6292B" w:rsidRDefault="008E2E2D" w:rsidP="008E2E2D">
            <w:pPr>
              <w:rPr>
                <w:rFonts w:ascii="Arial" w:hAnsi="Arial" w:cs="Arial"/>
                <w:sz w:val="10"/>
                <w:szCs w:val="10"/>
                <w:lang w:eastAsia="es-AR"/>
              </w:rPr>
            </w:pPr>
          </w:p>
        </w:tc>
        <w:tc>
          <w:tcPr>
            <w:tcW w:w="421" w:type="pct"/>
            <w:tcBorders>
              <w:top w:val="nil"/>
              <w:left w:val="nil"/>
              <w:bottom w:val="nil"/>
              <w:right w:val="nil"/>
            </w:tcBorders>
            <w:shd w:val="clear" w:color="auto" w:fill="auto"/>
            <w:vAlign w:val="center"/>
            <w:hideMark/>
          </w:tcPr>
          <w:p w14:paraId="2D5D3594" w14:textId="77777777" w:rsidR="008E2E2D" w:rsidRPr="00A6292B" w:rsidRDefault="008E2E2D" w:rsidP="008E2E2D">
            <w:pPr>
              <w:jc w:val="center"/>
              <w:rPr>
                <w:rFonts w:ascii="Arial" w:hAnsi="Arial" w:cs="Arial"/>
                <w:sz w:val="10"/>
                <w:szCs w:val="10"/>
                <w:lang w:eastAsia="es-AR"/>
              </w:rPr>
            </w:pPr>
          </w:p>
        </w:tc>
        <w:tc>
          <w:tcPr>
            <w:tcW w:w="839" w:type="pct"/>
            <w:tcBorders>
              <w:top w:val="nil"/>
              <w:left w:val="nil"/>
              <w:bottom w:val="nil"/>
              <w:right w:val="nil"/>
            </w:tcBorders>
            <w:vAlign w:val="center"/>
          </w:tcPr>
          <w:p w14:paraId="42635AFD" w14:textId="7B4C0C94" w:rsidR="008E2E2D" w:rsidRPr="008E2E2D" w:rsidRDefault="008E2E2D" w:rsidP="008E2E2D">
            <w:pPr>
              <w:jc w:val="right"/>
              <w:rPr>
                <w:rFonts w:ascii="Arial" w:hAnsi="Arial" w:cs="Arial"/>
                <w:sz w:val="16"/>
                <w:szCs w:val="16"/>
                <w:lang w:eastAsia="es-AR"/>
              </w:rPr>
            </w:pPr>
          </w:p>
        </w:tc>
        <w:tc>
          <w:tcPr>
            <w:tcW w:w="925" w:type="pct"/>
            <w:tcBorders>
              <w:top w:val="nil"/>
              <w:left w:val="nil"/>
              <w:bottom w:val="nil"/>
              <w:right w:val="nil"/>
            </w:tcBorders>
            <w:shd w:val="clear" w:color="auto" w:fill="auto"/>
            <w:noWrap/>
            <w:vAlign w:val="center"/>
          </w:tcPr>
          <w:p w14:paraId="6BDD3426" w14:textId="21E3FCBB" w:rsidR="008E2E2D" w:rsidRPr="002E1AEA" w:rsidRDefault="008E2E2D" w:rsidP="008E2E2D">
            <w:pPr>
              <w:jc w:val="right"/>
              <w:rPr>
                <w:rFonts w:ascii="Arial" w:hAnsi="Arial" w:cs="Arial"/>
                <w:sz w:val="16"/>
                <w:szCs w:val="16"/>
                <w:lang w:eastAsia="es-AR"/>
              </w:rPr>
            </w:pPr>
          </w:p>
        </w:tc>
      </w:tr>
      <w:tr w:rsidR="008E2E2D" w:rsidRPr="00A6292B" w14:paraId="66731B5D" w14:textId="77777777" w:rsidTr="003E487A">
        <w:trPr>
          <w:trHeight w:val="285"/>
        </w:trPr>
        <w:tc>
          <w:tcPr>
            <w:tcW w:w="2815" w:type="pct"/>
            <w:tcBorders>
              <w:top w:val="nil"/>
              <w:left w:val="nil"/>
              <w:bottom w:val="nil"/>
              <w:right w:val="nil"/>
            </w:tcBorders>
            <w:shd w:val="clear" w:color="auto" w:fill="auto"/>
            <w:hideMark/>
          </w:tcPr>
          <w:p w14:paraId="7DD3B064" w14:textId="77777777" w:rsidR="008E2E2D" w:rsidRPr="00A6292B" w:rsidRDefault="008E2E2D" w:rsidP="008E2E2D">
            <w:pPr>
              <w:rPr>
                <w:rFonts w:ascii="Arial" w:hAnsi="Arial" w:cs="Arial"/>
                <w:b/>
                <w:bCs/>
                <w:sz w:val="16"/>
                <w:szCs w:val="16"/>
                <w:lang w:eastAsia="es-AR"/>
              </w:rPr>
            </w:pPr>
            <w:r w:rsidRPr="00A6292B">
              <w:rPr>
                <w:rFonts w:ascii="Arial" w:hAnsi="Arial" w:cs="Arial"/>
                <w:b/>
                <w:bCs/>
                <w:sz w:val="16"/>
                <w:szCs w:val="16"/>
                <w:lang w:eastAsia="es-AR"/>
              </w:rPr>
              <w:t>TOTAL DEL PATRIMONIO NETO</w:t>
            </w:r>
          </w:p>
        </w:tc>
        <w:tc>
          <w:tcPr>
            <w:tcW w:w="421" w:type="pct"/>
            <w:tcBorders>
              <w:top w:val="nil"/>
              <w:left w:val="nil"/>
              <w:bottom w:val="nil"/>
              <w:right w:val="nil"/>
            </w:tcBorders>
            <w:shd w:val="clear" w:color="auto" w:fill="auto"/>
            <w:vAlign w:val="center"/>
            <w:hideMark/>
          </w:tcPr>
          <w:p w14:paraId="3D22F73F" w14:textId="77777777" w:rsidR="008E2E2D" w:rsidRPr="00A6292B" w:rsidRDefault="008E2E2D" w:rsidP="008E2E2D">
            <w:pPr>
              <w:jc w:val="center"/>
              <w:rPr>
                <w:rFonts w:ascii="Arial" w:hAnsi="Arial" w:cs="Arial"/>
                <w:b/>
                <w:bCs/>
                <w:sz w:val="16"/>
                <w:szCs w:val="16"/>
                <w:lang w:eastAsia="es-AR"/>
              </w:rPr>
            </w:pPr>
          </w:p>
        </w:tc>
        <w:tc>
          <w:tcPr>
            <w:tcW w:w="839" w:type="pct"/>
            <w:tcBorders>
              <w:top w:val="single" w:sz="4" w:space="0" w:color="auto"/>
              <w:left w:val="nil"/>
              <w:bottom w:val="nil"/>
              <w:right w:val="nil"/>
            </w:tcBorders>
            <w:vAlign w:val="center"/>
          </w:tcPr>
          <w:p w14:paraId="2592B1D4" w14:textId="359A4B6B" w:rsidR="008E2E2D" w:rsidRPr="000C1442" w:rsidRDefault="008E2E2D" w:rsidP="008E2E2D">
            <w:pPr>
              <w:jc w:val="right"/>
              <w:rPr>
                <w:rFonts w:ascii="Arial" w:hAnsi="Arial" w:cs="Arial"/>
                <w:b/>
                <w:bCs/>
                <w:sz w:val="16"/>
                <w:szCs w:val="16"/>
              </w:rPr>
            </w:pPr>
            <w:r w:rsidRPr="000C1442">
              <w:rPr>
                <w:rFonts w:ascii="Arial" w:hAnsi="Arial" w:cs="Arial"/>
                <w:b/>
                <w:bCs/>
                <w:sz w:val="16"/>
                <w:szCs w:val="16"/>
              </w:rPr>
              <w:t>20.619.111</w:t>
            </w:r>
          </w:p>
        </w:tc>
        <w:tc>
          <w:tcPr>
            <w:tcW w:w="925" w:type="pct"/>
            <w:tcBorders>
              <w:top w:val="single" w:sz="4" w:space="0" w:color="auto"/>
              <w:left w:val="nil"/>
              <w:bottom w:val="nil"/>
              <w:right w:val="nil"/>
            </w:tcBorders>
            <w:shd w:val="clear" w:color="auto" w:fill="auto"/>
            <w:noWrap/>
            <w:vAlign w:val="center"/>
          </w:tcPr>
          <w:p w14:paraId="0173FCBD" w14:textId="3669F3D9" w:rsidR="008E2E2D" w:rsidRPr="002E1AEA" w:rsidRDefault="003565A3" w:rsidP="008E2E2D">
            <w:pPr>
              <w:jc w:val="right"/>
              <w:rPr>
                <w:rFonts w:ascii="Arial" w:hAnsi="Arial" w:cs="Arial"/>
                <w:b/>
                <w:bCs/>
                <w:sz w:val="16"/>
                <w:szCs w:val="16"/>
                <w:lang w:eastAsia="es-AR"/>
              </w:rPr>
            </w:pPr>
            <w:r>
              <w:rPr>
                <w:rFonts w:ascii="Arial" w:hAnsi="Arial" w:cs="Arial"/>
                <w:b/>
                <w:bCs/>
                <w:sz w:val="16"/>
                <w:szCs w:val="16"/>
                <w:lang w:eastAsia="es-AR"/>
              </w:rPr>
              <w:t>20.293.81</w:t>
            </w:r>
            <w:r w:rsidR="00666113">
              <w:rPr>
                <w:rFonts w:ascii="Arial" w:hAnsi="Arial" w:cs="Arial"/>
                <w:b/>
                <w:bCs/>
                <w:sz w:val="16"/>
                <w:szCs w:val="16"/>
                <w:lang w:eastAsia="es-AR"/>
              </w:rPr>
              <w:t>9</w:t>
            </w:r>
          </w:p>
        </w:tc>
      </w:tr>
      <w:tr w:rsidR="003E487A" w:rsidRPr="00A6292B" w14:paraId="7DC1CB39" w14:textId="77777777" w:rsidTr="003E487A">
        <w:trPr>
          <w:trHeight w:val="80"/>
        </w:trPr>
        <w:tc>
          <w:tcPr>
            <w:tcW w:w="2815" w:type="pct"/>
            <w:tcBorders>
              <w:top w:val="nil"/>
              <w:left w:val="nil"/>
              <w:bottom w:val="nil"/>
              <w:right w:val="nil"/>
            </w:tcBorders>
            <w:shd w:val="clear" w:color="auto" w:fill="auto"/>
            <w:hideMark/>
          </w:tcPr>
          <w:p w14:paraId="68EDA97B" w14:textId="77777777" w:rsidR="003E487A" w:rsidRPr="00A6292B" w:rsidRDefault="003E487A" w:rsidP="003E487A">
            <w:pPr>
              <w:rPr>
                <w:rFonts w:ascii="Arial" w:hAnsi="Arial" w:cs="Arial"/>
                <w:b/>
                <w:bCs/>
                <w:sz w:val="10"/>
                <w:szCs w:val="10"/>
                <w:lang w:eastAsia="es-AR"/>
              </w:rPr>
            </w:pPr>
          </w:p>
        </w:tc>
        <w:tc>
          <w:tcPr>
            <w:tcW w:w="421" w:type="pct"/>
            <w:tcBorders>
              <w:top w:val="nil"/>
              <w:left w:val="nil"/>
              <w:bottom w:val="nil"/>
              <w:right w:val="nil"/>
            </w:tcBorders>
            <w:shd w:val="clear" w:color="auto" w:fill="auto"/>
            <w:vAlign w:val="center"/>
            <w:hideMark/>
          </w:tcPr>
          <w:p w14:paraId="008BC6B4" w14:textId="77777777" w:rsidR="003E487A" w:rsidRPr="00A6292B" w:rsidRDefault="003E487A" w:rsidP="003E487A">
            <w:pPr>
              <w:jc w:val="center"/>
              <w:rPr>
                <w:rFonts w:ascii="Arial" w:hAnsi="Arial" w:cs="Arial"/>
                <w:sz w:val="10"/>
                <w:szCs w:val="10"/>
                <w:lang w:eastAsia="es-AR"/>
              </w:rPr>
            </w:pPr>
          </w:p>
        </w:tc>
        <w:tc>
          <w:tcPr>
            <w:tcW w:w="839" w:type="pct"/>
            <w:tcBorders>
              <w:top w:val="nil"/>
              <w:left w:val="nil"/>
              <w:bottom w:val="nil"/>
              <w:right w:val="nil"/>
            </w:tcBorders>
            <w:vAlign w:val="center"/>
          </w:tcPr>
          <w:p w14:paraId="72E2628F" w14:textId="77777777" w:rsidR="003E487A" w:rsidRPr="003E487A" w:rsidRDefault="003E487A" w:rsidP="003E487A">
            <w:pPr>
              <w:jc w:val="right"/>
              <w:rPr>
                <w:rFonts w:ascii="Arial" w:hAnsi="Arial" w:cs="Arial"/>
                <w:b/>
                <w:bCs/>
                <w:sz w:val="16"/>
                <w:szCs w:val="16"/>
              </w:rPr>
            </w:pPr>
          </w:p>
        </w:tc>
        <w:tc>
          <w:tcPr>
            <w:tcW w:w="925" w:type="pct"/>
            <w:tcBorders>
              <w:top w:val="nil"/>
              <w:left w:val="nil"/>
              <w:bottom w:val="nil"/>
              <w:right w:val="nil"/>
            </w:tcBorders>
            <w:shd w:val="clear" w:color="auto" w:fill="auto"/>
            <w:noWrap/>
            <w:vAlign w:val="center"/>
          </w:tcPr>
          <w:p w14:paraId="0D5293E7" w14:textId="07BCD920" w:rsidR="003E487A" w:rsidRPr="002E1AEA" w:rsidRDefault="003E487A" w:rsidP="003E487A">
            <w:pPr>
              <w:jc w:val="right"/>
              <w:rPr>
                <w:rFonts w:ascii="Arial" w:hAnsi="Arial" w:cs="Arial"/>
                <w:sz w:val="16"/>
                <w:szCs w:val="16"/>
                <w:lang w:eastAsia="es-AR"/>
              </w:rPr>
            </w:pPr>
          </w:p>
        </w:tc>
      </w:tr>
      <w:tr w:rsidR="003E487A" w:rsidRPr="00A6292B" w14:paraId="35CF163E" w14:textId="77777777" w:rsidTr="003E487A">
        <w:trPr>
          <w:trHeight w:val="285"/>
        </w:trPr>
        <w:tc>
          <w:tcPr>
            <w:tcW w:w="2815" w:type="pct"/>
            <w:tcBorders>
              <w:top w:val="nil"/>
              <w:left w:val="nil"/>
              <w:bottom w:val="nil"/>
              <w:right w:val="nil"/>
            </w:tcBorders>
            <w:shd w:val="clear" w:color="auto" w:fill="auto"/>
            <w:hideMark/>
          </w:tcPr>
          <w:p w14:paraId="0E9E50D8" w14:textId="77777777" w:rsidR="003E487A" w:rsidRPr="00A6292B" w:rsidRDefault="003E487A" w:rsidP="003E487A">
            <w:pPr>
              <w:rPr>
                <w:rFonts w:ascii="Arial" w:hAnsi="Arial" w:cs="Arial"/>
                <w:b/>
                <w:bCs/>
                <w:sz w:val="16"/>
                <w:szCs w:val="16"/>
                <w:lang w:eastAsia="es-AR"/>
              </w:rPr>
            </w:pPr>
            <w:r w:rsidRPr="00A6292B">
              <w:rPr>
                <w:rFonts w:ascii="Arial" w:hAnsi="Arial" w:cs="Arial"/>
                <w:b/>
                <w:bCs/>
                <w:sz w:val="16"/>
                <w:szCs w:val="16"/>
                <w:lang w:eastAsia="es-AR"/>
              </w:rPr>
              <w:t>TOTAL PASIVO MAS PATRIMONIO NETO</w:t>
            </w:r>
          </w:p>
        </w:tc>
        <w:tc>
          <w:tcPr>
            <w:tcW w:w="421" w:type="pct"/>
            <w:tcBorders>
              <w:top w:val="nil"/>
              <w:left w:val="nil"/>
              <w:bottom w:val="nil"/>
              <w:right w:val="nil"/>
            </w:tcBorders>
            <w:shd w:val="clear" w:color="auto" w:fill="auto"/>
            <w:vAlign w:val="center"/>
            <w:hideMark/>
          </w:tcPr>
          <w:p w14:paraId="6A902564" w14:textId="77777777" w:rsidR="003E487A" w:rsidRPr="00A6292B" w:rsidRDefault="003E487A" w:rsidP="003E487A">
            <w:pPr>
              <w:jc w:val="center"/>
              <w:rPr>
                <w:rFonts w:ascii="Arial" w:hAnsi="Arial" w:cs="Arial"/>
                <w:b/>
                <w:bCs/>
                <w:sz w:val="16"/>
                <w:szCs w:val="16"/>
                <w:lang w:eastAsia="es-AR"/>
              </w:rPr>
            </w:pPr>
          </w:p>
        </w:tc>
        <w:tc>
          <w:tcPr>
            <w:tcW w:w="839" w:type="pct"/>
            <w:tcBorders>
              <w:top w:val="single" w:sz="4" w:space="0" w:color="auto"/>
              <w:left w:val="nil"/>
              <w:bottom w:val="single" w:sz="4" w:space="0" w:color="auto"/>
              <w:right w:val="nil"/>
            </w:tcBorders>
            <w:vAlign w:val="center"/>
          </w:tcPr>
          <w:p w14:paraId="061B9C44" w14:textId="101997DF" w:rsidR="003E487A" w:rsidRPr="000C1442" w:rsidRDefault="008E2E2D" w:rsidP="003E487A">
            <w:pPr>
              <w:jc w:val="right"/>
              <w:rPr>
                <w:rFonts w:ascii="Arial" w:hAnsi="Arial" w:cs="Arial"/>
                <w:b/>
                <w:bCs/>
                <w:sz w:val="16"/>
                <w:szCs w:val="16"/>
              </w:rPr>
            </w:pPr>
            <w:r w:rsidRPr="000C1442">
              <w:rPr>
                <w:rFonts w:ascii="Arial" w:hAnsi="Arial" w:cs="Arial"/>
                <w:b/>
                <w:bCs/>
                <w:sz w:val="16"/>
                <w:szCs w:val="16"/>
              </w:rPr>
              <w:t>185.579.570</w:t>
            </w:r>
          </w:p>
        </w:tc>
        <w:tc>
          <w:tcPr>
            <w:tcW w:w="925" w:type="pct"/>
            <w:tcBorders>
              <w:top w:val="single" w:sz="4" w:space="0" w:color="auto"/>
              <w:left w:val="nil"/>
              <w:bottom w:val="single" w:sz="4" w:space="0" w:color="auto"/>
              <w:right w:val="nil"/>
            </w:tcBorders>
            <w:shd w:val="clear" w:color="auto" w:fill="auto"/>
            <w:noWrap/>
            <w:vAlign w:val="center"/>
          </w:tcPr>
          <w:p w14:paraId="36F74CA3" w14:textId="19BCAD77" w:rsidR="003E487A" w:rsidRPr="002E1AEA" w:rsidRDefault="003565A3" w:rsidP="003E487A">
            <w:pPr>
              <w:jc w:val="right"/>
              <w:rPr>
                <w:rFonts w:ascii="Arial" w:hAnsi="Arial" w:cs="Arial"/>
                <w:b/>
                <w:bCs/>
                <w:sz w:val="16"/>
                <w:szCs w:val="16"/>
                <w:lang w:eastAsia="es-AR"/>
              </w:rPr>
            </w:pPr>
            <w:r>
              <w:rPr>
                <w:rFonts w:ascii="Arial" w:hAnsi="Arial" w:cs="Arial"/>
                <w:b/>
                <w:bCs/>
                <w:sz w:val="16"/>
                <w:szCs w:val="16"/>
                <w:lang w:eastAsia="es-AR"/>
              </w:rPr>
              <w:t>150.185.53</w:t>
            </w:r>
            <w:r w:rsidR="00666113">
              <w:rPr>
                <w:rFonts w:ascii="Arial" w:hAnsi="Arial" w:cs="Arial"/>
                <w:b/>
                <w:bCs/>
                <w:sz w:val="16"/>
                <w:szCs w:val="16"/>
                <w:lang w:eastAsia="es-AR"/>
              </w:rPr>
              <w:t>3</w:t>
            </w:r>
          </w:p>
        </w:tc>
      </w:tr>
    </w:tbl>
    <w:p w14:paraId="6CB8D662" w14:textId="429E2E0A" w:rsidR="00D24C22" w:rsidRPr="00701F32" w:rsidRDefault="00D24C22" w:rsidP="00FB4E04">
      <w:pPr>
        <w:pStyle w:val="Header"/>
        <w:rPr>
          <w:rFonts w:ascii="Arial" w:hAnsi="Arial" w:cs="Arial"/>
          <w:b/>
          <w:szCs w:val="24"/>
          <w:lang w:val="es-ES_tradnl"/>
        </w:rPr>
      </w:pPr>
    </w:p>
    <w:p w14:paraId="0A056E8F" w14:textId="77777777" w:rsidR="005C2DE7" w:rsidRPr="00701F32" w:rsidRDefault="005C2DE7" w:rsidP="00164DE9">
      <w:pPr>
        <w:rPr>
          <w:rFonts w:ascii="Arial" w:hAnsi="Arial" w:cs="Arial"/>
          <w:b/>
          <w:szCs w:val="24"/>
          <w:lang w:val="es-ES_tradnl"/>
        </w:rPr>
        <w:sectPr w:rsidR="005C2DE7" w:rsidRPr="00701F32" w:rsidSect="00444CFF">
          <w:headerReference w:type="default" r:id="rId32"/>
          <w:footerReference w:type="default" r:id="rId33"/>
          <w:pgSz w:w="11907" w:h="16839" w:code="9"/>
          <w:pgMar w:top="1418" w:right="1701" w:bottom="1418" w:left="1701" w:header="680" w:footer="0" w:gutter="0"/>
          <w:paperSrc w:first="256" w:other="256"/>
          <w:cols w:space="720"/>
          <w:docGrid w:linePitch="326"/>
        </w:sectPr>
      </w:pPr>
    </w:p>
    <w:tbl>
      <w:tblPr>
        <w:tblpPr w:leftFromText="141" w:rightFromText="141" w:vertAnchor="text" w:tblpY="1"/>
        <w:tblOverlap w:val="never"/>
        <w:tblW w:w="4714" w:type="pct"/>
        <w:tblLayout w:type="fixed"/>
        <w:tblCellMar>
          <w:left w:w="70" w:type="dxa"/>
          <w:right w:w="70" w:type="dxa"/>
        </w:tblCellMar>
        <w:tblLook w:val="04A0" w:firstRow="1" w:lastRow="0" w:firstColumn="1" w:lastColumn="0" w:noHBand="0" w:noVBand="1"/>
      </w:tblPr>
      <w:tblGrid>
        <w:gridCol w:w="4387"/>
        <w:gridCol w:w="695"/>
        <w:gridCol w:w="1394"/>
        <w:gridCol w:w="1533"/>
      </w:tblGrid>
      <w:tr w:rsidR="006D0999" w:rsidRPr="000C5202" w14:paraId="124C2B66" w14:textId="77777777" w:rsidTr="006D0999">
        <w:trPr>
          <w:trHeight w:val="963"/>
        </w:trPr>
        <w:tc>
          <w:tcPr>
            <w:tcW w:w="2739"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E71B232" w14:textId="77777777" w:rsidR="006D0999" w:rsidRPr="000C5202" w:rsidRDefault="006D0999" w:rsidP="00222614">
            <w:pPr>
              <w:jc w:val="center"/>
              <w:rPr>
                <w:rFonts w:ascii="Arial" w:hAnsi="Arial" w:cs="Arial"/>
                <w:b/>
                <w:bCs/>
                <w:sz w:val="16"/>
                <w:szCs w:val="16"/>
                <w:lang w:eastAsia="es-AR"/>
              </w:rPr>
            </w:pPr>
            <w:r w:rsidRPr="000C5202">
              <w:rPr>
                <w:rFonts w:ascii="Arial" w:hAnsi="Arial" w:cs="Arial"/>
                <w:b/>
                <w:bCs/>
                <w:sz w:val="16"/>
                <w:szCs w:val="16"/>
                <w:lang w:eastAsia="es-AR"/>
              </w:rPr>
              <w:lastRenderedPageBreak/>
              <w:t>Conceptos</w:t>
            </w:r>
          </w:p>
        </w:tc>
        <w:tc>
          <w:tcPr>
            <w:tcW w:w="434" w:type="pct"/>
            <w:tcBorders>
              <w:top w:val="single" w:sz="4" w:space="0" w:color="363639"/>
              <w:left w:val="single" w:sz="4" w:space="0" w:color="363639"/>
              <w:bottom w:val="single" w:sz="4" w:space="0" w:color="363639"/>
              <w:right w:val="single" w:sz="4" w:space="0" w:color="auto"/>
            </w:tcBorders>
            <w:shd w:val="clear" w:color="auto" w:fill="BFBFBF" w:themeFill="background1" w:themeFillShade="BF"/>
            <w:vAlign w:val="center"/>
            <w:hideMark/>
          </w:tcPr>
          <w:p w14:paraId="6ACE2BF6" w14:textId="77777777" w:rsidR="006D0999" w:rsidRPr="000C5202" w:rsidRDefault="006D0999" w:rsidP="00222614">
            <w:pPr>
              <w:jc w:val="center"/>
              <w:rPr>
                <w:rFonts w:ascii="Arial" w:hAnsi="Arial" w:cs="Arial"/>
                <w:b/>
                <w:bCs/>
                <w:sz w:val="16"/>
                <w:szCs w:val="16"/>
                <w:lang w:eastAsia="es-AR"/>
              </w:rPr>
            </w:pPr>
            <w:r w:rsidRPr="000C5202">
              <w:rPr>
                <w:rFonts w:ascii="Arial" w:hAnsi="Arial" w:cs="Arial"/>
                <w:b/>
                <w:bCs/>
                <w:sz w:val="16"/>
                <w:szCs w:val="16"/>
                <w:lang w:eastAsia="es-AR"/>
              </w:rPr>
              <w:t>Notas</w:t>
            </w:r>
          </w:p>
        </w:tc>
        <w:tc>
          <w:tcPr>
            <w:tcW w:w="8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4F8543" w14:textId="77777777" w:rsidR="006D0999" w:rsidRDefault="006D0999" w:rsidP="00222614">
            <w:pPr>
              <w:jc w:val="center"/>
              <w:rPr>
                <w:rFonts w:ascii="Arial" w:hAnsi="Arial" w:cs="Arial"/>
                <w:b/>
                <w:bCs/>
                <w:sz w:val="16"/>
                <w:szCs w:val="16"/>
                <w:lang w:eastAsia="es-AR"/>
              </w:rPr>
            </w:pPr>
            <w:r>
              <w:rPr>
                <w:rFonts w:ascii="Arial" w:hAnsi="Arial" w:cs="Arial"/>
                <w:b/>
                <w:bCs/>
                <w:sz w:val="16"/>
                <w:szCs w:val="16"/>
                <w:lang w:eastAsia="es-AR"/>
              </w:rPr>
              <w:t xml:space="preserve">Al </w:t>
            </w:r>
          </w:p>
          <w:p w14:paraId="67B7D675" w14:textId="7AB2C287" w:rsidR="006D0999" w:rsidRPr="000C5202" w:rsidRDefault="006D0999" w:rsidP="00222614">
            <w:pPr>
              <w:jc w:val="center"/>
              <w:rPr>
                <w:rFonts w:ascii="Arial" w:hAnsi="Arial" w:cs="Arial"/>
                <w:b/>
                <w:bCs/>
                <w:sz w:val="16"/>
                <w:szCs w:val="16"/>
                <w:lang w:eastAsia="es-AR"/>
              </w:rPr>
            </w:pPr>
            <w:r>
              <w:rPr>
                <w:rFonts w:ascii="Arial" w:hAnsi="Arial" w:cs="Arial"/>
                <w:b/>
                <w:bCs/>
                <w:sz w:val="16"/>
                <w:szCs w:val="16"/>
                <w:lang w:eastAsia="es-AR"/>
              </w:rPr>
              <w:t>31/03/2020</w:t>
            </w:r>
          </w:p>
        </w:tc>
        <w:tc>
          <w:tcPr>
            <w:tcW w:w="9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65A780" w14:textId="77777777" w:rsidR="006D0999" w:rsidRDefault="006D0999" w:rsidP="00222614">
            <w:pPr>
              <w:jc w:val="center"/>
              <w:rPr>
                <w:rFonts w:ascii="Arial" w:hAnsi="Arial" w:cs="Arial"/>
                <w:b/>
                <w:bCs/>
                <w:sz w:val="16"/>
                <w:szCs w:val="16"/>
                <w:lang w:eastAsia="es-AR"/>
              </w:rPr>
            </w:pPr>
            <w:r>
              <w:rPr>
                <w:rFonts w:ascii="Arial" w:hAnsi="Arial" w:cs="Arial"/>
                <w:b/>
                <w:bCs/>
                <w:sz w:val="16"/>
                <w:szCs w:val="16"/>
                <w:lang w:eastAsia="es-AR"/>
              </w:rPr>
              <w:t xml:space="preserve">AL </w:t>
            </w:r>
          </w:p>
          <w:p w14:paraId="06D85F61" w14:textId="055F3CF3" w:rsidR="006D0999" w:rsidRPr="000C5202" w:rsidRDefault="006D0999" w:rsidP="00222614">
            <w:pPr>
              <w:jc w:val="center"/>
              <w:rPr>
                <w:rFonts w:ascii="Arial" w:hAnsi="Arial" w:cs="Arial"/>
                <w:b/>
                <w:bCs/>
                <w:sz w:val="16"/>
                <w:szCs w:val="16"/>
                <w:lang w:eastAsia="es-AR"/>
              </w:rPr>
            </w:pPr>
            <w:r>
              <w:rPr>
                <w:rFonts w:ascii="Arial" w:hAnsi="Arial" w:cs="Arial"/>
                <w:b/>
                <w:bCs/>
                <w:sz w:val="16"/>
                <w:szCs w:val="16"/>
                <w:lang w:eastAsia="es-AR"/>
              </w:rPr>
              <w:t>31/03/2019</w:t>
            </w:r>
          </w:p>
        </w:tc>
      </w:tr>
      <w:tr w:rsidR="006D0999" w:rsidRPr="000C5202" w14:paraId="43958AA1" w14:textId="77777777" w:rsidTr="006D0999">
        <w:trPr>
          <w:trHeight w:val="220"/>
        </w:trPr>
        <w:tc>
          <w:tcPr>
            <w:tcW w:w="2739" w:type="pct"/>
            <w:tcBorders>
              <w:top w:val="nil"/>
              <w:left w:val="nil"/>
              <w:bottom w:val="nil"/>
              <w:right w:val="nil"/>
            </w:tcBorders>
            <w:shd w:val="clear" w:color="auto" w:fill="auto"/>
            <w:vAlign w:val="center"/>
            <w:hideMark/>
          </w:tcPr>
          <w:p w14:paraId="0B34B89C" w14:textId="77777777" w:rsidR="006D0999" w:rsidRPr="000C5202" w:rsidRDefault="006D0999" w:rsidP="00BD3EC5">
            <w:pPr>
              <w:jc w:val="center"/>
              <w:rPr>
                <w:rFonts w:ascii="Arial" w:hAnsi="Arial" w:cs="Arial"/>
                <w:b/>
                <w:bCs/>
                <w:sz w:val="10"/>
                <w:szCs w:val="10"/>
                <w:lang w:eastAsia="es-AR"/>
              </w:rPr>
            </w:pPr>
          </w:p>
        </w:tc>
        <w:tc>
          <w:tcPr>
            <w:tcW w:w="434" w:type="pct"/>
            <w:tcBorders>
              <w:top w:val="nil"/>
              <w:left w:val="nil"/>
              <w:bottom w:val="nil"/>
              <w:right w:val="nil"/>
            </w:tcBorders>
            <w:shd w:val="clear" w:color="auto" w:fill="auto"/>
            <w:vAlign w:val="center"/>
            <w:hideMark/>
          </w:tcPr>
          <w:p w14:paraId="009AFE6F" w14:textId="77777777" w:rsidR="006D0999" w:rsidRPr="000C5202" w:rsidRDefault="006D0999" w:rsidP="00BD3EC5">
            <w:pPr>
              <w:jc w:val="center"/>
              <w:rPr>
                <w:rFonts w:ascii="Arial" w:hAnsi="Arial" w:cs="Arial"/>
                <w:sz w:val="10"/>
                <w:szCs w:val="10"/>
                <w:lang w:eastAsia="es-AR"/>
              </w:rPr>
            </w:pPr>
          </w:p>
        </w:tc>
        <w:tc>
          <w:tcPr>
            <w:tcW w:w="870" w:type="pct"/>
            <w:tcBorders>
              <w:top w:val="single" w:sz="4" w:space="0" w:color="auto"/>
              <w:left w:val="nil"/>
              <w:bottom w:val="nil"/>
              <w:right w:val="nil"/>
            </w:tcBorders>
          </w:tcPr>
          <w:p w14:paraId="68AF40F7" w14:textId="77777777" w:rsidR="006D0999" w:rsidRPr="000C5202" w:rsidRDefault="006D0999" w:rsidP="00BD3EC5">
            <w:pPr>
              <w:jc w:val="center"/>
              <w:rPr>
                <w:rFonts w:ascii="Arial" w:hAnsi="Arial" w:cs="Arial"/>
                <w:sz w:val="10"/>
                <w:szCs w:val="10"/>
                <w:lang w:eastAsia="es-AR"/>
              </w:rPr>
            </w:pPr>
          </w:p>
        </w:tc>
        <w:tc>
          <w:tcPr>
            <w:tcW w:w="957" w:type="pct"/>
            <w:tcBorders>
              <w:top w:val="single" w:sz="4" w:space="0" w:color="auto"/>
              <w:left w:val="nil"/>
              <w:bottom w:val="nil"/>
              <w:right w:val="nil"/>
            </w:tcBorders>
            <w:shd w:val="clear" w:color="auto" w:fill="auto"/>
            <w:vAlign w:val="center"/>
            <w:hideMark/>
          </w:tcPr>
          <w:p w14:paraId="3946F209" w14:textId="6FAD5BFF" w:rsidR="006D0999" w:rsidRPr="000C5202" w:rsidRDefault="006D0999" w:rsidP="00BD3EC5">
            <w:pPr>
              <w:jc w:val="center"/>
              <w:rPr>
                <w:rFonts w:ascii="Arial" w:hAnsi="Arial" w:cs="Arial"/>
                <w:sz w:val="10"/>
                <w:szCs w:val="10"/>
                <w:lang w:eastAsia="es-AR"/>
              </w:rPr>
            </w:pPr>
          </w:p>
        </w:tc>
      </w:tr>
      <w:tr w:rsidR="006D0999" w:rsidRPr="000C5202" w14:paraId="0B78CC32" w14:textId="77777777" w:rsidTr="006D0999">
        <w:trPr>
          <w:trHeight w:val="285"/>
        </w:trPr>
        <w:tc>
          <w:tcPr>
            <w:tcW w:w="2739" w:type="pct"/>
            <w:tcBorders>
              <w:top w:val="nil"/>
              <w:left w:val="nil"/>
              <w:bottom w:val="nil"/>
              <w:right w:val="nil"/>
            </w:tcBorders>
            <w:shd w:val="clear" w:color="auto" w:fill="auto"/>
            <w:vAlign w:val="center"/>
            <w:hideMark/>
          </w:tcPr>
          <w:p w14:paraId="5AF40CBE" w14:textId="72D077BA"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 xml:space="preserve">Ingresos por intereses </w:t>
            </w:r>
          </w:p>
        </w:tc>
        <w:tc>
          <w:tcPr>
            <w:tcW w:w="434" w:type="pct"/>
            <w:tcBorders>
              <w:top w:val="nil"/>
              <w:left w:val="nil"/>
              <w:bottom w:val="nil"/>
              <w:right w:val="nil"/>
            </w:tcBorders>
            <w:shd w:val="clear" w:color="auto" w:fill="auto"/>
            <w:vAlign w:val="center"/>
          </w:tcPr>
          <w:p w14:paraId="5F99AF16" w14:textId="45BDDB8F"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15.1</w:t>
            </w:r>
          </w:p>
        </w:tc>
        <w:tc>
          <w:tcPr>
            <w:tcW w:w="870" w:type="pct"/>
            <w:tcBorders>
              <w:top w:val="nil"/>
              <w:left w:val="nil"/>
              <w:bottom w:val="nil"/>
              <w:right w:val="nil"/>
            </w:tcBorders>
            <w:vAlign w:val="center"/>
          </w:tcPr>
          <w:p w14:paraId="3C8FFA88" w14:textId="187175E9" w:rsidR="006D0999" w:rsidRPr="00262BD5" w:rsidRDefault="006D0999" w:rsidP="006D0999">
            <w:pPr>
              <w:jc w:val="right"/>
              <w:rPr>
                <w:rFonts w:ascii="Arial" w:hAnsi="Arial" w:cs="Arial"/>
                <w:sz w:val="16"/>
                <w:szCs w:val="16"/>
              </w:rPr>
            </w:pPr>
            <w:r>
              <w:rPr>
                <w:rFonts w:ascii="Arial" w:hAnsi="Arial" w:cs="Arial"/>
                <w:color w:val="000000"/>
                <w:sz w:val="16"/>
                <w:szCs w:val="16"/>
              </w:rPr>
              <w:t>12.225.117</w:t>
            </w:r>
          </w:p>
        </w:tc>
        <w:tc>
          <w:tcPr>
            <w:tcW w:w="957" w:type="pct"/>
            <w:tcBorders>
              <w:top w:val="nil"/>
              <w:left w:val="nil"/>
              <w:bottom w:val="nil"/>
              <w:right w:val="nil"/>
            </w:tcBorders>
            <w:shd w:val="clear" w:color="auto" w:fill="auto"/>
            <w:noWrap/>
            <w:vAlign w:val="center"/>
          </w:tcPr>
          <w:p w14:paraId="6E4E3F10" w14:textId="53C519CD"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10.968.671</w:t>
            </w:r>
          </w:p>
        </w:tc>
      </w:tr>
      <w:tr w:rsidR="006D0999" w:rsidRPr="000C5202" w14:paraId="3A6F6EDF" w14:textId="77777777" w:rsidTr="006D0999">
        <w:trPr>
          <w:trHeight w:val="285"/>
        </w:trPr>
        <w:tc>
          <w:tcPr>
            <w:tcW w:w="2739" w:type="pct"/>
            <w:tcBorders>
              <w:top w:val="nil"/>
              <w:left w:val="nil"/>
              <w:bottom w:val="nil"/>
              <w:right w:val="nil"/>
            </w:tcBorders>
            <w:shd w:val="clear" w:color="auto" w:fill="auto"/>
            <w:vAlign w:val="center"/>
            <w:hideMark/>
          </w:tcPr>
          <w:p w14:paraId="343E562F" w14:textId="2803FBFF"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 xml:space="preserve">Egresos por intereses </w:t>
            </w:r>
          </w:p>
        </w:tc>
        <w:tc>
          <w:tcPr>
            <w:tcW w:w="434" w:type="pct"/>
            <w:tcBorders>
              <w:top w:val="nil"/>
              <w:left w:val="nil"/>
              <w:bottom w:val="nil"/>
              <w:right w:val="nil"/>
            </w:tcBorders>
            <w:shd w:val="clear" w:color="auto" w:fill="auto"/>
            <w:vAlign w:val="center"/>
          </w:tcPr>
          <w:p w14:paraId="567D0F81" w14:textId="1F9CD6A4"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15.3</w:t>
            </w:r>
          </w:p>
        </w:tc>
        <w:tc>
          <w:tcPr>
            <w:tcW w:w="870" w:type="pct"/>
            <w:tcBorders>
              <w:top w:val="nil"/>
              <w:left w:val="nil"/>
              <w:bottom w:val="nil"/>
              <w:right w:val="nil"/>
            </w:tcBorders>
            <w:vAlign w:val="center"/>
          </w:tcPr>
          <w:p w14:paraId="42A7C5A5" w14:textId="4B7BA31E" w:rsidR="006D0999" w:rsidRPr="00262BD5" w:rsidRDefault="006D0999" w:rsidP="006D0999">
            <w:pPr>
              <w:jc w:val="right"/>
              <w:rPr>
                <w:rFonts w:ascii="Arial" w:hAnsi="Arial" w:cs="Arial"/>
                <w:sz w:val="16"/>
                <w:szCs w:val="16"/>
              </w:rPr>
            </w:pPr>
            <w:r>
              <w:rPr>
                <w:rFonts w:ascii="Arial" w:hAnsi="Arial" w:cs="Arial"/>
                <w:color w:val="000000"/>
                <w:sz w:val="16"/>
                <w:szCs w:val="16"/>
              </w:rPr>
              <w:t>5.795.452</w:t>
            </w:r>
          </w:p>
        </w:tc>
        <w:tc>
          <w:tcPr>
            <w:tcW w:w="957" w:type="pct"/>
            <w:tcBorders>
              <w:top w:val="nil"/>
              <w:left w:val="nil"/>
              <w:bottom w:val="nil"/>
              <w:right w:val="nil"/>
            </w:tcBorders>
            <w:shd w:val="clear" w:color="auto" w:fill="auto"/>
            <w:noWrap/>
            <w:vAlign w:val="center"/>
          </w:tcPr>
          <w:p w14:paraId="2E3496EC" w14:textId="612D80FA"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9.784.737</w:t>
            </w:r>
          </w:p>
        </w:tc>
      </w:tr>
      <w:tr w:rsidR="006D0999" w:rsidRPr="000C5202" w14:paraId="246B0301" w14:textId="77777777" w:rsidTr="006D0999">
        <w:trPr>
          <w:trHeight w:val="285"/>
        </w:trPr>
        <w:tc>
          <w:tcPr>
            <w:tcW w:w="2739" w:type="pct"/>
            <w:tcBorders>
              <w:top w:val="nil"/>
              <w:left w:val="nil"/>
              <w:bottom w:val="nil"/>
              <w:right w:val="nil"/>
            </w:tcBorders>
            <w:shd w:val="clear" w:color="auto" w:fill="auto"/>
            <w:vAlign w:val="center"/>
            <w:hideMark/>
          </w:tcPr>
          <w:p w14:paraId="5FFD2917" w14:textId="77777777" w:rsidR="006D0999" w:rsidRPr="000C5202" w:rsidRDefault="006D0999" w:rsidP="006D0999">
            <w:pPr>
              <w:rPr>
                <w:rFonts w:ascii="Arial" w:hAnsi="Arial" w:cs="Arial"/>
                <w:b/>
                <w:bCs/>
                <w:sz w:val="16"/>
                <w:szCs w:val="16"/>
                <w:lang w:eastAsia="es-AR"/>
              </w:rPr>
            </w:pPr>
            <w:r w:rsidRPr="000C5202">
              <w:rPr>
                <w:rFonts w:ascii="Arial" w:hAnsi="Arial" w:cs="Arial"/>
                <w:b/>
                <w:bCs/>
                <w:sz w:val="16"/>
                <w:szCs w:val="16"/>
                <w:lang w:eastAsia="es-AR"/>
              </w:rPr>
              <w:t>Resultado neto por intereses</w:t>
            </w:r>
          </w:p>
        </w:tc>
        <w:tc>
          <w:tcPr>
            <w:tcW w:w="434" w:type="pct"/>
            <w:tcBorders>
              <w:top w:val="nil"/>
              <w:left w:val="nil"/>
              <w:bottom w:val="nil"/>
              <w:right w:val="nil"/>
            </w:tcBorders>
            <w:shd w:val="clear" w:color="auto" w:fill="auto"/>
            <w:vAlign w:val="center"/>
          </w:tcPr>
          <w:p w14:paraId="0E1E4D85" w14:textId="77777777" w:rsidR="006D0999" w:rsidRPr="000C5202" w:rsidRDefault="006D0999" w:rsidP="006D0999">
            <w:pPr>
              <w:jc w:val="center"/>
              <w:rPr>
                <w:rFonts w:ascii="Arial" w:hAnsi="Arial" w:cs="Arial"/>
                <w:b/>
                <w:bCs/>
                <w:sz w:val="16"/>
                <w:szCs w:val="16"/>
                <w:lang w:eastAsia="es-AR"/>
              </w:rPr>
            </w:pPr>
          </w:p>
        </w:tc>
        <w:tc>
          <w:tcPr>
            <w:tcW w:w="870" w:type="pct"/>
            <w:tcBorders>
              <w:top w:val="nil"/>
              <w:left w:val="nil"/>
              <w:bottom w:val="nil"/>
              <w:right w:val="nil"/>
            </w:tcBorders>
            <w:vAlign w:val="center"/>
          </w:tcPr>
          <w:p w14:paraId="3AEA4604" w14:textId="29B9D0D0" w:rsidR="006D0999" w:rsidRPr="00262BD5" w:rsidRDefault="006D0999" w:rsidP="006D0999">
            <w:pPr>
              <w:jc w:val="right"/>
              <w:rPr>
                <w:rFonts w:ascii="Arial" w:hAnsi="Arial" w:cs="Arial"/>
                <w:b/>
                <w:sz w:val="16"/>
                <w:szCs w:val="16"/>
              </w:rPr>
            </w:pPr>
            <w:r>
              <w:rPr>
                <w:rFonts w:ascii="Arial" w:hAnsi="Arial" w:cs="Arial"/>
                <w:b/>
                <w:bCs/>
                <w:color w:val="000000"/>
                <w:sz w:val="16"/>
                <w:szCs w:val="16"/>
              </w:rPr>
              <w:t>6.429.665</w:t>
            </w:r>
          </w:p>
        </w:tc>
        <w:tc>
          <w:tcPr>
            <w:tcW w:w="957" w:type="pct"/>
            <w:tcBorders>
              <w:top w:val="nil"/>
              <w:left w:val="nil"/>
              <w:bottom w:val="nil"/>
              <w:right w:val="nil"/>
            </w:tcBorders>
            <w:shd w:val="clear" w:color="auto" w:fill="auto"/>
            <w:noWrap/>
            <w:vAlign w:val="center"/>
          </w:tcPr>
          <w:p w14:paraId="382171CE" w14:textId="588C74CE" w:rsidR="006D0999" w:rsidRPr="00262BD5" w:rsidRDefault="006D0999" w:rsidP="006D0999">
            <w:pPr>
              <w:jc w:val="right"/>
              <w:rPr>
                <w:rFonts w:ascii="Arial" w:hAnsi="Arial" w:cs="Arial"/>
                <w:b/>
                <w:bCs/>
                <w:sz w:val="16"/>
                <w:szCs w:val="16"/>
                <w:lang w:eastAsia="es-AR"/>
              </w:rPr>
            </w:pPr>
            <w:r>
              <w:rPr>
                <w:rFonts w:ascii="Arial" w:hAnsi="Arial" w:cs="Arial"/>
                <w:b/>
                <w:bCs/>
                <w:color w:val="000000"/>
                <w:sz w:val="16"/>
                <w:szCs w:val="16"/>
              </w:rPr>
              <w:t>1.183.934</w:t>
            </w:r>
          </w:p>
        </w:tc>
      </w:tr>
      <w:tr w:rsidR="006D0999" w:rsidRPr="000C5202" w14:paraId="1BE0A829" w14:textId="77777777" w:rsidTr="006D0999">
        <w:trPr>
          <w:trHeight w:val="132"/>
        </w:trPr>
        <w:tc>
          <w:tcPr>
            <w:tcW w:w="2739" w:type="pct"/>
            <w:tcBorders>
              <w:top w:val="nil"/>
              <w:left w:val="nil"/>
              <w:bottom w:val="nil"/>
              <w:right w:val="nil"/>
            </w:tcBorders>
            <w:shd w:val="clear" w:color="auto" w:fill="auto"/>
            <w:vAlign w:val="center"/>
            <w:hideMark/>
          </w:tcPr>
          <w:p w14:paraId="385F1062" w14:textId="77777777" w:rsidR="006D0999" w:rsidRPr="000C5202" w:rsidRDefault="006D0999" w:rsidP="006D0999">
            <w:pPr>
              <w:rPr>
                <w:rFonts w:ascii="Arial" w:hAnsi="Arial" w:cs="Arial"/>
                <w:b/>
                <w:bCs/>
                <w:sz w:val="10"/>
                <w:szCs w:val="10"/>
                <w:lang w:eastAsia="es-AR"/>
              </w:rPr>
            </w:pPr>
          </w:p>
        </w:tc>
        <w:tc>
          <w:tcPr>
            <w:tcW w:w="434" w:type="pct"/>
            <w:tcBorders>
              <w:top w:val="nil"/>
              <w:left w:val="nil"/>
              <w:bottom w:val="nil"/>
              <w:right w:val="nil"/>
            </w:tcBorders>
            <w:shd w:val="clear" w:color="auto" w:fill="auto"/>
            <w:vAlign w:val="center"/>
          </w:tcPr>
          <w:p w14:paraId="32046355" w14:textId="77777777" w:rsidR="006D0999" w:rsidRPr="000C5202" w:rsidRDefault="006D0999" w:rsidP="006D0999">
            <w:pPr>
              <w:jc w:val="center"/>
              <w:rPr>
                <w:rFonts w:ascii="Arial" w:hAnsi="Arial" w:cs="Arial"/>
                <w:sz w:val="10"/>
                <w:szCs w:val="10"/>
                <w:lang w:eastAsia="es-AR"/>
              </w:rPr>
            </w:pPr>
          </w:p>
        </w:tc>
        <w:tc>
          <w:tcPr>
            <w:tcW w:w="870" w:type="pct"/>
            <w:tcBorders>
              <w:top w:val="nil"/>
              <w:left w:val="nil"/>
              <w:bottom w:val="nil"/>
              <w:right w:val="nil"/>
            </w:tcBorders>
            <w:vAlign w:val="center"/>
          </w:tcPr>
          <w:p w14:paraId="5E7B19A0" w14:textId="77777777" w:rsidR="006D0999" w:rsidRPr="00262BD5" w:rsidRDefault="006D0999" w:rsidP="006D0999">
            <w:pPr>
              <w:jc w:val="right"/>
              <w:rPr>
                <w:rFonts w:ascii="Arial" w:hAnsi="Arial" w:cs="Arial"/>
                <w:sz w:val="16"/>
                <w:szCs w:val="16"/>
                <w:lang w:eastAsia="es-AR"/>
              </w:rPr>
            </w:pPr>
          </w:p>
        </w:tc>
        <w:tc>
          <w:tcPr>
            <w:tcW w:w="957" w:type="pct"/>
            <w:tcBorders>
              <w:top w:val="nil"/>
              <w:left w:val="nil"/>
              <w:bottom w:val="nil"/>
              <w:right w:val="nil"/>
            </w:tcBorders>
            <w:shd w:val="clear" w:color="auto" w:fill="auto"/>
            <w:noWrap/>
            <w:vAlign w:val="center"/>
          </w:tcPr>
          <w:p w14:paraId="1DE4CD2B" w14:textId="22FC752D" w:rsidR="006D0999" w:rsidRPr="00262BD5" w:rsidRDefault="006D0999" w:rsidP="006D0999">
            <w:pPr>
              <w:jc w:val="right"/>
              <w:rPr>
                <w:rFonts w:ascii="Arial" w:hAnsi="Arial" w:cs="Arial"/>
                <w:sz w:val="16"/>
                <w:szCs w:val="16"/>
                <w:lang w:eastAsia="es-AR"/>
              </w:rPr>
            </w:pPr>
          </w:p>
        </w:tc>
      </w:tr>
      <w:tr w:rsidR="006D0999" w:rsidRPr="000C5202" w14:paraId="12999409" w14:textId="77777777" w:rsidTr="006D0999">
        <w:trPr>
          <w:trHeight w:val="285"/>
        </w:trPr>
        <w:tc>
          <w:tcPr>
            <w:tcW w:w="2739" w:type="pct"/>
            <w:tcBorders>
              <w:top w:val="nil"/>
              <w:left w:val="nil"/>
              <w:bottom w:val="nil"/>
              <w:right w:val="nil"/>
            </w:tcBorders>
            <w:shd w:val="clear" w:color="auto" w:fill="auto"/>
            <w:vAlign w:val="center"/>
            <w:hideMark/>
          </w:tcPr>
          <w:p w14:paraId="149FF8E0" w14:textId="163A6686"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 xml:space="preserve">Ingresos por comisiones </w:t>
            </w:r>
          </w:p>
        </w:tc>
        <w:tc>
          <w:tcPr>
            <w:tcW w:w="434" w:type="pct"/>
            <w:tcBorders>
              <w:top w:val="nil"/>
              <w:left w:val="nil"/>
              <w:bottom w:val="nil"/>
              <w:right w:val="nil"/>
            </w:tcBorders>
            <w:shd w:val="clear" w:color="auto" w:fill="auto"/>
            <w:vAlign w:val="center"/>
          </w:tcPr>
          <w:p w14:paraId="581B63E5" w14:textId="5EE31550"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15.2</w:t>
            </w:r>
          </w:p>
        </w:tc>
        <w:tc>
          <w:tcPr>
            <w:tcW w:w="870" w:type="pct"/>
            <w:tcBorders>
              <w:top w:val="nil"/>
              <w:left w:val="nil"/>
              <w:bottom w:val="nil"/>
              <w:right w:val="nil"/>
            </w:tcBorders>
            <w:vAlign w:val="center"/>
          </w:tcPr>
          <w:p w14:paraId="28280493" w14:textId="1F69FA59" w:rsidR="006D0999" w:rsidRPr="00262BD5" w:rsidRDefault="006D0999" w:rsidP="006D0999">
            <w:pPr>
              <w:jc w:val="right"/>
              <w:rPr>
                <w:rFonts w:ascii="Arial" w:hAnsi="Arial" w:cs="Arial"/>
                <w:sz w:val="16"/>
                <w:szCs w:val="16"/>
              </w:rPr>
            </w:pPr>
            <w:r>
              <w:rPr>
                <w:rFonts w:ascii="Arial" w:hAnsi="Arial" w:cs="Arial"/>
                <w:color w:val="000000"/>
                <w:sz w:val="16"/>
                <w:szCs w:val="16"/>
              </w:rPr>
              <w:t>1.856.415</w:t>
            </w:r>
          </w:p>
        </w:tc>
        <w:tc>
          <w:tcPr>
            <w:tcW w:w="957" w:type="pct"/>
            <w:tcBorders>
              <w:top w:val="nil"/>
              <w:left w:val="nil"/>
              <w:bottom w:val="nil"/>
              <w:right w:val="nil"/>
            </w:tcBorders>
            <w:shd w:val="clear" w:color="auto" w:fill="auto"/>
            <w:noWrap/>
            <w:vAlign w:val="center"/>
          </w:tcPr>
          <w:p w14:paraId="3D5E47C3" w14:textId="3FB5F74F"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1.797.856</w:t>
            </w:r>
          </w:p>
        </w:tc>
      </w:tr>
      <w:tr w:rsidR="006D0999" w:rsidRPr="000C5202" w14:paraId="36F2D92F" w14:textId="77777777" w:rsidTr="006D0999">
        <w:trPr>
          <w:trHeight w:val="285"/>
        </w:trPr>
        <w:tc>
          <w:tcPr>
            <w:tcW w:w="2739" w:type="pct"/>
            <w:tcBorders>
              <w:top w:val="nil"/>
              <w:left w:val="nil"/>
              <w:bottom w:val="nil"/>
              <w:right w:val="nil"/>
            </w:tcBorders>
            <w:shd w:val="clear" w:color="auto" w:fill="auto"/>
            <w:vAlign w:val="center"/>
            <w:hideMark/>
          </w:tcPr>
          <w:p w14:paraId="28D0C80E" w14:textId="29E9F015"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 xml:space="preserve">Egresos por comisiones </w:t>
            </w:r>
          </w:p>
        </w:tc>
        <w:tc>
          <w:tcPr>
            <w:tcW w:w="434" w:type="pct"/>
            <w:tcBorders>
              <w:top w:val="nil"/>
              <w:left w:val="nil"/>
              <w:bottom w:val="nil"/>
              <w:right w:val="nil"/>
            </w:tcBorders>
            <w:shd w:val="clear" w:color="auto" w:fill="auto"/>
            <w:vAlign w:val="center"/>
          </w:tcPr>
          <w:p w14:paraId="6C97900F" w14:textId="48B57FB2"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15.4</w:t>
            </w:r>
          </w:p>
        </w:tc>
        <w:tc>
          <w:tcPr>
            <w:tcW w:w="870" w:type="pct"/>
            <w:tcBorders>
              <w:top w:val="nil"/>
              <w:left w:val="nil"/>
              <w:bottom w:val="nil"/>
              <w:right w:val="nil"/>
            </w:tcBorders>
            <w:vAlign w:val="center"/>
          </w:tcPr>
          <w:p w14:paraId="2EDDE75B" w14:textId="42DD5669" w:rsidR="006D0999" w:rsidRPr="00262BD5" w:rsidRDefault="006D0999" w:rsidP="006D0999">
            <w:pPr>
              <w:jc w:val="right"/>
              <w:rPr>
                <w:rFonts w:ascii="Arial" w:hAnsi="Arial" w:cs="Arial"/>
                <w:sz w:val="16"/>
                <w:szCs w:val="16"/>
              </w:rPr>
            </w:pPr>
            <w:r>
              <w:rPr>
                <w:rFonts w:ascii="Arial" w:hAnsi="Arial" w:cs="Arial"/>
                <w:color w:val="000000"/>
                <w:sz w:val="16"/>
                <w:szCs w:val="16"/>
              </w:rPr>
              <w:t>485.037</w:t>
            </w:r>
          </w:p>
        </w:tc>
        <w:tc>
          <w:tcPr>
            <w:tcW w:w="957" w:type="pct"/>
            <w:tcBorders>
              <w:top w:val="nil"/>
              <w:left w:val="nil"/>
              <w:bottom w:val="nil"/>
              <w:right w:val="nil"/>
            </w:tcBorders>
            <w:shd w:val="clear" w:color="auto" w:fill="auto"/>
            <w:noWrap/>
            <w:vAlign w:val="center"/>
          </w:tcPr>
          <w:p w14:paraId="482F2FE2" w14:textId="4048C346"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396.275</w:t>
            </w:r>
          </w:p>
        </w:tc>
      </w:tr>
      <w:tr w:rsidR="006D0999" w:rsidRPr="000C5202" w14:paraId="7AD1CDB5" w14:textId="77777777" w:rsidTr="006D0999">
        <w:trPr>
          <w:trHeight w:val="285"/>
        </w:trPr>
        <w:tc>
          <w:tcPr>
            <w:tcW w:w="2739" w:type="pct"/>
            <w:tcBorders>
              <w:top w:val="nil"/>
              <w:left w:val="nil"/>
              <w:bottom w:val="nil"/>
              <w:right w:val="nil"/>
            </w:tcBorders>
            <w:shd w:val="clear" w:color="auto" w:fill="auto"/>
            <w:vAlign w:val="center"/>
            <w:hideMark/>
          </w:tcPr>
          <w:p w14:paraId="1D82BA5E" w14:textId="77777777" w:rsidR="006D0999" w:rsidRPr="000C5202" w:rsidRDefault="006D0999" w:rsidP="006D0999">
            <w:pPr>
              <w:rPr>
                <w:rFonts w:ascii="Arial" w:hAnsi="Arial" w:cs="Arial"/>
                <w:b/>
                <w:bCs/>
                <w:sz w:val="16"/>
                <w:szCs w:val="16"/>
                <w:lang w:eastAsia="es-AR"/>
              </w:rPr>
            </w:pPr>
            <w:r w:rsidRPr="000C5202">
              <w:rPr>
                <w:rFonts w:ascii="Arial" w:hAnsi="Arial" w:cs="Arial"/>
                <w:b/>
                <w:bCs/>
                <w:sz w:val="16"/>
                <w:szCs w:val="16"/>
                <w:lang w:eastAsia="es-AR"/>
              </w:rPr>
              <w:t>Resultado neto por comisiones</w:t>
            </w:r>
          </w:p>
        </w:tc>
        <w:tc>
          <w:tcPr>
            <w:tcW w:w="434" w:type="pct"/>
            <w:tcBorders>
              <w:top w:val="nil"/>
              <w:left w:val="nil"/>
              <w:bottom w:val="nil"/>
              <w:right w:val="nil"/>
            </w:tcBorders>
            <w:shd w:val="clear" w:color="auto" w:fill="auto"/>
            <w:vAlign w:val="center"/>
          </w:tcPr>
          <w:p w14:paraId="3B34625E" w14:textId="77777777" w:rsidR="006D0999" w:rsidRPr="000C5202" w:rsidRDefault="006D0999" w:rsidP="006D0999">
            <w:pPr>
              <w:jc w:val="center"/>
              <w:rPr>
                <w:rFonts w:ascii="Arial" w:hAnsi="Arial" w:cs="Arial"/>
                <w:b/>
                <w:bCs/>
                <w:sz w:val="16"/>
                <w:szCs w:val="16"/>
                <w:lang w:eastAsia="es-AR"/>
              </w:rPr>
            </w:pPr>
          </w:p>
        </w:tc>
        <w:tc>
          <w:tcPr>
            <w:tcW w:w="870" w:type="pct"/>
            <w:tcBorders>
              <w:top w:val="nil"/>
              <w:left w:val="nil"/>
              <w:bottom w:val="nil"/>
              <w:right w:val="nil"/>
            </w:tcBorders>
            <w:vAlign w:val="center"/>
          </w:tcPr>
          <w:p w14:paraId="5B0733B5" w14:textId="4278390F" w:rsidR="006D0999" w:rsidRPr="00262BD5" w:rsidRDefault="006D0999" w:rsidP="006D0999">
            <w:pPr>
              <w:jc w:val="right"/>
              <w:rPr>
                <w:rFonts w:ascii="Arial" w:hAnsi="Arial" w:cs="Arial"/>
                <w:b/>
                <w:sz w:val="16"/>
                <w:szCs w:val="16"/>
              </w:rPr>
            </w:pPr>
            <w:r>
              <w:rPr>
                <w:rFonts w:ascii="Arial" w:hAnsi="Arial" w:cs="Arial"/>
                <w:b/>
                <w:bCs/>
                <w:color w:val="000000"/>
                <w:sz w:val="16"/>
                <w:szCs w:val="16"/>
              </w:rPr>
              <w:t>1.371.378</w:t>
            </w:r>
          </w:p>
        </w:tc>
        <w:tc>
          <w:tcPr>
            <w:tcW w:w="957" w:type="pct"/>
            <w:tcBorders>
              <w:top w:val="nil"/>
              <w:left w:val="nil"/>
              <w:bottom w:val="nil"/>
              <w:right w:val="nil"/>
            </w:tcBorders>
            <w:shd w:val="clear" w:color="auto" w:fill="auto"/>
            <w:noWrap/>
            <w:vAlign w:val="center"/>
          </w:tcPr>
          <w:p w14:paraId="3AB6D7A9" w14:textId="1931CC1E" w:rsidR="006D0999" w:rsidRPr="00262BD5" w:rsidRDefault="006D0999" w:rsidP="006D0999">
            <w:pPr>
              <w:jc w:val="right"/>
              <w:rPr>
                <w:rFonts w:ascii="Arial" w:hAnsi="Arial" w:cs="Arial"/>
                <w:b/>
                <w:bCs/>
                <w:sz w:val="16"/>
                <w:szCs w:val="16"/>
                <w:lang w:eastAsia="es-AR"/>
              </w:rPr>
            </w:pPr>
            <w:r>
              <w:rPr>
                <w:rFonts w:ascii="Arial" w:hAnsi="Arial" w:cs="Arial"/>
                <w:b/>
                <w:bCs/>
                <w:color w:val="000000"/>
                <w:sz w:val="16"/>
                <w:szCs w:val="16"/>
              </w:rPr>
              <w:t>1.401.581</w:t>
            </w:r>
          </w:p>
        </w:tc>
      </w:tr>
      <w:tr w:rsidR="006D0999" w:rsidRPr="000C5202" w14:paraId="035B29B8" w14:textId="77777777" w:rsidTr="006D0999">
        <w:trPr>
          <w:trHeight w:val="145"/>
        </w:trPr>
        <w:tc>
          <w:tcPr>
            <w:tcW w:w="2739" w:type="pct"/>
            <w:tcBorders>
              <w:top w:val="nil"/>
              <w:left w:val="nil"/>
              <w:bottom w:val="nil"/>
              <w:right w:val="nil"/>
            </w:tcBorders>
            <w:shd w:val="clear" w:color="auto" w:fill="auto"/>
            <w:vAlign w:val="center"/>
            <w:hideMark/>
          </w:tcPr>
          <w:p w14:paraId="5DCD88C5" w14:textId="77777777" w:rsidR="006D0999" w:rsidRPr="000C5202" w:rsidRDefault="006D0999" w:rsidP="006D0999">
            <w:pPr>
              <w:rPr>
                <w:rFonts w:ascii="Arial" w:hAnsi="Arial" w:cs="Arial"/>
                <w:b/>
                <w:bCs/>
                <w:sz w:val="10"/>
                <w:szCs w:val="10"/>
                <w:lang w:eastAsia="es-AR"/>
              </w:rPr>
            </w:pPr>
          </w:p>
        </w:tc>
        <w:tc>
          <w:tcPr>
            <w:tcW w:w="434" w:type="pct"/>
            <w:tcBorders>
              <w:top w:val="nil"/>
              <w:left w:val="nil"/>
              <w:bottom w:val="nil"/>
              <w:right w:val="nil"/>
            </w:tcBorders>
            <w:shd w:val="clear" w:color="auto" w:fill="auto"/>
            <w:vAlign w:val="center"/>
          </w:tcPr>
          <w:p w14:paraId="3104DCB0" w14:textId="77777777" w:rsidR="006D0999" w:rsidRPr="000C5202" w:rsidRDefault="006D0999" w:rsidP="006D0999">
            <w:pPr>
              <w:jc w:val="center"/>
              <w:rPr>
                <w:rFonts w:ascii="Arial" w:hAnsi="Arial" w:cs="Arial"/>
                <w:sz w:val="10"/>
                <w:szCs w:val="10"/>
                <w:lang w:eastAsia="es-AR"/>
              </w:rPr>
            </w:pPr>
          </w:p>
        </w:tc>
        <w:tc>
          <w:tcPr>
            <w:tcW w:w="870" w:type="pct"/>
            <w:tcBorders>
              <w:top w:val="nil"/>
              <w:left w:val="nil"/>
              <w:bottom w:val="nil"/>
              <w:right w:val="nil"/>
            </w:tcBorders>
            <w:vAlign w:val="center"/>
          </w:tcPr>
          <w:p w14:paraId="412333E7" w14:textId="77777777" w:rsidR="006D0999" w:rsidRPr="00262BD5" w:rsidRDefault="006D0999" w:rsidP="006D0999">
            <w:pPr>
              <w:jc w:val="right"/>
              <w:rPr>
                <w:rFonts w:ascii="Arial" w:hAnsi="Arial" w:cs="Arial"/>
                <w:sz w:val="16"/>
                <w:szCs w:val="16"/>
                <w:lang w:eastAsia="es-AR"/>
              </w:rPr>
            </w:pPr>
          </w:p>
        </w:tc>
        <w:tc>
          <w:tcPr>
            <w:tcW w:w="957" w:type="pct"/>
            <w:tcBorders>
              <w:top w:val="nil"/>
              <w:left w:val="nil"/>
              <w:bottom w:val="nil"/>
              <w:right w:val="nil"/>
            </w:tcBorders>
            <w:shd w:val="clear" w:color="auto" w:fill="auto"/>
            <w:noWrap/>
            <w:vAlign w:val="center"/>
          </w:tcPr>
          <w:p w14:paraId="7E825E7A" w14:textId="3E579606" w:rsidR="006D0999" w:rsidRPr="00262BD5" w:rsidRDefault="006D0999" w:rsidP="006D0999">
            <w:pPr>
              <w:jc w:val="right"/>
              <w:rPr>
                <w:rFonts w:ascii="Arial" w:hAnsi="Arial" w:cs="Arial"/>
                <w:sz w:val="16"/>
                <w:szCs w:val="16"/>
                <w:lang w:eastAsia="es-AR"/>
              </w:rPr>
            </w:pPr>
          </w:p>
        </w:tc>
      </w:tr>
      <w:tr w:rsidR="006D0999" w:rsidRPr="000C5202" w14:paraId="5807CE79" w14:textId="77777777" w:rsidTr="006D0999">
        <w:trPr>
          <w:trHeight w:val="510"/>
        </w:trPr>
        <w:tc>
          <w:tcPr>
            <w:tcW w:w="2739" w:type="pct"/>
            <w:tcBorders>
              <w:top w:val="nil"/>
              <w:left w:val="nil"/>
              <w:bottom w:val="nil"/>
              <w:right w:val="nil"/>
            </w:tcBorders>
            <w:shd w:val="clear" w:color="auto" w:fill="auto"/>
            <w:vAlign w:val="center"/>
            <w:hideMark/>
          </w:tcPr>
          <w:p w14:paraId="5B5C2D44" w14:textId="41201FD8"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 xml:space="preserve">Resultado neto por medición de instrumentos financieros a valor razonable con cambios en resultados </w:t>
            </w:r>
          </w:p>
        </w:tc>
        <w:tc>
          <w:tcPr>
            <w:tcW w:w="434" w:type="pct"/>
            <w:tcBorders>
              <w:top w:val="nil"/>
              <w:left w:val="nil"/>
              <w:bottom w:val="nil"/>
              <w:right w:val="nil"/>
            </w:tcBorders>
            <w:shd w:val="clear" w:color="auto" w:fill="auto"/>
            <w:vAlign w:val="center"/>
          </w:tcPr>
          <w:p w14:paraId="7A417718" w14:textId="75F09D23"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15.5</w:t>
            </w:r>
          </w:p>
        </w:tc>
        <w:tc>
          <w:tcPr>
            <w:tcW w:w="870" w:type="pct"/>
            <w:tcBorders>
              <w:top w:val="nil"/>
              <w:left w:val="nil"/>
              <w:bottom w:val="nil"/>
              <w:right w:val="nil"/>
            </w:tcBorders>
            <w:vAlign w:val="center"/>
          </w:tcPr>
          <w:p w14:paraId="36E31890" w14:textId="2670624F" w:rsidR="006D0999" w:rsidRPr="00262BD5" w:rsidRDefault="006D0999" w:rsidP="006D0999">
            <w:pPr>
              <w:jc w:val="right"/>
              <w:rPr>
                <w:rFonts w:ascii="Arial" w:hAnsi="Arial" w:cs="Arial"/>
                <w:sz w:val="16"/>
                <w:szCs w:val="16"/>
              </w:rPr>
            </w:pPr>
            <w:r>
              <w:rPr>
                <w:rFonts w:ascii="Arial" w:hAnsi="Arial" w:cs="Arial"/>
                <w:color w:val="000000"/>
                <w:sz w:val="16"/>
                <w:szCs w:val="16"/>
              </w:rPr>
              <w:t>114.207</w:t>
            </w:r>
          </w:p>
        </w:tc>
        <w:tc>
          <w:tcPr>
            <w:tcW w:w="957" w:type="pct"/>
            <w:tcBorders>
              <w:top w:val="nil"/>
              <w:left w:val="nil"/>
              <w:bottom w:val="nil"/>
              <w:right w:val="nil"/>
            </w:tcBorders>
            <w:shd w:val="clear" w:color="auto" w:fill="auto"/>
            <w:noWrap/>
            <w:vAlign w:val="center"/>
          </w:tcPr>
          <w:p w14:paraId="0328498D" w14:textId="40782825"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6.759.608</w:t>
            </w:r>
          </w:p>
        </w:tc>
      </w:tr>
      <w:tr w:rsidR="006D0999" w:rsidRPr="000C5202" w14:paraId="16559E36" w14:textId="77777777" w:rsidTr="006D0999">
        <w:trPr>
          <w:trHeight w:val="285"/>
        </w:trPr>
        <w:tc>
          <w:tcPr>
            <w:tcW w:w="2739" w:type="pct"/>
            <w:tcBorders>
              <w:top w:val="nil"/>
              <w:left w:val="nil"/>
              <w:bottom w:val="nil"/>
              <w:right w:val="nil"/>
            </w:tcBorders>
            <w:shd w:val="clear" w:color="auto" w:fill="auto"/>
            <w:vAlign w:val="center"/>
          </w:tcPr>
          <w:p w14:paraId="25C5191F" w14:textId="21E67913" w:rsidR="006D0999" w:rsidRPr="000C5202" w:rsidRDefault="006D0999" w:rsidP="006D0999">
            <w:pPr>
              <w:rPr>
                <w:rFonts w:ascii="Arial" w:hAnsi="Arial" w:cs="Arial"/>
                <w:sz w:val="16"/>
                <w:szCs w:val="16"/>
                <w:lang w:eastAsia="es-AR"/>
              </w:rPr>
            </w:pPr>
            <w:r w:rsidRPr="006D0999">
              <w:rPr>
                <w:rFonts w:ascii="Arial" w:hAnsi="Arial" w:cs="Arial"/>
                <w:sz w:val="16"/>
                <w:szCs w:val="16"/>
                <w:lang w:eastAsia="es-AR"/>
              </w:rPr>
              <w:t>Resultado por baja de activos medidos a costo amortizado</w:t>
            </w:r>
          </w:p>
        </w:tc>
        <w:tc>
          <w:tcPr>
            <w:tcW w:w="434" w:type="pct"/>
            <w:tcBorders>
              <w:top w:val="nil"/>
              <w:left w:val="nil"/>
              <w:bottom w:val="nil"/>
              <w:right w:val="nil"/>
            </w:tcBorders>
            <w:shd w:val="clear" w:color="auto" w:fill="auto"/>
            <w:vAlign w:val="center"/>
          </w:tcPr>
          <w:p w14:paraId="15617BC1" w14:textId="77777777" w:rsidR="006D0999" w:rsidRPr="000C5202" w:rsidRDefault="006D0999" w:rsidP="006D0999">
            <w:pPr>
              <w:jc w:val="center"/>
              <w:rPr>
                <w:rFonts w:ascii="Arial" w:hAnsi="Arial" w:cs="Arial"/>
                <w:sz w:val="16"/>
                <w:szCs w:val="16"/>
                <w:lang w:eastAsia="es-AR"/>
              </w:rPr>
            </w:pPr>
          </w:p>
        </w:tc>
        <w:tc>
          <w:tcPr>
            <w:tcW w:w="870" w:type="pct"/>
            <w:tcBorders>
              <w:top w:val="nil"/>
              <w:left w:val="nil"/>
              <w:bottom w:val="nil"/>
              <w:right w:val="nil"/>
            </w:tcBorders>
            <w:vAlign w:val="center"/>
          </w:tcPr>
          <w:p w14:paraId="57D54526" w14:textId="5CA8FD2A" w:rsidR="006D0999" w:rsidRPr="00262BD5" w:rsidRDefault="006D0999" w:rsidP="006D0999">
            <w:pPr>
              <w:jc w:val="right"/>
              <w:rPr>
                <w:rFonts w:ascii="Arial" w:hAnsi="Arial" w:cs="Arial"/>
                <w:sz w:val="16"/>
                <w:szCs w:val="16"/>
              </w:rPr>
            </w:pPr>
            <w:r>
              <w:rPr>
                <w:rFonts w:ascii="Arial" w:hAnsi="Arial" w:cs="Arial"/>
                <w:color w:val="000000"/>
                <w:sz w:val="16"/>
                <w:szCs w:val="16"/>
              </w:rPr>
              <w:t>11.634</w:t>
            </w:r>
          </w:p>
        </w:tc>
        <w:tc>
          <w:tcPr>
            <w:tcW w:w="957" w:type="pct"/>
            <w:tcBorders>
              <w:top w:val="nil"/>
              <w:left w:val="nil"/>
              <w:bottom w:val="nil"/>
              <w:right w:val="nil"/>
            </w:tcBorders>
            <w:shd w:val="clear" w:color="auto" w:fill="auto"/>
            <w:noWrap/>
            <w:vAlign w:val="center"/>
          </w:tcPr>
          <w:p w14:paraId="2BCA98D3" w14:textId="5A051969"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w:t>
            </w:r>
          </w:p>
        </w:tc>
      </w:tr>
      <w:tr w:rsidR="006D0999" w:rsidRPr="000C5202" w14:paraId="23CCD232" w14:textId="77777777" w:rsidTr="006D0999">
        <w:trPr>
          <w:trHeight w:val="285"/>
        </w:trPr>
        <w:tc>
          <w:tcPr>
            <w:tcW w:w="2739" w:type="pct"/>
            <w:tcBorders>
              <w:top w:val="nil"/>
              <w:left w:val="nil"/>
              <w:bottom w:val="nil"/>
              <w:right w:val="nil"/>
            </w:tcBorders>
            <w:shd w:val="clear" w:color="auto" w:fill="auto"/>
            <w:vAlign w:val="center"/>
            <w:hideMark/>
          </w:tcPr>
          <w:p w14:paraId="49B6967A" w14:textId="2C04DB4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Diferencia de cotización de oro y moneda extranjera</w:t>
            </w:r>
          </w:p>
        </w:tc>
        <w:tc>
          <w:tcPr>
            <w:tcW w:w="434" w:type="pct"/>
            <w:tcBorders>
              <w:top w:val="nil"/>
              <w:left w:val="nil"/>
              <w:bottom w:val="nil"/>
              <w:right w:val="nil"/>
            </w:tcBorders>
            <w:shd w:val="clear" w:color="auto" w:fill="auto"/>
            <w:vAlign w:val="center"/>
          </w:tcPr>
          <w:p w14:paraId="7CB7B36A" w14:textId="77777777" w:rsidR="006D0999" w:rsidRPr="000C5202" w:rsidRDefault="006D0999" w:rsidP="006D0999">
            <w:pPr>
              <w:jc w:val="center"/>
              <w:rPr>
                <w:rFonts w:ascii="Arial" w:hAnsi="Arial" w:cs="Arial"/>
                <w:sz w:val="16"/>
                <w:szCs w:val="16"/>
                <w:lang w:eastAsia="es-AR"/>
              </w:rPr>
            </w:pPr>
          </w:p>
        </w:tc>
        <w:tc>
          <w:tcPr>
            <w:tcW w:w="870" w:type="pct"/>
            <w:tcBorders>
              <w:top w:val="nil"/>
              <w:left w:val="nil"/>
              <w:bottom w:val="nil"/>
              <w:right w:val="nil"/>
            </w:tcBorders>
            <w:vAlign w:val="center"/>
          </w:tcPr>
          <w:p w14:paraId="386220B5" w14:textId="10ACB33B" w:rsidR="006D0999" w:rsidRPr="00262BD5" w:rsidRDefault="006D0999" w:rsidP="006D0999">
            <w:pPr>
              <w:jc w:val="right"/>
              <w:rPr>
                <w:rFonts w:ascii="Arial" w:hAnsi="Arial" w:cs="Arial"/>
                <w:sz w:val="16"/>
                <w:szCs w:val="16"/>
              </w:rPr>
            </w:pPr>
            <w:r>
              <w:rPr>
                <w:rFonts w:ascii="Arial" w:hAnsi="Arial" w:cs="Arial"/>
                <w:color w:val="000000"/>
                <w:sz w:val="16"/>
                <w:szCs w:val="16"/>
              </w:rPr>
              <w:t>81.348</w:t>
            </w:r>
          </w:p>
        </w:tc>
        <w:tc>
          <w:tcPr>
            <w:tcW w:w="957" w:type="pct"/>
            <w:tcBorders>
              <w:top w:val="nil"/>
              <w:left w:val="nil"/>
              <w:bottom w:val="nil"/>
              <w:right w:val="nil"/>
            </w:tcBorders>
            <w:shd w:val="clear" w:color="auto" w:fill="auto"/>
            <w:noWrap/>
            <w:vAlign w:val="center"/>
          </w:tcPr>
          <w:p w14:paraId="5386E00A" w14:textId="4C6488FE"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-467.999</w:t>
            </w:r>
          </w:p>
        </w:tc>
      </w:tr>
      <w:tr w:rsidR="006D0999" w:rsidRPr="000C5202" w14:paraId="47A8FCC5" w14:textId="77777777" w:rsidTr="006D0999">
        <w:trPr>
          <w:trHeight w:val="285"/>
        </w:trPr>
        <w:tc>
          <w:tcPr>
            <w:tcW w:w="2739" w:type="pct"/>
            <w:tcBorders>
              <w:top w:val="nil"/>
              <w:left w:val="nil"/>
              <w:bottom w:val="nil"/>
              <w:right w:val="nil"/>
            </w:tcBorders>
            <w:shd w:val="clear" w:color="auto" w:fill="auto"/>
            <w:vAlign w:val="center"/>
            <w:hideMark/>
          </w:tcPr>
          <w:p w14:paraId="03A89B30" w14:textId="7777777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Otros ingresos operativos</w:t>
            </w:r>
          </w:p>
        </w:tc>
        <w:tc>
          <w:tcPr>
            <w:tcW w:w="434" w:type="pct"/>
            <w:tcBorders>
              <w:top w:val="nil"/>
              <w:left w:val="nil"/>
              <w:bottom w:val="nil"/>
              <w:right w:val="nil"/>
            </w:tcBorders>
            <w:shd w:val="clear" w:color="auto" w:fill="auto"/>
            <w:vAlign w:val="center"/>
          </w:tcPr>
          <w:p w14:paraId="76563DCD" w14:textId="2AC940E0"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15.6</w:t>
            </w:r>
          </w:p>
        </w:tc>
        <w:tc>
          <w:tcPr>
            <w:tcW w:w="870" w:type="pct"/>
            <w:tcBorders>
              <w:top w:val="nil"/>
              <w:left w:val="nil"/>
              <w:bottom w:val="nil"/>
              <w:right w:val="nil"/>
            </w:tcBorders>
            <w:vAlign w:val="center"/>
          </w:tcPr>
          <w:p w14:paraId="7DE87249" w14:textId="47E858B5" w:rsidR="006D0999" w:rsidRPr="00262BD5" w:rsidRDefault="006D0999" w:rsidP="006D0999">
            <w:pPr>
              <w:jc w:val="right"/>
              <w:rPr>
                <w:rFonts w:ascii="Arial" w:hAnsi="Arial" w:cs="Arial"/>
                <w:sz w:val="16"/>
                <w:szCs w:val="16"/>
              </w:rPr>
            </w:pPr>
            <w:r>
              <w:rPr>
                <w:rFonts w:ascii="Arial" w:hAnsi="Arial" w:cs="Arial"/>
                <w:color w:val="000000"/>
                <w:sz w:val="16"/>
                <w:szCs w:val="16"/>
              </w:rPr>
              <w:t>724.346</w:t>
            </w:r>
          </w:p>
        </w:tc>
        <w:tc>
          <w:tcPr>
            <w:tcW w:w="957" w:type="pct"/>
            <w:tcBorders>
              <w:top w:val="nil"/>
              <w:left w:val="nil"/>
              <w:bottom w:val="nil"/>
              <w:right w:val="nil"/>
            </w:tcBorders>
            <w:shd w:val="clear" w:color="auto" w:fill="auto"/>
            <w:noWrap/>
            <w:vAlign w:val="center"/>
          </w:tcPr>
          <w:p w14:paraId="0DBBAB52" w14:textId="379FE8D4"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675.930</w:t>
            </w:r>
          </w:p>
        </w:tc>
      </w:tr>
      <w:tr w:rsidR="006D0999" w:rsidRPr="000C5202" w14:paraId="671A4437" w14:textId="77777777" w:rsidTr="006D0999">
        <w:trPr>
          <w:trHeight w:val="285"/>
        </w:trPr>
        <w:tc>
          <w:tcPr>
            <w:tcW w:w="2739" w:type="pct"/>
            <w:tcBorders>
              <w:top w:val="nil"/>
              <w:left w:val="nil"/>
              <w:bottom w:val="nil"/>
              <w:right w:val="nil"/>
            </w:tcBorders>
            <w:shd w:val="clear" w:color="auto" w:fill="auto"/>
            <w:vAlign w:val="center"/>
            <w:hideMark/>
          </w:tcPr>
          <w:p w14:paraId="38F5DD18" w14:textId="3AE9FF08"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 xml:space="preserve">Cargo por incobrabilidad </w:t>
            </w:r>
          </w:p>
        </w:tc>
        <w:tc>
          <w:tcPr>
            <w:tcW w:w="434" w:type="pct"/>
            <w:tcBorders>
              <w:top w:val="nil"/>
              <w:left w:val="nil"/>
              <w:bottom w:val="nil"/>
              <w:right w:val="nil"/>
            </w:tcBorders>
            <w:shd w:val="clear" w:color="auto" w:fill="auto"/>
            <w:vAlign w:val="center"/>
          </w:tcPr>
          <w:p w14:paraId="4B2FBF27" w14:textId="77777777" w:rsidR="006D0999" w:rsidRPr="000C5202" w:rsidRDefault="006D0999" w:rsidP="006D0999">
            <w:pPr>
              <w:jc w:val="center"/>
              <w:rPr>
                <w:rFonts w:ascii="Arial" w:hAnsi="Arial" w:cs="Arial"/>
                <w:sz w:val="16"/>
                <w:szCs w:val="16"/>
                <w:lang w:eastAsia="es-AR"/>
              </w:rPr>
            </w:pPr>
          </w:p>
        </w:tc>
        <w:tc>
          <w:tcPr>
            <w:tcW w:w="870" w:type="pct"/>
            <w:tcBorders>
              <w:top w:val="nil"/>
              <w:left w:val="nil"/>
              <w:bottom w:val="nil"/>
              <w:right w:val="nil"/>
            </w:tcBorders>
            <w:vAlign w:val="center"/>
          </w:tcPr>
          <w:p w14:paraId="041554C1" w14:textId="0CB3D506" w:rsidR="006D0999" w:rsidRPr="00262BD5" w:rsidRDefault="006D0999" w:rsidP="006D0999">
            <w:pPr>
              <w:jc w:val="right"/>
              <w:rPr>
                <w:rFonts w:ascii="Arial" w:hAnsi="Arial" w:cs="Arial"/>
                <w:sz w:val="16"/>
                <w:szCs w:val="16"/>
              </w:rPr>
            </w:pPr>
            <w:r>
              <w:rPr>
                <w:rFonts w:ascii="Arial" w:hAnsi="Arial" w:cs="Arial"/>
                <w:color w:val="000000"/>
                <w:sz w:val="16"/>
                <w:szCs w:val="16"/>
              </w:rPr>
              <w:t>1.377.393</w:t>
            </w:r>
          </w:p>
        </w:tc>
        <w:tc>
          <w:tcPr>
            <w:tcW w:w="957" w:type="pct"/>
            <w:tcBorders>
              <w:top w:val="nil"/>
              <w:left w:val="nil"/>
              <w:bottom w:val="nil"/>
              <w:right w:val="nil"/>
            </w:tcBorders>
            <w:shd w:val="clear" w:color="auto" w:fill="auto"/>
            <w:noWrap/>
            <w:vAlign w:val="center"/>
          </w:tcPr>
          <w:p w14:paraId="03AC3DE8" w14:textId="6A001002"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2.167.724</w:t>
            </w:r>
          </w:p>
        </w:tc>
      </w:tr>
      <w:tr w:rsidR="006D0999" w:rsidRPr="000C5202" w14:paraId="29FDD5C2" w14:textId="77777777" w:rsidTr="006D0999">
        <w:trPr>
          <w:trHeight w:val="96"/>
        </w:trPr>
        <w:tc>
          <w:tcPr>
            <w:tcW w:w="2739" w:type="pct"/>
            <w:tcBorders>
              <w:top w:val="nil"/>
              <w:left w:val="nil"/>
              <w:bottom w:val="nil"/>
              <w:right w:val="nil"/>
            </w:tcBorders>
            <w:shd w:val="clear" w:color="auto" w:fill="auto"/>
            <w:vAlign w:val="center"/>
            <w:hideMark/>
          </w:tcPr>
          <w:p w14:paraId="75B7D6D0" w14:textId="77777777" w:rsidR="006D0999" w:rsidRPr="000C5202" w:rsidRDefault="006D0999" w:rsidP="006D0999">
            <w:pPr>
              <w:rPr>
                <w:rFonts w:ascii="Arial" w:hAnsi="Arial" w:cs="Arial"/>
                <w:sz w:val="10"/>
                <w:szCs w:val="10"/>
                <w:lang w:eastAsia="es-AR"/>
              </w:rPr>
            </w:pPr>
          </w:p>
        </w:tc>
        <w:tc>
          <w:tcPr>
            <w:tcW w:w="434" w:type="pct"/>
            <w:tcBorders>
              <w:top w:val="nil"/>
              <w:left w:val="nil"/>
              <w:bottom w:val="nil"/>
              <w:right w:val="nil"/>
            </w:tcBorders>
            <w:shd w:val="clear" w:color="auto" w:fill="auto"/>
            <w:vAlign w:val="center"/>
          </w:tcPr>
          <w:p w14:paraId="28B8DE01" w14:textId="77777777" w:rsidR="006D0999" w:rsidRPr="000C5202" w:rsidRDefault="006D0999" w:rsidP="006D0999">
            <w:pPr>
              <w:jc w:val="center"/>
              <w:rPr>
                <w:rFonts w:ascii="Arial" w:hAnsi="Arial" w:cs="Arial"/>
                <w:sz w:val="10"/>
                <w:szCs w:val="10"/>
                <w:lang w:eastAsia="es-AR"/>
              </w:rPr>
            </w:pPr>
          </w:p>
        </w:tc>
        <w:tc>
          <w:tcPr>
            <w:tcW w:w="870" w:type="pct"/>
            <w:tcBorders>
              <w:top w:val="nil"/>
              <w:left w:val="nil"/>
              <w:bottom w:val="nil"/>
              <w:right w:val="nil"/>
            </w:tcBorders>
            <w:vAlign w:val="center"/>
          </w:tcPr>
          <w:p w14:paraId="46404DCC" w14:textId="77777777" w:rsidR="006D0999" w:rsidRPr="00262BD5" w:rsidRDefault="006D0999" w:rsidP="006D0999">
            <w:pPr>
              <w:jc w:val="right"/>
              <w:rPr>
                <w:rFonts w:ascii="Arial" w:hAnsi="Arial" w:cs="Arial"/>
                <w:sz w:val="16"/>
                <w:szCs w:val="16"/>
                <w:lang w:eastAsia="es-AR"/>
              </w:rPr>
            </w:pPr>
          </w:p>
        </w:tc>
        <w:tc>
          <w:tcPr>
            <w:tcW w:w="957" w:type="pct"/>
            <w:tcBorders>
              <w:top w:val="nil"/>
              <w:left w:val="nil"/>
              <w:bottom w:val="nil"/>
              <w:right w:val="nil"/>
            </w:tcBorders>
            <w:shd w:val="clear" w:color="auto" w:fill="auto"/>
            <w:noWrap/>
            <w:vAlign w:val="center"/>
          </w:tcPr>
          <w:p w14:paraId="6FAC9AAB" w14:textId="4161211E" w:rsidR="006D0999" w:rsidRPr="00262BD5" w:rsidRDefault="006D0999" w:rsidP="006D0999">
            <w:pPr>
              <w:jc w:val="right"/>
              <w:rPr>
                <w:rFonts w:ascii="Arial" w:hAnsi="Arial" w:cs="Arial"/>
                <w:sz w:val="16"/>
                <w:szCs w:val="16"/>
                <w:lang w:eastAsia="es-AR"/>
              </w:rPr>
            </w:pPr>
          </w:p>
        </w:tc>
      </w:tr>
      <w:tr w:rsidR="006D0999" w:rsidRPr="000C5202" w14:paraId="074C80D9" w14:textId="77777777" w:rsidTr="006D0999">
        <w:trPr>
          <w:trHeight w:val="285"/>
        </w:trPr>
        <w:tc>
          <w:tcPr>
            <w:tcW w:w="2739" w:type="pct"/>
            <w:tcBorders>
              <w:top w:val="nil"/>
              <w:left w:val="nil"/>
              <w:bottom w:val="nil"/>
              <w:right w:val="nil"/>
            </w:tcBorders>
            <w:shd w:val="clear" w:color="auto" w:fill="auto"/>
            <w:vAlign w:val="center"/>
            <w:hideMark/>
          </w:tcPr>
          <w:p w14:paraId="09FE33D8" w14:textId="77777777" w:rsidR="006D0999" w:rsidRPr="000C5202" w:rsidRDefault="006D0999" w:rsidP="006D0999">
            <w:pPr>
              <w:rPr>
                <w:rFonts w:ascii="Arial" w:hAnsi="Arial" w:cs="Arial"/>
                <w:b/>
                <w:bCs/>
                <w:sz w:val="16"/>
                <w:szCs w:val="16"/>
                <w:lang w:eastAsia="es-AR"/>
              </w:rPr>
            </w:pPr>
            <w:r w:rsidRPr="000C5202">
              <w:rPr>
                <w:rFonts w:ascii="Arial" w:hAnsi="Arial" w:cs="Arial"/>
                <w:b/>
                <w:bCs/>
                <w:sz w:val="16"/>
                <w:szCs w:val="16"/>
                <w:lang w:eastAsia="es-AR"/>
              </w:rPr>
              <w:t>Ingreso operativo neto</w:t>
            </w:r>
          </w:p>
        </w:tc>
        <w:tc>
          <w:tcPr>
            <w:tcW w:w="434" w:type="pct"/>
            <w:tcBorders>
              <w:top w:val="nil"/>
              <w:left w:val="nil"/>
              <w:bottom w:val="nil"/>
              <w:right w:val="nil"/>
            </w:tcBorders>
            <w:shd w:val="clear" w:color="auto" w:fill="auto"/>
            <w:vAlign w:val="center"/>
          </w:tcPr>
          <w:p w14:paraId="78179A11" w14:textId="77777777" w:rsidR="006D0999" w:rsidRPr="000C5202" w:rsidRDefault="006D0999" w:rsidP="006D0999">
            <w:pPr>
              <w:jc w:val="center"/>
              <w:rPr>
                <w:rFonts w:ascii="Arial" w:hAnsi="Arial" w:cs="Arial"/>
                <w:b/>
                <w:bCs/>
                <w:sz w:val="16"/>
                <w:szCs w:val="16"/>
                <w:lang w:eastAsia="es-AR"/>
              </w:rPr>
            </w:pPr>
          </w:p>
        </w:tc>
        <w:tc>
          <w:tcPr>
            <w:tcW w:w="870" w:type="pct"/>
            <w:tcBorders>
              <w:top w:val="nil"/>
              <w:left w:val="nil"/>
              <w:bottom w:val="nil"/>
              <w:right w:val="nil"/>
            </w:tcBorders>
            <w:vAlign w:val="center"/>
          </w:tcPr>
          <w:p w14:paraId="7D7F8EDB" w14:textId="1F730BD9" w:rsidR="006D0999" w:rsidRPr="00262BD5" w:rsidRDefault="006D0999" w:rsidP="006D0999">
            <w:pPr>
              <w:jc w:val="right"/>
              <w:rPr>
                <w:rFonts w:ascii="Arial" w:hAnsi="Arial" w:cs="Arial"/>
                <w:b/>
                <w:sz w:val="16"/>
                <w:szCs w:val="16"/>
              </w:rPr>
            </w:pPr>
            <w:r>
              <w:rPr>
                <w:rFonts w:ascii="Arial" w:hAnsi="Arial" w:cs="Arial"/>
                <w:b/>
                <w:bCs/>
                <w:color w:val="000000"/>
                <w:sz w:val="16"/>
                <w:szCs w:val="16"/>
              </w:rPr>
              <w:t>7.355.185</w:t>
            </w:r>
          </w:p>
        </w:tc>
        <w:tc>
          <w:tcPr>
            <w:tcW w:w="957" w:type="pct"/>
            <w:tcBorders>
              <w:top w:val="nil"/>
              <w:left w:val="nil"/>
              <w:bottom w:val="nil"/>
              <w:right w:val="nil"/>
            </w:tcBorders>
            <w:shd w:val="clear" w:color="auto" w:fill="auto"/>
            <w:noWrap/>
            <w:vAlign w:val="center"/>
          </w:tcPr>
          <w:p w14:paraId="58F48151" w14:textId="1B9A459F" w:rsidR="006D0999" w:rsidRPr="00262BD5" w:rsidRDefault="006D0999" w:rsidP="006D0999">
            <w:pPr>
              <w:jc w:val="right"/>
              <w:rPr>
                <w:rFonts w:ascii="Arial" w:hAnsi="Arial" w:cs="Arial"/>
                <w:b/>
                <w:bCs/>
                <w:sz w:val="16"/>
                <w:szCs w:val="16"/>
                <w:lang w:eastAsia="es-AR"/>
              </w:rPr>
            </w:pPr>
            <w:r>
              <w:rPr>
                <w:rFonts w:ascii="Arial" w:hAnsi="Arial" w:cs="Arial"/>
                <w:b/>
                <w:bCs/>
                <w:color w:val="000000"/>
                <w:sz w:val="16"/>
                <w:szCs w:val="16"/>
              </w:rPr>
              <w:t>7.385.330</w:t>
            </w:r>
          </w:p>
        </w:tc>
      </w:tr>
      <w:tr w:rsidR="006D0999" w:rsidRPr="000C5202" w14:paraId="3583AA0F" w14:textId="77777777" w:rsidTr="006D0999">
        <w:trPr>
          <w:trHeight w:val="285"/>
        </w:trPr>
        <w:tc>
          <w:tcPr>
            <w:tcW w:w="2739" w:type="pct"/>
            <w:tcBorders>
              <w:top w:val="nil"/>
              <w:left w:val="nil"/>
              <w:bottom w:val="nil"/>
              <w:right w:val="nil"/>
            </w:tcBorders>
            <w:shd w:val="clear" w:color="auto" w:fill="auto"/>
            <w:vAlign w:val="center"/>
            <w:hideMark/>
          </w:tcPr>
          <w:p w14:paraId="1CF7B191" w14:textId="7777777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Beneficios al personal</w:t>
            </w:r>
          </w:p>
        </w:tc>
        <w:tc>
          <w:tcPr>
            <w:tcW w:w="434" w:type="pct"/>
            <w:tcBorders>
              <w:top w:val="nil"/>
              <w:left w:val="nil"/>
              <w:bottom w:val="nil"/>
              <w:right w:val="nil"/>
            </w:tcBorders>
            <w:shd w:val="clear" w:color="auto" w:fill="auto"/>
            <w:vAlign w:val="center"/>
          </w:tcPr>
          <w:p w14:paraId="6563CC02" w14:textId="05CAA047"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15.7</w:t>
            </w:r>
          </w:p>
        </w:tc>
        <w:tc>
          <w:tcPr>
            <w:tcW w:w="870" w:type="pct"/>
            <w:tcBorders>
              <w:top w:val="nil"/>
              <w:left w:val="nil"/>
              <w:bottom w:val="nil"/>
              <w:right w:val="nil"/>
            </w:tcBorders>
            <w:vAlign w:val="center"/>
          </w:tcPr>
          <w:p w14:paraId="6CE02C08" w14:textId="086DAAAC" w:rsidR="006D0999" w:rsidRPr="00262BD5" w:rsidRDefault="006D0999" w:rsidP="006D0999">
            <w:pPr>
              <w:jc w:val="right"/>
              <w:rPr>
                <w:rFonts w:ascii="Arial" w:hAnsi="Arial" w:cs="Arial"/>
                <w:sz w:val="16"/>
                <w:szCs w:val="16"/>
              </w:rPr>
            </w:pPr>
            <w:r>
              <w:rPr>
                <w:rFonts w:ascii="Arial" w:hAnsi="Arial" w:cs="Arial"/>
                <w:color w:val="000000"/>
                <w:sz w:val="16"/>
                <w:szCs w:val="16"/>
              </w:rPr>
              <w:t>3.047.452</w:t>
            </w:r>
          </w:p>
        </w:tc>
        <w:tc>
          <w:tcPr>
            <w:tcW w:w="957" w:type="pct"/>
            <w:tcBorders>
              <w:top w:val="nil"/>
              <w:left w:val="nil"/>
              <w:bottom w:val="nil"/>
              <w:right w:val="nil"/>
            </w:tcBorders>
            <w:shd w:val="clear" w:color="auto" w:fill="auto"/>
            <w:noWrap/>
            <w:vAlign w:val="center"/>
          </w:tcPr>
          <w:p w14:paraId="634A5AE4" w14:textId="72394E04"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3.015.898</w:t>
            </w:r>
          </w:p>
        </w:tc>
      </w:tr>
      <w:tr w:rsidR="006D0999" w:rsidRPr="000C5202" w14:paraId="04AFA011" w14:textId="77777777" w:rsidTr="006D0999">
        <w:trPr>
          <w:trHeight w:val="285"/>
        </w:trPr>
        <w:tc>
          <w:tcPr>
            <w:tcW w:w="2739" w:type="pct"/>
            <w:tcBorders>
              <w:top w:val="nil"/>
              <w:left w:val="nil"/>
              <w:bottom w:val="nil"/>
              <w:right w:val="nil"/>
            </w:tcBorders>
            <w:shd w:val="clear" w:color="auto" w:fill="auto"/>
            <w:vAlign w:val="center"/>
            <w:hideMark/>
          </w:tcPr>
          <w:p w14:paraId="171FE1E2" w14:textId="7777777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Gastos de administración</w:t>
            </w:r>
          </w:p>
        </w:tc>
        <w:tc>
          <w:tcPr>
            <w:tcW w:w="434" w:type="pct"/>
            <w:tcBorders>
              <w:top w:val="nil"/>
              <w:left w:val="nil"/>
              <w:bottom w:val="nil"/>
              <w:right w:val="nil"/>
            </w:tcBorders>
            <w:shd w:val="clear" w:color="auto" w:fill="auto"/>
            <w:vAlign w:val="center"/>
          </w:tcPr>
          <w:p w14:paraId="3D296C2D" w14:textId="49738189"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15.8</w:t>
            </w:r>
          </w:p>
        </w:tc>
        <w:tc>
          <w:tcPr>
            <w:tcW w:w="870" w:type="pct"/>
            <w:tcBorders>
              <w:top w:val="nil"/>
              <w:left w:val="nil"/>
              <w:bottom w:val="nil"/>
              <w:right w:val="nil"/>
            </w:tcBorders>
            <w:vAlign w:val="center"/>
          </w:tcPr>
          <w:p w14:paraId="5AEB3B43" w14:textId="1B72DEE0" w:rsidR="006D0999" w:rsidRPr="00262BD5" w:rsidRDefault="006D0999" w:rsidP="006D0999">
            <w:pPr>
              <w:jc w:val="right"/>
              <w:rPr>
                <w:rFonts w:ascii="Arial" w:hAnsi="Arial" w:cs="Arial"/>
                <w:sz w:val="16"/>
                <w:szCs w:val="16"/>
              </w:rPr>
            </w:pPr>
            <w:r>
              <w:rPr>
                <w:rFonts w:ascii="Arial" w:hAnsi="Arial" w:cs="Arial"/>
                <w:color w:val="000000"/>
                <w:sz w:val="16"/>
                <w:szCs w:val="16"/>
              </w:rPr>
              <w:t>1.451.662</w:t>
            </w:r>
          </w:p>
        </w:tc>
        <w:tc>
          <w:tcPr>
            <w:tcW w:w="957" w:type="pct"/>
            <w:tcBorders>
              <w:top w:val="nil"/>
              <w:left w:val="nil"/>
              <w:bottom w:val="nil"/>
              <w:right w:val="nil"/>
            </w:tcBorders>
            <w:shd w:val="clear" w:color="auto" w:fill="auto"/>
            <w:noWrap/>
            <w:vAlign w:val="center"/>
          </w:tcPr>
          <w:p w14:paraId="0557E5E5" w14:textId="20DCEEC0"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1.538.557</w:t>
            </w:r>
          </w:p>
        </w:tc>
      </w:tr>
      <w:tr w:rsidR="006D0999" w:rsidRPr="000C5202" w14:paraId="53B4952F" w14:textId="77777777" w:rsidTr="006D0999">
        <w:trPr>
          <w:trHeight w:val="285"/>
        </w:trPr>
        <w:tc>
          <w:tcPr>
            <w:tcW w:w="2739" w:type="pct"/>
            <w:tcBorders>
              <w:top w:val="nil"/>
              <w:left w:val="nil"/>
              <w:bottom w:val="nil"/>
              <w:right w:val="nil"/>
            </w:tcBorders>
            <w:shd w:val="clear" w:color="auto" w:fill="auto"/>
            <w:vAlign w:val="center"/>
            <w:hideMark/>
          </w:tcPr>
          <w:p w14:paraId="609C71B5" w14:textId="7777777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 xml:space="preserve">Depreciaciones y desvalorizaciones de bienes </w:t>
            </w:r>
          </w:p>
        </w:tc>
        <w:tc>
          <w:tcPr>
            <w:tcW w:w="434" w:type="pct"/>
            <w:tcBorders>
              <w:top w:val="nil"/>
              <w:left w:val="nil"/>
              <w:bottom w:val="nil"/>
              <w:right w:val="nil"/>
            </w:tcBorders>
            <w:shd w:val="clear" w:color="auto" w:fill="auto"/>
            <w:vAlign w:val="center"/>
          </w:tcPr>
          <w:p w14:paraId="6CC31C2B" w14:textId="6F3D3205"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15.10</w:t>
            </w:r>
          </w:p>
        </w:tc>
        <w:tc>
          <w:tcPr>
            <w:tcW w:w="870" w:type="pct"/>
            <w:tcBorders>
              <w:top w:val="nil"/>
              <w:left w:val="nil"/>
              <w:bottom w:val="nil"/>
              <w:right w:val="nil"/>
            </w:tcBorders>
            <w:vAlign w:val="center"/>
          </w:tcPr>
          <w:p w14:paraId="69E7641B" w14:textId="56BFF824" w:rsidR="006D0999" w:rsidRPr="00262BD5" w:rsidRDefault="006D0999" w:rsidP="006D0999">
            <w:pPr>
              <w:jc w:val="right"/>
              <w:rPr>
                <w:rFonts w:ascii="Arial" w:hAnsi="Arial" w:cs="Arial"/>
                <w:sz w:val="16"/>
                <w:szCs w:val="16"/>
              </w:rPr>
            </w:pPr>
            <w:r>
              <w:rPr>
                <w:rFonts w:ascii="Arial" w:hAnsi="Arial" w:cs="Arial"/>
                <w:color w:val="000000"/>
                <w:sz w:val="16"/>
                <w:szCs w:val="16"/>
              </w:rPr>
              <w:t>408.540</w:t>
            </w:r>
          </w:p>
        </w:tc>
        <w:tc>
          <w:tcPr>
            <w:tcW w:w="957" w:type="pct"/>
            <w:tcBorders>
              <w:top w:val="nil"/>
              <w:left w:val="nil"/>
              <w:bottom w:val="nil"/>
              <w:right w:val="nil"/>
            </w:tcBorders>
            <w:shd w:val="clear" w:color="auto" w:fill="auto"/>
            <w:noWrap/>
            <w:vAlign w:val="center"/>
          </w:tcPr>
          <w:p w14:paraId="297212E1" w14:textId="1D9F665B"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368.876</w:t>
            </w:r>
          </w:p>
        </w:tc>
      </w:tr>
      <w:tr w:rsidR="006D0999" w:rsidRPr="000C5202" w14:paraId="5AB7C130" w14:textId="77777777" w:rsidTr="006D0999">
        <w:trPr>
          <w:trHeight w:val="285"/>
        </w:trPr>
        <w:tc>
          <w:tcPr>
            <w:tcW w:w="2739" w:type="pct"/>
            <w:tcBorders>
              <w:top w:val="nil"/>
              <w:left w:val="nil"/>
              <w:bottom w:val="nil"/>
              <w:right w:val="nil"/>
            </w:tcBorders>
            <w:shd w:val="clear" w:color="auto" w:fill="auto"/>
            <w:vAlign w:val="center"/>
            <w:hideMark/>
          </w:tcPr>
          <w:p w14:paraId="51CC084F" w14:textId="7777777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Otros gastos operativos</w:t>
            </w:r>
          </w:p>
        </w:tc>
        <w:tc>
          <w:tcPr>
            <w:tcW w:w="434" w:type="pct"/>
            <w:tcBorders>
              <w:top w:val="nil"/>
              <w:left w:val="nil"/>
              <w:bottom w:val="nil"/>
              <w:right w:val="nil"/>
            </w:tcBorders>
            <w:shd w:val="clear" w:color="auto" w:fill="auto"/>
            <w:vAlign w:val="center"/>
          </w:tcPr>
          <w:p w14:paraId="1B67AF8B" w14:textId="19B4CE13" w:rsidR="006D0999" w:rsidRPr="000C5202" w:rsidRDefault="006D0999" w:rsidP="006D0999">
            <w:pPr>
              <w:jc w:val="center"/>
              <w:rPr>
                <w:rFonts w:ascii="Arial" w:hAnsi="Arial" w:cs="Arial"/>
                <w:sz w:val="16"/>
                <w:szCs w:val="16"/>
                <w:lang w:eastAsia="es-AR"/>
              </w:rPr>
            </w:pPr>
            <w:r>
              <w:rPr>
                <w:rFonts w:ascii="Arial" w:hAnsi="Arial" w:cs="Arial"/>
                <w:sz w:val="16"/>
                <w:szCs w:val="16"/>
                <w:lang w:eastAsia="es-AR"/>
              </w:rPr>
              <w:t>15.9</w:t>
            </w:r>
          </w:p>
        </w:tc>
        <w:tc>
          <w:tcPr>
            <w:tcW w:w="870" w:type="pct"/>
            <w:tcBorders>
              <w:top w:val="nil"/>
              <w:left w:val="nil"/>
              <w:bottom w:val="nil"/>
              <w:right w:val="nil"/>
            </w:tcBorders>
            <w:vAlign w:val="center"/>
          </w:tcPr>
          <w:p w14:paraId="0D1580F5" w14:textId="07266C68" w:rsidR="006D0999" w:rsidRPr="00262BD5" w:rsidRDefault="006D0999" w:rsidP="006D0999">
            <w:pPr>
              <w:jc w:val="right"/>
              <w:rPr>
                <w:rFonts w:ascii="Arial" w:hAnsi="Arial" w:cs="Arial"/>
                <w:sz w:val="16"/>
                <w:szCs w:val="16"/>
              </w:rPr>
            </w:pPr>
            <w:r>
              <w:rPr>
                <w:rFonts w:ascii="Arial" w:hAnsi="Arial" w:cs="Arial"/>
                <w:color w:val="000000"/>
                <w:sz w:val="16"/>
                <w:szCs w:val="16"/>
              </w:rPr>
              <w:t>1.119.936</w:t>
            </w:r>
          </w:p>
        </w:tc>
        <w:tc>
          <w:tcPr>
            <w:tcW w:w="957" w:type="pct"/>
            <w:tcBorders>
              <w:top w:val="nil"/>
              <w:left w:val="nil"/>
              <w:bottom w:val="nil"/>
              <w:right w:val="nil"/>
            </w:tcBorders>
            <w:shd w:val="clear" w:color="auto" w:fill="auto"/>
            <w:noWrap/>
            <w:vAlign w:val="center"/>
          </w:tcPr>
          <w:p w14:paraId="15302FA9" w14:textId="68197FDC"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1.349.329</w:t>
            </w:r>
          </w:p>
        </w:tc>
      </w:tr>
      <w:tr w:rsidR="006D0999" w:rsidRPr="000C5202" w14:paraId="66C111A7" w14:textId="77777777" w:rsidTr="006D0999">
        <w:trPr>
          <w:trHeight w:val="136"/>
        </w:trPr>
        <w:tc>
          <w:tcPr>
            <w:tcW w:w="2739" w:type="pct"/>
            <w:tcBorders>
              <w:top w:val="nil"/>
              <w:left w:val="nil"/>
              <w:bottom w:val="nil"/>
              <w:right w:val="nil"/>
            </w:tcBorders>
            <w:shd w:val="clear" w:color="auto" w:fill="auto"/>
            <w:vAlign w:val="center"/>
            <w:hideMark/>
          </w:tcPr>
          <w:p w14:paraId="567B3CE1" w14:textId="77777777" w:rsidR="006D0999" w:rsidRPr="000C5202" w:rsidRDefault="006D0999" w:rsidP="006D0999">
            <w:pPr>
              <w:rPr>
                <w:rFonts w:ascii="Arial" w:hAnsi="Arial" w:cs="Arial"/>
                <w:sz w:val="10"/>
                <w:szCs w:val="10"/>
                <w:lang w:eastAsia="es-AR"/>
              </w:rPr>
            </w:pPr>
          </w:p>
        </w:tc>
        <w:tc>
          <w:tcPr>
            <w:tcW w:w="434" w:type="pct"/>
            <w:tcBorders>
              <w:top w:val="nil"/>
              <w:left w:val="nil"/>
              <w:bottom w:val="nil"/>
              <w:right w:val="nil"/>
            </w:tcBorders>
            <w:shd w:val="clear" w:color="auto" w:fill="auto"/>
            <w:vAlign w:val="center"/>
          </w:tcPr>
          <w:p w14:paraId="50DB79E6" w14:textId="77777777" w:rsidR="006D0999" w:rsidRPr="000C5202" w:rsidRDefault="006D0999" w:rsidP="006D0999">
            <w:pPr>
              <w:jc w:val="center"/>
              <w:rPr>
                <w:rFonts w:ascii="Arial" w:hAnsi="Arial" w:cs="Arial"/>
                <w:sz w:val="10"/>
                <w:szCs w:val="10"/>
                <w:lang w:eastAsia="es-AR"/>
              </w:rPr>
            </w:pPr>
          </w:p>
        </w:tc>
        <w:tc>
          <w:tcPr>
            <w:tcW w:w="870" w:type="pct"/>
            <w:tcBorders>
              <w:top w:val="nil"/>
              <w:left w:val="nil"/>
              <w:bottom w:val="nil"/>
              <w:right w:val="nil"/>
            </w:tcBorders>
            <w:vAlign w:val="center"/>
          </w:tcPr>
          <w:p w14:paraId="79862774" w14:textId="77777777" w:rsidR="006D0999" w:rsidRPr="00262BD5" w:rsidRDefault="006D0999" w:rsidP="006D0999">
            <w:pPr>
              <w:jc w:val="right"/>
              <w:rPr>
                <w:rFonts w:ascii="Arial" w:hAnsi="Arial" w:cs="Arial"/>
                <w:sz w:val="16"/>
                <w:szCs w:val="16"/>
                <w:lang w:eastAsia="es-AR"/>
              </w:rPr>
            </w:pPr>
          </w:p>
        </w:tc>
        <w:tc>
          <w:tcPr>
            <w:tcW w:w="957" w:type="pct"/>
            <w:tcBorders>
              <w:top w:val="nil"/>
              <w:left w:val="nil"/>
              <w:bottom w:val="nil"/>
              <w:right w:val="nil"/>
            </w:tcBorders>
            <w:shd w:val="clear" w:color="auto" w:fill="auto"/>
            <w:noWrap/>
            <w:vAlign w:val="center"/>
          </w:tcPr>
          <w:p w14:paraId="4F8BA4BF" w14:textId="0D00FA11" w:rsidR="006D0999" w:rsidRPr="00262BD5" w:rsidRDefault="006D0999" w:rsidP="006D0999">
            <w:pPr>
              <w:jc w:val="right"/>
              <w:rPr>
                <w:rFonts w:ascii="Arial" w:hAnsi="Arial" w:cs="Arial"/>
                <w:sz w:val="16"/>
                <w:szCs w:val="16"/>
                <w:lang w:eastAsia="es-AR"/>
              </w:rPr>
            </w:pPr>
          </w:p>
        </w:tc>
      </w:tr>
      <w:tr w:rsidR="006D0999" w:rsidRPr="000C5202" w14:paraId="713A75F2" w14:textId="77777777" w:rsidTr="006D0999">
        <w:trPr>
          <w:trHeight w:val="285"/>
        </w:trPr>
        <w:tc>
          <w:tcPr>
            <w:tcW w:w="2739" w:type="pct"/>
            <w:tcBorders>
              <w:top w:val="nil"/>
              <w:left w:val="nil"/>
              <w:bottom w:val="nil"/>
              <w:right w:val="nil"/>
            </w:tcBorders>
            <w:shd w:val="clear" w:color="auto" w:fill="auto"/>
            <w:vAlign w:val="center"/>
            <w:hideMark/>
          </w:tcPr>
          <w:p w14:paraId="17CF2616" w14:textId="77777777" w:rsidR="006D0999" w:rsidRPr="000C5202" w:rsidRDefault="006D0999" w:rsidP="006D0999">
            <w:pPr>
              <w:rPr>
                <w:rFonts w:ascii="Arial" w:hAnsi="Arial" w:cs="Arial"/>
                <w:b/>
                <w:bCs/>
                <w:sz w:val="16"/>
                <w:szCs w:val="16"/>
                <w:lang w:eastAsia="es-AR"/>
              </w:rPr>
            </w:pPr>
            <w:r w:rsidRPr="000C5202">
              <w:rPr>
                <w:rFonts w:ascii="Arial" w:hAnsi="Arial" w:cs="Arial"/>
                <w:b/>
                <w:bCs/>
                <w:sz w:val="16"/>
                <w:szCs w:val="16"/>
                <w:lang w:eastAsia="es-AR"/>
              </w:rPr>
              <w:t>Resultado operativo</w:t>
            </w:r>
          </w:p>
        </w:tc>
        <w:tc>
          <w:tcPr>
            <w:tcW w:w="434" w:type="pct"/>
            <w:tcBorders>
              <w:top w:val="nil"/>
              <w:left w:val="nil"/>
              <w:bottom w:val="nil"/>
              <w:right w:val="nil"/>
            </w:tcBorders>
            <w:shd w:val="clear" w:color="auto" w:fill="auto"/>
            <w:vAlign w:val="center"/>
          </w:tcPr>
          <w:p w14:paraId="00F4DB7C" w14:textId="77777777" w:rsidR="006D0999" w:rsidRPr="000C5202" w:rsidRDefault="006D0999" w:rsidP="006D0999">
            <w:pPr>
              <w:jc w:val="center"/>
              <w:rPr>
                <w:rFonts w:ascii="Arial" w:hAnsi="Arial" w:cs="Arial"/>
                <w:b/>
                <w:bCs/>
                <w:sz w:val="16"/>
                <w:szCs w:val="16"/>
                <w:lang w:eastAsia="es-AR"/>
              </w:rPr>
            </w:pPr>
          </w:p>
        </w:tc>
        <w:tc>
          <w:tcPr>
            <w:tcW w:w="870" w:type="pct"/>
            <w:tcBorders>
              <w:top w:val="nil"/>
              <w:left w:val="nil"/>
              <w:bottom w:val="nil"/>
              <w:right w:val="nil"/>
            </w:tcBorders>
            <w:vAlign w:val="center"/>
          </w:tcPr>
          <w:p w14:paraId="03C41242" w14:textId="354B0FF6" w:rsidR="006D0999" w:rsidRPr="00262BD5" w:rsidRDefault="006D0999" w:rsidP="006D0999">
            <w:pPr>
              <w:jc w:val="right"/>
              <w:rPr>
                <w:rFonts w:ascii="Arial" w:hAnsi="Arial" w:cs="Arial"/>
                <w:b/>
                <w:sz w:val="16"/>
                <w:szCs w:val="16"/>
              </w:rPr>
            </w:pPr>
            <w:r>
              <w:rPr>
                <w:rFonts w:ascii="Arial" w:hAnsi="Arial" w:cs="Arial"/>
                <w:b/>
                <w:bCs/>
                <w:color w:val="000000"/>
                <w:sz w:val="16"/>
                <w:szCs w:val="16"/>
              </w:rPr>
              <w:t>1.327.595</w:t>
            </w:r>
          </w:p>
        </w:tc>
        <w:tc>
          <w:tcPr>
            <w:tcW w:w="957" w:type="pct"/>
            <w:tcBorders>
              <w:top w:val="nil"/>
              <w:left w:val="nil"/>
              <w:bottom w:val="nil"/>
              <w:right w:val="nil"/>
            </w:tcBorders>
            <w:shd w:val="clear" w:color="auto" w:fill="auto"/>
            <w:noWrap/>
            <w:vAlign w:val="center"/>
          </w:tcPr>
          <w:p w14:paraId="03B2D1A7" w14:textId="1BB01F92" w:rsidR="006D0999" w:rsidRPr="00262BD5" w:rsidRDefault="006D0999" w:rsidP="006D0999">
            <w:pPr>
              <w:jc w:val="right"/>
              <w:rPr>
                <w:rFonts w:ascii="Arial" w:hAnsi="Arial" w:cs="Arial"/>
                <w:b/>
                <w:bCs/>
                <w:sz w:val="16"/>
                <w:szCs w:val="16"/>
                <w:lang w:eastAsia="es-AR"/>
              </w:rPr>
            </w:pPr>
            <w:r>
              <w:rPr>
                <w:rFonts w:ascii="Arial" w:hAnsi="Arial" w:cs="Arial"/>
                <w:b/>
                <w:bCs/>
                <w:color w:val="000000"/>
                <w:sz w:val="16"/>
                <w:szCs w:val="16"/>
              </w:rPr>
              <w:t>1.112.670</w:t>
            </w:r>
          </w:p>
        </w:tc>
      </w:tr>
      <w:tr w:rsidR="006D0999" w:rsidRPr="000C5202" w14:paraId="5D2BC1D5" w14:textId="77777777" w:rsidTr="006D0999">
        <w:trPr>
          <w:trHeight w:val="345"/>
        </w:trPr>
        <w:tc>
          <w:tcPr>
            <w:tcW w:w="2739" w:type="pct"/>
            <w:tcBorders>
              <w:top w:val="nil"/>
              <w:left w:val="nil"/>
              <w:bottom w:val="nil"/>
              <w:right w:val="nil"/>
            </w:tcBorders>
            <w:shd w:val="clear" w:color="auto" w:fill="auto"/>
            <w:vAlign w:val="center"/>
            <w:hideMark/>
          </w:tcPr>
          <w:p w14:paraId="6ACBC4D0" w14:textId="7777777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Resultado por subsidiarias asociadas y negocios conjuntos</w:t>
            </w:r>
          </w:p>
        </w:tc>
        <w:tc>
          <w:tcPr>
            <w:tcW w:w="434" w:type="pct"/>
            <w:tcBorders>
              <w:top w:val="nil"/>
              <w:left w:val="nil"/>
              <w:bottom w:val="nil"/>
              <w:right w:val="nil"/>
            </w:tcBorders>
            <w:shd w:val="clear" w:color="auto" w:fill="auto"/>
            <w:vAlign w:val="center"/>
          </w:tcPr>
          <w:p w14:paraId="264A622A" w14:textId="77777777" w:rsidR="006D0999" w:rsidRPr="000C5202" w:rsidRDefault="006D0999" w:rsidP="006D0999">
            <w:pPr>
              <w:jc w:val="center"/>
              <w:rPr>
                <w:rFonts w:ascii="Arial" w:hAnsi="Arial" w:cs="Arial"/>
                <w:sz w:val="16"/>
                <w:szCs w:val="16"/>
                <w:lang w:eastAsia="es-AR"/>
              </w:rPr>
            </w:pPr>
          </w:p>
        </w:tc>
        <w:tc>
          <w:tcPr>
            <w:tcW w:w="870" w:type="pct"/>
            <w:tcBorders>
              <w:top w:val="nil"/>
              <w:left w:val="nil"/>
              <w:bottom w:val="nil"/>
              <w:right w:val="nil"/>
            </w:tcBorders>
            <w:vAlign w:val="center"/>
          </w:tcPr>
          <w:p w14:paraId="6F5E234E" w14:textId="4EB7D74A" w:rsidR="006D0999" w:rsidRPr="00262BD5" w:rsidRDefault="006D0999" w:rsidP="006D0999">
            <w:pPr>
              <w:jc w:val="right"/>
              <w:rPr>
                <w:rFonts w:ascii="Arial" w:hAnsi="Arial" w:cs="Arial"/>
                <w:sz w:val="16"/>
                <w:szCs w:val="16"/>
              </w:rPr>
            </w:pPr>
            <w:r>
              <w:rPr>
                <w:rFonts w:ascii="Arial" w:hAnsi="Arial" w:cs="Arial"/>
                <w:color w:val="000000"/>
                <w:sz w:val="16"/>
                <w:szCs w:val="16"/>
              </w:rPr>
              <w:t>-144.977</w:t>
            </w:r>
          </w:p>
        </w:tc>
        <w:tc>
          <w:tcPr>
            <w:tcW w:w="957" w:type="pct"/>
            <w:tcBorders>
              <w:top w:val="nil"/>
              <w:left w:val="nil"/>
              <w:bottom w:val="nil"/>
              <w:right w:val="nil"/>
            </w:tcBorders>
            <w:shd w:val="clear" w:color="auto" w:fill="auto"/>
            <w:noWrap/>
            <w:vAlign w:val="center"/>
          </w:tcPr>
          <w:p w14:paraId="5EF98E23" w14:textId="7DCB1502"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-663.735</w:t>
            </w:r>
          </w:p>
        </w:tc>
      </w:tr>
      <w:tr w:rsidR="006D0999" w:rsidRPr="000C5202" w14:paraId="3FC682FC" w14:textId="77777777" w:rsidTr="006D0999">
        <w:trPr>
          <w:trHeight w:val="306"/>
        </w:trPr>
        <w:tc>
          <w:tcPr>
            <w:tcW w:w="2739" w:type="pct"/>
            <w:tcBorders>
              <w:top w:val="nil"/>
              <w:left w:val="nil"/>
              <w:bottom w:val="nil"/>
              <w:right w:val="nil"/>
            </w:tcBorders>
            <w:shd w:val="clear" w:color="auto" w:fill="auto"/>
            <w:vAlign w:val="center"/>
          </w:tcPr>
          <w:p w14:paraId="2BCFAE56" w14:textId="391E4FD3" w:rsidR="006D0999" w:rsidRPr="006D0999" w:rsidRDefault="006D0999" w:rsidP="006D0999">
            <w:pPr>
              <w:rPr>
                <w:rFonts w:ascii="Arial" w:hAnsi="Arial" w:cs="Arial"/>
                <w:sz w:val="16"/>
                <w:szCs w:val="16"/>
                <w:lang w:eastAsia="es-AR"/>
              </w:rPr>
            </w:pPr>
            <w:r w:rsidRPr="006D0999">
              <w:rPr>
                <w:rFonts w:ascii="Arial" w:hAnsi="Arial" w:cs="Arial"/>
                <w:sz w:val="16"/>
                <w:szCs w:val="16"/>
                <w:lang w:eastAsia="es-AR"/>
              </w:rPr>
              <w:t>Resultado por la posición monetaria neta</w:t>
            </w:r>
          </w:p>
        </w:tc>
        <w:tc>
          <w:tcPr>
            <w:tcW w:w="434" w:type="pct"/>
            <w:tcBorders>
              <w:top w:val="nil"/>
              <w:left w:val="nil"/>
              <w:bottom w:val="nil"/>
              <w:right w:val="nil"/>
            </w:tcBorders>
            <w:shd w:val="clear" w:color="auto" w:fill="auto"/>
            <w:vAlign w:val="center"/>
          </w:tcPr>
          <w:p w14:paraId="595FD0EA" w14:textId="77777777" w:rsidR="006D0999" w:rsidRPr="000C5202" w:rsidRDefault="006D0999" w:rsidP="006D0999">
            <w:pPr>
              <w:jc w:val="center"/>
              <w:rPr>
                <w:rFonts w:ascii="Arial" w:hAnsi="Arial" w:cs="Arial"/>
                <w:sz w:val="10"/>
                <w:szCs w:val="10"/>
                <w:lang w:eastAsia="es-AR"/>
              </w:rPr>
            </w:pPr>
          </w:p>
        </w:tc>
        <w:tc>
          <w:tcPr>
            <w:tcW w:w="870" w:type="pct"/>
            <w:tcBorders>
              <w:top w:val="nil"/>
              <w:left w:val="nil"/>
              <w:bottom w:val="nil"/>
              <w:right w:val="nil"/>
            </w:tcBorders>
            <w:vAlign w:val="center"/>
          </w:tcPr>
          <w:p w14:paraId="4BDE9047" w14:textId="72F1F9D7"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-512.721</w:t>
            </w:r>
          </w:p>
        </w:tc>
        <w:tc>
          <w:tcPr>
            <w:tcW w:w="957" w:type="pct"/>
            <w:tcBorders>
              <w:top w:val="nil"/>
              <w:left w:val="nil"/>
              <w:bottom w:val="nil"/>
              <w:right w:val="nil"/>
            </w:tcBorders>
            <w:shd w:val="clear" w:color="auto" w:fill="auto"/>
            <w:noWrap/>
            <w:vAlign w:val="center"/>
          </w:tcPr>
          <w:p w14:paraId="3451C385" w14:textId="480AA0B8"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-1.389.681</w:t>
            </w:r>
          </w:p>
        </w:tc>
      </w:tr>
      <w:tr w:rsidR="006D0999" w:rsidRPr="000C5202" w14:paraId="66FAC79C" w14:textId="77777777" w:rsidTr="006D0999">
        <w:trPr>
          <w:trHeight w:val="80"/>
        </w:trPr>
        <w:tc>
          <w:tcPr>
            <w:tcW w:w="2739" w:type="pct"/>
            <w:tcBorders>
              <w:top w:val="nil"/>
              <w:left w:val="nil"/>
              <w:bottom w:val="nil"/>
              <w:right w:val="nil"/>
            </w:tcBorders>
            <w:shd w:val="clear" w:color="auto" w:fill="auto"/>
            <w:vAlign w:val="center"/>
            <w:hideMark/>
          </w:tcPr>
          <w:p w14:paraId="72B7EA3C" w14:textId="77777777" w:rsidR="006D0999" w:rsidRPr="000C5202" w:rsidRDefault="006D0999" w:rsidP="006D0999">
            <w:pPr>
              <w:rPr>
                <w:rFonts w:ascii="Arial" w:hAnsi="Arial" w:cs="Arial"/>
                <w:sz w:val="10"/>
                <w:szCs w:val="10"/>
                <w:lang w:eastAsia="es-AR"/>
              </w:rPr>
            </w:pPr>
          </w:p>
        </w:tc>
        <w:tc>
          <w:tcPr>
            <w:tcW w:w="434" w:type="pct"/>
            <w:tcBorders>
              <w:top w:val="nil"/>
              <w:left w:val="nil"/>
              <w:bottom w:val="nil"/>
              <w:right w:val="nil"/>
            </w:tcBorders>
            <w:shd w:val="clear" w:color="auto" w:fill="auto"/>
            <w:vAlign w:val="center"/>
          </w:tcPr>
          <w:p w14:paraId="14A1E22E" w14:textId="77777777" w:rsidR="006D0999" w:rsidRPr="000C5202" w:rsidRDefault="006D0999" w:rsidP="006D0999">
            <w:pPr>
              <w:jc w:val="center"/>
              <w:rPr>
                <w:rFonts w:ascii="Arial" w:hAnsi="Arial" w:cs="Arial"/>
                <w:sz w:val="10"/>
                <w:szCs w:val="10"/>
                <w:lang w:eastAsia="es-AR"/>
              </w:rPr>
            </w:pPr>
          </w:p>
        </w:tc>
        <w:tc>
          <w:tcPr>
            <w:tcW w:w="870" w:type="pct"/>
            <w:tcBorders>
              <w:top w:val="nil"/>
              <w:left w:val="nil"/>
              <w:bottom w:val="nil"/>
              <w:right w:val="nil"/>
            </w:tcBorders>
            <w:vAlign w:val="center"/>
          </w:tcPr>
          <w:p w14:paraId="273CB606" w14:textId="77777777" w:rsidR="006D0999" w:rsidRPr="00262BD5" w:rsidRDefault="006D0999" w:rsidP="006D0999">
            <w:pPr>
              <w:jc w:val="right"/>
              <w:rPr>
                <w:rFonts w:ascii="Arial" w:hAnsi="Arial" w:cs="Arial"/>
                <w:sz w:val="16"/>
                <w:szCs w:val="16"/>
                <w:lang w:eastAsia="es-AR"/>
              </w:rPr>
            </w:pPr>
          </w:p>
        </w:tc>
        <w:tc>
          <w:tcPr>
            <w:tcW w:w="957" w:type="pct"/>
            <w:tcBorders>
              <w:top w:val="nil"/>
              <w:left w:val="nil"/>
              <w:bottom w:val="nil"/>
              <w:right w:val="nil"/>
            </w:tcBorders>
            <w:shd w:val="clear" w:color="auto" w:fill="auto"/>
            <w:noWrap/>
            <w:vAlign w:val="center"/>
          </w:tcPr>
          <w:p w14:paraId="3190CC43" w14:textId="097D4E97" w:rsidR="006D0999" w:rsidRPr="00262BD5" w:rsidRDefault="006D0999" w:rsidP="006D0999">
            <w:pPr>
              <w:jc w:val="right"/>
              <w:rPr>
                <w:rFonts w:ascii="Arial" w:hAnsi="Arial" w:cs="Arial"/>
                <w:sz w:val="16"/>
                <w:szCs w:val="16"/>
                <w:lang w:eastAsia="es-AR"/>
              </w:rPr>
            </w:pPr>
          </w:p>
        </w:tc>
      </w:tr>
      <w:tr w:rsidR="006D0999" w:rsidRPr="000C5202" w14:paraId="4D39CB2C" w14:textId="77777777" w:rsidTr="006D0999">
        <w:trPr>
          <w:trHeight w:val="510"/>
        </w:trPr>
        <w:tc>
          <w:tcPr>
            <w:tcW w:w="2739" w:type="pct"/>
            <w:tcBorders>
              <w:top w:val="nil"/>
              <w:left w:val="nil"/>
              <w:bottom w:val="nil"/>
              <w:right w:val="nil"/>
            </w:tcBorders>
            <w:shd w:val="clear" w:color="auto" w:fill="auto"/>
            <w:vAlign w:val="center"/>
            <w:hideMark/>
          </w:tcPr>
          <w:p w14:paraId="3DC88DAE" w14:textId="77777777" w:rsidR="006D0999" w:rsidRPr="000C5202" w:rsidRDefault="006D0999" w:rsidP="006D0999">
            <w:pPr>
              <w:rPr>
                <w:rFonts w:ascii="Arial" w:hAnsi="Arial" w:cs="Arial"/>
                <w:b/>
                <w:bCs/>
                <w:sz w:val="16"/>
                <w:szCs w:val="16"/>
                <w:lang w:eastAsia="es-AR"/>
              </w:rPr>
            </w:pPr>
            <w:r w:rsidRPr="000C5202">
              <w:rPr>
                <w:rFonts w:ascii="Arial" w:hAnsi="Arial" w:cs="Arial"/>
                <w:b/>
                <w:bCs/>
                <w:sz w:val="16"/>
                <w:szCs w:val="16"/>
                <w:lang w:eastAsia="es-AR"/>
              </w:rPr>
              <w:t>Resultado antes de impuesto de las actividades que continúan</w:t>
            </w:r>
          </w:p>
        </w:tc>
        <w:tc>
          <w:tcPr>
            <w:tcW w:w="434" w:type="pct"/>
            <w:tcBorders>
              <w:top w:val="nil"/>
              <w:left w:val="nil"/>
              <w:bottom w:val="nil"/>
              <w:right w:val="nil"/>
            </w:tcBorders>
            <w:shd w:val="clear" w:color="auto" w:fill="auto"/>
            <w:vAlign w:val="center"/>
          </w:tcPr>
          <w:p w14:paraId="51F0162A" w14:textId="7A65B10E" w:rsidR="006D0999" w:rsidRPr="000C5202" w:rsidRDefault="006D0999" w:rsidP="006D0999">
            <w:pPr>
              <w:jc w:val="center"/>
              <w:rPr>
                <w:rFonts w:ascii="Arial" w:hAnsi="Arial" w:cs="Arial"/>
                <w:sz w:val="16"/>
                <w:szCs w:val="16"/>
                <w:lang w:eastAsia="es-AR"/>
              </w:rPr>
            </w:pPr>
          </w:p>
        </w:tc>
        <w:tc>
          <w:tcPr>
            <w:tcW w:w="870" w:type="pct"/>
            <w:tcBorders>
              <w:top w:val="nil"/>
              <w:left w:val="nil"/>
              <w:bottom w:val="nil"/>
              <w:right w:val="nil"/>
            </w:tcBorders>
            <w:vAlign w:val="center"/>
          </w:tcPr>
          <w:p w14:paraId="5F8A918E" w14:textId="5AC4972C" w:rsidR="006D0999" w:rsidRPr="00262BD5" w:rsidRDefault="006D0999" w:rsidP="006D0999">
            <w:pPr>
              <w:jc w:val="right"/>
              <w:rPr>
                <w:rFonts w:ascii="Arial" w:hAnsi="Arial" w:cs="Arial"/>
                <w:b/>
                <w:sz w:val="16"/>
                <w:szCs w:val="16"/>
              </w:rPr>
            </w:pPr>
            <w:r>
              <w:rPr>
                <w:rFonts w:ascii="Arial" w:hAnsi="Arial" w:cs="Arial"/>
                <w:b/>
                <w:bCs/>
                <w:color w:val="000000"/>
                <w:sz w:val="16"/>
                <w:szCs w:val="16"/>
              </w:rPr>
              <w:t>669.897</w:t>
            </w:r>
          </w:p>
        </w:tc>
        <w:tc>
          <w:tcPr>
            <w:tcW w:w="957" w:type="pct"/>
            <w:tcBorders>
              <w:top w:val="nil"/>
              <w:left w:val="nil"/>
              <w:bottom w:val="nil"/>
              <w:right w:val="nil"/>
            </w:tcBorders>
            <w:shd w:val="clear" w:color="auto" w:fill="auto"/>
            <w:noWrap/>
            <w:vAlign w:val="center"/>
          </w:tcPr>
          <w:p w14:paraId="49DD5543" w14:textId="42E85524" w:rsidR="006D0999" w:rsidRPr="00262BD5" w:rsidRDefault="006D0999" w:rsidP="006D0999">
            <w:pPr>
              <w:jc w:val="right"/>
              <w:rPr>
                <w:rFonts w:ascii="Arial" w:hAnsi="Arial" w:cs="Arial"/>
                <w:b/>
                <w:bCs/>
                <w:sz w:val="16"/>
                <w:szCs w:val="16"/>
                <w:lang w:eastAsia="es-AR"/>
              </w:rPr>
            </w:pPr>
            <w:r>
              <w:rPr>
                <w:rFonts w:ascii="Arial" w:hAnsi="Arial" w:cs="Arial"/>
                <w:b/>
                <w:bCs/>
                <w:color w:val="000000"/>
                <w:sz w:val="16"/>
                <w:szCs w:val="16"/>
              </w:rPr>
              <w:t>-940.746</w:t>
            </w:r>
          </w:p>
        </w:tc>
      </w:tr>
      <w:tr w:rsidR="006D0999" w:rsidRPr="000C5202" w14:paraId="0021F159" w14:textId="77777777" w:rsidTr="006D0999">
        <w:trPr>
          <w:trHeight w:val="285"/>
        </w:trPr>
        <w:tc>
          <w:tcPr>
            <w:tcW w:w="2739" w:type="pct"/>
            <w:tcBorders>
              <w:top w:val="nil"/>
              <w:left w:val="nil"/>
              <w:bottom w:val="nil"/>
              <w:right w:val="nil"/>
            </w:tcBorders>
            <w:shd w:val="clear" w:color="auto" w:fill="auto"/>
            <w:vAlign w:val="center"/>
            <w:hideMark/>
          </w:tcPr>
          <w:p w14:paraId="3D342B34" w14:textId="77777777" w:rsidR="006D0999" w:rsidRPr="000C5202" w:rsidRDefault="006D0999" w:rsidP="006D0999">
            <w:pPr>
              <w:rPr>
                <w:rFonts w:ascii="Arial" w:hAnsi="Arial" w:cs="Arial"/>
                <w:sz w:val="16"/>
                <w:szCs w:val="16"/>
                <w:lang w:eastAsia="es-AR"/>
              </w:rPr>
            </w:pPr>
            <w:r w:rsidRPr="000C5202">
              <w:rPr>
                <w:rFonts w:ascii="Arial" w:hAnsi="Arial" w:cs="Arial"/>
                <w:sz w:val="16"/>
                <w:szCs w:val="16"/>
                <w:lang w:eastAsia="es-AR"/>
              </w:rPr>
              <w:t>Impuesto a las ganancias de las actividades que continúan</w:t>
            </w:r>
          </w:p>
        </w:tc>
        <w:tc>
          <w:tcPr>
            <w:tcW w:w="434" w:type="pct"/>
            <w:tcBorders>
              <w:top w:val="nil"/>
              <w:left w:val="nil"/>
              <w:bottom w:val="nil"/>
              <w:right w:val="nil"/>
            </w:tcBorders>
            <w:shd w:val="clear" w:color="auto" w:fill="auto"/>
            <w:vAlign w:val="center"/>
          </w:tcPr>
          <w:p w14:paraId="156A4A07" w14:textId="3FCC5C81" w:rsidR="006D0999" w:rsidRPr="000C5202" w:rsidRDefault="006D0999" w:rsidP="006D0999">
            <w:pPr>
              <w:jc w:val="center"/>
              <w:rPr>
                <w:rFonts w:ascii="Arial" w:hAnsi="Arial" w:cs="Arial"/>
                <w:sz w:val="16"/>
                <w:szCs w:val="16"/>
                <w:lang w:eastAsia="es-AR"/>
              </w:rPr>
            </w:pPr>
          </w:p>
        </w:tc>
        <w:tc>
          <w:tcPr>
            <w:tcW w:w="870" w:type="pct"/>
            <w:tcBorders>
              <w:top w:val="nil"/>
              <w:left w:val="nil"/>
              <w:bottom w:val="nil"/>
              <w:right w:val="nil"/>
            </w:tcBorders>
            <w:vAlign w:val="center"/>
          </w:tcPr>
          <w:p w14:paraId="0886CEA9" w14:textId="66171DF8" w:rsidR="006D0999" w:rsidRPr="00262BD5" w:rsidRDefault="006D0999" w:rsidP="006D0999">
            <w:pPr>
              <w:jc w:val="right"/>
              <w:rPr>
                <w:rFonts w:ascii="Arial" w:hAnsi="Arial" w:cs="Arial"/>
                <w:sz w:val="16"/>
                <w:szCs w:val="16"/>
              </w:rPr>
            </w:pPr>
            <w:r>
              <w:rPr>
                <w:rFonts w:ascii="Arial" w:hAnsi="Arial" w:cs="Arial"/>
                <w:color w:val="000000"/>
                <w:sz w:val="16"/>
                <w:szCs w:val="16"/>
              </w:rPr>
              <w:t>296.757</w:t>
            </w:r>
          </w:p>
        </w:tc>
        <w:tc>
          <w:tcPr>
            <w:tcW w:w="957" w:type="pct"/>
            <w:tcBorders>
              <w:top w:val="nil"/>
              <w:left w:val="nil"/>
              <w:bottom w:val="nil"/>
              <w:right w:val="nil"/>
            </w:tcBorders>
            <w:shd w:val="clear" w:color="auto" w:fill="auto"/>
            <w:noWrap/>
            <w:vAlign w:val="center"/>
          </w:tcPr>
          <w:p w14:paraId="78E48883" w14:textId="1FE58F68" w:rsidR="006D0999" w:rsidRPr="00262BD5" w:rsidRDefault="006D0999" w:rsidP="006D0999">
            <w:pPr>
              <w:jc w:val="right"/>
              <w:rPr>
                <w:rFonts w:ascii="Arial" w:hAnsi="Arial" w:cs="Arial"/>
                <w:sz w:val="16"/>
                <w:szCs w:val="16"/>
                <w:lang w:eastAsia="es-AR"/>
              </w:rPr>
            </w:pPr>
            <w:r>
              <w:rPr>
                <w:rFonts w:ascii="Arial" w:hAnsi="Arial" w:cs="Arial"/>
                <w:color w:val="000000"/>
                <w:sz w:val="16"/>
                <w:szCs w:val="16"/>
              </w:rPr>
              <w:t>387.748</w:t>
            </w:r>
          </w:p>
        </w:tc>
      </w:tr>
      <w:tr w:rsidR="006D0999" w:rsidRPr="000C5202" w14:paraId="39898F24" w14:textId="77777777" w:rsidTr="006D0999">
        <w:trPr>
          <w:trHeight w:val="285"/>
        </w:trPr>
        <w:tc>
          <w:tcPr>
            <w:tcW w:w="2739" w:type="pct"/>
            <w:tcBorders>
              <w:top w:val="nil"/>
              <w:left w:val="nil"/>
              <w:bottom w:val="nil"/>
              <w:right w:val="nil"/>
            </w:tcBorders>
            <w:shd w:val="clear" w:color="auto" w:fill="auto"/>
            <w:vAlign w:val="center"/>
            <w:hideMark/>
          </w:tcPr>
          <w:p w14:paraId="3134825B" w14:textId="77777777" w:rsidR="006D0999" w:rsidRPr="000C5202" w:rsidRDefault="006D0999" w:rsidP="006D0999">
            <w:pPr>
              <w:rPr>
                <w:rFonts w:ascii="Arial" w:hAnsi="Arial" w:cs="Arial"/>
                <w:sz w:val="16"/>
                <w:szCs w:val="16"/>
                <w:lang w:eastAsia="es-AR"/>
              </w:rPr>
            </w:pPr>
          </w:p>
        </w:tc>
        <w:tc>
          <w:tcPr>
            <w:tcW w:w="434" w:type="pct"/>
            <w:tcBorders>
              <w:top w:val="nil"/>
              <w:left w:val="nil"/>
              <w:bottom w:val="nil"/>
              <w:right w:val="nil"/>
            </w:tcBorders>
            <w:shd w:val="clear" w:color="auto" w:fill="auto"/>
            <w:vAlign w:val="center"/>
            <w:hideMark/>
          </w:tcPr>
          <w:p w14:paraId="4679982E" w14:textId="77777777" w:rsidR="006D0999" w:rsidRPr="000C5202" w:rsidRDefault="006D0999" w:rsidP="006D0999">
            <w:pPr>
              <w:jc w:val="center"/>
              <w:rPr>
                <w:rFonts w:ascii="Arial" w:hAnsi="Arial" w:cs="Arial"/>
                <w:sz w:val="16"/>
                <w:szCs w:val="16"/>
                <w:lang w:eastAsia="es-AR"/>
              </w:rPr>
            </w:pPr>
          </w:p>
        </w:tc>
        <w:tc>
          <w:tcPr>
            <w:tcW w:w="870" w:type="pct"/>
            <w:tcBorders>
              <w:top w:val="nil"/>
              <w:left w:val="nil"/>
              <w:bottom w:val="nil"/>
              <w:right w:val="nil"/>
            </w:tcBorders>
            <w:vAlign w:val="center"/>
          </w:tcPr>
          <w:p w14:paraId="05F2D2A5" w14:textId="77777777" w:rsidR="006D0999" w:rsidRPr="00262BD5" w:rsidRDefault="006D0999" w:rsidP="006D0999">
            <w:pPr>
              <w:jc w:val="right"/>
              <w:rPr>
                <w:rFonts w:ascii="Arial" w:hAnsi="Arial" w:cs="Arial"/>
                <w:sz w:val="16"/>
                <w:szCs w:val="16"/>
                <w:lang w:eastAsia="es-AR"/>
              </w:rPr>
            </w:pPr>
          </w:p>
        </w:tc>
        <w:tc>
          <w:tcPr>
            <w:tcW w:w="957" w:type="pct"/>
            <w:tcBorders>
              <w:top w:val="nil"/>
              <w:left w:val="nil"/>
              <w:bottom w:val="nil"/>
              <w:right w:val="nil"/>
            </w:tcBorders>
            <w:shd w:val="clear" w:color="auto" w:fill="auto"/>
            <w:noWrap/>
            <w:vAlign w:val="center"/>
          </w:tcPr>
          <w:p w14:paraId="60694575" w14:textId="36B2D71A" w:rsidR="006D0999" w:rsidRPr="00262BD5" w:rsidRDefault="006D0999" w:rsidP="006D0999">
            <w:pPr>
              <w:jc w:val="right"/>
              <w:rPr>
                <w:rFonts w:ascii="Arial" w:hAnsi="Arial" w:cs="Arial"/>
                <w:sz w:val="16"/>
                <w:szCs w:val="16"/>
                <w:lang w:eastAsia="es-AR"/>
              </w:rPr>
            </w:pPr>
          </w:p>
        </w:tc>
      </w:tr>
      <w:tr w:rsidR="006D0999" w:rsidRPr="000C5202" w14:paraId="6E1E69E4" w14:textId="77777777" w:rsidTr="006D0999">
        <w:trPr>
          <w:trHeight w:val="285"/>
        </w:trPr>
        <w:tc>
          <w:tcPr>
            <w:tcW w:w="2739" w:type="pct"/>
            <w:tcBorders>
              <w:top w:val="nil"/>
              <w:left w:val="nil"/>
              <w:bottom w:val="nil"/>
              <w:right w:val="nil"/>
            </w:tcBorders>
            <w:shd w:val="clear" w:color="auto" w:fill="auto"/>
            <w:vAlign w:val="center"/>
            <w:hideMark/>
          </w:tcPr>
          <w:p w14:paraId="6D45336A" w14:textId="77777777" w:rsidR="006D0999" w:rsidRPr="000C5202" w:rsidRDefault="006D0999" w:rsidP="006D0999">
            <w:pPr>
              <w:rPr>
                <w:rFonts w:ascii="Arial" w:hAnsi="Arial" w:cs="Arial"/>
                <w:b/>
                <w:bCs/>
                <w:sz w:val="16"/>
                <w:szCs w:val="16"/>
                <w:lang w:eastAsia="es-AR"/>
              </w:rPr>
            </w:pPr>
            <w:r w:rsidRPr="000C5202">
              <w:rPr>
                <w:rFonts w:ascii="Arial" w:hAnsi="Arial" w:cs="Arial"/>
                <w:b/>
                <w:bCs/>
                <w:sz w:val="16"/>
                <w:szCs w:val="16"/>
                <w:lang w:eastAsia="es-AR"/>
              </w:rPr>
              <w:t>Resultado neto de las actividades que continúan</w:t>
            </w:r>
          </w:p>
        </w:tc>
        <w:tc>
          <w:tcPr>
            <w:tcW w:w="434" w:type="pct"/>
            <w:tcBorders>
              <w:top w:val="nil"/>
              <w:left w:val="nil"/>
              <w:bottom w:val="nil"/>
              <w:right w:val="nil"/>
            </w:tcBorders>
            <w:shd w:val="clear" w:color="auto" w:fill="auto"/>
            <w:vAlign w:val="center"/>
            <w:hideMark/>
          </w:tcPr>
          <w:p w14:paraId="12D25376" w14:textId="77777777" w:rsidR="006D0999" w:rsidRPr="000C5202" w:rsidRDefault="006D0999" w:rsidP="006D0999">
            <w:pPr>
              <w:jc w:val="center"/>
              <w:rPr>
                <w:rFonts w:ascii="Arial" w:hAnsi="Arial" w:cs="Arial"/>
                <w:b/>
                <w:bCs/>
                <w:sz w:val="16"/>
                <w:szCs w:val="16"/>
                <w:lang w:eastAsia="es-AR"/>
              </w:rPr>
            </w:pPr>
          </w:p>
        </w:tc>
        <w:tc>
          <w:tcPr>
            <w:tcW w:w="870" w:type="pct"/>
            <w:tcBorders>
              <w:top w:val="nil"/>
              <w:left w:val="nil"/>
              <w:bottom w:val="nil"/>
              <w:right w:val="nil"/>
            </w:tcBorders>
            <w:vAlign w:val="center"/>
          </w:tcPr>
          <w:p w14:paraId="2612A458" w14:textId="44BB5A3A" w:rsidR="006D0999" w:rsidRPr="00262BD5" w:rsidRDefault="006D0999" w:rsidP="006D0999">
            <w:pPr>
              <w:jc w:val="right"/>
              <w:rPr>
                <w:rFonts w:ascii="Arial" w:hAnsi="Arial" w:cs="Arial"/>
                <w:b/>
                <w:sz w:val="16"/>
                <w:szCs w:val="16"/>
              </w:rPr>
            </w:pPr>
            <w:r>
              <w:rPr>
                <w:rFonts w:ascii="Arial" w:hAnsi="Arial" w:cs="Arial"/>
                <w:b/>
                <w:bCs/>
                <w:color w:val="000000"/>
                <w:sz w:val="16"/>
                <w:szCs w:val="16"/>
              </w:rPr>
              <w:t>373.140</w:t>
            </w:r>
          </w:p>
        </w:tc>
        <w:tc>
          <w:tcPr>
            <w:tcW w:w="957" w:type="pct"/>
            <w:tcBorders>
              <w:top w:val="nil"/>
              <w:left w:val="nil"/>
              <w:bottom w:val="nil"/>
              <w:right w:val="nil"/>
            </w:tcBorders>
            <w:shd w:val="clear" w:color="auto" w:fill="auto"/>
            <w:noWrap/>
            <w:vAlign w:val="center"/>
          </w:tcPr>
          <w:p w14:paraId="7233D0FC" w14:textId="62814DEB" w:rsidR="006D0999" w:rsidRPr="00262BD5" w:rsidRDefault="006D0999" w:rsidP="006D0999">
            <w:pPr>
              <w:jc w:val="right"/>
              <w:rPr>
                <w:rFonts w:ascii="Arial" w:hAnsi="Arial" w:cs="Arial"/>
                <w:b/>
                <w:bCs/>
                <w:sz w:val="16"/>
                <w:szCs w:val="16"/>
                <w:lang w:eastAsia="es-AR"/>
              </w:rPr>
            </w:pPr>
            <w:r>
              <w:rPr>
                <w:rFonts w:ascii="Arial" w:hAnsi="Arial" w:cs="Arial"/>
                <w:b/>
                <w:bCs/>
                <w:color w:val="000000"/>
                <w:sz w:val="16"/>
                <w:szCs w:val="16"/>
              </w:rPr>
              <w:t>-1.328.494</w:t>
            </w:r>
          </w:p>
        </w:tc>
      </w:tr>
      <w:tr w:rsidR="006D0999" w:rsidRPr="000C5202" w14:paraId="0671F530" w14:textId="77777777" w:rsidTr="006D0999">
        <w:trPr>
          <w:trHeight w:val="285"/>
        </w:trPr>
        <w:tc>
          <w:tcPr>
            <w:tcW w:w="2739" w:type="pct"/>
            <w:tcBorders>
              <w:top w:val="nil"/>
              <w:left w:val="nil"/>
              <w:bottom w:val="nil"/>
              <w:right w:val="nil"/>
            </w:tcBorders>
            <w:shd w:val="clear" w:color="auto" w:fill="auto"/>
            <w:vAlign w:val="center"/>
            <w:hideMark/>
          </w:tcPr>
          <w:p w14:paraId="1E58DD11" w14:textId="3BB4BF74" w:rsidR="006D0999" w:rsidRPr="000C5202" w:rsidRDefault="006D0999" w:rsidP="006D0999">
            <w:pPr>
              <w:rPr>
                <w:rFonts w:ascii="Arial" w:hAnsi="Arial" w:cs="Arial"/>
                <w:b/>
                <w:bCs/>
                <w:sz w:val="16"/>
                <w:szCs w:val="16"/>
                <w:lang w:eastAsia="es-AR"/>
              </w:rPr>
            </w:pPr>
            <w:r w:rsidRPr="000C5202">
              <w:rPr>
                <w:rFonts w:ascii="Arial" w:hAnsi="Arial" w:cs="Arial"/>
                <w:b/>
                <w:bCs/>
                <w:sz w:val="16"/>
                <w:szCs w:val="16"/>
                <w:lang w:eastAsia="es-AR"/>
              </w:rPr>
              <w:t>Resultado neto del</w:t>
            </w:r>
            <w:r>
              <w:rPr>
                <w:rFonts w:ascii="Arial" w:hAnsi="Arial" w:cs="Arial"/>
                <w:b/>
                <w:bCs/>
                <w:sz w:val="16"/>
                <w:szCs w:val="16"/>
                <w:lang w:eastAsia="es-AR"/>
              </w:rPr>
              <w:t xml:space="preserve"> período</w:t>
            </w:r>
          </w:p>
        </w:tc>
        <w:tc>
          <w:tcPr>
            <w:tcW w:w="434" w:type="pct"/>
            <w:tcBorders>
              <w:top w:val="nil"/>
              <w:left w:val="nil"/>
              <w:bottom w:val="nil"/>
              <w:right w:val="nil"/>
            </w:tcBorders>
            <w:shd w:val="clear" w:color="auto" w:fill="auto"/>
            <w:vAlign w:val="center"/>
            <w:hideMark/>
          </w:tcPr>
          <w:p w14:paraId="522599CF" w14:textId="77777777" w:rsidR="006D0999" w:rsidRPr="000C5202" w:rsidRDefault="006D0999" w:rsidP="006D0999">
            <w:pPr>
              <w:jc w:val="center"/>
              <w:rPr>
                <w:rFonts w:ascii="Arial" w:hAnsi="Arial" w:cs="Arial"/>
                <w:b/>
                <w:bCs/>
                <w:sz w:val="16"/>
                <w:szCs w:val="16"/>
                <w:lang w:eastAsia="es-AR"/>
              </w:rPr>
            </w:pPr>
          </w:p>
        </w:tc>
        <w:tc>
          <w:tcPr>
            <w:tcW w:w="870" w:type="pct"/>
            <w:tcBorders>
              <w:top w:val="single" w:sz="4" w:space="0" w:color="auto"/>
              <w:left w:val="nil"/>
              <w:bottom w:val="nil"/>
              <w:right w:val="nil"/>
            </w:tcBorders>
            <w:vAlign w:val="center"/>
          </w:tcPr>
          <w:p w14:paraId="195114F5" w14:textId="418CB592" w:rsidR="006D0999" w:rsidRPr="00262BD5" w:rsidRDefault="006D0999" w:rsidP="006D0999">
            <w:pPr>
              <w:jc w:val="right"/>
              <w:rPr>
                <w:rFonts w:ascii="Arial" w:hAnsi="Arial" w:cs="Arial"/>
                <w:b/>
                <w:sz w:val="16"/>
                <w:szCs w:val="16"/>
              </w:rPr>
            </w:pPr>
            <w:r>
              <w:rPr>
                <w:rFonts w:ascii="Arial" w:hAnsi="Arial" w:cs="Arial"/>
                <w:b/>
                <w:bCs/>
                <w:color w:val="000000"/>
                <w:sz w:val="16"/>
                <w:szCs w:val="16"/>
              </w:rPr>
              <w:t>373.140</w:t>
            </w:r>
          </w:p>
        </w:tc>
        <w:tc>
          <w:tcPr>
            <w:tcW w:w="957" w:type="pct"/>
            <w:tcBorders>
              <w:top w:val="single" w:sz="4" w:space="0" w:color="auto"/>
              <w:left w:val="nil"/>
              <w:bottom w:val="nil"/>
              <w:right w:val="nil"/>
            </w:tcBorders>
            <w:shd w:val="clear" w:color="auto" w:fill="auto"/>
            <w:noWrap/>
            <w:vAlign w:val="center"/>
          </w:tcPr>
          <w:p w14:paraId="67C5DBF4" w14:textId="4E1E737C" w:rsidR="006D0999" w:rsidRPr="00262BD5" w:rsidRDefault="006D0999" w:rsidP="006D0999">
            <w:pPr>
              <w:jc w:val="right"/>
              <w:rPr>
                <w:rFonts w:ascii="Arial" w:hAnsi="Arial" w:cs="Arial"/>
                <w:b/>
                <w:bCs/>
                <w:sz w:val="16"/>
                <w:szCs w:val="16"/>
                <w:lang w:eastAsia="es-AR"/>
              </w:rPr>
            </w:pPr>
            <w:r>
              <w:rPr>
                <w:rFonts w:ascii="Arial" w:hAnsi="Arial" w:cs="Arial"/>
                <w:b/>
                <w:bCs/>
                <w:color w:val="000000"/>
                <w:sz w:val="16"/>
                <w:szCs w:val="16"/>
              </w:rPr>
              <w:t>-1.328.494</w:t>
            </w:r>
          </w:p>
        </w:tc>
      </w:tr>
    </w:tbl>
    <w:p w14:paraId="7EBA4627" w14:textId="43D57ABD" w:rsidR="00BA1EB9" w:rsidRPr="00701F32" w:rsidRDefault="000C5202" w:rsidP="009919E0">
      <w:pPr>
        <w:tabs>
          <w:tab w:val="left" w:pos="1365"/>
        </w:tabs>
        <w:jc w:val="center"/>
        <w:rPr>
          <w:sz w:val="20"/>
          <w:lang w:eastAsia="es-AR"/>
        </w:rPr>
      </w:pPr>
      <w:r>
        <w:rPr>
          <w:sz w:val="20"/>
          <w:lang w:eastAsia="es-AR"/>
        </w:rPr>
        <w:br w:type="textWrapping" w:clear="all"/>
      </w:r>
    </w:p>
    <w:p w14:paraId="4B223DC1" w14:textId="77777777" w:rsidR="00BA1EB9" w:rsidRPr="00701F32" w:rsidRDefault="00BA1EB9" w:rsidP="009919E0">
      <w:pPr>
        <w:tabs>
          <w:tab w:val="left" w:pos="1365"/>
        </w:tabs>
        <w:jc w:val="center"/>
        <w:rPr>
          <w:sz w:val="20"/>
          <w:lang w:eastAsia="es-AR"/>
        </w:rPr>
        <w:sectPr w:rsidR="00BA1EB9" w:rsidRPr="00701F32" w:rsidSect="007045C3">
          <w:headerReference w:type="default" r:id="rId34"/>
          <w:pgSz w:w="11907" w:h="16839" w:code="9"/>
          <w:pgMar w:top="1418" w:right="1701" w:bottom="1418" w:left="1701" w:header="567" w:footer="0" w:gutter="0"/>
          <w:paperSrc w:first="256" w:other="256"/>
          <w:cols w:space="720"/>
          <w:docGrid w:linePitch="326"/>
        </w:sectPr>
      </w:pPr>
    </w:p>
    <w:p w14:paraId="7BA7EB0D" w14:textId="77777777" w:rsidR="00287667" w:rsidRPr="00701F32" w:rsidRDefault="00287667" w:rsidP="00287667">
      <w:pPr>
        <w:tabs>
          <w:tab w:val="left" w:pos="1365"/>
        </w:tabs>
        <w:rPr>
          <w:sz w:val="20"/>
          <w:lang w:eastAsia="es-AR"/>
        </w:rPr>
      </w:pPr>
    </w:p>
    <w:p w14:paraId="73F15F09" w14:textId="566542FD" w:rsidR="00F55C3D" w:rsidRPr="00701F32" w:rsidRDefault="00F55C3D" w:rsidP="005C2DE7">
      <w:pPr>
        <w:tabs>
          <w:tab w:val="left" w:pos="1365"/>
        </w:tabs>
        <w:rPr>
          <w:lang w:val="es-ES_tradnl"/>
        </w:rPr>
      </w:pPr>
    </w:p>
    <w:tbl>
      <w:tblPr>
        <w:tblW w:w="0" w:type="auto"/>
        <w:jc w:val="center"/>
        <w:tblLayout w:type="fixed"/>
        <w:tblCellMar>
          <w:left w:w="70" w:type="dxa"/>
          <w:right w:w="70" w:type="dxa"/>
        </w:tblCellMar>
        <w:tblLook w:val="04A0" w:firstRow="1" w:lastRow="0" w:firstColumn="1" w:lastColumn="0" w:noHBand="0" w:noVBand="1"/>
      </w:tblPr>
      <w:tblGrid>
        <w:gridCol w:w="5423"/>
        <w:gridCol w:w="1518"/>
        <w:gridCol w:w="1554"/>
      </w:tblGrid>
      <w:tr w:rsidR="00A358A0" w:rsidRPr="003003FC" w14:paraId="378020AF" w14:textId="77777777" w:rsidTr="00BA7A6B">
        <w:trPr>
          <w:trHeight w:val="510"/>
          <w:jc w:val="center"/>
        </w:trPr>
        <w:tc>
          <w:tcPr>
            <w:tcW w:w="5423"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6E4CE5C" w14:textId="77777777" w:rsidR="00A358A0" w:rsidRPr="003003FC" w:rsidRDefault="00A358A0" w:rsidP="00492DB4">
            <w:pPr>
              <w:jc w:val="center"/>
              <w:rPr>
                <w:rFonts w:ascii="Arial" w:hAnsi="Arial" w:cs="Arial"/>
                <w:b/>
                <w:bCs/>
                <w:sz w:val="20"/>
                <w:lang w:eastAsia="es-AR"/>
              </w:rPr>
            </w:pPr>
            <w:r w:rsidRPr="003003FC">
              <w:rPr>
                <w:rFonts w:ascii="Arial" w:hAnsi="Arial" w:cs="Arial"/>
                <w:b/>
                <w:bCs/>
                <w:sz w:val="20"/>
                <w:lang w:eastAsia="es-AR"/>
              </w:rPr>
              <w:t>Concepto</w:t>
            </w:r>
          </w:p>
        </w:tc>
        <w:tc>
          <w:tcPr>
            <w:tcW w:w="1518"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72CD9834" w14:textId="77777777" w:rsidR="00A358A0" w:rsidRPr="003003FC" w:rsidRDefault="00A358A0" w:rsidP="00492DB4">
            <w:pPr>
              <w:jc w:val="center"/>
              <w:rPr>
                <w:rFonts w:ascii="Arial" w:hAnsi="Arial" w:cs="Arial"/>
                <w:b/>
                <w:bCs/>
                <w:sz w:val="20"/>
                <w:lang w:eastAsia="es-AR"/>
              </w:rPr>
            </w:pPr>
            <w:r w:rsidRPr="003003FC">
              <w:rPr>
                <w:rFonts w:ascii="Arial" w:hAnsi="Arial" w:cs="Arial"/>
                <w:b/>
                <w:bCs/>
                <w:sz w:val="20"/>
                <w:lang w:eastAsia="es-AR"/>
              </w:rPr>
              <w:t>Al</w:t>
            </w:r>
          </w:p>
          <w:p w14:paraId="5454FB99" w14:textId="77777777" w:rsidR="00A358A0" w:rsidRPr="003003FC" w:rsidRDefault="00A358A0" w:rsidP="00492DB4">
            <w:pPr>
              <w:jc w:val="center"/>
              <w:rPr>
                <w:rFonts w:ascii="Arial" w:hAnsi="Arial" w:cs="Arial"/>
                <w:b/>
                <w:bCs/>
                <w:sz w:val="20"/>
                <w:lang w:eastAsia="es-AR"/>
              </w:rPr>
            </w:pPr>
            <w:r w:rsidRPr="003003FC">
              <w:rPr>
                <w:rFonts w:ascii="Arial" w:hAnsi="Arial" w:cs="Arial"/>
                <w:b/>
                <w:bCs/>
                <w:sz w:val="20"/>
                <w:lang w:eastAsia="es-AR"/>
              </w:rPr>
              <w:t>31/03/2020</w:t>
            </w:r>
          </w:p>
        </w:tc>
        <w:tc>
          <w:tcPr>
            <w:tcW w:w="1554"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B450E66" w14:textId="77777777" w:rsidR="00A358A0" w:rsidRPr="003003FC" w:rsidRDefault="00A358A0" w:rsidP="00492DB4">
            <w:pPr>
              <w:jc w:val="center"/>
              <w:rPr>
                <w:rFonts w:ascii="Arial" w:hAnsi="Arial" w:cs="Arial"/>
                <w:b/>
                <w:bCs/>
                <w:sz w:val="20"/>
                <w:lang w:eastAsia="es-AR"/>
              </w:rPr>
            </w:pPr>
            <w:r w:rsidRPr="003003FC">
              <w:rPr>
                <w:rFonts w:ascii="Arial" w:hAnsi="Arial" w:cs="Arial"/>
                <w:b/>
                <w:bCs/>
                <w:sz w:val="20"/>
                <w:lang w:eastAsia="es-AR"/>
              </w:rPr>
              <w:t xml:space="preserve">Al </w:t>
            </w:r>
          </w:p>
          <w:p w14:paraId="03463587" w14:textId="77777777" w:rsidR="00A358A0" w:rsidRPr="003003FC" w:rsidRDefault="00A358A0" w:rsidP="00492DB4">
            <w:pPr>
              <w:jc w:val="center"/>
              <w:rPr>
                <w:rFonts w:ascii="Arial" w:hAnsi="Arial" w:cs="Arial"/>
                <w:b/>
                <w:bCs/>
                <w:sz w:val="20"/>
                <w:lang w:eastAsia="es-AR"/>
              </w:rPr>
            </w:pPr>
            <w:r w:rsidRPr="003003FC">
              <w:rPr>
                <w:rFonts w:ascii="Arial" w:hAnsi="Arial" w:cs="Arial"/>
                <w:b/>
                <w:bCs/>
                <w:sz w:val="20"/>
                <w:lang w:eastAsia="es-AR"/>
              </w:rPr>
              <w:t>31/03/2019</w:t>
            </w:r>
          </w:p>
        </w:tc>
      </w:tr>
      <w:tr w:rsidR="00A358A0" w:rsidRPr="003003FC" w14:paraId="4C4406A7" w14:textId="77777777" w:rsidTr="00BA7A6B">
        <w:trPr>
          <w:trHeight w:val="285"/>
          <w:jc w:val="center"/>
        </w:trPr>
        <w:tc>
          <w:tcPr>
            <w:tcW w:w="5423" w:type="dxa"/>
            <w:tcBorders>
              <w:top w:val="nil"/>
              <w:left w:val="nil"/>
              <w:bottom w:val="nil"/>
              <w:right w:val="nil"/>
            </w:tcBorders>
            <w:shd w:val="clear" w:color="auto" w:fill="auto"/>
            <w:hideMark/>
          </w:tcPr>
          <w:p w14:paraId="4972AC99" w14:textId="77777777" w:rsidR="00A358A0" w:rsidRPr="003003FC" w:rsidRDefault="00A358A0" w:rsidP="00492DB4">
            <w:pPr>
              <w:jc w:val="center"/>
              <w:rPr>
                <w:rFonts w:ascii="Arial" w:hAnsi="Arial" w:cs="Arial"/>
                <w:b/>
                <w:bCs/>
                <w:sz w:val="20"/>
                <w:lang w:eastAsia="es-AR"/>
              </w:rPr>
            </w:pPr>
            <w:r w:rsidRPr="003003FC">
              <w:rPr>
                <w:rFonts w:ascii="Arial" w:hAnsi="Arial" w:cs="Arial"/>
                <w:b/>
                <w:bCs/>
                <w:sz w:val="20"/>
                <w:lang w:eastAsia="es-AR"/>
              </w:rPr>
              <w:t> </w:t>
            </w:r>
          </w:p>
        </w:tc>
        <w:tc>
          <w:tcPr>
            <w:tcW w:w="1518" w:type="dxa"/>
            <w:tcBorders>
              <w:top w:val="nil"/>
              <w:left w:val="nil"/>
              <w:bottom w:val="nil"/>
              <w:right w:val="nil"/>
            </w:tcBorders>
          </w:tcPr>
          <w:p w14:paraId="4F543DF3" w14:textId="77777777" w:rsidR="00A358A0" w:rsidRPr="003003FC" w:rsidRDefault="00A358A0" w:rsidP="00492DB4">
            <w:pPr>
              <w:jc w:val="center"/>
              <w:rPr>
                <w:rFonts w:ascii="Arial" w:hAnsi="Arial" w:cs="Arial"/>
                <w:b/>
                <w:bCs/>
                <w:sz w:val="20"/>
                <w:lang w:eastAsia="es-AR"/>
              </w:rPr>
            </w:pPr>
          </w:p>
        </w:tc>
        <w:tc>
          <w:tcPr>
            <w:tcW w:w="1554" w:type="dxa"/>
            <w:tcBorders>
              <w:top w:val="nil"/>
              <w:left w:val="nil"/>
              <w:bottom w:val="nil"/>
              <w:right w:val="nil"/>
            </w:tcBorders>
            <w:shd w:val="clear" w:color="auto" w:fill="auto"/>
            <w:hideMark/>
          </w:tcPr>
          <w:p w14:paraId="6DD98158" w14:textId="77777777" w:rsidR="00A358A0" w:rsidRPr="003003FC" w:rsidRDefault="00A358A0" w:rsidP="00492DB4">
            <w:pPr>
              <w:jc w:val="center"/>
              <w:rPr>
                <w:rFonts w:ascii="Arial" w:hAnsi="Arial" w:cs="Arial"/>
                <w:b/>
                <w:bCs/>
                <w:sz w:val="20"/>
                <w:lang w:eastAsia="es-AR"/>
              </w:rPr>
            </w:pPr>
            <w:r w:rsidRPr="003003FC">
              <w:rPr>
                <w:rFonts w:ascii="Arial" w:hAnsi="Arial" w:cs="Arial"/>
                <w:b/>
                <w:bCs/>
                <w:sz w:val="20"/>
                <w:lang w:eastAsia="es-AR"/>
              </w:rPr>
              <w:t> </w:t>
            </w:r>
          </w:p>
        </w:tc>
      </w:tr>
      <w:tr w:rsidR="00A358A0" w:rsidRPr="003003FC" w14:paraId="60069284" w14:textId="77777777" w:rsidTr="00BA7A6B">
        <w:trPr>
          <w:trHeight w:val="285"/>
          <w:jc w:val="center"/>
        </w:trPr>
        <w:tc>
          <w:tcPr>
            <w:tcW w:w="5423" w:type="dxa"/>
            <w:tcBorders>
              <w:top w:val="nil"/>
              <w:left w:val="nil"/>
              <w:bottom w:val="nil"/>
              <w:right w:val="nil"/>
            </w:tcBorders>
            <w:shd w:val="clear" w:color="auto" w:fill="auto"/>
            <w:hideMark/>
          </w:tcPr>
          <w:p w14:paraId="68C00DE8" w14:textId="77777777" w:rsidR="00A358A0" w:rsidRPr="003003FC" w:rsidRDefault="00A358A0" w:rsidP="00492DB4">
            <w:pPr>
              <w:rPr>
                <w:rFonts w:ascii="Arial" w:hAnsi="Arial" w:cs="Arial"/>
                <w:b/>
                <w:bCs/>
                <w:sz w:val="20"/>
                <w:lang w:eastAsia="es-AR"/>
              </w:rPr>
            </w:pPr>
            <w:r w:rsidRPr="003003FC">
              <w:rPr>
                <w:rFonts w:ascii="Arial" w:hAnsi="Arial" w:cs="Arial"/>
                <w:b/>
                <w:bCs/>
                <w:sz w:val="20"/>
                <w:lang w:eastAsia="es-AR"/>
              </w:rPr>
              <w:t>NUMERADOR</w:t>
            </w:r>
          </w:p>
        </w:tc>
        <w:tc>
          <w:tcPr>
            <w:tcW w:w="1518" w:type="dxa"/>
            <w:tcBorders>
              <w:top w:val="nil"/>
              <w:left w:val="nil"/>
              <w:bottom w:val="nil"/>
              <w:right w:val="nil"/>
            </w:tcBorders>
          </w:tcPr>
          <w:p w14:paraId="2AE263EF" w14:textId="77777777" w:rsidR="00A358A0" w:rsidRPr="003003FC" w:rsidRDefault="00A358A0" w:rsidP="00492DB4">
            <w:pPr>
              <w:rPr>
                <w:rFonts w:ascii="Arial" w:hAnsi="Arial" w:cs="Arial"/>
                <w:b/>
                <w:bCs/>
                <w:sz w:val="20"/>
                <w:lang w:eastAsia="es-AR"/>
              </w:rPr>
            </w:pPr>
          </w:p>
        </w:tc>
        <w:tc>
          <w:tcPr>
            <w:tcW w:w="1554" w:type="dxa"/>
            <w:tcBorders>
              <w:top w:val="nil"/>
              <w:left w:val="nil"/>
              <w:bottom w:val="nil"/>
              <w:right w:val="nil"/>
            </w:tcBorders>
            <w:shd w:val="clear" w:color="auto" w:fill="auto"/>
            <w:hideMark/>
          </w:tcPr>
          <w:p w14:paraId="4A209BD2" w14:textId="77777777" w:rsidR="00A358A0" w:rsidRPr="003003FC" w:rsidRDefault="00A358A0" w:rsidP="00492DB4">
            <w:pPr>
              <w:rPr>
                <w:rFonts w:ascii="Arial" w:hAnsi="Arial" w:cs="Arial"/>
                <w:b/>
                <w:bCs/>
                <w:sz w:val="20"/>
                <w:lang w:eastAsia="es-AR"/>
              </w:rPr>
            </w:pPr>
          </w:p>
        </w:tc>
      </w:tr>
      <w:tr w:rsidR="00A358A0" w:rsidRPr="003003FC" w14:paraId="70B3D480" w14:textId="77777777" w:rsidTr="00BA7A6B">
        <w:trPr>
          <w:trHeight w:val="285"/>
          <w:jc w:val="center"/>
        </w:trPr>
        <w:tc>
          <w:tcPr>
            <w:tcW w:w="5423" w:type="dxa"/>
            <w:tcBorders>
              <w:top w:val="nil"/>
              <w:left w:val="nil"/>
              <w:bottom w:val="nil"/>
              <w:right w:val="nil"/>
            </w:tcBorders>
            <w:shd w:val="clear" w:color="auto" w:fill="auto"/>
            <w:hideMark/>
          </w:tcPr>
          <w:p w14:paraId="772FB9E0" w14:textId="77777777" w:rsidR="00A358A0" w:rsidRPr="003003FC" w:rsidRDefault="00A358A0" w:rsidP="00492DB4">
            <w:pPr>
              <w:rPr>
                <w:rFonts w:ascii="Arial" w:hAnsi="Arial" w:cs="Arial"/>
                <w:sz w:val="20"/>
                <w:lang w:eastAsia="es-AR"/>
              </w:rPr>
            </w:pPr>
          </w:p>
        </w:tc>
        <w:tc>
          <w:tcPr>
            <w:tcW w:w="1518" w:type="dxa"/>
            <w:tcBorders>
              <w:top w:val="nil"/>
              <w:left w:val="nil"/>
              <w:bottom w:val="nil"/>
              <w:right w:val="nil"/>
            </w:tcBorders>
          </w:tcPr>
          <w:p w14:paraId="7CFAC41A" w14:textId="77777777" w:rsidR="00A358A0" w:rsidRPr="003003FC" w:rsidRDefault="00A358A0" w:rsidP="00492DB4">
            <w:pPr>
              <w:rPr>
                <w:rFonts w:ascii="Arial" w:hAnsi="Arial" w:cs="Arial"/>
                <w:sz w:val="20"/>
                <w:lang w:eastAsia="es-AR"/>
              </w:rPr>
            </w:pPr>
          </w:p>
        </w:tc>
        <w:tc>
          <w:tcPr>
            <w:tcW w:w="1554" w:type="dxa"/>
            <w:tcBorders>
              <w:top w:val="nil"/>
              <w:left w:val="nil"/>
              <w:bottom w:val="nil"/>
              <w:right w:val="nil"/>
            </w:tcBorders>
            <w:shd w:val="clear" w:color="auto" w:fill="auto"/>
            <w:hideMark/>
          </w:tcPr>
          <w:p w14:paraId="3B4211DB" w14:textId="77777777" w:rsidR="00A358A0" w:rsidRPr="003003FC" w:rsidRDefault="00A358A0" w:rsidP="00492DB4">
            <w:pPr>
              <w:rPr>
                <w:rFonts w:ascii="Arial" w:hAnsi="Arial" w:cs="Arial"/>
                <w:sz w:val="20"/>
                <w:lang w:eastAsia="es-AR"/>
              </w:rPr>
            </w:pPr>
          </w:p>
        </w:tc>
      </w:tr>
      <w:tr w:rsidR="006C21CE" w:rsidRPr="003003FC" w14:paraId="52DA1890" w14:textId="77777777" w:rsidTr="00BA7A6B">
        <w:trPr>
          <w:trHeight w:val="285"/>
          <w:jc w:val="center"/>
        </w:trPr>
        <w:tc>
          <w:tcPr>
            <w:tcW w:w="5423" w:type="dxa"/>
            <w:tcBorders>
              <w:top w:val="nil"/>
              <w:left w:val="nil"/>
              <w:bottom w:val="nil"/>
              <w:right w:val="nil"/>
            </w:tcBorders>
            <w:shd w:val="clear" w:color="auto" w:fill="auto"/>
            <w:hideMark/>
          </w:tcPr>
          <w:p w14:paraId="3DEC1974" w14:textId="77777777" w:rsidR="006C21CE" w:rsidRPr="003003FC" w:rsidRDefault="006C21CE" w:rsidP="006C21CE">
            <w:pPr>
              <w:rPr>
                <w:rFonts w:ascii="Arial" w:hAnsi="Arial" w:cs="Arial"/>
                <w:sz w:val="20"/>
                <w:lang w:eastAsia="es-AR"/>
              </w:rPr>
            </w:pPr>
            <w:r w:rsidRPr="003003FC">
              <w:rPr>
                <w:rFonts w:ascii="Arial" w:hAnsi="Arial" w:cs="Arial"/>
                <w:sz w:val="20"/>
                <w:lang w:eastAsia="es-AR"/>
              </w:rPr>
              <w:t>Ganancia neta atribuible a Accionistas de la Entidad Controladora</w:t>
            </w:r>
          </w:p>
        </w:tc>
        <w:tc>
          <w:tcPr>
            <w:tcW w:w="1518" w:type="dxa"/>
            <w:tcBorders>
              <w:top w:val="nil"/>
              <w:left w:val="nil"/>
              <w:bottom w:val="nil"/>
              <w:right w:val="nil"/>
            </w:tcBorders>
            <w:vAlign w:val="center"/>
          </w:tcPr>
          <w:p w14:paraId="259940CC" w14:textId="77777777" w:rsidR="006C21CE" w:rsidRPr="003003FC" w:rsidRDefault="006C21CE" w:rsidP="006C21CE">
            <w:pPr>
              <w:jc w:val="right"/>
              <w:rPr>
                <w:rFonts w:ascii="Arial" w:hAnsi="Arial" w:cs="Arial"/>
                <w:sz w:val="20"/>
              </w:rPr>
            </w:pPr>
            <w:r>
              <w:rPr>
                <w:rFonts w:ascii="Arial" w:hAnsi="Arial" w:cs="Arial"/>
                <w:sz w:val="20"/>
              </w:rPr>
              <w:t>373.140</w:t>
            </w:r>
          </w:p>
        </w:tc>
        <w:tc>
          <w:tcPr>
            <w:tcW w:w="1554" w:type="dxa"/>
            <w:tcBorders>
              <w:top w:val="nil"/>
              <w:left w:val="nil"/>
              <w:bottom w:val="nil"/>
              <w:right w:val="nil"/>
            </w:tcBorders>
            <w:shd w:val="clear" w:color="auto" w:fill="auto"/>
            <w:noWrap/>
            <w:vAlign w:val="center"/>
          </w:tcPr>
          <w:p w14:paraId="03579ACB" w14:textId="1531A18D" w:rsidR="006C21CE" w:rsidRPr="003003FC" w:rsidRDefault="006C21CE" w:rsidP="006C21CE">
            <w:pPr>
              <w:jc w:val="right"/>
              <w:rPr>
                <w:rFonts w:ascii="Arial" w:hAnsi="Arial" w:cs="Arial"/>
                <w:sz w:val="20"/>
                <w:lang w:eastAsia="es-AR"/>
              </w:rPr>
            </w:pPr>
            <w:r>
              <w:rPr>
                <w:rFonts w:ascii="Arial" w:hAnsi="Arial" w:cs="Arial"/>
                <w:sz w:val="20"/>
                <w:lang w:eastAsia="es-AR"/>
              </w:rPr>
              <w:t xml:space="preserve">  -1.</w:t>
            </w:r>
            <w:r w:rsidRPr="0049136B">
              <w:rPr>
                <w:rFonts w:ascii="Arial" w:hAnsi="Arial" w:cs="Arial"/>
                <w:sz w:val="20"/>
                <w:lang w:eastAsia="es-AR"/>
              </w:rPr>
              <w:t>3</w:t>
            </w:r>
            <w:r>
              <w:rPr>
                <w:rFonts w:ascii="Arial" w:hAnsi="Arial" w:cs="Arial"/>
                <w:sz w:val="20"/>
                <w:lang w:eastAsia="es-AR"/>
              </w:rPr>
              <w:t>2</w:t>
            </w:r>
            <w:r w:rsidRPr="0049136B">
              <w:rPr>
                <w:rFonts w:ascii="Arial" w:hAnsi="Arial" w:cs="Arial"/>
                <w:sz w:val="20"/>
                <w:lang w:eastAsia="es-AR"/>
              </w:rPr>
              <w:t>8.</w:t>
            </w:r>
            <w:r>
              <w:rPr>
                <w:rFonts w:ascii="Arial" w:hAnsi="Arial" w:cs="Arial"/>
                <w:sz w:val="20"/>
                <w:lang w:eastAsia="es-AR"/>
              </w:rPr>
              <w:t>494</w:t>
            </w:r>
          </w:p>
        </w:tc>
      </w:tr>
      <w:tr w:rsidR="006C21CE" w:rsidRPr="003003FC" w14:paraId="267CBF65" w14:textId="77777777" w:rsidTr="00BA7A6B">
        <w:trPr>
          <w:trHeight w:val="510"/>
          <w:jc w:val="center"/>
        </w:trPr>
        <w:tc>
          <w:tcPr>
            <w:tcW w:w="5423" w:type="dxa"/>
            <w:tcBorders>
              <w:top w:val="nil"/>
              <w:left w:val="nil"/>
              <w:bottom w:val="nil"/>
              <w:right w:val="nil"/>
            </w:tcBorders>
            <w:shd w:val="clear" w:color="auto" w:fill="auto"/>
            <w:vAlign w:val="center"/>
            <w:hideMark/>
          </w:tcPr>
          <w:p w14:paraId="13ED3CB5" w14:textId="77777777" w:rsidR="006C21CE" w:rsidRPr="003003FC" w:rsidRDefault="006C21CE" w:rsidP="006C21CE">
            <w:pPr>
              <w:rPr>
                <w:rFonts w:ascii="Arial" w:hAnsi="Arial" w:cs="Arial"/>
                <w:sz w:val="20"/>
                <w:lang w:eastAsia="es-AR"/>
              </w:rPr>
            </w:pPr>
            <w:r w:rsidRPr="003003FC">
              <w:rPr>
                <w:rFonts w:ascii="Arial" w:hAnsi="Arial" w:cs="Arial"/>
                <w:sz w:val="20"/>
                <w:lang w:eastAsia="es-AR"/>
              </w:rPr>
              <w:t>MAS: Efectos dilusivos inherentes a las acciones ordinarias potenciales</w:t>
            </w:r>
          </w:p>
        </w:tc>
        <w:tc>
          <w:tcPr>
            <w:tcW w:w="1518" w:type="dxa"/>
            <w:tcBorders>
              <w:top w:val="nil"/>
              <w:left w:val="nil"/>
              <w:bottom w:val="nil"/>
              <w:right w:val="nil"/>
            </w:tcBorders>
            <w:vAlign w:val="center"/>
          </w:tcPr>
          <w:p w14:paraId="0F3EB0EB" w14:textId="77777777" w:rsidR="006C21CE" w:rsidRPr="003003FC" w:rsidRDefault="006C21CE" w:rsidP="006C21CE">
            <w:pPr>
              <w:jc w:val="right"/>
              <w:rPr>
                <w:rFonts w:ascii="Arial" w:hAnsi="Arial" w:cs="Arial"/>
                <w:sz w:val="20"/>
              </w:rPr>
            </w:pPr>
            <w:r>
              <w:rPr>
                <w:rFonts w:ascii="Arial" w:hAnsi="Arial" w:cs="Arial"/>
                <w:sz w:val="20"/>
              </w:rPr>
              <w:t>-</w:t>
            </w:r>
          </w:p>
        </w:tc>
        <w:tc>
          <w:tcPr>
            <w:tcW w:w="1554" w:type="dxa"/>
            <w:tcBorders>
              <w:top w:val="nil"/>
              <w:left w:val="nil"/>
              <w:bottom w:val="nil"/>
              <w:right w:val="nil"/>
            </w:tcBorders>
            <w:shd w:val="clear" w:color="auto" w:fill="auto"/>
            <w:noWrap/>
            <w:vAlign w:val="center"/>
          </w:tcPr>
          <w:p w14:paraId="7315CD95" w14:textId="2C0F6D20" w:rsidR="006C21CE" w:rsidRPr="003003FC" w:rsidRDefault="006C21CE" w:rsidP="006C21CE">
            <w:pPr>
              <w:jc w:val="right"/>
              <w:rPr>
                <w:rFonts w:ascii="Arial" w:hAnsi="Arial" w:cs="Arial"/>
                <w:sz w:val="20"/>
                <w:lang w:eastAsia="es-AR"/>
              </w:rPr>
            </w:pPr>
            <w:r w:rsidRPr="0049136B">
              <w:rPr>
                <w:rFonts w:ascii="Arial" w:hAnsi="Arial" w:cs="Arial"/>
                <w:sz w:val="20"/>
                <w:lang w:eastAsia="es-AR"/>
              </w:rPr>
              <w:t>-</w:t>
            </w:r>
          </w:p>
        </w:tc>
      </w:tr>
      <w:tr w:rsidR="006C21CE" w:rsidRPr="003003FC" w14:paraId="4264F9BD" w14:textId="77777777" w:rsidTr="00BA7A6B">
        <w:trPr>
          <w:trHeight w:val="510"/>
          <w:jc w:val="center"/>
        </w:trPr>
        <w:tc>
          <w:tcPr>
            <w:tcW w:w="5423" w:type="dxa"/>
            <w:tcBorders>
              <w:top w:val="nil"/>
              <w:left w:val="nil"/>
              <w:bottom w:val="nil"/>
              <w:right w:val="nil"/>
            </w:tcBorders>
            <w:shd w:val="clear" w:color="auto" w:fill="auto"/>
            <w:hideMark/>
          </w:tcPr>
          <w:p w14:paraId="1AC75FAF" w14:textId="77777777" w:rsidR="006C21CE" w:rsidRPr="003003FC" w:rsidRDefault="006C21CE" w:rsidP="006C21CE">
            <w:pPr>
              <w:rPr>
                <w:rFonts w:ascii="Arial" w:hAnsi="Arial" w:cs="Arial"/>
                <w:sz w:val="20"/>
                <w:lang w:eastAsia="es-AR"/>
              </w:rPr>
            </w:pPr>
            <w:r w:rsidRPr="003003FC">
              <w:rPr>
                <w:rFonts w:ascii="Arial" w:hAnsi="Arial" w:cs="Arial"/>
                <w:sz w:val="20"/>
                <w:lang w:eastAsia="es-AR"/>
              </w:rPr>
              <w:t>Ganancia neta atribuible a Accionistas de la Entidad Controladora ajustada por el efecto de la dilución</w:t>
            </w:r>
          </w:p>
        </w:tc>
        <w:tc>
          <w:tcPr>
            <w:tcW w:w="1518" w:type="dxa"/>
            <w:tcBorders>
              <w:top w:val="nil"/>
              <w:left w:val="nil"/>
              <w:bottom w:val="nil"/>
              <w:right w:val="nil"/>
            </w:tcBorders>
            <w:vAlign w:val="center"/>
          </w:tcPr>
          <w:p w14:paraId="6DAE75D1" w14:textId="77777777" w:rsidR="006C21CE" w:rsidRPr="003003FC" w:rsidRDefault="006C21CE" w:rsidP="006C21CE">
            <w:pPr>
              <w:jc w:val="right"/>
              <w:rPr>
                <w:rFonts w:ascii="Arial" w:hAnsi="Arial" w:cs="Arial"/>
                <w:sz w:val="20"/>
              </w:rPr>
            </w:pPr>
            <w:r>
              <w:rPr>
                <w:rFonts w:ascii="Arial" w:hAnsi="Arial" w:cs="Arial"/>
                <w:sz w:val="20"/>
              </w:rPr>
              <w:t>373.140</w:t>
            </w:r>
          </w:p>
        </w:tc>
        <w:tc>
          <w:tcPr>
            <w:tcW w:w="1554" w:type="dxa"/>
            <w:tcBorders>
              <w:top w:val="nil"/>
              <w:left w:val="nil"/>
              <w:bottom w:val="nil"/>
              <w:right w:val="nil"/>
            </w:tcBorders>
            <w:shd w:val="clear" w:color="auto" w:fill="auto"/>
            <w:noWrap/>
            <w:vAlign w:val="center"/>
          </w:tcPr>
          <w:p w14:paraId="58EACA6F" w14:textId="224BD7DF" w:rsidR="006C21CE" w:rsidRPr="003003FC" w:rsidRDefault="00E10F1E" w:rsidP="006C21CE">
            <w:pPr>
              <w:jc w:val="right"/>
              <w:rPr>
                <w:rFonts w:ascii="Arial" w:hAnsi="Arial" w:cs="Arial"/>
                <w:sz w:val="20"/>
              </w:rPr>
            </w:pPr>
            <w:r w:rsidRPr="00E10F1E">
              <w:rPr>
                <w:rFonts w:ascii="Arial" w:hAnsi="Arial" w:cs="Arial"/>
                <w:sz w:val="20"/>
              </w:rPr>
              <w:t>-1.328.494</w:t>
            </w:r>
          </w:p>
        </w:tc>
      </w:tr>
      <w:tr w:rsidR="006C21CE" w:rsidRPr="003003FC" w14:paraId="3B862CC7" w14:textId="77777777" w:rsidTr="00BA7A6B">
        <w:trPr>
          <w:trHeight w:val="285"/>
          <w:jc w:val="center"/>
        </w:trPr>
        <w:tc>
          <w:tcPr>
            <w:tcW w:w="5423" w:type="dxa"/>
            <w:tcBorders>
              <w:top w:val="nil"/>
              <w:left w:val="nil"/>
              <w:bottom w:val="nil"/>
              <w:right w:val="nil"/>
            </w:tcBorders>
            <w:shd w:val="clear" w:color="auto" w:fill="auto"/>
            <w:hideMark/>
          </w:tcPr>
          <w:p w14:paraId="36CD9357" w14:textId="77777777" w:rsidR="006C21CE" w:rsidRPr="003003FC" w:rsidRDefault="006C21CE" w:rsidP="006C21CE">
            <w:pPr>
              <w:rPr>
                <w:rFonts w:ascii="Arial" w:hAnsi="Arial" w:cs="Arial"/>
                <w:sz w:val="20"/>
                <w:lang w:eastAsia="es-AR"/>
              </w:rPr>
            </w:pPr>
          </w:p>
        </w:tc>
        <w:tc>
          <w:tcPr>
            <w:tcW w:w="1518" w:type="dxa"/>
            <w:tcBorders>
              <w:top w:val="nil"/>
              <w:left w:val="nil"/>
              <w:bottom w:val="nil"/>
              <w:right w:val="nil"/>
            </w:tcBorders>
            <w:vAlign w:val="center"/>
          </w:tcPr>
          <w:p w14:paraId="079A359E" w14:textId="77777777" w:rsidR="006C21CE" w:rsidRPr="003003FC" w:rsidRDefault="006C21CE" w:rsidP="006C21CE">
            <w:pPr>
              <w:jc w:val="right"/>
              <w:rPr>
                <w:rFonts w:ascii="Arial" w:hAnsi="Arial" w:cs="Arial"/>
                <w:sz w:val="20"/>
                <w:lang w:eastAsia="es-AR"/>
              </w:rPr>
            </w:pPr>
            <w:r>
              <w:rPr>
                <w:rFonts w:ascii="Arial" w:hAnsi="Arial" w:cs="Arial"/>
                <w:sz w:val="20"/>
              </w:rPr>
              <w:t> </w:t>
            </w:r>
          </w:p>
        </w:tc>
        <w:tc>
          <w:tcPr>
            <w:tcW w:w="1554" w:type="dxa"/>
            <w:tcBorders>
              <w:top w:val="nil"/>
              <w:left w:val="nil"/>
              <w:bottom w:val="nil"/>
              <w:right w:val="nil"/>
            </w:tcBorders>
            <w:shd w:val="clear" w:color="auto" w:fill="auto"/>
            <w:noWrap/>
            <w:vAlign w:val="center"/>
          </w:tcPr>
          <w:p w14:paraId="4207AD0A" w14:textId="77777777" w:rsidR="006C21CE" w:rsidRPr="003003FC" w:rsidRDefault="006C21CE" w:rsidP="006C21CE">
            <w:pPr>
              <w:jc w:val="right"/>
              <w:rPr>
                <w:rFonts w:ascii="Arial" w:hAnsi="Arial" w:cs="Arial"/>
                <w:sz w:val="20"/>
                <w:lang w:eastAsia="es-AR"/>
              </w:rPr>
            </w:pPr>
          </w:p>
        </w:tc>
      </w:tr>
      <w:tr w:rsidR="006C21CE" w:rsidRPr="003003FC" w14:paraId="23124271" w14:textId="77777777" w:rsidTr="00BA7A6B">
        <w:trPr>
          <w:trHeight w:val="285"/>
          <w:jc w:val="center"/>
        </w:trPr>
        <w:tc>
          <w:tcPr>
            <w:tcW w:w="5423" w:type="dxa"/>
            <w:tcBorders>
              <w:top w:val="nil"/>
              <w:left w:val="nil"/>
              <w:bottom w:val="nil"/>
              <w:right w:val="nil"/>
            </w:tcBorders>
            <w:shd w:val="clear" w:color="auto" w:fill="auto"/>
            <w:hideMark/>
          </w:tcPr>
          <w:p w14:paraId="2570A776" w14:textId="77777777" w:rsidR="006C21CE" w:rsidRPr="003003FC" w:rsidRDefault="006C21CE" w:rsidP="006C21CE">
            <w:pPr>
              <w:rPr>
                <w:rFonts w:ascii="Arial" w:hAnsi="Arial" w:cs="Arial"/>
                <w:b/>
                <w:bCs/>
                <w:sz w:val="20"/>
                <w:lang w:eastAsia="es-AR"/>
              </w:rPr>
            </w:pPr>
            <w:r w:rsidRPr="003003FC">
              <w:rPr>
                <w:rFonts w:ascii="Arial" w:hAnsi="Arial" w:cs="Arial"/>
                <w:b/>
                <w:bCs/>
                <w:sz w:val="20"/>
                <w:lang w:eastAsia="es-AR"/>
              </w:rPr>
              <w:t>DENOMINADOR</w:t>
            </w:r>
          </w:p>
        </w:tc>
        <w:tc>
          <w:tcPr>
            <w:tcW w:w="1518" w:type="dxa"/>
            <w:tcBorders>
              <w:top w:val="nil"/>
              <w:left w:val="nil"/>
              <w:bottom w:val="nil"/>
              <w:right w:val="nil"/>
            </w:tcBorders>
            <w:vAlign w:val="center"/>
          </w:tcPr>
          <w:p w14:paraId="6DD5132F" w14:textId="77777777" w:rsidR="006C21CE" w:rsidRPr="003003FC" w:rsidRDefault="006C21CE" w:rsidP="006C21CE">
            <w:pPr>
              <w:jc w:val="right"/>
              <w:rPr>
                <w:rFonts w:ascii="Arial" w:hAnsi="Arial" w:cs="Arial"/>
                <w:b/>
                <w:bCs/>
                <w:sz w:val="20"/>
                <w:lang w:eastAsia="es-AR"/>
              </w:rPr>
            </w:pPr>
          </w:p>
        </w:tc>
        <w:tc>
          <w:tcPr>
            <w:tcW w:w="1554" w:type="dxa"/>
            <w:tcBorders>
              <w:top w:val="nil"/>
              <w:left w:val="nil"/>
              <w:bottom w:val="nil"/>
              <w:right w:val="nil"/>
            </w:tcBorders>
            <w:shd w:val="clear" w:color="auto" w:fill="auto"/>
            <w:noWrap/>
            <w:vAlign w:val="center"/>
          </w:tcPr>
          <w:p w14:paraId="224DF08E" w14:textId="77777777" w:rsidR="006C21CE" w:rsidRPr="003003FC" w:rsidRDefault="006C21CE" w:rsidP="006C21CE">
            <w:pPr>
              <w:jc w:val="right"/>
              <w:rPr>
                <w:rFonts w:ascii="Arial" w:hAnsi="Arial" w:cs="Arial"/>
                <w:b/>
                <w:bCs/>
                <w:sz w:val="20"/>
                <w:lang w:eastAsia="es-AR"/>
              </w:rPr>
            </w:pPr>
          </w:p>
        </w:tc>
      </w:tr>
      <w:tr w:rsidR="006C21CE" w:rsidRPr="003003FC" w14:paraId="0F8361E4" w14:textId="77777777" w:rsidTr="00BA7A6B">
        <w:trPr>
          <w:trHeight w:val="285"/>
          <w:jc w:val="center"/>
        </w:trPr>
        <w:tc>
          <w:tcPr>
            <w:tcW w:w="5423" w:type="dxa"/>
            <w:tcBorders>
              <w:top w:val="nil"/>
              <w:left w:val="nil"/>
              <w:bottom w:val="nil"/>
              <w:right w:val="nil"/>
            </w:tcBorders>
            <w:shd w:val="clear" w:color="auto" w:fill="auto"/>
            <w:hideMark/>
          </w:tcPr>
          <w:p w14:paraId="0E8BAE23" w14:textId="77777777" w:rsidR="006C21CE" w:rsidRPr="003003FC" w:rsidRDefault="006C21CE" w:rsidP="006C21CE">
            <w:pPr>
              <w:rPr>
                <w:rFonts w:ascii="Arial" w:hAnsi="Arial" w:cs="Arial"/>
                <w:sz w:val="20"/>
                <w:lang w:eastAsia="es-AR"/>
              </w:rPr>
            </w:pPr>
          </w:p>
        </w:tc>
        <w:tc>
          <w:tcPr>
            <w:tcW w:w="1518" w:type="dxa"/>
            <w:tcBorders>
              <w:top w:val="nil"/>
              <w:left w:val="nil"/>
              <w:bottom w:val="nil"/>
              <w:right w:val="nil"/>
            </w:tcBorders>
            <w:vAlign w:val="center"/>
          </w:tcPr>
          <w:p w14:paraId="1FA43A53" w14:textId="77777777" w:rsidR="006C21CE" w:rsidRPr="003003FC" w:rsidRDefault="006C21CE" w:rsidP="006C21CE">
            <w:pPr>
              <w:jc w:val="right"/>
              <w:rPr>
                <w:rFonts w:ascii="Arial" w:hAnsi="Arial" w:cs="Arial"/>
                <w:sz w:val="20"/>
                <w:lang w:eastAsia="es-AR"/>
              </w:rPr>
            </w:pPr>
          </w:p>
        </w:tc>
        <w:tc>
          <w:tcPr>
            <w:tcW w:w="1554" w:type="dxa"/>
            <w:tcBorders>
              <w:top w:val="nil"/>
              <w:left w:val="nil"/>
              <w:bottom w:val="nil"/>
              <w:right w:val="nil"/>
            </w:tcBorders>
            <w:shd w:val="clear" w:color="auto" w:fill="auto"/>
            <w:noWrap/>
            <w:vAlign w:val="center"/>
          </w:tcPr>
          <w:p w14:paraId="7A5E522C" w14:textId="77777777" w:rsidR="006C21CE" w:rsidRPr="003003FC" w:rsidRDefault="006C21CE" w:rsidP="006C21CE">
            <w:pPr>
              <w:jc w:val="right"/>
              <w:rPr>
                <w:rFonts w:ascii="Arial" w:hAnsi="Arial" w:cs="Arial"/>
                <w:sz w:val="20"/>
                <w:lang w:eastAsia="es-AR"/>
              </w:rPr>
            </w:pPr>
          </w:p>
        </w:tc>
      </w:tr>
      <w:tr w:rsidR="006C21CE" w:rsidRPr="003003FC" w14:paraId="6DE1BAAF" w14:textId="77777777" w:rsidTr="00BA7A6B">
        <w:trPr>
          <w:trHeight w:val="510"/>
          <w:jc w:val="center"/>
        </w:trPr>
        <w:tc>
          <w:tcPr>
            <w:tcW w:w="5423" w:type="dxa"/>
            <w:tcBorders>
              <w:top w:val="nil"/>
              <w:left w:val="nil"/>
              <w:bottom w:val="nil"/>
              <w:right w:val="nil"/>
            </w:tcBorders>
            <w:shd w:val="clear" w:color="auto" w:fill="auto"/>
            <w:hideMark/>
          </w:tcPr>
          <w:p w14:paraId="3E4F1DB4" w14:textId="77777777" w:rsidR="006C21CE" w:rsidRPr="003003FC" w:rsidRDefault="006C21CE" w:rsidP="006C21CE">
            <w:pPr>
              <w:rPr>
                <w:rFonts w:ascii="Arial" w:hAnsi="Arial" w:cs="Arial"/>
                <w:sz w:val="20"/>
                <w:lang w:eastAsia="es-AR"/>
              </w:rPr>
            </w:pPr>
            <w:r w:rsidRPr="003003FC">
              <w:rPr>
                <w:rFonts w:ascii="Arial" w:hAnsi="Arial" w:cs="Arial"/>
                <w:sz w:val="20"/>
                <w:lang w:eastAsia="es-AR"/>
              </w:rPr>
              <w:t>Promedio ponderado de acciones ordinarias en circulación del período</w:t>
            </w:r>
          </w:p>
        </w:tc>
        <w:tc>
          <w:tcPr>
            <w:tcW w:w="1518" w:type="dxa"/>
            <w:tcBorders>
              <w:top w:val="nil"/>
              <w:left w:val="nil"/>
              <w:bottom w:val="nil"/>
              <w:right w:val="nil"/>
            </w:tcBorders>
            <w:vAlign w:val="center"/>
          </w:tcPr>
          <w:p w14:paraId="7C334CDE" w14:textId="77777777" w:rsidR="006C21CE" w:rsidRPr="00414A46" w:rsidRDefault="006C21CE" w:rsidP="006C21CE">
            <w:pPr>
              <w:jc w:val="right"/>
              <w:rPr>
                <w:rFonts w:ascii="Arial" w:hAnsi="Arial" w:cs="Arial"/>
                <w:sz w:val="20"/>
              </w:rPr>
            </w:pPr>
            <w:r w:rsidRPr="00414A46">
              <w:rPr>
                <w:rFonts w:ascii="Arial" w:hAnsi="Arial" w:cs="Arial"/>
                <w:sz w:val="20"/>
              </w:rPr>
              <w:t>989.469</w:t>
            </w:r>
          </w:p>
        </w:tc>
        <w:tc>
          <w:tcPr>
            <w:tcW w:w="1554" w:type="dxa"/>
            <w:tcBorders>
              <w:top w:val="nil"/>
              <w:left w:val="nil"/>
              <w:bottom w:val="nil"/>
              <w:right w:val="nil"/>
            </w:tcBorders>
            <w:shd w:val="clear" w:color="auto" w:fill="auto"/>
            <w:noWrap/>
            <w:vAlign w:val="center"/>
          </w:tcPr>
          <w:p w14:paraId="5718CF9E" w14:textId="1BF15650" w:rsidR="006C21CE" w:rsidRPr="003003FC" w:rsidRDefault="006C21CE" w:rsidP="006C21CE">
            <w:pPr>
              <w:jc w:val="right"/>
              <w:rPr>
                <w:rFonts w:ascii="Arial" w:hAnsi="Arial" w:cs="Arial"/>
                <w:sz w:val="20"/>
                <w:lang w:eastAsia="es-AR"/>
              </w:rPr>
            </w:pPr>
            <w:r w:rsidRPr="0049136B">
              <w:rPr>
                <w:rFonts w:ascii="Arial" w:hAnsi="Arial" w:cs="Arial"/>
                <w:sz w:val="20"/>
                <w:lang w:eastAsia="es-AR"/>
              </w:rPr>
              <w:t>808.852</w:t>
            </w:r>
          </w:p>
        </w:tc>
      </w:tr>
      <w:tr w:rsidR="006C21CE" w:rsidRPr="003003FC" w14:paraId="6D70F1DC" w14:textId="77777777" w:rsidTr="00BA7A6B">
        <w:trPr>
          <w:trHeight w:val="510"/>
          <w:jc w:val="center"/>
        </w:trPr>
        <w:tc>
          <w:tcPr>
            <w:tcW w:w="5423" w:type="dxa"/>
            <w:tcBorders>
              <w:top w:val="nil"/>
              <w:left w:val="nil"/>
              <w:bottom w:val="nil"/>
              <w:right w:val="nil"/>
            </w:tcBorders>
            <w:shd w:val="clear" w:color="auto" w:fill="auto"/>
            <w:hideMark/>
          </w:tcPr>
          <w:p w14:paraId="07C3C70F" w14:textId="77777777" w:rsidR="006C21CE" w:rsidRPr="003003FC" w:rsidRDefault="006C21CE" w:rsidP="006C21CE">
            <w:pPr>
              <w:rPr>
                <w:rFonts w:ascii="Arial" w:hAnsi="Arial" w:cs="Arial"/>
                <w:sz w:val="20"/>
                <w:lang w:eastAsia="es-AR"/>
              </w:rPr>
            </w:pPr>
            <w:r w:rsidRPr="003003FC">
              <w:rPr>
                <w:rFonts w:ascii="Arial" w:hAnsi="Arial" w:cs="Arial"/>
                <w:sz w:val="20"/>
                <w:lang w:eastAsia="es-AR"/>
              </w:rPr>
              <w:t>MAS: Promedio ponderado del número de acciones ordinarias adicionales con efectos dilusivos.</w:t>
            </w:r>
          </w:p>
        </w:tc>
        <w:tc>
          <w:tcPr>
            <w:tcW w:w="1518" w:type="dxa"/>
            <w:tcBorders>
              <w:top w:val="nil"/>
              <w:left w:val="nil"/>
              <w:bottom w:val="nil"/>
              <w:right w:val="nil"/>
            </w:tcBorders>
            <w:vAlign w:val="center"/>
          </w:tcPr>
          <w:p w14:paraId="7CB84B1C" w14:textId="77777777" w:rsidR="006C21CE" w:rsidRPr="00414A46" w:rsidRDefault="006C21CE" w:rsidP="006C21CE">
            <w:pPr>
              <w:jc w:val="right"/>
              <w:rPr>
                <w:rFonts w:ascii="Arial" w:hAnsi="Arial" w:cs="Arial"/>
                <w:sz w:val="20"/>
              </w:rPr>
            </w:pPr>
            <w:r>
              <w:rPr>
                <w:rFonts w:ascii="Arial" w:hAnsi="Arial" w:cs="Arial"/>
                <w:sz w:val="20"/>
              </w:rPr>
              <w:t>-</w:t>
            </w:r>
          </w:p>
        </w:tc>
        <w:tc>
          <w:tcPr>
            <w:tcW w:w="1554" w:type="dxa"/>
            <w:tcBorders>
              <w:top w:val="nil"/>
              <w:left w:val="nil"/>
              <w:bottom w:val="nil"/>
              <w:right w:val="nil"/>
            </w:tcBorders>
            <w:shd w:val="clear" w:color="auto" w:fill="auto"/>
            <w:noWrap/>
            <w:vAlign w:val="center"/>
          </w:tcPr>
          <w:p w14:paraId="45266802" w14:textId="1488EFE4" w:rsidR="006C21CE" w:rsidRPr="003003FC" w:rsidRDefault="006C21CE" w:rsidP="006C21CE">
            <w:pPr>
              <w:jc w:val="right"/>
              <w:rPr>
                <w:rFonts w:ascii="Arial" w:hAnsi="Arial" w:cs="Arial"/>
                <w:sz w:val="20"/>
                <w:lang w:eastAsia="es-AR"/>
              </w:rPr>
            </w:pPr>
            <w:r w:rsidRPr="0049136B">
              <w:rPr>
                <w:rFonts w:ascii="Arial" w:hAnsi="Arial" w:cs="Arial"/>
                <w:sz w:val="20"/>
                <w:lang w:eastAsia="es-AR"/>
              </w:rPr>
              <w:t>-</w:t>
            </w:r>
          </w:p>
        </w:tc>
      </w:tr>
      <w:tr w:rsidR="006C21CE" w:rsidRPr="003003FC" w14:paraId="1C55423F" w14:textId="77777777" w:rsidTr="00BA7A6B">
        <w:trPr>
          <w:trHeight w:val="510"/>
          <w:jc w:val="center"/>
        </w:trPr>
        <w:tc>
          <w:tcPr>
            <w:tcW w:w="5423" w:type="dxa"/>
            <w:tcBorders>
              <w:top w:val="nil"/>
              <w:left w:val="nil"/>
              <w:bottom w:val="nil"/>
              <w:right w:val="nil"/>
            </w:tcBorders>
            <w:shd w:val="clear" w:color="auto" w:fill="auto"/>
            <w:hideMark/>
          </w:tcPr>
          <w:p w14:paraId="20FB7CA9" w14:textId="77777777" w:rsidR="006C21CE" w:rsidRPr="003003FC" w:rsidRDefault="006C21CE" w:rsidP="006C21CE">
            <w:pPr>
              <w:rPr>
                <w:rFonts w:ascii="Arial" w:hAnsi="Arial" w:cs="Arial"/>
                <w:sz w:val="20"/>
                <w:lang w:eastAsia="es-AR"/>
              </w:rPr>
            </w:pPr>
            <w:r w:rsidRPr="003003FC">
              <w:rPr>
                <w:rFonts w:ascii="Arial" w:hAnsi="Arial" w:cs="Arial"/>
                <w:sz w:val="20"/>
                <w:lang w:eastAsia="es-AR"/>
              </w:rPr>
              <w:t>Promedio ponderado de acciones ordinarias en circulación del período ajustado por el efecto de la dilución</w:t>
            </w:r>
          </w:p>
        </w:tc>
        <w:tc>
          <w:tcPr>
            <w:tcW w:w="1518" w:type="dxa"/>
            <w:tcBorders>
              <w:top w:val="nil"/>
              <w:left w:val="nil"/>
              <w:bottom w:val="nil"/>
              <w:right w:val="nil"/>
            </w:tcBorders>
            <w:vAlign w:val="center"/>
          </w:tcPr>
          <w:p w14:paraId="6AEA1D0F" w14:textId="77777777" w:rsidR="006C21CE" w:rsidRPr="00414A46" w:rsidRDefault="006C21CE" w:rsidP="006C21CE">
            <w:pPr>
              <w:jc w:val="right"/>
              <w:rPr>
                <w:rFonts w:ascii="Arial" w:hAnsi="Arial" w:cs="Arial"/>
                <w:sz w:val="20"/>
              </w:rPr>
            </w:pPr>
            <w:r w:rsidRPr="00414A46">
              <w:rPr>
                <w:rFonts w:ascii="Arial" w:hAnsi="Arial" w:cs="Arial"/>
                <w:sz w:val="20"/>
              </w:rPr>
              <w:t>989.469</w:t>
            </w:r>
          </w:p>
        </w:tc>
        <w:tc>
          <w:tcPr>
            <w:tcW w:w="1554" w:type="dxa"/>
            <w:tcBorders>
              <w:top w:val="nil"/>
              <w:left w:val="nil"/>
              <w:bottom w:val="nil"/>
              <w:right w:val="nil"/>
            </w:tcBorders>
            <w:shd w:val="clear" w:color="auto" w:fill="auto"/>
            <w:noWrap/>
            <w:vAlign w:val="center"/>
          </w:tcPr>
          <w:p w14:paraId="3269B519" w14:textId="6467B37A" w:rsidR="006C21CE" w:rsidRPr="003003FC" w:rsidRDefault="006C21CE" w:rsidP="006C21CE">
            <w:pPr>
              <w:jc w:val="right"/>
              <w:rPr>
                <w:rFonts w:ascii="Arial" w:hAnsi="Arial" w:cs="Arial"/>
                <w:sz w:val="20"/>
                <w:lang w:eastAsia="es-AR"/>
              </w:rPr>
            </w:pPr>
            <w:r w:rsidRPr="0049136B">
              <w:rPr>
                <w:rFonts w:ascii="Arial" w:hAnsi="Arial" w:cs="Arial"/>
                <w:sz w:val="20"/>
                <w:lang w:eastAsia="es-AR"/>
              </w:rPr>
              <w:t>808.852</w:t>
            </w:r>
          </w:p>
        </w:tc>
      </w:tr>
      <w:tr w:rsidR="006C21CE" w:rsidRPr="003003FC" w14:paraId="3E26D3C4" w14:textId="77777777" w:rsidTr="00BA7A6B">
        <w:trPr>
          <w:trHeight w:val="285"/>
          <w:jc w:val="center"/>
        </w:trPr>
        <w:tc>
          <w:tcPr>
            <w:tcW w:w="5423" w:type="dxa"/>
            <w:tcBorders>
              <w:top w:val="nil"/>
              <w:left w:val="nil"/>
              <w:bottom w:val="nil"/>
              <w:right w:val="nil"/>
            </w:tcBorders>
            <w:shd w:val="clear" w:color="auto" w:fill="auto"/>
            <w:hideMark/>
          </w:tcPr>
          <w:p w14:paraId="0DDB2D47" w14:textId="77777777" w:rsidR="006C21CE" w:rsidRPr="003003FC" w:rsidRDefault="006C21CE" w:rsidP="006C21CE">
            <w:pPr>
              <w:rPr>
                <w:rFonts w:ascii="Arial" w:hAnsi="Arial" w:cs="Arial"/>
                <w:sz w:val="20"/>
                <w:lang w:eastAsia="es-AR"/>
              </w:rPr>
            </w:pPr>
          </w:p>
        </w:tc>
        <w:tc>
          <w:tcPr>
            <w:tcW w:w="1518" w:type="dxa"/>
            <w:tcBorders>
              <w:top w:val="nil"/>
              <w:left w:val="nil"/>
              <w:bottom w:val="nil"/>
              <w:right w:val="nil"/>
            </w:tcBorders>
            <w:vAlign w:val="center"/>
          </w:tcPr>
          <w:p w14:paraId="2C64ADB9" w14:textId="77777777" w:rsidR="006C21CE" w:rsidRPr="00414A46" w:rsidRDefault="006C21CE" w:rsidP="006C21CE">
            <w:pPr>
              <w:jc w:val="right"/>
              <w:rPr>
                <w:rFonts w:ascii="Arial" w:hAnsi="Arial" w:cs="Arial"/>
                <w:sz w:val="20"/>
                <w:lang w:eastAsia="es-AR"/>
              </w:rPr>
            </w:pPr>
          </w:p>
        </w:tc>
        <w:tc>
          <w:tcPr>
            <w:tcW w:w="1554" w:type="dxa"/>
            <w:tcBorders>
              <w:top w:val="nil"/>
              <w:left w:val="nil"/>
              <w:bottom w:val="nil"/>
              <w:right w:val="nil"/>
            </w:tcBorders>
            <w:shd w:val="clear" w:color="auto" w:fill="auto"/>
            <w:noWrap/>
            <w:vAlign w:val="center"/>
          </w:tcPr>
          <w:p w14:paraId="2D695D23" w14:textId="77777777" w:rsidR="006C21CE" w:rsidRPr="003003FC" w:rsidRDefault="006C21CE" w:rsidP="006C21CE">
            <w:pPr>
              <w:jc w:val="right"/>
              <w:rPr>
                <w:rFonts w:ascii="Arial" w:hAnsi="Arial" w:cs="Arial"/>
                <w:sz w:val="20"/>
                <w:lang w:eastAsia="es-AR"/>
              </w:rPr>
            </w:pPr>
          </w:p>
        </w:tc>
      </w:tr>
      <w:tr w:rsidR="006C21CE" w:rsidRPr="003003FC" w14:paraId="07FAA99B" w14:textId="77777777" w:rsidTr="00BA7A6B">
        <w:trPr>
          <w:trHeight w:val="285"/>
          <w:jc w:val="center"/>
        </w:trPr>
        <w:tc>
          <w:tcPr>
            <w:tcW w:w="5423" w:type="dxa"/>
            <w:tcBorders>
              <w:top w:val="nil"/>
              <w:left w:val="nil"/>
              <w:bottom w:val="nil"/>
              <w:right w:val="nil"/>
            </w:tcBorders>
            <w:shd w:val="clear" w:color="auto" w:fill="auto"/>
            <w:hideMark/>
          </w:tcPr>
          <w:p w14:paraId="7296EE0D" w14:textId="77777777" w:rsidR="006C21CE" w:rsidRPr="003003FC" w:rsidRDefault="006C21CE" w:rsidP="006C21CE">
            <w:pPr>
              <w:rPr>
                <w:rFonts w:ascii="Arial" w:hAnsi="Arial" w:cs="Arial"/>
                <w:b/>
                <w:bCs/>
                <w:sz w:val="20"/>
                <w:lang w:eastAsia="es-AR"/>
              </w:rPr>
            </w:pPr>
            <w:r w:rsidRPr="003003FC">
              <w:rPr>
                <w:rFonts w:ascii="Arial" w:hAnsi="Arial" w:cs="Arial"/>
                <w:b/>
                <w:bCs/>
                <w:sz w:val="20"/>
                <w:lang w:eastAsia="es-AR"/>
              </w:rPr>
              <w:t>Ganancia por acción Básica</w:t>
            </w:r>
          </w:p>
        </w:tc>
        <w:tc>
          <w:tcPr>
            <w:tcW w:w="1518" w:type="dxa"/>
            <w:tcBorders>
              <w:top w:val="nil"/>
              <w:left w:val="nil"/>
              <w:bottom w:val="nil"/>
              <w:right w:val="nil"/>
            </w:tcBorders>
            <w:vAlign w:val="center"/>
          </w:tcPr>
          <w:p w14:paraId="23375F7C" w14:textId="77777777" w:rsidR="006C21CE" w:rsidRPr="00414A46" w:rsidRDefault="006C21CE" w:rsidP="006C21CE">
            <w:pPr>
              <w:jc w:val="right"/>
              <w:rPr>
                <w:rFonts w:ascii="Arial" w:hAnsi="Arial" w:cs="Arial"/>
                <w:sz w:val="20"/>
              </w:rPr>
            </w:pPr>
            <w:r w:rsidRPr="00414A46">
              <w:rPr>
                <w:rFonts w:ascii="Arial" w:hAnsi="Arial" w:cs="Arial"/>
                <w:sz w:val="20"/>
              </w:rPr>
              <w:t>0,38</w:t>
            </w:r>
          </w:p>
        </w:tc>
        <w:tc>
          <w:tcPr>
            <w:tcW w:w="1554" w:type="dxa"/>
            <w:tcBorders>
              <w:top w:val="nil"/>
              <w:left w:val="nil"/>
              <w:bottom w:val="nil"/>
              <w:right w:val="nil"/>
            </w:tcBorders>
            <w:shd w:val="clear" w:color="auto" w:fill="auto"/>
            <w:noWrap/>
            <w:vAlign w:val="center"/>
          </w:tcPr>
          <w:p w14:paraId="1E56EE24" w14:textId="795D2B41" w:rsidR="006C21CE" w:rsidRPr="003003FC" w:rsidRDefault="006C21CE" w:rsidP="006C21CE">
            <w:pPr>
              <w:jc w:val="right"/>
              <w:rPr>
                <w:rFonts w:ascii="Arial" w:hAnsi="Arial" w:cs="Arial"/>
                <w:sz w:val="20"/>
                <w:lang w:eastAsia="es-AR"/>
              </w:rPr>
            </w:pPr>
            <w:r>
              <w:rPr>
                <w:rFonts w:ascii="Arial" w:hAnsi="Arial" w:cs="Arial"/>
                <w:sz w:val="20"/>
                <w:lang w:eastAsia="es-AR"/>
              </w:rPr>
              <w:t>-1</w:t>
            </w:r>
            <w:r w:rsidRPr="0049136B">
              <w:rPr>
                <w:rFonts w:ascii="Arial" w:hAnsi="Arial" w:cs="Arial"/>
                <w:sz w:val="20"/>
                <w:lang w:eastAsia="es-AR"/>
              </w:rPr>
              <w:t>,</w:t>
            </w:r>
            <w:r>
              <w:rPr>
                <w:rFonts w:ascii="Arial" w:hAnsi="Arial" w:cs="Arial"/>
                <w:sz w:val="20"/>
                <w:lang w:eastAsia="es-AR"/>
              </w:rPr>
              <w:t>64</w:t>
            </w:r>
          </w:p>
        </w:tc>
      </w:tr>
      <w:tr w:rsidR="006C21CE" w:rsidRPr="003003FC" w14:paraId="34CD86D6" w14:textId="77777777" w:rsidTr="00BA7A6B">
        <w:trPr>
          <w:trHeight w:val="285"/>
          <w:jc w:val="center"/>
        </w:trPr>
        <w:tc>
          <w:tcPr>
            <w:tcW w:w="5423" w:type="dxa"/>
            <w:tcBorders>
              <w:top w:val="nil"/>
              <w:left w:val="nil"/>
              <w:bottom w:val="nil"/>
              <w:right w:val="nil"/>
            </w:tcBorders>
            <w:shd w:val="clear" w:color="auto" w:fill="auto"/>
            <w:hideMark/>
          </w:tcPr>
          <w:p w14:paraId="36496092" w14:textId="77777777" w:rsidR="006C21CE" w:rsidRPr="003003FC" w:rsidRDefault="006C21CE" w:rsidP="006C21CE">
            <w:pPr>
              <w:rPr>
                <w:rFonts w:ascii="Arial" w:hAnsi="Arial" w:cs="Arial"/>
                <w:b/>
                <w:bCs/>
                <w:sz w:val="20"/>
                <w:lang w:eastAsia="es-AR"/>
              </w:rPr>
            </w:pPr>
            <w:r w:rsidRPr="003003FC">
              <w:rPr>
                <w:rFonts w:ascii="Arial" w:hAnsi="Arial" w:cs="Arial"/>
                <w:b/>
                <w:bCs/>
                <w:sz w:val="20"/>
                <w:lang w:eastAsia="es-AR"/>
              </w:rPr>
              <w:t>Ganancia por acción Diluida</w:t>
            </w:r>
          </w:p>
        </w:tc>
        <w:tc>
          <w:tcPr>
            <w:tcW w:w="1518" w:type="dxa"/>
            <w:tcBorders>
              <w:top w:val="nil"/>
              <w:left w:val="nil"/>
              <w:bottom w:val="nil"/>
              <w:right w:val="nil"/>
            </w:tcBorders>
            <w:vAlign w:val="center"/>
          </w:tcPr>
          <w:p w14:paraId="380AA2E5" w14:textId="77777777" w:rsidR="006C21CE" w:rsidRPr="00414A46" w:rsidRDefault="006C21CE" w:rsidP="006C21CE">
            <w:pPr>
              <w:jc w:val="right"/>
              <w:rPr>
                <w:rFonts w:ascii="Arial" w:hAnsi="Arial" w:cs="Arial"/>
                <w:sz w:val="20"/>
              </w:rPr>
            </w:pPr>
            <w:r w:rsidRPr="00414A46">
              <w:rPr>
                <w:rFonts w:ascii="Arial" w:hAnsi="Arial" w:cs="Arial"/>
                <w:sz w:val="20"/>
              </w:rPr>
              <w:t>0,38</w:t>
            </w:r>
          </w:p>
        </w:tc>
        <w:tc>
          <w:tcPr>
            <w:tcW w:w="1554" w:type="dxa"/>
            <w:tcBorders>
              <w:top w:val="nil"/>
              <w:left w:val="nil"/>
              <w:bottom w:val="nil"/>
              <w:right w:val="nil"/>
            </w:tcBorders>
            <w:shd w:val="clear" w:color="auto" w:fill="auto"/>
            <w:noWrap/>
            <w:vAlign w:val="center"/>
          </w:tcPr>
          <w:p w14:paraId="0B180D93" w14:textId="065157F3" w:rsidR="006C21CE" w:rsidRPr="003003FC" w:rsidRDefault="006C21CE" w:rsidP="006C21CE">
            <w:pPr>
              <w:jc w:val="right"/>
              <w:rPr>
                <w:rFonts w:ascii="Arial" w:hAnsi="Arial" w:cs="Arial"/>
                <w:sz w:val="20"/>
                <w:lang w:eastAsia="es-AR"/>
              </w:rPr>
            </w:pPr>
            <w:r>
              <w:rPr>
                <w:rFonts w:ascii="Arial" w:hAnsi="Arial" w:cs="Arial"/>
                <w:sz w:val="20"/>
                <w:lang w:eastAsia="es-AR"/>
              </w:rPr>
              <w:t>-1</w:t>
            </w:r>
            <w:r w:rsidRPr="0049136B">
              <w:rPr>
                <w:rFonts w:ascii="Arial" w:hAnsi="Arial" w:cs="Arial"/>
                <w:sz w:val="20"/>
                <w:lang w:eastAsia="es-AR"/>
              </w:rPr>
              <w:t>,</w:t>
            </w:r>
            <w:r>
              <w:rPr>
                <w:rFonts w:ascii="Arial" w:hAnsi="Arial" w:cs="Arial"/>
                <w:sz w:val="20"/>
                <w:lang w:eastAsia="es-AR"/>
              </w:rPr>
              <w:t>64</w:t>
            </w:r>
          </w:p>
        </w:tc>
      </w:tr>
    </w:tbl>
    <w:p w14:paraId="0DD7CC4A" w14:textId="0EC11F16" w:rsidR="00F55C3D" w:rsidRPr="00701F32" w:rsidRDefault="00F55C3D" w:rsidP="005C2DE7">
      <w:pPr>
        <w:tabs>
          <w:tab w:val="left" w:pos="1365"/>
        </w:tabs>
        <w:rPr>
          <w:lang w:val="es-ES_tradnl"/>
        </w:rPr>
        <w:sectPr w:rsidR="00F55C3D" w:rsidRPr="00701F32" w:rsidSect="007045C3">
          <w:headerReference w:type="default" r:id="rId35"/>
          <w:pgSz w:w="11907" w:h="16839" w:code="9"/>
          <w:pgMar w:top="1418" w:right="1701" w:bottom="1418" w:left="1701" w:header="567" w:footer="0" w:gutter="0"/>
          <w:paperSrc w:first="256" w:other="256"/>
          <w:cols w:space="720"/>
          <w:docGrid w:linePitch="326"/>
        </w:sectPr>
      </w:pPr>
    </w:p>
    <w:tbl>
      <w:tblPr>
        <w:tblW w:w="4141" w:type="pct"/>
        <w:tblLayout w:type="fixed"/>
        <w:tblCellMar>
          <w:left w:w="70" w:type="dxa"/>
          <w:right w:w="70" w:type="dxa"/>
        </w:tblCellMar>
        <w:tblLook w:val="04A0" w:firstRow="1" w:lastRow="0" w:firstColumn="1" w:lastColumn="0" w:noHBand="0" w:noVBand="1"/>
      </w:tblPr>
      <w:tblGrid>
        <w:gridCol w:w="4527"/>
        <w:gridCol w:w="1255"/>
        <w:gridCol w:w="1254"/>
      </w:tblGrid>
      <w:tr w:rsidR="006D2337" w:rsidRPr="000A0696" w14:paraId="3AE42781" w14:textId="77777777" w:rsidTr="006D2337">
        <w:trPr>
          <w:trHeight w:val="1023"/>
        </w:trPr>
        <w:tc>
          <w:tcPr>
            <w:tcW w:w="4608" w:type="dxa"/>
            <w:tcBorders>
              <w:top w:val="single" w:sz="4" w:space="0" w:color="363639"/>
              <w:left w:val="single" w:sz="4" w:space="0" w:color="363639"/>
              <w:bottom w:val="single" w:sz="4" w:space="0" w:color="363639"/>
              <w:right w:val="nil"/>
            </w:tcBorders>
            <w:shd w:val="clear" w:color="auto" w:fill="BFBFBF" w:themeFill="background1" w:themeFillShade="BF"/>
            <w:noWrap/>
            <w:vAlign w:val="center"/>
            <w:hideMark/>
          </w:tcPr>
          <w:p w14:paraId="04D77F9B" w14:textId="77777777" w:rsidR="006D2337" w:rsidRPr="000A0696" w:rsidRDefault="006D2337" w:rsidP="008201EC">
            <w:pPr>
              <w:jc w:val="center"/>
              <w:rPr>
                <w:rFonts w:ascii="Arial" w:hAnsi="Arial" w:cs="Arial"/>
                <w:b/>
                <w:bCs/>
                <w:sz w:val="16"/>
                <w:szCs w:val="16"/>
                <w:lang w:eastAsia="es-AR"/>
              </w:rPr>
            </w:pPr>
            <w:r w:rsidRPr="000A0696">
              <w:rPr>
                <w:rFonts w:ascii="Arial" w:hAnsi="Arial" w:cs="Arial"/>
                <w:b/>
                <w:bCs/>
                <w:sz w:val="16"/>
                <w:szCs w:val="16"/>
                <w:lang w:eastAsia="es-AR"/>
              </w:rPr>
              <w:lastRenderedPageBreak/>
              <w:t>Conceptos</w:t>
            </w: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2D839810" w14:textId="5B750B21" w:rsidR="006D2337" w:rsidRDefault="00A57FD2" w:rsidP="008201EC">
            <w:pPr>
              <w:jc w:val="center"/>
              <w:rPr>
                <w:rFonts w:ascii="Arial" w:hAnsi="Arial" w:cs="Arial"/>
                <w:b/>
                <w:bCs/>
                <w:sz w:val="16"/>
                <w:szCs w:val="16"/>
                <w:lang w:eastAsia="es-AR"/>
              </w:rPr>
            </w:pPr>
            <w:r>
              <w:rPr>
                <w:rFonts w:ascii="Arial" w:hAnsi="Arial" w:cs="Arial"/>
                <w:b/>
                <w:bCs/>
                <w:sz w:val="16"/>
                <w:szCs w:val="16"/>
                <w:lang w:eastAsia="es-AR"/>
              </w:rPr>
              <w:t>Al</w:t>
            </w:r>
          </w:p>
          <w:p w14:paraId="2997AFF3" w14:textId="55F4E55F" w:rsidR="006D2337" w:rsidRPr="000A0696" w:rsidRDefault="006D2337" w:rsidP="008201EC">
            <w:pPr>
              <w:jc w:val="center"/>
              <w:rPr>
                <w:rFonts w:ascii="Arial" w:hAnsi="Arial" w:cs="Arial"/>
                <w:b/>
                <w:bCs/>
                <w:sz w:val="16"/>
                <w:szCs w:val="16"/>
                <w:lang w:eastAsia="es-AR"/>
              </w:rPr>
            </w:pPr>
            <w:r>
              <w:rPr>
                <w:rFonts w:ascii="Arial" w:hAnsi="Arial" w:cs="Arial"/>
                <w:b/>
                <w:bCs/>
                <w:sz w:val="16"/>
                <w:szCs w:val="16"/>
                <w:lang w:eastAsia="es-AR"/>
              </w:rPr>
              <w:t>30/03/2020</w:t>
            </w:r>
          </w:p>
        </w:tc>
        <w:tc>
          <w:tcPr>
            <w:tcW w:w="1275" w:type="dxa"/>
            <w:tcBorders>
              <w:top w:val="single" w:sz="4" w:space="0" w:color="auto"/>
              <w:left w:val="single" w:sz="4" w:space="0" w:color="auto"/>
              <w:bottom w:val="single" w:sz="4" w:space="0" w:color="363639"/>
              <w:right w:val="single" w:sz="4" w:space="0" w:color="auto"/>
            </w:tcBorders>
            <w:shd w:val="clear" w:color="auto" w:fill="BFBFBF" w:themeFill="background1" w:themeFillShade="BF"/>
            <w:vAlign w:val="center"/>
            <w:hideMark/>
          </w:tcPr>
          <w:p w14:paraId="009BC6C8" w14:textId="007BF9F5" w:rsidR="006D2337" w:rsidRDefault="00A57FD2" w:rsidP="008201EC">
            <w:pPr>
              <w:jc w:val="center"/>
              <w:rPr>
                <w:rFonts w:ascii="Arial" w:hAnsi="Arial" w:cs="Arial"/>
                <w:b/>
                <w:bCs/>
                <w:sz w:val="16"/>
                <w:szCs w:val="16"/>
                <w:lang w:eastAsia="es-AR"/>
              </w:rPr>
            </w:pPr>
            <w:r>
              <w:rPr>
                <w:rFonts w:ascii="Arial" w:hAnsi="Arial" w:cs="Arial"/>
                <w:b/>
                <w:bCs/>
                <w:sz w:val="16"/>
                <w:szCs w:val="16"/>
                <w:lang w:eastAsia="es-AR"/>
              </w:rPr>
              <w:t>Al</w:t>
            </w:r>
          </w:p>
          <w:p w14:paraId="7C35E6CC" w14:textId="7829E0F6" w:rsidR="006D2337" w:rsidRPr="000A0696" w:rsidRDefault="006D2337" w:rsidP="008201EC">
            <w:pPr>
              <w:jc w:val="center"/>
              <w:rPr>
                <w:rFonts w:ascii="Arial" w:hAnsi="Arial" w:cs="Arial"/>
                <w:b/>
                <w:bCs/>
                <w:sz w:val="16"/>
                <w:szCs w:val="16"/>
                <w:lang w:eastAsia="es-AR"/>
              </w:rPr>
            </w:pPr>
            <w:r>
              <w:rPr>
                <w:rFonts w:ascii="Arial" w:hAnsi="Arial" w:cs="Arial"/>
                <w:b/>
                <w:bCs/>
                <w:sz w:val="16"/>
                <w:szCs w:val="16"/>
                <w:lang w:eastAsia="es-AR"/>
              </w:rPr>
              <w:t>30/03/2019</w:t>
            </w:r>
          </w:p>
        </w:tc>
      </w:tr>
      <w:tr w:rsidR="006D2337" w:rsidRPr="000A0696" w14:paraId="0F11A937" w14:textId="77777777" w:rsidTr="00A57FD2">
        <w:trPr>
          <w:trHeight w:val="285"/>
        </w:trPr>
        <w:tc>
          <w:tcPr>
            <w:tcW w:w="4608" w:type="dxa"/>
            <w:tcBorders>
              <w:top w:val="nil"/>
              <w:left w:val="nil"/>
              <w:bottom w:val="nil"/>
              <w:right w:val="nil"/>
            </w:tcBorders>
            <w:shd w:val="clear" w:color="auto" w:fill="auto"/>
            <w:vAlign w:val="center"/>
          </w:tcPr>
          <w:p w14:paraId="4C7C7040" w14:textId="59CBE575" w:rsidR="006D2337" w:rsidRPr="000A0696" w:rsidRDefault="006D2337" w:rsidP="00A57FD2">
            <w:pPr>
              <w:rPr>
                <w:rFonts w:ascii="Arial" w:hAnsi="Arial" w:cs="Arial"/>
                <w:b/>
                <w:bCs/>
                <w:sz w:val="16"/>
                <w:szCs w:val="16"/>
                <w:lang w:eastAsia="es-AR"/>
              </w:rPr>
            </w:pPr>
          </w:p>
        </w:tc>
        <w:tc>
          <w:tcPr>
            <w:tcW w:w="1276" w:type="dxa"/>
            <w:tcBorders>
              <w:top w:val="single" w:sz="4" w:space="0" w:color="auto"/>
              <w:left w:val="nil"/>
              <w:bottom w:val="nil"/>
              <w:right w:val="nil"/>
            </w:tcBorders>
            <w:shd w:val="clear" w:color="auto" w:fill="auto"/>
            <w:noWrap/>
            <w:vAlign w:val="center"/>
          </w:tcPr>
          <w:p w14:paraId="00BE4662" w14:textId="27228EE1" w:rsidR="006D2337" w:rsidRPr="00BF51C8" w:rsidRDefault="006D2337" w:rsidP="00BA28BF">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4B18BCD9" w14:textId="009A18D1" w:rsidR="006D2337" w:rsidRPr="00BF51C8" w:rsidRDefault="006D2337" w:rsidP="00BA28BF">
            <w:pPr>
              <w:jc w:val="right"/>
              <w:rPr>
                <w:rFonts w:ascii="Arial" w:hAnsi="Arial" w:cs="Arial"/>
                <w:sz w:val="16"/>
                <w:szCs w:val="16"/>
                <w:lang w:eastAsia="es-AR"/>
              </w:rPr>
            </w:pPr>
          </w:p>
        </w:tc>
      </w:tr>
      <w:tr w:rsidR="006D2337" w:rsidRPr="000A0696" w14:paraId="7B7452A3" w14:textId="77777777" w:rsidTr="006D2337">
        <w:trPr>
          <w:trHeight w:val="80"/>
        </w:trPr>
        <w:tc>
          <w:tcPr>
            <w:tcW w:w="4608" w:type="dxa"/>
            <w:tcBorders>
              <w:top w:val="nil"/>
              <w:left w:val="nil"/>
              <w:bottom w:val="nil"/>
              <w:right w:val="nil"/>
            </w:tcBorders>
            <w:shd w:val="clear" w:color="auto" w:fill="auto"/>
            <w:vAlign w:val="bottom"/>
            <w:hideMark/>
          </w:tcPr>
          <w:p w14:paraId="33954CA4" w14:textId="7E568F7F" w:rsidR="006D2337" w:rsidRPr="000A0696" w:rsidRDefault="00A57FD2" w:rsidP="00AC5BF7">
            <w:pPr>
              <w:rPr>
                <w:rFonts w:ascii="Arial" w:hAnsi="Arial" w:cs="Arial"/>
                <w:sz w:val="10"/>
                <w:szCs w:val="10"/>
                <w:lang w:eastAsia="es-AR"/>
              </w:rPr>
            </w:pPr>
            <w:r w:rsidRPr="000A0696">
              <w:rPr>
                <w:rFonts w:ascii="Arial" w:hAnsi="Arial" w:cs="Arial"/>
                <w:b/>
                <w:bCs/>
                <w:sz w:val="16"/>
                <w:szCs w:val="16"/>
                <w:lang w:eastAsia="es-AR"/>
              </w:rPr>
              <w:t xml:space="preserve">Resultado </w:t>
            </w:r>
            <w:r>
              <w:rPr>
                <w:rFonts w:ascii="Arial" w:hAnsi="Arial" w:cs="Arial"/>
                <w:b/>
                <w:bCs/>
                <w:sz w:val="16"/>
                <w:szCs w:val="16"/>
                <w:lang w:eastAsia="es-AR"/>
              </w:rPr>
              <w:t>neto del período</w:t>
            </w:r>
          </w:p>
        </w:tc>
        <w:tc>
          <w:tcPr>
            <w:tcW w:w="1276" w:type="dxa"/>
            <w:tcBorders>
              <w:top w:val="nil"/>
              <w:left w:val="nil"/>
              <w:bottom w:val="nil"/>
              <w:right w:val="nil"/>
            </w:tcBorders>
            <w:shd w:val="clear" w:color="auto" w:fill="auto"/>
            <w:noWrap/>
            <w:vAlign w:val="center"/>
          </w:tcPr>
          <w:p w14:paraId="12054954" w14:textId="401A4522" w:rsidR="006D2337" w:rsidRPr="00534414" w:rsidRDefault="00A57FD2" w:rsidP="00AC5BF7">
            <w:pPr>
              <w:jc w:val="right"/>
              <w:rPr>
                <w:rFonts w:ascii="Arial" w:hAnsi="Arial" w:cs="Arial"/>
                <w:sz w:val="16"/>
                <w:szCs w:val="16"/>
                <w:lang w:eastAsia="es-AR"/>
              </w:rPr>
            </w:pPr>
            <w:r>
              <w:rPr>
                <w:rFonts w:ascii="Arial" w:hAnsi="Arial" w:cs="Arial"/>
                <w:sz w:val="16"/>
                <w:szCs w:val="16"/>
                <w:lang w:eastAsia="es-AR"/>
              </w:rPr>
              <w:t>373.140</w:t>
            </w:r>
          </w:p>
        </w:tc>
        <w:tc>
          <w:tcPr>
            <w:tcW w:w="1275" w:type="dxa"/>
            <w:tcBorders>
              <w:top w:val="nil"/>
              <w:left w:val="nil"/>
              <w:bottom w:val="nil"/>
              <w:right w:val="nil"/>
            </w:tcBorders>
            <w:shd w:val="clear" w:color="auto" w:fill="auto"/>
            <w:noWrap/>
            <w:vAlign w:val="center"/>
          </w:tcPr>
          <w:p w14:paraId="380A3A88" w14:textId="76CF6A46" w:rsidR="006D2337" w:rsidRPr="00534414" w:rsidRDefault="00A57FD2" w:rsidP="00AC5BF7">
            <w:pPr>
              <w:jc w:val="right"/>
              <w:rPr>
                <w:rFonts w:ascii="Arial" w:hAnsi="Arial" w:cs="Arial"/>
                <w:sz w:val="16"/>
                <w:szCs w:val="16"/>
                <w:lang w:eastAsia="es-AR"/>
              </w:rPr>
            </w:pPr>
            <w:r>
              <w:rPr>
                <w:rFonts w:ascii="Arial" w:hAnsi="Arial" w:cs="Arial"/>
                <w:sz w:val="16"/>
                <w:szCs w:val="16"/>
                <w:lang w:eastAsia="es-AR"/>
              </w:rPr>
              <w:t>-1.328.494</w:t>
            </w:r>
          </w:p>
        </w:tc>
      </w:tr>
      <w:tr w:rsidR="006D2337" w:rsidRPr="000A0696" w14:paraId="00771970" w14:textId="77777777" w:rsidTr="006D2337">
        <w:trPr>
          <w:trHeight w:val="510"/>
        </w:trPr>
        <w:tc>
          <w:tcPr>
            <w:tcW w:w="4608" w:type="dxa"/>
            <w:tcBorders>
              <w:top w:val="nil"/>
              <w:left w:val="nil"/>
              <w:bottom w:val="nil"/>
              <w:right w:val="nil"/>
            </w:tcBorders>
            <w:shd w:val="clear" w:color="auto" w:fill="auto"/>
            <w:vAlign w:val="bottom"/>
            <w:hideMark/>
          </w:tcPr>
          <w:p w14:paraId="3893323F" w14:textId="18B50C9F" w:rsidR="006D2337" w:rsidRPr="000A0696" w:rsidRDefault="006D2337" w:rsidP="00AC5BF7">
            <w:pPr>
              <w:rPr>
                <w:rFonts w:ascii="Arial" w:hAnsi="Arial" w:cs="Arial"/>
                <w:b/>
                <w:bCs/>
                <w:sz w:val="16"/>
                <w:szCs w:val="16"/>
                <w:lang w:eastAsia="es-AR"/>
              </w:rPr>
            </w:pPr>
            <w:r w:rsidRPr="000A0696">
              <w:rPr>
                <w:rFonts w:ascii="Arial" w:hAnsi="Arial" w:cs="Arial"/>
                <w:b/>
                <w:bCs/>
                <w:sz w:val="16"/>
                <w:szCs w:val="16"/>
                <w:lang w:eastAsia="es-AR"/>
              </w:rPr>
              <w:t xml:space="preserve">Componentes de Otro Resultado Integral que no se reclasificarán al resultado del </w:t>
            </w:r>
            <w:r>
              <w:rPr>
                <w:rFonts w:ascii="Arial" w:hAnsi="Arial" w:cs="Arial"/>
                <w:b/>
                <w:bCs/>
                <w:sz w:val="16"/>
                <w:szCs w:val="16"/>
                <w:lang w:eastAsia="es-AR"/>
              </w:rPr>
              <w:t>período</w:t>
            </w:r>
          </w:p>
        </w:tc>
        <w:tc>
          <w:tcPr>
            <w:tcW w:w="1276" w:type="dxa"/>
            <w:tcBorders>
              <w:top w:val="nil"/>
              <w:left w:val="nil"/>
              <w:bottom w:val="nil"/>
              <w:right w:val="nil"/>
            </w:tcBorders>
            <w:shd w:val="clear" w:color="auto" w:fill="auto"/>
            <w:noWrap/>
            <w:vAlign w:val="center"/>
          </w:tcPr>
          <w:p w14:paraId="1E851E7C" w14:textId="67D1F132" w:rsidR="006D2337" w:rsidRPr="00BF51C8" w:rsidRDefault="006D2337" w:rsidP="00AC5BF7">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3D36F58E" w14:textId="2A556B89" w:rsidR="006D2337" w:rsidRPr="00BF51C8" w:rsidRDefault="006D2337" w:rsidP="00AC5BF7">
            <w:pPr>
              <w:jc w:val="right"/>
              <w:rPr>
                <w:rFonts w:ascii="Arial" w:hAnsi="Arial" w:cs="Arial"/>
                <w:sz w:val="16"/>
                <w:szCs w:val="16"/>
                <w:lang w:eastAsia="es-AR"/>
              </w:rPr>
            </w:pPr>
          </w:p>
        </w:tc>
      </w:tr>
      <w:tr w:rsidR="006D2337" w:rsidRPr="000A0696" w14:paraId="26DEFAC5" w14:textId="77777777" w:rsidTr="006D2337">
        <w:trPr>
          <w:trHeight w:val="87"/>
        </w:trPr>
        <w:tc>
          <w:tcPr>
            <w:tcW w:w="4608" w:type="dxa"/>
            <w:tcBorders>
              <w:top w:val="nil"/>
              <w:left w:val="nil"/>
              <w:bottom w:val="nil"/>
              <w:right w:val="nil"/>
            </w:tcBorders>
            <w:shd w:val="clear" w:color="auto" w:fill="auto"/>
            <w:vAlign w:val="bottom"/>
            <w:hideMark/>
          </w:tcPr>
          <w:p w14:paraId="741790C9" w14:textId="77777777" w:rsidR="006D2337" w:rsidRPr="000A0696" w:rsidRDefault="006D2337" w:rsidP="00AC5BF7">
            <w:pPr>
              <w:rPr>
                <w:rFonts w:ascii="Arial" w:hAnsi="Arial" w:cs="Arial"/>
                <w:sz w:val="10"/>
                <w:szCs w:val="10"/>
                <w:lang w:eastAsia="es-AR"/>
              </w:rPr>
            </w:pPr>
          </w:p>
        </w:tc>
        <w:tc>
          <w:tcPr>
            <w:tcW w:w="1276" w:type="dxa"/>
            <w:tcBorders>
              <w:top w:val="nil"/>
              <w:left w:val="nil"/>
              <w:bottom w:val="nil"/>
              <w:right w:val="nil"/>
            </w:tcBorders>
            <w:shd w:val="clear" w:color="auto" w:fill="auto"/>
            <w:noWrap/>
            <w:vAlign w:val="center"/>
          </w:tcPr>
          <w:p w14:paraId="12E9DC5D" w14:textId="4C1E1CAD" w:rsidR="006D2337" w:rsidRPr="00534414" w:rsidRDefault="006D2337" w:rsidP="00AC5BF7">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0F8971CA" w14:textId="09BAF4E1" w:rsidR="006D2337" w:rsidRPr="00534414" w:rsidRDefault="006D2337" w:rsidP="00AC5BF7">
            <w:pPr>
              <w:jc w:val="right"/>
              <w:rPr>
                <w:rFonts w:ascii="Arial" w:hAnsi="Arial" w:cs="Arial"/>
                <w:sz w:val="16"/>
                <w:szCs w:val="16"/>
                <w:lang w:eastAsia="es-AR"/>
              </w:rPr>
            </w:pPr>
          </w:p>
        </w:tc>
      </w:tr>
      <w:tr w:rsidR="006D2337" w:rsidRPr="00BF51C8" w14:paraId="21FA93D6" w14:textId="77777777" w:rsidTr="006D2337">
        <w:trPr>
          <w:trHeight w:val="185"/>
        </w:trPr>
        <w:tc>
          <w:tcPr>
            <w:tcW w:w="4608" w:type="dxa"/>
            <w:tcBorders>
              <w:top w:val="nil"/>
              <w:left w:val="nil"/>
              <w:bottom w:val="single" w:sz="4" w:space="0" w:color="auto"/>
              <w:right w:val="nil"/>
            </w:tcBorders>
            <w:shd w:val="clear" w:color="auto" w:fill="auto"/>
            <w:vAlign w:val="bottom"/>
            <w:hideMark/>
          </w:tcPr>
          <w:p w14:paraId="53472DBC" w14:textId="77777777" w:rsidR="006D2337" w:rsidRPr="00BF51C8" w:rsidRDefault="006D2337" w:rsidP="00BA28BF">
            <w:pPr>
              <w:rPr>
                <w:rFonts w:ascii="Arial" w:hAnsi="Arial" w:cs="Arial"/>
                <w:b/>
                <w:bCs/>
                <w:sz w:val="16"/>
                <w:szCs w:val="16"/>
                <w:lang w:eastAsia="es-AR"/>
              </w:rPr>
            </w:pPr>
            <w:r w:rsidRPr="00BF51C8">
              <w:rPr>
                <w:rFonts w:ascii="Arial" w:hAnsi="Arial" w:cs="Arial"/>
                <w:b/>
                <w:bCs/>
                <w:sz w:val="16"/>
                <w:szCs w:val="16"/>
                <w:lang w:eastAsia="es-AR"/>
              </w:rPr>
              <w:t>Revaluación de propiedad, planta y equipo e intangibles</w:t>
            </w:r>
          </w:p>
        </w:tc>
        <w:tc>
          <w:tcPr>
            <w:tcW w:w="1276" w:type="dxa"/>
            <w:tcBorders>
              <w:top w:val="nil"/>
              <w:left w:val="nil"/>
              <w:bottom w:val="single" w:sz="4" w:space="0" w:color="auto"/>
              <w:right w:val="nil"/>
            </w:tcBorders>
            <w:shd w:val="clear" w:color="auto" w:fill="auto"/>
            <w:noWrap/>
            <w:vAlign w:val="center"/>
          </w:tcPr>
          <w:p w14:paraId="0C4718B3" w14:textId="2A21ACC1" w:rsidR="006D2337" w:rsidRPr="00BF51C8" w:rsidRDefault="006D2337" w:rsidP="00BA28BF">
            <w:pPr>
              <w:jc w:val="right"/>
              <w:rPr>
                <w:rFonts w:ascii="Arial" w:hAnsi="Arial" w:cs="Arial"/>
                <w:b/>
                <w:bCs/>
                <w:sz w:val="16"/>
                <w:szCs w:val="16"/>
                <w:lang w:eastAsia="es-AR"/>
              </w:rPr>
            </w:pPr>
          </w:p>
        </w:tc>
        <w:tc>
          <w:tcPr>
            <w:tcW w:w="1275" w:type="dxa"/>
            <w:tcBorders>
              <w:top w:val="nil"/>
              <w:left w:val="nil"/>
              <w:bottom w:val="single" w:sz="4" w:space="0" w:color="auto"/>
              <w:right w:val="nil"/>
            </w:tcBorders>
            <w:shd w:val="clear" w:color="auto" w:fill="auto"/>
            <w:noWrap/>
            <w:vAlign w:val="center"/>
          </w:tcPr>
          <w:p w14:paraId="5FAA43DE" w14:textId="0F4E0B43" w:rsidR="006D2337" w:rsidRPr="00BF51C8" w:rsidRDefault="006D2337" w:rsidP="00BA28BF">
            <w:pPr>
              <w:jc w:val="right"/>
              <w:rPr>
                <w:rFonts w:ascii="Arial" w:hAnsi="Arial" w:cs="Arial"/>
                <w:b/>
                <w:bCs/>
                <w:sz w:val="16"/>
                <w:szCs w:val="16"/>
                <w:lang w:eastAsia="es-AR"/>
              </w:rPr>
            </w:pPr>
          </w:p>
        </w:tc>
      </w:tr>
      <w:tr w:rsidR="006D2337" w:rsidRPr="000A0696" w14:paraId="745645B7" w14:textId="77777777" w:rsidTr="006D2337">
        <w:trPr>
          <w:trHeight w:val="510"/>
        </w:trPr>
        <w:tc>
          <w:tcPr>
            <w:tcW w:w="4608" w:type="dxa"/>
            <w:tcBorders>
              <w:top w:val="nil"/>
              <w:left w:val="nil"/>
              <w:bottom w:val="nil"/>
              <w:right w:val="nil"/>
            </w:tcBorders>
            <w:shd w:val="clear" w:color="auto" w:fill="auto"/>
            <w:vAlign w:val="bottom"/>
            <w:hideMark/>
          </w:tcPr>
          <w:p w14:paraId="250639B5" w14:textId="7352BC17" w:rsidR="006D2337" w:rsidRPr="000A0696" w:rsidRDefault="006D2337" w:rsidP="00BA28BF">
            <w:pPr>
              <w:rPr>
                <w:rFonts w:ascii="Arial" w:hAnsi="Arial" w:cs="Arial"/>
                <w:sz w:val="16"/>
                <w:szCs w:val="16"/>
                <w:lang w:eastAsia="es-AR"/>
              </w:rPr>
            </w:pPr>
            <w:r>
              <w:rPr>
                <w:rFonts w:ascii="Arial" w:hAnsi="Arial" w:cs="Arial"/>
                <w:sz w:val="16"/>
                <w:szCs w:val="16"/>
                <w:lang w:eastAsia="es-AR"/>
              </w:rPr>
              <w:t>Revaluaciones del período</w:t>
            </w:r>
            <w:r w:rsidRPr="000A0696">
              <w:rPr>
                <w:rFonts w:ascii="Arial" w:hAnsi="Arial" w:cs="Arial"/>
                <w:sz w:val="16"/>
                <w:szCs w:val="16"/>
                <w:lang w:eastAsia="es-AR"/>
              </w:rPr>
              <w:t xml:space="preserve"> de propiedad, planta y equipo e intangibles</w:t>
            </w:r>
          </w:p>
        </w:tc>
        <w:tc>
          <w:tcPr>
            <w:tcW w:w="1276" w:type="dxa"/>
            <w:tcBorders>
              <w:top w:val="nil"/>
              <w:left w:val="nil"/>
              <w:bottom w:val="nil"/>
              <w:right w:val="nil"/>
            </w:tcBorders>
            <w:shd w:val="clear" w:color="auto" w:fill="auto"/>
            <w:noWrap/>
            <w:vAlign w:val="center"/>
          </w:tcPr>
          <w:p w14:paraId="45A83D44" w14:textId="1135FE83" w:rsidR="006D2337" w:rsidRPr="00BF51C8" w:rsidRDefault="006D2337" w:rsidP="00BA28BF">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48C979E6" w14:textId="6EE01824" w:rsidR="006D2337" w:rsidRPr="00BF51C8" w:rsidRDefault="006D2337" w:rsidP="00BA28BF">
            <w:pPr>
              <w:jc w:val="right"/>
              <w:rPr>
                <w:rFonts w:ascii="Arial" w:hAnsi="Arial" w:cs="Arial"/>
                <w:sz w:val="16"/>
                <w:szCs w:val="16"/>
                <w:lang w:eastAsia="es-AR"/>
              </w:rPr>
            </w:pPr>
          </w:p>
        </w:tc>
      </w:tr>
      <w:tr w:rsidR="006D2337" w:rsidRPr="000A0696" w14:paraId="7EBADF6D" w14:textId="77777777" w:rsidTr="006D2337">
        <w:trPr>
          <w:trHeight w:val="285"/>
        </w:trPr>
        <w:tc>
          <w:tcPr>
            <w:tcW w:w="4608" w:type="dxa"/>
            <w:tcBorders>
              <w:top w:val="nil"/>
              <w:left w:val="nil"/>
              <w:bottom w:val="nil"/>
              <w:right w:val="nil"/>
            </w:tcBorders>
            <w:shd w:val="clear" w:color="auto" w:fill="auto"/>
            <w:vAlign w:val="bottom"/>
            <w:hideMark/>
          </w:tcPr>
          <w:p w14:paraId="142CC1B4" w14:textId="77777777" w:rsidR="006D2337" w:rsidRPr="000A0696" w:rsidRDefault="006D2337" w:rsidP="00BA28BF">
            <w:pPr>
              <w:rPr>
                <w:rFonts w:ascii="Arial" w:hAnsi="Arial" w:cs="Arial"/>
                <w:sz w:val="16"/>
                <w:szCs w:val="16"/>
                <w:lang w:eastAsia="es-AR"/>
              </w:rPr>
            </w:pPr>
            <w:r w:rsidRPr="000A0696">
              <w:rPr>
                <w:rFonts w:ascii="Arial" w:hAnsi="Arial" w:cs="Arial"/>
                <w:sz w:val="16"/>
                <w:szCs w:val="16"/>
                <w:lang w:eastAsia="es-AR"/>
              </w:rPr>
              <w:t>Impuesto a las ganancias</w:t>
            </w:r>
          </w:p>
        </w:tc>
        <w:tc>
          <w:tcPr>
            <w:tcW w:w="1276" w:type="dxa"/>
            <w:tcBorders>
              <w:top w:val="nil"/>
              <w:left w:val="nil"/>
              <w:bottom w:val="nil"/>
              <w:right w:val="nil"/>
            </w:tcBorders>
            <w:shd w:val="clear" w:color="auto" w:fill="auto"/>
            <w:noWrap/>
            <w:vAlign w:val="center"/>
          </w:tcPr>
          <w:p w14:paraId="73DE6561" w14:textId="75A0088D" w:rsidR="006D2337" w:rsidRPr="00BF51C8" w:rsidRDefault="006D2337" w:rsidP="00BA28BF">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0D472DF6" w14:textId="26DD6FC0" w:rsidR="006D2337" w:rsidRPr="00BF51C8" w:rsidRDefault="006D2337" w:rsidP="00BA28BF">
            <w:pPr>
              <w:jc w:val="right"/>
              <w:rPr>
                <w:rFonts w:ascii="Arial" w:hAnsi="Arial" w:cs="Arial"/>
                <w:sz w:val="16"/>
                <w:szCs w:val="16"/>
                <w:lang w:eastAsia="es-AR"/>
              </w:rPr>
            </w:pPr>
          </w:p>
        </w:tc>
      </w:tr>
      <w:tr w:rsidR="006D2337" w:rsidRPr="00BF51C8" w14:paraId="785262CB" w14:textId="77777777" w:rsidTr="006D2337">
        <w:trPr>
          <w:trHeight w:val="765"/>
        </w:trPr>
        <w:tc>
          <w:tcPr>
            <w:tcW w:w="4608" w:type="dxa"/>
            <w:tcBorders>
              <w:top w:val="nil"/>
              <w:left w:val="nil"/>
              <w:bottom w:val="single" w:sz="4" w:space="0" w:color="auto"/>
              <w:right w:val="nil"/>
            </w:tcBorders>
            <w:shd w:val="clear" w:color="auto" w:fill="auto"/>
            <w:vAlign w:val="bottom"/>
            <w:hideMark/>
          </w:tcPr>
          <w:p w14:paraId="621A471D" w14:textId="77777777" w:rsidR="006D2337" w:rsidRPr="00BF51C8" w:rsidRDefault="006D2337" w:rsidP="00BA28BF">
            <w:pPr>
              <w:rPr>
                <w:rFonts w:ascii="Arial" w:hAnsi="Arial" w:cs="Arial"/>
                <w:b/>
                <w:bCs/>
                <w:sz w:val="16"/>
                <w:szCs w:val="16"/>
                <w:lang w:eastAsia="es-AR"/>
              </w:rPr>
            </w:pPr>
            <w:r w:rsidRPr="00BF51C8">
              <w:rPr>
                <w:rFonts w:ascii="Arial" w:hAnsi="Arial" w:cs="Arial"/>
                <w:b/>
                <w:bCs/>
                <w:sz w:val="16"/>
                <w:szCs w:val="16"/>
                <w:lang w:eastAsia="es-AR"/>
              </w:rPr>
              <w:t>Ganancias o pérdidas por instrumentos de patrimonio a valor razonable con cambios en el ORI (Puntos 5.7.5de la NIIF 9)</w:t>
            </w:r>
          </w:p>
        </w:tc>
        <w:tc>
          <w:tcPr>
            <w:tcW w:w="1276" w:type="dxa"/>
            <w:tcBorders>
              <w:top w:val="nil"/>
              <w:left w:val="nil"/>
              <w:bottom w:val="single" w:sz="4" w:space="0" w:color="auto"/>
              <w:right w:val="nil"/>
            </w:tcBorders>
            <w:shd w:val="clear" w:color="auto" w:fill="auto"/>
            <w:noWrap/>
            <w:vAlign w:val="bottom"/>
          </w:tcPr>
          <w:p w14:paraId="06F499A5" w14:textId="2163A6A5"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-479</w:t>
            </w:r>
          </w:p>
        </w:tc>
        <w:tc>
          <w:tcPr>
            <w:tcW w:w="1275" w:type="dxa"/>
            <w:tcBorders>
              <w:top w:val="nil"/>
              <w:left w:val="nil"/>
              <w:bottom w:val="single" w:sz="4" w:space="0" w:color="auto"/>
              <w:right w:val="nil"/>
            </w:tcBorders>
            <w:shd w:val="clear" w:color="auto" w:fill="auto"/>
            <w:noWrap/>
            <w:vAlign w:val="bottom"/>
          </w:tcPr>
          <w:p w14:paraId="39A7E03D" w14:textId="617D2DF0"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-1.076</w:t>
            </w:r>
          </w:p>
        </w:tc>
      </w:tr>
      <w:tr w:rsidR="006D2337" w:rsidRPr="000A0696" w14:paraId="786BA44B" w14:textId="77777777" w:rsidTr="00A57FD2">
        <w:trPr>
          <w:trHeight w:val="510"/>
        </w:trPr>
        <w:tc>
          <w:tcPr>
            <w:tcW w:w="4608" w:type="dxa"/>
            <w:tcBorders>
              <w:top w:val="nil"/>
              <w:left w:val="nil"/>
              <w:bottom w:val="nil"/>
              <w:right w:val="nil"/>
            </w:tcBorders>
            <w:shd w:val="clear" w:color="auto" w:fill="auto"/>
            <w:vAlign w:val="center"/>
            <w:hideMark/>
          </w:tcPr>
          <w:p w14:paraId="0BA4EF66" w14:textId="0B17A618" w:rsidR="006D2337" w:rsidRPr="000A0696" w:rsidRDefault="006D2337" w:rsidP="00A57FD2">
            <w:pPr>
              <w:rPr>
                <w:rFonts w:ascii="Arial" w:hAnsi="Arial" w:cs="Arial"/>
                <w:sz w:val="16"/>
                <w:szCs w:val="16"/>
                <w:lang w:eastAsia="es-AR"/>
              </w:rPr>
            </w:pPr>
            <w:r w:rsidRPr="000A0696">
              <w:rPr>
                <w:rFonts w:ascii="Arial" w:hAnsi="Arial" w:cs="Arial"/>
                <w:sz w:val="16"/>
                <w:szCs w:val="16"/>
                <w:lang w:eastAsia="es-AR"/>
              </w:rPr>
              <w:t xml:space="preserve">Resultado del </w:t>
            </w:r>
            <w:r>
              <w:rPr>
                <w:rFonts w:ascii="Arial" w:hAnsi="Arial" w:cs="Arial"/>
                <w:sz w:val="16"/>
                <w:szCs w:val="16"/>
                <w:lang w:eastAsia="es-AR"/>
              </w:rPr>
              <w:t>período</w:t>
            </w:r>
            <w:r w:rsidRPr="000A0696">
              <w:rPr>
                <w:rFonts w:ascii="Arial" w:hAnsi="Arial" w:cs="Arial"/>
                <w:sz w:val="16"/>
                <w:szCs w:val="16"/>
                <w:lang w:eastAsia="es-AR"/>
              </w:rPr>
              <w:t xml:space="preserve"> por instrumentos de patrimonio a valor razonable con cambios en el ORI</w:t>
            </w:r>
          </w:p>
        </w:tc>
        <w:tc>
          <w:tcPr>
            <w:tcW w:w="1276" w:type="dxa"/>
            <w:tcBorders>
              <w:top w:val="nil"/>
              <w:left w:val="nil"/>
              <w:bottom w:val="nil"/>
              <w:right w:val="nil"/>
            </w:tcBorders>
            <w:shd w:val="clear" w:color="auto" w:fill="auto"/>
            <w:noWrap/>
            <w:vAlign w:val="center"/>
          </w:tcPr>
          <w:p w14:paraId="4427B818" w14:textId="3EAC4E6F" w:rsidR="006D2337" w:rsidRPr="00BF51C8" w:rsidRDefault="00A57FD2" w:rsidP="00A57FD2">
            <w:pPr>
              <w:jc w:val="right"/>
              <w:rPr>
                <w:rFonts w:ascii="Arial" w:hAnsi="Arial" w:cs="Arial"/>
                <w:sz w:val="16"/>
                <w:szCs w:val="16"/>
                <w:lang w:eastAsia="es-AR"/>
              </w:rPr>
            </w:pPr>
            <w:r>
              <w:rPr>
                <w:rFonts w:ascii="Arial" w:hAnsi="Arial" w:cs="Arial"/>
                <w:sz w:val="16"/>
                <w:szCs w:val="16"/>
                <w:lang w:eastAsia="es-AR"/>
              </w:rPr>
              <w:t>-685</w:t>
            </w:r>
          </w:p>
        </w:tc>
        <w:tc>
          <w:tcPr>
            <w:tcW w:w="1275" w:type="dxa"/>
            <w:tcBorders>
              <w:top w:val="nil"/>
              <w:left w:val="nil"/>
              <w:bottom w:val="nil"/>
              <w:right w:val="nil"/>
            </w:tcBorders>
            <w:shd w:val="clear" w:color="auto" w:fill="auto"/>
            <w:noWrap/>
            <w:vAlign w:val="center"/>
          </w:tcPr>
          <w:p w14:paraId="00AFEEDF" w14:textId="55C9806F" w:rsidR="006D2337" w:rsidRPr="00BF51C8" w:rsidRDefault="00A57FD2" w:rsidP="00A57FD2">
            <w:pPr>
              <w:jc w:val="right"/>
              <w:rPr>
                <w:rFonts w:ascii="Arial" w:hAnsi="Arial" w:cs="Arial"/>
                <w:sz w:val="16"/>
                <w:szCs w:val="16"/>
                <w:lang w:eastAsia="es-AR"/>
              </w:rPr>
            </w:pPr>
            <w:r>
              <w:rPr>
                <w:rFonts w:ascii="Arial" w:hAnsi="Arial" w:cs="Arial"/>
                <w:sz w:val="16"/>
                <w:szCs w:val="16"/>
                <w:lang w:eastAsia="es-AR"/>
              </w:rPr>
              <w:t>-1.537</w:t>
            </w:r>
          </w:p>
        </w:tc>
      </w:tr>
      <w:tr w:rsidR="006D2337" w:rsidRPr="000A0696" w14:paraId="30FFB11E" w14:textId="77777777" w:rsidTr="00A57FD2">
        <w:trPr>
          <w:trHeight w:val="285"/>
        </w:trPr>
        <w:tc>
          <w:tcPr>
            <w:tcW w:w="4608" w:type="dxa"/>
            <w:tcBorders>
              <w:top w:val="nil"/>
              <w:left w:val="nil"/>
              <w:bottom w:val="nil"/>
              <w:right w:val="nil"/>
            </w:tcBorders>
            <w:shd w:val="clear" w:color="auto" w:fill="auto"/>
            <w:vAlign w:val="center"/>
            <w:hideMark/>
          </w:tcPr>
          <w:p w14:paraId="3561E0D7" w14:textId="77777777" w:rsidR="006D2337" w:rsidRPr="000A0696" w:rsidRDefault="006D2337" w:rsidP="00A57FD2">
            <w:pPr>
              <w:rPr>
                <w:rFonts w:ascii="Arial" w:hAnsi="Arial" w:cs="Arial"/>
                <w:sz w:val="16"/>
                <w:szCs w:val="16"/>
                <w:lang w:eastAsia="es-AR"/>
              </w:rPr>
            </w:pPr>
            <w:r w:rsidRPr="000A0696">
              <w:rPr>
                <w:rFonts w:ascii="Arial" w:hAnsi="Arial" w:cs="Arial"/>
                <w:sz w:val="16"/>
                <w:szCs w:val="16"/>
                <w:lang w:eastAsia="es-AR"/>
              </w:rPr>
              <w:t>Impuesto a las ganancias</w:t>
            </w:r>
          </w:p>
        </w:tc>
        <w:tc>
          <w:tcPr>
            <w:tcW w:w="1276" w:type="dxa"/>
            <w:tcBorders>
              <w:top w:val="nil"/>
              <w:left w:val="nil"/>
              <w:bottom w:val="nil"/>
              <w:right w:val="nil"/>
            </w:tcBorders>
            <w:shd w:val="clear" w:color="auto" w:fill="auto"/>
            <w:noWrap/>
            <w:vAlign w:val="center"/>
          </w:tcPr>
          <w:p w14:paraId="0C949D9A" w14:textId="5F4BC1B5" w:rsidR="006D2337" w:rsidRPr="00BF51C8" w:rsidRDefault="00A57FD2" w:rsidP="00BA28BF">
            <w:pPr>
              <w:jc w:val="right"/>
              <w:rPr>
                <w:rFonts w:ascii="Arial" w:hAnsi="Arial" w:cs="Arial"/>
                <w:sz w:val="16"/>
                <w:szCs w:val="16"/>
                <w:lang w:eastAsia="es-AR"/>
              </w:rPr>
            </w:pPr>
            <w:r>
              <w:rPr>
                <w:rFonts w:ascii="Arial" w:hAnsi="Arial" w:cs="Arial"/>
                <w:sz w:val="16"/>
                <w:szCs w:val="16"/>
                <w:lang w:eastAsia="es-AR"/>
              </w:rPr>
              <w:t>206</w:t>
            </w:r>
          </w:p>
        </w:tc>
        <w:tc>
          <w:tcPr>
            <w:tcW w:w="1275" w:type="dxa"/>
            <w:tcBorders>
              <w:top w:val="nil"/>
              <w:left w:val="nil"/>
              <w:bottom w:val="nil"/>
              <w:right w:val="nil"/>
            </w:tcBorders>
            <w:shd w:val="clear" w:color="auto" w:fill="auto"/>
            <w:noWrap/>
            <w:vAlign w:val="center"/>
          </w:tcPr>
          <w:p w14:paraId="045AF899" w14:textId="5FBA55E4" w:rsidR="006D2337" w:rsidRPr="00BF51C8" w:rsidRDefault="00A57FD2" w:rsidP="00BA28BF">
            <w:pPr>
              <w:jc w:val="right"/>
              <w:rPr>
                <w:rFonts w:ascii="Arial" w:hAnsi="Arial" w:cs="Arial"/>
                <w:sz w:val="16"/>
                <w:szCs w:val="16"/>
                <w:lang w:eastAsia="es-AR"/>
              </w:rPr>
            </w:pPr>
            <w:r>
              <w:rPr>
                <w:rFonts w:ascii="Arial" w:hAnsi="Arial" w:cs="Arial"/>
                <w:sz w:val="16"/>
                <w:szCs w:val="16"/>
                <w:lang w:eastAsia="es-AR"/>
              </w:rPr>
              <w:t>461</w:t>
            </w:r>
          </w:p>
        </w:tc>
      </w:tr>
      <w:tr w:rsidR="006D2337" w:rsidRPr="00BF51C8" w14:paraId="114ECCAE" w14:textId="77777777" w:rsidTr="00A57FD2">
        <w:trPr>
          <w:trHeight w:val="510"/>
        </w:trPr>
        <w:tc>
          <w:tcPr>
            <w:tcW w:w="4608" w:type="dxa"/>
            <w:tcBorders>
              <w:top w:val="single" w:sz="4" w:space="0" w:color="auto"/>
              <w:left w:val="nil"/>
              <w:bottom w:val="nil"/>
              <w:right w:val="nil"/>
            </w:tcBorders>
            <w:shd w:val="clear" w:color="auto" w:fill="auto"/>
            <w:vAlign w:val="center"/>
            <w:hideMark/>
          </w:tcPr>
          <w:p w14:paraId="5C3A93D4" w14:textId="591C1FD5" w:rsidR="006D2337" w:rsidRPr="000A0696" w:rsidRDefault="006D2337" w:rsidP="00A57FD2">
            <w:pPr>
              <w:rPr>
                <w:rFonts w:ascii="Arial" w:hAnsi="Arial" w:cs="Arial"/>
                <w:b/>
                <w:bCs/>
                <w:sz w:val="16"/>
                <w:szCs w:val="16"/>
                <w:lang w:val="es-ES_tradnl" w:eastAsia="es-AR"/>
              </w:rPr>
            </w:pPr>
            <w:r w:rsidRPr="000A0696">
              <w:rPr>
                <w:rFonts w:ascii="Arial" w:hAnsi="Arial" w:cs="Arial"/>
                <w:b/>
                <w:bCs/>
                <w:sz w:val="16"/>
                <w:szCs w:val="16"/>
                <w:lang w:eastAsia="es-AR"/>
              </w:rPr>
              <w:t xml:space="preserve">Total Otro Resultado Integral que no se reclasificará al resultado del </w:t>
            </w:r>
            <w:r>
              <w:rPr>
                <w:rFonts w:ascii="Arial" w:hAnsi="Arial" w:cs="Arial"/>
                <w:b/>
                <w:bCs/>
                <w:sz w:val="16"/>
                <w:szCs w:val="16"/>
                <w:lang w:eastAsia="es-AR"/>
              </w:rPr>
              <w:t>período</w:t>
            </w:r>
          </w:p>
        </w:tc>
        <w:tc>
          <w:tcPr>
            <w:tcW w:w="1276" w:type="dxa"/>
            <w:tcBorders>
              <w:top w:val="single" w:sz="4" w:space="0" w:color="auto"/>
              <w:left w:val="nil"/>
              <w:bottom w:val="nil"/>
              <w:right w:val="nil"/>
            </w:tcBorders>
            <w:shd w:val="clear" w:color="auto" w:fill="auto"/>
            <w:noWrap/>
            <w:vAlign w:val="center"/>
          </w:tcPr>
          <w:p w14:paraId="57563FD4" w14:textId="3A93785F"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-479</w:t>
            </w:r>
          </w:p>
        </w:tc>
        <w:tc>
          <w:tcPr>
            <w:tcW w:w="1275" w:type="dxa"/>
            <w:tcBorders>
              <w:top w:val="single" w:sz="4" w:space="0" w:color="auto"/>
              <w:left w:val="nil"/>
              <w:bottom w:val="nil"/>
              <w:right w:val="nil"/>
            </w:tcBorders>
            <w:shd w:val="clear" w:color="auto" w:fill="auto"/>
            <w:noWrap/>
            <w:vAlign w:val="center"/>
          </w:tcPr>
          <w:p w14:paraId="5D5E9A35" w14:textId="0898FCA9"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-1.076</w:t>
            </w:r>
          </w:p>
        </w:tc>
      </w:tr>
      <w:tr w:rsidR="006D2337" w:rsidRPr="000A0696" w14:paraId="727C9861" w14:textId="77777777" w:rsidTr="006D2337">
        <w:trPr>
          <w:trHeight w:val="80"/>
        </w:trPr>
        <w:tc>
          <w:tcPr>
            <w:tcW w:w="4608" w:type="dxa"/>
            <w:tcBorders>
              <w:top w:val="nil"/>
              <w:left w:val="nil"/>
              <w:bottom w:val="nil"/>
              <w:right w:val="nil"/>
            </w:tcBorders>
            <w:shd w:val="clear" w:color="auto" w:fill="auto"/>
            <w:vAlign w:val="bottom"/>
            <w:hideMark/>
          </w:tcPr>
          <w:p w14:paraId="170EF87E" w14:textId="77777777" w:rsidR="006D2337" w:rsidRPr="000A0696" w:rsidRDefault="006D2337" w:rsidP="00AC5BF7">
            <w:pPr>
              <w:rPr>
                <w:rFonts w:ascii="Arial" w:hAnsi="Arial" w:cs="Arial"/>
                <w:b/>
                <w:bCs/>
                <w:sz w:val="10"/>
                <w:szCs w:val="10"/>
                <w:lang w:eastAsia="es-AR"/>
              </w:rPr>
            </w:pPr>
          </w:p>
        </w:tc>
        <w:tc>
          <w:tcPr>
            <w:tcW w:w="1276" w:type="dxa"/>
            <w:tcBorders>
              <w:top w:val="nil"/>
              <w:left w:val="nil"/>
              <w:bottom w:val="nil"/>
              <w:right w:val="nil"/>
            </w:tcBorders>
            <w:shd w:val="clear" w:color="auto" w:fill="auto"/>
            <w:noWrap/>
            <w:vAlign w:val="center"/>
          </w:tcPr>
          <w:p w14:paraId="4160540B" w14:textId="4DA4D0A0" w:rsidR="006D2337" w:rsidRPr="00534414" w:rsidRDefault="006D2337" w:rsidP="00AC5BF7">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347B1FB8" w14:textId="6A088B4B" w:rsidR="006D2337" w:rsidRPr="00534414" w:rsidRDefault="006D2337" w:rsidP="00AC5BF7">
            <w:pPr>
              <w:jc w:val="right"/>
              <w:rPr>
                <w:rFonts w:ascii="Arial" w:hAnsi="Arial" w:cs="Arial"/>
                <w:sz w:val="16"/>
                <w:szCs w:val="16"/>
                <w:lang w:eastAsia="es-AR"/>
              </w:rPr>
            </w:pPr>
          </w:p>
        </w:tc>
      </w:tr>
      <w:tr w:rsidR="006D2337" w:rsidRPr="000A0696" w14:paraId="4EFCA786" w14:textId="77777777" w:rsidTr="006D2337">
        <w:trPr>
          <w:trHeight w:val="384"/>
        </w:trPr>
        <w:tc>
          <w:tcPr>
            <w:tcW w:w="4608" w:type="dxa"/>
            <w:tcBorders>
              <w:top w:val="nil"/>
              <w:left w:val="nil"/>
              <w:bottom w:val="single" w:sz="4" w:space="0" w:color="auto"/>
              <w:right w:val="nil"/>
            </w:tcBorders>
            <w:shd w:val="clear" w:color="auto" w:fill="auto"/>
            <w:vAlign w:val="bottom"/>
            <w:hideMark/>
          </w:tcPr>
          <w:p w14:paraId="28DEF711" w14:textId="77777777" w:rsidR="006D2337" w:rsidRPr="000A0696" w:rsidRDefault="006D2337" w:rsidP="00BA28BF">
            <w:pPr>
              <w:rPr>
                <w:rFonts w:ascii="Arial" w:hAnsi="Arial" w:cs="Arial"/>
                <w:b/>
                <w:bCs/>
                <w:sz w:val="16"/>
                <w:szCs w:val="16"/>
                <w:lang w:eastAsia="es-AR"/>
              </w:rPr>
            </w:pPr>
            <w:r w:rsidRPr="000A0696">
              <w:rPr>
                <w:rFonts w:ascii="Arial" w:hAnsi="Arial" w:cs="Arial"/>
                <w:b/>
                <w:bCs/>
                <w:sz w:val="16"/>
                <w:szCs w:val="16"/>
                <w:lang w:eastAsia="es-AR"/>
              </w:rPr>
              <w:t>Ganancias o pérdidas por instrumentos financieros a valor razonable con cambios en el ORI (Punto 4.1.2a de la NIIF 9)</w:t>
            </w:r>
          </w:p>
        </w:tc>
        <w:tc>
          <w:tcPr>
            <w:tcW w:w="1276" w:type="dxa"/>
            <w:tcBorders>
              <w:top w:val="nil"/>
              <w:left w:val="nil"/>
              <w:bottom w:val="single" w:sz="4" w:space="0" w:color="auto"/>
              <w:right w:val="nil"/>
            </w:tcBorders>
            <w:shd w:val="clear" w:color="auto" w:fill="auto"/>
            <w:noWrap/>
            <w:vAlign w:val="bottom"/>
          </w:tcPr>
          <w:p w14:paraId="32DCC1FF" w14:textId="15B52237"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-47.760</w:t>
            </w:r>
          </w:p>
        </w:tc>
        <w:tc>
          <w:tcPr>
            <w:tcW w:w="1275" w:type="dxa"/>
            <w:tcBorders>
              <w:top w:val="nil"/>
              <w:left w:val="nil"/>
              <w:bottom w:val="single" w:sz="4" w:space="0" w:color="auto"/>
              <w:right w:val="nil"/>
            </w:tcBorders>
            <w:shd w:val="clear" w:color="auto" w:fill="auto"/>
            <w:noWrap/>
            <w:vAlign w:val="bottom"/>
          </w:tcPr>
          <w:p w14:paraId="762D9D68" w14:textId="0E086316"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-934</w:t>
            </w:r>
          </w:p>
        </w:tc>
      </w:tr>
      <w:tr w:rsidR="006D2337" w:rsidRPr="000A0696" w14:paraId="622470A0" w14:textId="77777777" w:rsidTr="00A57FD2">
        <w:trPr>
          <w:trHeight w:val="510"/>
        </w:trPr>
        <w:tc>
          <w:tcPr>
            <w:tcW w:w="4608" w:type="dxa"/>
            <w:tcBorders>
              <w:top w:val="nil"/>
              <w:left w:val="nil"/>
              <w:bottom w:val="nil"/>
              <w:right w:val="nil"/>
            </w:tcBorders>
            <w:shd w:val="clear" w:color="auto" w:fill="auto"/>
            <w:vAlign w:val="center"/>
            <w:hideMark/>
          </w:tcPr>
          <w:p w14:paraId="4DB3AC8D" w14:textId="00E9D2C7" w:rsidR="006D2337" w:rsidRPr="000A0696" w:rsidRDefault="006D2337" w:rsidP="00A57FD2">
            <w:pPr>
              <w:rPr>
                <w:rFonts w:ascii="Arial" w:hAnsi="Arial" w:cs="Arial"/>
                <w:sz w:val="16"/>
                <w:szCs w:val="16"/>
                <w:lang w:eastAsia="es-AR"/>
              </w:rPr>
            </w:pPr>
            <w:r>
              <w:rPr>
                <w:rFonts w:ascii="Arial" w:hAnsi="Arial" w:cs="Arial"/>
                <w:sz w:val="16"/>
                <w:szCs w:val="16"/>
                <w:lang w:eastAsia="es-AR"/>
              </w:rPr>
              <w:t>Resultado del período</w:t>
            </w:r>
            <w:r w:rsidRPr="000A0696">
              <w:rPr>
                <w:rFonts w:ascii="Arial" w:hAnsi="Arial" w:cs="Arial"/>
                <w:sz w:val="16"/>
                <w:szCs w:val="16"/>
                <w:lang w:eastAsia="es-AR"/>
              </w:rPr>
              <w:t xml:space="preserve"> por instrumentos financieros a valor razonable con cambios en el ORI</w:t>
            </w:r>
          </w:p>
        </w:tc>
        <w:tc>
          <w:tcPr>
            <w:tcW w:w="1276" w:type="dxa"/>
            <w:tcBorders>
              <w:top w:val="nil"/>
              <w:left w:val="nil"/>
              <w:bottom w:val="nil"/>
              <w:right w:val="nil"/>
            </w:tcBorders>
            <w:shd w:val="clear" w:color="auto" w:fill="auto"/>
            <w:noWrap/>
            <w:vAlign w:val="center"/>
          </w:tcPr>
          <w:p w14:paraId="34F5B6B4" w14:textId="3AAEB391" w:rsidR="006D2337" w:rsidRPr="00BF51C8" w:rsidRDefault="00A57FD2" w:rsidP="00A57FD2">
            <w:pPr>
              <w:jc w:val="right"/>
              <w:rPr>
                <w:rFonts w:ascii="Arial" w:hAnsi="Arial" w:cs="Arial"/>
                <w:sz w:val="16"/>
                <w:szCs w:val="16"/>
                <w:lang w:eastAsia="es-AR"/>
              </w:rPr>
            </w:pPr>
            <w:r>
              <w:rPr>
                <w:rFonts w:ascii="Arial" w:hAnsi="Arial" w:cs="Arial"/>
                <w:sz w:val="16"/>
                <w:szCs w:val="16"/>
                <w:lang w:eastAsia="es-AR"/>
              </w:rPr>
              <w:t>-64.809</w:t>
            </w:r>
          </w:p>
        </w:tc>
        <w:tc>
          <w:tcPr>
            <w:tcW w:w="1275" w:type="dxa"/>
            <w:tcBorders>
              <w:top w:val="nil"/>
              <w:left w:val="nil"/>
              <w:bottom w:val="nil"/>
              <w:right w:val="nil"/>
            </w:tcBorders>
            <w:shd w:val="clear" w:color="auto" w:fill="auto"/>
            <w:noWrap/>
            <w:vAlign w:val="center"/>
          </w:tcPr>
          <w:p w14:paraId="25F5CF75" w14:textId="6F0C9E14" w:rsidR="006D2337" w:rsidRPr="00BF51C8" w:rsidRDefault="00A57FD2" w:rsidP="00A57FD2">
            <w:pPr>
              <w:jc w:val="right"/>
              <w:rPr>
                <w:rFonts w:ascii="Arial" w:hAnsi="Arial" w:cs="Arial"/>
                <w:sz w:val="16"/>
                <w:szCs w:val="16"/>
                <w:lang w:eastAsia="es-AR"/>
              </w:rPr>
            </w:pPr>
            <w:r>
              <w:rPr>
                <w:rFonts w:ascii="Arial" w:hAnsi="Arial" w:cs="Arial"/>
                <w:sz w:val="16"/>
                <w:szCs w:val="16"/>
                <w:lang w:eastAsia="es-AR"/>
              </w:rPr>
              <w:t>-675</w:t>
            </w:r>
          </w:p>
        </w:tc>
      </w:tr>
      <w:tr w:rsidR="006D2337" w:rsidRPr="000A0696" w14:paraId="4EFFC684" w14:textId="77777777" w:rsidTr="00A57FD2">
        <w:trPr>
          <w:trHeight w:val="285"/>
        </w:trPr>
        <w:tc>
          <w:tcPr>
            <w:tcW w:w="4608" w:type="dxa"/>
            <w:tcBorders>
              <w:top w:val="nil"/>
              <w:left w:val="nil"/>
              <w:bottom w:val="nil"/>
              <w:right w:val="nil"/>
            </w:tcBorders>
            <w:shd w:val="clear" w:color="auto" w:fill="auto"/>
            <w:vAlign w:val="center"/>
            <w:hideMark/>
          </w:tcPr>
          <w:p w14:paraId="0418C693" w14:textId="77777777" w:rsidR="006D2337" w:rsidRPr="000A0696" w:rsidRDefault="006D2337" w:rsidP="00A57FD2">
            <w:pPr>
              <w:rPr>
                <w:rFonts w:ascii="Arial" w:hAnsi="Arial" w:cs="Arial"/>
                <w:sz w:val="16"/>
                <w:szCs w:val="16"/>
                <w:lang w:eastAsia="es-AR"/>
              </w:rPr>
            </w:pPr>
            <w:r w:rsidRPr="000A0696">
              <w:rPr>
                <w:rFonts w:ascii="Arial" w:hAnsi="Arial" w:cs="Arial"/>
                <w:sz w:val="16"/>
                <w:szCs w:val="16"/>
                <w:lang w:eastAsia="es-AR"/>
              </w:rPr>
              <w:t>Impuesto a las ganancias</w:t>
            </w:r>
          </w:p>
        </w:tc>
        <w:tc>
          <w:tcPr>
            <w:tcW w:w="1276" w:type="dxa"/>
            <w:tcBorders>
              <w:top w:val="nil"/>
              <w:left w:val="nil"/>
              <w:bottom w:val="nil"/>
              <w:right w:val="nil"/>
            </w:tcBorders>
            <w:shd w:val="clear" w:color="auto" w:fill="auto"/>
            <w:noWrap/>
            <w:vAlign w:val="center"/>
          </w:tcPr>
          <w:p w14:paraId="59BBA574" w14:textId="16D8095A" w:rsidR="006D2337" w:rsidRPr="00BF51C8" w:rsidRDefault="00A57FD2" w:rsidP="00BA28BF">
            <w:pPr>
              <w:jc w:val="right"/>
              <w:rPr>
                <w:rFonts w:ascii="Arial" w:hAnsi="Arial" w:cs="Arial"/>
                <w:sz w:val="16"/>
                <w:szCs w:val="16"/>
                <w:lang w:eastAsia="es-AR"/>
              </w:rPr>
            </w:pPr>
            <w:r>
              <w:rPr>
                <w:rFonts w:ascii="Arial" w:hAnsi="Arial" w:cs="Arial"/>
                <w:sz w:val="16"/>
                <w:szCs w:val="16"/>
                <w:lang w:eastAsia="es-AR"/>
              </w:rPr>
              <w:t>17.049</w:t>
            </w:r>
          </w:p>
        </w:tc>
        <w:tc>
          <w:tcPr>
            <w:tcW w:w="1275" w:type="dxa"/>
            <w:tcBorders>
              <w:top w:val="nil"/>
              <w:left w:val="nil"/>
              <w:bottom w:val="nil"/>
              <w:right w:val="nil"/>
            </w:tcBorders>
            <w:shd w:val="clear" w:color="auto" w:fill="auto"/>
            <w:noWrap/>
            <w:vAlign w:val="center"/>
          </w:tcPr>
          <w:p w14:paraId="0B90D9CA" w14:textId="0BEA420E" w:rsidR="006D2337" w:rsidRPr="00BF51C8" w:rsidRDefault="00A57FD2" w:rsidP="00BA28BF">
            <w:pPr>
              <w:jc w:val="right"/>
              <w:rPr>
                <w:rFonts w:ascii="Arial" w:hAnsi="Arial" w:cs="Arial"/>
                <w:sz w:val="16"/>
                <w:szCs w:val="16"/>
                <w:lang w:eastAsia="es-AR"/>
              </w:rPr>
            </w:pPr>
            <w:r>
              <w:rPr>
                <w:rFonts w:ascii="Arial" w:hAnsi="Arial" w:cs="Arial"/>
                <w:sz w:val="16"/>
                <w:szCs w:val="16"/>
                <w:lang w:eastAsia="es-AR"/>
              </w:rPr>
              <w:t>-259</w:t>
            </w:r>
          </w:p>
        </w:tc>
      </w:tr>
      <w:tr w:rsidR="006D2337" w:rsidRPr="000A0696" w14:paraId="21B92BE2" w14:textId="77777777" w:rsidTr="006D2337">
        <w:trPr>
          <w:trHeight w:val="510"/>
        </w:trPr>
        <w:tc>
          <w:tcPr>
            <w:tcW w:w="4608" w:type="dxa"/>
            <w:tcBorders>
              <w:top w:val="single" w:sz="4" w:space="0" w:color="auto"/>
              <w:left w:val="nil"/>
              <w:bottom w:val="nil"/>
              <w:right w:val="nil"/>
            </w:tcBorders>
            <w:shd w:val="clear" w:color="auto" w:fill="auto"/>
            <w:vAlign w:val="bottom"/>
            <w:hideMark/>
          </w:tcPr>
          <w:p w14:paraId="456F8F45" w14:textId="3150870E" w:rsidR="006D2337" w:rsidRPr="000A0696" w:rsidRDefault="006D2337" w:rsidP="00BA28BF">
            <w:pPr>
              <w:rPr>
                <w:rFonts w:ascii="Arial" w:hAnsi="Arial" w:cs="Arial"/>
                <w:b/>
                <w:bCs/>
                <w:sz w:val="16"/>
                <w:szCs w:val="16"/>
                <w:lang w:eastAsia="es-AR"/>
              </w:rPr>
            </w:pPr>
            <w:r w:rsidRPr="000A0696">
              <w:rPr>
                <w:rFonts w:ascii="Arial" w:hAnsi="Arial" w:cs="Arial"/>
                <w:b/>
                <w:bCs/>
                <w:sz w:val="16"/>
                <w:szCs w:val="16"/>
                <w:lang w:eastAsia="es-AR"/>
              </w:rPr>
              <w:t>Total Otro Resultado Integral que se reclas</w:t>
            </w:r>
            <w:r>
              <w:rPr>
                <w:rFonts w:ascii="Arial" w:hAnsi="Arial" w:cs="Arial"/>
                <w:b/>
                <w:bCs/>
                <w:sz w:val="16"/>
                <w:szCs w:val="16"/>
                <w:lang w:eastAsia="es-AR"/>
              </w:rPr>
              <w:t>ificará al resultado del período</w:t>
            </w:r>
          </w:p>
        </w:tc>
        <w:tc>
          <w:tcPr>
            <w:tcW w:w="1276" w:type="dxa"/>
            <w:tcBorders>
              <w:top w:val="single" w:sz="4" w:space="0" w:color="auto"/>
              <w:left w:val="nil"/>
              <w:bottom w:val="nil"/>
              <w:right w:val="nil"/>
            </w:tcBorders>
            <w:shd w:val="clear" w:color="auto" w:fill="auto"/>
            <w:noWrap/>
            <w:vAlign w:val="center"/>
          </w:tcPr>
          <w:p w14:paraId="4AEC7125" w14:textId="0AE45B1F"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-47.760</w:t>
            </w:r>
          </w:p>
        </w:tc>
        <w:tc>
          <w:tcPr>
            <w:tcW w:w="1275" w:type="dxa"/>
            <w:tcBorders>
              <w:top w:val="single" w:sz="4" w:space="0" w:color="auto"/>
              <w:left w:val="nil"/>
              <w:bottom w:val="nil"/>
              <w:right w:val="nil"/>
            </w:tcBorders>
            <w:shd w:val="clear" w:color="auto" w:fill="auto"/>
            <w:noWrap/>
            <w:vAlign w:val="center"/>
          </w:tcPr>
          <w:p w14:paraId="5F6E3376" w14:textId="3DE9BBA9"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w:t>
            </w:r>
            <w:r w:rsidR="006958A1">
              <w:rPr>
                <w:rFonts w:ascii="Arial" w:hAnsi="Arial" w:cs="Arial"/>
                <w:b/>
                <w:bCs/>
                <w:sz w:val="16"/>
                <w:szCs w:val="16"/>
                <w:lang w:eastAsia="es-AR"/>
              </w:rPr>
              <w:t>9</w:t>
            </w:r>
            <w:r>
              <w:rPr>
                <w:rFonts w:ascii="Arial" w:hAnsi="Arial" w:cs="Arial"/>
                <w:b/>
                <w:bCs/>
                <w:sz w:val="16"/>
                <w:szCs w:val="16"/>
                <w:lang w:eastAsia="es-AR"/>
              </w:rPr>
              <w:t>34</w:t>
            </w:r>
          </w:p>
        </w:tc>
      </w:tr>
      <w:tr w:rsidR="006D2337" w:rsidRPr="007B44FD" w14:paraId="507D4D6A" w14:textId="77777777" w:rsidTr="006D2337">
        <w:trPr>
          <w:trHeight w:val="123"/>
        </w:trPr>
        <w:tc>
          <w:tcPr>
            <w:tcW w:w="4608" w:type="dxa"/>
            <w:tcBorders>
              <w:top w:val="nil"/>
              <w:left w:val="nil"/>
              <w:bottom w:val="nil"/>
              <w:right w:val="nil"/>
            </w:tcBorders>
            <w:shd w:val="clear" w:color="auto" w:fill="auto"/>
            <w:vAlign w:val="bottom"/>
            <w:hideMark/>
          </w:tcPr>
          <w:p w14:paraId="57D533CC" w14:textId="77777777" w:rsidR="006D2337" w:rsidRPr="007B44FD" w:rsidRDefault="006D2337" w:rsidP="00596B51">
            <w:pPr>
              <w:rPr>
                <w:rFonts w:ascii="Arial" w:hAnsi="Arial" w:cs="Arial"/>
                <w:b/>
                <w:bCs/>
                <w:sz w:val="10"/>
                <w:szCs w:val="10"/>
                <w:lang w:eastAsia="es-AR"/>
              </w:rPr>
            </w:pPr>
          </w:p>
        </w:tc>
        <w:tc>
          <w:tcPr>
            <w:tcW w:w="1276" w:type="dxa"/>
            <w:tcBorders>
              <w:top w:val="nil"/>
              <w:left w:val="nil"/>
              <w:bottom w:val="nil"/>
              <w:right w:val="nil"/>
            </w:tcBorders>
            <w:shd w:val="clear" w:color="auto" w:fill="auto"/>
            <w:noWrap/>
            <w:vAlign w:val="center"/>
          </w:tcPr>
          <w:p w14:paraId="23184736" w14:textId="1D5C4C21" w:rsidR="006D2337" w:rsidRPr="00BF51C8" w:rsidRDefault="006D2337" w:rsidP="00596B51">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7F2BDAFE" w14:textId="68DD1F7B" w:rsidR="006D2337" w:rsidRPr="00BF51C8" w:rsidRDefault="006D2337" w:rsidP="00596B51">
            <w:pPr>
              <w:jc w:val="right"/>
              <w:rPr>
                <w:rFonts w:ascii="Arial" w:hAnsi="Arial" w:cs="Arial"/>
                <w:sz w:val="16"/>
                <w:szCs w:val="16"/>
                <w:lang w:eastAsia="es-AR"/>
              </w:rPr>
            </w:pPr>
          </w:p>
        </w:tc>
      </w:tr>
      <w:tr w:rsidR="006D2337" w:rsidRPr="000A0696" w14:paraId="2CBFA658" w14:textId="77777777" w:rsidTr="006D2337">
        <w:trPr>
          <w:trHeight w:val="319"/>
        </w:trPr>
        <w:tc>
          <w:tcPr>
            <w:tcW w:w="4608" w:type="dxa"/>
            <w:tcBorders>
              <w:top w:val="single" w:sz="4" w:space="0" w:color="auto"/>
              <w:left w:val="nil"/>
              <w:bottom w:val="single" w:sz="4" w:space="0" w:color="auto"/>
              <w:right w:val="nil"/>
            </w:tcBorders>
            <w:shd w:val="clear" w:color="auto" w:fill="auto"/>
            <w:vAlign w:val="center"/>
            <w:hideMark/>
          </w:tcPr>
          <w:p w14:paraId="720FC12F" w14:textId="77777777" w:rsidR="006D2337" w:rsidRPr="000A0696" w:rsidRDefault="006D2337" w:rsidP="00BA28BF">
            <w:pPr>
              <w:rPr>
                <w:rFonts w:ascii="Arial" w:hAnsi="Arial" w:cs="Arial"/>
                <w:b/>
                <w:bCs/>
                <w:sz w:val="16"/>
                <w:szCs w:val="16"/>
                <w:lang w:eastAsia="es-AR"/>
              </w:rPr>
            </w:pPr>
            <w:r w:rsidRPr="000A0696">
              <w:rPr>
                <w:rFonts w:ascii="Arial" w:hAnsi="Arial" w:cs="Arial"/>
                <w:b/>
                <w:bCs/>
                <w:sz w:val="16"/>
                <w:szCs w:val="16"/>
                <w:lang w:eastAsia="es-AR"/>
              </w:rPr>
              <w:t>Total Otro Resultado Integral</w:t>
            </w:r>
          </w:p>
        </w:tc>
        <w:tc>
          <w:tcPr>
            <w:tcW w:w="1276" w:type="dxa"/>
            <w:tcBorders>
              <w:top w:val="single" w:sz="4" w:space="0" w:color="auto"/>
              <w:left w:val="nil"/>
              <w:bottom w:val="single" w:sz="4" w:space="0" w:color="auto"/>
              <w:right w:val="nil"/>
            </w:tcBorders>
            <w:shd w:val="clear" w:color="auto" w:fill="auto"/>
            <w:noWrap/>
            <w:vAlign w:val="center"/>
          </w:tcPr>
          <w:p w14:paraId="039DCE61" w14:textId="43AB437E"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-48.239</w:t>
            </w:r>
          </w:p>
        </w:tc>
        <w:tc>
          <w:tcPr>
            <w:tcW w:w="1275" w:type="dxa"/>
            <w:tcBorders>
              <w:top w:val="single" w:sz="4" w:space="0" w:color="auto"/>
              <w:left w:val="nil"/>
              <w:bottom w:val="single" w:sz="4" w:space="0" w:color="auto"/>
              <w:right w:val="nil"/>
            </w:tcBorders>
            <w:shd w:val="clear" w:color="auto" w:fill="auto"/>
            <w:noWrap/>
            <w:vAlign w:val="center"/>
          </w:tcPr>
          <w:p w14:paraId="09AF7F9F" w14:textId="0712E571"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-2.010</w:t>
            </w:r>
          </w:p>
        </w:tc>
      </w:tr>
      <w:tr w:rsidR="006D2337" w:rsidRPr="000A0696" w14:paraId="3DC9414D" w14:textId="77777777" w:rsidTr="006D2337">
        <w:trPr>
          <w:trHeight w:val="319"/>
        </w:trPr>
        <w:tc>
          <w:tcPr>
            <w:tcW w:w="4608" w:type="dxa"/>
            <w:tcBorders>
              <w:top w:val="nil"/>
              <w:left w:val="nil"/>
              <w:bottom w:val="nil"/>
              <w:right w:val="nil"/>
            </w:tcBorders>
            <w:shd w:val="clear" w:color="auto" w:fill="auto"/>
            <w:vAlign w:val="center"/>
            <w:hideMark/>
          </w:tcPr>
          <w:p w14:paraId="4F5D3E8E" w14:textId="77777777" w:rsidR="006D2337" w:rsidRPr="000A0696" w:rsidRDefault="006D2337" w:rsidP="00BA28BF">
            <w:pPr>
              <w:rPr>
                <w:rFonts w:ascii="Arial" w:hAnsi="Arial" w:cs="Arial"/>
                <w:b/>
                <w:bCs/>
                <w:sz w:val="16"/>
                <w:szCs w:val="16"/>
                <w:lang w:eastAsia="es-AR"/>
              </w:rPr>
            </w:pPr>
          </w:p>
        </w:tc>
        <w:tc>
          <w:tcPr>
            <w:tcW w:w="1276" w:type="dxa"/>
            <w:tcBorders>
              <w:top w:val="nil"/>
              <w:left w:val="nil"/>
              <w:bottom w:val="nil"/>
              <w:right w:val="nil"/>
            </w:tcBorders>
            <w:shd w:val="clear" w:color="auto" w:fill="auto"/>
            <w:noWrap/>
            <w:vAlign w:val="center"/>
          </w:tcPr>
          <w:p w14:paraId="0BC11650" w14:textId="37A2FDDA" w:rsidR="006D2337" w:rsidRPr="00BF51C8" w:rsidRDefault="006D2337" w:rsidP="00BA28BF">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center"/>
          </w:tcPr>
          <w:p w14:paraId="5259100A" w14:textId="58BCB570" w:rsidR="006D2337" w:rsidRPr="00BF51C8" w:rsidRDefault="006D2337" w:rsidP="00BA28BF">
            <w:pPr>
              <w:jc w:val="right"/>
              <w:rPr>
                <w:rFonts w:ascii="Arial" w:hAnsi="Arial" w:cs="Arial"/>
                <w:sz w:val="16"/>
                <w:szCs w:val="16"/>
                <w:lang w:eastAsia="es-AR"/>
              </w:rPr>
            </w:pPr>
          </w:p>
        </w:tc>
      </w:tr>
      <w:tr w:rsidR="006D2337" w:rsidRPr="000A0696" w14:paraId="60D69BBF" w14:textId="77777777" w:rsidTr="006D2337">
        <w:trPr>
          <w:trHeight w:val="253"/>
        </w:trPr>
        <w:tc>
          <w:tcPr>
            <w:tcW w:w="4608" w:type="dxa"/>
            <w:tcBorders>
              <w:top w:val="single" w:sz="4" w:space="0" w:color="auto"/>
              <w:left w:val="nil"/>
              <w:bottom w:val="single" w:sz="4" w:space="0" w:color="auto"/>
              <w:right w:val="nil"/>
            </w:tcBorders>
            <w:shd w:val="clear" w:color="auto" w:fill="auto"/>
            <w:vAlign w:val="center"/>
            <w:hideMark/>
          </w:tcPr>
          <w:p w14:paraId="6CDAEF80" w14:textId="77777777" w:rsidR="006D2337" w:rsidRPr="000A0696" w:rsidRDefault="006D2337" w:rsidP="00BA28BF">
            <w:pPr>
              <w:rPr>
                <w:rFonts w:ascii="Arial" w:hAnsi="Arial" w:cs="Arial"/>
                <w:b/>
                <w:bCs/>
                <w:sz w:val="16"/>
                <w:szCs w:val="16"/>
                <w:lang w:eastAsia="es-AR"/>
              </w:rPr>
            </w:pPr>
            <w:r w:rsidRPr="000A0696">
              <w:rPr>
                <w:rFonts w:ascii="Arial" w:hAnsi="Arial" w:cs="Arial"/>
                <w:b/>
                <w:bCs/>
                <w:sz w:val="16"/>
                <w:szCs w:val="16"/>
                <w:lang w:eastAsia="es-AR"/>
              </w:rPr>
              <w:t>RESULTADO INTEGRAL TOTAL</w:t>
            </w:r>
          </w:p>
        </w:tc>
        <w:tc>
          <w:tcPr>
            <w:tcW w:w="1276" w:type="dxa"/>
            <w:tcBorders>
              <w:top w:val="single" w:sz="4" w:space="0" w:color="auto"/>
              <w:left w:val="nil"/>
              <w:bottom w:val="single" w:sz="4" w:space="0" w:color="auto"/>
              <w:right w:val="nil"/>
            </w:tcBorders>
            <w:shd w:val="clear" w:color="auto" w:fill="auto"/>
            <w:noWrap/>
            <w:vAlign w:val="center"/>
          </w:tcPr>
          <w:p w14:paraId="00AD40B3" w14:textId="38031DEE"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324.901</w:t>
            </w:r>
          </w:p>
        </w:tc>
        <w:tc>
          <w:tcPr>
            <w:tcW w:w="1275" w:type="dxa"/>
            <w:tcBorders>
              <w:top w:val="single" w:sz="4" w:space="0" w:color="auto"/>
              <w:left w:val="nil"/>
              <w:bottom w:val="single" w:sz="4" w:space="0" w:color="auto"/>
              <w:right w:val="nil"/>
            </w:tcBorders>
            <w:shd w:val="clear" w:color="auto" w:fill="auto"/>
            <w:noWrap/>
            <w:vAlign w:val="center"/>
          </w:tcPr>
          <w:p w14:paraId="051A6663" w14:textId="4E30C341" w:rsidR="006D2337" w:rsidRPr="00BF51C8" w:rsidRDefault="00A57FD2" w:rsidP="00BA28BF">
            <w:pPr>
              <w:jc w:val="right"/>
              <w:rPr>
                <w:rFonts w:ascii="Arial" w:hAnsi="Arial" w:cs="Arial"/>
                <w:b/>
                <w:bCs/>
                <w:sz w:val="16"/>
                <w:szCs w:val="16"/>
                <w:lang w:eastAsia="es-AR"/>
              </w:rPr>
            </w:pPr>
            <w:r>
              <w:rPr>
                <w:rFonts w:ascii="Arial" w:hAnsi="Arial" w:cs="Arial"/>
                <w:b/>
                <w:bCs/>
                <w:sz w:val="16"/>
                <w:szCs w:val="16"/>
                <w:lang w:eastAsia="es-AR"/>
              </w:rPr>
              <w:t>-1.330.504</w:t>
            </w:r>
          </w:p>
        </w:tc>
      </w:tr>
    </w:tbl>
    <w:p w14:paraId="2AC4FBA4" w14:textId="77777777" w:rsidR="00343F2B" w:rsidRPr="00701F32" w:rsidRDefault="00343F2B" w:rsidP="005C2DE7">
      <w:pPr>
        <w:tabs>
          <w:tab w:val="left" w:pos="1365"/>
        </w:tabs>
        <w:rPr>
          <w:lang w:val="es-ES_tradnl"/>
        </w:rPr>
      </w:pPr>
    </w:p>
    <w:p w14:paraId="61F6845D" w14:textId="77777777" w:rsidR="00F55C3D" w:rsidRPr="00701F32" w:rsidRDefault="00F55C3D" w:rsidP="005C2DE7">
      <w:pPr>
        <w:tabs>
          <w:tab w:val="left" w:pos="1365"/>
        </w:tabs>
        <w:rPr>
          <w:lang w:val="es-ES_tradnl"/>
        </w:rPr>
      </w:pPr>
    </w:p>
    <w:p w14:paraId="4940D00E" w14:textId="7D5B802C" w:rsidR="00F55C3D" w:rsidRPr="00701F32" w:rsidRDefault="00F55C3D" w:rsidP="005C2DE7">
      <w:pPr>
        <w:tabs>
          <w:tab w:val="left" w:pos="1365"/>
        </w:tabs>
        <w:rPr>
          <w:lang w:val="es-ES_tradnl"/>
        </w:rPr>
        <w:sectPr w:rsidR="00F55C3D" w:rsidRPr="00701F32" w:rsidSect="007045C3">
          <w:headerReference w:type="default" r:id="rId36"/>
          <w:pgSz w:w="11907" w:h="16839" w:code="9"/>
          <w:pgMar w:top="1418" w:right="1701" w:bottom="1418" w:left="1701" w:header="567" w:footer="0" w:gutter="0"/>
          <w:paperSrc w:first="256" w:other="256"/>
          <w:cols w:space="720"/>
          <w:docGrid w:linePitch="326"/>
        </w:sectPr>
      </w:pPr>
    </w:p>
    <w:p w14:paraId="0A56B6FB" w14:textId="378BD4F7" w:rsidR="006C5A8B" w:rsidRDefault="006C5A8B" w:rsidP="005A1F48">
      <w:pPr>
        <w:tabs>
          <w:tab w:val="left" w:pos="1365"/>
        </w:tabs>
        <w:rPr>
          <w:sz w:val="10"/>
          <w:szCs w:val="10"/>
          <w:lang w:val="es-ES_tradnl"/>
        </w:rPr>
      </w:pPr>
    </w:p>
    <w:tbl>
      <w:tblPr>
        <w:tblW w:w="11264" w:type="dxa"/>
        <w:jc w:val="center"/>
        <w:tblLayout w:type="fixed"/>
        <w:tblCellMar>
          <w:left w:w="70" w:type="dxa"/>
          <w:right w:w="70" w:type="dxa"/>
        </w:tblCellMar>
        <w:tblLook w:val="04A0" w:firstRow="1" w:lastRow="0" w:firstColumn="1" w:lastColumn="0" w:noHBand="0" w:noVBand="1"/>
      </w:tblPr>
      <w:tblGrid>
        <w:gridCol w:w="2401"/>
        <w:gridCol w:w="567"/>
        <w:gridCol w:w="992"/>
        <w:gridCol w:w="1134"/>
        <w:gridCol w:w="992"/>
        <w:gridCol w:w="993"/>
        <w:gridCol w:w="709"/>
        <w:gridCol w:w="783"/>
        <w:gridCol w:w="851"/>
        <w:gridCol w:w="992"/>
        <w:gridCol w:w="850"/>
      </w:tblGrid>
      <w:tr w:rsidR="00927F7D" w:rsidRPr="00E81272" w14:paraId="5938FBA8" w14:textId="77777777" w:rsidTr="00637A70">
        <w:trPr>
          <w:trHeight w:val="510"/>
          <w:jc w:val="center"/>
        </w:trPr>
        <w:tc>
          <w:tcPr>
            <w:tcW w:w="240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632D7655" w14:textId="77777777" w:rsidR="00927F7D" w:rsidRPr="00E81272" w:rsidRDefault="00927F7D" w:rsidP="00436FB1">
            <w:pPr>
              <w:jc w:val="center"/>
              <w:rPr>
                <w:rFonts w:ascii="Arial" w:hAnsi="Arial" w:cs="Arial"/>
                <w:b/>
                <w:bCs/>
                <w:sz w:val="14"/>
                <w:szCs w:val="14"/>
                <w:lang w:eastAsia="es-AR"/>
              </w:rPr>
            </w:pPr>
            <w:r w:rsidRPr="00066653">
              <w:rPr>
                <w:rFonts w:ascii="Arial" w:hAnsi="Arial" w:cs="Arial"/>
                <w:b/>
                <w:bCs/>
                <w:sz w:val="14"/>
                <w:szCs w:val="14"/>
                <w:lang w:eastAsia="es-AR"/>
              </w:rPr>
              <w:t>Movimientos</w:t>
            </w:r>
          </w:p>
        </w:tc>
        <w:tc>
          <w:tcPr>
            <w:tcW w:w="56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6221916A"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Nota</w:t>
            </w:r>
          </w:p>
        </w:tc>
        <w:tc>
          <w:tcPr>
            <w:tcW w:w="992"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3CD476FC"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Capital Social</w:t>
            </w:r>
          </w:p>
        </w:tc>
        <w:tc>
          <w:tcPr>
            <w:tcW w:w="1134" w:type="dxa"/>
            <w:tcBorders>
              <w:top w:val="single" w:sz="4" w:space="0" w:color="363639"/>
              <w:left w:val="single" w:sz="4" w:space="0" w:color="363639"/>
              <w:bottom w:val="single" w:sz="4" w:space="0" w:color="363639"/>
              <w:right w:val="single" w:sz="4" w:space="0" w:color="auto"/>
            </w:tcBorders>
            <w:shd w:val="clear" w:color="auto" w:fill="BFBFBF" w:themeFill="background1" w:themeFillShade="BF"/>
            <w:vAlign w:val="center"/>
            <w:hideMark/>
          </w:tcPr>
          <w:p w14:paraId="3DE57578"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Aportes no capitalizados</w:t>
            </w:r>
          </w:p>
        </w:tc>
        <w:tc>
          <w:tcPr>
            <w:tcW w:w="992" w:type="dxa"/>
            <w:vMerge w:val="restart"/>
            <w:tcBorders>
              <w:top w:val="single" w:sz="4" w:space="0" w:color="363639"/>
              <w:left w:val="single" w:sz="4" w:space="0" w:color="auto"/>
              <w:right w:val="single" w:sz="4" w:space="0" w:color="auto"/>
            </w:tcBorders>
            <w:shd w:val="clear" w:color="auto" w:fill="BFBFBF" w:themeFill="background1" w:themeFillShade="BF"/>
            <w:vAlign w:val="center"/>
          </w:tcPr>
          <w:p w14:paraId="26D840DB" w14:textId="4AD10F7F" w:rsidR="00927F7D" w:rsidRPr="00E81272" w:rsidRDefault="00927F7D" w:rsidP="00586A3A">
            <w:pPr>
              <w:jc w:val="center"/>
              <w:rPr>
                <w:rFonts w:ascii="Arial" w:hAnsi="Arial" w:cs="Arial"/>
                <w:b/>
                <w:bCs/>
                <w:sz w:val="14"/>
                <w:szCs w:val="14"/>
                <w:lang w:eastAsia="es-AR"/>
              </w:rPr>
            </w:pPr>
            <w:r>
              <w:rPr>
                <w:rFonts w:ascii="Arial" w:hAnsi="Arial" w:cs="Arial"/>
                <w:b/>
                <w:bCs/>
                <w:sz w:val="14"/>
                <w:szCs w:val="14"/>
                <w:lang w:eastAsia="es-AR"/>
              </w:rPr>
              <w:t xml:space="preserve">Ajuste </w:t>
            </w:r>
            <w:r w:rsidR="00DB541A">
              <w:rPr>
                <w:rFonts w:ascii="Arial" w:hAnsi="Arial" w:cs="Arial"/>
                <w:b/>
                <w:bCs/>
                <w:sz w:val="14"/>
                <w:szCs w:val="14"/>
                <w:lang w:eastAsia="es-AR"/>
              </w:rPr>
              <w:t>de capital</w:t>
            </w:r>
          </w:p>
        </w:tc>
        <w:tc>
          <w:tcPr>
            <w:tcW w:w="1702" w:type="dxa"/>
            <w:gridSpan w:val="2"/>
            <w:tcBorders>
              <w:top w:val="single" w:sz="4" w:space="0" w:color="363639"/>
              <w:left w:val="single" w:sz="4" w:space="0" w:color="auto"/>
              <w:bottom w:val="single" w:sz="4" w:space="0" w:color="363639"/>
              <w:right w:val="single" w:sz="4" w:space="0" w:color="363639"/>
            </w:tcBorders>
            <w:shd w:val="clear" w:color="auto" w:fill="BFBFBF" w:themeFill="background1" w:themeFillShade="BF"/>
            <w:vAlign w:val="center"/>
          </w:tcPr>
          <w:p w14:paraId="513CD73E"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Otros Resultados Integrales</w:t>
            </w:r>
          </w:p>
        </w:tc>
        <w:tc>
          <w:tcPr>
            <w:tcW w:w="1634"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261A3C84"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Reserva de utilidades</w:t>
            </w:r>
          </w:p>
        </w:tc>
        <w:tc>
          <w:tcPr>
            <w:tcW w:w="992"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5790695F"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Resultados No asignados</w:t>
            </w:r>
          </w:p>
        </w:tc>
        <w:tc>
          <w:tcPr>
            <w:tcW w:w="850"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5A273E0C" w14:textId="7EF9B125"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Total PN al 30/0</w:t>
            </w:r>
            <w:r>
              <w:rPr>
                <w:rFonts w:ascii="Arial" w:hAnsi="Arial" w:cs="Arial"/>
                <w:b/>
                <w:bCs/>
                <w:sz w:val="14"/>
                <w:szCs w:val="14"/>
                <w:lang w:eastAsia="es-AR"/>
              </w:rPr>
              <w:t>3</w:t>
            </w:r>
            <w:r w:rsidRPr="00E81272">
              <w:rPr>
                <w:rFonts w:ascii="Arial" w:hAnsi="Arial" w:cs="Arial"/>
                <w:b/>
                <w:bCs/>
                <w:sz w:val="14"/>
                <w:szCs w:val="14"/>
                <w:lang w:eastAsia="es-AR"/>
              </w:rPr>
              <w:t>/20</w:t>
            </w:r>
            <w:r>
              <w:rPr>
                <w:rFonts w:ascii="Arial" w:hAnsi="Arial" w:cs="Arial"/>
                <w:b/>
                <w:bCs/>
                <w:sz w:val="14"/>
                <w:szCs w:val="14"/>
                <w:lang w:eastAsia="es-AR"/>
              </w:rPr>
              <w:t>20</w:t>
            </w:r>
          </w:p>
        </w:tc>
      </w:tr>
      <w:tr w:rsidR="00927F7D" w:rsidRPr="00E81272" w14:paraId="58E4558B" w14:textId="77777777" w:rsidTr="00637A70">
        <w:trPr>
          <w:trHeight w:val="1307"/>
          <w:jc w:val="center"/>
        </w:trPr>
        <w:tc>
          <w:tcPr>
            <w:tcW w:w="2401" w:type="dxa"/>
            <w:vMerge/>
            <w:tcBorders>
              <w:top w:val="single" w:sz="4" w:space="0" w:color="363639"/>
              <w:left w:val="single" w:sz="4" w:space="0" w:color="363639"/>
              <w:bottom w:val="single" w:sz="4" w:space="0" w:color="363639"/>
              <w:right w:val="single" w:sz="4" w:space="0" w:color="363639"/>
            </w:tcBorders>
            <w:vAlign w:val="center"/>
            <w:hideMark/>
          </w:tcPr>
          <w:p w14:paraId="7A1B4274" w14:textId="77777777" w:rsidR="00927F7D" w:rsidRPr="00E81272" w:rsidRDefault="00927F7D" w:rsidP="00436FB1">
            <w:pPr>
              <w:rPr>
                <w:rFonts w:ascii="Arial" w:hAnsi="Arial" w:cs="Arial"/>
                <w:b/>
                <w:bCs/>
                <w:sz w:val="14"/>
                <w:szCs w:val="14"/>
                <w:lang w:eastAsia="es-AR"/>
              </w:rPr>
            </w:pPr>
          </w:p>
        </w:tc>
        <w:tc>
          <w:tcPr>
            <w:tcW w:w="567" w:type="dxa"/>
            <w:vMerge/>
            <w:tcBorders>
              <w:top w:val="single" w:sz="4" w:space="0" w:color="363639"/>
              <w:left w:val="single" w:sz="4" w:space="0" w:color="363639"/>
              <w:bottom w:val="single" w:sz="4" w:space="0" w:color="363639"/>
              <w:right w:val="single" w:sz="4" w:space="0" w:color="363639"/>
            </w:tcBorders>
            <w:vAlign w:val="center"/>
            <w:hideMark/>
          </w:tcPr>
          <w:p w14:paraId="02D167F6" w14:textId="77777777" w:rsidR="00927F7D" w:rsidRPr="00E81272" w:rsidRDefault="00927F7D" w:rsidP="00436FB1">
            <w:pPr>
              <w:rPr>
                <w:rFonts w:ascii="Arial" w:hAnsi="Arial" w:cs="Arial"/>
                <w:b/>
                <w:bCs/>
                <w:sz w:val="14"/>
                <w:szCs w:val="14"/>
                <w:lang w:eastAsia="es-AR"/>
              </w:rPr>
            </w:pPr>
          </w:p>
        </w:tc>
        <w:tc>
          <w:tcPr>
            <w:tcW w:w="992" w:type="dxa"/>
            <w:tcBorders>
              <w:top w:val="nil"/>
              <w:left w:val="nil"/>
              <w:bottom w:val="single" w:sz="4" w:space="0" w:color="363639"/>
              <w:right w:val="single" w:sz="4" w:space="0" w:color="363639"/>
            </w:tcBorders>
            <w:shd w:val="clear" w:color="auto" w:fill="BFBFBF" w:themeFill="background1" w:themeFillShade="BF"/>
            <w:vAlign w:val="center"/>
            <w:hideMark/>
          </w:tcPr>
          <w:p w14:paraId="368DF9BF"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En</w:t>
            </w:r>
            <w:r w:rsidRPr="00E81272">
              <w:rPr>
                <w:rFonts w:ascii="Arial" w:hAnsi="Arial" w:cs="Arial"/>
                <w:b/>
                <w:bCs/>
                <w:sz w:val="14"/>
                <w:szCs w:val="14"/>
                <w:lang w:eastAsia="es-AR"/>
              </w:rPr>
              <w:br/>
              <w:t xml:space="preserve"> circulación</w:t>
            </w:r>
          </w:p>
        </w:tc>
        <w:tc>
          <w:tcPr>
            <w:tcW w:w="1134" w:type="dxa"/>
            <w:tcBorders>
              <w:top w:val="nil"/>
              <w:left w:val="nil"/>
              <w:bottom w:val="single" w:sz="4" w:space="0" w:color="363639"/>
              <w:right w:val="single" w:sz="4" w:space="0" w:color="auto"/>
            </w:tcBorders>
            <w:shd w:val="clear" w:color="auto" w:fill="BFBFBF" w:themeFill="background1" w:themeFillShade="BF"/>
          </w:tcPr>
          <w:p w14:paraId="7FB2E2C3"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Primas de emisión de acciones</w:t>
            </w:r>
          </w:p>
        </w:tc>
        <w:tc>
          <w:tcPr>
            <w:tcW w:w="992" w:type="dxa"/>
            <w:vMerge/>
            <w:tcBorders>
              <w:left w:val="single" w:sz="4" w:space="0" w:color="auto"/>
              <w:bottom w:val="single" w:sz="4" w:space="0" w:color="363639"/>
              <w:right w:val="single" w:sz="4" w:space="0" w:color="auto"/>
            </w:tcBorders>
            <w:shd w:val="clear" w:color="auto" w:fill="BFBFBF" w:themeFill="background1" w:themeFillShade="BF"/>
          </w:tcPr>
          <w:p w14:paraId="0CB24389" w14:textId="77777777" w:rsidR="00927F7D" w:rsidRPr="00E81272" w:rsidRDefault="00927F7D" w:rsidP="00436FB1">
            <w:pPr>
              <w:jc w:val="center"/>
              <w:rPr>
                <w:rFonts w:ascii="Arial" w:hAnsi="Arial" w:cs="Arial"/>
                <w:b/>
                <w:bCs/>
                <w:sz w:val="14"/>
                <w:szCs w:val="14"/>
                <w:lang w:eastAsia="es-AR"/>
              </w:rPr>
            </w:pPr>
          </w:p>
        </w:tc>
        <w:tc>
          <w:tcPr>
            <w:tcW w:w="993" w:type="dxa"/>
            <w:tcBorders>
              <w:top w:val="nil"/>
              <w:left w:val="single" w:sz="4" w:space="0" w:color="auto"/>
              <w:bottom w:val="single" w:sz="4" w:space="0" w:color="363639"/>
              <w:right w:val="single" w:sz="4" w:space="0" w:color="363639"/>
            </w:tcBorders>
            <w:shd w:val="clear" w:color="auto" w:fill="BFBFBF" w:themeFill="background1" w:themeFillShade="BF"/>
            <w:vAlign w:val="center"/>
            <w:hideMark/>
          </w:tcPr>
          <w:p w14:paraId="2DD59971"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 xml:space="preserve">Revaluac de PPE </w:t>
            </w:r>
          </w:p>
        </w:tc>
        <w:tc>
          <w:tcPr>
            <w:tcW w:w="709" w:type="dxa"/>
            <w:tcBorders>
              <w:top w:val="nil"/>
              <w:left w:val="nil"/>
              <w:bottom w:val="single" w:sz="4" w:space="0" w:color="363639"/>
              <w:right w:val="single" w:sz="4" w:space="0" w:color="363639"/>
            </w:tcBorders>
            <w:shd w:val="clear" w:color="auto" w:fill="BFBFBF" w:themeFill="background1" w:themeFillShade="BF"/>
            <w:vAlign w:val="center"/>
            <w:hideMark/>
          </w:tcPr>
          <w:p w14:paraId="766C4024"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Gcias. o pérdidas acum por Inst.</w:t>
            </w:r>
            <w:r w:rsidRPr="00E81272">
              <w:rPr>
                <w:rFonts w:ascii="Arial" w:hAnsi="Arial" w:cs="Arial"/>
                <w:b/>
                <w:bCs/>
                <w:sz w:val="14"/>
                <w:szCs w:val="14"/>
                <w:lang w:eastAsia="es-AR"/>
              </w:rPr>
              <w:br/>
              <w:t>Fcieros. a VRCORI</w:t>
            </w:r>
          </w:p>
        </w:tc>
        <w:tc>
          <w:tcPr>
            <w:tcW w:w="783" w:type="dxa"/>
            <w:tcBorders>
              <w:top w:val="nil"/>
              <w:left w:val="nil"/>
              <w:bottom w:val="single" w:sz="4" w:space="0" w:color="363639"/>
            </w:tcBorders>
            <w:shd w:val="clear" w:color="auto" w:fill="BFBFBF" w:themeFill="background1" w:themeFillShade="BF"/>
            <w:vAlign w:val="center"/>
            <w:hideMark/>
          </w:tcPr>
          <w:p w14:paraId="31E598D8"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Legal</w:t>
            </w:r>
          </w:p>
        </w:tc>
        <w:tc>
          <w:tcPr>
            <w:tcW w:w="851" w:type="dxa"/>
            <w:tcBorders>
              <w:top w:val="nil"/>
              <w:left w:val="nil"/>
              <w:bottom w:val="single" w:sz="4" w:space="0" w:color="363639"/>
              <w:right w:val="single" w:sz="4" w:space="0" w:color="363639"/>
            </w:tcBorders>
            <w:shd w:val="clear" w:color="auto" w:fill="BFBFBF" w:themeFill="background1" w:themeFillShade="BF"/>
            <w:vAlign w:val="center"/>
            <w:hideMark/>
          </w:tcPr>
          <w:p w14:paraId="5025625F" w14:textId="77777777" w:rsidR="00927F7D" w:rsidRPr="00E81272" w:rsidRDefault="00927F7D" w:rsidP="00436FB1">
            <w:pPr>
              <w:jc w:val="center"/>
              <w:rPr>
                <w:rFonts w:ascii="Arial" w:hAnsi="Arial" w:cs="Arial"/>
                <w:b/>
                <w:bCs/>
                <w:sz w:val="14"/>
                <w:szCs w:val="14"/>
                <w:lang w:eastAsia="es-AR"/>
              </w:rPr>
            </w:pPr>
            <w:r w:rsidRPr="00E81272">
              <w:rPr>
                <w:rFonts w:ascii="Arial" w:hAnsi="Arial" w:cs="Arial"/>
                <w:b/>
                <w:bCs/>
                <w:sz w:val="14"/>
                <w:szCs w:val="14"/>
                <w:lang w:eastAsia="es-AR"/>
              </w:rPr>
              <w:t>Otras</w:t>
            </w:r>
          </w:p>
        </w:tc>
        <w:tc>
          <w:tcPr>
            <w:tcW w:w="992" w:type="dxa"/>
            <w:vMerge/>
            <w:tcBorders>
              <w:left w:val="single" w:sz="4" w:space="0" w:color="363639"/>
              <w:bottom w:val="single" w:sz="4" w:space="0" w:color="363639"/>
              <w:right w:val="single" w:sz="4" w:space="0" w:color="363639"/>
            </w:tcBorders>
            <w:vAlign w:val="center"/>
            <w:hideMark/>
          </w:tcPr>
          <w:p w14:paraId="453BB06D" w14:textId="77777777" w:rsidR="00927F7D" w:rsidRPr="00E81272" w:rsidRDefault="00927F7D" w:rsidP="00436FB1">
            <w:pPr>
              <w:jc w:val="center"/>
              <w:rPr>
                <w:rFonts w:ascii="Arial" w:hAnsi="Arial" w:cs="Arial"/>
                <w:b/>
                <w:bCs/>
                <w:sz w:val="14"/>
                <w:szCs w:val="14"/>
                <w:lang w:eastAsia="es-AR"/>
              </w:rPr>
            </w:pPr>
          </w:p>
        </w:tc>
        <w:tc>
          <w:tcPr>
            <w:tcW w:w="850" w:type="dxa"/>
            <w:vMerge/>
            <w:tcBorders>
              <w:left w:val="single" w:sz="4" w:space="0" w:color="363639"/>
              <w:bottom w:val="single" w:sz="4" w:space="0" w:color="363639"/>
              <w:right w:val="single" w:sz="4" w:space="0" w:color="363639"/>
            </w:tcBorders>
            <w:vAlign w:val="center"/>
            <w:hideMark/>
          </w:tcPr>
          <w:p w14:paraId="1DEC1E3D" w14:textId="77777777" w:rsidR="00927F7D" w:rsidRPr="00E81272" w:rsidRDefault="00927F7D" w:rsidP="00436FB1">
            <w:pPr>
              <w:rPr>
                <w:rFonts w:ascii="Arial" w:hAnsi="Arial" w:cs="Arial"/>
                <w:b/>
                <w:bCs/>
                <w:sz w:val="14"/>
                <w:szCs w:val="14"/>
                <w:lang w:eastAsia="es-AR"/>
              </w:rPr>
            </w:pPr>
          </w:p>
        </w:tc>
      </w:tr>
      <w:tr w:rsidR="00927F7D" w:rsidRPr="00B26A01" w14:paraId="231223D1" w14:textId="77777777" w:rsidTr="00637A70">
        <w:trPr>
          <w:trHeight w:val="89"/>
          <w:jc w:val="center"/>
        </w:trPr>
        <w:tc>
          <w:tcPr>
            <w:tcW w:w="2401" w:type="dxa"/>
            <w:tcBorders>
              <w:top w:val="nil"/>
              <w:left w:val="nil"/>
              <w:bottom w:val="nil"/>
              <w:right w:val="nil"/>
            </w:tcBorders>
            <w:shd w:val="clear" w:color="auto" w:fill="auto"/>
            <w:noWrap/>
            <w:vAlign w:val="center"/>
            <w:hideMark/>
          </w:tcPr>
          <w:p w14:paraId="4AB2933B" w14:textId="77777777" w:rsidR="00927F7D" w:rsidRPr="00B26A01" w:rsidRDefault="00927F7D" w:rsidP="00436FB1">
            <w:pPr>
              <w:jc w:val="center"/>
              <w:rPr>
                <w:rFonts w:ascii="Arial" w:hAnsi="Arial" w:cs="Arial"/>
                <w:b/>
                <w:bCs/>
                <w:sz w:val="10"/>
                <w:szCs w:val="10"/>
                <w:lang w:eastAsia="es-AR"/>
              </w:rPr>
            </w:pPr>
          </w:p>
        </w:tc>
        <w:tc>
          <w:tcPr>
            <w:tcW w:w="567" w:type="dxa"/>
            <w:tcBorders>
              <w:top w:val="nil"/>
              <w:left w:val="nil"/>
              <w:bottom w:val="nil"/>
              <w:right w:val="nil"/>
            </w:tcBorders>
            <w:shd w:val="clear" w:color="auto" w:fill="auto"/>
            <w:noWrap/>
            <w:vAlign w:val="center"/>
            <w:hideMark/>
          </w:tcPr>
          <w:p w14:paraId="3FC72130" w14:textId="77777777" w:rsidR="00927F7D" w:rsidRPr="00B26A01" w:rsidRDefault="00927F7D" w:rsidP="00436FB1">
            <w:pPr>
              <w:jc w:val="center"/>
              <w:rPr>
                <w:sz w:val="10"/>
                <w:szCs w:val="10"/>
                <w:lang w:eastAsia="es-AR"/>
              </w:rPr>
            </w:pPr>
          </w:p>
        </w:tc>
        <w:tc>
          <w:tcPr>
            <w:tcW w:w="992" w:type="dxa"/>
            <w:tcBorders>
              <w:top w:val="nil"/>
              <w:left w:val="nil"/>
              <w:bottom w:val="nil"/>
              <w:right w:val="nil"/>
            </w:tcBorders>
            <w:shd w:val="clear" w:color="auto" w:fill="auto"/>
            <w:vAlign w:val="center"/>
            <w:hideMark/>
          </w:tcPr>
          <w:p w14:paraId="555117B6" w14:textId="77777777" w:rsidR="00927F7D" w:rsidRPr="00B26A01" w:rsidRDefault="00927F7D" w:rsidP="00436FB1">
            <w:pPr>
              <w:rPr>
                <w:sz w:val="10"/>
                <w:szCs w:val="10"/>
                <w:lang w:eastAsia="es-AR"/>
              </w:rPr>
            </w:pPr>
          </w:p>
        </w:tc>
        <w:tc>
          <w:tcPr>
            <w:tcW w:w="1134" w:type="dxa"/>
            <w:tcBorders>
              <w:top w:val="nil"/>
              <w:left w:val="nil"/>
              <w:bottom w:val="nil"/>
              <w:right w:val="nil"/>
            </w:tcBorders>
          </w:tcPr>
          <w:p w14:paraId="230782D3" w14:textId="77777777" w:rsidR="00927F7D" w:rsidRPr="00B26A01" w:rsidRDefault="00927F7D" w:rsidP="00436FB1">
            <w:pPr>
              <w:jc w:val="center"/>
              <w:rPr>
                <w:sz w:val="10"/>
                <w:szCs w:val="10"/>
                <w:lang w:eastAsia="es-AR"/>
              </w:rPr>
            </w:pPr>
          </w:p>
        </w:tc>
        <w:tc>
          <w:tcPr>
            <w:tcW w:w="992" w:type="dxa"/>
            <w:tcBorders>
              <w:top w:val="nil"/>
              <w:left w:val="nil"/>
              <w:bottom w:val="nil"/>
              <w:right w:val="nil"/>
            </w:tcBorders>
          </w:tcPr>
          <w:p w14:paraId="7232AD18" w14:textId="77777777" w:rsidR="00927F7D" w:rsidRPr="00B26A01" w:rsidRDefault="00927F7D" w:rsidP="00436FB1">
            <w:pPr>
              <w:jc w:val="center"/>
              <w:rPr>
                <w:sz w:val="10"/>
                <w:szCs w:val="10"/>
                <w:lang w:eastAsia="es-AR"/>
              </w:rPr>
            </w:pPr>
          </w:p>
        </w:tc>
        <w:tc>
          <w:tcPr>
            <w:tcW w:w="993" w:type="dxa"/>
            <w:tcBorders>
              <w:top w:val="nil"/>
              <w:left w:val="nil"/>
              <w:bottom w:val="nil"/>
              <w:right w:val="nil"/>
            </w:tcBorders>
            <w:shd w:val="clear" w:color="auto" w:fill="auto"/>
            <w:vAlign w:val="center"/>
            <w:hideMark/>
          </w:tcPr>
          <w:p w14:paraId="1D2766C2" w14:textId="77777777" w:rsidR="00927F7D" w:rsidRPr="00B26A01" w:rsidRDefault="00927F7D" w:rsidP="00436FB1">
            <w:pPr>
              <w:jc w:val="center"/>
              <w:rPr>
                <w:sz w:val="10"/>
                <w:szCs w:val="10"/>
                <w:lang w:eastAsia="es-AR"/>
              </w:rPr>
            </w:pPr>
          </w:p>
        </w:tc>
        <w:tc>
          <w:tcPr>
            <w:tcW w:w="709" w:type="dxa"/>
            <w:tcBorders>
              <w:top w:val="nil"/>
              <w:left w:val="nil"/>
              <w:bottom w:val="nil"/>
              <w:right w:val="nil"/>
            </w:tcBorders>
            <w:shd w:val="clear" w:color="auto" w:fill="auto"/>
            <w:vAlign w:val="center"/>
            <w:hideMark/>
          </w:tcPr>
          <w:p w14:paraId="0B9DEFD4" w14:textId="77777777" w:rsidR="00927F7D" w:rsidRPr="00B26A01" w:rsidRDefault="00927F7D" w:rsidP="00436FB1">
            <w:pPr>
              <w:jc w:val="center"/>
              <w:rPr>
                <w:sz w:val="10"/>
                <w:szCs w:val="10"/>
                <w:lang w:eastAsia="es-AR"/>
              </w:rPr>
            </w:pPr>
          </w:p>
        </w:tc>
        <w:tc>
          <w:tcPr>
            <w:tcW w:w="783" w:type="dxa"/>
            <w:tcBorders>
              <w:top w:val="nil"/>
              <w:left w:val="nil"/>
              <w:bottom w:val="nil"/>
              <w:right w:val="nil"/>
            </w:tcBorders>
            <w:shd w:val="clear" w:color="auto" w:fill="auto"/>
            <w:vAlign w:val="center"/>
            <w:hideMark/>
          </w:tcPr>
          <w:p w14:paraId="45065934" w14:textId="77777777" w:rsidR="00927F7D" w:rsidRPr="00B26A01" w:rsidRDefault="00927F7D" w:rsidP="00436FB1">
            <w:pPr>
              <w:jc w:val="center"/>
              <w:rPr>
                <w:sz w:val="10"/>
                <w:szCs w:val="10"/>
                <w:lang w:eastAsia="es-AR"/>
              </w:rPr>
            </w:pPr>
          </w:p>
        </w:tc>
        <w:tc>
          <w:tcPr>
            <w:tcW w:w="851" w:type="dxa"/>
            <w:tcBorders>
              <w:top w:val="nil"/>
              <w:left w:val="nil"/>
              <w:bottom w:val="nil"/>
              <w:right w:val="nil"/>
            </w:tcBorders>
            <w:shd w:val="clear" w:color="auto" w:fill="auto"/>
            <w:vAlign w:val="center"/>
            <w:hideMark/>
          </w:tcPr>
          <w:p w14:paraId="1F98FAC8" w14:textId="77777777" w:rsidR="00927F7D" w:rsidRPr="00B26A01" w:rsidRDefault="00927F7D" w:rsidP="00436FB1">
            <w:pPr>
              <w:jc w:val="center"/>
              <w:rPr>
                <w:sz w:val="10"/>
                <w:szCs w:val="10"/>
                <w:lang w:eastAsia="es-AR"/>
              </w:rPr>
            </w:pPr>
          </w:p>
        </w:tc>
        <w:tc>
          <w:tcPr>
            <w:tcW w:w="992" w:type="dxa"/>
            <w:tcBorders>
              <w:top w:val="nil"/>
              <w:left w:val="nil"/>
              <w:bottom w:val="nil"/>
              <w:right w:val="nil"/>
            </w:tcBorders>
            <w:shd w:val="clear" w:color="auto" w:fill="auto"/>
            <w:noWrap/>
            <w:vAlign w:val="bottom"/>
            <w:hideMark/>
          </w:tcPr>
          <w:p w14:paraId="4AD98ACB" w14:textId="77777777" w:rsidR="00927F7D" w:rsidRPr="00B26A01" w:rsidRDefault="00927F7D" w:rsidP="00436FB1">
            <w:pPr>
              <w:jc w:val="center"/>
              <w:rPr>
                <w:sz w:val="10"/>
                <w:szCs w:val="10"/>
                <w:lang w:eastAsia="es-AR"/>
              </w:rPr>
            </w:pPr>
          </w:p>
        </w:tc>
        <w:tc>
          <w:tcPr>
            <w:tcW w:w="850" w:type="dxa"/>
            <w:tcBorders>
              <w:top w:val="nil"/>
              <w:left w:val="nil"/>
              <w:bottom w:val="nil"/>
              <w:right w:val="nil"/>
            </w:tcBorders>
            <w:shd w:val="clear" w:color="auto" w:fill="auto"/>
            <w:noWrap/>
            <w:vAlign w:val="center"/>
            <w:hideMark/>
          </w:tcPr>
          <w:p w14:paraId="16AE7A2C" w14:textId="77777777" w:rsidR="00927F7D" w:rsidRPr="00B26A01" w:rsidRDefault="00927F7D" w:rsidP="00436FB1">
            <w:pPr>
              <w:jc w:val="center"/>
              <w:rPr>
                <w:sz w:val="10"/>
                <w:szCs w:val="10"/>
                <w:lang w:eastAsia="es-AR"/>
              </w:rPr>
            </w:pPr>
          </w:p>
        </w:tc>
      </w:tr>
      <w:tr w:rsidR="00927F7D" w:rsidRPr="00E81272" w14:paraId="5DA29E7F" w14:textId="77777777" w:rsidTr="00637A70">
        <w:trPr>
          <w:trHeight w:val="241"/>
          <w:jc w:val="center"/>
        </w:trPr>
        <w:tc>
          <w:tcPr>
            <w:tcW w:w="2401" w:type="dxa"/>
            <w:tcBorders>
              <w:top w:val="nil"/>
              <w:left w:val="nil"/>
              <w:bottom w:val="nil"/>
              <w:right w:val="nil"/>
            </w:tcBorders>
            <w:shd w:val="clear" w:color="auto" w:fill="auto"/>
            <w:hideMark/>
          </w:tcPr>
          <w:p w14:paraId="09F4DDAC" w14:textId="539EEB86" w:rsidR="00927F7D" w:rsidRPr="00E81272" w:rsidRDefault="00927F7D" w:rsidP="00436FB1">
            <w:pPr>
              <w:rPr>
                <w:rFonts w:ascii="Arial" w:hAnsi="Arial" w:cs="Arial"/>
                <w:b/>
                <w:bCs/>
                <w:sz w:val="14"/>
                <w:szCs w:val="14"/>
                <w:lang w:eastAsia="es-AR"/>
              </w:rPr>
            </w:pPr>
            <w:r w:rsidRPr="00E81272">
              <w:rPr>
                <w:rFonts w:ascii="Arial" w:hAnsi="Arial" w:cs="Arial"/>
                <w:b/>
                <w:bCs/>
                <w:sz w:val="14"/>
                <w:szCs w:val="14"/>
                <w:lang w:eastAsia="es-AR"/>
              </w:rPr>
              <w:t xml:space="preserve">Saldos al comienzo del </w:t>
            </w:r>
            <w:r w:rsidR="00637A70">
              <w:rPr>
                <w:rFonts w:ascii="Arial" w:hAnsi="Arial" w:cs="Arial"/>
                <w:b/>
                <w:bCs/>
                <w:sz w:val="14"/>
                <w:szCs w:val="14"/>
                <w:lang w:eastAsia="es-AR"/>
              </w:rPr>
              <w:t>ejercicio</w:t>
            </w:r>
            <w:r w:rsidR="003C381B">
              <w:rPr>
                <w:rFonts w:ascii="Arial" w:hAnsi="Arial" w:cs="Arial"/>
                <w:b/>
                <w:bCs/>
                <w:sz w:val="14"/>
                <w:szCs w:val="14"/>
                <w:lang w:eastAsia="es-AR"/>
              </w:rPr>
              <w:t xml:space="preserve"> ree</w:t>
            </w:r>
            <w:r w:rsidR="00637A70">
              <w:rPr>
                <w:rFonts w:ascii="Arial" w:hAnsi="Arial" w:cs="Arial"/>
                <w:b/>
                <w:bCs/>
                <w:sz w:val="14"/>
                <w:szCs w:val="14"/>
                <w:lang w:eastAsia="es-AR"/>
              </w:rPr>
              <w:t>xp</w:t>
            </w:r>
            <w:r w:rsidR="003C381B">
              <w:rPr>
                <w:rFonts w:ascii="Arial" w:hAnsi="Arial" w:cs="Arial"/>
                <w:b/>
                <w:bCs/>
                <w:sz w:val="14"/>
                <w:szCs w:val="14"/>
                <w:lang w:eastAsia="es-AR"/>
              </w:rPr>
              <w:t>resados</w:t>
            </w:r>
          </w:p>
        </w:tc>
        <w:tc>
          <w:tcPr>
            <w:tcW w:w="567" w:type="dxa"/>
            <w:tcBorders>
              <w:top w:val="nil"/>
              <w:left w:val="nil"/>
              <w:bottom w:val="nil"/>
              <w:right w:val="nil"/>
            </w:tcBorders>
            <w:shd w:val="clear" w:color="auto" w:fill="auto"/>
            <w:noWrap/>
            <w:hideMark/>
          </w:tcPr>
          <w:p w14:paraId="11E8D3AC" w14:textId="77777777" w:rsidR="00927F7D" w:rsidRPr="00E81272" w:rsidRDefault="00927F7D" w:rsidP="00436FB1">
            <w:pPr>
              <w:rPr>
                <w:rFonts w:ascii="Arial" w:hAnsi="Arial" w:cs="Arial"/>
                <w:b/>
                <w:bCs/>
                <w:sz w:val="14"/>
                <w:szCs w:val="14"/>
                <w:lang w:eastAsia="es-AR"/>
              </w:rPr>
            </w:pPr>
          </w:p>
        </w:tc>
        <w:tc>
          <w:tcPr>
            <w:tcW w:w="992" w:type="dxa"/>
            <w:tcBorders>
              <w:top w:val="nil"/>
              <w:left w:val="nil"/>
              <w:bottom w:val="nil"/>
              <w:right w:val="nil"/>
            </w:tcBorders>
            <w:shd w:val="clear" w:color="auto" w:fill="auto"/>
            <w:noWrap/>
            <w:vAlign w:val="bottom"/>
            <w:hideMark/>
          </w:tcPr>
          <w:p w14:paraId="2C0D2C33" w14:textId="2946033E"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829</w:t>
            </w:r>
            <w:r w:rsidRPr="00E81272">
              <w:rPr>
                <w:rFonts w:ascii="Arial" w:hAnsi="Arial" w:cs="Arial"/>
                <w:sz w:val="14"/>
                <w:szCs w:val="14"/>
                <w:lang w:eastAsia="es-AR"/>
              </w:rPr>
              <w:t>.</w:t>
            </w:r>
            <w:r>
              <w:rPr>
                <w:rFonts w:ascii="Arial" w:hAnsi="Arial" w:cs="Arial"/>
                <w:sz w:val="14"/>
                <w:szCs w:val="14"/>
                <w:lang w:eastAsia="es-AR"/>
              </w:rPr>
              <w:t>564</w:t>
            </w:r>
          </w:p>
        </w:tc>
        <w:tc>
          <w:tcPr>
            <w:tcW w:w="1134" w:type="dxa"/>
            <w:tcBorders>
              <w:top w:val="nil"/>
              <w:left w:val="nil"/>
              <w:bottom w:val="nil"/>
              <w:right w:val="nil"/>
            </w:tcBorders>
            <w:vAlign w:val="bottom"/>
          </w:tcPr>
          <w:p w14:paraId="10657BA5" w14:textId="3B7EF046"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6</w:t>
            </w:r>
            <w:r w:rsidRPr="00E81272">
              <w:rPr>
                <w:rFonts w:ascii="Arial" w:hAnsi="Arial" w:cs="Arial"/>
                <w:sz w:val="14"/>
                <w:szCs w:val="14"/>
                <w:lang w:eastAsia="es-AR"/>
              </w:rPr>
              <w:t>.</w:t>
            </w:r>
            <w:r>
              <w:rPr>
                <w:rFonts w:ascii="Arial" w:hAnsi="Arial" w:cs="Arial"/>
                <w:sz w:val="14"/>
                <w:szCs w:val="14"/>
                <w:lang w:eastAsia="es-AR"/>
              </w:rPr>
              <w:t>898</w:t>
            </w:r>
            <w:r w:rsidRPr="00E81272">
              <w:rPr>
                <w:rFonts w:ascii="Arial" w:hAnsi="Arial" w:cs="Arial"/>
                <w:sz w:val="14"/>
                <w:szCs w:val="14"/>
                <w:lang w:eastAsia="es-AR"/>
              </w:rPr>
              <w:t>.</w:t>
            </w:r>
            <w:r>
              <w:rPr>
                <w:rFonts w:ascii="Arial" w:hAnsi="Arial" w:cs="Arial"/>
                <w:sz w:val="14"/>
                <w:szCs w:val="14"/>
                <w:lang w:eastAsia="es-AR"/>
              </w:rPr>
              <w:t>635</w:t>
            </w:r>
          </w:p>
        </w:tc>
        <w:tc>
          <w:tcPr>
            <w:tcW w:w="992" w:type="dxa"/>
            <w:tcBorders>
              <w:top w:val="nil"/>
              <w:left w:val="nil"/>
              <w:bottom w:val="nil"/>
              <w:right w:val="nil"/>
            </w:tcBorders>
            <w:vAlign w:val="bottom"/>
          </w:tcPr>
          <w:p w14:paraId="204517A0" w14:textId="3514DD07" w:rsidR="00927F7D" w:rsidRPr="00E81272" w:rsidRDefault="00927F7D" w:rsidP="00927F7D">
            <w:pPr>
              <w:jc w:val="right"/>
              <w:rPr>
                <w:rFonts w:ascii="Arial" w:hAnsi="Arial" w:cs="Arial"/>
                <w:sz w:val="14"/>
                <w:szCs w:val="14"/>
                <w:lang w:eastAsia="es-AR"/>
              </w:rPr>
            </w:pPr>
            <w:r>
              <w:rPr>
                <w:rFonts w:ascii="Arial" w:hAnsi="Arial" w:cs="Arial"/>
                <w:sz w:val="14"/>
                <w:szCs w:val="14"/>
                <w:lang w:eastAsia="es-AR"/>
              </w:rPr>
              <w:t>16.376.393</w:t>
            </w:r>
          </w:p>
        </w:tc>
        <w:tc>
          <w:tcPr>
            <w:tcW w:w="993" w:type="dxa"/>
            <w:tcBorders>
              <w:top w:val="nil"/>
              <w:left w:val="nil"/>
              <w:bottom w:val="nil"/>
              <w:right w:val="nil"/>
            </w:tcBorders>
            <w:shd w:val="clear" w:color="auto" w:fill="auto"/>
            <w:noWrap/>
            <w:vAlign w:val="bottom"/>
            <w:hideMark/>
          </w:tcPr>
          <w:p w14:paraId="15A80ED3" w14:textId="73AED89C"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w:t>
            </w:r>
          </w:p>
        </w:tc>
        <w:tc>
          <w:tcPr>
            <w:tcW w:w="709" w:type="dxa"/>
            <w:tcBorders>
              <w:top w:val="nil"/>
              <w:left w:val="nil"/>
              <w:bottom w:val="nil"/>
              <w:right w:val="nil"/>
            </w:tcBorders>
            <w:shd w:val="clear" w:color="auto" w:fill="auto"/>
            <w:noWrap/>
            <w:vAlign w:val="bottom"/>
            <w:hideMark/>
          </w:tcPr>
          <w:p w14:paraId="6B4D62E1" w14:textId="7B959953"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5.887</w:t>
            </w:r>
          </w:p>
        </w:tc>
        <w:tc>
          <w:tcPr>
            <w:tcW w:w="783" w:type="dxa"/>
            <w:tcBorders>
              <w:top w:val="nil"/>
              <w:left w:val="nil"/>
              <w:bottom w:val="nil"/>
              <w:right w:val="nil"/>
            </w:tcBorders>
            <w:shd w:val="clear" w:color="auto" w:fill="auto"/>
            <w:noWrap/>
            <w:vAlign w:val="bottom"/>
            <w:hideMark/>
          </w:tcPr>
          <w:p w14:paraId="12D754B7" w14:textId="216E0314"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1.841.138</w:t>
            </w:r>
          </w:p>
        </w:tc>
        <w:tc>
          <w:tcPr>
            <w:tcW w:w="851" w:type="dxa"/>
            <w:tcBorders>
              <w:top w:val="nil"/>
              <w:left w:val="nil"/>
              <w:bottom w:val="nil"/>
              <w:right w:val="nil"/>
            </w:tcBorders>
            <w:shd w:val="clear" w:color="auto" w:fill="auto"/>
            <w:noWrap/>
            <w:vAlign w:val="bottom"/>
            <w:hideMark/>
          </w:tcPr>
          <w:p w14:paraId="69D9B76F" w14:textId="59A97282"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7</w:t>
            </w:r>
            <w:r w:rsidRPr="00E81272">
              <w:rPr>
                <w:rFonts w:ascii="Arial" w:hAnsi="Arial" w:cs="Arial"/>
                <w:sz w:val="14"/>
                <w:szCs w:val="14"/>
                <w:lang w:eastAsia="es-AR"/>
              </w:rPr>
              <w:t>.</w:t>
            </w:r>
            <w:r>
              <w:rPr>
                <w:rFonts w:ascii="Arial" w:hAnsi="Arial" w:cs="Arial"/>
                <w:sz w:val="14"/>
                <w:szCs w:val="14"/>
                <w:lang w:eastAsia="es-AR"/>
              </w:rPr>
              <w:t>018</w:t>
            </w:r>
            <w:r w:rsidRPr="00E81272">
              <w:rPr>
                <w:rFonts w:ascii="Arial" w:hAnsi="Arial" w:cs="Arial"/>
                <w:sz w:val="14"/>
                <w:szCs w:val="14"/>
                <w:lang w:eastAsia="es-AR"/>
              </w:rPr>
              <w:t>.</w:t>
            </w:r>
            <w:r>
              <w:rPr>
                <w:rFonts w:ascii="Arial" w:hAnsi="Arial" w:cs="Arial"/>
                <w:sz w:val="14"/>
                <w:szCs w:val="14"/>
                <w:lang w:eastAsia="es-AR"/>
              </w:rPr>
              <w:t>821</w:t>
            </w:r>
          </w:p>
        </w:tc>
        <w:tc>
          <w:tcPr>
            <w:tcW w:w="992" w:type="dxa"/>
            <w:tcBorders>
              <w:top w:val="nil"/>
              <w:left w:val="nil"/>
              <w:bottom w:val="nil"/>
              <w:right w:val="nil"/>
            </w:tcBorders>
            <w:shd w:val="clear" w:color="auto" w:fill="auto"/>
            <w:noWrap/>
            <w:vAlign w:val="bottom"/>
            <w:hideMark/>
          </w:tcPr>
          <w:p w14:paraId="605F1E0D" w14:textId="514C5174" w:rsidR="00927F7D" w:rsidRPr="00E81272" w:rsidRDefault="00927F7D" w:rsidP="00436FB1">
            <w:pPr>
              <w:jc w:val="right"/>
              <w:rPr>
                <w:rFonts w:ascii="Arial" w:hAnsi="Arial" w:cs="Arial"/>
                <w:sz w:val="14"/>
                <w:szCs w:val="14"/>
                <w:lang w:eastAsia="es-AR"/>
              </w:rPr>
            </w:pPr>
            <w:r w:rsidRPr="00996159">
              <w:rPr>
                <w:rFonts w:ascii="Arial" w:hAnsi="Arial" w:cs="Arial"/>
                <w:sz w:val="14"/>
                <w:szCs w:val="14"/>
                <w:lang w:eastAsia="es-AR"/>
              </w:rPr>
              <w:t>-12.676.6</w:t>
            </w:r>
            <w:r w:rsidR="00996159" w:rsidRPr="00996159">
              <w:rPr>
                <w:rFonts w:ascii="Arial" w:hAnsi="Arial" w:cs="Arial"/>
                <w:sz w:val="14"/>
                <w:szCs w:val="14"/>
                <w:lang w:eastAsia="es-AR"/>
              </w:rPr>
              <w:t>19</w:t>
            </w:r>
          </w:p>
        </w:tc>
        <w:tc>
          <w:tcPr>
            <w:tcW w:w="850" w:type="dxa"/>
            <w:tcBorders>
              <w:top w:val="nil"/>
              <w:left w:val="nil"/>
              <w:bottom w:val="nil"/>
              <w:right w:val="nil"/>
            </w:tcBorders>
            <w:shd w:val="clear" w:color="auto" w:fill="auto"/>
            <w:noWrap/>
            <w:vAlign w:val="bottom"/>
            <w:hideMark/>
          </w:tcPr>
          <w:p w14:paraId="3C10B4CF" w14:textId="77DDB291"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20</w:t>
            </w:r>
            <w:r w:rsidRPr="00E81272">
              <w:rPr>
                <w:rFonts w:ascii="Arial" w:hAnsi="Arial" w:cs="Arial"/>
                <w:sz w:val="14"/>
                <w:szCs w:val="14"/>
                <w:lang w:eastAsia="es-AR"/>
              </w:rPr>
              <w:t>.</w:t>
            </w:r>
            <w:r>
              <w:rPr>
                <w:rFonts w:ascii="Arial" w:hAnsi="Arial" w:cs="Arial"/>
                <w:sz w:val="14"/>
                <w:szCs w:val="14"/>
                <w:lang w:eastAsia="es-AR"/>
              </w:rPr>
              <w:t>293</w:t>
            </w:r>
            <w:r w:rsidRPr="00E81272">
              <w:rPr>
                <w:rFonts w:ascii="Arial" w:hAnsi="Arial" w:cs="Arial"/>
                <w:sz w:val="14"/>
                <w:szCs w:val="14"/>
                <w:lang w:eastAsia="es-AR"/>
              </w:rPr>
              <w:t>.</w:t>
            </w:r>
            <w:r>
              <w:rPr>
                <w:rFonts w:ascii="Arial" w:hAnsi="Arial" w:cs="Arial"/>
                <w:sz w:val="14"/>
                <w:szCs w:val="14"/>
                <w:lang w:eastAsia="es-AR"/>
              </w:rPr>
              <w:t>81</w:t>
            </w:r>
            <w:r w:rsidR="00996159">
              <w:rPr>
                <w:rFonts w:ascii="Arial" w:hAnsi="Arial" w:cs="Arial"/>
                <w:sz w:val="14"/>
                <w:szCs w:val="14"/>
                <w:lang w:eastAsia="es-AR"/>
              </w:rPr>
              <w:t>9</w:t>
            </w:r>
          </w:p>
        </w:tc>
      </w:tr>
      <w:tr w:rsidR="00927F7D" w:rsidRPr="00E81272" w14:paraId="543B31E2" w14:textId="77777777" w:rsidTr="00637A70">
        <w:trPr>
          <w:trHeight w:val="106"/>
          <w:jc w:val="center"/>
        </w:trPr>
        <w:tc>
          <w:tcPr>
            <w:tcW w:w="2401" w:type="dxa"/>
            <w:tcBorders>
              <w:top w:val="nil"/>
              <w:left w:val="nil"/>
              <w:bottom w:val="nil"/>
              <w:right w:val="nil"/>
            </w:tcBorders>
            <w:shd w:val="clear" w:color="auto" w:fill="auto"/>
            <w:hideMark/>
          </w:tcPr>
          <w:p w14:paraId="42A74355" w14:textId="77777777" w:rsidR="00927F7D" w:rsidRPr="00E81272" w:rsidRDefault="00927F7D" w:rsidP="00436FB1">
            <w:pPr>
              <w:rPr>
                <w:rFonts w:ascii="Arial" w:hAnsi="Arial" w:cs="Arial"/>
                <w:sz w:val="14"/>
                <w:szCs w:val="14"/>
                <w:lang w:eastAsia="es-AR"/>
              </w:rPr>
            </w:pPr>
          </w:p>
        </w:tc>
        <w:tc>
          <w:tcPr>
            <w:tcW w:w="567" w:type="dxa"/>
            <w:tcBorders>
              <w:top w:val="nil"/>
              <w:left w:val="nil"/>
              <w:bottom w:val="nil"/>
              <w:right w:val="nil"/>
            </w:tcBorders>
            <w:shd w:val="clear" w:color="auto" w:fill="auto"/>
            <w:noWrap/>
            <w:hideMark/>
          </w:tcPr>
          <w:p w14:paraId="25CEDB83" w14:textId="77777777" w:rsidR="00927F7D" w:rsidRPr="00E81272" w:rsidRDefault="00927F7D" w:rsidP="00436FB1">
            <w:pPr>
              <w:rPr>
                <w:sz w:val="14"/>
                <w:szCs w:val="14"/>
                <w:lang w:eastAsia="es-AR"/>
              </w:rPr>
            </w:pPr>
          </w:p>
        </w:tc>
        <w:tc>
          <w:tcPr>
            <w:tcW w:w="992" w:type="dxa"/>
            <w:tcBorders>
              <w:top w:val="nil"/>
              <w:left w:val="nil"/>
              <w:bottom w:val="nil"/>
              <w:right w:val="nil"/>
            </w:tcBorders>
            <w:shd w:val="clear" w:color="auto" w:fill="auto"/>
            <w:noWrap/>
            <w:vAlign w:val="bottom"/>
            <w:hideMark/>
          </w:tcPr>
          <w:p w14:paraId="0BC7FCF2" w14:textId="77777777" w:rsidR="00927F7D" w:rsidRPr="00E81272" w:rsidRDefault="00927F7D" w:rsidP="00436FB1">
            <w:pPr>
              <w:jc w:val="right"/>
              <w:rPr>
                <w:sz w:val="14"/>
                <w:szCs w:val="14"/>
                <w:lang w:eastAsia="es-AR"/>
              </w:rPr>
            </w:pPr>
          </w:p>
        </w:tc>
        <w:tc>
          <w:tcPr>
            <w:tcW w:w="1134" w:type="dxa"/>
            <w:tcBorders>
              <w:top w:val="nil"/>
              <w:left w:val="nil"/>
              <w:bottom w:val="nil"/>
              <w:right w:val="nil"/>
            </w:tcBorders>
          </w:tcPr>
          <w:p w14:paraId="123F86EA" w14:textId="77777777" w:rsidR="00927F7D" w:rsidRPr="00E81272" w:rsidRDefault="00927F7D" w:rsidP="00436FB1">
            <w:pPr>
              <w:jc w:val="right"/>
              <w:rPr>
                <w:sz w:val="14"/>
                <w:szCs w:val="14"/>
                <w:lang w:eastAsia="es-AR"/>
              </w:rPr>
            </w:pPr>
          </w:p>
        </w:tc>
        <w:tc>
          <w:tcPr>
            <w:tcW w:w="992" w:type="dxa"/>
            <w:tcBorders>
              <w:top w:val="nil"/>
              <w:left w:val="nil"/>
              <w:bottom w:val="nil"/>
              <w:right w:val="nil"/>
            </w:tcBorders>
          </w:tcPr>
          <w:p w14:paraId="2A277EEC" w14:textId="77777777" w:rsidR="00927F7D" w:rsidRPr="00E81272" w:rsidRDefault="00927F7D" w:rsidP="00436FB1">
            <w:pPr>
              <w:jc w:val="right"/>
              <w:rPr>
                <w:sz w:val="14"/>
                <w:szCs w:val="14"/>
                <w:lang w:eastAsia="es-AR"/>
              </w:rPr>
            </w:pPr>
          </w:p>
        </w:tc>
        <w:tc>
          <w:tcPr>
            <w:tcW w:w="993" w:type="dxa"/>
            <w:tcBorders>
              <w:top w:val="nil"/>
              <w:left w:val="nil"/>
              <w:bottom w:val="nil"/>
              <w:right w:val="nil"/>
            </w:tcBorders>
            <w:shd w:val="clear" w:color="auto" w:fill="auto"/>
            <w:noWrap/>
            <w:vAlign w:val="bottom"/>
            <w:hideMark/>
          </w:tcPr>
          <w:p w14:paraId="483CFB40" w14:textId="77777777" w:rsidR="00927F7D" w:rsidRPr="00E81272" w:rsidRDefault="00927F7D" w:rsidP="00436FB1">
            <w:pPr>
              <w:jc w:val="right"/>
              <w:rPr>
                <w:sz w:val="14"/>
                <w:szCs w:val="14"/>
                <w:lang w:eastAsia="es-AR"/>
              </w:rPr>
            </w:pPr>
          </w:p>
        </w:tc>
        <w:tc>
          <w:tcPr>
            <w:tcW w:w="709" w:type="dxa"/>
            <w:tcBorders>
              <w:top w:val="nil"/>
              <w:left w:val="nil"/>
              <w:bottom w:val="nil"/>
              <w:right w:val="nil"/>
            </w:tcBorders>
            <w:shd w:val="clear" w:color="auto" w:fill="auto"/>
            <w:noWrap/>
            <w:vAlign w:val="bottom"/>
            <w:hideMark/>
          </w:tcPr>
          <w:p w14:paraId="667FA615" w14:textId="77777777" w:rsidR="00927F7D" w:rsidRPr="00E81272" w:rsidRDefault="00927F7D" w:rsidP="00436FB1">
            <w:pPr>
              <w:jc w:val="right"/>
              <w:rPr>
                <w:sz w:val="14"/>
                <w:szCs w:val="14"/>
                <w:lang w:eastAsia="es-AR"/>
              </w:rPr>
            </w:pPr>
          </w:p>
        </w:tc>
        <w:tc>
          <w:tcPr>
            <w:tcW w:w="783" w:type="dxa"/>
            <w:tcBorders>
              <w:top w:val="nil"/>
              <w:left w:val="nil"/>
              <w:bottom w:val="nil"/>
              <w:right w:val="nil"/>
            </w:tcBorders>
            <w:shd w:val="clear" w:color="auto" w:fill="auto"/>
            <w:noWrap/>
            <w:vAlign w:val="bottom"/>
            <w:hideMark/>
          </w:tcPr>
          <w:p w14:paraId="4A1359AE" w14:textId="77777777" w:rsidR="00927F7D" w:rsidRPr="00E81272" w:rsidRDefault="00927F7D" w:rsidP="00436FB1">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6364512F" w14:textId="77777777" w:rsidR="00927F7D" w:rsidRPr="00E81272" w:rsidRDefault="00927F7D" w:rsidP="00436FB1">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1A8B6446" w14:textId="77777777" w:rsidR="00927F7D" w:rsidRPr="00E81272" w:rsidRDefault="00927F7D" w:rsidP="00436FB1">
            <w:pPr>
              <w:jc w:val="right"/>
              <w:rPr>
                <w:sz w:val="14"/>
                <w:szCs w:val="14"/>
                <w:lang w:eastAsia="es-AR"/>
              </w:rPr>
            </w:pPr>
          </w:p>
        </w:tc>
        <w:tc>
          <w:tcPr>
            <w:tcW w:w="850" w:type="dxa"/>
            <w:tcBorders>
              <w:top w:val="nil"/>
              <w:left w:val="nil"/>
              <w:bottom w:val="nil"/>
              <w:right w:val="nil"/>
            </w:tcBorders>
            <w:shd w:val="clear" w:color="auto" w:fill="auto"/>
            <w:noWrap/>
            <w:vAlign w:val="bottom"/>
            <w:hideMark/>
          </w:tcPr>
          <w:p w14:paraId="70928FFE" w14:textId="77777777" w:rsidR="00927F7D" w:rsidRPr="00E81272" w:rsidRDefault="00927F7D" w:rsidP="00436FB1">
            <w:pPr>
              <w:jc w:val="right"/>
              <w:rPr>
                <w:sz w:val="14"/>
                <w:szCs w:val="14"/>
                <w:lang w:eastAsia="es-AR"/>
              </w:rPr>
            </w:pPr>
          </w:p>
        </w:tc>
      </w:tr>
      <w:tr w:rsidR="00927F7D" w:rsidRPr="00E81272" w14:paraId="2A545A90" w14:textId="77777777" w:rsidTr="00637A70">
        <w:trPr>
          <w:trHeight w:val="217"/>
          <w:jc w:val="center"/>
        </w:trPr>
        <w:tc>
          <w:tcPr>
            <w:tcW w:w="2401" w:type="dxa"/>
            <w:tcBorders>
              <w:top w:val="nil"/>
              <w:left w:val="nil"/>
              <w:bottom w:val="nil"/>
              <w:right w:val="nil"/>
            </w:tcBorders>
            <w:shd w:val="clear" w:color="auto" w:fill="auto"/>
            <w:hideMark/>
          </w:tcPr>
          <w:p w14:paraId="7DF57E7E" w14:textId="1891D913" w:rsidR="00927F7D" w:rsidRPr="00E81272" w:rsidRDefault="00927F7D" w:rsidP="00436FB1">
            <w:pPr>
              <w:rPr>
                <w:rFonts w:ascii="Arial" w:hAnsi="Arial" w:cs="Arial"/>
                <w:b/>
                <w:bCs/>
                <w:sz w:val="14"/>
                <w:szCs w:val="14"/>
                <w:lang w:eastAsia="es-AR"/>
              </w:rPr>
            </w:pPr>
            <w:r w:rsidRPr="00E81272">
              <w:rPr>
                <w:rFonts w:ascii="Arial" w:hAnsi="Arial" w:cs="Arial"/>
                <w:b/>
                <w:bCs/>
                <w:sz w:val="14"/>
                <w:szCs w:val="14"/>
                <w:lang w:eastAsia="es-AR"/>
              </w:rPr>
              <w:t>Resultado total integral del período</w:t>
            </w:r>
          </w:p>
        </w:tc>
        <w:tc>
          <w:tcPr>
            <w:tcW w:w="567" w:type="dxa"/>
            <w:tcBorders>
              <w:top w:val="nil"/>
              <w:left w:val="nil"/>
              <w:bottom w:val="nil"/>
              <w:right w:val="nil"/>
            </w:tcBorders>
            <w:shd w:val="clear" w:color="auto" w:fill="auto"/>
            <w:noWrap/>
            <w:hideMark/>
          </w:tcPr>
          <w:p w14:paraId="4E02AE58" w14:textId="77777777" w:rsidR="00927F7D" w:rsidRPr="00E81272" w:rsidRDefault="00927F7D" w:rsidP="00436FB1">
            <w:pPr>
              <w:rPr>
                <w:rFonts w:ascii="Arial" w:hAnsi="Arial" w:cs="Arial"/>
                <w:b/>
                <w:bCs/>
                <w:sz w:val="14"/>
                <w:szCs w:val="14"/>
                <w:lang w:eastAsia="es-AR"/>
              </w:rPr>
            </w:pPr>
          </w:p>
        </w:tc>
        <w:tc>
          <w:tcPr>
            <w:tcW w:w="992" w:type="dxa"/>
            <w:tcBorders>
              <w:top w:val="nil"/>
              <w:left w:val="nil"/>
              <w:bottom w:val="nil"/>
              <w:right w:val="nil"/>
            </w:tcBorders>
            <w:shd w:val="clear" w:color="auto" w:fill="auto"/>
            <w:noWrap/>
            <w:vAlign w:val="bottom"/>
            <w:hideMark/>
          </w:tcPr>
          <w:p w14:paraId="57E74880" w14:textId="77777777" w:rsidR="00927F7D" w:rsidRPr="00E81272" w:rsidRDefault="00927F7D" w:rsidP="00436FB1">
            <w:pPr>
              <w:jc w:val="right"/>
              <w:rPr>
                <w:sz w:val="14"/>
                <w:szCs w:val="14"/>
                <w:lang w:eastAsia="es-AR"/>
              </w:rPr>
            </w:pPr>
          </w:p>
        </w:tc>
        <w:tc>
          <w:tcPr>
            <w:tcW w:w="1134" w:type="dxa"/>
            <w:tcBorders>
              <w:top w:val="nil"/>
              <w:left w:val="nil"/>
              <w:bottom w:val="nil"/>
              <w:right w:val="nil"/>
            </w:tcBorders>
          </w:tcPr>
          <w:p w14:paraId="5ED52ADE" w14:textId="77777777" w:rsidR="00927F7D" w:rsidRPr="00E81272" w:rsidRDefault="00927F7D" w:rsidP="00436FB1">
            <w:pPr>
              <w:jc w:val="right"/>
              <w:rPr>
                <w:sz w:val="14"/>
                <w:szCs w:val="14"/>
                <w:lang w:eastAsia="es-AR"/>
              </w:rPr>
            </w:pPr>
          </w:p>
        </w:tc>
        <w:tc>
          <w:tcPr>
            <w:tcW w:w="992" w:type="dxa"/>
            <w:tcBorders>
              <w:top w:val="nil"/>
              <w:left w:val="nil"/>
              <w:bottom w:val="nil"/>
              <w:right w:val="nil"/>
            </w:tcBorders>
          </w:tcPr>
          <w:p w14:paraId="32DA74B8" w14:textId="77777777" w:rsidR="00927F7D" w:rsidRPr="00E81272" w:rsidRDefault="00927F7D" w:rsidP="00436FB1">
            <w:pPr>
              <w:jc w:val="right"/>
              <w:rPr>
                <w:sz w:val="14"/>
                <w:szCs w:val="14"/>
                <w:lang w:eastAsia="es-AR"/>
              </w:rPr>
            </w:pPr>
          </w:p>
        </w:tc>
        <w:tc>
          <w:tcPr>
            <w:tcW w:w="993" w:type="dxa"/>
            <w:tcBorders>
              <w:top w:val="nil"/>
              <w:left w:val="nil"/>
              <w:bottom w:val="nil"/>
              <w:right w:val="nil"/>
            </w:tcBorders>
            <w:shd w:val="clear" w:color="auto" w:fill="auto"/>
            <w:noWrap/>
            <w:vAlign w:val="bottom"/>
            <w:hideMark/>
          </w:tcPr>
          <w:p w14:paraId="01BC8A2B" w14:textId="77777777" w:rsidR="00927F7D" w:rsidRPr="00E81272" w:rsidRDefault="00927F7D" w:rsidP="00436FB1">
            <w:pPr>
              <w:jc w:val="right"/>
              <w:rPr>
                <w:sz w:val="14"/>
                <w:szCs w:val="14"/>
                <w:lang w:eastAsia="es-AR"/>
              </w:rPr>
            </w:pPr>
          </w:p>
        </w:tc>
        <w:tc>
          <w:tcPr>
            <w:tcW w:w="709" w:type="dxa"/>
            <w:tcBorders>
              <w:top w:val="nil"/>
              <w:left w:val="nil"/>
              <w:bottom w:val="nil"/>
              <w:right w:val="nil"/>
            </w:tcBorders>
            <w:shd w:val="clear" w:color="auto" w:fill="auto"/>
            <w:noWrap/>
            <w:vAlign w:val="bottom"/>
            <w:hideMark/>
          </w:tcPr>
          <w:p w14:paraId="390D4680" w14:textId="77777777" w:rsidR="00927F7D" w:rsidRPr="00E81272" w:rsidRDefault="00927F7D" w:rsidP="00436FB1">
            <w:pPr>
              <w:jc w:val="right"/>
              <w:rPr>
                <w:sz w:val="14"/>
                <w:szCs w:val="14"/>
                <w:lang w:eastAsia="es-AR"/>
              </w:rPr>
            </w:pPr>
          </w:p>
        </w:tc>
        <w:tc>
          <w:tcPr>
            <w:tcW w:w="783" w:type="dxa"/>
            <w:tcBorders>
              <w:top w:val="nil"/>
              <w:left w:val="nil"/>
              <w:bottom w:val="nil"/>
              <w:right w:val="nil"/>
            </w:tcBorders>
            <w:shd w:val="clear" w:color="auto" w:fill="auto"/>
            <w:noWrap/>
            <w:vAlign w:val="bottom"/>
            <w:hideMark/>
          </w:tcPr>
          <w:p w14:paraId="4D565CCA" w14:textId="77777777" w:rsidR="00927F7D" w:rsidRPr="00E81272" w:rsidRDefault="00927F7D" w:rsidP="00436FB1">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05329C62" w14:textId="77777777" w:rsidR="00927F7D" w:rsidRPr="00E81272" w:rsidRDefault="00927F7D" w:rsidP="00436FB1">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01A61DC4" w14:textId="77777777" w:rsidR="00927F7D" w:rsidRPr="00E81272" w:rsidRDefault="00927F7D" w:rsidP="00436FB1">
            <w:pPr>
              <w:jc w:val="right"/>
              <w:rPr>
                <w:sz w:val="14"/>
                <w:szCs w:val="14"/>
                <w:lang w:eastAsia="es-AR"/>
              </w:rPr>
            </w:pPr>
          </w:p>
        </w:tc>
        <w:tc>
          <w:tcPr>
            <w:tcW w:w="850" w:type="dxa"/>
            <w:tcBorders>
              <w:top w:val="nil"/>
              <w:left w:val="nil"/>
              <w:bottom w:val="nil"/>
              <w:right w:val="nil"/>
            </w:tcBorders>
            <w:shd w:val="clear" w:color="auto" w:fill="auto"/>
            <w:noWrap/>
            <w:vAlign w:val="bottom"/>
            <w:hideMark/>
          </w:tcPr>
          <w:p w14:paraId="5CD0AA97" w14:textId="77777777" w:rsidR="00927F7D" w:rsidRPr="00E81272" w:rsidRDefault="00927F7D" w:rsidP="00436FB1">
            <w:pPr>
              <w:jc w:val="right"/>
              <w:rPr>
                <w:sz w:val="14"/>
                <w:szCs w:val="14"/>
                <w:lang w:eastAsia="es-AR"/>
              </w:rPr>
            </w:pPr>
          </w:p>
        </w:tc>
      </w:tr>
      <w:tr w:rsidR="00927F7D" w:rsidRPr="0070190A" w14:paraId="0E88C58A" w14:textId="77777777" w:rsidTr="00637A70">
        <w:trPr>
          <w:trHeight w:val="223"/>
          <w:jc w:val="center"/>
        </w:trPr>
        <w:tc>
          <w:tcPr>
            <w:tcW w:w="2401" w:type="dxa"/>
            <w:tcBorders>
              <w:top w:val="nil"/>
              <w:left w:val="nil"/>
              <w:bottom w:val="nil"/>
              <w:right w:val="nil"/>
            </w:tcBorders>
            <w:shd w:val="clear" w:color="auto" w:fill="auto"/>
            <w:hideMark/>
          </w:tcPr>
          <w:p w14:paraId="01231D75" w14:textId="77777777" w:rsidR="00927F7D" w:rsidRPr="00E81272" w:rsidRDefault="00927F7D" w:rsidP="00436FB1">
            <w:pPr>
              <w:rPr>
                <w:rFonts w:ascii="Arial" w:hAnsi="Arial" w:cs="Arial"/>
                <w:sz w:val="14"/>
                <w:szCs w:val="14"/>
                <w:lang w:eastAsia="es-AR"/>
              </w:rPr>
            </w:pPr>
            <w:r w:rsidRPr="00E81272">
              <w:rPr>
                <w:rFonts w:ascii="Arial" w:hAnsi="Arial" w:cs="Arial"/>
                <w:sz w:val="14"/>
                <w:szCs w:val="14"/>
                <w:lang w:eastAsia="es-AR"/>
              </w:rPr>
              <w:t>- Resultado neto del período</w:t>
            </w:r>
          </w:p>
        </w:tc>
        <w:tc>
          <w:tcPr>
            <w:tcW w:w="567" w:type="dxa"/>
            <w:tcBorders>
              <w:top w:val="nil"/>
              <w:left w:val="nil"/>
              <w:bottom w:val="nil"/>
              <w:right w:val="nil"/>
            </w:tcBorders>
            <w:shd w:val="clear" w:color="auto" w:fill="auto"/>
            <w:noWrap/>
            <w:hideMark/>
          </w:tcPr>
          <w:p w14:paraId="3B2DCE7F" w14:textId="77777777" w:rsidR="00927F7D" w:rsidRPr="00E81272" w:rsidRDefault="00927F7D" w:rsidP="00436FB1">
            <w:pPr>
              <w:rPr>
                <w:rFonts w:ascii="Arial" w:hAnsi="Arial" w:cs="Arial"/>
                <w:sz w:val="14"/>
                <w:szCs w:val="14"/>
                <w:lang w:eastAsia="es-AR"/>
              </w:rPr>
            </w:pPr>
          </w:p>
        </w:tc>
        <w:tc>
          <w:tcPr>
            <w:tcW w:w="992" w:type="dxa"/>
            <w:tcBorders>
              <w:top w:val="nil"/>
              <w:left w:val="nil"/>
              <w:bottom w:val="nil"/>
              <w:right w:val="nil"/>
            </w:tcBorders>
            <w:shd w:val="clear" w:color="auto" w:fill="auto"/>
            <w:noWrap/>
            <w:vAlign w:val="center"/>
            <w:hideMark/>
          </w:tcPr>
          <w:p w14:paraId="6757B26E"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2A651887"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tcPr>
          <w:p w14:paraId="036AC279" w14:textId="77777777" w:rsidR="00927F7D" w:rsidRPr="005A1F48" w:rsidRDefault="00927F7D" w:rsidP="00436FB1">
            <w:pPr>
              <w:jc w:val="right"/>
              <w:rPr>
                <w:rFonts w:ascii="Arial" w:hAnsi="Arial" w:cs="Arial"/>
                <w:sz w:val="14"/>
                <w:szCs w:val="14"/>
              </w:rPr>
            </w:pPr>
          </w:p>
        </w:tc>
        <w:tc>
          <w:tcPr>
            <w:tcW w:w="993" w:type="dxa"/>
            <w:tcBorders>
              <w:top w:val="nil"/>
              <w:left w:val="nil"/>
              <w:bottom w:val="nil"/>
              <w:right w:val="nil"/>
            </w:tcBorders>
            <w:shd w:val="clear" w:color="auto" w:fill="auto"/>
            <w:noWrap/>
            <w:vAlign w:val="center"/>
          </w:tcPr>
          <w:p w14:paraId="31B33DC0" w14:textId="77777777"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 </w:t>
            </w:r>
          </w:p>
        </w:tc>
        <w:tc>
          <w:tcPr>
            <w:tcW w:w="709" w:type="dxa"/>
            <w:tcBorders>
              <w:top w:val="nil"/>
              <w:left w:val="nil"/>
              <w:bottom w:val="nil"/>
              <w:right w:val="nil"/>
            </w:tcBorders>
            <w:shd w:val="clear" w:color="auto" w:fill="auto"/>
            <w:noWrap/>
            <w:vAlign w:val="center"/>
          </w:tcPr>
          <w:p w14:paraId="4454C584" w14:textId="77777777"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 </w:t>
            </w:r>
          </w:p>
        </w:tc>
        <w:tc>
          <w:tcPr>
            <w:tcW w:w="783" w:type="dxa"/>
            <w:tcBorders>
              <w:top w:val="nil"/>
              <w:left w:val="nil"/>
              <w:bottom w:val="nil"/>
              <w:right w:val="nil"/>
            </w:tcBorders>
            <w:shd w:val="clear" w:color="auto" w:fill="auto"/>
            <w:noWrap/>
            <w:vAlign w:val="center"/>
          </w:tcPr>
          <w:p w14:paraId="032A3FD5" w14:textId="77777777"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 </w:t>
            </w:r>
          </w:p>
        </w:tc>
        <w:tc>
          <w:tcPr>
            <w:tcW w:w="851" w:type="dxa"/>
            <w:tcBorders>
              <w:top w:val="nil"/>
              <w:left w:val="nil"/>
              <w:bottom w:val="nil"/>
              <w:right w:val="nil"/>
            </w:tcBorders>
            <w:shd w:val="clear" w:color="auto" w:fill="auto"/>
            <w:noWrap/>
            <w:vAlign w:val="center"/>
          </w:tcPr>
          <w:p w14:paraId="06DF90EB" w14:textId="77777777"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 </w:t>
            </w:r>
          </w:p>
        </w:tc>
        <w:tc>
          <w:tcPr>
            <w:tcW w:w="992" w:type="dxa"/>
            <w:tcBorders>
              <w:top w:val="nil"/>
              <w:left w:val="nil"/>
              <w:bottom w:val="nil"/>
              <w:right w:val="nil"/>
            </w:tcBorders>
            <w:shd w:val="clear" w:color="auto" w:fill="auto"/>
            <w:noWrap/>
            <w:vAlign w:val="center"/>
          </w:tcPr>
          <w:p w14:paraId="49C7463D" w14:textId="50731A58"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373</w:t>
            </w:r>
            <w:r w:rsidRPr="005A1F48">
              <w:rPr>
                <w:rFonts w:ascii="Arial" w:hAnsi="Arial" w:cs="Arial"/>
                <w:sz w:val="14"/>
                <w:szCs w:val="14"/>
              </w:rPr>
              <w:t>.</w:t>
            </w:r>
            <w:r>
              <w:rPr>
                <w:rFonts w:ascii="Arial" w:hAnsi="Arial" w:cs="Arial"/>
                <w:sz w:val="14"/>
                <w:szCs w:val="14"/>
              </w:rPr>
              <w:t>140</w:t>
            </w:r>
            <w:r w:rsidRPr="005A1F48">
              <w:rPr>
                <w:rFonts w:ascii="Arial" w:hAnsi="Arial" w:cs="Arial"/>
                <w:sz w:val="14"/>
                <w:szCs w:val="14"/>
              </w:rPr>
              <w:t xml:space="preserve"> </w:t>
            </w:r>
          </w:p>
        </w:tc>
        <w:tc>
          <w:tcPr>
            <w:tcW w:w="850" w:type="dxa"/>
            <w:tcBorders>
              <w:top w:val="nil"/>
              <w:left w:val="nil"/>
              <w:bottom w:val="nil"/>
              <w:right w:val="nil"/>
            </w:tcBorders>
            <w:shd w:val="clear" w:color="auto" w:fill="auto"/>
            <w:noWrap/>
            <w:vAlign w:val="center"/>
          </w:tcPr>
          <w:p w14:paraId="7CDE6BD6" w14:textId="19DFEA9B"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373</w:t>
            </w:r>
            <w:r w:rsidRPr="005A1F48">
              <w:rPr>
                <w:rFonts w:ascii="Arial" w:hAnsi="Arial" w:cs="Arial"/>
                <w:sz w:val="14"/>
                <w:szCs w:val="14"/>
              </w:rPr>
              <w:t>.1</w:t>
            </w:r>
            <w:r>
              <w:rPr>
                <w:rFonts w:ascii="Arial" w:hAnsi="Arial" w:cs="Arial"/>
                <w:sz w:val="14"/>
                <w:szCs w:val="14"/>
              </w:rPr>
              <w:t>40</w:t>
            </w:r>
            <w:r w:rsidRPr="005A1F48">
              <w:rPr>
                <w:rFonts w:ascii="Arial" w:hAnsi="Arial" w:cs="Arial"/>
                <w:sz w:val="14"/>
                <w:szCs w:val="14"/>
              </w:rPr>
              <w:t xml:space="preserve"> </w:t>
            </w:r>
          </w:p>
        </w:tc>
      </w:tr>
      <w:tr w:rsidR="00927F7D" w:rsidRPr="0070190A" w14:paraId="003190CC" w14:textId="77777777" w:rsidTr="00637A70">
        <w:trPr>
          <w:trHeight w:val="209"/>
          <w:jc w:val="center"/>
        </w:trPr>
        <w:tc>
          <w:tcPr>
            <w:tcW w:w="2401" w:type="dxa"/>
            <w:tcBorders>
              <w:top w:val="nil"/>
              <w:left w:val="nil"/>
              <w:bottom w:val="nil"/>
              <w:right w:val="nil"/>
            </w:tcBorders>
            <w:shd w:val="clear" w:color="auto" w:fill="auto"/>
            <w:hideMark/>
          </w:tcPr>
          <w:p w14:paraId="300EF2D6" w14:textId="77777777" w:rsidR="00927F7D" w:rsidRPr="00E81272" w:rsidRDefault="00927F7D" w:rsidP="00436FB1">
            <w:pPr>
              <w:rPr>
                <w:rFonts w:ascii="Arial" w:hAnsi="Arial" w:cs="Arial"/>
                <w:sz w:val="14"/>
                <w:szCs w:val="14"/>
                <w:lang w:eastAsia="es-AR"/>
              </w:rPr>
            </w:pPr>
            <w:r w:rsidRPr="00E81272">
              <w:rPr>
                <w:rFonts w:ascii="Arial" w:hAnsi="Arial" w:cs="Arial"/>
                <w:sz w:val="14"/>
                <w:szCs w:val="14"/>
                <w:lang w:eastAsia="es-AR"/>
              </w:rPr>
              <w:t>- Otro Resultado Integral del período</w:t>
            </w:r>
          </w:p>
        </w:tc>
        <w:tc>
          <w:tcPr>
            <w:tcW w:w="567" w:type="dxa"/>
            <w:tcBorders>
              <w:top w:val="nil"/>
              <w:left w:val="nil"/>
              <w:bottom w:val="nil"/>
              <w:right w:val="nil"/>
            </w:tcBorders>
            <w:shd w:val="clear" w:color="auto" w:fill="auto"/>
            <w:noWrap/>
            <w:hideMark/>
          </w:tcPr>
          <w:p w14:paraId="4886BBF5" w14:textId="77777777" w:rsidR="00927F7D" w:rsidRPr="00E81272" w:rsidRDefault="00927F7D" w:rsidP="00436FB1">
            <w:pPr>
              <w:rPr>
                <w:rFonts w:ascii="Arial" w:hAnsi="Arial" w:cs="Arial"/>
                <w:sz w:val="14"/>
                <w:szCs w:val="14"/>
                <w:lang w:eastAsia="es-AR"/>
              </w:rPr>
            </w:pPr>
          </w:p>
        </w:tc>
        <w:tc>
          <w:tcPr>
            <w:tcW w:w="992" w:type="dxa"/>
            <w:tcBorders>
              <w:top w:val="nil"/>
              <w:left w:val="nil"/>
              <w:bottom w:val="nil"/>
              <w:right w:val="nil"/>
            </w:tcBorders>
            <w:shd w:val="clear" w:color="auto" w:fill="auto"/>
            <w:noWrap/>
            <w:vAlign w:val="center"/>
            <w:hideMark/>
          </w:tcPr>
          <w:p w14:paraId="73E57307"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447AC941"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tcPr>
          <w:p w14:paraId="3587AA3D" w14:textId="77777777" w:rsidR="00927F7D" w:rsidRPr="005A1F48" w:rsidRDefault="00927F7D" w:rsidP="00436FB1">
            <w:pPr>
              <w:jc w:val="right"/>
              <w:rPr>
                <w:rFonts w:ascii="Arial" w:hAnsi="Arial" w:cs="Arial"/>
                <w:sz w:val="14"/>
                <w:szCs w:val="14"/>
              </w:rPr>
            </w:pPr>
          </w:p>
        </w:tc>
        <w:tc>
          <w:tcPr>
            <w:tcW w:w="993" w:type="dxa"/>
            <w:tcBorders>
              <w:top w:val="nil"/>
              <w:left w:val="nil"/>
              <w:bottom w:val="nil"/>
              <w:right w:val="nil"/>
            </w:tcBorders>
            <w:shd w:val="clear" w:color="auto" w:fill="auto"/>
            <w:noWrap/>
            <w:vAlign w:val="center"/>
          </w:tcPr>
          <w:p w14:paraId="309AC805" w14:textId="03BFFAA4" w:rsidR="00927F7D" w:rsidRPr="0070190A" w:rsidRDefault="00927F7D" w:rsidP="00436FB1">
            <w:pPr>
              <w:jc w:val="right"/>
              <w:rPr>
                <w:rFonts w:ascii="Arial" w:hAnsi="Arial" w:cs="Arial"/>
                <w:sz w:val="14"/>
                <w:szCs w:val="14"/>
                <w:lang w:eastAsia="es-AR"/>
              </w:rPr>
            </w:pPr>
            <w:r>
              <w:rPr>
                <w:rFonts w:ascii="Arial" w:hAnsi="Arial" w:cs="Arial"/>
                <w:sz w:val="14"/>
                <w:szCs w:val="14"/>
              </w:rPr>
              <w:t>-</w:t>
            </w:r>
          </w:p>
        </w:tc>
        <w:tc>
          <w:tcPr>
            <w:tcW w:w="709" w:type="dxa"/>
            <w:tcBorders>
              <w:top w:val="nil"/>
              <w:left w:val="nil"/>
              <w:bottom w:val="nil"/>
              <w:right w:val="nil"/>
            </w:tcBorders>
            <w:shd w:val="clear" w:color="auto" w:fill="auto"/>
            <w:noWrap/>
            <w:vAlign w:val="center"/>
          </w:tcPr>
          <w:p w14:paraId="3CF823D6" w14:textId="10B59110" w:rsidR="00927F7D" w:rsidRPr="0070190A" w:rsidRDefault="00927F7D" w:rsidP="00436FB1">
            <w:pPr>
              <w:jc w:val="right"/>
              <w:rPr>
                <w:rFonts w:ascii="Arial" w:hAnsi="Arial" w:cs="Arial"/>
                <w:sz w:val="14"/>
                <w:szCs w:val="14"/>
                <w:lang w:eastAsia="es-AR"/>
              </w:rPr>
            </w:pPr>
            <w:r>
              <w:rPr>
                <w:rFonts w:ascii="Arial" w:hAnsi="Arial" w:cs="Arial"/>
                <w:sz w:val="14"/>
                <w:szCs w:val="14"/>
              </w:rPr>
              <w:t>-48.239</w:t>
            </w:r>
          </w:p>
        </w:tc>
        <w:tc>
          <w:tcPr>
            <w:tcW w:w="783" w:type="dxa"/>
            <w:tcBorders>
              <w:top w:val="nil"/>
              <w:left w:val="nil"/>
              <w:bottom w:val="nil"/>
              <w:right w:val="nil"/>
            </w:tcBorders>
            <w:shd w:val="clear" w:color="auto" w:fill="auto"/>
            <w:noWrap/>
            <w:vAlign w:val="center"/>
          </w:tcPr>
          <w:p w14:paraId="16838F2D" w14:textId="77777777"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 </w:t>
            </w:r>
          </w:p>
        </w:tc>
        <w:tc>
          <w:tcPr>
            <w:tcW w:w="851" w:type="dxa"/>
            <w:tcBorders>
              <w:top w:val="nil"/>
              <w:left w:val="nil"/>
              <w:bottom w:val="nil"/>
              <w:right w:val="nil"/>
            </w:tcBorders>
            <w:shd w:val="clear" w:color="auto" w:fill="auto"/>
            <w:noWrap/>
            <w:vAlign w:val="center"/>
          </w:tcPr>
          <w:p w14:paraId="5018814C" w14:textId="77777777"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 </w:t>
            </w:r>
          </w:p>
        </w:tc>
        <w:tc>
          <w:tcPr>
            <w:tcW w:w="992" w:type="dxa"/>
            <w:tcBorders>
              <w:top w:val="nil"/>
              <w:left w:val="nil"/>
              <w:bottom w:val="nil"/>
              <w:right w:val="nil"/>
            </w:tcBorders>
            <w:shd w:val="clear" w:color="auto" w:fill="auto"/>
            <w:noWrap/>
            <w:vAlign w:val="center"/>
          </w:tcPr>
          <w:p w14:paraId="5725132E" w14:textId="77777777"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 </w:t>
            </w:r>
          </w:p>
        </w:tc>
        <w:tc>
          <w:tcPr>
            <w:tcW w:w="850" w:type="dxa"/>
            <w:tcBorders>
              <w:top w:val="nil"/>
              <w:left w:val="nil"/>
              <w:bottom w:val="nil"/>
              <w:right w:val="nil"/>
            </w:tcBorders>
            <w:shd w:val="clear" w:color="auto" w:fill="auto"/>
            <w:noWrap/>
            <w:vAlign w:val="center"/>
          </w:tcPr>
          <w:p w14:paraId="445DABFE" w14:textId="23598B3F" w:rsidR="00927F7D" w:rsidRPr="0070190A" w:rsidRDefault="00927F7D" w:rsidP="00436FB1">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-48.239</w:t>
            </w:r>
          </w:p>
        </w:tc>
      </w:tr>
      <w:tr w:rsidR="00927F7D" w:rsidRPr="00E81272" w14:paraId="537BA555" w14:textId="77777777" w:rsidTr="00637A70">
        <w:trPr>
          <w:trHeight w:val="195"/>
          <w:jc w:val="center"/>
        </w:trPr>
        <w:tc>
          <w:tcPr>
            <w:tcW w:w="2401" w:type="dxa"/>
            <w:tcBorders>
              <w:top w:val="nil"/>
              <w:left w:val="nil"/>
              <w:bottom w:val="nil"/>
              <w:right w:val="nil"/>
            </w:tcBorders>
            <w:shd w:val="clear" w:color="auto" w:fill="auto"/>
            <w:hideMark/>
          </w:tcPr>
          <w:p w14:paraId="7A4BAB77" w14:textId="77777777" w:rsidR="00927F7D" w:rsidRPr="00E81272" w:rsidRDefault="00927F7D" w:rsidP="00436FB1">
            <w:pPr>
              <w:rPr>
                <w:rFonts w:ascii="Arial" w:hAnsi="Arial" w:cs="Arial"/>
                <w:sz w:val="14"/>
                <w:szCs w:val="14"/>
                <w:lang w:eastAsia="es-AR"/>
              </w:rPr>
            </w:pPr>
            <w:r w:rsidRPr="00E81272">
              <w:rPr>
                <w:rFonts w:ascii="Arial" w:hAnsi="Arial" w:cs="Arial"/>
                <w:sz w:val="14"/>
                <w:szCs w:val="14"/>
                <w:lang w:eastAsia="es-AR"/>
              </w:rPr>
              <w:t xml:space="preserve"> - Otros movimientos</w:t>
            </w:r>
          </w:p>
        </w:tc>
        <w:tc>
          <w:tcPr>
            <w:tcW w:w="567" w:type="dxa"/>
            <w:tcBorders>
              <w:top w:val="nil"/>
              <w:left w:val="nil"/>
              <w:bottom w:val="nil"/>
              <w:right w:val="nil"/>
            </w:tcBorders>
            <w:shd w:val="clear" w:color="auto" w:fill="auto"/>
            <w:noWrap/>
            <w:hideMark/>
          </w:tcPr>
          <w:p w14:paraId="43FDFC4D" w14:textId="77777777" w:rsidR="00927F7D" w:rsidRPr="00E81272" w:rsidRDefault="00927F7D" w:rsidP="00436FB1">
            <w:pPr>
              <w:rPr>
                <w:rFonts w:ascii="Arial" w:hAnsi="Arial" w:cs="Arial"/>
                <w:sz w:val="14"/>
                <w:szCs w:val="14"/>
                <w:lang w:eastAsia="es-AR"/>
              </w:rPr>
            </w:pPr>
          </w:p>
        </w:tc>
        <w:tc>
          <w:tcPr>
            <w:tcW w:w="992" w:type="dxa"/>
            <w:tcBorders>
              <w:top w:val="nil"/>
              <w:left w:val="nil"/>
              <w:bottom w:val="nil"/>
              <w:right w:val="nil"/>
            </w:tcBorders>
            <w:shd w:val="clear" w:color="auto" w:fill="auto"/>
            <w:noWrap/>
            <w:vAlign w:val="bottom"/>
            <w:hideMark/>
          </w:tcPr>
          <w:p w14:paraId="01C4EA6C"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7A61D98B" w14:textId="77777777" w:rsidR="00927F7D" w:rsidRPr="00E81272" w:rsidRDefault="00927F7D" w:rsidP="00436FB1">
            <w:pPr>
              <w:jc w:val="right"/>
              <w:rPr>
                <w:rFonts w:ascii="Arial" w:hAnsi="Arial" w:cs="Arial"/>
                <w:sz w:val="14"/>
                <w:szCs w:val="14"/>
                <w:lang w:eastAsia="es-AR"/>
              </w:rPr>
            </w:pPr>
          </w:p>
        </w:tc>
        <w:tc>
          <w:tcPr>
            <w:tcW w:w="992" w:type="dxa"/>
            <w:tcBorders>
              <w:top w:val="nil"/>
              <w:left w:val="nil"/>
              <w:bottom w:val="nil"/>
              <w:right w:val="nil"/>
            </w:tcBorders>
          </w:tcPr>
          <w:p w14:paraId="16E39F10" w14:textId="77777777" w:rsidR="00927F7D" w:rsidRPr="00E81272" w:rsidRDefault="00927F7D" w:rsidP="00436FB1">
            <w:pPr>
              <w:jc w:val="right"/>
              <w:rPr>
                <w:rFonts w:ascii="Arial" w:hAnsi="Arial" w:cs="Arial"/>
                <w:sz w:val="14"/>
                <w:szCs w:val="14"/>
                <w:lang w:eastAsia="es-AR"/>
              </w:rPr>
            </w:pPr>
          </w:p>
        </w:tc>
        <w:tc>
          <w:tcPr>
            <w:tcW w:w="993" w:type="dxa"/>
            <w:tcBorders>
              <w:top w:val="nil"/>
              <w:left w:val="nil"/>
              <w:bottom w:val="nil"/>
              <w:right w:val="nil"/>
            </w:tcBorders>
            <w:shd w:val="clear" w:color="auto" w:fill="auto"/>
            <w:noWrap/>
            <w:vAlign w:val="bottom"/>
            <w:hideMark/>
          </w:tcPr>
          <w:p w14:paraId="3559F311"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p w14:paraId="56CEAD3D"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709" w:type="dxa"/>
            <w:tcBorders>
              <w:top w:val="nil"/>
              <w:left w:val="nil"/>
              <w:bottom w:val="nil"/>
              <w:right w:val="nil"/>
            </w:tcBorders>
            <w:shd w:val="clear" w:color="auto" w:fill="auto"/>
            <w:noWrap/>
            <w:vAlign w:val="bottom"/>
            <w:hideMark/>
          </w:tcPr>
          <w:p w14:paraId="51D8E3BC"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783" w:type="dxa"/>
            <w:tcBorders>
              <w:top w:val="nil"/>
              <w:left w:val="nil"/>
              <w:bottom w:val="nil"/>
              <w:right w:val="nil"/>
            </w:tcBorders>
            <w:shd w:val="clear" w:color="auto" w:fill="auto"/>
            <w:noWrap/>
            <w:vAlign w:val="bottom"/>
            <w:hideMark/>
          </w:tcPr>
          <w:p w14:paraId="08A596B1"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851" w:type="dxa"/>
            <w:tcBorders>
              <w:top w:val="nil"/>
              <w:left w:val="nil"/>
              <w:bottom w:val="nil"/>
              <w:right w:val="nil"/>
            </w:tcBorders>
            <w:shd w:val="clear" w:color="auto" w:fill="auto"/>
            <w:noWrap/>
            <w:vAlign w:val="bottom"/>
            <w:hideMark/>
          </w:tcPr>
          <w:p w14:paraId="5392AD49" w14:textId="77777777" w:rsidR="00927F7D" w:rsidRPr="00E81272" w:rsidRDefault="00927F7D" w:rsidP="00436FB1">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shd w:val="clear" w:color="auto" w:fill="auto"/>
            <w:noWrap/>
            <w:vAlign w:val="bottom"/>
            <w:hideMark/>
          </w:tcPr>
          <w:p w14:paraId="3D0EB112" w14:textId="0F18664E"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39</w:t>
            </w:r>
            <w:r w:rsidR="00996159">
              <w:rPr>
                <w:rFonts w:ascii="Arial" w:hAnsi="Arial" w:cs="Arial"/>
                <w:sz w:val="14"/>
                <w:szCs w:val="14"/>
                <w:lang w:eastAsia="es-AR"/>
              </w:rPr>
              <w:t>1</w:t>
            </w:r>
          </w:p>
        </w:tc>
        <w:tc>
          <w:tcPr>
            <w:tcW w:w="850" w:type="dxa"/>
            <w:tcBorders>
              <w:top w:val="nil"/>
              <w:left w:val="nil"/>
              <w:bottom w:val="nil"/>
              <w:right w:val="nil"/>
            </w:tcBorders>
            <w:shd w:val="clear" w:color="auto" w:fill="auto"/>
            <w:noWrap/>
            <w:vAlign w:val="bottom"/>
            <w:hideMark/>
          </w:tcPr>
          <w:p w14:paraId="77ABDA6D" w14:textId="36197B1B" w:rsidR="00927F7D" w:rsidRPr="00E81272" w:rsidRDefault="00927F7D" w:rsidP="00436FB1">
            <w:pPr>
              <w:jc w:val="right"/>
              <w:rPr>
                <w:rFonts w:ascii="Arial" w:hAnsi="Arial" w:cs="Arial"/>
                <w:sz w:val="14"/>
                <w:szCs w:val="14"/>
                <w:lang w:eastAsia="es-AR"/>
              </w:rPr>
            </w:pPr>
            <w:r>
              <w:rPr>
                <w:rFonts w:ascii="Arial" w:hAnsi="Arial" w:cs="Arial"/>
                <w:sz w:val="14"/>
                <w:szCs w:val="14"/>
                <w:lang w:eastAsia="es-AR"/>
              </w:rPr>
              <w:t>39</w:t>
            </w:r>
            <w:r w:rsidR="00996159">
              <w:rPr>
                <w:rFonts w:ascii="Arial" w:hAnsi="Arial" w:cs="Arial"/>
                <w:sz w:val="14"/>
                <w:szCs w:val="14"/>
                <w:lang w:eastAsia="es-AR"/>
              </w:rPr>
              <w:t>1</w:t>
            </w:r>
          </w:p>
        </w:tc>
      </w:tr>
      <w:tr w:rsidR="00927F7D" w:rsidRPr="00B26A01" w14:paraId="22F501F0" w14:textId="77777777" w:rsidTr="00637A70">
        <w:trPr>
          <w:trHeight w:val="80"/>
          <w:jc w:val="center"/>
        </w:trPr>
        <w:tc>
          <w:tcPr>
            <w:tcW w:w="2401" w:type="dxa"/>
            <w:tcBorders>
              <w:top w:val="nil"/>
              <w:left w:val="nil"/>
              <w:bottom w:val="nil"/>
              <w:right w:val="nil"/>
            </w:tcBorders>
            <w:shd w:val="clear" w:color="auto" w:fill="auto"/>
            <w:hideMark/>
          </w:tcPr>
          <w:p w14:paraId="4982950E" w14:textId="77777777" w:rsidR="00927F7D" w:rsidRPr="00B26A01" w:rsidRDefault="00927F7D" w:rsidP="00436FB1">
            <w:pPr>
              <w:rPr>
                <w:rFonts w:ascii="Arial" w:hAnsi="Arial" w:cs="Arial"/>
                <w:sz w:val="10"/>
                <w:szCs w:val="10"/>
                <w:lang w:eastAsia="es-AR"/>
              </w:rPr>
            </w:pPr>
          </w:p>
        </w:tc>
        <w:tc>
          <w:tcPr>
            <w:tcW w:w="567" w:type="dxa"/>
            <w:tcBorders>
              <w:top w:val="nil"/>
              <w:left w:val="nil"/>
              <w:bottom w:val="nil"/>
              <w:right w:val="nil"/>
            </w:tcBorders>
            <w:shd w:val="clear" w:color="auto" w:fill="auto"/>
            <w:noWrap/>
            <w:hideMark/>
          </w:tcPr>
          <w:p w14:paraId="319D187F" w14:textId="77777777" w:rsidR="00927F7D" w:rsidRPr="00B26A01" w:rsidRDefault="00927F7D" w:rsidP="00436FB1">
            <w:pPr>
              <w:rPr>
                <w:sz w:val="10"/>
                <w:szCs w:val="10"/>
                <w:lang w:eastAsia="es-AR"/>
              </w:rPr>
            </w:pPr>
          </w:p>
        </w:tc>
        <w:tc>
          <w:tcPr>
            <w:tcW w:w="992" w:type="dxa"/>
            <w:tcBorders>
              <w:top w:val="nil"/>
              <w:left w:val="nil"/>
              <w:bottom w:val="nil"/>
              <w:right w:val="nil"/>
            </w:tcBorders>
            <w:shd w:val="clear" w:color="auto" w:fill="auto"/>
            <w:noWrap/>
            <w:vAlign w:val="bottom"/>
            <w:hideMark/>
          </w:tcPr>
          <w:p w14:paraId="72C194E1" w14:textId="77777777" w:rsidR="00927F7D" w:rsidRPr="00B26A01" w:rsidRDefault="00927F7D" w:rsidP="00436FB1">
            <w:pPr>
              <w:jc w:val="right"/>
              <w:rPr>
                <w:sz w:val="10"/>
                <w:szCs w:val="10"/>
                <w:lang w:eastAsia="es-AR"/>
              </w:rPr>
            </w:pPr>
          </w:p>
        </w:tc>
        <w:tc>
          <w:tcPr>
            <w:tcW w:w="1134" w:type="dxa"/>
            <w:tcBorders>
              <w:top w:val="nil"/>
              <w:left w:val="nil"/>
              <w:bottom w:val="nil"/>
              <w:right w:val="nil"/>
            </w:tcBorders>
          </w:tcPr>
          <w:p w14:paraId="0779664A" w14:textId="77777777" w:rsidR="00927F7D" w:rsidRPr="00B26A01" w:rsidRDefault="00927F7D" w:rsidP="00436FB1">
            <w:pPr>
              <w:jc w:val="right"/>
              <w:rPr>
                <w:sz w:val="10"/>
                <w:szCs w:val="10"/>
                <w:lang w:eastAsia="es-AR"/>
              </w:rPr>
            </w:pPr>
          </w:p>
        </w:tc>
        <w:tc>
          <w:tcPr>
            <w:tcW w:w="992" w:type="dxa"/>
            <w:tcBorders>
              <w:top w:val="nil"/>
              <w:left w:val="nil"/>
              <w:bottom w:val="nil"/>
              <w:right w:val="nil"/>
            </w:tcBorders>
          </w:tcPr>
          <w:p w14:paraId="5755E3BF" w14:textId="77777777" w:rsidR="00927F7D" w:rsidRPr="00B26A01" w:rsidRDefault="00927F7D" w:rsidP="00436FB1">
            <w:pPr>
              <w:jc w:val="right"/>
              <w:rPr>
                <w:sz w:val="10"/>
                <w:szCs w:val="10"/>
                <w:lang w:eastAsia="es-AR"/>
              </w:rPr>
            </w:pPr>
          </w:p>
        </w:tc>
        <w:tc>
          <w:tcPr>
            <w:tcW w:w="993" w:type="dxa"/>
            <w:tcBorders>
              <w:top w:val="nil"/>
              <w:left w:val="nil"/>
              <w:bottom w:val="nil"/>
              <w:right w:val="nil"/>
            </w:tcBorders>
            <w:shd w:val="clear" w:color="auto" w:fill="auto"/>
            <w:noWrap/>
            <w:vAlign w:val="bottom"/>
            <w:hideMark/>
          </w:tcPr>
          <w:p w14:paraId="150EFF70" w14:textId="77777777" w:rsidR="00927F7D" w:rsidRPr="00B26A01" w:rsidRDefault="00927F7D" w:rsidP="00436FB1">
            <w:pPr>
              <w:jc w:val="right"/>
              <w:rPr>
                <w:sz w:val="10"/>
                <w:szCs w:val="10"/>
                <w:lang w:eastAsia="es-AR"/>
              </w:rPr>
            </w:pPr>
          </w:p>
        </w:tc>
        <w:tc>
          <w:tcPr>
            <w:tcW w:w="709" w:type="dxa"/>
            <w:tcBorders>
              <w:top w:val="nil"/>
              <w:left w:val="nil"/>
              <w:bottom w:val="nil"/>
              <w:right w:val="nil"/>
            </w:tcBorders>
            <w:shd w:val="clear" w:color="auto" w:fill="auto"/>
            <w:noWrap/>
            <w:vAlign w:val="bottom"/>
            <w:hideMark/>
          </w:tcPr>
          <w:p w14:paraId="7B6A387C" w14:textId="77777777" w:rsidR="00927F7D" w:rsidRPr="00B26A01" w:rsidRDefault="00927F7D" w:rsidP="00436FB1">
            <w:pPr>
              <w:jc w:val="right"/>
              <w:rPr>
                <w:sz w:val="10"/>
                <w:szCs w:val="10"/>
                <w:lang w:eastAsia="es-AR"/>
              </w:rPr>
            </w:pPr>
          </w:p>
        </w:tc>
        <w:tc>
          <w:tcPr>
            <w:tcW w:w="783" w:type="dxa"/>
            <w:tcBorders>
              <w:top w:val="nil"/>
              <w:left w:val="nil"/>
              <w:bottom w:val="nil"/>
              <w:right w:val="nil"/>
            </w:tcBorders>
            <w:shd w:val="clear" w:color="auto" w:fill="auto"/>
            <w:noWrap/>
            <w:vAlign w:val="bottom"/>
            <w:hideMark/>
          </w:tcPr>
          <w:p w14:paraId="3505F438" w14:textId="77777777" w:rsidR="00927F7D" w:rsidRPr="00B26A01" w:rsidRDefault="00927F7D" w:rsidP="00436FB1">
            <w:pPr>
              <w:jc w:val="right"/>
              <w:rPr>
                <w:sz w:val="10"/>
                <w:szCs w:val="10"/>
                <w:lang w:eastAsia="es-AR"/>
              </w:rPr>
            </w:pPr>
          </w:p>
        </w:tc>
        <w:tc>
          <w:tcPr>
            <w:tcW w:w="851" w:type="dxa"/>
            <w:tcBorders>
              <w:top w:val="nil"/>
              <w:left w:val="nil"/>
              <w:bottom w:val="nil"/>
              <w:right w:val="nil"/>
            </w:tcBorders>
            <w:shd w:val="clear" w:color="auto" w:fill="auto"/>
            <w:noWrap/>
            <w:vAlign w:val="bottom"/>
            <w:hideMark/>
          </w:tcPr>
          <w:p w14:paraId="4076D5E5" w14:textId="77777777" w:rsidR="00927F7D" w:rsidRPr="00B26A01" w:rsidRDefault="00927F7D" w:rsidP="00436FB1">
            <w:pPr>
              <w:jc w:val="right"/>
              <w:rPr>
                <w:sz w:val="10"/>
                <w:szCs w:val="10"/>
                <w:lang w:eastAsia="es-AR"/>
              </w:rPr>
            </w:pPr>
          </w:p>
        </w:tc>
        <w:tc>
          <w:tcPr>
            <w:tcW w:w="992" w:type="dxa"/>
            <w:tcBorders>
              <w:top w:val="nil"/>
              <w:left w:val="nil"/>
              <w:bottom w:val="nil"/>
              <w:right w:val="nil"/>
            </w:tcBorders>
            <w:shd w:val="clear" w:color="auto" w:fill="auto"/>
            <w:noWrap/>
            <w:vAlign w:val="bottom"/>
            <w:hideMark/>
          </w:tcPr>
          <w:p w14:paraId="29F88BF5" w14:textId="77777777" w:rsidR="00927F7D" w:rsidRPr="00B26A01" w:rsidRDefault="00927F7D" w:rsidP="00436FB1">
            <w:pPr>
              <w:jc w:val="right"/>
              <w:rPr>
                <w:sz w:val="10"/>
                <w:szCs w:val="10"/>
                <w:lang w:eastAsia="es-AR"/>
              </w:rPr>
            </w:pPr>
          </w:p>
        </w:tc>
        <w:tc>
          <w:tcPr>
            <w:tcW w:w="850" w:type="dxa"/>
            <w:tcBorders>
              <w:top w:val="nil"/>
              <w:left w:val="nil"/>
              <w:bottom w:val="nil"/>
              <w:right w:val="nil"/>
            </w:tcBorders>
            <w:shd w:val="clear" w:color="auto" w:fill="auto"/>
            <w:noWrap/>
            <w:vAlign w:val="bottom"/>
            <w:hideMark/>
          </w:tcPr>
          <w:p w14:paraId="3F1E00B5" w14:textId="77777777" w:rsidR="00927F7D" w:rsidRPr="00B26A01" w:rsidRDefault="00927F7D" w:rsidP="00436FB1">
            <w:pPr>
              <w:jc w:val="right"/>
              <w:rPr>
                <w:sz w:val="10"/>
                <w:szCs w:val="10"/>
                <w:lang w:eastAsia="es-AR"/>
              </w:rPr>
            </w:pPr>
          </w:p>
        </w:tc>
      </w:tr>
      <w:tr w:rsidR="00927F7D" w:rsidRPr="0070190A" w14:paraId="0DD296DE" w14:textId="77777777" w:rsidTr="00637A70">
        <w:trPr>
          <w:trHeight w:val="77"/>
          <w:jc w:val="center"/>
        </w:trPr>
        <w:tc>
          <w:tcPr>
            <w:tcW w:w="2401" w:type="dxa"/>
            <w:tcBorders>
              <w:top w:val="nil"/>
              <w:left w:val="nil"/>
              <w:bottom w:val="nil"/>
              <w:right w:val="nil"/>
            </w:tcBorders>
            <w:shd w:val="clear" w:color="auto" w:fill="auto"/>
            <w:hideMark/>
          </w:tcPr>
          <w:p w14:paraId="2C581560" w14:textId="77777777" w:rsidR="00927F7D" w:rsidRPr="00E81272" w:rsidRDefault="00927F7D" w:rsidP="00436FB1">
            <w:pPr>
              <w:rPr>
                <w:rFonts w:ascii="Arial" w:hAnsi="Arial" w:cs="Arial"/>
                <w:b/>
                <w:bCs/>
                <w:sz w:val="14"/>
                <w:szCs w:val="14"/>
                <w:lang w:eastAsia="es-AR"/>
              </w:rPr>
            </w:pPr>
            <w:r w:rsidRPr="00E81272">
              <w:rPr>
                <w:rFonts w:ascii="Arial" w:hAnsi="Arial" w:cs="Arial"/>
                <w:b/>
                <w:bCs/>
                <w:sz w:val="14"/>
                <w:szCs w:val="14"/>
                <w:lang w:eastAsia="es-AR"/>
              </w:rPr>
              <w:t>Saldos al cierre del período</w:t>
            </w:r>
          </w:p>
        </w:tc>
        <w:tc>
          <w:tcPr>
            <w:tcW w:w="567" w:type="dxa"/>
            <w:tcBorders>
              <w:top w:val="nil"/>
              <w:left w:val="nil"/>
              <w:bottom w:val="nil"/>
              <w:right w:val="nil"/>
            </w:tcBorders>
            <w:shd w:val="clear" w:color="auto" w:fill="auto"/>
            <w:noWrap/>
            <w:hideMark/>
          </w:tcPr>
          <w:p w14:paraId="4A38DEC3" w14:textId="77777777" w:rsidR="00927F7D" w:rsidRPr="00E81272" w:rsidRDefault="00927F7D" w:rsidP="00436FB1">
            <w:pPr>
              <w:rPr>
                <w:rFonts w:ascii="Arial" w:hAnsi="Arial" w:cs="Arial"/>
                <w:b/>
                <w:bCs/>
                <w:sz w:val="14"/>
                <w:szCs w:val="14"/>
                <w:lang w:eastAsia="es-AR"/>
              </w:rPr>
            </w:pPr>
          </w:p>
        </w:tc>
        <w:tc>
          <w:tcPr>
            <w:tcW w:w="992" w:type="dxa"/>
            <w:tcBorders>
              <w:top w:val="single" w:sz="4" w:space="0" w:color="auto"/>
              <w:left w:val="nil"/>
              <w:bottom w:val="single" w:sz="4" w:space="0" w:color="auto"/>
              <w:right w:val="nil"/>
            </w:tcBorders>
            <w:shd w:val="clear" w:color="auto" w:fill="auto"/>
            <w:noWrap/>
            <w:vAlign w:val="center"/>
            <w:hideMark/>
          </w:tcPr>
          <w:p w14:paraId="02C6C559" w14:textId="68BD8790" w:rsidR="00927F7D" w:rsidRPr="00E81272" w:rsidRDefault="00586A3A" w:rsidP="00436FB1">
            <w:pPr>
              <w:jc w:val="right"/>
              <w:rPr>
                <w:rFonts w:ascii="Arial" w:hAnsi="Arial" w:cs="Arial"/>
                <w:b/>
                <w:bCs/>
                <w:sz w:val="14"/>
                <w:szCs w:val="14"/>
                <w:lang w:eastAsia="es-AR"/>
              </w:rPr>
            </w:pPr>
            <w:r>
              <w:rPr>
                <w:rFonts w:ascii="Arial" w:hAnsi="Arial" w:cs="Arial"/>
                <w:b/>
                <w:bCs/>
                <w:sz w:val="14"/>
                <w:szCs w:val="14"/>
                <w:lang w:eastAsia="es-AR"/>
              </w:rPr>
              <w:t>829</w:t>
            </w:r>
            <w:r w:rsidR="00927F7D" w:rsidRPr="00E81272">
              <w:rPr>
                <w:rFonts w:ascii="Arial" w:hAnsi="Arial" w:cs="Arial"/>
                <w:b/>
                <w:bCs/>
                <w:sz w:val="14"/>
                <w:szCs w:val="14"/>
                <w:lang w:eastAsia="es-AR"/>
              </w:rPr>
              <w:t>.</w:t>
            </w:r>
            <w:r w:rsidR="00927F7D">
              <w:rPr>
                <w:rFonts w:ascii="Arial" w:hAnsi="Arial" w:cs="Arial"/>
                <w:b/>
                <w:bCs/>
                <w:sz w:val="14"/>
                <w:szCs w:val="14"/>
                <w:lang w:eastAsia="es-AR"/>
              </w:rPr>
              <w:t>5</w:t>
            </w:r>
            <w:r>
              <w:rPr>
                <w:rFonts w:ascii="Arial" w:hAnsi="Arial" w:cs="Arial"/>
                <w:b/>
                <w:bCs/>
                <w:sz w:val="14"/>
                <w:szCs w:val="14"/>
                <w:lang w:eastAsia="es-AR"/>
              </w:rPr>
              <w:t>64</w:t>
            </w:r>
          </w:p>
        </w:tc>
        <w:tc>
          <w:tcPr>
            <w:tcW w:w="1134" w:type="dxa"/>
            <w:tcBorders>
              <w:top w:val="single" w:sz="4" w:space="0" w:color="auto"/>
              <w:left w:val="nil"/>
              <w:bottom w:val="single" w:sz="4" w:space="0" w:color="auto"/>
              <w:right w:val="nil"/>
            </w:tcBorders>
            <w:vAlign w:val="center"/>
          </w:tcPr>
          <w:p w14:paraId="1E8D8707" w14:textId="2067731F" w:rsidR="00927F7D" w:rsidRPr="00E81272" w:rsidRDefault="00586A3A" w:rsidP="00436FB1">
            <w:pPr>
              <w:jc w:val="right"/>
              <w:rPr>
                <w:rFonts w:ascii="Arial" w:hAnsi="Arial" w:cs="Arial"/>
                <w:b/>
                <w:bCs/>
                <w:sz w:val="14"/>
                <w:szCs w:val="14"/>
                <w:lang w:eastAsia="es-AR"/>
              </w:rPr>
            </w:pPr>
            <w:r>
              <w:rPr>
                <w:rFonts w:ascii="Arial" w:hAnsi="Arial" w:cs="Arial"/>
                <w:b/>
                <w:bCs/>
                <w:sz w:val="14"/>
                <w:szCs w:val="14"/>
                <w:lang w:eastAsia="es-AR"/>
              </w:rPr>
              <w:t>6</w:t>
            </w:r>
            <w:r w:rsidR="00927F7D" w:rsidRPr="00E81272">
              <w:rPr>
                <w:rFonts w:ascii="Arial" w:hAnsi="Arial" w:cs="Arial"/>
                <w:b/>
                <w:bCs/>
                <w:sz w:val="14"/>
                <w:szCs w:val="14"/>
                <w:lang w:eastAsia="es-AR"/>
              </w:rPr>
              <w:t>.</w:t>
            </w:r>
            <w:r>
              <w:rPr>
                <w:rFonts w:ascii="Arial" w:hAnsi="Arial" w:cs="Arial"/>
                <w:b/>
                <w:bCs/>
                <w:sz w:val="14"/>
                <w:szCs w:val="14"/>
                <w:lang w:eastAsia="es-AR"/>
              </w:rPr>
              <w:t>898</w:t>
            </w:r>
            <w:r w:rsidR="00927F7D" w:rsidRPr="00E81272">
              <w:rPr>
                <w:rFonts w:ascii="Arial" w:hAnsi="Arial" w:cs="Arial"/>
                <w:b/>
                <w:bCs/>
                <w:sz w:val="14"/>
                <w:szCs w:val="14"/>
                <w:lang w:eastAsia="es-AR"/>
              </w:rPr>
              <w:t>.</w:t>
            </w:r>
            <w:r>
              <w:rPr>
                <w:rFonts w:ascii="Arial" w:hAnsi="Arial" w:cs="Arial"/>
                <w:b/>
                <w:bCs/>
                <w:sz w:val="14"/>
                <w:szCs w:val="14"/>
                <w:lang w:eastAsia="es-AR"/>
              </w:rPr>
              <w:t>635</w:t>
            </w:r>
          </w:p>
        </w:tc>
        <w:tc>
          <w:tcPr>
            <w:tcW w:w="992" w:type="dxa"/>
            <w:tcBorders>
              <w:top w:val="single" w:sz="4" w:space="0" w:color="auto"/>
              <w:left w:val="nil"/>
              <w:bottom w:val="single" w:sz="4" w:space="0" w:color="auto"/>
              <w:right w:val="nil"/>
            </w:tcBorders>
          </w:tcPr>
          <w:p w14:paraId="3681EB04" w14:textId="72CACD02" w:rsidR="00927F7D" w:rsidRPr="005A1F48" w:rsidRDefault="00586A3A" w:rsidP="00436FB1">
            <w:pPr>
              <w:jc w:val="right"/>
              <w:rPr>
                <w:rFonts w:ascii="Arial" w:hAnsi="Arial" w:cs="Arial"/>
                <w:b/>
                <w:bCs/>
                <w:sz w:val="14"/>
                <w:szCs w:val="14"/>
              </w:rPr>
            </w:pPr>
            <w:r>
              <w:rPr>
                <w:rFonts w:ascii="Arial" w:hAnsi="Arial" w:cs="Arial"/>
                <w:b/>
                <w:bCs/>
                <w:sz w:val="14"/>
                <w:szCs w:val="14"/>
              </w:rPr>
              <w:t>16.376.393</w:t>
            </w:r>
          </w:p>
        </w:tc>
        <w:tc>
          <w:tcPr>
            <w:tcW w:w="993" w:type="dxa"/>
            <w:tcBorders>
              <w:top w:val="single" w:sz="4" w:space="0" w:color="auto"/>
              <w:left w:val="nil"/>
              <w:bottom w:val="single" w:sz="4" w:space="0" w:color="auto"/>
              <w:right w:val="nil"/>
            </w:tcBorders>
            <w:shd w:val="clear" w:color="auto" w:fill="auto"/>
            <w:noWrap/>
            <w:vAlign w:val="center"/>
          </w:tcPr>
          <w:p w14:paraId="3121D045" w14:textId="3185BF63" w:rsidR="00927F7D" w:rsidRPr="0070190A" w:rsidRDefault="00586A3A" w:rsidP="00436FB1">
            <w:pPr>
              <w:jc w:val="right"/>
              <w:rPr>
                <w:rFonts w:ascii="Arial" w:hAnsi="Arial" w:cs="Arial"/>
                <w:b/>
                <w:bCs/>
                <w:sz w:val="14"/>
                <w:szCs w:val="14"/>
                <w:lang w:eastAsia="es-AR"/>
              </w:rPr>
            </w:pPr>
            <w:r>
              <w:rPr>
                <w:rFonts w:ascii="Arial" w:hAnsi="Arial" w:cs="Arial"/>
                <w:b/>
                <w:bCs/>
                <w:sz w:val="14"/>
                <w:szCs w:val="14"/>
              </w:rPr>
              <w:t>-</w:t>
            </w:r>
          </w:p>
        </w:tc>
        <w:tc>
          <w:tcPr>
            <w:tcW w:w="709" w:type="dxa"/>
            <w:tcBorders>
              <w:top w:val="single" w:sz="4" w:space="0" w:color="auto"/>
              <w:left w:val="nil"/>
              <w:bottom w:val="single" w:sz="4" w:space="0" w:color="auto"/>
              <w:right w:val="nil"/>
            </w:tcBorders>
            <w:shd w:val="clear" w:color="auto" w:fill="auto"/>
            <w:noWrap/>
            <w:vAlign w:val="center"/>
          </w:tcPr>
          <w:p w14:paraId="793FBC68" w14:textId="1D6A8A22" w:rsidR="00927F7D" w:rsidRPr="0070190A" w:rsidRDefault="00586A3A" w:rsidP="00436FB1">
            <w:pPr>
              <w:jc w:val="right"/>
              <w:rPr>
                <w:rFonts w:ascii="Arial" w:hAnsi="Arial" w:cs="Arial"/>
                <w:b/>
                <w:bCs/>
                <w:sz w:val="14"/>
                <w:szCs w:val="14"/>
                <w:lang w:eastAsia="es-AR"/>
              </w:rPr>
            </w:pPr>
            <w:r>
              <w:rPr>
                <w:rFonts w:ascii="Arial" w:hAnsi="Arial" w:cs="Arial"/>
                <w:b/>
                <w:bCs/>
                <w:sz w:val="14"/>
                <w:szCs w:val="14"/>
              </w:rPr>
              <w:t>-42.352</w:t>
            </w:r>
          </w:p>
        </w:tc>
        <w:tc>
          <w:tcPr>
            <w:tcW w:w="783" w:type="dxa"/>
            <w:tcBorders>
              <w:top w:val="single" w:sz="4" w:space="0" w:color="auto"/>
              <w:left w:val="nil"/>
              <w:bottom w:val="single" w:sz="4" w:space="0" w:color="auto"/>
              <w:right w:val="nil"/>
            </w:tcBorders>
            <w:shd w:val="clear" w:color="auto" w:fill="auto"/>
            <w:noWrap/>
            <w:vAlign w:val="center"/>
          </w:tcPr>
          <w:p w14:paraId="1D2BDDB7" w14:textId="43C6DFAD" w:rsidR="00927F7D" w:rsidRPr="0070190A" w:rsidRDefault="00586A3A" w:rsidP="00436FB1">
            <w:pPr>
              <w:jc w:val="right"/>
              <w:rPr>
                <w:rFonts w:ascii="Arial" w:hAnsi="Arial" w:cs="Arial"/>
                <w:b/>
                <w:bCs/>
                <w:sz w:val="14"/>
                <w:szCs w:val="14"/>
                <w:lang w:eastAsia="es-AR"/>
              </w:rPr>
            </w:pPr>
            <w:r>
              <w:rPr>
                <w:rFonts w:ascii="Arial" w:hAnsi="Arial" w:cs="Arial"/>
                <w:b/>
                <w:bCs/>
                <w:sz w:val="14"/>
                <w:szCs w:val="14"/>
              </w:rPr>
              <w:t>1.841.138</w:t>
            </w:r>
          </w:p>
        </w:tc>
        <w:tc>
          <w:tcPr>
            <w:tcW w:w="851" w:type="dxa"/>
            <w:tcBorders>
              <w:top w:val="single" w:sz="4" w:space="0" w:color="auto"/>
              <w:left w:val="nil"/>
              <w:bottom w:val="single" w:sz="4" w:space="0" w:color="auto"/>
              <w:right w:val="nil"/>
            </w:tcBorders>
            <w:shd w:val="clear" w:color="auto" w:fill="auto"/>
            <w:noWrap/>
            <w:vAlign w:val="center"/>
          </w:tcPr>
          <w:p w14:paraId="36E579BE" w14:textId="3BDE99DC" w:rsidR="00927F7D" w:rsidRPr="0070190A" w:rsidRDefault="00586A3A" w:rsidP="00436FB1">
            <w:pPr>
              <w:jc w:val="right"/>
              <w:rPr>
                <w:rFonts w:ascii="Arial" w:hAnsi="Arial" w:cs="Arial"/>
                <w:b/>
                <w:bCs/>
                <w:sz w:val="14"/>
                <w:szCs w:val="14"/>
                <w:lang w:eastAsia="es-AR"/>
              </w:rPr>
            </w:pPr>
            <w:r>
              <w:rPr>
                <w:rFonts w:ascii="Arial" w:hAnsi="Arial" w:cs="Arial"/>
                <w:b/>
                <w:bCs/>
                <w:sz w:val="14"/>
                <w:szCs w:val="14"/>
              </w:rPr>
              <w:t>7.018.821</w:t>
            </w:r>
          </w:p>
        </w:tc>
        <w:tc>
          <w:tcPr>
            <w:tcW w:w="992" w:type="dxa"/>
            <w:tcBorders>
              <w:top w:val="single" w:sz="4" w:space="0" w:color="auto"/>
              <w:left w:val="nil"/>
              <w:bottom w:val="single" w:sz="4" w:space="0" w:color="auto"/>
              <w:right w:val="nil"/>
            </w:tcBorders>
            <w:shd w:val="clear" w:color="auto" w:fill="auto"/>
            <w:noWrap/>
            <w:vAlign w:val="center"/>
          </w:tcPr>
          <w:p w14:paraId="1C7C33B6" w14:textId="19E01C73" w:rsidR="00927F7D" w:rsidRPr="0070190A" w:rsidRDefault="00586A3A" w:rsidP="00436FB1">
            <w:pPr>
              <w:jc w:val="right"/>
              <w:rPr>
                <w:rFonts w:ascii="Arial" w:hAnsi="Arial" w:cs="Arial"/>
                <w:b/>
                <w:bCs/>
                <w:sz w:val="14"/>
                <w:szCs w:val="14"/>
                <w:lang w:eastAsia="es-AR"/>
              </w:rPr>
            </w:pPr>
            <w:r>
              <w:rPr>
                <w:rFonts w:ascii="Arial" w:hAnsi="Arial" w:cs="Arial"/>
                <w:b/>
                <w:bCs/>
                <w:sz w:val="14"/>
                <w:szCs w:val="14"/>
              </w:rPr>
              <w:t>-12.303.088</w:t>
            </w:r>
          </w:p>
        </w:tc>
        <w:tc>
          <w:tcPr>
            <w:tcW w:w="850" w:type="dxa"/>
            <w:tcBorders>
              <w:top w:val="single" w:sz="4" w:space="0" w:color="auto"/>
              <w:left w:val="nil"/>
              <w:bottom w:val="single" w:sz="4" w:space="0" w:color="auto"/>
              <w:right w:val="nil"/>
            </w:tcBorders>
            <w:shd w:val="clear" w:color="auto" w:fill="auto"/>
            <w:noWrap/>
            <w:vAlign w:val="center"/>
          </w:tcPr>
          <w:p w14:paraId="63D87DBE" w14:textId="06C41025" w:rsidR="00927F7D" w:rsidRPr="0070190A" w:rsidRDefault="00586A3A" w:rsidP="00436FB1">
            <w:pPr>
              <w:jc w:val="right"/>
              <w:rPr>
                <w:rFonts w:ascii="Arial" w:hAnsi="Arial" w:cs="Arial"/>
                <w:b/>
                <w:bCs/>
                <w:sz w:val="14"/>
                <w:szCs w:val="14"/>
                <w:lang w:eastAsia="es-AR"/>
              </w:rPr>
            </w:pPr>
            <w:r>
              <w:rPr>
                <w:rFonts w:ascii="Arial" w:hAnsi="Arial" w:cs="Arial"/>
                <w:b/>
                <w:bCs/>
                <w:sz w:val="14"/>
                <w:szCs w:val="14"/>
              </w:rPr>
              <w:t>20.619.111</w:t>
            </w:r>
          </w:p>
        </w:tc>
      </w:tr>
    </w:tbl>
    <w:p w14:paraId="0A75EB77" w14:textId="68D6DEA3" w:rsidR="0037169B" w:rsidRDefault="0037169B" w:rsidP="005A1F48">
      <w:pPr>
        <w:tabs>
          <w:tab w:val="left" w:pos="1365"/>
        </w:tabs>
        <w:rPr>
          <w:sz w:val="10"/>
          <w:szCs w:val="10"/>
          <w:lang w:val="es-ES_tradnl"/>
        </w:rPr>
      </w:pPr>
    </w:p>
    <w:p w14:paraId="16280C14" w14:textId="19640E38" w:rsidR="0037169B" w:rsidRDefault="0037169B" w:rsidP="005A1F48">
      <w:pPr>
        <w:tabs>
          <w:tab w:val="left" w:pos="1365"/>
        </w:tabs>
        <w:rPr>
          <w:sz w:val="10"/>
          <w:szCs w:val="10"/>
          <w:lang w:val="es-ES_tradnl"/>
        </w:rPr>
      </w:pPr>
    </w:p>
    <w:p w14:paraId="2E82419A" w14:textId="561B80D1" w:rsidR="0037169B" w:rsidRDefault="0037169B" w:rsidP="005A1F48">
      <w:pPr>
        <w:tabs>
          <w:tab w:val="left" w:pos="1365"/>
        </w:tabs>
        <w:rPr>
          <w:sz w:val="10"/>
          <w:szCs w:val="10"/>
          <w:lang w:val="es-ES_tradnl"/>
        </w:rPr>
      </w:pPr>
    </w:p>
    <w:p w14:paraId="7829C3E3" w14:textId="754CE63B" w:rsidR="0037169B" w:rsidRDefault="0037169B" w:rsidP="005A1F48">
      <w:pPr>
        <w:tabs>
          <w:tab w:val="left" w:pos="1365"/>
        </w:tabs>
        <w:rPr>
          <w:sz w:val="10"/>
          <w:szCs w:val="10"/>
          <w:lang w:val="es-ES_tradnl"/>
        </w:rPr>
      </w:pPr>
    </w:p>
    <w:p w14:paraId="22294E8F" w14:textId="25B797CC" w:rsidR="0037169B" w:rsidRDefault="0037169B" w:rsidP="005A1F48">
      <w:pPr>
        <w:tabs>
          <w:tab w:val="left" w:pos="1365"/>
        </w:tabs>
        <w:rPr>
          <w:sz w:val="10"/>
          <w:szCs w:val="10"/>
          <w:lang w:val="es-ES_tradnl"/>
        </w:rPr>
      </w:pPr>
    </w:p>
    <w:p w14:paraId="0F472A67" w14:textId="38327B39" w:rsidR="0037169B" w:rsidRDefault="0037169B" w:rsidP="005A1F48">
      <w:pPr>
        <w:tabs>
          <w:tab w:val="left" w:pos="1365"/>
        </w:tabs>
        <w:rPr>
          <w:sz w:val="10"/>
          <w:szCs w:val="10"/>
          <w:lang w:val="es-ES_tradnl"/>
        </w:rPr>
      </w:pPr>
    </w:p>
    <w:p w14:paraId="03AE1054" w14:textId="47B51918" w:rsidR="0037169B" w:rsidRDefault="0037169B" w:rsidP="005A1F48">
      <w:pPr>
        <w:tabs>
          <w:tab w:val="left" w:pos="1365"/>
        </w:tabs>
        <w:rPr>
          <w:sz w:val="10"/>
          <w:szCs w:val="10"/>
          <w:lang w:val="es-ES_tradnl"/>
        </w:rPr>
      </w:pPr>
    </w:p>
    <w:p w14:paraId="09907880" w14:textId="066B849F" w:rsidR="0037169B" w:rsidRDefault="0037169B" w:rsidP="005A1F48">
      <w:pPr>
        <w:tabs>
          <w:tab w:val="left" w:pos="1365"/>
        </w:tabs>
        <w:rPr>
          <w:sz w:val="10"/>
          <w:szCs w:val="10"/>
          <w:lang w:val="es-ES_tradnl"/>
        </w:rPr>
      </w:pPr>
    </w:p>
    <w:p w14:paraId="65CB6B20" w14:textId="47D9A0A3" w:rsidR="0037169B" w:rsidRDefault="0037169B" w:rsidP="005A1F48">
      <w:pPr>
        <w:tabs>
          <w:tab w:val="left" w:pos="1365"/>
        </w:tabs>
        <w:rPr>
          <w:sz w:val="10"/>
          <w:szCs w:val="10"/>
          <w:lang w:val="es-ES_tradnl"/>
        </w:rPr>
      </w:pPr>
    </w:p>
    <w:p w14:paraId="02F46A48" w14:textId="759DF032" w:rsidR="0037169B" w:rsidRDefault="0037169B" w:rsidP="005A1F48">
      <w:pPr>
        <w:tabs>
          <w:tab w:val="left" w:pos="1365"/>
        </w:tabs>
        <w:rPr>
          <w:sz w:val="10"/>
          <w:szCs w:val="10"/>
          <w:lang w:val="es-ES_tradnl"/>
        </w:rPr>
      </w:pPr>
    </w:p>
    <w:p w14:paraId="4714962B" w14:textId="7BD1BEAB" w:rsidR="0037169B" w:rsidRDefault="0037169B" w:rsidP="005A1F48">
      <w:pPr>
        <w:tabs>
          <w:tab w:val="left" w:pos="1365"/>
        </w:tabs>
        <w:rPr>
          <w:sz w:val="10"/>
          <w:szCs w:val="10"/>
          <w:lang w:val="es-ES_tradnl"/>
        </w:rPr>
      </w:pPr>
    </w:p>
    <w:p w14:paraId="388C982A" w14:textId="04B6486C" w:rsidR="0037169B" w:rsidRDefault="0037169B" w:rsidP="005A1F48">
      <w:pPr>
        <w:tabs>
          <w:tab w:val="left" w:pos="1365"/>
        </w:tabs>
        <w:rPr>
          <w:sz w:val="10"/>
          <w:szCs w:val="10"/>
          <w:lang w:val="es-ES_tradnl"/>
        </w:rPr>
      </w:pPr>
    </w:p>
    <w:p w14:paraId="6004FD72" w14:textId="3A7BF0AE" w:rsidR="0037169B" w:rsidRDefault="0037169B" w:rsidP="005A1F48">
      <w:pPr>
        <w:tabs>
          <w:tab w:val="left" w:pos="1365"/>
        </w:tabs>
        <w:rPr>
          <w:sz w:val="10"/>
          <w:szCs w:val="10"/>
          <w:lang w:val="es-ES_tradnl"/>
        </w:rPr>
      </w:pPr>
    </w:p>
    <w:p w14:paraId="3FCD1D20" w14:textId="3AE32D44" w:rsidR="0037169B" w:rsidRDefault="0037169B" w:rsidP="005A1F48">
      <w:pPr>
        <w:tabs>
          <w:tab w:val="left" w:pos="1365"/>
        </w:tabs>
        <w:rPr>
          <w:sz w:val="10"/>
          <w:szCs w:val="10"/>
          <w:lang w:val="es-ES_tradnl"/>
        </w:rPr>
      </w:pPr>
    </w:p>
    <w:p w14:paraId="1D61B1D8" w14:textId="47F079FE" w:rsidR="0037169B" w:rsidRDefault="0037169B" w:rsidP="005A1F48">
      <w:pPr>
        <w:tabs>
          <w:tab w:val="left" w:pos="1365"/>
        </w:tabs>
        <w:rPr>
          <w:sz w:val="10"/>
          <w:szCs w:val="10"/>
          <w:lang w:val="es-ES_tradnl"/>
        </w:rPr>
      </w:pPr>
    </w:p>
    <w:p w14:paraId="6F84ECE6" w14:textId="59811569" w:rsidR="0037169B" w:rsidRDefault="0037169B" w:rsidP="005A1F48">
      <w:pPr>
        <w:tabs>
          <w:tab w:val="left" w:pos="1365"/>
        </w:tabs>
        <w:rPr>
          <w:sz w:val="10"/>
          <w:szCs w:val="10"/>
          <w:lang w:val="es-ES_tradnl"/>
        </w:rPr>
      </w:pPr>
    </w:p>
    <w:tbl>
      <w:tblPr>
        <w:tblW w:w="11264" w:type="dxa"/>
        <w:jc w:val="center"/>
        <w:tblLayout w:type="fixed"/>
        <w:tblCellMar>
          <w:left w:w="70" w:type="dxa"/>
          <w:right w:w="70" w:type="dxa"/>
        </w:tblCellMar>
        <w:tblLook w:val="04A0" w:firstRow="1" w:lastRow="0" w:firstColumn="1" w:lastColumn="0" w:noHBand="0" w:noVBand="1"/>
      </w:tblPr>
      <w:tblGrid>
        <w:gridCol w:w="2401"/>
        <w:gridCol w:w="567"/>
        <w:gridCol w:w="992"/>
        <w:gridCol w:w="1134"/>
        <w:gridCol w:w="992"/>
        <w:gridCol w:w="993"/>
        <w:gridCol w:w="709"/>
        <w:gridCol w:w="783"/>
        <w:gridCol w:w="851"/>
        <w:gridCol w:w="992"/>
        <w:gridCol w:w="850"/>
      </w:tblGrid>
      <w:tr w:rsidR="00586A3A" w:rsidRPr="00E81272" w14:paraId="20BB9447" w14:textId="77777777" w:rsidTr="00637A70">
        <w:trPr>
          <w:trHeight w:val="510"/>
          <w:jc w:val="center"/>
        </w:trPr>
        <w:tc>
          <w:tcPr>
            <w:tcW w:w="240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38E42EE5" w14:textId="77777777" w:rsidR="00586A3A" w:rsidRPr="00E81272" w:rsidRDefault="00586A3A" w:rsidP="00436FB1">
            <w:pPr>
              <w:jc w:val="center"/>
              <w:rPr>
                <w:rFonts w:ascii="Arial" w:hAnsi="Arial" w:cs="Arial"/>
                <w:b/>
                <w:bCs/>
                <w:sz w:val="14"/>
                <w:szCs w:val="14"/>
                <w:lang w:eastAsia="es-AR"/>
              </w:rPr>
            </w:pPr>
            <w:r w:rsidRPr="00066653">
              <w:rPr>
                <w:rFonts w:ascii="Arial" w:hAnsi="Arial" w:cs="Arial"/>
                <w:b/>
                <w:bCs/>
                <w:sz w:val="14"/>
                <w:szCs w:val="14"/>
                <w:lang w:eastAsia="es-AR"/>
              </w:rPr>
              <w:t>Movimientos</w:t>
            </w:r>
          </w:p>
        </w:tc>
        <w:tc>
          <w:tcPr>
            <w:tcW w:w="56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24E7DE09"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Nota</w:t>
            </w:r>
          </w:p>
        </w:tc>
        <w:tc>
          <w:tcPr>
            <w:tcW w:w="992"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6E3DC6C0"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Capital Social</w:t>
            </w:r>
          </w:p>
        </w:tc>
        <w:tc>
          <w:tcPr>
            <w:tcW w:w="1134" w:type="dxa"/>
            <w:tcBorders>
              <w:top w:val="single" w:sz="4" w:space="0" w:color="363639"/>
              <w:left w:val="single" w:sz="4" w:space="0" w:color="363639"/>
              <w:bottom w:val="single" w:sz="4" w:space="0" w:color="363639"/>
              <w:right w:val="single" w:sz="4" w:space="0" w:color="auto"/>
            </w:tcBorders>
            <w:shd w:val="clear" w:color="auto" w:fill="BFBFBF" w:themeFill="background1" w:themeFillShade="BF"/>
            <w:vAlign w:val="center"/>
            <w:hideMark/>
          </w:tcPr>
          <w:p w14:paraId="52FE9887"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Aportes no capitalizados</w:t>
            </w:r>
          </w:p>
        </w:tc>
        <w:tc>
          <w:tcPr>
            <w:tcW w:w="992" w:type="dxa"/>
            <w:vMerge w:val="restart"/>
            <w:tcBorders>
              <w:top w:val="single" w:sz="4" w:space="0" w:color="363639"/>
              <w:left w:val="single" w:sz="4" w:space="0" w:color="auto"/>
              <w:right w:val="single" w:sz="4" w:space="0" w:color="auto"/>
            </w:tcBorders>
            <w:shd w:val="clear" w:color="auto" w:fill="BFBFBF" w:themeFill="background1" w:themeFillShade="BF"/>
            <w:vAlign w:val="center"/>
          </w:tcPr>
          <w:p w14:paraId="0C2E58B9" w14:textId="37470D39" w:rsidR="00586A3A" w:rsidRPr="00E81272" w:rsidRDefault="00461508" w:rsidP="00586A3A">
            <w:pPr>
              <w:jc w:val="center"/>
              <w:rPr>
                <w:rFonts w:ascii="Arial" w:hAnsi="Arial" w:cs="Arial"/>
                <w:b/>
                <w:bCs/>
                <w:sz w:val="14"/>
                <w:szCs w:val="14"/>
                <w:lang w:eastAsia="es-AR"/>
              </w:rPr>
            </w:pPr>
            <w:r>
              <w:rPr>
                <w:rFonts w:ascii="Arial" w:hAnsi="Arial" w:cs="Arial"/>
                <w:b/>
                <w:bCs/>
                <w:sz w:val="14"/>
                <w:szCs w:val="14"/>
                <w:lang w:eastAsia="es-AR"/>
              </w:rPr>
              <w:t>Ajuste de capital</w:t>
            </w:r>
          </w:p>
        </w:tc>
        <w:tc>
          <w:tcPr>
            <w:tcW w:w="1702" w:type="dxa"/>
            <w:gridSpan w:val="2"/>
            <w:tcBorders>
              <w:top w:val="single" w:sz="4" w:space="0" w:color="363639"/>
              <w:left w:val="single" w:sz="4" w:space="0" w:color="auto"/>
              <w:bottom w:val="single" w:sz="4" w:space="0" w:color="363639"/>
              <w:right w:val="single" w:sz="4" w:space="0" w:color="363639"/>
            </w:tcBorders>
            <w:shd w:val="clear" w:color="auto" w:fill="BFBFBF" w:themeFill="background1" w:themeFillShade="BF"/>
            <w:vAlign w:val="center"/>
          </w:tcPr>
          <w:p w14:paraId="690E7756"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Otros Resultados Integrales</w:t>
            </w:r>
          </w:p>
        </w:tc>
        <w:tc>
          <w:tcPr>
            <w:tcW w:w="1634"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6B051F0B"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Reserva de utilidades</w:t>
            </w:r>
          </w:p>
        </w:tc>
        <w:tc>
          <w:tcPr>
            <w:tcW w:w="992"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3E84CC0D"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Resultados No asignados</w:t>
            </w:r>
          </w:p>
        </w:tc>
        <w:tc>
          <w:tcPr>
            <w:tcW w:w="850"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0794EDA9" w14:textId="4EC07905"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Total PN al 30/0</w:t>
            </w:r>
            <w:r>
              <w:rPr>
                <w:rFonts w:ascii="Arial" w:hAnsi="Arial" w:cs="Arial"/>
                <w:b/>
                <w:bCs/>
                <w:sz w:val="14"/>
                <w:szCs w:val="14"/>
                <w:lang w:eastAsia="es-AR"/>
              </w:rPr>
              <w:t>3</w:t>
            </w:r>
            <w:r w:rsidRPr="00E81272">
              <w:rPr>
                <w:rFonts w:ascii="Arial" w:hAnsi="Arial" w:cs="Arial"/>
                <w:b/>
                <w:bCs/>
                <w:sz w:val="14"/>
                <w:szCs w:val="14"/>
                <w:lang w:eastAsia="es-AR"/>
              </w:rPr>
              <w:t>/201</w:t>
            </w:r>
            <w:r>
              <w:rPr>
                <w:rFonts w:ascii="Arial" w:hAnsi="Arial" w:cs="Arial"/>
                <w:b/>
                <w:bCs/>
                <w:sz w:val="14"/>
                <w:szCs w:val="14"/>
                <w:lang w:eastAsia="es-AR"/>
              </w:rPr>
              <w:t>9</w:t>
            </w:r>
          </w:p>
        </w:tc>
      </w:tr>
      <w:tr w:rsidR="00586A3A" w:rsidRPr="00E81272" w14:paraId="0F65DF3C" w14:textId="77777777" w:rsidTr="00637A70">
        <w:trPr>
          <w:trHeight w:val="1307"/>
          <w:jc w:val="center"/>
        </w:trPr>
        <w:tc>
          <w:tcPr>
            <w:tcW w:w="2401" w:type="dxa"/>
            <w:vMerge/>
            <w:tcBorders>
              <w:top w:val="single" w:sz="4" w:space="0" w:color="363639"/>
              <w:left w:val="single" w:sz="4" w:space="0" w:color="363639"/>
              <w:bottom w:val="single" w:sz="4" w:space="0" w:color="363639"/>
              <w:right w:val="single" w:sz="4" w:space="0" w:color="363639"/>
            </w:tcBorders>
            <w:vAlign w:val="center"/>
            <w:hideMark/>
          </w:tcPr>
          <w:p w14:paraId="57343139" w14:textId="77777777" w:rsidR="00586A3A" w:rsidRPr="00E81272" w:rsidRDefault="00586A3A" w:rsidP="00436FB1">
            <w:pPr>
              <w:rPr>
                <w:rFonts w:ascii="Arial" w:hAnsi="Arial" w:cs="Arial"/>
                <w:b/>
                <w:bCs/>
                <w:sz w:val="14"/>
                <w:szCs w:val="14"/>
                <w:lang w:eastAsia="es-AR"/>
              </w:rPr>
            </w:pPr>
          </w:p>
        </w:tc>
        <w:tc>
          <w:tcPr>
            <w:tcW w:w="567" w:type="dxa"/>
            <w:vMerge/>
            <w:tcBorders>
              <w:top w:val="single" w:sz="4" w:space="0" w:color="363639"/>
              <w:left w:val="single" w:sz="4" w:space="0" w:color="363639"/>
              <w:bottom w:val="single" w:sz="4" w:space="0" w:color="363639"/>
              <w:right w:val="single" w:sz="4" w:space="0" w:color="363639"/>
            </w:tcBorders>
            <w:vAlign w:val="center"/>
            <w:hideMark/>
          </w:tcPr>
          <w:p w14:paraId="085131D9" w14:textId="77777777" w:rsidR="00586A3A" w:rsidRPr="00E81272" w:rsidRDefault="00586A3A" w:rsidP="00436FB1">
            <w:pPr>
              <w:rPr>
                <w:rFonts w:ascii="Arial" w:hAnsi="Arial" w:cs="Arial"/>
                <w:b/>
                <w:bCs/>
                <w:sz w:val="14"/>
                <w:szCs w:val="14"/>
                <w:lang w:eastAsia="es-AR"/>
              </w:rPr>
            </w:pPr>
          </w:p>
        </w:tc>
        <w:tc>
          <w:tcPr>
            <w:tcW w:w="992" w:type="dxa"/>
            <w:tcBorders>
              <w:top w:val="nil"/>
              <w:left w:val="nil"/>
              <w:bottom w:val="single" w:sz="4" w:space="0" w:color="363639"/>
              <w:right w:val="single" w:sz="4" w:space="0" w:color="363639"/>
            </w:tcBorders>
            <w:shd w:val="clear" w:color="auto" w:fill="BFBFBF" w:themeFill="background1" w:themeFillShade="BF"/>
            <w:vAlign w:val="center"/>
            <w:hideMark/>
          </w:tcPr>
          <w:p w14:paraId="2DF21904"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En</w:t>
            </w:r>
            <w:r w:rsidRPr="00E81272">
              <w:rPr>
                <w:rFonts w:ascii="Arial" w:hAnsi="Arial" w:cs="Arial"/>
                <w:b/>
                <w:bCs/>
                <w:sz w:val="14"/>
                <w:szCs w:val="14"/>
                <w:lang w:eastAsia="es-AR"/>
              </w:rPr>
              <w:br/>
              <w:t xml:space="preserve"> circulación</w:t>
            </w:r>
          </w:p>
        </w:tc>
        <w:tc>
          <w:tcPr>
            <w:tcW w:w="1134" w:type="dxa"/>
            <w:tcBorders>
              <w:top w:val="nil"/>
              <w:left w:val="nil"/>
              <w:bottom w:val="single" w:sz="4" w:space="0" w:color="363639"/>
              <w:right w:val="single" w:sz="4" w:space="0" w:color="auto"/>
            </w:tcBorders>
            <w:shd w:val="clear" w:color="auto" w:fill="BFBFBF" w:themeFill="background1" w:themeFillShade="BF"/>
          </w:tcPr>
          <w:p w14:paraId="3BB6775C"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Primas de emisión de acciones</w:t>
            </w:r>
          </w:p>
        </w:tc>
        <w:tc>
          <w:tcPr>
            <w:tcW w:w="992" w:type="dxa"/>
            <w:vMerge/>
            <w:tcBorders>
              <w:left w:val="single" w:sz="4" w:space="0" w:color="auto"/>
              <w:bottom w:val="single" w:sz="4" w:space="0" w:color="363639"/>
              <w:right w:val="single" w:sz="4" w:space="0" w:color="auto"/>
            </w:tcBorders>
            <w:shd w:val="clear" w:color="auto" w:fill="BFBFBF" w:themeFill="background1" w:themeFillShade="BF"/>
          </w:tcPr>
          <w:p w14:paraId="620DD425" w14:textId="77777777" w:rsidR="00586A3A" w:rsidRPr="00E81272" w:rsidRDefault="00586A3A" w:rsidP="00436FB1">
            <w:pPr>
              <w:jc w:val="center"/>
              <w:rPr>
                <w:rFonts w:ascii="Arial" w:hAnsi="Arial" w:cs="Arial"/>
                <w:b/>
                <w:bCs/>
                <w:sz w:val="14"/>
                <w:szCs w:val="14"/>
                <w:lang w:eastAsia="es-AR"/>
              </w:rPr>
            </w:pPr>
          </w:p>
        </w:tc>
        <w:tc>
          <w:tcPr>
            <w:tcW w:w="993" w:type="dxa"/>
            <w:tcBorders>
              <w:top w:val="nil"/>
              <w:left w:val="single" w:sz="4" w:space="0" w:color="auto"/>
              <w:bottom w:val="single" w:sz="4" w:space="0" w:color="363639"/>
              <w:right w:val="single" w:sz="4" w:space="0" w:color="363639"/>
            </w:tcBorders>
            <w:shd w:val="clear" w:color="auto" w:fill="BFBFBF" w:themeFill="background1" w:themeFillShade="BF"/>
            <w:vAlign w:val="center"/>
            <w:hideMark/>
          </w:tcPr>
          <w:p w14:paraId="47907378"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 xml:space="preserve">Revaluac de PPE </w:t>
            </w:r>
          </w:p>
        </w:tc>
        <w:tc>
          <w:tcPr>
            <w:tcW w:w="709" w:type="dxa"/>
            <w:tcBorders>
              <w:top w:val="nil"/>
              <w:left w:val="nil"/>
              <w:bottom w:val="single" w:sz="4" w:space="0" w:color="363639"/>
              <w:right w:val="single" w:sz="4" w:space="0" w:color="363639"/>
            </w:tcBorders>
            <w:shd w:val="clear" w:color="auto" w:fill="BFBFBF" w:themeFill="background1" w:themeFillShade="BF"/>
            <w:vAlign w:val="center"/>
            <w:hideMark/>
          </w:tcPr>
          <w:p w14:paraId="0BAAAF3E"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Gcias. o pérdidas acum por Inst.</w:t>
            </w:r>
            <w:r w:rsidRPr="00E81272">
              <w:rPr>
                <w:rFonts w:ascii="Arial" w:hAnsi="Arial" w:cs="Arial"/>
                <w:b/>
                <w:bCs/>
                <w:sz w:val="14"/>
                <w:szCs w:val="14"/>
                <w:lang w:eastAsia="es-AR"/>
              </w:rPr>
              <w:br/>
              <w:t>Fcieros. a VRCORI</w:t>
            </w:r>
          </w:p>
        </w:tc>
        <w:tc>
          <w:tcPr>
            <w:tcW w:w="783" w:type="dxa"/>
            <w:tcBorders>
              <w:top w:val="nil"/>
              <w:left w:val="nil"/>
              <w:bottom w:val="single" w:sz="4" w:space="0" w:color="363639"/>
            </w:tcBorders>
            <w:shd w:val="clear" w:color="auto" w:fill="BFBFBF" w:themeFill="background1" w:themeFillShade="BF"/>
            <w:vAlign w:val="center"/>
            <w:hideMark/>
          </w:tcPr>
          <w:p w14:paraId="2E119F89"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Legal</w:t>
            </w:r>
          </w:p>
        </w:tc>
        <w:tc>
          <w:tcPr>
            <w:tcW w:w="851" w:type="dxa"/>
            <w:tcBorders>
              <w:top w:val="nil"/>
              <w:left w:val="nil"/>
              <w:bottom w:val="single" w:sz="4" w:space="0" w:color="363639"/>
              <w:right w:val="single" w:sz="4" w:space="0" w:color="363639"/>
            </w:tcBorders>
            <w:shd w:val="clear" w:color="auto" w:fill="BFBFBF" w:themeFill="background1" w:themeFillShade="BF"/>
            <w:vAlign w:val="center"/>
            <w:hideMark/>
          </w:tcPr>
          <w:p w14:paraId="75222594" w14:textId="77777777" w:rsidR="00586A3A" w:rsidRPr="00E81272" w:rsidRDefault="00586A3A" w:rsidP="00436FB1">
            <w:pPr>
              <w:jc w:val="center"/>
              <w:rPr>
                <w:rFonts w:ascii="Arial" w:hAnsi="Arial" w:cs="Arial"/>
                <w:b/>
                <w:bCs/>
                <w:sz w:val="14"/>
                <w:szCs w:val="14"/>
                <w:lang w:eastAsia="es-AR"/>
              </w:rPr>
            </w:pPr>
            <w:r w:rsidRPr="00E81272">
              <w:rPr>
                <w:rFonts w:ascii="Arial" w:hAnsi="Arial" w:cs="Arial"/>
                <w:b/>
                <w:bCs/>
                <w:sz w:val="14"/>
                <w:szCs w:val="14"/>
                <w:lang w:eastAsia="es-AR"/>
              </w:rPr>
              <w:t>Otras</w:t>
            </w:r>
          </w:p>
        </w:tc>
        <w:tc>
          <w:tcPr>
            <w:tcW w:w="992" w:type="dxa"/>
            <w:vMerge/>
            <w:tcBorders>
              <w:left w:val="single" w:sz="4" w:space="0" w:color="363639"/>
              <w:bottom w:val="single" w:sz="4" w:space="0" w:color="363639"/>
              <w:right w:val="single" w:sz="4" w:space="0" w:color="363639"/>
            </w:tcBorders>
            <w:vAlign w:val="center"/>
            <w:hideMark/>
          </w:tcPr>
          <w:p w14:paraId="3A08A4AA" w14:textId="77777777" w:rsidR="00586A3A" w:rsidRPr="00E81272" w:rsidRDefault="00586A3A" w:rsidP="00436FB1">
            <w:pPr>
              <w:jc w:val="center"/>
              <w:rPr>
                <w:rFonts w:ascii="Arial" w:hAnsi="Arial" w:cs="Arial"/>
                <w:b/>
                <w:bCs/>
                <w:sz w:val="14"/>
                <w:szCs w:val="14"/>
                <w:lang w:eastAsia="es-AR"/>
              </w:rPr>
            </w:pPr>
          </w:p>
        </w:tc>
        <w:tc>
          <w:tcPr>
            <w:tcW w:w="850" w:type="dxa"/>
            <w:vMerge/>
            <w:tcBorders>
              <w:left w:val="single" w:sz="4" w:space="0" w:color="363639"/>
              <w:bottom w:val="single" w:sz="4" w:space="0" w:color="363639"/>
              <w:right w:val="single" w:sz="4" w:space="0" w:color="363639"/>
            </w:tcBorders>
            <w:vAlign w:val="center"/>
            <w:hideMark/>
          </w:tcPr>
          <w:p w14:paraId="78A1D802" w14:textId="77777777" w:rsidR="00586A3A" w:rsidRPr="00E81272" w:rsidRDefault="00586A3A" w:rsidP="00436FB1">
            <w:pPr>
              <w:rPr>
                <w:rFonts w:ascii="Arial" w:hAnsi="Arial" w:cs="Arial"/>
                <w:b/>
                <w:bCs/>
                <w:sz w:val="14"/>
                <w:szCs w:val="14"/>
                <w:lang w:eastAsia="es-AR"/>
              </w:rPr>
            </w:pPr>
          </w:p>
        </w:tc>
      </w:tr>
      <w:tr w:rsidR="00586A3A" w:rsidRPr="00B26A01" w14:paraId="665FB689" w14:textId="77777777" w:rsidTr="00637A70">
        <w:trPr>
          <w:trHeight w:val="89"/>
          <w:jc w:val="center"/>
        </w:trPr>
        <w:tc>
          <w:tcPr>
            <w:tcW w:w="2401" w:type="dxa"/>
            <w:tcBorders>
              <w:top w:val="nil"/>
              <w:left w:val="nil"/>
              <w:bottom w:val="nil"/>
              <w:right w:val="nil"/>
            </w:tcBorders>
            <w:shd w:val="clear" w:color="auto" w:fill="auto"/>
            <w:noWrap/>
            <w:vAlign w:val="center"/>
            <w:hideMark/>
          </w:tcPr>
          <w:p w14:paraId="5231A882" w14:textId="77777777" w:rsidR="00586A3A" w:rsidRPr="00B26A01" w:rsidRDefault="00586A3A" w:rsidP="00436FB1">
            <w:pPr>
              <w:jc w:val="center"/>
              <w:rPr>
                <w:rFonts w:ascii="Arial" w:hAnsi="Arial" w:cs="Arial"/>
                <w:b/>
                <w:bCs/>
                <w:sz w:val="10"/>
                <w:szCs w:val="10"/>
                <w:lang w:eastAsia="es-AR"/>
              </w:rPr>
            </w:pPr>
          </w:p>
        </w:tc>
        <w:tc>
          <w:tcPr>
            <w:tcW w:w="567" w:type="dxa"/>
            <w:tcBorders>
              <w:top w:val="nil"/>
              <w:left w:val="nil"/>
              <w:bottom w:val="nil"/>
              <w:right w:val="nil"/>
            </w:tcBorders>
            <w:shd w:val="clear" w:color="auto" w:fill="auto"/>
            <w:noWrap/>
            <w:vAlign w:val="center"/>
            <w:hideMark/>
          </w:tcPr>
          <w:p w14:paraId="561A6768" w14:textId="77777777" w:rsidR="00586A3A" w:rsidRPr="00B26A01" w:rsidRDefault="00586A3A" w:rsidP="00436FB1">
            <w:pPr>
              <w:jc w:val="center"/>
              <w:rPr>
                <w:sz w:val="10"/>
                <w:szCs w:val="10"/>
                <w:lang w:eastAsia="es-AR"/>
              </w:rPr>
            </w:pPr>
          </w:p>
        </w:tc>
        <w:tc>
          <w:tcPr>
            <w:tcW w:w="992" w:type="dxa"/>
            <w:tcBorders>
              <w:top w:val="nil"/>
              <w:left w:val="nil"/>
              <w:bottom w:val="nil"/>
              <w:right w:val="nil"/>
            </w:tcBorders>
            <w:shd w:val="clear" w:color="auto" w:fill="auto"/>
            <w:vAlign w:val="center"/>
            <w:hideMark/>
          </w:tcPr>
          <w:p w14:paraId="4DFDD500" w14:textId="77777777" w:rsidR="00586A3A" w:rsidRPr="00B26A01" w:rsidRDefault="00586A3A" w:rsidP="00436FB1">
            <w:pPr>
              <w:rPr>
                <w:sz w:val="10"/>
                <w:szCs w:val="10"/>
                <w:lang w:eastAsia="es-AR"/>
              </w:rPr>
            </w:pPr>
          </w:p>
        </w:tc>
        <w:tc>
          <w:tcPr>
            <w:tcW w:w="1134" w:type="dxa"/>
            <w:tcBorders>
              <w:top w:val="nil"/>
              <w:left w:val="nil"/>
              <w:bottom w:val="nil"/>
              <w:right w:val="nil"/>
            </w:tcBorders>
          </w:tcPr>
          <w:p w14:paraId="1DE14123" w14:textId="77777777" w:rsidR="00586A3A" w:rsidRPr="00B26A01" w:rsidRDefault="00586A3A" w:rsidP="00436FB1">
            <w:pPr>
              <w:jc w:val="center"/>
              <w:rPr>
                <w:sz w:val="10"/>
                <w:szCs w:val="10"/>
                <w:lang w:eastAsia="es-AR"/>
              </w:rPr>
            </w:pPr>
          </w:p>
        </w:tc>
        <w:tc>
          <w:tcPr>
            <w:tcW w:w="992" w:type="dxa"/>
            <w:tcBorders>
              <w:top w:val="nil"/>
              <w:left w:val="nil"/>
              <w:bottom w:val="nil"/>
              <w:right w:val="nil"/>
            </w:tcBorders>
          </w:tcPr>
          <w:p w14:paraId="658C90E9" w14:textId="77777777" w:rsidR="00586A3A" w:rsidRPr="00B26A01" w:rsidRDefault="00586A3A" w:rsidP="00436FB1">
            <w:pPr>
              <w:jc w:val="center"/>
              <w:rPr>
                <w:sz w:val="10"/>
                <w:szCs w:val="10"/>
                <w:lang w:eastAsia="es-AR"/>
              </w:rPr>
            </w:pPr>
          </w:p>
        </w:tc>
        <w:tc>
          <w:tcPr>
            <w:tcW w:w="993" w:type="dxa"/>
            <w:tcBorders>
              <w:top w:val="nil"/>
              <w:left w:val="nil"/>
              <w:bottom w:val="nil"/>
              <w:right w:val="nil"/>
            </w:tcBorders>
            <w:shd w:val="clear" w:color="auto" w:fill="auto"/>
            <w:vAlign w:val="center"/>
            <w:hideMark/>
          </w:tcPr>
          <w:p w14:paraId="5CA0397F" w14:textId="77777777" w:rsidR="00586A3A" w:rsidRPr="00B26A01" w:rsidRDefault="00586A3A" w:rsidP="00436FB1">
            <w:pPr>
              <w:jc w:val="center"/>
              <w:rPr>
                <w:sz w:val="10"/>
                <w:szCs w:val="10"/>
                <w:lang w:eastAsia="es-AR"/>
              </w:rPr>
            </w:pPr>
          </w:p>
        </w:tc>
        <w:tc>
          <w:tcPr>
            <w:tcW w:w="709" w:type="dxa"/>
            <w:tcBorders>
              <w:top w:val="nil"/>
              <w:left w:val="nil"/>
              <w:bottom w:val="nil"/>
              <w:right w:val="nil"/>
            </w:tcBorders>
            <w:shd w:val="clear" w:color="auto" w:fill="auto"/>
            <w:vAlign w:val="center"/>
            <w:hideMark/>
          </w:tcPr>
          <w:p w14:paraId="09CAAAD6" w14:textId="77777777" w:rsidR="00586A3A" w:rsidRPr="00B26A01" w:rsidRDefault="00586A3A" w:rsidP="00436FB1">
            <w:pPr>
              <w:jc w:val="center"/>
              <w:rPr>
                <w:sz w:val="10"/>
                <w:szCs w:val="10"/>
                <w:lang w:eastAsia="es-AR"/>
              </w:rPr>
            </w:pPr>
          </w:p>
        </w:tc>
        <w:tc>
          <w:tcPr>
            <w:tcW w:w="783" w:type="dxa"/>
            <w:tcBorders>
              <w:top w:val="nil"/>
              <w:left w:val="nil"/>
              <w:bottom w:val="nil"/>
              <w:right w:val="nil"/>
            </w:tcBorders>
            <w:shd w:val="clear" w:color="auto" w:fill="auto"/>
            <w:vAlign w:val="center"/>
            <w:hideMark/>
          </w:tcPr>
          <w:p w14:paraId="3F088439" w14:textId="77777777" w:rsidR="00586A3A" w:rsidRPr="00B26A01" w:rsidRDefault="00586A3A" w:rsidP="00436FB1">
            <w:pPr>
              <w:jc w:val="center"/>
              <w:rPr>
                <w:sz w:val="10"/>
                <w:szCs w:val="10"/>
                <w:lang w:eastAsia="es-AR"/>
              </w:rPr>
            </w:pPr>
          </w:p>
        </w:tc>
        <w:tc>
          <w:tcPr>
            <w:tcW w:w="851" w:type="dxa"/>
            <w:tcBorders>
              <w:top w:val="nil"/>
              <w:left w:val="nil"/>
              <w:bottom w:val="nil"/>
              <w:right w:val="nil"/>
            </w:tcBorders>
            <w:shd w:val="clear" w:color="auto" w:fill="auto"/>
            <w:vAlign w:val="center"/>
            <w:hideMark/>
          </w:tcPr>
          <w:p w14:paraId="44C54630" w14:textId="77777777" w:rsidR="00586A3A" w:rsidRPr="00B26A01" w:rsidRDefault="00586A3A" w:rsidP="00436FB1">
            <w:pPr>
              <w:jc w:val="center"/>
              <w:rPr>
                <w:sz w:val="10"/>
                <w:szCs w:val="10"/>
                <w:lang w:eastAsia="es-AR"/>
              </w:rPr>
            </w:pPr>
          </w:p>
        </w:tc>
        <w:tc>
          <w:tcPr>
            <w:tcW w:w="992" w:type="dxa"/>
            <w:tcBorders>
              <w:top w:val="nil"/>
              <w:left w:val="nil"/>
              <w:bottom w:val="nil"/>
              <w:right w:val="nil"/>
            </w:tcBorders>
            <w:shd w:val="clear" w:color="auto" w:fill="auto"/>
            <w:noWrap/>
            <w:vAlign w:val="bottom"/>
            <w:hideMark/>
          </w:tcPr>
          <w:p w14:paraId="5F228437" w14:textId="77777777" w:rsidR="00586A3A" w:rsidRPr="00B26A01" w:rsidRDefault="00586A3A" w:rsidP="00436FB1">
            <w:pPr>
              <w:jc w:val="center"/>
              <w:rPr>
                <w:sz w:val="10"/>
                <w:szCs w:val="10"/>
                <w:lang w:eastAsia="es-AR"/>
              </w:rPr>
            </w:pPr>
          </w:p>
        </w:tc>
        <w:tc>
          <w:tcPr>
            <w:tcW w:w="850" w:type="dxa"/>
            <w:tcBorders>
              <w:top w:val="nil"/>
              <w:left w:val="nil"/>
              <w:bottom w:val="nil"/>
              <w:right w:val="nil"/>
            </w:tcBorders>
            <w:shd w:val="clear" w:color="auto" w:fill="auto"/>
            <w:noWrap/>
            <w:vAlign w:val="center"/>
            <w:hideMark/>
          </w:tcPr>
          <w:p w14:paraId="4A371795" w14:textId="77777777" w:rsidR="00586A3A" w:rsidRPr="00B26A01" w:rsidRDefault="00586A3A" w:rsidP="00436FB1">
            <w:pPr>
              <w:jc w:val="center"/>
              <w:rPr>
                <w:sz w:val="10"/>
                <w:szCs w:val="10"/>
                <w:lang w:eastAsia="es-AR"/>
              </w:rPr>
            </w:pPr>
          </w:p>
        </w:tc>
      </w:tr>
      <w:tr w:rsidR="00597327" w:rsidRPr="00E81272" w14:paraId="5FA782A7" w14:textId="77777777" w:rsidTr="002775B9">
        <w:trPr>
          <w:trHeight w:val="241"/>
          <w:jc w:val="center"/>
        </w:trPr>
        <w:tc>
          <w:tcPr>
            <w:tcW w:w="2401" w:type="dxa"/>
            <w:tcBorders>
              <w:top w:val="nil"/>
              <w:left w:val="nil"/>
              <w:bottom w:val="nil"/>
              <w:right w:val="nil"/>
            </w:tcBorders>
            <w:shd w:val="clear" w:color="auto" w:fill="auto"/>
            <w:vAlign w:val="bottom"/>
          </w:tcPr>
          <w:p w14:paraId="66A1CD26" w14:textId="77777777" w:rsidR="00597327" w:rsidRDefault="00597327">
            <w:pPr>
              <w:rPr>
                <w:rFonts w:ascii="Arial" w:hAnsi="Arial" w:cs="Arial"/>
                <w:b/>
                <w:bCs/>
                <w:sz w:val="14"/>
                <w:szCs w:val="14"/>
                <w:lang w:eastAsia="es-AR"/>
              </w:rPr>
            </w:pPr>
            <w:r w:rsidRPr="00E81272">
              <w:rPr>
                <w:rFonts w:ascii="Arial" w:hAnsi="Arial" w:cs="Arial"/>
                <w:b/>
                <w:bCs/>
                <w:sz w:val="14"/>
                <w:szCs w:val="14"/>
                <w:lang w:eastAsia="es-AR"/>
              </w:rPr>
              <w:t xml:space="preserve">Saldos al comienzo del </w:t>
            </w:r>
            <w:r>
              <w:rPr>
                <w:rFonts w:ascii="Arial" w:hAnsi="Arial" w:cs="Arial"/>
                <w:b/>
                <w:bCs/>
                <w:sz w:val="14"/>
                <w:szCs w:val="14"/>
                <w:lang w:eastAsia="es-AR"/>
              </w:rPr>
              <w:t>ejercicio reexpresados</w:t>
            </w:r>
          </w:p>
          <w:p w14:paraId="28415886" w14:textId="14A3AFF4" w:rsidR="00597327" w:rsidRPr="00E81272" w:rsidRDefault="00597327">
            <w:pPr>
              <w:rPr>
                <w:rFonts w:ascii="Arial" w:hAnsi="Arial" w:cs="Arial"/>
                <w:b/>
                <w:bCs/>
                <w:sz w:val="14"/>
                <w:szCs w:val="14"/>
                <w:lang w:eastAsia="es-AR"/>
              </w:rPr>
            </w:pPr>
          </w:p>
        </w:tc>
        <w:tc>
          <w:tcPr>
            <w:tcW w:w="567" w:type="dxa"/>
            <w:tcBorders>
              <w:top w:val="nil"/>
              <w:left w:val="nil"/>
              <w:bottom w:val="nil"/>
              <w:right w:val="nil"/>
            </w:tcBorders>
            <w:shd w:val="clear" w:color="auto" w:fill="auto"/>
            <w:noWrap/>
          </w:tcPr>
          <w:p w14:paraId="6DEDC3D3" w14:textId="77777777" w:rsidR="00597327" w:rsidRPr="00E81272" w:rsidRDefault="00597327" w:rsidP="00597327">
            <w:pPr>
              <w:rPr>
                <w:rFonts w:ascii="Arial" w:hAnsi="Arial" w:cs="Arial"/>
                <w:b/>
                <w:bCs/>
                <w:sz w:val="14"/>
                <w:szCs w:val="14"/>
                <w:lang w:eastAsia="es-AR"/>
              </w:rPr>
            </w:pPr>
          </w:p>
        </w:tc>
        <w:tc>
          <w:tcPr>
            <w:tcW w:w="992" w:type="dxa"/>
            <w:tcBorders>
              <w:top w:val="nil"/>
              <w:left w:val="nil"/>
              <w:bottom w:val="nil"/>
              <w:right w:val="nil"/>
            </w:tcBorders>
            <w:shd w:val="clear" w:color="auto" w:fill="auto"/>
            <w:noWrap/>
            <w:vAlign w:val="center"/>
          </w:tcPr>
          <w:p w14:paraId="557E69DD" w14:textId="3F04638C" w:rsidR="00597327" w:rsidRPr="00597327" w:rsidRDefault="00597327">
            <w:pPr>
              <w:jc w:val="right"/>
              <w:rPr>
                <w:rFonts w:ascii="Arial" w:hAnsi="Arial" w:cs="Arial"/>
                <w:sz w:val="14"/>
                <w:szCs w:val="14"/>
                <w:lang w:eastAsia="es-AR"/>
              </w:rPr>
            </w:pPr>
            <w:r w:rsidRPr="002775B9">
              <w:rPr>
                <w:rFonts w:ascii="Arial" w:hAnsi="Arial" w:cs="Arial"/>
                <w:sz w:val="14"/>
                <w:szCs w:val="14"/>
              </w:rPr>
              <w:t>808.852</w:t>
            </w:r>
          </w:p>
        </w:tc>
        <w:tc>
          <w:tcPr>
            <w:tcW w:w="1134" w:type="dxa"/>
            <w:tcBorders>
              <w:top w:val="nil"/>
              <w:left w:val="nil"/>
              <w:bottom w:val="nil"/>
              <w:right w:val="nil"/>
            </w:tcBorders>
            <w:vAlign w:val="center"/>
          </w:tcPr>
          <w:p w14:paraId="6DB038FF" w14:textId="266BC88E" w:rsidR="00597327" w:rsidRPr="00597327" w:rsidRDefault="00597327">
            <w:pPr>
              <w:jc w:val="right"/>
              <w:rPr>
                <w:rFonts w:ascii="Arial" w:hAnsi="Arial" w:cs="Arial"/>
                <w:sz w:val="14"/>
                <w:szCs w:val="14"/>
                <w:lang w:eastAsia="es-AR"/>
              </w:rPr>
            </w:pPr>
            <w:r w:rsidRPr="002775B9">
              <w:rPr>
                <w:rFonts w:ascii="Arial" w:hAnsi="Arial" w:cs="Arial"/>
                <w:sz w:val="14"/>
                <w:szCs w:val="14"/>
              </w:rPr>
              <w:t>6.444.347</w:t>
            </w:r>
          </w:p>
        </w:tc>
        <w:tc>
          <w:tcPr>
            <w:tcW w:w="992" w:type="dxa"/>
            <w:tcBorders>
              <w:top w:val="nil"/>
              <w:left w:val="nil"/>
              <w:bottom w:val="nil"/>
              <w:right w:val="nil"/>
            </w:tcBorders>
            <w:vAlign w:val="center"/>
          </w:tcPr>
          <w:p w14:paraId="1C877631" w14:textId="0FF9A922" w:rsidR="00597327" w:rsidRPr="00597327" w:rsidRDefault="00597327">
            <w:pPr>
              <w:jc w:val="right"/>
              <w:rPr>
                <w:rFonts w:ascii="Arial" w:hAnsi="Arial" w:cs="Arial"/>
                <w:sz w:val="14"/>
                <w:szCs w:val="14"/>
                <w:lang w:eastAsia="es-AR"/>
              </w:rPr>
            </w:pPr>
            <w:r w:rsidRPr="002775B9">
              <w:rPr>
                <w:rFonts w:ascii="Arial" w:hAnsi="Arial" w:cs="Arial"/>
                <w:sz w:val="14"/>
                <w:szCs w:val="14"/>
              </w:rPr>
              <w:t>16.376.393</w:t>
            </w:r>
          </w:p>
        </w:tc>
        <w:tc>
          <w:tcPr>
            <w:tcW w:w="993" w:type="dxa"/>
            <w:tcBorders>
              <w:top w:val="nil"/>
              <w:left w:val="nil"/>
              <w:bottom w:val="nil"/>
              <w:right w:val="nil"/>
            </w:tcBorders>
            <w:shd w:val="clear" w:color="auto" w:fill="auto"/>
            <w:noWrap/>
            <w:vAlign w:val="center"/>
          </w:tcPr>
          <w:p w14:paraId="13CDEA7A" w14:textId="77DA4402" w:rsidR="00597327" w:rsidRPr="00597327" w:rsidRDefault="00597327">
            <w:pPr>
              <w:jc w:val="right"/>
              <w:rPr>
                <w:rFonts w:ascii="Arial" w:hAnsi="Arial" w:cs="Arial"/>
                <w:sz w:val="14"/>
                <w:szCs w:val="14"/>
                <w:lang w:eastAsia="es-AR"/>
              </w:rPr>
            </w:pPr>
            <w:r w:rsidRPr="002775B9">
              <w:rPr>
                <w:rFonts w:ascii="Arial" w:hAnsi="Arial" w:cs="Arial"/>
                <w:sz w:val="14"/>
                <w:szCs w:val="14"/>
              </w:rPr>
              <w:t>-</w:t>
            </w:r>
          </w:p>
        </w:tc>
        <w:tc>
          <w:tcPr>
            <w:tcW w:w="709" w:type="dxa"/>
            <w:tcBorders>
              <w:top w:val="nil"/>
              <w:left w:val="nil"/>
              <w:bottom w:val="nil"/>
              <w:right w:val="nil"/>
            </w:tcBorders>
            <w:shd w:val="clear" w:color="auto" w:fill="auto"/>
            <w:noWrap/>
            <w:vAlign w:val="center"/>
          </w:tcPr>
          <w:p w14:paraId="5DA91865" w14:textId="0B6FE595" w:rsidR="00597327" w:rsidRPr="00597327" w:rsidRDefault="00597327">
            <w:pPr>
              <w:jc w:val="right"/>
              <w:rPr>
                <w:rFonts w:ascii="Arial" w:hAnsi="Arial" w:cs="Arial"/>
                <w:sz w:val="14"/>
                <w:szCs w:val="14"/>
                <w:lang w:eastAsia="es-AR"/>
              </w:rPr>
            </w:pPr>
            <w:r w:rsidRPr="002775B9">
              <w:rPr>
                <w:rFonts w:ascii="Arial" w:hAnsi="Arial" w:cs="Arial"/>
                <w:sz w:val="14"/>
                <w:szCs w:val="14"/>
              </w:rPr>
              <w:t>-</w:t>
            </w:r>
          </w:p>
        </w:tc>
        <w:tc>
          <w:tcPr>
            <w:tcW w:w="783" w:type="dxa"/>
            <w:tcBorders>
              <w:top w:val="nil"/>
              <w:left w:val="nil"/>
              <w:bottom w:val="nil"/>
              <w:right w:val="nil"/>
            </w:tcBorders>
            <w:shd w:val="clear" w:color="auto" w:fill="auto"/>
            <w:noWrap/>
            <w:vAlign w:val="center"/>
          </w:tcPr>
          <w:p w14:paraId="3B19BEDF" w14:textId="5EC74B7C" w:rsidR="00597327" w:rsidRPr="00597327" w:rsidRDefault="00597327">
            <w:pPr>
              <w:jc w:val="right"/>
              <w:rPr>
                <w:rFonts w:ascii="Arial" w:hAnsi="Arial" w:cs="Arial"/>
                <w:sz w:val="14"/>
                <w:szCs w:val="14"/>
                <w:lang w:eastAsia="es-AR"/>
              </w:rPr>
            </w:pPr>
            <w:r w:rsidRPr="002775B9">
              <w:rPr>
                <w:rFonts w:ascii="Arial" w:hAnsi="Arial" w:cs="Arial"/>
                <w:sz w:val="14"/>
                <w:szCs w:val="14"/>
              </w:rPr>
              <w:t>1.841.138</w:t>
            </w:r>
          </w:p>
        </w:tc>
        <w:tc>
          <w:tcPr>
            <w:tcW w:w="851" w:type="dxa"/>
            <w:tcBorders>
              <w:top w:val="nil"/>
              <w:left w:val="nil"/>
              <w:bottom w:val="nil"/>
              <w:right w:val="nil"/>
            </w:tcBorders>
            <w:shd w:val="clear" w:color="auto" w:fill="auto"/>
            <w:noWrap/>
            <w:vAlign w:val="center"/>
          </w:tcPr>
          <w:p w14:paraId="65BC453B" w14:textId="1EA7C365" w:rsidR="00597327" w:rsidRPr="00597327" w:rsidRDefault="00597327">
            <w:pPr>
              <w:jc w:val="right"/>
              <w:rPr>
                <w:rFonts w:ascii="Arial" w:hAnsi="Arial" w:cs="Arial"/>
                <w:sz w:val="14"/>
                <w:szCs w:val="14"/>
                <w:lang w:eastAsia="es-AR"/>
              </w:rPr>
            </w:pPr>
            <w:r w:rsidRPr="002775B9">
              <w:rPr>
                <w:rFonts w:ascii="Arial" w:hAnsi="Arial" w:cs="Arial"/>
                <w:sz w:val="14"/>
                <w:szCs w:val="14"/>
              </w:rPr>
              <w:t>7.018.821</w:t>
            </w:r>
          </w:p>
        </w:tc>
        <w:tc>
          <w:tcPr>
            <w:tcW w:w="992" w:type="dxa"/>
            <w:tcBorders>
              <w:top w:val="nil"/>
              <w:left w:val="nil"/>
              <w:bottom w:val="nil"/>
              <w:right w:val="nil"/>
            </w:tcBorders>
            <w:shd w:val="clear" w:color="auto" w:fill="auto"/>
            <w:noWrap/>
            <w:vAlign w:val="center"/>
          </w:tcPr>
          <w:p w14:paraId="02B8C892" w14:textId="7702CBB0" w:rsidR="00597327" w:rsidRPr="00597327" w:rsidRDefault="00597327">
            <w:pPr>
              <w:jc w:val="right"/>
              <w:rPr>
                <w:rFonts w:ascii="Arial" w:hAnsi="Arial" w:cs="Arial"/>
                <w:sz w:val="14"/>
                <w:szCs w:val="14"/>
                <w:lang w:eastAsia="es-AR"/>
              </w:rPr>
            </w:pPr>
            <w:r w:rsidRPr="002775B9">
              <w:rPr>
                <w:rFonts w:ascii="Arial" w:hAnsi="Arial" w:cs="Arial"/>
                <w:sz w:val="14"/>
                <w:szCs w:val="14"/>
              </w:rPr>
              <w:t>-</w:t>
            </w:r>
            <w:r>
              <w:rPr>
                <w:rFonts w:ascii="Arial" w:hAnsi="Arial" w:cs="Arial"/>
                <w:sz w:val="14"/>
                <w:szCs w:val="14"/>
              </w:rPr>
              <w:t>9</w:t>
            </w:r>
            <w:r w:rsidRPr="002775B9">
              <w:rPr>
                <w:rFonts w:ascii="Arial" w:hAnsi="Arial" w:cs="Arial"/>
                <w:sz w:val="14"/>
                <w:szCs w:val="14"/>
              </w:rPr>
              <w:t>.</w:t>
            </w:r>
            <w:r>
              <w:rPr>
                <w:rFonts w:ascii="Arial" w:hAnsi="Arial" w:cs="Arial"/>
                <w:sz w:val="14"/>
                <w:szCs w:val="14"/>
              </w:rPr>
              <w:t>586</w:t>
            </w:r>
            <w:r w:rsidRPr="002775B9">
              <w:rPr>
                <w:rFonts w:ascii="Arial" w:hAnsi="Arial" w:cs="Arial"/>
                <w:sz w:val="14"/>
                <w:szCs w:val="14"/>
              </w:rPr>
              <w:t>.</w:t>
            </w:r>
            <w:r>
              <w:rPr>
                <w:rFonts w:ascii="Arial" w:hAnsi="Arial" w:cs="Arial"/>
                <w:sz w:val="14"/>
                <w:szCs w:val="14"/>
              </w:rPr>
              <w:t>518</w:t>
            </w:r>
          </w:p>
        </w:tc>
        <w:tc>
          <w:tcPr>
            <w:tcW w:w="850" w:type="dxa"/>
            <w:tcBorders>
              <w:top w:val="nil"/>
              <w:left w:val="nil"/>
              <w:bottom w:val="nil"/>
              <w:right w:val="nil"/>
            </w:tcBorders>
            <w:shd w:val="clear" w:color="auto" w:fill="auto"/>
            <w:noWrap/>
            <w:vAlign w:val="center"/>
          </w:tcPr>
          <w:p w14:paraId="05F33E3E" w14:textId="0ADE7E65" w:rsidR="00597327" w:rsidRPr="00597327" w:rsidRDefault="00597327">
            <w:pPr>
              <w:jc w:val="right"/>
              <w:rPr>
                <w:rFonts w:ascii="Arial" w:hAnsi="Arial" w:cs="Arial"/>
                <w:sz w:val="14"/>
                <w:szCs w:val="14"/>
                <w:lang w:eastAsia="es-AR"/>
              </w:rPr>
            </w:pPr>
            <w:r w:rsidRPr="002775B9">
              <w:rPr>
                <w:rFonts w:ascii="Arial" w:hAnsi="Arial" w:cs="Arial"/>
                <w:sz w:val="14"/>
                <w:szCs w:val="14"/>
              </w:rPr>
              <w:t>22.</w:t>
            </w:r>
            <w:r>
              <w:rPr>
                <w:rFonts w:ascii="Arial" w:hAnsi="Arial" w:cs="Arial"/>
                <w:sz w:val="14"/>
                <w:szCs w:val="14"/>
              </w:rPr>
              <w:t>903</w:t>
            </w:r>
            <w:r w:rsidRPr="002775B9">
              <w:rPr>
                <w:rFonts w:ascii="Arial" w:hAnsi="Arial" w:cs="Arial"/>
                <w:sz w:val="14"/>
                <w:szCs w:val="14"/>
              </w:rPr>
              <w:t>.</w:t>
            </w:r>
            <w:r>
              <w:rPr>
                <w:rFonts w:ascii="Arial" w:hAnsi="Arial" w:cs="Arial"/>
                <w:sz w:val="14"/>
                <w:szCs w:val="14"/>
              </w:rPr>
              <w:t>033</w:t>
            </w:r>
          </w:p>
        </w:tc>
      </w:tr>
      <w:tr w:rsidR="00FC7613" w:rsidRPr="00E81272" w14:paraId="3B2B13AF" w14:textId="77777777" w:rsidTr="002775B9">
        <w:trPr>
          <w:trHeight w:val="241"/>
          <w:jc w:val="center"/>
        </w:trPr>
        <w:tc>
          <w:tcPr>
            <w:tcW w:w="2401" w:type="dxa"/>
            <w:tcBorders>
              <w:top w:val="nil"/>
              <w:left w:val="nil"/>
              <w:bottom w:val="nil"/>
              <w:right w:val="nil"/>
            </w:tcBorders>
            <w:shd w:val="clear" w:color="auto" w:fill="auto"/>
          </w:tcPr>
          <w:p w14:paraId="22867633" w14:textId="52A53CB5" w:rsidR="00597327" w:rsidRPr="00E81272" w:rsidRDefault="00F10EED" w:rsidP="00FC7613">
            <w:pPr>
              <w:rPr>
                <w:rFonts w:ascii="Arial" w:hAnsi="Arial" w:cs="Arial"/>
                <w:b/>
                <w:bCs/>
                <w:sz w:val="14"/>
                <w:szCs w:val="14"/>
                <w:lang w:eastAsia="es-AR"/>
              </w:rPr>
            </w:pPr>
            <w:r w:rsidRPr="00F10EED">
              <w:rPr>
                <w:rFonts w:ascii="Arial" w:hAnsi="Arial" w:cs="Arial"/>
                <w:b/>
                <w:bCs/>
                <w:sz w:val="14"/>
                <w:szCs w:val="14"/>
                <w:lang w:eastAsia="es-AR"/>
              </w:rPr>
              <w:t>Impacto Ajustes NIIF 9</w:t>
            </w:r>
          </w:p>
        </w:tc>
        <w:tc>
          <w:tcPr>
            <w:tcW w:w="567" w:type="dxa"/>
            <w:tcBorders>
              <w:top w:val="nil"/>
              <w:left w:val="nil"/>
              <w:bottom w:val="nil"/>
              <w:right w:val="nil"/>
            </w:tcBorders>
            <w:shd w:val="clear" w:color="auto" w:fill="auto"/>
            <w:noWrap/>
          </w:tcPr>
          <w:p w14:paraId="1B713B53" w14:textId="77777777" w:rsidR="00FC7613" w:rsidRPr="00E81272" w:rsidRDefault="00FC7613" w:rsidP="00FC7613">
            <w:pPr>
              <w:rPr>
                <w:rFonts w:ascii="Arial" w:hAnsi="Arial" w:cs="Arial"/>
                <w:b/>
                <w:bCs/>
                <w:sz w:val="14"/>
                <w:szCs w:val="14"/>
                <w:lang w:eastAsia="es-AR"/>
              </w:rPr>
            </w:pPr>
          </w:p>
        </w:tc>
        <w:tc>
          <w:tcPr>
            <w:tcW w:w="992" w:type="dxa"/>
            <w:tcBorders>
              <w:top w:val="nil"/>
              <w:left w:val="nil"/>
              <w:bottom w:val="single" w:sz="4" w:space="0" w:color="auto"/>
              <w:right w:val="nil"/>
            </w:tcBorders>
            <w:shd w:val="clear" w:color="auto" w:fill="auto"/>
            <w:noWrap/>
            <w:vAlign w:val="bottom"/>
          </w:tcPr>
          <w:p w14:paraId="61FDACDA" w14:textId="77777777" w:rsidR="00FC7613" w:rsidRDefault="00FC7613" w:rsidP="00FC7613">
            <w:pPr>
              <w:jc w:val="right"/>
              <w:rPr>
                <w:rFonts w:ascii="Arial" w:hAnsi="Arial" w:cs="Arial"/>
                <w:sz w:val="14"/>
                <w:szCs w:val="14"/>
                <w:lang w:eastAsia="es-AR"/>
              </w:rPr>
            </w:pPr>
          </w:p>
        </w:tc>
        <w:tc>
          <w:tcPr>
            <w:tcW w:w="1134" w:type="dxa"/>
            <w:tcBorders>
              <w:top w:val="nil"/>
              <w:left w:val="nil"/>
              <w:bottom w:val="single" w:sz="4" w:space="0" w:color="auto"/>
              <w:right w:val="nil"/>
            </w:tcBorders>
            <w:vAlign w:val="bottom"/>
          </w:tcPr>
          <w:p w14:paraId="5BDD0EE5" w14:textId="77777777" w:rsidR="00FC7613" w:rsidRDefault="00FC7613" w:rsidP="00FC7613">
            <w:pPr>
              <w:jc w:val="right"/>
              <w:rPr>
                <w:rFonts w:ascii="Arial" w:hAnsi="Arial" w:cs="Arial"/>
                <w:sz w:val="14"/>
                <w:szCs w:val="14"/>
                <w:lang w:eastAsia="es-AR"/>
              </w:rPr>
            </w:pPr>
          </w:p>
        </w:tc>
        <w:tc>
          <w:tcPr>
            <w:tcW w:w="992" w:type="dxa"/>
            <w:tcBorders>
              <w:top w:val="nil"/>
              <w:left w:val="nil"/>
              <w:bottom w:val="single" w:sz="4" w:space="0" w:color="auto"/>
              <w:right w:val="nil"/>
            </w:tcBorders>
            <w:vAlign w:val="bottom"/>
          </w:tcPr>
          <w:p w14:paraId="4A915004" w14:textId="77777777" w:rsidR="00FC7613" w:rsidRDefault="00FC7613" w:rsidP="00FC7613">
            <w:pPr>
              <w:jc w:val="right"/>
              <w:rPr>
                <w:rFonts w:ascii="Arial" w:hAnsi="Arial" w:cs="Arial"/>
                <w:sz w:val="14"/>
                <w:szCs w:val="14"/>
                <w:lang w:eastAsia="es-AR"/>
              </w:rPr>
            </w:pPr>
          </w:p>
        </w:tc>
        <w:tc>
          <w:tcPr>
            <w:tcW w:w="993" w:type="dxa"/>
            <w:tcBorders>
              <w:top w:val="nil"/>
              <w:left w:val="nil"/>
              <w:bottom w:val="single" w:sz="4" w:space="0" w:color="auto"/>
              <w:right w:val="nil"/>
            </w:tcBorders>
            <w:shd w:val="clear" w:color="auto" w:fill="auto"/>
            <w:noWrap/>
            <w:vAlign w:val="bottom"/>
          </w:tcPr>
          <w:p w14:paraId="43B787B7" w14:textId="77777777" w:rsidR="00FC7613" w:rsidRDefault="00FC7613" w:rsidP="00FC7613">
            <w:pPr>
              <w:jc w:val="right"/>
              <w:rPr>
                <w:rFonts w:ascii="Arial" w:hAnsi="Arial" w:cs="Arial"/>
                <w:sz w:val="14"/>
                <w:szCs w:val="14"/>
                <w:lang w:eastAsia="es-AR"/>
              </w:rPr>
            </w:pPr>
          </w:p>
        </w:tc>
        <w:tc>
          <w:tcPr>
            <w:tcW w:w="709" w:type="dxa"/>
            <w:tcBorders>
              <w:top w:val="nil"/>
              <w:left w:val="nil"/>
              <w:bottom w:val="single" w:sz="4" w:space="0" w:color="auto"/>
              <w:right w:val="nil"/>
            </w:tcBorders>
            <w:shd w:val="clear" w:color="auto" w:fill="auto"/>
            <w:noWrap/>
            <w:vAlign w:val="bottom"/>
          </w:tcPr>
          <w:p w14:paraId="72DE3E49" w14:textId="77777777" w:rsidR="00FC7613" w:rsidRDefault="00FC7613" w:rsidP="00FC7613">
            <w:pPr>
              <w:jc w:val="right"/>
              <w:rPr>
                <w:rFonts w:ascii="Arial" w:hAnsi="Arial" w:cs="Arial"/>
                <w:sz w:val="14"/>
                <w:szCs w:val="14"/>
                <w:lang w:eastAsia="es-AR"/>
              </w:rPr>
            </w:pPr>
          </w:p>
        </w:tc>
        <w:tc>
          <w:tcPr>
            <w:tcW w:w="783" w:type="dxa"/>
            <w:tcBorders>
              <w:top w:val="nil"/>
              <w:left w:val="nil"/>
              <w:bottom w:val="single" w:sz="4" w:space="0" w:color="auto"/>
              <w:right w:val="nil"/>
            </w:tcBorders>
            <w:shd w:val="clear" w:color="auto" w:fill="auto"/>
            <w:noWrap/>
            <w:vAlign w:val="bottom"/>
          </w:tcPr>
          <w:p w14:paraId="5308694F" w14:textId="77777777" w:rsidR="00FC7613" w:rsidRDefault="00FC7613" w:rsidP="00FC7613">
            <w:pPr>
              <w:jc w:val="right"/>
              <w:rPr>
                <w:rFonts w:ascii="Arial" w:hAnsi="Arial" w:cs="Arial"/>
                <w:sz w:val="14"/>
                <w:szCs w:val="14"/>
                <w:lang w:eastAsia="es-AR"/>
              </w:rPr>
            </w:pPr>
          </w:p>
        </w:tc>
        <w:tc>
          <w:tcPr>
            <w:tcW w:w="851" w:type="dxa"/>
            <w:tcBorders>
              <w:top w:val="nil"/>
              <w:left w:val="nil"/>
              <w:bottom w:val="single" w:sz="4" w:space="0" w:color="auto"/>
              <w:right w:val="nil"/>
            </w:tcBorders>
            <w:shd w:val="clear" w:color="auto" w:fill="auto"/>
            <w:noWrap/>
            <w:vAlign w:val="bottom"/>
          </w:tcPr>
          <w:p w14:paraId="04BCE008" w14:textId="77777777" w:rsidR="00FC7613" w:rsidRDefault="00FC7613" w:rsidP="00FC7613">
            <w:pPr>
              <w:jc w:val="right"/>
              <w:rPr>
                <w:rFonts w:ascii="Arial" w:hAnsi="Arial" w:cs="Arial"/>
                <w:sz w:val="14"/>
                <w:szCs w:val="14"/>
                <w:lang w:eastAsia="es-AR"/>
              </w:rPr>
            </w:pPr>
          </w:p>
        </w:tc>
        <w:tc>
          <w:tcPr>
            <w:tcW w:w="992" w:type="dxa"/>
            <w:tcBorders>
              <w:top w:val="nil"/>
              <w:left w:val="nil"/>
              <w:bottom w:val="single" w:sz="4" w:space="0" w:color="auto"/>
              <w:right w:val="nil"/>
            </w:tcBorders>
            <w:shd w:val="clear" w:color="auto" w:fill="auto"/>
            <w:noWrap/>
            <w:vAlign w:val="center"/>
          </w:tcPr>
          <w:p w14:paraId="5CEB4EB3" w14:textId="50B1EA39" w:rsidR="00FC7613" w:rsidRDefault="00597327">
            <w:pPr>
              <w:jc w:val="right"/>
              <w:rPr>
                <w:rFonts w:ascii="Arial" w:hAnsi="Arial" w:cs="Arial"/>
                <w:sz w:val="14"/>
                <w:szCs w:val="14"/>
                <w:lang w:eastAsia="es-AR"/>
              </w:rPr>
            </w:pPr>
            <w:r>
              <w:rPr>
                <w:rFonts w:ascii="Arial" w:hAnsi="Arial" w:cs="Arial"/>
                <w:sz w:val="14"/>
                <w:szCs w:val="14"/>
                <w:lang w:eastAsia="es-AR"/>
              </w:rPr>
              <w:t>-438.972</w:t>
            </w:r>
          </w:p>
        </w:tc>
        <w:tc>
          <w:tcPr>
            <w:tcW w:w="850" w:type="dxa"/>
            <w:tcBorders>
              <w:top w:val="nil"/>
              <w:left w:val="nil"/>
              <w:bottom w:val="single" w:sz="4" w:space="0" w:color="auto"/>
              <w:right w:val="nil"/>
            </w:tcBorders>
            <w:shd w:val="clear" w:color="auto" w:fill="auto"/>
            <w:noWrap/>
            <w:vAlign w:val="center"/>
          </w:tcPr>
          <w:p w14:paraId="4A3700EB" w14:textId="5A80805A" w:rsidR="00FC7613" w:rsidRDefault="00597327">
            <w:pPr>
              <w:jc w:val="right"/>
              <w:rPr>
                <w:rFonts w:ascii="Arial" w:hAnsi="Arial" w:cs="Arial"/>
                <w:sz w:val="14"/>
                <w:szCs w:val="14"/>
                <w:lang w:eastAsia="es-AR"/>
              </w:rPr>
            </w:pPr>
            <w:r>
              <w:rPr>
                <w:rFonts w:ascii="Arial" w:hAnsi="Arial" w:cs="Arial"/>
                <w:sz w:val="14"/>
                <w:szCs w:val="14"/>
                <w:lang w:eastAsia="es-AR"/>
              </w:rPr>
              <w:t>-438.972</w:t>
            </w:r>
          </w:p>
        </w:tc>
      </w:tr>
      <w:tr w:rsidR="00FC7613" w:rsidRPr="00E81272" w14:paraId="3ED9C713" w14:textId="77777777" w:rsidTr="002775B9">
        <w:trPr>
          <w:trHeight w:val="241"/>
          <w:jc w:val="center"/>
        </w:trPr>
        <w:tc>
          <w:tcPr>
            <w:tcW w:w="2401" w:type="dxa"/>
            <w:tcBorders>
              <w:top w:val="nil"/>
              <w:left w:val="nil"/>
              <w:bottom w:val="nil"/>
              <w:right w:val="nil"/>
            </w:tcBorders>
            <w:shd w:val="clear" w:color="auto" w:fill="auto"/>
            <w:hideMark/>
          </w:tcPr>
          <w:p w14:paraId="00EA8814" w14:textId="1A6E3D57" w:rsidR="00FC7613" w:rsidRPr="00E81272" w:rsidRDefault="00FC7613" w:rsidP="00FC7613">
            <w:pPr>
              <w:rPr>
                <w:rFonts w:ascii="Arial" w:hAnsi="Arial" w:cs="Arial"/>
                <w:b/>
                <w:bCs/>
                <w:sz w:val="14"/>
                <w:szCs w:val="14"/>
                <w:lang w:eastAsia="es-AR"/>
              </w:rPr>
            </w:pPr>
            <w:r w:rsidRPr="00E81272">
              <w:rPr>
                <w:rFonts w:ascii="Arial" w:hAnsi="Arial" w:cs="Arial"/>
                <w:b/>
                <w:bCs/>
                <w:sz w:val="14"/>
                <w:szCs w:val="14"/>
                <w:lang w:eastAsia="es-AR"/>
              </w:rPr>
              <w:t xml:space="preserve">Saldos al comienzo del </w:t>
            </w:r>
            <w:r>
              <w:rPr>
                <w:rFonts w:ascii="Arial" w:hAnsi="Arial" w:cs="Arial"/>
                <w:b/>
                <w:bCs/>
                <w:sz w:val="14"/>
                <w:szCs w:val="14"/>
                <w:lang w:eastAsia="es-AR"/>
              </w:rPr>
              <w:t>ejercicio reexpresados</w:t>
            </w:r>
          </w:p>
        </w:tc>
        <w:tc>
          <w:tcPr>
            <w:tcW w:w="567" w:type="dxa"/>
            <w:tcBorders>
              <w:top w:val="nil"/>
              <w:left w:val="nil"/>
              <w:bottom w:val="nil"/>
              <w:right w:val="nil"/>
            </w:tcBorders>
            <w:shd w:val="clear" w:color="auto" w:fill="auto"/>
            <w:noWrap/>
            <w:hideMark/>
          </w:tcPr>
          <w:p w14:paraId="407326BB" w14:textId="77777777" w:rsidR="00FC7613" w:rsidRPr="00E81272" w:rsidRDefault="00FC7613" w:rsidP="00FC7613">
            <w:pPr>
              <w:rPr>
                <w:rFonts w:ascii="Arial" w:hAnsi="Arial" w:cs="Arial"/>
                <w:b/>
                <w:bCs/>
                <w:sz w:val="14"/>
                <w:szCs w:val="14"/>
                <w:lang w:eastAsia="es-AR"/>
              </w:rPr>
            </w:pPr>
          </w:p>
        </w:tc>
        <w:tc>
          <w:tcPr>
            <w:tcW w:w="992" w:type="dxa"/>
            <w:tcBorders>
              <w:top w:val="single" w:sz="4" w:space="0" w:color="auto"/>
              <w:left w:val="nil"/>
              <w:bottom w:val="nil"/>
              <w:right w:val="nil"/>
            </w:tcBorders>
            <w:shd w:val="clear" w:color="auto" w:fill="auto"/>
            <w:noWrap/>
            <w:vAlign w:val="center"/>
            <w:hideMark/>
          </w:tcPr>
          <w:p w14:paraId="1CA1A802" w14:textId="01CBA6CE" w:rsidR="00FC7613" w:rsidRPr="00E81272" w:rsidRDefault="00FC7613">
            <w:pPr>
              <w:jc w:val="right"/>
              <w:rPr>
                <w:rFonts w:ascii="Arial" w:hAnsi="Arial" w:cs="Arial"/>
                <w:sz w:val="14"/>
                <w:szCs w:val="14"/>
                <w:lang w:eastAsia="es-AR"/>
              </w:rPr>
            </w:pPr>
            <w:r>
              <w:rPr>
                <w:rFonts w:ascii="Arial" w:hAnsi="Arial" w:cs="Arial"/>
                <w:sz w:val="14"/>
                <w:szCs w:val="14"/>
                <w:lang w:eastAsia="es-AR"/>
              </w:rPr>
              <w:t>808.852</w:t>
            </w:r>
          </w:p>
        </w:tc>
        <w:tc>
          <w:tcPr>
            <w:tcW w:w="1134" w:type="dxa"/>
            <w:tcBorders>
              <w:top w:val="single" w:sz="4" w:space="0" w:color="auto"/>
              <w:left w:val="nil"/>
              <w:bottom w:val="nil"/>
              <w:right w:val="nil"/>
            </w:tcBorders>
            <w:vAlign w:val="center"/>
          </w:tcPr>
          <w:p w14:paraId="00B70C07" w14:textId="2ED2B563" w:rsidR="00FC7613" w:rsidRPr="00E81272" w:rsidRDefault="00FC7613">
            <w:pPr>
              <w:jc w:val="right"/>
              <w:rPr>
                <w:rFonts w:ascii="Arial" w:hAnsi="Arial" w:cs="Arial"/>
                <w:sz w:val="14"/>
                <w:szCs w:val="14"/>
                <w:lang w:eastAsia="es-AR"/>
              </w:rPr>
            </w:pPr>
            <w:r>
              <w:rPr>
                <w:rFonts w:ascii="Arial" w:hAnsi="Arial" w:cs="Arial"/>
                <w:sz w:val="14"/>
                <w:szCs w:val="14"/>
                <w:lang w:eastAsia="es-AR"/>
              </w:rPr>
              <w:t>6.444.347</w:t>
            </w:r>
          </w:p>
        </w:tc>
        <w:tc>
          <w:tcPr>
            <w:tcW w:w="992" w:type="dxa"/>
            <w:tcBorders>
              <w:top w:val="single" w:sz="4" w:space="0" w:color="auto"/>
              <w:left w:val="nil"/>
              <w:bottom w:val="nil"/>
              <w:right w:val="nil"/>
            </w:tcBorders>
            <w:vAlign w:val="center"/>
          </w:tcPr>
          <w:p w14:paraId="09551DF8" w14:textId="68A2CD51" w:rsidR="00FC7613" w:rsidRPr="00E81272" w:rsidRDefault="00FC7613">
            <w:pPr>
              <w:jc w:val="right"/>
              <w:rPr>
                <w:rFonts w:ascii="Arial" w:hAnsi="Arial" w:cs="Arial"/>
                <w:sz w:val="14"/>
                <w:szCs w:val="14"/>
                <w:lang w:eastAsia="es-AR"/>
              </w:rPr>
            </w:pPr>
            <w:r>
              <w:rPr>
                <w:rFonts w:ascii="Arial" w:hAnsi="Arial" w:cs="Arial"/>
                <w:sz w:val="14"/>
                <w:szCs w:val="14"/>
                <w:lang w:eastAsia="es-AR"/>
              </w:rPr>
              <w:t>16.376.393</w:t>
            </w:r>
          </w:p>
        </w:tc>
        <w:tc>
          <w:tcPr>
            <w:tcW w:w="993" w:type="dxa"/>
            <w:tcBorders>
              <w:top w:val="single" w:sz="4" w:space="0" w:color="auto"/>
              <w:left w:val="nil"/>
              <w:bottom w:val="nil"/>
              <w:right w:val="nil"/>
            </w:tcBorders>
            <w:shd w:val="clear" w:color="auto" w:fill="auto"/>
            <w:noWrap/>
            <w:vAlign w:val="center"/>
            <w:hideMark/>
          </w:tcPr>
          <w:p w14:paraId="216B7A21" w14:textId="79A1E9CC" w:rsidR="00FC7613" w:rsidRPr="00E81272" w:rsidRDefault="00FC7613">
            <w:pPr>
              <w:jc w:val="right"/>
              <w:rPr>
                <w:rFonts w:ascii="Arial" w:hAnsi="Arial" w:cs="Arial"/>
                <w:sz w:val="14"/>
                <w:szCs w:val="14"/>
                <w:lang w:eastAsia="es-AR"/>
              </w:rPr>
            </w:pPr>
            <w:r>
              <w:rPr>
                <w:rFonts w:ascii="Arial" w:hAnsi="Arial" w:cs="Arial"/>
                <w:sz w:val="14"/>
                <w:szCs w:val="14"/>
                <w:lang w:eastAsia="es-AR"/>
              </w:rPr>
              <w:t>-</w:t>
            </w:r>
          </w:p>
        </w:tc>
        <w:tc>
          <w:tcPr>
            <w:tcW w:w="709" w:type="dxa"/>
            <w:tcBorders>
              <w:top w:val="single" w:sz="4" w:space="0" w:color="auto"/>
              <w:left w:val="nil"/>
              <w:bottom w:val="nil"/>
              <w:right w:val="nil"/>
            </w:tcBorders>
            <w:shd w:val="clear" w:color="auto" w:fill="auto"/>
            <w:noWrap/>
            <w:vAlign w:val="center"/>
            <w:hideMark/>
          </w:tcPr>
          <w:p w14:paraId="33390A76" w14:textId="4FC3E092" w:rsidR="00FC7613" w:rsidRPr="00E81272" w:rsidRDefault="00FC7613">
            <w:pPr>
              <w:jc w:val="right"/>
              <w:rPr>
                <w:rFonts w:ascii="Arial" w:hAnsi="Arial" w:cs="Arial"/>
                <w:sz w:val="14"/>
                <w:szCs w:val="14"/>
                <w:lang w:eastAsia="es-AR"/>
              </w:rPr>
            </w:pPr>
            <w:r>
              <w:rPr>
                <w:rFonts w:ascii="Arial" w:hAnsi="Arial" w:cs="Arial"/>
                <w:sz w:val="14"/>
                <w:szCs w:val="14"/>
                <w:lang w:eastAsia="es-AR"/>
              </w:rPr>
              <w:t>-</w:t>
            </w:r>
          </w:p>
        </w:tc>
        <w:tc>
          <w:tcPr>
            <w:tcW w:w="783" w:type="dxa"/>
            <w:tcBorders>
              <w:top w:val="single" w:sz="4" w:space="0" w:color="auto"/>
              <w:left w:val="nil"/>
              <w:bottom w:val="nil"/>
              <w:right w:val="nil"/>
            </w:tcBorders>
            <w:shd w:val="clear" w:color="auto" w:fill="auto"/>
            <w:noWrap/>
            <w:vAlign w:val="center"/>
            <w:hideMark/>
          </w:tcPr>
          <w:p w14:paraId="2E53111F" w14:textId="54B1CB38" w:rsidR="00FC7613" w:rsidRPr="00E81272" w:rsidRDefault="00FC7613">
            <w:pPr>
              <w:jc w:val="right"/>
              <w:rPr>
                <w:rFonts w:ascii="Arial" w:hAnsi="Arial" w:cs="Arial"/>
                <w:sz w:val="14"/>
                <w:szCs w:val="14"/>
                <w:lang w:eastAsia="es-AR"/>
              </w:rPr>
            </w:pPr>
            <w:r>
              <w:rPr>
                <w:rFonts w:ascii="Arial" w:hAnsi="Arial" w:cs="Arial"/>
                <w:sz w:val="14"/>
                <w:szCs w:val="14"/>
                <w:lang w:eastAsia="es-AR"/>
              </w:rPr>
              <w:t>1.841.138</w:t>
            </w:r>
          </w:p>
        </w:tc>
        <w:tc>
          <w:tcPr>
            <w:tcW w:w="851" w:type="dxa"/>
            <w:tcBorders>
              <w:top w:val="single" w:sz="4" w:space="0" w:color="auto"/>
              <w:left w:val="nil"/>
              <w:bottom w:val="nil"/>
              <w:right w:val="nil"/>
            </w:tcBorders>
            <w:shd w:val="clear" w:color="auto" w:fill="auto"/>
            <w:noWrap/>
            <w:vAlign w:val="center"/>
            <w:hideMark/>
          </w:tcPr>
          <w:p w14:paraId="43C48F97" w14:textId="36DA4983" w:rsidR="00FC7613" w:rsidRPr="00E81272" w:rsidRDefault="00FC7613">
            <w:pPr>
              <w:jc w:val="right"/>
              <w:rPr>
                <w:rFonts w:ascii="Arial" w:hAnsi="Arial" w:cs="Arial"/>
                <w:sz w:val="14"/>
                <w:szCs w:val="14"/>
                <w:lang w:eastAsia="es-AR"/>
              </w:rPr>
            </w:pPr>
            <w:r>
              <w:rPr>
                <w:rFonts w:ascii="Arial" w:hAnsi="Arial" w:cs="Arial"/>
                <w:sz w:val="14"/>
                <w:szCs w:val="14"/>
                <w:lang w:eastAsia="es-AR"/>
              </w:rPr>
              <w:t>7.018.821</w:t>
            </w:r>
          </w:p>
        </w:tc>
        <w:tc>
          <w:tcPr>
            <w:tcW w:w="992" w:type="dxa"/>
            <w:tcBorders>
              <w:top w:val="single" w:sz="4" w:space="0" w:color="auto"/>
              <w:left w:val="nil"/>
              <w:bottom w:val="nil"/>
              <w:right w:val="nil"/>
            </w:tcBorders>
            <w:shd w:val="clear" w:color="auto" w:fill="auto"/>
            <w:noWrap/>
            <w:vAlign w:val="center"/>
            <w:hideMark/>
          </w:tcPr>
          <w:p w14:paraId="66C57453" w14:textId="18EC6463" w:rsidR="00FC7613" w:rsidRPr="00E81272" w:rsidRDefault="00FC7613">
            <w:pPr>
              <w:jc w:val="right"/>
              <w:rPr>
                <w:rFonts w:ascii="Arial" w:hAnsi="Arial" w:cs="Arial"/>
                <w:sz w:val="14"/>
                <w:szCs w:val="14"/>
                <w:lang w:eastAsia="es-AR"/>
              </w:rPr>
            </w:pPr>
            <w:r>
              <w:rPr>
                <w:rFonts w:ascii="Arial" w:hAnsi="Arial" w:cs="Arial"/>
                <w:sz w:val="14"/>
                <w:szCs w:val="14"/>
                <w:lang w:eastAsia="es-AR"/>
              </w:rPr>
              <w:t>-10.025.490</w:t>
            </w:r>
          </w:p>
        </w:tc>
        <w:tc>
          <w:tcPr>
            <w:tcW w:w="850" w:type="dxa"/>
            <w:tcBorders>
              <w:top w:val="single" w:sz="4" w:space="0" w:color="auto"/>
              <w:left w:val="nil"/>
              <w:bottom w:val="nil"/>
              <w:right w:val="nil"/>
            </w:tcBorders>
            <w:shd w:val="clear" w:color="auto" w:fill="auto"/>
            <w:noWrap/>
            <w:vAlign w:val="center"/>
            <w:hideMark/>
          </w:tcPr>
          <w:p w14:paraId="400C7BDA" w14:textId="55280B4D" w:rsidR="00FC7613" w:rsidRPr="00E81272" w:rsidRDefault="00FC7613">
            <w:pPr>
              <w:jc w:val="right"/>
              <w:rPr>
                <w:rFonts w:ascii="Arial" w:hAnsi="Arial" w:cs="Arial"/>
                <w:sz w:val="14"/>
                <w:szCs w:val="14"/>
                <w:lang w:eastAsia="es-AR"/>
              </w:rPr>
            </w:pPr>
            <w:r>
              <w:rPr>
                <w:rFonts w:ascii="Arial" w:hAnsi="Arial" w:cs="Arial"/>
                <w:sz w:val="14"/>
                <w:szCs w:val="14"/>
                <w:lang w:eastAsia="es-AR"/>
              </w:rPr>
              <w:t>22</w:t>
            </w:r>
            <w:r w:rsidRPr="00E81272">
              <w:rPr>
                <w:rFonts w:ascii="Arial" w:hAnsi="Arial" w:cs="Arial"/>
                <w:sz w:val="14"/>
                <w:szCs w:val="14"/>
                <w:lang w:eastAsia="es-AR"/>
              </w:rPr>
              <w:t>.</w:t>
            </w:r>
            <w:r>
              <w:rPr>
                <w:rFonts w:ascii="Arial" w:hAnsi="Arial" w:cs="Arial"/>
                <w:sz w:val="14"/>
                <w:szCs w:val="14"/>
                <w:lang w:eastAsia="es-AR"/>
              </w:rPr>
              <w:t>464</w:t>
            </w:r>
            <w:r w:rsidRPr="00E81272">
              <w:rPr>
                <w:rFonts w:ascii="Arial" w:hAnsi="Arial" w:cs="Arial"/>
                <w:sz w:val="14"/>
                <w:szCs w:val="14"/>
                <w:lang w:eastAsia="es-AR"/>
              </w:rPr>
              <w:t>.</w:t>
            </w:r>
            <w:r>
              <w:rPr>
                <w:rFonts w:ascii="Arial" w:hAnsi="Arial" w:cs="Arial"/>
                <w:sz w:val="14"/>
                <w:szCs w:val="14"/>
                <w:lang w:eastAsia="es-AR"/>
              </w:rPr>
              <w:t>061</w:t>
            </w:r>
          </w:p>
        </w:tc>
      </w:tr>
      <w:tr w:rsidR="00FC7613" w:rsidRPr="00E81272" w14:paraId="25D9EFFD" w14:textId="77777777" w:rsidTr="00637A70">
        <w:trPr>
          <w:trHeight w:val="106"/>
          <w:jc w:val="center"/>
        </w:trPr>
        <w:tc>
          <w:tcPr>
            <w:tcW w:w="2401" w:type="dxa"/>
            <w:tcBorders>
              <w:top w:val="nil"/>
              <w:left w:val="nil"/>
              <w:bottom w:val="nil"/>
              <w:right w:val="nil"/>
            </w:tcBorders>
            <w:shd w:val="clear" w:color="auto" w:fill="auto"/>
            <w:hideMark/>
          </w:tcPr>
          <w:p w14:paraId="43B6F054" w14:textId="77777777" w:rsidR="00FC7613" w:rsidRPr="00E81272" w:rsidRDefault="00FC7613" w:rsidP="00FC7613">
            <w:pPr>
              <w:rPr>
                <w:rFonts w:ascii="Arial" w:hAnsi="Arial" w:cs="Arial"/>
                <w:sz w:val="14"/>
                <w:szCs w:val="14"/>
                <w:lang w:eastAsia="es-AR"/>
              </w:rPr>
            </w:pPr>
          </w:p>
        </w:tc>
        <w:tc>
          <w:tcPr>
            <w:tcW w:w="567" w:type="dxa"/>
            <w:tcBorders>
              <w:top w:val="nil"/>
              <w:left w:val="nil"/>
              <w:bottom w:val="nil"/>
              <w:right w:val="nil"/>
            </w:tcBorders>
            <w:shd w:val="clear" w:color="auto" w:fill="auto"/>
            <w:noWrap/>
            <w:hideMark/>
          </w:tcPr>
          <w:p w14:paraId="5C2EAAD8" w14:textId="77777777" w:rsidR="00FC7613" w:rsidRPr="00E81272" w:rsidRDefault="00FC7613" w:rsidP="00FC7613">
            <w:pPr>
              <w:rPr>
                <w:sz w:val="14"/>
                <w:szCs w:val="14"/>
                <w:lang w:eastAsia="es-AR"/>
              </w:rPr>
            </w:pPr>
          </w:p>
        </w:tc>
        <w:tc>
          <w:tcPr>
            <w:tcW w:w="992" w:type="dxa"/>
            <w:tcBorders>
              <w:top w:val="nil"/>
              <w:left w:val="nil"/>
              <w:bottom w:val="nil"/>
              <w:right w:val="nil"/>
            </w:tcBorders>
            <w:shd w:val="clear" w:color="auto" w:fill="auto"/>
            <w:noWrap/>
            <w:vAlign w:val="bottom"/>
            <w:hideMark/>
          </w:tcPr>
          <w:p w14:paraId="055D02A1" w14:textId="77777777" w:rsidR="00FC7613" w:rsidRPr="00E81272" w:rsidRDefault="00FC7613" w:rsidP="00FC7613">
            <w:pPr>
              <w:jc w:val="right"/>
              <w:rPr>
                <w:sz w:val="14"/>
                <w:szCs w:val="14"/>
                <w:lang w:eastAsia="es-AR"/>
              </w:rPr>
            </w:pPr>
          </w:p>
        </w:tc>
        <w:tc>
          <w:tcPr>
            <w:tcW w:w="1134" w:type="dxa"/>
            <w:tcBorders>
              <w:top w:val="nil"/>
              <w:left w:val="nil"/>
              <w:bottom w:val="nil"/>
              <w:right w:val="nil"/>
            </w:tcBorders>
          </w:tcPr>
          <w:p w14:paraId="5C3A8C04" w14:textId="77777777" w:rsidR="00FC7613" w:rsidRPr="00E81272" w:rsidRDefault="00FC7613" w:rsidP="00FC7613">
            <w:pPr>
              <w:jc w:val="right"/>
              <w:rPr>
                <w:sz w:val="14"/>
                <w:szCs w:val="14"/>
                <w:lang w:eastAsia="es-AR"/>
              </w:rPr>
            </w:pPr>
          </w:p>
        </w:tc>
        <w:tc>
          <w:tcPr>
            <w:tcW w:w="992" w:type="dxa"/>
            <w:tcBorders>
              <w:top w:val="nil"/>
              <w:left w:val="nil"/>
              <w:bottom w:val="nil"/>
              <w:right w:val="nil"/>
            </w:tcBorders>
          </w:tcPr>
          <w:p w14:paraId="4D1A51C4" w14:textId="77777777" w:rsidR="00FC7613" w:rsidRPr="00E81272" w:rsidRDefault="00FC7613" w:rsidP="00FC7613">
            <w:pPr>
              <w:jc w:val="right"/>
              <w:rPr>
                <w:sz w:val="14"/>
                <w:szCs w:val="14"/>
                <w:lang w:eastAsia="es-AR"/>
              </w:rPr>
            </w:pPr>
          </w:p>
        </w:tc>
        <w:tc>
          <w:tcPr>
            <w:tcW w:w="993" w:type="dxa"/>
            <w:tcBorders>
              <w:top w:val="nil"/>
              <w:left w:val="nil"/>
              <w:bottom w:val="nil"/>
              <w:right w:val="nil"/>
            </w:tcBorders>
            <w:shd w:val="clear" w:color="auto" w:fill="auto"/>
            <w:noWrap/>
            <w:vAlign w:val="bottom"/>
            <w:hideMark/>
          </w:tcPr>
          <w:p w14:paraId="05BF9DA7" w14:textId="77777777" w:rsidR="00FC7613" w:rsidRPr="00E81272" w:rsidRDefault="00FC7613" w:rsidP="00FC7613">
            <w:pPr>
              <w:jc w:val="right"/>
              <w:rPr>
                <w:sz w:val="14"/>
                <w:szCs w:val="14"/>
                <w:lang w:eastAsia="es-AR"/>
              </w:rPr>
            </w:pPr>
          </w:p>
        </w:tc>
        <w:tc>
          <w:tcPr>
            <w:tcW w:w="709" w:type="dxa"/>
            <w:tcBorders>
              <w:top w:val="nil"/>
              <w:left w:val="nil"/>
              <w:bottom w:val="nil"/>
              <w:right w:val="nil"/>
            </w:tcBorders>
            <w:shd w:val="clear" w:color="auto" w:fill="auto"/>
            <w:noWrap/>
            <w:vAlign w:val="bottom"/>
            <w:hideMark/>
          </w:tcPr>
          <w:p w14:paraId="230FD428" w14:textId="77777777" w:rsidR="00FC7613" w:rsidRPr="00E81272" w:rsidRDefault="00FC7613" w:rsidP="00FC7613">
            <w:pPr>
              <w:jc w:val="right"/>
              <w:rPr>
                <w:sz w:val="14"/>
                <w:szCs w:val="14"/>
                <w:lang w:eastAsia="es-AR"/>
              </w:rPr>
            </w:pPr>
          </w:p>
        </w:tc>
        <w:tc>
          <w:tcPr>
            <w:tcW w:w="783" w:type="dxa"/>
            <w:tcBorders>
              <w:top w:val="nil"/>
              <w:left w:val="nil"/>
              <w:bottom w:val="nil"/>
              <w:right w:val="nil"/>
            </w:tcBorders>
            <w:shd w:val="clear" w:color="auto" w:fill="auto"/>
            <w:noWrap/>
            <w:vAlign w:val="bottom"/>
            <w:hideMark/>
          </w:tcPr>
          <w:p w14:paraId="314AB6C2" w14:textId="77777777" w:rsidR="00FC7613" w:rsidRPr="00E81272" w:rsidRDefault="00FC7613" w:rsidP="00FC7613">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1A51FB1C" w14:textId="77777777" w:rsidR="00FC7613" w:rsidRPr="00E81272" w:rsidRDefault="00FC7613" w:rsidP="00FC7613">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561B115A" w14:textId="77777777" w:rsidR="00FC7613" w:rsidRPr="00E81272" w:rsidRDefault="00FC7613" w:rsidP="00FC7613">
            <w:pPr>
              <w:jc w:val="right"/>
              <w:rPr>
                <w:sz w:val="14"/>
                <w:szCs w:val="14"/>
                <w:lang w:eastAsia="es-AR"/>
              </w:rPr>
            </w:pPr>
          </w:p>
        </w:tc>
        <w:tc>
          <w:tcPr>
            <w:tcW w:w="850" w:type="dxa"/>
            <w:tcBorders>
              <w:top w:val="nil"/>
              <w:left w:val="nil"/>
              <w:bottom w:val="nil"/>
              <w:right w:val="nil"/>
            </w:tcBorders>
            <w:shd w:val="clear" w:color="auto" w:fill="auto"/>
            <w:noWrap/>
            <w:vAlign w:val="bottom"/>
            <w:hideMark/>
          </w:tcPr>
          <w:p w14:paraId="67757BAA" w14:textId="77777777" w:rsidR="00FC7613" w:rsidRPr="00E81272" w:rsidRDefault="00FC7613" w:rsidP="00FC7613">
            <w:pPr>
              <w:jc w:val="right"/>
              <w:rPr>
                <w:sz w:val="14"/>
                <w:szCs w:val="14"/>
                <w:lang w:eastAsia="es-AR"/>
              </w:rPr>
            </w:pPr>
          </w:p>
        </w:tc>
      </w:tr>
      <w:tr w:rsidR="00FC7613" w:rsidRPr="00E81272" w14:paraId="41A95794" w14:textId="77777777" w:rsidTr="00637A70">
        <w:trPr>
          <w:trHeight w:val="217"/>
          <w:jc w:val="center"/>
        </w:trPr>
        <w:tc>
          <w:tcPr>
            <w:tcW w:w="2401" w:type="dxa"/>
            <w:tcBorders>
              <w:top w:val="nil"/>
              <w:left w:val="nil"/>
              <w:bottom w:val="nil"/>
              <w:right w:val="nil"/>
            </w:tcBorders>
            <w:shd w:val="clear" w:color="auto" w:fill="auto"/>
            <w:hideMark/>
          </w:tcPr>
          <w:p w14:paraId="34D87ACD" w14:textId="77777777" w:rsidR="00FC7613" w:rsidRPr="00E81272" w:rsidRDefault="00FC7613" w:rsidP="00FC7613">
            <w:pPr>
              <w:rPr>
                <w:rFonts w:ascii="Arial" w:hAnsi="Arial" w:cs="Arial"/>
                <w:b/>
                <w:bCs/>
                <w:sz w:val="14"/>
                <w:szCs w:val="14"/>
                <w:lang w:eastAsia="es-AR"/>
              </w:rPr>
            </w:pPr>
            <w:r w:rsidRPr="00E81272">
              <w:rPr>
                <w:rFonts w:ascii="Arial" w:hAnsi="Arial" w:cs="Arial"/>
                <w:b/>
                <w:bCs/>
                <w:sz w:val="14"/>
                <w:szCs w:val="14"/>
                <w:lang w:eastAsia="es-AR"/>
              </w:rPr>
              <w:t>Resultado total integral del período</w:t>
            </w:r>
          </w:p>
        </w:tc>
        <w:tc>
          <w:tcPr>
            <w:tcW w:w="567" w:type="dxa"/>
            <w:tcBorders>
              <w:top w:val="nil"/>
              <w:left w:val="nil"/>
              <w:bottom w:val="nil"/>
              <w:right w:val="nil"/>
            </w:tcBorders>
            <w:shd w:val="clear" w:color="auto" w:fill="auto"/>
            <w:noWrap/>
            <w:hideMark/>
          </w:tcPr>
          <w:p w14:paraId="6FEBE5A8" w14:textId="77777777" w:rsidR="00FC7613" w:rsidRPr="00E81272" w:rsidRDefault="00FC7613" w:rsidP="00FC7613">
            <w:pPr>
              <w:rPr>
                <w:rFonts w:ascii="Arial" w:hAnsi="Arial" w:cs="Arial"/>
                <w:b/>
                <w:bCs/>
                <w:sz w:val="14"/>
                <w:szCs w:val="14"/>
                <w:lang w:eastAsia="es-AR"/>
              </w:rPr>
            </w:pPr>
          </w:p>
        </w:tc>
        <w:tc>
          <w:tcPr>
            <w:tcW w:w="992" w:type="dxa"/>
            <w:tcBorders>
              <w:top w:val="nil"/>
              <w:left w:val="nil"/>
              <w:bottom w:val="nil"/>
              <w:right w:val="nil"/>
            </w:tcBorders>
            <w:shd w:val="clear" w:color="auto" w:fill="auto"/>
            <w:noWrap/>
            <w:vAlign w:val="bottom"/>
            <w:hideMark/>
          </w:tcPr>
          <w:p w14:paraId="47D66068" w14:textId="77777777" w:rsidR="00FC7613" w:rsidRPr="00E81272" w:rsidRDefault="00FC7613" w:rsidP="00FC7613">
            <w:pPr>
              <w:jc w:val="right"/>
              <w:rPr>
                <w:sz w:val="14"/>
                <w:szCs w:val="14"/>
                <w:lang w:eastAsia="es-AR"/>
              </w:rPr>
            </w:pPr>
          </w:p>
        </w:tc>
        <w:tc>
          <w:tcPr>
            <w:tcW w:w="1134" w:type="dxa"/>
            <w:tcBorders>
              <w:top w:val="nil"/>
              <w:left w:val="nil"/>
              <w:bottom w:val="nil"/>
              <w:right w:val="nil"/>
            </w:tcBorders>
          </w:tcPr>
          <w:p w14:paraId="063D51B9" w14:textId="77777777" w:rsidR="00FC7613" w:rsidRPr="00E81272" w:rsidRDefault="00FC7613" w:rsidP="00FC7613">
            <w:pPr>
              <w:jc w:val="right"/>
              <w:rPr>
                <w:sz w:val="14"/>
                <w:szCs w:val="14"/>
                <w:lang w:eastAsia="es-AR"/>
              </w:rPr>
            </w:pPr>
          </w:p>
        </w:tc>
        <w:tc>
          <w:tcPr>
            <w:tcW w:w="992" w:type="dxa"/>
            <w:tcBorders>
              <w:top w:val="nil"/>
              <w:left w:val="nil"/>
              <w:bottom w:val="nil"/>
              <w:right w:val="nil"/>
            </w:tcBorders>
          </w:tcPr>
          <w:p w14:paraId="7974D4CF" w14:textId="77777777" w:rsidR="00FC7613" w:rsidRPr="00E81272" w:rsidRDefault="00FC7613" w:rsidP="00FC7613">
            <w:pPr>
              <w:jc w:val="right"/>
              <w:rPr>
                <w:sz w:val="14"/>
                <w:szCs w:val="14"/>
                <w:lang w:eastAsia="es-AR"/>
              </w:rPr>
            </w:pPr>
          </w:p>
        </w:tc>
        <w:tc>
          <w:tcPr>
            <w:tcW w:w="993" w:type="dxa"/>
            <w:tcBorders>
              <w:top w:val="nil"/>
              <w:left w:val="nil"/>
              <w:bottom w:val="nil"/>
              <w:right w:val="nil"/>
            </w:tcBorders>
            <w:shd w:val="clear" w:color="auto" w:fill="auto"/>
            <w:noWrap/>
            <w:vAlign w:val="bottom"/>
            <w:hideMark/>
          </w:tcPr>
          <w:p w14:paraId="121508A8" w14:textId="77777777" w:rsidR="00FC7613" w:rsidRPr="00E81272" w:rsidRDefault="00FC7613" w:rsidP="00FC7613">
            <w:pPr>
              <w:jc w:val="right"/>
              <w:rPr>
                <w:sz w:val="14"/>
                <w:szCs w:val="14"/>
                <w:lang w:eastAsia="es-AR"/>
              </w:rPr>
            </w:pPr>
          </w:p>
        </w:tc>
        <w:tc>
          <w:tcPr>
            <w:tcW w:w="709" w:type="dxa"/>
            <w:tcBorders>
              <w:top w:val="nil"/>
              <w:left w:val="nil"/>
              <w:bottom w:val="nil"/>
              <w:right w:val="nil"/>
            </w:tcBorders>
            <w:shd w:val="clear" w:color="auto" w:fill="auto"/>
            <w:noWrap/>
            <w:vAlign w:val="bottom"/>
            <w:hideMark/>
          </w:tcPr>
          <w:p w14:paraId="4BF9C775" w14:textId="77777777" w:rsidR="00FC7613" w:rsidRPr="00E81272" w:rsidRDefault="00FC7613" w:rsidP="00FC7613">
            <w:pPr>
              <w:jc w:val="right"/>
              <w:rPr>
                <w:sz w:val="14"/>
                <w:szCs w:val="14"/>
                <w:lang w:eastAsia="es-AR"/>
              </w:rPr>
            </w:pPr>
          </w:p>
        </w:tc>
        <w:tc>
          <w:tcPr>
            <w:tcW w:w="783" w:type="dxa"/>
            <w:tcBorders>
              <w:top w:val="nil"/>
              <w:left w:val="nil"/>
              <w:bottom w:val="nil"/>
              <w:right w:val="nil"/>
            </w:tcBorders>
            <w:shd w:val="clear" w:color="auto" w:fill="auto"/>
            <w:noWrap/>
            <w:vAlign w:val="bottom"/>
            <w:hideMark/>
          </w:tcPr>
          <w:p w14:paraId="4865B6B5" w14:textId="77777777" w:rsidR="00FC7613" w:rsidRPr="00E81272" w:rsidRDefault="00FC7613" w:rsidP="00FC7613">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011F2A7B" w14:textId="77777777" w:rsidR="00FC7613" w:rsidRPr="00E81272" w:rsidRDefault="00FC7613" w:rsidP="00FC7613">
            <w:pPr>
              <w:jc w:val="right"/>
              <w:rPr>
                <w:sz w:val="14"/>
                <w:szCs w:val="14"/>
                <w:lang w:eastAsia="es-AR"/>
              </w:rPr>
            </w:pPr>
          </w:p>
        </w:tc>
        <w:tc>
          <w:tcPr>
            <w:tcW w:w="992" w:type="dxa"/>
            <w:tcBorders>
              <w:top w:val="nil"/>
              <w:left w:val="nil"/>
              <w:bottom w:val="nil"/>
              <w:right w:val="nil"/>
            </w:tcBorders>
            <w:shd w:val="clear" w:color="auto" w:fill="auto"/>
            <w:noWrap/>
            <w:vAlign w:val="bottom"/>
            <w:hideMark/>
          </w:tcPr>
          <w:p w14:paraId="23AD534D" w14:textId="77777777" w:rsidR="00FC7613" w:rsidRPr="00E81272" w:rsidRDefault="00FC7613" w:rsidP="00FC7613">
            <w:pPr>
              <w:jc w:val="right"/>
              <w:rPr>
                <w:sz w:val="14"/>
                <w:szCs w:val="14"/>
                <w:lang w:eastAsia="es-AR"/>
              </w:rPr>
            </w:pPr>
          </w:p>
        </w:tc>
        <w:tc>
          <w:tcPr>
            <w:tcW w:w="850" w:type="dxa"/>
            <w:tcBorders>
              <w:top w:val="nil"/>
              <w:left w:val="nil"/>
              <w:bottom w:val="nil"/>
              <w:right w:val="nil"/>
            </w:tcBorders>
            <w:shd w:val="clear" w:color="auto" w:fill="auto"/>
            <w:noWrap/>
            <w:vAlign w:val="bottom"/>
            <w:hideMark/>
          </w:tcPr>
          <w:p w14:paraId="4B6187AA" w14:textId="77777777" w:rsidR="00FC7613" w:rsidRPr="00E81272" w:rsidRDefault="00FC7613" w:rsidP="00FC7613">
            <w:pPr>
              <w:jc w:val="right"/>
              <w:rPr>
                <w:sz w:val="14"/>
                <w:szCs w:val="14"/>
                <w:lang w:eastAsia="es-AR"/>
              </w:rPr>
            </w:pPr>
          </w:p>
        </w:tc>
      </w:tr>
      <w:tr w:rsidR="00FC7613" w:rsidRPr="0070190A" w14:paraId="59F5C01B" w14:textId="77777777" w:rsidTr="00637A70">
        <w:trPr>
          <w:trHeight w:val="223"/>
          <w:jc w:val="center"/>
        </w:trPr>
        <w:tc>
          <w:tcPr>
            <w:tcW w:w="2401" w:type="dxa"/>
            <w:tcBorders>
              <w:top w:val="nil"/>
              <w:left w:val="nil"/>
              <w:bottom w:val="nil"/>
              <w:right w:val="nil"/>
            </w:tcBorders>
            <w:shd w:val="clear" w:color="auto" w:fill="auto"/>
            <w:hideMark/>
          </w:tcPr>
          <w:p w14:paraId="18919EF0" w14:textId="77777777" w:rsidR="00FC7613" w:rsidRPr="00E81272" w:rsidRDefault="00FC7613" w:rsidP="00FC7613">
            <w:pPr>
              <w:rPr>
                <w:rFonts w:ascii="Arial" w:hAnsi="Arial" w:cs="Arial"/>
                <w:sz w:val="14"/>
                <w:szCs w:val="14"/>
                <w:lang w:eastAsia="es-AR"/>
              </w:rPr>
            </w:pPr>
            <w:r w:rsidRPr="00E81272">
              <w:rPr>
                <w:rFonts w:ascii="Arial" w:hAnsi="Arial" w:cs="Arial"/>
                <w:sz w:val="14"/>
                <w:szCs w:val="14"/>
                <w:lang w:eastAsia="es-AR"/>
              </w:rPr>
              <w:t>- Resultado neto del período</w:t>
            </w:r>
          </w:p>
        </w:tc>
        <w:tc>
          <w:tcPr>
            <w:tcW w:w="567" w:type="dxa"/>
            <w:tcBorders>
              <w:top w:val="nil"/>
              <w:left w:val="nil"/>
              <w:bottom w:val="nil"/>
              <w:right w:val="nil"/>
            </w:tcBorders>
            <w:shd w:val="clear" w:color="auto" w:fill="auto"/>
            <w:noWrap/>
            <w:hideMark/>
          </w:tcPr>
          <w:p w14:paraId="258B0C52" w14:textId="77777777" w:rsidR="00FC7613" w:rsidRPr="00E81272" w:rsidRDefault="00FC7613" w:rsidP="00FC7613">
            <w:pPr>
              <w:rPr>
                <w:rFonts w:ascii="Arial" w:hAnsi="Arial" w:cs="Arial"/>
                <w:sz w:val="14"/>
                <w:szCs w:val="14"/>
                <w:lang w:eastAsia="es-AR"/>
              </w:rPr>
            </w:pPr>
          </w:p>
        </w:tc>
        <w:tc>
          <w:tcPr>
            <w:tcW w:w="992" w:type="dxa"/>
            <w:tcBorders>
              <w:top w:val="nil"/>
              <w:left w:val="nil"/>
              <w:bottom w:val="nil"/>
              <w:right w:val="nil"/>
            </w:tcBorders>
            <w:shd w:val="clear" w:color="auto" w:fill="auto"/>
            <w:noWrap/>
            <w:vAlign w:val="center"/>
            <w:hideMark/>
          </w:tcPr>
          <w:p w14:paraId="626462EE" w14:textId="77777777" w:rsidR="00FC7613" w:rsidRPr="00E81272" w:rsidRDefault="00FC7613" w:rsidP="00FC7613">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403426B1" w14:textId="77777777" w:rsidR="00FC7613" w:rsidRPr="00E81272" w:rsidRDefault="00FC7613" w:rsidP="00FC7613">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tcPr>
          <w:p w14:paraId="2BBD3329" w14:textId="77777777" w:rsidR="00FC7613" w:rsidRPr="005A1F48" w:rsidRDefault="00FC7613" w:rsidP="00FC7613">
            <w:pPr>
              <w:jc w:val="right"/>
              <w:rPr>
                <w:rFonts w:ascii="Arial" w:hAnsi="Arial" w:cs="Arial"/>
                <w:sz w:val="14"/>
                <w:szCs w:val="14"/>
              </w:rPr>
            </w:pPr>
          </w:p>
        </w:tc>
        <w:tc>
          <w:tcPr>
            <w:tcW w:w="993" w:type="dxa"/>
            <w:tcBorders>
              <w:top w:val="nil"/>
              <w:left w:val="nil"/>
              <w:bottom w:val="nil"/>
              <w:right w:val="nil"/>
            </w:tcBorders>
            <w:shd w:val="clear" w:color="auto" w:fill="auto"/>
            <w:noWrap/>
            <w:vAlign w:val="center"/>
          </w:tcPr>
          <w:p w14:paraId="14608417" w14:textId="77777777"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 </w:t>
            </w:r>
          </w:p>
        </w:tc>
        <w:tc>
          <w:tcPr>
            <w:tcW w:w="709" w:type="dxa"/>
            <w:tcBorders>
              <w:top w:val="nil"/>
              <w:left w:val="nil"/>
              <w:bottom w:val="nil"/>
              <w:right w:val="nil"/>
            </w:tcBorders>
            <w:shd w:val="clear" w:color="auto" w:fill="auto"/>
            <w:noWrap/>
            <w:vAlign w:val="center"/>
          </w:tcPr>
          <w:p w14:paraId="55B811D0" w14:textId="77777777"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 </w:t>
            </w:r>
          </w:p>
        </w:tc>
        <w:tc>
          <w:tcPr>
            <w:tcW w:w="783" w:type="dxa"/>
            <w:tcBorders>
              <w:top w:val="nil"/>
              <w:left w:val="nil"/>
              <w:bottom w:val="nil"/>
              <w:right w:val="nil"/>
            </w:tcBorders>
            <w:shd w:val="clear" w:color="auto" w:fill="auto"/>
            <w:noWrap/>
            <w:vAlign w:val="center"/>
          </w:tcPr>
          <w:p w14:paraId="11903FE4" w14:textId="77777777"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 </w:t>
            </w:r>
          </w:p>
        </w:tc>
        <w:tc>
          <w:tcPr>
            <w:tcW w:w="851" w:type="dxa"/>
            <w:tcBorders>
              <w:top w:val="nil"/>
              <w:left w:val="nil"/>
              <w:bottom w:val="nil"/>
              <w:right w:val="nil"/>
            </w:tcBorders>
            <w:shd w:val="clear" w:color="auto" w:fill="auto"/>
            <w:noWrap/>
            <w:vAlign w:val="center"/>
          </w:tcPr>
          <w:p w14:paraId="65EFD3CF" w14:textId="77777777"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 </w:t>
            </w:r>
          </w:p>
        </w:tc>
        <w:tc>
          <w:tcPr>
            <w:tcW w:w="992" w:type="dxa"/>
            <w:tcBorders>
              <w:top w:val="nil"/>
              <w:left w:val="nil"/>
              <w:bottom w:val="nil"/>
              <w:right w:val="nil"/>
            </w:tcBorders>
            <w:shd w:val="clear" w:color="auto" w:fill="auto"/>
            <w:noWrap/>
            <w:vAlign w:val="center"/>
          </w:tcPr>
          <w:p w14:paraId="3C9D9F11" w14:textId="027554C1" w:rsidR="00FC7613" w:rsidRPr="0070190A" w:rsidRDefault="00FC7613" w:rsidP="00FC7613">
            <w:pPr>
              <w:jc w:val="right"/>
              <w:rPr>
                <w:rFonts w:ascii="Arial" w:hAnsi="Arial" w:cs="Arial"/>
                <w:sz w:val="14"/>
                <w:szCs w:val="14"/>
                <w:lang w:eastAsia="es-AR"/>
              </w:rPr>
            </w:pPr>
            <w:r>
              <w:rPr>
                <w:rFonts w:ascii="Arial" w:hAnsi="Arial" w:cs="Arial"/>
                <w:sz w:val="14"/>
                <w:szCs w:val="14"/>
              </w:rPr>
              <w:t>-1.328.494</w:t>
            </w:r>
          </w:p>
        </w:tc>
        <w:tc>
          <w:tcPr>
            <w:tcW w:w="850" w:type="dxa"/>
            <w:tcBorders>
              <w:top w:val="nil"/>
              <w:left w:val="nil"/>
              <w:bottom w:val="nil"/>
              <w:right w:val="nil"/>
            </w:tcBorders>
            <w:shd w:val="clear" w:color="auto" w:fill="auto"/>
            <w:noWrap/>
            <w:vAlign w:val="center"/>
          </w:tcPr>
          <w:p w14:paraId="05EC141D" w14:textId="259E0038" w:rsidR="00FC7613" w:rsidRPr="0070190A" w:rsidRDefault="00FC7613" w:rsidP="00FC7613">
            <w:pPr>
              <w:jc w:val="right"/>
              <w:rPr>
                <w:rFonts w:ascii="Arial" w:hAnsi="Arial" w:cs="Arial"/>
                <w:sz w:val="14"/>
                <w:szCs w:val="14"/>
                <w:lang w:eastAsia="es-AR"/>
              </w:rPr>
            </w:pPr>
            <w:r>
              <w:rPr>
                <w:rFonts w:ascii="Arial" w:hAnsi="Arial" w:cs="Arial"/>
                <w:sz w:val="14"/>
                <w:szCs w:val="14"/>
              </w:rPr>
              <w:t>-1.328.494</w:t>
            </w:r>
          </w:p>
        </w:tc>
      </w:tr>
      <w:tr w:rsidR="00FC7613" w:rsidRPr="0070190A" w14:paraId="7E4B2037" w14:textId="77777777" w:rsidTr="00637A70">
        <w:trPr>
          <w:trHeight w:val="209"/>
          <w:jc w:val="center"/>
        </w:trPr>
        <w:tc>
          <w:tcPr>
            <w:tcW w:w="2401" w:type="dxa"/>
            <w:tcBorders>
              <w:top w:val="nil"/>
              <w:left w:val="nil"/>
              <w:bottom w:val="nil"/>
              <w:right w:val="nil"/>
            </w:tcBorders>
            <w:shd w:val="clear" w:color="auto" w:fill="auto"/>
            <w:hideMark/>
          </w:tcPr>
          <w:p w14:paraId="43D7AF04" w14:textId="77777777" w:rsidR="00FC7613" w:rsidRPr="00E81272" w:rsidRDefault="00FC7613" w:rsidP="00FC7613">
            <w:pPr>
              <w:rPr>
                <w:rFonts w:ascii="Arial" w:hAnsi="Arial" w:cs="Arial"/>
                <w:sz w:val="14"/>
                <w:szCs w:val="14"/>
                <w:lang w:eastAsia="es-AR"/>
              </w:rPr>
            </w:pPr>
            <w:r w:rsidRPr="00E81272">
              <w:rPr>
                <w:rFonts w:ascii="Arial" w:hAnsi="Arial" w:cs="Arial"/>
                <w:sz w:val="14"/>
                <w:szCs w:val="14"/>
                <w:lang w:eastAsia="es-AR"/>
              </w:rPr>
              <w:t>- Otro Resultado Integral del período</w:t>
            </w:r>
          </w:p>
        </w:tc>
        <w:tc>
          <w:tcPr>
            <w:tcW w:w="567" w:type="dxa"/>
            <w:tcBorders>
              <w:top w:val="nil"/>
              <w:left w:val="nil"/>
              <w:bottom w:val="nil"/>
              <w:right w:val="nil"/>
            </w:tcBorders>
            <w:shd w:val="clear" w:color="auto" w:fill="auto"/>
            <w:noWrap/>
            <w:hideMark/>
          </w:tcPr>
          <w:p w14:paraId="4461F2D0" w14:textId="77777777" w:rsidR="00FC7613" w:rsidRPr="00E81272" w:rsidRDefault="00FC7613" w:rsidP="00FC7613">
            <w:pPr>
              <w:rPr>
                <w:rFonts w:ascii="Arial" w:hAnsi="Arial" w:cs="Arial"/>
                <w:sz w:val="14"/>
                <w:szCs w:val="14"/>
                <w:lang w:eastAsia="es-AR"/>
              </w:rPr>
            </w:pPr>
          </w:p>
        </w:tc>
        <w:tc>
          <w:tcPr>
            <w:tcW w:w="992" w:type="dxa"/>
            <w:tcBorders>
              <w:top w:val="nil"/>
              <w:left w:val="nil"/>
              <w:bottom w:val="nil"/>
              <w:right w:val="nil"/>
            </w:tcBorders>
            <w:shd w:val="clear" w:color="auto" w:fill="auto"/>
            <w:noWrap/>
            <w:vAlign w:val="center"/>
            <w:hideMark/>
          </w:tcPr>
          <w:p w14:paraId="7CACDE8A" w14:textId="77777777" w:rsidR="00FC7613" w:rsidRPr="00E81272" w:rsidRDefault="00FC7613" w:rsidP="00FC7613">
            <w:pPr>
              <w:jc w:val="right"/>
              <w:rPr>
                <w:rFonts w:ascii="Arial" w:hAnsi="Arial" w:cs="Arial"/>
                <w:sz w:val="14"/>
                <w:szCs w:val="14"/>
                <w:lang w:eastAsia="es-AR"/>
              </w:rPr>
            </w:pPr>
            <w:r w:rsidRPr="00E81272">
              <w:rPr>
                <w:rFonts w:ascii="Arial" w:hAnsi="Arial" w:cs="Arial"/>
                <w:sz w:val="14"/>
                <w:szCs w:val="14"/>
                <w:lang w:eastAsia="es-AR"/>
              </w:rPr>
              <w:t>-</w:t>
            </w:r>
          </w:p>
        </w:tc>
        <w:tc>
          <w:tcPr>
            <w:tcW w:w="1134" w:type="dxa"/>
            <w:tcBorders>
              <w:top w:val="nil"/>
              <w:left w:val="nil"/>
              <w:bottom w:val="nil"/>
              <w:right w:val="nil"/>
            </w:tcBorders>
          </w:tcPr>
          <w:p w14:paraId="0EE25131" w14:textId="77777777" w:rsidR="00FC7613" w:rsidRPr="00E81272" w:rsidRDefault="00FC7613" w:rsidP="00FC7613">
            <w:pPr>
              <w:jc w:val="right"/>
              <w:rPr>
                <w:rFonts w:ascii="Arial" w:hAnsi="Arial" w:cs="Arial"/>
                <w:sz w:val="14"/>
                <w:szCs w:val="14"/>
                <w:lang w:eastAsia="es-AR"/>
              </w:rPr>
            </w:pPr>
            <w:r w:rsidRPr="00E81272">
              <w:rPr>
                <w:rFonts w:ascii="Arial" w:hAnsi="Arial" w:cs="Arial"/>
                <w:sz w:val="14"/>
                <w:szCs w:val="14"/>
                <w:lang w:eastAsia="es-AR"/>
              </w:rPr>
              <w:t>-</w:t>
            </w:r>
          </w:p>
        </w:tc>
        <w:tc>
          <w:tcPr>
            <w:tcW w:w="992" w:type="dxa"/>
            <w:tcBorders>
              <w:top w:val="nil"/>
              <w:left w:val="nil"/>
              <w:bottom w:val="nil"/>
              <w:right w:val="nil"/>
            </w:tcBorders>
          </w:tcPr>
          <w:p w14:paraId="1B517E6C" w14:textId="77777777" w:rsidR="00FC7613" w:rsidRPr="005A1F48" w:rsidRDefault="00FC7613" w:rsidP="00FC7613">
            <w:pPr>
              <w:jc w:val="right"/>
              <w:rPr>
                <w:rFonts w:ascii="Arial" w:hAnsi="Arial" w:cs="Arial"/>
                <w:sz w:val="14"/>
                <w:szCs w:val="14"/>
              </w:rPr>
            </w:pPr>
          </w:p>
        </w:tc>
        <w:tc>
          <w:tcPr>
            <w:tcW w:w="993" w:type="dxa"/>
            <w:tcBorders>
              <w:top w:val="nil"/>
              <w:left w:val="nil"/>
              <w:bottom w:val="nil"/>
              <w:right w:val="nil"/>
            </w:tcBorders>
            <w:shd w:val="clear" w:color="auto" w:fill="auto"/>
            <w:noWrap/>
            <w:vAlign w:val="center"/>
          </w:tcPr>
          <w:p w14:paraId="206BC2DD" w14:textId="370FD785" w:rsidR="00FC7613" w:rsidRPr="0070190A" w:rsidRDefault="00FC7613" w:rsidP="00FC7613">
            <w:pPr>
              <w:jc w:val="right"/>
              <w:rPr>
                <w:rFonts w:ascii="Arial" w:hAnsi="Arial" w:cs="Arial"/>
                <w:sz w:val="14"/>
                <w:szCs w:val="14"/>
                <w:lang w:eastAsia="es-AR"/>
              </w:rPr>
            </w:pPr>
            <w:r>
              <w:rPr>
                <w:rFonts w:ascii="Arial" w:hAnsi="Arial" w:cs="Arial"/>
                <w:sz w:val="14"/>
                <w:szCs w:val="14"/>
              </w:rPr>
              <w:t>-</w:t>
            </w:r>
          </w:p>
        </w:tc>
        <w:tc>
          <w:tcPr>
            <w:tcW w:w="709" w:type="dxa"/>
            <w:tcBorders>
              <w:top w:val="nil"/>
              <w:left w:val="nil"/>
              <w:bottom w:val="nil"/>
              <w:right w:val="nil"/>
            </w:tcBorders>
            <w:shd w:val="clear" w:color="auto" w:fill="auto"/>
            <w:noWrap/>
            <w:vAlign w:val="center"/>
          </w:tcPr>
          <w:p w14:paraId="611F52A7" w14:textId="75432E96"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w:t>
            </w:r>
            <w:r>
              <w:rPr>
                <w:rFonts w:ascii="Arial" w:hAnsi="Arial" w:cs="Arial"/>
                <w:sz w:val="14"/>
                <w:szCs w:val="14"/>
              </w:rPr>
              <w:t>-2.010</w:t>
            </w:r>
          </w:p>
        </w:tc>
        <w:tc>
          <w:tcPr>
            <w:tcW w:w="783" w:type="dxa"/>
            <w:tcBorders>
              <w:top w:val="nil"/>
              <w:left w:val="nil"/>
              <w:bottom w:val="nil"/>
              <w:right w:val="nil"/>
            </w:tcBorders>
            <w:shd w:val="clear" w:color="auto" w:fill="auto"/>
            <w:noWrap/>
            <w:vAlign w:val="center"/>
          </w:tcPr>
          <w:p w14:paraId="09B2BD9E" w14:textId="77777777"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 </w:t>
            </w:r>
          </w:p>
        </w:tc>
        <w:tc>
          <w:tcPr>
            <w:tcW w:w="851" w:type="dxa"/>
            <w:tcBorders>
              <w:top w:val="nil"/>
              <w:left w:val="nil"/>
              <w:bottom w:val="nil"/>
              <w:right w:val="nil"/>
            </w:tcBorders>
            <w:shd w:val="clear" w:color="auto" w:fill="auto"/>
            <w:noWrap/>
            <w:vAlign w:val="center"/>
          </w:tcPr>
          <w:p w14:paraId="29210DEC" w14:textId="77777777"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 </w:t>
            </w:r>
          </w:p>
        </w:tc>
        <w:tc>
          <w:tcPr>
            <w:tcW w:w="992" w:type="dxa"/>
            <w:tcBorders>
              <w:top w:val="nil"/>
              <w:left w:val="nil"/>
              <w:bottom w:val="nil"/>
              <w:right w:val="nil"/>
            </w:tcBorders>
            <w:shd w:val="clear" w:color="auto" w:fill="auto"/>
            <w:noWrap/>
            <w:vAlign w:val="center"/>
          </w:tcPr>
          <w:p w14:paraId="741FE10F" w14:textId="77777777" w:rsidR="00FC7613" w:rsidRPr="0070190A" w:rsidRDefault="00FC7613" w:rsidP="00FC7613">
            <w:pPr>
              <w:jc w:val="right"/>
              <w:rPr>
                <w:rFonts w:ascii="Arial" w:hAnsi="Arial" w:cs="Arial"/>
                <w:sz w:val="14"/>
                <w:szCs w:val="14"/>
                <w:lang w:eastAsia="es-AR"/>
              </w:rPr>
            </w:pPr>
            <w:r w:rsidRPr="005A1F48">
              <w:rPr>
                <w:rFonts w:ascii="Arial" w:hAnsi="Arial" w:cs="Arial"/>
                <w:sz w:val="14"/>
                <w:szCs w:val="14"/>
              </w:rPr>
              <w:t xml:space="preserve"> - </w:t>
            </w:r>
          </w:p>
        </w:tc>
        <w:tc>
          <w:tcPr>
            <w:tcW w:w="850" w:type="dxa"/>
            <w:tcBorders>
              <w:top w:val="nil"/>
              <w:left w:val="nil"/>
              <w:bottom w:val="nil"/>
              <w:right w:val="nil"/>
            </w:tcBorders>
            <w:shd w:val="clear" w:color="auto" w:fill="auto"/>
            <w:noWrap/>
            <w:vAlign w:val="center"/>
          </w:tcPr>
          <w:p w14:paraId="060A03D9" w14:textId="5875CD35" w:rsidR="00FC7613" w:rsidRPr="0070190A" w:rsidRDefault="00FC7613" w:rsidP="00FC7613">
            <w:pPr>
              <w:jc w:val="right"/>
              <w:rPr>
                <w:rFonts w:ascii="Arial" w:hAnsi="Arial" w:cs="Arial"/>
                <w:sz w:val="14"/>
                <w:szCs w:val="14"/>
                <w:lang w:eastAsia="es-AR"/>
              </w:rPr>
            </w:pPr>
            <w:r>
              <w:rPr>
                <w:rFonts w:ascii="Arial" w:hAnsi="Arial" w:cs="Arial"/>
                <w:sz w:val="14"/>
                <w:szCs w:val="14"/>
              </w:rPr>
              <w:t>-2.010</w:t>
            </w:r>
          </w:p>
        </w:tc>
      </w:tr>
      <w:tr w:rsidR="00FC7613" w:rsidRPr="00B26A01" w14:paraId="55B26970" w14:textId="77777777" w:rsidTr="00637A70">
        <w:trPr>
          <w:trHeight w:val="80"/>
          <w:jc w:val="center"/>
        </w:trPr>
        <w:tc>
          <w:tcPr>
            <w:tcW w:w="2401" w:type="dxa"/>
            <w:tcBorders>
              <w:top w:val="nil"/>
              <w:left w:val="nil"/>
              <w:bottom w:val="nil"/>
              <w:right w:val="nil"/>
            </w:tcBorders>
            <w:shd w:val="clear" w:color="auto" w:fill="auto"/>
            <w:hideMark/>
          </w:tcPr>
          <w:p w14:paraId="19CC7938" w14:textId="77777777" w:rsidR="00FC7613" w:rsidRPr="00B26A01" w:rsidRDefault="00FC7613" w:rsidP="00FC7613">
            <w:pPr>
              <w:rPr>
                <w:rFonts w:ascii="Arial" w:hAnsi="Arial" w:cs="Arial"/>
                <w:sz w:val="10"/>
                <w:szCs w:val="10"/>
                <w:lang w:eastAsia="es-AR"/>
              </w:rPr>
            </w:pPr>
          </w:p>
        </w:tc>
        <w:tc>
          <w:tcPr>
            <w:tcW w:w="567" w:type="dxa"/>
            <w:tcBorders>
              <w:top w:val="nil"/>
              <w:left w:val="nil"/>
              <w:bottom w:val="nil"/>
              <w:right w:val="nil"/>
            </w:tcBorders>
            <w:shd w:val="clear" w:color="auto" w:fill="auto"/>
            <w:noWrap/>
            <w:hideMark/>
          </w:tcPr>
          <w:p w14:paraId="54531EF4" w14:textId="77777777" w:rsidR="00FC7613" w:rsidRPr="00B26A01" w:rsidRDefault="00FC7613" w:rsidP="00FC7613">
            <w:pPr>
              <w:rPr>
                <w:sz w:val="10"/>
                <w:szCs w:val="10"/>
                <w:lang w:eastAsia="es-AR"/>
              </w:rPr>
            </w:pPr>
          </w:p>
        </w:tc>
        <w:tc>
          <w:tcPr>
            <w:tcW w:w="992" w:type="dxa"/>
            <w:tcBorders>
              <w:top w:val="nil"/>
              <w:left w:val="nil"/>
              <w:bottom w:val="nil"/>
              <w:right w:val="nil"/>
            </w:tcBorders>
            <w:shd w:val="clear" w:color="auto" w:fill="auto"/>
            <w:noWrap/>
            <w:vAlign w:val="bottom"/>
            <w:hideMark/>
          </w:tcPr>
          <w:p w14:paraId="13D746AB" w14:textId="77777777" w:rsidR="00FC7613" w:rsidRPr="00B26A01" w:rsidRDefault="00FC7613" w:rsidP="00FC7613">
            <w:pPr>
              <w:jc w:val="right"/>
              <w:rPr>
                <w:sz w:val="10"/>
                <w:szCs w:val="10"/>
                <w:lang w:eastAsia="es-AR"/>
              </w:rPr>
            </w:pPr>
          </w:p>
        </w:tc>
        <w:tc>
          <w:tcPr>
            <w:tcW w:w="1134" w:type="dxa"/>
            <w:tcBorders>
              <w:top w:val="nil"/>
              <w:left w:val="nil"/>
              <w:bottom w:val="nil"/>
              <w:right w:val="nil"/>
            </w:tcBorders>
          </w:tcPr>
          <w:p w14:paraId="44BEC14C" w14:textId="77777777" w:rsidR="00FC7613" w:rsidRPr="00B26A01" w:rsidRDefault="00FC7613" w:rsidP="00FC7613">
            <w:pPr>
              <w:jc w:val="right"/>
              <w:rPr>
                <w:sz w:val="10"/>
                <w:szCs w:val="10"/>
                <w:lang w:eastAsia="es-AR"/>
              </w:rPr>
            </w:pPr>
          </w:p>
        </w:tc>
        <w:tc>
          <w:tcPr>
            <w:tcW w:w="992" w:type="dxa"/>
            <w:tcBorders>
              <w:top w:val="nil"/>
              <w:left w:val="nil"/>
              <w:bottom w:val="nil"/>
              <w:right w:val="nil"/>
            </w:tcBorders>
          </w:tcPr>
          <w:p w14:paraId="650A5CC5" w14:textId="77777777" w:rsidR="00FC7613" w:rsidRPr="00B26A01" w:rsidRDefault="00FC7613" w:rsidP="00FC7613">
            <w:pPr>
              <w:jc w:val="right"/>
              <w:rPr>
                <w:sz w:val="10"/>
                <w:szCs w:val="10"/>
                <w:lang w:eastAsia="es-AR"/>
              </w:rPr>
            </w:pPr>
          </w:p>
        </w:tc>
        <w:tc>
          <w:tcPr>
            <w:tcW w:w="993" w:type="dxa"/>
            <w:tcBorders>
              <w:top w:val="nil"/>
              <w:left w:val="nil"/>
              <w:bottom w:val="nil"/>
              <w:right w:val="nil"/>
            </w:tcBorders>
            <w:shd w:val="clear" w:color="auto" w:fill="auto"/>
            <w:noWrap/>
            <w:vAlign w:val="bottom"/>
            <w:hideMark/>
          </w:tcPr>
          <w:p w14:paraId="5995DB70" w14:textId="77777777" w:rsidR="00FC7613" w:rsidRPr="00B26A01" w:rsidRDefault="00FC7613" w:rsidP="00FC7613">
            <w:pPr>
              <w:jc w:val="right"/>
              <w:rPr>
                <w:sz w:val="10"/>
                <w:szCs w:val="10"/>
                <w:lang w:eastAsia="es-AR"/>
              </w:rPr>
            </w:pPr>
          </w:p>
        </w:tc>
        <w:tc>
          <w:tcPr>
            <w:tcW w:w="709" w:type="dxa"/>
            <w:tcBorders>
              <w:top w:val="nil"/>
              <w:left w:val="nil"/>
              <w:bottom w:val="nil"/>
              <w:right w:val="nil"/>
            </w:tcBorders>
            <w:shd w:val="clear" w:color="auto" w:fill="auto"/>
            <w:noWrap/>
            <w:vAlign w:val="bottom"/>
            <w:hideMark/>
          </w:tcPr>
          <w:p w14:paraId="65104AC7" w14:textId="77777777" w:rsidR="00FC7613" w:rsidRPr="00B26A01" w:rsidRDefault="00FC7613" w:rsidP="00FC7613">
            <w:pPr>
              <w:jc w:val="right"/>
              <w:rPr>
                <w:sz w:val="10"/>
                <w:szCs w:val="10"/>
                <w:lang w:eastAsia="es-AR"/>
              </w:rPr>
            </w:pPr>
          </w:p>
        </w:tc>
        <w:tc>
          <w:tcPr>
            <w:tcW w:w="783" w:type="dxa"/>
            <w:tcBorders>
              <w:top w:val="nil"/>
              <w:left w:val="nil"/>
              <w:bottom w:val="nil"/>
              <w:right w:val="nil"/>
            </w:tcBorders>
            <w:shd w:val="clear" w:color="auto" w:fill="auto"/>
            <w:noWrap/>
            <w:vAlign w:val="bottom"/>
            <w:hideMark/>
          </w:tcPr>
          <w:p w14:paraId="3D118E22" w14:textId="77777777" w:rsidR="00FC7613" w:rsidRPr="00B26A01" w:rsidRDefault="00FC7613" w:rsidP="00FC7613">
            <w:pPr>
              <w:jc w:val="right"/>
              <w:rPr>
                <w:sz w:val="10"/>
                <w:szCs w:val="10"/>
                <w:lang w:eastAsia="es-AR"/>
              </w:rPr>
            </w:pPr>
          </w:p>
        </w:tc>
        <w:tc>
          <w:tcPr>
            <w:tcW w:w="851" w:type="dxa"/>
            <w:tcBorders>
              <w:top w:val="nil"/>
              <w:left w:val="nil"/>
              <w:bottom w:val="nil"/>
              <w:right w:val="nil"/>
            </w:tcBorders>
            <w:shd w:val="clear" w:color="auto" w:fill="auto"/>
            <w:noWrap/>
            <w:vAlign w:val="bottom"/>
            <w:hideMark/>
          </w:tcPr>
          <w:p w14:paraId="65868005" w14:textId="77777777" w:rsidR="00FC7613" w:rsidRPr="00B26A01" w:rsidRDefault="00FC7613" w:rsidP="00FC7613">
            <w:pPr>
              <w:jc w:val="right"/>
              <w:rPr>
                <w:sz w:val="10"/>
                <w:szCs w:val="10"/>
                <w:lang w:eastAsia="es-AR"/>
              </w:rPr>
            </w:pPr>
          </w:p>
        </w:tc>
        <w:tc>
          <w:tcPr>
            <w:tcW w:w="992" w:type="dxa"/>
            <w:tcBorders>
              <w:top w:val="nil"/>
              <w:left w:val="nil"/>
              <w:bottom w:val="nil"/>
              <w:right w:val="nil"/>
            </w:tcBorders>
            <w:shd w:val="clear" w:color="auto" w:fill="auto"/>
            <w:noWrap/>
            <w:vAlign w:val="bottom"/>
            <w:hideMark/>
          </w:tcPr>
          <w:p w14:paraId="73EA3F91" w14:textId="77777777" w:rsidR="00FC7613" w:rsidRPr="00B26A01" w:rsidRDefault="00FC7613" w:rsidP="00FC7613">
            <w:pPr>
              <w:jc w:val="right"/>
              <w:rPr>
                <w:sz w:val="10"/>
                <w:szCs w:val="10"/>
                <w:lang w:eastAsia="es-AR"/>
              </w:rPr>
            </w:pPr>
          </w:p>
        </w:tc>
        <w:tc>
          <w:tcPr>
            <w:tcW w:w="850" w:type="dxa"/>
            <w:tcBorders>
              <w:top w:val="nil"/>
              <w:left w:val="nil"/>
              <w:bottom w:val="nil"/>
              <w:right w:val="nil"/>
            </w:tcBorders>
            <w:shd w:val="clear" w:color="auto" w:fill="auto"/>
            <w:noWrap/>
            <w:vAlign w:val="bottom"/>
            <w:hideMark/>
          </w:tcPr>
          <w:p w14:paraId="7C959243" w14:textId="77777777" w:rsidR="00FC7613" w:rsidRPr="00B26A01" w:rsidRDefault="00FC7613" w:rsidP="00FC7613">
            <w:pPr>
              <w:jc w:val="right"/>
              <w:rPr>
                <w:sz w:val="10"/>
                <w:szCs w:val="10"/>
                <w:lang w:eastAsia="es-AR"/>
              </w:rPr>
            </w:pPr>
          </w:p>
        </w:tc>
      </w:tr>
      <w:tr w:rsidR="00FC7613" w:rsidRPr="0070190A" w14:paraId="47E96826" w14:textId="77777777" w:rsidTr="00637A70">
        <w:trPr>
          <w:trHeight w:val="77"/>
          <w:jc w:val="center"/>
        </w:trPr>
        <w:tc>
          <w:tcPr>
            <w:tcW w:w="2401" w:type="dxa"/>
            <w:tcBorders>
              <w:top w:val="nil"/>
              <w:left w:val="nil"/>
              <w:bottom w:val="nil"/>
              <w:right w:val="nil"/>
            </w:tcBorders>
            <w:shd w:val="clear" w:color="auto" w:fill="auto"/>
            <w:hideMark/>
          </w:tcPr>
          <w:p w14:paraId="3883BE16" w14:textId="77777777" w:rsidR="00FC7613" w:rsidRPr="00E81272" w:rsidRDefault="00FC7613" w:rsidP="00FC7613">
            <w:pPr>
              <w:rPr>
                <w:rFonts w:ascii="Arial" w:hAnsi="Arial" w:cs="Arial"/>
                <w:b/>
                <w:bCs/>
                <w:sz w:val="14"/>
                <w:szCs w:val="14"/>
                <w:lang w:eastAsia="es-AR"/>
              </w:rPr>
            </w:pPr>
            <w:r w:rsidRPr="00E81272">
              <w:rPr>
                <w:rFonts w:ascii="Arial" w:hAnsi="Arial" w:cs="Arial"/>
                <w:b/>
                <w:bCs/>
                <w:sz w:val="14"/>
                <w:szCs w:val="14"/>
                <w:lang w:eastAsia="es-AR"/>
              </w:rPr>
              <w:t>Saldos al cierre del período</w:t>
            </w:r>
          </w:p>
        </w:tc>
        <w:tc>
          <w:tcPr>
            <w:tcW w:w="567" w:type="dxa"/>
            <w:tcBorders>
              <w:top w:val="nil"/>
              <w:left w:val="nil"/>
              <w:bottom w:val="nil"/>
              <w:right w:val="nil"/>
            </w:tcBorders>
            <w:shd w:val="clear" w:color="auto" w:fill="auto"/>
            <w:noWrap/>
            <w:hideMark/>
          </w:tcPr>
          <w:p w14:paraId="31202803" w14:textId="77777777" w:rsidR="00FC7613" w:rsidRPr="00E81272" w:rsidRDefault="00FC7613" w:rsidP="00FC7613">
            <w:pPr>
              <w:rPr>
                <w:rFonts w:ascii="Arial" w:hAnsi="Arial" w:cs="Arial"/>
                <w:b/>
                <w:bCs/>
                <w:sz w:val="14"/>
                <w:szCs w:val="14"/>
                <w:lang w:eastAsia="es-AR"/>
              </w:rPr>
            </w:pPr>
          </w:p>
        </w:tc>
        <w:tc>
          <w:tcPr>
            <w:tcW w:w="992" w:type="dxa"/>
            <w:tcBorders>
              <w:top w:val="single" w:sz="4" w:space="0" w:color="auto"/>
              <w:left w:val="nil"/>
              <w:bottom w:val="single" w:sz="4" w:space="0" w:color="auto"/>
              <w:right w:val="nil"/>
            </w:tcBorders>
            <w:shd w:val="clear" w:color="auto" w:fill="auto"/>
            <w:noWrap/>
            <w:vAlign w:val="center"/>
            <w:hideMark/>
          </w:tcPr>
          <w:p w14:paraId="39ABC2A6" w14:textId="651861A1" w:rsidR="00FC7613" w:rsidRPr="00E81272" w:rsidRDefault="00FC7613" w:rsidP="00FC7613">
            <w:pPr>
              <w:jc w:val="right"/>
              <w:rPr>
                <w:rFonts w:ascii="Arial" w:hAnsi="Arial" w:cs="Arial"/>
                <w:b/>
                <w:bCs/>
                <w:sz w:val="14"/>
                <w:szCs w:val="14"/>
                <w:lang w:eastAsia="es-AR"/>
              </w:rPr>
            </w:pPr>
            <w:r>
              <w:rPr>
                <w:rFonts w:ascii="Arial" w:hAnsi="Arial" w:cs="Arial"/>
                <w:b/>
                <w:bCs/>
                <w:sz w:val="14"/>
                <w:szCs w:val="14"/>
                <w:lang w:eastAsia="es-AR"/>
              </w:rPr>
              <w:t>808.852</w:t>
            </w:r>
          </w:p>
        </w:tc>
        <w:tc>
          <w:tcPr>
            <w:tcW w:w="1134" w:type="dxa"/>
            <w:tcBorders>
              <w:top w:val="single" w:sz="4" w:space="0" w:color="auto"/>
              <w:left w:val="nil"/>
              <w:bottom w:val="single" w:sz="4" w:space="0" w:color="auto"/>
              <w:right w:val="nil"/>
            </w:tcBorders>
            <w:vAlign w:val="center"/>
          </w:tcPr>
          <w:p w14:paraId="0D571FB1" w14:textId="748CF8AD" w:rsidR="00FC7613" w:rsidRPr="00E81272" w:rsidRDefault="00FC7613" w:rsidP="00FC7613">
            <w:pPr>
              <w:jc w:val="right"/>
              <w:rPr>
                <w:rFonts w:ascii="Arial" w:hAnsi="Arial" w:cs="Arial"/>
                <w:b/>
                <w:bCs/>
                <w:sz w:val="14"/>
                <w:szCs w:val="14"/>
                <w:lang w:eastAsia="es-AR"/>
              </w:rPr>
            </w:pPr>
            <w:r>
              <w:rPr>
                <w:rFonts w:ascii="Arial" w:hAnsi="Arial" w:cs="Arial"/>
                <w:b/>
                <w:bCs/>
                <w:sz w:val="14"/>
                <w:szCs w:val="14"/>
                <w:lang w:eastAsia="es-AR"/>
              </w:rPr>
              <w:t>6.444.347</w:t>
            </w:r>
          </w:p>
        </w:tc>
        <w:tc>
          <w:tcPr>
            <w:tcW w:w="992" w:type="dxa"/>
            <w:tcBorders>
              <w:top w:val="single" w:sz="4" w:space="0" w:color="auto"/>
              <w:left w:val="nil"/>
              <w:bottom w:val="single" w:sz="4" w:space="0" w:color="auto"/>
              <w:right w:val="nil"/>
            </w:tcBorders>
          </w:tcPr>
          <w:p w14:paraId="6267846B" w14:textId="134D3F81" w:rsidR="00FC7613" w:rsidRPr="005A1F48" w:rsidRDefault="00FC7613" w:rsidP="00FC7613">
            <w:pPr>
              <w:jc w:val="right"/>
              <w:rPr>
                <w:rFonts w:ascii="Arial" w:hAnsi="Arial" w:cs="Arial"/>
                <w:b/>
                <w:bCs/>
                <w:sz w:val="14"/>
                <w:szCs w:val="14"/>
              </w:rPr>
            </w:pPr>
            <w:r>
              <w:rPr>
                <w:rFonts w:ascii="Arial" w:hAnsi="Arial" w:cs="Arial"/>
                <w:b/>
                <w:bCs/>
                <w:sz w:val="14"/>
                <w:szCs w:val="14"/>
              </w:rPr>
              <w:t>16.376.393</w:t>
            </w:r>
          </w:p>
        </w:tc>
        <w:tc>
          <w:tcPr>
            <w:tcW w:w="993" w:type="dxa"/>
            <w:tcBorders>
              <w:top w:val="single" w:sz="4" w:space="0" w:color="auto"/>
              <w:left w:val="nil"/>
              <w:bottom w:val="single" w:sz="4" w:space="0" w:color="auto"/>
              <w:right w:val="nil"/>
            </w:tcBorders>
            <w:shd w:val="clear" w:color="auto" w:fill="auto"/>
            <w:noWrap/>
            <w:vAlign w:val="center"/>
          </w:tcPr>
          <w:p w14:paraId="384FE2C6" w14:textId="665882D0" w:rsidR="00FC7613" w:rsidRPr="0070190A" w:rsidRDefault="00FC7613" w:rsidP="00FC7613">
            <w:pPr>
              <w:jc w:val="right"/>
              <w:rPr>
                <w:rFonts w:ascii="Arial" w:hAnsi="Arial" w:cs="Arial"/>
                <w:b/>
                <w:bCs/>
                <w:sz w:val="14"/>
                <w:szCs w:val="14"/>
                <w:lang w:eastAsia="es-AR"/>
              </w:rPr>
            </w:pPr>
            <w:r>
              <w:rPr>
                <w:rFonts w:ascii="Arial" w:hAnsi="Arial" w:cs="Arial"/>
                <w:b/>
                <w:bCs/>
                <w:sz w:val="14"/>
                <w:szCs w:val="14"/>
              </w:rPr>
              <w:t>-</w:t>
            </w:r>
          </w:p>
        </w:tc>
        <w:tc>
          <w:tcPr>
            <w:tcW w:w="709" w:type="dxa"/>
            <w:tcBorders>
              <w:top w:val="single" w:sz="4" w:space="0" w:color="auto"/>
              <w:left w:val="nil"/>
              <w:bottom w:val="single" w:sz="4" w:space="0" w:color="auto"/>
              <w:right w:val="nil"/>
            </w:tcBorders>
            <w:shd w:val="clear" w:color="auto" w:fill="auto"/>
            <w:noWrap/>
            <w:vAlign w:val="center"/>
          </w:tcPr>
          <w:p w14:paraId="6BBBA0F7" w14:textId="77E97E17" w:rsidR="00FC7613" w:rsidRPr="0070190A" w:rsidRDefault="00FC7613" w:rsidP="00FC7613">
            <w:pPr>
              <w:jc w:val="right"/>
              <w:rPr>
                <w:rFonts w:ascii="Arial" w:hAnsi="Arial" w:cs="Arial"/>
                <w:b/>
                <w:bCs/>
                <w:sz w:val="14"/>
                <w:szCs w:val="14"/>
                <w:lang w:eastAsia="es-AR"/>
              </w:rPr>
            </w:pPr>
            <w:r>
              <w:rPr>
                <w:rFonts w:ascii="Arial" w:hAnsi="Arial" w:cs="Arial"/>
                <w:b/>
                <w:bCs/>
                <w:sz w:val="14"/>
                <w:szCs w:val="14"/>
              </w:rPr>
              <w:t>-2.010</w:t>
            </w:r>
          </w:p>
        </w:tc>
        <w:tc>
          <w:tcPr>
            <w:tcW w:w="783" w:type="dxa"/>
            <w:tcBorders>
              <w:top w:val="single" w:sz="4" w:space="0" w:color="auto"/>
              <w:left w:val="nil"/>
              <w:bottom w:val="single" w:sz="4" w:space="0" w:color="auto"/>
              <w:right w:val="nil"/>
            </w:tcBorders>
            <w:shd w:val="clear" w:color="auto" w:fill="auto"/>
            <w:noWrap/>
            <w:vAlign w:val="center"/>
          </w:tcPr>
          <w:p w14:paraId="181B182C" w14:textId="55CE320E" w:rsidR="00FC7613" w:rsidRPr="0070190A" w:rsidRDefault="00FC7613" w:rsidP="00FC7613">
            <w:pPr>
              <w:jc w:val="right"/>
              <w:rPr>
                <w:rFonts w:ascii="Arial" w:hAnsi="Arial" w:cs="Arial"/>
                <w:b/>
                <w:bCs/>
                <w:sz w:val="14"/>
                <w:szCs w:val="14"/>
                <w:lang w:eastAsia="es-AR"/>
              </w:rPr>
            </w:pPr>
            <w:r>
              <w:rPr>
                <w:rFonts w:ascii="Arial" w:hAnsi="Arial" w:cs="Arial"/>
                <w:b/>
                <w:bCs/>
                <w:sz w:val="14"/>
                <w:szCs w:val="14"/>
              </w:rPr>
              <w:t>1.841.138</w:t>
            </w:r>
          </w:p>
        </w:tc>
        <w:tc>
          <w:tcPr>
            <w:tcW w:w="851" w:type="dxa"/>
            <w:tcBorders>
              <w:top w:val="single" w:sz="4" w:space="0" w:color="auto"/>
              <w:left w:val="nil"/>
              <w:bottom w:val="single" w:sz="4" w:space="0" w:color="auto"/>
              <w:right w:val="nil"/>
            </w:tcBorders>
            <w:shd w:val="clear" w:color="auto" w:fill="auto"/>
            <w:noWrap/>
            <w:vAlign w:val="center"/>
          </w:tcPr>
          <w:p w14:paraId="627B0DF3" w14:textId="64735A5C" w:rsidR="00FC7613" w:rsidRPr="0070190A" w:rsidRDefault="00FC7613" w:rsidP="00FC7613">
            <w:pPr>
              <w:jc w:val="right"/>
              <w:rPr>
                <w:rFonts w:ascii="Arial" w:hAnsi="Arial" w:cs="Arial"/>
                <w:b/>
                <w:bCs/>
                <w:sz w:val="14"/>
                <w:szCs w:val="14"/>
                <w:lang w:eastAsia="es-AR"/>
              </w:rPr>
            </w:pPr>
            <w:r>
              <w:rPr>
                <w:rFonts w:ascii="Arial" w:hAnsi="Arial" w:cs="Arial"/>
                <w:b/>
                <w:bCs/>
                <w:sz w:val="14"/>
                <w:szCs w:val="14"/>
              </w:rPr>
              <w:t>7.018.821</w:t>
            </w:r>
          </w:p>
        </w:tc>
        <w:tc>
          <w:tcPr>
            <w:tcW w:w="992" w:type="dxa"/>
            <w:tcBorders>
              <w:top w:val="single" w:sz="4" w:space="0" w:color="auto"/>
              <w:left w:val="nil"/>
              <w:bottom w:val="single" w:sz="4" w:space="0" w:color="auto"/>
              <w:right w:val="nil"/>
            </w:tcBorders>
            <w:shd w:val="clear" w:color="auto" w:fill="auto"/>
            <w:noWrap/>
            <w:vAlign w:val="center"/>
          </w:tcPr>
          <w:p w14:paraId="25D3056F" w14:textId="45258E23" w:rsidR="00FC7613" w:rsidRPr="0070190A" w:rsidRDefault="00FC7613" w:rsidP="00FC7613">
            <w:pPr>
              <w:jc w:val="right"/>
              <w:rPr>
                <w:rFonts w:ascii="Arial" w:hAnsi="Arial" w:cs="Arial"/>
                <w:b/>
                <w:bCs/>
                <w:sz w:val="14"/>
                <w:szCs w:val="14"/>
                <w:lang w:eastAsia="es-AR"/>
              </w:rPr>
            </w:pPr>
            <w:r>
              <w:rPr>
                <w:rFonts w:ascii="Arial" w:hAnsi="Arial" w:cs="Arial"/>
                <w:b/>
                <w:bCs/>
                <w:sz w:val="14"/>
                <w:szCs w:val="14"/>
              </w:rPr>
              <w:t>-11.353.984</w:t>
            </w:r>
          </w:p>
        </w:tc>
        <w:tc>
          <w:tcPr>
            <w:tcW w:w="850" w:type="dxa"/>
            <w:tcBorders>
              <w:top w:val="single" w:sz="4" w:space="0" w:color="auto"/>
              <w:left w:val="nil"/>
              <w:bottom w:val="single" w:sz="4" w:space="0" w:color="auto"/>
              <w:right w:val="nil"/>
            </w:tcBorders>
            <w:shd w:val="clear" w:color="auto" w:fill="auto"/>
            <w:noWrap/>
            <w:vAlign w:val="center"/>
          </w:tcPr>
          <w:p w14:paraId="2B844B37" w14:textId="4DD8DFE0" w:rsidR="00FC7613" w:rsidRPr="0070190A" w:rsidRDefault="00FC7613" w:rsidP="00FC7613">
            <w:pPr>
              <w:jc w:val="right"/>
              <w:rPr>
                <w:rFonts w:ascii="Arial" w:hAnsi="Arial" w:cs="Arial"/>
                <w:b/>
                <w:bCs/>
                <w:sz w:val="14"/>
                <w:szCs w:val="14"/>
                <w:lang w:eastAsia="es-AR"/>
              </w:rPr>
            </w:pPr>
            <w:r>
              <w:rPr>
                <w:rFonts w:ascii="Arial" w:hAnsi="Arial" w:cs="Arial"/>
                <w:b/>
                <w:bCs/>
                <w:sz w:val="14"/>
                <w:szCs w:val="14"/>
              </w:rPr>
              <w:t>21.133.557</w:t>
            </w:r>
          </w:p>
        </w:tc>
      </w:tr>
    </w:tbl>
    <w:p w14:paraId="481F3FAD" w14:textId="71DAA437" w:rsidR="0037169B" w:rsidRDefault="0037169B" w:rsidP="005A1F48">
      <w:pPr>
        <w:tabs>
          <w:tab w:val="left" w:pos="1365"/>
        </w:tabs>
        <w:rPr>
          <w:sz w:val="10"/>
          <w:szCs w:val="10"/>
          <w:lang w:val="es-ES_tradnl"/>
        </w:rPr>
      </w:pPr>
    </w:p>
    <w:p w14:paraId="6BDAC00C" w14:textId="4206861E" w:rsidR="0037169B" w:rsidRDefault="0037169B" w:rsidP="005A1F48">
      <w:pPr>
        <w:tabs>
          <w:tab w:val="left" w:pos="1365"/>
        </w:tabs>
        <w:rPr>
          <w:sz w:val="10"/>
          <w:szCs w:val="10"/>
          <w:lang w:val="es-ES_tradnl"/>
        </w:rPr>
      </w:pPr>
    </w:p>
    <w:p w14:paraId="0F540D2F" w14:textId="268A8736" w:rsidR="0037169B" w:rsidRDefault="0037169B" w:rsidP="005A1F48">
      <w:pPr>
        <w:tabs>
          <w:tab w:val="left" w:pos="1365"/>
        </w:tabs>
        <w:rPr>
          <w:sz w:val="10"/>
          <w:szCs w:val="10"/>
          <w:lang w:val="es-ES_tradnl"/>
        </w:rPr>
      </w:pPr>
    </w:p>
    <w:p w14:paraId="2B71F2DE" w14:textId="4D7EF6BB" w:rsidR="0037169B" w:rsidRDefault="0037169B" w:rsidP="005A1F48">
      <w:pPr>
        <w:tabs>
          <w:tab w:val="left" w:pos="1365"/>
        </w:tabs>
        <w:rPr>
          <w:sz w:val="10"/>
          <w:szCs w:val="10"/>
          <w:lang w:val="es-ES_tradnl"/>
        </w:rPr>
      </w:pPr>
    </w:p>
    <w:p w14:paraId="1ACC33BC" w14:textId="26E977EF" w:rsidR="0037169B" w:rsidRDefault="0037169B" w:rsidP="005A1F48">
      <w:pPr>
        <w:tabs>
          <w:tab w:val="left" w:pos="1365"/>
        </w:tabs>
        <w:rPr>
          <w:sz w:val="10"/>
          <w:szCs w:val="10"/>
          <w:lang w:val="es-ES_tradnl"/>
        </w:rPr>
      </w:pPr>
    </w:p>
    <w:p w14:paraId="65AACDFC" w14:textId="77777777" w:rsidR="0037169B" w:rsidRDefault="0037169B" w:rsidP="005A1F48">
      <w:pPr>
        <w:tabs>
          <w:tab w:val="left" w:pos="1365"/>
        </w:tabs>
        <w:rPr>
          <w:sz w:val="10"/>
          <w:szCs w:val="10"/>
          <w:lang w:val="es-ES_tradnl"/>
        </w:rPr>
      </w:pPr>
    </w:p>
    <w:p w14:paraId="2C721E79" w14:textId="77777777" w:rsidR="0037169B" w:rsidRDefault="0037169B" w:rsidP="005A1F48">
      <w:pPr>
        <w:tabs>
          <w:tab w:val="left" w:pos="1365"/>
        </w:tabs>
        <w:rPr>
          <w:sz w:val="10"/>
          <w:szCs w:val="10"/>
          <w:lang w:val="es-ES_tradnl"/>
        </w:rPr>
      </w:pPr>
    </w:p>
    <w:p w14:paraId="4ECB019B" w14:textId="77777777" w:rsidR="00343F2B" w:rsidRPr="00C870A0" w:rsidRDefault="00343F2B" w:rsidP="005C2DE7">
      <w:pPr>
        <w:tabs>
          <w:tab w:val="left" w:pos="1365"/>
        </w:tabs>
        <w:rPr>
          <w:sz w:val="10"/>
          <w:szCs w:val="10"/>
          <w:lang w:val="es-ES_tradnl"/>
        </w:rPr>
        <w:sectPr w:rsidR="00343F2B" w:rsidRPr="00C870A0" w:rsidSect="00D26299">
          <w:headerReference w:type="default" r:id="rId37"/>
          <w:pgSz w:w="16839" w:h="11907" w:orient="landscape" w:code="9"/>
          <w:pgMar w:top="1701" w:right="1418" w:bottom="1701" w:left="1418" w:header="567" w:footer="0" w:gutter="0"/>
          <w:paperSrc w:first="256" w:other="256"/>
          <w:cols w:space="720"/>
          <w:docGrid w:linePitch="326"/>
        </w:sectPr>
      </w:pPr>
    </w:p>
    <w:tbl>
      <w:tblPr>
        <w:tblW w:w="4944" w:type="pct"/>
        <w:tblLayout w:type="fixed"/>
        <w:tblCellMar>
          <w:left w:w="70" w:type="dxa"/>
          <w:right w:w="70" w:type="dxa"/>
        </w:tblCellMar>
        <w:tblLook w:val="04A0" w:firstRow="1" w:lastRow="0" w:firstColumn="1" w:lastColumn="0" w:noHBand="0" w:noVBand="1"/>
      </w:tblPr>
      <w:tblGrid>
        <w:gridCol w:w="5472"/>
        <w:gridCol w:w="690"/>
        <w:gridCol w:w="1013"/>
        <w:gridCol w:w="1225"/>
      </w:tblGrid>
      <w:tr w:rsidR="002B72BA" w:rsidRPr="002D55D1" w14:paraId="00FBB53E" w14:textId="77777777" w:rsidTr="000C12F4">
        <w:trPr>
          <w:trHeight w:val="390"/>
        </w:trPr>
        <w:tc>
          <w:tcPr>
            <w:tcW w:w="3257"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50A1557" w14:textId="77777777" w:rsidR="002B72BA" w:rsidRPr="002D55D1" w:rsidRDefault="002B72BA" w:rsidP="00F30A15">
            <w:pPr>
              <w:jc w:val="center"/>
              <w:rPr>
                <w:rFonts w:ascii="Arial" w:hAnsi="Arial" w:cs="Arial"/>
                <w:b/>
                <w:bCs/>
                <w:sz w:val="16"/>
                <w:szCs w:val="16"/>
                <w:lang w:eastAsia="es-AR"/>
              </w:rPr>
            </w:pPr>
            <w:r w:rsidRPr="002D55D1">
              <w:rPr>
                <w:rFonts w:ascii="Arial" w:hAnsi="Arial" w:cs="Arial"/>
                <w:b/>
                <w:bCs/>
                <w:sz w:val="16"/>
                <w:szCs w:val="16"/>
                <w:lang w:eastAsia="es-AR"/>
              </w:rPr>
              <w:lastRenderedPageBreak/>
              <w:t>Conceptos</w:t>
            </w:r>
          </w:p>
        </w:tc>
        <w:tc>
          <w:tcPr>
            <w:tcW w:w="411"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0EE179E2" w14:textId="77777777" w:rsidR="002B72BA" w:rsidRPr="002D55D1" w:rsidRDefault="002B72BA" w:rsidP="00F30A15">
            <w:pPr>
              <w:jc w:val="center"/>
              <w:rPr>
                <w:rFonts w:ascii="Arial" w:hAnsi="Arial" w:cs="Arial"/>
                <w:b/>
                <w:bCs/>
                <w:sz w:val="16"/>
                <w:szCs w:val="16"/>
                <w:lang w:eastAsia="es-AR"/>
              </w:rPr>
            </w:pPr>
            <w:r w:rsidRPr="002D55D1">
              <w:rPr>
                <w:rFonts w:ascii="Arial" w:hAnsi="Arial" w:cs="Arial"/>
                <w:b/>
                <w:bCs/>
                <w:sz w:val="16"/>
                <w:szCs w:val="16"/>
                <w:lang w:eastAsia="es-AR"/>
              </w:rPr>
              <w:t>Notas</w:t>
            </w:r>
          </w:p>
        </w:tc>
        <w:tc>
          <w:tcPr>
            <w:tcW w:w="603" w:type="pct"/>
            <w:tcBorders>
              <w:top w:val="single" w:sz="4" w:space="0" w:color="363639"/>
              <w:left w:val="nil"/>
              <w:bottom w:val="single" w:sz="4" w:space="0" w:color="363639"/>
              <w:right w:val="single" w:sz="4" w:space="0" w:color="363639"/>
            </w:tcBorders>
            <w:shd w:val="clear" w:color="auto" w:fill="BFBFBF" w:themeFill="background1" w:themeFillShade="BF"/>
            <w:vAlign w:val="center"/>
          </w:tcPr>
          <w:p w14:paraId="7B0D8D51" w14:textId="139B74C8" w:rsidR="002B72BA" w:rsidRPr="002D55D1" w:rsidRDefault="000C12F4" w:rsidP="00F30A15">
            <w:pPr>
              <w:jc w:val="center"/>
              <w:rPr>
                <w:rFonts w:ascii="Arial" w:hAnsi="Arial" w:cs="Arial"/>
                <w:b/>
                <w:bCs/>
                <w:sz w:val="16"/>
                <w:szCs w:val="16"/>
                <w:lang w:eastAsia="es-AR"/>
              </w:rPr>
            </w:pPr>
            <w:r>
              <w:rPr>
                <w:rFonts w:ascii="Arial" w:hAnsi="Arial" w:cs="Arial"/>
                <w:b/>
                <w:bCs/>
                <w:sz w:val="16"/>
                <w:szCs w:val="16"/>
                <w:lang w:eastAsia="es-AR"/>
              </w:rPr>
              <w:t>31/03/2020</w:t>
            </w:r>
          </w:p>
        </w:tc>
        <w:tc>
          <w:tcPr>
            <w:tcW w:w="729" w:type="pct"/>
            <w:tcBorders>
              <w:top w:val="single" w:sz="4" w:space="0" w:color="363639"/>
              <w:left w:val="nil"/>
              <w:bottom w:val="single" w:sz="4" w:space="0" w:color="363639"/>
              <w:right w:val="single" w:sz="4" w:space="0" w:color="363639"/>
            </w:tcBorders>
            <w:shd w:val="clear" w:color="auto" w:fill="BFBFBF" w:themeFill="background1" w:themeFillShade="BF"/>
            <w:vAlign w:val="center"/>
          </w:tcPr>
          <w:p w14:paraId="51F361CC" w14:textId="59D6B16A" w:rsidR="002B72BA" w:rsidRPr="002D55D1" w:rsidRDefault="00901250" w:rsidP="00F30A15">
            <w:pPr>
              <w:jc w:val="center"/>
              <w:rPr>
                <w:rFonts w:ascii="Arial" w:hAnsi="Arial" w:cs="Arial"/>
                <w:b/>
                <w:bCs/>
                <w:sz w:val="16"/>
                <w:szCs w:val="16"/>
                <w:lang w:eastAsia="es-AR"/>
              </w:rPr>
            </w:pPr>
            <w:r>
              <w:rPr>
                <w:rFonts w:ascii="Arial" w:hAnsi="Arial" w:cs="Arial"/>
                <w:b/>
                <w:bCs/>
                <w:sz w:val="16"/>
                <w:szCs w:val="16"/>
                <w:lang w:eastAsia="es-AR"/>
              </w:rPr>
              <w:t>31/03/2019</w:t>
            </w:r>
          </w:p>
        </w:tc>
      </w:tr>
      <w:tr w:rsidR="002B72BA" w:rsidRPr="002D55D1" w14:paraId="682BF7E5" w14:textId="77777777" w:rsidTr="00F30A15">
        <w:trPr>
          <w:trHeight w:val="285"/>
        </w:trPr>
        <w:tc>
          <w:tcPr>
            <w:tcW w:w="3257" w:type="pct"/>
            <w:tcBorders>
              <w:top w:val="nil"/>
              <w:left w:val="nil"/>
              <w:bottom w:val="nil"/>
              <w:right w:val="nil"/>
            </w:tcBorders>
            <w:shd w:val="clear" w:color="auto" w:fill="auto"/>
            <w:hideMark/>
          </w:tcPr>
          <w:p w14:paraId="5364AEBD" w14:textId="77777777" w:rsidR="002B72BA" w:rsidRPr="002D55D1" w:rsidRDefault="002B72BA" w:rsidP="00F30A15">
            <w:pPr>
              <w:rPr>
                <w:rFonts w:ascii="Arial" w:hAnsi="Arial" w:cs="Arial"/>
                <w:b/>
                <w:bCs/>
                <w:sz w:val="16"/>
                <w:szCs w:val="16"/>
                <w:lang w:eastAsia="es-AR"/>
              </w:rPr>
            </w:pPr>
            <w:r w:rsidRPr="002D55D1">
              <w:rPr>
                <w:rFonts w:ascii="Arial" w:hAnsi="Arial" w:cs="Arial"/>
                <w:b/>
                <w:bCs/>
                <w:sz w:val="16"/>
                <w:szCs w:val="16"/>
                <w:lang w:eastAsia="es-AR"/>
              </w:rPr>
              <w:t>FLUJOS DE EFECTIVO DE LAS ACTIVIDADES OPERATIVAS</w:t>
            </w:r>
          </w:p>
        </w:tc>
        <w:tc>
          <w:tcPr>
            <w:tcW w:w="411" w:type="pct"/>
            <w:tcBorders>
              <w:top w:val="nil"/>
              <w:left w:val="nil"/>
              <w:bottom w:val="nil"/>
              <w:right w:val="nil"/>
            </w:tcBorders>
            <w:shd w:val="clear" w:color="auto" w:fill="auto"/>
            <w:noWrap/>
            <w:hideMark/>
          </w:tcPr>
          <w:p w14:paraId="589070BC" w14:textId="77777777" w:rsidR="002B72BA" w:rsidRPr="002D55D1" w:rsidRDefault="002B72BA" w:rsidP="00F30A15">
            <w:pPr>
              <w:jc w:val="center"/>
              <w:rPr>
                <w:rFonts w:ascii="Arial" w:hAnsi="Arial" w:cs="Arial"/>
                <w:sz w:val="16"/>
                <w:szCs w:val="16"/>
                <w:lang w:eastAsia="es-AR"/>
              </w:rPr>
            </w:pPr>
            <w:r w:rsidRPr="002D55D1">
              <w:rPr>
                <w:rFonts w:ascii="Arial" w:hAnsi="Arial" w:cs="Arial"/>
                <w:sz w:val="16"/>
                <w:szCs w:val="16"/>
                <w:lang w:eastAsia="es-AR"/>
              </w:rPr>
              <w:t> </w:t>
            </w:r>
          </w:p>
        </w:tc>
        <w:tc>
          <w:tcPr>
            <w:tcW w:w="603" w:type="pct"/>
            <w:tcBorders>
              <w:top w:val="nil"/>
              <w:left w:val="nil"/>
              <w:bottom w:val="nil"/>
              <w:right w:val="nil"/>
            </w:tcBorders>
            <w:shd w:val="clear" w:color="auto" w:fill="auto"/>
            <w:noWrap/>
          </w:tcPr>
          <w:p w14:paraId="3841CD11" w14:textId="77777777" w:rsidR="002B72BA" w:rsidRPr="002D55D1"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noWrap/>
          </w:tcPr>
          <w:p w14:paraId="4F64C6D0" w14:textId="77777777" w:rsidR="002B72BA" w:rsidRPr="002D55D1" w:rsidRDefault="002B72BA" w:rsidP="00F30A15">
            <w:pPr>
              <w:jc w:val="right"/>
              <w:rPr>
                <w:rFonts w:ascii="Arial" w:hAnsi="Arial" w:cs="Arial"/>
                <w:sz w:val="16"/>
                <w:szCs w:val="16"/>
                <w:lang w:eastAsia="es-AR"/>
              </w:rPr>
            </w:pPr>
          </w:p>
        </w:tc>
      </w:tr>
      <w:tr w:rsidR="002B72BA" w:rsidRPr="002D55D1" w14:paraId="120C07A4" w14:textId="77777777" w:rsidTr="00F30A15">
        <w:trPr>
          <w:trHeight w:val="80"/>
        </w:trPr>
        <w:tc>
          <w:tcPr>
            <w:tcW w:w="3257" w:type="pct"/>
            <w:tcBorders>
              <w:top w:val="nil"/>
              <w:left w:val="nil"/>
              <w:bottom w:val="nil"/>
              <w:right w:val="nil"/>
            </w:tcBorders>
            <w:shd w:val="clear" w:color="auto" w:fill="auto"/>
            <w:hideMark/>
          </w:tcPr>
          <w:p w14:paraId="79D20054" w14:textId="77777777" w:rsidR="002B72BA" w:rsidRPr="002D55D1" w:rsidRDefault="002B72BA" w:rsidP="00F30A15">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08638530" w14:textId="77777777" w:rsidR="002B72BA" w:rsidRPr="002D55D1"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hideMark/>
          </w:tcPr>
          <w:p w14:paraId="6CF940DA" w14:textId="77777777" w:rsidR="002B72BA" w:rsidRPr="002D55D1" w:rsidRDefault="002B72BA" w:rsidP="00F30A15">
            <w:pPr>
              <w:jc w:val="center"/>
              <w:rPr>
                <w:rFonts w:ascii="Arial" w:hAnsi="Arial" w:cs="Arial"/>
                <w:sz w:val="10"/>
                <w:szCs w:val="10"/>
                <w:lang w:eastAsia="es-AR"/>
              </w:rPr>
            </w:pPr>
          </w:p>
        </w:tc>
        <w:tc>
          <w:tcPr>
            <w:tcW w:w="729" w:type="pct"/>
            <w:tcBorders>
              <w:top w:val="nil"/>
              <w:left w:val="nil"/>
              <w:bottom w:val="nil"/>
              <w:right w:val="nil"/>
            </w:tcBorders>
            <w:shd w:val="clear" w:color="auto" w:fill="auto"/>
            <w:hideMark/>
          </w:tcPr>
          <w:p w14:paraId="3139D0CD" w14:textId="77777777" w:rsidR="002B72BA" w:rsidRPr="002D55D1" w:rsidRDefault="002B72BA" w:rsidP="00F30A15">
            <w:pPr>
              <w:jc w:val="right"/>
              <w:rPr>
                <w:rFonts w:ascii="Arial" w:hAnsi="Arial" w:cs="Arial"/>
                <w:sz w:val="10"/>
                <w:szCs w:val="10"/>
                <w:lang w:eastAsia="es-AR"/>
              </w:rPr>
            </w:pPr>
          </w:p>
        </w:tc>
      </w:tr>
      <w:tr w:rsidR="002B72BA" w:rsidRPr="002D55D1" w14:paraId="5E3BD843" w14:textId="77777777" w:rsidTr="00F30A15">
        <w:trPr>
          <w:trHeight w:val="285"/>
        </w:trPr>
        <w:tc>
          <w:tcPr>
            <w:tcW w:w="3257" w:type="pct"/>
            <w:tcBorders>
              <w:top w:val="nil"/>
              <w:left w:val="nil"/>
              <w:bottom w:val="nil"/>
              <w:right w:val="nil"/>
            </w:tcBorders>
            <w:shd w:val="clear" w:color="auto" w:fill="auto"/>
            <w:hideMark/>
          </w:tcPr>
          <w:p w14:paraId="728DD6C6" w14:textId="77777777" w:rsidR="002B72BA" w:rsidRPr="002D55D1" w:rsidRDefault="002B72BA" w:rsidP="00F30A15">
            <w:pPr>
              <w:rPr>
                <w:rFonts w:ascii="Arial" w:hAnsi="Arial" w:cs="Arial"/>
                <w:b/>
                <w:bCs/>
                <w:sz w:val="16"/>
                <w:szCs w:val="16"/>
                <w:lang w:eastAsia="es-AR"/>
              </w:rPr>
            </w:pPr>
            <w:r w:rsidRPr="002D55D1">
              <w:rPr>
                <w:rFonts w:ascii="Arial" w:hAnsi="Arial" w:cs="Arial"/>
                <w:b/>
                <w:bCs/>
                <w:sz w:val="16"/>
                <w:szCs w:val="16"/>
                <w:lang w:eastAsia="es-AR"/>
              </w:rPr>
              <w:t xml:space="preserve">Resultado del </w:t>
            </w:r>
            <w:r>
              <w:rPr>
                <w:rFonts w:ascii="Arial" w:hAnsi="Arial" w:cs="Arial"/>
                <w:b/>
                <w:bCs/>
                <w:sz w:val="16"/>
                <w:szCs w:val="16"/>
                <w:lang w:eastAsia="es-AR"/>
              </w:rPr>
              <w:t>período</w:t>
            </w:r>
            <w:r w:rsidRPr="002D55D1">
              <w:rPr>
                <w:rFonts w:ascii="Arial" w:hAnsi="Arial" w:cs="Arial"/>
                <w:b/>
                <w:bCs/>
                <w:sz w:val="16"/>
                <w:szCs w:val="16"/>
                <w:lang w:eastAsia="es-AR"/>
              </w:rPr>
              <w:t xml:space="preserve"> antes del Impuesto a las Ganancias</w:t>
            </w:r>
          </w:p>
        </w:tc>
        <w:tc>
          <w:tcPr>
            <w:tcW w:w="411" w:type="pct"/>
            <w:tcBorders>
              <w:top w:val="nil"/>
              <w:left w:val="nil"/>
              <w:bottom w:val="nil"/>
              <w:right w:val="nil"/>
            </w:tcBorders>
            <w:shd w:val="clear" w:color="auto" w:fill="auto"/>
            <w:hideMark/>
          </w:tcPr>
          <w:p w14:paraId="46754C9C"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1D08DF0E" w14:textId="604CD6A6" w:rsidR="002B72BA" w:rsidRPr="00593C40" w:rsidRDefault="008366C7" w:rsidP="00F30A15">
            <w:pPr>
              <w:jc w:val="right"/>
              <w:rPr>
                <w:rFonts w:ascii="Arial" w:hAnsi="Arial" w:cs="Arial"/>
                <w:sz w:val="16"/>
                <w:szCs w:val="16"/>
                <w:lang w:eastAsia="es-AR"/>
              </w:rPr>
            </w:pPr>
            <w:r w:rsidRPr="008366C7">
              <w:rPr>
                <w:rFonts w:ascii="Arial" w:hAnsi="Arial" w:cs="Arial"/>
                <w:sz w:val="16"/>
                <w:szCs w:val="16"/>
                <w:lang w:eastAsia="es-AR"/>
              </w:rPr>
              <w:t>669.897</w:t>
            </w:r>
          </w:p>
        </w:tc>
        <w:tc>
          <w:tcPr>
            <w:tcW w:w="729" w:type="pct"/>
            <w:tcBorders>
              <w:top w:val="nil"/>
              <w:left w:val="nil"/>
              <w:bottom w:val="nil"/>
              <w:right w:val="nil"/>
            </w:tcBorders>
            <w:shd w:val="clear" w:color="auto" w:fill="auto"/>
            <w:vAlign w:val="bottom"/>
          </w:tcPr>
          <w:p w14:paraId="7861E284" w14:textId="1B1854AF"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-940.746</w:t>
            </w:r>
          </w:p>
        </w:tc>
      </w:tr>
      <w:tr w:rsidR="002B72BA" w:rsidRPr="00593C40" w14:paraId="25F80BC2" w14:textId="77777777" w:rsidTr="00F30A15">
        <w:trPr>
          <w:trHeight w:val="121"/>
        </w:trPr>
        <w:tc>
          <w:tcPr>
            <w:tcW w:w="3257" w:type="pct"/>
            <w:tcBorders>
              <w:top w:val="nil"/>
              <w:left w:val="nil"/>
              <w:bottom w:val="nil"/>
              <w:right w:val="nil"/>
            </w:tcBorders>
            <w:shd w:val="clear" w:color="auto" w:fill="auto"/>
            <w:hideMark/>
          </w:tcPr>
          <w:p w14:paraId="38E47B5A" w14:textId="77777777" w:rsidR="002B72BA" w:rsidRPr="00593C40" w:rsidRDefault="002B72BA" w:rsidP="00F30A15">
            <w:pPr>
              <w:jc w:val="right"/>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305CEC96"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77ECF581"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58934CD9" w14:textId="77777777" w:rsidR="002B72BA" w:rsidRPr="00593C40" w:rsidRDefault="002B72BA" w:rsidP="00F30A15">
            <w:pPr>
              <w:jc w:val="right"/>
              <w:rPr>
                <w:rFonts w:ascii="Arial" w:hAnsi="Arial" w:cs="Arial"/>
                <w:sz w:val="10"/>
                <w:szCs w:val="10"/>
                <w:lang w:eastAsia="es-AR"/>
              </w:rPr>
            </w:pPr>
          </w:p>
        </w:tc>
      </w:tr>
      <w:tr w:rsidR="008366C7" w:rsidRPr="00593C40" w14:paraId="711C94BD" w14:textId="77777777" w:rsidTr="008366C7">
        <w:trPr>
          <w:trHeight w:val="271"/>
        </w:trPr>
        <w:tc>
          <w:tcPr>
            <w:tcW w:w="3257" w:type="pct"/>
            <w:tcBorders>
              <w:top w:val="nil"/>
              <w:left w:val="nil"/>
              <w:bottom w:val="nil"/>
              <w:right w:val="nil"/>
            </w:tcBorders>
            <w:shd w:val="clear" w:color="auto" w:fill="auto"/>
          </w:tcPr>
          <w:p w14:paraId="12A8A45E" w14:textId="62407263" w:rsidR="008366C7" w:rsidRPr="00593C40" w:rsidRDefault="008366C7" w:rsidP="008366C7">
            <w:pPr>
              <w:rPr>
                <w:rFonts w:ascii="Arial" w:hAnsi="Arial" w:cs="Arial"/>
                <w:sz w:val="10"/>
                <w:szCs w:val="10"/>
                <w:lang w:eastAsia="es-AR"/>
              </w:rPr>
            </w:pPr>
            <w:r w:rsidRPr="008366C7">
              <w:rPr>
                <w:rFonts w:ascii="Arial" w:hAnsi="Arial" w:cs="Arial"/>
                <w:b/>
                <w:bCs/>
                <w:sz w:val="16"/>
                <w:szCs w:val="16"/>
                <w:lang w:eastAsia="es-AR"/>
              </w:rPr>
              <w:t>Resultado por la posición monetaria neta</w:t>
            </w:r>
          </w:p>
        </w:tc>
        <w:tc>
          <w:tcPr>
            <w:tcW w:w="411" w:type="pct"/>
            <w:tcBorders>
              <w:top w:val="nil"/>
              <w:left w:val="nil"/>
              <w:bottom w:val="nil"/>
              <w:right w:val="nil"/>
            </w:tcBorders>
            <w:shd w:val="clear" w:color="auto" w:fill="auto"/>
          </w:tcPr>
          <w:p w14:paraId="6AB67719" w14:textId="77777777" w:rsidR="008366C7" w:rsidRPr="00593C40" w:rsidRDefault="008366C7" w:rsidP="00F30A1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7503E8D3" w14:textId="097E788E" w:rsidR="008366C7" w:rsidRPr="008366C7" w:rsidRDefault="008366C7" w:rsidP="00F30A15">
            <w:pPr>
              <w:jc w:val="right"/>
              <w:rPr>
                <w:rFonts w:ascii="Arial" w:hAnsi="Arial" w:cs="Arial"/>
                <w:sz w:val="16"/>
                <w:szCs w:val="16"/>
                <w:lang w:eastAsia="es-AR"/>
              </w:rPr>
            </w:pPr>
            <w:r w:rsidRPr="008366C7">
              <w:rPr>
                <w:rFonts w:ascii="Arial" w:hAnsi="Arial" w:cs="Arial"/>
                <w:sz w:val="16"/>
                <w:szCs w:val="16"/>
                <w:lang w:eastAsia="es-AR"/>
              </w:rPr>
              <w:t>-512.721</w:t>
            </w:r>
          </w:p>
        </w:tc>
        <w:tc>
          <w:tcPr>
            <w:tcW w:w="729" w:type="pct"/>
            <w:tcBorders>
              <w:top w:val="nil"/>
              <w:left w:val="nil"/>
              <w:bottom w:val="nil"/>
              <w:right w:val="nil"/>
            </w:tcBorders>
            <w:shd w:val="clear" w:color="auto" w:fill="auto"/>
            <w:vAlign w:val="bottom"/>
          </w:tcPr>
          <w:p w14:paraId="3207D253" w14:textId="35C4417F" w:rsidR="008366C7" w:rsidRPr="00D83EA0" w:rsidRDefault="00D83EA0" w:rsidP="00F30A15">
            <w:pPr>
              <w:jc w:val="right"/>
              <w:rPr>
                <w:rFonts w:ascii="Arial" w:hAnsi="Arial" w:cs="Arial"/>
                <w:sz w:val="16"/>
                <w:szCs w:val="16"/>
                <w:lang w:eastAsia="es-AR"/>
              </w:rPr>
            </w:pPr>
            <w:r w:rsidRPr="00D83EA0">
              <w:rPr>
                <w:rFonts w:ascii="Arial" w:hAnsi="Arial" w:cs="Arial"/>
                <w:sz w:val="16"/>
                <w:szCs w:val="16"/>
                <w:lang w:eastAsia="es-AR"/>
              </w:rPr>
              <w:t>-1.389.681</w:t>
            </w:r>
          </w:p>
        </w:tc>
      </w:tr>
      <w:tr w:rsidR="002B72BA" w:rsidRPr="002D55D1" w14:paraId="2800ECFC" w14:textId="77777777" w:rsidTr="00F30A15">
        <w:trPr>
          <w:trHeight w:val="293"/>
        </w:trPr>
        <w:tc>
          <w:tcPr>
            <w:tcW w:w="3257" w:type="pct"/>
            <w:tcBorders>
              <w:top w:val="nil"/>
              <w:left w:val="nil"/>
              <w:bottom w:val="nil"/>
              <w:right w:val="nil"/>
            </w:tcBorders>
            <w:shd w:val="clear" w:color="auto" w:fill="auto"/>
            <w:hideMark/>
          </w:tcPr>
          <w:p w14:paraId="37E7CCAC" w14:textId="77777777" w:rsidR="002B72BA" w:rsidRPr="002D55D1" w:rsidRDefault="002B72BA" w:rsidP="00F30A15">
            <w:pPr>
              <w:rPr>
                <w:rFonts w:ascii="Arial" w:hAnsi="Arial" w:cs="Arial"/>
                <w:b/>
                <w:bCs/>
                <w:sz w:val="16"/>
                <w:szCs w:val="16"/>
                <w:lang w:eastAsia="es-AR"/>
              </w:rPr>
            </w:pPr>
            <w:r w:rsidRPr="002D55D1">
              <w:rPr>
                <w:rFonts w:ascii="Arial" w:hAnsi="Arial" w:cs="Arial"/>
                <w:b/>
                <w:bCs/>
                <w:sz w:val="16"/>
                <w:szCs w:val="16"/>
                <w:lang w:eastAsia="es-AR"/>
              </w:rPr>
              <w:t>Ajustes para obtener los flujos provenientes de actividades operativas:</w:t>
            </w:r>
          </w:p>
        </w:tc>
        <w:tc>
          <w:tcPr>
            <w:tcW w:w="411" w:type="pct"/>
            <w:tcBorders>
              <w:top w:val="nil"/>
              <w:left w:val="nil"/>
              <w:bottom w:val="nil"/>
              <w:right w:val="nil"/>
            </w:tcBorders>
            <w:shd w:val="clear" w:color="auto" w:fill="auto"/>
            <w:hideMark/>
          </w:tcPr>
          <w:p w14:paraId="52A3A8FE"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6B96EF30"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1862F941" w14:textId="77777777" w:rsidR="002B72BA" w:rsidRPr="00593C40" w:rsidRDefault="002B72BA" w:rsidP="00F30A15">
            <w:pPr>
              <w:jc w:val="right"/>
              <w:rPr>
                <w:rFonts w:ascii="Arial" w:hAnsi="Arial" w:cs="Arial"/>
                <w:sz w:val="16"/>
                <w:szCs w:val="16"/>
                <w:lang w:eastAsia="es-AR"/>
              </w:rPr>
            </w:pPr>
          </w:p>
        </w:tc>
      </w:tr>
      <w:tr w:rsidR="002B72BA" w:rsidRPr="00F61AAF" w14:paraId="4E8BE7B1" w14:textId="77777777" w:rsidTr="002E2271">
        <w:trPr>
          <w:trHeight w:val="285"/>
        </w:trPr>
        <w:tc>
          <w:tcPr>
            <w:tcW w:w="3257" w:type="pct"/>
            <w:tcBorders>
              <w:top w:val="nil"/>
              <w:left w:val="nil"/>
              <w:bottom w:val="nil"/>
              <w:right w:val="nil"/>
            </w:tcBorders>
            <w:shd w:val="clear" w:color="auto" w:fill="auto"/>
            <w:vAlign w:val="bottom"/>
            <w:hideMark/>
          </w:tcPr>
          <w:p w14:paraId="46904621"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Amortizaciones y desvalorizaciones</w:t>
            </w:r>
          </w:p>
        </w:tc>
        <w:tc>
          <w:tcPr>
            <w:tcW w:w="411" w:type="pct"/>
            <w:tcBorders>
              <w:top w:val="nil"/>
              <w:left w:val="nil"/>
              <w:bottom w:val="nil"/>
              <w:right w:val="nil"/>
            </w:tcBorders>
            <w:shd w:val="clear" w:color="auto" w:fill="auto"/>
            <w:hideMark/>
          </w:tcPr>
          <w:p w14:paraId="27DF3DE0"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A5584B4" w14:textId="54027533" w:rsidR="002B72BA" w:rsidRPr="00593C40" w:rsidRDefault="008366C7" w:rsidP="00F30A15">
            <w:pPr>
              <w:jc w:val="right"/>
              <w:rPr>
                <w:rFonts w:ascii="Arial" w:hAnsi="Arial" w:cs="Arial"/>
                <w:sz w:val="16"/>
                <w:szCs w:val="16"/>
                <w:lang w:eastAsia="es-AR"/>
              </w:rPr>
            </w:pPr>
            <w:r w:rsidRPr="008366C7">
              <w:rPr>
                <w:rFonts w:ascii="Arial" w:hAnsi="Arial" w:cs="Arial"/>
                <w:sz w:val="16"/>
                <w:szCs w:val="16"/>
                <w:lang w:eastAsia="es-AR"/>
              </w:rPr>
              <w:t>408.540</w:t>
            </w:r>
          </w:p>
        </w:tc>
        <w:tc>
          <w:tcPr>
            <w:tcW w:w="729" w:type="pct"/>
            <w:tcBorders>
              <w:top w:val="nil"/>
              <w:left w:val="nil"/>
              <w:bottom w:val="nil"/>
              <w:right w:val="nil"/>
            </w:tcBorders>
            <w:shd w:val="clear" w:color="auto" w:fill="auto"/>
            <w:vAlign w:val="bottom"/>
          </w:tcPr>
          <w:p w14:paraId="7DD0CE6B" w14:textId="76FF64D5" w:rsidR="002B72BA" w:rsidRPr="002E1AF6" w:rsidRDefault="00E72ECC" w:rsidP="00F30A15">
            <w:pPr>
              <w:jc w:val="right"/>
              <w:rPr>
                <w:rFonts w:ascii="Arial" w:hAnsi="Arial" w:cs="Arial"/>
                <w:sz w:val="16"/>
                <w:szCs w:val="16"/>
                <w:highlight w:val="yellow"/>
                <w:lang w:eastAsia="es-AR"/>
              </w:rPr>
            </w:pPr>
            <w:r w:rsidRPr="00E72ECC">
              <w:rPr>
                <w:rFonts w:ascii="Arial" w:hAnsi="Arial" w:cs="Arial"/>
                <w:sz w:val="16"/>
                <w:szCs w:val="16"/>
                <w:lang w:eastAsia="es-AR"/>
              </w:rPr>
              <w:t>368.876</w:t>
            </w:r>
          </w:p>
        </w:tc>
      </w:tr>
      <w:tr w:rsidR="002B72BA" w:rsidRPr="002D55D1" w14:paraId="51C72A93" w14:textId="77777777" w:rsidTr="002E2271">
        <w:trPr>
          <w:trHeight w:val="285"/>
        </w:trPr>
        <w:tc>
          <w:tcPr>
            <w:tcW w:w="3257" w:type="pct"/>
            <w:tcBorders>
              <w:top w:val="nil"/>
              <w:left w:val="nil"/>
              <w:bottom w:val="nil"/>
              <w:right w:val="nil"/>
            </w:tcBorders>
            <w:shd w:val="clear" w:color="auto" w:fill="auto"/>
            <w:vAlign w:val="bottom"/>
            <w:hideMark/>
          </w:tcPr>
          <w:p w14:paraId="68443ED9"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Cargo por incobrabilidad</w:t>
            </w:r>
          </w:p>
        </w:tc>
        <w:tc>
          <w:tcPr>
            <w:tcW w:w="411" w:type="pct"/>
            <w:tcBorders>
              <w:top w:val="nil"/>
              <w:left w:val="nil"/>
              <w:bottom w:val="nil"/>
              <w:right w:val="nil"/>
            </w:tcBorders>
            <w:shd w:val="clear" w:color="auto" w:fill="auto"/>
            <w:hideMark/>
          </w:tcPr>
          <w:p w14:paraId="1D2C0AF6"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DAD4A12" w14:textId="48838CBD" w:rsidR="002B72BA" w:rsidRPr="00593C40" w:rsidRDefault="008366C7" w:rsidP="00F30A15">
            <w:pPr>
              <w:jc w:val="right"/>
              <w:rPr>
                <w:rFonts w:ascii="Arial" w:hAnsi="Arial" w:cs="Arial"/>
                <w:sz w:val="16"/>
                <w:szCs w:val="16"/>
                <w:lang w:eastAsia="es-AR"/>
              </w:rPr>
            </w:pPr>
            <w:r w:rsidRPr="008366C7">
              <w:rPr>
                <w:rFonts w:ascii="Arial" w:hAnsi="Arial" w:cs="Arial"/>
                <w:sz w:val="16"/>
                <w:szCs w:val="16"/>
                <w:lang w:eastAsia="es-AR"/>
              </w:rPr>
              <w:t>1.377.393</w:t>
            </w:r>
          </w:p>
        </w:tc>
        <w:tc>
          <w:tcPr>
            <w:tcW w:w="729" w:type="pct"/>
            <w:tcBorders>
              <w:top w:val="nil"/>
              <w:left w:val="nil"/>
              <w:bottom w:val="nil"/>
              <w:right w:val="nil"/>
            </w:tcBorders>
            <w:shd w:val="clear" w:color="auto" w:fill="auto"/>
            <w:vAlign w:val="bottom"/>
          </w:tcPr>
          <w:p w14:paraId="3BFF720D" w14:textId="17AD9F16"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2.167.724</w:t>
            </w:r>
          </w:p>
        </w:tc>
      </w:tr>
      <w:tr w:rsidR="002B72BA" w:rsidRPr="002D55D1" w14:paraId="44D16749" w14:textId="77777777" w:rsidTr="002E2271">
        <w:trPr>
          <w:trHeight w:val="285"/>
        </w:trPr>
        <w:tc>
          <w:tcPr>
            <w:tcW w:w="3257" w:type="pct"/>
            <w:tcBorders>
              <w:top w:val="nil"/>
              <w:left w:val="nil"/>
              <w:bottom w:val="nil"/>
              <w:right w:val="nil"/>
            </w:tcBorders>
            <w:shd w:val="clear" w:color="auto" w:fill="auto"/>
            <w:vAlign w:val="bottom"/>
          </w:tcPr>
          <w:p w14:paraId="60B918AD" w14:textId="77777777" w:rsidR="002B72BA" w:rsidRPr="002D55D1" w:rsidRDefault="002B72BA" w:rsidP="002E2271">
            <w:pPr>
              <w:ind w:firstLineChars="100" w:firstLine="160"/>
              <w:rPr>
                <w:rFonts w:ascii="Arial" w:hAnsi="Arial" w:cs="Arial"/>
                <w:sz w:val="16"/>
                <w:szCs w:val="16"/>
                <w:lang w:eastAsia="es-AR"/>
              </w:rPr>
            </w:pPr>
            <w:r w:rsidRPr="006F757F">
              <w:rPr>
                <w:rFonts w:ascii="Arial" w:hAnsi="Arial" w:cs="Arial"/>
                <w:sz w:val="16"/>
                <w:szCs w:val="16"/>
                <w:lang w:eastAsia="es-AR"/>
              </w:rPr>
              <w:t>Intereses de préstamos y otras financiaciones</w:t>
            </w:r>
          </w:p>
        </w:tc>
        <w:tc>
          <w:tcPr>
            <w:tcW w:w="411" w:type="pct"/>
            <w:tcBorders>
              <w:top w:val="nil"/>
              <w:left w:val="nil"/>
              <w:bottom w:val="nil"/>
              <w:right w:val="nil"/>
            </w:tcBorders>
            <w:shd w:val="clear" w:color="auto" w:fill="auto"/>
          </w:tcPr>
          <w:p w14:paraId="37F4856E"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AAFABF8" w14:textId="50AC751C" w:rsidR="002B72BA" w:rsidRPr="006F757F" w:rsidRDefault="008366C7" w:rsidP="00F30A15">
            <w:pPr>
              <w:jc w:val="right"/>
              <w:rPr>
                <w:rFonts w:ascii="Arial" w:hAnsi="Arial" w:cs="Arial"/>
                <w:sz w:val="16"/>
                <w:szCs w:val="16"/>
                <w:lang w:eastAsia="es-AR"/>
              </w:rPr>
            </w:pPr>
            <w:r w:rsidRPr="008366C7">
              <w:rPr>
                <w:rFonts w:ascii="Arial" w:hAnsi="Arial" w:cs="Arial"/>
                <w:sz w:val="16"/>
                <w:szCs w:val="16"/>
                <w:lang w:eastAsia="es-AR"/>
              </w:rPr>
              <w:t>-11.520.145</w:t>
            </w:r>
          </w:p>
        </w:tc>
        <w:tc>
          <w:tcPr>
            <w:tcW w:w="729" w:type="pct"/>
            <w:tcBorders>
              <w:top w:val="nil"/>
              <w:left w:val="nil"/>
              <w:bottom w:val="nil"/>
              <w:right w:val="nil"/>
            </w:tcBorders>
            <w:shd w:val="clear" w:color="auto" w:fill="auto"/>
            <w:vAlign w:val="bottom"/>
          </w:tcPr>
          <w:p w14:paraId="00652F3A" w14:textId="1C3D6944"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-8.261.333</w:t>
            </w:r>
          </w:p>
        </w:tc>
      </w:tr>
      <w:tr w:rsidR="002B72BA" w:rsidRPr="002D55D1" w14:paraId="4ECAC1B8" w14:textId="77777777" w:rsidTr="002E2271">
        <w:trPr>
          <w:trHeight w:val="285"/>
        </w:trPr>
        <w:tc>
          <w:tcPr>
            <w:tcW w:w="3257" w:type="pct"/>
            <w:tcBorders>
              <w:top w:val="nil"/>
              <w:left w:val="nil"/>
              <w:bottom w:val="nil"/>
              <w:right w:val="nil"/>
            </w:tcBorders>
            <w:shd w:val="clear" w:color="auto" w:fill="auto"/>
            <w:vAlign w:val="bottom"/>
          </w:tcPr>
          <w:p w14:paraId="30744399" w14:textId="77777777" w:rsidR="002B72BA" w:rsidRPr="002D55D1" w:rsidRDefault="002B72BA" w:rsidP="002E2271">
            <w:pPr>
              <w:ind w:firstLineChars="100" w:firstLine="160"/>
              <w:rPr>
                <w:rFonts w:ascii="Arial" w:hAnsi="Arial" w:cs="Arial"/>
                <w:sz w:val="16"/>
                <w:szCs w:val="16"/>
                <w:lang w:eastAsia="es-AR"/>
              </w:rPr>
            </w:pPr>
            <w:r w:rsidRPr="006F757F">
              <w:rPr>
                <w:rFonts w:ascii="Arial" w:hAnsi="Arial" w:cs="Arial"/>
                <w:sz w:val="16"/>
                <w:szCs w:val="16"/>
                <w:lang w:eastAsia="es-AR"/>
              </w:rPr>
              <w:t>Intereses de depósitos y financiaciones recibidas de otras instituciones financieras</w:t>
            </w:r>
          </w:p>
        </w:tc>
        <w:tc>
          <w:tcPr>
            <w:tcW w:w="411" w:type="pct"/>
            <w:tcBorders>
              <w:top w:val="nil"/>
              <w:left w:val="nil"/>
              <w:bottom w:val="nil"/>
              <w:right w:val="nil"/>
            </w:tcBorders>
            <w:shd w:val="clear" w:color="auto" w:fill="auto"/>
          </w:tcPr>
          <w:p w14:paraId="775211E8"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285DC81" w14:textId="1B19F390" w:rsidR="002B72BA" w:rsidRPr="006F757F" w:rsidRDefault="008366C7" w:rsidP="00F30A15">
            <w:pPr>
              <w:jc w:val="right"/>
              <w:rPr>
                <w:rFonts w:ascii="Arial" w:hAnsi="Arial" w:cs="Arial"/>
                <w:sz w:val="16"/>
                <w:szCs w:val="16"/>
                <w:lang w:eastAsia="es-AR"/>
              </w:rPr>
            </w:pPr>
            <w:r w:rsidRPr="008366C7">
              <w:rPr>
                <w:rFonts w:ascii="Arial" w:hAnsi="Arial" w:cs="Arial"/>
                <w:sz w:val="16"/>
                <w:szCs w:val="16"/>
                <w:lang w:eastAsia="es-AR"/>
              </w:rPr>
              <w:t>2.259.909</w:t>
            </w:r>
          </w:p>
        </w:tc>
        <w:tc>
          <w:tcPr>
            <w:tcW w:w="729" w:type="pct"/>
            <w:tcBorders>
              <w:top w:val="nil"/>
              <w:left w:val="nil"/>
              <w:bottom w:val="nil"/>
              <w:right w:val="nil"/>
            </w:tcBorders>
            <w:shd w:val="clear" w:color="auto" w:fill="auto"/>
            <w:vAlign w:val="bottom"/>
          </w:tcPr>
          <w:p w14:paraId="04691802" w14:textId="4BC982CB"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1.865.105</w:t>
            </w:r>
          </w:p>
        </w:tc>
      </w:tr>
      <w:tr w:rsidR="002B72BA" w:rsidRPr="002D55D1" w14:paraId="0061DE44" w14:textId="77777777" w:rsidTr="002E2271">
        <w:trPr>
          <w:trHeight w:val="285"/>
        </w:trPr>
        <w:tc>
          <w:tcPr>
            <w:tcW w:w="3257" w:type="pct"/>
            <w:tcBorders>
              <w:top w:val="nil"/>
              <w:left w:val="nil"/>
              <w:bottom w:val="nil"/>
              <w:right w:val="nil"/>
            </w:tcBorders>
            <w:shd w:val="clear" w:color="auto" w:fill="auto"/>
            <w:vAlign w:val="bottom"/>
          </w:tcPr>
          <w:p w14:paraId="53768423" w14:textId="77777777" w:rsidR="002B72BA" w:rsidRPr="002D55D1" w:rsidRDefault="002B72BA" w:rsidP="002E2271">
            <w:pPr>
              <w:ind w:firstLineChars="100" w:firstLine="160"/>
              <w:rPr>
                <w:rFonts w:ascii="Arial" w:hAnsi="Arial" w:cs="Arial"/>
                <w:sz w:val="16"/>
                <w:szCs w:val="16"/>
                <w:lang w:eastAsia="es-AR"/>
              </w:rPr>
            </w:pPr>
            <w:r>
              <w:rPr>
                <w:rFonts w:ascii="Arial" w:hAnsi="Arial" w:cs="Arial"/>
                <w:sz w:val="16"/>
                <w:szCs w:val="16"/>
                <w:lang w:eastAsia="es-AR"/>
              </w:rPr>
              <w:t>Intereses obligaciones negociables</w:t>
            </w:r>
          </w:p>
        </w:tc>
        <w:tc>
          <w:tcPr>
            <w:tcW w:w="411" w:type="pct"/>
            <w:tcBorders>
              <w:top w:val="nil"/>
              <w:left w:val="nil"/>
              <w:bottom w:val="nil"/>
              <w:right w:val="nil"/>
            </w:tcBorders>
            <w:shd w:val="clear" w:color="auto" w:fill="auto"/>
          </w:tcPr>
          <w:p w14:paraId="04B819D2"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C33E5E" w14:textId="5DBDB2E7" w:rsidR="002B72BA" w:rsidRPr="006F757F" w:rsidRDefault="008366C7" w:rsidP="00F30A15">
            <w:pPr>
              <w:jc w:val="right"/>
              <w:rPr>
                <w:rFonts w:ascii="Arial" w:hAnsi="Arial" w:cs="Arial"/>
                <w:sz w:val="16"/>
                <w:szCs w:val="16"/>
                <w:lang w:eastAsia="es-AR"/>
              </w:rPr>
            </w:pPr>
            <w:r w:rsidRPr="008366C7">
              <w:rPr>
                <w:rFonts w:ascii="Arial" w:hAnsi="Arial" w:cs="Arial"/>
                <w:sz w:val="16"/>
                <w:szCs w:val="16"/>
                <w:lang w:eastAsia="es-AR"/>
              </w:rPr>
              <w:t>207.432</w:t>
            </w:r>
          </w:p>
        </w:tc>
        <w:tc>
          <w:tcPr>
            <w:tcW w:w="729" w:type="pct"/>
            <w:tcBorders>
              <w:top w:val="nil"/>
              <w:left w:val="nil"/>
              <w:bottom w:val="nil"/>
              <w:right w:val="nil"/>
            </w:tcBorders>
            <w:shd w:val="clear" w:color="auto" w:fill="auto"/>
            <w:vAlign w:val="bottom"/>
          </w:tcPr>
          <w:p w14:paraId="4E3C7503" w14:textId="69CC2176"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933.189</w:t>
            </w:r>
          </w:p>
        </w:tc>
      </w:tr>
      <w:tr w:rsidR="002B72BA" w:rsidRPr="002D55D1" w14:paraId="4CCAC707" w14:textId="77777777" w:rsidTr="002E2271">
        <w:trPr>
          <w:trHeight w:val="285"/>
        </w:trPr>
        <w:tc>
          <w:tcPr>
            <w:tcW w:w="3257" w:type="pct"/>
            <w:tcBorders>
              <w:top w:val="nil"/>
              <w:left w:val="nil"/>
              <w:bottom w:val="nil"/>
              <w:right w:val="nil"/>
            </w:tcBorders>
            <w:shd w:val="clear" w:color="auto" w:fill="auto"/>
            <w:vAlign w:val="bottom"/>
          </w:tcPr>
          <w:p w14:paraId="459898F1" w14:textId="225A5586" w:rsidR="002B72BA" w:rsidRPr="006F757F" w:rsidRDefault="00461508" w:rsidP="002E2271">
            <w:pPr>
              <w:ind w:firstLineChars="100" w:firstLine="160"/>
              <w:rPr>
                <w:rFonts w:ascii="Arial" w:hAnsi="Arial" w:cs="Arial"/>
                <w:sz w:val="16"/>
                <w:szCs w:val="16"/>
                <w:lang w:eastAsia="es-AR"/>
              </w:rPr>
            </w:pPr>
            <w:r>
              <w:rPr>
                <w:rFonts w:ascii="Arial" w:hAnsi="Arial" w:cs="Arial"/>
                <w:sz w:val="16"/>
                <w:szCs w:val="16"/>
                <w:lang w:eastAsia="es-AR"/>
              </w:rPr>
              <w:t>Provisiones</w:t>
            </w:r>
          </w:p>
        </w:tc>
        <w:tc>
          <w:tcPr>
            <w:tcW w:w="411" w:type="pct"/>
            <w:tcBorders>
              <w:top w:val="nil"/>
              <w:left w:val="nil"/>
              <w:bottom w:val="nil"/>
              <w:right w:val="nil"/>
            </w:tcBorders>
            <w:shd w:val="clear" w:color="auto" w:fill="auto"/>
          </w:tcPr>
          <w:p w14:paraId="0A301EE9"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31E8BD6" w14:textId="785C55E0" w:rsidR="002B72BA" w:rsidRPr="006F757F" w:rsidRDefault="008366C7" w:rsidP="00F30A15">
            <w:pPr>
              <w:jc w:val="right"/>
              <w:rPr>
                <w:rFonts w:ascii="Arial" w:hAnsi="Arial" w:cs="Arial"/>
                <w:sz w:val="16"/>
                <w:szCs w:val="16"/>
                <w:lang w:eastAsia="es-AR"/>
              </w:rPr>
            </w:pPr>
            <w:r w:rsidRPr="008366C7">
              <w:rPr>
                <w:rFonts w:ascii="Arial" w:hAnsi="Arial" w:cs="Arial"/>
                <w:sz w:val="16"/>
                <w:szCs w:val="16"/>
                <w:lang w:eastAsia="es-AR"/>
              </w:rPr>
              <w:t>1.739.626</w:t>
            </w:r>
          </w:p>
        </w:tc>
        <w:tc>
          <w:tcPr>
            <w:tcW w:w="729" w:type="pct"/>
            <w:tcBorders>
              <w:top w:val="nil"/>
              <w:left w:val="nil"/>
              <w:bottom w:val="nil"/>
              <w:right w:val="nil"/>
            </w:tcBorders>
            <w:shd w:val="clear" w:color="auto" w:fill="auto"/>
            <w:vAlign w:val="bottom"/>
          </w:tcPr>
          <w:p w14:paraId="75E77D9C" w14:textId="797061A0"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865.238</w:t>
            </w:r>
          </w:p>
        </w:tc>
      </w:tr>
      <w:tr w:rsidR="002B72BA" w:rsidRPr="002D55D1" w14:paraId="3F0F222D" w14:textId="77777777" w:rsidTr="002E2271">
        <w:trPr>
          <w:trHeight w:val="281"/>
        </w:trPr>
        <w:tc>
          <w:tcPr>
            <w:tcW w:w="3257" w:type="pct"/>
            <w:tcBorders>
              <w:top w:val="nil"/>
              <w:left w:val="nil"/>
              <w:bottom w:val="nil"/>
              <w:right w:val="nil"/>
            </w:tcBorders>
            <w:shd w:val="clear" w:color="auto" w:fill="auto"/>
            <w:vAlign w:val="bottom"/>
          </w:tcPr>
          <w:p w14:paraId="1A422D0A" w14:textId="77777777" w:rsidR="002B72BA" w:rsidRPr="006F757F" w:rsidRDefault="002B72BA" w:rsidP="002E2271">
            <w:pPr>
              <w:ind w:firstLineChars="100" w:firstLine="160"/>
              <w:rPr>
                <w:rFonts w:ascii="Arial" w:hAnsi="Arial" w:cs="Arial"/>
                <w:sz w:val="16"/>
                <w:szCs w:val="16"/>
                <w:lang w:eastAsia="es-AR"/>
              </w:rPr>
            </w:pPr>
            <w:r>
              <w:rPr>
                <w:rFonts w:ascii="Arial" w:hAnsi="Arial" w:cs="Arial"/>
                <w:sz w:val="16"/>
                <w:szCs w:val="16"/>
                <w:lang w:eastAsia="es-AR"/>
              </w:rPr>
              <w:t>Efecto variación tipo de cambio</w:t>
            </w:r>
          </w:p>
        </w:tc>
        <w:tc>
          <w:tcPr>
            <w:tcW w:w="411" w:type="pct"/>
            <w:tcBorders>
              <w:top w:val="nil"/>
              <w:left w:val="nil"/>
              <w:bottom w:val="nil"/>
              <w:right w:val="nil"/>
            </w:tcBorders>
            <w:shd w:val="clear" w:color="auto" w:fill="auto"/>
          </w:tcPr>
          <w:p w14:paraId="77C695C5"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86CAF2A" w14:textId="313F6430" w:rsidR="002B72BA" w:rsidRPr="006F757F" w:rsidRDefault="00461508" w:rsidP="00F30A15">
            <w:pPr>
              <w:jc w:val="right"/>
              <w:rPr>
                <w:rFonts w:ascii="Arial" w:hAnsi="Arial" w:cs="Arial"/>
                <w:sz w:val="16"/>
                <w:szCs w:val="16"/>
                <w:lang w:eastAsia="es-AR"/>
              </w:rPr>
            </w:pPr>
            <w:r w:rsidRPr="00461508">
              <w:rPr>
                <w:rFonts w:ascii="Arial" w:hAnsi="Arial" w:cs="Arial"/>
                <w:sz w:val="16"/>
                <w:szCs w:val="16"/>
                <w:lang w:eastAsia="es-AR"/>
              </w:rPr>
              <w:t>-3.230.514</w:t>
            </w:r>
          </w:p>
        </w:tc>
        <w:tc>
          <w:tcPr>
            <w:tcW w:w="729" w:type="pct"/>
            <w:tcBorders>
              <w:top w:val="nil"/>
              <w:left w:val="nil"/>
              <w:bottom w:val="nil"/>
              <w:right w:val="nil"/>
            </w:tcBorders>
            <w:shd w:val="clear" w:color="auto" w:fill="auto"/>
            <w:vAlign w:val="bottom"/>
          </w:tcPr>
          <w:p w14:paraId="1C8896D5" w14:textId="3C015568"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-3.148.017</w:t>
            </w:r>
          </w:p>
        </w:tc>
      </w:tr>
      <w:tr w:rsidR="002B72BA" w:rsidRPr="002D55D1" w14:paraId="23C10E1C" w14:textId="77777777" w:rsidTr="002E2271">
        <w:trPr>
          <w:trHeight w:val="285"/>
        </w:trPr>
        <w:tc>
          <w:tcPr>
            <w:tcW w:w="3257" w:type="pct"/>
            <w:tcBorders>
              <w:top w:val="nil"/>
              <w:left w:val="nil"/>
              <w:bottom w:val="nil"/>
              <w:right w:val="nil"/>
            </w:tcBorders>
            <w:shd w:val="clear" w:color="auto" w:fill="auto"/>
            <w:vAlign w:val="bottom"/>
          </w:tcPr>
          <w:p w14:paraId="429EE60C" w14:textId="77777777" w:rsidR="002B72BA" w:rsidRDefault="002B72BA" w:rsidP="002E2271">
            <w:pPr>
              <w:ind w:firstLineChars="100" w:firstLine="160"/>
              <w:rPr>
                <w:rFonts w:ascii="Arial" w:hAnsi="Arial" w:cs="Arial"/>
                <w:sz w:val="16"/>
                <w:szCs w:val="16"/>
                <w:lang w:eastAsia="es-AR"/>
              </w:rPr>
            </w:pPr>
            <w:r>
              <w:rPr>
                <w:rFonts w:ascii="Arial" w:hAnsi="Arial" w:cs="Arial"/>
                <w:sz w:val="16"/>
                <w:szCs w:val="16"/>
                <w:lang w:eastAsia="es-AR"/>
              </w:rPr>
              <w:t xml:space="preserve">Intereses pasivos por arrendamientos </w:t>
            </w:r>
          </w:p>
        </w:tc>
        <w:tc>
          <w:tcPr>
            <w:tcW w:w="411" w:type="pct"/>
            <w:tcBorders>
              <w:top w:val="nil"/>
              <w:left w:val="nil"/>
              <w:bottom w:val="nil"/>
              <w:right w:val="nil"/>
            </w:tcBorders>
            <w:shd w:val="clear" w:color="auto" w:fill="auto"/>
          </w:tcPr>
          <w:p w14:paraId="64EC420F"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6AF2246" w14:textId="1039F5AA" w:rsidR="002B72BA" w:rsidRPr="005F0795" w:rsidRDefault="008366C7" w:rsidP="00F30A15">
            <w:pPr>
              <w:jc w:val="right"/>
              <w:rPr>
                <w:rFonts w:ascii="Arial" w:hAnsi="Arial" w:cs="Arial"/>
                <w:sz w:val="16"/>
                <w:szCs w:val="16"/>
                <w:lang w:eastAsia="es-AR"/>
              </w:rPr>
            </w:pPr>
            <w:r w:rsidRPr="008366C7">
              <w:rPr>
                <w:rFonts w:ascii="Arial" w:hAnsi="Arial" w:cs="Arial"/>
                <w:sz w:val="16"/>
                <w:szCs w:val="16"/>
                <w:lang w:eastAsia="es-AR"/>
              </w:rPr>
              <w:t>37.597</w:t>
            </w:r>
          </w:p>
        </w:tc>
        <w:tc>
          <w:tcPr>
            <w:tcW w:w="729" w:type="pct"/>
            <w:tcBorders>
              <w:top w:val="nil"/>
              <w:left w:val="nil"/>
              <w:bottom w:val="nil"/>
              <w:right w:val="nil"/>
            </w:tcBorders>
            <w:shd w:val="clear" w:color="auto" w:fill="auto"/>
            <w:vAlign w:val="bottom"/>
          </w:tcPr>
          <w:p w14:paraId="17C2B5B1" w14:textId="1A363A12" w:rsidR="002B72BA" w:rsidRPr="00593C40" w:rsidRDefault="00D83EA0" w:rsidP="00F30A15">
            <w:pPr>
              <w:jc w:val="right"/>
              <w:rPr>
                <w:rFonts w:ascii="Arial" w:hAnsi="Arial" w:cs="Arial"/>
                <w:sz w:val="16"/>
                <w:szCs w:val="16"/>
                <w:lang w:eastAsia="es-AR"/>
              </w:rPr>
            </w:pPr>
            <w:r>
              <w:rPr>
                <w:rFonts w:ascii="Arial" w:hAnsi="Arial" w:cs="Arial"/>
                <w:sz w:val="16"/>
                <w:szCs w:val="16"/>
                <w:lang w:eastAsia="es-AR"/>
              </w:rPr>
              <w:t>-</w:t>
            </w:r>
          </w:p>
        </w:tc>
      </w:tr>
      <w:tr w:rsidR="00B05BE2" w:rsidRPr="002D55D1" w14:paraId="66B96E74" w14:textId="77777777" w:rsidTr="002E2271">
        <w:trPr>
          <w:trHeight w:val="285"/>
        </w:trPr>
        <w:tc>
          <w:tcPr>
            <w:tcW w:w="3257" w:type="pct"/>
            <w:tcBorders>
              <w:top w:val="nil"/>
              <w:left w:val="nil"/>
              <w:bottom w:val="nil"/>
              <w:right w:val="nil"/>
            </w:tcBorders>
            <w:shd w:val="clear" w:color="auto" w:fill="auto"/>
            <w:vAlign w:val="bottom"/>
          </w:tcPr>
          <w:p w14:paraId="20225D4A" w14:textId="752DFD95" w:rsidR="00B05BE2" w:rsidRDefault="00B05BE2" w:rsidP="002E2271">
            <w:pPr>
              <w:ind w:firstLineChars="100" w:firstLine="160"/>
              <w:rPr>
                <w:rFonts w:ascii="Arial" w:hAnsi="Arial" w:cs="Arial"/>
                <w:sz w:val="16"/>
                <w:szCs w:val="16"/>
                <w:lang w:eastAsia="es-AR"/>
              </w:rPr>
            </w:pPr>
            <w:r>
              <w:rPr>
                <w:rFonts w:ascii="Arial" w:hAnsi="Arial" w:cs="Arial"/>
                <w:sz w:val="16"/>
                <w:szCs w:val="16"/>
                <w:lang w:eastAsia="es-AR"/>
              </w:rPr>
              <w:t>Efecto del tipo de cambio de las ON Subordinadas</w:t>
            </w:r>
          </w:p>
        </w:tc>
        <w:tc>
          <w:tcPr>
            <w:tcW w:w="411" w:type="pct"/>
            <w:tcBorders>
              <w:top w:val="nil"/>
              <w:left w:val="nil"/>
              <w:bottom w:val="nil"/>
              <w:right w:val="nil"/>
            </w:tcBorders>
            <w:shd w:val="clear" w:color="auto" w:fill="auto"/>
          </w:tcPr>
          <w:p w14:paraId="6161AD0F" w14:textId="77777777" w:rsidR="00B05BE2" w:rsidRPr="002D55D1" w:rsidRDefault="00B05BE2"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B390CBC" w14:textId="1A923056" w:rsidR="00B05BE2" w:rsidRPr="005F0795" w:rsidRDefault="008366C7" w:rsidP="00F30A15">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56AA84E7" w14:textId="6627AF36" w:rsidR="00B05BE2" w:rsidRDefault="00D83EA0" w:rsidP="00F30A15">
            <w:pPr>
              <w:jc w:val="right"/>
              <w:rPr>
                <w:rFonts w:ascii="Arial" w:hAnsi="Arial" w:cs="Arial"/>
                <w:sz w:val="16"/>
                <w:szCs w:val="16"/>
                <w:lang w:eastAsia="es-AR"/>
              </w:rPr>
            </w:pPr>
            <w:r w:rsidRPr="00D83EA0">
              <w:rPr>
                <w:rFonts w:ascii="Arial" w:hAnsi="Arial" w:cs="Arial"/>
                <w:sz w:val="16"/>
                <w:szCs w:val="16"/>
                <w:lang w:eastAsia="es-AR"/>
              </w:rPr>
              <w:t>199.460</w:t>
            </w:r>
          </w:p>
        </w:tc>
      </w:tr>
      <w:tr w:rsidR="002B72BA" w:rsidRPr="002D55D1" w14:paraId="207FC81A" w14:textId="77777777" w:rsidTr="002E2271">
        <w:trPr>
          <w:trHeight w:val="205"/>
        </w:trPr>
        <w:tc>
          <w:tcPr>
            <w:tcW w:w="3257" w:type="pct"/>
            <w:tcBorders>
              <w:top w:val="nil"/>
              <w:left w:val="nil"/>
              <w:bottom w:val="nil"/>
              <w:right w:val="nil"/>
            </w:tcBorders>
            <w:shd w:val="clear" w:color="auto" w:fill="auto"/>
            <w:vAlign w:val="bottom"/>
            <w:hideMark/>
          </w:tcPr>
          <w:p w14:paraId="40471499"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Otros ajustes</w:t>
            </w:r>
          </w:p>
        </w:tc>
        <w:tc>
          <w:tcPr>
            <w:tcW w:w="411" w:type="pct"/>
            <w:tcBorders>
              <w:top w:val="nil"/>
              <w:left w:val="nil"/>
              <w:bottom w:val="nil"/>
              <w:right w:val="nil"/>
            </w:tcBorders>
            <w:shd w:val="clear" w:color="auto" w:fill="auto"/>
            <w:hideMark/>
          </w:tcPr>
          <w:p w14:paraId="01EE15EA"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CB6DCD" w14:textId="43258ED4" w:rsidR="002B72BA" w:rsidRPr="00593C40" w:rsidRDefault="000B0963" w:rsidP="00F30A15">
            <w:pPr>
              <w:jc w:val="right"/>
              <w:rPr>
                <w:rFonts w:ascii="Arial" w:hAnsi="Arial" w:cs="Arial"/>
                <w:sz w:val="16"/>
                <w:szCs w:val="16"/>
                <w:lang w:eastAsia="es-AR"/>
              </w:rPr>
            </w:pPr>
            <w:r w:rsidRPr="000B0963">
              <w:rPr>
                <w:rFonts w:ascii="Arial" w:hAnsi="Arial" w:cs="Arial"/>
                <w:sz w:val="16"/>
                <w:szCs w:val="16"/>
                <w:lang w:eastAsia="es-AR"/>
              </w:rPr>
              <w:t>520.322</w:t>
            </w:r>
          </w:p>
        </w:tc>
        <w:tc>
          <w:tcPr>
            <w:tcW w:w="729" w:type="pct"/>
            <w:tcBorders>
              <w:top w:val="nil"/>
              <w:left w:val="nil"/>
              <w:bottom w:val="nil"/>
              <w:right w:val="nil"/>
            </w:tcBorders>
            <w:shd w:val="clear" w:color="auto" w:fill="auto"/>
            <w:vAlign w:val="bottom"/>
          </w:tcPr>
          <w:p w14:paraId="0840295F" w14:textId="7D20C3A0" w:rsidR="002B72BA" w:rsidRPr="00593C40" w:rsidRDefault="00D672C0" w:rsidP="00F30A15">
            <w:pPr>
              <w:jc w:val="right"/>
              <w:rPr>
                <w:rFonts w:ascii="Arial" w:hAnsi="Arial" w:cs="Arial"/>
                <w:sz w:val="16"/>
                <w:szCs w:val="16"/>
                <w:lang w:eastAsia="es-AR"/>
              </w:rPr>
            </w:pPr>
            <w:r w:rsidRPr="00D672C0">
              <w:rPr>
                <w:rFonts w:ascii="Arial" w:hAnsi="Arial" w:cs="Arial"/>
                <w:sz w:val="16"/>
                <w:szCs w:val="16"/>
                <w:lang w:eastAsia="es-AR"/>
              </w:rPr>
              <w:t>-528.584</w:t>
            </w:r>
          </w:p>
        </w:tc>
      </w:tr>
      <w:tr w:rsidR="002B72BA" w:rsidRPr="00593C40" w14:paraId="305EFB52" w14:textId="77777777" w:rsidTr="002E2271">
        <w:trPr>
          <w:trHeight w:val="101"/>
        </w:trPr>
        <w:tc>
          <w:tcPr>
            <w:tcW w:w="3257" w:type="pct"/>
            <w:tcBorders>
              <w:top w:val="nil"/>
              <w:left w:val="nil"/>
              <w:bottom w:val="nil"/>
              <w:right w:val="nil"/>
            </w:tcBorders>
            <w:shd w:val="clear" w:color="auto" w:fill="auto"/>
            <w:vAlign w:val="bottom"/>
            <w:hideMark/>
          </w:tcPr>
          <w:p w14:paraId="612C55D3" w14:textId="77777777" w:rsidR="002B72BA" w:rsidRPr="00593C40" w:rsidRDefault="002B72BA" w:rsidP="002E2271">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7CE56B52"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085329AB"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797248C7" w14:textId="77777777" w:rsidR="002B72BA" w:rsidRPr="00593C40" w:rsidRDefault="002B72BA" w:rsidP="00F30A15">
            <w:pPr>
              <w:jc w:val="right"/>
              <w:rPr>
                <w:rFonts w:ascii="Arial" w:hAnsi="Arial" w:cs="Arial"/>
                <w:sz w:val="10"/>
                <w:szCs w:val="10"/>
                <w:lang w:eastAsia="es-AR"/>
              </w:rPr>
            </w:pPr>
          </w:p>
        </w:tc>
      </w:tr>
      <w:tr w:rsidR="002B72BA" w:rsidRPr="002D55D1" w14:paraId="1037AF4A" w14:textId="77777777" w:rsidTr="002E2271">
        <w:trPr>
          <w:trHeight w:val="269"/>
        </w:trPr>
        <w:tc>
          <w:tcPr>
            <w:tcW w:w="3257" w:type="pct"/>
            <w:tcBorders>
              <w:top w:val="nil"/>
              <w:left w:val="nil"/>
              <w:bottom w:val="nil"/>
              <w:right w:val="nil"/>
            </w:tcBorders>
            <w:shd w:val="clear" w:color="auto" w:fill="auto"/>
            <w:vAlign w:val="bottom"/>
            <w:hideMark/>
          </w:tcPr>
          <w:p w14:paraId="46DC4A89" w14:textId="7C93042A" w:rsidR="002B72BA" w:rsidRPr="002D55D1" w:rsidRDefault="002B72BA" w:rsidP="002E2271">
            <w:pPr>
              <w:rPr>
                <w:rFonts w:ascii="Arial" w:hAnsi="Arial" w:cs="Arial"/>
                <w:b/>
                <w:bCs/>
                <w:sz w:val="16"/>
                <w:szCs w:val="16"/>
                <w:lang w:eastAsia="es-AR"/>
              </w:rPr>
            </w:pPr>
            <w:r w:rsidRPr="002D55D1">
              <w:rPr>
                <w:rFonts w:ascii="Arial" w:hAnsi="Arial" w:cs="Arial"/>
                <w:b/>
                <w:bCs/>
                <w:sz w:val="16"/>
                <w:szCs w:val="16"/>
                <w:lang w:eastAsia="es-AR"/>
              </w:rPr>
              <w:t>Aumentos / disminuciones net</w:t>
            </w:r>
            <w:r>
              <w:rPr>
                <w:rFonts w:ascii="Arial" w:hAnsi="Arial" w:cs="Arial"/>
                <w:b/>
                <w:bCs/>
                <w:sz w:val="16"/>
                <w:szCs w:val="16"/>
                <w:lang w:eastAsia="es-AR"/>
              </w:rPr>
              <w:t>as</w:t>
            </w:r>
            <w:r w:rsidRPr="002D55D1">
              <w:rPr>
                <w:rFonts w:ascii="Arial" w:hAnsi="Arial" w:cs="Arial"/>
                <w:b/>
                <w:bCs/>
                <w:sz w:val="16"/>
                <w:szCs w:val="16"/>
                <w:lang w:eastAsia="es-AR"/>
              </w:rPr>
              <w:t xml:space="preserve"> proveniente</w:t>
            </w:r>
            <w:r w:rsidR="00B05BE2">
              <w:rPr>
                <w:rFonts w:ascii="Arial" w:hAnsi="Arial" w:cs="Arial"/>
                <w:b/>
                <w:bCs/>
                <w:sz w:val="16"/>
                <w:szCs w:val="16"/>
                <w:lang w:eastAsia="es-AR"/>
              </w:rPr>
              <w:t>s</w:t>
            </w:r>
            <w:r w:rsidRPr="002D55D1">
              <w:rPr>
                <w:rFonts w:ascii="Arial" w:hAnsi="Arial" w:cs="Arial"/>
                <w:b/>
                <w:bCs/>
                <w:sz w:val="16"/>
                <w:szCs w:val="16"/>
                <w:lang w:eastAsia="es-AR"/>
              </w:rPr>
              <w:t xml:space="preserve"> de activos operativos:</w:t>
            </w:r>
          </w:p>
        </w:tc>
        <w:tc>
          <w:tcPr>
            <w:tcW w:w="411" w:type="pct"/>
            <w:tcBorders>
              <w:top w:val="nil"/>
              <w:left w:val="nil"/>
              <w:bottom w:val="nil"/>
              <w:right w:val="nil"/>
            </w:tcBorders>
            <w:shd w:val="clear" w:color="auto" w:fill="auto"/>
            <w:hideMark/>
          </w:tcPr>
          <w:p w14:paraId="0C244A21"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673C9E17"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1B89CAD9" w14:textId="77777777" w:rsidR="002B72BA" w:rsidRPr="00593C40" w:rsidRDefault="002B72BA" w:rsidP="00F30A15">
            <w:pPr>
              <w:jc w:val="right"/>
              <w:rPr>
                <w:rFonts w:ascii="Arial" w:hAnsi="Arial" w:cs="Arial"/>
                <w:sz w:val="16"/>
                <w:szCs w:val="16"/>
                <w:lang w:eastAsia="es-AR"/>
              </w:rPr>
            </w:pPr>
          </w:p>
        </w:tc>
      </w:tr>
      <w:tr w:rsidR="008366C7" w:rsidRPr="002D55D1" w14:paraId="56B301F2" w14:textId="77777777" w:rsidTr="008366C7">
        <w:trPr>
          <w:trHeight w:val="285"/>
        </w:trPr>
        <w:tc>
          <w:tcPr>
            <w:tcW w:w="3257" w:type="pct"/>
            <w:tcBorders>
              <w:top w:val="nil"/>
              <w:left w:val="nil"/>
              <w:bottom w:val="nil"/>
              <w:right w:val="nil"/>
            </w:tcBorders>
            <w:shd w:val="clear" w:color="auto" w:fill="auto"/>
            <w:vAlign w:val="bottom"/>
            <w:hideMark/>
          </w:tcPr>
          <w:p w14:paraId="434C7629"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Títulos de deuda a valor razonable con cambios en resultados</w:t>
            </w:r>
          </w:p>
        </w:tc>
        <w:tc>
          <w:tcPr>
            <w:tcW w:w="411" w:type="pct"/>
            <w:tcBorders>
              <w:top w:val="nil"/>
              <w:left w:val="nil"/>
              <w:bottom w:val="nil"/>
              <w:right w:val="nil"/>
            </w:tcBorders>
            <w:shd w:val="clear" w:color="auto" w:fill="auto"/>
            <w:hideMark/>
          </w:tcPr>
          <w:p w14:paraId="675DD949"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665AFEC" w14:textId="69201680"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-257.542 </w:t>
            </w:r>
          </w:p>
        </w:tc>
        <w:tc>
          <w:tcPr>
            <w:tcW w:w="729" w:type="pct"/>
            <w:tcBorders>
              <w:top w:val="nil"/>
              <w:left w:val="nil"/>
              <w:bottom w:val="nil"/>
              <w:right w:val="nil"/>
            </w:tcBorders>
            <w:shd w:val="clear" w:color="auto" w:fill="auto"/>
            <w:vAlign w:val="bottom"/>
          </w:tcPr>
          <w:p w14:paraId="561AA183" w14:textId="3233CA2D" w:rsidR="008366C7" w:rsidRPr="00593C40" w:rsidRDefault="00D83EA0" w:rsidP="008366C7">
            <w:pPr>
              <w:jc w:val="right"/>
              <w:rPr>
                <w:rFonts w:ascii="Arial" w:hAnsi="Arial" w:cs="Arial"/>
                <w:sz w:val="16"/>
                <w:szCs w:val="16"/>
                <w:lang w:eastAsia="es-AR"/>
              </w:rPr>
            </w:pPr>
            <w:r w:rsidRPr="00D83EA0">
              <w:rPr>
                <w:rFonts w:ascii="Arial" w:hAnsi="Arial" w:cs="Arial"/>
                <w:sz w:val="16"/>
                <w:szCs w:val="16"/>
                <w:lang w:eastAsia="es-AR"/>
              </w:rPr>
              <w:t>-6.514.260</w:t>
            </w:r>
          </w:p>
        </w:tc>
      </w:tr>
      <w:tr w:rsidR="008366C7" w:rsidRPr="002D55D1" w14:paraId="42FBEBF5" w14:textId="77777777" w:rsidTr="008366C7">
        <w:trPr>
          <w:trHeight w:val="285"/>
        </w:trPr>
        <w:tc>
          <w:tcPr>
            <w:tcW w:w="3257" w:type="pct"/>
            <w:tcBorders>
              <w:top w:val="nil"/>
              <w:left w:val="nil"/>
              <w:bottom w:val="nil"/>
              <w:right w:val="nil"/>
            </w:tcBorders>
            <w:shd w:val="clear" w:color="auto" w:fill="auto"/>
            <w:vAlign w:val="bottom"/>
            <w:hideMark/>
          </w:tcPr>
          <w:p w14:paraId="2C5E7536"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nil"/>
              <w:left w:val="nil"/>
              <w:bottom w:val="nil"/>
              <w:right w:val="nil"/>
            </w:tcBorders>
            <w:shd w:val="clear" w:color="auto" w:fill="auto"/>
            <w:hideMark/>
          </w:tcPr>
          <w:p w14:paraId="3EC3595B"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747CF7F" w14:textId="0F0C116F"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134.255 </w:t>
            </w:r>
          </w:p>
        </w:tc>
        <w:tc>
          <w:tcPr>
            <w:tcW w:w="729" w:type="pct"/>
            <w:tcBorders>
              <w:top w:val="nil"/>
              <w:left w:val="nil"/>
              <w:bottom w:val="nil"/>
              <w:right w:val="nil"/>
            </w:tcBorders>
            <w:shd w:val="clear" w:color="auto" w:fill="auto"/>
            <w:vAlign w:val="bottom"/>
          </w:tcPr>
          <w:p w14:paraId="48F03A5D" w14:textId="3EA0F7B1" w:rsidR="008366C7" w:rsidRPr="00593C40" w:rsidRDefault="00D83EA0" w:rsidP="008366C7">
            <w:pPr>
              <w:jc w:val="right"/>
              <w:rPr>
                <w:rFonts w:ascii="Arial" w:hAnsi="Arial" w:cs="Arial"/>
                <w:sz w:val="16"/>
                <w:szCs w:val="16"/>
                <w:lang w:eastAsia="es-AR"/>
              </w:rPr>
            </w:pPr>
            <w:r w:rsidRPr="00D83EA0">
              <w:rPr>
                <w:rFonts w:ascii="Arial" w:hAnsi="Arial" w:cs="Arial"/>
                <w:sz w:val="16"/>
                <w:szCs w:val="16"/>
                <w:lang w:eastAsia="es-AR"/>
              </w:rPr>
              <w:t>-242.666</w:t>
            </w:r>
          </w:p>
        </w:tc>
      </w:tr>
      <w:tr w:rsidR="008366C7" w:rsidRPr="002D55D1" w14:paraId="63A4C1BB" w14:textId="77777777" w:rsidTr="008366C7">
        <w:trPr>
          <w:trHeight w:val="285"/>
        </w:trPr>
        <w:tc>
          <w:tcPr>
            <w:tcW w:w="3257" w:type="pct"/>
            <w:tcBorders>
              <w:top w:val="nil"/>
              <w:left w:val="nil"/>
              <w:bottom w:val="nil"/>
              <w:right w:val="nil"/>
            </w:tcBorders>
            <w:shd w:val="clear" w:color="auto" w:fill="auto"/>
            <w:vAlign w:val="bottom"/>
            <w:hideMark/>
          </w:tcPr>
          <w:p w14:paraId="5597FE9A"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hideMark/>
          </w:tcPr>
          <w:p w14:paraId="430F49AA"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C89D1EE" w14:textId="5D057623"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-79.143 </w:t>
            </w:r>
          </w:p>
        </w:tc>
        <w:tc>
          <w:tcPr>
            <w:tcW w:w="729" w:type="pct"/>
            <w:tcBorders>
              <w:top w:val="nil"/>
              <w:left w:val="nil"/>
              <w:bottom w:val="nil"/>
              <w:right w:val="nil"/>
            </w:tcBorders>
            <w:shd w:val="clear" w:color="auto" w:fill="auto"/>
            <w:vAlign w:val="bottom"/>
          </w:tcPr>
          <w:p w14:paraId="0E4762C4" w14:textId="2816DC86" w:rsidR="008366C7" w:rsidRPr="00593C40" w:rsidRDefault="00F22917" w:rsidP="008366C7">
            <w:pPr>
              <w:jc w:val="right"/>
              <w:rPr>
                <w:rFonts w:ascii="Arial" w:hAnsi="Arial" w:cs="Arial"/>
                <w:sz w:val="16"/>
                <w:szCs w:val="16"/>
                <w:lang w:eastAsia="es-AR"/>
              </w:rPr>
            </w:pPr>
            <w:r w:rsidRPr="00F22917">
              <w:rPr>
                <w:rFonts w:ascii="Arial" w:hAnsi="Arial" w:cs="Arial"/>
                <w:sz w:val="16"/>
                <w:szCs w:val="16"/>
                <w:lang w:eastAsia="es-AR"/>
              </w:rPr>
              <w:t>-156.248</w:t>
            </w:r>
          </w:p>
        </w:tc>
      </w:tr>
      <w:tr w:rsidR="008366C7" w:rsidRPr="002D55D1" w14:paraId="1025EAAD" w14:textId="77777777" w:rsidTr="008366C7">
        <w:trPr>
          <w:trHeight w:val="285"/>
        </w:trPr>
        <w:tc>
          <w:tcPr>
            <w:tcW w:w="3257" w:type="pct"/>
            <w:tcBorders>
              <w:top w:val="nil"/>
              <w:left w:val="nil"/>
              <w:bottom w:val="nil"/>
              <w:right w:val="nil"/>
            </w:tcBorders>
            <w:shd w:val="clear" w:color="auto" w:fill="auto"/>
            <w:vAlign w:val="bottom"/>
            <w:hideMark/>
          </w:tcPr>
          <w:p w14:paraId="42A91C8B"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Préstamos y otras financiaciones</w:t>
            </w:r>
          </w:p>
        </w:tc>
        <w:tc>
          <w:tcPr>
            <w:tcW w:w="411" w:type="pct"/>
            <w:tcBorders>
              <w:top w:val="nil"/>
              <w:left w:val="nil"/>
              <w:bottom w:val="nil"/>
              <w:right w:val="nil"/>
            </w:tcBorders>
            <w:shd w:val="clear" w:color="auto" w:fill="auto"/>
            <w:hideMark/>
          </w:tcPr>
          <w:p w14:paraId="6CB8D2C4"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97A93FB" w14:textId="3591FA00"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   </w:t>
            </w:r>
          </w:p>
        </w:tc>
        <w:tc>
          <w:tcPr>
            <w:tcW w:w="729" w:type="pct"/>
            <w:tcBorders>
              <w:top w:val="nil"/>
              <w:left w:val="nil"/>
              <w:bottom w:val="nil"/>
              <w:right w:val="nil"/>
            </w:tcBorders>
            <w:shd w:val="clear" w:color="auto" w:fill="auto"/>
            <w:vAlign w:val="bottom"/>
          </w:tcPr>
          <w:p w14:paraId="3E8BB184" w14:textId="78EAC701" w:rsidR="008366C7" w:rsidRPr="00593C40" w:rsidRDefault="00D83EA0" w:rsidP="008366C7">
            <w:pPr>
              <w:jc w:val="right"/>
              <w:rPr>
                <w:rFonts w:ascii="Arial" w:hAnsi="Arial" w:cs="Arial"/>
                <w:sz w:val="16"/>
                <w:szCs w:val="16"/>
                <w:lang w:eastAsia="es-AR"/>
              </w:rPr>
            </w:pPr>
            <w:r>
              <w:rPr>
                <w:rFonts w:ascii="Arial" w:hAnsi="Arial" w:cs="Arial"/>
                <w:sz w:val="16"/>
                <w:szCs w:val="16"/>
                <w:lang w:eastAsia="es-AR"/>
              </w:rPr>
              <w:t>-</w:t>
            </w:r>
          </w:p>
        </w:tc>
      </w:tr>
      <w:tr w:rsidR="008366C7" w:rsidRPr="002D55D1" w14:paraId="76DB9AF4" w14:textId="77777777" w:rsidTr="008366C7">
        <w:trPr>
          <w:trHeight w:val="285"/>
        </w:trPr>
        <w:tc>
          <w:tcPr>
            <w:tcW w:w="3257" w:type="pct"/>
            <w:tcBorders>
              <w:top w:val="nil"/>
              <w:left w:val="nil"/>
              <w:bottom w:val="nil"/>
              <w:right w:val="nil"/>
            </w:tcBorders>
            <w:shd w:val="clear" w:color="auto" w:fill="auto"/>
            <w:vAlign w:val="bottom"/>
            <w:hideMark/>
          </w:tcPr>
          <w:p w14:paraId="19A89A89" w14:textId="77777777" w:rsidR="008366C7" w:rsidRPr="002D55D1" w:rsidRDefault="008366C7" w:rsidP="008366C7">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743D2945" w14:textId="77777777" w:rsidR="008366C7" w:rsidRPr="002D55D1" w:rsidRDefault="008366C7" w:rsidP="008366C7">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9654269" w14:textId="3C30B14F"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-28.138 </w:t>
            </w:r>
          </w:p>
        </w:tc>
        <w:tc>
          <w:tcPr>
            <w:tcW w:w="729" w:type="pct"/>
            <w:tcBorders>
              <w:top w:val="nil"/>
              <w:left w:val="nil"/>
              <w:bottom w:val="nil"/>
              <w:right w:val="nil"/>
            </w:tcBorders>
            <w:shd w:val="clear" w:color="auto" w:fill="auto"/>
            <w:vAlign w:val="bottom"/>
          </w:tcPr>
          <w:p w14:paraId="6CB1AA35" w14:textId="10E9EB0B" w:rsidR="008366C7" w:rsidRPr="00593C40" w:rsidRDefault="00D83EA0" w:rsidP="008366C7">
            <w:pPr>
              <w:jc w:val="right"/>
              <w:rPr>
                <w:rFonts w:ascii="Arial" w:hAnsi="Arial" w:cs="Arial"/>
                <w:sz w:val="16"/>
                <w:szCs w:val="16"/>
                <w:lang w:eastAsia="es-AR"/>
              </w:rPr>
            </w:pPr>
            <w:r w:rsidRPr="00D83EA0">
              <w:rPr>
                <w:rFonts w:ascii="Arial" w:hAnsi="Arial" w:cs="Arial"/>
                <w:sz w:val="16"/>
                <w:szCs w:val="16"/>
                <w:lang w:eastAsia="es-AR"/>
              </w:rPr>
              <w:t>11.271</w:t>
            </w:r>
          </w:p>
        </w:tc>
      </w:tr>
      <w:tr w:rsidR="008366C7" w:rsidRPr="002D55D1" w14:paraId="75BDDE31" w14:textId="77777777" w:rsidTr="008366C7">
        <w:trPr>
          <w:trHeight w:val="285"/>
        </w:trPr>
        <w:tc>
          <w:tcPr>
            <w:tcW w:w="3257" w:type="pct"/>
            <w:tcBorders>
              <w:top w:val="nil"/>
              <w:left w:val="nil"/>
              <w:bottom w:val="nil"/>
              <w:right w:val="nil"/>
            </w:tcBorders>
            <w:shd w:val="clear" w:color="auto" w:fill="auto"/>
            <w:vAlign w:val="bottom"/>
            <w:hideMark/>
          </w:tcPr>
          <w:p w14:paraId="61D46B77" w14:textId="77777777" w:rsidR="008366C7" w:rsidRPr="002D55D1" w:rsidRDefault="008366C7" w:rsidP="008366C7">
            <w:pPr>
              <w:ind w:firstLineChars="200" w:firstLine="320"/>
              <w:rPr>
                <w:rFonts w:ascii="Arial" w:hAnsi="Arial" w:cs="Arial"/>
                <w:sz w:val="16"/>
                <w:szCs w:val="16"/>
                <w:lang w:eastAsia="es-AR"/>
              </w:rPr>
            </w:pPr>
            <w:r w:rsidRPr="002D55D1">
              <w:rPr>
                <w:rFonts w:ascii="Arial" w:hAnsi="Arial" w:cs="Arial"/>
                <w:sz w:val="16"/>
                <w:szCs w:val="16"/>
                <w:lang w:eastAsia="es-AR"/>
              </w:rPr>
              <w:t>Otras Entidades financieras</w:t>
            </w:r>
          </w:p>
        </w:tc>
        <w:tc>
          <w:tcPr>
            <w:tcW w:w="411" w:type="pct"/>
            <w:tcBorders>
              <w:top w:val="nil"/>
              <w:left w:val="nil"/>
              <w:bottom w:val="nil"/>
              <w:right w:val="nil"/>
            </w:tcBorders>
            <w:shd w:val="clear" w:color="auto" w:fill="auto"/>
            <w:hideMark/>
          </w:tcPr>
          <w:p w14:paraId="2D2B9291" w14:textId="77777777" w:rsidR="008366C7" w:rsidRPr="002D55D1" w:rsidRDefault="008366C7" w:rsidP="008366C7">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BA29273" w14:textId="330EFF56"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1.127.494 </w:t>
            </w:r>
          </w:p>
        </w:tc>
        <w:tc>
          <w:tcPr>
            <w:tcW w:w="729" w:type="pct"/>
            <w:tcBorders>
              <w:top w:val="nil"/>
              <w:left w:val="nil"/>
              <w:bottom w:val="nil"/>
              <w:right w:val="nil"/>
            </w:tcBorders>
            <w:shd w:val="clear" w:color="auto" w:fill="auto"/>
            <w:vAlign w:val="bottom"/>
          </w:tcPr>
          <w:p w14:paraId="26D93473" w14:textId="7DC542A7" w:rsidR="008366C7" w:rsidRPr="00593C40" w:rsidRDefault="00D83EA0" w:rsidP="008366C7">
            <w:pPr>
              <w:jc w:val="right"/>
              <w:rPr>
                <w:rFonts w:ascii="Arial" w:hAnsi="Arial" w:cs="Arial"/>
                <w:sz w:val="16"/>
                <w:szCs w:val="16"/>
                <w:lang w:eastAsia="es-AR"/>
              </w:rPr>
            </w:pPr>
            <w:r w:rsidRPr="00D83EA0">
              <w:rPr>
                <w:rFonts w:ascii="Arial" w:hAnsi="Arial" w:cs="Arial"/>
                <w:sz w:val="16"/>
                <w:szCs w:val="16"/>
                <w:lang w:eastAsia="es-AR"/>
              </w:rPr>
              <w:t>1.689.523</w:t>
            </w:r>
          </w:p>
        </w:tc>
      </w:tr>
      <w:tr w:rsidR="008366C7" w:rsidRPr="002D55D1" w14:paraId="26BC6C99" w14:textId="77777777" w:rsidTr="008366C7">
        <w:trPr>
          <w:trHeight w:val="285"/>
        </w:trPr>
        <w:tc>
          <w:tcPr>
            <w:tcW w:w="3257" w:type="pct"/>
            <w:tcBorders>
              <w:top w:val="nil"/>
              <w:left w:val="nil"/>
              <w:bottom w:val="nil"/>
              <w:right w:val="nil"/>
            </w:tcBorders>
            <w:shd w:val="clear" w:color="auto" w:fill="auto"/>
            <w:vAlign w:val="bottom"/>
            <w:hideMark/>
          </w:tcPr>
          <w:p w14:paraId="1001E368" w14:textId="77777777" w:rsidR="008366C7" w:rsidRPr="002D55D1" w:rsidRDefault="008366C7" w:rsidP="008366C7">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bottom w:val="nil"/>
              <w:right w:val="nil"/>
            </w:tcBorders>
            <w:shd w:val="clear" w:color="auto" w:fill="auto"/>
            <w:hideMark/>
          </w:tcPr>
          <w:p w14:paraId="337DCBF2" w14:textId="77777777" w:rsidR="008366C7" w:rsidRPr="002D55D1" w:rsidRDefault="008366C7" w:rsidP="008366C7">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C05E178" w14:textId="616665B3"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12.830.700 </w:t>
            </w:r>
          </w:p>
        </w:tc>
        <w:tc>
          <w:tcPr>
            <w:tcW w:w="729" w:type="pct"/>
            <w:tcBorders>
              <w:top w:val="nil"/>
              <w:left w:val="nil"/>
              <w:bottom w:val="nil"/>
              <w:right w:val="nil"/>
            </w:tcBorders>
            <w:shd w:val="clear" w:color="auto" w:fill="auto"/>
            <w:vAlign w:val="bottom"/>
          </w:tcPr>
          <w:p w14:paraId="08A7C1A4" w14:textId="04CDE38C" w:rsidR="008366C7" w:rsidRPr="00593C40" w:rsidRDefault="00D83EA0" w:rsidP="008366C7">
            <w:pPr>
              <w:jc w:val="right"/>
              <w:rPr>
                <w:rFonts w:ascii="Arial" w:hAnsi="Arial" w:cs="Arial"/>
                <w:sz w:val="16"/>
                <w:szCs w:val="16"/>
                <w:lang w:eastAsia="es-AR"/>
              </w:rPr>
            </w:pPr>
            <w:r w:rsidRPr="00D83EA0">
              <w:rPr>
                <w:rFonts w:ascii="Arial" w:hAnsi="Arial" w:cs="Arial"/>
                <w:sz w:val="16"/>
                <w:szCs w:val="16"/>
                <w:lang w:eastAsia="es-AR"/>
              </w:rPr>
              <w:t>15.813.134</w:t>
            </w:r>
          </w:p>
        </w:tc>
      </w:tr>
      <w:tr w:rsidR="008366C7" w:rsidRPr="002D55D1" w14:paraId="604CA94C" w14:textId="77777777" w:rsidTr="008366C7">
        <w:trPr>
          <w:trHeight w:val="285"/>
        </w:trPr>
        <w:tc>
          <w:tcPr>
            <w:tcW w:w="3257" w:type="pct"/>
            <w:tcBorders>
              <w:top w:val="nil"/>
              <w:left w:val="nil"/>
              <w:bottom w:val="nil"/>
              <w:right w:val="nil"/>
            </w:tcBorders>
            <w:shd w:val="clear" w:color="auto" w:fill="auto"/>
            <w:vAlign w:val="bottom"/>
            <w:hideMark/>
          </w:tcPr>
          <w:p w14:paraId="259EF004"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Otros Títulos de Deuda</w:t>
            </w:r>
          </w:p>
        </w:tc>
        <w:tc>
          <w:tcPr>
            <w:tcW w:w="411" w:type="pct"/>
            <w:tcBorders>
              <w:top w:val="nil"/>
              <w:left w:val="nil"/>
              <w:bottom w:val="nil"/>
              <w:right w:val="nil"/>
            </w:tcBorders>
            <w:shd w:val="clear" w:color="auto" w:fill="auto"/>
            <w:hideMark/>
          </w:tcPr>
          <w:p w14:paraId="5D6A9966"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D8BD6FD" w14:textId="30586D9A"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-34.988.353 </w:t>
            </w:r>
          </w:p>
        </w:tc>
        <w:tc>
          <w:tcPr>
            <w:tcW w:w="729" w:type="pct"/>
            <w:tcBorders>
              <w:top w:val="nil"/>
              <w:left w:val="nil"/>
              <w:bottom w:val="nil"/>
              <w:right w:val="nil"/>
            </w:tcBorders>
            <w:shd w:val="clear" w:color="auto" w:fill="auto"/>
            <w:vAlign w:val="bottom"/>
          </w:tcPr>
          <w:p w14:paraId="58C38831" w14:textId="3C8B5EE4" w:rsidR="008366C7" w:rsidRPr="00593C40" w:rsidRDefault="00D83EA0" w:rsidP="008366C7">
            <w:pPr>
              <w:ind w:left="432" w:hanging="432"/>
              <w:jc w:val="right"/>
              <w:rPr>
                <w:rFonts w:ascii="Arial" w:hAnsi="Arial" w:cs="Arial"/>
                <w:sz w:val="16"/>
                <w:szCs w:val="16"/>
                <w:lang w:eastAsia="es-AR"/>
              </w:rPr>
            </w:pPr>
            <w:r w:rsidRPr="00D83EA0">
              <w:rPr>
                <w:rFonts w:ascii="Arial" w:hAnsi="Arial" w:cs="Arial"/>
                <w:sz w:val="16"/>
                <w:szCs w:val="16"/>
                <w:lang w:eastAsia="es-AR"/>
              </w:rPr>
              <w:t>1.984.592</w:t>
            </w:r>
          </w:p>
        </w:tc>
      </w:tr>
      <w:tr w:rsidR="008366C7" w:rsidRPr="002D55D1" w14:paraId="4E9C150F" w14:textId="77777777" w:rsidTr="008366C7">
        <w:trPr>
          <w:trHeight w:val="285"/>
        </w:trPr>
        <w:tc>
          <w:tcPr>
            <w:tcW w:w="3257" w:type="pct"/>
            <w:tcBorders>
              <w:top w:val="nil"/>
              <w:left w:val="nil"/>
              <w:bottom w:val="nil"/>
              <w:right w:val="nil"/>
            </w:tcBorders>
            <w:shd w:val="clear" w:color="auto" w:fill="auto"/>
            <w:vAlign w:val="bottom"/>
            <w:hideMark/>
          </w:tcPr>
          <w:p w14:paraId="7807BF38"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Activos financieros entregados en garantía</w:t>
            </w:r>
          </w:p>
        </w:tc>
        <w:tc>
          <w:tcPr>
            <w:tcW w:w="411" w:type="pct"/>
            <w:tcBorders>
              <w:top w:val="nil"/>
              <w:left w:val="nil"/>
              <w:bottom w:val="nil"/>
              <w:right w:val="nil"/>
            </w:tcBorders>
            <w:shd w:val="clear" w:color="auto" w:fill="auto"/>
            <w:hideMark/>
          </w:tcPr>
          <w:p w14:paraId="5C3FB5C9"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32DD656" w14:textId="4B718429"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-302.098 </w:t>
            </w:r>
          </w:p>
        </w:tc>
        <w:tc>
          <w:tcPr>
            <w:tcW w:w="729" w:type="pct"/>
            <w:tcBorders>
              <w:top w:val="nil"/>
              <w:left w:val="nil"/>
              <w:bottom w:val="nil"/>
              <w:right w:val="nil"/>
            </w:tcBorders>
            <w:shd w:val="clear" w:color="auto" w:fill="auto"/>
            <w:vAlign w:val="bottom"/>
          </w:tcPr>
          <w:p w14:paraId="60844D73" w14:textId="6A7A55FB" w:rsidR="008366C7" w:rsidRPr="00593C40" w:rsidRDefault="00D83EA0" w:rsidP="008366C7">
            <w:pPr>
              <w:jc w:val="right"/>
              <w:rPr>
                <w:rFonts w:ascii="Arial" w:hAnsi="Arial" w:cs="Arial"/>
                <w:sz w:val="16"/>
                <w:szCs w:val="16"/>
                <w:lang w:eastAsia="es-AR"/>
              </w:rPr>
            </w:pPr>
            <w:r w:rsidRPr="00D83EA0">
              <w:rPr>
                <w:rFonts w:ascii="Arial" w:hAnsi="Arial" w:cs="Arial"/>
                <w:sz w:val="16"/>
                <w:szCs w:val="16"/>
                <w:lang w:eastAsia="es-AR"/>
              </w:rPr>
              <w:t>-3.916.687</w:t>
            </w:r>
          </w:p>
        </w:tc>
      </w:tr>
      <w:tr w:rsidR="008366C7" w:rsidRPr="002D55D1" w14:paraId="1E4FFF3C" w14:textId="77777777" w:rsidTr="008366C7">
        <w:trPr>
          <w:trHeight w:val="285"/>
        </w:trPr>
        <w:tc>
          <w:tcPr>
            <w:tcW w:w="3257" w:type="pct"/>
            <w:tcBorders>
              <w:top w:val="nil"/>
              <w:left w:val="nil"/>
              <w:bottom w:val="nil"/>
              <w:right w:val="nil"/>
            </w:tcBorders>
            <w:shd w:val="clear" w:color="auto" w:fill="auto"/>
            <w:vAlign w:val="bottom"/>
            <w:hideMark/>
          </w:tcPr>
          <w:p w14:paraId="54E0C9F3" w14:textId="77777777" w:rsidR="008366C7" w:rsidRPr="002D55D1" w:rsidRDefault="008366C7" w:rsidP="008366C7">
            <w:pPr>
              <w:rPr>
                <w:rFonts w:ascii="Arial" w:hAnsi="Arial" w:cs="Arial"/>
                <w:sz w:val="16"/>
                <w:szCs w:val="16"/>
                <w:lang w:eastAsia="es-AR"/>
              </w:rPr>
            </w:pPr>
            <w:r>
              <w:rPr>
                <w:rFonts w:ascii="Arial" w:hAnsi="Arial" w:cs="Arial"/>
                <w:sz w:val="16"/>
                <w:szCs w:val="16"/>
                <w:lang w:eastAsia="es-AR"/>
              </w:rPr>
              <w:t xml:space="preserve">   </w:t>
            </w:r>
            <w:r w:rsidRPr="002D55D1">
              <w:rPr>
                <w:rFonts w:ascii="Arial" w:hAnsi="Arial" w:cs="Arial"/>
                <w:sz w:val="16"/>
                <w:szCs w:val="16"/>
                <w:lang w:eastAsia="es-AR"/>
              </w:rPr>
              <w:t>Inversiones en Instrumentos de Patrimonio</w:t>
            </w:r>
          </w:p>
        </w:tc>
        <w:tc>
          <w:tcPr>
            <w:tcW w:w="411" w:type="pct"/>
            <w:tcBorders>
              <w:top w:val="nil"/>
              <w:left w:val="nil"/>
              <w:bottom w:val="nil"/>
              <w:right w:val="nil"/>
            </w:tcBorders>
            <w:shd w:val="clear" w:color="auto" w:fill="auto"/>
            <w:hideMark/>
          </w:tcPr>
          <w:p w14:paraId="4EB03F86"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A81E61F" w14:textId="5CE80337" w:rsidR="008366C7" w:rsidRPr="008366C7" w:rsidRDefault="008366C7" w:rsidP="008366C7">
            <w:pPr>
              <w:jc w:val="right"/>
              <w:rPr>
                <w:rFonts w:ascii="Arial" w:hAnsi="Arial" w:cs="Arial"/>
                <w:sz w:val="16"/>
                <w:szCs w:val="18"/>
                <w:lang w:eastAsia="es-AR"/>
              </w:rPr>
            </w:pPr>
            <w:r w:rsidRPr="008366C7">
              <w:rPr>
                <w:rFonts w:ascii="Arial" w:hAnsi="Arial" w:cs="Arial"/>
                <w:sz w:val="16"/>
                <w:szCs w:val="18"/>
              </w:rPr>
              <w:t xml:space="preserve"> 6.248 </w:t>
            </w:r>
          </w:p>
        </w:tc>
        <w:tc>
          <w:tcPr>
            <w:tcW w:w="729" w:type="pct"/>
            <w:tcBorders>
              <w:top w:val="nil"/>
              <w:left w:val="nil"/>
              <w:bottom w:val="nil"/>
              <w:right w:val="nil"/>
            </w:tcBorders>
            <w:shd w:val="clear" w:color="auto" w:fill="auto"/>
            <w:vAlign w:val="bottom"/>
          </w:tcPr>
          <w:p w14:paraId="4466296C" w14:textId="1108E3EC" w:rsidR="008366C7" w:rsidRPr="00593C40" w:rsidRDefault="00D83EA0" w:rsidP="008366C7">
            <w:pPr>
              <w:jc w:val="right"/>
              <w:rPr>
                <w:rFonts w:ascii="Arial" w:hAnsi="Arial" w:cs="Arial"/>
                <w:sz w:val="16"/>
                <w:szCs w:val="16"/>
                <w:lang w:eastAsia="es-AR"/>
              </w:rPr>
            </w:pPr>
            <w:r w:rsidRPr="00D83EA0">
              <w:rPr>
                <w:rFonts w:ascii="Arial" w:hAnsi="Arial" w:cs="Arial"/>
                <w:sz w:val="16"/>
                <w:szCs w:val="16"/>
                <w:lang w:eastAsia="es-AR"/>
              </w:rPr>
              <w:t>2.326</w:t>
            </w:r>
          </w:p>
        </w:tc>
      </w:tr>
      <w:tr w:rsidR="008366C7" w:rsidRPr="002D55D1" w14:paraId="6421FE19" w14:textId="77777777" w:rsidTr="008366C7">
        <w:trPr>
          <w:trHeight w:val="285"/>
        </w:trPr>
        <w:tc>
          <w:tcPr>
            <w:tcW w:w="3257" w:type="pct"/>
            <w:tcBorders>
              <w:top w:val="nil"/>
              <w:left w:val="nil"/>
              <w:bottom w:val="nil"/>
              <w:right w:val="nil"/>
            </w:tcBorders>
            <w:shd w:val="clear" w:color="auto" w:fill="auto"/>
            <w:vAlign w:val="bottom"/>
            <w:hideMark/>
          </w:tcPr>
          <w:p w14:paraId="7DFF62F5"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Otros activos</w:t>
            </w:r>
          </w:p>
        </w:tc>
        <w:tc>
          <w:tcPr>
            <w:tcW w:w="411" w:type="pct"/>
            <w:tcBorders>
              <w:top w:val="nil"/>
              <w:left w:val="nil"/>
              <w:bottom w:val="nil"/>
              <w:right w:val="nil"/>
            </w:tcBorders>
            <w:shd w:val="clear" w:color="auto" w:fill="auto"/>
            <w:hideMark/>
          </w:tcPr>
          <w:p w14:paraId="498439C1"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0A8788D" w14:textId="4BD04B84" w:rsidR="008366C7" w:rsidRPr="00593C40" w:rsidRDefault="008366C7" w:rsidP="008366C7">
            <w:pPr>
              <w:jc w:val="right"/>
              <w:rPr>
                <w:rFonts w:ascii="Arial" w:hAnsi="Arial" w:cs="Arial"/>
                <w:sz w:val="16"/>
                <w:szCs w:val="16"/>
                <w:lang w:eastAsia="es-AR"/>
              </w:rPr>
            </w:pPr>
            <w:r w:rsidRPr="00583EC8">
              <w:t xml:space="preserve"> </w:t>
            </w:r>
            <w:r w:rsidRPr="008366C7">
              <w:rPr>
                <w:rFonts w:ascii="Arial" w:hAnsi="Arial" w:cs="Arial"/>
                <w:sz w:val="16"/>
                <w:szCs w:val="18"/>
              </w:rPr>
              <w:t>4.108.875</w:t>
            </w:r>
            <w:r w:rsidRPr="00583EC8">
              <w:t xml:space="preserve"> </w:t>
            </w:r>
          </w:p>
        </w:tc>
        <w:tc>
          <w:tcPr>
            <w:tcW w:w="729" w:type="pct"/>
            <w:tcBorders>
              <w:top w:val="nil"/>
              <w:left w:val="nil"/>
              <w:bottom w:val="nil"/>
              <w:right w:val="nil"/>
            </w:tcBorders>
            <w:shd w:val="clear" w:color="auto" w:fill="auto"/>
            <w:vAlign w:val="bottom"/>
          </w:tcPr>
          <w:p w14:paraId="0A25B874" w14:textId="735E725B" w:rsidR="008366C7" w:rsidRPr="00593C40" w:rsidRDefault="00E72ECC" w:rsidP="008366C7">
            <w:pPr>
              <w:jc w:val="right"/>
              <w:rPr>
                <w:rFonts w:ascii="Arial" w:hAnsi="Arial" w:cs="Arial"/>
                <w:sz w:val="16"/>
                <w:szCs w:val="16"/>
                <w:lang w:eastAsia="es-AR"/>
              </w:rPr>
            </w:pPr>
            <w:r w:rsidRPr="00E72ECC">
              <w:rPr>
                <w:rFonts w:ascii="Arial" w:hAnsi="Arial" w:cs="Arial"/>
                <w:sz w:val="16"/>
                <w:szCs w:val="16"/>
                <w:lang w:eastAsia="es-AR"/>
              </w:rPr>
              <w:t>-1.668.719</w:t>
            </w:r>
          </w:p>
        </w:tc>
      </w:tr>
      <w:tr w:rsidR="002B72BA" w:rsidRPr="00593C40" w14:paraId="528A77B2" w14:textId="77777777" w:rsidTr="002E2271">
        <w:trPr>
          <w:trHeight w:val="134"/>
        </w:trPr>
        <w:tc>
          <w:tcPr>
            <w:tcW w:w="3257" w:type="pct"/>
            <w:tcBorders>
              <w:top w:val="nil"/>
              <w:left w:val="nil"/>
              <w:bottom w:val="nil"/>
              <w:right w:val="nil"/>
            </w:tcBorders>
            <w:shd w:val="clear" w:color="auto" w:fill="auto"/>
            <w:vAlign w:val="bottom"/>
            <w:hideMark/>
          </w:tcPr>
          <w:p w14:paraId="071DFB9F" w14:textId="77777777" w:rsidR="002B72BA" w:rsidRPr="00593C40" w:rsidRDefault="002B72BA" w:rsidP="002E2271">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244AC3E0"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63493C4B"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0B9AF3DF" w14:textId="77777777" w:rsidR="002B72BA" w:rsidRPr="00593C40" w:rsidRDefault="002B72BA" w:rsidP="00F30A15">
            <w:pPr>
              <w:jc w:val="right"/>
              <w:rPr>
                <w:rFonts w:ascii="Arial" w:hAnsi="Arial" w:cs="Arial"/>
                <w:sz w:val="10"/>
                <w:szCs w:val="10"/>
                <w:lang w:eastAsia="es-AR"/>
              </w:rPr>
            </w:pPr>
          </w:p>
        </w:tc>
      </w:tr>
      <w:tr w:rsidR="002B72BA" w:rsidRPr="002D55D1" w14:paraId="5B0B37FE" w14:textId="77777777" w:rsidTr="002E2271">
        <w:trPr>
          <w:trHeight w:val="277"/>
        </w:trPr>
        <w:tc>
          <w:tcPr>
            <w:tcW w:w="3257" w:type="pct"/>
            <w:tcBorders>
              <w:top w:val="nil"/>
              <w:left w:val="nil"/>
              <w:bottom w:val="nil"/>
              <w:right w:val="nil"/>
            </w:tcBorders>
            <w:shd w:val="clear" w:color="auto" w:fill="auto"/>
            <w:vAlign w:val="bottom"/>
            <w:hideMark/>
          </w:tcPr>
          <w:p w14:paraId="251EBEA8" w14:textId="447F8D69" w:rsidR="002B72BA" w:rsidRPr="002D55D1" w:rsidRDefault="002B72BA" w:rsidP="002E2271">
            <w:pPr>
              <w:rPr>
                <w:rFonts w:ascii="Arial" w:hAnsi="Arial" w:cs="Arial"/>
                <w:b/>
                <w:bCs/>
                <w:sz w:val="16"/>
                <w:szCs w:val="16"/>
                <w:lang w:eastAsia="es-AR"/>
              </w:rPr>
            </w:pPr>
            <w:r w:rsidRPr="002D55D1">
              <w:rPr>
                <w:rFonts w:ascii="Arial" w:hAnsi="Arial" w:cs="Arial"/>
                <w:b/>
                <w:bCs/>
                <w:sz w:val="16"/>
                <w:szCs w:val="16"/>
                <w:lang w:eastAsia="es-AR"/>
              </w:rPr>
              <w:t>Aumentos / disminuciones netas proveniente</w:t>
            </w:r>
            <w:r w:rsidR="00B05BE2">
              <w:rPr>
                <w:rFonts w:ascii="Arial" w:hAnsi="Arial" w:cs="Arial"/>
                <w:b/>
                <w:bCs/>
                <w:sz w:val="16"/>
                <w:szCs w:val="16"/>
                <w:lang w:eastAsia="es-AR"/>
              </w:rPr>
              <w:t>s</w:t>
            </w:r>
            <w:r w:rsidRPr="002D55D1">
              <w:rPr>
                <w:rFonts w:ascii="Arial" w:hAnsi="Arial" w:cs="Arial"/>
                <w:b/>
                <w:bCs/>
                <w:sz w:val="16"/>
                <w:szCs w:val="16"/>
                <w:lang w:eastAsia="es-AR"/>
              </w:rPr>
              <w:t xml:space="preserve"> de pasivos operativos:</w:t>
            </w:r>
          </w:p>
        </w:tc>
        <w:tc>
          <w:tcPr>
            <w:tcW w:w="411" w:type="pct"/>
            <w:tcBorders>
              <w:top w:val="nil"/>
              <w:left w:val="nil"/>
              <w:bottom w:val="nil"/>
              <w:right w:val="nil"/>
            </w:tcBorders>
            <w:shd w:val="clear" w:color="auto" w:fill="auto"/>
            <w:hideMark/>
          </w:tcPr>
          <w:p w14:paraId="27850874"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35A20051"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22F2E36B" w14:textId="77777777" w:rsidR="002B72BA" w:rsidRPr="00593C40" w:rsidRDefault="002B72BA" w:rsidP="00F30A15">
            <w:pPr>
              <w:jc w:val="right"/>
              <w:rPr>
                <w:rFonts w:ascii="Arial" w:hAnsi="Arial" w:cs="Arial"/>
                <w:sz w:val="16"/>
                <w:szCs w:val="16"/>
                <w:lang w:eastAsia="es-AR"/>
              </w:rPr>
            </w:pPr>
          </w:p>
        </w:tc>
      </w:tr>
      <w:tr w:rsidR="008366C7" w:rsidRPr="002D55D1" w14:paraId="68B20E99" w14:textId="77777777" w:rsidTr="008366C7">
        <w:trPr>
          <w:trHeight w:val="285"/>
        </w:trPr>
        <w:tc>
          <w:tcPr>
            <w:tcW w:w="3257" w:type="pct"/>
            <w:tcBorders>
              <w:top w:val="nil"/>
              <w:left w:val="nil"/>
              <w:bottom w:val="nil"/>
              <w:right w:val="nil"/>
            </w:tcBorders>
            <w:shd w:val="clear" w:color="auto" w:fill="auto"/>
            <w:vAlign w:val="bottom"/>
            <w:hideMark/>
          </w:tcPr>
          <w:p w14:paraId="586FE6FC" w14:textId="77777777" w:rsidR="008366C7" w:rsidRPr="002D55D1" w:rsidRDefault="008366C7" w:rsidP="008366C7">
            <w:pPr>
              <w:ind w:firstLineChars="100" w:firstLine="160"/>
              <w:rPr>
                <w:rFonts w:ascii="Arial" w:hAnsi="Arial" w:cs="Arial"/>
                <w:sz w:val="16"/>
                <w:szCs w:val="16"/>
                <w:lang w:eastAsia="es-AR"/>
              </w:rPr>
            </w:pPr>
            <w:r w:rsidRPr="002D55D1">
              <w:rPr>
                <w:rFonts w:ascii="Arial" w:hAnsi="Arial" w:cs="Arial"/>
                <w:sz w:val="16"/>
                <w:szCs w:val="16"/>
                <w:lang w:eastAsia="es-AR"/>
              </w:rPr>
              <w:t>Depósitos</w:t>
            </w:r>
          </w:p>
        </w:tc>
        <w:tc>
          <w:tcPr>
            <w:tcW w:w="411" w:type="pct"/>
            <w:tcBorders>
              <w:top w:val="nil"/>
              <w:left w:val="nil"/>
              <w:bottom w:val="nil"/>
              <w:right w:val="nil"/>
            </w:tcBorders>
            <w:shd w:val="clear" w:color="auto" w:fill="auto"/>
            <w:hideMark/>
          </w:tcPr>
          <w:p w14:paraId="57FD37F9" w14:textId="77777777" w:rsidR="008366C7" w:rsidRPr="002D55D1" w:rsidRDefault="008366C7" w:rsidP="008366C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85930E9" w14:textId="6CFDCDCE" w:rsidR="008366C7" w:rsidRPr="008366C7" w:rsidRDefault="008366C7" w:rsidP="008366C7">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00B6323D" w14:textId="5FCD3B44" w:rsidR="008366C7" w:rsidRPr="00593C40" w:rsidRDefault="008366C7" w:rsidP="008366C7">
            <w:pPr>
              <w:jc w:val="right"/>
              <w:rPr>
                <w:rFonts w:ascii="Arial" w:hAnsi="Arial" w:cs="Arial"/>
                <w:sz w:val="16"/>
                <w:szCs w:val="16"/>
                <w:lang w:eastAsia="es-AR"/>
              </w:rPr>
            </w:pPr>
          </w:p>
        </w:tc>
      </w:tr>
      <w:tr w:rsidR="00437A5C" w:rsidRPr="002D55D1" w14:paraId="68DC52BE" w14:textId="77777777" w:rsidTr="008366C7">
        <w:trPr>
          <w:trHeight w:val="285"/>
        </w:trPr>
        <w:tc>
          <w:tcPr>
            <w:tcW w:w="3257" w:type="pct"/>
            <w:tcBorders>
              <w:top w:val="nil"/>
              <w:left w:val="nil"/>
              <w:bottom w:val="nil"/>
              <w:right w:val="nil"/>
            </w:tcBorders>
            <w:shd w:val="clear" w:color="auto" w:fill="auto"/>
            <w:vAlign w:val="bottom"/>
            <w:hideMark/>
          </w:tcPr>
          <w:p w14:paraId="11E6E585" w14:textId="77777777" w:rsidR="00437A5C" w:rsidRPr="002D55D1" w:rsidRDefault="00437A5C" w:rsidP="00437A5C">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61FFC767" w14:textId="77777777" w:rsidR="00437A5C" w:rsidRPr="002D55D1" w:rsidRDefault="00437A5C" w:rsidP="00437A5C">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C919B14" w14:textId="5F677B0A" w:rsidR="00437A5C" w:rsidRPr="008366C7" w:rsidRDefault="00437A5C" w:rsidP="00437A5C">
            <w:pPr>
              <w:jc w:val="right"/>
              <w:rPr>
                <w:rFonts w:ascii="Arial" w:hAnsi="Arial" w:cs="Arial"/>
                <w:sz w:val="16"/>
                <w:szCs w:val="16"/>
                <w:lang w:eastAsia="es-AR"/>
              </w:rPr>
            </w:pPr>
            <w:r>
              <w:rPr>
                <w:rFonts w:ascii="Arial" w:hAnsi="Arial" w:cs="Arial"/>
                <w:sz w:val="16"/>
                <w:szCs w:val="16"/>
              </w:rPr>
              <w:t>-375.736</w:t>
            </w:r>
            <w:r w:rsidRPr="008366C7">
              <w:rPr>
                <w:rFonts w:ascii="Arial" w:hAnsi="Arial" w:cs="Arial"/>
                <w:sz w:val="16"/>
                <w:szCs w:val="16"/>
              </w:rPr>
              <w:t xml:space="preserve"> </w:t>
            </w:r>
          </w:p>
        </w:tc>
        <w:tc>
          <w:tcPr>
            <w:tcW w:w="729" w:type="pct"/>
            <w:tcBorders>
              <w:top w:val="nil"/>
              <w:left w:val="nil"/>
              <w:bottom w:val="nil"/>
              <w:right w:val="nil"/>
            </w:tcBorders>
            <w:shd w:val="clear" w:color="auto" w:fill="auto"/>
            <w:vAlign w:val="bottom"/>
          </w:tcPr>
          <w:p w14:paraId="68F70DE1" w14:textId="1FE81895" w:rsidR="00437A5C" w:rsidRPr="00593C40" w:rsidRDefault="00437A5C" w:rsidP="00437A5C">
            <w:pPr>
              <w:jc w:val="right"/>
              <w:rPr>
                <w:rFonts w:ascii="Arial" w:hAnsi="Arial" w:cs="Arial"/>
                <w:sz w:val="16"/>
                <w:szCs w:val="16"/>
                <w:lang w:eastAsia="es-AR"/>
              </w:rPr>
            </w:pPr>
            <w:r w:rsidRPr="00D83EA0">
              <w:rPr>
                <w:rFonts w:ascii="Arial" w:hAnsi="Arial" w:cs="Arial"/>
                <w:sz w:val="16"/>
                <w:szCs w:val="16"/>
                <w:lang w:eastAsia="es-AR"/>
              </w:rPr>
              <w:t>-1.821.340</w:t>
            </w:r>
          </w:p>
        </w:tc>
      </w:tr>
      <w:tr w:rsidR="00437A5C" w:rsidRPr="002D55D1" w14:paraId="50342CD2" w14:textId="77777777" w:rsidTr="008366C7">
        <w:trPr>
          <w:trHeight w:val="285"/>
        </w:trPr>
        <w:tc>
          <w:tcPr>
            <w:tcW w:w="3257" w:type="pct"/>
            <w:tcBorders>
              <w:top w:val="nil"/>
              <w:left w:val="nil"/>
              <w:bottom w:val="nil"/>
              <w:right w:val="nil"/>
            </w:tcBorders>
            <w:shd w:val="clear" w:color="auto" w:fill="auto"/>
            <w:vAlign w:val="bottom"/>
            <w:hideMark/>
          </w:tcPr>
          <w:p w14:paraId="675F3357" w14:textId="77777777" w:rsidR="00437A5C" w:rsidRPr="002D55D1" w:rsidRDefault="00437A5C" w:rsidP="00437A5C">
            <w:pPr>
              <w:ind w:firstLineChars="200" w:firstLine="320"/>
              <w:rPr>
                <w:rFonts w:ascii="Arial" w:hAnsi="Arial" w:cs="Arial"/>
                <w:sz w:val="16"/>
                <w:szCs w:val="16"/>
                <w:lang w:eastAsia="es-AR"/>
              </w:rPr>
            </w:pPr>
            <w:r w:rsidRPr="002D55D1">
              <w:rPr>
                <w:rFonts w:ascii="Arial" w:hAnsi="Arial" w:cs="Arial"/>
                <w:sz w:val="16"/>
                <w:szCs w:val="16"/>
                <w:lang w:eastAsia="es-AR"/>
              </w:rPr>
              <w:t>Sector Financiero</w:t>
            </w:r>
          </w:p>
        </w:tc>
        <w:tc>
          <w:tcPr>
            <w:tcW w:w="411" w:type="pct"/>
            <w:tcBorders>
              <w:top w:val="nil"/>
              <w:left w:val="nil"/>
              <w:bottom w:val="nil"/>
              <w:right w:val="nil"/>
            </w:tcBorders>
            <w:shd w:val="clear" w:color="auto" w:fill="auto"/>
            <w:hideMark/>
          </w:tcPr>
          <w:p w14:paraId="4A417529" w14:textId="77777777" w:rsidR="00437A5C" w:rsidRPr="002D55D1" w:rsidRDefault="00437A5C" w:rsidP="00437A5C">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4C387698" w14:textId="2603DFD3" w:rsidR="00437A5C" w:rsidRPr="008366C7" w:rsidRDefault="00437A5C" w:rsidP="00437A5C">
            <w:pPr>
              <w:jc w:val="right"/>
              <w:rPr>
                <w:rFonts w:ascii="Arial" w:hAnsi="Arial" w:cs="Arial"/>
                <w:sz w:val="16"/>
                <w:szCs w:val="16"/>
                <w:lang w:eastAsia="es-AR"/>
              </w:rPr>
            </w:pPr>
            <w:r w:rsidRPr="008366C7">
              <w:rPr>
                <w:rFonts w:ascii="Arial" w:hAnsi="Arial" w:cs="Arial"/>
                <w:sz w:val="16"/>
                <w:szCs w:val="16"/>
              </w:rPr>
              <w:t xml:space="preserve"> </w:t>
            </w:r>
            <w:r w:rsidRPr="00437A5C">
              <w:rPr>
                <w:rFonts w:ascii="Arial" w:hAnsi="Arial" w:cs="Arial"/>
                <w:sz w:val="16"/>
                <w:szCs w:val="16"/>
              </w:rPr>
              <w:t>21.368</w:t>
            </w:r>
          </w:p>
        </w:tc>
        <w:tc>
          <w:tcPr>
            <w:tcW w:w="729" w:type="pct"/>
            <w:tcBorders>
              <w:top w:val="nil"/>
              <w:left w:val="nil"/>
              <w:bottom w:val="nil"/>
              <w:right w:val="nil"/>
            </w:tcBorders>
            <w:shd w:val="clear" w:color="auto" w:fill="auto"/>
            <w:vAlign w:val="bottom"/>
          </w:tcPr>
          <w:p w14:paraId="2D2A70BF" w14:textId="7DAE775E" w:rsidR="00437A5C" w:rsidRPr="00593C40" w:rsidRDefault="00437A5C" w:rsidP="00437A5C">
            <w:pPr>
              <w:jc w:val="right"/>
              <w:rPr>
                <w:rFonts w:ascii="Arial" w:hAnsi="Arial" w:cs="Arial"/>
                <w:sz w:val="16"/>
                <w:szCs w:val="16"/>
                <w:lang w:eastAsia="es-AR"/>
              </w:rPr>
            </w:pPr>
            <w:r w:rsidRPr="00D83EA0">
              <w:rPr>
                <w:rFonts w:ascii="Arial" w:hAnsi="Arial" w:cs="Arial"/>
                <w:sz w:val="16"/>
                <w:szCs w:val="16"/>
                <w:lang w:eastAsia="es-AR"/>
              </w:rPr>
              <w:t>78.565</w:t>
            </w:r>
          </w:p>
        </w:tc>
      </w:tr>
      <w:tr w:rsidR="00437A5C" w:rsidRPr="002D55D1" w14:paraId="2CCBAD1A" w14:textId="77777777" w:rsidTr="008366C7">
        <w:trPr>
          <w:trHeight w:val="285"/>
        </w:trPr>
        <w:tc>
          <w:tcPr>
            <w:tcW w:w="3257" w:type="pct"/>
            <w:tcBorders>
              <w:top w:val="nil"/>
              <w:left w:val="nil"/>
              <w:right w:val="nil"/>
            </w:tcBorders>
            <w:shd w:val="clear" w:color="auto" w:fill="auto"/>
            <w:vAlign w:val="bottom"/>
            <w:hideMark/>
          </w:tcPr>
          <w:p w14:paraId="7CA86188" w14:textId="77777777" w:rsidR="00437A5C" w:rsidRPr="002D55D1" w:rsidRDefault="00437A5C" w:rsidP="00437A5C">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right w:val="nil"/>
            </w:tcBorders>
            <w:shd w:val="clear" w:color="auto" w:fill="auto"/>
            <w:hideMark/>
          </w:tcPr>
          <w:p w14:paraId="62B2982A" w14:textId="77777777" w:rsidR="00437A5C" w:rsidRPr="002D55D1" w:rsidRDefault="00437A5C" w:rsidP="00437A5C">
            <w:pPr>
              <w:ind w:firstLineChars="200" w:firstLine="320"/>
              <w:rPr>
                <w:rFonts w:ascii="Arial" w:hAnsi="Arial" w:cs="Arial"/>
                <w:sz w:val="16"/>
                <w:szCs w:val="16"/>
                <w:lang w:eastAsia="es-AR"/>
              </w:rPr>
            </w:pPr>
          </w:p>
        </w:tc>
        <w:tc>
          <w:tcPr>
            <w:tcW w:w="603" w:type="pct"/>
            <w:tcBorders>
              <w:top w:val="nil"/>
              <w:left w:val="nil"/>
              <w:right w:val="nil"/>
            </w:tcBorders>
            <w:shd w:val="clear" w:color="auto" w:fill="auto"/>
            <w:vAlign w:val="bottom"/>
          </w:tcPr>
          <w:p w14:paraId="7884638A" w14:textId="2926498F" w:rsidR="00437A5C" w:rsidRPr="008366C7" w:rsidRDefault="00437A5C" w:rsidP="00437A5C">
            <w:pPr>
              <w:jc w:val="right"/>
              <w:rPr>
                <w:rFonts w:ascii="Arial" w:hAnsi="Arial" w:cs="Arial"/>
                <w:sz w:val="16"/>
                <w:szCs w:val="16"/>
                <w:lang w:eastAsia="es-AR"/>
              </w:rPr>
            </w:pPr>
            <w:r w:rsidRPr="00437A5C">
              <w:rPr>
                <w:rFonts w:ascii="Arial" w:hAnsi="Arial" w:cs="Arial"/>
                <w:sz w:val="16"/>
                <w:szCs w:val="16"/>
              </w:rPr>
              <w:t>38.393.204</w:t>
            </w:r>
          </w:p>
        </w:tc>
        <w:tc>
          <w:tcPr>
            <w:tcW w:w="729" w:type="pct"/>
            <w:tcBorders>
              <w:top w:val="nil"/>
              <w:left w:val="nil"/>
              <w:right w:val="nil"/>
            </w:tcBorders>
            <w:shd w:val="clear" w:color="auto" w:fill="auto"/>
            <w:vAlign w:val="bottom"/>
          </w:tcPr>
          <w:p w14:paraId="09EB8EA3" w14:textId="3CE0C8E4" w:rsidR="00437A5C" w:rsidRPr="00593C40" w:rsidRDefault="00437A5C" w:rsidP="00437A5C">
            <w:pPr>
              <w:jc w:val="right"/>
              <w:rPr>
                <w:rFonts w:ascii="Arial" w:hAnsi="Arial" w:cs="Arial"/>
                <w:sz w:val="16"/>
                <w:szCs w:val="16"/>
                <w:lang w:eastAsia="es-AR"/>
              </w:rPr>
            </w:pPr>
            <w:r w:rsidRPr="00D83EA0">
              <w:rPr>
                <w:rFonts w:ascii="Arial" w:hAnsi="Arial" w:cs="Arial"/>
                <w:sz w:val="16"/>
                <w:szCs w:val="16"/>
                <w:lang w:eastAsia="es-AR"/>
              </w:rPr>
              <w:t>6.236.537</w:t>
            </w:r>
          </w:p>
        </w:tc>
      </w:tr>
      <w:tr w:rsidR="00437A5C" w:rsidRPr="002D55D1" w14:paraId="5A4A9ED8" w14:textId="77777777" w:rsidTr="008366C7">
        <w:trPr>
          <w:trHeight w:val="285"/>
        </w:trPr>
        <w:tc>
          <w:tcPr>
            <w:tcW w:w="3257" w:type="pct"/>
            <w:tcBorders>
              <w:top w:val="nil"/>
              <w:left w:val="nil"/>
              <w:right w:val="nil"/>
            </w:tcBorders>
            <w:shd w:val="clear" w:color="auto" w:fill="auto"/>
            <w:vAlign w:val="bottom"/>
            <w:hideMark/>
          </w:tcPr>
          <w:p w14:paraId="1CBC8687" w14:textId="77777777" w:rsidR="00437A5C" w:rsidRPr="002D55D1" w:rsidRDefault="00437A5C" w:rsidP="00437A5C">
            <w:pPr>
              <w:ind w:firstLineChars="100" w:firstLine="160"/>
              <w:rPr>
                <w:rFonts w:ascii="Arial" w:hAnsi="Arial" w:cs="Arial"/>
                <w:sz w:val="16"/>
                <w:szCs w:val="16"/>
                <w:lang w:eastAsia="es-AR"/>
              </w:rPr>
            </w:pPr>
            <w:r w:rsidRPr="002D55D1">
              <w:rPr>
                <w:rFonts w:ascii="Arial" w:hAnsi="Arial" w:cs="Arial"/>
                <w:sz w:val="16"/>
                <w:szCs w:val="16"/>
                <w:lang w:eastAsia="es-AR"/>
              </w:rPr>
              <w:t>Pasivos a valor razonable con cambios en resultados</w:t>
            </w:r>
          </w:p>
        </w:tc>
        <w:tc>
          <w:tcPr>
            <w:tcW w:w="411" w:type="pct"/>
            <w:tcBorders>
              <w:top w:val="nil"/>
              <w:left w:val="nil"/>
              <w:right w:val="nil"/>
            </w:tcBorders>
            <w:shd w:val="clear" w:color="auto" w:fill="auto"/>
            <w:hideMark/>
          </w:tcPr>
          <w:p w14:paraId="0781B8D8" w14:textId="77777777" w:rsidR="00437A5C" w:rsidRPr="002D55D1" w:rsidRDefault="00437A5C" w:rsidP="00437A5C">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169CFB1B" w14:textId="1687B9C8" w:rsidR="00437A5C" w:rsidRPr="008366C7" w:rsidRDefault="00437A5C" w:rsidP="00437A5C">
            <w:pPr>
              <w:jc w:val="right"/>
              <w:rPr>
                <w:rFonts w:ascii="Arial" w:hAnsi="Arial" w:cs="Arial"/>
                <w:sz w:val="16"/>
                <w:szCs w:val="16"/>
                <w:lang w:eastAsia="es-AR"/>
              </w:rPr>
            </w:pPr>
            <w:r w:rsidRPr="00437A5C">
              <w:rPr>
                <w:rFonts w:ascii="Arial" w:hAnsi="Arial" w:cs="Arial"/>
                <w:sz w:val="16"/>
                <w:szCs w:val="16"/>
              </w:rPr>
              <w:t>222.039</w:t>
            </w:r>
          </w:p>
        </w:tc>
        <w:tc>
          <w:tcPr>
            <w:tcW w:w="729" w:type="pct"/>
            <w:tcBorders>
              <w:top w:val="nil"/>
              <w:left w:val="nil"/>
              <w:right w:val="nil"/>
            </w:tcBorders>
            <w:shd w:val="clear" w:color="auto" w:fill="auto"/>
            <w:vAlign w:val="bottom"/>
          </w:tcPr>
          <w:p w14:paraId="1F59FCF9" w14:textId="6FEEF729" w:rsidR="00437A5C" w:rsidRPr="00593C40" w:rsidRDefault="00437A5C" w:rsidP="00437A5C">
            <w:pPr>
              <w:jc w:val="right"/>
              <w:rPr>
                <w:rFonts w:ascii="Arial" w:hAnsi="Arial" w:cs="Arial"/>
                <w:sz w:val="16"/>
                <w:szCs w:val="16"/>
                <w:lang w:eastAsia="es-AR"/>
              </w:rPr>
            </w:pPr>
            <w:r w:rsidRPr="00D83EA0">
              <w:rPr>
                <w:rFonts w:ascii="Arial" w:hAnsi="Arial" w:cs="Arial"/>
                <w:sz w:val="16"/>
                <w:szCs w:val="16"/>
                <w:lang w:eastAsia="es-AR"/>
              </w:rPr>
              <w:t>664.305</w:t>
            </w:r>
          </w:p>
        </w:tc>
      </w:tr>
      <w:tr w:rsidR="002B72BA" w:rsidRPr="002D55D1" w14:paraId="0106BBA7" w14:textId="77777777" w:rsidTr="00F30A15">
        <w:trPr>
          <w:trHeight w:val="285"/>
        </w:trPr>
        <w:tc>
          <w:tcPr>
            <w:tcW w:w="3257" w:type="pct"/>
            <w:tcBorders>
              <w:top w:val="nil"/>
              <w:left w:val="nil"/>
              <w:right w:val="nil"/>
            </w:tcBorders>
            <w:shd w:val="clear" w:color="auto" w:fill="auto"/>
          </w:tcPr>
          <w:p w14:paraId="7BBC9BC2" w14:textId="77777777" w:rsidR="002B72BA" w:rsidRPr="002D55D1" w:rsidRDefault="002B72BA" w:rsidP="00F30A15">
            <w:pPr>
              <w:ind w:firstLineChars="100" w:firstLine="160"/>
              <w:rPr>
                <w:rFonts w:ascii="Arial" w:hAnsi="Arial" w:cs="Arial"/>
                <w:sz w:val="16"/>
                <w:szCs w:val="16"/>
                <w:lang w:eastAsia="es-AR"/>
              </w:rPr>
            </w:pPr>
          </w:p>
        </w:tc>
        <w:tc>
          <w:tcPr>
            <w:tcW w:w="411" w:type="pct"/>
            <w:tcBorders>
              <w:top w:val="nil"/>
              <w:left w:val="nil"/>
              <w:right w:val="nil"/>
            </w:tcBorders>
            <w:shd w:val="clear" w:color="auto" w:fill="auto"/>
          </w:tcPr>
          <w:p w14:paraId="0DB052C6"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40641B9E" w14:textId="77777777" w:rsidR="002B72BA" w:rsidRPr="006F757F" w:rsidRDefault="002B72BA" w:rsidP="00F30A15">
            <w:pPr>
              <w:jc w:val="right"/>
              <w:rPr>
                <w:rFonts w:ascii="Arial" w:hAnsi="Arial" w:cs="Arial"/>
                <w:sz w:val="16"/>
                <w:szCs w:val="16"/>
                <w:lang w:eastAsia="es-AR"/>
              </w:rPr>
            </w:pPr>
          </w:p>
        </w:tc>
        <w:tc>
          <w:tcPr>
            <w:tcW w:w="729" w:type="pct"/>
            <w:tcBorders>
              <w:top w:val="nil"/>
              <w:left w:val="nil"/>
              <w:right w:val="nil"/>
            </w:tcBorders>
            <w:shd w:val="clear" w:color="auto" w:fill="auto"/>
            <w:vAlign w:val="bottom"/>
          </w:tcPr>
          <w:p w14:paraId="5B84643F" w14:textId="77777777" w:rsidR="002B72BA" w:rsidRPr="00593C40" w:rsidRDefault="002B72BA" w:rsidP="00F30A15">
            <w:pPr>
              <w:jc w:val="right"/>
              <w:rPr>
                <w:rFonts w:ascii="Arial" w:hAnsi="Arial" w:cs="Arial"/>
                <w:sz w:val="16"/>
                <w:szCs w:val="16"/>
                <w:lang w:eastAsia="es-AR"/>
              </w:rPr>
            </w:pPr>
          </w:p>
        </w:tc>
      </w:tr>
      <w:tr w:rsidR="002B72BA" w:rsidRPr="002D55D1" w14:paraId="37EF5B59" w14:textId="77777777" w:rsidTr="00F30A15">
        <w:trPr>
          <w:trHeight w:val="285"/>
        </w:trPr>
        <w:tc>
          <w:tcPr>
            <w:tcW w:w="3257" w:type="pct"/>
            <w:tcBorders>
              <w:top w:val="nil"/>
              <w:left w:val="nil"/>
              <w:right w:val="nil"/>
            </w:tcBorders>
            <w:shd w:val="clear" w:color="auto" w:fill="auto"/>
          </w:tcPr>
          <w:p w14:paraId="63F7EEBE" w14:textId="77777777" w:rsidR="002B72BA" w:rsidRPr="002D55D1" w:rsidRDefault="002B72BA" w:rsidP="00F30A15">
            <w:pPr>
              <w:ind w:firstLineChars="100" w:firstLine="160"/>
              <w:rPr>
                <w:rFonts w:ascii="Arial" w:hAnsi="Arial" w:cs="Arial"/>
                <w:sz w:val="16"/>
                <w:szCs w:val="16"/>
                <w:lang w:eastAsia="es-AR"/>
              </w:rPr>
            </w:pPr>
          </w:p>
        </w:tc>
        <w:tc>
          <w:tcPr>
            <w:tcW w:w="411" w:type="pct"/>
            <w:tcBorders>
              <w:top w:val="nil"/>
              <w:left w:val="nil"/>
              <w:right w:val="nil"/>
            </w:tcBorders>
            <w:shd w:val="clear" w:color="auto" w:fill="auto"/>
          </w:tcPr>
          <w:p w14:paraId="398EE4BD"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39E9E7D9" w14:textId="77777777" w:rsidR="002B72BA" w:rsidRPr="006F757F" w:rsidRDefault="002B72BA" w:rsidP="00F30A15">
            <w:pPr>
              <w:jc w:val="right"/>
              <w:rPr>
                <w:rFonts w:ascii="Arial" w:hAnsi="Arial" w:cs="Arial"/>
                <w:sz w:val="16"/>
                <w:szCs w:val="16"/>
                <w:lang w:eastAsia="es-AR"/>
              </w:rPr>
            </w:pPr>
          </w:p>
        </w:tc>
        <w:tc>
          <w:tcPr>
            <w:tcW w:w="729" w:type="pct"/>
            <w:tcBorders>
              <w:top w:val="nil"/>
              <w:left w:val="nil"/>
              <w:right w:val="nil"/>
            </w:tcBorders>
            <w:shd w:val="clear" w:color="auto" w:fill="auto"/>
            <w:vAlign w:val="bottom"/>
          </w:tcPr>
          <w:p w14:paraId="5D704AB8" w14:textId="77777777" w:rsidR="002B72BA" w:rsidRPr="00593C40" w:rsidRDefault="002B72BA" w:rsidP="00F30A15">
            <w:pPr>
              <w:jc w:val="right"/>
              <w:rPr>
                <w:rFonts w:ascii="Arial" w:hAnsi="Arial" w:cs="Arial"/>
                <w:sz w:val="16"/>
                <w:szCs w:val="16"/>
                <w:lang w:eastAsia="es-AR"/>
              </w:rPr>
            </w:pPr>
          </w:p>
        </w:tc>
      </w:tr>
      <w:tr w:rsidR="002B72BA" w:rsidRPr="006D010A" w14:paraId="78FDABAE" w14:textId="77777777" w:rsidTr="00424FCE">
        <w:trPr>
          <w:trHeight w:val="285"/>
        </w:trPr>
        <w:tc>
          <w:tcPr>
            <w:tcW w:w="3257" w:type="pct"/>
            <w:tcBorders>
              <w:top w:val="nil"/>
              <w:left w:val="nil"/>
              <w:bottom w:val="single" w:sz="4" w:space="0" w:color="auto"/>
              <w:right w:val="nil"/>
            </w:tcBorders>
            <w:shd w:val="clear" w:color="auto" w:fill="auto"/>
          </w:tcPr>
          <w:p w14:paraId="6A544B5D" w14:textId="77777777" w:rsidR="002B72BA" w:rsidRPr="00424FCE" w:rsidRDefault="002B72BA" w:rsidP="00F30A15">
            <w:pPr>
              <w:ind w:firstLineChars="100" w:firstLine="100"/>
              <w:rPr>
                <w:rFonts w:ascii="Arial" w:hAnsi="Arial" w:cs="Arial"/>
                <w:sz w:val="10"/>
                <w:szCs w:val="10"/>
                <w:lang w:eastAsia="es-AR"/>
              </w:rPr>
            </w:pPr>
          </w:p>
        </w:tc>
        <w:tc>
          <w:tcPr>
            <w:tcW w:w="411" w:type="pct"/>
            <w:tcBorders>
              <w:top w:val="nil"/>
              <w:left w:val="nil"/>
              <w:bottom w:val="single" w:sz="4" w:space="0" w:color="auto"/>
              <w:right w:val="nil"/>
            </w:tcBorders>
            <w:shd w:val="clear" w:color="auto" w:fill="auto"/>
          </w:tcPr>
          <w:p w14:paraId="3EDC2805" w14:textId="77777777" w:rsidR="002B72BA" w:rsidRPr="00424FCE" w:rsidRDefault="002B72BA" w:rsidP="00F30A15">
            <w:pPr>
              <w:ind w:firstLineChars="100" w:firstLine="100"/>
              <w:rPr>
                <w:rFonts w:ascii="Arial" w:hAnsi="Arial" w:cs="Arial"/>
                <w:sz w:val="10"/>
                <w:szCs w:val="10"/>
                <w:lang w:eastAsia="es-AR"/>
              </w:rPr>
            </w:pPr>
          </w:p>
        </w:tc>
        <w:tc>
          <w:tcPr>
            <w:tcW w:w="603" w:type="pct"/>
            <w:tcBorders>
              <w:top w:val="nil"/>
              <w:left w:val="nil"/>
              <w:bottom w:val="single" w:sz="4" w:space="0" w:color="auto"/>
              <w:right w:val="nil"/>
            </w:tcBorders>
            <w:shd w:val="clear" w:color="auto" w:fill="auto"/>
            <w:vAlign w:val="bottom"/>
          </w:tcPr>
          <w:p w14:paraId="1EF81D9D" w14:textId="77777777" w:rsidR="002B72BA" w:rsidRPr="00424FCE" w:rsidRDefault="002B72BA" w:rsidP="00F30A15">
            <w:pPr>
              <w:jc w:val="right"/>
              <w:rPr>
                <w:rFonts w:ascii="Arial" w:hAnsi="Arial" w:cs="Arial"/>
                <w:sz w:val="10"/>
                <w:szCs w:val="10"/>
                <w:lang w:eastAsia="es-AR"/>
              </w:rPr>
            </w:pPr>
          </w:p>
        </w:tc>
        <w:tc>
          <w:tcPr>
            <w:tcW w:w="729" w:type="pct"/>
            <w:tcBorders>
              <w:top w:val="nil"/>
              <w:left w:val="nil"/>
              <w:bottom w:val="single" w:sz="4" w:space="0" w:color="auto"/>
              <w:right w:val="nil"/>
            </w:tcBorders>
            <w:shd w:val="clear" w:color="auto" w:fill="auto"/>
            <w:vAlign w:val="bottom"/>
          </w:tcPr>
          <w:p w14:paraId="2F94C2B0" w14:textId="77777777" w:rsidR="002B72BA" w:rsidRPr="00424FCE" w:rsidRDefault="002B72BA" w:rsidP="00F30A15">
            <w:pPr>
              <w:jc w:val="right"/>
              <w:rPr>
                <w:rFonts w:ascii="Arial" w:hAnsi="Arial" w:cs="Arial"/>
                <w:sz w:val="10"/>
                <w:szCs w:val="10"/>
                <w:lang w:eastAsia="es-AR"/>
              </w:rPr>
            </w:pPr>
          </w:p>
        </w:tc>
      </w:tr>
      <w:tr w:rsidR="002B72BA" w:rsidRPr="002D55D1" w14:paraId="384C7E24" w14:textId="77777777" w:rsidTr="00424FCE">
        <w:trPr>
          <w:trHeight w:val="285"/>
        </w:trPr>
        <w:tc>
          <w:tcPr>
            <w:tcW w:w="3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59A552" w14:textId="77777777" w:rsidR="002B72BA" w:rsidRPr="005F0795" w:rsidRDefault="002B72BA" w:rsidP="00F30A15">
            <w:pPr>
              <w:jc w:val="center"/>
              <w:rPr>
                <w:rFonts w:ascii="Arial" w:hAnsi="Arial" w:cs="Arial"/>
                <w:b/>
                <w:bCs/>
                <w:sz w:val="16"/>
                <w:szCs w:val="16"/>
                <w:lang w:eastAsia="es-AR"/>
              </w:rPr>
            </w:pPr>
            <w:r w:rsidRPr="00593C40">
              <w:rPr>
                <w:rFonts w:ascii="Arial" w:hAnsi="Arial" w:cs="Arial"/>
                <w:b/>
                <w:bCs/>
                <w:sz w:val="16"/>
                <w:szCs w:val="16"/>
                <w:lang w:eastAsia="es-AR"/>
              </w:rPr>
              <w:t>Conceptos</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2828B5" w14:textId="77777777" w:rsidR="002B72BA" w:rsidRPr="005F0795" w:rsidRDefault="002B72BA" w:rsidP="00F30A15">
            <w:pPr>
              <w:jc w:val="center"/>
              <w:rPr>
                <w:rFonts w:ascii="Arial" w:hAnsi="Arial" w:cs="Arial"/>
                <w:b/>
                <w:bCs/>
                <w:sz w:val="16"/>
                <w:szCs w:val="16"/>
                <w:lang w:eastAsia="es-AR"/>
              </w:rPr>
            </w:pPr>
            <w:r w:rsidRPr="00593C40">
              <w:rPr>
                <w:rFonts w:ascii="Arial" w:hAnsi="Arial" w:cs="Arial"/>
                <w:b/>
                <w:bCs/>
                <w:sz w:val="16"/>
                <w:szCs w:val="16"/>
                <w:lang w:eastAsia="es-AR"/>
              </w:rPr>
              <w:t>Notas</w:t>
            </w:r>
          </w:p>
        </w:tc>
        <w:tc>
          <w:tcPr>
            <w:tcW w:w="6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AE9F1E" w14:textId="2C59A12A" w:rsidR="002B72BA" w:rsidRPr="005F0795" w:rsidRDefault="000C12F4" w:rsidP="00F30A15">
            <w:pPr>
              <w:jc w:val="center"/>
              <w:rPr>
                <w:rFonts w:ascii="Arial" w:hAnsi="Arial" w:cs="Arial"/>
                <w:b/>
                <w:bCs/>
                <w:sz w:val="16"/>
                <w:szCs w:val="16"/>
                <w:lang w:eastAsia="es-AR"/>
              </w:rPr>
            </w:pPr>
            <w:r>
              <w:rPr>
                <w:rFonts w:ascii="Arial" w:hAnsi="Arial" w:cs="Arial"/>
                <w:b/>
                <w:bCs/>
                <w:sz w:val="16"/>
                <w:szCs w:val="16"/>
                <w:lang w:eastAsia="es-AR"/>
              </w:rPr>
              <w:t>31/03/2020</w:t>
            </w:r>
          </w:p>
        </w:tc>
        <w:tc>
          <w:tcPr>
            <w:tcW w:w="7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1B02F0" w14:textId="2F8BBA79" w:rsidR="002B72BA" w:rsidRPr="005F0795" w:rsidRDefault="00D83EA0" w:rsidP="00F30A15">
            <w:pPr>
              <w:jc w:val="center"/>
              <w:rPr>
                <w:rFonts w:ascii="Arial" w:hAnsi="Arial" w:cs="Arial"/>
                <w:b/>
                <w:bCs/>
                <w:sz w:val="16"/>
                <w:szCs w:val="16"/>
                <w:lang w:eastAsia="es-AR"/>
              </w:rPr>
            </w:pPr>
            <w:r>
              <w:rPr>
                <w:rFonts w:ascii="Arial" w:hAnsi="Arial" w:cs="Arial"/>
                <w:b/>
                <w:bCs/>
                <w:sz w:val="16"/>
                <w:szCs w:val="16"/>
                <w:lang w:eastAsia="es-AR"/>
              </w:rPr>
              <w:t>31/03/2019</w:t>
            </w:r>
          </w:p>
        </w:tc>
      </w:tr>
      <w:tr w:rsidR="002B72BA" w:rsidRPr="002D55D1" w14:paraId="535EDAA7" w14:textId="77777777" w:rsidTr="002E2271">
        <w:trPr>
          <w:trHeight w:val="305"/>
        </w:trPr>
        <w:tc>
          <w:tcPr>
            <w:tcW w:w="3257" w:type="pct"/>
            <w:tcBorders>
              <w:top w:val="single" w:sz="4" w:space="0" w:color="auto"/>
              <w:left w:val="nil"/>
              <w:bottom w:val="nil"/>
              <w:right w:val="nil"/>
            </w:tcBorders>
            <w:shd w:val="clear" w:color="auto" w:fill="auto"/>
            <w:vAlign w:val="bottom"/>
            <w:hideMark/>
          </w:tcPr>
          <w:p w14:paraId="698FF375"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single" w:sz="4" w:space="0" w:color="auto"/>
              <w:left w:val="nil"/>
              <w:bottom w:val="nil"/>
              <w:right w:val="nil"/>
            </w:tcBorders>
            <w:shd w:val="clear" w:color="auto" w:fill="auto"/>
            <w:hideMark/>
          </w:tcPr>
          <w:p w14:paraId="527BBB2D"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single" w:sz="4" w:space="0" w:color="auto"/>
              <w:left w:val="nil"/>
              <w:bottom w:val="nil"/>
              <w:right w:val="nil"/>
            </w:tcBorders>
            <w:shd w:val="clear" w:color="auto" w:fill="auto"/>
            <w:vAlign w:val="bottom"/>
          </w:tcPr>
          <w:p w14:paraId="6FC887DC" w14:textId="56F7D535" w:rsidR="002B72BA" w:rsidRPr="00593C40" w:rsidRDefault="000B0963" w:rsidP="00F30A15">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single" w:sz="4" w:space="0" w:color="auto"/>
              <w:left w:val="nil"/>
              <w:bottom w:val="nil"/>
              <w:right w:val="nil"/>
            </w:tcBorders>
            <w:shd w:val="clear" w:color="auto" w:fill="auto"/>
            <w:vAlign w:val="bottom"/>
          </w:tcPr>
          <w:p w14:paraId="7B10ECF1" w14:textId="4E1172F1" w:rsidR="002B72BA" w:rsidRPr="00593C40" w:rsidRDefault="002B72BA" w:rsidP="00F30A15">
            <w:pPr>
              <w:jc w:val="right"/>
              <w:rPr>
                <w:rFonts w:ascii="Arial" w:hAnsi="Arial" w:cs="Arial"/>
                <w:sz w:val="16"/>
                <w:szCs w:val="16"/>
                <w:lang w:eastAsia="es-AR"/>
              </w:rPr>
            </w:pPr>
          </w:p>
        </w:tc>
      </w:tr>
      <w:tr w:rsidR="002B72BA" w:rsidRPr="002D55D1" w14:paraId="7E3C16B4" w14:textId="77777777" w:rsidTr="002E2271">
        <w:trPr>
          <w:trHeight w:val="285"/>
        </w:trPr>
        <w:tc>
          <w:tcPr>
            <w:tcW w:w="3257" w:type="pct"/>
            <w:tcBorders>
              <w:top w:val="nil"/>
              <w:left w:val="nil"/>
              <w:bottom w:val="nil"/>
              <w:right w:val="nil"/>
            </w:tcBorders>
            <w:shd w:val="clear" w:color="auto" w:fill="auto"/>
            <w:vAlign w:val="bottom"/>
            <w:hideMark/>
          </w:tcPr>
          <w:p w14:paraId="78F7114E"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hideMark/>
          </w:tcPr>
          <w:p w14:paraId="395FD8F8"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D1370D8" w14:textId="5998D387" w:rsidR="002B72BA" w:rsidRPr="00593C40" w:rsidRDefault="000B0963" w:rsidP="00F30A15">
            <w:pPr>
              <w:jc w:val="right"/>
              <w:rPr>
                <w:rFonts w:ascii="Arial" w:hAnsi="Arial" w:cs="Arial"/>
                <w:sz w:val="16"/>
                <w:szCs w:val="16"/>
                <w:lang w:eastAsia="es-AR"/>
              </w:rPr>
            </w:pPr>
            <w:r w:rsidRPr="000B0963">
              <w:rPr>
                <w:rFonts w:ascii="Arial" w:hAnsi="Arial" w:cs="Arial"/>
                <w:sz w:val="16"/>
                <w:szCs w:val="16"/>
                <w:lang w:eastAsia="es-AR"/>
              </w:rPr>
              <w:t>23.592</w:t>
            </w:r>
          </w:p>
        </w:tc>
        <w:tc>
          <w:tcPr>
            <w:tcW w:w="729" w:type="pct"/>
            <w:tcBorders>
              <w:top w:val="nil"/>
              <w:left w:val="nil"/>
              <w:bottom w:val="nil"/>
              <w:right w:val="nil"/>
            </w:tcBorders>
            <w:shd w:val="clear" w:color="auto" w:fill="auto"/>
            <w:vAlign w:val="bottom"/>
          </w:tcPr>
          <w:p w14:paraId="5DDCE4A3" w14:textId="163DE1D3"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2.221.256</w:t>
            </w:r>
          </w:p>
        </w:tc>
      </w:tr>
      <w:tr w:rsidR="002B72BA" w:rsidRPr="002D55D1" w14:paraId="69382077" w14:textId="77777777" w:rsidTr="002E2271">
        <w:trPr>
          <w:trHeight w:val="281"/>
        </w:trPr>
        <w:tc>
          <w:tcPr>
            <w:tcW w:w="3257" w:type="pct"/>
            <w:tcBorders>
              <w:top w:val="nil"/>
              <w:left w:val="nil"/>
              <w:bottom w:val="nil"/>
              <w:right w:val="nil"/>
            </w:tcBorders>
            <w:shd w:val="clear" w:color="auto" w:fill="auto"/>
            <w:vAlign w:val="bottom"/>
            <w:hideMark/>
          </w:tcPr>
          <w:p w14:paraId="62400142"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Otros pasivos</w:t>
            </w:r>
          </w:p>
        </w:tc>
        <w:tc>
          <w:tcPr>
            <w:tcW w:w="411" w:type="pct"/>
            <w:tcBorders>
              <w:top w:val="nil"/>
              <w:left w:val="nil"/>
              <w:bottom w:val="nil"/>
              <w:right w:val="nil"/>
            </w:tcBorders>
            <w:shd w:val="clear" w:color="auto" w:fill="auto"/>
            <w:hideMark/>
          </w:tcPr>
          <w:p w14:paraId="4C7D2335"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7BC871C" w14:textId="5E21FADE" w:rsidR="002B72BA" w:rsidRPr="00593C40" w:rsidRDefault="000B0963" w:rsidP="00F30A15">
            <w:pPr>
              <w:jc w:val="right"/>
              <w:rPr>
                <w:rFonts w:ascii="Arial" w:hAnsi="Arial" w:cs="Arial"/>
                <w:sz w:val="16"/>
                <w:szCs w:val="16"/>
                <w:lang w:eastAsia="es-AR"/>
              </w:rPr>
            </w:pPr>
            <w:r w:rsidRPr="000B0963">
              <w:rPr>
                <w:rFonts w:ascii="Arial" w:hAnsi="Arial" w:cs="Arial"/>
                <w:sz w:val="16"/>
                <w:szCs w:val="16"/>
                <w:lang w:eastAsia="es-AR"/>
              </w:rPr>
              <w:t>-3.559.905</w:t>
            </w:r>
          </w:p>
        </w:tc>
        <w:tc>
          <w:tcPr>
            <w:tcW w:w="729" w:type="pct"/>
            <w:tcBorders>
              <w:top w:val="nil"/>
              <w:left w:val="nil"/>
              <w:bottom w:val="nil"/>
              <w:right w:val="nil"/>
            </w:tcBorders>
            <w:shd w:val="clear" w:color="auto" w:fill="auto"/>
            <w:vAlign w:val="bottom"/>
          </w:tcPr>
          <w:p w14:paraId="16983BBB" w14:textId="67D06B6E"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509.570</w:t>
            </w:r>
          </w:p>
        </w:tc>
      </w:tr>
      <w:tr w:rsidR="002B72BA" w:rsidRPr="002D55D1" w14:paraId="2A1285DF" w14:textId="77777777" w:rsidTr="002E2271">
        <w:trPr>
          <w:trHeight w:val="80"/>
        </w:trPr>
        <w:tc>
          <w:tcPr>
            <w:tcW w:w="3257" w:type="pct"/>
            <w:tcBorders>
              <w:top w:val="nil"/>
              <w:left w:val="nil"/>
              <w:bottom w:val="nil"/>
              <w:right w:val="nil"/>
            </w:tcBorders>
            <w:shd w:val="clear" w:color="auto" w:fill="auto"/>
            <w:vAlign w:val="bottom"/>
            <w:hideMark/>
          </w:tcPr>
          <w:p w14:paraId="29426387" w14:textId="77777777" w:rsidR="002B72BA" w:rsidRPr="002D55D1" w:rsidRDefault="002B72BA" w:rsidP="002E2271">
            <w:pPr>
              <w:rPr>
                <w:rFonts w:ascii="Arial" w:hAnsi="Arial" w:cs="Arial"/>
                <w:sz w:val="16"/>
                <w:szCs w:val="16"/>
                <w:lang w:eastAsia="es-AR"/>
              </w:rPr>
            </w:pPr>
          </w:p>
        </w:tc>
        <w:tc>
          <w:tcPr>
            <w:tcW w:w="411" w:type="pct"/>
            <w:tcBorders>
              <w:top w:val="nil"/>
              <w:left w:val="nil"/>
              <w:bottom w:val="nil"/>
              <w:right w:val="nil"/>
            </w:tcBorders>
            <w:shd w:val="clear" w:color="auto" w:fill="auto"/>
            <w:hideMark/>
          </w:tcPr>
          <w:p w14:paraId="72F0F3E7" w14:textId="77777777" w:rsidR="002B72BA" w:rsidRPr="002D55D1" w:rsidRDefault="002B72BA" w:rsidP="00F30A15">
            <w:pPr>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0C9D829"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7A765E74" w14:textId="77777777" w:rsidR="002B72BA" w:rsidRPr="00593C40" w:rsidRDefault="002B72BA" w:rsidP="00F30A15">
            <w:pPr>
              <w:jc w:val="right"/>
              <w:rPr>
                <w:rFonts w:ascii="Arial" w:hAnsi="Arial" w:cs="Arial"/>
                <w:sz w:val="16"/>
                <w:szCs w:val="16"/>
                <w:lang w:eastAsia="es-AR"/>
              </w:rPr>
            </w:pPr>
          </w:p>
        </w:tc>
      </w:tr>
      <w:tr w:rsidR="002B72BA" w:rsidRPr="002D55D1" w14:paraId="2887DD4D" w14:textId="77777777" w:rsidTr="002E2271">
        <w:trPr>
          <w:trHeight w:val="280"/>
        </w:trPr>
        <w:tc>
          <w:tcPr>
            <w:tcW w:w="3257" w:type="pct"/>
            <w:tcBorders>
              <w:top w:val="nil"/>
              <w:left w:val="nil"/>
              <w:bottom w:val="nil"/>
              <w:right w:val="nil"/>
            </w:tcBorders>
            <w:shd w:val="clear" w:color="auto" w:fill="auto"/>
            <w:vAlign w:val="bottom"/>
            <w:hideMark/>
          </w:tcPr>
          <w:p w14:paraId="23A68E0F" w14:textId="77777777" w:rsidR="002B72BA" w:rsidRPr="002D55D1" w:rsidRDefault="002B72BA" w:rsidP="002E2271">
            <w:pPr>
              <w:rPr>
                <w:rFonts w:ascii="Arial" w:hAnsi="Arial" w:cs="Arial"/>
                <w:b/>
                <w:bCs/>
                <w:sz w:val="16"/>
                <w:szCs w:val="16"/>
                <w:lang w:eastAsia="es-AR"/>
              </w:rPr>
            </w:pPr>
            <w:r>
              <w:rPr>
                <w:rFonts w:ascii="Arial" w:hAnsi="Arial" w:cs="Arial"/>
                <w:b/>
                <w:bCs/>
                <w:sz w:val="16"/>
                <w:szCs w:val="16"/>
                <w:lang w:eastAsia="es-AR"/>
              </w:rPr>
              <w:t>P</w:t>
            </w:r>
            <w:r w:rsidRPr="002D55D1">
              <w:rPr>
                <w:rFonts w:ascii="Arial" w:hAnsi="Arial" w:cs="Arial"/>
                <w:b/>
                <w:bCs/>
                <w:sz w:val="16"/>
                <w:szCs w:val="16"/>
                <w:lang w:eastAsia="es-AR"/>
              </w:rPr>
              <w:t>agos por Impuesto a las Ganancias</w:t>
            </w:r>
          </w:p>
        </w:tc>
        <w:tc>
          <w:tcPr>
            <w:tcW w:w="411" w:type="pct"/>
            <w:tcBorders>
              <w:top w:val="nil"/>
              <w:left w:val="nil"/>
              <w:bottom w:val="nil"/>
              <w:right w:val="nil"/>
            </w:tcBorders>
            <w:shd w:val="clear" w:color="auto" w:fill="auto"/>
            <w:hideMark/>
          </w:tcPr>
          <w:p w14:paraId="47A4AB51"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134D2269" w14:textId="69C0173C" w:rsidR="002B72BA" w:rsidRPr="00593C40" w:rsidRDefault="000B0963" w:rsidP="00F30A15">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112DE3C6" w14:textId="56352408" w:rsidR="002B72BA" w:rsidRPr="00593C40" w:rsidRDefault="00D83EA0" w:rsidP="00F30A15">
            <w:pPr>
              <w:jc w:val="right"/>
              <w:rPr>
                <w:rFonts w:ascii="Arial" w:hAnsi="Arial" w:cs="Arial"/>
                <w:sz w:val="16"/>
                <w:szCs w:val="16"/>
                <w:lang w:eastAsia="es-AR"/>
              </w:rPr>
            </w:pPr>
            <w:r w:rsidRPr="00D83EA0">
              <w:rPr>
                <w:rFonts w:ascii="Arial" w:hAnsi="Arial" w:cs="Arial"/>
                <w:sz w:val="16"/>
                <w:szCs w:val="16"/>
                <w:lang w:eastAsia="es-AR"/>
              </w:rPr>
              <w:t>-131.524</w:t>
            </w:r>
          </w:p>
        </w:tc>
      </w:tr>
      <w:tr w:rsidR="002B72BA" w:rsidRPr="00593C40" w14:paraId="3A484892" w14:textId="77777777" w:rsidTr="002E2271">
        <w:trPr>
          <w:trHeight w:val="113"/>
        </w:trPr>
        <w:tc>
          <w:tcPr>
            <w:tcW w:w="3257" w:type="pct"/>
            <w:tcBorders>
              <w:top w:val="nil"/>
              <w:left w:val="nil"/>
              <w:bottom w:val="nil"/>
              <w:right w:val="nil"/>
            </w:tcBorders>
            <w:shd w:val="clear" w:color="auto" w:fill="auto"/>
            <w:vAlign w:val="bottom"/>
            <w:hideMark/>
          </w:tcPr>
          <w:p w14:paraId="7F41998D" w14:textId="77777777" w:rsidR="002B72BA" w:rsidRPr="00593C40" w:rsidRDefault="002B72BA" w:rsidP="002E2271">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12ACBA79"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single" w:sz="4" w:space="0" w:color="auto"/>
              <w:right w:val="nil"/>
            </w:tcBorders>
            <w:shd w:val="clear" w:color="auto" w:fill="auto"/>
            <w:vAlign w:val="bottom"/>
          </w:tcPr>
          <w:p w14:paraId="077A7E5D"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single" w:sz="4" w:space="0" w:color="auto"/>
              <w:right w:val="nil"/>
            </w:tcBorders>
            <w:shd w:val="clear" w:color="auto" w:fill="auto"/>
            <w:vAlign w:val="bottom"/>
          </w:tcPr>
          <w:p w14:paraId="014E776D" w14:textId="77777777" w:rsidR="002B72BA" w:rsidRPr="00593C40" w:rsidRDefault="002B72BA" w:rsidP="00F30A15">
            <w:pPr>
              <w:jc w:val="right"/>
              <w:rPr>
                <w:rFonts w:ascii="Arial" w:hAnsi="Arial" w:cs="Arial"/>
                <w:sz w:val="10"/>
                <w:szCs w:val="10"/>
                <w:lang w:eastAsia="es-AR"/>
              </w:rPr>
            </w:pPr>
          </w:p>
        </w:tc>
      </w:tr>
      <w:tr w:rsidR="002B72BA" w:rsidRPr="002D55D1" w14:paraId="7031044C" w14:textId="77777777" w:rsidTr="002E2271">
        <w:trPr>
          <w:trHeight w:val="70"/>
        </w:trPr>
        <w:tc>
          <w:tcPr>
            <w:tcW w:w="3257" w:type="pct"/>
            <w:tcBorders>
              <w:top w:val="nil"/>
              <w:left w:val="nil"/>
              <w:right w:val="nil"/>
            </w:tcBorders>
            <w:shd w:val="clear" w:color="auto" w:fill="auto"/>
            <w:vAlign w:val="bottom"/>
            <w:hideMark/>
          </w:tcPr>
          <w:p w14:paraId="0214D6D2" w14:textId="77777777" w:rsidR="002B72BA" w:rsidRPr="002D55D1" w:rsidRDefault="002B72BA" w:rsidP="002E2271">
            <w:pPr>
              <w:rPr>
                <w:rFonts w:ascii="Arial" w:hAnsi="Arial" w:cs="Arial"/>
                <w:b/>
                <w:bCs/>
                <w:sz w:val="16"/>
                <w:szCs w:val="16"/>
                <w:lang w:eastAsia="es-AR"/>
              </w:rPr>
            </w:pPr>
            <w:r w:rsidRPr="002D55D1">
              <w:rPr>
                <w:rFonts w:ascii="Arial" w:hAnsi="Arial" w:cs="Arial"/>
                <w:b/>
                <w:bCs/>
                <w:sz w:val="16"/>
                <w:szCs w:val="16"/>
                <w:lang w:eastAsia="es-AR"/>
              </w:rPr>
              <w:t>TOTAL DE LAS ACTIVIDADES OPERATIVAS (A)</w:t>
            </w:r>
          </w:p>
        </w:tc>
        <w:tc>
          <w:tcPr>
            <w:tcW w:w="411" w:type="pct"/>
            <w:tcBorders>
              <w:top w:val="nil"/>
              <w:left w:val="nil"/>
              <w:right w:val="nil"/>
            </w:tcBorders>
            <w:shd w:val="clear" w:color="auto" w:fill="auto"/>
            <w:hideMark/>
          </w:tcPr>
          <w:p w14:paraId="7481E3B1" w14:textId="77777777" w:rsidR="002B72BA" w:rsidRPr="002D55D1"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3609005B" w14:textId="629D8587" w:rsidR="002B72BA" w:rsidRPr="00593C40" w:rsidRDefault="00461508" w:rsidP="00F30A15">
            <w:pPr>
              <w:jc w:val="right"/>
              <w:rPr>
                <w:rFonts w:ascii="Arial" w:hAnsi="Arial" w:cs="Arial"/>
                <w:b/>
                <w:bCs/>
                <w:sz w:val="16"/>
                <w:szCs w:val="16"/>
                <w:lang w:val="es-ES_tradnl" w:eastAsia="es-AR"/>
              </w:rPr>
            </w:pPr>
            <w:r w:rsidRPr="00461508">
              <w:rPr>
                <w:rFonts w:ascii="Arial" w:hAnsi="Arial" w:cs="Arial"/>
                <w:b/>
                <w:bCs/>
                <w:sz w:val="16"/>
                <w:szCs w:val="16"/>
                <w:lang w:val="es-ES_tradnl" w:eastAsia="es-AR"/>
              </w:rPr>
              <w:t>9.234.196</w:t>
            </w:r>
          </w:p>
        </w:tc>
        <w:tc>
          <w:tcPr>
            <w:tcW w:w="729" w:type="pct"/>
            <w:tcBorders>
              <w:top w:val="single" w:sz="4" w:space="0" w:color="auto"/>
              <w:left w:val="nil"/>
              <w:bottom w:val="single" w:sz="4" w:space="0" w:color="auto"/>
              <w:right w:val="nil"/>
            </w:tcBorders>
            <w:shd w:val="clear" w:color="auto" w:fill="auto"/>
            <w:vAlign w:val="bottom"/>
          </w:tcPr>
          <w:p w14:paraId="125F61A0" w14:textId="74EE3808" w:rsidR="002B72BA" w:rsidRPr="00593C40" w:rsidRDefault="00E72ECC" w:rsidP="00F30A15">
            <w:pPr>
              <w:jc w:val="right"/>
              <w:rPr>
                <w:rFonts w:ascii="Arial" w:hAnsi="Arial" w:cs="Arial"/>
                <w:b/>
                <w:bCs/>
                <w:sz w:val="16"/>
                <w:szCs w:val="16"/>
                <w:lang w:val="es-ES_tradnl" w:eastAsia="es-AR"/>
              </w:rPr>
            </w:pPr>
            <w:r w:rsidRPr="00E72ECC">
              <w:rPr>
                <w:rFonts w:ascii="Arial" w:hAnsi="Arial" w:cs="Arial"/>
                <w:b/>
                <w:bCs/>
                <w:sz w:val="16"/>
                <w:szCs w:val="16"/>
                <w:lang w:val="es-ES_tradnl" w:eastAsia="es-AR"/>
              </w:rPr>
              <w:t>6.890.866</w:t>
            </w:r>
          </w:p>
        </w:tc>
      </w:tr>
      <w:tr w:rsidR="002B72BA" w:rsidRPr="002D55D1" w14:paraId="39EA32B0" w14:textId="77777777" w:rsidTr="002E2271">
        <w:trPr>
          <w:trHeight w:val="108"/>
        </w:trPr>
        <w:tc>
          <w:tcPr>
            <w:tcW w:w="3257" w:type="pct"/>
            <w:tcBorders>
              <w:left w:val="nil"/>
              <w:right w:val="nil"/>
            </w:tcBorders>
            <w:shd w:val="clear" w:color="auto" w:fill="auto"/>
            <w:vAlign w:val="bottom"/>
          </w:tcPr>
          <w:p w14:paraId="237EDB43" w14:textId="77777777" w:rsidR="002B72BA" w:rsidRPr="005F0795" w:rsidRDefault="002B72BA" w:rsidP="002E2271">
            <w:pPr>
              <w:rPr>
                <w:rFonts w:ascii="Arial" w:hAnsi="Arial" w:cs="Arial"/>
                <w:b/>
                <w:bCs/>
                <w:sz w:val="14"/>
                <w:szCs w:val="16"/>
                <w:lang w:eastAsia="es-AR"/>
              </w:rPr>
            </w:pPr>
          </w:p>
        </w:tc>
        <w:tc>
          <w:tcPr>
            <w:tcW w:w="411" w:type="pct"/>
            <w:tcBorders>
              <w:left w:val="nil"/>
              <w:right w:val="nil"/>
            </w:tcBorders>
            <w:shd w:val="clear" w:color="auto" w:fill="auto"/>
          </w:tcPr>
          <w:p w14:paraId="54AE525C" w14:textId="77777777" w:rsidR="002B72BA" w:rsidRPr="002D55D1" w:rsidRDefault="002B72BA" w:rsidP="00F30A15">
            <w:pPr>
              <w:rPr>
                <w:rFonts w:ascii="Arial" w:hAnsi="Arial" w:cs="Arial"/>
                <w:b/>
                <w:bCs/>
                <w:sz w:val="16"/>
                <w:szCs w:val="16"/>
                <w:lang w:eastAsia="es-AR"/>
              </w:rPr>
            </w:pPr>
          </w:p>
        </w:tc>
        <w:tc>
          <w:tcPr>
            <w:tcW w:w="603" w:type="pct"/>
            <w:tcBorders>
              <w:top w:val="single" w:sz="4" w:space="0" w:color="auto"/>
              <w:left w:val="nil"/>
              <w:right w:val="nil"/>
            </w:tcBorders>
            <w:shd w:val="clear" w:color="auto" w:fill="auto"/>
            <w:vAlign w:val="bottom"/>
          </w:tcPr>
          <w:p w14:paraId="3E9A7607" w14:textId="77777777" w:rsidR="002B72BA" w:rsidRPr="006F757F" w:rsidRDefault="002B72BA" w:rsidP="00F30A15">
            <w:pPr>
              <w:jc w:val="right"/>
              <w:rPr>
                <w:rFonts w:ascii="Arial" w:hAnsi="Arial" w:cs="Arial"/>
                <w:b/>
                <w:bCs/>
                <w:sz w:val="16"/>
                <w:szCs w:val="16"/>
                <w:lang w:val="es-ES_tradnl" w:eastAsia="es-AR"/>
              </w:rPr>
            </w:pPr>
          </w:p>
        </w:tc>
        <w:tc>
          <w:tcPr>
            <w:tcW w:w="729" w:type="pct"/>
            <w:tcBorders>
              <w:top w:val="single" w:sz="4" w:space="0" w:color="auto"/>
              <w:left w:val="nil"/>
              <w:right w:val="nil"/>
            </w:tcBorders>
            <w:shd w:val="clear" w:color="auto" w:fill="auto"/>
            <w:vAlign w:val="bottom"/>
          </w:tcPr>
          <w:p w14:paraId="46AEC5E1" w14:textId="77777777" w:rsidR="002B72BA" w:rsidRPr="00593C40" w:rsidRDefault="002B72BA" w:rsidP="00F30A15">
            <w:pPr>
              <w:jc w:val="right"/>
              <w:rPr>
                <w:rFonts w:ascii="Arial" w:hAnsi="Arial" w:cs="Arial"/>
                <w:b/>
                <w:bCs/>
                <w:sz w:val="16"/>
                <w:szCs w:val="16"/>
                <w:lang w:val="es-ES_tradnl" w:eastAsia="es-AR"/>
              </w:rPr>
            </w:pPr>
          </w:p>
        </w:tc>
      </w:tr>
      <w:tr w:rsidR="002B72BA" w:rsidRPr="00593C40" w14:paraId="4EFFB8C6" w14:textId="77777777" w:rsidTr="002E2271">
        <w:trPr>
          <w:trHeight w:val="235"/>
        </w:trPr>
        <w:tc>
          <w:tcPr>
            <w:tcW w:w="3257" w:type="pct"/>
            <w:tcBorders>
              <w:left w:val="nil"/>
              <w:bottom w:val="nil"/>
              <w:right w:val="nil"/>
            </w:tcBorders>
            <w:shd w:val="clear" w:color="auto" w:fill="auto"/>
            <w:vAlign w:val="bottom"/>
            <w:hideMark/>
          </w:tcPr>
          <w:p w14:paraId="68A75DA1"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INVERSIÓN</w:t>
            </w:r>
          </w:p>
        </w:tc>
        <w:tc>
          <w:tcPr>
            <w:tcW w:w="411" w:type="pct"/>
            <w:tcBorders>
              <w:left w:val="nil"/>
              <w:bottom w:val="nil"/>
              <w:right w:val="nil"/>
            </w:tcBorders>
            <w:shd w:val="clear" w:color="auto" w:fill="auto"/>
            <w:hideMark/>
          </w:tcPr>
          <w:p w14:paraId="77BFE591" w14:textId="77777777" w:rsidR="002B72BA" w:rsidRPr="00593C40" w:rsidRDefault="002B72BA" w:rsidP="00F30A15">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right w:val="nil"/>
            </w:tcBorders>
            <w:shd w:val="clear" w:color="auto" w:fill="auto"/>
          </w:tcPr>
          <w:p w14:paraId="17D6E417" w14:textId="3EBF7330"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tcPr>
          <w:p w14:paraId="29F8F5F0" w14:textId="465BABAF" w:rsidR="002B72BA" w:rsidRPr="00593C40" w:rsidRDefault="002B72BA" w:rsidP="00F30A15">
            <w:pPr>
              <w:jc w:val="right"/>
              <w:rPr>
                <w:rFonts w:ascii="Arial" w:hAnsi="Arial" w:cs="Arial"/>
                <w:b/>
                <w:bCs/>
                <w:sz w:val="16"/>
                <w:szCs w:val="16"/>
              </w:rPr>
            </w:pPr>
          </w:p>
        </w:tc>
      </w:tr>
      <w:tr w:rsidR="002B72BA" w:rsidRPr="00593C40" w14:paraId="17927604" w14:textId="77777777" w:rsidTr="002E2271">
        <w:trPr>
          <w:trHeight w:val="80"/>
        </w:trPr>
        <w:tc>
          <w:tcPr>
            <w:tcW w:w="3257" w:type="pct"/>
            <w:tcBorders>
              <w:top w:val="nil"/>
              <w:left w:val="nil"/>
              <w:bottom w:val="nil"/>
              <w:right w:val="nil"/>
            </w:tcBorders>
            <w:shd w:val="clear" w:color="auto" w:fill="auto"/>
            <w:vAlign w:val="bottom"/>
            <w:hideMark/>
          </w:tcPr>
          <w:p w14:paraId="436073CC"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66473A37"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tcPr>
          <w:p w14:paraId="55913967" w14:textId="77777777" w:rsidR="002B72BA" w:rsidRPr="00593C40" w:rsidRDefault="002B72BA" w:rsidP="00F30A15">
            <w:pPr>
              <w:jc w:val="right"/>
              <w:rPr>
                <w:rFonts w:ascii="Arial" w:hAnsi="Arial" w:cs="Arial"/>
                <w:b/>
                <w:bCs/>
                <w:sz w:val="10"/>
                <w:szCs w:val="10"/>
              </w:rPr>
            </w:pPr>
          </w:p>
        </w:tc>
        <w:tc>
          <w:tcPr>
            <w:tcW w:w="729" w:type="pct"/>
            <w:tcBorders>
              <w:left w:val="nil"/>
              <w:right w:val="nil"/>
            </w:tcBorders>
            <w:shd w:val="clear" w:color="auto" w:fill="auto"/>
          </w:tcPr>
          <w:p w14:paraId="3F541410" w14:textId="77777777" w:rsidR="002B72BA" w:rsidRPr="00593C40" w:rsidRDefault="002B72BA" w:rsidP="00F30A15">
            <w:pPr>
              <w:jc w:val="right"/>
              <w:rPr>
                <w:rFonts w:ascii="Arial" w:hAnsi="Arial" w:cs="Arial"/>
                <w:b/>
                <w:bCs/>
                <w:sz w:val="10"/>
                <w:szCs w:val="10"/>
              </w:rPr>
            </w:pPr>
          </w:p>
        </w:tc>
      </w:tr>
      <w:tr w:rsidR="002B72BA" w:rsidRPr="00593C40" w14:paraId="327CE9A4" w14:textId="77777777" w:rsidTr="002E2271">
        <w:trPr>
          <w:trHeight w:val="113"/>
        </w:trPr>
        <w:tc>
          <w:tcPr>
            <w:tcW w:w="3257" w:type="pct"/>
            <w:tcBorders>
              <w:top w:val="nil"/>
              <w:left w:val="nil"/>
              <w:bottom w:val="nil"/>
              <w:right w:val="nil"/>
            </w:tcBorders>
            <w:shd w:val="clear" w:color="auto" w:fill="auto"/>
            <w:vAlign w:val="bottom"/>
            <w:hideMark/>
          </w:tcPr>
          <w:p w14:paraId="68C646E0"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hideMark/>
          </w:tcPr>
          <w:p w14:paraId="1999EDE6"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tcPr>
          <w:p w14:paraId="414840F5" w14:textId="77777777"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tcPr>
          <w:p w14:paraId="0BF0DDE2" w14:textId="77777777" w:rsidR="002B72BA" w:rsidRPr="00593C40" w:rsidRDefault="002B72BA" w:rsidP="00F30A15">
            <w:pPr>
              <w:jc w:val="right"/>
              <w:rPr>
                <w:rFonts w:ascii="Arial" w:hAnsi="Arial" w:cs="Arial"/>
                <w:b/>
                <w:bCs/>
                <w:sz w:val="16"/>
                <w:szCs w:val="16"/>
              </w:rPr>
            </w:pPr>
          </w:p>
        </w:tc>
      </w:tr>
      <w:tr w:rsidR="002B72BA" w:rsidRPr="00593C40" w14:paraId="24E65C00" w14:textId="77777777" w:rsidTr="002E2271">
        <w:trPr>
          <w:trHeight w:val="285"/>
        </w:trPr>
        <w:tc>
          <w:tcPr>
            <w:tcW w:w="3257" w:type="pct"/>
            <w:tcBorders>
              <w:top w:val="nil"/>
              <w:left w:val="nil"/>
              <w:bottom w:val="nil"/>
              <w:right w:val="nil"/>
            </w:tcBorders>
            <w:shd w:val="clear" w:color="auto" w:fill="auto"/>
            <w:vAlign w:val="bottom"/>
            <w:hideMark/>
          </w:tcPr>
          <w:p w14:paraId="7D1BF771"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Compra de PPE, activos intangibles y otros activos</w:t>
            </w:r>
          </w:p>
        </w:tc>
        <w:tc>
          <w:tcPr>
            <w:tcW w:w="411" w:type="pct"/>
            <w:tcBorders>
              <w:top w:val="nil"/>
              <w:left w:val="nil"/>
              <w:bottom w:val="nil"/>
              <w:right w:val="nil"/>
            </w:tcBorders>
            <w:shd w:val="clear" w:color="auto" w:fill="auto"/>
            <w:hideMark/>
          </w:tcPr>
          <w:p w14:paraId="34F0931A"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53792821" w14:textId="77777777" w:rsidR="002B72BA" w:rsidRDefault="002B72BA" w:rsidP="00F30A15">
            <w:pPr>
              <w:jc w:val="right"/>
              <w:rPr>
                <w:rFonts w:ascii="Arial" w:hAnsi="Arial" w:cs="Arial"/>
                <w:bCs/>
                <w:sz w:val="16"/>
                <w:szCs w:val="16"/>
              </w:rPr>
            </w:pPr>
          </w:p>
          <w:p w14:paraId="0C481966" w14:textId="6A055AF1" w:rsidR="000B0963" w:rsidRPr="000B0963" w:rsidRDefault="000B0963" w:rsidP="00F30A15">
            <w:pPr>
              <w:jc w:val="right"/>
              <w:rPr>
                <w:rFonts w:ascii="Arial" w:hAnsi="Arial" w:cs="Arial"/>
                <w:bCs/>
                <w:sz w:val="16"/>
                <w:szCs w:val="16"/>
              </w:rPr>
            </w:pPr>
            <w:r w:rsidRPr="000B0963">
              <w:rPr>
                <w:rFonts w:ascii="Arial" w:hAnsi="Arial" w:cs="Arial"/>
                <w:bCs/>
                <w:sz w:val="16"/>
                <w:szCs w:val="16"/>
              </w:rPr>
              <w:t>-279.249</w:t>
            </w:r>
          </w:p>
        </w:tc>
        <w:tc>
          <w:tcPr>
            <w:tcW w:w="729" w:type="pct"/>
            <w:tcBorders>
              <w:left w:val="nil"/>
              <w:right w:val="nil"/>
            </w:tcBorders>
            <w:shd w:val="clear" w:color="auto" w:fill="auto"/>
            <w:vAlign w:val="bottom"/>
          </w:tcPr>
          <w:p w14:paraId="4503266F" w14:textId="0D15A9FF" w:rsidR="002B72BA" w:rsidRPr="00593C40" w:rsidRDefault="00D83EA0" w:rsidP="00F30A15">
            <w:pPr>
              <w:jc w:val="right"/>
              <w:rPr>
                <w:rFonts w:ascii="Arial" w:hAnsi="Arial" w:cs="Arial"/>
                <w:bCs/>
                <w:sz w:val="16"/>
                <w:szCs w:val="16"/>
              </w:rPr>
            </w:pPr>
            <w:r w:rsidRPr="00D83EA0">
              <w:rPr>
                <w:rFonts w:ascii="Arial" w:hAnsi="Arial" w:cs="Arial"/>
                <w:bCs/>
                <w:sz w:val="16"/>
                <w:szCs w:val="16"/>
              </w:rPr>
              <w:t>84.259</w:t>
            </w:r>
          </w:p>
        </w:tc>
      </w:tr>
      <w:tr w:rsidR="002B72BA" w:rsidRPr="00593C40" w14:paraId="06A3B803" w14:textId="77777777" w:rsidTr="002E2271">
        <w:trPr>
          <w:trHeight w:val="285"/>
        </w:trPr>
        <w:tc>
          <w:tcPr>
            <w:tcW w:w="3257" w:type="pct"/>
            <w:tcBorders>
              <w:top w:val="nil"/>
              <w:left w:val="nil"/>
              <w:bottom w:val="nil"/>
              <w:right w:val="nil"/>
            </w:tcBorders>
            <w:shd w:val="clear" w:color="auto" w:fill="auto"/>
            <w:vAlign w:val="bottom"/>
            <w:hideMark/>
          </w:tcPr>
          <w:p w14:paraId="34642027"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Obtención de control de subsidiarias u otros negocios</w:t>
            </w:r>
          </w:p>
        </w:tc>
        <w:tc>
          <w:tcPr>
            <w:tcW w:w="411" w:type="pct"/>
            <w:tcBorders>
              <w:top w:val="nil"/>
              <w:left w:val="nil"/>
              <w:bottom w:val="nil"/>
              <w:right w:val="nil"/>
            </w:tcBorders>
            <w:shd w:val="clear" w:color="auto" w:fill="auto"/>
            <w:hideMark/>
          </w:tcPr>
          <w:p w14:paraId="00323BD5"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222E0EAE" w14:textId="31EE4FBC" w:rsidR="002B72BA" w:rsidRPr="00593C40" w:rsidRDefault="000B0963" w:rsidP="00F30A15">
            <w:pPr>
              <w:jc w:val="right"/>
              <w:rPr>
                <w:rFonts w:ascii="Arial" w:hAnsi="Arial" w:cs="Arial"/>
                <w:bCs/>
                <w:sz w:val="16"/>
                <w:szCs w:val="16"/>
              </w:rPr>
            </w:pPr>
            <w:r>
              <w:rPr>
                <w:rFonts w:ascii="Arial" w:hAnsi="Arial" w:cs="Arial"/>
                <w:bCs/>
                <w:sz w:val="16"/>
                <w:szCs w:val="16"/>
              </w:rPr>
              <w:t>-</w:t>
            </w:r>
          </w:p>
        </w:tc>
        <w:tc>
          <w:tcPr>
            <w:tcW w:w="729" w:type="pct"/>
            <w:tcBorders>
              <w:left w:val="nil"/>
              <w:right w:val="nil"/>
            </w:tcBorders>
            <w:shd w:val="clear" w:color="auto" w:fill="auto"/>
            <w:vAlign w:val="bottom"/>
          </w:tcPr>
          <w:p w14:paraId="5BF5FACF" w14:textId="6A6F9742" w:rsidR="002B72BA" w:rsidRPr="00593C40" w:rsidRDefault="00F22917" w:rsidP="00F30A15">
            <w:pPr>
              <w:jc w:val="right"/>
              <w:rPr>
                <w:rFonts w:ascii="Arial" w:hAnsi="Arial" w:cs="Arial"/>
                <w:bCs/>
                <w:sz w:val="16"/>
                <w:szCs w:val="16"/>
              </w:rPr>
            </w:pPr>
            <w:r w:rsidRPr="00F22917">
              <w:rPr>
                <w:rFonts w:ascii="Arial" w:hAnsi="Arial" w:cs="Arial"/>
                <w:bCs/>
                <w:sz w:val="16"/>
                <w:szCs w:val="16"/>
              </w:rPr>
              <w:t>-811</w:t>
            </w:r>
            <w:r>
              <w:rPr>
                <w:rFonts w:ascii="Arial" w:hAnsi="Arial" w:cs="Arial"/>
                <w:bCs/>
                <w:sz w:val="16"/>
                <w:szCs w:val="16"/>
              </w:rPr>
              <w:t>.</w:t>
            </w:r>
            <w:r w:rsidRPr="00F22917">
              <w:rPr>
                <w:rFonts w:ascii="Arial" w:hAnsi="Arial" w:cs="Arial"/>
                <w:bCs/>
                <w:sz w:val="16"/>
                <w:szCs w:val="16"/>
              </w:rPr>
              <w:t>693</w:t>
            </w:r>
          </w:p>
        </w:tc>
      </w:tr>
      <w:tr w:rsidR="002B72BA" w:rsidRPr="00593C40" w14:paraId="64DC818F" w14:textId="77777777" w:rsidTr="002E2271">
        <w:trPr>
          <w:trHeight w:val="80"/>
        </w:trPr>
        <w:tc>
          <w:tcPr>
            <w:tcW w:w="3257" w:type="pct"/>
            <w:tcBorders>
              <w:top w:val="nil"/>
              <w:left w:val="nil"/>
              <w:bottom w:val="nil"/>
              <w:right w:val="nil"/>
            </w:tcBorders>
            <w:shd w:val="clear" w:color="auto" w:fill="auto"/>
            <w:vAlign w:val="bottom"/>
            <w:hideMark/>
          </w:tcPr>
          <w:p w14:paraId="51D6F247"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3E19678F"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vAlign w:val="bottom"/>
          </w:tcPr>
          <w:p w14:paraId="6FA6A3A6" w14:textId="77777777" w:rsidR="002B72BA" w:rsidRPr="00593C40" w:rsidRDefault="002B72BA" w:rsidP="00F30A15">
            <w:pPr>
              <w:jc w:val="right"/>
              <w:rPr>
                <w:rFonts w:ascii="Arial" w:hAnsi="Arial" w:cs="Arial"/>
                <w:bCs/>
                <w:sz w:val="10"/>
                <w:szCs w:val="10"/>
              </w:rPr>
            </w:pPr>
          </w:p>
        </w:tc>
        <w:tc>
          <w:tcPr>
            <w:tcW w:w="729" w:type="pct"/>
            <w:tcBorders>
              <w:left w:val="nil"/>
              <w:right w:val="nil"/>
            </w:tcBorders>
            <w:shd w:val="clear" w:color="auto" w:fill="auto"/>
            <w:vAlign w:val="bottom"/>
          </w:tcPr>
          <w:p w14:paraId="66E11B2D" w14:textId="77777777" w:rsidR="002B72BA" w:rsidRPr="00593C40" w:rsidRDefault="002B72BA" w:rsidP="00F30A15">
            <w:pPr>
              <w:jc w:val="right"/>
              <w:rPr>
                <w:rFonts w:ascii="Arial" w:hAnsi="Arial" w:cs="Arial"/>
                <w:bCs/>
                <w:sz w:val="10"/>
                <w:szCs w:val="10"/>
              </w:rPr>
            </w:pPr>
          </w:p>
        </w:tc>
      </w:tr>
      <w:tr w:rsidR="002B72BA" w:rsidRPr="00593C40" w14:paraId="66B12566" w14:textId="77777777" w:rsidTr="002E2271">
        <w:trPr>
          <w:trHeight w:val="111"/>
        </w:trPr>
        <w:tc>
          <w:tcPr>
            <w:tcW w:w="3257" w:type="pct"/>
            <w:tcBorders>
              <w:top w:val="nil"/>
              <w:left w:val="nil"/>
              <w:bottom w:val="nil"/>
              <w:right w:val="nil"/>
            </w:tcBorders>
            <w:shd w:val="clear" w:color="auto" w:fill="auto"/>
            <w:vAlign w:val="bottom"/>
            <w:hideMark/>
          </w:tcPr>
          <w:p w14:paraId="7A634095"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hideMark/>
          </w:tcPr>
          <w:p w14:paraId="4CB19B13"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549706FC" w14:textId="77777777" w:rsidR="002B72BA" w:rsidRPr="00593C40" w:rsidRDefault="002B72BA" w:rsidP="00F30A15">
            <w:pPr>
              <w:jc w:val="right"/>
              <w:rPr>
                <w:rFonts w:ascii="Arial" w:hAnsi="Arial" w:cs="Arial"/>
                <w:bCs/>
                <w:sz w:val="16"/>
                <w:szCs w:val="16"/>
              </w:rPr>
            </w:pPr>
          </w:p>
        </w:tc>
        <w:tc>
          <w:tcPr>
            <w:tcW w:w="729" w:type="pct"/>
            <w:tcBorders>
              <w:left w:val="nil"/>
              <w:right w:val="nil"/>
            </w:tcBorders>
            <w:shd w:val="clear" w:color="auto" w:fill="auto"/>
            <w:vAlign w:val="bottom"/>
          </w:tcPr>
          <w:p w14:paraId="40F3DEA5" w14:textId="77777777" w:rsidR="002B72BA" w:rsidRPr="00593C40" w:rsidRDefault="002B72BA" w:rsidP="00F30A15">
            <w:pPr>
              <w:jc w:val="right"/>
              <w:rPr>
                <w:rFonts w:ascii="Arial" w:hAnsi="Arial" w:cs="Arial"/>
                <w:bCs/>
                <w:sz w:val="16"/>
                <w:szCs w:val="16"/>
              </w:rPr>
            </w:pPr>
          </w:p>
        </w:tc>
      </w:tr>
      <w:tr w:rsidR="002B72BA" w:rsidRPr="00593C40" w14:paraId="37263C9C" w14:textId="77777777" w:rsidTr="002E2271">
        <w:trPr>
          <w:trHeight w:val="285"/>
        </w:trPr>
        <w:tc>
          <w:tcPr>
            <w:tcW w:w="3257" w:type="pct"/>
            <w:tcBorders>
              <w:top w:val="nil"/>
              <w:left w:val="nil"/>
              <w:bottom w:val="nil"/>
              <w:right w:val="nil"/>
            </w:tcBorders>
            <w:shd w:val="clear" w:color="auto" w:fill="auto"/>
            <w:vAlign w:val="bottom"/>
            <w:hideMark/>
          </w:tcPr>
          <w:p w14:paraId="34F4A281"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Venta de PPE, activos intangibles y otros activos</w:t>
            </w:r>
          </w:p>
        </w:tc>
        <w:tc>
          <w:tcPr>
            <w:tcW w:w="411" w:type="pct"/>
            <w:tcBorders>
              <w:top w:val="nil"/>
              <w:left w:val="nil"/>
              <w:bottom w:val="nil"/>
              <w:right w:val="nil"/>
            </w:tcBorders>
            <w:shd w:val="clear" w:color="auto" w:fill="auto"/>
            <w:hideMark/>
          </w:tcPr>
          <w:p w14:paraId="280B10A6"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4B8A655B" w14:textId="2F35E23E" w:rsidR="002B72BA" w:rsidRPr="00593C40" w:rsidRDefault="000B0963" w:rsidP="00F30A15">
            <w:pPr>
              <w:jc w:val="right"/>
              <w:rPr>
                <w:rFonts w:ascii="Arial" w:hAnsi="Arial" w:cs="Arial"/>
                <w:bCs/>
                <w:sz w:val="16"/>
                <w:szCs w:val="16"/>
              </w:rPr>
            </w:pPr>
            <w:r w:rsidRPr="000B0963">
              <w:rPr>
                <w:rFonts w:ascii="Arial" w:hAnsi="Arial" w:cs="Arial"/>
                <w:bCs/>
                <w:sz w:val="16"/>
                <w:szCs w:val="16"/>
              </w:rPr>
              <w:t>36.410</w:t>
            </w:r>
          </w:p>
        </w:tc>
        <w:tc>
          <w:tcPr>
            <w:tcW w:w="729" w:type="pct"/>
            <w:tcBorders>
              <w:left w:val="nil"/>
              <w:right w:val="nil"/>
            </w:tcBorders>
            <w:shd w:val="clear" w:color="auto" w:fill="auto"/>
            <w:vAlign w:val="bottom"/>
          </w:tcPr>
          <w:p w14:paraId="175F1E9D" w14:textId="05C5B0F2" w:rsidR="002B72BA" w:rsidRPr="00593C40" w:rsidRDefault="00D83EA0" w:rsidP="00F30A15">
            <w:pPr>
              <w:jc w:val="right"/>
              <w:rPr>
                <w:rFonts w:ascii="Arial" w:hAnsi="Arial" w:cs="Arial"/>
                <w:bCs/>
                <w:sz w:val="16"/>
                <w:szCs w:val="16"/>
              </w:rPr>
            </w:pPr>
            <w:r w:rsidRPr="00D83EA0">
              <w:rPr>
                <w:rFonts w:ascii="Arial" w:hAnsi="Arial" w:cs="Arial"/>
                <w:bCs/>
                <w:sz w:val="16"/>
                <w:szCs w:val="16"/>
              </w:rPr>
              <w:t>46.707</w:t>
            </w:r>
          </w:p>
        </w:tc>
      </w:tr>
      <w:tr w:rsidR="002B72BA" w:rsidRPr="00593C40" w14:paraId="555E4459" w14:textId="77777777" w:rsidTr="002E2271">
        <w:trPr>
          <w:trHeight w:val="80"/>
        </w:trPr>
        <w:tc>
          <w:tcPr>
            <w:tcW w:w="3257" w:type="pct"/>
            <w:tcBorders>
              <w:top w:val="nil"/>
              <w:left w:val="nil"/>
              <w:bottom w:val="nil"/>
              <w:right w:val="nil"/>
            </w:tcBorders>
            <w:shd w:val="clear" w:color="auto" w:fill="auto"/>
            <w:vAlign w:val="bottom"/>
            <w:hideMark/>
          </w:tcPr>
          <w:p w14:paraId="50F002C4"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22A6E7BB" w14:textId="77777777" w:rsidR="002B72BA" w:rsidRPr="00593C40" w:rsidRDefault="002B72BA" w:rsidP="00F30A15">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7814B231" w14:textId="77777777" w:rsidR="002B72BA" w:rsidRPr="00593C40" w:rsidRDefault="002B72BA" w:rsidP="00F30A15">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4D050A05" w14:textId="77777777" w:rsidR="002B72BA" w:rsidRPr="00593C40" w:rsidRDefault="002B72BA" w:rsidP="00F30A15">
            <w:pPr>
              <w:jc w:val="right"/>
              <w:rPr>
                <w:rFonts w:ascii="Arial" w:hAnsi="Arial" w:cs="Arial"/>
                <w:bCs/>
                <w:sz w:val="10"/>
                <w:szCs w:val="10"/>
              </w:rPr>
            </w:pPr>
          </w:p>
        </w:tc>
      </w:tr>
      <w:tr w:rsidR="002B72BA" w:rsidRPr="00593C40" w14:paraId="1BEEE0AF" w14:textId="77777777" w:rsidTr="002E2271">
        <w:trPr>
          <w:trHeight w:val="179"/>
        </w:trPr>
        <w:tc>
          <w:tcPr>
            <w:tcW w:w="3257" w:type="pct"/>
            <w:tcBorders>
              <w:top w:val="nil"/>
              <w:left w:val="nil"/>
              <w:bottom w:val="nil"/>
              <w:right w:val="nil"/>
            </w:tcBorders>
            <w:shd w:val="clear" w:color="auto" w:fill="auto"/>
            <w:vAlign w:val="bottom"/>
            <w:hideMark/>
          </w:tcPr>
          <w:p w14:paraId="1C70DEB4"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TOTAL DE LAS ACTIVIDADES DE INVERSIÓN (B)</w:t>
            </w:r>
          </w:p>
        </w:tc>
        <w:tc>
          <w:tcPr>
            <w:tcW w:w="411" w:type="pct"/>
            <w:tcBorders>
              <w:top w:val="nil"/>
              <w:left w:val="nil"/>
              <w:bottom w:val="nil"/>
              <w:right w:val="nil"/>
            </w:tcBorders>
            <w:shd w:val="clear" w:color="auto" w:fill="auto"/>
            <w:hideMark/>
          </w:tcPr>
          <w:p w14:paraId="311C6719" w14:textId="77777777" w:rsidR="002B72BA" w:rsidRPr="00593C40"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9ABFD67" w14:textId="5B10C575" w:rsidR="002B72BA" w:rsidRPr="00593C40" w:rsidRDefault="000B0963" w:rsidP="00F30A15">
            <w:pPr>
              <w:jc w:val="right"/>
              <w:rPr>
                <w:rFonts w:ascii="Arial" w:hAnsi="Arial" w:cs="Arial"/>
                <w:b/>
                <w:bCs/>
                <w:sz w:val="16"/>
                <w:szCs w:val="16"/>
              </w:rPr>
            </w:pPr>
            <w:r w:rsidRPr="000B0963">
              <w:rPr>
                <w:rFonts w:ascii="Arial" w:hAnsi="Arial" w:cs="Arial"/>
                <w:b/>
                <w:bCs/>
                <w:sz w:val="16"/>
                <w:szCs w:val="16"/>
              </w:rPr>
              <w:t>-242.839</w:t>
            </w:r>
          </w:p>
        </w:tc>
        <w:tc>
          <w:tcPr>
            <w:tcW w:w="729" w:type="pct"/>
            <w:tcBorders>
              <w:top w:val="single" w:sz="4" w:space="0" w:color="auto"/>
              <w:left w:val="nil"/>
              <w:bottom w:val="single" w:sz="4" w:space="0" w:color="auto"/>
              <w:right w:val="nil"/>
            </w:tcBorders>
            <w:shd w:val="clear" w:color="auto" w:fill="auto"/>
            <w:vAlign w:val="bottom"/>
          </w:tcPr>
          <w:p w14:paraId="462531A8" w14:textId="28BA4B3E" w:rsidR="002B72BA" w:rsidRPr="00593C40" w:rsidRDefault="00D83EA0" w:rsidP="00F30A15">
            <w:pPr>
              <w:jc w:val="right"/>
              <w:rPr>
                <w:rFonts w:ascii="Arial" w:hAnsi="Arial" w:cs="Arial"/>
                <w:b/>
                <w:bCs/>
                <w:sz w:val="16"/>
                <w:szCs w:val="16"/>
              </w:rPr>
            </w:pPr>
            <w:r w:rsidRPr="00D83EA0">
              <w:rPr>
                <w:rFonts w:ascii="Arial" w:hAnsi="Arial" w:cs="Arial"/>
                <w:b/>
                <w:bCs/>
                <w:sz w:val="16"/>
                <w:szCs w:val="16"/>
              </w:rPr>
              <w:t>-680.727</w:t>
            </w:r>
          </w:p>
        </w:tc>
      </w:tr>
      <w:tr w:rsidR="002B72BA" w:rsidRPr="00593C40" w14:paraId="19EE8F75" w14:textId="77777777" w:rsidTr="002E2271">
        <w:trPr>
          <w:trHeight w:val="70"/>
        </w:trPr>
        <w:tc>
          <w:tcPr>
            <w:tcW w:w="3257" w:type="pct"/>
            <w:tcBorders>
              <w:top w:val="nil"/>
              <w:left w:val="nil"/>
              <w:bottom w:val="nil"/>
              <w:right w:val="nil"/>
            </w:tcBorders>
            <w:shd w:val="clear" w:color="auto" w:fill="auto"/>
            <w:vAlign w:val="bottom"/>
            <w:hideMark/>
          </w:tcPr>
          <w:p w14:paraId="362E6D92"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2E2E4545" w14:textId="77777777" w:rsidR="002B72BA" w:rsidRPr="00593C40" w:rsidRDefault="002B72BA" w:rsidP="00F30A15">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402429A1" w14:textId="77777777" w:rsidR="002B72BA" w:rsidRPr="00593C40" w:rsidRDefault="002B72BA" w:rsidP="00F30A15">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465DDCDB" w14:textId="77777777" w:rsidR="002B72BA" w:rsidRPr="00593C40" w:rsidRDefault="002B72BA" w:rsidP="00F30A15">
            <w:pPr>
              <w:jc w:val="right"/>
              <w:rPr>
                <w:rFonts w:ascii="Arial" w:hAnsi="Arial" w:cs="Arial"/>
                <w:b/>
                <w:bCs/>
                <w:sz w:val="10"/>
                <w:szCs w:val="10"/>
              </w:rPr>
            </w:pPr>
          </w:p>
        </w:tc>
      </w:tr>
      <w:tr w:rsidR="002B72BA" w:rsidRPr="00593C40" w14:paraId="57AFBC64" w14:textId="77777777" w:rsidTr="002E2271">
        <w:trPr>
          <w:trHeight w:val="285"/>
        </w:trPr>
        <w:tc>
          <w:tcPr>
            <w:tcW w:w="3257" w:type="pct"/>
            <w:tcBorders>
              <w:top w:val="nil"/>
              <w:left w:val="nil"/>
              <w:bottom w:val="nil"/>
              <w:right w:val="nil"/>
            </w:tcBorders>
            <w:shd w:val="clear" w:color="auto" w:fill="auto"/>
            <w:vAlign w:val="bottom"/>
            <w:hideMark/>
          </w:tcPr>
          <w:p w14:paraId="7002436F"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FINANCIACIÓN</w:t>
            </w:r>
          </w:p>
        </w:tc>
        <w:tc>
          <w:tcPr>
            <w:tcW w:w="411" w:type="pct"/>
            <w:tcBorders>
              <w:top w:val="nil"/>
              <w:left w:val="nil"/>
              <w:bottom w:val="nil"/>
              <w:right w:val="nil"/>
            </w:tcBorders>
            <w:shd w:val="clear" w:color="auto" w:fill="auto"/>
            <w:hideMark/>
          </w:tcPr>
          <w:p w14:paraId="21E1E18D"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196AB2C" w14:textId="77777777"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vAlign w:val="bottom"/>
          </w:tcPr>
          <w:p w14:paraId="3C31A5BB" w14:textId="77777777" w:rsidR="002B72BA" w:rsidRPr="00593C40" w:rsidRDefault="002B72BA" w:rsidP="00F30A15">
            <w:pPr>
              <w:jc w:val="right"/>
              <w:rPr>
                <w:rFonts w:ascii="Arial" w:hAnsi="Arial" w:cs="Arial"/>
                <w:b/>
                <w:bCs/>
                <w:sz w:val="16"/>
                <w:szCs w:val="16"/>
              </w:rPr>
            </w:pPr>
          </w:p>
        </w:tc>
      </w:tr>
      <w:tr w:rsidR="002B72BA" w:rsidRPr="00593C40" w14:paraId="685E8DC1" w14:textId="77777777" w:rsidTr="002E2271">
        <w:trPr>
          <w:trHeight w:val="116"/>
        </w:trPr>
        <w:tc>
          <w:tcPr>
            <w:tcW w:w="3257" w:type="pct"/>
            <w:tcBorders>
              <w:top w:val="nil"/>
              <w:left w:val="nil"/>
              <w:bottom w:val="nil"/>
              <w:right w:val="nil"/>
            </w:tcBorders>
            <w:shd w:val="clear" w:color="auto" w:fill="auto"/>
            <w:vAlign w:val="bottom"/>
            <w:hideMark/>
          </w:tcPr>
          <w:p w14:paraId="0BDB30C8"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72EB2412"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vAlign w:val="bottom"/>
          </w:tcPr>
          <w:p w14:paraId="41D3C851" w14:textId="77777777" w:rsidR="002B72BA" w:rsidRPr="00593C40" w:rsidRDefault="002B72BA" w:rsidP="00F30A15">
            <w:pPr>
              <w:jc w:val="right"/>
              <w:rPr>
                <w:rFonts w:ascii="Arial" w:hAnsi="Arial" w:cs="Arial"/>
                <w:b/>
                <w:bCs/>
                <w:sz w:val="10"/>
                <w:szCs w:val="10"/>
              </w:rPr>
            </w:pPr>
          </w:p>
        </w:tc>
        <w:tc>
          <w:tcPr>
            <w:tcW w:w="729" w:type="pct"/>
            <w:tcBorders>
              <w:left w:val="nil"/>
              <w:right w:val="nil"/>
            </w:tcBorders>
            <w:shd w:val="clear" w:color="auto" w:fill="auto"/>
            <w:vAlign w:val="bottom"/>
          </w:tcPr>
          <w:p w14:paraId="74B895FA" w14:textId="77777777" w:rsidR="002B72BA" w:rsidRPr="00593C40" w:rsidRDefault="002B72BA" w:rsidP="00F30A15">
            <w:pPr>
              <w:jc w:val="right"/>
              <w:rPr>
                <w:rFonts w:ascii="Arial" w:hAnsi="Arial" w:cs="Arial"/>
                <w:b/>
                <w:bCs/>
                <w:sz w:val="10"/>
                <w:szCs w:val="10"/>
              </w:rPr>
            </w:pPr>
          </w:p>
        </w:tc>
      </w:tr>
      <w:tr w:rsidR="002B72BA" w:rsidRPr="00593C40" w14:paraId="1D2EFB1E" w14:textId="77777777" w:rsidTr="002E2271">
        <w:trPr>
          <w:trHeight w:val="161"/>
        </w:trPr>
        <w:tc>
          <w:tcPr>
            <w:tcW w:w="3257" w:type="pct"/>
            <w:tcBorders>
              <w:top w:val="nil"/>
              <w:left w:val="nil"/>
              <w:bottom w:val="nil"/>
              <w:right w:val="nil"/>
            </w:tcBorders>
            <w:shd w:val="clear" w:color="auto" w:fill="auto"/>
            <w:vAlign w:val="bottom"/>
            <w:hideMark/>
          </w:tcPr>
          <w:p w14:paraId="0E7121B9"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hideMark/>
          </w:tcPr>
          <w:p w14:paraId="25276C4F"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472CBB7" w14:textId="77777777"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vAlign w:val="bottom"/>
          </w:tcPr>
          <w:p w14:paraId="72FE3472" w14:textId="77777777" w:rsidR="002B72BA" w:rsidRPr="00593C40" w:rsidRDefault="002B72BA" w:rsidP="00F30A15">
            <w:pPr>
              <w:jc w:val="right"/>
              <w:rPr>
                <w:rFonts w:ascii="Arial" w:hAnsi="Arial" w:cs="Arial"/>
                <w:b/>
                <w:bCs/>
                <w:sz w:val="16"/>
                <w:szCs w:val="16"/>
              </w:rPr>
            </w:pPr>
          </w:p>
        </w:tc>
      </w:tr>
      <w:tr w:rsidR="002B72BA" w:rsidRPr="00593C40" w14:paraId="572B25C6" w14:textId="77777777" w:rsidTr="002E2271">
        <w:trPr>
          <w:trHeight w:val="285"/>
        </w:trPr>
        <w:tc>
          <w:tcPr>
            <w:tcW w:w="3257" w:type="pct"/>
            <w:tcBorders>
              <w:top w:val="nil"/>
              <w:left w:val="nil"/>
              <w:bottom w:val="nil"/>
              <w:right w:val="nil"/>
            </w:tcBorders>
            <w:shd w:val="clear" w:color="auto" w:fill="auto"/>
            <w:vAlign w:val="bottom"/>
            <w:hideMark/>
          </w:tcPr>
          <w:p w14:paraId="2E64718F"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Obligaciones negociables no subordinadas</w:t>
            </w:r>
          </w:p>
        </w:tc>
        <w:tc>
          <w:tcPr>
            <w:tcW w:w="411" w:type="pct"/>
            <w:tcBorders>
              <w:top w:val="nil"/>
              <w:left w:val="nil"/>
              <w:bottom w:val="nil"/>
              <w:right w:val="nil"/>
            </w:tcBorders>
            <w:shd w:val="clear" w:color="auto" w:fill="auto"/>
            <w:hideMark/>
          </w:tcPr>
          <w:p w14:paraId="5E65559C"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09239A1" w14:textId="78892780" w:rsidR="002B72BA" w:rsidRPr="00593C40" w:rsidRDefault="000B0963" w:rsidP="00F30A15">
            <w:pPr>
              <w:jc w:val="right"/>
              <w:rPr>
                <w:rFonts w:ascii="Arial" w:hAnsi="Arial" w:cs="Arial"/>
                <w:bCs/>
                <w:sz w:val="16"/>
                <w:szCs w:val="16"/>
              </w:rPr>
            </w:pPr>
            <w:r w:rsidRPr="000B0963">
              <w:rPr>
                <w:rFonts w:ascii="Arial" w:hAnsi="Arial" w:cs="Arial"/>
                <w:bCs/>
                <w:sz w:val="16"/>
                <w:szCs w:val="16"/>
              </w:rPr>
              <w:t>-5.414.848</w:t>
            </w:r>
          </w:p>
        </w:tc>
        <w:tc>
          <w:tcPr>
            <w:tcW w:w="729" w:type="pct"/>
            <w:tcBorders>
              <w:left w:val="nil"/>
              <w:right w:val="nil"/>
            </w:tcBorders>
            <w:shd w:val="clear" w:color="auto" w:fill="auto"/>
            <w:vAlign w:val="bottom"/>
          </w:tcPr>
          <w:p w14:paraId="34B9CE46" w14:textId="4AF45C75" w:rsidR="002B72BA" w:rsidRPr="00593C40" w:rsidRDefault="00D83EA0" w:rsidP="00F30A15">
            <w:pPr>
              <w:jc w:val="right"/>
              <w:rPr>
                <w:rFonts w:ascii="Arial" w:hAnsi="Arial" w:cs="Arial"/>
                <w:bCs/>
                <w:sz w:val="16"/>
                <w:szCs w:val="16"/>
              </w:rPr>
            </w:pPr>
            <w:r w:rsidRPr="00D83EA0">
              <w:rPr>
                <w:rFonts w:ascii="Arial" w:hAnsi="Arial" w:cs="Arial"/>
                <w:bCs/>
                <w:sz w:val="16"/>
                <w:szCs w:val="16"/>
              </w:rPr>
              <w:t>-4.266.860</w:t>
            </w:r>
          </w:p>
        </w:tc>
      </w:tr>
      <w:tr w:rsidR="002B72BA" w:rsidRPr="00593C40" w14:paraId="4787673D" w14:textId="77777777" w:rsidTr="002E2271">
        <w:trPr>
          <w:trHeight w:val="285"/>
        </w:trPr>
        <w:tc>
          <w:tcPr>
            <w:tcW w:w="3257" w:type="pct"/>
            <w:tcBorders>
              <w:top w:val="nil"/>
              <w:left w:val="nil"/>
              <w:bottom w:val="nil"/>
              <w:right w:val="nil"/>
            </w:tcBorders>
            <w:shd w:val="clear" w:color="auto" w:fill="auto"/>
            <w:vAlign w:val="bottom"/>
            <w:hideMark/>
          </w:tcPr>
          <w:p w14:paraId="2D550EAC"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hideMark/>
          </w:tcPr>
          <w:p w14:paraId="3320ABFC"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0772B1AD" w14:textId="22A612BA" w:rsidR="002B72BA" w:rsidRPr="00593C40" w:rsidRDefault="000B0963" w:rsidP="00F30A15">
            <w:pPr>
              <w:jc w:val="right"/>
              <w:rPr>
                <w:rFonts w:ascii="Arial" w:hAnsi="Arial" w:cs="Arial"/>
                <w:bCs/>
                <w:sz w:val="16"/>
                <w:szCs w:val="16"/>
              </w:rPr>
            </w:pPr>
            <w:r w:rsidRPr="000B0963">
              <w:rPr>
                <w:rFonts w:ascii="Arial" w:hAnsi="Arial" w:cs="Arial"/>
                <w:bCs/>
                <w:sz w:val="16"/>
                <w:szCs w:val="16"/>
              </w:rPr>
              <w:t>-4.447.494</w:t>
            </w:r>
          </w:p>
        </w:tc>
        <w:tc>
          <w:tcPr>
            <w:tcW w:w="729" w:type="pct"/>
            <w:tcBorders>
              <w:left w:val="nil"/>
              <w:right w:val="nil"/>
            </w:tcBorders>
            <w:shd w:val="clear" w:color="auto" w:fill="auto"/>
            <w:vAlign w:val="bottom"/>
          </w:tcPr>
          <w:p w14:paraId="5616E621" w14:textId="62433F7A" w:rsidR="002B72BA" w:rsidRPr="00593C40" w:rsidRDefault="00D83EA0" w:rsidP="00F30A15">
            <w:pPr>
              <w:jc w:val="right"/>
              <w:rPr>
                <w:rFonts w:ascii="Arial" w:hAnsi="Arial" w:cs="Arial"/>
                <w:bCs/>
                <w:sz w:val="16"/>
                <w:szCs w:val="16"/>
              </w:rPr>
            </w:pPr>
            <w:r w:rsidRPr="00D83EA0">
              <w:rPr>
                <w:rFonts w:ascii="Arial" w:hAnsi="Arial" w:cs="Arial"/>
                <w:bCs/>
                <w:sz w:val="16"/>
                <w:szCs w:val="16"/>
              </w:rPr>
              <w:t>-24.855.449</w:t>
            </w:r>
          </w:p>
        </w:tc>
      </w:tr>
      <w:tr w:rsidR="002B72BA" w:rsidRPr="00593C40" w14:paraId="7D3A9685" w14:textId="77777777" w:rsidTr="002E2271">
        <w:trPr>
          <w:trHeight w:val="285"/>
        </w:trPr>
        <w:tc>
          <w:tcPr>
            <w:tcW w:w="3257" w:type="pct"/>
            <w:tcBorders>
              <w:top w:val="nil"/>
              <w:left w:val="nil"/>
              <w:bottom w:val="nil"/>
              <w:right w:val="nil"/>
            </w:tcBorders>
            <w:shd w:val="clear" w:color="auto" w:fill="auto"/>
            <w:vAlign w:val="bottom"/>
            <w:hideMark/>
          </w:tcPr>
          <w:p w14:paraId="3090748A"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Obligaciones subordinadas</w:t>
            </w:r>
          </w:p>
        </w:tc>
        <w:tc>
          <w:tcPr>
            <w:tcW w:w="411" w:type="pct"/>
            <w:tcBorders>
              <w:top w:val="nil"/>
              <w:left w:val="nil"/>
              <w:bottom w:val="nil"/>
              <w:right w:val="nil"/>
            </w:tcBorders>
            <w:shd w:val="clear" w:color="auto" w:fill="auto"/>
            <w:hideMark/>
          </w:tcPr>
          <w:p w14:paraId="30D3A2C2"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4217B109" w14:textId="0AA479B2" w:rsidR="002B72BA" w:rsidRPr="00593C40" w:rsidRDefault="000B0963" w:rsidP="00F30A15">
            <w:pPr>
              <w:jc w:val="right"/>
              <w:rPr>
                <w:rFonts w:ascii="Arial" w:hAnsi="Arial" w:cs="Arial"/>
                <w:bCs/>
                <w:sz w:val="16"/>
                <w:szCs w:val="16"/>
              </w:rPr>
            </w:pPr>
            <w:r w:rsidRPr="000B0963">
              <w:rPr>
                <w:rFonts w:ascii="Arial" w:hAnsi="Arial" w:cs="Arial"/>
                <w:bCs/>
                <w:sz w:val="16"/>
                <w:szCs w:val="16"/>
              </w:rPr>
              <w:t>-404.880</w:t>
            </w:r>
          </w:p>
        </w:tc>
        <w:tc>
          <w:tcPr>
            <w:tcW w:w="729" w:type="pct"/>
            <w:tcBorders>
              <w:left w:val="nil"/>
              <w:right w:val="nil"/>
            </w:tcBorders>
            <w:shd w:val="clear" w:color="auto" w:fill="auto"/>
            <w:vAlign w:val="bottom"/>
          </w:tcPr>
          <w:p w14:paraId="21EF87D4" w14:textId="30FC498C" w:rsidR="002B72BA" w:rsidRPr="00593C40" w:rsidRDefault="00D83EA0" w:rsidP="00F30A15">
            <w:pPr>
              <w:jc w:val="right"/>
              <w:rPr>
                <w:rFonts w:ascii="Arial" w:hAnsi="Arial" w:cs="Arial"/>
                <w:bCs/>
                <w:sz w:val="16"/>
                <w:szCs w:val="16"/>
              </w:rPr>
            </w:pPr>
            <w:r w:rsidRPr="00D83EA0">
              <w:rPr>
                <w:rFonts w:ascii="Arial" w:hAnsi="Arial" w:cs="Arial"/>
                <w:bCs/>
                <w:sz w:val="16"/>
                <w:szCs w:val="16"/>
              </w:rPr>
              <w:t>-43.365</w:t>
            </w:r>
          </w:p>
        </w:tc>
      </w:tr>
      <w:tr w:rsidR="002B72BA" w:rsidRPr="00593C40" w14:paraId="78329AE3" w14:textId="77777777" w:rsidTr="002E2271">
        <w:trPr>
          <w:trHeight w:val="285"/>
        </w:trPr>
        <w:tc>
          <w:tcPr>
            <w:tcW w:w="3257" w:type="pct"/>
            <w:tcBorders>
              <w:top w:val="nil"/>
              <w:left w:val="nil"/>
              <w:bottom w:val="nil"/>
              <w:right w:val="nil"/>
            </w:tcBorders>
            <w:shd w:val="clear" w:color="auto" w:fill="auto"/>
            <w:vAlign w:val="bottom"/>
          </w:tcPr>
          <w:p w14:paraId="4BAD6999" w14:textId="77777777" w:rsidR="002B72BA" w:rsidRPr="00AC4F4B" w:rsidRDefault="002B72BA" w:rsidP="002E2271">
            <w:pPr>
              <w:ind w:firstLine="284"/>
              <w:rPr>
                <w:rFonts w:ascii="Arial" w:hAnsi="Arial" w:cs="Arial"/>
                <w:bCs/>
                <w:sz w:val="16"/>
                <w:szCs w:val="16"/>
                <w:lang w:eastAsia="es-AR"/>
              </w:rPr>
            </w:pPr>
            <w:r w:rsidRPr="006F757F">
              <w:rPr>
                <w:rFonts w:ascii="Arial" w:hAnsi="Arial" w:cs="Arial"/>
                <w:bCs/>
                <w:sz w:val="16"/>
                <w:szCs w:val="16"/>
                <w:lang w:eastAsia="es-AR"/>
              </w:rPr>
              <w:t>Pagos por arrendamientos financieros</w:t>
            </w:r>
          </w:p>
        </w:tc>
        <w:tc>
          <w:tcPr>
            <w:tcW w:w="411" w:type="pct"/>
            <w:tcBorders>
              <w:top w:val="nil"/>
              <w:left w:val="nil"/>
              <w:bottom w:val="nil"/>
              <w:right w:val="nil"/>
            </w:tcBorders>
            <w:shd w:val="clear" w:color="auto" w:fill="auto"/>
          </w:tcPr>
          <w:p w14:paraId="56B8E108"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0D9DD091" w14:textId="7D215ADF" w:rsidR="002B72BA" w:rsidRPr="006F757F" w:rsidRDefault="000B0963" w:rsidP="00F30A15">
            <w:pPr>
              <w:jc w:val="right"/>
              <w:rPr>
                <w:rFonts w:ascii="Arial" w:hAnsi="Arial" w:cs="Arial"/>
                <w:bCs/>
                <w:sz w:val="16"/>
                <w:szCs w:val="16"/>
              </w:rPr>
            </w:pPr>
            <w:r w:rsidRPr="000B0963">
              <w:rPr>
                <w:rFonts w:ascii="Arial" w:hAnsi="Arial" w:cs="Arial"/>
                <w:bCs/>
                <w:sz w:val="16"/>
                <w:szCs w:val="16"/>
              </w:rPr>
              <w:t>-355.890</w:t>
            </w:r>
          </w:p>
        </w:tc>
        <w:tc>
          <w:tcPr>
            <w:tcW w:w="729" w:type="pct"/>
            <w:tcBorders>
              <w:left w:val="nil"/>
              <w:right w:val="nil"/>
            </w:tcBorders>
            <w:shd w:val="clear" w:color="auto" w:fill="auto"/>
            <w:vAlign w:val="bottom"/>
          </w:tcPr>
          <w:p w14:paraId="7A570A49" w14:textId="48E705AF" w:rsidR="002B72BA" w:rsidRPr="00593C40" w:rsidRDefault="00D83EA0" w:rsidP="00F30A15">
            <w:pPr>
              <w:jc w:val="right"/>
              <w:rPr>
                <w:rFonts w:ascii="Arial" w:hAnsi="Arial" w:cs="Arial"/>
                <w:bCs/>
                <w:sz w:val="16"/>
                <w:szCs w:val="16"/>
              </w:rPr>
            </w:pPr>
            <w:r>
              <w:rPr>
                <w:rFonts w:ascii="Arial" w:hAnsi="Arial" w:cs="Arial"/>
                <w:bCs/>
                <w:sz w:val="16"/>
                <w:szCs w:val="16"/>
              </w:rPr>
              <w:t>-</w:t>
            </w:r>
          </w:p>
        </w:tc>
      </w:tr>
      <w:tr w:rsidR="002B72BA" w:rsidRPr="00593C40" w14:paraId="51827347" w14:textId="77777777" w:rsidTr="002E2271">
        <w:trPr>
          <w:trHeight w:val="82"/>
        </w:trPr>
        <w:tc>
          <w:tcPr>
            <w:tcW w:w="3257" w:type="pct"/>
            <w:tcBorders>
              <w:top w:val="nil"/>
              <w:left w:val="nil"/>
              <w:bottom w:val="nil"/>
              <w:right w:val="nil"/>
            </w:tcBorders>
            <w:shd w:val="clear" w:color="auto" w:fill="auto"/>
            <w:vAlign w:val="bottom"/>
            <w:hideMark/>
          </w:tcPr>
          <w:p w14:paraId="486CE6C8"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14DE6B4A"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vAlign w:val="bottom"/>
          </w:tcPr>
          <w:p w14:paraId="33C6A730" w14:textId="77777777" w:rsidR="002B72BA" w:rsidRPr="00593C40" w:rsidRDefault="002B72BA" w:rsidP="00F30A15">
            <w:pPr>
              <w:jc w:val="right"/>
              <w:rPr>
                <w:rFonts w:ascii="Arial" w:hAnsi="Arial" w:cs="Arial"/>
                <w:bCs/>
                <w:sz w:val="10"/>
                <w:szCs w:val="10"/>
              </w:rPr>
            </w:pPr>
          </w:p>
        </w:tc>
        <w:tc>
          <w:tcPr>
            <w:tcW w:w="729" w:type="pct"/>
            <w:tcBorders>
              <w:left w:val="nil"/>
              <w:right w:val="nil"/>
            </w:tcBorders>
            <w:shd w:val="clear" w:color="auto" w:fill="auto"/>
            <w:vAlign w:val="bottom"/>
          </w:tcPr>
          <w:p w14:paraId="6708A3D8" w14:textId="77777777" w:rsidR="002B72BA" w:rsidRPr="00593C40" w:rsidRDefault="002B72BA" w:rsidP="00F30A15">
            <w:pPr>
              <w:jc w:val="right"/>
              <w:rPr>
                <w:rFonts w:ascii="Arial" w:hAnsi="Arial" w:cs="Arial"/>
                <w:bCs/>
                <w:sz w:val="10"/>
                <w:szCs w:val="10"/>
              </w:rPr>
            </w:pPr>
          </w:p>
        </w:tc>
      </w:tr>
      <w:tr w:rsidR="002B72BA" w:rsidRPr="00593C40" w14:paraId="50B8DF2F" w14:textId="77777777" w:rsidTr="002E2271">
        <w:trPr>
          <w:trHeight w:val="140"/>
        </w:trPr>
        <w:tc>
          <w:tcPr>
            <w:tcW w:w="3257" w:type="pct"/>
            <w:tcBorders>
              <w:top w:val="nil"/>
              <w:left w:val="nil"/>
              <w:bottom w:val="nil"/>
              <w:right w:val="nil"/>
            </w:tcBorders>
            <w:shd w:val="clear" w:color="auto" w:fill="auto"/>
            <w:vAlign w:val="bottom"/>
            <w:hideMark/>
          </w:tcPr>
          <w:p w14:paraId="148D5485"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hideMark/>
          </w:tcPr>
          <w:p w14:paraId="0CF0311C"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598BAE3" w14:textId="77777777" w:rsidR="002B72BA" w:rsidRPr="00593C40" w:rsidRDefault="002B72BA" w:rsidP="00F30A15">
            <w:pPr>
              <w:jc w:val="right"/>
              <w:rPr>
                <w:rFonts w:ascii="Arial" w:hAnsi="Arial" w:cs="Arial"/>
                <w:bCs/>
                <w:sz w:val="16"/>
                <w:szCs w:val="16"/>
              </w:rPr>
            </w:pPr>
          </w:p>
        </w:tc>
        <w:tc>
          <w:tcPr>
            <w:tcW w:w="729" w:type="pct"/>
            <w:tcBorders>
              <w:left w:val="nil"/>
              <w:right w:val="nil"/>
            </w:tcBorders>
            <w:shd w:val="clear" w:color="auto" w:fill="auto"/>
            <w:vAlign w:val="bottom"/>
          </w:tcPr>
          <w:p w14:paraId="7F468DBF" w14:textId="77777777" w:rsidR="002B72BA" w:rsidRPr="00593C40" w:rsidRDefault="002B72BA" w:rsidP="00F30A15">
            <w:pPr>
              <w:jc w:val="right"/>
              <w:rPr>
                <w:rFonts w:ascii="Arial" w:hAnsi="Arial" w:cs="Arial"/>
                <w:bCs/>
                <w:sz w:val="16"/>
                <w:szCs w:val="16"/>
              </w:rPr>
            </w:pPr>
          </w:p>
        </w:tc>
      </w:tr>
      <w:tr w:rsidR="002B72BA" w:rsidRPr="00593C40" w14:paraId="4EF533EF" w14:textId="77777777" w:rsidTr="002E2271">
        <w:trPr>
          <w:trHeight w:val="285"/>
        </w:trPr>
        <w:tc>
          <w:tcPr>
            <w:tcW w:w="3257" w:type="pct"/>
            <w:tcBorders>
              <w:top w:val="nil"/>
              <w:left w:val="nil"/>
              <w:bottom w:val="nil"/>
              <w:right w:val="nil"/>
            </w:tcBorders>
            <w:shd w:val="clear" w:color="auto" w:fill="auto"/>
            <w:vAlign w:val="bottom"/>
            <w:hideMark/>
          </w:tcPr>
          <w:p w14:paraId="5F56DF38"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Emisión de instrumentos de patrimonio propio</w:t>
            </w:r>
          </w:p>
        </w:tc>
        <w:tc>
          <w:tcPr>
            <w:tcW w:w="411" w:type="pct"/>
            <w:tcBorders>
              <w:top w:val="nil"/>
              <w:left w:val="nil"/>
              <w:bottom w:val="nil"/>
              <w:right w:val="nil"/>
            </w:tcBorders>
            <w:shd w:val="clear" w:color="auto" w:fill="auto"/>
            <w:hideMark/>
          </w:tcPr>
          <w:p w14:paraId="22BE5CAF"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BF66A48" w14:textId="513EB4AE" w:rsidR="002B72BA" w:rsidRPr="00593C40" w:rsidRDefault="000B0963" w:rsidP="00F30A15">
            <w:pPr>
              <w:jc w:val="right"/>
              <w:rPr>
                <w:rFonts w:ascii="Arial" w:hAnsi="Arial" w:cs="Arial"/>
                <w:bCs/>
                <w:sz w:val="16"/>
                <w:szCs w:val="16"/>
              </w:rPr>
            </w:pPr>
            <w:r>
              <w:rPr>
                <w:rFonts w:ascii="Arial" w:hAnsi="Arial" w:cs="Arial"/>
                <w:bCs/>
                <w:sz w:val="16"/>
                <w:szCs w:val="16"/>
              </w:rPr>
              <w:t>-</w:t>
            </w:r>
          </w:p>
        </w:tc>
        <w:tc>
          <w:tcPr>
            <w:tcW w:w="729" w:type="pct"/>
            <w:tcBorders>
              <w:left w:val="nil"/>
              <w:right w:val="nil"/>
            </w:tcBorders>
            <w:shd w:val="clear" w:color="auto" w:fill="auto"/>
            <w:vAlign w:val="bottom"/>
          </w:tcPr>
          <w:p w14:paraId="37583BA7" w14:textId="1A05F746" w:rsidR="002B72BA" w:rsidRPr="00593C40" w:rsidRDefault="00D83EA0" w:rsidP="00F30A15">
            <w:pPr>
              <w:jc w:val="right"/>
              <w:rPr>
                <w:rFonts w:ascii="Arial" w:hAnsi="Arial" w:cs="Arial"/>
                <w:bCs/>
                <w:sz w:val="16"/>
                <w:szCs w:val="16"/>
              </w:rPr>
            </w:pPr>
            <w:r w:rsidRPr="00D83EA0">
              <w:rPr>
                <w:rFonts w:ascii="Arial" w:hAnsi="Arial" w:cs="Arial"/>
                <w:bCs/>
                <w:sz w:val="16"/>
                <w:szCs w:val="16"/>
              </w:rPr>
              <w:t xml:space="preserve">-   </w:t>
            </w:r>
          </w:p>
        </w:tc>
      </w:tr>
      <w:tr w:rsidR="002B72BA" w:rsidRPr="00593C40" w14:paraId="1635DACA" w14:textId="77777777" w:rsidTr="002E2271">
        <w:trPr>
          <w:trHeight w:val="285"/>
        </w:trPr>
        <w:tc>
          <w:tcPr>
            <w:tcW w:w="3257" w:type="pct"/>
            <w:tcBorders>
              <w:top w:val="nil"/>
              <w:left w:val="nil"/>
              <w:bottom w:val="nil"/>
              <w:right w:val="nil"/>
            </w:tcBorders>
            <w:shd w:val="clear" w:color="auto" w:fill="auto"/>
            <w:vAlign w:val="bottom"/>
            <w:hideMark/>
          </w:tcPr>
          <w:p w14:paraId="2FD62F7E"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Obligaciones negociables no subordinadas</w:t>
            </w:r>
          </w:p>
        </w:tc>
        <w:tc>
          <w:tcPr>
            <w:tcW w:w="411" w:type="pct"/>
            <w:tcBorders>
              <w:top w:val="nil"/>
              <w:left w:val="nil"/>
              <w:bottom w:val="nil"/>
              <w:right w:val="nil"/>
            </w:tcBorders>
            <w:shd w:val="clear" w:color="auto" w:fill="auto"/>
            <w:hideMark/>
          </w:tcPr>
          <w:p w14:paraId="46E8BC2E"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69880E85" w14:textId="6F78FFC7" w:rsidR="002B72BA" w:rsidRPr="00593C40" w:rsidRDefault="000B0963" w:rsidP="00F30A15">
            <w:pPr>
              <w:jc w:val="right"/>
              <w:rPr>
                <w:rFonts w:ascii="Arial" w:hAnsi="Arial" w:cs="Arial"/>
                <w:bCs/>
                <w:sz w:val="16"/>
                <w:szCs w:val="16"/>
              </w:rPr>
            </w:pPr>
            <w:r w:rsidRPr="000B0963">
              <w:rPr>
                <w:rFonts w:ascii="Arial" w:hAnsi="Arial" w:cs="Arial"/>
                <w:bCs/>
                <w:sz w:val="16"/>
                <w:szCs w:val="16"/>
              </w:rPr>
              <w:t>2.864.623</w:t>
            </w:r>
          </w:p>
        </w:tc>
        <w:tc>
          <w:tcPr>
            <w:tcW w:w="729" w:type="pct"/>
            <w:tcBorders>
              <w:left w:val="nil"/>
              <w:right w:val="nil"/>
            </w:tcBorders>
            <w:shd w:val="clear" w:color="auto" w:fill="auto"/>
            <w:vAlign w:val="bottom"/>
          </w:tcPr>
          <w:p w14:paraId="23A1EE0B" w14:textId="0BA3D6D8" w:rsidR="002B72BA" w:rsidRPr="00593C40" w:rsidRDefault="00D83EA0" w:rsidP="00F30A15">
            <w:pPr>
              <w:jc w:val="right"/>
              <w:rPr>
                <w:rFonts w:ascii="Arial" w:hAnsi="Arial" w:cs="Arial"/>
                <w:bCs/>
                <w:sz w:val="16"/>
                <w:szCs w:val="16"/>
              </w:rPr>
            </w:pPr>
            <w:r w:rsidRPr="00D83EA0">
              <w:rPr>
                <w:rFonts w:ascii="Arial" w:hAnsi="Arial" w:cs="Arial"/>
                <w:bCs/>
                <w:sz w:val="16"/>
                <w:szCs w:val="16"/>
              </w:rPr>
              <w:t>6.582.386</w:t>
            </w:r>
          </w:p>
        </w:tc>
      </w:tr>
      <w:tr w:rsidR="002B72BA" w:rsidRPr="00593C40" w14:paraId="63195B0B" w14:textId="77777777" w:rsidTr="002E2271">
        <w:trPr>
          <w:trHeight w:val="285"/>
        </w:trPr>
        <w:tc>
          <w:tcPr>
            <w:tcW w:w="3257" w:type="pct"/>
            <w:tcBorders>
              <w:top w:val="nil"/>
              <w:left w:val="nil"/>
              <w:bottom w:val="nil"/>
              <w:right w:val="nil"/>
            </w:tcBorders>
            <w:shd w:val="clear" w:color="auto" w:fill="auto"/>
            <w:vAlign w:val="bottom"/>
            <w:hideMark/>
          </w:tcPr>
          <w:p w14:paraId="2B17331A"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hideMark/>
          </w:tcPr>
          <w:p w14:paraId="34103D5E"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6E0F1F94" w14:textId="26ED0102" w:rsidR="002B72BA" w:rsidRPr="00593C40" w:rsidRDefault="000B0963" w:rsidP="00F30A15">
            <w:pPr>
              <w:jc w:val="right"/>
              <w:rPr>
                <w:rFonts w:ascii="Arial" w:hAnsi="Arial" w:cs="Arial"/>
                <w:bCs/>
                <w:sz w:val="16"/>
                <w:szCs w:val="16"/>
              </w:rPr>
            </w:pPr>
            <w:r w:rsidRPr="000B0963">
              <w:rPr>
                <w:rFonts w:ascii="Arial" w:hAnsi="Arial" w:cs="Arial"/>
                <w:bCs/>
                <w:sz w:val="16"/>
                <w:szCs w:val="16"/>
              </w:rPr>
              <w:t>2.784.280</w:t>
            </w:r>
          </w:p>
        </w:tc>
        <w:tc>
          <w:tcPr>
            <w:tcW w:w="729" w:type="pct"/>
            <w:tcBorders>
              <w:left w:val="nil"/>
              <w:right w:val="nil"/>
            </w:tcBorders>
            <w:shd w:val="clear" w:color="auto" w:fill="auto"/>
            <w:vAlign w:val="bottom"/>
          </w:tcPr>
          <w:p w14:paraId="553B6833" w14:textId="58B5F302" w:rsidR="002B72BA" w:rsidRPr="00593C40" w:rsidRDefault="00D83EA0" w:rsidP="00F30A15">
            <w:pPr>
              <w:jc w:val="right"/>
              <w:rPr>
                <w:rFonts w:ascii="Arial" w:hAnsi="Arial" w:cs="Arial"/>
                <w:bCs/>
                <w:sz w:val="16"/>
                <w:szCs w:val="16"/>
              </w:rPr>
            </w:pPr>
            <w:r w:rsidRPr="00D83EA0">
              <w:rPr>
                <w:rFonts w:ascii="Arial" w:hAnsi="Arial" w:cs="Arial"/>
                <w:bCs/>
                <w:sz w:val="16"/>
                <w:szCs w:val="16"/>
              </w:rPr>
              <w:t>23.846.491</w:t>
            </w:r>
          </w:p>
        </w:tc>
      </w:tr>
      <w:tr w:rsidR="002B72BA" w:rsidRPr="00593C40" w14:paraId="6B934447" w14:textId="77777777" w:rsidTr="002E2271">
        <w:trPr>
          <w:trHeight w:val="80"/>
        </w:trPr>
        <w:tc>
          <w:tcPr>
            <w:tcW w:w="3257" w:type="pct"/>
            <w:tcBorders>
              <w:top w:val="nil"/>
              <w:left w:val="nil"/>
              <w:bottom w:val="nil"/>
              <w:right w:val="nil"/>
            </w:tcBorders>
            <w:shd w:val="clear" w:color="auto" w:fill="auto"/>
            <w:vAlign w:val="bottom"/>
            <w:hideMark/>
          </w:tcPr>
          <w:p w14:paraId="5EC6B220"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07AC5C81" w14:textId="77777777" w:rsidR="002B72BA" w:rsidRPr="00593C40" w:rsidRDefault="002B72BA" w:rsidP="00F30A15">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7A658365" w14:textId="77777777" w:rsidR="002B72BA" w:rsidRPr="00593C40" w:rsidRDefault="002B72BA" w:rsidP="00F30A15">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236EC549" w14:textId="77777777" w:rsidR="002B72BA" w:rsidRPr="00593C40" w:rsidRDefault="002B72BA" w:rsidP="00F30A15">
            <w:pPr>
              <w:jc w:val="right"/>
              <w:rPr>
                <w:rFonts w:ascii="Arial" w:hAnsi="Arial" w:cs="Arial"/>
                <w:bCs/>
                <w:sz w:val="10"/>
                <w:szCs w:val="10"/>
              </w:rPr>
            </w:pPr>
          </w:p>
        </w:tc>
      </w:tr>
      <w:tr w:rsidR="002B72BA" w:rsidRPr="00593C40" w14:paraId="0BF73A67" w14:textId="77777777" w:rsidTr="002E2271">
        <w:trPr>
          <w:trHeight w:val="110"/>
        </w:trPr>
        <w:tc>
          <w:tcPr>
            <w:tcW w:w="3257" w:type="pct"/>
            <w:tcBorders>
              <w:top w:val="nil"/>
              <w:left w:val="nil"/>
              <w:bottom w:val="nil"/>
              <w:right w:val="nil"/>
            </w:tcBorders>
            <w:shd w:val="clear" w:color="auto" w:fill="auto"/>
            <w:vAlign w:val="bottom"/>
            <w:hideMark/>
          </w:tcPr>
          <w:p w14:paraId="0BAF51EE"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TOTAL DE LAS ACTIVIDADES DE FINANCIACIÓN (C)</w:t>
            </w:r>
          </w:p>
        </w:tc>
        <w:tc>
          <w:tcPr>
            <w:tcW w:w="411" w:type="pct"/>
            <w:tcBorders>
              <w:top w:val="nil"/>
              <w:left w:val="nil"/>
              <w:bottom w:val="nil"/>
              <w:right w:val="nil"/>
            </w:tcBorders>
            <w:shd w:val="clear" w:color="auto" w:fill="auto"/>
            <w:hideMark/>
          </w:tcPr>
          <w:p w14:paraId="5FE6CDEF" w14:textId="77777777" w:rsidR="002B72BA" w:rsidRPr="00593C40"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347725B0" w14:textId="07778356" w:rsidR="002B72BA" w:rsidRPr="00593C40" w:rsidRDefault="000B0963" w:rsidP="00F30A15">
            <w:pPr>
              <w:jc w:val="right"/>
              <w:rPr>
                <w:rFonts w:ascii="Arial" w:hAnsi="Arial" w:cs="Arial"/>
                <w:b/>
                <w:bCs/>
                <w:sz w:val="16"/>
                <w:szCs w:val="16"/>
              </w:rPr>
            </w:pPr>
            <w:r w:rsidRPr="000B0963">
              <w:rPr>
                <w:rFonts w:ascii="Arial" w:hAnsi="Arial" w:cs="Arial"/>
                <w:b/>
                <w:bCs/>
                <w:sz w:val="16"/>
                <w:szCs w:val="16"/>
              </w:rPr>
              <w:t>-4.974.209</w:t>
            </w:r>
          </w:p>
        </w:tc>
        <w:tc>
          <w:tcPr>
            <w:tcW w:w="729" w:type="pct"/>
            <w:tcBorders>
              <w:top w:val="single" w:sz="4" w:space="0" w:color="auto"/>
              <w:left w:val="nil"/>
              <w:bottom w:val="single" w:sz="4" w:space="0" w:color="auto"/>
              <w:right w:val="nil"/>
            </w:tcBorders>
            <w:shd w:val="clear" w:color="auto" w:fill="auto"/>
            <w:vAlign w:val="bottom"/>
          </w:tcPr>
          <w:p w14:paraId="59ED9EF0" w14:textId="675AD919" w:rsidR="002B72BA" w:rsidRPr="00593C40" w:rsidRDefault="00D83EA0" w:rsidP="00F30A15">
            <w:pPr>
              <w:jc w:val="right"/>
              <w:rPr>
                <w:rFonts w:ascii="Arial" w:hAnsi="Arial" w:cs="Arial"/>
                <w:b/>
                <w:bCs/>
                <w:sz w:val="16"/>
                <w:szCs w:val="16"/>
              </w:rPr>
            </w:pPr>
            <w:r w:rsidRPr="00D83EA0">
              <w:rPr>
                <w:rFonts w:ascii="Arial" w:hAnsi="Arial" w:cs="Arial"/>
                <w:b/>
                <w:bCs/>
                <w:sz w:val="16"/>
                <w:szCs w:val="16"/>
              </w:rPr>
              <w:t>1.263.203</w:t>
            </w:r>
          </w:p>
        </w:tc>
      </w:tr>
      <w:tr w:rsidR="002B72BA" w:rsidRPr="00AC4F4B" w14:paraId="655ECD46" w14:textId="77777777" w:rsidTr="007C1340">
        <w:trPr>
          <w:trHeight w:val="148"/>
        </w:trPr>
        <w:tc>
          <w:tcPr>
            <w:tcW w:w="3257" w:type="pct"/>
            <w:tcBorders>
              <w:top w:val="nil"/>
              <w:left w:val="nil"/>
              <w:bottom w:val="nil"/>
              <w:right w:val="nil"/>
            </w:tcBorders>
            <w:shd w:val="clear" w:color="auto" w:fill="auto"/>
            <w:vAlign w:val="bottom"/>
            <w:hideMark/>
          </w:tcPr>
          <w:p w14:paraId="26883366" w14:textId="77777777" w:rsidR="002B72BA" w:rsidRPr="00AC4F4B"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52288973" w14:textId="77777777" w:rsidR="002B72BA" w:rsidRPr="00AC4F4B" w:rsidRDefault="002B72BA" w:rsidP="00F30A15">
            <w:pPr>
              <w:jc w:val="center"/>
              <w:rPr>
                <w:rFonts w:ascii="Arial" w:hAnsi="Arial" w:cs="Arial"/>
                <w:b/>
                <w:bCs/>
                <w:sz w:val="10"/>
                <w:szCs w:val="10"/>
                <w:lang w:eastAsia="es-AR"/>
              </w:rPr>
            </w:pPr>
          </w:p>
        </w:tc>
        <w:tc>
          <w:tcPr>
            <w:tcW w:w="603" w:type="pct"/>
            <w:tcBorders>
              <w:top w:val="single" w:sz="4" w:space="0" w:color="auto"/>
              <w:left w:val="nil"/>
              <w:bottom w:val="single" w:sz="4" w:space="0" w:color="auto"/>
              <w:right w:val="nil"/>
            </w:tcBorders>
            <w:shd w:val="clear" w:color="auto" w:fill="auto"/>
            <w:vAlign w:val="bottom"/>
          </w:tcPr>
          <w:p w14:paraId="782DDFDC" w14:textId="77777777" w:rsidR="002B72BA" w:rsidRPr="00AC4F4B" w:rsidRDefault="002B72BA" w:rsidP="00F30A15">
            <w:pPr>
              <w:jc w:val="right"/>
              <w:rPr>
                <w:rFonts w:ascii="Arial" w:hAnsi="Arial" w:cs="Arial"/>
                <w:b/>
                <w:bCs/>
                <w:sz w:val="10"/>
                <w:szCs w:val="10"/>
              </w:rPr>
            </w:pPr>
          </w:p>
        </w:tc>
        <w:tc>
          <w:tcPr>
            <w:tcW w:w="729" w:type="pct"/>
            <w:tcBorders>
              <w:top w:val="single" w:sz="4" w:space="0" w:color="auto"/>
              <w:left w:val="nil"/>
              <w:bottom w:val="single" w:sz="4" w:space="0" w:color="auto"/>
              <w:right w:val="nil"/>
            </w:tcBorders>
            <w:shd w:val="clear" w:color="auto" w:fill="auto"/>
            <w:vAlign w:val="bottom"/>
          </w:tcPr>
          <w:p w14:paraId="12F1E805" w14:textId="77777777" w:rsidR="002B72BA" w:rsidRPr="00AC4F4B" w:rsidRDefault="002B72BA" w:rsidP="00F30A15">
            <w:pPr>
              <w:jc w:val="right"/>
              <w:rPr>
                <w:rFonts w:ascii="Arial" w:hAnsi="Arial" w:cs="Arial"/>
                <w:b/>
                <w:bCs/>
                <w:sz w:val="10"/>
                <w:szCs w:val="10"/>
              </w:rPr>
            </w:pPr>
          </w:p>
        </w:tc>
      </w:tr>
      <w:tr w:rsidR="002B72BA" w:rsidRPr="00593C40" w14:paraId="012DD312" w14:textId="77777777" w:rsidTr="002E2271">
        <w:trPr>
          <w:trHeight w:val="285"/>
        </w:trPr>
        <w:tc>
          <w:tcPr>
            <w:tcW w:w="3257" w:type="pct"/>
            <w:tcBorders>
              <w:top w:val="nil"/>
              <w:left w:val="nil"/>
              <w:bottom w:val="nil"/>
              <w:right w:val="nil"/>
            </w:tcBorders>
            <w:shd w:val="clear" w:color="auto" w:fill="auto"/>
            <w:vAlign w:val="bottom"/>
            <w:hideMark/>
          </w:tcPr>
          <w:p w14:paraId="00F5DEE2"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EFECTO DE LAS VARIACIONES DEL TIPO DE CAMBIO (D)</w:t>
            </w:r>
          </w:p>
        </w:tc>
        <w:tc>
          <w:tcPr>
            <w:tcW w:w="411" w:type="pct"/>
            <w:tcBorders>
              <w:top w:val="nil"/>
              <w:left w:val="nil"/>
              <w:bottom w:val="nil"/>
              <w:right w:val="nil"/>
            </w:tcBorders>
            <w:shd w:val="clear" w:color="auto" w:fill="auto"/>
            <w:hideMark/>
          </w:tcPr>
          <w:p w14:paraId="73743F84" w14:textId="77777777" w:rsidR="002B72BA" w:rsidRPr="00593C40"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4DB5ACBB" w14:textId="68166B7B" w:rsidR="002B72BA" w:rsidRPr="00593C40" w:rsidRDefault="00461508" w:rsidP="00F30A15">
            <w:pPr>
              <w:jc w:val="right"/>
              <w:rPr>
                <w:rFonts w:ascii="Arial" w:hAnsi="Arial" w:cs="Arial"/>
                <w:b/>
                <w:bCs/>
                <w:sz w:val="16"/>
                <w:szCs w:val="16"/>
              </w:rPr>
            </w:pPr>
            <w:r w:rsidRPr="00461508">
              <w:rPr>
                <w:rFonts w:ascii="Arial" w:hAnsi="Arial" w:cs="Arial"/>
                <w:b/>
                <w:bCs/>
                <w:sz w:val="16"/>
                <w:szCs w:val="16"/>
              </w:rPr>
              <w:t>3.230.514</w:t>
            </w:r>
          </w:p>
        </w:tc>
        <w:tc>
          <w:tcPr>
            <w:tcW w:w="729" w:type="pct"/>
            <w:tcBorders>
              <w:top w:val="single" w:sz="4" w:space="0" w:color="auto"/>
              <w:left w:val="nil"/>
              <w:bottom w:val="single" w:sz="4" w:space="0" w:color="auto"/>
              <w:right w:val="nil"/>
            </w:tcBorders>
            <w:shd w:val="clear" w:color="auto" w:fill="auto"/>
            <w:vAlign w:val="bottom"/>
          </w:tcPr>
          <w:p w14:paraId="4DB05807" w14:textId="1CD534E1" w:rsidR="002B72BA" w:rsidRPr="00593C40" w:rsidRDefault="00D83EA0" w:rsidP="00F30A15">
            <w:pPr>
              <w:jc w:val="right"/>
              <w:rPr>
                <w:rFonts w:ascii="Arial" w:hAnsi="Arial" w:cs="Arial"/>
                <w:b/>
                <w:bCs/>
                <w:sz w:val="16"/>
                <w:szCs w:val="16"/>
              </w:rPr>
            </w:pPr>
            <w:r w:rsidRPr="00D83EA0">
              <w:rPr>
                <w:rFonts w:ascii="Arial" w:hAnsi="Arial" w:cs="Arial"/>
                <w:b/>
                <w:bCs/>
                <w:sz w:val="16"/>
                <w:szCs w:val="16"/>
              </w:rPr>
              <w:t>3.148.017</w:t>
            </w:r>
          </w:p>
        </w:tc>
      </w:tr>
      <w:tr w:rsidR="002B72BA" w:rsidRPr="00AC4F4B" w14:paraId="6082A021" w14:textId="77777777" w:rsidTr="002E2271">
        <w:trPr>
          <w:trHeight w:val="106"/>
        </w:trPr>
        <w:tc>
          <w:tcPr>
            <w:tcW w:w="3257" w:type="pct"/>
            <w:tcBorders>
              <w:top w:val="nil"/>
              <w:left w:val="nil"/>
              <w:right w:val="nil"/>
            </w:tcBorders>
            <w:shd w:val="clear" w:color="auto" w:fill="auto"/>
            <w:vAlign w:val="bottom"/>
            <w:hideMark/>
          </w:tcPr>
          <w:p w14:paraId="56071ACD" w14:textId="77777777" w:rsidR="002B72BA" w:rsidRPr="00AC4F4B" w:rsidRDefault="002B72BA" w:rsidP="002E2271">
            <w:pPr>
              <w:rPr>
                <w:rFonts w:ascii="Arial" w:hAnsi="Arial" w:cs="Arial"/>
                <w:b/>
                <w:bCs/>
                <w:sz w:val="10"/>
                <w:szCs w:val="10"/>
                <w:lang w:eastAsia="es-AR"/>
              </w:rPr>
            </w:pPr>
          </w:p>
        </w:tc>
        <w:tc>
          <w:tcPr>
            <w:tcW w:w="411" w:type="pct"/>
            <w:tcBorders>
              <w:top w:val="nil"/>
              <w:left w:val="nil"/>
              <w:right w:val="nil"/>
            </w:tcBorders>
            <w:shd w:val="clear" w:color="auto" w:fill="auto"/>
            <w:hideMark/>
          </w:tcPr>
          <w:p w14:paraId="699C0C54" w14:textId="77777777" w:rsidR="002B72BA" w:rsidRPr="00AC4F4B" w:rsidRDefault="002B72BA" w:rsidP="00F30A15">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2291E05D" w14:textId="77777777" w:rsidR="002B72BA" w:rsidRPr="00AC4F4B" w:rsidRDefault="002B72BA" w:rsidP="00F30A15">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51590E33" w14:textId="77777777" w:rsidR="002B72BA" w:rsidRPr="00AC4F4B" w:rsidRDefault="002B72BA" w:rsidP="00F30A15">
            <w:pPr>
              <w:jc w:val="right"/>
              <w:rPr>
                <w:rFonts w:ascii="Arial" w:hAnsi="Arial" w:cs="Arial"/>
                <w:b/>
                <w:bCs/>
                <w:sz w:val="10"/>
                <w:szCs w:val="10"/>
              </w:rPr>
            </w:pPr>
          </w:p>
        </w:tc>
      </w:tr>
      <w:tr w:rsidR="002B72BA" w:rsidRPr="00593C40" w14:paraId="37CF6057" w14:textId="77777777" w:rsidTr="002E2271">
        <w:trPr>
          <w:trHeight w:val="285"/>
        </w:trPr>
        <w:tc>
          <w:tcPr>
            <w:tcW w:w="3257" w:type="pct"/>
            <w:tcBorders>
              <w:left w:val="nil"/>
              <w:bottom w:val="single" w:sz="4" w:space="0" w:color="auto"/>
              <w:right w:val="nil"/>
            </w:tcBorders>
            <w:shd w:val="clear" w:color="auto" w:fill="auto"/>
            <w:vAlign w:val="bottom"/>
            <w:hideMark/>
          </w:tcPr>
          <w:p w14:paraId="0E45F785"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TOTAL DE LA VARIACIÓN DE LOS FLUJOS DE EFECTIVO</w:t>
            </w:r>
          </w:p>
        </w:tc>
        <w:tc>
          <w:tcPr>
            <w:tcW w:w="411" w:type="pct"/>
            <w:tcBorders>
              <w:left w:val="nil"/>
              <w:bottom w:val="single" w:sz="4" w:space="0" w:color="auto"/>
              <w:right w:val="nil"/>
            </w:tcBorders>
            <w:shd w:val="clear" w:color="auto" w:fill="auto"/>
            <w:hideMark/>
          </w:tcPr>
          <w:p w14:paraId="2D356184" w14:textId="77777777" w:rsidR="002B72BA" w:rsidRPr="00593C40" w:rsidRDefault="002B72BA" w:rsidP="00F30A15">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bottom w:val="single" w:sz="4" w:space="0" w:color="auto"/>
              <w:right w:val="nil"/>
            </w:tcBorders>
            <w:shd w:val="clear" w:color="auto" w:fill="auto"/>
            <w:vAlign w:val="bottom"/>
          </w:tcPr>
          <w:p w14:paraId="73EAC144" w14:textId="795B677A" w:rsidR="002B72BA" w:rsidRPr="00593C40" w:rsidRDefault="002B72BA" w:rsidP="00F30A15">
            <w:pPr>
              <w:jc w:val="right"/>
              <w:rPr>
                <w:rFonts w:ascii="Arial" w:hAnsi="Arial" w:cs="Arial"/>
                <w:b/>
                <w:bCs/>
                <w:sz w:val="16"/>
                <w:szCs w:val="16"/>
              </w:rPr>
            </w:pPr>
          </w:p>
        </w:tc>
        <w:tc>
          <w:tcPr>
            <w:tcW w:w="729" w:type="pct"/>
            <w:tcBorders>
              <w:left w:val="nil"/>
              <w:bottom w:val="single" w:sz="4" w:space="0" w:color="auto"/>
              <w:right w:val="nil"/>
            </w:tcBorders>
            <w:shd w:val="clear" w:color="auto" w:fill="auto"/>
            <w:vAlign w:val="bottom"/>
          </w:tcPr>
          <w:p w14:paraId="10055660" w14:textId="77777777" w:rsidR="002B72BA" w:rsidRPr="00593C40" w:rsidRDefault="002B72BA" w:rsidP="00F30A15">
            <w:pPr>
              <w:jc w:val="right"/>
              <w:rPr>
                <w:rFonts w:ascii="Arial" w:hAnsi="Arial" w:cs="Arial"/>
                <w:b/>
                <w:bCs/>
                <w:sz w:val="16"/>
                <w:szCs w:val="16"/>
              </w:rPr>
            </w:pPr>
          </w:p>
        </w:tc>
      </w:tr>
      <w:tr w:rsidR="002B72BA" w:rsidRPr="00593C40" w14:paraId="3954F55B" w14:textId="77777777" w:rsidTr="007C1340">
        <w:trPr>
          <w:trHeight w:val="217"/>
        </w:trPr>
        <w:tc>
          <w:tcPr>
            <w:tcW w:w="3257" w:type="pct"/>
            <w:tcBorders>
              <w:top w:val="single" w:sz="4" w:space="0" w:color="auto"/>
              <w:left w:val="nil"/>
              <w:bottom w:val="nil"/>
              <w:right w:val="nil"/>
            </w:tcBorders>
            <w:shd w:val="clear" w:color="auto" w:fill="auto"/>
            <w:vAlign w:val="bottom"/>
            <w:hideMark/>
          </w:tcPr>
          <w:p w14:paraId="29AFBDAD"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AUMENTO/(DISMINUCIÓN) NETO DEL EFECTIVO Y EQUIVALENTES (A+B+C+D)</w:t>
            </w:r>
          </w:p>
        </w:tc>
        <w:tc>
          <w:tcPr>
            <w:tcW w:w="411" w:type="pct"/>
            <w:tcBorders>
              <w:top w:val="single" w:sz="4" w:space="0" w:color="auto"/>
              <w:left w:val="nil"/>
              <w:bottom w:val="nil"/>
              <w:right w:val="nil"/>
            </w:tcBorders>
            <w:shd w:val="clear" w:color="auto" w:fill="auto"/>
            <w:hideMark/>
          </w:tcPr>
          <w:p w14:paraId="560C680B" w14:textId="77777777" w:rsidR="002B72BA" w:rsidRPr="00593C40" w:rsidRDefault="002B72BA" w:rsidP="00F30A15">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top w:val="single" w:sz="4" w:space="0" w:color="auto"/>
              <w:left w:val="nil"/>
              <w:right w:val="nil"/>
            </w:tcBorders>
            <w:shd w:val="clear" w:color="auto" w:fill="auto"/>
            <w:vAlign w:val="bottom"/>
          </w:tcPr>
          <w:p w14:paraId="350051CD" w14:textId="51CF57A9" w:rsidR="002B72BA" w:rsidRPr="00593C40" w:rsidRDefault="000B0963" w:rsidP="00F30A15">
            <w:pPr>
              <w:jc w:val="right"/>
              <w:rPr>
                <w:rFonts w:ascii="Arial" w:hAnsi="Arial" w:cs="Arial"/>
                <w:b/>
                <w:bCs/>
                <w:sz w:val="16"/>
                <w:szCs w:val="16"/>
              </w:rPr>
            </w:pPr>
            <w:r w:rsidRPr="000B0963">
              <w:rPr>
                <w:rFonts w:ascii="Arial" w:hAnsi="Arial" w:cs="Arial"/>
                <w:b/>
                <w:bCs/>
                <w:sz w:val="16"/>
                <w:szCs w:val="16"/>
              </w:rPr>
              <w:t>7.247.662</w:t>
            </w:r>
          </w:p>
        </w:tc>
        <w:tc>
          <w:tcPr>
            <w:tcW w:w="729" w:type="pct"/>
            <w:tcBorders>
              <w:top w:val="single" w:sz="4" w:space="0" w:color="auto"/>
              <w:left w:val="nil"/>
              <w:right w:val="nil"/>
            </w:tcBorders>
            <w:shd w:val="clear" w:color="auto" w:fill="auto"/>
            <w:vAlign w:val="bottom"/>
          </w:tcPr>
          <w:p w14:paraId="684EFD36" w14:textId="5133866A" w:rsidR="002B72BA" w:rsidRPr="00EC349E" w:rsidRDefault="00D83EA0" w:rsidP="00F30A15">
            <w:pPr>
              <w:jc w:val="right"/>
              <w:rPr>
                <w:rFonts w:ascii="Arial" w:hAnsi="Arial" w:cs="Arial"/>
                <w:b/>
                <w:bCs/>
                <w:sz w:val="16"/>
                <w:szCs w:val="16"/>
              </w:rPr>
            </w:pPr>
            <w:r w:rsidRPr="00D83EA0">
              <w:rPr>
                <w:rFonts w:ascii="Arial" w:hAnsi="Arial" w:cs="Arial"/>
                <w:b/>
                <w:bCs/>
                <w:sz w:val="16"/>
                <w:szCs w:val="16"/>
              </w:rPr>
              <w:t>10.621.359</w:t>
            </w:r>
          </w:p>
        </w:tc>
      </w:tr>
      <w:tr w:rsidR="002B72BA" w:rsidRPr="00593C40" w14:paraId="7945F2BB" w14:textId="77777777" w:rsidTr="002E2271">
        <w:trPr>
          <w:trHeight w:val="285"/>
        </w:trPr>
        <w:tc>
          <w:tcPr>
            <w:tcW w:w="3257" w:type="pct"/>
            <w:tcBorders>
              <w:top w:val="nil"/>
              <w:left w:val="nil"/>
              <w:bottom w:val="nil"/>
              <w:right w:val="nil"/>
            </w:tcBorders>
            <w:shd w:val="clear" w:color="auto" w:fill="auto"/>
            <w:vAlign w:val="bottom"/>
            <w:hideMark/>
          </w:tcPr>
          <w:p w14:paraId="0B557DC0"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EFECTIVO Y EQUIVALENTES AL INICIO DEL</w:t>
            </w:r>
            <w:r>
              <w:rPr>
                <w:rFonts w:ascii="Arial" w:hAnsi="Arial" w:cs="Arial"/>
                <w:b/>
                <w:bCs/>
                <w:sz w:val="16"/>
                <w:szCs w:val="16"/>
                <w:lang w:eastAsia="es-AR"/>
              </w:rPr>
              <w:t xml:space="preserve"> EJERCICIO</w:t>
            </w:r>
          </w:p>
        </w:tc>
        <w:tc>
          <w:tcPr>
            <w:tcW w:w="411" w:type="pct"/>
            <w:tcBorders>
              <w:top w:val="nil"/>
              <w:left w:val="nil"/>
              <w:bottom w:val="nil"/>
              <w:right w:val="nil"/>
            </w:tcBorders>
            <w:shd w:val="clear" w:color="auto" w:fill="auto"/>
            <w:hideMark/>
          </w:tcPr>
          <w:p w14:paraId="69C5F27C"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69F460AD" w14:textId="4C4B5859" w:rsidR="002B72BA" w:rsidRPr="00593C40" w:rsidRDefault="000B0963" w:rsidP="00F30A15">
            <w:pPr>
              <w:jc w:val="right"/>
              <w:rPr>
                <w:rFonts w:ascii="Arial" w:hAnsi="Arial" w:cs="Arial"/>
                <w:b/>
                <w:bCs/>
                <w:sz w:val="16"/>
                <w:szCs w:val="16"/>
              </w:rPr>
            </w:pPr>
            <w:r w:rsidRPr="000B0963">
              <w:rPr>
                <w:rFonts w:ascii="Arial" w:hAnsi="Arial" w:cs="Arial"/>
                <w:b/>
                <w:bCs/>
                <w:sz w:val="16"/>
                <w:szCs w:val="16"/>
              </w:rPr>
              <w:t>27.917.342</w:t>
            </w:r>
          </w:p>
        </w:tc>
        <w:tc>
          <w:tcPr>
            <w:tcW w:w="729" w:type="pct"/>
            <w:tcBorders>
              <w:left w:val="nil"/>
              <w:right w:val="nil"/>
            </w:tcBorders>
            <w:shd w:val="clear" w:color="auto" w:fill="auto"/>
            <w:vAlign w:val="bottom"/>
          </w:tcPr>
          <w:p w14:paraId="5F2DC0AF" w14:textId="7A253365" w:rsidR="002B72BA" w:rsidRPr="00EC349E" w:rsidRDefault="00D83EA0" w:rsidP="00F30A15">
            <w:pPr>
              <w:jc w:val="right"/>
              <w:rPr>
                <w:rFonts w:ascii="Arial" w:hAnsi="Arial" w:cs="Arial"/>
                <w:b/>
                <w:bCs/>
                <w:sz w:val="16"/>
                <w:szCs w:val="16"/>
              </w:rPr>
            </w:pPr>
            <w:r w:rsidRPr="00D83EA0">
              <w:rPr>
                <w:rFonts w:ascii="Arial" w:hAnsi="Arial" w:cs="Arial"/>
                <w:b/>
                <w:bCs/>
                <w:sz w:val="16"/>
                <w:szCs w:val="16"/>
              </w:rPr>
              <w:t>67.446.378</w:t>
            </w:r>
          </w:p>
        </w:tc>
      </w:tr>
      <w:tr w:rsidR="002B72BA" w:rsidRPr="00593C40" w14:paraId="3D4D84C6" w14:textId="77777777" w:rsidTr="002E2271">
        <w:trPr>
          <w:trHeight w:val="285"/>
        </w:trPr>
        <w:tc>
          <w:tcPr>
            <w:tcW w:w="3257" w:type="pct"/>
            <w:tcBorders>
              <w:top w:val="nil"/>
              <w:left w:val="nil"/>
              <w:bottom w:val="nil"/>
              <w:right w:val="nil"/>
            </w:tcBorders>
            <w:shd w:val="clear" w:color="auto" w:fill="auto"/>
            <w:vAlign w:val="bottom"/>
            <w:hideMark/>
          </w:tcPr>
          <w:p w14:paraId="0B7DE520"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 xml:space="preserve">EFECTIVO Y EQUIVALENTES AL CIERRE DEL </w:t>
            </w:r>
            <w:r>
              <w:rPr>
                <w:rFonts w:ascii="Arial" w:hAnsi="Arial" w:cs="Arial"/>
                <w:b/>
                <w:bCs/>
                <w:sz w:val="16"/>
                <w:szCs w:val="16"/>
                <w:lang w:eastAsia="es-AR"/>
              </w:rPr>
              <w:t>PERÍODO</w:t>
            </w:r>
          </w:p>
        </w:tc>
        <w:tc>
          <w:tcPr>
            <w:tcW w:w="411" w:type="pct"/>
            <w:tcBorders>
              <w:top w:val="nil"/>
              <w:left w:val="nil"/>
              <w:bottom w:val="nil"/>
              <w:right w:val="nil"/>
            </w:tcBorders>
            <w:shd w:val="clear" w:color="auto" w:fill="auto"/>
            <w:vAlign w:val="bottom"/>
            <w:hideMark/>
          </w:tcPr>
          <w:p w14:paraId="77CBB365" w14:textId="59DD6ECC" w:rsidR="002B72BA" w:rsidRPr="00593C40" w:rsidRDefault="002B72BA" w:rsidP="00F30A15">
            <w:pPr>
              <w:jc w:val="center"/>
              <w:rPr>
                <w:rFonts w:ascii="Arial" w:hAnsi="Arial" w:cs="Arial"/>
                <w:b/>
                <w:bCs/>
                <w:sz w:val="16"/>
                <w:szCs w:val="16"/>
                <w:lang w:eastAsia="es-AR"/>
              </w:rPr>
            </w:pPr>
            <w:r>
              <w:rPr>
                <w:rFonts w:ascii="Arial" w:hAnsi="Arial" w:cs="Arial"/>
                <w:b/>
                <w:bCs/>
                <w:sz w:val="16"/>
                <w:szCs w:val="16"/>
                <w:lang w:eastAsia="es-AR"/>
              </w:rPr>
              <w:t>1.3</w:t>
            </w:r>
          </w:p>
        </w:tc>
        <w:tc>
          <w:tcPr>
            <w:tcW w:w="603" w:type="pct"/>
            <w:tcBorders>
              <w:left w:val="nil"/>
              <w:right w:val="nil"/>
            </w:tcBorders>
            <w:shd w:val="clear" w:color="auto" w:fill="auto"/>
            <w:vAlign w:val="bottom"/>
          </w:tcPr>
          <w:p w14:paraId="5CAE216D" w14:textId="3B6E6716" w:rsidR="002B72BA" w:rsidRPr="00593C40" w:rsidRDefault="000B0963" w:rsidP="00F30A15">
            <w:pPr>
              <w:jc w:val="right"/>
              <w:rPr>
                <w:rFonts w:ascii="Arial" w:hAnsi="Arial" w:cs="Arial"/>
                <w:b/>
                <w:bCs/>
                <w:sz w:val="16"/>
                <w:szCs w:val="16"/>
              </w:rPr>
            </w:pPr>
            <w:r w:rsidRPr="000B0963">
              <w:rPr>
                <w:rFonts w:ascii="Arial" w:hAnsi="Arial" w:cs="Arial"/>
                <w:b/>
                <w:bCs/>
                <w:sz w:val="16"/>
                <w:szCs w:val="16"/>
              </w:rPr>
              <w:t>35.165.004</w:t>
            </w:r>
          </w:p>
        </w:tc>
        <w:tc>
          <w:tcPr>
            <w:tcW w:w="729" w:type="pct"/>
            <w:tcBorders>
              <w:left w:val="nil"/>
              <w:right w:val="nil"/>
            </w:tcBorders>
            <w:shd w:val="clear" w:color="auto" w:fill="auto"/>
            <w:vAlign w:val="bottom"/>
          </w:tcPr>
          <w:p w14:paraId="1F4536A1" w14:textId="66955452" w:rsidR="002B72BA" w:rsidRPr="00EC349E" w:rsidRDefault="00D83EA0" w:rsidP="00F30A15">
            <w:pPr>
              <w:jc w:val="right"/>
              <w:rPr>
                <w:rFonts w:ascii="Arial" w:hAnsi="Arial" w:cs="Arial"/>
                <w:b/>
                <w:bCs/>
                <w:sz w:val="16"/>
                <w:szCs w:val="16"/>
              </w:rPr>
            </w:pPr>
            <w:r w:rsidRPr="00D83EA0">
              <w:rPr>
                <w:rFonts w:ascii="Arial" w:hAnsi="Arial" w:cs="Arial"/>
                <w:b/>
                <w:bCs/>
                <w:sz w:val="16"/>
                <w:szCs w:val="16"/>
              </w:rPr>
              <w:t>78.067.737</w:t>
            </w:r>
          </w:p>
        </w:tc>
      </w:tr>
    </w:tbl>
    <w:p w14:paraId="13049CEC" w14:textId="77777777" w:rsidR="007C1340" w:rsidRPr="00701F32" w:rsidRDefault="007C1340" w:rsidP="007C1340">
      <w:pPr>
        <w:tabs>
          <w:tab w:val="left" w:pos="1365"/>
        </w:tabs>
        <w:rPr>
          <w:sz w:val="20"/>
          <w:lang w:eastAsia="es-AR"/>
        </w:rPr>
      </w:pPr>
      <w:r w:rsidRPr="00CD2AEF">
        <w:rPr>
          <w:rFonts w:ascii="Arial" w:hAnsi="Arial" w:cs="Arial"/>
          <w:sz w:val="16"/>
          <w:szCs w:val="16"/>
          <w:lang w:eastAsia="es-AR"/>
        </w:rPr>
        <w:t>(*) En las partidas “</w:t>
      </w:r>
      <w:r w:rsidRPr="00A45C21">
        <w:rPr>
          <w:rFonts w:ascii="Arial" w:hAnsi="Arial" w:cs="Arial"/>
          <w:sz w:val="16"/>
          <w:szCs w:val="16"/>
          <w:lang w:eastAsia="es-AR"/>
        </w:rPr>
        <w:t xml:space="preserve">Préstamos y otras financiaciones – Sector Privado no Financiero y Residentes en el exterior”, “Otros Activos” y “Otros pasivos” se eliminaron </w:t>
      </w:r>
      <w:r>
        <w:rPr>
          <w:rFonts w:ascii="Arial" w:hAnsi="Arial" w:cs="Arial"/>
          <w:sz w:val="16"/>
          <w:szCs w:val="16"/>
          <w:lang w:eastAsia="es-AR"/>
        </w:rPr>
        <w:t>3.855.098</w:t>
      </w:r>
      <w:r w:rsidRPr="00A45C21">
        <w:rPr>
          <w:rFonts w:ascii="Arial" w:hAnsi="Arial" w:cs="Arial"/>
          <w:sz w:val="16"/>
          <w:szCs w:val="16"/>
          <w:lang w:eastAsia="es-AR"/>
        </w:rPr>
        <w:t xml:space="preserve"> y </w:t>
      </w:r>
      <w:r>
        <w:rPr>
          <w:rFonts w:ascii="Arial" w:hAnsi="Arial" w:cs="Arial"/>
          <w:sz w:val="16"/>
          <w:szCs w:val="16"/>
          <w:lang w:eastAsia="es-AR"/>
        </w:rPr>
        <w:t xml:space="preserve">705.529 correspondientes a transacciones no monetarias. </w:t>
      </w:r>
      <w:r w:rsidRPr="00701F32">
        <w:rPr>
          <w:sz w:val="20"/>
          <w:lang w:eastAsia="es-AR"/>
        </w:rPr>
        <w:t xml:space="preserve"> </w:t>
      </w:r>
    </w:p>
    <w:p w14:paraId="1D1A1E28" w14:textId="77777777" w:rsidR="00CD2AEF" w:rsidRPr="00CD2AEF" w:rsidRDefault="00CD2AEF" w:rsidP="005C2DE7">
      <w:pPr>
        <w:tabs>
          <w:tab w:val="left" w:pos="1365"/>
        </w:tabs>
        <w:rPr>
          <w:rFonts w:ascii="Arial" w:hAnsi="Arial" w:cs="Arial"/>
          <w:sz w:val="20"/>
          <w:lang w:eastAsia="es-AR"/>
        </w:rPr>
      </w:pPr>
    </w:p>
    <w:p w14:paraId="67D4469D" w14:textId="3A4FA92E" w:rsidR="00CD2AEF" w:rsidRPr="00701F32" w:rsidRDefault="00CD2AEF" w:rsidP="005C2DE7">
      <w:pPr>
        <w:tabs>
          <w:tab w:val="left" w:pos="1365"/>
        </w:tabs>
        <w:rPr>
          <w:sz w:val="20"/>
          <w:lang w:eastAsia="es-AR"/>
        </w:rPr>
        <w:sectPr w:rsidR="00CD2AEF" w:rsidRPr="00701F32" w:rsidSect="007045C3">
          <w:headerReference w:type="default" r:id="rId38"/>
          <w:pgSz w:w="11907" w:h="16839" w:code="9"/>
          <w:pgMar w:top="1418" w:right="1701" w:bottom="1418" w:left="1701" w:header="567" w:footer="0" w:gutter="0"/>
          <w:paperSrc w:first="256" w:other="256"/>
          <w:cols w:space="720"/>
          <w:docGrid w:linePitch="326"/>
        </w:sectPr>
      </w:pPr>
    </w:p>
    <w:p w14:paraId="55A5D850" w14:textId="77777777" w:rsidR="00ED4402" w:rsidRPr="00701F32" w:rsidRDefault="00ED4402" w:rsidP="00ED4402">
      <w:pPr>
        <w:tabs>
          <w:tab w:val="left" w:pos="1365"/>
        </w:tabs>
        <w:rPr>
          <w:lang w:eastAsia="es-AR"/>
        </w:rPr>
      </w:pPr>
    </w:p>
    <w:p w14:paraId="566868C0" w14:textId="4D00C9E3" w:rsidR="00656E62" w:rsidRPr="00701F32" w:rsidRDefault="00656E62" w:rsidP="00656E62">
      <w:pPr>
        <w:spacing w:after="160" w:line="259" w:lineRule="auto"/>
        <w:jc w:val="both"/>
        <w:rPr>
          <w:rFonts w:ascii="Arial" w:eastAsia="Calibri" w:hAnsi="Arial" w:cs="Arial"/>
          <w:b/>
          <w:color w:val="C45911"/>
          <w:sz w:val="20"/>
        </w:rPr>
      </w:pPr>
      <w:r w:rsidRPr="00701F32">
        <w:rPr>
          <w:rFonts w:ascii="Arial" w:eastAsia="Calibri" w:hAnsi="Arial" w:cs="Arial"/>
          <w:b/>
          <w:sz w:val="20"/>
        </w:rPr>
        <w:t xml:space="preserve">1. </w:t>
      </w:r>
      <w:r w:rsidR="00D2026A" w:rsidRPr="00701F32">
        <w:rPr>
          <w:rFonts w:ascii="Arial" w:eastAsia="Calibri" w:hAnsi="Arial" w:cs="Arial"/>
          <w:b/>
          <w:sz w:val="20"/>
        </w:rPr>
        <w:t>BASES DE PRESENTACION</w:t>
      </w:r>
      <w:r w:rsidRPr="00701F32">
        <w:rPr>
          <w:rFonts w:ascii="Arial" w:eastAsia="Calibri" w:hAnsi="Arial" w:cs="Arial"/>
          <w:b/>
          <w:sz w:val="20"/>
        </w:rPr>
        <w:t xml:space="preserve"> </w:t>
      </w:r>
      <w:r w:rsidR="00DB6460">
        <w:rPr>
          <w:rFonts w:ascii="Arial" w:eastAsia="Calibri" w:hAnsi="Arial" w:cs="Arial"/>
          <w:b/>
          <w:sz w:val="20"/>
        </w:rPr>
        <w:t>Y POLITICAS CONTABLES SIGNIFICATIVAS</w:t>
      </w:r>
    </w:p>
    <w:p w14:paraId="4C174FAB" w14:textId="69F82626" w:rsidR="00DB6460" w:rsidRDefault="00DB6460" w:rsidP="00656E62">
      <w:pPr>
        <w:spacing w:after="160" w:line="259" w:lineRule="auto"/>
        <w:jc w:val="both"/>
        <w:rPr>
          <w:rFonts w:ascii="Arial" w:eastAsia="Calibri" w:hAnsi="Arial" w:cs="Arial"/>
          <w:sz w:val="20"/>
        </w:rPr>
      </w:pPr>
      <w:r w:rsidRPr="00E446C3">
        <w:rPr>
          <w:rFonts w:ascii="Arial" w:eastAsia="Calibri" w:hAnsi="Arial" w:cs="Arial"/>
          <w:sz w:val="20"/>
        </w:rPr>
        <w:t xml:space="preserve">Los presentes estados financieros </w:t>
      </w:r>
      <w:r w:rsidR="000F7A1A">
        <w:rPr>
          <w:rFonts w:ascii="Arial" w:eastAsia="Calibri" w:hAnsi="Arial" w:cs="Arial"/>
          <w:sz w:val="20"/>
        </w:rPr>
        <w:t xml:space="preserve">condensados intermedios </w:t>
      </w:r>
      <w:r w:rsidR="003A0A33">
        <w:rPr>
          <w:rFonts w:ascii="Arial" w:eastAsia="Calibri" w:hAnsi="Arial" w:cs="Arial"/>
          <w:sz w:val="20"/>
        </w:rPr>
        <w:t>separados</w:t>
      </w:r>
      <w:r w:rsidR="003A0A33" w:rsidRPr="00E446C3">
        <w:rPr>
          <w:rFonts w:ascii="Arial" w:eastAsia="Calibri" w:hAnsi="Arial" w:cs="Arial"/>
          <w:sz w:val="20"/>
        </w:rPr>
        <w:t xml:space="preserve"> </w:t>
      </w:r>
      <w:r w:rsidRPr="00E446C3">
        <w:rPr>
          <w:rFonts w:ascii="Arial" w:eastAsia="Calibri" w:hAnsi="Arial" w:cs="Arial"/>
          <w:sz w:val="20"/>
        </w:rPr>
        <w:t xml:space="preserve">por el </w:t>
      </w:r>
      <w:r w:rsidR="000F7A1A">
        <w:rPr>
          <w:rFonts w:ascii="Arial" w:eastAsia="Calibri" w:hAnsi="Arial" w:cs="Arial"/>
          <w:sz w:val="20"/>
        </w:rPr>
        <w:t xml:space="preserve">período de </w:t>
      </w:r>
      <w:r w:rsidR="009B1CF0">
        <w:rPr>
          <w:rFonts w:ascii="Arial" w:eastAsia="Calibri" w:hAnsi="Arial" w:cs="Arial"/>
          <w:sz w:val="20"/>
        </w:rPr>
        <w:t>tres</w:t>
      </w:r>
      <w:r w:rsidR="000F7A1A">
        <w:rPr>
          <w:rFonts w:ascii="Arial" w:eastAsia="Calibri" w:hAnsi="Arial" w:cs="Arial"/>
          <w:sz w:val="20"/>
        </w:rPr>
        <w:t xml:space="preserve"> meses</w:t>
      </w:r>
      <w:r w:rsidR="000F7A1A" w:rsidRPr="00E446C3">
        <w:rPr>
          <w:rFonts w:ascii="Arial" w:eastAsia="Calibri" w:hAnsi="Arial" w:cs="Arial"/>
          <w:sz w:val="20"/>
        </w:rPr>
        <w:t xml:space="preserve"> </w:t>
      </w:r>
      <w:r w:rsidR="00886AE1">
        <w:rPr>
          <w:rFonts w:ascii="Arial" w:eastAsia="Calibri" w:hAnsi="Arial" w:cs="Arial"/>
          <w:sz w:val="20"/>
        </w:rPr>
        <w:t>finalizado el 3</w:t>
      </w:r>
      <w:r w:rsidR="009B1CF0">
        <w:rPr>
          <w:rFonts w:ascii="Arial" w:eastAsia="Calibri" w:hAnsi="Arial" w:cs="Arial"/>
          <w:sz w:val="20"/>
        </w:rPr>
        <w:t>1</w:t>
      </w:r>
      <w:r w:rsidRPr="00E446C3">
        <w:rPr>
          <w:rFonts w:ascii="Arial" w:eastAsia="Calibri" w:hAnsi="Arial" w:cs="Arial"/>
          <w:sz w:val="20"/>
        </w:rPr>
        <w:t xml:space="preserve"> de </w:t>
      </w:r>
      <w:r w:rsidR="009B1CF0">
        <w:rPr>
          <w:rFonts w:ascii="Arial" w:eastAsia="Calibri" w:hAnsi="Arial" w:cs="Arial"/>
          <w:sz w:val="20"/>
        </w:rPr>
        <w:t>marzo</w:t>
      </w:r>
      <w:r w:rsidR="000F7A1A" w:rsidRPr="00E446C3">
        <w:rPr>
          <w:rFonts w:ascii="Arial" w:eastAsia="Calibri" w:hAnsi="Arial" w:cs="Arial"/>
          <w:sz w:val="20"/>
        </w:rPr>
        <w:t xml:space="preserve"> </w:t>
      </w:r>
      <w:r w:rsidRPr="00E446C3">
        <w:rPr>
          <w:rFonts w:ascii="Arial" w:eastAsia="Calibri" w:hAnsi="Arial" w:cs="Arial"/>
          <w:sz w:val="20"/>
        </w:rPr>
        <w:t xml:space="preserve">de </w:t>
      </w:r>
      <w:r w:rsidR="000F7A1A" w:rsidRPr="00E446C3">
        <w:rPr>
          <w:rFonts w:ascii="Arial" w:eastAsia="Calibri" w:hAnsi="Arial" w:cs="Arial"/>
          <w:sz w:val="20"/>
        </w:rPr>
        <w:t>20</w:t>
      </w:r>
      <w:r w:rsidR="009B1CF0">
        <w:rPr>
          <w:rFonts w:ascii="Arial" w:eastAsia="Calibri" w:hAnsi="Arial" w:cs="Arial"/>
          <w:sz w:val="20"/>
        </w:rPr>
        <w:t>20</w:t>
      </w:r>
      <w:r w:rsidRPr="00E446C3">
        <w:rPr>
          <w:rFonts w:ascii="Arial" w:eastAsia="Calibri" w:hAnsi="Arial" w:cs="Arial"/>
          <w:sz w:val="20"/>
        </w:rPr>
        <w:t>, los cuales han sido preparados de acuerdo con el marco contable establecido por el Banco Central de la República Argentina (B.C.R.A.), corresponden a Banco Supervielle S.A</w:t>
      </w:r>
      <w:r w:rsidR="00B05BE2">
        <w:rPr>
          <w:rFonts w:ascii="Arial" w:eastAsia="Calibri" w:hAnsi="Arial" w:cs="Arial"/>
          <w:sz w:val="20"/>
        </w:rPr>
        <w:t>.</w:t>
      </w:r>
      <w:r w:rsidRPr="00E446C3">
        <w:rPr>
          <w:rFonts w:ascii="Arial" w:eastAsia="Calibri" w:hAnsi="Arial" w:cs="Arial"/>
          <w:sz w:val="20"/>
        </w:rPr>
        <w:t xml:space="preserve"> (en adelante, “el Banco” o “la Entidad”).</w:t>
      </w:r>
    </w:p>
    <w:p w14:paraId="7E8778F8" w14:textId="72328C34" w:rsidR="00656E62" w:rsidRPr="00701F32" w:rsidRDefault="00DB6460" w:rsidP="00656E62">
      <w:pPr>
        <w:spacing w:after="160" w:line="259" w:lineRule="auto"/>
        <w:jc w:val="both"/>
        <w:rPr>
          <w:rFonts w:ascii="Arial" w:eastAsia="Calibri" w:hAnsi="Arial" w:cs="Arial"/>
          <w:sz w:val="20"/>
        </w:rPr>
      </w:pPr>
      <w:r>
        <w:rPr>
          <w:rFonts w:ascii="Arial" w:eastAsia="Calibri" w:hAnsi="Arial" w:cs="Arial"/>
          <w:sz w:val="20"/>
        </w:rPr>
        <w:t>E</w:t>
      </w:r>
      <w:r w:rsidR="00656E62" w:rsidRPr="00701F32">
        <w:rPr>
          <w:rFonts w:ascii="Arial" w:eastAsia="Calibri" w:hAnsi="Arial" w:cs="Arial"/>
          <w:sz w:val="20"/>
        </w:rPr>
        <w:t>l Banco</w:t>
      </w:r>
      <w:r>
        <w:rPr>
          <w:rFonts w:ascii="Arial" w:eastAsia="Calibri" w:hAnsi="Arial" w:cs="Arial"/>
          <w:sz w:val="20"/>
        </w:rPr>
        <w:t xml:space="preserve"> </w:t>
      </w:r>
      <w:r w:rsidR="00656E62" w:rsidRPr="00701F32">
        <w:rPr>
          <w:rFonts w:ascii="Arial" w:eastAsia="Calibri" w:hAnsi="Arial" w:cs="Arial"/>
          <w:sz w:val="20"/>
        </w:rPr>
        <w:t xml:space="preserve">es una entidad financiera comprendida dentro de la Ley N° 21.526 de Entidades Financieras sujeta a las disposiciones del Banco Central de la República Argentina (B.C.R.A.) como órgano regulador de entidades financieras. </w:t>
      </w:r>
    </w:p>
    <w:p w14:paraId="2E38BF86" w14:textId="77777777" w:rsidR="00656E62" w:rsidRPr="00701F32" w:rsidRDefault="00656E62" w:rsidP="00656E62">
      <w:pPr>
        <w:jc w:val="both"/>
        <w:rPr>
          <w:rFonts w:ascii="Arial" w:eastAsia="Calibri" w:hAnsi="Arial" w:cs="Arial"/>
          <w:sz w:val="20"/>
        </w:rPr>
      </w:pPr>
      <w:r w:rsidRPr="00701F32">
        <w:rPr>
          <w:rFonts w:ascii="Arial" w:eastAsia="Calibri" w:hAnsi="Arial" w:cs="Arial"/>
          <w:sz w:val="20"/>
        </w:rPr>
        <w:t>Adicionalmente el Banco se desempeña como Agente de Liquidación y Compensación en el marco de la Comisión Nacional de Valores (C.N.V.) por lo que se encuentra regulado por las disposiciones emanadas de la Ley 26.831 de Mercado de Capitales.</w:t>
      </w:r>
    </w:p>
    <w:p w14:paraId="52185437" w14:textId="77777777" w:rsidR="00656E62" w:rsidRPr="00701F32" w:rsidRDefault="00656E62" w:rsidP="00656E62">
      <w:pPr>
        <w:jc w:val="both"/>
        <w:rPr>
          <w:rFonts w:ascii="Arial" w:eastAsia="Calibri" w:hAnsi="Arial" w:cs="Arial"/>
          <w:sz w:val="20"/>
        </w:rPr>
      </w:pPr>
    </w:p>
    <w:p w14:paraId="0A63A856" w14:textId="77777777" w:rsidR="00656E62" w:rsidRPr="00701F32" w:rsidRDefault="00656E62" w:rsidP="00656E62">
      <w:pPr>
        <w:spacing w:after="160" w:line="259" w:lineRule="auto"/>
        <w:jc w:val="both"/>
        <w:rPr>
          <w:rFonts w:ascii="Arial" w:eastAsia="Calibri" w:hAnsi="Arial" w:cs="Arial"/>
          <w:sz w:val="20"/>
        </w:rPr>
      </w:pPr>
      <w:r w:rsidRPr="00701F32">
        <w:rPr>
          <w:rFonts w:ascii="Arial" w:eastAsia="Calibri" w:hAnsi="Arial" w:cs="Arial"/>
          <w:sz w:val="20"/>
        </w:rPr>
        <w:t xml:space="preserve">La Entidad opera como un banco universal y es una subsidiaria del Grupo Supervielle S.A. </w:t>
      </w:r>
    </w:p>
    <w:p w14:paraId="2C3DA35D" w14:textId="03D2A77A" w:rsidR="00656E62" w:rsidRDefault="00554357" w:rsidP="00656E62">
      <w:pPr>
        <w:spacing w:after="160" w:line="259" w:lineRule="auto"/>
        <w:jc w:val="both"/>
        <w:rPr>
          <w:rFonts w:ascii="Arial" w:eastAsia="Calibri" w:hAnsi="Arial" w:cs="Arial"/>
          <w:sz w:val="20"/>
        </w:rPr>
      </w:pPr>
      <w:r>
        <w:rPr>
          <w:rFonts w:ascii="Arial" w:eastAsia="Calibri" w:hAnsi="Arial" w:cs="Arial"/>
          <w:sz w:val="20"/>
        </w:rPr>
        <w:t xml:space="preserve">Estos estados financieros </w:t>
      </w:r>
      <w:r w:rsidR="000F7A1A">
        <w:rPr>
          <w:rFonts w:ascii="Arial" w:eastAsia="Calibri" w:hAnsi="Arial" w:cs="Arial"/>
          <w:sz w:val="20"/>
        </w:rPr>
        <w:t xml:space="preserve">condensados intermedios </w:t>
      </w:r>
      <w:r w:rsidR="00812AED" w:rsidRPr="00701F32">
        <w:rPr>
          <w:rFonts w:ascii="Arial" w:eastAsia="Calibri" w:hAnsi="Arial" w:cs="Arial"/>
          <w:sz w:val="20"/>
        </w:rPr>
        <w:t xml:space="preserve">separados </w:t>
      </w:r>
      <w:r w:rsidR="00656E62" w:rsidRPr="00701F32">
        <w:rPr>
          <w:rFonts w:ascii="Arial" w:eastAsia="Calibri" w:hAnsi="Arial" w:cs="Arial"/>
          <w:sz w:val="20"/>
        </w:rPr>
        <w:t xml:space="preserve">han sido aprobados por el Directorio de la Entidad en su reunión de </w:t>
      </w:r>
      <w:r w:rsidR="00656E62" w:rsidRPr="00263F0B">
        <w:rPr>
          <w:rFonts w:ascii="Arial" w:eastAsia="Calibri" w:hAnsi="Arial" w:cs="Arial"/>
          <w:sz w:val="20"/>
        </w:rPr>
        <w:t xml:space="preserve">fecha </w:t>
      </w:r>
      <w:r w:rsidR="007C1340">
        <w:rPr>
          <w:rFonts w:ascii="Arial" w:eastAsia="Calibri" w:hAnsi="Arial" w:cs="Arial"/>
          <w:sz w:val="20"/>
        </w:rPr>
        <w:t>28</w:t>
      </w:r>
      <w:r w:rsidR="00AA1F8A" w:rsidRPr="00347083">
        <w:rPr>
          <w:rFonts w:ascii="Arial" w:eastAsia="Calibri" w:hAnsi="Arial" w:cs="Arial"/>
          <w:sz w:val="20"/>
        </w:rPr>
        <w:t xml:space="preserve"> de </w:t>
      </w:r>
      <w:r w:rsidR="007C1340">
        <w:rPr>
          <w:rFonts w:ascii="Arial" w:eastAsia="Calibri" w:hAnsi="Arial" w:cs="Arial"/>
          <w:sz w:val="20"/>
        </w:rPr>
        <w:t>mayo</w:t>
      </w:r>
      <w:r w:rsidR="00AA1F8A" w:rsidRPr="00347083">
        <w:rPr>
          <w:rFonts w:ascii="Arial" w:eastAsia="Calibri" w:hAnsi="Arial" w:cs="Arial"/>
          <w:sz w:val="20"/>
        </w:rPr>
        <w:t xml:space="preserve"> de 20</w:t>
      </w:r>
      <w:r w:rsidR="007C1340">
        <w:rPr>
          <w:rFonts w:ascii="Arial" w:eastAsia="Calibri" w:hAnsi="Arial" w:cs="Arial"/>
          <w:sz w:val="20"/>
        </w:rPr>
        <w:t>20</w:t>
      </w:r>
      <w:r w:rsidR="00656E62" w:rsidRPr="00E447A8">
        <w:rPr>
          <w:rFonts w:ascii="Arial" w:eastAsia="Calibri" w:hAnsi="Arial" w:cs="Arial"/>
          <w:sz w:val="20"/>
        </w:rPr>
        <w:t xml:space="preserve">. </w:t>
      </w:r>
    </w:p>
    <w:p w14:paraId="2FDFB4F1" w14:textId="36520944" w:rsidR="00FD67E8" w:rsidRPr="002775B9" w:rsidRDefault="00FD67E8" w:rsidP="002775B9">
      <w:pPr>
        <w:pStyle w:val="ListParagraph"/>
        <w:numPr>
          <w:ilvl w:val="1"/>
          <w:numId w:val="72"/>
        </w:numPr>
        <w:spacing w:after="160" w:line="259" w:lineRule="auto"/>
        <w:jc w:val="both"/>
        <w:rPr>
          <w:rFonts w:ascii="Arial" w:eastAsia="Arial" w:hAnsi="Arial" w:cs="Arial"/>
          <w:b/>
          <w:sz w:val="20"/>
        </w:rPr>
      </w:pPr>
      <w:r w:rsidRPr="002775B9">
        <w:rPr>
          <w:rFonts w:ascii="Arial" w:eastAsia="Arial" w:hAnsi="Arial" w:cs="Arial"/>
          <w:b/>
          <w:sz w:val="20"/>
        </w:rPr>
        <w:t xml:space="preserve">Bases de preparación </w:t>
      </w:r>
    </w:p>
    <w:p w14:paraId="1F325636" w14:textId="74A74644" w:rsidR="00D94587" w:rsidRPr="002775B9" w:rsidRDefault="00D94587" w:rsidP="00D94587">
      <w:pPr>
        <w:spacing w:after="160" w:line="259" w:lineRule="auto"/>
        <w:jc w:val="both"/>
        <w:rPr>
          <w:rFonts w:ascii="Arial" w:eastAsia="Arial" w:hAnsi="Arial" w:cs="Arial"/>
          <w:sz w:val="20"/>
        </w:rPr>
      </w:pPr>
      <w:r w:rsidRPr="002775B9">
        <w:rPr>
          <w:rFonts w:ascii="Arial" w:eastAsia="Arial" w:hAnsi="Arial" w:cs="Arial"/>
          <w:sz w:val="20"/>
        </w:rPr>
        <w:t>Los presentes estados financieros condensados intermedios han sido preparados de acuerdo: (i) con las disposiciones de la Norma Internacional de Contabilidad nº 34 “Información Financiera Intermedia“ (NIC 34) y (ii) con el marco de información contable establecido por el B.C.R.A. el cual se basa en las Normas Internacionales de Información Financiera (NIIF) emitidas por el Consejo de Normas Internacionales de Información Financiera (IASB, por sus siglas en inglés) y las interpretaciones emitidas por el Comité de Interpretaciones de Normas Internacionales de Información Financiera (CINIIF), con las siguientes  excepción excepciones:</w:t>
      </w:r>
    </w:p>
    <w:p w14:paraId="3DD243DD" w14:textId="77777777" w:rsidR="00111E5A" w:rsidRPr="00C17696" w:rsidRDefault="00111E5A" w:rsidP="00111E5A">
      <w:pPr>
        <w:spacing w:after="160" w:line="259" w:lineRule="auto"/>
        <w:jc w:val="both"/>
        <w:rPr>
          <w:rFonts w:ascii="Arial" w:eastAsia="Calibri" w:hAnsi="Arial" w:cs="Arial"/>
          <w:sz w:val="20"/>
        </w:rPr>
      </w:pPr>
      <w:r>
        <w:rPr>
          <w:rFonts w:ascii="Arial" w:eastAsia="Calibri" w:hAnsi="Arial" w:cs="Arial"/>
          <w:sz w:val="20"/>
        </w:rPr>
        <w:t xml:space="preserve">         </w:t>
      </w:r>
      <w:r w:rsidRPr="00C17696">
        <w:rPr>
          <w:rFonts w:ascii="Arial" w:eastAsia="Calibri" w:hAnsi="Arial" w:cs="Arial"/>
          <w:sz w:val="20"/>
        </w:rPr>
        <w:t xml:space="preserve">(i)excepción temporaria de la aplicación </w:t>
      </w:r>
      <w:r>
        <w:rPr>
          <w:rFonts w:ascii="Arial" w:eastAsia="Calibri" w:hAnsi="Arial" w:cs="Arial"/>
          <w:sz w:val="20"/>
        </w:rPr>
        <w:t xml:space="preserve">de </w:t>
      </w:r>
      <w:r w:rsidRPr="00C17696">
        <w:rPr>
          <w:rFonts w:ascii="Arial" w:eastAsia="Calibri" w:hAnsi="Arial" w:cs="Arial"/>
          <w:sz w:val="20"/>
        </w:rPr>
        <w:t xml:space="preserve">la NIIF 9 “Instrumentos Financieros” sobre los instrumentos de deuda del Sector Público no Financiero, </w:t>
      </w:r>
    </w:p>
    <w:p w14:paraId="46823AAB" w14:textId="77777777" w:rsidR="00111E5A" w:rsidRPr="00C17696" w:rsidRDefault="00111E5A" w:rsidP="00111E5A">
      <w:pPr>
        <w:spacing w:after="160" w:line="259" w:lineRule="auto"/>
        <w:jc w:val="both"/>
        <w:rPr>
          <w:rFonts w:ascii="Arial" w:eastAsia="Calibri" w:hAnsi="Arial" w:cs="Arial"/>
          <w:sz w:val="20"/>
        </w:rPr>
      </w:pPr>
      <w:r>
        <w:rPr>
          <w:rFonts w:ascii="Arial" w:eastAsia="Calibri" w:hAnsi="Arial" w:cs="Arial"/>
          <w:sz w:val="20"/>
        </w:rPr>
        <w:t xml:space="preserve">        </w:t>
      </w:r>
      <w:r w:rsidRPr="00C17696">
        <w:rPr>
          <w:rFonts w:ascii="Arial" w:eastAsia="Calibri" w:hAnsi="Arial" w:cs="Arial"/>
          <w:sz w:val="20"/>
        </w:rPr>
        <w:t>(ii)</w:t>
      </w:r>
      <w:r w:rsidRPr="00C17696">
        <w:rPr>
          <w:rFonts w:ascii="Arial" w:eastAsia="Calibri" w:hAnsi="Arial" w:cs="Arial"/>
          <w:sz w:val="20"/>
        </w:rPr>
        <w:tab/>
      </w:r>
      <w:r w:rsidRPr="0065012D">
        <w:rPr>
          <w:rFonts w:ascii="Arial" w:eastAsia="Calibri" w:hAnsi="Arial" w:cs="Arial"/>
          <w:sz w:val="20"/>
        </w:rPr>
        <w:t>excepción temporaria de la aplicación del punto 5.5. (deterioro de valor) de la NIIF 9 para las entidades del grupo B, categoría que integra Cordial Compañía Financiera S.A., por lo que las previsiones de la mencionada Entidad se mantienen bajo la normativa de previsiones mínimas del B.C.R.A.</w:t>
      </w:r>
    </w:p>
    <w:p w14:paraId="5B6434D5" w14:textId="0CADCDCA" w:rsidR="00D94587" w:rsidRPr="002775B9" w:rsidRDefault="00111E5A" w:rsidP="00D94587">
      <w:pPr>
        <w:spacing w:after="160" w:line="259" w:lineRule="auto"/>
        <w:jc w:val="both"/>
        <w:rPr>
          <w:rFonts w:ascii="Arial" w:eastAsia="Arial" w:hAnsi="Arial" w:cs="Arial"/>
          <w:sz w:val="20"/>
        </w:rPr>
      </w:pPr>
      <w:r w:rsidRPr="00111E5A">
        <w:rPr>
          <w:rFonts w:ascii="Arial" w:eastAsia="Arial" w:hAnsi="Arial" w:cs="Arial"/>
          <w:sz w:val="20"/>
        </w:rPr>
        <w:t xml:space="preserve">De acuerdo con lo establecido por la NIC 34, la información financiera intermedia incluirá una explicación de los sucesos y transacciones, producidos desde el final del último período anual sobre el que se informa, que sean significativos para comprender los cambios en la situación financiera, el rendimiento financiero y los flujos de efectivo del Banco con el objetivo que se actualice la información correspondiente a los últimos estados financieros por el ejercicio anual finalizado el 31 de diciembre de 2019 (en adelante “estados financieros anuales”). Por lo expuesto, los presentes estados financieros condensados intermedios separados no incluyen </w:t>
      </w:r>
      <w:r w:rsidRPr="00111E5A">
        <w:rPr>
          <w:rFonts w:ascii="Arial" w:eastAsia="Arial" w:hAnsi="Arial" w:cs="Arial"/>
          <w:sz w:val="20"/>
        </w:rPr>
        <w:lastRenderedPageBreak/>
        <w:t>toda la información que requerirían unos estados financieros completos preparados de acuerdo con las Normas Internacionales de Información Financiera por lo que, para una adecuada compresión de la información incluida en los mismos, deben ser leídos en conjunto con los estados financieros anuales</w:t>
      </w:r>
      <w:r w:rsidR="00D94587" w:rsidRPr="002775B9">
        <w:rPr>
          <w:rFonts w:ascii="Arial" w:eastAsia="Arial" w:hAnsi="Arial" w:cs="Arial"/>
          <w:sz w:val="20"/>
        </w:rPr>
        <w:t>.</w:t>
      </w:r>
    </w:p>
    <w:p w14:paraId="31D82BB5" w14:textId="54BCCE4E" w:rsidR="00D94587" w:rsidRDefault="00D94587">
      <w:pPr>
        <w:spacing w:after="160" w:line="259" w:lineRule="auto"/>
        <w:jc w:val="both"/>
        <w:rPr>
          <w:rFonts w:ascii="Arial" w:eastAsia="Arial" w:hAnsi="Arial" w:cs="Arial"/>
          <w:sz w:val="20"/>
        </w:rPr>
      </w:pPr>
      <w:r w:rsidRPr="002775B9">
        <w:rPr>
          <w:rFonts w:ascii="Arial" w:eastAsia="Arial" w:hAnsi="Arial" w:cs="Arial"/>
          <w:sz w:val="20"/>
        </w:rPr>
        <w:t xml:space="preserve">La Dirección del </w:t>
      </w:r>
      <w:r>
        <w:rPr>
          <w:rFonts w:ascii="Arial" w:eastAsia="Arial" w:hAnsi="Arial" w:cs="Arial"/>
          <w:sz w:val="20"/>
        </w:rPr>
        <w:t>Banco</w:t>
      </w:r>
      <w:r w:rsidRPr="002775B9">
        <w:rPr>
          <w:rFonts w:ascii="Arial" w:eastAsia="Arial" w:hAnsi="Arial" w:cs="Arial"/>
          <w:sz w:val="20"/>
        </w:rPr>
        <w:t xml:space="preserve"> ha concluido que los presentes estados financieros condensados intermedios presentan razonablemente la posición financiera, el rendimiento financiero y los flujos de efectivo.</w:t>
      </w:r>
    </w:p>
    <w:p w14:paraId="39B2E325" w14:textId="77777777" w:rsidR="00111E5A" w:rsidRPr="0065012D" w:rsidRDefault="00111E5A" w:rsidP="00111E5A">
      <w:pPr>
        <w:jc w:val="both"/>
        <w:rPr>
          <w:rFonts w:ascii="Arial" w:hAnsi="Arial" w:cs="Arial"/>
          <w:sz w:val="20"/>
          <w:lang w:val="es-ES_tradnl"/>
        </w:rPr>
      </w:pPr>
      <w:r w:rsidRPr="0065012D">
        <w:rPr>
          <w:rFonts w:ascii="Arial" w:hAnsi="Arial" w:cs="Arial"/>
          <w:sz w:val="20"/>
          <w:lang w:val="es-ES_tradnl"/>
        </w:rPr>
        <w:t xml:space="preserve">Cabe señalar que los estados financieros condensados intermedios han sido preparados aplicando políticas contables y criterios de medición consistentes con los aplicados por el </w:t>
      </w:r>
      <w:r>
        <w:rPr>
          <w:rFonts w:ascii="Arial" w:hAnsi="Arial" w:cs="Arial"/>
          <w:sz w:val="20"/>
          <w:lang w:val="es-ES_tradnl"/>
        </w:rPr>
        <w:t>Banco</w:t>
      </w:r>
      <w:r w:rsidRPr="0065012D">
        <w:rPr>
          <w:rFonts w:ascii="Arial" w:hAnsi="Arial" w:cs="Arial"/>
          <w:sz w:val="20"/>
          <w:lang w:val="es-ES_tradnl"/>
        </w:rPr>
        <w:t xml:space="preserve"> para la preparación de los estados financieros anuales, excepto por lo descripto en Nota 1.1.4.</w:t>
      </w:r>
    </w:p>
    <w:p w14:paraId="6A437A2C" w14:textId="268FBB34" w:rsidR="00111E5A" w:rsidRDefault="00111E5A">
      <w:pPr>
        <w:spacing w:after="160" w:line="259" w:lineRule="auto"/>
        <w:jc w:val="both"/>
        <w:rPr>
          <w:rFonts w:ascii="Arial" w:eastAsia="Arial" w:hAnsi="Arial" w:cs="Arial"/>
          <w:sz w:val="20"/>
          <w:lang w:val="es-ES_tradnl"/>
        </w:rPr>
      </w:pPr>
    </w:p>
    <w:p w14:paraId="730D723C" w14:textId="6F48C904" w:rsidR="00111E5A" w:rsidRDefault="00111E5A" w:rsidP="00111E5A">
      <w:pPr>
        <w:pStyle w:val="Ttulonota"/>
        <w:tabs>
          <w:tab w:val="left" w:pos="426"/>
          <w:tab w:val="left" w:pos="993"/>
        </w:tabs>
        <w:rPr>
          <w:rFonts w:ascii="Arial" w:hAnsi="Arial" w:cs="Arial"/>
          <w:b w:val="0"/>
          <w:sz w:val="20"/>
        </w:rPr>
      </w:pPr>
      <w:r w:rsidRPr="003A5206">
        <w:rPr>
          <w:rFonts w:ascii="Arial" w:hAnsi="Arial" w:cs="Arial"/>
          <w:b w:val="0"/>
          <w:sz w:val="20"/>
        </w:rPr>
        <w:t xml:space="preserve">La preparación de estados financieros requiere que el </w:t>
      </w:r>
      <w:r>
        <w:rPr>
          <w:rFonts w:ascii="Arial" w:hAnsi="Arial" w:cs="Arial"/>
          <w:b w:val="0"/>
          <w:sz w:val="20"/>
        </w:rPr>
        <w:t xml:space="preserve">Banco </w:t>
      </w:r>
      <w:r w:rsidRPr="003A5206">
        <w:rPr>
          <w:rFonts w:ascii="Arial" w:hAnsi="Arial" w:cs="Arial"/>
          <w:b w:val="0"/>
          <w:sz w:val="20"/>
        </w:rPr>
        <w:t>realice estimaciones y evaluaciones que afectan el monto de los activos y pasivos registrados, y la revelación de contingencias, como así también los ingresos y egresos registrados en el período. En este sentido, se realizan estimaciones para calcular, por ejemplo, las previsiones por riesgo de crédito, las vidas útiles de los bienes de propiedad, planta y equipo, las depreciaciones y amortizaciones, el valor recuperable de los activos, el cargo por impuesto a las ganancias y el valor razonable de ciertos instrumentos financieros. Los resultados reales futuros pueden diferir de las estimaciones y evaluaciones realizadas a la fecha de preparación de los presentes estados financieros condensados intermedios separados.</w:t>
      </w:r>
    </w:p>
    <w:p w14:paraId="565497FC" w14:textId="77777777" w:rsidR="00111E5A" w:rsidRPr="00A74911" w:rsidRDefault="00111E5A" w:rsidP="00A74911">
      <w:pPr>
        <w:pStyle w:val="Ttulonota"/>
        <w:tabs>
          <w:tab w:val="left" w:pos="426"/>
          <w:tab w:val="left" w:pos="993"/>
        </w:tabs>
        <w:rPr>
          <w:rFonts w:ascii="Arial" w:hAnsi="Arial" w:cs="Arial"/>
          <w:bCs/>
          <w:sz w:val="20"/>
        </w:rPr>
      </w:pPr>
    </w:p>
    <w:p w14:paraId="336945C2" w14:textId="77777777" w:rsidR="00111E5A" w:rsidRPr="00C17696" w:rsidRDefault="00111E5A" w:rsidP="00111E5A">
      <w:pPr>
        <w:pStyle w:val="Ttulonota"/>
        <w:tabs>
          <w:tab w:val="left" w:pos="426"/>
          <w:tab w:val="left" w:pos="993"/>
        </w:tabs>
        <w:rPr>
          <w:rFonts w:ascii="Arial" w:hAnsi="Arial" w:cs="Arial"/>
          <w:b w:val="0"/>
          <w:bCs/>
          <w:sz w:val="20"/>
        </w:rPr>
      </w:pPr>
      <w:r w:rsidRPr="00C17696">
        <w:rPr>
          <w:rFonts w:ascii="Arial" w:hAnsi="Arial" w:cs="Arial"/>
          <w:b w:val="0"/>
          <w:sz w:val="20"/>
        </w:rPr>
        <w:t xml:space="preserve">A la fecha de emisión de los presentes estados financieros, los mismos se encuentran pendientes de transcripción al Libro Inventario y Balances.  </w:t>
      </w:r>
    </w:p>
    <w:p w14:paraId="0442CDFC" w14:textId="77777777" w:rsidR="00111E5A" w:rsidRPr="002775B9" w:rsidRDefault="00111E5A">
      <w:pPr>
        <w:spacing w:after="160" w:line="259" w:lineRule="auto"/>
        <w:jc w:val="both"/>
        <w:rPr>
          <w:rFonts w:ascii="Arial" w:eastAsia="Arial" w:hAnsi="Arial" w:cs="Arial"/>
          <w:sz w:val="20"/>
        </w:rPr>
      </w:pPr>
    </w:p>
    <w:p w14:paraId="05F37801" w14:textId="075A5BC1" w:rsidR="00FD67E8" w:rsidRPr="002E1AF6" w:rsidRDefault="00FD67E8" w:rsidP="002E1AF6">
      <w:pPr>
        <w:pStyle w:val="ListParagraph"/>
        <w:numPr>
          <w:ilvl w:val="2"/>
          <w:numId w:val="72"/>
        </w:numPr>
        <w:spacing w:after="160" w:line="259" w:lineRule="auto"/>
        <w:contextualSpacing/>
        <w:jc w:val="both"/>
        <w:rPr>
          <w:rFonts w:ascii="Arial" w:eastAsia="Arial" w:hAnsi="Arial" w:cs="Arial"/>
          <w:b/>
          <w:sz w:val="20"/>
        </w:rPr>
      </w:pPr>
      <w:r w:rsidRPr="002E1AF6">
        <w:rPr>
          <w:rFonts w:ascii="Arial" w:eastAsia="Arial" w:hAnsi="Arial" w:cs="Arial"/>
          <w:b/>
          <w:sz w:val="20"/>
        </w:rPr>
        <w:t xml:space="preserve">Empresa en marcha </w:t>
      </w:r>
    </w:p>
    <w:p w14:paraId="684F749C" w14:textId="77777777" w:rsidR="00FD67E8" w:rsidRPr="00642813" w:rsidRDefault="00FD67E8" w:rsidP="00FD67E8">
      <w:pPr>
        <w:pStyle w:val="ListParagraph"/>
        <w:spacing w:after="160" w:line="259" w:lineRule="auto"/>
        <w:contextualSpacing/>
        <w:jc w:val="both"/>
        <w:rPr>
          <w:rFonts w:ascii="Arial" w:eastAsia="Arial" w:hAnsi="Arial" w:cs="Arial"/>
          <w:b/>
          <w:sz w:val="20"/>
        </w:rPr>
      </w:pPr>
    </w:p>
    <w:p w14:paraId="4B3971FE" w14:textId="1016C252" w:rsidR="00FD67E8" w:rsidRDefault="00FD67E8" w:rsidP="00FD67E8">
      <w:pPr>
        <w:jc w:val="both"/>
        <w:rPr>
          <w:rFonts w:ascii="Arial" w:eastAsia="Arial" w:hAnsi="Arial" w:cs="Arial"/>
          <w:sz w:val="20"/>
        </w:rPr>
      </w:pPr>
      <w:r w:rsidRPr="00BA7A6B">
        <w:rPr>
          <w:rFonts w:ascii="Arial" w:eastAsia="Arial" w:hAnsi="Arial" w:cs="Arial"/>
          <w:sz w:val="20"/>
        </w:rPr>
        <w:t xml:space="preserve">A la fecha de los presentes estados financieros condensados intermedios consolidados, no existen incertidumbres respecto a sucesos o condiciones que puedan aportar dudas sobre la posibilidad de que el </w:t>
      </w:r>
      <w:r w:rsidR="00A3402F">
        <w:rPr>
          <w:rFonts w:ascii="Arial" w:eastAsia="Arial" w:hAnsi="Arial" w:cs="Arial"/>
          <w:sz w:val="20"/>
        </w:rPr>
        <w:t>Banco</w:t>
      </w:r>
      <w:r w:rsidR="00A3402F" w:rsidRPr="00BA7A6B">
        <w:rPr>
          <w:rFonts w:ascii="Arial" w:eastAsia="Arial" w:hAnsi="Arial" w:cs="Arial"/>
          <w:sz w:val="20"/>
        </w:rPr>
        <w:t xml:space="preserve"> </w:t>
      </w:r>
      <w:r w:rsidRPr="00BA7A6B">
        <w:rPr>
          <w:rFonts w:ascii="Arial" w:eastAsia="Arial" w:hAnsi="Arial" w:cs="Arial"/>
          <w:sz w:val="20"/>
        </w:rPr>
        <w:t>continúe operando normalmente como empresa en marcha</w:t>
      </w:r>
      <w:r>
        <w:rPr>
          <w:rFonts w:ascii="Arial" w:eastAsia="Arial" w:hAnsi="Arial" w:cs="Arial"/>
          <w:sz w:val="20"/>
        </w:rPr>
        <w:t>.</w:t>
      </w:r>
    </w:p>
    <w:p w14:paraId="6EDCBEB7" w14:textId="77777777" w:rsidR="00111E5A" w:rsidRDefault="00111E5A" w:rsidP="00FD67E8">
      <w:pPr>
        <w:jc w:val="both"/>
        <w:rPr>
          <w:rFonts w:ascii="Arial" w:eastAsia="Arial" w:hAnsi="Arial" w:cs="Arial"/>
          <w:sz w:val="20"/>
        </w:rPr>
      </w:pPr>
    </w:p>
    <w:p w14:paraId="75D6F7A2" w14:textId="77777777" w:rsidR="00FD67E8" w:rsidRDefault="00FD67E8" w:rsidP="00FD67E8">
      <w:pPr>
        <w:jc w:val="both"/>
        <w:rPr>
          <w:rFonts w:ascii="Arial" w:eastAsia="Arial" w:hAnsi="Arial" w:cs="Arial"/>
          <w:sz w:val="20"/>
        </w:rPr>
      </w:pPr>
    </w:p>
    <w:p w14:paraId="52E7044D" w14:textId="77777777" w:rsidR="00FD67E8" w:rsidRPr="00642813" w:rsidRDefault="00FD67E8" w:rsidP="002E1AF6">
      <w:pPr>
        <w:pStyle w:val="ListParagraph"/>
        <w:numPr>
          <w:ilvl w:val="2"/>
          <w:numId w:val="72"/>
        </w:numPr>
        <w:spacing w:after="160" w:line="259" w:lineRule="auto"/>
        <w:contextualSpacing/>
        <w:jc w:val="both"/>
        <w:rPr>
          <w:rFonts w:ascii="Arial" w:eastAsia="Arial" w:hAnsi="Arial" w:cs="Arial"/>
          <w:b/>
          <w:sz w:val="20"/>
        </w:rPr>
      </w:pPr>
      <w:r w:rsidRPr="00642813">
        <w:rPr>
          <w:rFonts w:ascii="Arial" w:eastAsia="Arial" w:hAnsi="Arial" w:cs="Arial"/>
          <w:b/>
          <w:sz w:val="20"/>
        </w:rPr>
        <w:t xml:space="preserve">  Unidad de medida</w:t>
      </w:r>
    </w:p>
    <w:p w14:paraId="039CE0F5" w14:textId="77777777" w:rsidR="00FD67E8" w:rsidRDefault="00FD67E8" w:rsidP="00FD67E8">
      <w:pPr>
        <w:autoSpaceDE w:val="0"/>
        <w:autoSpaceDN w:val="0"/>
        <w:adjustRightInd w:val="0"/>
        <w:jc w:val="both"/>
        <w:rPr>
          <w:rFonts w:ascii="Arial" w:hAnsi="Arial" w:cs="Arial"/>
          <w:sz w:val="20"/>
        </w:rPr>
      </w:pPr>
    </w:p>
    <w:p w14:paraId="346EC875" w14:textId="77777777" w:rsidR="00FD67E8" w:rsidRPr="0038082D" w:rsidRDefault="00FD67E8" w:rsidP="00FD67E8">
      <w:pPr>
        <w:autoSpaceDE w:val="0"/>
        <w:autoSpaceDN w:val="0"/>
        <w:adjustRightInd w:val="0"/>
        <w:jc w:val="both"/>
        <w:rPr>
          <w:rFonts w:ascii="Arial" w:hAnsi="Arial" w:cs="Arial"/>
          <w:sz w:val="20"/>
        </w:rPr>
      </w:pPr>
      <w:r w:rsidRPr="0038082D">
        <w:rPr>
          <w:rFonts w:ascii="Arial" w:hAnsi="Arial" w:cs="Arial"/>
          <w:sz w:val="20"/>
        </w:rPr>
        <w:t>Las cifras expresadas en los presentes estados financieros condensados intermedios se exponen en miles de pesos argentinos, excepto que se indique lo contrario.</w:t>
      </w:r>
    </w:p>
    <w:p w14:paraId="190D05DA" w14:textId="77777777" w:rsidR="00FD67E8" w:rsidRPr="0038082D" w:rsidRDefault="00FD67E8" w:rsidP="00FD67E8">
      <w:pPr>
        <w:autoSpaceDE w:val="0"/>
        <w:autoSpaceDN w:val="0"/>
        <w:adjustRightInd w:val="0"/>
        <w:jc w:val="both"/>
        <w:rPr>
          <w:rFonts w:ascii="Arial" w:hAnsi="Arial" w:cs="Arial"/>
          <w:sz w:val="20"/>
        </w:rPr>
      </w:pPr>
    </w:p>
    <w:p w14:paraId="23A62B67" w14:textId="77777777" w:rsidR="00FD67E8" w:rsidRPr="00BA7A6B" w:rsidRDefault="00FD67E8" w:rsidP="00FD67E8">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t>Los estados financieros condensados intermedios</w:t>
      </w:r>
      <w:r>
        <w:rPr>
          <w:rFonts w:ascii="Arial" w:hAnsi="Arial" w:cs="Arial"/>
          <w:bCs/>
          <w:sz w:val="20"/>
          <w:lang w:val="es-ES_tradnl"/>
        </w:rPr>
        <w:t xml:space="preserve"> de la Entidad</w:t>
      </w:r>
      <w:r w:rsidRPr="00BA7A6B">
        <w:rPr>
          <w:rFonts w:ascii="Arial" w:hAnsi="Arial" w:cs="Arial"/>
          <w:bCs/>
          <w:sz w:val="20"/>
          <w:lang w:val="es-ES_tradnl"/>
        </w:rPr>
        <w:t xml:space="preserve"> reconocen las variaciones en el poder adquisitivo de la moneda hasta el hasta el 31 de agosto de 1995. A partir de dicha fecha, en base a las condiciones de estabilidad económica prevalecientes y de acuerdo con lo requerido por la Comunicación “A” 2365 del BCRA, las mediciones contables no fueron reexpresadas hasta el 31 de diciembre de 2001. En virtud de la Comunicación “A” 3702 del BCRA, se reanudó la </w:t>
      </w:r>
      <w:r w:rsidRPr="00BA7A6B">
        <w:rPr>
          <w:rFonts w:ascii="Arial" w:hAnsi="Arial" w:cs="Arial"/>
          <w:bCs/>
          <w:sz w:val="20"/>
          <w:lang w:val="es-ES_tradnl"/>
        </w:rPr>
        <w:lastRenderedPageBreak/>
        <w:t>aplicación del método con efectos a partir del 1° de enero de 2002, considerándose las mediciones contables anteriores a esta fecha, expresadas en moneda del 31 diciembre de 2001.</w:t>
      </w:r>
    </w:p>
    <w:p w14:paraId="38DBD287" w14:textId="77777777" w:rsidR="00FD67E8" w:rsidRPr="00BA7A6B" w:rsidRDefault="00FD67E8" w:rsidP="00FD67E8">
      <w:pPr>
        <w:autoSpaceDE w:val="0"/>
        <w:autoSpaceDN w:val="0"/>
        <w:adjustRightInd w:val="0"/>
        <w:jc w:val="both"/>
        <w:rPr>
          <w:rFonts w:ascii="Arial" w:hAnsi="Arial" w:cs="Arial"/>
          <w:bCs/>
          <w:sz w:val="20"/>
          <w:lang w:val="es-ES_tradnl"/>
        </w:rPr>
      </w:pPr>
    </w:p>
    <w:p w14:paraId="64286327" w14:textId="54297BC2" w:rsidR="00FD67E8" w:rsidRPr="00BA7A6B" w:rsidRDefault="00FD67E8" w:rsidP="00FD67E8">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t xml:space="preserve">Mediante la Comunicación “A” 3921 del BCRA, en cumplimiento de lo dispuesto por el Decreto 664/03 del Poder Ejecutivo Nacional, se discontinuó la aplicación del método de reexpresión de estados contables en moneda homogénea a partir del 1 de marzo de 2003. Consecuentemente, el </w:t>
      </w:r>
      <w:r w:rsidR="00A3402F">
        <w:rPr>
          <w:rFonts w:ascii="Arial" w:hAnsi="Arial" w:cs="Arial"/>
          <w:bCs/>
          <w:sz w:val="20"/>
          <w:lang w:val="es-ES_tradnl"/>
        </w:rPr>
        <w:t>Banco</w:t>
      </w:r>
      <w:r w:rsidR="00A3402F" w:rsidRPr="00BA7A6B">
        <w:rPr>
          <w:rFonts w:ascii="Arial" w:hAnsi="Arial" w:cs="Arial"/>
          <w:bCs/>
          <w:sz w:val="20"/>
          <w:lang w:val="es-ES_tradnl"/>
        </w:rPr>
        <w:t xml:space="preserve"> </w:t>
      </w:r>
      <w:r w:rsidRPr="00BA7A6B">
        <w:rPr>
          <w:rFonts w:ascii="Arial" w:hAnsi="Arial" w:cs="Arial"/>
          <w:bCs/>
          <w:sz w:val="20"/>
          <w:lang w:val="es-ES_tradnl"/>
        </w:rPr>
        <w:t>aplicó la mencionada reexpresión hasta el 28 de febrero de 2003.</w:t>
      </w:r>
    </w:p>
    <w:p w14:paraId="7C70AE66" w14:textId="77777777" w:rsidR="00FD67E8" w:rsidRPr="00BA7A6B" w:rsidRDefault="00FD67E8" w:rsidP="00FD67E8">
      <w:pPr>
        <w:autoSpaceDE w:val="0"/>
        <w:autoSpaceDN w:val="0"/>
        <w:adjustRightInd w:val="0"/>
        <w:jc w:val="both"/>
        <w:rPr>
          <w:rFonts w:ascii="Arial" w:hAnsi="Arial" w:cs="Arial"/>
          <w:bCs/>
          <w:sz w:val="20"/>
          <w:lang w:val="es-ES_tradnl"/>
        </w:rPr>
      </w:pPr>
    </w:p>
    <w:p w14:paraId="09DF7A17" w14:textId="5F79E99F" w:rsidR="00FD67E8" w:rsidRDefault="00FD67E8" w:rsidP="00FD67E8">
      <w:pPr>
        <w:autoSpaceDE w:val="0"/>
        <w:autoSpaceDN w:val="0"/>
        <w:adjustRightInd w:val="0"/>
        <w:jc w:val="both"/>
        <w:rPr>
          <w:rFonts w:ascii="Arial" w:hAnsi="Arial" w:cs="Arial"/>
          <w:sz w:val="20"/>
        </w:rPr>
      </w:pPr>
      <w:r w:rsidRPr="00BA7A6B">
        <w:rPr>
          <w:rFonts w:ascii="Arial" w:hAnsi="Arial" w:cs="Arial"/>
          <w:bCs/>
          <w:sz w:val="20"/>
          <w:lang w:val="es-ES_tradnl"/>
        </w:rPr>
        <w:t>A su vez, la Ley N° 27.468 (B.O. 04/12/2018) modificó el artículo 10° de la Ley N° 23.928 y sus modificatorias, estableciendo que la derogación de todas las normas legales o reglamentarias que establecen o autorizan la indexación por precios, actualización monetaria, variación de costos o cualquier otra forma de repotenciación de las deudas, impuestos, precios o tarifas de los bienes, obras o servicios, no comprende a los estados financieros, respecto de los cuales continuará siendo de aplicación lo dispuesto en el artículo 62 in fine de la Ley General de Sociedades N° 19.550 (T.O. 1984) y sus modificatorias. Asimismo, el mencionado cuerpo legal dispuso la derogación del Decreto Nº 1269/2002 del 16 de julio de 2002 y sus modificatorios y delegó en el Poder Ejecutivo Nacional (PEN), a través de sus organismos de contralor, establecer la fecha a partir de la cual surtieron efecto las disposiciones</w:t>
      </w:r>
      <w:r w:rsidRPr="00BA7A6B">
        <w:rPr>
          <w:rFonts w:ascii="Arial" w:hAnsi="Arial" w:cs="Arial"/>
          <w:sz w:val="20"/>
        </w:rPr>
        <w:t xml:space="preserve"> citadas en relación con los estados financieros que les sean presentados. Por lo tanto, el BCRA, con fecha 22 de febrero de 2019, emitió la Comunicación “A” 6651 a través de la cual dispuso que a partir del 1 de enero de 2020, los estados financieros se confeccionan en moneda constante. Por lo tanto, los presentes estados financieros condensados intermedios al 31.03.2020 han sido reexpresados.</w:t>
      </w:r>
    </w:p>
    <w:p w14:paraId="630460FC" w14:textId="3A0996CA" w:rsidR="00FD67E8" w:rsidRDefault="00FD67E8" w:rsidP="00FD67E8">
      <w:pPr>
        <w:autoSpaceDE w:val="0"/>
        <w:autoSpaceDN w:val="0"/>
        <w:adjustRightInd w:val="0"/>
        <w:jc w:val="both"/>
        <w:rPr>
          <w:rFonts w:ascii="Arial" w:hAnsi="Arial" w:cs="Arial"/>
          <w:sz w:val="20"/>
        </w:rPr>
      </w:pPr>
    </w:p>
    <w:p w14:paraId="5D5B81B8" w14:textId="77777777" w:rsidR="00FD67E8" w:rsidRDefault="00FD67E8" w:rsidP="00FD67E8">
      <w:pPr>
        <w:autoSpaceDE w:val="0"/>
        <w:autoSpaceDN w:val="0"/>
        <w:adjustRightInd w:val="0"/>
        <w:jc w:val="both"/>
        <w:rPr>
          <w:rFonts w:ascii="Arial" w:hAnsi="Arial" w:cs="Arial"/>
          <w:sz w:val="20"/>
        </w:rPr>
      </w:pPr>
    </w:p>
    <w:p w14:paraId="1A8C66FB" w14:textId="77777777" w:rsidR="00FD67E8" w:rsidRPr="00642813" w:rsidRDefault="00FD67E8" w:rsidP="002E1AF6">
      <w:pPr>
        <w:pStyle w:val="ListParagraph"/>
        <w:numPr>
          <w:ilvl w:val="2"/>
          <w:numId w:val="72"/>
        </w:numPr>
        <w:rPr>
          <w:rFonts w:ascii="Arial" w:hAnsi="Arial" w:cs="Arial"/>
          <w:b/>
          <w:sz w:val="20"/>
        </w:rPr>
      </w:pPr>
      <w:r w:rsidRPr="00642813">
        <w:rPr>
          <w:rFonts w:ascii="Arial" w:hAnsi="Arial" w:cs="Arial"/>
          <w:b/>
          <w:sz w:val="20"/>
        </w:rPr>
        <w:t>Información comparativa</w:t>
      </w:r>
    </w:p>
    <w:p w14:paraId="17577DAF" w14:textId="77777777" w:rsidR="00FD67E8" w:rsidRDefault="00FD67E8" w:rsidP="00FD67E8">
      <w:pPr>
        <w:autoSpaceDE w:val="0"/>
        <w:autoSpaceDN w:val="0"/>
        <w:adjustRightInd w:val="0"/>
        <w:jc w:val="both"/>
        <w:rPr>
          <w:rFonts w:ascii="Arial" w:hAnsi="Arial" w:cs="Arial"/>
          <w:b/>
          <w:sz w:val="20"/>
        </w:rPr>
      </w:pPr>
    </w:p>
    <w:p w14:paraId="127D5587" w14:textId="77777777" w:rsidR="00FD67E8" w:rsidRPr="00BA7A6B" w:rsidRDefault="00FD67E8" w:rsidP="00FD67E8">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t xml:space="preserve">La información contenida en los presentes estados financieros condensados intermedios y en las notas referidas al 31 de diciembre de 2019 y al 31 de marzo de 2019 que se encontraba elaborada con las normas en vigor en el ejercicio 2019 se presenta, exclusivamente, a efectos comparativos con la información relativa al 31 de marzo de 2020. </w:t>
      </w:r>
    </w:p>
    <w:p w14:paraId="6D46E34C" w14:textId="77777777" w:rsidR="00FD67E8" w:rsidRPr="00BA7A6B" w:rsidRDefault="00FD67E8" w:rsidP="00FD67E8">
      <w:pPr>
        <w:autoSpaceDE w:val="0"/>
        <w:autoSpaceDN w:val="0"/>
        <w:adjustRightInd w:val="0"/>
        <w:ind w:left="586"/>
        <w:jc w:val="both"/>
        <w:rPr>
          <w:rFonts w:ascii="Arial" w:hAnsi="Arial" w:cs="Arial"/>
          <w:bCs/>
          <w:sz w:val="20"/>
          <w:lang w:val="es-ES_tradnl"/>
        </w:rPr>
      </w:pPr>
    </w:p>
    <w:p w14:paraId="538AD0D8" w14:textId="77777777" w:rsidR="00FD67E8" w:rsidRPr="00BA7A6B" w:rsidRDefault="00FD67E8" w:rsidP="00FD67E8">
      <w:pPr>
        <w:autoSpaceDE w:val="0"/>
        <w:autoSpaceDN w:val="0"/>
        <w:adjustRightInd w:val="0"/>
        <w:jc w:val="both"/>
        <w:rPr>
          <w:rFonts w:ascii="Arial" w:hAnsi="Arial" w:cs="Arial"/>
          <w:bCs/>
          <w:sz w:val="20"/>
          <w:lang w:val="es-ES_tradnl"/>
        </w:rPr>
      </w:pPr>
      <w:r w:rsidRPr="00BA7A6B">
        <w:rPr>
          <w:rFonts w:ascii="Arial" w:hAnsi="Arial" w:cs="Arial"/>
          <w:bCs/>
          <w:sz w:val="20"/>
          <w:lang w:val="es-ES_tradnl"/>
        </w:rPr>
        <w:t xml:space="preserve">Cabe señalar que, dada la exigencia de aplicación retroactiva, establecida por el BCRA a través de su Comunicación “A” 6778, del modelo de deterioro previsto en el punto 5.5 de la NIIF 9 con la exclusión transitoria de los instrumentos de deuda del Sector Público no Financiero y la reexpresión de los estados financieros de acuerdo con la NIC 29, </w:t>
      </w:r>
      <w:r>
        <w:rPr>
          <w:rFonts w:ascii="Arial" w:hAnsi="Arial" w:cs="Arial"/>
          <w:bCs/>
          <w:sz w:val="20"/>
          <w:lang w:val="es-ES_tradnl"/>
        </w:rPr>
        <w:t>el Banco</w:t>
      </w:r>
      <w:r w:rsidRPr="00BA7A6B">
        <w:rPr>
          <w:rFonts w:ascii="Arial" w:hAnsi="Arial" w:cs="Arial"/>
          <w:bCs/>
          <w:sz w:val="20"/>
          <w:lang w:val="es-ES_tradnl"/>
        </w:rPr>
        <w:t xml:space="preserve"> procede a:</w:t>
      </w:r>
    </w:p>
    <w:p w14:paraId="0F7AE096" w14:textId="77777777" w:rsidR="00FD67E8" w:rsidRPr="00BA7A6B" w:rsidRDefault="00FD67E8" w:rsidP="00FD67E8">
      <w:pPr>
        <w:autoSpaceDE w:val="0"/>
        <w:autoSpaceDN w:val="0"/>
        <w:adjustRightInd w:val="0"/>
        <w:ind w:left="586"/>
        <w:jc w:val="both"/>
        <w:rPr>
          <w:rFonts w:ascii="Arial" w:hAnsi="Arial" w:cs="Arial"/>
          <w:bCs/>
          <w:sz w:val="20"/>
          <w:lang w:val="es-ES_tradnl"/>
        </w:rPr>
      </w:pPr>
      <w:r w:rsidRPr="00BA7A6B">
        <w:rPr>
          <w:rFonts w:ascii="Arial" w:hAnsi="Arial" w:cs="Arial"/>
          <w:bCs/>
          <w:sz w:val="20"/>
          <w:lang w:val="es-ES_tradnl"/>
        </w:rPr>
        <w:t xml:space="preserve"> </w:t>
      </w:r>
    </w:p>
    <w:p w14:paraId="7806A677" w14:textId="77777777" w:rsidR="00FD67E8" w:rsidRPr="00BA7A6B" w:rsidRDefault="00FD67E8" w:rsidP="00FD67E8">
      <w:pPr>
        <w:pStyle w:val="ListParagraph"/>
        <w:numPr>
          <w:ilvl w:val="0"/>
          <w:numId w:val="47"/>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reexpresar retroactivamente las cifras del Estado de Situación Financiera al 31 de diciembre de 2019 a efectos de presentarlas como si las nuevas políticas contables se hubieran aplicado desde el 1 de enero de 2019, y</w:t>
      </w:r>
    </w:p>
    <w:p w14:paraId="322D2A7A" w14:textId="77777777" w:rsidR="00FD67E8" w:rsidRPr="00BA7A6B" w:rsidRDefault="00FD67E8" w:rsidP="00FD67E8">
      <w:pPr>
        <w:pStyle w:val="ListParagraph"/>
        <w:numPr>
          <w:ilvl w:val="0"/>
          <w:numId w:val="47"/>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reexpresar retroactivamente las cifras del Estado de Resultados, Estado Otros Resultados Integrales y Estado de Cambios en el Patrimonio al 31 de marzo de 2019 a efectos de presentarlas como si las nuevas políticas contables se hubieran aplicado desde el 1 de enero de 2019.</w:t>
      </w:r>
    </w:p>
    <w:p w14:paraId="09C35EEB" w14:textId="4FE4138D" w:rsidR="00FD67E8" w:rsidRDefault="00FD67E8" w:rsidP="00FD67E8">
      <w:pPr>
        <w:autoSpaceDE w:val="0"/>
        <w:autoSpaceDN w:val="0"/>
        <w:adjustRightInd w:val="0"/>
        <w:jc w:val="both"/>
        <w:rPr>
          <w:rFonts w:ascii="Arial" w:hAnsi="Arial" w:cs="Arial"/>
          <w:b/>
          <w:sz w:val="20"/>
        </w:rPr>
      </w:pPr>
    </w:p>
    <w:p w14:paraId="7BCEDC10" w14:textId="49DD5BD5" w:rsidR="00F10EED" w:rsidRDefault="00F10EED" w:rsidP="00FD67E8">
      <w:pPr>
        <w:autoSpaceDE w:val="0"/>
        <w:autoSpaceDN w:val="0"/>
        <w:adjustRightInd w:val="0"/>
        <w:jc w:val="both"/>
        <w:rPr>
          <w:rFonts w:ascii="Arial" w:hAnsi="Arial" w:cs="Arial"/>
          <w:b/>
          <w:sz w:val="20"/>
        </w:rPr>
      </w:pPr>
    </w:p>
    <w:p w14:paraId="4C18C455" w14:textId="77777777" w:rsidR="00F10EED" w:rsidRPr="00BA7A6B" w:rsidRDefault="00F10EED" w:rsidP="00FD67E8">
      <w:pPr>
        <w:autoSpaceDE w:val="0"/>
        <w:autoSpaceDN w:val="0"/>
        <w:adjustRightInd w:val="0"/>
        <w:jc w:val="both"/>
        <w:rPr>
          <w:rFonts w:ascii="Arial" w:hAnsi="Arial" w:cs="Arial"/>
          <w:b/>
          <w:sz w:val="20"/>
        </w:rPr>
      </w:pPr>
    </w:p>
    <w:p w14:paraId="271D139F" w14:textId="77777777" w:rsidR="00FD67E8" w:rsidRPr="00642813" w:rsidRDefault="00FD67E8" w:rsidP="002E1AF6">
      <w:pPr>
        <w:pStyle w:val="ListParagraph"/>
        <w:numPr>
          <w:ilvl w:val="2"/>
          <w:numId w:val="72"/>
        </w:numPr>
        <w:rPr>
          <w:rFonts w:ascii="Arial" w:hAnsi="Arial" w:cs="Arial"/>
          <w:b/>
          <w:sz w:val="20"/>
        </w:rPr>
      </w:pPr>
      <w:r w:rsidRPr="00642813">
        <w:rPr>
          <w:rFonts w:ascii="Arial" w:hAnsi="Arial" w:cs="Arial"/>
          <w:b/>
          <w:sz w:val="20"/>
        </w:rPr>
        <w:lastRenderedPageBreak/>
        <w:t>Cambios en políticas contables o nuevas normas contables</w:t>
      </w:r>
    </w:p>
    <w:p w14:paraId="218681B9" w14:textId="77777777" w:rsidR="00FD67E8" w:rsidRDefault="00FD67E8" w:rsidP="00FD67E8">
      <w:pPr>
        <w:pStyle w:val="ListParagraph"/>
        <w:autoSpaceDE w:val="0"/>
        <w:autoSpaceDN w:val="0"/>
        <w:adjustRightInd w:val="0"/>
        <w:ind w:left="360"/>
        <w:jc w:val="both"/>
        <w:rPr>
          <w:rFonts w:ascii="Arial" w:hAnsi="Arial" w:cs="Arial"/>
          <w:b/>
          <w:sz w:val="20"/>
        </w:rPr>
      </w:pPr>
    </w:p>
    <w:p w14:paraId="402B4A35" w14:textId="77777777" w:rsidR="00FD67E8" w:rsidRDefault="00FD67E8" w:rsidP="00FD67E8">
      <w:pPr>
        <w:pStyle w:val="ListParagraph"/>
        <w:autoSpaceDE w:val="0"/>
        <w:autoSpaceDN w:val="0"/>
        <w:adjustRightInd w:val="0"/>
        <w:ind w:left="360"/>
        <w:jc w:val="both"/>
        <w:rPr>
          <w:rFonts w:ascii="Arial" w:hAnsi="Arial" w:cs="Arial"/>
          <w:sz w:val="20"/>
        </w:rPr>
      </w:pPr>
      <w:r w:rsidRPr="00BA7A6B">
        <w:rPr>
          <w:rFonts w:ascii="Arial" w:hAnsi="Arial" w:cs="Arial"/>
          <w:sz w:val="20"/>
        </w:rPr>
        <w:t>A medida que se aprueben nuevas NIIF, modificaciones o derogación de las vigentes y, una vez que estos cambios sean adoptados a través de Circulares de Adopción de la Federación Argentina de Consejos Profesionales en Ciencias Económicas (FACPCE), el BCRA se expedirá acerca de su aprobación para las entidades financieras. Con carácter general, no se admitirá la aplicación anticipada de ninguna NIIF, a menos que en oportunidad de adoptarse, se defina específicamente.</w:t>
      </w:r>
    </w:p>
    <w:p w14:paraId="4F69AC79" w14:textId="77777777" w:rsidR="00FD67E8" w:rsidRPr="00BA7A6B" w:rsidRDefault="00FD67E8" w:rsidP="00FD67E8">
      <w:pPr>
        <w:pStyle w:val="ListParagraph"/>
        <w:autoSpaceDE w:val="0"/>
        <w:autoSpaceDN w:val="0"/>
        <w:adjustRightInd w:val="0"/>
        <w:ind w:left="360"/>
        <w:jc w:val="both"/>
        <w:rPr>
          <w:rFonts w:ascii="Arial" w:hAnsi="Arial" w:cs="Arial"/>
          <w:sz w:val="20"/>
        </w:rPr>
      </w:pPr>
    </w:p>
    <w:p w14:paraId="240A7D31" w14:textId="77777777" w:rsidR="00FD67E8" w:rsidRPr="00BA7A6B" w:rsidRDefault="00FD67E8" w:rsidP="00FD67E8">
      <w:pPr>
        <w:pStyle w:val="ListParagraph"/>
        <w:autoSpaceDE w:val="0"/>
        <w:autoSpaceDN w:val="0"/>
        <w:adjustRightInd w:val="0"/>
        <w:ind w:left="360"/>
        <w:jc w:val="both"/>
        <w:rPr>
          <w:rFonts w:ascii="Arial" w:hAnsi="Arial" w:cs="Arial"/>
          <w:sz w:val="20"/>
        </w:rPr>
      </w:pPr>
      <w:r w:rsidRPr="00BA7A6B">
        <w:rPr>
          <w:rFonts w:ascii="Arial" w:hAnsi="Arial" w:cs="Arial"/>
          <w:sz w:val="20"/>
        </w:rPr>
        <w:t>Se exponen a continuación los cambios introducidos durante el trimestre finalizado al 31 de marzo de 2020:</w:t>
      </w:r>
    </w:p>
    <w:p w14:paraId="41719578" w14:textId="77777777" w:rsidR="00FD67E8" w:rsidRDefault="00FD67E8" w:rsidP="00FD67E8">
      <w:pPr>
        <w:pStyle w:val="ListParagraph"/>
        <w:autoSpaceDE w:val="0"/>
        <w:autoSpaceDN w:val="0"/>
        <w:adjustRightInd w:val="0"/>
        <w:ind w:left="360"/>
        <w:jc w:val="both"/>
        <w:rPr>
          <w:rFonts w:ascii="Arial" w:hAnsi="Arial" w:cs="Arial"/>
          <w:b/>
          <w:sz w:val="20"/>
        </w:rPr>
      </w:pPr>
    </w:p>
    <w:p w14:paraId="3D80002D" w14:textId="11CB0046" w:rsidR="00FD67E8" w:rsidRPr="002E1AF6" w:rsidRDefault="00FD67E8" w:rsidP="002E1AF6">
      <w:pPr>
        <w:pStyle w:val="ListParagraph"/>
        <w:numPr>
          <w:ilvl w:val="0"/>
          <w:numId w:val="73"/>
        </w:numPr>
        <w:spacing w:after="160" w:line="259" w:lineRule="auto"/>
        <w:contextualSpacing/>
        <w:jc w:val="both"/>
        <w:rPr>
          <w:rFonts w:ascii="Arial" w:hAnsi="Arial" w:cs="Arial"/>
          <w:bCs/>
          <w:sz w:val="20"/>
          <w:lang w:val="es-ES_tradnl"/>
        </w:rPr>
      </w:pPr>
      <w:r w:rsidRPr="002E1AF6">
        <w:rPr>
          <w:rFonts w:ascii="Arial" w:hAnsi="Arial" w:cs="Arial"/>
          <w:b/>
          <w:sz w:val="20"/>
        </w:rPr>
        <w:t xml:space="preserve">Deterioro de valor de activos financieros </w:t>
      </w:r>
    </w:p>
    <w:p w14:paraId="7293812E" w14:textId="77777777" w:rsidR="00FD67E8" w:rsidRDefault="00FD67E8" w:rsidP="00FD67E8">
      <w:pPr>
        <w:pStyle w:val="ListParagraph"/>
        <w:autoSpaceDE w:val="0"/>
        <w:autoSpaceDN w:val="0"/>
        <w:adjustRightInd w:val="0"/>
        <w:ind w:left="360"/>
        <w:jc w:val="both"/>
        <w:rPr>
          <w:rFonts w:ascii="Arial" w:hAnsi="Arial" w:cs="Arial"/>
          <w:b/>
          <w:sz w:val="20"/>
          <w:lang w:val="es-ES_tradnl"/>
        </w:rPr>
      </w:pPr>
    </w:p>
    <w:p w14:paraId="1FCFC2D1" w14:textId="77777777" w:rsidR="00FD67E8" w:rsidRPr="00F9058F" w:rsidRDefault="00FD67E8" w:rsidP="00FD67E8">
      <w:pPr>
        <w:pStyle w:val="ListParagraph"/>
        <w:autoSpaceDE w:val="0"/>
        <w:autoSpaceDN w:val="0"/>
        <w:adjustRightInd w:val="0"/>
        <w:ind w:left="360"/>
        <w:jc w:val="both"/>
        <w:rPr>
          <w:rFonts w:ascii="Arial" w:hAnsi="Arial" w:cs="Arial"/>
          <w:bCs/>
          <w:sz w:val="20"/>
          <w:lang w:val="es-ES_tradnl"/>
        </w:rPr>
      </w:pPr>
      <w:r w:rsidRPr="00F9058F">
        <w:rPr>
          <w:rFonts w:ascii="Arial" w:hAnsi="Arial" w:cs="Arial"/>
          <w:bCs/>
          <w:sz w:val="20"/>
          <w:lang w:val="es-ES_tradnl"/>
        </w:rPr>
        <w:t xml:space="preserve">Mediante las Comunicaciones “A” 6430 y 6847, el B.C.R.A. estableció que las Entidades Financieras deberán comenzar a aplicar las disposiciones en materia de deterioro de activos financieros, contenidas en el punto 5.5 de la NIIF 9, a partir de los ejercicios iniciados el 1 de enero de 2020, con la excepción de los instrumentos de deuda del Sector Público no Financiero, los cuales serán excluidos transitoriamente del alcance de dichas disposiciones. Adicionalmente, la Comunicación “A” 6990 del B.C.R.A. dispuso la postergación de la aplicación del punto mencionado para las Empresas “B” hasta el 1 de enero de 2021, categoría que integra Cordial Compañía Financiera S.A., con lo cual las previsiones de la mencionada Entidad se mantienen bajo la normativa de previsiones mínimas del B.C.R.A. </w:t>
      </w:r>
    </w:p>
    <w:p w14:paraId="00717E35" w14:textId="77777777" w:rsidR="00FD67E8" w:rsidRPr="00F9058F" w:rsidRDefault="00FD67E8" w:rsidP="00FD67E8">
      <w:pPr>
        <w:pStyle w:val="ListParagraph"/>
        <w:autoSpaceDE w:val="0"/>
        <w:autoSpaceDN w:val="0"/>
        <w:adjustRightInd w:val="0"/>
        <w:ind w:left="360"/>
        <w:jc w:val="both"/>
        <w:rPr>
          <w:rFonts w:ascii="Arial" w:hAnsi="Arial" w:cs="Arial"/>
          <w:bCs/>
          <w:sz w:val="20"/>
          <w:lang w:val="es-ES_tradnl"/>
        </w:rPr>
      </w:pPr>
    </w:p>
    <w:p w14:paraId="1D036629" w14:textId="77777777" w:rsidR="00FD67E8" w:rsidRDefault="00FD67E8" w:rsidP="00FD67E8">
      <w:pPr>
        <w:jc w:val="both"/>
        <w:rPr>
          <w:rFonts w:ascii="Arial" w:hAnsi="Arial" w:cs="Arial"/>
          <w:bCs/>
          <w:sz w:val="20"/>
          <w:lang w:val="es-ES_tradnl"/>
        </w:rPr>
      </w:pPr>
      <w:r w:rsidRPr="00F9058F">
        <w:rPr>
          <w:rFonts w:ascii="Arial" w:hAnsi="Arial" w:cs="Arial"/>
          <w:bCs/>
          <w:sz w:val="20"/>
          <w:lang w:val="es-ES_tradnl"/>
        </w:rPr>
        <w:t xml:space="preserve">De aplicarse el modelo de deterioro previsto en el punto 5.5 de la NIIF 9, se hubiese registrado en el patrimonio </w:t>
      </w:r>
      <w:r>
        <w:rPr>
          <w:rFonts w:ascii="Arial" w:hAnsi="Arial" w:cs="Arial"/>
          <w:bCs/>
          <w:sz w:val="20"/>
          <w:lang w:val="es-ES_tradnl"/>
        </w:rPr>
        <w:t>de la Entidad</w:t>
      </w:r>
      <w:r w:rsidRPr="00F9058F">
        <w:rPr>
          <w:rFonts w:ascii="Arial" w:hAnsi="Arial" w:cs="Arial"/>
          <w:bCs/>
          <w:sz w:val="20"/>
          <w:lang w:val="es-ES_tradnl"/>
        </w:rPr>
        <w:t xml:space="preserve"> una reducción aproximada de </w:t>
      </w:r>
      <w:r>
        <w:rPr>
          <w:rFonts w:ascii="Arial" w:hAnsi="Arial" w:cs="Arial"/>
          <w:bCs/>
          <w:sz w:val="20"/>
          <w:lang w:val="es-ES_tradnl"/>
        </w:rPr>
        <w:t xml:space="preserve">332,4 </w:t>
      </w:r>
      <w:r w:rsidRPr="00F9058F">
        <w:rPr>
          <w:rFonts w:ascii="Arial" w:hAnsi="Arial" w:cs="Arial"/>
          <w:bCs/>
          <w:sz w:val="20"/>
          <w:lang w:val="es-ES_tradnl"/>
        </w:rPr>
        <w:t xml:space="preserve">millones y </w:t>
      </w:r>
      <w:r>
        <w:rPr>
          <w:rFonts w:ascii="Arial" w:hAnsi="Arial" w:cs="Arial"/>
          <w:bCs/>
          <w:sz w:val="20"/>
          <w:lang w:val="es-ES_tradnl"/>
        </w:rPr>
        <w:t>420,3</w:t>
      </w:r>
      <w:r w:rsidRPr="00F9058F">
        <w:rPr>
          <w:rFonts w:ascii="Arial" w:hAnsi="Arial" w:cs="Arial"/>
          <w:bCs/>
          <w:sz w:val="20"/>
          <w:lang w:val="es-ES_tradnl"/>
        </w:rPr>
        <w:t xml:space="preserve"> millones al 31 de marzo de 2020 y 31 de diciembre de 2019, respectivamente.</w:t>
      </w:r>
    </w:p>
    <w:p w14:paraId="2673017F" w14:textId="77777777" w:rsidR="00FD67E8" w:rsidRDefault="00FD67E8" w:rsidP="00FD67E8">
      <w:pPr>
        <w:jc w:val="both"/>
        <w:rPr>
          <w:rFonts w:ascii="Arial" w:hAnsi="Arial" w:cs="Arial"/>
          <w:bCs/>
          <w:sz w:val="20"/>
          <w:lang w:val="es-ES_tradnl"/>
        </w:rPr>
      </w:pPr>
    </w:p>
    <w:tbl>
      <w:tblPr>
        <w:tblW w:w="7357" w:type="dxa"/>
        <w:jc w:val="center"/>
        <w:tblCellMar>
          <w:left w:w="70" w:type="dxa"/>
          <w:right w:w="70" w:type="dxa"/>
        </w:tblCellMar>
        <w:tblLook w:val="04A0" w:firstRow="1" w:lastRow="0" w:firstColumn="1" w:lastColumn="0" w:noHBand="0" w:noVBand="1"/>
      </w:tblPr>
      <w:tblGrid>
        <w:gridCol w:w="2477"/>
        <w:gridCol w:w="2440"/>
        <w:gridCol w:w="2440"/>
      </w:tblGrid>
      <w:tr w:rsidR="00FD67E8" w:rsidRPr="00185FBB" w14:paraId="3BE53DF5" w14:textId="77777777" w:rsidTr="002775B9">
        <w:trPr>
          <w:trHeight w:val="277"/>
          <w:jc w:val="center"/>
        </w:trPr>
        <w:tc>
          <w:tcPr>
            <w:tcW w:w="2477" w:type="dxa"/>
            <w:tcBorders>
              <w:top w:val="single" w:sz="4" w:space="0" w:color="auto"/>
              <w:left w:val="single" w:sz="4" w:space="0" w:color="auto"/>
              <w:bottom w:val="single" w:sz="4" w:space="0" w:color="auto"/>
              <w:right w:val="nil"/>
            </w:tcBorders>
            <w:shd w:val="clear" w:color="auto" w:fill="auto"/>
            <w:noWrap/>
            <w:vAlign w:val="center"/>
            <w:hideMark/>
          </w:tcPr>
          <w:p w14:paraId="250D38DF" w14:textId="77777777" w:rsidR="00FD67E8" w:rsidRPr="00642813" w:rsidRDefault="00FD67E8" w:rsidP="00264F4C">
            <w:pPr>
              <w:jc w:val="center"/>
              <w:rPr>
                <w:rFonts w:ascii="Arial" w:hAnsi="Arial" w:cs="Arial"/>
                <w:b/>
                <w:bCs/>
                <w:color w:val="000000"/>
                <w:sz w:val="18"/>
                <w:szCs w:val="16"/>
                <w:lang w:eastAsia="es-AR"/>
              </w:rPr>
            </w:pPr>
          </w:p>
        </w:tc>
        <w:tc>
          <w:tcPr>
            <w:tcW w:w="2440" w:type="dxa"/>
            <w:tcBorders>
              <w:top w:val="single" w:sz="4" w:space="0" w:color="auto"/>
              <w:left w:val="nil"/>
              <w:bottom w:val="single" w:sz="4" w:space="0" w:color="auto"/>
              <w:right w:val="nil"/>
            </w:tcBorders>
            <w:shd w:val="clear" w:color="auto" w:fill="auto"/>
            <w:noWrap/>
            <w:vAlign w:val="center"/>
            <w:hideMark/>
          </w:tcPr>
          <w:p w14:paraId="074B8909" w14:textId="77777777" w:rsidR="00FD67E8" w:rsidRPr="00642813" w:rsidRDefault="00FD67E8" w:rsidP="00264F4C">
            <w:pPr>
              <w:jc w:val="center"/>
              <w:rPr>
                <w:rFonts w:ascii="Arial" w:hAnsi="Arial" w:cs="Arial"/>
                <w:b/>
                <w:bCs/>
                <w:color w:val="000000"/>
                <w:sz w:val="18"/>
                <w:szCs w:val="16"/>
                <w:lang w:eastAsia="es-AR"/>
              </w:rPr>
            </w:pPr>
            <w:r w:rsidRPr="00642813">
              <w:rPr>
                <w:rFonts w:ascii="Arial" w:hAnsi="Arial" w:cs="Arial"/>
                <w:b/>
                <w:bCs/>
                <w:color w:val="000000"/>
                <w:sz w:val="18"/>
                <w:szCs w:val="16"/>
                <w:lang w:eastAsia="es-AR"/>
              </w:rPr>
              <w:t>31 de diciembre 2019</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77D4DB12" w14:textId="77777777" w:rsidR="00FD67E8" w:rsidRPr="00642813" w:rsidRDefault="00FD67E8" w:rsidP="00264F4C">
            <w:pPr>
              <w:jc w:val="center"/>
              <w:rPr>
                <w:rFonts w:ascii="Arial" w:hAnsi="Arial" w:cs="Arial"/>
                <w:b/>
                <w:bCs/>
                <w:color w:val="000000"/>
                <w:sz w:val="18"/>
                <w:szCs w:val="16"/>
                <w:lang w:eastAsia="es-AR"/>
              </w:rPr>
            </w:pPr>
            <w:r w:rsidRPr="00642813">
              <w:rPr>
                <w:rFonts w:ascii="Arial" w:hAnsi="Arial" w:cs="Arial"/>
                <w:b/>
                <w:bCs/>
                <w:color w:val="000000"/>
                <w:sz w:val="18"/>
                <w:szCs w:val="16"/>
                <w:lang w:eastAsia="es-AR"/>
              </w:rPr>
              <w:t>31 de marzo 2020</w:t>
            </w:r>
          </w:p>
        </w:tc>
      </w:tr>
      <w:tr w:rsidR="00FD67E8" w:rsidRPr="00185FBB" w14:paraId="20EA68FD" w14:textId="77777777" w:rsidTr="002775B9">
        <w:trPr>
          <w:trHeight w:val="277"/>
          <w:jc w:val="center"/>
        </w:trPr>
        <w:tc>
          <w:tcPr>
            <w:tcW w:w="2477" w:type="dxa"/>
            <w:tcBorders>
              <w:top w:val="nil"/>
              <w:left w:val="single" w:sz="4" w:space="0" w:color="auto"/>
              <w:bottom w:val="nil"/>
              <w:right w:val="nil"/>
            </w:tcBorders>
            <w:shd w:val="clear" w:color="auto" w:fill="auto"/>
            <w:noWrap/>
            <w:vAlign w:val="center"/>
            <w:hideMark/>
          </w:tcPr>
          <w:p w14:paraId="6486BE56" w14:textId="32573AC4" w:rsidR="00FD67E8" w:rsidRPr="00642813" w:rsidRDefault="00AB5D01" w:rsidP="00264F4C">
            <w:pPr>
              <w:jc w:val="center"/>
              <w:rPr>
                <w:rFonts w:ascii="Arial" w:hAnsi="Arial" w:cs="Arial"/>
                <w:b/>
                <w:bCs/>
                <w:color w:val="000000"/>
                <w:sz w:val="18"/>
                <w:szCs w:val="16"/>
                <w:lang w:eastAsia="es-AR"/>
              </w:rPr>
            </w:pPr>
            <w:r w:rsidRPr="00AB5D01">
              <w:rPr>
                <w:rFonts w:ascii="Arial" w:hAnsi="Arial" w:cs="Arial"/>
                <w:b/>
                <w:bCs/>
                <w:color w:val="000000"/>
                <w:sz w:val="18"/>
                <w:szCs w:val="16"/>
                <w:lang w:eastAsia="es-AR"/>
              </w:rPr>
              <w:t>Previsiones registradas en  los estados financieros</w:t>
            </w:r>
          </w:p>
        </w:tc>
        <w:tc>
          <w:tcPr>
            <w:tcW w:w="2440" w:type="dxa"/>
            <w:tcBorders>
              <w:top w:val="nil"/>
              <w:left w:val="nil"/>
              <w:bottom w:val="nil"/>
              <w:right w:val="nil"/>
            </w:tcBorders>
            <w:shd w:val="clear" w:color="auto" w:fill="auto"/>
            <w:noWrap/>
            <w:vAlign w:val="center"/>
            <w:hideMark/>
          </w:tcPr>
          <w:p w14:paraId="2040DD62" w14:textId="77777777" w:rsidR="00FD67E8" w:rsidRPr="00642813" w:rsidRDefault="00FD67E8" w:rsidP="00264F4C">
            <w:pPr>
              <w:jc w:val="center"/>
              <w:rPr>
                <w:rFonts w:ascii="Arial" w:hAnsi="Arial" w:cs="Arial"/>
                <w:color w:val="000000"/>
                <w:sz w:val="18"/>
                <w:szCs w:val="16"/>
                <w:lang w:eastAsia="es-AR"/>
              </w:rPr>
            </w:pPr>
            <w:r w:rsidRPr="00642813">
              <w:rPr>
                <w:rFonts w:ascii="Arial" w:hAnsi="Arial" w:cs="Arial"/>
                <w:color w:val="000000"/>
                <w:sz w:val="18"/>
                <w:szCs w:val="16"/>
              </w:rPr>
              <w:t>5.031.995</w:t>
            </w:r>
          </w:p>
        </w:tc>
        <w:tc>
          <w:tcPr>
            <w:tcW w:w="2440" w:type="dxa"/>
            <w:tcBorders>
              <w:top w:val="nil"/>
              <w:left w:val="nil"/>
              <w:bottom w:val="nil"/>
              <w:right w:val="single" w:sz="4" w:space="0" w:color="auto"/>
            </w:tcBorders>
            <w:shd w:val="clear" w:color="auto" w:fill="auto"/>
            <w:noWrap/>
            <w:vAlign w:val="center"/>
            <w:hideMark/>
          </w:tcPr>
          <w:p w14:paraId="7379C0E8" w14:textId="77777777" w:rsidR="00FD67E8" w:rsidRPr="00642813" w:rsidRDefault="00FD67E8" w:rsidP="00264F4C">
            <w:pPr>
              <w:jc w:val="center"/>
              <w:rPr>
                <w:rFonts w:ascii="Arial" w:hAnsi="Arial" w:cs="Arial"/>
                <w:color w:val="000000"/>
                <w:sz w:val="18"/>
                <w:szCs w:val="16"/>
                <w:lang w:eastAsia="es-AR"/>
              </w:rPr>
            </w:pPr>
            <w:r w:rsidRPr="00642813">
              <w:rPr>
                <w:rFonts w:ascii="Arial" w:hAnsi="Arial" w:cs="Arial"/>
                <w:color w:val="000000"/>
                <w:sz w:val="18"/>
                <w:szCs w:val="16"/>
                <w:lang w:eastAsia="es-AR"/>
              </w:rPr>
              <w:t>5.402.176</w:t>
            </w:r>
          </w:p>
        </w:tc>
      </w:tr>
      <w:tr w:rsidR="00FD67E8" w:rsidRPr="00185FBB" w14:paraId="48039B96" w14:textId="77777777" w:rsidTr="002775B9">
        <w:trPr>
          <w:trHeight w:val="277"/>
          <w:jc w:val="center"/>
        </w:trPr>
        <w:tc>
          <w:tcPr>
            <w:tcW w:w="2477" w:type="dxa"/>
            <w:tcBorders>
              <w:top w:val="nil"/>
              <w:left w:val="single" w:sz="4" w:space="0" w:color="auto"/>
              <w:bottom w:val="nil"/>
              <w:right w:val="nil"/>
            </w:tcBorders>
            <w:shd w:val="clear" w:color="auto" w:fill="auto"/>
            <w:noWrap/>
            <w:vAlign w:val="center"/>
            <w:hideMark/>
          </w:tcPr>
          <w:p w14:paraId="5BCA6A2E" w14:textId="57763E01" w:rsidR="00FD67E8" w:rsidRPr="00642813" w:rsidRDefault="00AB5D01" w:rsidP="00264F4C">
            <w:pPr>
              <w:jc w:val="center"/>
              <w:rPr>
                <w:rFonts w:ascii="Arial" w:hAnsi="Arial" w:cs="Arial"/>
                <w:b/>
                <w:bCs/>
                <w:color w:val="000000"/>
                <w:sz w:val="18"/>
                <w:szCs w:val="16"/>
                <w:lang w:eastAsia="es-AR"/>
              </w:rPr>
            </w:pPr>
            <w:r w:rsidRPr="00AB5D01">
              <w:rPr>
                <w:rFonts w:ascii="Arial" w:hAnsi="Arial" w:cs="Arial"/>
                <w:b/>
                <w:bCs/>
                <w:color w:val="000000"/>
                <w:sz w:val="18"/>
                <w:szCs w:val="16"/>
                <w:lang w:eastAsia="es-AR"/>
              </w:rPr>
              <w:t>Previsiones de NIIF 9</w:t>
            </w:r>
          </w:p>
        </w:tc>
        <w:tc>
          <w:tcPr>
            <w:tcW w:w="2440" w:type="dxa"/>
            <w:tcBorders>
              <w:top w:val="nil"/>
              <w:left w:val="nil"/>
              <w:bottom w:val="nil"/>
              <w:right w:val="nil"/>
            </w:tcBorders>
            <w:shd w:val="clear" w:color="auto" w:fill="auto"/>
            <w:noWrap/>
            <w:vAlign w:val="center"/>
            <w:hideMark/>
          </w:tcPr>
          <w:p w14:paraId="7F58505B" w14:textId="77777777" w:rsidR="00FD67E8" w:rsidRPr="00642813" w:rsidRDefault="00FD67E8" w:rsidP="00264F4C">
            <w:pPr>
              <w:jc w:val="center"/>
              <w:rPr>
                <w:rFonts w:ascii="Arial" w:hAnsi="Arial" w:cs="Arial"/>
                <w:color w:val="000000"/>
                <w:sz w:val="18"/>
                <w:szCs w:val="16"/>
                <w:lang w:eastAsia="es-AR"/>
              </w:rPr>
            </w:pPr>
            <w:r w:rsidRPr="00642813">
              <w:rPr>
                <w:rFonts w:ascii="Arial" w:hAnsi="Arial" w:cs="Arial"/>
                <w:color w:val="000000"/>
                <w:sz w:val="18"/>
                <w:szCs w:val="16"/>
              </w:rPr>
              <w:t>5.364.370</w:t>
            </w:r>
          </w:p>
        </w:tc>
        <w:tc>
          <w:tcPr>
            <w:tcW w:w="2440" w:type="dxa"/>
            <w:tcBorders>
              <w:top w:val="nil"/>
              <w:left w:val="nil"/>
              <w:bottom w:val="nil"/>
              <w:right w:val="single" w:sz="4" w:space="0" w:color="auto"/>
            </w:tcBorders>
            <w:shd w:val="clear" w:color="auto" w:fill="auto"/>
            <w:noWrap/>
            <w:vAlign w:val="center"/>
            <w:hideMark/>
          </w:tcPr>
          <w:p w14:paraId="7A0FB79B" w14:textId="6BC42986" w:rsidR="00FD67E8" w:rsidRPr="00642813" w:rsidRDefault="00FD67E8" w:rsidP="00264F4C">
            <w:pPr>
              <w:jc w:val="center"/>
              <w:rPr>
                <w:rFonts w:ascii="Arial" w:hAnsi="Arial" w:cs="Arial"/>
                <w:color w:val="000000"/>
                <w:sz w:val="18"/>
                <w:szCs w:val="16"/>
                <w:lang w:eastAsia="es-AR"/>
              </w:rPr>
            </w:pPr>
            <w:r w:rsidRPr="00642813">
              <w:rPr>
                <w:rFonts w:ascii="Arial" w:hAnsi="Arial" w:cs="Arial"/>
                <w:color w:val="000000"/>
                <w:sz w:val="18"/>
                <w:szCs w:val="16"/>
                <w:lang w:eastAsia="es-AR"/>
              </w:rPr>
              <w:t>5</w:t>
            </w:r>
            <w:r>
              <w:rPr>
                <w:rFonts w:ascii="Arial" w:hAnsi="Arial" w:cs="Arial"/>
                <w:color w:val="000000"/>
                <w:sz w:val="18"/>
                <w:szCs w:val="16"/>
                <w:lang w:eastAsia="es-AR"/>
              </w:rPr>
              <w:t>.</w:t>
            </w:r>
            <w:r w:rsidRPr="00642813">
              <w:rPr>
                <w:rFonts w:ascii="Arial" w:hAnsi="Arial" w:cs="Arial"/>
                <w:color w:val="000000"/>
                <w:sz w:val="18"/>
                <w:szCs w:val="16"/>
                <w:lang w:eastAsia="es-AR"/>
              </w:rPr>
              <w:t>822</w:t>
            </w:r>
            <w:r>
              <w:rPr>
                <w:rFonts w:ascii="Arial" w:hAnsi="Arial" w:cs="Arial"/>
                <w:color w:val="000000"/>
                <w:sz w:val="18"/>
                <w:szCs w:val="16"/>
                <w:lang w:eastAsia="es-AR"/>
              </w:rPr>
              <w:t>.</w:t>
            </w:r>
            <w:r w:rsidRPr="00642813">
              <w:rPr>
                <w:rFonts w:ascii="Arial" w:hAnsi="Arial" w:cs="Arial"/>
                <w:color w:val="000000"/>
                <w:sz w:val="18"/>
                <w:szCs w:val="16"/>
                <w:lang w:eastAsia="es-AR"/>
              </w:rPr>
              <w:t>427</w:t>
            </w:r>
          </w:p>
        </w:tc>
      </w:tr>
      <w:tr w:rsidR="00FD67E8" w:rsidRPr="00185FBB" w14:paraId="312C6E2E" w14:textId="77777777" w:rsidTr="002775B9">
        <w:trPr>
          <w:trHeight w:val="277"/>
          <w:jc w:val="center"/>
        </w:trPr>
        <w:tc>
          <w:tcPr>
            <w:tcW w:w="2477" w:type="dxa"/>
            <w:tcBorders>
              <w:top w:val="nil"/>
              <w:left w:val="single" w:sz="4" w:space="0" w:color="auto"/>
              <w:bottom w:val="single" w:sz="4" w:space="0" w:color="auto"/>
              <w:right w:val="nil"/>
            </w:tcBorders>
            <w:shd w:val="clear" w:color="auto" w:fill="auto"/>
            <w:noWrap/>
            <w:vAlign w:val="center"/>
            <w:hideMark/>
          </w:tcPr>
          <w:p w14:paraId="4D74A115" w14:textId="77777777" w:rsidR="00FD67E8" w:rsidRPr="00642813" w:rsidRDefault="00FD67E8" w:rsidP="00264F4C">
            <w:pPr>
              <w:jc w:val="center"/>
              <w:rPr>
                <w:rFonts w:ascii="Arial" w:hAnsi="Arial" w:cs="Arial"/>
                <w:b/>
                <w:bCs/>
                <w:color w:val="000000"/>
                <w:sz w:val="18"/>
                <w:szCs w:val="16"/>
                <w:lang w:eastAsia="es-AR"/>
              </w:rPr>
            </w:pPr>
            <w:r w:rsidRPr="00642813">
              <w:rPr>
                <w:rFonts w:ascii="Arial" w:hAnsi="Arial" w:cs="Arial"/>
                <w:b/>
                <w:bCs/>
                <w:color w:val="000000"/>
                <w:sz w:val="18"/>
                <w:szCs w:val="16"/>
                <w:lang w:eastAsia="es-AR"/>
              </w:rPr>
              <w:t>Diferencia</w:t>
            </w:r>
          </w:p>
        </w:tc>
        <w:tc>
          <w:tcPr>
            <w:tcW w:w="2440" w:type="dxa"/>
            <w:tcBorders>
              <w:top w:val="nil"/>
              <w:left w:val="nil"/>
              <w:bottom w:val="single" w:sz="4" w:space="0" w:color="auto"/>
              <w:right w:val="nil"/>
            </w:tcBorders>
            <w:shd w:val="clear" w:color="auto" w:fill="auto"/>
            <w:noWrap/>
            <w:vAlign w:val="center"/>
            <w:hideMark/>
          </w:tcPr>
          <w:p w14:paraId="0E54896F" w14:textId="77777777" w:rsidR="00FD67E8" w:rsidRPr="00642813" w:rsidRDefault="00FD67E8" w:rsidP="00264F4C">
            <w:pPr>
              <w:jc w:val="center"/>
              <w:rPr>
                <w:rFonts w:ascii="Arial" w:hAnsi="Arial" w:cs="Arial"/>
                <w:color w:val="000000"/>
                <w:sz w:val="18"/>
                <w:szCs w:val="16"/>
                <w:lang w:eastAsia="es-AR"/>
              </w:rPr>
            </w:pPr>
            <w:r w:rsidRPr="00642813">
              <w:rPr>
                <w:rFonts w:ascii="Arial" w:hAnsi="Arial" w:cs="Arial"/>
                <w:color w:val="000000"/>
                <w:sz w:val="18"/>
                <w:szCs w:val="16"/>
              </w:rPr>
              <w:t>332.375</w:t>
            </w:r>
          </w:p>
        </w:tc>
        <w:tc>
          <w:tcPr>
            <w:tcW w:w="2440" w:type="dxa"/>
            <w:tcBorders>
              <w:top w:val="nil"/>
              <w:left w:val="nil"/>
              <w:bottom w:val="single" w:sz="4" w:space="0" w:color="auto"/>
              <w:right w:val="single" w:sz="4" w:space="0" w:color="auto"/>
            </w:tcBorders>
            <w:shd w:val="clear" w:color="auto" w:fill="auto"/>
            <w:noWrap/>
            <w:vAlign w:val="center"/>
            <w:hideMark/>
          </w:tcPr>
          <w:p w14:paraId="5C2922E4" w14:textId="77777777" w:rsidR="00FD67E8" w:rsidRPr="00642813" w:rsidRDefault="00FD67E8" w:rsidP="00264F4C">
            <w:pPr>
              <w:jc w:val="center"/>
              <w:rPr>
                <w:rFonts w:ascii="Arial" w:hAnsi="Arial" w:cs="Arial"/>
                <w:color w:val="000000"/>
                <w:sz w:val="18"/>
                <w:szCs w:val="16"/>
                <w:lang w:eastAsia="es-AR"/>
              </w:rPr>
            </w:pPr>
            <w:r w:rsidRPr="00642813">
              <w:rPr>
                <w:rFonts w:ascii="Arial" w:hAnsi="Arial" w:cs="Arial"/>
                <w:color w:val="000000"/>
                <w:sz w:val="18"/>
                <w:szCs w:val="16"/>
                <w:lang w:eastAsia="es-AR"/>
              </w:rPr>
              <w:t>420.251</w:t>
            </w:r>
          </w:p>
        </w:tc>
      </w:tr>
    </w:tbl>
    <w:p w14:paraId="108B9D07" w14:textId="77777777" w:rsidR="00FD67E8" w:rsidRDefault="00FD67E8" w:rsidP="00FD67E8">
      <w:pPr>
        <w:jc w:val="both"/>
        <w:rPr>
          <w:rFonts w:ascii="Arial" w:hAnsi="Arial" w:cs="Arial"/>
          <w:bCs/>
          <w:sz w:val="20"/>
          <w:lang w:val="es-ES_tradnl"/>
        </w:rPr>
      </w:pPr>
    </w:p>
    <w:p w14:paraId="5713BF80" w14:textId="77777777" w:rsidR="00FD67E8" w:rsidRPr="00F9058F" w:rsidRDefault="00FD67E8" w:rsidP="00FD67E8">
      <w:pPr>
        <w:jc w:val="both"/>
        <w:rPr>
          <w:rFonts w:ascii="Arial" w:hAnsi="Arial" w:cs="Arial"/>
          <w:bCs/>
          <w:sz w:val="20"/>
          <w:lang w:val="es-ES_tradnl"/>
        </w:rPr>
      </w:pPr>
      <w:r w:rsidRPr="00F9058F">
        <w:rPr>
          <w:rFonts w:ascii="Arial" w:hAnsi="Arial" w:cs="Arial"/>
          <w:bCs/>
          <w:sz w:val="20"/>
          <w:lang w:val="es-ES_tradnl"/>
        </w:rPr>
        <w:t xml:space="preserve">La NIIF 9 prevé un modelo de pérdidas crediticias esperadas, por el cual se clasifican los activos financieros en tres etapas de deterioro, basado en los cambios en la calidad crediticia desde su reconocimiento inicial, que dictan cómo una Entidad mide las pérdidas por deterioro y aplica el método del interés efectivo. En la Nota 1.2 se brinda mayor detalle de cómo las pérdidas crediticias esperadas son medidas. </w:t>
      </w:r>
    </w:p>
    <w:p w14:paraId="2BA686EA" w14:textId="77777777" w:rsidR="00FD67E8" w:rsidRPr="00F9058F" w:rsidRDefault="00FD67E8" w:rsidP="00FD67E8">
      <w:pPr>
        <w:jc w:val="both"/>
        <w:rPr>
          <w:rFonts w:ascii="Arial" w:hAnsi="Arial" w:cs="Arial"/>
          <w:bCs/>
          <w:sz w:val="20"/>
          <w:lang w:val="es-ES_tradnl"/>
        </w:rPr>
      </w:pPr>
    </w:p>
    <w:p w14:paraId="2E928AB0" w14:textId="77777777" w:rsidR="00FD67E8" w:rsidRPr="00F9058F" w:rsidRDefault="00FD67E8" w:rsidP="00FD67E8">
      <w:pPr>
        <w:jc w:val="both"/>
        <w:rPr>
          <w:rFonts w:ascii="Arial" w:hAnsi="Arial" w:cs="Arial"/>
          <w:bCs/>
          <w:sz w:val="20"/>
          <w:lang w:val="es-ES_tradnl"/>
        </w:rPr>
      </w:pPr>
      <w:r w:rsidRPr="00F9058F">
        <w:rPr>
          <w:rFonts w:ascii="Arial" w:hAnsi="Arial" w:cs="Arial"/>
          <w:bCs/>
          <w:sz w:val="20"/>
          <w:lang w:val="es-ES_tradnl"/>
        </w:rPr>
        <w:t>Por medio de la Comunicación “A” 6778 el B.C.R.A. aclara que a efectos de la aplicación del punto 5.5 de la NIIF 9 las Entidades Financieras deberán:</w:t>
      </w:r>
    </w:p>
    <w:p w14:paraId="46DF46F2" w14:textId="77777777" w:rsidR="00FD67E8" w:rsidRPr="00F9058F" w:rsidRDefault="00FD67E8" w:rsidP="00FD67E8">
      <w:pPr>
        <w:jc w:val="both"/>
        <w:rPr>
          <w:rFonts w:ascii="Arial" w:hAnsi="Arial" w:cs="Arial"/>
          <w:bCs/>
          <w:sz w:val="20"/>
          <w:lang w:val="es-ES_tradnl"/>
        </w:rPr>
      </w:pPr>
    </w:p>
    <w:p w14:paraId="7EB196EA" w14:textId="77777777" w:rsidR="00FD67E8" w:rsidRPr="00F9058F" w:rsidRDefault="00FD67E8" w:rsidP="00FD67E8">
      <w:pPr>
        <w:jc w:val="both"/>
        <w:rPr>
          <w:rFonts w:ascii="Arial" w:hAnsi="Arial" w:cs="Arial"/>
          <w:bCs/>
          <w:sz w:val="20"/>
          <w:lang w:val="es-ES_tradnl"/>
        </w:rPr>
      </w:pPr>
      <w:r w:rsidRPr="00F9058F">
        <w:rPr>
          <w:rFonts w:ascii="Arial" w:hAnsi="Arial" w:cs="Arial"/>
          <w:bCs/>
          <w:sz w:val="20"/>
          <w:lang w:val="es-ES_tradnl"/>
        </w:rPr>
        <w:t>(i)</w:t>
      </w:r>
      <w:r w:rsidRPr="00F9058F">
        <w:rPr>
          <w:rFonts w:ascii="Arial" w:hAnsi="Arial" w:cs="Arial"/>
          <w:bCs/>
          <w:sz w:val="20"/>
          <w:lang w:val="es-ES_tradnl"/>
        </w:rPr>
        <w:tab/>
        <w:t xml:space="preserve">utilizar modelos internos los cuales deben reunir todos los requisitos de la NIIF 9 y deberán aplicarse a la totalidad de los activos comprendidos por la mencionada Norma con la excepción temporaria mencionada en el primer párrafo, y </w:t>
      </w:r>
    </w:p>
    <w:p w14:paraId="7DF78983" w14:textId="77777777" w:rsidR="00FD67E8" w:rsidRPr="00F9058F" w:rsidRDefault="00FD67E8" w:rsidP="00FD67E8">
      <w:pPr>
        <w:jc w:val="both"/>
        <w:rPr>
          <w:rFonts w:ascii="Arial" w:hAnsi="Arial" w:cs="Arial"/>
          <w:bCs/>
          <w:sz w:val="20"/>
          <w:lang w:val="es-ES_tradnl"/>
        </w:rPr>
      </w:pPr>
      <w:r w:rsidRPr="00F9058F">
        <w:rPr>
          <w:rFonts w:ascii="Arial" w:hAnsi="Arial" w:cs="Arial"/>
          <w:bCs/>
          <w:sz w:val="20"/>
          <w:lang w:val="es-ES_tradnl"/>
        </w:rPr>
        <w:lastRenderedPageBreak/>
        <w:t>(ii)</w:t>
      </w:r>
      <w:r w:rsidRPr="00F9058F">
        <w:rPr>
          <w:rFonts w:ascii="Arial" w:hAnsi="Arial" w:cs="Arial"/>
          <w:bCs/>
          <w:sz w:val="20"/>
          <w:lang w:val="es-ES_tradnl"/>
        </w:rPr>
        <w:tab/>
        <w:t>aplicar la Norma de forma retroactiva, estableciendo la fecha de transición el 1 de enero de 2019.</w:t>
      </w:r>
    </w:p>
    <w:p w14:paraId="1C636632" w14:textId="77777777" w:rsidR="00FD67E8" w:rsidRPr="00F9058F" w:rsidRDefault="00FD67E8" w:rsidP="00FD67E8">
      <w:pPr>
        <w:jc w:val="both"/>
        <w:rPr>
          <w:rFonts w:ascii="Arial" w:hAnsi="Arial" w:cs="Arial"/>
          <w:bCs/>
          <w:sz w:val="20"/>
          <w:lang w:val="es-ES_tradnl"/>
        </w:rPr>
      </w:pPr>
    </w:p>
    <w:p w14:paraId="2BF36B8B" w14:textId="199151FB" w:rsidR="0097126F" w:rsidRDefault="00FD67E8" w:rsidP="0097126F">
      <w:pPr>
        <w:jc w:val="both"/>
        <w:rPr>
          <w:rFonts w:ascii="Arial" w:hAnsi="Arial" w:cs="Arial"/>
          <w:bCs/>
          <w:sz w:val="20"/>
          <w:lang w:val="es-ES_tradnl"/>
        </w:rPr>
      </w:pPr>
      <w:r w:rsidRPr="00F9058F">
        <w:rPr>
          <w:rFonts w:ascii="Arial" w:hAnsi="Arial" w:cs="Arial"/>
          <w:bCs/>
          <w:sz w:val="20"/>
          <w:lang w:val="es-ES_tradnl"/>
        </w:rPr>
        <w:t>A continuación, se expone la reconciliación entre las previsiones por riesgo de incobrabilidad al 31.12.2019 determinadas de conformidad con los criterios establecidos en los Textos Ordenados sobre “Clasificación de Deudores” y “Previsiones Mínimas por Riesgo de Incobrabilidad” del B.C.R.A. y las nuevas previsiones por riesgo de incobrabilidad determinadas de acuerdo con el modelo de pérdidas crediticias esperadas establecido por la NIIF 9, con la excepción temporaria mencionada en la Nota 1.2:</w:t>
      </w:r>
    </w:p>
    <w:p w14:paraId="347190DC" w14:textId="77777777" w:rsidR="0097126F" w:rsidRDefault="0097126F" w:rsidP="0097126F">
      <w:pPr>
        <w:jc w:val="both"/>
        <w:rPr>
          <w:rFonts w:ascii="Arial" w:hAnsi="Arial" w:cs="Arial"/>
          <w:bCs/>
          <w:sz w:val="20"/>
          <w:lang w:val="es-ES_tradnl"/>
        </w:rPr>
      </w:pPr>
    </w:p>
    <w:tbl>
      <w:tblPr>
        <w:tblW w:w="9591" w:type="dxa"/>
        <w:tblCellMar>
          <w:left w:w="70" w:type="dxa"/>
          <w:right w:w="70" w:type="dxa"/>
        </w:tblCellMar>
        <w:tblLook w:val="04A0" w:firstRow="1" w:lastRow="0" w:firstColumn="1" w:lastColumn="0" w:noHBand="0" w:noVBand="1"/>
      </w:tblPr>
      <w:tblGrid>
        <w:gridCol w:w="3236"/>
        <w:gridCol w:w="1797"/>
        <w:gridCol w:w="1650"/>
        <w:gridCol w:w="1258"/>
        <w:gridCol w:w="1650"/>
      </w:tblGrid>
      <w:tr w:rsidR="0097126F" w:rsidRPr="00642813" w14:paraId="1C3CFCE8" w14:textId="77777777" w:rsidTr="0097126F">
        <w:trPr>
          <w:trHeight w:val="1106"/>
        </w:trPr>
        <w:tc>
          <w:tcPr>
            <w:tcW w:w="3236" w:type="dxa"/>
            <w:tcBorders>
              <w:top w:val="single" w:sz="8" w:space="0" w:color="auto"/>
              <w:left w:val="nil"/>
              <w:bottom w:val="single" w:sz="8" w:space="0" w:color="auto"/>
              <w:right w:val="nil"/>
            </w:tcBorders>
            <w:shd w:val="clear" w:color="auto" w:fill="auto"/>
            <w:vAlign w:val="center"/>
            <w:hideMark/>
          </w:tcPr>
          <w:p w14:paraId="03CF07D7" w14:textId="77777777" w:rsidR="0097126F" w:rsidRPr="00642813" w:rsidRDefault="0097126F" w:rsidP="0097126F">
            <w:pPr>
              <w:jc w:val="center"/>
              <w:rPr>
                <w:rFonts w:ascii="Arial" w:hAnsi="Arial" w:cs="Arial"/>
                <w:b/>
                <w:bCs/>
                <w:color w:val="000000"/>
                <w:sz w:val="16"/>
                <w:szCs w:val="16"/>
                <w:lang w:eastAsia="es-AR"/>
              </w:rPr>
            </w:pPr>
            <w:r w:rsidRPr="00642813">
              <w:rPr>
                <w:rFonts w:ascii="Arial" w:hAnsi="Arial" w:cs="Arial"/>
                <w:b/>
                <w:bCs/>
                <w:color w:val="000000"/>
                <w:sz w:val="16"/>
                <w:szCs w:val="16"/>
                <w:lang w:eastAsia="es-AR"/>
              </w:rPr>
              <w:t>Categoría de instrumento financiero</w:t>
            </w:r>
          </w:p>
        </w:tc>
        <w:tc>
          <w:tcPr>
            <w:tcW w:w="1797" w:type="dxa"/>
            <w:tcBorders>
              <w:top w:val="single" w:sz="8" w:space="0" w:color="auto"/>
              <w:left w:val="nil"/>
              <w:bottom w:val="single" w:sz="8" w:space="0" w:color="auto"/>
              <w:right w:val="nil"/>
            </w:tcBorders>
            <w:shd w:val="clear" w:color="auto" w:fill="auto"/>
            <w:vAlign w:val="center"/>
            <w:hideMark/>
          </w:tcPr>
          <w:p w14:paraId="386C7442" w14:textId="77777777" w:rsidR="0097126F" w:rsidRPr="00642813" w:rsidRDefault="0097126F" w:rsidP="0097126F">
            <w:pPr>
              <w:jc w:val="center"/>
              <w:rPr>
                <w:rFonts w:ascii="Arial" w:hAnsi="Arial" w:cs="Arial"/>
                <w:b/>
                <w:bCs/>
                <w:color w:val="000000"/>
                <w:sz w:val="16"/>
                <w:szCs w:val="16"/>
                <w:lang w:eastAsia="es-AR"/>
              </w:rPr>
            </w:pPr>
            <w:r w:rsidRPr="00642813">
              <w:rPr>
                <w:rFonts w:ascii="Arial" w:hAnsi="Arial" w:cs="Arial"/>
                <w:b/>
                <w:bCs/>
                <w:color w:val="000000"/>
                <w:sz w:val="16"/>
                <w:szCs w:val="16"/>
                <w:lang w:eastAsia="es-AR"/>
              </w:rPr>
              <w:t>Previsión por riesgo de crédito bajo las Normas sobre previsiones mínimas del BCRA</w:t>
            </w:r>
          </w:p>
        </w:tc>
        <w:tc>
          <w:tcPr>
            <w:tcW w:w="1650" w:type="dxa"/>
            <w:tcBorders>
              <w:top w:val="single" w:sz="8" w:space="0" w:color="auto"/>
              <w:left w:val="nil"/>
              <w:bottom w:val="single" w:sz="8" w:space="0" w:color="auto"/>
              <w:right w:val="nil"/>
            </w:tcBorders>
            <w:shd w:val="clear" w:color="auto" w:fill="auto"/>
            <w:vAlign w:val="center"/>
            <w:hideMark/>
          </w:tcPr>
          <w:p w14:paraId="33B4E7D0" w14:textId="77777777" w:rsidR="0097126F" w:rsidRPr="00642813" w:rsidRDefault="0097126F" w:rsidP="0097126F">
            <w:pPr>
              <w:jc w:val="center"/>
              <w:rPr>
                <w:rFonts w:ascii="Arial" w:hAnsi="Arial" w:cs="Arial"/>
                <w:b/>
                <w:bCs/>
                <w:color w:val="000000"/>
                <w:sz w:val="16"/>
                <w:szCs w:val="16"/>
                <w:lang w:eastAsia="es-AR"/>
              </w:rPr>
            </w:pPr>
            <w:r w:rsidRPr="00642813">
              <w:rPr>
                <w:rFonts w:ascii="Arial" w:hAnsi="Arial" w:cs="Arial"/>
                <w:b/>
                <w:bCs/>
                <w:color w:val="000000"/>
                <w:sz w:val="16"/>
                <w:szCs w:val="16"/>
                <w:lang w:eastAsia="es-AR"/>
              </w:rPr>
              <w:t>Reclasificaciones</w:t>
            </w:r>
          </w:p>
        </w:tc>
        <w:tc>
          <w:tcPr>
            <w:tcW w:w="1258" w:type="dxa"/>
            <w:tcBorders>
              <w:top w:val="single" w:sz="8" w:space="0" w:color="auto"/>
              <w:left w:val="nil"/>
              <w:bottom w:val="single" w:sz="8" w:space="0" w:color="auto"/>
              <w:right w:val="nil"/>
            </w:tcBorders>
            <w:shd w:val="clear" w:color="auto" w:fill="auto"/>
            <w:vAlign w:val="center"/>
            <w:hideMark/>
          </w:tcPr>
          <w:p w14:paraId="3E2DD641" w14:textId="77777777" w:rsidR="0097126F" w:rsidRPr="00642813" w:rsidRDefault="0097126F" w:rsidP="0097126F">
            <w:pPr>
              <w:jc w:val="center"/>
              <w:rPr>
                <w:rFonts w:ascii="Arial" w:hAnsi="Arial" w:cs="Arial"/>
                <w:b/>
                <w:bCs/>
                <w:color w:val="000000"/>
                <w:sz w:val="16"/>
                <w:szCs w:val="16"/>
                <w:lang w:eastAsia="es-AR"/>
              </w:rPr>
            </w:pPr>
            <w:r w:rsidRPr="00642813">
              <w:rPr>
                <w:rFonts w:ascii="Arial" w:hAnsi="Arial" w:cs="Arial"/>
                <w:b/>
                <w:bCs/>
                <w:color w:val="000000"/>
                <w:sz w:val="16"/>
                <w:szCs w:val="16"/>
                <w:lang w:eastAsia="es-AR"/>
              </w:rPr>
              <w:t>Remediciones</w:t>
            </w:r>
          </w:p>
        </w:tc>
        <w:tc>
          <w:tcPr>
            <w:tcW w:w="1650" w:type="dxa"/>
            <w:tcBorders>
              <w:top w:val="single" w:sz="8" w:space="0" w:color="auto"/>
              <w:left w:val="nil"/>
              <w:bottom w:val="single" w:sz="8" w:space="0" w:color="auto"/>
              <w:right w:val="nil"/>
            </w:tcBorders>
            <w:shd w:val="clear" w:color="auto" w:fill="auto"/>
            <w:vAlign w:val="center"/>
            <w:hideMark/>
          </w:tcPr>
          <w:p w14:paraId="7F813E39" w14:textId="77777777" w:rsidR="0097126F" w:rsidRPr="00642813" w:rsidRDefault="0097126F" w:rsidP="0097126F">
            <w:pPr>
              <w:jc w:val="center"/>
              <w:rPr>
                <w:rFonts w:ascii="Arial" w:hAnsi="Arial" w:cs="Arial"/>
                <w:b/>
                <w:bCs/>
                <w:color w:val="000000"/>
                <w:sz w:val="16"/>
                <w:szCs w:val="16"/>
                <w:lang w:eastAsia="es-AR"/>
              </w:rPr>
            </w:pPr>
            <w:r w:rsidRPr="00642813">
              <w:rPr>
                <w:rFonts w:ascii="Arial" w:hAnsi="Arial" w:cs="Arial"/>
                <w:b/>
                <w:bCs/>
                <w:color w:val="000000"/>
                <w:sz w:val="16"/>
                <w:szCs w:val="16"/>
                <w:lang w:eastAsia="es-AR"/>
              </w:rPr>
              <w:t>Previsión por riesgo de crédito bajo NIIF 9 (según alcance de la Comunicación "A" 6847)</w:t>
            </w:r>
          </w:p>
        </w:tc>
      </w:tr>
      <w:tr w:rsidR="0097126F" w:rsidRPr="00642813" w14:paraId="21EF95C3" w14:textId="77777777" w:rsidTr="0097126F">
        <w:trPr>
          <w:trHeight w:val="218"/>
        </w:trPr>
        <w:tc>
          <w:tcPr>
            <w:tcW w:w="3236" w:type="dxa"/>
            <w:tcBorders>
              <w:top w:val="nil"/>
              <w:left w:val="nil"/>
              <w:bottom w:val="nil"/>
              <w:right w:val="nil"/>
            </w:tcBorders>
            <w:shd w:val="clear" w:color="auto" w:fill="auto"/>
            <w:noWrap/>
            <w:vAlign w:val="bottom"/>
            <w:hideMark/>
          </w:tcPr>
          <w:p w14:paraId="6ABF0ED8" w14:textId="77777777" w:rsidR="0097126F" w:rsidRPr="00642813" w:rsidRDefault="0097126F" w:rsidP="0097126F">
            <w:pPr>
              <w:rPr>
                <w:rFonts w:ascii="Arial" w:hAnsi="Arial" w:cs="Arial"/>
                <w:color w:val="000000"/>
                <w:sz w:val="16"/>
                <w:szCs w:val="16"/>
                <w:lang w:eastAsia="es-AR"/>
              </w:rPr>
            </w:pPr>
            <w:r w:rsidRPr="00642813">
              <w:rPr>
                <w:rFonts w:ascii="Arial" w:hAnsi="Arial" w:cs="Arial"/>
                <w:color w:val="000000"/>
                <w:sz w:val="16"/>
                <w:szCs w:val="16"/>
                <w:lang w:eastAsia="es-AR"/>
              </w:rPr>
              <w:t>Operaciones de pase</w:t>
            </w:r>
          </w:p>
        </w:tc>
        <w:tc>
          <w:tcPr>
            <w:tcW w:w="1797" w:type="dxa"/>
            <w:tcBorders>
              <w:top w:val="nil"/>
              <w:left w:val="nil"/>
              <w:bottom w:val="nil"/>
              <w:right w:val="nil"/>
            </w:tcBorders>
            <w:shd w:val="clear" w:color="auto" w:fill="auto"/>
            <w:noWrap/>
            <w:vAlign w:val="bottom"/>
            <w:hideMark/>
          </w:tcPr>
          <w:p w14:paraId="3EA96802" w14:textId="77777777" w:rsidR="0097126F" w:rsidRPr="00642813" w:rsidRDefault="0097126F" w:rsidP="0097126F">
            <w:pPr>
              <w:jc w:val="right"/>
              <w:rPr>
                <w:rFonts w:ascii="Arial" w:hAnsi="Arial" w:cs="Arial"/>
                <w:color w:val="000000"/>
                <w:sz w:val="16"/>
                <w:szCs w:val="16"/>
                <w:lang w:eastAsia="es-AR"/>
              </w:rPr>
            </w:pPr>
            <w:r w:rsidRPr="00642813">
              <w:rPr>
                <w:rFonts w:ascii="Arial" w:hAnsi="Arial" w:cs="Arial"/>
                <w:color w:val="000000"/>
                <w:sz w:val="16"/>
                <w:szCs w:val="16"/>
                <w:lang w:eastAsia="es-AR"/>
              </w:rPr>
              <w:t xml:space="preserve">                               -   </w:t>
            </w:r>
          </w:p>
        </w:tc>
        <w:tc>
          <w:tcPr>
            <w:tcW w:w="1650" w:type="dxa"/>
            <w:tcBorders>
              <w:top w:val="nil"/>
              <w:left w:val="nil"/>
              <w:bottom w:val="nil"/>
              <w:right w:val="nil"/>
            </w:tcBorders>
            <w:shd w:val="clear" w:color="auto" w:fill="auto"/>
            <w:noWrap/>
            <w:vAlign w:val="bottom"/>
            <w:hideMark/>
          </w:tcPr>
          <w:p w14:paraId="0407F204" w14:textId="77777777" w:rsidR="0097126F" w:rsidRPr="00642813" w:rsidRDefault="0097126F" w:rsidP="0097126F">
            <w:pPr>
              <w:jc w:val="right"/>
              <w:rPr>
                <w:rFonts w:ascii="Arial" w:hAnsi="Arial" w:cs="Arial"/>
                <w:color w:val="000000"/>
                <w:sz w:val="16"/>
                <w:szCs w:val="16"/>
                <w:lang w:eastAsia="es-AR"/>
              </w:rPr>
            </w:pPr>
            <w:r w:rsidRPr="00642813">
              <w:rPr>
                <w:rFonts w:ascii="Arial" w:hAnsi="Arial" w:cs="Arial"/>
                <w:color w:val="000000"/>
                <w:sz w:val="16"/>
                <w:szCs w:val="16"/>
                <w:lang w:eastAsia="es-AR"/>
              </w:rPr>
              <w:t xml:space="preserve">                            -   </w:t>
            </w:r>
          </w:p>
        </w:tc>
        <w:tc>
          <w:tcPr>
            <w:tcW w:w="1258" w:type="dxa"/>
            <w:tcBorders>
              <w:top w:val="nil"/>
              <w:left w:val="nil"/>
              <w:bottom w:val="nil"/>
              <w:right w:val="nil"/>
            </w:tcBorders>
            <w:shd w:val="clear" w:color="auto" w:fill="auto"/>
            <w:noWrap/>
            <w:vAlign w:val="bottom"/>
            <w:hideMark/>
          </w:tcPr>
          <w:p w14:paraId="3FDC3C66" w14:textId="77777777" w:rsidR="0097126F" w:rsidRPr="00642813" w:rsidRDefault="0097126F" w:rsidP="0097126F">
            <w:pPr>
              <w:jc w:val="right"/>
              <w:rPr>
                <w:rFonts w:ascii="Arial" w:hAnsi="Arial" w:cs="Arial"/>
                <w:color w:val="000000"/>
                <w:sz w:val="16"/>
                <w:szCs w:val="16"/>
                <w:lang w:eastAsia="es-AR"/>
              </w:rPr>
            </w:pPr>
          </w:p>
        </w:tc>
        <w:tc>
          <w:tcPr>
            <w:tcW w:w="1650" w:type="dxa"/>
            <w:tcBorders>
              <w:top w:val="nil"/>
              <w:left w:val="nil"/>
              <w:bottom w:val="nil"/>
              <w:right w:val="nil"/>
            </w:tcBorders>
            <w:shd w:val="clear" w:color="auto" w:fill="auto"/>
            <w:noWrap/>
            <w:vAlign w:val="bottom"/>
            <w:hideMark/>
          </w:tcPr>
          <w:p w14:paraId="7F05F0B0" w14:textId="77777777" w:rsidR="0097126F" w:rsidRPr="00642813" w:rsidRDefault="0097126F" w:rsidP="0097126F">
            <w:pPr>
              <w:jc w:val="right"/>
              <w:rPr>
                <w:rFonts w:ascii="Arial" w:hAnsi="Arial" w:cs="Arial"/>
                <w:color w:val="000000"/>
                <w:sz w:val="16"/>
                <w:szCs w:val="16"/>
                <w:lang w:eastAsia="es-AR"/>
              </w:rPr>
            </w:pPr>
            <w:r w:rsidRPr="00642813">
              <w:rPr>
                <w:rFonts w:ascii="Arial" w:hAnsi="Arial" w:cs="Arial"/>
                <w:color w:val="000000"/>
                <w:sz w:val="16"/>
                <w:szCs w:val="16"/>
                <w:lang w:eastAsia="es-AR"/>
              </w:rPr>
              <w:t xml:space="preserve">                            -   </w:t>
            </w:r>
          </w:p>
        </w:tc>
      </w:tr>
      <w:tr w:rsidR="00D672C0" w:rsidRPr="00642813" w14:paraId="5A888D4E" w14:textId="77777777" w:rsidTr="002E1AF6">
        <w:trPr>
          <w:trHeight w:val="218"/>
        </w:trPr>
        <w:tc>
          <w:tcPr>
            <w:tcW w:w="3236" w:type="dxa"/>
            <w:tcBorders>
              <w:top w:val="nil"/>
              <w:left w:val="nil"/>
              <w:bottom w:val="nil"/>
              <w:right w:val="nil"/>
            </w:tcBorders>
            <w:shd w:val="clear" w:color="auto" w:fill="auto"/>
            <w:noWrap/>
            <w:vAlign w:val="bottom"/>
            <w:hideMark/>
          </w:tcPr>
          <w:p w14:paraId="7F511D32"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Otros activos financieros</w:t>
            </w:r>
          </w:p>
        </w:tc>
        <w:tc>
          <w:tcPr>
            <w:tcW w:w="1797" w:type="dxa"/>
            <w:tcBorders>
              <w:top w:val="nil"/>
              <w:left w:val="nil"/>
              <w:bottom w:val="nil"/>
              <w:right w:val="nil"/>
            </w:tcBorders>
            <w:shd w:val="clear" w:color="auto" w:fill="auto"/>
            <w:noWrap/>
            <w:vAlign w:val="bottom"/>
            <w:hideMark/>
          </w:tcPr>
          <w:p w14:paraId="65DA12AE" w14:textId="741DC5A5"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58.484 </w:t>
            </w:r>
          </w:p>
        </w:tc>
        <w:tc>
          <w:tcPr>
            <w:tcW w:w="1650" w:type="dxa"/>
            <w:tcBorders>
              <w:top w:val="nil"/>
              <w:left w:val="nil"/>
              <w:bottom w:val="nil"/>
              <w:right w:val="nil"/>
            </w:tcBorders>
            <w:shd w:val="clear" w:color="auto" w:fill="auto"/>
            <w:noWrap/>
            <w:vAlign w:val="bottom"/>
            <w:hideMark/>
          </w:tcPr>
          <w:p w14:paraId="7A0B7F70" w14:textId="317024FC"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-775 </w:t>
            </w:r>
          </w:p>
        </w:tc>
        <w:tc>
          <w:tcPr>
            <w:tcW w:w="1258" w:type="dxa"/>
            <w:tcBorders>
              <w:top w:val="nil"/>
              <w:left w:val="nil"/>
              <w:bottom w:val="nil"/>
              <w:right w:val="nil"/>
            </w:tcBorders>
            <w:shd w:val="clear" w:color="auto" w:fill="auto"/>
            <w:noWrap/>
            <w:vAlign w:val="bottom"/>
            <w:hideMark/>
          </w:tcPr>
          <w:p w14:paraId="2624F0E9" w14:textId="7467B76C"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723AF2FB" w14:textId="4991C3FD"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57.709 </w:t>
            </w:r>
          </w:p>
        </w:tc>
      </w:tr>
      <w:tr w:rsidR="00D672C0" w:rsidRPr="00642813" w14:paraId="37CB8301" w14:textId="77777777" w:rsidTr="002E1AF6">
        <w:trPr>
          <w:trHeight w:val="218"/>
        </w:trPr>
        <w:tc>
          <w:tcPr>
            <w:tcW w:w="3236" w:type="dxa"/>
            <w:tcBorders>
              <w:top w:val="nil"/>
              <w:left w:val="nil"/>
              <w:bottom w:val="nil"/>
              <w:right w:val="nil"/>
            </w:tcBorders>
            <w:shd w:val="clear" w:color="auto" w:fill="auto"/>
            <w:noWrap/>
            <w:vAlign w:val="bottom"/>
            <w:hideMark/>
          </w:tcPr>
          <w:p w14:paraId="43A1C892"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Préstamos y otras financiaciones</w:t>
            </w:r>
          </w:p>
        </w:tc>
        <w:tc>
          <w:tcPr>
            <w:tcW w:w="1797" w:type="dxa"/>
            <w:tcBorders>
              <w:top w:val="nil"/>
              <w:left w:val="nil"/>
              <w:bottom w:val="nil"/>
              <w:right w:val="nil"/>
            </w:tcBorders>
            <w:shd w:val="clear" w:color="auto" w:fill="auto"/>
            <w:noWrap/>
            <w:vAlign w:val="bottom"/>
            <w:hideMark/>
          </w:tcPr>
          <w:p w14:paraId="30985DB6" w14:textId="7818A742" w:rsidR="00D672C0" w:rsidRPr="00D672C0" w:rsidRDefault="00D672C0">
            <w:pPr>
              <w:jc w:val="right"/>
              <w:rPr>
                <w:rFonts w:ascii="Arial" w:hAnsi="Arial" w:cs="Arial"/>
                <w:color w:val="000000"/>
                <w:sz w:val="16"/>
                <w:szCs w:val="16"/>
                <w:lang w:eastAsia="es-AR"/>
              </w:rPr>
            </w:pPr>
          </w:p>
        </w:tc>
        <w:tc>
          <w:tcPr>
            <w:tcW w:w="1650" w:type="dxa"/>
            <w:tcBorders>
              <w:top w:val="nil"/>
              <w:left w:val="nil"/>
              <w:bottom w:val="nil"/>
              <w:right w:val="nil"/>
            </w:tcBorders>
            <w:shd w:val="clear" w:color="auto" w:fill="auto"/>
            <w:noWrap/>
            <w:vAlign w:val="bottom"/>
            <w:hideMark/>
          </w:tcPr>
          <w:p w14:paraId="604FCC55" w14:textId="7094E170"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258" w:type="dxa"/>
            <w:tcBorders>
              <w:top w:val="nil"/>
              <w:left w:val="nil"/>
              <w:bottom w:val="nil"/>
              <w:right w:val="nil"/>
            </w:tcBorders>
            <w:shd w:val="clear" w:color="auto" w:fill="auto"/>
            <w:noWrap/>
            <w:vAlign w:val="bottom"/>
            <w:hideMark/>
          </w:tcPr>
          <w:p w14:paraId="705EC213" w14:textId="0BE0CDF7"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7E485400" w14:textId="1AE05629"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r>
      <w:tr w:rsidR="00D672C0" w:rsidRPr="00642813" w14:paraId="303B71C3" w14:textId="77777777" w:rsidTr="002E1AF6">
        <w:trPr>
          <w:trHeight w:val="218"/>
        </w:trPr>
        <w:tc>
          <w:tcPr>
            <w:tcW w:w="3236" w:type="dxa"/>
            <w:tcBorders>
              <w:top w:val="nil"/>
              <w:left w:val="nil"/>
              <w:bottom w:val="nil"/>
              <w:right w:val="nil"/>
            </w:tcBorders>
            <w:shd w:val="clear" w:color="auto" w:fill="auto"/>
            <w:noWrap/>
            <w:vAlign w:val="bottom"/>
            <w:hideMark/>
          </w:tcPr>
          <w:p w14:paraId="156D92B6"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Otras Entidades Financieras</w:t>
            </w:r>
          </w:p>
        </w:tc>
        <w:tc>
          <w:tcPr>
            <w:tcW w:w="1797" w:type="dxa"/>
            <w:tcBorders>
              <w:top w:val="nil"/>
              <w:left w:val="nil"/>
              <w:bottom w:val="nil"/>
              <w:right w:val="nil"/>
            </w:tcBorders>
            <w:shd w:val="clear" w:color="auto" w:fill="auto"/>
            <w:noWrap/>
            <w:vAlign w:val="bottom"/>
            <w:hideMark/>
          </w:tcPr>
          <w:p w14:paraId="27A1FF53" w14:textId="2484BF91"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12.080 </w:t>
            </w:r>
          </w:p>
        </w:tc>
        <w:tc>
          <w:tcPr>
            <w:tcW w:w="1650" w:type="dxa"/>
            <w:tcBorders>
              <w:top w:val="nil"/>
              <w:left w:val="nil"/>
              <w:bottom w:val="nil"/>
              <w:right w:val="nil"/>
            </w:tcBorders>
            <w:shd w:val="clear" w:color="auto" w:fill="auto"/>
            <w:noWrap/>
            <w:vAlign w:val="bottom"/>
            <w:hideMark/>
          </w:tcPr>
          <w:p w14:paraId="0CCCD744" w14:textId="467AF969"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-10.719 </w:t>
            </w:r>
          </w:p>
        </w:tc>
        <w:tc>
          <w:tcPr>
            <w:tcW w:w="1258" w:type="dxa"/>
            <w:tcBorders>
              <w:top w:val="nil"/>
              <w:left w:val="nil"/>
              <w:bottom w:val="nil"/>
              <w:right w:val="nil"/>
            </w:tcBorders>
            <w:shd w:val="clear" w:color="auto" w:fill="auto"/>
            <w:noWrap/>
            <w:vAlign w:val="bottom"/>
            <w:hideMark/>
          </w:tcPr>
          <w:p w14:paraId="296B0374" w14:textId="19DE99AE"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09703204" w14:textId="078A3E8B"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1.361 </w:t>
            </w:r>
          </w:p>
        </w:tc>
      </w:tr>
      <w:tr w:rsidR="00D672C0" w:rsidRPr="00642813" w14:paraId="77513AD4" w14:textId="77777777" w:rsidTr="002E1AF6">
        <w:trPr>
          <w:trHeight w:val="218"/>
        </w:trPr>
        <w:tc>
          <w:tcPr>
            <w:tcW w:w="3236" w:type="dxa"/>
            <w:tcBorders>
              <w:top w:val="nil"/>
              <w:left w:val="nil"/>
              <w:bottom w:val="nil"/>
              <w:right w:val="nil"/>
            </w:tcBorders>
            <w:shd w:val="clear" w:color="auto" w:fill="auto"/>
            <w:noWrap/>
            <w:vAlign w:val="bottom"/>
            <w:hideMark/>
          </w:tcPr>
          <w:p w14:paraId="7388030E" w14:textId="77777777" w:rsidR="00D672C0" w:rsidRPr="00642813" w:rsidRDefault="00D672C0" w:rsidP="00D672C0">
            <w:pPr>
              <w:rPr>
                <w:rFonts w:ascii="Arial" w:hAnsi="Arial" w:cs="Arial"/>
                <w:b/>
                <w:bCs/>
                <w:color w:val="000000"/>
                <w:sz w:val="16"/>
                <w:szCs w:val="16"/>
                <w:lang w:eastAsia="es-AR"/>
              </w:rPr>
            </w:pPr>
            <w:r w:rsidRPr="00642813">
              <w:rPr>
                <w:rFonts w:ascii="Arial" w:hAnsi="Arial" w:cs="Arial"/>
                <w:b/>
                <w:bCs/>
                <w:color w:val="000000"/>
                <w:sz w:val="16"/>
                <w:szCs w:val="16"/>
                <w:lang w:eastAsia="es-AR"/>
              </w:rPr>
              <w:t>SPNF y Res. del Exterior</w:t>
            </w:r>
          </w:p>
        </w:tc>
        <w:tc>
          <w:tcPr>
            <w:tcW w:w="1797" w:type="dxa"/>
            <w:tcBorders>
              <w:top w:val="nil"/>
              <w:left w:val="nil"/>
              <w:bottom w:val="nil"/>
              <w:right w:val="nil"/>
            </w:tcBorders>
            <w:shd w:val="clear" w:color="auto" w:fill="auto"/>
            <w:noWrap/>
            <w:vAlign w:val="bottom"/>
            <w:hideMark/>
          </w:tcPr>
          <w:p w14:paraId="43EA1949" w14:textId="5D8E184F" w:rsidR="00D672C0" w:rsidRPr="00D672C0" w:rsidRDefault="00D672C0">
            <w:pPr>
              <w:jc w:val="right"/>
              <w:rPr>
                <w:rFonts w:ascii="Arial" w:hAnsi="Arial" w:cs="Arial"/>
                <w:color w:val="000000"/>
                <w:sz w:val="16"/>
                <w:szCs w:val="16"/>
                <w:lang w:eastAsia="es-AR"/>
              </w:rPr>
            </w:pPr>
          </w:p>
        </w:tc>
        <w:tc>
          <w:tcPr>
            <w:tcW w:w="1650" w:type="dxa"/>
            <w:tcBorders>
              <w:top w:val="nil"/>
              <w:left w:val="nil"/>
              <w:bottom w:val="nil"/>
              <w:right w:val="nil"/>
            </w:tcBorders>
            <w:shd w:val="clear" w:color="auto" w:fill="auto"/>
            <w:noWrap/>
            <w:vAlign w:val="bottom"/>
            <w:hideMark/>
          </w:tcPr>
          <w:p w14:paraId="06D8E043" w14:textId="2F478949" w:rsidR="00D672C0" w:rsidRPr="00D672C0" w:rsidRDefault="00D672C0">
            <w:pPr>
              <w:jc w:val="right"/>
              <w:rPr>
                <w:rFonts w:ascii="Arial" w:hAnsi="Arial" w:cs="Arial"/>
                <w:color w:val="000000"/>
                <w:sz w:val="16"/>
                <w:szCs w:val="16"/>
                <w:lang w:eastAsia="es-AR"/>
              </w:rPr>
            </w:pPr>
          </w:p>
        </w:tc>
        <w:tc>
          <w:tcPr>
            <w:tcW w:w="1258" w:type="dxa"/>
            <w:tcBorders>
              <w:top w:val="nil"/>
              <w:left w:val="nil"/>
              <w:bottom w:val="nil"/>
              <w:right w:val="nil"/>
            </w:tcBorders>
            <w:shd w:val="clear" w:color="auto" w:fill="auto"/>
            <w:noWrap/>
            <w:vAlign w:val="bottom"/>
            <w:hideMark/>
          </w:tcPr>
          <w:p w14:paraId="49201C8B" w14:textId="1C3C4573" w:rsidR="00D672C0" w:rsidRPr="00D672C0" w:rsidRDefault="00D672C0">
            <w:pPr>
              <w:jc w:val="right"/>
              <w:rPr>
                <w:rFonts w:ascii="Arial" w:hAnsi="Arial" w:cs="Arial"/>
                <w:b/>
                <w:bCs/>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6FF3CECB" w14:textId="4F40FEE7" w:rsidR="00D672C0" w:rsidRPr="00D672C0" w:rsidRDefault="00D672C0">
            <w:pPr>
              <w:jc w:val="right"/>
              <w:rPr>
                <w:rFonts w:ascii="Arial" w:hAnsi="Arial" w:cs="Arial"/>
                <w:color w:val="000000"/>
                <w:sz w:val="16"/>
                <w:szCs w:val="16"/>
                <w:lang w:eastAsia="es-AR"/>
              </w:rPr>
            </w:pPr>
          </w:p>
        </w:tc>
      </w:tr>
      <w:tr w:rsidR="00D672C0" w:rsidRPr="00642813" w14:paraId="4A2CFCDA" w14:textId="77777777" w:rsidTr="002E1AF6">
        <w:trPr>
          <w:trHeight w:val="218"/>
        </w:trPr>
        <w:tc>
          <w:tcPr>
            <w:tcW w:w="3236" w:type="dxa"/>
            <w:tcBorders>
              <w:top w:val="nil"/>
              <w:left w:val="nil"/>
              <w:bottom w:val="nil"/>
              <w:right w:val="nil"/>
            </w:tcBorders>
            <w:shd w:val="clear" w:color="auto" w:fill="auto"/>
            <w:noWrap/>
            <w:vAlign w:val="bottom"/>
            <w:hideMark/>
          </w:tcPr>
          <w:p w14:paraId="024AC53D"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Adelantos</w:t>
            </w:r>
          </w:p>
        </w:tc>
        <w:tc>
          <w:tcPr>
            <w:tcW w:w="1797" w:type="dxa"/>
            <w:tcBorders>
              <w:top w:val="nil"/>
              <w:left w:val="nil"/>
              <w:bottom w:val="nil"/>
              <w:right w:val="nil"/>
            </w:tcBorders>
            <w:shd w:val="clear" w:color="auto" w:fill="auto"/>
            <w:noWrap/>
            <w:vAlign w:val="bottom"/>
            <w:hideMark/>
          </w:tcPr>
          <w:p w14:paraId="097D7022" w14:textId="41994AE1"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952.237 </w:t>
            </w:r>
          </w:p>
        </w:tc>
        <w:tc>
          <w:tcPr>
            <w:tcW w:w="1650" w:type="dxa"/>
            <w:tcBorders>
              <w:top w:val="nil"/>
              <w:left w:val="nil"/>
              <w:bottom w:val="nil"/>
              <w:right w:val="nil"/>
            </w:tcBorders>
            <w:shd w:val="clear" w:color="auto" w:fill="auto"/>
            <w:noWrap/>
            <w:vAlign w:val="bottom"/>
            <w:hideMark/>
          </w:tcPr>
          <w:p w14:paraId="2C4379F5" w14:textId="44D0861F"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184.392 </w:t>
            </w:r>
          </w:p>
        </w:tc>
        <w:tc>
          <w:tcPr>
            <w:tcW w:w="1258" w:type="dxa"/>
            <w:tcBorders>
              <w:top w:val="nil"/>
              <w:left w:val="nil"/>
              <w:bottom w:val="nil"/>
              <w:right w:val="nil"/>
            </w:tcBorders>
            <w:shd w:val="clear" w:color="auto" w:fill="auto"/>
            <w:noWrap/>
            <w:vAlign w:val="bottom"/>
            <w:hideMark/>
          </w:tcPr>
          <w:p w14:paraId="33AA7FEA" w14:textId="7FB05BCF"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2EFA0F62" w14:textId="5D339D17"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1.136.629 </w:t>
            </w:r>
          </w:p>
        </w:tc>
      </w:tr>
      <w:tr w:rsidR="00D672C0" w:rsidRPr="00642813" w14:paraId="4BAA3472" w14:textId="77777777" w:rsidTr="002E1AF6">
        <w:trPr>
          <w:trHeight w:val="218"/>
        </w:trPr>
        <w:tc>
          <w:tcPr>
            <w:tcW w:w="3236" w:type="dxa"/>
            <w:tcBorders>
              <w:top w:val="nil"/>
              <w:left w:val="nil"/>
              <w:bottom w:val="nil"/>
              <w:right w:val="nil"/>
            </w:tcBorders>
            <w:shd w:val="clear" w:color="auto" w:fill="auto"/>
            <w:noWrap/>
            <w:vAlign w:val="bottom"/>
            <w:hideMark/>
          </w:tcPr>
          <w:p w14:paraId="3AED1C03"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Documentos</w:t>
            </w:r>
          </w:p>
        </w:tc>
        <w:tc>
          <w:tcPr>
            <w:tcW w:w="1797" w:type="dxa"/>
            <w:tcBorders>
              <w:top w:val="nil"/>
              <w:left w:val="nil"/>
              <w:bottom w:val="nil"/>
              <w:right w:val="nil"/>
            </w:tcBorders>
            <w:shd w:val="clear" w:color="auto" w:fill="auto"/>
            <w:noWrap/>
            <w:vAlign w:val="bottom"/>
            <w:hideMark/>
          </w:tcPr>
          <w:p w14:paraId="355874F5" w14:textId="4A12AA2B"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418.883 </w:t>
            </w:r>
          </w:p>
        </w:tc>
        <w:tc>
          <w:tcPr>
            <w:tcW w:w="1650" w:type="dxa"/>
            <w:tcBorders>
              <w:top w:val="nil"/>
              <w:left w:val="nil"/>
              <w:bottom w:val="nil"/>
              <w:right w:val="nil"/>
            </w:tcBorders>
            <w:shd w:val="clear" w:color="auto" w:fill="auto"/>
            <w:noWrap/>
            <w:vAlign w:val="bottom"/>
            <w:hideMark/>
          </w:tcPr>
          <w:p w14:paraId="1D8BBAFD" w14:textId="13ABA235"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-88.388 </w:t>
            </w:r>
          </w:p>
        </w:tc>
        <w:tc>
          <w:tcPr>
            <w:tcW w:w="1258" w:type="dxa"/>
            <w:tcBorders>
              <w:top w:val="nil"/>
              <w:left w:val="nil"/>
              <w:bottom w:val="nil"/>
              <w:right w:val="nil"/>
            </w:tcBorders>
            <w:shd w:val="clear" w:color="auto" w:fill="auto"/>
            <w:noWrap/>
            <w:vAlign w:val="bottom"/>
            <w:hideMark/>
          </w:tcPr>
          <w:p w14:paraId="1491498A" w14:textId="096DB153"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24BEED81" w14:textId="1F069085"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330.495 </w:t>
            </w:r>
          </w:p>
        </w:tc>
      </w:tr>
      <w:tr w:rsidR="00D672C0" w:rsidRPr="00642813" w14:paraId="0A656135" w14:textId="77777777" w:rsidTr="002E1AF6">
        <w:trPr>
          <w:trHeight w:val="218"/>
        </w:trPr>
        <w:tc>
          <w:tcPr>
            <w:tcW w:w="3236" w:type="dxa"/>
            <w:tcBorders>
              <w:top w:val="nil"/>
              <w:left w:val="nil"/>
              <w:bottom w:val="nil"/>
              <w:right w:val="nil"/>
            </w:tcBorders>
            <w:shd w:val="clear" w:color="auto" w:fill="auto"/>
            <w:noWrap/>
            <w:vAlign w:val="bottom"/>
            <w:hideMark/>
          </w:tcPr>
          <w:p w14:paraId="5BAAD74C"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Hipotecarios</w:t>
            </w:r>
          </w:p>
        </w:tc>
        <w:tc>
          <w:tcPr>
            <w:tcW w:w="1797" w:type="dxa"/>
            <w:tcBorders>
              <w:top w:val="nil"/>
              <w:left w:val="nil"/>
              <w:bottom w:val="nil"/>
              <w:right w:val="nil"/>
            </w:tcBorders>
            <w:shd w:val="clear" w:color="auto" w:fill="auto"/>
            <w:noWrap/>
            <w:vAlign w:val="bottom"/>
            <w:hideMark/>
          </w:tcPr>
          <w:p w14:paraId="44126F4D" w14:textId="71E1703C"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634.195 </w:t>
            </w:r>
          </w:p>
        </w:tc>
        <w:tc>
          <w:tcPr>
            <w:tcW w:w="1650" w:type="dxa"/>
            <w:tcBorders>
              <w:top w:val="nil"/>
              <w:left w:val="nil"/>
              <w:bottom w:val="nil"/>
              <w:right w:val="nil"/>
            </w:tcBorders>
            <w:shd w:val="clear" w:color="auto" w:fill="auto"/>
            <w:noWrap/>
            <w:vAlign w:val="bottom"/>
            <w:hideMark/>
          </w:tcPr>
          <w:p w14:paraId="1244BE02" w14:textId="1E697371"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-114.457 </w:t>
            </w:r>
          </w:p>
        </w:tc>
        <w:tc>
          <w:tcPr>
            <w:tcW w:w="1258" w:type="dxa"/>
            <w:tcBorders>
              <w:top w:val="nil"/>
              <w:left w:val="nil"/>
              <w:bottom w:val="nil"/>
              <w:right w:val="nil"/>
            </w:tcBorders>
            <w:shd w:val="clear" w:color="auto" w:fill="auto"/>
            <w:noWrap/>
            <w:vAlign w:val="bottom"/>
            <w:hideMark/>
          </w:tcPr>
          <w:p w14:paraId="723A0ED1" w14:textId="6709FF04"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38575BB1" w14:textId="7C3692B8"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519.738 </w:t>
            </w:r>
          </w:p>
        </w:tc>
      </w:tr>
      <w:tr w:rsidR="00D672C0" w:rsidRPr="00642813" w14:paraId="1DF4D650" w14:textId="77777777" w:rsidTr="002E1AF6">
        <w:trPr>
          <w:trHeight w:val="218"/>
        </w:trPr>
        <w:tc>
          <w:tcPr>
            <w:tcW w:w="3236" w:type="dxa"/>
            <w:tcBorders>
              <w:top w:val="nil"/>
              <w:left w:val="nil"/>
              <w:bottom w:val="nil"/>
              <w:right w:val="nil"/>
            </w:tcBorders>
            <w:shd w:val="clear" w:color="auto" w:fill="auto"/>
            <w:noWrap/>
            <w:vAlign w:val="bottom"/>
            <w:hideMark/>
          </w:tcPr>
          <w:p w14:paraId="6E4EE1CD"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Prendarios</w:t>
            </w:r>
          </w:p>
        </w:tc>
        <w:tc>
          <w:tcPr>
            <w:tcW w:w="1797" w:type="dxa"/>
            <w:tcBorders>
              <w:top w:val="nil"/>
              <w:left w:val="nil"/>
              <w:bottom w:val="nil"/>
              <w:right w:val="nil"/>
            </w:tcBorders>
            <w:shd w:val="clear" w:color="auto" w:fill="auto"/>
            <w:noWrap/>
            <w:vAlign w:val="bottom"/>
            <w:hideMark/>
          </w:tcPr>
          <w:p w14:paraId="63397479" w14:textId="3B3B3E63"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27.469 </w:t>
            </w:r>
          </w:p>
        </w:tc>
        <w:tc>
          <w:tcPr>
            <w:tcW w:w="1650" w:type="dxa"/>
            <w:tcBorders>
              <w:top w:val="nil"/>
              <w:left w:val="nil"/>
              <w:bottom w:val="nil"/>
              <w:right w:val="nil"/>
            </w:tcBorders>
            <w:shd w:val="clear" w:color="auto" w:fill="auto"/>
            <w:noWrap/>
            <w:vAlign w:val="bottom"/>
            <w:hideMark/>
          </w:tcPr>
          <w:p w14:paraId="2E3641AA" w14:textId="4F103B5A"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15.501 </w:t>
            </w:r>
          </w:p>
        </w:tc>
        <w:tc>
          <w:tcPr>
            <w:tcW w:w="1258" w:type="dxa"/>
            <w:tcBorders>
              <w:top w:val="nil"/>
              <w:left w:val="nil"/>
              <w:bottom w:val="nil"/>
              <w:right w:val="nil"/>
            </w:tcBorders>
            <w:shd w:val="clear" w:color="auto" w:fill="auto"/>
            <w:noWrap/>
            <w:vAlign w:val="bottom"/>
            <w:hideMark/>
          </w:tcPr>
          <w:p w14:paraId="7281EC53" w14:textId="731CAF69"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7D54169F" w14:textId="67F64668"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42.970 </w:t>
            </w:r>
          </w:p>
        </w:tc>
      </w:tr>
      <w:tr w:rsidR="00D672C0" w:rsidRPr="00642813" w14:paraId="17C113B2" w14:textId="77777777" w:rsidTr="002E1AF6">
        <w:trPr>
          <w:trHeight w:val="218"/>
        </w:trPr>
        <w:tc>
          <w:tcPr>
            <w:tcW w:w="3236" w:type="dxa"/>
            <w:tcBorders>
              <w:top w:val="nil"/>
              <w:left w:val="nil"/>
              <w:bottom w:val="nil"/>
              <w:right w:val="nil"/>
            </w:tcBorders>
            <w:shd w:val="clear" w:color="auto" w:fill="auto"/>
            <w:noWrap/>
            <w:vAlign w:val="bottom"/>
            <w:hideMark/>
          </w:tcPr>
          <w:p w14:paraId="54CE7AFA"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Personales</w:t>
            </w:r>
          </w:p>
        </w:tc>
        <w:tc>
          <w:tcPr>
            <w:tcW w:w="1797" w:type="dxa"/>
            <w:tcBorders>
              <w:top w:val="nil"/>
              <w:left w:val="nil"/>
              <w:bottom w:val="nil"/>
              <w:right w:val="nil"/>
            </w:tcBorders>
            <w:shd w:val="clear" w:color="auto" w:fill="auto"/>
            <w:noWrap/>
            <w:vAlign w:val="bottom"/>
            <w:hideMark/>
          </w:tcPr>
          <w:p w14:paraId="1050A057" w14:textId="59F5234F"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632.419 </w:t>
            </w:r>
          </w:p>
        </w:tc>
        <w:tc>
          <w:tcPr>
            <w:tcW w:w="1650" w:type="dxa"/>
            <w:tcBorders>
              <w:top w:val="nil"/>
              <w:left w:val="nil"/>
              <w:bottom w:val="nil"/>
              <w:right w:val="nil"/>
            </w:tcBorders>
            <w:shd w:val="clear" w:color="auto" w:fill="auto"/>
            <w:noWrap/>
            <w:vAlign w:val="bottom"/>
            <w:hideMark/>
          </w:tcPr>
          <w:p w14:paraId="0023E314" w14:textId="5AD8B924"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154.832 </w:t>
            </w:r>
          </w:p>
        </w:tc>
        <w:tc>
          <w:tcPr>
            <w:tcW w:w="1258" w:type="dxa"/>
            <w:tcBorders>
              <w:top w:val="nil"/>
              <w:left w:val="nil"/>
              <w:bottom w:val="nil"/>
              <w:right w:val="nil"/>
            </w:tcBorders>
            <w:shd w:val="clear" w:color="auto" w:fill="auto"/>
            <w:noWrap/>
            <w:vAlign w:val="bottom"/>
            <w:hideMark/>
          </w:tcPr>
          <w:p w14:paraId="7BCB35F4" w14:textId="06015F29"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3DE1BA9E" w14:textId="5A6D83D6"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787.251 </w:t>
            </w:r>
          </w:p>
        </w:tc>
      </w:tr>
      <w:tr w:rsidR="00D672C0" w:rsidRPr="00642813" w14:paraId="06E183C7" w14:textId="77777777" w:rsidTr="002E1AF6">
        <w:trPr>
          <w:trHeight w:val="218"/>
        </w:trPr>
        <w:tc>
          <w:tcPr>
            <w:tcW w:w="3236" w:type="dxa"/>
            <w:tcBorders>
              <w:top w:val="nil"/>
              <w:left w:val="nil"/>
              <w:bottom w:val="nil"/>
              <w:right w:val="nil"/>
            </w:tcBorders>
            <w:shd w:val="clear" w:color="auto" w:fill="auto"/>
            <w:noWrap/>
            <w:vAlign w:val="bottom"/>
            <w:hideMark/>
          </w:tcPr>
          <w:p w14:paraId="651D5466"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Tarjetas de Crédito</w:t>
            </w:r>
          </w:p>
        </w:tc>
        <w:tc>
          <w:tcPr>
            <w:tcW w:w="1797" w:type="dxa"/>
            <w:tcBorders>
              <w:top w:val="nil"/>
              <w:left w:val="nil"/>
              <w:bottom w:val="nil"/>
              <w:right w:val="nil"/>
            </w:tcBorders>
            <w:shd w:val="clear" w:color="auto" w:fill="auto"/>
            <w:noWrap/>
            <w:vAlign w:val="bottom"/>
            <w:hideMark/>
          </w:tcPr>
          <w:p w14:paraId="313BCADC" w14:textId="3BAD63F1"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409.298 </w:t>
            </w:r>
          </w:p>
        </w:tc>
        <w:tc>
          <w:tcPr>
            <w:tcW w:w="1650" w:type="dxa"/>
            <w:tcBorders>
              <w:top w:val="nil"/>
              <w:left w:val="nil"/>
              <w:bottom w:val="nil"/>
              <w:right w:val="nil"/>
            </w:tcBorders>
            <w:shd w:val="clear" w:color="auto" w:fill="auto"/>
            <w:noWrap/>
            <w:vAlign w:val="bottom"/>
            <w:hideMark/>
          </w:tcPr>
          <w:p w14:paraId="5DE232C9" w14:textId="777C2A05"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253.453 </w:t>
            </w:r>
          </w:p>
        </w:tc>
        <w:tc>
          <w:tcPr>
            <w:tcW w:w="1258" w:type="dxa"/>
            <w:tcBorders>
              <w:top w:val="nil"/>
              <w:left w:val="nil"/>
              <w:bottom w:val="nil"/>
              <w:right w:val="nil"/>
            </w:tcBorders>
            <w:shd w:val="clear" w:color="auto" w:fill="auto"/>
            <w:noWrap/>
            <w:vAlign w:val="bottom"/>
            <w:hideMark/>
          </w:tcPr>
          <w:p w14:paraId="49C33331" w14:textId="4892E804"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608FC766" w14:textId="758D8AD9"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662.751 </w:t>
            </w:r>
          </w:p>
        </w:tc>
      </w:tr>
      <w:tr w:rsidR="00D672C0" w:rsidRPr="00642813" w14:paraId="78C500B5" w14:textId="77777777" w:rsidTr="002E1AF6">
        <w:trPr>
          <w:trHeight w:val="218"/>
        </w:trPr>
        <w:tc>
          <w:tcPr>
            <w:tcW w:w="3236" w:type="dxa"/>
            <w:tcBorders>
              <w:top w:val="nil"/>
              <w:left w:val="nil"/>
              <w:bottom w:val="nil"/>
              <w:right w:val="nil"/>
            </w:tcBorders>
            <w:shd w:val="clear" w:color="auto" w:fill="auto"/>
            <w:noWrap/>
            <w:vAlign w:val="bottom"/>
            <w:hideMark/>
          </w:tcPr>
          <w:p w14:paraId="1489161A"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Arrendamientos Financieros</w:t>
            </w:r>
          </w:p>
        </w:tc>
        <w:tc>
          <w:tcPr>
            <w:tcW w:w="1797" w:type="dxa"/>
            <w:tcBorders>
              <w:top w:val="nil"/>
              <w:left w:val="nil"/>
              <w:bottom w:val="nil"/>
              <w:right w:val="nil"/>
            </w:tcBorders>
            <w:shd w:val="clear" w:color="auto" w:fill="auto"/>
            <w:noWrap/>
            <w:vAlign w:val="bottom"/>
            <w:hideMark/>
          </w:tcPr>
          <w:p w14:paraId="6A21AEBF" w14:textId="7BCC27DC"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82.052 </w:t>
            </w:r>
          </w:p>
        </w:tc>
        <w:tc>
          <w:tcPr>
            <w:tcW w:w="1650" w:type="dxa"/>
            <w:tcBorders>
              <w:top w:val="nil"/>
              <w:left w:val="nil"/>
              <w:bottom w:val="nil"/>
              <w:right w:val="nil"/>
            </w:tcBorders>
            <w:shd w:val="clear" w:color="auto" w:fill="auto"/>
            <w:noWrap/>
            <w:vAlign w:val="bottom"/>
            <w:hideMark/>
          </w:tcPr>
          <w:p w14:paraId="2939C448" w14:textId="52A1B4AF"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154.596 </w:t>
            </w:r>
          </w:p>
        </w:tc>
        <w:tc>
          <w:tcPr>
            <w:tcW w:w="1258" w:type="dxa"/>
            <w:tcBorders>
              <w:top w:val="nil"/>
              <w:left w:val="nil"/>
              <w:bottom w:val="nil"/>
              <w:right w:val="nil"/>
            </w:tcBorders>
            <w:shd w:val="clear" w:color="auto" w:fill="auto"/>
            <w:noWrap/>
            <w:vAlign w:val="bottom"/>
            <w:hideMark/>
          </w:tcPr>
          <w:p w14:paraId="282BD167" w14:textId="55C3FA9E"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340D2EB1" w14:textId="6F4F30E8"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236.648 </w:t>
            </w:r>
          </w:p>
        </w:tc>
      </w:tr>
      <w:tr w:rsidR="00D672C0" w:rsidRPr="00642813" w14:paraId="4897A575" w14:textId="77777777" w:rsidTr="002E1AF6">
        <w:trPr>
          <w:trHeight w:val="218"/>
        </w:trPr>
        <w:tc>
          <w:tcPr>
            <w:tcW w:w="3236" w:type="dxa"/>
            <w:tcBorders>
              <w:top w:val="nil"/>
              <w:left w:val="nil"/>
              <w:bottom w:val="nil"/>
              <w:right w:val="nil"/>
            </w:tcBorders>
            <w:shd w:val="clear" w:color="auto" w:fill="auto"/>
            <w:noWrap/>
            <w:vAlign w:val="bottom"/>
            <w:hideMark/>
          </w:tcPr>
          <w:p w14:paraId="38B919BD"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Otros</w:t>
            </w:r>
          </w:p>
        </w:tc>
        <w:tc>
          <w:tcPr>
            <w:tcW w:w="1797" w:type="dxa"/>
            <w:tcBorders>
              <w:top w:val="nil"/>
              <w:left w:val="nil"/>
              <w:bottom w:val="nil"/>
              <w:right w:val="nil"/>
            </w:tcBorders>
            <w:shd w:val="clear" w:color="auto" w:fill="auto"/>
            <w:noWrap/>
            <w:vAlign w:val="bottom"/>
            <w:hideMark/>
          </w:tcPr>
          <w:p w14:paraId="301D3669" w14:textId="3E64E869"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1.857.994 </w:t>
            </w:r>
          </w:p>
        </w:tc>
        <w:tc>
          <w:tcPr>
            <w:tcW w:w="1650" w:type="dxa"/>
            <w:tcBorders>
              <w:top w:val="nil"/>
              <w:left w:val="nil"/>
              <w:bottom w:val="nil"/>
              <w:right w:val="nil"/>
            </w:tcBorders>
            <w:shd w:val="clear" w:color="auto" w:fill="auto"/>
            <w:noWrap/>
            <w:vAlign w:val="bottom"/>
            <w:hideMark/>
          </w:tcPr>
          <w:p w14:paraId="6BBD304F" w14:textId="48FDE9A8"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-544.806 </w:t>
            </w:r>
          </w:p>
        </w:tc>
        <w:tc>
          <w:tcPr>
            <w:tcW w:w="1258" w:type="dxa"/>
            <w:tcBorders>
              <w:top w:val="nil"/>
              <w:left w:val="nil"/>
              <w:bottom w:val="nil"/>
              <w:right w:val="nil"/>
            </w:tcBorders>
            <w:shd w:val="clear" w:color="auto" w:fill="auto"/>
            <w:noWrap/>
            <w:vAlign w:val="bottom"/>
            <w:hideMark/>
          </w:tcPr>
          <w:p w14:paraId="53F3428E" w14:textId="37BC41C3"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364D252B" w14:textId="761E156C"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1.313.188 </w:t>
            </w:r>
          </w:p>
        </w:tc>
      </w:tr>
      <w:tr w:rsidR="00D672C0" w:rsidRPr="00642813" w14:paraId="69C880C1" w14:textId="77777777" w:rsidTr="002E1AF6">
        <w:trPr>
          <w:trHeight w:val="218"/>
        </w:trPr>
        <w:tc>
          <w:tcPr>
            <w:tcW w:w="3236" w:type="dxa"/>
            <w:tcBorders>
              <w:top w:val="nil"/>
              <w:left w:val="nil"/>
              <w:bottom w:val="nil"/>
              <w:right w:val="nil"/>
            </w:tcBorders>
            <w:shd w:val="clear" w:color="auto" w:fill="auto"/>
            <w:noWrap/>
            <w:vAlign w:val="bottom"/>
            <w:hideMark/>
          </w:tcPr>
          <w:p w14:paraId="7CB3543D"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Otros títulos de deuda</w:t>
            </w:r>
          </w:p>
        </w:tc>
        <w:tc>
          <w:tcPr>
            <w:tcW w:w="1797" w:type="dxa"/>
            <w:tcBorders>
              <w:top w:val="nil"/>
              <w:left w:val="nil"/>
              <w:bottom w:val="nil"/>
              <w:right w:val="nil"/>
            </w:tcBorders>
            <w:shd w:val="clear" w:color="auto" w:fill="auto"/>
            <w:noWrap/>
            <w:vAlign w:val="bottom"/>
            <w:hideMark/>
          </w:tcPr>
          <w:p w14:paraId="06B3A718" w14:textId="67838DD9"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351DEBCE" w14:textId="5417382F"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258" w:type="dxa"/>
            <w:tcBorders>
              <w:top w:val="nil"/>
              <w:left w:val="nil"/>
              <w:bottom w:val="nil"/>
              <w:right w:val="nil"/>
            </w:tcBorders>
            <w:shd w:val="clear" w:color="auto" w:fill="auto"/>
            <w:noWrap/>
            <w:vAlign w:val="bottom"/>
            <w:hideMark/>
          </w:tcPr>
          <w:p w14:paraId="57EC1E7E" w14:textId="57DA6E6B"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185AADC1" w14:textId="125ADC94"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r>
      <w:tr w:rsidR="00D672C0" w:rsidRPr="00642813" w14:paraId="44AA4FE7" w14:textId="77777777" w:rsidTr="002E1AF6">
        <w:trPr>
          <w:trHeight w:val="218"/>
        </w:trPr>
        <w:tc>
          <w:tcPr>
            <w:tcW w:w="3236" w:type="dxa"/>
            <w:tcBorders>
              <w:top w:val="nil"/>
              <w:left w:val="nil"/>
              <w:bottom w:val="nil"/>
              <w:right w:val="nil"/>
            </w:tcBorders>
            <w:shd w:val="clear" w:color="auto" w:fill="auto"/>
            <w:noWrap/>
            <w:vAlign w:val="bottom"/>
            <w:hideMark/>
          </w:tcPr>
          <w:p w14:paraId="4C005C6E"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Otros activos no financieros (**)</w:t>
            </w:r>
          </w:p>
        </w:tc>
        <w:tc>
          <w:tcPr>
            <w:tcW w:w="1797" w:type="dxa"/>
            <w:tcBorders>
              <w:top w:val="nil"/>
              <w:left w:val="nil"/>
              <w:bottom w:val="nil"/>
              <w:right w:val="nil"/>
            </w:tcBorders>
            <w:shd w:val="clear" w:color="auto" w:fill="auto"/>
            <w:noWrap/>
            <w:vAlign w:val="bottom"/>
            <w:hideMark/>
          </w:tcPr>
          <w:p w14:paraId="44E6CC84" w14:textId="48857731"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3.629 </w:t>
            </w:r>
          </w:p>
        </w:tc>
        <w:tc>
          <w:tcPr>
            <w:tcW w:w="1650" w:type="dxa"/>
            <w:tcBorders>
              <w:top w:val="nil"/>
              <w:left w:val="nil"/>
              <w:bottom w:val="nil"/>
              <w:right w:val="nil"/>
            </w:tcBorders>
            <w:shd w:val="clear" w:color="auto" w:fill="auto"/>
            <w:noWrap/>
            <w:vAlign w:val="bottom"/>
            <w:hideMark/>
          </w:tcPr>
          <w:p w14:paraId="6540B4A6" w14:textId="33C85CDB"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-3.629 </w:t>
            </w:r>
          </w:p>
        </w:tc>
        <w:tc>
          <w:tcPr>
            <w:tcW w:w="1258" w:type="dxa"/>
            <w:tcBorders>
              <w:top w:val="nil"/>
              <w:left w:val="nil"/>
              <w:bottom w:val="nil"/>
              <w:right w:val="nil"/>
            </w:tcBorders>
            <w:shd w:val="clear" w:color="auto" w:fill="auto"/>
            <w:noWrap/>
            <w:vAlign w:val="bottom"/>
            <w:hideMark/>
          </w:tcPr>
          <w:p w14:paraId="7E5F3631" w14:textId="768021B2"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25AEF99A" w14:textId="1B47DBBB"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r>
      <w:tr w:rsidR="00D672C0" w:rsidRPr="00642813" w14:paraId="26B9D6F4" w14:textId="77777777" w:rsidTr="002E1AF6">
        <w:trPr>
          <w:trHeight w:val="231"/>
        </w:trPr>
        <w:tc>
          <w:tcPr>
            <w:tcW w:w="3236" w:type="dxa"/>
            <w:tcBorders>
              <w:top w:val="nil"/>
              <w:left w:val="nil"/>
              <w:bottom w:val="nil"/>
              <w:right w:val="nil"/>
            </w:tcBorders>
            <w:shd w:val="clear" w:color="auto" w:fill="auto"/>
            <w:noWrap/>
            <w:vAlign w:val="bottom"/>
            <w:hideMark/>
          </w:tcPr>
          <w:p w14:paraId="54C82B48" w14:textId="77777777" w:rsidR="00D672C0" w:rsidRPr="00642813" w:rsidRDefault="00D672C0" w:rsidP="00D672C0">
            <w:pPr>
              <w:rPr>
                <w:rFonts w:ascii="Arial" w:hAnsi="Arial" w:cs="Arial"/>
                <w:color w:val="000000"/>
                <w:sz w:val="16"/>
                <w:szCs w:val="16"/>
                <w:lang w:eastAsia="es-AR"/>
              </w:rPr>
            </w:pPr>
            <w:r w:rsidRPr="00642813">
              <w:rPr>
                <w:rFonts w:ascii="Arial" w:hAnsi="Arial" w:cs="Arial"/>
                <w:color w:val="000000"/>
                <w:sz w:val="16"/>
                <w:szCs w:val="16"/>
                <w:lang w:eastAsia="es-AR"/>
              </w:rPr>
              <w:t>Compromisos eventuales</w:t>
            </w:r>
          </w:p>
        </w:tc>
        <w:tc>
          <w:tcPr>
            <w:tcW w:w="1797" w:type="dxa"/>
            <w:tcBorders>
              <w:top w:val="nil"/>
              <w:left w:val="nil"/>
              <w:bottom w:val="nil"/>
              <w:right w:val="nil"/>
            </w:tcBorders>
            <w:shd w:val="clear" w:color="auto" w:fill="auto"/>
            <w:noWrap/>
            <w:vAlign w:val="bottom"/>
            <w:hideMark/>
          </w:tcPr>
          <w:p w14:paraId="1E31453F" w14:textId="619D1422"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367 </w:t>
            </w:r>
          </w:p>
        </w:tc>
        <w:tc>
          <w:tcPr>
            <w:tcW w:w="1650" w:type="dxa"/>
            <w:tcBorders>
              <w:top w:val="nil"/>
              <w:left w:val="nil"/>
              <w:bottom w:val="nil"/>
              <w:right w:val="nil"/>
            </w:tcBorders>
            <w:shd w:val="clear" w:color="auto" w:fill="auto"/>
            <w:noWrap/>
            <w:vAlign w:val="bottom"/>
            <w:hideMark/>
          </w:tcPr>
          <w:p w14:paraId="633A3E6D" w14:textId="2604C04A"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258" w:type="dxa"/>
            <w:tcBorders>
              <w:top w:val="nil"/>
              <w:left w:val="nil"/>
              <w:bottom w:val="nil"/>
              <w:right w:val="nil"/>
            </w:tcBorders>
            <w:shd w:val="clear" w:color="auto" w:fill="auto"/>
            <w:noWrap/>
            <w:vAlign w:val="bottom"/>
            <w:hideMark/>
          </w:tcPr>
          <w:p w14:paraId="4C79D2CF" w14:textId="18BC8000"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   </w:t>
            </w:r>
          </w:p>
        </w:tc>
        <w:tc>
          <w:tcPr>
            <w:tcW w:w="1650" w:type="dxa"/>
            <w:tcBorders>
              <w:top w:val="nil"/>
              <w:left w:val="nil"/>
              <w:bottom w:val="nil"/>
              <w:right w:val="nil"/>
            </w:tcBorders>
            <w:shd w:val="clear" w:color="auto" w:fill="auto"/>
            <w:noWrap/>
            <w:vAlign w:val="bottom"/>
            <w:hideMark/>
          </w:tcPr>
          <w:p w14:paraId="789928A9" w14:textId="66C34D04" w:rsidR="00D672C0" w:rsidRPr="00D672C0" w:rsidRDefault="00D672C0">
            <w:pPr>
              <w:jc w:val="right"/>
              <w:rPr>
                <w:rFonts w:ascii="Arial" w:hAnsi="Arial" w:cs="Arial"/>
                <w:color w:val="000000"/>
                <w:sz w:val="16"/>
                <w:szCs w:val="16"/>
                <w:lang w:eastAsia="es-AR"/>
              </w:rPr>
            </w:pPr>
            <w:r w:rsidRPr="002E1AF6">
              <w:rPr>
                <w:rFonts w:ascii="Arial" w:hAnsi="Arial" w:cs="Arial"/>
                <w:sz w:val="16"/>
                <w:szCs w:val="16"/>
              </w:rPr>
              <w:t xml:space="preserve"> 367 </w:t>
            </w:r>
          </w:p>
        </w:tc>
      </w:tr>
      <w:tr w:rsidR="00D672C0" w:rsidRPr="00642813" w14:paraId="72428384" w14:textId="77777777" w:rsidTr="002E1AF6">
        <w:trPr>
          <w:trHeight w:val="231"/>
        </w:trPr>
        <w:tc>
          <w:tcPr>
            <w:tcW w:w="3236" w:type="dxa"/>
            <w:tcBorders>
              <w:top w:val="single" w:sz="8" w:space="0" w:color="auto"/>
              <w:left w:val="nil"/>
              <w:bottom w:val="single" w:sz="8" w:space="0" w:color="auto"/>
              <w:right w:val="nil"/>
            </w:tcBorders>
            <w:shd w:val="clear" w:color="auto" w:fill="auto"/>
            <w:vAlign w:val="center"/>
            <w:hideMark/>
          </w:tcPr>
          <w:p w14:paraId="42781659" w14:textId="77777777" w:rsidR="00D672C0" w:rsidRPr="00642813" w:rsidRDefault="00D672C0" w:rsidP="00D672C0">
            <w:pPr>
              <w:jc w:val="center"/>
              <w:rPr>
                <w:rFonts w:ascii="Arial" w:hAnsi="Arial" w:cs="Arial"/>
                <w:b/>
                <w:bCs/>
                <w:color w:val="000000"/>
                <w:sz w:val="16"/>
                <w:szCs w:val="16"/>
                <w:lang w:eastAsia="es-AR"/>
              </w:rPr>
            </w:pPr>
            <w:r w:rsidRPr="00642813">
              <w:rPr>
                <w:rFonts w:ascii="Arial" w:hAnsi="Arial" w:cs="Arial"/>
                <w:b/>
                <w:bCs/>
                <w:color w:val="000000"/>
                <w:sz w:val="16"/>
                <w:szCs w:val="16"/>
                <w:lang w:eastAsia="es-AR"/>
              </w:rPr>
              <w:t>TOTAL DE PREVISIONES</w:t>
            </w:r>
          </w:p>
        </w:tc>
        <w:tc>
          <w:tcPr>
            <w:tcW w:w="1797" w:type="dxa"/>
            <w:tcBorders>
              <w:top w:val="single" w:sz="8" w:space="0" w:color="auto"/>
              <w:left w:val="nil"/>
              <w:bottom w:val="single" w:sz="8" w:space="0" w:color="auto"/>
              <w:right w:val="nil"/>
            </w:tcBorders>
            <w:shd w:val="clear" w:color="auto" w:fill="auto"/>
            <w:vAlign w:val="bottom"/>
            <w:hideMark/>
          </w:tcPr>
          <w:p w14:paraId="13FE27A8" w14:textId="45DD6A20" w:rsidR="00D672C0" w:rsidRPr="00D672C0" w:rsidRDefault="00D672C0">
            <w:pPr>
              <w:jc w:val="right"/>
              <w:rPr>
                <w:rFonts w:ascii="Arial" w:hAnsi="Arial" w:cs="Arial"/>
                <w:b/>
                <w:bCs/>
                <w:color w:val="000000"/>
                <w:sz w:val="16"/>
                <w:szCs w:val="16"/>
                <w:lang w:eastAsia="es-AR"/>
              </w:rPr>
            </w:pPr>
            <w:r w:rsidRPr="002E1AF6">
              <w:rPr>
                <w:rFonts w:ascii="Arial" w:hAnsi="Arial" w:cs="Arial"/>
                <w:b/>
                <w:sz w:val="16"/>
                <w:szCs w:val="16"/>
              </w:rPr>
              <w:t xml:space="preserve"> 5.089.107 </w:t>
            </w:r>
          </w:p>
        </w:tc>
        <w:tc>
          <w:tcPr>
            <w:tcW w:w="1650" w:type="dxa"/>
            <w:tcBorders>
              <w:top w:val="single" w:sz="8" w:space="0" w:color="auto"/>
              <w:left w:val="nil"/>
              <w:bottom w:val="single" w:sz="8" w:space="0" w:color="auto"/>
              <w:right w:val="nil"/>
            </w:tcBorders>
            <w:shd w:val="clear" w:color="auto" w:fill="auto"/>
            <w:vAlign w:val="bottom"/>
            <w:hideMark/>
          </w:tcPr>
          <w:p w14:paraId="18440AE9" w14:textId="781CC685" w:rsidR="00D672C0" w:rsidRPr="00D672C0" w:rsidRDefault="00D672C0">
            <w:pPr>
              <w:jc w:val="right"/>
              <w:rPr>
                <w:rFonts w:ascii="Arial" w:hAnsi="Arial" w:cs="Arial"/>
                <w:b/>
                <w:bCs/>
                <w:color w:val="000000"/>
                <w:sz w:val="16"/>
                <w:szCs w:val="16"/>
                <w:lang w:eastAsia="es-AR"/>
              </w:rPr>
            </w:pPr>
            <w:r w:rsidRPr="002E1AF6">
              <w:rPr>
                <w:rFonts w:ascii="Arial" w:hAnsi="Arial" w:cs="Arial"/>
                <w:b/>
                <w:sz w:val="16"/>
                <w:szCs w:val="16"/>
              </w:rPr>
              <w:t xml:space="preserve"> -   </w:t>
            </w:r>
          </w:p>
        </w:tc>
        <w:tc>
          <w:tcPr>
            <w:tcW w:w="1258" w:type="dxa"/>
            <w:tcBorders>
              <w:top w:val="single" w:sz="8" w:space="0" w:color="auto"/>
              <w:left w:val="nil"/>
              <w:bottom w:val="single" w:sz="8" w:space="0" w:color="auto"/>
              <w:right w:val="nil"/>
            </w:tcBorders>
            <w:shd w:val="clear" w:color="auto" w:fill="auto"/>
            <w:vAlign w:val="bottom"/>
            <w:hideMark/>
          </w:tcPr>
          <w:p w14:paraId="05634CF0" w14:textId="00CF5033" w:rsidR="00D672C0" w:rsidRPr="00D672C0" w:rsidRDefault="00D672C0">
            <w:pPr>
              <w:jc w:val="right"/>
              <w:rPr>
                <w:rFonts w:ascii="Arial" w:hAnsi="Arial" w:cs="Arial"/>
                <w:b/>
                <w:bCs/>
                <w:color w:val="000000"/>
                <w:sz w:val="16"/>
                <w:szCs w:val="16"/>
                <w:lang w:eastAsia="es-AR"/>
              </w:rPr>
            </w:pPr>
            <w:r>
              <w:rPr>
                <w:rFonts w:ascii="Arial" w:hAnsi="Arial" w:cs="Arial"/>
                <w:b/>
                <w:bCs/>
                <w:color w:val="000000"/>
                <w:sz w:val="16"/>
                <w:szCs w:val="16"/>
                <w:lang w:eastAsia="es-AR"/>
              </w:rPr>
              <w:t>-</w:t>
            </w:r>
          </w:p>
        </w:tc>
        <w:tc>
          <w:tcPr>
            <w:tcW w:w="1650" w:type="dxa"/>
            <w:tcBorders>
              <w:top w:val="single" w:sz="8" w:space="0" w:color="auto"/>
              <w:left w:val="nil"/>
              <w:bottom w:val="single" w:sz="8" w:space="0" w:color="auto"/>
              <w:right w:val="nil"/>
            </w:tcBorders>
            <w:shd w:val="clear" w:color="auto" w:fill="auto"/>
            <w:vAlign w:val="bottom"/>
            <w:hideMark/>
          </w:tcPr>
          <w:p w14:paraId="4D8B40D1" w14:textId="1D848AD8" w:rsidR="00D672C0" w:rsidRPr="00D672C0" w:rsidRDefault="00D672C0">
            <w:pPr>
              <w:jc w:val="right"/>
              <w:rPr>
                <w:rFonts w:ascii="Arial" w:hAnsi="Arial" w:cs="Arial"/>
                <w:b/>
                <w:bCs/>
                <w:color w:val="000000"/>
                <w:sz w:val="16"/>
                <w:szCs w:val="16"/>
                <w:lang w:eastAsia="es-AR"/>
              </w:rPr>
            </w:pPr>
            <w:r w:rsidRPr="002E1AF6">
              <w:rPr>
                <w:rFonts w:ascii="Arial" w:hAnsi="Arial" w:cs="Arial"/>
                <w:b/>
                <w:sz w:val="16"/>
                <w:szCs w:val="16"/>
              </w:rPr>
              <w:t xml:space="preserve"> 5.089.107 </w:t>
            </w:r>
          </w:p>
        </w:tc>
      </w:tr>
    </w:tbl>
    <w:p w14:paraId="0DB8A6A7" w14:textId="3EA90A42" w:rsidR="0097126F" w:rsidRDefault="0097126F" w:rsidP="0097126F">
      <w:pPr>
        <w:pStyle w:val="ListParagraph"/>
        <w:autoSpaceDE w:val="0"/>
        <w:autoSpaceDN w:val="0"/>
        <w:adjustRightInd w:val="0"/>
        <w:ind w:left="360"/>
        <w:jc w:val="both"/>
        <w:rPr>
          <w:rFonts w:ascii="Arial" w:hAnsi="Arial" w:cs="Arial"/>
          <w:b/>
          <w:sz w:val="20"/>
          <w:lang w:val="es-ES_tradnl"/>
        </w:rPr>
      </w:pPr>
    </w:p>
    <w:p w14:paraId="6498D2DF" w14:textId="02BC73E3" w:rsidR="00264F4C" w:rsidRDefault="00264F4C" w:rsidP="00264F4C">
      <w:pPr>
        <w:pStyle w:val="ListParagraph"/>
        <w:spacing w:line="240" w:lineRule="exact"/>
        <w:ind w:left="0"/>
        <w:jc w:val="both"/>
        <w:outlineLvl w:val="0"/>
        <w:rPr>
          <w:rFonts w:ascii="Arial" w:hAnsi="Arial" w:cs="Arial"/>
          <w:bCs/>
          <w:sz w:val="20"/>
          <w:lang w:val="es-ES_tradnl"/>
        </w:rPr>
      </w:pPr>
      <w:r w:rsidRPr="00F9058F">
        <w:rPr>
          <w:rFonts w:ascii="Arial" w:hAnsi="Arial" w:cs="Arial"/>
          <w:bCs/>
          <w:sz w:val="20"/>
          <w:lang w:val="es-ES_tradnl"/>
        </w:rPr>
        <w:t>En la Nota 1.2 se incluye mayor detalle sobre la determinación de la previsión por riesgo de crédito bajo el modelo de pérdidas crediticias esperadas de NIIF 9 con el alcance establecido por el B.C.R.A.</w:t>
      </w:r>
      <w:r w:rsidR="00111E5A">
        <w:rPr>
          <w:rFonts w:ascii="Arial" w:hAnsi="Arial" w:cs="Arial"/>
          <w:bCs/>
          <w:sz w:val="20"/>
          <w:lang w:val="es-ES_tradnl"/>
        </w:rPr>
        <w:t>.</w:t>
      </w:r>
    </w:p>
    <w:p w14:paraId="042E21DE" w14:textId="77777777" w:rsidR="00111E5A" w:rsidRPr="00BA7A6B" w:rsidRDefault="00111E5A" w:rsidP="00264F4C">
      <w:pPr>
        <w:pStyle w:val="ListParagraph"/>
        <w:spacing w:line="240" w:lineRule="exact"/>
        <w:ind w:left="0"/>
        <w:jc w:val="both"/>
        <w:outlineLvl w:val="0"/>
        <w:rPr>
          <w:rFonts w:ascii="Arial" w:hAnsi="Arial" w:cs="Arial"/>
          <w:bCs/>
          <w:sz w:val="20"/>
          <w:lang w:val="es-ES_tradnl"/>
        </w:rPr>
      </w:pPr>
    </w:p>
    <w:p w14:paraId="55DE9080" w14:textId="77777777" w:rsidR="00264F4C" w:rsidRPr="00BA7A6B" w:rsidRDefault="00264F4C" w:rsidP="00264F4C">
      <w:pPr>
        <w:pStyle w:val="ListParagraph"/>
        <w:autoSpaceDE w:val="0"/>
        <w:autoSpaceDN w:val="0"/>
        <w:adjustRightInd w:val="0"/>
        <w:ind w:left="360"/>
        <w:jc w:val="both"/>
        <w:rPr>
          <w:rFonts w:ascii="Arial" w:hAnsi="Arial" w:cs="Arial"/>
          <w:b/>
          <w:sz w:val="20"/>
          <w:lang w:val="es-ES_tradnl"/>
        </w:rPr>
      </w:pPr>
    </w:p>
    <w:p w14:paraId="565A5005" w14:textId="68F66088" w:rsidR="00264F4C" w:rsidRPr="002E1AF6" w:rsidRDefault="00264F4C" w:rsidP="002E1AF6">
      <w:pPr>
        <w:pStyle w:val="ListParagraph"/>
        <w:numPr>
          <w:ilvl w:val="0"/>
          <w:numId w:val="73"/>
        </w:numPr>
        <w:spacing w:after="160" w:line="259" w:lineRule="auto"/>
        <w:contextualSpacing/>
        <w:jc w:val="both"/>
        <w:rPr>
          <w:rFonts w:ascii="Arial" w:hAnsi="Arial" w:cs="Arial"/>
          <w:b/>
          <w:sz w:val="20"/>
        </w:rPr>
      </w:pPr>
      <w:r w:rsidRPr="002E1AF6">
        <w:rPr>
          <w:rFonts w:ascii="Arial" w:hAnsi="Arial" w:cs="Arial"/>
          <w:b/>
          <w:sz w:val="20"/>
        </w:rPr>
        <w:t xml:space="preserve"> Reexpresión por inflación de los estados financieros</w:t>
      </w:r>
    </w:p>
    <w:p w14:paraId="61BCC1A1" w14:textId="77777777" w:rsidR="00264F4C" w:rsidRPr="00BA7A6B" w:rsidRDefault="00264F4C" w:rsidP="00264F4C">
      <w:pPr>
        <w:spacing w:after="160" w:line="259" w:lineRule="auto"/>
        <w:ind w:left="426"/>
        <w:contextualSpacing/>
        <w:jc w:val="both"/>
        <w:rPr>
          <w:rFonts w:ascii="Arial" w:hAnsi="Arial" w:cs="Arial"/>
          <w:b/>
          <w:sz w:val="20"/>
        </w:rPr>
      </w:pPr>
    </w:p>
    <w:p w14:paraId="215D3A52" w14:textId="77777777" w:rsidR="00264F4C" w:rsidRPr="00894662" w:rsidRDefault="00264F4C" w:rsidP="00264F4C">
      <w:pPr>
        <w:spacing w:after="160" w:line="259" w:lineRule="auto"/>
        <w:contextualSpacing/>
        <w:jc w:val="both"/>
        <w:rPr>
          <w:rFonts w:ascii="Arial" w:hAnsi="Arial" w:cs="Arial"/>
          <w:bCs/>
          <w:sz w:val="20"/>
          <w:lang w:val="es-ES_tradnl"/>
        </w:rPr>
      </w:pPr>
      <w:r w:rsidRPr="00894662">
        <w:rPr>
          <w:rFonts w:ascii="Arial" w:hAnsi="Arial" w:cs="Arial"/>
          <w:bCs/>
          <w:sz w:val="20"/>
          <w:lang w:val="es-ES_tradnl"/>
        </w:rPr>
        <w:t xml:space="preserve">La NIC 29 “Información financiera en economías hiperinflacionarias” requiere que los estados financieros de una entidad, cuya moneda funcional sea la de una economía de hiperinflacionaria, se expresen en términos de la unidad de medida corriente a la fecha de cierre del ejercicio sobre el que se informa, independientemente de si están basados en el método del costo histórico o en el método del costo corriente. Para ello, en términos generales, se debe computar en las </w:t>
      </w:r>
      <w:r w:rsidRPr="00894662">
        <w:rPr>
          <w:rFonts w:ascii="Arial" w:hAnsi="Arial" w:cs="Arial"/>
          <w:bCs/>
          <w:sz w:val="20"/>
          <w:lang w:val="es-ES_tradnl"/>
        </w:rPr>
        <w:lastRenderedPageBreak/>
        <w:t>partidas no monetarias la inflación producida desde la fecha de adquisición o desde la fecha de revaluación según corresponda. Dichos requerimientos también comprenden a la información comparativa de los estados financieros.</w:t>
      </w:r>
    </w:p>
    <w:p w14:paraId="109326CC" w14:textId="77777777" w:rsidR="00264F4C" w:rsidRPr="00894662" w:rsidRDefault="00264F4C" w:rsidP="00264F4C">
      <w:pPr>
        <w:spacing w:after="160" w:line="259" w:lineRule="auto"/>
        <w:ind w:left="426"/>
        <w:contextualSpacing/>
        <w:jc w:val="both"/>
        <w:rPr>
          <w:rFonts w:ascii="Arial" w:hAnsi="Arial" w:cs="Arial"/>
          <w:bCs/>
          <w:sz w:val="20"/>
          <w:lang w:val="es-ES_tradnl"/>
        </w:rPr>
      </w:pPr>
    </w:p>
    <w:p w14:paraId="78440CC3" w14:textId="77777777" w:rsidR="00264F4C" w:rsidRPr="00894662" w:rsidRDefault="00264F4C" w:rsidP="00264F4C">
      <w:pPr>
        <w:spacing w:after="160" w:line="259" w:lineRule="auto"/>
        <w:contextualSpacing/>
        <w:jc w:val="both"/>
        <w:rPr>
          <w:rFonts w:ascii="Arial" w:hAnsi="Arial" w:cs="Arial"/>
          <w:bCs/>
          <w:sz w:val="20"/>
          <w:lang w:val="es-ES_tradnl"/>
        </w:rPr>
      </w:pPr>
      <w:r w:rsidRPr="00894662">
        <w:rPr>
          <w:rFonts w:ascii="Arial" w:hAnsi="Arial" w:cs="Arial"/>
          <w:bCs/>
          <w:sz w:val="20"/>
          <w:lang w:val="es-ES_tradnl"/>
        </w:rPr>
        <w:t>A los efectos de concluir sobre si una economía es categorizada como hiperinflacionaria en los términos de la NIC 29, la norma detalla una serie de factores a considerar entre los que se incluye una tasa acumulada de inflación en tres años que se aproxime o exceda el 100%. Es por esta razón que, de acuerdo con la NIC 29, la economía argentina debe ser considerada como de alta inflación a partir del 1° de julio de 2018.</w:t>
      </w:r>
    </w:p>
    <w:p w14:paraId="65AA9EEE" w14:textId="77777777" w:rsidR="00264F4C" w:rsidRPr="00894662" w:rsidRDefault="00264F4C" w:rsidP="00264F4C">
      <w:pPr>
        <w:spacing w:after="160" w:line="259" w:lineRule="auto"/>
        <w:ind w:left="426"/>
        <w:contextualSpacing/>
        <w:jc w:val="both"/>
        <w:rPr>
          <w:rFonts w:ascii="Arial" w:hAnsi="Arial" w:cs="Arial"/>
          <w:bCs/>
          <w:sz w:val="20"/>
          <w:lang w:val="es-ES_tradnl"/>
        </w:rPr>
      </w:pPr>
    </w:p>
    <w:p w14:paraId="5DA007AC" w14:textId="77777777" w:rsidR="00264F4C" w:rsidRPr="00894662" w:rsidRDefault="00264F4C" w:rsidP="00264F4C">
      <w:pPr>
        <w:spacing w:after="160" w:line="259" w:lineRule="auto"/>
        <w:contextualSpacing/>
        <w:jc w:val="both"/>
        <w:rPr>
          <w:rFonts w:ascii="Arial" w:hAnsi="Arial" w:cs="Arial"/>
          <w:bCs/>
          <w:sz w:val="20"/>
          <w:lang w:val="es-ES_tradnl"/>
        </w:rPr>
      </w:pPr>
      <w:r w:rsidRPr="00894662">
        <w:rPr>
          <w:rFonts w:ascii="Arial" w:hAnsi="Arial" w:cs="Arial"/>
          <w:bCs/>
          <w:sz w:val="20"/>
          <w:lang w:val="es-ES_tradnl"/>
        </w:rPr>
        <w:t xml:space="preserve">Resumidamente, el mecanismo de reexpresión de la NIC 29 establece que los activos y pasivos monetarios no son reexpresados dado que ya se encuentran expresados en la unidad de medida corriente al cierre del ejercicio/período sobre el que se informa. Los activos y pasivos sujetos a ajustes en función a acuerdos específicos se ajustarán en función a tales acuerdos. Las partidas no monetarias medidas a sus valores corrientes al final del período/ejercicio sobre el que se informa, tales como el valor neto de realización u otros, son reexpresadas. Los restantes activos y pasivos no monetarios son reexpresados por un índice general de precios. La pérdida o ganancia por la posición monetaria neta, se incluye en el resultado neto del período/ejercicio que se informa, revelando esta información en una partida separada. </w:t>
      </w:r>
    </w:p>
    <w:p w14:paraId="5F532AF2" w14:textId="77777777" w:rsidR="00264F4C" w:rsidRPr="00894662" w:rsidRDefault="00264F4C" w:rsidP="00264F4C">
      <w:pPr>
        <w:spacing w:after="160" w:line="259" w:lineRule="auto"/>
        <w:ind w:left="426"/>
        <w:contextualSpacing/>
        <w:jc w:val="both"/>
        <w:rPr>
          <w:rFonts w:ascii="Arial" w:hAnsi="Arial" w:cs="Arial"/>
          <w:bCs/>
          <w:sz w:val="20"/>
          <w:lang w:val="es-ES_tradnl"/>
        </w:rPr>
      </w:pPr>
    </w:p>
    <w:p w14:paraId="14A38179" w14:textId="77777777" w:rsidR="00264F4C" w:rsidRPr="00BA7A6B" w:rsidRDefault="00264F4C" w:rsidP="00264F4C">
      <w:pPr>
        <w:jc w:val="both"/>
        <w:rPr>
          <w:rFonts w:ascii="Arial" w:hAnsi="Arial" w:cs="Arial"/>
          <w:bCs/>
          <w:sz w:val="20"/>
          <w:lang w:val="es-ES_tradnl"/>
        </w:rPr>
      </w:pPr>
      <w:r w:rsidRPr="00894662">
        <w:rPr>
          <w:rFonts w:ascii="Arial" w:hAnsi="Arial" w:cs="Arial"/>
          <w:bCs/>
          <w:sz w:val="20"/>
          <w:lang w:val="es-ES_tradnl"/>
        </w:rPr>
        <w:t>Con fecha 22 de febrero de 2019, el B.C.R.A. emitió la Comunicación “A” 6651 a través de la cual dispuso que a partir del 1 de enero de 2020, los estados financieros se confeccionan en moneda constante. En este sentido, a través de la Comunicación “A” 6849 el B.C.R.A. establece que la frecuencia de reexpresión de la información contable en moneda homogénea es mensual, y el índice utilizado a tales efectos es el índice de Precios al Consumidor Nacional (I.P.C.) elaborado por el INDEC (mes base: diciembre 2016) y para aquellas partidas con fecha de origen anterior, se utiliza el IPIM publicado por la FACPCE, tal como lo establece la Resolución JG 517/16. Asimismo, aclara que la fecha de transición, a efectos de la aplicación retroactiva es el 1 de enero de 2019.</w:t>
      </w:r>
    </w:p>
    <w:p w14:paraId="5FAAC696" w14:textId="77777777" w:rsidR="00264F4C" w:rsidRDefault="00264F4C" w:rsidP="00264F4C">
      <w:pPr>
        <w:pStyle w:val="ListParagraph"/>
        <w:tabs>
          <w:tab w:val="left" w:pos="747"/>
        </w:tabs>
        <w:autoSpaceDE w:val="0"/>
        <w:autoSpaceDN w:val="0"/>
        <w:adjustRightInd w:val="0"/>
        <w:ind w:left="360"/>
        <w:jc w:val="both"/>
        <w:rPr>
          <w:rFonts w:ascii="Arial" w:hAnsi="Arial" w:cs="Arial"/>
          <w:b/>
          <w:sz w:val="20"/>
        </w:rPr>
      </w:pPr>
    </w:p>
    <w:p w14:paraId="35915B35" w14:textId="77777777" w:rsidR="00264F4C" w:rsidRDefault="00264F4C" w:rsidP="002E1AF6">
      <w:pPr>
        <w:pStyle w:val="ListParagraph"/>
        <w:numPr>
          <w:ilvl w:val="0"/>
          <w:numId w:val="73"/>
        </w:numPr>
        <w:spacing w:after="160" w:line="259" w:lineRule="auto"/>
        <w:contextualSpacing/>
        <w:jc w:val="both"/>
        <w:rPr>
          <w:rFonts w:ascii="Arial" w:hAnsi="Arial" w:cs="Arial"/>
          <w:b/>
          <w:sz w:val="20"/>
        </w:rPr>
      </w:pPr>
      <w:r>
        <w:rPr>
          <w:rFonts w:ascii="Arial" w:hAnsi="Arial" w:cs="Arial"/>
          <w:b/>
          <w:sz w:val="20"/>
        </w:rPr>
        <w:t xml:space="preserve"> </w:t>
      </w:r>
      <w:r w:rsidRPr="004E486E">
        <w:rPr>
          <w:rFonts w:ascii="Arial" w:hAnsi="Arial" w:cs="Arial"/>
          <w:b/>
          <w:sz w:val="20"/>
        </w:rPr>
        <w:t>Otras modificaciones al Marco Contable establecido por el BCRA</w:t>
      </w:r>
    </w:p>
    <w:p w14:paraId="2464DD9E" w14:textId="77777777" w:rsidR="00264F4C" w:rsidRDefault="00264F4C" w:rsidP="00264F4C">
      <w:pPr>
        <w:autoSpaceDE w:val="0"/>
        <w:autoSpaceDN w:val="0"/>
        <w:adjustRightInd w:val="0"/>
        <w:jc w:val="both"/>
        <w:rPr>
          <w:rFonts w:ascii="Arial" w:hAnsi="Arial" w:cs="Arial"/>
          <w:b/>
          <w:sz w:val="20"/>
        </w:rPr>
      </w:pPr>
    </w:p>
    <w:p w14:paraId="4C96B650" w14:textId="77777777" w:rsidR="00264F4C" w:rsidRDefault="00264F4C" w:rsidP="00264F4C">
      <w:pPr>
        <w:autoSpaceDE w:val="0"/>
        <w:autoSpaceDN w:val="0"/>
        <w:adjustRightInd w:val="0"/>
        <w:jc w:val="both"/>
        <w:rPr>
          <w:rFonts w:ascii="Arial" w:hAnsi="Arial" w:cs="Arial"/>
          <w:sz w:val="20"/>
          <w:highlight w:val="cyan"/>
        </w:rPr>
      </w:pPr>
      <w:r w:rsidRPr="005E785A">
        <w:rPr>
          <w:rFonts w:ascii="Arial" w:hAnsi="Arial" w:cs="Arial"/>
          <w:sz w:val="20"/>
        </w:rPr>
        <w:t xml:space="preserve">Mediante la Comunicación “A” 6847, el BCRA dispuso que permitirá que al 1 de enero de 2020, las Entidades Financieras recategoricen los instrumentos financieros correspondientes al sector público no financiero que se encuentren medidos a valor razonable con cambio en resultados y a valor razonable con cambios en ORI al criterio de costo amortizado, utilizando como valor de incorporación el valor contable a dicha fecha. </w:t>
      </w:r>
      <w:r>
        <w:rPr>
          <w:rFonts w:ascii="Arial" w:hAnsi="Arial" w:cs="Arial"/>
          <w:sz w:val="20"/>
        </w:rPr>
        <w:t xml:space="preserve">De haberse medido, </w:t>
      </w:r>
      <w:r w:rsidRPr="005E785A">
        <w:rPr>
          <w:rFonts w:ascii="Arial" w:hAnsi="Arial" w:cs="Arial"/>
          <w:sz w:val="20"/>
        </w:rPr>
        <w:t>los instrumentos financieros antes mencionados</w:t>
      </w:r>
      <w:r>
        <w:rPr>
          <w:rFonts w:ascii="Arial" w:hAnsi="Arial" w:cs="Arial"/>
          <w:sz w:val="20"/>
        </w:rPr>
        <w:t>,</w:t>
      </w:r>
      <w:r w:rsidRPr="005E785A">
        <w:rPr>
          <w:rFonts w:ascii="Arial" w:hAnsi="Arial" w:cs="Arial"/>
          <w:sz w:val="20"/>
        </w:rPr>
        <w:t xml:space="preserve"> a su valor razonable al 31</w:t>
      </w:r>
      <w:r>
        <w:rPr>
          <w:rFonts w:ascii="Arial" w:hAnsi="Arial" w:cs="Arial"/>
          <w:sz w:val="20"/>
        </w:rPr>
        <w:t xml:space="preserve"> de marzo de 2020</w:t>
      </w:r>
      <w:r w:rsidRPr="005E785A">
        <w:rPr>
          <w:rFonts w:ascii="Arial" w:hAnsi="Arial" w:cs="Arial"/>
          <w:sz w:val="20"/>
        </w:rPr>
        <w:t xml:space="preserve"> se </w:t>
      </w:r>
      <w:r>
        <w:rPr>
          <w:rFonts w:ascii="Arial" w:hAnsi="Arial" w:cs="Arial"/>
          <w:sz w:val="20"/>
        </w:rPr>
        <w:t>habría generado</w:t>
      </w:r>
      <w:r w:rsidRPr="005E785A">
        <w:rPr>
          <w:rFonts w:ascii="Arial" w:hAnsi="Arial" w:cs="Arial"/>
          <w:sz w:val="20"/>
        </w:rPr>
        <w:t xml:space="preserve"> una disminución en el patrimonio neto y los resultados del período de aproximadamente 431</w:t>
      </w:r>
      <w:r>
        <w:rPr>
          <w:rFonts w:ascii="Arial" w:hAnsi="Arial" w:cs="Arial"/>
          <w:sz w:val="20"/>
        </w:rPr>
        <w:t xml:space="preserve"> millones</w:t>
      </w:r>
      <w:r w:rsidRPr="005E785A">
        <w:rPr>
          <w:rFonts w:ascii="Arial" w:hAnsi="Arial" w:cs="Arial"/>
          <w:sz w:val="20"/>
        </w:rPr>
        <w:t>.</w:t>
      </w:r>
    </w:p>
    <w:p w14:paraId="4CDCF294" w14:textId="6D30D56E" w:rsidR="00264F4C" w:rsidRDefault="00264F4C" w:rsidP="00264F4C">
      <w:pPr>
        <w:autoSpaceDE w:val="0"/>
        <w:autoSpaceDN w:val="0"/>
        <w:adjustRightInd w:val="0"/>
        <w:jc w:val="both"/>
        <w:rPr>
          <w:rFonts w:ascii="Arial" w:hAnsi="Arial" w:cs="Arial"/>
          <w:sz w:val="20"/>
        </w:rPr>
      </w:pPr>
    </w:p>
    <w:p w14:paraId="0578D407" w14:textId="076AB5C9" w:rsidR="00F10EED" w:rsidRDefault="00F10EED" w:rsidP="00264F4C">
      <w:pPr>
        <w:autoSpaceDE w:val="0"/>
        <w:autoSpaceDN w:val="0"/>
        <w:adjustRightInd w:val="0"/>
        <w:jc w:val="both"/>
        <w:rPr>
          <w:rFonts w:ascii="Arial" w:hAnsi="Arial" w:cs="Arial"/>
          <w:sz w:val="20"/>
        </w:rPr>
      </w:pPr>
    </w:p>
    <w:p w14:paraId="23CC9E10" w14:textId="7BD88E92" w:rsidR="00F10EED" w:rsidRDefault="00F10EED" w:rsidP="00264F4C">
      <w:pPr>
        <w:autoSpaceDE w:val="0"/>
        <w:autoSpaceDN w:val="0"/>
        <w:adjustRightInd w:val="0"/>
        <w:jc w:val="both"/>
        <w:rPr>
          <w:rFonts w:ascii="Arial" w:hAnsi="Arial" w:cs="Arial"/>
          <w:sz w:val="20"/>
        </w:rPr>
      </w:pPr>
    </w:p>
    <w:p w14:paraId="3DE2712C" w14:textId="331C81D2" w:rsidR="00F10EED" w:rsidRDefault="00F10EED" w:rsidP="00264F4C">
      <w:pPr>
        <w:autoSpaceDE w:val="0"/>
        <w:autoSpaceDN w:val="0"/>
        <w:adjustRightInd w:val="0"/>
        <w:jc w:val="both"/>
        <w:rPr>
          <w:rFonts w:ascii="Arial" w:hAnsi="Arial" w:cs="Arial"/>
          <w:sz w:val="20"/>
        </w:rPr>
      </w:pPr>
    </w:p>
    <w:p w14:paraId="67AD3126" w14:textId="77777777" w:rsidR="00F10EED" w:rsidRDefault="00F10EED" w:rsidP="00264F4C">
      <w:pPr>
        <w:autoSpaceDE w:val="0"/>
        <w:autoSpaceDN w:val="0"/>
        <w:adjustRightInd w:val="0"/>
        <w:jc w:val="both"/>
        <w:rPr>
          <w:rFonts w:ascii="Arial" w:hAnsi="Arial" w:cs="Arial"/>
          <w:sz w:val="20"/>
        </w:rPr>
      </w:pPr>
    </w:p>
    <w:p w14:paraId="5352F799" w14:textId="77777777" w:rsidR="00264F4C" w:rsidRPr="00BA7A6B" w:rsidRDefault="00264F4C" w:rsidP="002E1AF6">
      <w:pPr>
        <w:pStyle w:val="ListParagraph"/>
        <w:numPr>
          <w:ilvl w:val="0"/>
          <w:numId w:val="73"/>
        </w:numPr>
        <w:spacing w:after="160" w:line="259" w:lineRule="auto"/>
        <w:contextualSpacing/>
        <w:jc w:val="both"/>
        <w:rPr>
          <w:rFonts w:ascii="Arial" w:hAnsi="Arial" w:cs="Arial"/>
          <w:b/>
          <w:sz w:val="20"/>
        </w:rPr>
      </w:pPr>
      <w:r w:rsidRPr="00BA7A6B">
        <w:rPr>
          <w:rFonts w:ascii="Arial" w:hAnsi="Arial" w:cs="Arial"/>
          <w:b/>
          <w:sz w:val="20"/>
        </w:rPr>
        <w:lastRenderedPageBreak/>
        <w:t xml:space="preserve"> </w:t>
      </w:r>
      <w:r w:rsidRPr="004E486E">
        <w:rPr>
          <w:rFonts w:ascii="Arial" w:hAnsi="Arial" w:cs="Arial"/>
          <w:b/>
          <w:sz w:val="20"/>
        </w:rPr>
        <w:t>Definición de un negocio - Modificaciones a la NIIF 3</w:t>
      </w:r>
    </w:p>
    <w:p w14:paraId="30F18EA3" w14:textId="77777777" w:rsidR="00264F4C" w:rsidRDefault="00264F4C" w:rsidP="00264F4C">
      <w:pPr>
        <w:autoSpaceDE w:val="0"/>
        <w:autoSpaceDN w:val="0"/>
        <w:adjustRightInd w:val="0"/>
        <w:jc w:val="both"/>
        <w:rPr>
          <w:rFonts w:ascii="Arial" w:hAnsi="Arial" w:cs="Arial"/>
          <w:sz w:val="20"/>
        </w:rPr>
      </w:pPr>
    </w:p>
    <w:p w14:paraId="3DF9C5D4" w14:textId="77777777" w:rsidR="00264F4C" w:rsidRDefault="00264F4C" w:rsidP="00264F4C">
      <w:pPr>
        <w:jc w:val="both"/>
        <w:rPr>
          <w:rFonts w:ascii="Arial" w:hAnsi="Arial" w:cs="Arial"/>
          <w:sz w:val="20"/>
        </w:rPr>
      </w:pPr>
      <w:r w:rsidRPr="00BA7A6B">
        <w:rPr>
          <w:rFonts w:ascii="Arial" w:hAnsi="Arial" w:cs="Arial"/>
          <w:sz w:val="20"/>
        </w:rPr>
        <w:t>El 22 de octubre de 2018 IASB publicó modificaciones, las cuales aclaran la definición de negocio, con el objetivo de ayudar a las entidades a determinar si una transacción debe contabilizarse como una combinación de negocios o como la adquisición de un activo. Las modificaciones incluidas son las siguientes:</w:t>
      </w:r>
    </w:p>
    <w:p w14:paraId="32271BDA" w14:textId="77777777" w:rsidR="00264F4C" w:rsidRPr="00BA7A6B" w:rsidRDefault="00264F4C" w:rsidP="00264F4C">
      <w:pPr>
        <w:jc w:val="both"/>
        <w:rPr>
          <w:rFonts w:ascii="Arial" w:hAnsi="Arial" w:cs="Arial"/>
          <w:sz w:val="20"/>
        </w:rPr>
      </w:pPr>
    </w:p>
    <w:p w14:paraId="216438C3" w14:textId="77777777" w:rsidR="00264F4C" w:rsidRPr="00BA7A6B" w:rsidRDefault="00264F4C" w:rsidP="00264F4C">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aclaran que, para ser considerado un negocio, un conjunto adquirido de actividades y activos debe incluir, como mínimo, un insumo y un proceso sustantivo que juntos contribuyen de forma significativa a la capacidad de elaborar productos; </w:t>
      </w:r>
    </w:p>
    <w:p w14:paraId="1CE25E05" w14:textId="77777777" w:rsidR="00264F4C" w:rsidRPr="00BA7A6B" w:rsidRDefault="00264F4C" w:rsidP="00264F4C">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eliminan la evaluación de si los participantes del mercado pueden sustituir los procesos o insumos que faltan y continuar con la producción de productos; </w:t>
      </w:r>
    </w:p>
    <w:p w14:paraId="333D9CBD" w14:textId="77777777" w:rsidR="00264F4C" w:rsidRPr="00BA7A6B" w:rsidRDefault="00264F4C" w:rsidP="00264F4C">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añaden guías y ejemplos ilustrativos para ayudar a las entidades a evaluar si se ha adquirido un proceso sustancial; </w:t>
      </w:r>
    </w:p>
    <w:p w14:paraId="5DB2DDF8" w14:textId="77777777" w:rsidR="00264F4C" w:rsidRPr="00BA7A6B" w:rsidRDefault="00264F4C" w:rsidP="00264F4C">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restringen las definiciones de un negocio o de productos centrándose en bienes y servicios proporcionados a los clientes y eliminan la referencia a la capacidad de reducir costos; y </w:t>
      </w:r>
    </w:p>
    <w:p w14:paraId="31FA4EBB" w14:textId="77777777" w:rsidR="00264F4C" w:rsidRPr="00BA7A6B" w:rsidRDefault="00264F4C" w:rsidP="00264F4C">
      <w:pPr>
        <w:pStyle w:val="ListParagraph"/>
        <w:numPr>
          <w:ilvl w:val="0"/>
          <w:numId w:val="51"/>
        </w:numPr>
        <w:autoSpaceDE w:val="0"/>
        <w:autoSpaceDN w:val="0"/>
        <w:adjustRightInd w:val="0"/>
        <w:contextualSpacing/>
        <w:jc w:val="both"/>
        <w:rPr>
          <w:rFonts w:ascii="Arial" w:hAnsi="Arial" w:cs="Arial"/>
          <w:bCs/>
          <w:sz w:val="20"/>
          <w:lang w:val="es-ES_tradnl"/>
        </w:rPr>
      </w:pPr>
      <w:r w:rsidRPr="00BA7A6B">
        <w:rPr>
          <w:rFonts w:ascii="Arial" w:hAnsi="Arial" w:cs="Arial"/>
          <w:bCs/>
          <w:sz w:val="20"/>
          <w:lang w:val="es-ES_tradnl"/>
        </w:rPr>
        <w:t xml:space="preserve">añaden una prueba de concentración opcional que permite una evaluación simplificada de si un conjunto de actividades y negocios adquiridos no es un negocio. </w:t>
      </w:r>
    </w:p>
    <w:p w14:paraId="6AAB3B64" w14:textId="77777777" w:rsidR="00264F4C" w:rsidRPr="00BA7A6B" w:rsidRDefault="00264F4C" w:rsidP="00264F4C">
      <w:pPr>
        <w:ind w:left="1306"/>
        <w:jc w:val="both"/>
        <w:rPr>
          <w:rFonts w:ascii="Arial" w:hAnsi="Arial" w:cs="Arial"/>
          <w:sz w:val="20"/>
        </w:rPr>
      </w:pPr>
    </w:p>
    <w:p w14:paraId="461254E7" w14:textId="77777777" w:rsidR="00264F4C" w:rsidRDefault="00264F4C" w:rsidP="00264F4C">
      <w:pPr>
        <w:jc w:val="both"/>
        <w:rPr>
          <w:rFonts w:ascii="Arial" w:hAnsi="Arial" w:cs="Arial"/>
          <w:sz w:val="20"/>
        </w:rPr>
      </w:pPr>
      <w:r w:rsidRPr="00BA7A6B">
        <w:rPr>
          <w:rFonts w:ascii="Arial" w:hAnsi="Arial" w:cs="Arial"/>
          <w:sz w:val="20"/>
        </w:rPr>
        <w:t xml:space="preserve">Se requiere que las entidades apliquen las modificaciones a transacciones cuya fecha de adquisición sea a partir del comienzo del primer período anual sobre el que se informa que comenzaron a partir del 1 de enero de 2020. </w:t>
      </w:r>
    </w:p>
    <w:p w14:paraId="484FF922" w14:textId="77777777" w:rsidR="00264F4C" w:rsidRDefault="00264F4C" w:rsidP="00264F4C">
      <w:pPr>
        <w:jc w:val="both"/>
        <w:rPr>
          <w:rFonts w:ascii="Arial" w:hAnsi="Arial" w:cs="Arial"/>
          <w:sz w:val="20"/>
        </w:rPr>
      </w:pPr>
    </w:p>
    <w:p w14:paraId="3F1577AD" w14:textId="77777777" w:rsidR="00264F4C" w:rsidRDefault="00264F4C" w:rsidP="00264F4C">
      <w:pPr>
        <w:jc w:val="both"/>
        <w:rPr>
          <w:rFonts w:ascii="Arial" w:hAnsi="Arial" w:cs="Arial"/>
          <w:sz w:val="20"/>
        </w:rPr>
      </w:pPr>
      <w:r w:rsidRPr="00BA7A6B">
        <w:rPr>
          <w:rFonts w:ascii="Arial" w:hAnsi="Arial" w:cs="Arial"/>
          <w:sz w:val="20"/>
        </w:rPr>
        <w:t>La Entidad no ve inicialmente un efecto mientras no se realice una combinación de negocios.</w:t>
      </w:r>
    </w:p>
    <w:p w14:paraId="359CF806" w14:textId="77777777" w:rsidR="00264F4C" w:rsidRPr="00642813" w:rsidRDefault="00264F4C" w:rsidP="00264F4C">
      <w:pPr>
        <w:jc w:val="both"/>
        <w:rPr>
          <w:rFonts w:ascii="Arial" w:hAnsi="Arial" w:cs="Arial"/>
          <w:sz w:val="22"/>
        </w:rPr>
      </w:pPr>
    </w:p>
    <w:p w14:paraId="61E3BF4A" w14:textId="567DB59D" w:rsidR="00264F4C" w:rsidRPr="00642813" w:rsidRDefault="00264F4C" w:rsidP="002E1AF6">
      <w:pPr>
        <w:pStyle w:val="ListParagraph"/>
        <w:numPr>
          <w:ilvl w:val="0"/>
          <w:numId w:val="73"/>
        </w:numPr>
        <w:spacing w:after="160" w:line="259" w:lineRule="auto"/>
        <w:contextualSpacing/>
        <w:jc w:val="both"/>
        <w:rPr>
          <w:rFonts w:ascii="Arial" w:hAnsi="Arial" w:cs="Arial"/>
          <w:b/>
          <w:sz w:val="20"/>
        </w:rPr>
      </w:pPr>
      <w:r w:rsidRPr="00642813">
        <w:rPr>
          <w:rFonts w:ascii="Arial" w:hAnsi="Arial" w:cs="Arial"/>
          <w:b/>
          <w:sz w:val="22"/>
        </w:rPr>
        <w:t xml:space="preserve"> </w:t>
      </w:r>
      <w:r w:rsidRPr="00642813">
        <w:rPr>
          <w:rFonts w:ascii="Arial" w:hAnsi="Arial" w:cs="Arial"/>
          <w:b/>
          <w:sz w:val="20"/>
        </w:rPr>
        <w:t>Definición de material o c</w:t>
      </w:r>
      <w:r w:rsidR="0091213D">
        <w:rPr>
          <w:rFonts w:ascii="Arial" w:hAnsi="Arial" w:cs="Arial"/>
          <w:b/>
          <w:sz w:val="20"/>
        </w:rPr>
        <w:t>on</w:t>
      </w:r>
      <w:r w:rsidRPr="00642813">
        <w:rPr>
          <w:rFonts w:ascii="Arial" w:hAnsi="Arial" w:cs="Arial"/>
          <w:b/>
          <w:sz w:val="20"/>
        </w:rPr>
        <w:t xml:space="preserve"> importancia relativa-Modificaciones a la NIC 1 y NIC 8</w:t>
      </w:r>
    </w:p>
    <w:p w14:paraId="792E742A" w14:textId="77777777" w:rsidR="00264F4C" w:rsidRDefault="00264F4C" w:rsidP="00264F4C">
      <w:pPr>
        <w:pStyle w:val="ListParagraph"/>
        <w:autoSpaceDE w:val="0"/>
        <w:autoSpaceDN w:val="0"/>
        <w:adjustRightInd w:val="0"/>
        <w:ind w:left="360"/>
        <w:jc w:val="both"/>
        <w:rPr>
          <w:rFonts w:ascii="Arial" w:hAnsi="Arial" w:cs="Arial"/>
          <w:b/>
          <w:sz w:val="20"/>
        </w:rPr>
      </w:pPr>
    </w:p>
    <w:p w14:paraId="062B59E2" w14:textId="77777777" w:rsidR="00264F4C" w:rsidRPr="00BA7A6B" w:rsidRDefault="00264F4C" w:rsidP="00264F4C">
      <w:pPr>
        <w:jc w:val="both"/>
        <w:rPr>
          <w:rFonts w:ascii="Arial" w:hAnsi="Arial" w:cs="Arial"/>
          <w:sz w:val="20"/>
        </w:rPr>
      </w:pPr>
      <w:r w:rsidRPr="00BA7A6B">
        <w:rPr>
          <w:rFonts w:ascii="Arial" w:hAnsi="Arial" w:cs="Arial"/>
          <w:sz w:val="20"/>
        </w:rPr>
        <w:t>El 31 de octubre de 2018, el IASB publicó estas modificaciones, cuyo objetivo es mejorar la comprensión de la definición de material o con importancia relativa, coordinando la redacción de la definición en las Normas NIIF y en el Marco Conceptual para evitar la posibilidad de confusión que surge de definiciones diferentes; en tal sentido, incorpora requerimientos de apoyo en la NIC 1 en la definición para darles más prominencia y aclarar su aplicabilidad; adicionalmente, suministra las guías existentes sobre la definición de material o con importancia relativa en un solo lugar, junto con la definición.</w:t>
      </w:r>
    </w:p>
    <w:p w14:paraId="4823F8DC" w14:textId="77777777" w:rsidR="00264F4C" w:rsidRDefault="00264F4C" w:rsidP="00264F4C">
      <w:pPr>
        <w:jc w:val="both"/>
        <w:rPr>
          <w:rFonts w:ascii="Arial" w:hAnsi="Arial" w:cs="Arial"/>
          <w:sz w:val="20"/>
        </w:rPr>
      </w:pPr>
      <w:r w:rsidRPr="00BA7A6B">
        <w:rPr>
          <w:rFonts w:ascii="Arial" w:hAnsi="Arial" w:cs="Arial"/>
          <w:sz w:val="20"/>
        </w:rPr>
        <w:t xml:space="preserve">Esta modificación afecta principalmente el párrafo 7 de la NIC 1, el párrafo 5 de la NIC 8, y elimina el párrafo 6 de la NIC 8, y es aplicable de forma prospectiva a los períodos anuales comenzados a partir del 1 de enero de 2020. </w:t>
      </w:r>
    </w:p>
    <w:p w14:paraId="270EEDE2" w14:textId="77777777" w:rsidR="00264F4C" w:rsidRPr="00BA7A6B" w:rsidRDefault="00264F4C" w:rsidP="00264F4C">
      <w:pPr>
        <w:jc w:val="both"/>
        <w:rPr>
          <w:rFonts w:ascii="Arial" w:hAnsi="Arial" w:cs="Arial"/>
          <w:sz w:val="20"/>
        </w:rPr>
      </w:pPr>
    </w:p>
    <w:p w14:paraId="02C8C867" w14:textId="77777777" w:rsidR="00264F4C" w:rsidRPr="00BA7A6B" w:rsidRDefault="00264F4C" w:rsidP="00264F4C">
      <w:pPr>
        <w:jc w:val="both"/>
        <w:rPr>
          <w:rFonts w:ascii="Arial" w:hAnsi="Arial" w:cs="Arial"/>
          <w:sz w:val="20"/>
        </w:rPr>
      </w:pPr>
      <w:r w:rsidRPr="00BA7A6B">
        <w:rPr>
          <w:rFonts w:ascii="Arial" w:hAnsi="Arial" w:cs="Arial"/>
          <w:sz w:val="20"/>
        </w:rPr>
        <w:t>La Entidad considera que esta modificación no tiene un impacto significativo en sus estados financieros.</w:t>
      </w:r>
    </w:p>
    <w:p w14:paraId="6BBCCDF7" w14:textId="7A43732A" w:rsidR="00264F4C" w:rsidRDefault="00264F4C" w:rsidP="00264F4C">
      <w:pPr>
        <w:pStyle w:val="ListParagraph"/>
        <w:autoSpaceDE w:val="0"/>
        <w:autoSpaceDN w:val="0"/>
        <w:adjustRightInd w:val="0"/>
        <w:ind w:left="360"/>
        <w:jc w:val="both"/>
        <w:rPr>
          <w:rFonts w:ascii="Arial" w:hAnsi="Arial" w:cs="Arial"/>
          <w:b/>
          <w:sz w:val="20"/>
        </w:rPr>
      </w:pPr>
    </w:p>
    <w:p w14:paraId="08A615D6" w14:textId="66A064B8" w:rsidR="00F10EED" w:rsidRDefault="00F10EED" w:rsidP="00264F4C">
      <w:pPr>
        <w:pStyle w:val="ListParagraph"/>
        <w:autoSpaceDE w:val="0"/>
        <w:autoSpaceDN w:val="0"/>
        <w:adjustRightInd w:val="0"/>
        <w:ind w:left="360"/>
        <w:jc w:val="both"/>
        <w:rPr>
          <w:rFonts w:ascii="Arial" w:hAnsi="Arial" w:cs="Arial"/>
          <w:b/>
          <w:sz w:val="20"/>
        </w:rPr>
      </w:pPr>
    </w:p>
    <w:p w14:paraId="3244C69A" w14:textId="1383E108" w:rsidR="00F10EED" w:rsidRDefault="00F10EED" w:rsidP="00264F4C">
      <w:pPr>
        <w:pStyle w:val="ListParagraph"/>
        <w:autoSpaceDE w:val="0"/>
        <w:autoSpaceDN w:val="0"/>
        <w:adjustRightInd w:val="0"/>
        <w:ind w:left="360"/>
        <w:jc w:val="both"/>
        <w:rPr>
          <w:rFonts w:ascii="Arial" w:hAnsi="Arial" w:cs="Arial"/>
          <w:b/>
          <w:sz w:val="20"/>
        </w:rPr>
      </w:pPr>
    </w:p>
    <w:p w14:paraId="455CB6A3" w14:textId="77777777" w:rsidR="00F10EED" w:rsidRPr="00201315" w:rsidRDefault="00F10EED" w:rsidP="00264F4C">
      <w:pPr>
        <w:pStyle w:val="ListParagraph"/>
        <w:autoSpaceDE w:val="0"/>
        <w:autoSpaceDN w:val="0"/>
        <w:adjustRightInd w:val="0"/>
        <w:ind w:left="360"/>
        <w:jc w:val="both"/>
        <w:rPr>
          <w:rFonts w:ascii="Arial" w:hAnsi="Arial" w:cs="Arial"/>
          <w:b/>
          <w:sz w:val="20"/>
        </w:rPr>
      </w:pPr>
    </w:p>
    <w:p w14:paraId="45365F90" w14:textId="77777777" w:rsidR="00264F4C" w:rsidRPr="00642813" w:rsidRDefault="00264F4C" w:rsidP="002E1AF6">
      <w:pPr>
        <w:pStyle w:val="ListParagraph"/>
        <w:numPr>
          <w:ilvl w:val="0"/>
          <w:numId w:val="73"/>
        </w:numPr>
        <w:spacing w:after="160" w:line="259" w:lineRule="auto"/>
        <w:contextualSpacing/>
        <w:jc w:val="both"/>
        <w:rPr>
          <w:rFonts w:ascii="Arial" w:hAnsi="Arial" w:cs="Arial"/>
          <w:b/>
          <w:sz w:val="20"/>
        </w:rPr>
      </w:pPr>
      <w:r w:rsidRPr="00642813">
        <w:rPr>
          <w:rFonts w:ascii="Arial" w:hAnsi="Arial" w:cs="Arial"/>
          <w:b/>
          <w:sz w:val="20"/>
        </w:rPr>
        <w:t xml:space="preserve"> Modificaciones al Marco Conceptual de Información Financiera</w:t>
      </w:r>
    </w:p>
    <w:p w14:paraId="51FCF832" w14:textId="77777777" w:rsidR="00264F4C" w:rsidRPr="00201315" w:rsidRDefault="00264F4C" w:rsidP="00264F4C">
      <w:pPr>
        <w:pStyle w:val="ListParagraph"/>
        <w:autoSpaceDE w:val="0"/>
        <w:autoSpaceDN w:val="0"/>
        <w:adjustRightInd w:val="0"/>
        <w:ind w:left="360"/>
        <w:jc w:val="both"/>
        <w:rPr>
          <w:rFonts w:ascii="Arial" w:hAnsi="Arial" w:cs="Arial"/>
          <w:b/>
          <w:sz w:val="20"/>
        </w:rPr>
      </w:pPr>
    </w:p>
    <w:p w14:paraId="70CA6AAE" w14:textId="77777777" w:rsidR="00264F4C" w:rsidRDefault="00264F4C" w:rsidP="00264F4C">
      <w:pPr>
        <w:jc w:val="both"/>
        <w:rPr>
          <w:rFonts w:ascii="Arial" w:hAnsi="Arial" w:cs="Arial"/>
          <w:sz w:val="20"/>
        </w:rPr>
      </w:pPr>
      <w:r w:rsidRPr="00BA7A6B">
        <w:rPr>
          <w:rFonts w:ascii="Arial" w:hAnsi="Arial" w:cs="Arial"/>
          <w:sz w:val="20"/>
        </w:rPr>
        <w:t xml:space="preserve">El IASB ha emitido un nuevo Marco Conceptual. La mencionada modificación no implicará cambios a ninguna de las normas contables vigentes. Sin embargo, las entidades que utilizan el Marco Conceptual para definir las políticas contables para aquellas transacciones, eventos o situaciones no contempladas en las normas contables vigentes, aplican el nuevo Marco Conceptual a partir del 1 de enero de 2020 y evaluar si sus políticas contables continúan siendo apropiadas. </w:t>
      </w:r>
    </w:p>
    <w:p w14:paraId="206B9138" w14:textId="77777777" w:rsidR="00264F4C" w:rsidRPr="00BA7A6B" w:rsidRDefault="00264F4C" w:rsidP="00264F4C">
      <w:pPr>
        <w:jc w:val="both"/>
        <w:rPr>
          <w:rFonts w:ascii="Arial" w:hAnsi="Arial" w:cs="Arial"/>
          <w:sz w:val="20"/>
        </w:rPr>
      </w:pPr>
    </w:p>
    <w:p w14:paraId="59AEDC7F" w14:textId="77777777" w:rsidR="00264F4C" w:rsidRDefault="00264F4C" w:rsidP="00264F4C">
      <w:pPr>
        <w:jc w:val="both"/>
        <w:rPr>
          <w:rFonts w:ascii="Arial" w:hAnsi="Arial" w:cs="Arial"/>
          <w:sz w:val="20"/>
        </w:rPr>
      </w:pPr>
      <w:r w:rsidRPr="00BA7A6B">
        <w:rPr>
          <w:rFonts w:ascii="Arial" w:hAnsi="Arial" w:cs="Arial"/>
          <w:sz w:val="20"/>
        </w:rPr>
        <w:t>La Entidad considera que estas modificaciones no tienen un impacto significativo en sus estados financieros.</w:t>
      </w:r>
    </w:p>
    <w:p w14:paraId="244DD519" w14:textId="77777777" w:rsidR="00264F4C" w:rsidRDefault="00264F4C" w:rsidP="00264F4C">
      <w:pPr>
        <w:jc w:val="both"/>
        <w:rPr>
          <w:rFonts w:ascii="Arial" w:hAnsi="Arial" w:cs="Arial"/>
          <w:sz w:val="20"/>
        </w:rPr>
      </w:pPr>
    </w:p>
    <w:p w14:paraId="58F4D534" w14:textId="77777777" w:rsidR="00264F4C" w:rsidRDefault="00264F4C" w:rsidP="002E1AF6">
      <w:pPr>
        <w:pStyle w:val="ListParagraph"/>
        <w:numPr>
          <w:ilvl w:val="0"/>
          <w:numId w:val="73"/>
        </w:numPr>
        <w:spacing w:after="160" w:line="259" w:lineRule="auto"/>
        <w:contextualSpacing/>
        <w:jc w:val="both"/>
        <w:rPr>
          <w:rFonts w:ascii="Arial" w:hAnsi="Arial" w:cs="Arial"/>
          <w:b/>
          <w:sz w:val="20"/>
        </w:rPr>
      </w:pPr>
      <w:r>
        <w:rPr>
          <w:rFonts w:ascii="Arial" w:hAnsi="Arial" w:cs="Arial"/>
          <w:b/>
          <w:sz w:val="20"/>
        </w:rPr>
        <w:t xml:space="preserve"> </w:t>
      </w:r>
      <w:r w:rsidRPr="00BA7A6B">
        <w:rPr>
          <w:rFonts w:ascii="Arial" w:hAnsi="Arial" w:cs="Arial"/>
          <w:b/>
          <w:sz w:val="20"/>
        </w:rPr>
        <w:t>Reforma de la tasa de interés de referencia (IBOR) - Modificaciones a NIIF 9</w:t>
      </w:r>
    </w:p>
    <w:p w14:paraId="43A423C7" w14:textId="77777777" w:rsidR="00264F4C" w:rsidRPr="00BA7A6B" w:rsidRDefault="00264F4C" w:rsidP="00264F4C">
      <w:pPr>
        <w:pStyle w:val="ListParagraph"/>
        <w:autoSpaceDE w:val="0"/>
        <w:autoSpaceDN w:val="0"/>
        <w:adjustRightInd w:val="0"/>
        <w:ind w:left="360"/>
        <w:jc w:val="both"/>
        <w:rPr>
          <w:rFonts w:ascii="Arial" w:hAnsi="Arial" w:cs="Arial"/>
          <w:b/>
          <w:sz w:val="20"/>
        </w:rPr>
      </w:pPr>
    </w:p>
    <w:p w14:paraId="0AFD54C0" w14:textId="77777777" w:rsidR="00264F4C" w:rsidRPr="00BA7A6B" w:rsidRDefault="00264F4C" w:rsidP="00264F4C">
      <w:pPr>
        <w:jc w:val="both"/>
        <w:rPr>
          <w:rFonts w:ascii="Arial" w:hAnsi="Arial" w:cs="Arial"/>
          <w:sz w:val="20"/>
        </w:rPr>
      </w:pPr>
      <w:r w:rsidRPr="00BA7A6B">
        <w:rPr>
          <w:rFonts w:ascii="Arial" w:hAnsi="Arial" w:cs="Arial"/>
          <w:bCs/>
          <w:sz w:val="20"/>
        </w:rPr>
        <w:t>E</w:t>
      </w:r>
      <w:r w:rsidRPr="00BA7A6B">
        <w:rPr>
          <w:rFonts w:ascii="Arial" w:hAnsi="Arial" w:cs="Arial"/>
          <w:sz w:val="20"/>
        </w:rPr>
        <w:t xml:space="preserve">l 26 de </w:t>
      </w:r>
      <w:bookmarkStart w:id="44" w:name="_GoBack"/>
      <w:r w:rsidRPr="00BA7A6B">
        <w:rPr>
          <w:rFonts w:ascii="Arial" w:hAnsi="Arial" w:cs="Arial"/>
          <w:sz w:val="20"/>
        </w:rPr>
        <w:t>septiembre</w:t>
      </w:r>
      <w:bookmarkEnd w:id="44"/>
      <w:r w:rsidRPr="00BA7A6B">
        <w:rPr>
          <w:rFonts w:ascii="Arial" w:hAnsi="Arial" w:cs="Arial"/>
          <w:sz w:val="20"/>
        </w:rPr>
        <w:t xml:space="preserve"> de 2019 el IASB publicó la modificación que requiere revelaciones adicionales con relación a la incertidumbre generada por la reforma a la tasa de interés de referencia. Esta publicación constituye la primera reacción a los potenciales efectos que generaría la reforma al IBOR en los estados financieros y modifica los requerimientos específicos de contabilidad de cobertura de flujo de efectivo asumiendo que la tasa de interés de referencia no se modifica producto de su reforma. Estas modificaciones fueron efectivas a partir del 1 de enero de 2020 con efecto retroactivo. </w:t>
      </w:r>
    </w:p>
    <w:p w14:paraId="33A8F9DB" w14:textId="77777777" w:rsidR="00264F4C" w:rsidRPr="00BA7A6B" w:rsidRDefault="00264F4C" w:rsidP="00264F4C">
      <w:pPr>
        <w:jc w:val="both"/>
        <w:rPr>
          <w:rFonts w:ascii="Arial" w:hAnsi="Arial" w:cs="Arial"/>
          <w:sz w:val="20"/>
        </w:rPr>
      </w:pPr>
    </w:p>
    <w:p w14:paraId="7486118F" w14:textId="77777777" w:rsidR="00264F4C" w:rsidRPr="00201315" w:rsidRDefault="00264F4C" w:rsidP="00264F4C">
      <w:pPr>
        <w:jc w:val="both"/>
        <w:rPr>
          <w:rFonts w:ascii="Arial" w:hAnsi="Arial" w:cs="Arial"/>
          <w:sz w:val="20"/>
        </w:rPr>
      </w:pPr>
      <w:r w:rsidRPr="00201315">
        <w:rPr>
          <w:rFonts w:ascii="Arial" w:hAnsi="Arial" w:cs="Arial"/>
          <w:sz w:val="20"/>
        </w:rPr>
        <w:t>La Entidad considera que estas modificaciones no tienen un impacto significativo en sus estados financieros.</w:t>
      </w:r>
    </w:p>
    <w:p w14:paraId="565C9455" w14:textId="77777777" w:rsidR="00264F4C" w:rsidRDefault="00264F4C" w:rsidP="00264F4C">
      <w:pPr>
        <w:jc w:val="both"/>
        <w:rPr>
          <w:rFonts w:ascii="Arial" w:hAnsi="Arial" w:cs="Arial"/>
          <w:sz w:val="20"/>
        </w:rPr>
      </w:pPr>
    </w:p>
    <w:p w14:paraId="38B3649C" w14:textId="77777777" w:rsidR="00264F4C" w:rsidRPr="00642813" w:rsidRDefault="00264F4C" w:rsidP="00264F4C">
      <w:pPr>
        <w:jc w:val="both"/>
        <w:rPr>
          <w:rFonts w:ascii="Arial" w:hAnsi="Arial" w:cs="Arial"/>
          <w:sz w:val="20"/>
        </w:rPr>
      </w:pPr>
      <w:r w:rsidRPr="00642813">
        <w:rPr>
          <w:rFonts w:ascii="Arial" w:hAnsi="Arial" w:cs="Arial"/>
          <w:sz w:val="20"/>
          <w:lang w:val="es-ES_tradnl"/>
        </w:rPr>
        <w:t>Se exponen a continuación los cambios q</w:t>
      </w:r>
      <w:r w:rsidRPr="00642813">
        <w:rPr>
          <w:rFonts w:ascii="Arial" w:hAnsi="Arial" w:cs="Arial"/>
          <w:sz w:val="20"/>
        </w:rPr>
        <w:t xml:space="preserve">ue no han entrado en vigor al 31 de marzo de 2020: </w:t>
      </w:r>
    </w:p>
    <w:p w14:paraId="55278572" w14:textId="77777777" w:rsidR="00264F4C" w:rsidRPr="00BA7A6B" w:rsidRDefault="00264F4C" w:rsidP="00264F4C">
      <w:pPr>
        <w:jc w:val="both"/>
        <w:rPr>
          <w:rFonts w:ascii="Arial" w:hAnsi="Arial" w:cs="Arial"/>
          <w:b/>
          <w:sz w:val="20"/>
        </w:rPr>
      </w:pPr>
    </w:p>
    <w:p w14:paraId="683738E8" w14:textId="7AA8DD30" w:rsidR="00264F4C" w:rsidRPr="002E1AF6" w:rsidRDefault="00264F4C" w:rsidP="002E1AF6">
      <w:pPr>
        <w:pStyle w:val="ListParagraph"/>
        <w:numPr>
          <w:ilvl w:val="0"/>
          <w:numId w:val="74"/>
        </w:numPr>
        <w:tabs>
          <w:tab w:val="left" w:pos="426"/>
        </w:tabs>
        <w:spacing w:after="160" w:line="259" w:lineRule="auto"/>
        <w:contextualSpacing/>
        <w:jc w:val="both"/>
        <w:rPr>
          <w:rFonts w:ascii="Arial" w:hAnsi="Arial" w:cs="Arial"/>
          <w:b/>
          <w:sz w:val="20"/>
        </w:rPr>
      </w:pPr>
      <w:r w:rsidRPr="002E1AF6">
        <w:rPr>
          <w:rFonts w:ascii="Arial" w:hAnsi="Arial" w:cs="Arial"/>
          <w:b/>
          <w:sz w:val="20"/>
        </w:rPr>
        <w:t xml:space="preserve">Venta o contribuciones de activos entre un inversor y su asociada o interés conjunto – modificaciones a la NIIF 10 y NIC 28.  </w:t>
      </w:r>
    </w:p>
    <w:p w14:paraId="298F1BF6" w14:textId="77777777" w:rsidR="00264F4C" w:rsidRDefault="00264F4C" w:rsidP="00264F4C">
      <w:pPr>
        <w:jc w:val="both"/>
        <w:rPr>
          <w:rFonts w:ascii="Arial" w:hAnsi="Arial" w:cs="Arial"/>
          <w:bCs/>
          <w:sz w:val="20"/>
        </w:rPr>
      </w:pPr>
      <w:r w:rsidRPr="00BA7A6B">
        <w:rPr>
          <w:rFonts w:ascii="Arial" w:hAnsi="Arial" w:cs="Arial"/>
          <w:bCs/>
          <w:sz w:val="20"/>
        </w:rPr>
        <w:t>El IASB realizó modificaciones limitadas a la NIIF 10 “Entidades financieras consolidadas” y a la NIC 28 “Inversiones en asociadas y negocios conjuntos”.  Las modificaciones clarifican la contabilización de ventas o contribuciones de activos entre el inversor y sus asociadas y negocios conjuntos.  Ello confirma que el tratamiento contable depende de si los activos no monetarios vendidos o contribuidos a la asociada o negocio conjunto constituyen un “negocio” (tal como está definido en la NIIF 3).</w:t>
      </w:r>
    </w:p>
    <w:p w14:paraId="7230739F" w14:textId="77777777" w:rsidR="00264F4C" w:rsidRPr="00BA7A6B" w:rsidRDefault="00264F4C" w:rsidP="00264F4C">
      <w:pPr>
        <w:jc w:val="both"/>
        <w:rPr>
          <w:rFonts w:ascii="Arial" w:hAnsi="Arial" w:cs="Arial"/>
          <w:bCs/>
          <w:sz w:val="20"/>
        </w:rPr>
      </w:pPr>
    </w:p>
    <w:p w14:paraId="47D09100" w14:textId="77777777" w:rsidR="00264F4C" w:rsidRDefault="00264F4C" w:rsidP="00264F4C">
      <w:pPr>
        <w:jc w:val="both"/>
        <w:rPr>
          <w:rFonts w:ascii="Arial" w:hAnsi="Arial" w:cs="Arial"/>
          <w:bCs/>
          <w:sz w:val="20"/>
        </w:rPr>
      </w:pPr>
      <w:r w:rsidRPr="00894662">
        <w:rPr>
          <w:rFonts w:ascii="Arial" w:hAnsi="Arial" w:cs="Arial"/>
          <w:bCs/>
          <w:sz w:val="20"/>
        </w:rPr>
        <w:t>Cuando los activos no monetarios constituyan un negocio, el inversor va a reconocer la ganancia o pérdida de la venta o aporte de los activos. Si los activos no constituyen un negocio, la ganancia o pérdida es reconocida por el inversor sólo hasta el monto reconocido por el otro inversor en la asociada o negocio conjunto. Las modificaciones aplican de manera prospectiva.</w:t>
      </w:r>
    </w:p>
    <w:p w14:paraId="275778C1" w14:textId="77777777" w:rsidR="00264F4C" w:rsidRPr="00BA7A6B" w:rsidRDefault="00264F4C" w:rsidP="00264F4C">
      <w:pPr>
        <w:jc w:val="both"/>
        <w:rPr>
          <w:rFonts w:ascii="Arial" w:hAnsi="Arial" w:cs="Arial"/>
          <w:bCs/>
          <w:sz w:val="20"/>
        </w:rPr>
      </w:pPr>
    </w:p>
    <w:p w14:paraId="61C05017" w14:textId="77777777" w:rsidR="00264F4C" w:rsidRPr="00BA7A6B" w:rsidRDefault="00264F4C" w:rsidP="00264F4C">
      <w:pPr>
        <w:jc w:val="both"/>
        <w:rPr>
          <w:rFonts w:ascii="Arial" w:hAnsi="Arial" w:cs="Arial"/>
          <w:bCs/>
          <w:sz w:val="20"/>
        </w:rPr>
      </w:pPr>
      <w:r w:rsidRPr="00BA7A6B">
        <w:rPr>
          <w:rFonts w:ascii="Arial" w:hAnsi="Arial" w:cs="Arial"/>
          <w:bCs/>
          <w:sz w:val="20"/>
        </w:rPr>
        <w:t xml:space="preserve">El IASB ha decidido diferir la fecha de aplicación de esta modificación hasta tanto concluya con su proyecto de investigación sobre el método de la participación. </w:t>
      </w:r>
    </w:p>
    <w:p w14:paraId="29CD633D" w14:textId="77777777" w:rsidR="00264F4C" w:rsidRPr="00BA7A6B" w:rsidRDefault="00264F4C" w:rsidP="00264F4C">
      <w:pPr>
        <w:jc w:val="both"/>
        <w:rPr>
          <w:rFonts w:ascii="Arial" w:hAnsi="Arial" w:cs="Arial"/>
          <w:bCs/>
          <w:sz w:val="20"/>
        </w:rPr>
      </w:pPr>
    </w:p>
    <w:p w14:paraId="4764EFAE" w14:textId="77777777" w:rsidR="00264F4C" w:rsidRPr="00BA7A6B" w:rsidRDefault="00264F4C" w:rsidP="00264F4C">
      <w:pPr>
        <w:jc w:val="both"/>
        <w:rPr>
          <w:rFonts w:ascii="Arial" w:hAnsi="Arial" w:cs="Arial"/>
          <w:sz w:val="20"/>
        </w:rPr>
      </w:pPr>
      <w:r w:rsidRPr="00BA7A6B">
        <w:rPr>
          <w:rFonts w:ascii="Arial" w:hAnsi="Arial" w:cs="Arial"/>
          <w:sz w:val="20"/>
        </w:rPr>
        <w:lastRenderedPageBreak/>
        <w:t>La Entidad se encuentra evaluando el impacto de la adopción de esta nueva norma.</w:t>
      </w:r>
    </w:p>
    <w:p w14:paraId="064BBBDC" w14:textId="77777777" w:rsidR="00264F4C" w:rsidRPr="00BA7A6B" w:rsidRDefault="00264F4C" w:rsidP="00264F4C">
      <w:pPr>
        <w:jc w:val="both"/>
        <w:rPr>
          <w:rFonts w:ascii="Arial" w:hAnsi="Arial" w:cs="Arial"/>
          <w:sz w:val="20"/>
        </w:rPr>
      </w:pPr>
    </w:p>
    <w:p w14:paraId="22728BA4" w14:textId="32B42E1C" w:rsidR="00264F4C" w:rsidRPr="002E1AF6" w:rsidRDefault="00264F4C" w:rsidP="002E1AF6">
      <w:pPr>
        <w:pStyle w:val="ListParagraph"/>
        <w:numPr>
          <w:ilvl w:val="0"/>
          <w:numId w:val="74"/>
        </w:numPr>
        <w:tabs>
          <w:tab w:val="left" w:pos="426"/>
        </w:tabs>
        <w:spacing w:after="160" w:line="259" w:lineRule="auto"/>
        <w:contextualSpacing/>
        <w:jc w:val="both"/>
        <w:rPr>
          <w:rFonts w:ascii="Arial" w:hAnsi="Arial" w:cs="Arial"/>
          <w:b/>
          <w:sz w:val="20"/>
        </w:rPr>
      </w:pPr>
      <w:r w:rsidRPr="002E1AF6">
        <w:rPr>
          <w:rFonts w:ascii="Arial" w:hAnsi="Arial" w:cs="Arial"/>
          <w:b/>
          <w:sz w:val="20"/>
        </w:rPr>
        <w:t xml:space="preserve"> NIIF 17 “Contratos de seguro”</w:t>
      </w:r>
    </w:p>
    <w:p w14:paraId="1F63C635" w14:textId="77777777" w:rsidR="00264F4C" w:rsidRPr="00642813" w:rsidRDefault="00264F4C" w:rsidP="00264F4C">
      <w:pPr>
        <w:spacing w:after="160" w:line="259" w:lineRule="auto"/>
        <w:contextualSpacing/>
        <w:jc w:val="both"/>
        <w:rPr>
          <w:rFonts w:ascii="Arial" w:hAnsi="Arial" w:cs="Arial"/>
          <w:b/>
          <w:sz w:val="20"/>
        </w:rPr>
      </w:pPr>
    </w:p>
    <w:p w14:paraId="51B79880" w14:textId="66ADCFA9" w:rsidR="00264F4C" w:rsidRPr="00BA7A6B" w:rsidRDefault="00264F4C" w:rsidP="00264F4C">
      <w:pPr>
        <w:jc w:val="both"/>
        <w:rPr>
          <w:rFonts w:ascii="Arial" w:hAnsi="Arial" w:cs="Arial"/>
          <w:bCs/>
          <w:sz w:val="20"/>
        </w:rPr>
      </w:pPr>
      <w:r w:rsidRPr="00BA7A6B">
        <w:rPr>
          <w:rFonts w:ascii="Arial" w:hAnsi="Arial" w:cs="Arial"/>
          <w:bCs/>
          <w:sz w:val="20"/>
        </w:rPr>
        <w:t xml:space="preserve">El 18 de mayo de 2017, el IASB emitió la NIIF 17 “Contratos de seguro”, que proporciona un marco integral basado en principios para la medición y presentación de todos los contratos de seguro. La nueva norma reemplazará a la NIIF 4 “Contratos de seguro” y exige que los contratos de seguro se midan utilizando los flujos de efectivo de cumplimiento actuales y que los ingresos se reconozcan a medida que se brinda el servicio durante el período de cobertura. La norma entrará en vigor para los ejercicios que comiencen a partir del 1 de noviembre de 2021. </w:t>
      </w:r>
    </w:p>
    <w:p w14:paraId="0B6237A7" w14:textId="77777777" w:rsidR="00264F4C" w:rsidRPr="00BA7A6B" w:rsidRDefault="00264F4C" w:rsidP="00264F4C">
      <w:pPr>
        <w:jc w:val="both"/>
        <w:rPr>
          <w:rFonts w:ascii="Arial" w:hAnsi="Arial" w:cs="Arial"/>
          <w:sz w:val="20"/>
        </w:rPr>
      </w:pPr>
    </w:p>
    <w:p w14:paraId="51FDAA47" w14:textId="51018429" w:rsidR="00264F4C" w:rsidRDefault="00264F4C" w:rsidP="00264F4C">
      <w:pPr>
        <w:jc w:val="both"/>
        <w:rPr>
          <w:rFonts w:ascii="Arial" w:hAnsi="Arial" w:cs="Arial"/>
          <w:sz w:val="20"/>
        </w:rPr>
      </w:pPr>
      <w:r w:rsidRPr="00BA7A6B">
        <w:rPr>
          <w:rFonts w:ascii="Arial" w:hAnsi="Arial" w:cs="Arial"/>
          <w:sz w:val="20"/>
        </w:rPr>
        <w:t xml:space="preserve">La Entidad se encuentra evaluando el impacto de la adopción de esta nueva </w:t>
      </w:r>
      <w:r w:rsidRPr="00E33E22">
        <w:rPr>
          <w:rFonts w:ascii="Arial" w:hAnsi="Arial" w:cs="Arial"/>
          <w:sz w:val="20"/>
        </w:rPr>
        <w:t>norma</w:t>
      </w:r>
      <w:r w:rsidRPr="00642813">
        <w:rPr>
          <w:rFonts w:ascii="Arial" w:hAnsi="Arial" w:cs="Arial"/>
          <w:sz w:val="20"/>
        </w:rPr>
        <w:t>.</w:t>
      </w:r>
    </w:p>
    <w:p w14:paraId="423800F8" w14:textId="798A0F65" w:rsidR="00264F4C" w:rsidRDefault="00264F4C" w:rsidP="00264F4C">
      <w:pPr>
        <w:jc w:val="both"/>
        <w:rPr>
          <w:rFonts w:ascii="Arial" w:hAnsi="Arial" w:cs="Arial"/>
          <w:sz w:val="20"/>
        </w:rPr>
      </w:pPr>
    </w:p>
    <w:p w14:paraId="2A7F5FE0" w14:textId="0F6363B9" w:rsidR="00264F4C" w:rsidRPr="002E1AF6" w:rsidRDefault="00264F4C" w:rsidP="002E1AF6">
      <w:pPr>
        <w:pStyle w:val="ListParagraph"/>
        <w:numPr>
          <w:ilvl w:val="1"/>
          <w:numId w:val="72"/>
        </w:numPr>
        <w:suppressAutoHyphens/>
        <w:overflowPunct w:val="0"/>
        <w:autoSpaceDE w:val="0"/>
        <w:autoSpaceDN w:val="0"/>
        <w:adjustRightInd w:val="0"/>
        <w:spacing w:after="160" w:line="259" w:lineRule="auto"/>
        <w:jc w:val="both"/>
        <w:textAlignment w:val="baseline"/>
        <w:outlineLvl w:val="0"/>
        <w:rPr>
          <w:rFonts w:ascii="Arial" w:eastAsia="Calibri" w:hAnsi="Arial" w:cs="Arial"/>
          <w:b/>
          <w:sz w:val="20"/>
        </w:rPr>
      </w:pPr>
      <w:r w:rsidRPr="002E1AF6">
        <w:rPr>
          <w:rFonts w:ascii="Arial" w:eastAsia="Calibri" w:hAnsi="Arial" w:cs="Arial"/>
          <w:b/>
          <w:sz w:val="20"/>
        </w:rPr>
        <w:t>Deterioro de valor de activos financieros</w:t>
      </w:r>
    </w:p>
    <w:p w14:paraId="738DD629"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xml:space="preserve">El Banco evalúa con un enfoque prospectivo las pérdidas crediticias esperadas (“PCE”) asociadas con los activos financieros medidos a costo amortizado o a valor razonable con cambios en otro resultado integral, la exposición derivada de compromisos de préstamos y contratos de garantía financiera con el alcance establecido por la Comunicación “A” 6847 del BCRA. </w:t>
      </w:r>
    </w:p>
    <w:p w14:paraId="235DCF2B"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xml:space="preserve">El Banco mide las PCE de un instrumento financiero de forma que refleje: </w:t>
      </w:r>
    </w:p>
    <w:p w14:paraId="60E16A3A"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Pr>
          <w:rFonts w:ascii="Arial" w:eastAsia="Calibri" w:hAnsi="Arial" w:cs="Arial"/>
          <w:sz w:val="20"/>
        </w:rPr>
        <w:t xml:space="preserve">         </w:t>
      </w:r>
      <w:r w:rsidRPr="00642813">
        <w:rPr>
          <w:rFonts w:ascii="Arial" w:eastAsia="Calibri" w:hAnsi="Arial" w:cs="Arial"/>
          <w:sz w:val="20"/>
        </w:rPr>
        <w:t xml:space="preserve">(a) un importe de probabilidad ponderada no sesgado que se determina mediante la evaluación de un rango de resultados posibles; </w:t>
      </w:r>
    </w:p>
    <w:p w14:paraId="42B52975"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Pr>
          <w:rFonts w:ascii="Arial" w:eastAsia="Calibri" w:hAnsi="Arial" w:cs="Arial"/>
          <w:sz w:val="20"/>
        </w:rPr>
        <w:t xml:space="preserve">         </w:t>
      </w:r>
      <w:r w:rsidRPr="00642813">
        <w:rPr>
          <w:rFonts w:ascii="Arial" w:eastAsia="Calibri" w:hAnsi="Arial" w:cs="Arial"/>
          <w:sz w:val="20"/>
        </w:rPr>
        <w:t xml:space="preserve">(b) el valor temporal del dinero; y </w:t>
      </w:r>
    </w:p>
    <w:p w14:paraId="3B04470B"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Pr>
          <w:rFonts w:ascii="Arial" w:eastAsia="Calibri" w:hAnsi="Arial" w:cs="Arial"/>
          <w:sz w:val="20"/>
        </w:rPr>
        <w:t xml:space="preserve">         </w:t>
      </w:r>
      <w:r w:rsidRPr="00642813">
        <w:rPr>
          <w:rFonts w:ascii="Arial" w:eastAsia="Calibri" w:hAnsi="Arial" w:cs="Arial"/>
          <w:sz w:val="20"/>
        </w:rPr>
        <w:t>(c) la información razonable y sustentable que está disponible sin costo o esfuerzo desproporcionado en la fecha de presentación sobre sucesos pasados, condiciones actuales y pronósticos de condiciones económicas futuras.</w:t>
      </w:r>
    </w:p>
    <w:p w14:paraId="2E264D29"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La NIIF 9 describe un modelo de "tres etapas" para el deterioro basado en cambios en la calidad crediticia desde el reconocimiento inicial como se resume a continuación:</w:t>
      </w:r>
    </w:p>
    <w:p w14:paraId="0E6AE169"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Si, en la fecha de presentación, el riesgo de crédito de un instrumento financiero no se ha incrementado de forma significativa desde el reconocimiento inicial, el Banco lo clasificará en la "Etapa 1".</w:t>
      </w:r>
    </w:p>
    <w:p w14:paraId="35561F82"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xml:space="preserve">• Si se detecta un aumento significativo en el riesgo de crédito ("SICR" por sus siglas en inglés) desde que se identifica el reconocimiento inicial, el instrumento financiero se traslada a la "Etapa 2", pero aún no se considera que tiene un deterioro crediticio. </w:t>
      </w:r>
    </w:p>
    <w:p w14:paraId="44039811"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Si el instrumento financiero tiene un deterioro crediticio se traslada a la “Etapa 3”</w:t>
      </w:r>
    </w:p>
    <w:p w14:paraId="58ED95D9" w14:textId="1310F1C1"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xml:space="preserve">• Para los instrumentos financieros en “Etapa 1” el Banco mide las PCE a un importe igual a la porción de las pérdidas crediticias esperadas durante el tiempo de vida del activo que resulta de </w:t>
      </w:r>
      <w:r w:rsidRPr="00642813">
        <w:rPr>
          <w:rFonts w:ascii="Arial" w:eastAsia="Calibri" w:hAnsi="Arial" w:cs="Arial"/>
          <w:sz w:val="20"/>
        </w:rPr>
        <w:lastRenderedPageBreak/>
        <w:t xml:space="preserve">los eventos de default posibles dentro de los próximos 12 meses. Los instrumentos financieros en “Etapa 2” y “Etapa 3” el Banco mide las PCE durante el tiempo de vida (en adelante “Lifetime”) del activo. En la nota </w:t>
      </w:r>
      <w:r w:rsidR="002B77C5">
        <w:rPr>
          <w:rFonts w:ascii="Arial" w:eastAsia="Calibri" w:hAnsi="Arial" w:cs="Arial"/>
          <w:sz w:val="20"/>
        </w:rPr>
        <w:t>1.2</w:t>
      </w:r>
      <w:r w:rsidRPr="00642813">
        <w:rPr>
          <w:rFonts w:ascii="Arial" w:eastAsia="Calibri" w:hAnsi="Arial" w:cs="Arial"/>
          <w:sz w:val="20"/>
        </w:rPr>
        <w:t>.1 se expone una descripción de cómo el Banco determina cuándo se ha producido un aumento significativo en el riesgo de crédito.</w:t>
      </w:r>
    </w:p>
    <w:p w14:paraId="2D9A7F39"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Un concepto generalizado en la medición de PCE de acuerdo con la NIIF 9 es que debe considerar la información prospectiva.</w:t>
      </w:r>
    </w:p>
    <w:p w14:paraId="1B0F7BEF" w14:textId="77777777" w:rsidR="00264F4C" w:rsidRPr="00642813"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 Activos financieros con deterioro de valor crediticio comprados u originados son aquellos activos financieros que se encuentran deteriorados en su reconocimiento inicial. Las PCE de este tipo de instrumentos financieros es siempre medida durante el tiempo de vida del activo (“Etapa 3).</w:t>
      </w:r>
    </w:p>
    <w:p w14:paraId="03FD4DD1" w14:textId="7C6A89A8" w:rsidR="00D94587" w:rsidRDefault="00264F4C" w:rsidP="00264F4C">
      <w:pPr>
        <w:suppressAutoHyphens/>
        <w:overflowPunct w:val="0"/>
        <w:autoSpaceDE w:val="0"/>
        <w:autoSpaceDN w:val="0"/>
        <w:adjustRightInd w:val="0"/>
        <w:spacing w:after="160" w:line="259" w:lineRule="auto"/>
        <w:jc w:val="both"/>
        <w:textAlignment w:val="baseline"/>
        <w:outlineLvl w:val="0"/>
        <w:rPr>
          <w:rFonts w:ascii="Arial" w:eastAsia="Calibri" w:hAnsi="Arial" w:cs="Arial"/>
          <w:sz w:val="20"/>
        </w:rPr>
      </w:pPr>
      <w:r w:rsidRPr="00642813">
        <w:rPr>
          <w:rFonts w:ascii="Arial" w:eastAsia="Calibri" w:hAnsi="Arial" w:cs="Arial"/>
          <w:sz w:val="20"/>
        </w:rPr>
        <w:t>El siguiente esquema resume los requerimientos de deterioro bajo NIIF9 (para activos financieros que no sean activos con deterioro de valor crediticio comprados u originados):</w:t>
      </w:r>
    </w:p>
    <w:tbl>
      <w:tblPr>
        <w:tblW w:w="6799" w:type="dxa"/>
        <w:jc w:val="center"/>
        <w:tblCellMar>
          <w:left w:w="70" w:type="dxa"/>
          <w:right w:w="70" w:type="dxa"/>
        </w:tblCellMar>
        <w:tblLook w:val="04A0" w:firstRow="1" w:lastRow="0" w:firstColumn="1" w:lastColumn="0" w:noHBand="0" w:noVBand="1"/>
      </w:tblPr>
      <w:tblGrid>
        <w:gridCol w:w="2038"/>
        <w:gridCol w:w="2921"/>
        <w:gridCol w:w="1840"/>
      </w:tblGrid>
      <w:tr w:rsidR="00264F4C" w:rsidRPr="00642813" w14:paraId="488FB1E8" w14:textId="77777777" w:rsidTr="00264F4C">
        <w:trPr>
          <w:trHeight w:val="383"/>
          <w:jc w:val="center"/>
        </w:trPr>
        <w:tc>
          <w:tcPr>
            <w:tcW w:w="6799"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24EA38BF" w14:textId="77777777" w:rsidR="00264F4C" w:rsidRPr="00642813" w:rsidRDefault="00264F4C" w:rsidP="00264F4C">
            <w:pPr>
              <w:jc w:val="center"/>
              <w:rPr>
                <w:rFonts w:ascii="Arial" w:hAnsi="Arial" w:cs="Arial"/>
                <w:sz w:val="16"/>
                <w:szCs w:val="18"/>
                <w:lang w:eastAsia="es-AR"/>
              </w:rPr>
            </w:pPr>
            <w:r w:rsidRPr="00642813">
              <w:rPr>
                <w:rFonts w:ascii="Arial" w:hAnsi="Arial" w:cs="Arial"/>
                <w:b/>
                <w:bCs/>
                <w:color w:val="000000"/>
                <w:sz w:val="16"/>
                <w:szCs w:val="18"/>
                <w:lang w:eastAsia="es-AR"/>
              </w:rPr>
              <w:t>Cambios en la calidad crediticia desde el reconocimiento inicial</w:t>
            </w:r>
          </w:p>
        </w:tc>
      </w:tr>
      <w:tr w:rsidR="00264F4C" w:rsidRPr="00642813" w14:paraId="2984BF1E" w14:textId="77777777" w:rsidTr="00264F4C">
        <w:trPr>
          <w:trHeight w:val="383"/>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BA8E5CD" w14:textId="77777777" w:rsidR="00264F4C" w:rsidRPr="00642813" w:rsidRDefault="00264F4C" w:rsidP="00264F4C">
            <w:pPr>
              <w:rPr>
                <w:rFonts w:ascii="Arial" w:hAnsi="Arial" w:cs="Arial"/>
                <w:sz w:val="16"/>
                <w:szCs w:val="18"/>
                <w:lang w:eastAsia="es-AR"/>
              </w:rPr>
            </w:pPr>
          </w:p>
        </w:tc>
      </w:tr>
      <w:tr w:rsidR="00264F4C" w:rsidRPr="00642813" w14:paraId="0F1DD65A" w14:textId="77777777" w:rsidTr="00264F4C">
        <w:trPr>
          <w:trHeight w:val="170"/>
          <w:jc w:val="center"/>
        </w:trPr>
        <w:tc>
          <w:tcPr>
            <w:tcW w:w="2038" w:type="dxa"/>
            <w:tcBorders>
              <w:top w:val="single" w:sz="4" w:space="0" w:color="auto"/>
              <w:left w:val="single" w:sz="4" w:space="0" w:color="auto"/>
              <w:bottom w:val="single" w:sz="4" w:space="0" w:color="auto"/>
              <w:right w:val="single" w:sz="4" w:space="0" w:color="auto"/>
            </w:tcBorders>
            <w:noWrap/>
            <w:vAlign w:val="center"/>
            <w:hideMark/>
          </w:tcPr>
          <w:p w14:paraId="64A4ACFA" w14:textId="77777777" w:rsidR="00264F4C" w:rsidRPr="00642813" w:rsidRDefault="00264F4C" w:rsidP="00264F4C">
            <w:pPr>
              <w:jc w:val="center"/>
              <w:rPr>
                <w:rFonts w:ascii="Arial" w:hAnsi="Arial" w:cs="Arial"/>
                <w:b/>
                <w:bCs/>
                <w:color w:val="000000"/>
                <w:sz w:val="16"/>
                <w:szCs w:val="18"/>
                <w:lang w:eastAsia="es-AR"/>
              </w:rPr>
            </w:pPr>
            <w:r w:rsidRPr="00642813">
              <w:rPr>
                <w:rFonts w:ascii="Arial" w:hAnsi="Arial" w:cs="Arial"/>
                <w:b/>
                <w:bCs/>
                <w:color w:val="000000"/>
                <w:sz w:val="16"/>
                <w:szCs w:val="18"/>
                <w:lang w:eastAsia="es-AR"/>
              </w:rPr>
              <w:t>Etapa 1</w:t>
            </w:r>
          </w:p>
        </w:tc>
        <w:tc>
          <w:tcPr>
            <w:tcW w:w="2921" w:type="dxa"/>
            <w:tcBorders>
              <w:top w:val="single" w:sz="4" w:space="0" w:color="auto"/>
              <w:left w:val="nil"/>
              <w:bottom w:val="single" w:sz="4" w:space="0" w:color="auto"/>
              <w:right w:val="nil"/>
            </w:tcBorders>
            <w:noWrap/>
            <w:vAlign w:val="center"/>
            <w:hideMark/>
          </w:tcPr>
          <w:p w14:paraId="1C8CCCD0" w14:textId="77777777" w:rsidR="00264F4C" w:rsidRPr="00642813" w:rsidRDefault="00264F4C" w:rsidP="00264F4C">
            <w:pPr>
              <w:jc w:val="center"/>
              <w:rPr>
                <w:rFonts w:ascii="Arial" w:hAnsi="Arial" w:cs="Arial"/>
                <w:b/>
                <w:bCs/>
                <w:color w:val="000000"/>
                <w:sz w:val="16"/>
                <w:szCs w:val="18"/>
                <w:lang w:eastAsia="es-AR"/>
              </w:rPr>
            </w:pPr>
            <w:r w:rsidRPr="00642813">
              <w:rPr>
                <w:rFonts w:ascii="Arial" w:hAnsi="Arial" w:cs="Arial"/>
                <w:b/>
                <w:bCs/>
                <w:color w:val="000000"/>
                <w:sz w:val="16"/>
                <w:szCs w:val="18"/>
                <w:lang w:eastAsia="es-AR"/>
              </w:rPr>
              <w:t>Etapa 2</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609A00CE" w14:textId="77777777" w:rsidR="00264F4C" w:rsidRPr="00642813" w:rsidRDefault="00264F4C" w:rsidP="00264F4C">
            <w:pPr>
              <w:jc w:val="center"/>
              <w:rPr>
                <w:rFonts w:ascii="Arial" w:hAnsi="Arial" w:cs="Arial"/>
                <w:b/>
                <w:bCs/>
                <w:color w:val="000000"/>
                <w:sz w:val="16"/>
                <w:szCs w:val="18"/>
                <w:lang w:eastAsia="es-AR"/>
              </w:rPr>
            </w:pPr>
            <w:r w:rsidRPr="00642813">
              <w:rPr>
                <w:rFonts w:ascii="Arial" w:hAnsi="Arial" w:cs="Arial"/>
                <w:b/>
                <w:bCs/>
                <w:color w:val="000000"/>
                <w:sz w:val="16"/>
                <w:szCs w:val="18"/>
                <w:lang w:eastAsia="es-AR"/>
              </w:rPr>
              <w:t>Etapa 3</w:t>
            </w:r>
          </w:p>
        </w:tc>
      </w:tr>
      <w:tr w:rsidR="00264F4C" w:rsidRPr="00642813" w14:paraId="51D2D50F" w14:textId="77777777" w:rsidTr="00264F4C">
        <w:trPr>
          <w:trHeight w:val="170"/>
          <w:jc w:val="center"/>
        </w:trPr>
        <w:tc>
          <w:tcPr>
            <w:tcW w:w="2038" w:type="dxa"/>
            <w:tcBorders>
              <w:top w:val="single" w:sz="4" w:space="0" w:color="auto"/>
              <w:left w:val="single" w:sz="4" w:space="0" w:color="auto"/>
              <w:bottom w:val="single" w:sz="4" w:space="0" w:color="auto"/>
              <w:right w:val="single" w:sz="4" w:space="0" w:color="auto"/>
            </w:tcBorders>
            <w:vAlign w:val="center"/>
            <w:hideMark/>
          </w:tcPr>
          <w:p w14:paraId="06B4E34F" w14:textId="77777777" w:rsidR="00264F4C" w:rsidRPr="00642813" w:rsidRDefault="00264F4C" w:rsidP="00264F4C">
            <w:pPr>
              <w:jc w:val="center"/>
              <w:rPr>
                <w:rFonts w:ascii="Arial" w:hAnsi="Arial" w:cs="Arial"/>
                <w:color w:val="000000"/>
                <w:sz w:val="16"/>
                <w:szCs w:val="18"/>
                <w:lang w:eastAsia="es-AR"/>
              </w:rPr>
            </w:pPr>
            <w:r w:rsidRPr="00642813">
              <w:rPr>
                <w:rFonts w:ascii="Arial" w:hAnsi="Arial" w:cs="Arial"/>
                <w:color w:val="000000"/>
                <w:sz w:val="16"/>
                <w:szCs w:val="18"/>
                <w:lang w:eastAsia="es-AR"/>
              </w:rPr>
              <w:t>(reconocimiento inicial)</w:t>
            </w:r>
          </w:p>
        </w:tc>
        <w:tc>
          <w:tcPr>
            <w:tcW w:w="2921" w:type="dxa"/>
            <w:tcBorders>
              <w:top w:val="single" w:sz="4" w:space="0" w:color="auto"/>
              <w:left w:val="nil"/>
              <w:bottom w:val="single" w:sz="4" w:space="0" w:color="auto"/>
              <w:right w:val="nil"/>
            </w:tcBorders>
            <w:vAlign w:val="center"/>
            <w:hideMark/>
          </w:tcPr>
          <w:p w14:paraId="64811268" w14:textId="77777777" w:rsidR="00264F4C" w:rsidRPr="00642813" w:rsidRDefault="00264F4C" w:rsidP="00264F4C">
            <w:pPr>
              <w:jc w:val="center"/>
              <w:rPr>
                <w:rFonts w:ascii="Arial" w:hAnsi="Arial" w:cs="Arial"/>
                <w:color w:val="000000"/>
                <w:sz w:val="16"/>
                <w:szCs w:val="18"/>
                <w:lang w:eastAsia="es-AR"/>
              </w:rPr>
            </w:pPr>
            <w:r w:rsidRPr="00642813">
              <w:rPr>
                <w:rFonts w:ascii="Arial" w:hAnsi="Arial" w:cs="Arial"/>
                <w:color w:val="000000"/>
                <w:sz w:val="16"/>
                <w:szCs w:val="18"/>
                <w:lang w:eastAsia="es-AR"/>
              </w:rPr>
              <w:t>(incremento significativo del riesgo de crédito desde el reconocimiento inicial)</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6AC0F46" w14:textId="77777777" w:rsidR="00264F4C" w:rsidRPr="00642813" w:rsidRDefault="00264F4C" w:rsidP="00264F4C">
            <w:pPr>
              <w:jc w:val="center"/>
              <w:rPr>
                <w:rFonts w:ascii="Arial" w:hAnsi="Arial" w:cs="Arial"/>
                <w:color w:val="000000"/>
                <w:sz w:val="16"/>
                <w:szCs w:val="18"/>
                <w:lang w:eastAsia="es-AR"/>
              </w:rPr>
            </w:pPr>
            <w:r w:rsidRPr="00642813">
              <w:rPr>
                <w:rFonts w:ascii="Arial" w:hAnsi="Arial" w:cs="Arial"/>
                <w:color w:val="000000"/>
                <w:sz w:val="16"/>
                <w:szCs w:val="18"/>
                <w:lang w:eastAsia="es-AR"/>
              </w:rPr>
              <w:t>(crédito deteriorado)</w:t>
            </w:r>
          </w:p>
        </w:tc>
      </w:tr>
      <w:tr w:rsidR="00264F4C" w:rsidRPr="00642813" w14:paraId="6B1D3425" w14:textId="77777777" w:rsidTr="00264F4C">
        <w:trPr>
          <w:trHeight w:val="170"/>
          <w:jc w:val="center"/>
        </w:trPr>
        <w:tc>
          <w:tcPr>
            <w:tcW w:w="2038" w:type="dxa"/>
            <w:tcBorders>
              <w:top w:val="single" w:sz="4" w:space="0" w:color="auto"/>
              <w:left w:val="single" w:sz="4" w:space="0" w:color="auto"/>
              <w:bottom w:val="single" w:sz="4" w:space="0" w:color="auto"/>
              <w:right w:val="single" w:sz="4" w:space="0" w:color="auto"/>
            </w:tcBorders>
            <w:vAlign w:val="center"/>
            <w:hideMark/>
          </w:tcPr>
          <w:p w14:paraId="2044781E" w14:textId="77777777" w:rsidR="00264F4C" w:rsidRPr="00642813" w:rsidRDefault="00264F4C" w:rsidP="00264F4C">
            <w:pPr>
              <w:jc w:val="center"/>
              <w:rPr>
                <w:rFonts w:ascii="Arial" w:hAnsi="Arial" w:cs="Arial"/>
                <w:color w:val="000000"/>
                <w:sz w:val="16"/>
                <w:szCs w:val="18"/>
                <w:lang w:eastAsia="es-AR"/>
              </w:rPr>
            </w:pPr>
            <w:r w:rsidRPr="00642813">
              <w:rPr>
                <w:rFonts w:ascii="Arial" w:hAnsi="Arial" w:cs="Arial"/>
                <w:color w:val="000000"/>
                <w:sz w:val="16"/>
                <w:szCs w:val="18"/>
                <w:lang w:eastAsia="es-AR"/>
              </w:rPr>
              <w:t>PCE por los próximos 12 meses</w:t>
            </w:r>
          </w:p>
        </w:tc>
        <w:tc>
          <w:tcPr>
            <w:tcW w:w="4761" w:type="dxa"/>
            <w:gridSpan w:val="2"/>
            <w:tcBorders>
              <w:top w:val="single" w:sz="4" w:space="0" w:color="auto"/>
              <w:left w:val="nil"/>
              <w:bottom w:val="single" w:sz="4" w:space="0" w:color="auto"/>
              <w:right w:val="single" w:sz="4" w:space="0" w:color="auto"/>
            </w:tcBorders>
            <w:vAlign w:val="center"/>
            <w:hideMark/>
          </w:tcPr>
          <w:p w14:paraId="7DC0DE4D" w14:textId="77777777" w:rsidR="00264F4C" w:rsidRPr="00642813" w:rsidRDefault="00264F4C" w:rsidP="00264F4C">
            <w:pPr>
              <w:jc w:val="center"/>
              <w:rPr>
                <w:rFonts w:ascii="Arial" w:hAnsi="Arial" w:cs="Arial"/>
                <w:color w:val="000000"/>
                <w:sz w:val="16"/>
                <w:szCs w:val="18"/>
                <w:lang w:eastAsia="es-AR"/>
              </w:rPr>
            </w:pPr>
            <w:r w:rsidRPr="00642813">
              <w:rPr>
                <w:rFonts w:ascii="Arial" w:hAnsi="Arial" w:cs="Arial"/>
                <w:color w:val="000000"/>
                <w:sz w:val="16"/>
                <w:szCs w:val="18"/>
                <w:lang w:eastAsia="es-AR"/>
              </w:rPr>
              <w:t>PCE durante toda la vida (“Lifetime”) del instrumento financiero</w:t>
            </w:r>
          </w:p>
        </w:tc>
      </w:tr>
    </w:tbl>
    <w:p w14:paraId="5A66592A" w14:textId="77777777" w:rsidR="00264F4C" w:rsidRPr="00642813" w:rsidRDefault="00264F4C" w:rsidP="00264F4C">
      <w:pPr>
        <w:jc w:val="both"/>
        <w:rPr>
          <w:rFonts w:ascii="Arial" w:hAnsi="Arial" w:cs="Arial"/>
          <w:sz w:val="18"/>
          <w:szCs w:val="18"/>
        </w:rPr>
      </w:pPr>
    </w:p>
    <w:p w14:paraId="2377857D" w14:textId="77777777" w:rsidR="00264F4C" w:rsidRDefault="00264F4C" w:rsidP="00264F4C">
      <w:pPr>
        <w:jc w:val="both"/>
        <w:rPr>
          <w:rFonts w:ascii="Arial" w:hAnsi="Arial" w:cs="Arial"/>
          <w:sz w:val="20"/>
        </w:rPr>
      </w:pPr>
    </w:p>
    <w:p w14:paraId="3B48CF19" w14:textId="77777777" w:rsidR="00264F4C" w:rsidRPr="00642813" w:rsidRDefault="00264F4C" w:rsidP="00264F4C">
      <w:pPr>
        <w:shd w:val="clear" w:color="auto" w:fill="FFFFFF"/>
        <w:tabs>
          <w:tab w:val="left" w:pos="708"/>
        </w:tabs>
        <w:jc w:val="both"/>
        <w:rPr>
          <w:rFonts w:ascii="Arial" w:hAnsi="Arial" w:cs="Arial"/>
          <w:sz w:val="20"/>
        </w:rPr>
      </w:pPr>
      <w:r w:rsidRPr="00642813">
        <w:rPr>
          <w:rFonts w:ascii="Arial" w:hAnsi="Arial" w:cs="Arial"/>
          <w:sz w:val="20"/>
        </w:rPr>
        <w:t xml:space="preserve">Los juicios y supuestos clave adoptados por el </w:t>
      </w:r>
      <w:r>
        <w:rPr>
          <w:rFonts w:ascii="Arial" w:hAnsi="Arial" w:cs="Arial"/>
          <w:sz w:val="20"/>
        </w:rPr>
        <w:t>Banco</w:t>
      </w:r>
      <w:r w:rsidRPr="00642813">
        <w:rPr>
          <w:rFonts w:ascii="Arial" w:hAnsi="Arial" w:cs="Arial"/>
          <w:sz w:val="20"/>
        </w:rPr>
        <w:t xml:space="preserve"> para la medición de las PCE se describen a continuación:</w:t>
      </w:r>
    </w:p>
    <w:p w14:paraId="733DBEE1" w14:textId="77777777" w:rsidR="00264F4C" w:rsidRPr="00642813" w:rsidRDefault="00264F4C" w:rsidP="00264F4C">
      <w:pPr>
        <w:shd w:val="clear" w:color="auto" w:fill="FFFFFF"/>
        <w:tabs>
          <w:tab w:val="left" w:pos="708"/>
        </w:tabs>
        <w:jc w:val="both"/>
        <w:rPr>
          <w:rFonts w:ascii="Arial" w:hAnsi="Arial" w:cs="Arial"/>
          <w:sz w:val="20"/>
        </w:rPr>
      </w:pPr>
    </w:p>
    <w:p w14:paraId="22D0C4E9" w14:textId="77777777" w:rsidR="00264F4C" w:rsidRPr="00642813" w:rsidRDefault="00264F4C" w:rsidP="00264F4C">
      <w:pPr>
        <w:rPr>
          <w:rFonts w:ascii="Arial" w:hAnsi="Arial" w:cs="Arial"/>
          <w:sz w:val="20"/>
        </w:rPr>
      </w:pPr>
      <w:r w:rsidRPr="00642813">
        <w:rPr>
          <w:rFonts w:ascii="Arial" w:hAnsi="Arial" w:cs="Arial"/>
          <w:b/>
          <w:sz w:val="20"/>
        </w:rPr>
        <w:t>1.2.1.</w:t>
      </w:r>
      <w:r w:rsidRPr="00642813">
        <w:rPr>
          <w:rFonts w:ascii="Arial" w:hAnsi="Arial" w:cs="Arial"/>
          <w:b/>
          <w:bCs/>
          <w:sz w:val="20"/>
        </w:rPr>
        <w:t xml:space="preserve"> Incremento significativo en el riesgo de crédito</w:t>
      </w:r>
    </w:p>
    <w:p w14:paraId="3E1EEC32" w14:textId="77777777" w:rsidR="00264F4C" w:rsidRPr="00642813" w:rsidRDefault="00264F4C" w:rsidP="00264F4C">
      <w:pPr>
        <w:rPr>
          <w:rFonts w:ascii="Arial" w:hAnsi="Arial" w:cs="Arial"/>
          <w:b/>
          <w:sz w:val="20"/>
        </w:rPr>
      </w:pPr>
    </w:p>
    <w:p w14:paraId="435813EE" w14:textId="77777777" w:rsidR="00264F4C" w:rsidRPr="00642813" w:rsidRDefault="00264F4C" w:rsidP="00264F4C">
      <w:pPr>
        <w:shd w:val="clear" w:color="auto" w:fill="FFFFFF"/>
        <w:tabs>
          <w:tab w:val="left" w:pos="708"/>
        </w:tabs>
        <w:jc w:val="both"/>
        <w:rPr>
          <w:rFonts w:ascii="Arial" w:hAnsi="Arial" w:cs="Arial"/>
          <w:sz w:val="20"/>
        </w:rPr>
      </w:pPr>
      <w:r w:rsidRPr="00642813">
        <w:rPr>
          <w:rFonts w:ascii="Arial" w:hAnsi="Arial" w:cs="Arial"/>
          <w:sz w:val="20"/>
        </w:rPr>
        <w:t>El Banco considera que un activo financiero experimentó un incremento significativo del riesgo de crédito cuando uno o más de los siguientes criterios cualitativos o cuantitativos fueron observados:</w:t>
      </w:r>
    </w:p>
    <w:p w14:paraId="25015C2B" w14:textId="77777777" w:rsidR="00264F4C" w:rsidRPr="00642813" w:rsidRDefault="00264F4C" w:rsidP="00264F4C">
      <w:pPr>
        <w:shd w:val="clear" w:color="auto" w:fill="FFFFFF"/>
        <w:tabs>
          <w:tab w:val="left" w:pos="708"/>
        </w:tabs>
        <w:jc w:val="both"/>
        <w:rPr>
          <w:rFonts w:ascii="Arial" w:hAnsi="Arial" w:cs="Arial"/>
          <w:sz w:val="20"/>
        </w:rPr>
      </w:pPr>
    </w:p>
    <w:p w14:paraId="403994C5" w14:textId="77777777" w:rsidR="00264F4C" w:rsidRPr="00642813" w:rsidRDefault="00264F4C" w:rsidP="00264F4C">
      <w:pPr>
        <w:shd w:val="clear" w:color="auto" w:fill="FFFFFF"/>
        <w:tabs>
          <w:tab w:val="left" w:pos="708"/>
        </w:tabs>
        <w:jc w:val="both"/>
        <w:rPr>
          <w:rFonts w:ascii="Arial" w:hAnsi="Arial" w:cs="Arial"/>
          <w:b/>
          <w:sz w:val="20"/>
        </w:rPr>
      </w:pPr>
      <w:r w:rsidRPr="00642813">
        <w:rPr>
          <w:rFonts w:ascii="Arial" w:hAnsi="Arial" w:cs="Arial"/>
          <w:b/>
          <w:sz w:val="20"/>
        </w:rPr>
        <w:t>Banca Personas y Negocios</w:t>
      </w:r>
    </w:p>
    <w:p w14:paraId="7C0D176A" w14:textId="77777777" w:rsidR="00264F4C" w:rsidRPr="00642813" w:rsidRDefault="00264F4C" w:rsidP="00264F4C">
      <w:pPr>
        <w:pStyle w:val="ListParagraph"/>
        <w:numPr>
          <w:ilvl w:val="0"/>
          <w:numId w:val="66"/>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t>Máximo atraso a nivel activo financiero entre 31 y 90 días.</w:t>
      </w:r>
    </w:p>
    <w:p w14:paraId="1D483326" w14:textId="77777777" w:rsidR="00264F4C" w:rsidRPr="00642813" w:rsidRDefault="00264F4C" w:rsidP="00264F4C">
      <w:pPr>
        <w:pStyle w:val="ListParagraph"/>
        <w:numPr>
          <w:ilvl w:val="0"/>
          <w:numId w:val="66"/>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t xml:space="preserve">Máxima Situación B.C.R.A. mayor que 1. </w:t>
      </w:r>
    </w:p>
    <w:p w14:paraId="75DEF32C" w14:textId="77777777" w:rsidR="00264F4C" w:rsidRPr="00642813" w:rsidRDefault="00264F4C" w:rsidP="00264F4C">
      <w:pPr>
        <w:pStyle w:val="ListParagraph"/>
        <w:numPr>
          <w:ilvl w:val="0"/>
          <w:numId w:val="66"/>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tab/>
        <w:t>Si el activo financiero es una refinanciación.</w:t>
      </w:r>
    </w:p>
    <w:p w14:paraId="0523CBEF" w14:textId="77777777" w:rsidR="00264F4C" w:rsidRPr="00642813" w:rsidRDefault="00264F4C" w:rsidP="00264F4C">
      <w:pPr>
        <w:pStyle w:val="ListParagraph"/>
        <w:numPr>
          <w:ilvl w:val="0"/>
          <w:numId w:val="66"/>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t>Poseer a nivel cliente un Score de Comportamiento Interno por debajo del punto de corte.</w:t>
      </w:r>
      <w:r w:rsidRPr="00642813">
        <w:rPr>
          <w:rStyle w:val="FootnoteReference"/>
          <w:rFonts w:ascii="Arial" w:hAnsi="Arial" w:cs="Arial"/>
          <w:sz w:val="20"/>
        </w:rPr>
        <w:footnoteReference w:id="2"/>
      </w:r>
    </w:p>
    <w:p w14:paraId="4953477F" w14:textId="77777777" w:rsidR="00264F4C" w:rsidRPr="00642813" w:rsidRDefault="00264F4C" w:rsidP="00264F4C">
      <w:pPr>
        <w:shd w:val="clear" w:color="auto" w:fill="FFFFFF"/>
        <w:tabs>
          <w:tab w:val="left" w:pos="708"/>
        </w:tabs>
        <w:jc w:val="both"/>
        <w:rPr>
          <w:rFonts w:ascii="Arial" w:hAnsi="Arial" w:cs="Arial"/>
          <w:b/>
          <w:sz w:val="20"/>
        </w:rPr>
      </w:pPr>
      <w:r w:rsidRPr="00642813">
        <w:rPr>
          <w:rFonts w:ascii="Arial" w:hAnsi="Arial" w:cs="Arial"/>
          <w:b/>
          <w:sz w:val="20"/>
        </w:rPr>
        <w:t>Banca Corporativa</w:t>
      </w:r>
    </w:p>
    <w:p w14:paraId="1AEAAB68" w14:textId="77777777" w:rsidR="00264F4C" w:rsidRPr="00642813" w:rsidRDefault="00264F4C" w:rsidP="00264F4C">
      <w:pPr>
        <w:pStyle w:val="ListParagraph"/>
        <w:numPr>
          <w:ilvl w:val="0"/>
          <w:numId w:val="67"/>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t>Máxima Situación B.C.R.A. 1 mayor que 1.</w:t>
      </w:r>
    </w:p>
    <w:p w14:paraId="37BE6735" w14:textId="77777777" w:rsidR="00264F4C" w:rsidRPr="00642813" w:rsidRDefault="00264F4C" w:rsidP="00264F4C">
      <w:pPr>
        <w:pStyle w:val="ListParagraph"/>
        <w:numPr>
          <w:ilvl w:val="0"/>
          <w:numId w:val="67"/>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t>Si el activo financiero es una refinanciación.</w:t>
      </w:r>
    </w:p>
    <w:p w14:paraId="1E8A3F76" w14:textId="77777777" w:rsidR="00264F4C" w:rsidRPr="00642813" w:rsidRDefault="00264F4C" w:rsidP="00264F4C">
      <w:pPr>
        <w:pStyle w:val="ListParagraph"/>
        <w:numPr>
          <w:ilvl w:val="0"/>
          <w:numId w:val="67"/>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lastRenderedPageBreak/>
        <w:t>Poseer un Rating Interno con una Calificación “C” (Probabilidad de default mayor a 30%).</w:t>
      </w:r>
    </w:p>
    <w:p w14:paraId="38B1583A" w14:textId="77777777" w:rsidR="00264F4C" w:rsidRPr="00642813" w:rsidRDefault="00264F4C" w:rsidP="00264F4C">
      <w:pPr>
        <w:shd w:val="clear" w:color="auto" w:fill="FFFFFF"/>
        <w:tabs>
          <w:tab w:val="left" w:pos="708"/>
        </w:tabs>
        <w:jc w:val="both"/>
        <w:rPr>
          <w:rFonts w:ascii="Arial" w:hAnsi="Arial" w:cs="Arial"/>
          <w:b/>
          <w:sz w:val="20"/>
        </w:rPr>
      </w:pPr>
      <w:r w:rsidRPr="00642813">
        <w:rPr>
          <w:rFonts w:ascii="Arial" w:hAnsi="Arial" w:cs="Arial"/>
          <w:b/>
          <w:sz w:val="20"/>
        </w:rPr>
        <w:t>División Consumo</w:t>
      </w:r>
    </w:p>
    <w:p w14:paraId="0692720E" w14:textId="77777777" w:rsidR="00264F4C" w:rsidRPr="00642813" w:rsidRDefault="00264F4C" w:rsidP="00264F4C">
      <w:pPr>
        <w:pStyle w:val="ListParagraph"/>
        <w:numPr>
          <w:ilvl w:val="0"/>
          <w:numId w:val="68"/>
        </w:numPr>
        <w:shd w:val="clear" w:color="auto" w:fill="FFFFFF"/>
        <w:tabs>
          <w:tab w:val="left" w:pos="708"/>
        </w:tabs>
        <w:spacing w:after="160" w:line="256" w:lineRule="auto"/>
        <w:contextualSpacing/>
        <w:jc w:val="both"/>
        <w:rPr>
          <w:rFonts w:ascii="Arial" w:hAnsi="Arial" w:cs="Arial"/>
          <w:sz w:val="20"/>
        </w:rPr>
      </w:pPr>
      <w:r w:rsidRPr="00642813">
        <w:rPr>
          <w:rFonts w:ascii="Arial" w:hAnsi="Arial" w:cs="Arial"/>
          <w:sz w:val="20"/>
        </w:rPr>
        <w:t>Máximo atraso a nivel activo financiero entre 31 y 90 días.</w:t>
      </w:r>
    </w:p>
    <w:p w14:paraId="3B2E336A" w14:textId="77777777" w:rsidR="00264F4C" w:rsidRPr="00642813" w:rsidRDefault="00264F4C" w:rsidP="00264F4C">
      <w:pPr>
        <w:jc w:val="both"/>
        <w:rPr>
          <w:rFonts w:ascii="Arial" w:hAnsi="Arial" w:cs="Arial"/>
          <w:sz w:val="20"/>
          <w:highlight w:val="yellow"/>
        </w:rPr>
      </w:pPr>
    </w:p>
    <w:p w14:paraId="7677496A" w14:textId="77777777" w:rsidR="00264F4C" w:rsidRPr="00642813" w:rsidRDefault="00264F4C" w:rsidP="00264F4C">
      <w:pPr>
        <w:rPr>
          <w:rFonts w:ascii="Arial" w:hAnsi="Arial" w:cs="Arial"/>
          <w:b/>
          <w:sz w:val="20"/>
        </w:rPr>
      </w:pPr>
      <w:r w:rsidRPr="00642813">
        <w:rPr>
          <w:rFonts w:ascii="Arial" w:hAnsi="Arial" w:cs="Arial"/>
          <w:b/>
          <w:sz w:val="20"/>
        </w:rPr>
        <w:t>1.2.2. Base de evaluación individual y colectiva</w:t>
      </w:r>
    </w:p>
    <w:p w14:paraId="59485487" w14:textId="77777777" w:rsidR="00264F4C" w:rsidRPr="00642813" w:rsidRDefault="00264F4C" w:rsidP="00264F4C">
      <w:pPr>
        <w:rPr>
          <w:rFonts w:ascii="Arial" w:hAnsi="Arial" w:cs="Arial"/>
          <w:b/>
          <w:sz w:val="20"/>
        </w:rPr>
      </w:pPr>
    </w:p>
    <w:p w14:paraId="46DFA3F9" w14:textId="77777777" w:rsidR="00264F4C" w:rsidRPr="00F55BAD" w:rsidRDefault="00264F4C" w:rsidP="00264F4C">
      <w:pPr>
        <w:ind w:right="-227"/>
        <w:jc w:val="both"/>
        <w:rPr>
          <w:rFonts w:ascii="Arial" w:hAnsi="Arial" w:cs="Arial"/>
          <w:sz w:val="20"/>
        </w:rPr>
      </w:pPr>
      <w:r w:rsidRPr="00F55BAD">
        <w:rPr>
          <w:rFonts w:ascii="Arial" w:hAnsi="Arial" w:cs="Arial"/>
          <w:sz w:val="20"/>
        </w:rPr>
        <w:t>Las pérdidas esperadas se estiman tanto de forma individual como colectivamente.</w:t>
      </w:r>
    </w:p>
    <w:p w14:paraId="0CA254A3" w14:textId="77777777" w:rsidR="00264F4C" w:rsidRPr="00F55BAD" w:rsidRDefault="00264F4C" w:rsidP="00264F4C">
      <w:pPr>
        <w:ind w:right="-227"/>
        <w:jc w:val="both"/>
        <w:rPr>
          <w:rFonts w:ascii="Arial" w:hAnsi="Arial" w:cs="Arial"/>
          <w:sz w:val="20"/>
        </w:rPr>
      </w:pPr>
    </w:p>
    <w:p w14:paraId="4A95A823" w14:textId="77777777" w:rsidR="00264F4C" w:rsidRPr="00F55BAD" w:rsidRDefault="00264F4C" w:rsidP="00264F4C">
      <w:pPr>
        <w:ind w:right="-227"/>
        <w:jc w:val="both"/>
        <w:rPr>
          <w:rFonts w:ascii="Arial" w:hAnsi="Arial" w:cs="Arial"/>
          <w:sz w:val="20"/>
        </w:rPr>
      </w:pPr>
      <w:r w:rsidRPr="00F55BAD">
        <w:rPr>
          <w:rFonts w:ascii="Arial" w:hAnsi="Arial" w:cs="Arial"/>
          <w:sz w:val="20"/>
        </w:rPr>
        <w:t xml:space="preserve">El objetivo de la estimación individual del Banco es estimar las pérdidas esperadas para riesgos significativos deteriorados. En estos casos, el importe de las pérdidas crediticias se calcula como la diferencia entre los flujos de efectivo esperados descontados al tipo de interés efectivo de la operación y el valor en libros del instrumento. </w:t>
      </w:r>
    </w:p>
    <w:p w14:paraId="6A602605" w14:textId="77777777" w:rsidR="00264F4C" w:rsidRPr="00F55BAD" w:rsidRDefault="00264F4C" w:rsidP="00264F4C">
      <w:pPr>
        <w:ind w:right="-227"/>
        <w:jc w:val="both"/>
        <w:rPr>
          <w:rFonts w:ascii="Arial" w:hAnsi="Arial" w:cs="Arial"/>
          <w:sz w:val="20"/>
        </w:rPr>
      </w:pPr>
    </w:p>
    <w:p w14:paraId="059F8FD2" w14:textId="6431A0E2" w:rsidR="00264F4C" w:rsidRDefault="00264F4C" w:rsidP="00264F4C">
      <w:pPr>
        <w:ind w:right="-227"/>
        <w:jc w:val="both"/>
        <w:rPr>
          <w:rFonts w:ascii="Arial" w:hAnsi="Arial" w:cs="Arial"/>
          <w:sz w:val="20"/>
        </w:rPr>
      </w:pPr>
      <w:r w:rsidRPr="00F55BAD">
        <w:rPr>
          <w:rFonts w:ascii="Arial" w:hAnsi="Arial" w:cs="Arial"/>
          <w:sz w:val="20"/>
        </w:rPr>
        <w:t>Para la estimación colectiva de las pérdidas esperadas los instrumentos se distribuyen en grupos de activos en base a sus características de riesgo. Las exposiciones dentro de cada grupo se segmentan en función de características similares del riesgo de crédito, indicativas de la capacidad de pago del deudor de acuerdo con sus condiciones contractuales. Estas características de riesgo tienen que ser relevantes en la estimación de los flujos futuros de cada grupo. Las características de riesgo de crédito pueden considerar, entre otros, los siguientes factores:</w:t>
      </w:r>
    </w:p>
    <w:p w14:paraId="5EF5E8F3" w14:textId="77777777" w:rsidR="00264F4C" w:rsidRDefault="00264F4C" w:rsidP="00264F4C">
      <w:pPr>
        <w:ind w:right="-227"/>
        <w:jc w:val="both"/>
        <w:rPr>
          <w:rFonts w:ascii="Arial" w:hAnsi="Arial" w:cs="Arial"/>
          <w:sz w:val="20"/>
        </w:rPr>
      </w:pPr>
    </w:p>
    <w:tbl>
      <w:tblPr>
        <w:tblW w:w="7580" w:type="dxa"/>
        <w:tblCellMar>
          <w:left w:w="70" w:type="dxa"/>
          <w:right w:w="70" w:type="dxa"/>
        </w:tblCellMar>
        <w:tblLook w:val="04A0" w:firstRow="1" w:lastRow="0" w:firstColumn="1" w:lastColumn="0" w:noHBand="0" w:noVBand="1"/>
      </w:tblPr>
      <w:tblGrid>
        <w:gridCol w:w="1640"/>
        <w:gridCol w:w="2180"/>
        <w:gridCol w:w="3760"/>
      </w:tblGrid>
      <w:tr w:rsidR="00264F4C" w:rsidRPr="002728DC" w14:paraId="43EF74A3" w14:textId="77777777" w:rsidTr="00264F4C">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D2462" w14:textId="77777777" w:rsidR="00264F4C" w:rsidRPr="002E1AF6" w:rsidRDefault="00264F4C" w:rsidP="00264F4C">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Entidad</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149AD2C" w14:textId="77777777" w:rsidR="00264F4C" w:rsidRPr="002E1AF6" w:rsidRDefault="00264F4C" w:rsidP="00264F4C">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Parámetro</w:t>
            </w:r>
          </w:p>
        </w:tc>
        <w:tc>
          <w:tcPr>
            <w:tcW w:w="3760" w:type="dxa"/>
            <w:tcBorders>
              <w:top w:val="single" w:sz="4" w:space="0" w:color="auto"/>
              <w:left w:val="nil"/>
              <w:bottom w:val="single" w:sz="4" w:space="0" w:color="auto"/>
              <w:right w:val="single" w:sz="4" w:space="0" w:color="auto"/>
            </w:tcBorders>
            <w:shd w:val="clear" w:color="auto" w:fill="auto"/>
            <w:noWrap/>
            <w:vAlign w:val="center"/>
            <w:hideMark/>
          </w:tcPr>
          <w:p w14:paraId="32856E91" w14:textId="77777777" w:rsidR="00264F4C" w:rsidRPr="002E1AF6" w:rsidRDefault="00264F4C" w:rsidP="00264F4C">
            <w:pPr>
              <w:jc w:val="center"/>
              <w:rPr>
                <w:rFonts w:ascii="Arial" w:hAnsi="Arial" w:cs="Arial"/>
                <w:b/>
                <w:bCs/>
                <w:color w:val="000000"/>
                <w:sz w:val="18"/>
                <w:szCs w:val="18"/>
                <w:lang w:eastAsia="es-AR"/>
              </w:rPr>
            </w:pPr>
            <w:r w:rsidRPr="002E1AF6">
              <w:rPr>
                <w:rFonts w:ascii="Arial" w:hAnsi="Arial" w:cs="Arial"/>
                <w:b/>
                <w:bCs/>
                <w:color w:val="000000"/>
                <w:sz w:val="18"/>
                <w:szCs w:val="18"/>
                <w:lang w:eastAsia="es-AR"/>
              </w:rPr>
              <w:t>Segmento</w:t>
            </w:r>
          </w:p>
        </w:tc>
      </w:tr>
      <w:tr w:rsidR="00264F4C" w:rsidRPr="002728DC" w14:paraId="5AA9D8B7" w14:textId="77777777" w:rsidTr="00264F4C">
        <w:trPr>
          <w:trHeight w:val="300"/>
        </w:trPr>
        <w:tc>
          <w:tcPr>
            <w:tcW w:w="16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5A6163" w14:textId="77777777" w:rsidR="00264F4C" w:rsidRPr="002E1AF6" w:rsidRDefault="00264F4C" w:rsidP="00264F4C">
            <w:pPr>
              <w:jc w:val="center"/>
              <w:rPr>
                <w:rFonts w:ascii="Arial" w:hAnsi="Arial" w:cs="Arial"/>
                <w:color w:val="000000"/>
                <w:sz w:val="18"/>
                <w:szCs w:val="18"/>
                <w:lang w:eastAsia="es-AR"/>
              </w:rPr>
            </w:pPr>
            <w:r w:rsidRPr="002E1AF6">
              <w:rPr>
                <w:rFonts w:ascii="Arial" w:hAnsi="Arial" w:cs="Arial"/>
                <w:color w:val="000000"/>
                <w:sz w:val="18"/>
                <w:szCs w:val="18"/>
                <w:lang w:eastAsia="es-AR"/>
              </w:rPr>
              <w:t>Banca Minorista</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2A56FA71" w14:textId="77777777" w:rsidR="00264F4C" w:rsidRPr="002E1AF6" w:rsidRDefault="00264F4C" w:rsidP="00264F4C">
            <w:pPr>
              <w:jc w:val="center"/>
              <w:rPr>
                <w:rFonts w:ascii="Arial" w:hAnsi="Arial" w:cs="Arial"/>
                <w:color w:val="000000"/>
                <w:sz w:val="18"/>
                <w:szCs w:val="18"/>
                <w:lang w:eastAsia="es-AR"/>
              </w:rPr>
            </w:pPr>
            <w:r w:rsidRPr="002E1AF6">
              <w:rPr>
                <w:rFonts w:ascii="Arial" w:hAnsi="Arial" w:cs="Arial"/>
                <w:color w:val="000000"/>
                <w:sz w:val="18"/>
                <w:szCs w:val="18"/>
                <w:lang w:eastAsia="es-AR"/>
              </w:rPr>
              <w:t>Probabilidad de Default (PD)</w:t>
            </w:r>
          </w:p>
        </w:tc>
        <w:tc>
          <w:tcPr>
            <w:tcW w:w="3760" w:type="dxa"/>
            <w:tcBorders>
              <w:top w:val="nil"/>
              <w:left w:val="nil"/>
              <w:bottom w:val="single" w:sz="4" w:space="0" w:color="auto"/>
              <w:right w:val="single" w:sz="4" w:space="0" w:color="auto"/>
            </w:tcBorders>
            <w:shd w:val="clear" w:color="auto" w:fill="auto"/>
            <w:vAlign w:val="center"/>
            <w:hideMark/>
          </w:tcPr>
          <w:p w14:paraId="65D294F8"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 xml:space="preserve">Préstamos Personales </w:t>
            </w:r>
            <w:r w:rsidRPr="002E1AF6">
              <w:rPr>
                <w:rFonts w:ascii="Arial" w:hAnsi="Arial" w:cs="Arial"/>
                <w:color w:val="000000"/>
                <w:sz w:val="18"/>
                <w:szCs w:val="18"/>
                <w:vertAlign w:val="superscript"/>
                <w:lang w:eastAsia="es-AR"/>
              </w:rPr>
              <w:t>(1)</w:t>
            </w:r>
          </w:p>
        </w:tc>
      </w:tr>
      <w:tr w:rsidR="00264F4C" w:rsidRPr="002728DC" w14:paraId="1E7E247A"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40EBD087"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31ABA209"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vAlign w:val="center"/>
            <w:hideMark/>
          </w:tcPr>
          <w:p w14:paraId="207408B1"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 xml:space="preserve">Tarjetas de Crédito </w:t>
            </w:r>
            <w:r w:rsidRPr="002E1AF6">
              <w:rPr>
                <w:rFonts w:ascii="Arial" w:hAnsi="Arial" w:cs="Arial"/>
                <w:color w:val="000000"/>
                <w:sz w:val="18"/>
                <w:szCs w:val="18"/>
                <w:vertAlign w:val="superscript"/>
                <w:lang w:eastAsia="es-AR"/>
              </w:rPr>
              <w:t>(1)</w:t>
            </w:r>
          </w:p>
        </w:tc>
      </w:tr>
      <w:tr w:rsidR="00264F4C" w:rsidRPr="002728DC" w14:paraId="77E33C72"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684A1C4F"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7E2CE12E"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AC7A3CA"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Adelantos</w:t>
            </w:r>
          </w:p>
        </w:tc>
      </w:tr>
      <w:tr w:rsidR="00264F4C" w:rsidRPr="002728DC" w14:paraId="28AA0F15"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6392C6DD"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10E40A65"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76F6CB5"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Documentos</w:t>
            </w:r>
          </w:p>
        </w:tc>
      </w:tr>
      <w:tr w:rsidR="00264F4C" w:rsidRPr="002728DC" w14:paraId="3EE9CC47"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F115C5E"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78113D6A"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486DFF59"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Hipotecarios</w:t>
            </w:r>
          </w:p>
        </w:tc>
      </w:tr>
      <w:tr w:rsidR="00264F4C" w:rsidRPr="002728DC" w14:paraId="4AE303AC"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2A4E9C8E"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4D8C87B"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2B8FE8CE"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Refinanciaciones</w:t>
            </w:r>
          </w:p>
        </w:tc>
      </w:tr>
      <w:tr w:rsidR="00264F4C" w:rsidRPr="002728DC" w14:paraId="462F34B3"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210B95A"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6A35955"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53A6EF17"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Otros</w:t>
            </w:r>
          </w:p>
        </w:tc>
      </w:tr>
      <w:tr w:rsidR="00264F4C" w:rsidRPr="002728DC" w14:paraId="7FEB576B"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C058DB9" w14:textId="77777777" w:rsidR="00264F4C" w:rsidRPr="002E1AF6" w:rsidRDefault="00264F4C" w:rsidP="00264F4C">
            <w:pPr>
              <w:rPr>
                <w:rFonts w:ascii="Arial" w:hAnsi="Arial" w:cs="Arial"/>
                <w:color w:val="000000"/>
                <w:sz w:val="18"/>
                <w:szCs w:val="18"/>
                <w:lang w:eastAsia="es-AR"/>
              </w:rPr>
            </w:pP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1C1AABC1" w14:textId="77777777" w:rsidR="00264F4C" w:rsidRPr="002E1AF6" w:rsidRDefault="00264F4C" w:rsidP="00264F4C">
            <w:pPr>
              <w:jc w:val="center"/>
              <w:rPr>
                <w:rFonts w:ascii="Arial" w:hAnsi="Arial" w:cs="Arial"/>
                <w:color w:val="000000"/>
                <w:sz w:val="18"/>
                <w:szCs w:val="18"/>
                <w:lang w:eastAsia="es-AR"/>
              </w:rPr>
            </w:pPr>
            <w:r w:rsidRPr="002E1AF6">
              <w:rPr>
                <w:rFonts w:ascii="Arial" w:hAnsi="Arial" w:cs="Arial"/>
                <w:color w:val="000000"/>
                <w:sz w:val="18"/>
                <w:szCs w:val="18"/>
                <w:lang w:eastAsia="es-AR"/>
              </w:rPr>
              <w:t>Severidad (LGD)</w:t>
            </w:r>
          </w:p>
        </w:tc>
        <w:tc>
          <w:tcPr>
            <w:tcW w:w="3760" w:type="dxa"/>
            <w:tcBorders>
              <w:top w:val="nil"/>
              <w:left w:val="nil"/>
              <w:bottom w:val="single" w:sz="4" w:space="0" w:color="auto"/>
              <w:right w:val="single" w:sz="4" w:space="0" w:color="auto"/>
            </w:tcBorders>
            <w:shd w:val="clear" w:color="auto" w:fill="auto"/>
            <w:noWrap/>
            <w:vAlign w:val="center"/>
            <w:hideMark/>
          </w:tcPr>
          <w:p w14:paraId="463BD1C5"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Préstamos personales</w:t>
            </w:r>
          </w:p>
        </w:tc>
      </w:tr>
      <w:tr w:rsidR="00264F4C" w:rsidRPr="002728DC" w14:paraId="78CDB3BD"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2859072"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9032088"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6803E74F"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Tarjetas de Crédito</w:t>
            </w:r>
          </w:p>
        </w:tc>
      </w:tr>
      <w:tr w:rsidR="00264F4C" w:rsidRPr="002728DC" w14:paraId="6B3AF670"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6754509"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BE628FC"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27BF26A9"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Adelantos</w:t>
            </w:r>
          </w:p>
        </w:tc>
      </w:tr>
      <w:tr w:rsidR="00264F4C" w:rsidRPr="002728DC" w14:paraId="40678AD9"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500D06BF"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1EC8A222"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1200B68A"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Hipotecarios</w:t>
            </w:r>
          </w:p>
        </w:tc>
      </w:tr>
      <w:tr w:rsidR="00264F4C" w:rsidRPr="002728DC" w14:paraId="1CE97269"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5F4681F1"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EF3F5F6"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602F980F"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Refinanciaciones</w:t>
            </w:r>
          </w:p>
        </w:tc>
      </w:tr>
      <w:tr w:rsidR="00264F4C" w:rsidRPr="002728DC" w14:paraId="4A784B35"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42D6DC65" w14:textId="77777777" w:rsidR="00264F4C" w:rsidRPr="002E1AF6"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47D1D5A6" w14:textId="77777777" w:rsidR="00264F4C" w:rsidRPr="002E1AF6"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57FE1BAB"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Otros</w:t>
            </w:r>
          </w:p>
        </w:tc>
      </w:tr>
    </w:tbl>
    <w:p w14:paraId="03EA132A" w14:textId="77777777" w:rsidR="00264F4C" w:rsidRDefault="00264F4C" w:rsidP="00264F4C">
      <w:pPr>
        <w:ind w:right="-227"/>
        <w:jc w:val="both"/>
        <w:rPr>
          <w:sz w:val="20"/>
        </w:rPr>
      </w:pPr>
    </w:p>
    <w:p w14:paraId="45EDDCBE" w14:textId="77777777" w:rsidR="00264F4C" w:rsidRPr="00642813" w:rsidRDefault="00264F4C" w:rsidP="00264F4C">
      <w:pPr>
        <w:ind w:right="-227"/>
        <w:jc w:val="both"/>
        <w:rPr>
          <w:rFonts w:ascii="Arial" w:hAnsi="Arial" w:cs="Arial"/>
          <w:sz w:val="14"/>
          <w:szCs w:val="14"/>
        </w:rPr>
      </w:pPr>
      <w:r w:rsidRPr="00642813">
        <w:rPr>
          <w:rStyle w:val="FootnoteReference"/>
          <w:rFonts w:ascii="Arial" w:hAnsi="Arial" w:cs="Arial"/>
          <w:sz w:val="14"/>
          <w:szCs w:val="14"/>
        </w:rPr>
        <w:footnoteRef/>
      </w:r>
      <w:r w:rsidRPr="00642813">
        <w:rPr>
          <w:rFonts w:ascii="Arial" w:hAnsi="Arial" w:cs="Arial"/>
          <w:sz w:val="14"/>
          <w:szCs w:val="14"/>
        </w:rPr>
        <w:t xml:space="preserve"> Definición de puntos de corte para SICR - </w:t>
      </w:r>
      <w:r w:rsidRPr="00642813">
        <w:rPr>
          <w:rFonts w:ascii="Arial" w:hAnsi="Arial" w:cs="Arial"/>
          <w:b/>
          <w:sz w:val="14"/>
          <w:szCs w:val="14"/>
          <w:lang w:val="es-MX"/>
        </w:rPr>
        <w:t>Plan Sueldo</w:t>
      </w:r>
      <w:r w:rsidRPr="00642813">
        <w:rPr>
          <w:rFonts w:ascii="Arial" w:hAnsi="Arial" w:cs="Arial"/>
          <w:sz w:val="14"/>
          <w:szCs w:val="14"/>
          <w:lang w:val="es-MX"/>
        </w:rPr>
        <w:t xml:space="preserve">: Renta Alta PC=&gt;400. Resto PC=&gt;500. | </w:t>
      </w:r>
      <w:r w:rsidRPr="00642813">
        <w:rPr>
          <w:rFonts w:ascii="Arial" w:hAnsi="Arial" w:cs="Arial"/>
          <w:b/>
          <w:sz w:val="14"/>
          <w:szCs w:val="14"/>
          <w:lang w:val="es-MX"/>
        </w:rPr>
        <w:t>Mercado Abierto</w:t>
      </w:r>
      <w:r w:rsidRPr="00642813">
        <w:rPr>
          <w:rFonts w:ascii="Arial" w:hAnsi="Arial" w:cs="Arial"/>
          <w:sz w:val="14"/>
          <w:szCs w:val="14"/>
          <w:lang w:val="es-MX"/>
        </w:rPr>
        <w:t xml:space="preserve">: Renta Alta PC=&gt;700. Resto PC=&gt;700. | </w:t>
      </w:r>
      <w:r w:rsidRPr="00642813">
        <w:rPr>
          <w:rFonts w:ascii="Arial" w:hAnsi="Arial" w:cs="Arial"/>
          <w:b/>
          <w:sz w:val="14"/>
          <w:szCs w:val="14"/>
          <w:lang w:val="es-MX"/>
        </w:rPr>
        <w:t>Jubilados</w:t>
      </w:r>
      <w:r w:rsidRPr="00642813">
        <w:rPr>
          <w:rFonts w:ascii="Arial" w:hAnsi="Arial" w:cs="Arial"/>
          <w:sz w:val="14"/>
          <w:szCs w:val="14"/>
          <w:lang w:val="es-MX"/>
        </w:rPr>
        <w:t>: Renta Alta PC=&gt;610. Resto PC =&gt;610.</w:t>
      </w:r>
    </w:p>
    <w:p w14:paraId="513A3E7D" w14:textId="10D7770A" w:rsidR="00264F4C" w:rsidRDefault="00264F4C" w:rsidP="00264F4C">
      <w:pPr>
        <w:ind w:right="-227"/>
        <w:jc w:val="both"/>
        <w:rPr>
          <w:sz w:val="20"/>
        </w:rPr>
      </w:pPr>
    </w:p>
    <w:p w14:paraId="34FE7CB8" w14:textId="220380A1" w:rsidR="00F10EED" w:rsidRDefault="00F10EED" w:rsidP="00264F4C">
      <w:pPr>
        <w:ind w:right="-227"/>
        <w:jc w:val="both"/>
        <w:rPr>
          <w:sz w:val="20"/>
        </w:rPr>
      </w:pPr>
    </w:p>
    <w:p w14:paraId="7B6A5589" w14:textId="77777777" w:rsidR="00F10EED" w:rsidRDefault="00F10EED" w:rsidP="00264F4C">
      <w:pPr>
        <w:ind w:right="-227"/>
        <w:jc w:val="both"/>
        <w:rPr>
          <w:sz w:val="20"/>
        </w:rPr>
      </w:pPr>
    </w:p>
    <w:p w14:paraId="410D369C" w14:textId="32F4DFB5" w:rsidR="00111E5A" w:rsidRDefault="00111E5A" w:rsidP="00264F4C">
      <w:pPr>
        <w:ind w:right="-227"/>
        <w:jc w:val="both"/>
        <w:rPr>
          <w:sz w:val="20"/>
        </w:rPr>
      </w:pPr>
    </w:p>
    <w:p w14:paraId="7736DED8" w14:textId="77777777" w:rsidR="00111E5A" w:rsidRDefault="00111E5A" w:rsidP="00264F4C">
      <w:pPr>
        <w:ind w:right="-227"/>
        <w:jc w:val="both"/>
        <w:rPr>
          <w:sz w:val="20"/>
        </w:rPr>
      </w:pPr>
    </w:p>
    <w:tbl>
      <w:tblPr>
        <w:tblW w:w="7580" w:type="dxa"/>
        <w:tblCellMar>
          <w:left w:w="70" w:type="dxa"/>
          <w:right w:w="70" w:type="dxa"/>
        </w:tblCellMar>
        <w:tblLook w:val="04A0" w:firstRow="1" w:lastRow="0" w:firstColumn="1" w:lastColumn="0" w:noHBand="0" w:noVBand="1"/>
      </w:tblPr>
      <w:tblGrid>
        <w:gridCol w:w="1640"/>
        <w:gridCol w:w="2180"/>
        <w:gridCol w:w="3760"/>
      </w:tblGrid>
      <w:tr w:rsidR="00264F4C" w:rsidRPr="00642813" w14:paraId="41285747" w14:textId="77777777" w:rsidTr="00264F4C">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C169B"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Entidad</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D7BFFF1"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Parámetro</w:t>
            </w:r>
          </w:p>
        </w:tc>
        <w:tc>
          <w:tcPr>
            <w:tcW w:w="3760" w:type="dxa"/>
            <w:tcBorders>
              <w:top w:val="single" w:sz="4" w:space="0" w:color="auto"/>
              <w:left w:val="nil"/>
              <w:bottom w:val="single" w:sz="4" w:space="0" w:color="auto"/>
              <w:right w:val="single" w:sz="4" w:space="0" w:color="auto"/>
            </w:tcBorders>
            <w:shd w:val="clear" w:color="auto" w:fill="auto"/>
            <w:noWrap/>
            <w:vAlign w:val="center"/>
            <w:hideMark/>
          </w:tcPr>
          <w:p w14:paraId="09168CE8"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Segmento</w:t>
            </w:r>
          </w:p>
        </w:tc>
      </w:tr>
      <w:tr w:rsidR="00264F4C" w:rsidRPr="00642813" w14:paraId="4CBB486C" w14:textId="77777777" w:rsidTr="00264F4C">
        <w:trPr>
          <w:trHeight w:val="300"/>
        </w:trPr>
        <w:tc>
          <w:tcPr>
            <w:tcW w:w="16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A92512" w14:textId="77777777" w:rsidR="00264F4C" w:rsidRPr="00264F4C" w:rsidRDefault="00264F4C" w:rsidP="00264F4C">
            <w:pPr>
              <w:jc w:val="center"/>
              <w:rPr>
                <w:rFonts w:ascii="Arial" w:hAnsi="Arial" w:cs="Arial"/>
                <w:color w:val="000000"/>
                <w:sz w:val="18"/>
                <w:szCs w:val="18"/>
                <w:lang w:eastAsia="es-AR"/>
              </w:rPr>
            </w:pPr>
            <w:r w:rsidRPr="00264F4C">
              <w:rPr>
                <w:rFonts w:ascii="Arial" w:hAnsi="Arial" w:cs="Arial"/>
                <w:color w:val="000000"/>
                <w:sz w:val="18"/>
                <w:szCs w:val="18"/>
                <w:lang w:eastAsia="es-AR"/>
              </w:rPr>
              <w:t>Banca Empresas</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AFFFB0E" w14:textId="77777777" w:rsidR="00264F4C" w:rsidRPr="00264F4C" w:rsidRDefault="00264F4C" w:rsidP="00264F4C">
            <w:pPr>
              <w:jc w:val="center"/>
              <w:rPr>
                <w:rFonts w:ascii="Arial" w:hAnsi="Arial" w:cs="Arial"/>
                <w:color w:val="000000"/>
                <w:sz w:val="18"/>
                <w:szCs w:val="18"/>
                <w:lang w:eastAsia="es-AR"/>
              </w:rPr>
            </w:pPr>
            <w:r w:rsidRPr="00264F4C">
              <w:rPr>
                <w:rFonts w:ascii="Arial" w:hAnsi="Arial" w:cs="Arial"/>
                <w:color w:val="000000"/>
                <w:sz w:val="18"/>
                <w:szCs w:val="18"/>
                <w:lang w:eastAsia="es-AR"/>
              </w:rPr>
              <w:t xml:space="preserve">Probabilidad de Default (PD) </w:t>
            </w:r>
            <w:r w:rsidRPr="00264F4C">
              <w:rPr>
                <w:rFonts w:ascii="Arial" w:hAnsi="Arial" w:cs="Arial"/>
                <w:color w:val="000000"/>
                <w:sz w:val="18"/>
                <w:szCs w:val="18"/>
                <w:vertAlign w:val="superscript"/>
                <w:lang w:eastAsia="es-AR"/>
              </w:rPr>
              <w:t>(2)</w:t>
            </w:r>
          </w:p>
        </w:tc>
        <w:tc>
          <w:tcPr>
            <w:tcW w:w="3760" w:type="dxa"/>
            <w:tcBorders>
              <w:top w:val="nil"/>
              <w:left w:val="nil"/>
              <w:bottom w:val="single" w:sz="4" w:space="0" w:color="auto"/>
              <w:right w:val="single" w:sz="4" w:space="0" w:color="auto"/>
            </w:tcBorders>
            <w:shd w:val="clear" w:color="auto" w:fill="auto"/>
            <w:noWrap/>
            <w:vAlign w:val="center"/>
            <w:hideMark/>
          </w:tcPr>
          <w:p w14:paraId="594F27EB"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Pequeñas Empresas</w:t>
            </w:r>
          </w:p>
        </w:tc>
      </w:tr>
      <w:tr w:rsidR="00264F4C" w:rsidRPr="00642813" w14:paraId="049351EF"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47D64035"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016A1D74"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5EF8A9B4"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Medianas Empresas</w:t>
            </w:r>
          </w:p>
        </w:tc>
      </w:tr>
      <w:tr w:rsidR="00264F4C" w:rsidRPr="00642813" w14:paraId="1F217275"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22BB0036"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7B03EEE8"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60F12B92"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Grandes Empresas</w:t>
            </w:r>
          </w:p>
        </w:tc>
      </w:tr>
      <w:tr w:rsidR="00264F4C" w:rsidRPr="00642813" w14:paraId="386C276C"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6130B3FD"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2475E7AC"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5A458780"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Sector Financiero</w:t>
            </w:r>
          </w:p>
        </w:tc>
      </w:tr>
      <w:tr w:rsidR="00264F4C" w:rsidRPr="00642813" w14:paraId="5B19909D"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28311F9F" w14:textId="77777777" w:rsidR="00264F4C" w:rsidRPr="00264F4C" w:rsidRDefault="00264F4C" w:rsidP="00264F4C">
            <w:pPr>
              <w:rPr>
                <w:rFonts w:ascii="Arial" w:hAnsi="Arial" w:cs="Arial"/>
                <w:color w:val="000000"/>
                <w:sz w:val="18"/>
                <w:szCs w:val="18"/>
                <w:lang w:eastAsia="es-AR"/>
              </w:rPr>
            </w:pPr>
          </w:p>
        </w:tc>
        <w:tc>
          <w:tcPr>
            <w:tcW w:w="21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96D1E0" w14:textId="77777777" w:rsidR="00264F4C" w:rsidRPr="00264F4C" w:rsidRDefault="00264F4C" w:rsidP="00264F4C">
            <w:pPr>
              <w:jc w:val="center"/>
              <w:rPr>
                <w:rFonts w:ascii="Arial" w:hAnsi="Arial" w:cs="Arial"/>
                <w:color w:val="000000"/>
                <w:sz w:val="18"/>
                <w:szCs w:val="18"/>
                <w:lang w:eastAsia="es-AR"/>
              </w:rPr>
            </w:pPr>
            <w:r w:rsidRPr="00264F4C">
              <w:rPr>
                <w:rFonts w:ascii="Arial" w:hAnsi="Arial" w:cs="Arial"/>
                <w:color w:val="000000"/>
                <w:sz w:val="18"/>
                <w:szCs w:val="18"/>
                <w:lang w:eastAsia="es-AR"/>
              </w:rPr>
              <w:t>Severidad (LGD)</w:t>
            </w:r>
          </w:p>
        </w:tc>
        <w:tc>
          <w:tcPr>
            <w:tcW w:w="3760" w:type="dxa"/>
            <w:tcBorders>
              <w:top w:val="nil"/>
              <w:left w:val="nil"/>
              <w:bottom w:val="single" w:sz="4" w:space="0" w:color="auto"/>
              <w:right w:val="single" w:sz="4" w:space="0" w:color="auto"/>
            </w:tcBorders>
            <w:shd w:val="clear" w:color="auto" w:fill="auto"/>
            <w:noWrap/>
            <w:vAlign w:val="center"/>
            <w:hideMark/>
          </w:tcPr>
          <w:p w14:paraId="57FE8AA4"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Adelantos</w:t>
            </w:r>
          </w:p>
        </w:tc>
      </w:tr>
      <w:tr w:rsidR="00264F4C" w:rsidRPr="00642813" w14:paraId="5DD6C7D4"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7ECDCB78"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3803C523"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03AEA403"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Documentos</w:t>
            </w:r>
          </w:p>
        </w:tc>
      </w:tr>
      <w:tr w:rsidR="00264F4C" w:rsidRPr="00642813" w14:paraId="6987DE63"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3BCE776"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51084C5E"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46669C52"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Leasing</w:t>
            </w:r>
          </w:p>
        </w:tc>
      </w:tr>
      <w:tr w:rsidR="00264F4C" w:rsidRPr="00642813" w14:paraId="632453D4"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1C6B6BAF"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600EEBBE"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3776C9B1"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Sola Firma</w:t>
            </w:r>
          </w:p>
        </w:tc>
      </w:tr>
      <w:tr w:rsidR="00264F4C" w:rsidRPr="00642813" w14:paraId="511A06DA"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03B0E5A1"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3465FD66"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noWrap/>
            <w:vAlign w:val="center"/>
            <w:hideMark/>
          </w:tcPr>
          <w:p w14:paraId="47B6F677"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Otros</w:t>
            </w:r>
          </w:p>
        </w:tc>
      </w:tr>
      <w:tr w:rsidR="00264F4C" w:rsidRPr="00642813" w14:paraId="06FB2483" w14:textId="77777777" w:rsidTr="00264F4C">
        <w:trPr>
          <w:trHeight w:val="300"/>
        </w:trPr>
        <w:tc>
          <w:tcPr>
            <w:tcW w:w="1640" w:type="dxa"/>
            <w:vMerge/>
            <w:tcBorders>
              <w:top w:val="nil"/>
              <w:left w:val="single" w:sz="4" w:space="0" w:color="auto"/>
              <w:bottom w:val="single" w:sz="4" w:space="0" w:color="auto"/>
              <w:right w:val="single" w:sz="4" w:space="0" w:color="auto"/>
            </w:tcBorders>
            <w:shd w:val="clear" w:color="auto" w:fill="auto"/>
            <w:vAlign w:val="center"/>
            <w:hideMark/>
          </w:tcPr>
          <w:p w14:paraId="6E85A7F1" w14:textId="77777777" w:rsidR="00264F4C" w:rsidRPr="00264F4C" w:rsidRDefault="00264F4C" w:rsidP="00264F4C">
            <w:pPr>
              <w:rPr>
                <w:rFonts w:ascii="Arial" w:hAnsi="Arial" w:cs="Arial"/>
                <w:color w:val="000000"/>
                <w:sz w:val="18"/>
                <w:szCs w:val="18"/>
                <w:lang w:eastAsia="es-AR"/>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14:paraId="1888C516" w14:textId="77777777" w:rsidR="00264F4C" w:rsidRPr="00264F4C" w:rsidRDefault="00264F4C" w:rsidP="00264F4C">
            <w:pPr>
              <w:rPr>
                <w:rFonts w:ascii="Arial" w:hAnsi="Arial" w:cs="Arial"/>
                <w:color w:val="000000"/>
                <w:sz w:val="18"/>
                <w:szCs w:val="18"/>
                <w:lang w:eastAsia="es-AR"/>
              </w:rPr>
            </w:pPr>
          </w:p>
        </w:tc>
        <w:tc>
          <w:tcPr>
            <w:tcW w:w="3760" w:type="dxa"/>
            <w:tcBorders>
              <w:top w:val="nil"/>
              <w:left w:val="nil"/>
              <w:bottom w:val="single" w:sz="4" w:space="0" w:color="auto"/>
              <w:right w:val="single" w:sz="4" w:space="0" w:color="auto"/>
            </w:tcBorders>
            <w:shd w:val="clear" w:color="auto" w:fill="auto"/>
            <w:vAlign w:val="center"/>
            <w:hideMark/>
          </w:tcPr>
          <w:p w14:paraId="51FD8C45"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OCIF</w:t>
            </w:r>
          </w:p>
        </w:tc>
      </w:tr>
    </w:tbl>
    <w:p w14:paraId="6BB46937" w14:textId="5AF6E606" w:rsidR="00264F4C" w:rsidRPr="002E1AF6" w:rsidRDefault="00264F4C" w:rsidP="002E1AF6">
      <w:pPr>
        <w:pStyle w:val="ListParagraph"/>
        <w:numPr>
          <w:ilvl w:val="0"/>
          <w:numId w:val="75"/>
        </w:numPr>
        <w:shd w:val="clear" w:color="auto" w:fill="FFFFFF"/>
        <w:spacing w:after="240" w:line="252" w:lineRule="auto"/>
        <w:contextualSpacing/>
        <w:jc w:val="both"/>
        <w:rPr>
          <w:rFonts w:ascii="Arial" w:hAnsi="Arial" w:cs="Arial"/>
          <w:color w:val="000000"/>
          <w:sz w:val="14"/>
          <w:szCs w:val="14"/>
          <w:shd w:val="clear" w:color="auto" w:fill="FFFFFF"/>
        </w:rPr>
      </w:pPr>
      <w:r w:rsidRPr="002E1AF6">
        <w:rPr>
          <w:rFonts w:ascii="Arial" w:hAnsi="Arial" w:cs="Arial"/>
          <w:sz w:val="14"/>
          <w:szCs w:val="14"/>
        </w:rPr>
        <w:t xml:space="preserve">Para préstamos personales y tarjetas de crédito, se agrega la dimensión </w:t>
      </w:r>
      <w:r w:rsidRPr="002E1AF6">
        <w:rPr>
          <w:rFonts w:ascii="Arial" w:hAnsi="Arial" w:cs="Arial"/>
          <w:b/>
          <w:sz w:val="14"/>
          <w:szCs w:val="14"/>
        </w:rPr>
        <w:t>segmento</w:t>
      </w:r>
      <w:r w:rsidRPr="002E1AF6">
        <w:rPr>
          <w:rFonts w:ascii="Arial" w:hAnsi="Arial" w:cs="Arial"/>
          <w:sz w:val="14"/>
          <w:szCs w:val="14"/>
        </w:rPr>
        <w:t>, dado que hay suficiente materialidad. Los segmentos son:</w:t>
      </w:r>
      <w:r>
        <w:rPr>
          <w:rFonts w:ascii="Arial" w:hAnsi="Arial" w:cs="Arial"/>
          <w:sz w:val="14"/>
          <w:szCs w:val="14"/>
        </w:rPr>
        <w:t xml:space="preserve"> </w:t>
      </w:r>
      <w:r w:rsidRPr="002E1AF6">
        <w:rPr>
          <w:rFonts w:ascii="Arial" w:hAnsi="Arial" w:cs="Arial"/>
          <w:sz w:val="14"/>
          <w:szCs w:val="14"/>
        </w:rPr>
        <w:t>Jubilados, Mercado Abierto Renta Alta, Plan Sueldo Renta Alta, Mercado Abierto No Renta Alta, Plan Sueldo No Renta Alta, Emprendedores y PYMES, Ex Jubilados y Ex Plan Sueldo.</w:t>
      </w:r>
    </w:p>
    <w:p w14:paraId="03354298" w14:textId="74A9A8E1" w:rsidR="00264F4C" w:rsidRPr="002E1AF6" w:rsidRDefault="00264F4C" w:rsidP="002E1AF6">
      <w:pPr>
        <w:pStyle w:val="ListParagraph"/>
        <w:numPr>
          <w:ilvl w:val="0"/>
          <w:numId w:val="75"/>
        </w:numPr>
        <w:jc w:val="both"/>
        <w:rPr>
          <w:rFonts w:ascii="Arial" w:hAnsi="Arial" w:cs="Arial"/>
          <w:sz w:val="14"/>
          <w:szCs w:val="14"/>
        </w:rPr>
      </w:pPr>
      <w:r w:rsidRPr="002E1AF6">
        <w:rPr>
          <w:rFonts w:ascii="Arial" w:hAnsi="Arial" w:cs="Arial"/>
          <w:sz w:val="14"/>
          <w:szCs w:val="14"/>
        </w:rPr>
        <w:t>Los segmentos para calcular la probabilidad de default en Banca Empresas fueron agrupados por tamaño de la compañía en Etapa 1. Para las etapas 2 y 3 la probabilidad de default fue calculada incluyendo todos los segmentos de banca empresas para conformar un grupo materialidad estadística suficiente.</w:t>
      </w:r>
    </w:p>
    <w:p w14:paraId="7F86EB46" w14:textId="75FCD955" w:rsidR="00264F4C" w:rsidRDefault="00264F4C" w:rsidP="00264F4C">
      <w:pPr>
        <w:pStyle w:val="ListParagraph"/>
        <w:jc w:val="both"/>
        <w:rPr>
          <w:rFonts w:ascii="Arial" w:hAnsi="Arial" w:cs="Arial"/>
          <w:sz w:val="14"/>
          <w:szCs w:val="14"/>
        </w:rPr>
      </w:pPr>
    </w:p>
    <w:p w14:paraId="002A8A4B" w14:textId="78F5D259" w:rsidR="00264F4C" w:rsidRDefault="00264F4C" w:rsidP="002E1AF6">
      <w:pPr>
        <w:pStyle w:val="ListParagraph"/>
        <w:jc w:val="both"/>
        <w:rPr>
          <w:rFonts w:ascii="Arial" w:hAnsi="Arial" w:cs="Arial"/>
          <w:sz w:val="14"/>
          <w:szCs w:val="14"/>
        </w:rPr>
      </w:pPr>
    </w:p>
    <w:p w14:paraId="0993A509" w14:textId="002EF1C3" w:rsidR="00BC11E2" w:rsidRDefault="00BC11E2" w:rsidP="002E1AF6">
      <w:pPr>
        <w:pStyle w:val="ListParagraph"/>
        <w:jc w:val="both"/>
        <w:rPr>
          <w:rFonts w:ascii="Arial" w:hAnsi="Arial" w:cs="Arial"/>
          <w:sz w:val="14"/>
          <w:szCs w:val="14"/>
        </w:rPr>
      </w:pPr>
    </w:p>
    <w:tbl>
      <w:tblPr>
        <w:tblW w:w="7655" w:type="dxa"/>
        <w:tblInd w:w="-5" w:type="dxa"/>
        <w:tblCellMar>
          <w:left w:w="70" w:type="dxa"/>
          <w:right w:w="70" w:type="dxa"/>
        </w:tblCellMar>
        <w:tblLook w:val="04A0" w:firstRow="1" w:lastRow="0" w:firstColumn="1" w:lastColumn="0" w:noHBand="0" w:noVBand="1"/>
      </w:tblPr>
      <w:tblGrid>
        <w:gridCol w:w="1702"/>
        <w:gridCol w:w="2126"/>
        <w:gridCol w:w="3827"/>
      </w:tblGrid>
      <w:tr w:rsidR="00BC11E2" w:rsidRPr="00BF551B" w14:paraId="49BB340A" w14:textId="77777777" w:rsidTr="004F3E32">
        <w:trPr>
          <w:trHeight w:val="281"/>
        </w:trPr>
        <w:tc>
          <w:tcPr>
            <w:tcW w:w="17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07EEDF" w14:textId="77777777" w:rsidR="00BC11E2" w:rsidRPr="00BF551B" w:rsidRDefault="00BC11E2" w:rsidP="004F3E32">
            <w:pPr>
              <w:jc w:val="center"/>
              <w:rPr>
                <w:rFonts w:ascii="Arial" w:hAnsi="Arial" w:cs="Arial"/>
                <w:color w:val="000000"/>
                <w:sz w:val="20"/>
                <w:lang w:eastAsia="es-AR"/>
              </w:rPr>
            </w:pPr>
            <w:r w:rsidRPr="00BF551B">
              <w:rPr>
                <w:rFonts w:ascii="Arial" w:hAnsi="Arial" w:cs="Arial"/>
                <w:color w:val="000000"/>
                <w:sz w:val="20"/>
                <w:lang w:eastAsia="es-AR"/>
              </w:rPr>
              <w:t>División Consumo</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63BADB" w14:textId="77777777" w:rsidR="00BC11E2" w:rsidRPr="00BF551B" w:rsidRDefault="00BC11E2" w:rsidP="004F3E32">
            <w:pPr>
              <w:jc w:val="center"/>
              <w:rPr>
                <w:rFonts w:ascii="Arial" w:hAnsi="Arial" w:cs="Arial"/>
                <w:color w:val="000000"/>
                <w:sz w:val="20"/>
                <w:lang w:eastAsia="es-AR"/>
              </w:rPr>
            </w:pPr>
            <w:r w:rsidRPr="00BF551B">
              <w:rPr>
                <w:rFonts w:ascii="Arial" w:hAnsi="Arial" w:cs="Arial"/>
                <w:color w:val="000000"/>
                <w:sz w:val="20"/>
                <w:lang w:eastAsia="es-AR"/>
              </w:rPr>
              <w:t>Probabilidad de Default (PD)</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2F040EDE"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Tarjetas de crédito cerradas</w:t>
            </w:r>
          </w:p>
        </w:tc>
      </w:tr>
      <w:tr w:rsidR="00BC11E2" w:rsidRPr="00BF551B" w14:paraId="02A367B0" w14:textId="77777777" w:rsidTr="004F3E32">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2DC831DC" w14:textId="77777777" w:rsidR="00BC11E2" w:rsidRPr="00BF551B" w:rsidRDefault="00BC11E2" w:rsidP="004F3E32">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742D90AC" w14:textId="77777777" w:rsidR="00BC11E2" w:rsidRPr="00BF551B" w:rsidRDefault="00BC11E2" w:rsidP="004F3E32">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131408D4"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Tarjetas de crédito abiertas</w:t>
            </w:r>
          </w:p>
        </w:tc>
      </w:tr>
      <w:tr w:rsidR="00BC11E2" w:rsidRPr="00BF551B" w14:paraId="220C034A" w14:textId="77777777" w:rsidTr="004F3E32">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51CD8707" w14:textId="77777777" w:rsidR="00BC11E2" w:rsidRPr="00BF551B" w:rsidRDefault="00BC11E2" w:rsidP="004F3E32">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54C20B4F" w14:textId="77777777" w:rsidR="00BC11E2" w:rsidRPr="00BF551B" w:rsidRDefault="00BC11E2" w:rsidP="004F3E32">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3338B888"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Préstamo Efectivo</w:t>
            </w:r>
          </w:p>
        </w:tc>
      </w:tr>
      <w:tr w:rsidR="00BC11E2" w:rsidRPr="00BF551B" w14:paraId="337B2C89" w14:textId="77777777" w:rsidTr="004F3E32">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41E6E51B" w14:textId="77777777" w:rsidR="00BC11E2" w:rsidRPr="00BF551B" w:rsidRDefault="00BC11E2" w:rsidP="004F3E32">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51F011A0" w14:textId="77777777" w:rsidR="00BC11E2" w:rsidRPr="00BF551B" w:rsidRDefault="00BC11E2" w:rsidP="004F3E32">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01E118A5"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Préstamo Efectivo Consumo y Dirigido</w:t>
            </w:r>
          </w:p>
        </w:tc>
      </w:tr>
      <w:tr w:rsidR="00BC11E2" w:rsidRPr="00BF551B" w14:paraId="52ECD08A" w14:textId="77777777" w:rsidTr="004F3E32">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17685F43" w14:textId="77777777" w:rsidR="00BC11E2" w:rsidRPr="00BF551B" w:rsidRDefault="00BC11E2" w:rsidP="004F3E32">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1A1B4F81" w14:textId="77777777" w:rsidR="00BC11E2" w:rsidRPr="00BF551B" w:rsidRDefault="00BC11E2" w:rsidP="004F3E32">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24C5CA40"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Refinanciaciones</w:t>
            </w:r>
          </w:p>
        </w:tc>
      </w:tr>
      <w:tr w:rsidR="00BC11E2" w:rsidRPr="00BF551B" w14:paraId="519E4AEE" w14:textId="77777777" w:rsidTr="004F3E32">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62092F6C" w14:textId="77777777" w:rsidR="00BC11E2" w:rsidRPr="00BF551B" w:rsidRDefault="00BC11E2" w:rsidP="004F3E32">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156D34A7" w14:textId="77777777" w:rsidR="00BC11E2" w:rsidRPr="00BF551B" w:rsidRDefault="00BC11E2" w:rsidP="004F3E32">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1989AC28"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Préstamos personales de Tarjeta Automática</w:t>
            </w:r>
          </w:p>
        </w:tc>
      </w:tr>
      <w:tr w:rsidR="00BC11E2" w:rsidRPr="00BF551B" w14:paraId="56BF68C3" w14:textId="77777777" w:rsidTr="004F3E32">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40AD627B" w14:textId="77777777" w:rsidR="00BC11E2" w:rsidRPr="00BF551B" w:rsidRDefault="00BC11E2" w:rsidP="004F3E32">
            <w:pPr>
              <w:rPr>
                <w:rFonts w:ascii="Arial" w:hAnsi="Arial" w:cs="Arial"/>
                <w:color w:val="000000"/>
                <w:sz w:val="20"/>
                <w:lang w:eastAsia="es-AR"/>
              </w:rPr>
            </w:pP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A7D03D" w14:textId="77777777" w:rsidR="00BC11E2" w:rsidRPr="00BF551B" w:rsidRDefault="00BC11E2" w:rsidP="004F3E32">
            <w:pPr>
              <w:jc w:val="center"/>
              <w:rPr>
                <w:rFonts w:ascii="Arial" w:hAnsi="Arial" w:cs="Arial"/>
                <w:color w:val="000000"/>
                <w:sz w:val="20"/>
                <w:lang w:eastAsia="es-AR"/>
              </w:rPr>
            </w:pPr>
            <w:r w:rsidRPr="00BF551B">
              <w:rPr>
                <w:rFonts w:ascii="Arial" w:hAnsi="Arial" w:cs="Arial"/>
                <w:color w:val="000000"/>
                <w:sz w:val="20"/>
                <w:lang w:eastAsia="es-AR"/>
              </w:rPr>
              <w:t>Severidad (LGD)</w:t>
            </w:r>
          </w:p>
        </w:tc>
        <w:tc>
          <w:tcPr>
            <w:tcW w:w="3827" w:type="dxa"/>
            <w:tcBorders>
              <w:top w:val="nil"/>
              <w:left w:val="nil"/>
              <w:bottom w:val="single" w:sz="4" w:space="0" w:color="auto"/>
              <w:right w:val="single" w:sz="4" w:space="0" w:color="auto"/>
            </w:tcBorders>
            <w:shd w:val="clear" w:color="auto" w:fill="auto"/>
            <w:noWrap/>
            <w:vAlign w:val="center"/>
            <w:hideMark/>
          </w:tcPr>
          <w:p w14:paraId="7EEC9FE7"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Tarjetas de crédito</w:t>
            </w:r>
          </w:p>
        </w:tc>
      </w:tr>
      <w:tr w:rsidR="00BC11E2" w:rsidRPr="00BF551B" w14:paraId="356831D9" w14:textId="77777777" w:rsidTr="004F3E32">
        <w:trPr>
          <w:trHeight w:val="281"/>
        </w:trPr>
        <w:tc>
          <w:tcPr>
            <w:tcW w:w="1702" w:type="dxa"/>
            <w:vMerge/>
            <w:tcBorders>
              <w:top w:val="nil"/>
              <w:left w:val="single" w:sz="4" w:space="0" w:color="auto"/>
              <w:bottom w:val="single" w:sz="4" w:space="0" w:color="000000"/>
              <w:right w:val="single" w:sz="4" w:space="0" w:color="auto"/>
            </w:tcBorders>
            <w:vAlign w:val="center"/>
            <w:hideMark/>
          </w:tcPr>
          <w:p w14:paraId="0822E6D2" w14:textId="77777777" w:rsidR="00BC11E2" w:rsidRPr="00BF551B" w:rsidRDefault="00BC11E2" w:rsidP="004F3E32">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3DFDC1EF" w14:textId="77777777" w:rsidR="00BC11E2" w:rsidRPr="00BF551B" w:rsidRDefault="00BC11E2" w:rsidP="004F3E32">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4B05B7C7"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Préstamos</w:t>
            </w:r>
          </w:p>
        </w:tc>
      </w:tr>
      <w:tr w:rsidR="00BC11E2" w:rsidRPr="00BF551B" w14:paraId="7B333D38" w14:textId="77777777" w:rsidTr="004F3E32">
        <w:trPr>
          <w:trHeight w:val="281"/>
        </w:trPr>
        <w:tc>
          <w:tcPr>
            <w:tcW w:w="1702" w:type="dxa"/>
            <w:vMerge/>
            <w:tcBorders>
              <w:top w:val="nil"/>
              <w:left w:val="single" w:sz="4" w:space="0" w:color="auto"/>
              <w:bottom w:val="single" w:sz="4" w:space="0" w:color="auto"/>
              <w:right w:val="single" w:sz="4" w:space="0" w:color="auto"/>
            </w:tcBorders>
            <w:vAlign w:val="center"/>
            <w:hideMark/>
          </w:tcPr>
          <w:p w14:paraId="794D2287" w14:textId="77777777" w:rsidR="00BC11E2" w:rsidRPr="00BF551B" w:rsidRDefault="00BC11E2" w:rsidP="004F3E32">
            <w:pPr>
              <w:rPr>
                <w:rFonts w:ascii="Arial" w:hAnsi="Arial" w:cs="Arial"/>
                <w:color w:val="000000"/>
                <w:sz w:val="20"/>
                <w:lang w:eastAsia="es-AR"/>
              </w:rPr>
            </w:pPr>
          </w:p>
        </w:tc>
        <w:tc>
          <w:tcPr>
            <w:tcW w:w="2126" w:type="dxa"/>
            <w:vMerge/>
            <w:tcBorders>
              <w:top w:val="nil"/>
              <w:left w:val="single" w:sz="4" w:space="0" w:color="auto"/>
              <w:bottom w:val="single" w:sz="4" w:space="0" w:color="auto"/>
              <w:right w:val="single" w:sz="4" w:space="0" w:color="auto"/>
            </w:tcBorders>
            <w:vAlign w:val="center"/>
            <w:hideMark/>
          </w:tcPr>
          <w:p w14:paraId="1F3286F0" w14:textId="77777777" w:rsidR="00BC11E2" w:rsidRPr="00BF551B" w:rsidRDefault="00BC11E2" w:rsidP="004F3E32">
            <w:pPr>
              <w:rPr>
                <w:rFonts w:ascii="Arial" w:hAnsi="Arial" w:cs="Arial"/>
                <w:color w:val="000000"/>
                <w:sz w:val="20"/>
                <w:lang w:eastAsia="es-AR"/>
              </w:rPr>
            </w:pPr>
          </w:p>
        </w:tc>
        <w:tc>
          <w:tcPr>
            <w:tcW w:w="3827" w:type="dxa"/>
            <w:tcBorders>
              <w:top w:val="nil"/>
              <w:left w:val="nil"/>
              <w:bottom w:val="single" w:sz="4" w:space="0" w:color="auto"/>
              <w:right w:val="single" w:sz="4" w:space="0" w:color="auto"/>
            </w:tcBorders>
            <w:shd w:val="clear" w:color="auto" w:fill="auto"/>
            <w:noWrap/>
            <w:vAlign w:val="center"/>
            <w:hideMark/>
          </w:tcPr>
          <w:p w14:paraId="706F5C42" w14:textId="77777777" w:rsidR="00BC11E2" w:rsidRPr="00BF551B" w:rsidRDefault="00BC11E2" w:rsidP="004F3E32">
            <w:pPr>
              <w:rPr>
                <w:rFonts w:ascii="Arial" w:hAnsi="Arial" w:cs="Arial"/>
                <w:color w:val="000000"/>
                <w:sz w:val="20"/>
                <w:lang w:eastAsia="es-AR"/>
              </w:rPr>
            </w:pPr>
            <w:r w:rsidRPr="00BF551B">
              <w:rPr>
                <w:rFonts w:ascii="Arial" w:hAnsi="Arial" w:cs="Arial"/>
                <w:color w:val="000000"/>
                <w:sz w:val="20"/>
                <w:lang w:eastAsia="es-AR"/>
              </w:rPr>
              <w:t>Refinanciaciones</w:t>
            </w:r>
          </w:p>
        </w:tc>
      </w:tr>
    </w:tbl>
    <w:p w14:paraId="1CA0B8A1" w14:textId="5CD7AA50" w:rsidR="00BC11E2" w:rsidRDefault="00BC11E2" w:rsidP="002E1AF6">
      <w:pPr>
        <w:pStyle w:val="ListParagraph"/>
        <w:jc w:val="both"/>
        <w:rPr>
          <w:rFonts w:ascii="Arial" w:hAnsi="Arial" w:cs="Arial"/>
          <w:sz w:val="14"/>
          <w:szCs w:val="14"/>
        </w:rPr>
      </w:pPr>
    </w:p>
    <w:p w14:paraId="58ADB73F" w14:textId="77777777" w:rsidR="00BC11E2" w:rsidRPr="00642813" w:rsidRDefault="00BC11E2" w:rsidP="002E1AF6">
      <w:pPr>
        <w:pStyle w:val="ListParagraph"/>
        <w:jc w:val="both"/>
        <w:rPr>
          <w:rFonts w:ascii="Arial" w:hAnsi="Arial" w:cs="Arial"/>
          <w:sz w:val="14"/>
          <w:szCs w:val="14"/>
        </w:rPr>
      </w:pPr>
    </w:p>
    <w:p w14:paraId="2D486C01" w14:textId="77777777" w:rsidR="00264F4C" w:rsidRDefault="00264F4C" w:rsidP="00264F4C">
      <w:pPr>
        <w:jc w:val="both"/>
        <w:rPr>
          <w:rFonts w:ascii="Arial" w:hAnsi="Arial" w:cs="Arial"/>
          <w:sz w:val="20"/>
        </w:rPr>
      </w:pPr>
      <w:r w:rsidRPr="00F55BAD">
        <w:rPr>
          <w:rFonts w:ascii="Arial" w:hAnsi="Arial" w:cs="Arial"/>
          <w:sz w:val="20"/>
        </w:rPr>
        <w:t>Las características de riesgo de crédito utilizadas para realizar las segmentaciones previamente expuestas son entre otras: tipo de instrumento financiero, sector de actividad del deudor, área geográfica de actividad, tipo de garantía, antigüedad de balances presentados y otros factores relevantes para estimar los flujos de efectivo esperados.</w:t>
      </w:r>
    </w:p>
    <w:p w14:paraId="4E643157" w14:textId="77777777" w:rsidR="00264F4C" w:rsidRPr="00F55BAD" w:rsidRDefault="00264F4C" w:rsidP="00264F4C">
      <w:pPr>
        <w:jc w:val="both"/>
        <w:rPr>
          <w:rFonts w:ascii="Arial" w:hAnsi="Arial" w:cs="Arial"/>
          <w:sz w:val="20"/>
        </w:rPr>
      </w:pPr>
    </w:p>
    <w:p w14:paraId="74C5B251" w14:textId="0F0FF83C" w:rsidR="00264F4C" w:rsidRDefault="00264F4C" w:rsidP="00264F4C">
      <w:pPr>
        <w:jc w:val="both"/>
        <w:rPr>
          <w:rFonts w:ascii="Arial" w:hAnsi="Arial" w:cs="Arial"/>
          <w:sz w:val="20"/>
        </w:rPr>
      </w:pPr>
      <w:r w:rsidRPr="00F55BAD">
        <w:rPr>
          <w:rFonts w:ascii="Arial" w:hAnsi="Arial" w:cs="Arial"/>
          <w:sz w:val="20"/>
        </w:rPr>
        <w:t>La adecuada agrupación de los instrumentos financieros es monitoreada y revisada de forma periódica por el equipo de Modelos y Previsiones de la Gerencia de Riesgo de Crédito y Stress Test.</w:t>
      </w:r>
    </w:p>
    <w:p w14:paraId="72B2E1B2" w14:textId="538969F1" w:rsidR="00111E5A" w:rsidRDefault="00111E5A" w:rsidP="00264F4C">
      <w:pPr>
        <w:jc w:val="both"/>
        <w:rPr>
          <w:rFonts w:ascii="Arial" w:hAnsi="Arial" w:cs="Arial"/>
          <w:sz w:val="20"/>
        </w:rPr>
      </w:pPr>
    </w:p>
    <w:p w14:paraId="59B21B31" w14:textId="77777777" w:rsidR="00111E5A" w:rsidRDefault="00111E5A" w:rsidP="00264F4C">
      <w:pPr>
        <w:jc w:val="both"/>
        <w:rPr>
          <w:rFonts w:ascii="Arial" w:hAnsi="Arial" w:cs="Arial"/>
          <w:sz w:val="20"/>
          <w:highlight w:val="yellow"/>
        </w:rPr>
      </w:pPr>
    </w:p>
    <w:p w14:paraId="5F56B3DA" w14:textId="77777777" w:rsidR="00264F4C" w:rsidRDefault="00264F4C" w:rsidP="00264F4C">
      <w:pPr>
        <w:jc w:val="both"/>
        <w:rPr>
          <w:rFonts w:ascii="Arial" w:hAnsi="Arial" w:cs="Arial"/>
          <w:sz w:val="20"/>
          <w:highlight w:val="yellow"/>
        </w:rPr>
      </w:pPr>
    </w:p>
    <w:p w14:paraId="1C3E97BA" w14:textId="77777777" w:rsidR="00264F4C" w:rsidRPr="00642813" w:rsidRDefault="00264F4C" w:rsidP="00264F4C">
      <w:pPr>
        <w:rPr>
          <w:rFonts w:ascii="Arial" w:hAnsi="Arial" w:cs="Arial"/>
          <w:b/>
          <w:sz w:val="20"/>
        </w:rPr>
      </w:pPr>
      <w:r w:rsidRPr="00642813">
        <w:rPr>
          <w:rFonts w:ascii="Arial" w:hAnsi="Arial" w:cs="Arial"/>
          <w:b/>
          <w:sz w:val="20"/>
        </w:rPr>
        <w:t>1.2.3</w:t>
      </w:r>
      <w:r w:rsidRPr="00642813">
        <w:rPr>
          <w:rFonts w:ascii="Arial" w:hAnsi="Arial" w:cs="Arial"/>
          <w:sz w:val="20"/>
        </w:rPr>
        <w:t xml:space="preserve"> </w:t>
      </w:r>
      <w:r w:rsidRPr="00642813">
        <w:rPr>
          <w:rFonts w:ascii="Arial" w:hAnsi="Arial" w:cs="Arial"/>
          <w:b/>
          <w:sz w:val="20"/>
        </w:rPr>
        <w:t>Definición de default y crédito deteriorado</w:t>
      </w:r>
    </w:p>
    <w:p w14:paraId="284F72C5" w14:textId="77777777" w:rsidR="00264F4C" w:rsidRDefault="00264F4C" w:rsidP="00264F4C">
      <w:pPr>
        <w:rPr>
          <w:b/>
          <w:sz w:val="20"/>
        </w:rPr>
      </w:pPr>
    </w:p>
    <w:p w14:paraId="0AF2ABE3" w14:textId="77777777" w:rsidR="00264F4C" w:rsidRPr="00642813" w:rsidRDefault="00264F4C" w:rsidP="00264F4C">
      <w:pPr>
        <w:jc w:val="both"/>
        <w:rPr>
          <w:rFonts w:ascii="Arial" w:hAnsi="Arial" w:cs="Arial"/>
          <w:sz w:val="20"/>
        </w:rPr>
      </w:pPr>
      <w:r w:rsidRPr="00642813">
        <w:rPr>
          <w:rFonts w:ascii="Arial" w:hAnsi="Arial" w:cs="Arial"/>
          <w:sz w:val="20"/>
        </w:rPr>
        <w:t>El Banco considera que un instrumento financiero se encuentra en estado de default cuando cumple uno o más de los siguientes criterios:</w:t>
      </w:r>
    </w:p>
    <w:p w14:paraId="1AB8DF69" w14:textId="77777777" w:rsidR="00264F4C" w:rsidRPr="00642813" w:rsidRDefault="00264F4C" w:rsidP="00264F4C">
      <w:pPr>
        <w:jc w:val="both"/>
        <w:rPr>
          <w:rFonts w:ascii="Arial" w:hAnsi="Arial" w:cs="Arial"/>
          <w:sz w:val="20"/>
        </w:rPr>
      </w:pPr>
    </w:p>
    <w:p w14:paraId="415F7E9C" w14:textId="77777777" w:rsidR="00264F4C" w:rsidRPr="00642813" w:rsidRDefault="00264F4C" w:rsidP="00264F4C">
      <w:pPr>
        <w:jc w:val="both"/>
        <w:rPr>
          <w:rFonts w:ascii="Arial" w:hAnsi="Arial" w:cs="Arial"/>
          <w:sz w:val="20"/>
        </w:rPr>
      </w:pPr>
      <w:r w:rsidRPr="00642813">
        <w:rPr>
          <w:rFonts w:ascii="Arial" w:hAnsi="Arial" w:cs="Arial"/>
          <w:sz w:val="20"/>
        </w:rPr>
        <w:t>•</w:t>
      </w:r>
      <w:r w:rsidRPr="00642813">
        <w:rPr>
          <w:rFonts w:ascii="Arial" w:hAnsi="Arial" w:cs="Arial"/>
          <w:sz w:val="20"/>
        </w:rPr>
        <w:tab/>
        <w:t>Instrumentos financieros con mora a partir de 90 días en los pagos contractuales.</w:t>
      </w:r>
    </w:p>
    <w:p w14:paraId="0788FABF" w14:textId="77777777" w:rsidR="00264F4C" w:rsidRPr="00642813" w:rsidRDefault="00264F4C" w:rsidP="00264F4C">
      <w:pPr>
        <w:jc w:val="both"/>
        <w:rPr>
          <w:rFonts w:ascii="Arial" w:hAnsi="Arial" w:cs="Arial"/>
          <w:sz w:val="20"/>
          <w:highlight w:val="yellow"/>
        </w:rPr>
      </w:pPr>
      <w:r w:rsidRPr="00642813">
        <w:rPr>
          <w:rFonts w:ascii="Arial" w:hAnsi="Arial" w:cs="Arial"/>
          <w:sz w:val="20"/>
        </w:rPr>
        <w:t>Los criterios arriba mencionados son aplicados de manera consistente para todos los instrumentos financieros y son consistentes con la definición de default que utiliza el Banco a efectos de su gestión del riesgo de crédito. Asimismo, dicha definición es aplicada consistentemente para modelar la PD, la Exposición a Default (en adelante “EAD” por sus siglas en inglés) y la Pérdida dado el Default (en adelante “LGD” por sus siglas en inglés).</w:t>
      </w:r>
    </w:p>
    <w:p w14:paraId="2D081D39" w14:textId="77777777" w:rsidR="00264F4C" w:rsidRDefault="00264F4C" w:rsidP="00264F4C">
      <w:pPr>
        <w:jc w:val="both"/>
        <w:rPr>
          <w:rFonts w:ascii="Arial" w:hAnsi="Arial" w:cs="Arial"/>
          <w:sz w:val="20"/>
          <w:highlight w:val="yellow"/>
        </w:rPr>
      </w:pPr>
    </w:p>
    <w:p w14:paraId="2B55D126" w14:textId="77777777" w:rsidR="00264F4C" w:rsidRPr="00642813" w:rsidRDefault="00264F4C" w:rsidP="00264F4C">
      <w:pPr>
        <w:rPr>
          <w:rFonts w:ascii="Arial" w:hAnsi="Arial" w:cs="Arial"/>
          <w:b/>
          <w:sz w:val="20"/>
        </w:rPr>
      </w:pPr>
      <w:r w:rsidRPr="00642813">
        <w:rPr>
          <w:rFonts w:ascii="Arial" w:hAnsi="Arial" w:cs="Arial"/>
          <w:b/>
          <w:sz w:val="20"/>
        </w:rPr>
        <w:t>1.2.4.</w:t>
      </w:r>
      <w:r w:rsidRPr="00642813">
        <w:rPr>
          <w:rFonts w:ascii="Arial" w:hAnsi="Arial" w:cs="Arial"/>
          <w:sz w:val="20"/>
        </w:rPr>
        <w:t xml:space="preserve"> </w:t>
      </w:r>
      <w:r w:rsidRPr="00642813">
        <w:rPr>
          <w:rFonts w:ascii="Arial" w:hAnsi="Arial" w:cs="Arial"/>
          <w:b/>
          <w:sz w:val="20"/>
        </w:rPr>
        <w:t>Medición de las Pérdidas Crediticias Esperadas – Explicación de los inputs, supuestos y técnicas de estimación</w:t>
      </w:r>
    </w:p>
    <w:p w14:paraId="1645768C" w14:textId="77777777" w:rsidR="00264F4C" w:rsidRPr="00642813" w:rsidRDefault="00264F4C" w:rsidP="00264F4C">
      <w:pPr>
        <w:rPr>
          <w:rFonts w:ascii="Arial" w:hAnsi="Arial" w:cs="Arial"/>
          <w:b/>
          <w:sz w:val="20"/>
        </w:rPr>
      </w:pPr>
    </w:p>
    <w:p w14:paraId="01E1A73D" w14:textId="77777777" w:rsidR="00264F4C" w:rsidRDefault="00264F4C" w:rsidP="00264F4C">
      <w:pPr>
        <w:jc w:val="both"/>
        <w:rPr>
          <w:rFonts w:ascii="Arial" w:hAnsi="Arial" w:cs="Arial"/>
          <w:sz w:val="20"/>
        </w:rPr>
      </w:pPr>
      <w:r w:rsidRPr="00642813">
        <w:rPr>
          <w:rFonts w:ascii="Arial" w:hAnsi="Arial" w:cs="Arial"/>
          <w:sz w:val="20"/>
        </w:rPr>
        <w:t>Las PCE se miden en base a 12 meses o a lo largo de la vida del instrumento, dependiendo de si se ha producido un incremento significativo del riesgo de crédito desde el reconocimiento inicial o si un activo se considera con deterioro crediticio. Las PCE son el producto descontado de la Probabilidad de default (PD), Exposición al default (EAD) y Pérdida dado el default (LGD), definidas de la siguiente manera:</w:t>
      </w:r>
    </w:p>
    <w:p w14:paraId="48D9827C" w14:textId="77777777" w:rsidR="00264F4C" w:rsidRPr="00642813" w:rsidRDefault="00264F4C" w:rsidP="00264F4C">
      <w:pPr>
        <w:jc w:val="both"/>
        <w:rPr>
          <w:rFonts w:ascii="Arial" w:hAnsi="Arial" w:cs="Arial"/>
          <w:sz w:val="20"/>
        </w:rPr>
      </w:pPr>
    </w:p>
    <w:p w14:paraId="5B6FB925" w14:textId="2FAD36B5" w:rsidR="00264F4C" w:rsidRDefault="00264F4C" w:rsidP="00264F4C">
      <w:pPr>
        <w:jc w:val="both"/>
        <w:rPr>
          <w:rFonts w:ascii="Arial" w:hAnsi="Arial" w:cs="Arial"/>
          <w:sz w:val="20"/>
        </w:rPr>
      </w:pPr>
      <w:r>
        <w:rPr>
          <w:rFonts w:ascii="Arial" w:hAnsi="Arial" w:cs="Arial"/>
          <w:sz w:val="20"/>
        </w:rPr>
        <w:t xml:space="preserve">           </w:t>
      </w:r>
      <w:r w:rsidRPr="00642813">
        <w:rPr>
          <w:rFonts w:ascii="Arial" w:hAnsi="Arial" w:cs="Arial"/>
          <w:sz w:val="20"/>
        </w:rPr>
        <w:t xml:space="preserve">• la PD representa la probabilidad de que un deudor no cumpla con su obligación financiera (según la "Definición de default y deterioro crediticio" expuesto en la Nota </w:t>
      </w:r>
      <w:r w:rsidR="0091213D">
        <w:rPr>
          <w:rFonts w:ascii="Arial" w:hAnsi="Arial" w:cs="Arial"/>
          <w:sz w:val="20"/>
        </w:rPr>
        <w:t>1.2</w:t>
      </w:r>
      <w:r w:rsidRPr="00642813">
        <w:rPr>
          <w:rFonts w:ascii="Arial" w:hAnsi="Arial" w:cs="Arial"/>
          <w:sz w:val="20"/>
        </w:rPr>
        <w:t>.3), ya sea durante los próximos 12 meses o durante el tiempo de vida restante (Lifetime PD) del activo financiero.</w:t>
      </w:r>
    </w:p>
    <w:p w14:paraId="681EB913" w14:textId="77777777" w:rsidR="00264F4C" w:rsidRPr="00642813" w:rsidRDefault="00264F4C" w:rsidP="00264F4C">
      <w:pPr>
        <w:jc w:val="both"/>
        <w:rPr>
          <w:rFonts w:ascii="Arial" w:hAnsi="Arial" w:cs="Arial"/>
          <w:sz w:val="20"/>
        </w:rPr>
      </w:pPr>
    </w:p>
    <w:p w14:paraId="7DAEF8AC" w14:textId="77777777" w:rsidR="00264F4C" w:rsidRDefault="00264F4C" w:rsidP="00264F4C">
      <w:pPr>
        <w:jc w:val="both"/>
        <w:rPr>
          <w:rFonts w:ascii="Arial" w:hAnsi="Arial" w:cs="Arial"/>
          <w:sz w:val="20"/>
        </w:rPr>
      </w:pPr>
      <w:r>
        <w:rPr>
          <w:rFonts w:ascii="Arial" w:hAnsi="Arial" w:cs="Arial"/>
          <w:sz w:val="20"/>
        </w:rPr>
        <w:t xml:space="preserve">           </w:t>
      </w:r>
      <w:r w:rsidRPr="00642813">
        <w:rPr>
          <w:rFonts w:ascii="Arial" w:hAnsi="Arial" w:cs="Arial"/>
          <w:sz w:val="20"/>
        </w:rPr>
        <w:t>• la EAD se basa en los montos que el Banco espera que se adeuden al momento del default, durante los próximos 12 meses o durante el tiempo de vida restante del instrumento (Lifetime EAD). Por ejemplo, para un compromiso revolvente, el Banco incluye el saldo actual dispuesto más cualquier monto adicional que se espera que se disponga hasta el límite contractual actual al momento del default, en caso de que ocurra.</w:t>
      </w:r>
    </w:p>
    <w:p w14:paraId="3C86D878" w14:textId="77777777" w:rsidR="00264F4C" w:rsidRPr="00642813" w:rsidRDefault="00264F4C" w:rsidP="00264F4C">
      <w:pPr>
        <w:jc w:val="both"/>
        <w:rPr>
          <w:rFonts w:ascii="Arial" w:hAnsi="Arial" w:cs="Arial"/>
          <w:sz w:val="20"/>
        </w:rPr>
      </w:pPr>
    </w:p>
    <w:p w14:paraId="1C2B4259" w14:textId="77777777" w:rsidR="00264F4C" w:rsidRDefault="00264F4C" w:rsidP="00264F4C">
      <w:pPr>
        <w:jc w:val="both"/>
        <w:rPr>
          <w:rFonts w:ascii="Arial" w:hAnsi="Arial" w:cs="Arial"/>
          <w:sz w:val="20"/>
        </w:rPr>
      </w:pPr>
      <w:r>
        <w:rPr>
          <w:rFonts w:ascii="Arial" w:hAnsi="Arial" w:cs="Arial"/>
          <w:sz w:val="20"/>
        </w:rPr>
        <w:t xml:space="preserve">          </w:t>
      </w:r>
      <w:r w:rsidRPr="00642813">
        <w:rPr>
          <w:rFonts w:ascii="Arial" w:hAnsi="Arial" w:cs="Arial"/>
          <w:sz w:val="20"/>
        </w:rPr>
        <w:t xml:space="preserve">• La LGD representa la expectativa del Banco respecto al monto de la pérdida en una exposición en estado de default. La LGD varía según el tipo de contraparte, el tipo y la antigüedad del reclamo y la disponibilidad de garantías u otro soporte de crédito. La LGD se expresa como un porcentaje de pérdida por unidad de exposición en el momento del default (EAD) y se calcula sobre una base de 12 meses o a lo largo de la vida del instrumento, donde la LGD de 12 meses es el porcentaje de pérdida que se espera incurrir si el default ocurre en los próximos 12 meses y LGD de por vida es el porcentaje de pérdida que se espera incurrir si el default ocurre durante la vida restante del instrumento financiero. </w:t>
      </w:r>
    </w:p>
    <w:p w14:paraId="429D0023" w14:textId="77777777" w:rsidR="00264F4C" w:rsidRPr="00642813" w:rsidRDefault="00264F4C" w:rsidP="00264F4C">
      <w:pPr>
        <w:jc w:val="both"/>
        <w:rPr>
          <w:rFonts w:ascii="Arial" w:hAnsi="Arial" w:cs="Arial"/>
          <w:sz w:val="20"/>
        </w:rPr>
      </w:pPr>
    </w:p>
    <w:p w14:paraId="1C1B1436" w14:textId="77777777" w:rsidR="00264F4C" w:rsidRDefault="00264F4C" w:rsidP="00264F4C">
      <w:pPr>
        <w:jc w:val="both"/>
        <w:rPr>
          <w:rFonts w:ascii="Arial" w:hAnsi="Arial" w:cs="Arial"/>
          <w:sz w:val="20"/>
        </w:rPr>
      </w:pPr>
      <w:r w:rsidRPr="00642813">
        <w:rPr>
          <w:rFonts w:ascii="Arial" w:hAnsi="Arial" w:cs="Arial"/>
          <w:sz w:val="20"/>
        </w:rPr>
        <w:t xml:space="preserve">La PCE se determina proyectando la PD, LGD y EAD para cada mes futuro y para cada exposición individual o segmento colectivo. Estos tres componentes se multiplican y se ajustan según la probabilidad de supervivencia (es decir, la exposición no se ha precancelado o </w:t>
      </w:r>
      <w:r w:rsidRPr="00642813">
        <w:rPr>
          <w:rFonts w:ascii="Arial" w:hAnsi="Arial" w:cs="Arial"/>
          <w:sz w:val="20"/>
        </w:rPr>
        <w:lastRenderedPageBreak/>
        <w:t>ingresado en estado de default en un mes anterior). Esto calcula efectivamente una PCE para cada mes futuro, que luego se descuenta a la fecha de presentación y se agrega. La tasa de descuento utilizada en el cálculo de las PCE es la tasa de interés efectiva original o una aproximación de ésta.</w:t>
      </w:r>
    </w:p>
    <w:p w14:paraId="55E318C2" w14:textId="77777777" w:rsidR="00264F4C" w:rsidRPr="00642813" w:rsidRDefault="00264F4C" w:rsidP="00264F4C">
      <w:pPr>
        <w:jc w:val="both"/>
        <w:rPr>
          <w:rFonts w:ascii="Arial" w:hAnsi="Arial" w:cs="Arial"/>
          <w:sz w:val="20"/>
        </w:rPr>
      </w:pPr>
    </w:p>
    <w:p w14:paraId="0439ACB6" w14:textId="77777777" w:rsidR="00264F4C" w:rsidRDefault="00264F4C" w:rsidP="00264F4C">
      <w:pPr>
        <w:jc w:val="both"/>
        <w:rPr>
          <w:rFonts w:ascii="Arial" w:hAnsi="Arial" w:cs="Arial"/>
          <w:sz w:val="20"/>
        </w:rPr>
      </w:pPr>
      <w:r w:rsidRPr="00642813">
        <w:rPr>
          <w:rFonts w:ascii="Arial" w:hAnsi="Arial" w:cs="Arial"/>
          <w:sz w:val="20"/>
        </w:rPr>
        <w:t>Para la estimación de los parámetros utilizados para el cálculo de la PCE mencionados previamente, la Entidad basó su cálculo en la experiencia del desarrollo de modelos internos para la estimación de los parámetros, adaptando el desarrollo de estos según la NIF 9.</w:t>
      </w:r>
    </w:p>
    <w:p w14:paraId="33A37A9D" w14:textId="77777777" w:rsidR="00264F4C" w:rsidRPr="00642813" w:rsidRDefault="00264F4C" w:rsidP="00264F4C">
      <w:pPr>
        <w:jc w:val="both"/>
        <w:rPr>
          <w:rFonts w:ascii="Arial" w:hAnsi="Arial" w:cs="Arial"/>
          <w:sz w:val="20"/>
        </w:rPr>
      </w:pPr>
    </w:p>
    <w:p w14:paraId="21A3B13A" w14:textId="77777777" w:rsidR="00264F4C" w:rsidRPr="00642813" w:rsidRDefault="00264F4C" w:rsidP="00264F4C">
      <w:pPr>
        <w:jc w:val="both"/>
        <w:rPr>
          <w:rFonts w:ascii="Arial" w:hAnsi="Arial" w:cs="Arial"/>
          <w:sz w:val="20"/>
          <w:highlight w:val="yellow"/>
        </w:rPr>
      </w:pPr>
      <w:r w:rsidRPr="00642813">
        <w:rPr>
          <w:rFonts w:ascii="Arial" w:hAnsi="Arial" w:cs="Arial"/>
          <w:sz w:val="20"/>
        </w:rPr>
        <w:t xml:space="preserve">El Banco incluye información económica prospectiva en la determinación de las PD, EAD y LGD a 12 meses y Lifetime. Referirse a la Nota </w:t>
      </w:r>
      <w:r>
        <w:rPr>
          <w:rFonts w:ascii="Arial" w:hAnsi="Arial" w:cs="Arial"/>
          <w:sz w:val="20"/>
        </w:rPr>
        <w:t>1.2</w:t>
      </w:r>
      <w:r w:rsidRPr="00642813">
        <w:rPr>
          <w:rFonts w:ascii="Arial" w:hAnsi="Arial" w:cs="Arial"/>
          <w:sz w:val="20"/>
        </w:rPr>
        <w:t>.5 para una explicación de la información prospectiva y su consideración en el cálculo de las PCE.</w:t>
      </w:r>
    </w:p>
    <w:p w14:paraId="1FD2CFE5" w14:textId="77777777" w:rsidR="00264F4C" w:rsidRDefault="00264F4C" w:rsidP="00264F4C">
      <w:pPr>
        <w:jc w:val="both"/>
        <w:rPr>
          <w:rFonts w:ascii="Arial" w:hAnsi="Arial" w:cs="Arial"/>
          <w:sz w:val="20"/>
          <w:highlight w:val="yellow"/>
        </w:rPr>
      </w:pPr>
    </w:p>
    <w:p w14:paraId="757E4527" w14:textId="77777777" w:rsidR="00264F4C" w:rsidRPr="00642813" w:rsidRDefault="00264F4C" w:rsidP="00264F4C">
      <w:pPr>
        <w:rPr>
          <w:rFonts w:ascii="Arial" w:hAnsi="Arial" w:cs="Arial"/>
          <w:b/>
          <w:sz w:val="20"/>
        </w:rPr>
      </w:pPr>
      <w:r w:rsidRPr="00642813">
        <w:rPr>
          <w:rFonts w:ascii="Arial" w:hAnsi="Arial" w:cs="Arial"/>
          <w:b/>
          <w:sz w:val="20"/>
        </w:rPr>
        <w:t>1.2.5 Información prospectiva consideradas en los modelos de pérdidas crediticias esperadas</w:t>
      </w:r>
    </w:p>
    <w:p w14:paraId="082FD585" w14:textId="77777777" w:rsidR="00264F4C" w:rsidRPr="00642813" w:rsidRDefault="00264F4C" w:rsidP="00264F4C">
      <w:pPr>
        <w:spacing w:before="250"/>
        <w:ind w:right="-226"/>
        <w:jc w:val="both"/>
        <w:rPr>
          <w:rFonts w:ascii="Arial" w:hAnsi="Arial" w:cs="Arial"/>
          <w:sz w:val="20"/>
        </w:rPr>
      </w:pPr>
      <w:r w:rsidRPr="00642813">
        <w:rPr>
          <w:rFonts w:ascii="Arial" w:hAnsi="Arial" w:cs="Arial"/>
          <w:sz w:val="20"/>
        </w:rPr>
        <w:t xml:space="preserve">La evaluación de los incrementos significativos del riesgo de crédito y el cálculo de las PCE incorporan información prospectiva. El Banco realizó análisis históricos e identificó las variables económicas clave que afectan el riesgo de crédito y las pérdidas crediticias esperadas para cada cartera. </w:t>
      </w:r>
    </w:p>
    <w:p w14:paraId="2E1EF59B" w14:textId="77777777" w:rsidR="00264F4C" w:rsidRPr="00642813" w:rsidRDefault="00264F4C" w:rsidP="00264F4C">
      <w:pPr>
        <w:spacing w:before="250"/>
        <w:ind w:right="-226"/>
        <w:jc w:val="both"/>
        <w:rPr>
          <w:rFonts w:ascii="Arial" w:hAnsi="Arial" w:cs="Arial"/>
          <w:b/>
          <w:bCs/>
          <w:color w:val="FF0000"/>
          <w:sz w:val="20"/>
        </w:rPr>
      </w:pPr>
      <w:r w:rsidRPr="00642813">
        <w:rPr>
          <w:rFonts w:ascii="Arial" w:hAnsi="Arial" w:cs="Arial"/>
          <w:sz w:val="20"/>
        </w:rPr>
        <w:t>Los pronósticos de estas variables económicas (el "escenario económico base") son proporcionados semestralmente por el equipo de</w:t>
      </w:r>
      <w:r w:rsidRPr="00642813">
        <w:rPr>
          <w:rFonts w:ascii="Arial" w:hAnsi="Arial" w:cs="Arial"/>
          <w:b/>
          <w:bCs/>
          <w:color w:val="FF0000"/>
          <w:sz w:val="20"/>
        </w:rPr>
        <w:t xml:space="preserve"> </w:t>
      </w:r>
      <w:r w:rsidRPr="00642813">
        <w:rPr>
          <w:rFonts w:ascii="Arial" w:hAnsi="Arial" w:cs="Arial"/>
          <w:bCs/>
          <w:sz w:val="20"/>
        </w:rPr>
        <w:t>Research</w:t>
      </w:r>
      <w:r w:rsidRPr="00642813">
        <w:rPr>
          <w:rFonts w:ascii="Arial" w:hAnsi="Arial" w:cs="Arial"/>
          <w:sz w:val="20"/>
        </w:rPr>
        <w:t xml:space="preserve"> del Banco y proporcionan la mejor visión estimada de la economía en los próximos 12 meses. El impacto de estas variables económicas en la PD y LGD se ha determinado realizando análisis de regresión estadística para comprender el impacto que los cambios en estas variables han tenido históricamente en las tasas de default y en los componentes de la LGD. </w:t>
      </w:r>
    </w:p>
    <w:p w14:paraId="74C10E2D" w14:textId="77777777" w:rsidR="00264F4C" w:rsidRPr="00642813" w:rsidRDefault="00264F4C" w:rsidP="00264F4C">
      <w:pPr>
        <w:spacing w:before="250"/>
        <w:ind w:right="-226"/>
        <w:jc w:val="both"/>
        <w:rPr>
          <w:rFonts w:ascii="Arial" w:hAnsi="Arial" w:cs="Arial"/>
          <w:bCs/>
          <w:sz w:val="20"/>
        </w:rPr>
      </w:pPr>
      <w:r w:rsidRPr="00642813">
        <w:rPr>
          <w:rFonts w:ascii="Arial" w:hAnsi="Arial" w:cs="Arial"/>
          <w:sz w:val="20"/>
        </w:rPr>
        <w:t xml:space="preserve">Además del escenario económico base, el equipo de </w:t>
      </w:r>
      <w:r w:rsidRPr="00642813">
        <w:rPr>
          <w:rFonts w:ascii="Arial" w:hAnsi="Arial" w:cs="Arial"/>
          <w:bCs/>
          <w:sz w:val="20"/>
        </w:rPr>
        <w:t xml:space="preserve">Research </w:t>
      </w:r>
      <w:r w:rsidRPr="00642813">
        <w:rPr>
          <w:rFonts w:ascii="Arial" w:hAnsi="Arial" w:cs="Arial"/>
          <w:sz w:val="20"/>
        </w:rPr>
        <w:t>del Banco también proporciona dos escenarios posibles junto con ponderaciones de escenarios. El número de otros escenarios utilizados se establece en función del análisis de los principales productos para asegurar que se captura el efecto de la linealidad entre el escenario económico futuro y las pérdidas crediticias esperadas asociadas. El número de escenarios y sus atributos se reevalúan</w:t>
      </w:r>
      <w:r w:rsidRPr="00642813">
        <w:rPr>
          <w:rFonts w:ascii="Arial" w:hAnsi="Arial" w:cs="Arial"/>
          <w:bCs/>
          <w:sz w:val="20"/>
        </w:rPr>
        <w:t xml:space="preserve"> semestralmente, salvo que ocurra una situación en la coyuntura macroeconómica que justifique una mayor periodicidad.</w:t>
      </w:r>
    </w:p>
    <w:p w14:paraId="7FD80D23" w14:textId="23187C19" w:rsidR="00111E5A" w:rsidRPr="00642813" w:rsidRDefault="00264F4C" w:rsidP="00264F4C">
      <w:pPr>
        <w:spacing w:before="250"/>
        <w:ind w:right="-226"/>
        <w:jc w:val="both"/>
        <w:rPr>
          <w:rFonts w:ascii="Arial" w:hAnsi="Arial" w:cs="Arial"/>
          <w:sz w:val="20"/>
        </w:rPr>
      </w:pPr>
      <w:r w:rsidRPr="00642813">
        <w:rPr>
          <w:rFonts w:ascii="Arial" w:hAnsi="Arial" w:cs="Arial"/>
          <w:sz w:val="20"/>
        </w:rPr>
        <w:t xml:space="preserve">Al 1 de enero de 2020 y al 31 de marzo de 2020, para todas las carteras el Banco concluyó que </w:t>
      </w:r>
      <w:r w:rsidRPr="00642813">
        <w:rPr>
          <w:rFonts w:ascii="Arial" w:hAnsi="Arial" w:cs="Arial"/>
          <w:bCs/>
          <w:sz w:val="20"/>
        </w:rPr>
        <w:t xml:space="preserve">tres </w:t>
      </w:r>
      <w:r w:rsidRPr="00642813">
        <w:rPr>
          <w:rFonts w:ascii="Arial" w:hAnsi="Arial" w:cs="Arial"/>
          <w:sz w:val="20"/>
        </w:rPr>
        <w:t xml:space="preserve">escenarios capturaron apropiadamente las no linealidades. Las ponderaciones de escenarios se determinan mediante una combinación de análisis estadístico y juicio experto, teniendo en cuenta el rango de posibles resultados de los cuales cada escenario elegido es representativo. La evaluación de los incrementos significativos del riesgo de crédito se realiza utilizando la PD Lifetime en el escenario base y los otros escenarios, multiplicado por la ponderación asociada a cada escenario, junto con indicadores cualitativos y de backstop (ver Nota </w:t>
      </w:r>
      <w:r w:rsidR="0091213D">
        <w:rPr>
          <w:rFonts w:ascii="Arial" w:hAnsi="Arial" w:cs="Arial"/>
          <w:sz w:val="20"/>
        </w:rPr>
        <w:t>1.2</w:t>
      </w:r>
      <w:r w:rsidRPr="00642813">
        <w:rPr>
          <w:rFonts w:ascii="Arial" w:hAnsi="Arial" w:cs="Arial"/>
          <w:sz w:val="20"/>
        </w:rPr>
        <w:t xml:space="preserve">.1). Esto determina si el instrumento financiero está en la Etapa 1, Etapa 2 o Etapa 3 y, por lo tanto, si debe registrarse PCE de 12 meses o Lifetime. Al igual que con cualquier pronóstico económico, las proyecciones y las probabilidades de ocurrencia están sujetas a un alto grado de incertidumbre inherente y, por lo tanto, los resultados reales pueden ser significativamente diferentes a los proyectados. El Banco </w:t>
      </w:r>
      <w:r w:rsidRPr="00642813">
        <w:rPr>
          <w:rFonts w:ascii="Arial" w:hAnsi="Arial" w:cs="Arial"/>
          <w:sz w:val="20"/>
        </w:rPr>
        <w:lastRenderedPageBreak/>
        <w:t>considera que estos pronósticos representan su mejor estimación de los posibles resultados y ha analizado los impactos no linealidades y asimétricos dentro de las diferentes carteras del Banco para establecer que los escenarios elegidos son representativos del rango de escenarios posibles.</w:t>
      </w:r>
    </w:p>
    <w:p w14:paraId="03D0BDF5" w14:textId="77777777" w:rsidR="00264F4C" w:rsidRPr="00642813" w:rsidRDefault="00264F4C" w:rsidP="00264F4C">
      <w:pPr>
        <w:spacing w:before="250"/>
        <w:ind w:right="-226"/>
        <w:jc w:val="both"/>
        <w:rPr>
          <w:rFonts w:ascii="Arial" w:hAnsi="Arial" w:cs="Arial"/>
          <w:sz w:val="20"/>
        </w:rPr>
      </w:pPr>
    </w:p>
    <w:p w14:paraId="27C0DA72" w14:textId="77777777" w:rsidR="00BC11E2" w:rsidRDefault="00264F4C" w:rsidP="00264F4C">
      <w:pPr>
        <w:rPr>
          <w:rFonts w:ascii="Arial" w:hAnsi="Arial" w:cs="Arial"/>
          <w:sz w:val="20"/>
        </w:rPr>
      </w:pPr>
      <w:r w:rsidRPr="00642813">
        <w:rPr>
          <w:rFonts w:ascii="Arial" w:hAnsi="Arial" w:cs="Arial"/>
          <w:sz w:val="20"/>
        </w:rPr>
        <w:t>Los supuestos más significativos utilizados para estimar las PCE al 31 de marzo de 2020 se exponen a continuación:</w:t>
      </w:r>
    </w:p>
    <w:p w14:paraId="23BF2CEF" w14:textId="77777777" w:rsidR="00BC11E2" w:rsidRDefault="00BC11E2" w:rsidP="00264F4C">
      <w:pPr>
        <w:rPr>
          <w:rFonts w:cstheme="minorHAnsi"/>
          <w:sz w:val="20"/>
        </w:rPr>
      </w:pPr>
    </w:p>
    <w:p w14:paraId="3AEB18DB" w14:textId="77777777" w:rsidR="00BC11E2" w:rsidRDefault="00BC11E2" w:rsidP="00264F4C">
      <w:pPr>
        <w:rPr>
          <w:rFonts w:cstheme="minorHAnsi"/>
          <w:sz w:val="20"/>
        </w:rPr>
      </w:pP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198"/>
        <w:gridCol w:w="1656"/>
        <w:gridCol w:w="1693"/>
        <w:gridCol w:w="1001"/>
        <w:gridCol w:w="1206"/>
        <w:gridCol w:w="1206"/>
      </w:tblGrid>
      <w:tr w:rsidR="00BC11E2" w:rsidRPr="00CB452B" w14:paraId="3B6AF4D3" w14:textId="77777777" w:rsidTr="004F3E32">
        <w:trPr>
          <w:trHeight w:val="510"/>
          <w:jc w:val="center"/>
        </w:trPr>
        <w:tc>
          <w:tcPr>
            <w:tcW w:w="1198" w:type="dxa"/>
            <w:shd w:val="clear" w:color="auto" w:fill="FFFFFF" w:themeFill="background1"/>
            <w:vAlign w:val="center"/>
            <w:hideMark/>
          </w:tcPr>
          <w:p w14:paraId="682566FE" w14:textId="77777777" w:rsidR="00BC11E2" w:rsidRPr="00CB452B" w:rsidRDefault="00BC11E2" w:rsidP="004F3E32">
            <w:pPr>
              <w:jc w:val="center"/>
              <w:rPr>
                <w:rFonts w:ascii="Arial" w:hAnsi="Arial" w:cs="Arial"/>
                <w:b/>
                <w:bCs/>
                <w:color w:val="000000"/>
                <w:sz w:val="18"/>
                <w:szCs w:val="18"/>
                <w:lang w:eastAsia="es-AR"/>
              </w:rPr>
            </w:pPr>
            <w:r w:rsidRPr="00CB452B">
              <w:rPr>
                <w:rFonts w:ascii="Arial" w:hAnsi="Arial" w:cs="Arial"/>
                <w:b/>
                <w:bCs/>
                <w:color w:val="000000"/>
                <w:sz w:val="18"/>
                <w:szCs w:val="18"/>
                <w:lang w:eastAsia="es-AR"/>
              </w:rPr>
              <w:t>Parámetro</w:t>
            </w:r>
          </w:p>
        </w:tc>
        <w:tc>
          <w:tcPr>
            <w:tcW w:w="1659" w:type="dxa"/>
            <w:shd w:val="clear" w:color="auto" w:fill="FFFFFF" w:themeFill="background1"/>
            <w:vAlign w:val="center"/>
            <w:hideMark/>
          </w:tcPr>
          <w:p w14:paraId="7DED0B84" w14:textId="77777777" w:rsidR="00BC11E2" w:rsidRPr="00CB452B" w:rsidRDefault="00BC11E2" w:rsidP="004F3E32">
            <w:pPr>
              <w:jc w:val="center"/>
              <w:rPr>
                <w:rFonts w:ascii="Arial" w:hAnsi="Arial" w:cs="Arial"/>
                <w:b/>
                <w:bCs/>
                <w:color w:val="000000"/>
                <w:sz w:val="18"/>
                <w:szCs w:val="18"/>
                <w:lang w:eastAsia="es-AR"/>
              </w:rPr>
            </w:pPr>
            <w:r w:rsidRPr="00CB452B">
              <w:rPr>
                <w:rFonts w:ascii="Arial" w:hAnsi="Arial" w:cs="Arial"/>
                <w:b/>
                <w:bCs/>
                <w:color w:val="000000"/>
                <w:sz w:val="18"/>
                <w:szCs w:val="18"/>
                <w:lang w:eastAsia="es-AR"/>
              </w:rPr>
              <w:t>Segmento</w:t>
            </w:r>
          </w:p>
        </w:tc>
        <w:tc>
          <w:tcPr>
            <w:tcW w:w="1693" w:type="dxa"/>
            <w:shd w:val="clear" w:color="auto" w:fill="FFFFFF" w:themeFill="background1"/>
            <w:vAlign w:val="center"/>
            <w:hideMark/>
          </w:tcPr>
          <w:p w14:paraId="09DFC0B7" w14:textId="77777777" w:rsidR="00BC11E2" w:rsidRPr="00CB452B" w:rsidRDefault="00BC11E2" w:rsidP="004F3E32">
            <w:pPr>
              <w:jc w:val="center"/>
              <w:rPr>
                <w:rFonts w:ascii="Arial" w:hAnsi="Arial" w:cs="Arial"/>
                <w:b/>
                <w:bCs/>
                <w:color w:val="000000"/>
                <w:sz w:val="18"/>
                <w:szCs w:val="18"/>
                <w:lang w:eastAsia="es-AR"/>
              </w:rPr>
            </w:pPr>
            <w:r w:rsidRPr="00CB452B">
              <w:rPr>
                <w:rFonts w:ascii="Arial" w:hAnsi="Arial" w:cs="Arial"/>
                <w:b/>
                <w:bCs/>
                <w:color w:val="000000"/>
                <w:sz w:val="18"/>
                <w:szCs w:val="18"/>
                <w:lang w:eastAsia="es-AR"/>
              </w:rPr>
              <w:t>Variable macroeconómica</w:t>
            </w:r>
          </w:p>
        </w:tc>
        <w:tc>
          <w:tcPr>
            <w:tcW w:w="996" w:type="dxa"/>
            <w:shd w:val="clear" w:color="auto" w:fill="FFFFFF" w:themeFill="background1"/>
            <w:vAlign w:val="center"/>
            <w:hideMark/>
          </w:tcPr>
          <w:p w14:paraId="67F0E666" w14:textId="77777777" w:rsidR="00BC11E2" w:rsidRPr="00CB452B" w:rsidRDefault="00BC11E2" w:rsidP="004F3E32">
            <w:pPr>
              <w:jc w:val="center"/>
              <w:rPr>
                <w:rFonts w:ascii="Arial" w:hAnsi="Arial" w:cs="Arial"/>
                <w:b/>
                <w:bCs/>
                <w:color w:val="000000"/>
                <w:sz w:val="18"/>
                <w:szCs w:val="18"/>
                <w:lang w:eastAsia="es-AR"/>
              </w:rPr>
            </w:pPr>
            <w:r w:rsidRPr="00CB452B">
              <w:rPr>
                <w:rFonts w:ascii="Arial" w:hAnsi="Arial" w:cs="Arial"/>
                <w:b/>
                <w:bCs/>
                <w:color w:val="000000"/>
                <w:sz w:val="18"/>
                <w:szCs w:val="18"/>
                <w:lang w:eastAsia="es-AR"/>
              </w:rPr>
              <w:t>Escenario Optimista</w:t>
            </w:r>
          </w:p>
        </w:tc>
        <w:tc>
          <w:tcPr>
            <w:tcW w:w="1207" w:type="dxa"/>
            <w:shd w:val="clear" w:color="auto" w:fill="FFFFFF" w:themeFill="background1"/>
            <w:vAlign w:val="center"/>
            <w:hideMark/>
          </w:tcPr>
          <w:p w14:paraId="1FC3C08E" w14:textId="77777777" w:rsidR="00BC11E2" w:rsidRPr="00CB452B" w:rsidRDefault="00BC11E2" w:rsidP="004F3E32">
            <w:pPr>
              <w:jc w:val="center"/>
              <w:rPr>
                <w:rFonts w:ascii="Arial" w:hAnsi="Arial" w:cs="Arial"/>
                <w:b/>
                <w:bCs/>
                <w:color w:val="000000"/>
                <w:sz w:val="18"/>
                <w:szCs w:val="18"/>
                <w:lang w:eastAsia="es-AR"/>
              </w:rPr>
            </w:pPr>
            <w:r w:rsidRPr="00CB452B">
              <w:rPr>
                <w:rFonts w:ascii="Arial" w:hAnsi="Arial" w:cs="Arial"/>
                <w:b/>
                <w:bCs/>
                <w:color w:val="000000"/>
                <w:sz w:val="18"/>
                <w:szCs w:val="18"/>
                <w:lang w:eastAsia="es-AR"/>
              </w:rPr>
              <w:t>Escenario Base</w:t>
            </w:r>
          </w:p>
        </w:tc>
        <w:tc>
          <w:tcPr>
            <w:tcW w:w="1207" w:type="dxa"/>
            <w:shd w:val="clear" w:color="auto" w:fill="FFFFFF" w:themeFill="background1"/>
            <w:vAlign w:val="center"/>
            <w:hideMark/>
          </w:tcPr>
          <w:p w14:paraId="33BED7D6" w14:textId="77777777" w:rsidR="00BC11E2" w:rsidRPr="00CB452B" w:rsidRDefault="00BC11E2" w:rsidP="004F3E32">
            <w:pPr>
              <w:jc w:val="center"/>
              <w:rPr>
                <w:rFonts w:ascii="Arial" w:hAnsi="Arial" w:cs="Arial"/>
                <w:b/>
                <w:bCs/>
                <w:color w:val="000000"/>
                <w:sz w:val="18"/>
                <w:szCs w:val="18"/>
                <w:lang w:eastAsia="es-AR"/>
              </w:rPr>
            </w:pPr>
            <w:r w:rsidRPr="00CB452B">
              <w:rPr>
                <w:rFonts w:ascii="Arial" w:hAnsi="Arial" w:cs="Arial"/>
                <w:b/>
                <w:bCs/>
                <w:color w:val="000000"/>
                <w:sz w:val="18"/>
                <w:szCs w:val="18"/>
                <w:lang w:eastAsia="es-AR"/>
              </w:rPr>
              <w:t>Escenario Pesimista</w:t>
            </w:r>
          </w:p>
        </w:tc>
      </w:tr>
      <w:tr w:rsidR="00BC11E2" w:rsidRPr="00CB452B" w14:paraId="47496FA2" w14:textId="77777777" w:rsidTr="004F3E32">
        <w:trPr>
          <w:trHeight w:val="300"/>
          <w:jc w:val="center"/>
        </w:trPr>
        <w:tc>
          <w:tcPr>
            <w:tcW w:w="1198" w:type="dxa"/>
            <w:vMerge w:val="restart"/>
            <w:shd w:val="clear" w:color="auto" w:fill="FFFFFF" w:themeFill="background1"/>
            <w:vAlign w:val="center"/>
            <w:hideMark/>
          </w:tcPr>
          <w:p w14:paraId="113F1274"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Probabilidad de Default</w:t>
            </w:r>
          </w:p>
        </w:tc>
        <w:tc>
          <w:tcPr>
            <w:tcW w:w="1659" w:type="dxa"/>
            <w:shd w:val="clear" w:color="auto" w:fill="FFFFFF" w:themeFill="background1"/>
            <w:vAlign w:val="center"/>
            <w:hideMark/>
          </w:tcPr>
          <w:p w14:paraId="3BB3B0C7"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Banca Personas y Negocios</w:t>
            </w:r>
          </w:p>
        </w:tc>
        <w:tc>
          <w:tcPr>
            <w:tcW w:w="1693" w:type="dxa"/>
            <w:shd w:val="clear" w:color="auto" w:fill="FFFFFF" w:themeFill="background1"/>
            <w:vAlign w:val="center"/>
            <w:hideMark/>
          </w:tcPr>
          <w:p w14:paraId="77918474"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Salario real</w:t>
            </w:r>
          </w:p>
        </w:tc>
        <w:tc>
          <w:tcPr>
            <w:tcW w:w="996" w:type="dxa"/>
            <w:shd w:val="clear" w:color="auto" w:fill="FFFFFF" w:themeFill="background1"/>
            <w:vAlign w:val="center"/>
            <w:hideMark/>
          </w:tcPr>
          <w:p w14:paraId="24933EE4"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(3.23)%</w:t>
            </w:r>
          </w:p>
        </w:tc>
        <w:tc>
          <w:tcPr>
            <w:tcW w:w="1207" w:type="dxa"/>
            <w:shd w:val="clear" w:color="auto" w:fill="FFFFFF" w:themeFill="background1"/>
            <w:vAlign w:val="center"/>
            <w:hideMark/>
          </w:tcPr>
          <w:p w14:paraId="3FE08845"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(3.64)%</w:t>
            </w:r>
          </w:p>
        </w:tc>
        <w:tc>
          <w:tcPr>
            <w:tcW w:w="1207" w:type="dxa"/>
            <w:shd w:val="clear" w:color="auto" w:fill="FFFFFF" w:themeFill="background1"/>
            <w:vAlign w:val="center"/>
            <w:hideMark/>
          </w:tcPr>
          <w:p w14:paraId="23D897EF"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(3.64)%</w:t>
            </w:r>
          </w:p>
        </w:tc>
      </w:tr>
      <w:tr w:rsidR="00BC11E2" w:rsidRPr="00CB452B" w14:paraId="44CFA35D" w14:textId="77777777" w:rsidTr="004F3E32">
        <w:trPr>
          <w:trHeight w:val="300"/>
          <w:jc w:val="center"/>
        </w:trPr>
        <w:tc>
          <w:tcPr>
            <w:tcW w:w="1198" w:type="dxa"/>
            <w:vMerge/>
            <w:shd w:val="clear" w:color="auto" w:fill="FFFFFF" w:themeFill="background1"/>
            <w:vAlign w:val="center"/>
            <w:hideMark/>
          </w:tcPr>
          <w:p w14:paraId="674C8273" w14:textId="77777777" w:rsidR="00BC11E2" w:rsidRPr="00CB452B" w:rsidRDefault="00BC11E2" w:rsidP="004F3E32">
            <w:pPr>
              <w:rPr>
                <w:rFonts w:ascii="Arial" w:hAnsi="Arial" w:cs="Arial"/>
                <w:color w:val="000000"/>
                <w:sz w:val="18"/>
                <w:szCs w:val="18"/>
                <w:lang w:eastAsia="es-AR"/>
              </w:rPr>
            </w:pPr>
          </w:p>
        </w:tc>
        <w:tc>
          <w:tcPr>
            <w:tcW w:w="1659" w:type="dxa"/>
            <w:shd w:val="clear" w:color="auto" w:fill="FFFFFF" w:themeFill="background1"/>
            <w:vAlign w:val="center"/>
            <w:hideMark/>
          </w:tcPr>
          <w:p w14:paraId="7D35657E"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Banca Empresas</w:t>
            </w:r>
          </w:p>
        </w:tc>
        <w:tc>
          <w:tcPr>
            <w:tcW w:w="1693" w:type="dxa"/>
            <w:shd w:val="clear" w:color="auto" w:fill="FFFFFF" w:themeFill="background1"/>
            <w:vAlign w:val="center"/>
            <w:hideMark/>
          </w:tcPr>
          <w:p w14:paraId="04838C50"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Tasa Badlar</w:t>
            </w:r>
          </w:p>
        </w:tc>
        <w:tc>
          <w:tcPr>
            <w:tcW w:w="996" w:type="dxa"/>
            <w:shd w:val="clear" w:color="auto" w:fill="FFFFFF" w:themeFill="background1"/>
            <w:vAlign w:val="center"/>
            <w:hideMark/>
          </w:tcPr>
          <w:p w14:paraId="45AA7E27"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50.71%</w:t>
            </w:r>
          </w:p>
        </w:tc>
        <w:tc>
          <w:tcPr>
            <w:tcW w:w="1207" w:type="dxa"/>
            <w:shd w:val="clear" w:color="auto" w:fill="FFFFFF" w:themeFill="background1"/>
            <w:vAlign w:val="center"/>
            <w:hideMark/>
          </w:tcPr>
          <w:p w14:paraId="38B674A3"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50.67%</w:t>
            </w:r>
          </w:p>
        </w:tc>
        <w:tc>
          <w:tcPr>
            <w:tcW w:w="1207" w:type="dxa"/>
            <w:shd w:val="clear" w:color="auto" w:fill="FFFFFF" w:themeFill="background1"/>
            <w:vAlign w:val="center"/>
            <w:hideMark/>
          </w:tcPr>
          <w:p w14:paraId="4AA55C38"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33.59%</w:t>
            </w:r>
          </w:p>
        </w:tc>
      </w:tr>
      <w:tr w:rsidR="00BC11E2" w:rsidRPr="00CB452B" w14:paraId="11ACDB00" w14:textId="77777777" w:rsidTr="004F3E32">
        <w:trPr>
          <w:trHeight w:val="300"/>
          <w:jc w:val="center"/>
        </w:trPr>
        <w:tc>
          <w:tcPr>
            <w:tcW w:w="1198" w:type="dxa"/>
            <w:vMerge/>
            <w:shd w:val="clear" w:color="auto" w:fill="FFFFFF" w:themeFill="background1"/>
            <w:vAlign w:val="center"/>
            <w:hideMark/>
          </w:tcPr>
          <w:p w14:paraId="6CBB0A83" w14:textId="77777777" w:rsidR="00BC11E2" w:rsidRPr="00CB452B" w:rsidRDefault="00BC11E2" w:rsidP="004F3E32">
            <w:pPr>
              <w:rPr>
                <w:rFonts w:ascii="Arial" w:hAnsi="Arial" w:cs="Arial"/>
                <w:color w:val="000000"/>
                <w:sz w:val="18"/>
                <w:szCs w:val="18"/>
                <w:lang w:eastAsia="es-AR"/>
              </w:rPr>
            </w:pPr>
          </w:p>
        </w:tc>
        <w:tc>
          <w:tcPr>
            <w:tcW w:w="1659" w:type="dxa"/>
            <w:shd w:val="clear" w:color="auto" w:fill="FFFFFF" w:themeFill="background1"/>
            <w:vAlign w:val="center"/>
            <w:hideMark/>
          </w:tcPr>
          <w:p w14:paraId="5E8F3AB9"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División Consumo</w:t>
            </w:r>
          </w:p>
        </w:tc>
        <w:tc>
          <w:tcPr>
            <w:tcW w:w="1693" w:type="dxa"/>
            <w:shd w:val="clear" w:color="auto" w:fill="FFFFFF" w:themeFill="background1"/>
            <w:vAlign w:val="center"/>
            <w:hideMark/>
          </w:tcPr>
          <w:p w14:paraId="37CCC438"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EMAE</w:t>
            </w:r>
          </w:p>
        </w:tc>
        <w:tc>
          <w:tcPr>
            <w:tcW w:w="996" w:type="dxa"/>
            <w:shd w:val="clear" w:color="auto" w:fill="FFFFFF" w:themeFill="background1"/>
            <w:vAlign w:val="center"/>
            <w:hideMark/>
          </w:tcPr>
          <w:p w14:paraId="4590593B"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137.26</w:t>
            </w:r>
          </w:p>
        </w:tc>
        <w:tc>
          <w:tcPr>
            <w:tcW w:w="1207" w:type="dxa"/>
            <w:shd w:val="clear" w:color="auto" w:fill="FFFFFF" w:themeFill="background1"/>
            <w:vAlign w:val="center"/>
            <w:hideMark/>
          </w:tcPr>
          <w:p w14:paraId="4DBC11D0"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136.88</w:t>
            </w:r>
          </w:p>
        </w:tc>
        <w:tc>
          <w:tcPr>
            <w:tcW w:w="1207" w:type="dxa"/>
            <w:shd w:val="clear" w:color="auto" w:fill="FFFFFF" w:themeFill="background1"/>
            <w:vAlign w:val="center"/>
            <w:hideMark/>
          </w:tcPr>
          <w:p w14:paraId="4304292F"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eastAsia="es-AR"/>
              </w:rPr>
              <w:t>132.93</w:t>
            </w:r>
          </w:p>
        </w:tc>
      </w:tr>
      <w:tr w:rsidR="00BC11E2" w:rsidRPr="00CB452B" w14:paraId="6A89DD3C" w14:textId="77777777" w:rsidTr="004F3E32">
        <w:trPr>
          <w:trHeight w:val="300"/>
          <w:jc w:val="center"/>
        </w:trPr>
        <w:tc>
          <w:tcPr>
            <w:tcW w:w="1198" w:type="dxa"/>
            <w:shd w:val="clear" w:color="auto" w:fill="FFFFFF" w:themeFill="background1"/>
            <w:vAlign w:val="center"/>
          </w:tcPr>
          <w:p w14:paraId="2F5A4A32"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rPr>
              <w:t>Loss Given Default</w:t>
            </w:r>
          </w:p>
        </w:tc>
        <w:tc>
          <w:tcPr>
            <w:tcW w:w="1659" w:type="dxa"/>
            <w:shd w:val="clear" w:color="auto" w:fill="FFFFFF" w:themeFill="background1"/>
            <w:vAlign w:val="center"/>
          </w:tcPr>
          <w:p w14:paraId="35DD26AC"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eastAsia="es-AR"/>
              </w:rPr>
              <w:t>Banca Personas y Negocios</w:t>
            </w:r>
          </w:p>
        </w:tc>
        <w:tc>
          <w:tcPr>
            <w:tcW w:w="1693" w:type="dxa"/>
            <w:shd w:val="clear" w:color="auto" w:fill="FFFFFF" w:themeFill="background1"/>
            <w:vAlign w:val="bottom"/>
          </w:tcPr>
          <w:p w14:paraId="00216B68" w14:textId="77777777" w:rsidR="00BC11E2" w:rsidRPr="00CB452B" w:rsidRDefault="00BC11E2" w:rsidP="004F3E32">
            <w:pPr>
              <w:rPr>
                <w:rFonts w:ascii="Arial" w:hAnsi="Arial" w:cs="Arial"/>
                <w:color w:val="000000"/>
                <w:sz w:val="18"/>
                <w:szCs w:val="18"/>
                <w:lang w:eastAsia="es-AR"/>
              </w:rPr>
            </w:pPr>
            <w:r w:rsidRPr="00CB452B">
              <w:rPr>
                <w:rFonts w:ascii="Arial" w:hAnsi="Arial" w:cs="Arial"/>
                <w:color w:val="000000"/>
                <w:sz w:val="18"/>
                <w:szCs w:val="18"/>
                <w:lang w:val="en-US"/>
              </w:rPr>
              <w:t>Salario Real Privado Registrado</w:t>
            </w:r>
          </w:p>
        </w:tc>
        <w:tc>
          <w:tcPr>
            <w:tcW w:w="996" w:type="dxa"/>
            <w:shd w:val="clear" w:color="auto" w:fill="FFFFFF" w:themeFill="background1"/>
            <w:vAlign w:val="center"/>
          </w:tcPr>
          <w:p w14:paraId="1D221CDF"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val="en-US"/>
              </w:rPr>
              <w:t>50.28%</w:t>
            </w:r>
          </w:p>
        </w:tc>
        <w:tc>
          <w:tcPr>
            <w:tcW w:w="1207" w:type="dxa"/>
            <w:shd w:val="clear" w:color="auto" w:fill="FFFFFF" w:themeFill="background1"/>
            <w:vAlign w:val="center"/>
          </w:tcPr>
          <w:p w14:paraId="40BA514F" w14:textId="77777777" w:rsidR="00BC11E2" w:rsidRPr="00CB452B" w:rsidRDefault="00BC11E2" w:rsidP="004F3E32">
            <w:pPr>
              <w:jc w:val="right"/>
              <w:rPr>
                <w:rFonts w:ascii="Arial" w:hAnsi="Arial" w:cs="Arial"/>
                <w:sz w:val="18"/>
                <w:szCs w:val="18"/>
                <w:lang w:eastAsia="es-AR"/>
              </w:rPr>
            </w:pPr>
            <w:r w:rsidRPr="00CB452B">
              <w:rPr>
                <w:rFonts w:ascii="Arial" w:hAnsi="Arial" w:cs="Arial"/>
                <w:sz w:val="18"/>
                <w:szCs w:val="18"/>
                <w:lang w:val="en-US"/>
              </w:rPr>
              <w:t>41.39%</w:t>
            </w:r>
          </w:p>
        </w:tc>
        <w:tc>
          <w:tcPr>
            <w:tcW w:w="1207" w:type="dxa"/>
            <w:shd w:val="clear" w:color="auto" w:fill="FFFFFF" w:themeFill="background1"/>
            <w:vAlign w:val="center"/>
          </w:tcPr>
          <w:p w14:paraId="46CE11B3" w14:textId="77777777" w:rsidR="00BC11E2" w:rsidRPr="00CB452B" w:rsidRDefault="00BC11E2" w:rsidP="004F3E32">
            <w:pPr>
              <w:jc w:val="right"/>
              <w:rPr>
                <w:rFonts w:ascii="Arial" w:hAnsi="Arial" w:cs="Arial"/>
                <w:sz w:val="18"/>
                <w:szCs w:val="18"/>
                <w:lang w:eastAsia="es-AR"/>
              </w:rPr>
            </w:pPr>
            <w:r w:rsidRPr="00CB452B">
              <w:rPr>
                <w:rFonts w:ascii="Arial" w:hAnsi="Arial" w:cs="Arial"/>
                <w:color w:val="000000"/>
                <w:sz w:val="18"/>
                <w:szCs w:val="18"/>
                <w:lang w:val="en-US"/>
              </w:rPr>
              <w:t>51.63%</w:t>
            </w:r>
          </w:p>
        </w:tc>
      </w:tr>
    </w:tbl>
    <w:p w14:paraId="7A14125A" w14:textId="2DE5F6B8" w:rsidR="00264F4C" w:rsidRDefault="00264F4C" w:rsidP="00264F4C">
      <w:pPr>
        <w:rPr>
          <w:b/>
          <w:sz w:val="20"/>
        </w:rPr>
      </w:pPr>
    </w:p>
    <w:p w14:paraId="53755088" w14:textId="77777777" w:rsidR="00264F4C" w:rsidRPr="00642813" w:rsidRDefault="00264F4C" w:rsidP="00264F4C">
      <w:pPr>
        <w:spacing w:before="250"/>
        <w:ind w:right="-226"/>
        <w:jc w:val="both"/>
        <w:rPr>
          <w:rFonts w:ascii="Arial" w:hAnsi="Arial" w:cs="Arial"/>
          <w:sz w:val="20"/>
        </w:rPr>
      </w:pPr>
      <w:r w:rsidRPr="00642813">
        <w:rPr>
          <w:rFonts w:ascii="Arial" w:hAnsi="Arial" w:cs="Arial"/>
          <w:sz w:val="20"/>
        </w:rPr>
        <w:t>Se exponen a continuación las ponderaciones asignadas a cada escenario al 31 de marzo de 2020:</w:t>
      </w:r>
    </w:p>
    <w:p w14:paraId="569F59A1" w14:textId="77777777" w:rsidR="00264F4C" w:rsidRPr="00642813" w:rsidRDefault="00264F4C" w:rsidP="00264F4C">
      <w:pPr>
        <w:ind w:right="-226"/>
        <w:jc w:val="both"/>
        <w:rPr>
          <w:rFonts w:ascii="Arial" w:hAnsi="Arial" w:cs="Arial"/>
          <w:b/>
          <w:bCs/>
          <w:sz w:val="20"/>
        </w:rPr>
      </w:pPr>
    </w:p>
    <w:tbl>
      <w:tblPr>
        <w:tblW w:w="3160" w:type="dxa"/>
        <w:jc w:val="center"/>
        <w:tblCellMar>
          <w:left w:w="70" w:type="dxa"/>
          <w:right w:w="70" w:type="dxa"/>
        </w:tblCellMar>
        <w:tblLook w:val="04A0" w:firstRow="1" w:lastRow="0" w:firstColumn="1" w:lastColumn="0" w:noHBand="0" w:noVBand="1"/>
      </w:tblPr>
      <w:tblGrid>
        <w:gridCol w:w="1960"/>
        <w:gridCol w:w="1200"/>
      </w:tblGrid>
      <w:tr w:rsidR="00264F4C" w:rsidRPr="00642813" w14:paraId="6C3C12C2" w14:textId="77777777" w:rsidTr="00264F4C">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68BB" w14:textId="77777777" w:rsidR="00264F4C" w:rsidRPr="00642813" w:rsidRDefault="00264F4C" w:rsidP="00264F4C">
            <w:pPr>
              <w:jc w:val="center"/>
              <w:rPr>
                <w:rFonts w:ascii="Arial" w:hAnsi="Arial" w:cs="Arial"/>
                <w:color w:val="000000"/>
                <w:sz w:val="18"/>
                <w:lang w:eastAsia="es-AR"/>
              </w:rPr>
            </w:pPr>
            <w:r w:rsidRPr="00642813">
              <w:rPr>
                <w:rFonts w:ascii="Arial" w:hAnsi="Arial" w:cs="Arial"/>
                <w:color w:val="000000"/>
                <w:sz w:val="18"/>
                <w:lang w:eastAsia="es-AR"/>
              </w:rPr>
              <w:t>Escenario Base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7448F5A" w14:textId="77777777" w:rsidR="00264F4C" w:rsidRPr="00642813" w:rsidRDefault="00264F4C" w:rsidP="00264F4C">
            <w:pPr>
              <w:jc w:val="center"/>
              <w:rPr>
                <w:rFonts w:ascii="Arial" w:hAnsi="Arial" w:cs="Arial"/>
                <w:color w:val="000000"/>
                <w:sz w:val="18"/>
                <w:lang w:eastAsia="es-AR"/>
              </w:rPr>
            </w:pPr>
            <w:r w:rsidRPr="00642813">
              <w:rPr>
                <w:rFonts w:ascii="Arial" w:hAnsi="Arial" w:cs="Arial"/>
                <w:color w:val="000000"/>
                <w:sz w:val="18"/>
                <w:lang w:eastAsia="es-AR"/>
              </w:rPr>
              <w:t>80%</w:t>
            </w:r>
          </w:p>
        </w:tc>
      </w:tr>
      <w:tr w:rsidR="00264F4C" w:rsidRPr="00642813" w14:paraId="29D28EED" w14:textId="77777777" w:rsidTr="00264F4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7A89CFA" w14:textId="77777777" w:rsidR="00264F4C" w:rsidRPr="00642813" w:rsidRDefault="00264F4C" w:rsidP="00264F4C">
            <w:pPr>
              <w:jc w:val="center"/>
              <w:rPr>
                <w:rFonts w:ascii="Arial" w:hAnsi="Arial" w:cs="Arial"/>
                <w:color w:val="000000"/>
                <w:sz w:val="18"/>
                <w:lang w:eastAsia="es-AR"/>
              </w:rPr>
            </w:pPr>
            <w:r w:rsidRPr="00642813">
              <w:rPr>
                <w:rFonts w:ascii="Arial" w:hAnsi="Arial" w:cs="Arial"/>
                <w:color w:val="000000"/>
                <w:sz w:val="18"/>
                <w:lang w:eastAsia="es-AR"/>
              </w:rPr>
              <w:t>Escenario Optimista</w:t>
            </w:r>
          </w:p>
        </w:tc>
        <w:tc>
          <w:tcPr>
            <w:tcW w:w="1200" w:type="dxa"/>
            <w:tcBorders>
              <w:top w:val="nil"/>
              <w:left w:val="nil"/>
              <w:bottom w:val="single" w:sz="4" w:space="0" w:color="auto"/>
              <w:right w:val="single" w:sz="4" w:space="0" w:color="auto"/>
            </w:tcBorders>
            <w:shd w:val="clear" w:color="auto" w:fill="auto"/>
            <w:noWrap/>
            <w:vAlign w:val="center"/>
            <w:hideMark/>
          </w:tcPr>
          <w:p w14:paraId="7A9B1070" w14:textId="77777777" w:rsidR="00264F4C" w:rsidRPr="00642813" w:rsidRDefault="00264F4C" w:rsidP="00264F4C">
            <w:pPr>
              <w:jc w:val="center"/>
              <w:rPr>
                <w:rFonts w:ascii="Arial" w:hAnsi="Arial" w:cs="Arial"/>
                <w:color w:val="000000"/>
                <w:sz w:val="18"/>
                <w:lang w:eastAsia="es-AR"/>
              </w:rPr>
            </w:pPr>
            <w:r w:rsidRPr="00642813">
              <w:rPr>
                <w:rFonts w:ascii="Arial" w:hAnsi="Arial" w:cs="Arial"/>
                <w:color w:val="000000"/>
                <w:sz w:val="18"/>
                <w:lang w:eastAsia="es-AR"/>
              </w:rPr>
              <w:t>10%</w:t>
            </w:r>
          </w:p>
        </w:tc>
      </w:tr>
      <w:tr w:rsidR="00264F4C" w:rsidRPr="00642813" w14:paraId="088F80DF" w14:textId="77777777" w:rsidTr="00264F4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DC1E5DB" w14:textId="77777777" w:rsidR="00264F4C" w:rsidRPr="00642813" w:rsidRDefault="00264F4C" w:rsidP="00264F4C">
            <w:pPr>
              <w:jc w:val="center"/>
              <w:rPr>
                <w:rFonts w:ascii="Arial" w:hAnsi="Arial" w:cs="Arial"/>
                <w:color w:val="000000"/>
                <w:sz w:val="18"/>
                <w:lang w:eastAsia="es-AR"/>
              </w:rPr>
            </w:pPr>
            <w:r w:rsidRPr="00642813">
              <w:rPr>
                <w:rFonts w:ascii="Arial" w:hAnsi="Arial" w:cs="Arial"/>
                <w:color w:val="000000"/>
                <w:sz w:val="18"/>
                <w:lang w:eastAsia="es-AR"/>
              </w:rPr>
              <w:t>Escenario Pesimista</w:t>
            </w:r>
          </w:p>
        </w:tc>
        <w:tc>
          <w:tcPr>
            <w:tcW w:w="1200" w:type="dxa"/>
            <w:tcBorders>
              <w:top w:val="nil"/>
              <w:left w:val="nil"/>
              <w:bottom w:val="single" w:sz="4" w:space="0" w:color="auto"/>
              <w:right w:val="single" w:sz="4" w:space="0" w:color="auto"/>
            </w:tcBorders>
            <w:shd w:val="clear" w:color="auto" w:fill="auto"/>
            <w:noWrap/>
            <w:vAlign w:val="center"/>
            <w:hideMark/>
          </w:tcPr>
          <w:p w14:paraId="629BA82C" w14:textId="77777777" w:rsidR="00264F4C" w:rsidRPr="00642813" w:rsidRDefault="00264F4C" w:rsidP="00264F4C">
            <w:pPr>
              <w:jc w:val="center"/>
              <w:rPr>
                <w:rFonts w:ascii="Arial" w:hAnsi="Arial" w:cs="Arial"/>
                <w:color w:val="000000"/>
                <w:sz w:val="18"/>
                <w:lang w:eastAsia="es-AR"/>
              </w:rPr>
            </w:pPr>
            <w:r w:rsidRPr="00642813">
              <w:rPr>
                <w:rFonts w:ascii="Arial" w:hAnsi="Arial" w:cs="Arial"/>
                <w:color w:val="000000"/>
                <w:sz w:val="18"/>
                <w:lang w:eastAsia="es-AR"/>
              </w:rPr>
              <w:t>10%</w:t>
            </w:r>
          </w:p>
        </w:tc>
      </w:tr>
    </w:tbl>
    <w:p w14:paraId="1B15E7C9" w14:textId="77777777" w:rsidR="00264F4C" w:rsidRPr="00642813" w:rsidRDefault="00264F4C" w:rsidP="00264F4C">
      <w:pPr>
        <w:ind w:right="-226"/>
        <w:jc w:val="both"/>
        <w:rPr>
          <w:rFonts w:ascii="Arial" w:hAnsi="Arial" w:cs="Arial"/>
          <w:b/>
          <w:bCs/>
          <w:sz w:val="20"/>
        </w:rPr>
      </w:pPr>
    </w:p>
    <w:p w14:paraId="3269BDCC" w14:textId="77777777" w:rsidR="00264F4C" w:rsidRPr="00642813" w:rsidRDefault="00264F4C" w:rsidP="00264F4C">
      <w:pPr>
        <w:ind w:right="-226"/>
        <w:jc w:val="both"/>
        <w:rPr>
          <w:rFonts w:ascii="Arial" w:hAnsi="Arial" w:cs="Arial"/>
          <w:b/>
          <w:bCs/>
          <w:sz w:val="20"/>
        </w:rPr>
      </w:pPr>
      <w:r w:rsidRPr="00642813">
        <w:rPr>
          <w:rFonts w:ascii="Arial" w:hAnsi="Arial" w:cs="Arial"/>
          <w:b/>
          <w:bCs/>
          <w:sz w:val="20"/>
        </w:rPr>
        <w:t>Análisis de sensibilidad</w:t>
      </w:r>
    </w:p>
    <w:p w14:paraId="1DA3024B" w14:textId="77777777" w:rsidR="00264F4C" w:rsidRPr="00642813" w:rsidRDefault="00264F4C" w:rsidP="00264F4C">
      <w:pPr>
        <w:ind w:right="-227"/>
        <w:jc w:val="both"/>
        <w:rPr>
          <w:rFonts w:ascii="Arial" w:hAnsi="Arial" w:cs="Arial"/>
          <w:sz w:val="20"/>
        </w:rPr>
      </w:pPr>
    </w:p>
    <w:p w14:paraId="119BC028" w14:textId="77777777" w:rsidR="00264F4C" w:rsidRPr="00642813" w:rsidRDefault="00264F4C" w:rsidP="00264F4C">
      <w:pPr>
        <w:ind w:right="-227"/>
        <w:jc w:val="both"/>
        <w:rPr>
          <w:rFonts w:ascii="Arial" w:hAnsi="Arial" w:cs="Arial"/>
          <w:sz w:val="20"/>
        </w:rPr>
      </w:pPr>
      <w:r w:rsidRPr="00642813">
        <w:rPr>
          <w:rFonts w:ascii="Arial" w:hAnsi="Arial" w:cs="Arial"/>
          <w:sz w:val="20"/>
        </w:rPr>
        <w:t>A continuación, se detallan los cambios en las PCE al 31 de marzo de 2020 que resultarían de cambios razonablemente posibles en los siguientes parámetros:</w:t>
      </w:r>
    </w:p>
    <w:p w14:paraId="1F2767E5" w14:textId="77777777" w:rsidR="00264F4C" w:rsidRPr="00642813" w:rsidRDefault="00264F4C" w:rsidP="00264F4C">
      <w:pPr>
        <w:ind w:right="-227"/>
        <w:jc w:val="both"/>
        <w:rPr>
          <w:rFonts w:ascii="Arial" w:hAnsi="Arial" w:cs="Arial"/>
          <w:sz w:val="20"/>
        </w:rPr>
      </w:pPr>
    </w:p>
    <w:tbl>
      <w:tblPr>
        <w:tblW w:w="3690" w:type="dxa"/>
        <w:jc w:val="center"/>
        <w:tblCellMar>
          <w:left w:w="70" w:type="dxa"/>
          <w:right w:w="70" w:type="dxa"/>
        </w:tblCellMar>
        <w:tblLook w:val="04A0" w:firstRow="1" w:lastRow="0" w:firstColumn="1" w:lastColumn="0" w:noHBand="0" w:noVBand="1"/>
      </w:tblPr>
      <w:tblGrid>
        <w:gridCol w:w="2755"/>
        <w:gridCol w:w="1041"/>
      </w:tblGrid>
      <w:tr w:rsidR="00264F4C" w:rsidRPr="00642813" w14:paraId="5D54B334" w14:textId="77777777" w:rsidTr="00264F4C">
        <w:trPr>
          <w:trHeight w:val="269"/>
          <w:jc w:val="center"/>
        </w:trPr>
        <w:tc>
          <w:tcPr>
            <w:tcW w:w="3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C979DB" w14:textId="77777777" w:rsidR="00264F4C" w:rsidRPr="00642813" w:rsidRDefault="00264F4C" w:rsidP="00264F4C">
            <w:pPr>
              <w:jc w:val="center"/>
              <w:rPr>
                <w:rFonts w:ascii="Arial" w:hAnsi="Arial" w:cs="Arial"/>
                <w:b/>
                <w:bCs/>
                <w:color w:val="000000"/>
                <w:sz w:val="18"/>
                <w:szCs w:val="18"/>
                <w:lang w:eastAsia="es-AR"/>
              </w:rPr>
            </w:pPr>
            <w:r w:rsidRPr="00642813">
              <w:rPr>
                <w:rFonts w:ascii="Arial" w:hAnsi="Arial" w:cs="Arial"/>
                <w:b/>
                <w:bCs/>
                <w:color w:val="000000"/>
                <w:sz w:val="18"/>
                <w:szCs w:val="18"/>
                <w:lang w:eastAsia="es-AR"/>
              </w:rPr>
              <w:t>31 de marzo de 2020</w:t>
            </w:r>
          </w:p>
        </w:tc>
      </w:tr>
      <w:tr w:rsidR="00264F4C" w:rsidRPr="00642813" w14:paraId="7E08B07C"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tcPr>
          <w:p w14:paraId="156BBA45" w14:textId="77777777" w:rsidR="00264F4C" w:rsidRPr="00642813" w:rsidRDefault="00264F4C" w:rsidP="00264F4C">
            <w:pPr>
              <w:rPr>
                <w:rFonts w:ascii="Arial" w:hAnsi="Arial" w:cs="Arial"/>
                <w:color w:val="000000"/>
                <w:sz w:val="18"/>
                <w:szCs w:val="18"/>
                <w:lang w:eastAsia="es-AR"/>
              </w:rPr>
            </w:pPr>
            <w:r w:rsidRPr="00642813">
              <w:rPr>
                <w:rFonts w:ascii="Arial" w:hAnsi="Arial" w:cs="Arial"/>
                <w:color w:val="000000"/>
                <w:sz w:val="18"/>
                <w:szCs w:val="18"/>
                <w:lang w:eastAsia="es-AR"/>
              </w:rPr>
              <w:t>Cartera Total</w:t>
            </w:r>
          </w:p>
        </w:tc>
        <w:tc>
          <w:tcPr>
            <w:tcW w:w="935" w:type="dxa"/>
            <w:tcBorders>
              <w:top w:val="nil"/>
              <w:left w:val="nil"/>
              <w:bottom w:val="single" w:sz="4" w:space="0" w:color="auto"/>
              <w:right w:val="single" w:sz="4" w:space="0" w:color="auto"/>
            </w:tcBorders>
            <w:shd w:val="clear" w:color="auto" w:fill="auto"/>
            <w:noWrap/>
            <w:vAlign w:val="center"/>
            <w:hideMark/>
          </w:tcPr>
          <w:p w14:paraId="60D59D84"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 xml:space="preserve"> 89</w:t>
            </w:r>
            <w:r>
              <w:rPr>
                <w:rFonts w:ascii="Arial" w:hAnsi="Arial" w:cs="Arial"/>
                <w:color w:val="000000"/>
                <w:sz w:val="18"/>
                <w:szCs w:val="18"/>
                <w:lang w:eastAsia="es-AR"/>
              </w:rPr>
              <w:t>.</w:t>
            </w:r>
            <w:r w:rsidRPr="00642813">
              <w:rPr>
                <w:rFonts w:ascii="Arial" w:hAnsi="Arial" w:cs="Arial"/>
                <w:color w:val="000000"/>
                <w:sz w:val="18"/>
                <w:szCs w:val="18"/>
                <w:lang w:eastAsia="es-AR"/>
              </w:rPr>
              <w:t>246</w:t>
            </w:r>
            <w:r>
              <w:rPr>
                <w:rFonts w:ascii="Arial" w:hAnsi="Arial" w:cs="Arial"/>
                <w:color w:val="000000"/>
                <w:sz w:val="18"/>
                <w:szCs w:val="18"/>
                <w:lang w:eastAsia="es-AR"/>
              </w:rPr>
              <w:t>.</w:t>
            </w:r>
            <w:r w:rsidRPr="00642813">
              <w:rPr>
                <w:rFonts w:ascii="Arial" w:hAnsi="Arial" w:cs="Arial"/>
                <w:color w:val="000000"/>
                <w:sz w:val="18"/>
                <w:szCs w:val="18"/>
                <w:lang w:eastAsia="es-AR"/>
              </w:rPr>
              <w:t>228</w:t>
            </w:r>
          </w:p>
        </w:tc>
      </w:tr>
      <w:tr w:rsidR="00264F4C" w:rsidRPr="00642813" w14:paraId="55C5B8B7"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tcPr>
          <w:p w14:paraId="2E677597" w14:textId="77777777" w:rsidR="00264F4C" w:rsidRPr="00642813" w:rsidRDefault="00264F4C" w:rsidP="00264F4C">
            <w:pPr>
              <w:rPr>
                <w:rFonts w:ascii="Arial" w:hAnsi="Arial" w:cs="Arial"/>
                <w:color w:val="000000"/>
                <w:sz w:val="18"/>
                <w:szCs w:val="18"/>
                <w:lang w:eastAsia="es-AR"/>
              </w:rPr>
            </w:pPr>
          </w:p>
        </w:tc>
        <w:tc>
          <w:tcPr>
            <w:tcW w:w="935" w:type="dxa"/>
            <w:tcBorders>
              <w:top w:val="nil"/>
              <w:left w:val="nil"/>
              <w:bottom w:val="single" w:sz="4" w:space="0" w:color="auto"/>
              <w:right w:val="single" w:sz="4" w:space="0" w:color="auto"/>
            </w:tcBorders>
            <w:shd w:val="clear" w:color="auto" w:fill="auto"/>
            <w:noWrap/>
            <w:vAlign w:val="center"/>
          </w:tcPr>
          <w:p w14:paraId="5216F51A" w14:textId="77777777" w:rsidR="00264F4C" w:rsidRPr="00642813" w:rsidRDefault="00264F4C" w:rsidP="00264F4C">
            <w:pPr>
              <w:jc w:val="right"/>
              <w:rPr>
                <w:rFonts w:ascii="Arial" w:hAnsi="Arial" w:cs="Arial"/>
                <w:color w:val="000000"/>
                <w:sz w:val="18"/>
                <w:szCs w:val="18"/>
                <w:lang w:eastAsia="es-AR"/>
              </w:rPr>
            </w:pPr>
          </w:p>
        </w:tc>
      </w:tr>
      <w:tr w:rsidR="00264F4C" w:rsidRPr="00642813" w14:paraId="1C52608D"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hideMark/>
          </w:tcPr>
          <w:p w14:paraId="1D4C2F41" w14:textId="77777777" w:rsidR="00264F4C" w:rsidRPr="00642813" w:rsidRDefault="00264F4C" w:rsidP="00264F4C">
            <w:pPr>
              <w:rPr>
                <w:rFonts w:ascii="Arial" w:hAnsi="Arial" w:cs="Arial"/>
                <w:color w:val="000000"/>
                <w:sz w:val="18"/>
                <w:szCs w:val="18"/>
                <w:lang w:eastAsia="es-AR"/>
              </w:rPr>
            </w:pPr>
            <w:r w:rsidRPr="00642813">
              <w:rPr>
                <w:rFonts w:ascii="Arial" w:hAnsi="Arial" w:cs="Arial"/>
                <w:b/>
                <w:bCs/>
                <w:color w:val="000000"/>
                <w:sz w:val="18"/>
                <w:szCs w:val="18"/>
                <w:lang w:eastAsia="es-AR"/>
              </w:rPr>
              <w:t>PCE por Escenario</w:t>
            </w:r>
          </w:p>
        </w:tc>
        <w:tc>
          <w:tcPr>
            <w:tcW w:w="935" w:type="dxa"/>
            <w:tcBorders>
              <w:top w:val="nil"/>
              <w:left w:val="nil"/>
              <w:bottom w:val="single" w:sz="4" w:space="0" w:color="auto"/>
              <w:right w:val="single" w:sz="4" w:space="0" w:color="auto"/>
            </w:tcBorders>
            <w:shd w:val="clear" w:color="auto" w:fill="auto"/>
            <w:noWrap/>
            <w:vAlign w:val="center"/>
            <w:hideMark/>
          </w:tcPr>
          <w:p w14:paraId="0EBDA43D"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 </w:t>
            </w:r>
          </w:p>
        </w:tc>
      </w:tr>
      <w:tr w:rsidR="00264F4C" w:rsidRPr="00642813" w14:paraId="3B1B4FC6"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hideMark/>
          </w:tcPr>
          <w:p w14:paraId="1F4EB107" w14:textId="77777777" w:rsidR="00264F4C" w:rsidRPr="00642813" w:rsidRDefault="00264F4C" w:rsidP="00264F4C">
            <w:pPr>
              <w:rPr>
                <w:rFonts w:ascii="Arial" w:hAnsi="Arial" w:cs="Arial"/>
                <w:color w:val="000000"/>
                <w:sz w:val="18"/>
                <w:szCs w:val="18"/>
                <w:lang w:eastAsia="es-AR"/>
              </w:rPr>
            </w:pPr>
            <w:r w:rsidRPr="00642813">
              <w:rPr>
                <w:rFonts w:ascii="Arial" w:hAnsi="Arial" w:cs="Arial"/>
                <w:color w:val="000000"/>
                <w:sz w:val="18"/>
                <w:szCs w:val="18"/>
                <w:lang w:eastAsia="es-AR"/>
              </w:rPr>
              <w:t>Impacto Favorable</w:t>
            </w:r>
          </w:p>
        </w:tc>
        <w:tc>
          <w:tcPr>
            <w:tcW w:w="935" w:type="dxa"/>
            <w:tcBorders>
              <w:top w:val="nil"/>
              <w:left w:val="nil"/>
              <w:bottom w:val="single" w:sz="4" w:space="0" w:color="auto"/>
              <w:right w:val="single" w:sz="4" w:space="0" w:color="auto"/>
            </w:tcBorders>
            <w:shd w:val="clear" w:color="auto" w:fill="auto"/>
            <w:noWrap/>
            <w:vAlign w:val="center"/>
            <w:hideMark/>
          </w:tcPr>
          <w:p w14:paraId="28EA2F0A"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5</w:t>
            </w:r>
            <w:r>
              <w:rPr>
                <w:rFonts w:ascii="Arial" w:hAnsi="Arial" w:cs="Arial"/>
                <w:color w:val="000000"/>
                <w:sz w:val="18"/>
                <w:szCs w:val="18"/>
                <w:lang w:eastAsia="es-AR"/>
              </w:rPr>
              <w:t>.</w:t>
            </w:r>
            <w:r w:rsidRPr="00642813">
              <w:rPr>
                <w:rFonts w:ascii="Arial" w:hAnsi="Arial" w:cs="Arial"/>
                <w:color w:val="000000"/>
                <w:sz w:val="18"/>
                <w:szCs w:val="18"/>
                <w:lang w:eastAsia="es-AR"/>
              </w:rPr>
              <w:t>370</w:t>
            </w:r>
            <w:r>
              <w:rPr>
                <w:rFonts w:ascii="Arial" w:hAnsi="Arial" w:cs="Arial"/>
                <w:color w:val="000000"/>
                <w:sz w:val="18"/>
                <w:szCs w:val="18"/>
                <w:lang w:eastAsia="es-AR"/>
              </w:rPr>
              <w:t>.</w:t>
            </w:r>
            <w:r w:rsidRPr="00642813">
              <w:rPr>
                <w:rFonts w:ascii="Arial" w:hAnsi="Arial" w:cs="Arial"/>
                <w:color w:val="000000"/>
                <w:sz w:val="18"/>
                <w:szCs w:val="18"/>
                <w:lang w:eastAsia="es-AR"/>
              </w:rPr>
              <w:t>660</w:t>
            </w:r>
          </w:p>
        </w:tc>
      </w:tr>
      <w:tr w:rsidR="00264F4C" w:rsidRPr="00642813" w14:paraId="0F03E44F"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hideMark/>
          </w:tcPr>
          <w:p w14:paraId="21D0412A" w14:textId="77777777" w:rsidR="00264F4C" w:rsidRPr="00642813" w:rsidRDefault="00264F4C" w:rsidP="00264F4C">
            <w:pPr>
              <w:rPr>
                <w:rFonts w:ascii="Arial" w:hAnsi="Arial" w:cs="Arial"/>
                <w:b/>
                <w:bCs/>
                <w:color w:val="000000"/>
                <w:sz w:val="18"/>
                <w:szCs w:val="18"/>
                <w:lang w:eastAsia="es-AR"/>
              </w:rPr>
            </w:pPr>
            <w:r w:rsidRPr="00642813">
              <w:rPr>
                <w:rFonts w:ascii="Arial" w:hAnsi="Arial" w:cs="Arial"/>
                <w:color w:val="000000"/>
                <w:sz w:val="18"/>
                <w:szCs w:val="18"/>
                <w:lang w:eastAsia="es-AR"/>
              </w:rPr>
              <w:t>Impacto Intermedio</w:t>
            </w:r>
          </w:p>
        </w:tc>
        <w:tc>
          <w:tcPr>
            <w:tcW w:w="935" w:type="dxa"/>
            <w:tcBorders>
              <w:top w:val="nil"/>
              <w:left w:val="nil"/>
              <w:bottom w:val="single" w:sz="4" w:space="0" w:color="auto"/>
              <w:right w:val="single" w:sz="4" w:space="0" w:color="auto"/>
            </w:tcBorders>
            <w:shd w:val="clear" w:color="auto" w:fill="auto"/>
            <w:noWrap/>
            <w:vAlign w:val="center"/>
            <w:hideMark/>
          </w:tcPr>
          <w:p w14:paraId="4D60A0C1"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5</w:t>
            </w:r>
            <w:r>
              <w:rPr>
                <w:rFonts w:ascii="Arial" w:hAnsi="Arial" w:cs="Arial"/>
                <w:color w:val="000000"/>
                <w:sz w:val="18"/>
                <w:szCs w:val="18"/>
                <w:lang w:eastAsia="es-AR"/>
              </w:rPr>
              <w:t>.</w:t>
            </w:r>
            <w:r w:rsidRPr="00642813">
              <w:rPr>
                <w:rFonts w:ascii="Arial" w:hAnsi="Arial" w:cs="Arial"/>
                <w:color w:val="000000"/>
                <w:sz w:val="18"/>
                <w:szCs w:val="18"/>
                <w:lang w:eastAsia="es-AR"/>
              </w:rPr>
              <w:t>390</w:t>
            </w:r>
            <w:r>
              <w:rPr>
                <w:rFonts w:ascii="Arial" w:hAnsi="Arial" w:cs="Arial"/>
                <w:color w:val="000000"/>
                <w:sz w:val="18"/>
                <w:szCs w:val="18"/>
                <w:lang w:eastAsia="es-AR"/>
              </w:rPr>
              <w:t>.</w:t>
            </w:r>
            <w:r w:rsidRPr="00642813">
              <w:rPr>
                <w:rFonts w:ascii="Arial" w:hAnsi="Arial" w:cs="Arial"/>
                <w:color w:val="000000"/>
                <w:sz w:val="18"/>
                <w:szCs w:val="18"/>
                <w:lang w:eastAsia="es-AR"/>
              </w:rPr>
              <w:t>826</w:t>
            </w:r>
          </w:p>
        </w:tc>
      </w:tr>
      <w:tr w:rsidR="00264F4C" w:rsidRPr="00642813" w14:paraId="5C7474E7"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hideMark/>
          </w:tcPr>
          <w:p w14:paraId="235A5629" w14:textId="77777777" w:rsidR="00264F4C" w:rsidRPr="00642813" w:rsidRDefault="00264F4C" w:rsidP="00264F4C">
            <w:pPr>
              <w:rPr>
                <w:rFonts w:ascii="Arial" w:hAnsi="Arial" w:cs="Arial"/>
                <w:color w:val="000000"/>
                <w:sz w:val="18"/>
                <w:szCs w:val="18"/>
                <w:lang w:eastAsia="es-AR"/>
              </w:rPr>
            </w:pPr>
            <w:r w:rsidRPr="00642813">
              <w:rPr>
                <w:rFonts w:ascii="Arial" w:hAnsi="Arial" w:cs="Arial"/>
                <w:color w:val="000000"/>
                <w:sz w:val="18"/>
                <w:szCs w:val="18"/>
                <w:lang w:eastAsia="es-AR"/>
              </w:rPr>
              <w:t>Impacto Alto</w:t>
            </w:r>
          </w:p>
        </w:tc>
        <w:tc>
          <w:tcPr>
            <w:tcW w:w="935" w:type="dxa"/>
            <w:tcBorders>
              <w:top w:val="nil"/>
              <w:left w:val="nil"/>
              <w:bottom w:val="single" w:sz="4" w:space="0" w:color="auto"/>
              <w:right w:val="single" w:sz="4" w:space="0" w:color="auto"/>
            </w:tcBorders>
            <w:shd w:val="clear" w:color="auto" w:fill="auto"/>
            <w:noWrap/>
            <w:vAlign w:val="center"/>
            <w:hideMark/>
          </w:tcPr>
          <w:p w14:paraId="5BA823DB"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5</w:t>
            </w:r>
            <w:r>
              <w:rPr>
                <w:rFonts w:ascii="Arial" w:hAnsi="Arial" w:cs="Arial"/>
                <w:color w:val="000000"/>
                <w:sz w:val="18"/>
                <w:szCs w:val="18"/>
                <w:lang w:eastAsia="es-AR"/>
              </w:rPr>
              <w:t>.</w:t>
            </w:r>
            <w:r w:rsidRPr="00642813">
              <w:rPr>
                <w:rFonts w:ascii="Arial" w:hAnsi="Arial" w:cs="Arial"/>
                <w:color w:val="000000"/>
                <w:sz w:val="18"/>
                <w:szCs w:val="18"/>
                <w:lang w:eastAsia="es-AR"/>
              </w:rPr>
              <w:t>402</w:t>
            </w:r>
            <w:r>
              <w:rPr>
                <w:rFonts w:ascii="Arial" w:hAnsi="Arial" w:cs="Arial"/>
                <w:color w:val="000000"/>
                <w:sz w:val="18"/>
                <w:szCs w:val="18"/>
                <w:lang w:eastAsia="es-AR"/>
              </w:rPr>
              <w:t>.</w:t>
            </w:r>
            <w:r w:rsidRPr="00642813">
              <w:rPr>
                <w:rFonts w:ascii="Arial" w:hAnsi="Arial" w:cs="Arial"/>
                <w:color w:val="000000"/>
                <w:sz w:val="18"/>
                <w:szCs w:val="18"/>
                <w:lang w:eastAsia="es-AR"/>
              </w:rPr>
              <w:t>176</w:t>
            </w:r>
          </w:p>
        </w:tc>
      </w:tr>
      <w:tr w:rsidR="00264F4C" w:rsidRPr="00642813" w14:paraId="220639AE" w14:textId="77777777" w:rsidTr="00264F4C">
        <w:trPr>
          <w:trHeight w:val="62"/>
          <w:jc w:val="center"/>
        </w:trPr>
        <w:tc>
          <w:tcPr>
            <w:tcW w:w="2755" w:type="dxa"/>
            <w:tcBorders>
              <w:top w:val="nil"/>
              <w:left w:val="single" w:sz="4" w:space="0" w:color="auto"/>
              <w:bottom w:val="single" w:sz="4" w:space="0" w:color="auto"/>
              <w:right w:val="single" w:sz="4" w:space="0" w:color="auto"/>
            </w:tcBorders>
            <w:shd w:val="clear" w:color="auto" w:fill="auto"/>
            <w:noWrap/>
            <w:vAlign w:val="center"/>
          </w:tcPr>
          <w:p w14:paraId="7AB5B4C8" w14:textId="77777777" w:rsidR="00264F4C" w:rsidRPr="00642813" w:rsidRDefault="00264F4C" w:rsidP="00264F4C">
            <w:pPr>
              <w:rPr>
                <w:rFonts w:ascii="Arial" w:hAnsi="Arial" w:cs="Arial"/>
                <w:color w:val="000000"/>
                <w:sz w:val="18"/>
                <w:szCs w:val="18"/>
                <w:lang w:eastAsia="es-AR"/>
              </w:rPr>
            </w:pPr>
          </w:p>
        </w:tc>
        <w:tc>
          <w:tcPr>
            <w:tcW w:w="935" w:type="dxa"/>
            <w:tcBorders>
              <w:top w:val="nil"/>
              <w:left w:val="nil"/>
              <w:bottom w:val="single" w:sz="4" w:space="0" w:color="auto"/>
              <w:right w:val="single" w:sz="4" w:space="0" w:color="auto"/>
            </w:tcBorders>
            <w:shd w:val="clear" w:color="auto" w:fill="auto"/>
            <w:noWrap/>
            <w:vAlign w:val="center"/>
          </w:tcPr>
          <w:p w14:paraId="27E547F5" w14:textId="77777777" w:rsidR="00264F4C" w:rsidRPr="00642813" w:rsidRDefault="00264F4C" w:rsidP="00264F4C">
            <w:pPr>
              <w:jc w:val="right"/>
              <w:rPr>
                <w:rFonts w:ascii="Arial" w:hAnsi="Arial" w:cs="Arial"/>
                <w:color w:val="000000"/>
                <w:sz w:val="18"/>
                <w:szCs w:val="18"/>
                <w:lang w:eastAsia="es-AR"/>
              </w:rPr>
            </w:pPr>
          </w:p>
        </w:tc>
      </w:tr>
      <w:tr w:rsidR="00264F4C" w:rsidRPr="00642813" w14:paraId="6B26EA5B"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tcPr>
          <w:p w14:paraId="63DF7A1C" w14:textId="77777777" w:rsidR="00264F4C" w:rsidRPr="00642813" w:rsidRDefault="00264F4C" w:rsidP="00264F4C">
            <w:pPr>
              <w:rPr>
                <w:rFonts w:ascii="Arial" w:hAnsi="Arial" w:cs="Arial"/>
                <w:color w:val="000000"/>
                <w:sz w:val="18"/>
                <w:szCs w:val="18"/>
                <w:lang w:eastAsia="es-AR"/>
              </w:rPr>
            </w:pPr>
            <w:r w:rsidRPr="00642813">
              <w:rPr>
                <w:rFonts w:ascii="Arial" w:hAnsi="Arial" w:cs="Arial"/>
                <w:b/>
                <w:bCs/>
                <w:color w:val="000000"/>
                <w:sz w:val="18"/>
                <w:szCs w:val="18"/>
                <w:lang w:eastAsia="es-AR"/>
              </w:rPr>
              <w:t>Ratio de Cobertura por Escenario</w:t>
            </w:r>
          </w:p>
        </w:tc>
        <w:tc>
          <w:tcPr>
            <w:tcW w:w="935" w:type="dxa"/>
            <w:tcBorders>
              <w:top w:val="nil"/>
              <w:left w:val="nil"/>
              <w:bottom w:val="single" w:sz="4" w:space="0" w:color="auto"/>
              <w:right w:val="single" w:sz="4" w:space="0" w:color="auto"/>
            </w:tcBorders>
            <w:shd w:val="clear" w:color="auto" w:fill="auto"/>
            <w:noWrap/>
            <w:vAlign w:val="center"/>
          </w:tcPr>
          <w:p w14:paraId="0F5C8354" w14:textId="77777777" w:rsidR="00264F4C" w:rsidRPr="00642813" w:rsidRDefault="00264F4C" w:rsidP="00264F4C">
            <w:pPr>
              <w:jc w:val="right"/>
              <w:rPr>
                <w:rFonts w:ascii="Arial" w:hAnsi="Arial" w:cs="Arial"/>
                <w:color w:val="000000"/>
                <w:sz w:val="18"/>
                <w:szCs w:val="18"/>
                <w:lang w:eastAsia="es-AR"/>
              </w:rPr>
            </w:pPr>
          </w:p>
        </w:tc>
      </w:tr>
      <w:tr w:rsidR="00264F4C" w:rsidRPr="00642813" w14:paraId="435619C7"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hideMark/>
          </w:tcPr>
          <w:p w14:paraId="4EF991C7" w14:textId="77777777" w:rsidR="00264F4C" w:rsidRPr="00642813" w:rsidRDefault="00264F4C" w:rsidP="00264F4C">
            <w:pPr>
              <w:rPr>
                <w:rFonts w:ascii="Arial" w:hAnsi="Arial" w:cs="Arial"/>
                <w:b/>
                <w:bCs/>
                <w:color w:val="000000"/>
                <w:sz w:val="18"/>
                <w:szCs w:val="18"/>
                <w:lang w:eastAsia="es-AR"/>
              </w:rPr>
            </w:pPr>
            <w:r w:rsidRPr="00642813">
              <w:rPr>
                <w:rFonts w:ascii="Arial" w:hAnsi="Arial" w:cs="Arial"/>
                <w:color w:val="000000"/>
                <w:sz w:val="18"/>
                <w:szCs w:val="18"/>
                <w:lang w:eastAsia="es-AR"/>
              </w:rPr>
              <w:t>Impacto Favorable</w:t>
            </w:r>
          </w:p>
        </w:tc>
        <w:tc>
          <w:tcPr>
            <w:tcW w:w="935" w:type="dxa"/>
            <w:tcBorders>
              <w:top w:val="nil"/>
              <w:left w:val="nil"/>
              <w:bottom w:val="single" w:sz="4" w:space="0" w:color="auto"/>
              <w:right w:val="single" w:sz="4" w:space="0" w:color="auto"/>
            </w:tcBorders>
            <w:shd w:val="clear" w:color="auto" w:fill="auto"/>
            <w:noWrap/>
            <w:vAlign w:val="center"/>
            <w:hideMark/>
          </w:tcPr>
          <w:p w14:paraId="575A6EB6"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95.38%</w:t>
            </w:r>
          </w:p>
        </w:tc>
      </w:tr>
      <w:tr w:rsidR="00264F4C" w:rsidRPr="00642813" w14:paraId="25260BBA"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tcPr>
          <w:p w14:paraId="5927C314" w14:textId="77777777" w:rsidR="00264F4C" w:rsidRPr="00642813" w:rsidRDefault="00264F4C" w:rsidP="00264F4C">
            <w:pPr>
              <w:rPr>
                <w:rFonts w:ascii="Arial" w:hAnsi="Arial" w:cs="Arial"/>
                <w:color w:val="000000"/>
                <w:sz w:val="18"/>
                <w:szCs w:val="18"/>
                <w:lang w:eastAsia="es-AR"/>
              </w:rPr>
            </w:pPr>
            <w:r w:rsidRPr="00642813">
              <w:rPr>
                <w:rFonts w:ascii="Arial" w:hAnsi="Arial" w:cs="Arial"/>
                <w:color w:val="000000"/>
                <w:sz w:val="18"/>
                <w:szCs w:val="18"/>
                <w:lang w:eastAsia="es-AR"/>
              </w:rPr>
              <w:t>Impacto Intermedio</w:t>
            </w:r>
          </w:p>
        </w:tc>
        <w:tc>
          <w:tcPr>
            <w:tcW w:w="935" w:type="dxa"/>
            <w:tcBorders>
              <w:top w:val="nil"/>
              <w:left w:val="nil"/>
              <w:bottom w:val="single" w:sz="4" w:space="0" w:color="auto"/>
              <w:right w:val="single" w:sz="4" w:space="0" w:color="auto"/>
            </w:tcBorders>
            <w:shd w:val="clear" w:color="auto" w:fill="auto"/>
            <w:noWrap/>
            <w:vAlign w:val="center"/>
          </w:tcPr>
          <w:p w14:paraId="6573C3A9"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95.74%</w:t>
            </w:r>
          </w:p>
        </w:tc>
      </w:tr>
      <w:tr w:rsidR="00264F4C" w:rsidRPr="00642813" w14:paraId="5A7D850C" w14:textId="77777777" w:rsidTr="00264F4C">
        <w:trPr>
          <w:trHeight w:val="269"/>
          <w:jc w:val="center"/>
        </w:trPr>
        <w:tc>
          <w:tcPr>
            <w:tcW w:w="2755" w:type="dxa"/>
            <w:tcBorders>
              <w:top w:val="nil"/>
              <w:left w:val="single" w:sz="4" w:space="0" w:color="auto"/>
              <w:bottom w:val="single" w:sz="4" w:space="0" w:color="auto"/>
              <w:right w:val="single" w:sz="4" w:space="0" w:color="auto"/>
            </w:tcBorders>
            <w:shd w:val="clear" w:color="auto" w:fill="auto"/>
            <w:noWrap/>
            <w:vAlign w:val="center"/>
          </w:tcPr>
          <w:p w14:paraId="3F9CB689" w14:textId="77777777" w:rsidR="00264F4C" w:rsidRPr="00642813" w:rsidRDefault="00264F4C" w:rsidP="00264F4C">
            <w:pPr>
              <w:rPr>
                <w:rFonts w:ascii="Arial" w:hAnsi="Arial" w:cs="Arial"/>
                <w:color w:val="000000"/>
                <w:sz w:val="18"/>
                <w:szCs w:val="18"/>
                <w:lang w:eastAsia="es-AR"/>
              </w:rPr>
            </w:pPr>
            <w:r w:rsidRPr="00642813">
              <w:rPr>
                <w:rFonts w:ascii="Arial" w:hAnsi="Arial" w:cs="Arial"/>
                <w:color w:val="000000"/>
                <w:sz w:val="18"/>
                <w:szCs w:val="18"/>
                <w:lang w:eastAsia="es-AR"/>
              </w:rPr>
              <w:lastRenderedPageBreak/>
              <w:t>Impacto Alto</w:t>
            </w:r>
          </w:p>
        </w:tc>
        <w:tc>
          <w:tcPr>
            <w:tcW w:w="935" w:type="dxa"/>
            <w:tcBorders>
              <w:top w:val="nil"/>
              <w:left w:val="nil"/>
              <w:bottom w:val="single" w:sz="4" w:space="0" w:color="auto"/>
              <w:right w:val="single" w:sz="4" w:space="0" w:color="auto"/>
            </w:tcBorders>
            <w:shd w:val="clear" w:color="auto" w:fill="auto"/>
            <w:noWrap/>
            <w:vAlign w:val="center"/>
          </w:tcPr>
          <w:p w14:paraId="7A13890C" w14:textId="77777777" w:rsidR="00264F4C" w:rsidRPr="00642813" w:rsidRDefault="00264F4C" w:rsidP="00264F4C">
            <w:pPr>
              <w:jc w:val="right"/>
              <w:rPr>
                <w:rFonts w:ascii="Arial" w:hAnsi="Arial" w:cs="Arial"/>
                <w:color w:val="000000"/>
                <w:sz w:val="18"/>
                <w:szCs w:val="18"/>
                <w:lang w:eastAsia="es-AR"/>
              </w:rPr>
            </w:pPr>
            <w:r w:rsidRPr="00642813">
              <w:rPr>
                <w:rFonts w:ascii="Arial" w:hAnsi="Arial" w:cs="Arial"/>
                <w:color w:val="000000"/>
                <w:sz w:val="18"/>
                <w:szCs w:val="18"/>
                <w:lang w:eastAsia="es-AR"/>
              </w:rPr>
              <w:t>95.94%</w:t>
            </w:r>
          </w:p>
        </w:tc>
      </w:tr>
    </w:tbl>
    <w:p w14:paraId="1C660896" w14:textId="77777777" w:rsidR="00264F4C" w:rsidRPr="00642813" w:rsidRDefault="00264F4C" w:rsidP="00264F4C">
      <w:pPr>
        <w:rPr>
          <w:rFonts w:ascii="Arial" w:hAnsi="Arial" w:cs="Arial"/>
          <w:b/>
          <w:sz w:val="20"/>
        </w:rPr>
      </w:pPr>
    </w:p>
    <w:p w14:paraId="11641333" w14:textId="77777777" w:rsidR="00264F4C" w:rsidRPr="00642813" w:rsidRDefault="00264F4C" w:rsidP="00264F4C">
      <w:pPr>
        <w:rPr>
          <w:rFonts w:ascii="Arial" w:hAnsi="Arial" w:cs="Arial"/>
          <w:b/>
          <w:sz w:val="20"/>
        </w:rPr>
      </w:pPr>
    </w:p>
    <w:p w14:paraId="4741418D" w14:textId="77777777" w:rsidR="00264F4C" w:rsidRPr="00642813" w:rsidRDefault="00264F4C" w:rsidP="00264F4C">
      <w:pPr>
        <w:rPr>
          <w:rFonts w:ascii="Arial" w:hAnsi="Arial" w:cs="Arial"/>
          <w:b/>
          <w:sz w:val="20"/>
        </w:rPr>
      </w:pPr>
      <w:r w:rsidRPr="00642813">
        <w:rPr>
          <w:rFonts w:ascii="Arial" w:hAnsi="Arial" w:cs="Arial"/>
          <w:b/>
          <w:sz w:val="20"/>
        </w:rPr>
        <w:t>1.2.6 Máxima exposición al riesgo de crédito</w:t>
      </w:r>
    </w:p>
    <w:p w14:paraId="2D7C96A4" w14:textId="77777777" w:rsidR="00264F4C" w:rsidRPr="00642813" w:rsidRDefault="00264F4C" w:rsidP="00264F4C">
      <w:pPr>
        <w:rPr>
          <w:rFonts w:ascii="Arial" w:hAnsi="Arial" w:cs="Arial"/>
          <w:b/>
          <w:sz w:val="20"/>
        </w:rPr>
      </w:pPr>
    </w:p>
    <w:p w14:paraId="1FABD1F2" w14:textId="77777777" w:rsidR="00264F4C" w:rsidRPr="00642813" w:rsidRDefault="00264F4C" w:rsidP="00264F4C">
      <w:pPr>
        <w:ind w:right="-227"/>
        <w:jc w:val="both"/>
        <w:rPr>
          <w:rFonts w:ascii="Arial" w:hAnsi="Arial" w:cs="Arial"/>
          <w:sz w:val="20"/>
        </w:rPr>
      </w:pPr>
      <w:r w:rsidRPr="00642813">
        <w:rPr>
          <w:rFonts w:ascii="Arial" w:hAnsi="Arial" w:cs="Arial"/>
          <w:sz w:val="20"/>
        </w:rPr>
        <w:t>A continuación, se presenta un análisis de la exposición al riesgo de crédito de los instrumentos financieros para los cuales se reconocieron previsiones por pérdidas crediticias esperadas. El importe bruto en libros de los activos financieros incluidos en el cuadro adjunto representa la máxima exposición al riesgo de crédito de dichos activos.</w:t>
      </w:r>
    </w:p>
    <w:p w14:paraId="1DA1E584" w14:textId="77777777" w:rsidR="00264F4C" w:rsidRPr="00642813" w:rsidRDefault="00264F4C" w:rsidP="00264F4C">
      <w:pPr>
        <w:ind w:right="-227"/>
        <w:jc w:val="both"/>
        <w:rPr>
          <w:rFonts w:ascii="Arial" w:hAnsi="Arial" w:cs="Arial"/>
          <w:sz w:val="20"/>
        </w:rPr>
      </w:pPr>
    </w:p>
    <w:p w14:paraId="66EEC00F" w14:textId="77777777" w:rsidR="00264F4C" w:rsidRPr="00642813" w:rsidRDefault="00264F4C" w:rsidP="00264F4C">
      <w:pPr>
        <w:ind w:right="-227"/>
        <w:jc w:val="both"/>
        <w:rPr>
          <w:rFonts w:ascii="Arial" w:hAnsi="Arial" w:cs="Arial"/>
          <w:sz w:val="20"/>
        </w:rPr>
      </w:pPr>
    </w:p>
    <w:tbl>
      <w:tblPr>
        <w:tblW w:w="7960" w:type="dxa"/>
        <w:tblCellMar>
          <w:left w:w="70" w:type="dxa"/>
          <w:right w:w="70" w:type="dxa"/>
        </w:tblCellMar>
        <w:tblLook w:val="04A0" w:firstRow="1" w:lastRow="0" w:firstColumn="1" w:lastColumn="0" w:noHBand="0" w:noVBand="1"/>
      </w:tblPr>
      <w:tblGrid>
        <w:gridCol w:w="2920"/>
        <w:gridCol w:w="1260"/>
        <w:gridCol w:w="1260"/>
        <w:gridCol w:w="1260"/>
        <w:gridCol w:w="1260"/>
      </w:tblGrid>
      <w:tr w:rsidR="00264F4C" w:rsidRPr="00264F4C" w14:paraId="0DEEA10E" w14:textId="77777777" w:rsidTr="00264F4C">
        <w:trPr>
          <w:trHeight w:val="300"/>
        </w:trPr>
        <w:tc>
          <w:tcPr>
            <w:tcW w:w="29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04AE7BF"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 </w:t>
            </w:r>
          </w:p>
        </w:tc>
        <w:tc>
          <w:tcPr>
            <w:tcW w:w="378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4A98499"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31 de marzo de 2020</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509EF2"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Total</w:t>
            </w:r>
          </w:p>
        </w:tc>
      </w:tr>
      <w:tr w:rsidR="00264F4C" w:rsidRPr="00264F4C" w14:paraId="1FEDB84D" w14:textId="77777777" w:rsidTr="00264F4C">
        <w:trPr>
          <w:trHeight w:val="300"/>
        </w:trPr>
        <w:tc>
          <w:tcPr>
            <w:tcW w:w="29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6A5425F" w14:textId="77777777" w:rsidR="00264F4C" w:rsidRPr="00264F4C" w:rsidRDefault="00264F4C" w:rsidP="00264F4C">
            <w:pPr>
              <w:rPr>
                <w:rFonts w:ascii="Arial" w:hAnsi="Arial" w:cs="Arial"/>
                <w:b/>
                <w:bCs/>
                <w:color w:val="000000"/>
                <w:sz w:val="18"/>
                <w:szCs w:val="18"/>
                <w:lang w:eastAsia="es-AR"/>
              </w:rPr>
            </w:pPr>
          </w:p>
        </w:tc>
        <w:tc>
          <w:tcPr>
            <w:tcW w:w="1260" w:type="dxa"/>
            <w:tcBorders>
              <w:top w:val="nil"/>
              <w:left w:val="nil"/>
              <w:bottom w:val="single" w:sz="4" w:space="0" w:color="auto"/>
              <w:right w:val="single" w:sz="4" w:space="0" w:color="auto"/>
            </w:tcBorders>
            <w:shd w:val="clear" w:color="auto" w:fill="auto"/>
            <w:vAlign w:val="center"/>
            <w:hideMark/>
          </w:tcPr>
          <w:p w14:paraId="5CEFF766"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Etapa 1</w:t>
            </w:r>
          </w:p>
        </w:tc>
        <w:tc>
          <w:tcPr>
            <w:tcW w:w="1260" w:type="dxa"/>
            <w:tcBorders>
              <w:top w:val="nil"/>
              <w:left w:val="nil"/>
              <w:bottom w:val="single" w:sz="4" w:space="0" w:color="auto"/>
              <w:right w:val="single" w:sz="4" w:space="0" w:color="auto"/>
            </w:tcBorders>
            <w:shd w:val="clear" w:color="auto" w:fill="auto"/>
            <w:vAlign w:val="center"/>
            <w:hideMark/>
          </w:tcPr>
          <w:p w14:paraId="7CF2E96E"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Etapa 2</w:t>
            </w:r>
          </w:p>
        </w:tc>
        <w:tc>
          <w:tcPr>
            <w:tcW w:w="1260" w:type="dxa"/>
            <w:tcBorders>
              <w:top w:val="nil"/>
              <w:left w:val="nil"/>
              <w:bottom w:val="single" w:sz="4" w:space="0" w:color="auto"/>
              <w:right w:val="single" w:sz="4" w:space="0" w:color="auto"/>
            </w:tcBorders>
            <w:shd w:val="clear" w:color="auto" w:fill="auto"/>
            <w:vAlign w:val="center"/>
            <w:hideMark/>
          </w:tcPr>
          <w:p w14:paraId="0DF217F3" w14:textId="77777777" w:rsidR="00264F4C" w:rsidRPr="00264F4C" w:rsidRDefault="00264F4C" w:rsidP="00264F4C">
            <w:pPr>
              <w:jc w:val="center"/>
              <w:rPr>
                <w:rFonts w:ascii="Arial" w:hAnsi="Arial" w:cs="Arial"/>
                <w:b/>
                <w:bCs/>
                <w:color w:val="000000"/>
                <w:sz w:val="18"/>
                <w:szCs w:val="18"/>
                <w:lang w:eastAsia="es-AR"/>
              </w:rPr>
            </w:pPr>
            <w:r w:rsidRPr="00264F4C">
              <w:rPr>
                <w:rFonts w:ascii="Arial" w:hAnsi="Arial" w:cs="Arial"/>
                <w:b/>
                <w:bCs/>
                <w:color w:val="000000"/>
                <w:sz w:val="18"/>
                <w:szCs w:val="18"/>
                <w:lang w:eastAsia="es-AR"/>
              </w:rPr>
              <w:t>Etapa 3</w:t>
            </w:r>
          </w:p>
        </w:tc>
        <w:tc>
          <w:tcPr>
            <w:tcW w:w="12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B8D89D7" w14:textId="77777777" w:rsidR="00264F4C" w:rsidRPr="00264F4C" w:rsidRDefault="00264F4C" w:rsidP="00264F4C">
            <w:pPr>
              <w:rPr>
                <w:rFonts w:ascii="Arial" w:hAnsi="Arial" w:cs="Arial"/>
                <w:b/>
                <w:bCs/>
                <w:color w:val="000000"/>
                <w:sz w:val="18"/>
                <w:szCs w:val="18"/>
                <w:lang w:eastAsia="es-AR"/>
              </w:rPr>
            </w:pPr>
          </w:p>
        </w:tc>
      </w:tr>
      <w:tr w:rsidR="00264F4C" w:rsidRPr="00264F4C" w14:paraId="6844BDB5"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DC4287A"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Adelantos</w:t>
            </w:r>
          </w:p>
        </w:tc>
        <w:tc>
          <w:tcPr>
            <w:tcW w:w="1260" w:type="dxa"/>
            <w:tcBorders>
              <w:top w:val="nil"/>
              <w:left w:val="nil"/>
              <w:bottom w:val="single" w:sz="4" w:space="0" w:color="auto"/>
              <w:right w:val="single" w:sz="4" w:space="0" w:color="auto"/>
            </w:tcBorders>
            <w:shd w:val="clear" w:color="auto" w:fill="auto"/>
            <w:noWrap/>
            <w:vAlign w:val="center"/>
            <w:hideMark/>
          </w:tcPr>
          <w:p w14:paraId="6951CD99"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33.628.213</w:t>
            </w:r>
          </w:p>
        </w:tc>
        <w:tc>
          <w:tcPr>
            <w:tcW w:w="1260" w:type="dxa"/>
            <w:tcBorders>
              <w:top w:val="nil"/>
              <w:left w:val="nil"/>
              <w:bottom w:val="single" w:sz="4" w:space="0" w:color="auto"/>
              <w:right w:val="single" w:sz="4" w:space="0" w:color="auto"/>
            </w:tcBorders>
            <w:shd w:val="clear" w:color="auto" w:fill="auto"/>
            <w:noWrap/>
            <w:vAlign w:val="center"/>
            <w:hideMark/>
          </w:tcPr>
          <w:p w14:paraId="02495B66"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312.325</w:t>
            </w:r>
          </w:p>
        </w:tc>
        <w:tc>
          <w:tcPr>
            <w:tcW w:w="1260" w:type="dxa"/>
            <w:tcBorders>
              <w:top w:val="nil"/>
              <w:left w:val="nil"/>
              <w:bottom w:val="single" w:sz="4" w:space="0" w:color="auto"/>
              <w:right w:val="single" w:sz="4" w:space="0" w:color="auto"/>
            </w:tcBorders>
            <w:shd w:val="clear" w:color="auto" w:fill="auto"/>
            <w:noWrap/>
            <w:vAlign w:val="center"/>
            <w:hideMark/>
          </w:tcPr>
          <w:p w14:paraId="53441259"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1.206.853</w:t>
            </w:r>
          </w:p>
        </w:tc>
        <w:tc>
          <w:tcPr>
            <w:tcW w:w="1260" w:type="dxa"/>
            <w:tcBorders>
              <w:top w:val="nil"/>
              <w:left w:val="nil"/>
              <w:bottom w:val="single" w:sz="4" w:space="0" w:color="auto"/>
              <w:right w:val="single" w:sz="4" w:space="0" w:color="auto"/>
            </w:tcBorders>
            <w:shd w:val="clear" w:color="auto" w:fill="auto"/>
            <w:noWrap/>
            <w:vAlign w:val="center"/>
            <w:hideMark/>
          </w:tcPr>
          <w:p w14:paraId="7580C64F"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35.147.391</w:t>
            </w:r>
          </w:p>
        </w:tc>
      </w:tr>
      <w:tr w:rsidR="00264F4C" w:rsidRPr="00264F4C" w14:paraId="3B2726E2"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02EB015"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Documentos</w:t>
            </w:r>
          </w:p>
        </w:tc>
        <w:tc>
          <w:tcPr>
            <w:tcW w:w="1260" w:type="dxa"/>
            <w:tcBorders>
              <w:top w:val="nil"/>
              <w:left w:val="nil"/>
              <w:bottom w:val="single" w:sz="4" w:space="0" w:color="auto"/>
              <w:right w:val="single" w:sz="4" w:space="0" w:color="auto"/>
            </w:tcBorders>
            <w:shd w:val="clear" w:color="auto" w:fill="auto"/>
            <w:noWrap/>
            <w:vAlign w:val="center"/>
            <w:hideMark/>
          </w:tcPr>
          <w:p w14:paraId="0A25DB9E"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9.631.834</w:t>
            </w:r>
          </w:p>
        </w:tc>
        <w:tc>
          <w:tcPr>
            <w:tcW w:w="1260" w:type="dxa"/>
            <w:tcBorders>
              <w:top w:val="nil"/>
              <w:left w:val="nil"/>
              <w:bottom w:val="single" w:sz="4" w:space="0" w:color="auto"/>
              <w:right w:val="single" w:sz="4" w:space="0" w:color="auto"/>
            </w:tcBorders>
            <w:shd w:val="clear" w:color="auto" w:fill="auto"/>
            <w:noWrap/>
            <w:vAlign w:val="center"/>
            <w:hideMark/>
          </w:tcPr>
          <w:p w14:paraId="6966E289"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82.493</w:t>
            </w:r>
          </w:p>
        </w:tc>
        <w:tc>
          <w:tcPr>
            <w:tcW w:w="1260" w:type="dxa"/>
            <w:tcBorders>
              <w:top w:val="nil"/>
              <w:left w:val="nil"/>
              <w:bottom w:val="single" w:sz="4" w:space="0" w:color="auto"/>
              <w:right w:val="single" w:sz="4" w:space="0" w:color="auto"/>
            </w:tcBorders>
            <w:shd w:val="clear" w:color="auto" w:fill="auto"/>
            <w:noWrap/>
            <w:vAlign w:val="center"/>
            <w:hideMark/>
          </w:tcPr>
          <w:p w14:paraId="2B0D8D12"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311.935</w:t>
            </w:r>
          </w:p>
        </w:tc>
        <w:tc>
          <w:tcPr>
            <w:tcW w:w="1260" w:type="dxa"/>
            <w:tcBorders>
              <w:top w:val="nil"/>
              <w:left w:val="nil"/>
              <w:bottom w:val="single" w:sz="4" w:space="0" w:color="auto"/>
              <w:right w:val="single" w:sz="4" w:space="0" w:color="auto"/>
            </w:tcBorders>
            <w:shd w:val="clear" w:color="auto" w:fill="auto"/>
            <w:noWrap/>
            <w:vAlign w:val="center"/>
            <w:hideMark/>
          </w:tcPr>
          <w:p w14:paraId="41E9A336"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10.026.262</w:t>
            </w:r>
          </w:p>
        </w:tc>
      </w:tr>
      <w:tr w:rsidR="00264F4C" w:rsidRPr="00264F4C" w14:paraId="6B9A486D"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80B84E4"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Hipotecarios</w:t>
            </w:r>
          </w:p>
        </w:tc>
        <w:tc>
          <w:tcPr>
            <w:tcW w:w="1260" w:type="dxa"/>
            <w:tcBorders>
              <w:top w:val="nil"/>
              <w:left w:val="nil"/>
              <w:bottom w:val="single" w:sz="4" w:space="0" w:color="auto"/>
              <w:right w:val="single" w:sz="4" w:space="0" w:color="auto"/>
            </w:tcBorders>
            <w:shd w:val="clear" w:color="auto" w:fill="auto"/>
            <w:noWrap/>
            <w:vAlign w:val="center"/>
            <w:hideMark/>
          </w:tcPr>
          <w:p w14:paraId="1CF60209"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10.001.731</w:t>
            </w:r>
          </w:p>
        </w:tc>
        <w:tc>
          <w:tcPr>
            <w:tcW w:w="1260" w:type="dxa"/>
            <w:tcBorders>
              <w:top w:val="nil"/>
              <w:left w:val="nil"/>
              <w:bottom w:val="single" w:sz="4" w:space="0" w:color="auto"/>
              <w:right w:val="single" w:sz="4" w:space="0" w:color="auto"/>
            </w:tcBorders>
            <w:shd w:val="clear" w:color="auto" w:fill="auto"/>
            <w:noWrap/>
            <w:vAlign w:val="center"/>
            <w:hideMark/>
          </w:tcPr>
          <w:p w14:paraId="24B8D9A1"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364.876</w:t>
            </w:r>
          </w:p>
        </w:tc>
        <w:tc>
          <w:tcPr>
            <w:tcW w:w="1260" w:type="dxa"/>
            <w:tcBorders>
              <w:top w:val="nil"/>
              <w:left w:val="nil"/>
              <w:bottom w:val="single" w:sz="4" w:space="0" w:color="auto"/>
              <w:right w:val="single" w:sz="4" w:space="0" w:color="auto"/>
            </w:tcBorders>
            <w:shd w:val="clear" w:color="auto" w:fill="auto"/>
            <w:noWrap/>
            <w:vAlign w:val="center"/>
            <w:hideMark/>
          </w:tcPr>
          <w:p w14:paraId="6281BE77"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868.023</w:t>
            </w:r>
          </w:p>
        </w:tc>
        <w:tc>
          <w:tcPr>
            <w:tcW w:w="1260" w:type="dxa"/>
            <w:tcBorders>
              <w:top w:val="nil"/>
              <w:left w:val="nil"/>
              <w:bottom w:val="single" w:sz="4" w:space="0" w:color="auto"/>
              <w:right w:val="single" w:sz="4" w:space="0" w:color="auto"/>
            </w:tcBorders>
            <w:shd w:val="clear" w:color="auto" w:fill="auto"/>
            <w:noWrap/>
            <w:vAlign w:val="center"/>
            <w:hideMark/>
          </w:tcPr>
          <w:p w14:paraId="2674D84A"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11.234.630</w:t>
            </w:r>
          </w:p>
        </w:tc>
      </w:tr>
      <w:tr w:rsidR="00264F4C" w:rsidRPr="00264F4C" w14:paraId="45CBF29D"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8D96A9F"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Prendarios</w:t>
            </w:r>
          </w:p>
        </w:tc>
        <w:tc>
          <w:tcPr>
            <w:tcW w:w="1260" w:type="dxa"/>
            <w:tcBorders>
              <w:top w:val="nil"/>
              <w:left w:val="nil"/>
              <w:bottom w:val="single" w:sz="4" w:space="0" w:color="auto"/>
              <w:right w:val="single" w:sz="4" w:space="0" w:color="auto"/>
            </w:tcBorders>
            <w:shd w:val="clear" w:color="auto" w:fill="auto"/>
            <w:noWrap/>
            <w:vAlign w:val="center"/>
            <w:hideMark/>
          </w:tcPr>
          <w:p w14:paraId="67DC1453"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525.929</w:t>
            </w:r>
          </w:p>
        </w:tc>
        <w:tc>
          <w:tcPr>
            <w:tcW w:w="1260" w:type="dxa"/>
            <w:tcBorders>
              <w:top w:val="nil"/>
              <w:left w:val="nil"/>
              <w:bottom w:val="single" w:sz="4" w:space="0" w:color="auto"/>
              <w:right w:val="single" w:sz="4" w:space="0" w:color="auto"/>
            </w:tcBorders>
            <w:shd w:val="clear" w:color="auto" w:fill="auto"/>
            <w:noWrap/>
            <w:vAlign w:val="center"/>
            <w:hideMark/>
          </w:tcPr>
          <w:p w14:paraId="0104A7B2"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134.022</w:t>
            </w:r>
          </w:p>
        </w:tc>
        <w:tc>
          <w:tcPr>
            <w:tcW w:w="1260" w:type="dxa"/>
            <w:tcBorders>
              <w:top w:val="nil"/>
              <w:left w:val="nil"/>
              <w:bottom w:val="single" w:sz="4" w:space="0" w:color="auto"/>
              <w:right w:val="single" w:sz="4" w:space="0" w:color="auto"/>
            </w:tcBorders>
            <w:shd w:val="clear" w:color="auto" w:fill="auto"/>
            <w:noWrap/>
            <w:vAlign w:val="center"/>
            <w:hideMark/>
          </w:tcPr>
          <w:p w14:paraId="2AA20E97"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38.794</w:t>
            </w:r>
          </w:p>
        </w:tc>
        <w:tc>
          <w:tcPr>
            <w:tcW w:w="1260" w:type="dxa"/>
            <w:tcBorders>
              <w:top w:val="nil"/>
              <w:left w:val="nil"/>
              <w:bottom w:val="single" w:sz="4" w:space="0" w:color="auto"/>
              <w:right w:val="single" w:sz="4" w:space="0" w:color="auto"/>
            </w:tcBorders>
            <w:shd w:val="clear" w:color="auto" w:fill="auto"/>
            <w:noWrap/>
            <w:vAlign w:val="center"/>
            <w:hideMark/>
          </w:tcPr>
          <w:p w14:paraId="26166FCE"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698.745</w:t>
            </w:r>
          </w:p>
        </w:tc>
      </w:tr>
      <w:tr w:rsidR="00264F4C" w:rsidRPr="00264F4C" w14:paraId="5D303CCA"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C2738C8"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Personales</w:t>
            </w:r>
          </w:p>
        </w:tc>
        <w:tc>
          <w:tcPr>
            <w:tcW w:w="1260" w:type="dxa"/>
            <w:tcBorders>
              <w:top w:val="nil"/>
              <w:left w:val="nil"/>
              <w:bottom w:val="single" w:sz="4" w:space="0" w:color="auto"/>
              <w:right w:val="single" w:sz="4" w:space="0" w:color="auto"/>
            </w:tcBorders>
            <w:shd w:val="clear" w:color="auto" w:fill="auto"/>
            <w:noWrap/>
            <w:vAlign w:val="center"/>
            <w:hideMark/>
          </w:tcPr>
          <w:p w14:paraId="47BA143E"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14.088.984</w:t>
            </w:r>
          </w:p>
        </w:tc>
        <w:tc>
          <w:tcPr>
            <w:tcW w:w="1260" w:type="dxa"/>
            <w:tcBorders>
              <w:top w:val="nil"/>
              <w:left w:val="nil"/>
              <w:bottom w:val="single" w:sz="4" w:space="0" w:color="auto"/>
              <w:right w:val="single" w:sz="4" w:space="0" w:color="auto"/>
            </w:tcBorders>
            <w:shd w:val="clear" w:color="auto" w:fill="auto"/>
            <w:noWrap/>
            <w:vAlign w:val="center"/>
            <w:hideMark/>
          </w:tcPr>
          <w:p w14:paraId="48A76238"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922.521</w:t>
            </w:r>
          </w:p>
        </w:tc>
        <w:tc>
          <w:tcPr>
            <w:tcW w:w="1260" w:type="dxa"/>
            <w:tcBorders>
              <w:top w:val="nil"/>
              <w:left w:val="nil"/>
              <w:bottom w:val="single" w:sz="4" w:space="0" w:color="auto"/>
              <w:right w:val="single" w:sz="4" w:space="0" w:color="auto"/>
            </w:tcBorders>
            <w:shd w:val="clear" w:color="auto" w:fill="auto"/>
            <w:noWrap/>
            <w:vAlign w:val="center"/>
            <w:hideMark/>
          </w:tcPr>
          <w:p w14:paraId="586FD410"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464.642</w:t>
            </w:r>
          </w:p>
        </w:tc>
        <w:tc>
          <w:tcPr>
            <w:tcW w:w="1260" w:type="dxa"/>
            <w:tcBorders>
              <w:top w:val="nil"/>
              <w:left w:val="nil"/>
              <w:bottom w:val="single" w:sz="4" w:space="0" w:color="auto"/>
              <w:right w:val="single" w:sz="4" w:space="0" w:color="auto"/>
            </w:tcBorders>
            <w:shd w:val="clear" w:color="auto" w:fill="auto"/>
            <w:noWrap/>
            <w:vAlign w:val="center"/>
            <w:hideMark/>
          </w:tcPr>
          <w:p w14:paraId="55273BDC"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15.476.147</w:t>
            </w:r>
          </w:p>
        </w:tc>
      </w:tr>
      <w:tr w:rsidR="00264F4C" w:rsidRPr="00264F4C" w14:paraId="76716CFE"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E98F15E" w14:textId="77777777" w:rsidR="00264F4C" w:rsidRPr="00264F4C" w:rsidRDefault="00264F4C" w:rsidP="00264F4C">
            <w:pPr>
              <w:rPr>
                <w:rFonts w:ascii="Arial" w:hAnsi="Arial" w:cs="Arial"/>
                <w:color w:val="000000"/>
                <w:sz w:val="18"/>
                <w:szCs w:val="18"/>
                <w:lang w:eastAsia="es-AR"/>
              </w:rPr>
            </w:pPr>
            <w:r w:rsidRPr="00264F4C">
              <w:rPr>
                <w:rFonts w:ascii="Arial" w:hAnsi="Arial" w:cs="Arial"/>
                <w:color w:val="000000"/>
                <w:sz w:val="18"/>
                <w:szCs w:val="18"/>
                <w:lang w:eastAsia="es-AR"/>
              </w:rPr>
              <w:t>Tarjetas de Crédito</w:t>
            </w:r>
          </w:p>
        </w:tc>
        <w:tc>
          <w:tcPr>
            <w:tcW w:w="1260" w:type="dxa"/>
            <w:tcBorders>
              <w:top w:val="nil"/>
              <w:left w:val="nil"/>
              <w:bottom w:val="single" w:sz="4" w:space="0" w:color="auto"/>
              <w:right w:val="single" w:sz="4" w:space="0" w:color="auto"/>
            </w:tcBorders>
            <w:shd w:val="clear" w:color="auto" w:fill="auto"/>
            <w:noWrap/>
            <w:vAlign w:val="center"/>
            <w:hideMark/>
          </w:tcPr>
          <w:p w14:paraId="6C7070C6"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27.688.307</w:t>
            </w:r>
          </w:p>
        </w:tc>
        <w:tc>
          <w:tcPr>
            <w:tcW w:w="1260" w:type="dxa"/>
            <w:tcBorders>
              <w:top w:val="nil"/>
              <w:left w:val="nil"/>
              <w:bottom w:val="single" w:sz="4" w:space="0" w:color="auto"/>
              <w:right w:val="single" w:sz="4" w:space="0" w:color="auto"/>
            </w:tcBorders>
            <w:shd w:val="clear" w:color="auto" w:fill="auto"/>
            <w:noWrap/>
            <w:vAlign w:val="center"/>
            <w:hideMark/>
          </w:tcPr>
          <w:p w14:paraId="30A33CAA"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605.042</w:t>
            </w:r>
          </w:p>
        </w:tc>
        <w:tc>
          <w:tcPr>
            <w:tcW w:w="1260" w:type="dxa"/>
            <w:tcBorders>
              <w:top w:val="nil"/>
              <w:left w:val="nil"/>
              <w:bottom w:val="single" w:sz="4" w:space="0" w:color="auto"/>
              <w:right w:val="single" w:sz="4" w:space="0" w:color="auto"/>
            </w:tcBorders>
            <w:shd w:val="clear" w:color="auto" w:fill="auto"/>
            <w:noWrap/>
            <w:vAlign w:val="center"/>
            <w:hideMark/>
          </w:tcPr>
          <w:p w14:paraId="015B0C6B"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323.379</w:t>
            </w:r>
          </w:p>
        </w:tc>
        <w:tc>
          <w:tcPr>
            <w:tcW w:w="1260" w:type="dxa"/>
            <w:tcBorders>
              <w:top w:val="nil"/>
              <w:left w:val="nil"/>
              <w:bottom w:val="single" w:sz="4" w:space="0" w:color="auto"/>
              <w:right w:val="single" w:sz="4" w:space="0" w:color="auto"/>
            </w:tcBorders>
            <w:shd w:val="clear" w:color="auto" w:fill="auto"/>
            <w:noWrap/>
            <w:vAlign w:val="center"/>
            <w:hideMark/>
          </w:tcPr>
          <w:p w14:paraId="1CF8235D" w14:textId="77777777" w:rsidR="00264F4C" w:rsidRPr="00264F4C" w:rsidRDefault="00264F4C" w:rsidP="00264F4C">
            <w:pPr>
              <w:jc w:val="right"/>
              <w:rPr>
                <w:rFonts w:ascii="Arial" w:hAnsi="Arial" w:cs="Arial"/>
                <w:color w:val="000000"/>
                <w:sz w:val="18"/>
                <w:szCs w:val="18"/>
                <w:lang w:eastAsia="es-AR"/>
              </w:rPr>
            </w:pPr>
            <w:r w:rsidRPr="00264F4C">
              <w:rPr>
                <w:rFonts w:ascii="Arial" w:hAnsi="Arial" w:cs="Arial"/>
                <w:color w:val="000000"/>
                <w:sz w:val="18"/>
                <w:szCs w:val="18"/>
                <w:lang w:eastAsia="es-AR"/>
              </w:rPr>
              <w:t>28.616.728</w:t>
            </w:r>
          </w:p>
        </w:tc>
      </w:tr>
      <w:tr w:rsidR="00264F4C" w:rsidRPr="00264F4C" w14:paraId="413BC96E"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86F392E"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Arrendamientos Financieros</w:t>
            </w:r>
          </w:p>
        </w:tc>
        <w:tc>
          <w:tcPr>
            <w:tcW w:w="1260" w:type="dxa"/>
            <w:tcBorders>
              <w:top w:val="nil"/>
              <w:left w:val="nil"/>
              <w:bottom w:val="single" w:sz="4" w:space="0" w:color="auto"/>
              <w:right w:val="single" w:sz="4" w:space="0" w:color="auto"/>
            </w:tcBorders>
            <w:shd w:val="clear" w:color="auto" w:fill="auto"/>
            <w:noWrap/>
            <w:vAlign w:val="center"/>
            <w:hideMark/>
          </w:tcPr>
          <w:p w14:paraId="5DF18754" w14:textId="77777777"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2.875.519</w:t>
            </w:r>
          </w:p>
        </w:tc>
        <w:tc>
          <w:tcPr>
            <w:tcW w:w="1260" w:type="dxa"/>
            <w:tcBorders>
              <w:top w:val="nil"/>
              <w:left w:val="nil"/>
              <w:bottom w:val="single" w:sz="4" w:space="0" w:color="auto"/>
              <w:right w:val="single" w:sz="4" w:space="0" w:color="auto"/>
            </w:tcBorders>
            <w:shd w:val="clear" w:color="auto" w:fill="auto"/>
            <w:noWrap/>
            <w:vAlign w:val="center"/>
            <w:hideMark/>
          </w:tcPr>
          <w:p w14:paraId="15E197D5" w14:textId="77777777"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49.698</w:t>
            </w:r>
          </w:p>
        </w:tc>
        <w:tc>
          <w:tcPr>
            <w:tcW w:w="1260" w:type="dxa"/>
            <w:tcBorders>
              <w:top w:val="nil"/>
              <w:left w:val="nil"/>
              <w:bottom w:val="single" w:sz="4" w:space="0" w:color="auto"/>
              <w:right w:val="single" w:sz="4" w:space="0" w:color="auto"/>
            </w:tcBorders>
            <w:shd w:val="clear" w:color="auto" w:fill="auto"/>
            <w:noWrap/>
            <w:vAlign w:val="center"/>
            <w:hideMark/>
          </w:tcPr>
          <w:p w14:paraId="0A8A7297" w14:textId="77777777"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279.335</w:t>
            </w:r>
          </w:p>
        </w:tc>
        <w:tc>
          <w:tcPr>
            <w:tcW w:w="1260" w:type="dxa"/>
            <w:tcBorders>
              <w:top w:val="nil"/>
              <w:left w:val="nil"/>
              <w:bottom w:val="single" w:sz="4" w:space="0" w:color="auto"/>
              <w:right w:val="single" w:sz="4" w:space="0" w:color="auto"/>
            </w:tcBorders>
            <w:shd w:val="clear" w:color="auto" w:fill="auto"/>
            <w:noWrap/>
            <w:vAlign w:val="center"/>
            <w:hideMark/>
          </w:tcPr>
          <w:p w14:paraId="7C5AC4C6" w14:textId="77777777"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3.204.552</w:t>
            </w:r>
          </w:p>
        </w:tc>
      </w:tr>
      <w:tr w:rsidR="00264F4C" w:rsidRPr="00264F4C" w14:paraId="0CE21CC5"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DAB5136" w14:textId="77777777" w:rsidR="00264F4C" w:rsidRPr="002E1AF6" w:rsidRDefault="00264F4C" w:rsidP="00264F4C">
            <w:pPr>
              <w:rPr>
                <w:rFonts w:ascii="Arial" w:hAnsi="Arial" w:cs="Arial"/>
                <w:color w:val="000000"/>
                <w:sz w:val="18"/>
                <w:szCs w:val="18"/>
                <w:lang w:eastAsia="es-AR"/>
              </w:rPr>
            </w:pPr>
            <w:r w:rsidRPr="002E1AF6">
              <w:rPr>
                <w:rFonts w:ascii="Arial" w:hAnsi="Arial" w:cs="Arial"/>
                <w:color w:val="000000"/>
                <w:sz w:val="18"/>
                <w:szCs w:val="18"/>
                <w:lang w:eastAsia="es-AR"/>
              </w:rPr>
              <w:t>Otros</w:t>
            </w:r>
          </w:p>
        </w:tc>
        <w:tc>
          <w:tcPr>
            <w:tcW w:w="1260" w:type="dxa"/>
            <w:tcBorders>
              <w:top w:val="nil"/>
              <w:left w:val="nil"/>
              <w:bottom w:val="single" w:sz="4" w:space="0" w:color="auto"/>
              <w:right w:val="single" w:sz="4" w:space="0" w:color="auto"/>
            </w:tcBorders>
            <w:shd w:val="clear" w:color="auto" w:fill="auto"/>
            <w:noWrap/>
            <w:vAlign w:val="center"/>
            <w:hideMark/>
          </w:tcPr>
          <w:p w14:paraId="20574CB3" w14:textId="7D5D835A"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27.758</w:t>
            </w:r>
            <w:r w:rsidR="00E10F1E">
              <w:rPr>
                <w:rFonts w:ascii="Arial" w:hAnsi="Arial" w:cs="Arial"/>
                <w:color w:val="000000"/>
                <w:sz w:val="18"/>
                <w:szCs w:val="18"/>
                <w:lang w:eastAsia="es-AR"/>
              </w:rPr>
              <w:t>.</w:t>
            </w:r>
            <w:r w:rsidRPr="002E1AF6">
              <w:rPr>
                <w:rFonts w:ascii="Arial" w:hAnsi="Arial" w:cs="Arial"/>
                <w:color w:val="000000"/>
                <w:sz w:val="18"/>
                <w:szCs w:val="18"/>
                <w:lang w:eastAsia="es-AR"/>
              </w:rPr>
              <w:t>055</w:t>
            </w:r>
          </w:p>
        </w:tc>
        <w:tc>
          <w:tcPr>
            <w:tcW w:w="1260" w:type="dxa"/>
            <w:tcBorders>
              <w:top w:val="nil"/>
              <w:left w:val="nil"/>
              <w:bottom w:val="single" w:sz="4" w:space="0" w:color="auto"/>
              <w:right w:val="single" w:sz="4" w:space="0" w:color="auto"/>
            </w:tcBorders>
            <w:shd w:val="clear" w:color="auto" w:fill="auto"/>
            <w:noWrap/>
            <w:vAlign w:val="center"/>
            <w:hideMark/>
          </w:tcPr>
          <w:p w14:paraId="50263ED3" w14:textId="77777777"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1.641.471</w:t>
            </w:r>
          </w:p>
        </w:tc>
        <w:tc>
          <w:tcPr>
            <w:tcW w:w="1260" w:type="dxa"/>
            <w:tcBorders>
              <w:top w:val="nil"/>
              <w:left w:val="nil"/>
              <w:bottom w:val="single" w:sz="4" w:space="0" w:color="auto"/>
              <w:right w:val="single" w:sz="4" w:space="0" w:color="auto"/>
            </w:tcBorders>
            <w:shd w:val="clear" w:color="auto" w:fill="auto"/>
            <w:noWrap/>
            <w:vAlign w:val="center"/>
            <w:hideMark/>
          </w:tcPr>
          <w:p w14:paraId="66450FA6" w14:textId="77777777"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2.464.035</w:t>
            </w:r>
          </w:p>
        </w:tc>
        <w:tc>
          <w:tcPr>
            <w:tcW w:w="1260" w:type="dxa"/>
            <w:tcBorders>
              <w:top w:val="nil"/>
              <w:left w:val="nil"/>
              <w:bottom w:val="single" w:sz="4" w:space="0" w:color="auto"/>
              <w:right w:val="single" w:sz="4" w:space="0" w:color="auto"/>
            </w:tcBorders>
            <w:shd w:val="clear" w:color="auto" w:fill="auto"/>
            <w:noWrap/>
            <w:vAlign w:val="center"/>
            <w:hideMark/>
          </w:tcPr>
          <w:p w14:paraId="02763BD5" w14:textId="77777777" w:rsidR="00264F4C" w:rsidRPr="002E1AF6" w:rsidRDefault="00264F4C" w:rsidP="00264F4C">
            <w:pPr>
              <w:jc w:val="right"/>
              <w:rPr>
                <w:rFonts w:ascii="Arial" w:hAnsi="Arial" w:cs="Arial"/>
                <w:color w:val="000000"/>
                <w:sz w:val="18"/>
                <w:szCs w:val="18"/>
                <w:lang w:eastAsia="es-AR"/>
              </w:rPr>
            </w:pPr>
            <w:r w:rsidRPr="002E1AF6">
              <w:rPr>
                <w:rFonts w:ascii="Arial" w:hAnsi="Arial" w:cs="Arial"/>
                <w:color w:val="000000"/>
                <w:sz w:val="18"/>
                <w:szCs w:val="18"/>
                <w:lang w:eastAsia="es-AR"/>
              </w:rPr>
              <w:t>31.863.561</w:t>
            </w:r>
          </w:p>
        </w:tc>
      </w:tr>
      <w:tr w:rsidR="00264F4C" w:rsidRPr="00264F4C" w14:paraId="1DE51E87" w14:textId="77777777" w:rsidTr="00264F4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5976627F" w14:textId="77777777" w:rsidR="00264F4C" w:rsidRPr="002E1AF6" w:rsidRDefault="00264F4C" w:rsidP="00264F4C">
            <w:pPr>
              <w:rPr>
                <w:rFonts w:ascii="Arial" w:hAnsi="Arial" w:cs="Arial"/>
                <w:b/>
                <w:bCs/>
                <w:color w:val="000000"/>
                <w:sz w:val="18"/>
                <w:szCs w:val="18"/>
                <w:lang w:eastAsia="es-AR"/>
              </w:rPr>
            </w:pPr>
            <w:r w:rsidRPr="002E1AF6">
              <w:rPr>
                <w:rFonts w:ascii="Arial" w:hAnsi="Arial" w:cs="Arial"/>
                <w:b/>
                <w:bCs/>
                <w:color w:val="000000"/>
                <w:sz w:val="18"/>
                <w:szCs w:val="18"/>
                <w:lang w:eastAsia="es-AR"/>
              </w:rPr>
              <w:t>Total</w:t>
            </w:r>
          </w:p>
        </w:tc>
        <w:tc>
          <w:tcPr>
            <w:tcW w:w="1260" w:type="dxa"/>
            <w:tcBorders>
              <w:top w:val="nil"/>
              <w:left w:val="nil"/>
              <w:bottom w:val="single" w:sz="4" w:space="0" w:color="auto"/>
              <w:right w:val="single" w:sz="4" w:space="0" w:color="auto"/>
            </w:tcBorders>
            <w:shd w:val="clear" w:color="auto" w:fill="auto"/>
            <w:noWrap/>
            <w:vAlign w:val="center"/>
            <w:hideMark/>
          </w:tcPr>
          <w:p w14:paraId="2DAD840F" w14:textId="77777777" w:rsidR="00264F4C" w:rsidRPr="002E1AF6" w:rsidRDefault="00264F4C" w:rsidP="00264F4C">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126.198.572</w:t>
            </w:r>
          </w:p>
        </w:tc>
        <w:tc>
          <w:tcPr>
            <w:tcW w:w="1260" w:type="dxa"/>
            <w:tcBorders>
              <w:top w:val="nil"/>
              <w:left w:val="nil"/>
              <w:bottom w:val="single" w:sz="4" w:space="0" w:color="auto"/>
              <w:right w:val="single" w:sz="4" w:space="0" w:color="auto"/>
            </w:tcBorders>
            <w:shd w:val="clear" w:color="auto" w:fill="auto"/>
            <w:noWrap/>
            <w:vAlign w:val="center"/>
            <w:hideMark/>
          </w:tcPr>
          <w:p w14:paraId="74B00D83" w14:textId="77777777" w:rsidR="00264F4C" w:rsidRPr="002E1AF6" w:rsidRDefault="00264F4C" w:rsidP="00264F4C">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4.112.448</w:t>
            </w:r>
          </w:p>
        </w:tc>
        <w:tc>
          <w:tcPr>
            <w:tcW w:w="1260" w:type="dxa"/>
            <w:tcBorders>
              <w:top w:val="nil"/>
              <w:left w:val="nil"/>
              <w:bottom w:val="single" w:sz="4" w:space="0" w:color="auto"/>
              <w:right w:val="single" w:sz="4" w:space="0" w:color="auto"/>
            </w:tcBorders>
            <w:shd w:val="clear" w:color="auto" w:fill="auto"/>
            <w:noWrap/>
            <w:vAlign w:val="center"/>
            <w:hideMark/>
          </w:tcPr>
          <w:p w14:paraId="2103412B" w14:textId="77777777" w:rsidR="00264F4C" w:rsidRPr="002E1AF6" w:rsidRDefault="00264F4C" w:rsidP="00264F4C">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5.956.996</w:t>
            </w:r>
          </w:p>
        </w:tc>
        <w:tc>
          <w:tcPr>
            <w:tcW w:w="1260" w:type="dxa"/>
            <w:tcBorders>
              <w:top w:val="nil"/>
              <w:left w:val="nil"/>
              <w:bottom w:val="single" w:sz="4" w:space="0" w:color="auto"/>
              <w:right w:val="single" w:sz="4" w:space="0" w:color="auto"/>
            </w:tcBorders>
            <w:shd w:val="clear" w:color="auto" w:fill="auto"/>
            <w:noWrap/>
            <w:vAlign w:val="center"/>
            <w:hideMark/>
          </w:tcPr>
          <w:p w14:paraId="14E7DBBA" w14:textId="77777777" w:rsidR="00264F4C" w:rsidRPr="002E1AF6" w:rsidRDefault="00264F4C" w:rsidP="00264F4C">
            <w:pPr>
              <w:jc w:val="right"/>
              <w:rPr>
                <w:rFonts w:ascii="Arial" w:hAnsi="Arial" w:cs="Arial"/>
                <w:b/>
                <w:bCs/>
                <w:color w:val="000000"/>
                <w:sz w:val="18"/>
                <w:szCs w:val="18"/>
                <w:lang w:eastAsia="es-AR"/>
              </w:rPr>
            </w:pPr>
            <w:r w:rsidRPr="002E1AF6">
              <w:rPr>
                <w:rFonts w:ascii="Arial" w:hAnsi="Arial" w:cs="Arial"/>
                <w:b/>
                <w:bCs/>
                <w:color w:val="000000"/>
                <w:sz w:val="18"/>
                <w:szCs w:val="18"/>
                <w:lang w:eastAsia="es-AR"/>
              </w:rPr>
              <w:t>136.268.016</w:t>
            </w:r>
          </w:p>
        </w:tc>
      </w:tr>
    </w:tbl>
    <w:p w14:paraId="79D0DE1B" w14:textId="77777777" w:rsidR="00264F4C" w:rsidRDefault="00264F4C" w:rsidP="00264F4C">
      <w:pPr>
        <w:rPr>
          <w:b/>
          <w:sz w:val="20"/>
        </w:rPr>
      </w:pPr>
    </w:p>
    <w:p w14:paraId="5CE5B36F" w14:textId="77777777" w:rsidR="00264F4C" w:rsidRPr="00642813" w:rsidRDefault="00264F4C" w:rsidP="00264F4C">
      <w:pPr>
        <w:autoSpaceDE w:val="0"/>
        <w:autoSpaceDN w:val="0"/>
        <w:adjustRightInd w:val="0"/>
        <w:jc w:val="both"/>
        <w:rPr>
          <w:rFonts w:ascii="Arial" w:hAnsi="Arial" w:cs="Arial"/>
          <w:b/>
          <w:sz w:val="20"/>
        </w:rPr>
      </w:pPr>
      <w:r w:rsidRPr="00642813">
        <w:rPr>
          <w:rFonts w:ascii="Arial" w:hAnsi="Arial" w:cs="Arial"/>
          <w:b/>
          <w:sz w:val="20"/>
        </w:rPr>
        <w:t>1.2.7 Garantías y otras mejoras de créditos</w:t>
      </w:r>
    </w:p>
    <w:p w14:paraId="73218C74" w14:textId="77777777" w:rsidR="00264F4C" w:rsidRPr="00642813" w:rsidRDefault="00264F4C" w:rsidP="00264F4C">
      <w:pPr>
        <w:autoSpaceDE w:val="0"/>
        <w:autoSpaceDN w:val="0"/>
        <w:adjustRightInd w:val="0"/>
        <w:jc w:val="both"/>
        <w:rPr>
          <w:rFonts w:ascii="Arial" w:hAnsi="Arial" w:cs="Arial"/>
          <w:sz w:val="20"/>
        </w:rPr>
      </w:pPr>
    </w:p>
    <w:p w14:paraId="691623E4" w14:textId="77777777" w:rsidR="00264F4C" w:rsidRPr="00642813" w:rsidRDefault="00264F4C" w:rsidP="00264F4C">
      <w:pPr>
        <w:autoSpaceDE w:val="0"/>
        <w:autoSpaceDN w:val="0"/>
        <w:adjustRightInd w:val="0"/>
        <w:jc w:val="both"/>
        <w:rPr>
          <w:rFonts w:ascii="Arial" w:hAnsi="Arial" w:cs="Arial"/>
          <w:sz w:val="20"/>
        </w:rPr>
      </w:pPr>
      <w:r w:rsidRPr="00642813">
        <w:rPr>
          <w:rFonts w:ascii="Arial" w:hAnsi="Arial" w:cs="Arial"/>
          <w:sz w:val="20"/>
        </w:rPr>
        <w:t>Una garantía es un instrumento por el cual el deudor de la Entidad o un tercero se comprometen, en caso de default de la obligación contraída, a ofrecerse como respaldo para su pago. La Entidad acepta una garantía como respaldo ante un posible incumplimiento por parte del deudor.</w:t>
      </w:r>
    </w:p>
    <w:p w14:paraId="116BD572" w14:textId="77777777" w:rsidR="00264F4C" w:rsidRPr="00642813" w:rsidRDefault="00264F4C" w:rsidP="00264F4C">
      <w:pPr>
        <w:autoSpaceDE w:val="0"/>
        <w:autoSpaceDN w:val="0"/>
        <w:adjustRightInd w:val="0"/>
        <w:jc w:val="both"/>
        <w:rPr>
          <w:rFonts w:ascii="Arial" w:hAnsi="Arial" w:cs="Arial"/>
          <w:sz w:val="20"/>
        </w:rPr>
      </w:pPr>
    </w:p>
    <w:p w14:paraId="70E8344D" w14:textId="77777777" w:rsidR="00264F4C" w:rsidRPr="00642813" w:rsidRDefault="00264F4C" w:rsidP="00264F4C">
      <w:pPr>
        <w:autoSpaceDE w:val="0"/>
        <w:autoSpaceDN w:val="0"/>
        <w:adjustRightInd w:val="0"/>
        <w:jc w:val="both"/>
        <w:rPr>
          <w:rFonts w:ascii="Arial" w:hAnsi="Arial" w:cs="Arial"/>
          <w:sz w:val="20"/>
        </w:rPr>
      </w:pPr>
      <w:r w:rsidRPr="00642813">
        <w:rPr>
          <w:rFonts w:ascii="Arial" w:hAnsi="Arial" w:cs="Arial"/>
          <w:sz w:val="20"/>
        </w:rPr>
        <w:t>El B.C.R.A. clasifica estas garantías en tres tipos: Preferidas “A” (consideradas autoliquidables), Preferidas “B” (que se constituyan por hipotecas y prendas) y restantes garantias (principalmente avales y fianzas).</w:t>
      </w:r>
    </w:p>
    <w:p w14:paraId="172B6F87" w14:textId="77777777" w:rsidR="00264F4C" w:rsidRPr="00642813" w:rsidRDefault="00264F4C" w:rsidP="00264F4C">
      <w:pPr>
        <w:autoSpaceDE w:val="0"/>
        <w:autoSpaceDN w:val="0"/>
        <w:adjustRightInd w:val="0"/>
        <w:jc w:val="both"/>
        <w:rPr>
          <w:rFonts w:ascii="Arial" w:hAnsi="Arial" w:cs="Arial"/>
          <w:sz w:val="20"/>
        </w:rPr>
      </w:pPr>
      <w:r w:rsidRPr="00642813">
        <w:rPr>
          <w:rFonts w:ascii="Arial" w:hAnsi="Arial" w:cs="Arial"/>
          <w:sz w:val="20"/>
        </w:rPr>
        <w:t xml:space="preserve"> </w:t>
      </w:r>
    </w:p>
    <w:p w14:paraId="786243C3" w14:textId="77777777" w:rsidR="00264F4C" w:rsidRPr="00642813" w:rsidRDefault="00264F4C" w:rsidP="00264F4C">
      <w:pPr>
        <w:autoSpaceDE w:val="0"/>
        <w:autoSpaceDN w:val="0"/>
        <w:adjustRightInd w:val="0"/>
        <w:jc w:val="both"/>
        <w:rPr>
          <w:rFonts w:ascii="Arial" w:hAnsi="Arial" w:cs="Arial"/>
          <w:sz w:val="20"/>
        </w:rPr>
      </w:pPr>
      <w:r>
        <w:rPr>
          <w:rFonts w:ascii="Arial" w:hAnsi="Arial" w:cs="Arial"/>
          <w:sz w:val="20"/>
        </w:rPr>
        <w:t>El Banco</w:t>
      </w:r>
      <w:r w:rsidRPr="00642813">
        <w:rPr>
          <w:rFonts w:ascii="Arial" w:hAnsi="Arial" w:cs="Arial"/>
          <w:sz w:val="20"/>
        </w:rPr>
        <w:t>, para la gestión de las garantías, cuenta con un área específica dedicada a la revisión del cumplimiento legal y correcta instrumentación de las garantías recibidas. En función al tipo de garantías, los garantes pueden ser personas físicas o jurídicas (en el caso de hipotecas, prendas, fianzas, avales y fondos líquidos) y Entidades Financieras de primer nivel internacional (para el caso de cartas de crédito stand by).</w:t>
      </w:r>
    </w:p>
    <w:p w14:paraId="6CCE991B" w14:textId="77777777" w:rsidR="00264F4C" w:rsidRPr="00642813" w:rsidRDefault="00264F4C" w:rsidP="00264F4C">
      <w:pPr>
        <w:autoSpaceDE w:val="0"/>
        <w:autoSpaceDN w:val="0"/>
        <w:adjustRightInd w:val="0"/>
        <w:jc w:val="both"/>
        <w:rPr>
          <w:rFonts w:ascii="Arial" w:hAnsi="Arial" w:cs="Arial"/>
          <w:sz w:val="20"/>
        </w:rPr>
      </w:pPr>
      <w:r w:rsidRPr="00642813">
        <w:rPr>
          <w:rFonts w:ascii="Arial" w:hAnsi="Arial" w:cs="Arial"/>
          <w:sz w:val="20"/>
        </w:rPr>
        <w:t xml:space="preserve"> </w:t>
      </w:r>
    </w:p>
    <w:p w14:paraId="4CD49805" w14:textId="0784FD59" w:rsidR="00264F4C" w:rsidRDefault="00264F4C" w:rsidP="00264F4C">
      <w:pPr>
        <w:autoSpaceDE w:val="0"/>
        <w:autoSpaceDN w:val="0"/>
        <w:adjustRightInd w:val="0"/>
        <w:jc w:val="both"/>
        <w:rPr>
          <w:rFonts w:ascii="Arial" w:hAnsi="Arial" w:cs="Arial"/>
          <w:sz w:val="20"/>
        </w:rPr>
      </w:pPr>
      <w:r w:rsidRPr="00642813">
        <w:rPr>
          <w:rFonts w:ascii="Arial" w:hAnsi="Arial" w:cs="Arial"/>
          <w:sz w:val="20"/>
        </w:rPr>
        <w:t xml:space="preserve">El </w:t>
      </w:r>
      <w:r w:rsidR="00A3402F">
        <w:rPr>
          <w:rFonts w:ascii="Arial" w:hAnsi="Arial" w:cs="Arial"/>
          <w:sz w:val="20"/>
        </w:rPr>
        <w:t>Banco</w:t>
      </w:r>
      <w:r w:rsidR="00A3402F" w:rsidRPr="00642813">
        <w:rPr>
          <w:rFonts w:ascii="Arial" w:hAnsi="Arial" w:cs="Arial"/>
          <w:sz w:val="20"/>
        </w:rPr>
        <w:t xml:space="preserve"> </w:t>
      </w:r>
      <w:r w:rsidRPr="00642813">
        <w:rPr>
          <w:rFonts w:ascii="Arial" w:hAnsi="Arial" w:cs="Arial"/>
          <w:sz w:val="20"/>
        </w:rPr>
        <w:t xml:space="preserve">monitorea las garantías relacionadas con activos financieros considerados créditos deteriorados dado que resulta probable que deba ejecutarse dicha garantía para mitigar las pérdidas crediticias potenciales. </w:t>
      </w:r>
    </w:p>
    <w:p w14:paraId="12D8D15C" w14:textId="77777777" w:rsidR="00264F4C" w:rsidRDefault="00264F4C" w:rsidP="00264F4C">
      <w:pPr>
        <w:autoSpaceDE w:val="0"/>
        <w:autoSpaceDN w:val="0"/>
        <w:adjustRightInd w:val="0"/>
        <w:jc w:val="both"/>
        <w:rPr>
          <w:rFonts w:ascii="Arial" w:hAnsi="Arial" w:cs="Arial"/>
          <w:sz w:val="20"/>
        </w:rPr>
      </w:pPr>
    </w:p>
    <w:p w14:paraId="22E46C39" w14:textId="77777777" w:rsidR="00264F4C" w:rsidRPr="00642813" w:rsidRDefault="00264F4C" w:rsidP="00264F4C">
      <w:pPr>
        <w:autoSpaceDE w:val="0"/>
        <w:autoSpaceDN w:val="0"/>
        <w:adjustRightInd w:val="0"/>
        <w:jc w:val="both"/>
        <w:rPr>
          <w:rFonts w:ascii="Arial" w:hAnsi="Arial" w:cs="Arial"/>
          <w:b/>
          <w:sz w:val="20"/>
        </w:rPr>
      </w:pPr>
      <w:r w:rsidRPr="00642813">
        <w:rPr>
          <w:rFonts w:ascii="Arial" w:hAnsi="Arial" w:cs="Arial"/>
          <w:b/>
          <w:sz w:val="20"/>
        </w:rPr>
        <w:t>1.2.8 Previsión por riesgo de crédito</w:t>
      </w:r>
    </w:p>
    <w:p w14:paraId="30188A38" w14:textId="77777777" w:rsidR="00264F4C" w:rsidRPr="00642813" w:rsidRDefault="00264F4C" w:rsidP="00264F4C">
      <w:pPr>
        <w:autoSpaceDE w:val="0"/>
        <w:autoSpaceDN w:val="0"/>
        <w:adjustRightInd w:val="0"/>
        <w:jc w:val="both"/>
        <w:rPr>
          <w:rFonts w:ascii="Arial" w:hAnsi="Arial" w:cs="Arial"/>
          <w:b/>
          <w:sz w:val="20"/>
        </w:rPr>
      </w:pPr>
    </w:p>
    <w:p w14:paraId="387B5312" w14:textId="77777777" w:rsidR="00264F4C" w:rsidRDefault="00264F4C" w:rsidP="00264F4C">
      <w:pPr>
        <w:autoSpaceDE w:val="0"/>
        <w:autoSpaceDN w:val="0"/>
        <w:adjustRightInd w:val="0"/>
        <w:jc w:val="both"/>
        <w:rPr>
          <w:rFonts w:ascii="Arial" w:hAnsi="Arial" w:cs="Arial"/>
          <w:sz w:val="20"/>
        </w:rPr>
      </w:pPr>
      <w:r w:rsidRPr="00642813">
        <w:rPr>
          <w:rFonts w:ascii="Arial" w:hAnsi="Arial" w:cs="Arial"/>
          <w:sz w:val="20"/>
        </w:rPr>
        <w:t xml:space="preserve">La previsión por riesgo de crédito reconocida en el período se ve afectada por una variedad de factores, como se describe a continuación: </w:t>
      </w:r>
    </w:p>
    <w:p w14:paraId="6E2EB360" w14:textId="77777777" w:rsidR="00264F4C" w:rsidRPr="00642813" w:rsidRDefault="00264F4C" w:rsidP="00264F4C">
      <w:pPr>
        <w:autoSpaceDE w:val="0"/>
        <w:autoSpaceDN w:val="0"/>
        <w:adjustRightInd w:val="0"/>
        <w:jc w:val="both"/>
        <w:rPr>
          <w:rFonts w:ascii="Arial" w:hAnsi="Arial" w:cs="Arial"/>
          <w:sz w:val="20"/>
        </w:rPr>
      </w:pPr>
    </w:p>
    <w:p w14:paraId="10A461EA" w14:textId="77777777" w:rsidR="00264F4C" w:rsidRDefault="00264F4C" w:rsidP="00264F4C">
      <w:pPr>
        <w:autoSpaceDE w:val="0"/>
        <w:autoSpaceDN w:val="0"/>
        <w:adjustRightInd w:val="0"/>
        <w:jc w:val="both"/>
        <w:rPr>
          <w:rFonts w:ascii="Arial" w:hAnsi="Arial" w:cs="Arial"/>
          <w:sz w:val="20"/>
        </w:rPr>
      </w:pPr>
      <w:r>
        <w:rPr>
          <w:rFonts w:ascii="Arial" w:hAnsi="Arial" w:cs="Arial"/>
          <w:sz w:val="20"/>
        </w:rPr>
        <w:t xml:space="preserve">          </w:t>
      </w:r>
      <w:r w:rsidRPr="00642813">
        <w:rPr>
          <w:rFonts w:ascii="Arial" w:hAnsi="Arial" w:cs="Arial"/>
          <w:sz w:val="20"/>
        </w:rPr>
        <w:t xml:space="preserve">• Transferencias entre la Etapa 1 y las Etapas 2 o 3 debido a que los instrumentos financieros experimentan aumentos (o disminuciones) significativos del riesgo de crédito o se deterioran en el período, y el consiguiente "aumento" (o "disminución") entre las PCE a 12 meses y Lifetime; </w:t>
      </w:r>
    </w:p>
    <w:p w14:paraId="0D4D0130" w14:textId="77777777" w:rsidR="00264F4C" w:rsidRPr="00642813" w:rsidRDefault="00264F4C" w:rsidP="00264F4C">
      <w:pPr>
        <w:autoSpaceDE w:val="0"/>
        <w:autoSpaceDN w:val="0"/>
        <w:adjustRightInd w:val="0"/>
        <w:jc w:val="both"/>
        <w:rPr>
          <w:rFonts w:ascii="Arial" w:hAnsi="Arial" w:cs="Arial"/>
          <w:sz w:val="20"/>
        </w:rPr>
      </w:pPr>
    </w:p>
    <w:p w14:paraId="5E33443C" w14:textId="77777777" w:rsidR="00264F4C" w:rsidRDefault="00264F4C" w:rsidP="00264F4C">
      <w:pPr>
        <w:autoSpaceDE w:val="0"/>
        <w:autoSpaceDN w:val="0"/>
        <w:adjustRightInd w:val="0"/>
        <w:jc w:val="both"/>
        <w:rPr>
          <w:rFonts w:ascii="Arial" w:hAnsi="Arial" w:cs="Arial"/>
          <w:sz w:val="20"/>
        </w:rPr>
      </w:pPr>
      <w:r>
        <w:rPr>
          <w:rFonts w:ascii="Arial" w:hAnsi="Arial" w:cs="Arial"/>
          <w:sz w:val="20"/>
        </w:rPr>
        <w:t xml:space="preserve">          </w:t>
      </w:r>
      <w:r w:rsidRPr="00642813">
        <w:rPr>
          <w:rFonts w:ascii="Arial" w:hAnsi="Arial" w:cs="Arial"/>
          <w:sz w:val="20"/>
        </w:rPr>
        <w:t xml:space="preserve">• Asignaciones adicionales para nuevos instrumentos financieros reconocidos durante el período, así como desafectaciones para instrumentos financieros dados de baja en el período; </w:t>
      </w:r>
    </w:p>
    <w:p w14:paraId="6FCD9BAB" w14:textId="77777777" w:rsidR="00264F4C" w:rsidRPr="00642813" w:rsidRDefault="00264F4C" w:rsidP="00264F4C">
      <w:pPr>
        <w:autoSpaceDE w:val="0"/>
        <w:autoSpaceDN w:val="0"/>
        <w:adjustRightInd w:val="0"/>
        <w:jc w:val="both"/>
        <w:rPr>
          <w:rFonts w:ascii="Arial" w:hAnsi="Arial" w:cs="Arial"/>
          <w:sz w:val="20"/>
        </w:rPr>
      </w:pPr>
    </w:p>
    <w:p w14:paraId="3DD9E236" w14:textId="77777777" w:rsidR="00264F4C" w:rsidRDefault="00264F4C" w:rsidP="00264F4C">
      <w:pPr>
        <w:autoSpaceDE w:val="0"/>
        <w:autoSpaceDN w:val="0"/>
        <w:adjustRightInd w:val="0"/>
        <w:jc w:val="both"/>
        <w:rPr>
          <w:rFonts w:ascii="Arial" w:hAnsi="Arial" w:cs="Arial"/>
          <w:sz w:val="20"/>
        </w:rPr>
      </w:pPr>
      <w:r>
        <w:rPr>
          <w:rFonts w:ascii="Arial" w:hAnsi="Arial" w:cs="Arial"/>
          <w:sz w:val="20"/>
        </w:rPr>
        <w:t xml:space="preserve">          </w:t>
      </w:r>
      <w:r w:rsidRPr="00642813">
        <w:rPr>
          <w:rFonts w:ascii="Arial" w:hAnsi="Arial" w:cs="Arial"/>
          <w:sz w:val="20"/>
        </w:rPr>
        <w:t xml:space="preserve">• Impacto en la medición de PCE de los cambios en PD, EAD y LGD en el período, derivados de la actualización periódica de los inputs a los modelos; </w:t>
      </w:r>
    </w:p>
    <w:p w14:paraId="6AC80B74" w14:textId="77777777" w:rsidR="00264F4C" w:rsidRPr="00642813" w:rsidRDefault="00264F4C" w:rsidP="00264F4C">
      <w:pPr>
        <w:autoSpaceDE w:val="0"/>
        <w:autoSpaceDN w:val="0"/>
        <w:adjustRightInd w:val="0"/>
        <w:jc w:val="both"/>
        <w:rPr>
          <w:rFonts w:ascii="Arial" w:hAnsi="Arial" w:cs="Arial"/>
          <w:sz w:val="20"/>
        </w:rPr>
      </w:pPr>
    </w:p>
    <w:p w14:paraId="176C592E" w14:textId="77777777" w:rsidR="00264F4C" w:rsidRDefault="00264F4C" w:rsidP="00264F4C">
      <w:pPr>
        <w:autoSpaceDE w:val="0"/>
        <w:autoSpaceDN w:val="0"/>
        <w:adjustRightInd w:val="0"/>
        <w:jc w:val="both"/>
        <w:rPr>
          <w:rFonts w:ascii="Arial" w:hAnsi="Arial" w:cs="Arial"/>
          <w:sz w:val="20"/>
        </w:rPr>
      </w:pPr>
      <w:r>
        <w:rPr>
          <w:rFonts w:ascii="Arial" w:hAnsi="Arial" w:cs="Arial"/>
          <w:sz w:val="20"/>
        </w:rPr>
        <w:t xml:space="preserve">          </w:t>
      </w:r>
      <w:r w:rsidRPr="00642813">
        <w:rPr>
          <w:rFonts w:ascii="Arial" w:hAnsi="Arial" w:cs="Arial"/>
          <w:sz w:val="20"/>
        </w:rPr>
        <w:t xml:space="preserve">• Impactos en la medición de PCE debido a cambios realizados en modelos y supuestos; </w:t>
      </w:r>
    </w:p>
    <w:p w14:paraId="32A5ECE3" w14:textId="77777777" w:rsidR="00264F4C" w:rsidRPr="00642813" w:rsidRDefault="00264F4C" w:rsidP="00264F4C">
      <w:pPr>
        <w:autoSpaceDE w:val="0"/>
        <w:autoSpaceDN w:val="0"/>
        <w:adjustRightInd w:val="0"/>
        <w:jc w:val="both"/>
        <w:rPr>
          <w:rFonts w:ascii="Arial" w:hAnsi="Arial" w:cs="Arial"/>
          <w:sz w:val="20"/>
        </w:rPr>
      </w:pPr>
    </w:p>
    <w:p w14:paraId="227D9CA1" w14:textId="77777777" w:rsidR="00264F4C" w:rsidRPr="00642813" w:rsidRDefault="00264F4C" w:rsidP="00264F4C">
      <w:pPr>
        <w:autoSpaceDE w:val="0"/>
        <w:autoSpaceDN w:val="0"/>
        <w:adjustRightInd w:val="0"/>
        <w:jc w:val="both"/>
        <w:rPr>
          <w:rFonts w:ascii="Arial" w:hAnsi="Arial" w:cs="Arial"/>
          <w:sz w:val="20"/>
        </w:rPr>
      </w:pPr>
      <w:r>
        <w:rPr>
          <w:rFonts w:ascii="Arial" w:hAnsi="Arial" w:cs="Arial"/>
          <w:sz w:val="20"/>
        </w:rPr>
        <w:t xml:space="preserve">          </w:t>
      </w:r>
      <w:r w:rsidRPr="00642813">
        <w:rPr>
          <w:rFonts w:ascii="Arial" w:hAnsi="Arial" w:cs="Arial"/>
          <w:sz w:val="20"/>
        </w:rPr>
        <w:t xml:space="preserve">• Impactos debidos al paso del tiempo como consecuencia de la actualización del valor presente; </w:t>
      </w:r>
    </w:p>
    <w:p w14:paraId="47EE9000" w14:textId="77777777" w:rsidR="00264F4C" w:rsidRDefault="00264F4C" w:rsidP="00264F4C">
      <w:pPr>
        <w:autoSpaceDE w:val="0"/>
        <w:autoSpaceDN w:val="0"/>
        <w:adjustRightInd w:val="0"/>
        <w:jc w:val="both"/>
        <w:rPr>
          <w:rFonts w:ascii="Arial" w:hAnsi="Arial" w:cs="Arial"/>
          <w:sz w:val="20"/>
        </w:rPr>
      </w:pPr>
      <w:r>
        <w:rPr>
          <w:rFonts w:ascii="Arial" w:hAnsi="Arial" w:cs="Arial"/>
          <w:sz w:val="20"/>
        </w:rPr>
        <w:t xml:space="preserve">          </w:t>
      </w:r>
      <w:r w:rsidRPr="00642813">
        <w:rPr>
          <w:rFonts w:ascii="Arial" w:hAnsi="Arial" w:cs="Arial"/>
          <w:sz w:val="20"/>
        </w:rPr>
        <w:t xml:space="preserve">• Conversiones a moneda local para activos denominados en monedas extranjeras y otros movimientos; y </w:t>
      </w:r>
    </w:p>
    <w:p w14:paraId="26171CBA" w14:textId="77777777" w:rsidR="00264F4C" w:rsidRPr="00642813" w:rsidRDefault="00264F4C" w:rsidP="00264F4C">
      <w:pPr>
        <w:autoSpaceDE w:val="0"/>
        <w:autoSpaceDN w:val="0"/>
        <w:adjustRightInd w:val="0"/>
        <w:jc w:val="both"/>
        <w:rPr>
          <w:rFonts w:ascii="Arial" w:hAnsi="Arial" w:cs="Arial"/>
          <w:sz w:val="20"/>
        </w:rPr>
      </w:pPr>
    </w:p>
    <w:p w14:paraId="5FB5E568" w14:textId="77777777" w:rsidR="00264F4C" w:rsidRPr="00642813" w:rsidRDefault="00264F4C" w:rsidP="00264F4C">
      <w:pPr>
        <w:autoSpaceDE w:val="0"/>
        <w:autoSpaceDN w:val="0"/>
        <w:adjustRightInd w:val="0"/>
        <w:jc w:val="both"/>
        <w:rPr>
          <w:rFonts w:ascii="Arial" w:hAnsi="Arial" w:cs="Arial"/>
          <w:sz w:val="20"/>
        </w:rPr>
      </w:pPr>
      <w:r>
        <w:rPr>
          <w:rFonts w:ascii="Arial" w:hAnsi="Arial" w:cs="Arial"/>
          <w:sz w:val="20"/>
        </w:rPr>
        <w:t xml:space="preserve">          </w:t>
      </w:r>
      <w:r w:rsidRPr="00642813">
        <w:rPr>
          <w:rFonts w:ascii="Arial" w:hAnsi="Arial" w:cs="Arial"/>
          <w:sz w:val="20"/>
        </w:rPr>
        <w:t>• Activos financieros dados de baja durante el período y aplicación de previsiones relacionadas con activos dados de baja del balance durante el período. Los siguientes cuadros explican los cambios en la previsión por riesgo de crédito entre el inicio y el cierre del período debido a los factores indicados a continuación:</w:t>
      </w:r>
    </w:p>
    <w:p w14:paraId="602EBED1" w14:textId="77777777" w:rsidR="00264F4C" w:rsidRDefault="00264F4C" w:rsidP="00264F4C">
      <w:pPr>
        <w:autoSpaceDE w:val="0"/>
        <w:autoSpaceDN w:val="0"/>
        <w:adjustRightInd w:val="0"/>
        <w:jc w:val="both"/>
        <w:rPr>
          <w:rFonts w:ascii="Arial" w:hAnsi="Arial" w:cs="Arial"/>
          <w:sz w:val="20"/>
        </w:rPr>
      </w:pPr>
    </w:p>
    <w:p w14:paraId="7C5B3150" w14:textId="77777777" w:rsidR="00264F4C" w:rsidRPr="00642813" w:rsidRDefault="00264F4C" w:rsidP="00264F4C">
      <w:pPr>
        <w:autoSpaceDE w:val="0"/>
        <w:autoSpaceDN w:val="0"/>
        <w:adjustRightInd w:val="0"/>
        <w:jc w:val="both"/>
        <w:rPr>
          <w:rFonts w:ascii="Arial" w:hAnsi="Arial" w:cs="Arial"/>
          <w:sz w:val="20"/>
        </w:rPr>
      </w:pPr>
    </w:p>
    <w:tbl>
      <w:tblPr>
        <w:tblW w:w="9413" w:type="dxa"/>
        <w:tblCellMar>
          <w:left w:w="70" w:type="dxa"/>
          <w:right w:w="70" w:type="dxa"/>
        </w:tblCellMar>
        <w:tblLook w:val="04A0" w:firstRow="1" w:lastRow="0" w:firstColumn="1" w:lastColumn="0" w:noHBand="0" w:noVBand="1"/>
      </w:tblPr>
      <w:tblGrid>
        <w:gridCol w:w="2700"/>
        <w:gridCol w:w="1753"/>
        <w:gridCol w:w="1454"/>
        <w:gridCol w:w="1753"/>
        <w:gridCol w:w="1753"/>
      </w:tblGrid>
      <w:tr w:rsidR="00264F4C" w:rsidRPr="001C2C86" w14:paraId="1181A376" w14:textId="77777777" w:rsidTr="00364924">
        <w:trPr>
          <w:trHeight w:val="228"/>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FBEA6"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 </w:t>
            </w:r>
          </w:p>
        </w:tc>
        <w:tc>
          <w:tcPr>
            <w:tcW w:w="1753" w:type="dxa"/>
            <w:tcBorders>
              <w:top w:val="single" w:sz="4" w:space="0" w:color="auto"/>
              <w:left w:val="nil"/>
              <w:bottom w:val="single" w:sz="4" w:space="0" w:color="auto"/>
              <w:right w:val="single" w:sz="4" w:space="0" w:color="auto"/>
            </w:tcBorders>
            <w:shd w:val="clear" w:color="auto" w:fill="auto"/>
            <w:vAlign w:val="center"/>
            <w:hideMark/>
          </w:tcPr>
          <w:p w14:paraId="2CC1D86C"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Etapa 1</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23987337"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Etapa 2</w:t>
            </w:r>
          </w:p>
        </w:tc>
        <w:tc>
          <w:tcPr>
            <w:tcW w:w="1753" w:type="dxa"/>
            <w:tcBorders>
              <w:top w:val="single" w:sz="4" w:space="0" w:color="auto"/>
              <w:left w:val="nil"/>
              <w:bottom w:val="single" w:sz="4" w:space="0" w:color="auto"/>
              <w:right w:val="single" w:sz="4" w:space="0" w:color="auto"/>
            </w:tcBorders>
            <w:shd w:val="clear" w:color="auto" w:fill="auto"/>
            <w:vAlign w:val="center"/>
            <w:hideMark/>
          </w:tcPr>
          <w:p w14:paraId="2A88BF80"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Etapa 3</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76605"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Total</w:t>
            </w:r>
          </w:p>
        </w:tc>
      </w:tr>
      <w:tr w:rsidR="00264F4C" w:rsidRPr="001C2C86" w14:paraId="4772DF01" w14:textId="77777777" w:rsidTr="00364924">
        <w:trPr>
          <w:trHeight w:val="389"/>
        </w:trPr>
        <w:tc>
          <w:tcPr>
            <w:tcW w:w="2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68B0F2" w14:textId="77777777" w:rsidR="00264F4C" w:rsidRPr="00364924" w:rsidRDefault="00264F4C" w:rsidP="00264F4C">
            <w:pPr>
              <w:rPr>
                <w:rFonts w:ascii="Arial" w:hAnsi="Arial" w:cs="Arial"/>
                <w:b/>
                <w:bCs/>
                <w:color w:val="000000"/>
                <w:sz w:val="16"/>
                <w:szCs w:val="16"/>
                <w:lang w:eastAsia="es-AR"/>
              </w:rPr>
            </w:pPr>
          </w:p>
        </w:tc>
        <w:tc>
          <w:tcPr>
            <w:tcW w:w="1753" w:type="dxa"/>
            <w:tcBorders>
              <w:top w:val="nil"/>
              <w:left w:val="nil"/>
              <w:bottom w:val="single" w:sz="4" w:space="0" w:color="auto"/>
              <w:right w:val="single" w:sz="4" w:space="0" w:color="auto"/>
            </w:tcBorders>
            <w:shd w:val="clear" w:color="auto" w:fill="auto"/>
            <w:vAlign w:val="center"/>
            <w:hideMark/>
          </w:tcPr>
          <w:p w14:paraId="0C590DE8"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PCE a 12 meses</w:t>
            </w:r>
          </w:p>
        </w:tc>
        <w:tc>
          <w:tcPr>
            <w:tcW w:w="1454" w:type="dxa"/>
            <w:tcBorders>
              <w:top w:val="nil"/>
              <w:left w:val="nil"/>
              <w:bottom w:val="single" w:sz="4" w:space="0" w:color="auto"/>
              <w:right w:val="single" w:sz="4" w:space="0" w:color="auto"/>
            </w:tcBorders>
            <w:shd w:val="clear" w:color="auto" w:fill="auto"/>
            <w:vAlign w:val="center"/>
            <w:hideMark/>
          </w:tcPr>
          <w:p w14:paraId="4F773687"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PCE Lifetime</w:t>
            </w:r>
          </w:p>
        </w:tc>
        <w:tc>
          <w:tcPr>
            <w:tcW w:w="1753" w:type="dxa"/>
            <w:tcBorders>
              <w:top w:val="nil"/>
              <w:left w:val="nil"/>
              <w:bottom w:val="single" w:sz="4" w:space="0" w:color="auto"/>
              <w:right w:val="single" w:sz="4" w:space="0" w:color="auto"/>
            </w:tcBorders>
            <w:shd w:val="clear" w:color="auto" w:fill="auto"/>
            <w:vAlign w:val="center"/>
            <w:hideMark/>
          </w:tcPr>
          <w:p w14:paraId="2B73AA31" w14:textId="77777777" w:rsidR="00264F4C" w:rsidRPr="00364924" w:rsidRDefault="00264F4C" w:rsidP="00264F4C">
            <w:pPr>
              <w:jc w:val="center"/>
              <w:rPr>
                <w:rFonts w:ascii="Arial" w:hAnsi="Arial" w:cs="Arial"/>
                <w:b/>
                <w:bCs/>
                <w:color w:val="000000"/>
                <w:sz w:val="16"/>
                <w:szCs w:val="16"/>
                <w:lang w:eastAsia="es-AR"/>
              </w:rPr>
            </w:pPr>
            <w:r w:rsidRPr="00364924">
              <w:rPr>
                <w:rFonts w:ascii="Arial" w:hAnsi="Arial" w:cs="Arial"/>
                <w:b/>
                <w:bCs/>
                <w:color w:val="000000"/>
                <w:sz w:val="16"/>
                <w:szCs w:val="16"/>
                <w:lang w:eastAsia="es-AR"/>
              </w:rPr>
              <w:t>PCE Lifetime</w:t>
            </w:r>
          </w:p>
        </w:tc>
        <w:tc>
          <w:tcPr>
            <w:tcW w:w="17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54E8C7" w14:textId="77777777" w:rsidR="00264F4C" w:rsidRPr="00364924" w:rsidRDefault="00264F4C" w:rsidP="00264F4C">
            <w:pPr>
              <w:rPr>
                <w:rFonts w:ascii="Arial" w:hAnsi="Arial" w:cs="Arial"/>
                <w:b/>
                <w:bCs/>
                <w:color w:val="000000"/>
                <w:sz w:val="16"/>
                <w:szCs w:val="16"/>
                <w:lang w:eastAsia="es-AR"/>
              </w:rPr>
            </w:pPr>
          </w:p>
        </w:tc>
      </w:tr>
      <w:tr w:rsidR="001967BC" w:rsidRPr="001C2C86" w14:paraId="6536D402"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1CE1F27F" w14:textId="77777777" w:rsidR="001967BC" w:rsidRPr="00364924" w:rsidRDefault="001967BC" w:rsidP="001967BC">
            <w:pPr>
              <w:rPr>
                <w:rFonts w:ascii="Arial" w:hAnsi="Arial" w:cs="Arial"/>
                <w:b/>
                <w:bCs/>
                <w:color w:val="000000"/>
                <w:sz w:val="16"/>
                <w:szCs w:val="16"/>
                <w:lang w:eastAsia="es-AR"/>
              </w:rPr>
            </w:pPr>
            <w:r w:rsidRPr="00364924">
              <w:rPr>
                <w:rFonts w:ascii="Arial" w:hAnsi="Arial" w:cs="Arial"/>
                <w:b/>
                <w:bCs/>
                <w:color w:val="000000"/>
                <w:sz w:val="16"/>
                <w:szCs w:val="16"/>
                <w:lang w:eastAsia="es-AR"/>
              </w:rPr>
              <w:t>Previsión por riesgo de crédito al 31.12.2019</w:t>
            </w:r>
          </w:p>
        </w:tc>
        <w:tc>
          <w:tcPr>
            <w:tcW w:w="1753" w:type="dxa"/>
            <w:tcBorders>
              <w:top w:val="nil"/>
              <w:left w:val="nil"/>
              <w:bottom w:val="single" w:sz="4" w:space="0" w:color="auto"/>
              <w:right w:val="single" w:sz="4" w:space="0" w:color="auto"/>
            </w:tcBorders>
            <w:shd w:val="clear" w:color="auto" w:fill="auto"/>
            <w:noWrap/>
            <w:vAlign w:val="bottom"/>
            <w:hideMark/>
          </w:tcPr>
          <w:p w14:paraId="2320B067" w14:textId="2F74FE93"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1.220.617</w:t>
            </w:r>
          </w:p>
        </w:tc>
        <w:tc>
          <w:tcPr>
            <w:tcW w:w="1454" w:type="dxa"/>
            <w:tcBorders>
              <w:top w:val="nil"/>
              <w:left w:val="nil"/>
              <w:bottom w:val="single" w:sz="4" w:space="0" w:color="auto"/>
              <w:right w:val="single" w:sz="4" w:space="0" w:color="auto"/>
            </w:tcBorders>
            <w:shd w:val="clear" w:color="auto" w:fill="auto"/>
            <w:noWrap/>
            <w:vAlign w:val="bottom"/>
            <w:hideMark/>
          </w:tcPr>
          <w:p w14:paraId="381C3716" w14:textId="365723CC"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596.033</w:t>
            </w:r>
          </w:p>
        </w:tc>
        <w:tc>
          <w:tcPr>
            <w:tcW w:w="1753" w:type="dxa"/>
            <w:tcBorders>
              <w:top w:val="nil"/>
              <w:left w:val="nil"/>
              <w:bottom w:val="single" w:sz="4" w:space="0" w:color="auto"/>
              <w:right w:val="single" w:sz="4" w:space="0" w:color="auto"/>
            </w:tcBorders>
            <w:shd w:val="clear" w:color="auto" w:fill="auto"/>
            <w:noWrap/>
            <w:vAlign w:val="bottom"/>
            <w:hideMark/>
          </w:tcPr>
          <w:p w14:paraId="2D7A0E66" w14:textId="48050D25"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3.669.407</w:t>
            </w:r>
          </w:p>
        </w:tc>
        <w:tc>
          <w:tcPr>
            <w:tcW w:w="1753" w:type="dxa"/>
            <w:tcBorders>
              <w:top w:val="nil"/>
              <w:left w:val="nil"/>
              <w:bottom w:val="single" w:sz="4" w:space="0" w:color="auto"/>
              <w:right w:val="single" w:sz="4" w:space="0" w:color="auto"/>
            </w:tcBorders>
            <w:shd w:val="clear" w:color="auto" w:fill="auto"/>
            <w:noWrap/>
            <w:vAlign w:val="bottom"/>
            <w:hideMark/>
          </w:tcPr>
          <w:p w14:paraId="3E873CDE" w14:textId="04D61B96"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5.486.057</w:t>
            </w:r>
          </w:p>
        </w:tc>
      </w:tr>
      <w:tr w:rsidR="00264F4C" w:rsidRPr="001C2C86" w14:paraId="62C7C869"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037035E2" w14:textId="77777777" w:rsidR="00264F4C" w:rsidRPr="00364924" w:rsidRDefault="00264F4C" w:rsidP="00264F4C">
            <w:pPr>
              <w:rPr>
                <w:rFonts w:ascii="Arial" w:hAnsi="Arial" w:cs="Arial"/>
                <w:color w:val="000000"/>
                <w:sz w:val="16"/>
                <w:szCs w:val="16"/>
                <w:lang w:eastAsia="es-AR"/>
              </w:rPr>
            </w:pPr>
            <w:r w:rsidRPr="00364924">
              <w:rPr>
                <w:rFonts w:ascii="Arial" w:hAnsi="Arial" w:cs="Arial"/>
                <w:color w:val="000000"/>
                <w:sz w:val="16"/>
                <w:szCs w:val="16"/>
                <w:lang w:eastAsia="es-AR"/>
              </w:rPr>
              <w:t>Transferencias:</w:t>
            </w:r>
          </w:p>
        </w:tc>
        <w:tc>
          <w:tcPr>
            <w:tcW w:w="1753" w:type="dxa"/>
            <w:tcBorders>
              <w:top w:val="nil"/>
              <w:left w:val="nil"/>
              <w:bottom w:val="single" w:sz="4" w:space="0" w:color="auto"/>
              <w:right w:val="single" w:sz="4" w:space="0" w:color="auto"/>
            </w:tcBorders>
            <w:shd w:val="clear" w:color="auto" w:fill="auto"/>
            <w:noWrap/>
            <w:vAlign w:val="bottom"/>
            <w:hideMark/>
          </w:tcPr>
          <w:p w14:paraId="02CFDAD3" w14:textId="77777777" w:rsidR="00264F4C" w:rsidRPr="00364924" w:rsidRDefault="00264F4C">
            <w:pPr>
              <w:jc w:val="right"/>
              <w:rPr>
                <w:rFonts w:ascii="Arial" w:hAnsi="Arial" w:cs="Arial"/>
                <w:color w:val="000000"/>
                <w:sz w:val="16"/>
                <w:szCs w:val="16"/>
                <w:lang w:eastAsia="es-AR"/>
              </w:rPr>
            </w:pPr>
          </w:p>
        </w:tc>
        <w:tc>
          <w:tcPr>
            <w:tcW w:w="1454" w:type="dxa"/>
            <w:tcBorders>
              <w:top w:val="nil"/>
              <w:left w:val="nil"/>
              <w:bottom w:val="single" w:sz="4" w:space="0" w:color="auto"/>
              <w:right w:val="single" w:sz="4" w:space="0" w:color="auto"/>
            </w:tcBorders>
            <w:shd w:val="clear" w:color="auto" w:fill="auto"/>
            <w:noWrap/>
            <w:vAlign w:val="bottom"/>
            <w:hideMark/>
          </w:tcPr>
          <w:p w14:paraId="7B0A7B35" w14:textId="77777777" w:rsidR="00264F4C" w:rsidRPr="00364924" w:rsidRDefault="00264F4C">
            <w:pPr>
              <w:jc w:val="right"/>
              <w:rPr>
                <w:rFonts w:ascii="Arial" w:hAnsi="Arial" w:cs="Arial"/>
                <w:color w:val="000000"/>
                <w:sz w:val="16"/>
                <w:szCs w:val="16"/>
                <w:lang w:eastAsia="es-AR"/>
              </w:rPr>
            </w:pPr>
          </w:p>
        </w:tc>
        <w:tc>
          <w:tcPr>
            <w:tcW w:w="1753" w:type="dxa"/>
            <w:tcBorders>
              <w:top w:val="nil"/>
              <w:left w:val="nil"/>
              <w:bottom w:val="single" w:sz="4" w:space="0" w:color="auto"/>
              <w:right w:val="single" w:sz="4" w:space="0" w:color="auto"/>
            </w:tcBorders>
            <w:shd w:val="clear" w:color="auto" w:fill="auto"/>
            <w:noWrap/>
            <w:vAlign w:val="bottom"/>
            <w:hideMark/>
          </w:tcPr>
          <w:p w14:paraId="5C25A70D" w14:textId="77777777" w:rsidR="00264F4C" w:rsidRPr="00364924" w:rsidRDefault="00264F4C">
            <w:pPr>
              <w:jc w:val="right"/>
              <w:rPr>
                <w:rFonts w:ascii="Arial" w:hAnsi="Arial" w:cs="Arial"/>
                <w:color w:val="000000"/>
                <w:sz w:val="16"/>
                <w:szCs w:val="16"/>
                <w:lang w:eastAsia="es-AR"/>
              </w:rPr>
            </w:pPr>
          </w:p>
        </w:tc>
        <w:tc>
          <w:tcPr>
            <w:tcW w:w="1753" w:type="dxa"/>
            <w:tcBorders>
              <w:top w:val="nil"/>
              <w:left w:val="nil"/>
              <w:bottom w:val="single" w:sz="4" w:space="0" w:color="auto"/>
              <w:right w:val="single" w:sz="4" w:space="0" w:color="auto"/>
            </w:tcBorders>
            <w:shd w:val="clear" w:color="auto" w:fill="auto"/>
            <w:noWrap/>
            <w:vAlign w:val="bottom"/>
            <w:hideMark/>
          </w:tcPr>
          <w:p w14:paraId="2B8685CD" w14:textId="77777777" w:rsidR="00264F4C" w:rsidRPr="00364924" w:rsidRDefault="00264F4C">
            <w:pPr>
              <w:jc w:val="right"/>
              <w:rPr>
                <w:rFonts w:ascii="Arial" w:hAnsi="Arial" w:cs="Arial"/>
                <w:color w:val="000000"/>
                <w:sz w:val="16"/>
                <w:szCs w:val="16"/>
                <w:lang w:eastAsia="es-AR"/>
              </w:rPr>
            </w:pPr>
          </w:p>
        </w:tc>
      </w:tr>
      <w:tr w:rsidR="001967BC" w:rsidRPr="001C2C86" w14:paraId="66C62D7F"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560542A" w14:textId="77777777" w:rsidR="001967BC" w:rsidRPr="00364924" w:rsidRDefault="001967BC" w:rsidP="001967BC">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1 a Etapa 2</w:t>
            </w:r>
          </w:p>
        </w:tc>
        <w:tc>
          <w:tcPr>
            <w:tcW w:w="1753" w:type="dxa"/>
            <w:tcBorders>
              <w:top w:val="nil"/>
              <w:left w:val="nil"/>
              <w:bottom w:val="single" w:sz="4" w:space="0" w:color="auto"/>
              <w:right w:val="single" w:sz="4" w:space="0" w:color="auto"/>
            </w:tcBorders>
            <w:shd w:val="clear" w:color="auto" w:fill="auto"/>
            <w:noWrap/>
            <w:vAlign w:val="bottom"/>
            <w:hideMark/>
          </w:tcPr>
          <w:p w14:paraId="7B8997EF" w14:textId="24ED067C"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-15.597 </w:t>
            </w:r>
          </w:p>
        </w:tc>
        <w:tc>
          <w:tcPr>
            <w:tcW w:w="1454" w:type="dxa"/>
            <w:tcBorders>
              <w:top w:val="nil"/>
              <w:left w:val="nil"/>
              <w:bottom w:val="single" w:sz="4" w:space="0" w:color="auto"/>
              <w:right w:val="single" w:sz="4" w:space="0" w:color="auto"/>
            </w:tcBorders>
            <w:shd w:val="clear" w:color="auto" w:fill="auto"/>
            <w:noWrap/>
            <w:vAlign w:val="bottom"/>
            <w:hideMark/>
          </w:tcPr>
          <w:p w14:paraId="6896B35E" w14:textId="341E9758"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168.289</w:t>
            </w:r>
          </w:p>
        </w:tc>
        <w:tc>
          <w:tcPr>
            <w:tcW w:w="1753" w:type="dxa"/>
            <w:tcBorders>
              <w:top w:val="nil"/>
              <w:left w:val="nil"/>
              <w:bottom w:val="single" w:sz="4" w:space="0" w:color="auto"/>
              <w:right w:val="single" w:sz="4" w:space="0" w:color="auto"/>
            </w:tcBorders>
            <w:shd w:val="clear" w:color="auto" w:fill="auto"/>
            <w:noWrap/>
            <w:vAlign w:val="bottom"/>
            <w:hideMark/>
          </w:tcPr>
          <w:p w14:paraId="786C0D9D" w14:textId="14A0CBB6"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w:t>
            </w:r>
          </w:p>
        </w:tc>
        <w:tc>
          <w:tcPr>
            <w:tcW w:w="1753" w:type="dxa"/>
            <w:tcBorders>
              <w:top w:val="nil"/>
              <w:left w:val="nil"/>
              <w:bottom w:val="single" w:sz="4" w:space="0" w:color="auto"/>
              <w:right w:val="single" w:sz="4" w:space="0" w:color="auto"/>
            </w:tcBorders>
            <w:shd w:val="clear" w:color="auto" w:fill="auto"/>
            <w:noWrap/>
            <w:vAlign w:val="bottom"/>
            <w:hideMark/>
          </w:tcPr>
          <w:p w14:paraId="64533286" w14:textId="77B3B631"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152.692</w:t>
            </w:r>
          </w:p>
        </w:tc>
      </w:tr>
      <w:tr w:rsidR="001967BC" w:rsidRPr="001C2C86" w14:paraId="00E2A87C"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BCC53C7" w14:textId="77777777" w:rsidR="001967BC" w:rsidRPr="00364924" w:rsidRDefault="001967BC" w:rsidP="001967BC">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1 a Etapa 3</w:t>
            </w:r>
          </w:p>
        </w:tc>
        <w:tc>
          <w:tcPr>
            <w:tcW w:w="1753" w:type="dxa"/>
            <w:tcBorders>
              <w:top w:val="nil"/>
              <w:left w:val="nil"/>
              <w:bottom w:val="single" w:sz="4" w:space="0" w:color="auto"/>
              <w:right w:val="single" w:sz="4" w:space="0" w:color="auto"/>
            </w:tcBorders>
            <w:shd w:val="clear" w:color="auto" w:fill="auto"/>
            <w:noWrap/>
            <w:vAlign w:val="bottom"/>
            <w:hideMark/>
          </w:tcPr>
          <w:p w14:paraId="48B6CFAF" w14:textId="44617507"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-1.379 </w:t>
            </w:r>
          </w:p>
        </w:tc>
        <w:tc>
          <w:tcPr>
            <w:tcW w:w="1454" w:type="dxa"/>
            <w:tcBorders>
              <w:top w:val="nil"/>
              <w:left w:val="nil"/>
              <w:bottom w:val="single" w:sz="4" w:space="0" w:color="auto"/>
              <w:right w:val="single" w:sz="4" w:space="0" w:color="auto"/>
            </w:tcBorders>
            <w:shd w:val="clear" w:color="auto" w:fill="auto"/>
            <w:noWrap/>
            <w:vAlign w:val="bottom"/>
            <w:hideMark/>
          </w:tcPr>
          <w:p w14:paraId="284A56F9" w14:textId="69D377DD"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w:t>
            </w:r>
          </w:p>
        </w:tc>
        <w:tc>
          <w:tcPr>
            <w:tcW w:w="1753" w:type="dxa"/>
            <w:tcBorders>
              <w:top w:val="nil"/>
              <w:left w:val="nil"/>
              <w:bottom w:val="single" w:sz="4" w:space="0" w:color="auto"/>
              <w:right w:val="single" w:sz="4" w:space="0" w:color="auto"/>
            </w:tcBorders>
            <w:shd w:val="clear" w:color="auto" w:fill="auto"/>
            <w:noWrap/>
            <w:vAlign w:val="bottom"/>
            <w:hideMark/>
          </w:tcPr>
          <w:p w14:paraId="46F76599" w14:textId="70AA4FD2"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49.477</w:t>
            </w:r>
          </w:p>
        </w:tc>
        <w:tc>
          <w:tcPr>
            <w:tcW w:w="1753" w:type="dxa"/>
            <w:tcBorders>
              <w:top w:val="nil"/>
              <w:left w:val="nil"/>
              <w:bottom w:val="single" w:sz="4" w:space="0" w:color="auto"/>
              <w:right w:val="single" w:sz="4" w:space="0" w:color="auto"/>
            </w:tcBorders>
            <w:shd w:val="clear" w:color="auto" w:fill="auto"/>
            <w:noWrap/>
            <w:vAlign w:val="bottom"/>
            <w:hideMark/>
          </w:tcPr>
          <w:p w14:paraId="1C0181F1" w14:textId="50C512C4"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48.098</w:t>
            </w:r>
          </w:p>
        </w:tc>
      </w:tr>
      <w:tr w:rsidR="001967BC" w:rsidRPr="001C2C86" w14:paraId="4A647792"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12665DCA" w14:textId="77777777" w:rsidR="001967BC" w:rsidRPr="00364924" w:rsidRDefault="001967BC" w:rsidP="001967BC">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2 a Etapa 3</w:t>
            </w:r>
          </w:p>
        </w:tc>
        <w:tc>
          <w:tcPr>
            <w:tcW w:w="1753" w:type="dxa"/>
            <w:tcBorders>
              <w:top w:val="nil"/>
              <w:left w:val="nil"/>
              <w:bottom w:val="single" w:sz="4" w:space="0" w:color="auto"/>
              <w:right w:val="single" w:sz="4" w:space="0" w:color="auto"/>
            </w:tcBorders>
            <w:shd w:val="clear" w:color="auto" w:fill="auto"/>
            <w:noWrap/>
            <w:vAlign w:val="bottom"/>
            <w:hideMark/>
          </w:tcPr>
          <w:p w14:paraId="7C28BF75" w14:textId="336DBD33"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   </w:t>
            </w:r>
          </w:p>
        </w:tc>
        <w:tc>
          <w:tcPr>
            <w:tcW w:w="1454" w:type="dxa"/>
            <w:tcBorders>
              <w:top w:val="nil"/>
              <w:left w:val="nil"/>
              <w:bottom w:val="single" w:sz="4" w:space="0" w:color="auto"/>
              <w:right w:val="single" w:sz="4" w:space="0" w:color="auto"/>
            </w:tcBorders>
            <w:shd w:val="clear" w:color="auto" w:fill="auto"/>
            <w:noWrap/>
            <w:vAlign w:val="bottom"/>
            <w:hideMark/>
          </w:tcPr>
          <w:p w14:paraId="4245F63C" w14:textId="140018C2"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-191.014</w:t>
            </w:r>
          </w:p>
        </w:tc>
        <w:tc>
          <w:tcPr>
            <w:tcW w:w="1753" w:type="dxa"/>
            <w:tcBorders>
              <w:top w:val="nil"/>
              <w:left w:val="nil"/>
              <w:bottom w:val="single" w:sz="4" w:space="0" w:color="auto"/>
              <w:right w:val="single" w:sz="4" w:space="0" w:color="auto"/>
            </w:tcBorders>
            <w:shd w:val="clear" w:color="auto" w:fill="auto"/>
            <w:noWrap/>
            <w:vAlign w:val="bottom"/>
            <w:hideMark/>
          </w:tcPr>
          <w:p w14:paraId="11042E4C" w14:textId="62C28C09"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408.767</w:t>
            </w:r>
          </w:p>
        </w:tc>
        <w:tc>
          <w:tcPr>
            <w:tcW w:w="1753" w:type="dxa"/>
            <w:tcBorders>
              <w:top w:val="nil"/>
              <w:left w:val="nil"/>
              <w:bottom w:val="single" w:sz="4" w:space="0" w:color="auto"/>
              <w:right w:val="single" w:sz="4" w:space="0" w:color="auto"/>
            </w:tcBorders>
            <w:shd w:val="clear" w:color="auto" w:fill="auto"/>
            <w:noWrap/>
            <w:vAlign w:val="bottom"/>
            <w:hideMark/>
          </w:tcPr>
          <w:p w14:paraId="6870CC8F" w14:textId="5C8332FF"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217.753</w:t>
            </w:r>
          </w:p>
        </w:tc>
      </w:tr>
      <w:tr w:rsidR="001967BC" w:rsidRPr="001C2C86" w14:paraId="3E0D0FC0"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0B4BEBEB" w14:textId="77777777" w:rsidR="001967BC" w:rsidRPr="00364924" w:rsidRDefault="001967BC" w:rsidP="001967BC">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2 a Etapa 1</w:t>
            </w:r>
          </w:p>
        </w:tc>
        <w:tc>
          <w:tcPr>
            <w:tcW w:w="1753" w:type="dxa"/>
            <w:tcBorders>
              <w:top w:val="nil"/>
              <w:left w:val="nil"/>
              <w:bottom w:val="single" w:sz="4" w:space="0" w:color="auto"/>
              <w:right w:val="single" w:sz="4" w:space="0" w:color="auto"/>
            </w:tcBorders>
            <w:shd w:val="clear" w:color="auto" w:fill="auto"/>
            <w:noWrap/>
            <w:vAlign w:val="bottom"/>
            <w:hideMark/>
          </w:tcPr>
          <w:p w14:paraId="7AA63B9B" w14:textId="304858E6"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12.380 </w:t>
            </w:r>
          </w:p>
        </w:tc>
        <w:tc>
          <w:tcPr>
            <w:tcW w:w="1454" w:type="dxa"/>
            <w:tcBorders>
              <w:top w:val="nil"/>
              <w:left w:val="nil"/>
              <w:bottom w:val="single" w:sz="4" w:space="0" w:color="auto"/>
              <w:right w:val="single" w:sz="4" w:space="0" w:color="auto"/>
            </w:tcBorders>
            <w:shd w:val="clear" w:color="auto" w:fill="auto"/>
            <w:noWrap/>
            <w:vAlign w:val="bottom"/>
            <w:hideMark/>
          </w:tcPr>
          <w:p w14:paraId="5649B413" w14:textId="6287377C"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-71.659</w:t>
            </w:r>
          </w:p>
        </w:tc>
        <w:tc>
          <w:tcPr>
            <w:tcW w:w="1753" w:type="dxa"/>
            <w:tcBorders>
              <w:top w:val="nil"/>
              <w:left w:val="nil"/>
              <w:bottom w:val="single" w:sz="4" w:space="0" w:color="auto"/>
              <w:right w:val="single" w:sz="4" w:space="0" w:color="auto"/>
            </w:tcBorders>
            <w:shd w:val="clear" w:color="auto" w:fill="auto"/>
            <w:noWrap/>
            <w:vAlign w:val="bottom"/>
            <w:hideMark/>
          </w:tcPr>
          <w:p w14:paraId="648E2606" w14:textId="78687845"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w:t>
            </w:r>
          </w:p>
        </w:tc>
        <w:tc>
          <w:tcPr>
            <w:tcW w:w="1753" w:type="dxa"/>
            <w:tcBorders>
              <w:top w:val="nil"/>
              <w:left w:val="nil"/>
              <w:bottom w:val="single" w:sz="4" w:space="0" w:color="auto"/>
              <w:right w:val="single" w:sz="4" w:space="0" w:color="auto"/>
            </w:tcBorders>
            <w:shd w:val="clear" w:color="auto" w:fill="auto"/>
            <w:noWrap/>
            <w:vAlign w:val="bottom"/>
            <w:hideMark/>
          </w:tcPr>
          <w:p w14:paraId="3C55AE50" w14:textId="5ADAE24E"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-59.279</w:t>
            </w:r>
          </w:p>
        </w:tc>
      </w:tr>
      <w:tr w:rsidR="001967BC" w:rsidRPr="001C2C86" w14:paraId="62AC80AC"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162206AE" w14:textId="77777777" w:rsidR="001967BC" w:rsidRPr="00364924" w:rsidRDefault="001967BC" w:rsidP="001967BC">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3 a Etapa 2</w:t>
            </w:r>
          </w:p>
        </w:tc>
        <w:tc>
          <w:tcPr>
            <w:tcW w:w="1753" w:type="dxa"/>
            <w:tcBorders>
              <w:top w:val="nil"/>
              <w:left w:val="nil"/>
              <w:bottom w:val="single" w:sz="4" w:space="0" w:color="auto"/>
              <w:right w:val="single" w:sz="4" w:space="0" w:color="auto"/>
            </w:tcBorders>
            <w:shd w:val="clear" w:color="auto" w:fill="auto"/>
            <w:noWrap/>
            <w:vAlign w:val="bottom"/>
            <w:hideMark/>
          </w:tcPr>
          <w:p w14:paraId="3266F117" w14:textId="1A28B244"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   </w:t>
            </w:r>
          </w:p>
        </w:tc>
        <w:tc>
          <w:tcPr>
            <w:tcW w:w="1454" w:type="dxa"/>
            <w:tcBorders>
              <w:top w:val="nil"/>
              <w:left w:val="nil"/>
              <w:bottom w:val="single" w:sz="4" w:space="0" w:color="auto"/>
              <w:right w:val="single" w:sz="4" w:space="0" w:color="auto"/>
            </w:tcBorders>
            <w:shd w:val="clear" w:color="auto" w:fill="auto"/>
            <w:noWrap/>
            <w:vAlign w:val="bottom"/>
            <w:hideMark/>
          </w:tcPr>
          <w:p w14:paraId="323BDBD1" w14:textId="264B8BB5"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7.106</w:t>
            </w:r>
          </w:p>
        </w:tc>
        <w:tc>
          <w:tcPr>
            <w:tcW w:w="1753" w:type="dxa"/>
            <w:tcBorders>
              <w:top w:val="nil"/>
              <w:left w:val="nil"/>
              <w:bottom w:val="single" w:sz="4" w:space="0" w:color="auto"/>
              <w:right w:val="single" w:sz="4" w:space="0" w:color="auto"/>
            </w:tcBorders>
            <w:shd w:val="clear" w:color="auto" w:fill="auto"/>
            <w:noWrap/>
            <w:vAlign w:val="bottom"/>
            <w:hideMark/>
          </w:tcPr>
          <w:p w14:paraId="3D6CC04F" w14:textId="3B3B70A7"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-38.512</w:t>
            </w:r>
          </w:p>
        </w:tc>
        <w:tc>
          <w:tcPr>
            <w:tcW w:w="1753" w:type="dxa"/>
            <w:tcBorders>
              <w:top w:val="nil"/>
              <w:left w:val="nil"/>
              <w:bottom w:val="single" w:sz="4" w:space="0" w:color="auto"/>
              <w:right w:val="single" w:sz="4" w:space="0" w:color="auto"/>
            </w:tcBorders>
            <w:shd w:val="clear" w:color="auto" w:fill="auto"/>
            <w:noWrap/>
            <w:vAlign w:val="bottom"/>
            <w:hideMark/>
          </w:tcPr>
          <w:p w14:paraId="101A794F" w14:textId="725D7E99"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-31.406</w:t>
            </w:r>
          </w:p>
        </w:tc>
      </w:tr>
      <w:tr w:rsidR="001967BC" w:rsidRPr="001C2C86" w14:paraId="020006BC"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0ED13070" w14:textId="77777777" w:rsidR="001967BC" w:rsidRPr="00364924" w:rsidRDefault="001967BC" w:rsidP="001967BC">
            <w:pPr>
              <w:ind w:firstLineChars="300" w:firstLine="480"/>
              <w:rPr>
                <w:rFonts w:ascii="Arial" w:hAnsi="Arial" w:cs="Arial"/>
                <w:color w:val="000000"/>
                <w:sz w:val="16"/>
                <w:szCs w:val="16"/>
                <w:lang w:eastAsia="es-AR"/>
              </w:rPr>
            </w:pPr>
            <w:r w:rsidRPr="00364924">
              <w:rPr>
                <w:rFonts w:ascii="Arial" w:hAnsi="Arial" w:cs="Arial"/>
                <w:color w:val="000000"/>
                <w:sz w:val="16"/>
                <w:szCs w:val="16"/>
                <w:lang w:eastAsia="es-AR"/>
              </w:rPr>
              <w:t>desde Etapa 3 a Etapa 1</w:t>
            </w:r>
          </w:p>
        </w:tc>
        <w:tc>
          <w:tcPr>
            <w:tcW w:w="1753" w:type="dxa"/>
            <w:tcBorders>
              <w:top w:val="nil"/>
              <w:left w:val="nil"/>
              <w:bottom w:val="single" w:sz="4" w:space="0" w:color="auto"/>
              <w:right w:val="single" w:sz="4" w:space="0" w:color="auto"/>
            </w:tcBorders>
            <w:shd w:val="clear" w:color="auto" w:fill="auto"/>
            <w:noWrap/>
            <w:vAlign w:val="bottom"/>
            <w:hideMark/>
          </w:tcPr>
          <w:p w14:paraId="0A3BE606" w14:textId="07CE9BD0"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877 </w:t>
            </w:r>
          </w:p>
        </w:tc>
        <w:tc>
          <w:tcPr>
            <w:tcW w:w="1454" w:type="dxa"/>
            <w:tcBorders>
              <w:top w:val="nil"/>
              <w:left w:val="nil"/>
              <w:bottom w:val="single" w:sz="4" w:space="0" w:color="auto"/>
              <w:right w:val="single" w:sz="4" w:space="0" w:color="auto"/>
            </w:tcBorders>
            <w:shd w:val="clear" w:color="auto" w:fill="auto"/>
            <w:noWrap/>
            <w:vAlign w:val="bottom"/>
            <w:hideMark/>
          </w:tcPr>
          <w:p w14:paraId="36F42389" w14:textId="1C3C2127"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w:t>
            </w:r>
          </w:p>
        </w:tc>
        <w:tc>
          <w:tcPr>
            <w:tcW w:w="1753" w:type="dxa"/>
            <w:tcBorders>
              <w:top w:val="nil"/>
              <w:left w:val="nil"/>
              <w:bottom w:val="single" w:sz="4" w:space="0" w:color="auto"/>
              <w:right w:val="single" w:sz="4" w:space="0" w:color="auto"/>
            </w:tcBorders>
            <w:shd w:val="clear" w:color="auto" w:fill="auto"/>
            <w:noWrap/>
            <w:vAlign w:val="bottom"/>
            <w:hideMark/>
          </w:tcPr>
          <w:p w14:paraId="4F0410D1" w14:textId="49D09D8C"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-14.930</w:t>
            </w:r>
          </w:p>
        </w:tc>
        <w:tc>
          <w:tcPr>
            <w:tcW w:w="1753" w:type="dxa"/>
            <w:tcBorders>
              <w:top w:val="nil"/>
              <w:left w:val="nil"/>
              <w:bottom w:val="single" w:sz="4" w:space="0" w:color="auto"/>
              <w:right w:val="single" w:sz="4" w:space="0" w:color="auto"/>
            </w:tcBorders>
            <w:shd w:val="clear" w:color="auto" w:fill="auto"/>
            <w:noWrap/>
            <w:vAlign w:val="bottom"/>
            <w:hideMark/>
          </w:tcPr>
          <w:p w14:paraId="6A05F7CB" w14:textId="6338EF88"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-14.053</w:t>
            </w:r>
          </w:p>
        </w:tc>
      </w:tr>
      <w:tr w:rsidR="001967BC" w:rsidRPr="001C2C86" w14:paraId="1564B1D0"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60F018F" w14:textId="77777777" w:rsidR="001967BC" w:rsidRPr="00364924" w:rsidRDefault="001967BC" w:rsidP="001967BC">
            <w:pPr>
              <w:rPr>
                <w:rFonts w:ascii="Arial" w:hAnsi="Arial" w:cs="Arial"/>
                <w:color w:val="000000"/>
                <w:sz w:val="16"/>
                <w:szCs w:val="16"/>
                <w:lang w:eastAsia="es-AR"/>
              </w:rPr>
            </w:pPr>
            <w:r w:rsidRPr="00364924">
              <w:rPr>
                <w:rFonts w:ascii="Arial" w:hAnsi="Arial" w:cs="Arial"/>
                <w:color w:val="000000"/>
                <w:sz w:val="16"/>
                <w:szCs w:val="16"/>
                <w:lang w:eastAsia="es-AR"/>
              </w:rPr>
              <w:t>Cambios Netos</w:t>
            </w:r>
          </w:p>
        </w:tc>
        <w:tc>
          <w:tcPr>
            <w:tcW w:w="1753" w:type="dxa"/>
            <w:tcBorders>
              <w:top w:val="nil"/>
              <w:left w:val="nil"/>
              <w:bottom w:val="single" w:sz="4" w:space="0" w:color="auto"/>
              <w:right w:val="single" w:sz="4" w:space="0" w:color="auto"/>
            </w:tcBorders>
            <w:shd w:val="clear" w:color="auto" w:fill="auto"/>
            <w:noWrap/>
            <w:vAlign w:val="bottom"/>
            <w:hideMark/>
          </w:tcPr>
          <w:p w14:paraId="18BBABB0" w14:textId="1A4A0EEC"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-189.543 </w:t>
            </w:r>
          </w:p>
        </w:tc>
        <w:tc>
          <w:tcPr>
            <w:tcW w:w="1454" w:type="dxa"/>
            <w:tcBorders>
              <w:top w:val="nil"/>
              <w:left w:val="nil"/>
              <w:bottom w:val="single" w:sz="4" w:space="0" w:color="auto"/>
              <w:right w:val="single" w:sz="4" w:space="0" w:color="auto"/>
            </w:tcBorders>
            <w:shd w:val="clear" w:color="auto" w:fill="auto"/>
            <w:noWrap/>
            <w:vAlign w:val="bottom"/>
            <w:hideMark/>
          </w:tcPr>
          <w:p w14:paraId="72B63628" w14:textId="262B3766"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-194.324</w:t>
            </w:r>
          </w:p>
        </w:tc>
        <w:tc>
          <w:tcPr>
            <w:tcW w:w="1753" w:type="dxa"/>
            <w:tcBorders>
              <w:top w:val="nil"/>
              <w:left w:val="nil"/>
              <w:bottom w:val="single" w:sz="4" w:space="0" w:color="auto"/>
              <w:right w:val="single" w:sz="4" w:space="0" w:color="auto"/>
            </w:tcBorders>
            <w:shd w:val="clear" w:color="auto" w:fill="auto"/>
            <w:noWrap/>
            <w:vAlign w:val="bottom"/>
            <w:hideMark/>
          </w:tcPr>
          <w:p w14:paraId="534897B6" w14:textId="62F8F85A"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-505.243</w:t>
            </w:r>
          </w:p>
        </w:tc>
        <w:tc>
          <w:tcPr>
            <w:tcW w:w="1753" w:type="dxa"/>
            <w:tcBorders>
              <w:top w:val="nil"/>
              <w:left w:val="nil"/>
              <w:bottom w:val="single" w:sz="4" w:space="0" w:color="auto"/>
              <w:right w:val="single" w:sz="4" w:space="0" w:color="auto"/>
            </w:tcBorders>
            <w:shd w:val="clear" w:color="auto" w:fill="auto"/>
            <w:noWrap/>
            <w:vAlign w:val="bottom"/>
            <w:hideMark/>
          </w:tcPr>
          <w:p w14:paraId="22F112A3" w14:textId="045C8CA9"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-889.110</w:t>
            </w:r>
          </w:p>
        </w:tc>
      </w:tr>
      <w:tr w:rsidR="001967BC" w:rsidRPr="001C2C86" w14:paraId="73FFD234"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3062DB0" w14:textId="77777777" w:rsidR="001967BC" w:rsidRPr="00364924" w:rsidRDefault="001967BC" w:rsidP="001967BC">
            <w:pPr>
              <w:rPr>
                <w:rFonts w:ascii="Arial" w:hAnsi="Arial" w:cs="Arial"/>
                <w:color w:val="000000"/>
                <w:sz w:val="16"/>
                <w:szCs w:val="16"/>
                <w:lang w:eastAsia="es-AR"/>
              </w:rPr>
            </w:pPr>
            <w:r w:rsidRPr="00364924">
              <w:rPr>
                <w:rFonts w:ascii="Arial" w:hAnsi="Arial" w:cs="Arial"/>
                <w:color w:val="000000"/>
                <w:sz w:val="16"/>
                <w:szCs w:val="16"/>
                <w:lang w:eastAsia="es-AR"/>
              </w:rPr>
              <w:t>Activos financieros dados de baja</w:t>
            </w:r>
          </w:p>
        </w:tc>
        <w:tc>
          <w:tcPr>
            <w:tcW w:w="1753" w:type="dxa"/>
            <w:tcBorders>
              <w:top w:val="nil"/>
              <w:left w:val="nil"/>
              <w:bottom w:val="single" w:sz="4" w:space="0" w:color="auto"/>
              <w:right w:val="single" w:sz="4" w:space="0" w:color="auto"/>
            </w:tcBorders>
            <w:shd w:val="clear" w:color="auto" w:fill="auto"/>
            <w:noWrap/>
            <w:vAlign w:val="bottom"/>
            <w:hideMark/>
          </w:tcPr>
          <w:p w14:paraId="2F138A76" w14:textId="6D8CDB73"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5.098 </w:t>
            </w:r>
          </w:p>
        </w:tc>
        <w:tc>
          <w:tcPr>
            <w:tcW w:w="1454" w:type="dxa"/>
            <w:tcBorders>
              <w:top w:val="nil"/>
              <w:left w:val="nil"/>
              <w:bottom w:val="single" w:sz="4" w:space="0" w:color="auto"/>
              <w:right w:val="single" w:sz="4" w:space="0" w:color="auto"/>
            </w:tcBorders>
            <w:shd w:val="clear" w:color="auto" w:fill="auto"/>
            <w:noWrap/>
            <w:vAlign w:val="bottom"/>
            <w:hideMark/>
          </w:tcPr>
          <w:p w14:paraId="1BB39C53" w14:textId="4FCBC37C"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3.434</w:t>
            </w:r>
          </w:p>
        </w:tc>
        <w:tc>
          <w:tcPr>
            <w:tcW w:w="1753" w:type="dxa"/>
            <w:tcBorders>
              <w:top w:val="nil"/>
              <w:left w:val="nil"/>
              <w:bottom w:val="single" w:sz="4" w:space="0" w:color="auto"/>
              <w:right w:val="single" w:sz="4" w:space="0" w:color="auto"/>
            </w:tcBorders>
            <w:shd w:val="clear" w:color="auto" w:fill="auto"/>
            <w:noWrap/>
            <w:vAlign w:val="bottom"/>
            <w:hideMark/>
          </w:tcPr>
          <w:p w14:paraId="5480CC41" w14:textId="57175DDD"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384.303</w:t>
            </w:r>
          </w:p>
        </w:tc>
        <w:tc>
          <w:tcPr>
            <w:tcW w:w="1753" w:type="dxa"/>
            <w:tcBorders>
              <w:top w:val="nil"/>
              <w:left w:val="nil"/>
              <w:bottom w:val="single" w:sz="4" w:space="0" w:color="auto"/>
              <w:right w:val="single" w:sz="4" w:space="0" w:color="auto"/>
            </w:tcBorders>
            <w:shd w:val="clear" w:color="auto" w:fill="auto"/>
            <w:noWrap/>
            <w:vAlign w:val="bottom"/>
            <w:hideMark/>
          </w:tcPr>
          <w:p w14:paraId="6C28CAFA" w14:textId="3678BDC1"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392.835</w:t>
            </w:r>
          </w:p>
        </w:tc>
      </w:tr>
      <w:tr w:rsidR="001967BC" w:rsidRPr="001C2C86" w14:paraId="2E858304"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382FF89F" w14:textId="6A36B853" w:rsidR="001967BC" w:rsidRPr="00364924" w:rsidRDefault="001967BC" w:rsidP="001967BC">
            <w:pPr>
              <w:rPr>
                <w:rFonts w:ascii="Arial" w:hAnsi="Arial" w:cs="Arial"/>
                <w:color w:val="000000"/>
                <w:sz w:val="16"/>
                <w:szCs w:val="16"/>
                <w:lang w:eastAsia="es-AR"/>
              </w:rPr>
            </w:pPr>
            <w:r w:rsidRPr="00364924">
              <w:rPr>
                <w:rFonts w:ascii="Arial" w:hAnsi="Arial" w:cs="Arial"/>
                <w:color w:val="000000"/>
                <w:sz w:val="16"/>
                <w:szCs w:val="16"/>
                <w:lang w:eastAsia="es-AR"/>
              </w:rPr>
              <w:t>Cargo directo</w:t>
            </w:r>
          </w:p>
        </w:tc>
        <w:tc>
          <w:tcPr>
            <w:tcW w:w="1753" w:type="dxa"/>
            <w:tcBorders>
              <w:top w:val="nil"/>
              <w:left w:val="nil"/>
              <w:bottom w:val="single" w:sz="4" w:space="0" w:color="auto"/>
              <w:right w:val="single" w:sz="4" w:space="0" w:color="auto"/>
            </w:tcBorders>
            <w:shd w:val="clear" w:color="auto" w:fill="auto"/>
            <w:noWrap/>
            <w:vAlign w:val="bottom"/>
            <w:hideMark/>
          </w:tcPr>
          <w:p w14:paraId="2361BC9D" w14:textId="5114601E"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72.816 </w:t>
            </w:r>
          </w:p>
        </w:tc>
        <w:tc>
          <w:tcPr>
            <w:tcW w:w="1454" w:type="dxa"/>
            <w:tcBorders>
              <w:top w:val="nil"/>
              <w:left w:val="nil"/>
              <w:bottom w:val="single" w:sz="4" w:space="0" w:color="auto"/>
              <w:right w:val="single" w:sz="4" w:space="0" w:color="auto"/>
            </w:tcBorders>
            <w:shd w:val="clear" w:color="auto" w:fill="auto"/>
            <w:noWrap/>
            <w:vAlign w:val="bottom"/>
            <w:hideMark/>
          </w:tcPr>
          <w:p w14:paraId="778D8622" w14:textId="15B831EC"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18.576</w:t>
            </w:r>
          </w:p>
        </w:tc>
        <w:tc>
          <w:tcPr>
            <w:tcW w:w="1753" w:type="dxa"/>
            <w:tcBorders>
              <w:top w:val="nil"/>
              <w:left w:val="nil"/>
              <w:bottom w:val="single" w:sz="4" w:space="0" w:color="auto"/>
              <w:right w:val="single" w:sz="4" w:space="0" w:color="auto"/>
            </w:tcBorders>
            <w:shd w:val="clear" w:color="auto" w:fill="auto"/>
            <w:noWrap/>
            <w:vAlign w:val="bottom"/>
            <w:hideMark/>
          </w:tcPr>
          <w:p w14:paraId="0B5FC1E9" w14:textId="565FE81A"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6.405</w:t>
            </w:r>
          </w:p>
        </w:tc>
        <w:tc>
          <w:tcPr>
            <w:tcW w:w="1753" w:type="dxa"/>
            <w:tcBorders>
              <w:top w:val="nil"/>
              <w:left w:val="nil"/>
              <w:bottom w:val="single" w:sz="4" w:space="0" w:color="auto"/>
              <w:right w:val="single" w:sz="4" w:space="0" w:color="auto"/>
            </w:tcBorders>
            <w:shd w:val="clear" w:color="auto" w:fill="auto"/>
            <w:noWrap/>
            <w:vAlign w:val="bottom"/>
            <w:hideMark/>
          </w:tcPr>
          <w:p w14:paraId="739ECF59" w14:textId="3857FE38"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97.797</w:t>
            </w:r>
          </w:p>
        </w:tc>
      </w:tr>
      <w:tr w:rsidR="001967BC" w:rsidRPr="001C2C86" w14:paraId="02BC7931"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30009B1" w14:textId="77777777" w:rsidR="001967BC" w:rsidRPr="00364924" w:rsidRDefault="001967BC" w:rsidP="001967BC">
            <w:pPr>
              <w:rPr>
                <w:rFonts w:ascii="Arial" w:hAnsi="Arial" w:cs="Arial"/>
                <w:color w:val="000000"/>
                <w:sz w:val="16"/>
                <w:szCs w:val="16"/>
                <w:lang w:eastAsia="es-AR"/>
              </w:rPr>
            </w:pPr>
            <w:r w:rsidRPr="00364924">
              <w:rPr>
                <w:rFonts w:ascii="Arial" w:hAnsi="Arial" w:cs="Arial"/>
                <w:color w:val="000000"/>
                <w:sz w:val="16"/>
                <w:szCs w:val="16"/>
                <w:lang w:eastAsia="es-AR"/>
              </w:rPr>
              <w:t>Diferencia de cotización y otros movimientos</w:t>
            </w:r>
          </w:p>
        </w:tc>
        <w:tc>
          <w:tcPr>
            <w:tcW w:w="1753" w:type="dxa"/>
            <w:tcBorders>
              <w:top w:val="nil"/>
              <w:left w:val="nil"/>
              <w:bottom w:val="single" w:sz="4" w:space="0" w:color="auto"/>
              <w:right w:val="single" w:sz="4" w:space="0" w:color="auto"/>
            </w:tcBorders>
            <w:shd w:val="clear" w:color="auto" w:fill="auto"/>
            <w:noWrap/>
            <w:vAlign w:val="bottom"/>
            <w:hideMark/>
          </w:tcPr>
          <w:p w14:paraId="4380B1F4" w14:textId="22C07CD8"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 xml:space="preserve"> 27.300 </w:t>
            </w:r>
          </w:p>
        </w:tc>
        <w:tc>
          <w:tcPr>
            <w:tcW w:w="1454" w:type="dxa"/>
            <w:tcBorders>
              <w:top w:val="nil"/>
              <w:left w:val="nil"/>
              <w:bottom w:val="single" w:sz="4" w:space="0" w:color="auto"/>
              <w:right w:val="single" w:sz="4" w:space="0" w:color="auto"/>
            </w:tcBorders>
            <w:shd w:val="clear" w:color="auto" w:fill="auto"/>
            <w:noWrap/>
            <w:vAlign w:val="bottom"/>
            <w:hideMark/>
          </w:tcPr>
          <w:p w14:paraId="3B37B1A3" w14:textId="4D821D6B"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10.489</w:t>
            </w:r>
          </w:p>
        </w:tc>
        <w:tc>
          <w:tcPr>
            <w:tcW w:w="1753" w:type="dxa"/>
            <w:tcBorders>
              <w:top w:val="nil"/>
              <w:left w:val="nil"/>
              <w:bottom w:val="single" w:sz="4" w:space="0" w:color="auto"/>
              <w:right w:val="single" w:sz="4" w:space="0" w:color="auto"/>
            </w:tcBorders>
            <w:shd w:val="clear" w:color="auto" w:fill="auto"/>
            <w:noWrap/>
            <w:vAlign w:val="bottom"/>
            <w:hideMark/>
          </w:tcPr>
          <w:p w14:paraId="62A68571" w14:textId="13AF7F7F"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36.747</w:t>
            </w:r>
          </w:p>
        </w:tc>
        <w:tc>
          <w:tcPr>
            <w:tcW w:w="1753" w:type="dxa"/>
            <w:tcBorders>
              <w:top w:val="nil"/>
              <w:left w:val="nil"/>
              <w:bottom w:val="single" w:sz="4" w:space="0" w:color="auto"/>
              <w:right w:val="single" w:sz="4" w:space="0" w:color="auto"/>
            </w:tcBorders>
            <w:shd w:val="clear" w:color="auto" w:fill="auto"/>
            <w:noWrap/>
            <w:vAlign w:val="bottom"/>
            <w:hideMark/>
          </w:tcPr>
          <w:p w14:paraId="295A27FA" w14:textId="4EBAD4A5" w:rsidR="001967BC" w:rsidRPr="00364924" w:rsidRDefault="001967BC">
            <w:pPr>
              <w:jc w:val="right"/>
              <w:rPr>
                <w:rFonts w:ascii="Arial" w:hAnsi="Arial" w:cs="Arial"/>
                <w:color w:val="000000"/>
                <w:sz w:val="16"/>
                <w:szCs w:val="16"/>
                <w:lang w:eastAsia="es-AR"/>
              </w:rPr>
            </w:pPr>
            <w:r w:rsidRPr="00364924">
              <w:rPr>
                <w:rFonts w:ascii="Arial" w:hAnsi="Arial" w:cs="Arial"/>
                <w:sz w:val="16"/>
                <w:szCs w:val="16"/>
              </w:rPr>
              <w:t>74.536</w:t>
            </w:r>
          </w:p>
        </w:tc>
      </w:tr>
      <w:tr w:rsidR="001967BC" w:rsidRPr="001C2C86" w14:paraId="72E5A8D4" w14:textId="77777777" w:rsidTr="00364924">
        <w:trPr>
          <w:trHeight w:val="228"/>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1381F856" w14:textId="77777777" w:rsidR="001967BC" w:rsidRPr="00364924" w:rsidRDefault="001967BC" w:rsidP="001967BC">
            <w:pPr>
              <w:rPr>
                <w:rFonts w:ascii="Arial" w:hAnsi="Arial" w:cs="Arial"/>
                <w:b/>
                <w:bCs/>
                <w:color w:val="000000"/>
                <w:sz w:val="16"/>
                <w:szCs w:val="16"/>
                <w:lang w:eastAsia="es-AR"/>
              </w:rPr>
            </w:pPr>
            <w:r w:rsidRPr="00364924">
              <w:rPr>
                <w:rFonts w:ascii="Arial" w:hAnsi="Arial" w:cs="Arial"/>
                <w:b/>
                <w:bCs/>
                <w:color w:val="000000"/>
                <w:sz w:val="16"/>
                <w:szCs w:val="16"/>
                <w:lang w:eastAsia="es-AR"/>
              </w:rPr>
              <w:lastRenderedPageBreak/>
              <w:t>Previsión por riesgo de crédito al 31.03.2020</w:t>
            </w:r>
          </w:p>
        </w:tc>
        <w:tc>
          <w:tcPr>
            <w:tcW w:w="1753" w:type="dxa"/>
            <w:tcBorders>
              <w:top w:val="nil"/>
              <w:left w:val="nil"/>
              <w:bottom w:val="single" w:sz="4" w:space="0" w:color="auto"/>
              <w:right w:val="single" w:sz="4" w:space="0" w:color="auto"/>
            </w:tcBorders>
            <w:shd w:val="clear" w:color="auto" w:fill="auto"/>
            <w:noWrap/>
            <w:vAlign w:val="bottom"/>
            <w:hideMark/>
          </w:tcPr>
          <w:p w14:paraId="7C20C32C" w14:textId="707CAFE8"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1.132.569</w:t>
            </w:r>
          </w:p>
        </w:tc>
        <w:tc>
          <w:tcPr>
            <w:tcW w:w="1454" w:type="dxa"/>
            <w:tcBorders>
              <w:top w:val="nil"/>
              <w:left w:val="nil"/>
              <w:bottom w:val="single" w:sz="4" w:space="0" w:color="auto"/>
              <w:right w:val="single" w:sz="4" w:space="0" w:color="auto"/>
            </w:tcBorders>
            <w:shd w:val="clear" w:color="auto" w:fill="auto"/>
            <w:noWrap/>
            <w:vAlign w:val="bottom"/>
            <w:hideMark/>
          </w:tcPr>
          <w:p w14:paraId="0FEC6E37" w14:textId="7A753BAF"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346.930</w:t>
            </w:r>
          </w:p>
        </w:tc>
        <w:tc>
          <w:tcPr>
            <w:tcW w:w="1753" w:type="dxa"/>
            <w:tcBorders>
              <w:top w:val="nil"/>
              <w:left w:val="nil"/>
              <w:bottom w:val="single" w:sz="4" w:space="0" w:color="auto"/>
              <w:right w:val="single" w:sz="4" w:space="0" w:color="auto"/>
            </w:tcBorders>
            <w:shd w:val="clear" w:color="auto" w:fill="auto"/>
            <w:noWrap/>
            <w:vAlign w:val="bottom"/>
            <w:hideMark/>
          </w:tcPr>
          <w:p w14:paraId="7C4CF7F0" w14:textId="7E7F91B2"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3.996.421</w:t>
            </w:r>
          </w:p>
        </w:tc>
        <w:tc>
          <w:tcPr>
            <w:tcW w:w="1753" w:type="dxa"/>
            <w:tcBorders>
              <w:top w:val="nil"/>
              <w:left w:val="nil"/>
              <w:bottom w:val="single" w:sz="4" w:space="0" w:color="auto"/>
              <w:right w:val="single" w:sz="4" w:space="0" w:color="auto"/>
            </w:tcBorders>
            <w:shd w:val="clear" w:color="auto" w:fill="auto"/>
            <w:noWrap/>
            <w:vAlign w:val="bottom"/>
            <w:hideMark/>
          </w:tcPr>
          <w:p w14:paraId="2FD0A8BA" w14:textId="7F0553DE" w:rsidR="001967BC" w:rsidRPr="00364924" w:rsidRDefault="001967BC">
            <w:pPr>
              <w:jc w:val="right"/>
              <w:rPr>
                <w:rFonts w:ascii="Arial" w:hAnsi="Arial" w:cs="Arial"/>
                <w:b/>
                <w:bCs/>
                <w:color w:val="000000"/>
                <w:sz w:val="16"/>
                <w:szCs w:val="16"/>
                <w:lang w:eastAsia="es-AR"/>
              </w:rPr>
            </w:pPr>
            <w:r w:rsidRPr="00364924">
              <w:rPr>
                <w:rFonts w:ascii="Arial" w:hAnsi="Arial" w:cs="Arial"/>
                <w:b/>
                <w:sz w:val="16"/>
                <w:szCs w:val="16"/>
              </w:rPr>
              <w:t>5.475.920</w:t>
            </w:r>
          </w:p>
        </w:tc>
      </w:tr>
    </w:tbl>
    <w:p w14:paraId="6F8AD53C" w14:textId="77777777" w:rsidR="00264F4C" w:rsidRPr="00364924" w:rsidRDefault="00264F4C" w:rsidP="00264F4C">
      <w:pPr>
        <w:autoSpaceDE w:val="0"/>
        <w:autoSpaceDN w:val="0"/>
        <w:adjustRightInd w:val="0"/>
        <w:jc w:val="both"/>
        <w:rPr>
          <w:rFonts w:ascii="Arial" w:hAnsi="Arial" w:cs="Arial"/>
          <w:sz w:val="16"/>
          <w:szCs w:val="16"/>
        </w:rPr>
      </w:pPr>
    </w:p>
    <w:p w14:paraId="3C234154" w14:textId="77777777" w:rsidR="00264F4C" w:rsidRDefault="00264F4C" w:rsidP="00264F4C">
      <w:pPr>
        <w:rPr>
          <w:b/>
          <w:sz w:val="20"/>
        </w:rPr>
      </w:pPr>
    </w:p>
    <w:p w14:paraId="2F8E07F6" w14:textId="13F7F74E" w:rsidR="00264F4C" w:rsidRPr="00642813" w:rsidRDefault="00264F4C" w:rsidP="00264F4C">
      <w:pPr>
        <w:autoSpaceDE w:val="0"/>
        <w:autoSpaceDN w:val="0"/>
        <w:adjustRightInd w:val="0"/>
        <w:jc w:val="both"/>
        <w:rPr>
          <w:rFonts w:ascii="Arial" w:hAnsi="Arial" w:cs="Arial"/>
          <w:b/>
          <w:sz w:val="20"/>
        </w:rPr>
      </w:pPr>
      <w:r w:rsidRPr="00642813">
        <w:rPr>
          <w:rFonts w:ascii="Arial" w:hAnsi="Arial" w:cs="Arial"/>
          <w:b/>
          <w:sz w:val="20"/>
        </w:rPr>
        <w:t xml:space="preserve">1.2.9 Política de baja en </w:t>
      </w:r>
      <w:r w:rsidR="0091213D">
        <w:rPr>
          <w:rFonts w:ascii="Arial" w:hAnsi="Arial" w:cs="Arial"/>
          <w:b/>
          <w:sz w:val="20"/>
        </w:rPr>
        <w:t>cuenta</w:t>
      </w:r>
    </w:p>
    <w:p w14:paraId="76D4370A" w14:textId="77777777" w:rsidR="00264F4C" w:rsidRPr="00642813" w:rsidRDefault="00264F4C" w:rsidP="00264F4C">
      <w:pPr>
        <w:autoSpaceDE w:val="0"/>
        <w:autoSpaceDN w:val="0"/>
        <w:adjustRightInd w:val="0"/>
        <w:jc w:val="both"/>
        <w:rPr>
          <w:rFonts w:ascii="Arial" w:hAnsi="Arial" w:cs="Arial"/>
          <w:b/>
          <w:sz w:val="20"/>
        </w:rPr>
      </w:pPr>
    </w:p>
    <w:p w14:paraId="46507032" w14:textId="77777777" w:rsidR="00264F4C" w:rsidRPr="00642813" w:rsidRDefault="00264F4C" w:rsidP="00264F4C">
      <w:pPr>
        <w:autoSpaceDE w:val="0"/>
        <w:autoSpaceDN w:val="0"/>
        <w:adjustRightInd w:val="0"/>
        <w:jc w:val="both"/>
        <w:rPr>
          <w:rFonts w:ascii="Arial" w:hAnsi="Arial" w:cs="Arial"/>
          <w:sz w:val="20"/>
        </w:rPr>
      </w:pPr>
      <w:r w:rsidRPr="00642813">
        <w:rPr>
          <w:rFonts w:ascii="Arial" w:hAnsi="Arial" w:cs="Arial"/>
          <w:sz w:val="20"/>
        </w:rPr>
        <w:t>El Banco da de baja en balance los activos financieros, en su totalidad o en parte, cuando ha agotado todos los esfuerzos recuperación y ha concluido que no hay expectativas razonables de recuperación. Los indicadores de que no hay una expectativa razonable de recuperación incluyen (i) el cese de la actividad de ejecución y (ii) cuando el método de recuperación del Banco está dado por la ejecución de la garantía y el valor de la garantía es tal que no hay una expectativa razonable de recuperación total.</w:t>
      </w:r>
    </w:p>
    <w:p w14:paraId="16ED07DB" w14:textId="77777777" w:rsidR="00264F4C" w:rsidRPr="00642813" w:rsidRDefault="00264F4C" w:rsidP="00264F4C">
      <w:pPr>
        <w:autoSpaceDE w:val="0"/>
        <w:autoSpaceDN w:val="0"/>
        <w:adjustRightInd w:val="0"/>
        <w:jc w:val="both"/>
        <w:rPr>
          <w:rFonts w:ascii="Arial" w:hAnsi="Arial" w:cs="Arial"/>
          <w:sz w:val="20"/>
        </w:rPr>
      </w:pPr>
    </w:p>
    <w:p w14:paraId="01704A41" w14:textId="1DB6D5D8" w:rsidR="00331C9B" w:rsidRPr="00642813" w:rsidRDefault="00264F4C" w:rsidP="00264F4C">
      <w:pPr>
        <w:autoSpaceDE w:val="0"/>
        <w:autoSpaceDN w:val="0"/>
        <w:adjustRightInd w:val="0"/>
        <w:jc w:val="both"/>
        <w:rPr>
          <w:rFonts w:ascii="Arial" w:hAnsi="Arial" w:cs="Arial"/>
          <w:sz w:val="20"/>
        </w:rPr>
      </w:pPr>
      <w:r w:rsidRPr="00642813">
        <w:rPr>
          <w:rFonts w:ascii="Arial" w:hAnsi="Arial" w:cs="Arial"/>
          <w:sz w:val="20"/>
        </w:rPr>
        <w:t xml:space="preserve">El </w:t>
      </w:r>
      <w:r w:rsidR="00A3402F">
        <w:rPr>
          <w:rFonts w:ascii="Arial" w:hAnsi="Arial" w:cs="Arial"/>
          <w:sz w:val="20"/>
        </w:rPr>
        <w:t>Banco</w:t>
      </w:r>
      <w:r w:rsidR="00A3402F" w:rsidRPr="00642813">
        <w:rPr>
          <w:rFonts w:ascii="Arial" w:hAnsi="Arial" w:cs="Arial"/>
          <w:sz w:val="20"/>
        </w:rPr>
        <w:t xml:space="preserve"> </w:t>
      </w:r>
      <w:r w:rsidRPr="00642813">
        <w:rPr>
          <w:rFonts w:ascii="Arial" w:hAnsi="Arial" w:cs="Arial"/>
          <w:sz w:val="20"/>
        </w:rPr>
        <w:t xml:space="preserve">puede dar de baja en balance los activos financieros que aún están sujetos a actividades de ejecución. Los montos contractuales pendientes de cobro dichos activos dados de baja durante el período finalizado el 31 de marzo de 2020 ascienden a 2.356.012. El </w:t>
      </w:r>
      <w:r w:rsidR="00A3402F">
        <w:rPr>
          <w:rFonts w:ascii="Arial" w:hAnsi="Arial" w:cs="Arial"/>
          <w:sz w:val="20"/>
        </w:rPr>
        <w:t>Banco</w:t>
      </w:r>
      <w:r w:rsidRPr="00642813">
        <w:rPr>
          <w:rFonts w:ascii="Arial" w:hAnsi="Arial" w:cs="Arial"/>
          <w:sz w:val="20"/>
        </w:rPr>
        <w:t>busca recuperar los montos que legalmente se le adeudan en su totalidad, pero que han sido parcialmente dados de baja en balance debido a que no existe una expectativa razonable de recuperación total.</w:t>
      </w:r>
    </w:p>
    <w:p w14:paraId="025FF67C" w14:textId="77777777" w:rsidR="005B6501" w:rsidRDefault="005B6501" w:rsidP="002775B9">
      <w:pPr>
        <w:autoSpaceDE w:val="0"/>
        <w:autoSpaceDN w:val="0"/>
        <w:adjustRightInd w:val="0"/>
        <w:jc w:val="both"/>
        <w:rPr>
          <w:rFonts w:ascii="Arial" w:eastAsia="Arial" w:hAnsi="Arial" w:cs="Arial"/>
          <w:b/>
          <w:sz w:val="20"/>
          <w:highlight w:val="green"/>
        </w:rPr>
      </w:pPr>
    </w:p>
    <w:p w14:paraId="47305098" w14:textId="559CFB42" w:rsidR="00DE1E92" w:rsidRPr="00BA7A6B" w:rsidRDefault="00DE1E92" w:rsidP="00DE1E92">
      <w:pPr>
        <w:spacing w:after="160" w:line="259" w:lineRule="auto"/>
        <w:jc w:val="both"/>
        <w:rPr>
          <w:rFonts w:ascii="Arial" w:eastAsia="Arial" w:hAnsi="Arial" w:cs="Arial"/>
          <w:b/>
          <w:color w:val="BF8800"/>
          <w:sz w:val="20"/>
        </w:rPr>
      </w:pPr>
      <w:r w:rsidRPr="00BA7A6B">
        <w:rPr>
          <w:rFonts w:ascii="Arial" w:eastAsia="Arial" w:hAnsi="Arial" w:cs="Arial"/>
          <w:b/>
          <w:sz w:val="20"/>
        </w:rPr>
        <w:t>1.3 Efectivo y depósitos en bancos</w:t>
      </w:r>
    </w:p>
    <w:p w14:paraId="55C0A84A" w14:textId="3FF81791" w:rsidR="00DE1E92" w:rsidRPr="00751A92" w:rsidRDefault="00DE1E92" w:rsidP="00DE1E92">
      <w:pPr>
        <w:spacing w:after="160" w:line="259" w:lineRule="auto"/>
        <w:jc w:val="both"/>
        <w:rPr>
          <w:rFonts w:ascii="Arial" w:eastAsia="Arial" w:hAnsi="Arial" w:cs="Arial"/>
          <w:sz w:val="20"/>
        </w:rPr>
      </w:pPr>
      <w:r w:rsidRPr="00751A92">
        <w:rPr>
          <w:rFonts w:ascii="Arial" w:eastAsia="Arial" w:hAnsi="Arial" w:cs="Arial"/>
          <w:sz w:val="20"/>
        </w:rPr>
        <w:t>Se detalla a continuación la composición del efectivo al 3</w:t>
      </w:r>
      <w:r w:rsidR="00A9678C" w:rsidRPr="00751A92">
        <w:rPr>
          <w:rFonts w:ascii="Arial" w:eastAsia="Arial" w:hAnsi="Arial" w:cs="Arial"/>
          <w:sz w:val="20"/>
        </w:rPr>
        <w:t>1</w:t>
      </w:r>
      <w:r w:rsidRPr="00751A92">
        <w:rPr>
          <w:rFonts w:ascii="Arial" w:eastAsia="Arial" w:hAnsi="Arial" w:cs="Arial"/>
          <w:sz w:val="20"/>
        </w:rPr>
        <w:t xml:space="preserve"> de </w:t>
      </w:r>
      <w:r w:rsidR="00A9678C" w:rsidRPr="00751A92">
        <w:rPr>
          <w:rFonts w:ascii="Arial" w:eastAsia="Arial" w:hAnsi="Arial" w:cs="Arial"/>
          <w:sz w:val="20"/>
        </w:rPr>
        <w:t>marzo</w:t>
      </w:r>
      <w:r w:rsidRPr="00751A92">
        <w:rPr>
          <w:rFonts w:ascii="Arial" w:eastAsia="Arial" w:hAnsi="Arial" w:cs="Arial"/>
          <w:sz w:val="20"/>
        </w:rPr>
        <w:t xml:space="preserve"> de 20</w:t>
      </w:r>
      <w:r w:rsidR="00A9678C" w:rsidRPr="00751A92">
        <w:rPr>
          <w:rFonts w:ascii="Arial" w:eastAsia="Arial" w:hAnsi="Arial" w:cs="Arial"/>
          <w:sz w:val="20"/>
        </w:rPr>
        <w:t xml:space="preserve">20 </w:t>
      </w:r>
      <w:r w:rsidRPr="00751A92">
        <w:rPr>
          <w:rFonts w:ascii="Arial" w:eastAsia="Arial" w:hAnsi="Arial" w:cs="Arial"/>
          <w:sz w:val="20"/>
        </w:rPr>
        <w:t xml:space="preserve">y </w:t>
      </w:r>
      <w:r w:rsidR="001A1699" w:rsidRPr="00751A92">
        <w:rPr>
          <w:rFonts w:ascii="Arial" w:eastAsia="Arial" w:hAnsi="Arial" w:cs="Arial"/>
          <w:sz w:val="20"/>
        </w:rPr>
        <w:t>3</w:t>
      </w:r>
      <w:r w:rsidR="00A9678C" w:rsidRPr="00751A92">
        <w:rPr>
          <w:rFonts w:ascii="Arial" w:eastAsia="Arial" w:hAnsi="Arial" w:cs="Arial"/>
          <w:sz w:val="20"/>
        </w:rPr>
        <w:t>1</w:t>
      </w:r>
      <w:r w:rsidR="001A1699" w:rsidRPr="00751A92">
        <w:rPr>
          <w:rFonts w:ascii="Arial" w:eastAsia="Arial" w:hAnsi="Arial" w:cs="Arial"/>
          <w:sz w:val="20"/>
        </w:rPr>
        <w:t xml:space="preserve"> de </w:t>
      </w:r>
      <w:r w:rsidR="00A9678C" w:rsidRPr="00751A92">
        <w:rPr>
          <w:rFonts w:ascii="Arial" w:eastAsia="Arial" w:hAnsi="Arial" w:cs="Arial"/>
          <w:sz w:val="20"/>
        </w:rPr>
        <w:t>marzo</w:t>
      </w:r>
      <w:r w:rsidR="001A1699" w:rsidRPr="00751A92">
        <w:rPr>
          <w:rFonts w:ascii="Arial" w:eastAsia="Arial" w:hAnsi="Arial" w:cs="Arial"/>
          <w:sz w:val="20"/>
        </w:rPr>
        <w:t xml:space="preserve"> de </w:t>
      </w:r>
      <w:r w:rsidRPr="00751A92">
        <w:rPr>
          <w:rFonts w:ascii="Arial" w:eastAsia="Arial" w:hAnsi="Arial" w:cs="Arial"/>
          <w:sz w:val="20"/>
        </w:rPr>
        <w:t>201</w:t>
      </w:r>
      <w:r w:rsidR="00A9678C" w:rsidRPr="00751A92">
        <w:rPr>
          <w:rFonts w:ascii="Arial" w:eastAsia="Arial" w:hAnsi="Arial" w:cs="Arial"/>
          <w:sz w:val="20"/>
        </w:rPr>
        <w:t>9</w:t>
      </w:r>
      <w:r w:rsidRPr="00751A92">
        <w:rPr>
          <w:rFonts w:ascii="Arial" w:eastAsia="Arial" w:hAnsi="Arial" w:cs="Arial"/>
          <w:sz w:val="20"/>
        </w:rPr>
        <w:t>.</w:t>
      </w:r>
    </w:p>
    <w:tbl>
      <w:tblPr>
        <w:tblW w:w="41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0"/>
        <w:gridCol w:w="1839"/>
        <w:gridCol w:w="1871"/>
      </w:tblGrid>
      <w:tr w:rsidR="00015FAF" w:rsidRPr="00751A92" w14:paraId="697BB050" w14:textId="77777777" w:rsidTr="002E1AF6">
        <w:trPr>
          <w:trHeight w:val="282"/>
          <w:jc w:val="center"/>
        </w:trPr>
        <w:tc>
          <w:tcPr>
            <w:tcW w:w="2391" w:type="pct"/>
            <w:shd w:val="clear" w:color="auto" w:fill="auto"/>
            <w:noWrap/>
            <w:vAlign w:val="bottom"/>
            <w:hideMark/>
          </w:tcPr>
          <w:p w14:paraId="5B04F93F" w14:textId="77777777" w:rsidR="00015FAF" w:rsidRPr="00BA7A6B" w:rsidRDefault="00015FAF" w:rsidP="00DE1E92">
            <w:pPr>
              <w:spacing w:line="259" w:lineRule="auto"/>
              <w:jc w:val="both"/>
              <w:rPr>
                <w:rFonts w:ascii="Arial" w:hAnsi="Arial" w:cs="Arial"/>
                <w:color w:val="000000"/>
                <w:sz w:val="18"/>
                <w:lang w:eastAsia="es-AR"/>
              </w:rPr>
            </w:pPr>
            <w:r w:rsidRPr="00BA7A6B">
              <w:rPr>
                <w:rFonts w:ascii="Arial" w:hAnsi="Arial" w:cs="Arial"/>
                <w:color w:val="000000"/>
                <w:sz w:val="18"/>
                <w:lang w:eastAsia="es-AR"/>
              </w:rPr>
              <w:t> </w:t>
            </w:r>
          </w:p>
        </w:tc>
        <w:tc>
          <w:tcPr>
            <w:tcW w:w="1293" w:type="pct"/>
            <w:vAlign w:val="center"/>
          </w:tcPr>
          <w:p w14:paraId="68DAC1F9" w14:textId="793231C0" w:rsidR="00015FAF" w:rsidRPr="00BA7A6B" w:rsidRDefault="00015FAF">
            <w:pPr>
              <w:spacing w:line="259" w:lineRule="auto"/>
              <w:ind w:left="233" w:hanging="233"/>
              <w:jc w:val="center"/>
              <w:rPr>
                <w:rFonts w:ascii="Arial" w:hAnsi="Arial" w:cs="Arial"/>
                <w:b/>
                <w:color w:val="000000"/>
                <w:sz w:val="18"/>
                <w:lang w:eastAsia="es-AR"/>
              </w:rPr>
            </w:pPr>
            <w:r w:rsidRPr="00BA7A6B">
              <w:rPr>
                <w:rFonts w:ascii="Arial" w:hAnsi="Arial" w:cs="Arial"/>
                <w:b/>
                <w:color w:val="000000"/>
                <w:sz w:val="18"/>
                <w:lang w:eastAsia="es-AR"/>
              </w:rPr>
              <w:t>31/03/2020</w:t>
            </w:r>
          </w:p>
        </w:tc>
        <w:tc>
          <w:tcPr>
            <w:tcW w:w="1316" w:type="pct"/>
            <w:vAlign w:val="center"/>
          </w:tcPr>
          <w:p w14:paraId="4C9BC8F7" w14:textId="05406794" w:rsidR="00015FAF" w:rsidRPr="00BA7A6B" w:rsidRDefault="00015FAF">
            <w:pPr>
              <w:spacing w:line="259" w:lineRule="auto"/>
              <w:jc w:val="center"/>
              <w:rPr>
                <w:rFonts w:ascii="Arial" w:hAnsi="Arial" w:cs="Arial"/>
                <w:b/>
                <w:color w:val="000000"/>
                <w:sz w:val="18"/>
                <w:lang w:eastAsia="es-AR"/>
              </w:rPr>
            </w:pPr>
            <w:r w:rsidRPr="00BA7A6B">
              <w:rPr>
                <w:rFonts w:ascii="Arial" w:hAnsi="Arial" w:cs="Arial"/>
                <w:b/>
                <w:color w:val="000000"/>
                <w:sz w:val="18"/>
                <w:lang w:eastAsia="es-AR"/>
              </w:rPr>
              <w:t>31/03/2019</w:t>
            </w:r>
          </w:p>
        </w:tc>
      </w:tr>
      <w:tr w:rsidR="00015FAF" w:rsidRPr="00751A92" w14:paraId="79EF3655" w14:textId="77777777" w:rsidTr="002E1AF6">
        <w:trPr>
          <w:trHeight w:val="282"/>
          <w:jc w:val="center"/>
        </w:trPr>
        <w:tc>
          <w:tcPr>
            <w:tcW w:w="2391" w:type="pct"/>
            <w:shd w:val="clear" w:color="auto" w:fill="auto"/>
            <w:noWrap/>
            <w:vAlign w:val="bottom"/>
            <w:hideMark/>
          </w:tcPr>
          <w:p w14:paraId="4927E89E" w14:textId="77777777" w:rsidR="00015FAF" w:rsidRPr="00751A92" w:rsidRDefault="00015FAF" w:rsidP="00A9678C">
            <w:pPr>
              <w:spacing w:line="259" w:lineRule="auto"/>
              <w:jc w:val="both"/>
              <w:rPr>
                <w:rFonts w:ascii="Arial" w:hAnsi="Arial" w:cs="Arial"/>
                <w:color w:val="000000"/>
                <w:sz w:val="18"/>
                <w:lang w:eastAsia="es-AR"/>
              </w:rPr>
            </w:pPr>
            <w:r w:rsidRPr="00751A92">
              <w:rPr>
                <w:rFonts w:ascii="Arial" w:hAnsi="Arial" w:cs="Arial"/>
                <w:color w:val="000000"/>
                <w:sz w:val="18"/>
                <w:lang w:eastAsia="es-AR"/>
              </w:rPr>
              <w:t>Efectivo y depósitos en bancos</w:t>
            </w:r>
          </w:p>
        </w:tc>
        <w:tc>
          <w:tcPr>
            <w:tcW w:w="1293" w:type="pct"/>
            <w:vAlign w:val="bottom"/>
          </w:tcPr>
          <w:p w14:paraId="1B13E365" w14:textId="739E0740" w:rsidR="00015FAF" w:rsidRPr="00751A92" w:rsidRDefault="00015FAF" w:rsidP="00A9678C">
            <w:pPr>
              <w:ind w:left="-71" w:hanging="233"/>
              <w:jc w:val="right"/>
              <w:rPr>
                <w:rFonts w:ascii="Arial" w:hAnsi="Arial" w:cs="Arial"/>
                <w:color w:val="000000"/>
                <w:sz w:val="18"/>
                <w:szCs w:val="18"/>
              </w:rPr>
            </w:pPr>
            <w:r w:rsidRPr="00751A92">
              <w:rPr>
                <w:rFonts w:ascii="Arial" w:hAnsi="Arial" w:cs="Arial"/>
                <w:color w:val="000000"/>
                <w:sz w:val="18"/>
                <w:szCs w:val="18"/>
              </w:rPr>
              <w:t xml:space="preserve"> 35.162.486 </w:t>
            </w:r>
          </w:p>
        </w:tc>
        <w:tc>
          <w:tcPr>
            <w:tcW w:w="1316" w:type="pct"/>
            <w:vAlign w:val="bottom"/>
          </w:tcPr>
          <w:p w14:paraId="46E8C279" w14:textId="04ADE3AC" w:rsidR="00015FAF" w:rsidRPr="00751A92" w:rsidRDefault="00015FAF" w:rsidP="00A9678C">
            <w:pPr>
              <w:ind w:left="-71" w:hanging="233"/>
              <w:jc w:val="right"/>
              <w:rPr>
                <w:rFonts w:ascii="Arial" w:hAnsi="Arial" w:cs="Arial"/>
                <w:sz w:val="18"/>
                <w:szCs w:val="18"/>
              </w:rPr>
            </w:pPr>
            <w:r w:rsidRPr="00751A92">
              <w:rPr>
                <w:rFonts w:ascii="Arial" w:hAnsi="Arial" w:cs="Arial"/>
                <w:sz w:val="18"/>
                <w:szCs w:val="18"/>
              </w:rPr>
              <w:t xml:space="preserve"> 45.414.844 </w:t>
            </w:r>
          </w:p>
        </w:tc>
      </w:tr>
      <w:tr w:rsidR="00015FAF" w:rsidRPr="00751A92" w14:paraId="352E0968" w14:textId="77777777" w:rsidTr="002E1AF6">
        <w:trPr>
          <w:trHeight w:val="282"/>
          <w:jc w:val="center"/>
        </w:trPr>
        <w:tc>
          <w:tcPr>
            <w:tcW w:w="2391" w:type="pct"/>
            <w:shd w:val="clear" w:color="auto" w:fill="auto"/>
            <w:noWrap/>
            <w:vAlign w:val="bottom"/>
            <w:hideMark/>
          </w:tcPr>
          <w:p w14:paraId="690458C2" w14:textId="77777777" w:rsidR="00015FAF" w:rsidRPr="00751A92" w:rsidRDefault="00015FAF" w:rsidP="00A9678C">
            <w:pPr>
              <w:spacing w:line="259" w:lineRule="auto"/>
              <w:jc w:val="both"/>
              <w:rPr>
                <w:rFonts w:ascii="Arial" w:hAnsi="Arial" w:cs="Arial"/>
                <w:color w:val="000000"/>
                <w:sz w:val="18"/>
                <w:lang w:eastAsia="es-AR"/>
              </w:rPr>
            </w:pPr>
            <w:r w:rsidRPr="00751A92">
              <w:rPr>
                <w:rFonts w:ascii="Arial" w:hAnsi="Arial" w:cs="Arial"/>
                <w:color w:val="000000"/>
                <w:sz w:val="18"/>
                <w:lang w:eastAsia="es-AR"/>
              </w:rPr>
              <w:t xml:space="preserve">Títulos de deuda a valor razonable </w:t>
            </w:r>
          </w:p>
        </w:tc>
        <w:tc>
          <w:tcPr>
            <w:tcW w:w="1293" w:type="pct"/>
            <w:vAlign w:val="bottom"/>
          </w:tcPr>
          <w:p w14:paraId="66CDEA4F" w14:textId="7380A169" w:rsidR="00015FAF" w:rsidRPr="00751A92" w:rsidRDefault="00015FAF" w:rsidP="00A9678C">
            <w:pPr>
              <w:ind w:left="-71" w:hanging="233"/>
              <w:jc w:val="right"/>
              <w:rPr>
                <w:rFonts w:ascii="Arial" w:hAnsi="Arial" w:cs="Arial"/>
                <w:color w:val="000000"/>
                <w:sz w:val="18"/>
                <w:szCs w:val="18"/>
              </w:rPr>
            </w:pPr>
            <w:r w:rsidRPr="00751A92">
              <w:rPr>
                <w:rFonts w:ascii="Arial" w:hAnsi="Arial" w:cs="Arial"/>
                <w:color w:val="000000"/>
                <w:sz w:val="18"/>
                <w:szCs w:val="18"/>
              </w:rPr>
              <w:t xml:space="preserve"> 2.518 </w:t>
            </w:r>
          </w:p>
        </w:tc>
        <w:tc>
          <w:tcPr>
            <w:tcW w:w="1316" w:type="pct"/>
            <w:vAlign w:val="bottom"/>
          </w:tcPr>
          <w:p w14:paraId="52D96B90" w14:textId="2BE57A67" w:rsidR="00015FAF" w:rsidRPr="00751A92" w:rsidRDefault="00015FAF" w:rsidP="00A9678C">
            <w:pPr>
              <w:ind w:left="-71" w:hanging="233"/>
              <w:jc w:val="right"/>
              <w:rPr>
                <w:rFonts w:ascii="Arial" w:hAnsi="Arial" w:cs="Arial"/>
                <w:sz w:val="18"/>
                <w:szCs w:val="18"/>
              </w:rPr>
            </w:pPr>
            <w:r w:rsidRPr="00751A92">
              <w:rPr>
                <w:rFonts w:ascii="Arial" w:hAnsi="Arial" w:cs="Arial"/>
                <w:sz w:val="18"/>
                <w:szCs w:val="18"/>
              </w:rPr>
              <w:t xml:space="preserve"> </w:t>
            </w:r>
            <w:r w:rsidR="00D672C0">
              <w:rPr>
                <w:rFonts w:ascii="Arial" w:hAnsi="Arial" w:cs="Arial"/>
                <w:sz w:val="18"/>
                <w:szCs w:val="18"/>
              </w:rPr>
              <w:t>32.652.893</w:t>
            </w:r>
            <w:r w:rsidRPr="00751A92">
              <w:rPr>
                <w:rFonts w:ascii="Arial" w:hAnsi="Arial" w:cs="Arial"/>
                <w:sz w:val="18"/>
                <w:szCs w:val="18"/>
              </w:rPr>
              <w:t xml:space="preserve"> </w:t>
            </w:r>
          </w:p>
        </w:tc>
      </w:tr>
      <w:tr w:rsidR="00015FAF" w:rsidRPr="00701F32" w14:paraId="1A5C8332" w14:textId="77777777" w:rsidTr="002E1AF6">
        <w:trPr>
          <w:trHeight w:val="282"/>
          <w:jc w:val="center"/>
        </w:trPr>
        <w:tc>
          <w:tcPr>
            <w:tcW w:w="2391" w:type="pct"/>
            <w:shd w:val="clear" w:color="auto" w:fill="auto"/>
            <w:noWrap/>
            <w:vAlign w:val="bottom"/>
            <w:hideMark/>
          </w:tcPr>
          <w:p w14:paraId="422B9959" w14:textId="77777777" w:rsidR="00015FAF" w:rsidRPr="00751A92" w:rsidRDefault="00015FAF" w:rsidP="00A9678C">
            <w:pPr>
              <w:spacing w:line="259" w:lineRule="auto"/>
              <w:jc w:val="both"/>
              <w:rPr>
                <w:rFonts w:ascii="Arial" w:hAnsi="Arial" w:cs="Arial"/>
                <w:b/>
                <w:bCs/>
                <w:color w:val="000000"/>
                <w:sz w:val="18"/>
                <w:lang w:eastAsia="es-AR"/>
              </w:rPr>
            </w:pPr>
            <w:r w:rsidRPr="00751A92">
              <w:rPr>
                <w:rFonts w:ascii="Arial" w:hAnsi="Arial" w:cs="Arial"/>
                <w:b/>
                <w:bCs/>
                <w:color w:val="000000"/>
                <w:sz w:val="18"/>
                <w:lang w:eastAsia="es-AR"/>
              </w:rPr>
              <w:t>Total</w:t>
            </w:r>
          </w:p>
        </w:tc>
        <w:tc>
          <w:tcPr>
            <w:tcW w:w="1293" w:type="pct"/>
            <w:vAlign w:val="bottom"/>
          </w:tcPr>
          <w:p w14:paraId="1DA6B883" w14:textId="7D70871C" w:rsidR="00015FAF" w:rsidRPr="00751A92" w:rsidRDefault="00015FAF" w:rsidP="00A9678C">
            <w:pPr>
              <w:ind w:left="-71" w:hanging="233"/>
              <w:jc w:val="right"/>
              <w:rPr>
                <w:rFonts w:ascii="Arial" w:hAnsi="Arial" w:cs="Arial"/>
                <w:b/>
                <w:color w:val="000000"/>
                <w:sz w:val="18"/>
                <w:szCs w:val="18"/>
              </w:rPr>
            </w:pPr>
            <w:r w:rsidRPr="00751A92">
              <w:rPr>
                <w:rFonts w:ascii="Arial" w:hAnsi="Arial" w:cs="Arial"/>
                <w:b/>
                <w:color w:val="000000"/>
                <w:sz w:val="18"/>
                <w:szCs w:val="18"/>
              </w:rPr>
              <w:t xml:space="preserve"> 35.165.004 </w:t>
            </w:r>
          </w:p>
        </w:tc>
        <w:tc>
          <w:tcPr>
            <w:tcW w:w="1316" w:type="pct"/>
            <w:vAlign w:val="bottom"/>
          </w:tcPr>
          <w:p w14:paraId="78D9001F" w14:textId="1D9580BC" w:rsidR="00015FAF" w:rsidRPr="00F75347" w:rsidRDefault="00015FAF" w:rsidP="00A9678C">
            <w:pPr>
              <w:ind w:left="-71" w:hanging="233"/>
              <w:jc w:val="right"/>
              <w:rPr>
                <w:rFonts w:ascii="Arial" w:hAnsi="Arial" w:cs="Arial"/>
                <w:b/>
                <w:sz w:val="18"/>
                <w:szCs w:val="18"/>
              </w:rPr>
            </w:pPr>
            <w:r w:rsidRPr="00751A92">
              <w:rPr>
                <w:rFonts w:ascii="Arial" w:hAnsi="Arial" w:cs="Arial"/>
                <w:b/>
                <w:sz w:val="18"/>
                <w:szCs w:val="18"/>
              </w:rPr>
              <w:t xml:space="preserve"> </w:t>
            </w:r>
            <w:r w:rsidR="00D672C0">
              <w:rPr>
                <w:rFonts w:ascii="Arial" w:hAnsi="Arial" w:cs="Arial"/>
                <w:b/>
                <w:sz w:val="18"/>
                <w:szCs w:val="18"/>
              </w:rPr>
              <w:t>78.067.737</w:t>
            </w:r>
            <w:r w:rsidRPr="00F75347">
              <w:rPr>
                <w:rFonts w:ascii="Arial" w:hAnsi="Arial" w:cs="Arial"/>
                <w:b/>
                <w:sz w:val="18"/>
                <w:szCs w:val="18"/>
              </w:rPr>
              <w:t xml:space="preserve"> </w:t>
            </w:r>
          </w:p>
        </w:tc>
      </w:tr>
    </w:tbl>
    <w:p w14:paraId="6A21CE42" w14:textId="77777777" w:rsidR="00DE1E92" w:rsidRPr="00701F32" w:rsidRDefault="00DE1E92" w:rsidP="00DE1E92">
      <w:pPr>
        <w:spacing w:after="160" w:line="259" w:lineRule="auto"/>
        <w:jc w:val="both"/>
        <w:rPr>
          <w:rFonts w:ascii="Arial" w:eastAsia="Arial" w:hAnsi="Arial" w:cs="Arial"/>
          <w:color w:val="FF0000"/>
          <w:sz w:val="20"/>
        </w:rPr>
      </w:pPr>
    </w:p>
    <w:p w14:paraId="2DF2A38D" w14:textId="6C2B48F2" w:rsidR="00DE1E92" w:rsidRPr="00701F32" w:rsidRDefault="00DE1E92" w:rsidP="00DE1E92">
      <w:pPr>
        <w:jc w:val="both"/>
        <w:rPr>
          <w:rFonts w:ascii="Arial" w:eastAsia="Calibri" w:hAnsi="Arial" w:cs="Arial"/>
          <w:sz w:val="20"/>
          <w:lang w:eastAsia="es-PE"/>
        </w:rPr>
      </w:pPr>
      <w:r w:rsidRPr="00701F32">
        <w:rPr>
          <w:rFonts w:ascii="Arial" w:eastAsia="Calibri" w:hAnsi="Arial" w:cs="Arial"/>
          <w:sz w:val="20"/>
          <w:lang w:eastAsia="es-PE"/>
        </w:rPr>
        <w:t>Por su parte, se exponen a continuación las conciliaciones entre los saldos de aquellas partidas consideradas equivalentes de efectivo en el Estado de Flujo</w:t>
      </w:r>
      <w:r w:rsidR="00B05BE2">
        <w:rPr>
          <w:rFonts w:ascii="Arial" w:eastAsia="Calibri" w:hAnsi="Arial" w:cs="Arial"/>
          <w:sz w:val="20"/>
          <w:lang w:eastAsia="es-PE"/>
        </w:rPr>
        <w:t>s</w:t>
      </w:r>
      <w:r w:rsidRPr="00701F32">
        <w:rPr>
          <w:rFonts w:ascii="Arial" w:eastAsia="Calibri" w:hAnsi="Arial" w:cs="Arial"/>
          <w:sz w:val="20"/>
          <w:lang w:eastAsia="es-PE"/>
        </w:rPr>
        <w:t xml:space="preserve"> de Efectivo y las reportadas en el Estado de Situación Financiera al cierre del </w:t>
      </w:r>
      <w:r w:rsidR="00AE73E8">
        <w:rPr>
          <w:rFonts w:ascii="Arial" w:eastAsia="Calibri" w:hAnsi="Arial" w:cs="Arial"/>
          <w:sz w:val="20"/>
          <w:lang w:eastAsia="es-PE"/>
        </w:rPr>
        <w:t>período</w:t>
      </w:r>
      <w:r w:rsidR="00113899">
        <w:rPr>
          <w:rFonts w:ascii="Arial" w:eastAsia="Calibri" w:hAnsi="Arial" w:cs="Arial"/>
          <w:sz w:val="20"/>
          <w:lang w:eastAsia="es-PE"/>
        </w:rPr>
        <w:t xml:space="preserve"> / ejercicio</w:t>
      </w:r>
      <w:r w:rsidRPr="00701F32">
        <w:rPr>
          <w:rFonts w:ascii="Arial" w:eastAsia="Calibri" w:hAnsi="Arial" w:cs="Arial"/>
          <w:sz w:val="20"/>
          <w:lang w:eastAsia="es-PE"/>
        </w:rPr>
        <w:t>:</w:t>
      </w:r>
    </w:p>
    <w:p w14:paraId="0299DF26" w14:textId="77777777" w:rsidR="00331C9B" w:rsidRPr="00701F32" w:rsidRDefault="00331C9B" w:rsidP="00DE1E92">
      <w:pPr>
        <w:jc w:val="both"/>
        <w:rPr>
          <w:rFonts w:ascii="Arial" w:eastAsia="Calibri" w:hAnsi="Arial" w:cs="Arial"/>
          <w:sz w:val="20"/>
          <w:lang w:eastAsia="es-PE"/>
        </w:rPr>
      </w:pPr>
    </w:p>
    <w:tbl>
      <w:tblPr>
        <w:tblW w:w="3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24"/>
        <w:gridCol w:w="1080"/>
        <w:gridCol w:w="1058"/>
      </w:tblGrid>
      <w:tr w:rsidR="005B6501" w:rsidRPr="002B0C3E" w14:paraId="0F37E818" w14:textId="77777777" w:rsidTr="00BA7A6B">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DC603" w14:textId="77777777" w:rsidR="005B6501" w:rsidRPr="00BA7A6B" w:rsidRDefault="005B6501" w:rsidP="001A1699">
            <w:pPr>
              <w:spacing w:line="259" w:lineRule="auto"/>
              <w:jc w:val="both"/>
              <w:rPr>
                <w:rFonts w:ascii="Arial" w:hAnsi="Arial" w:cs="Arial"/>
                <w:color w:val="000000"/>
                <w:sz w:val="18"/>
                <w:lang w:eastAsia="es-AR"/>
              </w:rPr>
            </w:pPr>
          </w:p>
        </w:tc>
        <w:tc>
          <w:tcPr>
            <w:tcW w:w="823" w:type="pct"/>
            <w:tcBorders>
              <w:top w:val="single" w:sz="4" w:space="0" w:color="auto"/>
              <w:left w:val="single" w:sz="4" w:space="0" w:color="auto"/>
              <w:bottom w:val="single" w:sz="4" w:space="0" w:color="auto"/>
              <w:right w:val="single" w:sz="4" w:space="0" w:color="auto"/>
            </w:tcBorders>
            <w:vAlign w:val="center"/>
          </w:tcPr>
          <w:p w14:paraId="15423144" w14:textId="28F140A8" w:rsidR="005B6501" w:rsidRPr="00BA7A6B" w:rsidRDefault="005B6501" w:rsidP="001A1699">
            <w:pPr>
              <w:spacing w:line="259" w:lineRule="auto"/>
              <w:jc w:val="center"/>
              <w:rPr>
                <w:rFonts w:ascii="Arial" w:hAnsi="Arial" w:cs="Arial"/>
                <w:b/>
                <w:bCs/>
                <w:color w:val="000000"/>
                <w:sz w:val="18"/>
              </w:rPr>
            </w:pPr>
            <w:r w:rsidRPr="00BA7A6B">
              <w:rPr>
                <w:rFonts w:ascii="Arial" w:hAnsi="Arial" w:cs="Arial"/>
                <w:b/>
                <w:color w:val="000000"/>
                <w:sz w:val="18"/>
                <w:lang w:eastAsia="es-AR"/>
              </w:rPr>
              <w:t>31/03/2020</w:t>
            </w:r>
          </w:p>
        </w:tc>
        <w:tc>
          <w:tcPr>
            <w:tcW w:w="806" w:type="pct"/>
            <w:tcBorders>
              <w:top w:val="single" w:sz="4" w:space="0" w:color="auto"/>
              <w:left w:val="single" w:sz="4" w:space="0" w:color="auto"/>
              <w:bottom w:val="single" w:sz="4" w:space="0" w:color="auto"/>
              <w:right w:val="single" w:sz="4" w:space="0" w:color="auto"/>
            </w:tcBorders>
            <w:vAlign w:val="center"/>
          </w:tcPr>
          <w:p w14:paraId="3D95D444" w14:textId="0B0C71BD" w:rsidR="005B6501" w:rsidRPr="00BA7A6B" w:rsidRDefault="005B6501" w:rsidP="001A1699">
            <w:pPr>
              <w:spacing w:line="259" w:lineRule="auto"/>
              <w:jc w:val="center"/>
              <w:rPr>
                <w:rFonts w:ascii="Arial" w:hAnsi="Arial" w:cs="Arial"/>
                <w:b/>
                <w:bCs/>
                <w:color w:val="000000"/>
                <w:sz w:val="18"/>
              </w:rPr>
            </w:pPr>
            <w:r w:rsidRPr="00BA7A6B">
              <w:rPr>
                <w:rFonts w:ascii="Arial" w:hAnsi="Arial" w:cs="Arial"/>
                <w:b/>
                <w:color w:val="000000"/>
                <w:sz w:val="18"/>
                <w:lang w:eastAsia="es-AR"/>
              </w:rPr>
              <w:t>31/03/2019</w:t>
            </w:r>
          </w:p>
        </w:tc>
      </w:tr>
      <w:tr w:rsidR="005B6501" w:rsidRPr="002B0C3E" w14:paraId="19868356" w14:textId="77777777" w:rsidTr="00BA7A6B">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FA679" w14:textId="276B8E88" w:rsidR="005B6501" w:rsidRPr="002B0C3E" w:rsidRDefault="005B6501" w:rsidP="001A1699">
            <w:pPr>
              <w:spacing w:line="259" w:lineRule="auto"/>
              <w:jc w:val="both"/>
              <w:rPr>
                <w:rFonts w:ascii="Arial" w:hAnsi="Arial" w:cs="Arial"/>
                <w:b/>
                <w:color w:val="000000"/>
                <w:sz w:val="18"/>
                <w:lang w:eastAsia="es-AR"/>
              </w:rPr>
            </w:pPr>
            <w:r w:rsidRPr="002B0C3E">
              <w:rPr>
                <w:rFonts w:ascii="Arial" w:hAnsi="Arial" w:cs="Arial"/>
                <w:b/>
                <w:color w:val="000000"/>
                <w:sz w:val="18"/>
                <w:lang w:eastAsia="es-AR"/>
              </w:rPr>
              <w:t>Títulos valores a valor razonable s/Estado de Sit. Financiera</w:t>
            </w:r>
          </w:p>
        </w:tc>
        <w:tc>
          <w:tcPr>
            <w:tcW w:w="823" w:type="pct"/>
            <w:tcBorders>
              <w:top w:val="single" w:sz="4" w:space="0" w:color="auto"/>
              <w:left w:val="single" w:sz="4" w:space="0" w:color="auto"/>
              <w:bottom w:val="single" w:sz="4" w:space="0" w:color="auto"/>
              <w:right w:val="single" w:sz="4" w:space="0" w:color="auto"/>
            </w:tcBorders>
            <w:vAlign w:val="bottom"/>
          </w:tcPr>
          <w:p w14:paraId="2F327448" w14:textId="2FDA412C" w:rsidR="005B6501" w:rsidRPr="002B0C3E" w:rsidRDefault="005B6501" w:rsidP="001A1699">
            <w:pPr>
              <w:spacing w:line="259" w:lineRule="auto"/>
              <w:ind w:left="709" w:hanging="709"/>
              <w:jc w:val="right"/>
              <w:rPr>
                <w:rFonts w:ascii="Arial" w:hAnsi="Arial" w:cs="Arial"/>
                <w:b/>
                <w:bCs/>
                <w:color w:val="000000"/>
                <w:sz w:val="18"/>
              </w:rPr>
            </w:pPr>
            <w:r w:rsidRPr="002B0C3E">
              <w:rPr>
                <w:rFonts w:ascii="Arial" w:hAnsi="Arial" w:cs="Arial"/>
                <w:b/>
                <w:bCs/>
                <w:color w:val="000000"/>
                <w:sz w:val="18"/>
              </w:rPr>
              <w:t>260.060</w:t>
            </w:r>
          </w:p>
        </w:tc>
        <w:tc>
          <w:tcPr>
            <w:tcW w:w="806" w:type="pct"/>
            <w:tcBorders>
              <w:top w:val="single" w:sz="4" w:space="0" w:color="auto"/>
              <w:left w:val="single" w:sz="4" w:space="0" w:color="auto"/>
              <w:bottom w:val="single" w:sz="4" w:space="0" w:color="auto"/>
              <w:right w:val="single" w:sz="4" w:space="0" w:color="auto"/>
            </w:tcBorders>
            <w:vAlign w:val="bottom"/>
          </w:tcPr>
          <w:p w14:paraId="022C5BC9" w14:textId="452CEA8E" w:rsidR="005B6501" w:rsidRPr="002B0C3E" w:rsidRDefault="005B6501" w:rsidP="001A1699">
            <w:pPr>
              <w:spacing w:line="259" w:lineRule="auto"/>
              <w:jc w:val="right"/>
              <w:rPr>
                <w:rFonts w:ascii="Arial" w:hAnsi="Arial" w:cs="Arial"/>
                <w:b/>
                <w:bCs/>
                <w:color w:val="000000"/>
                <w:sz w:val="18"/>
                <w:szCs w:val="18"/>
              </w:rPr>
            </w:pPr>
            <w:r w:rsidRPr="002B0C3E">
              <w:rPr>
                <w:rFonts w:ascii="Arial" w:hAnsi="Arial" w:cs="Arial"/>
                <w:b/>
                <w:bCs/>
                <w:color w:val="000000"/>
                <w:sz w:val="18"/>
              </w:rPr>
              <w:t>52.112.758</w:t>
            </w:r>
          </w:p>
        </w:tc>
      </w:tr>
      <w:tr w:rsidR="005B6501" w:rsidRPr="002B0C3E" w14:paraId="72BB9EEF" w14:textId="77777777" w:rsidTr="00BA7A6B">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944DF" w14:textId="77777777" w:rsidR="005B6501" w:rsidRPr="002B0C3E" w:rsidRDefault="005B6501" w:rsidP="001A1699">
            <w:pPr>
              <w:spacing w:line="259" w:lineRule="auto"/>
              <w:jc w:val="both"/>
              <w:rPr>
                <w:rFonts w:ascii="Arial" w:hAnsi="Arial" w:cs="Arial"/>
                <w:color w:val="000000"/>
                <w:sz w:val="18"/>
                <w:lang w:eastAsia="es-AR"/>
              </w:rPr>
            </w:pPr>
            <w:r w:rsidRPr="002B0C3E">
              <w:rPr>
                <w:rFonts w:ascii="Arial" w:hAnsi="Arial" w:cs="Arial"/>
                <w:color w:val="000000"/>
                <w:sz w:val="18"/>
                <w:lang w:eastAsia="es-AR"/>
              </w:rPr>
              <w:t>- Letras del BCRA hasta 90 días</w:t>
            </w:r>
          </w:p>
        </w:tc>
        <w:tc>
          <w:tcPr>
            <w:tcW w:w="823" w:type="pct"/>
            <w:tcBorders>
              <w:top w:val="single" w:sz="4" w:space="0" w:color="auto"/>
              <w:left w:val="single" w:sz="4" w:space="0" w:color="auto"/>
              <w:bottom w:val="single" w:sz="4" w:space="0" w:color="auto"/>
              <w:right w:val="single" w:sz="4" w:space="0" w:color="auto"/>
            </w:tcBorders>
            <w:vAlign w:val="bottom"/>
          </w:tcPr>
          <w:p w14:paraId="5983F58D" w14:textId="3AF183CF" w:rsidR="005B6501" w:rsidRPr="002B0C3E" w:rsidRDefault="005B6501" w:rsidP="001A1699">
            <w:pPr>
              <w:spacing w:line="259" w:lineRule="auto"/>
              <w:jc w:val="right"/>
              <w:rPr>
                <w:rFonts w:ascii="Arial" w:hAnsi="Arial" w:cs="Arial"/>
                <w:bCs/>
                <w:color w:val="000000"/>
                <w:sz w:val="18"/>
                <w:lang w:val="es-ES_tradnl"/>
              </w:rPr>
            </w:pPr>
            <w:r w:rsidRPr="002B0C3E">
              <w:rPr>
                <w:rFonts w:ascii="Arial" w:hAnsi="Arial" w:cs="Arial"/>
                <w:bCs/>
                <w:color w:val="000000"/>
                <w:sz w:val="18"/>
                <w:lang w:val="es-ES_tradnl"/>
              </w:rPr>
              <w:t>-</w:t>
            </w:r>
          </w:p>
        </w:tc>
        <w:tc>
          <w:tcPr>
            <w:tcW w:w="806" w:type="pct"/>
            <w:tcBorders>
              <w:top w:val="single" w:sz="4" w:space="0" w:color="auto"/>
              <w:left w:val="single" w:sz="4" w:space="0" w:color="auto"/>
              <w:bottom w:val="single" w:sz="4" w:space="0" w:color="auto"/>
              <w:right w:val="single" w:sz="4" w:space="0" w:color="auto"/>
            </w:tcBorders>
            <w:vAlign w:val="bottom"/>
          </w:tcPr>
          <w:p w14:paraId="2BF10CED" w14:textId="1303D38F" w:rsidR="005B6501" w:rsidRPr="002B0C3E" w:rsidRDefault="005B6501" w:rsidP="001A1699">
            <w:pPr>
              <w:spacing w:line="259" w:lineRule="auto"/>
              <w:jc w:val="right"/>
              <w:rPr>
                <w:rFonts w:ascii="Arial" w:hAnsi="Arial" w:cs="Arial"/>
                <w:bCs/>
                <w:color w:val="000000"/>
                <w:sz w:val="18"/>
                <w:szCs w:val="18"/>
              </w:rPr>
            </w:pPr>
            <w:r w:rsidRPr="002B0C3E">
              <w:rPr>
                <w:rFonts w:ascii="Arial" w:hAnsi="Arial" w:cs="Arial"/>
                <w:bCs/>
                <w:color w:val="000000"/>
                <w:sz w:val="18"/>
                <w:lang w:val="es-ES_tradnl"/>
              </w:rPr>
              <w:t>-</w:t>
            </w:r>
          </w:p>
        </w:tc>
      </w:tr>
      <w:tr w:rsidR="005B6501" w:rsidRPr="002B0C3E" w14:paraId="512106B3" w14:textId="77777777" w:rsidTr="00BA7A6B">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D2A71" w14:textId="77777777" w:rsidR="005B6501" w:rsidRPr="002B0C3E" w:rsidRDefault="005B6501" w:rsidP="001A1699">
            <w:pPr>
              <w:spacing w:line="259" w:lineRule="auto"/>
              <w:jc w:val="both"/>
              <w:rPr>
                <w:rFonts w:ascii="Arial" w:hAnsi="Arial" w:cs="Arial"/>
                <w:color w:val="000000"/>
                <w:sz w:val="18"/>
                <w:lang w:eastAsia="es-AR"/>
              </w:rPr>
            </w:pPr>
            <w:r w:rsidRPr="002B0C3E">
              <w:rPr>
                <w:rFonts w:ascii="Arial" w:hAnsi="Arial" w:cs="Arial"/>
                <w:color w:val="000000"/>
                <w:sz w:val="18"/>
                <w:lang w:eastAsia="es-AR"/>
              </w:rPr>
              <w:t>- Letras de Liquidez del BCRA hasta 90 días</w:t>
            </w:r>
          </w:p>
        </w:tc>
        <w:tc>
          <w:tcPr>
            <w:tcW w:w="823" w:type="pct"/>
            <w:tcBorders>
              <w:top w:val="single" w:sz="4" w:space="0" w:color="auto"/>
              <w:left w:val="single" w:sz="4" w:space="0" w:color="auto"/>
              <w:bottom w:val="single" w:sz="4" w:space="0" w:color="auto"/>
              <w:right w:val="single" w:sz="4" w:space="0" w:color="auto"/>
            </w:tcBorders>
            <w:vAlign w:val="bottom"/>
          </w:tcPr>
          <w:p w14:paraId="33E1EF04" w14:textId="0F01C2E7" w:rsidR="005B6501" w:rsidRPr="002B0C3E" w:rsidRDefault="005B6501" w:rsidP="001A1699">
            <w:pPr>
              <w:spacing w:line="259" w:lineRule="auto"/>
              <w:jc w:val="right"/>
              <w:rPr>
                <w:rFonts w:ascii="Arial" w:hAnsi="Arial" w:cs="Arial"/>
                <w:bCs/>
                <w:color w:val="000000"/>
                <w:sz w:val="18"/>
              </w:rPr>
            </w:pPr>
            <w:r w:rsidRPr="002B0C3E">
              <w:rPr>
                <w:rFonts w:ascii="Arial" w:hAnsi="Arial" w:cs="Arial"/>
                <w:bCs/>
                <w:color w:val="000000"/>
                <w:sz w:val="18"/>
              </w:rPr>
              <w:t>-</w:t>
            </w:r>
          </w:p>
        </w:tc>
        <w:tc>
          <w:tcPr>
            <w:tcW w:w="806" w:type="pct"/>
            <w:tcBorders>
              <w:top w:val="single" w:sz="4" w:space="0" w:color="auto"/>
              <w:left w:val="single" w:sz="4" w:space="0" w:color="auto"/>
              <w:bottom w:val="single" w:sz="4" w:space="0" w:color="auto"/>
              <w:right w:val="single" w:sz="4" w:space="0" w:color="auto"/>
            </w:tcBorders>
            <w:vAlign w:val="bottom"/>
          </w:tcPr>
          <w:p w14:paraId="136FC0B5" w14:textId="0B78726F" w:rsidR="005B6501" w:rsidRPr="002B0C3E" w:rsidRDefault="00D672C0" w:rsidP="001A1699">
            <w:pPr>
              <w:spacing w:line="259" w:lineRule="auto"/>
              <w:jc w:val="right"/>
              <w:rPr>
                <w:rFonts w:ascii="Arial" w:hAnsi="Arial" w:cs="Arial"/>
                <w:bCs/>
                <w:color w:val="000000"/>
                <w:sz w:val="18"/>
                <w:szCs w:val="18"/>
              </w:rPr>
            </w:pPr>
            <w:r>
              <w:rPr>
                <w:rFonts w:ascii="Arial" w:hAnsi="Arial" w:cs="Arial"/>
                <w:bCs/>
                <w:color w:val="000000"/>
                <w:sz w:val="18"/>
              </w:rPr>
              <w:t>32.205.762</w:t>
            </w:r>
          </w:p>
        </w:tc>
      </w:tr>
      <w:tr w:rsidR="005B6501" w:rsidRPr="002B0C3E" w14:paraId="7D56BDD1" w14:textId="77777777" w:rsidTr="00BA7A6B">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AD970" w14:textId="77777777" w:rsidR="005B6501" w:rsidRPr="002B0C3E" w:rsidRDefault="005B6501" w:rsidP="001A1699">
            <w:pPr>
              <w:spacing w:line="259" w:lineRule="auto"/>
              <w:jc w:val="both"/>
              <w:rPr>
                <w:rFonts w:ascii="Arial" w:hAnsi="Arial" w:cs="Arial"/>
                <w:color w:val="000000"/>
                <w:sz w:val="18"/>
                <w:lang w:eastAsia="es-AR"/>
              </w:rPr>
            </w:pPr>
            <w:r w:rsidRPr="002B0C3E">
              <w:rPr>
                <w:rFonts w:ascii="Arial" w:hAnsi="Arial" w:cs="Arial"/>
                <w:color w:val="000000"/>
                <w:sz w:val="18"/>
                <w:lang w:eastAsia="es-AR"/>
              </w:rPr>
              <w:t>- Letras del Tesoro Nacional hasta 90 días</w:t>
            </w:r>
          </w:p>
        </w:tc>
        <w:tc>
          <w:tcPr>
            <w:tcW w:w="823" w:type="pct"/>
            <w:tcBorders>
              <w:top w:val="single" w:sz="4" w:space="0" w:color="auto"/>
              <w:left w:val="single" w:sz="4" w:space="0" w:color="auto"/>
              <w:bottom w:val="single" w:sz="4" w:space="0" w:color="auto"/>
              <w:right w:val="single" w:sz="4" w:space="0" w:color="auto"/>
            </w:tcBorders>
            <w:vAlign w:val="bottom"/>
          </w:tcPr>
          <w:p w14:paraId="6A44AAC6" w14:textId="54E46ED8" w:rsidR="005B6501" w:rsidRPr="002B0C3E" w:rsidRDefault="005B6501" w:rsidP="001A1699">
            <w:pPr>
              <w:spacing w:line="259" w:lineRule="auto"/>
              <w:jc w:val="right"/>
              <w:rPr>
                <w:rFonts w:ascii="Arial" w:hAnsi="Arial" w:cs="Arial"/>
                <w:bCs/>
                <w:color w:val="000000"/>
                <w:sz w:val="18"/>
              </w:rPr>
            </w:pPr>
            <w:r w:rsidRPr="002B0C3E">
              <w:rPr>
                <w:rFonts w:ascii="Arial" w:hAnsi="Arial" w:cs="Arial"/>
                <w:bCs/>
                <w:color w:val="000000"/>
                <w:sz w:val="18"/>
              </w:rPr>
              <w:t>2.518</w:t>
            </w:r>
          </w:p>
        </w:tc>
        <w:tc>
          <w:tcPr>
            <w:tcW w:w="806" w:type="pct"/>
            <w:tcBorders>
              <w:top w:val="single" w:sz="4" w:space="0" w:color="auto"/>
              <w:left w:val="single" w:sz="4" w:space="0" w:color="auto"/>
              <w:bottom w:val="single" w:sz="4" w:space="0" w:color="auto"/>
              <w:right w:val="single" w:sz="4" w:space="0" w:color="auto"/>
            </w:tcBorders>
            <w:vAlign w:val="bottom"/>
          </w:tcPr>
          <w:p w14:paraId="676278D3" w14:textId="26CAC067" w:rsidR="005B6501" w:rsidRPr="002B0C3E" w:rsidRDefault="00D672C0" w:rsidP="001A1699">
            <w:pPr>
              <w:spacing w:line="259" w:lineRule="auto"/>
              <w:jc w:val="right"/>
              <w:rPr>
                <w:rFonts w:ascii="Arial" w:hAnsi="Arial" w:cs="Arial"/>
                <w:bCs/>
                <w:color w:val="000000"/>
                <w:sz w:val="18"/>
                <w:szCs w:val="18"/>
              </w:rPr>
            </w:pPr>
            <w:r>
              <w:rPr>
                <w:rFonts w:ascii="Arial" w:hAnsi="Arial" w:cs="Arial"/>
                <w:bCs/>
                <w:color w:val="000000"/>
                <w:sz w:val="18"/>
              </w:rPr>
              <w:t>447.131</w:t>
            </w:r>
          </w:p>
        </w:tc>
      </w:tr>
      <w:tr w:rsidR="005B6501" w:rsidRPr="002B0C3E" w14:paraId="522899F7" w14:textId="77777777" w:rsidTr="00BA7A6B">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CF583" w14:textId="20166E6D" w:rsidR="005B6501" w:rsidRPr="002B0C3E" w:rsidRDefault="005B6501" w:rsidP="001A1699">
            <w:pPr>
              <w:spacing w:line="259" w:lineRule="auto"/>
              <w:jc w:val="both"/>
              <w:rPr>
                <w:rFonts w:ascii="Arial" w:hAnsi="Arial" w:cs="Arial"/>
                <w:b/>
                <w:color w:val="000000"/>
                <w:sz w:val="18"/>
                <w:lang w:eastAsia="es-AR"/>
              </w:rPr>
            </w:pPr>
            <w:r w:rsidRPr="002B0C3E">
              <w:rPr>
                <w:rFonts w:ascii="Arial" w:hAnsi="Arial" w:cs="Arial"/>
                <w:b/>
                <w:color w:val="000000"/>
                <w:sz w:val="18"/>
                <w:lang w:eastAsia="es-AR"/>
              </w:rPr>
              <w:t>Títulos de deuda a valor razonable s/Estado de Flujos de Efectivo</w:t>
            </w:r>
          </w:p>
        </w:tc>
        <w:tc>
          <w:tcPr>
            <w:tcW w:w="823" w:type="pct"/>
            <w:tcBorders>
              <w:top w:val="single" w:sz="4" w:space="0" w:color="auto"/>
              <w:left w:val="single" w:sz="4" w:space="0" w:color="auto"/>
              <w:bottom w:val="single" w:sz="4" w:space="0" w:color="auto"/>
              <w:right w:val="single" w:sz="4" w:space="0" w:color="auto"/>
            </w:tcBorders>
            <w:vAlign w:val="bottom"/>
          </w:tcPr>
          <w:p w14:paraId="03235C5D" w14:textId="05C093AB" w:rsidR="005B6501" w:rsidRPr="002B0C3E" w:rsidRDefault="005B6501" w:rsidP="001A1699">
            <w:pPr>
              <w:spacing w:line="259" w:lineRule="auto"/>
              <w:jc w:val="right"/>
              <w:rPr>
                <w:rFonts w:ascii="Arial" w:hAnsi="Arial" w:cs="Arial"/>
                <w:b/>
                <w:bCs/>
                <w:color w:val="000000"/>
                <w:sz w:val="18"/>
                <w:lang w:val="es-ES_tradnl"/>
              </w:rPr>
            </w:pPr>
            <w:r w:rsidRPr="002B0C3E">
              <w:rPr>
                <w:rFonts w:ascii="Arial" w:hAnsi="Arial" w:cs="Arial"/>
                <w:b/>
                <w:bCs/>
                <w:color w:val="000000"/>
                <w:sz w:val="18"/>
                <w:lang w:val="es-ES_tradnl"/>
              </w:rPr>
              <w:t>2.518</w:t>
            </w:r>
          </w:p>
        </w:tc>
        <w:tc>
          <w:tcPr>
            <w:tcW w:w="806" w:type="pct"/>
            <w:tcBorders>
              <w:top w:val="single" w:sz="4" w:space="0" w:color="auto"/>
              <w:left w:val="single" w:sz="4" w:space="0" w:color="auto"/>
              <w:bottom w:val="single" w:sz="4" w:space="0" w:color="auto"/>
              <w:right w:val="single" w:sz="4" w:space="0" w:color="auto"/>
            </w:tcBorders>
            <w:vAlign w:val="bottom"/>
          </w:tcPr>
          <w:p w14:paraId="7EBF983F" w14:textId="4B43EC1C" w:rsidR="005B6501" w:rsidRPr="002B0C3E" w:rsidRDefault="00D672C0" w:rsidP="001A1699">
            <w:pPr>
              <w:spacing w:line="259" w:lineRule="auto"/>
              <w:jc w:val="right"/>
              <w:rPr>
                <w:rFonts w:ascii="Arial" w:hAnsi="Arial" w:cs="Arial"/>
                <w:b/>
                <w:bCs/>
                <w:color w:val="000000"/>
                <w:sz w:val="18"/>
                <w:szCs w:val="18"/>
                <w:lang w:val="es-ES_tradnl"/>
              </w:rPr>
            </w:pPr>
            <w:r>
              <w:rPr>
                <w:rFonts w:ascii="Arial" w:hAnsi="Arial" w:cs="Arial"/>
                <w:b/>
                <w:bCs/>
                <w:color w:val="000000"/>
                <w:sz w:val="18"/>
                <w:lang w:val="es-ES_tradnl"/>
              </w:rPr>
              <w:t>32.652.893</w:t>
            </w:r>
          </w:p>
        </w:tc>
      </w:tr>
      <w:tr w:rsidR="005B6501" w:rsidRPr="002B0C3E" w14:paraId="722F4A4C" w14:textId="77777777" w:rsidTr="00BA7A6B">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78CDE" w14:textId="5C541522" w:rsidR="005B6501" w:rsidRPr="002B0C3E" w:rsidRDefault="005B6501" w:rsidP="001A1699">
            <w:pPr>
              <w:spacing w:line="259" w:lineRule="auto"/>
              <w:jc w:val="both"/>
              <w:rPr>
                <w:rFonts w:ascii="Arial" w:hAnsi="Arial" w:cs="Arial"/>
                <w:b/>
                <w:color w:val="000000"/>
                <w:sz w:val="18"/>
                <w:lang w:eastAsia="es-AR"/>
              </w:rPr>
            </w:pPr>
            <w:r w:rsidRPr="002B0C3E">
              <w:rPr>
                <w:rFonts w:ascii="Arial" w:hAnsi="Arial" w:cs="Arial"/>
                <w:b/>
                <w:color w:val="000000"/>
                <w:sz w:val="18"/>
                <w:lang w:eastAsia="es-AR"/>
              </w:rPr>
              <w:t>Títulos no considerados Equivalentes de Efectivo</w:t>
            </w:r>
          </w:p>
        </w:tc>
        <w:tc>
          <w:tcPr>
            <w:tcW w:w="823" w:type="pct"/>
            <w:tcBorders>
              <w:top w:val="single" w:sz="4" w:space="0" w:color="auto"/>
              <w:left w:val="single" w:sz="4" w:space="0" w:color="auto"/>
              <w:bottom w:val="single" w:sz="4" w:space="0" w:color="auto"/>
              <w:right w:val="single" w:sz="4" w:space="0" w:color="auto"/>
            </w:tcBorders>
            <w:vAlign w:val="bottom"/>
          </w:tcPr>
          <w:p w14:paraId="08D40F52" w14:textId="7CC74144" w:rsidR="005B6501" w:rsidRPr="002B0C3E" w:rsidRDefault="005B6501" w:rsidP="001A1699">
            <w:pPr>
              <w:spacing w:line="259" w:lineRule="auto"/>
              <w:jc w:val="right"/>
              <w:rPr>
                <w:rFonts w:ascii="Arial" w:hAnsi="Arial" w:cs="Arial"/>
                <w:b/>
                <w:bCs/>
                <w:color w:val="000000"/>
                <w:sz w:val="18"/>
              </w:rPr>
            </w:pPr>
            <w:r w:rsidRPr="002B0C3E">
              <w:rPr>
                <w:rFonts w:ascii="Arial" w:hAnsi="Arial" w:cs="Arial"/>
                <w:b/>
                <w:bCs/>
                <w:color w:val="000000"/>
                <w:sz w:val="18"/>
              </w:rPr>
              <w:t>257.542</w:t>
            </w:r>
          </w:p>
        </w:tc>
        <w:tc>
          <w:tcPr>
            <w:tcW w:w="806" w:type="pct"/>
            <w:tcBorders>
              <w:top w:val="single" w:sz="4" w:space="0" w:color="auto"/>
              <w:left w:val="single" w:sz="4" w:space="0" w:color="auto"/>
              <w:bottom w:val="single" w:sz="4" w:space="0" w:color="auto"/>
              <w:right w:val="single" w:sz="4" w:space="0" w:color="auto"/>
            </w:tcBorders>
            <w:vAlign w:val="bottom"/>
          </w:tcPr>
          <w:p w14:paraId="2744A1DD" w14:textId="07C5CCF6" w:rsidR="005B6501" w:rsidRPr="002B0C3E" w:rsidRDefault="00D672C0" w:rsidP="001A1699">
            <w:pPr>
              <w:spacing w:line="259" w:lineRule="auto"/>
              <w:jc w:val="right"/>
              <w:rPr>
                <w:rFonts w:ascii="Arial" w:hAnsi="Arial" w:cs="Arial"/>
                <w:b/>
                <w:bCs/>
                <w:color w:val="000000"/>
                <w:sz w:val="18"/>
                <w:lang w:val="es-ES_tradnl"/>
              </w:rPr>
            </w:pPr>
            <w:r>
              <w:rPr>
                <w:rFonts w:ascii="Arial" w:hAnsi="Arial" w:cs="Arial"/>
                <w:b/>
                <w:bCs/>
                <w:color w:val="000000"/>
                <w:sz w:val="18"/>
              </w:rPr>
              <w:t>19.459.865</w:t>
            </w:r>
          </w:p>
        </w:tc>
      </w:tr>
    </w:tbl>
    <w:p w14:paraId="488DD7F8" w14:textId="04A322AF" w:rsidR="00264F4C" w:rsidRDefault="00264F4C" w:rsidP="00656E62">
      <w:pPr>
        <w:jc w:val="both"/>
        <w:rPr>
          <w:rFonts w:ascii="Arial" w:eastAsia="Arial" w:hAnsi="Arial" w:cs="Arial"/>
          <w:sz w:val="20"/>
        </w:rPr>
      </w:pPr>
    </w:p>
    <w:p w14:paraId="01764209" w14:textId="1C84FA26" w:rsidR="00264F4C" w:rsidRDefault="00264F4C" w:rsidP="00656E62">
      <w:pPr>
        <w:jc w:val="both"/>
        <w:rPr>
          <w:rFonts w:ascii="Arial" w:eastAsia="Arial" w:hAnsi="Arial" w:cs="Arial"/>
          <w:sz w:val="20"/>
        </w:rPr>
      </w:pPr>
    </w:p>
    <w:p w14:paraId="4282398B" w14:textId="77777777" w:rsidR="00264F4C" w:rsidRPr="002E1AF6" w:rsidRDefault="00264F4C" w:rsidP="00264F4C">
      <w:pPr>
        <w:pStyle w:val="Ttulonota"/>
        <w:ind w:left="-567" w:right="-244"/>
        <w:rPr>
          <w:rFonts w:ascii="Arial" w:hAnsi="Arial" w:cs="Arial"/>
          <w:b w:val="0"/>
          <w:sz w:val="20"/>
        </w:rPr>
      </w:pPr>
      <w:bookmarkStart w:id="45" w:name="_Hlk41079289"/>
      <w:r w:rsidRPr="002E1AF6">
        <w:rPr>
          <w:rFonts w:ascii="Arial" w:hAnsi="Arial" w:cs="Arial"/>
          <w:b w:val="0"/>
          <w:bCs/>
          <w:sz w:val="20"/>
        </w:rPr>
        <w:lastRenderedPageBreak/>
        <w:t>A continuación se presenta la conciliación de las actividades de financiación al 31 de marzo 2020 y 31 de diciembre de 2019:</w:t>
      </w:r>
    </w:p>
    <w:p w14:paraId="1A00C319" w14:textId="77777777" w:rsidR="00DC1C6F" w:rsidRDefault="00DC1C6F" w:rsidP="002775B9">
      <w:pPr>
        <w:pStyle w:val="Ttulonota"/>
        <w:ind w:right="-244"/>
        <w:rPr>
          <w:rFonts w:ascii="Arial" w:hAnsi="Arial" w:cs="Arial"/>
          <w:b w:val="0"/>
          <w:bCs/>
          <w:sz w:val="20"/>
        </w:rPr>
      </w:pPr>
    </w:p>
    <w:p w14:paraId="040A0EB6" w14:textId="77777777" w:rsidR="00264F4C" w:rsidRPr="002E1AF6" w:rsidRDefault="00264F4C" w:rsidP="00264F4C">
      <w:pPr>
        <w:pStyle w:val="Ttulonota"/>
        <w:ind w:left="-567" w:right="-244"/>
        <w:rPr>
          <w:rFonts w:ascii="Arial" w:hAnsi="Arial" w:cs="Arial"/>
          <w:b w:val="0"/>
          <w:bCs/>
          <w:sz w:val="20"/>
        </w:rPr>
      </w:pPr>
    </w:p>
    <w:tbl>
      <w:tblPr>
        <w:tblW w:w="10106" w:type="dxa"/>
        <w:tblInd w:w="-803" w:type="dxa"/>
        <w:tblCellMar>
          <w:left w:w="70" w:type="dxa"/>
          <w:right w:w="70" w:type="dxa"/>
        </w:tblCellMar>
        <w:tblLook w:val="04A0" w:firstRow="1" w:lastRow="0" w:firstColumn="1" w:lastColumn="0" w:noHBand="0" w:noVBand="1"/>
      </w:tblPr>
      <w:tblGrid>
        <w:gridCol w:w="3751"/>
        <w:gridCol w:w="1445"/>
        <w:gridCol w:w="1059"/>
        <w:gridCol w:w="1252"/>
        <w:gridCol w:w="1444"/>
        <w:gridCol w:w="1155"/>
      </w:tblGrid>
      <w:tr w:rsidR="00264F4C" w:rsidRPr="00264F4C" w14:paraId="07D86EF4" w14:textId="77777777" w:rsidTr="00264F4C">
        <w:trPr>
          <w:trHeight w:val="18"/>
          <w:tblHeader/>
        </w:trPr>
        <w:tc>
          <w:tcPr>
            <w:tcW w:w="3751" w:type="dxa"/>
            <w:vMerge w:val="restart"/>
            <w:tcBorders>
              <w:top w:val="single" w:sz="4" w:space="0" w:color="auto"/>
              <w:left w:val="single" w:sz="4" w:space="0" w:color="auto"/>
              <w:bottom w:val="single" w:sz="4" w:space="0" w:color="auto"/>
              <w:right w:val="single" w:sz="4" w:space="0" w:color="auto"/>
            </w:tcBorders>
            <w:noWrap/>
            <w:vAlign w:val="center"/>
            <w:hideMark/>
          </w:tcPr>
          <w:p w14:paraId="5AE4FBBF" w14:textId="77777777" w:rsidR="00264F4C" w:rsidRPr="002E1AF6" w:rsidRDefault="00264F4C" w:rsidP="00264F4C">
            <w:pPr>
              <w:jc w:val="center"/>
              <w:rPr>
                <w:rFonts w:ascii="Arial" w:hAnsi="Arial" w:cs="Arial"/>
                <w:b/>
                <w:bCs/>
                <w:color w:val="000000"/>
                <w:sz w:val="18"/>
                <w:lang w:eastAsia="es-AR"/>
              </w:rPr>
            </w:pPr>
            <w:r w:rsidRPr="002E1AF6">
              <w:rPr>
                <w:rFonts w:ascii="Arial" w:hAnsi="Arial" w:cs="Arial"/>
                <w:b/>
                <w:bCs/>
                <w:color w:val="000000"/>
                <w:sz w:val="18"/>
              </w:rPr>
              <w:t>Conceptos</w:t>
            </w:r>
          </w:p>
        </w:tc>
        <w:tc>
          <w:tcPr>
            <w:tcW w:w="1445" w:type="dxa"/>
            <w:vMerge w:val="restart"/>
            <w:tcBorders>
              <w:top w:val="single" w:sz="4" w:space="0" w:color="auto"/>
              <w:left w:val="single" w:sz="4" w:space="0" w:color="auto"/>
              <w:bottom w:val="single" w:sz="4" w:space="0" w:color="auto"/>
              <w:right w:val="single" w:sz="4" w:space="0" w:color="auto"/>
            </w:tcBorders>
            <w:vAlign w:val="center"/>
            <w:hideMark/>
          </w:tcPr>
          <w:p w14:paraId="1D9ABDBC" w14:textId="77777777" w:rsidR="00264F4C" w:rsidRPr="002E1AF6" w:rsidRDefault="00264F4C" w:rsidP="00264F4C">
            <w:pPr>
              <w:jc w:val="center"/>
              <w:rPr>
                <w:rFonts w:ascii="Arial" w:hAnsi="Arial" w:cs="Arial"/>
                <w:b/>
                <w:bCs/>
                <w:color w:val="000000"/>
                <w:sz w:val="18"/>
              </w:rPr>
            </w:pPr>
            <w:r w:rsidRPr="002E1AF6">
              <w:rPr>
                <w:rFonts w:ascii="Arial" w:hAnsi="Arial" w:cs="Arial"/>
                <w:b/>
                <w:bCs/>
                <w:color w:val="000000"/>
                <w:sz w:val="18"/>
              </w:rPr>
              <w:t>Saldos al 31/12/2019</w:t>
            </w:r>
          </w:p>
        </w:tc>
        <w:tc>
          <w:tcPr>
            <w:tcW w:w="2311" w:type="dxa"/>
            <w:gridSpan w:val="2"/>
            <w:tcBorders>
              <w:top w:val="single" w:sz="4" w:space="0" w:color="auto"/>
              <w:left w:val="nil"/>
              <w:bottom w:val="single" w:sz="4" w:space="0" w:color="auto"/>
              <w:right w:val="single" w:sz="4" w:space="0" w:color="auto"/>
            </w:tcBorders>
            <w:vAlign w:val="center"/>
            <w:hideMark/>
          </w:tcPr>
          <w:p w14:paraId="546D85A0" w14:textId="77777777" w:rsidR="00264F4C" w:rsidRPr="002E1AF6" w:rsidRDefault="00264F4C" w:rsidP="00264F4C">
            <w:pPr>
              <w:jc w:val="center"/>
              <w:rPr>
                <w:rFonts w:ascii="Arial" w:hAnsi="Arial" w:cs="Arial"/>
                <w:b/>
                <w:bCs/>
                <w:color w:val="000000"/>
                <w:sz w:val="18"/>
              </w:rPr>
            </w:pPr>
            <w:r w:rsidRPr="002E1AF6">
              <w:rPr>
                <w:rFonts w:ascii="Arial" w:hAnsi="Arial" w:cs="Arial"/>
                <w:b/>
                <w:bCs/>
                <w:color w:val="000000"/>
                <w:sz w:val="18"/>
              </w:rPr>
              <w:t>Flujos de Efectivo</w:t>
            </w:r>
          </w:p>
        </w:tc>
        <w:tc>
          <w:tcPr>
            <w:tcW w:w="1444" w:type="dxa"/>
            <w:vMerge w:val="restart"/>
            <w:tcBorders>
              <w:top w:val="single" w:sz="4" w:space="0" w:color="auto"/>
              <w:left w:val="single" w:sz="4" w:space="0" w:color="auto"/>
              <w:bottom w:val="single" w:sz="4" w:space="0" w:color="auto"/>
              <w:right w:val="single" w:sz="4" w:space="0" w:color="auto"/>
            </w:tcBorders>
            <w:vAlign w:val="center"/>
            <w:hideMark/>
          </w:tcPr>
          <w:p w14:paraId="08AC2B09" w14:textId="77777777" w:rsidR="00264F4C" w:rsidRPr="002E1AF6" w:rsidRDefault="00264F4C" w:rsidP="00264F4C">
            <w:pPr>
              <w:jc w:val="center"/>
              <w:rPr>
                <w:rFonts w:ascii="Arial" w:hAnsi="Arial" w:cs="Arial"/>
                <w:b/>
                <w:bCs/>
                <w:color w:val="000000"/>
                <w:sz w:val="18"/>
              </w:rPr>
            </w:pPr>
            <w:r w:rsidRPr="002E1AF6">
              <w:rPr>
                <w:rFonts w:ascii="Arial" w:hAnsi="Arial" w:cs="Arial"/>
                <w:b/>
                <w:bCs/>
                <w:color w:val="000000"/>
                <w:sz w:val="18"/>
              </w:rPr>
              <w:t>Otros movimientos sin efectivo</w:t>
            </w:r>
          </w:p>
        </w:tc>
        <w:tc>
          <w:tcPr>
            <w:tcW w:w="1155" w:type="dxa"/>
            <w:vMerge w:val="restart"/>
            <w:tcBorders>
              <w:top w:val="single" w:sz="4" w:space="0" w:color="auto"/>
              <w:left w:val="single" w:sz="4" w:space="0" w:color="auto"/>
              <w:bottom w:val="single" w:sz="4" w:space="0" w:color="auto"/>
              <w:right w:val="single" w:sz="4" w:space="0" w:color="auto"/>
            </w:tcBorders>
            <w:vAlign w:val="center"/>
            <w:hideMark/>
          </w:tcPr>
          <w:p w14:paraId="4FFBBEED" w14:textId="77777777" w:rsidR="00264F4C" w:rsidRPr="002E1AF6" w:rsidRDefault="00264F4C" w:rsidP="00264F4C">
            <w:pPr>
              <w:jc w:val="center"/>
              <w:rPr>
                <w:rFonts w:ascii="Arial" w:hAnsi="Arial" w:cs="Arial"/>
                <w:b/>
                <w:bCs/>
                <w:color w:val="000000"/>
                <w:sz w:val="18"/>
              </w:rPr>
            </w:pPr>
            <w:r w:rsidRPr="002E1AF6">
              <w:rPr>
                <w:rFonts w:ascii="Arial" w:hAnsi="Arial" w:cs="Arial"/>
                <w:b/>
                <w:bCs/>
                <w:color w:val="000000"/>
                <w:sz w:val="18"/>
              </w:rPr>
              <w:t>Saldos al 31/03/2020</w:t>
            </w:r>
          </w:p>
        </w:tc>
      </w:tr>
      <w:tr w:rsidR="00264F4C" w:rsidRPr="00264F4C" w14:paraId="4787BBCA" w14:textId="77777777" w:rsidTr="00264F4C">
        <w:trPr>
          <w:trHeight w:val="1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54CDA" w14:textId="77777777" w:rsidR="00264F4C" w:rsidRPr="002E1AF6" w:rsidRDefault="00264F4C" w:rsidP="00264F4C">
            <w:pPr>
              <w:rPr>
                <w:rFonts w:ascii="Arial" w:hAnsi="Arial" w:cs="Arial"/>
                <w:b/>
                <w:bCs/>
                <w:color w:val="000000"/>
                <w:sz w:val="18"/>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2023D" w14:textId="77777777" w:rsidR="00264F4C" w:rsidRPr="002E1AF6" w:rsidRDefault="00264F4C" w:rsidP="00264F4C">
            <w:pPr>
              <w:rPr>
                <w:rFonts w:ascii="Arial" w:hAnsi="Arial" w:cs="Arial"/>
                <w:b/>
                <w:bCs/>
                <w:color w:val="000000"/>
                <w:sz w:val="18"/>
              </w:rPr>
            </w:pPr>
          </w:p>
        </w:tc>
        <w:tc>
          <w:tcPr>
            <w:tcW w:w="1059" w:type="dxa"/>
            <w:tcBorders>
              <w:top w:val="nil"/>
              <w:left w:val="nil"/>
              <w:bottom w:val="single" w:sz="4" w:space="0" w:color="auto"/>
              <w:right w:val="single" w:sz="4" w:space="0" w:color="auto"/>
            </w:tcBorders>
            <w:noWrap/>
            <w:vAlign w:val="center"/>
            <w:hideMark/>
          </w:tcPr>
          <w:p w14:paraId="0F1CBD19" w14:textId="77777777" w:rsidR="00264F4C" w:rsidRPr="002E1AF6" w:rsidRDefault="00264F4C" w:rsidP="00264F4C">
            <w:pPr>
              <w:jc w:val="center"/>
              <w:rPr>
                <w:rFonts w:ascii="Arial" w:hAnsi="Arial" w:cs="Arial"/>
                <w:b/>
                <w:bCs/>
                <w:color w:val="000000"/>
                <w:sz w:val="18"/>
              </w:rPr>
            </w:pPr>
            <w:r w:rsidRPr="002E1AF6">
              <w:rPr>
                <w:rFonts w:ascii="Arial" w:hAnsi="Arial" w:cs="Arial"/>
                <w:b/>
                <w:bCs/>
                <w:color w:val="000000"/>
                <w:sz w:val="18"/>
              </w:rPr>
              <w:t xml:space="preserve">Cobros </w:t>
            </w:r>
          </w:p>
        </w:tc>
        <w:tc>
          <w:tcPr>
            <w:tcW w:w="1252" w:type="dxa"/>
            <w:tcBorders>
              <w:top w:val="nil"/>
              <w:left w:val="nil"/>
              <w:bottom w:val="single" w:sz="4" w:space="0" w:color="auto"/>
              <w:right w:val="single" w:sz="4" w:space="0" w:color="auto"/>
            </w:tcBorders>
            <w:noWrap/>
            <w:vAlign w:val="center"/>
            <w:hideMark/>
          </w:tcPr>
          <w:p w14:paraId="5C8F20E0" w14:textId="77777777" w:rsidR="00264F4C" w:rsidRPr="002E1AF6" w:rsidRDefault="00264F4C" w:rsidP="00264F4C">
            <w:pPr>
              <w:jc w:val="center"/>
              <w:rPr>
                <w:rFonts w:ascii="Arial" w:hAnsi="Arial" w:cs="Arial"/>
                <w:b/>
                <w:bCs/>
                <w:color w:val="000000"/>
                <w:sz w:val="18"/>
              </w:rPr>
            </w:pPr>
            <w:r w:rsidRPr="002E1AF6">
              <w:rPr>
                <w:rFonts w:ascii="Arial" w:hAnsi="Arial" w:cs="Arial"/>
                <w:b/>
                <w:bCs/>
                <w:color w:val="000000"/>
                <w:sz w:val="18"/>
              </w:rPr>
              <w:t>Pagos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D2570" w14:textId="77777777" w:rsidR="00264F4C" w:rsidRPr="002E1AF6" w:rsidRDefault="00264F4C" w:rsidP="00264F4C">
            <w:pPr>
              <w:rPr>
                <w:rFonts w:ascii="Arial" w:hAnsi="Arial" w:cs="Arial"/>
                <w:b/>
                <w:bCs/>
                <w:color w:val="000000"/>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C22164" w14:textId="77777777" w:rsidR="00264F4C" w:rsidRPr="002E1AF6" w:rsidRDefault="00264F4C" w:rsidP="00264F4C">
            <w:pPr>
              <w:rPr>
                <w:rFonts w:ascii="Arial" w:hAnsi="Arial" w:cs="Arial"/>
                <w:b/>
                <w:bCs/>
                <w:color w:val="000000"/>
                <w:sz w:val="18"/>
              </w:rPr>
            </w:pPr>
          </w:p>
        </w:tc>
      </w:tr>
      <w:tr w:rsidR="00630D18" w:rsidRPr="00264F4C" w14:paraId="297D2979" w14:textId="77777777" w:rsidTr="00264F4C">
        <w:trPr>
          <w:trHeight w:val="18"/>
        </w:trPr>
        <w:tc>
          <w:tcPr>
            <w:tcW w:w="3751" w:type="dxa"/>
            <w:tcBorders>
              <w:top w:val="nil"/>
              <w:left w:val="single" w:sz="4" w:space="0" w:color="auto"/>
              <w:bottom w:val="single" w:sz="4" w:space="0" w:color="auto"/>
              <w:right w:val="single" w:sz="4" w:space="0" w:color="auto"/>
            </w:tcBorders>
            <w:noWrap/>
            <w:vAlign w:val="center"/>
          </w:tcPr>
          <w:p w14:paraId="2B33932D" w14:textId="7DDE02AB" w:rsidR="00630D18" w:rsidRPr="00630D18" w:rsidRDefault="00630D18" w:rsidP="00630D18">
            <w:pPr>
              <w:rPr>
                <w:rFonts w:ascii="Arial" w:hAnsi="Arial" w:cs="Arial"/>
                <w:color w:val="000000"/>
                <w:sz w:val="18"/>
              </w:rPr>
            </w:pPr>
            <w:r w:rsidRPr="00630D18">
              <w:rPr>
                <w:rFonts w:ascii="Arial" w:hAnsi="Arial" w:cs="Arial"/>
                <w:color w:val="000000"/>
                <w:sz w:val="18"/>
              </w:rPr>
              <w:t>Obligaciones negociables emitidas</w:t>
            </w:r>
          </w:p>
        </w:tc>
        <w:tc>
          <w:tcPr>
            <w:tcW w:w="1445" w:type="dxa"/>
            <w:tcBorders>
              <w:top w:val="single" w:sz="4" w:space="0" w:color="auto"/>
              <w:left w:val="single" w:sz="4" w:space="0" w:color="auto"/>
              <w:bottom w:val="single" w:sz="4" w:space="0" w:color="auto"/>
              <w:right w:val="single" w:sz="4" w:space="0" w:color="auto"/>
            </w:tcBorders>
            <w:noWrap/>
            <w:vAlign w:val="center"/>
          </w:tcPr>
          <w:p w14:paraId="74A1E5EF" w14:textId="491951A2" w:rsidR="00630D18" w:rsidRPr="00630D18" w:rsidRDefault="00630D18" w:rsidP="00630D18">
            <w:pPr>
              <w:jc w:val="right"/>
              <w:rPr>
                <w:rFonts w:ascii="Arial" w:hAnsi="Arial" w:cs="Arial"/>
                <w:color w:val="000000"/>
                <w:sz w:val="18"/>
              </w:rPr>
            </w:pPr>
            <w:r w:rsidRPr="00630D18">
              <w:rPr>
                <w:rFonts w:ascii="Arial" w:hAnsi="Arial" w:cs="Arial"/>
                <w:color w:val="000000"/>
                <w:sz w:val="18"/>
              </w:rPr>
              <w:t>6.544.450</w:t>
            </w:r>
          </w:p>
        </w:tc>
        <w:tc>
          <w:tcPr>
            <w:tcW w:w="1059" w:type="dxa"/>
            <w:tcBorders>
              <w:top w:val="single" w:sz="4" w:space="0" w:color="auto"/>
              <w:left w:val="nil"/>
              <w:bottom w:val="single" w:sz="4" w:space="0" w:color="auto"/>
              <w:right w:val="single" w:sz="4" w:space="0" w:color="auto"/>
            </w:tcBorders>
            <w:noWrap/>
            <w:vAlign w:val="center"/>
          </w:tcPr>
          <w:p w14:paraId="01FEF1B2" w14:textId="6B5D82E6" w:rsidR="00630D18" w:rsidRPr="00630D18" w:rsidRDefault="00630D18" w:rsidP="00630D18">
            <w:pPr>
              <w:jc w:val="right"/>
              <w:rPr>
                <w:rFonts w:ascii="Arial" w:hAnsi="Arial" w:cs="Arial"/>
                <w:color w:val="000000"/>
                <w:sz w:val="18"/>
              </w:rPr>
            </w:pPr>
            <w:r w:rsidRPr="00630D18">
              <w:rPr>
                <w:rFonts w:ascii="Arial" w:hAnsi="Arial" w:cs="Arial"/>
                <w:color w:val="000000"/>
                <w:sz w:val="18"/>
              </w:rPr>
              <w:t>2.864.623</w:t>
            </w:r>
          </w:p>
        </w:tc>
        <w:tc>
          <w:tcPr>
            <w:tcW w:w="1252" w:type="dxa"/>
            <w:tcBorders>
              <w:top w:val="single" w:sz="4" w:space="0" w:color="auto"/>
              <w:left w:val="nil"/>
              <w:bottom w:val="single" w:sz="4" w:space="0" w:color="auto"/>
              <w:right w:val="single" w:sz="4" w:space="0" w:color="auto"/>
            </w:tcBorders>
            <w:noWrap/>
            <w:vAlign w:val="center"/>
          </w:tcPr>
          <w:p w14:paraId="2C8AF47C" w14:textId="7D73A398" w:rsidR="00630D18" w:rsidRPr="00630D18" w:rsidRDefault="00630D18" w:rsidP="00630D18">
            <w:pPr>
              <w:jc w:val="right"/>
              <w:rPr>
                <w:rFonts w:ascii="Arial" w:hAnsi="Arial" w:cs="Arial"/>
                <w:color w:val="000000"/>
                <w:sz w:val="18"/>
              </w:rPr>
            </w:pPr>
            <w:r w:rsidRPr="00630D18">
              <w:rPr>
                <w:rFonts w:ascii="Arial" w:hAnsi="Arial" w:cs="Arial"/>
                <w:color w:val="000000"/>
                <w:sz w:val="18"/>
              </w:rPr>
              <w:t>-5.414.848</w:t>
            </w:r>
          </w:p>
        </w:tc>
        <w:tc>
          <w:tcPr>
            <w:tcW w:w="1444" w:type="dxa"/>
            <w:tcBorders>
              <w:top w:val="single" w:sz="4" w:space="0" w:color="auto"/>
              <w:left w:val="nil"/>
              <w:bottom w:val="single" w:sz="4" w:space="0" w:color="auto"/>
              <w:right w:val="single" w:sz="4" w:space="0" w:color="auto"/>
            </w:tcBorders>
            <w:noWrap/>
            <w:vAlign w:val="center"/>
          </w:tcPr>
          <w:p w14:paraId="69D20313" w14:textId="5857E9BD" w:rsidR="00630D18" w:rsidRPr="00630D18" w:rsidRDefault="00630D18" w:rsidP="00630D18">
            <w:pPr>
              <w:jc w:val="right"/>
              <w:rPr>
                <w:rFonts w:ascii="Arial" w:hAnsi="Arial" w:cs="Arial"/>
                <w:color w:val="000000"/>
                <w:sz w:val="18"/>
              </w:rPr>
            </w:pPr>
            <w:r w:rsidRPr="00630D18">
              <w:rPr>
                <w:rFonts w:ascii="Arial" w:hAnsi="Arial" w:cs="Arial"/>
                <w:color w:val="000000"/>
                <w:sz w:val="18"/>
              </w:rPr>
              <w:t>176.334</w:t>
            </w:r>
          </w:p>
        </w:tc>
        <w:tc>
          <w:tcPr>
            <w:tcW w:w="1155" w:type="dxa"/>
            <w:tcBorders>
              <w:top w:val="single" w:sz="4" w:space="0" w:color="auto"/>
              <w:left w:val="nil"/>
              <w:bottom w:val="single" w:sz="4" w:space="0" w:color="auto"/>
              <w:right w:val="single" w:sz="4" w:space="0" w:color="auto"/>
            </w:tcBorders>
            <w:noWrap/>
            <w:vAlign w:val="center"/>
          </w:tcPr>
          <w:p w14:paraId="38CCF26E" w14:textId="3FAEEAAD" w:rsidR="00630D18" w:rsidRPr="00630D18" w:rsidRDefault="00630D18" w:rsidP="00630D18">
            <w:pPr>
              <w:jc w:val="right"/>
              <w:rPr>
                <w:rFonts w:ascii="Arial" w:hAnsi="Arial" w:cs="Arial"/>
                <w:color w:val="000000"/>
                <w:sz w:val="18"/>
              </w:rPr>
            </w:pPr>
            <w:r w:rsidRPr="00630D18">
              <w:rPr>
                <w:rFonts w:ascii="Arial" w:hAnsi="Arial" w:cs="Arial"/>
                <w:color w:val="000000"/>
                <w:sz w:val="18"/>
              </w:rPr>
              <w:t>4.170.559</w:t>
            </w:r>
          </w:p>
        </w:tc>
      </w:tr>
      <w:tr w:rsidR="00264F4C" w:rsidRPr="00264F4C" w14:paraId="73F9F9E6" w14:textId="77777777" w:rsidTr="00264F4C">
        <w:trPr>
          <w:trHeight w:val="18"/>
        </w:trPr>
        <w:tc>
          <w:tcPr>
            <w:tcW w:w="3751" w:type="dxa"/>
            <w:tcBorders>
              <w:top w:val="nil"/>
              <w:left w:val="single" w:sz="4" w:space="0" w:color="auto"/>
              <w:bottom w:val="single" w:sz="4" w:space="0" w:color="auto"/>
              <w:right w:val="single" w:sz="4" w:space="0" w:color="auto"/>
            </w:tcBorders>
            <w:noWrap/>
            <w:vAlign w:val="center"/>
            <w:hideMark/>
          </w:tcPr>
          <w:p w14:paraId="725DC98B" w14:textId="77777777" w:rsidR="00264F4C" w:rsidRPr="002E1AF6" w:rsidRDefault="00264F4C" w:rsidP="00264F4C">
            <w:pPr>
              <w:rPr>
                <w:rFonts w:ascii="Arial" w:hAnsi="Arial" w:cs="Arial"/>
                <w:color w:val="000000"/>
                <w:sz w:val="18"/>
              </w:rPr>
            </w:pPr>
            <w:r w:rsidRPr="002E1AF6">
              <w:rPr>
                <w:rFonts w:ascii="Arial" w:hAnsi="Arial" w:cs="Arial"/>
                <w:color w:val="000000"/>
                <w:sz w:val="18"/>
              </w:rPr>
              <w:t>Obligaciones negociables subordinadas</w:t>
            </w:r>
          </w:p>
        </w:tc>
        <w:tc>
          <w:tcPr>
            <w:tcW w:w="1445" w:type="dxa"/>
            <w:tcBorders>
              <w:top w:val="nil"/>
              <w:left w:val="single" w:sz="4" w:space="0" w:color="auto"/>
              <w:bottom w:val="single" w:sz="4" w:space="0" w:color="auto"/>
              <w:right w:val="single" w:sz="4" w:space="0" w:color="auto"/>
            </w:tcBorders>
            <w:noWrap/>
            <w:vAlign w:val="center"/>
            <w:hideMark/>
          </w:tcPr>
          <w:p w14:paraId="1309C459" w14:textId="6CE3266C" w:rsidR="00264F4C" w:rsidRPr="002E1AF6" w:rsidRDefault="00630D18" w:rsidP="00264F4C">
            <w:pPr>
              <w:jc w:val="right"/>
              <w:rPr>
                <w:rFonts w:ascii="Arial" w:hAnsi="Arial" w:cs="Arial"/>
                <w:color w:val="000000"/>
                <w:sz w:val="18"/>
              </w:rPr>
            </w:pPr>
            <w:r w:rsidRPr="00630D18">
              <w:rPr>
                <w:rFonts w:ascii="Arial" w:hAnsi="Arial" w:cs="Arial"/>
                <w:color w:val="000000"/>
                <w:sz w:val="18"/>
              </w:rPr>
              <w:t>2.285.239</w:t>
            </w:r>
          </w:p>
        </w:tc>
        <w:tc>
          <w:tcPr>
            <w:tcW w:w="1059" w:type="dxa"/>
            <w:tcBorders>
              <w:top w:val="nil"/>
              <w:left w:val="nil"/>
              <w:bottom w:val="single" w:sz="4" w:space="0" w:color="auto"/>
              <w:right w:val="single" w:sz="4" w:space="0" w:color="auto"/>
            </w:tcBorders>
            <w:noWrap/>
            <w:vAlign w:val="center"/>
            <w:hideMark/>
          </w:tcPr>
          <w:p w14:paraId="78BE3EB4" w14:textId="77777777" w:rsidR="00264F4C" w:rsidRPr="002E1AF6" w:rsidRDefault="00264F4C" w:rsidP="00264F4C">
            <w:pPr>
              <w:jc w:val="right"/>
              <w:rPr>
                <w:rFonts w:ascii="Arial" w:hAnsi="Arial" w:cs="Arial"/>
                <w:color w:val="000000"/>
                <w:sz w:val="18"/>
              </w:rPr>
            </w:pPr>
            <w:r w:rsidRPr="002E1AF6">
              <w:rPr>
                <w:rFonts w:ascii="Arial" w:hAnsi="Arial" w:cs="Arial"/>
                <w:color w:val="000000"/>
                <w:sz w:val="18"/>
              </w:rPr>
              <w:t>-</w:t>
            </w:r>
          </w:p>
        </w:tc>
        <w:tc>
          <w:tcPr>
            <w:tcW w:w="1252" w:type="dxa"/>
            <w:tcBorders>
              <w:top w:val="nil"/>
              <w:left w:val="nil"/>
              <w:bottom w:val="single" w:sz="4" w:space="0" w:color="auto"/>
              <w:right w:val="single" w:sz="4" w:space="0" w:color="auto"/>
            </w:tcBorders>
            <w:noWrap/>
            <w:vAlign w:val="center"/>
            <w:hideMark/>
          </w:tcPr>
          <w:p w14:paraId="35787E52" w14:textId="3877C795" w:rsidR="00264F4C" w:rsidRPr="002E1AF6" w:rsidRDefault="00630D18" w:rsidP="00264F4C">
            <w:pPr>
              <w:jc w:val="right"/>
              <w:rPr>
                <w:rFonts w:ascii="Arial" w:hAnsi="Arial" w:cs="Arial"/>
                <w:color w:val="000000"/>
                <w:sz w:val="18"/>
              </w:rPr>
            </w:pPr>
            <w:r w:rsidRPr="00630D18">
              <w:rPr>
                <w:rFonts w:ascii="Arial" w:hAnsi="Arial" w:cs="Arial"/>
                <w:color w:val="000000"/>
                <w:sz w:val="18"/>
              </w:rPr>
              <w:t>-404.880</w:t>
            </w:r>
          </w:p>
        </w:tc>
        <w:tc>
          <w:tcPr>
            <w:tcW w:w="1444" w:type="dxa"/>
            <w:tcBorders>
              <w:top w:val="nil"/>
              <w:left w:val="nil"/>
              <w:bottom w:val="single" w:sz="4" w:space="0" w:color="auto"/>
              <w:right w:val="single" w:sz="4" w:space="0" w:color="auto"/>
            </w:tcBorders>
            <w:noWrap/>
            <w:vAlign w:val="center"/>
            <w:hideMark/>
          </w:tcPr>
          <w:p w14:paraId="6A92DE3D" w14:textId="69285EE2" w:rsidR="00264F4C" w:rsidRPr="002E1AF6" w:rsidRDefault="00630D18" w:rsidP="00264F4C">
            <w:pPr>
              <w:jc w:val="right"/>
              <w:rPr>
                <w:rFonts w:ascii="Arial" w:hAnsi="Arial" w:cs="Arial"/>
                <w:color w:val="000000"/>
                <w:sz w:val="18"/>
              </w:rPr>
            </w:pPr>
            <w:r w:rsidRPr="00630D18">
              <w:rPr>
                <w:rFonts w:ascii="Arial" w:hAnsi="Arial" w:cs="Arial"/>
                <w:color w:val="000000"/>
                <w:sz w:val="18"/>
              </w:rPr>
              <w:t>31.098</w:t>
            </w:r>
          </w:p>
        </w:tc>
        <w:tc>
          <w:tcPr>
            <w:tcW w:w="1155" w:type="dxa"/>
            <w:tcBorders>
              <w:top w:val="nil"/>
              <w:left w:val="nil"/>
              <w:bottom w:val="single" w:sz="4" w:space="0" w:color="auto"/>
              <w:right w:val="single" w:sz="4" w:space="0" w:color="auto"/>
            </w:tcBorders>
            <w:noWrap/>
            <w:vAlign w:val="center"/>
            <w:hideMark/>
          </w:tcPr>
          <w:p w14:paraId="1F64AAD2" w14:textId="77777777" w:rsidR="00264F4C" w:rsidRPr="002E1AF6" w:rsidRDefault="00264F4C" w:rsidP="00264F4C">
            <w:pPr>
              <w:jc w:val="right"/>
              <w:rPr>
                <w:rFonts w:ascii="Arial" w:hAnsi="Arial" w:cs="Arial"/>
                <w:color w:val="000000"/>
                <w:sz w:val="18"/>
              </w:rPr>
            </w:pPr>
            <w:r w:rsidRPr="002E1AF6">
              <w:rPr>
                <w:rFonts w:ascii="Arial" w:hAnsi="Arial" w:cs="Arial"/>
                <w:color w:val="000000"/>
                <w:sz w:val="18"/>
              </w:rPr>
              <w:t>1.911.457</w:t>
            </w:r>
          </w:p>
        </w:tc>
      </w:tr>
      <w:tr w:rsidR="00264F4C" w:rsidRPr="00264F4C" w14:paraId="4A543882" w14:textId="77777777" w:rsidTr="00264F4C">
        <w:trPr>
          <w:trHeight w:val="18"/>
        </w:trPr>
        <w:tc>
          <w:tcPr>
            <w:tcW w:w="3751" w:type="dxa"/>
            <w:tcBorders>
              <w:top w:val="nil"/>
              <w:left w:val="single" w:sz="4" w:space="0" w:color="auto"/>
              <w:bottom w:val="single" w:sz="4" w:space="0" w:color="auto"/>
              <w:right w:val="single" w:sz="4" w:space="0" w:color="auto"/>
            </w:tcBorders>
            <w:noWrap/>
            <w:vAlign w:val="center"/>
            <w:hideMark/>
          </w:tcPr>
          <w:p w14:paraId="57F4F4EC" w14:textId="77777777" w:rsidR="00264F4C" w:rsidRPr="002E1AF6" w:rsidRDefault="00264F4C" w:rsidP="00264F4C">
            <w:pPr>
              <w:rPr>
                <w:rFonts w:ascii="Arial" w:hAnsi="Arial" w:cs="Arial"/>
                <w:color w:val="000000"/>
                <w:sz w:val="18"/>
              </w:rPr>
            </w:pPr>
            <w:r w:rsidRPr="002E1AF6">
              <w:rPr>
                <w:rFonts w:ascii="Arial" w:hAnsi="Arial" w:cs="Arial"/>
                <w:color w:val="000000"/>
                <w:sz w:val="18"/>
              </w:rPr>
              <w:t>Financiaciones recibidas del B.C.R.A. y otras instituciones financieras</w:t>
            </w:r>
          </w:p>
        </w:tc>
        <w:tc>
          <w:tcPr>
            <w:tcW w:w="1445" w:type="dxa"/>
            <w:tcBorders>
              <w:top w:val="nil"/>
              <w:left w:val="single" w:sz="4" w:space="0" w:color="auto"/>
              <w:bottom w:val="single" w:sz="4" w:space="0" w:color="auto"/>
              <w:right w:val="single" w:sz="4" w:space="0" w:color="auto"/>
            </w:tcBorders>
            <w:noWrap/>
            <w:vAlign w:val="center"/>
            <w:hideMark/>
          </w:tcPr>
          <w:p w14:paraId="6B64F20D" w14:textId="1C49577E" w:rsidR="00264F4C" w:rsidRPr="002E1AF6" w:rsidRDefault="00630D18" w:rsidP="00264F4C">
            <w:pPr>
              <w:jc w:val="right"/>
              <w:rPr>
                <w:rFonts w:ascii="Arial" w:hAnsi="Arial" w:cs="Arial"/>
                <w:color w:val="000000"/>
                <w:sz w:val="18"/>
              </w:rPr>
            </w:pPr>
            <w:r w:rsidRPr="00630D18">
              <w:rPr>
                <w:rFonts w:ascii="Arial" w:hAnsi="Arial" w:cs="Arial"/>
                <w:color w:val="000000"/>
                <w:sz w:val="18"/>
              </w:rPr>
              <w:t>9.714.220</w:t>
            </w:r>
          </w:p>
        </w:tc>
        <w:tc>
          <w:tcPr>
            <w:tcW w:w="1059" w:type="dxa"/>
            <w:tcBorders>
              <w:top w:val="nil"/>
              <w:left w:val="nil"/>
              <w:bottom w:val="single" w:sz="4" w:space="0" w:color="auto"/>
              <w:right w:val="single" w:sz="4" w:space="0" w:color="auto"/>
            </w:tcBorders>
            <w:noWrap/>
            <w:vAlign w:val="center"/>
            <w:hideMark/>
          </w:tcPr>
          <w:p w14:paraId="1AA6C147" w14:textId="3C1DD52A" w:rsidR="00264F4C" w:rsidRPr="002E1AF6" w:rsidRDefault="00630D18" w:rsidP="00264F4C">
            <w:pPr>
              <w:jc w:val="right"/>
              <w:rPr>
                <w:rFonts w:ascii="Arial" w:hAnsi="Arial" w:cs="Arial"/>
                <w:color w:val="000000"/>
                <w:sz w:val="18"/>
              </w:rPr>
            </w:pPr>
            <w:r w:rsidRPr="00630D18">
              <w:rPr>
                <w:rFonts w:ascii="Arial" w:hAnsi="Arial" w:cs="Arial"/>
                <w:color w:val="000000"/>
                <w:sz w:val="18"/>
              </w:rPr>
              <w:t>2.784.280</w:t>
            </w:r>
          </w:p>
        </w:tc>
        <w:tc>
          <w:tcPr>
            <w:tcW w:w="1252" w:type="dxa"/>
            <w:tcBorders>
              <w:top w:val="nil"/>
              <w:left w:val="nil"/>
              <w:bottom w:val="single" w:sz="4" w:space="0" w:color="auto"/>
              <w:right w:val="single" w:sz="4" w:space="0" w:color="auto"/>
            </w:tcBorders>
            <w:noWrap/>
            <w:vAlign w:val="center"/>
            <w:hideMark/>
          </w:tcPr>
          <w:p w14:paraId="0A5191A5" w14:textId="7ED19B39" w:rsidR="00264F4C" w:rsidRPr="002E1AF6" w:rsidRDefault="00630D18" w:rsidP="00264F4C">
            <w:pPr>
              <w:jc w:val="right"/>
              <w:rPr>
                <w:rFonts w:ascii="Arial" w:hAnsi="Arial" w:cs="Arial"/>
                <w:color w:val="000000"/>
                <w:sz w:val="18"/>
              </w:rPr>
            </w:pPr>
            <w:r w:rsidRPr="00630D18">
              <w:rPr>
                <w:rFonts w:ascii="Arial" w:hAnsi="Arial" w:cs="Arial"/>
                <w:color w:val="000000"/>
                <w:sz w:val="18"/>
              </w:rPr>
              <w:t>-4.447.494</w:t>
            </w:r>
          </w:p>
        </w:tc>
        <w:tc>
          <w:tcPr>
            <w:tcW w:w="1444" w:type="dxa"/>
            <w:tcBorders>
              <w:top w:val="nil"/>
              <w:left w:val="nil"/>
              <w:bottom w:val="single" w:sz="4" w:space="0" w:color="auto"/>
              <w:right w:val="single" w:sz="4" w:space="0" w:color="auto"/>
            </w:tcBorders>
            <w:noWrap/>
            <w:vAlign w:val="center"/>
            <w:hideMark/>
          </w:tcPr>
          <w:p w14:paraId="764D1A0A" w14:textId="77777777" w:rsidR="00264F4C" w:rsidRPr="002E1AF6" w:rsidRDefault="00264F4C" w:rsidP="00264F4C">
            <w:pPr>
              <w:jc w:val="right"/>
              <w:rPr>
                <w:rFonts w:ascii="Arial" w:hAnsi="Arial" w:cs="Arial"/>
                <w:color w:val="000000"/>
                <w:sz w:val="18"/>
              </w:rPr>
            </w:pPr>
            <w:r w:rsidRPr="002E1AF6">
              <w:rPr>
                <w:rFonts w:ascii="Arial" w:hAnsi="Arial" w:cs="Arial"/>
                <w:color w:val="000000"/>
                <w:sz w:val="18"/>
              </w:rPr>
              <w:t>-</w:t>
            </w:r>
          </w:p>
        </w:tc>
        <w:tc>
          <w:tcPr>
            <w:tcW w:w="1155" w:type="dxa"/>
            <w:tcBorders>
              <w:top w:val="nil"/>
              <w:left w:val="nil"/>
              <w:bottom w:val="single" w:sz="4" w:space="0" w:color="auto"/>
              <w:right w:val="single" w:sz="4" w:space="0" w:color="auto"/>
            </w:tcBorders>
            <w:noWrap/>
            <w:vAlign w:val="center"/>
            <w:hideMark/>
          </w:tcPr>
          <w:p w14:paraId="06ECED32" w14:textId="3DB9A52E" w:rsidR="00264F4C" w:rsidRPr="002E1AF6" w:rsidRDefault="00630D18" w:rsidP="00264F4C">
            <w:pPr>
              <w:jc w:val="right"/>
              <w:rPr>
                <w:rFonts w:ascii="Arial" w:hAnsi="Arial" w:cs="Arial"/>
                <w:color w:val="000000"/>
                <w:sz w:val="18"/>
              </w:rPr>
            </w:pPr>
            <w:r w:rsidRPr="00630D18">
              <w:rPr>
                <w:rFonts w:ascii="Arial" w:hAnsi="Arial" w:cs="Arial"/>
                <w:color w:val="000000"/>
                <w:sz w:val="18"/>
              </w:rPr>
              <w:t>8.051.006</w:t>
            </w:r>
          </w:p>
        </w:tc>
      </w:tr>
      <w:tr w:rsidR="00264F4C" w:rsidRPr="00264F4C" w14:paraId="17117179" w14:textId="77777777" w:rsidTr="00264F4C">
        <w:trPr>
          <w:trHeight w:val="18"/>
        </w:trPr>
        <w:tc>
          <w:tcPr>
            <w:tcW w:w="3751" w:type="dxa"/>
            <w:tcBorders>
              <w:top w:val="nil"/>
              <w:left w:val="single" w:sz="4" w:space="0" w:color="auto"/>
              <w:bottom w:val="single" w:sz="4" w:space="0" w:color="auto"/>
              <w:right w:val="single" w:sz="4" w:space="0" w:color="auto"/>
            </w:tcBorders>
            <w:noWrap/>
            <w:vAlign w:val="center"/>
            <w:hideMark/>
          </w:tcPr>
          <w:p w14:paraId="1C08A68D" w14:textId="77777777" w:rsidR="00264F4C" w:rsidRPr="002E1AF6" w:rsidRDefault="00264F4C" w:rsidP="00264F4C">
            <w:pPr>
              <w:rPr>
                <w:rFonts w:ascii="Arial" w:hAnsi="Arial" w:cs="Arial"/>
                <w:color w:val="000000"/>
                <w:sz w:val="18"/>
              </w:rPr>
            </w:pPr>
            <w:r w:rsidRPr="002E1AF6">
              <w:rPr>
                <w:rFonts w:ascii="Arial" w:hAnsi="Arial" w:cs="Arial"/>
                <w:color w:val="000000"/>
                <w:sz w:val="18"/>
              </w:rPr>
              <w:t>Pasivo por arrendamientos Financieros</w:t>
            </w:r>
          </w:p>
        </w:tc>
        <w:tc>
          <w:tcPr>
            <w:tcW w:w="1445" w:type="dxa"/>
            <w:tcBorders>
              <w:top w:val="nil"/>
              <w:left w:val="single" w:sz="4" w:space="0" w:color="auto"/>
              <w:bottom w:val="single" w:sz="4" w:space="0" w:color="auto"/>
              <w:right w:val="single" w:sz="4" w:space="0" w:color="auto"/>
            </w:tcBorders>
            <w:noWrap/>
            <w:vAlign w:val="center"/>
            <w:hideMark/>
          </w:tcPr>
          <w:p w14:paraId="12EA221A" w14:textId="77777777" w:rsidR="00264F4C" w:rsidRPr="002E1AF6" w:rsidRDefault="00264F4C" w:rsidP="00264F4C">
            <w:pPr>
              <w:jc w:val="right"/>
              <w:rPr>
                <w:rFonts w:ascii="Arial" w:hAnsi="Arial" w:cs="Arial"/>
                <w:color w:val="000000"/>
                <w:sz w:val="18"/>
              </w:rPr>
            </w:pPr>
            <w:r w:rsidRPr="002E1AF6">
              <w:rPr>
                <w:rFonts w:ascii="Arial" w:hAnsi="Arial" w:cs="Arial"/>
                <w:color w:val="000000"/>
                <w:sz w:val="18"/>
              </w:rPr>
              <w:t>1.020.203</w:t>
            </w:r>
          </w:p>
        </w:tc>
        <w:tc>
          <w:tcPr>
            <w:tcW w:w="1059" w:type="dxa"/>
            <w:tcBorders>
              <w:top w:val="nil"/>
              <w:left w:val="nil"/>
              <w:bottom w:val="single" w:sz="4" w:space="0" w:color="auto"/>
              <w:right w:val="single" w:sz="4" w:space="0" w:color="auto"/>
            </w:tcBorders>
            <w:noWrap/>
            <w:vAlign w:val="center"/>
            <w:hideMark/>
          </w:tcPr>
          <w:p w14:paraId="3B2AFFBC" w14:textId="77777777" w:rsidR="00264F4C" w:rsidRPr="002E1AF6" w:rsidRDefault="00264F4C" w:rsidP="00264F4C">
            <w:pPr>
              <w:jc w:val="right"/>
              <w:rPr>
                <w:rFonts w:ascii="Arial" w:hAnsi="Arial" w:cs="Arial"/>
                <w:color w:val="000000"/>
                <w:sz w:val="18"/>
              </w:rPr>
            </w:pPr>
            <w:r w:rsidRPr="002E1AF6">
              <w:rPr>
                <w:rFonts w:ascii="Arial" w:hAnsi="Arial" w:cs="Arial"/>
                <w:color w:val="000000"/>
                <w:sz w:val="18"/>
              </w:rPr>
              <w:t>-</w:t>
            </w:r>
          </w:p>
        </w:tc>
        <w:tc>
          <w:tcPr>
            <w:tcW w:w="1252" w:type="dxa"/>
            <w:tcBorders>
              <w:top w:val="nil"/>
              <w:left w:val="nil"/>
              <w:bottom w:val="single" w:sz="4" w:space="0" w:color="auto"/>
              <w:right w:val="single" w:sz="4" w:space="0" w:color="auto"/>
            </w:tcBorders>
            <w:noWrap/>
            <w:vAlign w:val="center"/>
            <w:hideMark/>
          </w:tcPr>
          <w:p w14:paraId="7BA1A34A" w14:textId="5E6107D1" w:rsidR="00264F4C" w:rsidRPr="002E1AF6" w:rsidRDefault="00630D18" w:rsidP="00264F4C">
            <w:pPr>
              <w:jc w:val="right"/>
              <w:rPr>
                <w:rFonts w:ascii="Arial" w:hAnsi="Arial" w:cs="Arial"/>
                <w:color w:val="000000"/>
                <w:sz w:val="18"/>
              </w:rPr>
            </w:pPr>
            <w:r w:rsidRPr="002E1AF6">
              <w:rPr>
                <w:rFonts w:ascii="Arial" w:hAnsi="Arial" w:cs="Arial"/>
                <w:color w:val="000000"/>
                <w:sz w:val="18"/>
              </w:rPr>
              <w:t>-</w:t>
            </w:r>
            <w:r w:rsidR="00264F4C" w:rsidRPr="002E1AF6">
              <w:rPr>
                <w:rFonts w:ascii="Arial" w:hAnsi="Arial" w:cs="Arial"/>
                <w:color w:val="000000"/>
                <w:sz w:val="18"/>
              </w:rPr>
              <w:t>355.890</w:t>
            </w:r>
          </w:p>
        </w:tc>
        <w:tc>
          <w:tcPr>
            <w:tcW w:w="1444" w:type="dxa"/>
            <w:tcBorders>
              <w:top w:val="nil"/>
              <w:left w:val="nil"/>
              <w:bottom w:val="single" w:sz="4" w:space="0" w:color="auto"/>
              <w:right w:val="single" w:sz="4" w:space="0" w:color="auto"/>
            </w:tcBorders>
            <w:noWrap/>
            <w:vAlign w:val="center"/>
            <w:hideMark/>
          </w:tcPr>
          <w:p w14:paraId="03023F7A" w14:textId="77777777" w:rsidR="00264F4C" w:rsidRPr="002E1AF6" w:rsidRDefault="00264F4C" w:rsidP="00264F4C">
            <w:pPr>
              <w:jc w:val="right"/>
              <w:rPr>
                <w:rFonts w:ascii="Arial" w:hAnsi="Arial" w:cs="Arial"/>
                <w:color w:val="000000"/>
                <w:sz w:val="18"/>
              </w:rPr>
            </w:pPr>
            <w:r w:rsidRPr="002E1AF6">
              <w:rPr>
                <w:rFonts w:ascii="Arial" w:hAnsi="Arial" w:cs="Arial"/>
                <w:color w:val="000000"/>
                <w:sz w:val="18"/>
              </w:rPr>
              <w:t>246.958</w:t>
            </w:r>
          </w:p>
        </w:tc>
        <w:tc>
          <w:tcPr>
            <w:tcW w:w="1155" w:type="dxa"/>
            <w:tcBorders>
              <w:top w:val="nil"/>
              <w:left w:val="nil"/>
              <w:bottom w:val="single" w:sz="4" w:space="0" w:color="auto"/>
              <w:right w:val="single" w:sz="4" w:space="0" w:color="auto"/>
            </w:tcBorders>
            <w:noWrap/>
            <w:vAlign w:val="center"/>
            <w:hideMark/>
          </w:tcPr>
          <w:p w14:paraId="0849ECE3" w14:textId="77777777" w:rsidR="00264F4C" w:rsidRPr="002E1AF6" w:rsidRDefault="00264F4C" w:rsidP="00264F4C">
            <w:pPr>
              <w:jc w:val="right"/>
              <w:rPr>
                <w:rFonts w:ascii="Arial" w:hAnsi="Arial" w:cs="Arial"/>
                <w:color w:val="000000"/>
                <w:sz w:val="18"/>
              </w:rPr>
            </w:pPr>
            <w:r w:rsidRPr="002E1AF6">
              <w:rPr>
                <w:rFonts w:ascii="Arial" w:hAnsi="Arial" w:cs="Arial"/>
                <w:color w:val="000000"/>
                <w:sz w:val="18"/>
              </w:rPr>
              <w:t>911.271</w:t>
            </w:r>
          </w:p>
        </w:tc>
      </w:tr>
      <w:tr w:rsidR="00264F4C" w:rsidRPr="00264F4C" w14:paraId="3AD38C94" w14:textId="77777777" w:rsidTr="002E1AF6">
        <w:trPr>
          <w:trHeight w:val="18"/>
        </w:trPr>
        <w:tc>
          <w:tcPr>
            <w:tcW w:w="3751" w:type="dxa"/>
            <w:tcBorders>
              <w:top w:val="nil"/>
              <w:left w:val="single" w:sz="4" w:space="0" w:color="auto"/>
              <w:bottom w:val="single" w:sz="4" w:space="0" w:color="auto"/>
              <w:right w:val="single" w:sz="4" w:space="0" w:color="auto"/>
            </w:tcBorders>
            <w:noWrap/>
            <w:vAlign w:val="bottom"/>
            <w:hideMark/>
          </w:tcPr>
          <w:p w14:paraId="133AF17D" w14:textId="77777777" w:rsidR="00264F4C" w:rsidRPr="002E1AF6" w:rsidRDefault="00264F4C" w:rsidP="00264F4C">
            <w:pPr>
              <w:rPr>
                <w:rFonts w:ascii="Arial" w:hAnsi="Arial" w:cs="Arial"/>
                <w:color w:val="000000"/>
                <w:sz w:val="18"/>
              </w:rPr>
            </w:pPr>
            <w:r w:rsidRPr="002E1AF6">
              <w:rPr>
                <w:rFonts w:ascii="Arial" w:hAnsi="Arial" w:cs="Arial"/>
                <w:color w:val="000000"/>
                <w:sz w:val="18"/>
              </w:rPr>
              <w:t> </w:t>
            </w:r>
          </w:p>
        </w:tc>
        <w:tc>
          <w:tcPr>
            <w:tcW w:w="1445" w:type="dxa"/>
            <w:tcBorders>
              <w:top w:val="nil"/>
              <w:left w:val="single" w:sz="4" w:space="0" w:color="auto"/>
              <w:bottom w:val="single" w:sz="4" w:space="0" w:color="auto"/>
              <w:right w:val="single" w:sz="4" w:space="0" w:color="auto"/>
            </w:tcBorders>
            <w:noWrap/>
            <w:vAlign w:val="center"/>
            <w:hideMark/>
          </w:tcPr>
          <w:p w14:paraId="574EF807" w14:textId="0A367DD0" w:rsidR="00264F4C" w:rsidRPr="002E1AF6" w:rsidRDefault="00F61AAF" w:rsidP="00264F4C">
            <w:pPr>
              <w:jc w:val="right"/>
              <w:rPr>
                <w:rFonts w:ascii="Arial" w:hAnsi="Arial" w:cs="Arial"/>
                <w:b/>
                <w:bCs/>
                <w:color w:val="000000"/>
                <w:sz w:val="18"/>
              </w:rPr>
            </w:pPr>
            <w:r w:rsidRPr="00F61AAF">
              <w:rPr>
                <w:rFonts w:ascii="Arial" w:hAnsi="Arial" w:cs="Arial"/>
                <w:b/>
                <w:color w:val="000000"/>
                <w:sz w:val="18"/>
              </w:rPr>
              <w:t>19.564.11</w:t>
            </w:r>
            <w:r w:rsidR="00FD5125">
              <w:rPr>
                <w:rFonts w:ascii="Arial" w:hAnsi="Arial" w:cs="Arial"/>
                <w:b/>
                <w:color w:val="000000"/>
                <w:sz w:val="18"/>
              </w:rPr>
              <w:t>2</w:t>
            </w:r>
          </w:p>
        </w:tc>
        <w:tc>
          <w:tcPr>
            <w:tcW w:w="1059" w:type="dxa"/>
            <w:tcBorders>
              <w:top w:val="nil"/>
              <w:left w:val="nil"/>
              <w:bottom w:val="single" w:sz="4" w:space="0" w:color="auto"/>
              <w:right w:val="single" w:sz="4" w:space="0" w:color="auto"/>
            </w:tcBorders>
            <w:noWrap/>
            <w:vAlign w:val="center"/>
            <w:hideMark/>
          </w:tcPr>
          <w:p w14:paraId="0B8DFBCD" w14:textId="6CD2E2F3" w:rsidR="00264F4C" w:rsidRPr="002E1AF6" w:rsidRDefault="00630D18" w:rsidP="00264F4C">
            <w:pPr>
              <w:jc w:val="right"/>
              <w:rPr>
                <w:rFonts w:ascii="Arial" w:hAnsi="Arial" w:cs="Arial"/>
                <w:b/>
                <w:bCs/>
                <w:color w:val="000000"/>
                <w:sz w:val="18"/>
              </w:rPr>
            </w:pPr>
            <w:r w:rsidRPr="00630D18">
              <w:rPr>
                <w:rFonts w:ascii="Arial" w:hAnsi="Arial" w:cs="Arial"/>
                <w:b/>
                <w:color w:val="000000"/>
                <w:sz w:val="18"/>
              </w:rPr>
              <w:t>5.648.903</w:t>
            </w:r>
          </w:p>
        </w:tc>
        <w:tc>
          <w:tcPr>
            <w:tcW w:w="1252" w:type="dxa"/>
            <w:tcBorders>
              <w:top w:val="nil"/>
              <w:left w:val="nil"/>
              <w:bottom w:val="single" w:sz="4" w:space="0" w:color="auto"/>
              <w:right w:val="single" w:sz="4" w:space="0" w:color="auto"/>
            </w:tcBorders>
            <w:noWrap/>
            <w:vAlign w:val="center"/>
          </w:tcPr>
          <w:p w14:paraId="61019BC5" w14:textId="46724E7A" w:rsidR="00264F4C" w:rsidRPr="002E1AF6" w:rsidRDefault="00630D18">
            <w:pPr>
              <w:jc w:val="right"/>
              <w:rPr>
                <w:rFonts w:ascii="Arial" w:hAnsi="Arial" w:cs="Arial"/>
                <w:b/>
                <w:bCs/>
                <w:sz w:val="18"/>
                <w:szCs w:val="18"/>
                <w:lang w:eastAsia="es-AR"/>
              </w:rPr>
            </w:pPr>
            <w:r w:rsidRPr="00630D18">
              <w:rPr>
                <w:rFonts w:ascii="Arial" w:hAnsi="Arial" w:cs="Arial"/>
                <w:b/>
                <w:bCs/>
                <w:sz w:val="18"/>
                <w:szCs w:val="18"/>
              </w:rPr>
              <w:t xml:space="preserve">  -10.623.112 </w:t>
            </w:r>
          </w:p>
        </w:tc>
        <w:tc>
          <w:tcPr>
            <w:tcW w:w="1444" w:type="dxa"/>
            <w:tcBorders>
              <w:top w:val="nil"/>
              <w:left w:val="nil"/>
              <w:bottom w:val="single" w:sz="4" w:space="0" w:color="auto"/>
              <w:right w:val="single" w:sz="4" w:space="0" w:color="auto"/>
            </w:tcBorders>
            <w:noWrap/>
            <w:vAlign w:val="center"/>
            <w:hideMark/>
          </w:tcPr>
          <w:p w14:paraId="15C1CC88" w14:textId="67854CD5" w:rsidR="00264F4C" w:rsidRPr="002E1AF6" w:rsidRDefault="00FD5125" w:rsidP="00264F4C">
            <w:pPr>
              <w:jc w:val="right"/>
              <w:rPr>
                <w:rFonts w:ascii="Arial" w:hAnsi="Arial" w:cs="Arial"/>
                <w:b/>
                <w:bCs/>
                <w:color w:val="000000"/>
                <w:sz w:val="18"/>
              </w:rPr>
            </w:pPr>
            <w:r w:rsidRPr="00FD5125">
              <w:rPr>
                <w:rFonts w:ascii="Arial" w:hAnsi="Arial" w:cs="Arial"/>
                <w:b/>
                <w:color w:val="000000"/>
                <w:sz w:val="18"/>
              </w:rPr>
              <w:t>454.390</w:t>
            </w:r>
          </w:p>
        </w:tc>
        <w:tc>
          <w:tcPr>
            <w:tcW w:w="1155" w:type="dxa"/>
            <w:tcBorders>
              <w:top w:val="nil"/>
              <w:left w:val="nil"/>
              <w:bottom w:val="single" w:sz="4" w:space="0" w:color="auto"/>
              <w:right w:val="single" w:sz="4" w:space="0" w:color="auto"/>
            </w:tcBorders>
            <w:noWrap/>
            <w:vAlign w:val="center"/>
            <w:hideMark/>
          </w:tcPr>
          <w:p w14:paraId="46D02977" w14:textId="7FE17106" w:rsidR="00264F4C" w:rsidRPr="002E1AF6" w:rsidRDefault="00F61AAF" w:rsidP="00264F4C">
            <w:pPr>
              <w:jc w:val="right"/>
              <w:rPr>
                <w:rFonts w:ascii="Arial" w:hAnsi="Arial" w:cs="Arial"/>
                <w:b/>
                <w:bCs/>
                <w:color w:val="000000"/>
                <w:sz w:val="18"/>
              </w:rPr>
            </w:pPr>
            <w:r w:rsidRPr="00F61AAF">
              <w:rPr>
                <w:rFonts w:ascii="Arial" w:hAnsi="Arial" w:cs="Arial"/>
                <w:b/>
                <w:color w:val="000000"/>
                <w:sz w:val="18"/>
              </w:rPr>
              <w:t>15.044.29</w:t>
            </w:r>
            <w:r w:rsidR="00FD5125">
              <w:rPr>
                <w:rFonts w:ascii="Arial" w:hAnsi="Arial" w:cs="Arial"/>
                <w:b/>
                <w:color w:val="000000"/>
                <w:sz w:val="18"/>
              </w:rPr>
              <w:t>3</w:t>
            </w:r>
          </w:p>
        </w:tc>
      </w:tr>
      <w:bookmarkEnd w:id="45"/>
    </w:tbl>
    <w:p w14:paraId="7836D10A" w14:textId="77777777" w:rsidR="00264F4C" w:rsidRPr="002B0C3E" w:rsidRDefault="00264F4C" w:rsidP="00656E62">
      <w:pPr>
        <w:jc w:val="both"/>
        <w:rPr>
          <w:rFonts w:ascii="Arial" w:eastAsia="Arial" w:hAnsi="Arial" w:cs="Arial"/>
          <w:sz w:val="20"/>
        </w:rPr>
      </w:pPr>
    </w:p>
    <w:p w14:paraId="3B52D687" w14:textId="77777777" w:rsidR="00A9678C" w:rsidRPr="00701F32" w:rsidRDefault="00A9678C" w:rsidP="00656E62">
      <w:pPr>
        <w:jc w:val="both"/>
        <w:rPr>
          <w:rFonts w:ascii="Arial" w:eastAsia="Arial" w:hAnsi="Arial" w:cs="Arial"/>
          <w:sz w:val="20"/>
        </w:rPr>
      </w:pPr>
    </w:p>
    <w:p w14:paraId="6D261F35" w14:textId="18809105" w:rsidR="00656E62" w:rsidRPr="00701F32" w:rsidRDefault="000924A1" w:rsidP="00656E62">
      <w:pPr>
        <w:keepNext/>
        <w:keepLines/>
        <w:spacing w:before="40" w:line="259" w:lineRule="auto"/>
        <w:ind w:left="720" w:hanging="720"/>
        <w:jc w:val="both"/>
        <w:outlineLvl w:val="1"/>
        <w:rPr>
          <w:rFonts w:ascii="Arial" w:hAnsi="Arial" w:cs="Arial"/>
          <w:b/>
          <w:sz w:val="20"/>
        </w:rPr>
      </w:pPr>
      <w:r>
        <w:rPr>
          <w:rFonts w:ascii="Arial" w:hAnsi="Arial" w:cs="Arial"/>
          <w:b/>
          <w:sz w:val="20"/>
        </w:rPr>
        <w:t>2</w:t>
      </w:r>
      <w:r w:rsidR="00656E62" w:rsidRPr="00701F32">
        <w:rPr>
          <w:rFonts w:ascii="Arial" w:hAnsi="Arial" w:cs="Arial"/>
          <w:b/>
          <w:sz w:val="20"/>
        </w:rPr>
        <w:t xml:space="preserve">. POLÍTICAS Y ESTIMACIONES CONTABLES CRÍTICAS </w:t>
      </w:r>
    </w:p>
    <w:p w14:paraId="6A881908" w14:textId="77777777" w:rsidR="00656E62" w:rsidRPr="00701F32" w:rsidRDefault="00656E62" w:rsidP="00656E62">
      <w:pPr>
        <w:autoSpaceDE w:val="0"/>
        <w:autoSpaceDN w:val="0"/>
        <w:adjustRightInd w:val="0"/>
        <w:jc w:val="both"/>
        <w:rPr>
          <w:rFonts w:ascii="Arial" w:eastAsia="Calibri" w:hAnsi="Arial" w:cs="Arial"/>
          <w:noProof/>
          <w:sz w:val="20"/>
        </w:rPr>
      </w:pPr>
    </w:p>
    <w:p w14:paraId="593103A6" w14:textId="77777777" w:rsidR="002B0C3E" w:rsidRPr="007E4E18" w:rsidRDefault="002B0C3E" w:rsidP="002B0C3E">
      <w:pPr>
        <w:pStyle w:val="Default"/>
        <w:jc w:val="both"/>
        <w:rPr>
          <w:bCs/>
          <w:color w:val="auto"/>
          <w:sz w:val="20"/>
          <w:szCs w:val="20"/>
        </w:rPr>
      </w:pPr>
      <w:r w:rsidRPr="007E4E18">
        <w:rPr>
          <w:bCs/>
          <w:color w:val="auto"/>
          <w:sz w:val="20"/>
          <w:szCs w:val="20"/>
        </w:rPr>
        <w:t>La preparación de estados financieros condensados intermedios de conformidad con el marco contable establecido por el BCRA requiere el uso de ciertas estimaciones contables críticas. También requiere que la Gerencia ejerza su juicio en el proceso de aplicación de las normas contables establecidas por el BCRA para establecer las políticas contables de la Entidad.</w:t>
      </w:r>
    </w:p>
    <w:p w14:paraId="4865D4BD" w14:textId="77777777" w:rsidR="002B0C3E" w:rsidRDefault="002B0C3E" w:rsidP="002B0C3E">
      <w:pPr>
        <w:pStyle w:val="Default"/>
        <w:jc w:val="both"/>
        <w:rPr>
          <w:bCs/>
          <w:color w:val="auto"/>
          <w:sz w:val="20"/>
          <w:szCs w:val="20"/>
        </w:rPr>
      </w:pPr>
    </w:p>
    <w:p w14:paraId="059F43E9" w14:textId="77777777" w:rsidR="002B0C3E" w:rsidRPr="007E4E18" w:rsidRDefault="002B0C3E" w:rsidP="002B0C3E">
      <w:pPr>
        <w:pStyle w:val="Default"/>
        <w:jc w:val="both"/>
        <w:rPr>
          <w:bCs/>
          <w:color w:val="auto"/>
          <w:sz w:val="20"/>
          <w:szCs w:val="20"/>
        </w:rPr>
      </w:pPr>
      <w:r w:rsidRPr="007E4E18">
        <w:rPr>
          <w:bCs/>
          <w:color w:val="auto"/>
          <w:sz w:val="20"/>
          <w:szCs w:val="20"/>
        </w:rPr>
        <w:t>La Entidad ha identificado las siguientes áreas que implican un mayor grado de juicio o complejidad, o áreas en las que los supuestos y estimaciones son significativos para los estados financieros condensados intermedios que son esenciales para la comprensión de los riesgos informativos contables / financieros subyacentes:</w:t>
      </w:r>
    </w:p>
    <w:p w14:paraId="49FCEEAD" w14:textId="77777777" w:rsidR="002B0C3E" w:rsidRPr="007E4E18" w:rsidRDefault="002B0C3E" w:rsidP="002B0C3E">
      <w:pPr>
        <w:pStyle w:val="Default"/>
        <w:jc w:val="both"/>
        <w:rPr>
          <w:noProof/>
          <w:sz w:val="20"/>
          <w:szCs w:val="20"/>
        </w:rPr>
      </w:pPr>
    </w:p>
    <w:p w14:paraId="075D430F" w14:textId="46A39134" w:rsidR="002B0C3E" w:rsidRPr="002E1AF6" w:rsidRDefault="002B0C3E" w:rsidP="002E1AF6">
      <w:pPr>
        <w:pStyle w:val="ListParagraph"/>
        <w:numPr>
          <w:ilvl w:val="0"/>
          <w:numId w:val="58"/>
        </w:numPr>
        <w:contextualSpacing/>
        <w:jc w:val="both"/>
        <w:rPr>
          <w:rFonts w:ascii="Arial" w:hAnsi="Arial" w:cs="Arial"/>
          <w:b/>
          <w:sz w:val="20"/>
        </w:rPr>
      </w:pPr>
      <w:r w:rsidRPr="002E1AF6">
        <w:rPr>
          <w:rFonts w:ascii="Arial" w:hAnsi="Arial" w:cs="Arial"/>
          <w:b/>
          <w:sz w:val="20"/>
        </w:rPr>
        <w:t>Valor razonable de derivados y otros instrumentos financieros</w:t>
      </w:r>
    </w:p>
    <w:p w14:paraId="1FE2529E" w14:textId="77777777" w:rsidR="002B0C3E" w:rsidRPr="007E4E18" w:rsidRDefault="002B0C3E" w:rsidP="002B0C3E">
      <w:pPr>
        <w:pStyle w:val="HTMLPreformatted"/>
        <w:shd w:val="clear" w:color="auto" w:fill="FFFFFF"/>
        <w:jc w:val="both"/>
        <w:rPr>
          <w:rFonts w:ascii="Arial" w:hAnsi="Arial" w:cs="Arial"/>
        </w:rPr>
      </w:pPr>
    </w:p>
    <w:p w14:paraId="54773037" w14:textId="77777777" w:rsidR="00264F4C" w:rsidRPr="00BA7A6B" w:rsidRDefault="00264F4C" w:rsidP="00264F4C">
      <w:pPr>
        <w:tabs>
          <w:tab w:val="left" w:pos="708"/>
        </w:tabs>
        <w:jc w:val="both"/>
        <w:rPr>
          <w:rFonts w:ascii="Arial" w:hAnsi="Arial" w:cs="Arial"/>
          <w:sz w:val="20"/>
        </w:rPr>
      </w:pPr>
      <w:r w:rsidRPr="00BA7A6B">
        <w:rPr>
          <w:rFonts w:ascii="Arial" w:hAnsi="Arial" w:cs="Arial"/>
          <w:sz w:val="20"/>
        </w:rPr>
        <w:t>El valor razonable de los instrumentos financieros que no se cotizan en los mercados activos son determinados usando técnicas de valuación. Dichas técnicas, son validadas y revisadas periódicamente por personal calificado independiente del área que las creó. Todos los modelos son evaluados y ajustados antes de ser usados, para asegurar que los resultados reflejen la información actual y precios comparativos del mercado. En lo posible, los modelos usan solamente información observable; sin embargo, factores como riesgo de crédito (propio y de la contraparte), volatilidades y correlaciones requieren de la utilización de estimaciones. Los cambios en los supuestos acerca de estos factores pueden afectar el valor razonable reportado de los instrumentos financieros.</w:t>
      </w:r>
    </w:p>
    <w:p w14:paraId="2FCF8C46" w14:textId="77777777" w:rsidR="002B0C3E" w:rsidRPr="007E4E18" w:rsidRDefault="002B0C3E" w:rsidP="002B0C3E">
      <w:pPr>
        <w:tabs>
          <w:tab w:val="left" w:pos="708"/>
        </w:tabs>
        <w:jc w:val="both"/>
        <w:rPr>
          <w:rFonts w:ascii="Arial" w:hAnsi="Arial" w:cs="Arial"/>
          <w:sz w:val="20"/>
        </w:rPr>
      </w:pPr>
    </w:p>
    <w:p w14:paraId="48452CC0" w14:textId="77777777" w:rsidR="002B0C3E" w:rsidRPr="007E4E18" w:rsidRDefault="002B0C3E" w:rsidP="002E1AF6">
      <w:pPr>
        <w:pStyle w:val="ListParagraph"/>
        <w:numPr>
          <w:ilvl w:val="0"/>
          <w:numId w:val="58"/>
        </w:numPr>
        <w:contextualSpacing/>
        <w:jc w:val="both"/>
        <w:rPr>
          <w:rFonts w:ascii="Arial" w:hAnsi="Arial" w:cs="Arial"/>
          <w:b/>
          <w:sz w:val="20"/>
        </w:rPr>
      </w:pPr>
      <w:r w:rsidRPr="007E4E18">
        <w:rPr>
          <w:rFonts w:ascii="Arial" w:hAnsi="Arial" w:cs="Arial"/>
          <w:b/>
          <w:sz w:val="20"/>
        </w:rPr>
        <w:t>Pérdidas por deterioro de préstamos y anticipos</w:t>
      </w:r>
    </w:p>
    <w:p w14:paraId="20D29AFE" w14:textId="77777777" w:rsidR="002B0C3E" w:rsidRPr="007E4E18" w:rsidRDefault="002B0C3E" w:rsidP="002B0C3E">
      <w:pPr>
        <w:pStyle w:val="HTMLPreformatted"/>
        <w:shd w:val="clear" w:color="auto" w:fill="FFFFFF"/>
        <w:jc w:val="both"/>
        <w:rPr>
          <w:rFonts w:ascii="Arial" w:hAnsi="Arial" w:cs="Arial"/>
          <w:color w:val="212121"/>
        </w:rPr>
      </w:pPr>
    </w:p>
    <w:p w14:paraId="305D08D8" w14:textId="496929AA" w:rsidR="00264F4C" w:rsidRPr="00642813" w:rsidRDefault="00264F4C" w:rsidP="00264F4C">
      <w:pPr>
        <w:pStyle w:val="HTMLPreformatted"/>
        <w:shd w:val="clear" w:color="auto" w:fill="FFFFFF"/>
        <w:jc w:val="both"/>
        <w:rPr>
          <w:rFonts w:ascii="Arial" w:hAnsi="Arial" w:cs="Arial"/>
        </w:rPr>
      </w:pPr>
      <w:r w:rsidRPr="00642813">
        <w:rPr>
          <w:rFonts w:ascii="Arial" w:hAnsi="Arial" w:cs="Arial"/>
        </w:rPr>
        <w:t xml:space="preserve">A partir del 1 de enero de 2020 el Banco adoptó de forma retroactiva al 1 de enero de 2019, con el alcance mencionado n la Nota 1.4.(a).,el punto 5.5. de la NIIF 9 referida al deterioro de valor de activos financieros. En este sentido, el </w:t>
      </w:r>
      <w:r w:rsidR="00A3402F">
        <w:rPr>
          <w:rFonts w:ascii="Arial" w:hAnsi="Arial" w:cs="Arial"/>
        </w:rPr>
        <w:t>Banco</w:t>
      </w:r>
      <w:r w:rsidR="00A3402F" w:rsidRPr="00642813">
        <w:rPr>
          <w:rFonts w:ascii="Arial" w:hAnsi="Arial" w:cs="Arial"/>
        </w:rPr>
        <w:t xml:space="preserve"> </w:t>
      </w:r>
      <w:r w:rsidRPr="00642813">
        <w:rPr>
          <w:rFonts w:ascii="Arial" w:hAnsi="Arial" w:cs="Arial"/>
        </w:rPr>
        <w:t xml:space="preserve">evalúa las pérdidas crediticias esperadas (PCE) sobre una base prospectiva del riesgo de crédito asociadas con los activos financieros medidos a costo amortizado, a los instrumentos de deuda medidos a valor razonable con cambios en otro resultado integral, a cuentas por cobrar por arrendamientos, así como a los compromisos y </w:t>
      </w:r>
      <w:r w:rsidRPr="00642813">
        <w:rPr>
          <w:rFonts w:ascii="Arial" w:hAnsi="Arial" w:cs="Arial"/>
        </w:rPr>
        <w:lastRenderedPageBreak/>
        <w:t>garantías otorgadas no medidas a valor razonable con excepción  de los instrumentos de deuda del Sector Público no Financiero que transitoriamente quedan excluidos de las disposiciones de en materia de deterioro de activos financieros, contenidas en el punto 5.5 de la NIIF 9.</w:t>
      </w:r>
    </w:p>
    <w:p w14:paraId="7C2920E7" w14:textId="77777777" w:rsidR="00264F4C" w:rsidRPr="00642813" w:rsidRDefault="00264F4C" w:rsidP="00264F4C">
      <w:pPr>
        <w:pStyle w:val="HTMLPreformatted"/>
        <w:shd w:val="clear" w:color="auto" w:fill="FFFFFF"/>
        <w:jc w:val="both"/>
        <w:rPr>
          <w:rFonts w:ascii="Arial" w:hAnsi="Arial" w:cs="Arial"/>
        </w:rPr>
      </w:pPr>
    </w:p>
    <w:p w14:paraId="50E04756" w14:textId="77777777" w:rsidR="00264F4C" w:rsidRPr="00642813" w:rsidRDefault="00264F4C" w:rsidP="00264F4C">
      <w:pPr>
        <w:pStyle w:val="HTMLPreformatted"/>
        <w:shd w:val="clear" w:color="auto" w:fill="FFFFFF"/>
        <w:jc w:val="both"/>
        <w:rPr>
          <w:rFonts w:ascii="Arial" w:hAnsi="Arial" w:cs="Arial"/>
        </w:rPr>
      </w:pPr>
      <w:r w:rsidRPr="00642813">
        <w:rPr>
          <w:rFonts w:ascii="Arial" w:hAnsi="Arial" w:cs="Arial"/>
        </w:rPr>
        <w:t>La medición de las pérdidas crediticias esperadas es un área que requiere el uso de modelos complejos y supuestos significativos acerca de las condiciones económicas futuras y el comportamiento crediticio (por ejemplo, la probabilidad que el cliente ingrese en estado de default y que de ello resulten pérdidas para la Entidad). La explicación sobre los inputs, supuestos y técnicas de estimación utilizadas para medir las PCE es expuesta con mayor detalle en la Nota 1.2, incluyendo las sensibilidades claves de las PCE a los cambios en dichos elementos.</w:t>
      </w:r>
    </w:p>
    <w:p w14:paraId="471D8D2D" w14:textId="77777777" w:rsidR="00264F4C" w:rsidRPr="00642813" w:rsidRDefault="00264F4C" w:rsidP="00264F4C">
      <w:pPr>
        <w:pStyle w:val="HTMLPreformatted"/>
        <w:shd w:val="clear" w:color="auto" w:fill="FFFFFF"/>
        <w:jc w:val="both"/>
        <w:rPr>
          <w:rFonts w:ascii="Arial" w:hAnsi="Arial" w:cs="Arial"/>
        </w:rPr>
      </w:pPr>
    </w:p>
    <w:p w14:paraId="53BDD681" w14:textId="77777777" w:rsidR="00264F4C" w:rsidRPr="00642813" w:rsidRDefault="00264F4C" w:rsidP="00264F4C">
      <w:pPr>
        <w:pStyle w:val="HTMLPreformatted"/>
        <w:shd w:val="clear" w:color="auto" w:fill="FFFFFF"/>
        <w:jc w:val="both"/>
        <w:rPr>
          <w:rFonts w:ascii="Arial" w:hAnsi="Arial" w:cs="Arial"/>
        </w:rPr>
      </w:pPr>
      <w:r w:rsidRPr="00642813">
        <w:rPr>
          <w:rFonts w:ascii="Arial" w:hAnsi="Arial" w:cs="Arial"/>
        </w:rPr>
        <w:t>Cabe señalar que, en la aplicación de los requerimientos contables para medir las PCE son necesarios juicios significativos, tales como:</w:t>
      </w:r>
    </w:p>
    <w:p w14:paraId="34DB06EE" w14:textId="77777777" w:rsidR="00264F4C" w:rsidRPr="00642813" w:rsidRDefault="00264F4C" w:rsidP="00264F4C">
      <w:pPr>
        <w:pStyle w:val="HTMLPreformatted"/>
        <w:shd w:val="clear" w:color="auto" w:fill="FFFFFF"/>
        <w:ind w:left="360"/>
        <w:jc w:val="both"/>
        <w:rPr>
          <w:rFonts w:ascii="Arial" w:hAnsi="Arial" w:cs="Arial"/>
        </w:rPr>
      </w:pPr>
    </w:p>
    <w:p w14:paraId="51A599CC" w14:textId="77777777" w:rsidR="00264F4C" w:rsidRPr="00642813" w:rsidRDefault="00264F4C" w:rsidP="00264F4C">
      <w:pPr>
        <w:pStyle w:val="HTMLPreformatted"/>
        <w:numPr>
          <w:ilvl w:val="0"/>
          <w:numId w:val="54"/>
        </w:numPr>
        <w:shd w:val="clear" w:color="auto" w:fill="FFFFFF"/>
        <w:ind w:left="1080"/>
        <w:jc w:val="both"/>
        <w:rPr>
          <w:rFonts w:ascii="Arial" w:hAnsi="Arial" w:cs="Arial"/>
        </w:rPr>
      </w:pPr>
      <w:r w:rsidRPr="00642813">
        <w:rPr>
          <w:rFonts w:ascii="Arial" w:hAnsi="Arial" w:cs="Arial"/>
        </w:rPr>
        <w:t>Determinación del criterio de incremento significativo del riesgo de crédito</w:t>
      </w:r>
    </w:p>
    <w:p w14:paraId="590A0FEF" w14:textId="77777777" w:rsidR="00264F4C" w:rsidRPr="00642813" w:rsidRDefault="00264F4C" w:rsidP="00264F4C">
      <w:pPr>
        <w:pStyle w:val="HTMLPreformatted"/>
        <w:numPr>
          <w:ilvl w:val="0"/>
          <w:numId w:val="54"/>
        </w:numPr>
        <w:shd w:val="clear" w:color="auto" w:fill="FFFFFF"/>
        <w:ind w:left="1080"/>
        <w:jc w:val="both"/>
        <w:rPr>
          <w:rFonts w:ascii="Arial" w:hAnsi="Arial" w:cs="Arial"/>
        </w:rPr>
      </w:pPr>
      <w:r w:rsidRPr="00642813">
        <w:rPr>
          <w:rFonts w:ascii="Arial" w:hAnsi="Arial" w:cs="Arial"/>
        </w:rPr>
        <w:t>Elección de modelos y supuestos apropiados para la medición de las PCE</w:t>
      </w:r>
    </w:p>
    <w:p w14:paraId="72122215" w14:textId="77777777" w:rsidR="00264F4C" w:rsidRPr="00642813" w:rsidRDefault="00264F4C" w:rsidP="00264F4C">
      <w:pPr>
        <w:pStyle w:val="HTMLPreformatted"/>
        <w:numPr>
          <w:ilvl w:val="0"/>
          <w:numId w:val="54"/>
        </w:numPr>
        <w:shd w:val="clear" w:color="auto" w:fill="FFFFFF"/>
        <w:ind w:left="993" w:hanging="273"/>
        <w:jc w:val="both"/>
        <w:rPr>
          <w:rFonts w:ascii="Arial" w:hAnsi="Arial" w:cs="Arial"/>
        </w:rPr>
      </w:pPr>
      <w:r w:rsidRPr="00642813">
        <w:rPr>
          <w:rFonts w:ascii="Arial" w:hAnsi="Arial" w:cs="Arial"/>
        </w:rPr>
        <w:t>Establecimiento del número y ponderación relativa de los escenarios prospectivos para cada segmento de cartera y las PCE asociadas, y</w:t>
      </w:r>
    </w:p>
    <w:p w14:paraId="3CB26CCD" w14:textId="77777777" w:rsidR="00264F4C" w:rsidRPr="00642813" w:rsidRDefault="00264F4C" w:rsidP="00264F4C">
      <w:pPr>
        <w:pStyle w:val="HTMLPreformatted"/>
        <w:numPr>
          <w:ilvl w:val="0"/>
          <w:numId w:val="54"/>
        </w:numPr>
        <w:shd w:val="clear" w:color="auto" w:fill="FFFFFF"/>
        <w:ind w:left="1080"/>
        <w:jc w:val="both"/>
        <w:rPr>
          <w:rFonts w:ascii="Arial" w:hAnsi="Arial" w:cs="Arial"/>
        </w:rPr>
      </w:pPr>
      <w:r w:rsidRPr="00642813">
        <w:rPr>
          <w:rFonts w:ascii="Arial" w:hAnsi="Arial" w:cs="Arial"/>
        </w:rPr>
        <w:t>Establecimiento de los grupos de activos financieros similares a efectos de la medición de las PCE.</w:t>
      </w:r>
    </w:p>
    <w:p w14:paraId="27CF8AA3" w14:textId="77777777" w:rsidR="002B0C3E" w:rsidRPr="007E4E18" w:rsidRDefault="002B0C3E" w:rsidP="002E1AF6">
      <w:pPr>
        <w:rPr>
          <w:b/>
          <w:sz w:val="20"/>
        </w:rPr>
      </w:pPr>
    </w:p>
    <w:p w14:paraId="6006695A" w14:textId="77777777" w:rsidR="002B0C3E" w:rsidRPr="007E4E18" w:rsidRDefault="002B0C3E" w:rsidP="002E1AF6">
      <w:pPr>
        <w:pStyle w:val="ListParagraph"/>
        <w:numPr>
          <w:ilvl w:val="0"/>
          <w:numId w:val="58"/>
        </w:numPr>
        <w:contextualSpacing/>
        <w:jc w:val="both"/>
        <w:rPr>
          <w:rFonts w:ascii="Arial" w:hAnsi="Arial" w:cs="Arial"/>
          <w:b/>
          <w:sz w:val="20"/>
        </w:rPr>
      </w:pPr>
      <w:r w:rsidRPr="007E4E18">
        <w:rPr>
          <w:rFonts w:ascii="Arial" w:hAnsi="Arial" w:cs="Arial"/>
          <w:b/>
          <w:sz w:val="20"/>
        </w:rPr>
        <w:t xml:space="preserve">Deterioro de Activos no Financieros </w:t>
      </w:r>
    </w:p>
    <w:p w14:paraId="71048F3D" w14:textId="77777777" w:rsidR="002B0C3E" w:rsidRPr="007E4E18" w:rsidRDefault="002B0C3E" w:rsidP="002B0C3E">
      <w:pPr>
        <w:pStyle w:val="HTMLPreformatted"/>
        <w:shd w:val="clear" w:color="auto" w:fill="FFFFFF"/>
        <w:jc w:val="both"/>
        <w:rPr>
          <w:rFonts w:ascii="Arial" w:hAnsi="Arial" w:cs="Arial"/>
          <w:color w:val="212121"/>
        </w:rPr>
      </w:pPr>
    </w:p>
    <w:p w14:paraId="655C8B06" w14:textId="77777777" w:rsidR="00264F4C" w:rsidRPr="00600F53" w:rsidRDefault="00264F4C" w:rsidP="00264F4C">
      <w:pPr>
        <w:pStyle w:val="HTMLPreformatted"/>
        <w:shd w:val="clear" w:color="auto" w:fill="FFFFFF"/>
        <w:jc w:val="both"/>
        <w:rPr>
          <w:rFonts w:ascii="Arial" w:hAnsi="Arial" w:cs="Arial"/>
        </w:rPr>
      </w:pPr>
      <w:r w:rsidRPr="00600F53">
        <w:rPr>
          <w:rFonts w:ascii="Arial" w:hAnsi="Arial" w:cs="Arial"/>
        </w:rPr>
        <w:t xml:space="preserve">Los activos intangibles con vidas finitas y propiedades, planta y equipo se amortizan o deprecian a lo largo de su vida útil estimada en forma lineal. El Banco monitorea las condiciones relacionadas con estos activos para determinar si los eventos y circunstancias justifican una revisión del período de amortización o depreciación restante y si existen factores o circunstancias que impliquen un deterioro en el valor de los activos que no pueda ser recuperado. </w:t>
      </w:r>
    </w:p>
    <w:p w14:paraId="2A4E49E3" w14:textId="77777777" w:rsidR="00264F4C" w:rsidRPr="00600F53" w:rsidRDefault="00264F4C" w:rsidP="00264F4C">
      <w:pPr>
        <w:pStyle w:val="HTMLPreformatted"/>
        <w:shd w:val="clear" w:color="auto" w:fill="FFFFFF"/>
        <w:jc w:val="both"/>
        <w:rPr>
          <w:rFonts w:ascii="Arial" w:hAnsi="Arial" w:cs="Arial"/>
        </w:rPr>
      </w:pPr>
    </w:p>
    <w:p w14:paraId="187541BD" w14:textId="77777777" w:rsidR="00264F4C" w:rsidRPr="00BA7A6B" w:rsidRDefault="00264F4C" w:rsidP="00264F4C">
      <w:pPr>
        <w:pStyle w:val="HTMLPreformatted"/>
        <w:shd w:val="clear" w:color="auto" w:fill="FFFFFF"/>
        <w:jc w:val="both"/>
        <w:rPr>
          <w:rFonts w:ascii="Arial" w:hAnsi="Arial" w:cs="Arial"/>
        </w:rPr>
      </w:pPr>
      <w:r w:rsidRPr="00600F53">
        <w:rPr>
          <w:rFonts w:ascii="Arial" w:hAnsi="Arial" w:cs="Arial"/>
        </w:rPr>
        <w:t>El Banco ha aplicado el juicio en la identificación de los indicadores de deterioro de propiedad, planta y equipo y activos intangibles. El Banco ha determinado que no hubo indicios de deterioro para ninguno de los períodos presentados en sus estados financieros condensados intermedios, por lo cual no se ha estimado ningún valor recuperable.</w:t>
      </w:r>
    </w:p>
    <w:p w14:paraId="7DD4F47B" w14:textId="77777777" w:rsidR="002B0C3E" w:rsidRPr="007E4E18" w:rsidRDefault="002B0C3E" w:rsidP="002B0C3E">
      <w:pPr>
        <w:pStyle w:val="HTMLPreformatted"/>
        <w:shd w:val="clear" w:color="auto" w:fill="FFFFFF"/>
        <w:ind w:left="360"/>
        <w:jc w:val="both"/>
        <w:rPr>
          <w:rFonts w:ascii="Arial" w:hAnsi="Arial" w:cs="Arial"/>
        </w:rPr>
      </w:pPr>
    </w:p>
    <w:p w14:paraId="6DB3FB6E" w14:textId="77777777" w:rsidR="002B0C3E" w:rsidRPr="007E4E18" w:rsidRDefault="002B0C3E" w:rsidP="002E1AF6">
      <w:pPr>
        <w:pStyle w:val="ListParagraph"/>
        <w:numPr>
          <w:ilvl w:val="0"/>
          <w:numId w:val="58"/>
        </w:numPr>
        <w:contextualSpacing/>
        <w:jc w:val="both"/>
        <w:rPr>
          <w:rFonts w:ascii="Arial" w:hAnsi="Arial" w:cs="Arial"/>
          <w:b/>
          <w:sz w:val="20"/>
        </w:rPr>
      </w:pPr>
      <w:r w:rsidRPr="007E4E18">
        <w:rPr>
          <w:rFonts w:ascii="Arial" w:hAnsi="Arial" w:cs="Arial"/>
          <w:b/>
          <w:sz w:val="20"/>
        </w:rPr>
        <w:t>Impuesto a las ganancias e impuesto diferido</w:t>
      </w:r>
    </w:p>
    <w:p w14:paraId="2CC1A8C4" w14:textId="77777777" w:rsidR="002B0C3E" w:rsidRPr="007E4E18" w:rsidRDefault="002B0C3E" w:rsidP="002B0C3E">
      <w:pPr>
        <w:pStyle w:val="HTMLPreformatted"/>
        <w:shd w:val="clear" w:color="auto" w:fill="FFFFFF"/>
        <w:jc w:val="both"/>
        <w:rPr>
          <w:rFonts w:ascii="Arial" w:hAnsi="Arial" w:cs="Arial"/>
          <w:color w:val="212121"/>
          <w:shd w:val="clear" w:color="auto" w:fill="FFFFFF"/>
        </w:rPr>
      </w:pPr>
    </w:p>
    <w:p w14:paraId="5E39BD18" w14:textId="77777777" w:rsidR="00044B2E" w:rsidRDefault="00044B2E" w:rsidP="00044B2E">
      <w:pPr>
        <w:shd w:val="clear" w:color="auto" w:fill="FFFFFF"/>
        <w:tabs>
          <w:tab w:val="left" w:pos="708"/>
        </w:tabs>
        <w:jc w:val="both"/>
        <w:rPr>
          <w:rFonts w:ascii="Arial" w:hAnsi="Arial" w:cs="Arial"/>
          <w:sz w:val="20"/>
        </w:rPr>
      </w:pPr>
      <w:r w:rsidRPr="00BA7A6B">
        <w:rPr>
          <w:rFonts w:ascii="Arial" w:hAnsi="Arial" w:cs="Arial"/>
          <w:sz w:val="20"/>
        </w:rPr>
        <w:t>Se requiere un juicio significativo al determinar los pasivos y activos por impuestos corrientes y diferidos. El impuesto corriente se provisiona de acuerdo con los montos que se espera pagar y el impuesto diferido se provisiona sobre las diferencias temporarias entre las bases impositivas de los activos y pasivos y sus valores en libros, a las alícuotas que se espera estén vigentes al momento de su reversión.</w:t>
      </w:r>
    </w:p>
    <w:p w14:paraId="68181E2E" w14:textId="77777777" w:rsidR="00044B2E" w:rsidRPr="00BA7A6B" w:rsidRDefault="00044B2E" w:rsidP="00044B2E">
      <w:pPr>
        <w:shd w:val="clear" w:color="auto" w:fill="FFFFFF"/>
        <w:tabs>
          <w:tab w:val="left" w:pos="708"/>
        </w:tabs>
        <w:jc w:val="both"/>
        <w:rPr>
          <w:rFonts w:ascii="Arial" w:hAnsi="Arial" w:cs="Arial"/>
          <w:sz w:val="20"/>
        </w:rPr>
      </w:pPr>
    </w:p>
    <w:p w14:paraId="004AAA19" w14:textId="77777777" w:rsidR="00044B2E" w:rsidRDefault="00044B2E" w:rsidP="00044B2E">
      <w:pPr>
        <w:shd w:val="clear" w:color="auto" w:fill="FFFFFF"/>
        <w:tabs>
          <w:tab w:val="left" w:pos="708"/>
        </w:tabs>
        <w:jc w:val="both"/>
        <w:rPr>
          <w:rFonts w:ascii="Arial" w:hAnsi="Arial" w:cs="Arial"/>
          <w:sz w:val="20"/>
        </w:rPr>
      </w:pPr>
      <w:r w:rsidRPr="00BA7A6B">
        <w:rPr>
          <w:rFonts w:ascii="Arial" w:hAnsi="Arial" w:cs="Arial"/>
          <w:sz w:val="20"/>
        </w:rPr>
        <w:t xml:space="preserve">Se reconoce un activo por impuesto diferido en la medida en que exista la probabilidad de que se disponga de ganancias imponibles futuras contra las cuales se puedan utilizar las diferencias temporarias, basado en los presupuestos de la gerencia con respecto a los montos y la oportunidad de las ganancias imponibles futuras. Luego se debe determinar la posibilidad de que </w:t>
      </w:r>
      <w:r w:rsidRPr="00BA7A6B">
        <w:rPr>
          <w:rFonts w:ascii="Arial" w:hAnsi="Arial" w:cs="Arial"/>
          <w:sz w:val="20"/>
        </w:rPr>
        <w:lastRenderedPageBreak/>
        <w:t>los activos por impuesto diferido se utilicen y compensen contra ganancias imponibles futuras. Los resultados reales pueden diferir de estas estimaciones, por ejemplo, cambios en la legislación impositiva o el resultado de la revisión definitiva de las declaraciones juradas de impuestos por parte del fisco y los tribunales fiscales.</w:t>
      </w:r>
    </w:p>
    <w:p w14:paraId="4B6C3D53" w14:textId="77777777" w:rsidR="00044B2E" w:rsidRPr="00BA7A6B" w:rsidRDefault="00044B2E" w:rsidP="00044B2E">
      <w:pPr>
        <w:shd w:val="clear" w:color="auto" w:fill="FFFFFF"/>
        <w:tabs>
          <w:tab w:val="left" w:pos="708"/>
        </w:tabs>
        <w:jc w:val="both"/>
        <w:rPr>
          <w:rFonts w:ascii="Arial" w:hAnsi="Arial" w:cs="Arial"/>
          <w:color w:val="212121"/>
          <w:sz w:val="20"/>
          <w:shd w:val="clear" w:color="auto" w:fill="FFFFFF"/>
        </w:rPr>
      </w:pPr>
    </w:p>
    <w:p w14:paraId="1279747F" w14:textId="3A8299A0" w:rsidR="00044B2E" w:rsidRDefault="00044B2E" w:rsidP="00044B2E">
      <w:pPr>
        <w:shd w:val="clear" w:color="auto" w:fill="FFFFFF"/>
        <w:tabs>
          <w:tab w:val="left" w:pos="708"/>
        </w:tabs>
        <w:jc w:val="both"/>
        <w:rPr>
          <w:rFonts w:ascii="Arial" w:hAnsi="Arial" w:cs="Arial"/>
          <w:sz w:val="20"/>
          <w:shd w:val="clear" w:color="auto" w:fill="FFFFFF"/>
        </w:rPr>
      </w:pPr>
      <w:r w:rsidRPr="002E1AF6">
        <w:rPr>
          <w:rFonts w:ascii="Arial" w:hAnsi="Arial" w:cs="Arial"/>
          <w:sz w:val="20"/>
          <w:shd w:val="clear" w:color="auto" w:fill="FFFFFF"/>
        </w:rPr>
        <w:t>Las ganancias fiscales futuras y la cantidad de beneficios fiscales que son probables en el futuro se basan en un plan de negocios a mediano plazo preparado por la Administración de la Entidad, el cual se basa en expectativas que se consideran razonables.</w:t>
      </w:r>
    </w:p>
    <w:p w14:paraId="3F4C5C60" w14:textId="6F80B320" w:rsidR="00044B2E" w:rsidRDefault="00044B2E" w:rsidP="00044B2E">
      <w:pPr>
        <w:shd w:val="clear" w:color="auto" w:fill="FFFFFF"/>
        <w:tabs>
          <w:tab w:val="left" w:pos="708"/>
        </w:tabs>
        <w:jc w:val="both"/>
        <w:rPr>
          <w:rFonts w:ascii="Arial" w:hAnsi="Arial" w:cs="Arial"/>
          <w:sz w:val="20"/>
          <w:shd w:val="clear" w:color="auto" w:fill="FFFFFF"/>
        </w:rPr>
      </w:pPr>
    </w:p>
    <w:p w14:paraId="006B023A" w14:textId="6B708E56" w:rsidR="00044B2E" w:rsidRPr="002E1AF6" w:rsidRDefault="00044B2E" w:rsidP="002E1AF6">
      <w:pPr>
        <w:pStyle w:val="ListParagraph"/>
        <w:numPr>
          <w:ilvl w:val="0"/>
          <w:numId w:val="58"/>
        </w:numPr>
        <w:contextualSpacing/>
        <w:jc w:val="both"/>
        <w:rPr>
          <w:rFonts w:ascii="Arial" w:hAnsi="Arial" w:cs="Arial"/>
          <w:b/>
          <w:sz w:val="20"/>
        </w:rPr>
      </w:pPr>
      <w:r w:rsidRPr="002E1AF6">
        <w:rPr>
          <w:rFonts w:ascii="Arial" w:hAnsi="Arial" w:cs="Arial"/>
          <w:b/>
          <w:sz w:val="20"/>
        </w:rPr>
        <w:t>Modificación de préstamos y otras financiaciones</w:t>
      </w:r>
    </w:p>
    <w:p w14:paraId="24412AB0" w14:textId="77777777" w:rsidR="00044B2E" w:rsidRDefault="00044B2E" w:rsidP="00044B2E">
      <w:pPr>
        <w:shd w:val="clear" w:color="auto" w:fill="FFFFFF"/>
        <w:tabs>
          <w:tab w:val="left" w:pos="708"/>
        </w:tabs>
        <w:ind w:left="360"/>
        <w:jc w:val="both"/>
        <w:rPr>
          <w:sz w:val="19"/>
          <w:szCs w:val="19"/>
        </w:rPr>
      </w:pPr>
    </w:p>
    <w:p w14:paraId="730F5D94" w14:textId="77777777" w:rsidR="00044B2E" w:rsidRPr="00642813" w:rsidRDefault="00044B2E" w:rsidP="00044B2E">
      <w:pPr>
        <w:shd w:val="clear" w:color="auto" w:fill="FFFFFF"/>
        <w:tabs>
          <w:tab w:val="left" w:pos="708"/>
        </w:tabs>
        <w:jc w:val="both"/>
        <w:rPr>
          <w:rFonts w:ascii="Arial" w:hAnsi="Arial" w:cs="Arial"/>
          <w:sz w:val="20"/>
        </w:rPr>
      </w:pPr>
      <w:r w:rsidRPr="00642813">
        <w:rPr>
          <w:rFonts w:ascii="Arial" w:hAnsi="Arial" w:cs="Arial"/>
          <w:sz w:val="20"/>
        </w:rPr>
        <w:t>El Banco en algunas circunstancias renegocia o modifica los flujos de efectivo contractuales de los préstamos otorgados a clientes. En estos casos, el Banco evalúa si los nuevos términos son o no sustancialmente diferentes a los términos originales. El Banco tiene esta práctica considerando principalmente los siguientes factores:</w:t>
      </w:r>
    </w:p>
    <w:p w14:paraId="2F85F296" w14:textId="77777777" w:rsidR="00044B2E" w:rsidRPr="00642813" w:rsidRDefault="00044B2E" w:rsidP="00044B2E">
      <w:pPr>
        <w:shd w:val="clear" w:color="auto" w:fill="FFFFFF"/>
        <w:tabs>
          <w:tab w:val="left" w:pos="708"/>
        </w:tabs>
        <w:jc w:val="both"/>
        <w:rPr>
          <w:rFonts w:ascii="Arial" w:hAnsi="Arial" w:cs="Arial"/>
          <w:sz w:val="20"/>
        </w:rPr>
      </w:pPr>
    </w:p>
    <w:p w14:paraId="40B83172" w14:textId="77777777" w:rsidR="00044B2E" w:rsidRPr="00642813" w:rsidRDefault="00044B2E" w:rsidP="00044B2E">
      <w:pPr>
        <w:pStyle w:val="ListParagraph"/>
        <w:numPr>
          <w:ilvl w:val="0"/>
          <w:numId w:val="71"/>
        </w:numPr>
        <w:autoSpaceDE w:val="0"/>
        <w:autoSpaceDN w:val="0"/>
        <w:adjustRightInd w:val="0"/>
        <w:jc w:val="both"/>
        <w:rPr>
          <w:rFonts w:ascii="Arial" w:hAnsi="Arial" w:cs="Arial"/>
          <w:bCs/>
          <w:sz w:val="20"/>
          <w:lang w:val="es-ES_tradnl"/>
        </w:rPr>
      </w:pPr>
      <w:r w:rsidRPr="00642813">
        <w:rPr>
          <w:rFonts w:ascii="Arial" w:hAnsi="Arial" w:cs="Arial"/>
          <w:bCs/>
          <w:sz w:val="20"/>
          <w:lang w:val="es-ES_tradnl"/>
        </w:rPr>
        <w:t>Si el cliente se encuentra en dificultades financieras, evalúa si la modificación simplemente reduce los flujos de efectivo contractuales a montos que se espera que el prestatario pueda pagar.</w:t>
      </w:r>
    </w:p>
    <w:p w14:paraId="4ED7EAC4" w14:textId="77777777" w:rsidR="00044B2E" w:rsidRDefault="00044B2E" w:rsidP="00044B2E">
      <w:pPr>
        <w:pStyle w:val="ListParagraph"/>
        <w:numPr>
          <w:ilvl w:val="0"/>
          <w:numId w:val="71"/>
        </w:numPr>
        <w:autoSpaceDE w:val="0"/>
        <w:autoSpaceDN w:val="0"/>
        <w:adjustRightInd w:val="0"/>
        <w:jc w:val="both"/>
        <w:rPr>
          <w:rFonts w:ascii="Arial" w:hAnsi="Arial" w:cs="Arial"/>
          <w:bCs/>
          <w:sz w:val="20"/>
          <w:lang w:val="es-ES_tradnl"/>
        </w:rPr>
      </w:pPr>
      <w:r w:rsidRPr="00642813">
        <w:rPr>
          <w:rFonts w:ascii="Arial" w:hAnsi="Arial" w:cs="Arial"/>
          <w:bCs/>
          <w:sz w:val="20"/>
          <w:lang w:val="es-ES_tradnl"/>
        </w:rPr>
        <w:t>Extensión significativa del plazo del préstamo cuando el prestatario no tiene dificultades financieras.</w:t>
      </w:r>
    </w:p>
    <w:p w14:paraId="3F9E196B" w14:textId="11A3AAB0" w:rsidR="00044B2E" w:rsidRPr="002E1AF6" w:rsidRDefault="00044B2E">
      <w:pPr>
        <w:pStyle w:val="ListParagraph"/>
        <w:numPr>
          <w:ilvl w:val="0"/>
          <w:numId w:val="71"/>
        </w:numPr>
        <w:autoSpaceDE w:val="0"/>
        <w:autoSpaceDN w:val="0"/>
        <w:adjustRightInd w:val="0"/>
        <w:jc w:val="both"/>
        <w:rPr>
          <w:rFonts w:ascii="Arial" w:hAnsi="Arial" w:cs="Arial"/>
          <w:bCs/>
          <w:sz w:val="20"/>
          <w:lang w:val="es-ES_tradnl"/>
        </w:rPr>
      </w:pPr>
      <w:r w:rsidRPr="002E1AF6">
        <w:rPr>
          <w:rFonts w:ascii="Arial" w:hAnsi="Arial" w:cs="Arial"/>
          <w:bCs/>
          <w:sz w:val="20"/>
          <w:lang w:val="es-ES_tradnl"/>
        </w:rPr>
        <w:t>Cambio significativo en la tasa de interés.</w:t>
      </w:r>
    </w:p>
    <w:p w14:paraId="2F41F876" w14:textId="77777777" w:rsidR="00044B2E" w:rsidRPr="00642813" w:rsidRDefault="00044B2E" w:rsidP="00044B2E">
      <w:pPr>
        <w:pStyle w:val="ListParagraph"/>
        <w:numPr>
          <w:ilvl w:val="0"/>
          <w:numId w:val="71"/>
        </w:numPr>
        <w:autoSpaceDE w:val="0"/>
        <w:autoSpaceDN w:val="0"/>
        <w:adjustRightInd w:val="0"/>
        <w:jc w:val="both"/>
        <w:rPr>
          <w:rFonts w:ascii="Arial" w:hAnsi="Arial" w:cs="Arial"/>
          <w:bCs/>
          <w:sz w:val="20"/>
          <w:lang w:val="es-ES_tradnl"/>
        </w:rPr>
      </w:pPr>
      <w:r w:rsidRPr="00642813">
        <w:rPr>
          <w:rFonts w:ascii="Arial" w:hAnsi="Arial" w:cs="Arial"/>
          <w:bCs/>
          <w:sz w:val="20"/>
          <w:lang w:val="es-ES_tradnl"/>
        </w:rPr>
        <w:t>Cambio en la moneda en la que está denominado el préstamo.</w:t>
      </w:r>
    </w:p>
    <w:p w14:paraId="10E59180" w14:textId="77777777" w:rsidR="00044B2E" w:rsidRPr="00642813" w:rsidRDefault="00044B2E" w:rsidP="00044B2E">
      <w:pPr>
        <w:pStyle w:val="ListParagraph"/>
        <w:numPr>
          <w:ilvl w:val="0"/>
          <w:numId w:val="71"/>
        </w:numPr>
        <w:autoSpaceDE w:val="0"/>
        <w:autoSpaceDN w:val="0"/>
        <w:adjustRightInd w:val="0"/>
        <w:jc w:val="both"/>
        <w:rPr>
          <w:rFonts w:ascii="Arial" w:hAnsi="Arial" w:cs="Arial"/>
          <w:bCs/>
          <w:sz w:val="20"/>
          <w:lang w:val="es-ES_tradnl"/>
        </w:rPr>
      </w:pPr>
      <w:r w:rsidRPr="00642813">
        <w:rPr>
          <w:rFonts w:ascii="Arial" w:hAnsi="Arial" w:cs="Arial"/>
          <w:bCs/>
          <w:sz w:val="20"/>
          <w:lang w:val="es-ES_tradnl"/>
        </w:rPr>
        <w:t>Integración de garantías o mejoras crediticias que afectan significativamente el riesgo crediticio asociado con el préstamo.</w:t>
      </w:r>
    </w:p>
    <w:p w14:paraId="520B8BAE" w14:textId="77777777" w:rsidR="00044B2E" w:rsidRPr="00642813" w:rsidRDefault="00044B2E" w:rsidP="00044B2E">
      <w:pPr>
        <w:shd w:val="clear" w:color="auto" w:fill="FFFFFF"/>
        <w:tabs>
          <w:tab w:val="left" w:pos="708"/>
        </w:tabs>
        <w:jc w:val="both"/>
        <w:rPr>
          <w:rFonts w:ascii="Arial" w:hAnsi="Arial" w:cs="Arial"/>
          <w:sz w:val="20"/>
        </w:rPr>
      </w:pPr>
    </w:p>
    <w:p w14:paraId="1FFA642F" w14:textId="77777777" w:rsidR="00044B2E" w:rsidRPr="00642813" w:rsidRDefault="00044B2E" w:rsidP="00044B2E">
      <w:pPr>
        <w:shd w:val="clear" w:color="auto" w:fill="FFFFFF"/>
        <w:tabs>
          <w:tab w:val="left" w:pos="708"/>
        </w:tabs>
        <w:jc w:val="both"/>
        <w:rPr>
          <w:rFonts w:ascii="Arial" w:hAnsi="Arial" w:cs="Arial"/>
          <w:sz w:val="20"/>
        </w:rPr>
      </w:pPr>
      <w:r w:rsidRPr="00642813">
        <w:rPr>
          <w:rFonts w:ascii="Arial" w:hAnsi="Arial" w:cs="Arial"/>
          <w:sz w:val="20"/>
        </w:rPr>
        <w:t>Si los términos del préstamo luego de la modificación son substancialmente diferentes, el Banco da de baja el instrumento financiero original y reconoce un nuevo activo a valor razonable y recalcula una nueva tasa de interés efectiva para el activo. La fecha de renegociación es consecuentemente considerada la fecha de reconocimiento inicial a efectos del cálculo del deterioro y de la determinación de un incremento significativo en el riesgo de crédito. Sin embargo, el Banco también evalúa si el nuevo activo financiero reconocido es considerado un activo deteriorado, especialmente cuando la renegociación se originó por la falta de capacidad de pago del cliente. Las diferencias en el valor contable son reconocidas en resultados así como las pérdidas o ganancias generadas por la baja del activo financiero.</w:t>
      </w:r>
    </w:p>
    <w:p w14:paraId="63E22DF9" w14:textId="77777777" w:rsidR="00044B2E" w:rsidRPr="00642813" w:rsidRDefault="00044B2E" w:rsidP="00044B2E">
      <w:pPr>
        <w:shd w:val="clear" w:color="auto" w:fill="FFFFFF"/>
        <w:tabs>
          <w:tab w:val="left" w:pos="708"/>
        </w:tabs>
        <w:jc w:val="both"/>
        <w:rPr>
          <w:rFonts w:ascii="Arial" w:hAnsi="Arial" w:cs="Arial"/>
          <w:sz w:val="20"/>
        </w:rPr>
      </w:pPr>
    </w:p>
    <w:p w14:paraId="770A8D8F" w14:textId="62704243" w:rsidR="00044B2E" w:rsidRDefault="00044B2E" w:rsidP="00044B2E">
      <w:pPr>
        <w:shd w:val="clear" w:color="auto" w:fill="FFFFFF"/>
        <w:tabs>
          <w:tab w:val="left" w:pos="708"/>
        </w:tabs>
        <w:jc w:val="both"/>
        <w:rPr>
          <w:rFonts w:ascii="Arial" w:hAnsi="Arial" w:cs="Arial"/>
          <w:sz w:val="20"/>
        </w:rPr>
      </w:pPr>
      <w:r w:rsidRPr="00642813">
        <w:rPr>
          <w:rFonts w:ascii="Arial" w:hAnsi="Arial" w:cs="Arial"/>
          <w:sz w:val="20"/>
        </w:rPr>
        <w:t xml:space="preserve">Si los términos del préstamo luego de la modificación no son substancialmente diferentes, la renegociación o modificación no implica la baja del instrumento financiero, y el </w:t>
      </w:r>
      <w:r w:rsidR="00A3402F">
        <w:rPr>
          <w:rFonts w:ascii="Arial" w:hAnsi="Arial" w:cs="Arial"/>
          <w:sz w:val="20"/>
        </w:rPr>
        <w:t>Banco</w:t>
      </w:r>
      <w:r w:rsidR="00A3402F" w:rsidRPr="00642813">
        <w:rPr>
          <w:rFonts w:ascii="Arial" w:hAnsi="Arial" w:cs="Arial"/>
          <w:sz w:val="20"/>
        </w:rPr>
        <w:t xml:space="preserve"> </w:t>
      </w:r>
      <w:r w:rsidRPr="00642813">
        <w:rPr>
          <w:rFonts w:ascii="Arial" w:hAnsi="Arial" w:cs="Arial"/>
          <w:sz w:val="20"/>
        </w:rPr>
        <w:t>recalcula el valor contable bruto basado en el flujo de fondos revisado reconociendo una ganancia o pérdida por modificación en resultados. El nuevo valor contable bruto es recalculado como el valor descontado del flujo de fondos modificado a la tasa de interés efectiva original.</w:t>
      </w:r>
    </w:p>
    <w:p w14:paraId="6AE59A90" w14:textId="363580E2" w:rsidR="00044B2E" w:rsidRDefault="00044B2E" w:rsidP="00044B2E">
      <w:pPr>
        <w:shd w:val="clear" w:color="auto" w:fill="FFFFFF"/>
        <w:tabs>
          <w:tab w:val="left" w:pos="708"/>
        </w:tabs>
        <w:jc w:val="both"/>
        <w:rPr>
          <w:rFonts w:ascii="Arial" w:hAnsi="Arial" w:cs="Arial"/>
          <w:sz w:val="20"/>
        </w:rPr>
      </w:pPr>
    </w:p>
    <w:p w14:paraId="3D9E32D9" w14:textId="79117303" w:rsidR="00111E5A" w:rsidRDefault="00111E5A" w:rsidP="00044B2E">
      <w:pPr>
        <w:shd w:val="clear" w:color="auto" w:fill="FFFFFF"/>
        <w:tabs>
          <w:tab w:val="left" w:pos="708"/>
        </w:tabs>
        <w:jc w:val="both"/>
        <w:rPr>
          <w:rFonts w:ascii="Arial" w:hAnsi="Arial" w:cs="Arial"/>
          <w:sz w:val="20"/>
        </w:rPr>
      </w:pPr>
    </w:p>
    <w:p w14:paraId="2D764588" w14:textId="77777777" w:rsidR="00111E5A" w:rsidRDefault="00111E5A" w:rsidP="00044B2E">
      <w:pPr>
        <w:shd w:val="clear" w:color="auto" w:fill="FFFFFF"/>
        <w:tabs>
          <w:tab w:val="left" w:pos="708"/>
        </w:tabs>
        <w:jc w:val="both"/>
        <w:rPr>
          <w:rFonts w:ascii="Arial" w:hAnsi="Arial" w:cs="Arial"/>
          <w:sz w:val="20"/>
        </w:rPr>
      </w:pPr>
    </w:p>
    <w:p w14:paraId="57A18E07" w14:textId="77777777" w:rsidR="000924A1" w:rsidRDefault="000924A1" w:rsidP="00656E62">
      <w:pPr>
        <w:autoSpaceDE w:val="0"/>
        <w:autoSpaceDN w:val="0"/>
        <w:adjustRightInd w:val="0"/>
        <w:jc w:val="both"/>
        <w:rPr>
          <w:rFonts w:ascii="Arial" w:eastAsia="Calibri" w:hAnsi="Arial" w:cs="Arial"/>
          <w:noProof/>
          <w:sz w:val="20"/>
        </w:rPr>
      </w:pPr>
    </w:p>
    <w:p w14:paraId="02FF5BD7" w14:textId="78BEF0BA" w:rsidR="00656E62" w:rsidRPr="00701F32" w:rsidRDefault="000924A1" w:rsidP="00656E62">
      <w:pPr>
        <w:spacing w:after="160" w:line="259" w:lineRule="auto"/>
        <w:jc w:val="both"/>
        <w:rPr>
          <w:rFonts w:ascii="Arial" w:eastAsia="Calibri" w:hAnsi="Arial" w:cs="Arial"/>
          <w:b/>
          <w:bCs/>
          <w:sz w:val="20"/>
        </w:rPr>
      </w:pPr>
      <w:r>
        <w:rPr>
          <w:rFonts w:ascii="Arial" w:eastAsia="Calibri" w:hAnsi="Arial" w:cs="Arial"/>
          <w:b/>
          <w:bCs/>
          <w:sz w:val="20"/>
        </w:rPr>
        <w:t>3</w:t>
      </w:r>
      <w:r w:rsidR="00656E62" w:rsidRPr="00701F32">
        <w:rPr>
          <w:rFonts w:ascii="Arial" w:eastAsia="Calibri" w:hAnsi="Arial" w:cs="Arial"/>
          <w:b/>
          <w:bCs/>
          <w:sz w:val="20"/>
        </w:rPr>
        <w:t>. I</w:t>
      </w:r>
      <w:r w:rsidR="000045FD" w:rsidRPr="00701F32">
        <w:rPr>
          <w:rFonts w:ascii="Arial" w:eastAsia="Calibri" w:hAnsi="Arial" w:cs="Arial"/>
          <w:b/>
          <w:bCs/>
          <w:sz w:val="20"/>
        </w:rPr>
        <w:t>NFORMACION POR SEGMENTOS</w:t>
      </w:r>
    </w:p>
    <w:p w14:paraId="19730260" w14:textId="0782BFE3" w:rsidR="00656E62" w:rsidRDefault="00656E62" w:rsidP="00656E62">
      <w:pPr>
        <w:spacing w:after="160" w:line="259" w:lineRule="auto"/>
        <w:jc w:val="both"/>
        <w:rPr>
          <w:rFonts w:ascii="Arial" w:eastAsia="Calibri" w:hAnsi="Arial" w:cs="Arial"/>
          <w:sz w:val="20"/>
        </w:rPr>
      </w:pPr>
      <w:r w:rsidRPr="00701F32">
        <w:rPr>
          <w:rFonts w:ascii="Arial" w:eastAsia="Calibri" w:hAnsi="Arial" w:cs="Arial"/>
          <w:sz w:val="20"/>
        </w:rPr>
        <w:lastRenderedPageBreak/>
        <w:t>La Entidad determina los segmentos operativos sobre la base de los informes de gestión que son revisados por el Directorio y el personal clave de la Gerencia, y los actualiza a medida que los mismos presentan cambios.</w:t>
      </w:r>
    </w:p>
    <w:p w14:paraId="3A9C64E7" w14:textId="33649936" w:rsidR="00F37EB9" w:rsidRPr="001B3049" w:rsidRDefault="00F37EB9" w:rsidP="00111E5A">
      <w:pPr>
        <w:spacing w:after="160" w:line="259" w:lineRule="auto"/>
        <w:jc w:val="both"/>
        <w:rPr>
          <w:rFonts w:ascii="Arial" w:eastAsia="Calibri" w:hAnsi="Arial" w:cs="Arial"/>
          <w:sz w:val="20"/>
        </w:rPr>
      </w:pPr>
      <w:r w:rsidRPr="00F37EB9">
        <w:rPr>
          <w:rFonts w:ascii="Arial" w:eastAsia="Calibri" w:hAnsi="Arial" w:cs="Arial"/>
          <w:sz w:val="20"/>
        </w:rPr>
        <w:t>Con el objetivo de implementar una visión estratégica de foco en el cliente individuo y Pymes que demanda y valora modelos de atención de cercanía y digitales, el área de Banca Minorista que se transformó en el nuevo área de Banca Personas y Negocios.</w:t>
      </w:r>
    </w:p>
    <w:p w14:paraId="2BDDBADF" w14:textId="4FB6B31C" w:rsidR="00111E5A" w:rsidRPr="001B3049" w:rsidRDefault="00F37EB9" w:rsidP="00111E5A">
      <w:pPr>
        <w:spacing w:after="160" w:line="259" w:lineRule="auto"/>
        <w:jc w:val="both"/>
        <w:rPr>
          <w:rFonts w:ascii="Arial" w:eastAsia="Calibri" w:hAnsi="Arial" w:cs="Arial"/>
          <w:sz w:val="20"/>
        </w:rPr>
      </w:pPr>
      <w:r w:rsidRPr="00F37EB9">
        <w:rPr>
          <w:rFonts w:ascii="Arial" w:eastAsia="Calibri" w:hAnsi="Arial" w:cs="Arial"/>
          <w:sz w:val="20"/>
        </w:rPr>
        <w:t>En este sentido, los clientes de las PYME y la cartera de préstamos fueron transferidos de la división de Banca Corporativa a la División de Banca Personas y Negocios. El cambio fue efectivo a partir del 1 de enero de 2020. La información comparativa correspondiente al 31 de marzo de 2019 y 31 de diciembre de 2019 fue modificada a fin de reflejar la nueva organización y para que sea comparativa con la información al 31 de marzo de 2020</w:t>
      </w:r>
      <w:r w:rsidR="00111E5A">
        <w:rPr>
          <w:rFonts w:ascii="Arial" w:eastAsia="Calibri" w:hAnsi="Arial" w:cs="Arial"/>
          <w:sz w:val="20"/>
        </w:rPr>
        <w:t>.</w:t>
      </w:r>
    </w:p>
    <w:p w14:paraId="547634CE" w14:textId="200E132B" w:rsidR="00331C9B" w:rsidRPr="00CE4289" w:rsidRDefault="00331C9B" w:rsidP="00331C9B">
      <w:pPr>
        <w:spacing w:after="160" w:line="259" w:lineRule="auto"/>
        <w:jc w:val="both"/>
        <w:rPr>
          <w:rFonts w:ascii="Arial" w:eastAsia="Calibri" w:hAnsi="Arial" w:cs="Arial"/>
          <w:sz w:val="20"/>
        </w:rPr>
      </w:pPr>
      <w:r w:rsidRPr="00CE4289">
        <w:rPr>
          <w:rFonts w:ascii="Arial" w:eastAsia="Calibri" w:hAnsi="Arial" w:cs="Arial"/>
          <w:sz w:val="20"/>
        </w:rPr>
        <w:t>Desde el 1 de enero de 2020, los clientes del Banco reciben los siguientes servicios:</w:t>
      </w:r>
    </w:p>
    <w:p w14:paraId="55D49DB9" w14:textId="77777777" w:rsidR="00331C9B" w:rsidRPr="00CE4289" w:rsidRDefault="00331C9B" w:rsidP="00331C9B">
      <w:pPr>
        <w:spacing w:after="160" w:line="259" w:lineRule="auto"/>
        <w:jc w:val="both"/>
        <w:rPr>
          <w:rFonts w:ascii="Arial" w:eastAsia="Calibri" w:hAnsi="Arial" w:cs="Arial"/>
          <w:sz w:val="20"/>
        </w:rPr>
      </w:pPr>
      <w:r w:rsidRPr="00CE4289">
        <w:rPr>
          <w:rFonts w:ascii="Arial" w:eastAsia="Calibri" w:hAnsi="Arial" w:cs="Arial"/>
          <w:sz w:val="20"/>
        </w:rPr>
        <w:t>•</w:t>
      </w:r>
      <w:r>
        <w:rPr>
          <w:rFonts w:ascii="Arial" w:eastAsia="Calibri" w:hAnsi="Arial" w:cs="Arial"/>
          <w:sz w:val="20"/>
        </w:rPr>
        <w:t xml:space="preserve">     </w:t>
      </w:r>
      <w:r w:rsidRPr="00CB452B">
        <w:rPr>
          <w:rFonts w:ascii="Arial" w:eastAsia="Calibri" w:hAnsi="Arial" w:cs="Arial"/>
          <w:i/>
          <w:sz w:val="20"/>
        </w:rPr>
        <w:t>Segmento de Banca Personas y Negocios:</w:t>
      </w:r>
    </w:p>
    <w:p w14:paraId="58B3A8B5" w14:textId="77777777" w:rsidR="00331C9B" w:rsidRPr="00CE4289" w:rsidRDefault="00331C9B" w:rsidP="00331C9B">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Pequeñas empresas, particulares y empresas con ventas anuales de hasta 100.000</w:t>
      </w:r>
    </w:p>
    <w:p w14:paraId="7F5C142C" w14:textId="77777777" w:rsidR="00331C9B" w:rsidRPr="00CE4289" w:rsidRDefault="00331C9B" w:rsidP="00331C9B">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“PYMES”, empresas con ventas anuales superiores a 100.000 e inferiores a 700.000</w:t>
      </w:r>
    </w:p>
    <w:p w14:paraId="0A7ED5D2" w14:textId="77777777" w:rsidR="00331C9B" w:rsidRPr="00CE4289" w:rsidRDefault="00331C9B" w:rsidP="00331C9B">
      <w:pPr>
        <w:spacing w:after="160" w:line="259" w:lineRule="auto"/>
        <w:jc w:val="both"/>
        <w:rPr>
          <w:rFonts w:ascii="Arial" w:eastAsia="Calibri" w:hAnsi="Arial" w:cs="Arial"/>
          <w:sz w:val="20"/>
        </w:rPr>
      </w:pPr>
      <w:r w:rsidRPr="00CE4289">
        <w:rPr>
          <w:rFonts w:ascii="Arial" w:eastAsia="Calibri" w:hAnsi="Arial" w:cs="Arial"/>
          <w:sz w:val="20"/>
        </w:rPr>
        <w:t>•</w:t>
      </w:r>
      <w:r>
        <w:rPr>
          <w:rFonts w:ascii="Arial" w:eastAsia="Calibri" w:hAnsi="Arial" w:cs="Arial"/>
          <w:sz w:val="20"/>
        </w:rPr>
        <w:t xml:space="preserve">    </w:t>
      </w:r>
      <w:r w:rsidRPr="00CB452B">
        <w:rPr>
          <w:rFonts w:ascii="Arial" w:eastAsia="Calibri" w:hAnsi="Arial" w:cs="Arial"/>
          <w:i/>
          <w:sz w:val="20"/>
        </w:rPr>
        <w:t>Segmento de Banca Corporativa:</w:t>
      </w:r>
    </w:p>
    <w:p w14:paraId="3EDD9A41" w14:textId="77777777" w:rsidR="00331C9B" w:rsidRPr="00CE4289" w:rsidRDefault="00331C9B" w:rsidP="00331C9B">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Megras con ventas anuales superiores a 700.000 e inferiores a 2.500.000</w:t>
      </w:r>
    </w:p>
    <w:p w14:paraId="56737598" w14:textId="77777777" w:rsidR="00331C9B" w:rsidRDefault="00331C9B" w:rsidP="00331C9B">
      <w:pPr>
        <w:spacing w:after="160" w:line="259" w:lineRule="auto"/>
        <w:jc w:val="both"/>
        <w:rPr>
          <w:rFonts w:ascii="Arial" w:eastAsia="Calibri" w:hAnsi="Arial" w:cs="Arial"/>
          <w:sz w:val="20"/>
        </w:rPr>
      </w:pPr>
      <w:r>
        <w:rPr>
          <w:rFonts w:ascii="Arial" w:eastAsia="Calibri" w:hAnsi="Arial" w:cs="Arial"/>
          <w:sz w:val="20"/>
        </w:rPr>
        <w:t xml:space="preserve">           </w:t>
      </w:r>
      <w:r w:rsidRPr="00CE4289">
        <w:rPr>
          <w:rFonts w:ascii="Arial" w:eastAsia="Calibri" w:hAnsi="Arial" w:cs="Arial"/>
          <w:sz w:val="20"/>
        </w:rPr>
        <w:t>-</w:t>
      </w:r>
      <w:r w:rsidRPr="00CE4289">
        <w:rPr>
          <w:rFonts w:ascii="Arial" w:eastAsia="Calibri" w:hAnsi="Arial" w:cs="Arial"/>
          <w:sz w:val="20"/>
        </w:rPr>
        <w:tab/>
        <w:t>Grandes corporaciones, compañías con ventas anuales de más de 2.500.000</w:t>
      </w:r>
    </w:p>
    <w:p w14:paraId="26733B16" w14:textId="77777777" w:rsidR="00331C9B" w:rsidRPr="00701F32" w:rsidRDefault="00331C9B" w:rsidP="00331C9B">
      <w:pPr>
        <w:spacing w:after="160" w:line="259" w:lineRule="auto"/>
        <w:jc w:val="both"/>
        <w:rPr>
          <w:rFonts w:ascii="Arial" w:eastAsia="Calibri" w:hAnsi="Arial" w:cs="Arial"/>
          <w:sz w:val="20"/>
        </w:rPr>
      </w:pPr>
      <w:r w:rsidRPr="00CE4289">
        <w:rPr>
          <w:rFonts w:ascii="Arial" w:eastAsia="Calibri" w:hAnsi="Arial" w:cs="Arial"/>
          <w:sz w:val="20"/>
        </w:rPr>
        <w:t xml:space="preserve">El </w:t>
      </w:r>
      <w:r>
        <w:rPr>
          <w:rFonts w:ascii="Arial" w:eastAsia="Calibri" w:hAnsi="Arial" w:cs="Arial"/>
          <w:sz w:val="20"/>
        </w:rPr>
        <w:t>Banco</w:t>
      </w:r>
      <w:r w:rsidRPr="00CE4289">
        <w:rPr>
          <w:rFonts w:ascii="Arial" w:eastAsia="Calibri" w:hAnsi="Arial" w:cs="Arial"/>
          <w:sz w:val="20"/>
        </w:rPr>
        <w:t xml:space="preserve"> considera el negocio a los tipos de productos y servicios ofrecidos, identificando de esta forma los siguientes segmentos operativos:</w:t>
      </w:r>
    </w:p>
    <w:p w14:paraId="5EE1687E" w14:textId="7BF023A4" w:rsidR="00656E62" w:rsidRPr="005B6501" w:rsidRDefault="00656E62" w:rsidP="00627289">
      <w:pPr>
        <w:numPr>
          <w:ilvl w:val="0"/>
          <w:numId w:val="34"/>
        </w:numPr>
        <w:spacing w:after="160" w:line="259" w:lineRule="auto"/>
        <w:contextualSpacing/>
        <w:jc w:val="both"/>
        <w:rPr>
          <w:rFonts w:ascii="Arial" w:eastAsia="Calibri" w:hAnsi="Arial" w:cs="Arial"/>
          <w:bCs/>
          <w:sz w:val="20"/>
        </w:rPr>
      </w:pPr>
      <w:r w:rsidRPr="00701F32">
        <w:rPr>
          <w:rFonts w:ascii="Arial" w:eastAsia="Calibri" w:hAnsi="Arial" w:cs="Arial"/>
          <w:bCs/>
          <w:sz w:val="20"/>
        </w:rPr>
        <w:t>Banca</w:t>
      </w:r>
      <w:r w:rsidR="00851176">
        <w:rPr>
          <w:rFonts w:ascii="Arial" w:eastAsia="Calibri" w:hAnsi="Arial" w:cs="Arial"/>
          <w:bCs/>
          <w:sz w:val="20"/>
        </w:rPr>
        <w:t xml:space="preserve"> Personas y negocios</w:t>
      </w:r>
      <w:r w:rsidR="00B05BE2">
        <w:rPr>
          <w:rFonts w:ascii="Arial" w:eastAsia="Calibri" w:hAnsi="Arial" w:cs="Arial"/>
          <w:bCs/>
          <w:sz w:val="20"/>
        </w:rPr>
        <w:t>:</w:t>
      </w:r>
      <w:r w:rsidRPr="00701F32">
        <w:rPr>
          <w:rFonts w:ascii="Arial" w:eastAsia="Calibri" w:hAnsi="Arial" w:cs="Arial"/>
          <w:bCs/>
          <w:sz w:val="20"/>
        </w:rPr>
        <w:t xml:space="preserve"> </w:t>
      </w:r>
      <w:r w:rsidR="00F61AAF" w:rsidRPr="00F61AAF">
        <w:rPr>
          <w:rFonts w:ascii="Arial" w:eastAsia="Calibri" w:hAnsi="Arial" w:cs="Arial"/>
          <w:bCs/>
          <w:sz w:val="20"/>
        </w:rPr>
        <w:t>ofrece una amplia gama de productos y servicios financieros destinados a satisfacer las necesidades de sus clientes individuos y emprendedores y pequeñas empresas: Préstamos Personales, Préstamos Hipotecarios, Préstamos a Sola Firma, Préstamos con Líneas Especiales para Financiación de Proyectos y Capital de Trabajo, Leasing, Garantías de Inquilinos, Anticipos de Haberes, Préstamos Prendarios, Factoring Nacional e Internacional, Garantías Internacionales y Cartas de Crédito, Pago de haberes (Planes Sueldo), Tarjetas de Crédito, Pago a Proveedores, Tarjetas de Débito, Cajas de Ahorro, Depósitos a Plazo Fijo, Cuentas Corrientes, además de servicios financieros e inversiones como Fondos Comunes de Inversión, Cobertura de Seguros y Garantías, y Pagos de Beneficios a Jubilados y Pensionados. A partir del 1 de enero de 2020, la cartera de PYMES fue incluida en este segmento.</w:t>
      </w:r>
    </w:p>
    <w:p w14:paraId="087295E6" w14:textId="77777777" w:rsidR="00656E62" w:rsidRPr="005B6501" w:rsidRDefault="00656E62" w:rsidP="00656E62">
      <w:pPr>
        <w:spacing w:after="160" w:line="259" w:lineRule="auto"/>
        <w:ind w:left="720"/>
        <w:contextualSpacing/>
        <w:jc w:val="both"/>
        <w:rPr>
          <w:rFonts w:ascii="Arial" w:eastAsia="Calibri" w:hAnsi="Arial" w:cs="Arial"/>
          <w:bCs/>
          <w:sz w:val="20"/>
        </w:rPr>
      </w:pPr>
    </w:p>
    <w:p w14:paraId="2EED5027" w14:textId="377C8684" w:rsidR="00656E62" w:rsidRPr="005B6501" w:rsidRDefault="00656E62" w:rsidP="00627289">
      <w:pPr>
        <w:numPr>
          <w:ilvl w:val="0"/>
          <w:numId w:val="34"/>
        </w:numPr>
        <w:spacing w:after="160" w:line="259" w:lineRule="auto"/>
        <w:contextualSpacing/>
        <w:jc w:val="both"/>
        <w:rPr>
          <w:rFonts w:ascii="Arial" w:eastAsia="Calibri" w:hAnsi="Arial" w:cs="Arial"/>
          <w:bCs/>
          <w:sz w:val="20"/>
        </w:rPr>
      </w:pPr>
      <w:r w:rsidRPr="005B6501">
        <w:rPr>
          <w:rFonts w:ascii="Arial" w:eastAsia="Calibri" w:hAnsi="Arial" w:cs="Arial"/>
          <w:bCs/>
          <w:sz w:val="20"/>
        </w:rPr>
        <w:t xml:space="preserve">Banca </w:t>
      </w:r>
      <w:r w:rsidR="00851176" w:rsidRPr="005B6501">
        <w:rPr>
          <w:rFonts w:ascii="Arial" w:eastAsia="Calibri" w:hAnsi="Arial" w:cs="Arial"/>
          <w:bCs/>
          <w:sz w:val="20"/>
        </w:rPr>
        <w:t>Corporativa</w:t>
      </w:r>
      <w:r w:rsidRPr="005B6501">
        <w:rPr>
          <w:rFonts w:ascii="Arial" w:eastAsia="Calibri" w:hAnsi="Arial" w:cs="Arial"/>
          <w:bCs/>
          <w:sz w:val="20"/>
        </w:rPr>
        <w:t xml:space="preserve">: Incluye </w:t>
      </w:r>
      <w:r w:rsidR="00F61AAF" w:rsidRPr="00F61AAF">
        <w:rPr>
          <w:rFonts w:ascii="Arial" w:eastAsia="Calibri" w:hAnsi="Arial" w:cs="Arial"/>
          <w:bCs/>
          <w:sz w:val="20"/>
        </w:rPr>
        <w:t xml:space="preserve">productos y servicios a Medianas y Grandes empresas. El servició de atención al cliente de este segmento está conformado por tres gerencias comerciales: Gerencia de Banca Corporativa AMBA, Gerencia de Banca Corporativa </w:t>
      </w:r>
      <w:r w:rsidR="00F61AAF" w:rsidRPr="00F61AAF">
        <w:rPr>
          <w:rFonts w:ascii="Arial" w:eastAsia="Calibri" w:hAnsi="Arial" w:cs="Arial"/>
          <w:bCs/>
          <w:sz w:val="20"/>
        </w:rPr>
        <w:lastRenderedPageBreak/>
        <w:t xml:space="preserve">Interior y División Sociedad de Garantías Reciprocas “SGRS”. Este segmento trabaja con foco en </w:t>
      </w:r>
      <w:r w:rsidR="002B77C5">
        <w:rPr>
          <w:rFonts w:ascii="Arial" w:eastAsia="Calibri" w:hAnsi="Arial" w:cs="Arial"/>
          <w:bCs/>
          <w:sz w:val="20"/>
        </w:rPr>
        <w:t>la</w:t>
      </w:r>
      <w:r w:rsidR="00F61AAF" w:rsidRPr="00F61AAF">
        <w:rPr>
          <w:rFonts w:ascii="Arial" w:eastAsia="Calibri" w:hAnsi="Arial" w:cs="Arial"/>
          <w:bCs/>
          <w:sz w:val="20"/>
        </w:rPr>
        <w:t xml:space="preserve"> proximidad al cliente, siendo esta una ventaja competitiva.</w:t>
      </w:r>
    </w:p>
    <w:p w14:paraId="6128B977" w14:textId="77777777" w:rsidR="00656E62" w:rsidRPr="005B6501" w:rsidRDefault="00656E62" w:rsidP="00656E62">
      <w:pPr>
        <w:spacing w:after="160" w:line="259" w:lineRule="auto"/>
        <w:contextualSpacing/>
        <w:jc w:val="both"/>
        <w:rPr>
          <w:rFonts w:ascii="Arial" w:eastAsia="Calibri" w:hAnsi="Arial" w:cs="Arial"/>
          <w:bCs/>
          <w:sz w:val="20"/>
        </w:rPr>
      </w:pPr>
    </w:p>
    <w:p w14:paraId="725FE724" w14:textId="3B7A1F6A" w:rsidR="00656E62" w:rsidRPr="005B6501" w:rsidRDefault="00656E62" w:rsidP="00627289">
      <w:pPr>
        <w:numPr>
          <w:ilvl w:val="0"/>
          <w:numId w:val="34"/>
        </w:numPr>
        <w:spacing w:after="160" w:line="259" w:lineRule="auto"/>
        <w:contextualSpacing/>
        <w:jc w:val="both"/>
        <w:rPr>
          <w:rFonts w:ascii="Arial" w:eastAsia="Calibri" w:hAnsi="Arial" w:cs="Arial"/>
          <w:bCs/>
          <w:sz w:val="20"/>
        </w:rPr>
      </w:pPr>
      <w:r w:rsidRPr="005B6501">
        <w:rPr>
          <w:rFonts w:ascii="Arial" w:eastAsia="Calibri" w:hAnsi="Arial" w:cs="Arial"/>
          <w:bCs/>
          <w:sz w:val="20"/>
        </w:rPr>
        <w:t>Tesorería: Este segmento es el responsable de la asignación de liquidez de la Entidad según las necesidades de las bancas y sus necesidades propias.</w:t>
      </w:r>
      <w:r w:rsidRPr="005B6501">
        <w:rPr>
          <w:rFonts w:ascii="Calibri" w:eastAsia="Calibri" w:hAnsi="Calibri"/>
          <w:sz w:val="22"/>
          <w:szCs w:val="22"/>
        </w:rPr>
        <w:t xml:space="preserve"> </w:t>
      </w:r>
      <w:r w:rsidRPr="005B6501">
        <w:rPr>
          <w:rFonts w:ascii="Arial" w:eastAsia="Calibri" w:hAnsi="Arial" w:cs="Arial"/>
          <w:bCs/>
          <w:sz w:val="20"/>
        </w:rPr>
        <w:t xml:space="preserve">El segmento Tesorería implementa las políticas de gestión de riesgo financiero del Banco, gestiona las operaciones de su mesa de dinero, distribuye productos financieros, por </w:t>
      </w:r>
      <w:r w:rsidR="0097126F" w:rsidRPr="005B6501">
        <w:rPr>
          <w:rFonts w:ascii="Arial" w:eastAsia="Calibri" w:hAnsi="Arial" w:cs="Arial"/>
          <w:bCs/>
          <w:sz w:val="20"/>
        </w:rPr>
        <w:t>ejemplo,</w:t>
      </w:r>
      <w:r w:rsidRPr="005B6501">
        <w:rPr>
          <w:rFonts w:ascii="Arial" w:eastAsia="Calibri" w:hAnsi="Arial" w:cs="Arial"/>
          <w:bCs/>
          <w:sz w:val="20"/>
        </w:rPr>
        <w:t xml:space="preserve"> valores negociables, y desarrolla negocios con los clientes del sector financiero y no financiero mayorista.</w:t>
      </w:r>
    </w:p>
    <w:p w14:paraId="1B34DE9A" w14:textId="77777777" w:rsidR="00656E62" w:rsidRPr="005B6501" w:rsidRDefault="00656E62" w:rsidP="00701F32">
      <w:pPr>
        <w:spacing w:after="160" w:line="259" w:lineRule="auto"/>
        <w:contextualSpacing/>
        <w:jc w:val="both"/>
        <w:rPr>
          <w:rFonts w:ascii="Arial" w:eastAsia="Calibri" w:hAnsi="Arial" w:cs="Arial"/>
          <w:bCs/>
          <w:color w:val="0000CC"/>
          <w:sz w:val="20"/>
        </w:rPr>
      </w:pPr>
    </w:p>
    <w:p w14:paraId="564C7822" w14:textId="77777777" w:rsidR="00656E62" w:rsidRPr="005B6501" w:rsidRDefault="00656E62" w:rsidP="00656E62">
      <w:pPr>
        <w:spacing w:after="160" w:line="259" w:lineRule="auto"/>
        <w:jc w:val="both"/>
        <w:rPr>
          <w:rFonts w:ascii="Arial" w:eastAsia="Calibri" w:hAnsi="Arial" w:cs="Arial"/>
          <w:bCs/>
          <w:sz w:val="20"/>
        </w:rPr>
      </w:pPr>
      <w:r w:rsidRPr="005B6501">
        <w:rPr>
          <w:rFonts w:ascii="Arial" w:eastAsia="Calibri" w:hAnsi="Arial" w:cs="Arial"/>
          <w:bCs/>
          <w:sz w:val="20"/>
        </w:rPr>
        <w:t xml:space="preserve">Los resultados operativos de los distintos segmentos operativos de la Entidad se monitorean por separado con el propósito de tomar decisiones sobre la asignación de recursos y la evaluación del desempeño de cada uno de los segmentos. El rendimiento de los mismos es evaluado basado en las ganancias o pérdidas operativas y es medido consistentemente con las ganancias y pérdidas operativas del estado </w:t>
      </w:r>
      <w:r w:rsidR="007D4640" w:rsidRPr="005B6501">
        <w:rPr>
          <w:rFonts w:ascii="Arial" w:eastAsia="Arial" w:hAnsi="Arial" w:cs="Arial"/>
          <w:sz w:val="20"/>
        </w:rPr>
        <w:t xml:space="preserve">separado </w:t>
      </w:r>
      <w:r w:rsidRPr="005B6501">
        <w:rPr>
          <w:rFonts w:ascii="Arial" w:eastAsia="Calibri" w:hAnsi="Arial" w:cs="Arial"/>
          <w:bCs/>
          <w:sz w:val="20"/>
        </w:rPr>
        <w:t>de ganancias y pérdidas.</w:t>
      </w:r>
    </w:p>
    <w:p w14:paraId="4EA9A769" w14:textId="52AA46FB" w:rsidR="00656E62" w:rsidRPr="005B6501" w:rsidRDefault="00656E62" w:rsidP="00656E62">
      <w:pPr>
        <w:spacing w:after="160" w:line="259" w:lineRule="auto"/>
        <w:jc w:val="both"/>
        <w:rPr>
          <w:rFonts w:ascii="Arial" w:eastAsia="Calibri" w:hAnsi="Arial" w:cs="Arial"/>
          <w:bCs/>
          <w:sz w:val="20"/>
        </w:rPr>
      </w:pPr>
      <w:r w:rsidRPr="005B6501">
        <w:rPr>
          <w:rFonts w:ascii="Arial" w:eastAsia="Calibri" w:hAnsi="Arial" w:cs="Arial"/>
          <w:bCs/>
          <w:sz w:val="20"/>
        </w:rPr>
        <w:t xml:space="preserve">Cuando ocurre alguna transacción, </w:t>
      </w:r>
      <w:r w:rsidR="008201EC" w:rsidRPr="005B6501">
        <w:rPr>
          <w:rFonts w:ascii="Arial" w:eastAsia="Calibri" w:hAnsi="Arial" w:cs="Arial"/>
          <w:bCs/>
          <w:sz w:val="20"/>
        </w:rPr>
        <w:t>la misma es realizada</w:t>
      </w:r>
      <w:r w:rsidRPr="005B6501">
        <w:rPr>
          <w:rFonts w:ascii="Arial" w:eastAsia="Calibri" w:hAnsi="Arial" w:cs="Arial"/>
          <w:bCs/>
          <w:sz w:val="20"/>
        </w:rPr>
        <w:t xml:space="preserve"> entre los segmentos operativos de manera similar a las transacciones realizadas con terceros. Los ingresos, los gastos y los resultados producidos por las transferencias entre los segmentos operativos son luego eliminadas de la consolidación.</w:t>
      </w:r>
    </w:p>
    <w:p w14:paraId="5D885909" w14:textId="77777777" w:rsidR="00656E62" w:rsidRPr="005B6501" w:rsidRDefault="00656E62" w:rsidP="00656E62">
      <w:pPr>
        <w:autoSpaceDE w:val="0"/>
        <w:autoSpaceDN w:val="0"/>
        <w:adjustRightInd w:val="0"/>
        <w:spacing w:after="160" w:line="259" w:lineRule="auto"/>
        <w:jc w:val="both"/>
        <w:rPr>
          <w:rFonts w:ascii="Arial" w:eastAsia="Calibri" w:hAnsi="Arial" w:cs="Arial"/>
          <w:color w:val="0000CC"/>
          <w:sz w:val="20"/>
        </w:rPr>
      </w:pPr>
      <w:r w:rsidRPr="005B6501">
        <w:rPr>
          <w:rFonts w:ascii="Arial" w:eastAsia="Calibri" w:hAnsi="Arial" w:cs="Arial"/>
          <w:sz w:val="20"/>
        </w:rPr>
        <w:t>La Entidad no presenta información por segmentos geográficos porque no existen explotaciones en entornos económicos con riesgos y rendimientos que sean significativamente diferentes</w:t>
      </w:r>
      <w:r w:rsidRPr="005B6501">
        <w:rPr>
          <w:rFonts w:ascii="Arial" w:eastAsia="Calibri" w:hAnsi="Arial" w:cs="Arial"/>
          <w:color w:val="0000CC"/>
          <w:sz w:val="20"/>
        </w:rPr>
        <w:t xml:space="preserve">. </w:t>
      </w:r>
    </w:p>
    <w:p w14:paraId="2BF3E856" w14:textId="3F41466D" w:rsidR="00044B2E" w:rsidRPr="005B6501" w:rsidRDefault="00656E62" w:rsidP="00DC0CC4">
      <w:pPr>
        <w:spacing w:after="160" w:line="259" w:lineRule="auto"/>
        <w:jc w:val="both"/>
        <w:rPr>
          <w:rFonts w:ascii="Arial" w:eastAsia="Calibri" w:hAnsi="Arial" w:cs="Arial"/>
          <w:bCs/>
          <w:sz w:val="20"/>
        </w:rPr>
      </w:pPr>
      <w:r w:rsidRPr="005B6501">
        <w:rPr>
          <w:rFonts w:ascii="Arial" w:eastAsia="Calibri" w:hAnsi="Arial" w:cs="Arial"/>
          <w:bCs/>
          <w:sz w:val="20"/>
        </w:rPr>
        <w:t xml:space="preserve">A continuación, se presenta la información por segmentos pertinente al </w:t>
      </w:r>
      <w:r w:rsidR="00886AE1" w:rsidRPr="005B6501">
        <w:rPr>
          <w:rFonts w:ascii="Arial" w:eastAsia="Calibri" w:hAnsi="Arial" w:cs="Arial"/>
          <w:bCs/>
          <w:sz w:val="20"/>
        </w:rPr>
        <w:t>3</w:t>
      </w:r>
      <w:r w:rsidR="00A9678C" w:rsidRPr="005B6501">
        <w:rPr>
          <w:rFonts w:ascii="Arial" w:eastAsia="Calibri" w:hAnsi="Arial" w:cs="Arial"/>
          <w:bCs/>
          <w:sz w:val="20"/>
        </w:rPr>
        <w:t>1</w:t>
      </w:r>
      <w:r w:rsidR="003915DE" w:rsidRPr="005B6501">
        <w:rPr>
          <w:rFonts w:ascii="Arial" w:eastAsia="Calibri" w:hAnsi="Arial" w:cs="Arial"/>
          <w:bCs/>
          <w:sz w:val="20"/>
        </w:rPr>
        <w:t xml:space="preserve"> de</w:t>
      </w:r>
      <w:r w:rsidR="0057197A" w:rsidRPr="005B6501">
        <w:rPr>
          <w:rFonts w:ascii="Arial" w:eastAsia="Calibri" w:hAnsi="Arial" w:cs="Arial"/>
          <w:bCs/>
          <w:sz w:val="20"/>
        </w:rPr>
        <w:t xml:space="preserve"> </w:t>
      </w:r>
      <w:r w:rsidR="00A9678C" w:rsidRPr="005B6501">
        <w:rPr>
          <w:rFonts w:ascii="Arial" w:eastAsia="Calibri" w:hAnsi="Arial" w:cs="Arial"/>
          <w:bCs/>
          <w:sz w:val="20"/>
        </w:rPr>
        <w:t>marzo</w:t>
      </w:r>
      <w:r w:rsidR="000924A1" w:rsidRPr="005B6501">
        <w:rPr>
          <w:rFonts w:ascii="Arial" w:eastAsia="Calibri" w:hAnsi="Arial" w:cs="Arial"/>
          <w:bCs/>
          <w:sz w:val="20"/>
        </w:rPr>
        <w:t xml:space="preserve"> </w:t>
      </w:r>
      <w:r w:rsidRPr="005B6501">
        <w:rPr>
          <w:rFonts w:ascii="Arial" w:eastAsia="Calibri" w:hAnsi="Arial" w:cs="Arial"/>
          <w:bCs/>
          <w:sz w:val="20"/>
        </w:rPr>
        <w:t xml:space="preserve">de </w:t>
      </w:r>
      <w:r w:rsidR="000924A1" w:rsidRPr="005B6501">
        <w:rPr>
          <w:rFonts w:ascii="Arial" w:eastAsia="Calibri" w:hAnsi="Arial" w:cs="Arial"/>
          <w:bCs/>
          <w:sz w:val="20"/>
        </w:rPr>
        <w:t>20</w:t>
      </w:r>
      <w:r w:rsidR="00A9678C" w:rsidRPr="005B6501">
        <w:rPr>
          <w:rFonts w:ascii="Arial" w:eastAsia="Calibri" w:hAnsi="Arial" w:cs="Arial"/>
          <w:bCs/>
          <w:sz w:val="20"/>
        </w:rPr>
        <w:t>20</w:t>
      </w:r>
      <w:r w:rsidR="000924A1" w:rsidRPr="005B6501">
        <w:rPr>
          <w:rFonts w:ascii="Arial" w:eastAsia="Calibri" w:hAnsi="Arial" w:cs="Arial"/>
          <w:bCs/>
          <w:sz w:val="20"/>
        </w:rPr>
        <w:t xml:space="preserve"> </w:t>
      </w:r>
      <w:r w:rsidRPr="005B6501">
        <w:rPr>
          <w:rFonts w:ascii="Arial" w:eastAsia="Calibri" w:hAnsi="Arial" w:cs="Arial"/>
          <w:bCs/>
          <w:sz w:val="20"/>
        </w:rPr>
        <w:t xml:space="preserve">y </w:t>
      </w:r>
      <w:r w:rsidR="000924A1" w:rsidRPr="005B6501">
        <w:rPr>
          <w:rFonts w:ascii="Arial" w:eastAsia="Calibri" w:hAnsi="Arial" w:cs="Arial"/>
          <w:bCs/>
          <w:sz w:val="20"/>
        </w:rPr>
        <w:t>201</w:t>
      </w:r>
      <w:r w:rsidR="00A9678C" w:rsidRPr="005B6501">
        <w:rPr>
          <w:rFonts w:ascii="Arial" w:eastAsia="Calibri" w:hAnsi="Arial" w:cs="Arial"/>
          <w:bCs/>
          <w:sz w:val="20"/>
        </w:rPr>
        <w:t>9</w:t>
      </w:r>
      <w:r w:rsidR="000924A1" w:rsidRPr="005B6501">
        <w:rPr>
          <w:rFonts w:ascii="Arial" w:eastAsia="Calibri" w:hAnsi="Arial" w:cs="Arial"/>
          <w:bCs/>
          <w:sz w:val="20"/>
        </w:rPr>
        <w:t xml:space="preserve"> </w:t>
      </w:r>
      <w:r w:rsidRPr="005B6501">
        <w:rPr>
          <w:rFonts w:ascii="Arial" w:eastAsia="Calibri" w:hAnsi="Arial" w:cs="Arial"/>
          <w:bCs/>
          <w:sz w:val="20"/>
        </w:rPr>
        <w:t>respectivamente:</w:t>
      </w:r>
    </w:p>
    <w:tbl>
      <w:tblPr>
        <w:tblW w:w="10348" w:type="dxa"/>
        <w:jc w:val="center"/>
        <w:tblCellMar>
          <w:left w:w="70" w:type="dxa"/>
          <w:right w:w="70" w:type="dxa"/>
        </w:tblCellMar>
        <w:tblLook w:val="04A0" w:firstRow="1" w:lastRow="0" w:firstColumn="1" w:lastColumn="0" w:noHBand="0" w:noVBand="1"/>
      </w:tblPr>
      <w:tblGrid>
        <w:gridCol w:w="4253"/>
        <w:gridCol w:w="1559"/>
        <w:gridCol w:w="1559"/>
        <w:gridCol w:w="1701"/>
        <w:gridCol w:w="1276"/>
      </w:tblGrid>
      <w:tr w:rsidR="00851176" w:rsidRPr="005B6501" w14:paraId="4395B4C2" w14:textId="77777777" w:rsidTr="00F30223">
        <w:trPr>
          <w:trHeight w:val="423"/>
          <w:tblHeader/>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09D8" w14:textId="4939CDC0" w:rsidR="00851176" w:rsidRPr="00BA7A6B" w:rsidRDefault="00851176" w:rsidP="00851176">
            <w:pPr>
              <w:jc w:val="center"/>
              <w:rPr>
                <w:rFonts w:ascii="Arial" w:hAnsi="Arial" w:cs="Arial"/>
                <w:b/>
                <w:bCs/>
                <w:sz w:val="16"/>
                <w:szCs w:val="16"/>
                <w:lang w:val="es-ES_tradnl" w:eastAsia="es-AR"/>
              </w:rPr>
            </w:pPr>
            <w:r w:rsidRPr="00BA7A6B">
              <w:rPr>
                <w:rFonts w:ascii="Arial" w:hAnsi="Arial" w:cs="Arial"/>
                <w:b/>
                <w:bCs/>
                <w:sz w:val="16"/>
                <w:szCs w:val="16"/>
                <w:lang w:eastAsia="es-AR"/>
              </w:rPr>
              <w:t>ACTIVO al 31/03/2020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BD5572" w14:textId="2868649D" w:rsidR="00851176" w:rsidRPr="00BA7A6B"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Corporativa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283D62B" w14:textId="43C65A30" w:rsidR="00851176" w:rsidRPr="00BA7A6B"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Personas y Negocios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BC3511" w14:textId="77777777" w:rsidR="00851176" w:rsidRPr="00BA7A6B"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Tesorería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4CBA59" w14:textId="77777777" w:rsidR="00851176" w:rsidRPr="005B6501"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TOTAL</w:t>
            </w:r>
            <w:r w:rsidRPr="005B6501">
              <w:rPr>
                <w:rFonts w:ascii="Arial" w:hAnsi="Arial" w:cs="Arial"/>
                <w:b/>
                <w:bCs/>
                <w:color w:val="000000"/>
                <w:sz w:val="16"/>
                <w:szCs w:val="16"/>
                <w:lang w:eastAsia="es-AR"/>
              </w:rPr>
              <w:t xml:space="preserve"> </w:t>
            </w:r>
          </w:p>
        </w:tc>
      </w:tr>
      <w:tr w:rsidR="00D7611E" w:rsidRPr="005B6501" w14:paraId="549062E5" w14:textId="77777777" w:rsidTr="00D7611E">
        <w:trPr>
          <w:trHeight w:val="23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61445ACE" w14:textId="6D8423F6"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Efectivo y Depósitos en Bancos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165C72FF" w14:textId="5197470A" w:rsidR="00D7611E" w:rsidRPr="005B6501" w:rsidRDefault="00D7611E" w:rsidP="00D7611E">
            <w:pPr>
              <w:jc w:val="right"/>
              <w:rPr>
                <w:rFonts w:ascii="Arial" w:hAnsi="Arial" w:cs="Arial"/>
                <w:b/>
                <w:bCs/>
                <w:sz w:val="16"/>
                <w:szCs w:val="16"/>
                <w:lang w:eastAsia="es-AR"/>
              </w:rPr>
            </w:pPr>
            <w:r w:rsidRPr="005B6501">
              <w:rPr>
                <w:rFonts w:ascii="Arial" w:hAnsi="Arial" w:cs="Arial"/>
                <w:sz w:val="16"/>
                <w:szCs w:val="16"/>
              </w:rPr>
              <w:t xml:space="preserve"> 467.991 </w:t>
            </w:r>
          </w:p>
        </w:tc>
        <w:tc>
          <w:tcPr>
            <w:tcW w:w="1559" w:type="dxa"/>
            <w:tcBorders>
              <w:top w:val="nil"/>
              <w:left w:val="nil"/>
              <w:bottom w:val="single" w:sz="4" w:space="0" w:color="auto"/>
              <w:right w:val="single" w:sz="4" w:space="0" w:color="auto"/>
            </w:tcBorders>
            <w:shd w:val="clear" w:color="000000" w:fill="FFFFFF"/>
            <w:noWrap/>
            <w:vAlign w:val="bottom"/>
            <w:hideMark/>
          </w:tcPr>
          <w:p w14:paraId="73B45229" w14:textId="4AB13120" w:rsidR="00D7611E" w:rsidRPr="005B6501" w:rsidRDefault="00D7611E" w:rsidP="00D7611E">
            <w:pPr>
              <w:jc w:val="right"/>
              <w:rPr>
                <w:rFonts w:ascii="Arial" w:hAnsi="Arial" w:cs="Arial"/>
                <w:b/>
                <w:bCs/>
                <w:sz w:val="16"/>
                <w:szCs w:val="16"/>
                <w:lang w:eastAsia="es-AR"/>
              </w:rPr>
            </w:pPr>
            <w:r w:rsidRPr="005B6501">
              <w:rPr>
                <w:rFonts w:ascii="Arial" w:hAnsi="Arial" w:cs="Arial"/>
                <w:sz w:val="16"/>
                <w:szCs w:val="16"/>
              </w:rPr>
              <w:t xml:space="preserve"> 9.052.887 </w:t>
            </w:r>
          </w:p>
        </w:tc>
        <w:tc>
          <w:tcPr>
            <w:tcW w:w="1701" w:type="dxa"/>
            <w:tcBorders>
              <w:top w:val="nil"/>
              <w:left w:val="nil"/>
              <w:bottom w:val="single" w:sz="4" w:space="0" w:color="auto"/>
              <w:right w:val="single" w:sz="4" w:space="0" w:color="auto"/>
            </w:tcBorders>
            <w:shd w:val="clear" w:color="000000" w:fill="FFFFFF"/>
            <w:noWrap/>
            <w:vAlign w:val="bottom"/>
            <w:hideMark/>
          </w:tcPr>
          <w:p w14:paraId="67C0F191" w14:textId="1606FD3F" w:rsidR="00D7611E" w:rsidRPr="005B6501" w:rsidRDefault="00D7611E" w:rsidP="00D7611E">
            <w:pPr>
              <w:jc w:val="right"/>
              <w:rPr>
                <w:rFonts w:ascii="Arial" w:hAnsi="Arial" w:cs="Arial"/>
                <w:b/>
                <w:bCs/>
                <w:sz w:val="16"/>
                <w:szCs w:val="16"/>
                <w:lang w:eastAsia="es-AR"/>
              </w:rPr>
            </w:pPr>
            <w:r w:rsidRPr="005B6501">
              <w:rPr>
                <w:rFonts w:ascii="Arial" w:hAnsi="Arial" w:cs="Arial"/>
                <w:sz w:val="16"/>
                <w:szCs w:val="16"/>
              </w:rPr>
              <w:t xml:space="preserve"> 25.641.608 </w:t>
            </w:r>
          </w:p>
        </w:tc>
        <w:tc>
          <w:tcPr>
            <w:tcW w:w="1276" w:type="dxa"/>
            <w:tcBorders>
              <w:top w:val="nil"/>
              <w:left w:val="nil"/>
              <w:bottom w:val="single" w:sz="4" w:space="0" w:color="auto"/>
              <w:right w:val="single" w:sz="4" w:space="0" w:color="auto"/>
            </w:tcBorders>
            <w:shd w:val="clear" w:color="000000" w:fill="FFFFFF"/>
            <w:noWrap/>
            <w:vAlign w:val="bottom"/>
            <w:hideMark/>
          </w:tcPr>
          <w:p w14:paraId="70003F7C" w14:textId="768F0EBE"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35.162.486 </w:t>
            </w:r>
          </w:p>
        </w:tc>
      </w:tr>
      <w:tr w:rsidR="00D7611E" w:rsidRPr="005B6501" w14:paraId="5395604A"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422EC5EE" w14:textId="066027EF" w:rsidR="00D7611E" w:rsidRPr="005B6501" w:rsidRDefault="00D7611E" w:rsidP="00D7611E">
            <w:pPr>
              <w:rPr>
                <w:rFonts w:ascii="Arial" w:hAnsi="Arial" w:cs="Arial"/>
                <w:sz w:val="16"/>
                <w:szCs w:val="16"/>
                <w:lang w:eastAsia="es-AR"/>
              </w:rPr>
            </w:pPr>
            <w:r w:rsidRPr="005B6501">
              <w:rPr>
                <w:rFonts w:ascii="Arial" w:hAnsi="Arial" w:cs="Arial"/>
                <w:sz w:val="16"/>
                <w:szCs w:val="16"/>
              </w:rPr>
              <w:t xml:space="preserve">   Efectivo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176C1407" w14:textId="75A0DEED"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467.762 </w:t>
            </w:r>
          </w:p>
        </w:tc>
        <w:tc>
          <w:tcPr>
            <w:tcW w:w="1559" w:type="dxa"/>
            <w:tcBorders>
              <w:top w:val="nil"/>
              <w:left w:val="nil"/>
              <w:bottom w:val="single" w:sz="4" w:space="0" w:color="auto"/>
              <w:right w:val="single" w:sz="4" w:space="0" w:color="auto"/>
            </w:tcBorders>
            <w:shd w:val="clear" w:color="000000" w:fill="FFFFFF"/>
            <w:noWrap/>
            <w:vAlign w:val="bottom"/>
            <w:hideMark/>
          </w:tcPr>
          <w:p w14:paraId="28491ED8" w14:textId="70E65952"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9.070.513 </w:t>
            </w:r>
          </w:p>
        </w:tc>
        <w:tc>
          <w:tcPr>
            <w:tcW w:w="1701" w:type="dxa"/>
            <w:tcBorders>
              <w:top w:val="nil"/>
              <w:left w:val="nil"/>
              <w:bottom w:val="single" w:sz="4" w:space="0" w:color="auto"/>
              <w:right w:val="single" w:sz="4" w:space="0" w:color="auto"/>
            </w:tcBorders>
            <w:shd w:val="clear" w:color="000000" w:fill="FFFFFF"/>
            <w:noWrap/>
            <w:vAlign w:val="bottom"/>
            <w:hideMark/>
          </w:tcPr>
          <w:p w14:paraId="18311731" w14:textId="4D0347E3"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   </w:t>
            </w:r>
          </w:p>
        </w:tc>
        <w:tc>
          <w:tcPr>
            <w:tcW w:w="1276" w:type="dxa"/>
            <w:tcBorders>
              <w:top w:val="nil"/>
              <w:left w:val="nil"/>
              <w:bottom w:val="single" w:sz="4" w:space="0" w:color="auto"/>
              <w:right w:val="single" w:sz="4" w:space="0" w:color="auto"/>
            </w:tcBorders>
            <w:shd w:val="clear" w:color="000000" w:fill="FFFFFF"/>
            <w:noWrap/>
            <w:vAlign w:val="bottom"/>
            <w:hideMark/>
          </w:tcPr>
          <w:p w14:paraId="2E537AA9" w14:textId="4F10647A" w:rsidR="00D7611E" w:rsidRPr="005B6501" w:rsidRDefault="00D7611E" w:rsidP="00D7611E">
            <w:pPr>
              <w:jc w:val="right"/>
              <w:rPr>
                <w:rFonts w:ascii="Arial" w:hAnsi="Arial" w:cs="Arial"/>
                <w:b/>
                <w:bCs/>
                <w:sz w:val="16"/>
                <w:szCs w:val="16"/>
                <w:lang w:val="es-ES_tradnl" w:eastAsia="es-AR"/>
              </w:rPr>
            </w:pPr>
            <w:r w:rsidRPr="005B6501">
              <w:rPr>
                <w:rFonts w:ascii="Arial" w:hAnsi="Arial" w:cs="Arial"/>
                <w:b/>
                <w:sz w:val="16"/>
                <w:szCs w:val="16"/>
              </w:rPr>
              <w:t xml:space="preserve"> 9.538.275 </w:t>
            </w:r>
          </w:p>
        </w:tc>
      </w:tr>
      <w:tr w:rsidR="00D7611E" w:rsidRPr="005B6501" w14:paraId="24D89B1D" w14:textId="77777777" w:rsidTr="00D7611E">
        <w:trPr>
          <w:trHeight w:val="229"/>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tcPr>
          <w:p w14:paraId="6EB3DDBF" w14:textId="468B9ACA" w:rsidR="00D7611E" w:rsidRPr="005B6501" w:rsidRDefault="00D7611E" w:rsidP="00D7611E">
            <w:pPr>
              <w:rPr>
                <w:rFonts w:ascii="Arial" w:hAnsi="Arial" w:cs="Arial"/>
                <w:sz w:val="16"/>
                <w:szCs w:val="16"/>
                <w:lang w:eastAsia="es-AR"/>
              </w:rPr>
            </w:pPr>
            <w:r w:rsidRPr="005B6501">
              <w:rPr>
                <w:rFonts w:ascii="Arial" w:hAnsi="Arial" w:cs="Arial"/>
                <w:sz w:val="16"/>
                <w:szCs w:val="16"/>
              </w:rPr>
              <w:t xml:space="preserve">      BCRA</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054EE106" w14:textId="4A680351" w:rsidR="00D7611E" w:rsidRPr="005B6501" w:rsidRDefault="00D7611E" w:rsidP="00D7611E">
            <w:pPr>
              <w:jc w:val="right"/>
              <w:rPr>
                <w:rFonts w:ascii="Arial" w:hAnsi="Arial" w:cs="Arial"/>
                <w:sz w:val="16"/>
                <w:szCs w:val="16"/>
              </w:rPr>
            </w:pPr>
            <w:r w:rsidRPr="005B6501">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tcPr>
          <w:p w14:paraId="3E1B67BD" w14:textId="1ECD8185" w:rsidR="00D7611E" w:rsidRPr="005B6501" w:rsidRDefault="00D7611E" w:rsidP="00D7611E">
            <w:pPr>
              <w:jc w:val="right"/>
              <w:rPr>
                <w:rFonts w:ascii="Arial" w:hAnsi="Arial" w:cs="Arial"/>
                <w:sz w:val="16"/>
                <w:szCs w:val="16"/>
              </w:rPr>
            </w:pPr>
            <w:r w:rsidRPr="005B6501">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tcPr>
          <w:p w14:paraId="3C679F38" w14:textId="76A80AB7" w:rsidR="00D7611E" w:rsidRPr="005B6501" w:rsidRDefault="00D7611E" w:rsidP="00D7611E">
            <w:pPr>
              <w:jc w:val="right"/>
              <w:rPr>
                <w:rFonts w:ascii="Arial" w:hAnsi="Arial" w:cs="Arial"/>
                <w:sz w:val="16"/>
                <w:szCs w:val="16"/>
              </w:rPr>
            </w:pPr>
            <w:r w:rsidRPr="005B6501">
              <w:rPr>
                <w:rFonts w:ascii="Arial" w:hAnsi="Arial" w:cs="Arial"/>
                <w:sz w:val="16"/>
                <w:szCs w:val="16"/>
              </w:rPr>
              <w:t xml:space="preserve"> 24.214.769 </w:t>
            </w:r>
          </w:p>
        </w:tc>
        <w:tc>
          <w:tcPr>
            <w:tcW w:w="1276" w:type="dxa"/>
            <w:tcBorders>
              <w:top w:val="nil"/>
              <w:left w:val="nil"/>
              <w:bottom w:val="single" w:sz="4" w:space="0" w:color="auto"/>
              <w:right w:val="single" w:sz="4" w:space="0" w:color="auto"/>
            </w:tcBorders>
            <w:shd w:val="clear" w:color="000000" w:fill="FFFFFF"/>
            <w:noWrap/>
            <w:vAlign w:val="bottom"/>
          </w:tcPr>
          <w:p w14:paraId="6E53EDD9" w14:textId="2525244C"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24.214.769 </w:t>
            </w:r>
          </w:p>
        </w:tc>
      </w:tr>
      <w:tr w:rsidR="00D7611E" w:rsidRPr="005B6501" w14:paraId="696E30B6" w14:textId="77777777" w:rsidTr="00D7611E">
        <w:trPr>
          <w:trHeight w:val="229"/>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79300807" w14:textId="38F9CCAD" w:rsidR="00D7611E" w:rsidRPr="005B6501" w:rsidRDefault="00D7611E" w:rsidP="00D7611E">
            <w:pPr>
              <w:rPr>
                <w:rFonts w:ascii="Arial" w:hAnsi="Arial" w:cs="Arial"/>
                <w:sz w:val="16"/>
                <w:szCs w:val="16"/>
                <w:lang w:eastAsia="es-AR"/>
              </w:rPr>
            </w:pPr>
            <w:r w:rsidRPr="005B6501">
              <w:rPr>
                <w:rFonts w:ascii="Arial" w:hAnsi="Arial" w:cs="Arial"/>
                <w:sz w:val="16"/>
                <w:szCs w:val="16"/>
              </w:rPr>
              <w:t xml:space="preserve">      Otras del país y del exterior</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42B0F86B" w14:textId="788A5611"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1A36EEB9" w14:textId="2BD33D5F"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-40.342 </w:t>
            </w:r>
          </w:p>
        </w:tc>
        <w:tc>
          <w:tcPr>
            <w:tcW w:w="1701" w:type="dxa"/>
            <w:tcBorders>
              <w:top w:val="nil"/>
              <w:left w:val="nil"/>
              <w:bottom w:val="single" w:sz="4" w:space="0" w:color="auto"/>
              <w:right w:val="single" w:sz="4" w:space="0" w:color="auto"/>
            </w:tcBorders>
            <w:shd w:val="clear" w:color="000000" w:fill="FFFFFF"/>
            <w:noWrap/>
            <w:vAlign w:val="bottom"/>
            <w:hideMark/>
          </w:tcPr>
          <w:p w14:paraId="4870FE7B" w14:textId="58D43478" w:rsidR="00D7611E" w:rsidRPr="005B6501" w:rsidRDefault="00D7611E" w:rsidP="00D7611E">
            <w:pPr>
              <w:jc w:val="right"/>
              <w:rPr>
                <w:rFonts w:ascii="Arial" w:hAnsi="Arial" w:cs="Arial"/>
                <w:bCs/>
                <w:sz w:val="16"/>
                <w:szCs w:val="16"/>
                <w:lang w:val="es-ES_tradnl" w:eastAsia="es-AR"/>
              </w:rPr>
            </w:pPr>
            <w:r w:rsidRPr="005B6501">
              <w:rPr>
                <w:rFonts w:ascii="Arial" w:hAnsi="Arial" w:cs="Arial"/>
                <w:sz w:val="16"/>
                <w:szCs w:val="16"/>
              </w:rPr>
              <w:t xml:space="preserve"> 1.423.509 </w:t>
            </w:r>
          </w:p>
        </w:tc>
        <w:tc>
          <w:tcPr>
            <w:tcW w:w="1276" w:type="dxa"/>
            <w:tcBorders>
              <w:top w:val="nil"/>
              <w:left w:val="nil"/>
              <w:bottom w:val="single" w:sz="4" w:space="0" w:color="auto"/>
              <w:right w:val="single" w:sz="4" w:space="0" w:color="auto"/>
            </w:tcBorders>
            <w:shd w:val="clear" w:color="000000" w:fill="FFFFFF"/>
            <w:noWrap/>
            <w:vAlign w:val="bottom"/>
            <w:hideMark/>
          </w:tcPr>
          <w:p w14:paraId="31DF9544" w14:textId="4131437E" w:rsidR="00D7611E" w:rsidRPr="005B6501" w:rsidRDefault="00D7611E" w:rsidP="00D7611E">
            <w:pPr>
              <w:jc w:val="right"/>
              <w:rPr>
                <w:rFonts w:ascii="Arial" w:hAnsi="Arial" w:cs="Arial"/>
                <w:b/>
                <w:bCs/>
                <w:sz w:val="16"/>
                <w:szCs w:val="16"/>
                <w:lang w:val="es-ES_tradnl" w:eastAsia="es-AR"/>
              </w:rPr>
            </w:pPr>
            <w:r w:rsidRPr="005B6501">
              <w:rPr>
                <w:rFonts w:ascii="Arial" w:hAnsi="Arial" w:cs="Arial"/>
                <w:b/>
                <w:sz w:val="16"/>
                <w:szCs w:val="16"/>
              </w:rPr>
              <w:t xml:space="preserve"> 1.383.167 </w:t>
            </w:r>
          </w:p>
        </w:tc>
      </w:tr>
      <w:tr w:rsidR="00D7611E" w:rsidRPr="005B6501" w14:paraId="0AC5037B"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434F9C3F" w14:textId="1524CE33" w:rsidR="00D7611E" w:rsidRPr="005B6501" w:rsidRDefault="00D7611E" w:rsidP="00D7611E">
            <w:pPr>
              <w:rPr>
                <w:rFonts w:ascii="Arial" w:hAnsi="Arial" w:cs="Arial"/>
                <w:sz w:val="16"/>
                <w:szCs w:val="16"/>
                <w:lang w:eastAsia="es-AR"/>
              </w:rPr>
            </w:pPr>
            <w:r w:rsidRPr="005B6501">
              <w:rPr>
                <w:rFonts w:ascii="Arial" w:hAnsi="Arial" w:cs="Arial"/>
                <w:sz w:val="16"/>
                <w:szCs w:val="16"/>
              </w:rPr>
              <w:t xml:space="preserve">   Otros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6029E677" w14:textId="35A06D92"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229 </w:t>
            </w:r>
          </w:p>
        </w:tc>
        <w:tc>
          <w:tcPr>
            <w:tcW w:w="1559" w:type="dxa"/>
            <w:tcBorders>
              <w:top w:val="nil"/>
              <w:left w:val="nil"/>
              <w:bottom w:val="single" w:sz="4" w:space="0" w:color="auto"/>
              <w:right w:val="single" w:sz="4" w:space="0" w:color="auto"/>
            </w:tcBorders>
            <w:shd w:val="clear" w:color="000000" w:fill="FFFFFF"/>
            <w:noWrap/>
            <w:vAlign w:val="bottom"/>
            <w:hideMark/>
          </w:tcPr>
          <w:p w14:paraId="427B4B4E" w14:textId="7CE7EFA1"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22.716 </w:t>
            </w:r>
          </w:p>
        </w:tc>
        <w:tc>
          <w:tcPr>
            <w:tcW w:w="1701" w:type="dxa"/>
            <w:tcBorders>
              <w:top w:val="nil"/>
              <w:left w:val="nil"/>
              <w:bottom w:val="single" w:sz="4" w:space="0" w:color="auto"/>
              <w:right w:val="single" w:sz="4" w:space="0" w:color="auto"/>
            </w:tcBorders>
            <w:shd w:val="clear" w:color="000000" w:fill="FFFFFF"/>
            <w:noWrap/>
            <w:vAlign w:val="bottom"/>
            <w:hideMark/>
          </w:tcPr>
          <w:p w14:paraId="0F04D4A4" w14:textId="1AEB884A"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3.330 </w:t>
            </w:r>
          </w:p>
        </w:tc>
        <w:tc>
          <w:tcPr>
            <w:tcW w:w="1276" w:type="dxa"/>
            <w:tcBorders>
              <w:top w:val="nil"/>
              <w:left w:val="nil"/>
              <w:bottom w:val="single" w:sz="4" w:space="0" w:color="auto"/>
              <w:right w:val="single" w:sz="4" w:space="0" w:color="auto"/>
            </w:tcBorders>
            <w:shd w:val="clear" w:color="000000" w:fill="FFFFFF"/>
            <w:noWrap/>
            <w:vAlign w:val="bottom"/>
            <w:hideMark/>
          </w:tcPr>
          <w:p w14:paraId="475E613C" w14:textId="7A94D3A2"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26.275 </w:t>
            </w:r>
          </w:p>
        </w:tc>
      </w:tr>
      <w:tr w:rsidR="00D7611E" w:rsidRPr="005B6501" w14:paraId="5CF598DE" w14:textId="77777777" w:rsidTr="00D7611E">
        <w:trPr>
          <w:trHeight w:val="186"/>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43234081" w14:textId="6F45E4FB" w:rsidR="00D7611E" w:rsidRPr="005B6501" w:rsidRDefault="00D7611E" w:rsidP="00D7611E">
            <w:pPr>
              <w:rPr>
                <w:rFonts w:ascii="Arial" w:hAnsi="Arial" w:cs="Arial"/>
                <w:b/>
                <w:sz w:val="16"/>
                <w:szCs w:val="16"/>
                <w:lang w:eastAsia="es-AR"/>
              </w:rPr>
            </w:pPr>
            <w:r w:rsidRPr="005B6501">
              <w:rPr>
                <w:rFonts w:ascii="Arial" w:hAnsi="Arial" w:cs="Arial"/>
                <w:b/>
                <w:sz w:val="16"/>
                <w:szCs w:val="16"/>
              </w:rPr>
              <w:t>Títulos de deuda a valor razonable con cambios en resultados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A6E5EE5" w14:textId="5026A07F"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373B3C5A" w14:textId="06C58149"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76871545" w14:textId="54CC0DFF"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260.060 </w:t>
            </w:r>
          </w:p>
        </w:tc>
        <w:tc>
          <w:tcPr>
            <w:tcW w:w="1276" w:type="dxa"/>
            <w:tcBorders>
              <w:top w:val="nil"/>
              <w:left w:val="nil"/>
              <w:bottom w:val="single" w:sz="4" w:space="0" w:color="auto"/>
              <w:right w:val="single" w:sz="4" w:space="0" w:color="auto"/>
            </w:tcBorders>
            <w:shd w:val="clear" w:color="000000" w:fill="FFFFFF"/>
            <w:noWrap/>
            <w:vAlign w:val="bottom"/>
            <w:hideMark/>
          </w:tcPr>
          <w:p w14:paraId="3747EA55" w14:textId="01F72FAA"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260.060 </w:t>
            </w:r>
          </w:p>
        </w:tc>
      </w:tr>
      <w:tr w:rsidR="00D7611E" w:rsidRPr="005B6501" w14:paraId="39A5F286" w14:textId="77777777" w:rsidTr="00D7611E">
        <w:trPr>
          <w:trHeight w:val="423"/>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54F65C42" w14:textId="0FF2D7E4"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 xml:space="preserve">Instrumentos derivados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0A3E2121" w14:textId="414B3087"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0C89979A" w14:textId="77BA4BB7"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1589B3A8" w14:textId="788DA9CD"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143.424 </w:t>
            </w:r>
          </w:p>
        </w:tc>
        <w:tc>
          <w:tcPr>
            <w:tcW w:w="1276" w:type="dxa"/>
            <w:tcBorders>
              <w:top w:val="nil"/>
              <w:left w:val="nil"/>
              <w:bottom w:val="single" w:sz="4" w:space="0" w:color="auto"/>
              <w:right w:val="single" w:sz="4" w:space="0" w:color="auto"/>
            </w:tcBorders>
            <w:shd w:val="clear" w:color="000000" w:fill="FFFFFF"/>
            <w:noWrap/>
            <w:vAlign w:val="bottom"/>
            <w:hideMark/>
          </w:tcPr>
          <w:p w14:paraId="5EBDFD29" w14:textId="49D8F8DF" w:rsidR="00D7611E" w:rsidRPr="005B6501" w:rsidRDefault="00D7611E" w:rsidP="00D7611E">
            <w:pPr>
              <w:jc w:val="right"/>
              <w:rPr>
                <w:rFonts w:ascii="Arial" w:hAnsi="Arial" w:cs="Arial"/>
                <w:b/>
                <w:bCs/>
                <w:sz w:val="16"/>
                <w:szCs w:val="16"/>
                <w:lang w:eastAsia="es-AR"/>
              </w:rPr>
            </w:pPr>
            <w:r w:rsidRPr="005B6501">
              <w:rPr>
                <w:rFonts w:ascii="Arial" w:hAnsi="Arial" w:cs="Arial"/>
                <w:b/>
                <w:bCs/>
                <w:sz w:val="16"/>
                <w:szCs w:val="16"/>
              </w:rPr>
              <w:t xml:space="preserve">               143.424 </w:t>
            </w:r>
          </w:p>
        </w:tc>
      </w:tr>
      <w:tr w:rsidR="003D0B81" w:rsidRPr="005B6501" w14:paraId="21B3D78E" w14:textId="77777777" w:rsidTr="00D7611E">
        <w:trPr>
          <w:trHeight w:val="423"/>
          <w:jc w:val="center"/>
        </w:trPr>
        <w:tc>
          <w:tcPr>
            <w:tcW w:w="4253" w:type="dxa"/>
            <w:tcBorders>
              <w:top w:val="nil"/>
              <w:left w:val="single" w:sz="4" w:space="0" w:color="auto"/>
              <w:bottom w:val="single" w:sz="4" w:space="0" w:color="363639"/>
              <w:right w:val="single" w:sz="4" w:space="0" w:color="363639"/>
            </w:tcBorders>
            <w:shd w:val="clear" w:color="000000" w:fill="FFFFFF"/>
            <w:vAlign w:val="bottom"/>
          </w:tcPr>
          <w:p w14:paraId="604E5532" w14:textId="6914370E" w:rsidR="003D0B81" w:rsidRPr="005B6501" w:rsidRDefault="003D0B81" w:rsidP="00D7611E">
            <w:pPr>
              <w:rPr>
                <w:rFonts w:ascii="Arial" w:hAnsi="Arial" w:cs="Arial"/>
                <w:b/>
                <w:sz w:val="16"/>
                <w:szCs w:val="16"/>
              </w:rPr>
            </w:pPr>
            <w:r>
              <w:rPr>
                <w:rFonts w:ascii="Arial" w:hAnsi="Arial" w:cs="Arial"/>
                <w:b/>
                <w:sz w:val="16"/>
                <w:szCs w:val="16"/>
              </w:rPr>
              <w:t>Operaciones de pases</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3827594C" w14:textId="1FE1994E" w:rsidR="003D0B81" w:rsidRPr="005B6501" w:rsidRDefault="003D0B81" w:rsidP="00D7611E">
            <w:pPr>
              <w:jc w:val="right"/>
              <w:rPr>
                <w:rFonts w:ascii="Arial" w:hAnsi="Arial" w:cs="Arial"/>
                <w:b/>
                <w:sz w:val="16"/>
                <w:szCs w:val="16"/>
              </w:rPr>
            </w:pPr>
            <w:r>
              <w:rPr>
                <w:rFonts w:ascii="Arial" w:hAnsi="Arial" w:cs="Arial"/>
                <w:b/>
                <w:sz w:val="16"/>
                <w:szCs w:val="16"/>
              </w:rPr>
              <w:t>67</w:t>
            </w:r>
          </w:p>
        </w:tc>
        <w:tc>
          <w:tcPr>
            <w:tcW w:w="1559" w:type="dxa"/>
            <w:tcBorders>
              <w:top w:val="nil"/>
              <w:left w:val="nil"/>
              <w:bottom w:val="single" w:sz="4" w:space="0" w:color="auto"/>
              <w:right w:val="single" w:sz="4" w:space="0" w:color="auto"/>
            </w:tcBorders>
            <w:shd w:val="clear" w:color="000000" w:fill="FFFFFF"/>
            <w:noWrap/>
            <w:vAlign w:val="bottom"/>
          </w:tcPr>
          <w:p w14:paraId="5899954B" w14:textId="6F9260E9" w:rsidR="003D0B81" w:rsidRPr="005B6501" w:rsidRDefault="003D0B81" w:rsidP="00D7611E">
            <w:pPr>
              <w:jc w:val="right"/>
              <w:rPr>
                <w:rFonts w:ascii="Arial" w:hAnsi="Arial" w:cs="Arial"/>
                <w:b/>
                <w:sz w:val="16"/>
                <w:szCs w:val="16"/>
              </w:rPr>
            </w:pPr>
            <w:r>
              <w:rPr>
                <w:rFonts w:ascii="Arial" w:hAnsi="Arial" w:cs="Arial"/>
                <w:b/>
                <w:sz w:val="16"/>
                <w:szCs w:val="16"/>
              </w:rPr>
              <w:t>133</w:t>
            </w:r>
          </w:p>
        </w:tc>
        <w:tc>
          <w:tcPr>
            <w:tcW w:w="1701" w:type="dxa"/>
            <w:tcBorders>
              <w:top w:val="nil"/>
              <w:left w:val="nil"/>
              <w:bottom w:val="single" w:sz="4" w:space="0" w:color="auto"/>
              <w:right w:val="single" w:sz="4" w:space="0" w:color="auto"/>
            </w:tcBorders>
            <w:shd w:val="clear" w:color="000000" w:fill="FFFFFF"/>
            <w:noWrap/>
            <w:vAlign w:val="bottom"/>
          </w:tcPr>
          <w:p w14:paraId="1701528A" w14:textId="7F5E1797" w:rsidR="003D0B81" w:rsidRPr="005B6501" w:rsidRDefault="003D0B81" w:rsidP="00D7611E">
            <w:pPr>
              <w:jc w:val="right"/>
              <w:rPr>
                <w:rFonts w:ascii="Arial" w:hAnsi="Arial" w:cs="Arial"/>
                <w:b/>
                <w:sz w:val="16"/>
                <w:szCs w:val="16"/>
              </w:rPr>
            </w:pPr>
            <w:r>
              <w:rPr>
                <w:rFonts w:ascii="Arial" w:hAnsi="Arial" w:cs="Arial"/>
                <w:b/>
                <w:sz w:val="16"/>
                <w:szCs w:val="16"/>
              </w:rPr>
              <w:t>78.943</w:t>
            </w:r>
          </w:p>
        </w:tc>
        <w:tc>
          <w:tcPr>
            <w:tcW w:w="1276" w:type="dxa"/>
            <w:tcBorders>
              <w:top w:val="nil"/>
              <w:left w:val="nil"/>
              <w:bottom w:val="single" w:sz="4" w:space="0" w:color="auto"/>
              <w:right w:val="single" w:sz="4" w:space="0" w:color="auto"/>
            </w:tcBorders>
            <w:shd w:val="clear" w:color="000000" w:fill="FFFFFF"/>
            <w:noWrap/>
            <w:vAlign w:val="bottom"/>
          </w:tcPr>
          <w:p w14:paraId="28C82804" w14:textId="6D22AD48" w:rsidR="003D0B81" w:rsidRPr="005B6501" w:rsidRDefault="003D0B81" w:rsidP="00D7611E">
            <w:pPr>
              <w:jc w:val="right"/>
              <w:rPr>
                <w:rFonts w:ascii="Arial" w:hAnsi="Arial" w:cs="Arial"/>
                <w:b/>
                <w:bCs/>
                <w:sz w:val="16"/>
                <w:szCs w:val="16"/>
              </w:rPr>
            </w:pPr>
            <w:r>
              <w:rPr>
                <w:rFonts w:ascii="Arial" w:hAnsi="Arial" w:cs="Arial"/>
                <w:b/>
                <w:bCs/>
                <w:sz w:val="16"/>
                <w:szCs w:val="16"/>
              </w:rPr>
              <w:t>79.143</w:t>
            </w:r>
          </w:p>
        </w:tc>
      </w:tr>
      <w:tr w:rsidR="00D7611E" w:rsidRPr="005B6501" w14:paraId="4ABDCCE2"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tcPr>
          <w:p w14:paraId="707EA6C1" w14:textId="08264259"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 xml:space="preserve">Otros activos financieros </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45D02423" w14:textId="097600AB"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167.098 </w:t>
            </w:r>
          </w:p>
        </w:tc>
        <w:tc>
          <w:tcPr>
            <w:tcW w:w="1559" w:type="dxa"/>
            <w:tcBorders>
              <w:top w:val="nil"/>
              <w:left w:val="nil"/>
              <w:bottom w:val="single" w:sz="4" w:space="0" w:color="auto"/>
              <w:right w:val="single" w:sz="4" w:space="0" w:color="auto"/>
            </w:tcBorders>
            <w:shd w:val="clear" w:color="000000" w:fill="FFFFFF"/>
            <w:noWrap/>
            <w:vAlign w:val="bottom"/>
          </w:tcPr>
          <w:p w14:paraId="5D072D74" w14:textId="329DB68D"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346.807 </w:t>
            </w:r>
          </w:p>
        </w:tc>
        <w:tc>
          <w:tcPr>
            <w:tcW w:w="1701" w:type="dxa"/>
            <w:tcBorders>
              <w:top w:val="nil"/>
              <w:left w:val="nil"/>
              <w:bottom w:val="single" w:sz="4" w:space="0" w:color="auto"/>
              <w:right w:val="single" w:sz="4" w:space="0" w:color="auto"/>
            </w:tcBorders>
            <w:shd w:val="clear" w:color="000000" w:fill="FFFFFF"/>
            <w:noWrap/>
            <w:vAlign w:val="bottom"/>
          </w:tcPr>
          <w:p w14:paraId="776793B4" w14:textId="761DEC09"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508.808 </w:t>
            </w:r>
          </w:p>
        </w:tc>
        <w:tc>
          <w:tcPr>
            <w:tcW w:w="1276" w:type="dxa"/>
            <w:tcBorders>
              <w:top w:val="nil"/>
              <w:left w:val="nil"/>
              <w:bottom w:val="single" w:sz="4" w:space="0" w:color="auto"/>
              <w:right w:val="single" w:sz="4" w:space="0" w:color="auto"/>
            </w:tcBorders>
            <w:shd w:val="clear" w:color="000000" w:fill="FFFFFF"/>
            <w:noWrap/>
            <w:vAlign w:val="bottom"/>
          </w:tcPr>
          <w:p w14:paraId="5B9A550D" w14:textId="7A6AC782" w:rsidR="00D7611E" w:rsidRPr="005B6501" w:rsidRDefault="00D7611E" w:rsidP="00D7611E">
            <w:pPr>
              <w:jc w:val="right"/>
              <w:rPr>
                <w:rFonts w:ascii="Arial" w:hAnsi="Arial" w:cs="Arial"/>
                <w:b/>
                <w:sz w:val="16"/>
                <w:szCs w:val="16"/>
              </w:rPr>
            </w:pPr>
            <w:r w:rsidRPr="005B6501">
              <w:rPr>
                <w:rFonts w:ascii="Arial" w:hAnsi="Arial" w:cs="Arial"/>
                <w:b/>
                <w:bCs/>
                <w:sz w:val="16"/>
                <w:szCs w:val="16"/>
              </w:rPr>
              <w:t xml:space="preserve">            1.022.713 </w:t>
            </w:r>
          </w:p>
        </w:tc>
      </w:tr>
      <w:tr w:rsidR="00D7611E" w:rsidRPr="005B6501" w14:paraId="68E7D4EE"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3A72F708" w14:textId="35365CCD"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 xml:space="preserve">Préstamos y otras financiaciones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677BC592" w14:textId="35296D7C" w:rsidR="00D7611E" w:rsidRPr="005B6501" w:rsidRDefault="00D7611E" w:rsidP="00D7611E">
            <w:pPr>
              <w:jc w:val="right"/>
              <w:rPr>
                <w:rFonts w:ascii="Arial" w:hAnsi="Arial" w:cs="Arial"/>
                <w:b/>
                <w:bCs/>
                <w:sz w:val="16"/>
                <w:szCs w:val="16"/>
                <w:lang w:eastAsia="es-AR"/>
              </w:rPr>
            </w:pPr>
            <w:r w:rsidRPr="005B6501">
              <w:rPr>
                <w:rFonts w:ascii="Arial" w:hAnsi="Arial" w:cs="Arial"/>
                <w:b/>
                <w:bCs/>
                <w:sz w:val="16"/>
                <w:szCs w:val="16"/>
              </w:rPr>
              <w:t xml:space="preserve">        37.904.985 </w:t>
            </w:r>
          </w:p>
        </w:tc>
        <w:tc>
          <w:tcPr>
            <w:tcW w:w="1559" w:type="dxa"/>
            <w:tcBorders>
              <w:top w:val="nil"/>
              <w:left w:val="nil"/>
              <w:bottom w:val="single" w:sz="4" w:space="0" w:color="auto"/>
              <w:right w:val="single" w:sz="4" w:space="0" w:color="auto"/>
            </w:tcBorders>
            <w:shd w:val="clear" w:color="000000" w:fill="FFFFFF"/>
            <w:noWrap/>
            <w:vAlign w:val="bottom"/>
            <w:hideMark/>
          </w:tcPr>
          <w:p w14:paraId="12575FD0" w14:textId="4238CBD0" w:rsidR="00D7611E" w:rsidRPr="005B6501" w:rsidRDefault="00D7611E" w:rsidP="00D7611E">
            <w:pPr>
              <w:jc w:val="right"/>
              <w:rPr>
                <w:rFonts w:ascii="Arial" w:hAnsi="Arial" w:cs="Arial"/>
                <w:b/>
                <w:bCs/>
                <w:sz w:val="16"/>
                <w:szCs w:val="16"/>
                <w:lang w:eastAsia="es-AR"/>
              </w:rPr>
            </w:pPr>
            <w:r w:rsidRPr="005B6501">
              <w:rPr>
                <w:rFonts w:ascii="Arial" w:hAnsi="Arial" w:cs="Arial"/>
                <w:b/>
                <w:bCs/>
                <w:sz w:val="16"/>
                <w:szCs w:val="16"/>
              </w:rPr>
              <w:t xml:space="preserve">        41.954.159 </w:t>
            </w:r>
          </w:p>
        </w:tc>
        <w:tc>
          <w:tcPr>
            <w:tcW w:w="1701" w:type="dxa"/>
            <w:tcBorders>
              <w:top w:val="nil"/>
              <w:left w:val="nil"/>
              <w:bottom w:val="single" w:sz="4" w:space="0" w:color="auto"/>
              <w:right w:val="single" w:sz="4" w:space="0" w:color="auto"/>
            </w:tcBorders>
            <w:shd w:val="clear" w:color="000000" w:fill="FFFFFF"/>
            <w:noWrap/>
            <w:vAlign w:val="bottom"/>
            <w:hideMark/>
          </w:tcPr>
          <w:p w14:paraId="3D036603" w14:textId="66D2581E" w:rsidR="00D7611E" w:rsidRPr="005B6501" w:rsidRDefault="00D7611E" w:rsidP="00D7611E">
            <w:pPr>
              <w:jc w:val="right"/>
              <w:rPr>
                <w:rFonts w:ascii="Arial" w:hAnsi="Arial" w:cs="Arial"/>
                <w:b/>
                <w:bCs/>
                <w:sz w:val="16"/>
                <w:szCs w:val="16"/>
                <w:lang w:eastAsia="es-AR"/>
              </w:rPr>
            </w:pPr>
            <w:r w:rsidRPr="005B6501">
              <w:rPr>
                <w:rFonts w:ascii="Arial" w:hAnsi="Arial" w:cs="Arial"/>
                <w:b/>
                <w:bCs/>
                <w:sz w:val="16"/>
                <w:szCs w:val="16"/>
              </w:rPr>
              <w:t xml:space="preserve">          2.819.258 </w:t>
            </w:r>
          </w:p>
        </w:tc>
        <w:tc>
          <w:tcPr>
            <w:tcW w:w="1276" w:type="dxa"/>
            <w:tcBorders>
              <w:top w:val="nil"/>
              <w:left w:val="nil"/>
              <w:bottom w:val="single" w:sz="4" w:space="0" w:color="auto"/>
              <w:right w:val="single" w:sz="4" w:space="0" w:color="auto"/>
            </w:tcBorders>
            <w:shd w:val="clear" w:color="000000" w:fill="FFFFFF"/>
            <w:noWrap/>
            <w:vAlign w:val="bottom"/>
            <w:hideMark/>
          </w:tcPr>
          <w:p w14:paraId="466D4473" w14:textId="36F7B708" w:rsidR="00D7611E" w:rsidRPr="005B6501" w:rsidRDefault="00D7611E" w:rsidP="00D7611E">
            <w:pPr>
              <w:jc w:val="right"/>
              <w:rPr>
                <w:rFonts w:ascii="Arial" w:hAnsi="Arial" w:cs="Arial"/>
                <w:b/>
                <w:bCs/>
                <w:sz w:val="16"/>
                <w:szCs w:val="16"/>
                <w:lang w:eastAsia="es-AR"/>
              </w:rPr>
            </w:pPr>
            <w:r w:rsidRPr="005B6501">
              <w:rPr>
                <w:rFonts w:ascii="Arial" w:hAnsi="Arial" w:cs="Arial"/>
                <w:b/>
                <w:bCs/>
                <w:sz w:val="16"/>
                <w:szCs w:val="16"/>
              </w:rPr>
              <w:t xml:space="preserve">         82.678.402 </w:t>
            </w:r>
          </w:p>
        </w:tc>
      </w:tr>
      <w:tr w:rsidR="00D7611E" w:rsidRPr="005B6501" w14:paraId="7E9F2FBC" w14:textId="77777777" w:rsidTr="00D7611E">
        <w:trPr>
          <w:trHeight w:val="228"/>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20E0908B" w14:textId="7E196168" w:rsidR="00D7611E" w:rsidRPr="005B6501" w:rsidRDefault="00D7611E" w:rsidP="00D7611E">
            <w:pPr>
              <w:rPr>
                <w:rFonts w:ascii="Arial" w:hAnsi="Arial" w:cs="Arial"/>
                <w:b/>
                <w:bCs/>
                <w:sz w:val="16"/>
                <w:szCs w:val="16"/>
                <w:lang w:eastAsia="es-AR"/>
              </w:rPr>
            </w:pPr>
            <w:r w:rsidRPr="005B6501">
              <w:rPr>
                <w:rFonts w:ascii="Arial" w:hAnsi="Arial" w:cs="Arial"/>
                <w:sz w:val="16"/>
                <w:szCs w:val="16"/>
              </w:rPr>
              <w:t xml:space="preserve">   Sector público no financiero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6215F56B" w14:textId="2745E3AA" w:rsidR="00D7611E" w:rsidRPr="005B6501" w:rsidRDefault="00D7611E" w:rsidP="00D7611E">
            <w:pPr>
              <w:jc w:val="right"/>
              <w:rPr>
                <w:rFonts w:ascii="Arial" w:hAnsi="Arial" w:cs="Arial"/>
                <w:b/>
                <w:bCs/>
                <w:sz w:val="16"/>
                <w:szCs w:val="16"/>
                <w:lang w:eastAsia="es-AR"/>
              </w:rPr>
            </w:pPr>
            <w:r w:rsidRPr="005B6501">
              <w:rPr>
                <w:rFonts w:ascii="Arial" w:hAnsi="Arial" w:cs="Arial"/>
                <w:sz w:val="16"/>
                <w:szCs w:val="16"/>
              </w:rPr>
              <w:t xml:space="preserve">                     879 </w:t>
            </w:r>
          </w:p>
        </w:tc>
        <w:tc>
          <w:tcPr>
            <w:tcW w:w="1559" w:type="dxa"/>
            <w:tcBorders>
              <w:top w:val="nil"/>
              <w:left w:val="nil"/>
              <w:bottom w:val="single" w:sz="4" w:space="0" w:color="auto"/>
              <w:right w:val="single" w:sz="4" w:space="0" w:color="auto"/>
            </w:tcBorders>
            <w:shd w:val="clear" w:color="000000" w:fill="FFFFFF"/>
            <w:noWrap/>
            <w:vAlign w:val="bottom"/>
            <w:hideMark/>
          </w:tcPr>
          <w:p w14:paraId="7F74EA4D" w14:textId="6F1837F5" w:rsidR="00D7611E" w:rsidRPr="005B6501" w:rsidRDefault="00D7611E" w:rsidP="00D7611E">
            <w:pPr>
              <w:jc w:val="right"/>
              <w:rPr>
                <w:rFonts w:ascii="Arial" w:hAnsi="Arial" w:cs="Arial"/>
                <w:b/>
                <w:bCs/>
                <w:sz w:val="16"/>
                <w:szCs w:val="16"/>
                <w:lang w:eastAsia="es-AR"/>
              </w:rPr>
            </w:pPr>
            <w:r w:rsidRPr="005B6501">
              <w:rPr>
                <w:rFonts w:ascii="Arial" w:hAnsi="Arial" w:cs="Arial"/>
                <w:sz w:val="16"/>
                <w:szCs w:val="16"/>
              </w:rPr>
              <w:t xml:space="preserve">                     150 </w:t>
            </w:r>
          </w:p>
        </w:tc>
        <w:tc>
          <w:tcPr>
            <w:tcW w:w="1701" w:type="dxa"/>
            <w:tcBorders>
              <w:top w:val="nil"/>
              <w:left w:val="nil"/>
              <w:bottom w:val="single" w:sz="4" w:space="0" w:color="auto"/>
              <w:right w:val="single" w:sz="4" w:space="0" w:color="auto"/>
            </w:tcBorders>
            <w:shd w:val="clear" w:color="000000" w:fill="FFFFFF"/>
            <w:noWrap/>
            <w:vAlign w:val="bottom"/>
            <w:hideMark/>
          </w:tcPr>
          <w:p w14:paraId="434D8369" w14:textId="7DA232F7" w:rsidR="00D7611E" w:rsidRPr="005B6501" w:rsidRDefault="00D7611E" w:rsidP="00D7611E">
            <w:pPr>
              <w:jc w:val="right"/>
              <w:rPr>
                <w:rFonts w:ascii="Arial" w:hAnsi="Arial" w:cs="Arial"/>
                <w:b/>
                <w:bCs/>
                <w:sz w:val="16"/>
                <w:szCs w:val="16"/>
                <w:lang w:eastAsia="es-AR"/>
              </w:rPr>
            </w:pPr>
            <w:r w:rsidRPr="005B6501">
              <w:rPr>
                <w:rFonts w:ascii="Arial" w:hAnsi="Arial" w:cs="Arial"/>
                <w:sz w:val="16"/>
                <w:szCs w:val="16"/>
              </w:rPr>
              <w:t xml:space="preserve">                60.159 </w:t>
            </w:r>
          </w:p>
        </w:tc>
        <w:tc>
          <w:tcPr>
            <w:tcW w:w="1276" w:type="dxa"/>
            <w:tcBorders>
              <w:top w:val="nil"/>
              <w:left w:val="nil"/>
              <w:bottom w:val="single" w:sz="4" w:space="0" w:color="auto"/>
              <w:right w:val="single" w:sz="4" w:space="0" w:color="auto"/>
            </w:tcBorders>
            <w:shd w:val="clear" w:color="000000" w:fill="FFFFFF"/>
            <w:noWrap/>
            <w:vAlign w:val="bottom"/>
            <w:hideMark/>
          </w:tcPr>
          <w:p w14:paraId="0FB71B4E" w14:textId="57140B56" w:rsidR="00D7611E" w:rsidRPr="005B6501" w:rsidRDefault="00C60F9F" w:rsidP="00D7611E">
            <w:pPr>
              <w:jc w:val="right"/>
              <w:rPr>
                <w:rFonts w:ascii="Arial" w:hAnsi="Arial" w:cs="Arial"/>
                <w:b/>
                <w:bCs/>
                <w:sz w:val="16"/>
                <w:szCs w:val="16"/>
                <w:lang w:eastAsia="es-AR"/>
              </w:rPr>
            </w:pPr>
            <w:r w:rsidRPr="00C60F9F">
              <w:rPr>
                <w:rFonts w:ascii="Arial" w:hAnsi="Arial" w:cs="Arial"/>
                <w:b/>
                <w:bCs/>
                <w:sz w:val="16"/>
                <w:szCs w:val="16"/>
              </w:rPr>
              <w:t>61.188</w:t>
            </w:r>
          </w:p>
        </w:tc>
      </w:tr>
      <w:tr w:rsidR="00D7611E" w:rsidRPr="005B6501" w14:paraId="59060F98"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3BF74C8A" w14:textId="4D740AE8" w:rsidR="00D7611E" w:rsidRPr="005B6501" w:rsidRDefault="00D7611E" w:rsidP="00D7611E">
            <w:pPr>
              <w:rPr>
                <w:rFonts w:ascii="Arial" w:hAnsi="Arial" w:cs="Arial"/>
                <w:sz w:val="16"/>
                <w:szCs w:val="16"/>
                <w:lang w:eastAsia="es-AR"/>
              </w:rPr>
            </w:pPr>
            <w:r w:rsidRPr="005B6501">
              <w:rPr>
                <w:rFonts w:ascii="Arial" w:hAnsi="Arial" w:cs="Arial"/>
                <w:sz w:val="16"/>
                <w:szCs w:val="16"/>
              </w:rPr>
              <w:t xml:space="preserve">   Otras entidades financieras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19400CBF" w14:textId="19112729"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15.917 </w:t>
            </w:r>
          </w:p>
        </w:tc>
        <w:tc>
          <w:tcPr>
            <w:tcW w:w="1559" w:type="dxa"/>
            <w:tcBorders>
              <w:top w:val="nil"/>
              <w:left w:val="nil"/>
              <w:bottom w:val="single" w:sz="4" w:space="0" w:color="auto"/>
              <w:right w:val="single" w:sz="4" w:space="0" w:color="auto"/>
            </w:tcBorders>
            <w:shd w:val="clear" w:color="000000" w:fill="FFFFFF"/>
            <w:noWrap/>
            <w:vAlign w:val="bottom"/>
            <w:hideMark/>
          </w:tcPr>
          <w:p w14:paraId="4935C138" w14:textId="2DC4CB01"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-13.713 </w:t>
            </w:r>
          </w:p>
        </w:tc>
        <w:tc>
          <w:tcPr>
            <w:tcW w:w="1701" w:type="dxa"/>
            <w:tcBorders>
              <w:top w:val="nil"/>
              <w:left w:val="nil"/>
              <w:bottom w:val="single" w:sz="4" w:space="0" w:color="auto"/>
              <w:right w:val="single" w:sz="4" w:space="0" w:color="auto"/>
            </w:tcBorders>
            <w:shd w:val="clear" w:color="000000" w:fill="FFFFFF"/>
            <w:noWrap/>
            <w:vAlign w:val="bottom"/>
            <w:hideMark/>
          </w:tcPr>
          <w:p w14:paraId="2E426646" w14:textId="0A2A6B56"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160.616 </w:t>
            </w:r>
          </w:p>
        </w:tc>
        <w:tc>
          <w:tcPr>
            <w:tcW w:w="1276" w:type="dxa"/>
            <w:tcBorders>
              <w:top w:val="nil"/>
              <w:left w:val="nil"/>
              <w:bottom w:val="single" w:sz="4" w:space="0" w:color="auto"/>
              <w:right w:val="single" w:sz="4" w:space="0" w:color="auto"/>
            </w:tcBorders>
            <w:shd w:val="clear" w:color="000000" w:fill="FFFFFF"/>
            <w:noWrap/>
            <w:vAlign w:val="bottom"/>
            <w:hideMark/>
          </w:tcPr>
          <w:p w14:paraId="445A589B" w14:textId="3703B650" w:rsidR="00D7611E" w:rsidRPr="005B6501" w:rsidRDefault="00C60F9F" w:rsidP="00D7611E">
            <w:pPr>
              <w:jc w:val="right"/>
              <w:rPr>
                <w:rFonts w:ascii="Arial" w:hAnsi="Arial" w:cs="Arial"/>
                <w:b/>
                <w:bCs/>
                <w:sz w:val="16"/>
                <w:szCs w:val="16"/>
                <w:lang w:eastAsia="es-AR"/>
              </w:rPr>
            </w:pPr>
            <w:r w:rsidRPr="00C60F9F">
              <w:rPr>
                <w:rFonts w:ascii="Arial" w:hAnsi="Arial" w:cs="Arial"/>
                <w:b/>
                <w:bCs/>
                <w:sz w:val="16"/>
                <w:szCs w:val="16"/>
              </w:rPr>
              <w:t xml:space="preserve">162.820 </w:t>
            </w:r>
            <w:r w:rsidR="00D7611E" w:rsidRPr="005B6501">
              <w:rPr>
                <w:rFonts w:ascii="Arial" w:hAnsi="Arial" w:cs="Arial"/>
                <w:b/>
                <w:bCs/>
                <w:sz w:val="16"/>
                <w:szCs w:val="16"/>
              </w:rPr>
              <w:t xml:space="preserve"> </w:t>
            </w:r>
          </w:p>
        </w:tc>
      </w:tr>
      <w:tr w:rsidR="00D7611E" w:rsidRPr="005B6501" w14:paraId="7CC19F0F"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58911987" w14:textId="7D10A549" w:rsidR="00D7611E" w:rsidRPr="005B6501" w:rsidRDefault="00D7611E" w:rsidP="00D7611E">
            <w:pPr>
              <w:rPr>
                <w:rFonts w:ascii="Arial" w:hAnsi="Arial" w:cs="Arial"/>
                <w:sz w:val="16"/>
                <w:szCs w:val="16"/>
                <w:lang w:eastAsia="es-AR"/>
              </w:rPr>
            </w:pPr>
            <w:r w:rsidRPr="005B6501">
              <w:rPr>
                <w:rFonts w:ascii="Arial" w:hAnsi="Arial" w:cs="Arial"/>
                <w:sz w:val="16"/>
                <w:szCs w:val="16"/>
              </w:rPr>
              <w:t xml:space="preserve">   Sector privado no financiero y residentes en el exterior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518D2BAE" w14:textId="5FABF508"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37.888.189 </w:t>
            </w:r>
          </w:p>
        </w:tc>
        <w:tc>
          <w:tcPr>
            <w:tcW w:w="1559" w:type="dxa"/>
            <w:tcBorders>
              <w:top w:val="nil"/>
              <w:left w:val="nil"/>
              <w:bottom w:val="single" w:sz="4" w:space="0" w:color="auto"/>
              <w:right w:val="single" w:sz="4" w:space="0" w:color="auto"/>
            </w:tcBorders>
            <w:shd w:val="clear" w:color="000000" w:fill="FFFFFF"/>
            <w:noWrap/>
            <w:vAlign w:val="bottom"/>
            <w:hideMark/>
          </w:tcPr>
          <w:p w14:paraId="2FD191AC" w14:textId="66FDAFDC" w:rsidR="00D7611E" w:rsidRPr="005B6501" w:rsidRDefault="00D7611E" w:rsidP="00D7611E">
            <w:pPr>
              <w:jc w:val="right"/>
              <w:rPr>
                <w:rFonts w:ascii="Arial" w:hAnsi="Arial" w:cs="Arial"/>
                <w:bCs/>
                <w:sz w:val="16"/>
                <w:szCs w:val="16"/>
                <w:lang w:eastAsia="es-AR"/>
              </w:rPr>
            </w:pPr>
            <w:r w:rsidRPr="005B6501">
              <w:rPr>
                <w:rFonts w:ascii="Arial" w:hAnsi="Arial" w:cs="Arial"/>
                <w:sz w:val="16"/>
                <w:szCs w:val="16"/>
              </w:rPr>
              <w:t xml:space="preserve">        41.967.722 </w:t>
            </w:r>
          </w:p>
        </w:tc>
        <w:tc>
          <w:tcPr>
            <w:tcW w:w="1701" w:type="dxa"/>
            <w:tcBorders>
              <w:top w:val="nil"/>
              <w:left w:val="nil"/>
              <w:bottom w:val="single" w:sz="4" w:space="0" w:color="auto"/>
              <w:right w:val="single" w:sz="4" w:space="0" w:color="auto"/>
            </w:tcBorders>
            <w:shd w:val="clear" w:color="000000" w:fill="FFFFFF"/>
            <w:noWrap/>
            <w:vAlign w:val="bottom"/>
            <w:hideMark/>
          </w:tcPr>
          <w:p w14:paraId="15CE36B3" w14:textId="03F0B394" w:rsidR="00D7611E" w:rsidRPr="005B6501" w:rsidRDefault="00D7611E" w:rsidP="00D7611E">
            <w:pPr>
              <w:jc w:val="right"/>
              <w:rPr>
                <w:rFonts w:ascii="Arial" w:hAnsi="Arial" w:cs="Arial"/>
                <w:bCs/>
                <w:sz w:val="16"/>
                <w:szCs w:val="16"/>
                <w:lang w:val="es-ES_tradnl" w:eastAsia="es-AR"/>
              </w:rPr>
            </w:pPr>
            <w:r w:rsidRPr="005B6501">
              <w:rPr>
                <w:rFonts w:ascii="Arial" w:hAnsi="Arial" w:cs="Arial"/>
                <w:sz w:val="16"/>
                <w:szCs w:val="16"/>
              </w:rPr>
              <w:t xml:space="preserve">          2.598.483 </w:t>
            </w:r>
          </w:p>
        </w:tc>
        <w:tc>
          <w:tcPr>
            <w:tcW w:w="1276" w:type="dxa"/>
            <w:tcBorders>
              <w:top w:val="nil"/>
              <w:left w:val="nil"/>
              <w:bottom w:val="single" w:sz="4" w:space="0" w:color="auto"/>
              <w:right w:val="single" w:sz="4" w:space="0" w:color="auto"/>
            </w:tcBorders>
            <w:shd w:val="clear" w:color="000000" w:fill="FFFFFF"/>
            <w:noWrap/>
            <w:vAlign w:val="bottom"/>
            <w:hideMark/>
          </w:tcPr>
          <w:p w14:paraId="231521E2" w14:textId="2475ED43" w:rsidR="00D7611E" w:rsidRPr="005B6501" w:rsidRDefault="00C60F9F" w:rsidP="00D7611E">
            <w:pPr>
              <w:jc w:val="right"/>
              <w:rPr>
                <w:rFonts w:ascii="Arial" w:hAnsi="Arial" w:cs="Arial"/>
                <w:b/>
                <w:bCs/>
                <w:sz w:val="16"/>
                <w:szCs w:val="16"/>
                <w:lang w:eastAsia="es-AR"/>
              </w:rPr>
            </w:pPr>
            <w:r w:rsidRPr="00C60F9F">
              <w:rPr>
                <w:rFonts w:ascii="Arial" w:hAnsi="Arial" w:cs="Arial"/>
                <w:b/>
                <w:bCs/>
                <w:sz w:val="16"/>
                <w:szCs w:val="16"/>
              </w:rPr>
              <w:t>82.454.394</w:t>
            </w:r>
          </w:p>
        </w:tc>
      </w:tr>
      <w:tr w:rsidR="00D7611E" w:rsidRPr="005B6501" w14:paraId="748D056A" w14:textId="77777777" w:rsidTr="00D7611E">
        <w:trPr>
          <w:trHeight w:val="266"/>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2AFFF8FD" w14:textId="16DECDA6" w:rsidR="00D7611E" w:rsidRPr="005B6501" w:rsidRDefault="00D7611E" w:rsidP="00D7611E">
            <w:pPr>
              <w:rPr>
                <w:rFonts w:ascii="Arial" w:hAnsi="Arial" w:cs="Arial"/>
                <w:b/>
                <w:sz w:val="16"/>
                <w:szCs w:val="16"/>
                <w:lang w:eastAsia="es-AR"/>
              </w:rPr>
            </w:pPr>
            <w:r w:rsidRPr="005B6501">
              <w:rPr>
                <w:rFonts w:ascii="Arial" w:hAnsi="Arial" w:cs="Arial"/>
                <w:b/>
                <w:sz w:val="16"/>
                <w:szCs w:val="16"/>
              </w:rPr>
              <w:lastRenderedPageBreak/>
              <w:t>Otros títulos de deuda</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8FFC32C" w14:textId="5DA0B533"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46EF50D7" w14:textId="33A4C191"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65FD2A7C" w14:textId="44E8B8FD"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46.426.583 </w:t>
            </w:r>
          </w:p>
        </w:tc>
        <w:tc>
          <w:tcPr>
            <w:tcW w:w="1276" w:type="dxa"/>
            <w:tcBorders>
              <w:top w:val="nil"/>
              <w:left w:val="nil"/>
              <w:bottom w:val="single" w:sz="4" w:space="0" w:color="auto"/>
              <w:right w:val="single" w:sz="4" w:space="0" w:color="auto"/>
            </w:tcBorders>
            <w:shd w:val="clear" w:color="000000" w:fill="FFFFFF"/>
            <w:noWrap/>
            <w:vAlign w:val="bottom"/>
            <w:hideMark/>
          </w:tcPr>
          <w:p w14:paraId="3C53C3D8" w14:textId="39815663"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46.426.583 </w:t>
            </w:r>
          </w:p>
        </w:tc>
      </w:tr>
      <w:tr w:rsidR="00D7611E" w:rsidRPr="005B6501" w14:paraId="28A63142"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6115AC71" w14:textId="7052E42F"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Activos financieros entregados en garantía</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17854B7C" w14:textId="5B561F7E"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109.354 </w:t>
            </w:r>
          </w:p>
        </w:tc>
        <w:tc>
          <w:tcPr>
            <w:tcW w:w="1559" w:type="dxa"/>
            <w:tcBorders>
              <w:top w:val="nil"/>
              <w:left w:val="nil"/>
              <w:bottom w:val="single" w:sz="4" w:space="0" w:color="auto"/>
              <w:right w:val="single" w:sz="4" w:space="0" w:color="auto"/>
            </w:tcBorders>
            <w:shd w:val="clear" w:color="000000" w:fill="FFFFFF"/>
            <w:noWrap/>
            <w:vAlign w:val="bottom"/>
            <w:hideMark/>
          </w:tcPr>
          <w:p w14:paraId="6FADA51E" w14:textId="195E8E28"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600.760 </w:t>
            </w:r>
          </w:p>
        </w:tc>
        <w:tc>
          <w:tcPr>
            <w:tcW w:w="1701" w:type="dxa"/>
            <w:tcBorders>
              <w:top w:val="nil"/>
              <w:left w:val="nil"/>
              <w:bottom w:val="single" w:sz="4" w:space="0" w:color="auto"/>
              <w:right w:val="single" w:sz="4" w:space="0" w:color="auto"/>
            </w:tcBorders>
            <w:shd w:val="clear" w:color="000000" w:fill="FFFFFF"/>
            <w:noWrap/>
            <w:vAlign w:val="bottom"/>
            <w:hideMark/>
          </w:tcPr>
          <w:p w14:paraId="73A45E44" w14:textId="64B5F69E"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4.900.639 </w:t>
            </w:r>
          </w:p>
        </w:tc>
        <w:tc>
          <w:tcPr>
            <w:tcW w:w="1276" w:type="dxa"/>
            <w:tcBorders>
              <w:top w:val="nil"/>
              <w:left w:val="nil"/>
              <w:bottom w:val="single" w:sz="4" w:space="0" w:color="auto"/>
              <w:right w:val="single" w:sz="4" w:space="0" w:color="auto"/>
            </w:tcBorders>
            <w:shd w:val="clear" w:color="000000" w:fill="FFFFFF"/>
            <w:noWrap/>
            <w:vAlign w:val="bottom"/>
            <w:hideMark/>
          </w:tcPr>
          <w:p w14:paraId="03C145FA" w14:textId="5BF46C60"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5.610.753 </w:t>
            </w:r>
          </w:p>
        </w:tc>
      </w:tr>
      <w:tr w:rsidR="00D7611E" w:rsidRPr="005B6501" w14:paraId="0268D1C1" w14:textId="77777777" w:rsidTr="00D7611E">
        <w:trPr>
          <w:trHeight w:val="308"/>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ABC759D" w14:textId="673A1D44"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Activos por impuestos a las ganancias corriente</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7AF8CA32" w14:textId="3C17F971"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3571C8EA" w14:textId="0A271C31"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69359072" w14:textId="28DDDF65" w:rsidR="00D7611E" w:rsidRPr="005B6501" w:rsidRDefault="00D7611E" w:rsidP="00D7611E">
            <w:pPr>
              <w:jc w:val="right"/>
              <w:rPr>
                <w:rFonts w:ascii="Arial" w:hAnsi="Arial" w:cs="Arial"/>
                <w:b/>
                <w:bCs/>
                <w:sz w:val="16"/>
                <w:szCs w:val="16"/>
                <w:lang w:val="es-ES_tradnl" w:eastAsia="es-AR"/>
              </w:rPr>
            </w:pPr>
            <w:r w:rsidRPr="005B6501">
              <w:rPr>
                <w:rFonts w:ascii="Arial" w:hAnsi="Arial" w:cs="Arial"/>
                <w:b/>
                <w:sz w:val="16"/>
                <w:szCs w:val="16"/>
              </w:rPr>
              <w:t xml:space="preserve"> 415.107 </w:t>
            </w:r>
          </w:p>
        </w:tc>
        <w:tc>
          <w:tcPr>
            <w:tcW w:w="1276" w:type="dxa"/>
            <w:tcBorders>
              <w:top w:val="nil"/>
              <w:left w:val="nil"/>
              <w:bottom w:val="single" w:sz="4" w:space="0" w:color="auto"/>
              <w:right w:val="single" w:sz="4" w:space="0" w:color="auto"/>
            </w:tcBorders>
            <w:shd w:val="clear" w:color="000000" w:fill="FFFFFF"/>
            <w:noWrap/>
            <w:vAlign w:val="bottom"/>
            <w:hideMark/>
          </w:tcPr>
          <w:p w14:paraId="46F364A4" w14:textId="5F7122C0"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415.107 </w:t>
            </w:r>
          </w:p>
        </w:tc>
      </w:tr>
      <w:tr w:rsidR="00D7611E" w:rsidRPr="005B6501" w14:paraId="1037B9E2" w14:textId="77777777" w:rsidTr="00D7611E">
        <w:trPr>
          <w:trHeight w:val="281"/>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A439B5A" w14:textId="78EB804A"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Inversiones en instrumentos de patrimonio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5EAB950D" w14:textId="7DC0C562"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1.497 </w:t>
            </w:r>
          </w:p>
        </w:tc>
        <w:tc>
          <w:tcPr>
            <w:tcW w:w="1559" w:type="dxa"/>
            <w:tcBorders>
              <w:top w:val="nil"/>
              <w:left w:val="nil"/>
              <w:bottom w:val="single" w:sz="4" w:space="0" w:color="auto"/>
              <w:right w:val="single" w:sz="4" w:space="0" w:color="auto"/>
            </w:tcBorders>
            <w:shd w:val="clear" w:color="000000" w:fill="FFFFFF"/>
            <w:noWrap/>
            <w:vAlign w:val="bottom"/>
            <w:hideMark/>
          </w:tcPr>
          <w:p w14:paraId="7781FDE2" w14:textId="16DDC928"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2.944 </w:t>
            </w:r>
          </w:p>
        </w:tc>
        <w:tc>
          <w:tcPr>
            <w:tcW w:w="1701" w:type="dxa"/>
            <w:tcBorders>
              <w:top w:val="nil"/>
              <w:left w:val="nil"/>
              <w:bottom w:val="single" w:sz="4" w:space="0" w:color="auto"/>
              <w:right w:val="single" w:sz="4" w:space="0" w:color="auto"/>
            </w:tcBorders>
            <w:shd w:val="clear" w:color="000000" w:fill="FFFFFF"/>
            <w:noWrap/>
            <w:vAlign w:val="bottom"/>
            <w:hideMark/>
          </w:tcPr>
          <w:p w14:paraId="50F5C6C7" w14:textId="632152FD"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4.342 </w:t>
            </w:r>
          </w:p>
        </w:tc>
        <w:tc>
          <w:tcPr>
            <w:tcW w:w="1276" w:type="dxa"/>
            <w:tcBorders>
              <w:top w:val="nil"/>
              <w:left w:val="nil"/>
              <w:bottom w:val="single" w:sz="4" w:space="0" w:color="auto"/>
              <w:right w:val="single" w:sz="4" w:space="0" w:color="auto"/>
            </w:tcBorders>
            <w:shd w:val="clear" w:color="000000" w:fill="FFFFFF"/>
            <w:noWrap/>
            <w:vAlign w:val="bottom"/>
            <w:hideMark/>
          </w:tcPr>
          <w:p w14:paraId="7FD7ADE9" w14:textId="22BB6ADD"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8.783 </w:t>
            </w:r>
          </w:p>
        </w:tc>
      </w:tr>
      <w:tr w:rsidR="00D7611E" w:rsidRPr="005B6501" w14:paraId="5B2729B5" w14:textId="77777777" w:rsidTr="00D7611E">
        <w:trPr>
          <w:trHeight w:val="223"/>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44E2DEDB" w14:textId="52FB6BAD"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Inversión en subsidiarias, asociadas y negocios conjuntos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4E8C4389" w14:textId="03D515A8"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7607BFA6" w14:textId="163BBB07"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22503E30" w14:textId="10275A76"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2.543.937 </w:t>
            </w:r>
          </w:p>
        </w:tc>
        <w:tc>
          <w:tcPr>
            <w:tcW w:w="1276" w:type="dxa"/>
            <w:tcBorders>
              <w:top w:val="nil"/>
              <w:left w:val="nil"/>
              <w:bottom w:val="single" w:sz="4" w:space="0" w:color="auto"/>
              <w:right w:val="single" w:sz="4" w:space="0" w:color="auto"/>
            </w:tcBorders>
            <w:shd w:val="clear" w:color="000000" w:fill="FFFFFF"/>
            <w:noWrap/>
            <w:vAlign w:val="bottom"/>
            <w:hideMark/>
          </w:tcPr>
          <w:p w14:paraId="7B6E8D14" w14:textId="5A776098"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2.543.937 </w:t>
            </w:r>
          </w:p>
        </w:tc>
      </w:tr>
      <w:tr w:rsidR="00D7611E" w:rsidRPr="005B6501" w14:paraId="2EFC1D3E" w14:textId="77777777" w:rsidTr="00D7611E">
        <w:trPr>
          <w:trHeight w:val="274"/>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877DEE5" w14:textId="52C53118"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Propiedad, planta y equipo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79AEBE5F" w14:textId="0F18993B"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3FCA31C8" w14:textId="4F119BD3"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4AE49574" w14:textId="4DDA58A0"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4.354.399 </w:t>
            </w:r>
          </w:p>
        </w:tc>
        <w:tc>
          <w:tcPr>
            <w:tcW w:w="1276" w:type="dxa"/>
            <w:tcBorders>
              <w:top w:val="nil"/>
              <w:left w:val="nil"/>
              <w:bottom w:val="single" w:sz="4" w:space="0" w:color="auto"/>
              <w:right w:val="single" w:sz="4" w:space="0" w:color="auto"/>
            </w:tcBorders>
            <w:shd w:val="clear" w:color="000000" w:fill="FFFFFF"/>
            <w:noWrap/>
            <w:vAlign w:val="bottom"/>
            <w:hideMark/>
          </w:tcPr>
          <w:p w14:paraId="3E466E23" w14:textId="6B318A0E"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4.354.399 </w:t>
            </w:r>
          </w:p>
        </w:tc>
      </w:tr>
      <w:tr w:rsidR="00D7611E" w:rsidRPr="005B6501" w14:paraId="01ECF264"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18FA95EA" w14:textId="0224E155"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Activos intangibles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6055E2EF" w14:textId="5C963FB8"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59EFDC1D" w14:textId="1B0D7F15"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61DC36F3" w14:textId="3FF702E3"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1.159.848 </w:t>
            </w:r>
          </w:p>
        </w:tc>
        <w:tc>
          <w:tcPr>
            <w:tcW w:w="1276" w:type="dxa"/>
            <w:tcBorders>
              <w:top w:val="nil"/>
              <w:left w:val="nil"/>
              <w:bottom w:val="single" w:sz="4" w:space="0" w:color="auto"/>
              <w:right w:val="single" w:sz="4" w:space="0" w:color="auto"/>
            </w:tcBorders>
            <w:shd w:val="clear" w:color="000000" w:fill="FFFFFF"/>
            <w:noWrap/>
            <w:vAlign w:val="bottom"/>
            <w:hideMark/>
          </w:tcPr>
          <w:p w14:paraId="5834F020" w14:textId="00AF1A58"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1.159.848 </w:t>
            </w:r>
          </w:p>
        </w:tc>
      </w:tr>
      <w:tr w:rsidR="00D7611E" w:rsidRPr="005B6501" w14:paraId="0E057ABD" w14:textId="77777777" w:rsidTr="00D7611E">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7A1B95FB" w14:textId="018B536D"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Activos por impuesto a las ganancias diferido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0F55AC1C" w14:textId="7FFEE96D"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64B86431" w14:textId="56BB264E" w:rsidR="00D7611E" w:rsidRPr="005B6501" w:rsidRDefault="00D7611E" w:rsidP="00D7611E">
            <w:pPr>
              <w:jc w:val="right"/>
              <w:rPr>
                <w:rFonts w:ascii="Arial" w:hAnsi="Arial" w:cs="Arial"/>
                <w:b/>
                <w:bCs/>
                <w:sz w:val="16"/>
                <w:szCs w:val="16"/>
                <w:lang w:eastAsia="es-AR"/>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10E8AA95" w14:textId="38A3238D"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161.841 </w:t>
            </w:r>
          </w:p>
        </w:tc>
        <w:tc>
          <w:tcPr>
            <w:tcW w:w="1276" w:type="dxa"/>
            <w:tcBorders>
              <w:top w:val="nil"/>
              <w:left w:val="nil"/>
              <w:bottom w:val="single" w:sz="4" w:space="0" w:color="auto"/>
              <w:right w:val="single" w:sz="4" w:space="0" w:color="auto"/>
            </w:tcBorders>
            <w:shd w:val="clear" w:color="000000" w:fill="FFFFFF"/>
            <w:noWrap/>
            <w:vAlign w:val="bottom"/>
            <w:hideMark/>
          </w:tcPr>
          <w:p w14:paraId="48E4D67E" w14:textId="05D675AA"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161.841 </w:t>
            </w:r>
          </w:p>
        </w:tc>
      </w:tr>
      <w:tr w:rsidR="00D7611E" w:rsidRPr="005B6501" w14:paraId="3C64B754" w14:textId="77777777" w:rsidTr="00C63989">
        <w:trPr>
          <w:trHeight w:val="237"/>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3426BC5" w14:textId="456BE5C1"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Otros activos no financieros</w:t>
            </w:r>
          </w:p>
        </w:tc>
        <w:tc>
          <w:tcPr>
            <w:tcW w:w="1559" w:type="dxa"/>
            <w:tcBorders>
              <w:top w:val="nil"/>
              <w:left w:val="single" w:sz="4" w:space="0" w:color="auto"/>
              <w:bottom w:val="single" w:sz="4" w:space="0" w:color="auto"/>
              <w:right w:val="single" w:sz="4" w:space="0" w:color="auto"/>
            </w:tcBorders>
            <w:shd w:val="clear" w:color="000000" w:fill="FFFFFF"/>
            <w:noWrap/>
            <w:hideMark/>
          </w:tcPr>
          <w:p w14:paraId="262D2681" w14:textId="55EF5648"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4.166.184 </w:t>
            </w:r>
          </w:p>
        </w:tc>
        <w:tc>
          <w:tcPr>
            <w:tcW w:w="1559" w:type="dxa"/>
            <w:tcBorders>
              <w:top w:val="nil"/>
              <w:left w:val="nil"/>
              <w:bottom w:val="single" w:sz="4" w:space="0" w:color="auto"/>
              <w:right w:val="single" w:sz="4" w:space="0" w:color="auto"/>
            </w:tcBorders>
            <w:shd w:val="clear" w:color="000000" w:fill="FFFFFF"/>
            <w:noWrap/>
            <w:hideMark/>
          </w:tcPr>
          <w:p w14:paraId="2D2AF6B6" w14:textId="4A1EC869"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598.136 </w:t>
            </w:r>
          </w:p>
        </w:tc>
        <w:tc>
          <w:tcPr>
            <w:tcW w:w="1701" w:type="dxa"/>
            <w:tcBorders>
              <w:top w:val="nil"/>
              <w:left w:val="nil"/>
              <w:bottom w:val="single" w:sz="4" w:space="0" w:color="auto"/>
              <w:right w:val="single" w:sz="4" w:space="0" w:color="auto"/>
            </w:tcBorders>
            <w:shd w:val="clear" w:color="000000" w:fill="FFFFFF"/>
            <w:noWrap/>
            <w:hideMark/>
          </w:tcPr>
          <w:p w14:paraId="64477869" w14:textId="59C758B7"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787.771 </w:t>
            </w:r>
          </w:p>
        </w:tc>
        <w:tc>
          <w:tcPr>
            <w:tcW w:w="1276" w:type="dxa"/>
            <w:tcBorders>
              <w:top w:val="nil"/>
              <w:left w:val="nil"/>
              <w:bottom w:val="single" w:sz="4" w:space="0" w:color="auto"/>
              <w:right w:val="single" w:sz="4" w:space="0" w:color="auto"/>
            </w:tcBorders>
            <w:shd w:val="clear" w:color="000000" w:fill="FFFFFF"/>
            <w:noWrap/>
            <w:hideMark/>
          </w:tcPr>
          <w:p w14:paraId="24E33B3F" w14:textId="43A92C53" w:rsidR="00D7611E" w:rsidRPr="005B6501" w:rsidRDefault="00D7611E" w:rsidP="00D7611E">
            <w:pPr>
              <w:jc w:val="right"/>
              <w:rPr>
                <w:rFonts w:ascii="Arial" w:hAnsi="Arial" w:cs="Arial"/>
                <w:b/>
                <w:sz w:val="16"/>
                <w:szCs w:val="16"/>
              </w:rPr>
            </w:pPr>
            <w:r w:rsidRPr="005B6501">
              <w:rPr>
                <w:rFonts w:ascii="Arial" w:hAnsi="Arial" w:cs="Arial"/>
                <w:b/>
                <w:sz w:val="16"/>
                <w:szCs w:val="16"/>
              </w:rPr>
              <w:t xml:space="preserve"> 5.552.091 </w:t>
            </w:r>
          </w:p>
        </w:tc>
      </w:tr>
      <w:tr w:rsidR="00D7611E" w:rsidRPr="005B6501" w14:paraId="15FAD819" w14:textId="77777777" w:rsidTr="00C63989">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tcPr>
          <w:p w14:paraId="6DEDF2A3" w14:textId="41C86D8E" w:rsidR="00D7611E" w:rsidRPr="005B6501" w:rsidRDefault="00D7611E" w:rsidP="00D7611E">
            <w:pPr>
              <w:rPr>
                <w:rFonts w:ascii="Arial" w:hAnsi="Arial" w:cs="Arial"/>
                <w:b/>
                <w:bCs/>
                <w:sz w:val="16"/>
                <w:szCs w:val="16"/>
                <w:lang w:eastAsia="es-AR"/>
              </w:rPr>
            </w:pPr>
            <w:r w:rsidRPr="005B6501">
              <w:rPr>
                <w:rFonts w:ascii="Arial" w:hAnsi="Arial" w:cs="Arial"/>
                <w:b/>
                <w:sz w:val="16"/>
                <w:szCs w:val="16"/>
              </w:rPr>
              <w:t>TOTAL ACTIVO</w:t>
            </w:r>
          </w:p>
        </w:tc>
        <w:tc>
          <w:tcPr>
            <w:tcW w:w="1559" w:type="dxa"/>
            <w:tcBorders>
              <w:top w:val="nil"/>
              <w:left w:val="single" w:sz="4" w:space="0" w:color="auto"/>
              <w:bottom w:val="single" w:sz="4" w:space="0" w:color="auto"/>
              <w:right w:val="single" w:sz="4" w:space="0" w:color="auto"/>
            </w:tcBorders>
            <w:shd w:val="clear" w:color="000000" w:fill="FFFFFF"/>
            <w:noWrap/>
          </w:tcPr>
          <w:p w14:paraId="5C82510C" w14:textId="02BF77CB" w:rsidR="00D7611E" w:rsidRPr="005B6501" w:rsidRDefault="00D7611E" w:rsidP="00D7611E">
            <w:pPr>
              <w:jc w:val="right"/>
              <w:rPr>
                <w:rFonts w:ascii="Arial" w:hAnsi="Arial" w:cs="Arial"/>
                <w:b/>
                <w:bCs/>
                <w:sz w:val="16"/>
                <w:szCs w:val="16"/>
              </w:rPr>
            </w:pPr>
            <w:r w:rsidRPr="005B6501">
              <w:rPr>
                <w:rFonts w:ascii="Arial" w:hAnsi="Arial" w:cs="Arial"/>
                <w:b/>
                <w:bCs/>
                <w:sz w:val="16"/>
                <w:szCs w:val="16"/>
              </w:rPr>
              <w:t xml:space="preserve">42.817.176    </w:t>
            </w:r>
          </w:p>
        </w:tc>
        <w:tc>
          <w:tcPr>
            <w:tcW w:w="1559" w:type="dxa"/>
            <w:tcBorders>
              <w:top w:val="nil"/>
              <w:left w:val="nil"/>
              <w:bottom w:val="single" w:sz="4" w:space="0" w:color="auto"/>
              <w:right w:val="single" w:sz="4" w:space="0" w:color="auto"/>
            </w:tcBorders>
            <w:shd w:val="clear" w:color="000000" w:fill="FFFFFF"/>
            <w:noWrap/>
          </w:tcPr>
          <w:p w14:paraId="0E6C20B0" w14:textId="44BCBE28" w:rsidR="00D7611E" w:rsidRPr="005B6501" w:rsidRDefault="00D7611E" w:rsidP="00D7611E">
            <w:pPr>
              <w:jc w:val="right"/>
              <w:rPr>
                <w:rFonts w:ascii="Arial" w:hAnsi="Arial" w:cs="Arial"/>
                <w:b/>
                <w:bCs/>
                <w:sz w:val="16"/>
                <w:szCs w:val="16"/>
              </w:rPr>
            </w:pPr>
            <w:r w:rsidRPr="005B6501">
              <w:rPr>
                <w:rFonts w:ascii="Arial" w:hAnsi="Arial" w:cs="Arial"/>
                <w:b/>
                <w:bCs/>
                <w:sz w:val="16"/>
                <w:szCs w:val="16"/>
              </w:rPr>
              <w:t xml:space="preserve"> 52.555.826  </w:t>
            </w:r>
          </w:p>
        </w:tc>
        <w:tc>
          <w:tcPr>
            <w:tcW w:w="1701" w:type="dxa"/>
            <w:tcBorders>
              <w:top w:val="nil"/>
              <w:left w:val="nil"/>
              <w:bottom w:val="single" w:sz="4" w:space="0" w:color="auto"/>
              <w:right w:val="single" w:sz="4" w:space="0" w:color="auto"/>
            </w:tcBorders>
            <w:shd w:val="clear" w:color="000000" w:fill="FFFFFF"/>
            <w:noWrap/>
          </w:tcPr>
          <w:p w14:paraId="652EC5EB" w14:textId="1FAD0D50" w:rsidR="00D7611E" w:rsidRPr="005B6501" w:rsidRDefault="00D7611E" w:rsidP="00D7611E">
            <w:pPr>
              <w:jc w:val="right"/>
              <w:rPr>
                <w:rFonts w:ascii="Arial" w:hAnsi="Arial" w:cs="Arial"/>
                <w:b/>
                <w:bCs/>
                <w:sz w:val="16"/>
                <w:szCs w:val="16"/>
              </w:rPr>
            </w:pPr>
            <w:r w:rsidRPr="005B6501">
              <w:rPr>
                <w:rFonts w:ascii="Arial" w:hAnsi="Arial" w:cs="Arial"/>
                <w:b/>
                <w:bCs/>
                <w:sz w:val="16"/>
                <w:szCs w:val="16"/>
              </w:rPr>
              <w:t>90.206.568</w:t>
            </w:r>
          </w:p>
        </w:tc>
        <w:tc>
          <w:tcPr>
            <w:tcW w:w="1276" w:type="dxa"/>
            <w:tcBorders>
              <w:top w:val="nil"/>
              <w:left w:val="nil"/>
              <w:bottom w:val="single" w:sz="4" w:space="0" w:color="auto"/>
              <w:right w:val="single" w:sz="4" w:space="0" w:color="auto"/>
            </w:tcBorders>
            <w:shd w:val="clear" w:color="000000" w:fill="FFFFFF"/>
            <w:noWrap/>
          </w:tcPr>
          <w:p w14:paraId="4E6BBB3C" w14:textId="1CDBAEF2" w:rsidR="00D7611E" w:rsidRPr="005B6501" w:rsidRDefault="00D7611E" w:rsidP="00D7611E">
            <w:pPr>
              <w:jc w:val="right"/>
              <w:rPr>
                <w:rFonts w:ascii="Arial" w:hAnsi="Arial" w:cs="Arial"/>
                <w:b/>
                <w:bCs/>
                <w:sz w:val="16"/>
                <w:szCs w:val="16"/>
              </w:rPr>
            </w:pPr>
            <w:r w:rsidRPr="005B6501">
              <w:rPr>
                <w:rFonts w:ascii="Arial" w:hAnsi="Arial" w:cs="Arial"/>
                <w:b/>
                <w:bCs/>
                <w:sz w:val="16"/>
                <w:szCs w:val="16"/>
              </w:rPr>
              <w:t>185.579.570</w:t>
            </w:r>
          </w:p>
        </w:tc>
      </w:tr>
    </w:tbl>
    <w:p w14:paraId="4CA6C369" w14:textId="77777777" w:rsidR="00DC0CC4" w:rsidRPr="005B6501" w:rsidRDefault="00DC0CC4" w:rsidP="00DC0CC4">
      <w:pPr>
        <w:jc w:val="both"/>
        <w:rPr>
          <w:rFonts w:ascii="Arial" w:hAnsi="Arial" w:cs="Arial"/>
          <w:b/>
          <w:sz w:val="16"/>
          <w:szCs w:val="16"/>
        </w:rPr>
      </w:pPr>
    </w:p>
    <w:tbl>
      <w:tblPr>
        <w:tblW w:w="10408" w:type="dxa"/>
        <w:jc w:val="center"/>
        <w:tblCellMar>
          <w:left w:w="70" w:type="dxa"/>
          <w:right w:w="70" w:type="dxa"/>
        </w:tblCellMar>
        <w:tblLook w:val="04A0" w:firstRow="1" w:lastRow="0" w:firstColumn="1" w:lastColumn="0" w:noHBand="0" w:noVBand="1"/>
      </w:tblPr>
      <w:tblGrid>
        <w:gridCol w:w="4254"/>
        <w:gridCol w:w="1648"/>
        <w:gridCol w:w="1372"/>
        <w:gridCol w:w="1701"/>
        <w:gridCol w:w="1433"/>
      </w:tblGrid>
      <w:tr w:rsidR="00851176" w:rsidRPr="005B6501" w14:paraId="21D85551" w14:textId="77777777" w:rsidTr="00F30223">
        <w:trPr>
          <w:trHeight w:val="612"/>
          <w:tblHeader/>
          <w:jc w:val="center"/>
        </w:trPr>
        <w:tc>
          <w:tcPr>
            <w:tcW w:w="4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37E98" w14:textId="0DDC3BDB" w:rsidR="00851176" w:rsidRPr="005B6501" w:rsidRDefault="00851176" w:rsidP="00851176">
            <w:pPr>
              <w:jc w:val="center"/>
              <w:rPr>
                <w:rFonts w:ascii="Arial" w:hAnsi="Arial" w:cs="Arial"/>
                <w:b/>
                <w:bCs/>
                <w:sz w:val="16"/>
                <w:szCs w:val="16"/>
                <w:lang w:eastAsia="es-AR"/>
              </w:rPr>
            </w:pPr>
            <w:r w:rsidRPr="00BA7A6B">
              <w:rPr>
                <w:rFonts w:ascii="Arial" w:hAnsi="Arial" w:cs="Arial"/>
                <w:b/>
                <w:bCs/>
                <w:sz w:val="16"/>
                <w:szCs w:val="16"/>
                <w:lang w:eastAsia="es-AR"/>
              </w:rPr>
              <w:t>PASIVO al 31/03/2020</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7F3C52D3" w14:textId="2B7EB8EF" w:rsidR="00851176" w:rsidRPr="005B6501"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Corporativa</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48425F0A" w14:textId="378965F7" w:rsidR="00851176" w:rsidRPr="005B6501"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Personas y Negocios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44DC2C" w14:textId="77777777" w:rsidR="00851176" w:rsidRPr="005B6501" w:rsidRDefault="00851176" w:rsidP="00851176">
            <w:pPr>
              <w:jc w:val="center"/>
              <w:rPr>
                <w:rFonts w:ascii="Arial" w:hAnsi="Arial" w:cs="Arial"/>
                <w:b/>
                <w:bCs/>
                <w:color w:val="000000"/>
                <w:sz w:val="16"/>
                <w:szCs w:val="16"/>
                <w:lang w:eastAsia="es-AR"/>
              </w:rPr>
            </w:pPr>
            <w:r w:rsidRPr="005B6501">
              <w:rPr>
                <w:rFonts w:ascii="Arial" w:hAnsi="Arial" w:cs="Arial"/>
                <w:b/>
                <w:bCs/>
                <w:color w:val="000000"/>
                <w:sz w:val="16"/>
                <w:szCs w:val="16"/>
                <w:lang w:eastAsia="es-AR"/>
              </w:rPr>
              <w:t xml:space="preserve"> Tesorería </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14:paraId="2DBF6026" w14:textId="77777777" w:rsidR="00851176" w:rsidRPr="005B6501" w:rsidRDefault="00851176" w:rsidP="00851176">
            <w:pPr>
              <w:jc w:val="center"/>
              <w:rPr>
                <w:rFonts w:ascii="Arial" w:hAnsi="Arial" w:cs="Arial"/>
                <w:b/>
                <w:bCs/>
                <w:color w:val="000000"/>
                <w:sz w:val="16"/>
                <w:szCs w:val="16"/>
                <w:lang w:eastAsia="es-AR"/>
              </w:rPr>
            </w:pPr>
            <w:r w:rsidRPr="005B6501">
              <w:rPr>
                <w:rFonts w:ascii="Arial" w:hAnsi="Arial" w:cs="Arial"/>
                <w:b/>
                <w:bCs/>
                <w:color w:val="000000"/>
                <w:sz w:val="16"/>
                <w:szCs w:val="16"/>
                <w:lang w:eastAsia="es-AR"/>
              </w:rPr>
              <w:t xml:space="preserve"> TOTAL </w:t>
            </w:r>
          </w:p>
        </w:tc>
      </w:tr>
      <w:tr w:rsidR="00D7611E" w:rsidRPr="005B6501" w14:paraId="326DE9C4" w14:textId="77777777" w:rsidTr="00C63989">
        <w:trPr>
          <w:trHeight w:val="20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034DD128" w14:textId="11DB967C" w:rsidR="00D7611E" w:rsidRPr="005B6501" w:rsidRDefault="00D7611E" w:rsidP="00D7611E">
            <w:pPr>
              <w:rPr>
                <w:rFonts w:ascii="Arial" w:hAnsi="Arial" w:cs="Arial"/>
                <w:b/>
                <w:bCs/>
                <w:sz w:val="16"/>
                <w:szCs w:val="18"/>
                <w:lang w:eastAsia="es-AR"/>
              </w:rPr>
            </w:pPr>
            <w:r w:rsidRPr="005B6501">
              <w:rPr>
                <w:rFonts w:ascii="Arial" w:hAnsi="Arial" w:cs="Arial"/>
                <w:b/>
                <w:sz w:val="16"/>
                <w:szCs w:val="18"/>
              </w:rPr>
              <w:t>Depósitos</w:t>
            </w:r>
          </w:p>
        </w:tc>
        <w:tc>
          <w:tcPr>
            <w:tcW w:w="1648" w:type="dxa"/>
            <w:tcBorders>
              <w:top w:val="nil"/>
              <w:left w:val="nil"/>
              <w:bottom w:val="single" w:sz="4" w:space="0" w:color="auto"/>
              <w:right w:val="single" w:sz="4" w:space="0" w:color="auto"/>
            </w:tcBorders>
            <w:shd w:val="clear" w:color="auto" w:fill="auto"/>
            <w:noWrap/>
            <w:vAlign w:val="bottom"/>
            <w:hideMark/>
          </w:tcPr>
          <w:p w14:paraId="5B5D9F01" w14:textId="7B402E43" w:rsidR="00D7611E" w:rsidRPr="005B6501" w:rsidRDefault="00D7611E" w:rsidP="00C63989">
            <w:pPr>
              <w:jc w:val="right"/>
              <w:rPr>
                <w:rFonts w:ascii="Arial" w:hAnsi="Arial" w:cs="Arial"/>
                <w:b/>
                <w:sz w:val="16"/>
                <w:szCs w:val="16"/>
              </w:rPr>
            </w:pPr>
            <w:r w:rsidRPr="005B6501">
              <w:rPr>
                <w:rFonts w:ascii="Arial" w:hAnsi="Arial" w:cs="Arial"/>
                <w:b/>
                <w:sz w:val="16"/>
                <w:szCs w:val="16"/>
              </w:rPr>
              <w:t xml:space="preserve"> -14.831.832 </w:t>
            </w:r>
          </w:p>
        </w:tc>
        <w:tc>
          <w:tcPr>
            <w:tcW w:w="1372" w:type="dxa"/>
            <w:tcBorders>
              <w:top w:val="nil"/>
              <w:left w:val="nil"/>
              <w:bottom w:val="single" w:sz="4" w:space="0" w:color="auto"/>
              <w:right w:val="single" w:sz="4" w:space="0" w:color="auto"/>
            </w:tcBorders>
            <w:shd w:val="clear" w:color="auto" w:fill="auto"/>
            <w:noWrap/>
            <w:vAlign w:val="bottom"/>
            <w:hideMark/>
          </w:tcPr>
          <w:p w14:paraId="31A9E167" w14:textId="284DA701" w:rsidR="00D7611E" w:rsidRPr="005B6501" w:rsidRDefault="00D7611E" w:rsidP="00C63989">
            <w:pPr>
              <w:jc w:val="right"/>
              <w:rPr>
                <w:rFonts w:ascii="Arial" w:hAnsi="Arial" w:cs="Arial"/>
                <w:b/>
                <w:sz w:val="16"/>
                <w:szCs w:val="16"/>
              </w:rPr>
            </w:pPr>
            <w:r w:rsidRPr="005B6501">
              <w:rPr>
                <w:rFonts w:ascii="Arial" w:hAnsi="Arial" w:cs="Arial"/>
                <w:b/>
                <w:sz w:val="16"/>
                <w:szCs w:val="16"/>
              </w:rPr>
              <w:t xml:space="preserve"> -74.732.408 </w:t>
            </w:r>
          </w:p>
        </w:tc>
        <w:tc>
          <w:tcPr>
            <w:tcW w:w="1701" w:type="dxa"/>
            <w:tcBorders>
              <w:top w:val="nil"/>
              <w:left w:val="nil"/>
              <w:bottom w:val="single" w:sz="4" w:space="0" w:color="auto"/>
              <w:right w:val="single" w:sz="4" w:space="0" w:color="auto"/>
            </w:tcBorders>
            <w:shd w:val="clear" w:color="auto" w:fill="auto"/>
            <w:noWrap/>
            <w:vAlign w:val="bottom"/>
            <w:hideMark/>
          </w:tcPr>
          <w:p w14:paraId="5D38F672" w14:textId="6CE8D464" w:rsidR="00D7611E" w:rsidRPr="005B6501" w:rsidRDefault="00D7611E" w:rsidP="00C63989">
            <w:pPr>
              <w:jc w:val="right"/>
              <w:rPr>
                <w:rFonts w:ascii="Arial" w:hAnsi="Arial" w:cs="Arial"/>
                <w:b/>
                <w:sz w:val="16"/>
                <w:szCs w:val="16"/>
              </w:rPr>
            </w:pPr>
            <w:r w:rsidRPr="005B6501">
              <w:rPr>
                <w:rFonts w:ascii="Arial" w:hAnsi="Arial" w:cs="Arial"/>
                <w:b/>
                <w:sz w:val="16"/>
                <w:szCs w:val="16"/>
              </w:rPr>
              <w:t xml:space="preserve"> -47.471.064 </w:t>
            </w:r>
          </w:p>
        </w:tc>
        <w:tc>
          <w:tcPr>
            <w:tcW w:w="1433" w:type="dxa"/>
            <w:tcBorders>
              <w:top w:val="nil"/>
              <w:left w:val="nil"/>
              <w:bottom w:val="single" w:sz="4" w:space="0" w:color="auto"/>
              <w:right w:val="single" w:sz="4" w:space="0" w:color="auto"/>
            </w:tcBorders>
            <w:shd w:val="clear" w:color="auto" w:fill="auto"/>
            <w:noWrap/>
            <w:vAlign w:val="bottom"/>
            <w:hideMark/>
          </w:tcPr>
          <w:p w14:paraId="6D535EEF" w14:textId="2CCD0CC3" w:rsidR="00D7611E" w:rsidRPr="005B6501" w:rsidRDefault="00D7611E" w:rsidP="00C63989">
            <w:pPr>
              <w:jc w:val="right"/>
              <w:rPr>
                <w:rFonts w:ascii="Arial" w:hAnsi="Arial" w:cs="Arial"/>
                <w:b/>
                <w:sz w:val="16"/>
                <w:szCs w:val="16"/>
              </w:rPr>
            </w:pPr>
            <w:r w:rsidRPr="005B6501">
              <w:rPr>
                <w:rFonts w:ascii="Arial" w:hAnsi="Arial" w:cs="Arial"/>
                <w:b/>
                <w:sz w:val="16"/>
                <w:szCs w:val="16"/>
              </w:rPr>
              <w:t>-137.035.304</w:t>
            </w:r>
          </w:p>
        </w:tc>
      </w:tr>
      <w:tr w:rsidR="00C63989" w:rsidRPr="005B6501" w14:paraId="535C8267" w14:textId="77777777" w:rsidTr="00C63989">
        <w:trPr>
          <w:trHeight w:val="27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3DADD041" w14:textId="283ACA02" w:rsidR="00C63989" w:rsidRPr="005B6501" w:rsidRDefault="00C63989" w:rsidP="00C63989">
            <w:pPr>
              <w:rPr>
                <w:rFonts w:ascii="Arial" w:hAnsi="Arial" w:cs="Arial"/>
                <w:color w:val="000000"/>
                <w:sz w:val="16"/>
                <w:szCs w:val="18"/>
                <w:lang w:eastAsia="es-AR"/>
              </w:rPr>
            </w:pPr>
            <w:r w:rsidRPr="005B6501">
              <w:rPr>
                <w:rFonts w:ascii="Arial" w:hAnsi="Arial" w:cs="Arial"/>
                <w:sz w:val="16"/>
                <w:szCs w:val="18"/>
              </w:rPr>
              <w:t xml:space="preserve">   Sector público no financiero</w:t>
            </w:r>
          </w:p>
        </w:tc>
        <w:tc>
          <w:tcPr>
            <w:tcW w:w="1648" w:type="dxa"/>
            <w:tcBorders>
              <w:top w:val="nil"/>
              <w:left w:val="nil"/>
              <w:bottom w:val="single" w:sz="4" w:space="0" w:color="auto"/>
              <w:right w:val="single" w:sz="4" w:space="0" w:color="auto"/>
            </w:tcBorders>
            <w:shd w:val="clear" w:color="auto" w:fill="auto"/>
            <w:noWrap/>
            <w:vAlign w:val="bottom"/>
            <w:hideMark/>
          </w:tcPr>
          <w:p w14:paraId="501B3577" w14:textId="46C65073" w:rsidR="00C63989" w:rsidRPr="005B6501" w:rsidRDefault="00C63989" w:rsidP="00C63989">
            <w:pPr>
              <w:jc w:val="right"/>
              <w:rPr>
                <w:rFonts w:ascii="Arial" w:hAnsi="Arial" w:cs="Arial"/>
                <w:b/>
                <w:sz w:val="16"/>
                <w:szCs w:val="16"/>
              </w:rPr>
            </w:pPr>
            <w:r w:rsidRPr="005B6501">
              <w:rPr>
                <w:rFonts w:ascii="Arial" w:hAnsi="Arial" w:cs="Arial"/>
                <w:sz w:val="16"/>
                <w:szCs w:val="16"/>
              </w:rPr>
              <w:t xml:space="preserve"> -8.880 </w:t>
            </w:r>
          </w:p>
        </w:tc>
        <w:tc>
          <w:tcPr>
            <w:tcW w:w="1372" w:type="dxa"/>
            <w:tcBorders>
              <w:top w:val="nil"/>
              <w:left w:val="nil"/>
              <w:bottom w:val="single" w:sz="4" w:space="0" w:color="auto"/>
              <w:right w:val="single" w:sz="4" w:space="0" w:color="auto"/>
            </w:tcBorders>
            <w:shd w:val="clear" w:color="auto" w:fill="auto"/>
            <w:noWrap/>
            <w:vAlign w:val="bottom"/>
            <w:hideMark/>
          </w:tcPr>
          <w:p w14:paraId="3EDEE6A1" w14:textId="17062F4C"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-1.519.543 </w:t>
            </w:r>
          </w:p>
        </w:tc>
        <w:tc>
          <w:tcPr>
            <w:tcW w:w="1701" w:type="dxa"/>
            <w:tcBorders>
              <w:top w:val="nil"/>
              <w:left w:val="nil"/>
              <w:bottom w:val="single" w:sz="4" w:space="0" w:color="auto"/>
              <w:right w:val="single" w:sz="4" w:space="0" w:color="auto"/>
            </w:tcBorders>
            <w:shd w:val="clear" w:color="auto" w:fill="auto"/>
            <w:noWrap/>
            <w:vAlign w:val="bottom"/>
            <w:hideMark/>
          </w:tcPr>
          <w:p w14:paraId="08428482" w14:textId="3DC248E7"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-4.039.772 </w:t>
            </w:r>
          </w:p>
        </w:tc>
        <w:tc>
          <w:tcPr>
            <w:tcW w:w="1433" w:type="dxa"/>
            <w:tcBorders>
              <w:top w:val="nil"/>
              <w:left w:val="nil"/>
              <w:bottom w:val="single" w:sz="4" w:space="0" w:color="auto"/>
              <w:right w:val="single" w:sz="4" w:space="0" w:color="auto"/>
            </w:tcBorders>
            <w:shd w:val="clear" w:color="auto" w:fill="auto"/>
            <w:noWrap/>
            <w:vAlign w:val="bottom"/>
            <w:hideMark/>
          </w:tcPr>
          <w:p w14:paraId="7AE236C8" w14:textId="2C3D61B8" w:rsidR="00C63989" w:rsidRPr="005B6501" w:rsidRDefault="00C63989" w:rsidP="00C63989">
            <w:pPr>
              <w:jc w:val="right"/>
              <w:rPr>
                <w:rFonts w:ascii="Arial" w:hAnsi="Arial" w:cs="Arial"/>
                <w:sz w:val="16"/>
                <w:szCs w:val="16"/>
              </w:rPr>
            </w:pPr>
            <w:r w:rsidRPr="005B6501">
              <w:rPr>
                <w:rFonts w:ascii="Arial" w:hAnsi="Arial" w:cs="Arial"/>
                <w:sz w:val="16"/>
                <w:szCs w:val="16"/>
              </w:rPr>
              <w:t>-5.568.195</w:t>
            </w:r>
          </w:p>
        </w:tc>
      </w:tr>
      <w:tr w:rsidR="00C63989" w:rsidRPr="005B6501" w14:paraId="0A681F61" w14:textId="77777777" w:rsidTr="00C63989">
        <w:trPr>
          <w:trHeight w:val="26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1F038B0D" w14:textId="125CDC71" w:rsidR="00C63989" w:rsidRPr="005B6501" w:rsidRDefault="00C63989" w:rsidP="00C63989">
            <w:pPr>
              <w:rPr>
                <w:rFonts w:ascii="Arial" w:hAnsi="Arial" w:cs="Arial"/>
                <w:color w:val="000000"/>
                <w:sz w:val="16"/>
                <w:szCs w:val="18"/>
                <w:lang w:eastAsia="es-AR"/>
              </w:rPr>
            </w:pPr>
            <w:r w:rsidRPr="005B6501">
              <w:rPr>
                <w:rFonts w:ascii="Arial" w:hAnsi="Arial" w:cs="Arial"/>
                <w:sz w:val="16"/>
                <w:szCs w:val="18"/>
              </w:rPr>
              <w:t xml:space="preserve">   Sector financiero</w:t>
            </w:r>
          </w:p>
        </w:tc>
        <w:tc>
          <w:tcPr>
            <w:tcW w:w="1648" w:type="dxa"/>
            <w:tcBorders>
              <w:top w:val="nil"/>
              <w:left w:val="nil"/>
              <w:bottom w:val="single" w:sz="4" w:space="0" w:color="auto"/>
              <w:right w:val="single" w:sz="4" w:space="0" w:color="auto"/>
            </w:tcBorders>
            <w:shd w:val="clear" w:color="auto" w:fill="auto"/>
            <w:noWrap/>
            <w:vAlign w:val="bottom"/>
            <w:hideMark/>
          </w:tcPr>
          <w:p w14:paraId="65FA3F32" w14:textId="61AA12E7" w:rsidR="00C63989" w:rsidRPr="005B6501" w:rsidRDefault="00C63989" w:rsidP="00C63989">
            <w:pPr>
              <w:jc w:val="right"/>
              <w:rPr>
                <w:rFonts w:ascii="Arial" w:hAnsi="Arial" w:cs="Arial"/>
                <w:b/>
                <w:sz w:val="16"/>
                <w:szCs w:val="16"/>
              </w:rPr>
            </w:pPr>
            <w:r w:rsidRPr="005B6501">
              <w:rPr>
                <w:rFonts w:ascii="Arial" w:hAnsi="Arial" w:cs="Arial"/>
                <w:sz w:val="16"/>
                <w:szCs w:val="16"/>
              </w:rPr>
              <w:t xml:space="preserve"> -61.578 </w:t>
            </w:r>
          </w:p>
        </w:tc>
        <w:tc>
          <w:tcPr>
            <w:tcW w:w="1372" w:type="dxa"/>
            <w:tcBorders>
              <w:top w:val="nil"/>
              <w:left w:val="nil"/>
              <w:bottom w:val="single" w:sz="4" w:space="0" w:color="auto"/>
              <w:right w:val="single" w:sz="4" w:space="0" w:color="auto"/>
            </w:tcBorders>
            <w:shd w:val="clear" w:color="auto" w:fill="auto"/>
            <w:noWrap/>
            <w:vAlign w:val="bottom"/>
            <w:hideMark/>
          </w:tcPr>
          <w:p w14:paraId="4C575A53" w14:textId="375C4DAD"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14:paraId="4E30F0FA" w14:textId="4A4B8517"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-62 </w:t>
            </w:r>
          </w:p>
        </w:tc>
        <w:tc>
          <w:tcPr>
            <w:tcW w:w="1433" w:type="dxa"/>
            <w:tcBorders>
              <w:top w:val="nil"/>
              <w:left w:val="nil"/>
              <w:bottom w:val="single" w:sz="4" w:space="0" w:color="auto"/>
              <w:right w:val="single" w:sz="4" w:space="0" w:color="auto"/>
            </w:tcBorders>
            <w:shd w:val="clear" w:color="auto" w:fill="auto"/>
            <w:noWrap/>
            <w:vAlign w:val="bottom"/>
            <w:hideMark/>
          </w:tcPr>
          <w:p w14:paraId="469983F5" w14:textId="2D59D21D" w:rsidR="00C63989" w:rsidRPr="005B6501" w:rsidRDefault="00C63989" w:rsidP="00C63989">
            <w:pPr>
              <w:jc w:val="right"/>
              <w:rPr>
                <w:rFonts w:ascii="Arial" w:hAnsi="Arial" w:cs="Arial"/>
                <w:sz w:val="16"/>
                <w:szCs w:val="16"/>
              </w:rPr>
            </w:pPr>
            <w:r w:rsidRPr="005B6501">
              <w:rPr>
                <w:rFonts w:ascii="Arial" w:hAnsi="Arial" w:cs="Arial"/>
                <w:sz w:val="16"/>
                <w:szCs w:val="16"/>
              </w:rPr>
              <w:t>-61.640</w:t>
            </w:r>
          </w:p>
        </w:tc>
      </w:tr>
      <w:tr w:rsidR="00C63989" w:rsidRPr="005B6501" w14:paraId="4F735AA0" w14:textId="77777777" w:rsidTr="00C63989">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578889C1" w14:textId="79EF0F92" w:rsidR="00C63989" w:rsidRPr="005B6501" w:rsidRDefault="00C63989" w:rsidP="00C63989">
            <w:pPr>
              <w:rPr>
                <w:rFonts w:ascii="Arial" w:hAnsi="Arial" w:cs="Arial"/>
                <w:color w:val="000000"/>
                <w:sz w:val="16"/>
                <w:szCs w:val="18"/>
                <w:lang w:eastAsia="es-AR"/>
              </w:rPr>
            </w:pPr>
            <w:r w:rsidRPr="005B6501">
              <w:rPr>
                <w:rFonts w:ascii="Arial" w:hAnsi="Arial" w:cs="Arial"/>
                <w:sz w:val="16"/>
                <w:szCs w:val="18"/>
              </w:rPr>
              <w:t xml:space="preserve">   Sector privado no financiero y residentes en el exterior</w:t>
            </w:r>
          </w:p>
        </w:tc>
        <w:tc>
          <w:tcPr>
            <w:tcW w:w="1648" w:type="dxa"/>
            <w:tcBorders>
              <w:top w:val="nil"/>
              <w:left w:val="nil"/>
              <w:bottom w:val="single" w:sz="4" w:space="0" w:color="auto"/>
              <w:right w:val="single" w:sz="4" w:space="0" w:color="auto"/>
            </w:tcBorders>
            <w:shd w:val="clear" w:color="auto" w:fill="auto"/>
            <w:noWrap/>
            <w:vAlign w:val="bottom"/>
            <w:hideMark/>
          </w:tcPr>
          <w:p w14:paraId="2C198FD3" w14:textId="13E6A820" w:rsidR="00C63989" w:rsidRPr="005B6501" w:rsidRDefault="00C63989" w:rsidP="00C63989">
            <w:pPr>
              <w:jc w:val="right"/>
              <w:rPr>
                <w:rFonts w:ascii="Arial" w:hAnsi="Arial" w:cs="Arial"/>
                <w:b/>
                <w:sz w:val="16"/>
                <w:szCs w:val="16"/>
              </w:rPr>
            </w:pPr>
            <w:r w:rsidRPr="005B6501">
              <w:rPr>
                <w:rFonts w:ascii="Arial" w:hAnsi="Arial" w:cs="Arial"/>
                <w:sz w:val="16"/>
                <w:szCs w:val="16"/>
              </w:rPr>
              <w:t xml:space="preserve"> -14.761.374 </w:t>
            </w:r>
          </w:p>
        </w:tc>
        <w:tc>
          <w:tcPr>
            <w:tcW w:w="1372" w:type="dxa"/>
            <w:tcBorders>
              <w:top w:val="nil"/>
              <w:left w:val="nil"/>
              <w:bottom w:val="single" w:sz="4" w:space="0" w:color="auto"/>
              <w:right w:val="single" w:sz="4" w:space="0" w:color="auto"/>
            </w:tcBorders>
            <w:shd w:val="clear" w:color="auto" w:fill="auto"/>
            <w:noWrap/>
            <w:vAlign w:val="bottom"/>
            <w:hideMark/>
          </w:tcPr>
          <w:p w14:paraId="6BAF5BE7" w14:textId="4A98CB6E"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-73.212.865 </w:t>
            </w:r>
          </w:p>
        </w:tc>
        <w:tc>
          <w:tcPr>
            <w:tcW w:w="1701" w:type="dxa"/>
            <w:tcBorders>
              <w:top w:val="nil"/>
              <w:left w:val="nil"/>
              <w:bottom w:val="single" w:sz="4" w:space="0" w:color="auto"/>
              <w:right w:val="single" w:sz="4" w:space="0" w:color="auto"/>
            </w:tcBorders>
            <w:shd w:val="clear" w:color="auto" w:fill="auto"/>
            <w:noWrap/>
            <w:vAlign w:val="bottom"/>
            <w:hideMark/>
          </w:tcPr>
          <w:p w14:paraId="4165AD58" w14:textId="22AFA083"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-43.431.230 </w:t>
            </w:r>
          </w:p>
        </w:tc>
        <w:tc>
          <w:tcPr>
            <w:tcW w:w="1433" w:type="dxa"/>
            <w:tcBorders>
              <w:top w:val="nil"/>
              <w:left w:val="nil"/>
              <w:bottom w:val="single" w:sz="4" w:space="0" w:color="auto"/>
              <w:right w:val="single" w:sz="4" w:space="0" w:color="auto"/>
            </w:tcBorders>
            <w:shd w:val="clear" w:color="auto" w:fill="auto"/>
            <w:noWrap/>
            <w:vAlign w:val="bottom"/>
            <w:hideMark/>
          </w:tcPr>
          <w:p w14:paraId="74B7EFB1" w14:textId="08D54ED1" w:rsidR="00C63989" w:rsidRPr="005B6501" w:rsidRDefault="00C63989" w:rsidP="00C63989">
            <w:pPr>
              <w:jc w:val="right"/>
              <w:rPr>
                <w:rFonts w:ascii="Arial" w:hAnsi="Arial" w:cs="Arial"/>
                <w:sz w:val="16"/>
                <w:szCs w:val="16"/>
              </w:rPr>
            </w:pPr>
            <w:r w:rsidRPr="005B6501">
              <w:rPr>
                <w:rFonts w:ascii="Arial" w:hAnsi="Arial" w:cs="Arial"/>
                <w:sz w:val="16"/>
                <w:szCs w:val="16"/>
              </w:rPr>
              <w:t>-131.405.469</w:t>
            </w:r>
          </w:p>
        </w:tc>
      </w:tr>
      <w:tr w:rsidR="00C63989" w:rsidRPr="005B6501" w14:paraId="1B9F720B" w14:textId="77777777" w:rsidTr="00C63989">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4A62C944" w14:textId="4D20DB79" w:rsidR="00C63989" w:rsidRPr="005B6501" w:rsidRDefault="00C63989" w:rsidP="00C63989">
            <w:pPr>
              <w:rPr>
                <w:rFonts w:ascii="Arial" w:hAnsi="Arial" w:cs="Arial"/>
                <w:b/>
                <w:sz w:val="16"/>
                <w:szCs w:val="18"/>
              </w:rPr>
            </w:pPr>
            <w:r w:rsidRPr="005B6501">
              <w:rPr>
                <w:rFonts w:ascii="Arial" w:hAnsi="Arial" w:cs="Arial"/>
                <w:b/>
                <w:sz w:val="16"/>
                <w:szCs w:val="18"/>
              </w:rPr>
              <w:t>Pasivos a valor razonable con cambios en resultados</w:t>
            </w:r>
          </w:p>
        </w:tc>
        <w:tc>
          <w:tcPr>
            <w:tcW w:w="1648" w:type="dxa"/>
            <w:tcBorders>
              <w:top w:val="nil"/>
              <w:left w:val="nil"/>
              <w:bottom w:val="single" w:sz="4" w:space="0" w:color="auto"/>
              <w:right w:val="single" w:sz="4" w:space="0" w:color="auto"/>
            </w:tcBorders>
            <w:shd w:val="clear" w:color="auto" w:fill="auto"/>
            <w:noWrap/>
            <w:vAlign w:val="bottom"/>
          </w:tcPr>
          <w:p w14:paraId="4AD00B0C" w14:textId="74595994"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tcPr>
          <w:p w14:paraId="2A44A0EE" w14:textId="22CE758F"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tcPr>
          <w:p w14:paraId="25DE8E93" w14:textId="6580ACEA"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-365.736 </w:t>
            </w:r>
          </w:p>
        </w:tc>
        <w:tc>
          <w:tcPr>
            <w:tcW w:w="1433" w:type="dxa"/>
            <w:tcBorders>
              <w:top w:val="nil"/>
              <w:left w:val="nil"/>
              <w:bottom w:val="single" w:sz="4" w:space="0" w:color="auto"/>
              <w:right w:val="single" w:sz="4" w:space="0" w:color="auto"/>
            </w:tcBorders>
            <w:shd w:val="clear" w:color="auto" w:fill="auto"/>
            <w:noWrap/>
            <w:vAlign w:val="bottom"/>
          </w:tcPr>
          <w:p w14:paraId="66105526" w14:textId="14766F2B" w:rsidR="00C63989" w:rsidRPr="005B6501" w:rsidRDefault="00C63989" w:rsidP="00C63989">
            <w:pPr>
              <w:jc w:val="right"/>
              <w:rPr>
                <w:rFonts w:ascii="Arial" w:hAnsi="Arial" w:cs="Arial"/>
                <w:b/>
                <w:sz w:val="16"/>
                <w:szCs w:val="16"/>
              </w:rPr>
            </w:pPr>
            <w:r w:rsidRPr="005B6501">
              <w:rPr>
                <w:rFonts w:ascii="Arial" w:hAnsi="Arial" w:cs="Arial"/>
                <w:b/>
                <w:sz w:val="16"/>
                <w:szCs w:val="16"/>
              </w:rPr>
              <w:t>-365.736</w:t>
            </w:r>
          </w:p>
        </w:tc>
      </w:tr>
      <w:tr w:rsidR="00C63989" w:rsidRPr="005B6501" w14:paraId="39D85DF9" w14:textId="77777777" w:rsidTr="00C63989">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176899BF" w14:textId="1071DA53"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Operaciones de pase</w:t>
            </w:r>
          </w:p>
        </w:tc>
        <w:tc>
          <w:tcPr>
            <w:tcW w:w="1648" w:type="dxa"/>
            <w:tcBorders>
              <w:top w:val="nil"/>
              <w:left w:val="nil"/>
              <w:bottom w:val="single" w:sz="4" w:space="0" w:color="auto"/>
              <w:right w:val="single" w:sz="4" w:space="0" w:color="auto"/>
            </w:tcBorders>
            <w:shd w:val="clear" w:color="auto" w:fill="auto"/>
            <w:noWrap/>
            <w:vAlign w:val="bottom"/>
            <w:hideMark/>
          </w:tcPr>
          <w:p w14:paraId="22DF0443" w14:textId="1A286C1E"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hideMark/>
          </w:tcPr>
          <w:p w14:paraId="60B349F1" w14:textId="77BCF6D0"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14:paraId="592886F4" w14:textId="17AFB4A9"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-282.843 </w:t>
            </w:r>
          </w:p>
        </w:tc>
        <w:tc>
          <w:tcPr>
            <w:tcW w:w="1433" w:type="dxa"/>
            <w:tcBorders>
              <w:top w:val="nil"/>
              <w:left w:val="nil"/>
              <w:bottom w:val="single" w:sz="4" w:space="0" w:color="auto"/>
              <w:right w:val="single" w:sz="4" w:space="0" w:color="auto"/>
            </w:tcBorders>
            <w:shd w:val="clear" w:color="auto" w:fill="auto"/>
            <w:noWrap/>
            <w:vAlign w:val="bottom"/>
            <w:hideMark/>
          </w:tcPr>
          <w:p w14:paraId="02CE27C5" w14:textId="3A479859" w:rsidR="00C63989" w:rsidRPr="005B6501" w:rsidRDefault="00C63989" w:rsidP="00C63989">
            <w:pPr>
              <w:jc w:val="right"/>
              <w:rPr>
                <w:rFonts w:ascii="Arial" w:hAnsi="Arial" w:cs="Arial"/>
                <w:b/>
                <w:sz w:val="16"/>
                <w:szCs w:val="16"/>
              </w:rPr>
            </w:pPr>
            <w:r w:rsidRPr="005B6501">
              <w:rPr>
                <w:rFonts w:ascii="Arial" w:hAnsi="Arial" w:cs="Arial"/>
                <w:b/>
                <w:sz w:val="16"/>
                <w:szCs w:val="16"/>
              </w:rPr>
              <w:t>-282.843</w:t>
            </w:r>
          </w:p>
        </w:tc>
      </w:tr>
      <w:tr w:rsidR="00C63989" w:rsidRPr="005B6501" w14:paraId="09C326B1" w14:textId="77777777" w:rsidTr="00C63989">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51613547" w14:textId="4D1F2407"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Otros pasivos financieros</w:t>
            </w:r>
          </w:p>
        </w:tc>
        <w:tc>
          <w:tcPr>
            <w:tcW w:w="1648" w:type="dxa"/>
            <w:tcBorders>
              <w:top w:val="nil"/>
              <w:left w:val="nil"/>
              <w:bottom w:val="single" w:sz="4" w:space="0" w:color="auto"/>
              <w:right w:val="single" w:sz="4" w:space="0" w:color="auto"/>
            </w:tcBorders>
            <w:shd w:val="clear" w:color="auto" w:fill="auto"/>
            <w:noWrap/>
            <w:vAlign w:val="bottom"/>
          </w:tcPr>
          <w:p w14:paraId="1945B711" w14:textId="5A8FE3E4"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-1.408.127 </w:t>
            </w:r>
          </w:p>
        </w:tc>
        <w:tc>
          <w:tcPr>
            <w:tcW w:w="1372" w:type="dxa"/>
            <w:tcBorders>
              <w:top w:val="nil"/>
              <w:left w:val="nil"/>
              <w:bottom w:val="single" w:sz="4" w:space="0" w:color="auto"/>
              <w:right w:val="single" w:sz="4" w:space="0" w:color="auto"/>
            </w:tcBorders>
            <w:shd w:val="clear" w:color="auto" w:fill="auto"/>
            <w:noWrap/>
            <w:vAlign w:val="bottom"/>
          </w:tcPr>
          <w:p w14:paraId="228CCB96" w14:textId="292977DF"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-2.651.267 </w:t>
            </w:r>
          </w:p>
        </w:tc>
        <w:tc>
          <w:tcPr>
            <w:tcW w:w="1701" w:type="dxa"/>
            <w:tcBorders>
              <w:top w:val="nil"/>
              <w:left w:val="nil"/>
              <w:bottom w:val="single" w:sz="4" w:space="0" w:color="auto"/>
              <w:right w:val="single" w:sz="4" w:space="0" w:color="auto"/>
            </w:tcBorders>
            <w:shd w:val="clear" w:color="auto" w:fill="auto"/>
            <w:noWrap/>
            <w:vAlign w:val="bottom"/>
          </w:tcPr>
          <w:p w14:paraId="0E6B0D1E" w14:textId="0E0DDBEF"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-1.754.296 </w:t>
            </w:r>
          </w:p>
        </w:tc>
        <w:tc>
          <w:tcPr>
            <w:tcW w:w="1433" w:type="dxa"/>
            <w:tcBorders>
              <w:top w:val="nil"/>
              <w:left w:val="nil"/>
              <w:bottom w:val="single" w:sz="4" w:space="0" w:color="auto"/>
              <w:right w:val="single" w:sz="4" w:space="0" w:color="auto"/>
            </w:tcBorders>
            <w:shd w:val="clear" w:color="auto" w:fill="auto"/>
            <w:noWrap/>
            <w:vAlign w:val="bottom"/>
          </w:tcPr>
          <w:p w14:paraId="3BE2E049" w14:textId="59980EDB" w:rsidR="00C63989" w:rsidRPr="005B6501" w:rsidRDefault="00C63989" w:rsidP="00C63989">
            <w:pPr>
              <w:jc w:val="right"/>
              <w:rPr>
                <w:rFonts w:ascii="Arial" w:hAnsi="Arial" w:cs="Arial"/>
                <w:b/>
                <w:sz w:val="16"/>
                <w:szCs w:val="16"/>
              </w:rPr>
            </w:pPr>
            <w:r w:rsidRPr="005B6501">
              <w:rPr>
                <w:rFonts w:ascii="Arial" w:hAnsi="Arial" w:cs="Arial"/>
                <w:b/>
                <w:sz w:val="16"/>
                <w:szCs w:val="16"/>
              </w:rPr>
              <w:t>-5.813.690</w:t>
            </w:r>
          </w:p>
        </w:tc>
      </w:tr>
      <w:tr w:rsidR="00C63989" w:rsidRPr="005B6501" w14:paraId="3ED5EABE" w14:textId="77777777" w:rsidTr="00C63989">
        <w:trPr>
          <w:trHeight w:val="27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3C99F625" w14:textId="68C03756"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Financiaciones recibidas del BCRA y otras instituciones financieras</w:t>
            </w:r>
          </w:p>
        </w:tc>
        <w:tc>
          <w:tcPr>
            <w:tcW w:w="1648" w:type="dxa"/>
            <w:tcBorders>
              <w:top w:val="nil"/>
              <w:left w:val="nil"/>
              <w:bottom w:val="single" w:sz="4" w:space="0" w:color="auto"/>
              <w:right w:val="single" w:sz="4" w:space="0" w:color="auto"/>
            </w:tcBorders>
            <w:shd w:val="clear" w:color="auto" w:fill="auto"/>
            <w:noWrap/>
            <w:vAlign w:val="bottom"/>
          </w:tcPr>
          <w:p w14:paraId="7984CE5E" w14:textId="51FBB320"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tcPr>
          <w:p w14:paraId="76EDDFAF" w14:textId="512D5BF9"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-11.288 </w:t>
            </w:r>
          </w:p>
        </w:tc>
        <w:tc>
          <w:tcPr>
            <w:tcW w:w="1701" w:type="dxa"/>
            <w:tcBorders>
              <w:top w:val="nil"/>
              <w:left w:val="nil"/>
              <w:bottom w:val="single" w:sz="4" w:space="0" w:color="auto"/>
              <w:right w:val="single" w:sz="4" w:space="0" w:color="auto"/>
            </w:tcBorders>
            <w:shd w:val="clear" w:color="auto" w:fill="auto"/>
            <w:noWrap/>
            <w:vAlign w:val="bottom"/>
          </w:tcPr>
          <w:p w14:paraId="1EAB4060" w14:textId="101BDEF6"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-8.039.718 </w:t>
            </w:r>
          </w:p>
        </w:tc>
        <w:tc>
          <w:tcPr>
            <w:tcW w:w="1433" w:type="dxa"/>
            <w:tcBorders>
              <w:top w:val="nil"/>
              <w:left w:val="nil"/>
              <w:bottom w:val="single" w:sz="4" w:space="0" w:color="auto"/>
              <w:right w:val="single" w:sz="4" w:space="0" w:color="auto"/>
            </w:tcBorders>
            <w:shd w:val="clear" w:color="auto" w:fill="auto"/>
            <w:noWrap/>
            <w:vAlign w:val="bottom"/>
          </w:tcPr>
          <w:p w14:paraId="2AD169D5" w14:textId="3258AE03" w:rsidR="00C63989" w:rsidRPr="005B6501" w:rsidRDefault="00C63989" w:rsidP="00C63989">
            <w:pPr>
              <w:jc w:val="right"/>
              <w:rPr>
                <w:rFonts w:ascii="Arial" w:hAnsi="Arial" w:cs="Arial"/>
                <w:b/>
                <w:sz w:val="16"/>
                <w:szCs w:val="16"/>
              </w:rPr>
            </w:pPr>
            <w:r w:rsidRPr="005B6501">
              <w:rPr>
                <w:rFonts w:ascii="Arial" w:hAnsi="Arial" w:cs="Arial"/>
                <w:b/>
                <w:sz w:val="16"/>
                <w:szCs w:val="16"/>
              </w:rPr>
              <w:t>-8.051.006</w:t>
            </w:r>
          </w:p>
        </w:tc>
      </w:tr>
      <w:tr w:rsidR="00C63989" w:rsidRPr="005B6501" w14:paraId="37F6F28F" w14:textId="77777777" w:rsidTr="00C63989">
        <w:trPr>
          <w:trHeight w:val="388"/>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2F9B571D" w14:textId="7A815B4F"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Obligaciones negociables emitidas</w:t>
            </w:r>
          </w:p>
        </w:tc>
        <w:tc>
          <w:tcPr>
            <w:tcW w:w="1648" w:type="dxa"/>
            <w:tcBorders>
              <w:top w:val="nil"/>
              <w:left w:val="nil"/>
              <w:bottom w:val="single" w:sz="4" w:space="0" w:color="auto"/>
              <w:right w:val="single" w:sz="4" w:space="0" w:color="auto"/>
            </w:tcBorders>
            <w:shd w:val="clear" w:color="auto" w:fill="auto"/>
            <w:noWrap/>
            <w:vAlign w:val="bottom"/>
          </w:tcPr>
          <w:p w14:paraId="7569B013" w14:textId="39B45E06"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-30.259 </w:t>
            </w:r>
          </w:p>
        </w:tc>
        <w:tc>
          <w:tcPr>
            <w:tcW w:w="1372" w:type="dxa"/>
            <w:tcBorders>
              <w:top w:val="nil"/>
              <w:left w:val="nil"/>
              <w:bottom w:val="single" w:sz="4" w:space="0" w:color="auto"/>
              <w:right w:val="single" w:sz="4" w:space="0" w:color="auto"/>
            </w:tcBorders>
            <w:shd w:val="clear" w:color="auto" w:fill="auto"/>
            <w:noWrap/>
            <w:vAlign w:val="bottom"/>
          </w:tcPr>
          <w:p w14:paraId="7294C01C" w14:textId="10EC9DE2"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-59.527 </w:t>
            </w:r>
          </w:p>
        </w:tc>
        <w:tc>
          <w:tcPr>
            <w:tcW w:w="1701" w:type="dxa"/>
            <w:tcBorders>
              <w:top w:val="nil"/>
              <w:left w:val="nil"/>
              <w:bottom w:val="single" w:sz="4" w:space="0" w:color="auto"/>
              <w:right w:val="single" w:sz="4" w:space="0" w:color="auto"/>
            </w:tcBorders>
            <w:shd w:val="clear" w:color="auto" w:fill="auto"/>
            <w:noWrap/>
            <w:vAlign w:val="bottom"/>
          </w:tcPr>
          <w:p w14:paraId="4F9AF213" w14:textId="029A020D"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-4.080.773 </w:t>
            </w:r>
          </w:p>
        </w:tc>
        <w:tc>
          <w:tcPr>
            <w:tcW w:w="1433" w:type="dxa"/>
            <w:tcBorders>
              <w:top w:val="nil"/>
              <w:left w:val="nil"/>
              <w:bottom w:val="single" w:sz="4" w:space="0" w:color="auto"/>
              <w:right w:val="single" w:sz="4" w:space="0" w:color="auto"/>
            </w:tcBorders>
            <w:shd w:val="clear" w:color="auto" w:fill="auto"/>
            <w:noWrap/>
            <w:vAlign w:val="bottom"/>
          </w:tcPr>
          <w:p w14:paraId="06459F25" w14:textId="599E289F" w:rsidR="00C63989" w:rsidRPr="005B6501" w:rsidRDefault="00C63989" w:rsidP="00C63989">
            <w:pPr>
              <w:jc w:val="right"/>
              <w:rPr>
                <w:rFonts w:ascii="Arial" w:hAnsi="Arial" w:cs="Arial"/>
                <w:b/>
                <w:sz w:val="16"/>
                <w:szCs w:val="16"/>
              </w:rPr>
            </w:pPr>
            <w:r w:rsidRPr="005B6501">
              <w:rPr>
                <w:rFonts w:ascii="Arial" w:hAnsi="Arial" w:cs="Arial"/>
                <w:b/>
                <w:sz w:val="16"/>
                <w:szCs w:val="16"/>
              </w:rPr>
              <w:t>-4.170.559</w:t>
            </w:r>
          </w:p>
        </w:tc>
      </w:tr>
      <w:tr w:rsidR="00C63989" w:rsidRPr="005B6501" w14:paraId="07FA4889" w14:textId="77777777" w:rsidTr="00C63989">
        <w:trPr>
          <w:trHeight w:val="28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17C4208F" w14:textId="36992D99"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Pasivo por impuestos a las ganancias corriente</w:t>
            </w:r>
          </w:p>
        </w:tc>
        <w:tc>
          <w:tcPr>
            <w:tcW w:w="1648" w:type="dxa"/>
            <w:tcBorders>
              <w:top w:val="nil"/>
              <w:left w:val="nil"/>
              <w:bottom w:val="single" w:sz="4" w:space="0" w:color="auto"/>
              <w:right w:val="single" w:sz="4" w:space="0" w:color="auto"/>
            </w:tcBorders>
            <w:shd w:val="clear" w:color="auto" w:fill="auto"/>
            <w:noWrap/>
            <w:vAlign w:val="bottom"/>
          </w:tcPr>
          <w:p w14:paraId="5A21C1CC" w14:textId="63A0522F"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-72.317 </w:t>
            </w:r>
          </w:p>
        </w:tc>
        <w:tc>
          <w:tcPr>
            <w:tcW w:w="1372" w:type="dxa"/>
            <w:tcBorders>
              <w:top w:val="nil"/>
              <w:left w:val="nil"/>
              <w:bottom w:val="single" w:sz="4" w:space="0" w:color="auto"/>
              <w:right w:val="single" w:sz="4" w:space="0" w:color="auto"/>
            </w:tcBorders>
            <w:shd w:val="clear" w:color="auto" w:fill="auto"/>
            <w:noWrap/>
            <w:vAlign w:val="bottom"/>
          </w:tcPr>
          <w:p w14:paraId="5C14A39F" w14:textId="28C317A6"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-142.265 </w:t>
            </w:r>
          </w:p>
        </w:tc>
        <w:tc>
          <w:tcPr>
            <w:tcW w:w="1701" w:type="dxa"/>
            <w:tcBorders>
              <w:top w:val="nil"/>
              <w:left w:val="nil"/>
              <w:bottom w:val="single" w:sz="4" w:space="0" w:color="auto"/>
              <w:right w:val="single" w:sz="4" w:space="0" w:color="auto"/>
            </w:tcBorders>
            <w:shd w:val="clear" w:color="auto" w:fill="auto"/>
            <w:noWrap/>
            <w:vAlign w:val="bottom"/>
          </w:tcPr>
          <w:p w14:paraId="1ED5F5E9" w14:textId="0A6F75BF"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-206.84</w:t>
            </w:r>
            <w:r w:rsidR="003E7F65">
              <w:rPr>
                <w:rFonts w:ascii="Arial" w:hAnsi="Arial" w:cs="Arial"/>
                <w:b/>
                <w:sz w:val="16"/>
                <w:szCs w:val="16"/>
              </w:rPr>
              <w:t>5</w:t>
            </w:r>
            <w:r w:rsidRPr="005B6501">
              <w:rPr>
                <w:rFonts w:ascii="Arial" w:hAnsi="Arial" w:cs="Arial"/>
                <w:b/>
                <w:sz w:val="16"/>
                <w:szCs w:val="16"/>
              </w:rPr>
              <w:t xml:space="preserve"> </w:t>
            </w:r>
          </w:p>
        </w:tc>
        <w:tc>
          <w:tcPr>
            <w:tcW w:w="1433" w:type="dxa"/>
            <w:tcBorders>
              <w:top w:val="nil"/>
              <w:left w:val="nil"/>
              <w:bottom w:val="single" w:sz="4" w:space="0" w:color="auto"/>
              <w:right w:val="single" w:sz="4" w:space="0" w:color="auto"/>
            </w:tcBorders>
            <w:shd w:val="clear" w:color="auto" w:fill="auto"/>
            <w:noWrap/>
            <w:vAlign w:val="bottom"/>
          </w:tcPr>
          <w:p w14:paraId="1147BBBF" w14:textId="5B1BE0C8" w:rsidR="00C63989" w:rsidRPr="005B6501" w:rsidRDefault="00C63989" w:rsidP="00C63989">
            <w:pPr>
              <w:jc w:val="right"/>
              <w:rPr>
                <w:rFonts w:ascii="Arial" w:hAnsi="Arial" w:cs="Arial"/>
                <w:b/>
                <w:sz w:val="16"/>
                <w:szCs w:val="16"/>
              </w:rPr>
            </w:pPr>
            <w:r w:rsidRPr="005B6501">
              <w:rPr>
                <w:rFonts w:ascii="Arial" w:hAnsi="Arial" w:cs="Arial"/>
                <w:b/>
                <w:sz w:val="16"/>
                <w:szCs w:val="16"/>
              </w:rPr>
              <w:t>-421.42</w:t>
            </w:r>
            <w:r w:rsidR="00C847EE">
              <w:rPr>
                <w:rFonts w:ascii="Arial" w:hAnsi="Arial" w:cs="Arial"/>
                <w:b/>
                <w:sz w:val="16"/>
                <w:szCs w:val="16"/>
              </w:rPr>
              <w:t>7</w:t>
            </w:r>
          </w:p>
        </w:tc>
      </w:tr>
      <w:tr w:rsidR="00C63989" w:rsidRPr="005B6501" w14:paraId="66CED492" w14:textId="77777777" w:rsidTr="00C63989">
        <w:trPr>
          <w:trHeight w:val="28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27BD6173" w14:textId="4DA246BA"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Obligaciones negociables subordinadas</w:t>
            </w:r>
          </w:p>
        </w:tc>
        <w:tc>
          <w:tcPr>
            <w:tcW w:w="1648" w:type="dxa"/>
            <w:tcBorders>
              <w:top w:val="nil"/>
              <w:left w:val="nil"/>
              <w:bottom w:val="single" w:sz="4" w:space="0" w:color="auto"/>
              <w:right w:val="single" w:sz="4" w:space="0" w:color="auto"/>
            </w:tcBorders>
            <w:shd w:val="clear" w:color="auto" w:fill="auto"/>
            <w:noWrap/>
            <w:vAlign w:val="bottom"/>
          </w:tcPr>
          <w:p w14:paraId="27503CAA" w14:textId="6CB723FC"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-5.336 </w:t>
            </w:r>
          </w:p>
        </w:tc>
        <w:tc>
          <w:tcPr>
            <w:tcW w:w="1372" w:type="dxa"/>
            <w:tcBorders>
              <w:top w:val="nil"/>
              <w:left w:val="nil"/>
              <w:bottom w:val="single" w:sz="4" w:space="0" w:color="auto"/>
              <w:right w:val="single" w:sz="4" w:space="0" w:color="auto"/>
            </w:tcBorders>
            <w:shd w:val="clear" w:color="auto" w:fill="auto"/>
            <w:noWrap/>
            <w:vAlign w:val="bottom"/>
          </w:tcPr>
          <w:p w14:paraId="4C340EF6" w14:textId="2FC410D0"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-10.498 </w:t>
            </w:r>
          </w:p>
        </w:tc>
        <w:tc>
          <w:tcPr>
            <w:tcW w:w="1701" w:type="dxa"/>
            <w:tcBorders>
              <w:top w:val="nil"/>
              <w:left w:val="nil"/>
              <w:bottom w:val="single" w:sz="4" w:space="0" w:color="auto"/>
              <w:right w:val="single" w:sz="4" w:space="0" w:color="auto"/>
            </w:tcBorders>
            <w:shd w:val="clear" w:color="auto" w:fill="auto"/>
            <w:noWrap/>
            <w:vAlign w:val="bottom"/>
          </w:tcPr>
          <w:p w14:paraId="042EDEF8" w14:textId="3298CD9A"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-1.895.623 </w:t>
            </w:r>
          </w:p>
        </w:tc>
        <w:tc>
          <w:tcPr>
            <w:tcW w:w="1433" w:type="dxa"/>
            <w:tcBorders>
              <w:top w:val="nil"/>
              <w:left w:val="nil"/>
              <w:bottom w:val="single" w:sz="4" w:space="0" w:color="auto"/>
              <w:right w:val="single" w:sz="4" w:space="0" w:color="auto"/>
            </w:tcBorders>
            <w:shd w:val="clear" w:color="auto" w:fill="auto"/>
            <w:noWrap/>
            <w:vAlign w:val="bottom"/>
          </w:tcPr>
          <w:p w14:paraId="152C7D47" w14:textId="461FFC91" w:rsidR="00C63989" w:rsidRPr="005B6501" w:rsidRDefault="00C63989" w:rsidP="00C63989">
            <w:pPr>
              <w:jc w:val="right"/>
              <w:rPr>
                <w:rFonts w:ascii="Arial" w:hAnsi="Arial" w:cs="Arial"/>
                <w:b/>
                <w:sz w:val="16"/>
                <w:szCs w:val="16"/>
              </w:rPr>
            </w:pPr>
            <w:r w:rsidRPr="005B6501">
              <w:rPr>
                <w:rFonts w:ascii="Arial" w:hAnsi="Arial" w:cs="Arial"/>
                <w:b/>
                <w:sz w:val="16"/>
                <w:szCs w:val="16"/>
              </w:rPr>
              <w:t>-1.911.457</w:t>
            </w:r>
          </w:p>
        </w:tc>
      </w:tr>
      <w:tr w:rsidR="00C63989" w:rsidRPr="005B6501" w14:paraId="5D0C48D7" w14:textId="77777777" w:rsidTr="00C63989">
        <w:trPr>
          <w:trHeight w:val="26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27BDE5B1" w14:textId="7F6F2495"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Provisiones</w:t>
            </w:r>
          </w:p>
        </w:tc>
        <w:tc>
          <w:tcPr>
            <w:tcW w:w="1648" w:type="dxa"/>
            <w:tcBorders>
              <w:top w:val="nil"/>
              <w:left w:val="nil"/>
              <w:bottom w:val="single" w:sz="4" w:space="0" w:color="auto"/>
              <w:right w:val="single" w:sz="4" w:space="0" w:color="auto"/>
            </w:tcBorders>
            <w:shd w:val="clear" w:color="auto" w:fill="auto"/>
            <w:noWrap/>
            <w:vAlign w:val="bottom"/>
          </w:tcPr>
          <w:p w14:paraId="3B218C6C" w14:textId="47AEE6B0"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-152.825 </w:t>
            </w:r>
          </w:p>
        </w:tc>
        <w:tc>
          <w:tcPr>
            <w:tcW w:w="1372" w:type="dxa"/>
            <w:tcBorders>
              <w:top w:val="nil"/>
              <w:left w:val="nil"/>
              <w:bottom w:val="single" w:sz="4" w:space="0" w:color="auto"/>
              <w:right w:val="single" w:sz="4" w:space="0" w:color="auto"/>
            </w:tcBorders>
            <w:shd w:val="clear" w:color="auto" w:fill="auto"/>
            <w:noWrap/>
            <w:vAlign w:val="bottom"/>
          </w:tcPr>
          <w:p w14:paraId="1114CBE7" w14:textId="4C1259B3"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-167.631 </w:t>
            </w:r>
          </w:p>
        </w:tc>
        <w:tc>
          <w:tcPr>
            <w:tcW w:w="1701" w:type="dxa"/>
            <w:tcBorders>
              <w:top w:val="nil"/>
              <w:left w:val="nil"/>
              <w:bottom w:val="single" w:sz="4" w:space="0" w:color="auto"/>
              <w:right w:val="single" w:sz="4" w:space="0" w:color="auto"/>
            </w:tcBorders>
            <w:shd w:val="clear" w:color="auto" w:fill="auto"/>
            <w:noWrap/>
            <w:vAlign w:val="bottom"/>
          </w:tcPr>
          <w:p w14:paraId="65DF0707" w14:textId="08AF99A9"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-91.091 </w:t>
            </w:r>
          </w:p>
        </w:tc>
        <w:tc>
          <w:tcPr>
            <w:tcW w:w="1433" w:type="dxa"/>
            <w:tcBorders>
              <w:top w:val="nil"/>
              <w:left w:val="nil"/>
              <w:bottom w:val="single" w:sz="4" w:space="0" w:color="auto"/>
              <w:right w:val="single" w:sz="4" w:space="0" w:color="auto"/>
            </w:tcBorders>
            <w:shd w:val="clear" w:color="auto" w:fill="auto"/>
            <w:noWrap/>
            <w:vAlign w:val="bottom"/>
          </w:tcPr>
          <w:p w14:paraId="381D7488" w14:textId="3B2C3ADF" w:rsidR="00C63989" w:rsidRPr="005B6501" w:rsidRDefault="00C63989" w:rsidP="00C63989">
            <w:pPr>
              <w:jc w:val="right"/>
              <w:rPr>
                <w:rFonts w:ascii="Arial" w:hAnsi="Arial" w:cs="Arial"/>
                <w:b/>
                <w:sz w:val="16"/>
                <w:szCs w:val="16"/>
              </w:rPr>
            </w:pPr>
            <w:r w:rsidRPr="005B6501">
              <w:rPr>
                <w:rFonts w:ascii="Arial" w:hAnsi="Arial" w:cs="Arial"/>
                <w:b/>
                <w:sz w:val="16"/>
                <w:szCs w:val="16"/>
              </w:rPr>
              <w:t>-411.547</w:t>
            </w:r>
          </w:p>
        </w:tc>
      </w:tr>
      <w:tr w:rsidR="00C847EE" w:rsidRPr="005B6501" w14:paraId="1CD7058A" w14:textId="77777777" w:rsidTr="00C63989">
        <w:trPr>
          <w:trHeight w:val="264"/>
          <w:jc w:val="center"/>
        </w:trPr>
        <w:tc>
          <w:tcPr>
            <w:tcW w:w="4254" w:type="dxa"/>
            <w:tcBorders>
              <w:top w:val="nil"/>
              <w:left w:val="single" w:sz="4" w:space="0" w:color="auto"/>
              <w:bottom w:val="single" w:sz="4" w:space="0" w:color="auto"/>
              <w:right w:val="single" w:sz="4" w:space="0" w:color="auto"/>
            </w:tcBorders>
            <w:shd w:val="clear" w:color="auto" w:fill="auto"/>
            <w:vAlign w:val="bottom"/>
          </w:tcPr>
          <w:p w14:paraId="0BF08F1A" w14:textId="7394CED0" w:rsidR="00C847EE" w:rsidRPr="005B6501" w:rsidRDefault="00C847EE" w:rsidP="00C63989">
            <w:pPr>
              <w:rPr>
                <w:rFonts w:ascii="Arial" w:hAnsi="Arial" w:cs="Arial"/>
                <w:b/>
                <w:sz w:val="16"/>
                <w:szCs w:val="18"/>
              </w:rPr>
            </w:pPr>
            <w:r w:rsidRPr="00C847EE">
              <w:rPr>
                <w:rFonts w:ascii="Arial" w:hAnsi="Arial" w:cs="Arial"/>
                <w:b/>
                <w:sz w:val="16"/>
                <w:szCs w:val="18"/>
              </w:rPr>
              <w:t>Pasivo por impuestos a las ganancias diferido</w:t>
            </w:r>
          </w:p>
        </w:tc>
        <w:tc>
          <w:tcPr>
            <w:tcW w:w="1648" w:type="dxa"/>
            <w:tcBorders>
              <w:top w:val="nil"/>
              <w:left w:val="nil"/>
              <w:bottom w:val="single" w:sz="4" w:space="0" w:color="auto"/>
              <w:right w:val="single" w:sz="4" w:space="0" w:color="auto"/>
            </w:tcBorders>
            <w:shd w:val="clear" w:color="auto" w:fill="auto"/>
            <w:noWrap/>
            <w:vAlign w:val="bottom"/>
          </w:tcPr>
          <w:p w14:paraId="26AE9F08" w14:textId="4A2B0090" w:rsidR="00C847EE" w:rsidRPr="005B6501" w:rsidRDefault="00C847EE" w:rsidP="00C63989">
            <w:pPr>
              <w:jc w:val="right"/>
              <w:rPr>
                <w:rFonts w:ascii="Arial" w:hAnsi="Arial" w:cs="Arial"/>
                <w:b/>
                <w:sz w:val="16"/>
                <w:szCs w:val="16"/>
              </w:rPr>
            </w:pPr>
            <w:r w:rsidRPr="00C847EE">
              <w:rPr>
                <w:rFonts w:ascii="Arial" w:hAnsi="Arial" w:cs="Arial"/>
                <w:b/>
                <w:sz w:val="16"/>
                <w:szCs w:val="16"/>
              </w:rPr>
              <w:t>-157</w:t>
            </w:r>
          </w:p>
        </w:tc>
        <w:tc>
          <w:tcPr>
            <w:tcW w:w="1372" w:type="dxa"/>
            <w:tcBorders>
              <w:top w:val="nil"/>
              <w:left w:val="nil"/>
              <w:bottom w:val="single" w:sz="4" w:space="0" w:color="auto"/>
              <w:right w:val="single" w:sz="4" w:space="0" w:color="auto"/>
            </w:tcBorders>
            <w:shd w:val="clear" w:color="auto" w:fill="auto"/>
            <w:noWrap/>
            <w:vAlign w:val="bottom"/>
          </w:tcPr>
          <w:p w14:paraId="1417AD6E" w14:textId="6219FF14" w:rsidR="00C847EE" w:rsidRPr="005B6501" w:rsidRDefault="00C847EE" w:rsidP="00C63989">
            <w:pPr>
              <w:jc w:val="right"/>
              <w:rPr>
                <w:rFonts w:ascii="Arial" w:hAnsi="Arial" w:cs="Arial"/>
                <w:b/>
                <w:sz w:val="16"/>
                <w:szCs w:val="16"/>
              </w:rPr>
            </w:pPr>
            <w:r w:rsidRPr="00C847EE">
              <w:rPr>
                <w:rFonts w:ascii="Arial" w:hAnsi="Arial" w:cs="Arial"/>
                <w:b/>
                <w:sz w:val="16"/>
                <w:szCs w:val="16"/>
              </w:rPr>
              <w:t>-308</w:t>
            </w:r>
          </w:p>
        </w:tc>
        <w:tc>
          <w:tcPr>
            <w:tcW w:w="1701" w:type="dxa"/>
            <w:tcBorders>
              <w:top w:val="nil"/>
              <w:left w:val="nil"/>
              <w:bottom w:val="single" w:sz="4" w:space="0" w:color="auto"/>
              <w:right w:val="single" w:sz="4" w:space="0" w:color="auto"/>
            </w:tcBorders>
            <w:shd w:val="clear" w:color="auto" w:fill="auto"/>
            <w:noWrap/>
            <w:vAlign w:val="bottom"/>
          </w:tcPr>
          <w:p w14:paraId="6B651F4A" w14:textId="5FC68851" w:rsidR="00C847EE" w:rsidRPr="005B6501" w:rsidRDefault="00C847EE" w:rsidP="00C63989">
            <w:pPr>
              <w:jc w:val="right"/>
              <w:rPr>
                <w:rFonts w:ascii="Arial" w:hAnsi="Arial" w:cs="Arial"/>
                <w:b/>
                <w:sz w:val="16"/>
                <w:szCs w:val="16"/>
              </w:rPr>
            </w:pPr>
            <w:r w:rsidRPr="00C847EE">
              <w:rPr>
                <w:rFonts w:ascii="Arial" w:hAnsi="Arial" w:cs="Arial"/>
                <w:b/>
                <w:sz w:val="16"/>
                <w:szCs w:val="16"/>
              </w:rPr>
              <w:t>-447</w:t>
            </w:r>
          </w:p>
        </w:tc>
        <w:tc>
          <w:tcPr>
            <w:tcW w:w="1433" w:type="dxa"/>
            <w:tcBorders>
              <w:top w:val="nil"/>
              <w:left w:val="nil"/>
              <w:bottom w:val="single" w:sz="4" w:space="0" w:color="auto"/>
              <w:right w:val="single" w:sz="4" w:space="0" w:color="auto"/>
            </w:tcBorders>
            <w:shd w:val="clear" w:color="auto" w:fill="auto"/>
            <w:noWrap/>
            <w:vAlign w:val="bottom"/>
          </w:tcPr>
          <w:p w14:paraId="216E3AEB" w14:textId="5E68790B" w:rsidR="00C847EE" w:rsidRPr="005B6501" w:rsidRDefault="00C847EE" w:rsidP="00C63989">
            <w:pPr>
              <w:jc w:val="right"/>
              <w:rPr>
                <w:rFonts w:ascii="Arial" w:hAnsi="Arial" w:cs="Arial"/>
                <w:b/>
                <w:sz w:val="16"/>
                <w:szCs w:val="16"/>
              </w:rPr>
            </w:pPr>
            <w:r>
              <w:rPr>
                <w:rFonts w:ascii="Arial" w:hAnsi="Arial" w:cs="Arial"/>
                <w:b/>
                <w:sz w:val="16"/>
                <w:szCs w:val="16"/>
              </w:rPr>
              <w:t>-912</w:t>
            </w:r>
          </w:p>
        </w:tc>
      </w:tr>
      <w:tr w:rsidR="00C63989" w:rsidRPr="005B6501" w14:paraId="45A28ABE" w14:textId="77777777" w:rsidTr="00C63989">
        <w:trPr>
          <w:trHeight w:val="273"/>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58897691" w14:textId="2BE2865A"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Otros pasivos no financieros</w:t>
            </w:r>
          </w:p>
        </w:tc>
        <w:tc>
          <w:tcPr>
            <w:tcW w:w="1648" w:type="dxa"/>
            <w:tcBorders>
              <w:top w:val="nil"/>
              <w:left w:val="nil"/>
              <w:bottom w:val="single" w:sz="4" w:space="0" w:color="auto"/>
              <w:right w:val="single" w:sz="4" w:space="0" w:color="auto"/>
            </w:tcBorders>
            <w:shd w:val="clear" w:color="auto" w:fill="auto"/>
            <w:noWrap/>
            <w:vAlign w:val="bottom"/>
          </w:tcPr>
          <w:p w14:paraId="2C966D7F" w14:textId="3BC23951"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-8.006 </w:t>
            </w:r>
          </w:p>
        </w:tc>
        <w:tc>
          <w:tcPr>
            <w:tcW w:w="1372" w:type="dxa"/>
            <w:tcBorders>
              <w:top w:val="nil"/>
              <w:left w:val="nil"/>
              <w:bottom w:val="single" w:sz="4" w:space="0" w:color="auto"/>
              <w:right w:val="single" w:sz="4" w:space="0" w:color="auto"/>
            </w:tcBorders>
            <w:shd w:val="clear" w:color="auto" w:fill="auto"/>
            <w:noWrap/>
            <w:vAlign w:val="bottom"/>
          </w:tcPr>
          <w:p w14:paraId="21F36C4B" w14:textId="7D92004A"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-1.244.907 </w:t>
            </w:r>
          </w:p>
        </w:tc>
        <w:tc>
          <w:tcPr>
            <w:tcW w:w="1701" w:type="dxa"/>
            <w:tcBorders>
              <w:top w:val="nil"/>
              <w:left w:val="nil"/>
              <w:bottom w:val="single" w:sz="4" w:space="0" w:color="auto"/>
              <w:right w:val="single" w:sz="4" w:space="0" w:color="auto"/>
            </w:tcBorders>
            <w:shd w:val="clear" w:color="auto" w:fill="auto"/>
            <w:noWrap/>
            <w:vAlign w:val="bottom"/>
          </w:tcPr>
          <w:p w14:paraId="128E33D8" w14:textId="652A97C6"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-5.243.065 </w:t>
            </w:r>
          </w:p>
        </w:tc>
        <w:tc>
          <w:tcPr>
            <w:tcW w:w="1433" w:type="dxa"/>
            <w:tcBorders>
              <w:top w:val="nil"/>
              <w:left w:val="nil"/>
              <w:bottom w:val="single" w:sz="4" w:space="0" w:color="auto"/>
              <w:right w:val="single" w:sz="4" w:space="0" w:color="auto"/>
            </w:tcBorders>
            <w:shd w:val="clear" w:color="auto" w:fill="auto"/>
            <w:noWrap/>
            <w:vAlign w:val="bottom"/>
          </w:tcPr>
          <w:p w14:paraId="74679A97" w14:textId="57BE1841" w:rsidR="00C63989" w:rsidRPr="005B6501" w:rsidRDefault="00C63989" w:rsidP="00C63989">
            <w:pPr>
              <w:jc w:val="right"/>
              <w:rPr>
                <w:rFonts w:ascii="Arial" w:hAnsi="Arial" w:cs="Arial"/>
                <w:b/>
                <w:sz w:val="16"/>
                <w:szCs w:val="16"/>
              </w:rPr>
            </w:pPr>
            <w:r w:rsidRPr="005B6501">
              <w:rPr>
                <w:rFonts w:ascii="Arial" w:hAnsi="Arial" w:cs="Arial"/>
                <w:b/>
                <w:sz w:val="16"/>
                <w:szCs w:val="16"/>
              </w:rPr>
              <w:t>-6.495.978</w:t>
            </w:r>
          </w:p>
        </w:tc>
      </w:tr>
      <w:tr w:rsidR="00C63989" w:rsidRPr="005B6501" w14:paraId="0CFB4392" w14:textId="77777777" w:rsidTr="00C63989">
        <w:trPr>
          <w:trHeight w:val="262"/>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07B1667B" w14:textId="04829883" w:rsidR="00C63989" w:rsidRPr="005B6501" w:rsidRDefault="00C63989" w:rsidP="00C63989">
            <w:pPr>
              <w:rPr>
                <w:rFonts w:ascii="Arial" w:hAnsi="Arial" w:cs="Arial"/>
                <w:b/>
                <w:bCs/>
                <w:sz w:val="16"/>
                <w:szCs w:val="18"/>
                <w:lang w:eastAsia="es-AR"/>
              </w:rPr>
            </w:pPr>
            <w:r w:rsidRPr="005B6501">
              <w:rPr>
                <w:rFonts w:ascii="Arial" w:hAnsi="Arial" w:cs="Arial"/>
                <w:b/>
                <w:sz w:val="16"/>
                <w:szCs w:val="18"/>
              </w:rPr>
              <w:t>TOTAL PASIVO</w:t>
            </w:r>
          </w:p>
        </w:tc>
        <w:tc>
          <w:tcPr>
            <w:tcW w:w="1648" w:type="dxa"/>
            <w:tcBorders>
              <w:top w:val="nil"/>
              <w:left w:val="nil"/>
              <w:bottom w:val="single" w:sz="4" w:space="0" w:color="auto"/>
              <w:right w:val="single" w:sz="4" w:space="0" w:color="auto"/>
            </w:tcBorders>
            <w:shd w:val="clear" w:color="auto" w:fill="auto"/>
            <w:noWrap/>
            <w:vAlign w:val="bottom"/>
            <w:hideMark/>
          </w:tcPr>
          <w:p w14:paraId="3BB52CCA" w14:textId="74959A31"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-16.508.859 </w:t>
            </w:r>
          </w:p>
        </w:tc>
        <w:tc>
          <w:tcPr>
            <w:tcW w:w="1372" w:type="dxa"/>
            <w:tcBorders>
              <w:top w:val="nil"/>
              <w:left w:val="nil"/>
              <w:bottom w:val="single" w:sz="4" w:space="0" w:color="auto"/>
              <w:right w:val="single" w:sz="4" w:space="0" w:color="auto"/>
            </w:tcBorders>
            <w:shd w:val="clear" w:color="auto" w:fill="auto"/>
            <w:noWrap/>
            <w:vAlign w:val="bottom"/>
            <w:hideMark/>
          </w:tcPr>
          <w:p w14:paraId="30840C63" w14:textId="583E7EF8"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-79.020.099 </w:t>
            </w:r>
          </w:p>
        </w:tc>
        <w:tc>
          <w:tcPr>
            <w:tcW w:w="1701" w:type="dxa"/>
            <w:tcBorders>
              <w:top w:val="nil"/>
              <w:left w:val="nil"/>
              <w:bottom w:val="single" w:sz="4" w:space="0" w:color="auto"/>
              <w:right w:val="single" w:sz="4" w:space="0" w:color="auto"/>
            </w:tcBorders>
            <w:shd w:val="clear" w:color="auto" w:fill="auto"/>
            <w:noWrap/>
            <w:vAlign w:val="bottom"/>
            <w:hideMark/>
          </w:tcPr>
          <w:p w14:paraId="54DC04FC" w14:textId="58C4B1E6"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-69.431.501 </w:t>
            </w:r>
          </w:p>
        </w:tc>
        <w:tc>
          <w:tcPr>
            <w:tcW w:w="1433" w:type="dxa"/>
            <w:tcBorders>
              <w:top w:val="nil"/>
              <w:left w:val="nil"/>
              <w:bottom w:val="single" w:sz="4" w:space="0" w:color="auto"/>
              <w:right w:val="single" w:sz="4" w:space="0" w:color="auto"/>
            </w:tcBorders>
            <w:shd w:val="clear" w:color="auto" w:fill="auto"/>
            <w:noWrap/>
            <w:vAlign w:val="bottom"/>
            <w:hideMark/>
          </w:tcPr>
          <w:p w14:paraId="17B81B47" w14:textId="79B916FF"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-164.960.459 </w:t>
            </w:r>
          </w:p>
        </w:tc>
      </w:tr>
    </w:tbl>
    <w:p w14:paraId="548E3E3D" w14:textId="77777777" w:rsidR="008317D7" w:rsidRPr="005B6501" w:rsidRDefault="008317D7" w:rsidP="00DC0CC4">
      <w:pPr>
        <w:jc w:val="both"/>
        <w:rPr>
          <w:rFonts w:ascii="Arial" w:hAnsi="Arial" w:cs="Arial"/>
          <w:sz w:val="20"/>
        </w:rPr>
      </w:pPr>
    </w:p>
    <w:tbl>
      <w:tblPr>
        <w:tblW w:w="10444" w:type="dxa"/>
        <w:jc w:val="center"/>
        <w:tblCellMar>
          <w:left w:w="70" w:type="dxa"/>
          <w:right w:w="70" w:type="dxa"/>
        </w:tblCellMar>
        <w:tblLook w:val="04A0" w:firstRow="1" w:lastRow="0" w:firstColumn="1" w:lastColumn="0" w:noHBand="0" w:noVBand="1"/>
      </w:tblPr>
      <w:tblGrid>
        <w:gridCol w:w="3771"/>
        <w:gridCol w:w="1475"/>
        <w:gridCol w:w="1563"/>
        <w:gridCol w:w="1272"/>
        <w:gridCol w:w="1143"/>
        <w:gridCol w:w="1220"/>
      </w:tblGrid>
      <w:tr w:rsidR="00851176" w:rsidRPr="005B6501" w14:paraId="5F2808C5" w14:textId="77777777" w:rsidTr="00C63989">
        <w:trPr>
          <w:trHeight w:val="254"/>
          <w:tblHeader/>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D454D" w14:textId="65479D2F" w:rsidR="00851176" w:rsidRPr="005B6501" w:rsidRDefault="00851176" w:rsidP="00851176">
            <w:pPr>
              <w:jc w:val="center"/>
              <w:rPr>
                <w:rFonts w:ascii="Arial" w:hAnsi="Arial" w:cs="Arial"/>
                <w:b/>
                <w:bCs/>
                <w:sz w:val="16"/>
                <w:szCs w:val="18"/>
                <w:lang w:eastAsia="es-AR"/>
              </w:rPr>
            </w:pPr>
            <w:r w:rsidRPr="00BA7A6B">
              <w:rPr>
                <w:rFonts w:ascii="Arial" w:hAnsi="Arial" w:cs="Arial"/>
                <w:b/>
                <w:bCs/>
                <w:sz w:val="16"/>
                <w:szCs w:val="18"/>
                <w:lang w:eastAsia="es-AR"/>
              </w:rPr>
              <w:t>Resultado por Segmentos al 31/03/2020</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8623B" w14:textId="2D1996F7" w:rsidR="00851176" w:rsidRPr="005B6501" w:rsidRDefault="00851176" w:rsidP="00851176">
            <w:pPr>
              <w:jc w:val="center"/>
              <w:rPr>
                <w:rFonts w:ascii="Arial" w:hAnsi="Arial" w:cs="Arial"/>
                <w:b/>
                <w:bCs/>
                <w:sz w:val="16"/>
                <w:szCs w:val="18"/>
                <w:lang w:eastAsia="es-AR"/>
              </w:rPr>
            </w:pPr>
            <w:r w:rsidRPr="00BA7A6B">
              <w:rPr>
                <w:rFonts w:ascii="Arial" w:hAnsi="Arial" w:cs="Arial"/>
                <w:b/>
                <w:bCs/>
                <w:color w:val="000000"/>
                <w:sz w:val="16"/>
                <w:szCs w:val="16"/>
                <w:lang w:eastAsia="es-AR"/>
              </w:rPr>
              <w:t xml:space="preserve"> Banca Corporativa</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D414F" w14:textId="49C13A3A" w:rsidR="00851176" w:rsidRPr="005B6501" w:rsidRDefault="00851176" w:rsidP="00851176">
            <w:pPr>
              <w:jc w:val="center"/>
              <w:rPr>
                <w:rFonts w:ascii="Arial" w:hAnsi="Arial" w:cs="Arial"/>
                <w:b/>
                <w:bCs/>
                <w:sz w:val="16"/>
                <w:szCs w:val="18"/>
                <w:lang w:eastAsia="es-AR"/>
              </w:rPr>
            </w:pPr>
            <w:r w:rsidRPr="00BA7A6B">
              <w:rPr>
                <w:rFonts w:ascii="Arial" w:hAnsi="Arial" w:cs="Arial"/>
                <w:b/>
                <w:bCs/>
                <w:color w:val="000000"/>
                <w:sz w:val="16"/>
                <w:szCs w:val="16"/>
                <w:lang w:eastAsia="es-AR"/>
              </w:rPr>
              <w:t xml:space="preserve"> Banca Personas y Negocios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F3F4D" w14:textId="77777777" w:rsidR="00851176" w:rsidRPr="005B6501" w:rsidRDefault="00851176" w:rsidP="00851176">
            <w:pPr>
              <w:jc w:val="center"/>
              <w:rPr>
                <w:rFonts w:ascii="Arial" w:hAnsi="Arial" w:cs="Arial"/>
                <w:b/>
                <w:bCs/>
                <w:sz w:val="16"/>
                <w:szCs w:val="18"/>
                <w:lang w:eastAsia="es-AR"/>
              </w:rPr>
            </w:pPr>
            <w:r w:rsidRPr="005B6501">
              <w:rPr>
                <w:rFonts w:ascii="Arial" w:hAnsi="Arial" w:cs="Arial"/>
                <w:b/>
                <w:bCs/>
                <w:sz w:val="16"/>
                <w:szCs w:val="18"/>
                <w:lang w:eastAsia="es-AR"/>
              </w:rPr>
              <w:t>Tesorería</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C5160" w14:textId="77777777" w:rsidR="00851176" w:rsidRPr="005B6501" w:rsidRDefault="00851176" w:rsidP="00851176">
            <w:pPr>
              <w:jc w:val="center"/>
              <w:rPr>
                <w:rFonts w:ascii="Arial" w:hAnsi="Arial" w:cs="Arial"/>
                <w:b/>
                <w:bCs/>
                <w:sz w:val="16"/>
                <w:szCs w:val="18"/>
                <w:lang w:eastAsia="es-AR"/>
              </w:rPr>
            </w:pPr>
            <w:r w:rsidRPr="005B6501">
              <w:rPr>
                <w:rFonts w:ascii="Arial" w:hAnsi="Arial" w:cs="Arial"/>
                <w:b/>
                <w:bCs/>
                <w:sz w:val="16"/>
                <w:szCs w:val="18"/>
                <w:lang w:eastAsia="es-AR"/>
              </w:rPr>
              <w:t>Ajustes</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AB900" w14:textId="77777777" w:rsidR="00851176" w:rsidRPr="005B6501" w:rsidRDefault="00851176" w:rsidP="00851176">
            <w:pPr>
              <w:jc w:val="center"/>
              <w:rPr>
                <w:rFonts w:ascii="Arial" w:hAnsi="Arial" w:cs="Arial"/>
                <w:b/>
                <w:bCs/>
                <w:sz w:val="16"/>
                <w:szCs w:val="18"/>
                <w:lang w:eastAsia="es-AR"/>
              </w:rPr>
            </w:pPr>
            <w:r w:rsidRPr="005B6501">
              <w:rPr>
                <w:rFonts w:ascii="Arial" w:hAnsi="Arial" w:cs="Arial"/>
                <w:b/>
                <w:bCs/>
                <w:sz w:val="16"/>
                <w:szCs w:val="18"/>
                <w:lang w:eastAsia="es-AR"/>
              </w:rPr>
              <w:t>TOTAL</w:t>
            </w:r>
          </w:p>
        </w:tc>
      </w:tr>
      <w:tr w:rsidR="00C63989" w:rsidRPr="005B6501" w14:paraId="54277247" w14:textId="77777777" w:rsidTr="00C63989">
        <w:trPr>
          <w:trHeight w:val="269"/>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1DE54A41"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Ingresos por intereses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005E6D8B" w14:textId="5718DC63"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3.137.613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419D1D60" w14:textId="70E5C25A"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4.970.826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437CC857" w14:textId="611B523C"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4.116.678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251E7904" w14:textId="4CC724AA"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1D1545E7" w14:textId="5303623C"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12.225.117 </w:t>
            </w:r>
          </w:p>
        </w:tc>
      </w:tr>
      <w:tr w:rsidR="00C63989" w:rsidRPr="005B6501" w14:paraId="71039E63" w14:textId="77777777" w:rsidTr="00C63989">
        <w:trPr>
          <w:trHeight w:val="269"/>
          <w:jc w:val="center"/>
        </w:trPr>
        <w:tc>
          <w:tcPr>
            <w:tcW w:w="3771" w:type="dxa"/>
            <w:tcBorders>
              <w:top w:val="nil"/>
              <w:left w:val="single" w:sz="4" w:space="0" w:color="auto"/>
              <w:bottom w:val="nil"/>
              <w:right w:val="single" w:sz="4" w:space="0" w:color="auto"/>
            </w:tcBorders>
            <w:shd w:val="clear" w:color="auto" w:fill="auto"/>
            <w:noWrap/>
            <w:vAlign w:val="bottom"/>
            <w:hideMark/>
          </w:tcPr>
          <w:p w14:paraId="0857F2F3"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Egresos por intereses </w:t>
            </w:r>
          </w:p>
        </w:tc>
        <w:tc>
          <w:tcPr>
            <w:tcW w:w="1475" w:type="dxa"/>
            <w:tcBorders>
              <w:top w:val="nil"/>
              <w:left w:val="single" w:sz="4" w:space="0" w:color="auto"/>
              <w:bottom w:val="nil"/>
              <w:right w:val="single" w:sz="4" w:space="0" w:color="auto"/>
            </w:tcBorders>
            <w:shd w:val="clear" w:color="auto" w:fill="auto"/>
            <w:noWrap/>
            <w:vAlign w:val="bottom"/>
            <w:hideMark/>
          </w:tcPr>
          <w:p w14:paraId="31100FFF" w14:textId="2ECF046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299.577 </w:t>
            </w:r>
          </w:p>
        </w:tc>
        <w:tc>
          <w:tcPr>
            <w:tcW w:w="1563" w:type="dxa"/>
            <w:tcBorders>
              <w:top w:val="nil"/>
              <w:left w:val="single" w:sz="4" w:space="0" w:color="auto"/>
              <w:bottom w:val="nil"/>
              <w:right w:val="single" w:sz="4" w:space="0" w:color="auto"/>
            </w:tcBorders>
            <w:shd w:val="clear" w:color="auto" w:fill="auto"/>
            <w:noWrap/>
            <w:vAlign w:val="bottom"/>
            <w:hideMark/>
          </w:tcPr>
          <w:p w14:paraId="50427A8F" w14:textId="56E8297F"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1.780.690 </w:t>
            </w:r>
          </w:p>
        </w:tc>
        <w:tc>
          <w:tcPr>
            <w:tcW w:w="1272" w:type="dxa"/>
            <w:tcBorders>
              <w:top w:val="nil"/>
              <w:left w:val="single" w:sz="4" w:space="0" w:color="auto"/>
              <w:bottom w:val="nil"/>
              <w:right w:val="single" w:sz="4" w:space="0" w:color="auto"/>
            </w:tcBorders>
            <w:shd w:val="clear" w:color="auto" w:fill="auto"/>
            <w:noWrap/>
            <w:vAlign w:val="bottom"/>
            <w:hideMark/>
          </w:tcPr>
          <w:p w14:paraId="2164A062" w14:textId="238CDDAE"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3.715.185 </w:t>
            </w:r>
          </w:p>
        </w:tc>
        <w:tc>
          <w:tcPr>
            <w:tcW w:w="1143" w:type="dxa"/>
            <w:tcBorders>
              <w:top w:val="nil"/>
              <w:left w:val="single" w:sz="4" w:space="0" w:color="auto"/>
              <w:bottom w:val="nil"/>
              <w:right w:val="single" w:sz="4" w:space="0" w:color="auto"/>
            </w:tcBorders>
            <w:shd w:val="clear" w:color="auto" w:fill="auto"/>
            <w:noWrap/>
            <w:vAlign w:val="bottom"/>
            <w:hideMark/>
          </w:tcPr>
          <w:p w14:paraId="2C69A0AD" w14:textId="27811F3B"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6B45D4DA" w14:textId="6E212F4E"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5.795.452 </w:t>
            </w:r>
          </w:p>
        </w:tc>
      </w:tr>
      <w:tr w:rsidR="00C63989" w:rsidRPr="005B6501" w14:paraId="04DDF824" w14:textId="77777777" w:rsidTr="00C63989">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32E02B16" w14:textId="5BE178BB"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Resultados por Interés de Transferencia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5CE1ACDA" w14:textId="62C66C02"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-1.946.892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58B11A6F" w14:textId="02A3DFE3"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882.393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1D4FFC1A" w14:textId="576D1A92"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1.064.499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20873AE1" w14:textId="38F53ADD"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EEA7D83" w14:textId="55E8F6B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r>
      <w:tr w:rsidR="00C63989" w:rsidRPr="005B6501" w14:paraId="21E603AB" w14:textId="77777777" w:rsidTr="00C63989">
        <w:trPr>
          <w:trHeight w:val="167"/>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51FC5" w14:textId="77777777" w:rsidR="00C63989" w:rsidRPr="005B6501" w:rsidRDefault="00C63989" w:rsidP="00C63989">
            <w:pPr>
              <w:rPr>
                <w:rFonts w:ascii="Arial" w:hAnsi="Arial" w:cs="Arial"/>
                <w:b/>
                <w:bCs/>
                <w:sz w:val="16"/>
                <w:szCs w:val="16"/>
                <w:lang w:eastAsia="es-AR"/>
              </w:rPr>
            </w:pPr>
            <w:r w:rsidRPr="005B6501">
              <w:rPr>
                <w:rFonts w:ascii="Arial" w:hAnsi="Arial" w:cs="Arial"/>
                <w:b/>
                <w:bCs/>
                <w:sz w:val="16"/>
                <w:szCs w:val="16"/>
                <w:lang w:eastAsia="es-AR"/>
              </w:rPr>
              <w:t xml:space="preserve"> Resultado neto por intereses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0A63A" w14:textId="5FE1B986"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891.144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5DADB" w14:textId="4FA78690"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4.072.529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9F0F4" w14:textId="475E7ED2"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1.465.992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DA1F8" w14:textId="5BCB0474"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BA56C" w14:textId="63F92E74"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6.429.665 </w:t>
            </w:r>
          </w:p>
        </w:tc>
      </w:tr>
      <w:tr w:rsidR="00C63989" w:rsidRPr="005B6501" w14:paraId="3650041F" w14:textId="77777777" w:rsidTr="00C63989">
        <w:trPr>
          <w:trHeight w:val="242"/>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10276C06"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Ingresos por comisiones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5367DECC" w14:textId="2ABE9D13"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155.275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52DB0FED" w14:textId="2F6B4A40"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1.671.954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38FECC71" w14:textId="6C60FC19"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29.186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21F5E09F" w14:textId="1DF0785D"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70B6F7DE" w14:textId="79F7AF89"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1.856.415 </w:t>
            </w:r>
          </w:p>
        </w:tc>
      </w:tr>
      <w:tr w:rsidR="00C63989" w:rsidRPr="005B6501" w14:paraId="0BF4D0C8" w14:textId="77777777" w:rsidTr="00C63989">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36BAF87F"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Egresos por comisiones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3DDBF4CE" w14:textId="52E32B9B"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38.252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3A4B666B" w14:textId="700CBFA8"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434.606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79A4D9B4" w14:textId="342194E1"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12.179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4440CF7E" w14:textId="74D6980F"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564ED6B" w14:textId="07595787"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485.037 </w:t>
            </w:r>
          </w:p>
        </w:tc>
      </w:tr>
      <w:tr w:rsidR="00C63989" w:rsidRPr="005B6501" w14:paraId="6D9FFEC3" w14:textId="77777777" w:rsidTr="00C63989">
        <w:trPr>
          <w:trHeight w:val="17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A30E4" w14:textId="77777777" w:rsidR="00C63989" w:rsidRPr="005B6501" w:rsidRDefault="00C63989" w:rsidP="00C63989">
            <w:pPr>
              <w:rPr>
                <w:rFonts w:ascii="Arial" w:hAnsi="Arial" w:cs="Arial"/>
                <w:b/>
                <w:bCs/>
                <w:sz w:val="16"/>
                <w:szCs w:val="16"/>
                <w:lang w:eastAsia="es-AR"/>
              </w:rPr>
            </w:pPr>
            <w:r w:rsidRPr="005B6501">
              <w:rPr>
                <w:rFonts w:ascii="Arial" w:hAnsi="Arial" w:cs="Arial"/>
                <w:b/>
                <w:bCs/>
                <w:sz w:val="16"/>
                <w:szCs w:val="16"/>
                <w:lang w:eastAsia="es-AR"/>
              </w:rPr>
              <w:t xml:space="preserve"> Resultado neto por comisiones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2896D" w14:textId="64E01C6C"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117.023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ED1F9" w14:textId="53262DF5"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1.237.348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9F9DA" w14:textId="64FCDB67"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17.007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2E31C" w14:textId="07F0C50B"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F6485" w14:textId="0A826490"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1.371.378 </w:t>
            </w:r>
          </w:p>
        </w:tc>
      </w:tr>
      <w:tr w:rsidR="00C63989" w:rsidRPr="005B6501" w14:paraId="47C232F3" w14:textId="77777777" w:rsidTr="00C63989">
        <w:trPr>
          <w:trHeight w:val="116"/>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D76F4" w14:textId="77777777" w:rsidR="00C63989" w:rsidRPr="005B6501" w:rsidRDefault="00C63989" w:rsidP="00C63989">
            <w:pPr>
              <w:rPr>
                <w:rFonts w:ascii="Arial" w:hAnsi="Arial" w:cs="Arial"/>
                <w:b/>
                <w:bCs/>
                <w:sz w:val="16"/>
                <w:szCs w:val="16"/>
                <w:lang w:eastAsia="es-AR"/>
              </w:rPr>
            </w:pPr>
            <w:r w:rsidRPr="005B6501">
              <w:rPr>
                <w:rFonts w:ascii="Arial" w:hAnsi="Arial" w:cs="Arial"/>
                <w:b/>
                <w:bCs/>
                <w:sz w:val="16"/>
                <w:szCs w:val="16"/>
                <w:lang w:eastAsia="es-AR"/>
              </w:rPr>
              <w:lastRenderedPageBreak/>
              <w:t xml:space="preserve"> Subtotal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928B5" w14:textId="2C43B2BB"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1.008.167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B9F31" w14:textId="10E562AD"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5.309.877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6E2F6" w14:textId="72F2EA2E"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1.482.999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DA7C5" w14:textId="0F481897"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A1772" w14:textId="5835597B"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7.801.043 </w:t>
            </w:r>
          </w:p>
        </w:tc>
      </w:tr>
      <w:tr w:rsidR="00C63989" w:rsidRPr="005B6501" w14:paraId="047B6797" w14:textId="77777777" w:rsidTr="00C63989">
        <w:trPr>
          <w:trHeight w:val="311"/>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00297982"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Resultado neto por medición de instrumentos financieros a valor razonable con cambios en resultados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522732E9" w14:textId="3F655F2A"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44D907D0" w14:textId="4973DF47"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550D7F64" w14:textId="06D8C40A"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114.207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01DD0E73" w14:textId="2D1C4C97"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18801391" w14:textId="3CBA1083"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114.207 </w:t>
            </w:r>
          </w:p>
        </w:tc>
      </w:tr>
      <w:tr w:rsidR="00C63989" w:rsidRPr="005B6501" w14:paraId="54C7CD1B" w14:textId="77777777" w:rsidTr="00C63989">
        <w:trPr>
          <w:trHeight w:val="269"/>
          <w:jc w:val="center"/>
        </w:trPr>
        <w:tc>
          <w:tcPr>
            <w:tcW w:w="3771" w:type="dxa"/>
            <w:tcBorders>
              <w:top w:val="nil"/>
              <w:left w:val="single" w:sz="4" w:space="0" w:color="auto"/>
              <w:bottom w:val="nil"/>
              <w:right w:val="single" w:sz="4" w:space="0" w:color="auto"/>
            </w:tcBorders>
            <w:shd w:val="clear" w:color="auto" w:fill="auto"/>
            <w:noWrap/>
            <w:vAlign w:val="bottom"/>
            <w:hideMark/>
          </w:tcPr>
          <w:p w14:paraId="0D41C208"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Diferencia de cotización de oro y moneda extranjera </w:t>
            </w:r>
          </w:p>
        </w:tc>
        <w:tc>
          <w:tcPr>
            <w:tcW w:w="1475" w:type="dxa"/>
            <w:tcBorders>
              <w:top w:val="nil"/>
              <w:left w:val="single" w:sz="4" w:space="0" w:color="auto"/>
              <w:bottom w:val="nil"/>
              <w:right w:val="single" w:sz="4" w:space="0" w:color="auto"/>
            </w:tcBorders>
            <w:shd w:val="clear" w:color="auto" w:fill="auto"/>
            <w:noWrap/>
            <w:vAlign w:val="bottom"/>
            <w:hideMark/>
          </w:tcPr>
          <w:p w14:paraId="2EBD6CE5" w14:textId="429CDD72"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13.366 </w:t>
            </w:r>
          </w:p>
        </w:tc>
        <w:tc>
          <w:tcPr>
            <w:tcW w:w="1563" w:type="dxa"/>
            <w:tcBorders>
              <w:top w:val="nil"/>
              <w:left w:val="single" w:sz="4" w:space="0" w:color="auto"/>
              <w:bottom w:val="nil"/>
              <w:right w:val="single" w:sz="4" w:space="0" w:color="auto"/>
            </w:tcBorders>
            <w:shd w:val="clear" w:color="auto" w:fill="auto"/>
            <w:noWrap/>
            <w:vAlign w:val="bottom"/>
            <w:hideMark/>
          </w:tcPr>
          <w:p w14:paraId="34076BAD" w14:textId="657DEA63"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28.199 </w:t>
            </w:r>
          </w:p>
        </w:tc>
        <w:tc>
          <w:tcPr>
            <w:tcW w:w="1272" w:type="dxa"/>
            <w:tcBorders>
              <w:top w:val="nil"/>
              <w:left w:val="single" w:sz="4" w:space="0" w:color="auto"/>
              <w:bottom w:val="nil"/>
              <w:right w:val="single" w:sz="4" w:space="0" w:color="auto"/>
            </w:tcBorders>
            <w:shd w:val="clear" w:color="auto" w:fill="auto"/>
            <w:noWrap/>
            <w:vAlign w:val="bottom"/>
            <w:hideMark/>
          </w:tcPr>
          <w:p w14:paraId="1BBAA790" w14:textId="4F149801"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39.783 </w:t>
            </w:r>
          </w:p>
        </w:tc>
        <w:tc>
          <w:tcPr>
            <w:tcW w:w="1143" w:type="dxa"/>
            <w:tcBorders>
              <w:top w:val="nil"/>
              <w:left w:val="single" w:sz="4" w:space="0" w:color="auto"/>
              <w:bottom w:val="nil"/>
              <w:right w:val="single" w:sz="4" w:space="0" w:color="auto"/>
            </w:tcBorders>
            <w:shd w:val="clear" w:color="auto" w:fill="auto"/>
            <w:noWrap/>
            <w:vAlign w:val="bottom"/>
            <w:hideMark/>
          </w:tcPr>
          <w:p w14:paraId="62BAFF60" w14:textId="0F3F7F6E"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3AE3EB54" w14:textId="6460A395"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81.348 </w:t>
            </w:r>
          </w:p>
        </w:tc>
      </w:tr>
      <w:tr w:rsidR="00C847EE" w:rsidRPr="005B6501" w14:paraId="33ACA14A" w14:textId="77777777" w:rsidTr="00C63989">
        <w:trPr>
          <w:trHeight w:val="269"/>
          <w:jc w:val="center"/>
        </w:trPr>
        <w:tc>
          <w:tcPr>
            <w:tcW w:w="3771" w:type="dxa"/>
            <w:tcBorders>
              <w:top w:val="nil"/>
              <w:left w:val="single" w:sz="4" w:space="0" w:color="auto"/>
              <w:bottom w:val="nil"/>
              <w:right w:val="single" w:sz="4" w:space="0" w:color="auto"/>
            </w:tcBorders>
            <w:shd w:val="clear" w:color="auto" w:fill="auto"/>
            <w:noWrap/>
            <w:vAlign w:val="bottom"/>
          </w:tcPr>
          <w:p w14:paraId="27A56215" w14:textId="47FDC549" w:rsidR="00C847EE" w:rsidRPr="005B6501" w:rsidRDefault="00C847EE" w:rsidP="00C63989">
            <w:pPr>
              <w:rPr>
                <w:rFonts w:ascii="Arial" w:hAnsi="Arial" w:cs="Arial"/>
                <w:sz w:val="16"/>
                <w:szCs w:val="16"/>
                <w:lang w:eastAsia="es-AR"/>
              </w:rPr>
            </w:pPr>
            <w:r w:rsidRPr="00C847EE">
              <w:rPr>
                <w:rFonts w:ascii="Arial" w:hAnsi="Arial" w:cs="Arial"/>
                <w:sz w:val="16"/>
                <w:szCs w:val="16"/>
                <w:lang w:eastAsia="es-AR"/>
              </w:rPr>
              <w:t>Resultado por baja de activos medidos a costo amortizado</w:t>
            </w:r>
          </w:p>
        </w:tc>
        <w:tc>
          <w:tcPr>
            <w:tcW w:w="1475" w:type="dxa"/>
            <w:tcBorders>
              <w:top w:val="nil"/>
              <w:left w:val="single" w:sz="4" w:space="0" w:color="auto"/>
              <w:bottom w:val="nil"/>
              <w:right w:val="single" w:sz="4" w:space="0" w:color="auto"/>
            </w:tcBorders>
            <w:shd w:val="clear" w:color="auto" w:fill="auto"/>
            <w:noWrap/>
            <w:vAlign w:val="bottom"/>
          </w:tcPr>
          <w:p w14:paraId="0EB083D1" w14:textId="77777777" w:rsidR="00C847EE" w:rsidRPr="005B6501" w:rsidRDefault="00C847EE" w:rsidP="00C63989">
            <w:pPr>
              <w:jc w:val="right"/>
              <w:rPr>
                <w:rFonts w:ascii="Arial" w:hAnsi="Arial" w:cs="Arial"/>
                <w:sz w:val="16"/>
                <w:szCs w:val="16"/>
              </w:rPr>
            </w:pPr>
          </w:p>
        </w:tc>
        <w:tc>
          <w:tcPr>
            <w:tcW w:w="1563" w:type="dxa"/>
            <w:tcBorders>
              <w:top w:val="nil"/>
              <w:left w:val="single" w:sz="4" w:space="0" w:color="auto"/>
              <w:bottom w:val="nil"/>
              <w:right w:val="single" w:sz="4" w:space="0" w:color="auto"/>
            </w:tcBorders>
            <w:shd w:val="clear" w:color="auto" w:fill="auto"/>
            <w:noWrap/>
            <w:vAlign w:val="bottom"/>
          </w:tcPr>
          <w:p w14:paraId="24BDA7A5" w14:textId="77777777" w:rsidR="00C847EE" w:rsidRPr="005B6501" w:rsidRDefault="00C847EE" w:rsidP="00C63989">
            <w:pPr>
              <w:jc w:val="right"/>
              <w:rPr>
                <w:rFonts w:ascii="Arial" w:hAnsi="Arial" w:cs="Arial"/>
                <w:sz w:val="16"/>
                <w:szCs w:val="16"/>
              </w:rPr>
            </w:pPr>
          </w:p>
        </w:tc>
        <w:tc>
          <w:tcPr>
            <w:tcW w:w="1272" w:type="dxa"/>
            <w:tcBorders>
              <w:top w:val="nil"/>
              <w:left w:val="single" w:sz="4" w:space="0" w:color="auto"/>
              <w:bottom w:val="nil"/>
              <w:right w:val="single" w:sz="4" w:space="0" w:color="auto"/>
            </w:tcBorders>
            <w:shd w:val="clear" w:color="auto" w:fill="auto"/>
            <w:noWrap/>
            <w:vAlign w:val="bottom"/>
          </w:tcPr>
          <w:p w14:paraId="1AD519B2" w14:textId="119BDAD9" w:rsidR="00C847EE" w:rsidRPr="005B6501" w:rsidRDefault="00C847EE" w:rsidP="00C63989">
            <w:pPr>
              <w:jc w:val="right"/>
              <w:rPr>
                <w:rFonts w:ascii="Arial" w:hAnsi="Arial" w:cs="Arial"/>
                <w:sz w:val="16"/>
                <w:szCs w:val="16"/>
              </w:rPr>
            </w:pPr>
            <w:r w:rsidRPr="00C847EE">
              <w:rPr>
                <w:rFonts w:ascii="Arial" w:hAnsi="Arial" w:cs="Arial"/>
                <w:sz w:val="16"/>
                <w:szCs w:val="16"/>
              </w:rPr>
              <w:t>11.634</w:t>
            </w:r>
          </w:p>
        </w:tc>
        <w:tc>
          <w:tcPr>
            <w:tcW w:w="1143" w:type="dxa"/>
            <w:tcBorders>
              <w:top w:val="nil"/>
              <w:left w:val="single" w:sz="4" w:space="0" w:color="auto"/>
              <w:bottom w:val="nil"/>
              <w:right w:val="single" w:sz="4" w:space="0" w:color="auto"/>
            </w:tcBorders>
            <w:shd w:val="clear" w:color="auto" w:fill="auto"/>
            <w:noWrap/>
            <w:vAlign w:val="bottom"/>
          </w:tcPr>
          <w:p w14:paraId="7C477057" w14:textId="798552EC" w:rsidR="00C847EE" w:rsidRPr="005B6501" w:rsidRDefault="00C75D67" w:rsidP="00C63989">
            <w:pPr>
              <w:jc w:val="right"/>
              <w:rPr>
                <w:rFonts w:ascii="Arial" w:hAnsi="Arial" w:cs="Arial"/>
                <w:sz w:val="16"/>
                <w:szCs w:val="16"/>
              </w:rPr>
            </w:pPr>
            <w:r>
              <w:rPr>
                <w:rFonts w:ascii="Arial" w:hAnsi="Arial" w:cs="Arial"/>
                <w:sz w:val="16"/>
                <w:szCs w:val="16"/>
              </w:rPr>
              <w:t>-</w:t>
            </w:r>
          </w:p>
        </w:tc>
        <w:tc>
          <w:tcPr>
            <w:tcW w:w="1220" w:type="dxa"/>
            <w:tcBorders>
              <w:top w:val="nil"/>
              <w:left w:val="single" w:sz="4" w:space="0" w:color="auto"/>
              <w:bottom w:val="nil"/>
              <w:right w:val="single" w:sz="4" w:space="0" w:color="auto"/>
            </w:tcBorders>
            <w:shd w:val="clear" w:color="auto" w:fill="auto"/>
            <w:noWrap/>
            <w:vAlign w:val="bottom"/>
          </w:tcPr>
          <w:p w14:paraId="5BADC007" w14:textId="0CF5811F" w:rsidR="00C847EE" w:rsidRPr="005B6501" w:rsidRDefault="00C847EE" w:rsidP="00C63989">
            <w:pPr>
              <w:jc w:val="right"/>
              <w:rPr>
                <w:rFonts w:ascii="Arial" w:hAnsi="Arial" w:cs="Arial"/>
                <w:sz w:val="16"/>
                <w:szCs w:val="16"/>
              </w:rPr>
            </w:pPr>
            <w:r w:rsidRPr="00C847EE">
              <w:rPr>
                <w:rFonts w:ascii="Arial" w:hAnsi="Arial" w:cs="Arial"/>
                <w:sz w:val="16"/>
                <w:szCs w:val="16"/>
              </w:rPr>
              <w:t>11.634</w:t>
            </w:r>
          </w:p>
        </w:tc>
      </w:tr>
      <w:tr w:rsidR="00C63989" w:rsidRPr="005B6501" w14:paraId="7293A195" w14:textId="77777777" w:rsidTr="00C63989">
        <w:trPr>
          <w:trHeight w:val="269"/>
          <w:jc w:val="center"/>
        </w:trPr>
        <w:tc>
          <w:tcPr>
            <w:tcW w:w="3771" w:type="dxa"/>
            <w:tcBorders>
              <w:top w:val="nil"/>
              <w:left w:val="single" w:sz="4" w:space="0" w:color="auto"/>
              <w:bottom w:val="nil"/>
              <w:right w:val="single" w:sz="4" w:space="0" w:color="auto"/>
            </w:tcBorders>
            <w:shd w:val="clear" w:color="auto" w:fill="auto"/>
            <w:noWrap/>
            <w:vAlign w:val="bottom"/>
            <w:hideMark/>
          </w:tcPr>
          <w:p w14:paraId="10146B9D"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Otros ingresos operativos </w:t>
            </w:r>
          </w:p>
        </w:tc>
        <w:tc>
          <w:tcPr>
            <w:tcW w:w="1475" w:type="dxa"/>
            <w:tcBorders>
              <w:top w:val="nil"/>
              <w:left w:val="single" w:sz="4" w:space="0" w:color="auto"/>
              <w:bottom w:val="nil"/>
              <w:right w:val="single" w:sz="4" w:space="0" w:color="auto"/>
            </w:tcBorders>
            <w:shd w:val="clear" w:color="auto" w:fill="auto"/>
            <w:noWrap/>
            <w:vAlign w:val="bottom"/>
            <w:hideMark/>
          </w:tcPr>
          <w:p w14:paraId="7A71219A" w14:textId="76D83900"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317.214 </w:t>
            </w:r>
          </w:p>
        </w:tc>
        <w:tc>
          <w:tcPr>
            <w:tcW w:w="1563" w:type="dxa"/>
            <w:tcBorders>
              <w:top w:val="nil"/>
              <w:left w:val="single" w:sz="4" w:space="0" w:color="auto"/>
              <w:bottom w:val="nil"/>
              <w:right w:val="single" w:sz="4" w:space="0" w:color="auto"/>
            </w:tcBorders>
            <w:shd w:val="clear" w:color="auto" w:fill="auto"/>
            <w:noWrap/>
            <w:vAlign w:val="bottom"/>
            <w:hideMark/>
          </w:tcPr>
          <w:p w14:paraId="6122FA4B" w14:textId="5620183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364.969 </w:t>
            </w:r>
          </w:p>
        </w:tc>
        <w:tc>
          <w:tcPr>
            <w:tcW w:w="1272" w:type="dxa"/>
            <w:tcBorders>
              <w:top w:val="nil"/>
              <w:left w:val="single" w:sz="4" w:space="0" w:color="auto"/>
              <w:bottom w:val="nil"/>
              <w:right w:val="single" w:sz="4" w:space="0" w:color="auto"/>
            </w:tcBorders>
            <w:shd w:val="clear" w:color="auto" w:fill="auto"/>
            <w:noWrap/>
            <w:vAlign w:val="bottom"/>
            <w:hideMark/>
          </w:tcPr>
          <w:p w14:paraId="15E8F813" w14:textId="3EB3F806"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42.163 </w:t>
            </w:r>
          </w:p>
        </w:tc>
        <w:tc>
          <w:tcPr>
            <w:tcW w:w="1143" w:type="dxa"/>
            <w:tcBorders>
              <w:top w:val="nil"/>
              <w:left w:val="single" w:sz="4" w:space="0" w:color="auto"/>
              <w:bottom w:val="nil"/>
              <w:right w:val="single" w:sz="4" w:space="0" w:color="auto"/>
            </w:tcBorders>
            <w:shd w:val="clear" w:color="auto" w:fill="auto"/>
            <w:noWrap/>
            <w:vAlign w:val="bottom"/>
            <w:hideMark/>
          </w:tcPr>
          <w:p w14:paraId="2581A8CD" w14:textId="19B8B796"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7A358747" w14:textId="4DCC3599"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724.346 </w:t>
            </w:r>
          </w:p>
        </w:tc>
      </w:tr>
      <w:tr w:rsidR="00C63989" w:rsidRPr="005B6501" w14:paraId="75FE9311" w14:textId="77777777" w:rsidTr="00C63989">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24AAB576"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Cargo por incobrabilidad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44002BBC" w14:textId="097F9D1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599.535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559AAA28" w14:textId="7FB9C33B"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764.433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297E98B9" w14:textId="1483ACC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13.425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78B5C307" w14:textId="2873B9BF"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007CADE" w14:textId="1A879846"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1.377.393 </w:t>
            </w:r>
          </w:p>
        </w:tc>
      </w:tr>
      <w:tr w:rsidR="00C63989" w:rsidRPr="005B6501" w14:paraId="0E12CF16" w14:textId="77777777" w:rsidTr="00C63989">
        <w:trPr>
          <w:trHeight w:val="188"/>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CED16" w14:textId="77777777" w:rsidR="00C63989" w:rsidRPr="005B6501" w:rsidRDefault="00C63989" w:rsidP="00C63989">
            <w:pPr>
              <w:rPr>
                <w:rFonts w:ascii="Arial" w:hAnsi="Arial" w:cs="Arial"/>
                <w:b/>
                <w:bCs/>
                <w:sz w:val="16"/>
                <w:szCs w:val="16"/>
                <w:lang w:eastAsia="es-AR"/>
              </w:rPr>
            </w:pPr>
            <w:r w:rsidRPr="005B6501">
              <w:rPr>
                <w:rFonts w:ascii="Arial" w:hAnsi="Arial" w:cs="Arial"/>
                <w:b/>
                <w:bCs/>
                <w:sz w:val="16"/>
                <w:szCs w:val="16"/>
                <w:lang w:eastAsia="es-AR"/>
              </w:rPr>
              <w:t xml:space="preserve"> Ingreso operativo neto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002CDA" w14:textId="56E8CE87"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739.212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56216" w14:textId="3191492B"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4.938.612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50DD5B" w14:textId="6EF5C1AE"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1.677.361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48C41A" w14:textId="517870EE"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7DD54" w14:textId="1FD2B3B1"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7.355.185 </w:t>
            </w:r>
          </w:p>
        </w:tc>
      </w:tr>
      <w:tr w:rsidR="00C63989" w:rsidRPr="005B6501" w14:paraId="057288D3" w14:textId="77777777" w:rsidTr="00C63989">
        <w:trPr>
          <w:trHeight w:val="269"/>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029F443B"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Beneficios al personal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3309389E" w14:textId="5EE96A5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252.324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03CDCD30" w14:textId="5508481D"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2.629.961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09454F02" w14:textId="578B3065" w:rsidR="00C63989" w:rsidRPr="005B6501" w:rsidRDefault="00C847EE" w:rsidP="00C63989">
            <w:pPr>
              <w:jc w:val="right"/>
              <w:rPr>
                <w:rFonts w:ascii="Arial" w:hAnsi="Arial" w:cs="Arial"/>
                <w:sz w:val="16"/>
                <w:szCs w:val="16"/>
                <w:lang w:val="es-ES_tradnl"/>
              </w:rPr>
            </w:pPr>
            <w:r>
              <w:rPr>
                <w:rFonts w:ascii="Arial" w:hAnsi="Arial" w:cs="Arial"/>
                <w:sz w:val="16"/>
                <w:szCs w:val="16"/>
              </w:rPr>
              <w:t>-</w:t>
            </w:r>
            <w:r w:rsidR="00C63989" w:rsidRPr="005B6501">
              <w:rPr>
                <w:rFonts w:ascii="Arial" w:hAnsi="Arial" w:cs="Arial"/>
                <w:sz w:val="16"/>
                <w:szCs w:val="16"/>
              </w:rPr>
              <w:t xml:space="preserve">165.167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42F4A56A" w14:textId="20730B7E"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3E7ABB5C" w14:textId="75B89619"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3.047.452 </w:t>
            </w:r>
          </w:p>
        </w:tc>
      </w:tr>
      <w:tr w:rsidR="00C63989" w:rsidRPr="005B6501" w14:paraId="1241BD98" w14:textId="77777777" w:rsidTr="00C63989">
        <w:trPr>
          <w:trHeight w:val="94"/>
          <w:jc w:val="center"/>
        </w:trPr>
        <w:tc>
          <w:tcPr>
            <w:tcW w:w="3771" w:type="dxa"/>
            <w:tcBorders>
              <w:top w:val="nil"/>
              <w:left w:val="single" w:sz="4" w:space="0" w:color="auto"/>
              <w:bottom w:val="nil"/>
              <w:right w:val="single" w:sz="4" w:space="0" w:color="auto"/>
            </w:tcBorders>
            <w:shd w:val="clear" w:color="auto" w:fill="auto"/>
            <w:noWrap/>
            <w:vAlign w:val="bottom"/>
            <w:hideMark/>
          </w:tcPr>
          <w:p w14:paraId="15F7B64F"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Gastos de administración </w:t>
            </w:r>
          </w:p>
        </w:tc>
        <w:tc>
          <w:tcPr>
            <w:tcW w:w="1475" w:type="dxa"/>
            <w:tcBorders>
              <w:top w:val="nil"/>
              <w:left w:val="single" w:sz="4" w:space="0" w:color="auto"/>
              <w:bottom w:val="nil"/>
              <w:right w:val="single" w:sz="4" w:space="0" w:color="auto"/>
            </w:tcBorders>
            <w:shd w:val="clear" w:color="auto" w:fill="auto"/>
            <w:noWrap/>
            <w:vAlign w:val="bottom"/>
            <w:hideMark/>
          </w:tcPr>
          <w:p w14:paraId="5B19BC41" w14:textId="3BA0FB7F"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87.764 </w:t>
            </w:r>
          </w:p>
        </w:tc>
        <w:tc>
          <w:tcPr>
            <w:tcW w:w="1563" w:type="dxa"/>
            <w:tcBorders>
              <w:top w:val="nil"/>
              <w:left w:val="single" w:sz="4" w:space="0" w:color="auto"/>
              <w:bottom w:val="nil"/>
              <w:right w:val="single" w:sz="4" w:space="0" w:color="auto"/>
            </w:tcBorders>
            <w:shd w:val="clear" w:color="auto" w:fill="auto"/>
            <w:noWrap/>
            <w:vAlign w:val="bottom"/>
            <w:hideMark/>
          </w:tcPr>
          <w:p w14:paraId="0557F55D" w14:textId="39C36B02"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1.287.391 </w:t>
            </w:r>
          </w:p>
        </w:tc>
        <w:tc>
          <w:tcPr>
            <w:tcW w:w="1272" w:type="dxa"/>
            <w:tcBorders>
              <w:top w:val="nil"/>
              <w:left w:val="single" w:sz="4" w:space="0" w:color="auto"/>
              <w:bottom w:val="nil"/>
              <w:right w:val="single" w:sz="4" w:space="0" w:color="auto"/>
            </w:tcBorders>
            <w:shd w:val="clear" w:color="auto" w:fill="auto"/>
            <w:noWrap/>
            <w:vAlign w:val="bottom"/>
            <w:hideMark/>
          </w:tcPr>
          <w:p w14:paraId="1A6CABE8" w14:textId="1DA87AFE"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76.507 </w:t>
            </w:r>
          </w:p>
        </w:tc>
        <w:tc>
          <w:tcPr>
            <w:tcW w:w="1143" w:type="dxa"/>
            <w:tcBorders>
              <w:top w:val="nil"/>
              <w:left w:val="single" w:sz="4" w:space="0" w:color="auto"/>
              <w:bottom w:val="nil"/>
              <w:right w:val="single" w:sz="4" w:space="0" w:color="auto"/>
            </w:tcBorders>
            <w:shd w:val="clear" w:color="auto" w:fill="auto"/>
            <w:noWrap/>
            <w:vAlign w:val="bottom"/>
            <w:hideMark/>
          </w:tcPr>
          <w:p w14:paraId="560BA2D2" w14:textId="6105B1F2"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17722D54" w14:textId="4563321F"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1.451.662 </w:t>
            </w:r>
          </w:p>
        </w:tc>
      </w:tr>
      <w:tr w:rsidR="00C63989" w:rsidRPr="005B6501" w14:paraId="5E5BB9F1" w14:textId="77777777" w:rsidTr="00C63989">
        <w:trPr>
          <w:trHeight w:val="225"/>
          <w:jc w:val="center"/>
        </w:trPr>
        <w:tc>
          <w:tcPr>
            <w:tcW w:w="3771" w:type="dxa"/>
            <w:tcBorders>
              <w:top w:val="nil"/>
              <w:left w:val="single" w:sz="4" w:space="0" w:color="auto"/>
              <w:bottom w:val="nil"/>
              <w:right w:val="single" w:sz="4" w:space="0" w:color="auto"/>
            </w:tcBorders>
            <w:shd w:val="clear" w:color="auto" w:fill="auto"/>
            <w:noWrap/>
            <w:vAlign w:val="bottom"/>
            <w:hideMark/>
          </w:tcPr>
          <w:p w14:paraId="7F132E08"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Depreciaciones y desvalorizaciones de bienes </w:t>
            </w:r>
          </w:p>
        </w:tc>
        <w:tc>
          <w:tcPr>
            <w:tcW w:w="1475" w:type="dxa"/>
            <w:tcBorders>
              <w:top w:val="nil"/>
              <w:left w:val="single" w:sz="4" w:space="0" w:color="auto"/>
              <w:bottom w:val="nil"/>
              <w:right w:val="single" w:sz="4" w:space="0" w:color="auto"/>
            </w:tcBorders>
            <w:shd w:val="clear" w:color="auto" w:fill="auto"/>
            <w:noWrap/>
            <w:vAlign w:val="bottom"/>
            <w:hideMark/>
          </w:tcPr>
          <w:p w14:paraId="1DD9E37E" w14:textId="29DD0EF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24.571 </w:t>
            </w:r>
          </w:p>
        </w:tc>
        <w:tc>
          <w:tcPr>
            <w:tcW w:w="1563" w:type="dxa"/>
            <w:tcBorders>
              <w:top w:val="nil"/>
              <w:left w:val="single" w:sz="4" w:space="0" w:color="auto"/>
              <w:bottom w:val="nil"/>
              <w:right w:val="single" w:sz="4" w:space="0" w:color="auto"/>
            </w:tcBorders>
            <w:shd w:val="clear" w:color="auto" w:fill="auto"/>
            <w:noWrap/>
            <w:vAlign w:val="bottom"/>
            <w:hideMark/>
          </w:tcPr>
          <w:p w14:paraId="4AF9128B" w14:textId="18ED09D7"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345.489 </w:t>
            </w:r>
          </w:p>
        </w:tc>
        <w:tc>
          <w:tcPr>
            <w:tcW w:w="1272" w:type="dxa"/>
            <w:tcBorders>
              <w:top w:val="nil"/>
              <w:left w:val="single" w:sz="4" w:space="0" w:color="auto"/>
              <w:bottom w:val="nil"/>
              <w:right w:val="single" w:sz="4" w:space="0" w:color="auto"/>
            </w:tcBorders>
            <w:shd w:val="clear" w:color="auto" w:fill="auto"/>
            <w:noWrap/>
            <w:vAlign w:val="bottom"/>
            <w:hideMark/>
          </w:tcPr>
          <w:p w14:paraId="50493A0F" w14:textId="6383252F"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38.480 </w:t>
            </w:r>
          </w:p>
        </w:tc>
        <w:tc>
          <w:tcPr>
            <w:tcW w:w="1143" w:type="dxa"/>
            <w:tcBorders>
              <w:top w:val="nil"/>
              <w:left w:val="single" w:sz="4" w:space="0" w:color="auto"/>
              <w:bottom w:val="nil"/>
              <w:right w:val="single" w:sz="4" w:space="0" w:color="auto"/>
            </w:tcBorders>
            <w:shd w:val="clear" w:color="auto" w:fill="auto"/>
            <w:noWrap/>
            <w:vAlign w:val="bottom"/>
            <w:hideMark/>
          </w:tcPr>
          <w:p w14:paraId="244529F1" w14:textId="5F64751A"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0C66C9E3" w14:textId="09869E9D"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408.540 </w:t>
            </w:r>
          </w:p>
        </w:tc>
      </w:tr>
      <w:tr w:rsidR="00C63989" w:rsidRPr="005B6501" w14:paraId="4472DE9F" w14:textId="77777777" w:rsidTr="00C63989">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7FF94064"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Otros gastos operativos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18284779" w14:textId="20937BFC"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293.847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5C4AAC45" w14:textId="589F35FA"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716.461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37BFBF90" w14:textId="39365DC8"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109.628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5224D1C0" w14:textId="77C1D7ED"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98F95CE" w14:textId="0C7FAE3A"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w:t>
            </w:r>
            <w:r w:rsidR="00C847EE">
              <w:rPr>
                <w:rFonts w:ascii="Arial" w:hAnsi="Arial" w:cs="Arial"/>
                <w:sz w:val="16"/>
                <w:szCs w:val="16"/>
              </w:rPr>
              <w:t>-</w:t>
            </w:r>
            <w:r w:rsidRPr="005B6501">
              <w:rPr>
                <w:rFonts w:ascii="Arial" w:hAnsi="Arial" w:cs="Arial"/>
                <w:sz w:val="16"/>
                <w:szCs w:val="16"/>
              </w:rPr>
              <w:t xml:space="preserve">1.119.936 </w:t>
            </w:r>
          </w:p>
        </w:tc>
      </w:tr>
      <w:tr w:rsidR="00C63989" w:rsidRPr="005B6501" w14:paraId="4E130086" w14:textId="77777777" w:rsidTr="00C63989">
        <w:trPr>
          <w:trHeight w:val="194"/>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34AFD" w14:textId="77777777" w:rsidR="00C63989" w:rsidRPr="005B6501" w:rsidRDefault="00C63989" w:rsidP="00C63989">
            <w:pPr>
              <w:rPr>
                <w:rFonts w:ascii="Arial" w:hAnsi="Arial" w:cs="Arial"/>
                <w:b/>
                <w:bCs/>
                <w:sz w:val="16"/>
                <w:szCs w:val="16"/>
                <w:lang w:eastAsia="es-AR"/>
              </w:rPr>
            </w:pPr>
            <w:r w:rsidRPr="005B6501">
              <w:rPr>
                <w:rFonts w:ascii="Arial" w:hAnsi="Arial" w:cs="Arial"/>
                <w:b/>
                <w:bCs/>
                <w:sz w:val="16"/>
                <w:szCs w:val="16"/>
                <w:lang w:eastAsia="es-AR"/>
              </w:rPr>
              <w:t xml:space="preserve"> Resultado operativo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7B7E" w14:textId="4D78E030"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80.706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E515D" w14:textId="1C9CB0B8"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-40.690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4264B" w14:textId="6759E1DD"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1.287.579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DC5FE" w14:textId="32D7FE06"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16455" w14:textId="5B5E59DF" w:rsidR="00C63989" w:rsidRPr="005B6501" w:rsidRDefault="00C63989" w:rsidP="00C63989">
            <w:pPr>
              <w:jc w:val="right"/>
              <w:rPr>
                <w:rFonts w:ascii="Arial" w:hAnsi="Arial" w:cs="Arial"/>
                <w:b/>
                <w:sz w:val="16"/>
                <w:szCs w:val="16"/>
              </w:rPr>
            </w:pPr>
            <w:r w:rsidRPr="005B6501">
              <w:rPr>
                <w:rFonts w:ascii="Arial" w:hAnsi="Arial" w:cs="Arial"/>
                <w:b/>
                <w:sz w:val="16"/>
                <w:szCs w:val="16"/>
              </w:rPr>
              <w:t xml:space="preserve"> 1.327.595 </w:t>
            </w:r>
          </w:p>
        </w:tc>
      </w:tr>
      <w:tr w:rsidR="00C63989" w:rsidRPr="005B6501" w14:paraId="1B4D7AC7" w14:textId="77777777" w:rsidTr="00C63989">
        <w:trPr>
          <w:trHeight w:val="183"/>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7E0E2"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Resultado por asociadas y negocios conjuntos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B0D87" w14:textId="4257CB1D"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2BC32" w14:textId="59602F62"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AC74B" w14:textId="4D726CC7"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6F46" w14:textId="2E4AF3E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-144.977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5A0FB" w14:textId="70D65382"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-144.977 </w:t>
            </w:r>
          </w:p>
        </w:tc>
      </w:tr>
      <w:tr w:rsidR="00C63989" w:rsidRPr="005B6501" w14:paraId="5AD5040B" w14:textId="77777777" w:rsidTr="00C63989">
        <w:trPr>
          <w:trHeight w:val="183"/>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1A6CF" w14:textId="5C3F1580"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Resultado por la posición monetaria neta</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94C23" w14:textId="694E856E"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-87.983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A94C8" w14:textId="0461B9B0"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-173.070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AB417" w14:textId="341D378E"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-251.668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BC4BA" w14:textId="5FE91947"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6DC79" w14:textId="0C7B98B4"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-512.721 </w:t>
            </w:r>
          </w:p>
        </w:tc>
      </w:tr>
      <w:tr w:rsidR="00C75D67" w:rsidRPr="005B6501" w14:paraId="7B1F1316" w14:textId="77777777" w:rsidTr="002E1AF6">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BE39C" w14:textId="77777777" w:rsidR="00C75D67" w:rsidRPr="005333A4" w:rsidRDefault="00C75D67" w:rsidP="00C75D67">
            <w:pPr>
              <w:rPr>
                <w:rFonts w:ascii="Arial" w:hAnsi="Arial" w:cs="Arial"/>
                <w:b/>
                <w:bCs/>
                <w:sz w:val="16"/>
                <w:szCs w:val="16"/>
                <w:lang w:eastAsia="es-AR"/>
              </w:rPr>
            </w:pPr>
            <w:r w:rsidRPr="005B6501">
              <w:rPr>
                <w:rFonts w:ascii="Arial" w:hAnsi="Arial" w:cs="Arial"/>
                <w:bCs/>
                <w:sz w:val="16"/>
                <w:szCs w:val="16"/>
                <w:lang w:eastAsia="es-AR"/>
              </w:rPr>
              <w:t xml:space="preserve"> </w:t>
            </w:r>
            <w:r w:rsidRPr="005333A4">
              <w:rPr>
                <w:rFonts w:ascii="Arial" w:hAnsi="Arial" w:cs="Arial"/>
                <w:b/>
                <w:bCs/>
                <w:sz w:val="16"/>
                <w:szCs w:val="16"/>
                <w:lang w:eastAsia="es-AR"/>
              </w:rPr>
              <w:t xml:space="preserve">Resultado antes de impuesto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79DCD" w14:textId="11CC876F" w:rsidR="00C75D67" w:rsidRPr="00C75D67" w:rsidRDefault="00C75D67">
            <w:pPr>
              <w:jc w:val="right"/>
              <w:rPr>
                <w:rFonts w:ascii="Arial" w:hAnsi="Arial" w:cs="Arial"/>
                <w:sz w:val="16"/>
                <w:szCs w:val="16"/>
              </w:rPr>
            </w:pPr>
            <w:r w:rsidRPr="002E1AF6">
              <w:rPr>
                <w:rFonts w:ascii="Arial" w:hAnsi="Arial" w:cs="Arial"/>
                <w:sz w:val="16"/>
                <w:szCs w:val="16"/>
              </w:rPr>
              <w:t xml:space="preserve"> -7.277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DC246" w14:textId="6E7460A6" w:rsidR="00C75D67" w:rsidRPr="00C75D67" w:rsidRDefault="00C75D67">
            <w:pPr>
              <w:jc w:val="right"/>
              <w:rPr>
                <w:rFonts w:ascii="Arial" w:hAnsi="Arial" w:cs="Arial"/>
                <w:sz w:val="16"/>
                <w:szCs w:val="16"/>
              </w:rPr>
            </w:pPr>
            <w:r w:rsidRPr="002E1AF6">
              <w:rPr>
                <w:rFonts w:ascii="Arial" w:hAnsi="Arial" w:cs="Arial"/>
                <w:sz w:val="16"/>
                <w:szCs w:val="16"/>
              </w:rPr>
              <w:t xml:space="preserve"> -213.760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2DA8F" w14:textId="01ACAA68" w:rsidR="00C75D67" w:rsidRPr="00C75D67" w:rsidRDefault="00C75D67">
            <w:pPr>
              <w:jc w:val="right"/>
              <w:rPr>
                <w:rFonts w:ascii="Arial" w:hAnsi="Arial" w:cs="Arial"/>
                <w:sz w:val="16"/>
                <w:szCs w:val="16"/>
              </w:rPr>
            </w:pPr>
            <w:r w:rsidRPr="002E1AF6">
              <w:rPr>
                <w:rFonts w:ascii="Arial" w:hAnsi="Arial" w:cs="Arial"/>
                <w:sz w:val="16"/>
                <w:szCs w:val="16"/>
              </w:rPr>
              <w:t xml:space="preserve"> 1.035.911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785B4" w14:textId="584451A2" w:rsidR="00C75D67" w:rsidRPr="005B6501" w:rsidRDefault="00C75D67" w:rsidP="00C75D67">
            <w:pPr>
              <w:jc w:val="right"/>
              <w:rPr>
                <w:rFonts w:ascii="Arial" w:hAnsi="Arial" w:cs="Arial"/>
                <w:sz w:val="16"/>
                <w:szCs w:val="16"/>
              </w:rPr>
            </w:pPr>
            <w:r w:rsidRPr="005B6501">
              <w:rPr>
                <w:rFonts w:ascii="Arial" w:hAnsi="Arial" w:cs="Arial"/>
                <w:sz w:val="16"/>
                <w:szCs w:val="16"/>
              </w:rPr>
              <w:t xml:space="preserve"> -144.977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1177E" w14:textId="29B18FFF" w:rsidR="00C75D67" w:rsidRPr="005B6501" w:rsidRDefault="00C75D67" w:rsidP="00C75D67">
            <w:pPr>
              <w:jc w:val="right"/>
              <w:rPr>
                <w:rFonts w:ascii="Arial" w:hAnsi="Arial" w:cs="Arial"/>
                <w:sz w:val="16"/>
                <w:szCs w:val="16"/>
              </w:rPr>
            </w:pPr>
            <w:r w:rsidRPr="005B6501">
              <w:rPr>
                <w:rFonts w:ascii="Arial" w:hAnsi="Arial" w:cs="Arial"/>
                <w:sz w:val="16"/>
                <w:szCs w:val="16"/>
              </w:rPr>
              <w:t xml:space="preserve"> 669.897 </w:t>
            </w:r>
          </w:p>
        </w:tc>
      </w:tr>
      <w:tr w:rsidR="00C63989" w:rsidRPr="005B6501" w14:paraId="4846E822" w14:textId="77777777" w:rsidTr="00C63989">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C3CC8"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 </w:t>
            </w:r>
          </w:p>
          <w:p w14:paraId="2624C65C" w14:textId="77777777" w:rsidR="00C63989" w:rsidRPr="005B6501" w:rsidRDefault="00C63989" w:rsidP="00C63989">
            <w:pPr>
              <w:rPr>
                <w:rFonts w:ascii="Arial" w:hAnsi="Arial" w:cs="Arial"/>
                <w:sz w:val="16"/>
                <w:szCs w:val="16"/>
                <w:lang w:eastAsia="es-AR"/>
              </w:rPr>
            </w:pPr>
            <w:r w:rsidRPr="005B6501">
              <w:rPr>
                <w:rFonts w:ascii="Arial" w:hAnsi="Arial" w:cs="Arial"/>
                <w:sz w:val="16"/>
                <w:szCs w:val="16"/>
                <w:lang w:eastAsia="es-AR"/>
              </w:rPr>
              <w:t xml:space="preserve">Impuesto a las ganancias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A7B14" w14:textId="12B52BC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-2.651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0AF4B" w14:textId="3F63C303"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-77.846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1A1FF" w14:textId="4F7EAB51"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377.254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06DA2" w14:textId="2CDF2934"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AA9F4" w14:textId="13B6710B"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296.757 </w:t>
            </w:r>
          </w:p>
        </w:tc>
      </w:tr>
      <w:tr w:rsidR="00C75D67" w:rsidRPr="005B6501" w14:paraId="096B6333" w14:textId="77777777" w:rsidTr="002E1AF6">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428CE" w14:textId="77777777" w:rsidR="00C75D67" w:rsidRPr="005B6501" w:rsidRDefault="00C75D67" w:rsidP="00C75D67">
            <w:pPr>
              <w:rPr>
                <w:rFonts w:ascii="Arial" w:hAnsi="Arial" w:cs="Arial"/>
                <w:bCs/>
                <w:sz w:val="16"/>
                <w:szCs w:val="16"/>
                <w:lang w:eastAsia="es-AR"/>
              </w:rPr>
            </w:pPr>
            <w:r w:rsidRPr="005B6501">
              <w:rPr>
                <w:rFonts w:ascii="Arial" w:hAnsi="Arial" w:cs="Arial"/>
                <w:bCs/>
                <w:sz w:val="16"/>
                <w:szCs w:val="16"/>
                <w:lang w:eastAsia="es-AR"/>
              </w:rPr>
              <w:t xml:space="preserve"> Resultado neto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E597A" w14:textId="5812130C" w:rsidR="00C75D67" w:rsidRPr="00C75D67" w:rsidRDefault="00C75D67">
            <w:pPr>
              <w:jc w:val="right"/>
              <w:rPr>
                <w:rFonts w:ascii="Arial" w:hAnsi="Arial" w:cs="Arial"/>
                <w:sz w:val="16"/>
                <w:szCs w:val="16"/>
              </w:rPr>
            </w:pPr>
            <w:r w:rsidRPr="002E1AF6">
              <w:rPr>
                <w:rFonts w:ascii="Arial" w:hAnsi="Arial" w:cs="Arial"/>
                <w:sz w:val="16"/>
                <w:szCs w:val="16"/>
              </w:rPr>
              <w:t xml:space="preserve"> -4.626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B73B7" w14:textId="4871A733" w:rsidR="00C75D67" w:rsidRPr="00C75D67" w:rsidRDefault="00C75D67">
            <w:pPr>
              <w:jc w:val="right"/>
              <w:rPr>
                <w:rFonts w:ascii="Arial" w:hAnsi="Arial" w:cs="Arial"/>
                <w:sz w:val="16"/>
                <w:szCs w:val="16"/>
              </w:rPr>
            </w:pPr>
            <w:r w:rsidRPr="002E1AF6">
              <w:rPr>
                <w:rFonts w:ascii="Arial" w:hAnsi="Arial" w:cs="Arial"/>
                <w:sz w:val="16"/>
                <w:szCs w:val="16"/>
              </w:rPr>
              <w:t xml:space="preserve"> -135.914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2F784" w14:textId="4B283953" w:rsidR="00C75D67" w:rsidRPr="00C75D67" w:rsidRDefault="00C75D67">
            <w:pPr>
              <w:jc w:val="right"/>
              <w:rPr>
                <w:rFonts w:ascii="Arial" w:hAnsi="Arial" w:cs="Arial"/>
                <w:sz w:val="16"/>
                <w:szCs w:val="16"/>
              </w:rPr>
            </w:pPr>
            <w:r w:rsidRPr="002E1AF6">
              <w:rPr>
                <w:rFonts w:ascii="Arial" w:hAnsi="Arial" w:cs="Arial"/>
                <w:sz w:val="16"/>
                <w:szCs w:val="16"/>
              </w:rPr>
              <w:t xml:space="preserve"> 658.657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E5A19" w14:textId="5E1569DE" w:rsidR="00C75D67" w:rsidRPr="005B6501" w:rsidRDefault="00C75D67" w:rsidP="00C75D67">
            <w:pPr>
              <w:jc w:val="right"/>
              <w:rPr>
                <w:rFonts w:ascii="Arial" w:hAnsi="Arial" w:cs="Arial"/>
                <w:sz w:val="16"/>
                <w:szCs w:val="16"/>
              </w:rPr>
            </w:pPr>
            <w:r w:rsidRPr="005B6501">
              <w:rPr>
                <w:rFonts w:ascii="Arial" w:hAnsi="Arial" w:cs="Arial"/>
                <w:sz w:val="16"/>
                <w:szCs w:val="16"/>
              </w:rPr>
              <w:t xml:space="preserve"> -144.977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32E13" w14:textId="5B1E3C40" w:rsidR="00C75D67" w:rsidRPr="005B6501" w:rsidRDefault="00C75D67" w:rsidP="00C75D67">
            <w:pPr>
              <w:jc w:val="right"/>
              <w:rPr>
                <w:rFonts w:ascii="Arial" w:hAnsi="Arial" w:cs="Arial"/>
                <w:sz w:val="16"/>
                <w:szCs w:val="16"/>
              </w:rPr>
            </w:pPr>
            <w:r w:rsidRPr="005B6501">
              <w:rPr>
                <w:rFonts w:ascii="Arial" w:hAnsi="Arial" w:cs="Arial"/>
                <w:sz w:val="16"/>
                <w:szCs w:val="16"/>
              </w:rPr>
              <w:t xml:space="preserve"> 373.140 </w:t>
            </w:r>
          </w:p>
        </w:tc>
      </w:tr>
      <w:tr w:rsidR="00C75D67" w:rsidRPr="005B6501" w14:paraId="249C3E7D" w14:textId="77777777" w:rsidTr="002E1AF6">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95C43" w14:textId="4D63B15A" w:rsidR="00C75D67" w:rsidRPr="005B6501" w:rsidRDefault="00C75D67" w:rsidP="00C75D67">
            <w:pPr>
              <w:rPr>
                <w:rFonts w:ascii="Arial" w:hAnsi="Arial" w:cs="Arial"/>
                <w:b/>
                <w:bCs/>
                <w:sz w:val="16"/>
                <w:szCs w:val="16"/>
                <w:lang w:eastAsia="es-AR"/>
              </w:rPr>
            </w:pPr>
            <w:r w:rsidRPr="005B6501">
              <w:rPr>
                <w:rFonts w:ascii="Arial" w:hAnsi="Arial" w:cs="Arial"/>
                <w:b/>
                <w:bCs/>
                <w:sz w:val="16"/>
                <w:szCs w:val="16"/>
                <w:lang w:eastAsia="es-AR"/>
              </w:rPr>
              <w:t xml:space="preserve"> Resultado neto del período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57426" w14:textId="612C1146" w:rsidR="00C75D67" w:rsidRPr="00C75D67" w:rsidRDefault="00C75D67">
            <w:pPr>
              <w:jc w:val="right"/>
              <w:rPr>
                <w:rFonts w:ascii="Arial" w:hAnsi="Arial" w:cs="Arial"/>
                <w:b/>
                <w:sz w:val="16"/>
                <w:szCs w:val="16"/>
              </w:rPr>
            </w:pPr>
            <w:r w:rsidRPr="002E1AF6">
              <w:rPr>
                <w:rFonts w:ascii="Arial" w:hAnsi="Arial" w:cs="Arial"/>
                <w:b/>
                <w:sz w:val="16"/>
                <w:szCs w:val="16"/>
              </w:rPr>
              <w:t xml:space="preserve"> -4.626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58862" w14:textId="729F8863" w:rsidR="00C75D67" w:rsidRPr="00C75D67" w:rsidRDefault="00C75D67">
            <w:pPr>
              <w:jc w:val="right"/>
              <w:rPr>
                <w:rFonts w:ascii="Arial" w:hAnsi="Arial" w:cs="Arial"/>
                <w:b/>
                <w:sz w:val="16"/>
                <w:szCs w:val="16"/>
              </w:rPr>
            </w:pPr>
            <w:r w:rsidRPr="002E1AF6">
              <w:rPr>
                <w:rFonts w:ascii="Arial" w:hAnsi="Arial" w:cs="Arial"/>
                <w:b/>
                <w:sz w:val="16"/>
                <w:szCs w:val="16"/>
              </w:rPr>
              <w:t xml:space="preserve"> -135.914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DE261" w14:textId="6D40359F" w:rsidR="00C75D67" w:rsidRPr="00C75D67" w:rsidRDefault="00C75D67">
            <w:pPr>
              <w:jc w:val="right"/>
              <w:rPr>
                <w:rFonts w:ascii="Arial" w:hAnsi="Arial" w:cs="Arial"/>
                <w:b/>
                <w:sz w:val="16"/>
                <w:szCs w:val="16"/>
              </w:rPr>
            </w:pPr>
            <w:r w:rsidRPr="002E1AF6">
              <w:rPr>
                <w:rFonts w:ascii="Arial" w:hAnsi="Arial" w:cs="Arial"/>
                <w:b/>
                <w:sz w:val="16"/>
                <w:szCs w:val="16"/>
              </w:rPr>
              <w:t xml:space="preserve"> 658.657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29EB8" w14:textId="53E0DCFC" w:rsidR="00C75D67" w:rsidRPr="00C75D67" w:rsidRDefault="00C75D67" w:rsidP="00C75D67">
            <w:pPr>
              <w:jc w:val="right"/>
              <w:rPr>
                <w:rFonts w:ascii="Arial" w:hAnsi="Arial" w:cs="Arial"/>
                <w:b/>
                <w:sz w:val="16"/>
                <w:szCs w:val="16"/>
              </w:rPr>
            </w:pPr>
            <w:r w:rsidRPr="00C75D67">
              <w:rPr>
                <w:rFonts w:ascii="Arial" w:hAnsi="Arial" w:cs="Arial"/>
                <w:b/>
                <w:sz w:val="16"/>
                <w:szCs w:val="16"/>
              </w:rPr>
              <w:t xml:space="preserve"> -144.977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FDFDF" w14:textId="009A7A17" w:rsidR="00C75D67" w:rsidRPr="00C75D67" w:rsidRDefault="00C75D67" w:rsidP="00C75D67">
            <w:pPr>
              <w:jc w:val="right"/>
              <w:rPr>
                <w:rFonts w:ascii="Arial" w:hAnsi="Arial" w:cs="Arial"/>
                <w:b/>
                <w:sz w:val="16"/>
                <w:szCs w:val="16"/>
              </w:rPr>
            </w:pPr>
            <w:r w:rsidRPr="00C75D67">
              <w:rPr>
                <w:rFonts w:ascii="Arial" w:hAnsi="Arial" w:cs="Arial"/>
                <w:b/>
                <w:sz w:val="16"/>
                <w:szCs w:val="16"/>
              </w:rPr>
              <w:t xml:space="preserve"> 373.140 </w:t>
            </w:r>
          </w:p>
        </w:tc>
      </w:tr>
      <w:tr w:rsidR="00C63989" w:rsidRPr="005B6501" w14:paraId="36D9AE76" w14:textId="77777777" w:rsidTr="00C63989">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hideMark/>
          </w:tcPr>
          <w:p w14:paraId="1915F809" w14:textId="729676BC" w:rsidR="00C63989" w:rsidRPr="005B6501" w:rsidRDefault="00C63989" w:rsidP="00C63989">
            <w:pPr>
              <w:rPr>
                <w:rFonts w:ascii="Arial" w:hAnsi="Arial" w:cs="Arial"/>
                <w:sz w:val="16"/>
                <w:szCs w:val="16"/>
                <w:lang w:eastAsia="es-AR"/>
              </w:rPr>
            </w:pPr>
            <w:r w:rsidRPr="005B6501">
              <w:rPr>
                <w:rFonts w:ascii="Arial" w:hAnsi="Arial" w:cs="Arial"/>
                <w:sz w:val="16"/>
                <w:szCs w:val="16"/>
              </w:rPr>
              <w:t>Otros Resultados Integrales (ORI)</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934B4" w14:textId="74E27046"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-13.255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7C982" w14:textId="6E70F728"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-18.784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A84A1" w14:textId="2F022C0A" w:rsidR="00C63989" w:rsidRPr="005B6501" w:rsidRDefault="00DF3BC9" w:rsidP="00C63989">
            <w:pPr>
              <w:jc w:val="right"/>
              <w:rPr>
                <w:rFonts w:ascii="Arial" w:hAnsi="Arial" w:cs="Arial"/>
                <w:sz w:val="16"/>
                <w:szCs w:val="16"/>
                <w:lang w:val="es-ES_tradnl"/>
              </w:rPr>
            </w:pPr>
            <w:r w:rsidRPr="00DF3BC9">
              <w:rPr>
                <w:rFonts w:ascii="Arial" w:hAnsi="Arial" w:cs="Arial"/>
                <w:sz w:val="16"/>
                <w:szCs w:val="16"/>
              </w:rPr>
              <w:t>-33.455</w:t>
            </w:r>
            <w:r w:rsidR="00C63989" w:rsidRPr="005B6501">
              <w:rPr>
                <w:rFonts w:ascii="Arial" w:hAnsi="Arial" w:cs="Arial"/>
                <w:sz w:val="16"/>
                <w:szCs w:val="16"/>
              </w:rPr>
              <w:t xml:space="preserve">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EC677" w14:textId="5DE8D1DC" w:rsidR="00C63989" w:rsidRPr="005B6501" w:rsidRDefault="00C63989" w:rsidP="00C63989">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0A2FE" w14:textId="01604092" w:rsidR="00C63989" w:rsidRPr="005B6501" w:rsidRDefault="00DF3BC9" w:rsidP="00C63989">
            <w:pPr>
              <w:jc w:val="right"/>
              <w:rPr>
                <w:rFonts w:ascii="Arial" w:hAnsi="Arial" w:cs="Arial"/>
                <w:sz w:val="16"/>
                <w:szCs w:val="16"/>
                <w:lang w:val="es-ES_tradnl"/>
              </w:rPr>
            </w:pPr>
            <w:r w:rsidRPr="00DF3BC9">
              <w:rPr>
                <w:rFonts w:ascii="Arial" w:hAnsi="Arial" w:cs="Arial"/>
                <w:sz w:val="16"/>
                <w:szCs w:val="16"/>
              </w:rPr>
              <w:t>-65.494</w:t>
            </w:r>
          </w:p>
        </w:tc>
      </w:tr>
      <w:tr w:rsidR="00C63989" w:rsidRPr="005B6501" w14:paraId="2A6DD2BA" w14:textId="77777777" w:rsidTr="00C63989">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tcPr>
          <w:p w14:paraId="5355016F" w14:textId="11561225" w:rsidR="00C63989" w:rsidRPr="005B6501" w:rsidRDefault="00C63989" w:rsidP="00C63989">
            <w:pPr>
              <w:rPr>
                <w:rFonts w:ascii="Arial" w:hAnsi="Arial" w:cs="Arial"/>
                <w:sz w:val="16"/>
                <w:szCs w:val="16"/>
                <w:lang w:eastAsia="es-AR"/>
              </w:rPr>
            </w:pPr>
            <w:r w:rsidRPr="005B6501">
              <w:rPr>
                <w:rFonts w:ascii="Arial" w:hAnsi="Arial" w:cs="Arial"/>
                <w:sz w:val="16"/>
                <w:szCs w:val="16"/>
              </w:rPr>
              <w:t>Impuesto a las Ganancias ORI</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4E2E6" w14:textId="7023C20D"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-3.492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21A11E" w14:textId="568A20D8"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-4.949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ED6A3" w14:textId="6499D8B5"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-8.</w:t>
            </w:r>
            <w:r w:rsidR="00DF3BC9" w:rsidRPr="005B6501">
              <w:rPr>
                <w:rFonts w:ascii="Arial" w:hAnsi="Arial" w:cs="Arial"/>
                <w:sz w:val="16"/>
                <w:szCs w:val="16"/>
              </w:rPr>
              <w:t>81</w:t>
            </w:r>
            <w:r w:rsidR="00DF3BC9">
              <w:rPr>
                <w:rFonts w:ascii="Arial" w:hAnsi="Arial" w:cs="Arial"/>
                <w:sz w:val="16"/>
                <w:szCs w:val="16"/>
              </w:rPr>
              <w:t>4</w:t>
            </w:r>
            <w:r w:rsidR="00DF3BC9" w:rsidRPr="005B6501">
              <w:rPr>
                <w:rFonts w:ascii="Arial" w:hAnsi="Arial" w:cs="Arial"/>
                <w:sz w:val="16"/>
                <w:szCs w:val="16"/>
              </w:rPr>
              <w:t xml:space="preserve">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D03C8" w14:textId="32175EA4" w:rsidR="00C63989" w:rsidRPr="005B6501" w:rsidRDefault="00C63989" w:rsidP="00C63989">
            <w:pPr>
              <w:jc w:val="right"/>
              <w:rPr>
                <w:rFonts w:ascii="Arial" w:hAnsi="Arial" w:cs="Arial"/>
                <w:sz w:val="16"/>
                <w:szCs w:val="16"/>
              </w:rPr>
            </w:pPr>
            <w:r w:rsidRPr="005B6501">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6DDF5" w14:textId="7D1B9661" w:rsidR="00C63989" w:rsidRPr="005B6501" w:rsidRDefault="00DF3BC9" w:rsidP="00C63989">
            <w:pPr>
              <w:jc w:val="right"/>
              <w:rPr>
                <w:rFonts w:ascii="Arial" w:hAnsi="Arial" w:cs="Arial"/>
                <w:sz w:val="16"/>
                <w:szCs w:val="16"/>
              </w:rPr>
            </w:pPr>
            <w:r w:rsidRPr="00DF3BC9">
              <w:rPr>
                <w:rFonts w:ascii="Arial" w:hAnsi="Arial" w:cs="Arial"/>
                <w:sz w:val="16"/>
                <w:szCs w:val="16"/>
              </w:rPr>
              <w:t>-17.255</w:t>
            </w:r>
          </w:p>
        </w:tc>
      </w:tr>
      <w:tr w:rsidR="00C75D67" w:rsidRPr="005B6501" w14:paraId="04200003" w14:textId="77777777" w:rsidTr="002E1AF6">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6A395" w14:textId="0497A9D5" w:rsidR="00C75D67" w:rsidRPr="005B6501" w:rsidRDefault="00C75D67" w:rsidP="00C75D67">
            <w:pPr>
              <w:rPr>
                <w:rFonts w:ascii="Arial" w:hAnsi="Arial" w:cs="Arial"/>
                <w:b/>
                <w:bCs/>
                <w:sz w:val="16"/>
                <w:szCs w:val="16"/>
                <w:lang w:eastAsia="es-AR"/>
              </w:rPr>
            </w:pPr>
            <w:r w:rsidRPr="005B6501">
              <w:rPr>
                <w:rFonts w:ascii="Arial" w:hAnsi="Arial" w:cs="Arial"/>
                <w:b/>
                <w:bCs/>
                <w:sz w:val="16"/>
                <w:szCs w:val="16"/>
                <w:lang w:eastAsia="es-AR"/>
              </w:rPr>
              <w:t xml:space="preserve"> Resultado Integral del período</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E663F" w14:textId="5356181C" w:rsidR="00C75D67" w:rsidRPr="00C75D67" w:rsidRDefault="00C75D67">
            <w:pPr>
              <w:jc w:val="right"/>
              <w:rPr>
                <w:rFonts w:ascii="Arial" w:hAnsi="Arial" w:cs="Arial"/>
                <w:b/>
                <w:sz w:val="16"/>
                <w:szCs w:val="16"/>
              </w:rPr>
            </w:pPr>
            <w:r w:rsidRPr="002E1AF6">
              <w:rPr>
                <w:rFonts w:ascii="Arial" w:hAnsi="Arial" w:cs="Arial"/>
                <w:b/>
                <w:sz w:val="16"/>
                <w:szCs w:val="16"/>
              </w:rPr>
              <w:t xml:space="preserve"> -14.389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52D91" w14:textId="28E7D40C" w:rsidR="00C75D67" w:rsidRPr="00C75D67" w:rsidRDefault="00C75D67">
            <w:pPr>
              <w:jc w:val="right"/>
              <w:rPr>
                <w:rFonts w:ascii="Arial" w:hAnsi="Arial" w:cs="Arial"/>
                <w:b/>
                <w:sz w:val="16"/>
                <w:szCs w:val="16"/>
              </w:rPr>
            </w:pPr>
            <w:r w:rsidRPr="002E1AF6">
              <w:rPr>
                <w:rFonts w:ascii="Arial" w:hAnsi="Arial" w:cs="Arial"/>
                <w:b/>
                <w:sz w:val="16"/>
                <w:szCs w:val="16"/>
              </w:rPr>
              <w:t xml:space="preserve"> -149.749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1F3BC" w14:textId="60BE9D16" w:rsidR="00C75D67" w:rsidRPr="00C75D67" w:rsidRDefault="00C75D67">
            <w:pPr>
              <w:jc w:val="right"/>
              <w:rPr>
                <w:rFonts w:ascii="Arial" w:hAnsi="Arial" w:cs="Arial"/>
                <w:b/>
                <w:sz w:val="16"/>
                <w:szCs w:val="16"/>
              </w:rPr>
            </w:pPr>
            <w:r w:rsidRPr="002E1AF6">
              <w:rPr>
                <w:rFonts w:ascii="Arial" w:hAnsi="Arial" w:cs="Arial"/>
                <w:b/>
                <w:sz w:val="16"/>
                <w:szCs w:val="16"/>
              </w:rPr>
              <w:t xml:space="preserve"> 634.016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047E3" w14:textId="3D0EE90C" w:rsidR="00C75D67" w:rsidRPr="005B6501" w:rsidRDefault="00C75D67" w:rsidP="00C75D67">
            <w:pPr>
              <w:jc w:val="right"/>
              <w:rPr>
                <w:rFonts w:ascii="Arial" w:hAnsi="Arial" w:cs="Arial"/>
                <w:b/>
                <w:sz w:val="16"/>
                <w:szCs w:val="16"/>
              </w:rPr>
            </w:pPr>
            <w:r w:rsidRPr="005B6501">
              <w:rPr>
                <w:rFonts w:ascii="Arial" w:hAnsi="Arial" w:cs="Arial"/>
                <w:b/>
                <w:sz w:val="16"/>
                <w:szCs w:val="16"/>
              </w:rPr>
              <w:t xml:space="preserve"> -144.977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2D272" w14:textId="6426C7D2" w:rsidR="00C75D67" w:rsidRPr="005B6501" w:rsidRDefault="00C75D67" w:rsidP="00C75D67">
            <w:pPr>
              <w:jc w:val="right"/>
              <w:rPr>
                <w:rFonts w:ascii="Arial" w:hAnsi="Arial" w:cs="Arial"/>
                <w:b/>
                <w:sz w:val="16"/>
                <w:szCs w:val="16"/>
              </w:rPr>
            </w:pPr>
            <w:r w:rsidRPr="005B6501">
              <w:rPr>
                <w:rFonts w:ascii="Arial" w:hAnsi="Arial" w:cs="Arial"/>
                <w:b/>
                <w:sz w:val="16"/>
                <w:szCs w:val="16"/>
              </w:rPr>
              <w:t xml:space="preserve"> 324.901 </w:t>
            </w:r>
          </w:p>
        </w:tc>
      </w:tr>
    </w:tbl>
    <w:p w14:paraId="3B397742" w14:textId="77F74CE7" w:rsidR="008D7556" w:rsidRPr="005B6501" w:rsidRDefault="008D7556" w:rsidP="00E97F98">
      <w:pPr>
        <w:jc w:val="both"/>
        <w:rPr>
          <w:rFonts w:ascii="Arial" w:eastAsia="Calibri" w:hAnsi="Arial" w:cs="Arial"/>
          <w:bCs/>
          <w:sz w:val="20"/>
        </w:rPr>
      </w:pPr>
    </w:p>
    <w:tbl>
      <w:tblPr>
        <w:tblW w:w="10494" w:type="dxa"/>
        <w:jc w:val="center"/>
        <w:tblCellMar>
          <w:left w:w="70" w:type="dxa"/>
          <w:right w:w="70" w:type="dxa"/>
        </w:tblCellMar>
        <w:tblLook w:val="04A0" w:firstRow="1" w:lastRow="0" w:firstColumn="1" w:lastColumn="0" w:noHBand="0" w:noVBand="1"/>
      </w:tblPr>
      <w:tblGrid>
        <w:gridCol w:w="3871"/>
        <w:gridCol w:w="1742"/>
        <w:gridCol w:w="1742"/>
        <w:gridCol w:w="1920"/>
        <w:gridCol w:w="1219"/>
      </w:tblGrid>
      <w:tr w:rsidR="00851176" w:rsidRPr="005B6501" w14:paraId="5B6F78FE" w14:textId="77777777" w:rsidTr="00BA7A6B">
        <w:trPr>
          <w:trHeight w:val="430"/>
          <w:tblHeader/>
          <w:jc w:val="center"/>
        </w:trPr>
        <w:tc>
          <w:tcPr>
            <w:tcW w:w="38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AB33C" w14:textId="5DF55ED9" w:rsidR="00851176" w:rsidRPr="005B6501" w:rsidRDefault="00851176" w:rsidP="00851176">
            <w:pPr>
              <w:jc w:val="center"/>
              <w:rPr>
                <w:rFonts w:ascii="Arial" w:hAnsi="Arial" w:cs="Arial"/>
                <w:b/>
                <w:bCs/>
                <w:sz w:val="16"/>
                <w:szCs w:val="16"/>
                <w:lang w:val="es-ES_tradnl" w:eastAsia="es-AR"/>
              </w:rPr>
            </w:pPr>
            <w:r w:rsidRPr="005B6501">
              <w:rPr>
                <w:rFonts w:ascii="Arial" w:hAnsi="Arial" w:cs="Arial"/>
                <w:b/>
                <w:bCs/>
                <w:sz w:val="16"/>
                <w:szCs w:val="16"/>
                <w:lang w:eastAsia="es-AR"/>
              </w:rPr>
              <w:t>ACTIVO al 31/03/2019</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14:paraId="2E2AC889" w14:textId="14E39B44" w:rsidR="00851176" w:rsidRPr="005B6501"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Corporativa</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14:paraId="3A5BEB0A" w14:textId="7AC82B29" w:rsidR="00851176" w:rsidRPr="005B6501"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Personas y Negocios </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7354AC1B" w14:textId="77777777" w:rsidR="00851176" w:rsidRPr="005B6501" w:rsidRDefault="00851176" w:rsidP="00851176">
            <w:pPr>
              <w:jc w:val="center"/>
              <w:rPr>
                <w:rFonts w:ascii="Arial" w:hAnsi="Arial" w:cs="Arial"/>
                <w:b/>
                <w:bCs/>
                <w:color w:val="000000"/>
                <w:sz w:val="16"/>
                <w:szCs w:val="16"/>
                <w:lang w:eastAsia="es-AR"/>
              </w:rPr>
            </w:pPr>
            <w:r w:rsidRPr="005B6501">
              <w:rPr>
                <w:rFonts w:ascii="Arial" w:hAnsi="Arial" w:cs="Arial"/>
                <w:b/>
                <w:bCs/>
                <w:color w:val="000000"/>
                <w:sz w:val="16"/>
                <w:szCs w:val="16"/>
                <w:lang w:eastAsia="es-AR"/>
              </w:rPr>
              <w:t xml:space="preserve"> Tesorería </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125B80F9" w14:textId="77777777" w:rsidR="00851176" w:rsidRPr="005B6501" w:rsidRDefault="00851176" w:rsidP="00851176">
            <w:pPr>
              <w:jc w:val="center"/>
              <w:rPr>
                <w:rFonts w:ascii="Arial" w:hAnsi="Arial" w:cs="Arial"/>
                <w:b/>
                <w:bCs/>
                <w:color w:val="000000"/>
                <w:sz w:val="16"/>
                <w:szCs w:val="16"/>
                <w:lang w:eastAsia="es-AR"/>
              </w:rPr>
            </w:pPr>
            <w:r w:rsidRPr="005B6501">
              <w:rPr>
                <w:rFonts w:ascii="Arial" w:hAnsi="Arial" w:cs="Arial"/>
                <w:b/>
                <w:bCs/>
                <w:color w:val="000000"/>
                <w:sz w:val="16"/>
                <w:szCs w:val="16"/>
                <w:lang w:eastAsia="es-AR"/>
              </w:rPr>
              <w:t xml:space="preserve"> TOTAL </w:t>
            </w:r>
          </w:p>
        </w:tc>
      </w:tr>
      <w:tr w:rsidR="00901250" w:rsidRPr="005B6501" w14:paraId="023E840A" w14:textId="77777777" w:rsidTr="00BA7A6B">
        <w:trPr>
          <w:trHeight w:val="234"/>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5E818C60" w14:textId="77777777" w:rsidR="00901250" w:rsidRPr="005B6501" w:rsidRDefault="00901250" w:rsidP="00901250">
            <w:pPr>
              <w:rPr>
                <w:rFonts w:ascii="Arial" w:hAnsi="Arial" w:cs="Arial"/>
                <w:b/>
                <w:bCs/>
                <w:sz w:val="16"/>
                <w:szCs w:val="16"/>
                <w:lang w:eastAsia="es-AR"/>
              </w:rPr>
            </w:pPr>
            <w:r w:rsidRPr="005B6501">
              <w:rPr>
                <w:rFonts w:ascii="Arial" w:hAnsi="Arial" w:cs="Arial"/>
                <w:b/>
                <w:sz w:val="16"/>
                <w:szCs w:val="16"/>
              </w:rPr>
              <w:t>Efectivo y Depósitos en Bancos</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2AF3327E" w14:textId="266511DC" w:rsidR="00901250" w:rsidRPr="005B6501" w:rsidRDefault="00901250" w:rsidP="00901250">
            <w:pPr>
              <w:jc w:val="right"/>
              <w:rPr>
                <w:rFonts w:ascii="Arial" w:hAnsi="Arial" w:cs="Arial"/>
                <w:b/>
                <w:bCs/>
                <w:sz w:val="16"/>
                <w:szCs w:val="16"/>
                <w:lang w:eastAsia="es-AR"/>
              </w:rPr>
            </w:pPr>
            <w:r w:rsidRPr="005B6501">
              <w:rPr>
                <w:rFonts w:ascii="Arial" w:hAnsi="Arial" w:cs="Arial"/>
                <w:b/>
                <w:sz w:val="16"/>
                <w:szCs w:val="16"/>
              </w:rPr>
              <w:t xml:space="preserve"> 301.21</w:t>
            </w:r>
            <w:r w:rsidR="00DF3BC9">
              <w:rPr>
                <w:rFonts w:ascii="Arial" w:hAnsi="Arial" w:cs="Arial"/>
                <w:b/>
                <w:sz w:val="16"/>
                <w:szCs w:val="16"/>
              </w:rPr>
              <w:t>6</w:t>
            </w:r>
            <w:r w:rsidRPr="005B6501">
              <w:rPr>
                <w:rFonts w:ascii="Arial" w:hAnsi="Arial" w:cs="Arial"/>
                <w:b/>
                <w:sz w:val="16"/>
                <w:szCs w:val="16"/>
              </w:rPr>
              <w:t xml:space="preserve"> </w:t>
            </w:r>
          </w:p>
        </w:tc>
        <w:tc>
          <w:tcPr>
            <w:tcW w:w="1742" w:type="dxa"/>
            <w:tcBorders>
              <w:top w:val="nil"/>
              <w:left w:val="nil"/>
              <w:bottom w:val="single" w:sz="4" w:space="0" w:color="auto"/>
              <w:right w:val="single" w:sz="4" w:space="0" w:color="auto"/>
            </w:tcBorders>
            <w:shd w:val="clear" w:color="000000" w:fill="FFFFFF"/>
            <w:noWrap/>
            <w:vAlign w:val="bottom"/>
            <w:hideMark/>
          </w:tcPr>
          <w:p w14:paraId="4EE4C9AA" w14:textId="6C2CAB38" w:rsidR="00901250" w:rsidRPr="005B6501" w:rsidRDefault="00901250" w:rsidP="00901250">
            <w:pPr>
              <w:jc w:val="right"/>
              <w:rPr>
                <w:rFonts w:ascii="Arial" w:hAnsi="Arial" w:cs="Arial"/>
                <w:b/>
                <w:bCs/>
                <w:sz w:val="16"/>
                <w:szCs w:val="16"/>
                <w:lang w:eastAsia="es-AR"/>
              </w:rPr>
            </w:pPr>
            <w:r w:rsidRPr="005B6501">
              <w:rPr>
                <w:rFonts w:ascii="Arial" w:hAnsi="Arial" w:cs="Arial"/>
                <w:b/>
                <w:sz w:val="16"/>
                <w:szCs w:val="16"/>
              </w:rPr>
              <w:t xml:space="preserve"> 5.892.65</w:t>
            </w:r>
            <w:r w:rsidR="00C74191" w:rsidRPr="005B6501">
              <w:rPr>
                <w:rFonts w:ascii="Arial" w:hAnsi="Arial" w:cs="Arial"/>
                <w:b/>
                <w:sz w:val="16"/>
                <w:szCs w:val="16"/>
              </w:rPr>
              <w:t>1</w:t>
            </w:r>
            <w:r w:rsidRPr="005B6501">
              <w:rPr>
                <w:rFonts w:ascii="Arial" w:hAnsi="Arial" w:cs="Arial"/>
                <w:b/>
                <w:sz w:val="16"/>
                <w:szCs w:val="16"/>
              </w:rPr>
              <w:t xml:space="preserve"> </w:t>
            </w:r>
          </w:p>
        </w:tc>
        <w:tc>
          <w:tcPr>
            <w:tcW w:w="1920" w:type="dxa"/>
            <w:tcBorders>
              <w:top w:val="nil"/>
              <w:left w:val="nil"/>
              <w:bottom w:val="single" w:sz="4" w:space="0" w:color="auto"/>
              <w:right w:val="single" w:sz="4" w:space="0" w:color="auto"/>
            </w:tcBorders>
            <w:shd w:val="clear" w:color="000000" w:fill="FFFFFF"/>
            <w:noWrap/>
            <w:vAlign w:val="bottom"/>
            <w:hideMark/>
          </w:tcPr>
          <w:p w14:paraId="3A1959F2" w14:textId="7745274C" w:rsidR="00901250" w:rsidRPr="005B6501" w:rsidRDefault="00901250" w:rsidP="00901250">
            <w:pPr>
              <w:jc w:val="right"/>
              <w:rPr>
                <w:rFonts w:ascii="Arial" w:hAnsi="Arial" w:cs="Arial"/>
                <w:b/>
                <w:bCs/>
                <w:sz w:val="16"/>
                <w:szCs w:val="16"/>
                <w:lang w:eastAsia="es-AR"/>
              </w:rPr>
            </w:pPr>
            <w:r w:rsidRPr="005B6501">
              <w:rPr>
                <w:rFonts w:ascii="Arial" w:hAnsi="Arial" w:cs="Arial"/>
                <w:b/>
                <w:sz w:val="16"/>
                <w:szCs w:val="16"/>
              </w:rPr>
              <w:t xml:space="preserve"> 39.220.977 </w:t>
            </w:r>
          </w:p>
        </w:tc>
        <w:tc>
          <w:tcPr>
            <w:tcW w:w="1219" w:type="dxa"/>
            <w:tcBorders>
              <w:top w:val="nil"/>
              <w:left w:val="nil"/>
              <w:bottom w:val="single" w:sz="4" w:space="0" w:color="auto"/>
              <w:right w:val="single" w:sz="4" w:space="0" w:color="auto"/>
            </w:tcBorders>
            <w:shd w:val="clear" w:color="000000" w:fill="FFFFFF"/>
            <w:noWrap/>
            <w:vAlign w:val="bottom"/>
            <w:hideMark/>
          </w:tcPr>
          <w:p w14:paraId="799C74EC" w14:textId="5EBF28A6" w:rsidR="00901250" w:rsidRPr="005B6501" w:rsidRDefault="00901250" w:rsidP="00901250">
            <w:pPr>
              <w:jc w:val="right"/>
              <w:rPr>
                <w:rFonts w:ascii="Arial" w:hAnsi="Arial" w:cs="Arial"/>
                <w:b/>
                <w:bCs/>
                <w:sz w:val="16"/>
                <w:szCs w:val="16"/>
                <w:lang w:eastAsia="es-AR"/>
              </w:rPr>
            </w:pPr>
            <w:r w:rsidRPr="005B6501">
              <w:rPr>
                <w:rFonts w:ascii="Arial" w:hAnsi="Arial" w:cs="Arial"/>
                <w:b/>
                <w:sz w:val="16"/>
                <w:szCs w:val="16"/>
              </w:rPr>
              <w:t xml:space="preserve"> 45.414.844 </w:t>
            </w:r>
          </w:p>
        </w:tc>
      </w:tr>
      <w:tr w:rsidR="00901250" w:rsidRPr="005B6501" w14:paraId="22602E2A"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noWrap/>
            <w:vAlign w:val="bottom"/>
            <w:hideMark/>
          </w:tcPr>
          <w:p w14:paraId="335C2250" w14:textId="77777777" w:rsidR="00901250" w:rsidRPr="005B6501" w:rsidRDefault="00901250" w:rsidP="00901250">
            <w:pPr>
              <w:rPr>
                <w:rFonts w:ascii="Arial" w:hAnsi="Arial" w:cs="Arial"/>
                <w:sz w:val="16"/>
                <w:szCs w:val="16"/>
                <w:lang w:eastAsia="es-AR"/>
              </w:rPr>
            </w:pPr>
            <w:r w:rsidRPr="005B6501">
              <w:rPr>
                <w:rFonts w:ascii="Arial" w:hAnsi="Arial" w:cs="Arial"/>
                <w:sz w:val="16"/>
                <w:szCs w:val="16"/>
              </w:rPr>
              <w:t xml:space="preserve">   Efectivo</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709D371F" w14:textId="08B16FC5" w:rsidR="00901250" w:rsidRPr="005B6501" w:rsidRDefault="00901250" w:rsidP="00901250">
            <w:pPr>
              <w:jc w:val="right"/>
              <w:rPr>
                <w:rFonts w:ascii="Arial" w:hAnsi="Arial" w:cs="Arial"/>
                <w:bCs/>
                <w:sz w:val="16"/>
                <w:szCs w:val="16"/>
                <w:lang w:eastAsia="es-AR"/>
              </w:rPr>
            </w:pPr>
            <w:r w:rsidRPr="005B6501">
              <w:rPr>
                <w:rFonts w:ascii="Arial" w:hAnsi="Arial" w:cs="Arial"/>
                <w:sz w:val="16"/>
                <w:szCs w:val="16"/>
              </w:rPr>
              <w:t xml:space="preserve"> 301.15</w:t>
            </w:r>
            <w:r w:rsidR="00C74191" w:rsidRPr="005B6501">
              <w:rPr>
                <w:rFonts w:ascii="Arial" w:hAnsi="Arial" w:cs="Arial"/>
                <w:sz w:val="16"/>
                <w:szCs w:val="16"/>
              </w:rPr>
              <w:t>1</w:t>
            </w:r>
            <w:r w:rsidRPr="005B6501">
              <w:rPr>
                <w:rFonts w:ascii="Arial" w:hAnsi="Arial" w:cs="Arial"/>
                <w:sz w:val="16"/>
                <w:szCs w:val="16"/>
              </w:rPr>
              <w:t xml:space="preserve"> </w:t>
            </w:r>
          </w:p>
        </w:tc>
        <w:tc>
          <w:tcPr>
            <w:tcW w:w="1742" w:type="dxa"/>
            <w:tcBorders>
              <w:top w:val="nil"/>
              <w:left w:val="nil"/>
              <w:bottom w:val="single" w:sz="4" w:space="0" w:color="auto"/>
              <w:right w:val="single" w:sz="4" w:space="0" w:color="auto"/>
            </w:tcBorders>
            <w:shd w:val="clear" w:color="000000" w:fill="FFFFFF"/>
            <w:noWrap/>
            <w:vAlign w:val="bottom"/>
            <w:hideMark/>
          </w:tcPr>
          <w:p w14:paraId="5A588BDC" w14:textId="1A1985C0" w:rsidR="00901250" w:rsidRPr="005B6501" w:rsidRDefault="00901250" w:rsidP="00901250">
            <w:pPr>
              <w:jc w:val="right"/>
              <w:rPr>
                <w:rFonts w:ascii="Arial" w:hAnsi="Arial" w:cs="Arial"/>
                <w:bCs/>
                <w:sz w:val="16"/>
                <w:szCs w:val="16"/>
                <w:lang w:eastAsia="es-AR"/>
              </w:rPr>
            </w:pPr>
            <w:r w:rsidRPr="005B6501">
              <w:rPr>
                <w:rFonts w:ascii="Arial" w:hAnsi="Arial" w:cs="Arial"/>
                <w:sz w:val="16"/>
                <w:szCs w:val="16"/>
              </w:rPr>
              <w:t xml:space="preserve"> 5.886.</w:t>
            </w:r>
            <w:r w:rsidR="00C74191" w:rsidRPr="005B6501">
              <w:rPr>
                <w:rFonts w:ascii="Arial" w:hAnsi="Arial" w:cs="Arial"/>
                <w:sz w:val="16"/>
                <w:szCs w:val="16"/>
              </w:rPr>
              <w:t>274</w:t>
            </w:r>
          </w:p>
        </w:tc>
        <w:tc>
          <w:tcPr>
            <w:tcW w:w="1920" w:type="dxa"/>
            <w:tcBorders>
              <w:top w:val="nil"/>
              <w:left w:val="nil"/>
              <w:bottom w:val="single" w:sz="4" w:space="0" w:color="auto"/>
              <w:right w:val="single" w:sz="4" w:space="0" w:color="auto"/>
            </w:tcBorders>
            <w:shd w:val="clear" w:color="000000" w:fill="FFFFFF"/>
            <w:noWrap/>
            <w:vAlign w:val="bottom"/>
            <w:hideMark/>
          </w:tcPr>
          <w:p w14:paraId="11FA4A78" w14:textId="0861A566" w:rsidR="00901250" w:rsidRPr="005B6501" w:rsidRDefault="00901250" w:rsidP="00901250">
            <w:pPr>
              <w:jc w:val="right"/>
              <w:rPr>
                <w:rFonts w:ascii="Arial" w:hAnsi="Arial" w:cs="Arial"/>
                <w:bCs/>
                <w:sz w:val="16"/>
                <w:szCs w:val="16"/>
                <w:lang w:eastAsia="es-AR"/>
              </w:rPr>
            </w:pPr>
            <w:r w:rsidRPr="005B6501">
              <w:rPr>
                <w:rFonts w:ascii="Arial" w:hAnsi="Arial" w:cs="Arial"/>
                <w:sz w:val="16"/>
                <w:szCs w:val="16"/>
              </w:rPr>
              <w:t xml:space="preserve"> -   </w:t>
            </w:r>
          </w:p>
        </w:tc>
        <w:tc>
          <w:tcPr>
            <w:tcW w:w="1219" w:type="dxa"/>
            <w:tcBorders>
              <w:top w:val="nil"/>
              <w:left w:val="nil"/>
              <w:bottom w:val="single" w:sz="4" w:space="0" w:color="auto"/>
              <w:right w:val="single" w:sz="4" w:space="0" w:color="auto"/>
            </w:tcBorders>
            <w:shd w:val="clear" w:color="000000" w:fill="FFFFFF"/>
            <w:noWrap/>
            <w:vAlign w:val="bottom"/>
            <w:hideMark/>
          </w:tcPr>
          <w:p w14:paraId="4A07A560" w14:textId="6299A74B" w:rsidR="00901250" w:rsidRPr="005B6501" w:rsidRDefault="00901250" w:rsidP="00901250">
            <w:pPr>
              <w:jc w:val="right"/>
              <w:rPr>
                <w:rFonts w:ascii="Arial" w:hAnsi="Arial" w:cs="Arial"/>
                <w:b/>
                <w:bCs/>
                <w:sz w:val="16"/>
                <w:szCs w:val="16"/>
                <w:lang w:val="es-ES_tradnl" w:eastAsia="es-AR"/>
              </w:rPr>
            </w:pPr>
            <w:r w:rsidRPr="005B6501">
              <w:rPr>
                <w:rFonts w:ascii="Arial" w:hAnsi="Arial" w:cs="Arial"/>
                <w:sz w:val="16"/>
                <w:szCs w:val="16"/>
              </w:rPr>
              <w:t xml:space="preserve"> 6.187.425 </w:t>
            </w:r>
          </w:p>
        </w:tc>
      </w:tr>
      <w:tr w:rsidR="00901250" w:rsidRPr="005B6501" w14:paraId="22EE8FEB" w14:textId="77777777" w:rsidTr="00BA7A6B">
        <w:trPr>
          <w:trHeight w:val="233"/>
          <w:jc w:val="center"/>
        </w:trPr>
        <w:tc>
          <w:tcPr>
            <w:tcW w:w="3871" w:type="dxa"/>
            <w:tcBorders>
              <w:top w:val="nil"/>
              <w:left w:val="single" w:sz="4" w:space="0" w:color="auto"/>
              <w:bottom w:val="single" w:sz="4" w:space="0" w:color="363639"/>
              <w:right w:val="single" w:sz="4" w:space="0" w:color="363639"/>
            </w:tcBorders>
            <w:shd w:val="clear" w:color="000000" w:fill="FFFFFF"/>
            <w:noWrap/>
            <w:vAlign w:val="bottom"/>
          </w:tcPr>
          <w:p w14:paraId="5ED7D660" w14:textId="77777777" w:rsidR="00901250" w:rsidRPr="005B6501" w:rsidRDefault="00901250" w:rsidP="00901250">
            <w:pPr>
              <w:rPr>
                <w:rFonts w:ascii="Arial" w:hAnsi="Arial" w:cs="Arial"/>
                <w:sz w:val="16"/>
                <w:szCs w:val="16"/>
                <w:lang w:eastAsia="es-AR"/>
              </w:rPr>
            </w:pPr>
            <w:r w:rsidRPr="005B6501">
              <w:rPr>
                <w:rFonts w:ascii="Arial" w:hAnsi="Arial" w:cs="Arial"/>
                <w:sz w:val="16"/>
                <w:szCs w:val="16"/>
              </w:rPr>
              <w:t xml:space="preserve">      BCRA</w:t>
            </w:r>
          </w:p>
        </w:tc>
        <w:tc>
          <w:tcPr>
            <w:tcW w:w="1742" w:type="dxa"/>
            <w:tcBorders>
              <w:top w:val="nil"/>
              <w:left w:val="single" w:sz="4" w:space="0" w:color="auto"/>
              <w:bottom w:val="single" w:sz="4" w:space="0" w:color="auto"/>
              <w:right w:val="single" w:sz="4" w:space="0" w:color="auto"/>
            </w:tcBorders>
            <w:shd w:val="clear" w:color="000000" w:fill="FFFFFF"/>
            <w:noWrap/>
            <w:vAlign w:val="bottom"/>
          </w:tcPr>
          <w:p w14:paraId="194807E7" w14:textId="62055CF2" w:rsidR="00901250" w:rsidRPr="005B6501" w:rsidRDefault="00901250" w:rsidP="00D26C3C">
            <w:pPr>
              <w:jc w:val="right"/>
              <w:rPr>
                <w:rFonts w:ascii="Arial" w:hAnsi="Arial" w:cs="Arial"/>
                <w:sz w:val="16"/>
                <w:szCs w:val="16"/>
              </w:rPr>
            </w:pPr>
            <w:r w:rsidRPr="005B6501">
              <w:rPr>
                <w:rFonts w:ascii="Arial" w:hAnsi="Arial" w:cs="Arial"/>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tcPr>
          <w:p w14:paraId="7B63F963" w14:textId="5736AE5A" w:rsidR="00901250" w:rsidRPr="005B6501" w:rsidRDefault="00901250" w:rsidP="00D26C3C">
            <w:pPr>
              <w:jc w:val="right"/>
              <w:rPr>
                <w:rFonts w:ascii="Arial" w:hAnsi="Arial" w:cs="Arial"/>
                <w:sz w:val="16"/>
                <w:szCs w:val="16"/>
              </w:rPr>
            </w:pPr>
            <w:r w:rsidRPr="005B6501">
              <w:rPr>
                <w:rFonts w:ascii="Arial" w:hAnsi="Arial" w:cs="Arial"/>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tcPr>
          <w:p w14:paraId="45634E50" w14:textId="06F24B6A" w:rsidR="00901250" w:rsidRPr="005B6501" w:rsidRDefault="00901250" w:rsidP="00D26C3C">
            <w:pPr>
              <w:jc w:val="right"/>
              <w:rPr>
                <w:rFonts w:ascii="Arial" w:hAnsi="Arial" w:cs="Arial"/>
                <w:sz w:val="16"/>
                <w:szCs w:val="16"/>
              </w:rPr>
            </w:pPr>
            <w:r w:rsidRPr="005B6501">
              <w:rPr>
                <w:rFonts w:ascii="Arial" w:hAnsi="Arial" w:cs="Arial"/>
                <w:sz w:val="16"/>
                <w:szCs w:val="16"/>
              </w:rPr>
              <w:t xml:space="preserve"> 38.423.152 </w:t>
            </w:r>
          </w:p>
        </w:tc>
        <w:tc>
          <w:tcPr>
            <w:tcW w:w="1219" w:type="dxa"/>
            <w:tcBorders>
              <w:top w:val="nil"/>
              <w:left w:val="nil"/>
              <w:bottom w:val="single" w:sz="4" w:space="0" w:color="auto"/>
              <w:right w:val="single" w:sz="4" w:space="0" w:color="auto"/>
            </w:tcBorders>
            <w:shd w:val="clear" w:color="000000" w:fill="FFFFFF"/>
            <w:noWrap/>
            <w:vAlign w:val="bottom"/>
          </w:tcPr>
          <w:p w14:paraId="0DC03CF1" w14:textId="7CB08054" w:rsidR="00901250" w:rsidRPr="005B6501" w:rsidRDefault="00901250" w:rsidP="00D26C3C">
            <w:pPr>
              <w:jc w:val="right"/>
              <w:rPr>
                <w:rFonts w:ascii="Arial" w:hAnsi="Arial" w:cs="Arial"/>
                <w:b/>
                <w:sz w:val="16"/>
                <w:szCs w:val="16"/>
              </w:rPr>
            </w:pPr>
            <w:r w:rsidRPr="005B6501">
              <w:rPr>
                <w:rFonts w:ascii="Arial" w:hAnsi="Arial" w:cs="Arial"/>
                <w:sz w:val="16"/>
                <w:szCs w:val="16"/>
              </w:rPr>
              <w:t xml:space="preserve"> 38.423.152 </w:t>
            </w:r>
          </w:p>
        </w:tc>
      </w:tr>
      <w:tr w:rsidR="00901250" w:rsidRPr="005B6501" w14:paraId="7A29B2E5" w14:textId="77777777" w:rsidTr="00BA7A6B">
        <w:trPr>
          <w:trHeight w:val="233"/>
          <w:jc w:val="center"/>
        </w:trPr>
        <w:tc>
          <w:tcPr>
            <w:tcW w:w="3871" w:type="dxa"/>
            <w:tcBorders>
              <w:top w:val="nil"/>
              <w:left w:val="single" w:sz="4" w:space="0" w:color="auto"/>
              <w:bottom w:val="single" w:sz="4" w:space="0" w:color="363639"/>
              <w:right w:val="single" w:sz="4" w:space="0" w:color="363639"/>
            </w:tcBorders>
            <w:shd w:val="clear" w:color="000000" w:fill="FFFFFF"/>
            <w:noWrap/>
            <w:vAlign w:val="bottom"/>
            <w:hideMark/>
          </w:tcPr>
          <w:p w14:paraId="3513DDD9" w14:textId="77777777" w:rsidR="00901250" w:rsidRPr="005B6501" w:rsidRDefault="00901250" w:rsidP="00901250">
            <w:pPr>
              <w:rPr>
                <w:rFonts w:ascii="Arial" w:hAnsi="Arial" w:cs="Arial"/>
                <w:sz w:val="16"/>
                <w:szCs w:val="16"/>
                <w:lang w:eastAsia="es-AR"/>
              </w:rPr>
            </w:pPr>
            <w:r w:rsidRPr="005B6501">
              <w:rPr>
                <w:rFonts w:ascii="Arial" w:hAnsi="Arial" w:cs="Arial"/>
                <w:sz w:val="16"/>
                <w:szCs w:val="16"/>
              </w:rPr>
              <w:t xml:space="preserve">      Otras del país y del exterior</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56329F81" w14:textId="74340984" w:rsidR="00901250" w:rsidRPr="005B6501" w:rsidRDefault="00901250" w:rsidP="00D26C3C">
            <w:pPr>
              <w:jc w:val="right"/>
              <w:rPr>
                <w:rFonts w:ascii="Arial" w:hAnsi="Arial" w:cs="Arial"/>
                <w:bCs/>
                <w:sz w:val="16"/>
                <w:szCs w:val="16"/>
                <w:lang w:eastAsia="es-AR"/>
              </w:rPr>
            </w:pPr>
            <w:r w:rsidRPr="005B6501">
              <w:rPr>
                <w:rFonts w:ascii="Arial" w:hAnsi="Arial" w:cs="Arial"/>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6F1DF140" w14:textId="326DA661" w:rsidR="00901250" w:rsidRPr="005B6501" w:rsidRDefault="00901250" w:rsidP="00D26C3C">
            <w:pPr>
              <w:jc w:val="right"/>
              <w:rPr>
                <w:rFonts w:ascii="Arial" w:hAnsi="Arial" w:cs="Arial"/>
                <w:bCs/>
                <w:sz w:val="16"/>
                <w:szCs w:val="16"/>
                <w:lang w:eastAsia="es-AR"/>
              </w:rPr>
            </w:pPr>
            <w:r w:rsidRPr="005B6501">
              <w:rPr>
                <w:rFonts w:ascii="Arial" w:hAnsi="Arial" w:cs="Arial"/>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6ABD18D6" w14:textId="69AAC5D3" w:rsidR="00901250" w:rsidRPr="005B6501" w:rsidRDefault="00901250" w:rsidP="00D26C3C">
            <w:pPr>
              <w:jc w:val="right"/>
              <w:rPr>
                <w:rFonts w:ascii="Arial" w:hAnsi="Arial" w:cs="Arial"/>
                <w:bCs/>
                <w:sz w:val="16"/>
                <w:szCs w:val="16"/>
                <w:lang w:val="es-ES_tradnl" w:eastAsia="es-AR"/>
              </w:rPr>
            </w:pPr>
            <w:r w:rsidRPr="005B6501">
              <w:rPr>
                <w:rFonts w:ascii="Arial" w:hAnsi="Arial" w:cs="Arial"/>
                <w:sz w:val="16"/>
                <w:szCs w:val="16"/>
              </w:rPr>
              <w:t xml:space="preserve"> 797.751 </w:t>
            </w:r>
          </w:p>
        </w:tc>
        <w:tc>
          <w:tcPr>
            <w:tcW w:w="1219" w:type="dxa"/>
            <w:tcBorders>
              <w:top w:val="nil"/>
              <w:left w:val="nil"/>
              <w:bottom w:val="single" w:sz="4" w:space="0" w:color="auto"/>
              <w:right w:val="single" w:sz="4" w:space="0" w:color="auto"/>
            </w:tcBorders>
            <w:shd w:val="clear" w:color="000000" w:fill="FFFFFF"/>
            <w:noWrap/>
            <w:vAlign w:val="bottom"/>
            <w:hideMark/>
          </w:tcPr>
          <w:p w14:paraId="736EBBDB" w14:textId="1CB934A0" w:rsidR="00901250" w:rsidRPr="005B6501" w:rsidRDefault="00901250" w:rsidP="00D26C3C">
            <w:pPr>
              <w:jc w:val="right"/>
              <w:rPr>
                <w:rFonts w:ascii="Arial" w:hAnsi="Arial" w:cs="Arial"/>
                <w:b/>
                <w:bCs/>
                <w:sz w:val="16"/>
                <w:szCs w:val="16"/>
                <w:lang w:val="es-ES_tradnl" w:eastAsia="es-AR"/>
              </w:rPr>
            </w:pPr>
            <w:r w:rsidRPr="005B6501">
              <w:rPr>
                <w:rFonts w:ascii="Arial" w:hAnsi="Arial" w:cs="Arial"/>
                <w:sz w:val="16"/>
                <w:szCs w:val="16"/>
              </w:rPr>
              <w:t xml:space="preserve"> 797.751 </w:t>
            </w:r>
          </w:p>
        </w:tc>
      </w:tr>
      <w:tr w:rsidR="00901250" w:rsidRPr="005B6501" w14:paraId="3542CBE6"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noWrap/>
            <w:vAlign w:val="bottom"/>
            <w:hideMark/>
          </w:tcPr>
          <w:p w14:paraId="2CC10297" w14:textId="77777777" w:rsidR="00901250" w:rsidRPr="005B6501" w:rsidRDefault="00901250" w:rsidP="00901250">
            <w:pPr>
              <w:rPr>
                <w:rFonts w:ascii="Arial" w:hAnsi="Arial" w:cs="Arial"/>
                <w:sz w:val="16"/>
                <w:szCs w:val="16"/>
                <w:lang w:eastAsia="es-AR"/>
              </w:rPr>
            </w:pPr>
            <w:r w:rsidRPr="005B6501">
              <w:rPr>
                <w:rFonts w:ascii="Arial" w:hAnsi="Arial" w:cs="Arial"/>
                <w:sz w:val="16"/>
                <w:szCs w:val="16"/>
              </w:rPr>
              <w:t xml:space="preserve">   Otros</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038D1707" w14:textId="7F48A339" w:rsidR="00901250" w:rsidRPr="005B6501" w:rsidRDefault="00901250" w:rsidP="00D26C3C">
            <w:pPr>
              <w:jc w:val="right"/>
              <w:rPr>
                <w:rFonts w:ascii="Arial" w:hAnsi="Arial" w:cs="Arial"/>
                <w:bCs/>
                <w:sz w:val="16"/>
                <w:szCs w:val="16"/>
                <w:lang w:eastAsia="es-AR"/>
              </w:rPr>
            </w:pPr>
            <w:r w:rsidRPr="005B6501">
              <w:rPr>
                <w:rFonts w:ascii="Arial" w:hAnsi="Arial" w:cs="Arial"/>
                <w:sz w:val="16"/>
                <w:szCs w:val="16"/>
              </w:rPr>
              <w:t xml:space="preserve"> 65 </w:t>
            </w:r>
          </w:p>
        </w:tc>
        <w:tc>
          <w:tcPr>
            <w:tcW w:w="1742" w:type="dxa"/>
            <w:tcBorders>
              <w:top w:val="nil"/>
              <w:left w:val="nil"/>
              <w:bottom w:val="single" w:sz="4" w:space="0" w:color="auto"/>
              <w:right w:val="single" w:sz="4" w:space="0" w:color="auto"/>
            </w:tcBorders>
            <w:shd w:val="clear" w:color="000000" w:fill="FFFFFF"/>
            <w:noWrap/>
            <w:vAlign w:val="bottom"/>
            <w:hideMark/>
          </w:tcPr>
          <w:p w14:paraId="56B9158C" w14:textId="530BABBC" w:rsidR="00901250" w:rsidRPr="005B6501" w:rsidRDefault="00901250" w:rsidP="00D26C3C">
            <w:pPr>
              <w:jc w:val="right"/>
              <w:rPr>
                <w:rFonts w:ascii="Arial" w:hAnsi="Arial" w:cs="Arial"/>
                <w:bCs/>
                <w:sz w:val="16"/>
                <w:szCs w:val="16"/>
                <w:lang w:eastAsia="es-AR"/>
              </w:rPr>
            </w:pPr>
            <w:r w:rsidRPr="005B6501">
              <w:rPr>
                <w:rFonts w:ascii="Arial" w:hAnsi="Arial" w:cs="Arial"/>
                <w:sz w:val="16"/>
                <w:szCs w:val="16"/>
              </w:rPr>
              <w:t xml:space="preserve"> 6.377 </w:t>
            </w:r>
          </w:p>
        </w:tc>
        <w:tc>
          <w:tcPr>
            <w:tcW w:w="1920" w:type="dxa"/>
            <w:tcBorders>
              <w:top w:val="nil"/>
              <w:left w:val="nil"/>
              <w:bottom w:val="single" w:sz="4" w:space="0" w:color="auto"/>
              <w:right w:val="single" w:sz="4" w:space="0" w:color="auto"/>
            </w:tcBorders>
            <w:shd w:val="clear" w:color="000000" w:fill="FFFFFF"/>
            <w:noWrap/>
            <w:vAlign w:val="bottom"/>
            <w:hideMark/>
          </w:tcPr>
          <w:p w14:paraId="157C89EF" w14:textId="7A58F270" w:rsidR="00901250" w:rsidRPr="005B6501" w:rsidRDefault="00901250" w:rsidP="00D26C3C">
            <w:pPr>
              <w:jc w:val="right"/>
              <w:rPr>
                <w:rFonts w:ascii="Arial" w:hAnsi="Arial" w:cs="Arial"/>
                <w:bCs/>
                <w:sz w:val="16"/>
                <w:szCs w:val="16"/>
                <w:lang w:eastAsia="es-AR"/>
              </w:rPr>
            </w:pPr>
            <w:r w:rsidRPr="005B6501">
              <w:rPr>
                <w:rFonts w:ascii="Arial" w:hAnsi="Arial" w:cs="Arial"/>
                <w:sz w:val="16"/>
                <w:szCs w:val="16"/>
              </w:rPr>
              <w:t xml:space="preserve"> 74 </w:t>
            </w:r>
          </w:p>
        </w:tc>
        <w:tc>
          <w:tcPr>
            <w:tcW w:w="1219" w:type="dxa"/>
            <w:tcBorders>
              <w:top w:val="nil"/>
              <w:left w:val="nil"/>
              <w:bottom w:val="single" w:sz="4" w:space="0" w:color="auto"/>
              <w:right w:val="single" w:sz="4" w:space="0" w:color="auto"/>
            </w:tcBorders>
            <w:shd w:val="clear" w:color="000000" w:fill="FFFFFF"/>
            <w:noWrap/>
            <w:vAlign w:val="bottom"/>
            <w:hideMark/>
          </w:tcPr>
          <w:p w14:paraId="65C442C7" w14:textId="29281DF8" w:rsidR="00901250" w:rsidRPr="005B6501" w:rsidRDefault="00901250" w:rsidP="00D26C3C">
            <w:pPr>
              <w:jc w:val="right"/>
              <w:rPr>
                <w:rFonts w:ascii="Arial" w:hAnsi="Arial" w:cs="Arial"/>
                <w:b/>
                <w:bCs/>
                <w:sz w:val="16"/>
                <w:szCs w:val="16"/>
                <w:lang w:eastAsia="es-AR"/>
              </w:rPr>
            </w:pPr>
            <w:r w:rsidRPr="005B6501">
              <w:rPr>
                <w:rFonts w:ascii="Arial" w:hAnsi="Arial" w:cs="Arial"/>
                <w:sz w:val="16"/>
                <w:szCs w:val="16"/>
              </w:rPr>
              <w:t xml:space="preserve"> 6.516 </w:t>
            </w:r>
          </w:p>
        </w:tc>
      </w:tr>
      <w:tr w:rsidR="00901250" w:rsidRPr="005B6501" w14:paraId="3ED80F5C" w14:textId="77777777" w:rsidTr="00BA7A6B">
        <w:trPr>
          <w:trHeight w:val="189"/>
          <w:jc w:val="center"/>
        </w:trPr>
        <w:tc>
          <w:tcPr>
            <w:tcW w:w="3871" w:type="dxa"/>
            <w:tcBorders>
              <w:top w:val="nil"/>
              <w:left w:val="single" w:sz="4" w:space="0" w:color="auto"/>
              <w:bottom w:val="single" w:sz="4" w:space="0" w:color="363639"/>
              <w:right w:val="single" w:sz="4" w:space="0" w:color="363639"/>
            </w:tcBorders>
            <w:shd w:val="clear" w:color="000000" w:fill="FFFFFF"/>
            <w:noWrap/>
            <w:vAlign w:val="bottom"/>
            <w:hideMark/>
          </w:tcPr>
          <w:p w14:paraId="5E94F6D7" w14:textId="77777777" w:rsidR="00901250" w:rsidRPr="005B6501" w:rsidRDefault="00901250" w:rsidP="00901250">
            <w:pPr>
              <w:rPr>
                <w:rFonts w:ascii="Arial" w:hAnsi="Arial" w:cs="Arial"/>
                <w:b/>
                <w:sz w:val="16"/>
                <w:szCs w:val="16"/>
                <w:lang w:eastAsia="es-AR"/>
              </w:rPr>
            </w:pPr>
            <w:r w:rsidRPr="005B6501">
              <w:rPr>
                <w:rFonts w:ascii="Arial" w:hAnsi="Arial" w:cs="Arial"/>
                <w:b/>
                <w:sz w:val="16"/>
                <w:szCs w:val="16"/>
              </w:rPr>
              <w:t>Títulos de deuda a valor razonable con cambios en resultados</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13CE9077" w14:textId="096C976C"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7688F075" w14:textId="79403D2A"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7E7DA06D" w14:textId="719EE5E8"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52.112.758 </w:t>
            </w:r>
          </w:p>
        </w:tc>
        <w:tc>
          <w:tcPr>
            <w:tcW w:w="1219" w:type="dxa"/>
            <w:tcBorders>
              <w:top w:val="nil"/>
              <w:left w:val="nil"/>
              <w:bottom w:val="single" w:sz="4" w:space="0" w:color="auto"/>
              <w:right w:val="single" w:sz="4" w:space="0" w:color="auto"/>
            </w:tcBorders>
            <w:shd w:val="clear" w:color="000000" w:fill="FFFFFF"/>
            <w:noWrap/>
            <w:vAlign w:val="bottom"/>
            <w:hideMark/>
          </w:tcPr>
          <w:p w14:paraId="34807367" w14:textId="6E0BF9C4"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52.112.758 </w:t>
            </w:r>
          </w:p>
        </w:tc>
      </w:tr>
      <w:tr w:rsidR="00901250" w:rsidRPr="005B6501" w14:paraId="4E2AA329" w14:textId="77777777" w:rsidTr="00BA7A6B">
        <w:trPr>
          <w:trHeight w:val="430"/>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01D20734" w14:textId="77777777" w:rsidR="00901250" w:rsidRPr="005B6501" w:rsidRDefault="00901250" w:rsidP="00901250">
            <w:pPr>
              <w:rPr>
                <w:rFonts w:ascii="Arial" w:hAnsi="Arial" w:cs="Arial"/>
                <w:b/>
                <w:bCs/>
                <w:sz w:val="16"/>
                <w:szCs w:val="16"/>
                <w:lang w:eastAsia="es-AR"/>
              </w:rPr>
            </w:pPr>
            <w:r w:rsidRPr="005B6501">
              <w:rPr>
                <w:rFonts w:ascii="Arial" w:hAnsi="Arial" w:cs="Arial"/>
                <w:b/>
                <w:sz w:val="16"/>
                <w:szCs w:val="16"/>
              </w:rPr>
              <w:t xml:space="preserve">Instrumentos derivados </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716B1401" w14:textId="4652887F"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33EB5A76" w14:textId="4FB7DE1A"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66FA213B" w14:textId="65F8459C"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269.073 </w:t>
            </w:r>
          </w:p>
        </w:tc>
        <w:tc>
          <w:tcPr>
            <w:tcW w:w="1219" w:type="dxa"/>
            <w:tcBorders>
              <w:top w:val="nil"/>
              <w:left w:val="nil"/>
              <w:bottom w:val="single" w:sz="4" w:space="0" w:color="auto"/>
              <w:right w:val="single" w:sz="4" w:space="0" w:color="auto"/>
            </w:tcBorders>
            <w:shd w:val="clear" w:color="000000" w:fill="FFFFFF"/>
            <w:noWrap/>
            <w:vAlign w:val="bottom"/>
            <w:hideMark/>
          </w:tcPr>
          <w:p w14:paraId="24D9AF66" w14:textId="31D82351" w:rsidR="00901250" w:rsidRPr="005B6501" w:rsidRDefault="00901250" w:rsidP="00D26C3C">
            <w:pPr>
              <w:jc w:val="right"/>
              <w:rPr>
                <w:rFonts w:ascii="Arial" w:hAnsi="Arial" w:cs="Arial"/>
                <w:b/>
                <w:bCs/>
                <w:sz w:val="16"/>
                <w:szCs w:val="16"/>
                <w:lang w:eastAsia="es-AR"/>
              </w:rPr>
            </w:pPr>
            <w:r w:rsidRPr="005B6501">
              <w:rPr>
                <w:rFonts w:ascii="Arial" w:hAnsi="Arial" w:cs="Arial"/>
                <w:b/>
                <w:sz w:val="16"/>
                <w:szCs w:val="16"/>
              </w:rPr>
              <w:t xml:space="preserve"> 269.073 </w:t>
            </w:r>
          </w:p>
        </w:tc>
      </w:tr>
      <w:tr w:rsidR="00D26C3C" w:rsidRPr="005B6501" w14:paraId="4B7E34FF"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tcPr>
          <w:p w14:paraId="54C24432"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 xml:space="preserve">Otros activos financieros </w:t>
            </w:r>
          </w:p>
        </w:tc>
        <w:tc>
          <w:tcPr>
            <w:tcW w:w="1742" w:type="dxa"/>
            <w:tcBorders>
              <w:top w:val="nil"/>
              <w:left w:val="single" w:sz="4" w:space="0" w:color="auto"/>
              <w:bottom w:val="single" w:sz="4" w:space="0" w:color="auto"/>
              <w:right w:val="single" w:sz="4" w:space="0" w:color="auto"/>
            </w:tcBorders>
            <w:shd w:val="clear" w:color="000000" w:fill="FFFFFF"/>
            <w:noWrap/>
            <w:vAlign w:val="bottom"/>
          </w:tcPr>
          <w:p w14:paraId="3BBF0602" w14:textId="602CDE88"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w:t>
            </w:r>
            <w:r w:rsidR="00C74191" w:rsidRPr="005B6501">
              <w:rPr>
                <w:rFonts w:ascii="Arial" w:hAnsi="Arial" w:cs="Arial"/>
                <w:b/>
                <w:sz w:val="16"/>
                <w:szCs w:val="16"/>
              </w:rPr>
              <w:t xml:space="preserve"> 274.872</w:t>
            </w:r>
          </w:p>
        </w:tc>
        <w:tc>
          <w:tcPr>
            <w:tcW w:w="1742" w:type="dxa"/>
            <w:tcBorders>
              <w:top w:val="nil"/>
              <w:left w:val="nil"/>
              <w:bottom w:val="single" w:sz="4" w:space="0" w:color="auto"/>
              <w:right w:val="single" w:sz="4" w:space="0" w:color="auto"/>
            </w:tcBorders>
            <w:shd w:val="clear" w:color="000000" w:fill="FFFFFF"/>
            <w:noWrap/>
            <w:vAlign w:val="bottom"/>
          </w:tcPr>
          <w:p w14:paraId="2A565E62" w14:textId="3461E1B2" w:rsidR="00D26C3C" w:rsidRPr="005B6501" w:rsidRDefault="00C74191" w:rsidP="00D26C3C">
            <w:pPr>
              <w:jc w:val="right"/>
              <w:rPr>
                <w:rFonts w:ascii="Arial" w:hAnsi="Arial" w:cs="Arial"/>
                <w:b/>
                <w:sz w:val="16"/>
                <w:szCs w:val="16"/>
              </w:rPr>
            </w:pPr>
            <w:r w:rsidRPr="005B6501">
              <w:rPr>
                <w:rFonts w:ascii="Arial" w:hAnsi="Arial" w:cs="Arial"/>
                <w:b/>
                <w:sz w:val="16"/>
                <w:szCs w:val="16"/>
              </w:rPr>
              <w:t>718.986</w:t>
            </w:r>
          </w:p>
        </w:tc>
        <w:tc>
          <w:tcPr>
            <w:tcW w:w="1920" w:type="dxa"/>
            <w:tcBorders>
              <w:top w:val="nil"/>
              <w:left w:val="nil"/>
              <w:bottom w:val="single" w:sz="4" w:space="0" w:color="auto"/>
              <w:right w:val="single" w:sz="4" w:space="0" w:color="auto"/>
            </w:tcBorders>
            <w:shd w:val="clear" w:color="000000" w:fill="FFFFFF"/>
            <w:noWrap/>
            <w:vAlign w:val="bottom"/>
          </w:tcPr>
          <w:p w14:paraId="4E6F9F68" w14:textId="2A1C3EC9" w:rsidR="00D26C3C" w:rsidRPr="005B6501" w:rsidRDefault="00C74191" w:rsidP="00D26C3C">
            <w:pPr>
              <w:jc w:val="right"/>
              <w:rPr>
                <w:rFonts w:ascii="Arial" w:hAnsi="Arial" w:cs="Arial"/>
                <w:b/>
                <w:sz w:val="16"/>
                <w:szCs w:val="16"/>
              </w:rPr>
            </w:pPr>
            <w:r w:rsidRPr="005B6501">
              <w:rPr>
                <w:rFonts w:ascii="Arial" w:hAnsi="Arial" w:cs="Arial"/>
                <w:b/>
                <w:sz w:val="16"/>
                <w:szCs w:val="16"/>
              </w:rPr>
              <w:t>586.929</w:t>
            </w:r>
          </w:p>
        </w:tc>
        <w:tc>
          <w:tcPr>
            <w:tcW w:w="1219" w:type="dxa"/>
            <w:tcBorders>
              <w:top w:val="nil"/>
              <w:left w:val="nil"/>
              <w:bottom w:val="single" w:sz="4" w:space="0" w:color="auto"/>
              <w:right w:val="single" w:sz="4" w:space="0" w:color="auto"/>
            </w:tcBorders>
            <w:shd w:val="clear" w:color="000000" w:fill="FFFFFF"/>
            <w:noWrap/>
            <w:vAlign w:val="bottom"/>
          </w:tcPr>
          <w:p w14:paraId="2B432F66" w14:textId="18A165AF" w:rsidR="00D26C3C" w:rsidRPr="005B6501" w:rsidRDefault="00C74191" w:rsidP="00D26C3C">
            <w:pPr>
              <w:jc w:val="right"/>
              <w:rPr>
                <w:rFonts w:ascii="Arial" w:hAnsi="Arial" w:cs="Arial"/>
                <w:b/>
                <w:sz w:val="16"/>
                <w:szCs w:val="16"/>
              </w:rPr>
            </w:pPr>
            <w:r w:rsidRPr="005B6501">
              <w:rPr>
                <w:rFonts w:ascii="Arial" w:hAnsi="Arial" w:cs="Arial"/>
                <w:b/>
                <w:sz w:val="16"/>
                <w:szCs w:val="16"/>
              </w:rPr>
              <w:t>1.580.787</w:t>
            </w:r>
          </w:p>
        </w:tc>
      </w:tr>
      <w:tr w:rsidR="00D26C3C" w:rsidRPr="005B6501" w14:paraId="4DF059C1"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43C3E56A"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 xml:space="preserve">Préstamos y otras financiaciones </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4D44F7FC" w14:textId="26A60013" w:rsidR="00D26C3C" w:rsidRPr="005B6501" w:rsidRDefault="002B77C5" w:rsidP="00D26C3C">
            <w:pPr>
              <w:jc w:val="right"/>
              <w:rPr>
                <w:rFonts w:ascii="Arial" w:hAnsi="Arial" w:cs="Arial"/>
                <w:b/>
                <w:bCs/>
                <w:sz w:val="16"/>
                <w:szCs w:val="16"/>
                <w:lang w:eastAsia="es-AR"/>
              </w:rPr>
            </w:pPr>
            <w:r w:rsidRPr="002B77C5">
              <w:rPr>
                <w:rFonts w:ascii="Arial" w:hAnsi="Arial" w:cs="Arial"/>
                <w:b/>
                <w:sz w:val="16"/>
                <w:szCs w:val="16"/>
              </w:rPr>
              <w:t>47.650.796</w:t>
            </w:r>
          </w:p>
        </w:tc>
        <w:tc>
          <w:tcPr>
            <w:tcW w:w="1742" w:type="dxa"/>
            <w:tcBorders>
              <w:top w:val="nil"/>
              <w:left w:val="nil"/>
              <w:bottom w:val="single" w:sz="4" w:space="0" w:color="auto"/>
              <w:right w:val="single" w:sz="4" w:space="0" w:color="auto"/>
            </w:tcBorders>
            <w:shd w:val="clear" w:color="000000" w:fill="FFFFFF"/>
            <w:noWrap/>
            <w:vAlign w:val="bottom"/>
            <w:hideMark/>
          </w:tcPr>
          <w:p w14:paraId="69EA6EA3" w14:textId="50EF01F9" w:rsidR="00D26C3C" w:rsidRPr="005B6501" w:rsidRDefault="002B77C5" w:rsidP="00D26C3C">
            <w:pPr>
              <w:jc w:val="right"/>
              <w:rPr>
                <w:rFonts w:ascii="Arial" w:hAnsi="Arial" w:cs="Arial"/>
                <w:b/>
                <w:bCs/>
                <w:sz w:val="16"/>
                <w:szCs w:val="16"/>
                <w:lang w:eastAsia="es-AR"/>
              </w:rPr>
            </w:pPr>
            <w:r w:rsidRPr="002B77C5">
              <w:rPr>
                <w:rFonts w:ascii="Arial" w:hAnsi="Arial" w:cs="Arial"/>
                <w:b/>
                <w:sz w:val="16"/>
                <w:szCs w:val="16"/>
              </w:rPr>
              <w:t>54.962.089</w:t>
            </w:r>
          </w:p>
        </w:tc>
        <w:tc>
          <w:tcPr>
            <w:tcW w:w="1920" w:type="dxa"/>
            <w:tcBorders>
              <w:top w:val="nil"/>
              <w:left w:val="nil"/>
              <w:bottom w:val="single" w:sz="4" w:space="0" w:color="auto"/>
              <w:right w:val="single" w:sz="4" w:space="0" w:color="auto"/>
            </w:tcBorders>
            <w:shd w:val="clear" w:color="000000" w:fill="FFFFFF"/>
            <w:noWrap/>
            <w:vAlign w:val="bottom"/>
            <w:hideMark/>
          </w:tcPr>
          <w:p w14:paraId="61A3593A" w14:textId="079B51C6" w:rsidR="00D26C3C" w:rsidRPr="005B6501" w:rsidRDefault="00C74191" w:rsidP="00D26C3C">
            <w:pPr>
              <w:jc w:val="right"/>
              <w:rPr>
                <w:rFonts w:ascii="Arial" w:hAnsi="Arial" w:cs="Arial"/>
                <w:b/>
                <w:bCs/>
                <w:sz w:val="16"/>
                <w:szCs w:val="16"/>
                <w:lang w:eastAsia="es-AR"/>
              </w:rPr>
            </w:pPr>
            <w:r w:rsidRPr="005B6501">
              <w:rPr>
                <w:rFonts w:ascii="Arial" w:hAnsi="Arial" w:cs="Arial"/>
                <w:b/>
                <w:sz w:val="16"/>
                <w:szCs w:val="16"/>
              </w:rPr>
              <w:t>6.435.516</w:t>
            </w:r>
          </w:p>
        </w:tc>
        <w:tc>
          <w:tcPr>
            <w:tcW w:w="1219" w:type="dxa"/>
            <w:tcBorders>
              <w:top w:val="nil"/>
              <w:left w:val="nil"/>
              <w:bottom w:val="single" w:sz="4" w:space="0" w:color="auto"/>
              <w:right w:val="single" w:sz="4" w:space="0" w:color="auto"/>
            </w:tcBorders>
            <w:shd w:val="clear" w:color="000000" w:fill="FFFFFF"/>
            <w:noWrap/>
            <w:vAlign w:val="bottom"/>
            <w:hideMark/>
          </w:tcPr>
          <w:p w14:paraId="52A2E321" w14:textId="6C9CCF53" w:rsidR="00D26C3C" w:rsidRPr="005B6501" w:rsidRDefault="00C74191" w:rsidP="00D26C3C">
            <w:pPr>
              <w:jc w:val="right"/>
              <w:rPr>
                <w:rFonts w:ascii="Arial" w:hAnsi="Arial" w:cs="Arial"/>
                <w:b/>
                <w:bCs/>
                <w:sz w:val="16"/>
                <w:szCs w:val="16"/>
                <w:lang w:eastAsia="es-AR"/>
              </w:rPr>
            </w:pPr>
            <w:r w:rsidRPr="005B6501">
              <w:rPr>
                <w:rFonts w:ascii="Arial" w:hAnsi="Arial" w:cs="Arial"/>
                <w:b/>
                <w:sz w:val="16"/>
                <w:szCs w:val="16"/>
              </w:rPr>
              <w:t>109.048.401</w:t>
            </w:r>
          </w:p>
        </w:tc>
      </w:tr>
      <w:tr w:rsidR="00D26C3C" w:rsidRPr="005B6501" w14:paraId="45877E36" w14:textId="77777777" w:rsidTr="00BA7A6B">
        <w:trPr>
          <w:trHeight w:val="232"/>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18B0291E" w14:textId="77777777" w:rsidR="00D26C3C" w:rsidRPr="005B6501" w:rsidRDefault="00D26C3C" w:rsidP="00D26C3C">
            <w:pPr>
              <w:rPr>
                <w:rFonts w:ascii="Arial" w:hAnsi="Arial" w:cs="Arial"/>
                <w:b/>
                <w:bCs/>
                <w:sz w:val="16"/>
                <w:szCs w:val="16"/>
                <w:lang w:eastAsia="es-AR"/>
              </w:rPr>
            </w:pPr>
            <w:r w:rsidRPr="005B6501">
              <w:rPr>
                <w:rFonts w:ascii="Arial" w:hAnsi="Arial" w:cs="Arial"/>
                <w:sz w:val="16"/>
                <w:szCs w:val="16"/>
              </w:rPr>
              <w:t xml:space="preserve">   Sector público no financiero</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39261BDF" w14:textId="56CA9E69" w:rsidR="00D26C3C" w:rsidRPr="005B6501" w:rsidRDefault="00C74191" w:rsidP="00D26C3C">
            <w:pPr>
              <w:jc w:val="right"/>
              <w:rPr>
                <w:rFonts w:ascii="Arial" w:hAnsi="Arial" w:cs="Arial"/>
                <w:b/>
                <w:bCs/>
                <w:sz w:val="16"/>
                <w:szCs w:val="16"/>
                <w:lang w:eastAsia="es-AR"/>
              </w:rPr>
            </w:pPr>
            <w:r w:rsidRPr="005B6501">
              <w:rPr>
                <w:rFonts w:ascii="Arial" w:hAnsi="Arial" w:cs="Arial"/>
                <w:sz w:val="16"/>
                <w:szCs w:val="16"/>
              </w:rPr>
              <w:t>118</w:t>
            </w:r>
          </w:p>
        </w:tc>
        <w:tc>
          <w:tcPr>
            <w:tcW w:w="1742" w:type="dxa"/>
            <w:tcBorders>
              <w:top w:val="nil"/>
              <w:left w:val="nil"/>
              <w:bottom w:val="single" w:sz="4" w:space="0" w:color="auto"/>
              <w:right w:val="single" w:sz="4" w:space="0" w:color="auto"/>
            </w:tcBorders>
            <w:shd w:val="clear" w:color="000000" w:fill="FFFFFF"/>
            <w:noWrap/>
            <w:vAlign w:val="bottom"/>
            <w:hideMark/>
          </w:tcPr>
          <w:p w14:paraId="060807CB" w14:textId="362BF457" w:rsidR="00D26C3C" w:rsidRPr="005B6501" w:rsidRDefault="00C74191" w:rsidP="00D26C3C">
            <w:pPr>
              <w:jc w:val="right"/>
              <w:rPr>
                <w:rFonts w:ascii="Arial" w:hAnsi="Arial" w:cs="Arial"/>
                <w:b/>
                <w:bCs/>
                <w:sz w:val="16"/>
                <w:szCs w:val="16"/>
                <w:lang w:eastAsia="es-AR"/>
              </w:rPr>
            </w:pPr>
            <w:r w:rsidRPr="005B6501">
              <w:rPr>
                <w:rFonts w:ascii="Arial" w:hAnsi="Arial" w:cs="Arial"/>
                <w:sz w:val="16"/>
                <w:szCs w:val="16"/>
              </w:rPr>
              <w:t>81</w:t>
            </w:r>
          </w:p>
        </w:tc>
        <w:tc>
          <w:tcPr>
            <w:tcW w:w="1920" w:type="dxa"/>
            <w:tcBorders>
              <w:top w:val="nil"/>
              <w:left w:val="nil"/>
              <w:bottom w:val="single" w:sz="4" w:space="0" w:color="auto"/>
              <w:right w:val="single" w:sz="4" w:space="0" w:color="auto"/>
            </w:tcBorders>
            <w:shd w:val="clear" w:color="000000" w:fill="FFFFFF"/>
            <w:noWrap/>
            <w:vAlign w:val="bottom"/>
            <w:hideMark/>
          </w:tcPr>
          <w:p w14:paraId="7D1F98AF" w14:textId="4F499169" w:rsidR="00D26C3C" w:rsidRPr="005B6501" w:rsidRDefault="00C74191" w:rsidP="00D26C3C">
            <w:pPr>
              <w:jc w:val="right"/>
              <w:rPr>
                <w:rFonts w:ascii="Arial" w:hAnsi="Arial" w:cs="Arial"/>
                <w:b/>
                <w:bCs/>
                <w:sz w:val="16"/>
                <w:szCs w:val="16"/>
                <w:lang w:eastAsia="es-AR"/>
              </w:rPr>
            </w:pPr>
            <w:r w:rsidRPr="005B6501">
              <w:rPr>
                <w:rFonts w:ascii="Arial" w:hAnsi="Arial" w:cs="Arial"/>
                <w:sz w:val="16"/>
                <w:szCs w:val="16"/>
              </w:rPr>
              <w:t xml:space="preserve">44.429 </w:t>
            </w:r>
            <w:r w:rsidR="00D26C3C" w:rsidRPr="005B6501">
              <w:rPr>
                <w:rFonts w:ascii="Arial" w:hAnsi="Arial" w:cs="Arial"/>
                <w:sz w:val="16"/>
                <w:szCs w:val="16"/>
              </w:rPr>
              <w:t xml:space="preserve"> </w:t>
            </w:r>
          </w:p>
        </w:tc>
        <w:tc>
          <w:tcPr>
            <w:tcW w:w="1219" w:type="dxa"/>
            <w:tcBorders>
              <w:top w:val="nil"/>
              <w:left w:val="nil"/>
              <w:bottom w:val="single" w:sz="4" w:space="0" w:color="auto"/>
              <w:right w:val="single" w:sz="4" w:space="0" w:color="auto"/>
            </w:tcBorders>
            <w:shd w:val="clear" w:color="000000" w:fill="FFFFFF"/>
            <w:noWrap/>
            <w:vAlign w:val="bottom"/>
            <w:hideMark/>
          </w:tcPr>
          <w:p w14:paraId="40317CA4" w14:textId="545C40E2" w:rsidR="00D26C3C" w:rsidRPr="005B6501" w:rsidRDefault="00C74191" w:rsidP="00D26C3C">
            <w:pPr>
              <w:jc w:val="right"/>
              <w:rPr>
                <w:rFonts w:ascii="Arial" w:hAnsi="Arial" w:cs="Arial"/>
                <w:b/>
                <w:bCs/>
                <w:sz w:val="16"/>
                <w:szCs w:val="16"/>
                <w:lang w:eastAsia="es-AR"/>
              </w:rPr>
            </w:pPr>
            <w:r w:rsidRPr="005B6501">
              <w:rPr>
                <w:rFonts w:ascii="Arial" w:hAnsi="Arial" w:cs="Arial"/>
                <w:sz w:val="16"/>
                <w:szCs w:val="16"/>
              </w:rPr>
              <w:t>44.628</w:t>
            </w:r>
          </w:p>
        </w:tc>
      </w:tr>
      <w:tr w:rsidR="00D26C3C" w:rsidRPr="005B6501" w14:paraId="29C82DDC"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noWrap/>
            <w:vAlign w:val="bottom"/>
            <w:hideMark/>
          </w:tcPr>
          <w:p w14:paraId="7A01C743" w14:textId="77777777" w:rsidR="00D26C3C" w:rsidRPr="005B6501" w:rsidRDefault="00D26C3C" w:rsidP="00D26C3C">
            <w:pPr>
              <w:rPr>
                <w:rFonts w:ascii="Arial" w:hAnsi="Arial" w:cs="Arial"/>
                <w:sz w:val="16"/>
                <w:szCs w:val="16"/>
                <w:lang w:eastAsia="es-AR"/>
              </w:rPr>
            </w:pPr>
            <w:r w:rsidRPr="005B6501">
              <w:rPr>
                <w:rFonts w:ascii="Arial" w:hAnsi="Arial" w:cs="Arial"/>
                <w:sz w:val="16"/>
                <w:szCs w:val="16"/>
              </w:rPr>
              <w:t xml:space="preserve">   Otras entidades financieras </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314659E4" w14:textId="723212D6" w:rsidR="00D26C3C" w:rsidRPr="005B6501" w:rsidRDefault="00D26C3C" w:rsidP="00D26C3C">
            <w:pPr>
              <w:jc w:val="right"/>
              <w:rPr>
                <w:rFonts w:ascii="Arial" w:hAnsi="Arial" w:cs="Arial"/>
                <w:bCs/>
                <w:sz w:val="16"/>
                <w:szCs w:val="16"/>
                <w:lang w:eastAsia="es-AR"/>
              </w:rPr>
            </w:pPr>
            <w:r w:rsidRPr="005B6501">
              <w:rPr>
                <w:rFonts w:ascii="Arial" w:hAnsi="Arial" w:cs="Arial"/>
                <w:sz w:val="16"/>
                <w:szCs w:val="16"/>
              </w:rPr>
              <w:t xml:space="preserve"> </w:t>
            </w:r>
            <w:r w:rsidR="00C74191" w:rsidRPr="005B6501">
              <w:rPr>
                <w:rFonts w:ascii="Arial" w:hAnsi="Arial" w:cs="Arial"/>
                <w:sz w:val="16"/>
                <w:szCs w:val="16"/>
              </w:rPr>
              <w:t xml:space="preserve"> 82.364</w:t>
            </w:r>
          </w:p>
        </w:tc>
        <w:tc>
          <w:tcPr>
            <w:tcW w:w="1742" w:type="dxa"/>
            <w:tcBorders>
              <w:top w:val="nil"/>
              <w:left w:val="nil"/>
              <w:bottom w:val="single" w:sz="4" w:space="0" w:color="auto"/>
              <w:right w:val="single" w:sz="4" w:space="0" w:color="auto"/>
            </w:tcBorders>
            <w:shd w:val="clear" w:color="000000" w:fill="FFFFFF"/>
            <w:noWrap/>
            <w:vAlign w:val="bottom"/>
            <w:hideMark/>
          </w:tcPr>
          <w:p w14:paraId="72F33FBD" w14:textId="06099BCC" w:rsidR="00D26C3C" w:rsidRPr="005B6501" w:rsidRDefault="00D26C3C" w:rsidP="00D26C3C">
            <w:pPr>
              <w:jc w:val="right"/>
              <w:rPr>
                <w:rFonts w:ascii="Arial" w:hAnsi="Arial" w:cs="Arial"/>
                <w:bCs/>
                <w:sz w:val="16"/>
                <w:szCs w:val="16"/>
                <w:lang w:eastAsia="es-AR"/>
              </w:rPr>
            </w:pPr>
            <w:r w:rsidRPr="005B6501">
              <w:rPr>
                <w:rFonts w:ascii="Arial" w:hAnsi="Arial" w:cs="Arial"/>
                <w:sz w:val="16"/>
                <w:szCs w:val="16"/>
              </w:rPr>
              <w:t>-11.33</w:t>
            </w:r>
            <w:r w:rsidR="00C74191" w:rsidRPr="005B6501">
              <w:rPr>
                <w:rFonts w:ascii="Arial" w:hAnsi="Arial" w:cs="Arial"/>
                <w:sz w:val="16"/>
                <w:szCs w:val="16"/>
              </w:rPr>
              <w:t>2</w:t>
            </w:r>
            <w:r w:rsidRPr="005B6501">
              <w:rPr>
                <w:rFonts w:ascii="Arial" w:hAnsi="Arial" w:cs="Arial"/>
                <w:sz w:val="16"/>
                <w:szCs w:val="16"/>
              </w:rPr>
              <w:t xml:space="preserve"> </w:t>
            </w:r>
          </w:p>
        </w:tc>
        <w:tc>
          <w:tcPr>
            <w:tcW w:w="1920" w:type="dxa"/>
            <w:tcBorders>
              <w:top w:val="nil"/>
              <w:left w:val="nil"/>
              <w:bottom w:val="single" w:sz="4" w:space="0" w:color="auto"/>
              <w:right w:val="single" w:sz="4" w:space="0" w:color="auto"/>
            </w:tcBorders>
            <w:shd w:val="clear" w:color="000000" w:fill="FFFFFF"/>
            <w:noWrap/>
            <w:vAlign w:val="bottom"/>
            <w:hideMark/>
          </w:tcPr>
          <w:p w14:paraId="78E13389" w14:textId="39AAA4EC" w:rsidR="00D26C3C" w:rsidRPr="005B6501" w:rsidRDefault="00C74191" w:rsidP="00D26C3C">
            <w:pPr>
              <w:jc w:val="right"/>
              <w:rPr>
                <w:rFonts w:ascii="Arial" w:hAnsi="Arial" w:cs="Arial"/>
                <w:bCs/>
                <w:sz w:val="16"/>
                <w:szCs w:val="16"/>
                <w:lang w:eastAsia="es-AR"/>
              </w:rPr>
            </w:pPr>
            <w:r w:rsidRPr="005B6501">
              <w:rPr>
                <w:rFonts w:ascii="Arial" w:hAnsi="Arial" w:cs="Arial"/>
                <w:sz w:val="16"/>
                <w:szCs w:val="16"/>
              </w:rPr>
              <w:t>3.142.191</w:t>
            </w:r>
          </w:p>
        </w:tc>
        <w:tc>
          <w:tcPr>
            <w:tcW w:w="1219" w:type="dxa"/>
            <w:tcBorders>
              <w:top w:val="nil"/>
              <w:left w:val="nil"/>
              <w:bottom w:val="single" w:sz="4" w:space="0" w:color="auto"/>
              <w:right w:val="single" w:sz="4" w:space="0" w:color="auto"/>
            </w:tcBorders>
            <w:shd w:val="clear" w:color="000000" w:fill="FFFFFF"/>
            <w:noWrap/>
            <w:vAlign w:val="bottom"/>
            <w:hideMark/>
          </w:tcPr>
          <w:p w14:paraId="728314F7" w14:textId="62260801" w:rsidR="00D26C3C" w:rsidRPr="005B6501" w:rsidRDefault="00D26C3C" w:rsidP="00D26C3C">
            <w:pPr>
              <w:jc w:val="right"/>
              <w:rPr>
                <w:rFonts w:ascii="Arial" w:hAnsi="Arial" w:cs="Arial"/>
                <w:b/>
                <w:bCs/>
                <w:sz w:val="16"/>
                <w:szCs w:val="16"/>
                <w:lang w:eastAsia="es-AR"/>
              </w:rPr>
            </w:pPr>
            <w:r w:rsidRPr="005B6501">
              <w:rPr>
                <w:rFonts w:ascii="Arial" w:hAnsi="Arial" w:cs="Arial"/>
                <w:sz w:val="16"/>
                <w:szCs w:val="16"/>
              </w:rPr>
              <w:t xml:space="preserve"> 3.213.223 </w:t>
            </w:r>
          </w:p>
        </w:tc>
      </w:tr>
      <w:tr w:rsidR="00D26C3C" w:rsidRPr="005B6501" w14:paraId="3B0F560A"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7F941A93" w14:textId="77777777" w:rsidR="00D26C3C" w:rsidRPr="005B6501" w:rsidRDefault="00D26C3C" w:rsidP="00D26C3C">
            <w:pPr>
              <w:rPr>
                <w:rFonts w:ascii="Arial" w:hAnsi="Arial" w:cs="Arial"/>
                <w:sz w:val="16"/>
                <w:szCs w:val="16"/>
                <w:lang w:eastAsia="es-AR"/>
              </w:rPr>
            </w:pPr>
            <w:r w:rsidRPr="005B6501">
              <w:rPr>
                <w:rFonts w:ascii="Arial" w:hAnsi="Arial" w:cs="Arial"/>
                <w:sz w:val="16"/>
                <w:szCs w:val="16"/>
              </w:rPr>
              <w:t xml:space="preserve">   Sector privado no financiero y residentes en el exterior </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6FCC6872" w14:textId="679EF2DA" w:rsidR="00D26C3C" w:rsidRPr="005B6501" w:rsidRDefault="002B77C5" w:rsidP="00D26C3C">
            <w:pPr>
              <w:jc w:val="right"/>
              <w:rPr>
                <w:rFonts w:ascii="Arial" w:hAnsi="Arial" w:cs="Arial"/>
                <w:bCs/>
                <w:sz w:val="16"/>
                <w:szCs w:val="16"/>
                <w:lang w:eastAsia="es-AR"/>
              </w:rPr>
            </w:pPr>
            <w:r w:rsidRPr="002B77C5">
              <w:rPr>
                <w:rFonts w:ascii="Arial" w:hAnsi="Arial" w:cs="Arial"/>
                <w:sz w:val="16"/>
                <w:szCs w:val="16"/>
              </w:rPr>
              <w:t>47.568.314</w:t>
            </w:r>
          </w:p>
        </w:tc>
        <w:tc>
          <w:tcPr>
            <w:tcW w:w="1742" w:type="dxa"/>
            <w:tcBorders>
              <w:top w:val="nil"/>
              <w:left w:val="nil"/>
              <w:bottom w:val="single" w:sz="4" w:space="0" w:color="auto"/>
              <w:right w:val="single" w:sz="4" w:space="0" w:color="auto"/>
            </w:tcBorders>
            <w:shd w:val="clear" w:color="000000" w:fill="FFFFFF"/>
            <w:noWrap/>
            <w:vAlign w:val="bottom"/>
            <w:hideMark/>
          </w:tcPr>
          <w:p w14:paraId="0FCFBEC0" w14:textId="7F4F8A74" w:rsidR="00D26C3C" w:rsidRPr="005B6501" w:rsidRDefault="002B77C5" w:rsidP="00D26C3C">
            <w:pPr>
              <w:jc w:val="right"/>
              <w:rPr>
                <w:rFonts w:ascii="Arial" w:hAnsi="Arial" w:cs="Arial"/>
                <w:bCs/>
                <w:sz w:val="16"/>
                <w:szCs w:val="16"/>
                <w:lang w:eastAsia="es-AR"/>
              </w:rPr>
            </w:pPr>
            <w:r w:rsidRPr="002B77C5">
              <w:rPr>
                <w:rFonts w:ascii="Arial" w:hAnsi="Arial" w:cs="Arial"/>
                <w:sz w:val="16"/>
                <w:szCs w:val="16"/>
              </w:rPr>
              <w:t>54.973.340</w:t>
            </w:r>
          </w:p>
        </w:tc>
        <w:tc>
          <w:tcPr>
            <w:tcW w:w="1920" w:type="dxa"/>
            <w:tcBorders>
              <w:top w:val="nil"/>
              <w:left w:val="nil"/>
              <w:bottom w:val="single" w:sz="4" w:space="0" w:color="auto"/>
              <w:right w:val="single" w:sz="4" w:space="0" w:color="auto"/>
            </w:tcBorders>
            <w:shd w:val="clear" w:color="000000" w:fill="FFFFFF"/>
            <w:noWrap/>
            <w:vAlign w:val="bottom"/>
            <w:hideMark/>
          </w:tcPr>
          <w:p w14:paraId="2FD57D6E" w14:textId="09359EBD" w:rsidR="00D26C3C" w:rsidRPr="005B6501" w:rsidRDefault="00C74191" w:rsidP="00D26C3C">
            <w:pPr>
              <w:jc w:val="right"/>
              <w:rPr>
                <w:rFonts w:ascii="Arial" w:hAnsi="Arial" w:cs="Arial"/>
                <w:bCs/>
                <w:sz w:val="16"/>
                <w:szCs w:val="16"/>
                <w:lang w:val="es-ES_tradnl" w:eastAsia="es-AR"/>
              </w:rPr>
            </w:pPr>
            <w:r w:rsidRPr="005B6501">
              <w:rPr>
                <w:rFonts w:ascii="Arial" w:hAnsi="Arial" w:cs="Arial"/>
                <w:sz w:val="16"/>
                <w:szCs w:val="16"/>
              </w:rPr>
              <w:t>3.248.896</w:t>
            </w:r>
          </w:p>
        </w:tc>
        <w:tc>
          <w:tcPr>
            <w:tcW w:w="1219" w:type="dxa"/>
            <w:tcBorders>
              <w:top w:val="nil"/>
              <w:left w:val="nil"/>
              <w:bottom w:val="single" w:sz="4" w:space="0" w:color="auto"/>
              <w:right w:val="single" w:sz="4" w:space="0" w:color="auto"/>
            </w:tcBorders>
            <w:shd w:val="clear" w:color="000000" w:fill="FFFFFF"/>
            <w:noWrap/>
            <w:vAlign w:val="bottom"/>
            <w:hideMark/>
          </w:tcPr>
          <w:p w14:paraId="2C39A8D9" w14:textId="69175D99" w:rsidR="00D26C3C" w:rsidRPr="005B6501" w:rsidRDefault="00C74191" w:rsidP="00D26C3C">
            <w:pPr>
              <w:jc w:val="right"/>
              <w:rPr>
                <w:rFonts w:ascii="Arial" w:hAnsi="Arial" w:cs="Arial"/>
                <w:b/>
                <w:bCs/>
                <w:sz w:val="16"/>
                <w:szCs w:val="16"/>
                <w:lang w:eastAsia="es-AR"/>
              </w:rPr>
            </w:pPr>
            <w:r w:rsidRPr="005B6501">
              <w:rPr>
                <w:rFonts w:ascii="Arial" w:hAnsi="Arial" w:cs="Arial"/>
                <w:sz w:val="16"/>
                <w:szCs w:val="16"/>
              </w:rPr>
              <w:t xml:space="preserve">105.790.550 </w:t>
            </w:r>
            <w:r w:rsidR="00D26C3C" w:rsidRPr="005B6501">
              <w:rPr>
                <w:rFonts w:ascii="Arial" w:hAnsi="Arial" w:cs="Arial"/>
                <w:sz w:val="16"/>
                <w:szCs w:val="16"/>
              </w:rPr>
              <w:t xml:space="preserve"> </w:t>
            </w:r>
          </w:p>
        </w:tc>
      </w:tr>
      <w:tr w:rsidR="00D26C3C" w:rsidRPr="005B6501" w14:paraId="1F1D2CC1" w14:textId="77777777" w:rsidTr="00BA7A6B">
        <w:trPr>
          <w:trHeight w:val="271"/>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566482DE" w14:textId="77777777" w:rsidR="00D26C3C" w:rsidRPr="005B6501" w:rsidRDefault="00D26C3C" w:rsidP="00D26C3C">
            <w:pPr>
              <w:rPr>
                <w:rFonts w:ascii="Arial" w:hAnsi="Arial" w:cs="Arial"/>
                <w:b/>
                <w:sz w:val="16"/>
                <w:szCs w:val="16"/>
                <w:lang w:eastAsia="es-AR"/>
              </w:rPr>
            </w:pPr>
            <w:r w:rsidRPr="005B6501">
              <w:rPr>
                <w:rFonts w:ascii="Arial" w:hAnsi="Arial" w:cs="Arial"/>
                <w:b/>
                <w:sz w:val="16"/>
                <w:szCs w:val="16"/>
              </w:rPr>
              <w:t>Otros títulos de deuda</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68FD5231" w14:textId="7A205566"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59470FF2" w14:textId="52F5678E"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163B9135" w14:textId="314A15F3"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4.871.637 </w:t>
            </w:r>
          </w:p>
        </w:tc>
        <w:tc>
          <w:tcPr>
            <w:tcW w:w="1219" w:type="dxa"/>
            <w:tcBorders>
              <w:top w:val="nil"/>
              <w:left w:val="nil"/>
              <w:bottom w:val="single" w:sz="4" w:space="0" w:color="auto"/>
              <w:right w:val="single" w:sz="4" w:space="0" w:color="auto"/>
            </w:tcBorders>
            <w:shd w:val="clear" w:color="000000" w:fill="FFFFFF"/>
            <w:noWrap/>
            <w:vAlign w:val="bottom"/>
            <w:hideMark/>
          </w:tcPr>
          <w:p w14:paraId="063E4D03" w14:textId="5B4A669D"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4.871.637 </w:t>
            </w:r>
          </w:p>
        </w:tc>
      </w:tr>
      <w:tr w:rsidR="00D26C3C" w:rsidRPr="005B6501" w14:paraId="6FEA0896"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3D4AB896"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lastRenderedPageBreak/>
              <w:t>Activos financieros entregados en garantía</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76982F7A" w14:textId="6BB8E460"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5.163 </w:t>
            </w:r>
          </w:p>
        </w:tc>
        <w:tc>
          <w:tcPr>
            <w:tcW w:w="1742" w:type="dxa"/>
            <w:tcBorders>
              <w:top w:val="nil"/>
              <w:left w:val="nil"/>
              <w:bottom w:val="single" w:sz="4" w:space="0" w:color="auto"/>
              <w:right w:val="single" w:sz="4" w:space="0" w:color="auto"/>
            </w:tcBorders>
            <w:shd w:val="clear" w:color="000000" w:fill="FFFFFF"/>
            <w:noWrap/>
            <w:vAlign w:val="bottom"/>
            <w:hideMark/>
          </w:tcPr>
          <w:p w14:paraId="4762451E" w14:textId="32C4082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424.038 </w:t>
            </w:r>
          </w:p>
        </w:tc>
        <w:tc>
          <w:tcPr>
            <w:tcW w:w="1920" w:type="dxa"/>
            <w:tcBorders>
              <w:top w:val="nil"/>
              <w:left w:val="nil"/>
              <w:bottom w:val="single" w:sz="4" w:space="0" w:color="auto"/>
              <w:right w:val="single" w:sz="4" w:space="0" w:color="auto"/>
            </w:tcBorders>
            <w:shd w:val="clear" w:color="000000" w:fill="FFFFFF"/>
            <w:noWrap/>
            <w:vAlign w:val="bottom"/>
            <w:hideMark/>
          </w:tcPr>
          <w:p w14:paraId="20027C06" w14:textId="4324C6C6"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6.609.401 </w:t>
            </w:r>
          </w:p>
        </w:tc>
        <w:tc>
          <w:tcPr>
            <w:tcW w:w="1219" w:type="dxa"/>
            <w:tcBorders>
              <w:top w:val="nil"/>
              <w:left w:val="nil"/>
              <w:bottom w:val="single" w:sz="4" w:space="0" w:color="auto"/>
              <w:right w:val="single" w:sz="4" w:space="0" w:color="auto"/>
            </w:tcBorders>
            <w:shd w:val="clear" w:color="000000" w:fill="FFFFFF"/>
            <w:noWrap/>
            <w:vAlign w:val="bottom"/>
            <w:hideMark/>
          </w:tcPr>
          <w:p w14:paraId="1A5CA9C7" w14:textId="5EF29A8F"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7.038.602 </w:t>
            </w:r>
          </w:p>
        </w:tc>
      </w:tr>
      <w:tr w:rsidR="00D26C3C" w:rsidRPr="005B6501" w14:paraId="2BD62DF7" w14:textId="77777777" w:rsidTr="00BA7A6B">
        <w:trPr>
          <w:trHeight w:val="3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005865C5"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Activos por impuestos a las ganancias corriente</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5A44F308" w14:textId="1E4CA9EA"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222C6A27" w14:textId="1024E214"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1CF11FC7" w14:textId="4C62CC50" w:rsidR="00D26C3C" w:rsidRPr="005B6501" w:rsidRDefault="00D26C3C" w:rsidP="00D26C3C">
            <w:pPr>
              <w:jc w:val="right"/>
              <w:rPr>
                <w:rFonts w:ascii="Arial" w:hAnsi="Arial" w:cs="Arial"/>
                <w:b/>
                <w:bCs/>
                <w:sz w:val="16"/>
                <w:szCs w:val="16"/>
                <w:lang w:val="es-ES_tradnl" w:eastAsia="es-AR"/>
              </w:rPr>
            </w:pPr>
            <w:r w:rsidRPr="005B6501">
              <w:rPr>
                <w:rFonts w:ascii="Arial" w:hAnsi="Arial" w:cs="Arial"/>
                <w:b/>
                <w:sz w:val="16"/>
                <w:szCs w:val="16"/>
              </w:rPr>
              <w:t xml:space="preserve"> 858.715 </w:t>
            </w:r>
          </w:p>
        </w:tc>
        <w:tc>
          <w:tcPr>
            <w:tcW w:w="1219" w:type="dxa"/>
            <w:tcBorders>
              <w:top w:val="nil"/>
              <w:left w:val="nil"/>
              <w:bottom w:val="single" w:sz="4" w:space="0" w:color="auto"/>
              <w:right w:val="single" w:sz="4" w:space="0" w:color="auto"/>
            </w:tcBorders>
            <w:shd w:val="clear" w:color="000000" w:fill="FFFFFF"/>
            <w:noWrap/>
            <w:vAlign w:val="bottom"/>
            <w:hideMark/>
          </w:tcPr>
          <w:p w14:paraId="695CE550" w14:textId="419A546B"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858.715 </w:t>
            </w:r>
          </w:p>
        </w:tc>
      </w:tr>
      <w:tr w:rsidR="00D26C3C" w:rsidRPr="005B6501" w14:paraId="480D987B" w14:textId="77777777" w:rsidTr="00BA7A6B">
        <w:trPr>
          <w:trHeight w:val="286"/>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52AE38E4"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Inversiones en instrumentos de patrimonio</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00C96CB5" w14:textId="0B9D2ED6"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2.18</w:t>
            </w:r>
            <w:r w:rsidR="00DE5129">
              <w:rPr>
                <w:rFonts w:ascii="Arial" w:hAnsi="Arial" w:cs="Arial"/>
                <w:b/>
                <w:sz w:val="16"/>
                <w:szCs w:val="16"/>
              </w:rPr>
              <w:t>3</w:t>
            </w:r>
            <w:r w:rsidRPr="005B6501">
              <w:rPr>
                <w:rFonts w:ascii="Arial" w:hAnsi="Arial" w:cs="Arial"/>
                <w:b/>
                <w:sz w:val="16"/>
                <w:szCs w:val="16"/>
              </w:rPr>
              <w:t xml:space="preserve"> </w:t>
            </w:r>
          </w:p>
        </w:tc>
        <w:tc>
          <w:tcPr>
            <w:tcW w:w="1742" w:type="dxa"/>
            <w:tcBorders>
              <w:top w:val="nil"/>
              <w:left w:val="nil"/>
              <w:bottom w:val="single" w:sz="4" w:space="0" w:color="auto"/>
              <w:right w:val="single" w:sz="4" w:space="0" w:color="auto"/>
            </w:tcBorders>
            <w:shd w:val="clear" w:color="000000" w:fill="FFFFFF"/>
            <w:noWrap/>
            <w:vAlign w:val="bottom"/>
            <w:hideMark/>
          </w:tcPr>
          <w:p w14:paraId="4A5C021E" w14:textId="708EED1D"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10.783 </w:t>
            </w:r>
          </w:p>
        </w:tc>
        <w:tc>
          <w:tcPr>
            <w:tcW w:w="1920" w:type="dxa"/>
            <w:tcBorders>
              <w:top w:val="nil"/>
              <w:left w:val="nil"/>
              <w:bottom w:val="single" w:sz="4" w:space="0" w:color="auto"/>
              <w:right w:val="single" w:sz="4" w:space="0" w:color="auto"/>
            </w:tcBorders>
            <w:shd w:val="clear" w:color="000000" w:fill="FFFFFF"/>
            <w:noWrap/>
            <w:vAlign w:val="bottom"/>
            <w:hideMark/>
          </w:tcPr>
          <w:p w14:paraId="46CA12BD" w14:textId="406EA57A"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1.96</w:t>
            </w:r>
            <w:r w:rsidR="00C74191" w:rsidRPr="005B6501">
              <w:rPr>
                <w:rFonts w:ascii="Arial" w:hAnsi="Arial" w:cs="Arial"/>
                <w:b/>
                <w:sz w:val="16"/>
                <w:szCs w:val="16"/>
              </w:rPr>
              <w:t>1</w:t>
            </w:r>
            <w:r w:rsidRPr="005B6501">
              <w:rPr>
                <w:rFonts w:ascii="Arial" w:hAnsi="Arial" w:cs="Arial"/>
                <w:b/>
                <w:sz w:val="16"/>
                <w:szCs w:val="16"/>
              </w:rPr>
              <w:t xml:space="preserve"> </w:t>
            </w:r>
          </w:p>
        </w:tc>
        <w:tc>
          <w:tcPr>
            <w:tcW w:w="1219" w:type="dxa"/>
            <w:tcBorders>
              <w:top w:val="nil"/>
              <w:left w:val="nil"/>
              <w:bottom w:val="single" w:sz="4" w:space="0" w:color="auto"/>
              <w:right w:val="single" w:sz="4" w:space="0" w:color="auto"/>
            </w:tcBorders>
            <w:shd w:val="clear" w:color="000000" w:fill="FFFFFF"/>
            <w:noWrap/>
            <w:vAlign w:val="bottom"/>
            <w:hideMark/>
          </w:tcPr>
          <w:p w14:paraId="513DB9CC" w14:textId="45CD7460"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14.927 </w:t>
            </w:r>
          </w:p>
        </w:tc>
      </w:tr>
      <w:tr w:rsidR="00D26C3C" w:rsidRPr="005B6501" w14:paraId="36091E44" w14:textId="77777777" w:rsidTr="00BA7A6B">
        <w:trPr>
          <w:trHeight w:val="227"/>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4C9F8A90"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Inversión en subsidiarias, asociadas y negocios conjuntos</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1F939506" w14:textId="7777777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7BC8D16E" w14:textId="7777777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62176963" w14:textId="3D84E3B2"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2.954.037 </w:t>
            </w:r>
          </w:p>
        </w:tc>
        <w:tc>
          <w:tcPr>
            <w:tcW w:w="1219" w:type="dxa"/>
            <w:tcBorders>
              <w:top w:val="nil"/>
              <w:left w:val="nil"/>
              <w:bottom w:val="single" w:sz="4" w:space="0" w:color="auto"/>
              <w:right w:val="single" w:sz="4" w:space="0" w:color="auto"/>
            </w:tcBorders>
            <w:shd w:val="clear" w:color="000000" w:fill="FFFFFF"/>
            <w:noWrap/>
            <w:vAlign w:val="bottom"/>
            <w:hideMark/>
          </w:tcPr>
          <w:p w14:paraId="3732E1B1" w14:textId="1C2A911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2.954.037 </w:t>
            </w:r>
          </w:p>
        </w:tc>
      </w:tr>
      <w:tr w:rsidR="00D26C3C" w:rsidRPr="005B6501" w14:paraId="644F6313" w14:textId="77777777" w:rsidTr="00BA7A6B">
        <w:trPr>
          <w:trHeight w:val="279"/>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16DADDD0"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Propiedad, planta y equipo</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657C367F" w14:textId="7777777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6943A058" w14:textId="7777777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626B339F" w14:textId="109934B1"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3.109.462 </w:t>
            </w:r>
          </w:p>
        </w:tc>
        <w:tc>
          <w:tcPr>
            <w:tcW w:w="1219" w:type="dxa"/>
            <w:tcBorders>
              <w:top w:val="nil"/>
              <w:left w:val="nil"/>
              <w:bottom w:val="single" w:sz="4" w:space="0" w:color="auto"/>
              <w:right w:val="single" w:sz="4" w:space="0" w:color="auto"/>
            </w:tcBorders>
            <w:shd w:val="clear" w:color="000000" w:fill="FFFFFF"/>
            <w:noWrap/>
            <w:vAlign w:val="bottom"/>
            <w:hideMark/>
          </w:tcPr>
          <w:p w14:paraId="45A84AEE" w14:textId="39073E8E"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3.109.462 </w:t>
            </w:r>
          </w:p>
        </w:tc>
      </w:tr>
      <w:tr w:rsidR="00D26C3C" w:rsidRPr="005B6501" w14:paraId="50374F20"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5498CF34"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Activos intangibles</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0551EF09" w14:textId="7777777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334BEA63" w14:textId="77777777"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026BA1B3" w14:textId="668EACE9"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900.090 </w:t>
            </w:r>
          </w:p>
        </w:tc>
        <w:tc>
          <w:tcPr>
            <w:tcW w:w="1219" w:type="dxa"/>
            <w:tcBorders>
              <w:top w:val="nil"/>
              <w:left w:val="nil"/>
              <w:bottom w:val="single" w:sz="4" w:space="0" w:color="auto"/>
              <w:right w:val="single" w:sz="4" w:space="0" w:color="auto"/>
            </w:tcBorders>
            <w:shd w:val="clear" w:color="000000" w:fill="FFFFFF"/>
            <w:noWrap/>
            <w:vAlign w:val="bottom"/>
            <w:hideMark/>
          </w:tcPr>
          <w:p w14:paraId="7626F94F" w14:textId="423F1EF6"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900.090 </w:t>
            </w:r>
          </w:p>
        </w:tc>
      </w:tr>
      <w:tr w:rsidR="00D26C3C" w:rsidRPr="005B6501" w14:paraId="396CE7A1"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74E3601B"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Activos por impuesto a las ganancias diferido</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51EAD1B6" w14:textId="70CB8B23"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hideMark/>
          </w:tcPr>
          <w:p w14:paraId="387C0E28" w14:textId="2BD92725" w:rsidR="00D26C3C" w:rsidRPr="005B6501" w:rsidRDefault="00D26C3C" w:rsidP="00D26C3C">
            <w:pPr>
              <w:jc w:val="right"/>
              <w:rPr>
                <w:rFonts w:ascii="Arial" w:hAnsi="Arial" w:cs="Arial"/>
                <w:b/>
                <w:bCs/>
                <w:sz w:val="16"/>
                <w:szCs w:val="16"/>
                <w:lang w:eastAsia="es-AR"/>
              </w:rPr>
            </w:pPr>
            <w:r w:rsidRPr="005B6501">
              <w:rPr>
                <w:rFonts w:ascii="Arial" w:hAnsi="Arial" w:cs="Arial"/>
                <w:b/>
                <w:sz w:val="16"/>
                <w:szCs w:val="16"/>
              </w:rPr>
              <w:t xml:space="preserve"> -   </w:t>
            </w:r>
          </w:p>
        </w:tc>
        <w:tc>
          <w:tcPr>
            <w:tcW w:w="1920" w:type="dxa"/>
            <w:tcBorders>
              <w:top w:val="nil"/>
              <w:left w:val="nil"/>
              <w:bottom w:val="single" w:sz="4" w:space="0" w:color="auto"/>
              <w:right w:val="single" w:sz="4" w:space="0" w:color="auto"/>
            </w:tcBorders>
            <w:shd w:val="clear" w:color="000000" w:fill="FFFFFF"/>
            <w:noWrap/>
            <w:vAlign w:val="bottom"/>
            <w:hideMark/>
          </w:tcPr>
          <w:p w14:paraId="0A37E29C" w14:textId="7F887FF1"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425.088 </w:t>
            </w:r>
          </w:p>
        </w:tc>
        <w:tc>
          <w:tcPr>
            <w:tcW w:w="1219" w:type="dxa"/>
            <w:tcBorders>
              <w:top w:val="nil"/>
              <w:left w:val="nil"/>
              <w:bottom w:val="single" w:sz="4" w:space="0" w:color="auto"/>
              <w:right w:val="single" w:sz="4" w:space="0" w:color="auto"/>
            </w:tcBorders>
            <w:shd w:val="clear" w:color="000000" w:fill="FFFFFF"/>
            <w:noWrap/>
            <w:vAlign w:val="bottom"/>
            <w:hideMark/>
          </w:tcPr>
          <w:p w14:paraId="1CFD387D" w14:textId="70D90B70"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425.088 </w:t>
            </w:r>
          </w:p>
        </w:tc>
      </w:tr>
      <w:tr w:rsidR="00D26C3C" w:rsidRPr="005B6501" w14:paraId="7B65E7E8" w14:textId="77777777" w:rsidTr="00BA7A6B">
        <w:trPr>
          <w:trHeight w:val="241"/>
          <w:jc w:val="center"/>
        </w:trPr>
        <w:tc>
          <w:tcPr>
            <w:tcW w:w="3871" w:type="dxa"/>
            <w:tcBorders>
              <w:top w:val="nil"/>
              <w:left w:val="single" w:sz="4" w:space="0" w:color="auto"/>
              <w:bottom w:val="single" w:sz="4" w:space="0" w:color="363639"/>
              <w:right w:val="single" w:sz="4" w:space="0" w:color="363639"/>
            </w:tcBorders>
            <w:shd w:val="clear" w:color="000000" w:fill="FFFFFF"/>
            <w:vAlign w:val="bottom"/>
            <w:hideMark/>
          </w:tcPr>
          <w:p w14:paraId="21FEEBA0"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Otros activos no financieros</w:t>
            </w:r>
          </w:p>
        </w:tc>
        <w:tc>
          <w:tcPr>
            <w:tcW w:w="1742" w:type="dxa"/>
            <w:tcBorders>
              <w:top w:val="nil"/>
              <w:left w:val="single" w:sz="4" w:space="0" w:color="auto"/>
              <w:bottom w:val="single" w:sz="4" w:space="0" w:color="auto"/>
              <w:right w:val="single" w:sz="4" w:space="0" w:color="auto"/>
            </w:tcBorders>
            <w:shd w:val="clear" w:color="000000" w:fill="FFFFFF"/>
            <w:noWrap/>
            <w:vAlign w:val="bottom"/>
            <w:hideMark/>
          </w:tcPr>
          <w:p w14:paraId="4BA20E53" w14:textId="6D2AE84B"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937.977 </w:t>
            </w:r>
          </w:p>
        </w:tc>
        <w:tc>
          <w:tcPr>
            <w:tcW w:w="1742" w:type="dxa"/>
            <w:tcBorders>
              <w:top w:val="nil"/>
              <w:left w:val="nil"/>
              <w:bottom w:val="single" w:sz="4" w:space="0" w:color="auto"/>
              <w:right w:val="single" w:sz="4" w:space="0" w:color="auto"/>
            </w:tcBorders>
            <w:shd w:val="clear" w:color="000000" w:fill="FFFFFF"/>
            <w:noWrap/>
            <w:vAlign w:val="bottom"/>
            <w:hideMark/>
          </w:tcPr>
          <w:p w14:paraId="230C5EA5" w14:textId="074E85F9"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889.842 </w:t>
            </w:r>
          </w:p>
        </w:tc>
        <w:tc>
          <w:tcPr>
            <w:tcW w:w="1920" w:type="dxa"/>
            <w:tcBorders>
              <w:top w:val="nil"/>
              <w:left w:val="nil"/>
              <w:bottom w:val="single" w:sz="4" w:space="0" w:color="auto"/>
              <w:right w:val="single" w:sz="4" w:space="0" w:color="auto"/>
            </w:tcBorders>
            <w:shd w:val="clear" w:color="000000" w:fill="FFFFFF"/>
            <w:noWrap/>
            <w:vAlign w:val="bottom"/>
            <w:hideMark/>
          </w:tcPr>
          <w:p w14:paraId="2C97A746" w14:textId="5B5FA712"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1.799.899 </w:t>
            </w:r>
          </w:p>
        </w:tc>
        <w:tc>
          <w:tcPr>
            <w:tcW w:w="1219" w:type="dxa"/>
            <w:tcBorders>
              <w:top w:val="nil"/>
              <w:left w:val="nil"/>
              <w:bottom w:val="single" w:sz="4" w:space="0" w:color="auto"/>
              <w:right w:val="single" w:sz="4" w:space="0" w:color="auto"/>
            </w:tcBorders>
            <w:shd w:val="clear" w:color="000000" w:fill="FFFFFF"/>
            <w:noWrap/>
            <w:vAlign w:val="bottom"/>
            <w:hideMark/>
          </w:tcPr>
          <w:p w14:paraId="50F8FF45" w14:textId="3344BD8B"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3.627.718 </w:t>
            </w:r>
          </w:p>
        </w:tc>
      </w:tr>
      <w:tr w:rsidR="00D26C3C" w:rsidRPr="005B6501" w14:paraId="36F0B923" w14:textId="77777777" w:rsidTr="00BA7A6B">
        <w:trPr>
          <w:trHeight w:val="241"/>
          <w:jc w:val="center"/>
        </w:trPr>
        <w:tc>
          <w:tcPr>
            <w:tcW w:w="3871" w:type="dxa"/>
            <w:tcBorders>
              <w:top w:val="nil"/>
              <w:left w:val="single" w:sz="4" w:space="0" w:color="auto"/>
              <w:bottom w:val="single" w:sz="4" w:space="0" w:color="363639"/>
              <w:right w:val="single" w:sz="4" w:space="0" w:color="363639"/>
            </w:tcBorders>
            <w:shd w:val="clear" w:color="000000" w:fill="FFFFFF"/>
            <w:vAlign w:val="bottom"/>
          </w:tcPr>
          <w:p w14:paraId="310442F7" w14:textId="31E20282" w:rsidR="00D26C3C" w:rsidRPr="005B6501" w:rsidRDefault="00D26C3C" w:rsidP="00D26C3C">
            <w:pPr>
              <w:rPr>
                <w:rFonts w:ascii="Arial" w:hAnsi="Arial" w:cs="Arial"/>
                <w:b/>
                <w:sz w:val="16"/>
                <w:szCs w:val="16"/>
              </w:rPr>
            </w:pPr>
            <w:r w:rsidRPr="005B6501">
              <w:rPr>
                <w:rFonts w:ascii="Arial" w:hAnsi="Arial" w:cs="Arial"/>
                <w:b/>
                <w:sz w:val="16"/>
                <w:szCs w:val="16"/>
              </w:rPr>
              <w:t>Activos no corrientes mantenidos para la venta</w:t>
            </w:r>
          </w:p>
        </w:tc>
        <w:tc>
          <w:tcPr>
            <w:tcW w:w="1742" w:type="dxa"/>
            <w:tcBorders>
              <w:top w:val="nil"/>
              <w:left w:val="single" w:sz="4" w:space="0" w:color="auto"/>
              <w:bottom w:val="single" w:sz="4" w:space="0" w:color="auto"/>
              <w:right w:val="single" w:sz="4" w:space="0" w:color="auto"/>
            </w:tcBorders>
            <w:shd w:val="clear" w:color="000000" w:fill="FFFFFF"/>
            <w:noWrap/>
            <w:vAlign w:val="bottom"/>
          </w:tcPr>
          <w:p w14:paraId="0B89CE48" w14:textId="6F283D8F"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   </w:t>
            </w:r>
          </w:p>
        </w:tc>
        <w:tc>
          <w:tcPr>
            <w:tcW w:w="1742" w:type="dxa"/>
            <w:tcBorders>
              <w:top w:val="nil"/>
              <w:left w:val="nil"/>
              <w:bottom w:val="single" w:sz="4" w:space="0" w:color="auto"/>
              <w:right w:val="single" w:sz="4" w:space="0" w:color="auto"/>
            </w:tcBorders>
            <w:shd w:val="clear" w:color="000000" w:fill="FFFFFF"/>
            <w:noWrap/>
            <w:vAlign w:val="bottom"/>
          </w:tcPr>
          <w:p w14:paraId="40BB5DBF" w14:textId="75CE7C66"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4.644 </w:t>
            </w:r>
          </w:p>
        </w:tc>
        <w:tc>
          <w:tcPr>
            <w:tcW w:w="1920" w:type="dxa"/>
            <w:tcBorders>
              <w:top w:val="nil"/>
              <w:left w:val="nil"/>
              <w:bottom w:val="single" w:sz="4" w:space="0" w:color="auto"/>
              <w:right w:val="single" w:sz="4" w:space="0" w:color="auto"/>
            </w:tcBorders>
            <w:shd w:val="clear" w:color="000000" w:fill="FFFFFF"/>
            <w:noWrap/>
            <w:vAlign w:val="bottom"/>
          </w:tcPr>
          <w:p w14:paraId="6F084E10" w14:textId="0D87532A"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   </w:t>
            </w:r>
          </w:p>
        </w:tc>
        <w:tc>
          <w:tcPr>
            <w:tcW w:w="1219" w:type="dxa"/>
            <w:tcBorders>
              <w:top w:val="nil"/>
              <w:left w:val="nil"/>
              <w:bottom w:val="single" w:sz="4" w:space="0" w:color="auto"/>
              <w:right w:val="single" w:sz="4" w:space="0" w:color="auto"/>
            </w:tcBorders>
            <w:shd w:val="clear" w:color="000000" w:fill="FFFFFF"/>
            <w:noWrap/>
            <w:vAlign w:val="bottom"/>
          </w:tcPr>
          <w:p w14:paraId="2CA7A84F" w14:textId="1B8E1A59" w:rsidR="00D26C3C" w:rsidRPr="005B6501" w:rsidRDefault="00D26C3C" w:rsidP="00D26C3C">
            <w:pPr>
              <w:jc w:val="right"/>
              <w:rPr>
                <w:rFonts w:ascii="Arial" w:hAnsi="Arial" w:cs="Arial"/>
                <w:b/>
                <w:sz w:val="16"/>
                <w:szCs w:val="16"/>
              </w:rPr>
            </w:pPr>
            <w:r w:rsidRPr="005B6501">
              <w:rPr>
                <w:rFonts w:ascii="Arial" w:hAnsi="Arial" w:cs="Arial"/>
                <w:b/>
                <w:sz w:val="16"/>
                <w:szCs w:val="16"/>
              </w:rPr>
              <w:t xml:space="preserve"> 4.644 </w:t>
            </w:r>
          </w:p>
        </w:tc>
      </w:tr>
      <w:tr w:rsidR="00D26C3C" w:rsidRPr="005B6501" w14:paraId="51BE7A83" w14:textId="77777777" w:rsidTr="00BA7A6B">
        <w:trPr>
          <w:trHeight w:val="213"/>
          <w:jc w:val="center"/>
        </w:trPr>
        <w:tc>
          <w:tcPr>
            <w:tcW w:w="3871" w:type="dxa"/>
            <w:tcBorders>
              <w:top w:val="nil"/>
              <w:left w:val="single" w:sz="4" w:space="0" w:color="auto"/>
              <w:bottom w:val="single" w:sz="4" w:space="0" w:color="363639"/>
              <w:right w:val="single" w:sz="4" w:space="0" w:color="363639"/>
            </w:tcBorders>
            <w:shd w:val="clear" w:color="000000" w:fill="FFFFFF"/>
            <w:vAlign w:val="bottom"/>
          </w:tcPr>
          <w:p w14:paraId="0F7EBA6D" w14:textId="77777777" w:rsidR="00D26C3C" w:rsidRPr="005B6501" w:rsidRDefault="00D26C3C" w:rsidP="00D26C3C">
            <w:pPr>
              <w:rPr>
                <w:rFonts w:ascii="Arial" w:hAnsi="Arial" w:cs="Arial"/>
                <w:b/>
                <w:bCs/>
                <w:sz w:val="16"/>
                <w:szCs w:val="16"/>
                <w:lang w:eastAsia="es-AR"/>
              </w:rPr>
            </w:pPr>
            <w:r w:rsidRPr="005B6501">
              <w:rPr>
                <w:rFonts w:ascii="Arial" w:hAnsi="Arial" w:cs="Arial"/>
                <w:b/>
                <w:sz w:val="16"/>
                <w:szCs w:val="16"/>
              </w:rPr>
              <w:t>TOTAL ACTIVO</w:t>
            </w:r>
          </w:p>
        </w:tc>
        <w:tc>
          <w:tcPr>
            <w:tcW w:w="1742" w:type="dxa"/>
            <w:tcBorders>
              <w:top w:val="nil"/>
              <w:left w:val="single" w:sz="4" w:space="0" w:color="auto"/>
              <w:bottom w:val="single" w:sz="4" w:space="0" w:color="auto"/>
              <w:right w:val="single" w:sz="4" w:space="0" w:color="auto"/>
            </w:tcBorders>
            <w:shd w:val="clear" w:color="000000" w:fill="FFFFFF"/>
            <w:noWrap/>
            <w:vAlign w:val="bottom"/>
          </w:tcPr>
          <w:p w14:paraId="0BC2A6EA" w14:textId="43803CF9" w:rsidR="00D26C3C" w:rsidRPr="005B6501" w:rsidRDefault="002B77C5" w:rsidP="00D26C3C">
            <w:pPr>
              <w:jc w:val="right"/>
              <w:rPr>
                <w:rFonts w:ascii="Arial" w:hAnsi="Arial" w:cs="Arial"/>
                <w:b/>
                <w:bCs/>
                <w:sz w:val="16"/>
                <w:szCs w:val="16"/>
              </w:rPr>
            </w:pPr>
            <w:r w:rsidRPr="002B77C5">
              <w:rPr>
                <w:rFonts w:ascii="Arial" w:hAnsi="Arial" w:cs="Arial"/>
                <w:b/>
                <w:sz w:val="16"/>
                <w:szCs w:val="16"/>
              </w:rPr>
              <w:t>49.172.207</w:t>
            </w:r>
          </w:p>
        </w:tc>
        <w:tc>
          <w:tcPr>
            <w:tcW w:w="1742" w:type="dxa"/>
            <w:tcBorders>
              <w:top w:val="nil"/>
              <w:left w:val="nil"/>
              <w:bottom w:val="single" w:sz="4" w:space="0" w:color="auto"/>
              <w:right w:val="single" w:sz="4" w:space="0" w:color="auto"/>
            </w:tcBorders>
            <w:shd w:val="clear" w:color="000000" w:fill="FFFFFF"/>
            <w:noWrap/>
            <w:vAlign w:val="bottom"/>
          </w:tcPr>
          <w:p w14:paraId="458A2524" w14:textId="4C341312" w:rsidR="00D26C3C" w:rsidRPr="005B6501" w:rsidRDefault="002B77C5" w:rsidP="00D26C3C">
            <w:pPr>
              <w:jc w:val="right"/>
              <w:rPr>
                <w:rFonts w:ascii="Arial" w:hAnsi="Arial" w:cs="Arial"/>
                <w:b/>
                <w:bCs/>
                <w:sz w:val="16"/>
                <w:szCs w:val="16"/>
              </w:rPr>
            </w:pPr>
            <w:r w:rsidRPr="002B77C5">
              <w:rPr>
                <w:rFonts w:ascii="Arial" w:hAnsi="Arial" w:cs="Arial"/>
                <w:b/>
                <w:sz w:val="16"/>
                <w:szCs w:val="16"/>
              </w:rPr>
              <w:t>62.903.033</w:t>
            </w:r>
          </w:p>
        </w:tc>
        <w:tc>
          <w:tcPr>
            <w:tcW w:w="1920" w:type="dxa"/>
            <w:tcBorders>
              <w:top w:val="nil"/>
              <w:left w:val="nil"/>
              <w:bottom w:val="single" w:sz="4" w:space="0" w:color="auto"/>
              <w:right w:val="single" w:sz="4" w:space="0" w:color="auto"/>
            </w:tcBorders>
            <w:shd w:val="clear" w:color="000000" w:fill="FFFFFF"/>
            <w:noWrap/>
            <w:vAlign w:val="bottom"/>
          </w:tcPr>
          <w:p w14:paraId="5FBFB084" w14:textId="736B1DF5" w:rsidR="00D26C3C" w:rsidRPr="005B6501" w:rsidRDefault="002B77C5" w:rsidP="00D26C3C">
            <w:pPr>
              <w:jc w:val="right"/>
              <w:rPr>
                <w:rFonts w:ascii="Arial" w:hAnsi="Arial" w:cs="Arial"/>
                <w:b/>
                <w:bCs/>
                <w:sz w:val="16"/>
                <w:szCs w:val="16"/>
              </w:rPr>
            </w:pPr>
            <w:r w:rsidRPr="002B77C5">
              <w:rPr>
                <w:rFonts w:ascii="Arial" w:hAnsi="Arial" w:cs="Arial"/>
                <w:b/>
                <w:sz w:val="16"/>
                <w:szCs w:val="16"/>
              </w:rPr>
              <w:t>120.155.543</w:t>
            </w:r>
          </w:p>
        </w:tc>
        <w:tc>
          <w:tcPr>
            <w:tcW w:w="1219" w:type="dxa"/>
            <w:tcBorders>
              <w:top w:val="nil"/>
              <w:left w:val="nil"/>
              <w:bottom w:val="single" w:sz="4" w:space="0" w:color="auto"/>
              <w:right w:val="single" w:sz="4" w:space="0" w:color="auto"/>
            </w:tcBorders>
            <w:shd w:val="clear" w:color="000000" w:fill="FFFFFF"/>
            <w:noWrap/>
            <w:vAlign w:val="bottom"/>
          </w:tcPr>
          <w:p w14:paraId="57E39B02" w14:textId="1D7AAE64" w:rsidR="00D26C3C" w:rsidRPr="005B6501" w:rsidRDefault="00D26C3C" w:rsidP="00D26C3C">
            <w:pPr>
              <w:jc w:val="right"/>
              <w:rPr>
                <w:rFonts w:ascii="Arial" w:hAnsi="Arial" w:cs="Arial"/>
                <w:b/>
                <w:bCs/>
                <w:sz w:val="16"/>
                <w:szCs w:val="16"/>
              </w:rPr>
            </w:pPr>
            <w:r w:rsidRPr="005B6501">
              <w:rPr>
                <w:rFonts w:ascii="Arial" w:hAnsi="Arial" w:cs="Arial"/>
                <w:b/>
                <w:sz w:val="16"/>
                <w:szCs w:val="16"/>
              </w:rPr>
              <w:t xml:space="preserve"> 232.230.783 </w:t>
            </w:r>
          </w:p>
        </w:tc>
      </w:tr>
    </w:tbl>
    <w:p w14:paraId="4B383143" w14:textId="45C6B23A" w:rsidR="00D26C3C" w:rsidRPr="00BA7A6B" w:rsidRDefault="00D26C3C" w:rsidP="00C63989">
      <w:pPr>
        <w:jc w:val="both"/>
        <w:rPr>
          <w:rFonts w:ascii="Arial" w:hAnsi="Arial" w:cs="Arial"/>
          <w:b/>
          <w:sz w:val="16"/>
          <w:szCs w:val="16"/>
        </w:rPr>
      </w:pPr>
    </w:p>
    <w:p w14:paraId="72B04192" w14:textId="77777777" w:rsidR="00D26C3C" w:rsidRPr="00BA7A6B" w:rsidRDefault="00D26C3C" w:rsidP="00C63989">
      <w:pPr>
        <w:jc w:val="both"/>
        <w:rPr>
          <w:rFonts w:ascii="Arial" w:hAnsi="Arial" w:cs="Arial"/>
          <w:b/>
          <w:sz w:val="16"/>
          <w:szCs w:val="16"/>
        </w:rPr>
      </w:pPr>
    </w:p>
    <w:tbl>
      <w:tblPr>
        <w:tblW w:w="10408" w:type="dxa"/>
        <w:jc w:val="center"/>
        <w:tblCellMar>
          <w:left w:w="70" w:type="dxa"/>
          <w:right w:w="70" w:type="dxa"/>
        </w:tblCellMar>
        <w:tblLook w:val="04A0" w:firstRow="1" w:lastRow="0" w:firstColumn="1" w:lastColumn="0" w:noHBand="0" w:noVBand="1"/>
      </w:tblPr>
      <w:tblGrid>
        <w:gridCol w:w="4254"/>
        <w:gridCol w:w="1648"/>
        <w:gridCol w:w="1372"/>
        <w:gridCol w:w="1701"/>
        <w:gridCol w:w="1433"/>
      </w:tblGrid>
      <w:tr w:rsidR="00851176" w:rsidRPr="005B6501" w14:paraId="3062263A" w14:textId="77777777" w:rsidTr="00C63989">
        <w:trPr>
          <w:trHeight w:val="612"/>
          <w:tblHeader/>
          <w:jc w:val="center"/>
        </w:trPr>
        <w:tc>
          <w:tcPr>
            <w:tcW w:w="4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13582" w14:textId="53F7EEE7" w:rsidR="00851176" w:rsidRPr="00BA7A6B" w:rsidRDefault="00851176" w:rsidP="00851176">
            <w:pPr>
              <w:jc w:val="center"/>
              <w:rPr>
                <w:rFonts w:ascii="Arial" w:hAnsi="Arial" w:cs="Arial"/>
                <w:b/>
                <w:bCs/>
                <w:sz w:val="16"/>
                <w:szCs w:val="16"/>
                <w:lang w:eastAsia="es-AR"/>
              </w:rPr>
            </w:pPr>
            <w:r w:rsidRPr="00BA7A6B">
              <w:rPr>
                <w:rFonts w:ascii="Arial" w:hAnsi="Arial" w:cs="Arial"/>
                <w:b/>
                <w:bCs/>
                <w:sz w:val="16"/>
                <w:szCs w:val="16"/>
                <w:lang w:eastAsia="es-AR"/>
              </w:rPr>
              <w:t>PASIVO al 31/03/2019</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46EE7CD1" w14:textId="60C5D15F" w:rsidR="00851176" w:rsidRPr="00BA7A6B"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Corporativa</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4637276E" w14:textId="1FFE1D5A" w:rsidR="00851176" w:rsidRPr="00BA7A6B"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Banca Personas y Negocios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F08811" w14:textId="77777777" w:rsidR="00851176" w:rsidRPr="00BA7A6B"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Tesorería </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14:paraId="42A0DD9A" w14:textId="77777777" w:rsidR="00851176" w:rsidRPr="00BA7A6B" w:rsidRDefault="00851176" w:rsidP="00851176">
            <w:pPr>
              <w:jc w:val="center"/>
              <w:rPr>
                <w:rFonts w:ascii="Arial" w:hAnsi="Arial" w:cs="Arial"/>
                <w:b/>
                <w:bCs/>
                <w:color w:val="000000"/>
                <w:sz w:val="16"/>
                <w:szCs w:val="16"/>
                <w:lang w:eastAsia="es-AR"/>
              </w:rPr>
            </w:pPr>
            <w:r w:rsidRPr="00BA7A6B">
              <w:rPr>
                <w:rFonts w:ascii="Arial" w:hAnsi="Arial" w:cs="Arial"/>
                <w:b/>
                <w:bCs/>
                <w:color w:val="000000"/>
                <w:sz w:val="16"/>
                <w:szCs w:val="16"/>
                <w:lang w:eastAsia="es-AR"/>
              </w:rPr>
              <w:t xml:space="preserve"> TOTAL </w:t>
            </w:r>
          </w:p>
        </w:tc>
      </w:tr>
      <w:tr w:rsidR="00C74191" w:rsidRPr="005B6501" w14:paraId="01B739A3" w14:textId="77777777" w:rsidTr="00BA7A6B">
        <w:trPr>
          <w:trHeight w:val="20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40614B46"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Depósitos</w:t>
            </w:r>
          </w:p>
        </w:tc>
        <w:tc>
          <w:tcPr>
            <w:tcW w:w="1648" w:type="dxa"/>
            <w:tcBorders>
              <w:top w:val="nil"/>
              <w:left w:val="nil"/>
              <w:bottom w:val="single" w:sz="4" w:space="0" w:color="auto"/>
              <w:right w:val="single" w:sz="4" w:space="0" w:color="auto"/>
            </w:tcBorders>
            <w:shd w:val="clear" w:color="auto" w:fill="auto"/>
            <w:noWrap/>
            <w:vAlign w:val="bottom"/>
            <w:hideMark/>
          </w:tcPr>
          <w:p w14:paraId="6F918BDA" w14:textId="7104CADE" w:rsidR="00C74191" w:rsidRPr="005B6501" w:rsidRDefault="00DF3BC9">
            <w:pPr>
              <w:jc w:val="right"/>
              <w:rPr>
                <w:rFonts w:ascii="Arial" w:hAnsi="Arial" w:cs="Arial"/>
                <w:b/>
                <w:sz w:val="16"/>
                <w:szCs w:val="16"/>
              </w:rPr>
            </w:pPr>
            <w:r w:rsidRPr="00DF3BC9">
              <w:rPr>
                <w:rFonts w:ascii="Arial" w:hAnsi="Arial" w:cs="Arial"/>
                <w:b/>
                <w:sz w:val="16"/>
                <w:szCs w:val="16"/>
              </w:rPr>
              <w:t>-10.772.</w:t>
            </w:r>
            <w:r w:rsidR="002F7103" w:rsidRPr="00DF3BC9">
              <w:rPr>
                <w:rFonts w:ascii="Arial" w:hAnsi="Arial" w:cs="Arial"/>
                <w:b/>
                <w:sz w:val="16"/>
                <w:szCs w:val="16"/>
              </w:rPr>
              <w:t>5</w:t>
            </w:r>
            <w:r w:rsidR="002F7103">
              <w:rPr>
                <w:rFonts w:ascii="Arial" w:hAnsi="Arial" w:cs="Arial"/>
                <w:b/>
                <w:sz w:val="16"/>
                <w:szCs w:val="16"/>
              </w:rPr>
              <w:t>59</w:t>
            </w:r>
          </w:p>
        </w:tc>
        <w:tc>
          <w:tcPr>
            <w:tcW w:w="1372" w:type="dxa"/>
            <w:tcBorders>
              <w:top w:val="nil"/>
              <w:left w:val="nil"/>
              <w:bottom w:val="single" w:sz="4" w:space="0" w:color="auto"/>
              <w:right w:val="single" w:sz="4" w:space="0" w:color="auto"/>
            </w:tcBorders>
            <w:shd w:val="clear" w:color="auto" w:fill="auto"/>
            <w:noWrap/>
            <w:vAlign w:val="bottom"/>
            <w:hideMark/>
          </w:tcPr>
          <w:p w14:paraId="3DAF18B7" w14:textId="3F1B2CE7" w:rsidR="00C74191" w:rsidRPr="005B6501" w:rsidRDefault="002B77C5">
            <w:pPr>
              <w:jc w:val="right"/>
              <w:rPr>
                <w:rFonts w:ascii="Arial" w:hAnsi="Arial" w:cs="Arial"/>
                <w:b/>
                <w:sz w:val="16"/>
                <w:szCs w:val="16"/>
              </w:rPr>
            </w:pPr>
            <w:r w:rsidRPr="002B77C5">
              <w:rPr>
                <w:rFonts w:ascii="Arial" w:hAnsi="Arial" w:cs="Arial"/>
                <w:b/>
                <w:sz w:val="16"/>
                <w:szCs w:val="16"/>
              </w:rPr>
              <w:t>-87.743.222</w:t>
            </w:r>
          </w:p>
        </w:tc>
        <w:tc>
          <w:tcPr>
            <w:tcW w:w="1701" w:type="dxa"/>
            <w:tcBorders>
              <w:top w:val="nil"/>
              <w:left w:val="nil"/>
              <w:bottom w:val="single" w:sz="4" w:space="0" w:color="auto"/>
              <w:right w:val="single" w:sz="4" w:space="0" w:color="auto"/>
            </w:tcBorders>
            <w:shd w:val="clear" w:color="auto" w:fill="auto"/>
            <w:noWrap/>
            <w:vAlign w:val="bottom"/>
            <w:hideMark/>
          </w:tcPr>
          <w:p w14:paraId="0153FB54" w14:textId="34361024" w:rsidR="00C74191" w:rsidRPr="005B6501" w:rsidRDefault="00DF3BC9">
            <w:pPr>
              <w:jc w:val="right"/>
              <w:rPr>
                <w:rFonts w:ascii="Arial" w:hAnsi="Arial" w:cs="Arial"/>
                <w:b/>
                <w:sz w:val="16"/>
                <w:szCs w:val="16"/>
              </w:rPr>
            </w:pPr>
            <w:r w:rsidRPr="00DF3BC9">
              <w:rPr>
                <w:rFonts w:ascii="Arial" w:hAnsi="Arial" w:cs="Arial"/>
                <w:b/>
                <w:sz w:val="16"/>
                <w:szCs w:val="16"/>
              </w:rPr>
              <w:t>-63.764.872</w:t>
            </w:r>
          </w:p>
        </w:tc>
        <w:tc>
          <w:tcPr>
            <w:tcW w:w="1433" w:type="dxa"/>
            <w:tcBorders>
              <w:top w:val="nil"/>
              <w:left w:val="nil"/>
              <w:bottom w:val="single" w:sz="4" w:space="0" w:color="auto"/>
              <w:right w:val="single" w:sz="4" w:space="0" w:color="auto"/>
            </w:tcBorders>
            <w:shd w:val="clear" w:color="auto" w:fill="auto"/>
            <w:noWrap/>
            <w:vAlign w:val="bottom"/>
            <w:hideMark/>
          </w:tcPr>
          <w:p w14:paraId="0DDD66A3" w14:textId="191608C7" w:rsidR="00C74191" w:rsidRPr="005B6501" w:rsidRDefault="00DF3BC9">
            <w:pPr>
              <w:jc w:val="right"/>
              <w:rPr>
                <w:rFonts w:ascii="Arial" w:hAnsi="Arial" w:cs="Arial"/>
                <w:b/>
                <w:sz w:val="16"/>
                <w:szCs w:val="16"/>
              </w:rPr>
            </w:pPr>
            <w:r w:rsidRPr="00DF3BC9">
              <w:rPr>
                <w:rFonts w:ascii="Arial" w:hAnsi="Arial" w:cs="Arial"/>
                <w:b/>
                <w:sz w:val="16"/>
                <w:szCs w:val="16"/>
              </w:rPr>
              <w:t>-162.280.653</w:t>
            </w:r>
          </w:p>
        </w:tc>
      </w:tr>
      <w:tr w:rsidR="00C74191" w:rsidRPr="005B6501" w14:paraId="4BEC7292" w14:textId="77777777" w:rsidTr="00BA7A6B">
        <w:trPr>
          <w:trHeight w:val="27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6D2AC697" w14:textId="77777777" w:rsidR="00C74191" w:rsidRPr="005B6501" w:rsidRDefault="00C74191" w:rsidP="00C74191">
            <w:pPr>
              <w:rPr>
                <w:rFonts w:ascii="Arial" w:hAnsi="Arial" w:cs="Arial"/>
                <w:color w:val="000000"/>
                <w:sz w:val="16"/>
                <w:szCs w:val="18"/>
                <w:lang w:eastAsia="es-AR"/>
              </w:rPr>
            </w:pPr>
            <w:r w:rsidRPr="005B6501">
              <w:rPr>
                <w:rFonts w:ascii="Arial" w:hAnsi="Arial" w:cs="Arial"/>
                <w:sz w:val="16"/>
                <w:szCs w:val="18"/>
              </w:rPr>
              <w:t xml:space="preserve">   Sector público no financiero</w:t>
            </w:r>
          </w:p>
        </w:tc>
        <w:tc>
          <w:tcPr>
            <w:tcW w:w="1648" w:type="dxa"/>
            <w:tcBorders>
              <w:top w:val="nil"/>
              <w:left w:val="nil"/>
              <w:bottom w:val="single" w:sz="4" w:space="0" w:color="auto"/>
              <w:right w:val="single" w:sz="4" w:space="0" w:color="auto"/>
            </w:tcBorders>
            <w:shd w:val="clear" w:color="auto" w:fill="auto"/>
            <w:noWrap/>
            <w:vAlign w:val="bottom"/>
            <w:hideMark/>
          </w:tcPr>
          <w:p w14:paraId="1D118309" w14:textId="5FE7A679" w:rsidR="00C74191" w:rsidRPr="005B6501" w:rsidRDefault="00C74191">
            <w:pPr>
              <w:jc w:val="right"/>
              <w:rPr>
                <w:rFonts w:ascii="Arial" w:hAnsi="Arial" w:cs="Arial"/>
                <w:b/>
                <w:sz w:val="16"/>
                <w:szCs w:val="16"/>
              </w:rPr>
            </w:pPr>
            <w:r w:rsidRPr="00BA7A6B">
              <w:rPr>
                <w:rFonts w:ascii="Arial" w:hAnsi="Arial" w:cs="Arial"/>
                <w:sz w:val="16"/>
                <w:szCs w:val="16"/>
              </w:rPr>
              <w:t xml:space="preserve"> -8.26</w:t>
            </w:r>
            <w:r w:rsidR="002F7103">
              <w:rPr>
                <w:rFonts w:ascii="Arial" w:hAnsi="Arial" w:cs="Arial"/>
                <w:sz w:val="16"/>
                <w:szCs w:val="16"/>
              </w:rPr>
              <w:t>1</w:t>
            </w:r>
            <w:r w:rsidRPr="00BA7A6B">
              <w:rPr>
                <w:rFonts w:ascii="Arial" w:hAnsi="Arial" w:cs="Arial"/>
                <w:sz w:val="16"/>
                <w:szCs w:val="16"/>
              </w:rPr>
              <w:t xml:space="preserve"> </w:t>
            </w:r>
          </w:p>
        </w:tc>
        <w:tc>
          <w:tcPr>
            <w:tcW w:w="1372" w:type="dxa"/>
            <w:tcBorders>
              <w:top w:val="nil"/>
              <w:left w:val="nil"/>
              <w:bottom w:val="single" w:sz="4" w:space="0" w:color="auto"/>
              <w:right w:val="single" w:sz="4" w:space="0" w:color="auto"/>
            </w:tcBorders>
            <w:shd w:val="clear" w:color="auto" w:fill="auto"/>
            <w:noWrap/>
            <w:vAlign w:val="bottom"/>
            <w:hideMark/>
          </w:tcPr>
          <w:p w14:paraId="43DCBFEB" w14:textId="54EA6BAA" w:rsidR="00C74191" w:rsidRPr="005B6501" w:rsidRDefault="00C74191">
            <w:pPr>
              <w:jc w:val="right"/>
              <w:rPr>
                <w:rFonts w:ascii="Arial" w:hAnsi="Arial" w:cs="Arial"/>
                <w:sz w:val="16"/>
                <w:szCs w:val="16"/>
              </w:rPr>
            </w:pPr>
            <w:r w:rsidRPr="00BA7A6B">
              <w:rPr>
                <w:rFonts w:ascii="Arial" w:hAnsi="Arial" w:cs="Arial"/>
                <w:sz w:val="16"/>
                <w:szCs w:val="16"/>
              </w:rPr>
              <w:t xml:space="preserve"> -1.803.</w:t>
            </w:r>
            <w:r w:rsidR="002F7103" w:rsidRPr="00BA7A6B">
              <w:rPr>
                <w:rFonts w:ascii="Arial" w:hAnsi="Arial" w:cs="Arial"/>
                <w:sz w:val="16"/>
                <w:szCs w:val="16"/>
              </w:rPr>
              <w:t>82</w:t>
            </w:r>
            <w:r w:rsidR="002F7103">
              <w:rPr>
                <w:rFonts w:ascii="Arial" w:hAnsi="Arial" w:cs="Arial"/>
                <w:sz w:val="16"/>
                <w:szCs w:val="16"/>
              </w:rPr>
              <w:t>5</w:t>
            </w:r>
            <w:r w:rsidR="002F7103" w:rsidRPr="00BA7A6B">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06BB7770" w14:textId="32117DFA" w:rsidR="00C74191" w:rsidRPr="005B6501" w:rsidRDefault="00C74191">
            <w:pPr>
              <w:jc w:val="right"/>
              <w:rPr>
                <w:rFonts w:ascii="Arial" w:hAnsi="Arial" w:cs="Arial"/>
                <w:sz w:val="16"/>
                <w:szCs w:val="16"/>
              </w:rPr>
            </w:pPr>
            <w:r w:rsidRPr="00BA7A6B">
              <w:rPr>
                <w:rFonts w:ascii="Arial" w:hAnsi="Arial" w:cs="Arial"/>
                <w:sz w:val="16"/>
                <w:szCs w:val="16"/>
              </w:rPr>
              <w:t xml:space="preserve"> -14.811.415 </w:t>
            </w:r>
          </w:p>
        </w:tc>
        <w:tc>
          <w:tcPr>
            <w:tcW w:w="1433" w:type="dxa"/>
            <w:tcBorders>
              <w:top w:val="nil"/>
              <w:left w:val="nil"/>
              <w:bottom w:val="single" w:sz="4" w:space="0" w:color="auto"/>
              <w:right w:val="single" w:sz="4" w:space="0" w:color="auto"/>
            </w:tcBorders>
            <w:shd w:val="clear" w:color="auto" w:fill="auto"/>
            <w:noWrap/>
            <w:vAlign w:val="bottom"/>
            <w:hideMark/>
          </w:tcPr>
          <w:p w14:paraId="60E1A7BA" w14:textId="641AB5C3" w:rsidR="00C74191" w:rsidRPr="00BA7A6B" w:rsidRDefault="00C74191">
            <w:pPr>
              <w:jc w:val="right"/>
              <w:rPr>
                <w:rFonts w:ascii="Arial" w:hAnsi="Arial" w:cs="Arial"/>
                <w:b/>
                <w:sz w:val="16"/>
                <w:szCs w:val="16"/>
              </w:rPr>
            </w:pPr>
            <w:r w:rsidRPr="00BA7A6B">
              <w:rPr>
                <w:rFonts w:ascii="Arial" w:hAnsi="Arial" w:cs="Arial"/>
                <w:b/>
                <w:sz w:val="16"/>
                <w:szCs w:val="16"/>
              </w:rPr>
              <w:t>-16.623.501</w:t>
            </w:r>
          </w:p>
        </w:tc>
      </w:tr>
      <w:tr w:rsidR="00C74191" w:rsidRPr="005B6501" w14:paraId="5C5D03B1" w14:textId="77777777" w:rsidTr="00BA7A6B">
        <w:trPr>
          <w:trHeight w:val="26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48F42960" w14:textId="77777777" w:rsidR="00C74191" w:rsidRPr="005B6501" w:rsidRDefault="00C74191" w:rsidP="00C74191">
            <w:pPr>
              <w:rPr>
                <w:rFonts w:ascii="Arial" w:hAnsi="Arial" w:cs="Arial"/>
                <w:color w:val="000000"/>
                <w:sz w:val="16"/>
                <w:szCs w:val="18"/>
                <w:lang w:eastAsia="es-AR"/>
              </w:rPr>
            </w:pPr>
            <w:r w:rsidRPr="005B6501">
              <w:rPr>
                <w:rFonts w:ascii="Arial" w:hAnsi="Arial" w:cs="Arial"/>
                <w:sz w:val="16"/>
                <w:szCs w:val="18"/>
              </w:rPr>
              <w:t xml:space="preserve">   Sector financiero</w:t>
            </w:r>
          </w:p>
        </w:tc>
        <w:tc>
          <w:tcPr>
            <w:tcW w:w="1648" w:type="dxa"/>
            <w:tcBorders>
              <w:top w:val="nil"/>
              <w:left w:val="nil"/>
              <w:bottom w:val="single" w:sz="4" w:space="0" w:color="auto"/>
              <w:right w:val="single" w:sz="4" w:space="0" w:color="auto"/>
            </w:tcBorders>
            <w:shd w:val="clear" w:color="auto" w:fill="auto"/>
            <w:noWrap/>
            <w:vAlign w:val="bottom"/>
            <w:hideMark/>
          </w:tcPr>
          <w:p w14:paraId="59E415A6" w14:textId="6FBBE0CA" w:rsidR="00C74191" w:rsidRPr="005B6501" w:rsidRDefault="00C74191">
            <w:pPr>
              <w:jc w:val="right"/>
              <w:rPr>
                <w:rFonts w:ascii="Arial" w:hAnsi="Arial" w:cs="Arial"/>
                <w:b/>
                <w:sz w:val="16"/>
                <w:szCs w:val="16"/>
              </w:rPr>
            </w:pPr>
            <w:r w:rsidRPr="00BA7A6B">
              <w:rPr>
                <w:rFonts w:ascii="Arial" w:hAnsi="Arial" w:cs="Arial"/>
                <w:sz w:val="16"/>
                <w:szCs w:val="16"/>
              </w:rPr>
              <w:t xml:space="preserve"> -133.350 </w:t>
            </w:r>
          </w:p>
        </w:tc>
        <w:tc>
          <w:tcPr>
            <w:tcW w:w="1372" w:type="dxa"/>
            <w:tcBorders>
              <w:top w:val="nil"/>
              <w:left w:val="nil"/>
              <w:bottom w:val="single" w:sz="4" w:space="0" w:color="auto"/>
              <w:right w:val="single" w:sz="4" w:space="0" w:color="auto"/>
            </w:tcBorders>
            <w:shd w:val="clear" w:color="auto" w:fill="auto"/>
            <w:noWrap/>
            <w:vAlign w:val="bottom"/>
            <w:hideMark/>
          </w:tcPr>
          <w:p w14:paraId="1E1F6FFA" w14:textId="15AB9541" w:rsidR="00C74191" w:rsidRPr="005B6501" w:rsidRDefault="00C74191">
            <w:pPr>
              <w:jc w:val="right"/>
              <w:rPr>
                <w:rFonts w:ascii="Arial" w:hAnsi="Arial" w:cs="Arial"/>
                <w:sz w:val="16"/>
                <w:szCs w:val="16"/>
              </w:rPr>
            </w:pPr>
            <w:r w:rsidRPr="00BA7A6B">
              <w:rPr>
                <w:rFonts w:ascii="Arial" w:hAnsi="Arial" w:cs="Arial"/>
                <w:sz w:val="16"/>
                <w:szCs w:val="16"/>
              </w:rPr>
              <w:t xml:space="preserve"> -35 </w:t>
            </w:r>
          </w:p>
        </w:tc>
        <w:tc>
          <w:tcPr>
            <w:tcW w:w="1701" w:type="dxa"/>
            <w:tcBorders>
              <w:top w:val="nil"/>
              <w:left w:val="nil"/>
              <w:bottom w:val="single" w:sz="4" w:space="0" w:color="auto"/>
              <w:right w:val="single" w:sz="4" w:space="0" w:color="auto"/>
            </w:tcBorders>
            <w:shd w:val="clear" w:color="auto" w:fill="auto"/>
            <w:noWrap/>
            <w:vAlign w:val="bottom"/>
            <w:hideMark/>
          </w:tcPr>
          <w:p w14:paraId="37178829" w14:textId="7289996E" w:rsidR="00C74191" w:rsidRPr="005B6501" w:rsidRDefault="00C74191">
            <w:pPr>
              <w:jc w:val="right"/>
              <w:rPr>
                <w:rFonts w:ascii="Arial" w:hAnsi="Arial" w:cs="Arial"/>
                <w:sz w:val="16"/>
                <w:szCs w:val="16"/>
              </w:rPr>
            </w:pPr>
            <w:r w:rsidRPr="00BA7A6B">
              <w:rPr>
                <w:rFonts w:ascii="Arial" w:hAnsi="Arial" w:cs="Arial"/>
                <w:sz w:val="16"/>
                <w:szCs w:val="16"/>
              </w:rPr>
              <w:t xml:space="preserve"> -68 </w:t>
            </w:r>
          </w:p>
        </w:tc>
        <w:tc>
          <w:tcPr>
            <w:tcW w:w="1433" w:type="dxa"/>
            <w:tcBorders>
              <w:top w:val="nil"/>
              <w:left w:val="nil"/>
              <w:bottom w:val="single" w:sz="4" w:space="0" w:color="auto"/>
              <w:right w:val="single" w:sz="4" w:space="0" w:color="auto"/>
            </w:tcBorders>
            <w:shd w:val="clear" w:color="auto" w:fill="auto"/>
            <w:noWrap/>
            <w:vAlign w:val="bottom"/>
            <w:hideMark/>
          </w:tcPr>
          <w:p w14:paraId="1CCF6B88" w14:textId="23D0015B" w:rsidR="00C74191" w:rsidRPr="00BA7A6B" w:rsidRDefault="00C74191">
            <w:pPr>
              <w:jc w:val="right"/>
              <w:rPr>
                <w:rFonts w:ascii="Arial" w:hAnsi="Arial" w:cs="Arial"/>
                <w:b/>
                <w:sz w:val="16"/>
                <w:szCs w:val="16"/>
              </w:rPr>
            </w:pPr>
            <w:r w:rsidRPr="00BA7A6B">
              <w:rPr>
                <w:rFonts w:ascii="Arial" w:hAnsi="Arial" w:cs="Arial"/>
                <w:b/>
                <w:sz w:val="16"/>
                <w:szCs w:val="16"/>
              </w:rPr>
              <w:t>-133.453</w:t>
            </w:r>
          </w:p>
        </w:tc>
      </w:tr>
      <w:tr w:rsidR="00C74191" w:rsidRPr="005B6501" w14:paraId="7592D9E8" w14:textId="77777777" w:rsidTr="00BA7A6B">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77637B7C" w14:textId="77777777" w:rsidR="00C74191" w:rsidRPr="005B6501" w:rsidRDefault="00C74191" w:rsidP="00C74191">
            <w:pPr>
              <w:rPr>
                <w:rFonts w:ascii="Arial" w:hAnsi="Arial" w:cs="Arial"/>
                <w:color w:val="000000"/>
                <w:sz w:val="16"/>
                <w:szCs w:val="18"/>
                <w:lang w:eastAsia="es-AR"/>
              </w:rPr>
            </w:pPr>
            <w:r w:rsidRPr="005B6501">
              <w:rPr>
                <w:rFonts w:ascii="Arial" w:hAnsi="Arial" w:cs="Arial"/>
                <w:sz w:val="16"/>
                <w:szCs w:val="18"/>
              </w:rPr>
              <w:t xml:space="preserve">   Sector privado no financiero y residentes en el exterior</w:t>
            </w:r>
          </w:p>
        </w:tc>
        <w:tc>
          <w:tcPr>
            <w:tcW w:w="1648" w:type="dxa"/>
            <w:tcBorders>
              <w:top w:val="nil"/>
              <w:left w:val="nil"/>
              <w:bottom w:val="single" w:sz="4" w:space="0" w:color="auto"/>
              <w:right w:val="single" w:sz="4" w:space="0" w:color="auto"/>
            </w:tcBorders>
            <w:shd w:val="clear" w:color="auto" w:fill="auto"/>
            <w:noWrap/>
            <w:vAlign w:val="bottom"/>
            <w:hideMark/>
          </w:tcPr>
          <w:p w14:paraId="3E852A40" w14:textId="6355E8AF" w:rsidR="00C74191" w:rsidRPr="005B6501" w:rsidRDefault="00EF6494">
            <w:pPr>
              <w:jc w:val="right"/>
              <w:rPr>
                <w:rFonts w:ascii="Arial" w:hAnsi="Arial" w:cs="Arial"/>
                <w:b/>
                <w:sz w:val="16"/>
                <w:szCs w:val="16"/>
              </w:rPr>
            </w:pPr>
            <w:r w:rsidRPr="00EF6494">
              <w:rPr>
                <w:rFonts w:ascii="Arial" w:hAnsi="Arial" w:cs="Arial"/>
                <w:sz w:val="16"/>
                <w:szCs w:val="16"/>
              </w:rPr>
              <w:t>-10.630.948</w:t>
            </w:r>
          </w:p>
        </w:tc>
        <w:tc>
          <w:tcPr>
            <w:tcW w:w="1372" w:type="dxa"/>
            <w:tcBorders>
              <w:top w:val="nil"/>
              <w:left w:val="nil"/>
              <w:bottom w:val="single" w:sz="4" w:space="0" w:color="auto"/>
              <w:right w:val="single" w:sz="4" w:space="0" w:color="auto"/>
            </w:tcBorders>
            <w:shd w:val="clear" w:color="auto" w:fill="auto"/>
            <w:noWrap/>
            <w:vAlign w:val="bottom"/>
            <w:hideMark/>
          </w:tcPr>
          <w:p w14:paraId="15B2A9CD" w14:textId="7B0164ED" w:rsidR="00C74191" w:rsidRPr="005B6501" w:rsidRDefault="00EF6494">
            <w:pPr>
              <w:jc w:val="right"/>
              <w:rPr>
                <w:rFonts w:ascii="Arial" w:hAnsi="Arial" w:cs="Arial"/>
                <w:sz w:val="16"/>
                <w:szCs w:val="16"/>
              </w:rPr>
            </w:pPr>
            <w:r w:rsidRPr="00EF6494">
              <w:rPr>
                <w:rFonts w:ascii="Arial" w:hAnsi="Arial" w:cs="Arial"/>
                <w:sz w:val="16"/>
                <w:szCs w:val="16"/>
              </w:rPr>
              <w:t>-85.939.362</w:t>
            </w:r>
          </w:p>
        </w:tc>
        <w:tc>
          <w:tcPr>
            <w:tcW w:w="1701" w:type="dxa"/>
            <w:tcBorders>
              <w:top w:val="nil"/>
              <w:left w:val="nil"/>
              <w:bottom w:val="single" w:sz="4" w:space="0" w:color="auto"/>
              <w:right w:val="single" w:sz="4" w:space="0" w:color="auto"/>
            </w:tcBorders>
            <w:shd w:val="clear" w:color="auto" w:fill="auto"/>
            <w:noWrap/>
            <w:vAlign w:val="bottom"/>
            <w:hideMark/>
          </w:tcPr>
          <w:p w14:paraId="0228DB11" w14:textId="314C5FD6" w:rsidR="00C74191" w:rsidRPr="005B6501" w:rsidRDefault="00EF6494">
            <w:pPr>
              <w:jc w:val="right"/>
              <w:rPr>
                <w:rFonts w:ascii="Arial" w:hAnsi="Arial" w:cs="Arial"/>
                <w:sz w:val="16"/>
                <w:szCs w:val="16"/>
              </w:rPr>
            </w:pPr>
            <w:r w:rsidRPr="00EF6494">
              <w:rPr>
                <w:rFonts w:ascii="Arial" w:hAnsi="Arial" w:cs="Arial"/>
                <w:sz w:val="16"/>
                <w:szCs w:val="16"/>
              </w:rPr>
              <w:t>-48.953.389</w:t>
            </w:r>
          </w:p>
        </w:tc>
        <w:tc>
          <w:tcPr>
            <w:tcW w:w="1433" w:type="dxa"/>
            <w:tcBorders>
              <w:top w:val="nil"/>
              <w:left w:val="nil"/>
              <w:bottom w:val="single" w:sz="4" w:space="0" w:color="auto"/>
              <w:right w:val="single" w:sz="4" w:space="0" w:color="auto"/>
            </w:tcBorders>
            <w:shd w:val="clear" w:color="auto" w:fill="auto"/>
            <w:noWrap/>
            <w:vAlign w:val="bottom"/>
            <w:hideMark/>
          </w:tcPr>
          <w:p w14:paraId="7468DA7D" w14:textId="47CE74DF" w:rsidR="00C74191" w:rsidRPr="00BA7A6B" w:rsidRDefault="00C74191">
            <w:pPr>
              <w:jc w:val="right"/>
              <w:rPr>
                <w:rFonts w:ascii="Arial" w:hAnsi="Arial" w:cs="Arial"/>
                <w:b/>
                <w:sz w:val="16"/>
                <w:szCs w:val="16"/>
              </w:rPr>
            </w:pPr>
            <w:r w:rsidRPr="00BA7A6B">
              <w:rPr>
                <w:rFonts w:ascii="Arial" w:hAnsi="Arial" w:cs="Arial"/>
                <w:b/>
                <w:sz w:val="16"/>
                <w:szCs w:val="16"/>
              </w:rPr>
              <w:t>-145.523.699</w:t>
            </w:r>
          </w:p>
        </w:tc>
      </w:tr>
      <w:tr w:rsidR="00C74191" w:rsidRPr="005B6501" w14:paraId="4624BA82" w14:textId="77777777" w:rsidTr="00BA7A6B">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1DBE8ACD" w14:textId="77777777" w:rsidR="00C74191" w:rsidRPr="005B6501" w:rsidRDefault="00C74191" w:rsidP="00C74191">
            <w:pPr>
              <w:rPr>
                <w:rFonts w:ascii="Arial" w:hAnsi="Arial" w:cs="Arial"/>
                <w:b/>
                <w:sz w:val="16"/>
                <w:szCs w:val="18"/>
              </w:rPr>
            </w:pPr>
            <w:r w:rsidRPr="005B6501">
              <w:rPr>
                <w:rFonts w:ascii="Arial" w:hAnsi="Arial" w:cs="Arial"/>
                <w:b/>
                <w:sz w:val="16"/>
                <w:szCs w:val="18"/>
              </w:rPr>
              <w:t>Pasivos a valor razonable con cambios en resultados</w:t>
            </w:r>
          </w:p>
        </w:tc>
        <w:tc>
          <w:tcPr>
            <w:tcW w:w="1648" w:type="dxa"/>
            <w:tcBorders>
              <w:top w:val="nil"/>
              <w:left w:val="nil"/>
              <w:bottom w:val="single" w:sz="4" w:space="0" w:color="auto"/>
              <w:right w:val="single" w:sz="4" w:space="0" w:color="auto"/>
            </w:tcBorders>
            <w:shd w:val="clear" w:color="auto" w:fill="auto"/>
            <w:noWrap/>
            <w:vAlign w:val="bottom"/>
          </w:tcPr>
          <w:p w14:paraId="31DF9525" w14:textId="56665F8F" w:rsidR="00C74191" w:rsidRPr="005B6501" w:rsidRDefault="00C74191">
            <w:pPr>
              <w:jc w:val="right"/>
              <w:rPr>
                <w:rFonts w:ascii="Arial" w:hAnsi="Arial" w:cs="Arial"/>
                <w:b/>
                <w:sz w:val="16"/>
                <w:szCs w:val="16"/>
              </w:rPr>
            </w:pPr>
            <w:r w:rsidRPr="00BA7A6B">
              <w:rPr>
                <w:rFonts w:ascii="Arial" w:hAnsi="Arial" w:cs="Arial"/>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tcPr>
          <w:p w14:paraId="69696888" w14:textId="306CD4E8" w:rsidR="00C74191" w:rsidRPr="005B6501" w:rsidRDefault="00C74191">
            <w:pPr>
              <w:jc w:val="right"/>
              <w:rPr>
                <w:rFonts w:ascii="Arial" w:hAnsi="Arial" w:cs="Arial"/>
                <w:b/>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tcPr>
          <w:p w14:paraId="0BDC1D2D" w14:textId="5A308798" w:rsidR="00C74191" w:rsidRPr="005B6501" w:rsidRDefault="00C74191">
            <w:pPr>
              <w:jc w:val="right"/>
              <w:rPr>
                <w:rFonts w:ascii="Arial" w:hAnsi="Arial" w:cs="Arial"/>
                <w:b/>
                <w:sz w:val="16"/>
                <w:szCs w:val="16"/>
              </w:rPr>
            </w:pPr>
            <w:r w:rsidRPr="00BA7A6B">
              <w:rPr>
                <w:rFonts w:ascii="Arial" w:hAnsi="Arial" w:cs="Arial"/>
                <w:sz w:val="16"/>
                <w:szCs w:val="16"/>
              </w:rPr>
              <w:t xml:space="preserve"> -1.681.981 </w:t>
            </w:r>
          </w:p>
        </w:tc>
        <w:tc>
          <w:tcPr>
            <w:tcW w:w="1433" w:type="dxa"/>
            <w:tcBorders>
              <w:top w:val="nil"/>
              <w:left w:val="nil"/>
              <w:bottom w:val="single" w:sz="4" w:space="0" w:color="auto"/>
              <w:right w:val="single" w:sz="4" w:space="0" w:color="auto"/>
            </w:tcBorders>
            <w:shd w:val="clear" w:color="auto" w:fill="auto"/>
            <w:noWrap/>
            <w:vAlign w:val="bottom"/>
          </w:tcPr>
          <w:p w14:paraId="1657ECD1" w14:textId="12CEBEB8" w:rsidR="00C74191" w:rsidRPr="005B6501" w:rsidRDefault="00C74191">
            <w:pPr>
              <w:jc w:val="right"/>
              <w:rPr>
                <w:rFonts w:ascii="Arial" w:hAnsi="Arial" w:cs="Arial"/>
                <w:b/>
                <w:sz w:val="16"/>
                <w:szCs w:val="16"/>
              </w:rPr>
            </w:pPr>
            <w:r w:rsidRPr="00BA7A6B">
              <w:rPr>
                <w:rFonts w:ascii="Arial" w:hAnsi="Arial" w:cs="Arial"/>
                <w:b/>
                <w:sz w:val="16"/>
                <w:szCs w:val="16"/>
              </w:rPr>
              <w:t>-1.681.981</w:t>
            </w:r>
          </w:p>
        </w:tc>
      </w:tr>
      <w:tr w:rsidR="00C74191" w:rsidRPr="005B6501" w14:paraId="359E6CF7" w14:textId="77777777" w:rsidTr="00BA7A6B">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0A13E9FE"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Operaciones de pase</w:t>
            </w:r>
          </w:p>
        </w:tc>
        <w:tc>
          <w:tcPr>
            <w:tcW w:w="1648" w:type="dxa"/>
            <w:tcBorders>
              <w:top w:val="nil"/>
              <w:left w:val="nil"/>
              <w:bottom w:val="single" w:sz="4" w:space="0" w:color="auto"/>
              <w:right w:val="single" w:sz="4" w:space="0" w:color="auto"/>
            </w:tcBorders>
            <w:shd w:val="clear" w:color="auto" w:fill="auto"/>
            <w:noWrap/>
            <w:vAlign w:val="bottom"/>
            <w:hideMark/>
          </w:tcPr>
          <w:p w14:paraId="390463CE" w14:textId="20774CEC" w:rsidR="00C74191" w:rsidRPr="005B6501" w:rsidRDefault="00C74191">
            <w:pPr>
              <w:jc w:val="right"/>
              <w:rPr>
                <w:rFonts w:ascii="Arial" w:hAnsi="Arial" w:cs="Arial"/>
                <w:b/>
                <w:sz w:val="16"/>
                <w:szCs w:val="16"/>
              </w:rPr>
            </w:pPr>
            <w:r w:rsidRPr="00BA7A6B">
              <w:rPr>
                <w:rFonts w:ascii="Arial" w:hAnsi="Arial" w:cs="Arial"/>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hideMark/>
          </w:tcPr>
          <w:p w14:paraId="7875A7F4" w14:textId="1BCEB66E" w:rsidR="00C74191" w:rsidRPr="005B6501" w:rsidRDefault="00C74191">
            <w:pPr>
              <w:jc w:val="right"/>
              <w:rPr>
                <w:rFonts w:ascii="Arial" w:hAnsi="Arial" w:cs="Arial"/>
                <w:b/>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14:paraId="54B93ED7" w14:textId="64395261" w:rsidR="00C74191" w:rsidRPr="005B6501" w:rsidRDefault="00C74191">
            <w:pPr>
              <w:jc w:val="right"/>
              <w:rPr>
                <w:rFonts w:ascii="Arial" w:hAnsi="Arial" w:cs="Arial"/>
                <w:b/>
                <w:sz w:val="16"/>
                <w:szCs w:val="16"/>
              </w:rPr>
            </w:pPr>
            <w:r w:rsidRPr="00BA7A6B">
              <w:rPr>
                <w:rFonts w:ascii="Arial" w:hAnsi="Arial" w:cs="Arial"/>
                <w:sz w:val="16"/>
                <w:szCs w:val="16"/>
              </w:rPr>
              <w:t xml:space="preserve"> -2.221.256 </w:t>
            </w:r>
          </w:p>
        </w:tc>
        <w:tc>
          <w:tcPr>
            <w:tcW w:w="1433" w:type="dxa"/>
            <w:tcBorders>
              <w:top w:val="nil"/>
              <w:left w:val="nil"/>
              <w:bottom w:val="single" w:sz="4" w:space="0" w:color="auto"/>
              <w:right w:val="single" w:sz="4" w:space="0" w:color="auto"/>
            </w:tcBorders>
            <w:shd w:val="clear" w:color="auto" w:fill="auto"/>
            <w:noWrap/>
            <w:vAlign w:val="bottom"/>
            <w:hideMark/>
          </w:tcPr>
          <w:p w14:paraId="61AC9A0A" w14:textId="061A4AD4" w:rsidR="00C74191" w:rsidRPr="005B6501" w:rsidRDefault="00C74191">
            <w:pPr>
              <w:jc w:val="right"/>
              <w:rPr>
                <w:rFonts w:ascii="Arial" w:hAnsi="Arial" w:cs="Arial"/>
                <w:b/>
                <w:sz w:val="16"/>
                <w:szCs w:val="16"/>
              </w:rPr>
            </w:pPr>
            <w:r w:rsidRPr="00BA7A6B">
              <w:rPr>
                <w:rFonts w:ascii="Arial" w:hAnsi="Arial" w:cs="Arial"/>
                <w:b/>
                <w:sz w:val="16"/>
                <w:szCs w:val="16"/>
              </w:rPr>
              <w:t>-2.221.256</w:t>
            </w:r>
          </w:p>
        </w:tc>
      </w:tr>
      <w:tr w:rsidR="00C74191" w:rsidRPr="005B6501" w14:paraId="10B33C1C" w14:textId="77777777" w:rsidTr="00BA7A6B">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19C718D3"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Otros pasivos financieros</w:t>
            </w:r>
          </w:p>
        </w:tc>
        <w:tc>
          <w:tcPr>
            <w:tcW w:w="1648" w:type="dxa"/>
            <w:tcBorders>
              <w:top w:val="nil"/>
              <w:left w:val="nil"/>
              <w:bottom w:val="single" w:sz="4" w:space="0" w:color="auto"/>
              <w:right w:val="single" w:sz="4" w:space="0" w:color="auto"/>
            </w:tcBorders>
            <w:shd w:val="clear" w:color="auto" w:fill="auto"/>
            <w:noWrap/>
            <w:vAlign w:val="bottom"/>
          </w:tcPr>
          <w:p w14:paraId="06100902" w14:textId="26AC617D" w:rsidR="00C74191" w:rsidRPr="005B6501" w:rsidRDefault="00EF6494">
            <w:pPr>
              <w:jc w:val="right"/>
              <w:rPr>
                <w:rFonts w:ascii="Arial" w:hAnsi="Arial" w:cs="Arial"/>
                <w:b/>
                <w:sz w:val="16"/>
                <w:szCs w:val="16"/>
              </w:rPr>
            </w:pPr>
            <w:r w:rsidRPr="00EF6494">
              <w:rPr>
                <w:rFonts w:ascii="Arial" w:hAnsi="Arial" w:cs="Arial"/>
                <w:sz w:val="16"/>
                <w:szCs w:val="16"/>
              </w:rPr>
              <w:t>-1.785.187</w:t>
            </w:r>
          </w:p>
        </w:tc>
        <w:tc>
          <w:tcPr>
            <w:tcW w:w="1372" w:type="dxa"/>
            <w:tcBorders>
              <w:top w:val="nil"/>
              <w:left w:val="nil"/>
              <w:bottom w:val="single" w:sz="4" w:space="0" w:color="auto"/>
              <w:right w:val="single" w:sz="4" w:space="0" w:color="auto"/>
            </w:tcBorders>
            <w:shd w:val="clear" w:color="auto" w:fill="auto"/>
            <w:noWrap/>
            <w:vAlign w:val="bottom"/>
          </w:tcPr>
          <w:p w14:paraId="3036479A" w14:textId="4E764554" w:rsidR="00C74191" w:rsidRPr="005B6501" w:rsidRDefault="00EF6494">
            <w:pPr>
              <w:jc w:val="right"/>
              <w:rPr>
                <w:rFonts w:ascii="Arial" w:hAnsi="Arial" w:cs="Arial"/>
                <w:b/>
                <w:sz w:val="16"/>
                <w:szCs w:val="16"/>
              </w:rPr>
            </w:pPr>
            <w:r w:rsidRPr="00EF6494">
              <w:rPr>
                <w:rFonts w:ascii="Arial" w:hAnsi="Arial" w:cs="Arial"/>
                <w:sz w:val="16"/>
                <w:szCs w:val="16"/>
              </w:rPr>
              <w:t>-4.153.225</w:t>
            </w:r>
          </w:p>
        </w:tc>
        <w:tc>
          <w:tcPr>
            <w:tcW w:w="1701" w:type="dxa"/>
            <w:tcBorders>
              <w:top w:val="nil"/>
              <w:left w:val="nil"/>
              <w:bottom w:val="single" w:sz="4" w:space="0" w:color="auto"/>
              <w:right w:val="single" w:sz="4" w:space="0" w:color="auto"/>
            </w:tcBorders>
            <w:shd w:val="clear" w:color="auto" w:fill="auto"/>
            <w:noWrap/>
            <w:vAlign w:val="bottom"/>
          </w:tcPr>
          <w:p w14:paraId="2D65A96D" w14:textId="453B0589" w:rsidR="00C74191" w:rsidRPr="005B6501" w:rsidRDefault="00EF6494">
            <w:pPr>
              <w:jc w:val="right"/>
              <w:rPr>
                <w:rFonts w:ascii="Arial" w:hAnsi="Arial" w:cs="Arial"/>
                <w:b/>
                <w:sz w:val="16"/>
                <w:szCs w:val="16"/>
              </w:rPr>
            </w:pPr>
            <w:r w:rsidRPr="00EF6494">
              <w:rPr>
                <w:rFonts w:ascii="Arial" w:hAnsi="Arial" w:cs="Arial"/>
                <w:sz w:val="16"/>
                <w:szCs w:val="16"/>
              </w:rPr>
              <w:t>-1.839.580</w:t>
            </w:r>
          </w:p>
        </w:tc>
        <w:tc>
          <w:tcPr>
            <w:tcW w:w="1433" w:type="dxa"/>
            <w:tcBorders>
              <w:top w:val="nil"/>
              <w:left w:val="nil"/>
              <w:bottom w:val="single" w:sz="4" w:space="0" w:color="auto"/>
              <w:right w:val="single" w:sz="4" w:space="0" w:color="auto"/>
            </w:tcBorders>
            <w:shd w:val="clear" w:color="auto" w:fill="auto"/>
            <w:noWrap/>
            <w:vAlign w:val="bottom"/>
          </w:tcPr>
          <w:p w14:paraId="30218334" w14:textId="77C42597" w:rsidR="00C74191" w:rsidRPr="005B6501" w:rsidRDefault="00C74191">
            <w:pPr>
              <w:jc w:val="right"/>
              <w:rPr>
                <w:rFonts w:ascii="Arial" w:hAnsi="Arial" w:cs="Arial"/>
                <w:b/>
                <w:sz w:val="16"/>
                <w:szCs w:val="16"/>
              </w:rPr>
            </w:pPr>
            <w:r w:rsidRPr="00BA7A6B">
              <w:rPr>
                <w:rFonts w:ascii="Arial" w:hAnsi="Arial" w:cs="Arial"/>
                <w:b/>
                <w:sz w:val="16"/>
                <w:szCs w:val="16"/>
              </w:rPr>
              <w:t>-7.777.992</w:t>
            </w:r>
          </w:p>
        </w:tc>
      </w:tr>
      <w:tr w:rsidR="00C74191" w:rsidRPr="005B6501" w14:paraId="616A8E47" w14:textId="77777777" w:rsidTr="00BA7A6B">
        <w:trPr>
          <w:trHeight w:val="27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4715A5F5"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Financiaciones recibidas del BCRA y otras instituciones financieras</w:t>
            </w:r>
          </w:p>
        </w:tc>
        <w:tc>
          <w:tcPr>
            <w:tcW w:w="1648" w:type="dxa"/>
            <w:tcBorders>
              <w:top w:val="nil"/>
              <w:left w:val="nil"/>
              <w:bottom w:val="single" w:sz="4" w:space="0" w:color="auto"/>
              <w:right w:val="single" w:sz="4" w:space="0" w:color="auto"/>
            </w:tcBorders>
            <w:shd w:val="clear" w:color="auto" w:fill="auto"/>
            <w:noWrap/>
            <w:vAlign w:val="bottom"/>
          </w:tcPr>
          <w:p w14:paraId="248C9327" w14:textId="3AE30240" w:rsidR="00C74191" w:rsidRPr="005B6501" w:rsidRDefault="00C74191">
            <w:pPr>
              <w:jc w:val="right"/>
              <w:rPr>
                <w:rFonts w:ascii="Arial" w:hAnsi="Arial" w:cs="Arial"/>
                <w:b/>
                <w:sz w:val="16"/>
                <w:szCs w:val="16"/>
              </w:rPr>
            </w:pPr>
            <w:r w:rsidRPr="00BA7A6B">
              <w:rPr>
                <w:rFonts w:ascii="Arial" w:hAnsi="Arial" w:cs="Arial"/>
                <w:sz w:val="16"/>
                <w:szCs w:val="16"/>
              </w:rPr>
              <w:t xml:space="preserve"> -3.137.697 </w:t>
            </w:r>
          </w:p>
        </w:tc>
        <w:tc>
          <w:tcPr>
            <w:tcW w:w="1372" w:type="dxa"/>
            <w:tcBorders>
              <w:top w:val="nil"/>
              <w:left w:val="nil"/>
              <w:bottom w:val="single" w:sz="4" w:space="0" w:color="auto"/>
              <w:right w:val="single" w:sz="4" w:space="0" w:color="auto"/>
            </w:tcBorders>
            <w:shd w:val="clear" w:color="auto" w:fill="auto"/>
            <w:noWrap/>
            <w:vAlign w:val="bottom"/>
          </w:tcPr>
          <w:p w14:paraId="3FF60F44" w14:textId="31DA1669" w:rsidR="00C74191" w:rsidRPr="005B6501" w:rsidRDefault="00C74191">
            <w:pPr>
              <w:jc w:val="right"/>
              <w:rPr>
                <w:rFonts w:ascii="Arial" w:hAnsi="Arial" w:cs="Arial"/>
                <w:b/>
                <w:sz w:val="16"/>
                <w:szCs w:val="16"/>
              </w:rPr>
            </w:pPr>
            <w:r w:rsidRPr="00BA7A6B">
              <w:rPr>
                <w:rFonts w:ascii="Arial" w:hAnsi="Arial" w:cs="Arial"/>
                <w:sz w:val="16"/>
                <w:szCs w:val="16"/>
              </w:rPr>
              <w:t xml:space="preserve"> -17.539 </w:t>
            </w:r>
          </w:p>
        </w:tc>
        <w:tc>
          <w:tcPr>
            <w:tcW w:w="1701" w:type="dxa"/>
            <w:tcBorders>
              <w:top w:val="nil"/>
              <w:left w:val="nil"/>
              <w:bottom w:val="single" w:sz="4" w:space="0" w:color="auto"/>
              <w:right w:val="single" w:sz="4" w:space="0" w:color="auto"/>
            </w:tcBorders>
            <w:shd w:val="clear" w:color="auto" w:fill="auto"/>
            <w:noWrap/>
            <w:vAlign w:val="bottom"/>
          </w:tcPr>
          <w:p w14:paraId="5DB48436" w14:textId="169A86B9" w:rsidR="00C74191" w:rsidRPr="005B6501" w:rsidRDefault="00C74191">
            <w:pPr>
              <w:jc w:val="right"/>
              <w:rPr>
                <w:rFonts w:ascii="Arial" w:hAnsi="Arial" w:cs="Arial"/>
                <w:b/>
                <w:sz w:val="16"/>
                <w:szCs w:val="16"/>
              </w:rPr>
            </w:pPr>
            <w:r w:rsidRPr="00BA7A6B">
              <w:rPr>
                <w:rFonts w:ascii="Arial" w:hAnsi="Arial" w:cs="Arial"/>
                <w:sz w:val="16"/>
                <w:szCs w:val="16"/>
              </w:rPr>
              <w:t xml:space="preserve"> -7.231.598 </w:t>
            </w:r>
          </w:p>
        </w:tc>
        <w:tc>
          <w:tcPr>
            <w:tcW w:w="1433" w:type="dxa"/>
            <w:tcBorders>
              <w:top w:val="nil"/>
              <w:left w:val="nil"/>
              <w:bottom w:val="single" w:sz="4" w:space="0" w:color="auto"/>
              <w:right w:val="single" w:sz="4" w:space="0" w:color="auto"/>
            </w:tcBorders>
            <w:shd w:val="clear" w:color="auto" w:fill="auto"/>
            <w:noWrap/>
            <w:vAlign w:val="bottom"/>
          </w:tcPr>
          <w:p w14:paraId="7140E3A8" w14:textId="412F331C" w:rsidR="00C74191" w:rsidRPr="005B6501" w:rsidRDefault="00C74191">
            <w:pPr>
              <w:jc w:val="right"/>
              <w:rPr>
                <w:rFonts w:ascii="Arial" w:hAnsi="Arial" w:cs="Arial"/>
                <w:b/>
                <w:sz w:val="16"/>
                <w:szCs w:val="16"/>
              </w:rPr>
            </w:pPr>
            <w:r w:rsidRPr="00BA7A6B">
              <w:rPr>
                <w:rFonts w:ascii="Arial" w:hAnsi="Arial" w:cs="Arial"/>
                <w:b/>
                <w:sz w:val="16"/>
                <w:szCs w:val="16"/>
              </w:rPr>
              <w:t>-10.386.834</w:t>
            </w:r>
          </w:p>
        </w:tc>
      </w:tr>
      <w:tr w:rsidR="00C74191" w:rsidRPr="005B6501" w14:paraId="29E66AAA" w14:textId="77777777" w:rsidTr="00BA7A6B">
        <w:trPr>
          <w:trHeight w:val="388"/>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4FE12983"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Obligaciones negociables emitidas</w:t>
            </w:r>
          </w:p>
        </w:tc>
        <w:tc>
          <w:tcPr>
            <w:tcW w:w="1648" w:type="dxa"/>
            <w:tcBorders>
              <w:top w:val="nil"/>
              <w:left w:val="nil"/>
              <w:bottom w:val="single" w:sz="4" w:space="0" w:color="auto"/>
              <w:right w:val="single" w:sz="4" w:space="0" w:color="auto"/>
            </w:tcBorders>
            <w:shd w:val="clear" w:color="auto" w:fill="auto"/>
            <w:noWrap/>
            <w:vAlign w:val="bottom"/>
          </w:tcPr>
          <w:p w14:paraId="0C0259C4" w14:textId="4AC89316" w:rsidR="00C74191" w:rsidRPr="005B6501" w:rsidRDefault="00C74191">
            <w:pPr>
              <w:jc w:val="right"/>
              <w:rPr>
                <w:rFonts w:ascii="Arial" w:hAnsi="Arial" w:cs="Arial"/>
                <w:b/>
                <w:sz w:val="16"/>
                <w:szCs w:val="16"/>
              </w:rPr>
            </w:pPr>
            <w:r w:rsidRPr="00BA7A6B">
              <w:rPr>
                <w:rFonts w:ascii="Arial" w:hAnsi="Arial" w:cs="Arial"/>
                <w:sz w:val="16"/>
                <w:szCs w:val="16"/>
              </w:rPr>
              <w:t xml:space="preserve"> -148.273 </w:t>
            </w:r>
          </w:p>
        </w:tc>
        <w:tc>
          <w:tcPr>
            <w:tcW w:w="1372" w:type="dxa"/>
            <w:tcBorders>
              <w:top w:val="nil"/>
              <w:left w:val="nil"/>
              <w:bottom w:val="single" w:sz="4" w:space="0" w:color="auto"/>
              <w:right w:val="single" w:sz="4" w:space="0" w:color="auto"/>
            </w:tcBorders>
            <w:shd w:val="clear" w:color="auto" w:fill="auto"/>
            <w:noWrap/>
            <w:vAlign w:val="bottom"/>
          </w:tcPr>
          <w:p w14:paraId="513A5924" w14:textId="0BBF8BA3" w:rsidR="00C74191" w:rsidRPr="005B6501" w:rsidRDefault="00C74191">
            <w:pPr>
              <w:jc w:val="right"/>
              <w:rPr>
                <w:rFonts w:ascii="Arial" w:hAnsi="Arial" w:cs="Arial"/>
                <w:b/>
                <w:sz w:val="16"/>
                <w:szCs w:val="16"/>
              </w:rPr>
            </w:pPr>
            <w:r w:rsidRPr="00BA7A6B">
              <w:rPr>
                <w:rFonts w:ascii="Arial" w:hAnsi="Arial" w:cs="Arial"/>
                <w:sz w:val="16"/>
                <w:szCs w:val="16"/>
              </w:rPr>
              <w:t xml:space="preserve"> -145.365 </w:t>
            </w:r>
          </w:p>
        </w:tc>
        <w:tc>
          <w:tcPr>
            <w:tcW w:w="1701" w:type="dxa"/>
            <w:tcBorders>
              <w:top w:val="nil"/>
              <w:left w:val="nil"/>
              <w:bottom w:val="single" w:sz="4" w:space="0" w:color="auto"/>
              <w:right w:val="single" w:sz="4" w:space="0" w:color="auto"/>
            </w:tcBorders>
            <w:shd w:val="clear" w:color="auto" w:fill="auto"/>
            <w:noWrap/>
            <w:vAlign w:val="bottom"/>
          </w:tcPr>
          <w:p w14:paraId="467AA8F9" w14:textId="4E5C9B1F" w:rsidR="00C74191" w:rsidRPr="005B6501" w:rsidRDefault="00C74191">
            <w:pPr>
              <w:jc w:val="right"/>
              <w:rPr>
                <w:rFonts w:ascii="Arial" w:hAnsi="Arial" w:cs="Arial"/>
                <w:b/>
                <w:sz w:val="16"/>
                <w:szCs w:val="16"/>
              </w:rPr>
            </w:pPr>
            <w:r w:rsidRPr="00BA7A6B">
              <w:rPr>
                <w:rFonts w:ascii="Arial" w:hAnsi="Arial" w:cs="Arial"/>
                <w:sz w:val="16"/>
                <w:szCs w:val="16"/>
              </w:rPr>
              <w:t xml:space="preserve"> -16.062.175 </w:t>
            </w:r>
          </w:p>
        </w:tc>
        <w:tc>
          <w:tcPr>
            <w:tcW w:w="1433" w:type="dxa"/>
            <w:tcBorders>
              <w:top w:val="nil"/>
              <w:left w:val="nil"/>
              <w:bottom w:val="single" w:sz="4" w:space="0" w:color="auto"/>
              <w:right w:val="single" w:sz="4" w:space="0" w:color="auto"/>
            </w:tcBorders>
            <w:shd w:val="clear" w:color="auto" w:fill="auto"/>
            <w:noWrap/>
            <w:vAlign w:val="bottom"/>
          </w:tcPr>
          <w:p w14:paraId="6AB12BB3" w14:textId="51B7C2DC" w:rsidR="00C74191" w:rsidRPr="005B6501" w:rsidRDefault="00C74191">
            <w:pPr>
              <w:jc w:val="right"/>
              <w:rPr>
                <w:rFonts w:ascii="Arial" w:hAnsi="Arial" w:cs="Arial"/>
                <w:b/>
                <w:sz w:val="16"/>
                <w:szCs w:val="16"/>
              </w:rPr>
            </w:pPr>
            <w:r w:rsidRPr="00BA7A6B">
              <w:rPr>
                <w:rFonts w:ascii="Arial" w:hAnsi="Arial" w:cs="Arial"/>
                <w:b/>
                <w:sz w:val="16"/>
                <w:szCs w:val="16"/>
              </w:rPr>
              <w:t>-16.355.813</w:t>
            </w:r>
          </w:p>
        </w:tc>
      </w:tr>
      <w:tr w:rsidR="00C74191" w:rsidRPr="005B6501" w14:paraId="4D9B5068" w14:textId="77777777" w:rsidTr="00BA7A6B">
        <w:trPr>
          <w:trHeight w:val="28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0796C02C"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Pasivo por impuestos a las ganancias corriente</w:t>
            </w:r>
          </w:p>
        </w:tc>
        <w:tc>
          <w:tcPr>
            <w:tcW w:w="1648" w:type="dxa"/>
            <w:tcBorders>
              <w:top w:val="nil"/>
              <w:left w:val="nil"/>
              <w:bottom w:val="single" w:sz="4" w:space="0" w:color="auto"/>
              <w:right w:val="single" w:sz="4" w:space="0" w:color="auto"/>
            </w:tcBorders>
            <w:shd w:val="clear" w:color="auto" w:fill="auto"/>
            <w:noWrap/>
            <w:vAlign w:val="bottom"/>
          </w:tcPr>
          <w:p w14:paraId="3D57053E" w14:textId="11BB6085" w:rsidR="00C74191" w:rsidRPr="005B6501" w:rsidRDefault="00C74191">
            <w:pPr>
              <w:jc w:val="right"/>
              <w:rPr>
                <w:rFonts w:ascii="Arial" w:hAnsi="Arial" w:cs="Arial"/>
                <w:b/>
                <w:sz w:val="16"/>
                <w:szCs w:val="16"/>
              </w:rPr>
            </w:pPr>
            <w:r w:rsidRPr="00BA7A6B">
              <w:rPr>
                <w:rFonts w:ascii="Arial" w:hAnsi="Arial" w:cs="Arial"/>
                <w:sz w:val="16"/>
                <w:szCs w:val="16"/>
              </w:rPr>
              <w:t xml:space="preserve"> -278.250 </w:t>
            </w:r>
          </w:p>
        </w:tc>
        <w:tc>
          <w:tcPr>
            <w:tcW w:w="1372" w:type="dxa"/>
            <w:tcBorders>
              <w:top w:val="nil"/>
              <w:left w:val="nil"/>
              <w:bottom w:val="single" w:sz="4" w:space="0" w:color="auto"/>
              <w:right w:val="single" w:sz="4" w:space="0" w:color="auto"/>
            </w:tcBorders>
            <w:shd w:val="clear" w:color="auto" w:fill="auto"/>
            <w:noWrap/>
            <w:vAlign w:val="bottom"/>
          </w:tcPr>
          <w:p w14:paraId="4E70EA46" w14:textId="5C7285B0" w:rsidR="00C74191" w:rsidRPr="005B6501" w:rsidRDefault="00C74191">
            <w:pPr>
              <w:jc w:val="right"/>
              <w:rPr>
                <w:rFonts w:ascii="Arial" w:hAnsi="Arial" w:cs="Arial"/>
                <w:b/>
                <w:sz w:val="16"/>
                <w:szCs w:val="16"/>
              </w:rPr>
            </w:pPr>
            <w:r w:rsidRPr="00BA7A6B">
              <w:rPr>
                <w:rFonts w:ascii="Arial" w:hAnsi="Arial" w:cs="Arial"/>
                <w:sz w:val="16"/>
                <w:szCs w:val="16"/>
              </w:rPr>
              <w:t xml:space="preserve"> -272.792 </w:t>
            </w:r>
          </w:p>
        </w:tc>
        <w:tc>
          <w:tcPr>
            <w:tcW w:w="1701" w:type="dxa"/>
            <w:tcBorders>
              <w:top w:val="nil"/>
              <w:left w:val="nil"/>
              <w:bottom w:val="single" w:sz="4" w:space="0" w:color="auto"/>
              <w:right w:val="single" w:sz="4" w:space="0" w:color="auto"/>
            </w:tcBorders>
            <w:shd w:val="clear" w:color="auto" w:fill="auto"/>
            <w:noWrap/>
            <w:vAlign w:val="bottom"/>
          </w:tcPr>
          <w:p w14:paraId="5CD85599" w14:textId="307F93B2" w:rsidR="00C74191" w:rsidRPr="005B6501" w:rsidRDefault="00C74191">
            <w:pPr>
              <w:jc w:val="right"/>
              <w:rPr>
                <w:rFonts w:ascii="Arial" w:hAnsi="Arial" w:cs="Arial"/>
                <w:b/>
                <w:sz w:val="16"/>
                <w:szCs w:val="16"/>
              </w:rPr>
            </w:pPr>
            <w:r w:rsidRPr="00BA7A6B">
              <w:rPr>
                <w:rFonts w:ascii="Arial" w:hAnsi="Arial" w:cs="Arial"/>
                <w:sz w:val="16"/>
                <w:szCs w:val="16"/>
              </w:rPr>
              <w:t xml:space="preserve"> -562.851 </w:t>
            </w:r>
          </w:p>
        </w:tc>
        <w:tc>
          <w:tcPr>
            <w:tcW w:w="1433" w:type="dxa"/>
            <w:tcBorders>
              <w:top w:val="nil"/>
              <w:left w:val="nil"/>
              <w:bottom w:val="single" w:sz="4" w:space="0" w:color="auto"/>
              <w:right w:val="single" w:sz="4" w:space="0" w:color="auto"/>
            </w:tcBorders>
            <w:shd w:val="clear" w:color="auto" w:fill="auto"/>
            <w:noWrap/>
            <w:vAlign w:val="bottom"/>
          </w:tcPr>
          <w:p w14:paraId="7258A413" w14:textId="2951D694" w:rsidR="00C74191" w:rsidRPr="005B6501" w:rsidRDefault="00C74191">
            <w:pPr>
              <w:jc w:val="right"/>
              <w:rPr>
                <w:rFonts w:ascii="Arial" w:hAnsi="Arial" w:cs="Arial"/>
                <w:b/>
                <w:sz w:val="16"/>
                <w:szCs w:val="16"/>
              </w:rPr>
            </w:pPr>
            <w:r w:rsidRPr="00BA7A6B">
              <w:rPr>
                <w:rFonts w:ascii="Arial" w:hAnsi="Arial" w:cs="Arial"/>
                <w:b/>
                <w:sz w:val="16"/>
                <w:szCs w:val="16"/>
              </w:rPr>
              <w:t>-1.113.893</w:t>
            </w:r>
          </w:p>
        </w:tc>
      </w:tr>
      <w:tr w:rsidR="00C74191" w:rsidRPr="005B6501" w14:paraId="05E88E9F" w14:textId="77777777" w:rsidTr="00BA7A6B">
        <w:trPr>
          <w:trHeight w:val="28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5A688803"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Obligaciones negociables subordinadas</w:t>
            </w:r>
          </w:p>
        </w:tc>
        <w:tc>
          <w:tcPr>
            <w:tcW w:w="1648" w:type="dxa"/>
            <w:tcBorders>
              <w:top w:val="nil"/>
              <w:left w:val="nil"/>
              <w:bottom w:val="single" w:sz="4" w:space="0" w:color="auto"/>
              <w:right w:val="single" w:sz="4" w:space="0" w:color="auto"/>
            </w:tcBorders>
            <w:shd w:val="clear" w:color="auto" w:fill="auto"/>
            <w:noWrap/>
            <w:vAlign w:val="bottom"/>
          </w:tcPr>
          <w:p w14:paraId="7736B9F2" w14:textId="43A1A71C" w:rsidR="00C74191" w:rsidRPr="005B6501" w:rsidRDefault="00C74191">
            <w:pPr>
              <w:jc w:val="right"/>
              <w:rPr>
                <w:rFonts w:ascii="Arial" w:hAnsi="Arial" w:cs="Arial"/>
                <w:b/>
                <w:sz w:val="16"/>
                <w:szCs w:val="16"/>
              </w:rPr>
            </w:pPr>
            <w:r w:rsidRPr="00BA7A6B">
              <w:rPr>
                <w:rFonts w:ascii="Arial" w:hAnsi="Arial" w:cs="Arial"/>
                <w:sz w:val="16"/>
                <w:szCs w:val="16"/>
              </w:rPr>
              <w:t xml:space="preserve"> -585.400 </w:t>
            </w:r>
          </w:p>
        </w:tc>
        <w:tc>
          <w:tcPr>
            <w:tcW w:w="1372" w:type="dxa"/>
            <w:tcBorders>
              <w:top w:val="nil"/>
              <w:left w:val="nil"/>
              <w:bottom w:val="single" w:sz="4" w:space="0" w:color="auto"/>
              <w:right w:val="single" w:sz="4" w:space="0" w:color="auto"/>
            </w:tcBorders>
            <w:shd w:val="clear" w:color="auto" w:fill="auto"/>
            <w:noWrap/>
            <w:vAlign w:val="bottom"/>
          </w:tcPr>
          <w:p w14:paraId="09887779" w14:textId="2B94B19E" w:rsidR="00C74191" w:rsidRPr="005B6501" w:rsidRDefault="00C74191">
            <w:pPr>
              <w:jc w:val="right"/>
              <w:rPr>
                <w:rFonts w:ascii="Arial" w:hAnsi="Arial" w:cs="Arial"/>
                <w:b/>
                <w:sz w:val="16"/>
                <w:szCs w:val="16"/>
              </w:rPr>
            </w:pPr>
            <w:r w:rsidRPr="00BA7A6B">
              <w:rPr>
                <w:rFonts w:ascii="Arial" w:hAnsi="Arial" w:cs="Arial"/>
                <w:sz w:val="16"/>
                <w:szCs w:val="16"/>
              </w:rPr>
              <w:t xml:space="preserve"> -573.917 </w:t>
            </w:r>
          </w:p>
        </w:tc>
        <w:tc>
          <w:tcPr>
            <w:tcW w:w="1701" w:type="dxa"/>
            <w:tcBorders>
              <w:top w:val="nil"/>
              <w:left w:val="nil"/>
              <w:bottom w:val="single" w:sz="4" w:space="0" w:color="auto"/>
              <w:right w:val="single" w:sz="4" w:space="0" w:color="auto"/>
            </w:tcBorders>
            <w:shd w:val="clear" w:color="auto" w:fill="auto"/>
            <w:noWrap/>
            <w:vAlign w:val="bottom"/>
          </w:tcPr>
          <w:p w14:paraId="535C087D" w14:textId="026EC914" w:rsidR="00C74191" w:rsidRPr="005B6501" w:rsidRDefault="00C74191">
            <w:pPr>
              <w:jc w:val="right"/>
              <w:rPr>
                <w:rFonts w:ascii="Arial" w:hAnsi="Arial" w:cs="Arial"/>
                <w:b/>
                <w:sz w:val="16"/>
                <w:szCs w:val="16"/>
              </w:rPr>
            </w:pPr>
            <w:r w:rsidRPr="00BA7A6B">
              <w:rPr>
                <w:rFonts w:ascii="Arial" w:hAnsi="Arial" w:cs="Arial"/>
                <w:sz w:val="16"/>
                <w:szCs w:val="16"/>
              </w:rPr>
              <w:t xml:space="preserve"> -1.184.156 </w:t>
            </w:r>
          </w:p>
        </w:tc>
        <w:tc>
          <w:tcPr>
            <w:tcW w:w="1433" w:type="dxa"/>
            <w:tcBorders>
              <w:top w:val="nil"/>
              <w:left w:val="nil"/>
              <w:bottom w:val="single" w:sz="4" w:space="0" w:color="auto"/>
              <w:right w:val="single" w:sz="4" w:space="0" w:color="auto"/>
            </w:tcBorders>
            <w:shd w:val="clear" w:color="auto" w:fill="auto"/>
            <w:noWrap/>
            <w:vAlign w:val="bottom"/>
          </w:tcPr>
          <w:p w14:paraId="0CBE91B5" w14:textId="6F24AD19" w:rsidR="00C74191" w:rsidRPr="005B6501" w:rsidRDefault="00C74191">
            <w:pPr>
              <w:jc w:val="right"/>
              <w:rPr>
                <w:rFonts w:ascii="Arial" w:hAnsi="Arial" w:cs="Arial"/>
                <w:b/>
                <w:sz w:val="16"/>
                <w:szCs w:val="16"/>
              </w:rPr>
            </w:pPr>
            <w:r w:rsidRPr="00BA7A6B">
              <w:rPr>
                <w:rFonts w:ascii="Arial" w:hAnsi="Arial" w:cs="Arial"/>
                <w:b/>
                <w:sz w:val="16"/>
                <w:szCs w:val="16"/>
              </w:rPr>
              <w:t>-2.343.473</w:t>
            </w:r>
          </w:p>
        </w:tc>
      </w:tr>
      <w:tr w:rsidR="00C74191" w:rsidRPr="005B6501" w14:paraId="19EE9BAA" w14:textId="77777777" w:rsidTr="00BA7A6B">
        <w:trPr>
          <w:trHeight w:val="26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45B41046"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Provisiones</w:t>
            </w:r>
          </w:p>
        </w:tc>
        <w:tc>
          <w:tcPr>
            <w:tcW w:w="1648" w:type="dxa"/>
            <w:tcBorders>
              <w:top w:val="nil"/>
              <w:left w:val="nil"/>
              <w:bottom w:val="single" w:sz="4" w:space="0" w:color="auto"/>
              <w:right w:val="single" w:sz="4" w:space="0" w:color="auto"/>
            </w:tcBorders>
            <w:shd w:val="clear" w:color="auto" w:fill="auto"/>
            <w:noWrap/>
            <w:vAlign w:val="bottom"/>
          </w:tcPr>
          <w:p w14:paraId="27E13535" w14:textId="6D11980F" w:rsidR="00C74191" w:rsidRPr="005B6501" w:rsidRDefault="00C74191">
            <w:pPr>
              <w:jc w:val="right"/>
              <w:rPr>
                <w:rFonts w:ascii="Arial" w:hAnsi="Arial" w:cs="Arial"/>
                <w:b/>
                <w:sz w:val="16"/>
                <w:szCs w:val="16"/>
              </w:rPr>
            </w:pPr>
            <w:r w:rsidRPr="00BA7A6B">
              <w:rPr>
                <w:rFonts w:ascii="Arial" w:hAnsi="Arial" w:cs="Arial"/>
                <w:sz w:val="16"/>
                <w:szCs w:val="16"/>
              </w:rPr>
              <w:t xml:space="preserve"> -17.760 </w:t>
            </w:r>
          </w:p>
        </w:tc>
        <w:tc>
          <w:tcPr>
            <w:tcW w:w="1372" w:type="dxa"/>
            <w:tcBorders>
              <w:top w:val="nil"/>
              <w:left w:val="nil"/>
              <w:bottom w:val="single" w:sz="4" w:space="0" w:color="auto"/>
              <w:right w:val="single" w:sz="4" w:space="0" w:color="auto"/>
            </w:tcBorders>
            <w:shd w:val="clear" w:color="auto" w:fill="auto"/>
            <w:noWrap/>
            <w:vAlign w:val="bottom"/>
          </w:tcPr>
          <w:p w14:paraId="05C2FBB0" w14:textId="570371A8" w:rsidR="00C74191" w:rsidRPr="005B6501" w:rsidRDefault="00C74191">
            <w:pPr>
              <w:jc w:val="right"/>
              <w:rPr>
                <w:rFonts w:ascii="Arial" w:hAnsi="Arial" w:cs="Arial"/>
                <w:b/>
                <w:sz w:val="16"/>
                <w:szCs w:val="16"/>
              </w:rPr>
            </w:pPr>
            <w:r w:rsidRPr="00BA7A6B">
              <w:rPr>
                <w:rFonts w:ascii="Arial" w:hAnsi="Arial" w:cs="Arial"/>
                <w:sz w:val="16"/>
                <w:szCs w:val="16"/>
              </w:rPr>
              <w:t xml:space="preserve"> -17.349 </w:t>
            </w:r>
          </w:p>
        </w:tc>
        <w:tc>
          <w:tcPr>
            <w:tcW w:w="1701" w:type="dxa"/>
            <w:tcBorders>
              <w:top w:val="nil"/>
              <w:left w:val="nil"/>
              <w:bottom w:val="single" w:sz="4" w:space="0" w:color="auto"/>
              <w:right w:val="single" w:sz="4" w:space="0" w:color="auto"/>
            </w:tcBorders>
            <w:shd w:val="clear" w:color="auto" w:fill="auto"/>
            <w:noWrap/>
            <w:vAlign w:val="bottom"/>
          </w:tcPr>
          <w:p w14:paraId="243E42B7" w14:textId="3A2C1DC3" w:rsidR="00C74191" w:rsidRPr="005B6501" w:rsidRDefault="00C74191">
            <w:pPr>
              <w:jc w:val="right"/>
              <w:rPr>
                <w:rFonts w:ascii="Arial" w:hAnsi="Arial" w:cs="Arial"/>
                <w:b/>
                <w:sz w:val="16"/>
                <w:szCs w:val="16"/>
              </w:rPr>
            </w:pPr>
            <w:r w:rsidRPr="00BA7A6B">
              <w:rPr>
                <w:rFonts w:ascii="Arial" w:hAnsi="Arial" w:cs="Arial"/>
                <w:sz w:val="16"/>
                <w:szCs w:val="16"/>
              </w:rPr>
              <w:t xml:space="preserve"> -33.925 </w:t>
            </w:r>
          </w:p>
        </w:tc>
        <w:tc>
          <w:tcPr>
            <w:tcW w:w="1433" w:type="dxa"/>
            <w:tcBorders>
              <w:top w:val="nil"/>
              <w:left w:val="nil"/>
              <w:bottom w:val="single" w:sz="4" w:space="0" w:color="auto"/>
              <w:right w:val="single" w:sz="4" w:space="0" w:color="auto"/>
            </w:tcBorders>
            <w:shd w:val="clear" w:color="auto" w:fill="auto"/>
            <w:noWrap/>
            <w:vAlign w:val="bottom"/>
          </w:tcPr>
          <w:p w14:paraId="03922DAB" w14:textId="497E929D" w:rsidR="00C74191" w:rsidRPr="005B6501" w:rsidRDefault="00C74191">
            <w:pPr>
              <w:jc w:val="right"/>
              <w:rPr>
                <w:rFonts w:ascii="Arial" w:hAnsi="Arial" w:cs="Arial"/>
                <w:b/>
                <w:sz w:val="16"/>
                <w:szCs w:val="16"/>
              </w:rPr>
            </w:pPr>
            <w:r w:rsidRPr="00BA7A6B">
              <w:rPr>
                <w:rFonts w:ascii="Arial" w:hAnsi="Arial" w:cs="Arial"/>
                <w:b/>
                <w:sz w:val="16"/>
                <w:szCs w:val="16"/>
              </w:rPr>
              <w:t>-69.034</w:t>
            </w:r>
          </w:p>
        </w:tc>
      </w:tr>
      <w:tr w:rsidR="00C74191" w:rsidRPr="005B6501" w14:paraId="45FDD58C" w14:textId="77777777" w:rsidTr="00BA7A6B">
        <w:trPr>
          <w:trHeight w:val="264"/>
          <w:jc w:val="center"/>
        </w:trPr>
        <w:tc>
          <w:tcPr>
            <w:tcW w:w="4254" w:type="dxa"/>
            <w:tcBorders>
              <w:top w:val="nil"/>
              <w:left w:val="single" w:sz="4" w:space="0" w:color="auto"/>
              <w:bottom w:val="single" w:sz="4" w:space="0" w:color="auto"/>
              <w:right w:val="single" w:sz="4" w:space="0" w:color="auto"/>
            </w:tcBorders>
            <w:shd w:val="clear" w:color="auto" w:fill="auto"/>
            <w:vAlign w:val="bottom"/>
          </w:tcPr>
          <w:p w14:paraId="1064FEA6" w14:textId="4CCB0C35" w:rsidR="00C74191" w:rsidRPr="005B6501" w:rsidRDefault="00C74191" w:rsidP="00C74191">
            <w:pPr>
              <w:rPr>
                <w:rFonts w:ascii="Arial" w:hAnsi="Arial" w:cs="Arial"/>
                <w:b/>
                <w:sz w:val="16"/>
                <w:szCs w:val="18"/>
              </w:rPr>
            </w:pPr>
            <w:r w:rsidRPr="005B6501">
              <w:rPr>
                <w:rFonts w:ascii="Arial" w:hAnsi="Arial" w:cs="Arial"/>
                <w:b/>
                <w:sz w:val="16"/>
                <w:szCs w:val="18"/>
              </w:rPr>
              <w:t>Pasivo por impuestos a las ganancias diferido</w:t>
            </w:r>
          </w:p>
        </w:tc>
        <w:tc>
          <w:tcPr>
            <w:tcW w:w="1648" w:type="dxa"/>
            <w:tcBorders>
              <w:top w:val="nil"/>
              <w:left w:val="nil"/>
              <w:bottom w:val="single" w:sz="4" w:space="0" w:color="auto"/>
              <w:right w:val="single" w:sz="4" w:space="0" w:color="auto"/>
            </w:tcBorders>
            <w:shd w:val="clear" w:color="auto" w:fill="auto"/>
            <w:noWrap/>
            <w:vAlign w:val="bottom"/>
          </w:tcPr>
          <w:p w14:paraId="0D89F043" w14:textId="3561D91C" w:rsidR="00C74191" w:rsidRPr="005B6501" w:rsidRDefault="00C74191">
            <w:pPr>
              <w:jc w:val="right"/>
              <w:rPr>
                <w:rFonts w:ascii="Arial" w:hAnsi="Arial" w:cs="Arial"/>
                <w:b/>
                <w:sz w:val="16"/>
                <w:szCs w:val="16"/>
              </w:rPr>
            </w:pPr>
            <w:r w:rsidRPr="00BA7A6B">
              <w:rPr>
                <w:rFonts w:ascii="Arial" w:hAnsi="Arial" w:cs="Arial"/>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tcPr>
          <w:p w14:paraId="7FD2F887" w14:textId="05D2DCD2" w:rsidR="00C74191" w:rsidRPr="005B6501" w:rsidRDefault="00C74191">
            <w:pPr>
              <w:jc w:val="right"/>
              <w:rPr>
                <w:rFonts w:ascii="Arial" w:hAnsi="Arial" w:cs="Arial"/>
                <w:b/>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tcPr>
          <w:p w14:paraId="5B954A1A" w14:textId="056E0902" w:rsidR="00C74191" w:rsidRPr="005B6501" w:rsidRDefault="00C74191">
            <w:pPr>
              <w:jc w:val="right"/>
              <w:rPr>
                <w:rFonts w:ascii="Arial" w:hAnsi="Arial" w:cs="Arial"/>
                <w:b/>
                <w:sz w:val="16"/>
                <w:szCs w:val="16"/>
              </w:rPr>
            </w:pPr>
            <w:r w:rsidRPr="00BA7A6B">
              <w:rPr>
                <w:rFonts w:ascii="Arial" w:hAnsi="Arial" w:cs="Arial"/>
                <w:sz w:val="16"/>
                <w:szCs w:val="16"/>
              </w:rPr>
              <w:t xml:space="preserve"> -295.370 </w:t>
            </w:r>
          </w:p>
        </w:tc>
        <w:tc>
          <w:tcPr>
            <w:tcW w:w="1433" w:type="dxa"/>
            <w:tcBorders>
              <w:top w:val="nil"/>
              <w:left w:val="nil"/>
              <w:bottom w:val="single" w:sz="4" w:space="0" w:color="auto"/>
              <w:right w:val="single" w:sz="4" w:space="0" w:color="auto"/>
            </w:tcBorders>
            <w:shd w:val="clear" w:color="auto" w:fill="auto"/>
            <w:noWrap/>
            <w:vAlign w:val="bottom"/>
          </w:tcPr>
          <w:p w14:paraId="0948B96A" w14:textId="0C029CEB" w:rsidR="00C74191" w:rsidRPr="005B6501" w:rsidRDefault="00C74191">
            <w:pPr>
              <w:jc w:val="right"/>
              <w:rPr>
                <w:rFonts w:ascii="Arial" w:hAnsi="Arial" w:cs="Arial"/>
                <w:b/>
                <w:sz w:val="16"/>
                <w:szCs w:val="16"/>
              </w:rPr>
            </w:pPr>
            <w:r w:rsidRPr="00BA7A6B">
              <w:rPr>
                <w:rFonts w:ascii="Arial" w:hAnsi="Arial" w:cs="Arial"/>
                <w:b/>
                <w:sz w:val="16"/>
                <w:szCs w:val="16"/>
              </w:rPr>
              <w:t>-295.370</w:t>
            </w:r>
          </w:p>
        </w:tc>
      </w:tr>
      <w:tr w:rsidR="00C74191" w:rsidRPr="005B6501" w14:paraId="12D5E07C" w14:textId="77777777" w:rsidTr="00BA7A6B">
        <w:trPr>
          <w:trHeight w:val="273"/>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71D6987B"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Otros pasivos no financieros</w:t>
            </w:r>
          </w:p>
        </w:tc>
        <w:tc>
          <w:tcPr>
            <w:tcW w:w="1648" w:type="dxa"/>
            <w:tcBorders>
              <w:top w:val="nil"/>
              <w:left w:val="nil"/>
              <w:bottom w:val="single" w:sz="4" w:space="0" w:color="auto"/>
              <w:right w:val="single" w:sz="4" w:space="0" w:color="auto"/>
            </w:tcBorders>
            <w:shd w:val="clear" w:color="auto" w:fill="auto"/>
            <w:noWrap/>
            <w:vAlign w:val="bottom"/>
          </w:tcPr>
          <w:p w14:paraId="50A48AB6" w14:textId="7E95BBA2" w:rsidR="00C74191" w:rsidRPr="005B6501" w:rsidRDefault="00EF6494">
            <w:pPr>
              <w:jc w:val="right"/>
              <w:rPr>
                <w:rFonts w:ascii="Arial" w:hAnsi="Arial" w:cs="Arial"/>
                <w:b/>
                <w:sz w:val="16"/>
                <w:szCs w:val="16"/>
              </w:rPr>
            </w:pPr>
            <w:r w:rsidRPr="00EF6494">
              <w:rPr>
                <w:rFonts w:ascii="Arial" w:hAnsi="Arial" w:cs="Arial"/>
                <w:sz w:val="16"/>
                <w:szCs w:val="16"/>
              </w:rPr>
              <w:t>-13.005</w:t>
            </w:r>
          </w:p>
        </w:tc>
        <w:tc>
          <w:tcPr>
            <w:tcW w:w="1372" w:type="dxa"/>
            <w:tcBorders>
              <w:top w:val="nil"/>
              <w:left w:val="nil"/>
              <w:bottom w:val="single" w:sz="4" w:space="0" w:color="auto"/>
              <w:right w:val="single" w:sz="4" w:space="0" w:color="auto"/>
            </w:tcBorders>
            <w:shd w:val="clear" w:color="auto" w:fill="auto"/>
            <w:noWrap/>
            <w:vAlign w:val="bottom"/>
          </w:tcPr>
          <w:p w14:paraId="536A54D6" w14:textId="23252935" w:rsidR="00C74191" w:rsidRPr="005B6501" w:rsidRDefault="00EF6494">
            <w:pPr>
              <w:jc w:val="right"/>
              <w:rPr>
                <w:rFonts w:ascii="Arial" w:hAnsi="Arial" w:cs="Arial"/>
                <w:b/>
                <w:sz w:val="16"/>
                <w:szCs w:val="16"/>
              </w:rPr>
            </w:pPr>
            <w:r w:rsidRPr="00EF6494">
              <w:rPr>
                <w:rFonts w:ascii="Arial" w:hAnsi="Arial" w:cs="Arial"/>
                <w:sz w:val="16"/>
                <w:szCs w:val="16"/>
              </w:rPr>
              <w:t>-1.393.999</w:t>
            </w:r>
          </w:p>
        </w:tc>
        <w:tc>
          <w:tcPr>
            <w:tcW w:w="1701" w:type="dxa"/>
            <w:tcBorders>
              <w:top w:val="nil"/>
              <w:left w:val="nil"/>
              <w:bottom w:val="single" w:sz="4" w:space="0" w:color="auto"/>
              <w:right w:val="single" w:sz="4" w:space="0" w:color="auto"/>
            </w:tcBorders>
            <w:shd w:val="clear" w:color="auto" w:fill="auto"/>
            <w:noWrap/>
            <w:vAlign w:val="bottom"/>
          </w:tcPr>
          <w:p w14:paraId="31458516" w14:textId="189E4D77" w:rsidR="00C74191" w:rsidRPr="005B6501" w:rsidRDefault="00C74191">
            <w:pPr>
              <w:jc w:val="right"/>
              <w:rPr>
                <w:rFonts w:ascii="Arial" w:hAnsi="Arial" w:cs="Arial"/>
                <w:b/>
                <w:sz w:val="16"/>
                <w:szCs w:val="16"/>
              </w:rPr>
            </w:pPr>
            <w:r w:rsidRPr="00BA7A6B">
              <w:rPr>
                <w:rFonts w:ascii="Arial" w:hAnsi="Arial" w:cs="Arial"/>
                <w:sz w:val="16"/>
                <w:szCs w:val="16"/>
              </w:rPr>
              <w:t xml:space="preserve"> -5.163.923 </w:t>
            </w:r>
          </w:p>
        </w:tc>
        <w:tc>
          <w:tcPr>
            <w:tcW w:w="1433" w:type="dxa"/>
            <w:tcBorders>
              <w:top w:val="nil"/>
              <w:left w:val="nil"/>
              <w:bottom w:val="single" w:sz="4" w:space="0" w:color="auto"/>
              <w:right w:val="single" w:sz="4" w:space="0" w:color="auto"/>
            </w:tcBorders>
            <w:shd w:val="clear" w:color="auto" w:fill="auto"/>
            <w:noWrap/>
            <w:vAlign w:val="bottom"/>
          </w:tcPr>
          <w:p w14:paraId="530F73AF" w14:textId="0C0E9E2F" w:rsidR="00C74191" w:rsidRPr="005B6501" w:rsidRDefault="00C74191">
            <w:pPr>
              <w:jc w:val="right"/>
              <w:rPr>
                <w:rFonts w:ascii="Arial" w:hAnsi="Arial" w:cs="Arial"/>
                <w:b/>
                <w:sz w:val="16"/>
                <w:szCs w:val="16"/>
              </w:rPr>
            </w:pPr>
            <w:r w:rsidRPr="00BA7A6B">
              <w:rPr>
                <w:rFonts w:ascii="Arial" w:hAnsi="Arial" w:cs="Arial"/>
                <w:b/>
                <w:sz w:val="16"/>
                <w:szCs w:val="16"/>
              </w:rPr>
              <w:t>-6.570.927</w:t>
            </w:r>
          </w:p>
        </w:tc>
      </w:tr>
      <w:tr w:rsidR="00C74191" w:rsidRPr="005B6501" w14:paraId="1514B300" w14:textId="77777777" w:rsidTr="00BA7A6B">
        <w:trPr>
          <w:trHeight w:val="262"/>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3211BBB5" w14:textId="77777777" w:rsidR="00C74191" w:rsidRPr="005B6501" w:rsidRDefault="00C74191" w:rsidP="00C74191">
            <w:pPr>
              <w:rPr>
                <w:rFonts w:ascii="Arial" w:hAnsi="Arial" w:cs="Arial"/>
                <w:b/>
                <w:bCs/>
                <w:sz w:val="16"/>
                <w:szCs w:val="18"/>
                <w:lang w:eastAsia="es-AR"/>
              </w:rPr>
            </w:pPr>
            <w:r w:rsidRPr="005B6501">
              <w:rPr>
                <w:rFonts w:ascii="Arial" w:hAnsi="Arial" w:cs="Arial"/>
                <w:b/>
                <w:sz w:val="16"/>
                <w:szCs w:val="18"/>
              </w:rPr>
              <w:t>TOTAL PASIVO</w:t>
            </w:r>
          </w:p>
        </w:tc>
        <w:tc>
          <w:tcPr>
            <w:tcW w:w="1648" w:type="dxa"/>
            <w:tcBorders>
              <w:top w:val="nil"/>
              <w:left w:val="nil"/>
              <w:bottom w:val="single" w:sz="4" w:space="0" w:color="auto"/>
              <w:right w:val="single" w:sz="4" w:space="0" w:color="auto"/>
            </w:tcBorders>
            <w:shd w:val="clear" w:color="auto" w:fill="auto"/>
            <w:noWrap/>
            <w:vAlign w:val="bottom"/>
            <w:hideMark/>
          </w:tcPr>
          <w:p w14:paraId="6D5ACD3E" w14:textId="40312E54" w:rsidR="00C74191" w:rsidRPr="005B6501" w:rsidRDefault="00DF3BC9">
            <w:pPr>
              <w:jc w:val="right"/>
              <w:rPr>
                <w:rFonts w:ascii="Arial" w:hAnsi="Arial" w:cs="Arial"/>
                <w:b/>
                <w:sz w:val="16"/>
                <w:szCs w:val="16"/>
              </w:rPr>
            </w:pPr>
            <w:r w:rsidRPr="00DF3BC9">
              <w:rPr>
                <w:rFonts w:ascii="Arial" w:hAnsi="Arial" w:cs="Arial"/>
                <w:b/>
                <w:sz w:val="16"/>
                <w:szCs w:val="16"/>
              </w:rPr>
              <w:t>-16.738.13</w:t>
            </w:r>
            <w:r w:rsidR="002F7103">
              <w:rPr>
                <w:rFonts w:ascii="Arial" w:hAnsi="Arial" w:cs="Arial"/>
                <w:b/>
                <w:sz w:val="16"/>
                <w:szCs w:val="16"/>
              </w:rPr>
              <w:t>1</w:t>
            </w:r>
          </w:p>
        </w:tc>
        <w:tc>
          <w:tcPr>
            <w:tcW w:w="1372" w:type="dxa"/>
            <w:tcBorders>
              <w:top w:val="nil"/>
              <w:left w:val="nil"/>
              <w:bottom w:val="single" w:sz="4" w:space="0" w:color="auto"/>
              <w:right w:val="single" w:sz="4" w:space="0" w:color="auto"/>
            </w:tcBorders>
            <w:shd w:val="clear" w:color="auto" w:fill="auto"/>
            <w:noWrap/>
            <w:vAlign w:val="bottom"/>
            <w:hideMark/>
          </w:tcPr>
          <w:p w14:paraId="4F80B018" w14:textId="39CB10A0" w:rsidR="00C74191" w:rsidRPr="005B6501" w:rsidRDefault="00DF3BC9">
            <w:pPr>
              <w:jc w:val="right"/>
              <w:rPr>
                <w:rFonts w:ascii="Arial" w:hAnsi="Arial" w:cs="Arial"/>
                <w:b/>
                <w:sz w:val="16"/>
                <w:szCs w:val="16"/>
              </w:rPr>
            </w:pPr>
            <w:r w:rsidRPr="00DF3BC9">
              <w:rPr>
                <w:rFonts w:ascii="Arial" w:hAnsi="Arial" w:cs="Arial"/>
                <w:b/>
                <w:sz w:val="16"/>
                <w:szCs w:val="16"/>
              </w:rPr>
              <w:t>-94.317.40</w:t>
            </w:r>
            <w:r w:rsidR="002F7103">
              <w:rPr>
                <w:rFonts w:ascii="Arial" w:hAnsi="Arial" w:cs="Arial"/>
                <w:b/>
                <w:sz w:val="16"/>
                <w:szCs w:val="16"/>
              </w:rPr>
              <w:t>8</w:t>
            </w:r>
          </w:p>
        </w:tc>
        <w:tc>
          <w:tcPr>
            <w:tcW w:w="1701" w:type="dxa"/>
            <w:tcBorders>
              <w:top w:val="nil"/>
              <w:left w:val="nil"/>
              <w:bottom w:val="single" w:sz="4" w:space="0" w:color="auto"/>
              <w:right w:val="single" w:sz="4" w:space="0" w:color="auto"/>
            </w:tcBorders>
            <w:shd w:val="clear" w:color="auto" w:fill="auto"/>
            <w:noWrap/>
            <w:vAlign w:val="bottom"/>
            <w:hideMark/>
          </w:tcPr>
          <w:p w14:paraId="16F06A34" w14:textId="50826DA3" w:rsidR="00C74191" w:rsidRPr="005B6501" w:rsidRDefault="00DF3BC9">
            <w:pPr>
              <w:jc w:val="right"/>
              <w:rPr>
                <w:rFonts w:ascii="Arial" w:hAnsi="Arial" w:cs="Arial"/>
                <w:b/>
                <w:sz w:val="16"/>
                <w:szCs w:val="16"/>
              </w:rPr>
            </w:pPr>
            <w:r w:rsidRPr="00DF3BC9">
              <w:rPr>
                <w:rFonts w:ascii="Arial" w:hAnsi="Arial" w:cs="Arial"/>
                <w:b/>
                <w:sz w:val="16"/>
                <w:szCs w:val="16"/>
              </w:rPr>
              <w:t>-100.041.687</w:t>
            </w:r>
          </w:p>
        </w:tc>
        <w:tc>
          <w:tcPr>
            <w:tcW w:w="1433" w:type="dxa"/>
            <w:tcBorders>
              <w:top w:val="nil"/>
              <w:left w:val="nil"/>
              <w:bottom w:val="single" w:sz="4" w:space="0" w:color="auto"/>
              <w:right w:val="single" w:sz="4" w:space="0" w:color="auto"/>
            </w:tcBorders>
            <w:shd w:val="clear" w:color="auto" w:fill="auto"/>
            <w:noWrap/>
            <w:vAlign w:val="bottom"/>
            <w:hideMark/>
          </w:tcPr>
          <w:p w14:paraId="20270C6F" w14:textId="2E3BB6B1" w:rsidR="00C74191" w:rsidRPr="005B6501" w:rsidRDefault="00C74191">
            <w:pPr>
              <w:jc w:val="right"/>
              <w:rPr>
                <w:rFonts w:ascii="Arial" w:hAnsi="Arial" w:cs="Arial"/>
                <w:b/>
                <w:sz w:val="16"/>
                <w:szCs w:val="16"/>
              </w:rPr>
            </w:pPr>
            <w:r w:rsidRPr="00BA7A6B">
              <w:rPr>
                <w:rFonts w:ascii="Arial" w:hAnsi="Arial" w:cs="Arial"/>
                <w:b/>
                <w:sz w:val="16"/>
                <w:szCs w:val="16"/>
              </w:rPr>
              <w:t>-211.097.226</w:t>
            </w:r>
          </w:p>
        </w:tc>
      </w:tr>
    </w:tbl>
    <w:p w14:paraId="5623D513" w14:textId="77777777" w:rsidR="00C63989" w:rsidRPr="00BA7A6B" w:rsidRDefault="00C63989" w:rsidP="00C63989">
      <w:pPr>
        <w:jc w:val="both"/>
        <w:rPr>
          <w:rFonts w:ascii="Arial" w:hAnsi="Arial" w:cs="Arial"/>
          <w:sz w:val="20"/>
        </w:rPr>
      </w:pPr>
    </w:p>
    <w:tbl>
      <w:tblPr>
        <w:tblW w:w="10444" w:type="dxa"/>
        <w:jc w:val="center"/>
        <w:tblCellMar>
          <w:left w:w="70" w:type="dxa"/>
          <w:right w:w="70" w:type="dxa"/>
        </w:tblCellMar>
        <w:tblLook w:val="04A0" w:firstRow="1" w:lastRow="0" w:firstColumn="1" w:lastColumn="0" w:noHBand="0" w:noVBand="1"/>
      </w:tblPr>
      <w:tblGrid>
        <w:gridCol w:w="3771"/>
        <w:gridCol w:w="1475"/>
        <w:gridCol w:w="1563"/>
        <w:gridCol w:w="1272"/>
        <w:gridCol w:w="1143"/>
        <w:gridCol w:w="1220"/>
      </w:tblGrid>
      <w:tr w:rsidR="00851176" w:rsidRPr="005B6501" w14:paraId="2BB3CA70" w14:textId="77777777" w:rsidTr="00C63989">
        <w:trPr>
          <w:trHeight w:val="254"/>
          <w:tblHeader/>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21E15" w14:textId="6646A10D" w:rsidR="00851176" w:rsidRPr="00BA7A6B" w:rsidRDefault="00851176" w:rsidP="00851176">
            <w:pPr>
              <w:jc w:val="center"/>
              <w:rPr>
                <w:rFonts w:ascii="Arial" w:hAnsi="Arial" w:cs="Arial"/>
                <w:b/>
                <w:bCs/>
                <w:sz w:val="16"/>
                <w:szCs w:val="18"/>
                <w:lang w:eastAsia="es-AR"/>
              </w:rPr>
            </w:pPr>
            <w:r w:rsidRPr="00BA7A6B">
              <w:rPr>
                <w:rFonts w:ascii="Arial" w:hAnsi="Arial" w:cs="Arial"/>
                <w:b/>
                <w:bCs/>
                <w:sz w:val="16"/>
                <w:szCs w:val="18"/>
                <w:lang w:eastAsia="es-AR"/>
              </w:rPr>
              <w:t>Resultado por Segmentos al 31/03/2019</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DFD9" w14:textId="43DC5D06" w:rsidR="00851176" w:rsidRPr="00BA7A6B" w:rsidRDefault="00851176" w:rsidP="00851176">
            <w:pPr>
              <w:jc w:val="center"/>
              <w:rPr>
                <w:rFonts w:ascii="Arial" w:hAnsi="Arial" w:cs="Arial"/>
                <w:b/>
                <w:bCs/>
                <w:sz w:val="16"/>
                <w:szCs w:val="18"/>
                <w:lang w:eastAsia="es-AR"/>
              </w:rPr>
            </w:pPr>
            <w:r w:rsidRPr="00BA7A6B">
              <w:rPr>
                <w:rFonts w:ascii="Arial" w:hAnsi="Arial" w:cs="Arial"/>
                <w:b/>
                <w:bCs/>
                <w:color w:val="000000"/>
                <w:sz w:val="16"/>
                <w:szCs w:val="16"/>
                <w:lang w:eastAsia="es-AR"/>
              </w:rPr>
              <w:t xml:space="preserve"> Banca Corporativa</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067F6" w14:textId="77E975E9" w:rsidR="00851176" w:rsidRPr="00BA7A6B" w:rsidRDefault="00851176" w:rsidP="00851176">
            <w:pPr>
              <w:jc w:val="center"/>
              <w:rPr>
                <w:rFonts w:ascii="Arial" w:hAnsi="Arial" w:cs="Arial"/>
                <w:b/>
                <w:bCs/>
                <w:sz w:val="16"/>
                <w:szCs w:val="18"/>
                <w:lang w:eastAsia="es-AR"/>
              </w:rPr>
            </w:pPr>
            <w:r w:rsidRPr="00BA7A6B">
              <w:rPr>
                <w:rFonts w:ascii="Arial" w:hAnsi="Arial" w:cs="Arial"/>
                <w:b/>
                <w:bCs/>
                <w:color w:val="000000"/>
                <w:sz w:val="16"/>
                <w:szCs w:val="16"/>
                <w:lang w:eastAsia="es-AR"/>
              </w:rPr>
              <w:t xml:space="preserve"> Banca Personas y Negocios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14A4C" w14:textId="77777777" w:rsidR="00851176" w:rsidRPr="00BA7A6B" w:rsidRDefault="00851176" w:rsidP="00851176">
            <w:pPr>
              <w:jc w:val="center"/>
              <w:rPr>
                <w:rFonts w:ascii="Arial" w:hAnsi="Arial" w:cs="Arial"/>
                <w:b/>
                <w:bCs/>
                <w:sz w:val="16"/>
                <w:szCs w:val="18"/>
                <w:lang w:eastAsia="es-AR"/>
              </w:rPr>
            </w:pPr>
            <w:r w:rsidRPr="00BA7A6B">
              <w:rPr>
                <w:rFonts w:ascii="Arial" w:hAnsi="Arial" w:cs="Arial"/>
                <w:b/>
                <w:bCs/>
                <w:sz w:val="16"/>
                <w:szCs w:val="18"/>
                <w:lang w:eastAsia="es-AR"/>
              </w:rPr>
              <w:t>Tesorería</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BF7E2" w14:textId="77777777" w:rsidR="00851176" w:rsidRPr="00BA7A6B" w:rsidRDefault="00851176" w:rsidP="00851176">
            <w:pPr>
              <w:jc w:val="center"/>
              <w:rPr>
                <w:rFonts w:ascii="Arial" w:hAnsi="Arial" w:cs="Arial"/>
                <w:b/>
                <w:bCs/>
                <w:sz w:val="16"/>
                <w:szCs w:val="18"/>
                <w:lang w:eastAsia="es-AR"/>
              </w:rPr>
            </w:pPr>
            <w:r w:rsidRPr="00BA7A6B">
              <w:rPr>
                <w:rFonts w:ascii="Arial" w:hAnsi="Arial" w:cs="Arial"/>
                <w:b/>
                <w:bCs/>
                <w:sz w:val="16"/>
                <w:szCs w:val="18"/>
                <w:lang w:eastAsia="es-AR"/>
              </w:rPr>
              <w:t>Ajustes</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194BC" w14:textId="77777777" w:rsidR="00851176" w:rsidRPr="00BA7A6B" w:rsidRDefault="00851176" w:rsidP="00851176">
            <w:pPr>
              <w:jc w:val="center"/>
              <w:rPr>
                <w:rFonts w:ascii="Arial" w:hAnsi="Arial" w:cs="Arial"/>
                <w:b/>
                <w:bCs/>
                <w:sz w:val="16"/>
                <w:szCs w:val="18"/>
                <w:lang w:eastAsia="es-AR"/>
              </w:rPr>
            </w:pPr>
            <w:r w:rsidRPr="00BA7A6B">
              <w:rPr>
                <w:rFonts w:ascii="Arial" w:hAnsi="Arial" w:cs="Arial"/>
                <w:b/>
                <w:bCs/>
                <w:sz w:val="16"/>
                <w:szCs w:val="18"/>
                <w:lang w:eastAsia="es-AR"/>
              </w:rPr>
              <w:t>TOTAL</w:t>
            </w:r>
          </w:p>
        </w:tc>
      </w:tr>
      <w:tr w:rsidR="00BF7FA8" w:rsidRPr="005B6501" w14:paraId="3215ACDC" w14:textId="77777777" w:rsidTr="00BA7A6B">
        <w:trPr>
          <w:trHeight w:val="269"/>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2B69F1DF"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Ingresos por intereses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1A70C0EB" w14:textId="525D5777" w:rsidR="00BF7FA8" w:rsidRPr="005B6501" w:rsidRDefault="00BF7FA8">
            <w:pPr>
              <w:jc w:val="right"/>
              <w:rPr>
                <w:rFonts w:ascii="Arial" w:hAnsi="Arial" w:cs="Arial"/>
                <w:sz w:val="16"/>
                <w:szCs w:val="16"/>
              </w:rPr>
            </w:pPr>
            <w:r w:rsidRPr="00BA7A6B">
              <w:rPr>
                <w:rFonts w:ascii="Arial" w:hAnsi="Arial" w:cs="Arial"/>
                <w:sz w:val="16"/>
                <w:szCs w:val="16"/>
              </w:rPr>
              <w:t xml:space="preserve"> 3.760.850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72A5C718" w14:textId="61F158C1" w:rsidR="00BF7FA8" w:rsidRPr="005B6501" w:rsidRDefault="00BF7FA8">
            <w:pPr>
              <w:jc w:val="right"/>
              <w:rPr>
                <w:rFonts w:ascii="Arial" w:hAnsi="Arial" w:cs="Arial"/>
                <w:sz w:val="16"/>
                <w:szCs w:val="16"/>
              </w:rPr>
            </w:pPr>
            <w:r w:rsidRPr="00BA7A6B">
              <w:rPr>
                <w:rFonts w:ascii="Arial" w:hAnsi="Arial" w:cs="Arial"/>
                <w:sz w:val="16"/>
                <w:szCs w:val="16"/>
              </w:rPr>
              <w:t xml:space="preserve"> 6.295.874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5CD3C7BF" w14:textId="02E6CCDE" w:rsidR="00BF7FA8" w:rsidRPr="005B6501" w:rsidRDefault="00BF7FA8">
            <w:pPr>
              <w:jc w:val="right"/>
              <w:rPr>
                <w:rFonts w:ascii="Arial" w:hAnsi="Arial" w:cs="Arial"/>
                <w:sz w:val="16"/>
                <w:szCs w:val="16"/>
              </w:rPr>
            </w:pPr>
            <w:r w:rsidRPr="00BA7A6B">
              <w:rPr>
                <w:rFonts w:ascii="Arial" w:hAnsi="Arial" w:cs="Arial"/>
                <w:sz w:val="16"/>
                <w:szCs w:val="16"/>
              </w:rPr>
              <w:t xml:space="preserve"> 911.947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43A2D71C" w14:textId="7D288525"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59231627" w14:textId="6B4E1193"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10.968.671 </w:t>
            </w:r>
          </w:p>
        </w:tc>
      </w:tr>
      <w:tr w:rsidR="00BF7FA8" w:rsidRPr="005B6501" w14:paraId="300E7D48" w14:textId="77777777" w:rsidTr="00BA7A6B">
        <w:trPr>
          <w:trHeight w:val="269"/>
          <w:jc w:val="center"/>
        </w:trPr>
        <w:tc>
          <w:tcPr>
            <w:tcW w:w="3771" w:type="dxa"/>
            <w:tcBorders>
              <w:top w:val="nil"/>
              <w:left w:val="single" w:sz="4" w:space="0" w:color="auto"/>
              <w:bottom w:val="nil"/>
              <w:right w:val="single" w:sz="4" w:space="0" w:color="auto"/>
            </w:tcBorders>
            <w:shd w:val="clear" w:color="auto" w:fill="auto"/>
            <w:noWrap/>
            <w:vAlign w:val="bottom"/>
            <w:hideMark/>
          </w:tcPr>
          <w:p w14:paraId="049553D6"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Egresos por intereses </w:t>
            </w:r>
          </w:p>
        </w:tc>
        <w:tc>
          <w:tcPr>
            <w:tcW w:w="1475" w:type="dxa"/>
            <w:tcBorders>
              <w:top w:val="nil"/>
              <w:left w:val="single" w:sz="4" w:space="0" w:color="auto"/>
              <w:bottom w:val="nil"/>
              <w:right w:val="single" w:sz="4" w:space="0" w:color="auto"/>
            </w:tcBorders>
            <w:shd w:val="clear" w:color="auto" w:fill="auto"/>
            <w:noWrap/>
            <w:vAlign w:val="bottom"/>
            <w:hideMark/>
          </w:tcPr>
          <w:p w14:paraId="6FBDD909" w14:textId="2D0525B3"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1.076.265 </w:t>
            </w:r>
          </w:p>
        </w:tc>
        <w:tc>
          <w:tcPr>
            <w:tcW w:w="1563" w:type="dxa"/>
            <w:tcBorders>
              <w:top w:val="nil"/>
              <w:left w:val="single" w:sz="4" w:space="0" w:color="auto"/>
              <w:bottom w:val="nil"/>
              <w:right w:val="single" w:sz="4" w:space="0" w:color="auto"/>
            </w:tcBorders>
            <w:shd w:val="clear" w:color="auto" w:fill="auto"/>
            <w:noWrap/>
            <w:vAlign w:val="bottom"/>
            <w:hideMark/>
          </w:tcPr>
          <w:p w14:paraId="613C131F" w14:textId="398400CB"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2.180.232 </w:t>
            </w:r>
          </w:p>
        </w:tc>
        <w:tc>
          <w:tcPr>
            <w:tcW w:w="1272" w:type="dxa"/>
            <w:tcBorders>
              <w:top w:val="nil"/>
              <w:left w:val="single" w:sz="4" w:space="0" w:color="auto"/>
              <w:bottom w:val="nil"/>
              <w:right w:val="single" w:sz="4" w:space="0" w:color="auto"/>
            </w:tcBorders>
            <w:shd w:val="clear" w:color="auto" w:fill="auto"/>
            <w:noWrap/>
            <w:vAlign w:val="bottom"/>
            <w:hideMark/>
          </w:tcPr>
          <w:p w14:paraId="58B678FB" w14:textId="181F5180"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6.528.240 </w:t>
            </w:r>
          </w:p>
        </w:tc>
        <w:tc>
          <w:tcPr>
            <w:tcW w:w="1143" w:type="dxa"/>
            <w:tcBorders>
              <w:top w:val="nil"/>
              <w:left w:val="single" w:sz="4" w:space="0" w:color="auto"/>
              <w:bottom w:val="nil"/>
              <w:right w:val="single" w:sz="4" w:space="0" w:color="auto"/>
            </w:tcBorders>
            <w:shd w:val="clear" w:color="auto" w:fill="auto"/>
            <w:noWrap/>
            <w:vAlign w:val="bottom"/>
            <w:hideMark/>
          </w:tcPr>
          <w:p w14:paraId="6B4C2486" w14:textId="04E61223"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632225BC" w14:textId="0486689B"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9.784.737 </w:t>
            </w:r>
          </w:p>
        </w:tc>
      </w:tr>
      <w:tr w:rsidR="00BF7FA8" w:rsidRPr="005B6501" w14:paraId="67AF8DDC" w14:textId="77777777" w:rsidTr="00BA7A6B">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36E900C8"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Resultados por Interés de Transferencia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23CFD964" w14:textId="3367B244"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-851.186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77D397E8" w14:textId="2C2E97C5"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481.487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0B77A389" w14:textId="12813BD5"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369.699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07C962D0" w14:textId="1A466873"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3E08733" w14:textId="02E11700"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0 </w:t>
            </w:r>
          </w:p>
        </w:tc>
      </w:tr>
      <w:tr w:rsidR="00BF7FA8" w:rsidRPr="005B6501" w14:paraId="19D7F7F0" w14:textId="77777777" w:rsidTr="00BA7A6B">
        <w:trPr>
          <w:trHeight w:val="167"/>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2250F" w14:textId="77777777" w:rsidR="00BF7FA8" w:rsidRPr="005B6501" w:rsidRDefault="00BF7FA8" w:rsidP="00BF7FA8">
            <w:pPr>
              <w:rPr>
                <w:rFonts w:ascii="Arial" w:hAnsi="Arial" w:cs="Arial"/>
                <w:b/>
                <w:bCs/>
                <w:sz w:val="16"/>
                <w:szCs w:val="16"/>
                <w:lang w:eastAsia="es-AR"/>
              </w:rPr>
            </w:pPr>
            <w:r w:rsidRPr="005B6501">
              <w:rPr>
                <w:rFonts w:ascii="Arial" w:hAnsi="Arial" w:cs="Arial"/>
                <w:b/>
                <w:bCs/>
                <w:sz w:val="16"/>
                <w:szCs w:val="16"/>
                <w:lang w:eastAsia="es-AR"/>
              </w:rPr>
              <w:t xml:space="preserve"> Resultado neto por intereses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49F1F" w14:textId="103C0C75" w:rsidR="00BF7FA8" w:rsidRPr="005B6501" w:rsidRDefault="00BF7FA8">
            <w:pPr>
              <w:jc w:val="right"/>
              <w:rPr>
                <w:rFonts w:ascii="Arial" w:hAnsi="Arial" w:cs="Arial"/>
                <w:b/>
                <w:sz w:val="16"/>
                <w:szCs w:val="16"/>
              </w:rPr>
            </w:pPr>
            <w:r w:rsidRPr="00BA7A6B">
              <w:rPr>
                <w:rFonts w:ascii="Arial" w:hAnsi="Arial" w:cs="Arial"/>
                <w:b/>
                <w:sz w:val="16"/>
                <w:szCs w:val="16"/>
              </w:rPr>
              <w:t xml:space="preserve"> 1.833.399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9269A" w14:textId="6AB6937C" w:rsidR="00BF7FA8" w:rsidRPr="005B6501" w:rsidRDefault="00BF7FA8">
            <w:pPr>
              <w:jc w:val="right"/>
              <w:rPr>
                <w:rFonts w:ascii="Arial" w:hAnsi="Arial" w:cs="Arial"/>
                <w:b/>
                <w:sz w:val="16"/>
                <w:szCs w:val="16"/>
              </w:rPr>
            </w:pPr>
            <w:r w:rsidRPr="00BA7A6B">
              <w:rPr>
                <w:rFonts w:ascii="Arial" w:hAnsi="Arial" w:cs="Arial"/>
                <w:b/>
                <w:sz w:val="16"/>
                <w:szCs w:val="16"/>
              </w:rPr>
              <w:t xml:space="preserve"> 4.597.129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AC096" w14:textId="7944E89D" w:rsidR="00BF7FA8" w:rsidRPr="005B6501" w:rsidRDefault="00BF7FA8">
            <w:pPr>
              <w:jc w:val="right"/>
              <w:rPr>
                <w:rFonts w:ascii="Arial" w:hAnsi="Arial" w:cs="Arial"/>
                <w:b/>
                <w:sz w:val="16"/>
                <w:szCs w:val="16"/>
              </w:rPr>
            </w:pPr>
            <w:r w:rsidRPr="00BA7A6B">
              <w:rPr>
                <w:rFonts w:ascii="Arial" w:hAnsi="Arial" w:cs="Arial"/>
                <w:b/>
                <w:sz w:val="16"/>
                <w:szCs w:val="16"/>
              </w:rPr>
              <w:t xml:space="preserve"> -5.246.594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AEE6A" w14:textId="12060558" w:rsidR="00BF7FA8" w:rsidRPr="005B6501" w:rsidRDefault="00BF7FA8" w:rsidP="00BF7FA8">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953FE" w14:textId="639CD6CE" w:rsidR="00BF7FA8" w:rsidRPr="005B6501" w:rsidRDefault="00BF7FA8">
            <w:pPr>
              <w:jc w:val="right"/>
              <w:rPr>
                <w:rFonts w:ascii="Arial" w:hAnsi="Arial" w:cs="Arial"/>
                <w:b/>
                <w:sz w:val="16"/>
                <w:szCs w:val="16"/>
              </w:rPr>
            </w:pPr>
            <w:r w:rsidRPr="00BA7A6B">
              <w:rPr>
                <w:rFonts w:ascii="Arial" w:hAnsi="Arial" w:cs="Arial"/>
                <w:b/>
                <w:sz w:val="16"/>
                <w:szCs w:val="16"/>
              </w:rPr>
              <w:t xml:space="preserve"> 1.183.934 </w:t>
            </w:r>
          </w:p>
        </w:tc>
      </w:tr>
      <w:tr w:rsidR="00BF7FA8" w:rsidRPr="005B6501" w14:paraId="54DE91B2" w14:textId="77777777" w:rsidTr="00BA7A6B">
        <w:trPr>
          <w:trHeight w:val="242"/>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0D4F82AA"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Ingresos por comisiones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3E546A62" w14:textId="12E97BC6" w:rsidR="00BF7FA8" w:rsidRPr="005B6501" w:rsidRDefault="00BF7FA8">
            <w:pPr>
              <w:jc w:val="right"/>
              <w:rPr>
                <w:rFonts w:ascii="Arial" w:hAnsi="Arial" w:cs="Arial"/>
                <w:sz w:val="16"/>
                <w:szCs w:val="16"/>
              </w:rPr>
            </w:pPr>
            <w:r w:rsidRPr="00BA7A6B">
              <w:rPr>
                <w:rFonts w:ascii="Arial" w:hAnsi="Arial" w:cs="Arial"/>
                <w:sz w:val="16"/>
                <w:szCs w:val="16"/>
              </w:rPr>
              <w:t xml:space="preserve"> 329.729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4781F509" w14:textId="223E13BA" w:rsidR="00BF7FA8" w:rsidRPr="005B6501" w:rsidRDefault="00BF7FA8">
            <w:pPr>
              <w:jc w:val="right"/>
              <w:rPr>
                <w:rFonts w:ascii="Arial" w:hAnsi="Arial" w:cs="Arial"/>
                <w:sz w:val="16"/>
                <w:szCs w:val="16"/>
              </w:rPr>
            </w:pPr>
            <w:r w:rsidRPr="00BA7A6B">
              <w:rPr>
                <w:rFonts w:ascii="Arial" w:hAnsi="Arial" w:cs="Arial"/>
                <w:sz w:val="16"/>
                <w:szCs w:val="16"/>
              </w:rPr>
              <w:t xml:space="preserve"> 1.455.210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5FA24664" w14:textId="42879445" w:rsidR="00BF7FA8" w:rsidRPr="005B6501" w:rsidRDefault="00BF7FA8">
            <w:pPr>
              <w:jc w:val="right"/>
              <w:rPr>
                <w:rFonts w:ascii="Arial" w:hAnsi="Arial" w:cs="Arial"/>
                <w:sz w:val="16"/>
                <w:szCs w:val="16"/>
              </w:rPr>
            </w:pPr>
            <w:r w:rsidRPr="00BA7A6B">
              <w:rPr>
                <w:rFonts w:ascii="Arial" w:hAnsi="Arial" w:cs="Arial"/>
                <w:sz w:val="16"/>
                <w:szCs w:val="16"/>
              </w:rPr>
              <w:t xml:space="preserve"> 12.917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6F734849" w14:textId="1C119105"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34A9102E" w14:textId="665002C4" w:rsidR="00BF7FA8" w:rsidRPr="005B6501" w:rsidRDefault="00BF7FA8">
            <w:pPr>
              <w:jc w:val="right"/>
              <w:rPr>
                <w:rFonts w:ascii="Arial" w:hAnsi="Arial" w:cs="Arial"/>
                <w:sz w:val="16"/>
                <w:szCs w:val="16"/>
              </w:rPr>
            </w:pPr>
            <w:r w:rsidRPr="00BA7A6B">
              <w:rPr>
                <w:rFonts w:ascii="Arial" w:hAnsi="Arial" w:cs="Arial"/>
                <w:sz w:val="16"/>
                <w:szCs w:val="16"/>
              </w:rPr>
              <w:t xml:space="preserve"> 1.797.856 </w:t>
            </w:r>
          </w:p>
        </w:tc>
      </w:tr>
      <w:tr w:rsidR="00BF7FA8" w:rsidRPr="005B6501" w14:paraId="37A1609D" w14:textId="77777777" w:rsidTr="00BA7A6B">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79884376"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Egresos por comisiones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7B90F1FC" w14:textId="26870208" w:rsidR="00BF7FA8" w:rsidRPr="005B6501" w:rsidRDefault="00BF7FA8">
            <w:pPr>
              <w:jc w:val="right"/>
              <w:rPr>
                <w:rFonts w:ascii="Arial" w:hAnsi="Arial" w:cs="Arial"/>
                <w:sz w:val="16"/>
                <w:szCs w:val="16"/>
              </w:rPr>
            </w:pPr>
            <w:r w:rsidRPr="00BA7A6B">
              <w:rPr>
                <w:rFonts w:ascii="Arial" w:hAnsi="Arial" w:cs="Arial"/>
                <w:sz w:val="16"/>
                <w:szCs w:val="16"/>
              </w:rPr>
              <w:t xml:space="preserve"> 33.438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02A054F3" w14:textId="2465A4CE" w:rsidR="00BF7FA8" w:rsidRPr="005B6501" w:rsidRDefault="00BF7FA8">
            <w:pPr>
              <w:jc w:val="right"/>
              <w:rPr>
                <w:rFonts w:ascii="Arial" w:hAnsi="Arial" w:cs="Arial"/>
                <w:sz w:val="16"/>
                <w:szCs w:val="16"/>
              </w:rPr>
            </w:pPr>
            <w:r w:rsidRPr="00BA7A6B">
              <w:rPr>
                <w:rFonts w:ascii="Arial" w:hAnsi="Arial" w:cs="Arial"/>
                <w:sz w:val="16"/>
                <w:szCs w:val="16"/>
              </w:rPr>
              <w:t xml:space="preserve"> 352.464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5BE7A041" w14:textId="6A7039A4" w:rsidR="00BF7FA8" w:rsidRPr="005B6501" w:rsidRDefault="00BF7FA8">
            <w:pPr>
              <w:jc w:val="right"/>
              <w:rPr>
                <w:rFonts w:ascii="Arial" w:hAnsi="Arial" w:cs="Arial"/>
                <w:sz w:val="16"/>
                <w:szCs w:val="16"/>
              </w:rPr>
            </w:pPr>
            <w:r w:rsidRPr="00BA7A6B">
              <w:rPr>
                <w:rFonts w:ascii="Arial" w:hAnsi="Arial" w:cs="Arial"/>
                <w:sz w:val="16"/>
                <w:szCs w:val="16"/>
              </w:rPr>
              <w:t xml:space="preserve"> 10.373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5FFBBD5F" w14:textId="06027512"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79CDB99" w14:textId="6E603B5E" w:rsidR="00BF7FA8" w:rsidRPr="005B6501" w:rsidRDefault="00BF7FA8">
            <w:pPr>
              <w:jc w:val="right"/>
              <w:rPr>
                <w:rFonts w:ascii="Arial" w:hAnsi="Arial" w:cs="Arial"/>
                <w:sz w:val="16"/>
                <w:szCs w:val="16"/>
              </w:rPr>
            </w:pPr>
            <w:r w:rsidRPr="00BA7A6B">
              <w:rPr>
                <w:rFonts w:ascii="Arial" w:hAnsi="Arial" w:cs="Arial"/>
                <w:sz w:val="16"/>
                <w:szCs w:val="16"/>
              </w:rPr>
              <w:t xml:space="preserve"> 396.275 </w:t>
            </w:r>
          </w:p>
        </w:tc>
      </w:tr>
      <w:tr w:rsidR="00BF7FA8" w:rsidRPr="005B6501" w14:paraId="162B75E3" w14:textId="77777777" w:rsidTr="00BA7A6B">
        <w:trPr>
          <w:trHeight w:val="17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42D51" w14:textId="77777777" w:rsidR="00BF7FA8" w:rsidRPr="005B6501" w:rsidRDefault="00BF7FA8" w:rsidP="00BF7FA8">
            <w:pPr>
              <w:rPr>
                <w:rFonts w:ascii="Arial" w:hAnsi="Arial" w:cs="Arial"/>
                <w:b/>
                <w:bCs/>
                <w:sz w:val="16"/>
                <w:szCs w:val="16"/>
                <w:lang w:eastAsia="es-AR"/>
              </w:rPr>
            </w:pPr>
            <w:r w:rsidRPr="005B6501">
              <w:rPr>
                <w:rFonts w:ascii="Arial" w:hAnsi="Arial" w:cs="Arial"/>
                <w:b/>
                <w:bCs/>
                <w:sz w:val="16"/>
                <w:szCs w:val="16"/>
                <w:lang w:eastAsia="es-AR"/>
              </w:rPr>
              <w:lastRenderedPageBreak/>
              <w:t xml:space="preserve"> Resultado neto por comisiones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B64CD" w14:textId="7CD26979" w:rsidR="00BF7FA8" w:rsidRPr="005B6501" w:rsidRDefault="00BF7FA8">
            <w:pPr>
              <w:jc w:val="right"/>
              <w:rPr>
                <w:rFonts w:ascii="Arial" w:hAnsi="Arial" w:cs="Arial"/>
                <w:b/>
                <w:sz w:val="16"/>
                <w:szCs w:val="16"/>
              </w:rPr>
            </w:pPr>
            <w:r w:rsidRPr="00BA7A6B">
              <w:rPr>
                <w:rFonts w:ascii="Arial" w:hAnsi="Arial" w:cs="Arial"/>
                <w:b/>
                <w:sz w:val="16"/>
                <w:szCs w:val="16"/>
              </w:rPr>
              <w:t xml:space="preserve"> 296.291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6E74A" w14:textId="2F254F8D" w:rsidR="00BF7FA8" w:rsidRPr="005B6501" w:rsidRDefault="00BF7FA8">
            <w:pPr>
              <w:jc w:val="right"/>
              <w:rPr>
                <w:rFonts w:ascii="Arial" w:hAnsi="Arial" w:cs="Arial"/>
                <w:b/>
                <w:sz w:val="16"/>
                <w:szCs w:val="16"/>
              </w:rPr>
            </w:pPr>
            <w:r w:rsidRPr="00BA7A6B">
              <w:rPr>
                <w:rFonts w:ascii="Arial" w:hAnsi="Arial" w:cs="Arial"/>
                <w:b/>
                <w:sz w:val="16"/>
                <w:szCs w:val="16"/>
              </w:rPr>
              <w:t xml:space="preserve"> 1.102.746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3BB0E" w14:textId="4569B328" w:rsidR="00BF7FA8" w:rsidRPr="005B6501" w:rsidRDefault="00BF7FA8">
            <w:pPr>
              <w:jc w:val="right"/>
              <w:rPr>
                <w:rFonts w:ascii="Arial" w:hAnsi="Arial" w:cs="Arial"/>
                <w:b/>
                <w:sz w:val="16"/>
                <w:szCs w:val="16"/>
              </w:rPr>
            </w:pPr>
            <w:r w:rsidRPr="00BA7A6B">
              <w:rPr>
                <w:rFonts w:ascii="Arial" w:hAnsi="Arial" w:cs="Arial"/>
                <w:b/>
                <w:sz w:val="16"/>
                <w:szCs w:val="16"/>
              </w:rPr>
              <w:t xml:space="preserve"> 2.544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BD243" w14:textId="4382F88F" w:rsidR="00BF7FA8" w:rsidRPr="005B6501" w:rsidRDefault="00BF7FA8" w:rsidP="00BF7FA8">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E4DCD" w14:textId="030AE4B2" w:rsidR="00BF7FA8" w:rsidRPr="005B6501" w:rsidRDefault="00BF7FA8">
            <w:pPr>
              <w:jc w:val="right"/>
              <w:rPr>
                <w:rFonts w:ascii="Arial" w:hAnsi="Arial" w:cs="Arial"/>
                <w:b/>
                <w:sz w:val="16"/>
                <w:szCs w:val="16"/>
              </w:rPr>
            </w:pPr>
            <w:r w:rsidRPr="00BA7A6B">
              <w:rPr>
                <w:rFonts w:ascii="Arial" w:hAnsi="Arial" w:cs="Arial"/>
                <w:b/>
                <w:sz w:val="16"/>
                <w:szCs w:val="16"/>
              </w:rPr>
              <w:t xml:space="preserve"> 1.401.581 </w:t>
            </w:r>
          </w:p>
        </w:tc>
      </w:tr>
      <w:tr w:rsidR="00BF7FA8" w:rsidRPr="005B6501" w14:paraId="37FD1B09" w14:textId="77777777" w:rsidTr="00BA7A6B">
        <w:trPr>
          <w:trHeight w:val="116"/>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632B9" w14:textId="77777777" w:rsidR="00BF7FA8" w:rsidRPr="005B6501" w:rsidRDefault="00BF7FA8" w:rsidP="00BF7FA8">
            <w:pPr>
              <w:rPr>
                <w:rFonts w:ascii="Arial" w:hAnsi="Arial" w:cs="Arial"/>
                <w:b/>
                <w:bCs/>
                <w:sz w:val="16"/>
                <w:szCs w:val="16"/>
                <w:lang w:eastAsia="es-AR"/>
              </w:rPr>
            </w:pPr>
            <w:r w:rsidRPr="005B6501">
              <w:rPr>
                <w:rFonts w:ascii="Arial" w:hAnsi="Arial" w:cs="Arial"/>
                <w:b/>
                <w:bCs/>
                <w:sz w:val="16"/>
                <w:szCs w:val="16"/>
                <w:lang w:eastAsia="es-AR"/>
              </w:rPr>
              <w:t xml:space="preserve"> Subtotal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4B1F5" w14:textId="53F42800" w:rsidR="00BF7FA8" w:rsidRPr="005B6501" w:rsidRDefault="00BF7FA8">
            <w:pPr>
              <w:jc w:val="right"/>
              <w:rPr>
                <w:rFonts w:ascii="Arial" w:hAnsi="Arial" w:cs="Arial"/>
                <w:b/>
                <w:sz w:val="16"/>
                <w:szCs w:val="16"/>
              </w:rPr>
            </w:pPr>
            <w:r w:rsidRPr="00BA7A6B">
              <w:rPr>
                <w:rFonts w:ascii="Arial" w:hAnsi="Arial" w:cs="Arial"/>
                <w:b/>
                <w:sz w:val="16"/>
                <w:szCs w:val="16"/>
              </w:rPr>
              <w:t xml:space="preserve"> 2.129.690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BDA2C" w14:textId="58AF6FB4" w:rsidR="00BF7FA8" w:rsidRPr="005B6501" w:rsidRDefault="00BF7FA8">
            <w:pPr>
              <w:jc w:val="right"/>
              <w:rPr>
                <w:rFonts w:ascii="Arial" w:hAnsi="Arial" w:cs="Arial"/>
                <w:b/>
                <w:sz w:val="16"/>
                <w:szCs w:val="16"/>
              </w:rPr>
            </w:pPr>
            <w:r w:rsidRPr="00BA7A6B">
              <w:rPr>
                <w:rFonts w:ascii="Arial" w:hAnsi="Arial" w:cs="Arial"/>
                <w:b/>
                <w:sz w:val="16"/>
                <w:szCs w:val="16"/>
              </w:rPr>
              <w:t xml:space="preserve"> 5.699.875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D9F7A" w14:textId="5D5D25DB" w:rsidR="00BF7FA8" w:rsidRPr="005B6501" w:rsidRDefault="00BF7FA8">
            <w:pPr>
              <w:jc w:val="right"/>
              <w:rPr>
                <w:rFonts w:ascii="Arial" w:hAnsi="Arial" w:cs="Arial"/>
                <w:b/>
                <w:sz w:val="16"/>
                <w:szCs w:val="16"/>
              </w:rPr>
            </w:pPr>
            <w:r w:rsidRPr="00BA7A6B">
              <w:rPr>
                <w:rFonts w:ascii="Arial" w:hAnsi="Arial" w:cs="Arial"/>
                <w:b/>
                <w:sz w:val="16"/>
                <w:szCs w:val="16"/>
              </w:rPr>
              <w:t xml:space="preserve"> -5.244.050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BEED2" w14:textId="606F5F30" w:rsidR="00BF7FA8" w:rsidRPr="005B6501" w:rsidRDefault="00BF7FA8" w:rsidP="00BF7FA8">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5F6E2" w14:textId="598217C0" w:rsidR="00BF7FA8" w:rsidRPr="005B6501" w:rsidRDefault="00BF7FA8">
            <w:pPr>
              <w:jc w:val="right"/>
              <w:rPr>
                <w:rFonts w:ascii="Arial" w:hAnsi="Arial" w:cs="Arial"/>
                <w:b/>
                <w:sz w:val="16"/>
                <w:szCs w:val="16"/>
              </w:rPr>
            </w:pPr>
            <w:r w:rsidRPr="00BA7A6B">
              <w:rPr>
                <w:rFonts w:ascii="Arial" w:hAnsi="Arial" w:cs="Arial"/>
                <w:b/>
                <w:sz w:val="16"/>
                <w:szCs w:val="16"/>
              </w:rPr>
              <w:t xml:space="preserve"> 2.585.515 </w:t>
            </w:r>
          </w:p>
        </w:tc>
      </w:tr>
      <w:tr w:rsidR="00BF7FA8" w:rsidRPr="005B6501" w14:paraId="4B934461" w14:textId="77777777" w:rsidTr="00BA7A6B">
        <w:trPr>
          <w:trHeight w:val="311"/>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0403076F"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Resultado neto por medición de instrumentos financieros a valor razonable con cambios en resultados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0340D4AA" w14:textId="6ED60EBE"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692B3F18" w14:textId="250081BE"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3B20648C" w14:textId="1F7E0D19"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6.759.608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64BE1DC2" w14:textId="2A178B49"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6C887F94" w14:textId="41C93EF7"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6.759.608 </w:t>
            </w:r>
          </w:p>
        </w:tc>
      </w:tr>
      <w:tr w:rsidR="00BF7FA8" w:rsidRPr="005B6501" w14:paraId="7D0F4D8F" w14:textId="77777777" w:rsidTr="00BA7A6B">
        <w:trPr>
          <w:trHeight w:val="269"/>
          <w:jc w:val="center"/>
        </w:trPr>
        <w:tc>
          <w:tcPr>
            <w:tcW w:w="3771" w:type="dxa"/>
            <w:tcBorders>
              <w:top w:val="nil"/>
              <w:left w:val="single" w:sz="4" w:space="0" w:color="auto"/>
              <w:bottom w:val="nil"/>
              <w:right w:val="single" w:sz="4" w:space="0" w:color="auto"/>
            </w:tcBorders>
            <w:shd w:val="clear" w:color="auto" w:fill="auto"/>
            <w:noWrap/>
            <w:vAlign w:val="bottom"/>
            <w:hideMark/>
          </w:tcPr>
          <w:p w14:paraId="6BB32191"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Diferencia de cotización de oro y moneda extranjera </w:t>
            </w:r>
          </w:p>
        </w:tc>
        <w:tc>
          <w:tcPr>
            <w:tcW w:w="1475" w:type="dxa"/>
            <w:tcBorders>
              <w:top w:val="nil"/>
              <w:left w:val="single" w:sz="4" w:space="0" w:color="auto"/>
              <w:bottom w:val="nil"/>
              <w:right w:val="single" w:sz="4" w:space="0" w:color="auto"/>
            </w:tcBorders>
            <w:shd w:val="clear" w:color="auto" w:fill="auto"/>
            <w:noWrap/>
            <w:vAlign w:val="bottom"/>
            <w:hideMark/>
          </w:tcPr>
          <w:p w14:paraId="521B99D5" w14:textId="60815D20"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32.043 </w:t>
            </w:r>
          </w:p>
        </w:tc>
        <w:tc>
          <w:tcPr>
            <w:tcW w:w="1563" w:type="dxa"/>
            <w:tcBorders>
              <w:top w:val="nil"/>
              <w:left w:val="single" w:sz="4" w:space="0" w:color="auto"/>
              <w:bottom w:val="nil"/>
              <w:right w:val="single" w:sz="4" w:space="0" w:color="auto"/>
            </w:tcBorders>
            <w:shd w:val="clear" w:color="auto" w:fill="auto"/>
            <w:noWrap/>
            <w:vAlign w:val="bottom"/>
            <w:hideMark/>
          </w:tcPr>
          <w:p w14:paraId="07E9586C" w14:textId="5DDE74D5"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281.644 </w:t>
            </w:r>
          </w:p>
        </w:tc>
        <w:tc>
          <w:tcPr>
            <w:tcW w:w="1272" w:type="dxa"/>
            <w:tcBorders>
              <w:top w:val="nil"/>
              <w:left w:val="single" w:sz="4" w:space="0" w:color="auto"/>
              <w:bottom w:val="nil"/>
              <w:right w:val="single" w:sz="4" w:space="0" w:color="auto"/>
            </w:tcBorders>
            <w:shd w:val="clear" w:color="auto" w:fill="auto"/>
            <w:noWrap/>
            <w:vAlign w:val="bottom"/>
            <w:hideMark/>
          </w:tcPr>
          <w:p w14:paraId="1DF1EB1F" w14:textId="3A34F1E9"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-781.686 </w:t>
            </w:r>
          </w:p>
        </w:tc>
        <w:tc>
          <w:tcPr>
            <w:tcW w:w="1143" w:type="dxa"/>
            <w:tcBorders>
              <w:top w:val="nil"/>
              <w:left w:val="single" w:sz="4" w:space="0" w:color="auto"/>
              <w:bottom w:val="nil"/>
              <w:right w:val="single" w:sz="4" w:space="0" w:color="auto"/>
            </w:tcBorders>
            <w:shd w:val="clear" w:color="auto" w:fill="auto"/>
            <w:noWrap/>
            <w:vAlign w:val="bottom"/>
            <w:hideMark/>
          </w:tcPr>
          <w:p w14:paraId="64D5CD77" w14:textId="4FB3CEB5"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793839D3" w14:textId="1C314C04"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-467.999 </w:t>
            </w:r>
          </w:p>
        </w:tc>
      </w:tr>
      <w:tr w:rsidR="00BF7FA8" w:rsidRPr="005B6501" w14:paraId="4E3E9AE2" w14:textId="77777777" w:rsidTr="00BA7A6B">
        <w:trPr>
          <w:trHeight w:val="269"/>
          <w:jc w:val="center"/>
        </w:trPr>
        <w:tc>
          <w:tcPr>
            <w:tcW w:w="3771" w:type="dxa"/>
            <w:tcBorders>
              <w:top w:val="nil"/>
              <w:left w:val="single" w:sz="4" w:space="0" w:color="auto"/>
              <w:bottom w:val="nil"/>
              <w:right w:val="single" w:sz="4" w:space="0" w:color="auto"/>
            </w:tcBorders>
            <w:shd w:val="clear" w:color="auto" w:fill="auto"/>
            <w:noWrap/>
            <w:vAlign w:val="bottom"/>
            <w:hideMark/>
          </w:tcPr>
          <w:p w14:paraId="4F1F552B"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Otros ingresos operativos </w:t>
            </w:r>
          </w:p>
        </w:tc>
        <w:tc>
          <w:tcPr>
            <w:tcW w:w="1475" w:type="dxa"/>
            <w:tcBorders>
              <w:top w:val="nil"/>
              <w:left w:val="single" w:sz="4" w:space="0" w:color="auto"/>
              <w:bottom w:val="nil"/>
              <w:right w:val="single" w:sz="4" w:space="0" w:color="auto"/>
            </w:tcBorders>
            <w:shd w:val="clear" w:color="auto" w:fill="auto"/>
            <w:noWrap/>
            <w:vAlign w:val="bottom"/>
            <w:hideMark/>
          </w:tcPr>
          <w:p w14:paraId="001333F5" w14:textId="2A3DFD29"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273.627 </w:t>
            </w:r>
          </w:p>
        </w:tc>
        <w:tc>
          <w:tcPr>
            <w:tcW w:w="1563" w:type="dxa"/>
            <w:tcBorders>
              <w:top w:val="nil"/>
              <w:left w:val="single" w:sz="4" w:space="0" w:color="auto"/>
              <w:bottom w:val="nil"/>
              <w:right w:val="single" w:sz="4" w:space="0" w:color="auto"/>
            </w:tcBorders>
            <w:shd w:val="clear" w:color="auto" w:fill="auto"/>
            <w:noWrap/>
            <w:vAlign w:val="bottom"/>
            <w:hideMark/>
          </w:tcPr>
          <w:p w14:paraId="7BBCEF9A" w14:textId="2725E137"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374.294 </w:t>
            </w:r>
          </w:p>
        </w:tc>
        <w:tc>
          <w:tcPr>
            <w:tcW w:w="1272" w:type="dxa"/>
            <w:tcBorders>
              <w:top w:val="nil"/>
              <w:left w:val="single" w:sz="4" w:space="0" w:color="auto"/>
              <w:bottom w:val="nil"/>
              <w:right w:val="single" w:sz="4" w:space="0" w:color="auto"/>
            </w:tcBorders>
            <w:shd w:val="clear" w:color="auto" w:fill="auto"/>
            <w:noWrap/>
            <w:vAlign w:val="bottom"/>
            <w:hideMark/>
          </w:tcPr>
          <w:p w14:paraId="1A40F098" w14:textId="733DD438"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28.009 </w:t>
            </w:r>
          </w:p>
        </w:tc>
        <w:tc>
          <w:tcPr>
            <w:tcW w:w="1143" w:type="dxa"/>
            <w:tcBorders>
              <w:top w:val="nil"/>
              <w:left w:val="single" w:sz="4" w:space="0" w:color="auto"/>
              <w:bottom w:val="nil"/>
              <w:right w:val="single" w:sz="4" w:space="0" w:color="auto"/>
            </w:tcBorders>
            <w:shd w:val="clear" w:color="auto" w:fill="auto"/>
            <w:noWrap/>
            <w:vAlign w:val="bottom"/>
            <w:hideMark/>
          </w:tcPr>
          <w:p w14:paraId="485AABE5" w14:textId="7D0EFF3A"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59813E44" w14:textId="26034EFF"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675.930 </w:t>
            </w:r>
          </w:p>
        </w:tc>
      </w:tr>
      <w:tr w:rsidR="00BF7FA8" w:rsidRPr="005B6501" w14:paraId="1938C59B" w14:textId="77777777" w:rsidTr="00BA7A6B">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52C8A452"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Cargo por incobrabilidad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7654BDEB" w14:textId="67FA60C7"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1.264.409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2C06E24C" w14:textId="0B5FB1D3" w:rsidR="00BF7FA8" w:rsidRPr="005B6501" w:rsidRDefault="00BF7FA8">
            <w:pPr>
              <w:jc w:val="right"/>
              <w:rPr>
                <w:rFonts w:ascii="Arial" w:hAnsi="Arial" w:cs="Arial"/>
                <w:sz w:val="16"/>
                <w:szCs w:val="16"/>
              </w:rPr>
            </w:pPr>
            <w:r w:rsidRPr="00BA7A6B">
              <w:rPr>
                <w:rFonts w:ascii="Arial" w:hAnsi="Arial" w:cs="Arial"/>
                <w:sz w:val="16"/>
                <w:szCs w:val="16"/>
              </w:rPr>
              <w:t xml:space="preserve"> 915.186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1F245640" w14:textId="7135A4F8"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-11.871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500DAA85" w14:textId="2A44962B"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7537EEB" w14:textId="3206BC93"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2.167.724 </w:t>
            </w:r>
          </w:p>
        </w:tc>
      </w:tr>
      <w:tr w:rsidR="00BF7FA8" w:rsidRPr="005B6501" w14:paraId="52EC122F" w14:textId="77777777" w:rsidTr="00BA7A6B">
        <w:trPr>
          <w:trHeight w:val="188"/>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182AF" w14:textId="77777777" w:rsidR="00BF7FA8" w:rsidRPr="005B6501" w:rsidRDefault="00BF7FA8" w:rsidP="00BF7FA8">
            <w:pPr>
              <w:rPr>
                <w:rFonts w:ascii="Arial" w:hAnsi="Arial" w:cs="Arial"/>
                <w:b/>
                <w:bCs/>
                <w:sz w:val="16"/>
                <w:szCs w:val="16"/>
                <w:lang w:eastAsia="es-AR"/>
              </w:rPr>
            </w:pPr>
            <w:r w:rsidRPr="005B6501">
              <w:rPr>
                <w:rFonts w:ascii="Arial" w:hAnsi="Arial" w:cs="Arial"/>
                <w:b/>
                <w:bCs/>
                <w:sz w:val="16"/>
                <w:szCs w:val="16"/>
                <w:lang w:eastAsia="es-AR"/>
              </w:rPr>
              <w:t xml:space="preserve"> Ingreso operativo neto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F2FF7" w14:textId="477D1E41" w:rsidR="00BF7FA8" w:rsidRPr="005B6501" w:rsidRDefault="00BF7FA8">
            <w:pPr>
              <w:jc w:val="right"/>
              <w:rPr>
                <w:rFonts w:ascii="Arial" w:hAnsi="Arial" w:cs="Arial"/>
                <w:b/>
                <w:sz w:val="16"/>
                <w:szCs w:val="16"/>
              </w:rPr>
            </w:pPr>
            <w:r w:rsidRPr="00BA7A6B">
              <w:rPr>
                <w:rFonts w:ascii="Arial" w:hAnsi="Arial" w:cs="Arial"/>
                <w:b/>
                <w:sz w:val="16"/>
                <w:szCs w:val="16"/>
              </w:rPr>
              <w:t xml:space="preserve"> 1.170.951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00002" w14:textId="25FE8F10" w:rsidR="00BF7FA8" w:rsidRPr="005B6501" w:rsidRDefault="00BF7FA8">
            <w:pPr>
              <w:jc w:val="right"/>
              <w:rPr>
                <w:rFonts w:ascii="Arial" w:hAnsi="Arial" w:cs="Arial"/>
                <w:b/>
                <w:sz w:val="16"/>
                <w:szCs w:val="16"/>
              </w:rPr>
            </w:pPr>
            <w:r w:rsidRPr="00BA7A6B">
              <w:rPr>
                <w:rFonts w:ascii="Arial" w:hAnsi="Arial" w:cs="Arial"/>
                <w:b/>
                <w:sz w:val="16"/>
                <w:szCs w:val="16"/>
              </w:rPr>
              <w:t xml:space="preserve"> 5.440.627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D0826" w14:textId="31C31E6C" w:rsidR="00BF7FA8" w:rsidRPr="005B6501" w:rsidRDefault="00BF7FA8">
            <w:pPr>
              <w:jc w:val="right"/>
              <w:rPr>
                <w:rFonts w:ascii="Arial" w:hAnsi="Arial" w:cs="Arial"/>
                <w:b/>
                <w:sz w:val="16"/>
                <w:szCs w:val="16"/>
              </w:rPr>
            </w:pPr>
            <w:r w:rsidRPr="00BA7A6B">
              <w:rPr>
                <w:rFonts w:ascii="Arial" w:hAnsi="Arial" w:cs="Arial"/>
                <w:b/>
                <w:sz w:val="16"/>
                <w:szCs w:val="16"/>
              </w:rPr>
              <w:t xml:space="preserve"> 773.752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E4EDA" w14:textId="1599EBEC" w:rsidR="00BF7FA8" w:rsidRPr="005B6501" w:rsidRDefault="00BF7FA8" w:rsidP="00BF7FA8">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3F21D" w14:textId="2572E542" w:rsidR="00BF7FA8" w:rsidRPr="005B6501" w:rsidRDefault="00BF7FA8">
            <w:pPr>
              <w:jc w:val="right"/>
              <w:rPr>
                <w:rFonts w:ascii="Arial" w:hAnsi="Arial" w:cs="Arial"/>
                <w:b/>
                <w:sz w:val="16"/>
                <w:szCs w:val="16"/>
              </w:rPr>
            </w:pPr>
            <w:r w:rsidRPr="00BA7A6B">
              <w:rPr>
                <w:rFonts w:ascii="Arial" w:hAnsi="Arial" w:cs="Arial"/>
                <w:b/>
                <w:sz w:val="16"/>
                <w:szCs w:val="16"/>
              </w:rPr>
              <w:t xml:space="preserve"> 7.385.330 </w:t>
            </w:r>
          </w:p>
        </w:tc>
      </w:tr>
      <w:tr w:rsidR="00BF7FA8" w:rsidRPr="005B6501" w14:paraId="33BC43BD" w14:textId="77777777" w:rsidTr="00BA7A6B">
        <w:trPr>
          <w:trHeight w:val="269"/>
          <w:jc w:val="center"/>
        </w:trPr>
        <w:tc>
          <w:tcPr>
            <w:tcW w:w="3771" w:type="dxa"/>
            <w:tcBorders>
              <w:top w:val="single" w:sz="4" w:space="0" w:color="auto"/>
              <w:left w:val="single" w:sz="4" w:space="0" w:color="auto"/>
              <w:bottom w:val="nil"/>
              <w:right w:val="single" w:sz="4" w:space="0" w:color="auto"/>
            </w:tcBorders>
            <w:shd w:val="clear" w:color="auto" w:fill="auto"/>
            <w:noWrap/>
            <w:vAlign w:val="bottom"/>
            <w:hideMark/>
          </w:tcPr>
          <w:p w14:paraId="45827223"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Beneficios al personal </w:t>
            </w:r>
          </w:p>
        </w:tc>
        <w:tc>
          <w:tcPr>
            <w:tcW w:w="1475" w:type="dxa"/>
            <w:tcBorders>
              <w:top w:val="single" w:sz="4" w:space="0" w:color="auto"/>
              <w:left w:val="single" w:sz="4" w:space="0" w:color="auto"/>
              <w:bottom w:val="nil"/>
              <w:right w:val="single" w:sz="4" w:space="0" w:color="auto"/>
            </w:tcBorders>
            <w:shd w:val="clear" w:color="auto" w:fill="auto"/>
            <w:noWrap/>
            <w:vAlign w:val="bottom"/>
            <w:hideMark/>
          </w:tcPr>
          <w:p w14:paraId="3861731F" w14:textId="43D1EE84"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258.662 </w:t>
            </w:r>
          </w:p>
        </w:tc>
        <w:tc>
          <w:tcPr>
            <w:tcW w:w="1563" w:type="dxa"/>
            <w:tcBorders>
              <w:top w:val="single" w:sz="4" w:space="0" w:color="auto"/>
              <w:left w:val="single" w:sz="4" w:space="0" w:color="auto"/>
              <w:bottom w:val="nil"/>
              <w:right w:val="single" w:sz="4" w:space="0" w:color="auto"/>
            </w:tcBorders>
            <w:shd w:val="clear" w:color="auto" w:fill="auto"/>
            <w:noWrap/>
            <w:vAlign w:val="bottom"/>
            <w:hideMark/>
          </w:tcPr>
          <w:p w14:paraId="0D8A2DE7" w14:textId="67B81A1D"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2.571.045 </w:t>
            </w:r>
          </w:p>
        </w:tc>
        <w:tc>
          <w:tcPr>
            <w:tcW w:w="1272" w:type="dxa"/>
            <w:tcBorders>
              <w:top w:val="single" w:sz="4" w:space="0" w:color="auto"/>
              <w:left w:val="single" w:sz="4" w:space="0" w:color="auto"/>
              <w:bottom w:val="nil"/>
              <w:right w:val="single" w:sz="4" w:space="0" w:color="auto"/>
            </w:tcBorders>
            <w:shd w:val="clear" w:color="auto" w:fill="auto"/>
            <w:noWrap/>
            <w:vAlign w:val="bottom"/>
            <w:hideMark/>
          </w:tcPr>
          <w:p w14:paraId="090FAEE5" w14:textId="1CCEB469"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186.191 </w:t>
            </w:r>
          </w:p>
        </w:tc>
        <w:tc>
          <w:tcPr>
            <w:tcW w:w="1143" w:type="dxa"/>
            <w:tcBorders>
              <w:top w:val="single" w:sz="4" w:space="0" w:color="auto"/>
              <w:left w:val="single" w:sz="4" w:space="0" w:color="auto"/>
              <w:bottom w:val="nil"/>
              <w:right w:val="single" w:sz="4" w:space="0" w:color="auto"/>
            </w:tcBorders>
            <w:shd w:val="clear" w:color="auto" w:fill="auto"/>
            <w:noWrap/>
            <w:vAlign w:val="bottom"/>
            <w:hideMark/>
          </w:tcPr>
          <w:p w14:paraId="39B52E9B" w14:textId="43A7B559"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76C9B89D" w14:textId="40EBECDF"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3.015.898 </w:t>
            </w:r>
          </w:p>
        </w:tc>
      </w:tr>
      <w:tr w:rsidR="00BF7FA8" w:rsidRPr="005B6501" w14:paraId="01CEE9A3" w14:textId="77777777" w:rsidTr="00BA7A6B">
        <w:trPr>
          <w:trHeight w:val="94"/>
          <w:jc w:val="center"/>
        </w:trPr>
        <w:tc>
          <w:tcPr>
            <w:tcW w:w="3771" w:type="dxa"/>
            <w:tcBorders>
              <w:top w:val="nil"/>
              <w:left w:val="single" w:sz="4" w:space="0" w:color="auto"/>
              <w:bottom w:val="nil"/>
              <w:right w:val="single" w:sz="4" w:space="0" w:color="auto"/>
            </w:tcBorders>
            <w:shd w:val="clear" w:color="auto" w:fill="auto"/>
            <w:noWrap/>
            <w:vAlign w:val="bottom"/>
            <w:hideMark/>
          </w:tcPr>
          <w:p w14:paraId="587F884B"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Gastos de administración </w:t>
            </w:r>
          </w:p>
        </w:tc>
        <w:tc>
          <w:tcPr>
            <w:tcW w:w="1475" w:type="dxa"/>
            <w:tcBorders>
              <w:top w:val="nil"/>
              <w:left w:val="single" w:sz="4" w:space="0" w:color="auto"/>
              <w:bottom w:val="nil"/>
              <w:right w:val="single" w:sz="4" w:space="0" w:color="auto"/>
            </w:tcBorders>
            <w:shd w:val="clear" w:color="auto" w:fill="auto"/>
            <w:noWrap/>
            <w:vAlign w:val="bottom"/>
            <w:hideMark/>
          </w:tcPr>
          <w:p w14:paraId="2F9C8EE5" w14:textId="35EB00DA"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84.949 </w:t>
            </w:r>
          </w:p>
        </w:tc>
        <w:tc>
          <w:tcPr>
            <w:tcW w:w="1563" w:type="dxa"/>
            <w:tcBorders>
              <w:top w:val="nil"/>
              <w:left w:val="single" w:sz="4" w:space="0" w:color="auto"/>
              <w:bottom w:val="nil"/>
              <w:right w:val="single" w:sz="4" w:space="0" w:color="auto"/>
            </w:tcBorders>
            <w:shd w:val="clear" w:color="auto" w:fill="auto"/>
            <w:noWrap/>
            <w:vAlign w:val="bottom"/>
            <w:hideMark/>
          </w:tcPr>
          <w:p w14:paraId="2422C561" w14:textId="138C7CDF"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1.366.622 </w:t>
            </w:r>
          </w:p>
        </w:tc>
        <w:tc>
          <w:tcPr>
            <w:tcW w:w="1272" w:type="dxa"/>
            <w:tcBorders>
              <w:top w:val="nil"/>
              <w:left w:val="single" w:sz="4" w:space="0" w:color="auto"/>
              <w:bottom w:val="nil"/>
              <w:right w:val="single" w:sz="4" w:space="0" w:color="auto"/>
            </w:tcBorders>
            <w:shd w:val="clear" w:color="auto" w:fill="auto"/>
            <w:noWrap/>
            <w:vAlign w:val="bottom"/>
            <w:hideMark/>
          </w:tcPr>
          <w:p w14:paraId="64FADA13" w14:textId="0F9F2A0B"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86.986 </w:t>
            </w:r>
          </w:p>
        </w:tc>
        <w:tc>
          <w:tcPr>
            <w:tcW w:w="1143" w:type="dxa"/>
            <w:tcBorders>
              <w:top w:val="nil"/>
              <w:left w:val="single" w:sz="4" w:space="0" w:color="auto"/>
              <w:bottom w:val="nil"/>
              <w:right w:val="single" w:sz="4" w:space="0" w:color="auto"/>
            </w:tcBorders>
            <w:shd w:val="clear" w:color="auto" w:fill="auto"/>
            <w:noWrap/>
            <w:vAlign w:val="bottom"/>
            <w:hideMark/>
          </w:tcPr>
          <w:p w14:paraId="068D01D1" w14:textId="0D3A3C57"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6A8B6C84" w14:textId="681C8FDB"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1.538.557 </w:t>
            </w:r>
          </w:p>
        </w:tc>
      </w:tr>
      <w:tr w:rsidR="00BF7FA8" w:rsidRPr="005B6501" w14:paraId="08B55466" w14:textId="77777777" w:rsidTr="00BA7A6B">
        <w:trPr>
          <w:trHeight w:val="225"/>
          <w:jc w:val="center"/>
        </w:trPr>
        <w:tc>
          <w:tcPr>
            <w:tcW w:w="3771" w:type="dxa"/>
            <w:tcBorders>
              <w:top w:val="nil"/>
              <w:left w:val="single" w:sz="4" w:space="0" w:color="auto"/>
              <w:bottom w:val="nil"/>
              <w:right w:val="single" w:sz="4" w:space="0" w:color="auto"/>
            </w:tcBorders>
            <w:shd w:val="clear" w:color="auto" w:fill="auto"/>
            <w:noWrap/>
            <w:vAlign w:val="bottom"/>
            <w:hideMark/>
          </w:tcPr>
          <w:p w14:paraId="79E5B1FB"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Depreciaciones y desvalorizaciones de bienes </w:t>
            </w:r>
          </w:p>
        </w:tc>
        <w:tc>
          <w:tcPr>
            <w:tcW w:w="1475" w:type="dxa"/>
            <w:tcBorders>
              <w:top w:val="nil"/>
              <w:left w:val="single" w:sz="4" w:space="0" w:color="auto"/>
              <w:bottom w:val="nil"/>
              <w:right w:val="single" w:sz="4" w:space="0" w:color="auto"/>
            </w:tcBorders>
            <w:shd w:val="clear" w:color="auto" w:fill="auto"/>
            <w:noWrap/>
            <w:vAlign w:val="bottom"/>
            <w:hideMark/>
          </w:tcPr>
          <w:p w14:paraId="7BE9EAFC" w14:textId="2AC7B6AD"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21.200 </w:t>
            </w:r>
          </w:p>
        </w:tc>
        <w:tc>
          <w:tcPr>
            <w:tcW w:w="1563" w:type="dxa"/>
            <w:tcBorders>
              <w:top w:val="nil"/>
              <w:left w:val="single" w:sz="4" w:space="0" w:color="auto"/>
              <w:bottom w:val="nil"/>
              <w:right w:val="single" w:sz="4" w:space="0" w:color="auto"/>
            </w:tcBorders>
            <w:shd w:val="clear" w:color="auto" w:fill="auto"/>
            <w:noWrap/>
            <w:vAlign w:val="bottom"/>
            <w:hideMark/>
          </w:tcPr>
          <w:p w14:paraId="57E8BF9B" w14:textId="4AB7D6D3"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321.180 </w:t>
            </w:r>
          </w:p>
        </w:tc>
        <w:tc>
          <w:tcPr>
            <w:tcW w:w="1272" w:type="dxa"/>
            <w:tcBorders>
              <w:top w:val="nil"/>
              <w:left w:val="single" w:sz="4" w:space="0" w:color="auto"/>
              <w:bottom w:val="nil"/>
              <w:right w:val="single" w:sz="4" w:space="0" w:color="auto"/>
            </w:tcBorders>
            <w:shd w:val="clear" w:color="auto" w:fill="auto"/>
            <w:noWrap/>
            <w:vAlign w:val="bottom"/>
            <w:hideMark/>
          </w:tcPr>
          <w:p w14:paraId="170B731B" w14:textId="09B93D8A"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26.496 </w:t>
            </w:r>
          </w:p>
        </w:tc>
        <w:tc>
          <w:tcPr>
            <w:tcW w:w="1143" w:type="dxa"/>
            <w:tcBorders>
              <w:top w:val="nil"/>
              <w:left w:val="single" w:sz="4" w:space="0" w:color="auto"/>
              <w:bottom w:val="nil"/>
              <w:right w:val="single" w:sz="4" w:space="0" w:color="auto"/>
            </w:tcBorders>
            <w:shd w:val="clear" w:color="auto" w:fill="auto"/>
            <w:noWrap/>
            <w:vAlign w:val="bottom"/>
            <w:hideMark/>
          </w:tcPr>
          <w:p w14:paraId="2D4B8576" w14:textId="72199029"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nil"/>
              <w:right w:val="single" w:sz="4" w:space="0" w:color="auto"/>
            </w:tcBorders>
            <w:shd w:val="clear" w:color="auto" w:fill="auto"/>
            <w:noWrap/>
            <w:vAlign w:val="bottom"/>
            <w:hideMark/>
          </w:tcPr>
          <w:p w14:paraId="454BD19D" w14:textId="227A854A"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368.876 </w:t>
            </w:r>
          </w:p>
        </w:tc>
      </w:tr>
      <w:tr w:rsidR="00BF7FA8" w:rsidRPr="005B6501" w14:paraId="47BE2F55" w14:textId="77777777" w:rsidTr="00BA7A6B">
        <w:trPr>
          <w:trHeight w:val="269"/>
          <w:jc w:val="center"/>
        </w:trPr>
        <w:tc>
          <w:tcPr>
            <w:tcW w:w="3771" w:type="dxa"/>
            <w:tcBorders>
              <w:top w:val="nil"/>
              <w:left w:val="single" w:sz="4" w:space="0" w:color="auto"/>
              <w:bottom w:val="single" w:sz="4" w:space="0" w:color="auto"/>
              <w:right w:val="single" w:sz="4" w:space="0" w:color="auto"/>
            </w:tcBorders>
            <w:shd w:val="clear" w:color="auto" w:fill="auto"/>
            <w:noWrap/>
            <w:vAlign w:val="bottom"/>
            <w:hideMark/>
          </w:tcPr>
          <w:p w14:paraId="2F7370CC" w14:textId="77777777" w:rsidR="00BF7FA8" w:rsidRPr="005B6501" w:rsidRDefault="00BF7FA8" w:rsidP="00BF7FA8">
            <w:pPr>
              <w:rPr>
                <w:rFonts w:ascii="Arial" w:hAnsi="Arial" w:cs="Arial"/>
                <w:sz w:val="16"/>
                <w:szCs w:val="16"/>
                <w:lang w:eastAsia="es-AR"/>
              </w:rPr>
            </w:pPr>
            <w:r w:rsidRPr="005B6501">
              <w:rPr>
                <w:rFonts w:ascii="Arial" w:hAnsi="Arial" w:cs="Arial"/>
                <w:sz w:val="16"/>
                <w:szCs w:val="16"/>
                <w:lang w:eastAsia="es-AR"/>
              </w:rPr>
              <w:t xml:space="preserve"> Otros gastos operativos </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7ABB0E3C" w14:textId="51583D86"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386.069 </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14:paraId="751E029D" w14:textId="413D2F1F"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834.511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14:paraId="1B5733C1" w14:textId="63459240"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128.749 </w:t>
            </w:r>
          </w:p>
        </w:tc>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7B692A2F" w14:textId="2A80E37A" w:rsidR="00BF7FA8" w:rsidRPr="005B6501" w:rsidRDefault="00BF7FA8" w:rsidP="00BF7FA8">
            <w:pPr>
              <w:jc w:val="right"/>
              <w:rPr>
                <w:rFonts w:ascii="Arial" w:hAnsi="Arial" w:cs="Arial"/>
                <w:sz w:val="16"/>
                <w:szCs w:val="16"/>
                <w:lang w:val="es-ES_tradnl"/>
              </w:rPr>
            </w:pPr>
            <w:r w:rsidRPr="005B6501">
              <w:rPr>
                <w:rFonts w:ascii="Arial" w:hAnsi="Arial" w:cs="Arial"/>
                <w:sz w:val="16"/>
                <w:szCs w:val="16"/>
              </w:rPr>
              <w:t xml:space="preserve"> -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C843A53" w14:textId="7F0880DB" w:rsidR="00BF7FA8" w:rsidRPr="005B6501" w:rsidRDefault="00BF7FA8">
            <w:pPr>
              <w:jc w:val="right"/>
              <w:rPr>
                <w:rFonts w:ascii="Arial" w:hAnsi="Arial" w:cs="Arial"/>
                <w:sz w:val="16"/>
                <w:szCs w:val="16"/>
                <w:lang w:val="es-ES_tradnl"/>
              </w:rPr>
            </w:pPr>
            <w:r w:rsidRPr="00BA7A6B">
              <w:rPr>
                <w:rFonts w:ascii="Arial" w:hAnsi="Arial" w:cs="Arial"/>
                <w:sz w:val="16"/>
                <w:szCs w:val="16"/>
              </w:rPr>
              <w:t xml:space="preserve"> 1.349.329 </w:t>
            </w:r>
          </w:p>
        </w:tc>
      </w:tr>
      <w:tr w:rsidR="00BF7FA8" w:rsidRPr="005B6501" w14:paraId="692BC138" w14:textId="77777777" w:rsidTr="00BA7A6B">
        <w:trPr>
          <w:trHeight w:val="194"/>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ABE06" w14:textId="77777777" w:rsidR="00BF7FA8" w:rsidRPr="005B6501" w:rsidRDefault="00BF7FA8" w:rsidP="00BF7FA8">
            <w:pPr>
              <w:rPr>
                <w:rFonts w:ascii="Arial" w:hAnsi="Arial" w:cs="Arial"/>
                <w:b/>
                <w:bCs/>
                <w:sz w:val="16"/>
                <w:szCs w:val="16"/>
                <w:lang w:eastAsia="es-AR"/>
              </w:rPr>
            </w:pPr>
            <w:r w:rsidRPr="005B6501">
              <w:rPr>
                <w:rFonts w:ascii="Arial" w:hAnsi="Arial" w:cs="Arial"/>
                <w:b/>
                <w:bCs/>
                <w:sz w:val="16"/>
                <w:szCs w:val="16"/>
                <w:lang w:eastAsia="es-AR"/>
              </w:rPr>
              <w:t xml:space="preserve"> Resultado operativo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8C679" w14:textId="04444913" w:rsidR="00BF7FA8" w:rsidRPr="005B6501" w:rsidRDefault="00BF7FA8">
            <w:pPr>
              <w:jc w:val="right"/>
              <w:rPr>
                <w:rFonts w:ascii="Arial" w:hAnsi="Arial" w:cs="Arial"/>
                <w:b/>
                <w:sz w:val="16"/>
                <w:szCs w:val="16"/>
              </w:rPr>
            </w:pPr>
            <w:r w:rsidRPr="00BA7A6B">
              <w:rPr>
                <w:rFonts w:ascii="Arial" w:hAnsi="Arial" w:cs="Arial"/>
                <w:b/>
                <w:sz w:val="16"/>
                <w:szCs w:val="16"/>
              </w:rPr>
              <w:t xml:space="preserve"> 420.071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2BEB7" w14:textId="4AB40697" w:rsidR="00BF7FA8" w:rsidRPr="005B6501" w:rsidRDefault="00BF7FA8">
            <w:pPr>
              <w:jc w:val="right"/>
              <w:rPr>
                <w:rFonts w:ascii="Arial" w:hAnsi="Arial" w:cs="Arial"/>
                <w:b/>
                <w:sz w:val="16"/>
                <w:szCs w:val="16"/>
              </w:rPr>
            </w:pPr>
            <w:r w:rsidRPr="00BA7A6B">
              <w:rPr>
                <w:rFonts w:ascii="Arial" w:hAnsi="Arial" w:cs="Arial"/>
                <w:b/>
                <w:sz w:val="16"/>
                <w:szCs w:val="16"/>
              </w:rPr>
              <w:t xml:space="preserve"> 347.269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B3325" w14:textId="776D9A88" w:rsidR="00BF7FA8" w:rsidRPr="005B6501" w:rsidRDefault="00BF7FA8">
            <w:pPr>
              <w:jc w:val="right"/>
              <w:rPr>
                <w:rFonts w:ascii="Arial" w:hAnsi="Arial" w:cs="Arial"/>
                <w:b/>
                <w:sz w:val="16"/>
                <w:szCs w:val="16"/>
              </w:rPr>
            </w:pPr>
            <w:r w:rsidRPr="00BA7A6B">
              <w:rPr>
                <w:rFonts w:ascii="Arial" w:hAnsi="Arial" w:cs="Arial"/>
                <w:b/>
                <w:sz w:val="16"/>
                <w:szCs w:val="16"/>
              </w:rPr>
              <w:t xml:space="preserve"> 345.330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5E2EB" w14:textId="6D8FAD24" w:rsidR="00BF7FA8" w:rsidRPr="005B6501" w:rsidRDefault="00BF7FA8" w:rsidP="00BF7FA8">
            <w:pPr>
              <w:jc w:val="right"/>
              <w:rPr>
                <w:rFonts w:ascii="Arial" w:hAnsi="Arial" w:cs="Arial"/>
                <w:b/>
                <w:sz w:val="16"/>
                <w:szCs w:val="16"/>
              </w:rPr>
            </w:pPr>
            <w:r w:rsidRPr="005B6501">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F137E" w14:textId="42CE3EC7" w:rsidR="00BF7FA8" w:rsidRPr="005B6501" w:rsidRDefault="00BF7FA8">
            <w:pPr>
              <w:jc w:val="right"/>
              <w:rPr>
                <w:rFonts w:ascii="Arial" w:hAnsi="Arial" w:cs="Arial"/>
                <w:b/>
                <w:sz w:val="16"/>
                <w:szCs w:val="16"/>
              </w:rPr>
            </w:pPr>
            <w:r w:rsidRPr="00BA7A6B">
              <w:rPr>
                <w:rFonts w:ascii="Arial" w:hAnsi="Arial" w:cs="Arial"/>
                <w:b/>
                <w:sz w:val="16"/>
                <w:szCs w:val="16"/>
              </w:rPr>
              <w:t xml:space="preserve"> 1.112.670 </w:t>
            </w:r>
          </w:p>
        </w:tc>
      </w:tr>
      <w:tr w:rsidR="00D26C3C" w:rsidRPr="005B6501" w14:paraId="2C8D16A7" w14:textId="77777777" w:rsidTr="00D26C3C">
        <w:trPr>
          <w:trHeight w:val="183"/>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06DEA" w14:textId="77777777" w:rsidR="00D26C3C" w:rsidRPr="005B6501" w:rsidRDefault="00D26C3C" w:rsidP="00D26C3C">
            <w:pPr>
              <w:rPr>
                <w:rFonts w:ascii="Arial" w:hAnsi="Arial" w:cs="Arial"/>
                <w:sz w:val="16"/>
                <w:szCs w:val="16"/>
                <w:lang w:eastAsia="es-AR"/>
              </w:rPr>
            </w:pPr>
            <w:r w:rsidRPr="005B6501">
              <w:rPr>
                <w:rFonts w:ascii="Arial" w:hAnsi="Arial" w:cs="Arial"/>
                <w:sz w:val="16"/>
                <w:szCs w:val="16"/>
                <w:lang w:eastAsia="es-AR"/>
              </w:rPr>
              <w:t xml:space="preserve"> Resultado por asociadas y negocios conjuntos </w:t>
            </w:r>
          </w:p>
        </w:tc>
        <w:tc>
          <w:tcPr>
            <w:tcW w:w="1475" w:type="dxa"/>
            <w:tcBorders>
              <w:top w:val="single" w:sz="4" w:space="0" w:color="auto"/>
              <w:left w:val="single" w:sz="4" w:space="0" w:color="auto"/>
              <w:bottom w:val="single" w:sz="4" w:space="0" w:color="auto"/>
              <w:right w:val="single" w:sz="4" w:space="0" w:color="auto"/>
            </w:tcBorders>
            <w:shd w:val="clear" w:color="auto" w:fill="auto"/>
            <w:noWrap/>
            <w:hideMark/>
          </w:tcPr>
          <w:p w14:paraId="7BA58B69" w14:textId="07AED7DC" w:rsidR="00D26C3C" w:rsidRPr="005B6501" w:rsidRDefault="00D26C3C" w:rsidP="00D26C3C">
            <w:pPr>
              <w:jc w:val="right"/>
              <w:rPr>
                <w:rFonts w:ascii="Arial" w:hAnsi="Arial" w:cs="Arial"/>
                <w:sz w:val="16"/>
                <w:szCs w:val="16"/>
                <w:lang w:val="es-ES_tradnl"/>
              </w:rPr>
            </w:pPr>
            <w:r w:rsidRPr="005B6501">
              <w:rPr>
                <w:rFonts w:ascii="Arial" w:hAnsi="Arial" w:cs="Arial"/>
                <w:sz w:val="16"/>
                <w:szCs w:val="16"/>
              </w:rPr>
              <w:t xml:space="preserve"> - </w:t>
            </w:r>
          </w:p>
        </w:tc>
        <w:tc>
          <w:tcPr>
            <w:tcW w:w="1563" w:type="dxa"/>
            <w:tcBorders>
              <w:top w:val="single" w:sz="4" w:space="0" w:color="auto"/>
              <w:left w:val="single" w:sz="4" w:space="0" w:color="auto"/>
              <w:bottom w:val="single" w:sz="4" w:space="0" w:color="auto"/>
              <w:right w:val="single" w:sz="4" w:space="0" w:color="auto"/>
            </w:tcBorders>
            <w:shd w:val="clear" w:color="auto" w:fill="auto"/>
            <w:noWrap/>
            <w:hideMark/>
          </w:tcPr>
          <w:p w14:paraId="18E24072" w14:textId="49F9F300" w:rsidR="00D26C3C" w:rsidRPr="005B6501" w:rsidRDefault="00D26C3C" w:rsidP="00D26C3C">
            <w:pPr>
              <w:jc w:val="right"/>
              <w:rPr>
                <w:rFonts w:ascii="Arial" w:hAnsi="Arial" w:cs="Arial"/>
                <w:sz w:val="16"/>
                <w:szCs w:val="16"/>
                <w:lang w:val="es-ES_tradnl"/>
              </w:rPr>
            </w:pPr>
            <w:r w:rsidRPr="005B6501">
              <w:rPr>
                <w:rFonts w:ascii="Arial" w:hAnsi="Arial" w:cs="Arial"/>
                <w:sz w:val="16"/>
                <w:szCs w:val="16"/>
              </w:rPr>
              <w:t xml:space="preserve"> - </w:t>
            </w:r>
          </w:p>
        </w:tc>
        <w:tc>
          <w:tcPr>
            <w:tcW w:w="1272" w:type="dxa"/>
            <w:tcBorders>
              <w:top w:val="single" w:sz="4" w:space="0" w:color="auto"/>
              <w:left w:val="single" w:sz="4" w:space="0" w:color="auto"/>
              <w:bottom w:val="single" w:sz="4" w:space="0" w:color="auto"/>
              <w:right w:val="single" w:sz="4" w:space="0" w:color="auto"/>
            </w:tcBorders>
            <w:shd w:val="clear" w:color="auto" w:fill="auto"/>
            <w:noWrap/>
            <w:hideMark/>
          </w:tcPr>
          <w:p w14:paraId="3ACF0E49" w14:textId="0C572135" w:rsidR="00D26C3C" w:rsidRPr="005B6501" w:rsidRDefault="00D26C3C" w:rsidP="00D26C3C">
            <w:pPr>
              <w:jc w:val="right"/>
              <w:rPr>
                <w:rFonts w:ascii="Arial" w:hAnsi="Arial" w:cs="Arial"/>
                <w:sz w:val="16"/>
                <w:szCs w:val="16"/>
                <w:lang w:val="es-ES_tradnl"/>
              </w:rPr>
            </w:pPr>
            <w:r w:rsidRPr="005B6501">
              <w:rPr>
                <w:rFonts w:ascii="Arial" w:hAnsi="Arial" w:cs="Arial"/>
                <w:sz w:val="16"/>
                <w:szCs w:val="16"/>
              </w:rPr>
              <w:t xml:space="preserve">-663.735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3DB31" w14:textId="09F35C59" w:rsidR="00D26C3C" w:rsidRPr="005B6501" w:rsidRDefault="00D26C3C" w:rsidP="00D26C3C">
            <w:pPr>
              <w:jc w:val="right"/>
              <w:rPr>
                <w:rFonts w:ascii="Arial" w:hAnsi="Arial" w:cs="Arial"/>
                <w:sz w:val="16"/>
                <w:szCs w:val="16"/>
                <w:lang w:val="es-ES_tradnl"/>
              </w:rPr>
            </w:pPr>
            <w:r w:rsidRPr="005B6501">
              <w:rPr>
                <w:rFonts w:ascii="Arial" w:hAnsi="Arial" w:cs="Arial"/>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CA404" w14:textId="77CD8C87" w:rsidR="00D26C3C" w:rsidRPr="005B6501" w:rsidRDefault="00D26C3C" w:rsidP="00D26C3C">
            <w:pPr>
              <w:jc w:val="right"/>
              <w:rPr>
                <w:rFonts w:ascii="Arial" w:hAnsi="Arial" w:cs="Arial"/>
                <w:sz w:val="16"/>
                <w:szCs w:val="16"/>
                <w:lang w:val="es-ES_tradnl"/>
              </w:rPr>
            </w:pPr>
            <w:r w:rsidRPr="005B6501">
              <w:rPr>
                <w:rFonts w:ascii="Arial" w:hAnsi="Arial" w:cs="Arial"/>
                <w:sz w:val="16"/>
                <w:szCs w:val="16"/>
              </w:rPr>
              <w:t>-663.735</w:t>
            </w:r>
          </w:p>
        </w:tc>
      </w:tr>
      <w:tr w:rsidR="00D26C3C" w:rsidRPr="0012605F" w14:paraId="4ACF64CB" w14:textId="77777777" w:rsidTr="00D26C3C">
        <w:trPr>
          <w:trHeight w:val="183"/>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ADF68" w14:textId="77777777" w:rsidR="00D26C3C" w:rsidRPr="005B6501" w:rsidRDefault="00D26C3C" w:rsidP="00D26C3C">
            <w:pPr>
              <w:rPr>
                <w:rFonts w:ascii="Arial" w:hAnsi="Arial" w:cs="Arial"/>
                <w:sz w:val="16"/>
                <w:szCs w:val="16"/>
                <w:lang w:eastAsia="es-AR"/>
              </w:rPr>
            </w:pPr>
            <w:r w:rsidRPr="005B6501">
              <w:rPr>
                <w:rFonts w:ascii="Arial" w:hAnsi="Arial" w:cs="Arial"/>
                <w:sz w:val="16"/>
                <w:szCs w:val="16"/>
                <w:lang w:eastAsia="es-AR"/>
              </w:rPr>
              <w:t>Resultado por la posición monetaria neta</w:t>
            </w:r>
          </w:p>
        </w:tc>
        <w:tc>
          <w:tcPr>
            <w:tcW w:w="1475" w:type="dxa"/>
            <w:tcBorders>
              <w:top w:val="single" w:sz="4" w:space="0" w:color="auto"/>
              <w:left w:val="single" w:sz="4" w:space="0" w:color="auto"/>
              <w:bottom w:val="single" w:sz="4" w:space="0" w:color="auto"/>
              <w:right w:val="single" w:sz="4" w:space="0" w:color="auto"/>
            </w:tcBorders>
            <w:shd w:val="clear" w:color="auto" w:fill="auto"/>
            <w:noWrap/>
          </w:tcPr>
          <w:p w14:paraId="25497159" w14:textId="7AB571B7" w:rsidR="00D26C3C" w:rsidRPr="005B6501" w:rsidRDefault="00D26C3C" w:rsidP="00D26C3C">
            <w:pPr>
              <w:jc w:val="right"/>
              <w:rPr>
                <w:rFonts w:ascii="Arial" w:hAnsi="Arial" w:cs="Arial"/>
                <w:sz w:val="16"/>
                <w:szCs w:val="16"/>
              </w:rPr>
            </w:pPr>
            <w:r w:rsidRPr="005B6501">
              <w:rPr>
                <w:rFonts w:ascii="Arial" w:hAnsi="Arial" w:cs="Arial"/>
                <w:sz w:val="16"/>
                <w:szCs w:val="16"/>
              </w:rPr>
              <w:t xml:space="preserve"> -675.375 </w:t>
            </w:r>
          </w:p>
        </w:tc>
        <w:tc>
          <w:tcPr>
            <w:tcW w:w="1563" w:type="dxa"/>
            <w:tcBorders>
              <w:top w:val="single" w:sz="4" w:space="0" w:color="auto"/>
              <w:left w:val="single" w:sz="4" w:space="0" w:color="auto"/>
              <w:bottom w:val="single" w:sz="4" w:space="0" w:color="auto"/>
              <w:right w:val="single" w:sz="4" w:space="0" w:color="auto"/>
            </w:tcBorders>
            <w:shd w:val="clear" w:color="auto" w:fill="auto"/>
            <w:noWrap/>
          </w:tcPr>
          <w:p w14:paraId="0D8E31A3" w14:textId="113A68EF" w:rsidR="00D26C3C" w:rsidRPr="005B6501" w:rsidRDefault="00D26C3C" w:rsidP="00D26C3C">
            <w:pPr>
              <w:jc w:val="right"/>
              <w:rPr>
                <w:rFonts w:ascii="Arial" w:hAnsi="Arial" w:cs="Arial"/>
                <w:sz w:val="16"/>
                <w:szCs w:val="16"/>
              </w:rPr>
            </w:pPr>
            <w:r w:rsidRPr="005B6501">
              <w:rPr>
                <w:rFonts w:ascii="Arial" w:hAnsi="Arial" w:cs="Arial"/>
                <w:sz w:val="16"/>
                <w:szCs w:val="16"/>
              </w:rPr>
              <w:t xml:space="preserve"> -571.659 </w:t>
            </w:r>
          </w:p>
        </w:tc>
        <w:tc>
          <w:tcPr>
            <w:tcW w:w="1272" w:type="dxa"/>
            <w:tcBorders>
              <w:top w:val="single" w:sz="4" w:space="0" w:color="auto"/>
              <w:left w:val="single" w:sz="4" w:space="0" w:color="auto"/>
              <w:bottom w:val="single" w:sz="4" w:space="0" w:color="auto"/>
              <w:right w:val="single" w:sz="4" w:space="0" w:color="auto"/>
            </w:tcBorders>
            <w:shd w:val="clear" w:color="auto" w:fill="auto"/>
            <w:noWrap/>
          </w:tcPr>
          <w:p w14:paraId="2312E693" w14:textId="6C615E3D" w:rsidR="00D26C3C" w:rsidRPr="005B6501" w:rsidRDefault="00D26C3C" w:rsidP="00D26C3C">
            <w:pPr>
              <w:jc w:val="right"/>
              <w:rPr>
                <w:rFonts w:ascii="Arial" w:hAnsi="Arial" w:cs="Arial"/>
                <w:sz w:val="16"/>
                <w:szCs w:val="16"/>
              </w:rPr>
            </w:pPr>
            <w:r w:rsidRPr="005B6501">
              <w:rPr>
                <w:rFonts w:ascii="Arial" w:hAnsi="Arial" w:cs="Arial"/>
                <w:sz w:val="16"/>
                <w:szCs w:val="16"/>
              </w:rPr>
              <w:t xml:space="preserve"> -142.647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245D43" w14:textId="77777777" w:rsidR="00D26C3C" w:rsidRPr="005B6501" w:rsidRDefault="00D26C3C" w:rsidP="00D26C3C">
            <w:pPr>
              <w:jc w:val="right"/>
              <w:rPr>
                <w:rFonts w:ascii="Arial" w:hAnsi="Arial" w:cs="Arial"/>
                <w:sz w:val="16"/>
                <w:szCs w:val="16"/>
              </w:rPr>
            </w:pPr>
            <w:r w:rsidRPr="005B6501">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A8E3C" w14:textId="15F4058A" w:rsidR="00D26C3C" w:rsidRPr="0012605F" w:rsidRDefault="00D26C3C" w:rsidP="00D26C3C">
            <w:pPr>
              <w:jc w:val="right"/>
              <w:rPr>
                <w:rFonts w:ascii="Arial" w:hAnsi="Arial" w:cs="Arial"/>
                <w:sz w:val="16"/>
                <w:szCs w:val="16"/>
              </w:rPr>
            </w:pPr>
            <w:r w:rsidRPr="005B6501">
              <w:rPr>
                <w:rFonts w:ascii="Arial" w:hAnsi="Arial" w:cs="Arial"/>
                <w:sz w:val="16"/>
                <w:szCs w:val="16"/>
              </w:rPr>
              <w:t>-1.389.681</w:t>
            </w:r>
          </w:p>
        </w:tc>
      </w:tr>
      <w:tr w:rsidR="00BF7FA8" w:rsidRPr="0012605F" w14:paraId="530FC3ED" w14:textId="77777777" w:rsidTr="00BA7A6B">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AA726" w14:textId="77777777" w:rsidR="00BF7FA8" w:rsidRPr="0012605F" w:rsidRDefault="00BF7FA8" w:rsidP="00BF7FA8">
            <w:pPr>
              <w:rPr>
                <w:rFonts w:ascii="Arial" w:hAnsi="Arial" w:cs="Arial"/>
                <w:b/>
                <w:bCs/>
                <w:sz w:val="16"/>
                <w:szCs w:val="16"/>
                <w:lang w:eastAsia="es-AR"/>
              </w:rPr>
            </w:pPr>
            <w:r w:rsidRPr="0012605F">
              <w:rPr>
                <w:rFonts w:ascii="Arial" w:hAnsi="Arial" w:cs="Arial"/>
                <w:b/>
                <w:bCs/>
                <w:sz w:val="16"/>
                <w:szCs w:val="16"/>
                <w:lang w:eastAsia="es-AR"/>
              </w:rPr>
              <w:t xml:space="preserve"> Resultado antes de impuesto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B29C1" w14:textId="7D4B3D5E" w:rsidR="00BF7FA8" w:rsidRPr="00BF7FA8" w:rsidRDefault="00BF7FA8">
            <w:pPr>
              <w:jc w:val="right"/>
              <w:rPr>
                <w:rFonts w:ascii="Arial" w:hAnsi="Arial" w:cs="Arial"/>
                <w:b/>
                <w:sz w:val="16"/>
                <w:szCs w:val="16"/>
              </w:rPr>
            </w:pPr>
            <w:r w:rsidRPr="00BA7A6B">
              <w:rPr>
                <w:rFonts w:ascii="Arial" w:hAnsi="Arial" w:cs="Arial"/>
                <w:b/>
                <w:sz w:val="16"/>
                <w:szCs w:val="16"/>
              </w:rPr>
              <w:t xml:space="preserve"> -255.304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DBFDB" w14:textId="4A7E40A0" w:rsidR="00BF7FA8" w:rsidRPr="00BF7FA8" w:rsidRDefault="00BF7FA8">
            <w:pPr>
              <w:jc w:val="right"/>
              <w:rPr>
                <w:rFonts w:ascii="Arial" w:hAnsi="Arial" w:cs="Arial"/>
                <w:b/>
                <w:sz w:val="16"/>
                <w:szCs w:val="16"/>
              </w:rPr>
            </w:pPr>
            <w:r w:rsidRPr="00BA7A6B">
              <w:rPr>
                <w:rFonts w:ascii="Arial" w:hAnsi="Arial" w:cs="Arial"/>
                <w:b/>
                <w:sz w:val="16"/>
                <w:szCs w:val="16"/>
              </w:rPr>
              <w:t xml:space="preserve"> -224.390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6203A" w14:textId="68820F2B" w:rsidR="00BF7FA8" w:rsidRPr="00BF7FA8" w:rsidRDefault="00BF7FA8">
            <w:pPr>
              <w:jc w:val="right"/>
              <w:rPr>
                <w:rFonts w:ascii="Arial" w:hAnsi="Arial" w:cs="Arial"/>
                <w:b/>
                <w:sz w:val="16"/>
                <w:szCs w:val="16"/>
              </w:rPr>
            </w:pPr>
            <w:r w:rsidRPr="00BA7A6B">
              <w:rPr>
                <w:rFonts w:ascii="Arial" w:hAnsi="Arial" w:cs="Arial"/>
                <w:b/>
                <w:sz w:val="16"/>
                <w:szCs w:val="16"/>
              </w:rPr>
              <w:t xml:space="preserve"> -461.052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F51F2" w14:textId="132FA1E5" w:rsidR="00BF7FA8" w:rsidRPr="00BF7FA8" w:rsidRDefault="00BF7FA8">
            <w:pPr>
              <w:jc w:val="right"/>
              <w:rPr>
                <w:rFonts w:ascii="Arial" w:hAnsi="Arial" w:cs="Arial"/>
                <w:b/>
                <w:sz w:val="16"/>
                <w:szCs w:val="16"/>
              </w:rPr>
            </w:pPr>
            <w:r w:rsidRPr="00BF7FA8">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79AF1" w14:textId="525CA907" w:rsidR="00BF7FA8" w:rsidRPr="00BF7FA8" w:rsidRDefault="00BF7FA8">
            <w:pPr>
              <w:jc w:val="right"/>
              <w:rPr>
                <w:rFonts w:ascii="Arial" w:hAnsi="Arial" w:cs="Arial"/>
                <w:b/>
                <w:sz w:val="16"/>
                <w:szCs w:val="16"/>
              </w:rPr>
            </w:pPr>
            <w:r w:rsidRPr="00BF7FA8">
              <w:rPr>
                <w:rFonts w:ascii="Arial" w:hAnsi="Arial" w:cs="Arial"/>
                <w:b/>
                <w:sz w:val="16"/>
                <w:szCs w:val="16"/>
              </w:rPr>
              <w:t xml:space="preserve"> -940.746 </w:t>
            </w:r>
          </w:p>
        </w:tc>
      </w:tr>
      <w:tr w:rsidR="00BF7FA8" w:rsidRPr="00C63989" w14:paraId="53B420E2" w14:textId="77777777" w:rsidTr="00BA7A6B">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C33AA" w14:textId="77777777" w:rsidR="00BF7FA8" w:rsidRPr="0012605F" w:rsidRDefault="00BF7FA8" w:rsidP="00BF7FA8">
            <w:pPr>
              <w:rPr>
                <w:rFonts w:ascii="Arial" w:hAnsi="Arial" w:cs="Arial"/>
                <w:sz w:val="16"/>
                <w:szCs w:val="16"/>
                <w:lang w:eastAsia="es-AR"/>
              </w:rPr>
            </w:pPr>
            <w:r w:rsidRPr="0012605F">
              <w:rPr>
                <w:rFonts w:ascii="Arial" w:hAnsi="Arial" w:cs="Arial"/>
                <w:sz w:val="16"/>
                <w:szCs w:val="16"/>
                <w:lang w:eastAsia="es-AR"/>
              </w:rPr>
              <w:t xml:space="preserve"> </w:t>
            </w:r>
          </w:p>
          <w:p w14:paraId="00B6CF10" w14:textId="77777777" w:rsidR="00BF7FA8" w:rsidRPr="0012605F" w:rsidRDefault="00BF7FA8" w:rsidP="00BF7FA8">
            <w:pPr>
              <w:rPr>
                <w:rFonts w:ascii="Arial" w:hAnsi="Arial" w:cs="Arial"/>
                <w:sz w:val="16"/>
                <w:szCs w:val="16"/>
                <w:lang w:eastAsia="es-AR"/>
              </w:rPr>
            </w:pPr>
            <w:r w:rsidRPr="0012605F">
              <w:rPr>
                <w:rFonts w:ascii="Arial" w:hAnsi="Arial" w:cs="Arial"/>
                <w:sz w:val="16"/>
                <w:szCs w:val="16"/>
                <w:lang w:eastAsia="es-AR"/>
              </w:rPr>
              <w:t xml:space="preserve">Impuesto a las ganancias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2452D" w14:textId="608CC4AD" w:rsidR="00BF7FA8" w:rsidRPr="00BF7FA8" w:rsidRDefault="00BF7FA8">
            <w:pPr>
              <w:jc w:val="right"/>
              <w:rPr>
                <w:rFonts w:ascii="Arial" w:hAnsi="Arial" w:cs="Arial"/>
                <w:sz w:val="16"/>
                <w:szCs w:val="16"/>
                <w:lang w:val="es-ES_tradnl"/>
              </w:rPr>
            </w:pPr>
            <w:r w:rsidRPr="00BA7A6B">
              <w:rPr>
                <w:rFonts w:ascii="Arial" w:hAnsi="Arial" w:cs="Arial"/>
                <w:sz w:val="16"/>
                <w:szCs w:val="16"/>
              </w:rPr>
              <w:t xml:space="preserve"> -1.172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9470D8" w14:textId="13621BCF" w:rsidR="00BF7FA8" w:rsidRPr="00BF7FA8" w:rsidRDefault="00BF7FA8">
            <w:pPr>
              <w:jc w:val="right"/>
              <w:rPr>
                <w:rFonts w:ascii="Arial" w:hAnsi="Arial" w:cs="Arial"/>
                <w:sz w:val="16"/>
                <w:szCs w:val="16"/>
                <w:lang w:val="es-ES_tradnl"/>
              </w:rPr>
            </w:pPr>
            <w:r w:rsidRPr="00BA7A6B">
              <w:rPr>
                <w:rFonts w:ascii="Arial" w:hAnsi="Arial" w:cs="Arial"/>
                <w:sz w:val="16"/>
                <w:szCs w:val="16"/>
              </w:rPr>
              <w:t xml:space="preserve"> 214.980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9D4DD" w14:textId="35D18A73" w:rsidR="00BF7FA8" w:rsidRPr="00BF7FA8" w:rsidRDefault="00BF7FA8">
            <w:pPr>
              <w:jc w:val="right"/>
              <w:rPr>
                <w:rFonts w:ascii="Arial" w:hAnsi="Arial" w:cs="Arial"/>
                <w:sz w:val="16"/>
                <w:szCs w:val="16"/>
                <w:lang w:val="es-ES_tradnl"/>
              </w:rPr>
            </w:pPr>
            <w:r w:rsidRPr="00BA7A6B">
              <w:rPr>
                <w:rFonts w:ascii="Arial" w:hAnsi="Arial" w:cs="Arial"/>
                <w:sz w:val="16"/>
                <w:szCs w:val="16"/>
              </w:rPr>
              <w:t xml:space="preserve"> 173.940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7EDD0" w14:textId="2D63D726" w:rsidR="00BF7FA8" w:rsidRPr="00BF7FA8" w:rsidRDefault="00BF7FA8">
            <w:pPr>
              <w:jc w:val="right"/>
              <w:rPr>
                <w:rFonts w:ascii="Arial" w:hAnsi="Arial" w:cs="Arial"/>
                <w:sz w:val="16"/>
                <w:szCs w:val="16"/>
                <w:lang w:val="es-ES_tradnl"/>
              </w:rPr>
            </w:pPr>
            <w:r w:rsidRPr="00BF7FA8">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B21FF" w14:textId="72A5E4FE" w:rsidR="00BF7FA8" w:rsidRPr="00BF7FA8" w:rsidRDefault="00BF7FA8">
            <w:pPr>
              <w:jc w:val="right"/>
              <w:rPr>
                <w:rFonts w:ascii="Arial" w:hAnsi="Arial" w:cs="Arial"/>
                <w:sz w:val="16"/>
                <w:szCs w:val="16"/>
                <w:lang w:val="es-ES_tradnl"/>
              </w:rPr>
            </w:pPr>
            <w:r w:rsidRPr="00BF7FA8">
              <w:rPr>
                <w:rFonts w:ascii="Arial" w:hAnsi="Arial" w:cs="Arial"/>
                <w:sz w:val="16"/>
                <w:szCs w:val="16"/>
              </w:rPr>
              <w:t xml:space="preserve"> 387.748 </w:t>
            </w:r>
          </w:p>
        </w:tc>
      </w:tr>
      <w:tr w:rsidR="00BF7FA8" w:rsidRPr="00C63989" w14:paraId="030BF185" w14:textId="77777777" w:rsidTr="00BA7A6B">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E517F" w14:textId="77777777" w:rsidR="00BF7FA8" w:rsidRPr="0012605F" w:rsidRDefault="00BF7FA8" w:rsidP="00BF7FA8">
            <w:pPr>
              <w:rPr>
                <w:rFonts w:ascii="Arial" w:hAnsi="Arial" w:cs="Arial"/>
                <w:bCs/>
                <w:sz w:val="16"/>
                <w:szCs w:val="16"/>
                <w:lang w:eastAsia="es-AR"/>
              </w:rPr>
            </w:pPr>
            <w:r w:rsidRPr="0012605F">
              <w:rPr>
                <w:rFonts w:ascii="Arial" w:hAnsi="Arial" w:cs="Arial"/>
                <w:bCs/>
                <w:sz w:val="16"/>
                <w:szCs w:val="16"/>
                <w:lang w:eastAsia="es-AR"/>
              </w:rPr>
              <w:t xml:space="preserve"> Resultado neto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95557" w14:textId="42B924BC" w:rsidR="00BF7FA8" w:rsidRPr="00BF7FA8" w:rsidRDefault="00BF7FA8">
            <w:pPr>
              <w:jc w:val="right"/>
              <w:rPr>
                <w:rFonts w:ascii="Arial" w:hAnsi="Arial" w:cs="Arial"/>
                <w:b/>
                <w:sz w:val="16"/>
                <w:szCs w:val="16"/>
              </w:rPr>
            </w:pPr>
            <w:r w:rsidRPr="00BA7A6B">
              <w:rPr>
                <w:rFonts w:ascii="Arial" w:hAnsi="Arial" w:cs="Arial"/>
                <w:b/>
                <w:sz w:val="16"/>
                <w:szCs w:val="16"/>
              </w:rPr>
              <w:t xml:space="preserve"> -254.132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F380" w14:textId="53C31AA9" w:rsidR="00BF7FA8" w:rsidRPr="00BF7FA8" w:rsidRDefault="00BF7FA8">
            <w:pPr>
              <w:jc w:val="right"/>
              <w:rPr>
                <w:rFonts w:ascii="Arial" w:hAnsi="Arial" w:cs="Arial"/>
                <w:b/>
                <w:sz w:val="16"/>
                <w:szCs w:val="16"/>
              </w:rPr>
            </w:pPr>
            <w:r w:rsidRPr="00BA7A6B">
              <w:rPr>
                <w:rFonts w:ascii="Arial" w:hAnsi="Arial" w:cs="Arial"/>
                <w:b/>
                <w:sz w:val="16"/>
                <w:szCs w:val="16"/>
              </w:rPr>
              <w:t xml:space="preserve"> -439.370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949F1" w14:textId="7EE2A17A" w:rsidR="00BF7FA8" w:rsidRPr="00BF7FA8" w:rsidRDefault="00BF7FA8">
            <w:pPr>
              <w:jc w:val="right"/>
              <w:rPr>
                <w:rFonts w:ascii="Arial" w:hAnsi="Arial" w:cs="Arial"/>
                <w:b/>
                <w:sz w:val="16"/>
                <w:szCs w:val="16"/>
              </w:rPr>
            </w:pPr>
            <w:r w:rsidRPr="00BA7A6B">
              <w:rPr>
                <w:rFonts w:ascii="Arial" w:hAnsi="Arial" w:cs="Arial"/>
                <w:b/>
                <w:sz w:val="16"/>
                <w:szCs w:val="16"/>
              </w:rPr>
              <w:t xml:space="preserve"> -634.992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69796" w14:textId="2769D30E" w:rsidR="00BF7FA8" w:rsidRPr="00BF7FA8" w:rsidRDefault="00BF7FA8">
            <w:pPr>
              <w:jc w:val="right"/>
              <w:rPr>
                <w:rFonts w:ascii="Arial" w:hAnsi="Arial" w:cs="Arial"/>
                <w:b/>
                <w:sz w:val="16"/>
                <w:szCs w:val="16"/>
              </w:rPr>
            </w:pPr>
            <w:r w:rsidRPr="00BF7FA8">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24B34" w14:textId="26C9D1E2" w:rsidR="00BF7FA8" w:rsidRPr="00BF7FA8" w:rsidRDefault="00BF7FA8">
            <w:pPr>
              <w:jc w:val="right"/>
              <w:rPr>
                <w:rFonts w:ascii="Arial" w:hAnsi="Arial" w:cs="Arial"/>
                <w:b/>
                <w:sz w:val="16"/>
                <w:szCs w:val="16"/>
              </w:rPr>
            </w:pPr>
            <w:r w:rsidRPr="00BF7FA8">
              <w:rPr>
                <w:rFonts w:ascii="Arial" w:hAnsi="Arial" w:cs="Arial"/>
                <w:b/>
                <w:sz w:val="16"/>
                <w:szCs w:val="16"/>
              </w:rPr>
              <w:t xml:space="preserve"> -1.328.494 </w:t>
            </w:r>
          </w:p>
        </w:tc>
      </w:tr>
      <w:tr w:rsidR="00BF7FA8" w:rsidRPr="00C63989" w14:paraId="7BD720E0" w14:textId="77777777" w:rsidTr="00BA7A6B">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D36CE" w14:textId="77777777" w:rsidR="00BF7FA8" w:rsidRPr="0012605F" w:rsidRDefault="00BF7FA8" w:rsidP="00BF7FA8">
            <w:pPr>
              <w:rPr>
                <w:rFonts w:ascii="Arial" w:hAnsi="Arial" w:cs="Arial"/>
                <w:b/>
                <w:bCs/>
                <w:sz w:val="16"/>
                <w:szCs w:val="16"/>
                <w:lang w:eastAsia="es-AR"/>
              </w:rPr>
            </w:pPr>
            <w:r w:rsidRPr="0012605F">
              <w:rPr>
                <w:rFonts w:ascii="Arial" w:hAnsi="Arial" w:cs="Arial"/>
                <w:b/>
                <w:bCs/>
                <w:sz w:val="16"/>
                <w:szCs w:val="16"/>
                <w:lang w:eastAsia="es-AR"/>
              </w:rPr>
              <w:t xml:space="preserve"> Resultado neto del período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C8595" w14:textId="5759CE96" w:rsidR="00BF7FA8" w:rsidRPr="00BF7FA8" w:rsidRDefault="00BF7FA8">
            <w:pPr>
              <w:jc w:val="right"/>
              <w:rPr>
                <w:rFonts w:ascii="Arial" w:hAnsi="Arial" w:cs="Arial"/>
                <w:b/>
                <w:sz w:val="16"/>
                <w:szCs w:val="16"/>
              </w:rPr>
            </w:pPr>
            <w:r w:rsidRPr="00BA7A6B">
              <w:rPr>
                <w:rFonts w:ascii="Arial" w:hAnsi="Arial" w:cs="Arial"/>
                <w:b/>
                <w:sz w:val="16"/>
                <w:szCs w:val="16"/>
              </w:rPr>
              <w:t xml:space="preserve"> -254.132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D8292" w14:textId="2B5747B4" w:rsidR="00BF7FA8" w:rsidRPr="00BF7FA8" w:rsidRDefault="00BF7FA8">
            <w:pPr>
              <w:jc w:val="right"/>
              <w:rPr>
                <w:rFonts w:ascii="Arial" w:hAnsi="Arial" w:cs="Arial"/>
                <w:b/>
                <w:sz w:val="16"/>
                <w:szCs w:val="16"/>
              </w:rPr>
            </w:pPr>
            <w:r w:rsidRPr="00BA7A6B">
              <w:rPr>
                <w:rFonts w:ascii="Arial" w:hAnsi="Arial" w:cs="Arial"/>
                <w:b/>
                <w:sz w:val="16"/>
                <w:szCs w:val="16"/>
              </w:rPr>
              <w:t xml:space="preserve"> -439.370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6BB90" w14:textId="4E669DDB" w:rsidR="00BF7FA8" w:rsidRPr="00BF7FA8" w:rsidRDefault="00BF7FA8">
            <w:pPr>
              <w:jc w:val="right"/>
              <w:rPr>
                <w:rFonts w:ascii="Arial" w:hAnsi="Arial" w:cs="Arial"/>
                <w:b/>
                <w:sz w:val="16"/>
                <w:szCs w:val="16"/>
              </w:rPr>
            </w:pPr>
            <w:r w:rsidRPr="00BA7A6B">
              <w:rPr>
                <w:rFonts w:ascii="Arial" w:hAnsi="Arial" w:cs="Arial"/>
                <w:b/>
                <w:sz w:val="16"/>
                <w:szCs w:val="16"/>
              </w:rPr>
              <w:t xml:space="preserve"> -634.992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63057" w14:textId="4C7D2A14" w:rsidR="00BF7FA8" w:rsidRPr="00BF7FA8" w:rsidRDefault="00BF7FA8">
            <w:pPr>
              <w:jc w:val="right"/>
              <w:rPr>
                <w:rFonts w:ascii="Arial" w:hAnsi="Arial" w:cs="Arial"/>
                <w:b/>
                <w:sz w:val="16"/>
                <w:szCs w:val="16"/>
              </w:rPr>
            </w:pPr>
            <w:r w:rsidRPr="00BF7FA8">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9802D" w14:textId="147C2190" w:rsidR="00BF7FA8" w:rsidRPr="00BF7FA8" w:rsidRDefault="00BF7FA8">
            <w:pPr>
              <w:jc w:val="right"/>
              <w:rPr>
                <w:rFonts w:ascii="Arial" w:hAnsi="Arial" w:cs="Arial"/>
                <w:b/>
                <w:sz w:val="16"/>
                <w:szCs w:val="16"/>
              </w:rPr>
            </w:pPr>
            <w:r w:rsidRPr="00BF7FA8">
              <w:rPr>
                <w:rFonts w:ascii="Arial" w:hAnsi="Arial" w:cs="Arial"/>
                <w:b/>
                <w:sz w:val="16"/>
                <w:szCs w:val="16"/>
              </w:rPr>
              <w:t xml:space="preserve"> -1.328.494 </w:t>
            </w:r>
          </w:p>
        </w:tc>
      </w:tr>
      <w:tr w:rsidR="00D26C3C" w:rsidRPr="00C63989" w14:paraId="2D394421" w14:textId="77777777" w:rsidTr="00BA7A6B">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hideMark/>
          </w:tcPr>
          <w:p w14:paraId="07152C1D" w14:textId="77777777" w:rsidR="00D26C3C" w:rsidRPr="0012605F" w:rsidRDefault="00D26C3C" w:rsidP="00D26C3C">
            <w:pPr>
              <w:rPr>
                <w:rFonts w:ascii="Arial" w:hAnsi="Arial" w:cs="Arial"/>
                <w:sz w:val="16"/>
                <w:szCs w:val="16"/>
                <w:lang w:eastAsia="es-AR"/>
              </w:rPr>
            </w:pPr>
            <w:r w:rsidRPr="0012605F">
              <w:rPr>
                <w:rFonts w:ascii="Arial" w:hAnsi="Arial" w:cs="Arial"/>
                <w:sz w:val="16"/>
                <w:szCs w:val="16"/>
              </w:rPr>
              <w:t>Otros Resultados Integrales (ORI)</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9F607" w14:textId="104DD8D1" w:rsidR="00D26C3C" w:rsidRPr="00BF7FA8" w:rsidRDefault="00D26C3C">
            <w:pPr>
              <w:jc w:val="right"/>
              <w:rPr>
                <w:rFonts w:ascii="Arial" w:hAnsi="Arial" w:cs="Arial"/>
                <w:sz w:val="16"/>
                <w:szCs w:val="16"/>
                <w:lang w:val="es-ES_tradnl"/>
              </w:rPr>
            </w:pPr>
            <w:r w:rsidRPr="00BF7FA8">
              <w:rPr>
                <w:rFonts w:ascii="Arial" w:hAnsi="Arial" w:cs="Arial"/>
                <w:sz w:val="16"/>
                <w:szCs w:val="16"/>
              </w:rPr>
              <w:t xml:space="preserve"> -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04BCC" w14:textId="7162FF18" w:rsidR="00D26C3C" w:rsidRPr="00BF7FA8" w:rsidRDefault="00D26C3C">
            <w:pPr>
              <w:jc w:val="right"/>
              <w:rPr>
                <w:rFonts w:ascii="Arial" w:hAnsi="Arial" w:cs="Arial"/>
                <w:sz w:val="16"/>
                <w:szCs w:val="16"/>
                <w:lang w:val="es-ES_tradnl"/>
              </w:rPr>
            </w:pPr>
            <w:r w:rsidRPr="00BF7FA8">
              <w:rPr>
                <w:rFonts w:ascii="Arial" w:hAnsi="Arial" w:cs="Arial"/>
                <w:sz w:val="16"/>
                <w:szCs w:val="16"/>
              </w:rPr>
              <w:t xml:space="preserve"> -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8C878" w14:textId="36B4ED2B" w:rsidR="00D26C3C" w:rsidRPr="00BF7FA8" w:rsidRDefault="00DF3BC9">
            <w:pPr>
              <w:jc w:val="right"/>
              <w:rPr>
                <w:rFonts w:ascii="Arial" w:hAnsi="Arial" w:cs="Arial"/>
                <w:sz w:val="16"/>
                <w:szCs w:val="16"/>
                <w:lang w:val="es-ES_tradnl"/>
              </w:rPr>
            </w:pPr>
            <w:r w:rsidRPr="00DF3BC9">
              <w:rPr>
                <w:rFonts w:ascii="Arial" w:hAnsi="Arial" w:cs="Arial"/>
                <w:sz w:val="16"/>
                <w:szCs w:val="16"/>
              </w:rPr>
              <w:t>-2.212</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F8B11" w14:textId="6C254B59" w:rsidR="00D26C3C" w:rsidRPr="00BF7FA8" w:rsidRDefault="00D26C3C">
            <w:pPr>
              <w:jc w:val="right"/>
              <w:rPr>
                <w:rFonts w:ascii="Arial" w:hAnsi="Arial" w:cs="Arial"/>
                <w:sz w:val="16"/>
                <w:szCs w:val="16"/>
                <w:lang w:val="es-ES_tradnl"/>
              </w:rPr>
            </w:pPr>
            <w:r w:rsidRPr="00BF7FA8">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70576" w14:textId="55FB5420" w:rsidR="00D26C3C" w:rsidRPr="00BF7FA8" w:rsidRDefault="00DF3BC9">
            <w:pPr>
              <w:jc w:val="right"/>
              <w:rPr>
                <w:rFonts w:ascii="Arial" w:hAnsi="Arial" w:cs="Arial"/>
                <w:sz w:val="16"/>
                <w:szCs w:val="16"/>
                <w:lang w:val="es-ES_tradnl"/>
              </w:rPr>
            </w:pPr>
            <w:r w:rsidRPr="00DF3BC9">
              <w:rPr>
                <w:rFonts w:ascii="Arial" w:hAnsi="Arial" w:cs="Arial"/>
                <w:sz w:val="16"/>
                <w:szCs w:val="16"/>
              </w:rPr>
              <w:t>-2.212</w:t>
            </w:r>
          </w:p>
        </w:tc>
      </w:tr>
      <w:tr w:rsidR="00D26C3C" w:rsidRPr="00C63989" w14:paraId="2830DA67" w14:textId="77777777" w:rsidTr="00BA7A6B">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tcPr>
          <w:p w14:paraId="08F76BAD" w14:textId="77777777" w:rsidR="00D26C3C" w:rsidRPr="0012605F" w:rsidRDefault="00D26C3C" w:rsidP="00D26C3C">
            <w:pPr>
              <w:rPr>
                <w:rFonts w:ascii="Arial" w:hAnsi="Arial" w:cs="Arial"/>
                <w:sz w:val="16"/>
                <w:szCs w:val="16"/>
                <w:lang w:eastAsia="es-AR"/>
              </w:rPr>
            </w:pPr>
            <w:r w:rsidRPr="0012605F">
              <w:rPr>
                <w:rFonts w:ascii="Arial" w:hAnsi="Arial" w:cs="Arial"/>
                <w:sz w:val="16"/>
                <w:szCs w:val="16"/>
              </w:rPr>
              <w:t>Impuesto a las Ganancias ORI</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A7C7B" w14:textId="21B49C10" w:rsidR="00D26C3C" w:rsidRPr="00BF7FA8" w:rsidRDefault="00D26C3C">
            <w:pPr>
              <w:jc w:val="right"/>
              <w:rPr>
                <w:rFonts w:ascii="Arial" w:hAnsi="Arial" w:cs="Arial"/>
                <w:sz w:val="16"/>
                <w:szCs w:val="16"/>
              </w:rPr>
            </w:pPr>
            <w:r w:rsidRPr="00BF7FA8">
              <w:rPr>
                <w:rFonts w:ascii="Arial" w:hAnsi="Arial" w:cs="Arial"/>
                <w:sz w:val="16"/>
                <w:szCs w:val="16"/>
              </w:rPr>
              <w:t xml:space="preserve"> -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B629BD" w14:textId="60AEA942" w:rsidR="00D26C3C" w:rsidRPr="00BF7FA8" w:rsidRDefault="00D26C3C">
            <w:pPr>
              <w:jc w:val="right"/>
              <w:rPr>
                <w:rFonts w:ascii="Arial" w:hAnsi="Arial" w:cs="Arial"/>
                <w:sz w:val="16"/>
                <w:szCs w:val="16"/>
              </w:rPr>
            </w:pPr>
            <w:r w:rsidRPr="00BF7FA8">
              <w:rPr>
                <w:rFonts w:ascii="Arial" w:hAnsi="Arial" w:cs="Arial"/>
                <w:sz w:val="16"/>
                <w:szCs w:val="16"/>
              </w:rPr>
              <w:t xml:space="preserve"> -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C1433" w14:textId="25D730BC" w:rsidR="00D26C3C" w:rsidRPr="00BF7FA8" w:rsidRDefault="00DF3BC9">
            <w:pPr>
              <w:jc w:val="right"/>
              <w:rPr>
                <w:rFonts w:ascii="Arial" w:hAnsi="Arial" w:cs="Arial"/>
                <w:sz w:val="16"/>
                <w:szCs w:val="16"/>
              </w:rPr>
            </w:pPr>
            <w:r>
              <w:rPr>
                <w:rFonts w:ascii="Arial" w:hAnsi="Arial" w:cs="Arial"/>
                <w:sz w:val="16"/>
                <w:szCs w:val="16"/>
              </w:rPr>
              <w:t>202</w:t>
            </w:r>
            <w:r w:rsidR="00D26C3C" w:rsidRPr="00BF7FA8">
              <w:rPr>
                <w:rFonts w:ascii="Arial" w:hAnsi="Arial" w:cs="Arial"/>
                <w:sz w:val="16"/>
                <w:szCs w:val="16"/>
              </w:rPr>
              <w:t xml:space="preserve">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FA884" w14:textId="3A421FEF" w:rsidR="00D26C3C" w:rsidRPr="00BF7FA8" w:rsidRDefault="00D26C3C">
            <w:pPr>
              <w:jc w:val="right"/>
              <w:rPr>
                <w:rFonts w:ascii="Arial" w:hAnsi="Arial" w:cs="Arial"/>
                <w:sz w:val="16"/>
                <w:szCs w:val="16"/>
              </w:rPr>
            </w:pPr>
            <w:r w:rsidRPr="00BF7FA8">
              <w:rPr>
                <w:rFonts w:ascii="Arial" w:hAnsi="Arial" w:cs="Arial"/>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00AE71" w14:textId="4B755F5B" w:rsidR="00DF3BC9" w:rsidRPr="00BF7FA8" w:rsidRDefault="00DF3BC9">
            <w:pPr>
              <w:jc w:val="right"/>
              <w:rPr>
                <w:rFonts w:ascii="Arial" w:hAnsi="Arial" w:cs="Arial"/>
                <w:sz w:val="16"/>
                <w:szCs w:val="16"/>
              </w:rPr>
            </w:pPr>
            <w:r>
              <w:rPr>
                <w:rFonts w:ascii="Arial" w:hAnsi="Arial" w:cs="Arial"/>
                <w:sz w:val="16"/>
                <w:szCs w:val="16"/>
              </w:rPr>
              <w:t>202</w:t>
            </w:r>
          </w:p>
        </w:tc>
      </w:tr>
      <w:tr w:rsidR="00BF7FA8" w:rsidRPr="00701F32" w14:paraId="7D0D2B4B" w14:textId="77777777" w:rsidTr="00BA7A6B">
        <w:trPr>
          <w:trHeight w:val="269"/>
          <w:jc w:val="center"/>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7617B" w14:textId="77777777" w:rsidR="00BF7FA8" w:rsidRPr="0012605F" w:rsidRDefault="00BF7FA8" w:rsidP="00BF7FA8">
            <w:pPr>
              <w:rPr>
                <w:rFonts w:ascii="Arial" w:hAnsi="Arial" w:cs="Arial"/>
                <w:b/>
                <w:bCs/>
                <w:sz w:val="16"/>
                <w:szCs w:val="16"/>
                <w:lang w:eastAsia="es-AR"/>
              </w:rPr>
            </w:pPr>
            <w:r w:rsidRPr="0012605F">
              <w:rPr>
                <w:rFonts w:ascii="Arial" w:hAnsi="Arial" w:cs="Arial"/>
                <w:b/>
                <w:bCs/>
                <w:sz w:val="16"/>
                <w:szCs w:val="16"/>
                <w:lang w:eastAsia="es-AR"/>
              </w:rPr>
              <w:t xml:space="preserve"> Resultado Integral del período</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39122" w14:textId="51C2AFC0" w:rsidR="00BF7FA8" w:rsidRPr="00BF7FA8" w:rsidRDefault="00BF7FA8">
            <w:pPr>
              <w:jc w:val="right"/>
              <w:rPr>
                <w:rFonts w:ascii="Arial" w:hAnsi="Arial" w:cs="Arial"/>
                <w:b/>
                <w:sz w:val="16"/>
                <w:szCs w:val="16"/>
              </w:rPr>
            </w:pPr>
            <w:r w:rsidRPr="00BA7A6B">
              <w:rPr>
                <w:rFonts w:ascii="Arial" w:hAnsi="Arial" w:cs="Arial"/>
                <w:b/>
                <w:sz w:val="16"/>
                <w:szCs w:val="16"/>
              </w:rPr>
              <w:t xml:space="preserve"> -254.132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3C374" w14:textId="34DD46BF" w:rsidR="00BF7FA8" w:rsidRPr="00BF7FA8" w:rsidRDefault="00BF7FA8">
            <w:pPr>
              <w:jc w:val="right"/>
              <w:rPr>
                <w:rFonts w:ascii="Arial" w:hAnsi="Arial" w:cs="Arial"/>
                <w:b/>
                <w:sz w:val="16"/>
                <w:szCs w:val="16"/>
              </w:rPr>
            </w:pPr>
            <w:r w:rsidRPr="00BA7A6B">
              <w:rPr>
                <w:rFonts w:ascii="Arial" w:hAnsi="Arial" w:cs="Arial"/>
                <w:b/>
                <w:sz w:val="16"/>
                <w:szCs w:val="16"/>
              </w:rPr>
              <w:t xml:space="preserve"> -439.370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E2DE1" w14:textId="70D815B3" w:rsidR="00BF7FA8" w:rsidRPr="00BF7FA8" w:rsidRDefault="00DF3BC9">
            <w:pPr>
              <w:jc w:val="right"/>
              <w:rPr>
                <w:rFonts w:ascii="Arial" w:hAnsi="Arial" w:cs="Arial"/>
                <w:b/>
                <w:sz w:val="16"/>
                <w:szCs w:val="16"/>
              </w:rPr>
            </w:pPr>
            <w:r w:rsidRPr="00DF3BC9">
              <w:rPr>
                <w:rFonts w:ascii="Arial" w:hAnsi="Arial" w:cs="Arial"/>
                <w:b/>
                <w:sz w:val="16"/>
                <w:szCs w:val="16"/>
              </w:rPr>
              <w:t>-637.002</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2EA6D" w14:textId="710AAF85" w:rsidR="00BF7FA8" w:rsidRPr="00BF7FA8" w:rsidRDefault="00BF7FA8">
            <w:pPr>
              <w:jc w:val="right"/>
              <w:rPr>
                <w:rFonts w:ascii="Arial" w:hAnsi="Arial" w:cs="Arial"/>
                <w:b/>
                <w:sz w:val="16"/>
                <w:szCs w:val="16"/>
              </w:rPr>
            </w:pPr>
            <w:r w:rsidRPr="00BF7FA8">
              <w:rPr>
                <w:rFonts w:ascii="Arial" w:hAnsi="Arial" w:cs="Arial"/>
                <w:b/>
                <w:sz w:val="16"/>
                <w:szCs w:val="16"/>
              </w:rPr>
              <w:t xml:space="preserve"> -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841B2" w14:textId="2CC56698" w:rsidR="00BF7FA8" w:rsidRPr="00BF7FA8" w:rsidRDefault="00DF3BC9">
            <w:pPr>
              <w:jc w:val="right"/>
              <w:rPr>
                <w:rFonts w:ascii="Arial" w:hAnsi="Arial" w:cs="Arial"/>
                <w:b/>
                <w:sz w:val="16"/>
                <w:szCs w:val="16"/>
              </w:rPr>
            </w:pPr>
            <w:r w:rsidRPr="00DF3BC9">
              <w:rPr>
                <w:rFonts w:ascii="Arial" w:hAnsi="Arial" w:cs="Arial"/>
                <w:b/>
                <w:sz w:val="16"/>
                <w:szCs w:val="16"/>
              </w:rPr>
              <w:t>-1.330.504</w:t>
            </w:r>
          </w:p>
        </w:tc>
      </w:tr>
    </w:tbl>
    <w:p w14:paraId="127BB887" w14:textId="77777777" w:rsidR="00331C9B" w:rsidRDefault="00331C9B" w:rsidP="0086282C">
      <w:pPr>
        <w:spacing w:after="160" w:line="259" w:lineRule="auto"/>
        <w:jc w:val="both"/>
        <w:rPr>
          <w:rFonts w:ascii="Arial" w:eastAsia="Calibri" w:hAnsi="Arial" w:cs="Arial"/>
          <w:bCs/>
          <w:sz w:val="20"/>
        </w:rPr>
      </w:pPr>
    </w:p>
    <w:tbl>
      <w:tblPr>
        <w:tblW w:w="10348" w:type="dxa"/>
        <w:jc w:val="center"/>
        <w:tblCellMar>
          <w:left w:w="70" w:type="dxa"/>
          <w:right w:w="70" w:type="dxa"/>
        </w:tblCellMar>
        <w:tblLook w:val="04A0" w:firstRow="1" w:lastRow="0" w:firstColumn="1" w:lastColumn="0" w:noHBand="0" w:noVBand="1"/>
      </w:tblPr>
      <w:tblGrid>
        <w:gridCol w:w="4253"/>
        <w:gridCol w:w="1559"/>
        <w:gridCol w:w="1559"/>
        <w:gridCol w:w="1701"/>
        <w:gridCol w:w="1276"/>
      </w:tblGrid>
      <w:tr w:rsidR="00165462" w:rsidRPr="005B6501" w14:paraId="2C679EDD" w14:textId="77777777" w:rsidTr="00F349AC">
        <w:trPr>
          <w:trHeight w:val="423"/>
          <w:tblHeader/>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80F6CB" w14:textId="2A893D1B" w:rsidR="00165462" w:rsidRPr="007E4E18" w:rsidRDefault="00165462" w:rsidP="00F349AC">
            <w:pPr>
              <w:jc w:val="center"/>
              <w:rPr>
                <w:rFonts w:ascii="Arial" w:hAnsi="Arial" w:cs="Arial"/>
                <w:b/>
                <w:bCs/>
                <w:sz w:val="16"/>
                <w:szCs w:val="16"/>
                <w:lang w:val="es-ES_tradnl" w:eastAsia="es-AR"/>
              </w:rPr>
            </w:pPr>
            <w:r w:rsidRPr="007E4E18">
              <w:rPr>
                <w:rFonts w:ascii="Arial" w:hAnsi="Arial" w:cs="Arial"/>
                <w:b/>
                <w:bCs/>
                <w:sz w:val="16"/>
                <w:szCs w:val="16"/>
                <w:lang w:eastAsia="es-AR"/>
              </w:rPr>
              <w:t>ACTIVO al 31/</w:t>
            </w:r>
            <w:r w:rsidR="00B92FFB">
              <w:rPr>
                <w:rFonts w:ascii="Arial" w:hAnsi="Arial" w:cs="Arial"/>
                <w:b/>
                <w:bCs/>
                <w:sz w:val="16"/>
                <w:szCs w:val="16"/>
                <w:lang w:eastAsia="es-AR"/>
              </w:rPr>
              <w:t>12/2019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9889174" w14:textId="77777777" w:rsidR="00165462" w:rsidRPr="007E4E18" w:rsidRDefault="00165462"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Banca Corporativa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40E277" w14:textId="77777777" w:rsidR="00165462" w:rsidRPr="007E4E18" w:rsidRDefault="00165462"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Banca Personas y Negocios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F3CA21C" w14:textId="77777777" w:rsidR="00165462" w:rsidRPr="007E4E18" w:rsidRDefault="00165462"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Tesorería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23CC76" w14:textId="77777777" w:rsidR="00165462" w:rsidRPr="005B6501" w:rsidRDefault="00165462"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TOTAL</w:t>
            </w:r>
            <w:r w:rsidRPr="005B6501">
              <w:rPr>
                <w:rFonts w:ascii="Arial" w:hAnsi="Arial" w:cs="Arial"/>
                <w:b/>
                <w:bCs/>
                <w:color w:val="000000"/>
                <w:sz w:val="16"/>
                <w:szCs w:val="16"/>
                <w:lang w:eastAsia="es-AR"/>
              </w:rPr>
              <w:t xml:space="preserve"> </w:t>
            </w:r>
          </w:p>
        </w:tc>
      </w:tr>
      <w:tr w:rsidR="00B92FFB" w:rsidRPr="005B6501" w14:paraId="057BA1E1" w14:textId="77777777" w:rsidTr="00BA7A6B">
        <w:trPr>
          <w:trHeight w:val="23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1E464F84"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Efectivo y Depósitos en Bancos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0A653C85" w14:textId="628AB6B1"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1.102.702 </w:t>
            </w:r>
          </w:p>
        </w:tc>
        <w:tc>
          <w:tcPr>
            <w:tcW w:w="1559" w:type="dxa"/>
            <w:tcBorders>
              <w:top w:val="nil"/>
              <w:left w:val="nil"/>
              <w:bottom w:val="single" w:sz="4" w:space="0" w:color="auto"/>
              <w:right w:val="single" w:sz="4" w:space="0" w:color="auto"/>
            </w:tcBorders>
            <w:shd w:val="clear" w:color="000000" w:fill="FFFFFF"/>
            <w:noWrap/>
            <w:vAlign w:val="bottom"/>
            <w:hideMark/>
          </w:tcPr>
          <w:p w14:paraId="68CF6B51" w14:textId="6F4A0AAB"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8.291.548 </w:t>
            </w:r>
          </w:p>
        </w:tc>
        <w:tc>
          <w:tcPr>
            <w:tcW w:w="1701" w:type="dxa"/>
            <w:tcBorders>
              <w:top w:val="nil"/>
              <w:left w:val="nil"/>
              <w:bottom w:val="single" w:sz="4" w:space="0" w:color="auto"/>
              <w:right w:val="single" w:sz="4" w:space="0" w:color="auto"/>
            </w:tcBorders>
            <w:shd w:val="clear" w:color="000000" w:fill="FFFFFF"/>
            <w:noWrap/>
            <w:vAlign w:val="bottom"/>
            <w:hideMark/>
          </w:tcPr>
          <w:p w14:paraId="7854FAAF" w14:textId="31C77A1C"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18.186.427 </w:t>
            </w:r>
          </w:p>
        </w:tc>
        <w:tc>
          <w:tcPr>
            <w:tcW w:w="1276" w:type="dxa"/>
            <w:tcBorders>
              <w:top w:val="nil"/>
              <w:left w:val="nil"/>
              <w:bottom w:val="single" w:sz="4" w:space="0" w:color="auto"/>
              <w:right w:val="single" w:sz="4" w:space="0" w:color="auto"/>
            </w:tcBorders>
            <w:shd w:val="clear" w:color="000000" w:fill="FFFFFF"/>
            <w:noWrap/>
            <w:vAlign w:val="bottom"/>
            <w:hideMark/>
          </w:tcPr>
          <w:p w14:paraId="6F21F9DE" w14:textId="025674E5"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27.580.677 </w:t>
            </w:r>
          </w:p>
        </w:tc>
      </w:tr>
      <w:tr w:rsidR="00B92FFB" w:rsidRPr="005B6501" w14:paraId="773A006B"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72FDDB53" w14:textId="77777777" w:rsidR="00B92FFB" w:rsidRPr="005B6501" w:rsidRDefault="00B92FFB" w:rsidP="00B92FFB">
            <w:pPr>
              <w:rPr>
                <w:rFonts w:ascii="Arial" w:hAnsi="Arial" w:cs="Arial"/>
                <w:sz w:val="16"/>
                <w:szCs w:val="16"/>
                <w:lang w:eastAsia="es-AR"/>
              </w:rPr>
            </w:pPr>
            <w:r w:rsidRPr="005B6501">
              <w:rPr>
                <w:rFonts w:ascii="Arial" w:hAnsi="Arial" w:cs="Arial"/>
                <w:sz w:val="16"/>
                <w:szCs w:val="16"/>
              </w:rPr>
              <w:t xml:space="preserve">   Efectivo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0FD3EDE6" w14:textId="290D942E"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1.102.496 </w:t>
            </w:r>
          </w:p>
        </w:tc>
        <w:tc>
          <w:tcPr>
            <w:tcW w:w="1559" w:type="dxa"/>
            <w:tcBorders>
              <w:top w:val="nil"/>
              <w:left w:val="nil"/>
              <w:bottom w:val="single" w:sz="4" w:space="0" w:color="auto"/>
              <w:right w:val="single" w:sz="4" w:space="0" w:color="auto"/>
            </w:tcBorders>
            <w:shd w:val="clear" w:color="000000" w:fill="FFFFFF"/>
            <w:noWrap/>
            <w:vAlign w:val="bottom"/>
            <w:hideMark/>
          </w:tcPr>
          <w:p w14:paraId="505A5603" w14:textId="0A922DE0"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8.271.238 </w:t>
            </w:r>
          </w:p>
        </w:tc>
        <w:tc>
          <w:tcPr>
            <w:tcW w:w="1701" w:type="dxa"/>
            <w:tcBorders>
              <w:top w:val="nil"/>
              <w:left w:val="nil"/>
              <w:bottom w:val="single" w:sz="4" w:space="0" w:color="auto"/>
              <w:right w:val="single" w:sz="4" w:space="0" w:color="auto"/>
            </w:tcBorders>
            <w:shd w:val="clear" w:color="000000" w:fill="FFFFFF"/>
            <w:noWrap/>
            <w:vAlign w:val="bottom"/>
            <w:hideMark/>
          </w:tcPr>
          <w:p w14:paraId="34A2998A" w14:textId="26430CA7"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   </w:t>
            </w:r>
          </w:p>
        </w:tc>
        <w:tc>
          <w:tcPr>
            <w:tcW w:w="1276" w:type="dxa"/>
            <w:tcBorders>
              <w:top w:val="nil"/>
              <w:left w:val="nil"/>
              <w:bottom w:val="single" w:sz="4" w:space="0" w:color="auto"/>
              <w:right w:val="single" w:sz="4" w:space="0" w:color="auto"/>
            </w:tcBorders>
            <w:shd w:val="clear" w:color="000000" w:fill="FFFFFF"/>
            <w:noWrap/>
            <w:vAlign w:val="bottom"/>
            <w:hideMark/>
          </w:tcPr>
          <w:p w14:paraId="5CE924EA" w14:textId="101FB867" w:rsidR="00B92FFB" w:rsidRPr="00B92FFB" w:rsidRDefault="00B92FFB">
            <w:pPr>
              <w:jc w:val="right"/>
              <w:rPr>
                <w:rFonts w:ascii="Arial" w:hAnsi="Arial" w:cs="Arial"/>
                <w:b/>
                <w:bCs/>
                <w:sz w:val="16"/>
                <w:szCs w:val="16"/>
                <w:lang w:val="es-ES_tradnl" w:eastAsia="es-AR"/>
              </w:rPr>
            </w:pPr>
            <w:r w:rsidRPr="00BA7A6B">
              <w:rPr>
                <w:rFonts w:ascii="Arial" w:hAnsi="Arial" w:cs="Arial"/>
                <w:sz w:val="16"/>
                <w:szCs w:val="16"/>
              </w:rPr>
              <w:t xml:space="preserve"> 9.373.734 </w:t>
            </w:r>
          </w:p>
        </w:tc>
      </w:tr>
      <w:tr w:rsidR="00B92FFB" w:rsidRPr="005B6501" w14:paraId="61A1B5EB" w14:textId="77777777" w:rsidTr="00BA7A6B">
        <w:trPr>
          <w:trHeight w:val="229"/>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tcPr>
          <w:p w14:paraId="072EF9CB" w14:textId="77777777" w:rsidR="00B92FFB" w:rsidRPr="005B6501" w:rsidRDefault="00B92FFB" w:rsidP="00B92FFB">
            <w:pPr>
              <w:rPr>
                <w:rFonts w:ascii="Arial" w:hAnsi="Arial" w:cs="Arial"/>
                <w:sz w:val="16"/>
                <w:szCs w:val="16"/>
                <w:lang w:eastAsia="es-AR"/>
              </w:rPr>
            </w:pPr>
            <w:r w:rsidRPr="005B6501">
              <w:rPr>
                <w:rFonts w:ascii="Arial" w:hAnsi="Arial" w:cs="Arial"/>
                <w:sz w:val="16"/>
                <w:szCs w:val="16"/>
              </w:rPr>
              <w:t xml:space="preserve">      BCRA</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30318A08" w14:textId="7BAC0673" w:rsidR="00B92FFB" w:rsidRPr="00B92FFB" w:rsidRDefault="00B92FFB">
            <w:pPr>
              <w:jc w:val="right"/>
              <w:rPr>
                <w:rFonts w:ascii="Arial" w:hAnsi="Arial" w:cs="Arial"/>
                <w:sz w:val="16"/>
                <w:szCs w:val="16"/>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tcPr>
          <w:p w14:paraId="778931F7" w14:textId="041E6E93" w:rsidR="00B92FFB" w:rsidRPr="00B92FFB" w:rsidRDefault="00B92FFB">
            <w:pPr>
              <w:jc w:val="right"/>
              <w:rPr>
                <w:rFonts w:ascii="Arial" w:hAnsi="Arial" w:cs="Arial"/>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tcPr>
          <w:p w14:paraId="654EC17F" w14:textId="078DD3CF" w:rsidR="00B92FFB" w:rsidRPr="00B92FFB" w:rsidRDefault="00B92FFB">
            <w:pPr>
              <w:jc w:val="right"/>
              <w:rPr>
                <w:rFonts w:ascii="Arial" w:hAnsi="Arial" w:cs="Arial"/>
                <w:sz w:val="16"/>
                <w:szCs w:val="16"/>
              </w:rPr>
            </w:pPr>
            <w:r w:rsidRPr="00BA7A6B">
              <w:rPr>
                <w:rFonts w:ascii="Arial" w:hAnsi="Arial" w:cs="Arial"/>
                <w:sz w:val="16"/>
                <w:szCs w:val="16"/>
              </w:rPr>
              <w:t xml:space="preserve"> 17.039.327 </w:t>
            </w:r>
          </w:p>
        </w:tc>
        <w:tc>
          <w:tcPr>
            <w:tcW w:w="1276" w:type="dxa"/>
            <w:tcBorders>
              <w:top w:val="nil"/>
              <w:left w:val="nil"/>
              <w:bottom w:val="single" w:sz="4" w:space="0" w:color="auto"/>
              <w:right w:val="single" w:sz="4" w:space="0" w:color="auto"/>
            </w:tcBorders>
            <w:shd w:val="clear" w:color="000000" w:fill="FFFFFF"/>
            <w:noWrap/>
            <w:vAlign w:val="bottom"/>
          </w:tcPr>
          <w:p w14:paraId="19620D37" w14:textId="0893F4D9" w:rsidR="00B92FFB" w:rsidRPr="00B92FFB" w:rsidRDefault="00B92FFB">
            <w:pPr>
              <w:jc w:val="right"/>
              <w:rPr>
                <w:rFonts w:ascii="Arial" w:hAnsi="Arial" w:cs="Arial"/>
                <w:b/>
                <w:sz w:val="16"/>
                <w:szCs w:val="16"/>
              </w:rPr>
            </w:pPr>
            <w:r w:rsidRPr="00BA7A6B">
              <w:rPr>
                <w:rFonts w:ascii="Arial" w:hAnsi="Arial" w:cs="Arial"/>
                <w:sz w:val="16"/>
                <w:szCs w:val="16"/>
              </w:rPr>
              <w:t xml:space="preserve"> 17.039.327 </w:t>
            </w:r>
          </w:p>
        </w:tc>
      </w:tr>
      <w:tr w:rsidR="00B92FFB" w:rsidRPr="005B6501" w14:paraId="694B954D" w14:textId="77777777" w:rsidTr="00BA7A6B">
        <w:trPr>
          <w:trHeight w:val="229"/>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13CCE864" w14:textId="77777777" w:rsidR="00B92FFB" w:rsidRPr="005B6501" w:rsidRDefault="00B92FFB" w:rsidP="00B92FFB">
            <w:pPr>
              <w:rPr>
                <w:rFonts w:ascii="Arial" w:hAnsi="Arial" w:cs="Arial"/>
                <w:sz w:val="16"/>
                <w:szCs w:val="16"/>
                <w:lang w:eastAsia="es-AR"/>
              </w:rPr>
            </w:pPr>
            <w:r w:rsidRPr="005B6501">
              <w:rPr>
                <w:rFonts w:ascii="Arial" w:hAnsi="Arial" w:cs="Arial"/>
                <w:sz w:val="16"/>
                <w:szCs w:val="16"/>
              </w:rPr>
              <w:t xml:space="preserve">      Otras del país y del exterior</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6FC0D02" w14:textId="36CAF5DA"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7E8BE6E8" w14:textId="617A30FF"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582642AC" w14:textId="1F3D9C10" w:rsidR="00B92FFB" w:rsidRPr="00B92FFB" w:rsidRDefault="00B92FFB">
            <w:pPr>
              <w:jc w:val="right"/>
              <w:rPr>
                <w:rFonts w:ascii="Arial" w:hAnsi="Arial" w:cs="Arial"/>
                <w:bCs/>
                <w:sz w:val="16"/>
                <w:szCs w:val="16"/>
                <w:lang w:val="es-ES_tradnl" w:eastAsia="es-AR"/>
              </w:rPr>
            </w:pPr>
            <w:r w:rsidRPr="00BA7A6B">
              <w:rPr>
                <w:rFonts w:ascii="Arial" w:hAnsi="Arial" w:cs="Arial"/>
                <w:sz w:val="16"/>
                <w:szCs w:val="16"/>
              </w:rPr>
              <w:t xml:space="preserve"> 1.135.373 </w:t>
            </w:r>
          </w:p>
        </w:tc>
        <w:tc>
          <w:tcPr>
            <w:tcW w:w="1276" w:type="dxa"/>
            <w:tcBorders>
              <w:top w:val="nil"/>
              <w:left w:val="nil"/>
              <w:bottom w:val="single" w:sz="4" w:space="0" w:color="auto"/>
              <w:right w:val="single" w:sz="4" w:space="0" w:color="auto"/>
            </w:tcBorders>
            <w:shd w:val="clear" w:color="000000" w:fill="FFFFFF"/>
            <w:noWrap/>
            <w:vAlign w:val="bottom"/>
            <w:hideMark/>
          </w:tcPr>
          <w:p w14:paraId="4ED8AC02" w14:textId="18E60ABE" w:rsidR="00B92FFB" w:rsidRPr="00B92FFB" w:rsidRDefault="00B92FFB">
            <w:pPr>
              <w:jc w:val="right"/>
              <w:rPr>
                <w:rFonts w:ascii="Arial" w:hAnsi="Arial" w:cs="Arial"/>
                <w:b/>
                <w:bCs/>
                <w:sz w:val="16"/>
                <w:szCs w:val="16"/>
                <w:lang w:val="es-ES_tradnl" w:eastAsia="es-AR"/>
              </w:rPr>
            </w:pPr>
            <w:r w:rsidRPr="00BA7A6B">
              <w:rPr>
                <w:rFonts w:ascii="Arial" w:hAnsi="Arial" w:cs="Arial"/>
                <w:sz w:val="16"/>
                <w:szCs w:val="16"/>
              </w:rPr>
              <w:t xml:space="preserve"> 1.135.373 </w:t>
            </w:r>
          </w:p>
        </w:tc>
      </w:tr>
      <w:tr w:rsidR="00B92FFB" w:rsidRPr="005B6501" w14:paraId="504D9CCF"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13AB9D3E" w14:textId="77777777" w:rsidR="00B92FFB" w:rsidRPr="005B6501" w:rsidRDefault="00B92FFB" w:rsidP="00B92FFB">
            <w:pPr>
              <w:rPr>
                <w:rFonts w:ascii="Arial" w:hAnsi="Arial" w:cs="Arial"/>
                <w:sz w:val="16"/>
                <w:szCs w:val="16"/>
                <w:lang w:eastAsia="es-AR"/>
              </w:rPr>
            </w:pPr>
            <w:r w:rsidRPr="005B6501">
              <w:rPr>
                <w:rFonts w:ascii="Arial" w:hAnsi="Arial" w:cs="Arial"/>
                <w:sz w:val="16"/>
                <w:szCs w:val="16"/>
              </w:rPr>
              <w:t xml:space="preserve">   Otros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9BC0713" w14:textId="6E324F72"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206 </w:t>
            </w:r>
          </w:p>
        </w:tc>
        <w:tc>
          <w:tcPr>
            <w:tcW w:w="1559" w:type="dxa"/>
            <w:tcBorders>
              <w:top w:val="nil"/>
              <w:left w:val="nil"/>
              <w:bottom w:val="single" w:sz="4" w:space="0" w:color="auto"/>
              <w:right w:val="single" w:sz="4" w:space="0" w:color="auto"/>
            </w:tcBorders>
            <w:shd w:val="clear" w:color="000000" w:fill="FFFFFF"/>
            <w:noWrap/>
            <w:vAlign w:val="bottom"/>
            <w:hideMark/>
          </w:tcPr>
          <w:p w14:paraId="7D683C8A" w14:textId="03938EB9"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20.310 </w:t>
            </w:r>
          </w:p>
        </w:tc>
        <w:tc>
          <w:tcPr>
            <w:tcW w:w="1701" w:type="dxa"/>
            <w:tcBorders>
              <w:top w:val="nil"/>
              <w:left w:val="nil"/>
              <w:bottom w:val="single" w:sz="4" w:space="0" w:color="auto"/>
              <w:right w:val="single" w:sz="4" w:space="0" w:color="auto"/>
            </w:tcBorders>
            <w:shd w:val="clear" w:color="000000" w:fill="FFFFFF"/>
            <w:noWrap/>
            <w:vAlign w:val="bottom"/>
            <w:hideMark/>
          </w:tcPr>
          <w:p w14:paraId="22E775C4" w14:textId="29CB2288"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11.727 </w:t>
            </w:r>
          </w:p>
        </w:tc>
        <w:tc>
          <w:tcPr>
            <w:tcW w:w="1276" w:type="dxa"/>
            <w:tcBorders>
              <w:top w:val="nil"/>
              <w:left w:val="nil"/>
              <w:bottom w:val="single" w:sz="4" w:space="0" w:color="auto"/>
              <w:right w:val="single" w:sz="4" w:space="0" w:color="auto"/>
            </w:tcBorders>
            <w:shd w:val="clear" w:color="000000" w:fill="FFFFFF"/>
            <w:noWrap/>
            <w:vAlign w:val="bottom"/>
            <w:hideMark/>
          </w:tcPr>
          <w:p w14:paraId="249DAEF4" w14:textId="09F89548"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32.243 </w:t>
            </w:r>
          </w:p>
        </w:tc>
      </w:tr>
      <w:tr w:rsidR="00B92FFB" w:rsidRPr="005B6501" w14:paraId="6ABF9C81" w14:textId="77777777" w:rsidTr="00BA7A6B">
        <w:trPr>
          <w:trHeight w:val="186"/>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4C8586B1" w14:textId="77777777" w:rsidR="00B92FFB" w:rsidRPr="005B6501" w:rsidRDefault="00B92FFB" w:rsidP="00B92FFB">
            <w:pPr>
              <w:rPr>
                <w:rFonts w:ascii="Arial" w:hAnsi="Arial" w:cs="Arial"/>
                <w:b/>
                <w:sz w:val="16"/>
                <w:szCs w:val="16"/>
                <w:lang w:eastAsia="es-AR"/>
              </w:rPr>
            </w:pPr>
            <w:r w:rsidRPr="005B6501">
              <w:rPr>
                <w:rFonts w:ascii="Arial" w:hAnsi="Arial" w:cs="Arial"/>
                <w:b/>
                <w:sz w:val="16"/>
                <w:szCs w:val="16"/>
              </w:rPr>
              <w:t>Títulos de deuda a valor razonable con cambios en resultados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98D17CE" w14:textId="72BA51EB"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74D71C10" w14:textId="357CE66D"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7B5C9708" w14:textId="162EDEC8"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336.665 </w:t>
            </w:r>
          </w:p>
        </w:tc>
        <w:tc>
          <w:tcPr>
            <w:tcW w:w="1276" w:type="dxa"/>
            <w:tcBorders>
              <w:top w:val="nil"/>
              <w:left w:val="nil"/>
              <w:bottom w:val="single" w:sz="4" w:space="0" w:color="auto"/>
              <w:right w:val="single" w:sz="4" w:space="0" w:color="auto"/>
            </w:tcBorders>
            <w:shd w:val="clear" w:color="000000" w:fill="FFFFFF"/>
            <w:noWrap/>
            <w:vAlign w:val="bottom"/>
            <w:hideMark/>
          </w:tcPr>
          <w:p w14:paraId="2A1B0C9D" w14:textId="746E03CC"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336.665 </w:t>
            </w:r>
          </w:p>
        </w:tc>
      </w:tr>
      <w:tr w:rsidR="00B92FFB" w:rsidRPr="005B6501" w14:paraId="4F5E3765" w14:textId="77777777" w:rsidTr="00BA7A6B">
        <w:trPr>
          <w:trHeight w:val="423"/>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53E3E6EA"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 xml:space="preserve">Instrumentos derivados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691E87FB" w14:textId="19D49714"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53539461" w14:textId="2847085A"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4870322B" w14:textId="644F2902"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277.679 </w:t>
            </w:r>
          </w:p>
        </w:tc>
        <w:tc>
          <w:tcPr>
            <w:tcW w:w="1276" w:type="dxa"/>
            <w:tcBorders>
              <w:top w:val="nil"/>
              <w:left w:val="nil"/>
              <w:bottom w:val="single" w:sz="4" w:space="0" w:color="auto"/>
              <w:right w:val="single" w:sz="4" w:space="0" w:color="auto"/>
            </w:tcBorders>
            <w:shd w:val="clear" w:color="000000" w:fill="FFFFFF"/>
            <w:noWrap/>
            <w:vAlign w:val="bottom"/>
            <w:hideMark/>
          </w:tcPr>
          <w:p w14:paraId="134168CD" w14:textId="325D4D46"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277.679 </w:t>
            </w:r>
          </w:p>
        </w:tc>
      </w:tr>
      <w:tr w:rsidR="00B92FFB" w:rsidRPr="005B6501" w14:paraId="38816249"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tcPr>
          <w:p w14:paraId="6C7FFCFF"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 xml:space="preserve">Otros activos financieros </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0519C4A4" w14:textId="5E1DF153" w:rsidR="00B92FFB" w:rsidRPr="00B92FFB" w:rsidRDefault="00B92FFB">
            <w:pPr>
              <w:jc w:val="right"/>
              <w:rPr>
                <w:rFonts w:ascii="Arial" w:hAnsi="Arial" w:cs="Arial"/>
                <w:b/>
                <w:sz w:val="16"/>
                <w:szCs w:val="16"/>
              </w:rPr>
            </w:pPr>
            <w:r w:rsidRPr="00BA7A6B">
              <w:rPr>
                <w:rFonts w:ascii="Arial" w:hAnsi="Arial" w:cs="Arial"/>
                <w:sz w:val="16"/>
                <w:szCs w:val="16"/>
              </w:rPr>
              <w:t xml:space="preserve"> 76.696 </w:t>
            </w:r>
          </w:p>
        </w:tc>
        <w:tc>
          <w:tcPr>
            <w:tcW w:w="1559" w:type="dxa"/>
            <w:tcBorders>
              <w:top w:val="nil"/>
              <w:left w:val="nil"/>
              <w:bottom w:val="single" w:sz="4" w:space="0" w:color="auto"/>
              <w:right w:val="single" w:sz="4" w:space="0" w:color="auto"/>
            </w:tcBorders>
            <w:shd w:val="clear" w:color="000000" w:fill="FFFFFF"/>
            <w:noWrap/>
            <w:vAlign w:val="bottom"/>
          </w:tcPr>
          <w:p w14:paraId="489980C0" w14:textId="48B6F8BA" w:rsidR="00B92FFB" w:rsidRPr="00B92FFB" w:rsidRDefault="00B92FFB">
            <w:pPr>
              <w:jc w:val="right"/>
              <w:rPr>
                <w:rFonts w:ascii="Arial" w:hAnsi="Arial" w:cs="Arial"/>
                <w:b/>
                <w:sz w:val="16"/>
                <w:szCs w:val="16"/>
              </w:rPr>
            </w:pPr>
            <w:r w:rsidRPr="00BA7A6B">
              <w:rPr>
                <w:rFonts w:ascii="Arial" w:hAnsi="Arial" w:cs="Arial"/>
                <w:sz w:val="16"/>
                <w:szCs w:val="16"/>
              </w:rPr>
              <w:t xml:space="preserve"> 431.901 </w:t>
            </w:r>
          </w:p>
        </w:tc>
        <w:tc>
          <w:tcPr>
            <w:tcW w:w="1701" w:type="dxa"/>
            <w:tcBorders>
              <w:top w:val="nil"/>
              <w:left w:val="nil"/>
              <w:bottom w:val="single" w:sz="4" w:space="0" w:color="auto"/>
              <w:right w:val="single" w:sz="4" w:space="0" w:color="auto"/>
            </w:tcBorders>
            <w:shd w:val="clear" w:color="000000" w:fill="FFFFFF"/>
            <w:noWrap/>
            <w:vAlign w:val="bottom"/>
          </w:tcPr>
          <w:p w14:paraId="43ED0FEE" w14:textId="3A3DEDE2" w:rsidR="00B92FFB" w:rsidRPr="00B92FFB" w:rsidRDefault="00B92FFB">
            <w:pPr>
              <w:jc w:val="right"/>
              <w:rPr>
                <w:rFonts w:ascii="Arial" w:hAnsi="Arial" w:cs="Arial"/>
                <w:b/>
                <w:sz w:val="16"/>
                <w:szCs w:val="16"/>
              </w:rPr>
            </w:pPr>
            <w:r w:rsidRPr="00BA7A6B">
              <w:rPr>
                <w:rFonts w:ascii="Arial" w:hAnsi="Arial" w:cs="Arial"/>
                <w:sz w:val="16"/>
                <w:szCs w:val="16"/>
              </w:rPr>
              <w:t xml:space="preserve"> 224.440 </w:t>
            </w:r>
          </w:p>
        </w:tc>
        <w:tc>
          <w:tcPr>
            <w:tcW w:w="1276" w:type="dxa"/>
            <w:tcBorders>
              <w:top w:val="nil"/>
              <w:left w:val="nil"/>
              <w:bottom w:val="single" w:sz="4" w:space="0" w:color="auto"/>
              <w:right w:val="single" w:sz="4" w:space="0" w:color="auto"/>
            </w:tcBorders>
            <w:shd w:val="clear" w:color="000000" w:fill="FFFFFF"/>
            <w:noWrap/>
            <w:vAlign w:val="bottom"/>
          </w:tcPr>
          <w:p w14:paraId="7888F08E" w14:textId="3155AEEE" w:rsidR="00B92FFB" w:rsidRPr="00B92FFB" w:rsidRDefault="00B92FFB">
            <w:pPr>
              <w:jc w:val="right"/>
              <w:rPr>
                <w:rFonts w:ascii="Arial" w:hAnsi="Arial" w:cs="Arial"/>
                <w:b/>
                <w:sz w:val="16"/>
                <w:szCs w:val="16"/>
              </w:rPr>
            </w:pPr>
            <w:r w:rsidRPr="00BA7A6B">
              <w:rPr>
                <w:rFonts w:ascii="Arial" w:hAnsi="Arial" w:cs="Arial"/>
                <w:sz w:val="16"/>
                <w:szCs w:val="16"/>
              </w:rPr>
              <w:t xml:space="preserve"> 733.037 </w:t>
            </w:r>
          </w:p>
        </w:tc>
      </w:tr>
      <w:tr w:rsidR="00B92FFB" w:rsidRPr="005B6501" w14:paraId="07C0D88A"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56A4572C"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 xml:space="preserve">Préstamos y otras financiaciones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79B105DA" w14:textId="4D061AE1"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41.475.012 </w:t>
            </w:r>
          </w:p>
        </w:tc>
        <w:tc>
          <w:tcPr>
            <w:tcW w:w="1559" w:type="dxa"/>
            <w:tcBorders>
              <w:top w:val="nil"/>
              <w:left w:val="nil"/>
              <w:bottom w:val="single" w:sz="4" w:space="0" w:color="auto"/>
              <w:right w:val="single" w:sz="4" w:space="0" w:color="auto"/>
            </w:tcBorders>
            <w:shd w:val="clear" w:color="000000" w:fill="FFFFFF"/>
            <w:noWrap/>
            <w:vAlign w:val="bottom"/>
            <w:hideMark/>
          </w:tcPr>
          <w:p w14:paraId="173A785B" w14:textId="480E39BA"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45.094.006 </w:t>
            </w:r>
          </w:p>
        </w:tc>
        <w:tc>
          <w:tcPr>
            <w:tcW w:w="1701" w:type="dxa"/>
            <w:tcBorders>
              <w:top w:val="nil"/>
              <w:left w:val="nil"/>
              <w:bottom w:val="single" w:sz="4" w:space="0" w:color="auto"/>
              <w:right w:val="single" w:sz="4" w:space="0" w:color="auto"/>
            </w:tcBorders>
            <w:shd w:val="clear" w:color="000000" w:fill="FFFFFF"/>
            <w:noWrap/>
            <w:vAlign w:val="bottom"/>
            <w:hideMark/>
          </w:tcPr>
          <w:p w14:paraId="3927EDC9" w14:textId="1F6C7A82"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4.014.715 </w:t>
            </w:r>
          </w:p>
        </w:tc>
        <w:tc>
          <w:tcPr>
            <w:tcW w:w="1276" w:type="dxa"/>
            <w:tcBorders>
              <w:top w:val="nil"/>
              <w:left w:val="nil"/>
              <w:bottom w:val="single" w:sz="4" w:space="0" w:color="auto"/>
              <w:right w:val="single" w:sz="4" w:space="0" w:color="auto"/>
            </w:tcBorders>
            <w:shd w:val="clear" w:color="000000" w:fill="FFFFFF"/>
            <w:noWrap/>
            <w:vAlign w:val="bottom"/>
            <w:hideMark/>
          </w:tcPr>
          <w:p w14:paraId="4BDA10BC" w14:textId="065FFA41"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90.583.733 </w:t>
            </w:r>
          </w:p>
        </w:tc>
      </w:tr>
      <w:tr w:rsidR="00B92FFB" w:rsidRPr="005B6501" w14:paraId="226B66C2" w14:textId="77777777" w:rsidTr="00BA7A6B">
        <w:trPr>
          <w:trHeight w:val="228"/>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C3FCA40" w14:textId="77777777" w:rsidR="00B92FFB" w:rsidRPr="005B6501" w:rsidRDefault="00B92FFB" w:rsidP="00B92FFB">
            <w:pPr>
              <w:rPr>
                <w:rFonts w:ascii="Arial" w:hAnsi="Arial" w:cs="Arial"/>
                <w:b/>
                <w:bCs/>
                <w:sz w:val="16"/>
                <w:szCs w:val="16"/>
                <w:lang w:eastAsia="es-AR"/>
              </w:rPr>
            </w:pPr>
            <w:r w:rsidRPr="005B6501">
              <w:rPr>
                <w:rFonts w:ascii="Arial" w:hAnsi="Arial" w:cs="Arial"/>
                <w:sz w:val="16"/>
                <w:szCs w:val="16"/>
              </w:rPr>
              <w:t xml:space="preserve">   Sector público no financiero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063EC1DC" w14:textId="53972B9F"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290 </w:t>
            </w:r>
          </w:p>
        </w:tc>
        <w:tc>
          <w:tcPr>
            <w:tcW w:w="1559" w:type="dxa"/>
            <w:tcBorders>
              <w:top w:val="nil"/>
              <w:left w:val="nil"/>
              <w:bottom w:val="single" w:sz="4" w:space="0" w:color="auto"/>
              <w:right w:val="single" w:sz="4" w:space="0" w:color="auto"/>
            </w:tcBorders>
            <w:shd w:val="clear" w:color="000000" w:fill="FFFFFF"/>
            <w:noWrap/>
            <w:vAlign w:val="bottom"/>
            <w:hideMark/>
          </w:tcPr>
          <w:p w14:paraId="309FC8C6" w14:textId="021C182E"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612 </w:t>
            </w:r>
          </w:p>
        </w:tc>
        <w:tc>
          <w:tcPr>
            <w:tcW w:w="1701" w:type="dxa"/>
            <w:tcBorders>
              <w:top w:val="nil"/>
              <w:left w:val="nil"/>
              <w:bottom w:val="single" w:sz="4" w:space="0" w:color="auto"/>
              <w:right w:val="single" w:sz="4" w:space="0" w:color="auto"/>
            </w:tcBorders>
            <w:shd w:val="clear" w:color="000000" w:fill="FFFFFF"/>
            <w:noWrap/>
            <w:vAlign w:val="bottom"/>
            <w:hideMark/>
          </w:tcPr>
          <w:p w14:paraId="7CE62214" w14:textId="2635E260"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30.222 </w:t>
            </w:r>
          </w:p>
        </w:tc>
        <w:tc>
          <w:tcPr>
            <w:tcW w:w="1276" w:type="dxa"/>
            <w:tcBorders>
              <w:top w:val="nil"/>
              <w:left w:val="nil"/>
              <w:bottom w:val="single" w:sz="4" w:space="0" w:color="auto"/>
              <w:right w:val="single" w:sz="4" w:space="0" w:color="auto"/>
            </w:tcBorders>
            <w:shd w:val="clear" w:color="000000" w:fill="FFFFFF"/>
            <w:noWrap/>
            <w:vAlign w:val="bottom"/>
            <w:hideMark/>
          </w:tcPr>
          <w:p w14:paraId="23B6446A" w14:textId="60E170EF"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31.124 </w:t>
            </w:r>
          </w:p>
        </w:tc>
      </w:tr>
      <w:tr w:rsidR="00B92FFB" w:rsidRPr="005B6501" w14:paraId="13763D2B"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0D51E890" w14:textId="77777777" w:rsidR="00B92FFB" w:rsidRPr="005B6501" w:rsidRDefault="00B92FFB" w:rsidP="00B92FFB">
            <w:pPr>
              <w:rPr>
                <w:rFonts w:ascii="Arial" w:hAnsi="Arial" w:cs="Arial"/>
                <w:sz w:val="16"/>
                <w:szCs w:val="16"/>
                <w:lang w:eastAsia="es-AR"/>
              </w:rPr>
            </w:pPr>
            <w:r w:rsidRPr="005B6501">
              <w:rPr>
                <w:rFonts w:ascii="Arial" w:hAnsi="Arial" w:cs="Arial"/>
                <w:sz w:val="16"/>
                <w:szCs w:val="16"/>
              </w:rPr>
              <w:t xml:space="preserve">   Otras entidades financieras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1A5385C0" w14:textId="4314350A"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33.304 </w:t>
            </w:r>
          </w:p>
        </w:tc>
        <w:tc>
          <w:tcPr>
            <w:tcW w:w="1559" w:type="dxa"/>
            <w:tcBorders>
              <w:top w:val="nil"/>
              <w:left w:val="nil"/>
              <w:bottom w:val="single" w:sz="4" w:space="0" w:color="auto"/>
              <w:right w:val="single" w:sz="4" w:space="0" w:color="auto"/>
            </w:tcBorders>
            <w:shd w:val="clear" w:color="000000" w:fill="FFFFFF"/>
            <w:noWrap/>
            <w:vAlign w:val="bottom"/>
            <w:hideMark/>
          </w:tcPr>
          <w:p w14:paraId="113EDB63" w14:textId="3078D1EB"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-2.896 </w:t>
            </w:r>
          </w:p>
        </w:tc>
        <w:tc>
          <w:tcPr>
            <w:tcW w:w="1701" w:type="dxa"/>
            <w:tcBorders>
              <w:top w:val="nil"/>
              <w:left w:val="nil"/>
              <w:bottom w:val="single" w:sz="4" w:space="0" w:color="auto"/>
              <w:right w:val="single" w:sz="4" w:space="0" w:color="auto"/>
            </w:tcBorders>
            <w:shd w:val="clear" w:color="000000" w:fill="FFFFFF"/>
            <w:noWrap/>
            <w:vAlign w:val="bottom"/>
            <w:hideMark/>
          </w:tcPr>
          <w:p w14:paraId="33732721" w14:textId="4999E492"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1.258.631 </w:t>
            </w:r>
          </w:p>
        </w:tc>
        <w:tc>
          <w:tcPr>
            <w:tcW w:w="1276" w:type="dxa"/>
            <w:tcBorders>
              <w:top w:val="nil"/>
              <w:left w:val="nil"/>
              <w:bottom w:val="single" w:sz="4" w:space="0" w:color="auto"/>
              <w:right w:val="single" w:sz="4" w:space="0" w:color="auto"/>
            </w:tcBorders>
            <w:shd w:val="clear" w:color="000000" w:fill="FFFFFF"/>
            <w:noWrap/>
            <w:vAlign w:val="bottom"/>
            <w:hideMark/>
          </w:tcPr>
          <w:p w14:paraId="63B0DF5F" w14:textId="22FA4F1E"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1.289.039 </w:t>
            </w:r>
          </w:p>
        </w:tc>
      </w:tr>
      <w:tr w:rsidR="00B92FFB" w:rsidRPr="005B6501" w14:paraId="3B756BDE"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3A15658D" w14:textId="77777777" w:rsidR="00B92FFB" w:rsidRPr="005B6501" w:rsidRDefault="00B92FFB" w:rsidP="00B92FFB">
            <w:pPr>
              <w:rPr>
                <w:rFonts w:ascii="Arial" w:hAnsi="Arial" w:cs="Arial"/>
                <w:sz w:val="16"/>
                <w:szCs w:val="16"/>
                <w:lang w:eastAsia="es-AR"/>
              </w:rPr>
            </w:pPr>
            <w:r w:rsidRPr="005B6501">
              <w:rPr>
                <w:rFonts w:ascii="Arial" w:hAnsi="Arial" w:cs="Arial"/>
                <w:sz w:val="16"/>
                <w:szCs w:val="16"/>
              </w:rPr>
              <w:t xml:space="preserve">   Sector privado no financiero y residentes en el exterior </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61E59E46" w14:textId="343C478B"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41.441.418 </w:t>
            </w:r>
          </w:p>
        </w:tc>
        <w:tc>
          <w:tcPr>
            <w:tcW w:w="1559" w:type="dxa"/>
            <w:tcBorders>
              <w:top w:val="nil"/>
              <w:left w:val="nil"/>
              <w:bottom w:val="single" w:sz="4" w:space="0" w:color="auto"/>
              <w:right w:val="single" w:sz="4" w:space="0" w:color="auto"/>
            </w:tcBorders>
            <w:shd w:val="clear" w:color="000000" w:fill="FFFFFF"/>
            <w:noWrap/>
            <w:vAlign w:val="bottom"/>
            <w:hideMark/>
          </w:tcPr>
          <w:p w14:paraId="40F5CB48" w14:textId="73502541" w:rsidR="00B92FFB" w:rsidRPr="00B92FFB" w:rsidRDefault="00B92FFB">
            <w:pPr>
              <w:jc w:val="right"/>
              <w:rPr>
                <w:rFonts w:ascii="Arial" w:hAnsi="Arial" w:cs="Arial"/>
                <w:bCs/>
                <w:sz w:val="16"/>
                <w:szCs w:val="16"/>
                <w:lang w:eastAsia="es-AR"/>
              </w:rPr>
            </w:pPr>
            <w:r w:rsidRPr="00BA7A6B">
              <w:rPr>
                <w:rFonts w:ascii="Arial" w:hAnsi="Arial" w:cs="Arial"/>
                <w:sz w:val="16"/>
                <w:szCs w:val="16"/>
              </w:rPr>
              <w:t xml:space="preserve"> 45.096.290 </w:t>
            </w:r>
          </w:p>
        </w:tc>
        <w:tc>
          <w:tcPr>
            <w:tcW w:w="1701" w:type="dxa"/>
            <w:tcBorders>
              <w:top w:val="nil"/>
              <w:left w:val="nil"/>
              <w:bottom w:val="single" w:sz="4" w:space="0" w:color="auto"/>
              <w:right w:val="single" w:sz="4" w:space="0" w:color="auto"/>
            </w:tcBorders>
            <w:shd w:val="clear" w:color="000000" w:fill="FFFFFF"/>
            <w:noWrap/>
            <w:vAlign w:val="bottom"/>
            <w:hideMark/>
          </w:tcPr>
          <w:p w14:paraId="3084598E" w14:textId="2A4B2111" w:rsidR="00B92FFB" w:rsidRPr="00B92FFB" w:rsidRDefault="00B92FFB">
            <w:pPr>
              <w:jc w:val="right"/>
              <w:rPr>
                <w:rFonts w:ascii="Arial" w:hAnsi="Arial" w:cs="Arial"/>
                <w:bCs/>
                <w:sz w:val="16"/>
                <w:szCs w:val="16"/>
                <w:lang w:val="es-ES_tradnl" w:eastAsia="es-AR"/>
              </w:rPr>
            </w:pPr>
            <w:r w:rsidRPr="00BA7A6B">
              <w:rPr>
                <w:rFonts w:ascii="Arial" w:hAnsi="Arial" w:cs="Arial"/>
                <w:sz w:val="16"/>
                <w:szCs w:val="16"/>
              </w:rPr>
              <w:t xml:space="preserve"> 2.725.862 </w:t>
            </w:r>
          </w:p>
        </w:tc>
        <w:tc>
          <w:tcPr>
            <w:tcW w:w="1276" w:type="dxa"/>
            <w:tcBorders>
              <w:top w:val="nil"/>
              <w:left w:val="nil"/>
              <w:bottom w:val="single" w:sz="4" w:space="0" w:color="auto"/>
              <w:right w:val="single" w:sz="4" w:space="0" w:color="auto"/>
            </w:tcBorders>
            <w:shd w:val="clear" w:color="000000" w:fill="FFFFFF"/>
            <w:noWrap/>
            <w:vAlign w:val="bottom"/>
            <w:hideMark/>
          </w:tcPr>
          <w:p w14:paraId="606C729A" w14:textId="7F831767"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89.263.570 </w:t>
            </w:r>
          </w:p>
        </w:tc>
      </w:tr>
      <w:tr w:rsidR="00B92FFB" w:rsidRPr="005B6501" w14:paraId="72C21444" w14:textId="77777777" w:rsidTr="00BA7A6B">
        <w:trPr>
          <w:trHeight w:val="266"/>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22B7E909" w14:textId="77777777" w:rsidR="00B92FFB" w:rsidRPr="005B6501" w:rsidRDefault="00B92FFB" w:rsidP="00B92FFB">
            <w:pPr>
              <w:rPr>
                <w:rFonts w:ascii="Arial" w:hAnsi="Arial" w:cs="Arial"/>
                <w:b/>
                <w:sz w:val="16"/>
                <w:szCs w:val="16"/>
                <w:lang w:eastAsia="es-AR"/>
              </w:rPr>
            </w:pPr>
            <w:r w:rsidRPr="005B6501">
              <w:rPr>
                <w:rFonts w:ascii="Arial" w:hAnsi="Arial" w:cs="Arial"/>
                <w:b/>
                <w:sz w:val="16"/>
                <w:szCs w:val="16"/>
              </w:rPr>
              <w:t>Otros títulos de deuda</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0473B964" w14:textId="2B2FCE60"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669BF0DE" w14:textId="5FD3DEDB"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07744FB1" w14:textId="0ECA0B68"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11.441.100 </w:t>
            </w:r>
          </w:p>
        </w:tc>
        <w:tc>
          <w:tcPr>
            <w:tcW w:w="1276" w:type="dxa"/>
            <w:tcBorders>
              <w:top w:val="nil"/>
              <w:left w:val="nil"/>
              <w:bottom w:val="single" w:sz="4" w:space="0" w:color="auto"/>
              <w:right w:val="single" w:sz="4" w:space="0" w:color="auto"/>
            </w:tcBorders>
            <w:shd w:val="clear" w:color="000000" w:fill="FFFFFF"/>
            <w:noWrap/>
            <w:vAlign w:val="bottom"/>
            <w:hideMark/>
          </w:tcPr>
          <w:p w14:paraId="1421E104" w14:textId="259E1F00"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11.441.100 </w:t>
            </w:r>
          </w:p>
        </w:tc>
      </w:tr>
      <w:tr w:rsidR="00B92FFB" w:rsidRPr="005B6501" w14:paraId="32ACF5CE"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1A906F4A"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Activos financieros entregados en garantía</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20A23A7" w14:textId="3B6554D1"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64.927 </w:t>
            </w:r>
          </w:p>
        </w:tc>
        <w:tc>
          <w:tcPr>
            <w:tcW w:w="1559" w:type="dxa"/>
            <w:tcBorders>
              <w:top w:val="nil"/>
              <w:left w:val="nil"/>
              <w:bottom w:val="single" w:sz="4" w:space="0" w:color="auto"/>
              <w:right w:val="single" w:sz="4" w:space="0" w:color="auto"/>
            </w:tcBorders>
            <w:shd w:val="clear" w:color="000000" w:fill="FFFFFF"/>
            <w:noWrap/>
            <w:vAlign w:val="bottom"/>
            <w:hideMark/>
          </w:tcPr>
          <w:p w14:paraId="4A06993B" w14:textId="24D79323"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480.929 </w:t>
            </w:r>
          </w:p>
        </w:tc>
        <w:tc>
          <w:tcPr>
            <w:tcW w:w="1701" w:type="dxa"/>
            <w:tcBorders>
              <w:top w:val="nil"/>
              <w:left w:val="nil"/>
              <w:bottom w:val="single" w:sz="4" w:space="0" w:color="auto"/>
              <w:right w:val="single" w:sz="4" w:space="0" w:color="auto"/>
            </w:tcBorders>
            <w:shd w:val="clear" w:color="000000" w:fill="FFFFFF"/>
            <w:noWrap/>
            <w:vAlign w:val="bottom"/>
            <w:hideMark/>
          </w:tcPr>
          <w:p w14:paraId="7A3144EC" w14:textId="601FD280"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4.762.799 </w:t>
            </w:r>
          </w:p>
        </w:tc>
        <w:tc>
          <w:tcPr>
            <w:tcW w:w="1276" w:type="dxa"/>
            <w:tcBorders>
              <w:top w:val="nil"/>
              <w:left w:val="nil"/>
              <w:bottom w:val="single" w:sz="4" w:space="0" w:color="auto"/>
              <w:right w:val="single" w:sz="4" w:space="0" w:color="auto"/>
            </w:tcBorders>
            <w:shd w:val="clear" w:color="000000" w:fill="FFFFFF"/>
            <w:noWrap/>
            <w:vAlign w:val="bottom"/>
            <w:hideMark/>
          </w:tcPr>
          <w:p w14:paraId="4F2DFF6E" w14:textId="5EA4863D"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5.308.655 </w:t>
            </w:r>
          </w:p>
        </w:tc>
      </w:tr>
      <w:tr w:rsidR="00B92FFB" w:rsidRPr="005B6501" w14:paraId="0C20DE17" w14:textId="77777777" w:rsidTr="00BA7A6B">
        <w:trPr>
          <w:trHeight w:val="308"/>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305EA752"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lastRenderedPageBreak/>
              <w:t>Activos por impuestos a las ganancias corriente</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A45B334" w14:textId="55AD7148"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1EF8B77F" w14:textId="19CEC7AF"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46A4424D" w14:textId="281B7490" w:rsidR="00B92FFB" w:rsidRPr="00B92FFB" w:rsidRDefault="00B92FFB">
            <w:pPr>
              <w:jc w:val="right"/>
              <w:rPr>
                <w:rFonts w:ascii="Arial" w:hAnsi="Arial" w:cs="Arial"/>
                <w:b/>
                <w:bCs/>
                <w:sz w:val="16"/>
                <w:szCs w:val="16"/>
                <w:lang w:val="es-ES_tradnl" w:eastAsia="es-AR"/>
              </w:rPr>
            </w:pPr>
            <w:r w:rsidRPr="00BA7A6B">
              <w:rPr>
                <w:rFonts w:ascii="Arial" w:hAnsi="Arial" w:cs="Arial"/>
                <w:sz w:val="16"/>
                <w:szCs w:val="16"/>
              </w:rPr>
              <w:t xml:space="preserve"> 316.061 </w:t>
            </w:r>
          </w:p>
        </w:tc>
        <w:tc>
          <w:tcPr>
            <w:tcW w:w="1276" w:type="dxa"/>
            <w:tcBorders>
              <w:top w:val="nil"/>
              <w:left w:val="nil"/>
              <w:bottom w:val="single" w:sz="4" w:space="0" w:color="auto"/>
              <w:right w:val="single" w:sz="4" w:space="0" w:color="auto"/>
            </w:tcBorders>
            <w:shd w:val="clear" w:color="000000" w:fill="FFFFFF"/>
            <w:noWrap/>
            <w:vAlign w:val="bottom"/>
            <w:hideMark/>
          </w:tcPr>
          <w:p w14:paraId="26906289" w14:textId="608AFA4E"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316.061 </w:t>
            </w:r>
          </w:p>
        </w:tc>
      </w:tr>
      <w:tr w:rsidR="00B92FFB" w:rsidRPr="005B6501" w14:paraId="41997D92" w14:textId="77777777" w:rsidTr="00BA7A6B">
        <w:trPr>
          <w:trHeight w:val="281"/>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63F4D44C"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Inversiones en instrumentos de patrimonio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42814D70" w14:textId="073AE43A"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1.903 </w:t>
            </w:r>
          </w:p>
        </w:tc>
        <w:tc>
          <w:tcPr>
            <w:tcW w:w="1559" w:type="dxa"/>
            <w:tcBorders>
              <w:top w:val="nil"/>
              <w:left w:val="nil"/>
              <w:bottom w:val="single" w:sz="4" w:space="0" w:color="auto"/>
              <w:right w:val="single" w:sz="4" w:space="0" w:color="auto"/>
            </w:tcBorders>
            <w:shd w:val="clear" w:color="000000" w:fill="FFFFFF"/>
            <w:noWrap/>
            <w:vAlign w:val="bottom"/>
            <w:hideMark/>
          </w:tcPr>
          <w:p w14:paraId="758495C1" w14:textId="6397D5C9"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2.697 </w:t>
            </w:r>
          </w:p>
        </w:tc>
        <w:tc>
          <w:tcPr>
            <w:tcW w:w="1701" w:type="dxa"/>
            <w:tcBorders>
              <w:top w:val="nil"/>
              <w:left w:val="nil"/>
              <w:bottom w:val="single" w:sz="4" w:space="0" w:color="auto"/>
              <w:right w:val="single" w:sz="4" w:space="0" w:color="auto"/>
            </w:tcBorders>
            <w:shd w:val="clear" w:color="000000" w:fill="FFFFFF"/>
            <w:noWrap/>
            <w:vAlign w:val="bottom"/>
            <w:hideMark/>
          </w:tcPr>
          <w:p w14:paraId="7A7205AB" w14:textId="14556D74"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11.116 </w:t>
            </w:r>
          </w:p>
        </w:tc>
        <w:tc>
          <w:tcPr>
            <w:tcW w:w="1276" w:type="dxa"/>
            <w:tcBorders>
              <w:top w:val="nil"/>
              <w:left w:val="nil"/>
              <w:bottom w:val="single" w:sz="4" w:space="0" w:color="auto"/>
              <w:right w:val="single" w:sz="4" w:space="0" w:color="auto"/>
            </w:tcBorders>
            <w:shd w:val="clear" w:color="000000" w:fill="FFFFFF"/>
            <w:noWrap/>
            <w:vAlign w:val="bottom"/>
            <w:hideMark/>
          </w:tcPr>
          <w:p w14:paraId="03507B5E" w14:textId="48B2E9F3"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15.716 </w:t>
            </w:r>
          </w:p>
        </w:tc>
      </w:tr>
      <w:tr w:rsidR="00B92FFB" w:rsidRPr="005B6501" w14:paraId="1F2DA059" w14:textId="77777777" w:rsidTr="00BA7A6B">
        <w:trPr>
          <w:trHeight w:val="223"/>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38731B44"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Inversión en subsidiarias, asociadas y negocios conjuntos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32E9C649" w14:textId="490FCCE7"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4D68BC67" w14:textId="42126B47"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4610AC1C" w14:textId="3E403E0F"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2.688.925 </w:t>
            </w:r>
          </w:p>
        </w:tc>
        <w:tc>
          <w:tcPr>
            <w:tcW w:w="1276" w:type="dxa"/>
            <w:tcBorders>
              <w:top w:val="nil"/>
              <w:left w:val="nil"/>
              <w:bottom w:val="single" w:sz="4" w:space="0" w:color="auto"/>
              <w:right w:val="single" w:sz="4" w:space="0" w:color="auto"/>
            </w:tcBorders>
            <w:shd w:val="clear" w:color="000000" w:fill="FFFFFF"/>
            <w:noWrap/>
            <w:vAlign w:val="bottom"/>
            <w:hideMark/>
          </w:tcPr>
          <w:p w14:paraId="08A78F35" w14:textId="3B4D44E7"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2.688.925 </w:t>
            </w:r>
          </w:p>
        </w:tc>
      </w:tr>
      <w:tr w:rsidR="00B92FFB" w:rsidRPr="005B6501" w14:paraId="65081B45" w14:textId="77777777" w:rsidTr="00BA7A6B">
        <w:trPr>
          <w:trHeight w:val="274"/>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346D43BC"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Propiedad, planta y equipo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5ECC4F1F" w14:textId="5E2FC04D"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5F045192" w14:textId="098F8ADB"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43BA2ACD" w14:textId="2AB1AF8D" w:rsidR="00B92FFB" w:rsidRPr="00B92FFB" w:rsidRDefault="00B92FFB">
            <w:pPr>
              <w:jc w:val="right"/>
              <w:rPr>
                <w:rFonts w:ascii="Arial" w:hAnsi="Arial" w:cs="Arial"/>
                <w:b/>
                <w:sz w:val="16"/>
                <w:szCs w:val="16"/>
              </w:rPr>
            </w:pPr>
            <w:r w:rsidRPr="00BA7A6B">
              <w:rPr>
                <w:rFonts w:ascii="Arial" w:hAnsi="Arial" w:cs="Arial"/>
                <w:sz w:val="16"/>
                <w:szCs w:val="16"/>
              </w:rPr>
              <w:t xml:space="preserve"> 3.964.843 </w:t>
            </w:r>
          </w:p>
        </w:tc>
        <w:tc>
          <w:tcPr>
            <w:tcW w:w="1276" w:type="dxa"/>
            <w:tcBorders>
              <w:top w:val="nil"/>
              <w:left w:val="nil"/>
              <w:bottom w:val="single" w:sz="4" w:space="0" w:color="auto"/>
              <w:right w:val="single" w:sz="4" w:space="0" w:color="auto"/>
            </w:tcBorders>
            <w:shd w:val="clear" w:color="000000" w:fill="FFFFFF"/>
            <w:noWrap/>
            <w:vAlign w:val="bottom"/>
            <w:hideMark/>
          </w:tcPr>
          <w:p w14:paraId="5808CF5E" w14:textId="0D78B923" w:rsidR="00B92FFB" w:rsidRPr="00B92FFB" w:rsidRDefault="00B92FFB">
            <w:pPr>
              <w:jc w:val="right"/>
              <w:rPr>
                <w:rFonts w:ascii="Arial" w:hAnsi="Arial" w:cs="Arial"/>
                <w:b/>
                <w:sz w:val="16"/>
                <w:szCs w:val="16"/>
              </w:rPr>
            </w:pPr>
            <w:r w:rsidRPr="00BA7A6B">
              <w:rPr>
                <w:rFonts w:ascii="Arial" w:hAnsi="Arial" w:cs="Arial"/>
                <w:sz w:val="16"/>
                <w:szCs w:val="16"/>
              </w:rPr>
              <w:t xml:space="preserve"> 3.964.843 </w:t>
            </w:r>
          </w:p>
        </w:tc>
      </w:tr>
      <w:tr w:rsidR="00B92FFB" w:rsidRPr="005B6501" w14:paraId="2894AF7B"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30B02E8"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Activos intangibles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587B33C7" w14:textId="57E5DD52"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097E4DAA" w14:textId="4D7D3BB9"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4D761A3F" w14:textId="500A51D3" w:rsidR="00B92FFB" w:rsidRPr="00B92FFB" w:rsidRDefault="00B92FFB">
            <w:pPr>
              <w:jc w:val="right"/>
              <w:rPr>
                <w:rFonts w:ascii="Arial" w:hAnsi="Arial" w:cs="Arial"/>
                <w:b/>
                <w:sz w:val="16"/>
                <w:szCs w:val="16"/>
              </w:rPr>
            </w:pPr>
            <w:r w:rsidRPr="00BA7A6B">
              <w:rPr>
                <w:rFonts w:ascii="Arial" w:hAnsi="Arial" w:cs="Arial"/>
                <w:sz w:val="16"/>
                <w:szCs w:val="16"/>
              </w:rPr>
              <w:t xml:space="preserve"> 1.235.333 </w:t>
            </w:r>
          </w:p>
        </w:tc>
        <w:tc>
          <w:tcPr>
            <w:tcW w:w="1276" w:type="dxa"/>
            <w:tcBorders>
              <w:top w:val="nil"/>
              <w:left w:val="nil"/>
              <w:bottom w:val="single" w:sz="4" w:space="0" w:color="auto"/>
              <w:right w:val="single" w:sz="4" w:space="0" w:color="auto"/>
            </w:tcBorders>
            <w:shd w:val="clear" w:color="000000" w:fill="FFFFFF"/>
            <w:noWrap/>
            <w:vAlign w:val="bottom"/>
            <w:hideMark/>
          </w:tcPr>
          <w:p w14:paraId="46D9B229" w14:textId="7806AF90" w:rsidR="00B92FFB" w:rsidRPr="00B92FFB" w:rsidRDefault="00B92FFB">
            <w:pPr>
              <w:jc w:val="right"/>
              <w:rPr>
                <w:rFonts w:ascii="Arial" w:hAnsi="Arial" w:cs="Arial"/>
                <w:b/>
                <w:sz w:val="16"/>
                <w:szCs w:val="16"/>
              </w:rPr>
            </w:pPr>
            <w:r w:rsidRPr="00BA7A6B">
              <w:rPr>
                <w:rFonts w:ascii="Arial" w:hAnsi="Arial" w:cs="Arial"/>
                <w:sz w:val="16"/>
                <w:szCs w:val="16"/>
              </w:rPr>
              <w:t xml:space="preserve"> 1.235.333 </w:t>
            </w:r>
          </w:p>
        </w:tc>
      </w:tr>
      <w:tr w:rsidR="00B92FFB" w:rsidRPr="005B6501" w14:paraId="2DB420C9"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6B1CBA54"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Activos por impuesto a las ganancias diferido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48250EA5" w14:textId="53E0E2B3"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559" w:type="dxa"/>
            <w:tcBorders>
              <w:top w:val="nil"/>
              <w:left w:val="nil"/>
              <w:bottom w:val="single" w:sz="4" w:space="0" w:color="auto"/>
              <w:right w:val="single" w:sz="4" w:space="0" w:color="auto"/>
            </w:tcBorders>
            <w:shd w:val="clear" w:color="000000" w:fill="FFFFFF"/>
            <w:noWrap/>
            <w:vAlign w:val="bottom"/>
            <w:hideMark/>
          </w:tcPr>
          <w:p w14:paraId="50AF9998" w14:textId="60B29478" w:rsidR="00B92FFB" w:rsidRPr="00B92FFB" w:rsidRDefault="00B92FFB">
            <w:pPr>
              <w:jc w:val="right"/>
              <w:rPr>
                <w:rFonts w:ascii="Arial" w:hAnsi="Arial" w:cs="Arial"/>
                <w:b/>
                <w:bCs/>
                <w:sz w:val="16"/>
                <w:szCs w:val="16"/>
                <w:lang w:eastAsia="es-AR"/>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000000" w:fill="FFFFFF"/>
            <w:noWrap/>
            <w:vAlign w:val="bottom"/>
            <w:hideMark/>
          </w:tcPr>
          <w:p w14:paraId="7BA44B42" w14:textId="39CD78F6" w:rsidR="00B92FFB" w:rsidRPr="00B92FFB" w:rsidRDefault="00B92FFB">
            <w:pPr>
              <w:jc w:val="right"/>
              <w:rPr>
                <w:rFonts w:ascii="Arial" w:hAnsi="Arial" w:cs="Arial"/>
                <w:b/>
                <w:sz w:val="16"/>
                <w:szCs w:val="16"/>
              </w:rPr>
            </w:pPr>
            <w:r w:rsidRPr="00BA7A6B">
              <w:rPr>
                <w:rFonts w:ascii="Arial" w:hAnsi="Arial" w:cs="Arial"/>
                <w:sz w:val="16"/>
                <w:szCs w:val="16"/>
              </w:rPr>
              <w:t xml:space="preserve"> 188.713 </w:t>
            </w:r>
          </w:p>
        </w:tc>
        <w:tc>
          <w:tcPr>
            <w:tcW w:w="1276" w:type="dxa"/>
            <w:tcBorders>
              <w:top w:val="nil"/>
              <w:left w:val="nil"/>
              <w:bottom w:val="single" w:sz="4" w:space="0" w:color="auto"/>
              <w:right w:val="single" w:sz="4" w:space="0" w:color="auto"/>
            </w:tcBorders>
            <w:shd w:val="clear" w:color="000000" w:fill="FFFFFF"/>
            <w:noWrap/>
            <w:vAlign w:val="bottom"/>
            <w:hideMark/>
          </w:tcPr>
          <w:p w14:paraId="68E82A85" w14:textId="7750CBE8" w:rsidR="00B92FFB" w:rsidRPr="00B92FFB" w:rsidRDefault="00B92FFB">
            <w:pPr>
              <w:jc w:val="right"/>
              <w:rPr>
                <w:rFonts w:ascii="Arial" w:hAnsi="Arial" w:cs="Arial"/>
                <w:b/>
                <w:sz w:val="16"/>
                <w:szCs w:val="16"/>
              </w:rPr>
            </w:pPr>
            <w:r w:rsidRPr="00BA7A6B">
              <w:rPr>
                <w:rFonts w:ascii="Arial" w:hAnsi="Arial" w:cs="Arial"/>
                <w:sz w:val="16"/>
                <w:szCs w:val="16"/>
              </w:rPr>
              <w:t xml:space="preserve"> 188.713 </w:t>
            </w:r>
          </w:p>
        </w:tc>
      </w:tr>
      <w:tr w:rsidR="00B92FFB" w:rsidRPr="005B6501" w14:paraId="47378500" w14:textId="77777777" w:rsidTr="00BA7A6B">
        <w:trPr>
          <w:trHeight w:val="237"/>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725A8B25"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Otros activos no financieros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1698F943" w14:textId="5D4FED3D" w:rsidR="00B92FFB" w:rsidRPr="00B92FFB" w:rsidRDefault="00B92FFB">
            <w:pPr>
              <w:jc w:val="right"/>
              <w:rPr>
                <w:rFonts w:ascii="Arial" w:hAnsi="Arial" w:cs="Arial"/>
                <w:b/>
                <w:sz w:val="16"/>
                <w:szCs w:val="16"/>
              </w:rPr>
            </w:pPr>
            <w:r w:rsidRPr="00BA7A6B">
              <w:rPr>
                <w:rFonts w:ascii="Arial" w:hAnsi="Arial" w:cs="Arial"/>
                <w:sz w:val="16"/>
                <w:szCs w:val="16"/>
              </w:rPr>
              <w:t xml:space="preserve"> 1.123.732 </w:t>
            </w:r>
          </w:p>
        </w:tc>
        <w:tc>
          <w:tcPr>
            <w:tcW w:w="1559" w:type="dxa"/>
            <w:tcBorders>
              <w:top w:val="nil"/>
              <w:left w:val="nil"/>
              <w:bottom w:val="single" w:sz="4" w:space="0" w:color="auto"/>
              <w:right w:val="single" w:sz="4" w:space="0" w:color="auto"/>
            </w:tcBorders>
            <w:shd w:val="clear" w:color="000000" w:fill="FFFFFF"/>
            <w:noWrap/>
            <w:vAlign w:val="bottom"/>
            <w:hideMark/>
          </w:tcPr>
          <w:p w14:paraId="059F4BB2" w14:textId="50E510BD" w:rsidR="00B92FFB" w:rsidRPr="00B92FFB" w:rsidRDefault="00B92FFB">
            <w:pPr>
              <w:jc w:val="right"/>
              <w:rPr>
                <w:rFonts w:ascii="Arial" w:hAnsi="Arial" w:cs="Arial"/>
                <w:b/>
                <w:sz w:val="16"/>
                <w:szCs w:val="16"/>
              </w:rPr>
            </w:pPr>
            <w:r w:rsidRPr="00BA7A6B">
              <w:rPr>
                <w:rFonts w:ascii="Arial" w:hAnsi="Arial" w:cs="Arial"/>
                <w:sz w:val="16"/>
                <w:szCs w:val="16"/>
              </w:rPr>
              <w:t xml:space="preserve"> 1.629.640 </w:t>
            </w:r>
          </w:p>
        </w:tc>
        <w:tc>
          <w:tcPr>
            <w:tcW w:w="1701" w:type="dxa"/>
            <w:tcBorders>
              <w:top w:val="nil"/>
              <w:left w:val="nil"/>
              <w:bottom w:val="single" w:sz="4" w:space="0" w:color="auto"/>
              <w:right w:val="single" w:sz="4" w:space="0" w:color="auto"/>
            </w:tcBorders>
            <w:shd w:val="clear" w:color="000000" w:fill="FFFFFF"/>
            <w:noWrap/>
            <w:vAlign w:val="bottom"/>
            <w:hideMark/>
          </w:tcPr>
          <w:p w14:paraId="4B27A2A9" w14:textId="250A5A66" w:rsidR="00B92FFB" w:rsidRPr="00B92FFB" w:rsidRDefault="00B92FFB">
            <w:pPr>
              <w:jc w:val="right"/>
              <w:rPr>
                <w:rFonts w:ascii="Arial" w:hAnsi="Arial" w:cs="Arial"/>
                <w:b/>
                <w:sz w:val="16"/>
                <w:szCs w:val="16"/>
              </w:rPr>
            </w:pPr>
            <w:r w:rsidRPr="00BA7A6B">
              <w:rPr>
                <w:rFonts w:ascii="Arial" w:hAnsi="Arial" w:cs="Arial"/>
                <w:sz w:val="16"/>
                <w:szCs w:val="16"/>
              </w:rPr>
              <w:t xml:space="preserve"> 2.761.024 </w:t>
            </w:r>
          </w:p>
        </w:tc>
        <w:tc>
          <w:tcPr>
            <w:tcW w:w="1276" w:type="dxa"/>
            <w:tcBorders>
              <w:top w:val="nil"/>
              <w:left w:val="nil"/>
              <w:bottom w:val="single" w:sz="4" w:space="0" w:color="auto"/>
              <w:right w:val="single" w:sz="4" w:space="0" w:color="auto"/>
            </w:tcBorders>
            <w:shd w:val="clear" w:color="000000" w:fill="FFFFFF"/>
            <w:noWrap/>
            <w:vAlign w:val="bottom"/>
            <w:hideMark/>
          </w:tcPr>
          <w:p w14:paraId="4A9813AC" w14:textId="7FE6B3CB" w:rsidR="00B92FFB" w:rsidRPr="00B92FFB" w:rsidRDefault="00B92FFB">
            <w:pPr>
              <w:jc w:val="right"/>
              <w:rPr>
                <w:rFonts w:ascii="Arial" w:hAnsi="Arial" w:cs="Arial"/>
                <w:b/>
                <w:sz w:val="16"/>
                <w:szCs w:val="16"/>
              </w:rPr>
            </w:pPr>
            <w:r w:rsidRPr="00BA7A6B">
              <w:rPr>
                <w:rFonts w:ascii="Arial" w:hAnsi="Arial" w:cs="Arial"/>
                <w:sz w:val="16"/>
                <w:szCs w:val="16"/>
              </w:rPr>
              <w:t xml:space="preserve"> 5.514.396 </w:t>
            </w:r>
          </w:p>
        </w:tc>
      </w:tr>
      <w:tr w:rsidR="00B92FFB" w:rsidRPr="005B6501" w14:paraId="3714D474" w14:textId="77777777" w:rsidTr="00BA7A6B">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tcPr>
          <w:p w14:paraId="37F630D6" w14:textId="77777777" w:rsidR="00B92FFB" w:rsidRPr="005B6501" w:rsidRDefault="00B92FFB" w:rsidP="00B92FFB">
            <w:pPr>
              <w:rPr>
                <w:rFonts w:ascii="Arial" w:hAnsi="Arial" w:cs="Arial"/>
                <w:b/>
                <w:bCs/>
                <w:sz w:val="16"/>
                <w:szCs w:val="16"/>
                <w:lang w:eastAsia="es-AR"/>
              </w:rPr>
            </w:pPr>
            <w:r w:rsidRPr="005B6501">
              <w:rPr>
                <w:rFonts w:ascii="Arial" w:hAnsi="Arial" w:cs="Arial"/>
                <w:b/>
                <w:sz w:val="16"/>
                <w:szCs w:val="16"/>
              </w:rPr>
              <w:t>TOTAL ACTIVO</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7ABC416E" w14:textId="266AF946" w:rsidR="00B92FFB" w:rsidRPr="00B92FFB" w:rsidRDefault="00B92FFB">
            <w:pPr>
              <w:jc w:val="right"/>
              <w:rPr>
                <w:rFonts w:ascii="Arial" w:hAnsi="Arial" w:cs="Arial"/>
                <w:b/>
                <w:bCs/>
                <w:sz w:val="16"/>
                <w:szCs w:val="16"/>
              </w:rPr>
            </w:pPr>
            <w:r w:rsidRPr="00BA7A6B">
              <w:rPr>
                <w:rFonts w:ascii="Arial" w:hAnsi="Arial" w:cs="Arial"/>
                <w:b/>
                <w:sz w:val="16"/>
                <w:szCs w:val="16"/>
              </w:rPr>
              <w:t xml:space="preserve"> 43.844.972 </w:t>
            </w:r>
          </w:p>
        </w:tc>
        <w:tc>
          <w:tcPr>
            <w:tcW w:w="1559" w:type="dxa"/>
            <w:tcBorders>
              <w:top w:val="nil"/>
              <w:left w:val="nil"/>
              <w:bottom w:val="single" w:sz="4" w:space="0" w:color="auto"/>
              <w:right w:val="single" w:sz="4" w:space="0" w:color="auto"/>
            </w:tcBorders>
            <w:shd w:val="clear" w:color="000000" w:fill="FFFFFF"/>
            <w:noWrap/>
            <w:vAlign w:val="bottom"/>
          </w:tcPr>
          <w:p w14:paraId="232701F0" w14:textId="5FE100D1" w:rsidR="00B92FFB" w:rsidRPr="00B92FFB" w:rsidRDefault="00B92FFB">
            <w:pPr>
              <w:jc w:val="right"/>
              <w:rPr>
                <w:rFonts w:ascii="Arial" w:hAnsi="Arial" w:cs="Arial"/>
                <w:b/>
                <w:bCs/>
                <w:sz w:val="16"/>
                <w:szCs w:val="16"/>
              </w:rPr>
            </w:pPr>
            <w:r w:rsidRPr="00BA7A6B">
              <w:rPr>
                <w:rFonts w:ascii="Arial" w:hAnsi="Arial" w:cs="Arial"/>
                <w:b/>
                <w:sz w:val="16"/>
                <w:szCs w:val="16"/>
              </w:rPr>
              <w:t xml:space="preserve"> 55.930.721 </w:t>
            </w:r>
          </w:p>
        </w:tc>
        <w:tc>
          <w:tcPr>
            <w:tcW w:w="1701" w:type="dxa"/>
            <w:tcBorders>
              <w:top w:val="nil"/>
              <w:left w:val="nil"/>
              <w:bottom w:val="single" w:sz="4" w:space="0" w:color="auto"/>
              <w:right w:val="single" w:sz="4" w:space="0" w:color="auto"/>
            </w:tcBorders>
            <w:shd w:val="clear" w:color="000000" w:fill="FFFFFF"/>
            <w:noWrap/>
            <w:vAlign w:val="bottom"/>
          </w:tcPr>
          <w:p w14:paraId="2A821A19" w14:textId="7090C9B9" w:rsidR="00B92FFB" w:rsidRPr="00B92FFB" w:rsidRDefault="00B92FFB">
            <w:pPr>
              <w:jc w:val="right"/>
              <w:rPr>
                <w:rFonts w:ascii="Arial" w:hAnsi="Arial" w:cs="Arial"/>
                <w:b/>
                <w:bCs/>
                <w:sz w:val="16"/>
                <w:szCs w:val="16"/>
              </w:rPr>
            </w:pPr>
            <w:r w:rsidRPr="00BA7A6B">
              <w:rPr>
                <w:rFonts w:ascii="Arial" w:hAnsi="Arial" w:cs="Arial"/>
                <w:b/>
                <w:sz w:val="16"/>
                <w:szCs w:val="16"/>
              </w:rPr>
              <w:t xml:space="preserve"> 50.409.840 </w:t>
            </w:r>
          </w:p>
        </w:tc>
        <w:tc>
          <w:tcPr>
            <w:tcW w:w="1276" w:type="dxa"/>
            <w:tcBorders>
              <w:top w:val="nil"/>
              <w:left w:val="nil"/>
              <w:bottom w:val="single" w:sz="4" w:space="0" w:color="auto"/>
              <w:right w:val="single" w:sz="4" w:space="0" w:color="auto"/>
            </w:tcBorders>
            <w:shd w:val="clear" w:color="000000" w:fill="FFFFFF"/>
            <w:noWrap/>
            <w:vAlign w:val="bottom"/>
          </w:tcPr>
          <w:p w14:paraId="5C2FF69D" w14:textId="3D68A23F" w:rsidR="00B92FFB" w:rsidRPr="00B92FFB" w:rsidRDefault="00B92FFB">
            <w:pPr>
              <w:jc w:val="right"/>
              <w:rPr>
                <w:rFonts w:ascii="Arial" w:hAnsi="Arial" w:cs="Arial"/>
                <w:b/>
                <w:bCs/>
                <w:sz w:val="16"/>
                <w:szCs w:val="16"/>
              </w:rPr>
            </w:pPr>
            <w:r w:rsidRPr="00BA7A6B">
              <w:rPr>
                <w:rFonts w:ascii="Arial" w:hAnsi="Arial" w:cs="Arial"/>
                <w:b/>
                <w:sz w:val="16"/>
                <w:szCs w:val="16"/>
              </w:rPr>
              <w:t xml:space="preserve"> 150.185.533 </w:t>
            </w:r>
          </w:p>
        </w:tc>
      </w:tr>
    </w:tbl>
    <w:p w14:paraId="352743CD" w14:textId="77777777" w:rsidR="00165462" w:rsidRPr="005B6501" w:rsidRDefault="00165462" w:rsidP="00165462">
      <w:pPr>
        <w:jc w:val="both"/>
        <w:rPr>
          <w:rFonts w:ascii="Arial" w:hAnsi="Arial" w:cs="Arial"/>
          <w:b/>
          <w:sz w:val="16"/>
          <w:szCs w:val="16"/>
        </w:rPr>
      </w:pPr>
    </w:p>
    <w:tbl>
      <w:tblPr>
        <w:tblW w:w="10408" w:type="dxa"/>
        <w:jc w:val="center"/>
        <w:tblCellMar>
          <w:left w:w="70" w:type="dxa"/>
          <w:right w:w="70" w:type="dxa"/>
        </w:tblCellMar>
        <w:tblLook w:val="04A0" w:firstRow="1" w:lastRow="0" w:firstColumn="1" w:lastColumn="0" w:noHBand="0" w:noVBand="1"/>
      </w:tblPr>
      <w:tblGrid>
        <w:gridCol w:w="4254"/>
        <w:gridCol w:w="1648"/>
        <w:gridCol w:w="1372"/>
        <w:gridCol w:w="1701"/>
        <w:gridCol w:w="1433"/>
      </w:tblGrid>
      <w:tr w:rsidR="00165462" w:rsidRPr="005B6501" w14:paraId="072D7FA3" w14:textId="77777777" w:rsidTr="00F349AC">
        <w:trPr>
          <w:trHeight w:val="612"/>
          <w:tblHeader/>
          <w:jc w:val="center"/>
        </w:trPr>
        <w:tc>
          <w:tcPr>
            <w:tcW w:w="4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60EB43" w14:textId="085B632D" w:rsidR="00165462" w:rsidRPr="005B6501" w:rsidRDefault="00165462" w:rsidP="00F349AC">
            <w:pPr>
              <w:jc w:val="center"/>
              <w:rPr>
                <w:rFonts w:ascii="Arial" w:hAnsi="Arial" w:cs="Arial"/>
                <w:b/>
                <w:bCs/>
                <w:sz w:val="16"/>
                <w:szCs w:val="16"/>
                <w:lang w:eastAsia="es-AR"/>
              </w:rPr>
            </w:pPr>
            <w:r w:rsidRPr="007E4E18">
              <w:rPr>
                <w:rFonts w:ascii="Arial" w:hAnsi="Arial" w:cs="Arial"/>
                <w:b/>
                <w:bCs/>
                <w:sz w:val="16"/>
                <w:szCs w:val="16"/>
                <w:lang w:eastAsia="es-AR"/>
              </w:rPr>
              <w:t>PASIVO al 31/</w:t>
            </w:r>
            <w:r w:rsidR="00B92FFB">
              <w:rPr>
                <w:rFonts w:ascii="Arial" w:hAnsi="Arial" w:cs="Arial"/>
                <w:b/>
                <w:bCs/>
                <w:sz w:val="16"/>
                <w:szCs w:val="16"/>
                <w:lang w:eastAsia="es-AR"/>
              </w:rPr>
              <w:t>12/2019</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272E3060" w14:textId="77777777" w:rsidR="00165462" w:rsidRPr="005B6501" w:rsidRDefault="00165462"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Banca Corporativa</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32028DD8" w14:textId="77777777" w:rsidR="00165462" w:rsidRPr="005B6501" w:rsidRDefault="00165462" w:rsidP="00F349AC">
            <w:pPr>
              <w:jc w:val="center"/>
              <w:rPr>
                <w:rFonts w:ascii="Arial" w:hAnsi="Arial" w:cs="Arial"/>
                <w:b/>
                <w:bCs/>
                <w:color w:val="000000"/>
                <w:sz w:val="16"/>
                <w:szCs w:val="16"/>
                <w:lang w:eastAsia="es-AR"/>
              </w:rPr>
            </w:pPr>
            <w:r w:rsidRPr="007E4E18">
              <w:rPr>
                <w:rFonts w:ascii="Arial" w:hAnsi="Arial" w:cs="Arial"/>
                <w:b/>
                <w:bCs/>
                <w:color w:val="000000"/>
                <w:sz w:val="16"/>
                <w:szCs w:val="16"/>
                <w:lang w:eastAsia="es-AR"/>
              </w:rPr>
              <w:t xml:space="preserve"> Banca Personas y Negocios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7086F70" w14:textId="77777777" w:rsidR="00165462" w:rsidRPr="005B6501" w:rsidRDefault="00165462" w:rsidP="00F349AC">
            <w:pPr>
              <w:jc w:val="center"/>
              <w:rPr>
                <w:rFonts w:ascii="Arial" w:hAnsi="Arial" w:cs="Arial"/>
                <w:b/>
                <w:bCs/>
                <w:color w:val="000000"/>
                <w:sz w:val="16"/>
                <w:szCs w:val="16"/>
                <w:lang w:eastAsia="es-AR"/>
              </w:rPr>
            </w:pPr>
            <w:r w:rsidRPr="005B6501">
              <w:rPr>
                <w:rFonts w:ascii="Arial" w:hAnsi="Arial" w:cs="Arial"/>
                <w:b/>
                <w:bCs/>
                <w:color w:val="000000"/>
                <w:sz w:val="16"/>
                <w:szCs w:val="16"/>
                <w:lang w:eastAsia="es-AR"/>
              </w:rPr>
              <w:t xml:space="preserve"> Tesorería </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14:paraId="09A7D89C" w14:textId="77777777" w:rsidR="00165462" w:rsidRPr="005B6501" w:rsidRDefault="00165462" w:rsidP="00F349AC">
            <w:pPr>
              <w:jc w:val="center"/>
              <w:rPr>
                <w:rFonts w:ascii="Arial" w:hAnsi="Arial" w:cs="Arial"/>
                <w:b/>
                <w:bCs/>
                <w:color w:val="000000"/>
                <w:sz w:val="16"/>
                <w:szCs w:val="16"/>
                <w:lang w:eastAsia="es-AR"/>
              </w:rPr>
            </w:pPr>
            <w:r w:rsidRPr="005B6501">
              <w:rPr>
                <w:rFonts w:ascii="Arial" w:hAnsi="Arial" w:cs="Arial"/>
                <w:b/>
                <w:bCs/>
                <w:color w:val="000000"/>
                <w:sz w:val="16"/>
                <w:szCs w:val="16"/>
                <w:lang w:eastAsia="es-AR"/>
              </w:rPr>
              <w:t xml:space="preserve"> TOTAL </w:t>
            </w:r>
          </w:p>
        </w:tc>
      </w:tr>
      <w:tr w:rsidR="00B92FFB" w:rsidRPr="005B6501" w14:paraId="23384876" w14:textId="77777777" w:rsidTr="00BA7A6B">
        <w:trPr>
          <w:trHeight w:val="20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77865512"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Depósitos</w:t>
            </w:r>
          </w:p>
        </w:tc>
        <w:tc>
          <w:tcPr>
            <w:tcW w:w="1648" w:type="dxa"/>
            <w:tcBorders>
              <w:top w:val="nil"/>
              <w:left w:val="nil"/>
              <w:bottom w:val="single" w:sz="4" w:space="0" w:color="auto"/>
              <w:right w:val="single" w:sz="4" w:space="0" w:color="auto"/>
            </w:tcBorders>
            <w:shd w:val="clear" w:color="auto" w:fill="auto"/>
            <w:noWrap/>
            <w:vAlign w:val="bottom"/>
            <w:hideMark/>
          </w:tcPr>
          <w:p w14:paraId="777A90F7" w14:textId="08E1745B" w:rsidR="00B92FFB" w:rsidRPr="00B92FFB" w:rsidRDefault="00B92FFB">
            <w:pPr>
              <w:jc w:val="right"/>
              <w:rPr>
                <w:rFonts w:ascii="Arial" w:hAnsi="Arial" w:cs="Arial"/>
                <w:b/>
                <w:sz w:val="16"/>
                <w:szCs w:val="16"/>
              </w:rPr>
            </w:pPr>
            <w:r w:rsidRPr="00BA7A6B">
              <w:rPr>
                <w:rFonts w:ascii="Arial" w:hAnsi="Arial" w:cs="Arial"/>
                <w:sz w:val="16"/>
                <w:szCs w:val="16"/>
              </w:rPr>
              <w:t xml:space="preserve"> -11.466.926 </w:t>
            </w:r>
          </w:p>
        </w:tc>
        <w:tc>
          <w:tcPr>
            <w:tcW w:w="1372" w:type="dxa"/>
            <w:tcBorders>
              <w:top w:val="nil"/>
              <w:left w:val="nil"/>
              <w:bottom w:val="single" w:sz="4" w:space="0" w:color="auto"/>
              <w:right w:val="single" w:sz="4" w:space="0" w:color="auto"/>
            </w:tcBorders>
            <w:shd w:val="clear" w:color="auto" w:fill="auto"/>
            <w:noWrap/>
            <w:vAlign w:val="bottom"/>
            <w:hideMark/>
          </w:tcPr>
          <w:p w14:paraId="341856A2" w14:textId="52D9DA0E" w:rsidR="00B92FFB" w:rsidRPr="00B92FFB" w:rsidRDefault="00B92FFB">
            <w:pPr>
              <w:jc w:val="right"/>
              <w:rPr>
                <w:rFonts w:ascii="Arial" w:hAnsi="Arial" w:cs="Arial"/>
                <w:b/>
                <w:sz w:val="16"/>
                <w:szCs w:val="16"/>
              </w:rPr>
            </w:pPr>
            <w:r w:rsidRPr="00BA7A6B">
              <w:rPr>
                <w:rFonts w:ascii="Arial" w:hAnsi="Arial" w:cs="Arial"/>
                <w:sz w:val="16"/>
                <w:szCs w:val="16"/>
              </w:rPr>
              <w:t xml:space="preserve"> -68.370.274 </w:t>
            </w:r>
          </w:p>
        </w:tc>
        <w:tc>
          <w:tcPr>
            <w:tcW w:w="1701" w:type="dxa"/>
            <w:tcBorders>
              <w:top w:val="nil"/>
              <w:left w:val="nil"/>
              <w:bottom w:val="single" w:sz="4" w:space="0" w:color="auto"/>
              <w:right w:val="single" w:sz="4" w:space="0" w:color="auto"/>
            </w:tcBorders>
            <w:shd w:val="clear" w:color="auto" w:fill="auto"/>
            <w:noWrap/>
            <w:vAlign w:val="bottom"/>
            <w:hideMark/>
          </w:tcPr>
          <w:p w14:paraId="24C044EB" w14:textId="3143415D" w:rsidR="00B92FFB" w:rsidRPr="00B92FFB" w:rsidRDefault="00B92FFB">
            <w:pPr>
              <w:jc w:val="right"/>
              <w:rPr>
                <w:rFonts w:ascii="Arial" w:hAnsi="Arial" w:cs="Arial"/>
                <w:b/>
                <w:sz w:val="16"/>
                <w:szCs w:val="16"/>
              </w:rPr>
            </w:pPr>
            <w:r w:rsidRPr="00BA7A6B">
              <w:rPr>
                <w:rFonts w:ascii="Arial" w:hAnsi="Arial" w:cs="Arial"/>
                <w:sz w:val="16"/>
                <w:szCs w:val="16"/>
              </w:rPr>
              <w:t xml:space="preserve"> -16.899.359 </w:t>
            </w:r>
          </w:p>
        </w:tc>
        <w:tc>
          <w:tcPr>
            <w:tcW w:w="1433" w:type="dxa"/>
            <w:tcBorders>
              <w:top w:val="nil"/>
              <w:left w:val="nil"/>
              <w:bottom w:val="single" w:sz="4" w:space="0" w:color="auto"/>
              <w:right w:val="single" w:sz="4" w:space="0" w:color="auto"/>
            </w:tcBorders>
            <w:shd w:val="clear" w:color="auto" w:fill="auto"/>
            <w:noWrap/>
            <w:vAlign w:val="bottom"/>
            <w:hideMark/>
          </w:tcPr>
          <w:p w14:paraId="7F20AA75" w14:textId="41897969" w:rsidR="00B92FFB" w:rsidRPr="00B92FFB" w:rsidRDefault="00B92FFB">
            <w:pPr>
              <w:jc w:val="right"/>
              <w:rPr>
                <w:rFonts w:ascii="Arial" w:hAnsi="Arial" w:cs="Arial"/>
                <w:b/>
                <w:sz w:val="16"/>
                <w:szCs w:val="16"/>
              </w:rPr>
            </w:pPr>
            <w:r w:rsidRPr="00BA7A6B">
              <w:rPr>
                <w:rFonts w:ascii="Arial" w:hAnsi="Arial" w:cs="Arial"/>
                <w:sz w:val="16"/>
                <w:szCs w:val="16"/>
              </w:rPr>
              <w:t>-96.736.559</w:t>
            </w:r>
          </w:p>
        </w:tc>
      </w:tr>
      <w:tr w:rsidR="00B92FFB" w:rsidRPr="005B6501" w14:paraId="41062245" w14:textId="77777777" w:rsidTr="00BA7A6B">
        <w:trPr>
          <w:trHeight w:val="27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41409761" w14:textId="77777777" w:rsidR="00B92FFB" w:rsidRPr="005B6501" w:rsidRDefault="00B92FFB" w:rsidP="00B92FFB">
            <w:pPr>
              <w:rPr>
                <w:rFonts w:ascii="Arial" w:hAnsi="Arial" w:cs="Arial"/>
                <w:color w:val="000000"/>
                <w:sz w:val="16"/>
                <w:szCs w:val="18"/>
                <w:lang w:eastAsia="es-AR"/>
              </w:rPr>
            </w:pPr>
            <w:r w:rsidRPr="005B6501">
              <w:rPr>
                <w:rFonts w:ascii="Arial" w:hAnsi="Arial" w:cs="Arial"/>
                <w:sz w:val="16"/>
                <w:szCs w:val="18"/>
              </w:rPr>
              <w:t xml:space="preserve">   Sector público no financiero</w:t>
            </w:r>
          </w:p>
        </w:tc>
        <w:tc>
          <w:tcPr>
            <w:tcW w:w="1648" w:type="dxa"/>
            <w:tcBorders>
              <w:top w:val="nil"/>
              <w:left w:val="nil"/>
              <w:bottom w:val="single" w:sz="4" w:space="0" w:color="auto"/>
              <w:right w:val="single" w:sz="4" w:space="0" w:color="auto"/>
            </w:tcBorders>
            <w:shd w:val="clear" w:color="auto" w:fill="auto"/>
            <w:noWrap/>
            <w:vAlign w:val="bottom"/>
            <w:hideMark/>
          </w:tcPr>
          <w:p w14:paraId="65FC4D23" w14:textId="6B0F0D34" w:rsidR="00B92FFB" w:rsidRPr="00B92FFB" w:rsidRDefault="00B92FFB">
            <w:pPr>
              <w:jc w:val="right"/>
              <w:rPr>
                <w:rFonts w:ascii="Arial" w:hAnsi="Arial" w:cs="Arial"/>
                <w:b/>
                <w:sz w:val="16"/>
                <w:szCs w:val="16"/>
              </w:rPr>
            </w:pPr>
            <w:r w:rsidRPr="00BA7A6B">
              <w:rPr>
                <w:rFonts w:ascii="Arial" w:hAnsi="Arial" w:cs="Arial"/>
                <w:sz w:val="16"/>
                <w:szCs w:val="16"/>
              </w:rPr>
              <w:t xml:space="preserve"> -7.527 </w:t>
            </w:r>
          </w:p>
        </w:tc>
        <w:tc>
          <w:tcPr>
            <w:tcW w:w="1372" w:type="dxa"/>
            <w:tcBorders>
              <w:top w:val="nil"/>
              <w:left w:val="nil"/>
              <w:bottom w:val="single" w:sz="4" w:space="0" w:color="auto"/>
              <w:right w:val="single" w:sz="4" w:space="0" w:color="auto"/>
            </w:tcBorders>
            <w:shd w:val="clear" w:color="auto" w:fill="auto"/>
            <w:noWrap/>
            <w:vAlign w:val="bottom"/>
            <w:hideMark/>
          </w:tcPr>
          <w:p w14:paraId="1B281CF2" w14:textId="61DA9020" w:rsidR="00B92FFB" w:rsidRPr="00B92FFB" w:rsidRDefault="00B92FFB">
            <w:pPr>
              <w:jc w:val="right"/>
              <w:rPr>
                <w:rFonts w:ascii="Arial" w:hAnsi="Arial" w:cs="Arial"/>
                <w:sz w:val="16"/>
                <w:szCs w:val="16"/>
              </w:rPr>
            </w:pPr>
            <w:r w:rsidRPr="00BA7A6B">
              <w:rPr>
                <w:rFonts w:ascii="Arial" w:hAnsi="Arial" w:cs="Arial"/>
                <w:sz w:val="16"/>
                <w:szCs w:val="16"/>
              </w:rPr>
              <w:t xml:space="preserve"> -1.388.704 </w:t>
            </w:r>
          </w:p>
        </w:tc>
        <w:tc>
          <w:tcPr>
            <w:tcW w:w="1701" w:type="dxa"/>
            <w:tcBorders>
              <w:top w:val="nil"/>
              <w:left w:val="nil"/>
              <w:bottom w:val="single" w:sz="4" w:space="0" w:color="auto"/>
              <w:right w:val="single" w:sz="4" w:space="0" w:color="auto"/>
            </w:tcBorders>
            <w:shd w:val="clear" w:color="auto" w:fill="auto"/>
            <w:noWrap/>
            <w:vAlign w:val="bottom"/>
            <w:hideMark/>
          </w:tcPr>
          <w:p w14:paraId="6CEB3299" w14:textId="325AAC19" w:rsidR="00B92FFB" w:rsidRPr="00B92FFB" w:rsidRDefault="00B92FFB">
            <w:pPr>
              <w:jc w:val="right"/>
              <w:rPr>
                <w:rFonts w:ascii="Arial" w:hAnsi="Arial" w:cs="Arial"/>
                <w:sz w:val="16"/>
                <w:szCs w:val="16"/>
              </w:rPr>
            </w:pPr>
            <w:r w:rsidRPr="00BA7A6B">
              <w:rPr>
                <w:rFonts w:ascii="Arial" w:hAnsi="Arial" w:cs="Arial"/>
                <w:sz w:val="16"/>
                <w:szCs w:val="16"/>
              </w:rPr>
              <w:t xml:space="preserve"> -4.500.620 </w:t>
            </w:r>
          </w:p>
        </w:tc>
        <w:tc>
          <w:tcPr>
            <w:tcW w:w="1433" w:type="dxa"/>
            <w:tcBorders>
              <w:top w:val="nil"/>
              <w:left w:val="nil"/>
              <w:bottom w:val="single" w:sz="4" w:space="0" w:color="auto"/>
              <w:right w:val="single" w:sz="4" w:space="0" w:color="auto"/>
            </w:tcBorders>
            <w:shd w:val="clear" w:color="auto" w:fill="auto"/>
            <w:noWrap/>
            <w:vAlign w:val="bottom"/>
            <w:hideMark/>
          </w:tcPr>
          <w:p w14:paraId="16010AC0" w14:textId="6FDB762E" w:rsidR="00B92FFB" w:rsidRPr="00B92FFB" w:rsidRDefault="00B92FFB">
            <w:pPr>
              <w:jc w:val="right"/>
              <w:rPr>
                <w:rFonts w:ascii="Arial" w:hAnsi="Arial" w:cs="Arial"/>
                <w:sz w:val="16"/>
                <w:szCs w:val="16"/>
              </w:rPr>
            </w:pPr>
            <w:r w:rsidRPr="00BA7A6B">
              <w:rPr>
                <w:rFonts w:ascii="Arial" w:hAnsi="Arial" w:cs="Arial"/>
                <w:sz w:val="16"/>
                <w:szCs w:val="16"/>
              </w:rPr>
              <w:t>-5.896.851</w:t>
            </w:r>
          </w:p>
        </w:tc>
      </w:tr>
      <w:tr w:rsidR="00B92FFB" w:rsidRPr="005B6501" w14:paraId="0A4B5F6F" w14:textId="77777777" w:rsidTr="00BA7A6B">
        <w:trPr>
          <w:trHeight w:val="26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235D8596" w14:textId="77777777" w:rsidR="00B92FFB" w:rsidRPr="005B6501" w:rsidRDefault="00B92FFB" w:rsidP="00B92FFB">
            <w:pPr>
              <w:rPr>
                <w:rFonts w:ascii="Arial" w:hAnsi="Arial" w:cs="Arial"/>
                <w:color w:val="000000"/>
                <w:sz w:val="16"/>
                <w:szCs w:val="18"/>
                <w:lang w:eastAsia="es-AR"/>
              </w:rPr>
            </w:pPr>
            <w:r w:rsidRPr="005B6501">
              <w:rPr>
                <w:rFonts w:ascii="Arial" w:hAnsi="Arial" w:cs="Arial"/>
                <w:sz w:val="16"/>
                <w:szCs w:val="18"/>
              </w:rPr>
              <w:t xml:space="preserve">   Sector financiero</w:t>
            </w:r>
          </w:p>
        </w:tc>
        <w:tc>
          <w:tcPr>
            <w:tcW w:w="1648" w:type="dxa"/>
            <w:tcBorders>
              <w:top w:val="nil"/>
              <w:left w:val="nil"/>
              <w:bottom w:val="single" w:sz="4" w:space="0" w:color="auto"/>
              <w:right w:val="single" w:sz="4" w:space="0" w:color="auto"/>
            </w:tcBorders>
            <w:shd w:val="clear" w:color="auto" w:fill="auto"/>
            <w:noWrap/>
            <w:vAlign w:val="bottom"/>
            <w:hideMark/>
          </w:tcPr>
          <w:p w14:paraId="55DAA122" w14:textId="499B1226" w:rsidR="00B92FFB" w:rsidRPr="00B92FFB" w:rsidRDefault="00B92FFB">
            <w:pPr>
              <w:jc w:val="right"/>
              <w:rPr>
                <w:rFonts w:ascii="Arial" w:hAnsi="Arial" w:cs="Arial"/>
                <w:b/>
                <w:sz w:val="16"/>
                <w:szCs w:val="16"/>
              </w:rPr>
            </w:pPr>
            <w:r w:rsidRPr="00BA7A6B">
              <w:rPr>
                <w:rFonts w:ascii="Arial" w:hAnsi="Arial" w:cs="Arial"/>
                <w:sz w:val="16"/>
                <w:szCs w:val="16"/>
              </w:rPr>
              <w:t xml:space="preserve"> -40.241 </w:t>
            </w:r>
          </w:p>
        </w:tc>
        <w:tc>
          <w:tcPr>
            <w:tcW w:w="1372" w:type="dxa"/>
            <w:tcBorders>
              <w:top w:val="nil"/>
              <w:left w:val="nil"/>
              <w:bottom w:val="single" w:sz="4" w:space="0" w:color="auto"/>
              <w:right w:val="single" w:sz="4" w:space="0" w:color="auto"/>
            </w:tcBorders>
            <w:shd w:val="clear" w:color="auto" w:fill="auto"/>
            <w:noWrap/>
            <w:vAlign w:val="bottom"/>
            <w:hideMark/>
          </w:tcPr>
          <w:p w14:paraId="3F6486CB" w14:textId="68A2F4B0" w:rsidR="00B92FFB" w:rsidRPr="00B92FFB" w:rsidRDefault="00B92FFB">
            <w:pPr>
              <w:jc w:val="right"/>
              <w:rPr>
                <w:rFonts w:ascii="Arial" w:hAnsi="Arial" w:cs="Arial"/>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14:paraId="0E93F3BD" w14:textId="4D9F8556" w:rsidR="00B92FFB" w:rsidRPr="00B92FFB" w:rsidRDefault="00B92FFB">
            <w:pPr>
              <w:jc w:val="right"/>
              <w:rPr>
                <w:rFonts w:ascii="Arial" w:hAnsi="Arial" w:cs="Arial"/>
                <w:sz w:val="16"/>
                <w:szCs w:val="16"/>
              </w:rPr>
            </w:pPr>
            <w:r w:rsidRPr="00BA7A6B">
              <w:rPr>
                <w:rFonts w:ascii="Arial" w:hAnsi="Arial" w:cs="Arial"/>
                <w:sz w:val="16"/>
                <w:szCs w:val="16"/>
              </w:rPr>
              <w:t xml:space="preserve"> -31 </w:t>
            </w:r>
          </w:p>
        </w:tc>
        <w:tc>
          <w:tcPr>
            <w:tcW w:w="1433" w:type="dxa"/>
            <w:tcBorders>
              <w:top w:val="nil"/>
              <w:left w:val="nil"/>
              <w:bottom w:val="single" w:sz="4" w:space="0" w:color="auto"/>
              <w:right w:val="single" w:sz="4" w:space="0" w:color="auto"/>
            </w:tcBorders>
            <w:shd w:val="clear" w:color="auto" w:fill="auto"/>
            <w:noWrap/>
            <w:vAlign w:val="bottom"/>
            <w:hideMark/>
          </w:tcPr>
          <w:p w14:paraId="5CFA52E7" w14:textId="35E58473" w:rsidR="00B92FFB" w:rsidRPr="00B92FFB" w:rsidRDefault="00B92FFB">
            <w:pPr>
              <w:jc w:val="right"/>
              <w:rPr>
                <w:rFonts w:ascii="Arial" w:hAnsi="Arial" w:cs="Arial"/>
                <w:sz w:val="16"/>
                <w:szCs w:val="16"/>
              </w:rPr>
            </w:pPr>
            <w:r w:rsidRPr="00BA7A6B">
              <w:rPr>
                <w:rFonts w:ascii="Arial" w:hAnsi="Arial" w:cs="Arial"/>
                <w:sz w:val="16"/>
                <w:szCs w:val="16"/>
              </w:rPr>
              <w:t>-40.272</w:t>
            </w:r>
          </w:p>
        </w:tc>
      </w:tr>
      <w:tr w:rsidR="00B92FFB" w:rsidRPr="005B6501" w14:paraId="787D515A" w14:textId="77777777" w:rsidTr="00BA7A6B">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0898CDF0" w14:textId="77777777" w:rsidR="00B92FFB" w:rsidRPr="005B6501" w:rsidRDefault="00B92FFB" w:rsidP="00B92FFB">
            <w:pPr>
              <w:rPr>
                <w:rFonts w:ascii="Arial" w:hAnsi="Arial" w:cs="Arial"/>
                <w:color w:val="000000"/>
                <w:sz w:val="16"/>
                <w:szCs w:val="18"/>
                <w:lang w:eastAsia="es-AR"/>
              </w:rPr>
            </w:pPr>
            <w:r w:rsidRPr="005B6501">
              <w:rPr>
                <w:rFonts w:ascii="Arial" w:hAnsi="Arial" w:cs="Arial"/>
                <w:sz w:val="16"/>
                <w:szCs w:val="18"/>
              </w:rPr>
              <w:t xml:space="preserve">   Sector privado no financiero y residentes en el exterior</w:t>
            </w:r>
          </w:p>
        </w:tc>
        <w:tc>
          <w:tcPr>
            <w:tcW w:w="1648" w:type="dxa"/>
            <w:tcBorders>
              <w:top w:val="nil"/>
              <w:left w:val="nil"/>
              <w:bottom w:val="single" w:sz="4" w:space="0" w:color="auto"/>
              <w:right w:val="single" w:sz="4" w:space="0" w:color="auto"/>
            </w:tcBorders>
            <w:shd w:val="clear" w:color="auto" w:fill="auto"/>
            <w:noWrap/>
            <w:vAlign w:val="bottom"/>
            <w:hideMark/>
          </w:tcPr>
          <w:p w14:paraId="692134E5" w14:textId="2D1AB596" w:rsidR="00B92FFB" w:rsidRPr="00B92FFB" w:rsidRDefault="00B92FFB">
            <w:pPr>
              <w:jc w:val="right"/>
              <w:rPr>
                <w:rFonts w:ascii="Arial" w:hAnsi="Arial" w:cs="Arial"/>
                <w:b/>
                <w:sz w:val="16"/>
                <w:szCs w:val="16"/>
              </w:rPr>
            </w:pPr>
            <w:r w:rsidRPr="00BA7A6B">
              <w:rPr>
                <w:rFonts w:ascii="Arial" w:hAnsi="Arial" w:cs="Arial"/>
                <w:sz w:val="16"/>
                <w:szCs w:val="16"/>
              </w:rPr>
              <w:t xml:space="preserve"> -11.419.158 </w:t>
            </w:r>
          </w:p>
        </w:tc>
        <w:tc>
          <w:tcPr>
            <w:tcW w:w="1372" w:type="dxa"/>
            <w:tcBorders>
              <w:top w:val="nil"/>
              <w:left w:val="nil"/>
              <w:bottom w:val="single" w:sz="4" w:space="0" w:color="auto"/>
              <w:right w:val="single" w:sz="4" w:space="0" w:color="auto"/>
            </w:tcBorders>
            <w:shd w:val="clear" w:color="auto" w:fill="auto"/>
            <w:noWrap/>
            <w:vAlign w:val="bottom"/>
            <w:hideMark/>
          </w:tcPr>
          <w:p w14:paraId="39F724AF" w14:textId="61C0F265" w:rsidR="00B92FFB" w:rsidRPr="00B92FFB" w:rsidRDefault="00B92FFB">
            <w:pPr>
              <w:jc w:val="right"/>
              <w:rPr>
                <w:rFonts w:ascii="Arial" w:hAnsi="Arial" w:cs="Arial"/>
                <w:sz w:val="16"/>
                <w:szCs w:val="16"/>
              </w:rPr>
            </w:pPr>
            <w:r w:rsidRPr="00BA7A6B">
              <w:rPr>
                <w:rFonts w:ascii="Arial" w:hAnsi="Arial" w:cs="Arial"/>
                <w:sz w:val="16"/>
                <w:szCs w:val="16"/>
              </w:rPr>
              <w:t xml:space="preserve"> -66.981.570 </w:t>
            </w:r>
          </w:p>
        </w:tc>
        <w:tc>
          <w:tcPr>
            <w:tcW w:w="1701" w:type="dxa"/>
            <w:tcBorders>
              <w:top w:val="nil"/>
              <w:left w:val="nil"/>
              <w:bottom w:val="single" w:sz="4" w:space="0" w:color="auto"/>
              <w:right w:val="single" w:sz="4" w:space="0" w:color="auto"/>
            </w:tcBorders>
            <w:shd w:val="clear" w:color="auto" w:fill="auto"/>
            <w:noWrap/>
            <w:vAlign w:val="bottom"/>
            <w:hideMark/>
          </w:tcPr>
          <w:p w14:paraId="59473234" w14:textId="5EE129CC" w:rsidR="00B92FFB" w:rsidRPr="00B92FFB" w:rsidRDefault="00B92FFB">
            <w:pPr>
              <w:jc w:val="right"/>
              <w:rPr>
                <w:rFonts w:ascii="Arial" w:hAnsi="Arial" w:cs="Arial"/>
                <w:sz w:val="16"/>
                <w:szCs w:val="16"/>
              </w:rPr>
            </w:pPr>
            <w:r w:rsidRPr="00BA7A6B">
              <w:rPr>
                <w:rFonts w:ascii="Arial" w:hAnsi="Arial" w:cs="Arial"/>
                <w:sz w:val="16"/>
                <w:szCs w:val="16"/>
              </w:rPr>
              <w:t xml:space="preserve"> -12.398.708 </w:t>
            </w:r>
          </w:p>
        </w:tc>
        <w:tc>
          <w:tcPr>
            <w:tcW w:w="1433" w:type="dxa"/>
            <w:tcBorders>
              <w:top w:val="nil"/>
              <w:left w:val="nil"/>
              <w:bottom w:val="single" w:sz="4" w:space="0" w:color="auto"/>
              <w:right w:val="single" w:sz="4" w:space="0" w:color="auto"/>
            </w:tcBorders>
            <w:shd w:val="clear" w:color="auto" w:fill="auto"/>
            <w:noWrap/>
            <w:vAlign w:val="bottom"/>
            <w:hideMark/>
          </w:tcPr>
          <w:p w14:paraId="1B5DCC8F" w14:textId="40A760C1" w:rsidR="00B92FFB" w:rsidRPr="00B92FFB" w:rsidRDefault="00B92FFB">
            <w:pPr>
              <w:jc w:val="right"/>
              <w:rPr>
                <w:rFonts w:ascii="Arial" w:hAnsi="Arial" w:cs="Arial"/>
                <w:sz w:val="16"/>
                <w:szCs w:val="16"/>
              </w:rPr>
            </w:pPr>
            <w:r w:rsidRPr="00BA7A6B">
              <w:rPr>
                <w:rFonts w:ascii="Arial" w:hAnsi="Arial" w:cs="Arial"/>
                <w:sz w:val="16"/>
                <w:szCs w:val="16"/>
              </w:rPr>
              <w:t>-90.799.436</w:t>
            </w:r>
          </w:p>
        </w:tc>
      </w:tr>
      <w:tr w:rsidR="00B92FFB" w:rsidRPr="005B6501" w14:paraId="4CB9FB12" w14:textId="77777777" w:rsidTr="00BA7A6B">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7AA6EDDE" w14:textId="77777777" w:rsidR="00B92FFB" w:rsidRPr="005B6501" w:rsidRDefault="00B92FFB" w:rsidP="00B92FFB">
            <w:pPr>
              <w:rPr>
                <w:rFonts w:ascii="Arial" w:hAnsi="Arial" w:cs="Arial"/>
                <w:b/>
                <w:sz w:val="16"/>
                <w:szCs w:val="18"/>
              </w:rPr>
            </w:pPr>
            <w:r w:rsidRPr="005B6501">
              <w:rPr>
                <w:rFonts w:ascii="Arial" w:hAnsi="Arial" w:cs="Arial"/>
                <w:b/>
                <w:sz w:val="16"/>
                <w:szCs w:val="18"/>
              </w:rPr>
              <w:t>Pasivos a valor razonable con cambios en resultados</w:t>
            </w:r>
          </w:p>
        </w:tc>
        <w:tc>
          <w:tcPr>
            <w:tcW w:w="1648" w:type="dxa"/>
            <w:tcBorders>
              <w:top w:val="nil"/>
              <w:left w:val="nil"/>
              <w:bottom w:val="single" w:sz="4" w:space="0" w:color="auto"/>
              <w:right w:val="single" w:sz="4" w:space="0" w:color="auto"/>
            </w:tcBorders>
            <w:shd w:val="clear" w:color="auto" w:fill="auto"/>
            <w:noWrap/>
            <w:vAlign w:val="bottom"/>
          </w:tcPr>
          <w:p w14:paraId="7100475F" w14:textId="22874C13" w:rsidR="00B92FFB" w:rsidRPr="00B92FFB" w:rsidRDefault="00B92FFB">
            <w:pPr>
              <w:jc w:val="right"/>
              <w:rPr>
                <w:rFonts w:ascii="Arial" w:hAnsi="Arial" w:cs="Arial"/>
                <w:b/>
                <w:sz w:val="16"/>
                <w:szCs w:val="16"/>
              </w:rPr>
            </w:pPr>
            <w:r w:rsidRPr="00BA7A6B">
              <w:rPr>
                <w:rFonts w:ascii="Arial" w:hAnsi="Arial" w:cs="Arial"/>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tcPr>
          <w:p w14:paraId="32BEECBE" w14:textId="71BD6476" w:rsidR="00B92FFB" w:rsidRPr="00B92FFB" w:rsidRDefault="00B92FFB">
            <w:pPr>
              <w:jc w:val="right"/>
              <w:rPr>
                <w:rFonts w:ascii="Arial" w:hAnsi="Arial" w:cs="Arial"/>
                <w:b/>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tcPr>
          <w:p w14:paraId="618CF7C8" w14:textId="3B8F0B23" w:rsidR="00B92FFB" w:rsidRPr="00B92FFB" w:rsidRDefault="00B92FFB">
            <w:pPr>
              <w:jc w:val="right"/>
              <w:rPr>
                <w:rFonts w:ascii="Arial" w:hAnsi="Arial" w:cs="Arial"/>
                <w:b/>
                <w:sz w:val="16"/>
                <w:szCs w:val="16"/>
              </w:rPr>
            </w:pPr>
            <w:r w:rsidRPr="00BA7A6B">
              <w:rPr>
                <w:rFonts w:ascii="Arial" w:hAnsi="Arial" w:cs="Arial"/>
                <w:sz w:val="16"/>
                <w:szCs w:val="16"/>
              </w:rPr>
              <w:t xml:space="preserve"> -143.697 </w:t>
            </w:r>
          </w:p>
        </w:tc>
        <w:tc>
          <w:tcPr>
            <w:tcW w:w="1433" w:type="dxa"/>
            <w:tcBorders>
              <w:top w:val="nil"/>
              <w:left w:val="nil"/>
              <w:bottom w:val="single" w:sz="4" w:space="0" w:color="auto"/>
              <w:right w:val="single" w:sz="4" w:space="0" w:color="auto"/>
            </w:tcBorders>
            <w:shd w:val="clear" w:color="auto" w:fill="auto"/>
            <w:noWrap/>
            <w:vAlign w:val="bottom"/>
          </w:tcPr>
          <w:p w14:paraId="780AADC9" w14:textId="00AC1826" w:rsidR="00B92FFB" w:rsidRPr="00B92FFB" w:rsidRDefault="00B92FFB">
            <w:pPr>
              <w:jc w:val="right"/>
              <w:rPr>
                <w:rFonts w:ascii="Arial" w:hAnsi="Arial" w:cs="Arial"/>
                <w:b/>
                <w:sz w:val="16"/>
                <w:szCs w:val="16"/>
              </w:rPr>
            </w:pPr>
            <w:r w:rsidRPr="00BA7A6B">
              <w:rPr>
                <w:rFonts w:ascii="Arial" w:hAnsi="Arial" w:cs="Arial"/>
                <w:sz w:val="16"/>
                <w:szCs w:val="16"/>
              </w:rPr>
              <w:t>-143.697</w:t>
            </w:r>
          </w:p>
        </w:tc>
      </w:tr>
      <w:tr w:rsidR="00B92FFB" w:rsidRPr="005B6501" w14:paraId="32C25E97" w14:textId="77777777" w:rsidTr="00BA7A6B">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15E1AF8B"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Operaciones de pase</w:t>
            </w:r>
          </w:p>
        </w:tc>
        <w:tc>
          <w:tcPr>
            <w:tcW w:w="1648" w:type="dxa"/>
            <w:tcBorders>
              <w:top w:val="nil"/>
              <w:left w:val="nil"/>
              <w:bottom w:val="single" w:sz="4" w:space="0" w:color="auto"/>
              <w:right w:val="single" w:sz="4" w:space="0" w:color="auto"/>
            </w:tcBorders>
            <w:shd w:val="clear" w:color="auto" w:fill="auto"/>
            <w:noWrap/>
            <w:vAlign w:val="bottom"/>
            <w:hideMark/>
          </w:tcPr>
          <w:p w14:paraId="0E181E59" w14:textId="257EE8A8" w:rsidR="00B92FFB" w:rsidRPr="00B92FFB" w:rsidRDefault="00B92FFB">
            <w:pPr>
              <w:jc w:val="right"/>
              <w:rPr>
                <w:rFonts w:ascii="Arial" w:hAnsi="Arial" w:cs="Arial"/>
                <w:b/>
                <w:sz w:val="16"/>
                <w:szCs w:val="16"/>
              </w:rPr>
            </w:pPr>
            <w:r w:rsidRPr="00BA7A6B">
              <w:rPr>
                <w:rFonts w:ascii="Arial" w:hAnsi="Arial" w:cs="Arial"/>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hideMark/>
          </w:tcPr>
          <w:p w14:paraId="4E50EE4F" w14:textId="514E120D" w:rsidR="00B92FFB" w:rsidRPr="00B92FFB" w:rsidRDefault="00B92FFB">
            <w:pPr>
              <w:jc w:val="right"/>
              <w:rPr>
                <w:rFonts w:ascii="Arial" w:hAnsi="Arial" w:cs="Arial"/>
                <w:b/>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14:paraId="11D32C76" w14:textId="0CF87A9A" w:rsidR="00B92FFB" w:rsidRPr="00B92FFB" w:rsidRDefault="00B92FFB">
            <w:pPr>
              <w:jc w:val="right"/>
              <w:rPr>
                <w:rFonts w:ascii="Arial" w:hAnsi="Arial" w:cs="Arial"/>
                <w:b/>
                <w:sz w:val="16"/>
                <w:szCs w:val="16"/>
              </w:rPr>
            </w:pPr>
            <w:r w:rsidRPr="00BA7A6B">
              <w:rPr>
                <w:rFonts w:ascii="Arial" w:hAnsi="Arial" w:cs="Arial"/>
                <w:sz w:val="16"/>
                <w:szCs w:val="16"/>
              </w:rPr>
              <w:t xml:space="preserve"> -259.251 </w:t>
            </w:r>
          </w:p>
        </w:tc>
        <w:tc>
          <w:tcPr>
            <w:tcW w:w="1433" w:type="dxa"/>
            <w:tcBorders>
              <w:top w:val="nil"/>
              <w:left w:val="nil"/>
              <w:bottom w:val="single" w:sz="4" w:space="0" w:color="auto"/>
              <w:right w:val="single" w:sz="4" w:space="0" w:color="auto"/>
            </w:tcBorders>
            <w:shd w:val="clear" w:color="auto" w:fill="auto"/>
            <w:noWrap/>
            <w:vAlign w:val="bottom"/>
            <w:hideMark/>
          </w:tcPr>
          <w:p w14:paraId="6D5D6396" w14:textId="7156AD4C" w:rsidR="00B92FFB" w:rsidRPr="00B92FFB" w:rsidRDefault="00B92FFB">
            <w:pPr>
              <w:jc w:val="right"/>
              <w:rPr>
                <w:rFonts w:ascii="Arial" w:hAnsi="Arial" w:cs="Arial"/>
                <w:b/>
                <w:sz w:val="16"/>
                <w:szCs w:val="16"/>
              </w:rPr>
            </w:pPr>
            <w:r w:rsidRPr="00BA7A6B">
              <w:rPr>
                <w:rFonts w:ascii="Arial" w:hAnsi="Arial" w:cs="Arial"/>
                <w:sz w:val="16"/>
                <w:szCs w:val="16"/>
              </w:rPr>
              <w:t>-259.251</w:t>
            </w:r>
          </w:p>
        </w:tc>
      </w:tr>
      <w:tr w:rsidR="00B92FFB" w:rsidRPr="005B6501" w14:paraId="6CFF66DA" w14:textId="77777777" w:rsidTr="00BA7A6B">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65B38C50"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Otros pasivos financieros</w:t>
            </w:r>
          </w:p>
        </w:tc>
        <w:tc>
          <w:tcPr>
            <w:tcW w:w="1648" w:type="dxa"/>
            <w:tcBorders>
              <w:top w:val="nil"/>
              <w:left w:val="nil"/>
              <w:bottom w:val="single" w:sz="4" w:space="0" w:color="auto"/>
              <w:right w:val="single" w:sz="4" w:space="0" w:color="auto"/>
            </w:tcBorders>
            <w:shd w:val="clear" w:color="auto" w:fill="auto"/>
            <w:noWrap/>
            <w:vAlign w:val="bottom"/>
          </w:tcPr>
          <w:p w14:paraId="341AC183" w14:textId="1B3C7A75" w:rsidR="00B92FFB" w:rsidRPr="00B92FFB" w:rsidRDefault="00B92FFB">
            <w:pPr>
              <w:jc w:val="right"/>
              <w:rPr>
                <w:rFonts w:ascii="Arial" w:hAnsi="Arial" w:cs="Arial"/>
                <w:b/>
                <w:sz w:val="16"/>
                <w:szCs w:val="16"/>
              </w:rPr>
            </w:pPr>
            <w:r w:rsidRPr="00BA7A6B">
              <w:rPr>
                <w:rFonts w:ascii="Arial" w:hAnsi="Arial" w:cs="Arial"/>
                <w:sz w:val="16"/>
                <w:szCs w:val="16"/>
              </w:rPr>
              <w:t xml:space="preserve"> -1.323.554 </w:t>
            </w:r>
          </w:p>
        </w:tc>
        <w:tc>
          <w:tcPr>
            <w:tcW w:w="1372" w:type="dxa"/>
            <w:tcBorders>
              <w:top w:val="nil"/>
              <w:left w:val="nil"/>
              <w:bottom w:val="single" w:sz="4" w:space="0" w:color="auto"/>
              <w:right w:val="single" w:sz="4" w:space="0" w:color="auto"/>
            </w:tcBorders>
            <w:shd w:val="clear" w:color="auto" w:fill="auto"/>
            <w:noWrap/>
            <w:vAlign w:val="bottom"/>
          </w:tcPr>
          <w:p w14:paraId="017EA060" w14:textId="006F4882" w:rsidR="00B92FFB" w:rsidRPr="00B92FFB" w:rsidRDefault="00B92FFB">
            <w:pPr>
              <w:jc w:val="right"/>
              <w:rPr>
                <w:rFonts w:ascii="Arial" w:hAnsi="Arial" w:cs="Arial"/>
                <w:b/>
                <w:sz w:val="16"/>
                <w:szCs w:val="16"/>
              </w:rPr>
            </w:pPr>
            <w:r w:rsidRPr="00BA7A6B">
              <w:rPr>
                <w:rFonts w:ascii="Arial" w:hAnsi="Arial" w:cs="Arial"/>
                <w:sz w:val="16"/>
                <w:szCs w:val="16"/>
              </w:rPr>
              <w:t xml:space="preserve"> -3.645.494 </w:t>
            </w:r>
          </w:p>
        </w:tc>
        <w:tc>
          <w:tcPr>
            <w:tcW w:w="1701" w:type="dxa"/>
            <w:tcBorders>
              <w:top w:val="nil"/>
              <w:left w:val="nil"/>
              <w:bottom w:val="single" w:sz="4" w:space="0" w:color="auto"/>
              <w:right w:val="single" w:sz="4" w:space="0" w:color="auto"/>
            </w:tcBorders>
            <w:shd w:val="clear" w:color="auto" w:fill="auto"/>
            <w:noWrap/>
            <w:vAlign w:val="bottom"/>
          </w:tcPr>
          <w:p w14:paraId="71DB37EC" w14:textId="717C685C" w:rsidR="00B92FFB" w:rsidRPr="00B92FFB" w:rsidRDefault="00B92FFB">
            <w:pPr>
              <w:jc w:val="right"/>
              <w:rPr>
                <w:rFonts w:ascii="Arial" w:hAnsi="Arial" w:cs="Arial"/>
                <w:b/>
                <w:sz w:val="16"/>
                <w:szCs w:val="16"/>
              </w:rPr>
            </w:pPr>
            <w:r w:rsidRPr="00BA7A6B">
              <w:rPr>
                <w:rFonts w:ascii="Arial" w:hAnsi="Arial" w:cs="Arial"/>
                <w:sz w:val="16"/>
                <w:szCs w:val="16"/>
              </w:rPr>
              <w:t xml:space="preserve"> -1.590.327 </w:t>
            </w:r>
          </w:p>
        </w:tc>
        <w:tc>
          <w:tcPr>
            <w:tcW w:w="1433" w:type="dxa"/>
            <w:tcBorders>
              <w:top w:val="nil"/>
              <w:left w:val="nil"/>
              <w:bottom w:val="single" w:sz="4" w:space="0" w:color="auto"/>
              <w:right w:val="single" w:sz="4" w:space="0" w:color="auto"/>
            </w:tcBorders>
            <w:shd w:val="clear" w:color="auto" w:fill="auto"/>
            <w:noWrap/>
            <w:vAlign w:val="bottom"/>
          </w:tcPr>
          <w:p w14:paraId="01FD49A8" w14:textId="750C8842" w:rsidR="00B92FFB" w:rsidRPr="00B92FFB" w:rsidRDefault="00B92FFB">
            <w:pPr>
              <w:jc w:val="right"/>
              <w:rPr>
                <w:rFonts w:ascii="Arial" w:hAnsi="Arial" w:cs="Arial"/>
                <w:b/>
                <w:sz w:val="16"/>
                <w:szCs w:val="16"/>
              </w:rPr>
            </w:pPr>
            <w:r w:rsidRPr="00BA7A6B">
              <w:rPr>
                <w:rFonts w:ascii="Arial" w:hAnsi="Arial" w:cs="Arial"/>
                <w:sz w:val="16"/>
                <w:szCs w:val="16"/>
              </w:rPr>
              <w:t>-6.559.375</w:t>
            </w:r>
          </w:p>
        </w:tc>
      </w:tr>
      <w:tr w:rsidR="00B92FFB" w:rsidRPr="005B6501" w14:paraId="254FE607" w14:textId="77777777" w:rsidTr="00BA7A6B">
        <w:trPr>
          <w:trHeight w:val="27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1D19BB93"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Financiaciones recibidas del BCRA y otras instituciones financieras</w:t>
            </w:r>
          </w:p>
        </w:tc>
        <w:tc>
          <w:tcPr>
            <w:tcW w:w="1648" w:type="dxa"/>
            <w:tcBorders>
              <w:top w:val="nil"/>
              <w:left w:val="nil"/>
              <w:bottom w:val="single" w:sz="4" w:space="0" w:color="auto"/>
              <w:right w:val="single" w:sz="4" w:space="0" w:color="auto"/>
            </w:tcBorders>
            <w:shd w:val="clear" w:color="auto" w:fill="auto"/>
            <w:noWrap/>
            <w:vAlign w:val="bottom"/>
          </w:tcPr>
          <w:p w14:paraId="7F3DC30D" w14:textId="741A1975" w:rsidR="00B92FFB" w:rsidRPr="00B92FFB" w:rsidRDefault="00B92FFB">
            <w:pPr>
              <w:jc w:val="right"/>
              <w:rPr>
                <w:rFonts w:ascii="Arial" w:hAnsi="Arial" w:cs="Arial"/>
                <w:b/>
                <w:sz w:val="16"/>
                <w:szCs w:val="16"/>
              </w:rPr>
            </w:pPr>
            <w:r w:rsidRPr="00BA7A6B">
              <w:rPr>
                <w:rFonts w:ascii="Arial" w:hAnsi="Arial" w:cs="Arial"/>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tcPr>
          <w:p w14:paraId="7F70C2F4" w14:textId="0F960F32" w:rsidR="00B92FFB" w:rsidRPr="00B92FFB" w:rsidRDefault="00B92FFB">
            <w:pPr>
              <w:jc w:val="right"/>
              <w:rPr>
                <w:rFonts w:ascii="Arial" w:hAnsi="Arial" w:cs="Arial"/>
                <w:b/>
                <w:sz w:val="16"/>
                <w:szCs w:val="16"/>
              </w:rPr>
            </w:pPr>
            <w:r w:rsidRPr="00BA7A6B">
              <w:rPr>
                <w:rFonts w:ascii="Arial" w:hAnsi="Arial" w:cs="Arial"/>
                <w:sz w:val="16"/>
                <w:szCs w:val="16"/>
              </w:rPr>
              <w:t xml:space="preserve"> -13.588 </w:t>
            </w:r>
          </w:p>
        </w:tc>
        <w:tc>
          <w:tcPr>
            <w:tcW w:w="1701" w:type="dxa"/>
            <w:tcBorders>
              <w:top w:val="nil"/>
              <w:left w:val="nil"/>
              <w:bottom w:val="single" w:sz="4" w:space="0" w:color="auto"/>
              <w:right w:val="single" w:sz="4" w:space="0" w:color="auto"/>
            </w:tcBorders>
            <w:shd w:val="clear" w:color="auto" w:fill="auto"/>
            <w:noWrap/>
            <w:vAlign w:val="bottom"/>
          </w:tcPr>
          <w:p w14:paraId="23F406F3" w14:textId="79AD97A1" w:rsidR="00B92FFB" w:rsidRPr="00B92FFB" w:rsidRDefault="00B92FFB">
            <w:pPr>
              <w:jc w:val="right"/>
              <w:rPr>
                <w:rFonts w:ascii="Arial" w:hAnsi="Arial" w:cs="Arial"/>
                <w:b/>
                <w:sz w:val="16"/>
                <w:szCs w:val="16"/>
              </w:rPr>
            </w:pPr>
            <w:r w:rsidRPr="00BA7A6B">
              <w:rPr>
                <w:rFonts w:ascii="Arial" w:hAnsi="Arial" w:cs="Arial"/>
                <w:sz w:val="16"/>
                <w:szCs w:val="16"/>
              </w:rPr>
              <w:t xml:space="preserve"> -9.700.632 </w:t>
            </w:r>
          </w:p>
        </w:tc>
        <w:tc>
          <w:tcPr>
            <w:tcW w:w="1433" w:type="dxa"/>
            <w:tcBorders>
              <w:top w:val="nil"/>
              <w:left w:val="nil"/>
              <w:bottom w:val="single" w:sz="4" w:space="0" w:color="auto"/>
              <w:right w:val="single" w:sz="4" w:space="0" w:color="auto"/>
            </w:tcBorders>
            <w:shd w:val="clear" w:color="auto" w:fill="auto"/>
            <w:noWrap/>
            <w:vAlign w:val="bottom"/>
          </w:tcPr>
          <w:p w14:paraId="63BB58F0" w14:textId="5233A930" w:rsidR="00B92FFB" w:rsidRPr="00B92FFB" w:rsidRDefault="00B92FFB">
            <w:pPr>
              <w:jc w:val="right"/>
              <w:rPr>
                <w:rFonts w:ascii="Arial" w:hAnsi="Arial" w:cs="Arial"/>
                <w:b/>
                <w:sz w:val="16"/>
                <w:szCs w:val="16"/>
              </w:rPr>
            </w:pPr>
            <w:r w:rsidRPr="00BA7A6B">
              <w:rPr>
                <w:rFonts w:ascii="Arial" w:hAnsi="Arial" w:cs="Arial"/>
                <w:sz w:val="16"/>
                <w:szCs w:val="16"/>
              </w:rPr>
              <w:t>-9.714.220</w:t>
            </w:r>
          </w:p>
        </w:tc>
      </w:tr>
      <w:tr w:rsidR="00B92FFB" w:rsidRPr="005B6501" w14:paraId="38F4D5B5" w14:textId="77777777" w:rsidTr="00BA7A6B">
        <w:trPr>
          <w:trHeight w:val="388"/>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0538512B"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Obligaciones negociables emitidas</w:t>
            </w:r>
          </w:p>
        </w:tc>
        <w:tc>
          <w:tcPr>
            <w:tcW w:w="1648" w:type="dxa"/>
            <w:tcBorders>
              <w:top w:val="nil"/>
              <w:left w:val="nil"/>
              <w:bottom w:val="single" w:sz="4" w:space="0" w:color="auto"/>
              <w:right w:val="single" w:sz="4" w:space="0" w:color="auto"/>
            </w:tcBorders>
            <w:shd w:val="clear" w:color="auto" w:fill="auto"/>
            <w:noWrap/>
            <w:vAlign w:val="bottom"/>
          </w:tcPr>
          <w:p w14:paraId="5C8EA20E" w14:textId="3361226B" w:rsidR="00B92FFB" w:rsidRPr="00B92FFB" w:rsidRDefault="00B92FFB">
            <w:pPr>
              <w:jc w:val="right"/>
              <w:rPr>
                <w:rFonts w:ascii="Arial" w:hAnsi="Arial" w:cs="Arial"/>
                <w:b/>
                <w:sz w:val="16"/>
                <w:szCs w:val="16"/>
              </w:rPr>
            </w:pPr>
            <w:r w:rsidRPr="00BA7A6B">
              <w:rPr>
                <w:rFonts w:ascii="Arial" w:hAnsi="Arial" w:cs="Arial"/>
                <w:sz w:val="16"/>
                <w:szCs w:val="16"/>
              </w:rPr>
              <w:t xml:space="preserve"> -82.540 </w:t>
            </w:r>
          </w:p>
        </w:tc>
        <w:tc>
          <w:tcPr>
            <w:tcW w:w="1372" w:type="dxa"/>
            <w:tcBorders>
              <w:top w:val="nil"/>
              <w:left w:val="nil"/>
              <w:bottom w:val="single" w:sz="4" w:space="0" w:color="auto"/>
              <w:right w:val="single" w:sz="4" w:space="0" w:color="auto"/>
            </w:tcBorders>
            <w:shd w:val="clear" w:color="auto" w:fill="auto"/>
            <w:noWrap/>
            <w:vAlign w:val="bottom"/>
          </w:tcPr>
          <w:p w14:paraId="66EBDF35" w14:textId="28DACBF0" w:rsidR="00B92FFB" w:rsidRPr="00B92FFB" w:rsidRDefault="00B92FFB">
            <w:pPr>
              <w:jc w:val="right"/>
              <w:rPr>
                <w:rFonts w:ascii="Arial" w:hAnsi="Arial" w:cs="Arial"/>
                <w:b/>
                <w:sz w:val="16"/>
                <w:szCs w:val="16"/>
              </w:rPr>
            </w:pPr>
            <w:r w:rsidRPr="00BA7A6B">
              <w:rPr>
                <w:rFonts w:ascii="Arial" w:hAnsi="Arial" w:cs="Arial"/>
                <w:sz w:val="16"/>
                <w:szCs w:val="16"/>
              </w:rPr>
              <w:t xml:space="preserve"> -116.971 </w:t>
            </w:r>
          </w:p>
        </w:tc>
        <w:tc>
          <w:tcPr>
            <w:tcW w:w="1701" w:type="dxa"/>
            <w:tcBorders>
              <w:top w:val="nil"/>
              <w:left w:val="nil"/>
              <w:bottom w:val="single" w:sz="4" w:space="0" w:color="auto"/>
              <w:right w:val="single" w:sz="4" w:space="0" w:color="auto"/>
            </w:tcBorders>
            <w:shd w:val="clear" w:color="auto" w:fill="auto"/>
            <w:noWrap/>
            <w:vAlign w:val="bottom"/>
          </w:tcPr>
          <w:p w14:paraId="01DED238" w14:textId="4A10DE61" w:rsidR="00B92FFB" w:rsidRPr="00B92FFB" w:rsidRDefault="00B92FFB">
            <w:pPr>
              <w:jc w:val="right"/>
              <w:rPr>
                <w:rFonts w:ascii="Arial" w:hAnsi="Arial" w:cs="Arial"/>
                <w:b/>
                <w:sz w:val="16"/>
                <w:szCs w:val="16"/>
              </w:rPr>
            </w:pPr>
            <w:r w:rsidRPr="00BA7A6B">
              <w:rPr>
                <w:rFonts w:ascii="Arial" w:hAnsi="Arial" w:cs="Arial"/>
                <w:sz w:val="16"/>
                <w:szCs w:val="16"/>
              </w:rPr>
              <w:t xml:space="preserve"> -6.344.939 </w:t>
            </w:r>
          </w:p>
        </w:tc>
        <w:tc>
          <w:tcPr>
            <w:tcW w:w="1433" w:type="dxa"/>
            <w:tcBorders>
              <w:top w:val="nil"/>
              <w:left w:val="nil"/>
              <w:bottom w:val="single" w:sz="4" w:space="0" w:color="auto"/>
              <w:right w:val="single" w:sz="4" w:space="0" w:color="auto"/>
            </w:tcBorders>
            <w:shd w:val="clear" w:color="auto" w:fill="auto"/>
            <w:noWrap/>
            <w:vAlign w:val="bottom"/>
          </w:tcPr>
          <w:p w14:paraId="5C335947" w14:textId="44403A43" w:rsidR="00B92FFB" w:rsidRPr="00B92FFB" w:rsidRDefault="00B92FFB">
            <w:pPr>
              <w:jc w:val="right"/>
              <w:rPr>
                <w:rFonts w:ascii="Arial" w:hAnsi="Arial" w:cs="Arial"/>
                <w:b/>
                <w:sz w:val="16"/>
                <w:szCs w:val="16"/>
              </w:rPr>
            </w:pPr>
            <w:r w:rsidRPr="00BA7A6B">
              <w:rPr>
                <w:rFonts w:ascii="Arial" w:hAnsi="Arial" w:cs="Arial"/>
                <w:sz w:val="16"/>
                <w:szCs w:val="16"/>
              </w:rPr>
              <w:t>-6.544.450</w:t>
            </w:r>
          </w:p>
        </w:tc>
      </w:tr>
      <w:tr w:rsidR="00B92FFB" w:rsidRPr="005B6501" w14:paraId="35FE3CD4" w14:textId="77777777" w:rsidTr="00BA7A6B">
        <w:trPr>
          <w:trHeight w:val="28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23B7543A"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Pasivo por impuestos a las ganancias corriente</w:t>
            </w:r>
          </w:p>
        </w:tc>
        <w:tc>
          <w:tcPr>
            <w:tcW w:w="1648" w:type="dxa"/>
            <w:tcBorders>
              <w:top w:val="nil"/>
              <w:left w:val="nil"/>
              <w:bottom w:val="single" w:sz="4" w:space="0" w:color="auto"/>
              <w:right w:val="single" w:sz="4" w:space="0" w:color="auto"/>
            </w:tcBorders>
            <w:shd w:val="clear" w:color="auto" w:fill="auto"/>
            <w:noWrap/>
            <w:vAlign w:val="bottom"/>
          </w:tcPr>
          <w:p w14:paraId="4B26F5E2" w14:textId="1F7C1463" w:rsidR="00B92FFB" w:rsidRPr="00B92FFB" w:rsidRDefault="00B92FFB">
            <w:pPr>
              <w:jc w:val="right"/>
              <w:rPr>
                <w:rFonts w:ascii="Arial" w:hAnsi="Arial" w:cs="Arial"/>
                <w:b/>
                <w:sz w:val="16"/>
                <w:szCs w:val="16"/>
              </w:rPr>
            </w:pPr>
            <w:r w:rsidRPr="00BA7A6B">
              <w:rPr>
                <w:rFonts w:ascii="Arial" w:hAnsi="Arial" w:cs="Arial"/>
                <w:sz w:val="16"/>
                <w:szCs w:val="16"/>
              </w:rPr>
              <w:t xml:space="preserve"> -36.570 </w:t>
            </w:r>
          </w:p>
        </w:tc>
        <w:tc>
          <w:tcPr>
            <w:tcW w:w="1372" w:type="dxa"/>
            <w:tcBorders>
              <w:top w:val="nil"/>
              <w:left w:val="nil"/>
              <w:bottom w:val="single" w:sz="4" w:space="0" w:color="auto"/>
              <w:right w:val="single" w:sz="4" w:space="0" w:color="auto"/>
            </w:tcBorders>
            <w:shd w:val="clear" w:color="auto" w:fill="auto"/>
            <w:noWrap/>
            <w:vAlign w:val="bottom"/>
          </w:tcPr>
          <w:p w14:paraId="30B3BD83" w14:textId="4998BA3D" w:rsidR="00B92FFB" w:rsidRPr="00B92FFB" w:rsidRDefault="00B92FFB">
            <w:pPr>
              <w:jc w:val="right"/>
              <w:rPr>
                <w:rFonts w:ascii="Arial" w:hAnsi="Arial" w:cs="Arial"/>
                <w:b/>
                <w:sz w:val="16"/>
                <w:szCs w:val="16"/>
              </w:rPr>
            </w:pPr>
            <w:r w:rsidRPr="00BA7A6B">
              <w:rPr>
                <w:rFonts w:ascii="Arial" w:hAnsi="Arial" w:cs="Arial"/>
                <w:sz w:val="16"/>
                <w:szCs w:val="16"/>
              </w:rPr>
              <w:t xml:space="preserve"> -51.825 </w:t>
            </w:r>
          </w:p>
        </w:tc>
        <w:tc>
          <w:tcPr>
            <w:tcW w:w="1701" w:type="dxa"/>
            <w:tcBorders>
              <w:top w:val="nil"/>
              <w:left w:val="nil"/>
              <w:bottom w:val="single" w:sz="4" w:space="0" w:color="auto"/>
              <w:right w:val="single" w:sz="4" w:space="0" w:color="auto"/>
            </w:tcBorders>
            <w:shd w:val="clear" w:color="auto" w:fill="auto"/>
            <w:noWrap/>
            <w:vAlign w:val="bottom"/>
          </w:tcPr>
          <w:p w14:paraId="7A7A1F55" w14:textId="086705BE" w:rsidR="00B92FFB" w:rsidRPr="00B92FFB" w:rsidRDefault="00B92FFB">
            <w:pPr>
              <w:jc w:val="right"/>
              <w:rPr>
                <w:rFonts w:ascii="Arial" w:hAnsi="Arial" w:cs="Arial"/>
                <w:b/>
                <w:sz w:val="16"/>
                <w:szCs w:val="16"/>
              </w:rPr>
            </w:pPr>
            <w:r w:rsidRPr="00BA7A6B">
              <w:rPr>
                <w:rFonts w:ascii="Arial" w:hAnsi="Arial" w:cs="Arial"/>
                <w:sz w:val="16"/>
                <w:szCs w:val="16"/>
              </w:rPr>
              <w:t xml:space="preserve"> -92.297 </w:t>
            </w:r>
          </w:p>
        </w:tc>
        <w:tc>
          <w:tcPr>
            <w:tcW w:w="1433" w:type="dxa"/>
            <w:tcBorders>
              <w:top w:val="nil"/>
              <w:left w:val="nil"/>
              <w:bottom w:val="single" w:sz="4" w:space="0" w:color="auto"/>
              <w:right w:val="single" w:sz="4" w:space="0" w:color="auto"/>
            </w:tcBorders>
            <w:shd w:val="clear" w:color="auto" w:fill="auto"/>
            <w:noWrap/>
            <w:vAlign w:val="bottom"/>
          </w:tcPr>
          <w:p w14:paraId="3A10EA6D" w14:textId="76F4CE63" w:rsidR="00B92FFB" w:rsidRPr="00B92FFB" w:rsidRDefault="00B92FFB">
            <w:pPr>
              <w:jc w:val="right"/>
              <w:rPr>
                <w:rFonts w:ascii="Arial" w:hAnsi="Arial" w:cs="Arial"/>
                <w:b/>
                <w:sz w:val="16"/>
                <w:szCs w:val="16"/>
              </w:rPr>
            </w:pPr>
            <w:r w:rsidRPr="00BA7A6B">
              <w:rPr>
                <w:rFonts w:ascii="Arial" w:hAnsi="Arial" w:cs="Arial"/>
                <w:sz w:val="16"/>
                <w:szCs w:val="16"/>
              </w:rPr>
              <w:t>-180.692</w:t>
            </w:r>
          </w:p>
        </w:tc>
      </w:tr>
      <w:tr w:rsidR="00B92FFB" w:rsidRPr="005B6501" w14:paraId="6EE88D9F" w14:textId="77777777" w:rsidTr="00BA7A6B">
        <w:trPr>
          <w:trHeight w:val="28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757053B3"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Obligaciones negociables subordinadas</w:t>
            </w:r>
          </w:p>
        </w:tc>
        <w:tc>
          <w:tcPr>
            <w:tcW w:w="1648" w:type="dxa"/>
            <w:tcBorders>
              <w:top w:val="nil"/>
              <w:left w:val="nil"/>
              <w:bottom w:val="single" w:sz="4" w:space="0" w:color="auto"/>
              <w:right w:val="single" w:sz="4" w:space="0" w:color="auto"/>
            </w:tcBorders>
            <w:shd w:val="clear" w:color="auto" w:fill="auto"/>
            <w:noWrap/>
            <w:vAlign w:val="bottom"/>
          </w:tcPr>
          <w:p w14:paraId="7147ED30" w14:textId="6B3CB3FC" w:rsidR="00B92FFB" w:rsidRPr="00B92FFB" w:rsidRDefault="00B92FFB">
            <w:pPr>
              <w:jc w:val="right"/>
              <w:rPr>
                <w:rFonts w:ascii="Arial" w:hAnsi="Arial" w:cs="Arial"/>
                <w:b/>
                <w:sz w:val="16"/>
                <w:szCs w:val="16"/>
              </w:rPr>
            </w:pPr>
            <w:r w:rsidRPr="00BA7A6B">
              <w:rPr>
                <w:rFonts w:ascii="Arial" w:hAnsi="Arial" w:cs="Arial"/>
                <w:sz w:val="16"/>
                <w:szCs w:val="16"/>
              </w:rPr>
              <w:t xml:space="preserve"> -   </w:t>
            </w:r>
          </w:p>
        </w:tc>
        <w:tc>
          <w:tcPr>
            <w:tcW w:w="1372" w:type="dxa"/>
            <w:tcBorders>
              <w:top w:val="nil"/>
              <w:left w:val="nil"/>
              <w:bottom w:val="single" w:sz="4" w:space="0" w:color="auto"/>
              <w:right w:val="single" w:sz="4" w:space="0" w:color="auto"/>
            </w:tcBorders>
            <w:shd w:val="clear" w:color="auto" w:fill="auto"/>
            <w:noWrap/>
            <w:vAlign w:val="bottom"/>
          </w:tcPr>
          <w:p w14:paraId="6F6351AE" w14:textId="13BB2C54" w:rsidR="00B92FFB" w:rsidRPr="00B92FFB" w:rsidRDefault="00B92FFB">
            <w:pPr>
              <w:jc w:val="right"/>
              <w:rPr>
                <w:rFonts w:ascii="Arial" w:hAnsi="Arial" w:cs="Arial"/>
                <w:b/>
                <w:sz w:val="16"/>
                <w:szCs w:val="16"/>
              </w:rPr>
            </w:pPr>
            <w:r w:rsidRPr="00BA7A6B">
              <w:rPr>
                <w:rFonts w:ascii="Arial" w:hAnsi="Arial" w:cs="Arial"/>
                <w:sz w:val="16"/>
                <w:szCs w:val="16"/>
              </w:rPr>
              <w:t xml:space="preserve"> -   </w:t>
            </w:r>
          </w:p>
        </w:tc>
        <w:tc>
          <w:tcPr>
            <w:tcW w:w="1701" w:type="dxa"/>
            <w:tcBorders>
              <w:top w:val="nil"/>
              <w:left w:val="nil"/>
              <w:bottom w:val="single" w:sz="4" w:space="0" w:color="auto"/>
              <w:right w:val="single" w:sz="4" w:space="0" w:color="auto"/>
            </w:tcBorders>
            <w:shd w:val="clear" w:color="auto" w:fill="auto"/>
            <w:noWrap/>
            <w:vAlign w:val="bottom"/>
          </w:tcPr>
          <w:p w14:paraId="50417B2B" w14:textId="353F97BB" w:rsidR="00B92FFB" w:rsidRPr="00B92FFB" w:rsidRDefault="00B92FFB">
            <w:pPr>
              <w:jc w:val="right"/>
              <w:rPr>
                <w:rFonts w:ascii="Arial" w:hAnsi="Arial" w:cs="Arial"/>
                <w:b/>
                <w:sz w:val="16"/>
                <w:szCs w:val="16"/>
              </w:rPr>
            </w:pPr>
            <w:r w:rsidRPr="00BA7A6B">
              <w:rPr>
                <w:rFonts w:ascii="Arial" w:hAnsi="Arial" w:cs="Arial"/>
                <w:sz w:val="16"/>
                <w:szCs w:val="16"/>
              </w:rPr>
              <w:t xml:space="preserve"> -2.285.239 </w:t>
            </w:r>
          </w:p>
        </w:tc>
        <w:tc>
          <w:tcPr>
            <w:tcW w:w="1433" w:type="dxa"/>
            <w:tcBorders>
              <w:top w:val="nil"/>
              <w:left w:val="nil"/>
              <w:bottom w:val="single" w:sz="4" w:space="0" w:color="auto"/>
              <w:right w:val="single" w:sz="4" w:space="0" w:color="auto"/>
            </w:tcBorders>
            <w:shd w:val="clear" w:color="auto" w:fill="auto"/>
            <w:noWrap/>
            <w:vAlign w:val="bottom"/>
          </w:tcPr>
          <w:p w14:paraId="7B1EFD4E" w14:textId="744F720E" w:rsidR="00B92FFB" w:rsidRPr="00B92FFB" w:rsidRDefault="00B92FFB">
            <w:pPr>
              <w:jc w:val="right"/>
              <w:rPr>
                <w:rFonts w:ascii="Arial" w:hAnsi="Arial" w:cs="Arial"/>
                <w:b/>
                <w:sz w:val="16"/>
                <w:szCs w:val="16"/>
              </w:rPr>
            </w:pPr>
            <w:r w:rsidRPr="00BA7A6B">
              <w:rPr>
                <w:rFonts w:ascii="Arial" w:hAnsi="Arial" w:cs="Arial"/>
                <w:sz w:val="16"/>
                <w:szCs w:val="16"/>
              </w:rPr>
              <w:t>-2.285.239</w:t>
            </w:r>
          </w:p>
        </w:tc>
      </w:tr>
      <w:tr w:rsidR="00B92FFB" w:rsidRPr="005B6501" w14:paraId="4EB9A588" w14:textId="77777777" w:rsidTr="00BA7A6B">
        <w:trPr>
          <w:trHeight w:val="26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6A8E095D"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Provisiones</w:t>
            </w:r>
          </w:p>
        </w:tc>
        <w:tc>
          <w:tcPr>
            <w:tcW w:w="1648" w:type="dxa"/>
            <w:tcBorders>
              <w:top w:val="nil"/>
              <w:left w:val="nil"/>
              <w:bottom w:val="single" w:sz="4" w:space="0" w:color="auto"/>
              <w:right w:val="single" w:sz="4" w:space="0" w:color="auto"/>
            </w:tcBorders>
            <w:shd w:val="clear" w:color="auto" w:fill="auto"/>
            <w:noWrap/>
            <w:vAlign w:val="bottom"/>
          </w:tcPr>
          <w:p w14:paraId="660A37AF" w14:textId="4D543814" w:rsidR="00B92FFB" w:rsidRPr="00B92FFB" w:rsidRDefault="00B92FFB">
            <w:pPr>
              <w:jc w:val="right"/>
              <w:rPr>
                <w:rFonts w:ascii="Arial" w:hAnsi="Arial" w:cs="Arial"/>
                <w:b/>
                <w:sz w:val="16"/>
                <w:szCs w:val="16"/>
              </w:rPr>
            </w:pPr>
            <w:r w:rsidRPr="00BA7A6B">
              <w:rPr>
                <w:rFonts w:ascii="Arial" w:hAnsi="Arial" w:cs="Arial"/>
                <w:sz w:val="16"/>
                <w:szCs w:val="16"/>
              </w:rPr>
              <w:t xml:space="preserve"> -121.043 </w:t>
            </w:r>
          </w:p>
        </w:tc>
        <w:tc>
          <w:tcPr>
            <w:tcW w:w="1372" w:type="dxa"/>
            <w:tcBorders>
              <w:top w:val="nil"/>
              <w:left w:val="nil"/>
              <w:bottom w:val="single" w:sz="4" w:space="0" w:color="auto"/>
              <w:right w:val="single" w:sz="4" w:space="0" w:color="auto"/>
            </w:tcBorders>
            <w:shd w:val="clear" w:color="auto" w:fill="auto"/>
            <w:noWrap/>
            <w:vAlign w:val="bottom"/>
          </w:tcPr>
          <w:p w14:paraId="31071AED" w14:textId="745E830D" w:rsidR="00B92FFB" w:rsidRPr="00B92FFB" w:rsidRDefault="00B92FFB">
            <w:pPr>
              <w:jc w:val="right"/>
              <w:rPr>
                <w:rFonts w:ascii="Arial" w:hAnsi="Arial" w:cs="Arial"/>
                <w:b/>
                <w:sz w:val="16"/>
                <w:szCs w:val="16"/>
              </w:rPr>
            </w:pPr>
            <w:r w:rsidRPr="00BA7A6B">
              <w:rPr>
                <w:rFonts w:ascii="Arial" w:hAnsi="Arial" w:cs="Arial"/>
                <w:sz w:val="16"/>
                <w:szCs w:val="16"/>
              </w:rPr>
              <w:t xml:space="preserve"> -171.261 </w:t>
            </w:r>
          </w:p>
        </w:tc>
        <w:tc>
          <w:tcPr>
            <w:tcW w:w="1701" w:type="dxa"/>
            <w:tcBorders>
              <w:top w:val="nil"/>
              <w:left w:val="nil"/>
              <w:bottom w:val="single" w:sz="4" w:space="0" w:color="auto"/>
              <w:right w:val="single" w:sz="4" w:space="0" w:color="auto"/>
            </w:tcBorders>
            <w:shd w:val="clear" w:color="auto" w:fill="auto"/>
            <w:noWrap/>
            <w:vAlign w:val="bottom"/>
          </w:tcPr>
          <w:p w14:paraId="78A0D494" w14:textId="0600C2AE" w:rsidR="00B92FFB" w:rsidRPr="00B92FFB" w:rsidRDefault="00B92FFB">
            <w:pPr>
              <w:jc w:val="right"/>
              <w:rPr>
                <w:rFonts w:ascii="Arial" w:hAnsi="Arial" w:cs="Arial"/>
                <w:b/>
                <w:sz w:val="16"/>
                <w:szCs w:val="16"/>
              </w:rPr>
            </w:pPr>
            <w:r w:rsidRPr="00BA7A6B">
              <w:rPr>
                <w:rFonts w:ascii="Arial" w:hAnsi="Arial" w:cs="Arial"/>
                <w:sz w:val="16"/>
                <w:szCs w:val="16"/>
              </w:rPr>
              <w:t xml:space="preserve"> -304.798 </w:t>
            </w:r>
          </w:p>
        </w:tc>
        <w:tc>
          <w:tcPr>
            <w:tcW w:w="1433" w:type="dxa"/>
            <w:tcBorders>
              <w:top w:val="nil"/>
              <w:left w:val="nil"/>
              <w:bottom w:val="single" w:sz="4" w:space="0" w:color="auto"/>
              <w:right w:val="single" w:sz="4" w:space="0" w:color="auto"/>
            </w:tcBorders>
            <w:shd w:val="clear" w:color="auto" w:fill="auto"/>
            <w:noWrap/>
            <w:vAlign w:val="bottom"/>
          </w:tcPr>
          <w:p w14:paraId="4D0833D7" w14:textId="3EEC00AB" w:rsidR="00B92FFB" w:rsidRPr="00B92FFB" w:rsidRDefault="00B92FFB">
            <w:pPr>
              <w:jc w:val="right"/>
              <w:rPr>
                <w:rFonts w:ascii="Arial" w:hAnsi="Arial" w:cs="Arial"/>
                <w:b/>
                <w:sz w:val="16"/>
                <w:szCs w:val="16"/>
              </w:rPr>
            </w:pPr>
            <w:r w:rsidRPr="00BA7A6B">
              <w:rPr>
                <w:rFonts w:ascii="Arial" w:hAnsi="Arial" w:cs="Arial"/>
                <w:sz w:val="16"/>
                <w:szCs w:val="16"/>
              </w:rPr>
              <w:t>-597.102</w:t>
            </w:r>
          </w:p>
        </w:tc>
      </w:tr>
      <w:tr w:rsidR="00B92FFB" w:rsidRPr="005B6501" w14:paraId="3B9291B3" w14:textId="77777777" w:rsidTr="00BA7A6B">
        <w:trPr>
          <w:trHeight w:val="273"/>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431037DC"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Otros pasivos no financieros</w:t>
            </w:r>
          </w:p>
        </w:tc>
        <w:tc>
          <w:tcPr>
            <w:tcW w:w="1648" w:type="dxa"/>
            <w:tcBorders>
              <w:top w:val="nil"/>
              <w:left w:val="nil"/>
              <w:bottom w:val="single" w:sz="4" w:space="0" w:color="auto"/>
              <w:right w:val="single" w:sz="4" w:space="0" w:color="auto"/>
            </w:tcBorders>
            <w:shd w:val="clear" w:color="auto" w:fill="auto"/>
            <w:noWrap/>
            <w:vAlign w:val="bottom"/>
          </w:tcPr>
          <w:p w14:paraId="603BCA83" w14:textId="50F20999" w:rsidR="00B92FFB" w:rsidRPr="00B92FFB" w:rsidRDefault="00B92FFB">
            <w:pPr>
              <w:jc w:val="right"/>
              <w:rPr>
                <w:rFonts w:ascii="Arial" w:hAnsi="Arial" w:cs="Arial"/>
                <w:b/>
                <w:sz w:val="16"/>
                <w:szCs w:val="16"/>
              </w:rPr>
            </w:pPr>
            <w:r w:rsidRPr="00BA7A6B">
              <w:rPr>
                <w:rFonts w:ascii="Arial" w:hAnsi="Arial" w:cs="Arial"/>
                <w:sz w:val="16"/>
                <w:szCs w:val="16"/>
              </w:rPr>
              <w:t xml:space="preserve"> -4.427 </w:t>
            </w:r>
          </w:p>
        </w:tc>
        <w:tc>
          <w:tcPr>
            <w:tcW w:w="1372" w:type="dxa"/>
            <w:tcBorders>
              <w:top w:val="nil"/>
              <w:left w:val="nil"/>
              <w:bottom w:val="single" w:sz="4" w:space="0" w:color="auto"/>
              <w:right w:val="single" w:sz="4" w:space="0" w:color="auto"/>
            </w:tcBorders>
            <w:shd w:val="clear" w:color="auto" w:fill="auto"/>
            <w:noWrap/>
            <w:vAlign w:val="bottom"/>
          </w:tcPr>
          <w:p w14:paraId="70D4EA64" w14:textId="714E17B4" w:rsidR="00B92FFB" w:rsidRPr="00B92FFB" w:rsidRDefault="00B92FFB">
            <w:pPr>
              <w:jc w:val="right"/>
              <w:rPr>
                <w:rFonts w:ascii="Arial" w:hAnsi="Arial" w:cs="Arial"/>
                <w:b/>
                <w:sz w:val="16"/>
                <w:szCs w:val="16"/>
              </w:rPr>
            </w:pPr>
            <w:r w:rsidRPr="00BA7A6B">
              <w:rPr>
                <w:rFonts w:ascii="Arial" w:hAnsi="Arial" w:cs="Arial"/>
                <w:sz w:val="16"/>
                <w:szCs w:val="16"/>
              </w:rPr>
              <w:t xml:space="preserve"> -1.147.417 </w:t>
            </w:r>
          </w:p>
        </w:tc>
        <w:tc>
          <w:tcPr>
            <w:tcW w:w="1701" w:type="dxa"/>
            <w:tcBorders>
              <w:top w:val="nil"/>
              <w:left w:val="nil"/>
              <w:bottom w:val="single" w:sz="4" w:space="0" w:color="auto"/>
              <w:right w:val="single" w:sz="4" w:space="0" w:color="auto"/>
            </w:tcBorders>
            <w:shd w:val="clear" w:color="auto" w:fill="auto"/>
            <w:noWrap/>
            <w:vAlign w:val="bottom"/>
          </w:tcPr>
          <w:p w14:paraId="3330E043" w14:textId="2E8835EE" w:rsidR="00B92FFB" w:rsidRPr="00B92FFB" w:rsidRDefault="00B92FFB">
            <w:pPr>
              <w:jc w:val="right"/>
              <w:rPr>
                <w:rFonts w:ascii="Arial" w:hAnsi="Arial" w:cs="Arial"/>
                <w:b/>
                <w:sz w:val="16"/>
                <w:szCs w:val="16"/>
              </w:rPr>
            </w:pPr>
            <w:r w:rsidRPr="00BA7A6B">
              <w:rPr>
                <w:rFonts w:ascii="Arial" w:hAnsi="Arial" w:cs="Arial"/>
                <w:sz w:val="16"/>
                <w:szCs w:val="16"/>
              </w:rPr>
              <w:t xml:space="preserve"> -5.719.285 </w:t>
            </w:r>
          </w:p>
        </w:tc>
        <w:tc>
          <w:tcPr>
            <w:tcW w:w="1433" w:type="dxa"/>
            <w:tcBorders>
              <w:top w:val="nil"/>
              <w:left w:val="nil"/>
              <w:bottom w:val="single" w:sz="4" w:space="0" w:color="auto"/>
              <w:right w:val="single" w:sz="4" w:space="0" w:color="auto"/>
            </w:tcBorders>
            <w:shd w:val="clear" w:color="auto" w:fill="auto"/>
            <w:noWrap/>
            <w:vAlign w:val="bottom"/>
          </w:tcPr>
          <w:p w14:paraId="75182D66" w14:textId="4F2FB180" w:rsidR="00B92FFB" w:rsidRPr="00B92FFB" w:rsidRDefault="00B92FFB">
            <w:pPr>
              <w:jc w:val="right"/>
              <w:rPr>
                <w:rFonts w:ascii="Arial" w:hAnsi="Arial" w:cs="Arial"/>
                <w:b/>
                <w:sz w:val="16"/>
                <w:szCs w:val="16"/>
              </w:rPr>
            </w:pPr>
            <w:r w:rsidRPr="00BA7A6B">
              <w:rPr>
                <w:rFonts w:ascii="Arial" w:hAnsi="Arial" w:cs="Arial"/>
                <w:sz w:val="16"/>
                <w:szCs w:val="16"/>
              </w:rPr>
              <w:t>-6.871.129</w:t>
            </w:r>
          </w:p>
        </w:tc>
      </w:tr>
      <w:tr w:rsidR="00B92FFB" w:rsidRPr="005B6501" w14:paraId="6D7C21ED" w14:textId="77777777" w:rsidTr="00BA7A6B">
        <w:trPr>
          <w:trHeight w:val="262"/>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00EC4C62" w14:textId="77777777" w:rsidR="00B92FFB" w:rsidRPr="005B6501" w:rsidRDefault="00B92FFB" w:rsidP="00B92FFB">
            <w:pPr>
              <w:rPr>
                <w:rFonts w:ascii="Arial" w:hAnsi="Arial" w:cs="Arial"/>
                <w:b/>
                <w:bCs/>
                <w:sz w:val="16"/>
                <w:szCs w:val="18"/>
                <w:lang w:eastAsia="es-AR"/>
              </w:rPr>
            </w:pPr>
            <w:r w:rsidRPr="005B6501">
              <w:rPr>
                <w:rFonts w:ascii="Arial" w:hAnsi="Arial" w:cs="Arial"/>
                <w:b/>
                <w:sz w:val="16"/>
                <w:szCs w:val="18"/>
              </w:rPr>
              <w:t>TOTAL PASIVO</w:t>
            </w:r>
          </w:p>
        </w:tc>
        <w:tc>
          <w:tcPr>
            <w:tcW w:w="1648" w:type="dxa"/>
            <w:tcBorders>
              <w:top w:val="nil"/>
              <w:left w:val="nil"/>
              <w:bottom w:val="single" w:sz="4" w:space="0" w:color="auto"/>
              <w:right w:val="single" w:sz="4" w:space="0" w:color="auto"/>
            </w:tcBorders>
            <w:shd w:val="clear" w:color="auto" w:fill="auto"/>
            <w:noWrap/>
            <w:vAlign w:val="bottom"/>
            <w:hideMark/>
          </w:tcPr>
          <w:p w14:paraId="043B029A" w14:textId="2B83F451" w:rsidR="00B92FFB" w:rsidRPr="00B92FFB" w:rsidRDefault="00B92FFB">
            <w:pPr>
              <w:jc w:val="right"/>
              <w:rPr>
                <w:rFonts w:ascii="Arial" w:hAnsi="Arial" w:cs="Arial"/>
                <w:b/>
                <w:sz w:val="16"/>
                <w:szCs w:val="16"/>
              </w:rPr>
            </w:pPr>
            <w:r w:rsidRPr="00BA7A6B">
              <w:rPr>
                <w:rFonts w:ascii="Arial" w:hAnsi="Arial" w:cs="Arial"/>
                <w:b/>
                <w:sz w:val="16"/>
                <w:szCs w:val="16"/>
              </w:rPr>
              <w:t xml:space="preserve"> -13.035.060 </w:t>
            </w:r>
          </w:p>
        </w:tc>
        <w:tc>
          <w:tcPr>
            <w:tcW w:w="1372" w:type="dxa"/>
            <w:tcBorders>
              <w:top w:val="nil"/>
              <w:left w:val="nil"/>
              <w:bottom w:val="single" w:sz="4" w:space="0" w:color="auto"/>
              <w:right w:val="single" w:sz="4" w:space="0" w:color="auto"/>
            </w:tcBorders>
            <w:shd w:val="clear" w:color="auto" w:fill="auto"/>
            <w:noWrap/>
            <w:vAlign w:val="bottom"/>
            <w:hideMark/>
          </w:tcPr>
          <w:p w14:paraId="66DF8DDC" w14:textId="494C8CD3" w:rsidR="00B92FFB" w:rsidRPr="00B92FFB" w:rsidRDefault="00B92FFB">
            <w:pPr>
              <w:jc w:val="right"/>
              <w:rPr>
                <w:rFonts w:ascii="Arial" w:hAnsi="Arial" w:cs="Arial"/>
                <w:b/>
                <w:sz w:val="16"/>
                <w:szCs w:val="16"/>
              </w:rPr>
            </w:pPr>
            <w:r w:rsidRPr="00BA7A6B">
              <w:rPr>
                <w:rFonts w:ascii="Arial" w:hAnsi="Arial" w:cs="Arial"/>
                <w:b/>
                <w:sz w:val="16"/>
                <w:szCs w:val="16"/>
              </w:rPr>
              <w:t xml:space="preserve"> -73.516.830 </w:t>
            </w:r>
          </w:p>
        </w:tc>
        <w:tc>
          <w:tcPr>
            <w:tcW w:w="1701" w:type="dxa"/>
            <w:tcBorders>
              <w:top w:val="nil"/>
              <w:left w:val="nil"/>
              <w:bottom w:val="single" w:sz="4" w:space="0" w:color="auto"/>
              <w:right w:val="single" w:sz="4" w:space="0" w:color="auto"/>
            </w:tcBorders>
            <w:shd w:val="clear" w:color="auto" w:fill="auto"/>
            <w:noWrap/>
            <w:vAlign w:val="bottom"/>
            <w:hideMark/>
          </w:tcPr>
          <w:p w14:paraId="295213F0" w14:textId="1978FB3B" w:rsidR="00B92FFB" w:rsidRPr="00B92FFB" w:rsidRDefault="00B92FFB">
            <w:pPr>
              <w:jc w:val="right"/>
              <w:rPr>
                <w:rFonts w:ascii="Arial" w:hAnsi="Arial" w:cs="Arial"/>
                <w:b/>
                <w:sz w:val="16"/>
                <w:szCs w:val="16"/>
              </w:rPr>
            </w:pPr>
            <w:r w:rsidRPr="00BA7A6B">
              <w:rPr>
                <w:rFonts w:ascii="Arial" w:hAnsi="Arial" w:cs="Arial"/>
                <w:b/>
                <w:sz w:val="16"/>
                <w:szCs w:val="16"/>
              </w:rPr>
              <w:t xml:space="preserve"> -43.339.824 </w:t>
            </w:r>
          </w:p>
        </w:tc>
        <w:tc>
          <w:tcPr>
            <w:tcW w:w="1433" w:type="dxa"/>
            <w:tcBorders>
              <w:top w:val="nil"/>
              <w:left w:val="nil"/>
              <w:bottom w:val="single" w:sz="4" w:space="0" w:color="auto"/>
              <w:right w:val="single" w:sz="4" w:space="0" w:color="auto"/>
            </w:tcBorders>
            <w:shd w:val="clear" w:color="auto" w:fill="auto"/>
            <w:noWrap/>
            <w:vAlign w:val="bottom"/>
            <w:hideMark/>
          </w:tcPr>
          <w:p w14:paraId="4CD39EB3" w14:textId="3B1B6DB2" w:rsidR="00B92FFB" w:rsidRPr="00B92FFB" w:rsidRDefault="00B92FFB">
            <w:pPr>
              <w:jc w:val="right"/>
              <w:rPr>
                <w:rFonts w:ascii="Arial" w:hAnsi="Arial" w:cs="Arial"/>
                <w:b/>
                <w:sz w:val="16"/>
                <w:szCs w:val="16"/>
              </w:rPr>
            </w:pPr>
            <w:r w:rsidRPr="00BA7A6B">
              <w:rPr>
                <w:rFonts w:ascii="Arial" w:hAnsi="Arial" w:cs="Arial"/>
                <w:b/>
                <w:sz w:val="16"/>
                <w:szCs w:val="16"/>
              </w:rPr>
              <w:t>-129.891.714</w:t>
            </w:r>
          </w:p>
        </w:tc>
      </w:tr>
    </w:tbl>
    <w:p w14:paraId="21C82D5C" w14:textId="77777777" w:rsidR="00165462" w:rsidRDefault="00165462" w:rsidP="0086282C">
      <w:pPr>
        <w:spacing w:after="160" w:line="259" w:lineRule="auto"/>
        <w:jc w:val="both"/>
        <w:rPr>
          <w:rFonts w:ascii="Arial" w:eastAsia="Calibri" w:hAnsi="Arial" w:cs="Arial"/>
          <w:bCs/>
          <w:sz w:val="20"/>
        </w:rPr>
      </w:pPr>
    </w:p>
    <w:p w14:paraId="2D9524B1" w14:textId="45D45023" w:rsidR="00656E62" w:rsidRPr="00701F32" w:rsidRDefault="000924A1" w:rsidP="00656E62">
      <w:pPr>
        <w:spacing w:after="160" w:line="259" w:lineRule="auto"/>
        <w:jc w:val="both"/>
        <w:rPr>
          <w:rFonts w:ascii="Arial" w:eastAsia="Calibri" w:hAnsi="Arial" w:cs="Arial"/>
          <w:b/>
          <w:color w:val="943634"/>
          <w:sz w:val="20"/>
        </w:rPr>
      </w:pPr>
      <w:r w:rsidRPr="00BF746E">
        <w:rPr>
          <w:rFonts w:ascii="Arial" w:eastAsia="Calibri" w:hAnsi="Arial" w:cs="Arial"/>
          <w:b/>
          <w:bCs/>
          <w:sz w:val="20"/>
        </w:rPr>
        <w:t>4</w:t>
      </w:r>
      <w:r w:rsidR="00B225FD" w:rsidRPr="00BF746E">
        <w:rPr>
          <w:rFonts w:ascii="Arial" w:eastAsia="Calibri" w:hAnsi="Arial" w:cs="Arial"/>
          <w:b/>
          <w:bCs/>
          <w:sz w:val="20"/>
        </w:rPr>
        <w:t>. VALORES RAZONABLES</w:t>
      </w:r>
    </w:p>
    <w:p w14:paraId="1716CE68" w14:textId="77777777" w:rsidR="00656E62" w:rsidRPr="00701F32" w:rsidRDefault="00656E62" w:rsidP="00656E62">
      <w:pPr>
        <w:spacing w:after="160" w:line="259" w:lineRule="auto"/>
        <w:jc w:val="both"/>
        <w:rPr>
          <w:rFonts w:ascii="Arial" w:eastAsia="Calibri" w:hAnsi="Arial" w:cs="Arial"/>
          <w:bCs/>
          <w:sz w:val="20"/>
        </w:rPr>
      </w:pPr>
      <w:r w:rsidRPr="00701F32">
        <w:rPr>
          <w:rFonts w:ascii="Arial" w:eastAsia="Calibri" w:hAnsi="Arial" w:cs="Arial"/>
          <w:bCs/>
          <w:sz w:val="20"/>
        </w:rPr>
        <w:t xml:space="preserve">La Entidad clasifica los valores razonables de los instrumentos financieros en tres niveles, de acuerdo a la calidad de los datos utilizados para su determinación. </w:t>
      </w:r>
    </w:p>
    <w:p w14:paraId="60F9312A" w14:textId="24B53449" w:rsidR="00656E62" w:rsidRPr="00701F32" w:rsidRDefault="00656E62" w:rsidP="00656E62">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Valor Razonable Nivel 1: El</w:t>
      </w:r>
      <w:r w:rsidRPr="00701F32">
        <w:rPr>
          <w:rFonts w:ascii="Arial" w:eastAsia="Calibri" w:hAnsi="Arial" w:cs="Arial"/>
          <w:color w:val="000000"/>
          <w:sz w:val="20"/>
        </w:rPr>
        <w:t xml:space="preserve"> valor razonable de los instrumentos financieros negociados en mercados activos (como derivados negociados públicamente, inversiones negociables o disponibles para la venta) se basa en los precios de cotización de los mercados (sin ajustar) a la fecha del </w:t>
      </w:r>
      <w:r w:rsidR="002D5805">
        <w:rPr>
          <w:rFonts w:ascii="Arial" w:eastAsia="Calibri" w:hAnsi="Arial" w:cs="Arial"/>
          <w:color w:val="000000"/>
          <w:sz w:val="20"/>
        </w:rPr>
        <w:t>ejercicio</w:t>
      </w:r>
      <w:r w:rsidR="00103C2D">
        <w:rPr>
          <w:rFonts w:ascii="Arial" w:eastAsia="Calibri" w:hAnsi="Arial" w:cs="Arial"/>
          <w:color w:val="000000"/>
          <w:sz w:val="20"/>
        </w:rPr>
        <w:t xml:space="preserve"> </w:t>
      </w:r>
      <w:r w:rsidRPr="00701F32">
        <w:rPr>
          <w:rFonts w:ascii="Arial" w:eastAsia="Calibri" w:hAnsi="Arial" w:cs="Arial"/>
          <w:color w:val="000000"/>
          <w:sz w:val="20"/>
        </w:rPr>
        <w:t xml:space="preserve">de reporte. El precio de mercado utilizado en los activos financieros mantenidos por la Entidad es el precio de compra actual. Estos instrumentos se incluyen en el nivel 1. </w:t>
      </w:r>
    </w:p>
    <w:p w14:paraId="52DFF9BD" w14:textId="77777777" w:rsidR="00656E62" w:rsidRPr="00701F32" w:rsidRDefault="00656E62" w:rsidP="00656E62">
      <w:pPr>
        <w:autoSpaceDE w:val="0"/>
        <w:autoSpaceDN w:val="0"/>
        <w:adjustRightInd w:val="0"/>
        <w:jc w:val="both"/>
        <w:rPr>
          <w:rFonts w:ascii="Arial" w:eastAsia="Calibri" w:hAnsi="Arial" w:cs="Arial"/>
          <w:bCs/>
          <w:color w:val="000000"/>
          <w:sz w:val="20"/>
        </w:rPr>
      </w:pPr>
    </w:p>
    <w:p w14:paraId="757CAD8F" w14:textId="77777777" w:rsidR="00656E62" w:rsidRPr="00F30A15" w:rsidRDefault="00656E62" w:rsidP="00656E62">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lastRenderedPageBreak/>
        <w:t xml:space="preserve">Valor Razonable Nivel 2: </w:t>
      </w:r>
      <w:r w:rsidRPr="00701F32">
        <w:rPr>
          <w:rFonts w:ascii="Arial" w:eastAsia="Calibri" w:hAnsi="Arial" w:cs="Arial"/>
          <w:color w:val="000000"/>
          <w:sz w:val="20"/>
        </w:rPr>
        <w:t xml:space="preserve">El valor razonable de instrumentos financieros que no se negocian en mercados activos, por ejemplo, los derivados disponibles fuera de bolsa (over-the-counter), se determina utilizando técnicas de valuación que maximizan el uso de información observable y deposita la menor confianza posible en estimados específicos de la gerencia. Si todas las variables relevantes para establecer el valor razonable de un instrumento financiero son </w:t>
      </w:r>
      <w:r w:rsidRPr="00F30A15">
        <w:rPr>
          <w:rFonts w:ascii="Arial" w:eastAsia="Calibri" w:hAnsi="Arial" w:cs="Arial"/>
          <w:color w:val="000000"/>
          <w:sz w:val="20"/>
        </w:rPr>
        <w:t xml:space="preserve">observables, el instrumento se incluye en el nivel 2. </w:t>
      </w:r>
    </w:p>
    <w:p w14:paraId="4B1B485A" w14:textId="77777777" w:rsidR="00656E62" w:rsidRPr="00F30A15" w:rsidRDefault="00656E62" w:rsidP="00656E62">
      <w:pPr>
        <w:autoSpaceDE w:val="0"/>
        <w:autoSpaceDN w:val="0"/>
        <w:adjustRightInd w:val="0"/>
        <w:jc w:val="both"/>
        <w:rPr>
          <w:rFonts w:ascii="Arial" w:eastAsia="Calibri" w:hAnsi="Arial" w:cs="Arial"/>
          <w:bCs/>
          <w:color w:val="000000"/>
          <w:sz w:val="20"/>
        </w:rPr>
      </w:pPr>
    </w:p>
    <w:p w14:paraId="70B372D8" w14:textId="77777777" w:rsidR="00656E62" w:rsidRPr="00F30A15" w:rsidRDefault="00656E62" w:rsidP="00656E62">
      <w:pPr>
        <w:autoSpaceDE w:val="0"/>
        <w:autoSpaceDN w:val="0"/>
        <w:adjustRightInd w:val="0"/>
        <w:jc w:val="both"/>
        <w:rPr>
          <w:rFonts w:ascii="Arial" w:eastAsia="Calibri" w:hAnsi="Arial" w:cs="Arial"/>
          <w:color w:val="000000"/>
          <w:sz w:val="20"/>
        </w:rPr>
      </w:pPr>
      <w:r w:rsidRPr="00F30A15">
        <w:rPr>
          <w:rFonts w:ascii="Arial" w:eastAsia="Calibri" w:hAnsi="Arial" w:cs="Arial"/>
          <w:bCs/>
          <w:color w:val="000000"/>
          <w:sz w:val="20"/>
        </w:rPr>
        <w:t xml:space="preserve">Valor Razonable Nivel 3: </w:t>
      </w:r>
      <w:r w:rsidRPr="00F30A15">
        <w:rPr>
          <w:rFonts w:ascii="Arial" w:eastAsia="Calibri" w:hAnsi="Arial" w:cs="Arial"/>
          <w:color w:val="000000"/>
          <w:sz w:val="20"/>
        </w:rPr>
        <w:t xml:space="preserve">Si una o más variables relevantes no se basan en información observable de mercado, el instrumento se incluye en el nivel 3. </w:t>
      </w:r>
    </w:p>
    <w:p w14:paraId="2F49B39E" w14:textId="77777777" w:rsidR="00656E62" w:rsidRPr="00F30A15" w:rsidRDefault="00656E62" w:rsidP="00656E62">
      <w:pPr>
        <w:autoSpaceDE w:val="0"/>
        <w:autoSpaceDN w:val="0"/>
        <w:adjustRightInd w:val="0"/>
        <w:jc w:val="both"/>
        <w:rPr>
          <w:rFonts w:ascii="Arial" w:eastAsia="Calibri" w:hAnsi="Arial" w:cs="Arial"/>
          <w:color w:val="000000"/>
          <w:sz w:val="20"/>
        </w:rPr>
      </w:pPr>
    </w:p>
    <w:p w14:paraId="11A9B5F8" w14:textId="75CE6C44" w:rsidR="00387AD8" w:rsidRPr="005B6501" w:rsidRDefault="00656E62" w:rsidP="00656E62">
      <w:pPr>
        <w:spacing w:after="160" w:line="259" w:lineRule="auto"/>
        <w:jc w:val="both"/>
        <w:rPr>
          <w:rFonts w:ascii="Arial" w:eastAsia="Calibri" w:hAnsi="Arial" w:cs="Arial"/>
          <w:bCs/>
          <w:sz w:val="20"/>
        </w:rPr>
      </w:pPr>
      <w:r w:rsidRPr="00F30A15">
        <w:rPr>
          <w:rFonts w:ascii="Arial" w:eastAsia="Calibri" w:hAnsi="Arial" w:cs="Arial"/>
          <w:bCs/>
          <w:sz w:val="20"/>
        </w:rPr>
        <w:t xml:space="preserve">A continuación se detallan los instrumentos financieros registrados a valor razonable al </w:t>
      </w:r>
      <w:r w:rsidR="00886AE1" w:rsidRPr="00F30A15">
        <w:rPr>
          <w:rFonts w:ascii="Arial" w:eastAsia="Calibri" w:hAnsi="Arial" w:cs="Arial"/>
          <w:bCs/>
          <w:sz w:val="20"/>
        </w:rPr>
        <w:t>3</w:t>
      </w:r>
      <w:r w:rsidR="00387AD8">
        <w:rPr>
          <w:rFonts w:ascii="Arial" w:eastAsia="Calibri" w:hAnsi="Arial" w:cs="Arial"/>
          <w:bCs/>
          <w:sz w:val="20"/>
        </w:rPr>
        <w:t>1</w:t>
      </w:r>
      <w:r w:rsidR="001B4A0E" w:rsidRPr="00F30A15">
        <w:rPr>
          <w:rFonts w:ascii="Arial" w:eastAsia="Calibri" w:hAnsi="Arial" w:cs="Arial"/>
          <w:bCs/>
          <w:sz w:val="20"/>
        </w:rPr>
        <w:t xml:space="preserve"> de </w:t>
      </w:r>
      <w:r w:rsidR="00387AD8" w:rsidRPr="005B6501">
        <w:rPr>
          <w:rFonts w:ascii="Arial" w:eastAsia="Calibri" w:hAnsi="Arial" w:cs="Arial"/>
          <w:bCs/>
          <w:sz w:val="20"/>
        </w:rPr>
        <w:t>marzo</w:t>
      </w:r>
      <w:r w:rsidR="001B4A0E" w:rsidRPr="005B6501">
        <w:rPr>
          <w:rFonts w:ascii="Arial" w:eastAsia="Calibri" w:hAnsi="Arial" w:cs="Arial"/>
          <w:bCs/>
          <w:sz w:val="20"/>
        </w:rPr>
        <w:t xml:space="preserve"> de 20</w:t>
      </w:r>
      <w:r w:rsidR="00387AD8" w:rsidRPr="005B6501">
        <w:rPr>
          <w:rFonts w:ascii="Arial" w:eastAsia="Calibri" w:hAnsi="Arial" w:cs="Arial"/>
          <w:bCs/>
          <w:sz w:val="20"/>
        </w:rPr>
        <w:t>20</w:t>
      </w:r>
      <w:r w:rsidR="00CC6991" w:rsidRPr="005B6501">
        <w:rPr>
          <w:rFonts w:ascii="Arial" w:eastAsia="Calibri" w:hAnsi="Arial" w:cs="Arial"/>
          <w:bCs/>
          <w:sz w:val="20"/>
        </w:rPr>
        <w:t xml:space="preserve"> y </w:t>
      </w:r>
      <w:r w:rsidR="00DB7AF1" w:rsidRPr="005B6501">
        <w:rPr>
          <w:rFonts w:ascii="Arial" w:eastAsia="Calibri" w:hAnsi="Arial" w:cs="Arial"/>
          <w:bCs/>
          <w:sz w:val="20"/>
        </w:rPr>
        <w:t xml:space="preserve">31 de diciembre de </w:t>
      </w:r>
      <w:r w:rsidR="00CC6991" w:rsidRPr="005B6501">
        <w:rPr>
          <w:rFonts w:ascii="Arial" w:eastAsia="Calibri" w:hAnsi="Arial" w:cs="Arial"/>
          <w:bCs/>
          <w:sz w:val="20"/>
        </w:rPr>
        <w:t>201</w:t>
      </w:r>
      <w:r w:rsidR="00387AD8" w:rsidRPr="005B6501">
        <w:rPr>
          <w:rFonts w:ascii="Arial" w:eastAsia="Calibri" w:hAnsi="Arial" w:cs="Arial"/>
          <w:bCs/>
          <w:sz w:val="20"/>
        </w:rPr>
        <w:t>9</w:t>
      </w:r>
      <w:r w:rsidRPr="005B6501">
        <w:rPr>
          <w:rFonts w:ascii="Arial" w:eastAsia="Calibri" w:hAnsi="Arial" w:cs="Arial"/>
          <w:bCs/>
          <w:sz w:val="20"/>
        </w:rPr>
        <w:t>:</w:t>
      </w:r>
    </w:p>
    <w:tbl>
      <w:tblPr>
        <w:tblW w:w="5206" w:type="pct"/>
        <w:tblLayout w:type="fixed"/>
        <w:tblCellMar>
          <w:left w:w="70" w:type="dxa"/>
          <w:right w:w="70" w:type="dxa"/>
        </w:tblCellMar>
        <w:tblLook w:val="04A0" w:firstRow="1" w:lastRow="0" w:firstColumn="1" w:lastColumn="0" w:noHBand="0" w:noVBand="1"/>
      </w:tblPr>
      <w:tblGrid>
        <w:gridCol w:w="4388"/>
        <w:gridCol w:w="1115"/>
        <w:gridCol w:w="1252"/>
        <w:gridCol w:w="1114"/>
        <w:gridCol w:w="976"/>
      </w:tblGrid>
      <w:tr w:rsidR="00D17D79" w:rsidRPr="00F30A15" w14:paraId="4C70DF15" w14:textId="77777777" w:rsidTr="00992CF2">
        <w:trPr>
          <w:trHeight w:val="239"/>
          <w:tblHeader/>
        </w:trPr>
        <w:tc>
          <w:tcPr>
            <w:tcW w:w="24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917BF" w14:textId="5B4D63E6" w:rsidR="00D17D79" w:rsidRPr="005B6501" w:rsidRDefault="00D17D79" w:rsidP="00387AD8">
            <w:pPr>
              <w:rPr>
                <w:rFonts w:ascii="Arial" w:hAnsi="Arial" w:cs="Arial"/>
                <w:b/>
                <w:sz w:val="16"/>
                <w:lang w:eastAsia="es-AR"/>
              </w:rPr>
            </w:pPr>
            <w:r w:rsidRPr="00BA7A6B">
              <w:rPr>
                <w:rFonts w:ascii="Arial" w:hAnsi="Arial" w:cs="Arial"/>
                <w:b/>
                <w:sz w:val="16"/>
                <w:lang w:eastAsia="es-AR"/>
              </w:rPr>
              <w:t xml:space="preserve">Cartera de instrumentos al </w:t>
            </w:r>
            <w:r w:rsidR="00387AD8" w:rsidRPr="00BA7A6B">
              <w:rPr>
                <w:rFonts w:ascii="Arial" w:hAnsi="Arial" w:cs="Arial"/>
                <w:b/>
                <w:sz w:val="16"/>
                <w:lang w:eastAsia="es-AR"/>
              </w:rPr>
              <w:t>31/03/2020</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5840C431" w14:textId="77777777" w:rsidR="00D17D79" w:rsidRPr="005B6501"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5B6501">
              <w:rPr>
                <w:rFonts w:ascii="Arial" w:hAnsi="Arial" w:cs="Arial"/>
                <w:b/>
                <w:sz w:val="16"/>
                <w:lang w:eastAsia="es-AR"/>
              </w:rPr>
              <w:t>VR nivel 1</w:t>
            </w:r>
          </w:p>
        </w:tc>
        <w:tc>
          <w:tcPr>
            <w:tcW w:w="708" w:type="pct"/>
            <w:tcBorders>
              <w:top w:val="single" w:sz="4" w:space="0" w:color="auto"/>
              <w:left w:val="nil"/>
              <w:bottom w:val="single" w:sz="4" w:space="0" w:color="auto"/>
              <w:right w:val="single" w:sz="4" w:space="0" w:color="auto"/>
            </w:tcBorders>
            <w:shd w:val="clear" w:color="auto" w:fill="auto"/>
            <w:noWrap/>
            <w:vAlign w:val="center"/>
            <w:hideMark/>
          </w:tcPr>
          <w:p w14:paraId="47B3626B" w14:textId="77777777" w:rsidR="00D17D79" w:rsidRPr="005B6501"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5B6501">
              <w:rPr>
                <w:rFonts w:ascii="Arial" w:hAnsi="Arial" w:cs="Arial"/>
                <w:b/>
                <w:sz w:val="16"/>
                <w:lang w:eastAsia="es-AR"/>
              </w:rPr>
              <w:t>VR nivel 2</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47D37BD0" w14:textId="77777777" w:rsidR="00D17D79" w:rsidRPr="005B6501"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5B6501">
              <w:rPr>
                <w:rFonts w:ascii="Arial" w:hAnsi="Arial" w:cs="Arial"/>
                <w:b/>
                <w:sz w:val="16"/>
                <w:lang w:eastAsia="es-AR"/>
              </w:rPr>
              <w:t>VR nivel 3</w:t>
            </w:r>
          </w:p>
        </w:tc>
        <w:tc>
          <w:tcPr>
            <w:tcW w:w="552" w:type="pct"/>
            <w:tcBorders>
              <w:top w:val="single" w:sz="4" w:space="0" w:color="auto"/>
              <w:left w:val="nil"/>
              <w:bottom w:val="single" w:sz="4" w:space="0" w:color="auto"/>
              <w:right w:val="single" w:sz="4" w:space="0" w:color="auto"/>
            </w:tcBorders>
            <w:vAlign w:val="center"/>
          </w:tcPr>
          <w:p w14:paraId="1741A558" w14:textId="77777777" w:rsidR="00D17D79" w:rsidRPr="00F30A15"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5B6501">
              <w:rPr>
                <w:rFonts w:ascii="Arial" w:hAnsi="Arial" w:cs="Arial"/>
                <w:b/>
                <w:sz w:val="16"/>
                <w:lang w:eastAsia="es-AR"/>
              </w:rPr>
              <w:t>Total</w:t>
            </w:r>
          </w:p>
        </w:tc>
      </w:tr>
      <w:tr w:rsidR="00D17D79" w:rsidRPr="00F30A15" w14:paraId="4C30FD50" w14:textId="77777777" w:rsidTr="00995365">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12B18B9" w14:textId="77777777" w:rsidR="00D17D79" w:rsidRPr="00F30A15" w:rsidRDefault="00D17D79" w:rsidP="00992CF2">
            <w:pPr>
              <w:jc w:val="both"/>
              <w:rPr>
                <w:rFonts w:ascii="Arial" w:hAnsi="Arial" w:cs="Arial"/>
                <w:b/>
                <w:bCs/>
                <w:sz w:val="16"/>
                <w:lang w:eastAsia="es-AR"/>
              </w:rPr>
            </w:pPr>
            <w:r w:rsidRPr="00F30A15">
              <w:rPr>
                <w:rFonts w:ascii="Arial" w:hAnsi="Arial" w:cs="Arial"/>
                <w:b/>
                <w:bCs/>
                <w:sz w:val="16"/>
                <w:lang w:eastAsia="es-AR"/>
              </w:rPr>
              <w:t>Activos</w:t>
            </w:r>
          </w:p>
        </w:tc>
        <w:tc>
          <w:tcPr>
            <w:tcW w:w="630" w:type="pct"/>
            <w:tcBorders>
              <w:top w:val="nil"/>
              <w:left w:val="nil"/>
              <w:bottom w:val="single" w:sz="4" w:space="0" w:color="auto"/>
              <w:right w:val="single" w:sz="4" w:space="0" w:color="auto"/>
            </w:tcBorders>
            <w:shd w:val="clear" w:color="auto" w:fill="auto"/>
            <w:noWrap/>
            <w:vAlign w:val="bottom"/>
            <w:hideMark/>
          </w:tcPr>
          <w:p w14:paraId="0D6040DC" w14:textId="77777777" w:rsidR="00D17D79" w:rsidRPr="00F30A15" w:rsidRDefault="00D17D79" w:rsidP="00995365">
            <w:pPr>
              <w:jc w:val="right"/>
              <w:rPr>
                <w:rFonts w:ascii="Arial" w:hAnsi="Arial" w:cs="Arial"/>
                <w:b/>
                <w:bCs/>
                <w:sz w:val="16"/>
                <w:szCs w:val="16"/>
                <w:lang w:eastAsia="es-AR"/>
              </w:rPr>
            </w:pPr>
            <w:r w:rsidRPr="00F30A15">
              <w:rPr>
                <w:rFonts w:ascii="Arial" w:hAnsi="Arial" w:cs="Arial"/>
                <w:b/>
                <w:bCs/>
                <w:sz w:val="16"/>
                <w:szCs w:val="16"/>
                <w:lang w:eastAsia="es-AR"/>
              </w:rPr>
              <w:t> </w:t>
            </w:r>
          </w:p>
        </w:tc>
        <w:tc>
          <w:tcPr>
            <w:tcW w:w="708" w:type="pct"/>
            <w:tcBorders>
              <w:top w:val="nil"/>
              <w:left w:val="nil"/>
              <w:bottom w:val="single" w:sz="4" w:space="0" w:color="auto"/>
              <w:right w:val="single" w:sz="4" w:space="0" w:color="auto"/>
            </w:tcBorders>
            <w:shd w:val="clear" w:color="auto" w:fill="auto"/>
            <w:noWrap/>
            <w:vAlign w:val="bottom"/>
            <w:hideMark/>
          </w:tcPr>
          <w:p w14:paraId="40A4EE9F" w14:textId="77777777" w:rsidR="00D17D79" w:rsidRPr="00F30A15" w:rsidRDefault="00D17D79" w:rsidP="00995365">
            <w:pPr>
              <w:jc w:val="right"/>
              <w:rPr>
                <w:rFonts w:ascii="Arial" w:hAnsi="Arial" w:cs="Arial"/>
                <w:b/>
                <w:bCs/>
                <w:sz w:val="16"/>
                <w:szCs w:val="16"/>
                <w:lang w:eastAsia="es-AR"/>
              </w:rPr>
            </w:pPr>
            <w:r w:rsidRPr="00F30A15">
              <w:rPr>
                <w:rFonts w:ascii="Arial" w:hAnsi="Arial" w:cs="Arial"/>
                <w:b/>
                <w:bCs/>
                <w:sz w:val="16"/>
                <w:szCs w:val="16"/>
                <w:lang w:eastAsia="es-AR"/>
              </w:rPr>
              <w:t> </w:t>
            </w:r>
          </w:p>
        </w:tc>
        <w:tc>
          <w:tcPr>
            <w:tcW w:w="630" w:type="pct"/>
            <w:tcBorders>
              <w:top w:val="nil"/>
              <w:left w:val="nil"/>
              <w:bottom w:val="single" w:sz="4" w:space="0" w:color="auto"/>
              <w:right w:val="single" w:sz="4" w:space="0" w:color="auto"/>
            </w:tcBorders>
            <w:shd w:val="clear" w:color="auto" w:fill="auto"/>
            <w:noWrap/>
            <w:vAlign w:val="bottom"/>
            <w:hideMark/>
          </w:tcPr>
          <w:p w14:paraId="1263142B" w14:textId="77777777" w:rsidR="00D17D79" w:rsidRPr="00F30A15" w:rsidRDefault="00D17D79" w:rsidP="00995365">
            <w:pPr>
              <w:jc w:val="right"/>
              <w:rPr>
                <w:rFonts w:ascii="Arial" w:hAnsi="Arial" w:cs="Arial"/>
                <w:b/>
                <w:bCs/>
                <w:sz w:val="16"/>
                <w:szCs w:val="16"/>
                <w:lang w:eastAsia="es-AR"/>
              </w:rPr>
            </w:pPr>
            <w:r w:rsidRPr="00F30A15">
              <w:rPr>
                <w:rFonts w:ascii="Arial" w:hAnsi="Arial" w:cs="Arial"/>
                <w:b/>
                <w:bCs/>
                <w:sz w:val="16"/>
                <w:szCs w:val="16"/>
                <w:lang w:eastAsia="es-AR"/>
              </w:rPr>
              <w:t> </w:t>
            </w:r>
          </w:p>
        </w:tc>
        <w:tc>
          <w:tcPr>
            <w:tcW w:w="552" w:type="pct"/>
            <w:tcBorders>
              <w:top w:val="nil"/>
              <w:left w:val="nil"/>
              <w:bottom w:val="single" w:sz="4" w:space="0" w:color="auto"/>
              <w:right w:val="single" w:sz="4" w:space="0" w:color="auto"/>
            </w:tcBorders>
            <w:vAlign w:val="bottom"/>
          </w:tcPr>
          <w:p w14:paraId="7E097741" w14:textId="77777777" w:rsidR="00D17D79" w:rsidRPr="00F30A15" w:rsidRDefault="00D17D79" w:rsidP="00995365">
            <w:pPr>
              <w:jc w:val="right"/>
              <w:rPr>
                <w:rFonts w:ascii="Arial" w:hAnsi="Arial" w:cs="Arial"/>
                <w:b/>
                <w:bCs/>
                <w:sz w:val="16"/>
                <w:szCs w:val="16"/>
                <w:lang w:eastAsia="es-AR"/>
              </w:rPr>
            </w:pPr>
          </w:p>
        </w:tc>
      </w:tr>
      <w:tr w:rsidR="00387AD8" w:rsidRPr="00F30A15" w14:paraId="589D70D4" w14:textId="77777777" w:rsidTr="00387AD8">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0E72B3EB" w14:textId="77777777" w:rsidR="00387AD8" w:rsidRPr="00F30A15" w:rsidRDefault="00387AD8" w:rsidP="00387AD8">
            <w:pPr>
              <w:jc w:val="both"/>
              <w:rPr>
                <w:rFonts w:ascii="Arial" w:hAnsi="Arial" w:cs="Arial"/>
                <w:sz w:val="16"/>
                <w:lang w:eastAsia="es-AR"/>
              </w:rPr>
            </w:pPr>
            <w:r w:rsidRPr="00F30A15">
              <w:rPr>
                <w:rFonts w:ascii="Arial" w:hAnsi="Arial" w:cs="Arial"/>
                <w:sz w:val="16"/>
                <w:lang w:eastAsia="es-AR"/>
              </w:rPr>
              <w:t>- Efectivo y depósitos en Bancos</w:t>
            </w:r>
          </w:p>
        </w:tc>
        <w:tc>
          <w:tcPr>
            <w:tcW w:w="630" w:type="pct"/>
            <w:tcBorders>
              <w:top w:val="nil"/>
              <w:left w:val="nil"/>
              <w:bottom w:val="single" w:sz="4" w:space="0" w:color="auto"/>
              <w:right w:val="single" w:sz="4" w:space="0" w:color="auto"/>
            </w:tcBorders>
            <w:shd w:val="clear" w:color="auto" w:fill="auto"/>
            <w:noWrap/>
            <w:vAlign w:val="bottom"/>
          </w:tcPr>
          <w:p w14:paraId="616CE748" w14:textId="1BFB2C76"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26.275 </w:t>
            </w:r>
          </w:p>
        </w:tc>
        <w:tc>
          <w:tcPr>
            <w:tcW w:w="708" w:type="pct"/>
            <w:tcBorders>
              <w:top w:val="nil"/>
              <w:left w:val="nil"/>
              <w:bottom w:val="single" w:sz="4" w:space="0" w:color="auto"/>
              <w:right w:val="single" w:sz="4" w:space="0" w:color="auto"/>
            </w:tcBorders>
            <w:shd w:val="clear" w:color="auto" w:fill="auto"/>
            <w:noWrap/>
            <w:vAlign w:val="bottom"/>
          </w:tcPr>
          <w:p w14:paraId="29F195BE" w14:textId="32EB4CF2"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vAlign w:val="bottom"/>
          </w:tcPr>
          <w:p w14:paraId="340A52AC" w14:textId="28ABFB02"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   </w:t>
            </w:r>
          </w:p>
        </w:tc>
        <w:tc>
          <w:tcPr>
            <w:tcW w:w="552" w:type="pct"/>
            <w:tcBorders>
              <w:top w:val="nil"/>
              <w:left w:val="nil"/>
              <w:bottom w:val="single" w:sz="4" w:space="0" w:color="auto"/>
              <w:right w:val="single" w:sz="4" w:space="0" w:color="auto"/>
            </w:tcBorders>
            <w:vAlign w:val="bottom"/>
          </w:tcPr>
          <w:p w14:paraId="0B125040" w14:textId="0B6C3550"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26.275 </w:t>
            </w:r>
          </w:p>
        </w:tc>
      </w:tr>
      <w:tr w:rsidR="00387AD8" w:rsidRPr="00F30A15" w14:paraId="4AB9DBDD" w14:textId="77777777" w:rsidTr="00387AD8">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AFE5D18" w14:textId="509C321D" w:rsidR="00387AD8" w:rsidRPr="00F30A15" w:rsidRDefault="00387AD8" w:rsidP="00387AD8">
            <w:pPr>
              <w:jc w:val="both"/>
              <w:rPr>
                <w:rFonts w:ascii="Arial" w:hAnsi="Arial" w:cs="Arial"/>
                <w:sz w:val="16"/>
                <w:lang w:eastAsia="es-AR"/>
              </w:rPr>
            </w:pPr>
            <w:r w:rsidRPr="00F30A15">
              <w:rPr>
                <w:rFonts w:ascii="Arial" w:hAnsi="Arial" w:cs="Arial"/>
                <w:sz w:val="16"/>
                <w:lang w:eastAsia="es-AR"/>
              </w:rPr>
              <w:t xml:space="preserve">- Títulos de Deuda a </w:t>
            </w:r>
            <w:r>
              <w:rPr>
                <w:rFonts w:ascii="Arial" w:hAnsi="Arial" w:cs="Arial"/>
                <w:sz w:val="16"/>
                <w:lang w:eastAsia="es-AR"/>
              </w:rPr>
              <w:t xml:space="preserve">Valor </w:t>
            </w:r>
            <w:r w:rsidRPr="00F30A15">
              <w:rPr>
                <w:rFonts w:ascii="Arial" w:hAnsi="Arial" w:cs="Arial"/>
                <w:sz w:val="16"/>
                <w:lang w:eastAsia="es-AR"/>
              </w:rPr>
              <w:t>R</w:t>
            </w:r>
            <w:r>
              <w:rPr>
                <w:rFonts w:ascii="Arial" w:hAnsi="Arial" w:cs="Arial"/>
                <w:sz w:val="16"/>
                <w:lang w:eastAsia="es-AR"/>
              </w:rPr>
              <w:t>azonable</w:t>
            </w:r>
            <w:r w:rsidRPr="00F30A15">
              <w:rPr>
                <w:rFonts w:ascii="Arial" w:hAnsi="Arial" w:cs="Arial"/>
                <w:sz w:val="16"/>
                <w:lang w:eastAsia="es-AR"/>
              </w:rPr>
              <w:t xml:space="preserve"> con Cambio</w:t>
            </w:r>
            <w:r>
              <w:rPr>
                <w:rFonts w:ascii="Arial" w:hAnsi="Arial" w:cs="Arial"/>
                <w:sz w:val="16"/>
                <w:lang w:eastAsia="es-AR"/>
              </w:rPr>
              <w:t>s</w:t>
            </w:r>
            <w:r w:rsidRPr="00F30A15">
              <w:rPr>
                <w:rFonts w:ascii="Arial" w:hAnsi="Arial" w:cs="Arial"/>
                <w:sz w:val="16"/>
                <w:lang w:eastAsia="es-AR"/>
              </w:rPr>
              <w:t xml:space="preserve"> en Resultados</w:t>
            </w:r>
          </w:p>
        </w:tc>
        <w:tc>
          <w:tcPr>
            <w:tcW w:w="630" w:type="pct"/>
            <w:tcBorders>
              <w:top w:val="nil"/>
              <w:left w:val="nil"/>
              <w:bottom w:val="single" w:sz="4" w:space="0" w:color="auto"/>
              <w:right w:val="single" w:sz="4" w:space="0" w:color="auto"/>
            </w:tcBorders>
            <w:shd w:val="clear" w:color="auto" w:fill="auto"/>
            <w:noWrap/>
            <w:vAlign w:val="bottom"/>
          </w:tcPr>
          <w:p w14:paraId="7B4620A8" w14:textId="449FF800"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54.656 </w:t>
            </w:r>
          </w:p>
        </w:tc>
        <w:tc>
          <w:tcPr>
            <w:tcW w:w="708" w:type="pct"/>
            <w:tcBorders>
              <w:top w:val="nil"/>
              <w:left w:val="nil"/>
              <w:bottom w:val="single" w:sz="4" w:space="0" w:color="auto"/>
              <w:right w:val="single" w:sz="4" w:space="0" w:color="auto"/>
            </w:tcBorders>
            <w:shd w:val="clear" w:color="auto" w:fill="auto"/>
            <w:noWrap/>
            <w:vAlign w:val="bottom"/>
          </w:tcPr>
          <w:p w14:paraId="4C5FBD0C" w14:textId="2BFDA4B8"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202.87</w:t>
            </w:r>
            <w:r w:rsidR="000A58EC">
              <w:rPr>
                <w:rFonts w:ascii="Arial" w:hAnsi="Arial" w:cs="Arial"/>
                <w:sz w:val="16"/>
                <w:szCs w:val="16"/>
              </w:rPr>
              <w:t>8</w:t>
            </w:r>
            <w:r w:rsidRPr="00387AD8">
              <w:rPr>
                <w:rFonts w:ascii="Arial" w:hAnsi="Arial" w:cs="Arial"/>
                <w:sz w:val="16"/>
                <w:szCs w:val="16"/>
              </w:rPr>
              <w:t xml:space="preserve"> </w:t>
            </w:r>
          </w:p>
        </w:tc>
        <w:tc>
          <w:tcPr>
            <w:tcW w:w="630" w:type="pct"/>
            <w:tcBorders>
              <w:top w:val="nil"/>
              <w:left w:val="nil"/>
              <w:bottom w:val="single" w:sz="4" w:space="0" w:color="auto"/>
              <w:right w:val="single" w:sz="4" w:space="0" w:color="auto"/>
            </w:tcBorders>
            <w:shd w:val="clear" w:color="auto" w:fill="auto"/>
            <w:noWrap/>
            <w:vAlign w:val="bottom"/>
          </w:tcPr>
          <w:p w14:paraId="0FE4647B" w14:textId="3CA4F5F8"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2.52</w:t>
            </w:r>
            <w:r w:rsidR="000A58EC">
              <w:rPr>
                <w:rFonts w:ascii="Arial" w:hAnsi="Arial" w:cs="Arial"/>
                <w:sz w:val="16"/>
                <w:szCs w:val="16"/>
              </w:rPr>
              <w:t>6</w:t>
            </w:r>
            <w:r w:rsidRPr="00387AD8">
              <w:rPr>
                <w:rFonts w:ascii="Arial" w:hAnsi="Arial" w:cs="Arial"/>
                <w:sz w:val="16"/>
                <w:szCs w:val="16"/>
              </w:rPr>
              <w:t xml:space="preserve"> </w:t>
            </w:r>
          </w:p>
        </w:tc>
        <w:tc>
          <w:tcPr>
            <w:tcW w:w="552" w:type="pct"/>
            <w:tcBorders>
              <w:top w:val="nil"/>
              <w:left w:val="nil"/>
              <w:bottom w:val="single" w:sz="4" w:space="0" w:color="auto"/>
              <w:right w:val="single" w:sz="4" w:space="0" w:color="auto"/>
            </w:tcBorders>
            <w:vAlign w:val="bottom"/>
          </w:tcPr>
          <w:p w14:paraId="47EF8478" w14:textId="154942F0"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260.060 </w:t>
            </w:r>
          </w:p>
        </w:tc>
      </w:tr>
      <w:tr w:rsidR="00387AD8" w:rsidRPr="00F30A15" w14:paraId="4C3D8A15" w14:textId="77777777" w:rsidTr="00387AD8">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5734992E" w14:textId="77777777" w:rsidR="00387AD8" w:rsidRPr="00F30A15" w:rsidRDefault="00387AD8" w:rsidP="00387AD8">
            <w:pPr>
              <w:jc w:val="both"/>
              <w:rPr>
                <w:rFonts w:ascii="Arial" w:hAnsi="Arial" w:cs="Arial"/>
                <w:sz w:val="16"/>
                <w:lang w:eastAsia="es-AR"/>
              </w:rPr>
            </w:pPr>
            <w:r w:rsidRPr="00F30A15">
              <w:rPr>
                <w:rFonts w:ascii="Arial" w:hAnsi="Arial" w:cs="Arial"/>
                <w:sz w:val="16"/>
                <w:lang w:eastAsia="es-AR"/>
              </w:rPr>
              <w:t>- Instrumentos Derivados</w:t>
            </w:r>
          </w:p>
        </w:tc>
        <w:tc>
          <w:tcPr>
            <w:tcW w:w="630" w:type="pct"/>
            <w:tcBorders>
              <w:top w:val="nil"/>
              <w:left w:val="nil"/>
              <w:bottom w:val="single" w:sz="4" w:space="0" w:color="auto"/>
              <w:right w:val="single" w:sz="4" w:space="0" w:color="auto"/>
            </w:tcBorders>
            <w:shd w:val="clear" w:color="auto" w:fill="auto"/>
            <w:noWrap/>
            <w:vAlign w:val="bottom"/>
          </w:tcPr>
          <w:p w14:paraId="17E56922" w14:textId="41F820C8"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143.424 </w:t>
            </w:r>
          </w:p>
        </w:tc>
        <w:tc>
          <w:tcPr>
            <w:tcW w:w="708" w:type="pct"/>
            <w:tcBorders>
              <w:top w:val="nil"/>
              <w:left w:val="nil"/>
              <w:bottom w:val="single" w:sz="4" w:space="0" w:color="auto"/>
              <w:right w:val="single" w:sz="4" w:space="0" w:color="auto"/>
            </w:tcBorders>
            <w:shd w:val="clear" w:color="auto" w:fill="auto"/>
            <w:noWrap/>
            <w:vAlign w:val="bottom"/>
          </w:tcPr>
          <w:p w14:paraId="56FEF4A6" w14:textId="2D9682FA"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vAlign w:val="bottom"/>
          </w:tcPr>
          <w:p w14:paraId="0DFC6018" w14:textId="5ABE2F36"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552" w:type="pct"/>
            <w:tcBorders>
              <w:top w:val="nil"/>
              <w:left w:val="nil"/>
              <w:bottom w:val="single" w:sz="4" w:space="0" w:color="auto"/>
              <w:right w:val="single" w:sz="4" w:space="0" w:color="auto"/>
            </w:tcBorders>
            <w:vAlign w:val="bottom"/>
          </w:tcPr>
          <w:p w14:paraId="25FF3FC1" w14:textId="4ADE5321"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143.424 </w:t>
            </w:r>
          </w:p>
        </w:tc>
      </w:tr>
      <w:tr w:rsidR="00387AD8" w:rsidRPr="00F30A15" w14:paraId="5BC9D8B7" w14:textId="77777777" w:rsidTr="00387AD8">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FE71F98" w14:textId="77777777" w:rsidR="00387AD8" w:rsidRPr="00F30A15" w:rsidRDefault="00387AD8" w:rsidP="00387AD8">
            <w:pPr>
              <w:jc w:val="both"/>
              <w:rPr>
                <w:rFonts w:ascii="Arial" w:hAnsi="Arial" w:cs="Arial"/>
                <w:sz w:val="16"/>
                <w:lang w:eastAsia="es-AR"/>
              </w:rPr>
            </w:pPr>
            <w:r w:rsidRPr="00F30A15">
              <w:rPr>
                <w:rFonts w:ascii="Arial" w:hAnsi="Arial" w:cs="Arial"/>
                <w:sz w:val="16"/>
                <w:lang w:eastAsia="es-AR"/>
              </w:rPr>
              <w:t>- Otros Activos Financieros</w:t>
            </w:r>
          </w:p>
        </w:tc>
        <w:tc>
          <w:tcPr>
            <w:tcW w:w="630" w:type="pct"/>
            <w:tcBorders>
              <w:top w:val="nil"/>
              <w:left w:val="nil"/>
              <w:bottom w:val="single" w:sz="4" w:space="0" w:color="auto"/>
              <w:right w:val="single" w:sz="4" w:space="0" w:color="auto"/>
            </w:tcBorders>
            <w:shd w:val="clear" w:color="auto" w:fill="auto"/>
            <w:noWrap/>
            <w:vAlign w:val="bottom"/>
          </w:tcPr>
          <w:p w14:paraId="10B3ED81" w14:textId="1A47941D"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753.170 </w:t>
            </w:r>
          </w:p>
        </w:tc>
        <w:tc>
          <w:tcPr>
            <w:tcW w:w="708" w:type="pct"/>
            <w:tcBorders>
              <w:top w:val="nil"/>
              <w:left w:val="nil"/>
              <w:bottom w:val="single" w:sz="4" w:space="0" w:color="auto"/>
              <w:right w:val="single" w:sz="4" w:space="0" w:color="auto"/>
            </w:tcBorders>
            <w:shd w:val="clear" w:color="auto" w:fill="auto"/>
            <w:noWrap/>
            <w:vAlign w:val="bottom"/>
          </w:tcPr>
          <w:p w14:paraId="61AB14E6" w14:textId="602461C0"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vAlign w:val="bottom"/>
          </w:tcPr>
          <w:p w14:paraId="7B4DADBE" w14:textId="5F2BB177"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552" w:type="pct"/>
            <w:tcBorders>
              <w:top w:val="nil"/>
              <w:left w:val="nil"/>
              <w:bottom w:val="single" w:sz="4" w:space="0" w:color="auto"/>
              <w:right w:val="single" w:sz="4" w:space="0" w:color="auto"/>
            </w:tcBorders>
            <w:vAlign w:val="bottom"/>
          </w:tcPr>
          <w:p w14:paraId="6E0F4B54" w14:textId="0DF906E7"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753.170 </w:t>
            </w:r>
          </w:p>
        </w:tc>
      </w:tr>
      <w:tr w:rsidR="00387AD8" w:rsidRPr="005B6501" w14:paraId="4C6AB04C" w14:textId="77777777" w:rsidTr="00387AD8">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98BC06A" w14:textId="77777777" w:rsidR="00387AD8" w:rsidRPr="005B6501" w:rsidRDefault="00387AD8" w:rsidP="00387AD8">
            <w:pPr>
              <w:jc w:val="both"/>
              <w:rPr>
                <w:rFonts w:ascii="Arial" w:hAnsi="Arial" w:cs="Arial"/>
                <w:sz w:val="16"/>
                <w:lang w:eastAsia="es-AR"/>
              </w:rPr>
            </w:pPr>
            <w:r w:rsidRPr="005B6501">
              <w:rPr>
                <w:rFonts w:ascii="Arial" w:hAnsi="Arial" w:cs="Arial"/>
                <w:sz w:val="16"/>
                <w:lang w:eastAsia="es-AR"/>
              </w:rPr>
              <w:t>- Otros Títulos de Deuda</w:t>
            </w:r>
          </w:p>
        </w:tc>
        <w:tc>
          <w:tcPr>
            <w:tcW w:w="630" w:type="pct"/>
            <w:tcBorders>
              <w:top w:val="nil"/>
              <w:left w:val="nil"/>
              <w:bottom w:val="single" w:sz="4" w:space="0" w:color="auto"/>
              <w:right w:val="single" w:sz="4" w:space="0" w:color="auto"/>
            </w:tcBorders>
            <w:shd w:val="clear" w:color="auto" w:fill="auto"/>
            <w:noWrap/>
            <w:vAlign w:val="bottom"/>
          </w:tcPr>
          <w:p w14:paraId="31619DD7" w14:textId="1F7CFDBE" w:rsidR="00387AD8" w:rsidRPr="005B6501" w:rsidRDefault="00351CFC" w:rsidP="00387AD8">
            <w:pPr>
              <w:jc w:val="right"/>
              <w:rPr>
                <w:rFonts w:ascii="Arial" w:hAnsi="Arial" w:cs="Arial"/>
                <w:sz w:val="16"/>
                <w:szCs w:val="16"/>
                <w:lang w:eastAsia="es-AR"/>
              </w:rPr>
            </w:pPr>
            <w:r>
              <w:rPr>
                <w:rFonts w:ascii="Arial" w:hAnsi="Arial" w:cs="Arial"/>
                <w:sz w:val="16"/>
                <w:szCs w:val="16"/>
              </w:rPr>
              <w:t>-</w:t>
            </w:r>
            <w:r w:rsidR="00387AD8" w:rsidRPr="005B6501">
              <w:rPr>
                <w:rFonts w:ascii="Arial" w:hAnsi="Arial" w:cs="Arial"/>
                <w:sz w:val="16"/>
                <w:szCs w:val="16"/>
              </w:rPr>
              <w:t xml:space="preserve"> </w:t>
            </w:r>
          </w:p>
        </w:tc>
        <w:tc>
          <w:tcPr>
            <w:tcW w:w="708" w:type="pct"/>
            <w:tcBorders>
              <w:top w:val="nil"/>
              <w:left w:val="nil"/>
              <w:bottom w:val="single" w:sz="4" w:space="0" w:color="auto"/>
              <w:right w:val="single" w:sz="4" w:space="0" w:color="auto"/>
            </w:tcBorders>
            <w:shd w:val="clear" w:color="auto" w:fill="auto"/>
            <w:noWrap/>
            <w:vAlign w:val="bottom"/>
          </w:tcPr>
          <w:p w14:paraId="08F11A33" w14:textId="2AC7E508" w:rsidR="00387AD8" w:rsidRPr="005B6501" w:rsidRDefault="00351CFC" w:rsidP="00387AD8">
            <w:pPr>
              <w:jc w:val="right"/>
              <w:rPr>
                <w:rFonts w:ascii="Arial" w:hAnsi="Arial" w:cs="Arial"/>
                <w:sz w:val="16"/>
                <w:szCs w:val="16"/>
                <w:lang w:eastAsia="es-AR"/>
              </w:rPr>
            </w:pPr>
            <w:r w:rsidRPr="00351CFC">
              <w:rPr>
                <w:rFonts w:ascii="Arial" w:hAnsi="Arial" w:cs="Arial"/>
                <w:sz w:val="16"/>
                <w:szCs w:val="16"/>
              </w:rPr>
              <w:t>41.572.</w:t>
            </w:r>
            <w:r w:rsidR="00564719" w:rsidRPr="00351CFC">
              <w:rPr>
                <w:rFonts w:ascii="Arial" w:hAnsi="Arial" w:cs="Arial"/>
                <w:sz w:val="16"/>
                <w:szCs w:val="16"/>
              </w:rPr>
              <w:t>6</w:t>
            </w:r>
            <w:r w:rsidR="00564719">
              <w:rPr>
                <w:rFonts w:ascii="Arial" w:hAnsi="Arial" w:cs="Arial"/>
                <w:sz w:val="16"/>
                <w:szCs w:val="16"/>
              </w:rPr>
              <w:t>82</w:t>
            </w:r>
            <w:r w:rsidR="00564719" w:rsidRPr="00351CFC">
              <w:rPr>
                <w:rFonts w:ascii="Arial" w:hAnsi="Arial" w:cs="Arial"/>
                <w:sz w:val="16"/>
                <w:szCs w:val="16"/>
              </w:rPr>
              <w:t xml:space="preserve"> </w:t>
            </w:r>
            <w:r w:rsidR="00564719" w:rsidRPr="005B6501">
              <w:rPr>
                <w:rFonts w:ascii="Arial" w:hAnsi="Arial" w:cs="Arial"/>
                <w:sz w:val="16"/>
                <w:szCs w:val="16"/>
              </w:rPr>
              <w:t xml:space="preserve">   </w:t>
            </w:r>
          </w:p>
        </w:tc>
        <w:tc>
          <w:tcPr>
            <w:tcW w:w="630" w:type="pct"/>
            <w:tcBorders>
              <w:top w:val="nil"/>
              <w:left w:val="nil"/>
              <w:bottom w:val="single" w:sz="4" w:space="0" w:color="auto"/>
              <w:right w:val="single" w:sz="4" w:space="0" w:color="auto"/>
            </w:tcBorders>
            <w:shd w:val="clear" w:color="auto" w:fill="auto"/>
            <w:noWrap/>
            <w:vAlign w:val="bottom"/>
          </w:tcPr>
          <w:p w14:paraId="2486C8E2" w14:textId="18B3F70D" w:rsidR="00387AD8" w:rsidRPr="005B6501" w:rsidRDefault="00387AD8" w:rsidP="00387AD8">
            <w:pPr>
              <w:jc w:val="right"/>
              <w:rPr>
                <w:rFonts w:ascii="Arial" w:hAnsi="Arial" w:cs="Arial"/>
                <w:sz w:val="16"/>
                <w:szCs w:val="16"/>
                <w:lang w:eastAsia="es-AR"/>
              </w:rPr>
            </w:pPr>
            <w:r w:rsidRPr="005B6501">
              <w:rPr>
                <w:rFonts w:ascii="Arial" w:hAnsi="Arial" w:cs="Arial"/>
                <w:sz w:val="16"/>
                <w:szCs w:val="16"/>
              </w:rPr>
              <w:t xml:space="preserve"> -   </w:t>
            </w:r>
          </w:p>
        </w:tc>
        <w:tc>
          <w:tcPr>
            <w:tcW w:w="552" w:type="pct"/>
            <w:tcBorders>
              <w:top w:val="nil"/>
              <w:left w:val="nil"/>
              <w:bottom w:val="single" w:sz="4" w:space="0" w:color="auto"/>
              <w:right w:val="single" w:sz="4" w:space="0" w:color="auto"/>
            </w:tcBorders>
            <w:vAlign w:val="bottom"/>
          </w:tcPr>
          <w:p w14:paraId="61D53BF9" w14:textId="5A8B2A05" w:rsidR="00387AD8" w:rsidRPr="005B6501" w:rsidRDefault="00387AD8" w:rsidP="00387AD8">
            <w:pPr>
              <w:jc w:val="right"/>
              <w:rPr>
                <w:rFonts w:ascii="Arial" w:eastAsia="Calibri" w:hAnsi="Arial" w:cs="Arial"/>
                <w:color w:val="000000"/>
                <w:sz w:val="16"/>
                <w:szCs w:val="16"/>
              </w:rPr>
            </w:pPr>
            <w:r w:rsidRPr="005B6501">
              <w:rPr>
                <w:rFonts w:ascii="Arial" w:hAnsi="Arial" w:cs="Arial"/>
                <w:sz w:val="16"/>
                <w:szCs w:val="16"/>
              </w:rPr>
              <w:t xml:space="preserve"> </w:t>
            </w:r>
            <w:r w:rsidR="003618F1" w:rsidRPr="003618F1">
              <w:rPr>
                <w:rFonts w:ascii="Arial" w:hAnsi="Arial" w:cs="Arial"/>
                <w:sz w:val="16"/>
                <w:szCs w:val="16"/>
              </w:rPr>
              <w:t>41.572.682</w:t>
            </w:r>
          </w:p>
        </w:tc>
      </w:tr>
      <w:tr w:rsidR="00387AD8" w:rsidRPr="005B6501" w14:paraId="0D2DEFD5" w14:textId="77777777" w:rsidTr="002B6E2E">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33FA4294" w14:textId="77777777" w:rsidR="00387AD8" w:rsidRPr="005B6501" w:rsidRDefault="00387AD8" w:rsidP="00387AD8">
            <w:pPr>
              <w:jc w:val="both"/>
              <w:rPr>
                <w:rFonts w:ascii="Arial" w:hAnsi="Arial" w:cs="Arial"/>
                <w:sz w:val="16"/>
                <w:lang w:eastAsia="es-AR"/>
              </w:rPr>
            </w:pPr>
            <w:r w:rsidRPr="005B6501">
              <w:rPr>
                <w:rFonts w:ascii="Arial" w:hAnsi="Arial" w:cs="Arial"/>
                <w:sz w:val="16"/>
                <w:lang w:eastAsia="es-AR"/>
              </w:rPr>
              <w:t>- Activos Financieros entregados en Garantía</w:t>
            </w:r>
          </w:p>
        </w:tc>
        <w:tc>
          <w:tcPr>
            <w:tcW w:w="630" w:type="pct"/>
            <w:tcBorders>
              <w:top w:val="nil"/>
              <w:left w:val="nil"/>
              <w:bottom w:val="single" w:sz="4" w:space="0" w:color="auto"/>
              <w:right w:val="single" w:sz="4" w:space="0" w:color="auto"/>
            </w:tcBorders>
            <w:shd w:val="clear" w:color="auto" w:fill="auto"/>
            <w:noWrap/>
          </w:tcPr>
          <w:p w14:paraId="22D901FB" w14:textId="03B5B7F6" w:rsidR="00387AD8" w:rsidRPr="005B6501" w:rsidRDefault="00387AD8" w:rsidP="00387AD8">
            <w:pPr>
              <w:jc w:val="right"/>
              <w:rPr>
                <w:rFonts w:ascii="Arial" w:hAnsi="Arial" w:cs="Arial"/>
                <w:sz w:val="16"/>
                <w:szCs w:val="16"/>
              </w:rPr>
            </w:pPr>
            <w:r w:rsidRPr="005B6501">
              <w:rPr>
                <w:rFonts w:ascii="Arial" w:hAnsi="Arial" w:cs="Arial"/>
                <w:sz w:val="16"/>
                <w:szCs w:val="16"/>
              </w:rPr>
              <w:t xml:space="preserve"> 5.610.753 </w:t>
            </w:r>
          </w:p>
        </w:tc>
        <w:tc>
          <w:tcPr>
            <w:tcW w:w="708" w:type="pct"/>
            <w:tcBorders>
              <w:top w:val="nil"/>
              <w:left w:val="nil"/>
              <w:bottom w:val="single" w:sz="4" w:space="0" w:color="auto"/>
              <w:right w:val="single" w:sz="4" w:space="0" w:color="auto"/>
            </w:tcBorders>
            <w:shd w:val="clear" w:color="auto" w:fill="auto"/>
            <w:noWrap/>
          </w:tcPr>
          <w:p w14:paraId="7A2DC855" w14:textId="7025A85B" w:rsidR="00387AD8" w:rsidRPr="005B6501" w:rsidRDefault="00387AD8" w:rsidP="00387AD8">
            <w:pPr>
              <w:jc w:val="right"/>
              <w:rPr>
                <w:rFonts w:ascii="Arial" w:hAnsi="Arial" w:cs="Arial"/>
                <w:sz w:val="16"/>
                <w:szCs w:val="16"/>
              </w:rPr>
            </w:pPr>
            <w:r w:rsidRPr="005B6501">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tcPr>
          <w:p w14:paraId="496B5007" w14:textId="1A32FF3A" w:rsidR="00387AD8" w:rsidRPr="005B6501" w:rsidRDefault="00387AD8" w:rsidP="00387AD8">
            <w:pPr>
              <w:jc w:val="right"/>
              <w:rPr>
                <w:rFonts w:ascii="Arial" w:hAnsi="Arial" w:cs="Arial"/>
                <w:sz w:val="16"/>
                <w:szCs w:val="16"/>
              </w:rPr>
            </w:pPr>
            <w:r w:rsidRPr="005B6501">
              <w:rPr>
                <w:rFonts w:ascii="Arial" w:hAnsi="Arial" w:cs="Arial"/>
                <w:sz w:val="16"/>
                <w:szCs w:val="16"/>
              </w:rPr>
              <w:t xml:space="preserve"> -   </w:t>
            </w:r>
          </w:p>
        </w:tc>
        <w:tc>
          <w:tcPr>
            <w:tcW w:w="552" w:type="pct"/>
            <w:tcBorders>
              <w:top w:val="nil"/>
              <w:left w:val="nil"/>
              <w:bottom w:val="single" w:sz="4" w:space="0" w:color="auto"/>
              <w:right w:val="single" w:sz="4" w:space="0" w:color="auto"/>
            </w:tcBorders>
          </w:tcPr>
          <w:p w14:paraId="34E9ECCB" w14:textId="1B8D2F2F" w:rsidR="00387AD8" w:rsidRPr="005B6501" w:rsidRDefault="00387AD8" w:rsidP="00387AD8">
            <w:pPr>
              <w:jc w:val="right"/>
              <w:rPr>
                <w:rFonts w:ascii="Arial" w:hAnsi="Arial" w:cs="Arial"/>
                <w:sz w:val="16"/>
                <w:szCs w:val="16"/>
              </w:rPr>
            </w:pPr>
            <w:r w:rsidRPr="005B6501">
              <w:rPr>
                <w:rFonts w:ascii="Arial" w:hAnsi="Arial" w:cs="Arial"/>
                <w:sz w:val="16"/>
                <w:szCs w:val="16"/>
              </w:rPr>
              <w:t xml:space="preserve"> 5.610.753 </w:t>
            </w:r>
          </w:p>
        </w:tc>
      </w:tr>
      <w:tr w:rsidR="00995365" w:rsidRPr="005B6501" w14:paraId="3F532B4A" w14:textId="77777777" w:rsidTr="00995365">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365667D1" w14:textId="77777777" w:rsidR="00995365" w:rsidRPr="005B6501" w:rsidRDefault="00995365" w:rsidP="00995365">
            <w:pPr>
              <w:jc w:val="both"/>
              <w:rPr>
                <w:rFonts w:ascii="Arial" w:hAnsi="Arial" w:cs="Arial"/>
                <w:sz w:val="16"/>
                <w:lang w:eastAsia="es-AR"/>
              </w:rPr>
            </w:pPr>
            <w:r w:rsidRPr="005B6501">
              <w:rPr>
                <w:rFonts w:ascii="Arial" w:hAnsi="Arial" w:cs="Arial"/>
                <w:sz w:val="16"/>
                <w:lang w:eastAsia="es-AR"/>
              </w:rPr>
              <w:t>- Inversiones en instrumentos de patrimonio</w:t>
            </w:r>
          </w:p>
        </w:tc>
        <w:tc>
          <w:tcPr>
            <w:tcW w:w="630" w:type="pct"/>
            <w:tcBorders>
              <w:top w:val="nil"/>
              <w:left w:val="nil"/>
              <w:bottom w:val="single" w:sz="4" w:space="0" w:color="auto"/>
              <w:right w:val="single" w:sz="4" w:space="0" w:color="auto"/>
            </w:tcBorders>
            <w:shd w:val="clear" w:color="auto" w:fill="auto"/>
            <w:noWrap/>
            <w:vAlign w:val="bottom"/>
          </w:tcPr>
          <w:p w14:paraId="2BD98190" w14:textId="6DCF861A" w:rsidR="00995365" w:rsidRPr="005B6501" w:rsidRDefault="00387AD8">
            <w:pPr>
              <w:jc w:val="right"/>
              <w:rPr>
                <w:rFonts w:ascii="Arial" w:hAnsi="Arial" w:cs="Arial"/>
                <w:sz w:val="16"/>
                <w:szCs w:val="16"/>
                <w:lang w:eastAsia="es-AR"/>
              </w:rPr>
            </w:pPr>
            <w:r w:rsidRPr="005B6501">
              <w:rPr>
                <w:rFonts w:ascii="Arial" w:hAnsi="Arial" w:cs="Arial"/>
                <w:color w:val="000000"/>
                <w:sz w:val="16"/>
                <w:szCs w:val="16"/>
              </w:rPr>
              <w:t>-</w:t>
            </w:r>
          </w:p>
        </w:tc>
        <w:tc>
          <w:tcPr>
            <w:tcW w:w="708" w:type="pct"/>
            <w:tcBorders>
              <w:top w:val="nil"/>
              <w:left w:val="nil"/>
              <w:bottom w:val="single" w:sz="4" w:space="0" w:color="auto"/>
              <w:right w:val="single" w:sz="4" w:space="0" w:color="auto"/>
            </w:tcBorders>
            <w:shd w:val="clear" w:color="auto" w:fill="auto"/>
            <w:noWrap/>
            <w:vAlign w:val="bottom"/>
          </w:tcPr>
          <w:p w14:paraId="524C3379" w14:textId="27D7F8CE" w:rsidR="00995365" w:rsidRPr="005B6501" w:rsidRDefault="00387AD8">
            <w:pPr>
              <w:jc w:val="right"/>
              <w:rPr>
                <w:rFonts w:ascii="Arial" w:hAnsi="Arial" w:cs="Arial"/>
                <w:sz w:val="16"/>
                <w:szCs w:val="16"/>
                <w:lang w:eastAsia="es-AR"/>
              </w:rPr>
            </w:pPr>
            <w:r w:rsidRPr="005B6501">
              <w:rPr>
                <w:rFonts w:ascii="Arial" w:hAnsi="Arial" w:cs="Arial"/>
                <w:color w:val="000000"/>
                <w:sz w:val="16"/>
                <w:szCs w:val="16"/>
              </w:rPr>
              <w:t>8.</w:t>
            </w:r>
            <w:r w:rsidR="003618F1" w:rsidRPr="005B6501">
              <w:rPr>
                <w:rFonts w:ascii="Arial" w:hAnsi="Arial" w:cs="Arial"/>
                <w:color w:val="000000"/>
                <w:sz w:val="16"/>
                <w:szCs w:val="16"/>
              </w:rPr>
              <w:t>78</w:t>
            </w:r>
            <w:r w:rsidR="003618F1">
              <w:rPr>
                <w:rFonts w:ascii="Arial" w:hAnsi="Arial" w:cs="Arial"/>
                <w:color w:val="000000"/>
                <w:sz w:val="16"/>
                <w:szCs w:val="16"/>
              </w:rPr>
              <w:t>3</w:t>
            </w:r>
          </w:p>
        </w:tc>
        <w:tc>
          <w:tcPr>
            <w:tcW w:w="630" w:type="pct"/>
            <w:tcBorders>
              <w:top w:val="nil"/>
              <w:left w:val="nil"/>
              <w:bottom w:val="single" w:sz="4" w:space="0" w:color="auto"/>
              <w:right w:val="single" w:sz="4" w:space="0" w:color="auto"/>
            </w:tcBorders>
            <w:shd w:val="clear" w:color="auto" w:fill="auto"/>
            <w:noWrap/>
            <w:vAlign w:val="bottom"/>
          </w:tcPr>
          <w:p w14:paraId="505F91B5" w14:textId="555110A9" w:rsidR="00995365" w:rsidRPr="005B6501" w:rsidRDefault="00387AD8">
            <w:pPr>
              <w:jc w:val="right"/>
              <w:rPr>
                <w:rFonts w:ascii="Arial" w:hAnsi="Arial" w:cs="Arial"/>
                <w:sz w:val="16"/>
                <w:szCs w:val="16"/>
                <w:lang w:eastAsia="es-AR"/>
              </w:rPr>
            </w:pPr>
            <w:r w:rsidRPr="005B6501">
              <w:rPr>
                <w:rFonts w:ascii="Arial" w:hAnsi="Arial" w:cs="Arial"/>
                <w:color w:val="000000"/>
                <w:sz w:val="16"/>
                <w:szCs w:val="16"/>
              </w:rPr>
              <w:t>-</w:t>
            </w:r>
          </w:p>
        </w:tc>
        <w:tc>
          <w:tcPr>
            <w:tcW w:w="552" w:type="pct"/>
            <w:tcBorders>
              <w:top w:val="nil"/>
              <w:left w:val="nil"/>
              <w:bottom w:val="single" w:sz="4" w:space="0" w:color="auto"/>
              <w:right w:val="single" w:sz="4" w:space="0" w:color="auto"/>
            </w:tcBorders>
            <w:vAlign w:val="bottom"/>
          </w:tcPr>
          <w:p w14:paraId="7D65A40B" w14:textId="2370BB66" w:rsidR="00995365" w:rsidRPr="005B6501" w:rsidRDefault="00387AD8">
            <w:pPr>
              <w:jc w:val="right"/>
              <w:rPr>
                <w:rFonts w:ascii="Arial" w:eastAsia="Calibri" w:hAnsi="Arial" w:cs="Arial"/>
                <w:color w:val="000000"/>
                <w:sz w:val="16"/>
                <w:szCs w:val="16"/>
              </w:rPr>
            </w:pPr>
            <w:r w:rsidRPr="005B6501">
              <w:rPr>
                <w:rFonts w:ascii="Arial" w:hAnsi="Arial" w:cs="Arial"/>
                <w:color w:val="000000"/>
                <w:sz w:val="16"/>
                <w:szCs w:val="16"/>
              </w:rPr>
              <w:t>8.</w:t>
            </w:r>
            <w:r w:rsidR="003618F1" w:rsidRPr="005B6501">
              <w:rPr>
                <w:rFonts w:ascii="Arial" w:hAnsi="Arial" w:cs="Arial"/>
                <w:color w:val="000000"/>
                <w:sz w:val="16"/>
                <w:szCs w:val="16"/>
              </w:rPr>
              <w:t>78</w:t>
            </w:r>
            <w:r w:rsidR="003618F1">
              <w:rPr>
                <w:rFonts w:ascii="Arial" w:hAnsi="Arial" w:cs="Arial"/>
                <w:color w:val="000000"/>
                <w:sz w:val="16"/>
                <w:szCs w:val="16"/>
              </w:rPr>
              <w:t>3</w:t>
            </w:r>
          </w:p>
        </w:tc>
      </w:tr>
      <w:tr w:rsidR="00995365" w:rsidRPr="005B6501" w14:paraId="343368E5" w14:textId="77777777" w:rsidTr="00995365">
        <w:trPr>
          <w:trHeight w:val="70"/>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74B081EF" w14:textId="77777777" w:rsidR="00995365" w:rsidRPr="005B6501" w:rsidRDefault="00995365" w:rsidP="00995365">
            <w:pPr>
              <w:jc w:val="both"/>
              <w:rPr>
                <w:rFonts w:ascii="Arial" w:hAnsi="Arial" w:cs="Arial"/>
                <w:b/>
                <w:sz w:val="16"/>
                <w:lang w:eastAsia="es-AR"/>
              </w:rPr>
            </w:pPr>
            <w:r w:rsidRPr="005B6501">
              <w:rPr>
                <w:rFonts w:ascii="Arial" w:hAnsi="Arial" w:cs="Arial"/>
                <w:b/>
                <w:sz w:val="16"/>
                <w:lang w:eastAsia="es-AR"/>
              </w:rPr>
              <w:t>Total Activo</w:t>
            </w:r>
          </w:p>
        </w:tc>
        <w:tc>
          <w:tcPr>
            <w:tcW w:w="630" w:type="pct"/>
            <w:tcBorders>
              <w:top w:val="nil"/>
              <w:left w:val="nil"/>
              <w:bottom w:val="single" w:sz="4" w:space="0" w:color="auto"/>
              <w:right w:val="single" w:sz="4" w:space="0" w:color="auto"/>
            </w:tcBorders>
            <w:shd w:val="clear" w:color="auto" w:fill="auto"/>
            <w:noWrap/>
            <w:vAlign w:val="bottom"/>
          </w:tcPr>
          <w:p w14:paraId="327595AD" w14:textId="36D1F340" w:rsidR="00995365" w:rsidRPr="005B6501" w:rsidRDefault="000A58EC">
            <w:pPr>
              <w:jc w:val="right"/>
              <w:rPr>
                <w:rFonts w:ascii="Arial" w:eastAsia="Calibri" w:hAnsi="Arial" w:cs="Arial"/>
                <w:b/>
                <w:color w:val="000000"/>
                <w:sz w:val="16"/>
                <w:szCs w:val="16"/>
              </w:rPr>
            </w:pPr>
            <w:r w:rsidRPr="000A58EC">
              <w:rPr>
                <w:rFonts w:ascii="Arial" w:hAnsi="Arial" w:cs="Arial"/>
                <w:b/>
                <w:bCs/>
                <w:color w:val="000000"/>
                <w:sz w:val="16"/>
                <w:szCs w:val="16"/>
              </w:rPr>
              <w:t>6.588.278</w:t>
            </w:r>
          </w:p>
        </w:tc>
        <w:tc>
          <w:tcPr>
            <w:tcW w:w="708" w:type="pct"/>
            <w:tcBorders>
              <w:top w:val="nil"/>
              <w:left w:val="nil"/>
              <w:bottom w:val="single" w:sz="4" w:space="0" w:color="auto"/>
              <w:right w:val="single" w:sz="4" w:space="0" w:color="auto"/>
            </w:tcBorders>
            <w:shd w:val="clear" w:color="auto" w:fill="auto"/>
            <w:noWrap/>
            <w:vAlign w:val="bottom"/>
          </w:tcPr>
          <w:p w14:paraId="63FBDE65" w14:textId="2F6DA4C2" w:rsidR="00995365" w:rsidRPr="005B6501" w:rsidRDefault="000A58EC">
            <w:pPr>
              <w:jc w:val="right"/>
              <w:rPr>
                <w:rFonts w:ascii="Arial" w:eastAsia="Calibri" w:hAnsi="Arial" w:cs="Arial"/>
                <w:b/>
                <w:color w:val="000000"/>
                <w:sz w:val="16"/>
                <w:szCs w:val="16"/>
              </w:rPr>
            </w:pPr>
            <w:r w:rsidRPr="000A58EC">
              <w:rPr>
                <w:rFonts w:ascii="Arial" w:hAnsi="Arial" w:cs="Arial"/>
                <w:b/>
                <w:bCs/>
                <w:color w:val="000000"/>
                <w:sz w:val="16"/>
                <w:szCs w:val="16"/>
              </w:rPr>
              <w:t>41.784.34</w:t>
            </w:r>
            <w:r>
              <w:rPr>
                <w:rFonts w:ascii="Arial" w:hAnsi="Arial" w:cs="Arial"/>
                <w:b/>
                <w:bCs/>
                <w:color w:val="000000"/>
                <w:sz w:val="16"/>
                <w:szCs w:val="16"/>
              </w:rPr>
              <w:t>3</w:t>
            </w:r>
          </w:p>
        </w:tc>
        <w:tc>
          <w:tcPr>
            <w:tcW w:w="630" w:type="pct"/>
            <w:tcBorders>
              <w:top w:val="nil"/>
              <w:left w:val="nil"/>
              <w:bottom w:val="single" w:sz="4" w:space="0" w:color="auto"/>
              <w:right w:val="single" w:sz="4" w:space="0" w:color="auto"/>
            </w:tcBorders>
            <w:shd w:val="clear" w:color="auto" w:fill="auto"/>
            <w:noWrap/>
            <w:vAlign w:val="bottom"/>
          </w:tcPr>
          <w:p w14:paraId="508FACA5" w14:textId="1C567D65" w:rsidR="00995365" w:rsidRPr="005B6501" w:rsidRDefault="000A58EC">
            <w:pPr>
              <w:jc w:val="right"/>
              <w:rPr>
                <w:rFonts w:ascii="Arial" w:eastAsia="Calibri" w:hAnsi="Arial" w:cs="Arial"/>
                <w:b/>
                <w:color w:val="000000"/>
                <w:sz w:val="16"/>
                <w:szCs w:val="16"/>
              </w:rPr>
            </w:pPr>
            <w:r w:rsidRPr="000A58EC">
              <w:rPr>
                <w:rFonts w:ascii="Arial" w:hAnsi="Arial" w:cs="Arial"/>
                <w:b/>
                <w:bCs/>
                <w:color w:val="000000"/>
                <w:sz w:val="16"/>
                <w:szCs w:val="16"/>
              </w:rPr>
              <w:t>2.52</w:t>
            </w:r>
            <w:r>
              <w:rPr>
                <w:rFonts w:ascii="Arial" w:hAnsi="Arial" w:cs="Arial"/>
                <w:b/>
                <w:bCs/>
                <w:color w:val="000000"/>
                <w:sz w:val="16"/>
                <w:szCs w:val="16"/>
              </w:rPr>
              <w:t>6</w:t>
            </w:r>
          </w:p>
        </w:tc>
        <w:tc>
          <w:tcPr>
            <w:tcW w:w="552" w:type="pct"/>
            <w:tcBorders>
              <w:top w:val="nil"/>
              <w:left w:val="nil"/>
              <w:bottom w:val="single" w:sz="4" w:space="0" w:color="auto"/>
              <w:right w:val="single" w:sz="4" w:space="0" w:color="auto"/>
            </w:tcBorders>
            <w:vAlign w:val="bottom"/>
          </w:tcPr>
          <w:p w14:paraId="32DF1B9F" w14:textId="3D155A24" w:rsidR="00995365" w:rsidRPr="005B6501" w:rsidRDefault="000A58EC">
            <w:pPr>
              <w:jc w:val="right"/>
              <w:rPr>
                <w:rFonts w:ascii="Arial" w:eastAsia="Calibri" w:hAnsi="Arial" w:cs="Arial"/>
                <w:b/>
                <w:color w:val="000000"/>
                <w:sz w:val="16"/>
                <w:szCs w:val="16"/>
              </w:rPr>
            </w:pPr>
            <w:r w:rsidRPr="000A58EC">
              <w:rPr>
                <w:rFonts w:ascii="Arial" w:hAnsi="Arial" w:cs="Arial"/>
                <w:b/>
                <w:bCs/>
                <w:color w:val="000000"/>
                <w:sz w:val="16"/>
                <w:szCs w:val="16"/>
              </w:rPr>
              <w:t>48.375.147</w:t>
            </w:r>
          </w:p>
        </w:tc>
      </w:tr>
      <w:tr w:rsidR="00D17D79" w:rsidRPr="005B6501" w14:paraId="1BC7EABD" w14:textId="77777777" w:rsidTr="00995365">
        <w:trPr>
          <w:trHeight w:val="131"/>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334BF3A2" w14:textId="53D09ED9" w:rsidR="00D17D79" w:rsidRPr="005B6501" w:rsidRDefault="00D17D79" w:rsidP="00992CF2">
            <w:pPr>
              <w:jc w:val="both"/>
              <w:rPr>
                <w:rFonts w:ascii="Arial" w:hAnsi="Arial" w:cs="Arial"/>
                <w:b/>
                <w:bCs/>
                <w:sz w:val="16"/>
                <w:lang w:eastAsia="es-AR"/>
              </w:rPr>
            </w:pPr>
            <w:r w:rsidRPr="005B6501">
              <w:rPr>
                <w:rFonts w:ascii="Arial" w:hAnsi="Arial" w:cs="Arial"/>
                <w:b/>
                <w:bCs/>
                <w:sz w:val="16"/>
                <w:lang w:eastAsia="es-AR"/>
              </w:rPr>
              <w:t>Pasivos</w:t>
            </w:r>
          </w:p>
        </w:tc>
        <w:tc>
          <w:tcPr>
            <w:tcW w:w="630" w:type="pct"/>
            <w:tcBorders>
              <w:top w:val="nil"/>
              <w:left w:val="nil"/>
              <w:bottom w:val="single" w:sz="4" w:space="0" w:color="auto"/>
              <w:right w:val="single" w:sz="4" w:space="0" w:color="auto"/>
            </w:tcBorders>
            <w:shd w:val="clear" w:color="auto" w:fill="auto"/>
            <w:noWrap/>
            <w:vAlign w:val="bottom"/>
          </w:tcPr>
          <w:p w14:paraId="03CE4A8C" w14:textId="77777777" w:rsidR="00D17D79" w:rsidRPr="005B6501" w:rsidRDefault="00D17D79" w:rsidP="00BF746E">
            <w:pPr>
              <w:jc w:val="right"/>
              <w:rPr>
                <w:rFonts w:ascii="Arial" w:hAnsi="Arial" w:cs="Arial"/>
                <w:b/>
                <w:bCs/>
                <w:sz w:val="16"/>
                <w:lang w:eastAsia="es-AR"/>
              </w:rPr>
            </w:pPr>
          </w:p>
        </w:tc>
        <w:tc>
          <w:tcPr>
            <w:tcW w:w="708" w:type="pct"/>
            <w:tcBorders>
              <w:top w:val="nil"/>
              <w:left w:val="nil"/>
              <w:bottom w:val="single" w:sz="4" w:space="0" w:color="auto"/>
              <w:right w:val="single" w:sz="4" w:space="0" w:color="auto"/>
            </w:tcBorders>
            <w:shd w:val="clear" w:color="auto" w:fill="auto"/>
            <w:noWrap/>
            <w:vAlign w:val="bottom"/>
          </w:tcPr>
          <w:p w14:paraId="1C0E9548" w14:textId="77777777" w:rsidR="00D17D79" w:rsidRPr="005B6501" w:rsidRDefault="00D17D79" w:rsidP="00BF746E">
            <w:pPr>
              <w:jc w:val="right"/>
              <w:rPr>
                <w:rFonts w:ascii="Arial" w:hAnsi="Arial" w:cs="Arial"/>
                <w:b/>
                <w:bCs/>
                <w:sz w:val="16"/>
                <w:lang w:eastAsia="es-AR"/>
              </w:rPr>
            </w:pPr>
          </w:p>
        </w:tc>
        <w:tc>
          <w:tcPr>
            <w:tcW w:w="630" w:type="pct"/>
            <w:tcBorders>
              <w:top w:val="nil"/>
              <w:left w:val="nil"/>
              <w:bottom w:val="single" w:sz="4" w:space="0" w:color="auto"/>
              <w:right w:val="single" w:sz="4" w:space="0" w:color="auto"/>
            </w:tcBorders>
            <w:shd w:val="clear" w:color="auto" w:fill="auto"/>
            <w:noWrap/>
            <w:vAlign w:val="bottom"/>
          </w:tcPr>
          <w:p w14:paraId="7681BC60" w14:textId="77777777" w:rsidR="00D17D79" w:rsidRPr="005B6501" w:rsidRDefault="00D17D79" w:rsidP="00BF746E">
            <w:pPr>
              <w:jc w:val="right"/>
              <w:rPr>
                <w:rFonts w:ascii="Arial" w:hAnsi="Arial" w:cs="Arial"/>
                <w:b/>
                <w:bCs/>
                <w:sz w:val="16"/>
                <w:lang w:eastAsia="es-AR"/>
              </w:rPr>
            </w:pPr>
          </w:p>
        </w:tc>
        <w:tc>
          <w:tcPr>
            <w:tcW w:w="552" w:type="pct"/>
            <w:tcBorders>
              <w:top w:val="nil"/>
              <w:left w:val="nil"/>
              <w:bottom w:val="single" w:sz="4" w:space="0" w:color="auto"/>
              <w:right w:val="single" w:sz="4" w:space="0" w:color="auto"/>
            </w:tcBorders>
            <w:vAlign w:val="bottom"/>
          </w:tcPr>
          <w:p w14:paraId="6A24AB2E" w14:textId="77777777" w:rsidR="00D17D79" w:rsidRPr="005B6501" w:rsidRDefault="00D17D79" w:rsidP="00BF746E">
            <w:pPr>
              <w:jc w:val="right"/>
              <w:rPr>
                <w:rFonts w:ascii="Arial" w:hAnsi="Arial" w:cs="Arial"/>
                <w:b/>
                <w:bCs/>
                <w:sz w:val="16"/>
                <w:lang w:eastAsia="es-AR"/>
              </w:rPr>
            </w:pPr>
          </w:p>
        </w:tc>
      </w:tr>
      <w:tr w:rsidR="00995365" w:rsidRPr="005B6501" w14:paraId="46AAC8B8" w14:textId="77777777" w:rsidTr="00995365">
        <w:trPr>
          <w:trHeight w:val="117"/>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6B60A012" w14:textId="281A730D" w:rsidR="00995365" w:rsidRPr="005B6501" w:rsidRDefault="00995365" w:rsidP="00627289">
            <w:pPr>
              <w:numPr>
                <w:ilvl w:val="0"/>
                <w:numId w:val="32"/>
              </w:numPr>
              <w:spacing w:after="160" w:line="259" w:lineRule="auto"/>
              <w:ind w:left="66" w:hanging="77"/>
              <w:contextualSpacing/>
              <w:jc w:val="both"/>
              <w:rPr>
                <w:rFonts w:ascii="Arial" w:hAnsi="Arial" w:cs="Arial"/>
                <w:sz w:val="16"/>
                <w:lang w:eastAsia="es-AR"/>
              </w:rPr>
            </w:pPr>
            <w:r w:rsidRPr="005B6501">
              <w:rPr>
                <w:rFonts w:ascii="Arial" w:hAnsi="Arial" w:cs="Arial"/>
                <w:sz w:val="16"/>
                <w:lang w:eastAsia="es-AR"/>
              </w:rPr>
              <w:t xml:space="preserve"> </w:t>
            </w:r>
            <w:r w:rsidR="00DE5129" w:rsidRPr="00DE5129">
              <w:rPr>
                <w:rFonts w:ascii="Arial" w:hAnsi="Arial" w:cs="Arial"/>
                <w:sz w:val="16"/>
                <w:lang w:eastAsia="es-AR"/>
              </w:rPr>
              <w:t>Pasivos a valor razonable con cambios en resultados</w:t>
            </w:r>
          </w:p>
        </w:tc>
        <w:tc>
          <w:tcPr>
            <w:tcW w:w="630" w:type="pct"/>
            <w:tcBorders>
              <w:top w:val="nil"/>
              <w:left w:val="nil"/>
              <w:bottom w:val="single" w:sz="4" w:space="0" w:color="auto"/>
              <w:right w:val="single" w:sz="4" w:space="0" w:color="auto"/>
            </w:tcBorders>
            <w:shd w:val="clear" w:color="auto" w:fill="auto"/>
            <w:noWrap/>
            <w:vAlign w:val="bottom"/>
          </w:tcPr>
          <w:p w14:paraId="74E9CED8" w14:textId="570A38DE" w:rsidR="00995365" w:rsidRPr="005B6501" w:rsidRDefault="00387AD8">
            <w:pPr>
              <w:jc w:val="right"/>
              <w:rPr>
                <w:rFonts w:ascii="Arial" w:hAnsi="Arial" w:cs="Arial"/>
                <w:sz w:val="16"/>
                <w:szCs w:val="16"/>
                <w:lang w:eastAsia="es-AR"/>
              </w:rPr>
            </w:pPr>
            <w:r w:rsidRPr="005B6501">
              <w:rPr>
                <w:rFonts w:ascii="Arial" w:hAnsi="Arial" w:cs="Arial"/>
                <w:color w:val="000000"/>
                <w:sz w:val="16"/>
                <w:szCs w:val="16"/>
              </w:rPr>
              <w:t>365.736</w:t>
            </w:r>
          </w:p>
        </w:tc>
        <w:tc>
          <w:tcPr>
            <w:tcW w:w="708" w:type="pct"/>
            <w:tcBorders>
              <w:top w:val="nil"/>
              <w:left w:val="nil"/>
              <w:bottom w:val="single" w:sz="4" w:space="0" w:color="auto"/>
              <w:right w:val="single" w:sz="4" w:space="0" w:color="auto"/>
            </w:tcBorders>
            <w:shd w:val="clear" w:color="auto" w:fill="auto"/>
            <w:noWrap/>
            <w:vAlign w:val="bottom"/>
          </w:tcPr>
          <w:p w14:paraId="48B11B7F" w14:textId="6974E9F8" w:rsidR="00995365" w:rsidRPr="005B6501" w:rsidRDefault="00995365">
            <w:pPr>
              <w:jc w:val="right"/>
              <w:rPr>
                <w:rFonts w:ascii="Arial" w:hAnsi="Arial" w:cs="Arial"/>
                <w:sz w:val="16"/>
                <w:szCs w:val="16"/>
                <w:lang w:eastAsia="es-AR"/>
              </w:rPr>
            </w:pPr>
            <w:r w:rsidRPr="005B6501">
              <w:rPr>
                <w:rFonts w:ascii="Arial" w:hAnsi="Arial" w:cs="Arial"/>
                <w:color w:val="000000"/>
                <w:sz w:val="16"/>
                <w:szCs w:val="16"/>
              </w:rPr>
              <w:t>-</w:t>
            </w:r>
          </w:p>
        </w:tc>
        <w:tc>
          <w:tcPr>
            <w:tcW w:w="630" w:type="pct"/>
            <w:tcBorders>
              <w:top w:val="nil"/>
              <w:left w:val="nil"/>
              <w:bottom w:val="single" w:sz="4" w:space="0" w:color="auto"/>
              <w:right w:val="single" w:sz="4" w:space="0" w:color="auto"/>
            </w:tcBorders>
            <w:shd w:val="clear" w:color="auto" w:fill="auto"/>
            <w:noWrap/>
            <w:vAlign w:val="bottom"/>
          </w:tcPr>
          <w:p w14:paraId="4D78A7AF" w14:textId="606675EA" w:rsidR="00995365" w:rsidRPr="005B6501" w:rsidRDefault="00995365">
            <w:pPr>
              <w:jc w:val="right"/>
              <w:rPr>
                <w:rFonts w:ascii="Arial" w:hAnsi="Arial" w:cs="Arial"/>
                <w:sz w:val="16"/>
                <w:szCs w:val="16"/>
                <w:lang w:eastAsia="es-AR"/>
              </w:rPr>
            </w:pPr>
            <w:r w:rsidRPr="005B6501">
              <w:rPr>
                <w:rFonts w:ascii="Arial" w:hAnsi="Arial" w:cs="Arial"/>
                <w:color w:val="000000"/>
                <w:sz w:val="16"/>
                <w:szCs w:val="16"/>
              </w:rPr>
              <w:t>-</w:t>
            </w:r>
          </w:p>
        </w:tc>
        <w:tc>
          <w:tcPr>
            <w:tcW w:w="552" w:type="pct"/>
            <w:tcBorders>
              <w:top w:val="nil"/>
              <w:left w:val="nil"/>
              <w:bottom w:val="single" w:sz="4" w:space="0" w:color="auto"/>
              <w:right w:val="single" w:sz="4" w:space="0" w:color="auto"/>
            </w:tcBorders>
            <w:vAlign w:val="bottom"/>
          </w:tcPr>
          <w:p w14:paraId="28C5C888" w14:textId="7206FD01" w:rsidR="00995365" w:rsidRPr="005B6501" w:rsidRDefault="00387AD8">
            <w:pPr>
              <w:jc w:val="right"/>
              <w:rPr>
                <w:rFonts w:ascii="Arial" w:eastAsia="Calibri" w:hAnsi="Arial" w:cs="Arial"/>
                <w:color w:val="000000"/>
                <w:sz w:val="16"/>
                <w:szCs w:val="16"/>
              </w:rPr>
            </w:pPr>
            <w:r w:rsidRPr="005B6501">
              <w:rPr>
                <w:rFonts w:ascii="Arial" w:hAnsi="Arial" w:cs="Arial"/>
                <w:color w:val="000000"/>
                <w:sz w:val="16"/>
                <w:szCs w:val="16"/>
              </w:rPr>
              <w:t>365.736</w:t>
            </w:r>
          </w:p>
        </w:tc>
      </w:tr>
      <w:tr w:rsidR="00387AD8" w:rsidRPr="005B6501" w14:paraId="45976DE3" w14:textId="77777777" w:rsidTr="00995365">
        <w:trPr>
          <w:trHeight w:val="117"/>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5728CD29" w14:textId="4303B238" w:rsidR="00387AD8" w:rsidRPr="005B6501" w:rsidRDefault="00387AD8" w:rsidP="00387AD8">
            <w:pPr>
              <w:numPr>
                <w:ilvl w:val="0"/>
                <w:numId w:val="32"/>
              </w:numPr>
              <w:spacing w:after="160" w:line="259" w:lineRule="auto"/>
              <w:ind w:left="66" w:hanging="77"/>
              <w:contextualSpacing/>
              <w:jc w:val="both"/>
              <w:rPr>
                <w:rFonts w:ascii="Arial" w:hAnsi="Arial" w:cs="Arial"/>
                <w:sz w:val="16"/>
                <w:lang w:eastAsia="es-AR"/>
              </w:rPr>
            </w:pPr>
            <w:r w:rsidRPr="005B6501">
              <w:rPr>
                <w:rFonts w:ascii="Arial" w:hAnsi="Arial" w:cs="Arial"/>
                <w:sz w:val="16"/>
                <w:lang w:eastAsia="es-AR"/>
              </w:rPr>
              <w:t xml:space="preserve"> Otros Pasivos Financieros</w:t>
            </w:r>
          </w:p>
        </w:tc>
        <w:tc>
          <w:tcPr>
            <w:tcW w:w="630" w:type="pct"/>
            <w:tcBorders>
              <w:top w:val="nil"/>
              <w:left w:val="nil"/>
              <w:bottom w:val="single" w:sz="4" w:space="0" w:color="auto"/>
              <w:right w:val="single" w:sz="4" w:space="0" w:color="auto"/>
            </w:tcBorders>
            <w:shd w:val="clear" w:color="auto" w:fill="auto"/>
            <w:noWrap/>
            <w:vAlign w:val="bottom"/>
          </w:tcPr>
          <w:p w14:paraId="5353739D" w14:textId="6FA57078" w:rsidR="00387AD8" w:rsidRPr="005B6501" w:rsidRDefault="00387AD8" w:rsidP="00387AD8">
            <w:pPr>
              <w:jc w:val="right"/>
              <w:rPr>
                <w:rFonts w:ascii="Arial" w:hAnsi="Arial" w:cs="Arial"/>
                <w:color w:val="000000"/>
                <w:sz w:val="16"/>
                <w:szCs w:val="16"/>
              </w:rPr>
            </w:pPr>
            <w:r w:rsidRPr="005B6501">
              <w:rPr>
                <w:rFonts w:ascii="Arial" w:hAnsi="Arial" w:cs="Arial"/>
                <w:color w:val="000000"/>
                <w:sz w:val="16"/>
                <w:szCs w:val="16"/>
              </w:rPr>
              <w:t>5.684.843</w:t>
            </w:r>
          </w:p>
        </w:tc>
        <w:tc>
          <w:tcPr>
            <w:tcW w:w="708" w:type="pct"/>
            <w:tcBorders>
              <w:top w:val="nil"/>
              <w:left w:val="nil"/>
              <w:bottom w:val="single" w:sz="4" w:space="0" w:color="auto"/>
              <w:right w:val="single" w:sz="4" w:space="0" w:color="auto"/>
            </w:tcBorders>
            <w:shd w:val="clear" w:color="auto" w:fill="auto"/>
            <w:noWrap/>
            <w:vAlign w:val="bottom"/>
          </w:tcPr>
          <w:p w14:paraId="43872015" w14:textId="416EC283" w:rsidR="00387AD8" w:rsidRPr="005B6501" w:rsidRDefault="00387AD8" w:rsidP="00387AD8">
            <w:pPr>
              <w:jc w:val="right"/>
              <w:rPr>
                <w:rFonts w:ascii="Arial" w:hAnsi="Arial" w:cs="Arial"/>
                <w:color w:val="000000"/>
                <w:sz w:val="16"/>
                <w:szCs w:val="16"/>
              </w:rPr>
            </w:pPr>
            <w:r w:rsidRPr="005B6501">
              <w:rPr>
                <w:rFonts w:ascii="Arial" w:hAnsi="Arial" w:cs="Arial"/>
                <w:color w:val="000000"/>
                <w:sz w:val="16"/>
                <w:szCs w:val="16"/>
              </w:rPr>
              <w:t>-</w:t>
            </w:r>
          </w:p>
        </w:tc>
        <w:tc>
          <w:tcPr>
            <w:tcW w:w="630" w:type="pct"/>
            <w:tcBorders>
              <w:top w:val="nil"/>
              <w:left w:val="nil"/>
              <w:bottom w:val="single" w:sz="4" w:space="0" w:color="auto"/>
              <w:right w:val="single" w:sz="4" w:space="0" w:color="auto"/>
            </w:tcBorders>
            <w:shd w:val="clear" w:color="auto" w:fill="auto"/>
            <w:noWrap/>
            <w:vAlign w:val="bottom"/>
          </w:tcPr>
          <w:p w14:paraId="31E69B7F" w14:textId="220553DB" w:rsidR="00387AD8" w:rsidRPr="005B6501" w:rsidRDefault="00387AD8" w:rsidP="00387AD8">
            <w:pPr>
              <w:jc w:val="right"/>
              <w:rPr>
                <w:rFonts w:ascii="Arial" w:hAnsi="Arial" w:cs="Arial"/>
                <w:color w:val="000000"/>
                <w:sz w:val="16"/>
                <w:szCs w:val="16"/>
              </w:rPr>
            </w:pPr>
            <w:r w:rsidRPr="005B6501">
              <w:rPr>
                <w:rFonts w:ascii="Arial" w:hAnsi="Arial" w:cs="Arial"/>
                <w:color w:val="000000"/>
                <w:sz w:val="16"/>
                <w:szCs w:val="16"/>
              </w:rPr>
              <w:t>-</w:t>
            </w:r>
          </w:p>
        </w:tc>
        <w:tc>
          <w:tcPr>
            <w:tcW w:w="552" w:type="pct"/>
            <w:tcBorders>
              <w:top w:val="nil"/>
              <w:left w:val="nil"/>
              <w:bottom w:val="single" w:sz="4" w:space="0" w:color="auto"/>
              <w:right w:val="single" w:sz="4" w:space="0" w:color="auto"/>
            </w:tcBorders>
            <w:vAlign w:val="bottom"/>
          </w:tcPr>
          <w:p w14:paraId="76E8371E" w14:textId="10C649AE" w:rsidR="00387AD8" w:rsidRPr="005B6501" w:rsidRDefault="00387AD8" w:rsidP="00387AD8">
            <w:pPr>
              <w:jc w:val="right"/>
              <w:rPr>
                <w:rFonts w:ascii="Arial" w:hAnsi="Arial" w:cs="Arial"/>
                <w:color w:val="000000"/>
                <w:sz w:val="16"/>
                <w:szCs w:val="16"/>
              </w:rPr>
            </w:pPr>
            <w:r w:rsidRPr="005B6501">
              <w:rPr>
                <w:rFonts w:ascii="Arial" w:hAnsi="Arial" w:cs="Arial"/>
                <w:color w:val="000000"/>
                <w:sz w:val="16"/>
                <w:szCs w:val="16"/>
              </w:rPr>
              <w:t>5.684.843</w:t>
            </w:r>
          </w:p>
        </w:tc>
      </w:tr>
      <w:tr w:rsidR="00387AD8" w:rsidRPr="005B6501" w14:paraId="7C2FB2B7" w14:textId="77777777" w:rsidTr="00995365">
        <w:trPr>
          <w:trHeight w:val="157"/>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0E32758" w14:textId="77777777" w:rsidR="00387AD8" w:rsidRPr="005B6501" w:rsidRDefault="00387AD8" w:rsidP="00387AD8">
            <w:pPr>
              <w:rPr>
                <w:rFonts w:ascii="Arial" w:hAnsi="Arial" w:cs="Arial"/>
                <w:b/>
                <w:bCs/>
                <w:sz w:val="16"/>
                <w:lang w:eastAsia="es-AR"/>
              </w:rPr>
            </w:pPr>
            <w:r w:rsidRPr="005B6501">
              <w:rPr>
                <w:rFonts w:ascii="Arial" w:hAnsi="Arial" w:cs="Arial"/>
                <w:b/>
                <w:bCs/>
                <w:sz w:val="16"/>
                <w:lang w:eastAsia="es-AR"/>
              </w:rPr>
              <w:t>Total Pasivo</w:t>
            </w:r>
          </w:p>
        </w:tc>
        <w:tc>
          <w:tcPr>
            <w:tcW w:w="630" w:type="pct"/>
            <w:tcBorders>
              <w:top w:val="nil"/>
              <w:left w:val="nil"/>
              <w:bottom w:val="single" w:sz="4" w:space="0" w:color="auto"/>
              <w:right w:val="single" w:sz="4" w:space="0" w:color="auto"/>
            </w:tcBorders>
            <w:shd w:val="clear" w:color="auto" w:fill="auto"/>
            <w:noWrap/>
            <w:vAlign w:val="bottom"/>
          </w:tcPr>
          <w:p w14:paraId="45690F0B" w14:textId="44D8B35F" w:rsidR="00387AD8" w:rsidRPr="005B6501" w:rsidRDefault="00387AD8" w:rsidP="00387AD8">
            <w:pPr>
              <w:jc w:val="right"/>
              <w:rPr>
                <w:rFonts w:ascii="Arial" w:hAnsi="Arial" w:cs="Arial"/>
                <w:b/>
                <w:bCs/>
                <w:sz w:val="16"/>
                <w:szCs w:val="16"/>
                <w:lang w:eastAsia="es-AR"/>
              </w:rPr>
            </w:pPr>
            <w:r w:rsidRPr="005B6501">
              <w:rPr>
                <w:rFonts w:ascii="Arial" w:hAnsi="Arial" w:cs="Arial"/>
                <w:b/>
                <w:bCs/>
                <w:color w:val="000000"/>
                <w:sz w:val="16"/>
                <w:szCs w:val="16"/>
              </w:rPr>
              <w:t>6.050.579</w:t>
            </w:r>
          </w:p>
        </w:tc>
        <w:tc>
          <w:tcPr>
            <w:tcW w:w="708" w:type="pct"/>
            <w:tcBorders>
              <w:top w:val="nil"/>
              <w:left w:val="nil"/>
              <w:bottom w:val="single" w:sz="4" w:space="0" w:color="auto"/>
              <w:right w:val="single" w:sz="4" w:space="0" w:color="auto"/>
            </w:tcBorders>
            <w:shd w:val="clear" w:color="auto" w:fill="auto"/>
            <w:noWrap/>
            <w:vAlign w:val="bottom"/>
          </w:tcPr>
          <w:p w14:paraId="6A72FC0D" w14:textId="2464DC84" w:rsidR="00387AD8" w:rsidRPr="005B6501" w:rsidRDefault="00387AD8" w:rsidP="00387AD8">
            <w:pPr>
              <w:jc w:val="right"/>
              <w:rPr>
                <w:rFonts w:ascii="Arial" w:eastAsia="Calibri" w:hAnsi="Arial" w:cs="Arial"/>
                <w:b/>
                <w:bCs/>
                <w:color w:val="000000"/>
                <w:sz w:val="16"/>
                <w:szCs w:val="16"/>
              </w:rPr>
            </w:pPr>
            <w:r w:rsidRPr="005B6501">
              <w:rPr>
                <w:rFonts w:ascii="Arial" w:hAnsi="Arial" w:cs="Arial"/>
                <w:b/>
                <w:bCs/>
                <w:color w:val="000000"/>
                <w:sz w:val="16"/>
                <w:szCs w:val="16"/>
              </w:rPr>
              <w:t>-</w:t>
            </w:r>
          </w:p>
        </w:tc>
        <w:tc>
          <w:tcPr>
            <w:tcW w:w="630" w:type="pct"/>
            <w:tcBorders>
              <w:top w:val="nil"/>
              <w:left w:val="nil"/>
              <w:bottom w:val="single" w:sz="4" w:space="0" w:color="auto"/>
              <w:right w:val="single" w:sz="4" w:space="0" w:color="auto"/>
            </w:tcBorders>
            <w:shd w:val="clear" w:color="auto" w:fill="auto"/>
            <w:noWrap/>
            <w:vAlign w:val="bottom"/>
          </w:tcPr>
          <w:p w14:paraId="583C5D81" w14:textId="7B437985" w:rsidR="00387AD8" w:rsidRPr="005B6501" w:rsidRDefault="00387AD8" w:rsidP="00387AD8">
            <w:pPr>
              <w:jc w:val="right"/>
              <w:rPr>
                <w:rFonts w:ascii="Arial" w:hAnsi="Arial" w:cs="Arial"/>
                <w:b/>
                <w:bCs/>
                <w:sz w:val="16"/>
                <w:szCs w:val="16"/>
                <w:lang w:eastAsia="es-AR"/>
              </w:rPr>
            </w:pPr>
            <w:r w:rsidRPr="005B6501">
              <w:rPr>
                <w:rFonts w:ascii="Arial" w:hAnsi="Arial" w:cs="Arial"/>
                <w:b/>
                <w:bCs/>
                <w:color w:val="000000"/>
                <w:sz w:val="16"/>
                <w:szCs w:val="16"/>
              </w:rPr>
              <w:t>-</w:t>
            </w:r>
          </w:p>
        </w:tc>
        <w:tc>
          <w:tcPr>
            <w:tcW w:w="552" w:type="pct"/>
            <w:tcBorders>
              <w:top w:val="nil"/>
              <w:left w:val="nil"/>
              <w:bottom w:val="single" w:sz="4" w:space="0" w:color="auto"/>
              <w:right w:val="single" w:sz="4" w:space="0" w:color="auto"/>
            </w:tcBorders>
            <w:vAlign w:val="bottom"/>
          </w:tcPr>
          <w:p w14:paraId="1EDC1574" w14:textId="4A139C43" w:rsidR="00387AD8" w:rsidRPr="005B6501" w:rsidRDefault="00387AD8" w:rsidP="00387AD8">
            <w:pPr>
              <w:jc w:val="right"/>
              <w:rPr>
                <w:rFonts w:ascii="Arial" w:hAnsi="Arial" w:cs="Arial"/>
                <w:b/>
                <w:bCs/>
                <w:sz w:val="16"/>
                <w:szCs w:val="16"/>
                <w:lang w:eastAsia="es-AR"/>
              </w:rPr>
            </w:pPr>
            <w:r w:rsidRPr="005B6501">
              <w:rPr>
                <w:rFonts w:ascii="Arial" w:hAnsi="Arial" w:cs="Arial"/>
                <w:b/>
                <w:bCs/>
                <w:color w:val="000000"/>
                <w:sz w:val="16"/>
                <w:szCs w:val="16"/>
              </w:rPr>
              <w:t>6.050.579</w:t>
            </w:r>
          </w:p>
        </w:tc>
      </w:tr>
    </w:tbl>
    <w:p w14:paraId="769B8FAC" w14:textId="48E3BEB5" w:rsidR="00F30A15" w:rsidRPr="005B6501" w:rsidRDefault="00F30A15" w:rsidP="00656E62">
      <w:pPr>
        <w:spacing w:after="160" w:line="259" w:lineRule="auto"/>
        <w:jc w:val="both"/>
        <w:rPr>
          <w:rFonts w:ascii="Arial" w:eastAsia="Calibri" w:hAnsi="Arial" w:cs="Arial"/>
          <w:bCs/>
          <w:sz w:val="20"/>
        </w:rPr>
      </w:pPr>
    </w:p>
    <w:tbl>
      <w:tblPr>
        <w:tblW w:w="5206" w:type="pct"/>
        <w:tblLayout w:type="fixed"/>
        <w:tblCellMar>
          <w:left w:w="70" w:type="dxa"/>
          <w:right w:w="70" w:type="dxa"/>
        </w:tblCellMar>
        <w:tblLook w:val="04A0" w:firstRow="1" w:lastRow="0" w:firstColumn="1" w:lastColumn="0" w:noHBand="0" w:noVBand="1"/>
      </w:tblPr>
      <w:tblGrid>
        <w:gridCol w:w="4387"/>
        <w:gridCol w:w="1130"/>
        <w:gridCol w:w="1134"/>
        <w:gridCol w:w="1219"/>
        <w:gridCol w:w="975"/>
      </w:tblGrid>
      <w:tr w:rsidR="00F30A15" w:rsidRPr="00701F32" w14:paraId="087B0395" w14:textId="77777777" w:rsidTr="00387AD8">
        <w:trPr>
          <w:trHeight w:val="244"/>
          <w:tblHeader/>
        </w:trPr>
        <w:tc>
          <w:tcPr>
            <w:tcW w:w="2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6581D" w14:textId="62610D1F" w:rsidR="00F30A15" w:rsidRPr="005B6501" w:rsidRDefault="00F30A15" w:rsidP="00F30A15">
            <w:pPr>
              <w:jc w:val="both"/>
              <w:rPr>
                <w:rFonts w:ascii="Arial" w:hAnsi="Arial" w:cs="Arial"/>
                <w:b/>
                <w:sz w:val="16"/>
                <w:szCs w:val="16"/>
                <w:lang w:eastAsia="es-AR"/>
              </w:rPr>
            </w:pPr>
            <w:r w:rsidRPr="005B6501">
              <w:rPr>
                <w:rFonts w:ascii="Arial" w:eastAsia="Calibri" w:hAnsi="Arial" w:cs="Arial"/>
                <w:bCs/>
                <w:sz w:val="16"/>
                <w:szCs w:val="16"/>
              </w:rPr>
              <w:br w:type="page"/>
            </w:r>
            <w:r w:rsidRPr="00BA7A6B">
              <w:rPr>
                <w:rFonts w:ascii="Arial" w:hAnsi="Arial" w:cs="Arial"/>
                <w:b/>
                <w:sz w:val="16"/>
                <w:szCs w:val="16"/>
                <w:lang w:eastAsia="es-AR"/>
              </w:rPr>
              <w:t xml:space="preserve">Cartera de instrumentos al </w:t>
            </w:r>
            <w:r w:rsidR="00387AD8" w:rsidRPr="00BA7A6B">
              <w:rPr>
                <w:rFonts w:ascii="Arial" w:hAnsi="Arial" w:cs="Arial"/>
                <w:b/>
                <w:sz w:val="16"/>
                <w:szCs w:val="16"/>
                <w:lang w:eastAsia="es-AR"/>
              </w:rPr>
              <w:t>31/12/2019</w:t>
            </w:r>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52BF3730" w14:textId="77777777" w:rsidR="00F30A15" w:rsidRPr="005B6501" w:rsidRDefault="00F30A15" w:rsidP="00F30A15">
            <w:pPr>
              <w:jc w:val="center"/>
              <w:rPr>
                <w:rFonts w:ascii="Arial" w:hAnsi="Arial" w:cs="Arial"/>
                <w:b/>
                <w:sz w:val="16"/>
                <w:szCs w:val="16"/>
                <w:lang w:eastAsia="es-AR"/>
              </w:rPr>
            </w:pPr>
            <w:r w:rsidRPr="005B6501">
              <w:rPr>
                <w:rFonts w:ascii="Arial" w:hAnsi="Arial" w:cs="Arial"/>
                <w:b/>
                <w:sz w:val="16"/>
                <w:szCs w:val="16"/>
                <w:lang w:eastAsia="es-AR"/>
              </w:rPr>
              <w:t>VR nivel 1</w:t>
            </w:r>
          </w:p>
        </w:tc>
        <w:tc>
          <w:tcPr>
            <w:tcW w:w="641" w:type="pct"/>
            <w:tcBorders>
              <w:top w:val="single" w:sz="4" w:space="0" w:color="auto"/>
              <w:left w:val="nil"/>
              <w:bottom w:val="single" w:sz="4" w:space="0" w:color="auto"/>
              <w:right w:val="single" w:sz="4" w:space="0" w:color="auto"/>
            </w:tcBorders>
            <w:shd w:val="clear" w:color="auto" w:fill="auto"/>
            <w:noWrap/>
            <w:vAlign w:val="bottom"/>
            <w:hideMark/>
          </w:tcPr>
          <w:p w14:paraId="0CB50096" w14:textId="77777777" w:rsidR="00F30A15" w:rsidRPr="005B6501" w:rsidRDefault="00F30A15" w:rsidP="00F30A15">
            <w:pPr>
              <w:jc w:val="center"/>
              <w:rPr>
                <w:rFonts w:ascii="Arial" w:hAnsi="Arial" w:cs="Arial"/>
                <w:b/>
                <w:sz w:val="16"/>
                <w:szCs w:val="16"/>
                <w:lang w:eastAsia="es-AR"/>
              </w:rPr>
            </w:pPr>
            <w:r w:rsidRPr="005B6501">
              <w:rPr>
                <w:rFonts w:ascii="Arial" w:hAnsi="Arial" w:cs="Arial"/>
                <w:b/>
                <w:sz w:val="16"/>
                <w:szCs w:val="16"/>
                <w:lang w:eastAsia="es-AR"/>
              </w:rPr>
              <w:t>VR nivel 2</w:t>
            </w:r>
          </w:p>
        </w:tc>
        <w:tc>
          <w:tcPr>
            <w:tcW w:w="689" w:type="pct"/>
            <w:tcBorders>
              <w:top w:val="single" w:sz="4" w:space="0" w:color="auto"/>
              <w:left w:val="nil"/>
              <w:bottom w:val="single" w:sz="4" w:space="0" w:color="auto"/>
              <w:right w:val="single" w:sz="4" w:space="0" w:color="auto"/>
            </w:tcBorders>
            <w:shd w:val="clear" w:color="auto" w:fill="auto"/>
            <w:noWrap/>
            <w:vAlign w:val="bottom"/>
            <w:hideMark/>
          </w:tcPr>
          <w:p w14:paraId="16E42D4C" w14:textId="77777777" w:rsidR="00F30A15" w:rsidRPr="005B6501" w:rsidRDefault="00F30A15" w:rsidP="00F30A15">
            <w:pPr>
              <w:jc w:val="center"/>
              <w:rPr>
                <w:rFonts w:ascii="Arial" w:hAnsi="Arial" w:cs="Arial"/>
                <w:b/>
                <w:sz w:val="16"/>
                <w:szCs w:val="16"/>
                <w:lang w:eastAsia="es-AR"/>
              </w:rPr>
            </w:pPr>
            <w:r w:rsidRPr="005B6501">
              <w:rPr>
                <w:rFonts w:ascii="Arial" w:hAnsi="Arial" w:cs="Arial"/>
                <w:b/>
                <w:sz w:val="16"/>
                <w:szCs w:val="16"/>
                <w:lang w:eastAsia="es-AR"/>
              </w:rPr>
              <w:t>VR nivel 3</w:t>
            </w:r>
          </w:p>
        </w:tc>
        <w:tc>
          <w:tcPr>
            <w:tcW w:w="551" w:type="pct"/>
            <w:tcBorders>
              <w:top w:val="single" w:sz="4" w:space="0" w:color="auto"/>
              <w:left w:val="nil"/>
              <w:bottom w:val="single" w:sz="4" w:space="0" w:color="auto"/>
              <w:right w:val="single" w:sz="4" w:space="0" w:color="auto"/>
            </w:tcBorders>
            <w:vAlign w:val="center"/>
          </w:tcPr>
          <w:p w14:paraId="4AAA75EE" w14:textId="77777777" w:rsidR="00F30A15" w:rsidRPr="00F30A15" w:rsidRDefault="00F30A15" w:rsidP="00F30A15">
            <w:pPr>
              <w:jc w:val="center"/>
              <w:rPr>
                <w:rFonts w:ascii="Arial" w:hAnsi="Arial" w:cs="Arial"/>
                <w:b/>
                <w:sz w:val="16"/>
                <w:szCs w:val="16"/>
                <w:lang w:eastAsia="es-AR"/>
              </w:rPr>
            </w:pPr>
            <w:r w:rsidRPr="005B6501">
              <w:rPr>
                <w:rFonts w:ascii="Arial" w:hAnsi="Arial" w:cs="Arial"/>
                <w:b/>
                <w:sz w:val="16"/>
                <w:szCs w:val="16"/>
                <w:lang w:eastAsia="es-AR"/>
              </w:rPr>
              <w:t>Total</w:t>
            </w:r>
          </w:p>
        </w:tc>
      </w:tr>
      <w:tr w:rsidR="00F30A15" w:rsidRPr="00701F32" w14:paraId="08E179B2"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72450F9E" w14:textId="77777777" w:rsidR="00F30A15" w:rsidRPr="00F30A15" w:rsidRDefault="00F30A15" w:rsidP="00F30A15">
            <w:pPr>
              <w:jc w:val="both"/>
              <w:rPr>
                <w:rFonts w:ascii="Arial" w:hAnsi="Arial" w:cs="Arial"/>
                <w:b/>
                <w:bCs/>
                <w:sz w:val="16"/>
                <w:szCs w:val="16"/>
                <w:lang w:eastAsia="es-AR"/>
              </w:rPr>
            </w:pPr>
            <w:r w:rsidRPr="00F30A15">
              <w:rPr>
                <w:rFonts w:ascii="Arial" w:hAnsi="Arial" w:cs="Arial"/>
                <w:b/>
                <w:bCs/>
                <w:sz w:val="16"/>
                <w:szCs w:val="16"/>
                <w:lang w:eastAsia="es-AR"/>
              </w:rPr>
              <w:t>Activos</w:t>
            </w:r>
          </w:p>
        </w:tc>
        <w:tc>
          <w:tcPr>
            <w:tcW w:w="639" w:type="pct"/>
            <w:tcBorders>
              <w:top w:val="nil"/>
              <w:left w:val="nil"/>
              <w:bottom w:val="single" w:sz="4" w:space="0" w:color="auto"/>
              <w:right w:val="single" w:sz="4" w:space="0" w:color="auto"/>
            </w:tcBorders>
            <w:shd w:val="clear" w:color="auto" w:fill="auto"/>
            <w:noWrap/>
            <w:vAlign w:val="bottom"/>
            <w:hideMark/>
          </w:tcPr>
          <w:p w14:paraId="5E750BD8" w14:textId="77777777" w:rsidR="00F30A15" w:rsidRPr="00F30A15" w:rsidRDefault="00F30A15" w:rsidP="00F30A15">
            <w:pPr>
              <w:jc w:val="right"/>
              <w:rPr>
                <w:rFonts w:ascii="Arial" w:hAnsi="Arial" w:cs="Arial"/>
                <w:b/>
                <w:bCs/>
                <w:sz w:val="16"/>
                <w:szCs w:val="16"/>
                <w:lang w:val="es-ES_tradnl" w:eastAsia="es-AR"/>
              </w:rPr>
            </w:pPr>
            <w:r w:rsidRPr="00F30A15">
              <w:rPr>
                <w:rFonts w:ascii="Arial" w:hAnsi="Arial" w:cs="Arial"/>
                <w:b/>
                <w:bCs/>
                <w:sz w:val="16"/>
                <w:szCs w:val="16"/>
                <w:lang w:eastAsia="es-AR"/>
              </w:rPr>
              <w:t> </w:t>
            </w:r>
          </w:p>
        </w:tc>
        <w:tc>
          <w:tcPr>
            <w:tcW w:w="641" w:type="pct"/>
            <w:tcBorders>
              <w:top w:val="nil"/>
              <w:left w:val="nil"/>
              <w:bottom w:val="single" w:sz="4" w:space="0" w:color="auto"/>
              <w:right w:val="single" w:sz="4" w:space="0" w:color="auto"/>
            </w:tcBorders>
            <w:shd w:val="clear" w:color="auto" w:fill="auto"/>
            <w:noWrap/>
            <w:vAlign w:val="bottom"/>
            <w:hideMark/>
          </w:tcPr>
          <w:p w14:paraId="4B544997" w14:textId="77777777" w:rsidR="00F30A15" w:rsidRPr="00F30A15" w:rsidRDefault="00F30A15" w:rsidP="00F30A15">
            <w:pPr>
              <w:jc w:val="right"/>
              <w:rPr>
                <w:rFonts w:ascii="Arial" w:hAnsi="Arial" w:cs="Arial"/>
                <w:b/>
                <w:bCs/>
                <w:sz w:val="16"/>
                <w:szCs w:val="16"/>
                <w:lang w:val="es-ES_tradnl" w:eastAsia="es-AR"/>
              </w:rPr>
            </w:pPr>
            <w:r w:rsidRPr="00F30A15">
              <w:rPr>
                <w:rFonts w:ascii="Arial" w:hAnsi="Arial" w:cs="Arial"/>
                <w:b/>
                <w:bCs/>
                <w:sz w:val="16"/>
                <w:szCs w:val="16"/>
                <w:lang w:eastAsia="es-AR"/>
              </w:rPr>
              <w:t> </w:t>
            </w:r>
          </w:p>
        </w:tc>
        <w:tc>
          <w:tcPr>
            <w:tcW w:w="689" w:type="pct"/>
            <w:tcBorders>
              <w:top w:val="nil"/>
              <w:left w:val="nil"/>
              <w:bottom w:val="single" w:sz="4" w:space="0" w:color="auto"/>
              <w:right w:val="single" w:sz="4" w:space="0" w:color="auto"/>
            </w:tcBorders>
            <w:shd w:val="clear" w:color="auto" w:fill="auto"/>
            <w:noWrap/>
            <w:vAlign w:val="bottom"/>
            <w:hideMark/>
          </w:tcPr>
          <w:p w14:paraId="7B9803D0" w14:textId="77777777" w:rsidR="00F30A15" w:rsidRPr="00F30A15" w:rsidRDefault="00F30A15" w:rsidP="00F30A15">
            <w:pPr>
              <w:jc w:val="right"/>
              <w:rPr>
                <w:rFonts w:ascii="Arial" w:hAnsi="Arial" w:cs="Arial"/>
                <w:b/>
                <w:bCs/>
                <w:sz w:val="16"/>
                <w:szCs w:val="16"/>
                <w:lang w:val="es-ES_tradnl" w:eastAsia="es-AR"/>
              </w:rPr>
            </w:pPr>
            <w:r w:rsidRPr="00F30A15">
              <w:rPr>
                <w:rFonts w:ascii="Arial" w:hAnsi="Arial" w:cs="Arial"/>
                <w:b/>
                <w:bCs/>
                <w:sz w:val="16"/>
                <w:szCs w:val="16"/>
                <w:lang w:eastAsia="es-AR"/>
              </w:rPr>
              <w:t> </w:t>
            </w:r>
          </w:p>
        </w:tc>
        <w:tc>
          <w:tcPr>
            <w:tcW w:w="551" w:type="pct"/>
            <w:tcBorders>
              <w:top w:val="nil"/>
              <w:left w:val="nil"/>
              <w:bottom w:val="single" w:sz="4" w:space="0" w:color="auto"/>
              <w:right w:val="single" w:sz="4" w:space="0" w:color="auto"/>
            </w:tcBorders>
            <w:vAlign w:val="bottom"/>
          </w:tcPr>
          <w:p w14:paraId="11D73A3A" w14:textId="77777777" w:rsidR="00F30A15" w:rsidRPr="00F30A15" w:rsidRDefault="00F30A15" w:rsidP="00F30A15">
            <w:pPr>
              <w:jc w:val="right"/>
              <w:rPr>
                <w:rFonts w:ascii="Arial" w:hAnsi="Arial" w:cs="Arial"/>
                <w:b/>
                <w:bCs/>
                <w:sz w:val="16"/>
                <w:szCs w:val="16"/>
                <w:lang w:eastAsia="es-AR"/>
              </w:rPr>
            </w:pPr>
          </w:p>
        </w:tc>
      </w:tr>
      <w:tr w:rsidR="00F30A15" w:rsidRPr="00701F32" w14:paraId="124FC247"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4D066519" w14:textId="133B6BE3" w:rsidR="00F30A15" w:rsidRPr="00F30A15" w:rsidRDefault="00F30A15" w:rsidP="00F30A15">
            <w:pPr>
              <w:jc w:val="both"/>
              <w:rPr>
                <w:rFonts w:ascii="Arial" w:hAnsi="Arial" w:cs="Arial"/>
                <w:sz w:val="16"/>
                <w:szCs w:val="16"/>
                <w:lang w:eastAsia="es-AR"/>
              </w:rPr>
            </w:pPr>
            <w:r w:rsidRPr="00F30A15">
              <w:rPr>
                <w:rFonts w:ascii="Arial" w:hAnsi="Arial" w:cs="Arial"/>
                <w:sz w:val="16"/>
                <w:szCs w:val="16"/>
                <w:lang w:eastAsia="es-AR"/>
              </w:rPr>
              <w:t xml:space="preserve">- Efectivo y </w:t>
            </w:r>
            <w:r w:rsidR="00BE29BE" w:rsidRPr="00F30A15">
              <w:rPr>
                <w:rFonts w:ascii="Arial" w:hAnsi="Arial" w:cs="Arial"/>
                <w:sz w:val="16"/>
                <w:szCs w:val="16"/>
                <w:lang w:eastAsia="es-AR"/>
              </w:rPr>
              <w:t>depósitos</w:t>
            </w:r>
            <w:r w:rsidRPr="00F30A15">
              <w:rPr>
                <w:rFonts w:ascii="Arial" w:hAnsi="Arial" w:cs="Arial"/>
                <w:sz w:val="16"/>
                <w:szCs w:val="16"/>
                <w:lang w:eastAsia="es-AR"/>
              </w:rPr>
              <w:t xml:space="preserve"> en bancos</w:t>
            </w:r>
          </w:p>
        </w:tc>
        <w:tc>
          <w:tcPr>
            <w:tcW w:w="639" w:type="pct"/>
            <w:tcBorders>
              <w:top w:val="nil"/>
              <w:left w:val="nil"/>
              <w:bottom w:val="single" w:sz="4" w:space="0" w:color="auto"/>
              <w:right w:val="single" w:sz="4" w:space="0" w:color="auto"/>
            </w:tcBorders>
            <w:shd w:val="clear" w:color="auto" w:fill="auto"/>
            <w:noWrap/>
            <w:vAlign w:val="bottom"/>
          </w:tcPr>
          <w:p w14:paraId="09615C35" w14:textId="6FF97514" w:rsidR="00F30A15" w:rsidRPr="00387AD8" w:rsidRDefault="00387AD8" w:rsidP="00387AD8">
            <w:pPr>
              <w:jc w:val="right"/>
              <w:rPr>
                <w:rFonts w:ascii="Arial" w:hAnsi="Arial" w:cs="Arial"/>
                <w:sz w:val="16"/>
                <w:szCs w:val="16"/>
              </w:rPr>
            </w:pPr>
            <w:r w:rsidRPr="00387AD8">
              <w:rPr>
                <w:rFonts w:ascii="Arial" w:hAnsi="Arial" w:cs="Arial"/>
                <w:sz w:val="16"/>
                <w:szCs w:val="16"/>
              </w:rPr>
              <w:t>32.243</w:t>
            </w:r>
          </w:p>
        </w:tc>
        <w:tc>
          <w:tcPr>
            <w:tcW w:w="641" w:type="pct"/>
            <w:tcBorders>
              <w:top w:val="nil"/>
              <w:left w:val="nil"/>
              <w:bottom w:val="single" w:sz="4" w:space="0" w:color="auto"/>
              <w:right w:val="single" w:sz="4" w:space="0" w:color="auto"/>
            </w:tcBorders>
            <w:shd w:val="clear" w:color="auto" w:fill="auto"/>
            <w:noWrap/>
            <w:vAlign w:val="bottom"/>
          </w:tcPr>
          <w:p w14:paraId="771B14D9" w14:textId="77777777" w:rsidR="00F30A15" w:rsidRPr="00387AD8" w:rsidRDefault="00F30A15" w:rsidP="00387AD8">
            <w:pPr>
              <w:jc w:val="right"/>
              <w:rPr>
                <w:rFonts w:ascii="Arial" w:hAnsi="Arial" w:cs="Arial"/>
                <w:sz w:val="16"/>
                <w:szCs w:val="16"/>
              </w:rPr>
            </w:pPr>
            <w:r w:rsidRPr="00387AD8">
              <w:rPr>
                <w:rFonts w:ascii="Arial" w:hAnsi="Arial" w:cs="Arial"/>
                <w:sz w:val="16"/>
                <w:szCs w:val="16"/>
              </w:rPr>
              <w:t>-</w:t>
            </w:r>
          </w:p>
        </w:tc>
        <w:tc>
          <w:tcPr>
            <w:tcW w:w="689" w:type="pct"/>
            <w:tcBorders>
              <w:top w:val="nil"/>
              <w:left w:val="nil"/>
              <w:bottom w:val="single" w:sz="4" w:space="0" w:color="auto"/>
              <w:right w:val="single" w:sz="4" w:space="0" w:color="auto"/>
            </w:tcBorders>
            <w:shd w:val="clear" w:color="auto" w:fill="auto"/>
            <w:noWrap/>
            <w:vAlign w:val="bottom"/>
          </w:tcPr>
          <w:p w14:paraId="64FBC07E" w14:textId="77777777" w:rsidR="00F30A15" w:rsidRPr="00387AD8" w:rsidRDefault="00F30A15" w:rsidP="00387AD8">
            <w:pPr>
              <w:jc w:val="right"/>
              <w:rPr>
                <w:rFonts w:ascii="Arial" w:hAnsi="Arial" w:cs="Arial"/>
                <w:sz w:val="16"/>
                <w:szCs w:val="16"/>
              </w:rPr>
            </w:pPr>
            <w:r w:rsidRPr="00387AD8">
              <w:rPr>
                <w:rFonts w:ascii="Arial" w:hAnsi="Arial" w:cs="Arial"/>
                <w:sz w:val="16"/>
                <w:szCs w:val="16"/>
              </w:rPr>
              <w:t>-</w:t>
            </w:r>
          </w:p>
        </w:tc>
        <w:tc>
          <w:tcPr>
            <w:tcW w:w="551" w:type="pct"/>
            <w:tcBorders>
              <w:top w:val="nil"/>
              <w:left w:val="nil"/>
              <w:bottom w:val="single" w:sz="4" w:space="0" w:color="auto"/>
              <w:right w:val="single" w:sz="4" w:space="0" w:color="auto"/>
            </w:tcBorders>
            <w:vAlign w:val="bottom"/>
          </w:tcPr>
          <w:p w14:paraId="29147EC3" w14:textId="290C5A34" w:rsidR="00F30A15" w:rsidRPr="00387AD8" w:rsidRDefault="00387AD8" w:rsidP="00387AD8">
            <w:pPr>
              <w:jc w:val="right"/>
              <w:rPr>
                <w:rFonts w:ascii="Arial" w:hAnsi="Arial" w:cs="Arial"/>
                <w:sz w:val="16"/>
                <w:szCs w:val="16"/>
              </w:rPr>
            </w:pPr>
            <w:r w:rsidRPr="00387AD8">
              <w:rPr>
                <w:rFonts w:ascii="Arial" w:hAnsi="Arial" w:cs="Arial"/>
                <w:sz w:val="16"/>
                <w:szCs w:val="16"/>
              </w:rPr>
              <w:t>32.243</w:t>
            </w:r>
          </w:p>
        </w:tc>
      </w:tr>
      <w:tr w:rsidR="00387AD8" w:rsidRPr="00701F32" w14:paraId="3D1F6CD1"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18DCE38E" w14:textId="4A365C51" w:rsidR="00387AD8" w:rsidRPr="00F30A15" w:rsidRDefault="00387AD8" w:rsidP="00387AD8">
            <w:pPr>
              <w:jc w:val="both"/>
              <w:rPr>
                <w:rFonts w:ascii="Arial" w:hAnsi="Arial" w:cs="Arial"/>
                <w:sz w:val="16"/>
                <w:szCs w:val="16"/>
                <w:lang w:eastAsia="es-AR"/>
              </w:rPr>
            </w:pPr>
            <w:r w:rsidRPr="00F30A15">
              <w:rPr>
                <w:rFonts w:ascii="Arial" w:hAnsi="Arial" w:cs="Arial"/>
                <w:sz w:val="16"/>
                <w:szCs w:val="16"/>
                <w:lang w:eastAsia="es-AR"/>
              </w:rPr>
              <w:t>- Títulos de Deuda a Valor Razonable con Cambio</w:t>
            </w:r>
            <w:r>
              <w:rPr>
                <w:rFonts w:ascii="Arial" w:hAnsi="Arial" w:cs="Arial"/>
                <w:sz w:val="16"/>
                <w:szCs w:val="16"/>
                <w:lang w:eastAsia="es-AR"/>
              </w:rPr>
              <w:t>s</w:t>
            </w:r>
            <w:r w:rsidRPr="00F30A15">
              <w:rPr>
                <w:rFonts w:ascii="Arial" w:hAnsi="Arial" w:cs="Arial"/>
                <w:sz w:val="16"/>
                <w:szCs w:val="16"/>
                <w:lang w:eastAsia="es-AR"/>
              </w:rPr>
              <w:t xml:space="preserve"> en Resultados</w:t>
            </w:r>
          </w:p>
        </w:tc>
        <w:tc>
          <w:tcPr>
            <w:tcW w:w="639" w:type="pct"/>
            <w:tcBorders>
              <w:top w:val="nil"/>
              <w:left w:val="nil"/>
              <w:bottom w:val="single" w:sz="4" w:space="0" w:color="auto"/>
              <w:right w:val="single" w:sz="4" w:space="0" w:color="auto"/>
            </w:tcBorders>
            <w:shd w:val="clear" w:color="auto" w:fill="auto"/>
            <w:noWrap/>
            <w:vAlign w:val="bottom"/>
            <w:hideMark/>
          </w:tcPr>
          <w:p w14:paraId="6D12762E" w14:textId="772FF7BC" w:rsidR="00387AD8" w:rsidRPr="00387AD8" w:rsidRDefault="000A58EC" w:rsidP="00387AD8">
            <w:pPr>
              <w:jc w:val="right"/>
              <w:rPr>
                <w:rFonts w:ascii="Arial" w:hAnsi="Arial" w:cs="Arial"/>
                <w:sz w:val="16"/>
                <w:szCs w:val="16"/>
                <w:lang w:eastAsia="es-AR"/>
              </w:rPr>
            </w:pPr>
            <w:r w:rsidRPr="000A58EC">
              <w:rPr>
                <w:rFonts w:ascii="Arial" w:hAnsi="Arial" w:cs="Arial"/>
                <w:sz w:val="16"/>
                <w:szCs w:val="16"/>
              </w:rPr>
              <w:t>332.711</w:t>
            </w:r>
          </w:p>
        </w:tc>
        <w:tc>
          <w:tcPr>
            <w:tcW w:w="641" w:type="pct"/>
            <w:tcBorders>
              <w:top w:val="nil"/>
              <w:left w:val="nil"/>
              <w:bottom w:val="single" w:sz="4" w:space="0" w:color="auto"/>
              <w:right w:val="single" w:sz="4" w:space="0" w:color="auto"/>
            </w:tcBorders>
            <w:shd w:val="clear" w:color="auto" w:fill="auto"/>
            <w:noWrap/>
            <w:vAlign w:val="bottom"/>
            <w:hideMark/>
          </w:tcPr>
          <w:p w14:paraId="784CBA5E" w14:textId="4B8CAFBF"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689" w:type="pct"/>
            <w:tcBorders>
              <w:top w:val="nil"/>
              <w:left w:val="nil"/>
              <w:bottom w:val="single" w:sz="4" w:space="0" w:color="auto"/>
              <w:right w:val="single" w:sz="4" w:space="0" w:color="auto"/>
            </w:tcBorders>
            <w:shd w:val="clear" w:color="auto" w:fill="auto"/>
            <w:noWrap/>
            <w:vAlign w:val="bottom"/>
            <w:hideMark/>
          </w:tcPr>
          <w:p w14:paraId="3296AB80" w14:textId="063FCD47"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3.95</w:t>
            </w:r>
            <w:r w:rsidR="000A58EC">
              <w:rPr>
                <w:rFonts w:ascii="Arial" w:hAnsi="Arial" w:cs="Arial"/>
                <w:sz w:val="16"/>
                <w:szCs w:val="16"/>
              </w:rPr>
              <w:t>4</w:t>
            </w:r>
            <w:r w:rsidRPr="00387AD8">
              <w:rPr>
                <w:rFonts w:ascii="Arial" w:hAnsi="Arial" w:cs="Arial"/>
                <w:sz w:val="16"/>
                <w:szCs w:val="16"/>
              </w:rPr>
              <w:t xml:space="preserve"> </w:t>
            </w:r>
          </w:p>
        </w:tc>
        <w:tc>
          <w:tcPr>
            <w:tcW w:w="551" w:type="pct"/>
            <w:tcBorders>
              <w:top w:val="nil"/>
              <w:left w:val="nil"/>
              <w:bottom w:val="single" w:sz="4" w:space="0" w:color="auto"/>
              <w:right w:val="single" w:sz="4" w:space="0" w:color="auto"/>
            </w:tcBorders>
            <w:vAlign w:val="bottom"/>
          </w:tcPr>
          <w:p w14:paraId="593E1102" w14:textId="7080F5A2"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336.665 </w:t>
            </w:r>
          </w:p>
        </w:tc>
      </w:tr>
      <w:tr w:rsidR="00387AD8" w:rsidRPr="00701F32" w14:paraId="1B0695DE"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799E67C3" w14:textId="77777777" w:rsidR="00387AD8" w:rsidRPr="00F30A15" w:rsidRDefault="00387AD8" w:rsidP="00387AD8">
            <w:pPr>
              <w:jc w:val="both"/>
              <w:rPr>
                <w:rFonts w:ascii="Arial" w:hAnsi="Arial" w:cs="Arial"/>
                <w:sz w:val="16"/>
                <w:szCs w:val="16"/>
                <w:lang w:eastAsia="es-AR"/>
              </w:rPr>
            </w:pPr>
            <w:r w:rsidRPr="00F30A15">
              <w:rPr>
                <w:rFonts w:ascii="Arial" w:hAnsi="Arial" w:cs="Arial"/>
                <w:sz w:val="16"/>
                <w:szCs w:val="16"/>
                <w:lang w:eastAsia="es-AR"/>
              </w:rPr>
              <w:t>- Instrumentos Derivados</w:t>
            </w:r>
          </w:p>
        </w:tc>
        <w:tc>
          <w:tcPr>
            <w:tcW w:w="639" w:type="pct"/>
            <w:tcBorders>
              <w:top w:val="nil"/>
              <w:left w:val="nil"/>
              <w:bottom w:val="single" w:sz="4" w:space="0" w:color="auto"/>
              <w:right w:val="single" w:sz="4" w:space="0" w:color="auto"/>
            </w:tcBorders>
            <w:shd w:val="clear" w:color="auto" w:fill="auto"/>
            <w:noWrap/>
            <w:vAlign w:val="bottom"/>
            <w:hideMark/>
          </w:tcPr>
          <w:p w14:paraId="4CFF9BE0" w14:textId="54A9D9D1"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277.679 </w:t>
            </w:r>
          </w:p>
        </w:tc>
        <w:tc>
          <w:tcPr>
            <w:tcW w:w="641" w:type="pct"/>
            <w:tcBorders>
              <w:top w:val="nil"/>
              <w:left w:val="nil"/>
              <w:bottom w:val="single" w:sz="4" w:space="0" w:color="auto"/>
              <w:right w:val="single" w:sz="4" w:space="0" w:color="auto"/>
            </w:tcBorders>
            <w:shd w:val="clear" w:color="auto" w:fill="auto"/>
            <w:noWrap/>
            <w:vAlign w:val="bottom"/>
            <w:hideMark/>
          </w:tcPr>
          <w:p w14:paraId="050BB9EB" w14:textId="4DFD12D0"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689" w:type="pct"/>
            <w:tcBorders>
              <w:top w:val="nil"/>
              <w:left w:val="nil"/>
              <w:bottom w:val="single" w:sz="4" w:space="0" w:color="auto"/>
              <w:right w:val="single" w:sz="4" w:space="0" w:color="auto"/>
            </w:tcBorders>
            <w:shd w:val="clear" w:color="auto" w:fill="auto"/>
            <w:noWrap/>
            <w:vAlign w:val="bottom"/>
            <w:hideMark/>
          </w:tcPr>
          <w:p w14:paraId="2DE8222C" w14:textId="0647AC64"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551" w:type="pct"/>
            <w:tcBorders>
              <w:top w:val="nil"/>
              <w:left w:val="nil"/>
              <w:bottom w:val="single" w:sz="4" w:space="0" w:color="auto"/>
              <w:right w:val="single" w:sz="4" w:space="0" w:color="auto"/>
            </w:tcBorders>
            <w:vAlign w:val="bottom"/>
          </w:tcPr>
          <w:p w14:paraId="3D73B57F" w14:textId="3C84BA5C"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277.679 </w:t>
            </w:r>
          </w:p>
        </w:tc>
      </w:tr>
      <w:tr w:rsidR="00387AD8" w:rsidRPr="00701F32" w14:paraId="7496B7A0"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6B0191F" w14:textId="77777777" w:rsidR="00387AD8" w:rsidRPr="00F30A15" w:rsidRDefault="00387AD8" w:rsidP="00387AD8">
            <w:pPr>
              <w:jc w:val="both"/>
              <w:rPr>
                <w:rFonts w:ascii="Arial" w:hAnsi="Arial" w:cs="Arial"/>
                <w:sz w:val="16"/>
                <w:szCs w:val="16"/>
                <w:lang w:eastAsia="es-AR"/>
              </w:rPr>
            </w:pPr>
            <w:r w:rsidRPr="00F30A15">
              <w:rPr>
                <w:rFonts w:ascii="Arial" w:hAnsi="Arial" w:cs="Arial"/>
                <w:sz w:val="16"/>
                <w:szCs w:val="16"/>
                <w:lang w:eastAsia="es-AR"/>
              </w:rPr>
              <w:t>- Otros Activos Financieros</w:t>
            </w:r>
          </w:p>
        </w:tc>
        <w:tc>
          <w:tcPr>
            <w:tcW w:w="639" w:type="pct"/>
            <w:tcBorders>
              <w:top w:val="nil"/>
              <w:left w:val="nil"/>
              <w:bottom w:val="single" w:sz="4" w:space="0" w:color="auto"/>
              <w:right w:val="single" w:sz="4" w:space="0" w:color="auto"/>
            </w:tcBorders>
            <w:shd w:val="clear" w:color="auto" w:fill="auto"/>
            <w:noWrap/>
            <w:vAlign w:val="bottom"/>
            <w:hideMark/>
          </w:tcPr>
          <w:p w14:paraId="0CC0B24D" w14:textId="7814F93B"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180.751 </w:t>
            </w:r>
          </w:p>
        </w:tc>
        <w:tc>
          <w:tcPr>
            <w:tcW w:w="641" w:type="pct"/>
            <w:tcBorders>
              <w:top w:val="nil"/>
              <w:left w:val="nil"/>
              <w:bottom w:val="single" w:sz="4" w:space="0" w:color="auto"/>
              <w:right w:val="single" w:sz="4" w:space="0" w:color="auto"/>
            </w:tcBorders>
            <w:shd w:val="clear" w:color="auto" w:fill="auto"/>
            <w:noWrap/>
            <w:vAlign w:val="bottom"/>
            <w:hideMark/>
          </w:tcPr>
          <w:p w14:paraId="5784E6FF" w14:textId="3CBDAA34"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689" w:type="pct"/>
            <w:tcBorders>
              <w:top w:val="nil"/>
              <w:left w:val="nil"/>
              <w:bottom w:val="single" w:sz="4" w:space="0" w:color="auto"/>
              <w:right w:val="single" w:sz="4" w:space="0" w:color="auto"/>
            </w:tcBorders>
            <w:shd w:val="clear" w:color="auto" w:fill="auto"/>
            <w:noWrap/>
            <w:vAlign w:val="bottom"/>
            <w:hideMark/>
          </w:tcPr>
          <w:p w14:paraId="209EB93A" w14:textId="102D7CF2"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551" w:type="pct"/>
            <w:tcBorders>
              <w:top w:val="nil"/>
              <w:left w:val="nil"/>
              <w:bottom w:val="single" w:sz="4" w:space="0" w:color="auto"/>
              <w:right w:val="single" w:sz="4" w:space="0" w:color="auto"/>
            </w:tcBorders>
            <w:vAlign w:val="bottom"/>
          </w:tcPr>
          <w:p w14:paraId="0434B1D4" w14:textId="0B9E52D7"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180.751 </w:t>
            </w:r>
          </w:p>
        </w:tc>
      </w:tr>
      <w:tr w:rsidR="00387AD8" w:rsidRPr="00701F32" w14:paraId="261AAC59"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550F7C5F" w14:textId="77777777" w:rsidR="00387AD8" w:rsidRPr="00F30A15" w:rsidRDefault="00387AD8" w:rsidP="00387AD8">
            <w:pPr>
              <w:jc w:val="both"/>
              <w:rPr>
                <w:rFonts w:ascii="Arial" w:hAnsi="Arial" w:cs="Arial"/>
                <w:sz w:val="16"/>
                <w:szCs w:val="16"/>
                <w:lang w:eastAsia="es-AR"/>
              </w:rPr>
            </w:pPr>
            <w:r w:rsidRPr="00F30A15">
              <w:rPr>
                <w:rFonts w:ascii="Arial" w:hAnsi="Arial" w:cs="Arial"/>
                <w:sz w:val="16"/>
                <w:szCs w:val="16"/>
                <w:lang w:eastAsia="es-AR"/>
              </w:rPr>
              <w:t>- Otros Títulos de Deuda</w:t>
            </w:r>
          </w:p>
        </w:tc>
        <w:tc>
          <w:tcPr>
            <w:tcW w:w="639" w:type="pct"/>
            <w:tcBorders>
              <w:top w:val="nil"/>
              <w:left w:val="nil"/>
              <w:bottom w:val="single" w:sz="4" w:space="0" w:color="auto"/>
              <w:right w:val="single" w:sz="4" w:space="0" w:color="auto"/>
            </w:tcBorders>
            <w:shd w:val="clear" w:color="auto" w:fill="auto"/>
            <w:noWrap/>
            <w:vAlign w:val="bottom"/>
            <w:hideMark/>
          </w:tcPr>
          <w:p w14:paraId="4E231D1B" w14:textId="58B2D882" w:rsidR="00387AD8" w:rsidRPr="00387AD8" w:rsidRDefault="00006579" w:rsidP="00387AD8">
            <w:pPr>
              <w:jc w:val="right"/>
              <w:rPr>
                <w:rFonts w:ascii="Arial" w:hAnsi="Arial" w:cs="Arial"/>
                <w:sz w:val="16"/>
                <w:szCs w:val="16"/>
                <w:lang w:eastAsia="es-AR"/>
              </w:rPr>
            </w:pPr>
            <w:r>
              <w:rPr>
                <w:rFonts w:ascii="Arial" w:hAnsi="Arial" w:cs="Arial"/>
                <w:sz w:val="16"/>
                <w:szCs w:val="16"/>
              </w:rPr>
              <w:t>-</w:t>
            </w:r>
          </w:p>
        </w:tc>
        <w:tc>
          <w:tcPr>
            <w:tcW w:w="641" w:type="pct"/>
            <w:tcBorders>
              <w:top w:val="nil"/>
              <w:left w:val="nil"/>
              <w:bottom w:val="single" w:sz="4" w:space="0" w:color="auto"/>
              <w:right w:val="single" w:sz="4" w:space="0" w:color="auto"/>
            </w:tcBorders>
            <w:shd w:val="clear" w:color="auto" w:fill="auto"/>
            <w:noWrap/>
            <w:vAlign w:val="bottom"/>
            <w:hideMark/>
          </w:tcPr>
          <w:p w14:paraId="3420716C" w14:textId="6028EA83" w:rsidR="00387AD8" w:rsidRPr="00387AD8" w:rsidRDefault="00006579" w:rsidP="00387AD8">
            <w:pPr>
              <w:jc w:val="right"/>
              <w:rPr>
                <w:rFonts w:ascii="Arial" w:hAnsi="Arial" w:cs="Arial"/>
                <w:sz w:val="16"/>
                <w:szCs w:val="16"/>
                <w:lang w:eastAsia="es-AR"/>
              </w:rPr>
            </w:pPr>
            <w:r w:rsidRPr="00387AD8">
              <w:rPr>
                <w:rFonts w:ascii="Arial" w:hAnsi="Arial" w:cs="Arial"/>
                <w:sz w:val="16"/>
                <w:szCs w:val="16"/>
              </w:rPr>
              <w:t>7.730.522</w:t>
            </w:r>
          </w:p>
        </w:tc>
        <w:tc>
          <w:tcPr>
            <w:tcW w:w="689" w:type="pct"/>
            <w:tcBorders>
              <w:top w:val="nil"/>
              <w:left w:val="nil"/>
              <w:bottom w:val="single" w:sz="4" w:space="0" w:color="auto"/>
              <w:right w:val="single" w:sz="4" w:space="0" w:color="auto"/>
            </w:tcBorders>
            <w:shd w:val="clear" w:color="auto" w:fill="auto"/>
            <w:noWrap/>
            <w:vAlign w:val="bottom"/>
            <w:hideMark/>
          </w:tcPr>
          <w:p w14:paraId="5BAC0331" w14:textId="11EC6DC0"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551" w:type="pct"/>
            <w:tcBorders>
              <w:top w:val="nil"/>
              <w:left w:val="nil"/>
              <w:bottom w:val="single" w:sz="4" w:space="0" w:color="auto"/>
              <w:right w:val="single" w:sz="4" w:space="0" w:color="auto"/>
            </w:tcBorders>
            <w:vAlign w:val="bottom"/>
          </w:tcPr>
          <w:p w14:paraId="71034929" w14:textId="168CC656"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7.730.522 </w:t>
            </w:r>
          </w:p>
        </w:tc>
      </w:tr>
      <w:tr w:rsidR="00387AD8" w:rsidRPr="00701F32" w14:paraId="0E73BC3B"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8528EF2" w14:textId="77777777" w:rsidR="00387AD8" w:rsidRPr="00F30A15" w:rsidRDefault="00387AD8" w:rsidP="00387AD8">
            <w:pPr>
              <w:jc w:val="both"/>
              <w:rPr>
                <w:rFonts w:ascii="Arial" w:hAnsi="Arial" w:cs="Arial"/>
                <w:sz w:val="16"/>
                <w:szCs w:val="16"/>
                <w:lang w:eastAsia="es-AR"/>
              </w:rPr>
            </w:pPr>
            <w:r w:rsidRPr="00F30A15">
              <w:rPr>
                <w:rFonts w:ascii="Arial" w:hAnsi="Arial" w:cs="Arial"/>
                <w:sz w:val="16"/>
                <w:szCs w:val="16"/>
                <w:lang w:eastAsia="es-AR"/>
              </w:rPr>
              <w:t>- Activos Financieros entregados en Garantía</w:t>
            </w:r>
          </w:p>
        </w:tc>
        <w:tc>
          <w:tcPr>
            <w:tcW w:w="639" w:type="pct"/>
            <w:tcBorders>
              <w:top w:val="nil"/>
              <w:left w:val="nil"/>
              <w:bottom w:val="single" w:sz="4" w:space="0" w:color="auto"/>
              <w:right w:val="single" w:sz="4" w:space="0" w:color="auto"/>
            </w:tcBorders>
            <w:shd w:val="clear" w:color="auto" w:fill="auto"/>
            <w:noWrap/>
            <w:vAlign w:val="bottom"/>
            <w:hideMark/>
          </w:tcPr>
          <w:p w14:paraId="4242D818" w14:textId="1CE8F2F5"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5.308.655 </w:t>
            </w:r>
          </w:p>
        </w:tc>
        <w:tc>
          <w:tcPr>
            <w:tcW w:w="641" w:type="pct"/>
            <w:tcBorders>
              <w:top w:val="nil"/>
              <w:left w:val="nil"/>
              <w:bottom w:val="single" w:sz="4" w:space="0" w:color="auto"/>
              <w:right w:val="single" w:sz="4" w:space="0" w:color="auto"/>
            </w:tcBorders>
            <w:shd w:val="clear" w:color="auto" w:fill="auto"/>
            <w:noWrap/>
            <w:vAlign w:val="bottom"/>
            <w:hideMark/>
          </w:tcPr>
          <w:p w14:paraId="1968E611" w14:textId="0F7E0BEB"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689" w:type="pct"/>
            <w:tcBorders>
              <w:top w:val="nil"/>
              <w:left w:val="nil"/>
              <w:bottom w:val="single" w:sz="4" w:space="0" w:color="auto"/>
              <w:right w:val="single" w:sz="4" w:space="0" w:color="auto"/>
            </w:tcBorders>
            <w:shd w:val="clear" w:color="auto" w:fill="auto"/>
            <w:noWrap/>
            <w:vAlign w:val="bottom"/>
            <w:hideMark/>
          </w:tcPr>
          <w:p w14:paraId="684EC961" w14:textId="03983054"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551" w:type="pct"/>
            <w:tcBorders>
              <w:top w:val="nil"/>
              <w:left w:val="nil"/>
              <w:bottom w:val="single" w:sz="4" w:space="0" w:color="auto"/>
              <w:right w:val="single" w:sz="4" w:space="0" w:color="auto"/>
            </w:tcBorders>
            <w:vAlign w:val="bottom"/>
          </w:tcPr>
          <w:p w14:paraId="319078B6" w14:textId="33C9C411"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5.308.655 </w:t>
            </w:r>
          </w:p>
        </w:tc>
      </w:tr>
      <w:tr w:rsidR="00387AD8" w:rsidRPr="00701F32" w14:paraId="507ED7FA"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0908DC4F" w14:textId="77777777" w:rsidR="00387AD8" w:rsidRPr="00F30A15" w:rsidRDefault="00387AD8" w:rsidP="00387AD8">
            <w:pPr>
              <w:jc w:val="both"/>
              <w:rPr>
                <w:rFonts w:ascii="Arial" w:hAnsi="Arial" w:cs="Arial"/>
                <w:sz w:val="16"/>
                <w:szCs w:val="16"/>
                <w:lang w:eastAsia="es-AR"/>
              </w:rPr>
            </w:pPr>
            <w:r w:rsidRPr="00F30A15">
              <w:rPr>
                <w:rFonts w:ascii="Arial" w:hAnsi="Arial" w:cs="Arial"/>
                <w:sz w:val="16"/>
                <w:szCs w:val="16"/>
                <w:lang w:eastAsia="es-AR"/>
              </w:rPr>
              <w:t>- Inversiones en instrumentos de patrimonio</w:t>
            </w:r>
          </w:p>
        </w:tc>
        <w:tc>
          <w:tcPr>
            <w:tcW w:w="639" w:type="pct"/>
            <w:tcBorders>
              <w:top w:val="nil"/>
              <w:left w:val="nil"/>
              <w:bottom w:val="single" w:sz="4" w:space="0" w:color="auto"/>
              <w:right w:val="single" w:sz="4" w:space="0" w:color="auto"/>
            </w:tcBorders>
            <w:shd w:val="clear" w:color="auto" w:fill="auto"/>
            <w:noWrap/>
            <w:vAlign w:val="bottom"/>
            <w:hideMark/>
          </w:tcPr>
          <w:p w14:paraId="33F87102" w14:textId="0FE916AB"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6.248 </w:t>
            </w:r>
          </w:p>
        </w:tc>
        <w:tc>
          <w:tcPr>
            <w:tcW w:w="641" w:type="pct"/>
            <w:tcBorders>
              <w:top w:val="nil"/>
              <w:left w:val="nil"/>
              <w:bottom w:val="single" w:sz="4" w:space="0" w:color="auto"/>
              <w:right w:val="single" w:sz="4" w:space="0" w:color="auto"/>
            </w:tcBorders>
            <w:shd w:val="clear" w:color="auto" w:fill="auto"/>
            <w:noWrap/>
            <w:vAlign w:val="bottom"/>
            <w:hideMark/>
          </w:tcPr>
          <w:p w14:paraId="5D1416F1" w14:textId="2925E3C7"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9.468 </w:t>
            </w:r>
          </w:p>
        </w:tc>
        <w:tc>
          <w:tcPr>
            <w:tcW w:w="689" w:type="pct"/>
            <w:tcBorders>
              <w:top w:val="nil"/>
              <w:left w:val="nil"/>
              <w:bottom w:val="single" w:sz="4" w:space="0" w:color="auto"/>
              <w:right w:val="single" w:sz="4" w:space="0" w:color="auto"/>
            </w:tcBorders>
            <w:shd w:val="clear" w:color="auto" w:fill="auto"/>
            <w:noWrap/>
            <w:vAlign w:val="bottom"/>
            <w:hideMark/>
          </w:tcPr>
          <w:p w14:paraId="66C104C0" w14:textId="6FCD4AEC" w:rsidR="00387AD8" w:rsidRPr="00387AD8" w:rsidRDefault="00387AD8" w:rsidP="00387AD8">
            <w:pPr>
              <w:jc w:val="right"/>
              <w:rPr>
                <w:rFonts w:ascii="Arial" w:hAnsi="Arial" w:cs="Arial"/>
                <w:sz w:val="16"/>
                <w:szCs w:val="16"/>
                <w:lang w:eastAsia="es-AR"/>
              </w:rPr>
            </w:pPr>
            <w:r w:rsidRPr="00387AD8">
              <w:rPr>
                <w:rFonts w:ascii="Arial" w:hAnsi="Arial" w:cs="Arial"/>
                <w:sz w:val="16"/>
                <w:szCs w:val="16"/>
              </w:rPr>
              <w:t xml:space="preserve"> -   </w:t>
            </w:r>
          </w:p>
        </w:tc>
        <w:tc>
          <w:tcPr>
            <w:tcW w:w="551" w:type="pct"/>
            <w:tcBorders>
              <w:top w:val="nil"/>
              <w:left w:val="nil"/>
              <w:bottom w:val="single" w:sz="4" w:space="0" w:color="auto"/>
              <w:right w:val="single" w:sz="4" w:space="0" w:color="auto"/>
            </w:tcBorders>
            <w:vAlign w:val="bottom"/>
          </w:tcPr>
          <w:p w14:paraId="15E0147E" w14:textId="3630F9A5" w:rsidR="00387AD8" w:rsidRPr="00387AD8" w:rsidRDefault="00387AD8" w:rsidP="00387AD8">
            <w:pPr>
              <w:jc w:val="right"/>
              <w:rPr>
                <w:rFonts w:ascii="Arial" w:eastAsia="Calibri" w:hAnsi="Arial" w:cs="Arial"/>
                <w:color w:val="000000"/>
                <w:sz w:val="16"/>
                <w:szCs w:val="16"/>
              </w:rPr>
            </w:pPr>
            <w:r w:rsidRPr="00387AD8">
              <w:rPr>
                <w:rFonts w:ascii="Arial" w:hAnsi="Arial" w:cs="Arial"/>
                <w:sz w:val="16"/>
                <w:szCs w:val="16"/>
              </w:rPr>
              <w:t xml:space="preserve"> 15.716 </w:t>
            </w:r>
          </w:p>
        </w:tc>
      </w:tr>
      <w:tr w:rsidR="00387AD8" w:rsidRPr="00701F32" w14:paraId="4A997CDF"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2D30601F" w14:textId="77777777" w:rsidR="00387AD8" w:rsidRPr="00F30A15" w:rsidRDefault="00387AD8" w:rsidP="00387AD8">
            <w:pPr>
              <w:jc w:val="both"/>
              <w:rPr>
                <w:rFonts w:ascii="Arial" w:hAnsi="Arial" w:cs="Arial"/>
                <w:b/>
                <w:bCs/>
                <w:sz w:val="16"/>
                <w:szCs w:val="16"/>
                <w:lang w:eastAsia="es-AR"/>
              </w:rPr>
            </w:pPr>
            <w:r w:rsidRPr="00F30A15">
              <w:rPr>
                <w:rFonts w:ascii="Arial" w:hAnsi="Arial" w:cs="Arial"/>
                <w:b/>
                <w:bCs/>
                <w:sz w:val="16"/>
                <w:szCs w:val="16"/>
                <w:lang w:eastAsia="es-AR"/>
              </w:rPr>
              <w:t>Total Activos</w:t>
            </w:r>
          </w:p>
        </w:tc>
        <w:tc>
          <w:tcPr>
            <w:tcW w:w="639" w:type="pct"/>
            <w:tcBorders>
              <w:top w:val="nil"/>
              <w:left w:val="nil"/>
              <w:bottom w:val="single" w:sz="4" w:space="0" w:color="auto"/>
              <w:right w:val="single" w:sz="4" w:space="0" w:color="auto"/>
            </w:tcBorders>
            <w:shd w:val="clear" w:color="auto" w:fill="auto"/>
            <w:noWrap/>
            <w:vAlign w:val="bottom"/>
          </w:tcPr>
          <w:p w14:paraId="33E457FC" w14:textId="1CB98406" w:rsidR="00387AD8" w:rsidRPr="00387AD8" w:rsidRDefault="00006579" w:rsidP="00387AD8">
            <w:pPr>
              <w:jc w:val="right"/>
              <w:rPr>
                <w:rFonts w:ascii="Arial" w:eastAsia="Calibri" w:hAnsi="Arial" w:cs="Arial"/>
                <w:b/>
                <w:color w:val="000000"/>
                <w:sz w:val="16"/>
                <w:szCs w:val="16"/>
              </w:rPr>
            </w:pPr>
            <w:r w:rsidRPr="00006579">
              <w:rPr>
                <w:rFonts w:ascii="Arial" w:hAnsi="Arial" w:cs="Arial"/>
                <w:b/>
                <w:sz w:val="16"/>
                <w:szCs w:val="16"/>
              </w:rPr>
              <w:t>6.138.287</w:t>
            </w:r>
          </w:p>
        </w:tc>
        <w:tc>
          <w:tcPr>
            <w:tcW w:w="641" w:type="pct"/>
            <w:tcBorders>
              <w:top w:val="nil"/>
              <w:left w:val="nil"/>
              <w:bottom w:val="single" w:sz="4" w:space="0" w:color="auto"/>
              <w:right w:val="single" w:sz="4" w:space="0" w:color="auto"/>
            </w:tcBorders>
            <w:shd w:val="clear" w:color="auto" w:fill="auto"/>
            <w:noWrap/>
            <w:vAlign w:val="bottom"/>
          </w:tcPr>
          <w:p w14:paraId="5A102667" w14:textId="140AAB41" w:rsidR="00387AD8" w:rsidRPr="00387AD8" w:rsidRDefault="00006579" w:rsidP="00387AD8">
            <w:pPr>
              <w:jc w:val="right"/>
              <w:rPr>
                <w:rFonts w:ascii="Arial" w:eastAsia="Calibri" w:hAnsi="Arial" w:cs="Arial"/>
                <w:b/>
                <w:color w:val="000000"/>
                <w:sz w:val="16"/>
                <w:szCs w:val="16"/>
              </w:rPr>
            </w:pPr>
            <w:r w:rsidRPr="00006579">
              <w:rPr>
                <w:rFonts w:ascii="Arial" w:hAnsi="Arial" w:cs="Arial"/>
                <w:b/>
                <w:sz w:val="16"/>
                <w:szCs w:val="16"/>
              </w:rPr>
              <w:t>7.739.990</w:t>
            </w:r>
          </w:p>
        </w:tc>
        <w:tc>
          <w:tcPr>
            <w:tcW w:w="689" w:type="pct"/>
            <w:tcBorders>
              <w:top w:val="nil"/>
              <w:left w:val="nil"/>
              <w:bottom w:val="single" w:sz="4" w:space="0" w:color="auto"/>
              <w:right w:val="single" w:sz="4" w:space="0" w:color="auto"/>
            </w:tcBorders>
            <w:shd w:val="clear" w:color="auto" w:fill="auto"/>
            <w:noWrap/>
            <w:vAlign w:val="bottom"/>
          </w:tcPr>
          <w:p w14:paraId="389E1EAD" w14:textId="7858A49E" w:rsidR="00387AD8" w:rsidRPr="00387AD8" w:rsidRDefault="00006579" w:rsidP="00387AD8">
            <w:pPr>
              <w:jc w:val="right"/>
              <w:rPr>
                <w:rFonts w:ascii="Arial" w:eastAsia="Calibri" w:hAnsi="Arial" w:cs="Arial"/>
                <w:b/>
                <w:color w:val="000000"/>
                <w:sz w:val="16"/>
                <w:szCs w:val="16"/>
              </w:rPr>
            </w:pPr>
            <w:r w:rsidRPr="00006579">
              <w:rPr>
                <w:rFonts w:ascii="Arial" w:hAnsi="Arial" w:cs="Arial"/>
                <w:b/>
                <w:sz w:val="16"/>
                <w:szCs w:val="16"/>
              </w:rPr>
              <w:t>3.954</w:t>
            </w:r>
          </w:p>
        </w:tc>
        <w:tc>
          <w:tcPr>
            <w:tcW w:w="551" w:type="pct"/>
            <w:tcBorders>
              <w:top w:val="nil"/>
              <w:left w:val="nil"/>
              <w:bottom w:val="single" w:sz="4" w:space="0" w:color="auto"/>
              <w:right w:val="single" w:sz="4" w:space="0" w:color="auto"/>
            </w:tcBorders>
            <w:vAlign w:val="bottom"/>
          </w:tcPr>
          <w:p w14:paraId="250BA3D9" w14:textId="7BB03097" w:rsidR="00387AD8" w:rsidRPr="00387AD8" w:rsidRDefault="00387AD8" w:rsidP="00387AD8">
            <w:pPr>
              <w:jc w:val="right"/>
              <w:rPr>
                <w:rFonts w:ascii="Arial" w:eastAsia="Calibri" w:hAnsi="Arial" w:cs="Arial"/>
                <w:b/>
                <w:color w:val="000000"/>
                <w:sz w:val="16"/>
                <w:szCs w:val="16"/>
              </w:rPr>
            </w:pPr>
            <w:r w:rsidRPr="00387AD8">
              <w:rPr>
                <w:rFonts w:ascii="Arial" w:hAnsi="Arial" w:cs="Arial"/>
                <w:b/>
                <w:sz w:val="16"/>
                <w:szCs w:val="16"/>
              </w:rPr>
              <w:t xml:space="preserve"> </w:t>
            </w:r>
            <w:r w:rsidR="00006579" w:rsidRPr="00006579">
              <w:rPr>
                <w:rFonts w:ascii="Arial" w:hAnsi="Arial" w:cs="Arial"/>
                <w:b/>
                <w:sz w:val="16"/>
                <w:szCs w:val="16"/>
              </w:rPr>
              <w:t>13.882.231</w:t>
            </w:r>
            <w:r w:rsidRPr="00387AD8">
              <w:rPr>
                <w:rFonts w:ascii="Arial" w:hAnsi="Arial" w:cs="Arial"/>
                <w:b/>
                <w:sz w:val="16"/>
                <w:szCs w:val="16"/>
              </w:rPr>
              <w:t xml:space="preserve"> </w:t>
            </w:r>
          </w:p>
        </w:tc>
      </w:tr>
      <w:tr w:rsidR="00F30A15" w:rsidRPr="00701F32" w14:paraId="73945323"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7D5843F6" w14:textId="77777777" w:rsidR="00F30A15" w:rsidRPr="00F30A15" w:rsidRDefault="00F30A15" w:rsidP="00F30A15">
            <w:pPr>
              <w:jc w:val="both"/>
              <w:rPr>
                <w:rFonts w:ascii="Arial" w:hAnsi="Arial" w:cs="Arial"/>
                <w:b/>
                <w:bCs/>
                <w:sz w:val="16"/>
                <w:szCs w:val="16"/>
                <w:lang w:eastAsia="es-AR"/>
              </w:rPr>
            </w:pPr>
            <w:r w:rsidRPr="00F30A15">
              <w:rPr>
                <w:rFonts w:ascii="Arial" w:hAnsi="Arial" w:cs="Arial"/>
                <w:b/>
                <w:bCs/>
                <w:sz w:val="16"/>
                <w:szCs w:val="16"/>
                <w:lang w:eastAsia="es-AR"/>
              </w:rPr>
              <w:t>Pasivos</w:t>
            </w:r>
          </w:p>
        </w:tc>
        <w:tc>
          <w:tcPr>
            <w:tcW w:w="639" w:type="pct"/>
            <w:tcBorders>
              <w:top w:val="nil"/>
              <w:left w:val="nil"/>
              <w:bottom w:val="single" w:sz="4" w:space="0" w:color="auto"/>
              <w:right w:val="single" w:sz="4" w:space="0" w:color="auto"/>
            </w:tcBorders>
            <w:shd w:val="clear" w:color="auto" w:fill="auto"/>
            <w:noWrap/>
            <w:vAlign w:val="bottom"/>
            <w:hideMark/>
          </w:tcPr>
          <w:p w14:paraId="3E34231D" w14:textId="77777777" w:rsidR="00F30A15" w:rsidRPr="00F30A15" w:rsidRDefault="00F30A15" w:rsidP="00F30A15">
            <w:pPr>
              <w:jc w:val="right"/>
              <w:rPr>
                <w:rFonts w:ascii="Arial" w:hAnsi="Arial" w:cs="Arial"/>
                <w:b/>
                <w:bCs/>
                <w:sz w:val="16"/>
                <w:szCs w:val="16"/>
                <w:lang w:eastAsia="es-AR"/>
              </w:rPr>
            </w:pPr>
          </w:p>
        </w:tc>
        <w:tc>
          <w:tcPr>
            <w:tcW w:w="641" w:type="pct"/>
            <w:tcBorders>
              <w:top w:val="nil"/>
              <w:left w:val="nil"/>
              <w:bottom w:val="single" w:sz="4" w:space="0" w:color="auto"/>
              <w:right w:val="single" w:sz="4" w:space="0" w:color="auto"/>
            </w:tcBorders>
            <w:shd w:val="clear" w:color="auto" w:fill="auto"/>
            <w:noWrap/>
            <w:vAlign w:val="bottom"/>
            <w:hideMark/>
          </w:tcPr>
          <w:p w14:paraId="7133D4FE" w14:textId="77777777" w:rsidR="00F30A15" w:rsidRPr="00F30A15" w:rsidRDefault="00F30A15" w:rsidP="00F30A15">
            <w:pPr>
              <w:jc w:val="right"/>
              <w:rPr>
                <w:rFonts w:ascii="Arial" w:hAnsi="Arial" w:cs="Arial"/>
                <w:b/>
                <w:bCs/>
                <w:sz w:val="16"/>
                <w:szCs w:val="16"/>
                <w:lang w:eastAsia="es-AR"/>
              </w:rPr>
            </w:pPr>
          </w:p>
        </w:tc>
        <w:tc>
          <w:tcPr>
            <w:tcW w:w="689" w:type="pct"/>
            <w:tcBorders>
              <w:top w:val="nil"/>
              <w:left w:val="nil"/>
              <w:bottom w:val="single" w:sz="4" w:space="0" w:color="auto"/>
              <w:right w:val="single" w:sz="4" w:space="0" w:color="auto"/>
            </w:tcBorders>
            <w:shd w:val="clear" w:color="auto" w:fill="auto"/>
            <w:noWrap/>
            <w:vAlign w:val="bottom"/>
            <w:hideMark/>
          </w:tcPr>
          <w:p w14:paraId="6C7EFCB9" w14:textId="77777777" w:rsidR="00F30A15" w:rsidRPr="00F30A15" w:rsidRDefault="00F30A15" w:rsidP="00F30A15">
            <w:pPr>
              <w:jc w:val="right"/>
              <w:rPr>
                <w:rFonts w:ascii="Arial" w:hAnsi="Arial" w:cs="Arial"/>
                <w:b/>
                <w:bCs/>
                <w:sz w:val="16"/>
                <w:szCs w:val="16"/>
                <w:lang w:eastAsia="es-AR"/>
              </w:rPr>
            </w:pPr>
          </w:p>
        </w:tc>
        <w:tc>
          <w:tcPr>
            <w:tcW w:w="551" w:type="pct"/>
            <w:tcBorders>
              <w:top w:val="nil"/>
              <w:left w:val="nil"/>
              <w:bottom w:val="single" w:sz="4" w:space="0" w:color="auto"/>
              <w:right w:val="single" w:sz="4" w:space="0" w:color="auto"/>
            </w:tcBorders>
            <w:vAlign w:val="bottom"/>
          </w:tcPr>
          <w:p w14:paraId="5EB22723" w14:textId="77777777" w:rsidR="00F30A15" w:rsidRPr="00F30A15" w:rsidRDefault="00F30A15" w:rsidP="00F30A15">
            <w:pPr>
              <w:jc w:val="right"/>
              <w:rPr>
                <w:rFonts w:ascii="Arial" w:hAnsi="Arial" w:cs="Arial"/>
                <w:b/>
                <w:bCs/>
                <w:sz w:val="16"/>
                <w:szCs w:val="16"/>
                <w:lang w:eastAsia="es-AR"/>
              </w:rPr>
            </w:pPr>
          </w:p>
        </w:tc>
      </w:tr>
      <w:tr w:rsidR="00F30A15" w:rsidRPr="00701F32" w14:paraId="3B17AFED"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1C46555C" w14:textId="77777777" w:rsidR="00F30A15" w:rsidRPr="00F30A15" w:rsidRDefault="00F30A15" w:rsidP="00F30A15">
            <w:pPr>
              <w:jc w:val="both"/>
              <w:rPr>
                <w:rFonts w:ascii="Arial" w:hAnsi="Arial" w:cs="Arial"/>
                <w:bCs/>
                <w:sz w:val="16"/>
                <w:szCs w:val="16"/>
                <w:lang w:eastAsia="es-AR"/>
              </w:rPr>
            </w:pPr>
            <w:r w:rsidRPr="00F30A15">
              <w:rPr>
                <w:rFonts w:ascii="Arial" w:hAnsi="Arial" w:cs="Arial"/>
                <w:bCs/>
                <w:sz w:val="16"/>
                <w:szCs w:val="16"/>
                <w:lang w:eastAsia="es-AR"/>
              </w:rPr>
              <w:t>- Pasivos a valor razonable con cambios en resultados</w:t>
            </w:r>
          </w:p>
        </w:tc>
        <w:tc>
          <w:tcPr>
            <w:tcW w:w="639" w:type="pct"/>
            <w:tcBorders>
              <w:top w:val="nil"/>
              <w:left w:val="nil"/>
              <w:bottom w:val="single" w:sz="4" w:space="0" w:color="auto"/>
              <w:right w:val="single" w:sz="4" w:space="0" w:color="auto"/>
            </w:tcBorders>
            <w:shd w:val="clear" w:color="auto" w:fill="auto"/>
            <w:noWrap/>
            <w:vAlign w:val="bottom"/>
          </w:tcPr>
          <w:p w14:paraId="514576C6" w14:textId="747AFD73" w:rsidR="00F30A15" w:rsidRPr="00F30A15" w:rsidRDefault="00387AD8" w:rsidP="00F30A15">
            <w:pPr>
              <w:jc w:val="right"/>
              <w:rPr>
                <w:rFonts w:ascii="Arial" w:hAnsi="Arial" w:cs="Arial"/>
                <w:bCs/>
                <w:sz w:val="16"/>
                <w:szCs w:val="16"/>
                <w:lang w:eastAsia="es-AR"/>
              </w:rPr>
            </w:pPr>
            <w:r w:rsidRPr="00387AD8">
              <w:rPr>
                <w:rFonts w:ascii="Arial" w:hAnsi="Arial" w:cs="Arial"/>
                <w:sz w:val="16"/>
                <w:szCs w:val="16"/>
              </w:rPr>
              <w:t>143.697</w:t>
            </w:r>
          </w:p>
        </w:tc>
        <w:tc>
          <w:tcPr>
            <w:tcW w:w="641" w:type="pct"/>
            <w:tcBorders>
              <w:top w:val="nil"/>
              <w:left w:val="nil"/>
              <w:bottom w:val="single" w:sz="4" w:space="0" w:color="auto"/>
              <w:right w:val="single" w:sz="4" w:space="0" w:color="auto"/>
            </w:tcBorders>
            <w:shd w:val="clear" w:color="auto" w:fill="auto"/>
            <w:noWrap/>
            <w:vAlign w:val="bottom"/>
          </w:tcPr>
          <w:p w14:paraId="70EA674A" w14:textId="77777777" w:rsidR="00F30A15" w:rsidRPr="00F30A15" w:rsidRDefault="00F30A15" w:rsidP="00F30A15">
            <w:pPr>
              <w:jc w:val="right"/>
              <w:rPr>
                <w:rFonts w:ascii="Arial" w:hAnsi="Arial" w:cs="Arial"/>
                <w:b/>
                <w:bCs/>
                <w:sz w:val="16"/>
                <w:szCs w:val="16"/>
                <w:lang w:eastAsia="es-AR"/>
              </w:rPr>
            </w:pPr>
            <w:r w:rsidRPr="00F30A15">
              <w:rPr>
                <w:rFonts w:ascii="Arial" w:hAnsi="Arial" w:cs="Arial"/>
                <w:sz w:val="16"/>
                <w:szCs w:val="16"/>
              </w:rPr>
              <w:t xml:space="preserve"> -   </w:t>
            </w:r>
          </w:p>
        </w:tc>
        <w:tc>
          <w:tcPr>
            <w:tcW w:w="689" w:type="pct"/>
            <w:tcBorders>
              <w:top w:val="nil"/>
              <w:left w:val="nil"/>
              <w:bottom w:val="single" w:sz="4" w:space="0" w:color="auto"/>
              <w:right w:val="single" w:sz="4" w:space="0" w:color="auto"/>
            </w:tcBorders>
            <w:shd w:val="clear" w:color="auto" w:fill="auto"/>
            <w:noWrap/>
            <w:vAlign w:val="bottom"/>
          </w:tcPr>
          <w:p w14:paraId="6B896828" w14:textId="77777777" w:rsidR="00F30A15" w:rsidRPr="00F30A15" w:rsidRDefault="00F30A15" w:rsidP="00F30A15">
            <w:pPr>
              <w:jc w:val="right"/>
              <w:rPr>
                <w:rFonts w:ascii="Arial" w:hAnsi="Arial" w:cs="Arial"/>
                <w:b/>
                <w:bCs/>
                <w:sz w:val="16"/>
                <w:szCs w:val="16"/>
                <w:lang w:eastAsia="es-AR"/>
              </w:rPr>
            </w:pPr>
            <w:r w:rsidRPr="00F30A15">
              <w:rPr>
                <w:rFonts w:ascii="Arial" w:hAnsi="Arial" w:cs="Arial"/>
                <w:sz w:val="16"/>
                <w:szCs w:val="16"/>
              </w:rPr>
              <w:t xml:space="preserve"> -   </w:t>
            </w:r>
          </w:p>
        </w:tc>
        <w:tc>
          <w:tcPr>
            <w:tcW w:w="551" w:type="pct"/>
            <w:tcBorders>
              <w:top w:val="nil"/>
              <w:left w:val="nil"/>
              <w:bottom w:val="single" w:sz="4" w:space="0" w:color="auto"/>
              <w:right w:val="single" w:sz="4" w:space="0" w:color="auto"/>
            </w:tcBorders>
            <w:vAlign w:val="bottom"/>
          </w:tcPr>
          <w:p w14:paraId="116DC47D" w14:textId="219D8199" w:rsidR="00F30A15" w:rsidRPr="00F30A15" w:rsidRDefault="00387AD8" w:rsidP="00F30A15">
            <w:pPr>
              <w:jc w:val="right"/>
              <w:rPr>
                <w:rFonts w:ascii="Arial" w:hAnsi="Arial" w:cs="Arial"/>
                <w:bCs/>
                <w:sz w:val="16"/>
                <w:szCs w:val="16"/>
                <w:lang w:eastAsia="es-AR"/>
              </w:rPr>
            </w:pPr>
            <w:r w:rsidRPr="00387AD8">
              <w:rPr>
                <w:rFonts w:ascii="Arial" w:hAnsi="Arial" w:cs="Arial"/>
                <w:sz w:val="16"/>
                <w:szCs w:val="16"/>
              </w:rPr>
              <w:t>143.697</w:t>
            </w:r>
          </w:p>
        </w:tc>
      </w:tr>
      <w:tr w:rsidR="00F30A15" w:rsidRPr="00701F32" w14:paraId="36DF2F46"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4F4C1FB9" w14:textId="77777777" w:rsidR="00F30A15" w:rsidRPr="00F30A15" w:rsidRDefault="00F30A15" w:rsidP="00627289">
            <w:pPr>
              <w:numPr>
                <w:ilvl w:val="0"/>
                <w:numId w:val="32"/>
              </w:numPr>
              <w:spacing w:after="160" w:line="259" w:lineRule="auto"/>
              <w:ind w:left="66" w:hanging="77"/>
              <w:contextualSpacing/>
              <w:jc w:val="both"/>
              <w:rPr>
                <w:rFonts w:ascii="Arial" w:hAnsi="Arial" w:cs="Arial"/>
                <w:sz w:val="16"/>
                <w:szCs w:val="16"/>
                <w:lang w:eastAsia="es-AR"/>
              </w:rPr>
            </w:pPr>
            <w:r w:rsidRPr="00F30A15">
              <w:rPr>
                <w:rFonts w:ascii="Arial" w:hAnsi="Arial" w:cs="Arial"/>
                <w:sz w:val="16"/>
                <w:szCs w:val="16"/>
                <w:lang w:eastAsia="es-AR"/>
              </w:rPr>
              <w:t xml:space="preserve"> Otros Pasivos Financieros</w:t>
            </w:r>
          </w:p>
        </w:tc>
        <w:tc>
          <w:tcPr>
            <w:tcW w:w="639" w:type="pct"/>
            <w:tcBorders>
              <w:top w:val="nil"/>
              <w:left w:val="nil"/>
              <w:bottom w:val="single" w:sz="4" w:space="0" w:color="auto"/>
              <w:right w:val="single" w:sz="4" w:space="0" w:color="auto"/>
            </w:tcBorders>
            <w:shd w:val="clear" w:color="auto" w:fill="auto"/>
            <w:noWrap/>
            <w:vAlign w:val="bottom"/>
          </w:tcPr>
          <w:p w14:paraId="3669CDE1" w14:textId="3172C5A1" w:rsidR="00F30A15" w:rsidRPr="00F30A15" w:rsidRDefault="00F30A15" w:rsidP="00F30A15">
            <w:pPr>
              <w:jc w:val="right"/>
              <w:rPr>
                <w:rFonts w:ascii="Arial" w:hAnsi="Arial" w:cs="Arial"/>
                <w:sz w:val="16"/>
                <w:szCs w:val="16"/>
                <w:lang w:eastAsia="es-AR"/>
              </w:rPr>
            </w:pPr>
            <w:r w:rsidRPr="00F30A15">
              <w:rPr>
                <w:rFonts w:ascii="Arial" w:hAnsi="Arial" w:cs="Arial"/>
                <w:sz w:val="16"/>
                <w:szCs w:val="16"/>
              </w:rPr>
              <w:t xml:space="preserve">  </w:t>
            </w:r>
            <w:r w:rsidR="00387AD8" w:rsidRPr="00387AD8">
              <w:rPr>
                <w:rFonts w:ascii="Arial" w:hAnsi="Arial" w:cs="Arial"/>
                <w:sz w:val="16"/>
                <w:szCs w:val="16"/>
              </w:rPr>
              <w:t xml:space="preserve"> 6.424.905</w:t>
            </w:r>
          </w:p>
        </w:tc>
        <w:tc>
          <w:tcPr>
            <w:tcW w:w="641" w:type="pct"/>
            <w:tcBorders>
              <w:top w:val="nil"/>
              <w:left w:val="nil"/>
              <w:bottom w:val="single" w:sz="4" w:space="0" w:color="auto"/>
              <w:right w:val="single" w:sz="4" w:space="0" w:color="auto"/>
            </w:tcBorders>
            <w:shd w:val="clear" w:color="auto" w:fill="auto"/>
            <w:noWrap/>
            <w:vAlign w:val="bottom"/>
          </w:tcPr>
          <w:p w14:paraId="140C0A21" w14:textId="77777777" w:rsidR="00F30A15" w:rsidRPr="00F30A15" w:rsidRDefault="00F30A15" w:rsidP="00F30A15">
            <w:pPr>
              <w:jc w:val="right"/>
              <w:rPr>
                <w:rFonts w:ascii="Arial" w:hAnsi="Arial" w:cs="Arial"/>
                <w:sz w:val="16"/>
                <w:szCs w:val="16"/>
                <w:lang w:eastAsia="es-AR"/>
              </w:rPr>
            </w:pPr>
            <w:r w:rsidRPr="00F30A15">
              <w:rPr>
                <w:rFonts w:ascii="Arial" w:hAnsi="Arial" w:cs="Arial"/>
                <w:sz w:val="16"/>
                <w:szCs w:val="16"/>
              </w:rPr>
              <w:t xml:space="preserve"> -   </w:t>
            </w:r>
          </w:p>
        </w:tc>
        <w:tc>
          <w:tcPr>
            <w:tcW w:w="689" w:type="pct"/>
            <w:tcBorders>
              <w:top w:val="nil"/>
              <w:left w:val="nil"/>
              <w:bottom w:val="single" w:sz="4" w:space="0" w:color="auto"/>
              <w:right w:val="single" w:sz="4" w:space="0" w:color="auto"/>
            </w:tcBorders>
            <w:shd w:val="clear" w:color="auto" w:fill="auto"/>
            <w:noWrap/>
            <w:vAlign w:val="bottom"/>
          </w:tcPr>
          <w:p w14:paraId="2CED6237" w14:textId="77777777" w:rsidR="00F30A15" w:rsidRPr="00F30A15" w:rsidRDefault="00F30A15" w:rsidP="00F30A15">
            <w:pPr>
              <w:jc w:val="right"/>
              <w:rPr>
                <w:rFonts w:ascii="Arial" w:hAnsi="Arial" w:cs="Arial"/>
                <w:sz w:val="16"/>
                <w:szCs w:val="16"/>
                <w:lang w:eastAsia="es-AR"/>
              </w:rPr>
            </w:pPr>
            <w:r w:rsidRPr="00F30A15">
              <w:rPr>
                <w:rFonts w:ascii="Arial" w:hAnsi="Arial" w:cs="Arial"/>
                <w:sz w:val="16"/>
                <w:szCs w:val="16"/>
              </w:rPr>
              <w:t xml:space="preserve"> -   </w:t>
            </w:r>
          </w:p>
        </w:tc>
        <w:tc>
          <w:tcPr>
            <w:tcW w:w="551" w:type="pct"/>
            <w:tcBorders>
              <w:top w:val="nil"/>
              <w:left w:val="nil"/>
              <w:bottom w:val="single" w:sz="4" w:space="0" w:color="auto"/>
              <w:right w:val="single" w:sz="4" w:space="0" w:color="auto"/>
            </w:tcBorders>
            <w:vAlign w:val="bottom"/>
          </w:tcPr>
          <w:p w14:paraId="29DDA3BC" w14:textId="3BE75E19" w:rsidR="00F30A15" w:rsidRPr="00F30A15" w:rsidRDefault="00387AD8" w:rsidP="00F30A15">
            <w:pPr>
              <w:jc w:val="right"/>
              <w:rPr>
                <w:rFonts w:ascii="Arial" w:eastAsia="Calibri" w:hAnsi="Arial" w:cs="Arial"/>
                <w:color w:val="000000"/>
                <w:sz w:val="16"/>
                <w:szCs w:val="16"/>
              </w:rPr>
            </w:pPr>
            <w:r w:rsidRPr="00387AD8">
              <w:rPr>
                <w:rFonts w:ascii="Arial" w:hAnsi="Arial" w:cs="Arial"/>
                <w:sz w:val="16"/>
                <w:szCs w:val="16"/>
              </w:rPr>
              <w:t>6.424.905</w:t>
            </w:r>
          </w:p>
        </w:tc>
      </w:tr>
      <w:tr w:rsidR="00F30A15" w:rsidRPr="00701F32" w14:paraId="1E8253E8" w14:textId="77777777" w:rsidTr="00387AD8">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B257150" w14:textId="77777777" w:rsidR="00F30A15" w:rsidRPr="00F30A15" w:rsidRDefault="00F30A15" w:rsidP="00F30A15">
            <w:pPr>
              <w:jc w:val="both"/>
              <w:rPr>
                <w:rFonts w:ascii="Arial" w:hAnsi="Arial" w:cs="Arial"/>
                <w:b/>
                <w:bCs/>
                <w:sz w:val="16"/>
                <w:szCs w:val="16"/>
                <w:lang w:eastAsia="es-AR"/>
              </w:rPr>
            </w:pPr>
            <w:r w:rsidRPr="00F30A15">
              <w:rPr>
                <w:rFonts w:ascii="Arial" w:hAnsi="Arial" w:cs="Arial"/>
                <w:b/>
                <w:bCs/>
                <w:sz w:val="16"/>
                <w:szCs w:val="16"/>
                <w:lang w:eastAsia="es-AR"/>
              </w:rPr>
              <w:t>Total Pasivos</w:t>
            </w:r>
          </w:p>
        </w:tc>
        <w:tc>
          <w:tcPr>
            <w:tcW w:w="639" w:type="pct"/>
            <w:tcBorders>
              <w:top w:val="nil"/>
              <w:left w:val="nil"/>
              <w:bottom w:val="single" w:sz="4" w:space="0" w:color="auto"/>
              <w:right w:val="single" w:sz="4" w:space="0" w:color="auto"/>
            </w:tcBorders>
            <w:shd w:val="clear" w:color="auto" w:fill="auto"/>
            <w:noWrap/>
            <w:vAlign w:val="bottom"/>
            <w:hideMark/>
          </w:tcPr>
          <w:p w14:paraId="5678DE95" w14:textId="12A1C230" w:rsidR="00F30A15" w:rsidRPr="00F30A15" w:rsidRDefault="002C7AEB" w:rsidP="00F30A15">
            <w:pPr>
              <w:jc w:val="right"/>
              <w:rPr>
                <w:rFonts w:ascii="Arial" w:hAnsi="Arial" w:cs="Arial"/>
                <w:b/>
                <w:bCs/>
                <w:sz w:val="16"/>
                <w:szCs w:val="16"/>
                <w:lang w:eastAsia="es-AR"/>
              </w:rPr>
            </w:pPr>
            <w:r w:rsidRPr="002C7AEB">
              <w:rPr>
                <w:rFonts w:ascii="Arial" w:hAnsi="Arial" w:cs="Arial"/>
                <w:b/>
                <w:sz w:val="16"/>
                <w:szCs w:val="16"/>
              </w:rPr>
              <w:t>6.568.602</w:t>
            </w:r>
          </w:p>
        </w:tc>
        <w:tc>
          <w:tcPr>
            <w:tcW w:w="641" w:type="pct"/>
            <w:tcBorders>
              <w:top w:val="nil"/>
              <w:left w:val="nil"/>
              <w:bottom w:val="single" w:sz="4" w:space="0" w:color="auto"/>
              <w:right w:val="single" w:sz="4" w:space="0" w:color="auto"/>
            </w:tcBorders>
            <w:shd w:val="clear" w:color="auto" w:fill="auto"/>
            <w:noWrap/>
            <w:vAlign w:val="bottom"/>
            <w:hideMark/>
          </w:tcPr>
          <w:p w14:paraId="75FFCFC5" w14:textId="33264A08" w:rsidR="00F30A15" w:rsidRPr="00F30A15" w:rsidRDefault="002C7AEB" w:rsidP="00F30A15">
            <w:pPr>
              <w:jc w:val="right"/>
              <w:rPr>
                <w:rFonts w:ascii="Arial" w:eastAsia="Calibri" w:hAnsi="Arial" w:cs="Arial"/>
                <w:b/>
                <w:bCs/>
                <w:color w:val="000000"/>
                <w:sz w:val="16"/>
                <w:szCs w:val="16"/>
              </w:rPr>
            </w:pPr>
            <w:r>
              <w:rPr>
                <w:rFonts w:ascii="Arial" w:hAnsi="Arial" w:cs="Arial"/>
                <w:b/>
                <w:sz w:val="16"/>
                <w:szCs w:val="16"/>
              </w:rPr>
              <w:t>-</w:t>
            </w:r>
            <w:r w:rsidR="00F30A15" w:rsidRPr="00F30A15">
              <w:rPr>
                <w:rFonts w:ascii="Arial" w:hAnsi="Arial" w:cs="Arial"/>
                <w:b/>
                <w:sz w:val="16"/>
                <w:szCs w:val="16"/>
              </w:rPr>
              <w:t xml:space="preserve">    </w:t>
            </w:r>
          </w:p>
        </w:tc>
        <w:tc>
          <w:tcPr>
            <w:tcW w:w="689" w:type="pct"/>
            <w:tcBorders>
              <w:top w:val="nil"/>
              <w:left w:val="nil"/>
              <w:bottom w:val="single" w:sz="4" w:space="0" w:color="auto"/>
              <w:right w:val="single" w:sz="4" w:space="0" w:color="auto"/>
            </w:tcBorders>
            <w:shd w:val="clear" w:color="auto" w:fill="auto"/>
            <w:noWrap/>
            <w:vAlign w:val="bottom"/>
            <w:hideMark/>
          </w:tcPr>
          <w:p w14:paraId="71D2AA01" w14:textId="2609263A" w:rsidR="00F30A15" w:rsidRPr="00F30A15" w:rsidRDefault="002C7AEB" w:rsidP="00F30A15">
            <w:pPr>
              <w:jc w:val="right"/>
              <w:rPr>
                <w:rFonts w:ascii="Arial" w:hAnsi="Arial" w:cs="Arial"/>
                <w:b/>
                <w:bCs/>
                <w:sz w:val="16"/>
                <w:szCs w:val="16"/>
                <w:lang w:eastAsia="es-AR"/>
              </w:rPr>
            </w:pPr>
            <w:r>
              <w:rPr>
                <w:rFonts w:ascii="Arial" w:hAnsi="Arial" w:cs="Arial"/>
                <w:b/>
                <w:sz w:val="16"/>
                <w:szCs w:val="16"/>
              </w:rPr>
              <w:t>-</w:t>
            </w:r>
          </w:p>
        </w:tc>
        <w:tc>
          <w:tcPr>
            <w:tcW w:w="551" w:type="pct"/>
            <w:tcBorders>
              <w:top w:val="nil"/>
              <w:left w:val="nil"/>
              <w:bottom w:val="single" w:sz="4" w:space="0" w:color="auto"/>
              <w:right w:val="single" w:sz="4" w:space="0" w:color="auto"/>
            </w:tcBorders>
            <w:vAlign w:val="bottom"/>
          </w:tcPr>
          <w:p w14:paraId="39D0E8DE" w14:textId="3F9BC47F" w:rsidR="00F30A15" w:rsidRPr="00F30A15" w:rsidRDefault="002C7AEB" w:rsidP="00F30A15">
            <w:pPr>
              <w:jc w:val="right"/>
              <w:rPr>
                <w:rFonts w:ascii="Arial" w:hAnsi="Arial" w:cs="Arial"/>
                <w:b/>
                <w:bCs/>
                <w:sz w:val="16"/>
                <w:szCs w:val="16"/>
                <w:lang w:eastAsia="es-AR"/>
              </w:rPr>
            </w:pPr>
            <w:r>
              <w:rPr>
                <w:rFonts w:ascii="Arial" w:hAnsi="Arial" w:cs="Arial"/>
                <w:b/>
                <w:sz w:val="16"/>
                <w:szCs w:val="16"/>
              </w:rPr>
              <w:t>6.568.602</w:t>
            </w:r>
          </w:p>
        </w:tc>
      </w:tr>
    </w:tbl>
    <w:p w14:paraId="6043F677" w14:textId="77777777" w:rsidR="00F30A15" w:rsidRDefault="00F30A15" w:rsidP="00656E62">
      <w:pPr>
        <w:spacing w:after="160" w:line="259" w:lineRule="auto"/>
        <w:jc w:val="both"/>
        <w:rPr>
          <w:rFonts w:ascii="Arial" w:eastAsia="Calibri" w:hAnsi="Arial" w:cs="Arial"/>
          <w:b/>
          <w:bCs/>
          <w:sz w:val="20"/>
        </w:rPr>
      </w:pPr>
    </w:p>
    <w:p w14:paraId="68FA4A21" w14:textId="5DDF72CC" w:rsidR="00656E62" w:rsidRPr="00701F32" w:rsidRDefault="00656E62" w:rsidP="00656E62">
      <w:pPr>
        <w:spacing w:after="160" w:line="259" w:lineRule="auto"/>
        <w:jc w:val="both"/>
        <w:rPr>
          <w:rFonts w:ascii="Arial" w:eastAsia="Calibri" w:hAnsi="Arial" w:cs="Arial"/>
          <w:b/>
          <w:bCs/>
          <w:sz w:val="20"/>
        </w:rPr>
      </w:pPr>
      <w:r w:rsidRPr="001B4A0E">
        <w:rPr>
          <w:rFonts w:ascii="Arial" w:eastAsia="Calibri" w:hAnsi="Arial" w:cs="Arial"/>
          <w:b/>
          <w:bCs/>
          <w:sz w:val="20"/>
        </w:rPr>
        <w:t>Técnicas de Valuación</w:t>
      </w:r>
    </w:p>
    <w:p w14:paraId="3A8905DA" w14:textId="77777777" w:rsidR="006D13EE" w:rsidRPr="00701F32" w:rsidRDefault="006D13EE" w:rsidP="006D13EE">
      <w:pPr>
        <w:spacing w:after="160" w:line="259" w:lineRule="auto"/>
        <w:jc w:val="both"/>
        <w:rPr>
          <w:rFonts w:ascii="Arial" w:eastAsia="Calibri" w:hAnsi="Arial" w:cs="Arial"/>
          <w:bCs/>
          <w:sz w:val="20"/>
        </w:rPr>
      </w:pPr>
      <w:r w:rsidRPr="00701F32">
        <w:rPr>
          <w:rFonts w:ascii="Arial" w:eastAsia="Calibri" w:hAnsi="Arial" w:cs="Arial"/>
          <w:bCs/>
          <w:sz w:val="20"/>
        </w:rPr>
        <w:t>Las técnicas de valuación para la determinación de los Valores Razonables incluyen:</w:t>
      </w:r>
    </w:p>
    <w:p w14:paraId="35B25B94" w14:textId="77777777" w:rsidR="006D13EE" w:rsidRPr="00701F32" w:rsidRDefault="006D13EE"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Precios de mercado o cotizaciones de instrumentos similares.</w:t>
      </w:r>
    </w:p>
    <w:p w14:paraId="16701F60" w14:textId="77777777" w:rsidR="006D13EE" w:rsidRDefault="006D13EE"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Determinación de valor actual estimado de los instrumentos.</w:t>
      </w:r>
    </w:p>
    <w:p w14:paraId="66705AD9" w14:textId="77777777" w:rsidR="006D13EE" w:rsidRPr="00701F32" w:rsidRDefault="006D13EE" w:rsidP="006D13EE">
      <w:pPr>
        <w:spacing w:after="160" w:line="259" w:lineRule="auto"/>
        <w:ind w:left="360"/>
        <w:contextualSpacing/>
        <w:jc w:val="both"/>
        <w:rPr>
          <w:rFonts w:ascii="Arial" w:eastAsia="Calibri" w:hAnsi="Arial" w:cs="Arial"/>
          <w:bCs/>
          <w:sz w:val="20"/>
        </w:rPr>
      </w:pPr>
    </w:p>
    <w:p w14:paraId="7F5A20C7" w14:textId="77777777" w:rsidR="006D13EE" w:rsidRPr="00701F32" w:rsidRDefault="006D13EE" w:rsidP="006D13EE">
      <w:pPr>
        <w:spacing w:after="160" w:line="259" w:lineRule="auto"/>
        <w:jc w:val="both"/>
        <w:rPr>
          <w:rFonts w:ascii="Arial" w:eastAsia="Calibri" w:hAnsi="Arial" w:cs="Arial"/>
          <w:bCs/>
          <w:sz w:val="20"/>
        </w:rPr>
      </w:pPr>
      <w:r w:rsidRPr="00701F32">
        <w:rPr>
          <w:rFonts w:ascii="Arial" w:eastAsia="Calibri" w:hAnsi="Arial" w:cs="Arial"/>
          <w:bCs/>
          <w:sz w:val="20"/>
        </w:rPr>
        <w:t>Todas las estimaciones del valor razonable se incluyen en el nivel 2. Para ello, la Entidad utiliza técnicas de valorización por medio de curvas de tasa spot que estiman curvas de rendimiento en base a precios de mercado. Las mismas se detallan a continuación:</w:t>
      </w:r>
    </w:p>
    <w:p w14:paraId="3FA86C5A" w14:textId="0A96A543" w:rsidR="006D13EE" w:rsidRPr="00701F32" w:rsidRDefault="006D13EE" w:rsidP="00627289">
      <w:pPr>
        <w:pStyle w:val="ListParagraph"/>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 xml:space="preserve">Modelo de interpolación: Consiste en la determinación del valor de instrumentos financieros que no poseen precio de mercado a la fecha de cierre, a partir de las cotizaciones de especies asimilables (tanto en condiciones de emisión, moneda, y duración) en mercado activo (MAE, Bolsar o secundarios) por medio de la interpolación lineal de las mismas. Esta técnica ha sido utilizada por la Entidad para determinar el valor razonable de los instrumentos emitidos por el BCRA y </w:t>
      </w:r>
      <w:r w:rsidRPr="00701F32">
        <w:rPr>
          <w:rFonts w:ascii="Arial" w:eastAsia="Calibri" w:hAnsi="Arial" w:cs="Arial"/>
          <w:bCs/>
          <w:smallCaps/>
          <w:sz w:val="20"/>
        </w:rPr>
        <w:t>L</w:t>
      </w:r>
      <w:r w:rsidRPr="00701F32">
        <w:rPr>
          <w:rFonts w:ascii="Arial" w:eastAsia="Calibri" w:hAnsi="Arial" w:cs="Arial"/>
          <w:bCs/>
          <w:sz w:val="20"/>
        </w:rPr>
        <w:t xml:space="preserve">etras del Tesoro sin cotización al cierre del presente </w:t>
      </w:r>
      <w:r w:rsidR="00D35EF9">
        <w:rPr>
          <w:rFonts w:ascii="Arial" w:eastAsia="Calibri" w:hAnsi="Arial" w:cs="Arial"/>
          <w:bCs/>
          <w:sz w:val="20"/>
        </w:rPr>
        <w:t xml:space="preserve">período / </w:t>
      </w:r>
      <w:r>
        <w:rPr>
          <w:rFonts w:ascii="Arial" w:eastAsia="Calibri" w:hAnsi="Arial" w:cs="Arial"/>
          <w:bCs/>
          <w:sz w:val="20"/>
        </w:rPr>
        <w:t>ejercicio.</w:t>
      </w:r>
    </w:p>
    <w:p w14:paraId="3B518E7D" w14:textId="77777777" w:rsidR="006D13EE" w:rsidRPr="00701F32" w:rsidRDefault="006D13EE" w:rsidP="006D13EE">
      <w:pPr>
        <w:pStyle w:val="ListParagraph"/>
        <w:jc w:val="both"/>
        <w:rPr>
          <w:rFonts w:ascii="Arial" w:eastAsia="Calibri" w:hAnsi="Arial" w:cs="Arial"/>
          <w:bCs/>
          <w:sz w:val="20"/>
        </w:rPr>
      </w:pPr>
    </w:p>
    <w:p w14:paraId="42D42A6D" w14:textId="77777777" w:rsidR="006D13EE" w:rsidRPr="00701F32" w:rsidRDefault="006D13EE" w:rsidP="00627289">
      <w:pPr>
        <w:pStyle w:val="ListParagraph"/>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Modelo de Curvas de rendimiento bajo Nelson Siegel: Este modelo propone una función continua para modelar la trayectoria de la tasa de interés forward instantánea considerando como dominio el plazo comprendido hasta el próximo pago de interés y/o capital. Consiste en la determinación del precio de una especie por medio de un modelo de valor de riesgo a precio teórico, estimándose para ello la volatilidad a través de curvas de mercado. La Entidad ha utilizado este modelo para estimar precios en obligaciones negociables o especies ajustables por tasa BADLAR o por inflación.</w:t>
      </w:r>
    </w:p>
    <w:p w14:paraId="606C6958" w14:textId="77777777" w:rsidR="006D13EE" w:rsidRPr="00701F32" w:rsidRDefault="006D13EE" w:rsidP="006D13EE">
      <w:pPr>
        <w:spacing w:after="160" w:line="259" w:lineRule="auto"/>
        <w:jc w:val="both"/>
        <w:rPr>
          <w:rFonts w:ascii="Arial" w:eastAsia="Calibri" w:hAnsi="Arial" w:cs="Arial"/>
          <w:bCs/>
          <w:color w:val="0000CC"/>
          <w:sz w:val="20"/>
        </w:rPr>
      </w:pPr>
      <w:r w:rsidRPr="00701F32">
        <w:rPr>
          <w:rFonts w:ascii="Arial" w:eastAsia="Calibri" w:hAnsi="Arial" w:cs="Arial"/>
          <w:bCs/>
          <w:sz w:val="20"/>
        </w:rPr>
        <w:t>La entidad evalúa periódicamente la performance de los modelos en función de indicadores los cuales poseen definidos umbrales de tolerancia</w:t>
      </w:r>
      <w:r w:rsidRPr="00701F32">
        <w:rPr>
          <w:rFonts w:ascii="Arial" w:eastAsia="Calibri" w:hAnsi="Arial" w:cs="Arial"/>
          <w:bCs/>
          <w:color w:val="0000CC"/>
          <w:sz w:val="20"/>
        </w:rPr>
        <w:t xml:space="preserve">. </w:t>
      </w:r>
    </w:p>
    <w:p w14:paraId="1BA37542" w14:textId="42182807" w:rsidR="00EF11DF" w:rsidRDefault="006D13EE" w:rsidP="006D13EE">
      <w:pPr>
        <w:spacing w:after="160" w:line="259" w:lineRule="auto"/>
        <w:jc w:val="both"/>
        <w:rPr>
          <w:rFonts w:ascii="Arial" w:eastAsia="Calibri" w:hAnsi="Arial" w:cs="Arial"/>
          <w:bCs/>
          <w:sz w:val="20"/>
        </w:rPr>
      </w:pPr>
      <w:r w:rsidRPr="00701F32">
        <w:rPr>
          <w:rFonts w:ascii="Arial" w:eastAsia="Calibri" w:hAnsi="Arial" w:cs="Arial"/>
          <w:bCs/>
          <w:sz w:val="20"/>
        </w:rPr>
        <w:t>De acuerdo a las NIIF, el valor residual estimado de un instrumento al inicio es, generalmente, el precio de la transacción. En el caso que el precio de transacción difiera del valor razonable determinado, la diferencia será reconocida en el estado de resultados en forma proporcional durante la duración del instrumento. Al 3</w:t>
      </w:r>
      <w:r w:rsidR="002C7AEB">
        <w:rPr>
          <w:rFonts w:ascii="Arial" w:eastAsia="Calibri" w:hAnsi="Arial" w:cs="Arial"/>
          <w:bCs/>
          <w:sz w:val="20"/>
        </w:rPr>
        <w:t>1</w:t>
      </w:r>
      <w:r w:rsidRPr="00701F32">
        <w:rPr>
          <w:rFonts w:ascii="Arial" w:eastAsia="Calibri" w:hAnsi="Arial" w:cs="Arial"/>
          <w:bCs/>
          <w:sz w:val="20"/>
        </w:rPr>
        <w:t xml:space="preserve"> de </w:t>
      </w:r>
      <w:r w:rsidR="002C7AEB">
        <w:rPr>
          <w:rFonts w:ascii="Arial" w:eastAsia="Calibri" w:hAnsi="Arial" w:cs="Arial"/>
          <w:bCs/>
          <w:sz w:val="20"/>
        </w:rPr>
        <w:t>marzo</w:t>
      </w:r>
      <w:r w:rsidR="00D35EF9">
        <w:rPr>
          <w:rFonts w:ascii="Arial" w:eastAsia="Calibri" w:hAnsi="Arial" w:cs="Arial"/>
          <w:bCs/>
          <w:sz w:val="20"/>
        </w:rPr>
        <w:t xml:space="preserve"> </w:t>
      </w:r>
      <w:r w:rsidRPr="00701F32">
        <w:rPr>
          <w:rFonts w:ascii="Arial" w:eastAsia="Calibri" w:hAnsi="Arial" w:cs="Arial"/>
          <w:bCs/>
          <w:sz w:val="20"/>
        </w:rPr>
        <w:t>de 20</w:t>
      </w:r>
      <w:r w:rsidR="002C7AEB">
        <w:rPr>
          <w:rFonts w:ascii="Arial" w:eastAsia="Calibri" w:hAnsi="Arial" w:cs="Arial"/>
          <w:bCs/>
          <w:sz w:val="20"/>
        </w:rPr>
        <w:t>20</w:t>
      </w:r>
      <w:r w:rsidRPr="00701F32">
        <w:rPr>
          <w:rFonts w:ascii="Arial" w:eastAsia="Calibri" w:hAnsi="Arial" w:cs="Arial"/>
          <w:bCs/>
          <w:sz w:val="20"/>
        </w:rPr>
        <w:t xml:space="preserve"> no se han registrado diferencias respecto del </w:t>
      </w:r>
      <w:r w:rsidR="00D35EF9">
        <w:rPr>
          <w:rFonts w:ascii="Arial" w:eastAsia="Calibri" w:hAnsi="Arial" w:cs="Arial"/>
          <w:bCs/>
          <w:sz w:val="20"/>
        </w:rPr>
        <w:t>precio de la transacción</w:t>
      </w:r>
      <w:r w:rsidRPr="00701F32">
        <w:rPr>
          <w:rFonts w:ascii="Arial" w:eastAsia="Calibri" w:hAnsi="Arial" w:cs="Arial"/>
          <w:bCs/>
          <w:sz w:val="20"/>
        </w:rPr>
        <w:t>.</w:t>
      </w:r>
    </w:p>
    <w:p w14:paraId="33C45DAD" w14:textId="0F4A741E" w:rsidR="00111E5A" w:rsidRDefault="00111E5A" w:rsidP="006D13EE">
      <w:pPr>
        <w:spacing w:after="160" w:line="259" w:lineRule="auto"/>
        <w:jc w:val="both"/>
        <w:rPr>
          <w:rFonts w:ascii="Arial" w:eastAsia="Calibri" w:hAnsi="Arial" w:cs="Arial"/>
          <w:bCs/>
          <w:sz w:val="20"/>
        </w:rPr>
      </w:pPr>
    </w:p>
    <w:p w14:paraId="36555434" w14:textId="77777777" w:rsidR="00111E5A" w:rsidRDefault="00111E5A" w:rsidP="006D13EE">
      <w:pPr>
        <w:spacing w:after="160" w:line="259" w:lineRule="auto"/>
        <w:jc w:val="both"/>
        <w:rPr>
          <w:rFonts w:ascii="Arial" w:eastAsia="Calibri" w:hAnsi="Arial" w:cs="Arial"/>
          <w:b/>
          <w:sz w:val="20"/>
        </w:rPr>
      </w:pPr>
    </w:p>
    <w:p w14:paraId="5C8641FD" w14:textId="77777777" w:rsidR="00510536" w:rsidRPr="00701F32" w:rsidRDefault="00510536" w:rsidP="00510536">
      <w:pPr>
        <w:spacing w:after="160" w:line="259" w:lineRule="auto"/>
        <w:jc w:val="both"/>
        <w:rPr>
          <w:rFonts w:ascii="Arial" w:eastAsia="Calibri" w:hAnsi="Arial" w:cs="Arial"/>
          <w:b/>
          <w:bCs/>
          <w:sz w:val="20"/>
        </w:rPr>
      </w:pPr>
      <w:r w:rsidRPr="00701F32">
        <w:rPr>
          <w:rFonts w:ascii="Arial" w:eastAsia="Calibri" w:hAnsi="Arial" w:cs="Arial"/>
          <w:b/>
          <w:bCs/>
          <w:sz w:val="20"/>
        </w:rPr>
        <w:t>Valor Razonable de Otros Instrumentos Financieros</w:t>
      </w:r>
    </w:p>
    <w:p w14:paraId="18B85B0B" w14:textId="77777777" w:rsidR="006D13EE" w:rsidRDefault="006D13EE" w:rsidP="006D13EE">
      <w:pPr>
        <w:pStyle w:val="Textoinfaud"/>
        <w:autoSpaceDE w:val="0"/>
        <w:autoSpaceDN w:val="0"/>
        <w:spacing w:line="239" w:lineRule="exact"/>
        <w:rPr>
          <w:rFonts w:ascii="Arial" w:hAnsi="Arial" w:cs="Arial"/>
          <w:lang w:val="es-ES" w:eastAsia="es-ES"/>
        </w:rPr>
      </w:pPr>
      <w:r>
        <w:rPr>
          <w:rFonts w:ascii="Arial" w:hAnsi="Arial" w:cs="Arial"/>
          <w:lang w:val="es-ES" w:eastAsia="es-ES"/>
        </w:rPr>
        <w:t xml:space="preserve">A continuación se describen las metodologías y supuestos utilizados para determinar los valores razonables de los instrumentos financieros no registrados a su valor razonable en los presentes estados financieros: </w:t>
      </w:r>
    </w:p>
    <w:p w14:paraId="73897D99" w14:textId="77777777" w:rsidR="006D13EE" w:rsidRDefault="006D13EE" w:rsidP="006D13EE">
      <w:pPr>
        <w:pStyle w:val="Textoinfaud"/>
        <w:autoSpaceDE w:val="0"/>
        <w:autoSpaceDN w:val="0"/>
        <w:spacing w:line="239" w:lineRule="exact"/>
        <w:rPr>
          <w:rFonts w:ascii="Arial" w:hAnsi="Arial" w:cs="Arial"/>
          <w:lang w:val="es-ES" w:eastAsia="es-ES"/>
        </w:rPr>
      </w:pPr>
    </w:p>
    <w:p w14:paraId="47B08E0B" w14:textId="44FA6ADF" w:rsidR="006D13EE" w:rsidRPr="006D010A" w:rsidRDefault="006D13EE" w:rsidP="00424FCE">
      <w:pPr>
        <w:pStyle w:val="ListParagraph"/>
        <w:spacing w:after="200" w:line="276" w:lineRule="auto"/>
        <w:ind w:left="284" w:hanging="284"/>
        <w:jc w:val="both"/>
      </w:pPr>
      <w:r>
        <w:rPr>
          <w:rFonts w:ascii="Arial" w:hAnsi="Arial" w:cs="Arial"/>
          <w:sz w:val="20"/>
        </w:rPr>
        <w:t>-</w:t>
      </w:r>
      <w:r>
        <w:rPr>
          <w:sz w:val="14"/>
          <w:szCs w:val="14"/>
        </w:rPr>
        <w:t xml:space="preserve">     </w:t>
      </w:r>
      <w:r>
        <w:rPr>
          <w:rFonts w:ascii="Arial" w:hAnsi="Arial" w:cs="Arial"/>
          <w:i/>
          <w:iCs/>
          <w:sz w:val="20"/>
        </w:rPr>
        <w:t xml:space="preserve">Activos cuyo valor razonable es similar al valor en libros: </w:t>
      </w:r>
      <w:r>
        <w:rPr>
          <w:rFonts w:ascii="Arial" w:hAnsi="Arial" w:cs="Arial"/>
          <w:sz w:val="20"/>
          <w:lang w:val="es-ES" w:eastAsia="es-ES"/>
        </w:rPr>
        <w:t xml:space="preserve">Para los activos y pasivos financieros que son líquidos o tienen vencimientos a corto plazo (menor a tres meses), se consideró que el valor en libros es similar al valor razonable. </w:t>
      </w:r>
    </w:p>
    <w:p w14:paraId="2D5B6669" w14:textId="6455E372" w:rsidR="006D13EE" w:rsidRPr="00D35EF9" w:rsidRDefault="006D13EE" w:rsidP="005A1F48">
      <w:pPr>
        <w:pStyle w:val="ListParagraph"/>
        <w:spacing w:after="200" w:line="276" w:lineRule="auto"/>
        <w:ind w:left="284" w:hanging="284"/>
        <w:jc w:val="both"/>
      </w:pPr>
      <w:r>
        <w:rPr>
          <w:rFonts w:ascii="Arial" w:hAnsi="Arial" w:cs="Arial"/>
          <w:sz w:val="20"/>
        </w:rPr>
        <w:t>-</w:t>
      </w:r>
      <w:r>
        <w:rPr>
          <w:sz w:val="14"/>
          <w:szCs w:val="14"/>
        </w:rPr>
        <w:t xml:space="preserve">     </w:t>
      </w:r>
      <w:r>
        <w:rPr>
          <w:rFonts w:ascii="Arial" w:hAnsi="Arial" w:cs="Arial"/>
          <w:i/>
          <w:iCs/>
          <w:sz w:val="20"/>
        </w:rPr>
        <w:t xml:space="preserve">Instrumentos financieros de tasa fija: </w:t>
      </w:r>
      <w:r>
        <w:rPr>
          <w:rFonts w:ascii="Arial" w:hAnsi="Arial" w:cs="Arial"/>
          <w:sz w:val="20"/>
        </w:rPr>
        <w:t xml:space="preserve">El valor razonable de los activos financieros se determinó descontando los flujos de fondos futuros a las tasas de mercado corrientes ofrecidas, para cada </w:t>
      </w:r>
      <w:r w:rsidR="00D35EF9">
        <w:rPr>
          <w:rFonts w:ascii="Arial" w:hAnsi="Arial" w:cs="Arial"/>
          <w:sz w:val="20"/>
        </w:rPr>
        <w:t xml:space="preserve">período / </w:t>
      </w:r>
      <w:r>
        <w:rPr>
          <w:rFonts w:ascii="Arial" w:hAnsi="Arial" w:cs="Arial"/>
          <w:sz w:val="20"/>
        </w:rPr>
        <w:t>ejercicio, para instrumentos financieros de similares características. El valor razonable estimado de los depósitos con tasa de interés fija se determinó descontando los flujos de fondos futuros mediante la utilización de tasas de interés de mercado para imposiciones con vencimientos similares a las de la cartera del Banco.</w:t>
      </w:r>
    </w:p>
    <w:p w14:paraId="2674A688" w14:textId="77777777" w:rsidR="006D13EE" w:rsidRDefault="006D13EE" w:rsidP="006D13EE">
      <w:pPr>
        <w:pStyle w:val="ListParagraph"/>
        <w:ind w:left="284"/>
        <w:jc w:val="both"/>
        <w:rPr>
          <w:rFonts w:ascii="Arial" w:hAnsi="Arial" w:cs="Arial"/>
          <w:sz w:val="20"/>
        </w:rPr>
      </w:pPr>
      <w:r>
        <w:rPr>
          <w:rFonts w:ascii="Arial" w:hAnsi="Arial" w:cs="Arial"/>
          <w:sz w:val="20"/>
        </w:rPr>
        <w:t>Para los activos cotizados y la deuda cotizada emitida el valor razonable se determinó en base a los precios de mercado.</w:t>
      </w:r>
    </w:p>
    <w:p w14:paraId="642587D2" w14:textId="77777777" w:rsidR="006D13EE" w:rsidRDefault="006D13EE" w:rsidP="006D13EE">
      <w:pPr>
        <w:pStyle w:val="ListParagraph"/>
        <w:ind w:left="284"/>
        <w:jc w:val="both"/>
        <w:rPr>
          <w:rFonts w:ascii="Arial" w:hAnsi="Arial" w:cs="Arial"/>
          <w:i/>
          <w:iCs/>
          <w:sz w:val="20"/>
        </w:rPr>
      </w:pPr>
    </w:p>
    <w:p w14:paraId="488B1850" w14:textId="7AFC04CD" w:rsidR="00F03B81" w:rsidRDefault="006D13EE" w:rsidP="00066653">
      <w:pPr>
        <w:pStyle w:val="ListParagraph"/>
        <w:spacing w:after="200" w:line="276" w:lineRule="auto"/>
        <w:ind w:left="284" w:hanging="360"/>
        <w:jc w:val="both"/>
        <w:rPr>
          <w:lang w:val="es-ES" w:eastAsia="es-ES"/>
        </w:rPr>
      </w:pPr>
      <w:r>
        <w:rPr>
          <w:rFonts w:ascii="Arial" w:hAnsi="Arial" w:cs="Arial"/>
          <w:sz w:val="20"/>
        </w:rPr>
        <w:t>-</w:t>
      </w:r>
      <w:r>
        <w:rPr>
          <w:sz w:val="14"/>
          <w:szCs w:val="14"/>
        </w:rPr>
        <w:t xml:space="preserve">       </w:t>
      </w:r>
      <w:r>
        <w:rPr>
          <w:rFonts w:ascii="Arial" w:hAnsi="Arial" w:cs="Arial"/>
          <w:i/>
          <w:iCs/>
          <w:sz w:val="20"/>
        </w:rPr>
        <w:t xml:space="preserve">Otros instrumentos financieros: </w:t>
      </w:r>
      <w:r>
        <w:rPr>
          <w:rFonts w:ascii="Arial" w:hAnsi="Arial" w:cs="Arial"/>
          <w:sz w:val="20"/>
        </w:rPr>
        <w:t>En el caso de activos y pasivos financieros que son líquidos o de un corto plazo de vencimiento, se estima que su valor razonable se asemeja a su valor contable. Este supuesto también se aplica para los depósitos de caja de ahorro, cuentas corrientes y otros.</w:t>
      </w:r>
    </w:p>
    <w:p w14:paraId="33CDF9F7" w14:textId="1779F98F" w:rsidR="00F03B81" w:rsidRDefault="00F03B81" w:rsidP="00F03B81">
      <w:pPr>
        <w:jc w:val="both"/>
        <w:rPr>
          <w:rFonts w:ascii="Arial" w:hAnsi="Arial" w:cs="Arial"/>
          <w:sz w:val="20"/>
        </w:rPr>
      </w:pPr>
      <w:r>
        <w:rPr>
          <w:rFonts w:ascii="Arial" w:hAnsi="Arial" w:cs="Arial"/>
          <w:sz w:val="20"/>
        </w:rPr>
        <w:t>Los siguientes cuadros muestran una comparación entre el valor razonable y el valor contable de los instrumentos financieros no reg</w:t>
      </w:r>
      <w:r w:rsidR="00886AE1">
        <w:rPr>
          <w:rFonts w:ascii="Arial" w:hAnsi="Arial" w:cs="Arial"/>
          <w:sz w:val="20"/>
        </w:rPr>
        <w:t xml:space="preserve">istrados a valor razonable al </w:t>
      </w:r>
      <w:r w:rsidR="00EC1700">
        <w:rPr>
          <w:rFonts w:ascii="Arial" w:hAnsi="Arial" w:cs="Arial"/>
          <w:sz w:val="20"/>
        </w:rPr>
        <w:t>31</w:t>
      </w:r>
      <w:r>
        <w:rPr>
          <w:rFonts w:ascii="Arial" w:hAnsi="Arial" w:cs="Arial"/>
          <w:sz w:val="20"/>
        </w:rPr>
        <w:t xml:space="preserve"> de </w:t>
      </w:r>
      <w:r w:rsidR="00EC1700">
        <w:rPr>
          <w:rFonts w:ascii="Arial" w:hAnsi="Arial" w:cs="Arial"/>
          <w:sz w:val="20"/>
        </w:rPr>
        <w:t>marzo</w:t>
      </w:r>
      <w:r w:rsidR="00F02303">
        <w:rPr>
          <w:rFonts w:ascii="Arial" w:hAnsi="Arial" w:cs="Arial"/>
          <w:sz w:val="20"/>
        </w:rPr>
        <w:t xml:space="preserve"> </w:t>
      </w:r>
      <w:r>
        <w:rPr>
          <w:rFonts w:ascii="Arial" w:hAnsi="Arial" w:cs="Arial"/>
          <w:sz w:val="20"/>
        </w:rPr>
        <w:t>de 20</w:t>
      </w:r>
      <w:r w:rsidR="00EC1700">
        <w:rPr>
          <w:rFonts w:ascii="Arial" w:hAnsi="Arial" w:cs="Arial"/>
          <w:sz w:val="20"/>
        </w:rPr>
        <w:t>20</w:t>
      </w:r>
      <w:r w:rsidR="00DB7AF1">
        <w:rPr>
          <w:rFonts w:ascii="Arial" w:hAnsi="Arial" w:cs="Arial"/>
          <w:sz w:val="20"/>
        </w:rPr>
        <w:t xml:space="preserve"> y 31 de diciembre de 201</w:t>
      </w:r>
      <w:r w:rsidR="00EC1700">
        <w:rPr>
          <w:rFonts w:ascii="Arial" w:hAnsi="Arial" w:cs="Arial"/>
          <w:sz w:val="20"/>
        </w:rPr>
        <w:t>9</w:t>
      </w:r>
      <w:r>
        <w:rPr>
          <w:rFonts w:ascii="Arial" w:hAnsi="Arial" w:cs="Arial"/>
          <w:sz w:val="20"/>
        </w:rPr>
        <w:t>:</w:t>
      </w:r>
    </w:p>
    <w:p w14:paraId="0EECC287" w14:textId="3D6798D3" w:rsidR="00CE3C86" w:rsidRDefault="00CE3C86" w:rsidP="0023020F">
      <w:pPr>
        <w:rPr>
          <w:rFonts w:ascii="Arial" w:hAnsi="Arial" w:cs="Arial"/>
          <w:bCs/>
          <w:sz w:val="22"/>
          <w:highlight w:val="yellow"/>
        </w:rPr>
      </w:pPr>
    </w:p>
    <w:tbl>
      <w:tblPr>
        <w:tblW w:w="10382" w:type="dxa"/>
        <w:jc w:val="center"/>
        <w:tblLayout w:type="fixed"/>
        <w:tblCellMar>
          <w:left w:w="70" w:type="dxa"/>
          <w:right w:w="70" w:type="dxa"/>
        </w:tblCellMar>
        <w:tblLook w:val="04A0" w:firstRow="1" w:lastRow="0" w:firstColumn="1" w:lastColumn="0" w:noHBand="0" w:noVBand="1"/>
      </w:tblPr>
      <w:tblGrid>
        <w:gridCol w:w="4402"/>
        <w:gridCol w:w="1275"/>
        <w:gridCol w:w="1211"/>
        <w:gridCol w:w="197"/>
        <w:gridCol w:w="1104"/>
        <w:gridCol w:w="1001"/>
        <w:gridCol w:w="1192"/>
      </w:tblGrid>
      <w:tr w:rsidR="00F02303" w:rsidRPr="00613EB0" w14:paraId="61835D9B" w14:textId="77777777" w:rsidTr="00EC1700">
        <w:trPr>
          <w:trHeight w:val="388"/>
          <w:tblHeader/>
          <w:jc w:val="center"/>
        </w:trPr>
        <w:tc>
          <w:tcPr>
            <w:tcW w:w="4402" w:type="dxa"/>
            <w:tcBorders>
              <w:top w:val="single" w:sz="8" w:space="0" w:color="auto"/>
              <w:left w:val="single" w:sz="8" w:space="0" w:color="auto"/>
              <w:bottom w:val="nil"/>
              <w:right w:val="single" w:sz="4" w:space="0" w:color="auto"/>
            </w:tcBorders>
            <w:shd w:val="clear" w:color="auto" w:fill="auto"/>
            <w:noWrap/>
            <w:vAlign w:val="center"/>
            <w:hideMark/>
          </w:tcPr>
          <w:p w14:paraId="2E07EA10" w14:textId="72648DC2" w:rsidR="00F02303" w:rsidRPr="00BF746E" w:rsidRDefault="002C7AEB" w:rsidP="00886AE1">
            <w:pPr>
              <w:jc w:val="center"/>
              <w:rPr>
                <w:rFonts w:ascii="Arial" w:hAnsi="Arial" w:cs="Arial"/>
                <w:b/>
                <w:bCs/>
                <w:i/>
                <w:iCs/>
                <w:sz w:val="16"/>
                <w:szCs w:val="16"/>
                <w:lang w:eastAsia="es-AR"/>
              </w:rPr>
            </w:pPr>
            <w:r w:rsidRPr="00BA7A6B">
              <w:rPr>
                <w:rFonts w:ascii="Arial" w:hAnsi="Arial" w:cs="Arial"/>
                <w:b/>
                <w:bCs/>
                <w:i/>
                <w:iCs/>
                <w:sz w:val="16"/>
                <w:szCs w:val="16"/>
                <w:lang w:eastAsia="es-AR"/>
              </w:rPr>
              <w:t>31</w:t>
            </w:r>
            <w:r w:rsidR="00044B2E">
              <w:rPr>
                <w:rFonts w:ascii="Arial" w:hAnsi="Arial" w:cs="Arial"/>
                <w:b/>
                <w:bCs/>
                <w:i/>
                <w:iCs/>
                <w:sz w:val="16"/>
                <w:szCs w:val="16"/>
                <w:lang w:eastAsia="es-AR"/>
              </w:rPr>
              <w:t>-</w:t>
            </w:r>
            <w:r w:rsidRPr="00BA7A6B">
              <w:rPr>
                <w:rFonts w:ascii="Arial" w:hAnsi="Arial" w:cs="Arial"/>
                <w:b/>
                <w:bCs/>
                <w:i/>
                <w:iCs/>
                <w:sz w:val="16"/>
                <w:szCs w:val="16"/>
                <w:lang w:eastAsia="es-AR"/>
              </w:rPr>
              <w:t>03</w:t>
            </w:r>
            <w:r w:rsidR="00044B2E">
              <w:rPr>
                <w:rFonts w:ascii="Arial" w:hAnsi="Arial" w:cs="Arial"/>
                <w:b/>
                <w:bCs/>
                <w:i/>
                <w:iCs/>
                <w:sz w:val="16"/>
                <w:szCs w:val="16"/>
                <w:lang w:eastAsia="es-AR"/>
              </w:rPr>
              <w:t>-</w:t>
            </w:r>
            <w:r w:rsidRPr="00BA7A6B">
              <w:rPr>
                <w:rFonts w:ascii="Arial" w:hAnsi="Arial" w:cs="Arial"/>
                <w:b/>
                <w:bCs/>
                <w:i/>
                <w:iCs/>
                <w:sz w:val="16"/>
                <w:szCs w:val="16"/>
                <w:lang w:eastAsia="es-AR"/>
              </w:rPr>
              <w:t>2020</w:t>
            </w:r>
          </w:p>
        </w:tc>
        <w:tc>
          <w:tcPr>
            <w:tcW w:w="1275" w:type="dxa"/>
            <w:tcBorders>
              <w:top w:val="single" w:sz="8" w:space="0" w:color="auto"/>
              <w:left w:val="nil"/>
              <w:bottom w:val="nil"/>
              <w:right w:val="single" w:sz="4" w:space="0" w:color="auto"/>
            </w:tcBorders>
            <w:shd w:val="clear" w:color="auto" w:fill="auto"/>
            <w:vAlign w:val="center"/>
            <w:hideMark/>
          </w:tcPr>
          <w:p w14:paraId="00AB28EE" w14:textId="77777777" w:rsidR="00F02303" w:rsidRPr="00BF746E" w:rsidRDefault="00F02303" w:rsidP="00897D90">
            <w:pPr>
              <w:jc w:val="center"/>
              <w:rPr>
                <w:rFonts w:ascii="Arial" w:hAnsi="Arial" w:cs="Arial"/>
                <w:b/>
                <w:bCs/>
                <w:sz w:val="16"/>
                <w:szCs w:val="16"/>
                <w:lang w:eastAsia="es-AR"/>
              </w:rPr>
            </w:pPr>
            <w:r w:rsidRPr="00BF746E">
              <w:rPr>
                <w:rFonts w:ascii="Arial" w:hAnsi="Arial" w:cs="Arial"/>
                <w:b/>
                <w:bCs/>
                <w:sz w:val="16"/>
                <w:szCs w:val="16"/>
                <w:lang w:eastAsia="es-AR"/>
              </w:rPr>
              <w:t>Valor contable</w:t>
            </w:r>
          </w:p>
        </w:tc>
        <w:tc>
          <w:tcPr>
            <w:tcW w:w="1211" w:type="dxa"/>
            <w:tcBorders>
              <w:top w:val="single" w:sz="8" w:space="0" w:color="auto"/>
              <w:left w:val="nil"/>
              <w:bottom w:val="nil"/>
              <w:right w:val="single" w:sz="4" w:space="0" w:color="auto"/>
            </w:tcBorders>
            <w:shd w:val="clear" w:color="auto" w:fill="auto"/>
            <w:vAlign w:val="center"/>
            <w:hideMark/>
          </w:tcPr>
          <w:p w14:paraId="414DE005" w14:textId="77777777" w:rsidR="00F02303" w:rsidRPr="00BF746E" w:rsidRDefault="00F02303" w:rsidP="00897D90">
            <w:pPr>
              <w:jc w:val="center"/>
              <w:rPr>
                <w:rFonts w:ascii="Arial" w:hAnsi="Arial" w:cs="Arial"/>
                <w:b/>
                <w:bCs/>
                <w:sz w:val="16"/>
                <w:szCs w:val="16"/>
                <w:lang w:eastAsia="es-AR"/>
              </w:rPr>
            </w:pPr>
            <w:r w:rsidRPr="00BF746E">
              <w:rPr>
                <w:rFonts w:ascii="Arial" w:hAnsi="Arial" w:cs="Arial"/>
                <w:b/>
                <w:bCs/>
                <w:sz w:val="16"/>
                <w:szCs w:val="16"/>
                <w:lang w:eastAsia="es-AR"/>
              </w:rPr>
              <w:t>Valor razonable</w:t>
            </w:r>
          </w:p>
        </w:tc>
        <w:tc>
          <w:tcPr>
            <w:tcW w:w="197" w:type="dxa"/>
            <w:tcBorders>
              <w:top w:val="single" w:sz="8" w:space="0" w:color="auto"/>
              <w:left w:val="nil"/>
              <w:bottom w:val="nil"/>
              <w:right w:val="single" w:sz="4" w:space="0" w:color="auto"/>
            </w:tcBorders>
            <w:shd w:val="clear" w:color="auto" w:fill="auto"/>
            <w:vAlign w:val="center"/>
            <w:hideMark/>
          </w:tcPr>
          <w:p w14:paraId="6397E413" w14:textId="77777777" w:rsidR="00F02303" w:rsidRPr="00BF746E" w:rsidRDefault="00F02303" w:rsidP="00897D90">
            <w:pPr>
              <w:jc w:val="center"/>
              <w:rPr>
                <w:rFonts w:ascii="Arial" w:hAnsi="Arial" w:cs="Arial"/>
                <w:b/>
                <w:bCs/>
                <w:sz w:val="16"/>
                <w:szCs w:val="16"/>
                <w:lang w:eastAsia="es-AR"/>
              </w:rPr>
            </w:pPr>
            <w:r w:rsidRPr="00BF746E">
              <w:rPr>
                <w:rFonts w:ascii="Arial" w:hAnsi="Arial" w:cs="Arial"/>
                <w:b/>
                <w:bCs/>
                <w:sz w:val="16"/>
                <w:szCs w:val="16"/>
                <w:lang w:eastAsia="es-AR"/>
              </w:rPr>
              <w:t> </w:t>
            </w:r>
          </w:p>
        </w:tc>
        <w:tc>
          <w:tcPr>
            <w:tcW w:w="1104" w:type="dxa"/>
            <w:tcBorders>
              <w:top w:val="single" w:sz="8" w:space="0" w:color="auto"/>
              <w:left w:val="nil"/>
              <w:bottom w:val="nil"/>
              <w:right w:val="single" w:sz="4" w:space="0" w:color="auto"/>
            </w:tcBorders>
            <w:shd w:val="clear" w:color="auto" w:fill="auto"/>
            <w:vAlign w:val="center"/>
            <w:hideMark/>
          </w:tcPr>
          <w:p w14:paraId="5515A469" w14:textId="77777777" w:rsidR="00F02303" w:rsidRPr="00BF746E" w:rsidRDefault="00F02303" w:rsidP="00897D90">
            <w:pPr>
              <w:jc w:val="center"/>
              <w:rPr>
                <w:rFonts w:ascii="Arial" w:hAnsi="Arial" w:cs="Arial"/>
                <w:b/>
                <w:bCs/>
                <w:sz w:val="16"/>
                <w:szCs w:val="16"/>
                <w:lang w:eastAsia="es-AR"/>
              </w:rPr>
            </w:pPr>
            <w:r w:rsidRPr="00BF746E">
              <w:rPr>
                <w:rFonts w:ascii="Arial" w:hAnsi="Arial" w:cs="Arial"/>
                <w:b/>
                <w:bCs/>
                <w:sz w:val="16"/>
                <w:szCs w:val="16"/>
                <w:lang w:eastAsia="es-AR"/>
              </w:rPr>
              <w:t>VR Nivel 1</w:t>
            </w:r>
          </w:p>
        </w:tc>
        <w:tc>
          <w:tcPr>
            <w:tcW w:w="1001" w:type="dxa"/>
            <w:tcBorders>
              <w:top w:val="single" w:sz="8" w:space="0" w:color="auto"/>
              <w:left w:val="nil"/>
              <w:bottom w:val="nil"/>
              <w:right w:val="single" w:sz="4" w:space="0" w:color="auto"/>
            </w:tcBorders>
            <w:shd w:val="clear" w:color="auto" w:fill="auto"/>
            <w:vAlign w:val="center"/>
            <w:hideMark/>
          </w:tcPr>
          <w:p w14:paraId="3A51457C" w14:textId="77777777" w:rsidR="00F02303" w:rsidRPr="00BF746E" w:rsidRDefault="00F02303" w:rsidP="00897D90">
            <w:pPr>
              <w:jc w:val="center"/>
              <w:rPr>
                <w:rFonts w:ascii="Arial" w:hAnsi="Arial" w:cs="Arial"/>
                <w:b/>
                <w:bCs/>
                <w:sz w:val="16"/>
                <w:szCs w:val="16"/>
                <w:lang w:eastAsia="es-AR"/>
              </w:rPr>
            </w:pPr>
            <w:r w:rsidRPr="00BF746E">
              <w:rPr>
                <w:rFonts w:ascii="Arial" w:hAnsi="Arial" w:cs="Arial"/>
                <w:b/>
                <w:bCs/>
                <w:sz w:val="16"/>
                <w:szCs w:val="16"/>
                <w:lang w:eastAsia="es-AR"/>
              </w:rPr>
              <w:t>VR Nivel 2</w:t>
            </w:r>
          </w:p>
        </w:tc>
        <w:tc>
          <w:tcPr>
            <w:tcW w:w="1192" w:type="dxa"/>
            <w:tcBorders>
              <w:top w:val="single" w:sz="8" w:space="0" w:color="auto"/>
              <w:left w:val="nil"/>
              <w:bottom w:val="nil"/>
              <w:right w:val="single" w:sz="8" w:space="0" w:color="auto"/>
            </w:tcBorders>
            <w:shd w:val="clear" w:color="auto" w:fill="auto"/>
            <w:vAlign w:val="center"/>
            <w:hideMark/>
          </w:tcPr>
          <w:p w14:paraId="5AE36AC1" w14:textId="77777777" w:rsidR="00F02303" w:rsidRPr="00BF746E" w:rsidRDefault="00F02303" w:rsidP="00897D90">
            <w:pPr>
              <w:jc w:val="center"/>
              <w:rPr>
                <w:rFonts w:ascii="Arial" w:hAnsi="Arial" w:cs="Arial"/>
                <w:b/>
                <w:bCs/>
                <w:sz w:val="16"/>
                <w:szCs w:val="16"/>
                <w:lang w:eastAsia="es-AR"/>
              </w:rPr>
            </w:pPr>
            <w:r w:rsidRPr="00BF746E">
              <w:rPr>
                <w:rFonts w:ascii="Arial" w:hAnsi="Arial" w:cs="Arial"/>
                <w:b/>
                <w:bCs/>
                <w:sz w:val="16"/>
                <w:szCs w:val="16"/>
                <w:lang w:eastAsia="es-AR"/>
              </w:rPr>
              <w:t>VR Nivel 3</w:t>
            </w:r>
          </w:p>
        </w:tc>
      </w:tr>
      <w:tr w:rsidR="00F02303" w:rsidRPr="00613EB0" w14:paraId="17045074" w14:textId="77777777" w:rsidTr="002E1AF6">
        <w:trPr>
          <w:trHeight w:val="245"/>
          <w:jc w:val="center"/>
        </w:trPr>
        <w:tc>
          <w:tcPr>
            <w:tcW w:w="440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7AAE7F1" w14:textId="77777777" w:rsidR="00F02303" w:rsidRPr="00613EB0" w:rsidRDefault="00F02303" w:rsidP="00897D90">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275" w:type="dxa"/>
            <w:tcBorders>
              <w:top w:val="single" w:sz="8" w:space="0" w:color="auto"/>
              <w:left w:val="nil"/>
              <w:bottom w:val="single" w:sz="8" w:space="0" w:color="auto"/>
              <w:right w:val="single" w:sz="4" w:space="0" w:color="auto"/>
            </w:tcBorders>
            <w:shd w:val="clear" w:color="auto" w:fill="auto"/>
            <w:vAlign w:val="center"/>
            <w:hideMark/>
          </w:tcPr>
          <w:p w14:paraId="4290B9DB" w14:textId="77777777" w:rsidR="00F02303" w:rsidRPr="00613EB0" w:rsidRDefault="00F02303" w:rsidP="00897D90">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211" w:type="dxa"/>
            <w:tcBorders>
              <w:top w:val="single" w:sz="8" w:space="0" w:color="auto"/>
              <w:left w:val="nil"/>
              <w:bottom w:val="single" w:sz="8" w:space="0" w:color="auto"/>
              <w:right w:val="single" w:sz="4" w:space="0" w:color="auto"/>
            </w:tcBorders>
            <w:shd w:val="clear" w:color="auto" w:fill="auto"/>
            <w:vAlign w:val="center"/>
            <w:hideMark/>
          </w:tcPr>
          <w:p w14:paraId="4536CDF7" w14:textId="77777777" w:rsidR="00F02303" w:rsidRPr="00613EB0" w:rsidRDefault="00F02303" w:rsidP="00897D90">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97" w:type="dxa"/>
            <w:tcBorders>
              <w:top w:val="single" w:sz="8" w:space="0" w:color="auto"/>
              <w:left w:val="nil"/>
              <w:bottom w:val="single" w:sz="8" w:space="0" w:color="auto"/>
              <w:right w:val="single" w:sz="4" w:space="0" w:color="auto"/>
            </w:tcBorders>
            <w:shd w:val="clear" w:color="auto" w:fill="auto"/>
            <w:vAlign w:val="center"/>
            <w:hideMark/>
          </w:tcPr>
          <w:p w14:paraId="62885A8A" w14:textId="77777777" w:rsidR="00F02303" w:rsidRPr="00613EB0" w:rsidRDefault="00F02303" w:rsidP="00897D90">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104" w:type="dxa"/>
            <w:tcBorders>
              <w:top w:val="single" w:sz="8" w:space="0" w:color="auto"/>
              <w:left w:val="nil"/>
              <w:bottom w:val="single" w:sz="8" w:space="0" w:color="auto"/>
              <w:right w:val="single" w:sz="4" w:space="0" w:color="auto"/>
            </w:tcBorders>
            <w:shd w:val="clear" w:color="auto" w:fill="auto"/>
            <w:vAlign w:val="center"/>
            <w:hideMark/>
          </w:tcPr>
          <w:p w14:paraId="240649DC" w14:textId="77777777" w:rsidR="00F02303" w:rsidRPr="00613EB0" w:rsidRDefault="00F02303" w:rsidP="00897D90">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01" w:type="dxa"/>
            <w:tcBorders>
              <w:top w:val="single" w:sz="8" w:space="0" w:color="auto"/>
              <w:left w:val="nil"/>
              <w:bottom w:val="single" w:sz="8" w:space="0" w:color="auto"/>
              <w:right w:val="single" w:sz="4" w:space="0" w:color="auto"/>
            </w:tcBorders>
            <w:shd w:val="clear" w:color="auto" w:fill="auto"/>
            <w:vAlign w:val="center"/>
            <w:hideMark/>
          </w:tcPr>
          <w:p w14:paraId="204C3BB7" w14:textId="77777777" w:rsidR="00F02303" w:rsidRPr="00613EB0" w:rsidRDefault="00F02303" w:rsidP="00897D90">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192" w:type="dxa"/>
            <w:tcBorders>
              <w:top w:val="single" w:sz="8" w:space="0" w:color="auto"/>
              <w:left w:val="nil"/>
              <w:bottom w:val="single" w:sz="8" w:space="0" w:color="auto"/>
              <w:right w:val="single" w:sz="8" w:space="0" w:color="auto"/>
            </w:tcBorders>
            <w:shd w:val="clear" w:color="auto" w:fill="auto"/>
            <w:vAlign w:val="center"/>
            <w:hideMark/>
          </w:tcPr>
          <w:p w14:paraId="279B9733" w14:textId="77777777" w:rsidR="00F02303" w:rsidRPr="00613EB0" w:rsidRDefault="00F02303" w:rsidP="00897D90">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2C7AEB" w:rsidRPr="00E74A5E" w14:paraId="33AD769A"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hideMark/>
          </w:tcPr>
          <w:p w14:paraId="1B8F2C36"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275" w:type="dxa"/>
            <w:tcBorders>
              <w:top w:val="nil"/>
              <w:left w:val="nil"/>
              <w:bottom w:val="single" w:sz="4" w:space="0" w:color="auto"/>
              <w:right w:val="single" w:sz="4" w:space="0" w:color="auto"/>
            </w:tcBorders>
            <w:shd w:val="clear" w:color="auto" w:fill="auto"/>
            <w:noWrap/>
            <w:vAlign w:val="bottom"/>
          </w:tcPr>
          <w:p w14:paraId="5E9FE4B0" w14:textId="166755A3" w:rsidR="002C7AEB" w:rsidRPr="002C7AEB" w:rsidRDefault="002C7AEB" w:rsidP="002C7AEB">
            <w:pPr>
              <w:jc w:val="right"/>
              <w:rPr>
                <w:rFonts w:ascii="Arial" w:hAnsi="Arial" w:cs="Arial"/>
                <w:sz w:val="16"/>
                <w:szCs w:val="16"/>
              </w:rPr>
            </w:pPr>
            <w:r w:rsidRPr="002C7AEB">
              <w:rPr>
                <w:rFonts w:ascii="Arial" w:hAnsi="Arial" w:cs="Arial"/>
                <w:sz w:val="16"/>
                <w:szCs w:val="16"/>
              </w:rPr>
              <w:t xml:space="preserve"> 35.136.211 </w:t>
            </w:r>
          </w:p>
        </w:tc>
        <w:tc>
          <w:tcPr>
            <w:tcW w:w="1211" w:type="dxa"/>
            <w:tcBorders>
              <w:top w:val="nil"/>
              <w:left w:val="nil"/>
              <w:bottom w:val="single" w:sz="4" w:space="0" w:color="auto"/>
              <w:right w:val="single" w:sz="4" w:space="0" w:color="auto"/>
            </w:tcBorders>
            <w:shd w:val="clear" w:color="auto" w:fill="auto"/>
            <w:vAlign w:val="bottom"/>
          </w:tcPr>
          <w:p w14:paraId="3715224F" w14:textId="464F5496"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35.136.211 </w:t>
            </w:r>
          </w:p>
        </w:tc>
        <w:tc>
          <w:tcPr>
            <w:tcW w:w="197" w:type="dxa"/>
            <w:tcBorders>
              <w:top w:val="nil"/>
              <w:left w:val="nil"/>
              <w:bottom w:val="single" w:sz="4" w:space="0" w:color="auto"/>
              <w:right w:val="single" w:sz="4" w:space="0" w:color="auto"/>
            </w:tcBorders>
            <w:shd w:val="clear" w:color="auto" w:fill="auto"/>
            <w:vAlign w:val="bottom"/>
          </w:tcPr>
          <w:p w14:paraId="40D1F988" w14:textId="03E33789"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vAlign w:val="bottom"/>
          </w:tcPr>
          <w:p w14:paraId="525E9F29" w14:textId="25D1DC7D"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35.136.211 </w:t>
            </w:r>
          </w:p>
        </w:tc>
        <w:tc>
          <w:tcPr>
            <w:tcW w:w="1001" w:type="dxa"/>
            <w:tcBorders>
              <w:top w:val="nil"/>
              <w:left w:val="nil"/>
              <w:bottom w:val="single" w:sz="4" w:space="0" w:color="auto"/>
              <w:right w:val="single" w:sz="4" w:space="0" w:color="auto"/>
            </w:tcBorders>
            <w:shd w:val="clear" w:color="auto" w:fill="auto"/>
            <w:vAlign w:val="bottom"/>
          </w:tcPr>
          <w:p w14:paraId="130CD00C" w14:textId="66FF928A"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   </w:t>
            </w:r>
          </w:p>
        </w:tc>
        <w:tc>
          <w:tcPr>
            <w:tcW w:w="1192" w:type="dxa"/>
            <w:tcBorders>
              <w:top w:val="nil"/>
              <w:left w:val="nil"/>
              <w:bottom w:val="single" w:sz="4" w:space="0" w:color="auto"/>
              <w:right w:val="single" w:sz="8" w:space="0" w:color="auto"/>
            </w:tcBorders>
            <w:shd w:val="clear" w:color="auto" w:fill="auto"/>
            <w:vAlign w:val="bottom"/>
          </w:tcPr>
          <w:p w14:paraId="6D962244" w14:textId="6C288BC4"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   </w:t>
            </w:r>
          </w:p>
        </w:tc>
      </w:tr>
      <w:tr w:rsidR="002C7AEB" w:rsidRPr="00E74A5E" w14:paraId="7A54747C"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hideMark/>
          </w:tcPr>
          <w:p w14:paraId="20ABBB01" w14:textId="31513418"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w:t>
            </w:r>
            <w:r>
              <w:rPr>
                <w:rFonts w:ascii="Arial" w:hAnsi="Arial" w:cs="Arial"/>
                <w:color w:val="000000"/>
                <w:sz w:val="16"/>
                <w:szCs w:val="16"/>
                <w:lang w:eastAsia="es-AR"/>
              </w:rPr>
              <w:t xml:space="preserve"> </w:t>
            </w:r>
            <w:r w:rsidRPr="007228CD">
              <w:rPr>
                <w:rFonts w:ascii="Arial" w:hAnsi="Arial" w:cs="Arial"/>
                <w:color w:val="000000"/>
                <w:sz w:val="16"/>
                <w:szCs w:val="16"/>
                <w:lang w:eastAsia="es-AR"/>
              </w:rPr>
              <w:t>Operaciones de pase</w:t>
            </w:r>
            <w:r w:rsidRPr="00613EB0">
              <w:rPr>
                <w:rFonts w:ascii="Arial" w:hAnsi="Arial" w:cs="Arial"/>
                <w:color w:val="000000"/>
                <w:sz w:val="16"/>
                <w:szCs w:val="16"/>
                <w:lang w:eastAsia="es-AR"/>
              </w:rPr>
              <w:t xml:space="preserve"> </w:t>
            </w:r>
          </w:p>
        </w:tc>
        <w:tc>
          <w:tcPr>
            <w:tcW w:w="1275" w:type="dxa"/>
            <w:tcBorders>
              <w:top w:val="nil"/>
              <w:left w:val="nil"/>
              <w:bottom w:val="single" w:sz="4" w:space="0" w:color="auto"/>
              <w:right w:val="single" w:sz="4" w:space="0" w:color="auto"/>
            </w:tcBorders>
            <w:shd w:val="clear" w:color="auto" w:fill="auto"/>
            <w:noWrap/>
            <w:vAlign w:val="bottom"/>
          </w:tcPr>
          <w:p w14:paraId="7731CCA8" w14:textId="24C87CAB"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79.143 </w:t>
            </w:r>
          </w:p>
        </w:tc>
        <w:tc>
          <w:tcPr>
            <w:tcW w:w="1211" w:type="dxa"/>
            <w:tcBorders>
              <w:top w:val="nil"/>
              <w:left w:val="nil"/>
              <w:bottom w:val="single" w:sz="4" w:space="0" w:color="auto"/>
              <w:right w:val="single" w:sz="4" w:space="0" w:color="auto"/>
            </w:tcBorders>
            <w:shd w:val="clear" w:color="auto" w:fill="auto"/>
            <w:vAlign w:val="bottom"/>
          </w:tcPr>
          <w:p w14:paraId="4C854B2E" w14:textId="13682A76"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79.143 </w:t>
            </w:r>
          </w:p>
        </w:tc>
        <w:tc>
          <w:tcPr>
            <w:tcW w:w="197" w:type="dxa"/>
            <w:tcBorders>
              <w:top w:val="nil"/>
              <w:left w:val="nil"/>
              <w:bottom w:val="single" w:sz="4" w:space="0" w:color="auto"/>
              <w:right w:val="single" w:sz="4" w:space="0" w:color="auto"/>
            </w:tcBorders>
            <w:shd w:val="clear" w:color="auto" w:fill="auto"/>
            <w:vAlign w:val="bottom"/>
          </w:tcPr>
          <w:p w14:paraId="30A2112F" w14:textId="3AEC9961"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vAlign w:val="bottom"/>
          </w:tcPr>
          <w:p w14:paraId="5479FA03" w14:textId="4E6EC2CF"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79.143 </w:t>
            </w:r>
          </w:p>
        </w:tc>
        <w:tc>
          <w:tcPr>
            <w:tcW w:w="1001" w:type="dxa"/>
            <w:tcBorders>
              <w:top w:val="nil"/>
              <w:left w:val="nil"/>
              <w:bottom w:val="single" w:sz="4" w:space="0" w:color="auto"/>
              <w:right w:val="single" w:sz="4" w:space="0" w:color="auto"/>
            </w:tcBorders>
            <w:shd w:val="clear" w:color="auto" w:fill="auto"/>
            <w:vAlign w:val="bottom"/>
          </w:tcPr>
          <w:p w14:paraId="667918EF" w14:textId="0A346973" w:rsidR="002C7AEB" w:rsidRPr="002C7AEB" w:rsidRDefault="002C7AEB" w:rsidP="002C7AEB">
            <w:pPr>
              <w:jc w:val="right"/>
              <w:rPr>
                <w:rFonts w:ascii="Arial" w:hAnsi="Arial" w:cs="Arial"/>
                <w:color w:val="000000"/>
                <w:sz w:val="16"/>
                <w:szCs w:val="16"/>
                <w:lang w:eastAsia="es-AR"/>
              </w:rPr>
            </w:pPr>
          </w:p>
        </w:tc>
        <w:tc>
          <w:tcPr>
            <w:tcW w:w="1192" w:type="dxa"/>
            <w:tcBorders>
              <w:top w:val="nil"/>
              <w:left w:val="nil"/>
              <w:bottom w:val="single" w:sz="4" w:space="0" w:color="auto"/>
              <w:right w:val="single" w:sz="8" w:space="0" w:color="auto"/>
            </w:tcBorders>
            <w:shd w:val="clear" w:color="auto" w:fill="auto"/>
            <w:vAlign w:val="bottom"/>
          </w:tcPr>
          <w:p w14:paraId="4EBE6C7A" w14:textId="17BE29FC" w:rsidR="002C7AEB" w:rsidRPr="002C7AEB" w:rsidRDefault="002C7AEB" w:rsidP="002C7AEB">
            <w:pPr>
              <w:jc w:val="right"/>
              <w:rPr>
                <w:rFonts w:ascii="Arial" w:hAnsi="Arial" w:cs="Arial"/>
                <w:color w:val="000000"/>
                <w:sz w:val="16"/>
                <w:szCs w:val="16"/>
                <w:lang w:eastAsia="es-AR"/>
              </w:rPr>
            </w:pPr>
          </w:p>
        </w:tc>
      </w:tr>
      <w:tr w:rsidR="002C7AEB" w:rsidRPr="00E74A5E" w14:paraId="3115EEB3"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tcPr>
          <w:p w14:paraId="03BB3643" w14:textId="13484DDF" w:rsidR="002C7AEB" w:rsidRPr="00613EB0" w:rsidRDefault="002C7AEB" w:rsidP="002C7AEB">
            <w:pPr>
              <w:jc w:val="both"/>
              <w:rPr>
                <w:rFonts w:ascii="Arial" w:hAnsi="Arial" w:cs="Arial"/>
                <w:color w:val="000000"/>
                <w:sz w:val="16"/>
                <w:szCs w:val="16"/>
                <w:lang w:eastAsia="es-AR"/>
              </w:rPr>
            </w:pPr>
            <w:r w:rsidRPr="007228CD">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Otros activos financieros</w:t>
            </w:r>
            <w:r w:rsidRPr="007228CD" w:rsidDel="00155A0D">
              <w:rPr>
                <w:rFonts w:ascii="Arial" w:hAnsi="Arial" w:cs="Arial"/>
                <w:color w:val="000000"/>
                <w:sz w:val="16"/>
                <w:szCs w:val="16"/>
                <w:lang w:eastAsia="es-AR"/>
              </w:rPr>
              <w:t xml:space="preserve"> </w:t>
            </w:r>
          </w:p>
        </w:tc>
        <w:tc>
          <w:tcPr>
            <w:tcW w:w="1275" w:type="dxa"/>
            <w:tcBorders>
              <w:top w:val="nil"/>
              <w:left w:val="nil"/>
              <w:bottom w:val="single" w:sz="4" w:space="0" w:color="auto"/>
              <w:right w:val="single" w:sz="4" w:space="0" w:color="auto"/>
            </w:tcBorders>
            <w:shd w:val="clear" w:color="auto" w:fill="auto"/>
            <w:noWrap/>
            <w:vAlign w:val="bottom"/>
          </w:tcPr>
          <w:p w14:paraId="401D6ACD" w14:textId="72C246E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269.543 </w:t>
            </w:r>
          </w:p>
        </w:tc>
        <w:tc>
          <w:tcPr>
            <w:tcW w:w="1211" w:type="dxa"/>
            <w:tcBorders>
              <w:top w:val="nil"/>
              <w:left w:val="nil"/>
              <w:bottom w:val="single" w:sz="4" w:space="0" w:color="auto"/>
              <w:right w:val="single" w:sz="4" w:space="0" w:color="auto"/>
            </w:tcBorders>
            <w:shd w:val="clear" w:color="auto" w:fill="auto"/>
            <w:vAlign w:val="bottom"/>
          </w:tcPr>
          <w:p w14:paraId="439718BC" w14:textId="420DE882"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269.543 </w:t>
            </w:r>
          </w:p>
        </w:tc>
        <w:tc>
          <w:tcPr>
            <w:tcW w:w="197" w:type="dxa"/>
            <w:tcBorders>
              <w:top w:val="nil"/>
              <w:left w:val="nil"/>
              <w:bottom w:val="single" w:sz="4" w:space="0" w:color="auto"/>
              <w:right w:val="single" w:sz="4" w:space="0" w:color="auto"/>
            </w:tcBorders>
            <w:shd w:val="clear" w:color="auto" w:fill="auto"/>
            <w:vAlign w:val="bottom"/>
          </w:tcPr>
          <w:p w14:paraId="169CAB1B" w14:textId="273AEF6F"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vAlign w:val="bottom"/>
          </w:tcPr>
          <w:p w14:paraId="135CF73D" w14:textId="1C496534"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269.543 </w:t>
            </w:r>
          </w:p>
        </w:tc>
        <w:tc>
          <w:tcPr>
            <w:tcW w:w="1001" w:type="dxa"/>
            <w:tcBorders>
              <w:top w:val="nil"/>
              <w:left w:val="nil"/>
              <w:bottom w:val="single" w:sz="4" w:space="0" w:color="auto"/>
              <w:right w:val="single" w:sz="4" w:space="0" w:color="auto"/>
            </w:tcBorders>
            <w:shd w:val="clear" w:color="auto" w:fill="auto"/>
            <w:vAlign w:val="bottom"/>
          </w:tcPr>
          <w:p w14:paraId="70859D20" w14:textId="46BC43BF" w:rsidR="002C7AEB" w:rsidRPr="002C7AEB" w:rsidRDefault="002C7AEB" w:rsidP="002C7AEB">
            <w:pPr>
              <w:jc w:val="right"/>
              <w:rPr>
                <w:rFonts w:ascii="Arial" w:hAnsi="Arial" w:cs="Arial"/>
                <w:color w:val="000000"/>
                <w:sz w:val="16"/>
                <w:szCs w:val="16"/>
                <w:lang w:eastAsia="es-AR"/>
              </w:rPr>
            </w:pPr>
          </w:p>
        </w:tc>
        <w:tc>
          <w:tcPr>
            <w:tcW w:w="1192" w:type="dxa"/>
            <w:tcBorders>
              <w:top w:val="nil"/>
              <w:left w:val="nil"/>
              <w:bottom w:val="single" w:sz="4" w:space="0" w:color="auto"/>
              <w:right w:val="single" w:sz="8" w:space="0" w:color="auto"/>
            </w:tcBorders>
            <w:shd w:val="clear" w:color="auto" w:fill="auto"/>
            <w:vAlign w:val="bottom"/>
          </w:tcPr>
          <w:p w14:paraId="50E9B6C8" w14:textId="3F7FD7A5" w:rsidR="002C7AEB" w:rsidRPr="002C7AEB" w:rsidRDefault="002C7AEB" w:rsidP="002C7AEB">
            <w:pPr>
              <w:jc w:val="right"/>
              <w:rPr>
                <w:rFonts w:ascii="Arial" w:hAnsi="Arial" w:cs="Arial"/>
                <w:color w:val="000000"/>
                <w:sz w:val="16"/>
                <w:szCs w:val="16"/>
                <w:lang w:eastAsia="es-AR"/>
              </w:rPr>
            </w:pPr>
          </w:p>
        </w:tc>
      </w:tr>
      <w:tr w:rsidR="002C7AEB" w:rsidRPr="00E74A5E" w14:paraId="5A621065"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hideMark/>
          </w:tcPr>
          <w:p w14:paraId="1505B608" w14:textId="1FCF9B7F"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Préstamos y otras financiaciones</w:t>
            </w:r>
          </w:p>
        </w:tc>
        <w:tc>
          <w:tcPr>
            <w:tcW w:w="1275" w:type="dxa"/>
            <w:tcBorders>
              <w:top w:val="nil"/>
              <w:left w:val="nil"/>
              <w:bottom w:val="single" w:sz="4" w:space="0" w:color="auto"/>
              <w:right w:val="single" w:sz="4" w:space="0" w:color="auto"/>
            </w:tcBorders>
            <w:shd w:val="clear" w:color="auto" w:fill="auto"/>
            <w:noWrap/>
            <w:vAlign w:val="bottom"/>
          </w:tcPr>
          <w:p w14:paraId="1725037C" w14:textId="7DA1EFB2"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82.678.402 </w:t>
            </w:r>
          </w:p>
        </w:tc>
        <w:tc>
          <w:tcPr>
            <w:tcW w:w="1211" w:type="dxa"/>
            <w:tcBorders>
              <w:top w:val="nil"/>
              <w:left w:val="nil"/>
              <w:bottom w:val="single" w:sz="4" w:space="0" w:color="auto"/>
              <w:right w:val="single" w:sz="4" w:space="0" w:color="auto"/>
            </w:tcBorders>
            <w:shd w:val="clear" w:color="auto" w:fill="auto"/>
            <w:vAlign w:val="bottom"/>
          </w:tcPr>
          <w:p w14:paraId="020376D4" w14:textId="5D55A93A"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69.740.173 </w:t>
            </w:r>
          </w:p>
        </w:tc>
        <w:tc>
          <w:tcPr>
            <w:tcW w:w="197" w:type="dxa"/>
            <w:tcBorders>
              <w:top w:val="nil"/>
              <w:left w:val="nil"/>
              <w:bottom w:val="single" w:sz="4" w:space="0" w:color="auto"/>
              <w:right w:val="single" w:sz="4" w:space="0" w:color="auto"/>
            </w:tcBorders>
            <w:shd w:val="clear" w:color="auto" w:fill="auto"/>
            <w:vAlign w:val="bottom"/>
          </w:tcPr>
          <w:p w14:paraId="59F26121" w14:textId="5A6A3599"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vAlign w:val="bottom"/>
          </w:tcPr>
          <w:p w14:paraId="42851F15" w14:textId="306ACF97"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   </w:t>
            </w:r>
          </w:p>
        </w:tc>
        <w:tc>
          <w:tcPr>
            <w:tcW w:w="1001" w:type="dxa"/>
            <w:tcBorders>
              <w:top w:val="nil"/>
              <w:left w:val="nil"/>
              <w:bottom w:val="single" w:sz="4" w:space="0" w:color="auto"/>
              <w:right w:val="single" w:sz="4" w:space="0" w:color="auto"/>
            </w:tcBorders>
            <w:shd w:val="clear" w:color="auto" w:fill="auto"/>
            <w:vAlign w:val="bottom"/>
          </w:tcPr>
          <w:p w14:paraId="08064F49" w14:textId="08E7ED9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   </w:t>
            </w:r>
          </w:p>
        </w:tc>
        <w:tc>
          <w:tcPr>
            <w:tcW w:w="1192" w:type="dxa"/>
            <w:tcBorders>
              <w:top w:val="nil"/>
              <w:left w:val="nil"/>
              <w:bottom w:val="single" w:sz="4" w:space="0" w:color="auto"/>
              <w:right w:val="single" w:sz="8" w:space="0" w:color="auto"/>
            </w:tcBorders>
            <w:shd w:val="clear" w:color="auto" w:fill="auto"/>
            <w:vAlign w:val="bottom"/>
          </w:tcPr>
          <w:p w14:paraId="751C5126" w14:textId="37A5CD34"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69.740.173 </w:t>
            </w:r>
          </w:p>
        </w:tc>
      </w:tr>
      <w:tr w:rsidR="002C7AEB" w:rsidRPr="00E74A5E" w14:paraId="17A56FEC"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hideMark/>
          </w:tcPr>
          <w:p w14:paraId="7F1BDA9D"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275" w:type="dxa"/>
            <w:tcBorders>
              <w:top w:val="nil"/>
              <w:left w:val="nil"/>
              <w:bottom w:val="single" w:sz="4" w:space="0" w:color="auto"/>
              <w:right w:val="single" w:sz="4" w:space="0" w:color="auto"/>
            </w:tcBorders>
            <w:shd w:val="clear" w:color="auto" w:fill="auto"/>
            <w:noWrap/>
            <w:vAlign w:val="bottom"/>
          </w:tcPr>
          <w:p w14:paraId="6A9EB6C3" w14:textId="42ADA1FF"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4.853.901 </w:t>
            </w:r>
          </w:p>
        </w:tc>
        <w:tc>
          <w:tcPr>
            <w:tcW w:w="1211" w:type="dxa"/>
            <w:tcBorders>
              <w:top w:val="nil"/>
              <w:left w:val="nil"/>
              <w:bottom w:val="single" w:sz="4" w:space="0" w:color="auto"/>
              <w:right w:val="single" w:sz="4" w:space="0" w:color="auto"/>
            </w:tcBorders>
            <w:shd w:val="clear" w:color="auto" w:fill="auto"/>
            <w:vAlign w:val="bottom"/>
          </w:tcPr>
          <w:p w14:paraId="65D64F3F" w14:textId="39CC3809"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3.220.065 </w:t>
            </w:r>
          </w:p>
        </w:tc>
        <w:tc>
          <w:tcPr>
            <w:tcW w:w="197" w:type="dxa"/>
            <w:tcBorders>
              <w:top w:val="nil"/>
              <w:left w:val="nil"/>
              <w:bottom w:val="single" w:sz="4" w:space="0" w:color="auto"/>
              <w:right w:val="single" w:sz="4" w:space="0" w:color="auto"/>
            </w:tcBorders>
            <w:shd w:val="clear" w:color="auto" w:fill="auto"/>
            <w:vAlign w:val="bottom"/>
          </w:tcPr>
          <w:p w14:paraId="69AB201E" w14:textId="5611120F"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vAlign w:val="bottom"/>
          </w:tcPr>
          <w:p w14:paraId="64FBFEE1" w14:textId="0B3486E4"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3.220.065 </w:t>
            </w:r>
          </w:p>
        </w:tc>
        <w:tc>
          <w:tcPr>
            <w:tcW w:w="1001" w:type="dxa"/>
            <w:tcBorders>
              <w:top w:val="nil"/>
              <w:left w:val="nil"/>
              <w:bottom w:val="single" w:sz="4" w:space="0" w:color="auto"/>
              <w:right w:val="single" w:sz="4" w:space="0" w:color="auto"/>
            </w:tcBorders>
            <w:shd w:val="clear" w:color="auto" w:fill="auto"/>
            <w:vAlign w:val="bottom"/>
          </w:tcPr>
          <w:p w14:paraId="326DF1BA" w14:textId="79278435" w:rsidR="002C7AEB" w:rsidRPr="002C7AEB" w:rsidRDefault="002C7AEB" w:rsidP="002C7AEB">
            <w:pPr>
              <w:jc w:val="right"/>
              <w:rPr>
                <w:rFonts w:ascii="Arial" w:hAnsi="Arial" w:cs="Arial"/>
                <w:color w:val="000000"/>
                <w:sz w:val="16"/>
                <w:szCs w:val="16"/>
                <w:lang w:eastAsia="es-AR"/>
              </w:rPr>
            </w:pPr>
          </w:p>
        </w:tc>
        <w:tc>
          <w:tcPr>
            <w:tcW w:w="1192" w:type="dxa"/>
            <w:tcBorders>
              <w:top w:val="nil"/>
              <w:left w:val="nil"/>
              <w:bottom w:val="single" w:sz="4" w:space="0" w:color="auto"/>
              <w:right w:val="single" w:sz="8" w:space="0" w:color="auto"/>
            </w:tcBorders>
            <w:shd w:val="clear" w:color="auto" w:fill="auto"/>
            <w:vAlign w:val="bottom"/>
          </w:tcPr>
          <w:p w14:paraId="3EDF4D4E" w14:textId="7C07EBF9" w:rsidR="002C7AEB" w:rsidRPr="002C7AEB" w:rsidRDefault="002C7AEB" w:rsidP="002C7AEB">
            <w:pPr>
              <w:jc w:val="right"/>
              <w:rPr>
                <w:rFonts w:ascii="Arial" w:hAnsi="Arial" w:cs="Arial"/>
                <w:color w:val="000000"/>
                <w:sz w:val="16"/>
                <w:szCs w:val="16"/>
                <w:lang w:eastAsia="es-AR"/>
              </w:rPr>
            </w:pPr>
          </w:p>
        </w:tc>
      </w:tr>
      <w:tr w:rsidR="002C7AEB" w:rsidRPr="00E74A5E" w14:paraId="0C3289B0" w14:textId="77777777" w:rsidTr="002E1AF6">
        <w:trPr>
          <w:trHeight w:val="245"/>
          <w:jc w:val="center"/>
        </w:trPr>
        <w:tc>
          <w:tcPr>
            <w:tcW w:w="440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0C36842" w14:textId="77777777" w:rsidR="002C7AEB" w:rsidRPr="00613EB0" w:rsidRDefault="002C7AEB" w:rsidP="002C7AEB">
            <w:pPr>
              <w:rPr>
                <w:rFonts w:ascii="Arial" w:hAnsi="Arial" w:cs="Arial"/>
                <w:b/>
                <w:color w:val="000000"/>
                <w:sz w:val="16"/>
                <w:szCs w:val="16"/>
                <w:lang w:eastAsia="es-AR"/>
              </w:rPr>
            </w:pPr>
          </w:p>
        </w:tc>
        <w:tc>
          <w:tcPr>
            <w:tcW w:w="1275" w:type="dxa"/>
            <w:tcBorders>
              <w:top w:val="single" w:sz="8" w:space="0" w:color="auto"/>
              <w:left w:val="nil"/>
              <w:bottom w:val="single" w:sz="8" w:space="0" w:color="auto"/>
              <w:right w:val="single" w:sz="4" w:space="0" w:color="auto"/>
            </w:tcBorders>
            <w:shd w:val="clear" w:color="auto" w:fill="auto"/>
            <w:noWrap/>
            <w:vAlign w:val="bottom"/>
          </w:tcPr>
          <w:p w14:paraId="2383764F" w14:textId="572B2C0F" w:rsidR="002C7AEB" w:rsidRPr="00CE3C86" w:rsidRDefault="002C7AEB" w:rsidP="002C7AEB">
            <w:pPr>
              <w:jc w:val="right"/>
              <w:rPr>
                <w:rFonts w:ascii="Arial" w:hAnsi="Arial" w:cs="Arial"/>
                <w:b/>
                <w:bCs/>
                <w:color w:val="000000"/>
                <w:sz w:val="16"/>
                <w:szCs w:val="16"/>
              </w:rPr>
            </w:pPr>
            <w:r w:rsidRPr="002C7AEB">
              <w:rPr>
                <w:rFonts w:ascii="Arial" w:hAnsi="Arial" w:cs="Arial"/>
                <w:b/>
                <w:bCs/>
                <w:color w:val="000000"/>
                <w:sz w:val="16"/>
                <w:szCs w:val="16"/>
              </w:rPr>
              <w:t xml:space="preserve"> 123.017.200 </w:t>
            </w:r>
          </w:p>
        </w:tc>
        <w:tc>
          <w:tcPr>
            <w:tcW w:w="1211" w:type="dxa"/>
            <w:tcBorders>
              <w:top w:val="single" w:sz="8" w:space="0" w:color="auto"/>
              <w:left w:val="nil"/>
              <w:bottom w:val="single" w:sz="8" w:space="0" w:color="auto"/>
              <w:right w:val="single" w:sz="4" w:space="0" w:color="auto"/>
            </w:tcBorders>
            <w:shd w:val="clear" w:color="auto" w:fill="auto"/>
            <w:noWrap/>
            <w:vAlign w:val="bottom"/>
          </w:tcPr>
          <w:p w14:paraId="055E6F5F" w14:textId="169F3D98" w:rsidR="002C7AEB" w:rsidRPr="00CE3C86" w:rsidRDefault="002C7AEB" w:rsidP="002C7AEB">
            <w:pPr>
              <w:jc w:val="right"/>
              <w:rPr>
                <w:rFonts w:ascii="Arial" w:hAnsi="Arial" w:cs="Arial"/>
                <w:b/>
                <w:bCs/>
                <w:color w:val="000000"/>
                <w:sz w:val="16"/>
                <w:szCs w:val="16"/>
              </w:rPr>
            </w:pPr>
            <w:r w:rsidRPr="002C7AEB">
              <w:rPr>
                <w:rFonts w:ascii="Arial" w:hAnsi="Arial" w:cs="Arial"/>
                <w:b/>
                <w:bCs/>
                <w:color w:val="000000"/>
                <w:sz w:val="16"/>
                <w:szCs w:val="16"/>
              </w:rPr>
              <w:t xml:space="preserve"> 108.445.13</w:t>
            </w:r>
            <w:r w:rsidR="00DE5129">
              <w:rPr>
                <w:rFonts w:ascii="Arial" w:hAnsi="Arial" w:cs="Arial"/>
                <w:b/>
                <w:bCs/>
                <w:color w:val="000000"/>
                <w:sz w:val="16"/>
                <w:szCs w:val="16"/>
              </w:rPr>
              <w:t>5</w:t>
            </w:r>
            <w:r w:rsidRPr="002C7AEB">
              <w:rPr>
                <w:rFonts w:ascii="Arial" w:hAnsi="Arial" w:cs="Arial"/>
                <w:b/>
                <w:bCs/>
                <w:color w:val="000000"/>
                <w:sz w:val="16"/>
                <w:szCs w:val="16"/>
              </w:rPr>
              <w:t xml:space="preserve"> </w:t>
            </w:r>
          </w:p>
        </w:tc>
        <w:tc>
          <w:tcPr>
            <w:tcW w:w="197" w:type="dxa"/>
            <w:tcBorders>
              <w:top w:val="single" w:sz="8" w:space="0" w:color="auto"/>
              <w:left w:val="nil"/>
              <w:bottom w:val="single" w:sz="8" w:space="0" w:color="auto"/>
              <w:right w:val="single" w:sz="4" w:space="0" w:color="auto"/>
            </w:tcBorders>
            <w:shd w:val="clear" w:color="auto" w:fill="auto"/>
            <w:noWrap/>
            <w:vAlign w:val="bottom"/>
          </w:tcPr>
          <w:p w14:paraId="12E34B9B" w14:textId="5FAC0668" w:rsidR="002C7AEB" w:rsidRPr="00CE3C86" w:rsidRDefault="002C7AEB" w:rsidP="002C7AEB">
            <w:pPr>
              <w:jc w:val="right"/>
              <w:rPr>
                <w:rFonts w:ascii="Arial" w:hAnsi="Arial" w:cs="Arial"/>
                <w:b/>
                <w:bCs/>
                <w:color w:val="000000"/>
                <w:sz w:val="16"/>
                <w:szCs w:val="16"/>
                <w:lang w:eastAsia="es-AR"/>
              </w:rPr>
            </w:pPr>
          </w:p>
        </w:tc>
        <w:tc>
          <w:tcPr>
            <w:tcW w:w="1104" w:type="dxa"/>
            <w:tcBorders>
              <w:top w:val="single" w:sz="8" w:space="0" w:color="auto"/>
              <w:left w:val="nil"/>
              <w:bottom w:val="single" w:sz="8" w:space="0" w:color="auto"/>
              <w:right w:val="single" w:sz="4" w:space="0" w:color="auto"/>
            </w:tcBorders>
            <w:shd w:val="clear" w:color="auto" w:fill="auto"/>
            <w:noWrap/>
            <w:vAlign w:val="bottom"/>
          </w:tcPr>
          <w:p w14:paraId="34D846B6" w14:textId="4385EE8B" w:rsidR="002C7AEB" w:rsidRPr="00CE3C86" w:rsidRDefault="002C7AEB" w:rsidP="002C7AEB">
            <w:pPr>
              <w:jc w:val="right"/>
              <w:rPr>
                <w:rFonts w:ascii="Arial" w:hAnsi="Arial" w:cs="Arial"/>
                <w:b/>
                <w:bCs/>
                <w:color w:val="000000"/>
                <w:sz w:val="16"/>
                <w:szCs w:val="16"/>
              </w:rPr>
            </w:pPr>
            <w:r w:rsidRPr="002C7AEB">
              <w:rPr>
                <w:rFonts w:ascii="Arial" w:hAnsi="Arial" w:cs="Arial"/>
                <w:b/>
                <w:bCs/>
                <w:color w:val="000000"/>
                <w:sz w:val="16"/>
                <w:szCs w:val="16"/>
              </w:rPr>
              <w:t xml:space="preserve"> 38.704.962 </w:t>
            </w:r>
          </w:p>
        </w:tc>
        <w:tc>
          <w:tcPr>
            <w:tcW w:w="1001" w:type="dxa"/>
            <w:tcBorders>
              <w:top w:val="single" w:sz="8" w:space="0" w:color="auto"/>
              <w:left w:val="nil"/>
              <w:bottom w:val="single" w:sz="8" w:space="0" w:color="auto"/>
              <w:right w:val="single" w:sz="4" w:space="0" w:color="auto"/>
            </w:tcBorders>
            <w:shd w:val="clear" w:color="auto" w:fill="auto"/>
            <w:noWrap/>
            <w:vAlign w:val="bottom"/>
          </w:tcPr>
          <w:p w14:paraId="681D7FF1" w14:textId="6DFEFDCA" w:rsidR="002C7AEB" w:rsidRPr="00CE3C86" w:rsidRDefault="002C7AEB" w:rsidP="002C7AEB">
            <w:pPr>
              <w:jc w:val="right"/>
              <w:rPr>
                <w:rFonts w:ascii="Arial" w:hAnsi="Arial" w:cs="Arial"/>
                <w:b/>
                <w:bCs/>
                <w:color w:val="000000"/>
                <w:sz w:val="16"/>
                <w:szCs w:val="16"/>
              </w:rPr>
            </w:pPr>
            <w:r w:rsidRPr="002C7AEB">
              <w:rPr>
                <w:rFonts w:ascii="Arial" w:hAnsi="Arial" w:cs="Arial"/>
                <w:b/>
                <w:bCs/>
                <w:color w:val="000000"/>
                <w:sz w:val="16"/>
                <w:szCs w:val="16"/>
              </w:rPr>
              <w:t xml:space="preserve"> -   </w:t>
            </w:r>
          </w:p>
        </w:tc>
        <w:tc>
          <w:tcPr>
            <w:tcW w:w="1192" w:type="dxa"/>
            <w:tcBorders>
              <w:top w:val="single" w:sz="8" w:space="0" w:color="auto"/>
              <w:left w:val="nil"/>
              <w:bottom w:val="single" w:sz="8" w:space="0" w:color="auto"/>
              <w:right w:val="single" w:sz="8" w:space="0" w:color="auto"/>
            </w:tcBorders>
            <w:shd w:val="clear" w:color="auto" w:fill="auto"/>
            <w:noWrap/>
            <w:vAlign w:val="bottom"/>
          </w:tcPr>
          <w:p w14:paraId="4EC239DC" w14:textId="45A712CB" w:rsidR="002C7AEB" w:rsidRPr="00CE3C86" w:rsidRDefault="002C7AEB" w:rsidP="002C7AEB">
            <w:pPr>
              <w:jc w:val="right"/>
              <w:rPr>
                <w:rFonts w:ascii="Arial" w:hAnsi="Arial" w:cs="Arial"/>
                <w:b/>
                <w:bCs/>
                <w:color w:val="000000"/>
                <w:sz w:val="16"/>
                <w:szCs w:val="16"/>
              </w:rPr>
            </w:pPr>
            <w:r w:rsidRPr="002C7AEB">
              <w:rPr>
                <w:rFonts w:ascii="Arial" w:hAnsi="Arial" w:cs="Arial"/>
                <w:b/>
                <w:bCs/>
                <w:color w:val="000000"/>
                <w:sz w:val="16"/>
                <w:szCs w:val="16"/>
              </w:rPr>
              <w:t xml:space="preserve"> 69.740.173 </w:t>
            </w:r>
          </w:p>
        </w:tc>
      </w:tr>
      <w:tr w:rsidR="00F02303" w:rsidRPr="00A70755" w14:paraId="56BE7911" w14:textId="77777777" w:rsidTr="002E1AF6">
        <w:trPr>
          <w:trHeight w:val="235"/>
          <w:jc w:val="center"/>
        </w:trPr>
        <w:tc>
          <w:tcPr>
            <w:tcW w:w="4402" w:type="dxa"/>
            <w:tcBorders>
              <w:top w:val="nil"/>
              <w:left w:val="single" w:sz="8" w:space="0" w:color="auto"/>
              <w:bottom w:val="single" w:sz="4" w:space="0" w:color="auto"/>
              <w:right w:val="nil"/>
            </w:tcBorders>
            <w:shd w:val="clear" w:color="auto" w:fill="auto"/>
            <w:noWrap/>
            <w:vAlign w:val="center"/>
            <w:hideMark/>
          </w:tcPr>
          <w:p w14:paraId="09D8D379" w14:textId="77777777" w:rsidR="00F02303" w:rsidRPr="00613EB0" w:rsidRDefault="00F02303" w:rsidP="00897D90">
            <w:pPr>
              <w:jc w:val="both"/>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275" w:type="dxa"/>
            <w:tcBorders>
              <w:top w:val="nil"/>
              <w:left w:val="nil"/>
              <w:bottom w:val="single" w:sz="4" w:space="0" w:color="auto"/>
              <w:right w:val="nil"/>
            </w:tcBorders>
            <w:shd w:val="clear" w:color="auto" w:fill="auto"/>
            <w:noWrap/>
            <w:vAlign w:val="bottom"/>
          </w:tcPr>
          <w:p w14:paraId="5E3574B7" w14:textId="77777777" w:rsidR="00F02303" w:rsidRPr="00A70755" w:rsidRDefault="00F02303">
            <w:pPr>
              <w:jc w:val="right"/>
              <w:rPr>
                <w:rFonts w:ascii="Arial" w:hAnsi="Arial" w:cs="Arial"/>
                <w:b/>
                <w:bCs/>
                <w:i/>
                <w:iCs/>
                <w:color w:val="000000"/>
                <w:sz w:val="16"/>
                <w:szCs w:val="16"/>
                <w:lang w:eastAsia="es-AR"/>
              </w:rPr>
            </w:pPr>
          </w:p>
        </w:tc>
        <w:tc>
          <w:tcPr>
            <w:tcW w:w="1211" w:type="dxa"/>
            <w:tcBorders>
              <w:top w:val="nil"/>
              <w:left w:val="nil"/>
              <w:bottom w:val="single" w:sz="4" w:space="0" w:color="auto"/>
              <w:right w:val="nil"/>
            </w:tcBorders>
            <w:shd w:val="clear" w:color="auto" w:fill="auto"/>
            <w:vAlign w:val="bottom"/>
          </w:tcPr>
          <w:p w14:paraId="43CB6D51" w14:textId="77777777" w:rsidR="00F02303" w:rsidRPr="00A70755" w:rsidRDefault="00F02303">
            <w:pPr>
              <w:jc w:val="right"/>
              <w:rPr>
                <w:rFonts w:ascii="Arial" w:hAnsi="Arial" w:cs="Arial"/>
                <w:b/>
                <w:bCs/>
                <w:i/>
                <w:iCs/>
                <w:color w:val="000000"/>
                <w:sz w:val="16"/>
                <w:szCs w:val="16"/>
                <w:lang w:eastAsia="es-AR"/>
              </w:rPr>
            </w:pPr>
          </w:p>
        </w:tc>
        <w:tc>
          <w:tcPr>
            <w:tcW w:w="197" w:type="dxa"/>
            <w:tcBorders>
              <w:top w:val="nil"/>
              <w:left w:val="nil"/>
              <w:bottom w:val="single" w:sz="4" w:space="0" w:color="auto"/>
              <w:right w:val="nil"/>
            </w:tcBorders>
            <w:shd w:val="clear" w:color="auto" w:fill="auto"/>
            <w:vAlign w:val="bottom"/>
          </w:tcPr>
          <w:p w14:paraId="6E2D9849" w14:textId="59E7154E" w:rsidR="00F02303" w:rsidRPr="00613EB0" w:rsidRDefault="00F02303">
            <w:pPr>
              <w:jc w:val="right"/>
              <w:rPr>
                <w:rFonts w:ascii="Arial" w:hAnsi="Arial" w:cs="Arial"/>
                <w:b/>
                <w:bCs/>
                <w:i/>
                <w:iCs/>
                <w:color w:val="000000"/>
                <w:sz w:val="16"/>
                <w:szCs w:val="16"/>
                <w:lang w:eastAsia="es-AR"/>
              </w:rPr>
            </w:pPr>
          </w:p>
        </w:tc>
        <w:tc>
          <w:tcPr>
            <w:tcW w:w="1104" w:type="dxa"/>
            <w:tcBorders>
              <w:top w:val="nil"/>
              <w:left w:val="nil"/>
              <w:bottom w:val="single" w:sz="4" w:space="0" w:color="auto"/>
              <w:right w:val="nil"/>
            </w:tcBorders>
            <w:shd w:val="clear" w:color="auto" w:fill="auto"/>
            <w:vAlign w:val="bottom"/>
          </w:tcPr>
          <w:p w14:paraId="66381CE2" w14:textId="77777777" w:rsidR="00F02303" w:rsidRPr="007228CD" w:rsidRDefault="00F02303">
            <w:pPr>
              <w:jc w:val="right"/>
              <w:rPr>
                <w:rFonts w:ascii="Arial" w:hAnsi="Arial" w:cs="Arial"/>
                <w:b/>
                <w:bCs/>
                <w:i/>
                <w:iCs/>
                <w:color w:val="000000"/>
                <w:sz w:val="16"/>
                <w:szCs w:val="16"/>
                <w:lang w:eastAsia="es-AR"/>
              </w:rPr>
            </w:pPr>
          </w:p>
        </w:tc>
        <w:tc>
          <w:tcPr>
            <w:tcW w:w="1001" w:type="dxa"/>
            <w:tcBorders>
              <w:top w:val="nil"/>
              <w:left w:val="nil"/>
              <w:bottom w:val="single" w:sz="4" w:space="0" w:color="auto"/>
              <w:right w:val="nil"/>
            </w:tcBorders>
            <w:shd w:val="clear" w:color="auto" w:fill="auto"/>
            <w:vAlign w:val="bottom"/>
          </w:tcPr>
          <w:p w14:paraId="11B8E764" w14:textId="77777777" w:rsidR="00F02303" w:rsidRPr="007228CD" w:rsidRDefault="00F02303">
            <w:pPr>
              <w:jc w:val="right"/>
              <w:rPr>
                <w:rFonts w:ascii="Arial" w:hAnsi="Arial" w:cs="Arial"/>
                <w:b/>
                <w:bCs/>
                <w:i/>
                <w:iCs/>
                <w:color w:val="000000"/>
                <w:sz w:val="16"/>
                <w:szCs w:val="16"/>
                <w:lang w:eastAsia="es-AR"/>
              </w:rPr>
            </w:pPr>
          </w:p>
        </w:tc>
        <w:tc>
          <w:tcPr>
            <w:tcW w:w="1192" w:type="dxa"/>
            <w:tcBorders>
              <w:top w:val="nil"/>
              <w:left w:val="nil"/>
              <w:bottom w:val="single" w:sz="4" w:space="0" w:color="auto"/>
              <w:right w:val="single" w:sz="8" w:space="0" w:color="auto"/>
            </w:tcBorders>
            <w:shd w:val="clear" w:color="auto" w:fill="auto"/>
            <w:vAlign w:val="bottom"/>
          </w:tcPr>
          <w:p w14:paraId="7D91A045" w14:textId="77777777" w:rsidR="00F02303" w:rsidRPr="007228CD" w:rsidRDefault="00F02303">
            <w:pPr>
              <w:jc w:val="right"/>
              <w:rPr>
                <w:rFonts w:ascii="Arial" w:hAnsi="Arial" w:cs="Arial"/>
                <w:b/>
                <w:bCs/>
                <w:i/>
                <w:iCs/>
                <w:color w:val="000000"/>
                <w:sz w:val="16"/>
                <w:szCs w:val="16"/>
                <w:lang w:eastAsia="es-AR"/>
              </w:rPr>
            </w:pPr>
          </w:p>
        </w:tc>
      </w:tr>
      <w:tr w:rsidR="002C7AEB" w:rsidRPr="00E74A5E" w14:paraId="163DF6A2"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hideMark/>
          </w:tcPr>
          <w:p w14:paraId="643760B5"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275" w:type="dxa"/>
            <w:tcBorders>
              <w:top w:val="nil"/>
              <w:left w:val="nil"/>
              <w:bottom w:val="single" w:sz="4" w:space="0" w:color="auto"/>
              <w:right w:val="single" w:sz="4" w:space="0" w:color="auto"/>
            </w:tcBorders>
            <w:shd w:val="clear" w:color="auto" w:fill="auto"/>
            <w:noWrap/>
            <w:vAlign w:val="bottom"/>
          </w:tcPr>
          <w:p w14:paraId="3B85F04C" w14:textId="7ECE5DB1"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137.035.304 </w:t>
            </w:r>
          </w:p>
        </w:tc>
        <w:tc>
          <w:tcPr>
            <w:tcW w:w="1211" w:type="dxa"/>
            <w:tcBorders>
              <w:top w:val="nil"/>
              <w:left w:val="nil"/>
              <w:bottom w:val="single" w:sz="4" w:space="0" w:color="auto"/>
              <w:right w:val="single" w:sz="4" w:space="0" w:color="auto"/>
            </w:tcBorders>
            <w:shd w:val="clear" w:color="auto" w:fill="auto"/>
            <w:vAlign w:val="bottom"/>
          </w:tcPr>
          <w:p w14:paraId="1C6066B5" w14:textId="20B4603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135.531.734 </w:t>
            </w:r>
          </w:p>
        </w:tc>
        <w:tc>
          <w:tcPr>
            <w:tcW w:w="197" w:type="dxa"/>
            <w:tcBorders>
              <w:top w:val="nil"/>
              <w:left w:val="nil"/>
              <w:bottom w:val="single" w:sz="4" w:space="0" w:color="auto"/>
              <w:right w:val="single" w:sz="4" w:space="0" w:color="auto"/>
            </w:tcBorders>
            <w:shd w:val="clear" w:color="auto" w:fill="auto"/>
            <w:vAlign w:val="bottom"/>
          </w:tcPr>
          <w:p w14:paraId="3950F217" w14:textId="394A5EFB"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noWrap/>
            <w:vAlign w:val="bottom"/>
          </w:tcPr>
          <w:p w14:paraId="71642901" w14:textId="6276D032"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   </w:t>
            </w:r>
          </w:p>
        </w:tc>
        <w:tc>
          <w:tcPr>
            <w:tcW w:w="1001" w:type="dxa"/>
            <w:tcBorders>
              <w:top w:val="nil"/>
              <w:left w:val="nil"/>
              <w:bottom w:val="single" w:sz="4" w:space="0" w:color="auto"/>
              <w:right w:val="single" w:sz="4" w:space="0" w:color="auto"/>
            </w:tcBorders>
            <w:shd w:val="clear" w:color="auto" w:fill="auto"/>
            <w:noWrap/>
            <w:vAlign w:val="bottom"/>
          </w:tcPr>
          <w:p w14:paraId="2A860499" w14:textId="30BB791C"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   </w:t>
            </w:r>
          </w:p>
        </w:tc>
        <w:tc>
          <w:tcPr>
            <w:tcW w:w="1192" w:type="dxa"/>
            <w:tcBorders>
              <w:top w:val="nil"/>
              <w:left w:val="nil"/>
              <w:bottom w:val="single" w:sz="4" w:space="0" w:color="auto"/>
              <w:right w:val="single" w:sz="8" w:space="0" w:color="auto"/>
            </w:tcBorders>
            <w:shd w:val="clear" w:color="auto" w:fill="auto"/>
            <w:noWrap/>
            <w:vAlign w:val="bottom"/>
          </w:tcPr>
          <w:p w14:paraId="726B3786" w14:textId="6890EFA7"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135.531.734 </w:t>
            </w:r>
          </w:p>
        </w:tc>
      </w:tr>
      <w:tr w:rsidR="002C7AEB" w:rsidRPr="00E74A5E" w14:paraId="2FE60947"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hideMark/>
          </w:tcPr>
          <w:p w14:paraId="622B6E81" w14:textId="55414CB2" w:rsidR="002C7AEB" w:rsidRPr="00613EB0" w:rsidRDefault="002C7AEB" w:rsidP="002C7AEB">
            <w:pPr>
              <w:jc w:val="both"/>
              <w:rPr>
                <w:rFonts w:ascii="Arial" w:hAnsi="Arial" w:cs="Arial"/>
                <w:color w:val="000000"/>
                <w:sz w:val="16"/>
                <w:szCs w:val="16"/>
                <w:lang w:eastAsia="es-AR"/>
              </w:rPr>
            </w:pPr>
            <w:r w:rsidRPr="00F02303">
              <w:rPr>
                <w:rFonts w:ascii="Arial" w:hAnsi="Arial" w:cs="Arial"/>
                <w:color w:val="000000"/>
                <w:sz w:val="16"/>
                <w:szCs w:val="16"/>
                <w:lang w:eastAsia="es-AR"/>
              </w:rPr>
              <w:t>- Operaciones de pase</w:t>
            </w:r>
          </w:p>
        </w:tc>
        <w:tc>
          <w:tcPr>
            <w:tcW w:w="1275" w:type="dxa"/>
            <w:tcBorders>
              <w:top w:val="nil"/>
              <w:left w:val="nil"/>
              <w:bottom w:val="single" w:sz="4" w:space="0" w:color="auto"/>
              <w:right w:val="single" w:sz="4" w:space="0" w:color="auto"/>
            </w:tcBorders>
            <w:shd w:val="clear" w:color="auto" w:fill="auto"/>
            <w:noWrap/>
            <w:vAlign w:val="bottom"/>
          </w:tcPr>
          <w:p w14:paraId="373B39E8" w14:textId="7B1DE47D"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282.843 </w:t>
            </w:r>
          </w:p>
        </w:tc>
        <w:tc>
          <w:tcPr>
            <w:tcW w:w="1211" w:type="dxa"/>
            <w:tcBorders>
              <w:top w:val="nil"/>
              <w:left w:val="nil"/>
              <w:bottom w:val="single" w:sz="4" w:space="0" w:color="auto"/>
              <w:right w:val="single" w:sz="4" w:space="0" w:color="auto"/>
            </w:tcBorders>
            <w:shd w:val="clear" w:color="auto" w:fill="auto"/>
            <w:vAlign w:val="bottom"/>
          </w:tcPr>
          <w:p w14:paraId="76295A76" w14:textId="03AF2669"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282.843 </w:t>
            </w:r>
          </w:p>
        </w:tc>
        <w:tc>
          <w:tcPr>
            <w:tcW w:w="197" w:type="dxa"/>
            <w:tcBorders>
              <w:top w:val="nil"/>
              <w:left w:val="nil"/>
              <w:bottom w:val="single" w:sz="4" w:space="0" w:color="auto"/>
              <w:right w:val="single" w:sz="4" w:space="0" w:color="auto"/>
            </w:tcBorders>
            <w:shd w:val="clear" w:color="auto" w:fill="auto"/>
            <w:vAlign w:val="bottom"/>
          </w:tcPr>
          <w:p w14:paraId="2B805143" w14:textId="6D1BEDDE"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noWrap/>
            <w:vAlign w:val="bottom"/>
          </w:tcPr>
          <w:p w14:paraId="74BA3C7F" w14:textId="06C82135"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282.843 </w:t>
            </w:r>
          </w:p>
        </w:tc>
        <w:tc>
          <w:tcPr>
            <w:tcW w:w="1001" w:type="dxa"/>
            <w:tcBorders>
              <w:top w:val="nil"/>
              <w:left w:val="nil"/>
              <w:bottom w:val="single" w:sz="4" w:space="0" w:color="auto"/>
              <w:right w:val="single" w:sz="4" w:space="0" w:color="auto"/>
            </w:tcBorders>
            <w:shd w:val="clear" w:color="auto" w:fill="auto"/>
            <w:noWrap/>
            <w:vAlign w:val="bottom"/>
          </w:tcPr>
          <w:p w14:paraId="27AFC714" w14:textId="46AE9D16" w:rsidR="002C7AEB" w:rsidRPr="002C7AEB" w:rsidRDefault="002C7AEB" w:rsidP="002C7AEB">
            <w:pPr>
              <w:jc w:val="right"/>
              <w:rPr>
                <w:rFonts w:ascii="Arial" w:hAnsi="Arial" w:cs="Arial"/>
                <w:color w:val="000000"/>
                <w:sz w:val="16"/>
                <w:szCs w:val="18"/>
                <w:lang w:eastAsia="es-AR"/>
              </w:rPr>
            </w:pPr>
          </w:p>
        </w:tc>
        <w:tc>
          <w:tcPr>
            <w:tcW w:w="1192" w:type="dxa"/>
            <w:tcBorders>
              <w:top w:val="nil"/>
              <w:left w:val="nil"/>
              <w:bottom w:val="single" w:sz="4" w:space="0" w:color="auto"/>
              <w:right w:val="single" w:sz="8" w:space="0" w:color="auto"/>
            </w:tcBorders>
            <w:shd w:val="clear" w:color="auto" w:fill="auto"/>
            <w:noWrap/>
            <w:vAlign w:val="bottom"/>
          </w:tcPr>
          <w:p w14:paraId="1D751652" w14:textId="33CD1CA0" w:rsidR="002C7AEB" w:rsidRPr="002C7AEB" w:rsidRDefault="002C7AEB" w:rsidP="002C7AEB">
            <w:pPr>
              <w:jc w:val="right"/>
              <w:rPr>
                <w:rFonts w:ascii="Arial" w:hAnsi="Arial" w:cs="Arial"/>
                <w:color w:val="000000"/>
                <w:sz w:val="16"/>
                <w:szCs w:val="18"/>
                <w:lang w:eastAsia="es-AR"/>
              </w:rPr>
            </w:pPr>
          </w:p>
        </w:tc>
      </w:tr>
      <w:tr w:rsidR="002C7AEB" w:rsidRPr="00E74A5E" w14:paraId="5155AC20"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tcPr>
          <w:p w14:paraId="4B0E9E08" w14:textId="6E514753" w:rsidR="002C7AEB" w:rsidRPr="00613EB0" w:rsidRDefault="002C7AEB" w:rsidP="002C7AEB">
            <w:pPr>
              <w:jc w:val="both"/>
              <w:rPr>
                <w:rFonts w:ascii="Arial" w:hAnsi="Arial" w:cs="Arial"/>
                <w:color w:val="000000"/>
                <w:sz w:val="16"/>
                <w:szCs w:val="16"/>
                <w:lang w:eastAsia="es-AR"/>
              </w:rPr>
            </w:pPr>
            <w:r w:rsidRPr="00F02303">
              <w:rPr>
                <w:rFonts w:ascii="Arial" w:hAnsi="Arial" w:cs="Arial"/>
                <w:color w:val="000000"/>
                <w:sz w:val="16"/>
                <w:szCs w:val="16"/>
                <w:lang w:eastAsia="es-AR"/>
              </w:rPr>
              <w:t>-Otros pasivos financieros</w:t>
            </w:r>
          </w:p>
        </w:tc>
        <w:tc>
          <w:tcPr>
            <w:tcW w:w="1275" w:type="dxa"/>
            <w:tcBorders>
              <w:top w:val="nil"/>
              <w:left w:val="nil"/>
              <w:bottom w:val="single" w:sz="4" w:space="0" w:color="auto"/>
              <w:right w:val="single" w:sz="4" w:space="0" w:color="auto"/>
            </w:tcBorders>
            <w:shd w:val="clear" w:color="auto" w:fill="auto"/>
            <w:noWrap/>
            <w:vAlign w:val="bottom"/>
          </w:tcPr>
          <w:p w14:paraId="0AD17260" w14:textId="382189FB" w:rsidR="002C7AEB" w:rsidRPr="002C7AEB" w:rsidRDefault="002C7AEB" w:rsidP="002C7AEB">
            <w:pPr>
              <w:jc w:val="right"/>
              <w:rPr>
                <w:rFonts w:ascii="Arial" w:hAnsi="Arial" w:cs="Arial"/>
                <w:sz w:val="16"/>
                <w:szCs w:val="16"/>
              </w:rPr>
            </w:pPr>
            <w:r w:rsidRPr="002C7AEB">
              <w:rPr>
                <w:rFonts w:ascii="Arial" w:hAnsi="Arial" w:cs="Arial"/>
                <w:sz w:val="16"/>
                <w:szCs w:val="16"/>
              </w:rPr>
              <w:t xml:space="preserve"> 128.847 </w:t>
            </w:r>
          </w:p>
        </w:tc>
        <w:tc>
          <w:tcPr>
            <w:tcW w:w="1211" w:type="dxa"/>
            <w:tcBorders>
              <w:top w:val="nil"/>
              <w:left w:val="nil"/>
              <w:bottom w:val="single" w:sz="4" w:space="0" w:color="auto"/>
              <w:right w:val="single" w:sz="4" w:space="0" w:color="auto"/>
            </w:tcBorders>
            <w:shd w:val="clear" w:color="auto" w:fill="auto"/>
            <w:vAlign w:val="bottom"/>
          </w:tcPr>
          <w:p w14:paraId="201D7BB5" w14:textId="04C8CC64" w:rsidR="002C7AEB" w:rsidRPr="002C7AEB" w:rsidRDefault="002C7AEB" w:rsidP="002C7AEB">
            <w:pPr>
              <w:jc w:val="right"/>
              <w:rPr>
                <w:rFonts w:ascii="Arial" w:hAnsi="Arial" w:cs="Arial"/>
                <w:sz w:val="16"/>
                <w:szCs w:val="16"/>
              </w:rPr>
            </w:pPr>
            <w:r w:rsidRPr="002C7AEB">
              <w:rPr>
                <w:rFonts w:ascii="Arial" w:hAnsi="Arial" w:cs="Arial"/>
                <w:sz w:val="16"/>
                <w:szCs w:val="16"/>
              </w:rPr>
              <w:t xml:space="preserve"> 128.847 </w:t>
            </w:r>
          </w:p>
        </w:tc>
        <w:tc>
          <w:tcPr>
            <w:tcW w:w="197" w:type="dxa"/>
            <w:tcBorders>
              <w:top w:val="nil"/>
              <w:left w:val="nil"/>
              <w:bottom w:val="single" w:sz="4" w:space="0" w:color="auto"/>
              <w:right w:val="single" w:sz="4" w:space="0" w:color="auto"/>
            </w:tcBorders>
            <w:shd w:val="clear" w:color="auto" w:fill="auto"/>
            <w:vAlign w:val="bottom"/>
          </w:tcPr>
          <w:p w14:paraId="261F9663" w14:textId="122E17F5"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noWrap/>
            <w:vAlign w:val="bottom"/>
          </w:tcPr>
          <w:p w14:paraId="24D92052" w14:textId="6A960FAE" w:rsidR="002C7AEB" w:rsidRPr="002C7AEB" w:rsidRDefault="002C7AEB" w:rsidP="002C7AEB">
            <w:pPr>
              <w:jc w:val="right"/>
              <w:rPr>
                <w:rFonts w:ascii="Arial" w:hAnsi="Arial" w:cs="Arial"/>
                <w:sz w:val="16"/>
                <w:szCs w:val="18"/>
              </w:rPr>
            </w:pPr>
            <w:r w:rsidRPr="002C7AEB">
              <w:rPr>
                <w:rFonts w:ascii="Arial" w:hAnsi="Arial" w:cs="Arial"/>
                <w:sz w:val="16"/>
                <w:szCs w:val="18"/>
              </w:rPr>
              <w:t xml:space="preserve"> 128.847 </w:t>
            </w:r>
          </w:p>
        </w:tc>
        <w:tc>
          <w:tcPr>
            <w:tcW w:w="1001" w:type="dxa"/>
            <w:tcBorders>
              <w:top w:val="nil"/>
              <w:left w:val="nil"/>
              <w:bottom w:val="single" w:sz="4" w:space="0" w:color="auto"/>
              <w:right w:val="single" w:sz="4" w:space="0" w:color="auto"/>
            </w:tcBorders>
            <w:shd w:val="clear" w:color="auto" w:fill="auto"/>
            <w:noWrap/>
            <w:vAlign w:val="bottom"/>
          </w:tcPr>
          <w:p w14:paraId="38B9A0CA" w14:textId="19E46C7E" w:rsidR="002C7AEB" w:rsidRPr="002C7AEB" w:rsidRDefault="002C7AEB" w:rsidP="002C7AEB">
            <w:pPr>
              <w:jc w:val="right"/>
              <w:rPr>
                <w:rFonts w:ascii="Arial" w:hAnsi="Arial" w:cs="Arial"/>
                <w:sz w:val="16"/>
                <w:szCs w:val="18"/>
              </w:rPr>
            </w:pPr>
          </w:p>
        </w:tc>
        <w:tc>
          <w:tcPr>
            <w:tcW w:w="1192" w:type="dxa"/>
            <w:tcBorders>
              <w:top w:val="nil"/>
              <w:left w:val="nil"/>
              <w:bottom w:val="single" w:sz="4" w:space="0" w:color="auto"/>
              <w:right w:val="single" w:sz="8" w:space="0" w:color="auto"/>
            </w:tcBorders>
            <w:shd w:val="clear" w:color="auto" w:fill="auto"/>
            <w:noWrap/>
            <w:vAlign w:val="bottom"/>
          </w:tcPr>
          <w:p w14:paraId="445A254C" w14:textId="6B22CEED" w:rsidR="002C7AEB" w:rsidRPr="002C7AEB" w:rsidRDefault="002C7AEB" w:rsidP="002C7AEB">
            <w:pPr>
              <w:jc w:val="right"/>
              <w:rPr>
                <w:rFonts w:ascii="Arial" w:hAnsi="Arial" w:cs="Arial"/>
                <w:sz w:val="16"/>
                <w:szCs w:val="18"/>
              </w:rPr>
            </w:pPr>
          </w:p>
        </w:tc>
      </w:tr>
      <w:tr w:rsidR="002C7AEB" w:rsidRPr="00E74A5E" w14:paraId="7C2F0661" w14:textId="77777777" w:rsidTr="00EC1700">
        <w:trPr>
          <w:trHeight w:val="235"/>
          <w:jc w:val="center"/>
        </w:trPr>
        <w:tc>
          <w:tcPr>
            <w:tcW w:w="4402" w:type="dxa"/>
            <w:tcBorders>
              <w:top w:val="nil"/>
              <w:left w:val="single" w:sz="8" w:space="0" w:color="auto"/>
              <w:bottom w:val="single" w:sz="4" w:space="0" w:color="auto"/>
              <w:right w:val="single" w:sz="4" w:space="0" w:color="auto"/>
            </w:tcBorders>
            <w:shd w:val="clear" w:color="auto" w:fill="auto"/>
            <w:noWrap/>
            <w:vAlign w:val="center"/>
            <w:hideMark/>
          </w:tcPr>
          <w:p w14:paraId="26FEB931"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275" w:type="dxa"/>
            <w:tcBorders>
              <w:top w:val="nil"/>
              <w:left w:val="nil"/>
              <w:bottom w:val="single" w:sz="4" w:space="0" w:color="auto"/>
              <w:right w:val="single" w:sz="4" w:space="0" w:color="auto"/>
            </w:tcBorders>
            <w:shd w:val="clear" w:color="auto" w:fill="auto"/>
            <w:noWrap/>
            <w:vAlign w:val="bottom"/>
          </w:tcPr>
          <w:p w14:paraId="151362D2" w14:textId="44EB6A56"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8.051.006 </w:t>
            </w:r>
          </w:p>
        </w:tc>
        <w:tc>
          <w:tcPr>
            <w:tcW w:w="1211" w:type="dxa"/>
            <w:tcBorders>
              <w:top w:val="nil"/>
              <w:left w:val="nil"/>
              <w:bottom w:val="single" w:sz="4" w:space="0" w:color="auto"/>
              <w:right w:val="single" w:sz="4" w:space="0" w:color="auto"/>
            </w:tcBorders>
            <w:shd w:val="clear" w:color="auto" w:fill="auto"/>
            <w:vAlign w:val="bottom"/>
          </w:tcPr>
          <w:p w14:paraId="23C2D9D9" w14:textId="43C9AEBC"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7.601.914 </w:t>
            </w:r>
          </w:p>
        </w:tc>
        <w:tc>
          <w:tcPr>
            <w:tcW w:w="197" w:type="dxa"/>
            <w:tcBorders>
              <w:top w:val="nil"/>
              <w:left w:val="nil"/>
              <w:bottom w:val="single" w:sz="4" w:space="0" w:color="auto"/>
              <w:right w:val="single" w:sz="4" w:space="0" w:color="auto"/>
            </w:tcBorders>
            <w:shd w:val="clear" w:color="auto" w:fill="auto"/>
            <w:vAlign w:val="bottom"/>
          </w:tcPr>
          <w:p w14:paraId="052C1F38" w14:textId="42DAE45D" w:rsidR="002C7AEB" w:rsidRPr="00CE3C86" w:rsidRDefault="002C7AEB" w:rsidP="002C7AEB">
            <w:pPr>
              <w:jc w:val="right"/>
              <w:rPr>
                <w:rFonts w:ascii="Arial" w:hAnsi="Arial" w:cs="Arial"/>
                <w:color w:val="000000"/>
                <w:sz w:val="16"/>
                <w:szCs w:val="16"/>
                <w:lang w:eastAsia="es-AR"/>
              </w:rPr>
            </w:pPr>
          </w:p>
        </w:tc>
        <w:tc>
          <w:tcPr>
            <w:tcW w:w="1104" w:type="dxa"/>
            <w:tcBorders>
              <w:top w:val="nil"/>
              <w:left w:val="nil"/>
              <w:bottom w:val="single" w:sz="4" w:space="0" w:color="auto"/>
              <w:right w:val="single" w:sz="4" w:space="0" w:color="auto"/>
            </w:tcBorders>
            <w:shd w:val="clear" w:color="auto" w:fill="auto"/>
            <w:noWrap/>
            <w:vAlign w:val="bottom"/>
          </w:tcPr>
          <w:p w14:paraId="08B66277" w14:textId="316939EF" w:rsidR="002C7AEB" w:rsidRPr="002C7AEB" w:rsidRDefault="002C7AEB" w:rsidP="002C7AEB">
            <w:pPr>
              <w:jc w:val="right"/>
              <w:rPr>
                <w:rFonts w:ascii="Arial" w:hAnsi="Arial" w:cs="Arial"/>
                <w:color w:val="000000"/>
                <w:sz w:val="16"/>
                <w:szCs w:val="18"/>
                <w:lang w:eastAsia="es-AR"/>
              </w:rPr>
            </w:pPr>
          </w:p>
        </w:tc>
        <w:tc>
          <w:tcPr>
            <w:tcW w:w="1001" w:type="dxa"/>
            <w:tcBorders>
              <w:top w:val="nil"/>
              <w:left w:val="nil"/>
              <w:bottom w:val="single" w:sz="4" w:space="0" w:color="auto"/>
              <w:right w:val="single" w:sz="4" w:space="0" w:color="auto"/>
            </w:tcBorders>
            <w:shd w:val="clear" w:color="auto" w:fill="auto"/>
            <w:noWrap/>
            <w:vAlign w:val="bottom"/>
          </w:tcPr>
          <w:p w14:paraId="57EC2EC5" w14:textId="2CE04597" w:rsidR="002C7AEB" w:rsidRPr="002C7AEB" w:rsidRDefault="002C7AEB" w:rsidP="002C7AEB">
            <w:pPr>
              <w:jc w:val="right"/>
              <w:rPr>
                <w:rFonts w:ascii="Arial" w:hAnsi="Arial" w:cs="Arial"/>
                <w:color w:val="000000"/>
                <w:sz w:val="16"/>
                <w:szCs w:val="18"/>
                <w:lang w:eastAsia="es-AR"/>
              </w:rPr>
            </w:pPr>
          </w:p>
        </w:tc>
        <w:tc>
          <w:tcPr>
            <w:tcW w:w="1192" w:type="dxa"/>
            <w:tcBorders>
              <w:top w:val="nil"/>
              <w:left w:val="nil"/>
              <w:bottom w:val="single" w:sz="4" w:space="0" w:color="auto"/>
              <w:right w:val="single" w:sz="8" w:space="0" w:color="auto"/>
            </w:tcBorders>
            <w:shd w:val="clear" w:color="auto" w:fill="auto"/>
            <w:noWrap/>
            <w:vAlign w:val="bottom"/>
          </w:tcPr>
          <w:p w14:paraId="1ACB169B" w14:textId="02BE3967"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7.601.914 </w:t>
            </w:r>
          </w:p>
        </w:tc>
      </w:tr>
      <w:tr w:rsidR="002C7AEB" w:rsidRPr="00E74A5E" w14:paraId="3249F017" w14:textId="77777777" w:rsidTr="00EC1700">
        <w:trPr>
          <w:trHeight w:val="235"/>
          <w:jc w:val="center"/>
        </w:trPr>
        <w:tc>
          <w:tcPr>
            <w:tcW w:w="440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314C1C8"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E5AE9F3" w14:textId="00735EFA"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4.170.559 </w:t>
            </w:r>
          </w:p>
        </w:tc>
        <w:tc>
          <w:tcPr>
            <w:tcW w:w="1211" w:type="dxa"/>
            <w:tcBorders>
              <w:top w:val="single" w:sz="4" w:space="0" w:color="auto"/>
              <w:left w:val="nil"/>
              <w:bottom w:val="single" w:sz="4" w:space="0" w:color="auto"/>
              <w:right w:val="single" w:sz="4" w:space="0" w:color="auto"/>
            </w:tcBorders>
            <w:shd w:val="clear" w:color="auto" w:fill="auto"/>
            <w:vAlign w:val="bottom"/>
          </w:tcPr>
          <w:p w14:paraId="40CDF661" w14:textId="18517C3B"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4.170.559 </w:t>
            </w:r>
          </w:p>
        </w:tc>
        <w:tc>
          <w:tcPr>
            <w:tcW w:w="197" w:type="dxa"/>
            <w:tcBorders>
              <w:top w:val="single" w:sz="4" w:space="0" w:color="auto"/>
              <w:left w:val="nil"/>
              <w:bottom w:val="single" w:sz="4" w:space="0" w:color="auto"/>
              <w:right w:val="single" w:sz="4" w:space="0" w:color="auto"/>
            </w:tcBorders>
            <w:shd w:val="clear" w:color="auto" w:fill="auto"/>
            <w:vAlign w:val="bottom"/>
          </w:tcPr>
          <w:p w14:paraId="3871BEAE" w14:textId="41697272" w:rsidR="002C7AEB" w:rsidRPr="00CE3C86" w:rsidRDefault="002C7AEB" w:rsidP="002C7AEB">
            <w:pPr>
              <w:jc w:val="right"/>
              <w:rPr>
                <w:rFonts w:ascii="Arial" w:hAnsi="Arial" w:cs="Arial"/>
                <w:color w:val="000000"/>
                <w:sz w:val="16"/>
                <w:szCs w:val="16"/>
                <w:lang w:eastAsia="es-AR"/>
              </w:rPr>
            </w:pPr>
          </w:p>
        </w:tc>
        <w:tc>
          <w:tcPr>
            <w:tcW w:w="1104" w:type="dxa"/>
            <w:tcBorders>
              <w:top w:val="single" w:sz="4" w:space="0" w:color="auto"/>
              <w:left w:val="nil"/>
              <w:bottom w:val="single" w:sz="4" w:space="0" w:color="auto"/>
              <w:right w:val="single" w:sz="4" w:space="0" w:color="auto"/>
            </w:tcBorders>
            <w:shd w:val="clear" w:color="auto" w:fill="auto"/>
            <w:noWrap/>
            <w:vAlign w:val="bottom"/>
          </w:tcPr>
          <w:p w14:paraId="7EACF213" w14:textId="419B0A14"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4.170.559 </w:t>
            </w:r>
          </w:p>
        </w:tc>
        <w:tc>
          <w:tcPr>
            <w:tcW w:w="1001" w:type="dxa"/>
            <w:tcBorders>
              <w:top w:val="single" w:sz="4" w:space="0" w:color="auto"/>
              <w:left w:val="nil"/>
              <w:bottom w:val="single" w:sz="4" w:space="0" w:color="auto"/>
              <w:right w:val="single" w:sz="4" w:space="0" w:color="auto"/>
            </w:tcBorders>
            <w:shd w:val="clear" w:color="auto" w:fill="auto"/>
            <w:noWrap/>
            <w:vAlign w:val="bottom"/>
          </w:tcPr>
          <w:p w14:paraId="4BCFAD13" w14:textId="3A05C265"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   </w:t>
            </w:r>
          </w:p>
        </w:tc>
        <w:tc>
          <w:tcPr>
            <w:tcW w:w="1192" w:type="dxa"/>
            <w:tcBorders>
              <w:top w:val="single" w:sz="4" w:space="0" w:color="auto"/>
              <w:left w:val="nil"/>
              <w:bottom w:val="single" w:sz="4" w:space="0" w:color="auto"/>
              <w:right w:val="single" w:sz="8" w:space="0" w:color="auto"/>
            </w:tcBorders>
            <w:shd w:val="clear" w:color="auto" w:fill="auto"/>
            <w:noWrap/>
            <w:vAlign w:val="bottom"/>
          </w:tcPr>
          <w:p w14:paraId="792F9A93" w14:textId="26342AF2"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   </w:t>
            </w:r>
          </w:p>
        </w:tc>
      </w:tr>
      <w:tr w:rsidR="002C7AEB" w:rsidRPr="00E74A5E" w14:paraId="78E5AE26" w14:textId="77777777" w:rsidTr="00EC1700">
        <w:trPr>
          <w:trHeight w:val="245"/>
          <w:jc w:val="center"/>
        </w:trPr>
        <w:tc>
          <w:tcPr>
            <w:tcW w:w="4402" w:type="dxa"/>
            <w:tcBorders>
              <w:top w:val="single" w:sz="4" w:space="0" w:color="auto"/>
              <w:left w:val="single" w:sz="8" w:space="0" w:color="auto"/>
              <w:bottom w:val="nil"/>
              <w:right w:val="single" w:sz="4" w:space="0" w:color="auto"/>
            </w:tcBorders>
            <w:shd w:val="clear" w:color="auto" w:fill="auto"/>
            <w:noWrap/>
            <w:vAlign w:val="center"/>
            <w:hideMark/>
          </w:tcPr>
          <w:p w14:paraId="598C7167"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275" w:type="dxa"/>
            <w:tcBorders>
              <w:top w:val="single" w:sz="4" w:space="0" w:color="auto"/>
              <w:left w:val="nil"/>
              <w:bottom w:val="nil"/>
              <w:right w:val="single" w:sz="4" w:space="0" w:color="auto"/>
            </w:tcBorders>
            <w:shd w:val="clear" w:color="auto" w:fill="auto"/>
            <w:noWrap/>
            <w:vAlign w:val="bottom"/>
          </w:tcPr>
          <w:p w14:paraId="7BE76E75" w14:textId="6D6EE77D"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1.911.457 </w:t>
            </w:r>
          </w:p>
        </w:tc>
        <w:tc>
          <w:tcPr>
            <w:tcW w:w="1211" w:type="dxa"/>
            <w:tcBorders>
              <w:top w:val="single" w:sz="4" w:space="0" w:color="auto"/>
              <w:left w:val="nil"/>
              <w:bottom w:val="nil"/>
              <w:right w:val="single" w:sz="4" w:space="0" w:color="auto"/>
            </w:tcBorders>
            <w:shd w:val="clear" w:color="auto" w:fill="auto"/>
            <w:vAlign w:val="bottom"/>
          </w:tcPr>
          <w:p w14:paraId="788569DF" w14:textId="4FBB55FD"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2.243.070 </w:t>
            </w:r>
          </w:p>
        </w:tc>
        <w:tc>
          <w:tcPr>
            <w:tcW w:w="197" w:type="dxa"/>
            <w:tcBorders>
              <w:top w:val="single" w:sz="4" w:space="0" w:color="auto"/>
              <w:left w:val="nil"/>
              <w:bottom w:val="nil"/>
              <w:right w:val="single" w:sz="4" w:space="0" w:color="auto"/>
            </w:tcBorders>
            <w:shd w:val="clear" w:color="auto" w:fill="auto"/>
            <w:vAlign w:val="bottom"/>
          </w:tcPr>
          <w:p w14:paraId="313B9B74" w14:textId="4BFDC75B" w:rsidR="002C7AEB" w:rsidRPr="00CE3C86" w:rsidRDefault="002C7AEB" w:rsidP="002C7AEB">
            <w:pPr>
              <w:jc w:val="right"/>
              <w:rPr>
                <w:rFonts w:ascii="Arial" w:hAnsi="Arial" w:cs="Arial"/>
                <w:color w:val="000000"/>
                <w:sz w:val="16"/>
                <w:szCs w:val="16"/>
                <w:lang w:eastAsia="es-AR"/>
              </w:rPr>
            </w:pPr>
          </w:p>
        </w:tc>
        <w:tc>
          <w:tcPr>
            <w:tcW w:w="1104" w:type="dxa"/>
            <w:tcBorders>
              <w:top w:val="single" w:sz="4" w:space="0" w:color="auto"/>
              <w:left w:val="nil"/>
              <w:bottom w:val="nil"/>
              <w:right w:val="single" w:sz="4" w:space="0" w:color="auto"/>
            </w:tcBorders>
            <w:shd w:val="clear" w:color="auto" w:fill="auto"/>
            <w:noWrap/>
            <w:vAlign w:val="bottom"/>
          </w:tcPr>
          <w:p w14:paraId="56C78C54" w14:textId="1B3E23B5"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2.243.070 </w:t>
            </w:r>
          </w:p>
        </w:tc>
        <w:tc>
          <w:tcPr>
            <w:tcW w:w="1001" w:type="dxa"/>
            <w:tcBorders>
              <w:top w:val="single" w:sz="4" w:space="0" w:color="auto"/>
              <w:left w:val="nil"/>
              <w:bottom w:val="nil"/>
              <w:right w:val="single" w:sz="4" w:space="0" w:color="auto"/>
            </w:tcBorders>
            <w:shd w:val="clear" w:color="auto" w:fill="auto"/>
            <w:noWrap/>
            <w:vAlign w:val="bottom"/>
          </w:tcPr>
          <w:p w14:paraId="405F4E87" w14:textId="42744B9F"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   </w:t>
            </w:r>
          </w:p>
        </w:tc>
        <w:tc>
          <w:tcPr>
            <w:tcW w:w="1192" w:type="dxa"/>
            <w:tcBorders>
              <w:top w:val="single" w:sz="4" w:space="0" w:color="auto"/>
              <w:left w:val="nil"/>
              <w:bottom w:val="nil"/>
              <w:right w:val="single" w:sz="8" w:space="0" w:color="auto"/>
            </w:tcBorders>
            <w:shd w:val="clear" w:color="auto" w:fill="auto"/>
            <w:noWrap/>
            <w:vAlign w:val="bottom"/>
          </w:tcPr>
          <w:p w14:paraId="23546CFB" w14:textId="6939C5F0" w:rsidR="002C7AEB" w:rsidRPr="002C7AEB" w:rsidRDefault="002C7AEB" w:rsidP="002C7AEB">
            <w:pPr>
              <w:jc w:val="right"/>
              <w:rPr>
                <w:rFonts w:ascii="Arial" w:hAnsi="Arial" w:cs="Arial"/>
                <w:color w:val="000000"/>
                <w:sz w:val="16"/>
                <w:szCs w:val="18"/>
                <w:lang w:eastAsia="es-AR"/>
              </w:rPr>
            </w:pPr>
            <w:r w:rsidRPr="002C7AEB">
              <w:rPr>
                <w:rFonts w:ascii="Arial" w:hAnsi="Arial" w:cs="Arial"/>
                <w:sz w:val="16"/>
                <w:szCs w:val="18"/>
              </w:rPr>
              <w:t xml:space="preserve"> -   </w:t>
            </w:r>
          </w:p>
        </w:tc>
      </w:tr>
      <w:tr w:rsidR="002C7AEB" w:rsidRPr="00E74A5E" w14:paraId="64AEA646" w14:textId="77777777" w:rsidTr="002E1AF6">
        <w:trPr>
          <w:trHeight w:val="245"/>
          <w:jc w:val="center"/>
        </w:trPr>
        <w:tc>
          <w:tcPr>
            <w:tcW w:w="440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E56E743" w14:textId="77777777" w:rsidR="002C7AEB" w:rsidRPr="00613EB0" w:rsidRDefault="002C7AEB" w:rsidP="002C7AEB">
            <w:pPr>
              <w:jc w:val="both"/>
              <w:rPr>
                <w:rFonts w:ascii="Arial" w:hAnsi="Arial" w:cs="Arial"/>
                <w:b/>
                <w:color w:val="000000"/>
                <w:sz w:val="16"/>
                <w:szCs w:val="16"/>
                <w:lang w:eastAsia="es-AR"/>
              </w:rPr>
            </w:pPr>
            <w:r w:rsidRPr="00613EB0">
              <w:rPr>
                <w:rFonts w:ascii="Arial" w:hAnsi="Arial" w:cs="Arial"/>
                <w:b/>
                <w:color w:val="000000"/>
                <w:sz w:val="16"/>
                <w:szCs w:val="16"/>
                <w:lang w:eastAsia="es-AR"/>
              </w:rPr>
              <w:t> </w:t>
            </w:r>
          </w:p>
        </w:tc>
        <w:tc>
          <w:tcPr>
            <w:tcW w:w="1275" w:type="dxa"/>
            <w:tcBorders>
              <w:top w:val="single" w:sz="8" w:space="0" w:color="auto"/>
              <w:left w:val="nil"/>
              <w:bottom w:val="single" w:sz="8" w:space="0" w:color="auto"/>
              <w:right w:val="single" w:sz="4" w:space="0" w:color="auto"/>
            </w:tcBorders>
            <w:shd w:val="clear" w:color="auto" w:fill="auto"/>
            <w:noWrap/>
            <w:vAlign w:val="bottom"/>
          </w:tcPr>
          <w:p w14:paraId="06F2A7C5" w14:textId="197F6D91" w:rsidR="002C7AEB" w:rsidRPr="00CE3C86" w:rsidRDefault="002C7AEB" w:rsidP="002C7AEB">
            <w:pPr>
              <w:jc w:val="right"/>
              <w:rPr>
                <w:rFonts w:ascii="Arial" w:hAnsi="Arial" w:cs="Arial"/>
                <w:b/>
                <w:bCs/>
                <w:color w:val="000000"/>
                <w:sz w:val="16"/>
                <w:szCs w:val="16"/>
              </w:rPr>
            </w:pPr>
            <w:r w:rsidRPr="002C7AEB">
              <w:rPr>
                <w:rFonts w:ascii="Arial" w:hAnsi="Arial" w:cs="Arial"/>
                <w:b/>
                <w:bCs/>
                <w:color w:val="000000"/>
                <w:sz w:val="16"/>
                <w:szCs w:val="16"/>
              </w:rPr>
              <w:t xml:space="preserve"> 151.580.016 </w:t>
            </w:r>
          </w:p>
        </w:tc>
        <w:tc>
          <w:tcPr>
            <w:tcW w:w="1211" w:type="dxa"/>
            <w:tcBorders>
              <w:top w:val="single" w:sz="8" w:space="0" w:color="auto"/>
              <w:left w:val="nil"/>
              <w:bottom w:val="single" w:sz="8" w:space="0" w:color="auto"/>
              <w:right w:val="single" w:sz="4" w:space="0" w:color="auto"/>
            </w:tcBorders>
            <w:shd w:val="clear" w:color="auto" w:fill="auto"/>
            <w:noWrap/>
            <w:vAlign w:val="bottom"/>
          </w:tcPr>
          <w:p w14:paraId="261AED69" w14:textId="00C9D9B0" w:rsidR="002C7AEB" w:rsidRPr="00CE3C86" w:rsidRDefault="002C7AEB" w:rsidP="002C7AEB">
            <w:pPr>
              <w:jc w:val="right"/>
              <w:rPr>
                <w:rFonts w:ascii="Arial" w:hAnsi="Arial" w:cs="Arial"/>
                <w:b/>
                <w:bCs/>
                <w:color w:val="000000"/>
                <w:sz w:val="16"/>
                <w:szCs w:val="16"/>
              </w:rPr>
            </w:pPr>
            <w:r w:rsidRPr="002C7AEB">
              <w:rPr>
                <w:rFonts w:ascii="Arial" w:hAnsi="Arial" w:cs="Arial"/>
                <w:b/>
                <w:bCs/>
                <w:color w:val="000000"/>
                <w:sz w:val="16"/>
                <w:szCs w:val="16"/>
              </w:rPr>
              <w:t xml:space="preserve"> 149.958.967 </w:t>
            </w:r>
          </w:p>
        </w:tc>
        <w:tc>
          <w:tcPr>
            <w:tcW w:w="197" w:type="dxa"/>
            <w:tcBorders>
              <w:top w:val="single" w:sz="8" w:space="0" w:color="auto"/>
              <w:left w:val="nil"/>
              <w:bottom w:val="single" w:sz="8" w:space="0" w:color="auto"/>
              <w:right w:val="single" w:sz="4" w:space="0" w:color="auto"/>
            </w:tcBorders>
            <w:shd w:val="clear" w:color="auto" w:fill="auto"/>
            <w:noWrap/>
            <w:vAlign w:val="bottom"/>
          </w:tcPr>
          <w:p w14:paraId="72129B80" w14:textId="016915F5" w:rsidR="002C7AEB" w:rsidRPr="00CE3C86" w:rsidRDefault="002C7AEB" w:rsidP="002C7AEB">
            <w:pPr>
              <w:jc w:val="right"/>
              <w:rPr>
                <w:rFonts w:ascii="Arial" w:hAnsi="Arial" w:cs="Arial"/>
                <w:b/>
                <w:bCs/>
                <w:color w:val="000000"/>
                <w:sz w:val="16"/>
                <w:szCs w:val="16"/>
                <w:lang w:eastAsia="es-AR"/>
              </w:rPr>
            </w:pPr>
          </w:p>
        </w:tc>
        <w:tc>
          <w:tcPr>
            <w:tcW w:w="1104" w:type="dxa"/>
            <w:tcBorders>
              <w:top w:val="single" w:sz="8" w:space="0" w:color="auto"/>
              <w:left w:val="nil"/>
              <w:bottom w:val="single" w:sz="8" w:space="0" w:color="auto"/>
              <w:right w:val="single" w:sz="4" w:space="0" w:color="auto"/>
            </w:tcBorders>
            <w:shd w:val="clear" w:color="auto" w:fill="auto"/>
            <w:noWrap/>
            <w:vAlign w:val="bottom"/>
          </w:tcPr>
          <w:p w14:paraId="4EE46CD8" w14:textId="005C4D02" w:rsidR="002C7AEB" w:rsidRPr="002C7AEB" w:rsidRDefault="002C7AEB" w:rsidP="002C7AEB">
            <w:pPr>
              <w:jc w:val="right"/>
              <w:rPr>
                <w:rFonts w:ascii="Arial" w:hAnsi="Arial" w:cs="Arial"/>
                <w:b/>
                <w:bCs/>
                <w:color w:val="000000"/>
                <w:sz w:val="16"/>
                <w:szCs w:val="18"/>
                <w:lang w:eastAsia="es-AR"/>
              </w:rPr>
            </w:pPr>
            <w:r w:rsidRPr="002C7AEB">
              <w:rPr>
                <w:rFonts w:ascii="Arial" w:hAnsi="Arial" w:cs="Arial"/>
                <w:b/>
                <w:sz w:val="16"/>
                <w:szCs w:val="18"/>
              </w:rPr>
              <w:t xml:space="preserve"> 6.825.319 </w:t>
            </w:r>
          </w:p>
        </w:tc>
        <w:tc>
          <w:tcPr>
            <w:tcW w:w="1001" w:type="dxa"/>
            <w:tcBorders>
              <w:top w:val="single" w:sz="8" w:space="0" w:color="auto"/>
              <w:left w:val="nil"/>
              <w:bottom w:val="single" w:sz="8" w:space="0" w:color="auto"/>
              <w:right w:val="single" w:sz="4" w:space="0" w:color="auto"/>
            </w:tcBorders>
            <w:shd w:val="clear" w:color="auto" w:fill="auto"/>
            <w:noWrap/>
            <w:vAlign w:val="bottom"/>
          </w:tcPr>
          <w:p w14:paraId="2C307150" w14:textId="3BB201FD" w:rsidR="002C7AEB" w:rsidRPr="002C7AEB" w:rsidRDefault="002C7AEB" w:rsidP="002C7AEB">
            <w:pPr>
              <w:jc w:val="right"/>
              <w:rPr>
                <w:rFonts w:ascii="Arial" w:hAnsi="Arial" w:cs="Arial"/>
                <w:b/>
                <w:bCs/>
                <w:color w:val="000000"/>
                <w:sz w:val="16"/>
                <w:szCs w:val="18"/>
                <w:lang w:eastAsia="es-AR"/>
              </w:rPr>
            </w:pPr>
            <w:r w:rsidRPr="002C7AEB">
              <w:rPr>
                <w:rFonts w:ascii="Arial" w:hAnsi="Arial" w:cs="Arial"/>
                <w:b/>
                <w:sz w:val="16"/>
                <w:szCs w:val="18"/>
              </w:rPr>
              <w:t xml:space="preserve"> -   </w:t>
            </w:r>
          </w:p>
        </w:tc>
        <w:tc>
          <w:tcPr>
            <w:tcW w:w="1192" w:type="dxa"/>
            <w:tcBorders>
              <w:top w:val="single" w:sz="8" w:space="0" w:color="auto"/>
              <w:left w:val="nil"/>
              <w:bottom w:val="single" w:sz="8" w:space="0" w:color="auto"/>
              <w:right w:val="single" w:sz="8" w:space="0" w:color="auto"/>
            </w:tcBorders>
            <w:shd w:val="clear" w:color="auto" w:fill="auto"/>
            <w:noWrap/>
            <w:vAlign w:val="bottom"/>
          </w:tcPr>
          <w:p w14:paraId="5977D18B" w14:textId="0E17B6E8" w:rsidR="002C7AEB" w:rsidRPr="002C7AEB" w:rsidRDefault="002C7AEB" w:rsidP="002C7AEB">
            <w:pPr>
              <w:jc w:val="right"/>
              <w:rPr>
                <w:rFonts w:ascii="Arial" w:hAnsi="Arial" w:cs="Arial"/>
                <w:b/>
                <w:bCs/>
                <w:color w:val="000000"/>
                <w:sz w:val="16"/>
                <w:szCs w:val="18"/>
                <w:lang w:eastAsia="es-AR"/>
              </w:rPr>
            </w:pPr>
            <w:r w:rsidRPr="002C7AEB">
              <w:rPr>
                <w:rFonts w:ascii="Arial" w:hAnsi="Arial" w:cs="Arial"/>
                <w:b/>
                <w:sz w:val="16"/>
                <w:szCs w:val="18"/>
              </w:rPr>
              <w:t xml:space="preserve"> 143.133.648 </w:t>
            </w:r>
          </w:p>
        </w:tc>
      </w:tr>
    </w:tbl>
    <w:p w14:paraId="44F5F9AE" w14:textId="32192847" w:rsidR="00F02303" w:rsidRDefault="00F02303" w:rsidP="00656E62">
      <w:pPr>
        <w:spacing w:after="160" w:line="259" w:lineRule="auto"/>
        <w:jc w:val="both"/>
        <w:rPr>
          <w:rFonts w:ascii="Arial" w:eastAsia="Calibri" w:hAnsi="Arial" w:cs="Arial"/>
          <w:b/>
          <w:sz w:val="20"/>
        </w:rPr>
      </w:pPr>
    </w:p>
    <w:tbl>
      <w:tblPr>
        <w:tblW w:w="10466" w:type="dxa"/>
        <w:tblInd w:w="-923" w:type="dxa"/>
        <w:tblCellMar>
          <w:left w:w="70" w:type="dxa"/>
          <w:right w:w="70" w:type="dxa"/>
        </w:tblCellMar>
        <w:tblLook w:val="04A0" w:firstRow="1" w:lastRow="0" w:firstColumn="1" w:lastColumn="0" w:noHBand="0" w:noVBand="1"/>
      </w:tblPr>
      <w:tblGrid>
        <w:gridCol w:w="4386"/>
        <w:gridCol w:w="1402"/>
        <w:gridCol w:w="1402"/>
        <w:gridCol w:w="193"/>
        <w:gridCol w:w="1003"/>
        <w:gridCol w:w="1003"/>
        <w:gridCol w:w="1077"/>
      </w:tblGrid>
      <w:tr w:rsidR="00DB7AF1" w:rsidRPr="00A70755" w14:paraId="35C37457" w14:textId="77777777" w:rsidTr="00EC1700">
        <w:trPr>
          <w:trHeight w:val="366"/>
          <w:tblHeader/>
        </w:trPr>
        <w:tc>
          <w:tcPr>
            <w:tcW w:w="4386" w:type="dxa"/>
            <w:tcBorders>
              <w:top w:val="single" w:sz="8" w:space="0" w:color="auto"/>
              <w:left w:val="single" w:sz="8" w:space="0" w:color="auto"/>
              <w:bottom w:val="nil"/>
              <w:right w:val="single" w:sz="4" w:space="0" w:color="auto"/>
            </w:tcBorders>
            <w:shd w:val="clear" w:color="auto" w:fill="auto"/>
            <w:noWrap/>
            <w:vAlign w:val="center"/>
            <w:hideMark/>
          </w:tcPr>
          <w:p w14:paraId="517F0F69" w14:textId="02E54D2B" w:rsidR="00DB7AF1" w:rsidRPr="00613EB0" w:rsidRDefault="002C7AEB" w:rsidP="002F65FB">
            <w:pPr>
              <w:jc w:val="center"/>
              <w:rPr>
                <w:rFonts w:ascii="Arial" w:hAnsi="Arial" w:cs="Arial"/>
                <w:b/>
                <w:bCs/>
                <w:i/>
                <w:iCs/>
                <w:sz w:val="16"/>
                <w:szCs w:val="16"/>
                <w:lang w:eastAsia="es-AR"/>
              </w:rPr>
            </w:pPr>
            <w:r w:rsidRPr="00BA7A6B">
              <w:rPr>
                <w:rFonts w:ascii="Arial" w:hAnsi="Arial" w:cs="Arial"/>
                <w:b/>
                <w:bCs/>
                <w:i/>
                <w:iCs/>
                <w:sz w:val="16"/>
                <w:szCs w:val="16"/>
                <w:lang w:eastAsia="es-AR"/>
              </w:rPr>
              <w:lastRenderedPageBreak/>
              <w:t>31-12-2019</w:t>
            </w:r>
          </w:p>
        </w:tc>
        <w:tc>
          <w:tcPr>
            <w:tcW w:w="1402" w:type="dxa"/>
            <w:tcBorders>
              <w:top w:val="single" w:sz="8" w:space="0" w:color="auto"/>
              <w:left w:val="nil"/>
              <w:bottom w:val="nil"/>
              <w:right w:val="single" w:sz="4" w:space="0" w:color="auto"/>
            </w:tcBorders>
            <w:shd w:val="clear" w:color="auto" w:fill="auto"/>
            <w:vAlign w:val="center"/>
            <w:hideMark/>
          </w:tcPr>
          <w:p w14:paraId="127EFF19"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Valor contable</w:t>
            </w:r>
          </w:p>
        </w:tc>
        <w:tc>
          <w:tcPr>
            <w:tcW w:w="1402" w:type="dxa"/>
            <w:tcBorders>
              <w:top w:val="single" w:sz="8" w:space="0" w:color="auto"/>
              <w:left w:val="nil"/>
              <w:bottom w:val="nil"/>
              <w:right w:val="single" w:sz="4" w:space="0" w:color="auto"/>
            </w:tcBorders>
            <w:shd w:val="clear" w:color="auto" w:fill="auto"/>
            <w:vAlign w:val="center"/>
            <w:hideMark/>
          </w:tcPr>
          <w:p w14:paraId="2D0D0E4B"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Valor razonable</w:t>
            </w:r>
          </w:p>
        </w:tc>
        <w:tc>
          <w:tcPr>
            <w:tcW w:w="193" w:type="dxa"/>
            <w:tcBorders>
              <w:top w:val="single" w:sz="8" w:space="0" w:color="auto"/>
              <w:left w:val="nil"/>
              <w:bottom w:val="nil"/>
              <w:right w:val="single" w:sz="4" w:space="0" w:color="auto"/>
            </w:tcBorders>
            <w:shd w:val="clear" w:color="auto" w:fill="auto"/>
            <w:vAlign w:val="center"/>
            <w:hideMark/>
          </w:tcPr>
          <w:p w14:paraId="68EA0D2A"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 </w:t>
            </w:r>
          </w:p>
        </w:tc>
        <w:tc>
          <w:tcPr>
            <w:tcW w:w="1003" w:type="dxa"/>
            <w:tcBorders>
              <w:top w:val="single" w:sz="8" w:space="0" w:color="auto"/>
              <w:left w:val="nil"/>
              <w:bottom w:val="nil"/>
              <w:right w:val="single" w:sz="4" w:space="0" w:color="auto"/>
            </w:tcBorders>
            <w:shd w:val="clear" w:color="auto" w:fill="auto"/>
            <w:vAlign w:val="center"/>
            <w:hideMark/>
          </w:tcPr>
          <w:p w14:paraId="7607EDC1"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VR Nivel 1</w:t>
            </w:r>
          </w:p>
        </w:tc>
        <w:tc>
          <w:tcPr>
            <w:tcW w:w="1003" w:type="dxa"/>
            <w:tcBorders>
              <w:top w:val="single" w:sz="8" w:space="0" w:color="auto"/>
              <w:left w:val="nil"/>
              <w:bottom w:val="nil"/>
              <w:right w:val="single" w:sz="4" w:space="0" w:color="auto"/>
            </w:tcBorders>
            <w:shd w:val="clear" w:color="auto" w:fill="auto"/>
            <w:vAlign w:val="center"/>
            <w:hideMark/>
          </w:tcPr>
          <w:p w14:paraId="2938FBBA"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VR Nivel 2</w:t>
            </w:r>
          </w:p>
        </w:tc>
        <w:tc>
          <w:tcPr>
            <w:tcW w:w="1077" w:type="dxa"/>
            <w:tcBorders>
              <w:top w:val="single" w:sz="8" w:space="0" w:color="auto"/>
              <w:left w:val="nil"/>
              <w:bottom w:val="nil"/>
              <w:right w:val="single" w:sz="8" w:space="0" w:color="auto"/>
            </w:tcBorders>
            <w:shd w:val="clear" w:color="auto" w:fill="auto"/>
            <w:vAlign w:val="center"/>
            <w:hideMark/>
          </w:tcPr>
          <w:p w14:paraId="0A1DD6BB"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VR Nivel 3</w:t>
            </w:r>
          </w:p>
        </w:tc>
      </w:tr>
      <w:tr w:rsidR="00DB7AF1" w:rsidRPr="00A70755" w14:paraId="7E59A7BF" w14:textId="77777777" w:rsidTr="002E1AF6">
        <w:trPr>
          <w:trHeight w:val="231"/>
        </w:trPr>
        <w:tc>
          <w:tcPr>
            <w:tcW w:w="438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652EE1F" w14:textId="77777777" w:rsidR="00DB7AF1" w:rsidRPr="00613EB0" w:rsidRDefault="00DB7AF1" w:rsidP="002F65FB">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14:paraId="5685DDCC"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14:paraId="689AC056"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93" w:type="dxa"/>
            <w:tcBorders>
              <w:top w:val="single" w:sz="8" w:space="0" w:color="auto"/>
              <w:left w:val="nil"/>
              <w:bottom w:val="single" w:sz="8" w:space="0" w:color="auto"/>
              <w:right w:val="single" w:sz="4" w:space="0" w:color="auto"/>
            </w:tcBorders>
            <w:shd w:val="clear" w:color="auto" w:fill="auto"/>
            <w:vAlign w:val="center"/>
            <w:hideMark/>
          </w:tcPr>
          <w:p w14:paraId="13D18C4B"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03" w:type="dxa"/>
            <w:tcBorders>
              <w:top w:val="single" w:sz="8" w:space="0" w:color="auto"/>
              <w:left w:val="nil"/>
              <w:bottom w:val="single" w:sz="8" w:space="0" w:color="auto"/>
              <w:right w:val="single" w:sz="4" w:space="0" w:color="auto"/>
            </w:tcBorders>
            <w:shd w:val="clear" w:color="auto" w:fill="auto"/>
            <w:vAlign w:val="center"/>
            <w:hideMark/>
          </w:tcPr>
          <w:p w14:paraId="68FFE60C"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03" w:type="dxa"/>
            <w:tcBorders>
              <w:top w:val="single" w:sz="8" w:space="0" w:color="auto"/>
              <w:left w:val="nil"/>
              <w:bottom w:val="single" w:sz="8" w:space="0" w:color="auto"/>
              <w:right w:val="single" w:sz="4" w:space="0" w:color="auto"/>
            </w:tcBorders>
            <w:shd w:val="clear" w:color="auto" w:fill="auto"/>
            <w:vAlign w:val="center"/>
            <w:hideMark/>
          </w:tcPr>
          <w:p w14:paraId="3C293B2B"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14CFAE2D"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2C7AEB" w:rsidRPr="00A70755" w14:paraId="2EA70643"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hideMark/>
          </w:tcPr>
          <w:p w14:paraId="50853B74"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402" w:type="dxa"/>
            <w:tcBorders>
              <w:top w:val="nil"/>
              <w:left w:val="nil"/>
              <w:bottom w:val="single" w:sz="4" w:space="0" w:color="auto"/>
              <w:right w:val="single" w:sz="4" w:space="0" w:color="auto"/>
            </w:tcBorders>
            <w:shd w:val="clear" w:color="auto" w:fill="auto"/>
            <w:noWrap/>
            <w:vAlign w:val="bottom"/>
            <w:hideMark/>
          </w:tcPr>
          <w:p w14:paraId="2246AEBA" w14:textId="6F4DD1AE" w:rsidR="002C7AEB" w:rsidRPr="002C7AEB" w:rsidRDefault="002C7AEB" w:rsidP="002C7AEB">
            <w:pPr>
              <w:jc w:val="right"/>
              <w:rPr>
                <w:rFonts w:ascii="Arial" w:hAnsi="Arial" w:cs="Arial"/>
                <w:sz w:val="16"/>
                <w:szCs w:val="16"/>
              </w:rPr>
            </w:pPr>
            <w:r w:rsidRPr="002C7AEB">
              <w:rPr>
                <w:rFonts w:ascii="Arial" w:hAnsi="Arial" w:cs="Arial"/>
                <w:sz w:val="16"/>
                <w:szCs w:val="16"/>
              </w:rPr>
              <w:t xml:space="preserve"> 27.548.434 </w:t>
            </w:r>
          </w:p>
        </w:tc>
        <w:tc>
          <w:tcPr>
            <w:tcW w:w="1402" w:type="dxa"/>
            <w:tcBorders>
              <w:top w:val="nil"/>
              <w:left w:val="nil"/>
              <w:bottom w:val="single" w:sz="4" w:space="0" w:color="auto"/>
              <w:right w:val="single" w:sz="4" w:space="0" w:color="auto"/>
            </w:tcBorders>
            <w:shd w:val="clear" w:color="auto" w:fill="auto"/>
            <w:vAlign w:val="bottom"/>
            <w:hideMark/>
          </w:tcPr>
          <w:p w14:paraId="0CA9EA65" w14:textId="0A3C230E"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27.548.434 </w:t>
            </w:r>
          </w:p>
        </w:tc>
        <w:tc>
          <w:tcPr>
            <w:tcW w:w="193" w:type="dxa"/>
            <w:tcBorders>
              <w:top w:val="nil"/>
              <w:left w:val="nil"/>
              <w:bottom w:val="single" w:sz="4" w:space="0" w:color="auto"/>
              <w:right w:val="single" w:sz="4" w:space="0" w:color="auto"/>
            </w:tcBorders>
            <w:shd w:val="clear" w:color="auto" w:fill="auto"/>
            <w:vAlign w:val="center"/>
            <w:hideMark/>
          </w:tcPr>
          <w:p w14:paraId="6D91C97B"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nil"/>
              <w:left w:val="nil"/>
              <w:bottom w:val="single" w:sz="4" w:space="0" w:color="auto"/>
              <w:right w:val="single" w:sz="4" w:space="0" w:color="auto"/>
            </w:tcBorders>
            <w:shd w:val="clear" w:color="auto" w:fill="auto"/>
            <w:vAlign w:val="bottom"/>
            <w:hideMark/>
          </w:tcPr>
          <w:p w14:paraId="0CEB54A5" w14:textId="448907CD" w:rsidR="002C7AEB" w:rsidRPr="000B2F8E" w:rsidRDefault="002C7AEB" w:rsidP="002C7AEB">
            <w:pPr>
              <w:jc w:val="right"/>
              <w:rPr>
                <w:rFonts w:ascii="Arial" w:hAnsi="Arial" w:cs="Arial"/>
                <w:color w:val="000000"/>
                <w:sz w:val="16"/>
                <w:szCs w:val="16"/>
                <w:lang w:eastAsia="es-AR"/>
              </w:rPr>
            </w:pPr>
            <w:r w:rsidRPr="000B2F8E">
              <w:rPr>
                <w:rFonts w:ascii="Arial" w:hAnsi="Arial" w:cs="Arial"/>
                <w:sz w:val="16"/>
                <w:szCs w:val="16"/>
              </w:rPr>
              <w:t xml:space="preserve"> </w:t>
            </w:r>
            <w:r w:rsidRPr="002C7AEB">
              <w:rPr>
                <w:rFonts w:ascii="Arial" w:hAnsi="Arial" w:cs="Arial"/>
                <w:sz w:val="16"/>
                <w:szCs w:val="16"/>
              </w:rPr>
              <w:t xml:space="preserve"> 27.548.434</w:t>
            </w:r>
          </w:p>
        </w:tc>
        <w:tc>
          <w:tcPr>
            <w:tcW w:w="1003" w:type="dxa"/>
            <w:tcBorders>
              <w:top w:val="nil"/>
              <w:left w:val="nil"/>
              <w:bottom w:val="single" w:sz="4" w:space="0" w:color="auto"/>
              <w:right w:val="single" w:sz="4" w:space="0" w:color="auto"/>
            </w:tcBorders>
            <w:shd w:val="clear" w:color="auto" w:fill="auto"/>
            <w:vAlign w:val="bottom"/>
            <w:hideMark/>
          </w:tcPr>
          <w:p w14:paraId="3B1AF337"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color w:val="000000"/>
                <w:sz w:val="16"/>
                <w:szCs w:val="16"/>
                <w:lang w:eastAsia="es-AR"/>
              </w:rPr>
              <w:t>-</w:t>
            </w:r>
          </w:p>
        </w:tc>
        <w:tc>
          <w:tcPr>
            <w:tcW w:w="1077" w:type="dxa"/>
            <w:tcBorders>
              <w:top w:val="nil"/>
              <w:left w:val="nil"/>
              <w:bottom w:val="single" w:sz="4" w:space="0" w:color="auto"/>
              <w:right w:val="single" w:sz="8" w:space="0" w:color="auto"/>
            </w:tcBorders>
            <w:shd w:val="clear" w:color="auto" w:fill="auto"/>
            <w:vAlign w:val="bottom"/>
            <w:hideMark/>
          </w:tcPr>
          <w:p w14:paraId="13F16471" w14:textId="77777777" w:rsidR="002C7AEB" w:rsidRPr="00E74A5E" w:rsidRDefault="002C7AEB" w:rsidP="002C7AEB">
            <w:pPr>
              <w:jc w:val="right"/>
              <w:rPr>
                <w:rFonts w:ascii="Arial" w:hAnsi="Arial" w:cs="Arial"/>
                <w:color w:val="000000"/>
                <w:sz w:val="16"/>
                <w:szCs w:val="16"/>
                <w:lang w:eastAsia="es-AR"/>
              </w:rPr>
            </w:pPr>
            <w:r w:rsidRPr="00E74A5E">
              <w:rPr>
                <w:rFonts w:ascii="Arial" w:hAnsi="Arial" w:cs="Arial"/>
                <w:color w:val="000000"/>
                <w:sz w:val="16"/>
                <w:szCs w:val="16"/>
                <w:lang w:eastAsia="es-AR"/>
              </w:rPr>
              <w:t>-</w:t>
            </w:r>
          </w:p>
        </w:tc>
      </w:tr>
      <w:tr w:rsidR="002C7AEB" w:rsidRPr="00A70755" w14:paraId="2F3138E0"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hideMark/>
          </w:tcPr>
          <w:p w14:paraId="58A80F8E"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-Otros activos financieros</w:t>
            </w:r>
          </w:p>
        </w:tc>
        <w:tc>
          <w:tcPr>
            <w:tcW w:w="1402" w:type="dxa"/>
            <w:tcBorders>
              <w:top w:val="nil"/>
              <w:left w:val="nil"/>
              <w:bottom w:val="single" w:sz="4" w:space="0" w:color="auto"/>
              <w:right w:val="single" w:sz="4" w:space="0" w:color="auto"/>
            </w:tcBorders>
            <w:shd w:val="clear" w:color="auto" w:fill="auto"/>
            <w:noWrap/>
            <w:vAlign w:val="bottom"/>
            <w:hideMark/>
          </w:tcPr>
          <w:p w14:paraId="4269A4E9" w14:textId="28C5003A"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552.286 </w:t>
            </w:r>
          </w:p>
        </w:tc>
        <w:tc>
          <w:tcPr>
            <w:tcW w:w="1402" w:type="dxa"/>
            <w:tcBorders>
              <w:top w:val="nil"/>
              <w:left w:val="nil"/>
              <w:bottom w:val="single" w:sz="4" w:space="0" w:color="auto"/>
              <w:right w:val="single" w:sz="4" w:space="0" w:color="auto"/>
            </w:tcBorders>
            <w:shd w:val="clear" w:color="auto" w:fill="auto"/>
            <w:vAlign w:val="bottom"/>
            <w:hideMark/>
          </w:tcPr>
          <w:p w14:paraId="69E84ED1" w14:textId="146609C6"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552.286 </w:t>
            </w:r>
          </w:p>
        </w:tc>
        <w:tc>
          <w:tcPr>
            <w:tcW w:w="193" w:type="dxa"/>
            <w:tcBorders>
              <w:top w:val="nil"/>
              <w:left w:val="nil"/>
              <w:bottom w:val="single" w:sz="4" w:space="0" w:color="auto"/>
              <w:right w:val="single" w:sz="4" w:space="0" w:color="auto"/>
            </w:tcBorders>
            <w:shd w:val="clear" w:color="auto" w:fill="auto"/>
            <w:vAlign w:val="center"/>
            <w:hideMark/>
          </w:tcPr>
          <w:p w14:paraId="10248F68"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nil"/>
              <w:left w:val="nil"/>
              <w:bottom w:val="single" w:sz="4" w:space="0" w:color="auto"/>
              <w:right w:val="single" w:sz="4" w:space="0" w:color="auto"/>
            </w:tcBorders>
            <w:shd w:val="clear" w:color="auto" w:fill="auto"/>
            <w:vAlign w:val="bottom"/>
            <w:hideMark/>
          </w:tcPr>
          <w:p w14:paraId="659E3656" w14:textId="353350E5" w:rsidR="002C7AEB" w:rsidRPr="000B2F8E" w:rsidRDefault="002C7AEB" w:rsidP="002C7AEB">
            <w:pPr>
              <w:jc w:val="right"/>
              <w:rPr>
                <w:rFonts w:ascii="Arial" w:hAnsi="Arial" w:cs="Arial"/>
                <w:color w:val="000000"/>
                <w:sz w:val="16"/>
                <w:szCs w:val="16"/>
                <w:lang w:eastAsia="es-AR"/>
              </w:rPr>
            </w:pPr>
            <w:r w:rsidRPr="002C7AEB">
              <w:rPr>
                <w:rFonts w:ascii="Arial" w:hAnsi="Arial" w:cs="Arial"/>
                <w:sz w:val="16"/>
                <w:szCs w:val="16"/>
              </w:rPr>
              <w:t>552.286</w:t>
            </w:r>
          </w:p>
        </w:tc>
        <w:tc>
          <w:tcPr>
            <w:tcW w:w="1003" w:type="dxa"/>
            <w:tcBorders>
              <w:top w:val="nil"/>
              <w:left w:val="nil"/>
              <w:bottom w:val="single" w:sz="4" w:space="0" w:color="auto"/>
              <w:right w:val="single" w:sz="4" w:space="0" w:color="auto"/>
            </w:tcBorders>
            <w:shd w:val="clear" w:color="auto" w:fill="auto"/>
            <w:vAlign w:val="bottom"/>
            <w:hideMark/>
          </w:tcPr>
          <w:p w14:paraId="01976BDF"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color w:val="000000"/>
                <w:sz w:val="16"/>
                <w:szCs w:val="16"/>
                <w:lang w:eastAsia="es-AR"/>
              </w:rPr>
              <w:t>-</w:t>
            </w:r>
          </w:p>
        </w:tc>
        <w:tc>
          <w:tcPr>
            <w:tcW w:w="1077" w:type="dxa"/>
            <w:tcBorders>
              <w:top w:val="nil"/>
              <w:left w:val="nil"/>
              <w:bottom w:val="single" w:sz="4" w:space="0" w:color="auto"/>
              <w:right w:val="single" w:sz="8" w:space="0" w:color="auto"/>
            </w:tcBorders>
            <w:shd w:val="clear" w:color="auto" w:fill="auto"/>
            <w:vAlign w:val="bottom"/>
            <w:hideMark/>
          </w:tcPr>
          <w:p w14:paraId="2911E955" w14:textId="77777777" w:rsidR="002C7AEB" w:rsidRPr="00E74A5E" w:rsidRDefault="002C7AEB" w:rsidP="002C7AEB">
            <w:pPr>
              <w:jc w:val="right"/>
              <w:rPr>
                <w:rFonts w:ascii="Arial" w:hAnsi="Arial" w:cs="Arial"/>
                <w:color w:val="000000"/>
                <w:sz w:val="16"/>
                <w:szCs w:val="16"/>
                <w:lang w:eastAsia="es-AR"/>
              </w:rPr>
            </w:pPr>
            <w:r w:rsidRPr="00E74A5E">
              <w:rPr>
                <w:rFonts w:ascii="Arial" w:hAnsi="Arial" w:cs="Arial"/>
                <w:color w:val="000000"/>
                <w:sz w:val="16"/>
                <w:szCs w:val="16"/>
                <w:lang w:eastAsia="es-AR"/>
              </w:rPr>
              <w:t>-</w:t>
            </w:r>
          </w:p>
        </w:tc>
      </w:tr>
      <w:tr w:rsidR="002C7AEB" w:rsidRPr="00A70755" w14:paraId="1E557194"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hideMark/>
          </w:tcPr>
          <w:p w14:paraId="0E5FA3EF"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-Préstamos y otras financiaciones</w:t>
            </w:r>
          </w:p>
        </w:tc>
        <w:tc>
          <w:tcPr>
            <w:tcW w:w="1402" w:type="dxa"/>
            <w:tcBorders>
              <w:top w:val="nil"/>
              <w:left w:val="nil"/>
              <w:bottom w:val="single" w:sz="4" w:space="0" w:color="auto"/>
              <w:right w:val="single" w:sz="4" w:space="0" w:color="auto"/>
            </w:tcBorders>
            <w:shd w:val="clear" w:color="auto" w:fill="auto"/>
            <w:noWrap/>
            <w:vAlign w:val="bottom"/>
            <w:hideMark/>
          </w:tcPr>
          <w:p w14:paraId="0620CCA6" w14:textId="53D5B60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90.583.733 </w:t>
            </w:r>
          </w:p>
        </w:tc>
        <w:tc>
          <w:tcPr>
            <w:tcW w:w="1402" w:type="dxa"/>
            <w:tcBorders>
              <w:top w:val="nil"/>
              <w:left w:val="nil"/>
              <w:bottom w:val="single" w:sz="4" w:space="0" w:color="auto"/>
              <w:right w:val="single" w:sz="4" w:space="0" w:color="auto"/>
            </w:tcBorders>
            <w:shd w:val="clear" w:color="auto" w:fill="auto"/>
            <w:vAlign w:val="bottom"/>
            <w:hideMark/>
          </w:tcPr>
          <w:p w14:paraId="3357BCB5" w14:textId="5AB3DA2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96.145.181 </w:t>
            </w:r>
          </w:p>
        </w:tc>
        <w:tc>
          <w:tcPr>
            <w:tcW w:w="193" w:type="dxa"/>
            <w:tcBorders>
              <w:top w:val="nil"/>
              <w:left w:val="nil"/>
              <w:bottom w:val="single" w:sz="4" w:space="0" w:color="auto"/>
              <w:right w:val="single" w:sz="4" w:space="0" w:color="auto"/>
            </w:tcBorders>
            <w:shd w:val="clear" w:color="auto" w:fill="auto"/>
            <w:vAlign w:val="center"/>
            <w:hideMark/>
          </w:tcPr>
          <w:p w14:paraId="47EF3705"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nil"/>
              <w:left w:val="nil"/>
              <w:bottom w:val="single" w:sz="4" w:space="0" w:color="auto"/>
              <w:right w:val="single" w:sz="4" w:space="0" w:color="auto"/>
            </w:tcBorders>
            <w:shd w:val="clear" w:color="auto" w:fill="auto"/>
            <w:vAlign w:val="bottom"/>
            <w:hideMark/>
          </w:tcPr>
          <w:p w14:paraId="3F1E930B" w14:textId="77777777" w:rsidR="002C7AEB" w:rsidRPr="000B2F8E" w:rsidRDefault="002C7AEB" w:rsidP="002C7AEB">
            <w:pPr>
              <w:jc w:val="right"/>
              <w:rPr>
                <w:rFonts w:ascii="Arial" w:hAnsi="Arial" w:cs="Arial"/>
                <w:color w:val="000000"/>
                <w:sz w:val="16"/>
                <w:szCs w:val="16"/>
                <w:lang w:eastAsia="es-AR"/>
              </w:rPr>
            </w:pPr>
            <w:r w:rsidRPr="000B2F8E">
              <w:rPr>
                <w:rFonts w:ascii="Arial" w:hAnsi="Arial" w:cs="Arial"/>
                <w:sz w:val="16"/>
                <w:szCs w:val="16"/>
              </w:rPr>
              <w:t xml:space="preserve"> -   </w:t>
            </w:r>
          </w:p>
        </w:tc>
        <w:tc>
          <w:tcPr>
            <w:tcW w:w="1003" w:type="dxa"/>
            <w:tcBorders>
              <w:top w:val="nil"/>
              <w:left w:val="nil"/>
              <w:bottom w:val="single" w:sz="4" w:space="0" w:color="auto"/>
              <w:right w:val="single" w:sz="4" w:space="0" w:color="auto"/>
            </w:tcBorders>
            <w:shd w:val="clear" w:color="auto" w:fill="auto"/>
            <w:vAlign w:val="bottom"/>
            <w:hideMark/>
          </w:tcPr>
          <w:p w14:paraId="12FBF573" w14:textId="77777777" w:rsidR="002C7AEB" w:rsidRPr="00893B68" w:rsidRDefault="002C7AEB" w:rsidP="002C7AEB">
            <w:pPr>
              <w:jc w:val="right"/>
              <w:rPr>
                <w:rFonts w:ascii="Arial" w:hAnsi="Arial" w:cs="Arial"/>
                <w:color w:val="000000"/>
                <w:sz w:val="16"/>
                <w:szCs w:val="16"/>
                <w:lang w:eastAsia="es-AR"/>
              </w:rPr>
            </w:pPr>
          </w:p>
        </w:tc>
        <w:tc>
          <w:tcPr>
            <w:tcW w:w="1077" w:type="dxa"/>
            <w:tcBorders>
              <w:top w:val="nil"/>
              <w:left w:val="nil"/>
              <w:bottom w:val="single" w:sz="4" w:space="0" w:color="auto"/>
              <w:right w:val="single" w:sz="8" w:space="0" w:color="auto"/>
            </w:tcBorders>
            <w:shd w:val="clear" w:color="auto" w:fill="auto"/>
            <w:vAlign w:val="bottom"/>
            <w:hideMark/>
          </w:tcPr>
          <w:p w14:paraId="6703F832" w14:textId="48F22802" w:rsidR="002C7AEB" w:rsidRPr="00E74A5E" w:rsidRDefault="002C7AEB" w:rsidP="002C7AEB">
            <w:pPr>
              <w:jc w:val="right"/>
              <w:rPr>
                <w:rFonts w:ascii="Arial" w:hAnsi="Arial" w:cs="Arial"/>
                <w:color w:val="000000"/>
                <w:sz w:val="16"/>
                <w:szCs w:val="16"/>
                <w:lang w:eastAsia="es-AR"/>
              </w:rPr>
            </w:pPr>
            <w:r w:rsidRPr="00E74A5E">
              <w:rPr>
                <w:rFonts w:ascii="Arial" w:hAnsi="Arial" w:cs="Arial"/>
                <w:sz w:val="16"/>
                <w:szCs w:val="16"/>
              </w:rPr>
              <w:t xml:space="preserve"> </w:t>
            </w:r>
            <w:r w:rsidRPr="002C7AEB">
              <w:rPr>
                <w:rFonts w:ascii="Arial" w:hAnsi="Arial" w:cs="Arial"/>
                <w:sz w:val="16"/>
                <w:szCs w:val="16"/>
              </w:rPr>
              <w:t xml:space="preserve"> 96.145.181</w:t>
            </w:r>
          </w:p>
        </w:tc>
      </w:tr>
      <w:tr w:rsidR="002C7AEB" w:rsidRPr="00A70755" w14:paraId="273EFDD0"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hideMark/>
          </w:tcPr>
          <w:p w14:paraId="4EF30552"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402" w:type="dxa"/>
            <w:tcBorders>
              <w:top w:val="nil"/>
              <w:left w:val="nil"/>
              <w:bottom w:val="single" w:sz="4" w:space="0" w:color="auto"/>
              <w:right w:val="single" w:sz="4" w:space="0" w:color="auto"/>
            </w:tcBorders>
            <w:shd w:val="clear" w:color="auto" w:fill="auto"/>
            <w:noWrap/>
            <w:vAlign w:val="bottom"/>
            <w:hideMark/>
          </w:tcPr>
          <w:p w14:paraId="5C1FEA5D" w14:textId="5564835B"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3.710.578 </w:t>
            </w:r>
          </w:p>
        </w:tc>
        <w:tc>
          <w:tcPr>
            <w:tcW w:w="1402" w:type="dxa"/>
            <w:tcBorders>
              <w:top w:val="nil"/>
              <w:left w:val="nil"/>
              <w:bottom w:val="single" w:sz="4" w:space="0" w:color="auto"/>
              <w:right w:val="single" w:sz="4" w:space="0" w:color="auto"/>
            </w:tcBorders>
            <w:shd w:val="clear" w:color="auto" w:fill="auto"/>
            <w:vAlign w:val="bottom"/>
            <w:hideMark/>
          </w:tcPr>
          <w:p w14:paraId="4F6EC7E1" w14:textId="613120B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3.416.598 </w:t>
            </w:r>
          </w:p>
        </w:tc>
        <w:tc>
          <w:tcPr>
            <w:tcW w:w="193" w:type="dxa"/>
            <w:tcBorders>
              <w:top w:val="nil"/>
              <w:left w:val="nil"/>
              <w:bottom w:val="single" w:sz="4" w:space="0" w:color="auto"/>
              <w:right w:val="single" w:sz="4" w:space="0" w:color="auto"/>
            </w:tcBorders>
            <w:shd w:val="clear" w:color="auto" w:fill="auto"/>
            <w:vAlign w:val="center"/>
            <w:hideMark/>
          </w:tcPr>
          <w:p w14:paraId="67F6D143"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nil"/>
              <w:left w:val="nil"/>
              <w:bottom w:val="single" w:sz="4" w:space="0" w:color="auto"/>
              <w:right w:val="single" w:sz="4" w:space="0" w:color="auto"/>
            </w:tcBorders>
            <w:shd w:val="clear" w:color="auto" w:fill="auto"/>
            <w:vAlign w:val="bottom"/>
            <w:hideMark/>
          </w:tcPr>
          <w:p w14:paraId="02C6DEF8" w14:textId="19E3027A" w:rsidR="002C7AEB" w:rsidRPr="000B2F8E" w:rsidRDefault="002C7AEB" w:rsidP="002C7AEB">
            <w:pPr>
              <w:jc w:val="right"/>
              <w:rPr>
                <w:rFonts w:ascii="Arial" w:hAnsi="Arial" w:cs="Arial"/>
                <w:color w:val="000000"/>
                <w:sz w:val="16"/>
                <w:szCs w:val="16"/>
                <w:lang w:eastAsia="es-AR"/>
              </w:rPr>
            </w:pPr>
            <w:r w:rsidRPr="002C7AEB">
              <w:rPr>
                <w:rFonts w:ascii="Arial" w:hAnsi="Arial" w:cs="Arial"/>
                <w:sz w:val="16"/>
                <w:szCs w:val="16"/>
              </w:rPr>
              <w:t>3.416.598</w:t>
            </w:r>
          </w:p>
        </w:tc>
        <w:tc>
          <w:tcPr>
            <w:tcW w:w="1003" w:type="dxa"/>
            <w:tcBorders>
              <w:top w:val="nil"/>
              <w:left w:val="nil"/>
              <w:bottom w:val="single" w:sz="4" w:space="0" w:color="auto"/>
              <w:right w:val="single" w:sz="4" w:space="0" w:color="auto"/>
            </w:tcBorders>
            <w:shd w:val="clear" w:color="auto" w:fill="auto"/>
            <w:vAlign w:val="bottom"/>
            <w:hideMark/>
          </w:tcPr>
          <w:p w14:paraId="22648B97"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color w:val="000000"/>
                <w:sz w:val="16"/>
                <w:szCs w:val="16"/>
                <w:lang w:eastAsia="es-AR"/>
              </w:rPr>
              <w:t>-</w:t>
            </w:r>
          </w:p>
        </w:tc>
        <w:tc>
          <w:tcPr>
            <w:tcW w:w="1077" w:type="dxa"/>
            <w:tcBorders>
              <w:top w:val="nil"/>
              <w:left w:val="nil"/>
              <w:bottom w:val="single" w:sz="4" w:space="0" w:color="auto"/>
              <w:right w:val="single" w:sz="8" w:space="0" w:color="auto"/>
            </w:tcBorders>
            <w:shd w:val="clear" w:color="auto" w:fill="auto"/>
            <w:vAlign w:val="bottom"/>
            <w:hideMark/>
          </w:tcPr>
          <w:p w14:paraId="064BDBE1" w14:textId="77777777" w:rsidR="002C7AEB" w:rsidRPr="00E74A5E" w:rsidRDefault="002C7AEB" w:rsidP="002C7AEB">
            <w:pPr>
              <w:jc w:val="right"/>
              <w:rPr>
                <w:rFonts w:ascii="Arial" w:hAnsi="Arial" w:cs="Arial"/>
                <w:color w:val="000000"/>
                <w:sz w:val="16"/>
                <w:szCs w:val="16"/>
                <w:lang w:eastAsia="es-AR"/>
              </w:rPr>
            </w:pPr>
            <w:r w:rsidRPr="00E74A5E">
              <w:rPr>
                <w:rFonts w:ascii="Arial" w:hAnsi="Arial" w:cs="Arial"/>
                <w:color w:val="000000"/>
                <w:sz w:val="16"/>
                <w:szCs w:val="16"/>
                <w:lang w:eastAsia="es-AR"/>
              </w:rPr>
              <w:t>-</w:t>
            </w:r>
          </w:p>
        </w:tc>
      </w:tr>
      <w:tr w:rsidR="002C7AEB" w:rsidRPr="00A70755" w14:paraId="774E9F4F" w14:textId="77777777" w:rsidTr="002E1AF6">
        <w:trPr>
          <w:trHeight w:val="231"/>
        </w:trPr>
        <w:tc>
          <w:tcPr>
            <w:tcW w:w="438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69BDB72" w14:textId="77777777" w:rsidR="002C7AEB" w:rsidRPr="00613EB0" w:rsidRDefault="002C7AEB" w:rsidP="002C7AEB">
            <w:pPr>
              <w:rPr>
                <w:rFonts w:ascii="Arial" w:hAnsi="Arial" w:cs="Arial"/>
                <w:b/>
                <w:color w:val="000000"/>
                <w:sz w:val="16"/>
                <w:szCs w:val="16"/>
                <w:lang w:eastAsia="es-AR"/>
              </w:rPr>
            </w:pPr>
          </w:p>
        </w:tc>
        <w:tc>
          <w:tcPr>
            <w:tcW w:w="1402" w:type="dxa"/>
            <w:tcBorders>
              <w:top w:val="single" w:sz="8" w:space="0" w:color="auto"/>
              <w:left w:val="nil"/>
              <w:bottom w:val="single" w:sz="8" w:space="0" w:color="auto"/>
              <w:right w:val="single" w:sz="4" w:space="0" w:color="auto"/>
            </w:tcBorders>
            <w:shd w:val="clear" w:color="auto" w:fill="auto"/>
            <w:noWrap/>
            <w:vAlign w:val="bottom"/>
            <w:hideMark/>
          </w:tcPr>
          <w:p w14:paraId="143E77D0" w14:textId="3FDD7F41" w:rsidR="002C7AEB" w:rsidRPr="002C7AEB" w:rsidRDefault="002C7AEB" w:rsidP="002C7AEB">
            <w:pPr>
              <w:jc w:val="right"/>
              <w:rPr>
                <w:rFonts w:ascii="Arial" w:hAnsi="Arial" w:cs="Arial"/>
                <w:b/>
                <w:bCs/>
                <w:color w:val="000000"/>
                <w:sz w:val="16"/>
                <w:szCs w:val="16"/>
                <w:lang w:eastAsia="es-AR"/>
              </w:rPr>
            </w:pPr>
            <w:r w:rsidRPr="002C7AEB">
              <w:rPr>
                <w:rFonts w:ascii="Arial" w:hAnsi="Arial" w:cs="Arial"/>
                <w:b/>
                <w:sz w:val="16"/>
                <w:szCs w:val="16"/>
              </w:rPr>
              <w:t xml:space="preserve"> 122.395.031 </w:t>
            </w:r>
          </w:p>
        </w:tc>
        <w:tc>
          <w:tcPr>
            <w:tcW w:w="1402" w:type="dxa"/>
            <w:tcBorders>
              <w:top w:val="single" w:sz="8" w:space="0" w:color="auto"/>
              <w:left w:val="nil"/>
              <w:bottom w:val="single" w:sz="8" w:space="0" w:color="auto"/>
              <w:right w:val="single" w:sz="4" w:space="0" w:color="auto"/>
            </w:tcBorders>
            <w:shd w:val="clear" w:color="auto" w:fill="auto"/>
            <w:noWrap/>
            <w:vAlign w:val="bottom"/>
            <w:hideMark/>
          </w:tcPr>
          <w:p w14:paraId="3B872068" w14:textId="3686070D" w:rsidR="002C7AEB" w:rsidRPr="002C7AEB" w:rsidRDefault="002C7AEB" w:rsidP="002C7AEB">
            <w:pPr>
              <w:jc w:val="right"/>
              <w:rPr>
                <w:rFonts w:ascii="Arial" w:hAnsi="Arial" w:cs="Arial"/>
                <w:b/>
                <w:bCs/>
                <w:color w:val="000000"/>
                <w:sz w:val="16"/>
                <w:szCs w:val="16"/>
                <w:lang w:eastAsia="es-AR"/>
              </w:rPr>
            </w:pPr>
            <w:r w:rsidRPr="002C7AEB">
              <w:rPr>
                <w:rFonts w:ascii="Arial" w:hAnsi="Arial" w:cs="Arial"/>
                <w:b/>
                <w:sz w:val="16"/>
                <w:szCs w:val="16"/>
              </w:rPr>
              <w:t xml:space="preserve"> 127.662.499 </w:t>
            </w:r>
          </w:p>
        </w:tc>
        <w:tc>
          <w:tcPr>
            <w:tcW w:w="193" w:type="dxa"/>
            <w:tcBorders>
              <w:top w:val="single" w:sz="8" w:space="0" w:color="auto"/>
              <w:left w:val="nil"/>
              <w:bottom w:val="single" w:sz="8" w:space="0" w:color="auto"/>
              <w:right w:val="single" w:sz="4" w:space="0" w:color="auto"/>
            </w:tcBorders>
            <w:shd w:val="clear" w:color="auto" w:fill="auto"/>
            <w:noWrap/>
            <w:vAlign w:val="center"/>
            <w:hideMark/>
          </w:tcPr>
          <w:p w14:paraId="49F31850" w14:textId="6BC678B7" w:rsidR="002C7AEB" w:rsidRPr="00613EB0" w:rsidRDefault="002C7AEB" w:rsidP="002C7AEB">
            <w:pPr>
              <w:jc w:val="right"/>
              <w:rPr>
                <w:rFonts w:ascii="Arial" w:hAnsi="Arial" w:cs="Arial"/>
                <w:b/>
                <w:bCs/>
                <w:color w:val="000000"/>
                <w:sz w:val="16"/>
                <w:szCs w:val="16"/>
                <w:lang w:eastAsia="es-AR"/>
              </w:rPr>
            </w:pPr>
          </w:p>
        </w:tc>
        <w:tc>
          <w:tcPr>
            <w:tcW w:w="1003" w:type="dxa"/>
            <w:tcBorders>
              <w:top w:val="single" w:sz="8" w:space="0" w:color="auto"/>
              <w:left w:val="nil"/>
              <w:bottom w:val="single" w:sz="8" w:space="0" w:color="auto"/>
              <w:right w:val="single" w:sz="4" w:space="0" w:color="auto"/>
            </w:tcBorders>
            <w:shd w:val="clear" w:color="auto" w:fill="auto"/>
            <w:noWrap/>
            <w:vAlign w:val="bottom"/>
            <w:hideMark/>
          </w:tcPr>
          <w:p w14:paraId="0DF8896F" w14:textId="16DBA00A" w:rsidR="002C7AEB" w:rsidRPr="000B2F8E" w:rsidRDefault="002C7AEB" w:rsidP="002C7AEB">
            <w:pPr>
              <w:jc w:val="right"/>
              <w:rPr>
                <w:rFonts w:ascii="Arial" w:hAnsi="Arial" w:cs="Arial"/>
                <w:b/>
                <w:bCs/>
                <w:color w:val="000000"/>
                <w:sz w:val="16"/>
                <w:szCs w:val="16"/>
                <w:lang w:eastAsia="es-AR"/>
              </w:rPr>
            </w:pPr>
            <w:r w:rsidRPr="002C7AEB">
              <w:rPr>
                <w:rFonts w:ascii="Arial" w:hAnsi="Arial" w:cs="Arial"/>
                <w:b/>
                <w:sz w:val="16"/>
                <w:szCs w:val="16"/>
              </w:rPr>
              <w:t>31.517.318</w:t>
            </w:r>
          </w:p>
        </w:tc>
        <w:tc>
          <w:tcPr>
            <w:tcW w:w="1003" w:type="dxa"/>
            <w:tcBorders>
              <w:top w:val="single" w:sz="8" w:space="0" w:color="auto"/>
              <w:left w:val="nil"/>
              <w:bottom w:val="single" w:sz="8" w:space="0" w:color="auto"/>
              <w:right w:val="single" w:sz="4" w:space="0" w:color="auto"/>
            </w:tcBorders>
            <w:shd w:val="clear" w:color="auto" w:fill="auto"/>
            <w:noWrap/>
            <w:vAlign w:val="bottom"/>
            <w:hideMark/>
          </w:tcPr>
          <w:p w14:paraId="12BD2F09" w14:textId="70D61BCD" w:rsidR="002C7AEB" w:rsidRPr="00893B68" w:rsidRDefault="002C7AEB" w:rsidP="002C7AEB">
            <w:pPr>
              <w:jc w:val="right"/>
              <w:rPr>
                <w:rFonts w:ascii="Arial" w:hAnsi="Arial" w:cs="Arial"/>
                <w:b/>
                <w:bCs/>
                <w:color w:val="000000"/>
                <w:sz w:val="16"/>
                <w:szCs w:val="16"/>
                <w:lang w:eastAsia="es-AR"/>
              </w:rPr>
            </w:pPr>
            <w:r w:rsidRPr="00893B68">
              <w:rPr>
                <w:rFonts w:ascii="Arial" w:hAnsi="Arial" w:cs="Arial"/>
                <w:b/>
                <w:sz w:val="16"/>
                <w:szCs w:val="16"/>
              </w:rPr>
              <w:t>-</w:t>
            </w:r>
          </w:p>
        </w:tc>
        <w:tc>
          <w:tcPr>
            <w:tcW w:w="1077" w:type="dxa"/>
            <w:tcBorders>
              <w:top w:val="single" w:sz="8" w:space="0" w:color="auto"/>
              <w:left w:val="nil"/>
              <w:bottom w:val="single" w:sz="8" w:space="0" w:color="auto"/>
              <w:right w:val="single" w:sz="8" w:space="0" w:color="auto"/>
            </w:tcBorders>
            <w:shd w:val="clear" w:color="auto" w:fill="auto"/>
            <w:noWrap/>
            <w:vAlign w:val="bottom"/>
            <w:hideMark/>
          </w:tcPr>
          <w:p w14:paraId="7EC21939" w14:textId="68E8D036" w:rsidR="002C7AEB" w:rsidRPr="00E74A5E" w:rsidRDefault="002C7AEB" w:rsidP="002C7AEB">
            <w:pPr>
              <w:jc w:val="right"/>
              <w:rPr>
                <w:rFonts w:ascii="Arial" w:hAnsi="Arial" w:cs="Arial"/>
                <w:b/>
                <w:bCs/>
                <w:color w:val="000000"/>
                <w:sz w:val="16"/>
                <w:szCs w:val="16"/>
                <w:lang w:eastAsia="es-AR"/>
              </w:rPr>
            </w:pPr>
            <w:r>
              <w:rPr>
                <w:rFonts w:ascii="Arial" w:hAnsi="Arial" w:cs="Arial"/>
                <w:b/>
                <w:sz w:val="16"/>
                <w:szCs w:val="16"/>
              </w:rPr>
              <w:t>96.145.181</w:t>
            </w:r>
          </w:p>
        </w:tc>
      </w:tr>
      <w:tr w:rsidR="00DB7AF1" w:rsidRPr="00A70755" w14:paraId="2CE9DB65" w14:textId="77777777" w:rsidTr="002E1AF6">
        <w:trPr>
          <w:trHeight w:val="221"/>
        </w:trPr>
        <w:tc>
          <w:tcPr>
            <w:tcW w:w="4386" w:type="dxa"/>
            <w:tcBorders>
              <w:top w:val="nil"/>
              <w:left w:val="single" w:sz="8" w:space="0" w:color="auto"/>
              <w:bottom w:val="single" w:sz="4" w:space="0" w:color="auto"/>
              <w:right w:val="nil"/>
            </w:tcBorders>
            <w:shd w:val="clear" w:color="auto" w:fill="auto"/>
            <w:noWrap/>
            <w:vAlign w:val="center"/>
            <w:hideMark/>
          </w:tcPr>
          <w:p w14:paraId="1E42806E" w14:textId="77777777" w:rsidR="00DB7AF1" w:rsidRPr="00613EB0" w:rsidRDefault="00DB7AF1" w:rsidP="002F65FB">
            <w:pPr>
              <w:jc w:val="both"/>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402" w:type="dxa"/>
            <w:tcBorders>
              <w:top w:val="nil"/>
              <w:left w:val="nil"/>
              <w:bottom w:val="single" w:sz="4" w:space="0" w:color="auto"/>
              <w:right w:val="nil"/>
            </w:tcBorders>
            <w:shd w:val="clear" w:color="auto" w:fill="auto"/>
            <w:noWrap/>
            <w:vAlign w:val="bottom"/>
            <w:hideMark/>
          </w:tcPr>
          <w:p w14:paraId="7845B0A2" w14:textId="77777777" w:rsidR="00DB7AF1" w:rsidRPr="002C7AEB" w:rsidRDefault="00DB7AF1" w:rsidP="002C7AEB">
            <w:pPr>
              <w:jc w:val="right"/>
              <w:rPr>
                <w:rFonts w:ascii="Arial" w:hAnsi="Arial" w:cs="Arial"/>
                <w:b/>
                <w:bCs/>
                <w:i/>
                <w:iCs/>
                <w:color w:val="000000"/>
                <w:sz w:val="16"/>
                <w:szCs w:val="16"/>
                <w:lang w:eastAsia="es-AR"/>
              </w:rPr>
            </w:pPr>
          </w:p>
        </w:tc>
        <w:tc>
          <w:tcPr>
            <w:tcW w:w="1402" w:type="dxa"/>
            <w:tcBorders>
              <w:top w:val="nil"/>
              <w:left w:val="nil"/>
              <w:bottom w:val="single" w:sz="4" w:space="0" w:color="auto"/>
              <w:right w:val="nil"/>
            </w:tcBorders>
            <w:shd w:val="clear" w:color="auto" w:fill="auto"/>
            <w:vAlign w:val="bottom"/>
            <w:hideMark/>
          </w:tcPr>
          <w:p w14:paraId="24962B4B" w14:textId="77777777" w:rsidR="00DB7AF1" w:rsidRPr="002C7AEB" w:rsidRDefault="00DB7AF1" w:rsidP="002C7AEB">
            <w:pPr>
              <w:jc w:val="right"/>
              <w:rPr>
                <w:rFonts w:ascii="Arial" w:hAnsi="Arial" w:cs="Arial"/>
                <w:b/>
                <w:bCs/>
                <w:i/>
                <w:iCs/>
                <w:color w:val="000000"/>
                <w:sz w:val="16"/>
                <w:szCs w:val="16"/>
                <w:lang w:eastAsia="es-AR"/>
              </w:rPr>
            </w:pPr>
          </w:p>
        </w:tc>
        <w:tc>
          <w:tcPr>
            <w:tcW w:w="193" w:type="dxa"/>
            <w:tcBorders>
              <w:top w:val="nil"/>
              <w:left w:val="nil"/>
              <w:bottom w:val="single" w:sz="4" w:space="0" w:color="auto"/>
              <w:right w:val="nil"/>
            </w:tcBorders>
            <w:shd w:val="clear" w:color="auto" w:fill="auto"/>
            <w:vAlign w:val="center"/>
            <w:hideMark/>
          </w:tcPr>
          <w:p w14:paraId="30079A37" w14:textId="77777777" w:rsidR="00DB7AF1" w:rsidRPr="00613EB0" w:rsidRDefault="00DB7AF1" w:rsidP="002F65FB">
            <w:pPr>
              <w:jc w:val="right"/>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 </w:t>
            </w:r>
          </w:p>
        </w:tc>
        <w:tc>
          <w:tcPr>
            <w:tcW w:w="1003" w:type="dxa"/>
            <w:tcBorders>
              <w:top w:val="nil"/>
              <w:left w:val="nil"/>
              <w:bottom w:val="single" w:sz="4" w:space="0" w:color="auto"/>
              <w:right w:val="nil"/>
            </w:tcBorders>
            <w:shd w:val="clear" w:color="auto" w:fill="auto"/>
            <w:vAlign w:val="bottom"/>
            <w:hideMark/>
          </w:tcPr>
          <w:p w14:paraId="2EB3EBC6" w14:textId="77777777" w:rsidR="00DB7AF1" w:rsidRPr="00A70755" w:rsidRDefault="00DB7AF1" w:rsidP="002F65FB">
            <w:pPr>
              <w:jc w:val="right"/>
              <w:rPr>
                <w:rFonts w:ascii="Arial" w:hAnsi="Arial" w:cs="Arial"/>
                <w:b/>
                <w:bCs/>
                <w:i/>
                <w:iCs/>
                <w:color w:val="000000"/>
                <w:sz w:val="16"/>
                <w:szCs w:val="16"/>
                <w:lang w:eastAsia="es-AR"/>
              </w:rPr>
            </w:pPr>
          </w:p>
        </w:tc>
        <w:tc>
          <w:tcPr>
            <w:tcW w:w="1003" w:type="dxa"/>
            <w:tcBorders>
              <w:top w:val="nil"/>
              <w:left w:val="nil"/>
              <w:bottom w:val="single" w:sz="4" w:space="0" w:color="auto"/>
              <w:right w:val="nil"/>
            </w:tcBorders>
            <w:shd w:val="clear" w:color="auto" w:fill="auto"/>
            <w:vAlign w:val="bottom"/>
            <w:hideMark/>
          </w:tcPr>
          <w:p w14:paraId="4768E2D2" w14:textId="77777777" w:rsidR="00DB7AF1" w:rsidRPr="00A70755" w:rsidRDefault="00DB7AF1" w:rsidP="002F65FB">
            <w:pPr>
              <w:jc w:val="right"/>
              <w:rPr>
                <w:rFonts w:ascii="Arial" w:hAnsi="Arial" w:cs="Arial"/>
                <w:b/>
                <w:bCs/>
                <w:i/>
                <w:iCs/>
                <w:color w:val="000000"/>
                <w:sz w:val="16"/>
                <w:szCs w:val="16"/>
                <w:lang w:eastAsia="es-AR"/>
              </w:rPr>
            </w:pPr>
          </w:p>
        </w:tc>
        <w:tc>
          <w:tcPr>
            <w:tcW w:w="1077" w:type="dxa"/>
            <w:tcBorders>
              <w:top w:val="nil"/>
              <w:left w:val="nil"/>
              <w:bottom w:val="single" w:sz="4" w:space="0" w:color="auto"/>
              <w:right w:val="single" w:sz="8" w:space="0" w:color="auto"/>
            </w:tcBorders>
            <w:shd w:val="clear" w:color="auto" w:fill="auto"/>
            <w:vAlign w:val="bottom"/>
            <w:hideMark/>
          </w:tcPr>
          <w:p w14:paraId="1DD26E9A" w14:textId="77777777" w:rsidR="00DB7AF1" w:rsidRPr="00A70755" w:rsidRDefault="00DB7AF1" w:rsidP="002F65FB">
            <w:pPr>
              <w:jc w:val="right"/>
              <w:rPr>
                <w:rFonts w:ascii="Arial" w:hAnsi="Arial" w:cs="Arial"/>
                <w:b/>
                <w:bCs/>
                <w:i/>
                <w:iCs/>
                <w:color w:val="000000"/>
                <w:sz w:val="16"/>
                <w:szCs w:val="16"/>
                <w:lang w:eastAsia="es-AR"/>
              </w:rPr>
            </w:pPr>
          </w:p>
        </w:tc>
      </w:tr>
      <w:tr w:rsidR="002C7AEB" w:rsidRPr="00A70755" w14:paraId="6491147A"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hideMark/>
          </w:tcPr>
          <w:p w14:paraId="2292762E"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402" w:type="dxa"/>
            <w:tcBorders>
              <w:top w:val="nil"/>
              <w:left w:val="nil"/>
              <w:bottom w:val="single" w:sz="4" w:space="0" w:color="auto"/>
              <w:right w:val="single" w:sz="4" w:space="0" w:color="auto"/>
            </w:tcBorders>
            <w:shd w:val="clear" w:color="auto" w:fill="auto"/>
            <w:noWrap/>
            <w:vAlign w:val="bottom"/>
            <w:hideMark/>
          </w:tcPr>
          <w:p w14:paraId="67CC76EF" w14:textId="5F3912FC"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96.736.559 </w:t>
            </w:r>
          </w:p>
        </w:tc>
        <w:tc>
          <w:tcPr>
            <w:tcW w:w="1402" w:type="dxa"/>
            <w:tcBorders>
              <w:top w:val="nil"/>
              <w:left w:val="nil"/>
              <w:bottom w:val="single" w:sz="4" w:space="0" w:color="auto"/>
              <w:right w:val="single" w:sz="4" w:space="0" w:color="auto"/>
            </w:tcBorders>
            <w:shd w:val="clear" w:color="auto" w:fill="auto"/>
            <w:vAlign w:val="bottom"/>
            <w:hideMark/>
          </w:tcPr>
          <w:p w14:paraId="29FB9FD1" w14:textId="55614191"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98.821.937 </w:t>
            </w:r>
          </w:p>
        </w:tc>
        <w:tc>
          <w:tcPr>
            <w:tcW w:w="193" w:type="dxa"/>
            <w:tcBorders>
              <w:top w:val="nil"/>
              <w:left w:val="nil"/>
              <w:bottom w:val="single" w:sz="4" w:space="0" w:color="auto"/>
              <w:right w:val="single" w:sz="4" w:space="0" w:color="auto"/>
            </w:tcBorders>
            <w:shd w:val="clear" w:color="auto" w:fill="auto"/>
            <w:vAlign w:val="center"/>
            <w:hideMark/>
          </w:tcPr>
          <w:p w14:paraId="352EEB78"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nil"/>
              <w:left w:val="nil"/>
              <w:bottom w:val="single" w:sz="4" w:space="0" w:color="auto"/>
              <w:right w:val="single" w:sz="4" w:space="0" w:color="auto"/>
            </w:tcBorders>
            <w:shd w:val="clear" w:color="auto" w:fill="auto"/>
            <w:noWrap/>
            <w:vAlign w:val="bottom"/>
            <w:hideMark/>
          </w:tcPr>
          <w:p w14:paraId="640C2C90" w14:textId="77777777" w:rsidR="002C7AEB" w:rsidRPr="000B2F8E" w:rsidRDefault="002C7AEB" w:rsidP="002C7AEB">
            <w:pPr>
              <w:jc w:val="right"/>
              <w:rPr>
                <w:rFonts w:ascii="Arial" w:hAnsi="Arial" w:cs="Arial"/>
                <w:color w:val="000000"/>
                <w:sz w:val="16"/>
                <w:szCs w:val="16"/>
                <w:lang w:eastAsia="es-AR"/>
              </w:rPr>
            </w:pPr>
            <w:r w:rsidRPr="000B2F8E">
              <w:rPr>
                <w:rFonts w:ascii="Arial" w:hAnsi="Arial" w:cs="Arial"/>
                <w:sz w:val="16"/>
                <w:szCs w:val="16"/>
              </w:rPr>
              <w:t xml:space="preserve"> -   </w:t>
            </w:r>
          </w:p>
        </w:tc>
        <w:tc>
          <w:tcPr>
            <w:tcW w:w="1003" w:type="dxa"/>
            <w:tcBorders>
              <w:top w:val="nil"/>
              <w:left w:val="nil"/>
              <w:bottom w:val="single" w:sz="4" w:space="0" w:color="auto"/>
              <w:right w:val="single" w:sz="4" w:space="0" w:color="auto"/>
            </w:tcBorders>
            <w:shd w:val="clear" w:color="auto" w:fill="auto"/>
            <w:noWrap/>
            <w:vAlign w:val="bottom"/>
            <w:hideMark/>
          </w:tcPr>
          <w:p w14:paraId="42168593"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1077" w:type="dxa"/>
            <w:tcBorders>
              <w:top w:val="nil"/>
              <w:left w:val="nil"/>
              <w:bottom w:val="single" w:sz="4" w:space="0" w:color="auto"/>
              <w:right w:val="single" w:sz="8" w:space="0" w:color="auto"/>
            </w:tcBorders>
            <w:shd w:val="clear" w:color="auto" w:fill="auto"/>
            <w:noWrap/>
            <w:vAlign w:val="bottom"/>
            <w:hideMark/>
          </w:tcPr>
          <w:p w14:paraId="750F3C81" w14:textId="098027DB" w:rsidR="002C7AEB" w:rsidRPr="00E74A5E" w:rsidRDefault="002C7AEB" w:rsidP="002C7AEB">
            <w:pPr>
              <w:jc w:val="right"/>
              <w:rPr>
                <w:rFonts w:ascii="Arial" w:hAnsi="Arial" w:cs="Arial"/>
                <w:color w:val="000000"/>
                <w:sz w:val="16"/>
                <w:szCs w:val="16"/>
                <w:lang w:eastAsia="es-AR"/>
              </w:rPr>
            </w:pPr>
            <w:r w:rsidRPr="00E74A5E">
              <w:rPr>
                <w:rFonts w:ascii="Arial" w:hAnsi="Arial" w:cs="Arial"/>
                <w:sz w:val="16"/>
                <w:szCs w:val="16"/>
              </w:rPr>
              <w:t xml:space="preserve"> </w:t>
            </w:r>
            <w:r w:rsidRPr="002C7AEB">
              <w:rPr>
                <w:rFonts w:ascii="Arial" w:hAnsi="Arial" w:cs="Arial"/>
                <w:sz w:val="16"/>
                <w:szCs w:val="16"/>
              </w:rPr>
              <w:t xml:space="preserve"> 98.821.937 </w:t>
            </w:r>
            <w:r w:rsidRPr="00E74A5E">
              <w:rPr>
                <w:rFonts w:ascii="Arial" w:hAnsi="Arial" w:cs="Arial"/>
                <w:sz w:val="16"/>
                <w:szCs w:val="16"/>
              </w:rPr>
              <w:t xml:space="preserve"> </w:t>
            </w:r>
          </w:p>
        </w:tc>
      </w:tr>
      <w:tr w:rsidR="002C7AEB" w:rsidRPr="00A70755" w14:paraId="329EEB34"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tcPr>
          <w:p w14:paraId="18CCF923" w14:textId="677A7970" w:rsidR="002C7AEB" w:rsidRPr="00613EB0" w:rsidRDefault="002C7AEB" w:rsidP="002C7AEB">
            <w:pPr>
              <w:jc w:val="both"/>
              <w:rPr>
                <w:rFonts w:ascii="Arial" w:hAnsi="Arial" w:cs="Arial"/>
                <w:color w:val="000000"/>
                <w:sz w:val="16"/>
                <w:szCs w:val="16"/>
                <w:lang w:eastAsia="es-AR"/>
              </w:rPr>
            </w:pPr>
            <w:r w:rsidRPr="002C7AEB">
              <w:rPr>
                <w:rFonts w:ascii="Arial" w:hAnsi="Arial" w:cs="Arial"/>
                <w:color w:val="000000"/>
                <w:sz w:val="16"/>
                <w:szCs w:val="16"/>
                <w:lang w:eastAsia="es-AR"/>
              </w:rPr>
              <w:t>- Operaciones de pase</w:t>
            </w:r>
          </w:p>
        </w:tc>
        <w:tc>
          <w:tcPr>
            <w:tcW w:w="1402" w:type="dxa"/>
            <w:tcBorders>
              <w:top w:val="nil"/>
              <w:left w:val="nil"/>
              <w:bottom w:val="single" w:sz="4" w:space="0" w:color="auto"/>
              <w:right w:val="single" w:sz="4" w:space="0" w:color="auto"/>
            </w:tcBorders>
            <w:shd w:val="clear" w:color="auto" w:fill="auto"/>
            <w:noWrap/>
            <w:vAlign w:val="bottom"/>
          </w:tcPr>
          <w:p w14:paraId="0A7E85D7" w14:textId="0F1D2A2D" w:rsidR="002C7AEB" w:rsidRPr="002C7AEB" w:rsidRDefault="002C7AEB" w:rsidP="002C7AEB">
            <w:pPr>
              <w:jc w:val="right"/>
              <w:rPr>
                <w:rFonts w:ascii="Arial" w:hAnsi="Arial" w:cs="Arial"/>
                <w:sz w:val="16"/>
                <w:szCs w:val="16"/>
              </w:rPr>
            </w:pPr>
            <w:r w:rsidRPr="002C7AEB">
              <w:rPr>
                <w:rFonts w:ascii="Arial" w:hAnsi="Arial" w:cs="Arial"/>
                <w:sz w:val="16"/>
                <w:szCs w:val="16"/>
              </w:rPr>
              <w:t xml:space="preserve"> 259.251 </w:t>
            </w:r>
          </w:p>
        </w:tc>
        <w:tc>
          <w:tcPr>
            <w:tcW w:w="1402" w:type="dxa"/>
            <w:tcBorders>
              <w:top w:val="nil"/>
              <w:left w:val="nil"/>
              <w:bottom w:val="single" w:sz="4" w:space="0" w:color="auto"/>
              <w:right w:val="single" w:sz="4" w:space="0" w:color="auto"/>
            </w:tcBorders>
            <w:shd w:val="clear" w:color="auto" w:fill="auto"/>
            <w:vAlign w:val="bottom"/>
          </w:tcPr>
          <w:p w14:paraId="32E13F94" w14:textId="6CE7B34C" w:rsidR="002C7AEB" w:rsidRPr="002C7AEB" w:rsidRDefault="002C7AEB" w:rsidP="002C7AEB">
            <w:pPr>
              <w:jc w:val="right"/>
              <w:rPr>
                <w:rFonts w:ascii="Arial" w:hAnsi="Arial" w:cs="Arial"/>
                <w:sz w:val="16"/>
                <w:szCs w:val="16"/>
              </w:rPr>
            </w:pPr>
            <w:r w:rsidRPr="002C7AEB">
              <w:rPr>
                <w:rFonts w:ascii="Arial" w:hAnsi="Arial" w:cs="Arial"/>
                <w:sz w:val="16"/>
                <w:szCs w:val="16"/>
              </w:rPr>
              <w:t xml:space="preserve"> 259.251 </w:t>
            </w:r>
          </w:p>
        </w:tc>
        <w:tc>
          <w:tcPr>
            <w:tcW w:w="193" w:type="dxa"/>
            <w:tcBorders>
              <w:top w:val="nil"/>
              <w:left w:val="nil"/>
              <w:bottom w:val="single" w:sz="4" w:space="0" w:color="auto"/>
              <w:right w:val="single" w:sz="4" w:space="0" w:color="auto"/>
            </w:tcBorders>
            <w:shd w:val="clear" w:color="auto" w:fill="auto"/>
            <w:vAlign w:val="center"/>
          </w:tcPr>
          <w:p w14:paraId="0650ECA2" w14:textId="77777777" w:rsidR="002C7AEB" w:rsidRPr="00613EB0" w:rsidRDefault="002C7AEB" w:rsidP="002C7AEB">
            <w:pPr>
              <w:jc w:val="right"/>
              <w:rPr>
                <w:rFonts w:ascii="Arial" w:hAnsi="Arial" w:cs="Arial"/>
                <w:color w:val="000000"/>
                <w:sz w:val="16"/>
                <w:szCs w:val="16"/>
                <w:lang w:eastAsia="es-AR"/>
              </w:rPr>
            </w:pPr>
          </w:p>
        </w:tc>
        <w:tc>
          <w:tcPr>
            <w:tcW w:w="1003" w:type="dxa"/>
            <w:tcBorders>
              <w:top w:val="nil"/>
              <w:left w:val="nil"/>
              <w:bottom w:val="single" w:sz="4" w:space="0" w:color="auto"/>
              <w:right w:val="single" w:sz="4" w:space="0" w:color="auto"/>
            </w:tcBorders>
            <w:shd w:val="clear" w:color="auto" w:fill="auto"/>
            <w:noWrap/>
            <w:vAlign w:val="bottom"/>
          </w:tcPr>
          <w:p w14:paraId="6992AA7D" w14:textId="1FFEA336" w:rsidR="002C7AEB" w:rsidRPr="000B2F8E" w:rsidRDefault="002C7AEB" w:rsidP="002C7AEB">
            <w:pPr>
              <w:jc w:val="right"/>
              <w:rPr>
                <w:rFonts w:ascii="Arial" w:hAnsi="Arial" w:cs="Arial"/>
                <w:sz w:val="16"/>
                <w:szCs w:val="16"/>
              </w:rPr>
            </w:pPr>
            <w:r w:rsidRPr="002C7AEB">
              <w:rPr>
                <w:rFonts w:ascii="Arial" w:hAnsi="Arial" w:cs="Arial"/>
                <w:sz w:val="16"/>
                <w:szCs w:val="16"/>
              </w:rPr>
              <w:t>259.251</w:t>
            </w:r>
          </w:p>
        </w:tc>
        <w:tc>
          <w:tcPr>
            <w:tcW w:w="1003" w:type="dxa"/>
            <w:tcBorders>
              <w:top w:val="nil"/>
              <w:left w:val="nil"/>
              <w:bottom w:val="single" w:sz="4" w:space="0" w:color="auto"/>
              <w:right w:val="single" w:sz="4" w:space="0" w:color="auto"/>
            </w:tcBorders>
            <w:shd w:val="clear" w:color="auto" w:fill="auto"/>
            <w:noWrap/>
            <w:vAlign w:val="bottom"/>
          </w:tcPr>
          <w:p w14:paraId="3AA35A9F" w14:textId="77777777" w:rsidR="002C7AEB" w:rsidRPr="00893B68" w:rsidRDefault="002C7AEB" w:rsidP="002C7AEB">
            <w:pPr>
              <w:jc w:val="right"/>
              <w:rPr>
                <w:rFonts w:ascii="Arial" w:hAnsi="Arial" w:cs="Arial"/>
                <w:sz w:val="16"/>
                <w:szCs w:val="16"/>
              </w:rPr>
            </w:pPr>
          </w:p>
        </w:tc>
        <w:tc>
          <w:tcPr>
            <w:tcW w:w="1077" w:type="dxa"/>
            <w:tcBorders>
              <w:top w:val="nil"/>
              <w:left w:val="nil"/>
              <w:bottom w:val="single" w:sz="4" w:space="0" w:color="auto"/>
              <w:right w:val="single" w:sz="8" w:space="0" w:color="auto"/>
            </w:tcBorders>
            <w:shd w:val="clear" w:color="auto" w:fill="auto"/>
            <w:noWrap/>
            <w:vAlign w:val="bottom"/>
          </w:tcPr>
          <w:p w14:paraId="27D85E1B" w14:textId="77777777" w:rsidR="002C7AEB" w:rsidRPr="00E74A5E" w:rsidRDefault="002C7AEB" w:rsidP="002C7AEB">
            <w:pPr>
              <w:jc w:val="right"/>
              <w:rPr>
                <w:rFonts w:ascii="Arial" w:hAnsi="Arial" w:cs="Arial"/>
                <w:sz w:val="16"/>
                <w:szCs w:val="16"/>
              </w:rPr>
            </w:pPr>
          </w:p>
        </w:tc>
      </w:tr>
      <w:tr w:rsidR="002C7AEB" w:rsidRPr="00A70755" w14:paraId="7ED8F19B"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hideMark/>
          </w:tcPr>
          <w:p w14:paraId="2CCB70A7"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-Otros pasivos financieros</w:t>
            </w:r>
          </w:p>
        </w:tc>
        <w:tc>
          <w:tcPr>
            <w:tcW w:w="1402" w:type="dxa"/>
            <w:tcBorders>
              <w:top w:val="nil"/>
              <w:left w:val="nil"/>
              <w:bottom w:val="single" w:sz="4" w:space="0" w:color="auto"/>
              <w:right w:val="single" w:sz="4" w:space="0" w:color="auto"/>
            </w:tcBorders>
            <w:shd w:val="clear" w:color="auto" w:fill="auto"/>
            <w:noWrap/>
            <w:vAlign w:val="bottom"/>
            <w:hideMark/>
          </w:tcPr>
          <w:p w14:paraId="13AD7277" w14:textId="2D039F62"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134.470 </w:t>
            </w:r>
          </w:p>
        </w:tc>
        <w:tc>
          <w:tcPr>
            <w:tcW w:w="1402" w:type="dxa"/>
            <w:tcBorders>
              <w:top w:val="nil"/>
              <w:left w:val="nil"/>
              <w:bottom w:val="single" w:sz="4" w:space="0" w:color="auto"/>
              <w:right w:val="single" w:sz="4" w:space="0" w:color="auto"/>
            </w:tcBorders>
            <w:shd w:val="clear" w:color="auto" w:fill="auto"/>
            <w:vAlign w:val="bottom"/>
            <w:hideMark/>
          </w:tcPr>
          <w:p w14:paraId="000CF0C3" w14:textId="2E98894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134.470 </w:t>
            </w:r>
          </w:p>
        </w:tc>
        <w:tc>
          <w:tcPr>
            <w:tcW w:w="193" w:type="dxa"/>
            <w:tcBorders>
              <w:top w:val="nil"/>
              <w:left w:val="nil"/>
              <w:bottom w:val="single" w:sz="4" w:space="0" w:color="auto"/>
              <w:right w:val="single" w:sz="4" w:space="0" w:color="auto"/>
            </w:tcBorders>
            <w:shd w:val="clear" w:color="auto" w:fill="auto"/>
            <w:vAlign w:val="center"/>
            <w:hideMark/>
          </w:tcPr>
          <w:p w14:paraId="0B7D1ECB"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nil"/>
              <w:left w:val="nil"/>
              <w:bottom w:val="single" w:sz="4" w:space="0" w:color="auto"/>
              <w:right w:val="single" w:sz="4" w:space="0" w:color="auto"/>
            </w:tcBorders>
            <w:shd w:val="clear" w:color="auto" w:fill="auto"/>
            <w:noWrap/>
            <w:vAlign w:val="bottom"/>
            <w:hideMark/>
          </w:tcPr>
          <w:p w14:paraId="5A12FCD4" w14:textId="4B6EB5F6" w:rsidR="002C7AEB" w:rsidRPr="000B2F8E" w:rsidRDefault="002C7AEB" w:rsidP="002C7AEB">
            <w:pPr>
              <w:jc w:val="right"/>
              <w:rPr>
                <w:rFonts w:ascii="Arial" w:hAnsi="Arial" w:cs="Arial"/>
                <w:color w:val="000000"/>
                <w:sz w:val="16"/>
                <w:szCs w:val="16"/>
                <w:lang w:eastAsia="es-AR"/>
              </w:rPr>
            </w:pPr>
            <w:r w:rsidRPr="000B2F8E">
              <w:rPr>
                <w:rFonts w:ascii="Arial" w:hAnsi="Arial" w:cs="Arial"/>
                <w:sz w:val="16"/>
                <w:szCs w:val="16"/>
              </w:rPr>
              <w:t xml:space="preserve"> </w:t>
            </w:r>
            <w:r>
              <w:rPr>
                <w:rFonts w:ascii="Arial" w:hAnsi="Arial" w:cs="Arial"/>
                <w:sz w:val="16"/>
                <w:szCs w:val="16"/>
              </w:rPr>
              <w:t>134.470</w:t>
            </w:r>
            <w:r w:rsidRPr="000B2F8E">
              <w:rPr>
                <w:rFonts w:ascii="Arial" w:hAnsi="Arial" w:cs="Arial"/>
                <w:sz w:val="16"/>
                <w:szCs w:val="16"/>
              </w:rPr>
              <w:t xml:space="preserve"> </w:t>
            </w:r>
          </w:p>
        </w:tc>
        <w:tc>
          <w:tcPr>
            <w:tcW w:w="1003" w:type="dxa"/>
            <w:tcBorders>
              <w:top w:val="nil"/>
              <w:left w:val="nil"/>
              <w:bottom w:val="single" w:sz="4" w:space="0" w:color="auto"/>
              <w:right w:val="single" w:sz="4" w:space="0" w:color="auto"/>
            </w:tcBorders>
            <w:shd w:val="clear" w:color="auto" w:fill="auto"/>
            <w:noWrap/>
            <w:vAlign w:val="bottom"/>
            <w:hideMark/>
          </w:tcPr>
          <w:p w14:paraId="257A4985"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1077" w:type="dxa"/>
            <w:tcBorders>
              <w:top w:val="nil"/>
              <w:left w:val="nil"/>
              <w:bottom w:val="single" w:sz="4" w:space="0" w:color="auto"/>
              <w:right w:val="single" w:sz="8" w:space="0" w:color="auto"/>
            </w:tcBorders>
            <w:shd w:val="clear" w:color="auto" w:fill="auto"/>
            <w:noWrap/>
            <w:vAlign w:val="bottom"/>
            <w:hideMark/>
          </w:tcPr>
          <w:p w14:paraId="5F634849" w14:textId="77777777" w:rsidR="002C7AEB" w:rsidRPr="00E74A5E" w:rsidRDefault="002C7AEB" w:rsidP="002C7AEB">
            <w:pPr>
              <w:jc w:val="right"/>
              <w:rPr>
                <w:rFonts w:ascii="Arial" w:hAnsi="Arial" w:cs="Arial"/>
                <w:color w:val="000000"/>
                <w:sz w:val="16"/>
                <w:szCs w:val="16"/>
                <w:lang w:eastAsia="es-AR"/>
              </w:rPr>
            </w:pPr>
            <w:r w:rsidRPr="00E74A5E">
              <w:rPr>
                <w:rFonts w:ascii="Arial" w:hAnsi="Arial" w:cs="Arial"/>
                <w:sz w:val="16"/>
                <w:szCs w:val="16"/>
              </w:rPr>
              <w:t xml:space="preserve"> -   </w:t>
            </w:r>
          </w:p>
        </w:tc>
      </w:tr>
      <w:tr w:rsidR="002C7AEB" w:rsidRPr="00A70755" w14:paraId="3353D64E" w14:textId="77777777" w:rsidTr="00EC1700">
        <w:trPr>
          <w:trHeight w:val="221"/>
        </w:trPr>
        <w:tc>
          <w:tcPr>
            <w:tcW w:w="4386" w:type="dxa"/>
            <w:tcBorders>
              <w:top w:val="nil"/>
              <w:left w:val="single" w:sz="8" w:space="0" w:color="auto"/>
              <w:bottom w:val="single" w:sz="4" w:space="0" w:color="auto"/>
              <w:right w:val="single" w:sz="4" w:space="0" w:color="auto"/>
            </w:tcBorders>
            <w:shd w:val="clear" w:color="auto" w:fill="auto"/>
            <w:noWrap/>
            <w:vAlign w:val="center"/>
            <w:hideMark/>
          </w:tcPr>
          <w:p w14:paraId="63B9C663"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402" w:type="dxa"/>
            <w:tcBorders>
              <w:top w:val="nil"/>
              <w:left w:val="nil"/>
              <w:bottom w:val="single" w:sz="4" w:space="0" w:color="auto"/>
              <w:right w:val="single" w:sz="4" w:space="0" w:color="auto"/>
            </w:tcBorders>
            <w:shd w:val="clear" w:color="auto" w:fill="auto"/>
            <w:noWrap/>
            <w:vAlign w:val="bottom"/>
            <w:hideMark/>
          </w:tcPr>
          <w:p w14:paraId="68FCA033" w14:textId="4A407E02"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9.714.220 </w:t>
            </w:r>
          </w:p>
        </w:tc>
        <w:tc>
          <w:tcPr>
            <w:tcW w:w="1402" w:type="dxa"/>
            <w:tcBorders>
              <w:top w:val="nil"/>
              <w:left w:val="nil"/>
              <w:bottom w:val="single" w:sz="4" w:space="0" w:color="auto"/>
              <w:right w:val="single" w:sz="4" w:space="0" w:color="auto"/>
            </w:tcBorders>
            <w:shd w:val="clear" w:color="auto" w:fill="auto"/>
            <w:vAlign w:val="bottom"/>
            <w:hideMark/>
          </w:tcPr>
          <w:p w14:paraId="3E9AB55F" w14:textId="50AEABE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10.090.800 </w:t>
            </w:r>
          </w:p>
        </w:tc>
        <w:tc>
          <w:tcPr>
            <w:tcW w:w="193" w:type="dxa"/>
            <w:tcBorders>
              <w:top w:val="nil"/>
              <w:left w:val="nil"/>
              <w:bottom w:val="single" w:sz="4" w:space="0" w:color="auto"/>
              <w:right w:val="single" w:sz="4" w:space="0" w:color="auto"/>
            </w:tcBorders>
            <w:shd w:val="clear" w:color="auto" w:fill="auto"/>
            <w:vAlign w:val="center"/>
            <w:hideMark/>
          </w:tcPr>
          <w:p w14:paraId="502CC61E"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nil"/>
              <w:left w:val="nil"/>
              <w:bottom w:val="single" w:sz="4" w:space="0" w:color="auto"/>
              <w:right w:val="single" w:sz="4" w:space="0" w:color="auto"/>
            </w:tcBorders>
            <w:shd w:val="clear" w:color="auto" w:fill="auto"/>
            <w:noWrap/>
            <w:vAlign w:val="bottom"/>
            <w:hideMark/>
          </w:tcPr>
          <w:p w14:paraId="60B9471C" w14:textId="77777777" w:rsidR="002C7AEB" w:rsidRPr="000B2F8E" w:rsidRDefault="002C7AEB" w:rsidP="002C7AEB">
            <w:pPr>
              <w:jc w:val="right"/>
              <w:rPr>
                <w:rFonts w:ascii="Arial" w:hAnsi="Arial" w:cs="Arial"/>
                <w:color w:val="000000"/>
                <w:sz w:val="16"/>
                <w:szCs w:val="16"/>
                <w:lang w:eastAsia="es-AR"/>
              </w:rPr>
            </w:pPr>
            <w:r w:rsidRPr="000B2F8E">
              <w:rPr>
                <w:rFonts w:ascii="Arial" w:hAnsi="Arial" w:cs="Arial"/>
                <w:sz w:val="16"/>
                <w:szCs w:val="16"/>
              </w:rPr>
              <w:t xml:space="preserve"> -   </w:t>
            </w:r>
          </w:p>
        </w:tc>
        <w:tc>
          <w:tcPr>
            <w:tcW w:w="1003" w:type="dxa"/>
            <w:tcBorders>
              <w:top w:val="nil"/>
              <w:left w:val="nil"/>
              <w:bottom w:val="single" w:sz="4" w:space="0" w:color="auto"/>
              <w:right w:val="single" w:sz="4" w:space="0" w:color="auto"/>
            </w:tcBorders>
            <w:shd w:val="clear" w:color="auto" w:fill="auto"/>
            <w:noWrap/>
            <w:vAlign w:val="bottom"/>
            <w:hideMark/>
          </w:tcPr>
          <w:p w14:paraId="3EE9F1B0"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1077" w:type="dxa"/>
            <w:tcBorders>
              <w:top w:val="nil"/>
              <w:left w:val="nil"/>
              <w:bottom w:val="single" w:sz="4" w:space="0" w:color="auto"/>
              <w:right w:val="single" w:sz="8" w:space="0" w:color="auto"/>
            </w:tcBorders>
            <w:shd w:val="clear" w:color="auto" w:fill="auto"/>
            <w:noWrap/>
            <w:vAlign w:val="bottom"/>
            <w:hideMark/>
          </w:tcPr>
          <w:p w14:paraId="2FE9B1B9" w14:textId="03875EE3" w:rsidR="002C7AEB" w:rsidRPr="00E74A5E" w:rsidRDefault="002C7AEB" w:rsidP="002C7AEB">
            <w:pPr>
              <w:jc w:val="right"/>
              <w:rPr>
                <w:rFonts w:ascii="Arial" w:hAnsi="Arial" w:cs="Arial"/>
                <w:color w:val="000000"/>
                <w:sz w:val="16"/>
                <w:szCs w:val="16"/>
                <w:lang w:eastAsia="es-AR"/>
              </w:rPr>
            </w:pPr>
            <w:r>
              <w:rPr>
                <w:rFonts w:ascii="Arial" w:hAnsi="Arial" w:cs="Arial"/>
                <w:sz w:val="16"/>
                <w:szCs w:val="16"/>
              </w:rPr>
              <w:t>10.090.800</w:t>
            </w:r>
            <w:r w:rsidRPr="00E74A5E">
              <w:rPr>
                <w:rFonts w:ascii="Arial" w:hAnsi="Arial" w:cs="Arial"/>
                <w:sz w:val="16"/>
                <w:szCs w:val="16"/>
              </w:rPr>
              <w:t xml:space="preserve"> </w:t>
            </w:r>
          </w:p>
        </w:tc>
      </w:tr>
      <w:tr w:rsidR="002C7AEB" w:rsidRPr="00A70755" w14:paraId="04621933" w14:textId="77777777" w:rsidTr="00EC1700">
        <w:trPr>
          <w:trHeight w:val="221"/>
        </w:trPr>
        <w:tc>
          <w:tcPr>
            <w:tcW w:w="438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514ED8"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402" w:type="dxa"/>
            <w:tcBorders>
              <w:top w:val="single" w:sz="4" w:space="0" w:color="auto"/>
              <w:left w:val="nil"/>
              <w:bottom w:val="single" w:sz="4" w:space="0" w:color="auto"/>
              <w:right w:val="single" w:sz="4" w:space="0" w:color="auto"/>
            </w:tcBorders>
            <w:shd w:val="clear" w:color="auto" w:fill="auto"/>
            <w:noWrap/>
            <w:vAlign w:val="bottom"/>
            <w:hideMark/>
          </w:tcPr>
          <w:p w14:paraId="744A8C82" w14:textId="60010F0A"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6.544.450 </w:t>
            </w:r>
          </w:p>
        </w:tc>
        <w:tc>
          <w:tcPr>
            <w:tcW w:w="1402" w:type="dxa"/>
            <w:tcBorders>
              <w:top w:val="single" w:sz="4" w:space="0" w:color="auto"/>
              <w:left w:val="nil"/>
              <w:bottom w:val="single" w:sz="4" w:space="0" w:color="auto"/>
              <w:right w:val="single" w:sz="4" w:space="0" w:color="auto"/>
            </w:tcBorders>
            <w:shd w:val="clear" w:color="auto" w:fill="auto"/>
            <w:vAlign w:val="bottom"/>
            <w:hideMark/>
          </w:tcPr>
          <w:p w14:paraId="6AFD4179" w14:textId="6CF6F2A8"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7.054.886 </w:t>
            </w:r>
          </w:p>
        </w:tc>
        <w:tc>
          <w:tcPr>
            <w:tcW w:w="193" w:type="dxa"/>
            <w:tcBorders>
              <w:top w:val="single" w:sz="4" w:space="0" w:color="auto"/>
              <w:left w:val="nil"/>
              <w:bottom w:val="single" w:sz="4" w:space="0" w:color="auto"/>
              <w:right w:val="single" w:sz="4" w:space="0" w:color="auto"/>
            </w:tcBorders>
            <w:shd w:val="clear" w:color="auto" w:fill="auto"/>
            <w:vAlign w:val="center"/>
            <w:hideMark/>
          </w:tcPr>
          <w:p w14:paraId="10C5AEAE"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14:paraId="0ACAF619" w14:textId="5C779426" w:rsidR="002C7AEB" w:rsidRPr="000B2F8E" w:rsidRDefault="002C7AEB" w:rsidP="002C7AEB">
            <w:pPr>
              <w:jc w:val="right"/>
              <w:rPr>
                <w:rFonts w:ascii="Arial" w:hAnsi="Arial" w:cs="Arial"/>
                <w:color w:val="000000"/>
                <w:sz w:val="16"/>
                <w:szCs w:val="16"/>
                <w:lang w:eastAsia="es-AR"/>
              </w:rPr>
            </w:pPr>
            <w:r>
              <w:rPr>
                <w:rFonts w:ascii="Arial" w:hAnsi="Arial" w:cs="Arial"/>
                <w:sz w:val="16"/>
                <w:szCs w:val="16"/>
              </w:rPr>
              <w:t>7.054.886</w:t>
            </w:r>
            <w:r w:rsidRPr="000B2F8E">
              <w:rPr>
                <w:rFonts w:ascii="Arial" w:hAnsi="Arial" w:cs="Arial"/>
                <w:sz w:val="16"/>
                <w:szCs w:val="16"/>
              </w:rPr>
              <w:t xml:space="preserve"> </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14:paraId="274FC8FE"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1077" w:type="dxa"/>
            <w:tcBorders>
              <w:top w:val="single" w:sz="4" w:space="0" w:color="auto"/>
              <w:left w:val="nil"/>
              <w:bottom w:val="single" w:sz="4" w:space="0" w:color="auto"/>
              <w:right w:val="single" w:sz="8" w:space="0" w:color="auto"/>
            </w:tcBorders>
            <w:shd w:val="clear" w:color="auto" w:fill="auto"/>
            <w:noWrap/>
            <w:vAlign w:val="bottom"/>
            <w:hideMark/>
          </w:tcPr>
          <w:p w14:paraId="3ADE7CAF" w14:textId="77777777" w:rsidR="002C7AEB" w:rsidRPr="00E74A5E" w:rsidRDefault="002C7AEB" w:rsidP="002C7AEB">
            <w:pPr>
              <w:jc w:val="right"/>
              <w:rPr>
                <w:rFonts w:ascii="Arial" w:hAnsi="Arial" w:cs="Arial"/>
                <w:color w:val="000000"/>
                <w:sz w:val="16"/>
                <w:szCs w:val="16"/>
                <w:lang w:eastAsia="es-AR"/>
              </w:rPr>
            </w:pPr>
            <w:r w:rsidRPr="00E74A5E">
              <w:rPr>
                <w:rFonts w:ascii="Arial" w:hAnsi="Arial" w:cs="Arial"/>
                <w:sz w:val="16"/>
                <w:szCs w:val="16"/>
              </w:rPr>
              <w:t xml:space="preserve"> -   </w:t>
            </w:r>
          </w:p>
        </w:tc>
      </w:tr>
      <w:tr w:rsidR="002C7AEB" w:rsidRPr="00A70755" w14:paraId="5C9E4C3C" w14:textId="77777777" w:rsidTr="00EC1700">
        <w:trPr>
          <w:trHeight w:val="231"/>
        </w:trPr>
        <w:tc>
          <w:tcPr>
            <w:tcW w:w="4386" w:type="dxa"/>
            <w:tcBorders>
              <w:top w:val="single" w:sz="4" w:space="0" w:color="auto"/>
              <w:left w:val="single" w:sz="8" w:space="0" w:color="auto"/>
              <w:bottom w:val="nil"/>
              <w:right w:val="single" w:sz="4" w:space="0" w:color="auto"/>
            </w:tcBorders>
            <w:shd w:val="clear" w:color="auto" w:fill="auto"/>
            <w:noWrap/>
            <w:vAlign w:val="center"/>
            <w:hideMark/>
          </w:tcPr>
          <w:p w14:paraId="426D61EA" w14:textId="77777777" w:rsidR="002C7AEB" w:rsidRPr="00613EB0" w:rsidRDefault="002C7AEB" w:rsidP="002C7AEB">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402" w:type="dxa"/>
            <w:tcBorders>
              <w:top w:val="single" w:sz="4" w:space="0" w:color="auto"/>
              <w:left w:val="nil"/>
              <w:bottom w:val="nil"/>
              <w:right w:val="single" w:sz="4" w:space="0" w:color="auto"/>
            </w:tcBorders>
            <w:shd w:val="clear" w:color="auto" w:fill="auto"/>
            <w:noWrap/>
            <w:vAlign w:val="bottom"/>
            <w:hideMark/>
          </w:tcPr>
          <w:p w14:paraId="7952242C" w14:textId="0EC2EF76"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2.285.239 </w:t>
            </w:r>
          </w:p>
        </w:tc>
        <w:tc>
          <w:tcPr>
            <w:tcW w:w="1402" w:type="dxa"/>
            <w:tcBorders>
              <w:top w:val="single" w:sz="4" w:space="0" w:color="auto"/>
              <w:left w:val="nil"/>
              <w:bottom w:val="nil"/>
              <w:right w:val="single" w:sz="4" w:space="0" w:color="auto"/>
            </w:tcBorders>
            <w:shd w:val="clear" w:color="auto" w:fill="auto"/>
            <w:vAlign w:val="bottom"/>
            <w:hideMark/>
          </w:tcPr>
          <w:p w14:paraId="5F42A7D7" w14:textId="4BA311F5" w:rsidR="002C7AEB" w:rsidRPr="002C7AEB" w:rsidRDefault="002C7AEB" w:rsidP="002C7AEB">
            <w:pPr>
              <w:jc w:val="right"/>
              <w:rPr>
                <w:rFonts w:ascii="Arial" w:hAnsi="Arial" w:cs="Arial"/>
                <w:color w:val="000000"/>
                <w:sz w:val="16"/>
                <w:szCs w:val="16"/>
                <w:lang w:eastAsia="es-AR"/>
              </w:rPr>
            </w:pPr>
            <w:r w:rsidRPr="002C7AEB">
              <w:rPr>
                <w:rFonts w:ascii="Arial" w:hAnsi="Arial" w:cs="Arial"/>
                <w:sz w:val="16"/>
                <w:szCs w:val="16"/>
              </w:rPr>
              <w:t xml:space="preserve"> 2.552.816 </w:t>
            </w:r>
          </w:p>
        </w:tc>
        <w:tc>
          <w:tcPr>
            <w:tcW w:w="193" w:type="dxa"/>
            <w:tcBorders>
              <w:top w:val="single" w:sz="4" w:space="0" w:color="auto"/>
              <w:left w:val="nil"/>
              <w:bottom w:val="nil"/>
              <w:right w:val="single" w:sz="4" w:space="0" w:color="auto"/>
            </w:tcBorders>
            <w:shd w:val="clear" w:color="auto" w:fill="auto"/>
            <w:vAlign w:val="center"/>
            <w:hideMark/>
          </w:tcPr>
          <w:p w14:paraId="1B2DC6B0" w14:textId="77777777" w:rsidR="002C7AEB" w:rsidRPr="00613EB0" w:rsidRDefault="002C7AEB" w:rsidP="002C7AE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1003" w:type="dxa"/>
            <w:tcBorders>
              <w:top w:val="single" w:sz="4" w:space="0" w:color="auto"/>
              <w:left w:val="nil"/>
              <w:bottom w:val="nil"/>
              <w:right w:val="single" w:sz="4" w:space="0" w:color="auto"/>
            </w:tcBorders>
            <w:shd w:val="clear" w:color="auto" w:fill="auto"/>
            <w:noWrap/>
            <w:vAlign w:val="bottom"/>
            <w:hideMark/>
          </w:tcPr>
          <w:p w14:paraId="462C10C6" w14:textId="0D82336C" w:rsidR="002C7AEB" w:rsidRPr="000B2F8E" w:rsidRDefault="002C7AEB" w:rsidP="002C7AEB">
            <w:pPr>
              <w:jc w:val="right"/>
              <w:rPr>
                <w:rFonts w:ascii="Arial" w:hAnsi="Arial" w:cs="Arial"/>
                <w:color w:val="000000"/>
                <w:sz w:val="16"/>
                <w:szCs w:val="16"/>
                <w:lang w:eastAsia="es-AR"/>
              </w:rPr>
            </w:pPr>
            <w:r>
              <w:rPr>
                <w:rFonts w:ascii="Arial" w:hAnsi="Arial" w:cs="Arial"/>
                <w:sz w:val="16"/>
                <w:szCs w:val="16"/>
              </w:rPr>
              <w:t>2.552.816</w:t>
            </w:r>
            <w:r w:rsidRPr="000B2F8E">
              <w:rPr>
                <w:rFonts w:ascii="Arial" w:hAnsi="Arial" w:cs="Arial"/>
                <w:sz w:val="16"/>
                <w:szCs w:val="16"/>
              </w:rPr>
              <w:t xml:space="preserve"> </w:t>
            </w:r>
          </w:p>
        </w:tc>
        <w:tc>
          <w:tcPr>
            <w:tcW w:w="1003" w:type="dxa"/>
            <w:tcBorders>
              <w:top w:val="single" w:sz="4" w:space="0" w:color="auto"/>
              <w:left w:val="nil"/>
              <w:bottom w:val="nil"/>
              <w:right w:val="single" w:sz="4" w:space="0" w:color="auto"/>
            </w:tcBorders>
            <w:shd w:val="clear" w:color="auto" w:fill="auto"/>
            <w:noWrap/>
            <w:vAlign w:val="bottom"/>
            <w:hideMark/>
          </w:tcPr>
          <w:p w14:paraId="238C56AB" w14:textId="77777777" w:rsidR="002C7AEB" w:rsidRPr="00893B68" w:rsidRDefault="002C7AEB" w:rsidP="002C7AE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1077" w:type="dxa"/>
            <w:tcBorders>
              <w:top w:val="single" w:sz="4" w:space="0" w:color="auto"/>
              <w:left w:val="nil"/>
              <w:bottom w:val="nil"/>
              <w:right w:val="single" w:sz="8" w:space="0" w:color="auto"/>
            </w:tcBorders>
            <w:shd w:val="clear" w:color="auto" w:fill="auto"/>
            <w:noWrap/>
            <w:vAlign w:val="bottom"/>
            <w:hideMark/>
          </w:tcPr>
          <w:p w14:paraId="59E5B6AF" w14:textId="77777777" w:rsidR="002C7AEB" w:rsidRPr="00E74A5E" w:rsidRDefault="002C7AEB" w:rsidP="002C7AEB">
            <w:pPr>
              <w:jc w:val="right"/>
              <w:rPr>
                <w:rFonts w:ascii="Arial" w:hAnsi="Arial" w:cs="Arial"/>
                <w:color w:val="000000"/>
                <w:sz w:val="16"/>
                <w:szCs w:val="16"/>
                <w:lang w:eastAsia="es-AR"/>
              </w:rPr>
            </w:pPr>
            <w:r w:rsidRPr="00E74A5E">
              <w:rPr>
                <w:rFonts w:ascii="Arial" w:hAnsi="Arial" w:cs="Arial"/>
                <w:sz w:val="16"/>
                <w:szCs w:val="16"/>
              </w:rPr>
              <w:t xml:space="preserve"> -   </w:t>
            </w:r>
          </w:p>
        </w:tc>
      </w:tr>
      <w:tr w:rsidR="002C7AEB" w:rsidRPr="00A70755" w14:paraId="26CB263B" w14:textId="77777777" w:rsidTr="002E1AF6">
        <w:trPr>
          <w:trHeight w:val="231"/>
        </w:trPr>
        <w:tc>
          <w:tcPr>
            <w:tcW w:w="438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FDF92E2" w14:textId="77777777" w:rsidR="002C7AEB" w:rsidRPr="00613EB0" w:rsidRDefault="002C7AEB" w:rsidP="002C7AEB">
            <w:pPr>
              <w:jc w:val="both"/>
              <w:rPr>
                <w:rFonts w:ascii="Arial" w:hAnsi="Arial" w:cs="Arial"/>
                <w:b/>
                <w:color w:val="000000"/>
                <w:sz w:val="16"/>
                <w:szCs w:val="16"/>
                <w:lang w:eastAsia="es-AR"/>
              </w:rPr>
            </w:pPr>
            <w:r w:rsidRPr="00613EB0">
              <w:rPr>
                <w:rFonts w:ascii="Arial" w:hAnsi="Arial" w:cs="Arial"/>
                <w:b/>
                <w:color w:val="000000"/>
                <w:sz w:val="16"/>
                <w:szCs w:val="16"/>
                <w:lang w:eastAsia="es-AR"/>
              </w:rPr>
              <w:t> </w:t>
            </w:r>
          </w:p>
        </w:tc>
        <w:tc>
          <w:tcPr>
            <w:tcW w:w="1402" w:type="dxa"/>
            <w:tcBorders>
              <w:top w:val="single" w:sz="8" w:space="0" w:color="auto"/>
              <w:left w:val="nil"/>
              <w:bottom w:val="single" w:sz="8" w:space="0" w:color="auto"/>
              <w:right w:val="single" w:sz="4" w:space="0" w:color="auto"/>
            </w:tcBorders>
            <w:shd w:val="clear" w:color="auto" w:fill="auto"/>
            <w:noWrap/>
            <w:vAlign w:val="bottom"/>
            <w:hideMark/>
          </w:tcPr>
          <w:p w14:paraId="7F12AFF4" w14:textId="4DE4707A" w:rsidR="002C7AEB" w:rsidRPr="002C7AEB" w:rsidRDefault="002C7AEB" w:rsidP="002C7AEB">
            <w:pPr>
              <w:jc w:val="right"/>
              <w:rPr>
                <w:rFonts w:ascii="Arial" w:hAnsi="Arial" w:cs="Arial"/>
                <w:b/>
                <w:bCs/>
                <w:color w:val="000000"/>
                <w:sz w:val="16"/>
                <w:szCs w:val="16"/>
                <w:lang w:eastAsia="es-AR"/>
              </w:rPr>
            </w:pPr>
            <w:r w:rsidRPr="002C7AEB">
              <w:rPr>
                <w:rFonts w:ascii="Arial" w:hAnsi="Arial" w:cs="Arial"/>
                <w:b/>
                <w:sz w:val="16"/>
                <w:szCs w:val="16"/>
              </w:rPr>
              <w:t xml:space="preserve"> 115.674.189 </w:t>
            </w:r>
          </w:p>
        </w:tc>
        <w:tc>
          <w:tcPr>
            <w:tcW w:w="1402" w:type="dxa"/>
            <w:tcBorders>
              <w:top w:val="single" w:sz="8" w:space="0" w:color="auto"/>
              <w:left w:val="nil"/>
              <w:bottom w:val="single" w:sz="8" w:space="0" w:color="auto"/>
              <w:right w:val="single" w:sz="4" w:space="0" w:color="auto"/>
            </w:tcBorders>
            <w:shd w:val="clear" w:color="auto" w:fill="auto"/>
            <w:noWrap/>
            <w:vAlign w:val="bottom"/>
            <w:hideMark/>
          </w:tcPr>
          <w:p w14:paraId="0AF52B44" w14:textId="7246AE67" w:rsidR="002C7AEB" w:rsidRPr="002C7AEB" w:rsidRDefault="002C7AEB" w:rsidP="002C7AEB">
            <w:pPr>
              <w:jc w:val="right"/>
              <w:rPr>
                <w:rFonts w:ascii="Arial" w:hAnsi="Arial" w:cs="Arial"/>
                <w:b/>
                <w:bCs/>
                <w:color w:val="000000"/>
                <w:sz w:val="16"/>
                <w:szCs w:val="16"/>
                <w:lang w:eastAsia="es-AR"/>
              </w:rPr>
            </w:pPr>
            <w:r w:rsidRPr="002C7AEB">
              <w:rPr>
                <w:rFonts w:ascii="Arial" w:hAnsi="Arial" w:cs="Arial"/>
                <w:b/>
                <w:sz w:val="16"/>
                <w:szCs w:val="16"/>
              </w:rPr>
              <w:t xml:space="preserve"> 118.914.160 </w:t>
            </w:r>
          </w:p>
        </w:tc>
        <w:tc>
          <w:tcPr>
            <w:tcW w:w="193" w:type="dxa"/>
            <w:tcBorders>
              <w:top w:val="single" w:sz="8" w:space="0" w:color="auto"/>
              <w:left w:val="nil"/>
              <w:bottom w:val="single" w:sz="8" w:space="0" w:color="auto"/>
              <w:right w:val="single" w:sz="4" w:space="0" w:color="auto"/>
            </w:tcBorders>
            <w:shd w:val="clear" w:color="auto" w:fill="auto"/>
            <w:noWrap/>
            <w:vAlign w:val="center"/>
            <w:hideMark/>
          </w:tcPr>
          <w:p w14:paraId="7A897A7C" w14:textId="77777777" w:rsidR="002C7AEB" w:rsidRPr="00613EB0" w:rsidRDefault="002C7AEB" w:rsidP="002C7AEB">
            <w:pPr>
              <w:jc w:val="right"/>
              <w:rPr>
                <w:rFonts w:ascii="Arial" w:hAnsi="Arial" w:cs="Arial"/>
                <w:b/>
                <w:bCs/>
                <w:color w:val="000000"/>
                <w:sz w:val="16"/>
                <w:szCs w:val="16"/>
                <w:lang w:eastAsia="es-AR"/>
              </w:rPr>
            </w:pPr>
          </w:p>
        </w:tc>
        <w:tc>
          <w:tcPr>
            <w:tcW w:w="1003" w:type="dxa"/>
            <w:tcBorders>
              <w:top w:val="single" w:sz="8" w:space="0" w:color="auto"/>
              <w:left w:val="nil"/>
              <w:bottom w:val="single" w:sz="8" w:space="0" w:color="auto"/>
              <w:right w:val="single" w:sz="4" w:space="0" w:color="auto"/>
            </w:tcBorders>
            <w:shd w:val="clear" w:color="auto" w:fill="auto"/>
            <w:noWrap/>
            <w:vAlign w:val="bottom"/>
            <w:hideMark/>
          </w:tcPr>
          <w:p w14:paraId="072CDC63" w14:textId="0BE4CC30" w:rsidR="002C7AEB" w:rsidRPr="000B2F8E" w:rsidRDefault="002C7AEB" w:rsidP="002C7AEB">
            <w:pPr>
              <w:jc w:val="right"/>
              <w:rPr>
                <w:rFonts w:ascii="Arial" w:hAnsi="Arial" w:cs="Arial"/>
                <w:b/>
                <w:bCs/>
                <w:color w:val="000000"/>
                <w:sz w:val="16"/>
                <w:szCs w:val="16"/>
                <w:lang w:eastAsia="es-AR"/>
              </w:rPr>
            </w:pPr>
            <w:r w:rsidRPr="002C7AEB">
              <w:rPr>
                <w:rFonts w:ascii="Arial" w:hAnsi="Arial" w:cs="Arial"/>
                <w:b/>
                <w:sz w:val="16"/>
                <w:szCs w:val="16"/>
              </w:rPr>
              <w:t>10.001.423</w:t>
            </w:r>
          </w:p>
        </w:tc>
        <w:tc>
          <w:tcPr>
            <w:tcW w:w="1003" w:type="dxa"/>
            <w:tcBorders>
              <w:top w:val="single" w:sz="8" w:space="0" w:color="auto"/>
              <w:left w:val="nil"/>
              <w:bottom w:val="single" w:sz="8" w:space="0" w:color="auto"/>
              <w:right w:val="single" w:sz="4" w:space="0" w:color="auto"/>
            </w:tcBorders>
            <w:shd w:val="clear" w:color="auto" w:fill="auto"/>
            <w:noWrap/>
            <w:vAlign w:val="bottom"/>
            <w:hideMark/>
          </w:tcPr>
          <w:p w14:paraId="5F0F86D3" w14:textId="77777777" w:rsidR="002C7AEB" w:rsidRPr="00893B68" w:rsidRDefault="002C7AEB" w:rsidP="002C7AEB">
            <w:pPr>
              <w:jc w:val="right"/>
              <w:rPr>
                <w:rFonts w:ascii="Arial" w:hAnsi="Arial" w:cs="Arial"/>
                <w:b/>
                <w:bCs/>
                <w:color w:val="000000"/>
                <w:sz w:val="16"/>
                <w:szCs w:val="16"/>
                <w:lang w:eastAsia="es-AR"/>
              </w:rPr>
            </w:pPr>
            <w:r w:rsidRPr="00893B68">
              <w:rPr>
                <w:rFonts w:ascii="Arial" w:hAnsi="Arial" w:cs="Arial"/>
                <w:b/>
                <w:sz w:val="16"/>
                <w:szCs w:val="16"/>
              </w:rPr>
              <w:t>-</w:t>
            </w:r>
          </w:p>
        </w:tc>
        <w:tc>
          <w:tcPr>
            <w:tcW w:w="1077" w:type="dxa"/>
            <w:tcBorders>
              <w:top w:val="single" w:sz="8" w:space="0" w:color="auto"/>
              <w:left w:val="nil"/>
              <w:bottom w:val="single" w:sz="8" w:space="0" w:color="auto"/>
              <w:right w:val="single" w:sz="8" w:space="0" w:color="auto"/>
            </w:tcBorders>
            <w:shd w:val="clear" w:color="auto" w:fill="auto"/>
            <w:noWrap/>
            <w:vAlign w:val="bottom"/>
            <w:hideMark/>
          </w:tcPr>
          <w:p w14:paraId="71B423B7" w14:textId="3D87217C" w:rsidR="002C7AEB" w:rsidRPr="00E74A5E" w:rsidRDefault="002C7AEB" w:rsidP="002C7AEB">
            <w:pPr>
              <w:jc w:val="right"/>
              <w:rPr>
                <w:rFonts w:ascii="Arial" w:hAnsi="Arial" w:cs="Arial"/>
                <w:b/>
                <w:bCs/>
                <w:color w:val="000000"/>
                <w:sz w:val="16"/>
                <w:szCs w:val="16"/>
                <w:lang w:eastAsia="es-AR"/>
              </w:rPr>
            </w:pPr>
            <w:r w:rsidRPr="002C7AEB">
              <w:rPr>
                <w:rFonts w:ascii="Arial" w:hAnsi="Arial" w:cs="Arial"/>
                <w:b/>
                <w:sz w:val="16"/>
                <w:szCs w:val="16"/>
              </w:rPr>
              <w:t>108.912.737</w:t>
            </w:r>
          </w:p>
        </w:tc>
      </w:tr>
    </w:tbl>
    <w:p w14:paraId="3AAB09C9" w14:textId="77777777" w:rsidR="005B6501" w:rsidRDefault="005B6501" w:rsidP="00656E62">
      <w:pPr>
        <w:autoSpaceDE w:val="0"/>
        <w:autoSpaceDN w:val="0"/>
        <w:adjustRightInd w:val="0"/>
        <w:jc w:val="both"/>
        <w:rPr>
          <w:rFonts w:ascii="Arial" w:eastAsia="Arial" w:hAnsi="Arial" w:cs="Arial"/>
          <w:b/>
          <w:bCs/>
          <w:noProof/>
          <w:sz w:val="20"/>
        </w:rPr>
      </w:pPr>
    </w:p>
    <w:p w14:paraId="799FD397" w14:textId="0E8D64CF" w:rsidR="00656E62" w:rsidRPr="00701F32" w:rsidRDefault="00D17399" w:rsidP="00656E62">
      <w:pPr>
        <w:autoSpaceDE w:val="0"/>
        <w:autoSpaceDN w:val="0"/>
        <w:adjustRightInd w:val="0"/>
        <w:jc w:val="both"/>
        <w:rPr>
          <w:rFonts w:ascii="Arial" w:eastAsia="Arial" w:hAnsi="Arial" w:cs="Arial"/>
          <w:b/>
          <w:bCs/>
          <w:i/>
          <w:noProof/>
          <w:sz w:val="20"/>
        </w:rPr>
      </w:pPr>
      <w:r w:rsidRPr="00BA7A6B">
        <w:rPr>
          <w:rFonts w:ascii="Arial" w:eastAsia="Arial" w:hAnsi="Arial" w:cs="Arial"/>
          <w:b/>
          <w:bCs/>
          <w:noProof/>
          <w:sz w:val="20"/>
        </w:rPr>
        <w:t>5</w:t>
      </w:r>
      <w:r w:rsidR="00656E62" w:rsidRPr="00BA7A6B">
        <w:rPr>
          <w:rFonts w:ascii="Arial" w:eastAsia="Arial" w:hAnsi="Arial" w:cs="Arial"/>
          <w:b/>
          <w:bCs/>
          <w:noProof/>
          <w:sz w:val="20"/>
        </w:rPr>
        <w:t xml:space="preserve">. </w:t>
      </w:r>
      <w:r w:rsidR="006D7FAF" w:rsidRPr="00BA7A6B">
        <w:rPr>
          <w:rFonts w:ascii="Arial" w:eastAsia="Arial" w:hAnsi="Arial" w:cs="Arial"/>
          <w:b/>
          <w:bCs/>
          <w:noProof/>
          <w:sz w:val="20"/>
        </w:rPr>
        <w:t>DISTRIBUCI</w:t>
      </w:r>
      <w:r w:rsidR="006104DE" w:rsidRPr="00BA7A6B">
        <w:rPr>
          <w:rFonts w:ascii="Arial" w:eastAsia="Arial" w:hAnsi="Arial" w:cs="Arial"/>
          <w:b/>
          <w:bCs/>
          <w:noProof/>
          <w:sz w:val="20"/>
        </w:rPr>
        <w:t>Ó</w:t>
      </w:r>
      <w:r w:rsidR="006D7FAF" w:rsidRPr="00BA7A6B">
        <w:rPr>
          <w:rFonts w:ascii="Arial" w:eastAsia="Arial" w:hAnsi="Arial" w:cs="Arial"/>
          <w:b/>
          <w:bCs/>
          <w:noProof/>
          <w:sz w:val="20"/>
        </w:rPr>
        <w:t>N DE RESULTADOS</w:t>
      </w:r>
    </w:p>
    <w:p w14:paraId="038541FE" w14:textId="77777777" w:rsidR="00656E62" w:rsidRPr="00701F32" w:rsidRDefault="00656E62" w:rsidP="00656E62">
      <w:pPr>
        <w:autoSpaceDE w:val="0"/>
        <w:autoSpaceDN w:val="0"/>
        <w:adjustRightInd w:val="0"/>
        <w:jc w:val="both"/>
        <w:rPr>
          <w:rFonts w:ascii="Arial" w:eastAsia="Arial" w:hAnsi="Arial" w:cs="Arial"/>
          <w:b/>
          <w:bCs/>
          <w:i/>
          <w:noProof/>
          <w:color w:val="FF0000"/>
          <w:sz w:val="20"/>
        </w:rPr>
      </w:pPr>
    </w:p>
    <w:p w14:paraId="6001E26E" w14:textId="42C63539" w:rsidR="00E0369E" w:rsidRDefault="00E0369E" w:rsidP="00E0369E">
      <w:pPr>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 xml:space="preserve">La Asamblea Anual Ordinaria de Accionistas celebrada el </w:t>
      </w:r>
      <w:r w:rsidR="002C7AEB">
        <w:rPr>
          <w:rFonts w:ascii="Arial" w:eastAsia="Calibri" w:hAnsi="Arial" w:cs="Arial"/>
          <w:noProof/>
          <w:color w:val="000000"/>
          <w:sz w:val="20"/>
          <w:lang w:eastAsia="es-AR"/>
        </w:rPr>
        <w:t>23</w:t>
      </w:r>
      <w:r w:rsidRPr="00701F32">
        <w:rPr>
          <w:rFonts w:ascii="Arial" w:eastAsia="Calibri" w:hAnsi="Arial" w:cs="Arial"/>
          <w:noProof/>
          <w:color w:val="000000"/>
          <w:sz w:val="20"/>
          <w:lang w:eastAsia="es-AR"/>
        </w:rPr>
        <w:t xml:space="preserve"> de abril de 20</w:t>
      </w:r>
      <w:r w:rsidR="002C7AEB">
        <w:rPr>
          <w:rFonts w:ascii="Arial" w:eastAsia="Calibri" w:hAnsi="Arial" w:cs="Arial"/>
          <w:noProof/>
          <w:color w:val="000000"/>
          <w:sz w:val="20"/>
          <w:lang w:eastAsia="es-AR"/>
        </w:rPr>
        <w:t>20</w:t>
      </w:r>
      <w:r w:rsidRPr="00701F32">
        <w:rPr>
          <w:rFonts w:ascii="Arial" w:eastAsia="Calibri" w:hAnsi="Arial" w:cs="Arial"/>
          <w:noProof/>
          <w:color w:val="000000"/>
          <w:sz w:val="20"/>
          <w:lang w:eastAsia="es-AR"/>
        </w:rPr>
        <w:t xml:space="preserve"> aprobó los estados contables al 31 de diciembre de 201</w:t>
      </w:r>
      <w:r w:rsidR="002C7AEB">
        <w:rPr>
          <w:rFonts w:ascii="Arial" w:eastAsia="Calibri" w:hAnsi="Arial" w:cs="Arial"/>
          <w:noProof/>
          <w:color w:val="000000"/>
          <w:sz w:val="20"/>
          <w:lang w:eastAsia="es-AR"/>
        </w:rPr>
        <w:t>9</w:t>
      </w:r>
      <w:r w:rsidRPr="00701F32">
        <w:rPr>
          <w:rFonts w:ascii="Arial" w:eastAsia="Calibri" w:hAnsi="Arial" w:cs="Arial"/>
          <w:noProof/>
          <w:color w:val="000000"/>
          <w:sz w:val="20"/>
          <w:lang w:eastAsia="es-AR"/>
        </w:rPr>
        <w:t xml:space="preserve"> y el tratamiento de los resultados correspondientes al ejercicio finalizado en esa fecha. Se dispuso, de acuerdo a la normativa vigente, el siguiente destino de los resultados no asignados al 31 de diciembre de 201</w:t>
      </w:r>
      <w:r w:rsidR="002C7AEB">
        <w:rPr>
          <w:rFonts w:ascii="Arial" w:eastAsia="Calibri" w:hAnsi="Arial" w:cs="Arial"/>
          <w:noProof/>
          <w:color w:val="000000"/>
          <w:sz w:val="20"/>
          <w:lang w:eastAsia="es-AR"/>
        </w:rPr>
        <w:t>9</w:t>
      </w:r>
      <w:r w:rsidRPr="00701F32">
        <w:rPr>
          <w:rFonts w:ascii="Arial" w:eastAsia="Calibri" w:hAnsi="Arial" w:cs="Arial"/>
          <w:noProof/>
          <w:color w:val="000000"/>
          <w:sz w:val="20"/>
          <w:lang w:eastAsia="es-AR"/>
        </w:rPr>
        <w:t>:</w:t>
      </w:r>
    </w:p>
    <w:p w14:paraId="43588E5F" w14:textId="77777777" w:rsidR="00E0369E" w:rsidRPr="00701F32" w:rsidRDefault="00E0369E" w:rsidP="00E0369E">
      <w:pPr>
        <w:jc w:val="both"/>
        <w:rPr>
          <w:rFonts w:ascii="Arial" w:eastAsia="Calibri" w:hAnsi="Arial" w:cs="Arial"/>
          <w:noProof/>
          <w:color w:val="000000"/>
          <w:sz w:val="20"/>
          <w:lang w:eastAsia="es-AR"/>
        </w:rPr>
      </w:pPr>
    </w:p>
    <w:p w14:paraId="375AA861" w14:textId="624B3357" w:rsidR="00E0369E" w:rsidRPr="00701F32" w:rsidRDefault="00E0369E" w:rsidP="00627289">
      <w:pPr>
        <w:numPr>
          <w:ilvl w:val="0"/>
          <w:numId w:val="28"/>
        </w:numPr>
        <w:spacing w:after="160"/>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 xml:space="preserve">A reserva legal: </w:t>
      </w:r>
      <w:r w:rsidR="00681B1C">
        <w:rPr>
          <w:rFonts w:ascii="Arial" w:eastAsia="Calibri" w:hAnsi="Arial" w:cs="Arial"/>
          <w:noProof/>
          <w:color w:val="000000"/>
          <w:sz w:val="20"/>
          <w:lang w:eastAsia="es-AR"/>
        </w:rPr>
        <w:t>665.808</w:t>
      </w:r>
    </w:p>
    <w:p w14:paraId="166A3F2D" w14:textId="760ABC45" w:rsidR="00D65F4F" w:rsidRPr="00DE5129" w:rsidRDefault="00E0369E" w:rsidP="002E1AF6">
      <w:pPr>
        <w:numPr>
          <w:ilvl w:val="0"/>
          <w:numId w:val="28"/>
        </w:numPr>
        <w:spacing w:after="160"/>
        <w:jc w:val="both"/>
        <w:rPr>
          <w:rFonts w:ascii="Arial" w:hAnsi="Arial" w:cs="Arial"/>
          <w:sz w:val="20"/>
        </w:rPr>
      </w:pPr>
      <w:r w:rsidRPr="00701F32">
        <w:rPr>
          <w:rFonts w:ascii="Arial" w:eastAsia="Calibri" w:hAnsi="Arial" w:cs="Arial"/>
          <w:noProof/>
          <w:color w:val="000000"/>
          <w:sz w:val="20"/>
          <w:lang w:eastAsia="es-AR"/>
        </w:rPr>
        <w:t xml:space="preserve">A reserva facultativa: </w:t>
      </w:r>
      <w:r w:rsidR="00681B1C">
        <w:rPr>
          <w:rFonts w:ascii="Arial" w:eastAsia="Calibri" w:hAnsi="Arial" w:cs="Arial"/>
          <w:noProof/>
          <w:color w:val="000000"/>
          <w:sz w:val="20"/>
          <w:lang w:eastAsia="es-AR"/>
        </w:rPr>
        <w:t>2.663.231</w:t>
      </w:r>
    </w:p>
    <w:p w14:paraId="7CD0DDB1" w14:textId="77777777" w:rsidR="00331C9B" w:rsidRDefault="00331C9B" w:rsidP="00656E62">
      <w:pPr>
        <w:spacing w:after="160" w:line="259" w:lineRule="auto"/>
        <w:jc w:val="both"/>
        <w:rPr>
          <w:rFonts w:ascii="Arial" w:eastAsia="Arial" w:hAnsi="Arial" w:cs="Arial"/>
          <w:b/>
          <w:sz w:val="20"/>
        </w:rPr>
      </w:pPr>
    </w:p>
    <w:p w14:paraId="46E4ABD7" w14:textId="2F62CFF6" w:rsidR="00656E62" w:rsidRPr="00701F32" w:rsidRDefault="00D17399" w:rsidP="00656E62">
      <w:pPr>
        <w:spacing w:after="160" w:line="259" w:lineRule="auto"/>
        <w:jc w:val="both"/>
        <w:rPr>
          <w:rFonts w:ascii="Arial" w:eastAsia="Arial" w:hAnsi="Arial" w:cs="Arial"/>
          <w:b/>
          <w:sz w:val="20"/>
        </w:rPr>
      </w:pPr>
      <w:r>
        <w:rPr>
          <w:rFonts w:ascii="Arial" w:eastAsia="Arial" w:hAnsi="Arial" w:cs="Arial"/>
          <w:b/>
          <w:sz w:val="20"/>
        </w:rPr>
        <w:t>6</w:t>
      </w:r>
      <w:r w:rsidR="00656E62" w:rsidRPr="00701F32">
        <w:rPr>
          <w:rFonts w:ascii="Arial" w:eastAsia="Arial" w:hAnsi="Arial" w:cs="Arial"/>
          <w:b/>
          <w:sz w:val="20"/>
        </w:rPr>
        <w:t>. C</w:t>
      </w:r>
      <w:r w:rsidR="000045FD" w:rsidRPr="00701F32">
        <w:rPr>
          <w:rFonts w:ascii="Arial" w:eastAsia="Arial" w:hAnsi="Arial" w:cs="Arial"/>
          <w:b/>
          <w:sz w:val="20"/>
        </w:rPr>
        <w:t>OMPROMISOS Y CONTINGENCIAS</w:t>
      </w:r>
      <w:r w:rsidR="00656E62" w:rsidRPr="00701F32">
        <w:rPr>
          <w:rFonts w:ascii="Arial" w:eastAsia="Arial" w:hAnsi="Arial" w:cs="Arial"/>
          <w:b/>
          <w:sz w:val="20"/>
        </w:rPr>
        <w:t xml:space="preserve"> </w:t>
      </w:r>
    </w:p>
    <w:p w14:paraId="0E3E7A61" w14:textId="74068559" w:rsidR="00656E62" w:rsidRPr="00701F32" w:rsidRDefault="00656E62" w:rsidP="00656E62">
      <w:pPr>
        <w:spacing w:after="160" w:line="259" w:lineRule="auto"/>
        <w:jc w:val="both"/>
        <w:rPr>
          <w:rFonts w:ascii="Arial" w:eastAsia="Arial" w:hAnsi="Arial" w:cs="Arial"/>
          <w:sz w:val="20"/>
        </w:rPr>
      </w:pPr>
      <w:r w:rsidRPr="00701F32">
        <w:rPr>
          <w:rFonts w:ascii="Arial" w:eastAsia="Arial" w:hAnsi="Arial" w:cs="Arial"/>
          <w:sz w:val="20"/>
        </w:rPr>
        <w:t>Las Normas Internacionales de Información Financiera establecen que un pasivo contingente consiste en (i) una obligación posible, surgida en función de sucesos pasados, cuya existencia ha de ser confirmada por la ocurrencia de uno o más hecho</w:t>
      </w:r>
      <w:r w:rsidR="00D35EF9">
        <w:rPr>
          <w:rFonts w:ascii="Arial" w:eastAsia="Arial" w:hAnsi="Arial" w:cs="Arial"/>
          <w:sz w:val="20"/>
        </w:rPr>
        <w:t>s</w:t>
      </w:r>
      <w:r w:rsidRPr="00701F32">
        <w:rPr>
          <w:rFonts w:ascii="Arial" w:eastAsia="Arial" w:hAnsi="Arial" w:cs="Arial"/>
          <w:sz w:val="20"/>
        </w:rPr>
        <w:t xml:space="preserve"> futuros de naturaleza incierta, las cuales no se hayan bajo el control de la Entidad o (ii) una obligación presente que no resulta probable o cuyo importe no ha de ser posible de medición o estimación con suficiente fiabilidad.</w:t>
      </w:r>
    </w:p>
    <w:p w14:paraId="14556CE2" w14:textId="14E58AEC" w:rsidR="007E42BC" w:rsidRPr="00701F32" w:rsidRDefault="00656E62" w:rsidP="00656E62">
      <w:pPr>
        <w:spacing w:after="160" w:line="259" w:lineRule="auto"/>
        <w:jc w:val="both"/>
        <w:rPr>
          <w:rFonts w:ascii="Arial" w:eastAsia="Arial" w:hAnsi="Arial" w:cs="Arial"/>
          <w:sz w:val="20"/>
        </w:rPr>
      </w:pPr>
      <w:r w:rsidRPr="00701F32">
        <w:rPr>
          <w:rFonts w:ascii="Arial" w:eastAsia="Arial" w:hAnsi="Arial" w:cs="Arial"/>
          <w:sz w:val="20"/>
        </w:rPr>
        <w:t xml:space="preserve">Los movimientos de provisiones por contingencias ocurridos durante el </w:t>
      </w:r>
      <w:r w:rsidR="00094BCD">
        <w:rPr>
          <w:rFonts w:ascii="Arial" w:eastAsia="Arial" w:hAnsi="Arial" w:cs="Arial"/>
          <w:sz w:val="20"/>
        </w:rPr>
        <w:t>período</w:t>
      </w:r>
      <w:r w:rsidR="00D35EF9">
        <w:rPr>
          <w:rFonts w:ascii="Arial" w:eastAsia="Arial" w:hAnsi="Arial" w:cs="Arial"/>
          <w:sz w:val="20"/>
        </w:rPr>
        <w:t xml:space="preserve"> / ejercicio</w:t>
      </w:r>
      <w:r w:rsidR="00094BCD" w:rsidRPr="00701F32">
        <w:rPr>
          <w:rFonts w:ascii="Arial" w:eastAsia="Arial" w:hAnsi="Arial" w:cs="Arial"/>
          <w:sz w:val="20"/>
        </w:rPr>
        <w:t xml:space="preserve"> </w:t>
      </w:r>
      <w:r w:rsidRPr="00701F32">
        <w:rPr>
          <w:rFonts w:ascii="Arial" w:eastAsia="Arial" w:hAnsi="Arial" w:cs="Arial"/>
          <w:sz w:val="20"/>
        </w:rPr>
        <w:t>se encuentran detallados en el Anexo J correspondiente al cual se remite.</w:t>
      </w:r>
    </w:p>
    <w:p w14:paraId="57760D39" w14:textId="611AD067" w:rsidR="00656E62" w:rsidRPr="00701F32" w:rsidRDefault="00D17399">
      <w:pPr>
        <w:keepNext/>
        <w:keepLines/>
        <w:jc w:val="both"/>
        <w:outlineLvl w:val="1"/>
        <w:rPr>
          <w:rFonts w:ascii="Arial" w:hAnsi="Arial" w:cs="Arial"/>
          <w:b/>
          <w:bCs/>
          <w:noProof/>
          <w:sz w:val="20"/>
        </w:rPr>
      </w:pPr>
      <w:r>
        <w:rPr>
          <w:rFonts w:ascii="Arial" w:hAnsi="Arial" w:cs="Arial"/>
          <w:b/>
          <w:bCs/>
          <w:noProof/>
          <w:sz w:val="20"/>
        </w:rPr>
        <w:t>7</w:t>
      </w:r>
      <w:r w:rsidR="00656E62" w:rsidRPr="00701F32">
        <w:rPr>
          <w:rFonts w:ascii="Arial" w:hAnsi="Arial" w:cs="Arial"/>
          <w:b/>
          <w:bCs/>
          <w:noProof/>
          <w:sz w:val="20"/>
        </w:rPr>
        <w:t xml:space="preserve">. TRANSACCIONES Y SALDOS ENTRE PARTES RELACIONADAS </w:t>
      </w:r>
    </w:p>
    <w:p w14:paraId="66E636A5" w14:textId="77777777" w:rsidR="00656E62" w:rsidRPr="00701F32" w:rsidRDefault="00656E62">
      <w:pPr>
        <w:jc w:val="both"/>
        <w:rPr>
          <w:rFonts w:ascii="Arial" w:eastAsia="Calibri" w:hAnsi="Arial" w:cs="Arial"/>
          <w:b/>
          <w:noProof/>
          <w:sz w:val="20"/>
        </w:rPr>
      </w:pPr>
    </w:p>
    <w:p w14:paraId="28CB4A35"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Se consideran partes relacionadas todas aquellas entidades que poseen directa, o indirectamente a través de otras entidades, control sobre otra, se encuentren bajo el mismo </w:t>
      </w:r>
      <w:r w:rsidRPr="00701F32">
        <w:rPr>
          <w:rFonts w:ascii="Arial" w:eastAsia="Arial" w:hAnsi="Arial" w:cs="Arial"/>
          <w:sz w:val="20"/>
        </w:rPr>
        <w:lastRenderedPageBreak/>
        <w:t xml:space="preserve">control o pueda ejercer influencia significativa sobre las decisiones financieras u operacionales de otra entidad.  </w:t>
      </w:r>
    </w:p>
    <w:p w14:paraId="19EAAD2C" w14:textId="77777777" w:rsidR="00656E62" w:rsidRPr="00701F32" w:rsidRDefault="00656E62">
      <w:pPr>
        <w:contextualSpacing/>
        <w:jc w:val="both"/>
        <w:rPr>
          <w:rFonts w:ascii="Arial" w:eastAsia="Arial" w:hAnsi="Arial" w:cs="Arial"/>
          <w:sz w:val="20"/>
        </w:rPr>
      </w:pPr>
    </w:p>
    <w:p w14:paraId="5B022343"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La Entidad controla otra entidad cuando tiene el poder sobre las decisiones financieras y operativas de otras entidades y a su vez obtiene beneficios de la misma.</w:t>
      </w:r>
    </w:p>
    <w:p w14:paraId="7C0F969B" w14:textId="77777777" w:rsidR="00656E62" w:rsidRPr="00701F32" w:rsidRDefault="00656E62">
      <w:pPr>
        <w:contextualSpacing/>
        <w:jc w:val="both"/>
        <w:rPr>
          <w:rFonts w:ascii="Arial" w:eastAsia="Arial" w:hAnsi="Arial" w:cs="Arial"/>
          <w:sz w:val="20"/>
        </w:rPr>
      </w:pPr>
    </w:p>
    <w:p w14:paraId="7D11AD45"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Por otro lado, </w:t>
      </w:r>
      <w:r w:rsidR="00C40DFD" w:rsidRPr="00701F32">
        <w:rPr>
          <w:rFonts w:ascii="Arial" w:eastAsia="Arial" w:hAnsi="Arial" w:cs="Arial"/>
          <w:sz w:val="20"/>
        </w:rPr>
        <w:t>l</w:t>
      </w:r>
      <w:r w:rsidRPr="00701F32">
        <w:rPr>
          <w:rFonts w:ascii="Arial" w:eastAsia="Arial" w:hAnsi="Arial" w:cs="Arial"/>
          <w:sz w:val="20"/>
        </w:rPr>
        <w:t>a Entidad considera que tiene control conjunto cuando existe un acuerdo entre partes sobre el control de una actividad económica en común.</w:t>
      </w:r>
    </w:p>
    <w:p w14:paraId="2A311EBD" w14:textId="77777777" w:rsidR="00656E62" w:rsidRPr="00701F32" w:rsidRDefault="00656E62">
      <w:pPr>
        <w:contextualSpacing/>
        <w:jc w:val="both"/>
        <w:rPr>
          <w:rFonts w:ascii="Arial" w:eastAsia="Arial" w:hAnsi="Arial" w:cs="Arial"/>
          <w:sz w:val="20"/>
        </w:rPr>
      </w:pPr>
    </w:p>
    <w:p w14:paraId="3974F713" w14:textId="7067247D"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Por último, aquellos casos en los que </w:t>
      </w:r>
      <w:r w:rsidR="00C40DFD" w:rsidRPr="00701F32">
        <w:rPr>
          <w:rFonts w:ascii="Arial" w:eastAsia="Arial" w:hAnsi="Arial" w:cs="Arial"/>
          <w:sz w:val="20"/>
        </w:rPr>
        <w:t xml:space="preserve">la </w:t>
      </w:r>
      <w:r w:rsidRPr="00701F32">
        <w:rPr>
          <w:rFonts w:ascii="Arial" w:eastAsia="Arial" w:hAnsi="Arial" w:cs="Arial"/>
          <w:sz w:val="20"/>
        </w:rPr>
        <w:t xml:space="preserve">Entidad posea influencia significativa </w:t>
      </w:r>
      <w:r w:rsidR="00AE73E8" w:rsidRPr="00701F32">
        <w:rPr>
          <w:rFonts w:ascii="Arial" w:eastAsia="Arial" w:hAnsi="Arial" w:cs="Arial"/>
          <w:sz w:val="20"/>
        </w:rPr>
        <w:t>son</w:t>
      </w:r>
      <w:r w:rsidRPr="00701F32">
        <w:rPr>
          <w:rFonts w:ascii="Arial" w:eastAsia="Arial" w:hAnsi="Arial" w:cs="Arial"/>
          <w:sz w:val="20"/>
        </w:rPr>
        <w:t xml:space="preserve"> debido al poder de influir sobre las decisiones financieras y operativas de otra entidad pero no poder ejercer el control sobre las mismas.</w:t>
      </w:r>
    </w:p>
    <w:p w14:paraId="57377981" w14:textId="77777777" w:rsidR="00656E62" w:rsidRPr="00701F32" w:rsidRDefault="00656E62">
      <w:pPr>
        <w:contextualSpacing/>
        <w:jc w:val="both"/>
        <w:rPr>
          <w:rFonts w:ascii="Arial" w:eastAsia="Arial" w:hAnsi="Arial" w:cs="Arial"/>
          <w:sz w:val="20"/>
        </w:rPr>
      </w:pPr>
    </w:p>
    <w:p w14:paraId="063D2F65"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Para la determinación de dichas situaciones, no solamente se observan los aspectos legales sino además la naturaleza y sustanciación de la relación.</w:t>
      </w:r>
    </w:p>
    <w:p w14:paraId="744FEDE2" w14:textId="77777777" w:rsidR="00656E62" w:rsidRPr="00701F32" w:rsidRDefault="00656E62">
      <w:pPr>
        <w:contextualSpacing/>
        <w:jc w:val="both"/>
        <w:rPr>
          <w:rFonts w:ascii="Arial" w:eastAsia="Arial" w:hAnsi="Arial" w:cs="Arial"/>
          <w:sz w:val="20"/>
        </w:rPr>
      </w:pPr>
    </w:p>
    <w:p w14:paraId="39660025" w14:textId="77777777" w:rsidR="00656E62" w:rsidRPr="00701F32" w:rsidRDefault="00656E62">
      <w:pPr>
        <w:contextualSpacing/>
        <w:jc w:val="both"/>
        <w:rPr>
          <w:rFonts w:ascii="Arial" w:eastAsia="Arial" w:hAnsi="Arial" w:cs="Arial"/>
          <w:sz w:val="20"/>
          <w:u w:val="single"/>
        </w:rPr>
      </w:pPr>
      <w:r w:rsidRPr="00701F32">
        <w:rPr>
          <w:rFonts w:ascii="Arial" w:eastAsia="Arial" w:hAnsi="Arial" w:cs="Arial"/>
          <w:sz w:val="20"/>
          <w:u w:val="single"/>
        </w:rPr>
        <w:t>Entidades controladoras</w:t>
      </w:r>
    </w:p>
    <w:p w14:paraId="19206DD3" w14:textId="77777777" w:rsidR="00656E62" w:rsidRPr="00701F32" w:rsidRDefault="00656E62">
      <w:pPr>
        <w:contextualSpacing/>
        <w:jc w:val="both"/>
        <w:rPr>
          <w:rFonts w:ascii="Arial" w:eastAsia="Arial" w:hAnsi="Arial" w:cs="Arial"/>
          <w:sz w:val="20"/>
        </w:rPr>
      </w:pPr>
    </w:p>
    <w:p w14:paraId="0C21FE17"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El </w:t>
      </w:r>
      <w:r w:rsidR="00D12E45" w:rsidRPr="00701F32">
        <w:rPr>
          <w:rFonts w:ascii="Arial" w:eastAsia="Arial" w:hAnsi="Arial" w:cs="Arial"/>
          <w:sz w:val="20"/>
        </w:rPr>
        <w:t xml:space="preserve">Banco </w:t>
      </w:r>
      <w:r w:rsidRPr="00701F32">
        <w:rPr>
          <w:rFonts w:ascii="Arial" w:eastAsia="Arial" w:hAnsi="Arial" w:cs="Arial"/>
          <w:sz w:val="20"/>
        </w:rPr>
        <w:t xml:space="preserve">es </w:t>
      </w:r>
      <w:r w:rsidR="00D12E45" w:rsidRPr="00701F32">
        <w:rPr>
          <w:rFonts w:ascii="Arial" w:eastAsia="Arial" w:hAnsi="Arial" w:cs="Arial"/>
          <w:sz w:val="20"/>
        </w:rPr>
        <w:t xml:space="preserve">controlado </w:t>
      </w:r>
      <w:r w:rsidRPr="00701F32">
        <w:rPr>
          <w:rFonts w:ascii="Arial" w:eastAsia="Arial" w:hAnsi="Arial" w:cs="Arial"/>
          <w:sz w:val="20"/>
        </w:rPr>
        <w:t>por la siguiente entidad:</w:t>
      </w:r>
    </w:p>
    <w:p w14:paraId="58235368" w14:textId="77777777" w:rsidR="00EC1700" w:rsidRPr="00701F32" w:rsidRDefault="00EC1700">
      <w:pPr>
        <w:contextualSpacing/>
        <w:jc w:val="both"/>
        <w:rPr>
          <w:rFonts w:ascii="Calibri Light" w:eastAsia="Calibri" w:hAnsi="Calibri Light" w:cs="Calibri"/>
          <w:noProof/>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16"/>
        <w:gridCol w:w="1416"/>
        <w:gridCol w:w="1415"/>
        <w:gridCol w:w="1415"/>
        <w:gridCol w:w="1417"/>
      </w:tblGrid>
      <w:tr w:rsidR="00656E62" w:rsidRPr="00701F32" w14:paraId="5B91DBDC" w14:textId="77777777" w:rsidTr="00464C0F">
        <w:tc>
          <w:tcPr>
            <w:tcW w:w="833" w:type="pct"/>
            <w:vMerge w:val="restart"/>
            <w:vAlign w:val="center"/>
          </w:tcPr>
          <w:p w14:paraId="75432D1E"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Nombre</w:t>
            </w:r>
          </w:p>
        </w:tc>
        <w:tc>
          <w:tcPr>
            <w:tcW w:w="833" w:type="pct"/>
            <w:vMerge w:val="restart"/>
            <w:vAlign w:val="center"/>
          </w:tcPr>
          <w:p w14:paraId="2D26DE8C"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 xml:space="preserve">Naturaleza </w:t>
            </w:r>
          </w:p>
        </w:tc>
        <w:tc>
          <w:tcPr>
            <w:tcW w:w="833" w:type="pct"/>
            <w:vMerge w:val="restart"/>
            <w:vAlign w:val="center"/>
          </w:tcPr>
          <w:p w14:paraId="47346412"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Actividad principal</w:t>
            </w:r>
          </w:p>
        </w:tc>
        <w:tc>
          <w:tcPr>
            <w:tcW w:w="833" w:type="pct"/>
            <w:vMerge w:val="restart"/>
            <w:vAlign w:val="center"/>
          </w:tcPr>
          <w:p w14:paraId="3FEFDDC2"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Lugar de radicación</w:t>
            </w:r>
          </w:p>
        </w:tc>
        <w:tc>
          <w:tcPr>
            <w:tcW w:w="1667" w:type="pct"/>
            <w:gridSpan w:val="2"/>
            <w:vAlign w:val="center"/>
          </w:tcPr>
          <w:p w14:paraId="701B1F6F"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Porcentaje de participación</w:t>
            </w:r>
          </w:p>
        </w:tc>
      </w:tr>
      <w:tr w:rsidR="00AB4EE5" w:rsidRPr="00701F32" w14:paraId="688007B5" w14:textId="77777777" w:rsidTr="00464C0F">
        <w:tc>
          <w:tcPr>
            <w:tcW w:w="833" w:type="pct"/>
            <w:vMerge/>
            <w:vAlign w:val="center"/>
          </w:tcPr>
          <w:p w14:paraId="05AC6E8D" w14:textId="77777777" w:rsidR="00AB4EE5" w:rsidRPr="00701F32" w:rsidRDefault="00AB4EE5" w:rsidP="00AB4EE5">
            <w:pPr>
              <w:spacing w:after="160" w:line="259" w:lineRule="auto"/>
              <w:contextualSpacing/>
              <w:jc w:val="center"/>
              <w:rPr>
                <w:rFonts w:ascii="Arial" w:eastAsia="Calibri" w:hAnsi="Arial" w:cs="Arial"/>
                <w:b/>
                <w:noProof/>
                <w:sz w:val="18"/>
              </w:rPr>
            </w:pPr>
          </w:p>
        </w:tc>
        <w:tc>
          <w:tcPr>
            <w:tcW w:w="833" w:type="pct"/>
            <w:vMerge/>
            <w:vAlign w:val="center"/>
          </w:tcPr>
          <w:p w14:paraId="4319D2B7" w14:textId="77777777" w:rsidR="00AB4EE5" w:rsidRPr="00701F32" w:rsidRDefault="00AB4EE5" w:rsidP="00AB4EE5">
            <w:pPr>
              <w:spacing w:after="160" w:line="259" w:lineRule="auto"/>
              <w:contextualSpacing/>
              <w:jc w:val="center"/>
              <w:rPr>
                <w:rFonts w:ascii="Arial" w:eastAsia="Calibri" w:hAnsi="Arial" w:cs="Arial"/>
                <w:b/>
                <w:noProof/>
                <w:sz w:val="18"/>
              </w:rPr>
            </w:pPr>
          </w:p>
        </w:tc>
        <w:tc>
          <w:tcPr>
            <w:tcW w:w="833" w:type="pct"/>
            <w:vMerge/>
            <w:vAlign w:val="center"/>
          </w:tcPr>
          <w:p w14:paraId="50B598DC" w14:textId="77777777" w:rsidR="00AB4EE5" w:rsidRPr="00701F32" w:rsidRDefault="00AB4EE5" w:rsidP="00AB4EE5">
            <w:pPr>
              <w:spacing w:after="160" w:line="259" w:lineRule="auto"/>
              <w:contextualSpacing/>
              <w:jc w:val="center"/>
              <w:rPr>
                <w:rFonts w:ascii="Arial" w:eastAsia="Calibri" w:hAnsi="Arial" w:cs="Arial"/>
                <w:b/>
                <w:noProof/>
                <w:sz w:val="18"/>
              </w:rPr>
            </w:pPr>
          </w:p>
        </w:tc>
        <w:tc>
          <w:tcPr>
            <w:tcW w:w="833" w:type="pct"/>
            <w:vMerge/>
            <w:vAlign w:val="center"/>
          </w:tcPr>
          <w:p w14:paraId="61B61CB7" w14:textId="77777777" w:rsidR="00AB4EE5" w:rsidRPr="00701F32" w:rsidRDefault="00AB4EE5" w:rsidP="00AB4EE5">
            <w:pPr>
              <w:spacing w:after="160" w:line="259" w:lineRule="auto"/>
              <w:contextualSpacing/>
              <w:jc w:val="center"/>
              <w:rPr>
                <w:rFonts w:ascii="Arial" w:eastAsia="Calibri" w:hAnsi="Arial" w:cs="Arial"/>
                <w:b/>
                <w:noProof/>
                <w:sz w:val="18"/>
              </w:rPr>
            </w:pPr>
          </w:p>
        </w:tc>
        <w:tc>
          <w:tcPr>
            <w:tcW w:w="833" w:type="pct"/>
            <w:vAlign w:val="center"/>
          </w:tcPr>
          <w:p w14:paraId="22788ECB" w14:textId="71C80053" w:rsidR="00AB4EE5" w:rsidRPr="00701F32" w:rsidRDefault="00AB4EE5" w:rsidP="00AB4EE5">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w:t>
            </w:r>
            <w:r>
              <w:rPr>
                <w:rFonts w:ascii="Arial" w:eastAsia="Calibri" w:hAnsi="Arial" w:cs="Arial"/>
                <w:b/>
                <w:noProof/>
                <w:sz w:val="18"/>
              </w:rPr>
              <w:t>20</w:t>
            </w:r>
          </w:p>
        </w:tc>
        <w:tc>
          <w:tcPr>
            <w:tcW w:w="834" w:type="pct"/>
            <w:vAlign w:val="center"/>
          </w:tcPr>
          <w:p w14:paraId="060AD452" w14:textId="34069296" w:rsidR="00AB4EE5" w:rsidRPr="00701F32" w:rsidRDefault="00AB4EE5" w:rsidP="00AB4EE5">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201</w:t>
            </w:r>
            <w:r>
              <w:rPr>
                <w:rFonts w:ascii="Arial" w:eastAsia="Calibri" w:hAnsi="Arial" w:cs="Arial"/>
                <w:b/>
                <w:noProof/>
                <w:sz w:val="18"/>
              </w:rPr>
              <w:t>9</w:t>
            </w:r>
          </w:p>
        </w:tc>
      </w:tr>
      <w:tr w:rsidR="00AB4EE5" w:rsidRPr="00701F32" w14:paraId="2A185B5F" w14:textId="77777777" w:rsidTr="00712ADC">
        <w:trPr>
          <w:trHeight w:val="221"/>
        </w:trPr>
        <w:tc>
          <w:tcPr>
            <w:tcW w:w="833" w:type="pct"/>
            <w:vAlign w:val="center"/>
          </w:tcPr>
          <w:p w14:paraId="12B49442" w14:textId="77777777" w:rsidR="00AB4EE5" w:rsidRPr="00701F32" w:rsidRDefault="00AB4EE5" w:rsidP="00AB4EE5">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Grupo Supervielle S.A.</w:t>
            </w:r>
          </w:p>
        </w:tc>
        <w:tc>
          <w:tcPr>
            <w:tcW w:w="833" w:type="pct"/>
            <w:vAlign w:val="center"/>
          </w:tcPr>
          <w:p w14:paraId="34A851DD" w14:textId="3E8D0AA5" w:rsidR="00AB4EE5" w:rsidRPr="00701F32" w:rsidRDefault="00AB4EE5" w:rsidP="00AB4EE5">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w:t>
            </w:r>
            <w:r>
              <w:rPr>
                <w:rFonts w:ascii="Arial" w:eastAsia="Calibri" w:hAnsi="Arial" w:cs="Arial"/>
                <w:noProof/>
                <w:sz w:val="18"/>
              </w:rPr>
              <w:t>7</w:t>
            </w:r>
            <w:r w:rsidRPr="00701F32">
              <w:rPr>
                <w:rFonts w:ascii="Arial" w:eastAsia="Calibri" w:hAnsi="Arial" w:cs="Arial"/>
                <w:noProof/>
                <w:sz w:val="18"/>
              </w:rPr>
              <w:t>,</w:t>
            </w:r>
            <w:r>
              <w:rPr>
                <w:rFonts w:ascii="Arial" w:eastAsia="Calibri" w:hAnsi="Arial" w:cs="Arial"/>
                <w:noProof/>
                <w:sz w:val="18"/>
              </w:rPr>
              <w:t>07</w:t>
            </w:r>
            <w:r w:rsidRPr="00701F32">
              <w:rPr>
                <w:rFonts w:ascii="Arial" w:eastAsia="Calibri" w:hAnsi="Arial" w:cs="Arial"/>
                <w:noProof/>
                <w:sz w:val="18"/>
              </w:rPr>
              <w:t>% de derecho a votos</w:t>
            </w:r>
          </w:p>
        </w:tc>
        <w:tc>
          <w:tcPr>
            <w:tcW w:w="833" w:type="pct"/>
            <w:vAlign w:val="center"/>
          </w:tcPr>
          <w:p w14:paraId="3859535E" w14:textId="77777777" w:rsidR="00AB4EE5" w:rsidRPr="00701F32" w:rsidRDefault="00AB4EE5" w:rsidP="00AB4EE5">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Financiera y de Inversion</w:t>
            </w:r>
          </w:p>
        </w:tc>
        <w:tc>
          <w:tcPr>
            <w:tcW w:w="833" w:type="pct"/>
            <w:vAlign w:val="center"/>
          </w:tcPr>
          <w:p w14:paraId="55E00CF2" w14:textId="77777777" w:rsidR="00AB4EE5" w:rsidRPr="00701F32" w:rsidRDefault="00AB4EE5" w:rsidP="00AB4EE5">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Bme Mitre 434 5to Piso. CABA</w:t>
            </w:r>
          </w:p>
        </w:tc>
        <w:tc>
          <w:tcPr>
            <w:tcW w:w="833" w:type="pct"/>
            <w:vAlign w:val="center"/>
          </w:tcPr>
          <w:p w14:paraId="0F5D8AEA" w14:textId="3F79F28E" w:rsidR="00AB4EE5" w:rsidRPr="00701F32" w:rsidRDefault="00AB4EE5" w:rsidP="00AB4EE5">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w:t>
            </w:r>
            <w:r>
              <w:rPr>
                <w:rFonts w:ascii="Arial" w:eastAsia="Calibri" w:hAnsi="Arial" w:cs="Arial"/>
                <w:noProof/>
                <w:sz w:val="18"/>
              </w:rPr>
              <w:t>7</w:t>
            </w:r>
            <w:r w:rsidRPr="00701F32">
              <w:rPr>
                <w:rFonts w:ascii="Arial" w:eastAsia="Calibri" w:hAnsi="Arial" w:cs="Arial"/>
                <w:noProof/>
                <w:sz w:val="18"/>
              </w:rPr>
              <w:t>,</w:t>
            </w:r>
            <w:r>
              <w:rPr>
                <w:rFonts w:ascii="Arial" w:eastAsia="Calibri" w:hAnsi="Arial" w:cs="Arial"/>
                <w:noProof/>
                <w:sz w:val="18"/>
              </w:rPr>
              <w:t>10</w:t>
            </w:r>
            <w:r w:rsidRPr="00701F32">
              <w:rPr>
                <w:rFonts w:ascii="Arial" w:eastAsia="Calibri" w:hAnsi="Arial" w:cs="Arial"/>
                <w:noProof/>
                <w:sz w:val="18"/>
              </w:rPr>
              <w:t>%</w:t>
            </w:r>
          </w:p>
        </w:tc>
        <w:tc>
          <w:tcPr>
            <w:tcW w:w="834" w:type="pct"/>
            <w:vAlign w:val="center"/>
          </w:tcPr>
          <w:p w14:paraId="12A6F52C" w14:textId="4C3825A5" w:rsidR="00AB4EE5" w:rsidRPr="00701F32" w:rsidRDefault="00AB4EE5" w:rsidP="00AB4EE5">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w:t>
            </w:r>
            <w:r>
              <w:rPr>
                <w:rFonts w:ascii="Arial" w:eastAsia="Calibri" w:hAnsi="Arial" w:cs="Arial"/>
                <w:noProof/>
                <w:sz w:val="18"/>
              </w:rPr>
              <w:t>7</w:t>
            </w:r>
            <w:r w:rsidRPr="00701F32">
              <w:rPr>
                <w:rFonts w:ascii="Arial" w:eastAsia="Calibri" w:hAnsi="Arial" w:cs="Arial"/>
                <w:noProof/>
                <w:sz w:val="18"/>
              </w:rPr>
              <w:t>,</w:t>
            </w:r>
            <w:r>
              <w:rPr>
                <w:rFonts w:ascii="Arial" w:eastAsia="Calibri" w:hAnsi="Arial" w:cs="Arial"/>
                <w:noProof/>
                <w:sz w:val="18"/>
              </w:rPr>
              <w:t>10</w:t>
            </w:r>
            <w:r w:rsidRPr="00701F32">
              <w:rPr>
                <w:rFonts w:ascii="Arial" w:eastAsia="Calibri" w:hAnsi="Arial" w:cs="Arial"/>
                <w:noProof/>
                <w:sz w:val="18"/>
              </w:rPr>
              <w:t>%</w:t>
            </w:r>
          </w:p>
        </w:tc>
      </w:tr>
    </w:tbl>
    <w:p w14:paraId="7F10E0A4" w14:textId="77777777" w:rsidR="002E2271" w:rsidRPr="00701F32" w:rsidRDefault="002E2271">
      <w:pPr>
        <w:contextualSpacing/>
        <w:jc w:val="both"/>
        <w:rPr>
          <w:rFonts w:ascii="Arial" w:eastAsia="Arial" w:hAnsi="Arial" w:cs="Arial"/>
          <w:sz w:val="20"/>
          <w:u w:val="single"/>
        </w:rPr>
      </w:pPr>
    </w:p>
    <w:p w14:paraId="41F74241" w14:textId="77777777" w:rsidR="00656E62" w:rsidRPr="00701F32" w:rsidRDefault="00367CA1">
      <w:pPr>
        <w:contextualSpacing/>
        <w:jc w:val="both"/>
        <w:rPr>
          <w:rFonts w:ascii="Arial" w:eastAsia="Arial" w:hAnsi="Arial" w:cs="Arial"/>
          <w:sz w:val="20"/>
          <w:u w:val="single"/>
        </w:rPr>
      </w:pPr>
      <w:r w:rsidRPr="00701F32">
        <w:rPr>
          <w:rFonts w:ascii="Arial" w:eastAsia="Arial" w:hAnsi="Arial" w:cs="Arial"/>
          <w:sz w:val="20"/>
          <w:u w:val="single"/>
        </w:rPr>
        <w:t>Entidades controladas y s</w:t>
      </w:r>
      <w:r w:rsidR="00656E62" w:rsidRPr="00701F32">
        <w:rPr>
          <w:rFonts w:ascii="Arial" w:eastAsia="Arial" w:hAnsi="Arial" w:cs="Arial"/>
          <w:sz w:val="20"/>
          <w:u w:val="single"/>
        </w:rPr>
        <w:t xml:space="preserve">ubsidiarias </w:t>
      </w:r>
    </w:p>
    <w:p w14:paraId="45B59F77" w14:textId="77777777" w:rsidR="00656E62" w:rsidRPr="00701F32" w:rsidRDefault="00656E62">
      <w:pPr>
        <w:contextualSpacing/>
        <w:jc w:val="both"/>
        <w:rPr>
          <w:rFonts w:ascii="Arial" w:eastAsia="Arial" w:hAnsi="Arial" w:cs="Arial"/>
          <w:sz w:val="20"/>
        </w:rPr>
      </w:pPr>
    </w:p>
    <w:p w14:paraId="63B368A0" w14:textId="15843925"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Las partes relacionadas al </w:t>
      </w:r>
      <w:r w:rsidR="00886AE1">
        <w:rPr>
          <w:rFonts w:ascii="Arial" w:eastAsia="Arial" w:hAnsi="Arial" w:cs="Arial"/>
          <w:sz w:val="20"/>
        </w:rPr>
        <w:t>3</w:t>
      </w:r>
      <w:r w:rsidR="00291D30">
        <w:rPr>
          <w:rFonts w:ascii="Arial" w:eastAsia="Arial" w:hAnsi="Arial" w:cs="Arial"/>
          <w:sz w:val="20"/>
        </w:rPr>
        <w:t>1</w:t>
      </w:r>
      <w:r w:rsidR="00467044" w:rsidRPr="00701F32">
        <w:rPr>
          <w:rFonts w:ascii="Arial" w:eastAsia="Arial" w:hAnsi="Arial" w:cs="Arial"/>
          <w:sz w:val="20"/>
        </w:rPr>
        <w:t xml:space="preserve"> </w:t>
      </w:r>
      <w:r w:rsidRPr="00701F32">
        <w:rPr>
          <w:rFonts w:ascii="Arial" w:eastAsia="Arial" w:hAnsi="Arial" w:cs="Arial"/>
          <w:sz w:val="20"/>
        </w:rPr>
        <w:t xml:space="preserve">de </w:t>
      </w:r>
      <w:r w:rsidR="00291D30">
        <w:rPr>
          <w:rFonts w:ascii="Arial" w:eastAsia="Arial" w:hAnsi="Arial" w:cs="Arial"/>
          <w:sz w:val="20"/>
        </w:rPr>
        <w:t>marzo</w:t>
      </w:r>
      <w:r w:rsidR="00D17399" w:rsidRPr="00701F32">
        <w:rPr>
          <w:rFonts w:ascii="Arial" w:eastAsia="Arial" w:hAnsi="Arial" w:cs="Arial"/>
          <w:sz w:val="20"/>
        </w:rPr>
        <w:t xml:space="preserve"> </w:t>
      </w:r>
      <w:r w:rsidRPr="00701F32">
        <w:rPr>
          <w:rFonts w:ascii="Arial" w:eastAsia="Arial" w:hAnsi="Arial" w:cs="Arial"/>
          <w:sz w:val="20"/>
        </w:rPr>
        <w:t xml:space="preserve">de </w:t>
      </w:r>
      <w:r w:rsidR="00D17399" w:rsidRPr="00701F32">
        <w:rPr>
          <w:rFonts w:ascii="Arial" w:eastAsia="Arial" w:hAnsi="Arial" w:cs="Arial"/>
          <w:sz w:val="20"/>
        </w:rPr>
        <w:t>20</w:t>
      </w:r>
      <w:r w:rsidR="00291D30">
        <w:rPr>
          <w:rFonts w:ascii="Arial" w:eastAsia="Arial" w:hAnsi="Arial" w:cs="Arial"/>
          <w:sz w:val="20"/>
        </w:rPr>
        <w:t>20</w:t>
      </w:r>
      <w:r w:rsidR="00D17399" w:rsidRPr="00701F32">
        <w:rPr>
          <w:rFonts w:ascii="Arial" w:eastAsia="Arial" w:hAnsi="Arial" w:cs="Arial"/>
          <w:sz w:val="20"/>
        </w:rPr>
        <w:t xml:space="preserve"> </w:t>
      </w:r>
      <w:r w:rsidRPr="00701F32">
        <w:rPr>
          <w:rFonts w:ascii="Arial" w:eastAsia="Arial" w:hAnsi="Arial" w:cs="Arial"/>
          <w:sz w:val="20"/>
        </w:rPr>
        <w:t>y el detalle de la naturaleza de su relación es la siguiente:</w:t>
      </w:r>
    </w:p>
    <w:p w14:paraId="74C1BE81" w14:textId="77777777" w:rsidR="00656E62" w:rsidRPr="00701F32" w:rsidRDefault="00656E62">
      <w:pPr>
        <w:contextualSpacing/>
        <w:jc w:val="both"/>
        <w:rPr>
          <w:rFonts w:ascii="Calibri Light" w:eastAsia="Calibri" w:hAnsi="Calibri Light" w:cs="Calibri"/>
          <w:noProof/>
          <w:sz w:val="20"/>
        </w:rPr>
      </w:pP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699"/>
        <w:gridCol w:w="1698"/>
        <w:gridCol w:w="1698"/>
        <w:gridCol w:w="1700"/>
      </w:tblGrid>
      <w:tr w:rsidR="00656E62" w:rsidRPr="00701F32" w14:paraId="3F7788D2" w14:textId="77777777" w:rsidTr="00464C0F">
        <w:tc>
          <w:tcPr>
            <w:tcW w:w="950" w:type="pct"/>
            <w:vMerge w:val="restart"/>
            <w:vAlign w:val="center"/>
          </w:tcPr>
          <w:p w14:paraId="47B648C8"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Nombre</w:t>
            </w:r>
          </w:p>
        </w:tc>
        <w:tc>
          <w:tcPr>
            <w:tcW w:w="1012" w:type="pct"/>
            <w:vMerge w:val="restart"/>
            <w:vAlign w:val="center"/>
          </w:tcPr>
          <w:p w14:paraId="37130C7B"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Naturaleza</w:t>
            </w:r>
          </w:p>
        </w:tc>
        <w:tc>
          <w:tcPr>
            <w:tcW w:w="1012" w:type="pct"/>
            <w:vMerge w:val="restart"/>
            <w:vAlign w:val="center"/>
          </w:tcPr>
          <w:p w14:paraId="70D28CC5"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Lugar de radicación</w:t>
            </w:r>
          </w:p>
        </w:tc>
        <w:tc>
          <w:tcPr>
            <w:tcW w:w="2025" w:type="pct"/>
            <w:gridSpan w:val="2"/>
            <w:vAlign w:val="center"/>
          </w:tcPr>
          <w:p w14:paraId="586F4359"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Porcentaje de participación</w:t>
            </w:r>
          </w:p>
        </w:tc>
      </w:tr>
      <w:tr w:rsidR="00656E62" w:rsidRPr="00701F32" w14:paraId="59F77EF0" w14:textId="77777777" w:rsidTr="00367CA1">
        <w:tc>
          <w:tcPr>
            <w:tcW w:w="950" w:type="pct"/>
            <w:vMerge/>
            <w:vAlign w:val="center"/>
          </w:tcPr>
          <w:p w14:paraId="67C8B1CF" w14:textId="77777777" w:rsidR="00656E62" w:rsidRPr="00701F32" w:rsidRDefault="00656E62">
            <w:pPr>
              <w:spacing w:after="160" w:line="259" w:lineRule="auto"/>
              <w:contextualSpacing/>
              <w:jc w:val="center"/>
              <w:rPr>
                <w:rFonts w:ascii="Arial" w:eastAsia="Calibri" w:hAnsi="Arial" w:cs="Arial"/>
                <w:b/>
                <w:noProof/>
                <w:sz w:val="18"/>
                <w:szCs w:val="18"/>
              </w:rPr>
            </w:pPr>
          </w:p>
        </w:tc>
        <w:tc>
          <w:tcPr>
            <w:tcW w:w="1012" w:type="pct"/>
            <w:vMerge/>
            <w:vAlign w:val="center"/>
          </w:tcPr>
          <w:p w14:paraId="195A4405" w14:textId="77777777" w:rsidR="00656E62" w:rsidRPr="00701F32" w:rsidRDefault="00656E62">
            <w:pPr>
              <w:spacing w:after="160" w:line="259" w:lineRule="auto"/>
              <w:contextualSpacing/>
              <w:jc w:val="center"/>
              <w:rPr>
                <w:rFonts w:ascii="Arial" w:eastAsia="Calibri" w:hAnsi="Arial" w:cs="Arial"/>
                <w:b/>
                <w:noProof/>
                <w:sz w:val="18"/>
                <w:szCs w:val="18"/>
              </w:rPr>
            </w:pPr>
          </w:p>
        </w:tc>
        <w:tc>
          <w:tcPr>
            <w:tcW w:w="1012" w:type="pct"/>
            <w:vMerge/>
            <w:vAlign w:val="center"/>
          </w:tcPr>
          <w:p w14:paraId="36F023EC" w14:textId="77777777" w:rsidR="00656E62" w:rsidRPr="00701F32" w:rsidRDefault="00656E62">
            <w:pPr>
              <w:spacing w:after="160" w:line="259" w:lineRule="auto"/>
              <w:contextualSpacing/>
              <w:jc w:val="center"/>
              <w:rPr>
                <w:rFonts w:ascii="Arial" w:eastAsia="Calibri" w:hAnsi="Arial" w:cs="Arial"/>
                <w:b/>
                <w:noProof/>
                <w:sz w:val="18"/>
                <w:szCs w:val="18"/>
              </w:rPr>
            </w:pPr>
          </w:p>
        </w:tc>
        <w:tc>
          <w:tcPr>
            <w:tcW w:w="1012" w:type="pct"/>
            <w:vAlign w:val="center"/>
          </w:tcPr>
          <w:p w14:paraId="359EDFBD" w14:textId="7142E740" w:rsidR="00656E62" w:rsidRPr="00701F32" w:rsidRDefault="00DE5129" w:rsidP="00034C0E">
            <w:pPr>
              <w:spacing w:after="160" w:line="259" w:lineRule="auto"/>
              <w:contextualSpacing/>
              <w:jc w:val="center"/>
              <w:rPr>
                <w:rFonts w:ascii="Arial" w:eastAsia="Calibri" w:hAnsi="Arial" w:cs="Arial"/>
                <w:b/>
                <w:noProof/>
                <w:sz w:val="18"/>
                <w:szCs w:val="18"/>
              </w:rPr>
            </w:pPr>
            <w:r>
              <w:rPr>
                <w:rFonts w:ascii="Arial" w:eastAsia="Calibri" w:hAnsi="Arial" w:cs="Arial"/>
                <w:b/>
                <w:noProof/>
                <w:sz w:val="18"/>
                <w:szCs w:val="18"/>
              </w:rPr>
              <w:t>2020</w:t>
            </w:r>
          </w:p>
        </w:tc>
        <w:tc>
          <w:tcPr>
            <w:tcW w:w="1013" w:type="pct"/>
            <w:vAlign w:val="center"/>
          </w:tcPr>
          <w:p w14:paraId="2AFA28AF" w14:textId="745CF583" w:rsidR="00656E62" w:rsidRPr="00701F32" w:rsidRDefault="00DE5129">
            <w:pPr>
              <w:spacing w:after="160" w:line="259" w:lineRule="auto"/>
              <w:contextualSpacing/>
              <w:jc w:val="center"/>
              <w:rPr>
                <w:rFonts w:ascii="Arial" w:eastAsia="Calibri" w:hAnsi="Arial" w:cs="Arial"/>
                <w:b/>
                <w:noProof/>
                <w:sz w:val="18"/>
                <w:szCs w:val="18"/>
              </w:rPr>
            </w:pPr>
            <w:r>
              <w:rPr>
                <w:rFonts w:ascii="Arial" w:eastAsia="Calibri" w:hAnsi="Arial" w:cs="Arial"/>
                <w:b/>
                <w:noProof/>
                <w:sz w:val="18"/>
                <w:szCs w:val="18"/>
              </w:rPr>
              <w:t>2019</w:t>
            </w:r>
          </w:p>
        </w:tc>
      </w:tr>
      <w:tr w:rsidR="00656E62" w:rsidRPr="00701F32" w14:paraId="268C1B0E" w14:textId="77777777" w:rsidTr="00367CA1">
        <w:trPr>
          <w:trHeight w:val="221"/>
        </w:trPr>
        <w:tc>
          <w:tcPr>
            <w:tcW w:w="950" w:type="pct"/>
            <w:vAlign w:val="center"/>
          </w:tcPr>
          <w:p w14:paraId="06CDB454" w14:textId="77777777" w:rsidR="00656E62" w:rsidRPr="00701F32" w:rsidRDefault="00656E62" w:rsidP="00712ADC">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Cordial Compañía Financiera S.A.</w:t>
            </w:r>
          </w:p>
        </w:tc>
        <w:tc>
          <w:tcPr>
            <w:tcW w:w="1012" w:type="pct"/>
            <w:vAlign w:val="center"/>
          </w:tcPr>
          <w:p w14:paraId="1C8BA6A7" w14:textId="77777777" w:rsidR="00656E62" w:rsidRPr="00701F32" w:rsidRDefault="000045FD">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w:t>
            </w:r>
            <w:r w:rsidR="00656E62" w:rsidRPr="00701F32">
              <w:rPr>
                <w:rFonts w:ascii="Arial" w:eastAsia="Calibri" w:hAnsi="Arial" w:cs="Arial"/>
                <w:noProof/>
                <w:sz w:val="18"/>
                <w:szCs w:val="18"/>
              </w:rPr>
              <w:t xml:space="preserve"> % del Capital Social y derecho a votos</w:t>
            </w:r>
          </w:p>
        </w:tc>
        <w:tc>
          <w:tcPr>
            <w:tcW w:w="1012" w:type="pct"/>
            <w:vAlign w:val="center"/>
          </w:tcPr>
          <w:p w14:paraId="3485079F" w14:textId="77777777" w:rsidR="00656E62" w:rsidRPr="00701F32" w:rsidRDefault="00656E62">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Reconquista 320 CABA</w:t>
            </w:r>
          </w:p>
        </w:tc>
        <w:tc>
          <w:tcPr>
            <w:tcW w:w="1012" w:type="pct"/>
            <w:vAlign w:val="center"/>
          </w:tcPr>
          <w:p w14:paraId="6E822604" w14:textId="77777777" w:rsidR="00656E62" w:rsidRPr="00701F32" w:rsidRDefault="00656E62">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w:t>
            </w:r>
          </w:p>
        </w:tc>
        <w:tc>
          <w:tcPr>
            <w:tcW w:w="1013" w:type="pct"/>
            <w:vAlign w:val="center"/>
          </w:tcPr>
          <w:p w14:paraId="11F95DB1" w14:textId="77777777" w:rsidR="00656E62" w:rsidRPr="00701F32" w:rsidRDefault="00656E62">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w:t>
            </w:r>
          </w:p>
        </w:tc>
      </w:tr>
    </w:tbl>
    <w:p w14:paraId="67F6B410" w14:textId="77777777" w:rsidR="00656E62" w:rsidRPr="00701F32" w:rsidRDefault="00656E62" w:rsidP="00656E62">
      <w:pPr>
        <w:contextualSpacing/>
        <w:jc w:val="both"/>
        <w:rPr>
          <w:rFonts w:ascii="Arial" w:eastAsia="Arial" w:hAnsi="Arial" w:cs="Arial"/>
          <w:sz w:val="20"/>
        </w:rPr>
      </w:pPr>
    </w:p>
    <w:p w14:paraId="15FFE0A9" w14:textId="028C164D" w:rsidR="006470AD" w:rsidRDefault="006470AD" w:rsidP="00656E62">
      <w:pPr>
        <w:jc w:val="both"/>
        <w:rPr>
          <w:rFonts w:ascii="Arial" w:eastAsia="Calibri" w:hAnsi="Arial" w:cs="Arial"/>
          <w:sz w:val="20"/>
        </w:rPr>
      </w:pPr>
    </w:p>
    <w:p w14:paraId="53403F6B" w14:textId="77777777" w:rsidR="00111E5A" w:rsidRPr="00701F32" w:rsidRDefault="00111E5A" w:rsidP="00656E62">
      <w:pPr>
        <w:jc w:val="both"/>
        <w:rPr>
          <w:rFonts w:ascii="Arial" w:eastAsia="Calibri" w:hAnsi="Arial" w:cs="Arial"/>
          <w:sz w:val="20"/>
        </w:rPr>
      </w:pPr>
    </w:p>
    <w:p w14:paraId="35B137B8" w14:textId="77777777" w:rsidR="003A0C03" w:rsidRPr="00701F32" w:rsidRDefault="003A0C03" w:rsidP="003A0C03">
      <w:pPr>
        <w:tabs>
          <w:tab w:val="left" w:pos="142"/>
        </w:tabs>
        <w:spacing w:after="160" w:line="259" w:lineRule="auto"/>
        <w:jc w:val="both"/>
        <w:rPr>
          <w:rFonts w:ascii="Arial" w:eastAsia="Arial" w:hAnsi="Arial" w:cs="Arial"/>
          <w:bCs/>
          <w:noProof/>
          <w:color w:val="000000"/>
          <w:sz w:val="20"/>
          <w:u w:val="single"/>
        </w:rPr>
      </w:pPr>
      <w:r w:rsidRPr="00701F32">
        <w:rPr>
          <w:rFonts w:ascii="Arial" w:eastAsia="Calibri" w:hAnsi="Arial" w:cs="Arial"/>
          <w:sz w:val="20"/>
          <w:u w:val="single"/>
        </w:rPr>
        <w:t xml:space="preserve">Asociadas </w:t>
      </w:r>
    </w:p>
    <w:p w14:paraId="6AB358EB" w14:textId="6E8E01E8" w:rsidR="003A0C03" w:rsidRPr="00701F32" w:rsidRDefault="003A0C03" w:rsidP="003A0C03">
      <w:pPr>
        <w:jc w:val="both"/>
        <w:rPr>
          <w:rFonts w:ascii="Arial" w:eastAsia="Calibri" w:hAnsi="Arial" w:cs="Arial"/>
          <w:sz w:val="20"/>
        </w:rPr>
      </w:pPr>
      <w:r w:rsidRPr="00701F32">
        <w:rPr>
          <w:rFonts w:ascii="Arial" w:eastAsia="Calibri" w:hAnsi="Arial" w:cs="Arial"/>
          <w:sz w:val="20"/>
        </w:rPr>
        <w:t>Al 3</w:t>
      </w:r>
      <w:r w:rsidR="00291D30">
        <w:rPr>
          <w:rFonts w:ascii="Arial" w:eastAsia="Calibri" w:hAnsi="Arial" w:cs="Arial"/>
          <w:sz w:val="20"/>
        </w:rPr>
        <w:t>1</w:t>
      </w:r>
      <w:r w:rsidRPr="00701F32">
        <w:rPr>
          <w:rFonts w:ascii="Arial" w:eastAsia="Calibri" w:hAnsi="Arial" w:cs="Arial"/>
          <w:sz w:val="20"/>
        </w:rPr>
        <w:t xml:space="preserve"> de </w:t>
      </w:r>
      <w:r w:rsidR="00291D30">
        <w:rPr>
          <w:rFonts w:ascii="Arial" w:eastAsia="Calibri" w:hAnsi="Arial" w:cs="Arial"/>
          <w:sz w:val="20"/>
        </w:rPr>
        <w:t>marzo</w:t>
      </w:r>
      <w:r w:rsidR="006104DE" w:rsidRPr="00701F32">
        <w:rPr>
          <w:rFonts w:ascii="Arial" w:eastAsia="Calibri" w:hAnsi="Arial" w:cs="Arial"/>
          <w:sz w:val="20"/>
        </w:rPr>
        <w:t xml:space="preserve"> </w:t>
      </w:r>
      <w:r w:rsidRPr="00701F32">
        <w:rPr>
          <w:rFonts w:ascii="Arial" w:eastAsia="Calibri" w:hAnsi="Arial" w:cs="Arial"/>
          <w:sz w:val="20"/>
        </w:rPr>
        <w:t xml:space="preserve">de </w:t>
      </w:r>
      <w:r w:rsidR="006104DE" w:rsidRPr="00701F32">
        <w:rPr>
          <w:rFonts w:ascii="Arial" w:eastAsia="Calibri" w:hAnsi="Arial" w:cs="Arial"/>
          <w:sz w:val="20"/>
        </w:rPr>
        <w:t>20</w:t>
      </w:r>
      <w:r w:rsidR="00AB4EE5">
        <w:rPr>
          <w:rFonts w:ascii="Arial" w:eastAsia="Calibri" w:hAnsi="Arial" w:cs="Arial"/>
          <w:sz w:val="20"/>
        </w:rPr>
        <w:t>20</w:t>
      </w:r>
      <w:r w:rsidR="006104DE" w:rsidRPr="00701F32">
        <w:rPr>
          <w:rFonts w:ascii="Arial" w:eastAsia="Calibri" w:hAnsi="Arial" w:cs="Arial"/>
          <w:sz w:val="20"/>
        </w:rPr>
        <w:t xml:space="preserve"> </w:t>
      </w:r>
      <w:r w:rsidRPr="00701F32">
        <w:rPr>
          <w:rFonts w:ascii="Arial" w:eastAsia="Calibri" w:hAnsi="Arial" w:cs="Arial"/>
          <w:sz w:val="20"/>
        </w:rPr>
        <w:t xml:space="preserve">la entidad tenía una participación accionaria de la Entidad en Tarjeta Automática S.A. representa el 10 % del capital social y de los votos y se encuentra registrada en el rubro Inversión en subsidiarias, asociadas y negocios conjuntos por </w:t>
      </w:r>
      <w:r w:rsidR="00D35EF9">
        <w:rPr>
          <w:rFonts w:ascii="Arial" w:eastAsia="Calibri" w:hAnsi="Arial" w:cs="Arial"/>
          <w:sz w:val="20"/>
        </w:rPr>
        <w:t xml:space="preserve">$ </w:t>
      </w:r>
      <w:r w:rsidR="00CA2D64" w:rsidRPr="00687C79">
        <w:rPr>
          <w:rFonts w:ascii="Arial" w:eastAsia="Calibri" w:hAnsi="Arial" w:cs="Arial"/>
          <w:sz w:val="20"/>
        </w:rPr>
        <w:t>34.2</w:t>
      </w:r>
      <w:r w:rsidR="00934F9A" w:rsidRPr="00687C79">
        <w:rPr>
          <w:rFonts w:ascii="Arial" w:eastAsia="Calibri" w:hAnsi="Arial" w:cs="Arial"/>
          <w:sz w:val="20"/>
        </w:rPr>
        <w:t>17</w:t>
      </w:r>
      <w:r w:rsidR="00CA2D64">
        <w:rPr>
          <w:rFonts w:ascii="Arial" w:eastAsia="Calibri" w:hAnsi="Arial" w:cs="Arial"/>
          <w:sz w:val="20"/>
        </w:rPr>
        <w:t>.</w:t>
      </w:r>
    </w:p>
    <w:p w14:paraId="7D672FB8" w14:textId="77777777" w:rsidR="003A0C03" w:rsidRPr="00701F32" w:rsidRDefault="003A0C03" w:rsidP="00656E62">
      <w:pPr>
        <w:jc w:val="both"/>
        <w:rPr>
          <w:rFonts w:ascii="Arial" w:eastAsia="Calibri" w:hAnsi="Arial" w:cs="Arial"/>
          <w:color w:val="000000"/>
          <w:sz w:val="20"/>
        </w:rPr>
      </w:pPr>
    </w:p>
    <w:p w14:paraId="071DA1F5" w14:textId="77777777" w:rsidR="00656E62" w:rsidRPr="00701F32" w:rsidRDefault="00656E62" w:rsidP="00656E62">
      <w:pPr>
        <w:tabs>
          <w:tab w:val="left" w:pos="142"/>
        </w:tabs>
        <w:spacing w:after="200" w:line="276" w:lineRule="auto"/>
        <w:contextualSpacing/>
        <w:jc w:val="both"/>
        <w:rPr>
          <w:rFonts w:ascii="Arial" w:eastAsia="Calibri" w:hAnsi="Arial" w:cs="Arial"/>
          <w:bCs/>
          <w:sz w:val="20"/>
          <w:lang w:eastAsia="es-AR"/>
        </w:rPr>
      </w:pPr>
      <w:r w:rsidRPr="00701F32">
        <w:rPr>
          <w:rFonts w:ascii="Arial" w:eastAsia="Calibri" w:hAnsi="Arial" w:cs="Arial"/>
          <w:sz w:val="20"/>
          <w:u w:val="single"/>
          <w:lang w:eastAsia="es-AR"/>
        </w:rPr>
        <w:t>Sociedades vinculadas</w:t>
      </w:r>
    </w:p>
    <w:p w14:paraId="16DAD952" w14:textId="77777777" w:rsidR="00656E62" w:rsidRPr="00701F32" w:rsidRDefault="00656E62" w:rsidP="00656E62">
      <w:pPr>
        <w:tabs>
          <w:tab w:val="left" w:pos="142"/>
        </w:tabs>
        <w:spacing w:after="200" w:line="276" w:lineRule="auto"/>
        <w:contextualSpacing/>
        <w:jc w:val="both"/>
        <w:rPr>
          <w:rFonts w:ascii="Arial" w:eastAsia="Calibri" w:hAnsi="Arial" w:cs="Arial"/>
          <w:bCs/>
          <w:sz w:val="20"/>
          <w:lang w:eastAsia="es-AR"/>
        </w:rPr>
      </w:pPr>
    </w:p>
    <w:p w14:paraId="1662EE1E" w14:textId="157332AA" w:rsidR="00656E62" w:rsidRPr="00701F32" w:rsidRDefault="00656E62" w:rsidP="00656E62">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 xml:space="preserve">Banco Supervielle S.A. está vinculado a Sofital S.A.F.e I.I. Al </w:t>
      </w:r>
      <w:r w:rsidR="00886AE1">
        <w:rPr>
          <w:rFonts w:ascii="Arial" w:eastAsia="Calibri" w:hAnsi="Arial" w:cs="Arial"/>
          <w:sz w:val="20"/>
        </w:rPr>
        <w:t>3</w:t>
      </w:r>
      <w:r w:rsidR="00AB4EE5">
        <w:rPr>
          <w:rFonts w:ascii="Arial" w:eastAsia="Calibri" w:hAnsi="Arial" w:cs="Arial"/>
          <w:sz w:val="20"/>
        </w:rPr>
        <w:t xml:space="preserve">1 </w:t>
      </w:r>
      <w:r w:rsidRPr="00701F32">
        <w:rPr>
          <w:rFonts w:ascii="Arial" w:eastAsia="Calibri" w:hAnsi="Arial" w:cs="Arial"/>
          <w:sz w:val="20"/>
        </w:rPr>
        <w:t xml:space="preserve">de </w:t>
      </w:r>
      <w:r w:rsidR="00AB4EE5">
        <w:rPr>
          <w:rFonts w:ascii="Arial" w:eastAsia="Calibri" w:hAnsi="Arial" w:cs="Arial"/>
          <w:sz w:val="20"/>
        </w:rPr>
        <w:t>marzo</w:t>
      </w:r>
      <w:r w:rsidR="00467044" w:rsidRPr="00701F32">
        <w:rPr>
          <w:rFonts w:ascii="Arial" w:eastAsia="Calibri" w:hAnsi="Arial" w:cs="Arial"/>
          <w:sz w:val="20"/>
        </w:rPr>
        <w:t xml:space="preserve"> </w:t>
      </w:r>
      <w:r w:rsidRPr="00701F32">
        <w:rPr>
          <w:rFonts w:ascii="Arial" w:eastAsia="Calibri" w:hAnsi="Arial" w:cs="Arial"/>
          <w:sz w:val="20"/>
        </w:rPr>
        <w:t>de 20</w:t>
      </w:r>
      <w:r w:rsidR="00AB4EE5">
        <w:rPr>
          <w:rFonts w:ascii="Arial" w:eastAsia="Calibri" w:hAnsi="Arial" w:cs="Arial"/>
          <w:sz w:val="20"/>
        </w:rPr>
        <w:t>20</w:t>
      </w:r>
      <w:r w:rsidRPr="00701F32">
        <w:rPr>
          <w:rFonts w:ascii="Arial" w:eastAsia="Calibri" w:hAnsi="Arial" w:cs="Arial"/>
          <w:sz w:val="20"/>
        </w:rPr>
        <w:t xml:space="preserve"> la participación accionaria de Sofital S.A.F.e I.I. en Banco Supervielle S.A. representa el </w:t>
      </w:r>
      <w:r w:rsidR="009A58C2">
        <w:rPr>
          <w:rFonts w:ascii="Arial" w:eastAsia="Calibri" w:hAnsi="Arial" w:cs="Arial"/>
          <w:sz w:val="20"/>
        </w:rPr>
        <w:t>2</w:t>
      </w:r>
      <w:r w:rsidRPr="00701F32">
        <w:rPr>
          <w:rFonts w:ascii="Arial" w:eastAsia="Calibri" w:hAnsi="Arial" w:cs="Arial"/>
          <w:sz w:val="20"/>
        </w:rPr>
        <w:t>,</w:t>
      </w:r>
      <w:r w:rsidR="0037305B">
        <w:rPr>
          <w:rFonts w:ascii="Arial" w:eastAsia="Calibri" w:hAnsi="Arial" w:cs="Arial"/>
          <w:sz w:val="20"/>
        </w:rPr>
        <w:t>79</w:t>
      </w:r>
      <w:r w:rsidRPr="00701F32">
        <w:rPr>
          <w:rFonts w:ascii="Arial" w:eastAsia="Calibri" w:hAnsi="Arial" w:cs="Arial"/>
          <w:sz w:val="20"/>
        </w:rPr>
        <w:t xml:space="preserve">% del capital social y el </w:t>
      </w:r>
      <w:r w:rsidR="009A58C2">
        <w:rPr>
          <w:rFonts w:ascii="Arial" w:eastAsia="Calibri" w:hAnsi="Arial" w:cs="Arial"/>
          <w:sz w:val="20"/>
        </w:rPr>
        <w:t>2</w:t>
      </w:r>
      <w:r w:rsidRPr="00701F32">
        <w:rPr>
          <w:rFonts w:ascii="Arial" w:eastAsia="Calibri" w:hAnsi="Arial" w:cs="Arial"/>
          <w:sz w:val="20"/>
        </w:rPr>
        <w:t>,</w:t>
      </w:r>
      <w:r w:rsidR="009A58C2">
        <w:rPr>
          <w:rFonts w:ascii="Arial" w:eastAsia="Calibri" w:hAnsi="Arial" w:cs="Arial"/>
          <w:sz w:val="20"/>
        </w:rPr>
        <w:t>8</w:t>
      </w:r>
      <w:r w:rsidR="0037305B">
        <w:rPr>
          <w:rFonts w:ascii="Arial" w:eastAsia="Calibri" w:hAnsi="Arial" w:cs="Arial"/>
          <w:sz w:val="20"/>
        </w:rPr>
        <w:t>1</w:t>
      </w:r>
      <w:r w:rsidRPr="00701F32">
        <w:rPr>
          <w:rFonts w:ascii="Arial" w:eastAsia="Calibri" w:hAnsi="Arial" w:cs="Arial"/>
          <w:sz w:val="20"/>
        </w:rPr>
        <w:t>% de los votos</w:t>
      </w:r>
      <w:r w:rsidR="00C40DFD" w:rsidRPr="00701F32">
        <w:rPr>
          <w:rFonts w:ascii="Arial" w:eastAsia="Calibri" w:hAnsi="Arial" w:cs="Arial"/>
          <w:sz w:val="20"/>
        </w:rPr>
        <w:t>.</w:t>
      </w:r>
      <w:r w:rsidRPr="00701F32">
        <w:rPr>
          <w:rFonts w:ascii="Arial" w:eastAsia="Calibri" w:hAnsi="Arial" w:cs="Arial"/>
          <w:sz w:val="20"/>
        </w:rPr>
        <w:t xml:space="preserve"> </w:t>
      </w:r>
      <w:r w:rsidR="00C40DFD" w:rsidRPr="00701F32">
        <w:rPr>
          <w:rFonts w:ascii="Arial" w:eastAsia="Calibri" w:hAnsi="Arial" w:cs="Arial"/>
          <w:sz w:val="20"/>
        </w:rPr>
        <w:t xml:space="preserve">Al </w:t>
      </w:r>
      <w:r w:rsidRPr="00701F32">
        <w:rPr>
          <w:rFonts w:ascii="Arial" w:eastAsia="Calibri" w:hAnsi="Arial" w:cs="Arial"/>
          <w:sz w:val="20"/>
        </w:rPr>
        <w:t>31 de diciembre de 201</w:t>
      </w:r>
      <w:r w:rsidR="00AB4EE5">
        <w:rPr>
          <w:rFonts w:ascii="Arial" w:eastAsia="Calibri" w:hAnsi="Arial" w:cs="Arial"/>
          <w:sz w:val="20"/>
        </w:rPr>
        <w:t>9</w:t>
      </w:r>
      <w:r w:rsidRPr="00701F32">
        <w:rPr>
          <w:rFonts w:ascii="Arial" w:eastAsia="Calibri" w:hAnsi="Arial" w:cs="Arial"/>
          <w:sz w:val="20"/>
        </w:rPr>
        <w:t xml:space="preserve"> representaba el </w:t>
      </w:r>
      <w:r w:rsidR="00AB4EE5">
        <w:rPr>
          <w:rFonts w:ascii="Arial" w:eastAsia="Calibri" w:hAnsi="Arial" w:cs="Arial"/>
          <w:sz w:val="20"/>
        </w:rPr>
        <w:t>2</w:t>
      </w:r>
      <w:r w:rsidRPr="00701F32">
        <w:rPr>
          <w:rFonts w:ascii="Arial" w:eastAsia="Calibri" w:hAnsi="Arial" w:cs="Arial"/>
          <w:sz w:val="20"/>
        </w:rPr>
        <w:t>,</w:t>
      </w:r>
      <w:r w:rsidR="00AB4EE5">
        <w:rPr>
          <w:rFonts w:ascii="Arial" w:eastAsia="Calibri" w:hAnsi="Arial" w:cs="Arial"/>
          <w:sz w:val="20"/>
        </w:rPr>
        <w:t>79</w:t>
      </w:r>
      <w:r w:rsidRPr="00701F32">
        <w:rPr>
          <w:rFonts w:ascii="Arial" w:eastAsia="Calibri" w:hAnsi="Arial" w:cs="Arial"/>
          <w:sz w:val="20"/>
        </w:rPr>
        <w:t xml:space="preserve">% del capital social y el </w:t>
      </w:r>
      <w:r w:rsidR="00AB4EE5">
        <w:rPr>
          <w:rFonts w:ascii="Arial" w:eastAsia="Calibri" w:hAnsi="Arial" w:cs="Arial"/>
          <w:sz w:val="20"/>
        </w:rPr>
        <w:t>2</w:t>
      </w:r>
      <w:r w:rsidRPr="00701F32">
        <w:rPr>
          <w:rFonts w:ascii="Arial" w:eastAsia="Calibri" w:hAnsi="Arial" w:cs="Arial"/>
          <w:sz w:val="20"/>
        </w:rPr>
        <w:t>,</w:t>
      </w:r>
      <w:r w:rsidR="00AB4EE5">
        <w:rPr>
          <w:rFonts w:ascii="Arial" w:eastAsia="Calibri" w:hAnsi="Arial" w:cs="Arial"/>
          <w:sz w:val="20"/>
        </w:rPr>
        <w:t>81</w:t>
      </w:r>
      <w:r w:rsidRPr="00701F32">
        <w:rPr>
          <w:rFonts w:ascii="Arial" w:eastAsia="Calibri" w:hAnsi="Arial" w:cs="Arial"/>
          <w:sz w:val="20"/>
        </w:rPr>
        <w:t>% de los votos</w:t>
      </w:r>
      <w:r w:rsidR="009A58C2">
        <w:rPr>
          <w:rFonts w:ascii="Arial" w:eastAsia="Calibri" w:hAnsi="Arial" w:cs="Arial"/>
          <w:sz w:val="20"/>
        </w:rPr>
        <w:t>.</w:t>
      </w:r>
    </w:p>
    <w:p w14:paraId="2C4EC661" w14:textId="6C4B5E9B" w:rsidR="00656E62" w:rsidRPr="00701F32" w:rsidRDefault="00656E62" w:rsidP="00656E62">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La Entidad se encuentra vinculada a las empresas Supervielle Asset Management S.A.,</w:t>
      </w:r>
      <w:r w:rsidR="00EA3204" w:rsidRPr="00701F32">
        <w:rPr>
          <w:rFonts w:ascii="Arial" w:eastAsia="Calibri" w:hAnsi="Arial" w:cs="Arial"/>
          <w:sz w:val="20"/>
        </w:rPr>
        <w:t xml:space="preserve"> </w:t>
      </w:r>
      <w:r w:rsidRPr="00701F32">
        <w:rPr>
          <w:rFonts w:ascii="Arial" w:eastAsia="Calibri" w:hAnsi="Arial" w:cs="Arial"/>
          <w:sz w:val="20"/>
        </w:rPr>
        <w:t>Espacio Cordial de Servicios S.A.</w:t>
      </w:r>
      <w:r w:rsidR="001C4AB8" w:rsidRPr="00701F32">
        <w:rPr>
          <w:rFonts w:ascii="Arial" w:eastAsia="Calibri" w:hAnsi="Arial" w:cs="Arial"/>
          <w:sz w:val="20"/>
        </w:rPr>
        <w:t xml:space="preserve">, </w:t>
      </w:r>
      <w:r w:rsidRPr="00701F32">
        <w:rPr>
          <w:rFonts w:ascii="Arial" w:eastAsia="Calibri" w:hAnsi="Arial" w:cs="Arial"/>
          <w:sz w:val="20"/>
        </w:rPr>
        <w:t>Supervielle Seguros S.A.</w:t>
      </w:r>
      <w:r w:rsidR="00114557" w:rsidRPr="00701F32">
        <w:rPr>
          <w:rFonts w:ascii="Arial" w:eastAsia="Calibri" w:hAnsi="Arial" w:cs="Arial"/>
          <w:sz w:val="20"/>
        </w:rPr>
        <w:t>,</w:t>
      </w:r>
      <w:r w:rsidR="001C4AB8" w:rsidRPr="00701F32">
        <w:rPr>
          <w:rFonts w:ascii="Arial" w:eastAsia="Calibri" w:hAnsi="Arial" w:cs="Arial"/>
          <w:sz w:val="20"/>
        </w:rPr>
        <w:t xml:space="preserve"> InvertirOnLine S.A.</w:t>
      </w:r>
      <w:r w:rsidR="00C00F7F">
        <w:rPr>
          <w:rFonts w:ascii="Arial" w:eastAsia="Calibri" w:hAnsi="Arial" w:cs="Arial"/>
          <w:sz w:val="20"/>
        </w:rPr>
        <w:t>U.</w:t>
      </w:r>
      <w:r w:rsidR="00114557" w:rsidRPr="00701F32">
        <w:rPr>
          <w:rFonts w:ascii="Arial" w:eastAsia="Calibri" w:hAnsi="Arial" w:cs="Arial"/>
          <w:sz w:val="20"/>
        </w:rPr>
        <w:t>, InvertirOnline.Com Argentina S.A.</w:t>
      </w:r>
      <w:r w:rsidR="00C5517A">
        <w:rPr>
          <w:rFonts w:ascii="Arial" w:eastAsia="Calibri" w:hAnsi="Arial" w:cs="Arial"/>
          <w:sz w:val="20"/>
        </w:rPr>
        <w:t>U.</w:t>
      </w:r>
      <w:r w:rsidR="00114557" w:rsidRPr="00701F32">
        <w:rPr>
          <w:rFonts w:ascii="Arial" w:eastAsia="Calibri" w:hAnsi="Arial" w:cs="Arial"/>
          <w:sz w:val="20"/>
        </w:rPr>
        <w:t xml:space="preserve"> y Micro Lending S.A.</w:t>
      </w:r>
      <w:r w:rsidR="00C00F7F">
        <w:rPr>
          <w:rFonts w:ascii="Arial" w:eastAsia="Calibri" w:hAnsi="Arial" w:cs="Arial"/>
          <w:sz w:val="20"/>
        </w:rPr>
        <w:t>U.</w:t>
      </w:r>
      <w:r w:rsidR="001C4AB8" w:rsidRPr="00701F32">
        <w:rPr>
          <w:rFonts w:ascii="Arial" w:eastAsia="Calibri" w:hAnsi="Arial" w:cs="Arial"/>
          <w:sz w:val="20"/>
        </w:rPr>
        <w:t xml:space="preserve"> </w:t>
      </w:r>
      <w:r w:rsidRPr="00701F32">
        <w:rPr>
          <w:rFonts w:ascii="Arial" w:eastAsia="Calibri" w:hAnsi="Arial" w:cs="Arial"/>
          <w:sz w:val="20"/>
        </w:rPr>
        <w:t>por ser sociedades controladas por Grupo Supervielle S.A.</w:t>
      </w:r>
    </w:p>
    <w:p w14:paraId="651D30B5" w14:textId="77777777" w:rsidR="00656E62" w:rsidRPr="00701F32" w:rsidRDefault="00656E62" w:rsidP="00656E62">
      <w:pPr>
        <w:contextualSpacing/>
        <w:jc w:val="both"/>
        <w:rPr>
          <w:rFonts w:ascii="Arial" w:eastAsia="Calibri" w:hAnsi="Arial" w:cs="Arial"/>
          <w:noProof/>
          <w:sz w:val="20"/>
          <w:u w:val="single"/>
        </w:rPr>
      </w:pPr>
      <w:r w:rsidRPr="00701F32">
        <w:rPr>
          <w:rFonts w:ascii="Arial" w:eastAsia="Calibri" w:hAnsi="Arial" w:cs="Arial"/>
          <w:noProof/>
          <w:sz w:val="20"/>
          <w:u w:val="single"/>
        </w:rPr>
        <w:t>A continuación se detallan los saldos y transacciones más significativas con partes relacionadas:</w:t>
      </w:r>
    </w:p>
    <w:p w14:paraId="2BE275CF" w14:textId="77777777" w:rsidR="00656E62" w:rsidRPr="00701F32" w:rsidRDefault="00656E62" w:rsidP="00656E62">
      <w:pPr>
        <w:widowControl w:val="0"/>
        <w:autoSpaceDE w:val="0"/>
        <w:autoSpaceDN w:val="0"/>
        <w:adjustRightInd w:val="0"/>
        <w:jc w:val="both"/>
        <w:rPr>
          <w:rFonts w:ascii="Arial" w:hAnsi="Arial" w:cs="Arial"/>
          <w:b/>
          <w:noProof/>
          <w:sz w:val="20"/>
        </w:rPr>
      </w:pPr>
    </w:p>
    <w:p w14:paraId="29CE48D0" w14:textId="167B1011" w:rsidR="001C4AB8" w:rsidRDefault="00656E62" w:rsidP="00656E62">
      <w:pPr>
        <w:widowControl w:val="0"/>
        <w:autoSpaceDE w:val="0"/>
        <w:autoSpaceDN w:val="0"/>
        <w:adjustRightInd w:val="0"/>
        <w:jc w:val="both"/>
        <w:rPr>
          <w:rFonts w:ascii="Arial" w:eastAsia="Calibri" w:hAnsi="Arial" w:cs="Arial"/>
          <w:color w:val="000000"/>
          <w:sz w:val="20"/>
        </w:rPr>
      </w:pPr>
      <w:r w:rsidRPr="00701F32">
        <w:rPr>
          <w:rFonts w:ascii="Arial" w:eastAsia="Calibri" w:hAnsi="Arial" w:cs="Arial"/>
          <w:color w:val="000000"/>
          <w:sz w:val="20"/>
        </w:rPr>
        <w:t xml:space="preserve">Los saldos al </w:t>
      </w:r>
      <w:r w:rsidR="00886AE1">
        <w:rPr>
          <w:rFonts w:ascii="Arial" w:eastAsia="Calibri" w:hAnsi="Arial" w:cs="Arial"/>
          <w:color w:val="000000"/>
          <w:sz w:val="20"/>
        </w:rPr>
        <w:t>3</w:t>
      </w:r>
      <w:r w:rsidR="00291D30">
        <w:rPr>
          <w:rFonts w:ascii="Arial" w:eastAsia="Calibri" w:hAnsi="Arial" w:cs="Arial"/>
          <w:color w:val="000000"/>
          <w:sz w:val="20"/>
        </w:rPr>
        <w:t>1</w:t>
      </w:r>
      <w:r w:rsidR="006104DE">
        <w:rPr>
          <w:rFonts w:ascii="Arial" w:eastAsia="Calibri" w:hAnsi="Arial" w:cs="Arial"/>
          <w:color w:val="000000"/>
          <w:sz w:val="20"/>
        </w:rPr>
        <w:t xml:space="preserve"> de </w:t>
      </w:r>
      <w:r w:rsidR="00291D30">
        <w:rPr>
          <w:rFonts w:ascii="Arial" w:eastAsia="Calibri" w:hAnsi="Arial" w:cs="Arial"/>
          <w:color w:val="000000"/>
          <w:sz w:val="20"/>
        </w:rPr>
        <w:t>marzo</w:t>
      </w:r>
      <w:r w:rsidR="006104DE">
        <w:rPr>
          <w:rFonts w:ascii="Arial" w:eastAsia="Calibri" w:hAnsi="Arial" w:cs="Arial"/>
          <w:color w:val="000000"/>
          <w:sz w:val="20"/>
        </w:rPr>
        <w:t xml:space="preserve"> de 20</w:t>
      </w:r>
      <w:r w:rsidR="00291D30">
        <w:rPr>
          <w:rFonts w:ascii="Arial" w:eastAsia="Calibri" w:hAnsi="Arial" w:cs="Arial"/>
          <w:color w:val="000000"/>
          <w:sz w:val="20"/>
        </w:rPr>
        <w:t>20</w:t>
      </w:r>
      <w:r w:rsidRPr="00701F32">
        <w:rPr>
          <w:rFonts w:ascii="Arial" w:eastAsia="Calibri" w:hAnsi="Arial" w:cs="Arial"/>
          <w:color w:val="000000"/>
          <w:sz w:val="20"/>
        </w:rPr>
        <w:t>, con las sociedades indicadas son los siguientes:</w:t>
      </w:r>
    </w:p>
    <w:p w14:paraId="27659AF8" w14:textId="77777777" w:rsidR="0013668C" w:rsidRPr="00701F32" w:rsidRDefault="0013668C" w:rsidP="00656E62">
      <w:pPr>
        <w:widowControl w:val="0"/>
        <w:autoSpaceDE w:val="0"/>
        <w:autoSpaceDN w:val="0"/>
        <w:adjustRightInd w:val="0"/>
        <w:jc w:val="both"/>
        <w:rPr>
          <w:rFonts w:ascii="Arial" w:eastAsia="Calibri" w:hAnsi="Arial" w:cs="Arial"/>
          <w:color w:val="000000"/>
          <w:sz w:val="20"/>
        </w:rPr>
      </w:pPr>
    </w:p>
    <w:tbl>
      <w:tblPr>
        <w:tblpPr w:leftFromText="141" w:rightFromText="141" w:vertAnchor="text" w:horzAnchor="page" w:tblpX="1051" w:tblpY="133"/>
        <w:tblW w:w="107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078"/>
        <w:gridCol w:w="1385"/>
        <w:gridCol w:w="1231"/>
        <w:gridCol w:w="1078"/>
        <w:gridCol w:w="1538"/>
        <w:gridCol w:w="1231"/>
        <w:gridCol w:w="1231"/>
        <w:gridCol w:w="24"/>
      </w:tblGrid>
      <w:tr w:rsidR="0013668C" w:rsidRPr="00701F32" w14:paraId="03143BD1" w14:textId="77777777" w:rsidTr="0013668C">
        <w:trPr>
          <w:trHeight w:val="297"/>
          <w:tblHeader/>
        </w:trPr>
        <w:tc>
          <w:tcPr>
            <w:tcW w:w="3078" w:type="dxa"/>
            <w:vMerge w:val="restart"/>
            <w:shd w:val="clear" w:color="auto" w:fill="auto"/>
            <w:vAlign w:val="center"/>
            <w:hideMark/>
          </w:tcPr>
          <w:p w14:paraId="03542039" w14:textId="77777777" w:rsidR="0013668C" w:rsidRPr="00701F32" w:rsidRDefault="0013668C" w:rsidP="0013668C">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Sociedades</w:t>
            </w:r>
          </w:p>
        </w:tc>
        <w:tc>
          <w:tcPr>
            <w:tcW w:w="1385" w:type="dxa"/>
          </w:tcPr>
          <w:p w14:paraId="4D64DF88" w14:textId="77777777" w:rsidR="0013668C" w:rsidRDefault="0013668C" w:rsidP="0013668C">
            <w:pPr>
              <w:spacing w:after="160" w:line="259" w:lineRule="auto"/>
              <w:jc w:val="center"/>
              <w:rPr>
                <w:rFonts w:ascii="Arial" w:eastAsia="Calibri" w:hAnsi="Arial" w:cs="Arial"/>
                <w:b/>
                <w:color w:val="000000"/>
                <w:sz w:val="16"/>
                <w:lang w:eastAsia="es-AR"/>
              </w:rPr>
            </w:pPr>
          </w:p>
        </w:tc>
        <w:tc>
          <w:tcPr>
            <w:tcW w:w="6333" w:type="dxa"/>
            <w:gridSpan w:val="6"/>
            <w:vAlign w:val="bottom"/>
          </w:tcPr>
          <w:p w14:paraId="31E0406C" w14:textId="77777777" w:rsidR="0013668C" w:rsidRPr="00701F32" w:rsidRDefault="0013668C" w:rsidP="0013668C">
            <w:pPr>
              <w:spacing w:after="160" w:line="259" w:lineRule="auto"/>
              <w:jc w:val="center"/>
              <w:rPr>
                <w:rFonts w:ascii="Arial" w:eastAsia="Calibri" w:hAnsi="Arial" w:cs="Arial"/>
                <w:b/>
                <w:color w:val="000000"/>
                <w:sz w:val="16"/>
                <w:lang w:eastAsia="es-AR"/>
              </w:rPr>
            </w:pPr>
            <w:r>
              <w:rPr>
                <w:rFonts w:ascii="Arial" w:eastAsia="Calibri" w:hAnsi="Arial" w:cs="Arial"/>
                <w:b/>
                <w:color w:val="000000"/>
                <w:sz w:val="16"/>
                <w:lang w:eastAsia="es-AR"/>
              </w:rPr>
              <w:t>31/03/2020</w:t>
            </w:r>
          </w:p>
        </w:tc>
      </w:tr>
      <w:tr w:rsidR="0013668C" w:rsidRPr="00701F32" w14:paraId="2A771B70" w14:textId="77777777" w:rsidTr="0013668C">
        <w:trPr>
          <w:gridAfter w:val="1"/>
          <w:wAfter w:w="24" w:type="dxa"/>
          <w:trHeight w:val="398"/>
          <w:tblHeader/>
        </w:trPr>
        <w:tc>
          <w:tcPr>
            <w:tcW w:w="3078" w:type="dxa"/>
            <w:vMerge/>
            <w:shd w:val="clear" w:color="auto" w:fill="auto"/>
            <w:vAlign w:val="bottom"/>
            <w:hideMark/>
          </w:tcPr>
          <w:p w14:paraId="3A476677" w14:textId="77777777" w:rsidR="0013668C" w:rsidRPr="00701F32" w:rsidRDefault="0013668C" w:rsidP="0013668C">
            <w:pPr>
              <w:spacing w:after="160" w:line="259" w:lineRule="auto"/>
              <w:jc w:val="center"/>
              <w:rPr>
                <w:rFonts w:ascii="Arial" w:eastAsia="Calibri" w:hAnsi="Arial" w:cs="Arial"/>
                <w:color w:val="000000"/>
                <w:sz w:val="16"/>
              </w:rPr>
            </w:pPr>
          </w:p>
        </w:tc>
        <w:tc>
          <w:tcPr>
            <w:tcW w:w="1385" w:type="dxa"/>
            <w:vAlign w:val="center"/>
          </w:tcPr>
          <w:p w14:paraId="6032BD25" w14:textId="77777777" w:rsidR="0013668C" w:rsidRPr="00701F32" w:rsidRDefault="0013668C" w:rsidP="0013668C">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Préstamos y Otras Financiaciones</w:t>
            </w:r>
          </w:p>
        </w:tc>
        <w:tc>
          <w:tcPr>
            <w:tcW w:w="1231" w:type="dxa"/>
            <w:shd w:val="clear" w:color="auto" w:fill="auto"/>
            <w:vAlign w:val="center"/>
            <w:hideMark/>
          </w:tcPr>
          <w:p w14:paraId="158F2416" w14:textId="77777777" w:rsidR="0013668C" w:rsidRPr="00701F32" w:rsidRDefault="0013668C" w:rsidP="0013668C">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Otros Activos Financieros</w:t>
            </w:r>
          </w:p>
        </w:tc>
        <w:tc>
          <w:tcPr>
            <w:tcW w:w="1078" w:type="dxa"/>
            <w:shd w:val="clear" w:color="auto" w:fill="auto"/>
            <w:vAlign w:val="center"/>
            <w:hideMark/>
          </w:tcPr>
          <w:p w14:paraId="2F682C32" w14:textId="77777777" w:rsidR="0013668C" w:rsidRPr="00701F32" w:rsidRDefault="0013668C" w:rsidP="0013668C">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Depósitos</w:t>
            </w:r>
          </w:p>
        </w:tc>
        <w:tc>
          <w:tcPr>
            <w:tcW w:w="1538" w:type="dxa"/>
            <w:vAlign w:val="center"/>
          </w:tcPr>
          <w:p w14:paraId="4A744996" w14:textId="77777777" w:rsidR="0013668C" w:rsidRPr="00701F32" w:rsidRDefault="0013668C" w:rsidP="0013668C">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Otros Pasivos no Financieros</w:t>
            </w:r>
          </w:p>
        </w:tc>
        <w:tc>
          <w:tcPr>
            <w:tcW w:w="1231" w:type="dxa"/>
            <w:vAlign w:val="center"/>
          </w:tcPr>
          <w:p w14:paraId="6A37EE02" w14:textId="77777777" w:rsidR="0013668C" w:rsidRDefault="0013668C" w:rsidP="0013668C">
            <w:pPr>
              <w:spacing w:after="160" w:line="259" w:lineRule="auto"/>
              <w:jc w:val="center"/>
              <w:rPr>
                <w:rFonts w:ascii="Arial" w:eastAsia="Calibri" w:hAnsi="Arial" w:cs="Arial"/>
                <w:b/>
                <w:bCs/>
                <w:color w:val="000000"/>
                <w:sz w:val="16"/>
                <w:lang w:eastAsia="es-AR"/>
              </w:rPr>
            </w:pPr>
            <w:r>
              <w:rPr>
                <w:rFonts w:ascii="Arial" w:eastAsia="Calibri" w:hAnsi="Arial" w:cs="Arial"/>
                <w:b/>
                <w:bCs/>
                <w:color w:val="000000"/>
                <w:sz w:val="16"/>
                <w:szCs w:val="16"/>
                <w:lang w:eastAsia="es-AR"/>
              </w:rPr>
              <w:t>Obligaciones Negocibales emitidas</w:t>
            </w:r>
          </w:p>
        </w:tc>
        <w:tc>
          <w:tcPr>
            <w:tcW w:w="1231" w:type="dxa"/>
            <w:shd w:val="clear" w:color="auto" w:fill="auto"/>
            <w:vAlign w:val="center"/>
          </w:tcPr>
          <w:p w14:paraId="7EB2BFDA" w14:textId="77777777" w:rsidR="0013668C" w:rsidRPr="00701F32" w:rsidRDefault="0013668C" w:rsidP="0013668C">
            <w:pPr>
              <w:spacing w:after="160" w:line="259" w:lineRule="auto"/>
              <w:jc w:val="center"/>
              <w:rPr>
                <w:rFonts w:ascii="Arial" w:eastAsia="Calibri" w:hAnsi="Arial" w:cs="Arial"/>
                <w:b/>
                <w:bCs/>
                <w:color w:val="000000"/>
                <w:sz w:val="16"/>
                <w:lang w:eastAsia="es-AR"/>
              </w:rPr>
            </w:pPr>
            <w:r>
              <w:rPr>
                <w:rFonts w:ascii="Arial" w:eastAsia="Calibri" w:hAnsi="Arial" w:cs="Arial"/>
                <w:b/>
                <w:bCs/>
                <w:color w:val="000000"/>
                <w:sz w:val="16"/>
                <w:lang w:eastAsia="es-AR"/>
              </w:rPr>
              <w:t xml:space="preserve">Otros </w:t>
            </w:r>
            <w:r w:rsidRPr="00701F32">
              <w:rPr>
                <w:rFonts w:ascii="Arial" w:eastAsia="Calibri" w:hAnsi="Arial" w:cs="Arial"/>
                <w:b/>
                <w:bCs/>
                <w:color w:val="000000"/>
                <w:sz w:val="16"/>
                <w:lang w:eastAsia="es-AR"/>
              </w:rPr>
              <w:t xml:space="preserve">Pasivos </w:t>
            </w:r>
            <w:r>
              <w:rPr>
                <w:rFonts w:ascii="Arial" w:eastAsia="Calibri" w:hAnsi="Arial" w:cs="Arial"/>
                <w:b/>
                <w:bCs/>
                <w:color w:val="000000"/>
                <w:sz w:val="16"/>
                <w:lang w:eastAsia="es-AR"/>
              </w:rPr>
              <w:t>Fi</w:t>
            </w:r>
            <w:r w:rsidRPr="00701F32">
              <w:rPr>
                <w:rFonts w:ascii="Arial" w:eastAsia="Calibri" w:hAnsi="Arial" w:cs="Arial"/>
                <w:b/>
                <w:bCs/>
                <w:color w:val="000000"/>
                <w:sz w:val="16"/>
                <w:lang w:eastAsia="es-AR"/>
              </w:rPr>
              <w:t>nanc</w:t>
            </w:r>
            <w:r>
              <w:rPr>
                <w:rFonts w:ascii="Arial" w:eastAsia="Calibri" w:hAnsi="Arial" w:cs="Arial"/>
                <w:b/>
                <w:bCs/>
                <w:color w:val="000000"/>
                <w:sz w:val="16"/>
                <w:lang w:eastAsia="es-AR"/>
              </w:rPr>
              <w:t>i</w:t>
            </w:r>
            <w:r w:rsidRPr="00701F32">
              <w:rPr>
                <w:rFonts w:ascii="Arial" w:eastAsia="Calibri" w:hAnsi="Arial" w:cs="Arial"/>
                <w:b/>
                <w:bCs/>
                <w:color w:val="000000"/>
                <w:sz w:val="16"/>
                <w:lang w:eastAsia="es-AR"/>
              </w:rPr>
              <w:t>e</w:t>
            </w:r>
            <w:r>
              <w:rPr>
                <w:rFonts w:ascii="Arial" w:eastAsia="Calibri" w:hAnsi="Arial" w:cs="Arial"/>
                <w:b/>
                <w:bCs/>
                <w:color w:val="000000"/>
                <w:sz w:val="16"/>
                <w:lang w:eastAsia="es-AR"/>
              </w:rPr>
              <w:t>r</w:t>
            </w:r>
            <w:r w:rsidRPr="00701F32">
              <w:rPr>
                <w:rFonts w:ascii="Arial" w:eastAsia="Calibri" w:hAnsi="Arial" w:cs="Arial"/>
                <w:b/>
                <w:bCs/>
                <w:color w:val="000000"/>
                <w:sz w:val="16"/>
                <w:lang w:eastAsia="es-AR"/>
              </w:rPr>
              <w:t>os</w:t>
            </w:r>
          </w:p>
        </w:tc>
      </w:tr>
      <w:tr w:rsidR="0013668C" w:rsidRPr="00701F32" w14:paraId="535360B9" w14:textId="77777777" w:rsidTr="0013668C">
        <w:trPr>
          <w:gridAfter w:val="1"/>
          <w:wAfter w:w="24" w:type="dxa"/>
          <w:trHeight w:val="182"/>
        </w:trPr>
        <w:tc>
          <w:tcPr>
            <w:tcW w:w="3078" w:type="dxa"/>
            <w:shd w:val="clear" w:color="auto" w:fill="auto"/>
            <w:vAlign w:val="bottom"/>
            <w:hideMark/>
          </w:tcPr>
          <w:p w14:paraId="36645A4D" w14:textId="77777777" w:rsidR="0013668C" w:rsidRPr="00701F32" w:rsidRDefault="0013668C" w:rsidP="0013668C">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Cordial Cía. Financiera S.A.</w:t>
            </w:r>
          </w:p>
        </w:tc>
        <w:tc>
          <w:tcPr>
            <w:tcW w:w="1385" w:type="dxa"/>
            <w:vAlign w:val="bottom"/>
          </w:tcPr>
          <w:p w14:paraId="42E901CE"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862.355</w:t>
            </w:r>
          </w:p>
        </w:tc>
        <w:tc>
          <w:tcPr>
            <w:tcW w:w="1231" w:type="dxa"/>
            <w:shd w:val="clear" w:color="auto" w:fill="auto"/>
            <w:vAlign w:val="bottom"/>
          </w:tcPr>
          <w:p w14:paraId="7FF720C3"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446</w:t>
            </w:r>
          </w:p>
        </w:tc>
        <w:tc>
          <w:tcPr>
            <w:tcW w:w="1078" w:type="dxa"/>
            <w:shd w:val="clear" w:color="auto" w:fill="auto"/>
            <w:vAlign w:val="bottom"/>
          </w:tcPr>
          <w:p w14:paraId="46B0CC61"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44.830</w:t>
            </w:r>
          </w:p>
        </w:tc>
        <w:tc>
          <w:tcPr>
            <w:tcW w:w="1538" w:type="dxa"/>
            <w:vAlign w:val="bottom"/>
          </w:tcPr>
          <w:p w14:paraId="079D82AD"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vAlign w:val="bottom"/>
          </w:tcPr>
          <w:p w14:paraId="40AAEDBB" w14:textId="77777777" w:rsidR="0013668C" w:rsidRDefault="0013668C" w:rsidP="0013668C">
            <w:pPr>
              <w:spacing w:after="160" w:line="259" w:lineRule="auto"/>
              <w:jc w:val="right"/>
              <w:rPr>
                <w:rFonts w:ascii="Arial" w:eastAsia="Calibri" w:hAnsi="Arial" w:cs="Arial"/>
                <w:color w:val="000000"/>
                <w:sz w:val="16"/>
                <w:lang w:val="es-ES_tradnl"/>
              </w:rPr>
            </w:pPr>
            <w:r w:rsidRPr="00211E4B">
              <w:rPr>
                <w:rFonts w:ascii="Arial" w:eastAsia="Calibri" w:hAnsi="Arial" w:cs="Arial"/>
                <w:b/>
                <w:bCs/>
                <w:color w:val="000000"/>
                <w:sz w:val="16"/>
                <w:szCs w:val="16"/>
                <w:lang w:eastAsia="es-AR"/>
              </w:rPr>
              <w:t>-</w:t>
            </w:r>
          </w:p>
        </w:tc>
        <w:tc>
          <w:tcPr>
            <w:tcW w:w="1231" w:type="dxa"/>
            <w:shd w:val="clear" w:color="auto" w:fill="auto"/>
            <w:vAlign w:val="bottom"/>
          </w:tcPr>
          <w:p w14:paraId="786EF253"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254.702</w:t>
            </w:r>
          </w:p>
        </w:tc>
      </w:tr>
      <w:tr w:rsidR="0013668C" w:rsidRPr="00701F32" w14:paraId="2F2EAC79" w14:textId="77777777" w:rsidTr="0013668C">
        <w:trPr>
          <w:gridAfter w:val="1"/>
          <w:wAfter w:w="24" w:type="dxa"/>
          <w:trHeight w:val="173"/>
        </w:trPr>
        <w:tc>
          <w:tcPr>
            <w:tcW w:w="3078" w:type="dxa"/>
            <w:shd w:val="clear" w:color="auto" w:fill="auto"/>
            <w:vAlign w:val="bottom"/>
            <w:hideMark/>
          </w:tcPr>
          <w:p w14:paraId="40B27BBD" w14:textId="77777777" w:rsidR="0013668C" w:rsidRPr="00701F32" w:rsidRDefault="0013668C" w:rsidP="0013668C">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Sofital S.A.F. e I.I.</w:t>
            </w:r>
          </w:p>
        </w:tc>
        <w:tc>
          <w:tcPr>
            <w:tcW w:w="1385" w:type="dxa"/>
            <w:vAlign w:val="bottom"/>
          </w:tcPr>
          <w:p w14:paraId="1A41D608"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shd w:val="clear" w:color="auto" w:fill="auto"/>
            <w:vAlign w:val="bottom"/>
          </w:tcPr>
          <w:p w14:paraId="6ABCB89C"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78" w:type="dxa"/>
            <w:shd w:val="clear" w:color="auto" w:fill="auto"/>
            <w:vAlign w:val="bottom"/>
          </w:tcPr>
          <w:p w14:paraId="6503325A"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131</w:t>
            </w:r>
          </w:p>
        </w:tc>
        <w:tc>
          <w:tcPr>
            <w:tcW w:w="1538" w:type="dxa"/>
            <w:vAlign w:val="bottom"/>
          </w:tcPr>
          <w:p w14:paraId="46AFA64C"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vAlign w:val="bottom"/>
          </w:tcPr>
          <w:p w14:paraId="5B8B9843" w14:textId="77777777" w:rsidR="0013668C" w:rsidRDefault="0013668C" w:rsidP="0013668C">
            <w:pPr>
              <w:spacing w:after="160" w:line="259" w:lineRule="auto"/>
              <w:jc w:val="right"/>
              <w:rPr>
                <w:rFonts w:ascii="Arial" w:eastAsia="Calibri" w:hAnsi="Arial" w:cs="Arial"/>
                <w:color w:val="000000"/>
                <w:sz w:val="16"/>
                <w:lang w:val="es-ES_tradnl"/>
              </w:rPr>
            </w:pPr>
            <w:r w:rsidRPr="00211E4B">
              <w:rPr>
                <w:rFonts w:ascii="Arial" w:eastAsia="Calibri" w:hAnsi="Arial" w:cs="Arial"/>
                <w:b/>
                <w:bCs/>
                <w:color w:val="000000"/>
                <w:sz w:val="16"/>
                <w:szCs w:val="16"/>
                <w:lang w:eastAsia="es-AR"/>
              </w:rPr>
              <w:t>-</w:t>
            </w:r>
          </w:p>
        </w:tc>
        <w:tc>
          <w:tcPr>
            <w:tcW w:w="1231" w:type="dxa"/>
            <w:shd w:val="clear" w:color="auto" w:fill="auto"/>
            <w:vAlign w:val="bottom"/>
          </w:tcPr>
          <w:p w14:paraId="155D1656"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3668C" w:rsidRPr="00701F32" w14:paraId="0ED21A22" w14:textId="77777777" w:rsidTr="0013668C">
        <w:trPr>
          <w:gridAfter w:val="1"/>
          <w:wAfter w:w="24" w:type="dxa"/>
          <w:trHeight w:val="160"/>
        </w:trPr>
        <w:tc>
          <w:tcPr>
            <w:tcW w:w="3078" w:type="dxa"/>
            <w:shd w:val="clear" w:color="auto" w:fill="auto"/>
            <w:vAlign w:val="bottom"/>
            <w:hideMark/>
          </w:tcPr>
          <w:p w14:paraId="2C9B5F85" w14:textId="77777777" w:rsidR="0013668C" w:rsidRPr="00701F32" w:rsidRDefault="0013668C" w:rsidP="0013668C">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Espacio Cordial de Servicios S</w:t>
            </w:r>
            <w:r>
              <w:rPr>
                <w:rFonts w:ascii="Arial" w:eastAsia="Calibri" w:hAnsi="Arial" w:cs="Arial"/>
                <w:color w:val="000000"/>
                <w:sz w:val="16"/>
                <w:lang w:eastAsia="es-AR"/>
              </w:rPr>
              <w:t>.</w:t>
            </w:r>
            <w:r w:rsidRPr="00701F32">
              <w:rPr>
                <w:rFonts w:ascii="Arial" w:eastAsia="Calibri" w:hAnsi="Arial" w:cs="Arial"/>
                <w:color w:val="000000"/>
                <w:sz w:val="16"/>
                <w:lang w:eastAsia="es-AR"/>
              </w:rPr>
              <w:t>A</w:t>
            </w:r>
            <w:r>
              <w:rPr>
                <w:rFonts w:ascii="Arial" w:eastAsia="Calibri" w:hAnsi="Arial" w:cs="Arial"/>
                <w:color w:val="000000"/>
                <w:sz w:val="16"/>
                <w:lang w:eastAsia="es-AR"/>
              </w:rPr>
              <w:t>.</w:t>
            </w:r>
          </w:p>
        </w:tc>
        <w:tc>
          <w:tcPr>
            <w:tcW w:w="1385" w:type="dxa"/>
            <w:vAlign w:val="bottom"/>
          </w:tcPr>
          <w:p w14:paraId="5FAC48AE"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1</w:t>
            </w:r>
          </w:p>
        </w:tc>
        <w:tc>
          <w:tcPr>
            <w:tcW w:w="1231" w:type="dxa"/>
            <w:shd w:val="clear" w:color="auto" w:fill="auto"/>
            <w:vAlign w:val="bottom"/>
          </w:tcPr>
          <w:p w14:paraId="6F6D3378"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w:t>
            </w:r>
          </w:p>
        </w:tc>
        <w:tc>
          <w:tcPr>
            <w:tcW w:w="1078" w:type="dxa"/>
            <w:shd w:val="clear" w:color="auto" w:fill="auto"/>
            <w:vAlign w:val="bottom"/>
          </w:tcPr>
          <w:p w14:paraId="4B5C70E3"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1.462</w:t>
            </w:r>
          </w:p>
        </w:tc>
        <w:tc>
          <w:tcPr>
            <w:tcW w:w="1538" w:type="dxa"/>
            <w:vAlign w:val="bottom"/>
          </w:tcPr>
          <w:p w14:paraId="34639CB1"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9.652</w:t>
            </w:r>
          </w:p>
        </w:tc>
        <w:tc>
          <w:tcPr>
            <w:tcW w:w="1231" w:type="dxa"/>
            <w:vAlign w:val="bottom"/>
          </w:tcPr>
          <w:p w14:paraId="6C7EFF2D" w14:textId="77777777" w:rsidR="0013668C" w:rsidRDefault="0013668C" w:rsidP="0013668C">
            <w:pPr>
              <w:spacing w:after="160" w:line="259" w:lineRule="auto"/>
              <w:jc w:val="right"/>
              <w:rPr>
                <w:rFonts w:ascii="Arial" w:eastAsia="Calibri" w:hAnsi="Arial" w:cs="Arial"/>
                <w:color w:val="000000"/>
                <w:sz w:val="16"/>
                <w:lang w:val="es-ES_tradnl"/>
              </w:rPr>
            </w:pPr>
            <w:r w:rsidRPr="00211E4B">
              <w:rPr>
                <w:rFonts w:ascii="Arial" w:eastAsia="Calibri" w:hAnsi="Arial" w:cs="Arial"/>
                <w:b/>
                <w:bCs/>
                <w:color w:val="000000"/>
                <w:sz w:val="16"/>
                <w:szCs w:val="16"/>
                <w:lang w:eastAsia="es-AR"/>
              </w:rPr>
              <w:t>-</w:t>
            </w:r>
          </w:p>
        </w:tc>
        <w:tc>
          <w:tcPr>
            <w:tcW w:w="1231" w:type="dxa"/>
            <w:shd w:val="clear" w:color="auto" w:fill="auto"/>
            <w:vAlign w:val="bottom"/>
          </w:tcPr>
          <w:p w14:paraId="5F10491F"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3668C" w:rsidRPr="00701F32" w14:paraId="014F317E" w14:textId="77777777" w:rsidTr="0013668C">
        <w:trPr>
          <w:gridAfter w:val="1"/>
          <w:wAfter w:w="24" w:type="dxa"/>
          <w:trHeight w:val="157"/>
        </w:trPr>
        <w:tc>
          <w:tcPr>
            <w:tcW w:w="3078" w:type="dxa"/>
            <w:shd w:val="clear" w:color="auto" w:fill="auto"/>
            <w:vAlign w:val="bottom"/>
            <w:hideMark/>
          </w:tcPr>
          <w:p w14:paraId="2D414519" w14:textId="77777777" w:rsidR="0013668C" w:rsidRPr="00701F32" w:rsidRDefault="0013668C" w:rsidP="0013668C">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Supervielle Seguros S.A.</w:t>
            </w:r>
          </w:p>
        </w:tc>
        <w:tc>
          <w:tcPr>
            <w:tcW w:w="1385" w:type="dxa"/>
            <w:vAlign w:val="bottom"/>
          </w:tcPr>
          <w:p w14:paraId="3C049325"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30.027</w:t>
            </w:r>
          </w:p>
        </w:tc>
        <w:tc>
          <w:tcPr>
            <w:tcW w:w="1231" w:type="dxa"/>
            <w:shd w:val="clear" w:color="auto" w:fill="auto"/>
            <w:vAlign w:val="bottom"/>
          </w:tcPr>
          <w:p w14:paraId="168DBBB9"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1</w:t>
            </w:r>
          </w:p>
        </w:tc>
        <w:tc>
          <w:tcPr>
            <w:tcW w:w="1078" w:type="dxa"/>
            <w:shd w:val="clear" w:color="auto" w:fill="auto"/>
            <w:vAlign w:val="bottom"/>
          </w:tcPr>
          <w:p w14:paraId="56677468"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3.496</w:t>
            </w:r>
          </w:p>
        </w:tc>
        <w:tc>
          <w:tcPr>
            <w:tcW w:w="1538" w:type="dxa"/>
            <w:vAlign w:val="bottom"/>
          </w:tcPr>
          <w:p w14:paraId="59E9AF91"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14.580</w:t>
            </w:r>
          </w:p>
        </w:tc>
        <w:tc>
          <w:tcPr>
            <w:tcW w:w="1231" w:type="dxa"/>
            <w:vAlign w:val="bottom"/>
          </w:tcPr>
          <w:p w14:paraId="75013C31" w14:textId="77777777" w:rsidR="0013668C" w:rsidRDefault="0013668C" w:rsidP="0013668C">
            <w:pPr>
              <w:spacing w:after="160" w:line="259" w:lineRule="auto"/>
              <w:jc w:val="right"/>
              <w:rPr>
                <w:rFonts w:ascii="Arial" w:eastAsia="Calibri" w:hAnsi="Arial" w:cs="Arial"/>
                <w:color w:val="000000"/>
                <w:sz w:val="16"/>
                <w:lang w:val="es-ES_tradnl"/>
              </w:rPr>
            </w:pPr>
            <w:r w:rsidRPr="00211E4B">
              <w:rPr>
                <w:rFonts w:ascii="Arial" w:eastAsia="Calibri" w:hAnsi="Arial" w:cs="Arial"/>
                <w:b/>
                <w:bCs/>
                <w:color w:val="000000"/>
                <w:sz w:val="16"/>
                <w:szCs w:val="16"/>
                <w:lang w:eastAsia="es-AR"/>
              </w:rPr>
              <w:t>-</w:t>
            </w:r>
          </w:p>
        </w:tc>
        <w:tc>
          <w:tcPr>
            <w:tcW w:w="1231" w:type="dxa"/>
            <w:shd w:val="clear" w:color="auto" w:fill="auto"/>
            <w:vAlign w:val="bottom"/>
          </w:tcPr>
          <w:p w14:paraId="4B6F20EE"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3668C" w:rsidRPr="00701F32" w14:paraId="01A50241" w14:textId="77777777" w:rsidTr="0013668C">
        <w:trPr>
          <w:gridAfter w:val="1"/>
          <w:wAfter w:w="24" w:type="dxa"/>
          <w:trHeight w:val="286"/>
        </w:trPr>
        <w:tc>
          <w:tcPr>
            <w:tcW w:w="3078" w:type="dxa"/>
            <w:shd w:val="clear" w:color="auto" w:fill="auto"/>
            <w:vAlign w:val="bottom"/>
            <w:hideMark/>
          </w:tcPr>
          <w:p w14:paraId="562A58E2" w14:textId="77777777" w:rsidR="0013668C" w:rsidRPr="00701F32" w:rsidRDefault="0013668C" w:rsidP="0013668C">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Tarjeta Automática S.A.</w:t>
            </w:r>
          </w:p>
        </w:tc>
        <w:tc>
          <w:tcPr>
            <w:tcW w:w="1385" w:type="dxa"/>
            <w:vAlign w:val="bottom"/>
          </w:tcPr>
          <w:p w14:paraId="31A0B317"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1</w:t>
            </w:r>
          </w:p>
        </w:tc>
        <w:tc>
          <w:tcPr>
            <w:tcW w:w="1231" w:type="dxa"/>
            <w:shd w:val="clear" w:color="auto" w:fill="auto"/>
            <w:vAlign w:val="bottom"/>
          </w:tcPr>
          <w:p w14:paraId="7D034840"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51</w:t>
            </w:r>
          </w:p>
        </w:tc>
        <w:tc>
          <w:tcPr>
            <w:tcW w:w="1078" w:type="dxa"/>
            <w:shd w:val="clear" w:color="auto" w:fill="auto"/>
            <w:vAlign w:val="bottom"/>
          </w:tcPr>
          <w:p w14:paraId="01F7C9B9"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724</w:t>
            </w:r>
          </w:p>
        </w:tc>
        <w:tc>
          <w:tcPr>
            <w:tcW w:w="1538" w:type="dxa"/>
            <w:vAlign w:val="bottom"/>
          </w:tcPr>
          <w:p w14:paraId="1A026519"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vAlign w:val="bottom"/>
          </w:tcPr>
          <w:p w14:paraId="68ED2DF9" w14:textId="77777777" w:rsidR="0013668C" w:rsidRDefault="0013668C" w:rsidP="0013668C">
            <w:pPr>
              <w:spacing w:after="160" w:line="259" w:lineRule="auto"/>
              <w:jc w:val="right"/>
              <w:rPr>
                <w:rFonts w:ascii="Arial" w:eastAsia="Calibri" w:hAnsi="Arial" w:cs="Arial"/>
                <w:color w:val="000000"/>
                <w:sz w:val="16"/>
                <w:lang w:val="es-ES_tradnl"/>
              </w:rPr>
            </w:pPr>
            <w:r w:rsidRPr="00211E4B">
              <w:rPr>
                <w:rFonts w:ascii="Arial" w:eastAsia="Calibri" w:hAnsi="Arial" w:cs="Arial"/>
                <w:b/>
                <w:bCs/>
                <w:color w:val="000000"/>
                <w:sz w:val="16"/>
                <w:szCs w:val="16"/>
                <w:lang w:eastAsia="es-AR"/>
              </w:rPr>
              <w:t>-</w:t>
            </w:r>
          </w:p>
        </w:tc>
        <w:tc>
          <w:tcPr>
            <w:tcW w:w="1231" w:type="dxa"/>
            <w:shd w:val="clear" w:color="auto" w:fill="auto"/>
            <w:vAlign w:val="bottom"/>
          </w:tcPr>
          <w:p w14:paraId="6E099BA5"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3668C" w:rsidRPr="00701F32" w14:paraId="55B85E0A" w14:textId="77777777" w:rsidTr="0013668C">
        <w:trPr>
          <w:gridAfter w:val="1"/>
          <w:wAfter w:w="24" w:type="dxa"/>
          <w:trHeight w:val="217"/>
        </w:trPr>
        <w:tc>
          <w:tcPr>
            <w:tcW w:w="3078" w:type="dxa"/>
            <w:shd w:val="clear" w:color="auto" w:fill="auto"/>
            <w:vAlign w:val="bottom"/>
            <w:hideMark/>
          </w:tcPr>
          <w:p w14:paraId="32542E16" w14:textId="77777777" w:rsidR="0013668C" w:rsidRPr="00701F32" w:rsidRDefault="0013668C" w:rsidP="0013668C">
            <w:pPr>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fr-FR"/>
              </w:rPr>
              <w:t>Supervielle Asset Management S.A.</w:t>
            </w:r>
          </w:p>
        </w:tc>
        <w:tc>
          <w:tcPr>
            <w:tcW w:w="1385" w:type="dxa"/>
            <w:vAlign w:val="bottom"/>
          </w:tcPr>
          <w:p w14:paraId="6278DDDB"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shd w:val="clear" w:color="auto" w:fill="auto"/>
            <w:vAlign w:val="bottom"/>
          </w:tcPr>
          <w:p w14:paraId="51E3F40F"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240</w:t>
            </w:r>
          </w:p>
        </w:tc>
        <w:tc>
          <w:tcPr>
            <w:tcW w:w="1078" w:type="dxa"/>
            <w:shd w:val="clear" w:color="auto" w:fill="auto"/>
            <w:vAlign w:val="bottom"/>
          </w:tcPr>
          <w:p w14:paraId="3116CF59"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1.449</w:t>
            </w:r>
          </w:p>
        </w:tc>
        <w:tc>
          <w:tcPr>
            <w:tcW w:w="1538" w:type="dxa"/>
            <w:vAlign w:val="bottom"/>
          </w:tcPr>
          <w:p w14:paraId="531D5263"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vAlign w:val="bottom"/>
          </w:tcPr>
          <w:p w14:paraId="26EE7DA1" w14:textId="77777777" w:rsidR="0013668C" w:rsidRDefault="0013668C" w:rsidP="0013668C">
            <w:pPr>
              <w:spacing w:after="160" w:line="259" w:lineRule="auto"/>
              <w:jc w:val="right"/>
              <w:rPr>
                <w:rFonts w:ascii="Arial" w:eastAsia="Calibri" w:hAnsi="Arial" w:cs="Arial"/>
                <w:color w:val="000000"/>
                <w:sz w:val="16"/>
                <w:lang w:val="es-ES_tradnl"/>
              </w:rPr>
            </w:pPr>
            <w:r w:rsidRPr="00211E4B">
              <w:rPr>
                <w:rFonts w:ascii="Arial" w:eastAsia="Calibri" w:hAnsi="Arial" w:cs="Arial"/>
                <w:b/>
                <w:bCs/>
                <w:color w:val="000000"/>
                <w:sz w:val="16"/>
                <w:szCs w:val="16"/>
                <w:lang w:eastAsia="es-AR"/>
              </w:rPr>
              <w:t>-</w:t>
            </w:r>
          </w:p>
        </w:tc>
        <w:tc>
          <w:tcPr>
            <w:tcW w:w="1231" w:type="dxa"/>
            <w:shd w:val="clear" w:color="auto" w:fill="auto"/>
            <w:vAlign w:val="bottom"/>
          </w:tcPr>
          <w:p w14:paraId="26563EEA"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3668C" w:rsidRPr="00701F32" w14:paraId="15A24563" w14:textId="77777777" w:rsidTr="0013668C">
        <w:trPr>
          <w:gridAfter w:val="1"/>
          <w:wAfter w:w="24" w:type="dxa"/>
          <w:trHeight w:val="139"/>
        </w:trPr>
        <w:tc>
          <w:tcPr>
            <w:tcW w:w="3078" w:type="dxa"/>
            <w:shd w:val="clear" w:color="auto" w:fill="auto"/>
            <w:vAlign w:val="bottom"/>
          </w:tcPr>
          <w:p w14:paraId="1CFC86F8" w14:textId="77777777" w:rsidR="0013668C" w:rsidRPr="0023020F" w:rsidRDefault="0013668C" w:rsidP="0013668C">
            <w:pPr>
              <w:spacing w:after="160" w:line="259" w:lineRule="auto"/>
              <w:rPr>
                <w:rFonts w:ascii="Arial" w:eastAsia="Calibri" w:hAnsi="Arial" w:cs="Arial"/>
                <w:color w:val="000000"/>
                <w:sz w:val="16"/>
                <w:lang w:val="en-US"/>
              </w:rPr>
            </w:pPr>
            <w:r w:rsidRPr="0023020F">
              <w:rPr>
                <w:rFonts w:ascii="Arial" w:eastAsia="Calibri" w:hAnsi="Arial" w:cs="Arial"/>
                <w:color w:val="000000"/>
                <w:sz w:val="16"/>
                <w:lang w:val="en-US"/>
              </w:rPr>
              <w:t>Invertir OnLine S.A.U</w:t>
            </w:r>
            <w:r>
              <w:rPr>
                <w:rFonts w:ascii="Arial" w:eastAsia="Calibri" w:hAnsi="Arial" w:cs="Arial"/>
                <w:color w:val="000000"/>
                <w:sz w:val="16"/>
                <w:lang w:val="en-US"/>
              </w:rPr>
              <w:t>.</w:t>
            </w:r>
          </w:p>
        </w:tc>
        <w:tc>
          <w:tcPr>
            <w:tcW w:w="1385" w:type="dxa"/>
            <w:vAlign w:val="bottom"/>
          </w:tcPr>
          <w:p w14:paraId="1ED289B3"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2</w:t>
            </w:r>
          </w:p>
        </w:tc>
        <w:tc>
          <w:tcPr>
            <w:tcW w:w="1231" w:type="dxa"/>
            <w:shd w:val="clear" w:color="auto" w:fill="auto"/>
            <w:vAlign w:val="bottom"/>
          </w:tcPr>
          <w:p w14:paraId="0DF954F3"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w:t>
            </w:r>
          </w:p>
        </w:tc>
        <w:tc>
          <w:tcPr>
            <w:tcW w:w="1078" w:type="dxa"/>
            <w:shd w:val="clear" w:color="auto" w:fill="auto"/>
            <w:vAlign w:val="bottom"/>
          </w:tcPr>
          <w:p w14:paraId="313C953E"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2.255.858</w:t>
            </w:r>
          </w:p>
        </w:tc>
        <w:tc>
          <w:tcPr>
            <w:tcW w:w="1538" w:type="dxa"/>
            <w:vAlign w:val="bottom"/>
          </w:tcPr>
          <w:p w14:paraId="7C363061"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vAlign w:val="bottom"/>
          </w:tcPr>
          <w:p w14:paraId="45EAF6AB" w14:textId="77777777" w:rsidR="0013668C" w:rsidRDefault="0013668C" w:rsidP="0013668C">
            <w:pPr>
              <w:spacing w:after="160" w:line="259" w:lineRule="auto"/>
              <w:jc w:val="right"/>
              <w:rPr>
                <w:rFonts w:ascii="Arial" w:eastAsia="Calibri" w:hAnsi="Arial" w:cs="Arial"/>
                <w:color w:val="000000"/>
                <w:sz w:val="16"/>
                <w:lang w:val="es-ES_tradnl"/>
              </w:rPr>
            </w:pPr>
            <w:r w:rsidRPr="00211E4B">
              <w:rPr>
                <w:rFonts w:ascii="Arial" w:eastAsia="Calibri" w:hAnsi="Arial" w:cs="Arial"/>
                <w:b/>
                <w:bCs/>
                <w:color w:val="000000"/>
                <w:sz w:val="16"/>
                <w:szCs w:val="16"/>
                <w:lang w:eastAsia="es-AR"/>
              </w:rPr>
              <w:t>-</w:t>
            </w:r>
          </w:p>
        </w:tc>
        <w:tc>
          <w:tcPr>
            <w:tcW w:w="1231" w:type="dxa"/>
            <w:shd w:val="clear" w:color="auto" w:fill="auto"/>
            <w:vAlign w:val="bottom"/>
          </w:tcPr>
          <w:p w14:paraId="6205DAA8"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3668C" w:rsidRPr="00701F32" w14:paraId="1AC63951" w14:textId="77777777" w:rsidTr="0013668C">
        <w:trPr>
          <w:gridAfter w:val="1"/>
          <w:wAfter w:w="24" w:type="dxa"/>
          <w:trHeight w:val="139"/>
        </w:trPr>
        <w:tc>
          <w:tcPr>
            <w:tcW w:w="3078" w:type="dxa"/>
            <w:shd w:val="clear" w:color="auto" w:fill="auto"/>
            <w:vAlign w:val="bottom"/>
          </w:tcPr>
          <w:p w14:paraId="0D4C9F17" w14:textId="77777777" w:rsidR="0013668C" w:rsidRPr="00701F32" w:rsidRDefault="0013668C" w:rsidP="0013668C">
            <w:pPr>
              <w:spacing w:after="160" w:line="259" w:lineRule="auto"/>
              <w:rPr>
                <w:rFonts w:ascii="Arial" w:eastAsia="Calibri" w:hAnsi="Arial" w:cs="Arial"/>
                <w:color w:val="000000"/>
                <w:sz w:val="16"/>
              </w:rPr>
            </w:pPr>
            <w:r w:rsidRPr="00701F32">
              <w:rPr>
                <w:rFonts w:ascii="Arial" w:eastAsia="Calibri" w:hAnsi="Arial" w:cs="Arial"/>
                <w:color w:val="000000"/>
                <w:sz w:val="16"/>
              </w:rPr>
              <w:t>Invertir OnLine.com Argentina S.A.</w:t>
            </w:r>
            <w:r>
              <w:rPr>
                <w:rFonts w:ascii="Arial" w:eastAsia="Calibri" w:hAnsi="Arial" w:cs="Arial"/>
                <w:color w:val="000000"/>
                <w:sz w:val="16"/>
              </w:rPr>
              <w:t>U.</w:t>
            </w:r>
          </w:p>
        </w:tc>
        <w:tc>
          <w:tcPr>
            <w:tcW w:w="1385" w:type="dxa"/>
            <w:vAlign w:val="bottom"/>
          </w:tcPr>
          <w:p w14:paraId="4F7FEAB4" w14:textId="77777777" w:rsidR="0013668C" w:rsidRPr="00701F32" w:rsidDel="00293759"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w:t>
            </w:r>
          </w:p>
        </w:tc>
        <w:tc>
          <w:tcPr>
            <w:tcW w:w="1231" w:type="dxa"/>
            <w:shd w:val="clear" w:color="auto" w:fill="auto"/>
            <w:vAlign w:val="bottom"/>
          </w:tcPr>
          <w:p w14:paraId="795BE1D0" w14:textId="77777777" w:rsidR="0013668C" w:rsidRPr="00701F32"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w:t>
            </w:r>
          </w:p>
        </w:tc>
        <w:tc>
          <w:tcPr>
            <w:tcW w:w="1078" w:type="dxa"/>
            <w:shd w:val="clear" w:color="auto" w:fill="auto"/>
            <w:vAlign w:val="bottom"/>
          </w:tcPr>
          <w:p w14:paraId="54F2F461" w14:textId="77777777" w:rsidR="0013668C" w:rsidRPr="00701F32" w:rsidDel="00293759"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4.397</w:t>
            </w:r>
          </w:p>
        </w:tc>
        <w:tc>
          <w:tcPr>
            <w:tcW w:w="1538" w:type="dxa"/>
            <w:vAlign w:val="bottom"/>
          </w:tcPr>
          <w:p w14:paraId="079604FC" w14:textId="77777777" w:rsidR="0013668C" w:rsidRPr="00701F32" w:rsidRDefault="0013668C" w:rsidP="0013668C">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231" w:type="dxa"/>
            <w:vAlign w:val="bottom"/>
          </w:tcPr>
          <w:p w14:paraId="2149DF90" w14:textId="77777777" w:rsidR="0013668C"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w:t>
            </w:r>
          </w:p>
        </w:tc>
        <w:tc>
          <w:tcPr>
            <w:tcW w:w="1231" w:type="dxa"/>
            <w:shd w:val="clear" w:color="auto" w:fill="auto"/>
            <w:vAlign w:val="bottom"/>
          </w:tcPr>
          <w:p w14:paraId="2A124AA4" w14:textId="77777777" w:rsidR="0013668C" w:rsidRPr="00701F32" w:rsidRDefault="0013668C" w:rsidP="0013668C">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r>
      <w:tr w:rsidR="0013668C" w:rsidRPr="00701F32" w14:paraId="15EB3BDD" w14:textId="77777777" w:rsidTr="0013668C">
        <w:trPr>
          <w:gridAfter w:val="1"/>
          <w:wAfter w:w="24" w:type="dxa"/>
          <w:trHeight w:val="139"/>
        </w:trPr>
        <w:tc>
          <w:tcPr>
            <w:tcW w:w="3078" w:type="dxa"/>
            <w:shd w:val="clear" w:color="auto" w:fill="auto"/>
            <w:vAlign w:val="bottom"/>
          </w:tcPr>
          <w:p w14:paraId="419193B2" w14:textId="77777777" w:rsidR="0013668C" w:rsidRPr="0023020F" w:rsidRDefault="0013668C" w:rsidP="0013668C">
            <w:pPr>
              <w:spacing w:after="160" w:line="259" w:lineRule="auto"/>
              <w:rPr>
                <w:rFonts w:ascii="Arial" w:eastAsia="Calibri" w:hAnsi="Arial" w:cs="Arial"/>
                <w:color w:val="000000"/>
                <w:sz w:val="16"/>
                <w:lang w:val="en-US"/>
              </w:rPr>
            </w:pPr>
            <w:r w:rsidRPr="0023020F">
              <w:rPr>
                <w:rFonts w:ascii="Arial" w:eastAsia="Calibri" w:hAnsi="Arial" w:cs="Arial"/>
                <w:color w:val="000000"/>
                <w:sz w:val="16"/>
                <w:lang w:val="en-US"/>
              </w:rPr>
              <w:t>Micro Lending S.A.U</w:t>
            </w:r>
            <w:r>
              <w:rPr>
                <w:rFonts w:ascii="Arial" w:eastAsia="Calibri" w:hAnsi="Arial" w:cs="Arial"/>
                <w:color w:val="000000"/>
                <w:sz w:val="16"/>
                <w:lang w:val="en-US"/>
              </w:rPr>
              <w:t>.</w:t>
            </w:r>
          </w:p>
        </w:tc>
        <w:tc>
          <w:tcPr>
            <w:tcW w:w="1385" w:type="dxa"/>
            <w:vAlign w:val="bottom"/>
          </w:tcPr>
          <w:p w14:paraId="08DBE125" w14:textId="77777777" w:rsidR="0013668C" w:rsidRPr="00701F32" w:rsidDel="00293759"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33</w:t>
            </w:r>
          </w:p>
        </w:tc>
        <w:tc>
          <w:tcPr>
            <w:tcW w:w="1231" w:type="dxa"/>
            <w:shd w:val="clear" w:color="auto" w:fill="auto"/>
            <w:vAlign w:val="bottom"/>
          </w:tcPr>
          <w:p w14:paraId="7658F4DF" w14:textId="77777777" w:rsidR="0013668C" w:rsidRPr="00701F32"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1.121</w:t>
            </w:r>
          </w:p>
        </w:tc>
        <w:tc>
          <w:tcPr>
            <w:tcW w:w="1078" w:type="dxa"/>
            <w:shd w:val="clear" w:color="auto" w:fill="auto"/>
            <w:vAlign w:val="bottom"/>
          </w:tcPr>
          <w:p w14:paraId="4DB70433" w14:textId="77777777" w:rsidR="0013668C" w:rsidRPr="00701F32" w:rsidDel="00293759"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105</w:t>
            </w:r>
          </w:p>
        </w:tc>
        <w:tc>
          <w:tcPr>
            <w:tcW w:w="1538" w:type="dxa"/>
            <w:vAlign w:val="bottom"/>
          </w:tcPr>
          <w:p w14:paraId="0128F5AB" w14:textId="77777777" w:rsidR="0013668C" w:rsidRPr="00701F32" w:rsidRDefault="0013668C" w:rsidP="0013668C">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231" w:type="dxa"/>
            <w:vAlign w:val="bottom"/>
          </w:tcPr>
          <w:p w14:paraId="1B654C22" w14:textId="77777777" w:rsidR="0013668C" w:rsidRDefault="0013668C" w:rsidP="0013668C">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231" w:type="dxa"/>
            <w:shd w:val="clear" w:color="auto" w:fill="auto"/>
            <w:vAlign w:val="bottom"/>
          </w:tcPr>
          <w:p w14:paraId="182671DF" w14:textId="77777777" w:rsidR="0013668C" w:rsidRPr="00701F32" w:rsidRDefault="0013668C" w:rsidP="0013668C">
            <w:pPr>
              <w:spacing w:after="160" w:line="259" w:lineRule="auto"/>
              <w:jc w:val="right"/>
              <w:rPr>
                <w:rFonts w:ascii="Arial" w:eastAsia="Calibri" w:hAnsi="Arial" w:cs="Arial"/>
                <w:color w:val="000000"/>
                <w:sz w:val="16"/>
              </w:rPr>
            </w:pPr>
            <w:r>
              <w:rPr>
                <w:rFonts w:ascii="Arial" w:eastAsia="Calibri" w:hAnsi="Arial" w:cs="Arial"/>
                <w:color w:val="000000"/>
                <w:sz w:val="16"/>
              </w:rPr>
              <w:t>672</w:t>
            </w:r>
          </w:p>
        </w:tc>
      </w:tr>
      <w:tr w:rsidR="0013668C" w:rsidRPr="00701F32" w14:paraId="5494DA51" w14:textId="77777777" w:rsidTr="0013668C">
        <w:trPr>
          <w:gridAfter w:val="1"/>
          <w:wAfter w:w="24" w:type="dxa"/>
          <w:trHeight w:val="212"/>
        </w:trPr>
        <w:tc>
          <w:tcPr>
            <w:tcW w:w="3078" w:type="dxa"/>
            <w:shd w:val="clear" w:color="auto" w:fill="auto"/>
            <w:vAlign w:val="bottom"/>
          </w:tcPr>
          <w:p w14:paraId="7C643FD2" w14:textId="77777777" w:rsidR="0013668C" w:rsidRPr="00701F32" w:rsidRDefault="0013668C" w:rsidP="0013668C">
            <w:pPr>
              <w:spacing w:after="160" w:line="259" w:lineRule="auto"/>
              <w:rPr>
                <w:rFonts w:ascii="Arial" w:eastAsia="Calibri" w:hAnsi="Arial" w:cs="Arial"/>
                <w:color w:val="000000"/>
                <w:sz w:val="16"/>
              </w:rPr>
            </w:pPr>
            <w:r w:rsidRPr="00701F32">
              <w:rPr>
                <w:rFonts w:ascii="Arial" w:eastAsia="Calibri" w:hAnsi="Arial" w:cs="Arial"/>
                <w:color w:val="000000"/>
                <w:sz w:val="16"/>
              </w:rPr>
              <w:t>Grupo Supervielle S.A.</w:t>
            </w:r>
          </w:p>
        </w:tc>
        <w:tc>
          <w:tcPr>
            <w:tcW w:w="1385" w:type="dxa"/>
            <w:vAlign w:val="bottom"/>
          </w:tcPr>
          <w:p w14:paraId="2CF15C21" w14:textId="77777777" w:rsidR="0013668C"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w:t>
            </w:r>
          </w:p>
        </w:tc>
        <w:tc>
          <w:tcPr>
            <w:tcW w:w="1231" w:type="dxa"/>
            <w:shd w:val="clear" w:color="auto" w:fill="auto"/>
            <w:vAlign w:val="bottom"/>
          </w:tcPr>
          <w:p w14:paraId="42683162" w14:textId="77777777" w:rsidR="0013668C" w:rsidRDefault="0013668C" w:rsidP="0013668C">
            <w:pPr>
              <w:spacing w:after="160" w:line="259" w:lineRule="auto"/>
              <w:jc w:val="right"/>
              <w:rPr>
                <w:rFonts w:ascii="Arial" w:eastAsia="Calibri" w:hAnsi="Arial" w:cs="Arial"/>
                <w:color w:val="000000"/>
                <w:sz w:val="16"/>
                <w:lang w:val="es-ES_tradnl"/>
              </w:rPr>
            </w:pPr>
            <w:r>
              <w:rPr>
                <w:rFonts w:ascii="Arial" w:hAnsi="Arial" w:cs="Arial"/>
                <w:color w:val="000000"/>
                <w:sz w:val="15"/>
                <w:szCs w:val="15"/>
              </w:rPr>
              <w:t>1.609</w:t>
            </w:r>
          </w:p>
        </w:tc>
        <w:tc>
          <w:tcPr>
            <w:tcW w:w="1078" w:type="dxa"/>
            <w:shd w:val="clear" w:color="auto" w:fill="auto"/>
            <w:vAlign w:val="bottom"/>
          </w:tcPr>
          <w:p w14:paraId="323B5CD0" w14:textId="77777777" w:rsidR="0013668C" w:rsidRDefault="0013668C" w:rsidP="0013668C">
            <w:pPr>
              <w:spacing w:after="160" w:line="259" w:lineRule="auto"/>
              <w:jc w:val="right"/>
              <w:rPr>
                <w:rFonts w:ascii="Arial" w:eastAsia="Calibri" w:hAnsi="Arial" w:cs="Arial"/>
                <w:color w:val="000000"/>
                <w:sz w:val="16"/>
              </w:rPr>
            </w:pPr>
            <w:r>
              <w:rPr>
                <w:rFonts w:ascii="Arial" w:hAnsi="Arial" w:cs="Arial"/>
                <w:color w:val="000000"/>
                <w:sz w:val="15"/>
                <w:szCs w:val="15"/>
              </w:rPr>
              <w:t>5.434</w:t>
            </w:r>
          </w:p>
        </w:tc>
        <w:tc>
          <w:tcPr>
            <w:tcW w:w="1538" w:type="dxa"/>
            <w:vAlign w:val="bottom"/>
          </w:tcPr>
          <w:p w14:paraId="2A6453BB" w14:textId="77777777" w:rsidR="0013668C" w:rsidRDefault="0013668C" w:rsidP="0013668C">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31" w:type="dxa"/>
            <w:vAlign w:val="bottom"/>
          </w:tcPr>
          <w:p w14:paraId="65ED014D" w14:textId="77777777" w:rsidR="0013668C" w:rsidRDefault="0013668C" w:rsidP="0013668C">
            <w:pPr>
              <w:spacing w:after="160" w:line="259" w:lineRule="auto"/>
              <w:jc w:val="right"/>
              <w:rPr>
                <w:rFonts w:ascii="Arial" w:eastAsia="Calibri" w:hAnsi="Arial" w:cs="Arial"/>
                <w:color w:val="000000"/>
                <w:sz w:val="16"/>
              </w:rPr>
            </w:pPr>
            <w:r>
              <w:rPr>
                <w:rFonts w:ascii="Arial" w:eastAsia="Calibri" w:hAnsi="Arial" w:cs="Arial"/>
                <w:b/>
                <w:bCs/>
                <w:color w:val="000000"/>
                <w:sz w:val="16"/>
                <w:szCs w:val="16"/>
                <w:lang w:eastAsia="es-AR"/>
              </w:rPr>
              <w:t>70.031</w:t>
            </w:r>
          </w:p>
        </w:tc>
        <w:tc>
          <w:tcPr>
            <w:tcW w:w="1231" w:type="dxa"/>
            <w:shd w:val="clear" w:color="auto" w:fill="auto"/>
            <w:vAlign w:val="bottom"/>
          </w:tcPr>
          <w:p w14:paraId="5057D50B" w14:textId="77777777" w:rsidR="0013668C" w:rsidRDefault="0013668C" w:rsidP="0013668C">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r>
      <w:tr w:rsidR="0013668C" w:rsidRPr="00701F32" w14:paraId="1B01287D" w14:textId="77777777" w:rsidTr="0013668C">
        <w:trPr>
          <w:gridAfter w:val="1"/>
          <w:wAfter w:w="24" w:type="dxa"/>
          <w:trHeight w:val="211"/>
        </w:trPr>
        <w:tc>
          <w:tcPr>
            <w:tcW w:w="3078" w:type="dxa"/>
            <w:shd w:val="clear" w:color="auto" w:fill="auto"/>
            <w:vAlign w:val="bottom"/>
            <w:hideMark/>
          </w:tcPr>
          <w:p w14:paraId="6D882EAA" w14:textId="77777777" w:rsidR="0013668C" w:rsidRPr="00701F32" w:rsidRDefault="0013668C" w:rsidP="0013668C">
            <w:pPr>
              <w:spacing w:after="160" w:line="259" w:lineRule="auto"/>
              <w:rPr>
                <w:rFonts w:ascii="Arial" w:eastAsia="Calibri" w:hAnsi="Arial" w:cs="Arial"/>
                <w:color w:val="000000"/>
                <w:sz w:val="16"/>
                <w:lang w:eastAsia="es-AR"/>
              </w:rPr>
            </w:pPr>
            <w:r w:rsidRPr="00701F32">
              <w:rPr>
                <w:rFonts w:ascii="Arial" w:eastAsia="Calibri" w:hAnsi="Arial" w:cs="Arial"/>
                <w:b/>
                <w:bCs/>
                <w:color w:val="000000"/>
                <w:sz w:val="16"/>
              </w:rPr>
              <w:t>TOTAL</w:t>
            </w:r>
          </w:p>
        </w:tc>
        <w:tc>
          <w:tcPr>
            <w:tcW w:w="1385" w:type="dxa"/>
            <w:vAlign w:val="bottom"/>
          </w:tcPr>
          <w:p w14:paraId="1C731669" w14:textId="7F6B591A" w:rsidR="0013668C" w:rsidRPr="00701F32" w:rsidRDefault="00AB4EE5" w:rsidP="0013668C">
            <w:pPr>
              <w:spacing w:after="160" w:line="259" w:lineRule="auto"/>
              <w:jc w:val="right"/>
              <w:rPr>
                <w:rFonts w:ascii="Arial" w:eastAsia="Calibri" w:hAnsi="Arial" w:cs="Arial"/>
                <w:color w:val="000000"/>
                <w:sz w:val="16"/>
                <w:lang w:val="es-ES_tradnl"/>
              </w:rPr>
            </w:pPr>
            <w:r>
              <w:rPr>
                <w:rFonts w:ascii="Arial" w:hAnsi="Arial" w:cs="Arial"/>
                <w:b/>
                <w:bCs/>
                <w:color w:val="000000"/>
                <w:sz w:val="15"/>
                <w:szCs w:val="15"/>
              </w:rPr>
              <w:t>892.419</w:t>
            </w:r>
          </w:p>
        </w:tc>
        <w:tc>
          <w:tcPr>
            <w:tcW w:w="1231" w:type="dxa"/>
            <w:shd w:val="clear" w:color="auto" w:fill="auto"/>
            <w:vAlign w:val="bottom"/>
          </w:tcPr>
          <w:p w14:paraId="062F8E4B"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b/>
                <w:bCs/>
                <w:color w:val="000000"/>
                <w:sz w:val="15"/>
                <w:szCs w:val="15"/>
              </w:rPr>
              <w:t>3.468</w:t>
            </w:r>
          </w:p>
        </w:tc>
        <w:tc>
          <w:tcPr>
            <w:tcW w:w="1078" w:type="dxa"/>
            <w:shd w:val="clear" w:color="auto" w:fill="auto"/>
            <w:vAlign w:val="bottom"/>
          </w:tcPr>
          <w:p w14:paraId="6972860C" w14:textId="77777777" w:rsidR="0013668C" w:rsidRPr="00BB5F6A" w:rsidRDefault="0013668C" w:rsidP="0013668C">
            <w:pPr>
              <w:spacing w:after="160" w:line="259" w:lineRule="auto"/>
              <w:jc w:val="right"/>
              <w:rPr>
                <w:rFonts w:ascii="Arial" w:eastAsia="Calibri" w:hAnsi="Arial" w:cs="Arial"/>
                <w:b/>
                <w:color w:val="000000"/>
                <w:sz w:val="16"/>
                <w:lang w:val="es-ES_tradnl"/>
              </w:rPr>
            </w:pPr>
            <w:r>
              <w:rPr>
                <w:rFonts w:ascii="Arial" w:hAnsi="Arial" w:cs="Arial"/>
                <w:b/>
                <w:bCs/>
                <w:color w:val="000000"/>
                <w:sz w:val="15"/>
                <w:szCs w:val="15"/>
              </w:rPr>
              <w:t>2.317.886</w:t>
            </w:r>
          </w:p>
        </w:tc>
        <w:tc>
          <w:tcPr>
            <w:tcW w:w="1538" w:type="dxa"/>
            <w:vAlign w:val="bottom"/>
          </w:tcPr>
          <w:p w14:paraId="698D5A0A" w14:textId="77777777" w:rsidR="0013668C" w:rsidRPr="00701F32" w:rsidRDefault="0013668C" w:rsidP="0013668C">
            <w:pPr>
              <w:spacing w:after="160" w:line="259" w:lineRule="auto"/>
              <w:jc w:val="right"/>
              <w:rPr>
                <w:rFonts w:ascii="Arial" w:eastAsia="Calibri" w:hAnsi="Arial" w:cs="Arial"/>
                <w:color w:val="000000"/>
                <w:sz w:val="16"/>
                <w:lang w:val="es-ES_tradnl"/>
              </w:rPr>
            </w:pPr>
            <w:r>
              <w:rPr>
                <w:rFonts w:ascii="Arial" w:hAnsi="Arial" w:cs="Arial"/>
                <w:b/>
                <w:bCs/>
                <w:color w:val="000000"/>
                <w:sz w:val="15"/>
                <w:szCs w:val="15"/>
              </w:rPr>
              <w:t>24.232</w:t>
            </w:r>
          </w:p>
        </w:tc>
        <w:tc>
          <w:tcPr>
            <w:tcW w:w="1231" w:type="dxa"/>
            <w:vAlign w:val="center"/>
          </w:tcPr>
          <w:p w14:paraId="6EC4301C" w14:textId="77777777" w:rsidR="0013668C" w:rsidRPr="00FB62CD" w:rsidRDefault="0013668C" w:rsidP="0013668C">
            <w:pPr>
              <w:spacing w:after="160" w:line="259" w:lineRule="auto"/>
              <w:jc w:val="right"/>
              <w:rPr>
                <w:rFonts w:ascii="Arial" w:hAnsi="Arial" w:cs="Arial"/>
                <w:b/>
                <w:bCs/>
                <w:color w:val="000000"/>
                <w:sz w:val="15"/>
                <w:szCs w:val="15"/>
              </w:rPr>
            </w:pPr>
            <w:r>
              <w:rPr>
                <w:rFonts w:ascii="Arial" w:hAnsi="Arial" w:cs="Arial"/>
                <w:b/>
                <w:bCs/>
                <w:color w:val="000000"/>
                <w:sz w:val="15"/>
                <w:szCs w:val="15"/>
              </w:rPr>
              <w:t>70.031</w:t>
            </w:r>
          </w:p>
        </w:tc>
        <w:tc>
          <w:tcPr>
            <w:tcW w:w="1231" w:type="dxa"/>
            <w:shd w:val="clear" w:color="auto" w:fill="auto"/>
            <w:vAlign w:val="bottom"/>
          </w:tcPr>
          <w:p w14:paraId="77769363" w14:textId="2727AE54" w:rsidR="0013668C" w:rsidRPr="00FB62CD" w:rsidRDefault="00AB4EE5" w:rsidP="0013668C">
            <w:pPr>
              <w:spacing w:after="160" w:line="259" w:lineRule="auto"/>
              <w:jc w:val="right"/>
              <w:rPr>
                <w:rFonts w:ascii="Arial" w:hAnsi="Arial" w:cs="Arial"/>
                <w:b/>
                <w:bCs/>
                <w:color w:val="000000"/>
                <w:sz w:val="15"/>
                <w:szCs w:val="15"/>
              </w:rPr>
            </w:pPr>
            <w:r>
              <w:rPr>
                <w:rFonts w:ascii="Arial" w:hAnsi="Arial" w:cs="Arial"/>
                <w:b/>
                <w:bCs/>
                <w:color w:val="000000"/>
                <w:sz w:val="15"/>
                <w:szCs w:val="15"/>
              </w:rPr>
              <w:t>255.374</w:t>
            </w:r>
          </w:p>
        </w:tc>
      </w:tr>
    </w:tbl>
    <w:p w14:paraId="5F100C0C" w14:textId="05AB0726" w:rsidR="00DE5129" w:rsidRDefault="00DE5129" w:rsidP="00656E62">
      <w:pPr>
        <w:widowControl w:val="0"/>
        <w:autoSpaceDE w:val="0"/>
        <w:autoSpaceDN w:val="0"/>
        <w:adjustRightInd w:val="0"/>
        <w:jc w:val="both"/>
        <w:rPr>
          <w:rFonts w:ascii="Arial" w:eastAsia="Calibri" w:hAnsi="Arial" w:cs="Arial"/>
          <w:color w:val="000000"/>
          <w:sz w:val="20"/>
        </w:rPr>
      </w:pPr>
    </w:p>
    <w:p w14:paraId="0D3DE7AB" w14:textId="77777777" w:rsidR="00DE5129" w:rsidRDefault="00DE5129" w:rsidP="00656E62">
      <w:pPr>
        <w:widowControl w:val="0"/>
        <w:autoSpaceDE w:val="0"/>
        <w:autoSpaceDN w:val="0"/>
        <w:adjustRightInd w:val="0"/>
        <w:jc w:val="both"/>
        <w:rPr>
          <w:rFonts w:ascii="Arial" w:eastAsia="Calibri" w:hAnsi="Arial" w:cs="Arial"/>
          <w:color w:val="000000"/>
          <w:sz w:val="20"/>
        </w:rPr>
      </w:pPr>
    </w:p>
    <w:p w14:paraId="405EA9BD" w14:textId="385784B6" w:rsidR="00721980" w:rsidRPr="00701F32" w:rsidRDefault="00140E64" w:rsidP="00140E64">
      <w:pPr>
        <w:widowControl w:val="0"/>
        <w:autoSpaceDE w:val="0"/>
        <w:autoSpaceDN w:val="0"/>
        <w:adjustRightInd w:val="0"/>
        <w:jc w:val="both"/>
        <w:rPr>
          <w:rFonts w:ascii="Arial" w:eastAsia="Calibri" w:hAnsi="Arial" w:cs="Arial"/>
          <w:color w:val="000000"/>
          <w:sz w:val="20"/>
        </w:rPr>
      </w:pPr>
      <w:r w:rsidRPr="00701F32">
        <w:rPr>
          <w:rFonts w:ascii="Arial" w:eastAsia="Calibri" w:hAnsi="Arial" w:cs="Arial"/>
          <w:color w:val="000000"/>
          <w:sz w:val="20"/>
        </w:rPr>
        <w:t>Los res</w:t>
      </w:r>
      <w:r w:rsidR="00886AE1">
        <w:rPr>
          <w:rFonts w:ascii="Arial" w:eastAsia="Calibri" w:hAnsi="Arial" w:cs="Arial"/>
          <w:color w:val="000000"/>
          <w:sz w:val="20"/>
        </w:rPr>
        <w:t>ultados más significativos al 3</w:t>
      </w:r>
      <w:r w:rsidR="00FB62CD">
        <w:rPr>
          <w:rFonts w:ascii="Arial" w:eastAsia="Calibri" w:hAnsi="Arial" w:cs="Arial"/>
          <w:color w:val="000000"/>
          <w:sz w:val="20"/>
        </w:rPr>
        <w:t>1</w:t>
      </w:r>
      <w:r w:rsidRPr="00701F32">
        <w:rPr>
          <w:rFonts w:ascii="Arial" w:eastAsia="Calibri" w:hAnsi="Arial" w:cs="Arial"/>
          <w:color w:val="000000"/>
          <w:sz w:val="20"/>
        </w:rPr>
        <w:t xml:space="preserve"> de </w:t>
      </w:r>
      <w:r w:rsidR="00FB62CD">
        <w:rPr>
          <w:rFonts w:ascii="Arial" w:eastAsia="Calibri" w:hAnsi="Arial" w:cs="Arial"/>
          <w:color w:val="000000"/>
          <w:sz w:val="20"/>
        </w:rPr>
        <w:t>marzo</w:t>
      </w:r>
      <w:r w:rsidR="006104DE" w:rsidRPr="00701F32">
        <w:rPr>
          <w:rFonts w:ascii="Arial" w:eastAsia="Calibri" w:hAnsi="Arial" w:cs="Arial"/>
          <w:color w:val="000000"/>
          <w:sz w:val="20"/>
        </w:rPr>
        <w:t xml:space="preserve"> </w:t>
      </w:r>
      <w:r w:rsidR="008716E7">
        <w:rPr>
          <w:rFonts w:ascii="Arial" w:eastAsia="Calibri" w:hAnsi="Arial" w:cs="Arial"/>
          <w:color w:val="000000"/>
          <w:sz w:val="20"/>
        </w:rPr>
        <w:t xml:space="preserve">de </w:t>
      </w:r>
      <w:r w:rsidR="006104DE">
        <w:rPr>
          <w:rFonts w:ascii="Arial" w:eastAsia="Calibri" w:hAnsi="Arial" w:cs="Arial"/>
          <w:color w:val="000000"/>
          <w:sz w:val="20"/>
        </w:rPr>
        <w:t>20</w:t>
      </w:r>
      <w:r w:rsidR="00FB62CD">
        <w:rPr>
          <w:rFonts w:ascii="Arial" w:eastAsia="Calibri" w:hAnsi="Arial" w:cs="Arial"/>
          <w:color w:val="000000"/>
          <w:sz w:val="20"/>
        </w:rPr>
        <w:t>20</w:t>
      </w:r>
      <w:r w:rsidR="006104DE">
        <w:rPr>
          <w:rFonts w:ascii="Arial" w:eastAsia="Calibri" w:hAnsi="Arial" w:cs="Arial"/>
          <w:color w:val="000000"/>
          <w:sz w:val="20"/>
        </w:rPr>
        <w:t xml:space="preserve"> </w:t>
      </w:r>
      <w:r w:rsidR="008716E7">
        <w:rPr>
          <w:rFonts w:ascii="Arial" w:eastAsia="Calibri" w:hAnsi="Arial" w:cs="Arial"/>
          <w:color w:val="000000"/>
          <w:sz w:val="20"/>
        </w:rPr>
        <w:t xml:space="preserve">y </w:t>
      </w:r>
      <w:r w:rsidR="00FB62CD">
        <w:rPr>
          <w:rFonts w:ascii="Arial" w:eastAsia="Calibri" w:hAnsi="Arial" w:cs="Arial"/>
          <w:color w:val="000000"/>
          <w:sz w:val="20"/>
        </w:rPr>
        <w:t xml:space="preserve">31 de </w:t>
      </w:r>
      <w:r w:rsidR="00AB4EE5">
        <w:rPr>
          <w:rFonts w:ascii="Arial" w:eastAsia="Calibri" w:hAnsi="Arial" w:cs="Arial"/>
          <w:color w:val="000000"/>
          <w:sz w:val="20"/>
        </w:rPr>
        <w:t>marzo</w:t>
      </w:r>
      <w:r w:rsidR="00FB62CD">
        <w:rPr>
          <w:rFonts w:ascii="Arial" w:eastAsia="Calibri" w:hAnsi="Arial" w:cs="Arial"/>
          <w:color w:val="000000"/>
          <w:sz w:val="20"/>
        </w:rPr>
        <w:t xml:space="preserve"> de </w:t>
      </w:r>
      <w:r w:rsidR="006104DE">
        <w:rPr>
          <w:rFonts w:ascii="Arial" w:eastAsia="Calibri" w:hAnsi="Arial" w:cs="Arial"/>
          <w:color w:val="000000"/>
          <w:sz w:val="20"/>
        </w:rPr>
        <w:t>201</w:t>
      </w:r>
      <w:r w:rsidR="00FB62CD">
        <w:rPr>
          <w:rFonts w:ascii="Arial" w:eastAsia="Calibri" w:hAnsi="Arial" w:cs="Arial"/>
          <w:color w:val="000000"/>
          <w:sz w:val="20"/>
        </w:rPr>
        <w:t>9</w:t>
      </w:r>
      <w:r w:rsidR="006104DE">
        <w:rPr>
          <w:rFonts w:ascii="Arial" w:eastAsia="Calibri" w:hAnsi="Arial" w:cs="Arial"/>
          <w:color w:val="000000"/>
          <w:sz w:val="20"/>
        </w:rPr>
        <w:t xml:space="preserve"> </w:t>
      </w:r>
      <w:r w:rsidRPr="00701F32">
        <w:rPr>
          <w:rFonts w:ascii="Arial" w:eastAsia="Calibri" w:hAnsi="Arial" w:cs="Arial"/>
          <w:color w:val="000000"/>
          <w:sz w:val="20"/>
        </w:rPr>
        <w:t>son los siguientes</w:t>
      </w:r>
      <w:r w:rsidR="007D1882" w:rsidRPr="00701F32">
        <w:rPr>
          <w:rFonts w:ascii="Arial" w:eastAsia="Calibri" w:hAnsi="Arial" w:cs="Arial"/>
          <w:color w:val="000000"/>
          <w:sz w:val="20"/>
        </w:rPr>
        <w:t>:</w:t>
      </w:r>
    </w:p>
    <w:p w14:paraId="72AC17CF" w14:textId="77777777" w:rsidR="002C3A48" w:rsidRPr="00701F32" w:rsidRDefault="002C3A48" w:rsidP="0010654A">
      <w:pPr>
        <w:widowControl w:val="0"/>
        <w:autoSpaceDE w:val="0"/>
        <w:autoSpaceDN w:val="0"/>
        <w:adjustRightInd w:val="0"/>
        <w:jc w:val="both"/>
        <w:rPr>
          <w:rFonts w:ascii="Arial" w:eastAsia="Calibri" w:hAnsi="Arial" w:cs="Arial"/>
          <w:color w:val="000000"/>
          <w:sz w:val="20"/>
        </w:rPr>
      </w:pPr>
    </w:p>
    <w:tbl>
      <w:tblPr>
        <w:tblW w:w="99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84"/>
        <w:gridCol w:w="1194"/>
        <w:gridCol w:w="1134"/>
        <w:gridCol w:w="1134"/>
        <w:gridCol w:w="1134"/>
        <w:gridCol w:w="1369"/>
        <w:gridCol w:w="1325"/>
      </w:tblGrid>
      <w:tr w:rsidR="0010654A" w:rsidRPr="00701F32" w14:paraId="3F8F2359" w14:textId="77777777" w:rsidTr="00F30223">
        <w:trPr>
          <w:trHeight w:val="263"/>
          <w:tblHeader/>
        </w:trPr>
        <w:tc>
          <w:tcPr>
            <w:tcW w:w="2684" w:type="dxa"/>
            <w:vMerge w:val="restart"/>
            <w:shd w:val="clear" w:color="auto" w:fill="auto"/>
            <w:vAlign w:val="center"/>
            <w:hideMark/>
          </w:tcPr>
          <w:p w14:paraId="0FC10A1A" w14:textId="77777777" w:rsidR="0010654A" w:rsidRPr="00701F32" w:rsidRDefault="0010654A" w:rsidP="002E5672">
            <w:pPr>
              <w:tabs>
                <w:tab w:val="left" w:pos="142"/>
              </w:tabs>
              <w:spacing w:after="160" w:line="259" w:lineRule="auto"/>
              <w:jc w:val="center"/>
              <w:rPr>
                <w:rFonts w:ascii="Arial" w:eastAsia="Calibri" w:hAnsi="Arial" w:cs="Arial"/>
                <w:b/>
                <w:color w:val="000000"/>
                <w:sz w:val="16"/>
                <w:lang w:eastAsia="es-AR"/>
              </w:rPr>
            </w:pPr>
            <w:r w:rsidRPr="00701F32">
              <w:rPr>
                <w:rFonts w:ascii="Arial" w:eastAsia="Calibri" w:hAnsi="Arial" w:cs="Arial"/>
                <w:b/>
                <w:color w:val="000000"/>
                <w:sz w:val="16"/>
                <w:lang w:eastAsia="es-AR"/>
              </w:rPr>
              <w:lastRenderedPageBreak/>
              <w:t>Sociedades</w:t>
            </w:r>
          </w:p>
        </w:tc>
        <w:tc>
          <w:tcPr>
            <w:tcW w:w="7290" w:type="dxa"/>
            <w:gridSpan w:val="6"/>
            <w:vAlign w:val="center"/>
          </w:tcPr>
          <w:p w14:paraId="7BAD39CB" w14:textId="242CE3BE" w:rsidR="0010654A" w:rsidRPr="00701F32" w:rsidRDefault="003C2633" w:rsidP="00886AE1">
            <w:pPr>
              <w:spacing w:after="160" w:line="259" w:lineRule="auto"/>
              <w:jc w:val="center"/>
              <w:rPr>
                <w:rFonts w:ascii="Arial" w:eastAsia="Calibri" w:hAnsi="Arial" w:cs="Arial"/>
                <w:b/>
                <w:color w:val="000000"/>
                <w:sz w:val="16"/>
              </w:rPr>
            </w:pPr>
            <w:r>
              <w:rPr>
                <w:rFonts w:ascii="Arial" w:eastAsia="Calibri" w:hAnsi="Arial" w:cs="Arial"/>
                <w:b/>
                <w:color w:val="000000"/>
                <w:sz w:val="16"/>
              </w:rPr>
              <w:t>3</w:t>
            </w:r>
            <w:r w:rsidR="00FB62CD">
              <w:rPr>
                <w:rFonts w:ascii="Arial" w:eastAsia="Calibri" w:hAnsi="Arial" w:cs="Arial"/>
                <w:b/>
                <w:color w:val="000000"/>
                <w:sz w:val="16"/>
              </w:rPr>
              <w:t>1</w:t>
            </w:r>
            <w:r>
              <w:rPr>
                <w:rFonts w:ascii="Arial" w:eastAsia="Calibri" w:hAnsi="Arial" w:cs="Arial"/>
                <w:b/>
                <w:color w:val="000000"/>
                <w:sz w:val="16"/>
              </w:rPr>
              <w:t>/0</w:t>
            </w:r>
            <w:r w:rsidR="00FB62CD">
              <w:rPr>
                <w:rFonts w:ascii="Arial" w:eastAsia="Calibri" w:hAnsi="Arial" w:cs="Arial"/>
                <w:b/>
                <w:color w:val="000000"/>
                <w:sz w:val="16"/>
              </w:rPr>
              <w:t>3</w:t>
            </w:r>
            <w:r>
              <w:rPr>
                <w:rFonts w:ascii="Arial" w:eastAsia="Calibri" w:hAnsi="Arial" w:cs="Arial"/>
                <w:b/>
                <w:color w:val="000000"/>
                <w:sz w:val="16"/>
              </w:rPr>
              <w:t>/20</w:t>
            </w:r>
            <w:r w:rsidR="00FB62CD">
              <w:rPr>
                <w:rFonts w:ascii="Arial" w:eastAsia="Calibri" w:hAnsi="Arial" w:cs="Arial"/>
                <w:b/>
                <w:color w:val="000000"/>
                <w:sz w:val="16"/>
              </w:rPr>
              <w:t>20</w:t>
            </w:r>
          </w:p>
        </w:tc>
      </w:tr>
      <w:tr w:rsidR="0010654A" w:rsidRPr="00701F32" w14:paraId="73CF7183" w14:textId="77777777" w:rsidTr="00F30223">
        <w:trPr>
          <w:trHeight w:val="639"/>
          <w:tblHeader/>
        </w:trPr>
        <w:tc>
          <w:tcPr>
            <w:tcW w:w="2684" w:type="dxa"/>
            <w:vMerge/>
            <w:shd w:val="clear" w:color="auto" w:fill="auto"/>
            <w:vAlign w:val="center"/>
            <w:hideMark/>
          </w:tcPr>
          <w:p w14:paraId="714BD7E2" w14:textId="77777777" w:rsidR="0010654A" w:rsidRPr="00701F32" w:rsidRDefault="0010654A" w:rsidP="002E5672">
            <w:pPr>
              <w:tabs>
                <w:tab w:val="left" w:pos="142"/>
              </w:tabs>
              <w:spacing w:after="160" w:line="259" w:lineRule="auto"/>
              <w:jc w:val="center"/>
              <w:rPr>
                <w:rFonts w:ascii="Arial" w:eastAsia="Calibri" w:hAnsi="Arial" w:cs="Arial"/>
                <w:color w:val="000000"/>
                <w:sz w:val="16"/>
                <w:lang w:eastAsia="es-AR"/>
              </w:rPr>
            </w:pPr>
          </w:p>
        </w:tc>
        <w:tc>
          <w:tcPr>
            <w:tcW w:w="1194" w:type="dxa"/>
            <w:vAlign w:val="center"/>
          </w:tcPr>
          <w:p w14:paraId="05A5EF0B"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Intereses</w:t>
            </w:r>
          </w:p>
        </w:tc>
        <w:tc>
          <w:tcPr>
            <w:tcW w:w="1134" w:type="dxa"/>
            <w:vAlign w:val="center"/>
          </w:tcPr>
          <w:p w14:paraId="49D028E0"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intereses</w:t>
            </w:r>
          </w:p>
        </w:tc>
        <w:tc>
          <w:tcPr>
            <w:tcW w:w="1134" w:type="dxa"/>
            <w:shd w:val="clear" w:color="auto" w:fill="auto"/>
            <w:vAlign w:val="center"/>
          </w:tcPr>
          <w:p w14:paraId="51BCF5D6"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Comisiones</w:t>
            </w:r>
          </w:p>
        </w:tc>
        <w:tc>
          <w:tcPr>
            <w:tcW w:w="1134" w:type="dxa"/>
            <w:vAlign w:val="center"/>
          </w:tcPr>
          <w:p w14:paraId="592FF220"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Comisiones</w:t>
            </w:r>
          </w:p>
        </w:tc>
        <w:tc>
          <w:tcPr>
            <w:tcW w:w="1369" w:type="dxa"/>
            <w:vAlign w:val="center"/>
          </w:tcPr>
          <w:p w14:paraId="1F68983C" w14:textId="6E446879"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 xml:space="preserve">Gastos de </w:t>
            </w:r>
            <w:r w:rsidR="00AE73E8" w:rsidRPr="00701F32">
              <w:rPr>
                <w:rFonts w:ascii="Arial" w:eastAsia="Calibri" w:hAnsi="Arial" w:cs="Arial"/>
                <w:b/>
                <w:color w:val="000000"/>
                <w:sz w:val="16"/>
              </w:rPr>
              <w:t>Administración</w:t>
            </w:r>
          </w:p>
        </w:tc>
        <w:tc>
          <w:tcPr>
            <w:tcW w:w="1325" w:type="dxa"/>
            <w:vAlign w:val="center"/>
          </w:tcPr>
          <w:p w14:paraId="0AA4EAC6"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Otros Ingresos Operativos</w:t>
            </w:r>
          </w:p>
        </w:tc>
      </w:tr>
      <w:tr w:rsidR="0010654A" w:rsidRPr="00701F32" w14:paraId="6C4EC86C" w14:textId="77777777" w:rsidTr="002E2271">
        <w:trPr>
          <w:trHeight w:val="455"/>
        </w:trPr>
        <w:tc>
          <w:tcPr>
            <w:tcW w:w="2684" w:type="dxa"/>
            <w:shd w:val="clear" w:color="auto" w:fill="auto"/>
            <w:vAlign w:val="bottom"/>
            <w:hideMark/>
          </w:tcPr>
          <w:p w14:paraId="7842A8A5" w14:textId="0A4BE948" w:rsidR="0010654A" w:rsidRPr="00701F32" w:rsidRDefault="0010654A" w:rsidP="002E2271">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Cordial Cía. Financiera S</w:t>
            </w:r>
            <w:r w:rsidR="00084EEA">
              <w:rPr>
                <w:rFonts w:ascii="Arial" w:eastAsia="Calibri" w:hAnsi="Arial" w:cs="Arial"/>
                <w:color w:val="000000"/>
                <w:sz w:val="16"/>
                <w:lang w:eastAsia="es-AR"/>
              </w:rPr>
              <w:t>.</w:t>
            </w:r>
            <w:r w:rsidRPr="00701F32">
              <w:rPr>
                <w:rFonts w:ascii="Arial" w:eastAsia="Calibri" w:hAnsi="Arial" w:cs="Arial"/>
                <w:color w:val="000000"/>
                <w:sz w:val="16"/>
                <w:lang w:eastAsia="es-AR"/>
              </w:rPr>
              <w:t>A</w:t>
            </w:r>
            <w:r w:rsidR="00084EEA">
              <w:rPr>
                <w:rFonts w:ascii="Arial" w:eastAsia="Calibri" w:hAnsi="Arial" w:cs="Arial"/>
                <w:color w:val="000000"/>
                <w:sz w:val="16"/>
                <w:lang w:eastAsia="es-AR"/>
              </w:rPr>
              <w:t>.</w:t>
            </w:r>
          </w:p>
        </w:tc>
        <w:tc>
          <w:tcPr>
            <w:tcW w:w="1194" w:type="dxa"/>
            <w:vAlign w:val="bottom"/>
          </w:tcPr>
          <w:p w14:paraId="304CBE19" w14:textId="1B0E06CA" w:rsidR="0010654A" w:rsidRPr="00701F32" w:rsidRDefault="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89.050</w:t>
            </w:r>
          </w:p>
        </w:tc>
        <w:tc>
          <w:tcPr>
            <w:tcW w:w="1134" w:type="dxa"/>
            <w:vAlign w:val="bottom"/>
          </w:tcPr>
          <w:p w14:paraId="0B259E2D" w14:textId="19F2DE15" w:rsidR="0010654A" w:rsidRPr="00701F32" w:rsidRDefault="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24.574</w:t>
            </w:r>
          </w:p>
        </w:tc>
        <w:tc>
          <w:tcPr>
            <w:tcW w:w="1134" w:type="dxa"/>
            <w:shd w:val="clear" w:color="auto" w:fill="auto"/>
            <w:vAlign w:val="bottom"/>
          </w:tcPr>
          <w:p w14:paraId="3D31D6B3" w14:textId="53A55A7B" w:rsidR="0010654A" w:rsidRPr="00701F32" w:rsidRDefault="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582</w:t>
            </w:r>
          </w:p>
        </w:tc>
        <w:tc>
          <w:tcPr>
            <w:tcW w:w="1134" w:type="dxa"/>
            <w:vAlign w:val="bottom"/>
          </w:tcPr>
          <w:p w14:paraId="3C066D44" w14:textId="034817C4" w:rsidR="0010654A" w:rsidRPr="00701F32" w:rsidRDefault="008E3603"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w:t>
            </w:r>
          </w:p>
        </w:tc>
        <w:tc>
          <w:tcPr>
            <w:tcW w:w="1369" w:type="dxa"/>
            <w:vAlign w:val="bottom"/>
          </w:tcPr>
          <w:p w14:paraId="5D9A942E" w14:textId="77777777" w:rsidR="0010654A" w:rsidRPr="00701F32" w:rsidRDefault="0010654A" w:rsidP="002E5672">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325" w:type="dxa"/>
            <w:vAlign w:val="bottom"/>
          </w:tcPr>
          <w:p w14:paraId="0E3397AF" w14:textId="6AE6EC94" w:rsidR="0010654A" w:rsidRPr="00701F32" w:rsidRDefault="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483</w:t>
            </w:r>
          </w:p>
        </w:tc>
      </w:tr>
      <w:tr w:rsidR="008E3603" w:rsidRPr="00701F32" w14:paraId="18CBC9E5" w14:textId="77777777" w:rsidTr="002E2271">
        <w:trPr>
          <w:trHeight w:val="455"/>
        </w:trPr>
        <w:tc>
          <w:tcPr>
            <w:tcW w:w="2684" w:type="dxa"/>
            <w:shd w:val="clear" w:color="auto" w:fill="auto"/>
            <w:vAlign w:val="bottom"/>
            <w:hideMark/>
          </w:tcPr>
          <w:p w14:paraId="256BCBC0" w14:textId="77777777" w:rsidR="008E3603" w:rsidRPr="00701F32" w:rsidRDefault="008E3603" w:rsidP="008E360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Sofital S.A.F. e I.I.</w:t>
            </w:r>
          </w:p>
        </w:tc>
        <w:tc>
          <w:tcPr>
            <w:tcW w:w="1194" w:type="dxa"/>
            <w:vAlign w:val="bottom"/>
          </w:tcPr>
          <w:p w14:paraId="3374499C" w14:textId="674C1EF3"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134" w:type="dxa"/>
            <w:vAlign w:val="bottom"/>
          </w:tcPr>
          <w:p w14:paraId="0F38BCBE" w14:textId="6E4C37AD"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134" w:type="dxa"/>
            <w:shd w:val="clear" w:color="auto" w:fill="auto"/>
            <w:vAlign w:val="bottom"/>
          </w:tcPr>
          <w:p w14:paraId="0EAD7B0D" w14:textId="7D00DB29"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10</w:t>
            </w:r>
          </w:p>
        </w:tc>
        <w:tc>
          <w:tcPr>
            <w:tcW w:w="1134" w:type="dxa"/>
            <w:vAlign w:val="bottom"/>
          </w:tcPr>
          <w:p w14:paraId="305653C7" w14:textId="24E4A2B7"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369" w:type="dxa"/>
            <w:vAlign w:val="bottom"/>
          </w:tcPr>
          <w:p w14:paraId="7AD8B9A7" w14:textId="724312D4"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325" w:type="dxa"/>
            <w:vAlign w:val="bottom"/>
          </w:tcPr>
          <w:p w14:paraId="67573CFE" w14:textId="123652BE"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8E3603" w:rsidRPr="00701F32" w14:paraId="5AB2BF4A" w14:textId="77777777" w:rsidTr="002E2271">
        <w:trPr>
          <w:trHeight w:val="455"/>
        </w:trPr>
        <w:tc>
          <w:tcPr>
            <w:tcW w:w="2684" w:type="dxa"/>
            <w:shd w:val="clear" w:color="auto" w:fill="auto"/>
            <w:vAlign w:val="bottom"/>
            <w:hideMark/>
          </w:tcPr>
          <w:p w14:paraId="5D0D2610" w14:textId="77777777" w:rsidR="008E3603" w:rsidRPr="00701F32" w:rsidRDefault="008E3603" w:rsidP="008E3603">
            <w:pPr>
              <w:spacing w:after="160" w:line="259" w:lineRule="auto"/>
              <w:rPr>
                <w:rFonts w:ascii="Arial" w:eastAsia="Calibri" w:hAnsi="Arial" w:cs="Arial"/>
                <w:color w:val="000000"/>
                <w:sz w:val="16"/>
              </w:rPr>
            </w:pPr>
            <w:r w:rsidRPr="00701F32">
              <w:rPr>
                <w:rFonts w:ascii="Arial" w:eastAsia="Calibri" w:hAnsi="Arial" w:cs="Arial"/>
                <w:color w:val="000000"/>
                <w:sz w:val="16"/>
              </w:rPr>
              <w:t>Espacio Cordial S.A.</w:t>
            </w:r>
          </w:p>
        </w:tc>
        <w:tc>
          <w:tcPr>
            <w:tcW w:w="1194" w:type="dxa"/>
            <w:vAlign w:val="bottom"/>
          </w:tcPr>
          <w:p w14:paraId="5C7A25C7" w14:textId="49110316"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4</w:t>
            </w:r>
          </w:p>
        </w:tc>
        <w:tc>
          <w:tcPr>
            <w:tcW w:w="1134" w:type="dxa"/>
            <w:vAlign w:val="bottom"/>
          </w:tcPr>
          <w:p w14:paraId="550827B2" w14:textId="2CB04872"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134" w:type="dxa"/>
            <w:shd w:val="clear" w:color="auto" w:fill="auto"/>
            <w:vAlign w:val="bottom"/>
          </w:tcPr>
          <w:p w14:paraId="34E7C0CA" w14:textId="01D81502"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23</w:t>
            </w:r>
          </w:p>
        </w:tc>
        <w:tc>
          <w:tcPr>
            <w:tcW w:w="1134" w:type="dxa"/>
            <w:vAlign w:val="bottom"/>
          </w:tcPr>
          <w:p w14:paraId="39DBD927" w14:textId="59AAAE2A"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369" w:type="dxa"/>
            <w:vAlign w:val="bottom"/>
          </w:tcPr>
          <w:p w14:paraId="422689DB" w14:textId="03E86332"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325" w:type="dxa"/>
            <w:vAlign w:val="bottom"/>
          </w:tcPr>
          <w:p w14:paraId="5B83647C" w14:textId="053228CB"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85</w:t>
            </w:r>
          </w:p>
        </w:tc>
      </w:tr>
      <w:tr w:rsidR="008E3603" w:rsidRPr="00701F32" w14:paraId="55F39AAC" w14:textId="77777777" w:rsidTr="002E2271">
        <w:trPr>
          <w:trHeight w:val="455"/>
        </w:trPr>
        <w:tc>
          <w:tcPr>
            <w:tcW w:w="2684" w:type="dxa"/>
            <w:shd w:val="clear" w:color="auto" w:fill="auto"/>
            <w:vAlign w:val="bottom"/>
          </w:tcPr>
          <w:p w14:paraId="16615659" w14:textId="77777777" w:rsidR="008E3603" w:rsidRPr="00701F32" w:rsidRDefault="008E3603" w:rsidP="008E360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Supervielle Seguros S.A.</w:t>
            </w:r>
          </w:p>
        </w:tc>
        <w:tc>
          <w:tcPr>
            <w:tcW w:w="1194" w:type="dxa"/>
            <w:vAlign w:val="bottom"/>
          </w:tcPr>
          <w:p w14:paraId="2F3A4D5B" w14:textId="7053ACFD"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1</w:t>
            </w:r>
          </w:p>
        </w:tc>
        <w:tc>
          <w:tcPr>
            <w:tcW w:w="1134" w:type="dxa"/>
            <w:vAlign w:val="bottom"/>
          </w:tcPr>
          <w:p w14:paraId="6AB6584C" w14:textId="55205D6B"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134" w:type="dxa"/>
            <w:shd w:val="clear" w:color="auto" w:fill="auto"/>
            <w:vAlign w:val="bottom"/>
          </w:tcPr>
          <w:p w14:paraId="70665D4F" w14:textId="55ACC748"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44.215</w:t>
            </w:r>
          </w:p>
        </w:tc>
        <w:tc>
          <w:tcPr>
            <w:tcW w:w="1134" w:type="dxa"/>
            <w:vAlign w:val="bottom"/>
          </w:tcPr>
          <w:p w14:paraId="221689A6" w14:textId="60660732"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369" w:type="dxa"/>
            <w:vAlign w:val="bottom"/>
          </w:tcPr>
          <w:p w14:paraId="55AB7926" w14:textId="452EF489"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2.190</w:t>
            </w:r>
          </w:p>
        </w:tc>
        <w:tc>
          <w:tcPr>
            <w:tcW w:w="1325" w:type="dxa"/>
            <w:vAlign w:val="bottom"/>
          </w:tcPr>
          <w:p w14:paraId="2E538A76" w14:textId="356810C6"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4.391</w:t>
            </w:r>
          </w:p>
        </w:tc>
      </w:tr>
      <w:tr w:rsidR="008E3603" w:rsidRPr="00701F32" w14:paraId="3757FC0B" w14:textId="77777777" w:rsidTr="002E2271">
        <w:trPr>
          <w:trHeight w:val="455"/>
        </w:trPr>
        <w:tc>
          <w:tcPr>
            <w:tcW w:w="2684" w:type="dxa"/>
            <w:shd w:val="clear" w:color="auto" w:fill="auto"/>
            <w:vAlign w:val="bottom"/>
            <w:hideMark/>
          </w:tcPr>
          <w:p w14:paraId="4E51DCC8" w14:textId="77777777" w:rsidR="008E3603" w:rsidRPr="00701F32" w:rsidRDefault="008E3603" w:rsidP="008E360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Tarjeta Automática S.A.</w:t>
            </w:r>
          </w:p>
        </w:tc>
        <w:tc>
          <w:tcPr>
            <w:tcW w:w="1194" w:type="dxa"/>
            <w:vAlign w:val="bottom"/>
          </w:tcPr>
          <w:p w14:paraId="358FD294" w14:textId="74585012"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1</w:t>
            </w:r>
          </w:p>
        </w:tc>
        <w:tc>
          <w:tcPr>
            <w:tcW w:w="1134" w:type="dxa"/>
            <w:vAlign w:val="bottom"/>
          </w:tcPr>
          <w:p w14:paraId="698E3D26" w14:textId="7B04C210"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134" w:type="dxa"/>
            <w:shd w:val="clear" w:color="auto" w:fill="auto"/>
            <w:vAlign w:val="bottom"/>
          </w:tcPr>
          <w:p w14:paraId="10CCBC4A" w14:textId="0095E603"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100</w:t>
            </w:r>
          </w:p>
        </w:tc>
        <w:tc>
          <w:tcPr>
            <w:tcW w:w="1134" w:type="dxa"/>
            <w:vAlign w:val="bottom"/>
          </w:tcPr>
          <w:p w14:paraId="1960226D" w14:textId="11A5C0DB"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369" w:type="dxa"/>
            <w:vAlign w:val="bottom"/>
          </w:tcPr>
          <w:p w14:paraId="18156446" w14:textId="1EE45B24"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325" w:type="dxa"/>
            <w:vAlign w:val="bottom"/>
          </w:tcPr>
          <w:p w14:paraId="07B49F82" w14:textId="3989414B"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58</w:t>
            </w:r>
          </w:p>
        </w:tc>
      </w:tr>
      <w:tr w:rsidR="008E3603" w:rsidRPr="00701F32" w14:paraId="5A75B4FA" w14:textId="77777777" w:rsidTr="002E2271">
        <w:trPr>
          <w:trHeight w:val="455"/>
        </w:trPr>
        <w:tc>
          <w:tcPr>
            <w:tcW w:w="2684" w:type="dxa"/>
            <w:shd w:val="clear" w:color="auto" w:fill="auto"/>
            <w:vAlign w:val="bottom"/>
            <w:hideMark/>
          </w:tcPr>
          <w:p w14:paraId="456D0637" w14:textId="77777777" w:rsidR="008E3603" w:rsidRPr="00701F32" w:rsidRDefault="008E3603" w:rsidP="008E3603">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Supervielle Asset Management S.A.</w:t>
            </w:r>
          </w:p>
        </w:tc>
        <w:tc>
          <w:tcPr>
            <w:tcW w:w="1194" w:type="dxa"/>
            <w:vAlign w:val="bottom"/>
          </w:tcPr>
          <w:p w14:paraId="02944C1E" w14:textId="619AA7D5"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134" w:type="dxa"/>
            <w:vAlign w:val="bottom"/>
          </w:tcPr>
          <w:p w14:paraId="0E38D01A" w14:textId="052586C6"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134" w:type="dxa"/>
            <w:shd w:val="clear" w:color="auto" w:fill="auto"/>
            <w:vAlign w:val="bottom"/>
          </w:tcPr>
          <w:p w14:paraId="34942793" w14:textId="0BB01F18"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6</w:t>
            </w:r>
          </w:p>
        </w:tc>
        <w:tc>
          <w:tcPr>
            <w:tcW w:w="1134" w:type="dxa"/>
            <w:vAlign w:val="bottom"/>
          </w:tcPr>
          <w:p w14:paraId="32BF10BD" w14:textId="7EA581EE"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369" w:type="dxa"/>
            <w:vAlign w:val="bottom"/>
          </w:tcPr>
          <w:p w14:paraId="66F1F06F" w14:textId="2E7679BA"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325" w:type="dxa"/>
            <w:vAlign w:val="bottom"/>
          </w:tcPr>
          <w:p w14:paraId="6AA1C0FE" w14:textId="1228AE90"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1.018</w:t>
            </w:r>
          </w:p>
        </w:tc>
      </w:tr>
      <w:tr w:rsidR="008E3603" w:rsidRPr="00701F32" w14:paraId="24AB8791" w14:textId="77777777" w:rsidTr="002E2271">
        <w:trPr>
          <w:trHeight w:val="455"/>
        </w:trPr>
        <w:tc>
          <w:tcPr>
            <w:tcW w:w="2684" w:type="dxa"/>
            <w:shd w:val="clear" w:color="auto" w:fill="auto"/>
            <w:vAlign w:val="bottom"/>
          </w:tcPr>
          <w:p w14:paraId="70ACB974" w14:textId="5CD66B5E" w:rsidR="008E3603" w:rsidRPr="00701F32" w:rsidRDefault="008E3603" w:rsidP="008E3603">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Invertir OnLine S.A.</w:t>
            </w:r>
            <w:r>
              <w:rPr>
                <w:rFonts w:ascii="Arial" w:eastAsia="Calibri" w:hAnsi="Arial" w:cs="Arial"/>
                <w:color w:val="000000"/>
                <w:sz w:val="16"/>
                <w:lang w:val="en-US" w:eastAsia="es-AR"/>
              </w:rPr>
              <w:t>U.</w:t>
            </w:r>
          </w:p>
        </w:tc>
        <w:tc>
          <w:tcPr>
            <w:tcW w:w="1194" w:type="dxa"/>
            <w:vAlign w:val="bottom"/>
          </w:tcPr>
          <w:p w14:paraId="2D5380CA" w14:textId="3DBD838F" w:rsidR="008E3603" w:rsidRPr="00701F32" w:rsidRDefault="008E3603" w:rsidP="008E3603">
            <w:pPr>
              <w:spacing w:after="160" w:line="259" w:lineRule="auto"/>
              <w:jc w:val="right"/>
              <w:rPr>
                <w:rFonts w:ascii="Arial" w:eastAsia="Calibri" w:hAnsi="Arial" w:cs="Arial"/>
                <w:color w:val="000000"/>
                <w:sz w:val="16"/>
                <w:lang w:val="es-ES_tradnl"/>
              </w:rPr>
            </w:pPr>
            <w:r w:rsidRPr="00D01297">
              <w:rPr>
                <w:rFonts w:ascii="Arial" w:hAnsi="Arial" w:cs="Arial"/>
                <w:sz w:val="16"/>
                <w:szCs w:val="16"/>
                <w:lang w:val="en-US"/>
              </w:rPr>
              <w:t> </w:t>
            </w:r>
            <w:r>
              <w:rPr>
                <w:rFonts w:ascii="Arial" w:hAnsi="Arial" w:cs="Arial"/>
                <w:sz w:val="16"/>
                <w:szCs w:val="16"/>
              </w:rPr>
              <w:t>-</w:t>
            </w:r>
          </w:p>
        </w:tc>
        <w:tc>
          <w:tcPr>
            <w:tcW w:w="1134" w:type="dxa"/>
            <w:vAlign w:val="bottom"/>
          </w:tcPr>
          <w:p w14:paraId="7780A3B7" w14:textId="2A6CD619"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3.330</w:t>
            </w:r>
          </w:p>
        </w:tc>
        <w:tc>
          <w:tcPr>
            <w:tcW w:w="1134" w:type="dxa"/>
            <w:shd w:val="clear" w:color="auto" w:fill="auto"/>
            <w:vAlign w:val="bottom"/>
          </w:tcPr>
          <w:p w14:paraId="1D15979F" w14:textId="2C5E4C0F" w:rsidR="008E3603" w:rsidRPr="00701F32" w:rsidDel="00B660DC"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256</w:t>
            </w:r>
          </w:p>
        </w:tc>
        <w:tc>
          <w:tcPr>
            <w:tcW w:w="1134" w:type="dxa"/>
            <w:vAlign w:val="bottom"/>
          </w:tcPr>
          <w:p w14:paraId="60667737" w14:textId="3898A029"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 -</w:t>
            </w:r>
          </w:p>
        </w:tc>
        <w:tc>
          <w:tcPr>
            <w:tcW w:w="1369" w:type="dxa"/>
            <w:vAlign w:val="bottom"/>
          </w:tcPr>
          <w:p w14:paraId="55F86B9F" w14:textId="52450E06"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 -</w:t>
            </w:r>
          </w:p>
        </w:tc>
        <w:tc>
          <w:tcPr>
            <w:tcW w:w="1325" w:type="dxa"/>
            <w:vAlign w:val="bottom"/>
          </w:tcPr>
          <w:p w14:paraId="36458928" w14:textId="3E37E0CF"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284</w:t>
            </w:r>
          </w:p>
        </w:tc>
      </w:tr>
      <w:tr w:rsidR="008E3603" w:rsidRPr="00701F32" w14:paraId="502EAE00" w14:textId="77777777" w:rsidTr="002E2271">
        <w:trPr>
          <w:trHeight w:val="455"/>
        </w:trPr>
        <w:tc>
          <w:tcPr>
            <w:tcW w:w="2684" w:type="dxa"/>
            <w:shd w:val="clear" w:color="auto" w:fill="auto"/>
            <w:vAlign w:val="bottom"/>
          </w:tcPr>
          <w:p w14:paraId="637C9CD1" w14:textId="3A10417F" w:rsidR="008E3603" w:rsidRPr="00701F32" w:rsidRDefault="008E3603" w:rsidP="008E3603">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rPr>
              <w:t>Invertir OnLine.com Argentina S.A.</w:t>
            </w:r>
            <w:r>
              <w:rPr>
                <w:rFonts w:ascii="Arial" w:eastAsia="Calibri" w:hAnsi="Arial" w:cs="Arial"/>
                <w:color w:val="000000"/>
                <w:sz w:val="16"/>
              </w:rPr>
              <w:t>U.</w:t>
            </w:r>
          </w:p>
        </w:tc>
        <w:tc>
          <w:tcPr>
            <w:tcW w:w="1194" w:type="dxa"/>
            <w:vAlign w:val="bottom"/>
          </w:tcPr>
          <w:p w14:paraId="3E98E148" w14:textId="00B83CDF"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w:t>
            </w:r>
          </w:p>
        </w:tc>
        <w:tc>
          <w:tcPr>
            <w:tcW w:w="1134" w:type="dxa"/>
            <w:vAlign w:val="bottom"/>
          </w:tcPr>
          <w:p w14:paraId="0A075B74" w14:textId="3703D80E" w:rsidR="008E3603" w:rsidRPr="00701F32" w:rsidDel="00AA3E91"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171</w:t>
            </w:r>
          </w:p>
        </w:tc>
        <w:tc>
          <w:tcPr>
            <w:tcW w:w="1134" w:type="dxa"/>
            <w:shd w:val="clear" w:color="auto" w:fill="auto"/>
            <w:vAlign w:val="bottom"/>
          </w:tcPr>
          <w:p w14:paraId="574C31E1" w14:textId="29846EE6" w:rsidR="008E3603" w:rsidRPr="00701F32" w:rsidDel="00AA3E91"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5</w:t>
            </w:r>
          </w:p>
        </w:tc>
        <w:tc>
          <w:tcPr>
            <w:tcW w:w="1134" w:type="dxa"/>
            <w:vAlign w:val="bottom"/>
          </w:tcPr>
          <w:p w14:paraId="21225C2F" w14:textId="589F3C61"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 -</w:t>
            </w:r>
          </w:p>
        </w:tc>
        <w:tc>
          <w:tcPr>
            <w:tcW w:w="1369" w:type="dxa"/>
            <w:vAlign w:val="bottom"/>
          </w:tcPr>
          <w:p w14:paraId="3E372994" w14:textId="6FDC325F"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 -</w:t>
            </w:r>
          </w:p>
        </w:tc>
        <w:tc>
          <w:tcPr>
            <w:tcW w:w="1325" w:type="dxa"/>
            <w:vAlign w:val="bottom"/>
          </w:tcPr>
          <w:p w14:paraId="6542D693" w14:textId="6D855E3F"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1</w:t>
            </w:r>
          </w:p>
        </w:tc>
      </w:tr>
      <w:tr w:rsidR="008E3603" w:rsidRPr="00701F32" w14:paraId="4FC41097" w14:textId="77777777" w:rsidTr="002E2271">
        <w:trPr>
          <w:trHeight w:val="455"/>
        </w:trPr>
        <w:tc>
          <w:tcPr>
            <w:tcW w:w="2684" w:type="dxa"/>
            <w:shd w:val="clear" w:color="auto" w:fill="auto"/>
            <w:vAlign w:val="bottom"/>
          </w:tcPr>
          <w:p w14:paraId="29D625B8" w14:textId="79C8D1D6" w:rsidR="008E3603" w:rsidRPr="00C00F7F" w:rsidRDefault="008E3603" w:rsidP="008E3603">
            <w:pPr>
              <w:tabs>
                <w:tab w:val="left" w:pos="142"/>
              </w:tabs>
              <w:spacing w:after="160" w:line="259" w:lineRule="auto"/>
              <w:rPr>
                <w:rFonts w:ascii="Arial" w:eastAsia="Calibri" w:hAnsi="Arial" w:cs="Arial"/>
                <w:color w:val="000000"/>
                <w:sz w:val="16"/>
                <w:lang w:val="en-US" w:eastAsia="es-AR"/>
              </w:rPr>
            </w:pPr>
            <w:r w:rsidRPr="0023020F">
              <w:rPr>
                <w:rFonts w:ascii="Arial" w:eastAsia="Calibri" w:hAnsi="Arial" w:cs="Arial"/>
                <w:color w:val="000000"/>
                <w:sz w:val="16"/>
                <w:lang w:val="en-US"/>
              </w:rPr>
              <w:t>Micro Lending S.A.U</w:t>
            </w:r>
            <w:r>
              <w:rPr>
                <w:rFonts w:ascii="Arial" w:eastAsia="Calibri" w:hAnsi="Arial" w:cs="Arial"/>
                <w:color w:val="000000"/>
                <w:sz w:val="16"/>
                <w:lang w:val="en-US"/>
              </w:rPr>
              <w:t>.</w:t>
            </w:r>
          </w:p>
        </w:tc>
        <w:tc>
          <w:tcPr>
            <w:tcW w:w="1194" w:type="dxa"/>
            <w:vAlign w:val="bottom"/>
          </w:tcPr>
          <w:p w14:paraId="1771D704" w14:textId="307D7AEB"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103</w:t>
            </w:r>
          </w:p>
        </w:tc>
        <w:tc>
          <w:tcPr>
            <w:tcW w:w="1134" w:type="dxa"/>
            <w:vAlign w:val="bottom"/>
          </w:tcPr>
          <w:p w14:paraId="05527FC3" w14:textId="58E14FBA" w:rsidR="008E3603" w:rsidRPr="00701F32" w:rsidDel="00AA3E91"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w:t>
            </w:r>
          </w:p>
        </w:tc>
        <w:tc>
          <w:tcPr>
            <w:tcW w:w="1134" w:type="dxa"/>
            <w:shd w:val="clear" w:color="auto" w:fill="auto"/>
            <w:vAlign w:val="bottom"/>
          </w:tcPr>
          <w:p w14:paraId="48FBFE02" w14:textId="56BC81EA" w:rsidR="008E3603" w:rsidRPr="00701F32" w:rsidDel="00AA3E91"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20</w:t>
            </w:r>
          </w:p>
        </w:tc>
        <w:tc>
          <w:tcPr>
            <w:tcW w:w="1134" w:type="dxa"/>
            <w:vAlign w:val="bottom"/>
          </w:tcPr>
          <w:p w14:paraId="064C65FA" w14:textId="18D0C4B4"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 -</w:t>
            </w:r>
          </w:p>
        </w:tc>
        <w:tc>
          <w:tcPr>
            <w:tcW w:w="1369" w:type="dxa"/>
            <w:vAlign w:val="bottom"/>
          </w:tcPr>
          <w:p w14:paraId="3BF0D3BB" w14:textId="1C16E6F0"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 -</w:t>
            </w:r>
          </w:p>
        </w:tc>
        <w:tc>
          <w:tcPr>
            <w:tcW w:w="1325" w:type="dxa"/>
            <w:vAlign w:val="bottom"/>
          </w:tcPr>
          <w:p w14:paraId="20F77158" w14:textId="35A64BD9" w:rsidR="008E3603" w:rsidRPr="00701F32" w:rsidRDefault="008E3603" w:rsidP="008E3603">
            <w:pPr>
              <w:spacing w:after="160" w:line="259" w:lineRule="auto"/>
              <w:jc w:val="right"/>
              <w:rPr>
                <w:rFonts w:ascii="Arial" w:eastAsia="Calibri" w:hAnsi="Arial" w:cs="Arial"/>
                <w:color w:val="000000"/>
                <w:sz w:val="16"/>
              </w:rPr>
            </w:pPr>
            <w:r>
              <w:rPr>
                <w:rFonts w:ascii="Arial" w:hAnsi="Arial" w:cs="Arial"/>
                <w:sz w:val="16"/>
                <w:szCs w:val="16"/>
              </w:rPr>
              <w:t>20</w:t>
            </w:r>
          </w:p>
        </w:tc>
      </w:tr>
      <w:tr w:rsidR="008E3603" w:rsidRPr="00701F32" w14:paraId="24744364" w14:textId="77777777" w:rsidTr="002E2271">
        <w:trPr>
          <w:trHeight w:val="455"/>
        </w:trPr>
        <w:tc>
          <w:tcPr>
            <w:tcW w:w="2684" w:type="dxa"/>
            <w:shd w:val="clear" w:color="auto" w:fill="auto"/>
            <w:vAlign w:val="bottom"/>
            <w:hideMark/>
          </w:tcPr>
          <w:p w14:paraId="2FBD3F9B" w14:textId="77777777" w:rsidR="008E3603" w:rsidRPr="00701F32" w:rsidRDefault="008E3603" w:rsidP="008E3603">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Grupo Supervielle S.A.</w:t>
            </w:r>
          </w:p>
        </w:tc>
        <w:tc>
          <w:tcPr>
            <w:tcW w:w="1194" w:type="dxa"/>
            <w:vAlign w:val="bottom"/>
          </w:tcPr>
          <w:p w14:paraId="0A3DF37B" w14:textId="47B88252"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134" w:type="dxa"/>
            <w:vAlign w:val="bottom"/>
          </w:tcPr>
          <w:p w14:paraId="05B264D1" w14:textId="0C6C705D"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5</w:t>
            </w:r>
          </w:p>
        </w:tc>
        <w:tc>
          <w:tcPr>
            <w:tcW w:w="1134" w:type="dxa"/>
            <w:shd w:val="clear" w:color="auto" w:fill="auto"/>
            <w:vAlign w:val="bottom"/>
          </w:tcPr>
          <w:p w14:paraId="27D26312" w14:textId="371F5AD4"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129</w:t>
            </w:r>
          </w:p>
        </w:tc>
        <w:tc>
          <w:tcPr>
            <w:tcW w:w="1134" w:type="dxa"/>
            <w:vAlign w:val="bottom"/>
          </w:tcPr>
          <w:p w14:paraId="4D2F6568" w14:textId="48EC55F3"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w:t>
            </w:r>
          </w:p>
        </w:tc>
        <w:tc>
          <w:tcPr>
            <w:tcW w:w="1369" w:type="dxa"/>
            <w:vAlign w:val="bottom"/>
          </w:tcPr>
          <w:p w14:paraId="2E5225A4" w14:textId="2DAA2A70"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39.034</w:t>
            </w:r>
          </w:p>
        </w:tc>
        <w:tc>
          <w:tcPr>
            <w:tcW w:w="1325" w:type="dxa"/>
            <w:vAlign w:val="bottom"/>
          </w:tcPr>
          <w:p w14:paraId="207ADCC5" w14:textId="742AD863" w:rsidR="008E3603" w:rsidRPr="00701F32" w:rsidRDefault="008E3603" w:rsidP="008E3603">
            <w:pPr>
              <w:spacing w:after="160" w:line="259" w:lineRule="auto"/>
              <w:jc w:val="right"/>
              <w:rPr>
                <w:rFonts w:ascii="Arial" w:eastAsia="Calibri" w:hAnsi="Arial" w:cs="Arial"/>
                <w:color w:val="000000"/>
                <w:sz w:val="16"/>
                <w:lang w:val="es-ES_tradnl"/>
              </w:rPr>
            </w:pPr>
            <w:r>
              <w:rPr>
                <w:rFonts w:ascii="Arial" w:hAnsi="Arial" w:cs="Arial"/>
                <w:sz w:val="16"/>
                <w:szCs w:val="16"/>
              </w:rPr>
              <w:t>1.615</w:t>
            </w:r>
          </w:p>
        </w:tc>
      </w:tr>
      <w:tr w:rsidR="008E3603" w:rsidRPr="00701F32" w14:paraId="1B21E477" w14:textId="77777777" w:rsidTr="002E2271">
        <w:trPr>
          <w:trHeight w:val="455"/>
        </w:trPr>
        <w:tc>
          <w:tcPr>
            <w:tcW w:w="2684" w:type="dxa"/>
            <w:shd w:val="clear" w:color="auto" w:fill="auto"/>
            <w:vAlign w:val="bottom"/>
            <w:hideMark/>
          </w:tcPr>
          <w:p w14:paraId="1B4A144B" w14:textId="77777777" w:rsidR="008E3603" w:rsidRPr="00701F32" w:rsidRDefault="008E3603" w:rsidP="008E3603">
            <w:pPr>
              <w:tabs>
                <w:tab w:val="left" w:pos="142"/>
              </w:tabs>
              <w:spacing w:after="160" w:line="259" w:lineRule="auto"/>
              <w:rPr>
                <w:rFonts w:ascii="Arial" w:eastAsia="Calibri" w:hAnsi="Arial" w:cs="Arial"/>
                <w:b/>
                <w:bCs/>
                <w:color w:val="000000"/>
                <w:sz w:val="16"/>
                <w:lang w:eastAsia="es-AR"/>
              </w:rPr>
            </w:pPr>
            <w:r w:rsidRPr="00701F32">
              <w:rPr>
                <w:rFonts w:ascii="Arial" w:eastAsia="Calibri" w:hAnsi="Arial" w:cs="Arial"/>
                <w:b/>
                <w:bCs/>
                <w:color w:val="000000"/>
                <w:sz w:val="16"/>
                <w:lang w:eastAsia="es-AR"/>
              </w:rPr>
              <w:t>TOTAL</w:t>
            </w:r>
          </w:p>
        </w:tc>
        <w:tc>
          <w:tcPr>
            <w:tcW w:w="1194" w:type="dxa"/>
            <w:vAlign w:val="bottom"/>
          </w:tcPr>
          <w:p w14:paraId="03F9473C" w14:textId="0CF639E1" w:rsidR="008E3603" w:rsidRPr="00701F32" w:rsidRDefault="008E3603" w:rsidP="008E3603">
            <w:pPr>
              <w:spacing w:after="160" w:line="259" w:lineRule="auto"/>
              <w:jc w:val="right"/>
              <w:rPr>
                <w:rFonts w:ascii="Arial" w:eastAsia="Calibri" w:hAnsi="Arial" w:cs="Arial"/>
                <w:b/>
                <w:bCs/>
                <w:color w:val="000000"/>
                <w:sz w:val="16"/>
                <w:lang w:val="es-ES_tradnl"/>
              </w:rPr>
            </w:pPr>
            <w:r>
              <w:rPr>
                <w:rFonts w:ascii="Arial" w:hAnsi="Arial" w:cs="Arial"/>
                <w:b/>
                <w:bCs/>
                <w:sz w:val="16"/>
                <w:szCs w:val="16"/>
              </w:rPr>
              <w:t>89.159</w:t>
            </w:r>
          </w:p>
        </w:tc>
        <w:tc>
          <w:tcPr>
            <w:tcW w:w="1134" w:type="dxa"/>
            <w:vAlign w:val="bottom"/>
          </w:tcPr>
          <w:p w14:paraId="0D2E6EF0" w14:textId="5D173617" w:rsidR="008E3603" w:rsidRPr="00701F32" w:rsidRDefault="008E3603" w:rsidP="008E3603">
            <w:pPr>
              <w:spacing w:after="160" w:line="259" w:lineRule="auto"/>
              <w:jc w:val="right"/>
              <w:rPr>
                <w:rFonts w:ascii="Arial" w:eastAsia="Calibri" w:hAnsi="Arial" w:cs="Arial"/>
                <w:b/>
                <w:bCs/>
                <w:color w:val="000000"/>
                <w:sz w:val="16"/>
                <w:lang w:val="es-ES_tradnl"/>
              </w:rPr>
            </w:pPr>
            <w:r>
              <w:rPr>
                <w:rFonts w:ascii="Arial" w:hAnsi="Arial" w:cs="Arial"/>
                <w:b/>
                <w:bCs/>
                <w:sz w:val="16"/>
                <w:szCs w:val="16"/>
              </w:rPr>
              <w:t>28.080</w:t>
            </w:r>
          </w:p>
        </w:tc>
        <w:tc>
          <w:tcPr>
            <w:tcW w:w="1134" w:type="dxa"/>
            <w:shd w:val="clear" w:color="auto" w:fill="auto"/>
            <w:vAlign w:val="bottom"/>
          </w:tcPr>
          <w:p w14:paraId="4962B21F" w14:textId="5E8309E3" w:rsidR="008E3603" w:rsidRPr="00701F32" w:rsidRDefault="008E3603" w:rsidP="008E3603">
            <w:pPr>
              <w:spacing w:after="160" w:line="259" w:lineRule="auto"/>
              <w:jc w:val="right"/>
              <w:rPr>
                <w:rFonts w:ascii="Arial" w:eastAsia="Calibri" w:hAnsi="Arial" w:cs="Arial"/>
                <w:b/>
                <w:bCs/>
                <w:color w:val="000000"/>
                <w:sz w:val="16"/>
                <w:lang w:val="es-ES_tradnl"/>
              </w:rPr>
            </w:pPr>
            <w:r>
              <w:rPr>
                <w:rFonts w:ascii="Arial" w:hAnsi="Arial" w:cs="Arial"/>
                <w:b/>
                <w:bCs/>
                <w:sz w:val="16"/>
                <w:szCs w:val="16"/>
              </w:rPr>
              <w:t>45.346</w:t>
            </w:r>
          </w:p>
        </w:tc>
        <w:tc>
          <w:tcPr>
            <w:tcW w:w="1134" w:type="dxa"/>
            <w:vAlign w:val="bottom"/>
          </w:tcPr>
          <w:p w14:paraId="6A582D4B" w14:textId="641F3B21" w:rsidR="008E3603" w:rsidRPr="00701F32" w:rsidRDefault="008E3603" w:rsidP="008E3603">
            <w:pPr>
              <w:spacing w:after="160" w:line="259" w:lineRule="auto"/>
              <w:jc w:val="right"/>
              <w:rPr>
                <w:rFonts w:ascii="Arial" w:eastAsia="Calibri" w:hAnsi="Arial" w:cs="Arial"/>
                <w:b/>
                <w:bCs/>
                <w:color w:val="000000"/>
                <w:sz w:val="16"/>
                <w:lang w:val="es-ES_tradnl"/>
              </w:rPr>
            </w:pPr>
            <w:r>
              <w:rPr>
                <w:rFonts w:ascii="Arial" w:hAnsi="Arial" w:cs="Arial"/>
                <w:b/>
                <w:bCs/>
                <w:sz w:val="16"/>
                <w:szCs w:val="16"/>
              </w:rPr>
              <w:t>2</w:t>
            </w:r>
          </w:p>
        </w:tc>
        <w:tc>
          <w:tcPr>
            <w:tcW w:w="1369" w:type="dxa"/>
            <w:vAlign w:val="bottom"/>
          </w:tcPr>
          <w:p w14:paraId="53CE94E0" w14:textId="1D2C4FE2" w:rsidR="008E3603" w:rsidRPr="00701F32" w:rsidRDefault="008E3603" w:rsidP="008E3603">
            <w:pPr>
              <w:spacing w:after="160" w:line="259" w:lineRule="auto"/>
              <w:jc w:val="right"/>
              <w:rPr>
                <w:rFonts w:ascii="Arial" w:eastAsia="Calibri" w:hAnsi="Arial" w:cs="Arial"/>
                <w:b/>
                <w:bCs/>
                <w:color w:val="000000"/>
                <w:sz w:val="16"/>
                <w:lang w:val="es-ES_tradnl"/>
              </w:rPr>
            </w:pPr>
            <w:r>
              <w:rPr>
                <w:rFonts w:ascii="Arial" w:hAnsi="Arial" w:cs="Arial"/>
                <w:b/>
                <w:bCs/>
                <w:sz w:val="16"/>
                <w:szCs w:val="16"/>
              </w:rPr>
              <w:t>41.224</w:t>
            </w:r>
          </w:p>
        </w:tc>
        <w:tc>
          <w:tcPr>
            <w:tcW w:w="1325" w:type="dxa"/>
            <w:vAlign w:val="bottom"/>
          </w:tcPr>
          <w:p w14:paraId="37322E2A" w14:textId="48016459" w:rsidR="008E3603" w:rsidRPr="00701F32" w:rsidRDefault="008E3603" w:rsidP="008E3603">
            <w:pPr>
              <w:spacing w:after="160" w:line="259" w:lineRule="auto"/>
              <w:jc w:val="right"/>
              <w:rPr>
                <w:rFonts w:ascii="Arial" w:eastAsia="Calibri" w:hAnsi="Arial" w:cs="Arial"/>
                <w:b/>
                <w:bCs/>
                <w:color w:val="000000"/>
                <w:sz w:val="16"/>
                <w:lang w:val="es-ES_tradnl"/>
              </w:rPr>
            </w:pPr>
            <w:r>
              <w:rPr>
                <w:rFonts w:ascii="Arial" w:hAnsi="Arial" w:cs="Arial"/>
                <w:b/>
                <w:bCs/>
                <w:sz w:val="16"/>
                <w:szCs w:val="16"/>
              </w:rPr>
              <w:t>7.955</w:t>
            </w:r>
          </w:p>
        </w:tc>
      </w:tr>
    </w:tbl>
    <w:p w14:paraId="7E466F96" w14:textId="77777777" w:rsidR="0010654A" w:rsidRPr="00701F32" w:rsidRDefault="0010654A" w:rsidP="0010654A">
      <w:pPr>
        <w:tabs>
          <w:tab w:val="left" w:pos="142"/>
        </w:tabs>
        <w:spacing w:after="160" w:line="259" w:lineRule="auto"/>
        <w:jc w:val="both"/>
        <w:rPr>
          <w:rFonts w:ascii="Arial" w:eastAsia="Calibri" w:hAnsi="Arial" w:cs="Arial"/>
          <w:color w:val="000000"/>
          <w:sz w:val="16"/>
        </w:rPr>
      </w:pP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44"/>
        <w:gridCol w:w="1134"/>
        <w:gridCol w:w="1134"/>
        <w:gridCol w:w="1275"/>
        <w:gridCol w:w="1134"/>
        <w:gridCol w:w="1369"/>
        <w:gridCol w:w="1325"/>
      </w:tblGrid>
      <w:tr w:rsidR="0010654A" w:rsidRPr="00701F32" w14:paraId="6A4E260C" w14:textId="77777777" w:rsidTr="00F30223">
        <w:trPr>
          <w:trHeight w:val="455"/>
          <w:tblHeader/>
        </w:trPr>
        <w:tc>
          <w:tcPr>
            <w:tcW w:w="2544" w:type="dxa"/>
            <w:vMerge w:val="restart"/>
            <w:shd w:val="clear" w:color="auto" w:fill="auto"/>
            <w:vAlign w:val="center"/>
            <w:hideMark/>
          </w:tcPr>
          <w:p w14:paraId="6F33BCD5" w14:textId="77777777" w:rsidR="0010654A" w:rsidRPr="00701F32" w:rsidRDefault="0010654A" w:rsidP="002E5672">
            <w:pPr>
              <w:tabs>
                <w:tab w:val="left" w:pos="142"/>
              </w:tabs>
              <w:jc w:val="center"/>
              <w:rPr>
                <w:rFonts w:ascii="Arial" w:hAnsi="Arial" w:cs="Arial"/>
                <w:b/>
                <w:color w:val="000000" w:themeColor="text1"/>
                <w:sz w:val="16"/>
                <w:szCs w:val="16"/>
                <w:lang w:eastAsia="es-AR"/>
              </w:rPr>
            </w:pPr>
            <w:r w:rsidRPr="00701F32">
              <w:rPr>
                <w:rFonts w:ascii="Arial" w:hAnsi="Arial" w:cs="Arial"/>
                <w:b/>
                <w:color w:val="000000" w:themeColor="text1"/>
                <w:sz w:val="16"/>
                <w:szCs w:val="16"/>
                <w:lang w:eastAsia="es-AR"/>
              </w:rPr>
              <w:t>Sociedades</w:t>
            </w:r>
          </w:p>
        </w:tc>
        <w:tc>
          <w:tcPr>
            <w:tcW w:w="7371" w:type="dxa"/>
            <w:gridSpan w:val="6"/>
            <w:vAlign w:val="center"/>
          </w:tcPr>
          <w:p w14:paraId="2EE03496" w14:textId="68AE29BF" w:rsidR="0010654A" w:rsidRPr="00701F32" w:rsidRDefault="003C2633" w:rsidP="00886AE1">
            <w:pPr>
              <w:jc w:val="center"/>
              <w:rPr>
                <w:rFonts w:ascii="Arial" w:hAnsi="Arial" w:cs="Arial"/>
                <w:b/>
                <w:color w:val="000000" w:themeColor="text1"/>
                <w:sz w:val="16"/>
                <w:szCs w:val="16"/>
              </w:rPr>
            </w:pPr>
            <w:r>
              <w:rPr>
                <w:rFonts w:ascii="Arial" w:hAnsi="Arial" w:cs="Arial"/>
                <w:b/>
                <w:color w:val="000000" w:themeColor="text1"/>
                <w:sz w:val="16"/>
                <w:szCs w:val="16"/>
              </w:rPr>
              <w:t>3</w:t>
            </w:r>
            <w:r w:rsidR="008E3603">
              <w:rPr>
                <w:rFonts w:ascii="Arial" w:hAnsi="Arial" w:cs="Arial"/>
                <w:b/>
                <w:color w:val="000000" w:themeColor="text1"/>
                <w:sz w:val="16"/>
                <w:szCs w:val="16"/>
              </w:rPr>
              <w:t>1</w:t>
            </w:r>
            <w:r>
              <w:rPr>
                <w:rFonts w:ascii="Arial" w:hAnsi="Arial" w:cs="Arial"/>
                <w:b/>
                <w:color w:val="000000" w:themeColor="text1"/>
                <w:sz w:val="16"/>
                <w:szCs w:val="16"/>
              </w:rPr>
              <w:t>/</w:t>
            </w:r>
            <w:r w:rsidR="008E3603">
              <w:rPr>
                <w:rFonts w:ascii="Arial" w:hAnsi="Arial" w:cs="Arial"/>
                <w:b/>
                <w:color w:val="000000" w:themeColor="text1"/>
                <w:sz w:val="16"/>
                <w:szCs w:val="16"/>
              </w:rPr>
              <w:t>03</w:t>
            </w:r>
            <w:r>
              <w:rPr>
                <w:rFonts w:ascii="Arial" w:hAnsi="Arial" w:cs="Arial"/>
                <w:b/>
                <w:color w:val="000000" w:themeColor="text1"/>
                <w:sz w:val="16"/>
                <w:szCs w:val="16"/>
              </w:rPr>
              <w:t>/201</w:t>
            </w:r>
            <w:r w:rsidR="008E3603">
              <w:rPr>
                <w:rFonts w:ascii="Arial" w:hAnsi="Arial" w:cs="Arial"/>
                <w:b/>
                <w:color w:val="000000" w:themeColor="text1"/>
                <w:sz w:val="16"/>
                <w:szCs w:val="16"/>
              </w:rPr>
              <w:t>9</w:t>
            </w:r>
          </w:p>
        </w:tc>
      </w:tr>
      <w:tr w:rsidR="0010654A" w:rsidRPr="00701F32" w14:paraId="70C5E335" w14:textId="77777777" w:rsidTr="00F30223">
        <w:trPr>
          <w:trHeight w:val="588"/>
          <w:tblHeader/>
        </w:trPr>
        <w:tc>
          <w:tcPr>
            <w:tcW w:w="2544" w:type="dxa"/>
            <w:vMerge/>
            <w:shd w:val="clear" w:color="auto" w:fill="auto"/>
            <w:vAlign w:val="center"/>
            <w:hideMark/>
          </w:tcPr>
          <w:p w14:paraId="5316861B" w14:textId="77777777" w:rsidR="0010654A" w:rsidRPr="00701F32" w:rsidRDefault="0010654A" w:rsidP="002E5672">
            <w:pPr>
              <w:tabs>
                <w:tab w:val="left" w:pos="142"/>
              </w:tabs>
              <w:jc w:val="center"/>
              <w:rPr>
                <w:rFonts w:ascii="Arial" w:hAnsi="Arial" w:cs="Arial"/>
                <w:color w:val="000000" w:themeColor="text1"/>
                <w:sz w:val="16"/>
                <w:szCs w:val="16"/>
                <w:lang w:eastAsia="es-AR"/>
              </w:rPr>
            </w:pPr>
          </w:p>
        </w:tc>
        <w:tc>
          <w:tcPr>
            <w:tcW w:w="1134" w:type="dxa"/>
            <w:vAlign w:val="center"/>
          </w:tcPr>
          <w:p w14:paraId="22239B4B"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Ingresos por Intereses</w:t>
            </w:r>
          </w:p>
        </w:tc>
        <w:tc>
          <w:tcPr>
            <w:tcW w:w="1134" w:type="dxa"/>
            <w:vAlign w:val="center"/>
          </w:tcPr>
          <w:p w14:paraId="4B094BC9"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Egresos por intereses</w:t>
            </w:r>
          </w:p>
        </w:tc>
        <w:tc>
          <w:tcPr>
            <w:tcW w:w="1275" w:type="dxa"/>
            <w:shd w:val="clear" w:color="auto" w:fill="auto"/>
            <w:vAlign w:val="center"/>
          </w:tcPr>
          <w:p w14:paraId="3EAD390F"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Ingresos por Comisiones</w:t>
            </w:r>
          </w:p>
        </w:tc>
        <w:tc>
          <w:tcPr>
            <w:tcW w:w="1134" w:type="dxa"/>
            <w:vAlign w:val="center"/>
          </w:tcPr>
          <w:p w14:paraId="1672C287"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Egresos por Comisiones</w:t>
            </w:r>
          </w:p>
        </w:tc>
        <w:tc>
          <w:tcPr>
            <w:tcW w:w="1369" w:type="dxa"/>
            <w:vAlign w:val="center"/>
          </w:tcPr>
          <w:p w14:paraId="4B9D72DC"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Gastos de Administración</w:t>
            </w:r>
          </w:p>
        </w:tc>
        <w:tc>
          <w:tcPr>
            <w:tcW w:w="1325" w:type="dxa"/>
            <w:vAlign w:val="center"/>
          </w:tcPr>
          <w:p w14:paraId="724C3623"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Otros Ingresos Operativos</w:t>
            </w:r>
          </w:p>
        </w:tc>
      </w:tr>
      <w:tr w:rsidR="008E3603" w:rsidRPr="00701F32" w14:paraId="1C9A1339" w14:textId="77777777" w:rsidTr="00F30223">
        <w:trPr>
          <w:trHeight w:val="455"/>
        </w:trPr>
        <w:tc>
          <w:tcPr>
            <w:tcW w:w="2544" w:type="dxa"/>
            <w:shd w:val="clear" w:color="auto" w:fill="auto"/>
            <w:vAlign w:val="bottom"/>
            <w:hideMark/>
          </w:tcPr>
          <w:p w14:paraId="72AA6A40" w14:textId="77777777" w:rsidR="008E3603" w:rsidRPr="00701F32" w:rsidRDefault="008E3603" w:rsidP="008E360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Cordial Cía. Financiera SA</w:t>
            </w:r>
          </w:p>
        </w:tc>
        <w:tc>
          <w:tcPr>
            <w:tcW w:w="1134" w:type="dxa"/>
            <w:vAlign w:val="bottom"/>
          </w:tcPr>
          <w:p w14:paraId="0EBB1F26" w14:textId="3FE2AF68" w:rsidR="008E3603" w:rsidRPr="008E3603" w:rsidRDefault="008E3603" w:rsidP="008E3603">
            <w:pPr>
              <w:jc w:val="right"/>
              <w:rPr>
                <w:rFonts w:ascii="Arial" w:hAnsi="Arial" w:cs="Arial"/>
                <w:sz w:val="16"/>
                <w:szCs w:val="16"/>
              </w:rPr>
            </w:pPr>
            <w:r w:rsidRPr="008E3603">
              <w:rPr>
                <w:rFonts w:ascii="Arial" w:hAnsi="Arial" w:cs="Arial"/>
                <w:sz w:val="16"/>
                <w:szCs w:val="16"/>
              </w:rPr>
              <w:t>411.739</w:t>
            </w:r>
          </w:p>
        </w:tc>
        <w:tc>
          <w:tcPr>
            <w:tcW w:w="1134" w:type="dxa"/>
            <w:vAlign w:val="bottom"/>
          </w:tcPr>
          <w:p w14:paraId="3BA6BF0F" w14:textId="2012C202" w:rsidR="008E3603" w:rsidRPr="008E3603" w:rsidRDefault="008E3603" w:rsidP="008E3603">
            <w:pPr>
              <w:jc w:val="right"/>
              <w:rPr>
                <w:rFonts w:ascii="Arial" w:hAnsi="Arial" w:cs="Arial"/>
                <w:sz w:val="16"/>
                <w:szCs w:val="16"/>
              </w:rPr>
            </w:pPr>
            <w:r>
              <w:rPr>
                <w:rFonts w:ascii="Arial" w:hAnsi="Arial" w:cs="Arial"/>
                <w:sz w:val="16"/>
                <w:szCs w:val="16"/>
              </w:rPr>
              <w:t>-</w:t>
            </w:r>
          </w:p>
        </w:tc>
        <w:tc>
          <w:tcPr>
            <w:tcW w:w="1275" w:type="dxa"/>
            <w:shd w:val="clear" w:color="auto" w:fill="auto"/>
            <w:vAlign w:val="bottom"/>
          </w:tcPr>
          <w:p w14:paraId="06FC7C84" w14:textId="41B9E417" w:rsidR="008E3603" w:rsidRPr="008E3603" w:rsidRDefault="008E3603" w:rsidP="008E3603">
            <w:pPr>
              <w:jc w:val="right"/>
              <w:rPr>
                <w:rFonts w:ascii="Arial" w:hAnsi="Arial" w:cs="Arial"/>
                <w:sz w:val="16"/>
                <w:szCs w:val="16"/>
              </w:rPr>
            </w:pPr>
            <w:r w:rsidRPr="008E3603">
              <w:rPr>
                <w:rFonts w:ascii="Arial" w:hAnsi="Arial" w:cs="Arial"/>
                <w:sz w:val="16"/>
                <w:szCs w:val="16"/>
              </w:rPr>
              <w:t>1.298</w:t>
            </w:r>
          </w:p>
        </w:tc>
        <w:tc>
          <w:tcPr>
            <w:tcW w:w="1134" w:type="dxa"/>
            <w:vAlign w:val="bottom"/>
          </w:tcPr>
          <w:p w14:paraId="1F41942B" w14:textId="27FD724C" w:rsidR="008E3603" w:rsidRPr="008E3603" w:rsidRDefault="008E3603" w:rsidP="008E3603">
            <w:pPr>
              <w:jc w:val="right"/>
              <w:rPr>
                <w:rFonts w:ascii="Arial" w:hAnsi="Arial" w:cs="Arial"/>
                <w:sz w:val="16"/>
                <w:szCs w:val="16"/>
              </w:rPr>
            </w:pPr>
            <w:r>
              <w:rPr>
                <w:rFonts w:ascii="Arial" w:hAnsi="Arial" w:cs="Arial"/>
                <w:sz w:val="16"/>
                <w:szCs w:val="16"/>
              </w:rPr>
              <w:t>-</w:t>
            </w:r>
          </w:p>
        </w:tc>
        <w:tc>
          <w:tcPr>
            <w:tcW w:w="1369" w:type="dxa"/>
            <w:vAlign w:val="bottom"/>
          </w:tcPr>
          <w:p w14:paraId="31DE02A6" w14:textId="1CBB3D1B" w:rsidR="008E3603" w:rsidRPr="008E3603" w:rsidRDefault="008E3603" w:rsidP="008E3603">
            <w:pPr>
              <w:jc w:val="right"/>
              <w:rPr>
                <w:rFonts w:ascii="Arial" w:hAnsi="Arial" w:cs="Arial"/>
                <w:sz w:val="16"/>
                <w:szCs w:val="16"/>
              </w:rPr>
            </w:pPr>
            <w:r>
              <w:rPr>
                <w:rFonts w:ascii="Arial" w:hAnsi="Arial" w:cs="Arial"/>
                <w:sz w:val="16"/>
                <w:szCs w:val="16"/>
              </w:rPr>
              <w:t>-</w:t>
            </w:r>
          </w:p>
        </w:tc>
        <w:tc>
          <w:tcPr>
            <w:tcW w:w="1325" w:type="dxa"/>
            <w:vAlign w:val="bottom"/>
          </w:tcPr>
          <w:p w14:paraId="2D1869A8" w14:textId="5C22F601" w:rsidR="008E3603" w:rsidRPr="008E3603" w:rsidRDefault="008E3603" w:rsidP="008E3603">
            <w:pPr>
              <w:jc w:val="right"/>
              <w:rPr>
                <w:rFonts w:ascii="Arial" w:hAnsi="Arial" w:cs="Arial"/>
                <w:sz w:val="16"/>
                <w:szCs w:val="16"/>
              </w:rPr>
            </w:pPr>
            <w:r w:rsidRPr="008E3603">
              <w:rPr>
                <w:rFonts w:ascii="Arial" w:hAnsi="Arial" w:cs="Arial"/>
                <w:sz w:val="16"/>
                <w:szCs w:val="16"/>
              </w:rPr>
              <w:t>28</w:t>
            </w:r>
          </w:p>
        </w:tc>
      </w:tr>
      <w:tr w:rsidR="008E3603" w:rsidRPr="00701F32" w14:paraId="78CBE77F" w14:textId="77777777" w:rsidTr="00F30223">
        <w:trPr>
          <w:trHeight w:val="455"/>
        </w:trPr>
        <w:tc>
          <w:tcPr>
            <w:tcW w:w="2544" w:type="dxa"/>
            <w:shd w:val="clear" w:color="auto" w:fill="auto"/>
            <w:vAlign w:val="bottom"/>
            <w:hideMark/>
          </w:tcPr>
          <w:p w14:paraId="5DE0263B" w14:textId="77777777" w:rsidR="008E3603" w:rsidRPr="00701F32" w:rsidRDefault="008E3603" w:rsidP="008E360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Sofital S.A.F. e I.I.</w:t>
            </w:r>
          </w:p>
        </w:tc>
        <w:tc>
          <w:tcPr>
            <w:tcW w:w="1134" w:type="dxa"/>
            <w:vAlign w:val="bottom"/>
          </w:tcPr>
          <w:p w14:paraId="7B278BEF" w14:textId="1CFCF078"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134" w:type="dxa"/>
            <w:vAlign w:val="bottom"/>
          </w:tcPr>
          <w:p w14:paraId="37303C3F" w14:textId="2EA1FA7F"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275" w:type="dxa"/>
            <w:shd w:val="clear" w:color="auto" w:fill="auto"/>
            <w:vAlign w:val="bottom"/>
          </w:tcPr>
          <w:p w14:paraId="5084106E" w14:textId="171397E1"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12</w:t>
            </w:r>
          </w:p>
        </w:tc>
        <w:tc>
          <w:tcPr>
            <w:tcW w:w="1134" w:type="dxa"/>
            <w:vAlign w:val="bottom"/>
          </w:tcPr>
          <w:p w14:paraId="75773A1A" w14:textId="65B65FFD"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69" w:type="dxa"/>
            <w:vAlign w:val="bottom"/>
          </w:tcPr>
          <w:p w14:paraId="79FCF818" w14:textId="208D512B"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25" w:type="dxa"/>
            <w:vAlign w:val="bottom"/>
          </w:tcPr>
          <w:p w14:paraId="78C6AC46" w14:textId="686F9372"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r>
      <w:tr w:rsidR="008E3603" w:rsidRPr="00701F32" w14:paraId="2698A550" w14:textId="77777777" w:rsidTr="00F30223">
        <w:trPr>
          <w:trHeight w:val="455"/>
        </w:trPr>
        <w:tc>
          <w:tcPr>
            <w:tcW w:w="2544" w:type="dxa"/>
            <w:shd w:val="clear" w:color="auto" w:fill="auto"/>
            <w:vAlign w:val="bottom"/>
            <w:hideMark/>
          </w:tcPr>
          <w:p w14:paraId="417CECE5" w14:textId="77777777" w:rsidR="008E3603" w:rsidRPr="00701F32" w:rsidRDefault="008E3603" w:rsidP="008E3603">
            <w:pPr>
              <w:rPr>
                <w:rFonts w:ascii="Arial" w:hAnsi="Arial" w:cs="Arial"/>
                <w:color w:val="000000" w:themeColor="text1"/>
                <w:sz w:val="16"/>
                <w:szCs w:val="16"/>
              </w:rPr>
            </w:pPr>
            <w:r w:rsidRPr="00701F32">
              <w:rPr>
                <w:rFonts w:ascii="Arial" w:hAnsi="Arial" w:cs="Arial"/>
                <w:color w:val="000000" w:themeColor="text1"/>
                <w:sz w:val="16"/>
                <w:szCs w:val="16"/>
              </w:rPr>
              <w:t>Espacio Cordial S.A.</w:t>
            </w:r>
          </w:p>
        </w:tc>
        <w:tc>
          <w:tcPr>
            <w:tcW w:w="1134" w:type="dxa"/>
            <w:vAlign w:val="bottom"/>
          </w:tcPr>
          <w:p w14:paraId="7098ED79" w14:textId="1B78586E"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134" w:type="dxa"/>
            <w:vAlign w:val="bottom"/>
          </w:tcPr>
          <w:p w14:paraId="35DB2475" w14:textId="72E52988"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275" w:type="dxa"/>
            <w:shd w:val="clear" w:color="auto" w:fill="auto"/>
            <w:vAlign w:val="bottom"/>
          </w:tcPr>
          <w:p w14:paraId="33126CC1" w14:textId="5C7741BD"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62</w:t>
            </w:r>
          </w:p>
        </w:tc>
        <w:tc>
          <w:tcPr>
            <w:tcW w:w="1134" w:type="dxa"/>
            <w:vAlign w:val="bottom"/>
          </w:tcPr>
          <w:p w14:paraId="64E2F031" w14:textId="6621C8E6"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69" w:type="dxa"/>
            <w:vAlign w:val="bottom"/>
          </w:tcPr>
          <w:p w14:paraId="71257DF6" w14:textId="39250635"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25" w:type="dxa"/>
            <w:vAlign w:val="bottom"/>
          </w:tcPr>
          <w:p w14:paraId="465E315D" w14:textId="5C6BF33F"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67</w:t>
            </w:r>
          </w:p>
        </w:tc>
      </w:tr>
      <w:tr w:rsidR="008E3603" w:rsidRPr="00701F32" w14:paraId="5B24BFA0" w14:textId="77777777" w:rsidTr="00F30223">
        <w:trPr>
          <w:trHeight w:val="455"/>
        </w:trPr>
        <w:tc>
          <w:tcPr>
            <w:tcW w:w="2544" w:type="dxa"/>
            <w:shd w:val="clear" w:color="auto" w:fill="auto"/>
            <w:vAlign w:val="bottom"/>
          </w:tcPr>
          <w:p w14:paraId="490AB073" w14:textId="77777777" w:rsidR="008E3603" w:rsidRPr="00701F32" w:rsidRDefault="008E3603" w:rsidP="008E360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rPr>
              <w:t>Supervielle Seguros S.A.</w:t>
            </w:r>
          </w:p>
        </w:tc>
        <w:tc>
          <w:tcPr>
            <w:tcW w:w="1134" w:type="dxa"/>
            <w:vAlign w:val="bottom"/>
          </w:tcPr>
          <w:p w14:paraId="3A200312" w14:textId="345FA97B"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134" w:type="dxa"/>
            <w:vAlign w:val="bottom"/>
          </w:tcPr>
          <w:p w14:paraId="79229477" w14:textId="54F5953F"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275" w:type="dxa"/>
            <w:shd w:val="clear" w:color="auto" w:fill="auto"/>
            <w:vAlign w:val="bottom"/>
          </w:tcPr>
          <w:p w14:paraId="3EA68BA5" w14:textId="6C6B6940"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66.697</w:t>
            </w:r>
          </w:p>
        </w:tc>
        <w:tc>
          <w:tcPr>
            <w:tcW w:w="1134" w:type="dxa"/>
            <w:vAlign w:val="bottom"/>
          </w:tcPr>
          <w:p w14:paraId="164820DF" w14:textId="6FB1B482"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69" w:type="dxa"/>
            <w:vAlign w:val="bottom"/>
          </w:tcPr>
          <w:p w14:paraId="6821BC03" w14:textId="0F66CD99"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1.859</w:t>
            </w:r>
          </w:p>
        </w:tc>
        <w:tc>
          <w:tcPr>
            <w:tcW w:w="1325" w:type="dxa"/>
            <w:vAlign w:val="bottom"/>
          </w:tcPr>
          <w:p w14:paraId="7136B759" w14:textId="75EA2F7C"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3.265</w:t>
            </w:r>
          </w:p>
        </w:tc>
      </w:tr>
      <w:tr w:rsidR="008E3603" w:rsidRPr="00701F32" w14:paraId="08BB4CD0" w14:textId="77777777" w:rsidTr="00F30223">
        <w:trPr>
          <w:trHeight w:val="455"/>
        </w:trPr>
        <w:tc>
          <w:tcPr>
            <w:tcW w:w="2544" w:type="dxa"/>
            <w:shd w:val="clear" w:color="auto" w:fill="auto"/>
            <w:vAlign w:val="bottom"/>
            <w:hideMark/>
          </w:tcPr>
          <w:p w14:paraId="3D3D6727" w14:textId="77777777" w:rsidR="008E3603" w:rsidRPr="00701F32" w:rsidRDefault="008E3603" w:rsidP="008E360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Tarjeta Automática S.A.</w:t>
            </w:r>
          </w:p>
        </w:tc>
        <w:tc>
          <w:tcPr>
            <w:tcW w:w="1134" w:type="dxa"/>
            <w:vAlign w:val="bottom"/>
          </w:tcPr>
          <w:p w14:paraId="77AB05ED" w14:textId="342C9E23"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73</w:t>
            </w:r>
          </w:p>
        </w:tc>
        <w:tc>
          <w:tcPr>
            <w:tcW w:w="1134" w:type="dxa"/>
            <w:vAlign w:val="bottom"/>
          </w:tcPr>
          <w:p w14:paraId="770F4F3A" w14:textId="2EBB6262"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275" w:type="dxa"/>
            <w:shd w:val="clear" w:color="auto" w:fill="auto"/>
            <w:vAlign w:val="bottom"/>
          </w:tcPr>
          <w:p w14:paraId="215F6746" w14:textId="65BA0FE2"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246</w:t>
            </w:r>
          </w:p>
        </w:tc>
        <w:tc>
          <w:tcPr>
            <w:tcW w:w="1134" w:type="dxa"/>
            <w:vAlign w:val="bottom"/>
          </w:tcPr>
          <w:p w14:paraId="64099E00" w14:textId="2E00397A"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69" w:type="dxa"/>
            <w:vAlign w:val="bottom"/>
          </w:tcPr>
          <w:p w14:paraId="5FFF6155" w14:textId="59A9D822"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25" w:type="dxa"/>
            <w:vAlign w:val="bottom"/>
          </w:tcPr>
          <w:p w14:paraId="6345D2F8" w14:textId="63D56FE2"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r>
      <w:tr w:rsidR="008E3603" w:rsidRPr="00701F32" w14:paraId="113DF8D8" w14:textId="77777777" w:rsidTr="00F30223">
        <w:trPr>
          <w:trHeight w:val="455"/>
        </w:trPr>
        <w:tc>
          <w:tcPr>
            <w:tcW w:w="2544" w:type="dxa"/>
            <w:shd w:val="clear" w:color="auto" w:fill="auto"/>
            <w:vAlign w:val="bottom"/>
            <w:hideMark/>
          </w:tcPr>
          <w:p w14:paraId="147E7D70" w14:textId="77777777" w:rsidR="008E3603" w:rsidRPr="00701F32" w:rsidRDefault="008E3603" w:rsidP="008E3603">
            <w:pPr>
              <w:tabs>
                <w:tab w:val="left" w:pos="142"/>
              </w:tabs>
              <w:rPr>
                <w:rFonts w:ascii="Arial" w:hAnsi="Arial" w:cs="Arial"/>
                <w:color w:val="000000" w:themeColor="text1"/>
                <w:sz w:val="16"/>
                <w:szCs w:val="16"/>
                <w:lang w:val="en-US" w:eastAsia="es-AR"/>
              </w:rPr>
            </w:pPr>
            <w:r w:rsidRPr="00701F32">
              <w:rPr>
                <w:rFonts w:ascii="Arial" w:hAnsi="Arial" w:cs="Arial"/>
                <w:color w:val="000000" w:themeColor="text1"/>
                <w:sz w:val="16"/>
                <w:szCs w:val="16"/>
                <w:lang w:val="en-US" w:eastAsia="es-AR"/>
              </w:rPr>
              <w:t>Supervielle Asset Management S.A.</w:t>
            </w:r>
          </w:p>
        </w:tc>
        <w:tc>
          <w:tcPr>
            <w:tcW w:w="1134" w:type="dxa"/>
            <w:vAlign w:val="bottom"/>
          </w:tcPr>
          <w:p w14:paraId="539EFC2A" w14:textId="0E3221A6"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134" w:type="dxa"/>
            <w:vAlign w:val="bottom"/>
          </w:tcPr>
          <w:p w14:paraId="153CC63B" w14:textId="34418A0A"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275" w:type="dxa"/>
            <w:shd w:val="clear" w:color="auto" w:fill="auto"/>
            <w:vAlign w:val="bottom"/>
          </w:tcPr>
          <w:p w14:paraId="578D7948" w14:textId="515965F7"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61</w:t>
            </w:r>
          </w:p>
        </w:tc>
        <w:tc>
          <w:tcPr>
            <w:tcW w:w="1134" w:type="dxa"/>
            <w:vAlign w:val="bottom"/>
          </w:tcPr>
          <w:p w14:paraId="6972B3AB" w14:textId="6DA9A7BE"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69" w:type="dxa"/>
            <w:vAlign w:val="bottom"/>
          </w:tcPr>
          <w:p w14:paraId="70639244" w14:textId="20951D42"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325" w:type="dxa"/>
            <w:vAlign w:val="bottom"/>
          </w:tcPr>
          <w:p w14:paraId="36EF312A" w14:textId="139042EC"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1.047</w:t>
            </w:r>
          </w:p>
        </w:tc>
      </w:tr>
      <w:tr w:rsidR="008E3603" w:rsidRPr="00701F32" w14:paraId="3491A0AC" w14:textId="77777777" w:rsidTr="00F30223">
        <w:trPr>
          <w:trHeight w:val="455"/>
        </w:trPr>
        <w:tc>
          <w:tcPr>
            <w:tcW w:w="2544" w:type="dxa"/>
            <w:shd w:val="clear" w:color="auto" w:fill="auto"/>
            <w:vAlign w:val="bottom"/>
          </w:tcPr>
          <w:p w14:paraId="1BA42534" w14:textId="7C3A4E35" w:rsidR="008E3603" w:rsidRPr="0023020F" w:rsidRDefault="008E3603" w:rsidP="008E3603">
            <w:pPr>
              <w:tabs>
                <w:tab w:val="left" w:pos="142"/>
              </w:tabs>
              <w:rPr>
                <w:rFonts w:ascii="Arial" w:hAnsi="Arial" w:cs="Arial"/>
                <w:color w:val="000000" w:themeColor="text1"/>
                <w:sz w:val="16"/>
                <w:szCs w:val="16"/>
                <w:lang w:val="en-US" w:eastAsia="es-AR"/>
              </w:rPr>
            </w:pPr>
            <w:r w:rsidRPr="00701F32">
              <w:rPr>
                <w:rFonts w:ascii="Arial" w:eastAsia="Calibri" w:hAnsi="Arial" w:cs="Arial"/>
                <w:color w:val="000000"/>
                <w:sz w:val="16"/>
                <w:lang w:val="en-US" w:eastAsia="es-AR"/>
              </w:rPr>
              <w:lastRenderedPageBreak/>
              <w:t>Invertir OnLine S.A.</w:t>
            </w:r>
            <w:r>
              <w:rPr>
                <w:rFonts w:ascii="Arial" w:eastAsia="Calibri" w:hAnsi="Arial" w:cs="Arial"/>
                <w:color w:val="000000"/>
                <w:sz w:val="16"/>
                <w:lang w:val="en-US" w:eastAsia="es-AR"/>
              </w:rPr>
              <w:t>U.</w:t>
            </w:r>
          </w:p>
        </w:tc>
        <w:tc>
          <w:tcPr>
            <w:tcW w:w="1134" w:type="dxa"/>
            <w:vAlign w:val="bottom"/>
          </w:tcPr>
          <w:p w14:paraId="0333FBE2" w14:textId="20641853" w:rsidR="008E3603" w:rsidRDefault="008E3603" w:rsidP="008E3603">
            <w:pPr>
              <w:jc w:val="right"/>
              <w:rPr>
                <w:rFonts w:ascii="Arial" w:hAnsi="Arial" w:cs="Arial"/>
                <w:color w:val="000000" w:themeColor="text1"/>
                <w:sz w:val="16"/>
                <w:szCs w:val="16"/>
              </w:rPr>
            </w:pPr>
            <w:r>
              <w:rPr>
                <w:rFonts w:ascii="Arial" w:hAnsi="Arial" w:cs="Arial"/>
                <w:sz w:val="16"/>
                <w:szCs w:val="16"/>
              </w:rPr>
              <w:t>-</w:t>
            </w:r>
          </w:p>
        </w:tc>
        <w:tc>
          <w:tcPr>
            <w:tcW w:w="1134" w:type="dxa"/>
            <w:vAlign w:val="bottom"/>
          </w:tcPr>
          <w:p w14:paraId="7C52C538" w14:textId="3B05F1A8" w:rsidR="008E3603" w:rsidRDefault="008E3603" w:rsidP="008E3603">
            <w:pPr>
              <w:jc w:val="right"/>
              <w:rPr>
                <w:rFonts w:ascii="Arial" w:hAnsi="Arial" w:cs="Arial"/>
                <w:color w:val="000000" w:themeColor="text1"/>
                <w:sz w:val="16"/>
                <w:szCs w:val="16"/>
              </w:rPr>
            </w:pPr>
            <w:r w:rsidRPr="0032673A">
              <w:rPr>
                <w:rFonts w:ascii="Arial" w:hAnsi="Arial" w:cs="Arial"/>
                <w:sz w:val="16"/>
                <w:szCs w:val="16"/>
              </w:rPr>
              <w:t>33.869</w:t>
            </w:r>
          </w:p>
        </w:tc>
        <w:tc>
          <w:tcPr>
            <w:tcW w:w="1275" w:type="dxa"/>
            <w:shd w:val="clear" w:color="auto" w:fill="auto"/>
            <w:vAlign w:val="bottom"/>
          </w:tcPr>
          <w:p w14:paraId="0E64F76D" w14:textId="6E149B23" w:rsidR="008E3603" w:rsidRDefault="008E3603" w:rsidP="008E3603">
            <w:pPr>
              <w:jc w:val="right"/>
              <w:rPr>
                <w:rFonts w:ascii="Arial" w:hAnsi="Arial" w:cs="Arial"/>
                <w:color w:val="000000" w:themeColor="text1"/>
                <w:sz w:val="16"/>
                <w:szCs w:val="16"/>
              </w:rPr>
            </w:pPr>
            <w:r w:rsidRPr="0032673A">
              <w:rPr>
                <w:rFonts w:ascii="Arial" w:hAnsi="Arial" w:cs="Arial"/>
                <w:sz w:val="16"/>
                <w:szCs w:val="16"/>
              </w:rPr>
              <w:t>442</w:t>
            </w:r>
          </w:p>
        </w:tc>
        <w:tc>
          <w:tcPr>
            <w:tcW w:w="1134" w:type="dxa"/>
            <w:vAlign w:val="bottom"/>
          </w:tcPr>
          <w:p w14:paraId="5274C160" w14:textId="27907724" w:rsidR="008E3603" w:rsidRDefault="008E3603" w:rsidP="008E3603">
            <w:pPr>
              <w:jc w:val="right"/>
              <w:rPr>
                <w:rFonts w:ascii="Arial" w:hAnsi="Arial" w:cs="Arial"/>
                <w:color w:val="000000" w:themeColor="text1"/>
                <w:sz w:val="16"/>
                <w:szCs w:val="16"/>
              </w:rPr>
            </w:pPr>
            <w:r>
              <w:rPr>
                <w:rFonts w:ascii="Arial" w:hAnsi="Arial" w:cs="Arial"/>
                <w:sz w:val="16"/>
                <w:szCs w:val="16"/>
              </w:rPr>
              <w:t>-</w:t>
            </w:r>
          </w:p>
        </w:tc>
        <w:tc>
          <w:tcPr>
            <w:tcW w:w="1369" w:type="dxa"/>
            <w:vAlign w:val="bottom"/>
          </w:tcPr>
          <w:p w14:paraId="642B633A" w14:textId="6C37696E" w:rsidR="008E3603" w:rsidRDefault="008E3603" w:rsidP="008E3603">
            <w:pPr>
              <w:jc w:val="right"/>
              <w:rPr>
                <w:rFonts w:ascii="Arial" w:hAnsi="Arial" w:cs="Arial"/>
                <w:color w:val="000000" w:themeColor="text1"/>
                <w:sz w:val="16"/>
                <w:szCs w:val="16"/>
              </w:rPr>
            </w:pPr>
            <w:r>
              <w:rPr>
                <w:rFonts w:ascii="Arial" w:hAnsi="Arial" w:cs="Arial"/>
                <w:sz w:val="16"/>
                <w:szCs w:val="16"/>
              </w:rPr>
              <w:t>-</w:t>
            </w:r>
          </w:p>
        </w:tc>
        <w:tc>
          <w:tcPr>
            <w:tcW w:w="1325" w:type="dxa"/>
            <w:vAlign w:val="bottom"/>
          </w:tcPr>
          <w:p w14:paraId="6F8AA2BA" w14:textId="24D49A7F" w:rsidR="008E3603" w:rsidRDefault="008E3603" w:rsidP="008E3603">
            <w:pPr>
              <w:jc w:val="right"/>
              <w:rPr>
                <w:rFonts w:ascii="Arial" w:hAnsi="Arial" w:cs="Arial"/>
                <w:color w:val="000000" w:themeColor="text1"/>
                <w:sz w:val="16"/>
                <w:szCs w:val="16"/>
              </w:rPr>
            </w:pPr>
            <w:r w:rsidRPr="0032673A">
              <w:rPr>
                <w:rFonts w:ascii="Arial" w:hAnsi="Arial" w:cs="Arial"/>
                <w:sz w:val="16"/>
                <w:szCs w:val="16"/>
              </w:rPr>
              <w:t>15</w:t>
            </w:r>
          </w:p>
        </w:tc>
      </w:tr>
      <w:tr w:rsidR="008E3603" w:rsidRPr="00687C79" w14:paraId="5D492223" w14:textId="77777777" w:rsidTr="00F30223">
        <w:trPr>
          <w:trHeight w:val="455"/>
        </w:trPr>
        <w:tc>
          <w:tcPr>
            <w:tcW w:w="2544" w:type="dxa"/>
            <w:shd w:val="clear" w:color="auto" w:fill="auto"/>
            <w:vAlign w:val="bottom"/>
          </w:tcPr>
          <w:p w14:paraId="1DB16A98" w14:textId="45747F6F" w:rsidR="008E3603" w:rsidRPr="00687C79" w:rsidRDefault="008E3603" w:rsidP="008E3603">
            <w:pPr>
              <w:tabs>
                <w:tab w:val="left" w:pos="142"/>
              </w:tabs>
              <w:rPr>
                <w:rFonts w:ascii="Arial" w:hAnsi="Arial" w:cs="Arial"/>
                <w:color w:val="000000" w:themeColor="text1"/>
                <w:sz w:val="16"/>
                <w:szCs w:val="16"/>
                <w:lang w:val="en-US" w:eastAsia="es-AR"/>
              </w:rPr>
            </w:pPr>
            <w:r w:rsidRPr="00687C79">
              <w:rPr>
                <w:rFonts w:ascii="Arial" w:hAnsi="Arial" w:cs="Arial"/>
                <w:color w:val="000000" w:themeColor="text1"/>
                <w:sz w:val="16"/>
                <w:szCs w:val="16"/>
                <w:lang w:val="en-US" w:eastAsia="es-AR"/>
              </w:rPr>
              <w:t>Invertir OnLine.com Argentina S</w:t>
            </w:r>
            <w:r>
              <w:rPr>
                <w:rFonts w:ascii="Arial" w:hAnsi="Arial" w:cs="Arial"/>
                <w:color w:val="000000" w:themeColor="text1"/>
                <w:sz w:val="16"/>
                <w:szCs w:val="16"/>
                <w:lang w:val="en-US" w:eastAsia="es-AR"/>
              </w:rPr>
              <w:t>.A.U.</w:t>
            </w:r>
          </w:p>
        </w:tc>
        <w:tc>
          <w:tcPr>
            <w:tcW w:w="1134" w:type="dxa"/>
            <w:vAlign w:val="bottom"/>
          </w:tcPr>
          <w:p w14:paraId="3A5302C4" w14:textId="0B37C598"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134" w:type="dxa"/>
            <w:vAlign w:val="bottom"/>
          </w:tcPr>
          <w:p w14:paraId="1D9DDFDD" w14:textId="75A40852"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275" w:type="dxa"/>
            <w:shd w:val="clear" w:color="auto" w:fill="auto"/>
            <w:vAlign w:val="bottom"/>
          </w:tcPr>
          <w:p w14:paraId="4CA1DFC6" w14:textId="30E02328"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134" w:type="dxa"/>
            <w:vAlign w:val="bottom"/>
          </w:tcPr>
          <w:p w14:paraId="79129B7F" w14:textId="21B188A1"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369" w:type="dxa"/>
            <w:vAlign w:val="bottom"/>
          </w:tcPr>
          <w:p w14:paraId="59E45EE8" w14:textId="32D34CD3"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325" w:type="dxa"/>
            <w:vAlign w:val="bottom"/>
          </w:tcPr>
          <w:p w14:paraId="2919C938" w14:textId="6F37074D"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r>
      <w:tr w:rsidR="008E3603" w:rsidRPr="00687C79" w14:paraId="5CF154D8" w14:textId="77777777" w:rsidTr="00F30223">
        <w:trPr>
          <w:trHeight w:val="455"/>
        </w:trPr>
        <w:tc>
          <w:tcPr>
            <w:tcW w:w="2544" w:type="dxa"/>
            <w:shd w:val="clear" w:color="auto" w:fill="auto"/>
            <w:vAlign w:val="bottom"/>
          </w:tcPr>
          <w:p w14:paraId="5A681657" w14:textId="54DA4574" w:rsidR="008E3603" w:rsidRPr="00687C79" w:rsidRDefault="008E3603" w:rsidP="008E3603">
            <w:pPr>
              <w:tabs>
                <w:tab w:val="left" w:pos="142"/>
              </w:tabs>
              <w:rPr>
                <w:rFonts w:ascii="Arial" w:hAnsi="Arial" w:cs="Arial"/>
                <w:color w:val="000000" w:themeColor="text1"/>
                <w:sz w:val="16"/>
                <w:szCs w:val="16"/>
                <w:lang w:val="en-US" w:eastAsia="es-AR"/>
              </w:rPr>
            </w:pPr>
            <w:r>
              <w:rPr>
                <w:rFonts w:ascii="Arial" w:hAnsi="Arial" w:cs="Arial"/>
                <w:color w:val="000000" w:themeColor="text1"/>
                <w:sz w:val="16"/>
                <w:szCs w:val="16"/>
                <w:lang w:val="en-US" w:eastAsia="es-AR"/>
              </w:rPr>
              <w:t>Micro Lending S.A.U.</w:t>
            </w:r>
          </w:p>
        </w:tc>
        <w:tc>
          <w:tcPr>
            <w:tcW w:w="1134" w:type="dxa"/>
            <w:vAlign w:val="bottom"/>
          </w:tcPr>
          <w:p w14:paraId="662DF513" w14:textId="2D200E35" w:rsidR="008E3603" w:rsidRPr="00687C79" w:rsidRDefault="008E3603" w:rsidP="008E3603">
            <w:pPr>
              <w:jc w:val="right"/>
              <w:rPr>
                <w:rFonts w:ascii="Arial" w:hAnsi="Arial" w:cs="Arial"/>
                <w:color w:val="000000" w:themeColor="text1"/>
                <w:sz w:val="16"/>
                <w:szCs w:val="16"/>
                <w:lang w:val="en-US"/>
              </w:rPr>
            </w:pPr>
            <w:r w:rsidRPr="0032673A">
              <w:rPr>
                <w:rFonts w:ascii="Arial" w:hAnsi="Arial" w:cs="Arial"/>
                <w:sz w:val="16"/>
                <w:szCs w:val="16"/>
              </w:rPr>
              <w:t>18.963</w:t>
            </w:r>
          </w:p>
        </w:tc>
        <w:tc>
          <w:tcPr>
            <w:tcW w:w="1134" w:type="dxa"/>
            <w:vAlign w:val="bottom"/>
          </w:tcPr>
          <w:p w14:paraId="0C1FC235" w14:textId="41CDDD32"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275" w:type="dxa"/>
            <w:shd w:val="clear" w:color="auto" w:fill="auto"/>
            <w:vAlign w:val="bottom"/>
          </w:tcPr>
          <w:p w14:paraId="396A18BC" w14:textId="11ABAE1E"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134" w:type="dxa"/>
            <w:vAlign w:val="bottom"/>
          </w:tcPr>
          <w:p w14:paraId="3643C7F4" w14:textId="02437E68"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369" w:type="dxa"/>
            <w:vAlign w:val="bottom"/>
          </w:tcPr>
          <w:p w14:paraId="615AA571" w14:textId="72551686" w:rsidR="008E3603" w:rsidRPr="00687C79" w:rsidRDefault="008E3603" w:rsidP="008E3603">
            <w:pPr>
              <w:jc w:val="right"/>
              <w:rPr>
                <w:rFonts w:ascii="Arial" w:hAnsi="Arial" w:cs="Arial"/>
                <w:color w:val="000000" w:themeColor="text1"/>
                <w:sz w:val="16"/>
                <w:szCs w:val="16"/>
                <w:lang w:val="en-US"/>
              </w:rPr>
            </w:pPr>
            <w:r>
              <w:rPr>
                <w:rFonts w:ascii="Arial" w:hAnsi="Arial" w:cs="Arial"/>
                <w:sz w:val="16"/>
                <w:szCs w:val="16"/>
              </w:rPr>
              <w:t>-</w:t>
            </w:r>
          </w:p>
        </w:tc>
        <w:tc>
          <w:tcPr>
            <w:tcW w:w="1325" w:type="dxa"/>
            <w:vAlign w:val="bottom"/>
          </w:tcPr>
          <w:p w14:paraId="6D89DD07" w14:textId="454DFC1B" w:rsidR="008E3603" w:rsidRPr="00687C79" w:rsidRDefault="008E3603" w:rsidP="008E3603">
            <w:pPr>
              <w:jc w:val="right"/>
              <w:rPr>
                <w:rFonts w:ascii="Arial" w:hAnsi="Arial" w:cs="Arial"/>
                <w:color w:val="000000" w:themeColor="text1"/>
                <w:sz w:val="16"/>
                <w:szCs w:val="16"/>
                <w:lang w:val="en-US"/>
              </w:rPr>
            </w:pPr>
            <w:r w:rsidRPr="0032673A">
              <w:rPr>
                <w:rFonts w:ascii="Arial" w:hAnsi="Arial" w:cs="Arial"/>
                <w:sz w:val="16"/>
                <w:szCs w:val="16"/>
              </w:rPr>
              <w:t>61</w:t>
            </w:r>
          </w:p>
        </w:tc>
      </w:tr>
      <w:tr w:rsidR="008E3603" w:rsidRPr="00701F32" w14:paraId="74573FE1" w14:textId="77777777" w:rsidTr="00F30223">
        <w:trPr>
          <w:trHeight w:val="455"/>
        </w:trPr>
        <w:tc>
          <w:tcPr>
            <w:tcW w:w="2544" w:type="dxa"/>
            <w:shd w:val="clear" w:color="auto" w:fill="auto"/>
            <w:vAlign w:val="bottom"/>
            <w:hideMark/>
          </w:tcPr>
          <w:p w14:paraId="69715FDB" w14:textId="77777777" w:rsidR="008E3603" w:rsidRPr="00701F32" w:rsidRDefault="008E3603" w:rsidP="008E360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Grupo Supervielle S.A.</w:t>
            </w:r>
          </w:p>
        </w:tc>
        <w:tc>
          <w:tcPr>
            <w:tcW w:w="1134" w:type="dxa"/>
            <w:vAlign w:val="bottom"/>
          </w:tcPr>
          <w:p w14:paraId="3D7735F7" w14:textId="5BCD7817" w:rsidR="008E3603" w:rsidRPr="00701F32" w:rsidRDefault="008E3603" w:rsidP="008E3603">
            <w:pPr>
              <w:jc w:val="right"/>
              <w:rPr>
                <w:rFonts w:ascii="Arial" w:hAnsi="Arial" w:cs="Arial"/>
                <w:color w:val="000000" w:themeColor="text1"/>
                <w:sz w:val="16"/>
                <w:szCs w:val="16"/>
                <w:lang w:val="es-ES_tradnl"/>
              </w:rPr>
            </w:pPr>
            <w:r>
              <w:rPr>
                <w:rFonts w:ascii="Arial" w:hAnsi="Arial" w:cs="Arial"/>
                <w:sz w:val="16"/>
                <w:szCs w:val="16"/>
              </w:rPr>
              <w:t>-</w:t>
            </w:r>
          </w:p>
        </w:tc>
        <w:tc>
          <w:tcPr>
            <w:tcW w:w="1134" w:type="dxa"/>
            <w:vAlign w:val="bottom"/>
          </w:tcPr>
          <w:p w14:paraId="215E23AB" w14:textId="7484F3DA"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4</w:t>
            </w:r>
          </w:p>
        </w:tc>
        <w:tc>
          <w:tcPr>
            <w:tcW w:w="1275" w:type="dxa"/>
            <w:shd w:val="clear" w:color="auto" w:fill="auto"/>
            <w:vAlign w:val="bottom"/>
          </w:tcPr>
          <w:p w14:paraId="338B0FEB" w14:textId="2B8BE8CF"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1.270</w:t>
            </w:r>
          </w:p>
        </w:tc>
        <w:tc>
          <w:tcPr>
            <w:tcW w:w="1134" w:type="dxa"/>
            <w:vAlign w:val="bottom"/>
          </w:tcPr>
          <w:p w14:paraId="78EE7812" w14:textId="316F155B"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3.267</w:t>
            </w:r>
          </w:p>
        </w:tc>
        <w:tc>
          <w:tcPr>
            <w:tcW w:w="1369" w:type="dxa"/>
            <w:vAlign w:val="bottom"/>
          </w:tcPr>
          <w:p w14:paraId="6F81323D" w14:textId="0D931AD4"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28.134</w:t>
            </w:r>
          </w:p>
        </w:tc>
        <w:tc>
          <w:tcPr>
            <w:tcW w:w="1325" w:type="dxa"/>
            <w:vAlign w:val="bottom"/>
          </w:tcPr>
          <w:p w14:paraId="4A7136FC" w14:textId="5F78F787" w:rsidR="008E3603" w:rsidRPr="00701F32" w:rsidRDefault="008E3603" w:rsidP="008E3603">
            <w:pPr>
              <w:jc w:val="right"/>
              <w:rPr>
                <w:rFonts w:ascii="Arial" w:hAnsi="Arial" w:cs="Arial"/>
                <w:color w:val="000000" w:themeColor="text1"/>
                <w:sz w:val="16"/>
                <w:szCs w:val="16"/>
                <w:lang w:val="es-ES_tradnl"/>
              </w:rPr>
            </w:pPr>
            <w:r w:rsidRPr="0032673A">
              <w:rPr>
                <w:rFonts w:ascii="Arial" w:hAnsi="Arial" w:cs="Arial"/>
                <w:sz w:val="16"/>
                <w:szCs w:val="16"/>
              </w:rPr>
              <w:t>960</w:t>
            </w:r>
          </w:p>
        </w:tc>
      </w:tr>
      <w:tr w:rsidR="008E3603" w:rsidRPr="00701F32" w14:paraId="015D01DE" w14:textId="77777777" w:rsidTr="008F75C6">
        <w:trPr>
          <w:trHeight w:val="455"/>
        </w:trPr>
        <w:tc>
          <w:tcPr>
            <w:tcW w:w="2544" w:type="dxa"/>
            <w:shd w:val="clear" w:color="auto" w:fill="auto"/>
            <w:vAlign w:val="bottom"/>
            <w:hideMark/>
          </w:tcPr>
          <w:p w14:paraId="523A8EE0" w14:textId="77777777" w:rsidR="008E3603" w:rsidRPr="00701F32" w:rsidRDefault="008E3603" w:rsidP="008E3603">
            <w:pPr>
              <w:tabs>
                <w:tab w:val="left" w:pos="142"/>
              </w:tabs>
              <w:rPr>
                <w:rFonts w:ascii="Arial" w:hAnsi="Arial" w:cs="Arial"/>
                <w:b/>
                <w:bCs/>
                <w:color w:val="000000" w:themeColor="text1"/>
                <w:sz w:val="16"/>
                <w:szCs w:val="16"/>
                <w:lang w:eastAsia="es-AR"/>
              </w:rPr>
            </w:pPr>
            <w:r w:rsidRPr="00701F32">
              <w:rPr>
                <w:rFonts w:ascii="Arial" w:hAnsi="Arial" w:cs="Arial"/>
                <w:b/>
                <w:bCs/>
                <w:color w:val="000000" w:themeColor="text1"/>
                <w:sz w:val="16"/>
                <w:szCs w:val="16"/>
                <w:lang w:eastAsia="es-AR"/>
              </w:rPr>
              <w:t>TOTAL</w:t>
            </w:r>
          </w:p>
        </w:tc>
        <w:tc>
          <w:tcPr>
            <w:tcW w:w="1134" w:type="dxa"/>
            <w:vAlign w:val="center"/>
          </w:tcPr>
          <w:p w14:paraId="2B881632" w14:textId="5518919B" w:rsidR="008E3603" w:rsidRPr="00701F32" w:rsidRDefault="008E3603" w:rsidP="008E3603">
            <w:pPr>
              <w:jc w:val="right"/>
              <w:rPr>
                <w:rFonts w:ascii="Arial" w:hAnsi="Arial" w:cs="Arial"/>
                <w:b/>
                <w:bCs/>
                <w:color w:val="000000" w:themeColor="text1"/>
                <w:sz w:val="16"/>
                <w:szCs w:val="16"/>
                <w:lang w:val="es-ES_tradnl"/>
              </w:rPr>
            </w:pPr>
            <w:r>
              <w:rPr>
                <w:rFonts w:ascii="Arial" w:hAnsi="Arial" w:cs="Arial"/>
                <w:b/>
                <w:bCs/>
                <w:color w:val="000000"/>
                <w:sz w:val="15"/>
                <w:szCs w:val="15"/>
              </w:rPr>
              <w:t>430.775</w:t>
            </w:r>
          </w:p>
        </w:tc>
        <w:tc>
          <w:tcPr>
            <w:tcW w:w="1134" w:type="dxa"/>
            <w:vAlign w:val="center"/>
          </w:tcPr>
          <w:p w14:paraId="1EC84872" w14:textId="108B1CCD" w:rsidR="008E3603" w:rsidRPr="00701F32" w:rsidRDefault="008E3603" w:rsidP="008E3603">
            <w:pPr>
              <w:jc w:val="right"/>
              <w:rPr>
                <w:rFonts w:ascii="Arial" w:hAnsi="Arial" w:cs="Arial"/>
                <w:b/>
                <w:bCs/>
                <w:color w:val="000000" w:themeColor="text1"/>
                <w:sz w:val="16"/>
                <w:szCs w:val="16"/>
                <w:lang w:val="es-ES_tradnl"/>
              </w:rPr>
            </w:pPr>
            <w:r>
              <w:rPr>
                <w:rFonts w:ascii="Arial" w:hAnsi="Arial" w:cs="Arial"/>
                <w:b/>
                <w:bCs/>
                <w:color w:val="000000"/>
                <w:sz w:val="15"/>
                <w:szCs w:val="15"/>
              </w:rPr>
              <w:t>33.87</w:t>
            </w:r>
            <w:r w:rsidR="00AB4EE5">
              <w:rPr>
                <w:rFonts w:ascii="Arial" w:hAnsi="Arial" w:cs="Arial"/>
                <w:b/>
                <w:bCs/>
                <w:color w:val="000000"/>
                <w:sz w:val="15"/>
                <w:szCs w:val="15"/>
              </w:rPr>
              <w:t>3</w:t>
            </w:r>
          </w:p>
        </w:tc>
        <w:tc>
          <w:tcPr>
            <w:tcW w:w="1275" w:type="dxa"/>
            <w:shd w:val="clear" w:color="auto" w:fill="auto"/>
            <w:vAlign w:val="center"/>
          </w:tcPr>
          <w:p w14:paraId="048FED72" w14:textId="7500DA86" w:rsidR="008E3603" w:rsidRPr="00701F32" w:rsidRDefault="008E3603" w:rsidP="008E3603">
            <w:pPr>
              <w:jc w:val="right"/>
              <w:rPr>
                <w:rFonts w:ascii="Arial" w:hAnsi="Arial" w:cs="Arial"/>
                <w:b/>
                <w:bCs/>
                <w:color w:val="000000" w:themeColor="text1"/>
                <w:sz w:val="16"/>
                <w:szCs w:val="16"/>
                <w:lang w:val="es-ES_tradnl"/>
              </w:rPr>
            </w:pPr>
            <w:r>
              <w:rPr>
                <w:rFonts w:ascii="Arial" w:hAnsi="Arial" w:cs="Arial"/>
                <w:b/>
                <w:bCs/>
                <w:color w:val="000000"/>
                <w:sz w:val="15"/>
                <w:szCs w:val="15"/>
              </w:rPr>
              <w:t>70.088</w:t>
            </w:r>
          </w:p>
        </w:tc>
        <w:tc>
          <w:tcPr>
            <w:tcW w:w="1134" w:type="dxa"/>
            <w:vAlign w:val="center"/>
          </w:tcPr>
          <w:p w14:paraId="2094F274" w14:textId="3CCC48AE" w:rsidR="008E3603" w:rsidRPr="00701F32" w:rsidRDefault="008E3603" w:rsidP="008E3603">
            <w:pPr>
              <w:jc w:val="right"/>
              <w:rPr>
                <w:rFonts w:ascii="Arial" w:hAnsi="Arial" w:cs="Arial"/>
                <w:b/>
                <w:bCs/>
                <w:color w:val="000000" w:themeColor="text1"/>
                <w:sz w:val="16"/>
                <w:szCs w:val="16"/>
                <w:lang w:val="es-ES_tradnl"/>
              </w:rPr>
            </w:pPr>
            <w:r>
              <w:rPr>
                <w:rFonts w:ascii="Arial" w:hAnsi="Arial" w:cs="Arial"/>
                <w:b/>
                <w:bCs/>
                <w:color w:val="000000"/>
                <w:sz w:val="15"/>
                <w:szCs w:val="15"/>
              </w:rPr>
              <w:t>3.267</w:t>
            </w:r>
          </w:p>
        </w:tc>
        <w:tc>
          <w:tcPr>
            <w:tcW w:w="1369" w:type="dxa"/>
            <w:vAlign w:val="center"/>
          </w:tcPr>
          <w:p w14:paraId="0D25FCEC" w14:textId="43DCA06A" w:rsidR="008E3603" w:rsidRPr="00701F32" w:rsidRDefault="008E3603" w:rsidP="008E3603">
            <w:pPr>
              <w:jc w:val="right"/>
              <w:rPr>
                <w:rFonts w:ascii="Arial" w:hAnsi="Arial" w:cs="Arial"/>
                <w:b/>
                <w:bCs/>
                <w:color w:val="000000" w:themeColor="text1"/>
                <w:sz w:val="16"/>
                <w:szCs w:val="16"/>
                <w:lang w:val="es-ES_tradnl"/>
              </w:rPr>
            </w:pPr>
            <w:r>
              <w:rPr>
                <w:rFonts w:ascii="Arial" w:hAnsi="Arial" w:cs="Arial"/>
                <w:b/>
                <w:bCs/>
                <w:color w:val="000000"/>
                <w:sz w:val="15"/>
                <w:szCs w:val="15"/>
              </w:rPr>
              <w:t>29.99</w:t>
            </w:r>
            <w:r w:rsidR="00AB4EE5">
              <w:rPr>
                <w:rFonts w:ascii="Arial" w:hAnsi="Arial" w:cs="Arial"/>
                <w:b/>
                <w:bCs/>
                <w:color w:val="000000"/>
                <w:sz w:val="15"/>
                <w:szCs w:val="15"/>
              </w:rPr>
              <w:t>3</w:t>
            </w:r>
          </w:p>
        </w:tc>
        <w:tc>
          <w:tcPr>
            <w:tcW w:w="1325" w:type="dxa"/>
            <w:vAlign w:val="center"/>
          </w:tcPr>
          <w:p w14:paraId="0564A6BB" w14:textId="05C7DB92" w:rsidR="008E3603" w:rsidRPr="00701F32" w:rsidRDefault="008E3603" w:rsidP="008E3603">
            <w:pPr>
              <w:jc w:val="right"/>
              <w:rPr>
                <w:rFonts w:ascii="Arial" w:hAnsi="Arial" w:cs="Arial"/>
                <w:b/>
                <w:bCs/>
                <w:color w:val="000000" w:themeColor="text1"/>
                <w:sz w:val="16"/>
                <w:szCs w:val="16"/>
                <w:lang w:val="es-ES_tradnl"/>
              </w:rPr>
            </w:pPr>
            <w:r>
              <w:rPr>
                <w:rFonts w:ascii="Arial" w:hAnsi="Arial" w:cs="Arial"/>
                <w:b/>
                <w:bCs/>
                <w:color w:val="000000"/>
                <w:sz w:val="15"/>
                <w:szCs w:val="15"/>
              </w:rPr>
              <w:t>5.443</w:t>
            </w:r>
          </w:p>
        </w:tc>
      </w:tr>
    </w:tbl>
    <w:p w14:paraId="7073754E" w14:textId="7CAF32CC" w:rsidR="00EB3AD4" w:rsidRDefault="00EB3AD4" w:rsidP="00D242BF">
      <w:pPr>
        <w:tabs>
          <w:tab w:val="left" w:pos="142"/>
        </w:tabs>
        <w:jc w:val="both"/>
        <w:rPr>
          <w:rFonts w:ascii="Arial" w:hAnsi="Arial" w:cs="Arial"/>
          <w:b/>
          <w:sz w:val="20"/>
        </w:rPr>
      </w:pPr>
    </w:p>
    <w:p w14:paraId="683CA887" w14:textId="77777777" w:rsidR="00681B1C" w:rsidRDefault="00681B1C" w:rsidP="00D242BF">
      <w:pPr>
        <w:tabs>
          <w:tab w:val="left" w:pos="142"/>
        </w:tabs>
        <w:jc w:val="both"/>
        <w:rPr>
          <w:rFonts w:ascii="Arial" w:hAnsi="Arial" w:cs="Arial"/>
          <w:b/>
          <w:sz w:val="20"/>
        </w:rPr>
      </w:pPr>
    </w:p>
    <w:p w14:paraId="63666ED6" w14:textId="3FE12B7D" w:rsidR="00D242BF" w:rsidRPr="00701F32" w:rsidRDefault="00D17399" w:rsidP="00D242BF">
      <w:pPr>
        <w:tabs>
          <w:tab w:val="left" w:pos="142"/>
        </w:tabs>
        <w:jc w:val="both"/>
        <w:rPr>
          <w:rFonts w:ascii="Arial" w:hAnsi="Arial" w:cs="Arial"/>
          <w:b/>
          <w:sz w:val="20"/>
        </w:rPr>
      </w:pPr>
      <w:r w:rsidRPr="00BA7A6B">
        <w:rPr>
          <w:rFonts w:ascii="Arial" w:hAnsi="Arial" w:cs="Arial"/>
          <w:b/>
          <w:sz w:val="20"/>
        </w:rPr>
        <w:t>8</w:t>
      </w:r>
      <w:r w:rsidR="00D242BF" w:rsidRPr="00BA7A6B">
        <w:rPr>
          <w:rFonts w:ascii="Arial" w:hAnsi="Arial" w:cs="Arial"/>
          <w:b/>
          <w:sz w:val="20"/>
        </w:rPr>
        <w:t>. FONDOS COMUNES DE INVERSION</w:t>
      </w:r>
    </w:p>
    <w:p w14:paraId="6BB6E6F9" w14:textId="77777777" w:rsidR="00D242BF" w:rsidRPr="00701F32" w:rsidRDefault="00D242BF" w:rsidP="00D242BF">
      <w:pPr>
        <w:tabs>
          <w:tab w:val="left" w:pos="142"/>
        </w:tabs>
        <w:jc w:val="both"/>
        <w:rPr>
          <w:rFonts w:ascii="Arial" w:hAnsi="Arial" w:cs="Arial"/>
          <w:b/>
          <w:sz w:val="20"/>
        </w:rPr>
      </w:pPr>
    </w:p>
    <w:p w14:paraId="64762E11" w14:textId="7A1A3CF3" w:rsidR="00084EEA" w:rsidRDefault="00B74592" w:rsidP="00D242BF">
      <w:pPr>
        <w:tabs>
          <w:tab w:val="left" w:pos="142"/>
        </w:tabs>
        <w:jc w:val="both"/>
        <w:rPr>
          <w:rFonts w:ascii="Arial" w:hAnsi="Arial" w:cs="Arial"/>
          <w:sz w:val="20"/>
        </w:rPr>
      </w:pPr>
      <w:bookmarkStart w:id="46" w:name="_Hlk39740228"/>
      <w:r>
        <w:rPr>
          <w:rFonts w:ascii="Arial" w:hAnsi="Arial" w:cs="Arial"/>
          <w:sz w:val="20"/>
        </w:rPr>
        <w:t>Al 31 de marzo de 2020 y 31 de diciembre de 2019</w:t>
      </w:r>
      <w:bookmarkEnd w:id="46"/>
      <w:r w:rsidR="00D242BF" w:rsidRPr="00701F32">
        <w:rPr>
          <w:rFonts w:ascii="Arial" w:hAnsi="Arial" w:cs="Arial"/>
          <w:sz w:val="20"/>
        </w:rPr>
        <w:t>, Banco Supervielle S.A. es la sociedad depositaria de los Fondos Comunes de Inversión que administra Supervielle Asset Management S.A. De acuerdo a lo requerido por la Resolución General N° 622/13 de la CNV, se detalla a continuación la cartera, patrimonio neto y cantidad de cuotapartes de los fondos comunes de inversión mencionados precedentemente.</w:t>
      </w:r>
    </w:p>
    <w:p w14:paraId="3088BD94" w14:textId="77777777" w:rsidR="00084EEA" w:rsidRDefault="00084EEA" w:rsidP="00D242BF">
      <w:pPr>
        <w:tabs>
          <w:tab w:val="left" w:pos="142"/>
        </w:tabs>
        <w:jc w:val="both"/>
        <w:rPr>
          <w:rFonts w:ascii="Arial" w:hAnsi="Arial" w:cs="Arial"/>
          <w:sz w:val="20"/>
        </w:rPr>
      </w:pPr>
    </w:p>
    <w:tbl>
      <w:tblPr>
        <w:tblW w:w="9351" w:type="dxa"/>
        <w:tblLayout w:type="fixed"/>
        <w:tblCellMar>
          <w:left w:w="70" w:type="dxa"/>
          <w:right w:w="70" w:type="dxa"/>
        </w:tblCellMar>
        <w:tblLook w:val="04A0" w:firstRow="1" w:lastRow="0" w:firstColumn="1" w:lastColumn="0" w:noHBand="0" w:noVBand="1"/>
      </w:tblPr>
      <w:tblGrid>
        <w:gridCol w:w="2416"/>
        <w:gridCol w:w="1198"/>
        <w:gridCol w:w="1134"/>
        <w:gridCol w:w="7"/>
        <w:gridCol w:w="1055"/>
        <w:gridCol w:w="1066"/>
        <w:gridCol w:w="7"/>
        <w:gridCol w:w="1196"/>
        <w:gridCol w:w="1272"/>
      </w:tblGrid>
      <w:tr w:rsidR="006227D4" w:rsidRPr="006F2033" w14:paraId="61330444" w14:textId="77777777" w:rsidTr="002E1AF6">
        <w:trPr>
          <w:trHeight w:val="184"/>
        </w:trPr>
        <w:tc>
          <w:tcPr>
            <w:tcW w:w="24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CDDC98" w14:textId="77777777" w:rsidR="006227D4" w:rsidRPr="00E01808" w:rsidRDefault="006227D4" w:rsidP="001B4F5C">
            <w:pPr>
              <w:jc w:val="center"/>
              <w:rPr>
                <w:rFonts w:ascii="Arial" w:hAnsi="Arial" w:cs="Arial"/>
                <w:b/>
                <w:bCs/>
                <w:color w:val="000000"/>
                <w:sz w:val="16"/>
                <w:szCs w:val="16"/>
                <w:lang w:eastAsia="es-AR"/>
              </w:rPr>
            </w:pPr>
            <w:bookmarkStart w:id="47" w:name="_Hlk41302029"/>
            <w:r w:rsidRPr="00EC349E">
              <w:rPr>
                <w:rFonts w:ascii="Arial" w:hAnsi="Arial" w:cs="Arial"/>
                <w:b/>
                <w:bCs/>
                <w:color w:val="000000"/>
                <w:sz w:val="16"/>
                <w:szCs w:val="18"/>
                <w:lang w:eastAsia="es-AR"/>
              </w:rPr>
              <w:t>Fondo común de inversión</w:t>
            </w:r>
          </w:p>
        </w:tc>
        <w:tc>
          <w:tcPr>
            <w:tcW w:w="233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D9486EB" w14:textId="77777777" w:rsidR="006227D4" w:rsidRPr="00EC349E" w:rsidRDefault="006227D4" w:rsidP="001B4F5C">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Activo</w:t>
            </w:r>
          </w:p>
        </w:tc>
        <w:tc>
          <w:tcPr>
            <w:tcW w:w="21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660894B9" w14:textId="77777777" w:rsidR="006227D4" w:rsidRPr="00EC349E" w:rsidRDefault="006227D4" w:rsidP="001B4F5C">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Patrimonio Neto</w:t>
            </w:r>
          </w:p>
        </w:tc>
        <w:tc>
          <w:tcPr>
            <w:tcW w:w="24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3E759D" w14:textId="77777777" w:rsidR="006227D4" w:rsidRPr="00EC349E" w:rsidRDefault="006227D4" w:rsidP="001B4F5C">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Cantidad de Cuotapartes</w:t>
            </w:r>
          </w:p>
        </w:tc>
      </w:tr>
      <w:tr w:rsidR="00B74592" w:rsidRPr="006F2033" w14:paraId="00945792" w14:textId="77777777" w:rsidTr="002E1AF6">
        <w:trPr>
          <w:trHeight w:val="184"/>
        </w:trPr>
        <w:tc>
          <w:tcPr>
            <w:tcW w:w="2416" w:type="dxa"/>
            <w:vMerge/>
            <w:tcBorders>
              <w:top w:val="single" w:sz="4" w:space="0" w:color="auto"/>
              <w:left w:val="single" w:sz="4" w:space="0" w:color="auto"/>
              <w:bottom w:val="single" w:sz="4" w:space="0" w:color="auto"/>
              <w:right w:val="single" w:sz="4" w:space="0" w:color="auto"/>
            </w:tcBorders>
            <w:vAlign w:val="center"/>
            <w:hideMark/>
          </w:tcPr>
          <w:p w14:paraId="7D3784D5" w14:textId="77777777" w:rsidR="00B74592" w:rsidRPr="00EC349E" w:rsidRDefault="00B74592" w:rsidP="00B74592">
            <w:pPr>
              <w:rPr>
                <w:rFonts w:ascii="Arial" w:hAnsi="Arial" w:cs="Arial"/>
                <w:b/>
                <w:bCs/>
                <w:color w:val="000000"/>
                <w:sz w:val="16"/>
                <w:szCs w:val="18"/>
                <w:lang w:eastAsia="es-AR"/>
              </w:rPr>
            </w:pPr>
          </w:p>
        </w:tc>
        <w:tc>
          <w:tcPr>
            <w:tcW w:w="1198" w:type="dxa"/>
            <w:tcBorders>
              <w:top w:val="nil"/>
              <w:left w:val="nil"/>
              <w:bottom w:val="single" w:sz="4" w:space="0" w:color="auto"/>
              <w:right w:val="single" w:sz="4" w:space="0" w:color="auto"/>
            </w:tcBorders>
            <w:shd w:val="clear" w:color="auto" w:fill="auto"/>
            <w:noWrap/>
            <w:vAlign w:val="bottom"/>
          </w:tcPr>
          <w:p w14:paraId="55EFE14E" w14:textId="721A9D82"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31/03/2020</w:t>
            </w:r>
          </w:p>
        </w:tc>
        <w:tc>
          <w:tcPr>
            <w:tcW w:w="1134" w:type="dxa"/>
            <w:tcBorders>
              <w:top w:val="nil"/>
              <w:left w:val="nil"/>
              <w:bottom w:val="single" w:sz="4" w:space="0" w:color="auto"/>
              <w:right w:val="single" w:sz="4" w:space="0" w:color="auto"/>
            </w:tcBorders>
            <w:shd w:val="clear" w:color="auto" w:fill="auto"/>
            <w:noWrap/>
            <w:vAlign w:val="bottom"/>
          </w:tcPr>
          <w:p w14:paraId="6EA345F9" w14:textId="02197227"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31/12/2019</w:t>
            </w:r>
          </w:p>
        </w:tc>
        <w:tc>
          <w:tcPr>
            <w:tcW w:w="1062" w:type="dxa"/>
            <w:gridSpan w:val="2"/>
            <w:tcBorders>
              <w:top w:val="nil"/>
              <w:left w:val="nil"/>
              <w:bottom w:val="single" w:sz="4" w:space="0" w:color="auto"/>
              <w:right w:val="single" w:sz="4" w:space="0" w:color="auto"/>
            </w:tcBorders>
            <w:shd w:val="clear" w:color="auto" w:fill="auto"/>
            <w:noWrap/>
            <w:vAlign w:val="bottom"/>
          </w:tcPr>
          <w:p w14:paraId="08C05D18" w14:textId="253CE144"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31/03/2020</w:t>
            </w:r>
          </w:p>
        </w:tc>
        <w:tc>
          <w:tcPr>
            <w:tcW w:w="1066" w:type="dxa"/>
            <w:tcBorders>
              <w:top w:val="nil"/>
              <w:left w:val="nil"/>
              <w:bottom w:val="single" w:sz="4" w:space="0" w:color="auto"/>
              <w:right w:val="single" w:sz="4" w:space="0" w:color="auto"/>
            </w:tcBorders>
            <w:shd w:val="clear" w:color="auto" w:fill="auto"/>
            <w:noWrap/>
            <w:vAlign w:val="bottom"/>
          </w:tcPr>
          <w:p w14:paraId="56C00A1B" w14:textId="2B9AAFCB"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31/12/2019</w:t>
            </w:r>
          </w:p>
        </w:tc>
        <w:tc>
          <w:tcPr>
            <w:tcW w:w="1203" w:type="dxa"/>
            <w:gridSpan w:val="2"/>
            <w:tcBorders>
              <w:top w:val="nil"/>
              <w:left w:val="nil"/>
              <w:bottom w:val="single" w:sz="4" w:space="0" w:color="auto"/>
              <w:right w:val="single" w:sz="4" w:space="0" w:color="auto"/>
            </w:tcBorders>
            <w:shd w:val="clear" w:color="auto" w:fill="auto"/>
            <w:noWrap/>
            <w:vAlign w:val="bottom"/>
          </w:tcPr>
          <w:p w14:paraId="205083FA" w14:textId="6856D12A" w:rsidR="00B74592" w:rsidRPr="001D2B86" w:rsidRDefault="00B74592" w:rsidP="00B74592">
            <w:pPr>
              <w:jc w:val="center"/>
              <w:rPr>
                <w:rFonts w:ascii="Arial" w:hAnsi="Arial" w:cs="Arial"/>
                <w:b/>
                <w:bCs/>
                <w:color w:val="000000"/>
                <w:sz w:val="16"/>
                <w:szCs w:val="16"/>
                <w:lang w:eastAsia="es-AR"/>
              </w:rPr>
            </w:pPr>
            <w:r>
              <w:rPr>
                <w:rFonts w:ascii="Arial" w:hAnsi="Arial" w:cs="Arial"/>
                <w:b/>
                <w:bCs/>
                <w:sz w:val="16"/>
                <w:szCs w:val="16"/>
              </w:rPr>
              <w:t>31/03/2020</w:t>
            </w:r>
          </w:p>
        </w:tc>
        <w:tc>
          <w:tcPr>
            <w:tcW w:w="1272" w:type="dxa"/>
            <w:tcBorders>
              <w:top w:val="nil"/>
              <w:left w:val="nil"/>
              <w:bottom w:val="single" w:sz="4" w:space="0" w:color="auto"/>
              <w:right w:val="single" w:sz="4" w:space="0" w:color="auto"/>
            </w:tcBorders>
            <w:shd w:val="clear" w:color="auto" w:fill="auto"/>
            <w:noWrap/>
            <w:vAlign w:val="bottom"/>
          </w:tcPr>
          <w:p w14:paraId="4BE3E350" w14:textId="65A330F7" w:rsidR="00B74592" w:rsidRPr="00534414" w:rsidRDefault="00B74592" w:rsidP="00B74592">
            <w:pPr>
              <w:jc w:val="center"/>
              <w:rPr>
                <w:rFonts w:ascii="Arial" w:hAnsi="Arial" w:cs="Arial"/>
                <w:b/>
                <w:sz w:val="16"/>
                <w:szCs w:val="16"/>
              </w:rPr>
            </w:pPr>
            <w:r>
              <w:rPr>
                <w:rFonts w:ascii="Arial" w:hAnsi="Arial" w:cs="Arial"/>
                <w:b/>
                <w:bCs/>
                <w:sz w:val="16"/>
                <w:szCs w:val="16"/>
              </w:rPr>
              <w:t>31/12/2019</w:t>
            </w:r>
          </w:p>
        </w:tc>
      </w:tr>
      <w:tr w:rsidR="003F29CE" w:rsidRPr="006F2033" w14:paraId="7115F5D3"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5F037E8"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CP en Pesos</w:t>
            </w:r>
          </w:p>
        </w:tc>
        <w:tc>
          <w:tcPr>
            <w:tcW w:w="1198" w:type="dxa"/>
            <w:tcBorders>
              <w:top w:val="nil"/>
              <w:left w:val="nil"/>
              <w:bottom w:val="single" w:sz="4" w:space="0" w:color="auto"/>
              <w:right w:val="single" w:sz="4" w:space="0" w:color="auto"/>
            </w:tcBorders>
            <w:shd w:val="clear" w:color="auto" w:fill="auto"/>
            <w:noWrap/>
            <w:vAlign w:val="center"/>
          </w:tcPr>
          <w:p w14:paraId="7B9D9E23" w14:textId="0202E857" w:rsidR="003F29CE" w:rsidRPr="002047BA" w:rsidRDefault="003F29CE" w:rsidP="003F29CE">
            <w:pPr>
              <w:jc w:val="right"/>
              <w:rPr>
                <w:rFonts w:ascii="Arial" w:hAnsi="Arial" w:cs="Arial"/>
                <w:sz w:val="16"/>
                <w:szCs w:val="16"/>
                <w:lang w:eastAsia="es-AR"/>
              </w:rPr>
            </w:pPr>
            <w:r>
              <w:rPr>
                <w:rFonts w:ascii="Arial" w:hAnsi="Arial" w:cs="Arial"/>
                <w:sz w:val="16"/>
                <w:szCs w:val="16"/>
              </w:rPr>
              <w:t>19.691.885</w:t>
            </w:r>
          </w:p>
        </w:tc>
        <w:tc>
          <w:tcPr>
            <w:tcW w:w="1134" w:type="dxa"/>
            <w:tcBorders>
              <w:top w:val="nil"/>
              <w:left w:val="nil"/>
              <w:bottom w:val="single" w:sz="4" w:space="0" w:color="auto"/>
              <w:right w:val="single" w:sz="4" w:space="0" w:color="auto"/>
            </w:tcBorders>
            <w:shd w:val="clear" w:color="auto" w:fill="auto"/>
            <w:noWrap/>
            <w:vAlign w:val="center"/>
          </w:tcPr>
          <w:p w14:paraId="68C8AEBB" w14:textId="4497FF50"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15.126.348</w:t>
            </w:r>
          </w:p>
        </w:tc>
        <w:tc>
          <w:tcPr>
            <w:tcW w:w="1062" w:type="dxa"/>
            <w:gridSpan w:val="2"/>
            <w:tcBorders>
              <w:top w:val="nil"/>
              <w:left w:val="nil"/>
              <w:bottom w:val="single" w:sz="4" w:space="0" w:color="auto"/>
              <w:right w:val="single" w:sz="4" w:space="0" w:color="auto"/>
            </w:tcBorders>
            <w:shd w:val="clear" w:color="auto" w:fill="auto"/>
            <w:noWrap/>
            <w:vAlign w:val="center"/>
          </w:tcPr>
          <w:p w14:paraId="75E42C40" w14:textId="162A7244" w:rsidR="003F29CE" w:rsidRPr="002047BA" w:rsidRDefault="003F29CE" w:rsidP="003F29CE">
            <w:pPr>
              <w:jc w:val="right"/>
              <w:rPr>
                <w:rFonts w:ascii="Arial" w:hAnsi="Arial" w:cs="Arial"/>
                <w:sz w:val="16"/>
                <w:szCs w:val="16"/>
                <w:lang w:eastAsia="es-AR"/>
              </w:rPr>
            </w:pPr>
            <w:r>
              <w:rPr>
                <w:rFonts w:ascii="Arial" w:hAnsi="Arial" w:cs="Arial"/>
                <w:sz w:val="16"/>
                <w:szCs w:val="16"/>
              </w:rPr>
              <w:t>19.661.664</w:t>
            </w:r>
          </w:p>
        </w:tc>
        <w:tc>
          <w:tcPr>
            <w:tcW w:w="1066" w:type="dxa"/>
            <w:tcBorders>
              <w:top w:val="nil"/>
              <w:left w:val="nil"/>
              <w:bottom w:val="single" w:sz="4" w:space="0" w:color="auto"/>
              <w:right w:val="single" w:sz="4" w:space="0" w:color="auto"/>
            </w:tcBorders>
            <w:shd w:val="clear" w:color="auto" w:fill="auto"/>
            <w:noWrap/>
            <w:vAlign w:val="center"/>
          </w:tcPr>
          <w:p w14:paraId="4D8277CE" w14:textId="756E48C8"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15.103.196</w:t>
            </w:r>
          </w:p>
        </w:tc>
        <w:tc>
          <w:tcPr>
            <w:tcW w:w="1203" w:type="dxa"/>
            <w:gridSpan w:val="2"/>
            <w:tcBorders>
              <w:top w:val="nil"/>
              <w:left w:val="nil"/>
              <w:bottom w:val="single" w:sz="4" w:space="0" w:color="auto"/>
              <w:right w:val="single" w:sz="4" w:space="0" w:color="auto"/>
            </w:tcBorders>
            <w:shd w:val="clear" w:color="auto" w:fill="auto"/>
            <w:noWrap/>
            <w:vAlign w:val="center"/>
          </w:tcPr>
          <w:p w14:paraId="213AEAB0" w14:textId="22EB15B2" w:rsidR="003F29CE" w:rsidRPr="002047BA" w:rsidRDefault="003F29CE" w:rsidP="003F29CE">
            <w:pPr>
              <w:jc w:val="right"/>
              <w:rPr>
                <w:rFonts w:ascii="Arial" w:hAnsi="Arial" w:cs="Arial"/>
                <w:sz w:val="16"/>
                <w:szCs w:val="16"/>
                <w:lang w:eastAsia="es-AR"/>
              </w:rPr>
            </w:pPr>
            <w:r>
              <w:rPr>
                <w:rFonts w:ascii="Arial" w:hAnsi="Arial" w:cs="Arial"/>
                <w:sz w:val="16"/>
                <w:szCs w:val="16"/>
              </w:rPr>
              <w:t>5.210.548.181</w:t>
            </w:r>
          </w:p>
        </w:tc>
        <w:tc>
          <w:tcPr>
            <w:tcW w:w="1272" w:type="dxa"/>
            <w:tcBorders>
              <w:top w:val="nil"/>
              <w:left w:val="nil"/>
              <w:bottom w:val="single" w:sz="4" w:space="0" w:color="auto"/>
              <w:right w:val="single" w:sz="4" w:space="0" w:color="auto"/>
            </w:tcBorders>
            <w:shd w:val="clear" w:color="auto" w:fill="auto"/>
            <w:noWrap/>
            <w:vAlign w:val="center"/>
          </w:tcPr>
          <w:p w14:paraId="6C4A1509" w14:textId="2FAC1D04" w:rsidR="003F29CE" w:rsidRPr="00534414" w:rsidRDefault="003F29CE" w:rsidP="003F29CE">
            <w:pPr>
              <w:jc w:val="right"/>
              <w:rPr>
                <w:rFonts w:ascii="Arial" w:hAnsi="Arial" w:cs="Arial"/>
                <w:sz w:val="16"/>
                <w:szCs w:val="16"/>
              </w:rPr>
            </w:pPr>
            <w:r>
              <w:rPr>
                <w:rFonts w:ascii="Arial" w:hAnsi="Arial" w:cs="Arial"/>
                <w:sz w:val="16"/>
                <w:szCs w:val="16"/>
              </w:rPr>
              <w:t>3.958.398.573</w:t>
            </w:r>
          </w:p>
        </w:tc>
      </w:tr>
      <w:tr w:rsidR="003F29CE" w:rsidRPr="006F2033" w14:paraId="7B4F6B0A"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72848DB8"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Plus en Pesos</w:t>
            </w:r>
          </w:p>
        </w:tc>
        <w:tc>
          <w:tcPr>
            <w:tcW w:w="1198" w:type="dxa"/>
            <w:tcBorders>
              <w:top w:val="nil"/>
              <w:left w:val="nil"/>
              <w:bottom w:val="single" w:sz="4" w:space="0" w:color="auto"/>
              <w:right w:val="single" w:sz="4" w:space="0" w:color="auto"/>
            </w:tcBorders>
            <w:shd w:val="clear" w:color="auto" w:fill="auto"/>
            <w:noWrap/>
            <w:vAlign w:val="center"/>
          </w:tcPr>
          <w:p w14:paraId="623DC59A" w14:textId="78E1E3A3" w:rsidR="003F29CE" w:rsidRPr="002047BA" w:rsidRDefault="003F29CE" w:rsidP="003F29CE">
            <w:pPr>
              <w:jc w:val="right"/>
              <w:rPr>
                <w:rFonts w:ascii="Arial" w:hAnsi="Arial" w:cs="Arial"/>
                <w:sz w:val="16"/>
                <w:szCs w:val="16"/>
                <w:lang w:eastAsia="es-AR"/>
              </w:rPr>
            </w:pPr>
            <w:r>
              <w:rPr>
                <w:rFonts w:ascii="Arial" w:hAnsi="Arial" w:cs="Arial"/>
                <w:sz w:val="16"/>
                <w:szCs w:val="16"/>
              </w:rPr>
              <w:t>129.171</w:t>
            </w:r>
          </w:p>
        </w:tc>
        <w:tc>
          <w:tcPr>
            <w:tcW w:w="1134" w:type="dxa"/>
            <w:tcBorders>
              <w:top w:val="nil"/>
              <w:left w:val="nil"/>
              <w:bottom w:val="single" w:sz="4" w:space="0" w:color="auto"/>
              <w:right w:val="single" w:sz="4" w:space="0" w:color="auto"/>
            </w:tcBorders>
            <w:shd w:val="clear" w:color="auto" w:fill="auto"/>
            <w:noWrap/>
            <w:vAlign w:val="center"/>
          </w:tcPr>
          <w:p w14:paraId="76D2853A" w14:textId="0CE6E578"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117.660</w:t>
            </w:r>
          </w:p>
        </w:tc>
        <w:tc>
          <w:tcPr>
            <w:tcW w:w="1062" w:type="dxa"/>
            <w:gridSpan w:val="2"/>
            <w:tcBorders>
              <w:top w:val="nil"/>
              <w:left w:val="nil"/>
              <w:bottom w:val="single" w:sz="4" w:space="0" w:color="auto"/>
              <w:right w:val="single" w:sz="4" w:space="0" w:color="auto"/>
            </w:tcBorders>
            <w:shd w:val="clear" w:color="auto" w:fill="auto"/>
            <w:noWrap/>
            <w:vAlign w:val="center"/>
          </w:tcPr>
          <w:p w14:paraId="054DEB93" w14:textId="10FDECCF" w:rsidR="003F29CE" w:rsidRPr="002047BA" w:rsidRDefault="003F29CE" w:rsidP="003F29CE">
            <w:pPr>
              <w:jc w:val="right"/>
              <w:rPr>
                <w:rFonts w:ascii="Arial" w:hAnsi="Arial" w:cs="Arial"/>
                <w:sz w:val="16"/>
                <w:szCs w:val="16"/>
                <w:lang w:eastAsia="es-AR"/>
              </w:rPr>
            </w:pPr>
            <w:r>
              <w:rPr>
                <w:rFonts w:ascii="Arial" w:hAnsi="Arial" w:cs="Arial"/>
                <w:sz w:val="16"/>
                <w:szCs w:val="16"/>
              </w:rPr>
              <w:t>127.872</w:t>
            </w:r>
          </w:p>
        </w:tc>
        <w:tc>
          <w:tcPr>
            <w:tcW w:w="1066" w:type="dxa"/>
            <w:tcBorders>
              <w:top w:val="nil"/>
              <w:left w:val="nil"/>
              <w:bottom w:val="single" w:sz="4" w:space="0" w:color="auto"/>
              <w:right w:val="single" w:sz="4" w:space="0" w:color="auto"/>
            </w:tcBorders>
            <w:shd w:val="clear" w:color="auto" w:fill="auto"/>
            <w:noWrap/>
            <w:vAlign w:val="center"/>
          </w:tcPr>
          <w:p w14:paraId="1953104A" w14:textId="78728E39"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115.562</w:t>
            </w:r>
          </w:p>
        </w:tc>
        <w:tc>
          <w:tcPr>
            <w:tcW w:w="1203" w:type="dxa"/>
            <w:gridSpan w:val="2"/>
            <w:tcBorders>
              <w:top w:val="nil"/>
              <w:left w:val="nil"/>
              <w:bottom w:val="single" w:sz="4" w:space="0" w:color="auto"/>
              <w:right w:val="single" w:sz="4" w:space="0" w:color="auto"/>
            </w:tcBorders>
            <w:shd w:val="clear" w:color="auto" w:fill="auto"/>
            <w:noWrap/>
            <w:vAlign w:val="center"/>
          </w:tcPr>
          <w:p w14:paraId="22A4AEF7" w14:textId="5DC7166B" w:rsidR="003F29CE" w:rsidRPr="002047BA" w:rsidRDefault="003F29CE" w:rsidP="003F29CE">
            <w:pPr>
              <w:jc w:val="right"/>
              <w:rPr>
                <w:rFonts w:ascii="Arial" w:hAnsi="Arial" w:cs="Arial"/>
                <w:sz w:val="16"/>
                <w:szCs w:val="16"/>
                <w:lang w:eastAsia="es-AR"/>
              </w:rPr>
            </w:pPr>
            <w:r>
              <w:rPr>
                <w:rFonts w:ascii="Arial" w:hAnsi="Arial" w:cs="Arial"/>
                <w:sz w:val="16"/>
                <w:szCs w:val="16"/>
              </w:rPr>
              <w:t>11.111.344</w:t>
            </w:r>
          </w:p>
        </w:tc>
        <w:tc>
          <w:tcPr>
            <w:tcW w:w="1272" w:type="dxa"/>
            <w:tcBorders>
              <w:top w:val="nil"/>
              <w:left w:val="nil"/>
              <w:bottom w:val="single" w:sz="4" w:space="0" w:color="auto"/>
              <w:right w:val="single" w:sz="4" w:space="0" w:color="auto"/>
            </w:tcBorders>
            <w:shd w:val="clear" w:color="auto" w:fill="auto"/>
            <w:noWrap/>
            <w:vAlign w:val="center"/>
          </w:tcPr>
          <w:p w14:paraId="22D90988" w14:textId="39B3EE7F" w:rsidR="003F29CE" w:rsidRPr="00534414" w:rsidRDefault="003F29CE" w:rsidP="003F29CE">
            <w:pPr>
              <w:jc w:val="right"/>
              <w:rPr>
                <w:rFonts w:ascii="Arial" w:hAnsi="Arial" w:cs="Arial"/>
                <w:sz w:val="16"/>
                <w:szCs w:val="16"/>
              </w:rPr>
            </w:pPr>
            <w:r>
              <w:rPr>
                <w:rFonts w:ascii="Arial" w:hAnsi="Arial" w:cs="Arial"/>
                <w:sz w:val="16"/>
                <w:szCs w:val="16"/>
              </w:rPr>
              <w:t>10.250.999</w:t>
            </w:r>
          </w:p>
        </w:tc>
      </w:tr>
      <w:tr w:rsidR="003F29CE" w:rsidRPr="006F2033" w14:paraId="52894B6A"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0CA4729"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Fija Ahorro</w:t>
            </w:r>
          </w:p>
        </w:tc>
        <w:tc>
          <w:tcPr>
            <w:tcW w:w="1198" w:type="dxa"/>
            <w:tcBorders>
              <w:top w:val="nil"/>
              <w:left w:val="nil"/>
              <w:bottom w:val="single" w:sz="4" w:space="0" w:color="auto"/>
              <w:right w:val="single" w:sz="4" w:space="0" w:color="auto"/>
            </w:tcBorders>
            <w:shd w:val="clear" w:color="auto" w:fill="auto"/>
            <w:noWrap/>
            <w:vAlign w:val="center"/>
          </w:tcPr>
          <w:p w14:paraId="5B18B25B" w14:textId="46D15FFE" w:rsidR="003F29CE" w:rsidRPr="002047BA" w:rsidRDefault="003F29CE" w:rsidP="003F29CE">
            <w:pPr>
              <w:jc w:val="right"/>
              <w:rPr>
                <w:rFonts w:ascii="Arial" w:hAnsi="Arial" w:cs="Arial"/>
                <w:sz w:val="16"/>
                <w:szCs w:val="16"/>
                <w:lang w:eastAsia="es-AR"/>
              </w:rPr>
            </w:pPr>
            <w:r>
              <w:rPr>
                <w:rFonts w:ascii="Arial" w:hAnsi="Arial" w:cs="Arial"/>
                <w:sz w:val="16"/>
                <w:szCs w:val="16"/>
              </w:rPr>
              <w:t>631.381</w:t>
            </w:r>
          </w:p>
        </w:tc>
        <w:tc>
          <w:tcPr>
            <w:tcW w:w="1134" w:type="dxa"/>
            <w:tcBorders>
              <w:top w:val="nil"/>
              <w:left w:val="nil"/>
              <w:bottom w:val="single" w:sz="4" w:space="0" w:color="auto"/>
              <w:right w:val="single" w:sz="4" w:space="0" w:color="auto"/>
            </w:tcBorders>
            <w:shd w:val="clear" w:color="auto" w:fill="auto"/>
            <w:noWrap/>
            <w:vAlign w:val="center"/>
          </w:tcPr>
          <w:p w14:paraId="5D7F2B51" w14:textId="695C75A7"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501.730</w:t>
            </w:r>
          </w:p>
        </w:tc>
        <w:tc>
          <w:tcPr>
            <w:tcW w:w="1062" w:type="dxa"/>
            <w:gridSpan w:val="2"/>
            <w:tcBorders>
              <w:top w:val="nil"/>
              <w:left w:val="nil"/>
              <w:bottom w:val="single" w:sz="4" w:space="0" w:color="auto"/>
              <w:right w:val="single" w:sz="4" w:space="0" w:color="auto"/>
            </w:tcBorders>
            <w:shd w:val="clear" w:color="auto" w:fill="auto"/>
            <w:noWrap/>
            <w:vAlign w:val="center"/>
          </w:tcPr>
          <w:p w14:paraId="72ADAF98" w14:textId="1B1A7477" w:rsidR="003F29CE" w:rsidRPr="002047BA" w:rsidRDefault="003F29CE" w:rsidP="003F29CE">
            <w:pPr>
              <w:jc w:val="right"/>
              <w:rPr>
                <w:rFonts w:ascii="Arial" w:hAnsi="Arial" w:cs="Arial"/>
                <w:sz w:val="16"/>
                <w:szCs w:val="16"/>
                <w:lang w:eastAsia="es-AR"/>
              </w:rPr>
            </w:pPr>
            <w:r>
              <w:rPr>
                <w:rFonts w:ascii="Arial" w:hAnsi="Arial" w:cs="Arial"/>
                <w:sz w:val="16"/>
                <w:szCs w:val="16"/>
              </w:rPr>
              <w:t>626.490</w:t>
            </w:r>
          </w:p>
        </w:tc>
        <w:tc>
          <w:tcPr>
            <w:tcW w:w="1066" w:type="dxa"/>
            <w:tcBorders>
              <w:top w:val="nil"/>
              <w:left w:val="nil"/>
              <w:bottom w:val="single" w:sz="4" w:space="0" w:color="auto"/>
              <w:right w:val="single" w:sz="4" w:space="0" w:color="auto"/>
            </w:tcBorders>
            <w:shd w:val="clear" w:color="auto" w:fill="auto"/>
            <w:noWrap/>
            <w:vAlign w:val="center"/>
          </w:tcPr>
          <w:p w14:paraId="0C364D03" w14:textId="60F2C92D"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495.335</w:t>
            </w:r>
          </w:p>
        </w:tc>
        <w:tc>
          <w:tcPr>
            <w:tcW w:w="1203" w:type="dxa"/>
            <w:gridSpan w:val="2"/>
            <w:tcBorders>
              <w:top w:val="nil"/>
              <w:left w:val="nil"/>
              <w:bottom w:val="single" w:sz="4" w:space="0" w:color="auto"/>
              <w:right w:val="single" w:sz="4" w:space="0" w:color="auto"/>
            </w:tcBorders>
            <w:shd w:val="clear" w:color="auto" w:fill="auto"/>
            <w:noWrap/>
            <w:vAlign w:val="center"/>
          </w:tcPr>
          <w:p w14:paraId="1A352A0F" w14:textId="5D1CBC48" w:rsidR="003F29CE" w:rsidRPr="002047BA" w:rsidRDefault="003F29CE" w:rsidP="003F29CE">
            <w:pPr>
              <w:jc w:val="right"/>
              <w:rPr>
                <w:rFonts w:ascii="Arial" w:hAnsi="Arial" w:cs="Arial"/>
                <w:sz w:val="16"/>
                <w:szCs w:val="16"/>
                <w:lang w:eastAsia="es-AR"/>
              </w:rPr>
            </w:pPr>
            <w:r>
              <w:rPr>
                <w:rFonts w:ascii="Arial" w:hAnsi="Arial" w:cs="Arial"/>
                <w:sz w:val="16"/>
                <w:szCs w:val="16"/>
              </w:rPr>
              <w:t>15.890.152</w:t>
            </w:r>
          </w:p>
        </w:tc>
        <w:tc>
          <w:tcPr>
            <w:tcW w:w="1272" w:type="dxa"/>
            <w:tcBorders>
              <w:top w:val="nil"/>
              <w:left w:val="nil"/>
              <w:bottom w:val="single" w:sz="4" w:space="0" w:color="auto"/>
              <w:right w:val="single" w:sz="4" w:space="0" w:color="auto"/>
            </w:tcBorders>
            <w:shd w:val="clear" w:color="auto" w:fill="auto"/>
            <w:noWrap/>
            <w:vAlign w:val="center"/>
          </w:tcPr>
          <w:p w14:paraId="049B3D3F" w14:textId="326FF671" w:rsidR="003F29CE" w:rsidRPr="00534414" w:rsidRDefault="003F29CE" w:rsidP="003F29CE">
            <w:pPr>
              <w:jc w:val="right"/>
              <w:rPr>
                <w:rFonts w:ascii="Arial" w:hAnsi="Arial" w:cs="Arial"/>
                <w:sz w:val="16"/>
                <w:szCs w:val="16"/>
              </w:rPr>
            </w:pPr>
            <w:r>
              <w:rPr>
                <w:rFonts w:ascii="Arial" w:hAnsi="Arial" w:cs="Arial"/>
                <w:sz w:val="16"/>
                <w:szCs w:val="16"/>
              </w:rPr>
              <w:t>12.851.475</w:t>
            </w:r>
          </w:p>
        </w:tc>
      </w:tr>
      <w:tr w:rsidR="003F29CE" w:rsidRPr="006F2033" w14:paraId="462DDE5B"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781EFDD1"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Fija Crecimiento</w:t>
            </w:r>
          </w:p>
        </w:tc>
        <w:tc>
          <w:tcPr>
            <w:tcW w:w="1198" w:type="dxa"/>
            <w:tcBorders>
              <w:top w:val="nil"/>
              <w:left w:val="nil"/>
              <w:bottom w:val="single" w:sz="4" w:space="0" w:color="auto"/>
              <w:right w:val="single" w:sz="4" w:space="0" w:color="auto"/>
            </w:tcBorders>
            <w:shd w:val="clear" w:color="auto" w:fill="auto"/>
            <w:noWrap/>
            <w:vAlign w:val="center"/>
          </w:tcPr>
          <w:p w14:paraId="57FC32BC" w14:textId="0C4E1031" w:rsidR="003F29CE" w:rsidRPr="002047BA" w:rsidRDefault="003F29CE" w:rsidP="003F29CE">
            <w:pPr>
              <w:jc w:val="right"/>
              <w:rPr>
                <w:rFonts w:ascii="Arial" w:hAnsi="Arial" w:cs="Arial"/>
                <w:sz w:val="16"/>
                <w:szCs w:val="16"/>
                <w:lang w:eastAsia="es-AR"/>
              </w:rPr>
            </w:pPr>
            <w:r>
              <w:rPr>
                <w:rFonts w:ascii="Arial" w:hAnsi="Arial" w:cs="Arial"/>
                <w:sz w:val="16"/>
                <w:szCs w:val="16"/>
              </w:rPr>
              <w:t>52.874</w:t>
            </w:r>
          </w:p>
        </w:tc>
        <w:tc>
          <w:tcPr>
            <w:tcW w:w="1134" w:type="dxa"/>
            <w:tcBorders>
              <w:top w:val="nil"/>
              <w:left w:val="nil"/>
              <w:bottom w:val="single" w:sz="4" w:space="0" w:color="auto"/>
              <w:right w:val="single" w:sz="4" w:space="0" w:color="auto"/>
            </w:tcBorders>
            <w:shd w:val="clear" w:color="auto" w:fill="auto"/>
            <w:noWrap/>
            <w:vAlign w:val="center"/>
          </w:tcPr>
          <w:p w14:paraId="01334139" w14:textId="29CFD1B0"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50.582</w:t>
            </w:r>
          </w:p>
        </w:tc>
        <w:tc>
          <w:tcPr>
            <w:tcW w:w="1062" w:type="dxa"/>
            <w:gridSpan w:val="2"/>
            <w:tcBorders>
              <w:top w:val="nil"/>
              <w:left w:val="nil"/>
              <w:bottom w:val="single" w:sz="4" w:space="0" w:color="auto"/>
              <w:right w:val="single" w:sz="4" w:space="0" w:color="auto"/>
            </w:tcBorders>
            <w:shd w:val="clear" w:color="auto" w:fill="auto"/>
            <w:noWrap/>
            <w:vAlign w:val="center"/>
          </w:tcPr>
          <w:p w14:paraId="2659E2E7" w14:textId="24AC1505" w:rsidR="003F29CE" w:rsidRPr="002047BA" w:rsidRDefault="003F29CE" w:rsidP="003F29CE">
            <w:pPr>
              <w:jc w:val="right"/>
              <w:rPr>
                <w:rFonts w:ascii="Arial" w:hAnsi="Arial" w:cs="Arial"/>
                <w:sz w:val="16"/>
                <w:szCs w:val="16"/>
                <w:lang w:eastAsia="es-AR"/>
              </w:rPr>
            </w:pPr>
            <w:r>
              <w:rPr>
                <w:rFonts w:ascii="Arial" w:hAnsi="Arial" w:cs="Arial"/>
                <w:sz w:val="16"/>
                <w:szCs w:val="16"/>
              </w:rPr>
              <w:t>52.651</w:t>
            </w:r>
          </w:p>
        </w:tc>
        <w:tc>
          <w:tcPr>
            <w:tcW w:w="1066" w:type="dxa"/>
            <w:tcBorders>
              <w:top w:val="nil"/>
              <w:left w:val="nil"/>
              <w:bottom w:val="single" w:sz="4" w:space="0" w:color="auto"/>
              <w:right w:val="single" w:sz="4" w:space="0" w:color="auto"/>
            </w:tcBorders>
            <w:shd w:val="clear" w:color="auto" w:fill="auto"/>
            <w:noWrap/>
            <w:vAlign w:val="center"/>
          </w:tcPr>
          <w:p w14:paraId="61627E6D" w14:textId="78AF309D"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50.296</w:t>
            </w:r>
          </w:p>
        </w:tc>
        <w:tc>
          <w:tcPr>
            <w:tcW w:w="1203" w:type="dxa"/>
            <w:gridSpan w:val="2"/>
            <w:tcBorders>
              <w:top w:val="nil"/>
              <w:left w:val="nil"/>
              <w:bottom w:val="single" w:sz="4" w:space="0" w:color="auto"/>
              <w:right w:val="single" w:sz="4" w:space="0" w:color="auto"/>
            </w:tcBorders>
            <w:shd w:val="clear" w:color="auto" w:fill="auto"/>
            <w:noWrap/>
            <w:vAlign w:val="center"/>
          </w:tcPr>
          <w:p w14:paraId="1A98FE05" w14:textId="73E8E208" w:rsidR="003F29CE" w:rsidRPr="002047BA" w:rsidRDefault="003F29CE" w:rsidP="003F29CE">
            <w:pPr>
              <w:jc w:val="right"/>
              <w:rPr>
                <w:rFonts w:ascii="Arial" w:hAnsi="Arial" w:cs="Arial"/>
                <w:sz w:val="16"/>
                <w:szCs w:val="16"/>
                <w:lang w:eastAsia="es-AR"/>
              </w:rPr>
            </w:pPr>
            <w:r>
              <w:rPr>
                <w:rFonts w:ascii="Arial" w:hAnsi="Arial" w:cs="Arial"/>
                <w:sz w:val="16"/>
                <w:szCs w:val="16"/>
              </w:rPr>
              <w:t>3.650.185</w:t>
            </w:r>
          </w:p>
        </w:tc>
        <w:tc>
          <w:tcPr>
            <w:tcW w:w="1272" w:type="dxa"/>
            <w:tcBorders>
              <w:top w:val="nil"/>
              <w:left w:val="nil"/>
              <w:bottom w:val="single" w:sz="4" w:space="0" w:color="auto"/>
              <w:right w:val="single" w:sz="4" w:space="0" w:color="auto"/>
            </w:tcBorders>
            <w:shd w:val="clear" w:color="auto" w:fill="auto"/>
            <w:noWrap/>
            <w:vAlign w:val="center"/>
          </w:tcPr>
          <w:p w14:paraId="7A55BC83" w14:textId="4834356E" w:rsidR="003F29CE" w:rsidRPr="00534414" w:rsidRDefault="003F29CE" w:rsidP="003F29CE">
            <w:pPr>
              <w:jc w:val="right"/>
              <w:rPr>
                <w:rFonts w:ascii="Arial" w:hAnsi="Arial" w:cs="Arial"/>
                <w:sz w:val="16"/>
                <w:szCs w:val="16"/>
              </w:rPr>
            </w:pPr>
            <w:r>
              <w:rPr>
                <w:rFonts w:ascii="Arial" w:hAnsi="Arial" w:cs="Arial"/>
                <w:sz w:val="16"/>
                <w:szCs w:val="16"/>
              </w:rPr>
              <w:t>3.688.485</w:t>
            </w:r>
          </w:p>
        </w:tc>
      </w:tr>
      <w:tr w:rsidR="003F29CE" w:rsidRPr="006F2033" w14:paraId="491612E7"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8B83122"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Variable</w:t>
            </w:r>
          </w:p>
        </w:tc>
        <w:tc>
          <w:tcPr>
            <w:tcW w:w="1198" w:type="dxa"/>
            <w:tcBorders>
              <w:top w:val="nil"/>
              <w:left w:val="nil"/>
              <w:bottom w:val="single" w:sz="4" w:space="0" w:color="auto"/>
              <w:right w:val="single" w:sz="4" w:space="0" w:color="auto"/>
            </w:tcBorders>
            <w:shd w:val="clear" w:color="auto" w:fill="auto"/>
            <w:noWrap/>
            <w:vAlign w:val="center"/>
          </w:tcPr>
          <w:p w14:paraId="7D41CAA7" w14:textId="15F2A5CA" w:rsidR="003F29CE" w:rsidRPr="002047BA" w:rsidRDefault="003F29CE" w:rsidP="003F29CE">
            <w:pPr>
              <w:jc w:val="right"/>
              <w:rPr>
                <w:rFonts w:ascii="Arial" w:hAnsi="Arial" w:cs="Arial"/>
                <w:sz w:val="16"/>
                <w:szCs w:val="16"/>
                <w:lang w:eastAsia="es-AR"/>
              </w:rPr>
            </w:pPr>
            <w:r>
              <w:rPr>
                <w:rFonts w:ascii="Arial" w:hAnsi="Arial" w:cs="Arial"/>
                <w:sz w:val="16"/>
                <w:szCs w:val="16"/>
              </w:rPr>
              <w:t>104.752</w:t>
            </w:r>
          </w:p>
        </w:tc>
        <w:tc>
          <w:tcPr>
            <w:tcW w:w="1134" w:type="dxa"/>
            <w:tcBorders>
              <w:top w:val="nil"/>
              <w:left w:val="nil"/>
              <w:bottom w:val="single" w:sz="4" w:space="0" w:color="auto"/>
              <w:right w:val="single" w:sz="4" w:space="0" w:color="auto"/>
            </w:tcBorders>
            <w:shd w:val="clear" w:color="auto" w:fill="auto"/>
            <w:noWrap/>
            <w:vAlign w:val="center"/>
          </w:tcPr>
          <w:p w14:paraId="600858AF" w14:textId="18CEEE48"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179.369</w:t>
            </w:r>
          </w:p>
        </w:tc>
        <w:tc>
          <w:tcPr>
            <w:tcW w:w="1062" w:type="dxa"/>
            <w:gridSpan w:val="2"/>
            <w:tcBorders>
              <w:top w:val="nil"/>
              <w:left w:val="nil"/>
              <w:bottom w:val="single" w:sz="4" w:space="0" w:color="auto"/>
              <w:right w:val="single" w:sz="4" w:space="0" w:color="auto"/>
            </w:tcBorders>
            <w:shd w:val="clear" w:color="auto" w:fill="auto"/>
            <w:noWrap/>
            <w:vAlign w:val="center"/>
          </w:tcPr>
          <w:p w14:paraId="3B3F20B2" w14:textId="559806F6" w:rsidR="003F29CE" w:rsidRPr="002047BA" w:rsidRDefault="003F29CE" w:rsidP="003F29CE">
            <w:pPr>
              <w:jc w:val="right"/>
              <w:rPr>
                <w:rFonts w:ascii="Arial" w:hAnsi="Arial" w:cs="Arial"/>
                <w:sz w:val="16"/>
                <w:szCs w:val="16"/>
                <w:lang w:eastAsia="es-AR"/>
              </w:rPr>
            </w:pPr>
            <w:r>
              <w:rPr>
                <w:rFonts w:ascii="Arial" w:hAnsi="Arial" w:cs="Arial"/>
                <w:sz w:val="16"/>
                <w:szCs w:val="16"/>
              </w:rPr>
              <w:t>104.230</w:t>
            </w:r>
          </w:p>
        </w:tc>
        <w:tc>
          <w:tcPr>
            <w:tcW w:w="1066" w:type="dxa"/>
            <w:tcBorders>
              <w:top w:val="nil"/>
              <w:left w:val="nil"/>
              <w:bottom w:val="single" w:sz="4" w:space="0" w:color="auto"/>
              <w:right w:val="single" w:sz="4" w:space="0" w:color="auto"/>
            </w:tcBorders>
            <w:shd w:val="clear" w:color="auto" w:fill="auto"/>
            <w:noWrap/>
            <w:vAlign w:val="center"/>
          </w:tcPr>
          <w:p w14:paraId="7FD60E73" w14:textId="444FFE28"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176.790</w:t>
            </w:r>
          </w:p>
        </w:tc>
        <w:tc>
          <w:tcPr>
            <w:tcW w:w="1203" w:type="dxa"/>
            <w:gridSpan w:val="2"/>
            <w:tcBorders>
              <w:top w:val="nil"/>
              <w:left w:val="nil"/>
              <w:bottom w:val="single" w:sz="4" w:space="0" w:color="auto"/>
              <w:right w:val="single" w:sz="4" w:space="0" w:color="auto"/>
            </w:tcBorders>
            <w:shd w:val="clear" w:color="auto" w:fill="auto"/>
            <w:noWrap/>
            <w:vAlign w:val="center"/>
          </w:tcPr>
          <w:p w14:paraId="51F53E0C" w14:textId="4BD628DC" w:rsidR="003F29CE" w:rsidRPr="002047BA" w:rsidRDefault="003F29CE" w:rsidP="003F29CE">
            <w:pPr>
              <w:jc w:val="right"/>
              <w:rPr>
                <w:rFonts w:ascii="Arial" w:hAnsi="Arial" w:cs="Arial"/>
                <w:sz w:val="16"/>
                <w:szCs w:val="16"/>
                <w:lang w:eastAsia="es-AR"/>
              </w:rPr>
            </w:pPr>
            <w:r>
              <w:rPr>
                <w:rFonts w:ascii="Arial" w:hAnsi="Arial" w:cs="Arial"/>
                <w:sz w:val="16"/>
                <w:szCs w:val="16"/>
              </w:rPr>
              <w:t>7.397.599</w:t>
            </w:r>
          </w:p>
        </w:tc>
        <w:tc>
          <w:tcPr>
            <w:tcW w:w="1272" w:type="dxa"/>
            <w:tcBorders>
              <w:top w:val="nil"/>
              <w:left w:val="nil"/>
              <w:bottom w:val="single" w:sz="4" w:space="0" w:color="auto"/>
              <w:right w:val="single" w:sz="4" w:space="0" w:color="auto"/>
            </w:tcBorders>
            <w:shd w:val="clear" w:color="auto" w:fill="auto"/>
            <w:noWrap/>
            <w:vAlign w:val="center"/>
          </w:tcPr>
          <w:p w14:paraId="485A3E55" w14:textId="71EA6213" w:rsidR="003F29CE" w:rsidRPr="00534414" w:rsidRDefault="003F29CE" w:rsidP="003F29CE">
            <w:pPr>
              <w:jc w:val="right"/>
              <w:rPr>
                <w:rFonts w:ascii="Arial" w:hAnsi="Arial" w:cs="Arial"/>
                <w:sz w:val="16"/>
                <w:szCs w:val="16"/>
              </w:rPr>
            </w:pPr>
            <w:r>
              <w:rPr>
                <w:rFonts w:ascii="Arial" w:hAnsi="Arial" w:cs="Arial"/>
                <w:sz w:val="16"/>
                <w:szCs w:val="16"/>
              </w:rPr>
              <w:t>6.982.580</w:t>
            </w:r>
          </w:p>
        </w:tc>
      </w:tr>
      <w:tr w:rsidR="003F29CE" w:rsidRPr="006F2033" w14:paraId="58AF6C54"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EE00174"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Abierto Pymes</w:t>
            </w:r>
          </w:p>
        </w:tc>
        <w:tc>
          <w:tcPr>
            <w:tcW w:w="1198" w:type="dxa"/>
            <w:tcBorders>
              <w:top w:val="nil"/>
              <w:left w:val="nil"/>
              <w:bottom w:val="single" w:sz="4" w:space="0" w:color="auto"/>
              <w:right w:val="single" w:sz="4" w:space="0" w:color="auto"/>
            </w:tcBorders>
            <w:shd w:val="clear" w:color="auto" w:fill="auto"/>
            <w:noWrap/>
            <w:vAlign w:val="center"/>
          </w:tcPr>
          <w:p w14:paraId="22A4C1AB" w14:textId="47C17128" w:rsidR="003F29CE" w:rsidRPr="002047BA" w:rsidRDefault="003F29CE" w:rsidP="003F29CE">
            <w:pPr>
              <w:jc w:val="right"/>
              <w:rPr>
                <w:rFonts w:ascii="Arial" w:hAnsi="Arial" w:cs="Arial"/>
                <w:sz w:val="16"/>
                <w:szCs w:val="16"/>
                <w:lang w:eastAsia="es-AR"/>
              </w:rPr>
            </w:pPr>
            <w:r>
              <w:rPr>
                <w:rFonts w:ascii="Arial" w:hAnsi="Arial" w:cs="Arial"/>
                <w:sz w:val="16"/>
                <w:szCs w:val="16"/>
              </w:rPr>
              <w:t>616.249</w:t>
            </w:r>
          </w:p>
        </w:tc>
        <w:tc>
          <w:tcPr>
            <w:tcW w:w="1134" w:type="dxa"/>
            <w:tcBorders>
              <w:top w:val="nil"/>
              <w:left w:val="nil"/>
              <w:bottom w:val="single" w:sz="4" w:space="0" w:color="auto"/>
              <w:right w:val="single" w:sz="4" w:space="0" w:color="auto"/>
            </w:tcBorders>
            <w:shd w:val="clear" w:color="auto" w:fill="auto"/>
            <w:noWrap/>
            <w:vAlign w:val="center"/>
          </w:tcPr>
          <w:p w14:paraId="25A680C9" w14:textId="631EE7EB"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604.068</w:t>
            </w:r>
          </w:p>
        </w:tc>
        <w:tc>
          <w:tcPr>
            <w:tcW w:w="1062" w:type="dxa"/>
            <w:gridSpan w:val="2"/>
            <w:tcBorders>
              <w:top w:val="nil"/>
              <w:left w:val="nil"/>
              <w:bottom w:val="single" w:sz="4" w:space="0" w:color="auto"/>
              <w:right w:val="single" w:sz="4" w:space="0" w:color="auto"/>
            </w:tcBorders>
            <w:shd w:val="clear" w:color="auto" w:fill="auto"/>
            <w:noWrap/>
            <w:vAlign w:val="center"/>
          </w:tcPr>
          <w:p w14:paraId="7FA75351" w14:textId="33B3FACA" w:rsidR="003F29CE" w:rsidRPr="002047BA" w:rsidRDefault="003F29CE" w:rsidP="003F29CE">
            <w:pPr>
              <w:jc w:val="right"/>
              <w:rPr>
                <w:rFonts w:ascii="Arial" w:hAnsi="Arial" w:cs="Arial"/>
                <w:sz w:val="16"/>
                <w:szCs w:val="16"/>
                <w:lang w:eastAsia="es-AR"/>
              </w:rPr>
            </w:pPr>
            <w:r>
              <w:rPr>
                <w:rFonts w:ascii="Arial" w:hAnsi="Arial" w:cs="Arial"/>
                <w:sz w:val="16"/>
                <w:szCs w:val="16"/>
              </w:rPr>
              <w:t>614.569</w:t>
            </w:r>
          </w:p>
        </w:tc>
        <w:tc>
          <w:tcPr>
            <w:tcW w:w="1066" w:type="dxa"/>
            <w:tcBorders>
              <w:top w:val="nil"/>
              <w:left w:val="nil"/>
              <w:bottom w:val="single" w:sz="4" w:space="0" w:color="auto"/>
              <w:right w:val="single" w:sz="4" w:space="0" w:color="auto"/>
            </w:tcBorders>
            <w:shd w:val="clear" w:color="auto" w:fill="auto"/>
            <w:noWrap/>
            <w:vAlign w:val="center"/>
          </w:tcPr>
          <w:p w14:paraId="51344263" w14:textId="1AA8D7C0"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602.709</w:t>
            </w:r>
          </w:p>
        </w:tc>
        <w:tc>
          <w:tcPr>
            <w:tcW w:w="1203" w:type="dxa"/>
            <w:gridSpan w:val="2"/>
            <w:tcBorders>
              <w:top w:val="nil"/>
              <w:left w:val="nil"/>
              <w:bottom w:val="single" w:sz="4" w:space="0" w:color="auto"/>
              <w:right w:val="single" w:sz="4" w:space="0" w:color="auto"/>
            </w:tcBorders>
            <w:shd w:val="clear" w:color="auto" w:fill="auto"/>
            <w:noWrap/>
            <w:vAlign w:val="center"/>
          </w:tcPr>
          <w:p w14:paraId="5CE3A276" w14:textId="5A699559" w:rsidR="003F29CE" w:rsidRPr="002047BA" w:rsidRDefault="003F29CE" w:rsidP="003F29CE">
            <w:pPr>
              <w:jc w:val="right"/>
              <w:rPr>
                <w:rFonts w:ascii="Arial" w:hAnsi="Arial" w:cs="Arial"/>
                <w:sz w:val="16"/>
                <w:szCs w:val="16"/>
                <w:lang w:eastAsia="es-AR"/>
              </w:rPr>
            </w:pPr>
            <w:r>
              <w:rPr>
                <w:rFonts w:ascii="Arial" w:hAnsi="Arial" w:cs="Arial"/>
                <w:sz w:val="16"/>
                <w:szCs w:val="16"/>
              </w:rPr>
              <w:t>92.958.805</w:t>
            </w:r>
          </w:p>
        </w:tc>
        <w:tc>
          <w:tcPr>
            <w:tcW w:w="1272" w:type="dxa"/>
            <w:tcBorders>
              <w:top w:val="nil"/>
              <w:left w:val="nil"/>
              <w:bottom w:val="single" w:sz="4" w:space="0" w:color="auto"/>
              <w:right w:val="single" w:sz="4" w:space="0" w:color="auto"/>
            </w:tcBorders>
            <w:shd w:val="clear" w:color="auto" w:fill="auto"/>
            <w:noWrap/>
            <w:vAlign w:val="center"/>
          </w:tcPr>
          <w:p w14:paraId="23DC622F" w14:textId="1F9364CE" w:rsidR="003F29CE" w:rsidRPr="00534414" w:rsidRDefault="003F29CE" w:rsidP="003F29CE">
            <w:pPr>
              <w:jc w:val="right"/>
              <w:rPr>
                <w:rFonts w:ascii="Arial" w:hAnsi="Arial" w:cs="Arial"/>
                <w:sz w:val="16"/>
                <w:szCs w:val="16"/>
              </w:rPr>
            </w:pPr>
            <w:r>
              <w:rPr>
                <w:rFonts w:ascii="Arial" w:hAnsi="Arial" w:cs="Arial"/>
                <w:sz w:val="16"/>
                <w:szCs w:val="16"/>
              </w:rPr>
              <w:t>91.559.624</w:t>
            </w:r>
          </w:p>
        </w:tc>
      </w:tr>
      <w:tr w:rsidR="003F29CE" w:rsidRPr="006F2033" w14:paraId="7F673B81"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CDBC8C0"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Commodities</w:t>
            </w:r>
          </w:p>
        </w:tc>
        <w:tc>
          <w:tcPr>
            <w:tcW w:w="1198" w:type="dxa"/>
            <w:tcBorders>
              <w:top w:val="nil"/>
              <w:left w:val="nil"/>
              <w:bottom w:val="single" w:sz="4" w:space="0" w:color="auto"/>
              <w:right w:val="single" w:sz="4" w:space="0" w:color="auto"/>
            </w:tcBorders>
            <w:shd w:val="clear" w:color="auto" w:fill="auto"/>
            <w:noWrap/>
            <w:vAlign w:val="center"/>
          </w:tcPr>
          <w:p w14:paraId="76B15FB7" w14:textId="748EF4C5" w:rsidR="003F29CE" w:rsidRPr="002047BA" w:rsidRDefault="003F29CE" w:rsidP="003F29CE">
            <w:pPr>
              <w:jc w:val="right"/>
              <w:rPr>
                <w:rFonts w:ascii="Arial" w:hAnsi="Arial" w:cs="Arial"/>
                <w:sz w:val="16"/>
                <w:szCs w:val="16"/>
                <w:lang w:eastAsia="es-AR"/>
              </w:rPr>
            </w:pPr>
            <w:r>
              <w:rPr>
                <w:rFonts w:ascii="Arial" w:hAnsi="Arial" w:cs="Arial"/>
                <w:sz w:val="16"/>
                <w:szCs w:val="16"/>
              </w:rPr>
              <w:t>32.985</w:t>
            </w:r>
          </w:p>
        </w:tc>
        <w:tc>
          <w:tcPr>
            <w:tcW w:w="1134" w:type="dxa"/>
            <w:tcBorders>
              <w:top w:val="nil"/>
              <w:left w:val="nil"/>
              <w:bottom w:val="single" w:sz="4" w:space="0" w:color="auto"/>
              <w:right w:val="single" w:sz="4" w:space="0" w:color="auto"/>
            </w:tcBorders>
            <w:shd w:val="clear" w:color="auto" w:fill="auto"/>
            <w:noWrap/>
            <w:vAlign w:val="center"/>
          </w:tcPr>
          <w:p w14:paraId="0DB1D3E3" w14:textId="2B5123C7"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22.680</w:t>
            </w:r>
          </w:p>
        </w:tc>
        <w:tc>
          <w:tcPr>
            <w:tcW w:w="1062" w:type="dxa"/>
            <w:gridSpan w:val="2"/>
            <w:tcBorders>
              <w:top w:val="nil"/>
              <w:left w:val="nil"/>
              <w:bottom w:val="single" w:sz="4" w:space="0" w:color="auto"/>
              <w:right w:val="single" w:sz="4" w:space="0" w:color="auto"/>
            </w:tcBorders>
            <w:shd w:val="clear" w:color="auto" w:fill="auto"/>
            <w:noWrap/>
            <w:vAlign w:val="center"/>
          </w:tcPr>
          <w:p w14:paraId="7A1A6E39" w14:textId="62D646A8" w:rsidR="003F29CE" w:rsidRPr="002047BA" w:rsidRDefault="003F29CE" w:rsidP="003F29CE">
            <w:pPr>
              <w:jc w:val="right"/>
              <w:rPr>
                <w:rFonts w:ascii="Arial" w:hAnsi="Arial" w:cs="Arial"/>
                <w:sz w:val="16"/>
                <w:szCs w:val="16"/>
                <w:lang w:eastAsia="es-AR"/>
              </w:rPr>
            </w:pPr>
            <w:r>
              <w:rPr>
                <w:rFonts w:ascii="Arial" w:hAnsi="Arial" w:cs="Arial"/>
                <w:sz w:val="16"/>
                <w:szCs w:val="16"/>
              </w:rPr>
              <w:t>22.529</w:t>
            </w:r>
          </w:p>
        </w:tc>
        <w:tc>
          <w:tcPr>
            <w:tcW w:w="1066" w:type="dxa"/>
            <w:tcBorders>
              <w:top w:val="nil"/>
              <w:left w:val="nil"/>
              <w:bottom w:val="single" w:sz="4" w:space="0" w:color="auto"/>
              <w:right w:val="single" w:sz="4" w:space="0" w:color="auto"/>
            </w:tcBorders>
            <w:shd w:val="clear" w:color="auto" w:fill="auto"/>
            <w:noWrap/>
            <w:vAlign w:val="center"/>
          </w:tcPr>
          <w:p w14:paraId="63037AD7" w14:textId="5161922B"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14.653</w:t>
            </w:r>
          </w:p>
        </w:tc>
        <w:tc>
          <w:tcPr>
            <w:tcW w:w="1203" w:type="dxa"/>
            <w:gridSpan w:val="2"/>
            <w:tcBorders>
              <w:top w:val="nil"/>
              <w:left w:val="nil"/>
              <w:bottom w:val="single" w:sz="4" w:space="0" w:color="auto"/>
              <w:right w:val="single" w:sz="4" w:space="0" w:color="auto"/>
            </w:tcBorders>
            <w:shd w:val="clear" w:color="auto" w:fill="auto"/>
            <w:noWrap/>
            <w:vAlign w:val="center"/>
          </w:tcPr>
          <w:p w14:paraId="178C66F2" w14:textId="27314E1E" w:rsidR="003F29CE" w:rsidRPr="002047BA" w:rsidRDefault="003F29CE" w:rsidP="003F29CE">
            <w:pPr>
              <w:jc w:val="right"/>
              <w:rPr>
                <w:rFonts w:ascii="Arial" w:hAnsi="Arial" w:cs="Arial"/>
                <w:sz w:val="16"/>
                <w:szCs w:val="16"/>
                <w:lang w:eastAsia="es-AR"/>
              </w:rPr>
            </w:pPr>
            <w:r>
              <w:rPr>
                <w:rFonts w:ascii="Arial" w:hAnsi="Arial" w:cs="Arial"/>
                <w:sz w:val="16"/>
                <w:szCs w:val="16"/>
              </w:rPr>
              <w:t>3.962.046</w:t>
            </w:r>
          </w:p>
        </w:tc>
        <w:tc>
          <w:tcPr>
            <w:tcW w:w="1272" w:type="dxa"/>
            <w:tcBorders>
              <w:top w:val="nil"/>
              <w:left w:val="nil"/>
              <w:bottom w:val="single" w:sz="4" w:space="0" w:color="auto"/>
              <w:right w:val="single" w:sz="4" w:space="0" w:color="auto"/>
            </w:tcBorders>
            <w:shd w:val="clear" w:color="auto" w:fill="auto"/>
            <w:noWrap/>
            <w:vAlign w:val="center"/>
          </w:tcPr>
          <w:p w14:paraId="0056076B" w14:textId="298EAE37" w:rsidR="003F29CE" w:rsidRPr="00534414" w:rsidRDefault="003F29CE" w:rsidP="003F29CE">
            <w:pPr>
              <w:jc w:val="right"/>
              <w:rPr>
                <w:rFonts w:ascii="Arial" w:hAnsi="Arial" w:cs="Arial"/>
                <w:sz w:val="16"/>
                <w:szCs w:val="16"/>
              </w:rPr>
            </w:pPr>
            <w:r>
              <w:rPr>
                <w:rFonts w:ascii="Arial" w:hAnsi="Arial" w:cs="Arial"/>
                <w:sz w:val="16"/>
                <w:szCs w:val="16"/>
              </w:rPr>
              <w:t>2.596.034</w:t>
            </w:r>
          </w:p>
        </w:tc>
      </w:tr>
      <w:tr w:rsidR="003F29CE" w:rsidRPr="006F2033" w14:paraId="10A95534"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662C771"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Capital</w:t>
            </w:r>
          </w:p>
        </w:tc>
        <w:tc>
          <w:tcPr>
            <w:tcW w:w="1198" w:type="dxa"/>
            <w:tcBorders>
              <w:top w:val="nil"/>
              <w:left w:val="nil"/>
              <w:bottom w:val="single" w:sz="4" w:space="0" w:color="auto"/>
              <w:right w:val="single" w:sz="4" w:space="0" w:color="auto"/>
            </w:tcBorders>
            <w:shd w:val="clear" w:color="auto" w:fill="auto"/>
            <w:noWrap/>
            <w:vAlign w:val="center"/>
          </w:tcPr>
          <w:p w14:paraId="0689FA6B" w14:textId="61BE3B3C" w:rsidR="003F29CE" w:rsidRPr="002047BA" w:rsidRDefault="003F29CE" w:rsidP="003F29CE">
            <w:pPr>
              <w:jc w:val="right"/>
              <w:rPr>
                <w:rFonts w:ascii="Arial" w:hAnsi="Arial" w:cs="Arial"/>
                <w:sz w:val="16"/>
                <w:szCs w:val="16"/>
                <w:lang w:eastAsia="es-AR"/>
              </w:rPr>
            </w:pPr>
            <w:r>
              <w:rPr>
                <w:rFonts w:ascii="Arial" w:hAnsi="Arial" w:cs="Arial"/>
                <w:sz w:val="16"/>
                <w:szCs w:val="16"/>
              </w:rPr>
              <w:t>126.697</w:t>
            </w:r>
          </w:p>
        </w:tc>
        <w:tc>
          <w:tcPr>
            <w:tcW w:w="1134" w:type="dxa"/>
            <w:tcBorders>
              <w:top w:val="nil"/>
              <w:left w:val="nil"/>
              <w:bottom w:val="single" w:sz="4" w:space="0" w:color="auto"/>
              <w:right w:val="single" w:sz="4" w:space="0" w:color="auto"/>
            </w:tcBorders>
            <w:shd w:val="clear" w:color="auto" w:fill="auto"/>
            <w:noWrap/>
            <w:vAlign w:val="center"/>
          </w:tcPr>
          <w:p w14:paraId="76588F78" w14:textId="59F36308"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139.125</w:t>
            </w:r>
          </w:p>
        </w:tc>
        <w:tc>
          <w:tcPr>
            <w:tcW w:w="1062" w:type="dxa"/>
            <w:gridSpan w:val="2"/>
            <w:tcBorders>
              <w:top w:val="nil"/>
              <w:left w:val="nil"/>
              <w:bottom w:val="single" w:sz="4" w:space="0" w:color="auto"/>
              <w:right w:val="single" w:sz="4" w:space="0" w:color="auto"/>
            </w:tcBorders>
            <w:shd w:val="clear" w:color="auto" w:fill="auto"/>
            <w:noWrap/>
            <w:vAlign w:val="center"/>
          </w:tcPr>
          <w:p w14:paraId="3E84DC10" w14:textId="692B1BDF" w:rsidR="003F29CE" w:rsidRPr="002047BA" w:rsidRDefault="003F29CE" w:rsidP="003F29CE">
            <w:pPr>
              <w:jc w:val="right"/>
              <w:rPr>
                <w:rFonts w:ascii="Arial" w:hAnsi="Arial" w:cs="Arial"/>
                <w:sz w:val="16"/>
                <w:szCs w:val="16"/>
                <w:lang w:eastAsia="es-AR"/>
              </w:rPr>
            </w:pPr>
            <w:r>
              <w:rPr>
                <w:rFonts w:ascii="Arial" w:hAnsi="Arial" w:cs="Arial"/>
                <w:sz w:val="16"/>
                <w:szCs w:val="16"/>
              </w:rPr>
              <w:t>126.519</w:t>
            </w:r>
          </w:p>
        </w:tc>
        <w:tc>
          <w:tcPr>
            <w:tcW w:w="1066" w:type="dxa"/>
            <w:tcBorders>
              <w:top w:val="nil"/>
              <w:left w:val="nil"/>
              <w:bottom w:val="single" w:sz="4" w:space="0" w:color="auto"/>
              <w:right w:val="single" w:sz="4" w:space="0" w:color="auto"/>
            </w:tcBorders>
            <w:shd w:val="clear" w:color="auto" w:fill="auto"/>
            <w:noWrap/>
            <w:vAlign w:val="center"/>
          </w:tcPr>
          <w:p w14:paraId="09FB3A31" w14:textId="35D91E6B"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138.758</w:t>
            </w:r>
          </w:p>
        </w:tc>
        <w:tc>
          <w:tcPr>
            <w:tcW w:w="1203" w:type="dxa"/>
            <w:gridSpan w:val="2"/>
            <w:tcBorders>
              <w:top w:val="nil"/>
              <w:left w:val="nil"/>
              <w:bottom w:val="single" w:sz="4" w:space="0" w:color="auto"/>
              <w:right w:val="single" w:sz="4" w:space="0" w:color="auto"/>
            </w:tcBorders>
            <w:shd w:val="clear" w:color="auto" w:fill="auto"/>
            <w:noWrap/>
            <w:vAlign w:val="center"/>
          </w:tcPr>
          <w:p w14:paraId="05F41E41" w14:textId="6570B1A1" w:rsidR="003F29CE" w:rsidRPr="002047BA" w:rsidRDefault="003F29CE" w:rsidP="003F29CE">
            <w:pPr>
              <w:jc w:val="right"/>
              <w:rPr>
                <w:rFonts w:ascii="Arial" w:hAnsi="Arial" w:cs="Arial"/>
                <w:sz w:val="16"/>
                <w:szCs w:val="16"/>
                <w:lang w:eastAsia="es-AR"/>
              </w:rPr>
            </w:pPr>
            <w:r>
              <w:rPr>
                <w:rFonts w:ascii="Arial" w:hAnsi="Arial" w:cs="Arial"/>
                <w:sz w:val="16"/>
                <w:szCs w:val="16"/>
              </w:rPr>
              <w:t>31.739.096</w:t>
            </w:r>
          </w:p>
        </w:tc>
        <w:tc>
          <w:tcPr>
            <w:tcW w:w="1272" w:type="dxa"/>
            <w:tcBorders>
              <w:top w:val="nil"/>
              <w:left w:val="nil"/>
              <w:bottom w:val="single" w:sz="4" w:space="0" w:color="auto"/>
              <w:right w:val="single" w:sz="4" w:space="0" w:color="auto"/>
            </w:tcBorders>
            <w:shd w:val="clear" w:color="auto" w:fill="auto"/>
            <w:noWrap/>
            <w:vAlign w:val="center"/>
          </w:tcPr>
          <w:p w14:paraId="01395CCA" w14:textId="2F5B679F" w:rsidR="003F29CE" w:rsidRPr="00534414" w:rsidRDefault="003F29CE" w:rsidP="003F29CE">
            <w:pPr>
              <w:jc w:val="right"/>
              <w:rPr>
                <w:rFonts w:ascii="Arial" w:hAnsi="Arial" w:cs="Arial"/>
                <w:sz w:val="16"/>
                <w:szCs w:val="16"/>
              </w:rPr>
            </w:pPr>
            <w:r>
              <w:rPr>
                <w:rFonts w:ascii="Arial" w:hAnsi="Arial" w:cs="Arial"/>
                <w:sz w:val="16"/>
                <w:szCs w:val="16"/>
              </w:rPr>
              <w:t>36.057.519</w:t>
            </w:r>
          </w:p>
        </w:tc>
      </w:tr>
      <w:tr w:rsidR="003F29CE" w:rsidRPr="006F2033" w14:paraId="5C51077E"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4B3658A0"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Inversión</w:t>
            </w:r>
          </w:p>
        </w:tc>
        <w:tc>
          <w:tcPr>
            <w:tcW w:w="1198" w:type="dxa"/>
            <w:tcBorders>
              <w:top w:val="nil"/>
              <w:left w:val="nil"/>
              <w:bottom w:val="single" w:sz="4" w:space="0" w:color="auto"/>
              <w:right w:val="single" w:sz="4" w:space="0" w:color="auto"/>
            </w:tcBorders>
            <w:shd w:val="clear" w:color="auto" w:fill="auto"/>
            <w:noWrap/>
            <w:vAlign w:val="center"/>
          </w:tcPr>
          <w:p w14:paraId="7EF2C1F5" w14:textId="60A31B72" w:rsidR="003F29CE" w:rsidRPr="002047BA" w:rsidRDefault="003F29CE" w:rsidP="003F29CE">
            <w:pPr>
              <w:jc w:val="right"/>
              <w:rPr>
                <w:rFonts w:ascii="Arial" w:hAnsi="Arial" w:cs="Arial"/>
                <w:sz w:val="16"/>
                <w:szCs w:val="16"/>
                <w:lang w:eastAsia="es-AR"/>
              </w:rPr>
            </w:pPr>
            <w:r>
              <w:rPr>
                <w:rFonts w:ascii="Arial" w:hAnsi="Arial" w:cs="Arial"/>
                <w:sz w:val="16"/>
                <w:szCs w:val="16"/>
              </w:rPr>
              <w:t>288.467</w:t>
            </w:r>
          </w:p>
        </w:tc>
        <w:tc>
          <w:tcPr>
            <w:tcW w:w="1134" w:type="dxa"/>
            <w:tcBorders>
              <w:top w:val="nil"/>
              <w:left w:val="nil"/>
              <w:bottom w:val="single" w:sz="4" w:space="0" w:color="auto"/>
              <w:right w:val="single" w:sz="4" w:space="0" w:color="auto"/>
            </w:tcBorders>
            <w:shd w:val="clear" w:color="auto" w:fill="auto"/>
            <w:noWrap/>
            <w:vAlign w:val="center"/>
          </w:tcPr>
          <w:p w14:paraId="4207D5A1" w14:textId="6C60D8B3"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145.918</w:t>
            </w:r>
          </w:p>
        </w:tc>
        <w:tc>
          <w:tcPr>
            <w:tcW w:w="1062" w:type="dxa"/>
            <w:gridSpan w:val="2"/>
            <w:tcBorders>
              <w:top w:val="nil"/>
              <w:left w:val="nil"/>
              <w:bottom w:val="single" w:sz="4" w:space="0" w:color="auto"/>
              <w:right w:val="single" w:sz="4" w:space="0" w:color="auto"/>
            </w:tcBorders>
            <w:shd w:val="clear" w:color="auto" w:fill="auto"/>
            <w:noWrap/>
            <w:vAlign w:val="center"/>
          </w:tcPr>
          <w:p w14:paraId="419B649E" w14:textId="5A6647A2" w:rsidR="003F29CE" w:rsidRPr="002047BA" w:rsidRDefault="003F29CE" w:rsidP="003F29CE">
            <w:pPr>
              <w:jc w:val="right"/>
              <w:rPr>
                <w:rFonts w:ascii="Arial" w:hAnsi="Arial" w:cs="Arial"/>
                <w:sz w:val="16"/>
                <w:szCs w:val="16"/>
                <w:lang w:eastAsia="es-AR"/>
              </w:rPr>
            </w:pPr>
            <w:r>
              <w:rPr>
                <w:rFonts w:ascii="Arial" w:hAnsi="Arial" w:cs="Arial"/>
                <w:sz w:val="16"/>
                <w:szCs w:val="16"/>
              </w:rPr>
              <w:t>288.316</w:t>
            </w:r>
          </w:p>
        </w:tc>
        <w:tc>
          <w:tcPr>
            <w:tcW w:w="1066" w:type="dxa"/>
            <w:tcBorders>
              <w:top w:val="nil"/>
              <w:left w:val="nil"/>
              <w:bottom w:val="single" w:sz="4" w:space="0" w:color="auto"/>
              <w:right w:val="single" w:sz="4" w:space="0" w:color="auto"/>
            </w:tcBorders>
            <w:shd w:val="clear" w:color="auto" w:fill="auto"/>
            <w:noWrap/>
            <w:vAlign w:val="center"/>
          </w:tcPr>
          <w:p w14:paraId="016FE728" w14:textId="20D6EE64"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145.844</w:t>
            </w:r>
          </w:p>
        </w:tc>
        <w:tc>
          <w:tcPr>
            <w:tcW w:w="1203" w:type="dxa"/>
            <w:gridSpan w:val="2"/>
            <w:tcBorders>
              <w:top w:val="nil"/>
              <w:left w:val="nil"/>
              <w:bottom w:val="single" w:sz="4" w:space="0" w:color="auto"/>
              <w:right w:val="single" w:sz="4" w:space="0" w:color="auto"/>
            </w:tcBorders>
            <w:shd w:val="clear" w:color="auto" w:fill="auto"/>
            <w:noWrap/>
            <w:vAlign w:val="center"/>
          </w:tcPr>
          <w:p w14:paraId="3D039045" w14:textId="70843250" w:rsidR="003F29CE" w:rsidRPr="002047BA" w:rsidRDefault="003F29CE" w:rsidP="003F29CE">
            <w:pPr>
              <w:jc w:val="right"/>
              <w:rPr>
                <w:rFonts w:ascii="Arial" w:hAnsi="Arial" w:cs="Arial"/>
                <w:sz w:val="16"/>
                <w:szCs w:val="16"/>
                <w:lang w:eastAsia="es-AR"/>
              </w:rPr>
            </w:pPr>
            <w:r>
              <w:rPr>
                <w:rFonts w:ascii="Arial" w:hAnsi="Arial" w:cs="Arial"/>
                <w:sz w:val="16"/>
                <w:szCs w:val="16"/>
              </w:rPr>
              <w:t>852.107.518</w:t>
            </w:r>
          </w:p>
        </w:tc>
        <w:tc>
          <w:tcPr>
            <w:tcW w:w="1272" w:type="dxa"/>
            <w:tcBorders>
              <w:top w:val="nil"/>
              <w:left w:val="nil"/>
              <w:bottom w:val="single" w:sz="4" w:space="0" w:color="auto"/>
              <w:right w:val="single" w:sz="4" w:space="0" w:color="auto"/>
            </w:tcBorders>
            <w:shd w:val="clear" w:color="auto" w:fill="auto"/>
            <w:noWrap/>
            <w:vAlign w:val="center"/>
          </w:tcPr>
          <w:p w14:paraId="4CC27D62" w14:textId="1A8B2BEA" w:rsidR="003F29CE" w:rsidRPr="00534414" w:rsidRDefault="003F29CE" w:rsidP="003F29CE">
            <w:pPr>
              <w:jc w:val="right"/>
              <w:rPr>
                <w:rFonts w:ascii="Arial" w:hAnsi="Arial" w:cs="Arial"/>
                <w:sz w:val="16"/>
                <w:szCs w:val="16"/>
              </w:rPr>
            </w:pPr>
            <w:r>
              <w:rPr>
                <w:rFonts w:ascii="Arial" w:hAnsi="Arial" w:cs="Arial"/>
                <w:sz w:val="16"/>
                <w:szCs w:val="16"/>
              </w:rPr>
              <w:t>442.160.447</w:t>
            </w:r>
          </w:p>
        </w:tc>
      </w:tr>
      <w:tr w:rsidR="003F29CE" w:rsidRPr="006F2033" w14:paraId="6E0A3C92"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2B996662"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Balanceado</w:t>
            </w:r>
          </w:p>
        </w:tc>
        <w:tc>
          <w:tcPr>
            <w:tcW w:w="1198" w:type="dxa"/>
            <w:tcBorders>
              <w:top w:val="nil"/>
              <w:left w:val="nil"/>
              <w:bottom w:val="single" w:sz="4" w:space="0" w:color="auto"/>
              <w:right w:val="single" w:sz="4" w:space="0" w:color="auto"/>
            </w:tcBorders>
            <w:shd w:val="clear" w:color="auto" w:fill="auto"/>
            <w:noWrap/>
            <w:vAlign w:val="center"/>
          </w:tcPr>
          <w:p w14:paraId="36F98FE0" w14:textId="6820656E" w:rsidR="003F29CE" w:rsidRPr="002047BA" w:rsidRDefault="003F29CE" w:rsidP="003F29CE">
            <w:pPr>
              <w:jc w:val="right"/>
              <w:rPr>
                <w:rFonts w:ascii="Arial" w:hAnsi="Arial" w:cs="Arial"/>
                <w:sz w:val="16"/>
                <w:szCs w:val="16"/>
                <w:lang w:eastAsia="es-AR"/>
              </w:rPr>
            </w:pPr>
            <w:r>
              <w:rPr>
                <w:rFonts w:ascii="Arial" w:hAnsi="Arial" w:cs="Arial"/>
                <w:sz w:val="16"/>
                <w:szCs w:val="16"/>
              </w:rPr>
              <w:t>738.586</w:t>
            </w:r>
          </w:p>
        </w:tc>
        <w:tc>
          <w:tcPr>
            <w:tcW w:w="1134" w:type="dxa"/>
            <w:tcBorders>
              <w:top w:val="nil"/>
              <w:left w:val="nil"/>
              <w:bottom w:val="single" w:sz="4" w:space="0" w:color="auto"/>
              <w:right w:val="single" w:sz="4" w:space="0" w:color="auto"/>
            </w:tcBorders>
            <w:shd w:val="clear" w:color="auto" w:fill="auto"/>
            <w:noWrap/>
            <w:vAlign w:val="center"/>
          </w:tcPr>
          <w:p w14:paraId="1F1148C9" w14:textId="3DE01A5B"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672.523</w:t>
            </w:r>
          </w:p>
        </w:tc>
        <w:tc>
          <w:tcPr>
            <w:tcW w:w="1062" w:type="dxa"/>
            <w:gridSpan w:val="2"/>
            <w:tcBorders>
              <w:top w:val="nil"/>
              <w:left w:val="nil"/>
              <w:bottom w:val="single" w:sz="4" w:space="0" w:color="auto"/>
              <w:right w:val="single" w:sz="4" w:space="0" w:color="auto"/>
            </w:tcBorders>
            <w:shd w:val="clear" w:color="auto" w:fill="auto"/>
            <w:noWrap/>
            <w:vAlign w:val="center"/>
          </w:tcPr>
          <w:p w14:paraId="75221AA3" w14:textId="595FF664" w:rsidR="003F29CE" w:rsidRPr="002047BA" w:rsidRDefault="003F29CE" w:rsidP="003F29CE">
            <w:pPr>
              <w:jc w:val="right"/>
              <w:rPr>
                <w:rFonts w:ascii="Arial" w:hAnsi="Arial" w:cs="Arial"/>
                <w:sz w:val="16"/>
                <w:szCs w:val="16"/>
                <w:lang w:eastAsia="es-AR"/>
              </w:rPr>
            </w:pPr>
            <w:r>
              <w:rPr>
                <w:rFonts w:ascii="Arial" w:hAnsi="Arial" w:cs="Arial"/>
                <w:sz w:val="16"/>
                <w:szCs w:val="16"/>
              </w:rPr>
              <w:t>737.911</w:t>
            </w:r>
          </w:p>
        </w:tc>
        <w:tc>
          <w:tcPr>
            <w:tcW w:w="1066" w:type="dxa"/>
            <w:tcBorders>
              <w:top w:val="nil"/>
              <w:left w:val="nil"/>
              <w:bottom w:val="single" w:sz="4" w:space="0" w:color="auto"/>
              <w:right w:val="single" w:sz="4" w:space="0" w:color="auto"/>
            </w:tcBorders>
            <w:shd w:val="clear" w:color="auto" w:fill="auto"/>
            <w:noWrap/>
            <w:vAlign w:val="center"/>
          </w:tcPr>
          <w:p w14:paraId="3864D454" w14:textId="517C324B"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671.910</w:t>
            </w:r>
          </w:p>
        </w:tc>
        <w:tc>
          <w:tcPr>
            <w:tcW w:w="1203" w:type="dxa"/>
            <w:gridSpan w:val="2"/>
            <w:tcBorders>
              <w:top w:val="nil"/>
              <w:left w:val="nil"/>
              <w:bottom w:val="single" w:sz="4" w:space="0" w:color="auto"/>
              <w:right w:val="single" w:sz="4" w:space="0" w:color="auto"/>
            </w:tcBorders>
            <w:shd w:val="clear" w:color="auto" w:fill="auto"/>
            <w:noWrap/>
            <w:vAlign w:val="center"/>
          </w:tcPr>
          <w:p w14:paraId="0F3270C3" w14:textId="24A24A87" w:rsidR="003F29CE" w:rsidRPr="002047BA" w:rsidRDefault="003F29CE" w:rsidP="003F29CE">
            <w:pPr>
              <w:jc w:val="right"/>
              <w:rPr>
                <w:rFonts w:ascii="Arial" w:hAnsi="Arial" w:cs="Arial"/>
                <w:sz w:val="16"/>
                <w:szCs w:val="16"/>
                <w:lang w:eastAsia="es-AR"/>
              </w:rPr>
            </w:pPr>
            <w:r>
              <w:rPr>
                <w:rFonts w:ascii="Arial" w:hAnsi="Arial" w:cs="Arial"/>
                <w:sz w:val="16"/>
                <w:szCs w:val="16"/>
              </w:rPr>
              <w:t>249.317.925</w:t>
            </w:r>
          </w:p>
        </w:tc>
        <w:tc>
          <w:tcPr>
            <w:tcW w:w="1272" w:type="dxa"/>
            <w:tcBorders>
              <w:top w:val="nil"/>
              <w:left w:val="nil"/>
              <w:bottom w:val="single" w:sz="4" w:space="0" w:color="auto"/>
              <w:right w:val="single" w:sz="4" w:space="0" w:color="auto"/>
            </w:tcBorders>
            <w:shd w:val="clear" w:color="auto" w:fill="auto"/>
            <w:noWrap/>
            <w:vAlign w:val="center"/>
          </w:tcPr>
          <w:p w14:paraId="1D1C9EF1" w14:textId="0111EA60" w:rsidR="003F29CE" w:rsidRPr="00534414" w:rsidRDefault="003F29CE" w:rsidP="003F29CE">
            <w:pPr>
              <w:jc w:val="right"/>
              <w:rPr>
                <w:rFonts w:ascii="Arial" w:hAnsi="Arial" w:cs="Arial"/>
                <w:sz w:val="16"/>
                <w:szCs w:val="16"/>
              </w:rPr>
            </w:pPr>
            <w:r>
              <w:rPr>
                <w:rFonts w:ascii="Arial" w:hAnsi="Arial" w:cs="Arial"/>
                <w:sz w:val="16"/>
                <w:szCs w:val="16"/>
              </w:rPr>
              <w:t>249.317.925</w:t>
            </w:r>
          </w:p>
        </w:tc>
      </w:tr>
      <w:tr w:rsidR="003F29CE" w:rsidRPr="006F2033" w14:paraId="462EB504"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19C28FA6"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Mixta</w:t>
            </w:r>
          </w:p>
        </w:tc>
        <w:tc>
          <w:tcPr>
            <w:tcW w:w="1198" w:type="dxa"/>
            <w:tcBorders>
              <w:top w:val="nil"/>
              <w:left w:val="nil"/>
              <w:bottom w:val="single" w:sz="4" w:space="0" w:color="auto"/>
              <w:right w:val="single" w:sz="4" w:space="0" w:color="auto"/>
            </w:tcBorders>
            <w:shd w:val="clear" w:color="auto" w:fill="auto"/>
            <w:noWrap/>
            <w:vAlign w:val="center"/>
          </w:tcPr>
          <w:p w14:paraId="580D8847" w14:textId="2759035F" w:rsidR="003F29CE" w:rsidRPr="002047BA" w:rsidRDefault="003F29CE" w:rsidP="003F29CE">
            <w:pPr>
              <w:jc w:val="right"/>
              <w:rPr>
                <w:rFonts w:ascii="Arial" w:hAnsi="Arial" w:cs="Arial"/>
                <w:sz w:val="16"/>
                <w:szCs w:val="16"/>
                <w:lang w:eastAsia="es-AR"/>
              </w:rPr>
            </w:pPr>
            <w:r>
              <w:rPr>
                <w:rFonts w:ascii="Arial" w:hAnsi="Arial" w:cs="Arial"/>
                <w:sz w:val="16"/>
                <w:szCs w:val="16"/>
              </w:rPr>
              <w:t>214.792</w:t>
            </w:r>
          </w:p>
        </w:tc>
        <w:tc>
          <w:tcPr>
            <w:tcW w:w="1134" w:type="dxa"/>
            <w:tcBorders>
              <w:top w:val="nil"/>
              <w:left w:val="nil"/>
              <w:bottom w:val="single" w:sz="4" w:space="0" w:color="auto"/>
              <w:right w:val="single" w:sz="4" w:space="0" w:color="auto"/>
            </w:tcBorders>
            <w:shd w:val="clear" w:color="auto" w:fill="auto"/>
            <w:noWrap/>
            <w:vAlign w:val="center"/>
          </w:tcPr>
          <w:p w14:paraId="1A31F5BF" w14:textId="1CE32A95"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143.649</w:t>
            </w:r>
          </w:p>
        </w:tc>
        <w:tc>
          <w:tcPr>
            <w:tcW w:w="1062" w:type="dxa"/>
            <w:gridSpan w:val="2"/>
            <w:tcBorders>
              <w:top w:val="nil"/>
              <w:left w:val="nil"/>
              <w:bottom w:val="single" w:sz="4" w:space="0" w:color="auto"/>
              <w:right w:val="single" w:sz="4" w:space="0" w:color="auto"/>
            </w:tcBorders>
            <w:shd w:val="clear" w:color="auto" w:fill="auto"/>
            <w:noWrap/>
            <w:vAlign w:val="center"/>
          </w:tcPr>
          <w:p w14:paraId="09AD4DB9" w14:textId="51E557A7" w:rsidR="003F29CE" w:rsidRPr="002047BA" w:rsidRDefault="003F29CE" w:rsidP="003F29CE">
            <w:pPr>
              <w:jc w:val="right"/>
              <w:rPr>
                <w:rFonts w:ascii="Arial" w:hAnsi="Arial" w:cs="Arial"/>
                <w:sz w:val="16"/>
                <w:szCs w:val="16"/>
                <w:lang w:eastAsia="es-AR"/>
              </w:rPr>
            </w:pPr>
            <w:r>
              <w:rPr>
                <w:rFonts w:ascii="Arial" w:hAnsi="Arial" w:cs="Arial"/>
                <w:sz w:val="16"/>
                <w:szCs w:val="16"/>
              </w:rPr>
              <w:t>214.547</w:t>
            </w:r>
          </w:p>
        </w:tc>
        <w:tc>
          <w:tcPr>
            <w:tcW w:w="1066" w:type="dxa"/>
            <w:tcBorders>
              <w:top w:val="nil"/>
              <w:left w:val="nil"/>
              <w:bottom w:val="single" w:sz="4" w:space="0" w:color="auto"/>
              <w:right w:val="single" w:sz="4" w:space="0" w:color="auto"/>
            </w:tcBorders>
            <w:shd w:val="clear" w:color="auto" w:fill="auto"/>
            <w:noWrap/>
            <w:vAlign w:val="center"/>
          </w:tcPr>
          <w:p w14:paraId="588B618F" w14:textId="666088BB"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143.532</w:t>
            </w:r>
          </w:p>
        </w:tc>
        <w:tc>
          <w:tcPr>
            <w:tcW w:w="1203" w:type="dxa"/>
            <w:gridSpan w:val="2"/>
            <w:tcBorders>
              <w:top w:val="nil"/>
              <w:left w:val="nil"/>
              <w:bottom w:val="single" w:sz="4" w:space="0" w:color="auto"/>
              <w:right w:val="single" w:sz="4" w:space="0" w:color="auto"/>
            </w:tcBorders>
            <w:shd w:val="clear" w:color="auto" w:fill="auto"/>
            <w:noWrap/>
            <w:vAlign w:val="center"/>
          </w:tcPr>
          <w:p w14:paraId="762AA35B" w14:textId="206A550A" w:rsidR="003F29CE" w:rsidRPr="002047BA" w:rsidRDefault="003F29CE" w:rsidP="003F29CE">
            <w:pPr>
              <w:jc w:val="right"/>
              <w:rPr>
                <w:rFonts w:ascii="Arial" w:hAnsi="Arial" w:cs="Arial"/>
                <w:sz w:val="16"/>
                <w:szCs w:val="16"/>
                <w:lang w:eastAsia="es-AR"/>
              </w:rPr>
            </w:pPr>
            <w:r>
              <w:rPr>
                <w:rFonts w:ascii="Arial" w:hAnsi="Arial" w:cs="Arial"/>
                <w:sz w:val="16"/>
                <w:szCs w:val="16"/>
              </w:rPr>
              <w:t>104.502.581</w:t>
            </w:r>
          </w:p>
        </w:tc>
        <w:tc>
          <w:tcPr>
            <w:tcW w:w="1272" w:type="dxa"/>
            <w:tcBorders>
              <w:top w:val="nil"/>
              <w:left w:val="nil"/>
              <w:bottom w:val="single" w:sz="4" w:space="0" w:color="auto"/>
              <w:right w:val="single" w:sz="4" w:space="0" w:color="auto"/>
            </w:tcBorders>
            <w:shd w:val="clear" w:color="auto" w:fill="auto"/>
            <w:noWrap/>
            <w:vAlign w:val="center"/>
          </w:tcPr>
          <w:p w14:paraId="5CC9D64A" w14:textId="2A4D11B6" w:rsidR="003F29CE" w:rsidRPr="00534414" w:rsidRDefault="003F29CE" w:rsidP="003F29CE">
            <w:pPr>
              <w:jc w:val="right"/>
              <w:rPr>
                <w:rFonts w:ascii="Arial" w:hAnsi="Arial" w:cs="Arial"/>
                <w:sz w:val="16"/>
                <w:szCs w:val="16"/>
              </w:rPr>
            </w:pPr>
            <w:r>
              <w:rPr>
                <w:rFonts w:ascii="Arial" w:hAnsi="Arial" w:cs="Arial"/>
                <w:sz w:val="16"/>
                <w:szCs w:val="16"/>
              </w:rPr>
              <w:t>76.562.093</w:t>
            </w:r>
          </w:p>
        </w:tc>
      </w:tr>
      <w:tr w:rsidR="003F29CE" w:rsidRPr="006F2033" w14:paraId="0A31DFE3" w14:textId="77777777" w:rsidTr="002E1AF6">
        <w:trPr>
          <w:trHeight w:val="173"/>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08E33605"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Renta Mixta en Dólares</w:t>
            </w:r>
          </w:p>
        </w:tc>
        <w:tc>
          <w:tcPr>
            <w:tcW w:w="1198" w:type="dxa"/>
            <w:tcBorders>
              <w:top w:val="nil"/>
              <w:left w:val="nil"/>
              <w:bottom w:val="single" w:sz="4" w:space="0" w:color="auto"/>
              <w:right w:val="single" w:sz="4" w:space="0" w:color="auto"/>
            </w:tcBorders>
            <w:shd w:val="clear" w:color="auto" w:fill="auto"/>
            <w:noWrap/>
            <w:vAlign w:val="center"/>
          </w:tcPr>
          <w:p w14:paraId="0F9C0FF2" w14:textId="69AD4BFB" w:rsidR="003F29CE" w:rsidRPr="002047BA" w:rsidRDefault="003F29CE" w:rsidP="003F29CE">
            <w:pPr>
              <w:jc w:val="right"/>
              <w:rPr>
                <w:rFonts w:ascii="Arial" w:hAnsi="Arial" w:cs="Arial"/>
                <w:sz w:val="16"/>
                <w:szCs w:val="16"/>
                <w:lang w:eastAsia="es-AR"/>
              </w:rPr>
            </w:pPr>
            <w:r>
              <w:rPr>
                <w:rFonts w:ascii="Arial" w:hAnsi="Arial" w:cs="Arial"/>
                <w:sz w:val="16"/>
                <w:szCs w:val="16"/>
              </w:rPr>
              <w:t>107.987</w:t>
            </w:r>
          </w:p>
        </w:tc>
        <w:tc>
          <w:tcPr>
            <w:tcW w:w="1134" w:type="dxa"/>
            <w:tcBorders>
              <w:top w:val="nil"/>
              <w:left w:val="nil"/>
              <w:bottom w:val="single" w:sz="4" w:space="0" w:color="auto"/>
              <w:right w:val="single" w:sz="4" w:space="0" w:color="auto"/>
            </w:tcBorders>
            <w:shd w:val="clear" w:color="auto" w:fill="auto"/>
            <w:noWrap/>
            <w:vAlign w:val="center"/>
          </w:tcPr>
          <w:p w14:paraId="711C7E3E" w14:textId="3848C65C"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140.368</w:t>
            </w:r>
          </w:p>
        </w:tc>
        <w:tc>
          <w:tcPr>
            <w:tcW w:w="1062" w:type="dxa"/>
            <w:gridSpan w:val="2"/>
            <w:tcBorders>
              <w:top w:val="nil"/>
              <w:left w:val="nil"/>
              <w:bottom w:val="single" w:sz="4" w:space="0" w:color="auto"/>
              <w:right w:val="single" w:sz="4" w:space="0" w:color="auto"/>
            </w:tcBorders>
            <w:shd w:val="clear" w:color="auto" w:fill="auto"/>
            <w:noWrap/>
            <w:vAlign w:val="center"/>
          </w:tcPr>
          <w:p w14:paraId="6D240DBA" w14:textId="5AEE79A8" w:rsidR="003F29CE" w:rsidRPr="002047BA" w:rsidRDefault="003F29CE" w:rsidP="003F29CE">
            <w:pPr>
              <w:jc w:val="right"/>
              <w:rPr>
                <w:rFonts w:ascii="Arial" w:hAnsi="Arial" w:cs="Arial"/>
                <w:sz w:val="16"/>
                <w:szCs w:val="16"/>
                <w:lang w:eastAsia="es-AR"/>
              </w:rPr>
            </w:pPr>
            <w:r>
              <w:rPr>
                <w:rFonts w:ascii="Arial" w:hAnsi="Arial" w:cs="Arial"/>
                <w:sz w:val="16"/>
                <w:szCs w:val="16"/>
              </w:rPr>
              <w:t>107.471</w:t>
            </w:r>
          </w:p>
        </w:tc>
        <w:tc>
          <w:tcPr>
            <w:tcW w:w="1066" w:type="dxa"/>
            <w:tcBorders>
              <w:top w:val="nil"/>
              <w:left w:val="nil"/>
              <w:bottom w:val="single" w:sz="4" w:space="0" w:color="auto"/>
              <w:right w:val="single" w:sz="4" w:space="0" w:color="auto"/>
            </w:tcBorders>
            <w:shd w:val="clear" w:color="auto" w:fill="auto"/>
            <w:noWrap/>
            <w:vAlign w:val="center"/>
          </w:tcPr>
          <w:p w14:paraId="1B2F867E" w14:textId="09BE11C1" w:rsidR="003F29CE" w:rsidRPr="00525B17" w:rsidRDefault="003F29CE" w:rsidP="003F29CE">
            <w:pPr>
              <w:jc w:val="right"/>
              <w:rPr>
                <w:rFonts w:ascii="Arial" w:hAnsi="Arial" w:cs="Arial"/>
                <w:color w:val="000000"/>
                <w:sz w:val="16"/>
                <w:szCs w:val="16"/>
                <w:lang w:eastAsia="es-AR"/>
              </w:rPr>
            </w:pPr>
            <w:r>
              <w:rPr>
                <w:rFonts w:ascii="Arial" w:hAnsi="Arial" w:cs="Arial"/>
                <w:sz w:val="16"/>
                <w:szCs w:val="16"/>
              </w:rPr>
              <w:t>139.852</w:t>
            </w:r>
          </w:p>
        </w:tc>
        <w:tc>
          <w:tcPr>
            <w:tcW w:w="1203" w:type="dxa"/>
            <w:gridSpan w:val="2"/>
            <w:tcBorders>
              <w:top w:val="nil"/>
              <w:left w:val="nil"/>
              <w:bottom w:val="single" w:sz="4" w:space="0" w:color="auto"/>
              <w:right w:val="single" w:sz="4" w:space="0" w:color="auto"/>
            </w:tcBorders>
            <w:shd w:val="clear" w:color="auto" w:fill="auto"/>
            <w:noWrap/>
            <w:vAlign w:val="center"/>
          </w:tcPr>
          <w:p w14:paraId="0947553C" w14:textId="5BBBC5EB" w:rsidR="003F29CE" w:rsidRPr="002047BA" w:rsidRDefault="003F29CE" w:rsidP="003F29CE">
            <w:pPr>
              <w:jc w:val="right"/>
              <w:rPr>
                <w:rFonts w:ascii="Arial" w:hAnsi="Arial" w:cs="Arial"/>
                <w:sz w:val="16"/>
                <w:szCs w:val="16"/>
                <w:lang w:eastAsia="es-AR"/>
              </w:rPr>
            </w:pPr>
            <w:r>
              <w:rPr>
                <w:rFonts w:ascii="Arial" w:hAnsi="Arial" w:cs="Arial"/>
                <w:sz w:val="16"/>
                <w:szCs w:val="16"/>
              </w:rPr>
              <w:t>2.671.646</w:t>
            </w:r>
          </w:p>
        </w:tc>
        <w:tc>
          <w:tcPr>
            <w:tcW w:w="1272" w:type="dxa"/>
            <w:tcBorders>
              <w:top w:val="nil"/>
              <w:left w:val="nil"/>
              <w:bottom w:val="single" w:sz="4" w:space="0" w:color="auto"/>
              <w:right w:val="single" w:sz="4" w:space="0" w:color="auto"/>
            </w:tcBorders>
            <w:shd w:val="clear" w:color="auto" w:fill="auto"/>
            <w:noWrap/>
            <w:vAlign w:val="center"/>
          </w:tcPr>
          <w:p w14:paraId="109DA0E3" w14:textId="4DA4BA09" w:rsidR="003F29CE" w:rsidRPr="00534414" w:rsidRDefault="003F29CE" w:rsidP="003F29CE">
            <w:pPr>
              <w:jc w:val="right"/>
              <w:rPr>
                <w:rFonts w:ascii="Arial" w:hAnsi="Arial" w:cs="Arial"/>
                <w:sz w:val="16"/>
                <w:szCs w:val="16"/>
              </w:rPr>
            </w:pPr>
            <w:r>
              <w:rPr>
                <w:rFonts w:ascii="Arial" w:hAnsi="Arial" w:cs="Arial"/>
                <w:sz w:val="16"/>
                <w:szCs w:val="16"/>
              </w:rPr>
              <w:t>2.815.589</w:t>
            </w:r>
          </w:p>
        </w:tc>
      </w:tr>
      <w:tr w:rsidR="003F29CE" w:rsidRPr="006F2033" w14:paraId="3DD71190"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tcPr>
          <w:p w14:paraId="3666BC84" w14:textId="77777777" w:rsidR="003F29CE" w:rsidRPr="00EC349E" w:rsidRDefault="003F29CE" w:rsidP="003F29CE">
            <w:pPr>
              <w:rPr>
                <w:rFonts w:ascii="Arial" w:hAnsi="Arial" w:cs="Arial"/>
                <w:color w:val="000000"/>
                <w:sz w:val="16"/>
                <w:szCs w:val="18"/>
                <w:lang w:eastAsia="es-AR"/>
              </w:rPr>
            </w:pPr>
            <w:r w:rsidRPr="00EC349E">
              <w:rPr>
                <w:rFonts w:ascii="Arial" w:hAnsi="Arial" w:cs="Arial"/>
                <w:color w:val="000000"/>
                <w:sz w:val="16"/>
                <w:szCs w:val="18"/>
                <w:lang w:eastAsia="es-AR"/>
              </w:rPr>
              <w:t>Premier Performance Dólares</w:t>
            </w:r>
          </w:p>
        </w:tc>
        <w:tc>
          <w:tcPr>
            <w:tcW w:w="1198" w:type="dxa"/>
            <w:tcBorders>
              <w:top w:val="nil"/>
              <w:left w:val="nil"/>
              <w:bottom w:val="single" w:sz="4" w:space="0" w:color="auto"/>
              <w:right w:val="single" w:sz="4" w:space="0" w:color="auto"/>
            </w:tcBorders>
            <w:shd w:val="clear" w:color="auto" w:fill="auto"/>
            <w:noWrap/>
            <w:vAlign w:val="center"/>
          </w:tcPr>
          <w:p w14:paraId="1E5ADE82" w14:textId="4381DA2A" w:rsidR="003F29CE" w:rsidRPr="002047BA" w:rsidRDefault="003F29CE" w:rsidP="003F29CE">
            <w:pPr>
              <w:jc w:val="right"/>
              <w:rPr>
                <w:rFonts w:ascii="Arial" w:hAnsi="Arial" w:cs="Arial"/>
                <w:sz w:val="16"/>
                <w:szCs w:val="16"/>
              </w:rPr>
            </w:pPr>
            <w:r>
              <w:rPr>
                <w:rFonts w:ascii="Arial" w:hAnsi="Arial" w:cs="Arial"/>
                <w:sz w:val="16"/>
                <w:szCs w:val="16"/>
              </w:rPr>
              <w:t>465.278</w:t>
            </w:r>
          </w:p>
        </w:tc>
        <w:tc>
          <w:tcPr>
            <w:tcW w:w="1134" w:type="dxa"/>
            <w:tcBorders>
              <w:top w:val="nil"/>
              <w:left w:val="nil"/>
              <w:bottom w:val="single" w:sz="4" w:space="0" w:color="auto"/>
              <w:right w:val="single" w:sz="4" w:space="0" w:color="auto"/>
            </w:tcBorders>
            <w:shd w:val="clear" w:color="auto" w:fill="auto"/>
            <w:noWrap/>
            <w:vAlign w:val="center"/>
          </w:tcPr>
          <w:p w14:paraId="1F16F0CE" w14:textId="679B5080" w:rsidR="003F29CE" w:rsidRPr="00534414" w:rsidRDefault="003F29CE" w:rsidP="003F29CE">
            <w:pPr>
              <w:jc w:val="right"/>
              <w:rPr>
                <w:rFonts w:ascii="Arial" w:hAnsi="Arial" w:cs="Arial"/>
                <w:sz w:val="16"/>
                <w:szCs w:val="16"/>
              </w:rPr>
            </w:pPr>
            <w:r>
              <w:rPr>
                <w:rFonts w:ascii="Arial" w:hAnsi="Arial" w:cs="Arial"/>
                <w:sz w:val="16"/>
                <w:szCs w:val="16"/>
              </w:rPr>
              <w:t>489.287</w:t>
            </w:r>
          </w:p>
        </w:tc>
        <w:tc>
          <w:tcPr>
            <w:tcW w:w="1062" w:type="dxa"/>
            <w:gridSpan w:val="2"/>
            <w:tcBorders>
              <w:top w:val="nil"/>
              <w:left w:val="nil"/>
              <w:bottom w:val="single" w:sz="4" w:space="0" w:color="auto"/>
              <w:right w:val="single" w:sz="4" w:space="0" w:color="auto"/>
            </w:tcBorders>
            <w:shd w:val="clear" w:color="auto" w:fill="auto"/>
            <w:noWrap/>
            <w:vAlign w:val="center"/>
          </w:tcPr>
          <w:p w14:paraId="4E20BE91" w14:textId="4C6C3722" w:rsidR="003F29CE" w:rsidRPr="002047BA" w:rsidRDefault="003F29CE" w:rsidP="003F29CE">
            <w:pPr>
              <w:jc w:val="right"/>
              <w:rPr>
                <w:rFonts w:ascii="Arial" w:hAnsi="Arial" w:cs="Arial"/>
                <w:sz w:val="16"/>
                <w:szCs w:val="16"/>
              </w:rPr>
            </w:pPr>
            <w:r>
              <w:rPr>
                <w:rFonts w:ascii="Arial" w:hAnsi="Arial" w:cs="Arial"/>
                <w:sz w:val="16"/>
                <w:szCs w:val="16"/>
              </w:rPr>
              <w:t>464.762</w:t>
            </w:r>
          </w:p>
        </w:tc>
        <w:tc>
          <w:tcPr>
            <w:tcW w:w="1066" w:type="dxa"/>
            <w:tcBorders>
              <w:top w:val="nil"/>
              <w:left w:val="nil"/>
              <w:bottom w:val="single" w:sz="4" w:space="0" w:color="auto"/>
              <w:right w:val="single" w:sz="4" w:space="0" w:color="auto"/>
            </w:tcBorders>
            <w:shd w:val="clear" w:color="auto" w:fill="auto"/>
            <w:noWrap/>
            <w:vAlign w:val="center"/>
          </w:tcPr>
          <w:p w14:paraId="593B8F33" w14:textId="6E8BFE1F" w:rsidR="003F29CE" w:rsidRPr="00534414" w:rsidRDefault="003F29CE" w:rsidP="003F29CE">
            <w:pPr>
              <w:jc w:val="right"/>
              <w:rPr>
                <w:rFonts w:ascii="Arial" w:hAnsi="Arial" w:cs="Arial"/>
                <w:sz w:val="16"/>
                <w:szCs w:val="16"/>
              </w:rPr>
            </w:pPr>
            <w:r>
              <w:rPr>
                <w:rFonts w:ascii="Arial" w:hAnsi="Arial" w:cs="Arial"/>
                <w:sz w:val="16"/>
                <w:szCs w:val="16"/>
              </w:rPr>
              <w:t>488.190</w:t>
            </w:r>
          </w:p>
        </w:tc>
        <w:tc>
          <w:tcPr>
            <w:tcW w:w="1203" w:type="dxa"/>
            <w:gridSpan w:val="2"/>
            <w:tcBorders>
              <w:top w:val="nil"/>
              <w:left w:val="nil"/>
              <w:bottom w:val="single" w:sz="4" w:space="0" w:color="auto"/>
              <w:right w:val="single" w:sz="4" w:space="0" w:color="auto"/>
            </w:tcBorders>
            <w:shd w:val="clear" w:color="auto" w:fill="auto"/>
            <w:noWrap/>
            <w:vAlign w:val="center"/>
          </w:tcPr>
          <w:p w14:paraId="5CF17F27" w14:textId="0BA0E540" w:rsidR="003F29CE" w:rsidRPr="002047BA" w:rsidRDefault="003F29CE" w:rsidP="003F29CE">
            <w:pPr>
              <w:jc w:val="right"/>
              <w:rPr>
                <w:rFonts w:ascii="Arial" w:hAnsi="Arial" w:cs="Arial"/>
                <w:sz w:val="16"/>
                <w:szCs w:val="16"/>
              </w:rPr>
            </w:pPr>
            <w:r>
              <w:rPr>
                <w:rFonts w:ascii="Arial" w:hAnsi="Arial" w:cs="Arial"/>
                <w:sz w:val="16"/>
                <w:szCs w:val="16"/>
              </w:rPr>
              <w:t>8.883.822</w:t>
            </w:r>
          </w:p>
        </w:tc>
        <w:tc>
          <w:tcPr>
            <w:tcW w:w="1272" w:type="dxa"/>
            <w:tcBorders>
              <w:top w:val="nil"/>
              <w:left w:val="nil"/>
              <w:bottom w:val="single" w:sz="4" w:space="0" w:color="auto"/>
              <w:right w:val="single" w:sz="4" w:space="0" w:color="auto"/>
            </w:tcBorders>
            <w:shd w:val="clear" w:color="auto" w:fill="auto"/>
            <w:noWrap/>
            <w:vAlign w:val="center"/>
          </w:tcPr>
          <w:p w14:paraId="37A7DD06" w14:textId="368770A3" w:rsidR="003F29CE" w:rsidRPr="00534414" w:rsidRDefault="003F29CE" w:rsidP="003F29CE">
            <w:pPr>
              <w:jc w:val="right"/>
              <w:rPr>
                <w:rFonts w:ascii="Arial" w:hAnsi="Arial" w:cs="Arial"/>
                <w:sz w:val="16"/>
                <w:szCs w:val="16"/>
              </w:rPr>
            </w:pPr>
            <w:r>
              <w:rPr>
                <w:rFonts w:ascii="Arial" w:hAnsi="Arial" w:cs="Arial"/>
                <w:sz w:val="16"/>
                <w:szCs w:val="16"/>
              </w:rPr>
              <w:t>9.312.208</w:t>
            </w:r>
          </w:p>
        </w:tc>
      </w:tr>
      <w:tr w:rsidR="003F29CE" w:rsidRPr="006F2033" w14:paraId="21654081" w14:textId="77777777" w:rsidTr="002E1AF6">
        <w:trPr>
          <w:trHeight w:val="184"/>
        </w:trPr>
        <w:tc>
          <w:tcPr>
            <w:tcW w:w="2416" w:type="dxa"/>
            <w:tcBorders>
              <w:top w:val="nil"/>
              <w:left w:val="single" w:sz="4" w:space="0" w:color="auto"/>
              <w:bottom w:val="single" w:sz="4" w:space="0" w:color="auto"/>
              <w:right w:val="single" w:sz="4" w:space="0" w:color="auto"/>
            </w:tcBorders>
            <w:shd w:val="clear" w:color="auto" w:fill="auto"/>
            <w:noWrap/>
            <w:vAlign w:val="bottom"/>
          </w:tcPr>
          <w:p w14:paraId="7EC987BE" w14:textId="77777777" w:rsidR="003F29CE" w:rsidRPr="00EC349E" w:rsidRDefault="003F29CE" w:rsidP="003F29CE">
            <w:pPr>
              <w:rPr>
                <w:rFonts w:ascii="Arial" w:hAnsi="Arial" w:cs="Arial"/>
                <w:color w:val="000000"/>
                <w:sz w:val="16"/>
                <w:szCs w:val="18"/>
                <w:lang w:eastAsia="es-AR"/>
              </w:rPr>
            </w:pPr>
            <w:r w:rsidRPr="0066728C">
              <w:rPr>
                <w:rFonts w:ascii="Arial" w:hAnsi="Arial" w:cs="Arial"/>
                <w:color w:val="000000"/>
                <w:sz w:val="16"/>
                <w:szCs w:val="18"/>
                <w:lang w:eastAsia="es-AR"/>
              </w:rPr>
              <w:t>Premier Global USD</w:t>
            </w:r>
          </w:p>
        </w:tc>
        <w:tc>
          <w:tcPr>
            <w:tcW w:w="1198" w:type="dxa"/>
            <w:tcBorders>
              <w:top w:val="nil"/>
              <w:left w:val="nil"/>
              <w:bottom w:val="single" w:sz="4" w:space="0" w:color="auto"/>
              <w:right w:val="single" w:sz="4" w:space="0" w:color="auto"/>
            </w:tcBorders>
            <w:shd w:val="clear" w:color="auto" w:fill="auto"/>
            <w:noWrap/>
            <w:vAlign w:val="center"/>
          </w:tcPr>
          <w:p w14:paraId="14697A57" w14:textId="04F8F363" w:rsidR="003F29CE" w:rsidRPr="002047BA" w:rsidRDefault="003F29CE" w:rsidP="003F29CE">
            <w:pPr>
              <w:jc w:val="right"/>
              <w:rPr>
                <w:rFonts w:ascii="Arial" w:hAnsi="Arial" w:cs="Arial"/>
                <w:sz w:val="16"/>
                <w:szCs w:val="16"/>
                <w:lang w:eastAsia="es-AR"/>
              </w:rPr>
            </w:pPr>
            <w:r>
              <w:rPr>
                <w:rFonts w:ascii="Arial" w:hAnsi="Arial" w:cs="Arial"/>
                <w:sz w:val="16"/>
                <w:szCs w:val="16"/>
              </w:rPr>
              <w:t>656.302</w:t>
            </w:r>
          </w:p>
        </w:tc>
        <w:tc>
          <w:tcPr>
            <w:tcW w:w="1134" w:type="dxa"/>
            <w:tcBorders>
              <w:top w:val="nil"/>
              <w:left w:val="nil"/>
              <w:bottom w:val="single" w:sz="4" w:space="0" w:color="auto"/>
              <w:right w:val="single" w:sz="4" w:space="0" w:color="auto"/>
            </w:tcBorders>
            <w:shd w:val="clear" w:color="auto" w:fill="auto"/>
            <w:noWrap/>
            <w:vAlign w:val="center"/>
          </w:tcPr>
          <w:p w14:paraId="2D8707E4" w14:textId="5D9DCC18" w:rsidR="003F29CE" w:rsidRPr="0066728C" w:rsidRDefault="003F29CE" w:rsidP="003F29CE">
            <w:pPr>
              <w:jc w:val="right"/>
              <w:rPr>
                <w:rFonts w:ascii="Arial" w:hAnsi="Arial" w:cs="Arial"/>
                <w:sz w:val="16"/>
                <w:szCs w:val="16"/>
                <w:lang w:eastAsia="es-AR"/>
              </w:rPr>
            </w:pPr>
            <w:r>
              <w:rPr>
                <w:rFonts w:ascii="Arial" w:hAnsi="Arial" w:cs="Arial"/>
                <w:sz w:val="16"/>
                <w:szCs w:val="16"/>
              </w:rPr>
              <w:t>753.430</w:t>
            </w:r>
          </w:p>
        </w:tc>
        <w:tc>
          <w:tcPr>
            <w:tcW w:w="1062" w:type="dxa"/>
            <w:gridSpan w:val="2"/>
            <w:tcBorders>
              <w:top w:val="nil"/>
              <w:left w:val="nil"/>
              <w:bottom w:val="single" w:sz="4" w:space="0" w:color="auto"/>
              <w:right w:val="single" w:sz="4" w:space="0" w:color="auto"/>
            </w:tcBorders>
            <w:shd w:val="clear" w:color="auto" w:fill="auto"/>
            <w:noWrap/>
            <w:vAlign w:val="center"/>
          </w:tcPr>
          <w:p w14:paraId="304676B8" w14:textId="09AB983A" w:rsidR="003F29CE" w:rsidRPr="002047BA" w:rsidRDefault="003F29CE" w:rsidP="003F29CE">
            <w:pPr>
              <w:jc w:val="right"/>
              <w:rPr>
                <w:rFonts w:ascii="Arial" w:hAnsi="Arial" w:cs="Arial"/>
                <w:sz w:val="16"/>
                <w:szCs w:val="16"/>
                <w:lang w:eastAsia="es-AR"/>
              </w:rPr>
            </w:pPr>
            <w:r>
              <w:rPr>
                <w:rFonts w:ascii="Arial" w:hAnsi="Arial" w:cs="Arial"/>
                <w:sz w:val="16"/>
                <w:szCs w:val="16"/>
              </w:rPr>
              <w:t>655.850</w:t>
            </w:r>
          </w:p>
        </w:tc>
        <w:tc>
          <w:tcPr>
            <w:tcW w:w="1066" w:type="dxa"/>
            <w:tcBorders>
              <w:top w:val="nil"/>
              <w:left w:val="nil"/>
              <w:bottom w:val="single" w:sz="4" w:space="0" w:color="auto"/>
              <w:right w:val="single" w:sz="4" w:space="0" w:color="auto"/>
            </w:tcBorders>
            <w:shd w:val="clear" w:color="auto" w:fill="auto"/>
            <w:noWrap/>
            <w:vAlign w:val="center"/>
          </w:tcPr>
          <w:p w14:paraId="1A452FDC" w14:textId="16FBA4F1" w:rsidR="003F29CE" w:rsidRPr="0066728C" w:rsidRDefault="003F29CE" w:rsidP="003F29CE">
            <w:pPr>
              <w:jc w:val="right"/>
              <w:rPr>
                <w:rFonts w:ascii="Arial" w:hAnsi="Arial" w:cs="Arial"/>
                <w:sz w:val="16"/>
                <w:szCs w:val="16"/>
                <w:lang w:eastAsia="es-AR"/>
              </w:rPr>
            </w:pPr>
            <w:r>
              <w:rPr>
                <w:rFonts w:ascii="Arial" w:hAnsi="Arial" w:cs="Arial"/>
                <w:sz w:val="16"/>
                <w:szCs w:val="16"/>
              </w:rPr>
              <w:t>751.106</w:t>
            </w:r>
          </w:p>
        </w:tc>
        <w:tc>
          <w:tcPr>
            <w:tcW w:w="1203" w:type="dxa"/>
            <w:gridSpan w:val="2"/>
            <w:tcBorders>
              <w:top w:val="nil"/>
              <w:left w:val="nil"/>
              <w:bottom w:val="single" w:sz="4" w:space="0" w:color="auto"/>
              <w:right w:val="single" w:sz="4" w:space="0" w:color="auto"/>
            </w:tcBorders>
            <w:shd w:val="clear" w:color="auto" w:fill="auto"/>
            <w:noWrap/>
            <w:vAlign w:val="center"/>
          </w:tcPr>
          <w:p w14:paraId="6B49DB8B" w14:textId="4EF36A0C" w:rsidR="003F29CE" w:rsidRPr="002047BA" w:rsidRDefault="003F29CE" w:rsidP="003F29CE">
            <w:pPr>
              <w:jc w:val="right"/>
              <w:rPr>
                <w:rFonts w:ascii="Arial" w:hAnsi="Arial" w:cs="Arial"/>
                <w:sz w:val="16"/>
                <w:szCs w:val="16"/>
                <w:lang w:eastAsia="es-AR"/>
              </w:rPr>
            </w:pPr>
            <w:r>
              <w:rPr>
                <w:rFonts w:ascii="Arial" w:hAnsi="Arial" w:cs="Arial"/>
                <w:sz w:val="16"/>
                <w:szCs w:val="16"/>
              </w:rPr>
              <w:t>9.886.682</w:t>
            </w:r>
          </w:p>
        </w:tc>
        <w:tc>
          <w:tcPr>
            <w:tcW w:w="1272" w:type="dxa"/>
            <w:tcBorders>
              <w:top w:val="nil"/>
              <w:left w:val="nil"/>
              <w:bottom w:val="single" w:sz="4" w:space="0" w:color="auto"/>
              <w:right w:val="single" w:sz="4" w:space="0" w:color="auto"/>
            </w:tcBorders>
            <w:shd w:val="clear" w:color="auto" w:fill="auto"/>
            <w:noWrap/>
            <w:vAlign w:val="center"/>
          </w:tcPr>
          <w:p w14:paraId="0B784E6C" w14:textId="6B38268C" w:rsidR="003F29CE" w:rsidRPr="0066728C" w:rsidRDefault="003F29CE" w:rsidP="003F29CE">
            <w:pPr>
              <w:jc w:val="right"/>
              <w:rPr>
                <w:rFonts w:ascii="Arial" w:hAnsi="Arial" w:cs="Arial"/>
                <w:sz w:val="16"/>
                <w:szCs w:val="16"/>
              </w:rPr>
            </w:pPr>
            <w:r>
              <w:rPr>
                <w:rFonts w:ascii="Arial" w:hAnsi="Arial" w:cs="Arial"/>
                <w:sz w:val="16"/>
                <w:szCs w:val="16"/>
              </w:rPr>
              <w:t>11.338.023</w:t>
            </w:r>
          </w:p>
        </w:tc>
      </w:tr>
      <w:bookmarkEnd w:id="47"/>
    </w:tbl>
    <w:p w14:paraId="23E5F2C1" w14:textId="479E9EB8" w:rsidR="007E42BC" w:rsidRDefault="007E42BC" w:rsidP="00D242BF">
      <w:pPr>
        <w:tabs>
          <w:tab w:val="left" w:pos="142"/>
        </w:tabs>
        <w:jc w:val="both"/>
        <w:rPr>
          <w:rFonts w:ascii="Arial" w:hAnsi="Arial" w:cs="Arial"/>
          <w:sz w:val="20"/>
        </w:rPr>
      </w:pPr>
    </w:p>
    <w:p w14:paraId="1469CAFD" w14:textId="77777777" w:rsidR="002A4E51" w:rsidRPr="00701F32" w:rsidRDefault="002A4E51" w:rsidP="00D242BF">
      <w:pPr>
        <w:tabs>
          <w:tab w:val="left" w:pos="142"/>
        </w:tabs>
        <w:jc w:val="both"/>
        <w:rPr>
          <w:rFonts w:ascii="Arial" w:hAnsi="Arial" w:cs="Arial"/>
          <w:sz w:val="20"/>
        </w:rPr>
      </w:pPr>
    </w:p>
    <w:p w14:paraId="4583C8D8" w14:textId="3ADFDCC5" w:rsidR="00656E62" w:rsidRPr="00701F32" w:rsidRDefault="00D17399" w:rsidP="00656E62">
      <w:pPr>
        <w:widowControl w:val="0"/>
        <w:autoSpaceDE w:val="0"/>
        <w:autoSpaceDN w:val="0"/>
        <w:adjustRightInd w:val="0"/>
        <w:jc w:val="both"/>
        <w:rPr>
          <w:rFonts w:ascii="Arial" w:hAnsi="Arial" w:cs="Arial"/>
          <w:b/>
          <w:noProof/>
          <w:sz w:val="20"/>
        </w:rPr>
      </w:pPr>
      <w:r>
        <w:rPr>
          <w:rFonts w:ascii="Arial" w:hAnsi="Arial" w:cs="Arial"/>
          <w:b/>
          <w:noProof/>
          <w:sz w:val="20"/>
        </w:rPr>
        <w:t>9</w:t>
      </w:r>
      <w:r w:rsidR="00656E62" w:rsidRPr="00701F32">
        <w:rPr>
          <w:rFonts w:ascii="Arial" w:hAnsi="Arial" w:cs="Arial"/>
          <w:b/>
          <w:noProof/>
          <w:sz w:val="20"/>
        </w:rPr>
        <w:t xml:space="preserve">. </w:t>
      </w:r>
      <w:r w:rsidR="00656E62" w:rsidRPr="00701F32">
        <w:rPr>
          <w:rFonts w:ascii="Arial" w:hAnsi="Arial" w:cs="Arial"/>
          <w:b/>
          <w:sz w:val="20"/>
        </w:rPr>
        <w:t>I</w:t>
      </w:r>
      <w:r w:rsidR="00D242BF" w:rsidRPr="00701F32">
        <w:rPr>
          <w:rFonts w:ascii="Arial" w:hAnsi="Arial" w:cs="Arial"/>
          <w:b/>
          <w:sz w:val="20"/>
        </w:rPr>
        <w:t xml:space="preserve">NFORMACION ADICIONAL REQUERIDA POR EL </w:t>
      </w:r>
      <w:r w:rsidR="00656E62" w:rsidRPr="00701F32">
        <w:rPr>
          <w:rFonts w:ascii="Arial" w:hAnsi="Arial" w:cs="Arial"/>
          <w:b/>
          <w:sz w:val="20"/>
        </w:rPr>
        <w:t>BCRA</w:t>
      </w:r>
    </w:p>
    <w:p w14:paraId="6BBCE699" w14:textId="77777777" w:rsidR="00656E62" w:rsidRPr="00701F32" w:rsidRDefault="00656E62" w:rsidP="00656E62">
      <w:pPr>
        <w:jc w:val="both"/>
        <w:rPr>
          <w:rFonts w:ascii="Arial" w:hAnsi="Arial" w:cs="Arial"/>
          <w:b/>
          <w:sz w:val="20"/>
        </w:rPr>
      </w:pPr>
    </w:p>
    <w:p w14:paraId="48E77D82" w14:textId="3925548C" w:rsidR="00656E62" w:rsidRPr="00701F32" w:rsidRDefault="00D17399" w:rsidP="00656E62">
      <w:pPr>
        <w:tabs>
          <w:tab w:val="left" w:pos="142"/>
          <w:tab w:val="left" w:pos="9923"/>
        </w:tabs>
        <w:spacing w:after="200" w:line="276" w:lineRule="auto"/>
        <w:contextualSpacing/>
        <w:jc w:val="both"/>
        <w:rPr>
          <w:rFonts w:ascii="Arial" w:hAnsi="Arial" w:cs="Arial"/>
          <w:b/>
          <w:sz w:val="20"/>
        </w:rPr>
      </w:pPr>
      <w:r>
        <w:rPr>
          <w:rFonts w:ascii="Arial" w:hAnsi="Arial" w:cs="Arial"/>
          <w:b/>
          <w:sz w:val="20"/>
        </w:rPr>
        <w:t>9</w:t>
      </w:r>
      <w:r w:rsidR="00656E62" w:rsidRPr="00701F32">
        <w:rPr>
          <w:rFonts w:ascii="Arial" w:hAnsi="Arial" w:cs="Arial"/>
          <w:b/>
          <w:sz w:val="20"/>
        </w:rPr>
        <w:t xml:space="preserve">.1 Sistema de Seguros de Garantía de Depósitos </w:t>
      </w:r>
    </w:p>
    <w:p w14:paraId="73C6BCDD" w14:textId="77777777" w:rsidR="00656E62" w:rsidRPr="00701F32" w:rsidRDefault="00656E62" w:rsidP="00656E62">
      <w:pPr>
        <w:tabs>
          <w:tab w:val="left" w:pos="142"/>
          <w:tab w:val="left" w:pos="9923"/>
        </w:tabs>
        <w:spacing w:after="200" w:line="276" w:lineRule="auto"/>
        <w:contextualSpacing/>
        <w:jc w:val="both"/>
        <w:rPr>
          <w:rFonts w:ascii="Arial" w:hAnsi="Arial" w:cs="Arial"/>
          <w:sz w:val="20"/>
        </w:rPr>
      </w:pPr>
    </w:p>
    <w:p w14:paraId="5AE15056" w14:textId="77777777" w:rsidR="00681B1C" w:rsidRPr="00701F32" w:rsidRDefault="00681B1C" w:rsidP="00681B1C">
      <w:pPr>
        <w:tabs>
          <w:tab w:val="left" w:pos="142"/>
          <w:tab w:val="left" w:pos="9923"/>
        </w:tabs>
        <w:spacing w:after="200" w:line="276" w:lineRule="auto"/>
        <w:contextualSpacing/>
        <w:jc w:val="both"/>
        <w:rPr>
          <w:rFonts w:ascii="Arial" w:hAnsi="Arial" w:cs="Arial"/>
          <w:sz w:val="20"/>
        </w:rPr>
      </w:pPr>
      <w:r w:rsidRPr="00701F32">
        <w:rPr>
          <w:rFonts w:ascii="Arial" w:hAnsi="Arial" w:cs="Arial"/>
          <w:sz w:val="20"/>
        </w:rPr>
        <w:lastRenderedPageBreak/>
        <w:t>Mediante la Ley N° 24485 y el Decreto N° 540/95 se dispuso la creación del Sistema de Seguro de Garantía de los Depósitos con el objeto de cubrir el riesgo de los depósitos bancarios adicionalmente al sistema de privilegios y protección previsto en la Ley de Entidades Financieras.</w:t>
      </w:r>
    </w:p>
    <w:p w14:paraId="10D3D45A" w14:textId="77777777" w:rsidR="00681B1C" w:rsidRPr="00701F32" w:rsidRDefault="00681B1C" w:rsidP="00681B1C">
      <w:pPr>
        <w:tabs>
          <w:tab w:val="left" w:pos="142"/>
          <w:tab w:val="left" w:pos="9923"/>
        </w:tabs>
        <w:spacing w:after="200" w:line="276" w:lineRule="auto"/>
        <w:contextualSpacing/>
        <w:jc w:val="both"/>
        <w:rPr>
          <w:rFonts w:ascii="Arial" w:hAnsi="Arial" w:cs="Arial"/>
          <w:sz w:val="20"/>
        </w:rPr>
      </w:pPr>
    </w:p>
    <w:p w14:paraId="298643C2" w14:textId="77777777" w:rsidR="00681B1C" w:rsidRPr="00701F32" w:rsidRDefault="00681B1C" w:rsidP="00681B1C">
      <w:pPr>
        <w:tabs>
          <w:tab w:val="left" w:pos="142"/>
        </w:tabs>
        <w:jc w:val="both"/>
        <w:rPr>
          <w:rFonts w:ascii="Arial" w:hAnsi="Arial" w:cs="Arial"/>
          <w:sz w:val="20"/>
        </w:rPr>
      </w:pPr>
      <w:r w:rsidRPr="00701F32">
        <w:rPr>
          <w:rFonts w:ascii="Arial" w:hAnsi="Arial" w:cs="Arial"/>
          <w:sz w:val="20"/>
        </w:rPr>
        <w:t xml:space="preserve">Por el Decreto N° 1127/98 del 24 de septiembre de 1998, el P.E.N. estableció el límite máximo de cobertura del sistema de garantía, alcanzando a los depósitos a la vista o a plazo fijo, en pesos y/o moneda extranjera.  </w:t>
      </w:r>
      <w:r>
        <w:rPr>
          <w:rFonts w:ascii="Arial" w:hAnsi="Arial" w:cs="Arial"/>
          <w:sz w:val="20"/>
        </w:rPr>
        <w:t>Hasta el 28 de febrero de 2019,</w:t>
      </w:r>
      <w:r w:rsidRPr="00701F32">
        <w:rPr>
          <w:rFonts w:ascii="Arial" w:hAnsi="Arial" w:cs="Arial"/>
          <w:sz w:val="20"/>
        </w:rPr>
        <w:t xml:space="preserve"> dicho límite alcanza</w:t>
      </w:r>
      <w:r>
        <w:rPr>
          <w:rFonts w:ascii="Arial" w:hAnsi="Arial" w:cs="Arial"/>
          <w:sz w:val="20"/>
        </w:rPr>
        <w:t>ba</w:t>
      </w:r>
      <w:r w:rsidRPr="00701F32">
        <w:rPr>
          <w:rFonts w:ascii="Arial" w:hAnsi="Arial" w:cs="Arial"/>
          <w:sz w:val="20"/>
        </w:rPr>
        <w:t xml:space="preserve"> la suma de </w:t>
      </w:r>
      <w:r>
        <w:rPr>
          <w:rFonts w:ascii="Arial" w:hAnsi="Arial" w:cs="Arial"/>
          <w:sz w:val="20"/>
        </w:rPr>
        <w:t xml:space="preserve">$ </w:t>
      </w:r>
      <w:r w:rsidRPr="00701F32">
        <w:rPr>
          <w:rFonts w:ascii="Arial" w:hAnsi="Arial" w:cs="Arial"/>
          <w:sz w:val="20"/>
        </w:rPr>
        <w:t>450, el cual fue establecido por la comunicación “A” 5943.</w:t>
      </w:r>
      <w:r>
        <w:rPr>
          <w:rFonts w:ascii="Arial" w:hAnsi="Arial" w:cs="Arial"/>
          <w:sz w:val="20"/>
        </w:rPr>
        <w:t xml:space="preserve"> A partir del 1 de marzo de 2019 el nuevo límite asciende a $ 1.000, de acuerdo a lo establecido por la Comunicación “A” 6654.</w:t>
      </w:r>
    </w:p>
    <w:p w14:paraId="1EE232C2" w14:textId="77777777" w:rsidR="00681B1C" w:rsidRPr="00701F32" w:rsidRDefault="00681B1C" w:rsidP="00681B1C">
      <w:pPr>
        <w:tabs>
          <w:tab w:val="left" w:pos="142"/>
          <w:tab w:val="left" w:pos="9923"/>
        </w:tabs>
        <w:spacing w:after="200" w:line="276" w:lineRule="auto"/>
        <w:contextualSpacing/>
        <w:jc w:val="both"/>
        <w:rPr>
          <w:rFonts w:ascii="Arial" w:hAnsi="Arial" w:cs="Arial"/>
          <w:sz w:val="20"/>
        </w:rPr>
      </w:pPr>
      <w:r w:rsidRPr="00701F32">
        <w:rPr>
          <w:rFonts w:ascii="Arial" w:hAnsi="Arial" w:cs="Arial"/>
          <w:sz w:val="20"/>
        </w:rPr>
        <w:t xml:space="preserve"> </w:t>
      </w:r>
    </w:p>
    <w:p w14:paraId="66C208AD" w14:textId="77777777" w:rsidR="00681B1C" w:rsidRDefault="00681B1C" w:rsidP="00681B1C">
      <w:pPr>
        <w:jc w:val="both"/>
        <w:rPr>
          <w:rFonts w:ascii="Arial" w:hAnsi="Arial" w:cs="Arial"/>
          <w:sz w:val="20"/>
        </w:rPr>
      </w:pPr>
      <w:r w:rsidRPr="00701F32">
        <w:rPr>
          <w:rFonts w:ascii="Arial" w:hAnsi="Arial" w:cs="Arial"/>
          <w:sz w:val="20"/>
        </w:rPr>
        <w:t xml:space="preserve">No están incluidos en el presente régimen los depósitos efectuados por otras entidades financieras (incluyendo los certificados a plazo fijo adquiridos por negociación secundaria), los depósitos efectuados por personas vinculadas directa o indirectamente a la entidad, los depósitos de títulos valores, aceptaciones o garantías y, los depósitos a la vista convenidos a una tasa superior a la establecida periódicamente por el BCRA en base a la encuesta diaria que realiza dicha institución </w:t>
      </w:r>
      <w:r>
        <w:rPr>
          <w:rFonts w:ascii="Arial" w:hAnsi="Arial" w:cs="Arial"/>
          <w:sz w:val="20"/>
        </w:rPr>
        <w:t xml:space="preserve">(*) </w:t>
      </w:r>
      <w:r w:rsidRPr="00701F32">
        <w:rPr>
          <w:rFonts w:ascii="Arial" w:hAnsi="Arial" w:cs="Arial"/>
          <w:sz w:val="20"/>
        </w:rPr>
        <w:t>y los depósitos e inversiones a plazo que superen en 1,3 veces dicha tasa o la tasa de referencia más 5 puntos porcentuales, la que fuese mayor</w:t>
      </w:r>
      <w:r>
        <w:rPr>
          <w:rFonts w:ascii="Arial" w:hAnsi="Arial" w:cs="Arial"/>
          <w:sz w:val="20"/>
        </w:rPr>
        <w:t xml:space="preserve"> (*)</w:t>
      </w:r>
      <w:r w:rsidRPr="00701F32">
        <w:rPr>
          <w:rFonts w:ascii="Arial" w:hAnsi="Arial" w:cs="Arial"/>
          <w:sz w:val="20"/>
        </w:rPr>
        <w:t>. También se hallan excluidos los depósitos cuya titularidad haya sido adquirida vía endoso y las imposiciones que ofrezcan incentivos adicionales a la tasa de interés. El sistema ha sido implementado mediante la creación de un fondo denominado "Fondo de Garantía de los Depósitos" (F.G.D.), que es administrado por la sociedad Seguros de Depósitos S.A. (SEDESA) y cuyos accionistas son el BCRA y las entidades financieras en la proporción que para cada una de ellas determina dicha institución en función de los aportes efectuados al mencionado fondo.</w:t>
      </w:r>
    </w:p>
    <w:p w14:paraId="3CD3CAA3" w14:textId="77777777" w:rsidR="00681B1C" w:rsidRDefault="00681B1C" w:rsidP="00681B1C">
      <w:pPr>
        <w:jc w:val="both"/>
        <w:rPr>
          <w:rFonts w:ascii="Arial" w:hAnsi="Arial" w:cs="Arial"/>
          <w:sz w:val="20"/>
        </w:rPr>
      </w:pPr>
    </w:p>
    <w:p w14:paraId="0D882461" w14:textId="570214F0" w:rsidR="00111E5A" w:rsidRPr="00701F32" w:rsidRDefault="00681B1C" w:rsidP="00681B1C">
      <w:pPr>
        <w:jc w:val="both"/>
        <w:rPr>
          <w:rFonts w:ascii="Arial" w:hAnsi="Arial" w:cs="Arial"/>
          <w:sz w:val="20"/>
        </w:rPr>
      </w:pPr>
      <w:r>
        <w:rPr>
          <w:rFonts w:ascii="Arial" w:hAnsi="Arial" w:cs="Arial"/>
          <w:sz w:val="20"/>
        </w:rPr>
        <w:t>(*) Con vigencia a partir del 20 de enero de 2019, por disposición de la “A” 6435, dichas exclusiones son las siguientes: Los depósitos a la vista en los que se convengan tasas de interés superiores a las tasas de referencia y los depósitos e inversiones a plazo que superen 1,3 veces esa tasa.  Las tasas de referencia son difundidas periódicamente por el BCRA según el promedio móvil de los últimos cinco días hábiles bancarios de las tasas pasivas que para los depósitos a plazo fijo de hasta 100 (o su equivalente en otras monedas), surjan de la encuesta que realiza dicha Institución.</w:t>
      </w:r>
    </w:p>
    <w:p w14:paraId="5C24C4B8" w14:textId="77777777" w:rsidR="00331C9B" w:rsidRDefault="00331C9B" w:rsidP="00A74911">
      <w:pPr>
        <w:jc w:val="both"/>
        <w:rPr>
          <w:rFonts w:ascii="Arial" w:hAnsi="Arial" w:cs="Arial"/>
          <w:b/>
          <w:sz w:val="20"/>
        </w:rPr>
      </w:pPr>
    </w:p>
    <w:p w14:paraId="4F36BAD8" w14:textId="69617DD2" w:rsidR="00656E62" w:rsidRPr="00701F32" w:rsidRDefault="00D17399" w:rsidP="00656E62">
      <w:pPr>
        <w:tabs>
          <w:tab w:val="left" w:pos="9923"/>
        </w:tabs>
        <w:spacing w:after="200" w:line="276" w:lineRule="auto"/>
        <w:jc w:val="both"/>
        <w:rPr>
          <w:rFonts w:ascii="Arial" w:hAnsi="Arial" w:cs="Arial"/>
          <w:b/>
          <w:sz w:val="20"/>
        </w:rPr>
      </w:pPr>
      <w:r>
        <w:rPr>
          <w:rFonts w:ascii="Arial" w:hAnsi="Arial" w:cs="Arial"/>
          <w:b/>
          <w:sz w:val="20"/>
        </w:rPr>
        <w:t>9</w:t>
      </w:r>
      <w:r w:rsidR="00656E62" w:rsidRPr="00701F32">
        <w:rPr>
          <w:rFonts w:ascii="Arial" w:hAnsi="Arial" w:cs="Arial"/>
          <w:b/>
          <w:sz w:val="20"/>
        </w:rPr>
        <w:t>.2 Bienes de disponibilidad restringida</w:t>
      </w:r>
    </w:p>
    <w:p w14:paraId="01AAD42A" w14:textId="3AE84FE4" w:rsidR="00656E62" w:rsidRDefault="00656E62" w:rsidP="00656E62">
      <w:pPr>
        <w:tabs>
          <w:tab w:val="left" w:pos="142"/>
        </w:tabs>
        <w:jc w:val="both"/>
        <w:rPr>
          <w:rFonts w:ascii="Arial" w:hAnsi="Arial" w:cs="Arial"/>
          <w:sz w:val="20"/>
        </w:rPr>
      </w:pPr>
      <w:r w:rsidRPr="00701F32">
        <w:rPr>
          <w:rFonts w:ascii="Arial" w:hAnsi="Arial" w:cs="Arial"/>
          <w:sz w:val="20"/>
        </w:rPr>
        <w:t>La Entidad posee activos cuya disponibilidad se encuentra restringida, según el siguiente detalle:</w:t>
      </w:r>
    </w:p>
    <w:p w14:paraId="7D4DAF92" w14:textId="28557AC3" w:rsidR="00111E5A" w:rsidRDefault="00111E5A" w:rsidP="00656E62">
      <w:pPr>
        <w:tabs>
          <w:tab w:val="left" w:pos="142"/>
        </w:tabs>
        <w:jc w:val="both"/>
        <w:rPr>
          <w:rFonts w:ascii="Arial" w:hAnsi="Arial" w:cs="Arial"/>
          <w:sz w:val="20"/>
        </w:rPr>
      </w:pPr>
    </w:p>
    <w:p w14:paraId="72535517" w14:textId="77777777" w:rsidR="00111E5A" w:rsidRPr="00701F32" w:rsidRDefault="00111E5A" w:rsidP="00656E62">
      <w:pPr>
        <w:tabs>
          <w:tab w:val="left" w:pos="142"/>
        </w:tabs>
        <w:jc w:val="both"/>
        <w:rPr>
          <w:rFonts w:ascii="Arial" w:hAnsi="Arial" w:cs="Arial"/>
          <w:sz w:val="20"/>
        </w:rPr>
      </w:pPr>
    </w:p>
    <w:p w14:paraId="4A53F97B" w14:textId="77777777" w:rsidR="00EF11DF" w:rsidRPr="00701F32" w:rsidRDefault="00EF11DF" w:rsidP="00656E62">
      <w:pPr>
        <w:tabs>
          <w:tab w:val="left" w:pos="142"/>
        </w:tabs>
        <w:jc w:val="both"/>
        <w:rPr>
          <w:rFonts w:ascii="Arial" w:hAnsi="Arial" w:cs="Arial"/>
          <w:sz w:val="20"/>
        </w:rPr>
      </w:pPr>
    </w:p>
    <w:tbl>
      <w:tblPr>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854"/>
        <w:gridCol w:w="1430"/>
        <w:gridCol w:w="1219"/>
      </w:tblGrid>
      <w:tr w:rsidR="00E52346" w:rsidRPr="00701F32" w14:paraId="7ACBFDF9" w14:textId="77777777" w:rsidTr="002E2271">
        <w:trPr>
          <w:trHeight w:val="377"/>
          <w:tblHeader/>
        </w:trPr>
        <w:tc>
          <w:tcPr>
            <w:tcW w:w="34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78C76" w14:textId="77777777" w:rsidR="00E52346" w:rsidRPr="002E1AF6" w:rsidRDefault="00E52346" w:rsidP="00464C0F">
            <w:pPr>
              <w:tabs>
                <w:tab w:val="left" w:pos="142"/>
              </w:tabs>
              <w:jc w:val="both"/>
              <w:rPr>
                <w:rFonts w:ascii="Arial" w:hAnsi="Arial" w:cs="Arial"/>
                <w:b/>
                <w:bCs/>
                <w:sz w:val="18"/>
              </w:rPr>
            </w:pPr>
            <w:r w:rsidRPr="002E1AF6">
              <w:rPr>
                <w:rFonts w:ascii="Arial" w:hAnsi="Arial" w:cs="Arial"/>
                <w:b/>
                <w:bCs/>
                <w:sz w:val="18"/>
              </w:rPr>
              <w:t>Concepto</w:t>
            </w:r>
          </w:p>
        </w:tc>
        <w:tc>
          <w:tcPr>
            <w:tcW w:w="8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8465C1" w14:textId="1EF016A5" w:rsidR="00E52346" w:rsidRPr="002E1AF6" w:rsidRDefault="003C2633" w:rsidP="007F209B">
            <w:pPr>
              <w:tabs>
                <w:tab w:val="left" w:pos="142"/>
              </w:tabs>
              <w:jc w:val="center"/>
              <w:rPr>
                <w:rFonts w:ascii="Arial" w:hAnsi="Arial" w:cs="Arial"/>
                <w:b/>
                <w:sz w:val="18"/>
              </w:rPr>
            </w:pPr>
            <w:r w:rsidRPr="002E1AF6">
              <w:rPr>
                <w:rFonts w:ascii="Arial" w:hAnsi="Arial" w:cs="Arial"/>
                <w:b/>
                <w:sz w:val="18"/>
              </w:rPr>
              <w:t>3</w:t>
            </w:r>
            <w:r w:rsidR="00624F80" w:rsidRPr="002E1AF6">
              <w:rPr>
                <w:rFonts w:ascii="Arial" w:hAnsi="Arial" w:cs="Arial"/>
                <w:b/>
                <w:sz w:val="18"/>
              </w:rPr>
              <w:t>1</w:t>
            </w:r>
            <w:r w:rsidRPr="002E1AF6">
              <w:rPr>
                <w:rFonts w:ascii="Arial" w:hAnsi="Arial" w:cs="Arial"/>
                <w:b/>
                <w:sz w:val="18"/>
              </w:rPr>
              <w:t>/0</w:t>
            </w:r>
            <w:r w:rsidR="00624F80" w:rsidRPr="002E1AF6">
              <w:rPr>
                <w:rFonts w:ascii="Arial" w:hAnsi="Arial" w:cs="Arial"/>
                <w:b/>
                <w:sz w:val="18"/>
              </w:rPr>
              <w:t>3</w:t>
            </w:r>
            <w:r w:rsidRPr="002E1AF6">
              <w:rPr>
                <w:rFonts w:ascii="Arial" w:hAnsi="Arial" w:cs="Arial"/>
                <w:b/>
                <w:sz w:val="18"/>
              </w:rPr>
              <w:t>/20</w:t>
            </w:r>
            <w:r w:rsidR="00624F80" w:rsidRPr="002E1AF6">
              <w:rPr>
                <w:rFonts w:ascii="Arial" w:hAnsi="Arial" w:cs="Arial"/>
                <w:b/>
                <w:sz w:val="18"/>
              </w:rPr>
              <w:t>20</w:t>
            </w:r>
          </w:p>
        </w:tc>
        <w:tc>
          <w:tcPr>
            <w:tcW w:w="7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0839E" w14:textId="3E7E2D99" w:rsidR="00E52346" w:rsidRPr="002E1AF6" w:rsidRDefault="00E52346" w:rsidP="002B52DE">
            <w:pPr>
              <w:tabs>
                <w:tab w:val="left" w:pos="142"/>
              </w:tabs>
              <w:jc w:val="center"/>
              <w:rPr>
                <w:rFonts w:ascii="Arial" w:hAnsi="Arial" w:cs="Arial"/>
                <w:b/>
                <w:sz w:val="18"/>
              </w:rPr>
            </w:pPr>
            <w:r w:rsidRPr="002E1AF6">
              <w:rPr>
                <w:rFonts w:ascii="Arial" w:hAnsi="Arial" w:cs="Arial"/>
                <w:b/>
                <w:sz w:val="18"/>
              </w:rPr>
              <w:t>31/12/201</w:t>
            </w:r>
            <w:r w:rsidR="00624F80" w:rsidRPr="002E1AF6">
              <w:rPr>
                <w:rFonts w:ascii="Arial" w:hAnsi="Arial" w:cs="Arial"/>
                <w:b/>
                <w:sz w:val="18"/>
              </w:rPr>
              <w:t>9</w:t>
            </w:r>
          </w:p>
        </w:tc>
      </w:tr>
      <w:tr w:rsidR="00DE1568" w:rsidRPr="00701F32" w14:paraId="2C570A05" w14:textId="77777777" w:rsidTr="00624F80">
        <w:trPr>
          <w:trHeight w:val="322"/>
        </w:trPr>
        <w:tc>
          <w:tcPr>
            <w:tcW w:w="3442" w:type="pct"/>
            <w:tcBorders>
              <w:left w:val="single" w:sz="4" w:space="0" w:color="auto"/>
              <w:right w:val="single" w:sz="4" w:space="0" w:color="auto"/>
            </w:tcBorders>
            <w:shd w:val="clear" w:color="auto" w:fill="auto"/>
            <w:noWrap/>
            <w:vAlign w:val="center"/>
          </w:tcPr>
          <w:p w14:paraId="7B084F47" w14:textId="77777777" w:rsidR="00DE1568" w:rsidRPr="002E1AF6" w:rsidRDefault="00DE1568" w:rsidP="00DE1568">
            <w:pPr>
              <w:tabs>
                <w:tab w:val="left" w:pos="142"/>
              </w:tabs>
              <w:jc w:val="both"/>
              <w:rPr>
                <w:rFonts w:ascii="Arial" w:hAnsi="Arial" w:cs="Arial"/>
                <w:sz w:val="18"/>
              </w:rPr>
            </w:pPr>
            <w:r w:rsidRPr="002E1AF6">
              <w:rPr>
                <w:rFonts w:ascii="Arial" w:hAnsi="Arial" w:cs="Arial"/>
                <w:sz w:val="18"/>
              </w:rPr>
              <w:t>Cuentas especiales de garantía en el BCRA</w:t>
            </w:r>
          </w:p>
        </w:tc>
        <w:tc>
          <w:tcPr>
            <w:tcW w:w="841" w:type="pct"/>
            <w:tcBorders>
              <w:left w:val="single" w:sz="4" w:space="0" w:color="auto"/>
              <w:right w:val="single" w:sz="4" w:space="0" w:color="auto"/>
            </w:tcBorders>
            <w:shd w:val="clear" w:color="auto" w:fill="auto"/>
            <w:noWrap/>
            <w:vAlign w:val="bottom"/>
          </w:tcPr>
          <w:p w14:paraId="08D66071" w14:textId="03A0FF75" w:rsidR="00DE1568" w:rsidRPr="002E1AF6" w:rsidRDefault="00624F80" w:rsidP="00DE1568">
            <w:pPr>
              <w:tabs>
                <w:tab w:val="left" w:pos="142"/>
              </w:tabs>
              <w:jc w:val="right"/>
              <w:rPr>
                <w:rFonts w:ascii="Arial" w:hAnsi="Arial" w:cs="Arial"/>
                <w:sz w:val="18"/>
                <w:lang w:val="es-ES_tradnl"/>
              </w:rPr>
            </w:pPr>
            <w:r w:rsidRPr="002E1AF6">
              <w:rPr>
                <w:rFonts w:ascii="Arial" w:hAnsi="Arial" w:cs="Arial"/>
                <w:sz w:val="18"/>
                <w:lang w:val="es-ES_tradnl"/>
              </w:rPr>
              <w:t>2.428.561</w:t>
            </w:r>
          </w:p>
        </w:tc>
        <w:tc>
          <w:tcPr>
            <w:tcW w:w="717" w:type="pct"/>
            <w:tcBorders>
              <w:left w:val="single" w:sz="4" w:space="0" w:color="auto"/>
              <w:right w:val="single" w:sz="4" w:space="0" w:color="auto"/>
            </w:tcBorders>
            <w:shd w:val="clear" w:color="auto" w:fill="auto"/>
            <w:noWrap/>
            <w:vAlign w:val="bottom"/>
          </w:tcPr>
          <w:p w14:paraId="233E7617" w14:textId="66857AB8" w:rsidR="00DE1568" w:rsidRPr="002E1AF6" w:rsidRDefault="009E1F81" w:rsidP="00624F80">
            <w:pPr>
              <w:tabs>
                <w:tab w:val="left" w:pos="142"/>
              </w:tabs>
              <w:jc w:val="right"/>
              <w:rPr>
                <w:rFonts w:ascii="Arial" w:hAnsi="Arial" w:cs="Arial"/>
                <w:sz w:val="18"/>
              </w:rPr>
            </w:pPr>
            <w:r w:rsidRPr="002E1AF6">
              <w:rPr>
                <w:rFonts w:ascii="Arial" w:hAnsi="Arial" w:cs="Arial"/>
                <w:sz w:val="18"/>
              </w:rPr>
              <w:t>2</w:t>
            </w:r>
            <w:r w:rsidR="00DE1568" w:rsidRPr="002E1AF6">
              <w:rPr>
                <w:rFonts w:ascii="Arial" w:hAnsi="Arial" w:cs="Arial"/>
                <w:sz w:val="18"/>
              </w:rPr>
              <w:t>.</w:t>
            </w:r>
            <w:r w:rsidRPr="002E1AF6">
              <w:rPr>
                <w:rFonts w:ascii="Arial" w:hAnsi="Arial" w:cs="Arial"/>
                <w:sz w:val="18"/>
              </w:rPr>
              <w:t>129</w:t>
            </w:r>
            <w:r w:rsidR="00DE1568" w:rsidRPr="002E1AF6">
              <w:rPr>
                <w:rFonts w:ascii="Arial" w:hAnsi="Arial" w:cs="Arial"/>
                <w:sz w:val="18"/>
              </w:rPr>
              <w:t>.</w:t>
            </w:r>
            <w:r w:rsidR="00911EF8" w:rsidRPr="002E1AF6">
              <w:rPr>
                <w:rFonts w:ascii="Arial" w:hAnsi="Arial" w:cs="Arial"/>
                <w:sz w:val="18"/>
              </w:rPr>
              <w:t>627</w:t>
            </w:r>
          </w:p>
        </w:tc>
      </w:tr>
      <w:tr w:rsidR="00DE1568" w:rsidRPr="00701F32" w14:paraId="3EAE6A52" w14:textId="77777777" w:rsidTr="00624F80">
        <w:trPr>
          <w:trHeight w:val="322"/>
        </w:trPr>
        <w:tc>
          <w:tcPr>
            <w:tcW w:w="3442" w:type="pct"/>
            <w:tcBorders>
              <w:left w:val="single" w:sz="4" w:space="0" w:color="auto"/>
              <w:right w:val="single" w:sz="4" w:space="0" w:color="auto"/>
            </w:tcBorders>
            <w:shd w:val="clear" w:color="auto" w:fill="auto"/>
            <w:noWrap/>
            <w:vAlign w:val="center"/>
          </w:tcPr>
          <w:p w14:paraId="22283E94" w14:textId="77777777" w:rsidR="00DE1568" w:rsidRPr="002E1AF6" w:rsidRDefault="00DE1568" w:rsidP="00DE1568">
            <w:pPr>
              <w:tabs>
                <w:tab w:val="left" w:pos="142"/>
              </w:tabs>
              <w:jc w:val="both"/>
              <w:rPr>
                <w:rFonts w:ascii="Arial" w:hAnsi="Arial" w:cs="Arial"/>
                <w:sz w:val="18"/>
              </w:rPr>
            </w:pPr>
            <w:r w:rsidRPr="002E1AF6">
              <w:rPr>
                <w:rFonts w:ascii="Arial" w:hAnsi="Arial" w:cs="Arial"/>
                <w:sz w:val="18"/>
              </w:rPr>
              <w:t>Depósitos en garantía por fideicomisos</w:t>
            </w:r>
          </w:p>
        </w:tc>
        <w:tc>
          <w:tcPr>
            <w:tcW w:w="841" w:type="pct"/>
            <w:tcBorders>
              <w:left w:val="single" w:sz="4" w:space="0" w:color="auto"/>
              <w:right w:val="single" w:sz="4" w:space="0" w:color="auto"/>
            </w:tcBorders>
            <w:shd w:val="clear" w:color="auto" w:fill="auto"/>
            <w:noWrap/>
            <w:vAlign w:val="bottom"/>
          </w:tcPr>
          <w:p w14:paraId="7CF588A8" w14:textId="199C2187" w:rsidR="00DE1568" w:rsidRPr="002E1AF6" w:rsidRDefault="00624F80" w:rsidP="00DE1568">
            <w:pPr>
              <w:tabs>
                <w:tab w:val="left" w:pos="142"/>
              </w:tabs>
              <w:jc w:val="right"/>
              <w:rPr>
                <w:rFonts w:ascii="Arial" w:hAnsi="Arial" w:cs="Arial"/>
                <w:sz w:val="18"/>
                <w:lang w:val="es-ES_tradnl"/>
              </w:rPr>
            </w:pPr>
            <w:r w:rsidRPr="002E1AF6">
              <w:rPr>
                <w:rFonts w:ascii="Arial" w:hAnsi="Arial" w:cs="Arial"/>
                <w:sz w:val="18"/>
                <w:lang w:val="es-ES_tradnl"/>
              </w:rPr>
              <w:t>1</w:t>
            </w:r>
            <w:r w:rsidR="00DE1568" w:rsidRPr="002E1AF6">
              <w:rPr>
                <w:rFonts w:ascii="Arial" w:hAnsi="Arial" w:cs="Arial"/>
                <w:sz w:val="18"/>
                <w:lang w:val="es-ES_tradnl"/>
              </w:rPr>
              <w:t>4.2</w:t>
            </w:r>
            <w:r w:rsidRPr="002E1AF6">
              <w:rPr>
                <w:rFonts w:ascii="Arial" w:hAnsi="Arial" w:cs="Arial"/>
                <w:sz w:val="18"/>
                <w:lang w:val="es-ES_tradnl"/>
              </w:rPr>
              <w:t>39</w:t>
            </w:r>
          </w:p>
        </w:tc>
        <w:tc>
          <w:tcPr>
            <w:tcW w:w="717" w:type="pct"/>
            <w:tcBorders>
              <w:left w:val="single" w:sz="4" w:space="0" w:color="auto"/>
              <w:right w:val="single" w:sz="4" w:space="0" w:color="auto"/>
            </w:tcBorders>
            <w:shd w:val="clear" w:color="auto" w:fill="auto"/>
            <w:noWrap/>
            <w:vAlign w:val="bottom"/>
          </w:tcPr>
          <w:p w14:paraId="72888D83" w14:textId="34939BF2" w:rsidR="00DE1568" w:rsidRPr="002E1AF6" w:rsidRDefault="00DE1568" w:rsidP="00624F80">
            <w:pPr>
              <w:tabs>
                <w:tab w:val="left" w:pos="142"/>
              </w:tabs>
              <w:jc w:val="right"/>
              <w:rPr>
                <w:rFonts w:ascii="Arial" w:hAnsi="Arial" w:cs="Arial"/>
                <w:sz w:val="18"/>
              </w:rPr>
            </w:pPr>
            <w:r w:rsidRPr="002E1AF6">
              <w:rPr>
                <w:rFonts w:ascii="Arial" w:hAnsi="Arial" w:cs="Arial"/>
                <w:sz w:val="18"/>
              </w:rPr>
              <w:t>3.800</w:t>
            </w:r>
          </w:p>
        </w:tc>
      </w:tr>
      <w:tr w:rsidR="00DE1568" w:rsidRPr="00701F32" w14:paraId="3AEA7686" w14:textId="77777777" w:rsidTr="00624F80">
        <w:trPr>
          <w:trHeight w:val="322"/>
        </w:trPr>
        <w:tc>
          <w:tcPr>
            <w:tcW w:w="3442" w:type="pct"/>
            <w:tcBorders>
              <w:left w:val="single" w:sz="4" w:space="0" w:color="auto"/>
              <w:right w:val="single" w:sz="4" w:space="0" w:color="auto"/>
            </w:tcBorders>
            <w:shd w:val="clear" w:color="auto" w:fill="auto"/>
            <w:noWrap/>
            <w:vAlign w:val="center"/>
          </w:tcPr>
          <w:p w14:paraId="4431A0D5" w14:textId="77777777" w:rsidR="00DE1568" w:rsidRPr="002E1AF6" w:rsidRDefault="00DE1568" w:rsidP="00DE1568">
            <w:pPr>
              <w:tabs>
                <w:tab w:val="left" w:pos="142"/>
              </w:tabs>
              <w:jc w:val="both"/>
              <w:rPr>
                <w:rFonts w:ascii="Arial" w:hAnsi="Arial" w:cs="Arial"/>
                <w:sz w:val="18"/>
              </w:rPr>
            </w:pPr>
            <w:r w:rsidRPr="002E1AF6">
              <w:rPr>
                <w:rFonts w:ascii="Arial" w:hAnsi="Arial" w:cs="Arial"/>
                <w:sz w:val="18"/>
              </w:rPr>
              <w:t>Depósitos en garantía por operaciones de cambio a término</w:t>
            </w:r>
          </w:p>
        </w:tc>
        <w:tc>
          <w:tcPr>
            <w:tcW w:w="841" w:type="pct"/>
            <w:tcBorders>
              <w:left w:val="single" w:sz="4" w:space="0" w:color="auto"/>
              <w:right w:val="single" w:sz="4" w:space="0" w:color="auto"/>
            </w:tcBorders>
            <w:shd w:val="clear" w:color="auto" w:fill="auto"/>
            <w:noWrap/>
            <w:vAlign w:val="bottom"/>
          </w:tcPr>
          <w:p w14:paraId="3EF3EB70" w14:textId="1A031B3A" w:rsidR="00DE1568" w:rsidRPr="002E1AF6" w:rsidRDefault="00624F80" w:rsidP="00DE1568">
            <w:pPr>
              <w:jc w:val="right"/>
              <w:rPr>
                <w:rFonts w:ascii="Arial" w:hAnsi="Arial" w:cs="Arial"/>
                <w:sz w:val="18"/>
                <w:lang w:val="es-ES_tradnl"/>
              </w:rPr>
            </w:pPr>
            <w:r w:rsidRPr="002E1AF6">
              <w:rPr>
                <w:rFonts w:ascii="Arial" w:hAnsi="Arial" w:cs="Arial"/>
                <w:sz w:val="18"/>
                <w:lang w:val="es-ES_tradnl"/>
              </w:rPr>
              <w:t>2.112</w:t>
            </w:r>
            <w:r w:rsidR="00DE1568" w:rsidRPr="002E1AF6">
              <w:rPr>
                <w:rFonts w:ascii="Arial" w:hAnsi="Arial" w:cs="Arial"/>
                <w:sz w:val="18"/>
                <w:lang w:val="es-ES_tradnl"/>
              </w:rPr>
              <w:t>.8</w:t>
            </w:r>
            <w:r w:rsidRPr="002E1AF6">
              <w:rPr>
                <w:rFonts w:ascii="Arial" w:hAnsi="Arial" w:cs="Arial"/>
                <w:sz w:val="18"/>
                <w:lang w:val="es-ES_tradnl"/>
              </w:rPr>
              <w:t>91</w:t>
            </w:r>
          </w:p>
        </w:tc>
        <w:tc>
          <w:tcPr>
            <w:tcW w:w="717" w:type="pct"/>
            <w:tcBorders>
              <w:left w:val="single" w:sz="4" w:space="0" w:color="auto"/>
              <w:right w:val="single" w:sz="4" w:space="0" w:color="auto"/>
            </w:tcBorders>
            <w:shd w:val="clear" w:color="auto" w:fill="auto"/>
            <w:noWrap/>
            <w:vAlign w:val="bottom"/>
          </w:tcPr>
          <w:p w14:paraId="2E9BFC48" w14:textId="0BDF18A2" w:rsidR="00DE1568" w:rsidRPr="002E1AF6" w:rsidRDefault="00DE1568" w:rsidP="00624F80">
            <w:pPr>
              <w:tabs>
                <w:tab w:val="left" w:pos="142"/>
              </w:tabs>
              <w:jc w:val="right"/>
              <w:rPr>
                <w:rFonts w:ascii="Arial" w:hAnsi="Arial" w:cs="Arial"/>
                <w:sz w:val="18"/>
              </w:rPr>
            </w:pPr>
            <w:r w:rsidRPr="002E1AF6">
              <w:rPr>
                <w:rFonts w:ascii="Arial" w:hAnsi="Arial" w:cs="Arial"/>
                <w:sz w:val="18"/>
              </w:rPr>
              <w:t>2.</w:t>
            </w:r>
            <w:r w:rsidR="00911EF8" w:rsidRPr="002E1AF6">
              <w:rPr>
                <w:rFonts w:ascii="Arial" w:hAnsi="Arial" w:cs="Arial"/>
                <w:sz w:val="18"/>
              </w:rPr>
              <w:t>306</w:t>
            </w:r>
            <w:r w:rsidRPr="002E1AF6">
              <w:rPr>
                <w:rFonts w:ascii="Arial" w:hAnsi="Arial" w:cs="Arial"/>
                <w:sz w:val="18"/>
              </w:rPr>
              <w:t>.7</w:t>
            </w:r>
            <w:r w:rsidR="00911EF8" w:rsidRPr="002E1AF6">
              <w:rPr>
                <w:rFonts w:ascii="Arial" w:hAnsi="Arial" w:cs="Arial"/>
                <w:sz w:val="18"/>
              </w:rPr>
              <w:t>96</w:t>
            </w:r>
          </w:p>
        </w:tc>
      </w:tr>
      <w:tr w:rsidR="00DE1568" w:rsidRPr="00701F32" w14:paraId="2D6BADDD" w14:textId="77777777" w:rsidTr="00624F80">
        <w:trPr>
          <w:trHeight w:val="322"/>
        </w:trPr>
        <w:tc>
          <w:tcPr>
            <w:tcW w:w="3442" w:type="pct"/>
            <w:tcBorders>
              <w:left w:val="single" w:sz="4" w:space="0" w:color="auto"/>
              <w:bottom w:val="single" w:sz="6" w:space="0" w:color="auto"/>
              <w:right w:val="single" w:sz="4" w:space="0" w:color="auto"/>
            </w:tcBorders>
            <w:shd w:val="clear" w:color="auto" w:fill="auto"/>
            <w:noWrap/>
            <w:vAlign w:val="center"/>
          </w:tcPr>
          <w:p w14:paraId="4FD1CD0B" w14:textId="77777777" w:rsidR="00DE1568" w:rsidRPr="002E1AF6" w:rsidRDefault="00DE1568" w:rsidP="00DE1568">
            <w:pPr>
              <w:tabs>
                <w:tab w:val="left" w:pos="142"/>
              </w:tabs>
              <w:jc w:val="both"/>
              <w:rPr>
                <w:rFonts w:ascii="Arial" w:hAnsi="Arial" w:cs="Arial"/>
                <w:sz w:val="18"/>
              </w:rPr>
            </w:pPr>
            <w:r w:rsidRPr="002E1AF6">
              <w:rPr>
                <w:rFonts w:ascii="Arial" w:hAnsi="Arial" w:cs="Arial"/>
                <w:sz w:val="18"/>
              </w:rPr>
              <w:t>Depósitos en garantía por operaciones con tarjetas de crédito</w:t>
            </w:r>
          </w:p>
        </w:tc>
        <w:tc>
          <w:tcPr>
            <w:tcW w:w="841" w:type="pct"/>
            <w:tcBorders>
              <w:left w:val="single" w:sz="4" w:space="0" w:color="auto"/>
              <w:bottom w:val="single" w:sz="6" w:space="0" w:color="auto"/>
              <w:right w:val="single" w:sz="4" w:space="0" w:color="auto"/>
            </w:tcBorders>
            <w:shd w:val="clear" w:color="auto" w:fill="auto"/>
            <w:noWrap/>
            <w:vAlign w:val="bottom"/>
          </w:tcPr>
          <w:p w14:paraId="3EB3FB15" w14:textId="0664A326" w:rsidR="00DE1568" w:rsidRPr="002E1AF6" w:rsidRDefault="00624F80" w:rsidP="00DE1568">
            <w:pPr>
              <w:tabs>
                <w:tab w:val="left" w:pos="142"/>
              </w:tabs>
              <w:jc w:val="right"/>
              <w:rPr>
                <w:rFonts w:ascii="Arial" w:hAnsi="Arial" w:cs="Arial"/>
                <w:sz w:val="18"/>
                <w:lang w:val="es-ES_tradnl"/>
              </w:rPr>
            </w:pPr>
            <w:r w:rsidRPr="002E1AF6">
              <w:rPr>
                <w:rFonts w:ascii="Arial" w:hAnsi="Arial" w:cs="Arial"/>
                <w:sz w:val="18"/>
                <w:lang w:val="es-ES_tradnl"/>
              </w:rPr>
              <w:t>341</w:t>
            </w:r>
            <w:r w:rsidR="00DE1568" w:rsidRPr="002E1AF6">
              <w:rPr>
                <w:rFonts w:ascii="Arial" w:hAnsi="Arial" w:cs="Arial"/>
                <w:sz w:val="18"/>
                <w:lang w:val="es-ES_tradnl"/>
              </w:rPr>
              <w:t>.</w:t>
            </w:r>
            <w:r w:rsidRPr="002E1AF6">
              <w:rPr>
                <w:rFonts w:ascii="Arial" w:hAnsi="Arial" w:cs="Arial"/>
                <w:sz w:val="18"/>
                <w:lang w:val="es-ES_tradnl"/>
              </w:rPr>
              <w:t>251</w:t>
            </w:r>
          </w:p>
        </w:tc>
        <w:tc>
          <w:tcPr>
            <w:tcW w:w="717" w:type="pct"/>
            <w:tcBorders>
              <w:left w:val="single" w:sz="4" w:space="0" w:color="auto"/>
              <w:bottom w:val="single" w:sz="6" w:space="0" w:color="auto"/>
              <w:right w:val="single" w:sz="4" w:space="0" w:color="auto"/>
            </w:tcBorders>
            <w:shd w:val="clear" w:color="auto" w:fill="auto"/>
            <w:noWrap/>
            <w:vAlign w:val="bottom"/>
          </w:tcPr>
          <w:p w14:paraId="19B43789" w14:textId="1DCD65C5" w:rsidR="00DE1568" w:rsidRPr="002E1AF6" w:rsidRDefault="00DE1568" w:rsidP="00624F80">
            <w:pPr>
              <w:tabs>
                <w:tab w:val="left" w:pos="142"/>
              </w:tabs>
              <w:jc w:val="right"/>
              <w:rPr>
                <w:rFonts w:ascii="Arial" w:hAnsi="Arial" w:cs="Arial"/>
                <w:sz w:val="18"/>
              </w:rPr>
            </w:pPr>
            <w:r w:rsidRPr="002E1AF6">
              <w:rPr>
                <w:rFonts w:ascii="Arial" w:hAnsi="Arial" w:cs="Arial"/>
                <w:sz w:val="18"/>
              </w:rPr>
              <w:t>316.542</w:t>
            </w:r>
          </w:p>
        </w:tc>
      </w:tr>
      <w:tr w:rsidR="00DE1568" w:rsidRPr="00701F32" w14:paraId="7E77C0F1" w14:textId="77777777" w:rsidTr="00624F80">
        <w:trPr>
          <w:trHeight w:val="322"/>
        </w:trPr>
        <w:tc>
          <w:tcPr>
            <w:tcW w:w="3442" w:type="pct"/>
            <w:tcBorders>
              <w:top w:val="single" w:sz="6" w:space="0" w:color="auto"/>
              <w:left w:val="single" w:sz="4" w:space="0" w:color="auto"/>
              <w:bottom w:val="single" w:sz="6" w:space="0" w:color="auto"/>
              <w:right w:val="single" w:sz="4" w:space="0" w:color="auto"/>
            </w:tcBorders>
            <w:shd w:val="clear" w:color="auto" w:fill="auto"/>
            <w:noWrap/>
            <w:vAlign w:val="center"/>
          </w:tcPr>
          <w:p w14:paraId="16F9CC7B" w14:textId="77777777" w:rsidR="00DE1568" w:rsidRPr="002E1AF6" w:rsidRDefault="00DE1568" w:rsidP="00DE1568">
            <w:pPr>
              <w:tabs>
                <w:tab w:val="left" w:pos="142"/>
              </w:tabs>
              <w:jc w:val="both"/>
              <w:rPr>
                <w:rFonts w:ascii="Arial" w:hAnsi="Arial" w:cs="Arial"/>
                <w:sz w:val="18"/>
              </w:rPr>
            </w:pPr>
            <w:r w:rsidRPr="002E1AF6">
              <w:rPr>
                <w:rFonts w:ascii="Arial" w:hAnsi="Arial" w:cs="Arial"/>
                <w:sz w:val="18"/>
              </w:rPr>
              <w:lastRenderedPageBreak/>
              <w:t>Aforos por operaciones de pase</w:t>
            </w:r>
          </w:p>
        </w:tc>
        <w:tc>
          <w:tcPr>
            <w:tcW w:w="841" w:type="pct"/>
            <w:tcBorders>
              <w:top w:val="single" w:sz="6" w:space="0" w:color="auto"/>
              <w:left w:val="single" w:sz="4" w:space="0" w:color="auto"/>
              <w:bottom w:val="single" w:sz="6" w:space="0" w:color="auto"/>
              <w:right w:val="single" w:sz="4" w:space="0" w:color="auto"/>
            </w:tcBorders>
            <w:shd w:val="clear" w:color="auto" w:fill="auto"/>
            <w:noWrap/>
            <w:vAlign w:val="bottom"/>
          </w:tcPr>
          <w:p w14:paraId="08265252" w14:textId="6487ACA5" w:rsidR="00DE1568" w:rsidRPr="002E1AF6" w:rsidRDefault="00624F80" w:rsidP="00DE1568">
            <w:pPr>
              <w:tabs>
                <w:tab w:val="left" w:pos="142"/>
              </w:tabs>
              <w:jc w:val="right"/>
              <w:rPr>
                <w:rFonts w:ascii="Arial" w:hAnsi="Arial" w:cs="Arial"/>
                <w:sz w:val="18"/>
                <w:lang w:val="es-ES_tradnl"/>
              </w:rPr>
            </w:pPr>
            <w:r w:rsidRPr="002E1AF6">
              <w:rPr>
                <w:rFonts w:ascii="Arial" w:hAnsi="Arial" w:cs="Arial"/>
                <w:sz w:val="18"/>
                <w:lang w:val="es-ES_tradnl"/>
              </w:rPr>
              <w:t>28</w:t>
            </w:r>
            <w:r w:rsidR="00DE1568" w:rsidRPr="002E1AF6">
              <w:rPr>
                <w:rFonts w:ascii="Arial" w:hAnsi="Arial" w:cs="Arial"/>
                <w:sz w:val="18"/>
                <w:lang w:val="es-ES_tradnl"/>
              </w:rPr>
              <w:t>.1</w:t>
            </w:r>
            <w:r w:rsidRPr="002E1AF6">
              <w:rPr>
                <w:rFonts w:ascii="Arial" w:hAnsi="Arial" w:cs="Arial"/>
                <w:sz w:val="18"/>
                <w:lang w:val="es-ES_tradnl"/>
              </w:rPr>
              <w:t>41</w:t>
            </w:r>
          </w:p>
        </w:tc>
        <w:tc>
          <w:tcPr>
            <w:tcW w:w="717" w:type="pct"/>
            <w:tcBorders>
              <w:top w:val="single" w:sz="6" w:space="0" w:color="auto"/>
              <w:left w:val="single" w:sz="4" w:space="0" w:color="auto"/>
              <w:bottom w:val="single" w:sz="6" w:space="0" w:color="auto"/>
              <w:right w:val="single" w:sz="4" w:space="0" w:color="auto"/>
            </w:tcBorders>
            <w:shd w:val="clear" w:color="auto" w:fill="auto"/>
            <w:noWrap/>
            <w:vAlign w:val="bottom"/>
          </w:tcPr>
          <w:p w14:paraId="4130B9C7" w14:textId="22E43758" w:rsidR="00DE1568" w:rsidRPr="002E1AF6" w:rsidRDefault="00DE1568" w:rsidP="00624F80">
            <w:pPr>
              <w:tabs>
                <w:tab w:val="left" w:pos="142"/>
              </w:tabs>
              <w:jc w:val="right"/>
              <w:rPr>
                <w:rFonts w:ascii="Arial" w:hAnsi="Arial" w:cs="Arial"/>
                <w:sz w:val="18"/>
              </w:rPr>
            </w:pPr>
            <w:r w:rsidRPr="002E1AF6">
              <w:rPr>
                <w:rFonts w:ascii="Arial" w:hAnsi="Arial" w:cs="Arial"/>
                <w:sz w:val="18"/>
              </w:rPr>
              <w:t>23.880</w:t>
            </w:r>
          </w:p>
        </w:tc>
      </w:tr>
      <w:tr w:rsidR="00DE1568" w:rsidRPr="00701F32" w14:paraId="7F68EBD2" w14:textId="77777777" w:rsidTr="00624F80">
        <w:trPr>
          <w:trHeight w:val="322"/>
        </w:trPr>
        <w:tc>
          <w:tcPr>
            <w:tcW w:w="3442" w:type="pct"/>
            <w:tcBorders>
              <w:top w:val="single" w:sz="6" w:space="0" w:color="auto"/>
              <w:left w:val="single" w:sz="4" w:space="0" w:color="auto"/>
              <w:bottom w:val="single" w:sz="4" w:space="0" w:color="auto"/>
              <w:right w:val="single" w:sz="4" w:space="0" w:color="auto"/>
            </w:tcBorders>
            <w:shd w:val="clear" w:color="auto" w:fill="auto"/>
            <w:noWrap/>
            <w:vAlign w:val="center"/>
          </w:tcPr>
          <w:p w14:paraId="5331DB6E" w14:textId="77777777" w:rsidR="00DE1568" w:rsidRPr="002E1AF6" w:rsidRDefault="00DE1568" w:rsidP="00DE1568">
            <w:pPr>
              <w:tabs>
                <w:tab w:val="left" w:pos="142"/>
              </w:tabs>
              <w:jc w:val="both"/>
              <w:rPr>
                <w:rFonts w:ascii="Arial" w:hAnsi="Arial" w:cs="Arial"/>
                <w:sz w:val="18"/>
              </w:rPr>
            </w:pPr>
            <w:r w:rsidRPr="002E1AF6">
              <w:rPr>
                <w:rFonts w:ascii="Arial" w:hAnsi="Arial" w:cs="Arial"/>
                <w:sz w:val="18"/>
              </w:rPr>
              <w:t xml:space="preserve">Otros depósitos en garantía </w:t>
            </w:r>
          </w:p>
        </w:tc>
        <w:tc>
          <w:tcPr>
            <w:tcW w:w="841" w:type="pct"/>
            <w:tcBorders>
              <w:top w:val="single" w:sz="6" w:space="0" w:color="auto"/>
              <w:left w:val="single" w:sz="4" w:space="0" w:color="auto"/>
              <w:bottom w:val="single" w:sz="4" w:space="0" w:color="auto"/>
              <w:right w:val="single" w:sz="4" w:space="0" w:color="auto"/>
            </w:tcBorders>
            <w:shd w:val="clear" w:color="auto" w:fill="auto"/>
            <w:noWrap/>
            <w:vAlign w:val="bottom"/>
          </w:tcPr>
          <w:p w14:paraId="3ABBEACB" w14:textId="173E113F" w:rsidR="00DE1568" w:rsidRPr="002E1AF6" w:rsidRDefault="00624F80" w:rsidP="00DE1568">
            <w:pPr>
              <w:tabs>
                <w:tab w:val="left" w:pos="142"/>
              </w:tabs>
              <w:jc w:val="right"/>
              <w:rPr>
                <w:rFonts w:ascii="Arial" w:hAnsi="Arial" w:cs="Arial"/>
                <w:sz w:val="18"/>
                <w:lang w:val="es-ES_tradnl"/>
              </w:rPr>
            </w:pPr>
            <w:r w:rsidRPr="002E1AF6">
              <w:rPr>
                <w:rFonts w:ascii="Arial" w:hAnsi="Arial" w:cs="Arial"/>
                <w:sz w:val="18"/>
                <w:lang w:val="es-ES_tradnl"/>
              </w:rPr>
              <w:t>116</w:t>
            </w:r>
            <w:r w:rsidR="00DE1568" w:rsidRPr="002E1AF6">
              <w:rPr>
                <w:rFonts w:ascii="Arial" w:hAnsi="Arial" w:cs="Arial"/>
                <w:sz w:val="18"/>
                <w:lang w:val="es-ES_tradnl"/>
              </w:rPr>
              <w:t>.</w:t>
            </w:r>
            <w:r w:rsidRPr="002E1AF6">
              <w:rPr>
                <w:rFonts w:ascii="Arial" w:hAnsi="Arial" w:cs="Arial"/>
                <w:sz w:val="18"/>
                <w:lang w:val="es-ES_tradnl"/>
              </w:rPr>
              <w:t>997</w:t>
            </w:r>
          </w:p>
        </w:tc>
        <w:tc>
          <w:tcPr>
            <w:tcW w:w="717" w:type="pct"/>
            <w:tcBorders>
              <w:top w:val="single" w:sz="6" w:space="0" w:color="auto"/>
              <w:left w:val="single" w:sz="4" w:space="0" w:color="auto"/>
              <w:bottom w:val="single" w:sz="4" w:space="0" w:color="auto"/>
              <w:right w:val="single" w:sz="4" w:space="0" w:color="auto"/>
            </w:tcBorders>
            <w:shd w:val="clear" w:color="auto" w:fill="auto"/>
            <w:noWrap/>
            <w:vAlign w:val="bottom"/>
          </w:tcPr>
          <w:p w14:paraId="562B53CC" w14:textId="36520977" w:rsidR="00DE1568" w:rsidRPr="002E1AF6" w:rsidRDefault="00DE1568" w:rsidP="00624F80">
            <w:pPr>
              <w:tabs>
                <w:tab w:val="left" w:pos="142"/>
              </w:tabs>
              <w:jc w:val="right"/>
              <w:rPr>
                <w:rFonts w:ascii="Arial" w:hAnsi="Arial" w:cs="Arial"/>
                <w:sz w:val="18"/>
              </w:rPr>
            </w:pPr>
            <w:r w:rsidRPr="002E1AF6">
              <w:rPr>
                <w:rFonts w:ascii="Arial" w:hAnsi="Arial" w:cs="Arial"/>
                <w:sz w:val="18"/>
              </w:rPr>
              <w:t>141.870</w:t>
            </w:r>
          </w:p>
        </w:tc>
      </w:tr>
      <w:tr w:rsidR="00DE1568" w:rsidRPr="00701F32" w14:paraId="54222B45" w14:textId="77777777" w:rsidTr="00624F80">
        <w:trPr>
          <w:trHeight w:val="242"/>
        </w:trPr>
        <w:tc>
          <w:tcPr>
            <w:tcW w:w="34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BE294" w14:textId="0082A263" w:rsidR="00DE1568" w:rsidRPr="002E1AF6" w:rsidRDefault="00DE1568" w:rsidP="00DE1568">
            <w:pPr>
              <w:tabs>
                <w:tab w:val="left" w:pos="142"/>
              </w:tabs>
              <w:jc w:val="both"/>
              <w:rPr>
                <w:rFonts w:ascii="Arial" w:hAnsi="Arial" w:cs="Arial"/>
                <w:b/>
                <w:sz w:val="18"/>
              </w:rPr>
            </w:pPr>
            <w:r w:rsidRPr="002E1AF6">
              <w:rPr>
                <w:rFonts w:ascii="Arial" w:hAnsi="Arial" w:cs="Arial"/>
                <w:b/>
                <w:sz w:val="18"/>
              </w:rPr>
              <w:t>Total</w:t>
            </w:r>
          </w:p>
        </w:tc>
        <w:tc>
          <w:tcPr>
            <w:tcW w:w="8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A03B61" w14:textId="4F68A535" w:rsidR="00DE1568" w:rsidRPr="002E1AF6" w:rsidRDefault="00624F80" w:rsidP="00DE1568">
            <w:pPr>
              <w:tabs>
                <w:tab w:val="left" w:pos="142"/>
              </w:tabs>
              <w:jc w:val="right"/>
              <w:rPr>
                <w:rFonts w:ascii="Arial" w:hAnsi="Arial" w:cs="Arial"/>
                <w:b/>
                <w:bCs/>
                <w:sz w:val="18"/>
                <w:lang w:val="es-ES_tradnl"/>
              </w:rPr>
            </w:pPr>
            <w:r w:rsidRPr="002E1AF6">
              <w:rPr>
                <w:rFonts w:ascii="Arial" w:hAnsi="Arial" w:cs="Arial"/>
                <w:b/>
                <w:bCs/>
                <w:sz w:val="18"/>
                <w:lang w:val="es-ES_tradnl"/>
              </w:rPr>
              <w:t>5</w:t>
            </w:r>
            <w:r w:rsidR="00DE1568" w:rsidRPr="002E1AF6">
              <w:rPr>
                <w:rFonts w:ascii="Arial" w:hAnsi="Arial" w:cs="Arial"/>
                <w:b/>
                <w:bCs/>
                <w:sz w:val="18"/>
                <w:lang w:val="es-ES_tradnl"/>
              </w:rPr>
              <w:t>.0</w:t>
            </w:r>
            <w:r w:rsidRPr="002E1AF6">
              <w:rPr>
                <w:rFonts w:ascii="Arial" w:hAnsi="Arial" w:cs="Arial"/>
                <w:b/>
                <w:bCs/>
                <w:sz w:val="18"/>
                <w:lang w:val="es-ES_tradnl"/>
              </w:rPr>
              <w:t>4</w:t>
            </w:r>
            <w:r w:rsidR="00DE1568" w:rsidRPr="002E1AF6">
              <w:rPr>
                <w:rFonts w:ascii="Arial" w:hAnsi="Arial" w:cs="Arial"/>
                <w:b/>
                <w:bCs/>
                <w:sz w:val="18"/>
                <w:lang w:val="es-ES_tradnl"/>
              </w:rPr>
              <w:t>2.</w:t>
            </w:r>
            <w:r w:rsidRPr="002E1AF6">
              <w:rPr>
                <w:rFonts w:ascii="Arial" w:hAnsi="Arial" w:cs="Arial"/>
                <w:b/>
                <w:bCs/>
                <w:sz w:val="18"/>
                <w:lang w:val="es-ES_tradnl"/>
              </w:rPr>
              <w:t>0</w:t>
            </w:r>
            <w:r w:rsidR="00DE1568" w:rsidRPr="002E1AF6">
              <w:rPr>
                <w:rFonts w:ascii="Arial" w:hAnsi="Arial" w:cs="Arial"/>
                <w:b/>
                <w:bCs/>
                <w:sz w:val="18"/>
                <w:lang w:val="es-ES_tradnl"/>
              </w:rPr>
              <w:t>8</w:t>
            </w:r>
            <w:r w:rsidRPr="002E1AF6">
              <w:rPr>
                <w:rFonts w:ascii="Arial" w:hAnsi="Arial" w:cs="Arial"/>
                <w:b/>
                <w:bCs/>
                <w:sz w:val="18"/>
                <w:lang w:val="es-ES_tradnl"/>
              </w:rPr>
              <w:t>0</w:t>
            </w:r>
          </w:p>
        </w:tc>
        <w:tc>
          <w:tcPr>
            <w:tcW w:w="7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2DC91" w14:textId="626C5EDC" w:rsidR="00DE1568" w:rsidRPr="002E1AF6" w:rsidRDefault="00DE1568" w:rsidP="00624F80">
            <w:pPr>
              <w:tabs>
                <w:tab w:val="left" w:pos="142"/>
              </w:tabs>
              <w:jc w:val="right"/>
              <w:rPr>
                <w:rFonts w:ascii="Arial" w:hAnsi="Arial" w:cs="Arial"/>
                <w:b/>
                <w:bCs/>
                <w:sz w:val="18"/>
              </w:rPr>
            </w:pPr>
            <w:r w:rsidRPr="002E1AF6">
              <w:rPr>
                <w:rFonts w:ascii="Arial" w:hAnsi="Arial" w:cs="Arial"/>
                <w:b/>
                <w:sz w:val="18"/>
              </w:rPr>
              <w:t>4.</w:t>
            </w:r>
            <w:r w:rsidR="00911EF8" w:rsidRPr="002E1AF6">
              <w:rPr>
                <w:rFonts w:ascii="Arial" w:hAnsi="Arial" w:cs="Arial"/>
                <w:b/>
                <w:sz w:val="18"/>
              </w:rPr>
              <w:t>922</w:t>
            </w:r>
            <w:r w:rsidRPr="002E1AF6">
              <w:rPr>
                <w:rFonts w:ascii="Arial" w:hAnsi="Arial" w:cs="Arial"/>
                <w:b/>
                <w:sz w:val="18"/>
              </w:rPr>
              <w:t>.</w:t>
            </w:r>
            <w:r w:rsidR="00911EF8" w:rsidRPr="002E1AF6">
              <w:rPr>
                <w:rFonts w:ascii="Arial" w:hAnsi="Arial" w:cs="Arial"/>
                <w:b/>
                <w:sz w:val="18"/>
              </w:rPr>
              <w:t>515</w:t>
            </w:r>
          </w:p>
        </w:tc>
      </w:tr>
    </w:tbl>
    <w:p w14:paraId="3E63716E" w14:textId="77777777" w:rsidR="00DE221E" w:rsidRDefault="00DE221E" w:rsidP="00656E62">
      <w:pPr>
        <w:tabs>
          <w:tab w:val="left" w:pos="142"/>
          <w:tab w:val="left" w:pos="9923"/>
        </w:tabs>
        <w:spacing w:after="200" w:line="276" w:lineRule="auto"/>
        <w:contextualSpacing/>
        <w:jc w:val="both"/>
        <w:rPr>
          <w:rFonts w:ascii="Arial" w:hAnsi="Arial" w:cs="Arial"/>
          <w:b/>
          <w:sz w:val="20"/>
        </w:rPr>
      </w:pPr>
    </w:p>
    <w:p w14:paraId="41ADA4B0" w14:textId="0803552B" w:rsidR="00656E62" w:rsidRDefault="00D17399" w:rsidP="00656E62">
      <w:pPr>
        <w:tabs>
          <w:tab w:val="left" w:pos="142"/>
          <w:tab w:val="left" w:pos="9923"/>
        </w:tabs>
        <w:spacing w:after="200" w:line="276" w:lineRule="auto"/>
        <w:contextualSpacing/>
        <w:jc w:val="both"/>
        <w:rPr>
          <w:rFonts w:ascii="Arial" w:hAnsi="Arial" w:cs="Arial"/>
          <w:b/>
          <w:sz w:val="20"/>
        </w:rPr>
      </w:pPr>
      <w:r w:rsidRPr="00EC1700">
        <w:rPr>
          <w:rFonts w:ascii="Arial" w:hAnsi="Arial" w:cs="Arial"/>
          <w:b/>
          <w:sz w:val="20"/>
        </w:rPr>
        <w:t>9</w:t>
      </w:r>
      <w:r w:rsidR="00656E62" w:rsidRPr="00EC1700">
        <w:rPr>
          <w:rFonts w:ascii="Arial" w:hAnsi="Arial" w:cs="Arial"/>
          <w:b/>
          <w:sz w:val="20"/>
        </w:rPr>
        <w:t>.3 Aumentos de capital pendientes de autorización</w:t>
      </w:r>
    </w:p>
    <w:p w14:paraId="02E6FBB0" w14:textId="77777777" w:rsidR="00DE221E" w:rsidRPr="00701F32" w:rsidRDefault="00DE221E" w:rsidP="00656E62">
      <w:pPr>
        <w:tabs>
          <w:tab w:val="left" w:pos="142"/>
          <w:tab w:val="left" w:pos="9923"/>
        </w:tabs>
        <w:spacing w:after="200" w:line="276" w:lineRule="auto"/>
        <w:contextualSpacing/>
        <w:jc w:val="both"/>
        <w:rPr>
          <w:rFonts w:ascii="Arial" w:hAnsi="Arial" w:cs="Arial"/>
          <w:b/>
          <w:sz w:val="20"/>
        </w:rPr>
      </w:pPr>
    </w:p>
    <w:p w14:paraId="437E2897" w14:textId="789CA128" w:rsidR="00DE221E" w:rsidRDefault="00DE221E" w:rsidP="00DE221E">
      <w:pPr>
        <w:tabs>
          <w:tab w:val="left" w:pos="142"/>
        </w:tabs>
        <w:jc w:val="both"/>
        <w:rPr>
          <w:rFonts w:ascii="Arial" w:hAnsi="Arial" w:cs="Arial"/>
          <w:sz w:val="20"/>
        </w:rPr>
      </w:pPr>
      <w:r w:rsidRPr="00701F32">
        <w:rPr>
          <w:rFonts w:ascii="Arial" w:hAnsi="Arial" w:cs="Arial"/>
          <w:sz w:val="20"/>
        </w:rPr>
        <w:t xml:space="preserve">Se resume a continuación el estado de capital social al cierre del </w:t>
      </w:r>
      <w:r>
        <w:rPr>
          <w:rFonts w:ascii="Arial" w:hAnsi="Arial" w:cs="Arial"/>
          <w:sz w:val="20"/>
        </w:rPr>
        <w:t xml:space="preserve">período </w:t>
      </w:r>
      <w:r w:rsidRPr="00701F32">
        <w:rPr>
          <w:rFonts w:ascii="Arial" w:hAnsi="Arial" w:cs="Arial"/>
          <w:sz w:val="20"/>
        </w:rPr>
        <w:t>finalizado el 3</w:t>
      </w:r>
      <w:r w:rsidR="00681B1C">
        <w:rPr>
          <w:rFonts w:ascii="Arial" w:hAnsi="Arial" w:cs="Arial"/>
          <w:sz w:val="20"/>
        </w:rPr>
        <w:t>1</w:t>
      </w:r>
      <w:r w:rsidRPr="00701F32">
        <w:rPr>
          <w:rFonts w:ascii="Arial" w:hAnsi="Arial" w:cs="Arial"/>
          <w:sz w:val="20"/>
        </w:rPr>
        <w:t xml:space="preserve"> de </w:t>
      </w:r>
      <w:r w:rsidR="00681B1C">
        <w:rPr>
          <w:rFonts w:ascii="Arial" w:hAnsi="Arial" w:cs="Arial"/>
          <w:sz w:val="20"/>
        </w:rPr>
        <w:t>marzo</w:t>
      </w:r>
      <w:r w:rsidRPr="00701F32">
        <w:rPr>
          <w:rFonts w:ascii="Arial" w:hAnsi="Arial" w:cs="Arial"/>
          <w:sz w:val="20"/>
        </w:rPr>
        <w:t xml:space="preserve"> de 20</w:t>
      </w:r>
      <w:r w:rsidR="00681B1C">
        <w:rPr>
          <w:rFonts w:ascii="Arial" w:hAnsi="Arial" w:cs="Arial"/>
          <w:sz w:val="20"/>
        </w:rPr>
        <w:t>20</w:t>
      </w:r>
      <w:r w:rsidRPr="00701F32">
        <w:rPr>
          <w:rFonts w:ascii="Arial" w:hAnsi="Arial" w:cs="Arial"/>
          <w:sz w:val="20"/>
        </w:rPr>
        <w:t xml:space="preserve"> a partir de los últimos 3 ejercicios anteriores:</w:t>
      </w:r>
    </w:p>
    <w:p w14:paraId="59E806AA" w14:textId="77777777" w:rsidR="00DE221E" w:rsidRPr="00701F32" w:rsidRDefault="00DE221E" w:rsidP="00DE221E">
      <w:pPr>
        <w:tabs>
          <w:tab w:val="left" w:pos="142"/>
        </w:tabs>
        <w:jc w:val="both"/>
        <w:rPr>
          <w:rFonts w:ascii="Arial" w:hAnsi="Arial" w:cs="Arial"/>
          <w:sz w:val="20"/>
        </w:rPr>
      </w:pPr>
    </w:p>
    <w:tbl>
      <w:tblPr>
        <w:tblW w:w="8622" w:type="dxa"/>
        <w:tblInd w:w="53" w:type="dxa"/>
        <w:tblLayout w:type="fixed"/>
        <w:tblCellMar>
          <w:left w:w="70" w:type="dxa"/>
          <w:right w:w="70" w:type="dxa"/>
        </w:tblCellMar>
        <w:tblLook w:val="04A0" w:firstRow="1" w:lastRow="0" w:firstColumn="1" w:lastColumn="0" w:noHBand="0" w:noVBand="1"/>
      </w:tblPr>
      <w:tblGrid>
        <w:gridCol w:w="4260"/>
        <w:gridCol w:w="1773"/>
        <w:gridCol w:w="1366"/>
        <w:gridCol w:w="1223"/>
      </w:tblGrid>
      <w:tr w:rsidR="00681B1C" w:rsidRPr="00701F32" w14:paraId="18E759CC" w14:textId="77777777" w:rsidTr="002B6E2E">
        <w:trPr>
          <w:trHeight w:val="276"/>
          <w:tblHeader/>
        </w:trPr>
        <w:tc>
          <w:tcPr>
            <w:tcW w:w="4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55290AD" w14:textId="77777777" w:rsidR="00681B1C" w:rsidRPr="00701F32" w:rsidRDefault="00681B1C" w:rsidP="002B6E2E">
            <w:pPr>
              <w:jc w:val="center"/>
              <w:rPr>
                <w:rFonts w:ascii="Arial" w:hAnsi="Arial" w:cs="Arial"/>
                <w:b/>
                <w:bCs/>
                <w:sz w:val="18"/>
                <w:lang w:eastAsia="es-AR"/>
              </w:rPr>
            </w:pPr>
            <w:r w:rsidRPr="00701F32">
              <w:rPr>
                <w:rFonts w:ascii="Arial" w:hAnsi="Arial" w:cs="Arial"/>
                <w:b/>
                <w:bCs/>
                <w:sz w:val="18"/>
                <w:lang w:eastAsia="es-AR"/>
              </w:rPr>
              <w:t>Concepto</w:t>
            </w:r>
          </w:p>
        </w:tc>
        <w:tc>
          <w:tcPr>
            <w:tcW w:w="1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84FDE2" w14:textId="77777777" w:rsidR="00681B1C" w:rsidRPr="00701F32" w:rsidRDefault="00681B1C" w:rsidP="002B6E2E">
            <w:pPr>
              <w:jc w:val="center"/>
              <w:rPr>
                <w:rFonts w:ascii="Arial" w:hAnsi="Arial" w:cs="Arial"/>
                <w:b/>
                <w:bCs/>
                <w:sz w:val="18"/>
                <w:lang w:eastAsia="es-AR"/>
              </w:rPr>
            </w:pPr>
            <w:r w:rsidRPr="00701F32">
              <w:rPr>
                <w:rFonts w:ascii="Arial" w:hAnsi="Arial" w:cs="Arial"/>
                <w:b/>
                <w:bCs/>
                <w:sz w:val="18"/>
                <w:lang w:eastAsia="es-AR"/>
              </w:rPr>
              <w:t>Importe</w:t>
            </w:r>
          </w:p>
        </w:tc>
        <w:tc>
          <w:tcPr>
            <w:tcW w:w="13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0CBA6A" w14:textId="77777777" w:rsidR="00681B1C" w:rsidRPr="00701F32" w:rsidRDefault="00681B1C" w:rsidP="002B6E2E">
            <w:pPr>
              <w:jc w:val="center"/>
              <w:rPr>
                <w:rFonts w:ascii="Arial" w:hAnsi="Arial" w:cs="Arial"/>
                <w:b/>
                <w:bCs/>
                <w:sz w:val="18"/>
                <w:lang w:eastAsia="es-AR"/>
              </w:rPr>
            </w:pPr>
            <w:r w:rsidRPr="00701F32">
              <w:rPr>
                <w:rFonts w:ascii="Arial" w:hAnsi="Arial" w:cs="Arial"/>
                <w:b/>
                <w:bCs/>
                <w:sz w:val="18"/>
                <w:lang w:eastAsia="es-AR"/>
              </w:rPr>
              <w:t>Saldo del Capital Social</w:t>
            </w:r>
          </w:p>
        </w:tc>
        <w:tc>
          <w:tcPr>
            <w:tcW w:w="12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586354" w14:textId="77777777" w:rsidR="00681B1C" w:rsidRPr="00701F32" w:rsidRDefault="00681B1C" w:rsidP="002B6E2E">
            <w:pPr>
              <w:jc w:val="center"/>
              <w:rPr>
                <w:rFonts w:ascii="Arial" w:hAnsi="Arial" w:cs="Arial"/>
                <w:b/>
                <w:bCs/>
                <w:sz w:val="18"/>
                <w:lang w:eastAsia="es-AR"/>
              </w:rPr>
            </w:pPr>
            <w:r w:rsidRPr="00701F32">
              <w:rPr>
                <w:rFonts w:ascii="Arial" w:hAnsi="Arial" w:cs="Arial"/>
                <w:b/>
                <w:bCs/>
                <w:sz w:val="18"/>
                <w:lang w:eastAsia="es-AR"/>
              </w:rPr>
              <w:t>Fecha de inscripción en la IGJ</w:t>
            </w:r>
          </w:p>
        </w:tc>
      </w:tr>
      <w:tr w:rsidR="00681B1C" w:rsidRPr="00701F32" w14:paraId="060A2A30" w14:textId="77777777" w:rsidTr="002B6E2E">
        <w:trPr>
          <w:trHeight w:val="316"/>
          <w:tblHeader/>
        </w:trPr>
        <w:tc>
          <w:tcPr>
            <w:tcW w:w="4260" w:type="dxa"/>
            <w:vMerge/>
            <w:tcBorders>
              <w:top w:val="nil"/>
              <w:left w:val="single" w:sz="4" w:space="0" w:color="auto"/>
              <w:bottom w:val="single" w:sz="4" w:space="0" w:color="auto"/>
              <w:right w:val="single" w:sz="4" w:space="0" w:color="auto"/>
            </w:tcBorders>
            <w:vAlign w:val="center"/>
            <w:hideMark/>
          </w:tcPr>
          <w:p w14:paraId="7E6C9723" w14:textId="77777777" w:rsidR="00681B1C" w:rsidRPr="00701F32" w:rsidRDefault="00681B1C" w:rsidP="002B6E2E">
            <w:pPr>
              <w:jc w:val="both"/>
              <w:rPr>
                <w:rFonts w:ascii="Arial" w:hAnsi="Arial" w:cs="Arial"/>
                <w:b/>
                <w:bCs/>
                <w:sz w:val="18"/>
                <w:lang w:eastAsia="es-AR"/>
              </w:rPr>
            </w:pPr>
          </w:p>
        </w:tc>
        <w:tc>
          <w:tcPr>
            <w:tcW w:w="1773" w:type="dxa"/>
            <w:vMerge/>
            <w:tcBorders>
              <w:top w:val="nil"/>
              <w:left w:val="single" w:sz="4" w:space="0" w:color="auto"/>
              <w:bottom w:val="single" w:sz="4" w:space="0" w:color="auto"/>
              <w:right w:val="single" w:sz="4" w:space="0" w:color="auto"/>
            </w:tcBorders>
            <w:vAlign w:val="center"/>
            <w:hideMark/>
          </w:tcPr>
          <w:p w14:paraId="26EF041D" w14:textId="77777777" w:rsidR="00681B1C" w:rsidRPr="00701F32" w:rsidRDefault="00681B1C" w:rsidP="002B6E2E">
            <w:pPr>
              <w:jc w:val="both"/>
              <w:rPr>
                <w:rFonts w:ascii="Arial" w:hAnsi="Arial" w:cs="Arial"/>
                <w:b/>
                <w:bCs/>
                <w:sz w:val="18"/>
                <w:lang w:eastAsia="es-AR"/>
              </w:rPr>
            </w:pPr>
          </w:p>
        </w:tc>
        <w:tc>
          <w:tcPr>
            <w:tcW w:w="1366" w:type="dxa"/>
            <w:vMerge/>
            <w:tcBorders>
              <w:top w:val="nil"/>
              <w:left w:val="single" w:sz="4" w:space="0" w:color="auto"/>
              <w:bottom w:val="single" w:sz="4" w:space="0" w:color="auto"/>
              <w:right w:val="single" w:sz="4" w:space="0" w:color="auto"/>
            </w:tcBorders>
            <w:vAlign w:val="center"/>
            <w:hideMark/>
          </w:tcPr>
          <w:p w14:paraId="3A7DA3AD" w14:textId="77777777" w:rsidR="00681B1C" w:rsidRPr="00701F32" w:rsidRDefault="00681B1C" w:rsidP="002B6E2E">
            <w:pPr>
              <w:jc w:val="center"/>
              <w:rPr>
                <w:rFonts w:ascii="Arial" w:hAnsi="Arial" w:cs="Arial"/>
                <w:b/>
                <w:bCs/>
                <w:sz w:val="18"/>
                <w:lang w:eastAsia="es-AR"/>
              </w:rPr>
            </w:pPr>
          </w:p>
        </w:tc>
        <w:tc>
          <w:tcPr>
            <w:tcW w:w="1223" w:type="dxa"/>
            <w:vMerge/>
            <w:tcBorders>
              <w:top w:val="nil"/>
              <w:left w:val="single" w:sz="4" w:space="0" w:color="auto"/>
              <w:bottom w:val="single" w:sz="4" w:space="0" w:color="auto"/>
              <w:right w:val="single" w:sz="4" w:space="0" w:color="auto"/>
            </w:tcBorders>
            <w:vAlign w:val="center"/>
            <w:hideMark/>
          </w:tcPr>
          <w:p w14:paraId="00FD0735" w14:textId="77777777" w:rsidR="00681B1C" w:rsidRPr="00701F32" w:rsidRDefault="00681B1C" w:rsidP="002B6E2E">
            <w:pPr>
              <w:jc w:val="both"/>
              <w:rPr>
                <w:rFonts w:ascii="Arial" w:hAnsi="Arial" w:cs="Arial"/>
                <w:b/>
                <w:bCs/>
                <w:sz w:val="18"/>
                <w:lang w:eastAsia="es-AR"/>
              </w:rPr>
            </w:pPr>
          </w:p>
        </w:tc>
      </w:tr>
      <w:tr w:rsidR="00681B1C" w:rsidRPr="00701F32" w14:paraId="17D004D3"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1342D" w14:textId="77777777" w:rsidR="00681B1C" w:rsidRPr="00701F32" w:rsidRDefault="00681B1C" w:rsidP="002B6E2E">
            <w:pPr>
              <w:rPr>
                <w:rFonts w:ascii="Arial" w:hAnsi="Arial" w:cs="Arial"/>
                <w:b/>
                <w:bCs/>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16</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B8548" w14:textId="77777777" w:rsidR="00681B1C" w:rsidRPr="00701F32" w:rsidRDefault="00681B1C" w:rsidP="002B6E2E">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5216E" w14:textId="77777777" w:rsidR="00681B1C" w:rsidRPr="00701F32" w:rsidRDefault="00681B1C" w:rsidP="002B6E2E">
            <w:pPr>
              <w:jc w:val="center"/>
              <w:rPr>
                <w:rFonts w:ascii="Arial" w:hAnsi="Arial" w:cs="Arial"/>
                <w:b/>
                <w:bCs/>
                <w:sz w:val="18"/>
                <w:lang w:eastAsia="es-AR"/>
              </w:rPr>
            </w:pPr>
            <w:r w:rsidRPr="00701F32">
              <w:rPr>
                <w:rFonts w:ascii="Arial" w:hAnsi="Arial" w:cs="Arial"/>
                <w:b/>
                <w:bCs/>
                <w:sz w:val="18"/>
                <w:lang w:eastAsia="es-AR"/>
              </w:rPr>
              <w:t>638.283</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03F9F" w14:textId="77777777" w:rsidR="00681B1C" w:rsidRPr="00701F32" w:rsidRDefault="00681B1C" w:rsidP="002B6E2E">
            <w:pPr>
              <w:jc w:val="center"/>
              <w:rPr>
                <w:rFonts w:ascii="Arial" w:hAnsi="Arial" w:cs="Arial"/>
                <w:sz w:val="18"/>
                <w:lang w:eastAsia="es-AR"/>
              </w:rPr>
            </w:pPr>
          </w:p>
          <w:p w14:paraId="62E57540" w14:textId="77777777" w:rsidR="00681B1C" w:rsidRPr="00701F32" w:rsidRDefault="00681B1C" w:rsidP="002B6E2E">
            <w:pPr>
              <w:jc w:val="center"/>
              <w:rPr>
                <w:rFonts w:ascii="Arial" w:hAnsi="Arial" w:cs="Arial"/>
                <w:sz w:val="18"/>
                <w:lang w:eastAsia="es-AR"/>
              </w:rPr>
            </w:pPr>
          </w:p>
        </w:tc>
      </w:tr>
      <w:tr w:rsidR="00681B1C" w:rsidRPr="00701F32" w14:paraId="35274EE9"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5CDB3" w14:textId="77777777" w:rsidR="00681B1C" w:rsidRPr="00701F32" w:rsidRDefault="00681B1C" w:rsidP="002B6E2E">
            <w:pPr>
              <w:rPr>
                <w:rFonts w:ascii="Arial" w:hAnsi="Arial" w:cs="Arial"/>
                <w:sz w:val="18"/>
                <w:lang w:eastAsia="es-AR"/>
              </w:rPr>
            </w:pPr>
            <w:r w:rsidRPr="00701F32">
              <w:rPr>
                <w:rFonts w:ascii="Arial" w:hAnsi="Arial" w:cs="Arial"/>
                <w:sz w:val="18"/>
                <w:lang w:eastAsia="es-AR"/>
              </w:rPr>
              <w:t>Aumento de capital según Asamblea Ordinaria y Extraordinaria de Accionistas del 04-05-2017</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10499" w14:textId="77777777" w:rsidR="00681B1C" w:rsidRPr="00701F32" w:rsidRDefault="00681B1C" w:rsidP="002B6E2E">
            <w:pPr>
              <w:jc w:val="center"/>
              <w:rPr>
                <w:rFonts w:ascii="Arial" w:hAnsi="Arial" w:cs="Arial"/>
                <w:sz w:val="18"/>
                <w:lang w:eastAsia="es-AR"/>
              </w:rPr>
            </w:pPr>
            <w:r w:rsidRPr="00701F32">
              <w:rPr>
                <w:rFonts w:ascii="Arial" w:hAnsi="Arial" w:cs="Arial"/>
                <w:sz w:val="18"/>
                <w:lang w:eastAsia="es-AR"/>
              </w:rPr>
              <w:t>4.594</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A40BE" w14:textId="77777777" w:rsidR="00681B1C" w:rsidRPr="00701F32" w:rsidRDefault="00681B1C" w:rsidP="002B6E2E">
            <w:pPr>
              <w:jc w:val="center"/>
              <w:rPr>
                <w:rFonts w:ascii="Arial" w:hAnsi="Arial" w:cs="Arial"/>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286BA" w14:textId="77777777" w:rsidR="00681B1C" w:rsidRPr="00701F32" w:rsidRDefault="00681B1C" w:rsidP="002B6E2E">
            <w:pPr>
              <w:jc w:val="center"/>
              <w:rPr>
                <w:rFonts w:ascii="Arial" w:hAnsi="Arial" w:cs="Arial"/>
                <w:sz w:val="18"/>
                <w:lang w:eastAsia="es-AR"/>
              </w:rPr>
            </w:pPr>
            <w:r>
              <w:rPr>
                <w:rFonts w:ascii="Arial" w:hAnsi="Arial" w:cs="Arial"/>
                <w:bCs/>
                <w:sz w:val="18"/>
              </w:rPr>
              <w:t>11-01-2019</w:t>
            </w:r>
          </w:p>
        </w:tc>
      </w:tr>
      <w:tr w:rsidR="00681B1C" w:rsidRPr="00701F32" w14:paraId="7A86624E"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B031B" w14:textId="77777777" w:rsidR="00681B1C" w:rsidRPr="00701F32" w:rsidRDefault="00681B1C" w:rsidP="002B6E2E">
            <w:pPr>
              <w:rPr>
                <w:rFonts w:ascii="Arial" w:hAnsi="Arial" w:cs="Arial"/>
                <w:sz w:val="18"/>
                <w:lang w:eastAsia="es-AR"/>
              </w:rPr>
            </w:pPr>
            <w:r w:rsidRPr="00701F32">
              <w:rPr>
                <w:rFonts w:ascii="Arial" w:hAnsi="Arial" w:cs="Arial"/>
                <w:sz w:val="18"/>
                <w:lang w:eastAsia="es-AR"/>
              </w:rPr>
              <w:t>Aumento de capital según Asamblea Ordinaria de Accionistas del 24-11-2017</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30113" w14:textId="77777777" w:rsidR="00681B1C" w:rsidRPr="00701F32" w:rsidRDefault="00681B1C" w:rsidP="002B6E2E">
            <w:pPr>
              <w:jc w:val="center"/>
              <w:rPr>
                <w:rFonts w:ascii="Arial" w:hAnsi="Arial" w:cs="Arial"/>
                <w:sz w:val="18"/>
                <w:lang w:eastAsia="es-AR"/>
              </w:rPr>
            </w:pPr>
            <w:r w:rsidRPr="00701F32">
              <w:rPr>
                <w:rFonts w:ascii="Arial" w:hAnsi="Arial" w:cs="Arial"/>
                <w:sz w:val="18"/>
                <w:lang w:eastAsia="es-AR"/>
              </w:rPr>
              <w:t>101.509</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CD659" w14:textId="77777777" w:rsidR="00681B1C" w:rsidRPr="00701F32" w:rsidRDefault="00681B1C" w:rsidP="002B6E2E">
            <w:pPr>
              <w:jc w:val="center"/>
              <w:rPr>
                <w:rFonts w:ascii="Arial" w:hAnsi="Arial" w:cs="Arial"/>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7E0C2" w14:textId="77777777" w:rsidR="00681B1C" w:rsidRPr="00701F32" w:rsidRDefault="00681B1C" w:rsidP="002B6E2E">
            <w:pPr>
              <w:jc w:val="center"/>
              <w:rPr>
                <w:rFonts w:ascii="Arial" w:hAnsi="Arial" w:cs="Arial"/>
                <w:bCs/>
                <w:sz w:val="18"/>
              </w:rPr>
            </w:pPr>
            <w:r>
              <w:rPr>
                <w:rFonts w:ascii="Arial" w:hAnsi="Arial" w:cs="Arial"/>
                <w:bCs/>
                <w:sz w:val="18"/>
              </w:rPr>
              <w:t>15-03-2019</w:t>
            </w:r>
          </w:p>
        </w:tc>
      </w:tr>
      <w:tr w:rsidR="00681B1C" w:rsidRPr="00701F32" w14:paraId="66F0D91F"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63B2E" w14:textId="77777777" w:rsidR="00681B1C" w:rsidRPr="00701F32" w:rsidRDefault="00681B1C" w:rsidP="002B6E2E">
            <w:pPr>
              <w:rPr>
                <w:rFonts w:ascii="Arial" w:hAnsi="Arial" w:cs="Arial"/>
                <w:b/>
                <w:bCs/>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17</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91C78" w14:textId="77777777" w:rsidR="00681B1C" w:rsidRPr="00701F32" w:rsidRDefault="00681B1C" w:rsidP="002B6E2E">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5E962" w14:textId="77777777" w:rsidR="00681B1C" w:rsidRPr="00701F32" w:rsidRDefault="00681B1C" w:rsidP="002B6E2E">
            <w:pPr>
              <w:jc w:val="center"/>
              <w:rPr>
                <w:rFonts w:ascii="Arial" w:hAnsi="Arial" w:cs="Arial"/>
                <w:b/>
                <w:bCs/>
                <w:sz w:val="18"/>
                <w:lang w:eastAsia="es-AR"/>
              </w:rPr>
            </w:pPr>
            <w:r w:rsidRPr="00701F32">
              <w:rPr>
                <w:rFonts w:ascii="Arial" w:hAnsi="Arial" w:cs="Arial"/>
                <w:b/>
                <w:bCs/>
                <w:sz w:val="18"/>
                <w:lang w:eastAsia="es-AR"/>
              </w:rPr>
              <w:t>744.386</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71A83" w14:textId="77777777" w:rsidR="00681B1C" w:rsidRPr="00701F32" w:rsidRDefault="00681B1C" w:rsidP="002B6E2E">
            <w:pPr>
              <w:jc w:val="center"/>
              <w:rPr>
                <w:rFonts w:ascii="Arial" w:hAnsi="Arial" w:cs="Arial"/>
                <w:sz w:val="18"/>
                <w:lang w:eastAsia="es-AR"/>
              </w:rPr>
            </w:pPr>
          </w:p>
        </w:tc>
      </w:tr>
      <w:tr w:rsidR="00681B1C" w:rsidRPr="00701F32" w14:paraId="4347B832"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669AE" w14:textId="77777777" w:rsidR="00681B1C" w:rsidRPr="00701F32" w:rsidRDefault="00681B1C" w:rsidP="002B6E2E">
            <w:pPr>
              <w:rPr>
                <w:rFonts w:ascii="Arial" w:hAnsi="Arial" w:cs="Arial"/>
                <w:b/>
                <w:bCs/>
                <w:sz w:val="18"/>
              </w:rPr>
            </w:pPr>
            <w:r w:rsidRPr="00701F32">
              <w:rPr>
                <w:rFonts w:ascii="Arial" w:hAnsi="Arial" w:cs="Arial"/>
                <w:sz w:val="18"/>
                <w:lang w:eastAsia="es-AR"/>
              </w:rPr>
              <w:t>Aumento de capital según Asamblea Ordinaria y Extraordinaria de Accionistas del 19-04-2018</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115E0" w14:textId="77777777" w:rsidR="00681B1C" w:rsidRPr="00701F32" w:rsidRDefault="00681B1C" w:rsidP="002B6E2E">
            <w:pPr>
              <w:jc w:val="center"/>
              <w:rPr>
                <w:rFonts w:ascii="Arial" w:hAnsi="Arial" w:cs="Arial"/>
                <w:sz w:val="18"/>
                <w:lang w:eastAsia="es-AR"/>
              </w:rPr>
            </w:pPr>
            <w:r w:rsidRPr="00701F32">
              <w:rPr>
                <w:rFonts w:ascii="Arial" w:hAnsi="Arial" w:cs="Arial"/>
                <w:sz w:val="18"/>
                <w:lang w:eastAsia="es-AR"/>
              </w:rPr>
              <w:t>27.579</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0E7CC" w14:textId="77777777" w:rsidR="00681B1C" w:rsidRPr="00701F32" w:rsidRDefault="00681B1C" w:rsidP="002B6E2E">
            <w:pPr>
              <w:jc w:val="center"/>
              <w:rPr>
                <w:rFonts w:ascii="Arial" w:hAnsi="Arial" w:cs="Arial"/>
                <w:b/>
                <w:bCs/>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96A81" w14:textId="77777777" w:rsidR="00681B1C" w:rsidRPr="00701F32" w:rsidRDefault="00681B1C" w:rsidP="002B6E2E">
            <w:pPr>
              <w:jc w:val="center"/>
              <w:rPr>
                <w:rFonts w:ascii="Arial" w:hAnsi="Arial" w:cs="Arial"/>
                <w:sz w:val="18"/>
                <w:lang w:eastAsia="es-AR"/>
              </w:rPr>
            </w:pPr>
            <w:r>
              <w:rPr>
                <w:rFonts w:ascii="Arial" w:hAnsi="Arial" w:cs="Arial"/>
                <w:bCs/>
                <w:sz w:val="18"/>
              </w:rPr>
              <w:t>11-04-2019</w:t>
            </w:r>
          </w:p>
        </w:tc>
      </w:tr>
      <w:tr w:rsidR="00681B1C" w:rsidRPr="00701F32" w14:paraId="62C8DE4A"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22E22" w14:textId="77777777" w:rsidR="00681B1C" w:rsidRPr="00701F32" w:rsidRDefault="00681B1C" w:rsidP="002B6E2E">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Pr>
                <w:rFonts w:ascii="Arial" w:hAnsi="Arial" w:cs="Arial"/>
                <w:sz w:val="18"/>
                <w:lang w:eastAsia="es-AR"/>
              </w:rPr>
              <w:t>21</w:t>
            </w:r>
            <w:r w:rsidRPr="00701F32">
              <w:rPr>
                <w:rFonts w:ascii="Arial" w:hAnsi="Arial" w:cs="Arial"/>
                <w:sz w:val="18"/>
                <w:lang w:eastAsia="es-AR"/>
              </w:rPr>
              <w:t>-</w:t>
            </w:r>
            <w:r>
              <w:rPr>
                <w:rFonts w:ascii="Arial" w:hAnsi="Arial" w:cs="Arial"/>
                <w:sz w:val="18"/>
                <w:lang w:eastAsia="es-AR"/>
              </w:rPr>
              <w:t>11</w:t>
            </w:r>
            <w:r w:rsidRPr="00701F32">
              <w:rPr>
                <w:rFonts w:ascii="Arial" w:hAnsi="Arial" w:cs="Arial"/>
                <w:sz w:val="18"/>
                <w:lang w:eastAsia="es-AR"/>
              </w:rPr>
              <w:t>-2018</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08B46" w14:textId="77777777" w:rsidR="00681B1C" w:rsidRPr="00701F32" w:rsidRDefault="00681B1C" w:rsidP="002B6E2E">
            <w:pPr>
              <w:jc w:val="center"/>
              <w:rPr>
                <w:rFonts w:ascii="Arial" w:hAnsi="Arial" w:cs="Arial"/>
                <w:sz w:val="18"/>
                <w:lang w:eastAsia="es-AR"/>
              </w:rPr>
            </w:pPr>
            <w:r>
              <w:rPr>
                <w:rFonts w:ascii="Arial" w:hAnsi="Arial" w:cs="Arial"/>
                <w:sz w:val="18"/>
                <w:lang w:eastAsia="es-AR"/>
              </w:rPr>
              <w:t>36.887</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BA365" w14:textId="77777777" w:rsidR="00681B1C" w:rsidRPr="00701F32" w:rsidRDefault="00681B1C" w:rsidP="002B6E2E">
            <w:pPr>
              <w:jc w:val="center"/>
              <w:rPr>
                <w:rFonts w:ascii="Arial" w:hAnsi="Arial" w:cs="Arial"/>
                <w:b/>
                <w:bCs/>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81E8D" w14:textId="77777777" w:rsidR="00681B1C" w:rsidRPr="00701F32" w:rsidRDefault="00681B1C" w:rsidP="002B6E2E">
            <w:pPr>
              <w:jc w:val="center"/>
              <w:rPr>
                <w:rFonts w:ascii="Arial" w:hAnsi="Arial" w:cs="Arial"/>
                <w:bCs/>
                <w:sz w:val="18"/>
              </w:rPr>
            </w:pPr>
            <w:r>
              <w:rPr>
                <w:rFonts w:ascii="Arial" w:hAnsi="Arial" w:cs="Arial"/>
                <w:bCs/>
                <w:sz w:val="18"/>
              </w:rPr>
              <w:t>02-05-2019</w:t>
            </w:r>
          </w:p>
        </w:tc>
      </w:tr>
      <w:tr w:rsidR="00681B1C" w:rsidRPr="00701F32" w14:paraId="68B74539"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49945" w14:textId="77777777" w:rsidR="00681B1C" w:rsidRPr="00701F32" w:rsidRDefault="00681B1C" w:rsidP="002B6E2E">
            <w:pPr>
              <w:rPr>
                <w:rFonts w:ascii="Arial" w:hAnsi="Arial" w:cs="Arial"/>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w:t>
            </w:r>
            <w:r>
              <w:rPr>
                <w:rFonts w:ascii="Arial" w:hAnsi="Arial" w:cs="Arial"/>
                <w:b/>
                <w:bCs/>
                <w:sz w:val="18"/>
              </w:rPr>
              <w:t>8</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8C47A" w14:textId="77777777" w:rsidR="00681B1C" w:rsidRDefault="00681B1C" w:rsidP="002B6E2E">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68968" w14:textId="77777777" w:rsidR="00681B1C" w:rsidRPr="00701F32" w:rsidRDefault="00681B1C" w:rsidP="002B6E2E">
            <w:pPr>
              <w:jc w:val="center"/>
              <w:rPr>
                <w:rFonts w:ascii="Arial" w:hAnsi="Arial" w:cs="Arial"/>
                <w:b/>
                <w:bCs/>
                <w:sz w:val="18"/>
                <w:lang w:eastAsia="es-AR"/>
              </w:rPr>
            </w:pPr>
            <w:r>
              <w:rPr>
                <w:rFonts w:ascii="Arial" w:hAnsi="Arial" w:cs="Arial"/>
                <w:b/>
                <w:bCs/>
                <w:sz w:val="18"/>
                <w:lang w:eastAsia="es-AR"/>
              </w:rPr>
              <w:t>808.852</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25C2F" w14:textId="77777777" w:rsidR="00681B1C" w:rsidRDefault="00681B1C" w:rsidP="002B6E2E">
            <w:pPr>
              <w:jc w:val="center"/>
              <w:rPr>
                <w:rFonts w:ascii="Arial" w:hAnsi="Arial" w:cs="Arial"/>
                <w:bCs/>
                <w:sz w:val="18"/>
              </w:rPr>
            </w:pPr>
          </w:p>
        </w:tc>
      </w:tr>
      <w:tr w:rsidR="00681B1C" w:rsidRPr="00701F32" w14:paraId="3938F03C"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786DA" w14:textId="77777777" w:rsidR="00681B1C" w:rsidRPr="00701F32" w:rsidRDefault="00681B1C" w:rsidP="002B6E2E">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Pr>
                <w:rFonts w:ascii="Arial" w:hAnsi="Arial" w:cs="Arial"/>
                <w:sz w:val="18"/>
                <w:lang w:eastAsia="es-AR"/>
              </w:rPr>
              <w:t>10</w:t>
            </w:r>
            <w:r w:rsidRPr="00701F32">
              <w:rPr>
                <w:rFonts w:ascii="Arial" w:hAnsi="Arial" w:cs="Arial"/>
                <w:sz w:val="18"/>
                <w:lang w:eastAsia="es-AR"/>
              </w:rPr>
              <w:t>-</w:t>
            </w:r>
            <w:r>
              <w:rPr>
                <w:rFonts w:ascii="Arial" w:hAnsi="Arial" w:cs="Arial"/>
                <w:sz w:val="18"/>
                <w:lang w:eastAsia="es-AR"/>
              </w:rPr>
              <w:t>07</w:t>
            </w:r>
            <w:r w:rsidRPr="00701F32">
              <w:rPr>
                <w:rFonts w:ascii="Arial" w:hAnsi="Arial" w:cs="Arial"/>
                <w:sz w:val="18"/>
                <w:lang w:eastAsia="es-AR"/>
              </w:rPr>
              <w:t>-201</w:t>
            </w:r>
            <w:r>
              <w:rPr>
                <w:rFonts w:ascii="Arial" w:hAnsi="Arial" w:cs="Arial"/>
                <w:sz w:val="18"/>
                <w:lang w:eastAsia="es-AR"/>
              </w:rPr>
              <w:t>9</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D4FA9" w14:textId="77777777" w:rsidR="00681B1C" w:rsidRDefault="00681B1C" w:rsidP="002B6E2E">
            <w:pPr>
              <w:jc w:val="center"/>
              <w:rPr>
                <w:rFonts w:ascii="Arial" w:hAnsi="Arial" w:cs="Arial"/>
                <w:sz w:val="18"/>
                <w:lang w:eastAsia="es-AR"/>
              </w:rPr>
            </w:pPr>
            <w:r>
              <w:rPr>
                <w:rFonts w:ascii="Arial" w:hAnsi="Arial" w:cs="Arial"/>
                <w:sz w:val="18"/>
                <w:lang w:eastAsia="es-AR"/>
              </w:rPr>
              <w:t>20.712</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5C08A" w14:textId="77777777" w:rsidR="00681B1C" w:rsidRPr="00701F32" w:rsidRDefault="00681B1C" w:rsidP="002B6E2E">
            <w:pPr>
              <w:jc w:val="center"/>
              <w:rPr>
                <w:rFonts w:ascii="Arial" w:hAnsi="Arial" w:cs="Arial"/>
                <w:b/>
                <w:bCs/>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8462C" w14:textId="77777777" w:rsidR="00681B1C" w:rsidRDefault="00681B1C" w:rsidP="002B6E2E">
            <w:pPr>
              <w:jc w:val="center"/>
              <w:rPr>
                <w:rFonts w:ascii="Arial" w:hAnsi="Arial" w:cs="Arial"/>
                <w:bCs/>
                <w:sz w:val="18"/>
              </w:rPr>
            </w:pPr>
            <w:r>
              <w:rPr>
                <w:rFonts w:ascii="Arial" w:hAnsi="Arial" w:cs="Arial"/>
                <w:bCs/>
                <w:sz w:val="18"/>
              </w:rPr>
              <w:t>17-12-2019</w:t>
            </w:r>
          </w:p>
        </w:tc>
      </w:tr>
      <w:tr w:rsidR="0079425F" w:rsidRPr="00701F32" w14:paraId="7811B270"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A0DDE" w14:textId="03105043" w:rsidR="0079425F" w:rsidRPr="00701F32" w:rsidRDefault="0079425F" w:rsidP="0079425F">
            <w:pPr>
              <w:rPr>
                <w:rFonts w:ascii="Arial" w:hAnsi="Arial" w:cs="Arial"/>
                <w:sz w:val="18"/>
                <w:lang w:eastAsia="es-AR"/>
              </w:rPr>
            </w:pPr>
            <w:r>
              <w:rPr>
                <w:rFonts w:ascii="Arial" w:hAnsi="Arial" w:cs="Arial"/>
                <w:b/>
                <w:bCs/>
                <w:sz w:val="18"/>
              </w:rPr>
              <w:t>Saldo del Capital Social al 31</w:t>
            </w:r>
            <w:r w:rsidRPr="00701F32">
              <w:rPr>
                <w:rFonts w:ascii="Arial" w:hAnsi="Arial" w:cs="Arial"/>
                <w:b/>
                <w:bCs/>
                <w:sz w:val="18"/>
              </w:rPr>
              <w:t>/</w:t>
            </w:r>
            <w:r>
              <w:rPr>
                <w:rFonts w:ascii="Arial" w:hAnsi="Arial" w:cs="Arial"/>
                <w:b/>
                <w:bCs/>
                <w:sz w:val="18"/>
              </w:rPr>
              <w:t>12</w:t>
            </w:r>
            <w:r w:rsidRPr="00701F32">
              <w:rPr>
                <w:rFonts w:ascii="Arial" w:hAnsi="Arial" w:cs="Arial"/>
                <w:b/>
                <w:bCs/>
                <w:sz w:val="18"/>
              </w:rPr>
              <w:t>/1</w:t>
            </w:r>
            <w:r>
              <w:rPr>
                <w:rFonts w:ascii="Arial" w:hAnsi="Arial" w:cs="Arial"/>
                <w:b/>
                <w:bCs/>
                <w:sz w:val="18"/>
              </w:rPr>
              <w:t>9</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2DB02" w14:textId="77777777" w:rsidR="0079425F" w:rsidRDefault="0079425F" w:rsidP="0079425F">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8C201" w14:textId="23E3D4C9" w:rsidR="0079425F" w:rsidRPr="00701F32" w:rsidRDefault="0079425F" w:rsidP="0079425F">
            <w:pPr>
              <w:jc w:val="center"/>
              <w:rPr>
                <w:rFonts w:ascii="Arial" w:hAnsi="Arial" w:cs="Arial"/>
                <w:b/>
                <w:bCs/>
                <w:sz w:val="18"/>
                <w:lang w:eastAsia="es-AR"/>
              </w:rPr>
            </w:pPr>
            <w:r>
              <w:rPr>
                <w:rFonts w:ascii="Arial" w:hAnsi="Arial" w:cs="Arial"/>
                <w:b/>
                <w:bCs/>
                <w:sz w:val="18"/>
                <w:lang w:eastAsia="es-AR"/>
              </w:rPr>
              <w:t>829.564</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6F092" w14:textId="77777777" w:rsidR="0079425F" w:rsidRPr="00701F32" w:rsidRDefault="0079425F" w:rsidP="0079425F">
            <w:pPr>
              <w:jc w:val="center"/>
              <w:rPr>
                <w:rFonts w:ascii="Arial" w:hAnsi="Arial" w:cs="Arial"/>
                <w:sz w:val="18"/>
                <w:lang w:eastAsia="es-AR"/>
              </w:rPr>
            </w:pPr>
          </w:p>
          <w:p w14:paraId="508777F4" w14:textId="77777777" w:rsidR="0079425F" w:rsidRDefault="0079425F" w:rsidP="0079425F">
            <w:pPr>
              <w:jc w:val="center"/>
              <w:rPr>
                <w:rFonts w:ascii="Arial" w:hAnsi="Arial" w:cs="Arial"/>
                <w:bCs/>
                <w:sz w:val="18"/>
              </w:rPr>
            </w:pPr>
          </w:p>
        </w:tc>
      </w:tr>
      <w:tr w:rsidR="0079425F" w:rsidRPr="00701F32" w14:paraId="2F9BB5AE" w14:textId="77777777" w:rsidTr="002B6E2E">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4F700" w14:textId="59FA2EB8" w:rsidR="0079425F" w:rsidRPr="00701F32" w:rsidRDefault="0079425F" w:rsidP="0079425F">
            <w:pPr>
              <w:rPr>
                <w:rFonts w:ascii="Arial" w:hAnsi="Arial" w:cs="Arial"/>
                <w:b/>
                <w:bCs/>
                <w:sz w:val="18"/>
                <w:lang w:eastAsia="es-AR"/>
              </w:rPr>
            </w:pPr>
            <w:r>
              <w:rPr>
                <w:rFonts w:ascii="Arial" w:hAnsi="Arial" w:cs="Arial"/>
                <w:b/>
                <w:bCs/>
                <w:sz w:val="18"/>
              </w:rPr>
              <w:t>Saldo del Capital Social al 31</w:t>
            </w:r>
            <w:r w:rsidRPr="00701F32">
              <w:rPr>
                <w:rFonts w:ascii="Arial" w:hAnsi="Arial" w:cs="Arial"/>
                <w:b/>
                <w:bCs/>
                <w:sz w:val="18"/>
              </w:rPr>
              <w:t>/</w:t>
            </w:r>
            <w:r>
              <w:rPr>
                <w:rFonts w:ascii="Arial" w:hAnsi="Arial" w:cs="Arial"/>
                <w:b/>
                <w:bCs/>
                <w:sz w:val="18"/>
              </w:rPr>
              <w:t>03/20</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4A699" w14:textId="77777777" w:rsidR="0079425F" w:rsidRPr="00701F32" w:rsidRDefault="0079425F" w:rsidP="0079425F">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80F21" w14:textId="77777777" w:rsidR="0079425F" w:rsidRPr="00701F32" w:rsidRDefault="0079425F" w:rsidP="0079425F">
            <w:pPr>
              <w:jc w:val="center"/>
              <w:rPr>
                <w:rFonts w:ascii="Arial" w:hAnsi="Arial" w:cs="Arial"/>
                <w:b/>
                <w:bCs/>
                <w:sz w:val="18"/>
                <w:lang w:eastAsia="es-AR"/>
              </w:rPr>
            </w:pPr>
            <w:r>
              <w:rPr>
                <w:rFonts w:ascii="Arial" w:hAnsi="Arial" w:cs="Arial"/>
                <w:b/>
                <w:bCs/>
                <w:sz w:val="18"/>
                <w:lang w:eastAsia="es-AR"/>
              </w:rPr>
              <w:t>829.564</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92CC6" w14:textId="77777777" w:rsidR="0079425F" w:rsidRPr="00701F32" w:rsidRDefault="0079425F" w:rsidP="0079425F">
            <w:pPr>
              <w:jc w:val="center"/>
              <w:rPr>
                <w:rFonts w:ascii="Arial" w:hAnsi="Arial" w:cs="Arial"/>
                <w:sz w:val="18"/>
                <w:lang w:eastAsia="es-AR"/>
              </w:rPr>
            </w:pPr>
          </w:p>
          <w:p w14:paraId="3F475BDB" w14:textId="77777777" w:rsidR="0079425F" w:rsidRPr="00701F32" w:rsidRDefault="0079425F" w:rsidP="0079425F">
            <w:pPr>
              <w:jc w:val="center"/>
              <w:rPr>
                <w:rFonts w:ascii="Arial" w:hAnsi="Arial" w:cs="Arial"/>
                <w:sz w:val="18"/>
                <w:lang w:eastAsia="es-AR"/>
              </w:rPr>
            </w:pPr>
          </w:p>
        </w:tc>
      </w:tr>
    </w:tbl>
    <w:p w14:paraId="2EA8759B" w14:textId="77777777" w:rsidR="00DE221E" w:rsidRDefault="00DE221E" w:rsidP="00DE221E">
      <w:pPr>
        <w:tabs>
          <w:tab w:val="left" w:pos="142"/>
        </w:tabs>
        <w:jc w:val="both"/>
        <w:rPr>
          <w:rFonts w:ascii="Arial" w:hAnsi="Arial" w:cs="Arial"/>
          <w:sz w:val="20"/>
        </w:rPr>
      </w:pPr>
    </w:p>
    <w:p w14:paraId="2E5DD27A" w14:textId="77777777" w:rsidR="00681B1C" w:rsidRPr="00A209A7" w:rsidRDefault="00681B1C" w:rsidP="00681B1C">
      <w:pPr>
        <w:tabs>
          <w:tab w:val="left" w:pos="142"/>
        </w:tabs>
        <w:jc w:val="both"/>
        <w:rPr>
          <w:rFonts w:ascii="Arial" w:hAnsi="Arial" w:cs="Arial"/>
          <w:sz w:val="20"/>
        </w:rPr>
      </w:pPr>
      <w:r>
        <w:rPr>
          <w:rFonts w:ascii="Arial" w:hAnsi="Arial" w:cs="Arial"/>
          <w:sz w:val="20"/>
        </w:rPr>
        <w:t xml:space="preserve">En fecha 12 de junio de 2019 el accionista Grupo Supervielle S.A. comunicó a la Entidad su decisión de realizar un aporte irrevocable de capital en efectivo por la suma de $ 475.000 para ser destinado a capital de trabajo. Por tal motivo, la Entidad convocó una Asamblea General de Accionistas para el 10 de julio de 2019 a fines de aprobar el aumento del capital. Dicha Asamblea resolvió aprobar la capitalización del aporte irrevocable y aprobar un aumento de capital por hasta la suma de $ 20.712 mediante la emisión de 20.711.607 acciones </w:t>
      </w:r>
      <w:r w:rsidRPr="00A209A7">
        <w:rPr>
          <w:rFonts w:ascii="Arial" w:hAnsi="Arial" w:cs="Arial"/>
          <w:sz w:val="20"/>
          <w:lang w:val="es-ES"/>
        </w:rPr>
        <w:t>ordinarias, escriturales, Clase B de valor nominal $ 1 cada una y con derecho a 1 voto por acción, a un precio de suscripción de $ 22,9340 por acción, con derecho a percibir dividendos o cualquier otra acreencia a partir de la fecha de su emisión y en igualdad de condiciones que el resto de las acciones Clase B que se encuentren en circulación en ese momento.</w:t>
      </w:r>
    </w:p>
    <w:p w14:paraId="6060639E" w14:textId="77777777" w:rsidR="00681B1C" w:rsidRDefault="00681B1C" w:rsidP="00681B1C">
      <w:pPr>
        <w:tabs>
          <w:tab w:val="left" w:pos="142"/>
        </w:tabs>
        <w:jc w:val="both"/>
        <w:rPr>
          <w:rFonts w:ascii="Arial" w:hAnsi="Arial" w:cs="Arial"/>
          <w:sz w:val="20"/>
        </w:rPr>
      </w:pPr>
    </w:p>
    <w:p w14:paraId="6CDA814F" w14:textId="77777777" w:rsidR="00681B1C" w:rsidRPr="00701F32" w:rsidRDefault="00681B1C" w:rsidP="00681B1C">
      <w:pPr>
        <w:tabs>
          <w:tab w:val="left" w:pos="142"/>
        </w:tabs>
        <w:jc w:val="both"/>
        <w:rPr>
          <w:rFonts w:ascii="Arial" w:hAnsi="Arial" w:cs="Arial"/>
          <w:sz w:val="20"/>
        </w:rPr>
      </w:pPr>
      <w:r>
        <w:rPr>
          <w:rFonts w:ascii="Arial" w:hAnsi="Arial" w:cs="Arial"/>
          <w:sz w:val="20"/>
        </w:rPr>
        <w:t xml:space="preserve">A </w:t>
      </w:r>
      <w:r w:rsidRPr="00701F32">
        <w:rPr>
          <w:rFonts w:ascii="Arial" w:hAnsi="Arial" w:cs="Arial"/>
          <w:sz w:val="20"/>
        </w:rPr>
        <w:t xml:space="preserve">la fecha de los presentes estados financieros el capital social asciende a </w:t>
      </w:r>
      <w:r>
        <w:rPr>
          <w:rFonts w:ascii="Arial" w:hAnsi="Arial" w:cs="Arial"/>
          <w:sz w:val="20"/>
        </w:rPr>
        <w:t>829</w:t>
      </w:r>
      <w:r w:rsidRPr="00701F32">
        <w:rPr>
          <w:rFonts w:ascii="Arial" w:hAnsi="Arial" w:cs="Arial"/>
          <w:sz w:val="20"/>
        </w:rPr>
        <w:t>.5</w:t>
      </w:r>
      <w:r>
        <w:rPr>
          <w:rFonts w:ascii="Arial" w:hAnsi="Arial" w:cs="Arial"/>
          <w:sz w:val="20"/>
        </w:rPr>
        <w:t>64</w:t>
      </w:r>
      <w:r w:rsidRPr="00701F32">
        <w:rPr>
          <w:rFonts w:ascii="Arial" w:hAnsi="Arial" w:cs="Arial"/>
          <w:sz w:val="20"/>
        </w:rPr>
        <w:t xml:space="preserve">, conformado por </w:t>
      </w:r>
      <w:r>
        <w:rPr>
          <w:rFonts w:ascii="Arial" w:hAnsi="Arial" w:cs="Arial"/>
          <w:sz w:val="20"/>
        </w:rPr>
        <w:t>829.563.871</w:t>
      </w:r>
      <w:r w:rsidRPr="00701F32">
        <w:rPr>
          <w:rFonts w:ascii="Arial" w:hAnsi="Arial" w:cs="Arial"/>
          <w:sz w:val="20"/>
        </w:rPr>
        <w:t xml:space="preserve"> acciones, de las cuales, 930.371 son acciones ordinarias, nominativas no endosables, escriturales, clase A de un peso valor nominal cada una y con derecho a cinco votos </w:t>
      </w:r>
      <w:r w:rsidRPr="00701F32">
        <w:rPr>
          <w:rFonts w:ascii="Arial" w:hAnsi="Arial" w:cs="Arial"/>
          <w:sz w:val="20"/>
        </w:rPr>
        <w:lastRenderedPageBreak/>
        <w:t xml:space="preserve">por acción y </w:t>
      </w:r>
      <w:r>
        <w:rPr>
          <w:rFonts w:ascii="Arial" w:hAnsi="Arial" w:cs="Arial"/>
          <w:sz w:val="20"/>
        </w:rPr>
        <w:t>828.633.500</w:t>
      </w:r>
      <w:r w:rsidRPr="00701F32">
        <w:rPr>
          <w:rFonts w:ascii="Arial" w:hAnsi="Arial" w:cs="Arial"/>
          <w:sz w:val="20"/>
        </w:rPr>
        <w:t xml:space="preserve"> son acciones ordinarias, nominativas no endosables, escriturales, </w:t>
      </w:r>
      <w:r>
        <w:rPr>
          <w:rFonts w:ascii="Arial" w:hAnsi="Arial" w:cs="Arial"/>
          <w:sz w:val="20"/>
        </w:rPr>
        <w:t>C</w:t>
      </w:r>
      <w:r w:rsidRPr="00701F32">
        <w:rPr>
          <w:rFonts w:ascii="Arial" w:hAnsi="Arial" w:cs="Arial"/>
          <w:sz w:val="20"/>
        </w:rPr>
        <w:t>lase B de un peso valor nominal cada una y con derecho a un voto por acción.</w:t>
      </w:r>
    </w:p>
    <w:p w14:paraId="7AB3E6A2" w14:textId="6772FF56" w:rsidR="00232A35" w:rsidRPr="00A209A7" w:rsidRDefault="00232A35" w:rsidP="00232A35">
      <w:pPr>
        <w:tabs>
          <w:tab w:val="left" w:pos="142"/>
        </w:tabs>
        <w:jc w:val="both"/>
        <w:rPr>
          <w:rFonts w:ascii="Arial" w:hAnsi="Arial" w:cs="Arial"/>
          <w:sz w:val="20"/>
        </w:rPr>
      </w:pPr>
    </w:p>
    <w:p w14:paraId="72DF4745" w14:textId="215D73DB" w:rsidR="00656E62" w:rsidRPr="00701F32" w:rsidRDefault="00D17399" w:rsidP="00656E62">
      <w:pPr>
        <w:tabs>
          <w:tab w:val="left" w:pos="142"/>
          <w:tab w:val="left" w:pos="9923"/>
        </w:tabs>
        <w:spacing w:after="200" w:line="276" w:lineRule="auto"/>
        <w:contextualSpacing/>
        <w:jc w:val="both"/>
        <w:rPr>
          <w:rFonts w:ascii="Arial" w:hAnsi="Arial" w:cs="Arial"/>
          <w:b/>
          <w:sz w:val="20"/>
        </w:rPr>
      </w:pPr>
      <w:r>
        <w:rPr>
          <w:rFonts w:ascii="Arial" w:hAnsi="Arial" w:cs="Arial"/>
          <w:b/>
          <w:sz w:val="20"/>
        </w:rPr>
        <w:t>9</w:t>
      </w:r>
      <w:r w:rsidR="00656E62" w:rsidRPr="00701F32">
        <w:rPr>
          <w:rFonts w:ascii="Arial" w:hAnsi="Arial" w:cs="Arial"/>
          <w:b/>
          <w:sz w:val="20"/>
        </w:rPr>
        <w:t>.4 Actividades fiduciarias</w:t>
      </w:r>
    </w:p>
    <w:p w14:paraId="7ABE1740" w14:textId="77777777" w:rsidR="00656E62" w:rsidRPr="00701F32" w:rsidRDefault="00656E62" w:rsidP="00656E62">
      <w:pPr>
        <w:tabs>
          <w:tab w:val="left" w:pos="142"/>
          <w:tab w:val="left" w:pos="9923"/>
        </w:tabs>
        <w:spacing w:after="200" w:line="276" w:lineRule="auto"/>
        <w:contextualSpacing/>
        <w:jc w:val="both"/>
        <w:rPr>
          <w:rFonts w:ascii="Arial" w:hAnsi="Arial" w:cs="Arial"/>
          <w:b/>
          <w:sz w:val="20"/>
        </w:rPr>
      </w:pPr>
    </w:p>
    <w:p w14:paraId="698EF5BF"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La Entidad actúa como Fiduciario o Fiduciante en los fideicomisos que se detallan a continuación:</w:t>
      </w:r>
    </w:p>
    <w:p w14:paraId="2C769833" w14:textId="379ADE50" w:rsidR="00656E62" w:rsidRDefault="00656E62" w:rsidP="00656E62">
      <w:pPr>
        <w:tabs>
          <w:tab w:val="left" w:pos="142"/>
        </w:tabs>
        <w:jc w:val="both"/>
        <w:rPr>
          <w:rFonts w:ascii="Arial" w:hAnsi="Arial" w:cs="Arial"/>
          <w:sz w:val="20"/>
        </w:rPr>
      </w:pPr>
    </w:p>
    <w:p w14:paraId="5CB9A103" w14:textId="77777777" w:rsidR="00656E62" w:rsidRPr="00701F32" w:rsidRDefault="00656E62" w:rsidP="00656E62">
      <w:pPr>
        <w:tabs>
          <w:tab w:val="left" w:pos="142"/>
        </w:tabs>
        <w:jc w:val="both"/>
        <w:rPr>
          <w:rFonts w:ascii="Arial" w:hAnsi="Arial" w:cs="Arial"/>
          <w:b/>
          <w:sz w:val="20"/>
          <w:u w:val="single"/>
        </w:rPr>
      </w:pPr>
      <w:r w:rsidRPr="00701F32">
        <w:rPr>
          <w:rFonts w:ascii="Arial" w:hAnsi="Arial" w:cs="Arial"/>
          <w:b/>
          <w:sz w:val="20"/>
          <w:u w:val="single"/>
        </w:rPr>
        <w:t>Actuación como Fiduciario</w:t>
      </w:r>
    </w:p>
    <w:p w14:paraId="5862CAAD" w14:textId="77777777" w:rsidR="00656E62" w:rsidRPr="00701F32" w:rsidRDefault="00656E62" w:rsidP="00656E62">
      <w:pPr>
        <w:tabs>
          <w:tab w:val="left" w:pos="142"/>
        </w:tabs>
        <w:jc w:val="both"/>
        <w:rPr>
          <w:rFonts w:ascii="Arial" w:hAnsi="Arial" w:cs="Arial"/>
          <w:sz w:val="20"/>
        </w:rPr>
      </w:pPr>
    </w:p>
    <w:p w14:paraId="61063FD6"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Se resume a continuación el detalle de los fideicomisos financieros:</w:t>
      </w:r>
    </w:p>
    <w:p w14:paraId="47CBF1A6"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 xml:space="preserve">      </w:t>
      </w:r>
    </w:p>
    <w:p w14:paraId="07C09255" w14:textId="62FB1AD3" w:rsidR="00D87ABD" w:rsidRPr="00701F32" w:rsidRDefault="00D87ABD" w:rsidP="00D87ABD">
      <w:pPr>
        <w:tabs>
          <w:tab w:val="left" w:pos="142"/>
        </w:tabs>
        <w:jc w:val="both"/>
        <w:rPr>
          <w:rFonts w:ascii="Arial" w:hAnsi="Arial" w:cs="Arial"/>
          <w:sz w:val="20"/>
        </w:rPr>
      </w:pPr>
      <w:r w:rsidRPr="00701F32">
        <w:rPr>
          <w:rFonts w:ascii="Arial" w:hAnsi="Arial" w:cs="Arial"/>
          <w:sz w:val="20"/>
        </w:rPr>
        <w:t>Fideicomisos de administración en garantía en los cuales Banco Supervielle S.A. actúa como fiduciario al 3</w:t>
      </w:r>
      <w:r w:rsidR="005A741E">
        <w:rPr>
          <w:rFonts w:ascii="Arial" w:hAnsi="Arial" w:cs="Arial"/>
          <w:sz w:val="20"/>
        </w:rPr>
        <w:t>1</w:t>
      </w:r>
      <w:r w:rsidRPr="00701F32">
        <w:rPr>
          <w:rFonts w:ascii="Arial" w:hAnsi="Arial" w:cs="Arial"/>
          <w:sz w:val="20"/>
        </w:rPr>
        <w:t xml:space="preserve"> de </w:t>
      </w:r>
      <w:r w:rsidR="005A741E">
        <w:rPr>
          <w:rFonts w:ascii="Arial" w:hAnsi="Arial" w:cs="Arial"/>
          <w:sz w:val="20"/>
        </w:rPr>
        <w:t>marzo</w:t>
      </w:r>
      <w:r w:rsidR="000E1F15">
        <w:rPr>
          <w:rFonts w:ascii="Arial" w:hAnsi="Arial" w:cs="Arial"/>
          <w:sz w:val="20"/>
        </w:rPr>
        <w:t xml:space="preserve"> </w:t>
      </w:r>
      <w:r w:rsidRPr="00701F32">
        <w:rPr>
          <w:rFonts w:ascii="Arial" w:hAnsi="Arial" w:cs="Arial"/>
          <w:sz w:val="20"/>
        </w:rPr>
        <w:t>de 20</w:t>
      </w:r>
      <w:r w:rsidR="005A741E">
        <w:rPr>
          <w:rFonts w:ascii="Arial" w:hAnsi="Arial" w:cs="Arial"/>
          <w:sz w:val="20"/>
        </w:rPr>
        <w:t>20</w:t>
      </w:r>
      <w:r w:rsidRPr="00701F32">
        <w:rPr>
          <w:rFonts w:ascii="Arial" w:hAnsi="Arial" w:cs="Arial"/>
          <w:sz w:val="20"/>
        </w:rPr>
        <w:t>:</w:t>
      </w:r>
    </w:p>
    <w:p w14:paraId="70ECF1D5" w14:textId="77777777" w:rsidR="00D87ABD" w:rsidRPr="00D87ABD" w:rsidRDefault="00D87ABD" w:rsidP="00656E62">
      <w:pPr>
        <w:tabs>
          <w:tab w:val="left" w:pos="142"/>
        </w:tabs>
        <w:jc w:val="both"/>
        <w:rPr>
          <w:rFonts w:ascii="Arial" w:hAnsi="Arial" w:cs="Arial"/>
          <w:strike/>
          <w:sz w:val="20"/>
        </w:rPr>
      </w:pPr>
    </w:p>
    <w:tbl>
      <w:tblPr>
        <w:tblW w:w="8864" w:type="dxa"/>
        <w:tblInd w:w="-5" w:type="dxa"/>
        <w:tblLayout w:type="fixed"/>
        <w:tblCellMar>
          <w:left w:w="70" w:type="dxa"/>
          <w:right w:w="70" w:type="dxa"/>
        </w:tblCellMar>
        <w:tblLook w:val="04A0" w:firstRow="1" w:lastRow="0" w:firstColumn="1" w:lastColumn="0" w:noHBand="0" w:noVBand="1"/>
      </w:tblPr>
      <w:tblGrid>
        <w:gridCol w:w="1190"/>
        <w:gridCol w:w="941"/>
        <w:gridCol w:w="2197"/>
        <w:gridCol w:w="992"/>
        <w:gridCol w:w="851"/>
        <w:gridCol w:w="1417"/>
        <w:gridCol w:w="1276"/>
      </w:tblGrid>
      <w:tr w:rsidR="00D87ABD" w:rsidRPr="00701F32" w14:paraId="2A009F23" w14:textId="77777777" w:rsidTr="005A1F48">
        <w:trPr>
          <w:trHeight w:val="740"/>
          <w:tblHeader/>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95CB5"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Fideicomiso</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6EC64BF7"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Fecha Firma Contrato</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14:paraId="485D361F"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Vencimiento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F2129D"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Monto de Capital Original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3C0D238"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Saldo de Capital</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4DAF98"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Beneficiarios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5640CD"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Fiduciante</w:t>
            </w:r>
          </w:p>
        </w:tc>
      </w:tr>
      <w:tr w:rsidR="00084EEA" w:rsidRPr="00701F32" w14:paraId="56F5E4C5" w14:textId="77777777" w:rsidTr="00C36F34">
        <w:trPr>
          <w:trHeight w:val="580"/>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1F8DC829" w14:textId="2CF1425D" w:rsidR="00084EEA" w:rsidRPr="00701F32" w:rsidRDefault="00084EEA" w:rsidP="00084EEA">
            <w:pPr>
              <w:jc w:val="center"/>
              <w:rPr>
                <w:rFonts w:ascii="Arial" w:hAnsi="Arial" w:cs="Arial"/>
                <w:sz w:val="16"/>
                <w:szCs w:val="16"/>
              </w:rPr>
            </w:pPr>
            <w:r w:rsidRPr="00701F32">
              <w:rPr>
                <w:rFonts w:ascii="Arial" w:hAnsi="Arial" w:cs="Arial"/>
                <w:sz w:val="16"/>
                <w:szCs w:val="16"/>
              </w:rPr>
              <w:t>Fideicomiso de Administración Interconexión 500 KV ET Nueva San Juan - ET Rodeo Iglesia</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14:paraId="1D447D27" w14:textId="3E8BB8AF" w:rsidR="00084EEA" w:rsidRPr="00701F32" w:rsidRDefault="00084EEA" w:rsidP="00084EEA">
            <w:pPr>
              <w:jc w:val="center"/>
              <w:rPr>
                <w:rFonts w:ascii="Arial" w:hAnsi="Arial" w:cs="Arial"/>
                <w:sz w:val="16"/>
                <w:szCs w:val="16"/>
              </w:rPr>
            </w:pPr>
            <w:r w:rsidRPr="00701F32">
              <w:rPr>
                <w:rFonts w:ascii="Arial" w:hAnsi="Arial" w:cs="Arial"/>
                <w:sz w:val="16"/>
                <w:szCs w:val="16"/>
              </w:rPr>
              <w:t>12/09/2018</w:t>
            </w:r>
          </w:p>
        </w:tc>
        <w:tc>
          <w:tcPr>
            <w:tcW w:w="2197" w:type="dxa"/>
            <w:tcBorders>
              <w:top w:val="single" w:sz="4" w:space="0" w:color="auto"/>
              <w:left w:val="nil"/>
              <w:bottom w:val="single" w:sz="4" w:space="0" w:color="auto"/>
              <w:right w:val="single" w:sz="4" w:space="0" w:color="auto"/>
            </w:tcBorders>
            <w:shd w:val="clear" w:color="auto" w:fill="auto"/>
            <w:vAlign w:val="center"/>
          </w:tcPr>
          <w:p w14:paraId="6781F3BE" w14:textId="2EA4BD91" w:rsidR="00084EEA" w:rsidRPr="00701F32" w:rsidRDefault="00084EEA" w:rsidP="00084EEA">
            <w:pPr>
              <w:jc w:val="center"/>
              <w:rPr>
                <w:rFonts w:ascii="Arial" w:hAnsi="Arial" w:cs="Arial"/>
                <w:sz w:val="16"/>
                <w:szCs w:val="16"/>
                <w:lang w:val="es-ES_tradnl"/>
              </w:rPr>
            </w:pPr>
            <w:r>
              <w:rPr>
                <w:rFonts w:ascii="Arial" w:hAnsi="Arial" w:cs="Arial"/>
                <w:sz w:val="16"/>
                <w:szCs w:val="16"/>
              </w:rPr>
              <w:t xml:space="preserve">La duración de este Contrato de FIDEICOMISO será de 24 meses a contar  </w:t>
            </w:r>
            <w:r w:rsidRPr="00701F32">
              <w:rPr>
                <w:rFonts w:ascii="Arial" w:hAnsi="Arial" w:cs="Arial"/>
                <w:sz w:val="16"/>
                <w:szCs w:val="16"/>
              </w:rPr>
              <w:t>12/09/20</w:t>
            </w:r>
            <w:r>
              <w:rPr>
                <w:rFonts w:ascii="Arial" w:hAnsi="Arial" w:cs="Arial"/>
                <w:sz w:val="16"/>
                <w:szCs w:val="16"/>
              </w:rPr>
              <w:t>18</w:t>
            </w:r>
            <w:r w:rsidRPr="00701F32">
              <w:rPr>
                <w:rFonts w:ascii="Arial" w:hAnsi="Arial" w:cs="Arial"/>
                <w:sz w:val="16"/>
                <w:szCs w:val="16"/>
              </w:rPr>
              <w:t xml:space="preserve">, o hasta la extinción de las obligaciones de pago mediante Desembolsos (la “Fecha de Extinción”). </w:t>
            </w:r>
            <w:r w:rsidRPr="00CE31CA">
              <w:rPr>
                <w:rFonts w:ascii="Arial" w:hAnsi="Arial" w:cs="Arial"/>
                <w:sz w:val="16"/>
                <w:szCs w:val="16"/>
                <w:lang w:eastAsia="es-AR"/>
              </w:rPr>
              <w:t>Transcurridos 30 (treinta días ) días de la finalización del plazo del presente Contrato de FIDEICOMISO sin que las Partes hubieran acordado una Comisión de Prórroga, se dará por extinguido el FIDEICOMISO sin posibilidad de prórroga, percibiendo el FIDUCIARIO, de la Cuenta Fiduciaria, la suma de pesos equivalente a U$D 6.000 (dólares estadounidenses seis mil) al tipo de cambio comprador vigente en Banco Supervielle en concepto de penalidad</w:t>
            </w:r>
            <w:r>
              <w:rPr>
                <w:rFonts w:ascii="Century Gothic" w:hAnsi="Century Gothic" w:cs="Arial"/>
                <w:sz w:val="16"/>
                <w:szCs w:val="16"/>
                <w:lang w:eastAsia="es-AR"/>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7F70B129" w14:textId="01093C65" w:rsidR="00084EEA" w:rsidRPr="00701F32" w:rsidRDefault="00084EEA" w:rsidP="00084EEA">
            <w:pPr>
              <w:jc w:val="center"/>
              <w:rPr>
                <w:rFonts w:ascii="Arial" w:hAnsi="Arial" w:cs="Arial"/>
                <w:sz w:val="16"/>
                <w:szCs w:val="16"/>
                <w:lang w:val="es-ES_tradnl"/>
              </w:rPr>
            </w:pPr>
            <w:r w:rsidRPr="00701F32">
              <w:rPr>
                <w:rFonts w:ascii="Arial" w:hAnsi="Arial" w:cs="Arial"/>
                <w:sz w:val="16"/>
                <w:szCs w:val="16"/>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21497CBD" w14:textId="5A5EA490" w:rsidR="00084EEA" w:rsidRPr="00701F32" w:rsidRDefault="00084EEA" w:rsidP="00084EEA">
            <w:pPr>
              <w:jc w:val="center"/>
              <w:rPr>
                <w:rFonts w:ascii="Arial" w:hAnsi="Arial" w:cs="Arial"/>
                <w:sz w:val="16"/>
                <w:szCs w:val="16"/>
                <w:lang w:val="es-ES_tradnl"/>
              </w:rPr>
            </w:pPr>
            <w:r w:rsidRPr="00701F32">
              <w:rPr>
                <w:rFonts w:ascii="Arial" w:hAnsi="Arial"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432878" w14:textId="45BDE79A" w:rsidR="00084EEA" w:rsidRPr="00701F32" w:rsidRDefault="00084EEA" w:rsidP="00084EEA">
            <w:pPr>
              <w:jc w:val="center"/>
              <w:rPr>
                <w:rFonts w:ascii="Arial" w:hAnsi="Arial" w:cs="Arial"/>
                <w:sz w:val="16"/>
                <w:szCs w:val="16"/>
                <w:lang w:val="es-ES_tradnl"/>
              </w:rPr>
            </w:pPr>
            <w:r w:rsidRPr="00CE31CA">
              <w:rPr>
                <w:rFonts w:ascii="Arial" w:hAnsi="Arial" w:cs="Arial"/>
                <w:sz w:val="16"/>
                <w:szCs w:val="16"/>
                <w:lang w:eastAsia="es-AR"/>
              </w:rPr>
              <w:t>Los mencionados originalmente en el Anexo V (DISERVEL S.R.L., INGENIAS S.R.L, GEOTECNIA (INV. CALVENTE), NEWEN INGENIERIA S.A., INGICIAP S.A., MERCADOS ENERGETICOS, DISERVEL S.R.L.) y los proveedores de obras, bienes y servicios comprendidos en el Proyecto, a ser designados por el FIDUCIANTE con la previa conformidad del COMITENTE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7433D8" w14:textId="4393EE32" w:rsidR="00084EEA" w:rsidRPr="00701F32" w:rsidRDefault="00084EEA" w:rsidP="00084EEA">
            <w:pPr>
              <w:jc w:val="center"/>
              <w:rPr>
                <w:rFonts w:ascii="Arial" w:hAnsi="Arial" w:cs="Arial"/>
                <w:sz w:val="16"/>
                <w:szCs w:val="16"/>
              </w:rPr>
            </w:pPr>
            <w:r w:rsidRPr="00701F32">
              <w:rPr>
                <w:rFonts w:ascii="Arial" w:hAnsi="Arial" w:cs="Arial"/>
                <w:sz w:val="16"/>
                <w:szCs w:val="16"/>
              </w:rPr>
              <w:t>Interconexion Electrica Rodeo S.A.</w:t>
            </w:r>
          </w:p>
        </w:tc>
      </w:tr>
    </w:tbl>
    <w:p w14:paraId="337FC61B" w14:textId="77777777" w:rsidR="00D87ABD" w:rsidRPr="00701F32" w:rsidRDefault="00D87ABD" w:rsidP="00D87ABD">
      <w:pPr>
        <w:jc w:val="both"/>
        <w:rPr>
          <w:rFonts w:ascii="Arial" w:hAnsi="Arial" w:cs="Arial"/>
          <w:sz w:val="20"/>
        </w:rPr>
      </w:pPr>
    </w:p>
    <w:p w14:paraId="0F43651A" w14:textId="77777777" w:rsidR="000E7BFA" w:rsidRPr="000E7BFA" w:rsidRDefault="000E7BFA" w:rsidP="000E7BFA">
      <w:pPr>
        <w:tabs>
          <w:tab w:val="left" w:pos="142"/>
        </w:tabs>
        <w:jc w:val="both"/>
        <w:rPr>
          <w:rFonts w:ascii="Arial" w:hAnsi="Arial" w:cs="Arial"/>
          <w:sz w:val="20"/>
        </w:rPr>
      </w:pPr>
      <w:r w:rsidRPr="000E7BFA">
        <w:rPr>
          <w:rFonts w:ascii="Arial" w:hAnsi="Arial" w:cs="Arial"/>
          <w:sz w:val="20"/>
        </w:rPr>
        <w:t>Con fech</w:t>
      </w:r>
      <w:r>
        <w:rPr>
          <w:rFonts w:ascii="Arial" w:hAnsi="Arial" w:cs="Arial"/>
          <w:sz w:val="20"/>
        </w:rPr>
        <w:t>a</w:t>
      </w:r>
      <w:r w:rsidRPr="000E7BFA">
        <w:rPr>
          <w:rFonts w:ascii="Arial" w:hAnsi="Arial" w:cs="Arial"/>
          <w:sz w:val="20"/>
        </w:rPr>
        <w:t xml:space="preserve"> 29-02-2020 </w:t>
      </w:r>
      <w:r>
        <w:rPr>
          <w:rFonts w:ascii="Arial" w:hAnsi="Arial" w:cs="Arial"/>
          <w:sz w:val="20"/>
        </w:rPr>
        <w:t>se retrocedió el Fideicomiso Financiero Supervielle Créditos 97</w:t>
      </w:r>
      <w:r w:rsidRPr="000E7BFA">
        <w:rPr>
          <w:rFonts w:ascii="Arial" w:hAnsi="Arial" w:cs="Arial"/>
          <w:sz w:val="20"/>
        </w:rPr>
        <w:t>, cuy</w:t>
      </w:r>
      <w:r>
        <w:rPr>
          <w:rFonts w:ascii="Arial" w:hAnsi="Arial" w:cs="Arial"/>
          <w:sz w:val="20"/>
        </w:rPr>
        <w:t>o fid</w:t>
      </w:r>
      <w:r w:rsidRPr="000E7BFA">
        <w:rPr>
          <w:rFonts w:ascii="Arial" w:hAnsi="Arial" w:cs="Arial"/>
          <w:sz w:val="20"/>
        </w:rPr>
        <w:t>uciario es TMF Trust Company (Argentina) S.A.</w:t>
      </w:r>
      <w:r>
        <w:rPr>
          <w:rFonts w:ascii="Arial" w:hAnsi="Arial" w:cs="Arial"/>
          <w:sz w:val="20"/>
        </w:rPr>
        <w:t xml:space="preserve"> por un saldo de cartera de 84.419.269, dicho fidceicomiso no tenia CP.</w:t>
      </w:r>
    </w:p>
    <w:p w14:paraId="278A40EE" w14:textId="77777777" w:rsidR="000E7BFA" w:rsidRDefault="000E7BFA" w:rsidP="000E7BFA">
      <w:pPr>
        <w:tabs>
          <w:tab w:val="left" w:pos="142"/>
        </w:tabs>
        <w:contextualSpacing/>
        <w:jc w:val="both"/>
        <w:rPr>
          <w:rFonts w:ascii="Arial" w:hAnsi="Arial" w:cs="Arial"/>
          <w:b/>
          <w:sz w:val="20"/>
          <w:lang w:eastAsia="es-AR"/>
        </w:rPr>
      </w:pPr>
    </w:p>
    <w:p w14:paraId="2840C1F6" w14:textId="7DCF54D0" w:rsidR="00656E62" w:rsidRPr="00701F32" w:rsidRDefault="00D17399" w:rsidP="00656E62">
      <w:pPr>
        <w:tabs>
          <w:tab w:val="left" w:pos="142"/>
          <w:tab w:val="left" w:pos="9923"/>
        </w:tabs>
        <w:spacing w:after="200" w:line="276" w:lineRule="auto"/>
        <w:contextualSpacing/>
        <w:jc w:val="both"/>
        <w:rPr>
          <w:rFonts w:ascii="Arial" w:hAnsi="Arial" w:cs="Arial"/>
          <w:b/>
          <w:sz w:val="20"/>
        </w:rPr>
      </w:pPr>
      <w:r>
        <w:rPr>
          <w:rFonts w:ascii="Arial" w:hAnsi="Arial" w:cs="Arial"/>
          <w:b/>
          <w:sz w:val="20"/>
        </w:rPr>
        <w:t>9</w:t>
      </w:r>
      <w:r w:rsidR="00656E62" w:rsidRPr="00701F32">
        <w:rPr>
          <w:rFonts w:ascii="Arial" w:hAnsi="Arial" w:cs="Arial"/>
          <w:b/>
          <w:sz w:val="20"/>
        </w:rPr>
        <w:t>.5 Cumplimiento de disposiciones requeridas por la Comisión Nacional de Valores</w:t>
      </w:r>
    </w:p>
    <w:p w14:paraId="64F2B444" w14:textId="77777777" w:rsidR="00893B68" w:rsidRPr="00701F32" w:rsidRDefault="00893B68" w:rsidP="00656E62">
      <w:pPr>
        <w:tabs>
          <w:tab w:val="left" w:pos="142"/>
          <w:tab w:val="left" w:pos="9923"/>
        </w:tabs>
        <w:spacing w:after="200" w:line="276" w:lineRule="auto"/>
        <w:contextualSpacing/>
        <w:jc w:val="both"/>
        <w:rPr>
          <w:rFonts w:ascii="Arial" w:hAnsi="Arial" w:cs="Arial"/>
          <w:b/>
          <w:sz w:val="20"/>
        </w:rPr>
      </w:pPr>
    </w:p>
    <w:p w14:paraId="44A8B22D" w14:textId="15F5A50E" w:rsidR="00656E62" w:rsidRPr="00701F32" w:rsidRDefault="00D17399" w:rsidP="00656E62">
      <w:pPr>
        <w:tabs>
          <w:tab w:val="left" w:pos="142"/>
          <w:tab w:val="left" w:pos="9923"/>
        </w:tabs>
        <w:spacing w:after="200" w:line="276" w:lineRule="auto"/>
        <w:contextualSpacing/>
        <w:jc w:val="both"/>
        <w:rPr>
          <w:rFonts w:ascii="Arial" w:hAnsi="Arial" w:cs="Arial"/>
          <w:sz w:val="20"/>
        </w:rPr>
      </w:pPr>
      <w:r w:rsidRPr="00BA7A6B">
        <w:rPr>
          <w:rFonts w:ascii="Arial" w:hAnsi="Arial" w:cs="Arial"/>
          <w:b/>
          <w:sz w:val="20"/>
        </w:rPr>
        <w:lastRenderedPageBreak/>
        <w:t>9</w:t>
      </w:r>
      <w:r w:rsidR="00656E62" w:rsidRPr="00BA7A6B">
        <w:rPr>
          <w:rFonts w:ascii="Arial" w:hAnsi="Arial" w:cs="Arial"/>
          <w:b/>
          <w:sz w:val="20"/>
        </w:rPr>
        <w:t>.5.1 Disposiciones para operar como agente de mercado abierto</w:t>
      </w:r>
    </w:p>
    <w:p w14:paraId="16C84F01" w14:textId="77777777" w:rsidR="00656E62" w:rsidRPr="00701F32" w:rsidRDefault="00656E62" w:rsidP="00656E62">
      <w:pPr>
        <w:tabs>
          <w:tab w:val="left" w:pos="142"/>
          <w:tab w:val="left" w:pos="9923"/>
        </w:tabs>
        <w:spacing w:after="200" w:line="276" w:lineRule="auto"/>
        <w:contextualSpacing/>
        <w:jc w:val="both"/>
        <w:rPr>
          <w:rFonts w:ascii="Arial" w:hAnsi="Arial" w:cs="Arial"/>
          <w:sz w:val="20"/>
        </w:rPr>
      </w:pPr>
    </w:p>
    <w:p w14:paraId="5C013E8D" w14:textId="47099ECE" w:rsidR="00DE221E" w:rsidRPr="00701F32" w:rsidRDefault="00DE221E" w:rsidP="00DE221E">
      <w:pPr>
        <w:tabs>
          <w:tab w:val="left" w:pos="142"/>
        </w:tabs>
        <w:jc w:val="both"/>
        <w:rPr>
          <w:rFonts w:ascii="Arial" w:hAnsi="Arial" w:cs="Arial"/>
          <w:sz w:val="20"/>
        </w:rPr>
      </w:pPr>
      <w:r w:rsidRPr="00701F32">
        <w:rPr>
          <w:rFonts w:ascii="Arial" w:hAnsi="Arial" w:cs="Arial"/>
          <w:sz w:val="20"/>
        </w:rPr>
        <w:t>Considerando la operatoria que actualmente realiza la Entidad, y conforme a las diferentes categorías de agentes que establece la Resolución General N° 622</w:t>
      </w:r>
      <w:r w:rsidR="00B154F6">
        <w:rPr>
          <w:rFonts w:ascii="Arial" w:hAnsi="Arial" w:cs="Arial"/>
          <w:sz w:val="20"/>
        </w:rPr>
        <w:t>/13</w:t>
      </w:r>
      <w:r w:rsidRPr="00701F32">
        <w:rPr>
          <w:rFonts w:ascii="Arial" w:hAnsi="Arial" w:cs="Arial"/>
          <w:sz w:val="20"/>
        </w:rPr>
        <w:t xml:space="preserve"> de la Comisión Nacional de</w:t>
      </w:r>
      <w:r w:rsidR="00B154F6">
        <w:rPr>
          <w:rFonts w:ascii="Arial" w:hAnsi="Arial" w:cs="Arial"/>
          <w:sz w:val="20"/>
        </w:rPr>
        <w:t xml:space="preserve"> Valores</w:t>
      </w:r>
      <w:r w:rsidRPr="00701F32">
        <w:rPr>
          <w:rFonts w:ascii="Arial" w:hAnsi="Arial" w:cs="Arial"/>
          <w:sz w:val="20"/>
        </w:rPr>
        <w:t xml:space="preserve"> la misma se encuentra inscripta ante dicho organismo para la categoría de Agente de Liquidación, Compensación y Agente de Negociación Integral.</w:t>
      </w:r>
    </w:p>
    <w:p w14:paraId="36C99299" w14:textId="77777777" w:rsidR="00DE221E" w:rsidRPr="00701F32" w:rsidRDefault="00DE221E" w:rsidP="00DE221E">
      <w:pPr>
        <w:autoSpaceDE w:val="0"/>
        <w:autoSpaceDN w:val="0"/>
        <w:adjustRightInd w:val="0"/>
        <w:jc w:val="both"/>
        <w:rPr>
          <w:rFonts w:ascii="Arial" w:hAnsi="Arial" w:cs="Arial"/>
          <w:i/>
          <w:sz w:val="20"/>
        </w:rPr>
      </w:pPr>
    </w:p>
    <w:p w14:paraId="1EE296C1" w14:textId="77777777" w:rsidR="00EC1700" w:rsidRPr="00701F32" w:rsidRDefault="00EC1700" w:rsidP="00EC1700">
      <w:pPr>
        <w:jc w:val="both"/>
        <w:rPr>
          <w:rFonts w:ascii="Arial" w:hAnsi="Arial" w:cs="Arial"/>
          <w:sz w:val="20"/>
        </w:rPr>
      </w:pPr>
      <w:r w:rsidRPr="006E5E92">
        <w:rPr>
          <w:rFonts w:ascii="Arial" w:hAnsi="Arial" w:cs="Arial"/>
          <w:sz w:val="20"/>
        </w:rPr>
        <w:t>Asimismo, se informa que al 31 de marzo de 2019 y 31 de diciembre de 2019 el patrimonio neto de la Entidad supera el patrimonio neto mínimo requerido por dicha norma para actuar como agente de mercado abierto, el cual asciende a $ 24.279 y $ 22.182 miles respectivamente. La contrapartida líquida exigida por la norma asciende a $ 12.140 y $ 11.091 miles respectivamente y se encuentra constituida mediante la cuenta corriente en pesos abierta en el BCRA cuyo saldo ascendía a $ 14.779.215 y $ 8.511.827 miles al 31 de marzo de 2020 y 31 de diciembre de 2019 respectivamente</w:t>
      </w:r>
      <w:r w:rsidRPr="00F40E42">
        <w:rPr>
          <w:rFonts w:ascii="Arial" w:hAnsi="Arial" w:cs="Arial"/>
          <w:sz w:val="20"/>
        </w:rPr>
        <w:t>.</w:t>
      </w:r>
    </w:p>
    <w:p w14:paraId="75BE224E" w14:textId="05469B1E" w:rsidR="00EC1700" w:rsidRDefault="00EC1700" w:rsidP="00EC1700">
      <w:pPr>
        <w:tabs>
          <w:tab w:val="left" w:pos="142"/>
        </w:tabs>
        <w:jc w:val="both"/>
        <w:rPr>
          <w:rFonts w:ascii="Arial" w:hAnsi="Arial" w:cs="Arial"/>
          <w:sz w:val="20"/>
        </w:rPr>
      </w:pPr>
      <w:r w:rsidRPr="00701F32">
        <w:rPr>
          <w:rFonts w:ascii="Arial" w:hAnsi="Arial" w:cs="Arial"/>
          <w:sz w:val="20"/>
        </w:rPr>
        <w:t>Por otra parte, en cumplimiento de la citada resolución general, el inmueble sito en la calle Reconquista 330 de esta Ciudad Autónoma</w:t>
      </w:r>
      <w:r>
        <w:rPr>
          <w:rFonts w:ascii="Arial" w:hAnsi="Arial" w:cs="Arial"/>
          <w:sz w:val="20"/>
        </w:rPr>
        <w:t xml:space="preserve"> de Buenos Aires</w:t>
      </w:r>
      <w:r w:rsidRPr="00701F32">
        <w:rPr>
          <w:rFonts w:ascii="Arial" w:hAnsi="Arial" w:cs="Arial"/>
          <w:sz w:val="20"/>
        </w:rPr>
        <w:t>, cuyo valor residual contable al 3</w:t>
      </w:r>
      <w:r>
        <w:rPr>
          <w:rFonts w:ascii="Arial" w:hAnsi="Arial" w:cs="Arial"/>
          <w:sz w:val="20"/>
        </w:rPr>
        <w:t>1</w:t>
      </w:r>
      <w:r w:rsidRPr="00701F32">
        <w:rPr>
          <w:rFonts w:ascii="Arial" w:hAnsi="Arial" w:cs="Arial"/>
          <w:sz w:val="20"/>
        </w:rPr>
        <w:t xml:space="preserve"> </w:t>
      </w:r>
      <w:r>
        <w:rPr>
          <w:rFonts w:ascii="Arial" w:hAnsi="Arial" w:cs="Arial"/>
          <w:sz w:val="20"/>
        </w:rPr>
        <w:t>de marzo</w:t>
      </w:r>
      <w:r w:rsidRPr="00701F32">
        <w:rPr>
          <w:rFonts w:ascii="Arial" w:hAnsi="Arial" w:cs="Arial"/>
          <w:sz w:val="20"/>
        </w:rPr>
        <w:t xml:space="preserve"> de </w:t>
      </w:r>
      <w:r>
        <w:rPr>
          <w:rFonts w:ascii="Arial" w:hAnsi="Arial" w:cs="Arial"/>
          <w:sz w:val="20"/>
        </w:rPr>
        <w:t xml:space="preserve">2020 y </w:t>
      </w:r>
      <w:r w:rsidRPr="00701F32">
        <w:rPr>
          <w:rFonts w:ascii="Arial" w:hAnsi="Arial" w:cs="Arial"/>
          <w:sz w:val="20"/>
        </w:rPr>
        <w:t>3</w:t>
      </w:r>
      <w:r>
        <w:rPr>
          <w:rFonts w:ascii="Arial" w:hAnsi="Arial" w:cs="Arial"/>
          <w:sz w:val="20"/>
        </w:rPr>
        <w:t>1</w:t>
      </w:r>
      <w:r w:rsidRPr="00701F32">
        <w:rPr>
          <w:rFonts w:ascii="Arial" w:hAnsi="Arial" w:cs="Arial"/>
          <w:sz w:val="20"/>
        </w:rPr>
        <w:t xml:space="preserve"> </w:t>
      </w:r>
      <w:r>
        <w:rPr>
          <w:rFonts w:ascii="Arial" w:hAnsi="Arial" w:cs="Arial"/>
          <w:sz w:val="20"/>
        </w:rPr>
        <w:t>de diciembre</w:t>
      </w:r>
      <w:r w:rsidRPr="00701F32">
        <w:rPr>
          <w:rFonts w:ascii="Arial" w:hAnsi="Arial" w:cs="Arial"/>
          <w:sz w:val="20"/>
        </w:rPr>
        <w:t xml:space="preserve"> de </w:t>
      </w:r>
      <w:r>
        <w:rPr>
          <w:rFonts w:ascii="Arial" w:hAnsi="Arial" w:cs="Arial"/>
          <w:sz w:val="20"/>
        </w:rPr>
        <w:t xml:space="preserve">2019 </w:t>
      </w:r>
      <w:r w:rsidRPr="00701F32">
        <w:rPr>
          <w:rFonts w:ascii="Arial" w:hAnsi="Arial" w:cs="Arial"/>
          <w:sz w:val="20"/>
        </w:rPr>
        <w:t xml:space="preserve">es </w:t>
      </w:r>
      <w:r w:rsidR="00C60893" w:rsidRPr="00701F32">
        <w:rPr>
          <w:rFonts w:ascii="Arial" w:hAnsi="Arial" w:cs="Arial"/>
          <w:sz w:val="20"/>
        </w:rPr>
        <w:t xml:space="preserve">de </w:t>
      </w:r>
      <w:r w:rsidR="00C60893">
        <w:rPr>
          <w:rFonts w:ascii="Arial" w:hAnsi="Arial" w:cs="Arial"/>
          <w:sz w:val="20"/>
        </w:rPr>
        <w:t>$</w:t>
      </w:r>
      <w:r w:rsidR="00F75347">
        <w:rPr>
          <w:rFonts w:ascii="Arial" w:hAnsi="Arial" w:cs="Arial"/>
          <w:sz w:val="20"/>
        </w:rPr>
        <w:t xml:space="preserve"> </w:t>
      </w:r>
      <w:r w:rsidR="00C60893">
        <w:rPr>
          <w:rFonts w:ascii="Arial" w:hAnsi="Arial" w:cs="Arial"/>
          <w:sz w:val="20"/>
        </w:rPr>
        <w:t>304.010</w:t>
      </w:r>
      <w:r w:rsidR="00C60893" w:rsidRPr="00907B5E">
        <w:rPr>
          <w:rFonts w:ascii="Arial" w:hAnsi="Arial" w:cs="Arial"/>
          <w:sz w:val="20"/>
        </w:rPr>
        <w:t xml:space="preserve"> y</w:t>
      </w:r>
      <w:r w:rsidR="00C60893" w:rsidRPr="00701F32">
        <w:rPr>
          <w:rFonts w:ascii="Arial" w:hAnsi="Arial" w:cs="Arial"/>
          <w:sz w:val="20"/>
        </w:rPr>
        <w:t xml:space="preserve"> </w:t>
      </w:r>
      <w:bookmarkStart w:id="48" w:name="_Hlk40695604"/>
      <w:r w:rsidR="00C60893">
        <w:rPr>
          <w:rFonts w:ascii="Arial" w:hAnsi="Arial" w:cs="Arial"/>
          <w:sz w:val="20"/>
        </w:rPr>
        <w:t xml:space="preserve">$ </w:t>
      </w:r>
      <w:r w:rsidR="00C60893" w:rsidRPr="00907B5E">
        <w:rPr>
          <w:rFonts w:ascii="Arial" w:hAnsi="Arial" w:cs="Arial"/>
          <w:sz w:val="20"/>
        </w:rPr>
        <w:t>2</w:t>
      </w:r>
      <w:r w:rsidR="00C60893">
        <w:rPr>
          <w:rFonts w:ascii="Arial" w:hAnsi="Arial" w:cs="Arial"/>
          <w:sz w:val="20"/>
        </w:rPr>
        <w:t>84</w:t>
      </w:r>
      <w:r w:rsidR="00C60893" w:rsidRPr="00907B5E">
        <w:rPr>
          <w:rFonts w:ascii="Arial" w:hAnsi="Arial" w:cs="Arial"/>
          <w:sz w:val="20"/>
        </w:rPr>
        <w:t>.</w:t>
      </w:r>
      <w:r w:rsidR="00C60893">
        <w:rPr>
          <w:rFonts w:ascii="Arial" w:hAnsi="Arial" w:cs="Arial"/>
          <w:sz w:val="20"/>
        </w:rPr>
        <w:t>01</w:t>
      </w:r>
      <w:r w:rsidR="00C60893" w:rsidRPr="00907B5E">
        <w:rPr>
          <w:rFonts w:ascii="Arial" w:hAnsi="Arial" w:cs="Arial"/>
          <w:sz w:val="20"/>
        </w:rPr>
        <w:t xml:space="preserve">5 </w:t>
      </w:r>
      <w:bookmarkEnd w:id="48"/>
      <w:r>
        <w:rPr>
          <w:rFonts w:ascii="Arial" w:hAnsi="Arial" w:cs="Arial"/>
          <w:sz w:val="20"/>
        </w:rPr>
        <w:t>miles, respectivamente</w:t>
      </w:r>
      <w:r w:rsidRPr="00701F32">
        <w:rPr>
          <w:rFonts w:ascii="Arial" w:hAnsi="Arial" w:cs="Arial"/>
          <w:sz w:val="20"/>
        </w:rPr>
        <w:t>, se encuentra afectado al desarrollo de las operaciones del Mercado Abierto.</w:t>
      </w:r>
    </w:p>
    <w:p w14:paraId="0BFFA131" w14:textId="77777777" w:rsidR="00721980" w:rsidRPr="00701F32" w:rsidRDefault="00721980" w:rsidP="003462F0">
      <w:pPr>
        <w:tabs>
          <w:tab w:val="left" w:pos="142"/>
        </w:tabs>
        <w:jc w:val="both"/>
        <w:rPr>
          <w:rFonts w:ascii="Arial" w:hAnsi="Arial" w:cs="Arial"/>
          <w:sz w:val="20"/>
        </w:rPr>
      </w:pPr>
    </w:p>
    <w:p w14:paraId="5292641D" w14:textId="2B6001C2" w:rsidR="00656E62" w:rsidRPr="00BA7A6B" w:rsidRDefault="00D17399" w:rsidP="00BA7A6B">
      <w:pPr>
        <w:tabs>
          <w:tab w:val="left" w:pos="142"/>
          <w:tab w:val="left" w:pos="9923"/>
        </w:tabs>
        <w:spacing w:after="200" w:line="276" w:lineRule="auto"/>
        <w:contextualSpacing/>
        <w:jc w:val="both"/>
        <w:rPr>
          <w:rFonts w:ascii="Arial" w:hAnsi="Arial" w:cs="Arial"/>
          <w:b/>
          <w:sz w:val="20"/>
        </w:rPr>
      </w:pPr>
      <w:r w:rsidRPr="005B6501">
        <w:rPr>
          <w:rFonts w:ascii="Arial" w:hAnsi="Arial" w:cs="Arial"/>
          <w:b/>
          <w:sz w:val="20"/>
        </w:rPr>
        <w:t>9</w:t>
      </w:r>
      <w:r w:rsidR="00656E62" w:rsidRPr="005B6501">
        <w:rPr>
          <w:rFonts w:ascii="Arial" w:hAnsi="Arial" w:cs="Arial"/>
          <w:b/>
          <w:sz w:val="20"/>
        </w:rPr>
        <w:t>.5.2 Resolución N° 629 de la Comisión Nacional de Valores</w:t>
      </w:r>
    </w:p>
    <w:p w14:paraId="55179B5A" w14:textId="77777777" w:rsidR="00656E62" w:rsidRPr="00701F32" w:rsidRDefault="00656E62" w:rsidP="00656E62">
      <w:pPr>
        <w:tabs>
          <w:tab w:val="left" w:pos="142"/>
        </w:tabs>
        <w:spacing w:after="200" w:line="276" w:lineRule="auto"/>
        <w:contextualSpacing/>
        <w:jc w:val="both"/>
        <w:rPr>
          <w:rFonts w:ascii="Arial" w:hAnsi="Arial" w:cs="Arial"/>
          <w:b/>
          <w:sz w:val="20"/>
        </w:rPr>
      </w:pPr>
    </w:p>
    <w:p w14:paraId="05AFBE57" w14:textId="77777777" w:rsidR="00656E62" w:rsidRPr="00701F32" w:rsidRDefault="00656E62" w:rsidP="00656E62">
      <w:pPr>
        <w:jc w:val="both"/>
        <w:rPr>
          <w:rFonts w:ascii="Arial" w:hAnsi="Arial" w:cs="Arial"/>
          <w:sz w:val="20"/>
        </w:rPr>
      </w:pPr>
      <w:r w:rsidRPr="00701F32">
        <w:rPr>
          <w:rFonts w:ascii="Arial" w:hAnsi="Arial" w:cs="Arial"/>
          <w:sz w:val="20"/>
        </w:rPr>
        <w:t xml:space="preserve">En cumplimiento de lo dispuesto por la Resolución General N° 629 de la CNV se aclara que los libros de comercio y los libros societarios se guardan en la sede social inscripta (Bartolomé Mitre 434 de la Ciudad Autónoma de Buenos Aires) de acuerdo con el siguiente detalle: </w:t>
      </w:r>
    </w:p>
    <w:p w14:paraId="4225BFA2" w14:textId="6EFA19F8" w:rsidR="00656E62" w:rsidRPr="00701F32" w:rsidRDefault="00656E62" w:rsidP="00656E62">
      <w:pPr>
        <w:numPr>
          <w:ilvl w:val="0"/>
          <w:numId w:val="2"/>
        </w:numPr>
        <w:jc w:val="both"/>
        <w:rPr>
          <w:rFonts w:ascii="Arial" w:hAnsi="Arial" w:cs="Arial"/>
          <w:sz w:val="20"/>
        </w:rPr>
      </w:pPr>
      <w:r w:rsidRPr="00701F32">
        <w:rPr>
          <w:rFonts w:ascii="Arial" w:hAnsi="Arial" w:cs="Arial"/>
          <w:sz w:val="20"/>
        </w:rPr>
        <w:t xml:space="preserve">Libro Diario (Registro de Habilitación de Medios </w:t>
      </w:r>
      <w:r w:rsidR="00AE73E8">
        <w:rPr>
          <w:rFonts w:ascii="Arial" w:hAnsi="Arial" w:cs="Arial"/>
          <w:sz w:val="20"/>
        </w:rPr>
        <w:t>Ó</w:t>
      </w:r>
      <w:r w:rsidRPr="00701F32">
        <w:rPr>
          <w:rFonts w:ascii="Arial" w:hAnsi="Arial" w:cs="Arial"/>
          <w:sz w:val="20"/>
        </w:rPr>
        <w:t xml:space="preserve">pticos y sus correspondientes soportes ópticos –CD y DVD-) desde el 1° de octubre de 2009. </w:t>
      </w:r>
    </w:p>
    <w:p w14:paraId="3D359440" w14:textId="37810506"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Inventario desde el 31 de diciembre de 201</w:t>
      </w:r>
      <w:r w:rsidR="00D92241">
        <w:rPr>
          <w:rFonts w:ascii="Arial" w:hAnsi="Arial" w:cs="Arial"/>
          <w:sz w:val="20"/>
        </w:rPr>
        <w:t>8</w:t>
      </w:r>
      <w:r w:rsidRPr="00701F32">
        <w:rPr>
          <w:rFonts w:ascii="Arial" w:hAnsi="Arial" w:cs="Arial"/>
          <w:sz w:val="20"/>
        </w:rPr>
        <w:t xml:space="preserve">. </w:t>
      </w:r>
    </w:p>
    <w:p w14:paraId="4B853264"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 xml:space="preserve">Libro Balance desde el 31 de diciembre de 2002. </w:t>
      </w:r>
    </w:p>
    <w:p w14:paraId="4FEB09AF" w14:textId="48D68095"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Actas de Directorio desde el diciembre de 1988 a noviembre de 1999, desde mayo de 2000 a octubre de 2003 y febrero de 2007 a la fecha.</w:t>
      </w:r>
    </w:p>
    <w:p w14:paraId="06DF52DF"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Depósito de Acciones y Registro de Asistencia a Asambleas desde el 30 de mayo de 2001 a la fecha.</w:t>
      </w:r>
    </w:p>
    <w:p w14:paraId="407AF5C0"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de Actas de Asambleas desde el 27 de mayo de 1999 a la fecha.</w:t>
      </w:r>
    </w:p>
    <w:p w14:paraId="48329E31"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 xml:space="preserve">Libro de Actas de Comisión Fiscalizadora desde el 13 de agosto de 2004.  </w:t>
      </w:r>
    </w:p>
    <w:p w14:paraId="58EB96AA" w14:textId="77777777" w:rsidR="00656E62" w:rsidRPr="00701F32" w:rsidRDefault="00656E62" w:rsidP="00656E62">
      <w:pPr>
        <w:jc w:val="both"/>
        <w:rPr>
          <w:rFonts w:ascii="Arial" w:hAnsi="Arial" w:cs="Arial"/>
          <w:sz w:val="20"/>
        </w:rPr>
      </w:pPr>
    </w:p>
    <w:p w14:paraId="60FFE1EE" w14:textId="77777777" w:rsidR="00656E62" w:rsidRPr="00701F32" w:rsidRDefault="00656E62" w:rsidP="00656E62">
      <w:pPr>
        <w:jc w:val="both"/>
        <w:rPr>
          <w:rFonts w:ascii="Arial" w:hAnsi="Arial" w:cs="Arial"/>
          <w:sz w:val="20"/>
        </w:rPr>
      </w:pPr>
      <w:r w:rsidRPr="00701F32">
        <w:rPr>
          <w:rFonts w:ascii="Arial" w:hAnsi="Arial" w:cs="Arial"/>
          <w:sz w:val="20"/>
        </w:rPr>
        <w:t xml:space="preserve">Respecto de los libros de operaciones de títulos y de mercado abierto, se encuentran en la sede social inscripta mencionada precedentemente de acuerdo con el siguiente detalle: </w:t>
      </w:r>
    </w:p>
    <w:p w14:paraId="538B500F"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Registro de Ordenes de Agente desde el 6 de enero de 2015.</w:t>
      </w:r>
    </w:p>
    <w:p w14:paraId="228B3F2B"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Registro de Operaciones desde el 2 de enero de 2015.</w:t>
      </w:r>
    </w:p>
    <w:p w14:paraId="530327CA"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Registro de Operaciones Cartera Propia desde el 5 de enero de 2015.</w:t>
      </w:r>
    </w:p>
    <w:p w14:paraId="3B1A620D"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de Caja desde el 5 de enero de 2015.</w:t>
      </w:r>
    </w:p>
    <w:p w14:paraId="7E305540"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Registro de Ordenes (ACYL N° 57) desde el 7 de enero de 2015.</w:t>
      </w:r>
    </w:p>
    <w:p w14:paraId="1F4371DC" w14:textId="77777777" w:rsidR="00656E62" w:rsidRPr="00701F32" w:rsidRDefault="00656E62" w:rsidP="00656E62">
      <w:pPr>
        <w:ind w:left="720"/>
        <w:jc w:val="both"/>
        <w:rPr>
          <w:rFonts w:ascii="Arial" w:hAnsi="Arial" w:cs="Arial"/>
          <w:sz w:val="20"/>
        </w:rPr>
      </w:pPr>
    </w:p>
    <w:p w14:paraId="7973D744" w14:textId="72800B8A" w:rsidR="00656E62" w:rsidRPr="00701F32" w:rsidRDefault="00656E62" w:rsidP="00656E62">
      <w:pPr>
        <w:jc w:val="both"/>
        <w:rPr>
          <w:rFonts w:ascii="Arial" w:hAnsi="Arial" w:cs="Arial"/>
          <w:sz w:val="20"/>
        </w:rPr>
      </w:pPr>
      <w:r w:rsidRPr="00701F32">
        <w:rPr>
          <w:rFonts w:ascii="Arial" w:hAnsi="Arial" w:cs="Arial"/>
          <w:sz w:val="20"/>
        </w:rPr>
        <w:t xml:space="preserve">Los libros antecesores a los señalados precedentemente que contienen las operaciones anteriores a la fecha indicada en cada </w:t>
      </w:r>
      <w:r w:rsidR="0097126F" w:rsidRPr="00701F32">
        <w:rPr>
          <w:rFonts w:ascii="Arial" w:hAnsi="Arial" w:cs="Arial"/>
          <w:sz w:val="20"/>
        </w:rPr>
        <w:t>caso</w:t>
      </w:r>
      <w:r w:rsidRPr="00701F32">
        <w:rPr>
          <w:rFonts w:ascii="Arial" w:hAnsi="Arial" w:cs="Arial"/>
          <w:sz w:val="20"/>
        </w:rPr>
        <w:t xml:space="preserve"> se encuentran bajo la guarda de la empresa Adea </w:t>
      </w:r>
      <w:r w:rsidRPr="00701F32">
        <w:rPr>
          <w:rFonts w:ascii="Arial" w:hAnsi="Arial" w:cs="Arial"/>
          <w:sz w:val="20"/>
        </w:rPr>
        <w:lastRenderedPageBreak/>
        <w:t>S.A. cuyo depósito está ubicado en Ruta provincial N° 36, Km 31,500 localidad de Bosques, Partido de Florencio Varela de la Provincia de Buenos Aires.</w:t>
      </w:r>
    </w:p>
    <w:p w14:paraId="6C163D71" w14:textId="77777777" w:rsidR="00656E62" w:rsidRPr="00701F32" w:rsidRDefault="00656E62" w:rsidP="00656E62">
      <w:pPr>
        <w:jc w:val="both"/>
        <w:rPr>
          <w:rFonts w:ascii="Arial" w:hAnsi="Arial" w:cs="Arial"/>
          <w:sz w:val="20"/>
        </w:rPr>
      </w:pPr>
    </w:p>
    <w:p w14:paraId="2C400E10" w14:textId="60F7B412" w:rsidR="00656E62" w:rsidRPr="00701F32" w:rsidRDefault="00656E62" w:rsidP="00656E62">
      <w:pPr>
        <w:tabs>
          <w:tab w:val="left" w:pos="142"/>
        </w:tabs>
        <w:jc w:val="both"/>
        <w:rPr>
          <w:rFonts w:ascii="Arial" w:hAnsi="Arial" w:cs="Arial"/>
          <w:sz w:val="20"/>
        </w:rPr>
      </w:pPr>
      <w:r w:rsidRPr="00701F32">
        <w:rPr>
          <w:rFonts w:ascii="Arial" w:hAnsi="Arial" w:cs="Arial"/>
          <w:sz w:val="20"/>
        </w:rPr>
        <w:t>La documentación respaldatoria de las operaciones contables y de la gestión de la Entidad hasta una antigüedad de 2 (dos) meses anterior</w:t>
      </w:r>
      <w:r w:rsidR="00841E78">
        <w:rPr>
          <w:rFonts w:ascii="Arial" w:hAnsi="Arial" w:cs="Arial"/>
          <w:sz w:val="20"/>
        </w:rPr>
        <w:t>es</w:t>
      </w:r>
      <w:r w:rsidRPr="00701F32">
        <w:rPr>
          <w:rFonts w:ascii="Arial" w:hAnsi="Arial" w:cs="Arial"/>
          <w:sz w:val="20"/>
        </w:rPr>
        <w:t xml:space="preserve"> a la actual, se encuentra en cada sucursal, y, con antigüedad superior a dicho lapso de tiempo se encuentra bajo la guarda de la empresa Adea S.A. </w:t>
      </w:r>
    </w:p>
    <w:p w14:paraId="306858F3" w14:textId="5607A4C3" w:rsidR="00656E62" w:rsidRDefault="00656E62" w:rsidP="00656E62">
      <w:pPr>
        <w:tabs>
          <w:tab w:val="left" w:pos="142"/>
        </w:tabs>
        <w:jc w:val="both"/>
        <w:rPr>
          <w:rFonts w:ascii="Arial" w:hAnsi="Arial" w:cs="Arial"/>
          <w:sz w:val="20"/>
        </w:rPr>
      </w:pPr>
    </w:p>
    <w:p w14:paraId="2E2933A7" w14:textId="54256B90" w:rsidR="00656E62" w:rsidRPr="00701F32" w:rsidRDefault="00D17399" w:rsidP="00656E62">
      <w:pPr>
        <w:tabs>
          <w:tab w:val="left" w:pos="142"/>
        </w:tabs>
        <w:spacing w:after="200" w:line="276" w:lineRule="auto"/>
        <w:contextualSpacing/>
        <w:jc w:val="both"/>
        <w:rPr>
          <w:rFonts w:ascii="Arial" w:hAnsi="Arial" w:cs="Arial"/>
          <w:b/>
          <w:sz w:val="20"/>
        </w:rPr>
      </w:pPr>
      <w:r>
        <w:rPr>
          <w:rFonts w:ascii="Arial" w:hAnsi="Arial" w:cs="Arial"/>
          <w:b/>
          <w:sz w:val="20"/>
        </w:rPr>
        <w:t>9</w:t>
      </w:r>
      <w:r w:rsidR="00656E62" w:rsidRPr="00701F32">
        <w:rPr>
          <w:rFonts w:ascii="Arial" w:hAnsi="Arial" w:cs="Arial"/>
          <w:b/>
          <w:sz w:val="20"/>
        </w:rPr>
        <w:t>.6 Cuentas que identifican el cumplimiento de efectivo mínimo</w:t>
      </w:r>
    </w:p>
    <w:p w14:paraId="7DAF4B2E" w14:textId="77777777" w:rsidR="00656E62" w:rsidRPr="00701F32" w:rsidRDefault="00656E62" w:rsidP="00656E62">
      <w:pPr>
        <w:tabs>
          <w:tab w:val="left" w:pos="142"/>
        </w:tabs>
        <w:spacing w:after="200" w:line="276" w:lineRule="auto"/>
        <w:contextualSpacing/>
        <w:jc w:val="both"/>
        <w:rPr>
          <w:rFonts w:ascii="Arial" w:hAnsi="Arial" w:cs="Arial"/>
          <w:b/>
          <w:sz w:val="20"/>
        </w:rPr>
      </w:pPr>
    </w:p>
    <w:p w14:paraId="3D3784BC" w14:textId="29863160" w:rsidR="00721980" w:rsidRPr="00701F32" w:rsidRDefault="00656E62" w:rsidP="00656E62">
      <w:pPr>
        <w:tabs>
          <w:tab w:val="left" w:pos="142"/>
        </w:tabs>
        <w:jc w:val="both"/>
        <w:rPr>
          <w:rFonts w:ascii="Arial" w:hAnsi="Arial" w:cs="Arial"/>
          <w:sz w:val="20"/>
        </w:rPr>
      </w:pPr>
      <w:r w:rsidRPr="00701F32">
        <w:rPr>
          <w:rFonts w:ascii="Arial" w:hAnsi="Arial" w:cs="Arial"/>
          <w:sz w:val="20"/>
        </w:rPr>
        <w:t xml:space="preserve">Al </w:t>
      </w:r>
      <w:r w:rsidR="007F209B">
        <w:rPr>
          <w:rFonts w:ascii="Arial" w:hAnsi="Arial" w:cs="Arial"/>
          <w:sz w:val="20"/>
        </w:rPr>
        <w:t>3</w:t>
      </w:r>
      <w:r w:rsidR="00100D8B">
        <w:rPr>
          <w:rFonts w:ascii="Arial" w:hAnsi="Arial" w:cs="Arial"/>
          <w:sz w:val="20"/>
        </w:rPr>
        <w:t>1</w:t>
      </w:r>
      <w:r w:rsidR="001B4A0E">
        <w:rPr>
          <w:rFonts w:ascii="Arial" w:hAnsi="Arial" w:cs="Arial"/>
          <w:sz w:val="20"/>
        </w:rPr>
        <w:t xml:space="preserve"> de </w:t>
      </w:r>
      <w:r w:rsidR="00100D8B">
        <w:rPr>
          <w:rFonts w:ascii="Arial" w:hAnsi="Arial" w:cs="Arial"/>
          <w:sz w:val="20"/>
        </w:rPr>
        <w:t>marzo</w:t>
      </w:r>
      <w:r w:rsidR="001B4A0E">
        <w:rPr>
          <w:rFonts w:ascii="Arial" w:hAnsi="Arial" w:cs="Arial"/>
          <w:sz w:val="20"/>
        </w:rPr>
        <w:t xml:space="preserve"> de 20</w:t>
      </w:r>
      <w:r w:rsidR="00100D8B">
        <w:rPr>
          <w:rFonts w:ascii="Arial" w:hAnsi="Arial" w:cs="Arial"/>
          <w:sz w:val="20"/>
        </w:rPr>
        <w:t>20</w:t>
      </w:r>
      <w:r w:rsidR="001B4A0E">
        <w:rPr>
          <w:rFonts w:ascii="Arial" w:hAnsi="Arial" w:cs="Arial"/>
          <w:sz w:val="20"/>
        </w:rPr>
        <w:t xml:space="preserve"> y </w:t>
      </w:r>
      <w:r w:rsidRPr="00701F32">
        <w:rPr>
          <w:rFonts w:ascii="Arial" w:hAnsi="Arial" w:cs="Arial"/>
          <w:sz w:val="20"/>
        </w:rPr>
        <w:t xml:space="preserve">31 de diciembre de </w:t>
      </w:r>
      <w:r w:rsidR="008716E7">
        <w:rPr>
          <w:rFonts w:ascii="Arial" w:hAnsi="Arial" w:cs="Arial"/>
          <w:sz w:val="20"/>
        </w:rPr>
        <w:t>201</w:t>
      </w:r>
      <w:r w:rsidR="00100D8B">
        <w:rPr>
          <w:rFonts w:ascii="Arial" w:hAnsi="Arial" w:cs="Arial"/>
          <w:sz w:val="20"/>
        </w:rPr>
        <w:t>9</w:t>
      </w:r>
      <w:r w:rsidRPr="00701F32">
        <w:rPr>
          <w:rFonts w:ascii="Arial" w:hAnsi="Arial" w:cs="Arial"/>
          <w:sz w:val="20"/>
        </w:rPr>
        <w:t xml:space="preserve"> la integración de efectivo mínimo estaba compuesta de la siguiente manera: </w:t>
      </w:r>
    </w:p>
    <w:p w14:paraId="2BBB72DB" w14:textId="77777777" w:rsidR="00656E62" w:rsidRPr="00701F32" w:rsidRDefault="00656E62" w:rsidP="00656E62">
      <w:pPr>
        <w:tabs>
          <w:tab w:val="left" w:pos="142"/>
        </w:tabs>
        <w:jc w:val="both"/>
        <w:rPr>
          <w:rFonts w:ascii="Arial" w:hAnsi="Arial" w:cs="Arial"/>
          <w:sz w:val="20"/>
        </w:rPr>
      </w:pPr>
    </w:p>
    <w:tbl>
      <w:tblPr>
        <w:tblW w:w="432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441"/>
        <w:gridCol w:w="1450"/>
        <w:gridCol w:w="1449"/>
      </w:tblGrid>
      <w:tr w:rsidR="001B4A0E" w:rsidRPr="00701F32" w14:paraId="7480DD56" w14:textId="77777777" w:rsidTr="00E97E6A">
        <w:trPr>
          <w:trHeight w:val="314"/>
          <w:tblHeader/>
          <w:jc w:val="center"/>
        </w:trPr>
        <w:tc>
          <w:tcPr>
            <w:tcW w:w="3025" w:type="pct"/>
            <w:tcBorders>
              <w:top w:val="single" w:sz="4" w:space="0" w:color="auto"/>
              <w:left w:val="single" w:sz="4" w:space="0" w:color="auto"/>
              <w:bottom w:val="single" w:sz="4" w:space="0" w:color="auto"/>
            </w:tcBorders>
            <w:vAlign w:val="center"/>
          </w:tcPr>
          <w:p w14:paraId="5CEF647E" w14:textId="5C9A9BFD" w:rsidR="001B4A0E" w:rsidRPr="00E97E6A" w:rsidRDefault="001B4A0E" w:rsidP="00464C0F">
            <w:pPr>
              <w:ind w:left="371" w:hanging="142"/>
              <w:jc w:val="both"/>
              <w:rPr>
                <w:rFonts w:ascii="Arial" w:hAnsi="Arial" w:cs="Arial"/>
                <w:b/>
                <w:sz w:val="16"/>
              </w:rPr>
            </w:pPr>
            <w:r w:rsidRPr="00E97E6A">
              <w:rPr>
                <w:rFonts w:ascii="Arial" w:hAnsi="Arial" w:cs="Arial"/>
                <w:b/>
                <w:sz w:val="16"/>
              </w:rPr>
              <w:t>Concepto</w:t>
            </w:r>
            <w:r w:rsidR="00F37EB9">
              <w:rPr>
                <w:rFonts w:ascii="Arial" w:hAnsi="Arial" w:cs="Arial"/>
                <w:b/>
                <w:sz w:val="16"/>
              </w:rPr>
              <w:t xml:space="preserve"> (*)</w:t>
            </w:r>
          </w:p>
        </w:tc>
        <w:tc>
          <w:tcPr>
            <w:tcW w:w="988" w:type="pct"/>
            <w:tcBorders>
              <w:top w:val="single" w:sz="4" w:space="0" w:color="auto"/>
              <w:bottom w:val="single" w:sz="4" w:space="0" w:color="auto"/>
            </w:tcBorders>
            <w:vAlign w:val="center"/>
          </w:tcPr>
          <w:p w14:paraId="35B1154D" w14:textId="06F46D33" w:rsidR="001B4A0E" w:rsidRPr="00E97E6A" w:rsidRDefault="003C2633" w:rsidP="007F209B">
            <w:pPr>
              <w:tabs>
                <w:tab w:val="left" w:pos="142"/>
              </w:tabs>
              <w:jc w:val="center"/>
              <w:rPr>
                <w:rFonts w:ascii="Arial" w:hAnsi="Arial" w:cs="Arial"/>
                <w:b/>
                <w:sz w:val="16"/>
              </w:rPr>
            </w:pPr>
            <w:r>
              <w:rPr>
                <w:rFonts w:ascii="Arial" w:hAnsi="Arial" w:cs="Arial"/>
                <w:b/>
                <w:sz w:val="16"/>
              </w:rPr>
              <w:t>3</w:t>
            </w:r>
            <w:r w:rsidR="00100D8B">
              <w:rPr>
                <w:rFonts w:ascii="Arial" w:hAnsi="Arial" w:cs="Arial"/>
                <w:b/>
                <w:sz w:val="16"/>
              </w:rPr>
              <w:t>1</w:t>
            </w:r>
            <w:r>
              <w:rPr>
                <w:rFonts w:ascii="Arial" w:hAnsi="Arial" w:cs="Arial"/>
                <w:b/>
                <w:sz w:val="16"/>
              </w:rPr>
              <w:t>/0</w:t>
            </w:r>
            <w:r w:rsidR="00100D8B">
              <w:rPr>
                <w:rFonts w:ascii="Arial" w:hAnsi="Arial" w:cs="Arial"/>
                <w:b/>
                <w:sz w:val="16"/>
              </w:rPr>
              <w:t>3</w:t>
            </w:r>
            <w:r>
              <w:rPr>
                <w:rFonts w:ascii="Arial" w:hAnsi="Arial" w:cs="Arial"/>
                <w:b/>
                <w:sz w:val="16"/>
              </w:rPr>
              <w:t>/20</w:t>
            </w:r>
            <w:r w:rsidR="00100D8B">
              <w:rPr>
                <w:rFonts w:ascii="Arial" w:hAnsi="Arial" w:cs="Arial"/>
                <w:b/>
                <w:sz w:val="16"/>
              </w:rPr>
              <w:t>20</w:t>
            </w:r>
          </w:p>
        </w:tc>
        <w:tc>
          <w:tcPr>
            <w:tcW w:w="987" w:type="pct"/>
            <w:tcBorders>
              <w:top w:val="single" w:sz="4" w:space="0" w:color="auto"/>
              <w:bottom w:val="single" w:sz="4" w:space="0" w:color="auto"/>
              <w:right w:val="single" w:sz="4" w:space="0" w:color="auto"/>
            </w:tcBorders>
            <w:vAlign w:val="center"/>
          </w:tcPr>
          <w:p w14:paraId="66EF1C80" w14:textId="63F5F05E" w:rsidR="001B4A0E" w:rsidRPr="00E97E6A" w:rsidRDefault="001B4A0E" w:rsidP="00100D8B">
            <w:pPr>
              <w:tabs>
                <w:tab w:val="left" w:pos="142"/>
              </w:tabs>
              <w:jc w:val="center"/>
              <w:rPr>
                <w:rFonts w:ascii="Arial" w:hAnsi="Arial" w:cs="Arial"/>
                <w:b/>
                <w:sz w:val="16"/>
              </w:rPr>
            </w:pPr>
            <w:r w:rsidRPr="00E97E6A">
              <w:rPr>
                <w:rFonts w:ascii="Arial" w:hAnsi="Arial" w:cs="Arial"/>
                <w:b/>
                <w:sz w:val="16"/>
              </w:rPr>
              <w:t>31/</w:t>
            </w:r>
            <w:r w:rsidR="00100D8B">
              <w:rPr>
                <w:rFonts w:ascii="Arial" w:hAnsi="Arial" w:cs="Arial"/>
                <w:b/>
                <w:sz w:val="16"/>
              </w:rPr>
              <w:t>12</w:t>
            </w:r>
            <w:r w:rsidRPr="00E97E6A">
              <w:rPr>
                <w:rFonts w:ascii="Arial" w:hAnsi="Arial" w:cs="Arial"/>
                <w:b/>
                <w:sz w:val="16"/>
              </w:rPr>
              <w:t>/201</w:t>
            </w:r>
            <w:r w:rsidR="00100D8B">
              <w:rPr>
                <w:rFonts w:ascii="Arial" w:hAnsi="Arial" w:cs="Arial"/>
                <w:b/>
                <w:sz w:val="16"/>
              </w:rPr>
              <w:t>9</w:t>
            </w:r>
          </w:p>
        </w:tc>
      </w:tr>
      <w:tr w:rsidR="001B4A0E" w:rsidRPr="00701F32" w14:paraId="51EFF33D" w14:textId="77777777" w:rsidTr="00E97E6A">
        <w:trPr>
          <w:trHeight w:val="230"/>
          <w:jc w:val="center"/>
        </w:trPr>
        <w:tc>
          <w:tcPr>
            <w:tcW w:w="3025" w:type="pct"/>
            <w:tcBorders>
              <w:top w:val="single" w:sz="4" w:space="0" w:color="auto"/>
              <w:left w:val="single" w:sz="4" w:space="0" w:color="auto"/>
            </w:tcBorders>
            <w:vAlign w:val="bottom"/>
          </w:tcPr>
          <w:p w14:paraId="0EB8149F" w14:textId="325F2C4D" w:rsidR="001B4A0E" w:rsidRPr="00E97E6A" w:rsidRDefault="001B4A0E" w:rsidP="00C23045">
            <w:pPr>
              <w:ind w:left="154"/>
              <w:rPr>
                <w:rFonts w:ascii="Arial" w:hAnsi="Arial" w:cs="Arial"/>
                <w:sz w:val="16"/>
              </w:rPr>
            </w:pPr>
            <w:r w:rsidRPr="00E97E6A">
              <w:rPr>
                <w:rFonts w:ascii="Arial" w:hAnsi="Arial" w:cs="Arial"/>
                <w:sz w:val="16"/>
              </w:rPr>
              <w:t>Cuentas corrientes en el BCRA (</w:t>
            </w:r>
            <w:r w:rsidR="00F37EB9">
              <w:rPr>
                <w:rFonts w:ascii="Arial" w:hAnsi="Arial" w:cs="Arial"/>
                <w:sz w:val="16"/>
              </w:rPr>
              <w:t>*</w:t>
            </w:r>
            <w:r w:rsidRPr="00E97E6A">
              <w:rPr>
                <w:rFonts w:ascii="Arial" w:hAnsi="Arial" w:cs="Arial"/>
                <w:sz w:val="16"/>
              </w:rPr>
              <w:t>*)</w:t>
            </w:r>
          </w:p>
        </w:tc>
        <w:tc>
          <w:tcPr>
            <w:tcW w:w="988" w:type="pct"/>
            <w:tcBorders>
              <w:top w:val="single" w:sz="4" w:space="0" w:color="auto"/>
            </w:tcBorders>
            <w:vAlign w:val="center"/>
          </w:tcPr>
          <w:p w14:paraId="1E6D31F5" w14:textId="2908755F" w:rsidR="001B4A0E" w:rsidRPr="00E97E6A" w:rsidRDefault="00100D8B" w:rsidP="00534414">
            <w:pPr>
              <w:tabs>
                <w:tab w:val="left" w:pos="142"/>
              </w:tabs>
              <w:jc w:val="right"/>
              <w:rPr>
                <w:rFonts w:ascii="Arial" w:hAnsi="Arial" w:cs="Arial"/>
                <w:sz w:val="16"/>
                <w:lang w:val="es-ES_tradnl"/>
              </w:rPr>
            </w:pPr>
            <w:r>
              <w:rPr>
                <w:rFonts w:ascii="Arial" w:hAnsi="Arial" w:cs="Arial"/>
                <w:sz w:val="16"/>
                <w:lang w:val="es-ES_tradnl"/>
              </w:rPr>
              <w:t>15.252</w:t>
            </w:r>
            <w:r w:rsidR="003B3A9A">
              <w:rPr>
                <w:rFonts w:ascii="Arial" w:hAnsi="Arial" w:cs="Arial"/>
                <w:sz w:val="16"/>
                <w:lang w:val="es-ES_tradnl"/>
              </w:rPr>
              <w:t>.</w:t>
            </w:r>
            <w:r>
              <w:rPr>
                <w:rFonts w:ascii="Arial" w:hAnsi="Arial" w:cs="Arial"/>
                <w:sz w:val="16"/>
                <w:lang w:val="es-ES_tradnl"/>
              </w:rPr>
              <w:t>022</w:t>
            </w:r>
          </w:p>
        </w:tc>
        <w:tc>
          <w:tcPr>
            <w:tcW w:w="987" w:type="pct"/>
            <w:tcBorders>
              <w:top w:val="single" w:sz="4" w:space="0" w:color="auto"/>
              <w:right w:val="single" w:sz="4" w:space="0" w:color="auto"/>
            </w:tcBorders>
            <w:vAlign w:val="center"/>
          </w:tcPr>
          <w:p w14:paraId="46FBCC49" w14:textId="0F160E62" w:rsidR="001B4A0E" w:rsidRPr="00E97E6A" w:rsidRDefault="00634BEB" w:rsidP="00534414">
            <w:pPr>
              <w:tabs>
                <w:tab w:val="left" w:pos="142"/>
              </w:tabs>
              <w:jc w:val="right"/>
              <w:rPr>
                <w:rFonts w:ascii="Arial" w:hAnsi="Arial" w:cs="Arial"/>
                <w:sz w:val="16"/>
                <w:lang w:val="es-ES_tradnl"/>
              </w:rPr>
            </w:pPr>
            <w:r>
              <w:rPr>
                <w:rFonts w:ascii="Arial" w:hAnsi="Arial" w:cs="Arial"/>
                <w:sz w:val="16"/>
                <w:lang w:val="es-ES_tradnl"/>
              </w:rPr>
              <w:t>8.554.797</w:t>
            </w:r>
          </w:p>
        </w:tc>
      </w:tr>
      <w:tr w:rsidR="001B4A0E" w:rsidRPr="00701F32" w14:paraId="1D61D350" w14:textId="77777777" w:rsidTr="00E97E6A">
        <w:trPr>
          <w:trHeight w:val="230"/>
          <w:jc w:val="center"/>
        </w:trPr>
        <w:tc>
          <w:tcPr>
            <w:tcW w:w="3025" w:type="pct"/>
            <w:tcBorders>
              <w:left w:val="single" w:sz="4" w:space="0" w:color="auto"/>
            </w:tcBorders>
            <w:vAlign w:val="bottom"/>
          </w:tcPr>
          <w:p w14:paraId="7D533EA0" w14:textId="08335553" w:rsidR="001B4A0E" w:rsidRPr="00E97E6A" w:rsidRDefault="001B4A0E" w:rsidP="00C23045">
            <w:pPr>
              <w:ind w:left="154"/>
              <w:rPr>
                <w:rFonts w:ascii="Arial" w:hAnsi="Arial" w:cs="Arial"/>
                <w:sz w:val="16"/>
              </w:rPr>
            </w:pPr>
            <w:r w:rsidRPr="00E97E6A">
              <w:rPr>
                <w:rFonts w:ascii="Arial" w:hAnsi="Arial" w:cs="Arial"/>
                <w:sz w:val="16"/>
              </w:rPr>
              <w:t>Cuentas a la vista en el BCRA (</w:t>
            </w:r>
            <w:r w:rsidR="00F37EB9">
              <w:rPr>
                <w:rFonts w:ascii="Arial" w:hAnsi="Arial" w:cs="Arial"/>
                <w:sz w:val="16"/>
              </w:rPr>
              <w:t>*</w:t>
            </w:r>
            <w:r w:rsidRPr="00E97E6A">
              <w:rPr>
                <w:rFonts w:ascii="Arial" w:hAnsi="Arial" w:cs="Arial"/>
                <w:sz w:val="16"/>
              </w:rPr>
              <w:t>*)</w:t>
            </w:r>
          </w:p>
        </w:tc>
        <w:tc>
          <w:tcPr>
            <w:tcW w:w="988" w:type="pct"/>
            <w:vAlign w:val="center"/>
          </w:tcPr>
          <w:p w14:paraId="62AB905C" w14:textId="36240D89" w:rsidR="001B4A0E" w:rsidRPr="00E97E6A" w:rsidRDefault="003B3A9A" w:rsidP="00534414">
            <w:pPr>
              <w:tabs>
                <w:tab w:val="left" w:pos="142"/>
              </w:tabs>
              <w:jc w:val="right"/>
              <w:rPr>
                <w:rFonts w:ascii="Arial" w:hAnsi="Arial" w:cs="Arial"/>
                <w:sz w:val="16"/>
                <w:lang w:val="es-ES_tradnl"/>
              </w:rPr>
            </w:pPr>
            <w:r>
              <w:rPr>
                <w:rFonts w:ascii="Arial" w:hAnsi="Arial" w:cs="Arial"/>
                <w:sz w:val="16"/>
                <w:lang w:val="es-ES_tradnl"/>
              </w:rPr>
              <w:t>9.</w:t>
            </w:r>
            <w:r w:rsidR="00100D8B">
              <w:rPr>
                <w:rFonts w:ascii="Arial" w:hAnsi="Arial" w:cs="Arial"/>
                <w:sz w:val="16"/>
                <w:lang w:val="es-ES_tradnl"/>
              </w:rPr>
              <w:t>134</w:t>
            </w:r>
            <w:r>
              <w:rPr>
                <w:rFonts w:ascii="Arial" w:hAnsi="Arial" w:cs="Arial"/>
                <w:sz w:val="16"/>
                <w:lang w:val="es-ES_tradnl"/>
              </w:rPr>
              <w:t>.</w:t>
            </w:r>
            <w:r w:rsidR="00100D8B">
              <w:rPr>
                <w:rFonts w:ascii="Arial" w:hAnsi="Arial" w:cs="Arial"/>
                <w:sz w:val="16"/>
                <w:lang w:val="es-ES_tradnl"/>
              </w:rPr>
              <w:t>436</w:t>
            </w:r>
          </w:p>
        </w:tc>
        <w:tc>
          <w:tcPr>
            <w:tcW w:w="987" w:type="pct"/>
            <w:tcBorders>
              <w:right w:val="single" w:sz="4" w:space="0" w:color="auto"/>
            </w:tcBorders>
            <w:vAlign w:val="center"/>
          </w:tcPr>
          <w:p w14:paraId="7D968DA9" w14:textId="3FFE1226" w:rsidR="001B4A0E" w:rsidRPr="00E97E6A" w:rsidRDefault="00634BEB" w:rsidP="00534414">
            <w:pPr>
              <w:tabs>
                <w:tab w:val="left" w:pos="142"/>
              </w:tabs>
              <w:jc w:val="right"/>
              <w:rPr>
                <w:rFonts w:ascii="Arial" w:hAnsi="Arial" w:cs="Arial"/>
                <w:sz w:val="16"/>
                <w:lang w:val="es-ES_tradnl"/>
              </w:rPr>
            </w:pPr>
            <w:r>
              <w:rPr>
                <w:rFonts w:ascii="Arial" w:hAnsi="Arial" w:cs="Arial"/>
                <w:sz w:val="16"/>
                <w:lang w:val="es-ES_tradnl"/>
              </w:rPr>
              <w:t>7.909.938</w:t>
            </w:r>
          </w:p>
        </w:tc>
      </w:tr>
      <w:tr w:rsidR="001B4A0E" w:rsidRPr="00701F32" w14:paraId="36E28638" w14:textId="77777777" w:rsidTr="00E97E6A">
        <w:trPr>
          <w:trHeight w:val="230"/>
          <w:jc w:val="center"/>
        </w:trPr>
        <w:tc>
          <w:tcPr>
            <w:tcW w:w="3025" w:type="pct"/>
            <w:tcBorders>
              <w:left w:val="single" w:sz="4" w:space="0" w:color="auto"/>
            </w:tcBorders>
            <w:vAlign w:val="bottom"/>
          </w:tcPr>
          <w:p w14:paraId="4CF46B18" w14:textId="345D1257" w:rsidR="001B4A0E" w:rsidRPr="00E97E6A" w:rsidRDefault="001B4A0E" w:rsidP="00C23045">
            <w:pPr>
              <w:ind w:left="154"/>
              <w:rPr>
                <w:rFonts w:ascii="Arial" w:hAnsi="Arial" w:cs="Arial"/>
                <w:sz w:val="16"/>
              </w:rPr>
            </w:pPr>
            <w:r w:rsidRPr="00E97E6A">
              <w:rPr>
                <w:rFonts w:ascii="Arial" w:hAnsi="Arial" w:cs="Arial"/>
                <w:sz w:val="16"/>
              </w:rPr>
              <w:t>Cuentas especiales de garantías en el BCRA (</w:t>
            </w:r>
            <w:r w:rsidR="00F37EB9">
              <w:rPr>
                <w:rFonts w:ascii="Arial" w:hAnsi="Arial" w:cs="Arial"/>
                <w:sz w:val="16"/>
              </w:rPr>
              <w:t>*</w:t>
            </w:r>
            <w:r w:rsidRPr="00E97E6A">
              <w:rPr>
                <w:rFonts w:ascii="Arial" w:hAnsi="Arial" w:cs="Arial"/>
                <w:sz w:val="16"/>
              </w:rPr>
              <w:t>*)</w:t>
            </w:r>
          </w:p>
        </w:tc>
        <w:tc>
          <w:tcPr>
            <w:tcW w:w="988" w:type="pct"/>
            <w:vAlign w:val="center"/>
          </w:tcPr>
          <w:p w14:paraId="7EE80A3C" w14:textId="796A44C7" w:rsidR="001B4A0E" w:rsidRPr="00E97E6A" w:rsidRDefault="00100D8B" w:rsidP="00534414">
            <w:pPr>
              <w:tabs>
                <w:tab w:val="left" w:pos="142"/>
              </w:tabs>
              <w:jc w:val="right"/>
              <w:rPr>
                <w:rFonts w:ascii="Arial" w:hAnsi="Arial" w:cs="Arial"/>
                <w:sz w:val="16"/>
                <w:lang w:val="es-ES_tradnl"/>
              </w:rPr>
            </w:pPr>
            <w:r>
              <w:rPr>
                <w:rFonts w:ascii="Arial" w:hAnsi="Arial" w:cs="Arial"/>
                <w:sz w:val="16"/>
                <w:lang w:val="es-ES_tradnl"/>
              </w:rPr>
              <w:t>2.428.561</w:t>
            </w:r>
          </w:p>
        </w:tc>
        <w:tc>
          <w:tcPr>
            <w:tcW w:w="987" w:type="pct"/>
            <w:tcBorders>
              <w:right w:val="single" w:sz="4" w:space="0" w:color="auto"/>
            </w:tcBorders>
            <w:vAlign w:val="center"/>
          </w:tcPr>
          <w:p w14:paraId="57BD590D" w14:textId="6ADD2A61" w:rsidR="001B4A0E" w:rsidRPr="00E97E6A" w:rsidRDefault="00634BEB" w:rsidP="00534414">
            <w:pPr>
              <w:tabs>
                <w:tab w:val="left" w:pos="142"/>
              </w:tabs>
              <w:jc w:val="right"/>
              <w:rPr>
                <w:rFonts w:ascii="Arial" w:hAnsi="Arial" w:cs="Arial"/>
                <w:sz w:val="16"/>
                <w:lang w:val="es-ES_tradnl"/>
              </w:rPr>
            </w:pPr>
            <w:r>
              <w:rPr>
                <w:rFonts w:ascii="Arial" w:hAnsi="Arial" w:cs="Arial"/>
                <w:sz w:val="16"/>
                <w:lang w:val="es-ES_tradnl"/>
              </w:rPr>
              <w:t>1.975.535</w:t>
            </w:r>
          </w:p>
        </w:tc>
      </w:tr>
      <w:tr w:rsidR="00634BEB" w:rsidRPr="00701F32" w14:paraId="2AEE1CE2" w14:textId="77777777" w:rsidTr="00E97E6A">
        <w:trPr>
          <w:trHeight w:val="230"/>
          <w:jc w:val="center"/>
        </w:trPr>
        <w:tc>
          <w:tcPr>
            <w:tcW w:w="3025" w:type="pct"/>
            <w:tcBorders>
              <w:left w:val="single" w:sz="4" w:space="0" w:color="auto"/>
            </w:tcBorders>
            <w:vAlign w:val="bottom"/>
          </w:tcPr>
          <w:p w14:paraId="0E50A012" w14:textId="71956E7E" w:rsidR="00634BEB" w:rsidRPr="00E97E6A" w:rsidRDefault="00634BEB" w:rsidP="00C23045">
            <w:pPr>
              <w:ind w:left="154"/>
              <w:rPr>
                <w:rFonts w:ascii="Arial" w:hAnsi="Arial" w:cs="Arial"/>
                <w:sz w:val="16"/>
              </w:rPr>
            </w:pPr>
            <w:r>
              <w:rPr>
                <w:rFonts w:ascii="Arial" w:hAnsi="Arial" w:cs="Arial"/>
                <w:sz w:val="16"/>
              </w:rPr>
              <w:t>Cuentas especiales para acreditación de haberes (*</w:t>
            </w:r>
            <w:r w:rsidR="00F37EB9">
              <w:rPr>
                <w:rFonts w:ascii="Arial" w:hAnsi="Arial" w:cs="Arial"/>
                <w:sz w:val="16"/>
              </w:rPr>
              <w:t>*</w:t>
            </w:r>
            <w:r>
              <w:rPr>
                <w:rFonts w:ascii="Arial" w:hAnsi="Arial" w:cs="Arial"/>
                <w:sz w:val="16"/>
              </w:rPr>
              <w:t>)</w:t>
            </w:r>
          </w:p>
        </w:tc>
        <w:tc>
          <w:tcPr>
            <w:tcW w:w="988" w:type="pct"/>
            <w:vAlign w:val="center"/>
          </w:tcPr>
          <w:p w14:paraId="46199321" w14:textId="70824CC0" w:rsidR="00634BEB" w:rsidRDefault="00634BEB" w:rsidP="00534414">
            <w:pPr>
              <w:tabs>
                <w:tab w:val="left" w:pos="142"/>
              </w:tabs>
              <w:jc w:val="right"/>
              <w:rPr>
                <w:rFonts w:ascii="Arial" w:hAnsi="Arial" w:cs="Arial"/>
                <w:sz w:val="16"/>
                <w:lang w:val="es-ES_tradnl"/>
              </w:rPr>
            </w:pPr>
            <w:r>
              <w:rPr>
                <w:rFonts w:ascii="Arial" w:hAnsi="Arial" w:cs="Arial"/>
                <w:sz w:val="16"/>
                <w:lang w:val="es-ES_tradnl"/>
              </w:rPr>
              <w:t>303.588</w:t>
            </w:r>
          </w:p>
        </w:tc>
        <w:tc>
          <w:tcPr>
            <w:tcW w:w="987" w:type="pct"/>
            <w:tcBorders>
              <w:right w:val="single" w:sz="4" w:space="0" w:color="auto"/>
            </w:tcBorders>
            <w:vAlign w:val="center"/>
          </w:tcPr>
          <w:p w14:paraId="5E2E227E" w14:textId="102E956E" w:rsidR="00634BEB" w:rsidRPr="00E97E6A" w:rsidRDefault="00634BEB" w:rsidP="00534414">
            <w:pPr>
              <w:tabs>
                <w:tab w:val="left" w:pos="142"/>
              </w:tabs>
              <w:jc w:val="right"/>
              <w:rPr>
                <w:rFonts w:ascii="Arial" w:hAnsi="Arial" w:cs="Arial"/>
                <w:sz w:val="16"/>
                <w:lang w:val="es-ES_tradnl"/>
              </w:rPr>
            </w:pPr>
            <w:r>
              <w:rPr>
                <w:rFonts w:ascii="Arial" w:hAnsi="Arial" w:cs="Arial"/>
                <w:sz w:val="16"/>
                <w:lang w:val="es-ES_tradnl"/>
              </w:rPr>
              <w:t>1.836</w:t>
            </w:r>
          </w:p>
        </w:tc>
      </w:tr>
      <w:tr w:rsidR="001B4A0E" w:rsidRPr="00701F32" w14:paraId="03AE1FFA" w14:textId="77777777" w:rsidTr="00E97E6A">
        <w:trPr>
          <w:trHeight w:val="314"/>
          <w:jc w:val="center"/>
        </w:trPr>
        <w:tc>
          <w:tcPr>
            <w:tcW w:w="3025" w:type="pct"/>
            <w:tcBorders>
              <w:top w:val="single" w:sz="4" w:space="0" w:color="auto"/>
              <w:left w:val="single" w:sz="4" w:space="0" w:color="auto"/>
              <w:bottom w:val="single" w:sz="4" w:space="0" w:color="auto"/>
            </w:tcBorders>
            <w:vAlign w:val="bottom"/>
          </w:tcPr>
          <w:p w14:paraId="79428B72" w14:textId="77777777" w:rsidR="001B4A0E" w:rsidRPr="00E97E6A" w:rsidRDefault="001B4A0E" w:rsidP="00C23045">
            <w:pPr>
              <w:rPr>
                <w:rFonts w:ascii="Arial" w:hAnsi="Arial" w:cs="Arial"/>
                <w:b/>
                <w:sz w:val="16"/>
              </w:rPr>
            </w:pPr>
            <w:r w:rsidRPr="00E97E6A">
              <w:rPr>
                <w:rFonts w:ascii="Arial" w:hAnsi="Arial" w:cs="Arial"/>
                <w:b/>
                <w:sz w:val="16"/>
              </w:rPr>
              <w:t xml:space="preserve">   Total</w:t>
            </w:r>
          </w:p>
        </w:tc>
        <w:tc>
          <w:tcPr>
            <w:tcW w:w="988" w:type="pct"/>
            <w:tcBorders>
              <w:top w:val="single" w:sz="4" w:space="0" w:color="auto"/>
              <w:bottom w:val="single" w:sz="4" w:space="0" w:color="auto"/>
            </w:tcBorders>
            <w:vAlign w:val="center"/>
          </w:tcPr>
          <w:p w14:paraId="1E58BCDF" w14:textId="3547A35F" w:rsidR="001B4A0E" w:rsidRPr="00E97E6A" w:rsidRDefault="00634BEB" w:rsidP="00534414">
            <w:pPr>
              <w:tabs>
                <w:tab w:val="left" w:pos="142"/>
              </w:tabs>
              <w:jc w:val="right"/>
              <w:rPr>
                <w:rFonts w:ascii="Arial" w:hAnsi="Arial" w:cs="Arial"/>
                <w:b/>
                <w:sz w:val="16"/>
                <w:lang w:val="es-ES_tradnl"/>
              </w:rPr>
            </w:pPr>
            <w:r>
              <w:rPr>
                <w:rFonts w:ascii="Arial" w:hAnsi="Arial" w:cs="Arial"/>
                <w:b/>
                <w:sz w:val="16"/>
                <w:lang w:val="es-ES_tradnl"/>
              </w:rPr>
              <w:t>27</w:t>
            </w:r>
            <w:r w:rsidR="003B3A9A">
              <w:rPr>
                <w:rFonts w:ascii="Arial" w:hAnsi="Arial" w:cs="Arial"/>
                <w:b/>
                <w:sz w:val="16"/>
                <w:lang w:val="es-ES_tradnl"/>
              </w:rPr>
              <w:t>.</w:t>
            </w:r>
            <w:r>
              <w:rPr>
                <w:rFonts w:ascii="Arial" w:hAnsi="Arial" w:cs="Arial"/>
                <w:b/>
                <w:sz w:val="16"/>
                <w:lang w:val="es-ES_tradnl"/>
              </w:rPr>
              <w:t>118</w:t>
            </w:r>
            <w:r w:rsidR="003B3A9A">
              <w:rPr>
                <w:rFonts w:ascii="Arial" w:hAnsi="Arial" w:cs="Arial"/>
                <w:b/>
                <w:sz w:val="16"/>
                <w:lang w:val="es-ES_tradnl"/>
              </w:rPr>
              <w:t>.</w:t>
            </w:r>
            <w:r>
              <w:rPr>
                <w:rFonts w:ascii="Arial" w:hAnsi="Arial" w:cs="Arial"/>
                <w:b/>
                <w:sz w:val="16"/>
                <w:lang w:val="es-ES_tradnl"/>
              </w:rPr>
              <w:t>60</w:t>
            </w:r>
            <w:r w:rsidR="002A4E51">
              <w:rPr>
                <w:rFonts w:ascii="Arial" w:hAnsi="Arial" w:cs="Arial"/>
                <w:b/>
                <w:sz w:val="16"/>
                <w:lang w:val="es-ES_tradnl"/>
              </w:rPr>
              <w:t>7</w:t>
            </w:r>
          </w:p>
        </w:tc>
        <w:tc>
          <w:tcPr>
            <w:tcW w:w="987" w:type="pct"/>
            <w:tcBorders>
              <w:top w:val="single" w:sz="4" w:space="0" w:color="auto"/>
              <w:bottom w:val="single" w:sz="4" w:space="0" w:color="auto"/>
              <w:right w:val="single" w:sz="4" w:space="0" w:color="auto"/>
            </w:tcBorders>
            <w:vAlign w:val="center"/>
          </w:tcPr>
          <w:p w14:paraId="08EC7B25" w14:textId="18533F44" w:rsidR="001B4A0E" w:rsidRPr="00E97E6A" w:rsidRDefault="00634BEB" w:rsidP="00534414">
            <w:pPr>
              <w:tabs>
                <w:tab w:val="left" w:pos="142"/>
              </w:tabs>
              <w:jc w:val="right"/>
              <w:rPr>
                <w:rFonts w:ascii="Arial" w:hAnsi="Arial" w:cs="Arial"/>
                <w:b/>
                <w:sz w:val="16"/>
                <w:lang w:val="es-ES_tradnl"/>
              </w:rPr>
            </w:pPr>
            <w:r>
              <w:rPr>
                <w:rFonts w:ascii="Arial" w:hAnsi="Arial" w:cs="Arial"/>
                <w:b/>
                <w:sz w:val="16"/>
                <w:lang w:val="es-ES_tradnl"/>
              </w:rPr>
              <w:t>18.442.10</w:t>
            </w:r>
            <w:r w:rsidR="002A4E51">
              <w:rPr>
                <w:rFonts w:ascii="Arial" w:hAnsi="Arial" w:cs="Arial"/>
                <w:b/>
                <w:sz w:val="16"/>
                <w:lang w:val="es-ES_tradnl"/>
              </w:rPr>
              <w:t>6</w:t>
            </w:r>
          </w:p>
        </w:tc>
      </w:tr>
    </w:tbl>
    <w:p w14:paraId="4A0D77C9" w14:textId="77777777" w:rsidR="00656E62" w:rsidRPr="00701F32" w:rsidRDefault="00656E62" w:rsidP="00656E62">
      <w:pPr>
        <w:tabs>
          <w:tab w:val="left" w:pos="142"/>
        </w:tabs>
        <w:jc w:val="both"/>
        <w:rPr>
          <w:rFonts w:ascii="Arial" w:hAnsi="Arial" w:cs="Arial"/>
          <w:sz w:val="20"/>
        </w:rPr>
      </w:pPr>
    </w:p>
    <w:p w14:paraId="6E674DEE" w14:textId="7E7BA3FE" w:rsidR="00F37EB9" w:rsidRDefault="00656E62" w:rsidP="00F37EB9">
      <w:pPr>
        <w:tabs>
          <w:tab w:val="left" w:pos="142"/>
        </w:tabs>
        <w:jc w:val="both"/>
        <w:rPr>
          <w:rFonts w:ascii="Arial" w:hAnsi="Arial" w:cs="Arial"/>
          <w:sz w:val="20"/>
        </w:rPr>
      </w:pPr>
      <w:r w:rsidRPr="00701F32">
        <w:rPr>
          <w:rFonts w:ascii="Arial" w:hAnsi="Arial" w:cs="Arial"/>
          <w:sz w:val="20"/>
        </w:rPr>
        <w:t xml:space="preserve"> </w:t>
      </w:r>
      <w:r w:rsidR="00F37EB9" w:rsidRPr="00701F32">
        <w:rPr>
          <w:rFonts w:ascii="Arial" w:hAnsi="Arial" w:cs="Arial"/>
          <w:sz w:val="20"/>
        </w:rPr>
        <w:t xml:space="preserve">(*) </w:t>
      </w:r>
      <w:r w:rsidR="00F37EB9" w:rsidRPr="00F37EB9">
        <w:rPr>
          <w:rFonts w:ascii="Arial" w:hAnsi="Arial" w:cs="Arial"/>
          <w:sz w:val="20"/>
        </w:rPr>
        <w:t>Valores históricos sin ajuste por inflación</w:t>
      </w:r>
    </w:p>
    <w:p w14:paraId="0C25A83D" w14:textId="684F42AE" w:rsidR="00F37EB9" w:rsidRPr="00701F32" w:rsidRDefault="00F37EB9" w:rsidP="00F37EB9">
      <w:pPr>
        <w:tabs>
          <w:tab w:val="left" w:pos="142"/>
        </w:tabs>
        <w:jc w:val="both"/>
        <w:rPr>
          <w:rFonts w:ascii="Arial" w:hAnsi="Arial" w:cs="Arial"/>
          <w:sz w:val="20"/>
        </w:rPr>
      </w:pPr>
      <w:r>
        <w:rPr>
          <w:rFonts w:ascii="Arial" w:hAnsi="Arial" w:cs="Arial"/>
          <w:sz w:val="20"/>
        </w:rPr>
        <w:t xml:space="preserve"> (**) </w:t>
      </w:r>
      <w:r w:rsidRPr="00F37EB9">
        <w:rPr>
          <w:rFonts w:ascii="Arial" w:hAnsi="Arial" w:cs="Arial"/>
          <w:sz w:val="20"/>
        </w:rPr>
        <w:t>Corresponden a saldos según extractos bancarios.</w:t>
      </w:r>
    </w:p>
    <w:p w14:paraId="3A46623D" w14:textId="3F1CDBAF" w:rsidR="00656E62" w:rsidRPr="00701F32" w:rsidRDefault="00F37EB9" w:rsidP="00656E62">
      <w:pPr>
        <w:tabs>
          <w:tab w:val="left" w:pos="142"/>
        </w:tabs>
        <w:jc w:val="both"/>
        <w:rPr>
          <w:rFonts w:ascii="Arial" w:hAnsi="Arial" w:cs="Arial"/>
          <w:sz w:val="20"/>
        </w:rPr>
      </w:pPr>
      <w:r w:rsidRPr="00701F32" w:rsidDel="00F37EB9">
        <w:rPr>
          <w:rFonts w:ascii="Arial" w:hAnsi="Arial" w:cs="Arial"/>
          <w:sz w:val="20"/>
        </w:rPr>
        <w:t xml:space="preserve"> </w:t>
      </w:r>
    </w:p>
    <w:p w14:paraId="39339A7A" w14:textId="53B9347E" w:rsidR="00976DC6" w:rsidRPr="005B6501" w:rsidRDefault="00656E62" w:rsidP="00976DC6">
      <w:pPr>
        <w:tabs>
          <w:tab w:val="left" w:pos="142"/>
        </w:tabs>
        <w:jc w:val="both"/>
        <w:rPr>
          <w:rFonts w:ascii="Arial" w:hAnsi="Arial" w:cs="Arial"/>
          <w:sz w:val="20"/>
        </w:rPr>
      </w:pPr>
      <w:r w:rsidRPr="005B6501">
        <w:rPr>
          <w:rFonts w:ascii="Arial" w:hAnsi="Arial" w:cs="Arial"/>
          <w:sz w:val="20"/>
        </w:rPr>
        <w:t>Cabe señalar que en dichas fechas la Entidad no presentaba incumplimientos en la integración del efectivo mínimo</w:t>
      </w:r>
      <w:r w:rsidR="007A783F" w:rsidRPr="005B6501">
        <w:rPr>
          <w:rFonts w:ascii="Arial" w:hAnsi="Arial" w:cs="Arial"/>
          <w:sz w:val="20"/>
        </w:rPr>
        <w:t>.</w:t>
      </w:r>
      <w:r w:rsidR="00976DC6" w:rsidRPr="005B6501">
        <w:rPr>
          <w:rFonts w:ascii="Arial" w:hAnsi="Arial" w:cs="Arial"/>
          <w:sz w:val="20"/>
        </w:rPr>
        <w:t xml:space="preserve"> </w:t>
      </w:r>
    </w:p>
    <w:p w14:paraId="0BB9FC69" w14:textId="77777777" w:rsidR="00656E62" w:rsidRPr="005B6501" w:rsidRDefault="00656E62" w:rsidP="00656E62">
      <w:pPr>
        <w:tabs>
          <w:tab w:val="left" w:pos="142"/>
        </w:tabs>
        <w:jc w:val="both"/>
        <w:rPr>
          <w:rFonts w:ascii="Arial" w:hAnsi="Arial" w:cs="Arial"/>
          <w:sz w:val="20"/>
        </w:rPr>
      </w:pPr>
    </w:p>
    <w:p w14:paraId="7915038F" w14:textId="41F4E486" w:rsidR="00656E62" w:rsidRPr="00701F32" w:rsidRDefault="00D17399" w:rsidP="00656E62">
      <w:pPr>
        <w:tabs>
          <w:tab w:val="left" w:pos="142"/>
        </w:tabs>
        <w:jc w:val="both"/>
        <w:rPr>
          <w:rFonts w:ascii="Arial" w:hAnsi="Arial" w:cs="Arial"/>
          <w:b/>
          <w:sz w:val="20"/>
        </w:rPr>
      </w:pPr>
      <w:r w:rsidRPr="00BA7A6B">
        <w:rPr>
          <w:rFonts w:ascii="Arial" w:hAnsi="Arial" w:cs="Arial"/>
          <w:b/>
          <w:sz w:val="20"/>
        </w:rPr>
        <w:t>9</w:t>
      </w:r>
      <w:r w:rsidR="00656E62" w:rsidRPr="00BA7A6B">
        <w:rPr>
          <w:rFonts w:ascii="Arial" w:hAnsi="Arial" w:cs="Arial"/>
          <w:b/>
          <w:sz w:val="20"/>
        </w:rPr>
        <w:t>.7 Sanciones aplicadas a la Entidad financiera y sumarios iniciados por el BCRA</w:t>
      </w:r>
    </w:p>
    <w:p w14:paraId="5A3E2CDD" w14:textId="77777777" w:rsidR="00ED5289" w:rsidRPr="00701F32" w:rsidRDefault="00ED5289" w:rsidP="00ED5289">
      <w:pPr>
        <w:tabs>
          <w:tab w:val="left" w:pos="142"/>
        </w:tabs>
        <w:jc w:val="both"/>
        <w:rPr>
          <w:rFonts w:ascii="Arial" w:hAnsi="Arial" w:cs="Arial"/>
          <w:sz w:val="20"/>
        </w:rPr>
      </w:pPr>
    </w:p>
    <w:p w14:paraId="1E4BF1A7" w14:textId="46169EB3" w:rsidR="00ED5289" w:rsidRPr="00701F32" w:rsidRDefault="008D7556" w:rsidP="00ED5289">
      <w:pPr>
        <w:tabs>
          <w:tab w:val="left" w:pos="142"/>
        </w:tabs>
        <w:jc w:val="both"/>
        <w:rPr>
          <w:rFonts w:ascii="Arial" w:hAnsi="Arial" w:cs="Arial"/>
          <w:sz w:val="20"/>
        </w:rPr>
      </w:pPr>
      <w:r>
        <w:rPr>
          <w:rFonts w:ascii="Arial" w:hAnsi="Arial" w:cs="Arial"/>
          <w:sz w:val="20"/>
        </w:rPr>
        <w:t>1</w:t>
      </w:r>
      <w:r w:rsidR="00ED5289" w:rsidRPr="00701F32">
        <w:rPr>
          <w:rFonts w:ascii="Arial" w:hAnsi="Arial" w:cs="Arial"/>
          <w:sz w:val="20"/>
        </w:rPr>
        <w:t xml:space="preserve">. </w:t>
      </w:r>
      <w:r w:rsidR="00ED5289" w:rsidRPr="00701F32">
        <w:rPr>
          <w:rFonts w:ascii="Arial" w:hAnsi="Arial" w:cs="Arial"/>
          <w:sz w:val="20"/>
          <w:u w:val="single"/>
        </w:rPr>
        <w:t>Sumarios iniciados por el BCRA</w:t>
      </w:r>
    </w:p>
    <w:p w14:paraId="62826590" w14:textId="77777777" w:rsidR="00ED5289" w:rsidRPr="00701F32" w:rsidRDefault="00ED5289" w:rsidP="00ED5289">
      <w:pPr>
        <w:tabs>
          <w:tab w:val="left" w:pos="142"/>
        </w:tabs>
        <w:jc w:val="both"/>
        <w:rPr>
          <w:rFonts w:ascii="Arial" w:hAnsi="Arial" w:cs="Arial"/>
          <w:sz w:val="20"/>
        </w:rPr>
      </w:pPr>
    </w:p>
    <w:p w14:paraId="11A3B3D5"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rPr>
        <w:t>1.1. Banco Central de la República Argentina: “Supervielle S/ Sumario Penal Cambiario. Expte. Nº 100.936/07 (3928)”:</w:t>
      </w:r>
    </w:p>
    <w:p w14:paraId="50369D50" w14:textId="77777777" w:rsidR="00323E06" w:rsidRPr="008E64EB" w:rsidRDefault="00323E06" w:rsidP="00323E06">
      <w:pPr>
        <w:tabs>
          <w:tab w:val="left" w:pos="142"/>
        </w:tabs>
        <w:jc w:val="both"/>
        <w:rPr>
          <w:rFonts w:ascii="Arial" w:hAnsi="Arial" w:cs="Arial"/>
          <w:sz w:val="20"/>
        </w:rPr>
      </w:pPr>
    </w:p>
    <w:p w14:paraId="5A3DE2F9"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u w:val="single"/>
        </w:rPr>
        <w:t>Fecha de notificación y N° de sumario</w:t>
      </w:r>
      <w:r w:rsidRPr="008E64EB">
        <w:rPr>
          <w:rFonts w:ascii="Arial" w:hAnsi="Arial" w:cs="Arial"/>
          <w:sz w:val="20"/>
        </w:rPr>
        <w:t>: iniciado por Resolución N° 535 del 8 de septiembre de 2008.</w:t>
      </w:r>
    </w:p>
    <w:p w14:paraId="13394D4A"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u w:val="single"/>
        </w:rPr>
        <w:t>Cargo imputado</w:t>
      </w:r>
      <w:r w:rsidRPr="008E64EB">
        <w:rPr>
          <w:rFonts w:ascii="Arial" w:hAnsi="Arial" w:cs="Arial"/>
          <w:sz w:val="20"/>
        </w:rPr>
        <w:t>: Exceso en venta de dólares estadounidenses.</w:t>
      </w:r>
    </w:p>
    <w:p w14:paraId="1856D9C4"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u w:val="single"/>
        </w:rPr>
        <w:t>Personas Sumariadas</w:t>
      </w:r>
      <w:r w:rsidRPr="008E64EB">
        <w:rPr>
          <w:rFonts w:ascii="Arial" w:hAnsi="Arial" w:cs="Arial"/>
          <w:sz w:val="20"/>
        </w:rPr>
        <w:t>: Ricardo Pablo Villaverde, Raúl Oscar Pastor, Christian Bellanti, Fernando Suarez y de las Sras. Andrea Marisa Suarez, Eleonora Gabriela Laurini de Morolli.</w:t>
      </w:r>
    </w:p>
    <w:p w14:paraId="56ECEB6D"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u w:val="single"/>
        </w:rPr>
        <w:t>Estado Actual</w:t>
      </w:r>
      <w:r w:rsidRPr="008E64EB">
        <w:rPr>
          <w:rFonts w:ascii="Arial" w:hAnsi="Arial" w:cs="Arial"/>
          <w:sz w:val="20"/>
        </w:rPr>
        <w:t>: con fecha 25 de junio de 2013 el BCRA resolvió no hacer lugar a la excepción de falta de acción por prescripción de la acción penal interpuesta como así tampoco a la aplicación del principio de ley penal más benigna; contra ello la Entidad presentó recurso de apelación. Con fecha 9 de febrero de 2015, se resolvió no conceder el recurso de apelación interpuesto.</w:t>
      </w:r>
    </w:p>
    <w:p w14:paraId="5A10896A" w14:textId="77777777" w:rsidR="00323E06" w:rsidRPr="008E64EB" w:rsidRDefault="00323E06" w:rsidP="00323E06">
      <w:pPr>
        <w:tabs>
          <w:tab w:val="left" w:pos="142"/>
        </w:tabs>
        <w:jc w:val="both"/>
        <w:rPr>
          <w:rFonts w:ascii="Arial" w:hAnsi="Arial" w:cs="Arial"/>
          <w:sz w:val="20"/>
        </w:rPr>
      </w:pPr>
    </w:p>
    <w:p w14:paraId="47749906"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rPr>
        <w:t xml:space="preserve">A raíz de ello, con fecha 20 de febrero de 2015, la Entidad interpuso recurso de queja el cual quedó radicado en el Juzgado Nacional en lo Penal Económico N° 5, bajo el N° 111/15. Con </w:t>
      </w:r>
      <w:r w:rsidRPr="008E64EB">
        <w:rPr>
          <w:rFonts w:ascii="Arial" w:hAnsi="Arial" w:cs="Arial"/>
          <w:sz w:val="20"/>
        </w:rPr>
        <w:lastRenderedPageBreak/>
        <w:t>fecha 13 de abril de 2015 dicho Juzgado resolvió rechazar la queja, de modo que el 24 de abril de 2015 se devolvió el expediente al BCRA. Con fecha 3 de noviembre de 2015 se presentó ante el BCRA el memorial correspondiente en los términos del art. 8 inc c) de la Ley de Régimen Penal Cambiario.</w:t>
      </w:r>
    </w:p>
    <w:p w14:paraId="5F1F5C23" w14:textId="77777777" w:rsidR="00323E06" w:rsidRPr="008E64EB" w:rsidRDefault="00323E06" w:rsidP="00323E06">
      <w:pPr>
        <w:tabs>
          <w:tab w:val="left" w:pos="142"/>
        </w:tabs>
        <w:jc w:val="both"/>
        <w:rPr>
          <w:rFonts w:ascii="Arial" w:hAnsi="Arial" w:cs="Arial"/>
          <w:sz w:val="20"/>
        </w:rPr>
      </w:pPr>
    </w:p>
    <w:p w14:paraId="511E8634"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rPr>
        <w:t>Luego de ello, concluido el trámite del sumario cambiario de referencia en el Banco Central de la República Argentina, ese organismo –según lo dispuesto por el art. 8° de la Ley del Régimen Penal Cambiario -, se elevó para el sorteo a la Excelentísima Cámara de Apelaciones del Fuero Penal económico en estado de conclusa para definitiva a fin de que se continuara la tramitación de conformidad con lo dispuesto por el art.9 de la ley 19.359 (T.O. por Decreto N° 480/95). Quedando el expediente radicado por ante el Juzgado Nacional en lo Penal Económico N° 5, Secretaría 9 bajo el N° 121/16 donde el 25 de agosto de 2016 se acompañó a audiencia art. 41 a Suarez Andrea, Morolli y Bellanti. Por Fernando Suarez, se dejó escrito haciendo constar que aún no se ha podido contactar. A la fecha no hay novedades.</w:t>
      </w:r>
    </w:p>
    <w:p w14:paraId="1B0F4A6A" w14:textId="77777777" w:rsidR="00323E06" w:rsidRPr="008E64EB" w:rsidRDefault="00323E06" w:rsidP="00323E06">
      <w:pPr>
        <w:tabs>
          <w:tab w:val="left" w:pos="142"/>
        </w:tabs>
        <w:jc w:val="both"/>
        <w:rPr>
          <w:rFonts w:ascii="Arial" w:hAnsi="Arial" w:cs="Arial"/>
          <w:sz w:val="20"/>
        </w:rPr>
      </w:pPr>
    </w:p>
    <w:p w14:paraId="34A68FF6"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rPr>
        <w:t>La defensa de Ricardo Pablo Villaverde planteó la extinción de la acción penal por aplicación de la ley penal más benigna que fue rechazada por el Juzgado, y al apelar, la Sala A de la Cámara Nacional de Apelaciones en lo Penal Económico revocó dicha resolución e hizo lugar al planteo. El Ministerio Público Fiscal presentó Recurso Extraordinario contra la resolución de Cámara que, con fecha 21 de noviembre de 2017, fue rechazado ante lo cual el Fiscal presentó queja ante la Corte Suprema de Justicia de la Nación que en este momento se encuentra a estudio.</w:t>
      </w:r>
    </w:p>
    <w:p w14:paraId="74EDA6D5" w14:textId="77777777" w:rsidR="00323E06" w:rsidRPr="008E64EB" w:rsidRDefault="00323E06" w:rsidP="00323E06">
      <w:pPr>
        <w:tabs>
          <w:tab w:val="left" w:pos="142"/>
        </w:tabs>
        <w:jc w:val="both"/>
        <w:rPr>
          <w:rFonts w:ascii="Arial" w:hAnsi="Arial" w:cs="Arial"/>
          <w:sz w:val="20"/>
        </w:rPr>
      </w:pPr>
    </w:p>
    <w:p w14:paraId="5C262ABE"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rPr>
        <w:t>1.2. Supervielle S/Sumario Penal Cambiario Expte. N° 48.225/07 (5424).</w:t>
      </w:r>
    </w:p>
    <w:p w14:paraId="3F42B47C" w14:textId="77777777" w:rsidR="00323E06" w:rsidRPr="008E64EB" w:rsidRDefault="00323E06" w:rsidP="00323E06">
      <w:pPr>
        <w:tabs>
          <w:tab w:val="left" w:pos="142"/>
        </w:tabs>
        <w:jc w:val="both"/>
        <w:rPr>
          <w:rFonts w:ascii="Arial" w:hAnsi="Arial" w:cs="Arial"/>
          <w:sz w:val="20"/>
        </w:rPr>
      </w:pPr>
    </w:p>
    <w:p w14:paraId="7D12BD61"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u w:val="single"/>
        </w:rPr>
        <w:t>Fecha de inicio</w:t>
      </w:r>
      <w:r w:rsidRPr="008E64EB">
        <w:rPr>
          <w:rFonts w:ascii="Arial" w:hAnsi="Arial" w:cs="Arial"/>
          <w:sz w:val="20"/>
        </w:rPr>
        <w:t>: 31 de julio de 2013.</w:t>
      </w:r>
    </w:p>
    <w:p w14:paraId="52F82541"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u w:val="single"/>
        </w:rPr>
        <w:t>Personas Sumariadas</w:t>
      </w:r>
      <w:r w:rsidRPr="008E64EB">
        <w:rPr>
          <w:rFonts w:ascii="Arial" w:hAnsi="Arial" w:cs="Arial"/>
          <w:sz w:val="20"/>
        </w:rPr>
        <w:t>: Defensa de la Entidad y de los señores Jorge Di Péntima y Alberto Cid.</w:t>
      </w:r>
    </w:p>
    <w:p w14:paraId="14BA0190" w14:textId="77777777" w:rsidR="00323E06" w:rsidRPr="008E64EB" w:rsidRDefault="00323E06" w:rsidP="00323E06">
      <w:pPr>
        <w:tabs>
          <w:tab w:val="left" w:pos="142"/>
        </w:tabs>
        <w:jc w:val="both"/>
        <w:rPr>
          <w:rFonts w:ascii="Arial" w:hAnsi="Arial" w:cs="Arial"/>
          <w:sz w:val="20"/>
        </w:rPr>
      </w:pPr>
      <w:r w:rsidRPr="008E64EB">
        <w:rPr>
          <w:rFonts w:ascii="Arial" w:hAnsi="Arial" w:cs="Arial"/>
          <w:sz w:val="20"/>
          <w:u w:val="single"/>
        </w:rPr>
        <w:t>Cargo Imputado</w:t>
      </w:r>
      <w:r w:rsidRPr="008E64EB">
        <w:rPr>
          <w:rFonts w:ascii="Arial" w:hAnsi="Arial" w:cs="Arial"/>
          <w:sz w:val="20"/>
        </w:rPr>
        <w:t>: Venta de dólares a Inhabilitados.</w:t>
      </w:r>
    </w:p>
    <w:p w14:paraId="3EDAA7B6" w14:textId="77777777" w:rsidR="00323E06" w:rsidRPr="008E64EB" w:rsidRDefault="00323E06" w:rsidP="00323E06">
      <w:pPr>
        <w:tabs>
          <w:tab w:val="left" w:pos="142"/>
        </w:tabs>
        <w:jc w:val="both"/>
        <w:rPr>
          <w:rFonts w:ascii="Arial" w:hAnsi="Arial" w:cs="Arial"/>
          <w:b/>
          <w:sz w:val="20"/>
        </w:rPr>
      </w:pPr>
      <w:r w:rsidRPr="008E64EB">
        <w:rPr>
          <w:rFonts w:ascii="Arial" w:hAnsi="Arial" w:cs="Arial"/>
          <w:sz w:val="20"/>
          <w:u w:val="single"/>
        </w:rPr>
        <w:t>Estado Actual</w:t>
      </w:r>
      <w:r w:rsidRPr="008E64EB">
        <w:rPr>
          <w:rFonts w:ascii="Arial" w:hAnsi="Arial" w:cs="Arial"/>
          <w:sz w:val="20"/>
        </w:rPr>
        <w:t xml:space="preserve">: con fecha 12 de febrero de 2015 el BCRA resolvió abrir el presente sumario a prueba por el término de 20 días hábiles bancarios, en los términos del artículo 8° de la Ley del Régimen Penal Cambiario. En ese sentido, se dispuso librar oficio al Departamento de Recursos Humanos de la Entidad y citar a las señoras Claudia Andretto y Mónica Carrizo a prestar declaración testimonial para el día 15 de abril de 2015, quienes efectivamente se presentaron a declarar. Con fecha 12 de junio de 2015 se respondió el oficio. Con fecha 14 de diciembre de 2017 se cerró el período de prueba, y el día 18 de diciembre de 2017 se presentó el memorial y se planteó la prescripción de la acción. El día 1 de marzo de 2018 el BCRA resolvió no hacer lugar al planteo de nulidad y a la violación de la garantía de ser Juzgado en un plazo justo. Contra dicha resolución, el día 15 de marzo de 2018, se interpuso recurso de apelación que fue rechazado el día 21 de marzo de 2018. Luego, el 23 de marzo de 2018 se presentó el escrito manifestando que se consiente la resolución y que se hace reserva de plantear su nulidad. El BCRA declaró concluido el sumario y lo elevó al Juzgado Penal Económico N° 11, Secretaría N° 22, en el cual ingresó bajo el N° 645/2018 y actualmente se encuentra con medidas de prueba. Con fecha 18 de diciembre de 2018 se le recibió la declaración testimonial a un empleado de la Subgerencia General de Sistemas y Organización del BCRA a fin de que se expida respecto al envío de comunicados y comunicaciones de dicho organismo, entre otros. Con fecha 30 de mayo de 2019 se le tomó declaración testimonial a la Sra. Gladys Tacone, a cargo de la Gerencia de Asuntos Contenciosos en lo Cambiario del BCRA, a fin de que indique si se encuentran vigentes </w:t>
      </w:r>
      <w:r w:rsidRPr="008E64EB">
        <w:rPr>
          <w:rFonts w:ascii="Arial" w:hAnsi="Arial" w:cs="Arial"/>
          <w:sz w:val="20"/>
        </w:rPr>
        <w:lastRenderedPageBreak/>
        <w:t>las suspensiones que dieron origen al sumario cambiario.</w:t>
      </w:r>
      <w:r w:rsidRPr="008E64EB">
        <w:rPr>
          <w:rFonts w:ascii="Arial" w:eastAsia="Calibri" w:hAnsi="Arial" w:cs="Arial"/>
          <w:szCs w:val="24"/>
        </w:rPr>
        <w:t xml:space="preserve"> </w:t>
      </w:r>
      <w:r w:rsidRPr="008E64EB">
        <w:rPr>
          <w:rFonts w:ascii="Arial" w:hAnsi="Arial" w:cs="Arial"/>
          <w:sz w:val="20"/>
        </w:rPr>
        <w:t>Los Sres. Cid y Di Péntima asistieron a la audiencia con el Juez prevista en el art. 41 del Código Penal (a fin de tomar conocimiento directo con los imputados). Con fecha 27 de febrero de 2020 el Juzgado resolvió dictar la absolución de Alberto Cid, Jorge Di Péntima y el Banco. Dicha resolución ya adquirió firmeza.</w:t>
      </w:r>
    </w:p>
    <w:p w14:paraId="6560C602" w14:textId="77777777" w:rsidR="00323E06" w:rsidRPr="008E64EB" w:rsidRDefault="00323E06" w:rsidP="00323E06"/>
    <w:p w14:paraId="4C993336" w14:textId="77777777" w:rsidR="00323E06" w:rsidRPr="008E64EB" w:rsidRDefault="00323E06" w:rsidP="00323E06">
      <w:pPr>
        <w:rPr>
          <w:rFonts w:ascii="Arial" w:hAnsi="Arial" w:cs="Arial"/>
          <w:sz w:val="20"/>
        </w:rPr>
      </w:pPr>
      <w:r w:rsidRPr="008E64EB">
        <w:rPr>
          <w:rFonts w:ascii="Arial" w:hAnsi="Arial" w:cs="Arial"/>
          <w:sz w:val="20"/>
        </w:rPr>
        <w:t>1.3. Banco Central de la República Argentina: Sumario en lo Financiero N° 1556, Expediente N° 388/04/19.</w:t>
      </w:r>
    </w:p>
    <w:p w14:paraId="2C4E7B74" w14:textId="77777777" w:rsidR="00323E06" w:rsidRPr="008E64EB" w:rsidRDefault="00323E06" w:rsidP="00323E06">
      <w:pPr>
        <w:rPr>
          <w:rFonts w:ascii="Arial" w:hAnsi="Arial" w:cs="Arial"/>
          <w:sz w:val="20"/>
        </w:rPr>
      </w:pPr>
    </w:p>
    <w:p w14:paraId="59E2ED00" w14:textId="77777777" w:rsidR="00323E06" w:rsidRPr="008E64EB" w:rsidRDefault="00323E06" w:rsidP="00323E06">
      <w:pPr>
        <w:rPr>
          <w:rFonts w:ascii="Arial" w:eastAsiaTheme="minorHAnsi" w:hAnsi="Arial" w:cs="Arial"/>
          <w:sz w:val="20"/>
        </w:rPr>
      </w:pPr>
      <w:r w:rsidRPr="008E64EB">
        <w:rPr>
          <w:rFonts w:ascii="Arial" w:eastAsiaTheme="minorHAnsi" w:hAnsi="Arial" w:cs="Arial"/>
          <w:sz w:val="20"/>
          <w:u w:val="single"/>
        </w:rPr>
        <w:t>Carátula:</w:t>
      </w:r>
      <w:r w:rsidRPr="008E64EB">
        <w:rPr>
          <w:rFonts w:ascii="Arial" w:eastAsiaTheme="minorHAnsi" w:hAnsi="Arial" w:cs="Arial"/>
          <w:sz w:val="20"/>
        </w:rPr>
        <w:t xml:space="preserve"> “Banco Supervielle S.A.”</w:t>
      </w:r>
    </w:p>
    <w:p w14:paraId="71AB0D5C" w14:textId="77777777" w:rsidR="00323E06" w:rsidRPr="008E64EB" w:rsidRDefault="00323E06" w:rsidP="00323E06">
      <w:pPr>
        <w:rPr>
          <w:rFonts w:ascii="Arial" w:eastAsiaTheme="minorHAnsi" w:hAnsi="Arial" w:cs="Arial"/>
          <w:sz w:val="20"/>
        </w:rPr>
      </w:pPr>
      <w:r w:rsidRPr="008E64EB">
        <w:rPr>
          <w:rFonts w:ascii="Arial" w:eastAsiaTheme="minorHAnsi" w:hAnsi="Arial" w:cs="Arial"/>
          <w:sz w:val="20"/>
          <w:u w:val="single"/>
        </w:rPr>
        <w:t>Número de sumario:</w:t>
      </w:r>
      <w:r w:rsidRPr="008E64EB">
        <w:rPr>
          <w:rFonts w:ascii="Arial" w:eastAsiaTheme="minorHAnsi" w:hAnsi="Arial" w:cs="Arial"/>
          <w:sz w:val="20"/>
        </w:rPr>
        <w:t xml:space="preserve"> Sumario en lo Financiero N° 1556, Expediente N° 388/04/19. Iniciado por Resolución N° 204 de fecha 27.06.2019.</w:t>
      </w:r>
    </w:p>
    <w:p w14:paraId="4A2C85FF" w14:textId="77777777" w:rsidR="00323E06" w:rsidRPr="008E64EB" w:rsidRDefault="00323E06" w:rsidP="00323E06">
      <w:pPr>
        <w:rPr>
          <w:rFonts w:ascii="Arial" w:eastAsiaTheme="minorHAnsi" w:hAnsi="Arial" w:cs="Arial"/>
          <w:sz w:val="20"/>
        </w:rPr>
      </w:pPr>
      <w:r w:rsidRPr="008E64EB">
        <w:rPr>
          <w:rFonts w:ascii="Arial" w:eastAsiaTheme="minorHAnsi" w:hAnsi="Arial" w:cs="Arial"/>
          <w:sz w:val="20"/>
          <w:u w:val="single"/>
        </w:rPr>
        <w:t>Fecha de notificación:</w:t>
      </w:r>
      <w:r w:rsidRPr="008E64EB">
        <w:rPr>
          <w:rFonts w:ascii="Arial" w:eastAsiaTheme="minorHAnsi" w:hAnsi="Arial" w:cs="Arial"/>
          <w:sz w:val="20"/>
        </w:rPr>
        <w:t xml:space="preserve"> 11/07/2019</w:t>
      </w:r>
    </w:p>
    <w:p w14:paraId="291D5FFB" w14:textId="77777777" w:rsidR="00323E06" w:rsidRPr="008E64EB" w:rsidRDefault="00323E06" w:rsidP="00323E06">
      <w:pPr>
        <w:rPr>
          <w:rFonts w:ascii="Arial" w:eastAsiaTheme="minorHAnsi" w:hAnsi="Arial" w:cs="Arial"/>
          <w:sz w:val="20"/>
        </w:rPr>
      </w:pPr>
      <w:r w:rsidRPr="008E64EB">
        <w:rPr>
          <w:rFonts w:ascii="Arial" w:eastAsiaTheme="minorHAnsi" w:hAnsi="Arial" w:cs="Arial"/>
          <w:sz w:val="20"/>
          <w:u w:val="single"/>
        </w:rPr>
        <w:t>Fecha de contestación:</w:t>
      </w:r>
      <w:r w:rsidRPr="008E64EB">
        <w:rPr>
          <w:rFonts w:ascii="Arial" w:eastAsiaTheme="minorHAnsi" w:hAnsi="Arial" w:cs="Arial"/>
          <w:sz w:val="20"/>
        </w:rPr>
        <w:t xml:space="preserve"> 09/08/2019</w:t>
      </w:r>
    </w:p>
    <w:p w14:paraId="66F7D994" w14:textId="77777777" w:rsidR="00323E06" w:rsidRPr="008E64EB" w:rsidRDefault="00323E06" w:rsidP="00323E06">
      <w:pPr>
        <w:rPr>
          <w:rFonts w:ascii="Arial" w:eastAsiaTheme="minorHAnsi" w:hAnsi="Arial" w:cs="Arial"/>
          <w:sz w:val="20"/>
        </w:rPr>
      </w:pPr>
      <w:r w:rsidRPr="008E64EB">
        <w:rPr>
          <w:rFonts w:ascii="Arial" w:eastAsiaTheme="minorHAnsi" w:hAnsi="Arial" w:cs="Arial"/>
          <w:sz w:val="20"/>
          <w:u w:val="single"/>
        </w:rPr>
        <w:t>El/Los Cargo/s imputado/s</w:t>
      </w:r>
      <w:r w:rsidRPr="008E64EB">
        <w:rPr>
          <w:rFonts w:ascii="Arial" w:eastAsiaTheme="minorHAnsi" w:hAnsi="Arial" w:cs="Arial"/>
          <w:sz w:val="20"/>
        </w:rPr>
        <w:t>:</w:t>
      </w:r>
    </w:p>
    <w:p w14:paraId="4D62E1D9" w14:textId="77777777" w:rsidR="00323E06" w:rsidRPr="008E64EB" w:rsidRDefault="00323E06" w:rsidP="00323E06">
      <w:pPr>
        <w:rPr>
          <w:rFonts w:ascii="Arial" w:eastAsiaTheme="minorHAnsi" w:hAnsi="Arial" w:cs="Arial"/>
          <w:sz w:val="20"/>
        </w:rPr>
      </w:pPr>
    </w:p>
    <w:p w14:paraId="657F2EED" w14:textId="77777777" w:rsidR="00323E06" w:rsidRPr="008E64EB" w:rsidRDefault="00323E06" w:rsidP="00323E06">
      <w:pPr>
        <w:jc w:val="both"/>
        <w:rPr>
          <w:rFonts w:ascii="Arial" w:eastAsiaTheme="minorHAnsi" w:hAnsi="Arial" w:cs="Arial"/>
          <w:sz w:val="20"/>
        </w:rPr>
      </w:pPr>
      <w:r w:rsidRPr="008E64EB">
        <w:rPr>
          <w:rFonts w:ascii="Arial" w:eastAsiaTheme="minorHAnsi" w:hAnsi="Arial" w:cs="Arial"/>
          <w:sz w:val="20"/>
          <w:u w:val="single"/>
        </w:rPr>
        <w:t>Cargo 1:</w:t>
      </w:r>
      <w:r w:rsidRPr="008E64EB">
        <w:rPr>
          <w:rFonts w:ascii="Arial" w:eastAsiaTheme="minorHAnsi" w:hAnsi="Arial" w:cs="Arial"/>
          <w:sz w:val="20"/>
        </w:rPr>
        <w:t xml:space="preserve"> “Desempeño en el cargo de síndico encontrándose inhabilitado por el BCRA en contravención a lo dispuesto en la Ley de Entidades Financieras N° 21.526, artículo 10, inciso e) del citado texto legal y Texto Ordenado de las normas sobre “Autoridades de Entidades Financieras” Sección 2, punto 2.1. primer párrafo (conforme Comunicación A 2241, Circular CREFI 2, Anexo. Capítulo 1, sección 1, punto 1.1.3. –complementarias y modificatorias-)” (considerando 1. de la Resolución SEFyC n° 204/19).</w:t>
      </w:r>
    </w:p>
    <w:p w14:paraId="5B3825EB" w14:textId="77777777" w:rsidR="00323E06" w:rsidRPr="008E64EB" w:rsidRDefault="00323E06" w:rsidP="00323E06">
      <w:pPr>
        <w:jc w:val="both"/>
        <w:rPr>
          <w:rFonts w:ascii="Arial" w:eastAsiaTheme="minorHAnsi" w:hAnsi="Arial" w:cs="Arial"/>
          <w:sz w:val="20"/>
        </w:rPr>
      </w:pPr>
      <w:r w:rsidRPr="008E64EB">
        <w:rPr>
          <w:rFonts w:ascii="Arial" w:eastAsiaTheme="minorHAnsi" w:hAnsi="Arial" w:cs="Arial"/>
          <w:sz w:val="20"/>
          <w:u w:val="single"/>
        </w:rPr>
        <w:t>Cargo 2:</w:t>
      </w:r>
      <w:r w:rsidRPr="008E64EB">
        <w:rPr>
          <w:rFonts w:ascii="Arial" w:eastAsiaTheme="minorHAnsi" w:hAnsi="Arial" w:cs="Arial"/>
          <w:sz w:val="20"/>
        </w:rPr>
        <w:t xml:space="preserve"> “Deficiencias en la certificación anual efectuada por la entidad, respecto de las habilidades legales de sus autoridades, en contravención a lo dispuesto en el Texto Ordenado de las normas sobre “Autoridades de Entidades Financieras” Sección 3, punto 3.1.2 tercer párrafo (conforme Comunicación A 5785, Circular CREFI 2, 84 Anexo. Capítulo 1, sección 5, punto 5.5., segundo párrafo –complementarias y modificatorias-; A 6111, Circular CREFI 2 – 92 – Anexo, Sección 3, punto 3.1.2., último párrafo –complementarias y modificatorios; A 6304, Circular CREFI 2 – 100 – Anexo, Sección 3, punto  3.1.2., segundo párrafo –complementarias y modificatorias-“ (considerando 2 de la Resolución SEFyC n° 204/19).</w:t>
      </w:r>
    </w:p>
    <w:p w14:paraId="141390D3" w14:textId="77777777" w:rsidR="00323E06" w:rsidRPr="008E64EB" w:rsidRDefault="00323E06" w:rsidP="00323E06">
      <w:pPr>
        <w:jc w:val="both"/>
        <w:rPr>
          <w:rFonts w:ascii="Arial" w:eastAsiaTheme="minorHAnsi" w:hAnsi="Arial" w:cs="Arial"/>
          <w:sz w:val="20"/>
        </w:rPr>
      </w:pPr>
    </w:p>
    <w:p w14:paraId="4DA7AA12" w14:textId="77777777" w:rsidR="00323E06" w:rsidRPr="008E64EB" w:rsidRDefault="00323E06" w:rsidP="00323E06">
      <w:pPr>
        <w:spacing w:after="200" w:line="276" w:lineRule="auto"/>
        <w:jc w:val="both"/>
        <w:rPr>
          <w:rFonts w:ascii="Arial" w:eastAsia="Calibri" w:hAnsi="Arial" w:cs="Arial"/>
          <w:sz w:val="20"/>
        </w:rPr>
      </w:pPr>
      <w:r w:rsidRPr="008E64EB">
        <w:rPr>
          <w:rFonts w:ascii="Arial" w:eastAsia="Calibri" w:hAnsi="Arial" w:cs="Arial"/>
          <w:sz w:val="20"/>
          <w:u w:val="single"/>
        </w:rPr>
        <w:t>Sumariados</w:t>
      </w:r>
      <w:r w:rsidRPr="008E64EB">
        <w:rPr>
          <w:rFonts w:ascii="Arial" w:eastAsia="Calibri" w:hAnsi="Arial" w:cs="Arial"/>
          <w:sz w:val="20"/>
        </w:rPr>
        <w:t>: Banco Supervielle S.A., Julio Patricio SUPERVIELLE, Carlos Alberto ASATO, Richard Guy GLUZMAN, Nicole Laurence MENGIN DE LOYER, Carlos Martín NOEL, Atilio María DELL ORO MAINI, Emérico Alejandro STENGEL, Jorge Oscar RAMIREZ, José Luis PANERO, Enrique José BARREIRO, Ariel José PORTNOY y María Cristina FIORIO.</w:t>
      </w:r>
    </w:p>
    <w:p w14:paraId="34344FF4" w14:textId="77777777" w:rsidR="00323E06" w:rsidRPr="008E64EB" w:rsidRDefault="00323E06" w:rsidP="00323E06">
      <w:pPr>
        <w:rPr>
          <w:rFonts w:ascii="Arial" w:eastAsia="Calibri" w:hAnsi="Arial" w:cs="Arial"/>
          <w:sz w:val="20"/>
        </w:rPr>
      </w:pPr>
      <w:r w:rsidRPr="008E64EB">
        <w:rPr>
          <w:rFonts w:ascii="Arial" w:eastAsia="Calibri" w:hAnsi="Arial" w:cs="Arial"/>
          <w:sz w:val="20"/>
          <w:u w:val="single"/>
        </w:rPr>
        <w:t>Estado actual</w:t>
      </w:r>
      <w:r w:rsidRPr="008E64EB">
        <w:rPr>
          <w:rFonts w:ascii="Arial" w:eastAsia="Calibri" w:hAnsi="Arial" w:cs="Arial"/>
          <w:sz w:val="20"/>
        </w:rPr>
        <w:t>: El sumariante continúa el análisis de los descargos presentados y de la prueba ofrecida.</w:t>
      </w:r>
    </w:p>
    <w:p w14:paraId="5BE963BD" w14:textId="77777777" w:rsidR="00323E06" w:rsidRPr="008E64EB" w:rsidRDefault="00323E06" w:rsidP="00323E06">
      <w:pPr>
        <w:rPr>
          <w:rFonts w:ascii="Arial" w:eastAsia="Calibri" w:hAnsi="Arial" w:cs="Arial"/>
          <w:sz w:val="20"/>
        </w:rPr>
      </w:pPr>
    </w:p>
    <w:p w14:paraId="23A41FC1"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rPr>
        <w:t>1.4 Banco Central de la República Argentina: Sumario en lo Financiero N° 1.560.</w:t>
      </w:r>
    </w:p>
    <w:p w14:paraId="6A62FDA3" w14:textId="77777777" w:rsidR="00323E06" w:rsidRPr="008E64EB" w:rsidRDefault="00323E06" w:rsidP="00323E06">
      <w:pPr>
        <w:jc w:val="both"/>
        <w:rPr>
          <w:rFonts w:ascii="Arial" w:eastAsia="Calibri" w:hAnsi="Arial" w:cs="Arial"/>
          <w:sz w:val="20"/>
        </w:rPr>
      </w:pPr>
    </w:p>
    <w:p w14:paraId="72A93DD7"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Número de sumario:</w:t>
      </w:r>
      <w:r w:rsidRPr="008E64EB">
        <w:rPr>
          <w:rFonts w:ascii="Arial" w:eastAsia="Calibri" w:hAnsi="Arial" w:cs="Arial"/>
          <w:sz w:val="20"/>
        </w:rPr>
        <w:t xml:space="preserve"> Sumario en lo Financiero N° 1.560.</w:t>
      </w:r>
    </w:p>
    <w:p w14:paraId="61B642F6"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Fecha de notificación:</w:t>
      </w:r>
      <w:r w:rsidRPr="008E64EB">
        <w:rPr>
          <w:rFonts w:ascii="Arial" w:eastAsia="Calibri" w:hAnsi="Arial" w:cs="Arial"/>
          <w:sz w:val="20"/>
        </w:rPr>
        <w:t xml:space="preserve"> 29/10/2019.</w:t>
      </w:r>
    </w:p>
    <w:p w14:paraId="2833B9E6"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Fecha de contestación:</w:t>
      </w:r>
      <w:r w:rsidRPr="008E64EB">
        <w:rPr>
          <w:rFonts w:ascii="Arial" w:eastAsia="Calibri" w:hAnsi="Arial" w:cs="Arial"/>
          <w:sz w:val="20"/>
        </w:rPr>
        <w:t xml:space="preserve"> 13/11/2019</w:t>
      </w:r>
    </w:p>
    <w:p w14:paraId="636F80EC" w14:textId="77777777" w:rsidR="00323E06" w:rsidRPr="008E64EB" w:rsidRDefault="00323E06" w:rsidP="00323E06">
      <w:pPr>
        <w:jc w:val="both"/>
        <w:rPr>
          <w:rFonts w:ascii="Arial" w:eastAsia="Calibri" w:hAnsi="Arial" w:cs="Arial"/>
          <w:sz w:val="20"/>
          <w:u w:val="single"/>
        </w:rPr>
      </w:pPr>
    </w:p>
    <w:p w14:paraId="47B1CBCE"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El Cargo imputado:</w:t>
      </w:r>
      <w:r w:rsidRPr="008E64EB">
        <w:rPr>
          <w:rFonts w:ascii="Arial" w:eastAsia="Calibri" w:hAnsi="Arial" w:cs="Arial"/>
          <w:sz w:val="20"/>
        </w:rPr>
        <w:t xml:space="preserve"> Reiteradas demoras en remitir al BCRA información y/o documentación vinculadas con nombramientos de nuevas autoridades de la entidad financiera, por lo que, prima </w:t>
      </w:r>
      <w:r w:rsidRPr="008E64EB">
        <w:rPr>
          <w:rFonts w:ascii="Arial" w:eastAsia="Calibri" w:hAnsi="Arial" w:cs="Arial"/>
          <w:sz w:val="20"/>
        </w:rPr>
        <w:lastRenderedPageBreak/>
        <w:t>facie, se habría transgredido lo dispuesto en el Texto Ordenado de las normas sobre “Autoridades de Entidades Financieras” Sección 3, punto 3.1.3., subpunto 3.1.3.2. (conforme Comunicación A 6111, Circular CREFI 2 - 92, Anexo. Sección 3, punto 3.1.3., subpunto 3.1.3.2. y “A” 6304, CREFI 2 – 100, Sección 3, punto 3.1.3., subpunto 3.1.3.2., en concordancia con la comunicación “B” 11.461 –complementarias y modificatorias-)” (considerando 1. de la Resolución SEFyC n° 307/19).</w:t>
      </w:r>
    </w:p>
    <w:p w14:paraId="0AE47129" w14:textId="77777777" w:rsidR="00323E06" w:rsidRPr="008E64EB" w:rsidRDefault="00323E06" w:rsidP="00323E06">
      <w:pPr>
        <w:jc w:val="both"/>
        <w:rPr>
          <w:rFonts w:ascii="Arial" w:eastAsia="Calibri" w:hAnsi="Arial" w:cs="Arial"/>
          <w:sz w:val="20"/>
        </w:rPr>
      </w:pPr>
    </w:p>
    <w:p w14:paraId="78D5E4C5"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Sumariado</w:t>
      </w:r>
      <w:r w:rsidRPr="008E64EB">
        <w:rPr>
          <w:rFonts w:ascii="Arial" w:eastAsia="Calibri" w:hAnsi="Arial" w:cs="Arial"/>
          <w:sz w:val="20"/>
        </w:rPr>
        <w:t>: Banco Supervielle S.A.</w:t>
      </w:r>
    </w:p>
    <w:p w14:paraId="40B64038" w14:textId="77777777" w:rsidR="00323E06" w:rsidRPr="008E64EB" w:rsidRDefault="00323E06" w:rsidP="00323E06">
      <w:pPr>
        <w:jc w:val="both"/>
        <w:rPr>
          <w:rFonts w:ascii="Arial" w:eastAsia="Calibri" w:hAnsi="Arial" w:cs="Arial"/>
          <w:sz w:val="20"/>
        </w:rPr>
      </w:pPr>
    </w:p>
    <w:p w14:paraId="2ACA787D"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Estado actual</w:t>
      </w:r>
      <w:r w:rsidRPr="008E64EB">
        <w:rPr>
          <w:rFonts w:ascii="Arial" w:eastAsia="Calibri" w:hAnsi="Arial" w:cs="Arial"/>
          <w:sz w:val="20"/>
        </w:rPr>
        <w:t>: Continúa aún para proveer el descargo presentado.</w:t>
      </w:r>
    </w:p>
    <w:p w14:paraId="4123E316" w14:textId="77777777" w:rsidR="00323E06" w:rsidRPr="008E64EB" w:rsidRDefault="00323E06" w:rsidP="00323E06">
      <w:pPr>
        <w:jc w:val="both"/>
        <w:rPr>
          <w:rFonts w:ascii="Arial" w:eastAsia="Calibri" w:hAnsi="Arial" w:cs="Arial"/>
          <w:sz w:val="20"/>
        </w:rPr>
      </w:pPr>
    </w:p>
    <w:p w14:paraId="18CB9B1C" w14:textId="77777777" w:rsidR="00323E06" w:rsidRPr="008E64EB" w:rsidRDefault="00323E06" w:rsidP="00323E06">
      <w:pPr>
        <w:jc w:val="both"/>
        <w:rPr>
          <w:rFonts w:ascii="Arial" w:eastAsia="Calibri" w:hAnsi="Arial" w:cs="Arial"/>
          <w:b/>
          <w:sz w:val="20"/>
        </w:rPr>
      </w:pPr>
      <w:r w:rsidRPr="008E64EB">
        <w:rPr>
          <w:rFonts w:ascii="Arial" w:eastAsia="Calibri" w:hAnsi="Arial" w:cs="Arial"/>
          <w:b/>
          <w:sz w:val="20"/>
        </w:rPr>
        <w:t>2. Unidad de Información Financiera:</w:t>
      </w:r>
    </w:p>
    <w:p w14:paraId="560A4C06" w14:textId="77777777" w:rsidR="00323E06" w:rsidRPr="008E64EB" w:rsidRDefault="00323E06" w:rsidP="00323E06">
      <w:pPr>
        <w:jc w:val="both"/>
        <w:rPr>
          <w:rFonts w:ascii="Arial" w:eastAsia="Calibri" w:hAnsi="Arial" w:cs="Arial"/>
          <w:b/>
          <w:sz w:val="20"/>
        </w:rPr>
      </w:pPr>
    </w:p>
    <w:p w14:paraId="64136DA0"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rPr>
        <w:t>1. Banco Supervielle S.A. s/ Supervisión B.C.R.A.</w:t>
      </w:r>
    </w:p>
    <w:p w14:paraId="58617F18" w14:textId="77777777" w:rsidR="00323E06" w:rsidRPr="008E64EB" w:rsidRDefault="00323E06" w:rsidP="00323E06">
      <w:pPr>
        <w:jc w:val="both"/>
        <w:rPr>
          <w:rFonts w:ascii="Arial" w:eastAsia="Calibri" w:hAnsi="Arial" w:cs="Arial"/>
          <w:sz w:val="20"/>
          <w:u w:val="single"/>
        </w:rPr>
      </w:pPr>
    </w:p>
    <w:p w14:paraId="2F55B21B"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Expte. UIF Nº:</w:t>
      </w:r>
      <w:r w:rsidRPr="008E64EB">
        <w:rPr>
          <w:rFonts w:ascii="Arial" w:eastAsia="Calibri" w:hAnsi="Arial" w:cs="Arial"/>
          <w:sz w:val="20"/>
        </w:rPr>
        <w:t xml:space="preserve"> 2545/14. </w:t>
      </w:r>
    </w:p>
    <w:p w14:paraId="059E8F5A" w14:textId="77777777" w:rsidR="00323E06" w:rsidRPr="008E64EB" w:rsidRDefault="00323E06" w:rsidP="00323E06">
      <w:pPr>
        <w:jc w:val="both"/>
        <w:rPr>
          <w:rFonts w:ascii="Arial" w:eastAsia="Calibri" w:hAnsi="Arial" w:cs="Arial"/>
          <w:sz w:val="20"/>
          <w:u w:val="single"/>
        </w:rPr>
      </w:pPr>
      <w:r w:rsidRPr="008E64EB">
        <w:rPr>
          <w:rFonts w:ascii="Arial" w:eastAsia="Calibri" w:hAnsi="Arial" w:cs="Arial"/>
          <w:sz w:val="20"/>
          <w:u w:val="single"/>
        </w:rPr>
        <w:t>Sumariante:</w:t>
      </w:r>
      <w:r w:rsidRPr="008E64EB">
        <w:rPr>
          <w:rFonts w:ascii="Arial" w:eastAsia="Calibri" w:hAnsi="Arial" w:cs="Arial"/>
          <w:sz w:val="20"/>
        </w:rPr>
        <w:t xml:space="preserve"> Ignacio Bagnardi.</w:t>
      </w:r>
    </w:p>
    <w:p w14:paraId="2EEE257F" w14:textId="77777777" w:rsidR="00323E06" w:rsidRPr="008E64EB" w:rsidRDefault="00323E06" w:rsidP="00323E06">
      <w:pPr>
        <w:jc w:val="both"/>
        <w:rPr>
          <w:rFonts w:ascii="Arial" w:eastAsia="Calibri" w:hAnsi="Arial" w:cs="Arial"/>
          <w:sz w:val="20"/>
        </w:rPr>
      </w:pPr>
    </w:p>
    <w:p w14:paraId="01213CA7"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Fecha de notificación:</w:t>
      </w:r>
      <w:r w:rsidRPr="008E64EB">
        <w:rPr>
          <w:rFonts w:ascii="Arial" w:eastAsia="Calibri" w:hAnsi="Arial" w:cs="Arial"/>
          <w:sz w:val="20"/>
        </w:rPr>
        <w:t xml:space="preserve"> 26/12/2019.</w:t>
      </w:r>
    </w:p>
    <w:p w14:paraId="73207907" w14:textId="77777777" w:rsidR="00323E06" w:rsidRPr="008E64EB" w:rsidRDefault="00323E06" w:rsidP="00323E06">
      <w:pPr>
        <w:jc w:val="both"/>
        <w:rPr>
          <w:rFonts w:ascii="Arial" w:eastAsia="Calibri" w:hAnsi="Arial" w:cs="Arial"/>
          <w:sz w:val="20"/>
        </w:rPr>
      </w:pPr>
      <w:r w:rsidRPr="008E64EB">
        <w:rPr>
          <w:rFonts w:ascii="Arial" w:eastAsia="Calibri" w:hAnsi="Arial" w:cs="Arial"/>
          <w:sz w:val="20"/>
          <w:u w:val="single"/>
        </w:rPr>
        <w:t>Fecha de contestación:</w:t>
      </w:r>
      <w:r w:rsidRPr="008E64EB">
        <w:rPr>
          <w:rFonts w:ascii="Arial" w:eastAsia="Calibri" w:hAnsi="Arial" w:cs="Arial"/>
          <w:sz w:val="20"/>
        </w:rPr>
        <w:t xml:space="preserve"> 13/01/2020.</w:t>
      </w:r>
    </w:p>
    <w:p w14:paraId="3FD001BF" w14:textId="77777777" w:rsidR="00323E06" w:rsidRPr="008E64EB" w:rsidRDefault="00323E06" w:rsidP="00323E06">
      <w:pPr>
        <w:jc w:val="both"/>
        <w:rPr>
          <w:rFonts w:ascii="Arial" w:eastAsia="Calibri" w:hAnsi="Arial" w:cs="Arial"/>
          <w:sz w:val="20"/>
        </w:rPr>
      </w:pPr>
    </w:p>
    <w:p w14:paraId="29DFD9AD" w14:textId="77777777" w:rsidR="00323E06" w:rsidRPr="008E64EB" w:rsidRDefault="00323E06" w:rsidP="00323E06">
      <w:pPr>
        <w:jc w:val="both"/>
        <w:rPr>
          <w:rFonts w:ascii="Arial" w:eastAsia="Calibri" w:hAnsi="Arial" w:cs="Arial"/>
          <w:sz w:val="20"/>
          <w:u w:val="single"/>
        </w:rPr>
      </w:pPr>
      <w:r w:rsidRPr="008E64EB">
        <w:rPr>
          <w:rFonts w:ascii="Arial" w:eastAsia="Calibri" w:hAnsi="Arial" w:cs="Arial"/>
          <w:sz w:val="20"/>
          <w:u w:val="single"/>
        </w:rPr>
        <w:t>Intervención:</w:t>
      </w:r>
      <w:r w:rsidRPr="008E64EB">
        <w:rPr>
          <w:rFonts w:ascii="Arial" w:eastAsia="Calibri" w:hAnsi="Arial" w:cs="Arial"/>
          <w:sz w:val="20"/>
        </w:rPr>
        <w:t xml:space="preserve"> Defensa del Banco, de los Sres. Jorge Oscar Ramírez, Atilio María Dell Oro Maini, Richard Guy Gluzman, Laurence Nicole Mengin, Emerico Alejandro Stengel, Carlos Martin Noel, Julio Patricio Supervielle Saavedra y Aníbal Rodríguez Melgarejo.</w:t>
      </w:r>
    </w:p>
    <w:p w14:paraId="0BAE7ACC" w14:textId="77777777" w:rsidR="00323E06" w:rsidRPr="008E64EB" w:rsidRDefault="00323E06" w:rsidP="00323E06">
      <w:pPr>
        <w:jc w:val="both"/>
        <w:rPr>
          <w:rFonts w:ascii="Arial" w:eastAsia="Calibri" w:hAnsi="Arial" w:cs="Arial"/>
          <w:sz w:val="20"/>
        </w:rPr>
      </w:pPr>
    </w:p>
    <w:p w14:paraId="3FA99962" w14:textId="77777777" w:rsidR="00323E06" w:rsidRPr="008E64EB" w:rsidRDefault="00323E06" w:rsidP="00323E06">
      <w:pPr>
        <w:jc w:val="both"/>
        <w:rPr>
          <w:rFonts w:ascii="Arial" w:eastAsia="Calibri" w:hAnsi="Arial" w:cs="Arial"/>
          <w:sz w:val="20"/>
          <w:u w:val="single"/>
        </w:rPr>
      </w:pPr>
      <w:r w:rsidRPr="008E64EB">
        <w:rPr>
          <w:rFonts w:ascii="Arial" w:eastAsia="Calibri" w:hAnsi="Arial" w:cs="Arial"/>
          <w:sz w:val="20"/>
          <w:u w:val="single"/>
        </w:rPr>
        <w:t>Objeto:</w:t>
      </w:r>
      <w:r w:rsidRPr="008E64EB">
        <w:rPr>
          <w:rFonts w:ascii="Arial" w:eastAsia="Calibri" w:hAnsi="Arial" w:cs="Arial"/>
          <w:sz w:val="20"/>
        </w:rPr>
        <w:t xml:space="preserve"> Se investigan las acciones vinculadas con el contenido de la inspección integral del BCRA enfocada principalmente en la revisión del sistema de monitoreo de las operaciones de los clientes, la emisión de alertas, su gestión y análisis, la matriz de riesgo y la definición y administración de perfiles entre los días 19/12/16 y 2/02/17 –la Inspección BCRA 2017-, así como la acción administrativa sancionatoria que se vincula con el aporte efectuado por Woodford S.A.R.L. a los clientes Valle del Carmen S.a. y Valle Encantado S.A. con fecha 31/07/2014 por un monto de $578.813.</w:t>
      </w:r>
    </w:p>
    <w:p w14:paraId="686E240F" w14:textId="77777777" w:rsidR="00323E06" w:rsidRPr="008E64EB" w:rsidRDefault="00323E06" w:rsidP="00323E06">
      <w:pPr>
        <w:jc w:val="both"/>
        <w:rPr>
          <w:rFonts w:ascii="Arial" w:eastAsia="Calibri" w:hAnsi="Arial" w:cs="Arial"/>
          <w:sz w:val="20"/>
        </w:rPr>
      </w:pPr>
    </w:p>
    <w:p w14:paraId="646A3D05" w14:textId="4039B8A0" w:rsidR="00323E06" w:rsidRDefault="00323E06" w:rsidP="00323E06">
      <w:pPr>
        <w:jc w:val="both"/>
        <w:rPr>
          <w:rFonts w:ascii="Arial" w:eastAsia="Calibri" w:hAnsi="Arial" w:cs="Arial"/>
          <w:sz w:val="20"/>
        </w:rPr>
      </w:pPr>
      <w:r w:rsidRPr="008E64EB">
        <w:rPr>
          <w:rFonts w:ascii="Arial" w:eastAsia="Calibri" w:hAnsi="Arial" w:cs="Arial"/>
          <w:sz w:val="20"/>
          <w:u w:val="single"/>
        </w:rPr>
        <w:t>Estado Actual:</w:t>
      </w:r>
      <w:r w:rsidRPr="008E64EB">
        <w:rPr>
          <w:rFonts w:ascii="Arial" w:eastAsia="Calibri" w:hAnsi="Arial" w:cs="Arial"/>
          <w:sz w:val="20"/>
        </w:rPr>
        <w:t xml:space="preserve"> Nos presentamos formalmente por los sujetos mencionados. Con fecha 13 de enero de 2020 se presentaron los respectivos descargos por cada uno de los sumariados. Asimismo, se efectuaron planteos de nulidad, de prescripción y de falta de legitimación pasivo que por ahora se tuvieron presentes con fecha 13 de febrero de 2020. Con fecha 12 de marzo de 2020 la UIF nos notificó de la apertura a prueba del sumario por el plazo de 30 días. En ese sentido, se tuvo presente la prueba ofrecida en cada descargo y se fijaron las siguientes audiencias testimoniales: para el día 10/06/20 se citó a los Sres. Cuccia y Marteau, para el día 17/06/20 al representante del Banco y al Sr. Julio Patricio Supervielle, para el día 18/06/20 se citó a los Sres. Gluzman, Stengel y Noel, para el día 19/06/20 a los Sres. Nougues, Dell’ Oro Maini y Rodríguez Melgarejo, y para el día 22/06/20 se citó a los Sres. Ramírez y Mengin.</w:t>
      </w:r>
    </w:p>
    <w:p w14:paraId="016CB99B" w14:textId="77777777" w:rsidR="00323E06" w:rsidRPr="008E64EB" w:rsidRDefault="00323E06" w:rsidP="00323E06">
      <w:pPr>
        <w:jc w:val="both"/>
        <w:rPr>
          <w:rFonts w:ascii="Arial" w:eastAsia="Calibri" w:hAnsi="Arial" w:cs="Arial"/>
          <w:sz w:val="20"/>
        </w:rPr>
      </w:pPr>
    </w:p>
    <w:p w14:paraId="09930A1D" w14:textId="6AEFCC08" w:rsidR="00656E62" w:rsidRPr="00701F32" w:rsidRDefault="00D17399" w:rsidP="00701F32">
      <w:pPr>
        <w:rPr>
          <w:rFonts w:ascii="Arial" w:hAnsi="Arial" w:cs="Arial"/>
          <w:b/>
          <w:sz w:val="20"/>
        </w:rPr>
      </w:pPr>
      <w:r>
        <w:rPr>
          <w:rFonts w:ascii="Arial" w:hAnsi="Arial" w:cs="Arial"/>
          <w:b/>
          <w:sz w:val="20"/>
        </w:rPr>
        <w:t>9</w:t>
      </w:r>
      <w:r w:rsidR="00656E62" w:rsidRPr="00701F32">
        <w:rPr>
          <w:rFonts w:ascii="Arial" w:hAnsi="Arial" w:cs="Arial"/>
          <w:b/>
          <w:sz w:val="20"/>
        </w:rPr>
        <w:t>.8 Emisión de obligaciones negociables</w:t>
      </w:r>
    </w:p>
    <w:p w14:paraId="68F7AAF0" w14:textId="77777777" w:rsidR="00656E62" w:rsidRPr="00701F32" w:rsidRDefault="00656E62" w:rsidP="00656E62">
      <w:pPr>
        <w:tabs>
          <w:tab w:val="left" w:pos="142"/>
        </w:tabs>
        <w:jc w:val="both"/>
        <w:rPr>
          <w:rFonts w:ascii="Arial" w:hAnsi="Arial" w:cs="Arial"/>
          <w:b/>
          <w:sz w:val="20"/>
        </w:rPr>
      </w:pPr>
    </w:p>
    <w:p w14:paraId="0D83CFC8" w14:textId="77777777" w:rsidR="00413157" w:rsidRPr="00701F32" w:rsidRDefault="00413157" w:rsidP="00413157">
      <w:pPr>
        <w:pStyle w:val="PrimerNivel"/>
        <w:numPr>
          <w:ilvl w:val="0"/>
          <w:numId w:val="0"/>
        </w:numPr>
        <w:rPr>
          <w:rFonts w:ascii="Arial" w:hAnsi="Arial" w:cs="Arial"/>
          <w:b/>
          <w:sz w:val="20"/>
        </w:rPr>
      </w:pPr>
      <w:r w:rsidRPr="00701F32">
        <w:rPr>
          <w:rFonts w:ascii="Arial" w:hAnsi="Arial" w:cs="Arial"/>
          <w:b/>
          <w:sz w:val="20"/>
        </w:rPr>
        <w:lastRenderedPageBreak/>
        <w:t>Obligaciones Negociables no subordinadas</w:t>
      </w:r>
    </w:p>
    <w:p w14:paraId="14C6D565" w14:textId="77777777" w:rsidR="00413157" w:rsidRPr="00701F32" w:rsidRDefault="00413157" w:rsidP="00413157">
      <w:pPr>
        <w:tabs>
          <w:tab w:val="left" w:pos="142"/>
          <w:tab w:val="left" w:pos="9923"/>
        </w:tabs>
        <w:jc w:val="both"/>
        <w:rPr>
          <w:rFonts w:ascii="Arial" w:hAnsi="Arial" w:cs="Arial"/>
          <w:sz w:val="20"/>
        </w:rPr>
      </w:pPr>
    </w:p>
    <w:p w14:paraId="7BCD5FD4" w14:textId="017A509B" w:rsidR="00044B2E" w:rsidRDefault="00FC3DB3" w:rsidP="00A74911">
      <w:pPr>
        <w:spacing w:line="220" w:lineRule="exact"/>
        <w:jc w:val="both"/>
        <w:rPr>
          <w:rFonts w:ascii="Arial" w:hAnsi="Arial" w:cs="Arial"/>
          <w:sz w:val="20"/>
        </w:rPr>
      </w:pPr>
      <w:r>
        <w:rPr>
          <w:rFonts w:ascii="Arial" w:hAnsi="Arial" w:cs="Arial"/>
          <w:sz w:val="20"/>
        </w:rPr>
        <w:t>Con fecha 25 de marzo de 2013, la Asamblea General Ordinaria de Accionistas, resolvió aprobar la creación de un Programa Global de emisión de Obligaciones Negociables (el “Programa”) por hasta un monto máximo en circulación de $750.000. El Programa fue autorizado por la Comisión Nacional de Valores (la “CNV”) a través de la Resolución N° 17.066 de fecha 02 de mayo de 2013. Con fecha 15 de abril de 2016, la Asamblea General Ordinaria y Extraordinaria de Accionistas, aprobó la ampliación del monto total del Programa a un valor nominal de hasta $ 2.000.000. Dicha ampliación fue aprobada por el directorio de la CNV, mediante Resolución N°18.224 de fecha 22 de septiembre de 2016. A partir de la fecha 2 de mayo de 2018 el programa ya no se encuentra vigente.</w:t>
      </w:r>
    </w:p>
    <w:p w14:paraId="519CFEE8" w14:textId="77777777" w:rsidR="00044B2E" w:rsidRPr="00701F32" w:rsidRDefault="00044B2E" w:rsidP="00413157">
      <w:pPr>
        <w:jc w:val="both"/>
        <w:rPr>
          <w:rFonts w:ascii="Arial" w:hAnsi="Arial" w:cs="Arial"/>
          <w:sz w:val="20"/>
        </w:rPr>
      </w:pPr>
    </w:p>
    <w:p w14:paraId="70A76CE7" w14:textId="33699136" w:rsidR="00413157" w:rsidRPr="00701F32" w:rsidRDefault="00413157" w:rsidP="00413157">
      <w:pPr>
        <w:tabs>
          <w:tab w:val="left" w:pos="142"/>
          <w:tab w:val="left" w:pos="9923"/>
        </w:tabs>
        <w:jc w:val="both"/>
        <w:rPr>
          <w:rFonts w:ascii="Arial" w:hAnsi="Arial" w:cs="Arial"/>
          <w:b/>
          <w:sz w:val="20"/>
        </w:rPr>
      </w:pPr>
      <w:r w:rsidRPr="00701F32">
        <w:rPr>
          <w:rFonts w:ascii="Arial" w:hAnsi="Arial" w:cs="Arial"/>
          <w:b/>
          <w:sz w:val="20"/>
        </w:rPr>
        <w:t>Programa Global de Emisión de Títulos de Mediano Plazo por hasta V/N US$ 800.000</w:t>
      </w:r>
    </w:p>
    <w:p w14:paraId="6209C97C" w14:textId="77777777" w:rsidR="00413157" w:rsidRPr="00701F32" w:rsidRDefault="00413157" w:rsidP="00413157">
      <w:pPr>
        <w:tabs>
          <w:tab w:val="left" w:pos="142"/>
          <w:tab w:val="left" w:pos="9923"/>
        </w:tabs>
        <w:jc w:val="both"/>
        <w:rPr>
          <w:rFonts w:ascii="Arial" w:hAnsi="Arial" w:cs="Arial"/>
          <w:sz w:val="20"/>
        </w:rPr>
      </w:pPr>
    </w:p>
    <w:p w14:paraId="2C8385B8" w14:textId="077BC231" w:rsidR="00413157" w:rsidRPr="00701F32" w:rsidRDefault="00413157" w:rsidP="00413157">
      <w:pPr>
        <w:tabs>
          <w:tab w:val="left" w:pos="142"/>
          <w:tab w:val="left" w:pos="9923"/>
        </w:tabs>
        <w:jc w:val="both"/>
        <w:rPr>
          <w:rFonts w:ascii="Arial" w:hAnsi="Arial" w:cs="Arial"/>
          <w:sz w:val="20"/>
        </w:rPr>
      </w:pPr>
      <w:r w:rsidRPr="00701F32">
        <w:rPr>
          <w:rFonts w:ascii="Arial" w:hAnsi="Arial" w:cs="Arial"/>
          <w:sz w:val="20"/>
        </w:rPr>
        <w:t>Con fecha 22 de septiembre de 2016, la Asamblea General Ordinaria y Extraordinaria N° 117 resolvió aprobar la creación de un Programa Global de Emisión de Obligaciones Negociables por hasta un monto máximo en circulación en cualquier momento durante la vigencia del programa de U$S 800.000. El programa fue autorizado por la Comisión Nacional de Valores a través de la Resolución Nº 18.376 de fecha 24 de noviembre de 2016.</w:t>
      </w:r>
    </w:p>
    <w:p w14:paraId="4CADBE5B" w14:textId="77777777" w:rsidR="00413157" w:rsidRPr="00701F32" w:rsidRDefault="00413157" w:rsidP="00413157">
      <w:pPr>
        <w:tabs>
          <w:tab w:val="left" w:pos="142"/>
          <w:tab w:val="left" w:pos="9923"/>
        </w:tabs>
        <w:jc w:val="both"/>
        <w:rPr>
          <w:rFonts w:ascii="Arial" w:hAnsi="Arial" w:cs="Arial"/>
          <w:sz w:val="20"/>
        </w:rPr>
      </w:pPr>
    </w:p>
    <w:p w14:paraId="43C6D212" w14:textId="33996084" w:rsidR="00413157" w:rsidRDefault="00413157" w:rsidP="00413157">
      <w:pPr>
        <w:tabs>
          <w:tab w:val="left" w:pos="142"/>
          <w:tab w:val="left" w:pos="9923"/>
        </w:tabs>
        <w:jc w:val="both"/>
        <w:rPr>
          <w:rFonts w:ascii="Arial" w:hAnsi="Arial" w:cs="Arial"/>
          <w:sz w:val="20"/>
        </w:rPr>
      </w:pPr>
      <w:r w:rsidRPr="00701F32">
        <w:rPr>
          <w:rFonts w:ascii="Arial" w:hAnsi="Arial" w:cs="Arial"/>
          <w:sz w:val="20"/>
        </w:rPr>
        <w:t>Con fecha 06 marzo de 2018 se aprobó por acta de asamblea la ampliación del Programa Global de Obligaciones Negociables por U$S 2.300.000</w:t>
      </w:r>
      <w:r w:rsidR="00910602">
        <w:rPr>
          <w:rFonts w:ascii="Arial" w:hAnsi="Arial" w:cs="Arial"/>
          <w:sz w:val="20"/>
        </w:rPr>
        <w:t>.</w:t>
      </w:r>
      <w:r w:rsidRPr="00701F32">
        <w:rPr>
          <w:rFonts w:ascii="Arial" w:hAnsi="Arial" w:cs="Arial"/>
          <w:sz w:val="20"/>
        </w:rPr>
        <w:t xml:space="preserve"> Con fecha 16 de abril de 2018 la CNV aprobó el aumento del Programa mediante la resolución Nro 19470.</w:t>
      </w:r>
    </w:p>
    <w:p w14:paraId="1E1882C5" w14:textId="77777777" w:rsidR="00FC3DB3" w:rsidRDefault="00FC3DB3" w:rsidP="00413157">
      <w:pPr>
        <w:tabs>
          <w:tab w:val="left" w:pos="142"/>
          <w:tab w:val="left" w:pos="9923"/>
        </w:tabs>
        <w:jc w:val="both"/>
        <w:rPr>
          <w:rFonts w:ascii="Arial" w:hAnsi="Arial" w:cs="Arial"/>
          <w:sz w:val="20"/>
        </w:rPr>
      </w:pPr>
    </w:p>
    <w:p w14:paraId="66166779" w14:textId="77777777" w:rsidR="005A741E" w:rsidRDefault="005A741E" w:rsidP="005A741E">
      <w:pPr>
        <w:spacing w:line="220" w:lineRule="exact"/>
        <w:jc w:val="both"/>
        <w:rPr>
          <w:rFonts w:ascii="Arial" w:hAnsi="Arial" w:cs="Arial"/>
          <w:b/>
          <w:bCs/>
          <w:sz w:val="20"/>
        </w:rPr>
      </w:pPr>
      <w:r>
        <w:rPr>
          <w:rFonts w:ascii="Arial" w:hAnsi="Arial" w:cs="Arial"/>
          <w:b/>
          <w:bCs/>
          <w:sz w:val="20"/>
        </w:rPr>
        <w:t>Inscripción régimen emisor frecuente CNV</w:t>
      </w:r>
    </w:p>
    <w:p w14:paraId="048C6E4B" w14:textId="77777777" w:rsidR="005A741E" w:rsidRDefault="005A741E" w:rsidP="005A741E">
      <w:pPr>
        <w:jc w:val="both"/>
        <w:rPr>
          <w:rFonts w:ascii="Century Gothic" w:hAnsi="Century Gothic" w:cs="Calibri"/>
          <w:sz w:val="20"/>
        </w:rPr>
      </w:pPr>
    </w:p>
    <w:p w14:paraId="1A6FE4DA" w14:textId="4CAEDFAE" w:rsidR="005A741E" w:rsidRDefault="005A741E" w:rsidP="005A741E">
      <w:pPr>
        <w:tabs>
          <w:tab w:val="left" w:pos="142"/>
          <w:tab w:val="left" w:pos="9923"/>
        </w:tabs>
        <w:jc w:val="both"/>
        <w:rPr>
          <w:rFonts w:ascii="Arial" w:hAnsi="Arial" w:cs="Arial"/>
          <w:sz w:val="20"/>
        </w:rPr>
      </w:pPr>
      <w:r>
        <w:rPr>
          <w:rFonts w:ascii="Arial" w:hAnsi="Arial" w:cs="Arial"/>
          <w:sz w:val="20"/>
        </w:rPr>
        <w:t>Con fecha 6 de agosto de 2018 el Directorio resolvió solicitar a la Comisión Nacional de Valores (la “CNV</w:t>
      </w:r>
      <w:r w:rsidR="002A4E51">
        <w:rPr>
          <w:rFonts w:ascii="Arial" w:hAnsi="Arial" w:cs="Arial"/>
          <w:sz w:val="20"/>
        </w:rPr>
        <w:t>”) el</w:t>
      </w:r>
      <w:r>
        <w:rPr>
          <w:rFonts w:ascii="Arial" w:hAnsi="Arial" w:cs="Arial"/>
          <w:sz w:val="20"/>
        </w:rPr>
        <w:t xml:space="preserve"> registro del Banco como emisor frecuente de obligaciones negociables. Dicha solicitud fue autorizada por la CNV a través de la Resolución N° 19.958 de fecha 27 de diciembre de 2018. El Banco se encuentra registrado ante la CNV como emisor frecuente de Obligaciones Negociables bajo el N° 03. En la reunión de directorio de la sociedad 7 de marzo de 2019, se resolvió aprobar la ratificación del Banco en el Régimen de Emisor Frecuente y en la reunión de Directorio de fecha 02 de diciembre de 2019 se resolvió destinar el monto máximo de U$S 300.000 correspondientes al Programa Global de Emisión de Obligaciones Negociables por hasta U$S 2.300.000, encontrándose el banco en proceso de reducción del monto máximo de dicho Programa. La CNV aprobó dicha ratificación a través de la Resolución DI-2020-11-APN-GE #CNV de fecha 11 de febrero de 2020.</w:t>
      </w:r>
    </w:p>
    <w:p w14:paraId="3D75CBAA" w14:textId="77777777" w:rsidR="00413157" w:rsidRPr="00701F32" w:rsidRDefault="00413157" w:rsidP="00413157">
      <w:pPr>
        <w:tabs>
          <w:tab w:val="left" w:pos="142"/>
          <w:tab w:val="left" w:pos="9923"/>
        </w:tabs>
        <w:jc w:val="both"/>
        <w:rPr>
          <w:rFonts w:ascii="Arial" w:hAnsi="Arial" w:cs="Arial"/>
          <w:sz w:val="20"/>
        </w:rPr>
      </w:pPr>
    </w:p>
    <w:p w14:paraId="4F4C7FE5" w14:textId="56CA0955" w:rsidR="00656E62" w:rsidRPr="00701F32" w:rsidRDefault="008A0152" w:rsidP="00656E62">
      <w:pPr>
        <w:pStyle w:val="PrimerNivel"/>
        <w:numPr>
          <w:ilvl w:val="0"/>
          <w:numId w:val="0"/>
        </w:numPr>
        <w:rPr>
          <w:rFonts w:ascii="Arial" w:hAnsi="Arial" w:cs="Arial"/>
          <w:sz w:val="20"/>
        </w:rPr>
      </w:pPr>
      <w:r>
        <w:rPr>
          <w:rFonts w:ascii="Arial" w:hAnsi="Arial" w:cs="Arial"/>
          <w:sz w:val="20"/>
        </w:rPr>
        <w:t xml:space="preserve">A </w:t>
      </w:r>
      <w:r w:rsidR="00656E62" w:rsidRPr="00701F32">
        <w:rPr>
          <w:rFonts w:ascii="Arial" w:hAnsi="Arial" w:cs="Arial"/>
          <w:sz w:val="20"/>
        </w:rPr>
        <w:t>continuación se expone un detalle</w:t>
      </w:r>
      <w:r w:rsidR="007F209B">
        <w:rPr>
          <w:rFonts w:ascii="Arial" w:hAnsi="Arial" w:cs="Arial"/>
          <w:sz w:val="20"/>
        </w:rPr>
        <w:t xml:space="preserve"> de las emisiones vigentes al 3</w:t>
      </w:r>
      <w:r w:rsidR="005A741E">
        <w:rPr>
          <w:rFonts w:ascii="Arial" w:hAnsi="Arial" w:cs="Arial"/>
          <w:sz w:val="20"/>
        </w:rPr>
        <w:t>1</w:t>
      </w:r>
      <w:r w:rsidR="00656E62" w:rsidRPr="00701F32">
        <w:rPr>
          <w:rFonts w:ascii="Arial" w:hAnsi="Arial" w:cs="Arial"/>
          <w:sz w:val="20"/>
        </w:rPr>
        <w:t xml:space="preserve"> de </w:t>
      </w:r>
      <w:r w:rsidR="005A741E">
        <w:rPr>
          <w:rFonts w:ascii="Arial" w:hAnsi="Arial" w:cs="Arial"/>
          <w:sz w:val="20"/>
        </w:rPr>
        <w:t xml:space="preserve">marzo </w:t>
      </w:r>
      <w:r w:rsidR="00710EB6">
        <w:rPr>
          <w:rFonts w:ascii="Arial" w:hAnsi="Arial" w:cs="Arial"/>
          <w:sz w:val="20"/>
        </w:rPr>
        <w:t>de 20</w:t>
      </w:r>
      <w:r w:rsidR="005A741E">
        <w:rPr>
          <w:rFonts w:ascii="Arial" w:hAnsi="Arial" w:cs="Arial"/>
          <w:sz w:val="20"/>
        </w:rPr>
        <w:t>20</w:t>
      </w:r>
      <w:r w:rsidR="00710EB6">
        <w:rPr>
          <w:rFonts w:ascii="Arial" w:hAnsi="Arial" w:cs="Arial"/>
          <w:sz w:val="20"/>
        </w:rPr>
        <w:t xml:space="preserve"> </w:t>
      </w:r>
      <w:r w:rsidR="008716E7">
        <w:rPr>
          <w:rFonts w:ascii="Arial" w:hAnsi="Arial" w:cs="Arial"/>
          <w:sz w:val="20"/>
        </w:rPr>
        <w:t>y</w:t>
      </w:r>
      <w:r w:rsidR="00710EB6">
        <w:rPr>
          <w:rFonts w:ascii="Arial" w:hAnsi="Arial" w:cs="Arial"/>
          <w:sz w:val="20"/>
        </w:rPr>
        <w:t xml:space="preserve"> 31 de diciembre de </w:t>
      </w:r>
      <w:r w:rsidR="00656E62" w:rsidRPr="00701F32">
        <w:rPr>
          <w:rFonts w:ascii="Arial" w:hAnsi="Arial" w:cs="Arial"/>
          <w:sz w:val="20"/>
        </w:rPr>
        <w:t>201</w:t>
      </w:r>
      <w:r w:rsidR="005A741E">
        <w:rPr>
          <w:rFonts w:ascii="Arial" w:hAnsi="Arial" w:cs="Arial"/>
          <w:sz w:val="20"/>
        </w:rPr>
        <w:t>9</w:t>
      </w:r>
      <w:r w:rsidR="00656E62" w:rsidRPr="00701F32">
        <w:rPr>
          <w:rFonts w:ascii="Arial" w:hAnsi="Arial" w:cs="Arial"/>
          <w:sz w:val="20"/>
        </w:rPr>
        <w:t>:</w:t>
      </w:r>
    </w:p>
    <w:p w14:paraId="2EF055A4" w14:textId="77777777" w:rsidR="00B64F35" w:rsidRPr="00701F32" w:rsidRDefault="00B64F35" w:rsidP="00656E62">
      <w:pPr>
        <w:pStyle w:val="PrimerNivel"/>
        <w:numPr>
          <w:ilvl w:val="0"/>
          <w:numId w:val="0"/>
        </w:numPr>
        <w:rPr>
          <w:rFonts w:ascii="Arial" w:hAnsi="Arial" w:cs="Arial"/>
          <w:sz w:val="20"/>
        </w:rPr>
      </w:pPr>
    </w:p>
    <w:tbl>
      <w:tblPr>
        <w:tblW w:w="5336" w:type="pct"/>
        <w:tblInd w:w="-15" w:type="dxa"/>
        <w:tblLayout w:type="fixed"/>
        <w:tblCellMar>
          <w:left w:w="70" w:type="dxa"/>
          <w:right w:w="70" w:type="dxa"/>
        </w:tblCellMar>
        <w:tblLook w:val="04A0" w:firstRow="1" w:lastRow="0" w:firstColumn="1" w:lastColumn="0" w:noHBand="0" w:noVBand="1"/>
      </w:tblPr>
      <w:tblGrid>
        <w:gridCol w:w="908"/>
        <w:gridCol w:w="699"/>
        <w:gridCol w:w="556"/>
        <w:gridCol w:w="815"/>
        <w:gridCol w:w="1114"/>
        <w:gridCol w:w="837"/>
        <w:gridCol w:w="985"/>
        <w:gridCol w:w="1244"/>
        <w:gridCol w:w="906"/>
        <w:gridCol w:w="991"/>
      </w:tblGrid>
      <w:tr w:rsidR="001B4A0E" w:rsidRPr="00701F32" w14:paraId="5E9370D7" w14:textId="77777777" w:rsidTr="00B86973">
        <w:trPr>
          <w:trHeight w:val="323"/>
          <w:tblHeader/>
        </w:trPr>
        <w:tc>
          <w:tcPr>
            <w:tcW w:w="5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7F906E"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colocación</w:t>
            </w:r>
          </w:p>
        </w:tc>
        <w:tc>
          <w:tcPr>
            <w:tcW w:w="38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D4D1A1"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Moneda</w:t>
            </w:r>
          </w:p>
        </w:tc>
        <w:tc>
          <w:tcPr>
            <w:tcW w:w="30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7B0F7D"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Nro. de Clase</w:t>
            </w:r>
          </w:p>
        </w:tc>
        <w:tc>
          <w:tcPr>
            <w:tcW w:w="45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0E0DF1"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Monto</w:t>
            </w:r>
          </w:p>
        </w:tc>
        <w:tc>
          <w:tcPr>
            <w:tcW w:w="61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839C719"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Amortización</w:t>
            </w:r>
          </w:p>
        </w:tc>
        <w:tc>
          <w:tcPr>
            <w:tcW w:w="46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B97B6F7"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Plazo</w:t>
            </w:r>
          </w:p>
        </w:tc>
        <w:tc>
          <w:tcPr>
            <w:tcW w:w="54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52F400"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vencimiento</w:t>
            </w:r>
          </w:p>
        </w:tc>
        <w:tc>
          <w:tcPr>
            <w:tcW w:w="68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678EC5"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Tasa</w:t>
            </w:r>
          </w:p>
        </w:tc>
        <w:tc>
          <w:tcPr>
            <w:tcW w:w="1047" w:type="pct"/>
            <w:gridSpan w:val="2"/>
            <w:tcBorders>
              <w:top w:val="single" w:sz="8" w:space="0" w:color="auto"/>
              <w:left w:val="nil"/>
              <w:bottom w:val="single" w:sz="8" w:space="0" w:color="auto"/>
              <w:right w:val="single" w:sz="8" w:space="0" w:color="000000"/>
            </w:tcBorders>
            <w:shd w:val="clear" w:color="auto" w:fill="auto"/>
            <w:vAlign w:val="center"/>
            <w:hideMark/>
          </w:tcPr>
          <w:p w14:paraId="6520A445" w14:textId="3FC9BC46"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Valor Libros</w:t>
            </w:r>
          </w:p>
        </w:tc>
      </w:tr>
      <w:tr w:rsidR="005A741E" w:rsidRPr="00701F32" w14:paraId="0CAA4776" w14:textId="77777777" w:rsidTr="00B86973">
        <w:trPr>
          <w:trHeight w:val="323"/>
          <w:tblHeader/>
        </w:trPr>
        <w:tc>
          <w:tcPr>
            <w:tcW w:w="502" w:type="pct"/>
            <w:vMerge/>
            <w:tcBorders>
              <w:top w:val="single" w:sz="8" w:space="0" w:color="auto"/>
              <w:left w:val="single" w:sz="8" w:space="0" w:color="auto"/>
              <w:bottom w:val="single" w:sz="8" w:space="0" w:color="000000"/>
              <w:right w:val="single" w:sz="8" w:space="0" w:color="auto"/>
            </w:tcBorders>
            <w:vAlign w:val="center"/>
            <w:hideMark/>
          </w:tcPr>
          <w:p w14:paraId="595CE084" w14:textId="77777777" w:rsidR="005A741E" w:rsidRPr="00701F32" w:rsidRDefault="005A741E" w:rsidP="005A741E">
            <w:pPr>
              <w:jc w:val="center"/>
              <w:rPr>
                <w:rFonts w:ascii="Arial" w:hAnsi="Arial" w:cs="Arial"/>
                <w:b/>
                <w:color w:val="000000"/>
                <w:sz w:val="14"/>
                <w:szCs w:val="14"/>
                <w:lang w:eastAsia="es-AR"/>
              </w:rPr>
            </w:pPr>
          </w:p>
        </w:tc>
        <w:tc>
          <w:tcPr>
            <w:tcW w:w="386" w:type="pct"/>
            <w:vMerge/>
            <w:tcBorders>
              <w:top w:val="single" w:sz="8" w:space="0" w:color="auto"/>
              <w:left w:val="single" w:sz="8" w:space="0" w:color="auto"/>
              <w:bottom w:val="single" w:sz="8" w:space="0" w:color="000000"/>
              <w:right w:val="single" w:sz="8" w:space="0" w:color="auto"/>
            </w:tcBorders>
            <w:vAlign w:val="center"/>
            <w:hideMark/>
          </w:tcPr>
          <w:p w14:paraId="5B1DFDD2" w14:textId="77777777" w:rsidR="005A741E" w:rsidRPr="00701F32" w:rsidRDefault="005A741E" w:rsidP="005A741E">
            <w:pPr>
              <w:jc w:val="center"/>
              <w:rPr>
                <w:rFonts w:ascii="Arial" w:hAnsi="Arial" w:cs="Arial"/>
                <w:b/>
                <w:color w:val="000000"/>
                <w:sz w:val="14"/>
                <w:szCs w:val="14"/>
                <w:lang w:eastAsia="es-AR"/>
              </w:rPr>
            </w:pPr>
          </w:p>
        </w:tc>
        <w:tc>
          <w:tcPr>
            <w:tcW w:w="307" w:type="pct"/>
            <w:vMerge/>
            <w:tcBorders>
              <w:top w:val="single" w:sz="8" w:space="0" w:color="auto"/>
              <w:left w:val="single" w:sz="8" w:space="0" w:color="auto"/>
              <w:bottom w:val="single" w:sz="8" w:space="0" w:color="000000"/>
              <w:right w:val="single" w:sz="8" w:space="0" w:color="auto"/>
            </w:tcBorders>
            <w:vAlign w:val="center"/>
            <w:hideMark/>
          </w:tcPr>
          <w:p w14:paraId="289F4146" w14:textId="77777777" w:rsidR="005A741E" w:rsidRPr="00701F32" w:rsidRDefault="005A741E" w:rsidP="005A741E">
            <w:pPr>
              <w:jc w:val="center"/>
              <w:rPr>
                <w:rFonts w:ascii="Arial" w:hAnsi="Arial" w:cs="Arial"/>
                <w:b/>
                <w:color w:val="000000"/>
                <w:sz w:val="14"/>
                <w:szCs w:val="14"/>
                <w:lang w:eastAsia="es-AR"/>
              </w:rPr>
            </w:pPr>
          </w:p>
        </w:tc>
        <w:tc>
          <w:tcPr>
            <w:tcW w:w="450" w:type="pct"/>
            <w:vMerge/>
            <w:tcBorders>
              <w:top w:val="single" w:sz="8" w:space="0" w:color="auto"/>
              <w:left w:val="single" w:sz="8" w:space="0" w:color="auto"/>
              <w:bottom w:val="single" w:sz="8" w:space="0" w:color="000000"/>
              <w:right w:val="single" w:sz="8" w:space="0" w:color="auto"/>
            </w:tcBorders>
            <w:vAlign w:val="center"/>
            <w:hideMark/>
          </w:tcPr>
          <w:p w14:paraId="0097E80F" w14:textId="77777777" w:rsidR="005A741E" w:rsidRPr="00701F32" w:rsidRDefault="005A741E" w:rsidP="005A741E">
            <w:pPr>
              <w:jc w:val="center"/>
              <w:rPr>
                <w:rFonts w:ascii="Arial" w:hAnsi="Arial" w:cs="Arial"/>
                <w:b/>
                <w:color w:val="000000"/>
                <w:sz w:val="14"/>
                <w:szCs w:val="14"/>
                <w:lang w:eastAsia="es-AR"/>
              </w:rPr>
            </w:pPr>
          </w:p>
        </w:tc>
        <w:tc>
          <w:tcPr>
            <w:tcW w:w="615" w:type="pct"/>
            <w:vMerge/>
            <w:tcBorders>
              <w:top w:val="single" w:sz="8" w:space="0" w:color="auto"/>
              <w:left w:val="single" w:sz="8" w:space="0" w:color="auto"/>
              <w:bottom w:val="single" w:sz="8" w:space="0" w:color="000000"/>
              <w:right w:val="single" w:sz="8" w:space="0" w:color="auto"/>
            </w:tcBorders>
            <w:vAlign w:val="center"/>
            <w:hideMark/>
          </w:tcPr>
          <w:p w14:paraId="5EAE41D1" w14:textId="77777777" w:rsidR="005A741E" w:rsidRPr="00701F32" w:rsidRDefault="005A741E" w:rsidP="005A741E">
            <w:pPr>
              <w:jc w:val="center"/>
              <w:rPr>
                <w:rFonts w:ascii="Arial" w:hAnsi="Arial" w:cs="Arial"/>
                <w:b/>
                <w:color w:val="000000"/>
                <w:sz w:val="14"/>
                <w:szCs w:val="14"/>
                <w:lang w:eastAsia="es-AR"/>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14:paraId="5E1FDBDF" w14:textId="77777777" w:rsidR="005A741E" w:rsidRPr="00701F32" w:rsidRDefault="005A741E" w:rsidP="005A741E">
            <w:pPr>
              <w:jc w:val="center"/>
              <w:rPr>
                <w:rFonts w:ascii="Arial" w:hAnsi="Arial" w:cs="Arial"/>
                <w:b/>
                <w:color w:val="000000"/>
                <w:sz w:val="14"/>
                <w:szCs w:val="14"/>
                <w:lang w:eastAsia="es-AR"/>
              </w:rPr>
            </w:pPr>
          </w:p>
        </w:tc>
        <w:tc>
          <w:tcPr>
            <w:tcW w:w="543" w:type="pct"/>
            <w:vMerge/>
            <w:tcBorders>
              <w:top w:val="single" w:sz="8" w:space="0" w:color="auto"/>
              <w:left w:val="single" w:sz="8" w:space="0" w:color="auto"/>
              <w:bottom w:val="single" w:sz="8" w:space="0" w:color="000000"/>
              <w:right w:val="single" w:sz="8" w:space="0" w:color="auto"/>
            </w:tcBorders>
            <w:vAlign w:val="center"/>
            <w:hideMark/>
          </w:tcPr>
          <w:p w14:paraId="0742E35D" w14:textId="77777777" w:rsidR="005A741E" w:rsidRPr="00701F32" w:rsidRDefault="005A741E" w:rsidP="005A741E">
            <w:pPr>
              <w:jc w:val="center"/>
              <w:rPr>
                <w:rFonts w:ascii="Arial" w:hAnsi="Arial" w:cs="Arial"/>
                <w:b/>
                <w:color w:val="000000"/>
                <w:sz w:val="14"/>
                <w:szCs w:val="14"/>
                <w:lang w:eastAsia="es-AR"/>
              </w:rPr>
            </w:pPr>
          </w:p>
        </w:tc>
        <w:tc>
          <w:tcPr>
            <w:tcW w:w="687" w:type="pct"/>
            <w:vMerge/>
            <w:tcBorders>
              <w:top w:val="single" w:sz="8" w:space="0" w:color="auto"/>
              <w:left w:val="single" w:sz="8" w:space="0" w:color="auto"/>
              <w:bottom w:val="single" w:sz="8" w:space="0" w:color="000000"/>
              <w:right w:val="single" w:sz="8" w:space="0" w:color="auto"/>
            </w:tcBorders>
            <w:vAlign w:val="center"/>
            <w:hideMark/>
          </w:tcPr>
          <w:p w14:paraId="2C192919" w14:textId="77777777" w:rsidR="005A741E" w:rsidRPr="00701F32" w:rsidRDefault="005A741E" w:rsidP="005A741E">
            <w:pPr>
              <w:jc w:val="center"/>
              <w:rPr>
                <w:rFonts w:ascii="Arial" w:hAnsi="Arial" w:cs="Arial"/>
                <w:b/>
                <w:color w:val="000000"/>
                <w:sz w:val="14"/>
                <w:szCs w:val="14"/>
                <w:lang w:eastAsia="es-AR"/>
              </w:rPr>
            </w:pPr>
          </w:p>
        </w:tc>
        <w:tc>
          <w:tcPr>
            <w:tcW w:w="500" w:type="pct"/>
            <w:tcBorders>
              <w:top w:val="nil"/>
              <w:left w:val="nil"/>
              <w:bottom w:val="single" w:sz="8" w:space="0" w:color="auto"/>
              <w:right w:val="single" w:sz="8" w:space="0" w:color="auto"/>
            </w:tcBorders>
            <w:shd w:val="clear" w:color="auto" w:fill="auto"/>
            <w:vAlign w:val="center"/>
          </w:tcPr>
          <w:p w14:paraId="5C4A7467" w14:textId="569884D5" w:rsidR="005A741E" w:rsidRPr="00701F32" w:rsidRDefault="005A741E" w:rsidP="005A741E">
            <w:pPr>
              <w:jc w:val="center"/>
              <w:rPr>
                <w:rFonts w:ascii="Arial" w:hAnsi="Arial" w:cs="Arial"/>
                <w:b/>
                <w:color w:val="000000"/>
                <w:sz w:val="14"/>
                <w:szCs w:val="14"/>
                <w:lang w:eastAsia="es-AR"/>
              </w:rPr>
            </w:pPr>
            <w:r>
              <w:rPr>
                <w:rFonts w:ascii="Arial" w:hAnsi="Arial" w:cs="Arial"/>
                <w:b/>
                <w:color w:val="000000"/>
                <w:sz w:val="14"/>
                <w:szCs w:val="14"/>
                <w:lang w:eastAsia="es-AR"/>
              </w:rPr>
              <w:t>31/03/20</w:t>
            </w:r>
          </w:p>
        </w:tc>
        <w:tc>
          <w:tcPr>
            <w:tcW w:w="547" w:type="pct"/>
            <w:tcBorders>
              <w:top w:val="nil"/>
              <w:left w:val="nil"/>
              <w:bottom w:val="single" w:sz="8" w:space="0" w:color="auto"/>
              <w:right w:val="single" w:sz="8" w:space="0" w:color="auto"/>
            </w:tcBorders>
            <w:shd w:val="clear" w:color="auto" w:fill="auto"/>
            <w:vAlign w:val="center"/>
          </w:tcPr>
          <w:p w14:paraId="2F6088D5" w14:textId="342CCB6D" w:rsidR="005A741E" w:rsidRPr="00701F32" w:rsidRDefault="005A741E" w:rsidP="005A741E">
            <w:pPr>
              <w:jc w:val="center"/>
              <w:rPr>
                <w:rFonts w:ascii="Arial" w:hAnsi="Arial" w:cs="Arial"/>
                <w:b/>
                <w:color w:val="000000"/>
                <w:sz w:val="14"/>
                <w:szCs w:val="14"/>
                <w:lang w:eastAsia="es-AR"/>
              </w:rPr>
            </w:pPr>
            <w:r>
              <w:rPr>
                <w:rFonts w:ascii="Arial" w:hAnsi="Arial" w:cs="Arial"/>
                <w:b/>
                <w:color w:val="000000"/>
                <w:sz w:val="14"/>
                <w:szCs w:val="14"/>
                <w:lang w:eastAsia="es-AR"/>
              </w:rPr>
              <w:t>31/12/19</w:t>
            </w:r>
          </w:p>
        </w:tc>
      </w:tr>
      <w:tr w:rsidR="00B86973" w:rsidRPr="00701F32" w14:paraId="725F5ADC" w14:textId="77777777" w:rsidTr="00B86973">
        <w:trPr>
          <w:trHeight w:val="538"/>
        </w:trPr>
        <w:tc>
          <w:tcPr>
            <w:tcW w:w="502" w:type="pct"/>
            <w:tcBorders>
              <w:top w:val="nil"/>
              <w:left w:val="single" w:sz="8" w:space="0" w:color="auto"/>
              <w:bottom w:val="single" w:sz="8" w:space="0" w:color="auto"/>
              <w:right w:val="single" w:sz="8" w:space="0" w:color="auto"/>
            </w:tcBorders>
            <w:shd w:val="clear" w:color="auto" w:fill="auto"/>
            <w:noWrap/>
            <w:vAlign w:val="center"/>
          </w:tcPr>
          <w:p w14:paraId="0DD2E877"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09/02/17</w:t>
            </w:r>
          </w:p>
        </w:tc>
        <w:tc>
          <w:tcPr>
            <w:tcW w:w="386" w:type="pct"/>
            <w:tcBorders>
              <w:top w:val="nil"/>
              <w:left w:val="nil"/>
              <w:bottom w:val="single" w:sz="8" w:space="0" w:color="auto"/>
              <w:right w:val="single" w:sz="8" w:space="0" w:color="auto"/>
            </w:tcBorders>
            <w:shd w:val="clear" w:color="auto" w:fill="auto"/>
            <w:noWrap/>
            <w:vAlign w:val="center"/>
          </w:tcPr>
          <w:p w14:paraId="6F2CE7A2"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nil"/>
              <w:left w:val="nil"/>
              <w:bottom w:val="single" w:sz="8" w:space="0" w:color="auto"/>
              <w:right w:val="single" w:sz="8" w:space="0" w:color="auto"/>
            </w:tcBorders>
            <w:shd w:val="clear" w:color="auto" w:fill="auto"/>
            <w:noWrap/>
            <w:vAlign w:val="center"/>
          </w:tcPr>
          <w:p w14:paraId="28BF19DB"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A</w:t>
            </w:r>
          </w:p>
        </w:tc>
        <w:tc>
          <w:tcPr>
            <w:tcW w:w="450" w:type="pct"/>
            <w:tcBorders>
              <w:top w:val="nil"/>
              <w:left w:val="nil"/>
              <w:bottom w:val="single" w:sz="8" w:space="0" w:color="auto"/>
              <w:right w:val="single" w:sz="8" w:space="0" w:color="auto"/>
            </w:tcBorders>
            <w:shd w:val="clear" w:color="auto" w:fill="auto"/>
            <w:noWrap/>
            <w:vAlign w:val="center"/>
          </w:tcPr>
          <w:p w14:paraId="464F9E88" w14:textId="54D671EB" w:rsidR="00B86973" w:rsidRPr="00701F32" w:rsidRDefault="00B86973" w:rsidP="00B86973">
            <w:pPr>
              <w:jc w:val="right"/>
              <w:rPr>
                <w:rFonts w:ascii="Arial" w:hAnsi="Arial" w:cs="Arial"/>
                <w:color w:val="000000"/>
                <w:sz w:val="14"/>
                <w:szCs w:val="14"/>
                <w:lang w:eastAsia="es-AR"/>
              </w:rPr>
            </w:pPr>
            <w:r w:rsidRPr="00701F32">
              <w:rPr>
                <w:rFonts w:ascii="Arial" w:hAnsi="Arial" w:cs="Arial"/>
                <w:color w:val="000000"/>
                <w:sz w:val="14"/>
                <w:szCs w:val="14"/>
                <w:lang w:eastAsia="es-AR"/>
              </w:rPr>
              <w:t>4.150.140</w:t>
            </w:r>
          </w:p>
        </w:tc>
        <w:tc>
          <w:tcPr>
            <w:tcW w:w="615" w:type="pct"/>
            <w:tcBorders>
              <w:top w:val="nil"/>
              <w:left w:val="nil"/>
              <w:bottom w:val="single" w:sz="8" w:space="0" w:color="auto"/>
              <w:right w:val="single" w:sz="8" w:space="0" w:color="auto"/>
            </w:tcBorders>
            <w:shd w:val="clear" w:color="auto" w:fill="auto"/>
            <w:vAlign w:val="center"/>
          </w:tcPr>
          <w:p w14:paraId="7781952E"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50% el 9-2-2020 y 50% al vencimiento el 9-8-2020</w:t>
            </w:r>
          </w:p>
        </w:tc>
        <w:tc>
          <w:tcPr>
            <w:tcW w:w="462" w:type="pct"/>
            <w:tcBorders>
              <w:top w:val="nil"/>
              <w:left w:val="nil"/>
              <w:bottom w:val="single" w:sz="8" w:space="0" w:color="auto"/>
              <w:right w:val="single" w:sz="8" w:space="0" w:color="auto"/>
            </w:tcBorders>
            <w:shd w:val="clear" w:color="auto" w:fill="auto"/>
            <w:noWrap/>
            <w:vAlign w:val="center"/>
          </w:tcPr>
          <w:p w14:paraId="4144F461" w14:textId="59E7B4CE"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42 meses</w:t>
            </w:r>
          </w:p>
        </w:tc>
        <w:tc>
          <w:tcPr>
            <w:tcW w:w="543" w:type="pct"/>
            <w:tcBorders>
              <w:top w:val="nil"/>
              <w:left w:val="nil"/>
              <w:bottom w:val="single" w:sz="8" w:space="0" w:color="auto"/>
              <w:right w:val="single" w:sz="8" w:space="0" w:color="auto"/>
            </w:tcBorders>
            <w:shd w:val="clear" w:color="auto" w:fill="auto"/>
            <w:noWrap/>
            <w:vAlign w:val="center"/>
          </w:tcPr>
          <w:p w14:paraId="0D601205"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09/08/2020</w:t>
            </w:r>
          </w:p>
        </w:tc>
        <w:tc>
          <w:tcPr>
            <w:tcW w:w="687" w:type="pct"/>
            <w:tcBorders>
              <w:top w:val="nil"/>
              <w:left w:val="nil"/>
              <w:bottom w:val="single" w:sz="8" w:space="0" w:color="auto"/>
              <w:right w:val="single" w:sz="8" w:space="0" w:color="auto"/>
            </w:tcBorders>
            <w:shd w:val="clear" w:color="auto" w:fill="auto"/>
            <w:vAlign w:val="center"/>
          </w:tcPr>
          <w:p w14:paraId="39A0090E"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Flotante Badlar, de Bancos Privados + 4,50%, con un </w:t>
            </w:r>
            <w:r w:rsidRPr="00701F32">
              <w:rPr>
                <w:rFonts w:ascii="Arial" w:hAnsi="Arial" w:cs="Arial"/>
                <w:color w:val="000000"/>
                <w:sz w:val="14"/>
                <w:szCs w:val="14"/>
                <w:lang w:eastAsia="es-AR"/>
              </w:rPr>
              <w:lastRenderedPageBreak/>
              <w:t>mínimo del 18% nominal anual</w:t>
            </w:r>
          </w:p>
        </w:tc>
        <w:tc>
          <w:tcPr>
            <w:tcW w:w="500" w:type="pct"/>
            <w:tcBorders>
              <w:top w:val="nil"/>
              <w:left w:val="nil"/>
              <w:bottom w:val="single" w:sz="8" w:space="0" w:color="auto"/>
              <w:right w:val="single" w:sz="8" w:space="0" w:color="auto"/>
            </w:tcBorders>
            <w:shd w:val="clear" w:color="auto" w:fill="auto"/>
            <w:noWrap/>
            <w:vAlign w:val="bottom"/>
          </w:tcPr>
          <w:p w14:paraId="4B88439D" w14:textId="4718A184" w:rsidR="00B86973" w:rsidRPr="000E1F15" w:rsidRDefault="00B86973" w:rsidP="00B86973">
            <w:pPr>
              <w:jc w:val="right"/>
              <w:rPr>
                <w:rFonts w:ascii="Arial" w:hAnsi="Arial" w:cs="Arial"/>
                <w:color w:val="000000"/>
                <w:sz w:val="14"/>
                <w:szCs w:val="14"/>
                <w:lang w:eastAsia="es-AR"/>
              </w:rPr>
            </w:pPr>
            <w:r>
              <w:rPr>
                <w:rFonts w:ascii="Arial" w:hAnsi="Arial" w:cs="Arial"/>
                <w:color w:val="000000"/>
                <w:sz w:val="14"/>
                <w:szCs w:val="14"/>
                <w:lang w:eastAsia="es-AR"/>
              </w:rPr>
              <w:lastRenderedPageBreak/>
              <w:t>1.931.766</w:t>
            </w:r>
          </w:p>
        </w:tc>
        <w:tc>
          <w:tcPr>
            <w:tcW w:w="547" w:type="pct"/>
            <w:tcBorders>
              <w:top w:val="nil"/>
              <w:left w:val="nil"/>
              <w:bottom w:val="single" w:sz="8" w:space="0" w:color="auto"/>
              <w:right w:val="single" w:sz="8" w:space="0" w:color="auto"/>
            </w:tcBorders>
            <w:shd w:val="clear" w:color="auto" w:fill="auto"/>
            <w:noWrap/>
            <w:vAlign w:val="bottom"/>
          </w:tcPr>
          <w:p w14:paraId="4596BC98" w14:textId="6BAA7717" w:rsidR="00B86973" w:rsidRPr="000E1F15" w:rsidRDefault="00B86973" w:rsidP="00B86973">
            <w:pPr>
              <w:jc w:val="right"/>
              <w:rPr>
                <w:rFonts w:ascii="Arial" w:hAnsi="Arial" w:cs="Arial"/>
                <w:color w:val="000000"/>
                <w:sz w:val="14"/>
                <w:szCs w:val="14"/>
                <w:lang w:eastAsia="es-AR"/>
              </w:rPr>
            </w:pPr>
            <w:r>
              <w:rPr>
                <w:rFonts w:ascii="Arial" w:hAnsi="Arial" w:cs="Arial"/>
                <w:color w:val="000000"/>
                <w:sz w:val="14"/>
                <w:szCs w:val="14"/>
                <w:lang w:eastAsia="es-AR"/>
              </w:rPr>
              <w:t>4.101.076</w:t>
            </w:r>
          </w:p>
        </w:tc>
      </w:tr>
      <w:tr w:rsidR="00B86973" w:rsidRPr="00701F32" w14:paraId="6C7B6631" w14:textId="77777777" w:rsidTr="00B86973">
        <w:trPr>
          <w:trHeight w:val="1780"/>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559C013E"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22/12/17</w:t>
            </w:r>
          </w:p>
        </w:tc>
        <w:tc>
          <w:tcPr>
            <w:tcW w:w="386" w:type="pct"/>
            <w:tcBorders>
              <w:top w:val="nil"/>
              <w:left w:val="nil"/>
              <w:bottom w:val="single" w:sz="8" w:space="0" w:color="auto"/>
              <w:right w:val="single" w:sz="8" w:space="0" w:color="auto"/>
            </w:tcBorders>
            <w:shd w:val="clear" w:color="auto" w:fill="auto"/>
            <w:noWrap/>
            <w:vAlign w:val="center"/>
            <w:hideMark/>
          </w:tcPr>
          <w:p w14:paraId="5CE896DE"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nil"/>
              <w:left w:val="nil"/>
              <w:bottom w:val="single" w:sz="8" w:space="0" w:color="auto"/>
              <w:right w:val="single" w:sz="8" w:space="0" w:color="auto"/>
            </w:tcBorders>
            <w:shd w:val="clear" w:color="auto" w:fill="auto"/>
            <w:noWrap/>
            <w:vAlign w:val="center"/>
            <w:hideMark/>
          </w:tcPr>
          <w:p w14:paraId="61F09957"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C</w:t>
            </w:r>
          </w:p>
        </w:tc>
        <w:tc>
          <w:tcPr>
            <w:tcW w:w="450" w:type="pct"/>
            <w:tcBorders>
              <w:top w:val="nil"/>
              <w:left w:val="nil"/>
              <w:bottom w:val="single" w:sz="8" w:space="0" w:color="auto"/>
              <w:right w:val="single" w:sz="8" w:space="0" w:color="auto"/>
            </w:tcBorders>
            <w:shd w:val="clear" w:color="auto" w:fill="auto"/>
            <w:noWrap/>
            <w:vAlign w:val="center"/>
            <w:hideMark/>
          </w:tcPr>
          <w:p w14:paraId="66377E83" w14:textId="77777777" w:rsidR="00B86973" w:rsidRPr="00701F32" w:rsidRDefault="00B86973" w:rsidP="00B86973">
            <w:pPr>
              <w:jc w:val="right"/>
              <w:rPr>
                <w:rFonts w:ascii="Arial" w:hAnsi="Arial" w:cs="Arial"/>
                <w:color w:val="000000"/>
                <w:sz w:val="14"/>
                <w:szCs w:val="14"/>
                <w:lang w:eastAsia="es-AR"/>
              </w:rPr>
            </w:pPr>
            <w:r w:rsidRPr="00701F32">
              <w:rPr>
                <w:rFonts w:ascii="Arial" w:hAnsi="Arial" w:cs="Arial"/>
                <w:color w:val="000000"/>
                <w:sz w:val="14"/>
                <w:szCs w:val="14"/>
                <w:lang w:eastAsia="es-AR"/>
              </w:rPr>
              <w:t>659.750</w:t>
            </w:r>
          </w:p>
        </w:tc>
        <w:tc>
          <w:tcPr>
            <w:tcW w:w="615" w:type="pct"/>
            <w:tcBorders>
              <w:top w:val="nil"/>
              <w:left w:val="nil"/>
              <w:bottom w:val="single" w:sz="8" w:space="0" w:color="auto"/>
              <w:right w:val="single" w:sz="8" w:space="0" w:color="auto"/>
            </w:tcBorders>
            <w:shd w:val="clear" w:color="auto" w:fill="auto"/>
            <w:vAlign w:val="center"/>
            <w:hideMark/>
          </w:tcPr>
          <w:p w14:paraId="79FD549B"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06A3C987" w14:textId="77777777" w:rsidR="00B86973" w:rsidRPr="00701F32" w:rsidRDefault="00B86973" w:rsidP="00B86973">
            <w:pPr>
              <w:jc w:val="both"/>
              <w:rPr>
                <w:rFonts w:ascii="Arial" w:hAnsi="Arial" w:cs="Arial"/>
                <w:color w:val="000000"/>
                <w:sz w:val="14"/>
                <w:szCs w:val="14"/>
                <w:lang w:eastAsia="es-AR"/>
              </w:rPr>
            </w:pPr>
          </w:p>
          <w:p w14:paraId="54770666"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22-12-2020 33,33%,</w:t>
            </w:r>
          </w:p>
          <w:p w14:paraId="753D6665" w14:textId="77777777" w:rsidR="00B86973" w:rsidRPr="00701F32" w:rsidRDefault="00B86973" w:rsidP="00B86973">
            <w:pPr>
              <w:jc w:val="both"/>
              <w:rPr>
                <w:rFonts w:ascii="Arial" w:hAnsi="Arial" w:cs="Arial"/>
                <w:color w:val="000000"/>
                <w:sz w:val="14"/>
                <w:szCs w:val="14"/>
                <w:lang w:eastAsia="es-AR"/>
              </w:rPr>
            </w:pPr>
          </w:p>
          <w:p w14:paraId="4F8E2DBF"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22-06-2021 33,33%,</w:t>
            </w:r>
          </w:p>
          <w:p w14:paraId="22E28224" w14:textId="41DD21A8"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y en la fecha de vencimiento 33,34%.</w:t>
            </w:r>
          </w:p>
        </w:tc>
        <w:tc>
          <w:tcPr>
            <w:tcW w:w="462" w:type="pct"/>
            <w:tcBorders>
              <w:top w:val="nil"/>
              <w:left w:val="nil"/>
              <w:bottom w:val="single" w:sz="8" w:space="0" w:color="auto"/>
              <w:right w:val="single" w:sz="8" w:space="0" w:color="auto"/>
            </w:tcBorders>
            <w:shd w:val="clear" w:color="auto" w:fill="auto"/>
            <w:noWrap/>
            <w:vAlign w:val="center"/>
            <w:hideMark/>
          </w:tcPr>
          <w:p w14:paraId="66A75972" w14:textId="4400B651"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48 meses</w:t>
            </w:r>
          </w:p>
        </w:tc>
        <w:tc>
          <w:tcPr>
            <w:tcW w:w="543" w:type="pct"/>
            <w:tcBorders>
              <w:top w:val="nil"/>
              <w:left w:val="nil"/>
              <w:bottom w:val="single" w:sz="8" w:space="0" w:color="auto"/>
              <w:right w:val="single" w:sz="8" w:space="0" w:color="auto"/>
            </w:tcBorders>
            <w:shd w:val="clear" w:color="auto" w:fill="auto"/>
            <w:noWrap/>
            <w:vAlign w:val="center"/>
            <w:hideMark/>
          </w:tcPr>
          <w:p w14:paraId="3D1F575C"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22/12/2021</w:t>
            </w:r>
          </w:p>
        </w:tc>
        <w:tc>
          <w:tcPr>
            <w:tcW w:w="687" w:type="pct"/>
            <w:tcBorders>
              <w:top w:val="nil"/>
              <w:left w:val="nil"/>
              <w:bottom w:val="single" w:sz="8" w:space="0" w:color="auto"/>
              <w:right w:val="single" w:sz="8" w:space="0" w:color="auto"/>
            </w:tcBorders>
            <w:shd w:val="clear" w:color="auto" w:fill="auto"/>
            <w:vAlign w:val="center"/>
            <w:hideMark/>
          </w:tcPr>
          <w:p w14:paraId="7667424E"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+ 4,25%</w:t>
            </w:r>
          </w:p>
        </w:tc>
        <w:tc>
          <w:tcPr>
            <w:tcW w:w="500" w:type="pct"/>
            <w:tcBorders>
              <w:top w:val="nil"/>
              <w:left w:val="nil"/>
              <w:bottom w:val="single" w:sz="8" w:space="0" w:color="auto"/>
              <w:right w:val="single" w:sz="8" w:space="0" w:color="auto"/>
            </w:tcBorders>
            <w:shd w:val="clear" w:color="auto" w:fill="auto"/>
            <w:noWrap/>
            <w:vAlign w:val="bottom"/>
          </w:tcPr>
          <w:p w14:paraId="72679B06" w14:textId="3658BAF8" w:rsidR="00B86973" w:rsidRPr="000E1F15" w:rsidRDefault="00B86973" w:rsidP="00B86973">
            <w:pPr>
              <w:jc w:val="right"/>
              <w:rPr>
                <w:rFonts w:ascii="Arial" w:hAnsi="Arial" w:cs="Arial"/>
                <w:color w:val="000000"/>
                <w:sz w:val="14"/>
                <w:szCs w:val="14"/>
                <w:lang w:eastAsia="es-AR"/>
              </w:rPr>
            </w:pPr>
            <w:r>
              <w:rPr>
                <w:rFonts w:ascii="Arial" w:hAnsi="Arial" w:cs="Arial"/>
                <w:color w:val="000000"/>
                <w:sz w:val="14"/>
                <w:szCs w:val="14"/>
                <w:lang w:eastAsia="es-AR"/>
              </w:rPr>
              <w:t>665.249</w:t>
            </w:r>
          </w:p>
        </w:tc>
        <w:tc>
          <w:tcPr>
            <w:tcW w:w="547" w:type="pct"/>
            <w:tcBorders>
              <w:top w:val="nil"/>
              <w:left w:val="nil"/>
              <w:bottom w:val="single" w:sz="8" w:space="0" w:color="auto"/>
              <w:right w:val="single" w:sz="8" w:space="0" w:color="auto"/>
            </w:tcBorders>
            <w:shd w:val="clear" w:color="auto" w:fill="auto"/>
            <w:noWrap/>
            <w:vAlign w:val="bottom"/>
          </w:tcPr>
          <w:p w14:paraId="0BB33C94" w14:textId="05A7AB3D" w:rsidR="00B86973" w:rsidRPr="000E1F15" w:rsidRDefault="00B86973" w:rsidP="00B86973">
            <w:pPr>
              <w:jc w:val="right"/>
              <w:rPr>
                <w:rFonts w:ascii="Arial" w:hAnsi="Arial" w:cs="Arial"/>
                <w:color w:val="000000"/>
                <w:sz w:val="14"/>
                <w:szCs w:val="14"/>
                <w:lang w:eastAsia="es-AR"/>
              </w:rPr>
            </w:pPr>
            <w:r>
              <w:rPr>
                <w:rFonts w:ascii="Arial" w:hAnsi="Arial" w:cs="Arial"/>
                <w:sz w:val="14"/>
                <w:szCs w:val="14"/>
              </w:rPr>
              <w:t>719.208</w:t>
            </w:r>
          </w:p>
        </w:tc>
      </w:tr>
      <w:tr w:rsidR="00B86973" w:rsidRPr="00701F32" w14:paraId="53E4AC0D" w14:textId="77777777" w:rsidTr="00B86973">
        <w:trPr>
          <w:trHeight w:val="1261"/>
        </w:trPr>
        <w:tc>
          <w:tcPr>
            <w:tcW w:w="50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44E2983"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14/02/18</w:t>
            </w:r>
          </w:p>
        </w:tc>
        <w:tc>
          <w:tcPr>
            <w:tcW w:w="386" w:type="pct"/>
            <w:tcBorders>
              <w:top w:val="single" w:sz="8" w:space="0" w:color="auto"/>
              <w:left w:val="nil"/>
              <w:bottom w:val="single" w:sz="4" w:space="0" w:color="auto"/>
              <w:right w:val="single" w:sz="8" w:space="0" w:color="auto"/>
            </w:tcBorders>
            <w:shd w:val="clear" w:color="auto" w:fill="auto"/>
            <w:noWrap/>
            <w:vAlign w:val="center"/>
            <w:hideMark/>
          </w:tcPr>
          <w:p w14:paraId="459B3F50"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single" w:sz="8" w:space="0" w:color="auto"/>
              <w:left w:val="nil"/>
              <w:bottom w:val="single" w:sz="4" w:space="0" w:color="auto"/>
              <w:right w:val="single" w:sz="8" w:space="0" w:color="auto"/>
            </w:tcBorders>
            <w:shd w:val="clear" w:color="auto" w:fill="auto"/>
            <w:noWrap/>
            <w:vAlign w:val="center"/>
            <w:hideMark/>
          </w:tcPr>
          <w:p w14:paraId="6FD8A6CB" w14:textId="77777777" w:rsidR="00B86973" w:rsidRPr="00701F32" w:rsidRDefault="00B86973" w:rsidP="00B86973">
            <w:pPr>
              <w:jc w:val="center"/>
              <w:rPr>
                <w:rFonts w:ascii="Arial" w:hAnsi="Arial" w:cs="Arial"/>
                <w:color w:val="000000"/>
                <w:sz w:val="14"/>
                <w:szCs w:val="14"/>
                <w:lang w:eastAsia="es-AR"/>
              </w:rPr>
            </w:pPr>
            <w:r w:rsidRPr="00701F32">
              <w:rPr>
                <w:rFonts w:ascii="Arial" w:hAnsi="Arial" w:cs="Arial"/>
                <w:color w:val="000000"/>
                <w:sz w:val="14"/>
                <w:szCs w:val="14"/>
                <w:lang w:eastAsia="es-AR"/>
              </w:rPr>
              <w:t>E</w:t>
            </w:r>
          </w:p>
        </w:tc>
        <w:tc>
          <w:tcPr>
            <w:tcW w:w="450" w:type="pct"/>
            <w:tcBorders>
              <w:top w:val="single" w:sz="8" w:space="0" w:color="auto"/>
              <w:left w:val="nil"/>
              <w:bottom w:val="single" w:sz="4" w:space="0" w:color="auto"/>
              <w:right w:val="single" w:sz="8" w:space="0" w:color="auto"/>
            </w:tcBorders>
            <w:shd w:val="clear" w:color="auto" w:fill="auto"/>
            <w:noWrap/>
            <w:vAlign w:val="center"/>
            <w:hideMark/>
          </w:tcPr>
          <w:p w14:paraId="6583A591" w14:textId="77777777" w:rsidR="00B86973" w:rsidRPr="00701F32" w:rsidRDefault="00B86973" w:rsidP="00B86973">
            <w:pPr>
              <w:jc w:val="right"/>
              <w:rPr>
                <w:rFonts w:ascii="Arial" w:hAnsi="Arial" w:cs="Arial"/>
                <w:color w:val="000000"/>
                <w:sz w:val="14"/>
                <w:szCs w:val="14"/>
                <w:lang w:eastAsia="es-AR"/>
              </w:rPr>
            </w:pPr>
            <w:r w:rsidRPr="00701F32">
              <w:rPr>
                <w:rFonts w:ascii="Arial" w:hAnsi="Arial" w:cs="Arial"/>
                <w:color w:val="000000"/>
                <w:sz w:val="14"/>
                <w:szCs w:val="14"/>
                <w:lang w:eastAsia="es-AR"/>
              </w:rPr>
              <w:t>1.607.667</w:t>
            </w:r>
          </w:p>
        </w:tc>
        <w:tc>
          <w:tcPr>
            <w:tcW w:w="615" w:type="pct"/>
            <w:tcBorders>
              <w:top w:val="single" w:sz="8" w:space="0" w:color="auto"/>
              <w:left w:val="nil"/>
              <w:bottom w:val="single" w:sz="4" w:space="0" w:color="auto"/>
              <w:right w:val="single" w:sz="8" w:space="0" w:color="auto"/>
            </w:tcBorders>
            <w:shd w:val="clear" w:color="auto" w:fill="auto"/>
            <w:vAlign w:val="center"/>
            <w:hideMark/>
          </w:tcPr>
          <w:p w14:paraId="5905A27A"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48371795" w14:textId="77777777" w:rsidR="00B86973" w:rsidRPr="00701F32" w:rsidRDefault="00B86973" w:rsidP="00B86973">
            <w:pPr>
              <w:jc w:val="both"/>
              <w:rPr>
                <w:rFonts w:ascii="Arial" w:hAnsi="Arial" w:cs="Arial"/>
                <w:color w:val="000000"/>
                <w:sz w:val="14"/>
                <w:szCs w:val="14"/>
                <w:lang w:eastAsia="es-AR"/>
              </w:rPr>
            </w:pPr>
          </w:p>
          <w:p w14:paraId="0490933D" w14:textId="03A9827A" w:rsidR="00B86973" w:rsidRPr="00701F32" w:rsidRDefault="00B86973" w:rsidP="00B86973">
            <w:pPr>
              <w:jc w:val="both"/>
              <w:rPr>
                <w:rFonts w:ascii="Arial" w:hAnsi="Arial" w:cs="Arial"/>
                <w:color w:val="000000"/>
                <w:sz w:val="14"/>
                <w:szCs w:val="14"/>
                <w:lang w:eastAsia="es-AR"/>
              </w:rPr>
            </w:pPr>
            <w:r>
              <w:rPr>
                <w:rFonts w:ascii="Arial" w:hAnsi="Arial" w:cs="Arial"/>
                <w:color w:val="000000"/>
                <w:sz w:val="14"/>
                <w:szCs w:val="14"/>
                <w:lang w:eastAsia="es-AR"/>
              </w:rPr>
              <w:t>14</w:t>
            </w:r>
            <w:r w:rsidRPr="00701F32">
              <w:rPr>
                <w:rFonts w:ascii="Arial" w:hAnsi="Arial" w:cs="Arial"/>
                <w:color w:val="000000"/>
                <w:sz w:val="14"/>
                <w:szCs w:val="14"/>
                <w:lang w:eastAsia="es-AR"/>
              </w:rPr>
              <w:t>-</w:t>
            </w:r>
            <w:r>
              <w:rPr>
                <w:rFonts w:ascii="Arial" w:hAnsi="Arial" w:cs="Arial"/>
                <w:color w:val="000000"/>
                <w:sz w:val="14"/>
                <w:szCs w:val="14"/>
                <w:lang w:eastAsia="es-AR"/>
              </w:rPr>
              <w:t>0</w:t>
            </w:r>
            <w:r w:rsidRPr="00701F32">
              <w:rPr>
                <w:rFonts w:ascii="Arial" w:hAnsi="Arial" w:cs="Arial"/>
                <w:color w:val="000000"/>
                <w:sz w:val="14"/>
                <w:szCs w:val="14"/>
                <w:lang w:eastAsia="es-AR"/>
              </w:rPr>
              <w:t>2-202</w:t>
            </w:r>
            <w:r>
              <w:rPr>
                <w:rFonts w:ascii="Arial" w:hAnsi="Arial" w:cs="Arial"/>
                <w:color w:val="000000"/>
                <w:sz w:val="14"/>
                <w:szCs w:val="14"/>
                <w:lang w:eastAsia="es-AR"/>
              </w:rPr>
              <w:t>1</w:t>
            </w:r>
            <w:r w:rsidRPr="00701F32">
              <w:rPr>
                <w:rFonts w:ascii="Arial" w:hAnsi="Arial" w:cs="Arial"/>
                <w:color w:val="000000"/>
                <w:sz w:val="14"/>
                <w:szCs w:val="14"/>
                <w:lang w:eastAsia="es-AR"/>
              </w:rPr>
              <w:t xml:space="preserve"> 33,33%,</w:t>
            </w:r>
          </w:p>
          <w:p w14:paraId="396D320C" w14:textId="77777777" w:rsidR="00B86973" w:rsidRPr="00701F32" w:rsidRDefault="00B86973" w:rsidP="00B86973">
            <w:pPr>
              <w:jc w:val="both"/>
              <w:rPr>
                <w:rFonts w:ascii="Arial" w:hAnsi="Arial" w:cs="Arial"/>
                <w:color w:val="000000"/>
                <w:sz w:val="14"/>
                <w:szCs w:val="14"/>
                <w:lang w:eastAsia="es-AR"/>
              </w:rPr>
            </w:pPr>
          </w:p>
          <w:p w14:paraId="2D25DA9D" w14:textId="60C596C9" w:rsidR="00B86973" w:rsidRPr="00701F32" w:rsidRDefault="00B86973" w:rsidP="00B86973">
            <w:pPr>
              <w:jc w:val="both"/>
              <w:rPr>
                <w:rFonts w:ascii="Arial" w:hAnsi="Arial" w:cs="Arial"/>
                <w:color w:val="000000"/>
                <w:sz w:val="14"/>
                <w:szCs w:val="14"/>
                <w:lang w:eastAsia="es-AR"/>
              </w:rPr>
            </w:pPr>
            <w:r>
              <w:rPr>
                <w:rFonts w:ascii="Arial" w:hAnsi="Arial" w:cs="Arial"/>
                <w:color w:val="000000"/>
                <w:sz w:val="14"/>
                <w:szCs w:val="14"/>
                <w:lang w:eastAsia="es-AR"/>
              </w:rPr>
              <w:t>14</w:t>
            </w:r>
            <w:r w:rsidRPr="00701F32">
              <w:rPr>
                <w:rFonts w:ascii="Arial" w:hAnsi="Arial" w:cs="Arial"/>
                <w:color w:val="000000"/>
                <w:sz w:val="14"/>
                <w:szCs w:val="14"/>
                <w:lang w:eastAsia="es-AR"/>
              </w:rPr>
              <w:t>-0</w:t>
            </w:r>
            <w:r>
              <w:rPr>
                <w:rFonts w:ascii="Arial" w:hAnsi="Arial" w:cs="Arial"/>
                <w:color w:val="000000"/>
                <w:sz w:val="14"/>
                <w:szCs w:val="14"/>
                <w:lang w:eastAsia="es-AR"/>
              </w:rPr>
              <w:t>2</w:t>
            </w:r>
            <w:r w:rsidRPr="00701F32">
              <w:rPr>
                <w:rFonts w:ascii="Arial" w:hAnsi="Arial" w:cs="Arial"/>
                <w:color w:val="000000"/>
                <w:sz w:val="14"/>
                <w:szCs w:val="14"/>
                <w:lang w:eastAsia="es-AR"/>
              </w:rPr>
              <w:t>-202</w:t>
            </w:r>
            <w:r>
              <w:rPr>
                <w:rFonts w:ascii="Arial" w:hAnsi="Arial" w:cs="Arial"/>
                <w:color w:val="000000"/>
                <w:sz w:val="14"/>
                <w:szCs w:val="14"/>
                <w:lang w:eastAsia="es-AR"/>
              </w:rPr>
              <w:t>2</w:t>
            </w:r>
            <w:r w:rsidRPr="00701F32">
              <w:rPr>
                <w:rFonts w:ascii="Arial" w:hAnsi="Arial" w:cs="Arial"/>
                <w:color w:val="000000"/>
                <w:sz w:val="14"/>
                <w:szCs w:val="14"/>
                <w:lang w:eastAsia="es-AR"/>
              </w:rPr>
              <w:t xml:space="preserve"> 33,33%,</w:t>
            </w:r>
          </w:p>
          <w:p w14:paraId="06739434" w14:textId="65F42721"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y en la fecha de vencimiento 33,34%.</w:t>
            </w:r>
          </w:p>
        </w:tc>
        <w:tc>
          <w:tcPr>
            <w:tcW w:w="462" w:type="pct"/>
            <w:tcBorders>
              <w:top w:val="single" w:sz="8" w:space="0" w:color="auto"/>
              <w:left w:val="nil"/>
              <w:bottom w:val="single" w:sz="4" w:space="0" w:color="auto"/>
              <w:right w:val="single" w:sz="8" w:space="0" w:color="auto"/>
            </w:tcBorders>
            <w:shd w:val="clear" w:color="auto" w:fill="auto"/>
            <w:noWrap/>
            <w:vAlign w:val="center"/>
            <w:hideMark/>
          </w:tcPr>
          <w:p w14:paraId="1B095148" w14:textId="3EC689FE"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60 meses</w:t>
            </w:r>
          </w:p>
        </w:tc>
        <w:tc>
          <w:tcPr>
            <w:tcW w:w="543" w:type="pct"/>
            <w:tcBorders>
              <w:top w:val="single" w:sz="8" w:space="0" w:color="auto"/>
              <w:left w:val="nil"/>
              <w:bottom w:val="single" w:sz="4" w:space="0" w:color="auto"/>
              <w:right w:val="single" w:sz="8" w:space="0" w:color="auto"/>
            </w:tcBorders>
            <w:shd w:val="clear" w:color="auto" w:fill="auto"/>
            <w:noWrap/>
            <w:vAlign w:val="center"/>
            <w:hideMark/>
          </w:tcPr>
          <w:p w14:paraId="4F7FE815"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14/02/2023</w:t>
            </w:r>
          </w:p>
        </w:tc>
        <w:tc>
          <w:tcPr>
            <w:tcW w:w="687" w:type="pct"/>
            <w:tcBorders>
              <w:top w:val="single" w:sz="8" w:space="0" w:color="auto"/>
              <w:left w:val="nil"/>
              <w:bottom w:val="single" w:sz="4" w:space="0" w:color="auto"/>
              <w:right w:val="single" w:sz="8" w:space="0" w:color="auto"/>
            </w:tcBorders>
            <w:shd w:val="clear" w:color="auto" w:fill="auto"/>
            <w:vAlign w:val="center"/>
            <w:hideMark/>
          </w:tcPr>
          <w:p w14:paraId="78F75EEB" w14:textId="77777777" w:rsidR="00B86973" w:rsidRPr="00701F32" w:rsidRDefault="00B86973" w:rsidP="00B86973">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+ 4,05%</w:t>
            </w:r>
          </w:p>
        </w:tc>
        <w:tc>
          <w:tcPr>
            <w:tcW w:w="500" w:type="pct"/>
            <w:tcBorders>
              <w:top w:val="single" w:sz="8" w:space="0" w:color="auto"/>
              <w:left w:val="nil"/>
              <w:bottom w:val="single" w:sz="4" w:space="0" w:color="auto"/>
              <w:right w:val="single" w:sz="8" w:space="0" w:color="auto"/>
            </w:tcBorders>
            <w:shd w:val="clear" w:color="auto" w:fill="auto"/>
            <w:noWrap/>
            <w:vAlign w:val="bottom"/>
          </w:tcPr>
          <w:p w14:paraId="45014FC9" w14:textId="57EA101D" w:rsidR="00B86973" w:rsidRPr="000E1F15" w:rsidRDefault="00B86973" w:rsidP="00B86973">
            <w:pPr>
              <w:jc w:val="right"/>
              <w:rPr>
                <w:rFonts w:ascii="Arial" w:hAnsi="Arial" w:cs="Arial"/>
                <w:color w:val="000000"/>
                <w:sz w:val="14"/>
                <w:szCs w:val="14"/>
                <w:lang w:eastAsia="es-AR"/>
              </w:rPr>
            </w:pPr>
            <w:r>
              <w:rPr>
                <w:rFonts w:ascii="Arial" w:hAnsi="Arial" w:cs="Arial"/>
                <w:color w:val="000000"/>
                <w:sz w:val="14"/>
                <w:szCs w:val="14"/>
                <w:lang w:eastAsia="es-AR"/>
              </w:rPr>
              <w:t>1.573.544</w:t>
            </w:r>
          </w:p>
        </w:tc>
        <w:tc>
          <w:tcPr>
            <w:tcW w:w="547" w:type="pct"/>
            <w:tcBorders>
              <w:top w:val="single" w:sz="8" w:space="0" w:color="auto"/>
              <w:left w:val="nil"/>
              <w:bottom w:val="single" w:sz="4" w:space="0" w:color="auto"/>
              <w:right w:val="single" w:sz="8" w:space="0" w:color="auto"/>
            </w:tcBorders>
            <w:shd w:val="clear" w:color="auto" w:fill="auto"/>
            <w:noWrap/>
            <w:vAlign w:val="bottom"/>
          </w:tcPr>
          <w:p w14:paraId="5E5EB9F2" w14:textId="51249573" w:rsidR="00B86973" w:rsidRPr="00710EB6" w:rsidRDefault="00B86973" w:rsidP="00B86973">
            <w:pPr>
              <w:jc w:val="right"/>
              <w:rPr>
                <w:rFonts w:ascii="Arial" w:hAnsi="Arial" w:cs="Arial"/>
                <w:color w:val="000000"/>
                <w:sz w:val="14"/>
                <w:szCs w:val="14"/>
                <w:lang w:eastAsia="es-AR"/>
              </w:rPr>
            </w:pPr>
            <w:r>
              <w:rPr>
                <w:rFonts w:ascii="Arial" w:hAnsi="Arial" w:cs="Arial"/>
                <w:sz w:val="14"/>
                <w:szCs w:val="14"/>
              </w:rPr>
              <w:t>1.724.16</w:t>
            </w:r>
            <w:r w:rsidR="003618F1">
              <w:rPr>
                <w:rFonts w:ascii="Arial" w:hAnsi="Arial" w:cs="Arial"/>
                <w:sz w:val="14"/>
                <w:szCs w:val="14"/>
              </w:rPr>
              <w:t>6</w:t>
            </w:r>
          </w:p>
        </w:tc>
      </w:tr>
      <w:tr w:rsidR="00B86973" w:rsidRPr="00701F32" w14:paraId="38B17EAF" w14:textId="77777777" w:rsidTr="00534414">
        <w:trPr>
          <w:trHeight w:val="323"/>
        </w:trPr>
        <w:tc>
          <w:tcPr>
            <w:tcW w:w="3266" w:type="pct"/>
            <w:gridSpan w:val="7"/>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6A95D19" w14:textId="77777777" w:rsidR="00B86973" w:rsidRPr="00701F32" w:rsidRDefault="00B86973" w:rsidP="00B86973">
            <w:pPr>
              <w:jc w:val="both"/>
              <w:rPr>
                <w:rFonts w:ascii="Arial" w:hAnsi="Arial" w:cs="Arial"/>
                <w:color w:val="000000"/>
                <w:sz w:val="14"/>
                <w:szCs w:val="14"/>
                <w:lang w:eastAsia="es-AR"/>
              </w:rPr>
            </w:pPr>
          </w:p>
        </w:tc>
        <w:tc>
          <w:tcPr>
            <w:tcW w:w="687" w:type="pct"/>
            <w:tcBorders>
              <w:top w:val="single" w:sz="4" w:space="0" w:color="auto"/>
              <w:left w:val="nil"/>
              <w:bottom w:val="single" w:sz="4" w:space="0" w:color="auto"/>
              <w:right w:val="single" w:sz="8" w:space="0" w:color="auto"/>
            </w:tcBorders>
            <w:shd w:val="clear" w:color="auto" w:fill="auto"/>
            <w:noWrap/>
            <w:vAlign w:val="bottom"/>
            <w:hideMark/>
          </w:tcPr>
          <w:p w14:paraId="2A652A8D" w14:textId="1BA64435" w:rsidR="00B86973" w:rsidRPr="00701F32" w:rsidRDefault="00B86973" w:rsidP="00B86973">
            <w:pPr>
              <w:rPr>
                <w:rFonts w:ascii="Arial" w:hAnsi="Arial" w:cs="Arial"/>
                <w:b/>
                <w:bCs/>
                <w:color w:val="000000"/>
                <w:sz w:val="14"/>
                <w:szCs w:val="14"/>
                <w:lang w:eastAsia="es-AR"/>
              </w:rPr>
            </w:pPr>
            <w:r w:rsidRPr="00701F32">
              <w:rPr>
                <w:rFonts w:ascii="Arial" w:hAnsi="Arial" w:cs="Arial"/>
                <w:b/>
                <w:bCs/>
                <w:color w:val="000000"/>
                <w:sz w:val="14"/>
                <w:szCs w:val="14"/>
                <w:lang w:eastAsia="es-AR"/>
              </w:rPr>
              <w:t>Total</w:t>
            </w:r>
          </w:p>
        </w:tc>
        <w:tc>
          <w:tcPr>
            <w:tcW w:w="500" w:type="pct"/>
            <w:tcBorders>
              <w:top w:val="single" w:sz="4" w:space="0" w:color="auto"/>
              <w:left w:val="nil"/>
              <w:bottom w:val="single" w:sz="4" w:space="0" w:color="auto"/>
              <w:right w:val="single" w:sz="8" w:space="0" w:color="auto"/>
            </w:tcBorders>
            <w:shd w:val="clear" w:color="auto" w:fill="auto"/>
            <w:noWrap/>
            <w:vAlign w:val="bottom"/>
          </w:tcPr>
          <w:p w14:paraId="061E2BFB" w14:textId="586043E0" w:rsidR="00B86973" w:rsidRPr="00B64F35" w:rsidRDefault="00B86973" w:rsidP="00B86973">
            <w:pPr>
              <w:jc w:val="right"/>
              <w:rPr>
                <w:rFonts w:ascii="Arial" w:hAnsi="Arial" w:cs="Arial"/>
                <w:b/>
                <w:bCs/>
                <w:color w:val="000000"/>
                <w:sz w:val="14"/>
                <w:szCs w:val="14"/>
                <w:lang w:eastAsia="es-AR"/>
              </w:rPr>
            </w:pPr>
            <w:r>
              <w:rPr>
                <w:rFonts w:ascii="Arial" w:hAnsi="Arial" w:cs="Arial"/>
                <w:b/>
                <w:bCs/>
                <w:color w:val="000000"/>
                <w:sz w:val="14"/>
                <w:szCs w:val="14"/>
                <w:lang w:val="es-ES_tradnl" w:eastAsia="es-AR"/>
              </w:rPr>
              <w:t>4.170.559</w:t>
            </w:r>
          </w:p>
        </w:tc>
        <w:tc>
          <w:tcPr>
            <w:tcW w:w="547" w:type="pct"/>
            <w:tcBorders>
              <w:top w:val="single" w:sz="4" w:space="0" w:color="auto"/>
              <w:left w:val="nil"/>
              <w:bottom w:val="single" w:sz="4" w:space="0" w:color="auto"/>
              <w:right w:val="single" w:sz="4" w:space="0" w:color="auto"/>
            </w:tcBorders>
            <w:shd w:val="clear" w:color="auto" w:fill="auto"/>
            <w:noWrap/>
            <w:vAlign w:val="bottom"/>
          </w:tcPr>
          <w:p w14:paraId="4E89FDF8" w14:textId="7FC89289" w:rsidR="00B86973" w:rsidRPr="00B64F35" w:rsidRDefault="00B86973" w:rsidP="00B86973">
            <w:pPr>
              <w:jc w:val="right"/>
              <w:rPr>
                <w:rFonts w:ascii="Arial" w:hAnsi="Arial" w:cs="Arial"/>
                <w:b/>
                <w:bCs/>
                <w:color w:val="000000"/>
                <w:sz w:val="14"/>
                <w:szCs w:val="14"/>
                <w:lang w:eastAsia="es-AR"/>
              </w:rPr>
            </w:pPr>
            <w:r>
              <w:rPr>
                <w:rFonts w:ascii="Arial" w:hAnsi="Arial" w:cs="Arial"/>
                <w:b/>
                <w:sz w:val="14"/>
                <w:szCs w:val="14"/>
              </w:rPr>
              <w:t>6.544.450</w:t>
            </w:r>
          </w:p>
        </w:tc>
      </w:tr>
    </w:tbl>
    <w:p w14:paraId="4FF757D9" w14:textId="77777777" w:rsidR="00B64F35" w:rsidRPr="00701F32" w:rsidRDefault="00B64F35" w:rsidP="00656E62">
      <w:pPr>
        <w:pStyle w:val="PrimerNivel"/>
        <w:numPr>
          <w:ilvl w:val="0"/>
          <w:numId w:val="0"/>
        </w:numPr>
        <w:rPr>
          <w:rFonts w:ascii="Arial" w:hAnsi="Arial" w:cs="Arial"/>
          <w:b/>
          <w:sz w:val="20"/>
          <w:szCs w:val="20"/>
        </w:rPr>
      </w:pPr>
    </w:p>
    <w:p w14:paraId="44AA8188" w14:textId="2978ACF4" w:rsidR="00710EB6" w:rsidRDefault="00710EB6" w:rsidP="00534414">
      <w:pPr>
        <w:jc w:val="both"/>
        <w:rPr>
          <w:rFonts w:ascii="Arial" w:hAnsi="Arial" w:cs="Arial"/>
          <w:sz w:val="20"/>
        </w:rPr>
      </w:pPr>
      <w:r w:rsidRPr="00534414">
        <w:rPr>
          <w:rFonts w:ascii="Arial" w:hAnsi="Arial" w:cs="Arial"/>
          <w:sz w:val="20"/>
        </w:rPr>
        <w:t>El monto en circulación de la Obligaciones Negociables Clase A fue reducido con fecha 17 de octubre de 2018 por un valor nominal en pesos de $ 618.030 y con fecha 23 de enero de 2019 por un valor nominal en pesos de $ 254.92</w:t>
      </w:r>
      <w:r w:rsidR="00910602">
        <w:rPr>
          <w:rFonts w:ascii="Arial" w:hAnsi="Arial" w:cs="Arial"/>
          <w:sz w:val="20"/>
        </w:rPr>
        <w:t>5</w:t>
      </w:r>
      <w:r w:rsidRPr="00534414">
        <w:rPr>
          <w:rFonts w:ascii="Arial" w:hAnsi="Arial" w:cs="Arial"/>
          <w:sz w:val="20"/>
        </w:rPr>
        <w:t>.</w:t>
      </w:r>
      <w:r w:rsidR="00910602">
        <w:rPr>
          <w:rFonts w:ascii="Arial" w:hAnsi="Arial" w:cs="Arial"/>
          <w:sz w:val="20"/>
        </w:rPr>
        <w:t xml:space="preserve"> </w:t>
      </w:r>
      <w:r w:rsidRPr="00534414">
        <w:rPr>
          <w:rFonts w:ascii="Arial" w:hAnsi="Arial" w:cs="Arial"/>
          <w:sz w:val="20"/>
        </w:rPr>
        <w:t>Resultando así el monto total de circulación en pesos de $ 3.895.215.</w:t>
      </w:r>
    </w:p>
    <w:p w14:paraId="38696022" w14:textId="3B3F6F34" w:rsidR="004C6096" w:rsidRDefault="004C6096" w:rsidP="00534414">
      <w:pPr>
        <w:jc w:val="both"/>
        <w:rPr>
          <w:rFonts w:ascii="Arial" w:hAnsi="Arial" w:cs="Arial"/>
          <w:sz w:val="20"/>
        </w:rPr>
      </w:pPr>
    </w:p>
    <w:p w14:paraId="77DE7ED6" w14:textId="0EEBF62E" w:rsidR="00FC3DB3" w:rsidRDefault="00FC3DB3" w:rsidP="00534414">
      <w:pPr>
        <w:jc w:val="both"/>
        <w:rPr>
          <w:rFonts w:ascii="Arial" w:hAnsi="Arial" w:cs="Arial"/>
          <w:sz w:val="20"/>
        </w:rPr>
      </w:pPr>
      <w:r>
        <w:rPr>
          <w:rFonts w:ascii="Arial" w:hAnsi="Arial" w:cs="Arial"/>
          <w:sz w:val="20"/>
        </w:rPr>
        <w:t>Durante los meses de agosto y septiembre de 2019 se recompraron Obligaciones Negociables Clase B por un valor nominal en pesos de $ 101.000</w:t>
      </w:r>
    </w:p>
    <w:p w14:paraId="0D500BC5" w14:textId="77777777" w:rsidR="00044B2E" w:rsidRDefault="00044B2E" w:rsidP="00534414">
      <w:pPr>
        <w:jc w:val="both"/>
        <w:rPr>
          <w:rFonts w:ascii="Arial" w:hAnsi="Arial" w:cs="Arial"/>
          <w:sz w:val="20"/>
        </w:rPr>
      </w:pPr>
    </w:p>
    <w:p w14:paraId="6D4D1D40" w14:textId="5BAE1CD2" w:rsidR="00656E62" w:rsidRPr="00701F32" w:rsidRDefault="00656E62" w:rsidP="00656E62">
      <w:pPr>
        <w:pStyle w:val="PrimerNivel"/>
        <w:numPr>
          <w:ilvl w:val="0"/>
          <w:numId w:val="0"/>
        </w:numPr>
        <w:rPr>
          <w:rFonts w:ascii="Arial" w:hAnsi="Arial" w:cs="Arial"/>
          <w:b/>
          <w:sz w:val="20"/>
          <w:szCs w:val="20"/>
        </w:rPr>
      </w:pPr>
      <w:r w:rsidRPr="00701F32">
        <w:rPr>
          <w:rFonts w:ascii="Arial" w:hAnsi="Arial" w:cs="Arial"/>
          <w:b/>
          <w:sz w:val="20"/>
          <w:szCs w:val="20"/>
        </w:rPr>
        <w:t>Obligaciones Negociables subordinadas</w:t>
      </w:r>
    </w:p>
    <w:p w14:paraId="42680195" w14:textId="77777777" w:rsidR="00656E62" w:rsidRPr="00701F32" w:rsidRDefault="00656E62" w:rsidP="00656E62">
      <w:pPr>
        <w:pStyle w:val="PrimerNivel"/>
        <w:numPr>
          <w:ilvl w:val="0"/>
          <w:numId w:val="0"/>
        </w:numPr>
        <w:ind w:left="66"/>
        <w:rPr>
          <w:rFonts w:ascii="Arial" w:hAnsi="Arial" w:cs="Arial"/>
          <w:b/>
          <w:sz w:val="20"/>
          <w:szCs w:val="20"/>
        </w:rPr>
      </w:pPr>
    </w:p>
    <w:p w14:paraId="2B11892C" w14:textId="2AC3E027" w:rsidR="00656E62" w:rsidRPr="00701F32" w:rsidRDefault="00656E62" w:rsidP="00656E62">
      <w:pPr>
        <w:tabs>
          <w:tab w:val="left" w:pos="142"/>
          <w:tab w:val="left" w:pos="9923"/>
        </w:tabs>
        <w:jc w:val="both"/>
        <w:rPr>
          <w:rFonts w:ascii="Arial" w:hAnsi="Arial" w:cs="Arial"/>
          <w:b/>
          <w:sz w:val="20"/>
        </w:rPr>
      </w:pPr>
      <w:r w:rsidRPr="00701F32">
        <w:rPr>
          <w:rFonts w:ascii="Arial" w:hAnsi="Arial" w:cs="Arial"/>
          <w:b/>
          <w:sz w:val="20"/>
        </w:rPr>
        <w:t>Programa Global de Emisión de Obligaciones Negociables por hasta V/N $ 750.000 (ampliado a V/N $2.000</w:t>
      </w:r>
      <w:r w:rsidR="00CE53C0">
        <w:rPr>
          <w:rFonts w:ascii="Arial" w:hAnsi="Arial" w:cs="Arial"/>
          <w:b/>
          <w:sz w:val="20"/>
        </w:rPr>
        <w:t>.000</w:t>
      </w:r>
      <w:r w:rsidRPr="00701F32">
        <w:rPr>
          <w:rFonts w:ascii="Arial" w:hAnsi="Arial" w:cs="Arial"/>
          <w:b/>
          <w:sz w:val="20"/>
        </w:rPr>
        <w:t xml:space="preserve">). </w:t>
      </w:r>
    </w:p>
    <w:p w14:paraId="5AC820DE" w14:textId="77777777" w:rsidR="00656E62" w:rsidRPr="00701F32" w:rsidRDefault="00656E62" w:rsidP="00656E62">
      <w:pPr>
        <w:pStyle w:val="NoSpacing"/>
        <w:jc w:val="both"/>
        <w:rPr>
          <w:rFonts w:ascii="Arial" w:hAnsi="Arial" w:cs="Arial"/>
          <w:sz w:val="20"/>
          <w:szCs w:val="20"/>
        </w:rPr>
      </w:pPr>
    </w:p>
    <w:p w14:paraId="4AA1D437" w14:textId="03D9B1A8" w:rsidR="00656E62" w:rsidRPr="00701F32" w:rsidRDefault="00656E62" w:rsidP="00656E62">
      <w:pPr>
        <w:pStyle w:val="NoSpacing"/>
        <w:jc w:val="both"/>
        <w:rPr>
          <w:rFonts w:ascii="Arial" w:hAnsi="Arial" w:cs="Arial"/>
          <w:sz w:val="20"/>
          <w:szCs w:val="20"/>
        </w:rPr>
      </w:pPr>
      <w:r w:rsidRPr="00701F32">
        <w:rPr>
          <w:rFonts w:ascii="Arial" w:hAnsi="Arial" w:cs="Arial"/>
          <w:sz w:val="20"/>
          <w:szCs w:val="20"/>
        </w:rPr>
        <w:t xml:space="preserve">Con fecha 25 de marzo de 2013, la Asamblea General Extraordinaria de Accionistas resolvió aprobar la creación de un Programa Global de Emisión de Obligaciones Negociables por hasta un monto máximo en circulación en cualquier momento durante la vigencia del programa de </w:t>
      </w:r>
      <w:r w:rsidR="00C5517A">
        <w:rPr>
          <w:rFonts w:ascii="Arial" w:hAnsi="Arial" w:cs="Arial"/>
          <w:sz w:val="20"/>
          <w:szCs w:val="20"/>
        </w:rPr>
        <w:t>$</w:t>
      </w:r>
      <w:r w:rsidR="00C5517A" w:rsidRPr="00701F32">
        <w:rPr>
          <w:rFonts w:ascii="Arial" w:hAnsi="Arial" w:cs="Arial"/>
          <w:sz w:val="20"/>
          <w:szCs w:val="20"/>
        </w:rPr>
        <w:t xml:space="preserve"> </w:t>
      </w:r>
      <w:r w:rsidRPr="00701F32">
        <w:rPr>
          <w:rFonts w:ascii="Arial" w:hAnsi="Arial" w:cs="Arial"/>
          <w:sz w:val="20"/>
          <w:szCs w:val="20"/>
        </w:rPr>
        <w:t>750.000.000. Al respecto, cabe mencionar que en fecha 15 de abril de 2016 la Asamblea General Ordinaria y Extraordinaria de Accionistas resolvió incrementar el monto máximo de dicho programa hasta un valor nominal de pesos 2.000.000 o su equivalente en otras monedas, el cual fue aprobado por CNV mediante resolución N° 18.224 con fecha 22 de septiembre de 2016.</w:t>
      </w:r>
    </w:p>
    <w:p w14:paraId="76CAE598" w14:textId="77777777" w:rsidR="00656E62" w:rsidRPr="00701F32" w:rsidRDefault="00656E62" w:rsidP="00656E62">
      <w:pPr>
        <w:pStyle w:val="NoSpacing"/>
        <w:jc w:val="both"/>
        <w:rPr>
          <w:rFonts w:ascii="Arial" w:hAnsi="Arial" w:cs="Arial"/>
          <w:sz w:val="20"/>
          <w:szCs w:val="20"/>
        </w:rPr>
      </w:pPr>
    </w:p>
    <w:p w14:paraId="60D6DF3E" w14:textId="1894A06E" w:rsidR="00656E62" w:rsidRDefault="00656E62" w:rsidP="00656E62">
      <w:pPr>
        <w:pStyle w:val="PrimerNivel"/>
        <w:numPr>
          <w:ilvl w:val="0"/>
          <w:numId w:val="0"/>
        </w:numPr>
        <w:rPr>
          <w:rFonts w:ascii="Arial" w:hAnsi="Arial" w:cs="Arial"/>
          <w:sz w:val="20"/>
          <w:szCs w:val="20"/>
        </w:rPr>
      </w:pPr>
      <w:r w:rsidRPr="00701F32">
        <w:rPr>
          <w:rFonts w:ascii="Arial" w:hAnsi="Arial" w:cs="Arial"/>
          <w:sz w:val="20"/>
          <w:szCs w:val="20"/>
        </w:rPr>
        <w:t xml:space="preserve">A continuación, se detallan los principales términos y condiciones de las emisiones vigentes al </w:t>
      </w:r>
      <w:r w:rsidR="007F209B">
        <w:rPr>
          <w:rFonts w:ascii="Arial" w:hAnsi="Arial" w:cs="Arial"/>
          <w:sz w:val="20"/>
          <w:szCs w:val="20"/>
        </w:rPr>
        <w:t>3</w:t>
      </w:r>
      <w:r w:rsidR="005A741E">
        <w:rPr>
          <w:rFonts w:ascii="Arial" w:hAnsi="Arial" w:cs="Arial"/>
          <w:sz w:val="20"/>
          <w:szCs w:val="20"/>
        </w:rPr>
        <w:t>1</w:t>
      </w:r>
      <w:r w:rsidR="004E457F" w:rsidRPr="00701F32">
        <w:rPr>
          <w:rFonts w:ascii="Arial" w:hAnsi="Arial" w:cs="Arial"/>
          <w:sz w:val="20"/>
          <w:szCs w:val="20"/>
        </w:rPr>
        <w:t xml:space="preserve"> de </w:t>
      </w:r>
      <w:r w:rsidR="005A741E">
        <w:rPr>
          <w:rFonts w:ascii="Arial" w:hAnsi="Arial" w:cs="Arial"/>
          <w:sz w:val="20"/>
          <w:szCs w:val="20"/>
        </w:rPr>
        <w:t xml:space="preserve">marzo </w:t>
      </w:r>
      <w:r w:rsidR="00710EB6">
        <w:rPr>
          <w:rFonts w:ascii="Arial" w:hAnsi="Arial" w:cs="Arial"/>
          <w:sz w:val="20"/>
          <w:szCs w:val="20"/>
        </w:rPr>
        <w:t>de 20</w:t>
      </w:r>
      <w:r w:rsidR="005A741E">
        <w:rPr>
          <w:rFonts w:ascii="Arial" w:hAnsi="Arial" w:cs="Arial"/>
          <w:sz w:val="20"/>
          <w:szCs w:val="20"/>
        </w:rPr>
        <w:t>20</w:t>
      </w:r>
      <w:r w:rsidR="00710EB6">
        <w:rPr>
          <w:rFonts w:ascii="Arial" w:hAnsi="Arial" w:cs="Arial"/>
          <w:sz w:val="20"/>
          <w:szCs w:val="20"/>
        </w:rPr>
        <w:t xml:space="preserve"> </w:t>
      </w:r>
      <w:r w:rsidR="009661CB">
        <w:rPr>
          <w:rFonts w:ascii="Arial" w:hAnsi="Arial" w:cs="Arial"/>
          <w:sz w:val="20"/>
          <w:szCs w:val="20"/>
        </w:rPr>
        <w:t xml:space="preserve">y </w:t>
      </w:r>
      <w:r w:rsidR="00710EB6">
        <w:rPr>
          <w:rFonts w:ascii="Arial" w:hAnsi="Arial" w:cs="Arial"/>
          <w:sz w:val="20"/>
          <w:szCs w:val="20"/>
        </w:rPr>
        <w:t xml:space="preserve">31 de diciembre de </w:t>
      </w:r>
      <w:r w:rsidR="009661CB">
        <w:rPr>
          <w:rFonts w:ascii="Arial" w:hAnsi="Arial" w:cs="Arial"/>
          <w:sz w:val="20"/>
          <w:szCs w:val="20"/>
        </w:rPr>
        <w:t>201</w:t>
      </w:r>
      <w:r w:rsidR="005A741E">
        <w:rPr>
          <w:rFonts w:ascii="Arial" w:hAnsi="Arial" w:cs="Arial"/>
          <w:sz w:val="20"/>
          <w:szCs w:val="20"/>
        </w:rPr>
        <w:t>9</w:t>
      </w:r>
      <w:r w:rsidRPr="00701F32">
        <w:rPr>
          <w:rFonts w:ascii="Arial" w:hAnsi="Arial" w:cs="Arial"/>
          <w:sz w:val="20"/>
          <w:szCs w:val="20"/>
        </w:rPr>
        <w:t>:</w:t>
      </w:r>
    </w:p>
    <w:p w14:paraId="385AB8EB" w14:textId="77777777" w:rsidR="00EC1700" w:rsidRPr="00701F32" w:rsidRDefault="00EC1700" w:rsidP="00656E62">
      <w:pPr>
        <w:pStyle w:val="PrimerNivel"/>
        <w:numPr>
          <w:ilvl w:val="0"/>
          <w:numId w:val="0"/>
        </w:numPr>
        <w:rPr>
          <w:rFonts w:ascii="Arial" w:hAnsi="Arial" w:cs="Arial"/>
          <w:sz w:val="20"/>
          <w:szCs w:val="20"/>
        </w:rPr>
      </w:pPr>
    </w:p>
    <w:p w14:paraId="4C313A47" w14:textId="77777777" w:rsidR="00656E62" w:rsidRPr="00701F32" w:rsidRDefault="00656E62" w:rsidP="00656E62">
      <w:pPr>
        <w:pStyle w:val="PrimerNivel"/>
        <w:numPr>
          <w:ilvl w:val="0"/>
          <w:numId w:val="0"/>
        </w:numPr>
        <w:rPr>
          <w:rFonts w:ascii="Arial" w:hAnsi="Arial" w:cs="Arial"/>
          <w:sz w:val="20"/>
          <w:szCs w:val="20"/>
        </w:rPr>
      </w:pPr>
    </w:p>
    <w:tbl>
      <w:tblPr>
        <w:tblW w:w="8800" w:type="dxa"/>
        <w:tblInd w:w="55" w:type="dxa"/>
        <w:tblLayout w:type="fixed"/>
        <w:tblCellMar>
          <w:left w:w="70" w:type="dxa"/>
          <w:right w:w="70" w:type="dxa"/>
        </w:tblCellMar>
        <w:tblLook w:val="04A0" w:firstRow="1" w:lastRow="0" w:firstColumn="1" w:lastColumn="0" w:noHBand="0" w:noVBand="1"/>
      </w:tblPr>
      <w:tblGrid>
        <w:gridCol w:w="953"/>
        <w:gridCol w:w="728"/>
        <w:gridCol w:w="555"/>
        <w:gridCol w:w="846"/>
        <w:gridCol w:w="1188"/>
        <w:gridCol w:w="750"/>
        <w:gridCol w:w="1013"/>
        <w:gridCol w:w="820"/>
        <w:gridCol w:w="951"/>
        <w:gridCol w:w="996"/>
      </w:tblGrid>
      <w:tr w:rsidR="00B64F35" w:rsidRPr="00701F32" w14:paraId="06D243C9" w14:textId="77777777" w:rsidTr="006D43FB">
        <w:trPr>
          <w:trHeight w:val="261"/>
        </w:trPr>
        <w:tc>
          <w:tcPr>
            <w:tcW w:w="9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959B79"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colocación</w:t>
            </w:r>
          </w:p>
        </w:tc>
        <w:tc>
          <w:tcPr>
            <w:tcW w:w="7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7A3717" w14:textId="77777777" w:rsidR="00B64F35" w:rsidRPr="00701F32" w:rsidRDefault="00B64F35" w:rsidP="007C07F0">
            <w:pPr>
              <w:jc w:val="center"/>
              <w:rPr>
                <w:rFonts w:ascii="Arial" w:hAnsi="Arial" w:cs="Arial"/>
                <w:color w:val="000000"/>
                <w:sz w:val="14"/>
                <w:szCs w:val="16"/>
                <w:lang w:eastAsia="es-AR"/>
              </w:rPr>
            </w:pPr>
            <w:r w:rsidRPr="00701F32">
              <w:rPr>
                <w:rFonts w:ascii="Arial" w:hAnsi="Arial" w:cs="Arial"/>
                <w:color w:val="000000"/>
                <w:sz w:val="14"/>
                <w:szCs w:val="16"/>
                <w:lang w:eastAsia="es-AR"/>
              </w:rPr>
              <w:t>Moneda</w:t>
            </w:r>
          </w:p>
        </w:tc>
        <w:tc>
          <w:tcPr>
            <w:tcW w:w="5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A047CC"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Nro. de Clase</w:t>
            </w:r>
          </w:p>
        </w:tc>
        <w:tc>
          <w:tcPr>
            <w:tcW w:w="8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7EF19CE"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Monto</w:t>
            </w:r>
          </w:p>
        </w:tc>
        <w:tc>
          <w:tcPr>
            <w:tcW w:w="11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BDAC42"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Amortización</w:t>
            </w:r>
          </w:p>
        </w:tc>
        <w:tc>
          <w:tcPr>
            <w:tcW w:w="7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863132"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Plazo</w:t>
            </w:r>
          </w:p>
        </w:tc>
        <w:tc>
          <w:tcPr>
            <w:tcW w:w="10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1A4779"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vencimiento</w:t>
            </w:r>
          </w:p>
        </w:tc>
        <w:tc>
          <w:tcPr>
            <w:tcW w:w="8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34ADA0"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Tasa</w:t>
            </w:r>
          </w:p>
        </w:tc>
        <w:tc>
          <w:tcPr>
            <w:tcW w:w="1947" w:type="dxa"/>
            <w:gridSpan w:val="2"/>
            <w:tcBorders>
              <w:top w:val="single" w:sz="8" w:space="0" w:color="auto"/>
              <w:left w:val="nil"/>
              <w:bottom w:val="single" w:sz="8" w:space="0" w:color="auto"/>
              <w:right w:val="single" w:sz="8" w:space="0" w:color="000000"/>
            </w:tcBorders>
            <w:shd w:val="clear" w:color="auto" w:fill="auto"/>
            <w:vAlign w:val="center"/>
            <w:hideMark/>
          </w:tcPr>
          <w:p w14:paraId="69B4BC16" w14:textId="347CF3CC"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Valor Libros</w:t>
            </w:r>
          </w:p>
        </w:tc>
      </w:tr>
      <w:tr w:rsidR="005A741E" w:rsidRPr="00701F32" w14:paraId="4FBA03E1" w14:textId="77777777" w:rsidTr="005A741E">
        <w:trPr>
          <w:trHeight w:val="261"/>
        </w:trPr>
        <w:tc>
          <w:tcPr>
            <w:tcW w:w="953" w:type="dxa"/>
            <w:vMerge/>
            <w:tcBorders>
              <w:top w:val="single" w:sz="8" w:space="0" w:color="auto"/>
              <w:left w:val="single" w:sz="8" w:space="0" w:color="auto"/>
              <w:bottom w:val="single" w:sz="8" w:space="0" w:color="000000"/>
              <w:right w:val="single" w:sz="8" w:space="0" w:color="auto"/>
            </w:tcBorders>
            <w:vAlign w:val="center"/>
            <w:hideMark/>
          </w:tcPr>
          <w:p w14:paraId="4B7F3974" w14:textId="77777777" w:rsidR="005A741E" w:rsidRPr="00701F32" w:rsidRDefault="005A741E" w:rsidP="005A741E">
            <w:pPr>
              <w:jc w:val="center"/>
              <w:rPr>
                <w:rFonts w:ascii="Arial" w:hAnsi="Arial" w:cs="Arial"/>
                <w:b/>
                <w:color w:val="000000"/>
                <w:sz w:val="14"/>
                <w:szCs w:val="16"/>
                <w:lang w:eastAsia="es-AR"/>
              </w:rPr>
            </w:pPr>
          </w:p>
        </w:tc>
        <w:tc>
          <w:tcPr>
            <w:tcW w:w="728" w:type="dxa"/>
            <w:vMerge/>
            <w:tcBorders>
              <w:top w:val="single" w:sz="8" w:space="0" w:color="auto"/>
              <w:left w:val="single" w:sz="8" w:space="0" w:color="auto"/>
              <w:bottom w:val="single" w:sz="8" w:space="0" w:color="000000"/>
              <w:right w:val="single" w:sz="8" w:space="0" w:color="auto"/>
            </w:tcBorders>
            <w:vAlign w:val="center"/>
            <w:hideMark/>
          </w:tcPr>
          <w:p w14:paraId="6ACC0343" w14:textId="77777777" w:rsidR="005A741E" w:rsidRPr="00701F32" w:rsidRDefault="005A741E" w:rsidP="005A741E">
            <w:pPr>
              <w:jc w:val="center"/>
              <w:rPr>
                <w:rFonts w:ascii="Arial" w:hAnsi="Arial" w:cs="Arial"/>
                <w:b/>
                <w:color w:val="000000"/>
                <w:sz w:val="14"/>
                <w:szCs w:val="16"/>
                <w:lang w:eastAsia="es-AR"/>
              </w:rPr>
            </w:pPr>
          </w:p>
        </w:tc>
        <w:tc>
          <w:tcPr>
            <w:tcW w:w="555" w:type="dxa"/>
            <w:vMerge/>
            <w:tcBorders>
              <w:top w:val="single" w:sz="8" w:space="0" w:color="auto"/>
              <w:left w:val="single" w:sz="8" w:space="0" w:color="auto"/>
              <w:bottom w:val="single" w:sz="8" w:space="0" w:color="000000"/>
              <w:right w:val="single" w:sz="8" w:space="0" w:color="auto"/>
            </w:tcBorders>
            <w:vAlign w:val="center"/>
            <w:hideMark/>
          </w:tcPr>
          <w:p w14:paraId="2FA5FF4D" w14:textId="77777777" w:rsidR="005A741E" w:rsidRPr="00701F32" w:rsidRDefault="005A741E" w:rsidP="005A741E">
            <w:pPr>
              <w:jc w:val="center"/>
              <w:rPr>
                <w:rFonts w:ascii="Arial" w:hAnsi="Arial" w:cs="Arial"/>
                <w:b/>
                <w:color w:val="000000"/>
                <w:sz w:val="14"/>
                <w:szCs w:val="16"/>
                <w:lang w:eastAsia="es-AR"/>
              </w:rPr>
            </w:pPr>
          </w:p>
        </w:tc>
        <w:tc>
          <w:tcPr>
            <w:tcW w:w="846" w:type="dxa"/>
            <w:vMerge/>
            <w:tcBorders>
              <w:top w:val="single" w:sz="8" w:space="0" w:color="auto"/>
              <w:left w:val="single" w:sz="8" w:space="0" w:color="auto"/>
              <w:bottom w:val="single" w:sz="8" w:space="0" w:color="000000"/>
              <w:right w:val="single" w:sz="8" w:space="0" w:color="auto"/>
            </w:tcBorders>
            <w:vAlign w:val="center"/>
            <w:hideMark/>
          </w:tcPr>
          <w:p w14:paraId="0E3FFE6C" w14:textId="77777777" w:rsidR="005A741E" w:rsidRPr="00701F32" w:rsidRDefault="005A741E" w:rsidP="005A741E">
            <w:pPr>
              <w:jc w:val="center"/>
              <w:rPr>
                <w:rFonts w:ascii="Arial" w:hAnsi="Arial" w:cs="Arial"/>
                <w:b/>
                <w:color w:val="000000"/>
                <w:sz w:val="14"/>
                <w:szCs w:val="16"/>
                <w:lang w:eastAsia="es-AR"/>
              </w:rPr>
            </w:pPr>
          </w:p>
        </w:tc>
        <w:tc>
          <w:tcPr>
            <w:tcW w:w="1188" w:type="dxa"/>
            <w:vMerge/>
            <w:tcBorders>
              <w:top w:val="single" w:sz="8" w:space="0" w:color="auto"/>
              <w:left w:val="single" w:sz="8" w:space="0" w:color="auto"/>
              <w:bottom w:val="single" w:sz="8" w:space="0" w:color="000000"/>
              <w:right w:val="single" w:sz="8" w:space="0" w:color="auto"/>
            </w:tcBorders>
            <w:vAlign w:val="center"/>
            <w:hideMark/>
          </w:tcPr>
          <w:p w14:paraId="481039B8" w14:textId="77777777" w:rsidR="005A741E" w:rsidRPr="00701F32" w:rsidRDefault="005A741E" w:rsidP="005A741E">
            <w:pPr>
              <w:jc w:val="center"/>
              <w:rPr>
                <w:rFonts w:ascii="Arial" w:hAnsi="Arial" w:cs="Arial"/>
                <w:b/>
                <w:color w:val="000000"/>
                <w:sz w:val="14"/>
                <w:szCs w:val="16"/>
                <w:lang w:eastAsia="es-AR"/>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3183226F" w14:textId="77777777" w:rsidR="005A741E" w:rsidRPr="00701F32" w:rsidRDefault="005A741E" w:rsidP="005A741E">
            <w:pPr>
              <w:jc w:val="center"/>
              <w:rPr>
                <w:rFonts w:ascii="Arial" w:hAnsi="Arial" w:cs="Arial"/>
                <w:b/>
                <w:color w:val="000000"/>
                <w:sz w:val="14"/>
                <w:szCs w:val="16"/>
                <w:lang w:eastAsia="es-AR"/>
              </w:rPr>
            </w:pPr>
          </w:p>
        </w:tc>
        <w:tc>
          <w:tcPr>
            <w:tcW w:w="1013" w:type="dxa"/>
            <w:vMerge/>
            <w:tcBorders>
              <w:top w:val="single" w:sz="8" w:space="0" w:color="auto"/>
              <w:left w:val="single" w:sz="8" w:space="0" w:color="auto"/>
              <w:bottom w:val="single" w:sz="8" w:space="0" w:color="000000"/>
              <w:right w:val="single" w:sz="8" w:space="0" w:color="auto"/>
            </w:tcBorders>
            <w:vAlign w:val="center"/>
            <w:hideMark/>
          </w:tcPr>
          <w:p w14:paraId="0ECCC6F5" w14:textId="77777777" w:rsidR="005A741E" w:rsidRPr="00701F32" w:rsidRDefault="005A741E" w:rsidP="005A741E">
            <w:pPr>
              <w:jc w:val="center"/>
              <w:rPr>
                <w:rFonts w:ascii="Arial" w:hAnsi="Arial" w:cs="Arial"/>
                <w:b/>
                <w:color w:val="000000"/>
                <w:sz w:val="14"/>
                <w:szCs w:val="16"/>
                <w:lang w:eastAsia="es-AR"/>
              </w:rPr>
            </w:pP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60F9552E" w14:textId="77777777" w:rsidR="005A741E" w:rsidRPr="00701F32" w:rsidRDefault="005A741E" w:rsidP="005A741E">
            <w:pPr>
              <w:jc w:val="center"/>
              <w:rPr>
                <w:rFonts w:ascii="Arial" w:hAnsi="Arial" w:cs="Arial"/>
                <w:b/>
                <w:color w:val="000000"/>
                <w:sz w:val="14"/>
                <w:szCs w:val="16"/>
                <w:lang w:eastAsia="es-AR"/>
              </w:rPr>
            </w:pPr>
          </w:p>
        </w:tc>
        <w:tc>
          <w:tcPr>
            <w:tcW w:w="951" w:type="dxa"/>
            <w:tcBorders>
              <w:top w:val="nil"/>
              <w:left w:val="nil"/>
              <w:bottom w:val="single" w:sz="8" w:space="0" w:color="auto"/>
              <w:right w:val="single" w:sz="8" w:space="0" w:color="auto"/>
            </w:tcBorders>
            <w:shd w:val="clear" w:color="auto" w:fill="auto"/>
            <w:vAlign w:val="center"/>
          </w:tcPr>
          <w:p w14:paraId="5845BE0B" w14:textId="135385CC" w:rsidR="005A741E" w:rsidRPr="00701F32" w:rsidRDefault="005A741E" w:rsidP="005A741E">
            <w:pPr>
              <w:jc w:val="center"/>
              <w:rPr>
                <w:rFonts w:ascii="Arial" w:hAnsi="Arial" w:cs="Arial"/>
                <w:b/>
                <w:color w:val="000000"/>
                <w:sz w:val="14"/>
                <w:szCs w:val="16"/>
                <w:lang w:eastAsia="es-AR"/>
              </w:rPr>
            </w:pPr>
            <w:r>
              <w:rPr>
                <w:rFonts w:ascii="Arial" w:hAnsi="Arial" w:cs="Arial"/>
                <w:b/>
                <w:color w:val="000000"/>
                <w:sz w:val="14"/>
                <w:szCs w:val="16"/>
                <w:lang w:eastAsia="es-AR"/>
              </w:rPr>
              <w:t>31/03/2020</w:t>
            </w:r>
          </w:p>
        </w:tc>
        <w:tc>
          <w:tcPr>
            <w:tcW w:w="996" w:type="dxa"/>
            <w:tcBorders>
              <w:top w:val="nil"/>
              <w:left w:val="nil"/>
              <w:bottom w:val="single" w:sz="8" w:space="0" w:color="auto"/>
              <w:right w:val="single" w:sz="8" w:space="0" w:color="auto"/>
            </w:tcBorders>
            <w:shd w:val="clear" w:color="auto" w:fill="auto"/>
            <w:vAlign w:val="center"/>
          </w:tcPr>
          <w:p w14:paraId="0698A143" w14:textId="0640AC18" w:rsidR="005A741E" w:rsidRPr="00701F32" w:rsidRDefault="005A741E" w:rsidP="005A741E">
            <w:pPr>
              <w:jc w:val="center"/>
              <w:rPr>
                <w:rFonts w:ascii="Arial" w:hAnsi="Arial" w:cs="Arial"/>
                <w:b/>
                <w:color w:val="000000"/>
                <w:sz w:val="14"/>
                <w:szCs w:val="16"/>
                <w:lang w:eastAsia="es-AR"/>
              </w:rPr>
            </w:pPr>
            <w:r>
              <w:rPr>
                <w:rFonts w:ascii="Arial" w:hAnsi="Arial" w:cs="Arial"/>
                <w:b/>
                <w:color w:val="000000"/>
                <w:sz w:val="14"/>
                <w:szCs w:val="16"/>
                <w:lang w:eastAsia="es-AR"/>
              </w:rPr>
              <w:t>31/12/2019</w:t>
            </w:r>
          </w:p>
        </w:tc>
      </w:tr>
      <w:tr w:rsidR="005A741E" w:rsidRPr="00701F32" w14:paraId="40ADACAE" w14:textId="77777777" w:rsidTr="00413D1F">
        <w:trPr>
          <w:trHeight w:val="261"/>
        </w:trPr>
        <w:tc>
          <w:tcPr>
            <w:tcW w:w="953" w:type="dxa"/>
            <w:tcBorders>
              <w:top w:val="nil"/>
              <w:left w:val="single" w:sz="8" w:space="0" w:color="auto"/>
              <w:bottom w:val="single" w:sz="8" w:space="0" w:color="auto"/>
              <w:right w:val="single" w:sz="8" w:space="0" w:color="auto"/>
            </w:tcBorders>
            <w:shd w:val="clear" w:color="auto" w:fill="auto"/>
            <w:noWrap/>
            <w:vAlign w:val="center"/>
            <w:hideMark/>
          </w:tcPr>
          <w:p w14:paraId="1779796F" w14:textId="77777777" w:rsidR="005A741E" w:rsidRPr="00701F32" w:rsidRDefault="005A741E" w:rsidP="005A741E">
            <w:pPr>
              <w:jc w:val="both"/>
              <w:rPr>
                <w:rFonts w:ascii="Arial" w:hAnsi="Arial" w:cs="Arial"/>
                <w:color w:val="000000"/>
                <w:sz w:val="14"/>
                <w:szCs w:val="16"/>
                <w:lang w:eastAsia="es-AR"/>
              </w:rPr>
            </w:pPr>
            <w:r w:rsidRPr="00701F32">
              <w:rPr>
                <w:rFonts w:ascii="Arial" w:hAnsi="Arial" w:cs="Arial"/>
                <w:color w:val="000000"/>
                <w:sz w:val="14"/>
                <w:szCs w:val="16"/>
                <w:lang w:eastAsia="es-AR"/>
              </w:rPr>
              <w:t>20/08/13</w:t>
            </w:r>
          </w:p>
        </w:tc>
        <w:tc>
          <w:tcPr>
            <w:tcW w:w="728" w:type="dxa"/>
            <w:tcBorders>
              <w:top w:val="nil"/>
              <w:left w:val="nil"/>
              <w:bottom w:val="single" w:sz="8" w:space="0" w:color="auto"/>
              <w:right w:val="single" w:sz="8" w:space="0" w:color="auto"/>
            </w:tcBorders>
            <w:shd w:val="clear" w:color="auto" w:fill="auto"/>
            <w:noWrap/>
            <w:vAlign w:val="center"/>
            <w:hideMark/>
          </w:tcPr>
          <w:p w14:paraId="2A345418" w14:textId="77777777" w:rsidR="005A741E" w:rsidRPr="00701F32" w:rsidRDefault="005A741E" w:rsidP="005A741E">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55" w:type="dxa"/>
            <w:tcBorders>
              <w:top w:val="nil"/>
              <w:left w:val="nil"/>
              <w:bottom w:val="single" w:sz="8" w:space="0" w:color="auto"/>
              <w:right w:val="single" w:sz="8" w:space="0" w:color="auto"/>
            </w:tcBorders>
            <w:shd w:val="clear" w:color="auto" w:fill="auto"/>
            <w:noWrap/>
            <w:vAlign w:val="center"/>
            <w:hideMark/>
          </w:tcPr>
          <w:p w14:paraId="348ADC1C" w14:textId="77777777" w:rsidR="005A741E" w:rsidRPr="00701F32" w:rsidRDefault="005A741E" w:rsidP="005A741E">
            <w:pPr>
              <w:jc w:val="both"/>
              <w:rPr>
                <w:rFonts w:ascii="Arial" w:hAnsi="Arial" w:cs="Arial"/>
                <w:color w:val="000000"/>
                <w:sz w:val="14"/>
                <w:szCs w:val="16"/>
                <w:lang w:eastAsia="es-AR"/>
              </w:rPr>
            </w:pPr>
            <w:r w:rsidRPr="00701F32">
              <w:rPr>
                <w:rFonts w:ascii="Arial" w:hAnsi="Arial" w:cs="Arial"/>
                <w:color w:val="000000"/>
                <w:sz w:val="14"/>
                <w:szCs w:val="16"/>
                <w:lang w:eastAsia="es-AR"/>
              </w:rPr>
              <w:t>III</w:t>
            </w:r>
          </w:p>
        </w:tc>
        <w:tc>
          <w:tcPr>
            <w:tcW w:w="846" w:type="dxa"/>
            <w:tcBorders>
              <w:top w:val="nil"/>
              <w:left w:val="nil"/>
              <w:bottom w:val="single" w:sz="8" w:space="0" w:color="auto"/>
              <w:right w:val="single" w:sz="8" w:space="0" w:color="auto"/>
            </w:tcBorders>
            <w:shd w:val="clear" w:color="auto" w:fill="auto"/>
            <w:noWrap/>
            <w:vAlign w:val="center"/>
            <w:hideMark/>
          </w:tcPr>
          <w:p w14:paraId="4E2AEB46" w14:textId="77777777" w:rsidR="005A741E" w:rsidRPr="00701F32" w:rsidRDefault="005A741E" w:rsidP="005A741E">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22.500</w:t>
            </w:r>
          </w:p>
        </w:tc>
        <w:tc>
          <w:tcPr>
            <w:tcW w:w="1188" w:type="dxa"/>
            <w:tcBorders>
              <w:top w:val="nil"/>
              <w:left w:val="nil"/>
              <w:bottom w:val="single" w:sz="8" w:space="0" w:color="auto"/>
              <w:right w:val="single" w:sz="8" w:space="0" w:color="auto"/>
            </w:tcBorders>
            <w:shd w:val="clear" w:color="auto" w:fill="auto"/>
            <w:vAlign w:val="center"/>
            <w:hideMark/>
          </w:tcPr>
          <w:p w14:paraId="5F90B2BF" w14:textId="77777777" w:rsidR="005A741E" w:rsidRPr="00701F32" w:rsidRDefault="005A741E" w:rsidP="005A741E">
            <w:pPr>
              <w:jc w:val="center"/>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50" w:type="dxa"/>
            <w:tcBorders>
              <w:top w:val="nil"/>
              <w:left w:val="nil"/>
              <w:bottom w:val="single" w:sz="8" w:space="0" w:color="auto"/>
              <w:right w:val="single" w:sz="8" w:space="0" w:color="auto"/>
            </w:tcBorders>
            <w:shd w:val="clear" w:color="auto" w:fill="auto"/>
            <w:noWrap/>
            <w:vAlign w:val="center"/>
            <w:hideMark/>
          </w:tcPr>
          <w:p w14:paraId="4D262CD1" w14:textId="15274CC1" w:rsidR="005A741E" w:rsidRPr="00701F32" w:rsidRDefault="005A741E" w:rsidP="005A741E">
            <w:pPr>
              <w:jc w:val="center"/>
              <w:rPr>
                <w:rFonts w:ascii="Arial" w:hAnsi="Arial" w:cs="Arial"/>
                <w:color w:val="000000"/>
                <w:sz w:val="14"/>
                <w:szCs w:val="16"/>
                <w:lang w:val="es-ES_tradnl" w:eastAsia="es-AR"/>
              </w:rPr>
            </w:pPr>
            <w:r w:rsidRPr="00701F32">
              <w:rPr>
                <w:rFonts w:ascii="Arial" w:hAnsi="Arial" w:cs="Arial"/>
                <w:color w:val="000000"/>
                <w:sz w:val="14"/>
                <w:szCs w:val="16"/>
                <w:lang w:eastAsia="es-AR"/>
              </w:rPr>
              <w:t>84 meses</w:t>
            </w:r>
          </w:p>
        </w:tc>
        <w:tc>
          <w:tcPr>
            <w:tcW w:w="1013" w:type="dxa"/>
            <w:tcBorders>
              <w:top w:val="nil"/>
              <w:left w:val="nil"/>
              <w:bottom w:val="single" w:sz="8" w:space="0" w:color="auto"/>
              <w:right w:val="single" w:sz="8" w:space="0" w:color="auto"/>
            </w:tcBorders>
            <w:shd w:val="clear" w:color="auto" w:fill="auto"/>
            <w:noWrap/>
            <w:vAlign w:val="center"/>
            <w:hideMark/>
          </w:tcPr>
          <w:p w14:paraId="4C922930" w14:textId="77777777" w:rsidR="005A741E" w:rsidRPr="00701F32" w:rsidRDefault="005A741E" w:rsidP="005A741E">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20/08/20</w:t>
            </w:r>
          </w:p>
        </w:tc>
        <w:tc>
          <w:tcPr>
            <w:tcW w:w="820" w:type="dxa"/>
            <w:tcBorders>
              <w:top w:val="nil"/>
              <w:left w:val="nil"/>
              <w:bottom w:val="single" w:sz="8" w:space="0" w:color="auto"/>
              <w:right w:val="single" w:sz="8" w:space="0" w:color="auto"/>
            </w:tcBorders>
            <w:shd w:val="clear" w:color="auto" w:fill="auto"/>
            <w:noWrap/>
            <w:vAlign w:val="center"/>
            <w:hideMark/>
          </w:tcPr>
          <w:p w14:paraId="1E42F96C" w14:textId="77777777" w:rsidR="005A741E" w:rsidRPr="00701F32" w:rsidRDefault="005A741E" w:rsidP="005A741E">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951" w:type="dxa"/>
            <w:tcBorders>
              <w:top w:val="nil"/>
              <w:left w:val="nil"/>
              <w:bottom w:val="single" w:sz="8" w:space="0" w:color="auto"/>
              <w:right w:val="single" w:sz="8" w:space="0" w:color="auto"/>
            </w:tcBorders>
            <w:shd w:val="clear" w:color="auto" w:fill="auto"/>
            <w:noWrap/>
            <w:vAlign w:val="center"/>
          </w:tcPr>
          <w:p w14:paraId="0A6755B1" w14:textId="7A16C50B" w:rsidR="005A741E" w:rsidRPr="00710EB6" w:rsidRDefault="005A741E" w:rsidP="005A741E">
            <w:pPr>
              <w:jc w:val="right"/>
              <w:rPr>
                <w:rFonts w:ascii="Arial" w:hAnsi="Arial" w:cs="Arial"/>
                <w:color w:val="000000"/>
                <w:sz w:val="14"/>
                <w:szCs w:val="14"/>
                <w:lang w:val="es-ES_tradnl" w:eastAsia="es-AR"/>
              </w:rPr>
            </w:pPr>
            <w:r>
              <w:rPr>
                <w:rFonts w:ascii="Arial" w:hAnsi="Arial" w:cs="Arial"/>
                <w:color w:val="000000"/>
                <w:sz w:val="14"/>
                <w:szCs w:val="14"/>
              </w:rPr>
              <w:t>1.022.611</w:t>
            </w:r>
          </w:p>
        </w:tc>
        <w:tc>
          <w:tcPr>
            <w:tcW w:w="996" w:type="dxa"/>
            <w:tcBorders>
              <w:top w:val="nil"/>
              <w:left w:val="nil"/>
              <w:bottom w:val="single" w:sz="8" w:space="0" w:color="auto"/>
              <w:right w:val="single" w:sz="8" w:space="0" w:color="auto"/>
            </w:tcBorders>
            <w:shd w:val="clear" w:color="auto" w:fill="auto"/>
            <w:noWrap/>
            <w:vAlign w:val="center"/>
          </w:tcPr>
          <w:p w14:paraId="394F1648" w14:textId="4CAAA11B" w:rsidR="005A741E" w:rsidRPr="006104DE" w:rsidRDefault="00021529" w:rsidP="005A741E">
            <w:pPr>
              <w:jc w:val="right"/>
              <w:rPr>
                <w:rFonts w:ascii="Arial" w:hAnsi="Arial" w:cs="Arial"/>
                <w:color w:val="000000"/>
                <w:sz w:val="14"/>
                <w:szCs w:val="14"/>
                <w:lang w:val="es-ES_tradnl" w:eastAsia="es-AR"/>
              </w:rPr>
            </w:pPr>
            <w:r>
              <w:rPr>
                <w:rFonts w:ascii="Arial" w:hAnsi="Arial" w:cs="Arial"/>
                <w:color w:val="000000"/>
                <w:sz w:val="14"/>
                <w:szCs w:val="14"/>
              </w:rPr>
              <w:t>1.410.231</w:t>
            </w:r>
          </w:p>
        </w:tc>
      </w:tr>
      <w:tr w:rsidR="005A741E" w:rsidRPr="00701F32" w14:paraId="5AC28450" w14:textId="77777777" w:rsidTr="00413D1F">
        <w:trPr>
          <w:trHeight w:val="261"/>
        </w:trPr>
        <w:tc>
          <w:tcPr>
            <w:tcW w:w="953" w:type="dxa"/>
            <w:tcBorders>
              <w:top w:val="nil"/>
              <w:left w:val="single" w:sz="8" w:space="0" w:color="auto"/>
              <w:bottom w:val="single" w:sz="8" w:space="0" w:color="auto"/>
              <w:right w:val="single" w:sz="8" w:space="0" w:color="auto"/>
            </w:tcBorders>
            <w:shd w:val="clear" w:color="auto" w:fill="auto"/>
            <w:noWrap/>
            <w:vAlign w:val="center"/>
            <w:hideMark/>
          </w:tcPr>
          <w:p w14:paraId="61C66D52" w14:textId="77777777" w:rsidR="005A741E" w:rsidRPr="00701F32" w:rsidRDefault="005A741E" w:rsidP="005A741E">
            <w:pPr>
              <w:jc w:val="both"/>
              <w:rPr>
                <w:rFonts w:ascii="Arial" w:hAnsi="Arial" w:cs="Arial"/>
                <w:color w:val="000000"/>
                <w:sz w:val="14"/>
                <w:szCs w:val="16"/>
                <w:lang w:eastAsia="es-AR"/>
              </w:rPr>
            </w:pPr>
            <w:r w:rsidRPr="00701F32">
              <w:rPr>
                <w:rFonts w:ascii="Arial" w:hAnsi="Arial" w:cs="Arial"/>
                <w:color w:val="000000"/>
                <w:sz w:val="14"/>
                <w:szCs w:val="16"/>
                <w:lang w:eastAsia="es-AR"/>
              </w:rPr>
              <w:t>18/11/14</w:t>
            </w:r>
          </w:p>
        </w:tc>
        <w:tc>
          <w:tcPr>
            <w:tcW w:w="728" w:type="dxa"/>
            <w:tcBorders>
              <w:top w:val="nil"/>
              <w:left w:val="nil"/>
              <w:bottom w:val="single" w:sz="8" w:space="0" w:color="auto"/>
              <w:right w:val="single" w:sz="8" w:space="0" w:color="auto"/>
            </w:tcBorders>
            <w:shd w:val="clear" w:color="auto" w:fill="auto"/>
            <w:noWrap/>
            <w:vAlign w:val="center"/>
            <w:hideMark/>
          </w:tcPr>
          <w:p w14:paraId="145CC207" w14:textId="77777777" w:rsidR="005A741E" w:rsidRPr="00701F32" w:rsidRDefault="005A741E" w:rsidP="005A741E">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55" w:type="dxa"/>
            <w:tcBorders>
              <w:top w:val="nil"/>
              <w:left w:val="nil"/>
              <w:bottom w:val="single" w:sz="8" w:space="0" w:color="auto"/>
              <w:right w:val="single" w:sz="8" w:space="0" w:color="auto"/>
            </w:tcBorders>
            <w:shd w:val="clear" w:color="auto" w:fill="auto"/>
            <w:noWrap/>
            <w:vAlign w:val="center"/>
            <w:hideMark/>
          </w:tcPr>
          <w:p w14:paraId="458C34D9" w14:textId="77777777" w:rsidR="005A741E" w:rsidRPr="00701F32" w:rsidRDefault="005A741E" w:rsidP="005A741E">
            <w:pPr>
              <w:jc w:val="both"/>
              <w:rPr>
                <w:rFonts w:ascii="Arial" w:hAnsi="Arial" w:cs="Arial"/>
                <w:color w:val="000000"/>
                <w:sz w:val="14"/>
                <w:szCs w:val="16"/>
                <w:lang w:eastAsia="es-AR"/>
              </w:rPr>
            </w:pPr>
            <w:r w:rsidRPr="00701F32">
              <w:rPr>
                <w:rFonts w:ascii="Arial" w:hAnsi="Arial" w:cs="Arial"/>
                <w:color w:val="000000"/>
                <w:sz w:val="14"/>
                <w:szCs w:val="16"/>
                <w:lang w:eastAsia="es-AR"/>
              </w:rPr>
              <w:t>IV</w:t>
            </w:r>
          </w:p>
        </w:tc>
        <w:tc>
          <w:tcPr>
            <w:tcW w:w="846" w:type="dxa"/>
            <w:tcBorders>
              <w:top w:val="nil"/>
              <w:left w:val="nil"/>
              <w:bottom w:val="single" w:sz="8" w:space="0" w:color="auto"/>
              <w:right w:val="single" w:sz="8" w:space="0" w:color="auto"/>
            </w:tcBorders>
            <w:shd w:val="clear" w:color="auto" w:fill="auto"/>
            <w:noWrap/>
            <w:vAlign w:val="center"/>
            <w:hideMark/>
          </w:tcPr>
          <w:p w14:paraId="2ED44C6A" w14:textId="77777777" w:rsidR="005A741E" w:rsidRPr="00701F32" w:rsidRDefault="005A741E" w:rsidP="005A741E">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13.441</w:t>
            </w:r>
          </w:p>
        </w:tc>
        <w:tc>
          <w:tcPr>
            <w:tcW w:w="1188" w:type="dxa"/>
            <w:tcBorders>
              <w:top w:val="nil"/>
              <w:left w:val="nil"/>
              <w:bottom w:val="single" w:sz="8" w:space="0" w:color="auto"/>
              <w:right w:val="single" w:sz="8" w:space="0" w:color="auto"/>
            </w:tcBorders>
            <w:shd w:val="clear" w:color="auto" w:fill="auto"/>
            <w:vAlign w:val="center"/>
            <w:hideMark/>
          </w:tcPr>
          <w:p w14:paraId="21844159" w14:textId="77777777" w:rsidR="005A741E" w:rsidRPr="00701F32" w:rsidRDefault="005A741E" w:rsidP="005A741E">
            <w:pPr>
              <w:jc w:val="center"/>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50" w:type="dxa"/>
            <w:tcBorders>
              <w:top w:val="nil"/>
              <w:left w:val="nil"/>
              <w:bottom w:val="single" w:sz="8" w:space="0" w:color="auto"/>
              <w:right w:val="single" w:sz="8" w:space="0" w:color="auto"/>
            </w:tcBorders>
            <w:shd w:val="clear" w:color="auto" w:fill="auto"/>
            <w:noWrap/>
            <w:vAlign w:val="center"/>
            <w:hideMark/>
          </w:tcPr>
          <w:p w14:paraId="69CBA7B4" w14:textId="7C98E195" w:rsidR="005A741E" w:rsidRPr="00701F32" w:rsidRDefault="005A741E" w:rsidP="005A741E">
            <w:pPr>
              <w:jc w:val="center"/>
              <w:rPr>
                <w:rFonts w:ascii="Arial" w:hAnsi="Arial" w:cs="Arial"/>
                <w:color w:val="000000"/>
                <w:sz w:val="14"/>
                <w:szCs w:val="16"/>
                <w:lang w:val="es-ES_tradnl" w:eastAsia="es-AR"/>
              </w:rPr>
            </w:pPr>
            <w:r w:rsidRPr="00701F32">
              <w:rPr>
                <w:rFonts w:ascii="Arial" w:hAnsi="Arial" w:cs="Arial"/>
                <w:color w:val="000000"/>
                <w:sz w:val="14"/>
                <w:szCs w:val="16"/>
                <w:lang w:eastAsia="es-AR"/>
              </w:rPr>
              <w:t>84 meses</w:t>
            </w:r>
          </w:p>
        </w:tc>
        <w:tc>
          <w:tcPr>
            <w:tcW w:w="1013" w:type="dxa"/>
            <w:tcBorders>
              <w:top w:val="nil"/>
              <w:left w:val="nil"/>
              <w:bottom w:val="single" w:sz="8" w:space="0" w:color="auto"/>
              <w:right w:val="single" w:sz="8" w:space="0" w:color="auto"/>
            </w:tcBorders>
            <w:shd w:val="clear" w:color="auto" w:fill="auto"/>
            <w:noWrap/>
            <w:vAlign w:val="center"/>
            <w:hideMark/>
          </w:tcPr>
          <w:p w14:paraId="44EDA352" w14:textId="77777777" w:rsidR="005A741E" w:rsidRPr="00701F32" w:rsidRDefault="005A741E" w:rsidP="005A741E">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18/11/21</w:t>
            </w:r>
          </w:p>
        </w:tc>
        <w:tc>
          <w:tcPr>
            <w:tcW w:w="820" w:type="dxa"/>
            <w:tcBorders>
              <w:top w:val="nil"/>
              <w:left w:val="nil"/>
              <w:bottom w:val="single" w:sz="8" w:space="0" w:color="auto"/>
              <w:right w:val="single" w:sz="8" w:space="0" w:color="auto"/>
            </w:tcBorders>
            <w:shd w:val="clear" w:color="auto" w:fill="auto"/>
            <w:noWrap/>
            <w:vAlign w:val="center"/>
            <w:hideMark/>
          </w:tcPr>
          <w:p w14:paraId="6B9F4F16" w14:textId="77777777" w:rsidR="005A741E" w:rsidRPr="00701F32" w:rsidRDefault="005A741E" w:rsidP="005A741E">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951" w:type="dxa"/>
            <w:tcBorders>
              <w:top w:val="nil"/>
              <w:left w:val="nil"/>
              <w:bottom w:val="single" w:sz="8" w:space="0" w:color="auto"/>
              <w:right w:val="single" w:sz="8" w:space="0" w:color="auto"/>
            </w:tcBorders>
            <w:shd w:val="clear" w:color="auto" w:fill="auto"/>
            <w:noWrap/>
            <w:vAlign w:val="center"/>
          </w:tcPr>
          <w:p w14:paraId="59A9F813" w14:textId="434546B9" w:rsidR="005A741E" w:rsidRPr="00710EB6" w:rsidRDefault="005A741E" w:rsidP="005A741E">
            <w:pPr>
              <w:jc w:val="right"/>
              <w:rPr>
                <w:rFonts w:ascii="Arial" w:hAnsi="Arial" w:cs="Arial"/>
                <w:color w:val="000000"/>
                <w:sz w:val="14"/>
                <w:szCs w:val="14"/>
                <w:lang w:val="es-ES_tradnl" w:eastAsia="es-AR"/>
              </w:rPr>
            </w:pPr>
            <w:r>
              <w:rPr>
                <w:rFonts w:ascii="Arial" w:hAnsi="Arial" w:cs="Arial"/>
                <w:color w:val="000000"/>
                <w:sz w:val="14"/>
                <w:szCs w:val="14"/>
              </w:rPr>
              <w:t>888.846</w:t>
            </w:r>
          </w:p>
        </w:tc>
        <w:tc>
          <w:tcPr>
            <w:tcW w:w="996" w:type="dxa"/>
            <w:tcBorders>
              <w:top w:val="nil"/>
              <w:left w:val="nil"/>
              <w:bottom w:val="single" w:sz="8" w:space="0" w:color="auto"/>
              <w:right w:val="single" w:sz="8" w:space="0" w:color="auto"/>
            </w:tcBorders>
            <w:shd w:val="clear" w:color="auto" w:fill="auto"/>
            <w:noWrap/>
            <w:vAlign w:val="center"/>
          </w:tcPr>
          <w:p w14:paraId="689EDF1F" w14:textId="48F37514" w:rsidR="005A741E" w:rsidRPr="006104DE" w:rsidRDefault="00021529" w:rsidP="005A741E">
            <w:pPr>
              <w:jc w:val="right"/>
              <w:rPr>
                <w:rFonts w:ascii="Arial" w:hAnsi="Arial" w:cs="Arial"/>
                <w:color w:val="000000"/>
                <w:sz w:val="14"/>
                <w:szCs w:val="14"/>
                <w:lang w:val="es-ES_tradnl" w:eastAsia="es-AR"/>
              </w:rPr>
            </w:pPr>
            <w:r>
              <w:rPr>
                <w:rFonts w:ascii="Arial" w:hAnsi="Arial" w:cs="Arial"/>
                <w:color w:val="000000"/>
                <w:sz w:val="14"/>
                <w:szCs w:val="14"/>
              </w:rPr>
              <w:t>875.008</w:t>
            </w:r>
          </w:p>
        </w:tc>
      </w:tr>
      <w:tr w:rsidR="005A741E" w:rsidRPr="00701F32" w14:paraId="074D792C" w14:textId="77777777" w:rsidTr="00413D1F">
        <w:trPr>
          <w:trHeight w:val="261"/>
        </w:trPr>
        <w:tc>
          <w:tcPr>
            <w:tcW w:w="6033" w:type="dxa"/>
            <w:gridSpan w:val="7"/>
            <w:tcBorders>
              <w:top w:val="single" w:sz="8" w:space="0" w:color="auto"/>
              <w:left w:val="nil"/>
              <w:bottom w:val="nil"/>
              <w:right w:val="single" w:sz="8" w:space="0" w:color="000000"/>
            </w:tcBorders>
            <w:shd w:val="clear" w:color="auto" w:fill="auto"/>
            <w:noWrap/>
            <w:vAlign w:val="center"/>
          </w:tcPr>
          <w:p w14:paraId="735AD876" w14:textId="77777777" w:rsidR="005A741E" w:rsidRPr="00701F32" w:rsidRDefault="005A741E" w:rsidP="005A741E">
            <w:pPr>
              <w:jc w:val="both"/>
              <w:rPr>
                <w:rFonts w:ascii="Arial" w:hAnsi="Arial" w:cs="Arial"/>
                <w:color w:val="000000"/>
                <w:sz w:val="14"/>
                <w:szCs w:val="16"/>
                <w:lang w:eastAsia="es-AR"/>
              </w:rPr>
            </w:pPr>
          </w:p>
        </w:tc>
        <w:tc>
          <w:tcPr>
            <w:tcW w:w="820" w:type="dxa"/>
            <w:tcBorders>
              <w:top w:val="nil"/>
              <w:left w:val="nil"/>
              <w:bottom w:val="single" w:sz="8" w:space="0" w:color="auto"/>
              <w:right w:val="single" w:sz="8" w:space="0" w:color="auto"/>
            </w:tcBorders>
            <w:shd w:val="clear" w:color="auto" w:fill="auto"/>
            <w:noWrap/>
            <w:vAlign w:val="center"/>
            <w:hideMark/>
          </w:tcPr>
          <w:p w14:paraId="7F2F1A2E" w14:textId="77777777" w:rsidR="005A741E" w:rsidRPr="00701F32" w:rsidRDefault="005A741E" w:rsidP="005A741E">
            <w:pPr>
              <w:jc w:val="both"/>
              <w:rPr>
                <w:rFonts w:ascii="Arial" w:hAnsi="Arial" w:cs="Arial"/>
                <w:b/>
                <w:bCs/>
                <w:color w:val="000000"/>
                <w:sz w:val="14"/>
                <w:szCs w:val="16"/>
                <w:lang w:eastAsia="es-AR"/>
              </w:rPr>
            </w:pPr>
            <w:r w:rsidRPr="00701F32">
              <w:rPr>
                <w:rFonts w:ascii="Arial" w:hAnsi="Arial" w:cs="Arial"/>
                <w:b/>
                <w:bCs/>
                <w:color w:val="000000"/>
                <w:sz w:val="14"/>
                <w:szCs w:val="16"/>
                <w:lang w:eastAsia="es-AR"/>
              </w:rPr>
              <w:t>Total</w:t>
            </w:r>
          </w:p>
        </w:tc>
        <w:tc>
          <w:tcPr>
            <w:tcW w:w="951" w:type="dxa"/>
            <w:tcBorders>
              <w:top w:val="nil"/>
              <w:left w:val="nil"/>
              <w:bottom w:val="single" w:sz="8" w:space="0" w:color="auto"/>
              <w:right w:val="single" w:sz="8" w:space="0" w:color="auto"/>
            </w:tcBorders>
            <w:shd w:val="clear" w:color="auto" w:fill="auto"/>
            <w:noWrap/>
            <w:vAlign w:val="center"/>
          </w:tcPr>
          <w:p w14:paraId="4D0C4588" w14:textId="61C6A8D9" w:rsidR="005A741E" w:rsidRPr="00B64F35" w:rsidRDefault="005A741E" w:rsidP="005A741E">
            <w:pPr>
              <w:jc w:val="right"/>
              <w:rPr>
                <w:rFonts w:ascii="Arial" w:hAnsi="Arial" w:cs="Arial"/>
                <w:b/>
                <w:bCs/>
                <w:color w:val="000000"/>
                <w:sz w:val="14"/>
                <w:szCs w:val="14"/>
                <w:lang w:val="es-ES_tradnl" w:eastAsia="es-AR"/>
              </w:rPr>
            </w:pPr>
            <w:r>
              <w:rPr>
                <w:rFonts w:ascii="Arial" w:hAnsi="Arial" w:cs="Arial"/>
                <w:b/>
                <w:bCs/>
                <w:color w:val="000000"/>
                <w:sz w:val="14"/>
                <w:szCs w:val="14"/>
                <w:lang w:eastAsia="es-AR"/>
              </w:rPr>
              <w:t>1.911.457</w:t>
            </w:r>
          </w:p>
        </w:tc>
        <w:tc>
          <w:tcPr>
            <w:tcW w:w="996" w:type="dxa"/>
            <w:tcBorders>
              <w:top w:val="nil"/>
              <w:left w:val="nil"/>
              <w:bottom w:val="single" w:sz="8" w:space="0" w:color="auto"/>
              <w:right w:val="single" w:sz="8" w:space="0" w:color="auto"/>
            </w:tcBorders>
            <w:shd w:val="clear" w:color="auto" w:fill="auto"/>
            <w:noWrap/>
            <w:vAlign w:val="center"/>
          </w:tcPr>
          <w:p w14:paraId="6AD43EC2" w14:textId="3EDF6C2A" w:rsidR="005A741E" w:rsidRPr="00B64F35" w:rsidRDefault="00021529" w:rsidP="005A741E">
            <w:pPr>
              <w:jc w:val="right"/>
              <w:rPr>
                <w:rFonts w:ascii="Arial" w:hAnsi="Arial" w:cs="Arial"/>
                <w:b/>
                <w:bCs/>
                <w:color w:val="000000"/>
                <w:sz w:val="14"/>
                <w:szCs w:val="14"/>
                <w:lang w:val="es-ES_tradnl" w:eastAsia="es-AR"/>
              </w:rPr>
            </w:pPr>
            <w:r>
              <w:rPr>
                <w:rFonts w:ascii="Arial" w:hAnsi="Arial" w:cs="Arial"/>
                <w:b/>
                <w:sz w:val="14"/>
                <w:szCs w:val="14"/>
              </w:rPr>
              <w:t>2.285.239</w:t>
            </w:r>
          </w:p>
        </w:tc>
      </w:tr>
    </w:tbl>
    <w:p w14:paraId="107E311B" w14:textId="77777777" w:rsidR="0097126F" w:rsidRDefault="0097126F" w:rsidP="00656E62">
      <w:pPr>
        <w:pStyle w:val="NoSpacing"/>
        <w:jc w:val="both"/>
        <w:rPr>
          <w:rFonts w:ascii="Arial" w:hAnsi="Arial" w:cs="Arial"/>
          <w:sz w:val="20"/>
          <w:szCs w:val="20"/>
        </w:rPr>
      </w:pPr>
    </w:p>
    <w:p w14:paraId="7D9BE627" w14:textId="77777777" w:rsidR="00044B2E" w:rsidRDefault="00044B2E" w:rsidP="00656E62">
      <w:pPr>
        <w:tabs>
          <w:tab w:val="left" w:pos="142"/>
        </w:tabs>
        <w:jc w:val="both"/>
        <w:rPr>
          <w:rFonts w:ascii="Arial" w:hAnsi="Arial" w:cs="Arial"/>
          <w:b/>
          <w:sz w:val="20"/>
        </w:rPr>
      </w:pPr>
    </w:p>
    <w:p w14:paraId="0AAECE78" w14:textId="707CC4EF" w:rsidR="00656E62" w:rsidRPr="00701F32" w:rsidRDefault="00D17399" w:rsidP="00656E62">
      <w:pPr>
        <w:tabs>
          <w:tab w:val="left" w:pos="142"/>
        </w:tabs>
        <w:jc w:val="both"/>
        <w:rPr>
          <w:rFonts w:ascii="Arial" w:hAnsi="Arial" w:cs="Arial"/>
          <w:b/>
          <w:sz w:val="20"/>
        </w:rPr>
      </w:pPr>
      <w:r w:rsidRPr="00BA7A6B">
        <w:rPr>
          <w:rFonts w:ascii="Arial" w:hAnsi="Arial" w:cs="Arial"/>
          <w:b/>
          <w:sz w:val="20"/>
        </w:rPr>
        <w:t>9</w:t>
      </w:r>
      <w:r w:rsidR="00656E62" w:rsidRPr="00BA7A6B">
        <w:rPr>
          <w:rFonts w:ascii="Arial" w:hAnsi="Arial" w:cs="Arial"/>
          <w:b/>
          <w:sz w:val="20"/>
        </w:rPr>
        <w:t>.9 Restricciones para la distribución de utilidades</w:t>
      </w:r>
    </w:p>
    <w:p w14:paraId="6F338D89" w14:textId="77777777" w:rsidR="00656E62" w:rsidRPr="00701F32" w:rsidRDefault="00656E62" w:rsidP="00656E62">
      <w:pPr>
        <w:tabs>
          <w:tab w:val="left" w:pos="142"/>
        </w:tabs>
        <w:jc w:val="both"/>
        <w:rPr>
          <w:rFonts w:ascii="Arial" w:hAnsi="Arial" w:cs="Arial"/>
          <w:b/>
          <w:sz w:val="20"/>
        </w:rPr>
      </w:pPr>
    </w:p>
    <w:p w14:paraId="74080ECF"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Conforme a las regulaciones establecidas por el B.C.R.A., corresponde asignar a reserva legal el 20% de las utilidades del ejercicio netas de los eventuales ajustes de ejercicios anteriores, en caso de corresponder.</w:t>
      </w:r>
    </w:p>
    <w:p w14:paraId="742D061E" w14:textId="77777777" w:rsidR="0049702C" w:rsidRPr="0049702C" w:rsidRDefault="0049702C" w:rsidP="0049702C">
      <w:pPr>
        <w:tabs>
          <w:tab w:val="left" w:pos="142"/>
        </w:tabs>
        <w:jc w:val="both"/>
        <w:rPr>
          <w:rFonts w:ascii="Arial" w:hAnsi="Arial" w:cs="Arial"/>
          <w:sz w:val="20"/>
        </w:rPr>
      </w:pPr>
    </w:p>
    <w:p w14:paraId="7E50B4E4"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Según lo estipulado en el texto ordenado sobre distribución de resultados, las entidades financieras deberán dar cumplimiento a una serie de requerimientos entre los que se destacan: i) No encontrarse alcanzada por las disposiciones de los artículos 34 y 35 bis de la Ley de Entidades Financieras, ii) No registrar asistencia por iliquidez, iii) No presentar atrasos o incumplimientos en los regímenes informativos, iv) No registrar deficiencias de integración de capital mínimo (sin computar a tales fines los efectos de las franquicias otorgadas por la Superintendencia de Entidades Financieras y Cambiarias) o de efectivo mínimo, v) haber dado cumplimiento a los márgenes adicionales de capital que les sean de aplicación.</w:t>
      </w:r>
    </w:p>
    <w:p w14:paraId="793882BD" w14:textId="77777777" w:rsidR="0049702C" w:rsidRPr="0049702C" w:rsidRDefault="0049702C" w:rsidP="0049702C">
      <w:pPr>
        <w:tabs>
          <w:tab w:val="left" w:pos="142"/>
        </w:tabs>
        <w:jc w:val="both"/>
        <w:rPr>
          <w:rFonts w:ascii="Arial" w:hAnsi="Arial" w:cs="Arial"/>
          <w:sz w:val="20"/>
        </w:rPr>
      </w:pPr>
    </w:p>
    <w:p w14:paraId="07FC8CDE"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Las entidades no comprendidas en algunas de estas situaciones podrán distribuir resultados con arreglo a las regulaciones establecidas en dicho texto ordenado, siempre y cuando no se comprometa la liquidez y solvencia de la entidad.</w:t>
      </w:r>
    </w:p>
    <w:p w14:paraId="7EB4CC07" w14:textId="77777777" w:rsidR="0049702C" w:rsidRPr="0049702C" w:rsidRDefault="0049702C" w:rsidP="0049702C">
      <w:pPr>
        <w:tabs>
          <w:tab w:val="left" w:pos="142"/>
        </w:tabs>
        <w:jc w:val="both"/>
        <w:rPr>
          <w:rFonts w:ascii="Arial" w:hAnsi="Arial" w:cs="Arial"/>
          <w:sz w:val="20"/>
        </w:rPr>
      </w:pPr>
    </w:p>
    <w:p w14:paraId="79042F43"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Cabe aclarar que a través de la Comunicación “A” 6464 el B.C.R.A. estableció que hasta el 31 de marzo de 2020 deberán contar con la autorización previa de la SEFyC para la distribución de resultados las entidades financieras que, para determinar el resultado distribuible, no hayan incrementado los márgenes de conservación de capital en 1 punto porcentual adicional a lo establecido en las normas.</w:t>
      </w:r>
    </w:p>
    <w:p w14:paraId="30960DF5" w14:textId="77777777" w:rsidR="0049702C" w:rsidRPr="0049702C" w:rsidRDefault="0049702C" w:rsidP="0049702C">
      <w:pPr>
        <w:tabs>
          <w:tab w:val="left" w:pos="142"/>
        </w:tabs>
        <w:jc w:val="both"/>
        <w:rPr>
          <w:rFonts w:ascii="Arial" w:hAnsi="Arial" w:cs="Arial"/>
          <w:sz w:val="20"/>
        </w:rPr>
      </w:pPr>
    </w:p>
    <w:p w14:paraId="07A24A25" w14:textId="77777777" w:rsidR="0049702C" w:rsidRPr="0049702C" w:rsidRDefault="0049702C" w:rsidP="0049702C">
      <w:pPr>
        <w:tabs>
          <w:tab w:val="left" w:pos="142"/>
        </w:tabs>
        <w:jc w:val="both"/>
        <w:rPr>
          <w:rFonts w:ascii="Arial" w:hAnsi="Arial" w:cs="Arial"/>
          <w:sz w:val="20"/>
        </w:rPr>
      </w:pPr>
      <w:r w:rsidRPr="0049702C">
        <w:rPr>
          <w:rFonts w:ascii="Arial" w:hAnsi="Arial" w:cs="Arial"/>
          <w:sz w:val="20"/>
        </w:rPr>
        <w:t>En fecha 30 de agosto de 2019 y con el objetivo de estabilizar el mercado cambiario, el B.C.R.A. dispuso mediante la Comunicación “A” 6768 que las entidades financieras para proceder a la distribución de sus resultados deberán contar con la autorización previa de la Superintendencia de Entidades Financieras y Cambiarias.  En dicho proceso de autorización la Entidad de Contralor tendrá en consideración, entre otros elementos, los potenciales efectos de la aplicación de las normas internacionales de contabilidad según Comunicación "A" 6430 (Punto 5.5. de NIIF 9 - Deterioro de valor de activos financieros) como también los efectos de la reexpresión de estados financieros prevista por la Comunicación "A" 6651.</w:t>
      </w:r>
    </w:p>
    <w:p w14:paraId="7803349F" w14:textId="77777777" w:rsidR="0049702C" w:rsidRPr="0049702C" w:rsidRDefault="0049702C" w:rsidP="0049702C">
      <w:pPr>
        <w:tabs>
          <w:tab w:val="left" w:pos="142"/>
        </w:tabs>
        <w:jc w:val="both"/>
        <w:rPr>
          <w:rFonts w:ascii="Arial" w:hAnsi="Arial" w:cs="Arial"/>
          <w:sz w:val="20"/>
        </w:rPr>
      </w:pPr>
    </w:p>
    <w:p w14:paraId="290EBD64" w14:textId="6A9781CD" w:rsidR="0049702C" w:rsidRPr="00701F32" w:rsidRDefault="0049702C" w:rsidP="0049702C">
      <w:pPr>
        <w:tabs>
          <w:tab w:val="left" w:pos="142"/>
        </w:tabs>
        <w:jc w:val="both"/>
        <w:rPr>
          <w:rFonts w:ascii="Arial" w:hAnsi="Arial" w:cs="Arial"/>
          <w:sz w:val="20"/>
        </w:rPr>
      </w:pPr>
      <w:r w:rsidRPr="0049702C">
        <w:rPr>
          <w:rFonts w:ascii="Arial" w:hAnsi="Arial" w:cs="Arial"/>
          <w:sz w:val="20"/>
        </w:rPr>
        <w:t>Con fecha 19 de marzo de 2020, el B.C.R.A. dispuso mediante la Comunicación “A” 6939, la suspensión de la distribución de resultados de las entidades financieras hasta el 30.6.2020.</w:t>
      </w:r>
    </w:p>
    <w:p w14:paraId="6133F31F" w14:textId="35F41A94" w:rsidR="00861D9E" w:rsidRDefault="00861D9E" w:rsidP="00066653">
      <w:pPr>
        <w:tabs>
          <w:tab w:val="left" w:pos="142"/>
        </w:tabs>
        <w:jc w:val="both"/>
      </w:pPr>
    </w:p>
    <w:p w14:paraId="43E00FD1" w14:textId="17733182" w:rsidR="006C1D52" w:rsidRPr="00701F32" w:rsidRDefault="006C1D52" w:rsidP="00534414">
      <w:pPr>
        <w:spacing w:after="160" w:line="259" w:lineRule="auto"/>
        <w:jc w:val="both"/>
        <w:rPr>
          <w:rFonts w:ascii="Arial" w:eastAsia="Calibri" w:hAnsi="Arial" w:cs="Arial"/>
          <w:sz w:val="20"/>
        </w:rPr>
      </w:pPr>
      <w:r w:rsidRPr="00BA7A6B">
        <w:rPr>
          <w:rFonts w:ascii="Arial" w:eastAsia="Calibri" w:hAnsi="Arial" w:cs="Arial"/>
          <w:b/>
          <w:sz w:val="20"/>
        </w:rPr>
        <w:lastRenderedPageBreak/>
        <w:t>10. PROPIEDAD, PLANTA Y EQUIPOS</w:t>
      </w:r>
      <w:r w:rsidRPr="00701F32">
        <w:rPr>
          <w:rFonts w:ascii="Arial" w:eastAsia="Calibri" w:hAnsi="Arial" w:cs="Arial"/>
          <w:b/>
          <w:sz w:val="20"/>
        </w:rPr>
        <w:t xml:space="preserve"> </w:t>
      </w:r>
    </w:p>
    <w:p w14:paraId="207868DE" w14:textId="6844C2CF" w:rsidR="00044B2E" w:rsidRDefault="006C1D52" w:rsidP="00534414">
      <w:pPr>
        <w:spacing w:after="160" w:line="259" w:lineRule="auto"/>
        <w:jc w:val="both"/>
        <w:rPr>
          <w:rFonts w:ascii="Arial" w:eastAsia="Calibri" w:hAnsi="Arial" w:cs="Arial"/>
          <w:sz w:val="20"/>
        </w:rPr>
      </w:pPr>
      <w:r w:rsidRPr="00701F32">
        <w:rPr>
          <w:rFonts w:ascii="Arial" w:eastAsia="Calibri" w:hAnsi="Arial" w:cs="Arial"/>
          <w:sz w:val="20"/>
        </w:rPr>
        <w:t xml:space="preserve">Los movimientos en propiedad, planta y equipo para el </w:t>
      </w:r>
      <w:r>
        <w:rPr>
          <w:rFonts w:ascii="Arial" w:eastAsia="Calibri" w:hAnsi="Arial" w:cs="Arial"/>
          <w:sz w:val="20"/>
        </w:rPr>
        <w:t>período</w:t>
      </w:r>
      <w:r w:rsidR="007F209B">
        <w:rPr>
          <w:rFonts w:ascii="Arial" w:eastAsia="Calibri" w:hAnsi="Arial" w:cs="Arial"/>
          <w:sz w:val="20"/>
        </w:rPr>
        <w:t xml:space="preserve"> finalizado el 3</w:t>
      </w:r>
      <w:r w:rsidR="00E067D5">
        <w:rPr>
          <w:rFonts w:ascii="Arial" w:eastAsia="Calibri" w:hAnsi="Arial" w:cs="Arial"/>
          <w:sz w:val="20"/>
        </w:rPr>
        <w:t>1</w:t>
      </w:r>
      <w:r w:rsidRPr="00701F32">
        <w:rPr>
          <w:rFonts w:ascii="Arial" w:eastAsia="Calibri" w:hAnsi="Arial" w:cs="Arial"/>
          <w:sz w:val="20"/>
        </w:rPr>
        <w:t xml:space="preserve"> de </w:t>
      </w:r>
      <w:r w:rsidR="00323E06">
        <w:rPr>
          <w:rFonts w:ascii="Arial" w:eastAsia="Calibri" w:hAnsi="Arial" w:cs="Arial"/>
          <w:sz w:val="20"/>
        </w:rPr>
        <w:t>m</w:t>
      </w:r>
      <w:r w:rsidR="00E067D5">
        <w:rPr>
          <w:rFonts w:ascii="Arial" w:eastAsia="Calibri" w:hAnsi="Arial" w:cs="Arial"/>
          <w:sz w:val="20"/>
        </w:rPr>
        <w:t>arzo</w:t>
      </w:r>
      <w:r>
        <w:rPr>
          <w:rFonts w:ascii="Arial" w:eastAsia="Calibri" w:hAnsi="Arial" w:cs="Arial"/>
          <w:sz w:val="20"/>
        </w:rPr>
        <w:t xml:space="preserve"> de 20</w:t>
      </w:r>
      <w:r w:rsidR="00E067D5">
        <w:rPr>
          <w:rFonts w:ascii="Arial" w:eastAsia="Calibri" w:hAnsi="Arial" w:cs="Arial"/>
          <w:sz w:val="20"/>
        </w:rPr>
        <w:t>20</w:t>
      </w:r>
      <w:r w:rsidRPr="00701F32">
        <w:rPr>
          <w:rFonts w:ascii="Arial" w:eastAsia="Calibri" w:hAnsi="Arial" w:cs="Arial"/>
          <w:sz w:val="20"/>
        </w:rPr>
        <w:t xml:space="preserve"> fueron los siguientes</w:t>
      </w:r>
      <w:r>
        <w:rPr>
          <w:rFonts w:ascii="Arial" w:eastAsia="Calibri" w:hAnsi="Arial" w:cs="Arial"/>
          <w:sz w:val="20"/>
        </w:rPr>
        <w:t>:</w:t>
      </w:r>
    </w:p>
    <w:tbl>
      <w:tblPr>
        <w:tblW w:w="9459" w:type="dxa"/>
        <w:tblCellMar>
          <w:left w:w="70" w:type="dxa"/>
          <w:right w:w="70" w:type="dxa"/>
        </w:tblCellMar>
        <w:tblLook w:val="04A0" w:firstRow="1" w:lastRow="0" w:firstColumn="1" w:lastColumn="0" w:noHBand="0" w:noVBand="1"/>
      </w:tblPr>
      <w:tblGrid>
        <w:gridCol w:w="1216"/>
        <w:gridCol w:w="1002"/>
        <w:gridCol w:w="873"/>
        <w:gridCol w:w="965"/>
        <w:gridCol w:w="647"/>
        <w:gridCol w:w="732"/>
        <w:gridCol w:w="895"/>
        <w:gridCol w:w="685"/>
        <w:gridCol w:w="722"/>
        <w:gridCol w:w="849"/>
        <w:gridCol w:w="873"/>
      </w:tblGrid>
      <w:tr w:rsidR="000047EA" w:rsidRPr="000047EA" w14:paraId="5DB3E7CC" w14:textId="77777777" w:rsidTr="00F30223">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F60020"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Concepto</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6FD50B"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Valor de origen al inicio del ejercicio</w:t>
            </w:r>
          </w:p>
        </w:tc>
        <w:tc>
          <w:tcPr>
            <w:tcW w:w="8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4CE5EE"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Vida Útil total estimada en años</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1DBA9F"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Revaluación</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8D3376"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Altas</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FC1D92"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Bajas</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79072C7F"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Depreciación</w:t>
            </w:r>
          </w:p>
        </w:tc>
        <w:tc>
          <w:tcPr>
            <w:tcW w:w="8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4308C3"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Valor residual al cierre del período</w:t>
            </w:r>
          </w:p>
        </w:tc>
      </w:tr>
      <w:tr w:rsidR="000047EA" w:rsidRPr="000047EA" w14:paraId="10E8530A" w14:textId="77777777" w:rsidTr="00F3022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D05779" w14:textId="77777777" w:rsidR="000047EA" w:rsidRPr="000047EA" w:rsidRDefault="000047EA" w:rsidP="000047EA">
            <w:pPr>
              <w:rPr>
                <w:rFonts w:ascii="Arial" w:hAnsi="Arial" w:cs="Arial"/>
                <w:b/>
                <w:bCs/>
                <w:color w:val="000000"/>
                <w:sz w:val="14"/>
                <w:szCs w:val="14"/>
                <w:lang w:eastAsia="es-A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B8990C" w14:textId="77777777" w:rsidR="000047EA" w:rsidRPr="000047EA" w:rsidRDefault="000047EA" w:rsidP="000047EA">
            <w:pPr>
              <w:rPr>
                <w:rFonts w:ascii="Arial" w:hAnsi="Arial" w:cs="Arial"/>
                <w:b/>
                <w:bCs/>
                <w:color w:val="000000"/>
                <w:sz w:val="14"/>
                <w:szCs w:val="14"/>
                <w:lang w:eastAsia="es-AR"/>
              </w:rPr>
            </w:pPr>
          </w:p>
        </w:tc>
        <w:tc>
          <w:tcPr>
            <w:tcW w:w="873" w:type="dxa"/>
            <w:vMerge/>
            <w:tcBorders>
              <w:top w:val="single" w:sz="4" w:space="0" w:color="auto"/>
              <w:left w:val="single" w:sz="4" w:space="0" w:color="auto"/>
              <w:bottom w:val="single" w:sz="4" w:space="0" w:color="000000"/>
              <w:right w:val="single" w:sz="4" w:space="0" w:color="auto"/>
            </w:tcBorders>
            <w:vAlign w:val="center"/>
            <w:hideMark/>
          </w:tcPr>
          <w:p w14:paraId="4CD41DE7" w14:textId="77777777" w:rsidR="000047EA" w:rsidRPr="000047EA" w:rsidRDefault="000047EA" w:rsidP="000047EA">
            <w:pPr>
              <w:rPr>
                <w:rFonts w:ascii="Arial" w:hAnsi="Arial" w:cs="Arial"/>
                <w:b/>
                <w:bCs/>
                <w:color w:val="000000"/>
                <w:sz w:val="14"/>
                <w:szCs w:val="14"/>
                <w:lang w:eastAsia="es-A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08BF7C5" w14:textId="77777777" w:rsidR="000047EA" w:rsidRPr="000047EA" w:rsidRDefault="000047EA" w:rsidP="000047EA">
            <w:pPr>
              <w:rPr>
                <w:rFonts w:ascii="Arial" w:hAnsi="Arial" w:cs="Arial"/>
                <w:b/>
                <w:bCs/>
                <w:color w:val="000000"/>
                <w:sz w:val="14"/>
                <w:szCs w:val="14"/>
                <w:lang w:eastAsia="es-A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ACF3AC" w14:textId="77777777" w:rsidR="000047EA" w:rsidRPr="000047EA" w:rsidRDefault="000047EA" w:rsidP="000047EA">
            <w:pPr>
              <w:rPr>
                <w:rFonts w:ascii="Arial" w:hAnsi="Arial" w:cs="Arial"/>
                <w:b/>
                <w:bCs/>
                <w:color w:val="000000"/>
                <w:sz w:val="14"/>
                <w:szCs w:val="14"/>
                <w:lang w:eastAsia="es-A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0CBC51" w14:textId="77777777" w:rsidR="000047EA" w:rsidRPr="000047EA" w:rsidRDefault="000047EA" w:rsidP="000047EA">
            <w:pPr>
              <w:rPr>
                <w:rFonts w:ascii="Arial" w:hAnsi="Arial" w:cs="Arial"/>
                <w:b/>
                <w:bCs/>
                <w:color w:val="000000"/>
                <w:sz w:val="14"/>
                <w:szCs w:val="14"/>
                <w:lang w:eastAsia="es-AR"/>
              </w:rPr>
            </w:pPr>
          </w:p>
        </w:tc>
        <w:tc>
          <w:tcPr>
            <w:tcW w:w="0" w:type="auto"/>
            <w:tcBorders>
              <w:top w:val="nil"/>
              <w:left w:val="nil"/>
              <w:bottom w:val="single" w:sz="4" w:space="0" w:color="auto"/>
              <w:right w:val="single" w:sz="4" w:space="0" w:color="auto"/>
            </w:tcBorders>
            <w:shd w:val="clear" w:color="auto" w:fill="auto"/>
            <w:vAlign w:val="center"/>
            <w:hideMark/>
          </w:tcPr>
          <w:p w14:paraId="65A1428F"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Acumulada</w:t>
            </w:r>
          </w:p>
        </w:tc>
        <w:tc>
          <w:tcPr>
            <w:tcW w:w="0" w:type="auto"/>
            <w:tcBorders>
              <w:top w:val="nil"/>
              <w:left w:val="nil"/>
              <w:bottom w:val="single" w:sz="4" w:space="0" w:color="auto"/>
              <w:right w:val="single" w:sz="4" w:space="0" w:color="auto"/>
            </w:tcBorders>
            <w:shd w:val="clear" w:color="auto" w:fill="auto"/>
            <w:vAlign w:val="center"/>
            <w:hideMark/>
          </w:tcPr>
          <w:p w14:paraId="768342E9"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Baja</w:t>
            </w:r>
          </w:p>
        </w:tc>
        <w:tc>
          <w:tcPr>
            <w:tcW w:w="0" w:type="auto"/>
            <w:tcBorders>
              <w:top w:val="nil"/>
              <w:left w:val="nil"/>
              <w:bottom w:val="single" w:sz="4" w:space="0" w:color="auto"/>
              <w:right w:val="single" w:sz="4" w:space="0" w:color="auto"/>
            </w:tcBorders>
            <w:shd w:val="clear" w:color="auto" w:fill="auto"/>
            <w:vAlign w:val="center"/>
            <w:hideMark/>
          </w:tcPr>
          <w:p w14:paraId="24AAD21E"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Del período</w:t>
            </w:r>
          </w:p>
        </w:tc>
        <w:tc>
          <w:tcPr>
            <w:tcW w:w="0" w:type="auto"/>
            <w:tcBorders>
              <w:top w:val="nil"/>
              <w:left w:val="nil"/>
              <w:bottom w:val="single" w:sz="4" w:space="0" w:color="auto"/>
              <w:right w:val="single" w:sz="4" w:space="0" w:color="auto"/>
            </w:tcBorders>
            <w:shd w:val="clear" w:color="auto" w:fill="auto"/>
            <w:vAlign w:val="center"/>
            <w:hideMark/>
          </w:tcPr>
          <w:p w14:paraId="484B8AE9" w14:textId="77777777" w:rsidR="000047EA" w:rsidRPr="000047EA" w:rsidRDefault="000047EA" w:rsidP="000047EA">
            <w:pPr>
              <w:jc w:val="center"/>
              <w:rPr>
                <w:rFonts w:ascii="Arial" w:hAnsi="Arial" w:cs="Arial"/>
                <w:b/>
                <w:bCs/>
                <w:color w:val="000000"/>
                <w:sz w:val="14"/>
                <w:szCs w:val="14"/>
                <w:lang w:eastAsia="es-AR"/>
              </w:rPr>
            </w:pPr>
            <w:r w:rsidRPr="000047EA">
              <w:rPr>
                <w:rFonts w:ascii="Arial" w:hAnsi="Arial" w:cs="Arial"/>
                <w:b/>
                <w:bCs/>
                <w:color w:val="000000"/>
                <w:sz w:val="14"/>
                <w:szCs w:val="14"/>
                <w:lang w:eastAsia="es-AR"/>
              </w:rPr>
              <w:t>Al cierre</w:t>
            </w:r>
          </w:p>
        </w:tc>
        <w:tc>
          <w:tcPr>
            <w:tcW w:w="873" w:type="dxa"/>
            <w:vMerge/>
            <w:tcBorders>
              <w:top w:val="single" w:sz="4" w:space="0" w:color="auto"/>
              <w:left w:val="single" w:sz="4" w:space="0" w:color="auto"/>
              <w:bottom w:val="single" w:sz="4" w:space="0" w:color="000000"/>
              <w:right w:val="single" w:sz="4" w:space="0" w:color="auto"/>
            </w:tcBorders>
            <w:vAlign w:val="center"/>
            <w:hideMark/>
          </w:tcPr>
          <w:p w14:paraId="151CE776" w14:textId="77777777" w:rsidR="000047EA" w:rsidRPr="000047EA" w:rsidRDefault="000047EA" w:rsidP="000047EA">
            <w:pPr>
              <w:rPr>
                <w:rFonts w:ascii="Arial" w:hAnsi="Arial" w:cs="Arial"/>
                <w:b/>
                <w:bCs/>
                <w:color w:val="000000"/>
                <w:sz w:val="14"/>
                <w:szCs w:val="14"/>
                <w:lang w:eastAsia="es-AR"/>
              </w:rPr>
            </w:pPr>
          </w:p>
        </w:tc>
      </w:tr>
      <w:tr w:rsidR="000047EA" w:rsidRPr="000047EA" w14:paraId="46E2AEA8" w14:textId="77777777" w:rsidTr="00F30223">
        <w:trPr>
          <w:trHeight w:val="300"/>
        </w:trPr>
        <w:tc>
          <w:tcPr>
            <w:tcW w:w="945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BC670D0" w14:textId="77777777" w:rsidR="000047EA" w:rsidRPr="000047EA" w:rsidRDefault="000047EA" w:rsidP="000047EA">
            <w:pPr>
              <w:rPr>
                <w:rFonts w:ascii="Arial" w:hAnsi="Arial" w:cs="Arial"/>
                <w:b/>
                <w:bCs/>
                <w:color w:val="000000"/>
                <w:sz w:val="14"/>
                <w:szCs w:val="14"/>
                <w:lang w:eastAsia="es-AR"/>
              </w:rPr>
            </w:pPr>
            <w:r w:rsidRPr="000047EA">
              <w:rPr>
                <w:rFonts w:ascii="Arial" w:hAnsi="Arial" w:cs="Arial"/>
                <w:b/>
                <w:bCs/>
                <w:color w:val="000000"/>
                <w:sz w:val="14"/>
                <w:szCs w:val="14"/>
                <w:lang w:eastAsia="es-AR"/>
              </w:rPr>
              <w:t>Medición a costo</w:t>
            </w:r>
          </w:p>
        </w:tc>
      </w:tr>
      <w:tr w:rsidR="00834FC0" w:rsidRPr="000047EA" w14:paraId="664C74BD" w14:textId="77777777" w:rsidTr="00834F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534DBC" w14:textId="77777777" w:rsidR="00834FC0" w:rsidRPr="00323E06" w:rsidRDefault="00834FC0" w:rsidP="00834FC0">
            <w:pPr>
              <w:rPr>
                <w:rFonts w:ascii="Arial" w:hAnsi="Arial" w:cs="Arial"/>
                <w:sz w:val="14"/>
                <w:szCs w:val="14"/>
                <w:lang w:eastAsia="es-AR"/>
              </w:rPr>
            </w:pPr>
            <w:r w:rsidRPr="00323E06">
              <w:rPr>
                <w:rFonts w:ascii="Arial" w:hAnsi="Arial" w:cs="Arial"/>
                <w:sz w:val="14"/>
                <w:szCs w:val="14"/>
                <w:lang w:eastAsia="es-AR"/>
              </w:rPr>
              <w:t>- Mobiliario e Instalaciones</w:t>
            </w:r>
          </w:p>
        </w:tc>
        <w:tc>
          <w:tcPr>
            <w:tcW w:w="0" w:type="auto"/>
            <w:tcBorders>
              <w:top w:val="nil"/>
              <w:left w:val="nil"/>
              <w:bottom w:val="single" w:sz="4" w:space="0" w:color="auto"/>
              <w:right w:val="single" w:sz="4" w:space="0" w:color="auto"/>
            </w:tcBorders>
            <w:shd w:val="clear" w:color="auto" w:fill="auto"/>
            <w:noWrap/>
            <w:vAlign w:val="center"/>
            <w:hideMark/>
          </w:tcPr>
          <w:p w14:paraId="73D9CB95" w14:textId="25BB5B6F" w:rsidR="00834FC0"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lang w:eastAsia="es-AR"/>
              </w:rPr>
              <w:t>992.644</w:t>
            </w:r>
          </w:p>
        </w:tc>
        <w:tc>
          <w:tcPr>
            <w:tcW w:w="873" w:type="dxa"/>
            <w:tcBorders>
              <w:top w:val="nil"/>
              <w:left w:val="nil"/>
              <w:bottom w:val="single" w:sz="4" w:space="0" w:color="auto"/>
              <w:right w:val="single" w:sz="4" w:space="0" w:color="auto"/>
            </w:tcBorders>
            <w:shd w:val="clear" w:color="auto" w:fill="auto"/>
            <w:noWrap/>
            <w:vAlign w:val="center"/>
            <w:hideMark/>
          </w:tcPr>
          <w:p w14:paraId="05640C5E" w14:textId="4F01F7C9" w:rsidR="00834FC0" w:rsidRPr="00323E06" w:rsidRDefault="00834FC0" w:rsidP="00834FC0">
            <w:pPr>
              <w:jc w:val="center"/>
              <w:rPr>
                <w:rFonts w:ascii="Arial" w:hAnsi="Arial" w:cs="Arial"/>
                <w:sz w:val="14"/>
                <w:szCs w:val="14"/>
                <w:lang w:eastAsia="es-AR"/>
              </w:rPr>
            </w:pPr>
            <w:r w:rsidRPr="00323E06">
              <w:rPr>
                <w:rFonts w:ascii="Arial" w:hAnsi="Arial" w:cs="Arial"/>
                <w:sz w:val="14"/>
                <w:szCs w:val="14"/>
                <w:lang w:eastAsia="es-AR"/>
              </w:rPr>
              <w:t>10</w:t>
            </w:r>
          </w:p>
        </w:tc>
        <w:tc>
          <w:tcPr>
            <w:tcW w:w="0" w:type="auto"/>
            <w:tcBorders>
              <w:top w:val="nil"/>
              <w:left w:val="nil"/>
              <w:bottom w:val="single" w:sz="4" w:space="0" w:color="auto"/>
              <w:right w:val="single" w:sz="4" w:space="0" w:color="auto"/>
            </w:tcBorders>
            <w:shd w:val="clear" w:color="auto" w:fill="auto"/>
            <w:vAlign w:val="center"/>
            <w:hideMark/>
          </w:tcPr>
          <w:p w14:paraId="6A3B2D1D" w14:textId="356B5370" w:rsidR="00834FC0" w:rsidRPr="00323E06" w:rsidRDefault="00834FC0" w:rsidP="00834FC0">
            <w:pPr>
              <w:jc w:val="right"/>
              <w:rPr>
                <w:sz w:val="20"/>
                <w:lang w:eastAsia="es-AR"/>
              </w:rPr>
            </w:pPr>
            <w:r w:rsidRPr="00323E06">
              <w:rPr>
                <w:sz w:val="20"/>
                <w:lang w:eastAsia="es-AR"/>
              </w:rPr>
              <w:t>-</w:t>
            </w:r>
          </w:p>
        </w:tc>
        <w:tc>
          <w:tcPr>
            <w:tcW w:w="0" w:type="auto"/>
            <w:tcBorders>
              <w:top w:val="nil"/>
              <w:left w:val="nil"/>
              <w:bottom w:val="single" w:sz="4" w:space="0" w:color="auto"/>
              <w:right w:val="single" w:sz="4" w:space="0" w:color="auto"/>
            </w:tcBorders>
            <w:shd w:val="clear" w:color="auto" w:fill="auto"/>
            <w:noWrap/>
            <w:vAlign w:val="center"/>
            <w:hideMark/>
          </w:tcPr>
          <w:p w14:paraId="7B3EAFDC" w14:textId="4142ECEC"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0C46F7" w:rsidRPr="00323E06">
              <w:rPr>
                <w:rFonts w:ascii="Arial" w:hAnsi="Arial" w:cs="Arial"/>
                <w:b/>
                <w:bCs/>
                <w:sz w:val="14"/>
                <w:szCs w:val="14"/>
                <w:lang w:eastAsia="es-AR"/>
              </w:rPr>
              <w:t>1</w:t>
            </w:r>
            <w:r w:rsidR="00D32C56" w:rsidRPr="00323E06">
              <w:rPr>
                <w:rFonts w:ascii="Arial" w:hAnsi="Arial" w:cs="Arial"/>
                <w:b/>
                <w:bCs/>
                <w:sz w:val="14"/>
                <w:szCs w:val="14"/>
                <w:lang w:eastAsia="es-AR"/>
              </w:rPr>
              <w:t>.448</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EED9491" w14:textId="75EFA852"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-1</w:t>
            </w:r>
            <w:r w:rsidR="004867FC" w:rsidRPr="00323E06">
              <w:rPr>
                <w:rFonts w:ascii="Arial" w:hAnsi="Arial" w:cs="Arial"/>
                <w:b/>
                <w:bCs/>
                <w:sz w:val="14"/>
                <w:szCs w:val="14"/>
                <w:lang w:eastAsia="es-AR"/>
              </w:rPr>
              <w:t>08.390</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B694C13" w14:textId="0F946841"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4867FC" w:rsidRPr="00323E06">
              <w:rPr>
                <w:rFonts w:ascii="Arial" w:hAnsi="Arial" w:cs="Arial"/>
                <w:b/>
                <w:bCs/>
                <w:sz w:val="14"/>
                <w:szCs w:val="14"/>
                <w:lang w:eastAsia="es-AR"/>
              </w:rPr>
              <w:t>774.799</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1986718" w14:textId="2AB221FF" w:rsidR="00834FC0" w:rsidRPr="00323E06" w:rsidRDefault="000F28E1" w:rsidP="00834FC0">
            <w:pPr>
              <w:jc w:val="right"/>
              <w:rPr>
                <w:rFonts w:ascii="Arial" w:hAnsi="Arial" w:cs="Arial"/>
                <w:b/>
                <w:bCs/>
                <w:sz w:val="14"/>
                <w:szCs w:val="14"/>
                <w:lang w:eastAsia="es-AR"/>
              </w:rPr>
            </w:pPr>
            <w:r w:rsidRPr="00323E06">
              <w:rPr>
                <w:rFonts w:ascii="Arial" w:hAnsi="Arial" w:cs="Arial"/>
                <w:b/>
                <w:bCs/>
                <w:sz w:val="14"/>
                <w:szCs w:val="14"/>
                <w:lang w:eastAsia="es-AR"/>
              </w:rPr>
              <w:t>108.390</w:t>
            </w:r>
            <w:r w:rsidR="00834FC0"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EB7D6AB" w14:textId="465913C7"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0F28E1" w:rsidRPr="00323E06">
              <w:rPr>
                <w:rFonts w:ascii="Arial" w:hAnsi="Arial" w:cs="Arial"/>
                <w:b/>
                <w:bCs/>
                <w:sz w:val="14"/>
                <w:szCs w:val="14"/>
                <w:lang w:eastAsia="es-AR"/>
              </w:rPr>
              <w:t>13.363</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DB31485" w14:textId="224F9C9B"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AC312D" w:rsidRPr="00323E06">
              <w:rPr>
                <w:rFonts w:ascii="Arial" w:hAnsi="Arial" w:cs="Arial"/>
                <w:b/>
                <w:bCs/>
                <w:sz w:val="14"/>
                <w:szCs w:val="14"/>
                <w:lang w:eastAsia="es-AR"/>
              </w:rPr>
              <w:t>679.772</w:t>
            </w:r>
            <w:r w:rsidRPr="00323E06">
              <w:rPr>
                <w:rFonts w:ascii="Arial" w:hAnsi="Arial" w:cs="Arial"/>
                <w:b/>
                <w:bCs/>
                <w:sz w:val="14"/>
                <w:szCs w:val="14"/>
                <w:lang w:eastAsia="es-AR"/>
              </w:rPr>
              <w:t xml:space="preserve"> </w:t>
            </w:r>
          </w:p>
        </w:tc>
        <w:tc>
          <w:tcPr>
            <w:tcW w:w="873" w:type="dxa"/>
            <w:tcBorders>
              <w:top w:val="nil"/>
              <w:left w:val="nil"/>
              <w:bottom w:val="single" w:sz="4" w:space="0" w:color="auto"/>
              <w:right w:val="single" w:sz="4" w:space="0" w:color="auto"/>
            </w:tcBorders>
            <w:shd w:val="clear" w:color="auto" w:fill="auto"/>
            <w:noWrap/>
            <w:vAlign w:val="center"/>
            <w:hideMark/>
          </w:tcPr>
          <w:p w14:paraId="1A270736" w14:textId="5FBBD5CF"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AC312D" w:rsidRPr="00323E06">
              <w:rPr>
                <w:rFonts w:ascii="Arial" w:hAnsi="Arial" w:cs="Arial"/>
                <w:b/>
                <w:bCs/>
                <w:sz w:val="14"/>
                <w:szCs w:val="14"/>
                <w:lang w:eastAsia="es-AR"/>
              </w:rPr>
              <w:t>205.930</w:t>
            </w:r>
            <w:r w:rsidRPr="00323E06">
              <w:rPr>
                <w:rFonts w:ascii="Arial" w:hAnsi="Arial" w:cs="Arial"/>
                <w:b/>
                <w:bCs/>
                <w:sz w:val="14"/>
                <w:szCs w:val="14"/>
                <w:lang w:eastAsia="es-AR"/>
              </w:rPr>
              <w:t xml:space="preserve"> </w:t>
            </w:r>
          </w:p>
        </w:tc>
      </w:tr>
      <w:tr w:rsidR="00834FC0" w:rsidRPr="000047EA" w14:paraId="11D7A73B" w14:textId="77777777" w:rsidTr="00834F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275380" w14:textId="77777777" w:rsidR="00834FC0" w:rsidRPr="00323E06" w:rsidRDefault="00834FC0" w:rsidP="00834FC0">
            <w:pPr>
              <w:rPr>
                <w:rFonts w:ascii="Arial" w:hAnsi="Arial" w:cs="Arial"/>
                <w:sz w:val="14"/>
                <w:szCs w:val="14"/>
                <w:lang w:eastAsia="es-AR"/>
              </w:rPr>
            </w:pPr>
            <w:r w:rsidRPr="00323E06">
              <w:rPr>
                <w:rFonts w:ascii="Arial" w:hAnsi="Arial" w:cs="Arial"/>
                <w:sz w:val="14"/>
                <w:szCs w:val="14"/>
                <w:lang w:eastAsia="es-AR"/>
              </w:rPr>
              <w:t>- Máquinas y equipos</w:t>
            </w:r>
          </w:p>
        </w:tc>
        <w:tc>
          <w:tcPr>
            <w:tcW w:w="0" w:type="auto"/>
            <w:tcBorders>
              <w:top w:val="nil"/>
              <w:left w:val="nil"/>
              <w:bottom w:val="single" w:sz="4" w:space="0" w:color="auto"/>
              <w:right w:val="single" w:sz="4" w:space="0" w:color="auto"/>
            </w:tcBorders>
            <w:shd w:val="clear" w:color="auto" w:fill="auto"/>
            <w:noWrap/>
            <w:vAlign w:val="center"/>
            <w:hideMark/>
          </w:tcPr>
          <w:p w14:paraId="65BB0AFF" w14:textId="52534B9E" w:rsidR="00834FC0"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lang w:eastAsia="es-AR"/>
              </w:rPr>
              <w:t>2.967.026</w:t>
            </w:r>
          </w:p>
        </w:tc>
        <w:tc>
          <w:tcPr>
            <w:tcW w:w="873" w:type="dxa"/>
            <w:tcBorders>
              <w:top w:val="nil"/>
              <w:left w:val="nil"/>
              <w:bottom w:val="single" w:sz="4" w:space="0" w:color="auto"/>
              <w:right w:val="single" w:sz="4" w:space="0" w:color="auto"/>
            </w:tcBorders>
            <w:shd w:val="clear" w:color="auto" w:fill="auto"/>
            <w:noWrap/>
            <w:vAlign w:val="center"/>
            <w:hideMark/>
          </w:tcPr>
          <w:p w14:paraId="53A1CD00" w14:textId="232326B2" w:rsidR="00834FC0" w:rsidRPr="00323E06" w:rsidRDefault="00834FC0" w:rsidP="00834FC0">
            <w:pPr>
              <w:jc w:val="center"/>
              <w:rPr>
                <w:rFonts w:ascii="Arial" w:hAnsi="Arial" w:cs="Arial"/>
                <w:sz w:val="14"/>
                <w:szCs w:val="14"/>
                <w:lang w:eastAsia="es-AR"/>
              </w:rPr>
            </w:pPr>
            <w:r w:rsidRPr="00323E06">
              <w:rPr>
                <w:rFonts w:ascii="Arial" w:hAnsi="Arial" w:cs="Arial"/>
                <w:sz w:val="14"/>
                <w:szCs w:val="14"/>
                <w:lang w:eastAsia="es-AR"/>
              </w:rPr>
              <w:t>5</w:t>
            </w:r>
          </w:p>
        </w:tc>
        <w:tc>
          <w:tcPr>
            <w:tcW w:w="0" w:type="auto"/>
            <w:tcBorders>
              <w:top w:val="nil"/>
              <w:left w:val="nil"/>
              <w:bottom w:val="single" w:sz="4" w:space="0" w:color="auto"/>
              <w:right w:val="single" w:sz="4" w:space="0" w:color="auto"/>
            </w:tcBorders>
            <w:shd w:val="clear" w:color="auto" w:fill="auto"/>
            <w:vAlign w:val="center"/>
            <w:hideMark/>
          </w:tcPr>
          <w:p w14:paraId="01425637" w14:textId="612AD29F" w:rsidR="00834FC0" w:rsidRPr="00323E06" w:rsidRDefault="00834FC0" w:rsidP="00834FC0">
            <w:pPr>
              <w:jc w:val="right"/>
              <w:rPr>
                <w:sz w:val="20"/>
                <w:lang w:eastAsia="es-AR"/>
              </w:rPr>
            </w:pPr>
            <w:r w:rsidRPr="00323E06">
              <w:rPr>
                <w:sz w:val="20"/>
                <w:lang w:eastAsia="es-AR"/>
              </w:rPr>
              <w:t>-</w:t>
            </w:r>
          </w:p>
        </w:tc>
        <w:tc>
          <w:tcPr>
            <w:tcW w:w="0" w:type="auto"/>
            <w:tcBorders>
              <w:top w:val="nil"/>
              <w:left w:val="nil"/>
              <w:bottom w:val="single" w:sz="4" w:space="0" w:color="auto"/>
              <w:right w:val="single" w:sz="4" w:space="0" w:color="auto"/>
            </w:tcBorders>
            <w:shd w:val="clear" w:color="auto" w:fill="auto"/>
            <w:noWrap/>
            <w:vAlign w:val="center"/>
            <w:hideMark/>
          </w:tcPr>
          <w:p w14:paraId="68F22DF5" w14:textId="3D7F795A"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D32C56" w:rsidRPr="00323E06">
              <w:rPr>
                <w:rFonts w:ascii="Arial" w:hAnsi="Arial" w:cs="Arial"/>
                <w:b/>
                <w:bCs/>
                <w:sz w:val="14"/>
                <w:szCs w:val="14"/>
                <w:lang w:eastAsia="es-AR"/>
              </w:rPr>
              <w:t>11.989</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DD9EFC4" w14:textId="578098B3"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4867FC" w:rsidRPr="00323E06">
              <w:rPr>
                <w:rFonts w:ascii="Arial" w:hAnsi="Arial" w:cs="Arial"/>
                <w:b/>
                <w:bCs/>
                <w:sz w:val="14"/>
                <w:szCs w:val="14"/>
                <w:lang w:eastAsia="es-AR"/>
              </w:rPr>
              <w:t>197.459</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CCFF664" w14:textId="0EB9E4CC"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4867FC" w:rsidRPr="00323E06">
              <w:rPr>
                <w:rFonts w:ascii="Arial" w:hAnsi="Arial" w:cs="Arial"/>
                <w:b/>
                <w:bCs/>
                <w:sz w:val="14"/>
                <w:szCs w:val="14"/>
                <w:lang w:eastAsia="es-AR"/>
              </w:rPr>
              <w:t>2.593.293</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12C190A" w14:textId="159255CD"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0F28E1" w:rsidRPr="00323E06">
              <w:rPr>
                <w:rFonts w:ascii="Arial" w:hAnsi="Arial" w:cs="Arial"/>
                <w:b/>
                <w:bCs/>
                <w:sz w:val="14"/>
                <w:szCs w:val="14"/>
                <w:lang w:eastAsia="es-AR"/>
              </w:rPr>
              <w:t>197.369</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3C9961C" w14:textId="23ED7654"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0F28E1" w:rsidRPr="00323E06">
              <w:rPr>
                <w:rFonts w:ascii="Arial" w:hAnsi="Arial" w:cs="Arial"/>
                <w:b/>
                <w:bCs/>
                <w:sz w:val="14"/>
                <w:szCs w:val="14"/>
                <w:lang w:eastAsia="es-AR"/>
              </w:rPr>
              <w:t>48.458</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7908538" w14:textId="09E77D41"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AC312D" w:rsidRPr="00323E06">
              <w:rPr>
                <w:rFonts w:ascii="Arial" w:hAnsi="Arial" w:cs="Arial"/>
                <w:b/>
                <w:bCs/>
                <w:sz w:val="14"/>
                <w:szCs w:val="14"/>
                <w:lang w:eastAsia="es-AR"/>
              </w:rPr>
              <w:t>2.444.382</w:t>
            </w:r>
            <w:r w:rsidRPr="00323E06">
              <w:rPr>
                <w:rFonts w:ascii="Arial" w:hAnsi="Arial" w:cs="Arial"/>
                <w:b/>
                <w:bCs/>
                <w:sz w:val="14"/>
                <w:szCs w:val="14"/>
                <w:lang w:eastAsia="es-AR"/>
              </w:rPr>
              <w:t xml:space="preserve"> </w:t>
            </w:r>
          </w:p>
        </w:tc>
        <w:tc>
          <w:tcPr>
            <w:tcW w:w="873" w:type="dxa"/>
            <w:tcBorders>
              <w:top w:val="nil"/>
              <w:left w:val="nil"/>
              <w:bottom w:val="single" w:sz="4" w:space="0" w:color="auto"/>
              <w:right w:val="single" w:sz="4" w:space="0" w:color="auto"/>
            </w:tcBorders>
            <w:shd w:val="clear" w:color="auto" w:fill="auto"/>
            <w:noWrap/>
            <w:vAlign w:val="center"/>
            <w:hideMark/>
          </w:tcPr>
          <w:p w14:paraId="6E536F09" w14:textId="4B35D269"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AC312D" w:rsidRPr="00323E06">
              <w:rPr>
                <w:rFonts w:ascii="Arial" w:hAnsi="Arial" w:cs="Arial"/>
                <w:b/>
                <w:bCs/>
                <w:sz w:val="14"/>
                <w:szCs w:val="14"/>
                <w:lang w:eastAsia="es-AR"/>
              </w:rPr>
              <w:t>337.174</w:t>
            </w:r>
            <w:r w:rsidRPr="00323E06">
              <w:rPr>
                <w:rFonts w:ascii="Arial" w:hAnsi="Arial" w:cs="Arial"/>
                <w:b/>
                <w:bCs/>
                <w:sz w:val="14"/>
                <w:szCs w:val="14"/>
                <w:lang w:eastAsia="es-AR"/>
              </w:rPr>
              <w:t xml:space="preserve"> </w:t>
            </w:r>
          </w:p>
        </w:tc>
      </w:tr>
      <w:tr w:rsidR="00834FC0" w:rsidRPr="000047EA" w14:paraId="45C013C9" w14:textId="77777777" w:rsidTr="00834F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3738C2" w14:textId="77777777" w:rsidR="00834FC0" w:rsidRPr="00323E06" w:rsidRDefault="00834FC0" w:rsidP="00834FC0">
            <w:pPr>
              <w:rPr>
                <w:rFonts w:ascii="Arial" w:hAnsi="Arial" w:cs="Arial"/>
                <w:sz w:val="14"/>
                <w:szCs w:val="14"/>
                <w:lang w:eastAsia="es-AR"/>
              </w:rPr>
            </w:pPr>
            <w:r w:rsidRPr="00323E06">
              <w:rPr>
                <w:rFonts w:ascii="Arial" w:hAnsi="Arial" w:cs="Arial"/>
                <w:sz w:val="14"/>
                <w:szCs w:val="14"/>
                <w:lang w:eastAsia="es-AR"/>
              </w:rPr>
              <w:t>- Vehículos</w:t>
            </w:r>
          </w:p>
        </w:tc>
        <w:tc>
          <w:tcPr>
            <w:tcW w:w="0" w:type="auto"/>
            <w:tcBorders>
              <w:top w:val="nil"/>
              <w:left w:val="nil"/>
              <w:bottom w:val="single" w:sz="4" w:space="0" w:color="auto"/>
              <w:right w:val="single" w:sz="4" w:space="0" w:color="auto"/>
            </w:tcBorders>
            <w:shd w:val="clear" w:color="auto" w:fill="auto"/>
            <w:noWrap/>
            <w:vAlign w:val="center"/>
            <w:hideMark/>
          </w:tcPr>
          <w:p w14:paraId="76893866" w14:textId="2DE2A572" w:rsidR="00834FC0"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lang w:eastAsia="es-AR"/>
              </w:rPr>
              <w:t>154.940</w:t>
            </w:r>
          </w:p>
        </w:tc>
        <w:tc>
          <w:tcPr>
            <w:tcW w:w="873" w:type="dxa"/>
            <w:tcBorders>
              <w:top w:val="nil"/>
              <w:left w:val="nil"/>
              <w:bottom w:val="single" w:sz="4" w:space="0" w:color="auto"/>
              <w:right w:val="single" w:sz="4" w:space="0" w:color="auto"/>
            </w:tcBorders>
            <w:shd w:val="clear" w:color="auto" w:fill="auto"/>
            <w:noWrap/>
            <w:vAlign w:val="center"/>
            <w:hideMark/>
          </w:tcPr>
          <w:p w14:paraId="09459DAA" w14:textId="35552098" w:rsidR="00834FC0" w:rsidRPr="00323E06" w:rsidRDefault="00834FC0" w:rsidP="00834FC0">
            <w:pPr>
              <w:jc w:val="center"/>
              <w:rPr>
                <w:rFonts w:ascii="Arial" w:hAnsi="Arial" w:cs="Arial"/>
                <w:sz w:val="14"/>
                <w:szCs w:val="14"/>
                <w:lang w:eastAsia="es-AR"/>
              </w:rPr>
            </w:pPr>
            <w:r w:rsidRPr="00323E06">
              <w:rPr>
                <w:rFonts w:ascii="Arial" w:hAnsi="Arial" w:cs="Arial"/>
                <w:sz w:val="14"/>
                <w:szCs w:val="14"/>
                <w:lang w:eastAsia="es-AR"/>
              </w:rPr>
              <w:t>5</w:t>
            </w:r>
          </w:p>
        </w:tc>
        <w:tc>
          <w:tcPr>
            <w:tcW w:w="0" w:type="auto"/>
            <w:tcBorders>
              <w:top w:val="nil"/>
              <w:left w:val="nil"/>
              <w:bottom w:val="single" w:sz="4" w:space="0" w:color="auto"/>
              <w:right w:val="single" w:sz="4" w:space="0" w:color="auto"/>
            </w:tcBorders>
            <w:shd w:val="clear" w:color="auto" w:fill="auto"/>
            <w:vAlign w:val="center"/>
            <w:hideMark/>
          </w:tcPr>
          <w:p w14:paraId="4EBE38EE" w14:textId="355E9D05" w:rsidR="00834FC0" w:rsidRPr="00323E06" w:rsidRDefault="00834FC0" w:rsidP="00834FC0">
            <w:pPr>
              <w:jc w:val="right"/>
              <w:rPr>
                <w:sz w:val="20"/>
                <w:lang w:eastAsia="es-AR"/>
              </w:rPr>
            </w:pPr>
            <w:r w:rsidRPr="00323E06">
              <w:rPr>
                <w:sz w:val="20"/>
                <w:lang w:eastAsia="es-AR"/>
              </w:rPr>
              <w:t>-</w:t>
            </w:r>
          </w:p>
        </w:tc>
        <w:tc>
          <w:tcPr>
            <w:tcW w:w="0" w:type="auto"/>
            <w:tcBorders>
              <w:top w:val="nil"/>
              <w:left w:val="nil"/>
              <w:bottom w:val="single" w:sz="4" w:space="0" w:color="auto"/>
              <w:right w:val="single" w:sz="4" w:space="0" w:color="auto"/>
            </w:tcBorders>
            <w:shd w:val="clear" w:color="auto" w:fill="auto"/>
            <w:noWrap/>
            <w:vAlign w:val="center"/>
            <w:hideMark/>
          </w:tcPr>
          <w:p w14:paraId="729AE8CF" w14:textId="0B7FFC78"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D32C56" w:rsidRPr="00323E06">
              <w:rPr>
                <w:rFonts w:ascii="Arial" w:hAnsi="Arial" w:cs="Arial"/>
                <w:b/>
                <w:bCs/>
                <w:sz w:val="14"/>
                <w:szCs w:val="14"/>
                <w:lang w:eastAsia="es-AR"/>
              </w:rPr>
              <w:t>5.113</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BE2520C" w14:textId="56ABD3F8"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0C46F7" w:rsidRPr="00323E06">
              <w:rPr>
                <w:rFonts w:ascii="Arial" w:hAnsi="Arial" w:cs="Arial"/>
                <w:b/>
                <w:bCs/>
                <w:sz w:val="14"/>
                <w:szCs w:val="14"/>
                <w:lang w:eastAsia="es-AR"/>
              </w:rPr>
              <w:t>1</w:t>
            </w:r>
            <w:r w:rsidR="004867FC" w:rsidRPr="00323E06">
              <w:rPr>
                <w:rFonts w:ascii="Arial" w:hAnsi="Arial" w:cs="Arial"/>
                <w:b/>
                <w:bCs/>
                <w:sz w:val="14"/>
                <w:szCs w:val="14"/>
                <w:lang w:eastAsia="es-AR"/>
              </w:rPr>
              <w:t>2.982</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4727225" w14:textId="7943522B"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4867FC" w:rsidRPr="00323E06">
              <w:rPr>
                <w:rFonts w:ascii="Arial" w:hAnsi="Arial" w:cs="Arial"/>
                <w:b/>
                <w:bCs/>
                <w:sz w:val="14"/>
                <w:szCs w:val="14"/>
                <w:lang w:eastAsia="es-AR"/>
              </w:rPr>
              <w:t>65.915</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591E2D6" w14:textId="1E0EB819" w:rsidR="00834FC0" w:rsidRPr="00323E06" w:rsidRDefault="000F28E1" w:rsidP="00834FC0">
            <w:pPr>
              <w:jc w:val="right"/>
              <w:rPr>
                <w:rFonts w:ascii="Arial" w:hAnsi="Arial" w:cs="Arial"/>
                <w:b/>
                <w:bCs/>
                <w:sz w:val="14"/>
                <w:szCs w:val="14"/>
                <w:lang w:eastAsia="es-AR"/>
              </w:rPr>
            </w:pPr>
            <w:r w:rsidRPr="00323E06">
              <w:rPr>
                <w:rFonts w:ascii="Arial" w:hAnsi="Arial" w:cs="Arial"/>
                <w:b/>
                <w:bCs/>
                <w:sz w:val="14"/>
                <w:szCs w:val="14"/>
                <w:lang w:eastAsia="es-AR"/>
              </w:rPr>
              <w:t>7.981</w:t>
            </w:r>
            <w:r w:rsidR="00834FC0"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8B80D13" w14:textId="3E352770"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0F28E1" w:rsidRPr="00323E06">
              <w:rPr>
                <w:rFonts w:ascii="Arial" w:hAnsi="Arial" w:cs="Arial"/>
                <w:b/>
                <w:bCs/>
                <w:sz w:val="14"/>
                <w:szCs w:val="14"/>
                <w:lang w:eastAsia="es-AR"/>
              </w:rPr>
              <w:t>6.427</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7DA69DE" w14:textId="4CE3EEE5"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AC312D" w:rsidRPr="00323E06">
              <w:rPr>
                <w:rFonts w:ascii="Arial" w:hAnsi="Arial" w:cs="Arial"/>
                <w:b/>
                <w:bCs/>
                <w:sz w:val="14"/>
                <w:szCs w:val="14"/>
                <w:lang w:eastAsia="es-AR"/>
              </w:rPr>
              <w:t>64.361</w:t>
            </w:r>
            <w:r w:rsidRPr="00323E06">
              <w:rPr>
                <w:rFonts w:ascii="Arial" w:hAnsi="Arial" w:cs="Arial"/>
                <w:b/>
                <w:bCs/>
                <w:sz w:val="14"/>
                <w:szCs w:val="14"/>
                <w:lang w:eastAsia="es-AR"/>
              </w:rPr>
              <w:t xml:space="preserve"> </w:t>
            </w:r>
          </w:p>
        </w:tc>
        <w:tc>
          <w:tcPr>
            <w:tcW w:w="873" w:type="dxa"/>
            <w:tcBorders>
              <w:top w:val="nil"/>
              <w:left w:val="nil"/>
              <w:bottom w:val="single" w:sz="4" w:space="0" w:color="auto"/>
              <w:right w:val="single" w:sz="4" w:space="0" w:color="auto"/>
            </w:tcBorders>
            <w:shd w:val="clear" w:color="auto" w:fill="auto"/>
            <w:noWrap/>
            <w:vAlign w:val="center"/>
            <w:hideMark/>
          </w:tcPr>
          <w:p w14:paraId="511C4CED" w14:textId="7157104A"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AC312D" w:rsidRPr="00323E06">
              <w:rPr>
                <w:rFonts w:ascii="Arial" w:hAnsi="Arial" w:cs="Arial"/>
                <w:b/>
                <w:bCs/>
                <w:sz w:val="14"/>
                <w:szCs w:val="14"/>
                <w:lang w:eastAsia="es-AR"/>
              </w:rPr>
              <w:t>82.710</w:t>
            </w:r>
            <w:r w:rsidRPr="00323E06">
              <w:rPr>
                <w:rFonts w:ascii="Arial" w:hAnsi="Arial" w:cs="Arial"/>
                <w:b/>
                <w:bCs/>
                <w:sz w:val="14"/>
                <w:szCs w:val="14"/>
                <w:lang w:eastAsia="es-AR"/>
              </w:rPr>
              <w:t xml:space="preserve"> </w:t>
            </w:r>
          </w:p>
        </w:tc>
      </w:tr>
      <w:tr w:rsidR="00D32C56" w:rsidRPr="000047EA" w14:paraId="4B2C9405" w14:textId="77777777" w:rsidTr="00834FC0">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0CD4744D" w14:textId="1E3CB598" w:rsidR="00D32C56" w:rsidRPr="00323E06" w:rsidRDefault="00D32C56" w:rsidP="00834FC0">
            <w:pPr>
              <w:rPr>
                <w:rFonts w:ascii="Arial" w:hAnsi="Arial" w:cs="Arial"/>
                <w:sz w:val="14"/>
                <w:szCs w:val="14"/>
                <w:lang w:eastAsia="es-AR"/>
              </w:rPr>
            </w:pPr>
            <w:r w:rsidRPr="00323E06">
              <w:rPr>
                <w:rFonts w:ascii="Arial" w:hAnsi="Arial" w:cs="Arial"/>
                <w:sz w:val="14"/>
                <w:szCs w:val="14"/>
                <w:lang w:eastAsia="es-AR"/>
              </w:rPr>
              <w:t>Derechio de Uso de Inmuebles arrendados</w:t>
            </w:r>
          </w:p>
        </w:tc>
        <w:tc>
          <w:tcPr>
            <w:tcW w:w="0" w:type="auto"/>
            <w:tcBorders>
              <w:top w:val="nil"/>
              <w:left w:val="nil"/>
              <w:bottom w:val="single" w:sz="4" w:space="0" w:color="auto"/>
              <w:right w:val="single" w:sz="4" w:space="0" w:color="auto"/>
            </w:tcBorders>
            <w:shd w:val="clear" w:color="auto" w:fill="auto"/>
            <w:noWrap/>
            <w:vAlign w:val="center"/>
          </w:tcPr>
          <w:p w14:paraId="4D7E5922" w14:textId="251720E9" w:rsidR="00D32C56"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lang w:eastAsia="es-AR"/>
              </w:rPr>
              <w:t>1.621.072</w:t>
            </w:r>
          </w:p>
        </w:tc>
        <w:tc>
          <w:tcPr>
            <w:tcW w:w="873" w:type="dxa"/>
            <w:tcBorders>
              <w:top w:val="nil"/>
              <w:left w:val="nil"/>
              <w:bottom w:val="single" w:sz="4" w:space="0" w:color="auto"/>
              <w:right w:val="single" w:sz="4" w:space="0" w:color="auto"/>
            </w:tcBorders>
            <w:shd w:val="clear" w:color="auto" w:fill="auto"/>
            <w:noWrap/>
            <w:vAlign w:val="center"/>
          </w:tcPr>
          <w:p w14:paraId="032E38CF" w14:textId="4DF9F43F" w:rsidR="00D32C56" w:rsidRPr="00323E06" w:rsidRDefault="00D32C56" w:rsidP="00834FC0">
            <w:pPr>
              <w:jc w:val="center"/>
              <w:rPr>
                <w:rFonts w:ascii="Arial" w:hAnsi="Arial" w:cs="Arial"/>
                <w:sz w:val="14"/>
                <w:szCs w:val="14"/>
                <w:lang w:eastAsia="es-AR"/>
              </w:rPr>
            </w:pPr>
            <w:r w:rsidRPr="00323E06">
              <w:rPr>
                <w:rFonts w:ascii="Arial" w:hAnsi="Arial" w:cs="Arial"/>
                <w:sz w:val="14"/>
                <w:szCs w:val="14"/>
                <w:lang w:eastAsia="es-AR"/>
              </w:rPr>
              <w:t>50</w:t>
            </w:r>
          </w:p>
        </w:tc>
        <w:tc>
          <w:tcPr>
            <w:tcW w:w="0" w:type="auto"/>
            <w:tcBorders>
              <w:top w:val="nil"/>
              <w:left w:val="nil"/>
              <w:bottom w:val="single" w:sz="4" w:space="0" w:color="auto"/>
              <w:right w:val="single" w:sz="4" w:space="0" w:color="auto"/>
            </w:tcBorders>
            <w:shd w:val="clear" w:color="auto" w:fill="auto"/>
            <w:vAlign w:val="center"/>
          </w:tcPr>
          <w:p w14:paraId="1F460D4E" w14:textId="1A0F3CF9" w:rsidR="00D32C56" w:rsidRPr="00323E06" w:rsidRDefault="00D32C56" w:rsidP="00834FC0">
            <w:pPr>
              <w:jc w:val="right"/>
              <w:rPr>
                <w:sz w:val="20"/>
                <w:lang w:eastAsia="es-AR"/>
              </w:rPr>
            </w:pPr>
            <w:r w:rsidRPr="00323E06">
              <w:rPr>
                <w:sz w:val="20"/>
                <w:lang w:eastAsia="es-AR"/>
              </w:rPr>
              <w:t>-</w:t>
            </w:r>
          </w:p>
        </w:tc>
        <w:tc>
          <w:tcPr>
            <w:tcW w:w="0" w:type="auto"/>
            <w:tcBorders>
              <w:top w:val="nil"/>
              <w:left w:val="nil"/>
              <w:bottom w:val="single" w:sz="4" w:space="0" w:color="auto"/>
              <w:right w:val="single" w:sz="4" w:space="0" w:color="auto"/>
            </w:tcBorders>
            <w:shd w:val="clear" w:color="auto" w:fill="auto"/>
            <w:noWrap/>
            <w:vAlign w:val="center"/>
          </w:tcPr>
          <w:p w14:paraId="5D793457" w14:textId="54FAA24E" w:rsidR="00D32C56"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lang w:eastAsia="es-AR"/>
              </w:rPr>
              <w:t>46.604</w:t>
            </w:r>
          </w:p>
        </w:tc>
        <w:tc>
          <w:tcPr>
            <w:tcW w:w="0" w:type="auto"/>
            <w:tcBorders>
              <w:top w:val="nil"/>
              <w:left w:val="nil"/>
              <w:bottom w:val="single" w:sz="4" w:space="0" w:color="auto"/>
              <w:right w:val="single" w:sz="4" w:space="0" w:color="auto"/>
            </w:tcBorders>
            <w:shd w:val="clear" w:color="auto" w:fill="auto"/>
            <w:noWrap/>
            <w:vAlign w:val="center"/>
          </w:tcPr>
          <w:p w14:paraId="0DD9D7A2" w14:textId="18EFC709" w:rsidR="00D32C56" w:rsidRPr="00323E06" w:rsidRDefault="004867FC" w:rsidP="00834FC0">
            <w:pPr>
              <w:jc w:val="right"/>
              <w:rPr>
                <w:rFonts w:ascii="Arial" w:hAnsi="Arial" w:cs="Arial"/>
                <w:b/>
                <w:bCs/>
                <w:sz w:val="14"/>
                <w:szCs w:val="14"/>
                <w:lang w:eastAsia="es-AR"/>
              </w:rPr>
            </w:pPr>
            <w:r w:rsidRPr="00323E06">
              <w:rPr>
                <w:rFonts w:ascii="Arial" w:hAnsi="Arial" w:cs="Arial"/>
                <w:b/>
                <w:bCs/>
                <w:sz w:val="14"/>
                <w:szCs w:val="14"/>
                <w:lang w:eastAsia="es-AR"/>
              </w:rPr>
              <w:t>0</w:t>
            </w:r>
          </w:p>
        </w:tc>
        <w:tc>
          <w:tcPr>
            <w:tcW w:w="0" w:type="auto"/>
            <w:tcBorders>
              <w:top w:val="nil"/>
              <w:left w:val="nil"/>
              <w:bottom w:val="single" w:sz="4" w:space="0" w:color="auto"/>
              <w:right w:val="single" w:sz="4" w:space="0" w:color="auto"/>
            </w:tcBorders>
            <w:shd w:val="clear" w:color="auto" w:fill="auto"/>
            <w:noWrap/>
            <w:vAlign w:val="center"/>
          </w:tcPr>
          <w:p w14:paraId="79321626" w14:textId="5C1A695A" w:rsidR="00D32C56" w:rsidRPr="00323E06" w:rsidRDefault="004867FC" w:rsidP="00834FC0">
            <w:pPr>
              <w:jc w:val="right"/>
              <w:rPr>
                <w:rFonts w:ascii="Arial" w:hAnsi="Arial" w:cs="Arial"/>
                <w:b/>
                <w:bCs/>
                <w:sz w:val="14"/>
                <w:szCs w:val="14"/>
                <w:lang w:eastAsia="es-AR"/>
              </w:rPr>
            </w:pPr>
            <w:r w:rsidRPr="00323E06">
              <w:rPr>
                <w:rFonts w:ascii="Arial" w:hAnsi="Arial" w:cs="Arial"/>
                <w:b/>
                <w:bCs/>
                <w:sz w:val="14"/>
                <w:szCs w:val="14"/>
                <w:lang w:eastAsia="es-AR"/>
              </w:rPr>
              <w:t>-610.736</w:t>
            </w:r>
          </w:p>
        </w:tc>
        <w:tc>
          <w:tcPr>
            <w:tcW w:w="0" w:type="auto"/>
            <w:tcBorders>
              <w:top w:val="nil"/>
              <w:left w:val="nil"/>
              <w:bottom w:val="single" w:sz="4" w:space="0" w:color="auto"/>
              <w:right w:val="single" w:sz="4" w:space="0" w:color="auto"/>
            </w:tcBorders>
            <w:shd w:val="clear" w:color="auto" w:fill="auto"/>
            <w:noWrap/>
            <w:vAlign w:val="center"/>
          </w:tcPr>
          <w:p w14:paraId="1188A7C5" w14:textId="35B94C5B" w:rsidR="00D32C56" w:rsidRPr="00323E06" w:rsidRDefault="000F28E1" w:rsidP="00834FC0">
            <w:pPr>
              <w:jc w:val="right"/>
              <w:rPr>
                <w:rFonts w:ascii="Arial" w:hAnsi="Arial" w:cs="Arial"/>
                <w:b/>
                <w:bCs/>
                <w:sz w:val="14"/>
                <w:szCs w:val="14"/>
                <w:lang w:eastAsia="es-AR"/>
              </w:rPr>
            </w:pPr>
            <w:r w:rsidRPr="00323E06">
              <w:rPr>
                <w:rFonts w:ascii="Arial" w:hAnsi="Arial" w:cs="Arial"/>
                <w:b/>
                <w:bCs/>
                <w:sz w:val="14"/>
                <w:szCs w:val="14"/>
                <w:lang w:eastAsia="es-AR"/>
              </w:rPr>
              <w:t>0</w:t>
            </w:r>
          </w:p>
        </w:tc>
        <w:tc>
          <w:tcPr>
            <w:tcW w:w="0" w:type="auto"/>
            <w:tcBorders>
              <w:top w:val="nil"/>
              <w:left w:val="nil"/>
              <w:bottom w:val="single" w:sz="4" w:space="0" w:color="auto"/>
              <w:right w:val="single" w:sz="4" w:space="0" w:color="auto"/>
            </w:tcBorders>
            <w:shd w:val="clear" w:color="auto" w:fill="auto"/>
            <w:noWrap/>
            <w:vAlign w:val="center"/>
          </w:tcPr>
          <w:p w14:paraId="4298DCB3" w14:textId="3CA0B7A0" w:rsidR="00D32C56" w:rsidRPr="00323E06" w:rsidRDefault="000F28E1" w:rsidP="00834FC0">
            <w:pPr>
              <w:jc w:val="right"/>
              <w:rPr>
                <w:rFonts w:ascii="Arial" w:hAnsi="Arial" w:cs="Arial"/>
                <w:b/>
                <w:bCs/>
                <w:sz w:val="14"/>
                <w:szCs w:val="14"/>
                <w:lang w:eastAsia="es-AR"/>
              </w:rPr>
            </w:pPr>
            <w:r w:rsidRPr="00323E06">
              <w:rPr>
                <w:rFonts w:ascii="Arial" w:hAnsi="Arial" w:cs="Arial"/>
                <w:b/>
                <w:bCs/>
                <w:sz w:val="14"/>
                <w:szCs w:val="14"/>
                <w:lang w:eastAsia="es-AR"/>
              </w:rPr>
              <w:t>-158.820</w:t>
            </w:r>
          </w:p>
        </w:tc>
        <w:tc>
          <w:tcPr>
            <w:tcW w:w="0" w:type="auto"/>
            <w:tcBorders>
              <w:top w:val="nil"/>
              <w:left w:val="nil"/>
              <w:bottom w:val="single" w:sz="4" w:space="0" w:color="auto"/>
              <w:right w:val="single" w:sz="4" w:space="0" w:color="auto"/>
            </w:tcBorders>
            <w:shd w:val="clear" w:color="auto" w:fill="auto"/>
            <w:noWrap/>
            <w:vAlign w:val="center"/>
          </w:tcPr>
          <w:p w14:paraId="7D579857" w14:textId="65D16C4B" w:rsidR="00D32C56" w:rsidRPr="00323E06" w:rsidRDefault="00AC312D" w:rsidP="00834FC0">
            <w:pPr>
              <w:jc w:val="right"/>
              <w:rPr>
                <w:rFonts w:ascii="Arial" w:hAnsi="Arial" w:cs="Arial"/>
                <w:b/>
                <w:bCs/>
                <w:sz w:val="14"/>
                <w:szCs w:val="14"/>
                <w:lang w:eastAsia="es-AR"/>
              </w:rPr>
            </w:pPr>
            <w:r w:rsidRPr="00323E06">
              <w:rPr>
                <w:rFonts w:ascii="Arial" w:hAnsi="Arial" w:cs="Arial"/>
                <w:b/>
                <w:bCs/>
                <w:sz w:val="14"/>
                <w:szCs w:val="14"/>
                <w:lang w:eastAsia="es-AR"/>
              </w:rPr>
              <w:t>-769.556</w:t>
            </w:r>
          </w:p>
        </w:tc>
        <w:tc>
          <w:tcPr>
            <w:tcW w:w="873" w:type="dxa"/>
            <w:tcBorders>
              <w:top w:val="nil"/>
              <w:left w:val="nil"/>
              <w:bottom w:val="single" w:sz="4" w:space="0" w:color="auto"/>
              <w:right w:val="single" w:sz="4" w:space="0" w:color="auto"/>
            </w:tcBorders>
            <w:shd w:val="clear" w:color="auto" w:fill="auto"/>
            <w:noWrap/>
            <w:vAlign w:val="center"/>
          </w:tcPr>
          <w:p w14:paraId="247C2F3A" w14:textId="3E0D4678" w:rsidR="00D32C56" w:rsidRPr="00323E06" w:rsidRDefault="00AC312D" w:rsidP="00834FC0">
            <w:pPr>
              <w:jc w:val="right"/>
              <w:rPr>
                <w:rFonts w:ascii="Arial" w:hAnsi="Arial" w:cs="Arial"/>
                <w:b/>
                <w:bCs/>
                <w:sz w:val="14"/>
                <w:szCs w:val="14"/>
                <w:lang w:eastAsia="es-AR"/>
              </w:rPr>
            </w:pPr>
            <w:r w:rsidRPr="00323E06">
              <w:rPr>
                <w:rFonts w:ascii="Arial" w:hAnsi="Arial" w:cs="Arial"/>
                <w:b/>
                <w:bCs/>
                <w:sz w:val="14"/>
                <w:szCs w:val="14"/>
                <w:lang w:eastAsia="es-AR"/>
              </w:rPr>
              <w:t>898.120</w:t>
            </w:r>
          </w:p>
        </w:tc>
      </w:tr>
      <w:tr w:rsidR="00834FC0" w:rsidRPr="000047EA" w14:paraId="69461D0F" w14:textId="77777777" w:rsidTr="00834F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C3F13D" w14:textId="77777777" w:rsidR="00834FC0" w:rsidRPr="00323E06" w:rsidRDefault="00834FC0" w:rsidP="00834FC0">
            <w:pPr>
              <w:rPr>
                <w:rFonts w:ascii="Arial" w:hAnsi="Arial" w:cs="Arial"/>
                <w:sz w:val="14"/>
                <w:szCs w:val="14"/>
                <w:lang w:eastAsia="es-AR"/>
              </w:rPr>
            </w:pPr>
            <w:r w:rsidRPr="00323E06">
              <w:rPr>
                <w:rFonts w:ascii="Arial" w:hAnsi="Arial" w:cs="Arial"/>
                <w:sz w:val="14"/>
                <w:szCs w:val="14"/>
                <w:lang w:eastAsia="es-AR"/>
              </w:rPr>
              <w:t>- Obras en curso</w:t>
            </w:r>
          </w:p>
        </w:tc>
        <w:tc>
          <w:tcPr>
            <w:tcW w:w="0" w:type="auto"/>
            <w:tcBorders>
              <w:top w:val="nil"/>
              <w:left w:val="nil"/>
              <w:bottom w:val="single" w:sz="4" w:space="0" w:color="auto"/>
              <w:right w:val="single" w:sz="4" w:space="0" w:color="auto"/>
            </w:tcBorders>
            <w:shd w:val="clear" w:color="auto" w:fill="auto"/>
            <w:noWrap/>
            <w:vAlign w:val="center"/>
            <w:hideMark/>
          </w:tcPr>
          <w:p w14:paraId="1C0AAE98" w14:textId="0386448F" w:rsidR="00834FC0"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lang w:eastAsia="es-AR"/>
              </w:rPr>
              <w:t>5</w:t>
            </w:r>
            <w:r w:rsidR="00E334D0">
              <w:rPr>
                <w:rFonts w:ascii="Arial" w:hAnsi="Arial" w:cs="Arial"/>
                <w:b/>
                <w:bCs/>
                <w:sz w:val="14"/>
                <w:szCs w:val="14"/>
                <w:lang w:eastAsia="es-AR"/>
              </w:rPr>
              <w:t>0</w:t>
            </w:r>
            <w:r w:rsidRPr="00323E06">
              <w:rPr>
                <w:rFonts w:ascii="Arial" w:hAnsi="Arial" w:cs="Arial"/>
                <w:b/>
                <w:bCs/>
                <w:sz w:val="14"/>
                <w:szCs w:val="14"/>
                <w:lang w:eastAsia="es-AR"/>
              </w:rPr>
              <w:t>8.198</w:t>
            </w:r>
          </w:p>
        </w:tc>
        <w:tc>
          <w:tcPr>
            <w:tcW w:w="873" w:type="dxa"/>
            <w:tcBorders>
              <w:top w:val="nil"/>
              <w:left w:val="nil"/>
              <w:bottom w:val="single" w:sz="4" w:space="0" w:color="auto"/>
              <w:right w:val="single" w:sz="4" w:space="0" w:color="auto"/>
            </w:tcBorders>
            <w:shd w:val="clear" w:color="auto" w:fill="auto"/>
            <w:noWrap/>
            <w:vAlign w:val="center"/>
            <w:hideMark/>
          </w:tcPr>
          <w:p w14:paraId="60D8B364" w14:textId="58BBB55D" w:rsidR="00834FC0" w:rsidRPr="00323E06" w:rsidRDefault="00834FC0" w:rsidP="00834FC0">
            <w:pPr>
              <w:jc w:val="center"/>
              <w:rPr>
                <w:rFonts w:ascii="Arial" w:hAnsi="Arial" w:cs="Arial"/>
                <w:sz w:val="14"/>
                <w:szCs w:val="14"/>
                <w:lang w:eastAsia="es-AR"/>
              </w:rPr>
            </w:pPr>
            <w:r w:rsidRPr="00323E06">
              <w:rPr>
                <w:rFonts w:ascii="Arial" w:hAnsi="Arial" w:cs="Arial"/>
                <w:sz w:val="14"/>
                <w:szCs w:val="14"/>
                <w:lang w:eastAsia="es-AR"/>
              </w:rPr>
              <w:t>-</w:t>
            </w:r>
          </w:p>
        </w:tc>
        <w:tc>
          <w:tcPr>
            <w:tcW w:w="0" w:type="auto"/>
            <w:tcBorders>
              <w:top w:val="nil"/>
              <w:left w:val="nil"/>
              <w:bottom w:val="single" w:sz="4" w:space="0" w:color="auto"/>
              <w:right w:val="single" w:sz="4" w:space="0" w:color="auto"/>
            </w:tcBorders>
            <w:shd w:val="clear" w:color="auto" w:fill="auto"/>
            <w:vAlign w:val="center"/>
            <w:hideMark/>
          </w:tcPr>
          <w:p w14:paraId="7466E9AD" w14:textId="1D21BF67" w:rsidR="00834FC0" w:rsidRPr="00323E06" w:rsidRDefault="00834FC0" w:rsidP="00834FC0">
            <w:pPr>
              <w:jc w:val="right"/>
              <w:rPr>
                <w:sz w:val="20"/>
                <w:lang w:eastAsia="es-AR"/>
              </w:rPr>
            </w:pPr>
            <w:r w:rsidRPr="00323E06">
              <w:rPr>
                <w:sz w:val="20"/>
                <w:lang w:eastAsia="es-AR"/>
              </w:rPr>
              <w:t>-</w:t>
            </w:r>
          </w:p>
        </w:tc>
        <w:tc>
          <w:tcPr>
            <w:tcW w:w="0" w:type="auto"/>
            <w:tcBorders>
              <w:top w:val="nil"/>
              <w:left w:val="nil"/>
              <w:bottom w:val="single" w:sz="4" w:space="0" w:color="auto"/>
              <w:right w:val="single" w:sz="4" w:space="0" w:color="auto"/>
            </w:tcBorders>
            <w:shd w:val="clear" w:color="auto" w:fill="auto"/>
            <w:noWrap/>
            <w:vAlign w:val="center"/>
            <w:hideMark/>
          </w:tcPr>
          <w:p w14:paraId="2B1F96B2" w14:textId="7FB96911"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D32C56" w:rsidRPr="00323E06">
              <w:rPr>
                <w:rFonts w:ascii="Arial" w:hAnsi="Arial" w:cs="Arial"/>
                <w:b/>
                <w:bCs/>
                <w:sz w:val="14"/>
                <w:szCs w:val="14"/>
                <w:lang w:eastAsia="es-AR"/>
              </w:rPr>
              <w:t>5.349</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5E50673" w14:textId="281A76AF"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4867FC" w:rsidRPr="00323E06">
              <w:rPr>
                <w:rFonts w:ascii="Arial" w:hAnsi="Arial" w:cs="Arial"/>
                <w:b/>
                <w:bCs/>
                <w:sz w:val="14"/>
                <w:szCs w:val="14"/>
                <w:lang w:eastAsia="es-AR"/>
              </w:rPr>
              <w:t>22.004</w:t>
            </w:r>
            <w:r w:rsidRPr="00323E06">
              <w:rPr>
                <w:rFonts w:ascii="Arial" w:hAnsi="Arial" w:cs="Arial"/>
                <w:b/>
                <w:bCs/>
                <w:sz w:val="14"/>
                <w:szCs w:val="14"/>
                <w:lang w:eastAsia="es-AR"/>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E35572C" w14:textId="3F402632"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0F5E1452" w14:textId="57375729"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273E3F78" w14:textId="0517C8F1"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1A15A27B" w14:textId="0193F9AC"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   </w:t>
            </w:r>
          </w:p>
        </w:tc>
        <w:tc>
          <w:tcPr>
            <w:tcW w:w="873" w:type="dxa"/>
            <w:tcBorders>
              <w:top w:val="nil"/>
              <w:left w:val="nil"/>
              <w:bottom w:val="single" w:sz="4" w:space="0" w:color="auto"/>
              <w:right w:val="single" w:sz="4" w:space="0" w:color="auto"/>
            </w:tcBorders>
            <w:shd w:val="clear" w:color="auto" w:fill="auto"/>
            <w:noWrap/>
            <w:vAlign w:val="center"/>
            <w:hideMark/>
          </w:tcPr>
          <w:p w14:paraId="4B0711E3" w14:textId="40DC1A60"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 xml:space="preserve"> </w:t>
            </w:r>
            <w:r w:rsidR="00AC312D" w:rsidRPr="00323E06">
              <w:rPr>
                <w:rFonts w:ascii="Arial" w:hAnsi="Arial" w:cs="Arial"/>
                <w:b/>
                <w:bCs/>
                <w:sz w:val="14"/>
                <w:szCs w:val="14"/>
                <w:lang w:eastAsia="es-AR"/>
              </w:rPr>
              <w:t>491.543</w:t>
            </w:r>
            <w:r w:rsidRPr="00323E06">
              <w:rPr>
                <w:rFonts w:ascii="Arial" w:hAnsi="Arial" w:cs="Arial"/>
                <w:b/>
                <w:bCs/>
                <w:sz w:val="14"/>
                <w:szCs w:val="14"/>
                <w:lang w:eastAsia="es-AR"/>
              </w:rPr>
              <w:t xml:space="preserve"> </w:t>
            </w:r>
          </w:p>
        </w:tc>
      </w:tr>
      <w:tr w:rsidR="000047EA" w:rsidRPr="000047EA" w14:paraId="1A2519D7" w14:textId="77777777" w:rsidTr="00F30223">
        <w:trPr>
          <w:trHeight w:val="300"/>
        </w:trPr>
        <w:tc>
          <w:tcPr>
            <w:tcW w:w="0" w:type="auto"/>
            <w:tcBorders>
              <w:top w:val="nil"/>
              <w:left w:val="single" w:sz="4" w:space="0" w:color="auto"/>
              <w:bottom w:val="single" w:sz="4" w:space="0" w:color="auto"/>
              <w:right w:val="nil"/>
            </w:tcBorders>
            <w:shd w:val="clear" w:color="auto" w:fill="auto"/>
            <w:vAlign w:val="center"/>
            <w:hideMark/>
          </w:tcPr>
          <w:p w14:paraId="41D5C25C" w14:textId="77777777" w:rsidR="000047EA" w:rsidRPr="00323E06" w:rsidRDefault="000047EA" w:rsidP="000047EA">
            <w:pPr>
              <w:rPr>
                <w:rFonts w:ascii="Arial" w:hAnsi="Arial" w:cs="Arial"/>
                <w:b/>
                <w:bCs/>
                <w:sz w:val="14"/>
                <w:szCs w:val="14"/>
                <w:lang w:eastAsia="es-AR"/>
              </w:rPr>
            </w:pPr>
            <w:r w:rsidRPr="00323E06">
              <w:rPr>
                <w:rFonts w:ascii="Arial" w:hAnsi="Arial" w:cs="Arial"/>
                <w:b/>
                <w:bCs/>
                <w:sz w:val="14"/>
                <w:szCs w:val="14"/>
                <w:lang w:eastAsia="es-AR"/>
              </w:rPr>
              <w:t>Modelo de revaluación</w:t>
            </w:r>
          </w:p>
        </w:tc>
        <w:tc>
          <w:tcPr>
            <w:tcW w:w="0" w:type="auto"/>
            <w:tcBorders>
              <w:top w:val="nil"/>
              <w:left w:val="nil"/>
              <w:bottom w:val="single" w:sz="4" w:space="0" w:color="auto"/>
              <w:right w:val="nil"/>
            </w:tcBorders>
            <w:shd w:val="clear" w:color="auto" w:fill="auto"/>
            <w:vAlign w:val="center"/>
            <w:hideMark/>
          </w:tcPr>
          <w:p w14:paraId="408E0B34" w14:textId="5019E869" w:rsidR="000047EA" w:rsidRPr="00323E06" w:rsidRDefault="000047EA" w:rsidP="00F30223">
            <w:pPr>
              <w:jc w:val="right"/>
              <w:rPr>
                <w:rFonts w:ascii="Arial" w:hAnsi="Arial" w:cs="Arial"/>
                <w:b/>
                <w:bCs/>
                <w:sz w:val="14"/>
                <w:szCs w:val="14"/>
                <w:lang w:eastAsia="es-AR"/>
              </w:rPr>
            </w:pPr>
          </w:p>
        </w:tc>
        <w:tc>
          <w:tcPr>
            <w:tcW w:w="873" w:type="dxa"/>
            <w:tcBorders>
              <w:top w:val="nil"/>
              <w:left w:val="nil"/>
              <w:bottom w:val="single" w:sz="4" w:space="0" w:color="auto"/>
              <w:right w:val="nil"/>
            </w:tcBorders>
            <w:shd w:val="clear" w:color="auto" w:fill="auto"/>
            <w:vAlign w:val="center"/>
            <w:hideMark/>
          </w:tcPr>
          <w:p w14:paraId="2450A42E" w14:textId="34298AC6" w:rsidR="000047EA" w:rsidRPr="00323E06" w:rsidRDefault="000047EA" w:rsidP="00F30223">
            <w:pPr>
              <w:jc w:val="center"/>
              <w:rPr>
                <w:rFonts w:ascii="Arial" w:hAnsi="Arial" w:cs="Arial"/>
                <w:b/>
                <w:bCs/>
                <w:sz w:val="14"/>
                <w:szCs w:val="14"/>
                <w:lang w:eastAsia="es-AR"/>
              </w:rPr>
            </w:pPr>
          </w:p>
        </w:tc>
        <w:tc>
          <w:tcPr>
            <w:tcW w:w="0" w:type="auto"/>
            <w:tcBorders>
              <w:top w:val="nil"/>
              <w:left w:val="nil"/>
              <w:bottom w:val="single" w:sz="4" w:space="0" w:color="auto"/>
              <w:right w:val="nil"/>
            </w:tcBorders>
            <w:shd w:val="clear" w:color="auto" w:fill="auto"/>
            <w:vAlign w:val="center"/>
            <w:hideMark/>
          </w:tcPr>
          <w:p w14:paraId="44B74DD4" w14:textId="6EB7F89F" w:rsidR="000047EA" w:rsidRPr="00323E06" w:rsidRDefault="000047EA" w:rsidP="00F30223">
            <w:pPr>
              <w:jc w:val="right"/>
              <w:rPr>
                <w:rFonts w:ascii="Arial" w:hAnsi="Arial" w:cs="Arial"/>
                <w:b/>
                <w:bCs/>
                <w:sz w:val="14"/>
                <w:szCs w:val="14"/>
                <w:lang w:eastAsia="es-AR"/>
              </w:rPr>
            </w:pPr>
          </w:p>
        </w:tc>
        <w:tc>
          <w:tcPr>
            <w:tcW w:w="0" w:type="auto"/>
            <w:tcBorders>
              <w:top w:val="nil"/>
              <w:left w:val="nil"/>
              <w:bottom w:val="single" w:sz="4" w:space="0" w:color="auto"/>
              <w:right w:val="nil"/>
            </w:tcBorders>
            <w:shd w:val="clear" w:color="auto" w:fill="auto"/>
            <w:vAlign w:val="center"/>
            <w:hideMark/>
          </w:tcPr>
          <w:p w14:paraId="4731A50B" w14:textId="22C9F0FD" w:rsidR="000047EA" w:rsidRPr="00323E06" w:rsidRDefault="000047EA" w:rsidP="00F30223">
            <w:pPr>
              <w:jc w:val="right"/>
              <w:rPr>
                <w:rFonts w:ascii="Arial" w:hAnsi="Arial" w:cs="Arial"/>
                <w:b/>
                <w:bCs/>
                <w:sz w:val="14"/>
                <w:szCs w:val="14"/>
                <w:lang w:eastAsia="es-AR"/>
              </w:rPr>
            </w:pPr>
          </w:p>
        </w:tc>
        <w:tc>
          <w:tcPr>
            <w:tcW w:w="0" w:type="auto"/>
            <w:tcBorders>
              <w:top w:val="nil"/>
              <w:left w:val="nil"/>
              <w:bottom w:val="single" w:sz="4" w:space="0" w:color="auto"/>
              <w:right w:val="nil"/>
            </w:tcBorders>
            <w:shd w:val="clear" w:color="auto" w:fill="auto"/>
            <w:vAlign w:val="center"/>
            <w:hideMark/>
          </w:tcPr>
          <w:p w14:paraId="56956778" w14:textId="382ECBE3" w:rsidR="000047EA" w:rsidRPr="00323E06" w:rsidRDefault="000047EA" w:rsidP="00F30223">
            <w:pPr>
              <w:jc w:val="right"/>
              <w:rPr>
                <w:rFonts w:ascii="Arial" w:hAnsi="Arial" w:cs="Arial"/>
                <w:b/>
                <w:bCs/>
                <w:sz w:val="14"/>
                <w:szCs w:val="14"/>
                <w:lang w:eastAsia="es-AR"/>
              </w:rPr>
            </w:pPr>
          </w:p>
        </w:tc>
        <w:tc>
          <w:tcPr>
            <w:tcW w:w="0" w:type="auto"/>
            <w:tcBorders>
              <w:top w:val="nil"/>
              <w:left w:val="nil"/>
              <w:bottom w:val="single" w:sz="4" w:space="0" w:color="auto"/>
              <w:right w:val="nil"/>
            </w:tcBorders>
            <w:shd w:val="clear" w:color="auto" w:fill="auto"/>
            <w:vAlign w:val="center"/>
            <w:hideMark/>
          </w:tcPr>
          <w:p w14:paraId="3CAF4395" w14:textId="7650A338" w:rsidR="000047EA" w:rsidRPr="00323E06" w:rsidRDefault="000047EA" w:rsidP="00F30223">
            <w:pPr>
              <w:jc w:val="right"/>
              <w:rPr>
                <w:rFonts w:ascii="Arial" w:hAnsi="Arial" w:cs="Arial"/>
                <w:b/>
                <w:bCs/>
                <w:sz w:val="14"/>
                <w:szCs w:val="14"/>
                <w:lang w:eastAsia="es-AR"/>
              </w:rPr>
            </w:pPr>
          </w:p>
        </w:tc>
        <w:tc>
          <w:tcPr>
            <w:tcW w:w="0" w:type="auto"/>
            <w:tcBorders>
              <w:top w:val="nil"/>
              <w:left w:val="nil"/>
              <w:bottom w:val="single" w:sz="4" w:space="0" w:color="auto"/>
              <w:right w:val="nil"/>
            </w:tcBorders>
            <w:shd w:val="clear" w:color="auto" w:fill="auto"/>
            <w:vAlign w:val="center"/>
            <w:hideMark/>
          </w:tcPr>
          <w:p w14:paraId="2AC06E91" w14:textId="0E92A0CB" w:rsidR="000047EA" w:rsidRPr="00323E06" w:rsidRDefault="000047EA" w:rsidP="00F30223">
            <w:pPr>
              <w:jc w:val="right"/>
              <w:rPr>
                <w:rFonts w:ascii="Arial" w:hAnsi="Arial" w:cs="Arial"/>
                <w:b/>
                <w:bCs/>
                <w:sz w:val="14"/>
                <w:szCs w:val="14"/>
                <w:lang w:eastAsia="es-AR"/>
              </w:rPr>
            </w:pPr>
          </w:p>
        </w:tc>
        <w:tc>
          <w:tcPr>
            <w:tcW w:w="0" w:type="auto"/>
            <w:tcBorders>
              <w:top w:val="nil"/>
              <w:left w:val="nil"/>
              <w:bottom w:val="single" w:sz="4" w:space="0" w:color="auto"/>
              <w:right w:val="nil"/>
            </w:tcBorders>
            <w:shd w:val="clear" w:color="auto" w:fill="auto"/>
            <w:vAlign w:val="center"/>
            <w:hideMark/>
          </w:tcPr>
          <w:p w14:paraId="335E766F" w14:textId="2A2F528E" w:rsidR="000047EA" w:rsidRPr="00323E06" w:rsidRDefault="000047EA" w:rsidP="00F30223">
            <w:pPr>
              <w:jc w:val="right"/>
              <w:rPr>
                <w:rFonts w:ascii="Arial" w:hAnsi="Arial" w:cs="Arial"/>
                <w:b/>
                <w:bCs/>
                <w:sz w:val="14"/>
                <w:szCs w:val="14"/>
                <w:lang w:eastAsia="es-AR"/>
              </w:rPr>
            </w:pPr>
          </w:p>
        </w:tc>
        <w:tc>
          <w:tcPr>
            <w:tcW w:w="0" w:type="auto"/>
            <w:tcBorders>
              <w:top w:val="nil"/>
              <w:left w:val="nil"/>
              <w:bottom w:val="single" w:sz="4" w:space="0" w:color="auto"/>
              <w:right w:val="nil"/>
            </w:tcBorders>
            <w:shd w:val="clear" w:color="auto" w:fill="auto"/>
            <w:vAlign w:val="center"/>
            <w:hideMark/>
          </w:tcPr>
          <w:p w14:paraId="49F25E49" w14:textId="25875399" w:rsidR="000047EA" w:rsidRPr="00323E06" w:rsidRDefault="000047EA" w:rsidP="00F30223">
            <w:pPr>
              <w:jc w:val="right"/>
              <w:rPr>
                <w:rFonts w:ascii="Arial" w:hAnsi="Arial" w:cs="Arial"/>
                <w:b/>
                <w:bCs/>
                <w:sz w:val="14"/>
                <w:szCs w:val="14"/>
                <w:lang w:eastAsia="es-AR"/>
              </w:rPr>
            </w:pPr>
          </w:p>
        </w:tc>
        <w:tc>
          <w:tcPr>
            <w:tcW w:w="873" w:type="dxa"/>
            <w:tcBorders>
              <w:top w:val="nil"/>
              <w:left w:val="nil"/>
              <w:bottom w:val="single" w:sz="4" w:space="0" w:color="auto"/>
              <w:right w:val="single" w:sz="4" w:space="0" w:color="auto"/>
            </w:tcBorders>
            <w:shd w:val="clear" w:color="auto" w:fill="auto"/>
            <w:vAlign w:val="center"/>
            <w:hideMark/>
          </w:tcPr>
          <w:p w14:paraId="7217E7D0" w14:textId="539EE282" w:rsidR="000047EA" w:rsidRPr="00323E06" w:rsidRDefault="000047EA" w:rsidP="00F30223">
            <w:pPr>
              <w:jc w:val="right"/>
              <w:rPr>
                <w:rFonts w:ascii="Arial" w:hAnsi="Arial" w:cs="Arial"/>
                <w:b/>
                <w:bCs/>
                <w:sz w:val="14"/>
                <w:szCs w:val="14"/>
                <w:lang w:eastAsia="es-AR"/>
              </w:rPr>
            </w:pPr>
          </w:p>
        </w:tc>
      </w:tr>
      <w:tr w:rsidR="00834FC0" w:rsidRPr="000047EA" w14:paraId="7D63C5F4" w14:textId="77777777" w:rsidTr="00834F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5D0993" w14:textId="77777777" w:rsidR="00834FC0" w:rsidRPr="00323E06" w:rsidRDefault="00834FC0" w:rsidP="00834FC0">
            <w:pPr>
              <w:rPr>
                <w:rFonts w:ascii="Arial" w:hAnsi="Arial" w:cs="Arial"/>
                <w:sz w:val="14"/>
                <w:szCs w:val="14"/>
                <w:lang w:eastAsia="es-AR"/>
              </w:rPr>
            </w:pPr>
            <w:r w:rsidRPr="00323E06">
              <w:rPr>
                <w:rFonts w:ascii="Arial" w:hAnsi="Arial" w:cs="Arial"/>
                <w:sz w:val="14"/>
                <w:szCs w:val="14"/>
                <w:lang w:eastAsia="es-AR"/>
              </w:rPr>
              <w:t>- Inmuebles</w:t>
            </w:r>
          </w:p>
        </w:tc>
        <w:tc>
          <w:tcPr>
            <w:tcW w:w="0" w:type="auto"/>
            <w:tcBorders>
              <w:top w:val="nil"/>
              <w:left w:val="nil"/>
              <w:bottom w:val="single" w:sz="4" w:space="0" w:color="auto"/>
              <w:right w:val="single" w:sz="4" w:space="0" w:color="auto"/>
            </w:tcBorders>
            <w:shd w:val="clear" w:color="auto" w:fill="auto"/>
            <w:noWrap/>
            <w:vAlign w:val="center"/>
            <w:hideMark/>
          </w:tcPr>
          <w:p w14:paraId="38451648" w14:textId="503EF968"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lang w:eastAsia="es-AR"/>
              </w:rPr>
              <w:t>1.</w:t>
            </w:r>
            <w:r w:rsidR="00D32C56" w:rsidRPr="00323E06">
              <w:rPr>
                <w:rFonts w:ascii="Arial" w:hAnsi="Arial" w:cs="Arial"/>
                <w:b/>
                <w:bCs/>
                <w:sz w:val="14"/>
                <w:szCs w:val="14"/>
                <w:lang w:eastAsia="es-AR"/>
              </w:rPr>
              <w:t>854.635</w:t>
            </w:r>
          </w:p>
        </w:tc>
        <w:tc>
          <w:tcPr>
            <w:tcW w:w="873" w:type="dxa"/>
            <w:tcBorders>
              <w:top w:val="nil"/>
              <w:left w:val="nil"/>
              <w:bottom w:val="single" w:sz="4" w:space="0" w:color="auto"/>
              <w:right w:val="single" w:sz="4" w:space="0" w:color="auto"/>
            </w:tcBorders>
            <w:shd w:val="clear" w:color="auto" w:fill="auto"/>
            <w:noWrap/>
            <w:vAlign w:val="center"/>
            <w:hideMark/>
          </w:tcPr>
          <w:p w14:paraId="4D74A5BE" w14:textId="5FB75847" w:rsidR="00834FC0" w:rsidRPr="00323E06" w:rsidRDefault="00834FC0" w:rsidP="00834FC0">
            <w:pPr>
              <w:jc w:val="center"/>
              <w:rPr>
                <w:rFonts w:ascii="Arial" w:hAnsi="Arial" w:cs="Arial"/>
                <w:sz w:val="14"/>
                <w:szCs w:val="14"/>
                <w:lang w:eastAsia="es-AR"/>
              </w:rPr>
            </w:pPr>
            <w:r w:rsidRPr="00323E06">
              <w:rPr>
                <w:rFonts w:ascii="Arial" w:hAnsi="Arial" w:cs="Arial"/>
                <w:sz w:val="14"/>
                <w:szCs w:val="14"/>
                <w:lang w:eastAsia="es-AR"/>
              </w:rPr>
              <w:t>50</w:t>
            </w:r>
          </w:p>
        </w:tc>
        <w:tc>
          <w:tcPr>
            <w:tcW w:w="0" w:type="auto"/>
            <w:tcBorders>
              <w:top w:val="nil"/>
              <w:left w:val="nil"/>
              <w:bottom w:val="single" w:sz="4" w:space="0" w:color="auto"/>
              <w:right w:val="single" w:sz="4" w:space="0" w:color="auto"/>
            </w:tcBorders>
            <w:shd w:val="clear" w:color="auto" w:fill="auto"/>
            <w:noWrap/>
            <w:vAlign w:val="center"/>
            <w:hideMark/>
          </w:tcPr>
          <w:p w14:paraId="0F073ED8" w14:textId="499A39B7" w:rsidR="00834FC0" w:rsidRPr="00323E06" w:rsidRDefault="000C46F7" w:rsidP="00834FC0">
            <w:pPr>
              <w:jc w:val="right"/>
              <w:rPr>
                <w:rFonts w:ascii="Arial" w:hAnsi="Arial" w:cs="Arial"/>
                <w:sz w:val="14"/>
                <w:szCs w:val="14"/>
                <w:lang w:eastAsia="es-AR"/>
              </w:rPr>
            </w:pPr>
            <w:r w:rsidRPr="00323E06">
              <w:rPr>
                <w:rFonts w:ascii="Arial" w:hAnsi="Arial" w:cs="Arial"/>
                <w:sz w:val="14"/>
                <w:szCs w:val="14"/>
                <w:lang w:eastAsia="es-AR"/>
              </w:rPr>
              <w:t>4</w:t>
            </w:r>
            <w:r w:rsidR="00D32C56" w:rsidRPr="00323E06">
              <w:rPr>
                <w:rFonts w:ascii="Arial" w:hAnsi="Arial" w:cs="Arial"/>
                <w:sz w:val="14"/>
                <w:szCs w:val="14"/>
                <w:lang w:eastAsia="es-AR"/>
              </w:rPr>
              <w:t>27.685</w:t>
            </w:r>
          </w:p>
        </w:tc>
        <w:tc>
          <w:tcPr>
            <w:tcW w:w="0" w:type="auto"/>
            <w:tcBorders>
              <w:top w:val="nil"/>
              <w:left w:val="nil"/>
              <w:bottom w:val="single" w:sz="4" w:space="0" w:color="auto"/>
              <w:right w:val="single" w:sz="4" w:space="0" w:color="auto"/>
            </w:tcBorders>
            <w:shd w:val="clear" w:color="auto" w:fill="auto"/>
            <w:noWrap/>
            <w:vAlign w:val="center"/>
            <w:hideMark/>
          </w:tcPr>
          <w:p w14:paraId="2402AFA0" w14:textId="72C6DFE7" w:rsidR="00834FC0" w:rsidRPr="00323E06" w:rsidRDefault="00D32C56" w:rsidP="00834FC0">
            <w:pPr>
              <w:jc w:val="right"/>
              <w:rPr>
                <w:rFonts w:ascii="Arial" w:hAnsi="Arial" w:cs="Arial"/>
                <w:sz w:val="14"/>
                <w:szCs w:val="14"/>
                <w:lang w:eastAsia="es-AR"/>
              </w:rPr>
            </w:pPr>
            <w:r w:rsidRPr="00323E06">
              <w:rPr>
                <w:rFonts w:ascii="Arial" w:hAnsi="Arial" w:cs="Arial"/>
                <w:sz w:val="14"/>
                <w:szCs w:val="14"/>
                <w:lang w:eastAsia="es-AR"/>
              </w:rPr>
              <w:t>159.366</w:t>
            </w:r>
          </w:p>
        </w:tc>
        <w:tc>
          <w:tcPr>
            <w:tcW w:w="0" w:type="auto"/>
            <w:tcBorders>
              <w:top w:val="nil"/>
              <w:left w:val="nil"/>
              <w:bottom w:val="single" w:sz="4" w:space="0" w:color="auto"/>
              <w:right w:val="single" w:sz="4" w:space="0" w:color="auto"/>
            </w:tcBorders>
            <w:shd w:val="clear" w:color="auto" w:fill="auto"/>
            <w:noWrap/>
            <w:vAlign w:val="center"/>
            <w:hideMark/>
          </w:tcPr>
          <w:p w14:paraId="161847B9" w14:textId="6FC66B13" w:rsidR="00834FC0" w:rsidRPr="00323E06" w:rsidRDefault="004867FC" w:rsidP="00834FC0">
            <w:pPr>
              <w:jc w:val="right"/>
              <w:rPr>
                <w:rFonts w:ascii="Arial" w:hAnsi="Arial" w:cs="Arial"/>
                <w:sz w:val="14"/>
                <w:szCs w:val="14"/>
                <w:lang w:eastAsia="es-AR"/>
              </w:rPr>
            </w:pPr>
            <w:r w:rsidRPr="00323E06">
              <w:rPr>
                <w:rFonts w:ascii="Arial" w:hAnsi="Arial" w:cs="Arial"/>
                <w:sz w:val="14"/>
                <w:szCs w:val="14"/>
                <w:lang w:eastAsia="es-AR"/>
              </w:rPr>
              <w:t>0</w:t>
            </w:r>
          </w:p>
        </w:tc>
        <w:tc>
          <w:tcPr>
            <w:tcW w:w="0" w:type="auto"/>
            <w:tcBorders>
              <w:top w:val="nil"/>
              <w:left w:val="nil"/>
              <w:bottom w:val="single" w:sz="4" w:space="0" w:color="auto"/>
              <w:right w:val="single" w:sz="4" w:space="0" w:color="auto"/>
            </w:tcBorders>
            <w:shd w:val="clear" w:color="auto" w:fill="auto"/>
            <w:noWrap/>
            <w:vAlign w:val="center"/>
            <w:hideMark/>
          </w:tcPr>
          <w:p w14:paraId="3C843955" w14:textId="7CB57C55" w:rsidR="00834FC0" w:rsidRPr="00323E06" w:rsidRDefault="00834FC0" w:rsidP="00834FC0">
            <w:pPr>
              <w:jc w:val="right"/>
              <w:rPr>
                <w:rFonts w:ascii="Arial" w:hAnsi="Arial" w:cs="Arial"/>
                <w:sz w:val="14"/>
                <w:szCs w:val="14"/>
                <w:lang w:eastAsia="es-AR"/>
              </w:rPr>
            </w:pPr>
            <w:r w:rsidRPr="00323E06">
              <w:rPr>
                <w:rFonts w:ascii="Arial" w:hAnsi="Arial" w:cs="Arial"/>
                <w:sz w:val="14"/>
                <w:szCs w:val="14"/>
                <w:lang w:eastAsia="es-AR"/>
              </w:rPr>
              <w:t>-</w:t>
            </w:r>
            <w:r w:rsidR="004867FC" w:rsidRPr="00323E06">
              <w:rPr>
                <w:rFonts w:ascii="Arial" w:hAnsi="Arial" w:cs="Arial"/>
                <w:sz w:val="14"/>
                <w:szCs w:val="14"/>
                <w:lang w:eastAsia="es-AR"/>
              </w:rPr>
              <w:t>88.929</w:t>
            </w:r>
          </w:p>
        </w:tc>
        <w:tc>
          <w:tcPr>
            <w:tcW w:w="0" w:type="auto"/>
            <w:tcBorders>
              <w:top w:val="nil"/>
              <w:left w:val="nil"/>
              <w:bottom w:val="single" w:sz="4" w:space="0" w:color="auto"/>
              <w:right w:val="single" w:sz="4" w:space="0" w:color="auto"/>
            </w:tcBorders>
            <w:shd w:val="clear" w:color="auto" w:fill="auto"/>
            <w:noWrap/>
            <w:vAlign w:val="center"/>
            <w:hideMark/>
          </w:tcPr>
          <w:p w14:paraId="37984367" w14:textId="66807B53" w:rsidR="00834FC0" w:rsidRPr="00323E06" w:rsidRDefault="00834FC0" w:rsidP="00834FC0">
            <w:pPr>
              <w:jc w:val="right"/>
              <w:rPr>
                <w:rFonts w:ascii="Arial" w:hAnsi="Arial" w:cs="Arial"/>
                <w:sz w:val="14"/>
                <w:szCs w:val="14"/>
                <w:lang w:eastAsia="es-AR"/>
              </w:rPr>
            </w:pPr>
            <w:r w:rsidRPr="00323E06">
              <w:rPr>
                <w:rFonts w:ascii="Arial" w:hAnsi="Arial" w:cs="Arial"/>
                <w:sz w:val="14"/>
                <w:szCs w:val="14"/>
                <w:lang w:eastAsia="es-AR"/>
              </w:rPr>
              <w:t>-</w:t>
            </w:r>
            <w:r w:rsidR="000F28E1" w:rsidRPr="00323E06">
              <w:rPr>
                <w:rFonts w:ascii="Arial" w:hAnsi="Arial" w:cs="Arial"/>
                <w:sz w:val="14"/>
                <w:szCs w:val="14"/>
                <w:lang w:eastAsia="es-AR"/>
              </w:rPr>
              <w:t>2.961</w:t>
            </w:r>
          </w:p>
        </w:tc>
        <w:tc>
          <w:tcPr>
            <w:tcW w:w="0" w:type="auto"/>
            <w:tcBorders>
              <w:top w:val="nil"/>
              <w:left w:val="nil"/>
              <w:bottom w:val="single" w:sz="4" w:space="0" w:color="auto"/>
              <w:right w:val="single" w:sz="4" w:space="0" w:color="auto"/>
            </w:tcBorders>
            <w:shd w:val="clear" w:color="auto" w:fill="auto"/>
            <w:noWrap/>
            <w:vAlign w:val="center"/>
            <w:hideMark/>
          </w:tcPr>
          <w:p w14:paraId="675E91DE" w14:textId="1F9604D7" w:rsidR="00834FC0" w:rsidRPr="00323E06" w:rsidRDefault="00834FC0" w:rsidP="00834FC0">
            <w:pPr>
              <w:jc w:val="right"/>
              <w:rPr>
                <w:rFonts w:ascii="Arial" w:hAnsi="Arial" w:cs="Arial"/>
                <w:sz w:val="14"/>
                <w:szCs w:val="14"/>
                <w:lang w:eastAsia="es-AR"/>
              </w:rPr>
            </w:pPr>
            <w:r w:rsidRPr="00323E06">
              <w:rPr>
                <w:rFonts w:ascii="Arial" w:hAnsi="Arial" w:cs="Arial"/>
                <w:sz w:val="14"/>
                <w:szCs w:val="14"/>
              </w:rPr>
              <w:t>-1</w:t>
            </w:r>
            <w:r w:rsidR="000F28E1" w:rsidRPr="00323E06">
              <w:rPr>
                <w:rFonts w:ascii="Arial" w:hAnsi="Arial" w:cs="Arial"/>
                <w:sz w:val="14"/>
                <w:szCs w:val="14"/>
              </w:rPr>
              <w:t>0.874</w:t>
            </w:r>
          </w:p>
        </w:tc>
        <w:tc>
          <w:tcPr>
            <w:tcW w:w="0" w:type="auto"/>
            <w:tcBorders>
              <w:top w:val="nil"/>
              <w:left w:val="nil"/>
              <w:bottom w:val="single" w:sz="4" w:space="0" w:color="auto"/>
              <w:right w:val="single" w:sz="4" w:space="0" w:color="auto"/>
            </w:tcBorders>
            <w:shd w:val="clear" w:color="auto" w:fill="auto"/>
            <w:noWrap/>
            <w:vAlign w:val="center"/>
            <w:hideMark/>
          </w:tcPr>
          <w:p w14:paraId="320EEE7B" w14:textId="323E4B9B" w:rsidR="00834FC0" w:rsidRPr="00323E06" w:rsidRDefault="00834FC0" w:rsidP="00834FC0">
            <w:pPr>
              <w:jc w:val="right"/>
              <w:rPr>
                <w:rFonts w:ascii="Arial" w:hAnsi="Arial" w:cs="Arial"/>
                <w:sz w:val="14"/>
                <w:szCs w:val="14"/>
                <w:lang w:eastAsia="es-AR"/>
              </w:rPr>
            </w:pPr>
            <w:r w:rsidRPr="00323E06">
              <w:rPr>
                <w:rFonts w:ascii="Arial" w:hAnsi="Arial" w:cs="Arial"/>
                <w:sz w:val="14"/>
                <w:szCs w:val="14"/>
              </w:rPr>
              <w:t>-</w:t>
            </w:r>
            <w:r w:rsidR="00AC312D" w:rsidRPr="00323E06">
              <w:rPr>
                <w:rFonts w:ascii="Arial" w:hAnsi="Arial" w:cs="Arial"/>
                <w:sz w:val="14"/>
                <w:szCs w:val="14"/>
              </w:rPr>
              <w:t>102.764</w:t>
            </w:r>
          </w:p>
        </w:tc>
        <w:tc>
          <w:tcPr>
            <w:tcW w:w="873" w:type="dxa"/>
            <w:tcBorders>
              <w:top w:val="nil"/>
              <w:left w:val="nil"/>
              <w:bottom w:val="single" w:sz="4" w:space="0" w:color="auto"/>
              <w:right w:val="single" w:sz="4" w:space="0" w:color="auto"/>
            </w:tcBorders>
            <w:shd w:val="clear" w:color="auto" w:fill="auto"/>
            <w:noWrap/>
            <w:vAlign w:val="center"/>
            <w:hideMark/>
          </w:tcPr>
          <w:p w14:paraId="01DFAFB1" w14:textId="296FEEF8" w:rsidR="00834FC0" w:rsidRPr="00323E06" w:rsidRDefault="00AC312D" w:rsidP="00834FC0">
            <w:pPr>
              <w:jc w:val="right"/>
              <w:rPr>
                <w:rFonts w:ascii="Arial" w:hAnsi="Arial" w:cs="Arial"/>
                <w:b/>
                <w:bCs/>
                <w:sz w:val="14"/>
                <w:szCs w:val="14"/>
                <w:lang w:eastAsia="es-AR"/>
              </w:rPr>
            </w:pPr>
            <w:r w:rsidRPr="00323E06">
              <w:rPr>
                <w:rFonts w:ascii="Arial" w:hAnsi="Arial" w:cs="Arial"/>
                <w:b/>
                <w:bCs/>
                <w:sz w:val="14"/>
                <w:szCs w:val="14"/>
              </w:rPr>
              <w:t>2.338.922</w:t>
            </w:r>
          </w:p>
        </w:tc>
      </w:tr>
      <w:tr w:rsidR="00834FC0" w:rsidRPr="000047EA" w14:paraId="0F469CC3" w14:textId="77777777" w:rsidTr="00834FC0">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AE2BBC" w14:textId="77777777" w:rsidR="00834FC0" w:rsidRPr="00323E06" w:rsidRDefault="00834FC0" w:rsidP="00834FC0">
            <w:pPr>
              <w:rPr>
                <w:rFonts w:ascii="Arial" w:hAnsi="Arial" w:cs="Arial"/>
                <w:b/>
                <w:bCs/>
                <w:sz w:val="14"/>
                <w:szCs w:val="14"/>
                <w:lang w:eastAsia="es-AR"/>
              </w:rPr>
            </w:pPr>
            <w:r w:rsidRPr="00323E06">
              <w:rPr>
                <w:rFonts w:ascii="Arial" w:hAnsi="Arial" w:cs="Arial"/>
                <w:b/>
                <w:bCs/>
                <w:sz w:val="14"/>
                <w:szCs w:val="14"/>
                <w:lang w:eastAsia="es-AR"/>
              </w:rPr>
              <w:t>TOTAL PROPIEDAD PLANTA Y EQUIPO</w:t>
            </w:r>
          </w:p>
        </w:tc>
        <w:tc>
          <w:tcPr>
            <w:tcW w:w="0" w:type="auto"/>
            <w:tcBorders>
              <w:top w:val="nil"/>
              <w:left w:val="nil"/>
              <w:bottom w:val="single" w:sz="4" w:space="0" w:color="auto"/>
              <w:right w:val="single" w:sz="4" w:space="0" w:color="auto"/>
            </w:tcBorders>
            <w:shd w:val="clear" w:color="auto" w:fill="auto"/>
            <w:noWrap/>
            <w:vAlign w:val="center"/>
            <w:hideMark/>
          </w:tcPr>
          <w:p w14:paraId="6FD0B312" w14:textId="5100C504" w:rsidR="00834FC0"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lang w:eastAsia="es-AR"/>
              </w:rPr>
              <w:t>8.</w:t>
            </w:r>
            <w:r w:rsidR="00E334D0">
              <w:rPr>
                <w:rFonts w:ascii="Arial" w:hAnsi="Arial" w:cs="Arial"/>
                <w:b/>
                <w:bCs/>
                <w:sz w:val="14"/>
                <w:szCs w:val="14"/>
                <w:lang w:eastAsia="es-AR"/>
              </w:rPr>
              <w:t>098</w:t>
            </w:r>
            <w:r w:rsidRPr="00323E06">
              <w:rPr>
                <w:rFonts w:ascii="Arial" w:hAnsi="Arial" w:cs="Arial"/>
                <w:b/>
                <w:bCs/>
                <w:sz w:val="14"/>
                <w:szCs w:val="14"/>
                <w:lang w:eastAsia="es-AR"/>
              </w:rPr>
              <w:t>.515</w:t>
            </w:r>
          </w:p>
        </w:tc>
        <w:tc>
          <w:tcPr>
            <w:tcW w:w="873" w:type="dxa"/>
            <w:tcBorders>
              <w:top w:val="nil"/>
              <w:left w:val="nil"/>
              <w:bottom w:val="single" w:sz="4" w:space="0" w:color="auto"/>
              <w:right w:val="single" w:sz="4" w:space="0" w:color="auto"/>
            </w:tcBorders>
            <w:shd w:val="clear" w:color="auto" w:fill="auto"/>
            <w:vAlign w:val="center"/>
            <w:hideMark/>
          </w:tcPr>
          <w:p w14:paraId="3472A968" w14:textId="17C29122" w:rsidR="00834FC0" w:rsidRPr="00323E06" w:rsidRDefault="00834FC0" w:rsidP="00834FC0">
            <w:pPr>
              <w:jc w:val="center"/>
              <w:rPr>
                <w:sz w:val="20"/>
                <w:lang w:eastAsia="es-AR"/>
              </w:rPr>
            </w:pPr>
          </w:p>
        </w:tc>
        <w:tc>
          <w:tcPr>
            <w:tcW w:w="0" w:type="auto"/>
            <w:tcBorders>
              <w:top w:val="nil"/>
              <w:left w:val="nil"/>
              <w:bottom w:val="single" w:sz="4" w:space="0" w:color="auto"/>
              <w:right w:val="single" w:sz="4" w:space="0" w:color="auto"/>
            </w:tcBorders>
            <w:shd w:val="clear" w:color="auto" w:fill="auto"/>
            <w:noWrap/>
            <w:vAlign w:val="center"/>
            <w:hideMark/>
          </w:tcPr>
          <w:p w14:paraId="2DD9DBF7" w14:textId="730BA492" w:rsidR="00834FC0" w:rsidRPr="00323E06" w:rsidRDefault="000C46F7" w:rsidP="00834FC0">
            <w:pPr>
              <w:jc w:val="right"/>
              <w:rPr>
                <w:rFonts w:ascii="Arial" w:hAnsi="Arial" w:cs="Arial"/>
                <w:b/>
                <w:bCs/>
                <w:sz w:val="14"/>
                <w:szCs w:val="14"/>
                <w:lang w:eastAsia="es-AR"/>
              </w:rPr>
            </w:pPr>
            <w:r w:rsidRPr="00323E06">
              <w:rPr>
                <w:rFonts w:ascii="Arial" w:hAnsi="Arial" w:cs="Arial"/>
                <w:b/>
                <w:bCs/>
                <w:sz w:val="14"/>
                <w:szCs w:val="14"/>
                <w:lang w:eastAsia="es-AR"/>
              </w:rPr>
              <w:t>4</w:t>
            </w:r>
            <w:r w:rsidR="00D32C56" w:rsidRPr="00323E06">
              <w:rPr>
                <w:rFonts w:ascii="Arial" w:hAnsi="Arial" w:cs="Arial"/>
                <w:b/>
                <w:bCs/>
                <w:sz w:val="14"/>
                <w:szCs w:val="14"/>
                <w:lang w:eastAsia="es-AR"/>
              </w:rPr>
              <w:t>27.685</w:t>
            </w:r>
          </w:p>
        </w:tc>
        <w:tc>
          <w:tcPr>
            <w:tcW w:w="0" w:type="auto"/>
            <w:tcBorders>
              <w:top w:val="nil"/>
              <w:left w:val="nil"/>
              <w:bottom w:val="single" w:sz="4" w:space="0" w:color="auto"/>
              <w:right w:val="single" w:sz="4" w:space="0" w:color="auto"/>
            </w:tcBorders>
            <w:shd w:val="clear" w:color="auto" w:fill="auto"/>
            <w:noWrap/>
            <w:vAlign w:val="center"/>
            <w:hideMark/>
          </w:tcPr>
          <w:p w14:paraId="19D85CC3" w14:textId="601E9DAC" w:rsidR="00834FC0" w:rsidRPr="00323E06" w:rsidRDefault="00D32C56" w:rsidP="00834FC0">
            <w:pPr>
              <w:jc w:val="right"/>
              <w:rPr>
                <w:rFonts w:ascii="Arial" w:hAnsi="Arial" w:cs="Arial"/>
                <w:b/>
                <w:bCs/>
                <w:sz w:val="14"/>
                <w:szCs w:val="14"/>
                <w:lang w:eastAsia="es-AR"/>
              </w:rPr>
            </w:pPr>
            <w:r w:rsidRPr="00323E06">
              <w:rPr>
                <w:rFonts w:ascii="Arial" w:hAnsi="Arial" w:cs="Arial"/>
                <w:b/>
                <w:bCs/>
                <w:sz w:val="14"/>
                <w:szCs w:val="14"/>
              </w:rPr>
              <w:t>229.869</w:t>
            </w:r>
          </w:p>
        </w:tc>
        <w:tc>
          <w:tcPr>
            <w:tcW w:w="0" w:type="auto"/>
            <w:tcBorders>
              <w:top w:val="nil"/>
              <w:left w:val="nil"/>
              <w:bottom w:val="single" w:sz="4" w:space="0" w:color="auto"/>
              <w:right w:val="single" w:sz="4" w:space="0" w:color="auto"/>
            </w:tcBorders>
            <w:shd w:val="clear" w:color="auto" w:fill="auto"/>
            <w:noWrap/>
            <w:vAlign w:val="center"/>
            <w:hideMark/>
          </w:tcPr>
          <w:p w14:paraId="1C6B6A00" w14:textId="2B109833" w:rsidR="00834FC0" w:rsidRPr="00323E06" w:rsidRDefault="000C46F7" w:rsidP="00834FC0">
            <w:pPr>
              <w:jc w:val="right"/>
              <w:rPr>
                <w:rFonts w:ascii="Arial" w:hAnsi="Arial" w:cs="Arial"/>
                <w:b/>
                <w:bCs/>
                <w:sz w:val="14"/>
                <w:szCs w:val="14"/>
                <w:lang w:eastAsia="es-AR"/>
              </w:rPr>
            </w:pPr>
            <w:r w:rsidRPr="00323E06">
              <w:rPr>
                <w:rFonts w:ascii="Arial" w:hAnsi="Arial" w:cs="Arial"/>
                <w:b/>
                <w:bCs/>
                <w:sz w:val="14"/>
                <w:szCs w:val="14"/>
              </w:rPr>
              <w:t>-</w:t>
            </w:r>
            <w:r w:rsidR="004867FC" w:rsidRPr="00323E06">
              <w:rPr>
                <w:rFonts w:ascii="Arial" w:hAnsi="Arial" w:cs="Arial"/>
                <w:b/>
                <w:bCs/>
                <w:sz w:val="14"/>
                <w:szCs w:val="14"/>
              </w:rPr>
              <w:t>340.835</w:t>
            </w:r>
          </w:p>
        </w:tc>
        <w:tc>
          <w:tcPr>
            <w:tcW w:w="0" w:type="auto"/>
            <w:tcBorders>
              <w:top w:val="nil"/>
              <w:left w:val="nil"/>
              <w:bottom w:val="single" w:sz="4" w:space="0" w:color="auto"/>
              <w:right w:val="single" w:sz="4" w:space="0" w:color="auto"/>
            </w:tcBorders>
            <w:shd w:val="clear" w:color="auto" w:fill="auto"/>
            <w:noWrap/>
            <w:vAlign w:val="center"/>
            <w:hideMark/>
          </w:tcPr>
          <w:p w14:paraId="5FCE4E93" w14:textId="0DE20A79"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rPr>
              <w:t>-</w:t>
            </w:r>
            <w:r w:rsidR="004867FC" w:rsidRPr="00323E06">
              <w:rPr>
                <w:rFonts w:ascii="Arial" w:hAnsi="Arial" w:cs="Arial"/>
                <w:b/>
                <w:bCs/>
                <w:sz w:val="14"/>
                <w:szCs w:val="14"/>
              </w:rPr>
              <w:t>4.133.672</w:t>
            </w:r>
          </w:p>
        </w:tc>
        <w:tc>
          <w:tcPr>
            <w:tcW w:w="0" w:type="auto"/>
            <w:tcBorders>
              <w:top w:val="nil"/>
              <w:left w:val="nil"/>
              <w:bottom w:val="single" w:sz="4" w:space="0" w:color="auto"/>
              <w:right w:val="single" w:sz="4" w:space="0" w:color="auto"/>
            </w:tcBorders>
            <w:shd w:val="clear" w:color="auto" w:fill="auto"/>
            <w:noWrap/>
            <w:vAlign w:val="center"/>
            <w:hideMark/>
          </w:tcPr>
          <w:p w14:paraId="08A94FAC" w14:textId="269D32A7" w:rsidR="00834FC0" w:rsidRPr="00323E06" w:rsidRDefault="000F28E1" w:rsidP="00834FC0">
            <w:pPr>
              <w:jc w:val="right"/>
              <w:rPr>
                <w:rFonts w:ascii="Arial" w:hAnsi="Arial" w:cs="Arial"/>
                <w:b/>
                <w:bCs/>
                <w:sz w:val="14"/>
                <w:szCs w:val="14"/>
                <w:lang w:eastAsia="es-AR"/>
              </w:rPr>
            </w:pPr>
            <w:r w:rsidRPr="00323E06">
              <w:rPr>
                <w:rFonts w:ascii="Arial" w:hAnsi="Arial" w:cs="Arial"/>
                <w:b/>
                <w:bCs/>
                <w:sz w:val="14"/>
                <w:szCs w:val="14"/>
              </w:rPr>
              <w:t>310.779</w:t>
            </w:r>
          </w:p>
        </w:tc>
        <w:tc>
          <w:tcPr>
            <w:tcW w:w="0" w:type="auto"/>
            <w:tcBorders>
              <w:top w:val="nil"/>
              <w:left w:val="nil"/>
              <w:bottom w:val="single" w:sz="4" w:space="0" w:color="auto"/>
              <w:right w:val="single" w:sz="4" w:space="0" w:color="auto"/>
            </w:tcBorders>
            <w:shd w:val="clear" w:color="auto" w:fill="auto"/>
            <w:noWrap/>
            <w:vAlign w:val="center"/>
            <w:hideMark/>
          </w:tcPr>
          <w:p w14:paraId="62622D09" w14:textId="15E24402"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rPr>
              <w:t>-</w:t>
            </w:r>
            <w:r w:rsidR="000F28E1" w:rsidRPr="00323E06">
              <w:rPr>
                <w:rFonts w:ascii="Arial" w:hAnsi="Arial" w:cs="Arial"/>
                <w:b/>
                <w:bCs/>
                <w:sz w:val="14"/>
                <w:szCs w:val="14"/>
              </w:rPr>
              <w:t>237.942</w:t>
            </w:r>
          </w:p>
        </w:tc>
        <w:tc>
          <w:tcPr>
            <w:tcW w:w="0" w:type="auto"/>
            <w:tcBorders>
              <w:top w:val="nil"/>
              <w:left w:val="nil"/>
              <w:bottom w:val="single" w:sz="4" w:space="0" w:color="auto"/>
              <w:right w:val="single" w:sz="4" w:space="0" w:color="auto"/>
            </w:tcBorders>
            <w:shd w:val="clear" w:color="auto" w:fill="auto"/>
            <w:noWrap/>
            <w:vAlign w:val="center"/>
            <w:hideMark/>
          </w:tcPr>
          <w:p w14:paraId="6B668AE8" w14:textId="071419B5" w:rsidR="00834FC0" w:rsidRPr="00323E06" w:rsidRDefault="00834FC0" w:rsidP="00834FC0">
            <w:pPr>
              <w:jc w:val="right"/>
              <w:rPr>
                <w:rFonts w:ascii="Arial" w:hAnsi="Arial" w:cs="Arial"/>
                <w:b/>
                <w:bCs/>
                <w:sz w:val="14"/>
                <w:szCs w:val="14"/>
                <w:lang w:eastAsia="es-AR"/>
              </w:rPr>
            </w:pPr>
            <w:r w:rsidRPr="00323E06">
              <w:rPr>
                <w:rFonts w:ascii="Arial" w:hAnsi="Arial" w:cs="Arial"/>
                <w:b/>
                <w:bCs/>
                <w:sz w:val="14"/>
                <w:szCs w:val="14"/>
              </w:rPr>
              <w:t>-</w:t>
            </w:r>
            <w:r w:rsidR="00AC312D" w:rsidRPr="00323E06">
              <w:rPr>
                <w:rFonts w:ascii="Arial" w:hAnsi="Arial" w:cs="Arial"/>
                <w:b/>
                <w:bCs/>
                <w:sz w:val="14"/>
                <w:szCs w:val="14"/>
              </w:rPr>
              <w:t>4.060.835</w:t>
            </w:r>
          </w:p>
        </w:tc>
        <w:tc>
          <w:tcPr>
            <w:tcW w:w="873" w:type="dxa"/>
            <w:tcBorders>
              <w:top w:val="nil"/>
              <w:left w:val="nil"/>
              <w:bottom w:val="single" w:sz="4" w:space="0" w:color="auto"/>
              <w:right w:val="single" w:sz="4" w:space="0" w:color="auto"/>
            </w:tcBorders>
            <w:shd w:val="clear" w:color="auto" w:fill="auto"/>
            <w:noWrap/>
            <w:vAlign w:val="center"/>
            <w:hideMark/>
          </w:tcPr>
          <w:p w14:paraId="57EBE1E9" w14:textId="6EB5B564" w:rsidR="00834FC0" w:rsidRPr="00323E06" w:rsidRDefault="00AC312D" w:rsidP="00834FC0">
            <w:pPr>
              <w:jc w:val="right"/>
              <w:rPr>
                <w:rFonts w:ascii="Arial" w:hAnsi="Arial" w:cs="Arial"/>
                <w:b/>
                <w:bCs/>
                <w:sz w:val="14"/>
                <w:szCs w:val="14"/>
                <w:lang w:eastAsia="es-AR"/>
              </w:rPr>
            </w:pPr>
            <w:r w:rsidRPr="00323E06">
              <w:rPr>
                <w:rFonts w:ascii="Arial" w:hAnsi="Arial" w:cs="Arial"/>
                <w:b/>
                <w:bCs/>
                <w:sz w:val="14"/>
                <w:szCs w:val="14"/>
              </w:rPr>
              <w:t>4.354.399</w:t>
            </w:r>
          </w:p>
        </w:tc>
      </w:tr>
    </w:tbl>
    <w:p w14:paraId="0FD8810F" w14:textId="2CB9D942" w:rsidR="006C1D52" w:rsidRDefault="006C1D52" w:rsidP="006C1D52">
      <w:pPr>
        <w:widowControl w:val="0"/>
        <w:autoSpaceDE w:val="0"/>
        <w:autoSpaceDN w:val="0"/>
        <w:adjustRightInd w:val="0"/>
        <w:jc w:val="both"/>
        <w:rPr>
          <w:rFonts w:ascii="Arial" w:hAnsi="Arial" w:cs="Arial"/>
          <w:b/>
          <w:noProof/>
          <w:sz w:val="20"/>
        </w:rPr>
      </w:pPr>
    </w:p>
    <w:p w14:paraId="5DE69E12" w14:textId="77777777" w:rsidR="006C1D52" w:rsidRPr="002A769F" w:rsidRDefault="006C1D52" w:rsidP="006C1D52">
      <w:pPr>
        <w:widowControl w:val="0"/>
        <w:autoSpaceDE w:val="0"/>
        <w:autoSpaceDN w:val="0"/>
        <w:adjustRightInd w:val="0"/>
        <w:jc w:val="both"/>
        <w:rPr>
          <w:rFonts w:ascii="Arial" w:hAnsi="Arial" w:cs="Arial"/>
          <w:b/>
          <w:noProof/>
          <w:sz w:val="20"/>
        </w:rPr>
      </w:pPr>
      <w:r w:rsidRPr="002A769F">
        <w:rPr>
          <w:rFonts w:ascii="Arial" w:hAnsi="Arial" w:cs="Arial"/>
          <w:b/>
          <w:noProof/>
          <w:sz w:val="20"/>
        </w:rPr>
        <w:t xml:space="preserve">11. ARRENDAMIENTOS </w:t>
      </w:r>
    </w:p>
    <w:p w14:paraId="734AFF43" w14:textId="77777777" w:rsidR="006C1D52" w:rsidRPr="004B3C0B" w:rsidRDefault="006C1D52" w:rsidP="006C1D52">
      <w:pPr>
        <w:widowControl w:val="0"/>
        <w:autoSpaceDE w:val="0"/>
        <w:autoSpaceDN w:val="0"/>
        <w:adjustRightInd w:val="0"/>
        <w:jc w:val="both"/>
        <w:rPr>
          <w:rFonts w:ascii="Arial" w:hAnsi="Arial" w:cs="Arial"/>
          <w:noProof/>
          <w:sz w:val="20"/>
        </w:rPr>
      </w:pPr>
    </w:p>
    <w:p w14:paraId="399AA0DE" w14:textId="1C825FE0" w:rsidR="00323E06" w:rsidRPr="00313C20" w:rsidRDefault="00323E06" w:rsidP="00323E06">
      <w:pPr>
        <w:autoSpaceDE w:val="0"/>
        <w:autoSpaceDN w:val="0"/>
        <w:adjustRightInd w:val="0"/>
        <w:jc w:val="both"/>
        <w:rPr>
          <w:rFonts w:ascii="Arial" w:hAnsi="Arial" w:cs="Arial"/>
          <w:color w:val="000000"/>
          <w:sz w:val="20"/>
        </w:rPr>
      </w:pPr>
      <w:r w:rsidRPr="00313C20">
        <w:rPr>
          <w:rFonts w:ascii="Arial" w:hAnsi="Arial" w:cs="Arial"/>
          <w:color w:val="000000"/>
          <w:sz w:val="20"/>
        </w:rPr>
        <w:t xml:space="preserve">Esta nota provee información de los arrendamientos en los cuales el Banco actúa como arrendatario. </w:t>
      </w:r>
    </w:p>
    <w:p w14:paraId="7C1A392A"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150FFC44" w14:textId="77777777" w:rsidR="00323E06" w:rsidRPr="00313C20" w:rsidRDefault="00323E06" w:rsidP="00323E06">
      <w:pPr>
        <w:pStyle w:val="ListParagraph"/>
        <w:numPr>
          <w:ilvl w:val="0"/>
          <w:numId w:val="42"/>
        </w:numPr>
        <w:autoSpaceDE w:val="0"/>
        <w:autoSpaceDN w:val="0"/>
        <w:adjustRightInd w:val="0"/>
        <w:contextualSpacing/>
        <w:jc w:val="both"/>
        <w:rPr>
          <w:rFonts w:ascii="Arial" w:hAnsi="Arial" w:cs="Arial"/>
          <w:color w:val="000000"/>
          <w:sz w:val="20"/>
        </w:rPr>
      </w:pPr>
      <w:r w:rsidRPr="00313C20">
        <w:rPr>
          <w:rFonts w:ascii="Arial" w:hAnsi="Arial" w:cs="Arial"/>
          <w:color w:val="000000"/>
          <w:sz w:val="20"/>
        </w:rPr>
        <w:t xml:space="preserve">Montos reconocidos en el estado de situación financiera </w:t>
      </w:r>
    </w:p>
    <w:p w14:paraId="214D87DC" w14:textId="77777777" w:rsidR="00323E06" w:rsidRPr="00313C20" w:rsidRDefault="00323E06" w:rsidP="00323E06">
      <w:pPr>
        <w:autoSpaceDE w:val="0"/>
        <w:autoSpaceDN w:val="0"/>
        <w:adjustRightInd w:val="0"/>
        <w:ind w:left="360"/>
        <w:jc w:val="both"/>
        <w:rPr>
          <w:rFonts w:ascii="Arial" w:hAnsi="Arial" w:cs="Arial"/>
          <w:color w:val="000000"/>
          <w:sz w:val="20"/>
        </w:rPr>
      </w:pPr>
    </w:p>
    <w:tbl>
      <w:tblPr>
        <w:tblW w:w="7842" w:type="dxa"/>
        <w:tblInd w:w="-108" w:type="dxa"/>
        <w:tblBorders>
          <w:top w:val="nil"/>
          <w:left w:val="nil"/>
          <w:bottom w:val="nil"/>
          <w:right w:val="nil"/>
        </w:tblBorders>
        <w:tblLayout w:type="fixed"/>
        <w:tblLook w:val="0000" w:firstRow="0" w:lastRow="0" w:firstColumn="0" w:lastColumn="0" w:noHBand="0" w:noVBand="0"/>
      </w:tblPr>
      <w:tblGrid>
        <w:gridCol w:w="3333"/>
        <w:gridCol w:w="2430"/>
        <w:gridCol w:w="2079"/>
      </w:tblGrid>
      <w:tr w:rsidR="00323E06" w:rsidRPr="00313C20" w14:paraId="1E0680AC" w14:textId="77777777" w:rsidTr="002E1AF6">
        <w:trPr>
          <w:trHeight w:val="96"/>
        </w:trPr>
        <w:tc>
          <w:tcPr>
            <w:tcW w:w="3333" w:type="dxa"/>
          </w:tcPr>
          <w:p w14:paraId="6793D5A4" w14:textId="53A10929" w:rsidR="00323E06" w:rsidRPr="002E1AF6" w:rsidRDefault="00323E06" w:rsidP="002B6E2E">
            <w:pPr>
              <w:pStyle w:val="Default"/>
              <w:jc w:val="both"/>
              <w:rPr>
                <w:sz w:val="18"/>
                <w:szCs w:val="20"/>
              </w:rPr>
            </w:pPr>
          </w:p>
        </w:tc>
        <w:tc>
          <w:tcPr>
            <w:tcW w:w="2430" w:type="dxa"/>
          </w:tcPr>
          <w:p w14:paraId="2D77F442" w14:textId="36E33464" w:rsidR="00323E06" w:rsidRPr="002E1AF6" w:rsidRDefault="002A4E51" w:rsidP="002B6E2E">
            <w:pPr>
              <w:pStyle w:val="Default"/>
              <w:jc w:val="right"/>
              <w:rPr>
                <w:sz w:val="18"/>
                <w:szCs w:val="20"/>
              </w:rPr>
            </w:pPr>
            <w:r w:rsidRPr="002E1AF6">
              <w:rPr>
                <w:b/>
                <w:bCs/>
                <w:sz w:val="18"/>
                <w:szCs w:val="20"/>
              </w:rPr>
              <w:t>31/03/2020</w:t>
            </w:r>
          </w:p>
        </w:tc>
        <w:tc>
          <w:tcPr>
            <w:tcW w:w="2079" w:type="dxa"/>
          </w:tcPr>
          <w:p w14:paraId="6DE24F3B" w14:textId="14D71EB3" w:rsidR="00323E06" w:rsidRPr="002E1AF6" w:rsidRDefault="002A4E51" w:rsidP="002B6E2E">
            <w:pPr>
              <w:pStyle w:val="Default"/>
              <w:jc w:val="right"/>
              <w:rPr>
                <w:sz w:val="18"/>
                <w:szCs w:val="20"/>
              </w:rPr>
            </w:pPr>
            <w:r w:rsidRPr="002E1AF6">
              <w:rPr>
                <w:b/>
                <w:sz w:val="18"/>
                <w:szCs w:val="20"/>
              </w:rPr>
              <w:t>31/12/2019</w:t>
            </w:r>
          </w:p>
        </w:tc>
      </w:tr>
      <w:tr w:rsidR="002A4E51" w:rsidRPr="00313C20" w14:paraId="0D18FD83" w14:textId="77777777" w:rsidTr="002E1AF6">
        <w:trPr>
          <w:trHeight w:val="96"/>
        </w:trPr>
        <w:tc>
          <w:tcPr>
            <w:tcW w:w="3333" w:type="dxa"/>
          </w:tcPr>
          <w:p w14:paraId="3C158DB2" w14:textId="0D39E23B" w:rsidR="002A4E51" w:rsidRPr="002E1AF6" w:rsidRDefault="002A4E51" w:rsidP="002A4E51">
            <w:pPr>
              <w:pStyle w:val="Default"/>
              <w:jc w:val="both"/>
              <w:rPr>
                <w:b/>
                <w:bCs/>
                <w:sz w:val="18"/>
                <w:szCs w:val="20"/>
              </w:rPr>
            </w:pPr>
            <w:r w:rsidRPr="002E1AF6">
              <w:rPr>
                <w:b/>
                <w:bCs/>
                <w:sz w:val="18"/>
                <w:szCs w:val="20"/>
              </w:rPr>
              <w:t>Derecho de uso del activo</w:t>
            </w:r>
          </w:p>
        </w:tc>
        <w:tc>
          <w:tcPr>
            <w:tcW w:w="2430" w:type="dxa"/>
          </w:tcPr>
          <w:p w14:paraId="21E9A8A7" w14:textId="77777777" w:rsidR="002A4E51" w:rsidRPr="002E1AF6" w:rsidRDefault="002A4E51" w:rsidP="002A4E51">
            <w:pPr>
              <w:pStyle w:val="Default"/>
              <w:jc w:val="right"/>
              <w:rPr>
                <w:sz w:val="18"/>
                <w:szCs w:val="20"/>
              </w:rPr>
            </w:pPr>
          </w:p>
        </w:tc>
        <w:tc>
          <w:tcPr>
            <w:tcW w:w="2079" w:type="dxa"/>
          </w:tcPr>
          <w:p w14:paraId="1BF7D0FB" w14:textId="77777777" w:rsidR="002A4E51" w:rsidRPr="002E1AF6" w:rsidRDefault="002A4E51" w:rsidP="002A4E51">
            <w:pPr>
              <w:pStyle w:val="Default"/>
              <w:jc w:val="right"/>
              <w:rPr>
                <w:sz w:val="18"/>
                <w:szCs w:val="20"/>
              </w:rPr>
            </w:pPr>
          </w:p>
        </w:tc>
      </w:tr>
      <w:tr w:rsidR="002A4E51" w:rsidRPr="00313C20" w14:paraId="48618ED8" w14:textId="77777777" w:rsidTr="002E1AF6">
        <w:trPr>
          <w:trHeight w:val="96"/>
        </w:trPr>
        <w:tc>
          <w:tcPr>
            <w:tcW w:w="3333" w:type="dxa"/>
          </w:tcPr>
          <w:p w14:paraId="7A83123C" w14:textId="77777777" w:rsidR="002A4E51" w:rsidRPr="002E1AF6" w:rsidRDefault="002A4E51" w:rsidP="002A4E51">
            <w:pPr>
              <w:pStyle w:val="Default"/>
              <w:jc w:val="both"/>
              <w:rPr>
                <w:b/>
                <w:sz w:val="18"/>
                <w:szCs w:val="20"/>
              </w:rPr>
            </w:pPr>
            <w:r w:rsidRPr="002E1AF6">
              <w:rPr>
                <w:sz w:val="18"/>
                <w:szCs w:val="20"/>
              </w:rPr>
              <w:t>Inmuebles – valor de origen</w:t>
            </w:r>
          </w:p>
        </w:tc>
        <w:tc>
          <w:tcPr>
            <w:tcW w:w="2430" w:type="dxa"/>
          </w:tcPr>
          <w:p w14:paraId="115F7A24" w14:textId="607F6144" w:rsidR="002A4E51" w:rsidRPr="002E1AF6" w:rsidRDefault="002A4E51" w:rsidP="002A4E51">
            <w:pPr>
              <w:pStyle w:val="Default"/>
              <w:jc w:val="right"/>
              <w:rPr>
                <w:bCs/>
                <w:sz w:val="18"/>
                <w:szCs w:val="20"/>
              </w:rPr>
            </w:pPr>
            <w:r w:rsidRPr="002E1AF6">
              <w:rPr>
                <w:bCs/>
                <w:sz w:val="18"/>
                <w:szCs w:val="20"/>
              </w:rPr>
              <w:t>1.667.676</w:t>
            </w:r>
          </w:p>
        </w:tc>
        <w:tc>
          <w:tcPr>
            <w:tcW w:w="2079" w:type="dxa"/>
          </w:tcPr>
          <w:p w14:paraId="16DD71C0" w14:textId="57A37D63" w:rsidR="002A4E51" w:rsidRPr="002E1AF6" w:rsidRDefault="002A4E51" w:rsidP="002A4E51">
            <w:pPr>
              <w:pStyle w:val="Default"/>
              <w:jc w:val="right"/>
              <w:rPr>
                <w:sz w:val="18"/>
                <w:szCs w:val="20"/>
              </w:rPr>
            </w:pPr>
            <w:r w:rsidRPr="002E1AF6">
              <w:rPr>
                <w:iCs/>
                <w:sz w:val="18"/>
                <w:szCs w:val="20"/>
              </w:rPr>
              <w:t>1.621.072</w:t>
            </w:r>
          </w:p>
        </w:tc>
      </w:tr>
      <w:tr w:rsidR="002A4E51" w:rsidRPr="00313C20" w14:paraId="4374F98F" w14:textId="77777777" w:rsidTr="002E1AF6">
        <w:trPr>
          <w:trHeight w:val="96"/>
        </w:trPr>
        <w:tc>
          <w:tcPr>
            <w:tcW w:w="3333" w:type="dxa"/>
          </w:tcPr>
          <w:p w14:paraId="61B1C1DE" w14:textId="77777777" w:rsidR="002A4E51" w:rsidRPr="002E1AF6" w:rsidRDefault="002A4E51" w:rsidP="002A4E51">
            <w:pPr>
              <w:pStyle w:val="Default"/>
              <w:jc w:val="both"/>
              <w:rPr>
                <w:sz w:val="18"/>
                <w:szCs w:val="20"/>
              </w:rPr>
            </w:pPr>
            <w:r w:rsidRPr="002E1AF6">
              <w:rPr>
                <w:b/>
                <w:bCs/>
                <w:sz w:val="18"/>
                <w:szCs w:val="20"/>
              </w:rPr>
              <w:t xml:space="preserve">Pasivo por arrendamiento </w:t>
            </w:r>
          </w:p>
        </w:tc>
        <w:tc>
          <w:tcPr>
            <w:tcW w:w="2430" w:type="dxa"/>
          </w:tcPr>
          <w:p w14:paraId="7B6753D6" w14:textId="77777777" w:rsidR="002A4E51" w:rsidRPr="002E1AF6" w:rsidRDefault="002A4E51" w:rsidP="002A4E51">
            <w:pPr>
              <w:pStyle w:val="Default"/>
              <w:jc w:val="right"/>
              <w:rPr>
                <w:bCs/>
                <w:sz w:val="18"/>
                <w:szCs w:val="20"/>
              </w:rPr>
            </w:pPr>
          </w:p>
        </w:tc>
        <w:tc>
          <w:tcPr>
            <w:tcW w:w="2079" w:type="dxa"/>
          </w:tcPr>
          <w:p w14:paraId="4608320D" w14:textId="77777777" w:rsidR="002A4E51" w:rsidRPr="002E1AF6" w:rsidRDefault="002A4E51" w:rsidP="002A4E51">
            <w:pPr>
              <w:pStyle w:val="Default"/>
              <w:jc w:val="right"/>
              <w:rPr>
                <w:iCs/>
                <w:sz w:val="18"/>
                <w:szCs w:val="20"/>
              </w:rPr>
            </w:pPr>
          </w:p>
        </w:tc>
      </w:tr>
      <w:tr w:rsidR="002A4E51" w:rsidRPr="00313C20" w14:paraId="652A10E4" w14:textId="77777777" w:rsidTr="002E1AF6">
        <w:trPr>
          <w:trHeight w:val="96"/>
        </w:trPr>
        <w:tc>
          <w:tcPr>
            <w:tcW w:w="3333" w:type="dxa"/>
          </w:tcPr>
          <w:p w14:paraId="7996BECF" w14:textId="77777777" w:rsidR="002A4E51" w:rsidRPr="002E1AF6" w:rsidRDefault="002A4E51" w:rsidP="002A4E51">
            <w:pPr>
              <w:pStyle w:val="Default"/>
              <w:jc w:val="both"/>
              <w:rPr>
                <w:sz w:val="18"/>
                <w:szCs w:val="20"/>
              </w:rPr>
            </w:pPr>
            <w:r w:rsidRPr="002E1AF6">
              <w:rPr>
                <w:sz w:val="18"/>
                <w:szCs w:val="20"/>
              </w:rPr>
              <w:t>Corriente</w:t>
            </w:r>
          </w:p>
        </w:tc>
        <w:tc>
          <w:tcPr>
            <w:tcW w:w="2430" w:type="dxa"/>
          </w:tcPr>
          <w:p w14:paraId="2722FF91" w14:textId="779CA3D5" w:rsidR="002A4E51" w:rsidRPr="002E1AF6" w:rsidRDefault="002A4E51" w:rsidP="002A4E51">
            <w:pPr>
              <w:pStyle w:val="Default"/>
              <w:jc w:val="right"/>
              <w:rPr>
                <w:iCs/>
                <w:sz w:val="18"/>
                <w:szCs w:val="20"/>
              </w:rPr>
            </w:pPr>
            <w:r w:rsidRPr="002E1AF6">
              <w:rPr>
                <w:iCs/>
                <w:sz w:val="18"/>
                <w:szCs w:val="20"/>
              </w:rPr>
              <w:t>443.530</w:t>
            </w:r>
          </w:p>
        </w:tc>
        <w:tc>
          <w:tcPr>
            <w:tcW w:w="2079" w:type="dxa"/>
          </w:tcPr>
          <w:p w14:paraId="04B3149A" w14:textId="6FDA4FD5" w:rsidR="002A4E51" w:rsidRPr="002E1AF6" w:rsidRDefault="002A4E51" w:rsidP="002A4E51">
            <w:pPr>
              <w:pStyle w:val="Default"/>
              <w:jc w:val="right"/>
              <w:rPr>
                <w:iCs/>
                <w:sz w:val="18"/>
                <w:szCs w:val="20"/>
              </w:rPr>
            </w:pPr>
            <w:r w:rsidRPr="002E1AF6">
              <w:rPr>
                <w:iCs/>
                <w:sz w:val="18"/>
                <w:szCs w:val="20"/>
              </w:rPr>
              <w:t xml:space="preserve"> 504.478 </w:t>
            </w:r>
          </w:p>
        </w:tc>
      </w:tr>
      <w:tr w:rsidR="002A4E51" w:rsidRPr="00313C20" w14:paraId="499D7FCE" w14:textId="77777777" w:rsidTr="002E1AF6">
        <w:trPr>
          <w:trHeight w:val="96"/>
        </w:trPr>
        <w:tc>
          <w:tcPr>
            <w:tcW w:w="3333" w:type="dxa"/>
          </w:tcPr>
          <w:p w14:paraId="19D6D678" w14:textId="77777777" w:rsidR="002A4E51" w:rsidRPr="002E1AF6" w:rsidRDefault="002A4E51" w:rsidP="002A4E51">
            <w:pPr>
              <w:pStyle w:val="Default"/>
              <w:jc w:val="both"/>
              <w:rPr>
                <w:sz w:val="18"/>
                <w:szCs w:val="20"/>
              </w:rPr>
            </w:pPr>
            <w:r w:rsidRPr="002E1AF6">
              <w:rPr>
                <w:sz w:val="18"/>
                <w:szCs w:val="20"/>
              </w:rPr>
              <w:t xml:space="preserve">No corriente </w:t>
            </w:r>
          </w:p>
        </w:tc>
        <w:tc>
          <w:tcPr>
            <w:tcW w:w="2430" w:type="dxa"/>
          </w:tcPr>
          <w:p w14:paraId="61EE72B0" w14:textId="7C5FE661" w:rsidR="002A4E51" w:rsidRPr="002E1AF6" w:rsidRDefault="002A4E51" w:rsidP="002A4E51">
            <w:pPr>
              <w:pStyle w:val="Default"/>
              <w:jc w:val="right"/>
              <w:rPr>
                <w:iCs/>
                <w:sz w:val="18"/>
                <w:szCs w:val="20"/>
              </w:rPr>
            </w:pPr>
            <w:r w:rsidRPr="002E1AF6">
              <w:rPr>
                <w:iCs/>
                <w:sz w:val="18"/>
                <w:szCs w:val="20"/>
              </w:rPr>
              <w:t>467.740</w:t>
            </w:r>
          </w:p>
        </w:tc>
        <w:tc>
          <w:tcPr>
            <w:tcW w:w="2079" w:type="dxa"/>
          </w:tcPr>
          <w:p w14:paraId="13B2B384" w14:textId="6F565021" w:rsidR="002A4E51" w:rsidRPr="002E1AF6" w:rsidRDefault="002A4E51" w:rsidP="002A4E51">
            <w:pPr>
              <w:pStyle w:val="Default"/>
              <w:jc w:val="right"/>
              <w:rPr>
                <w:iCs/>
                <w:sz w:val="18"/>
                <w:szCs w:val="20"/>
              </w:rPr>
            </w:pPr>
            <w:r w:rsidRPr="002E1AF6">
              <w:rPr>
                <w:iCs/>
                <w:sz w:val="18"/>
                <w:szCs w:val="20"/>
              </w:rPr>
              <w:t xml:space="preserve"> 515.729 </w:t>
            </w:r>
          </w:p>
        </w:tc>
      </w:tr>
      <w:tr w:rsidR="002A4E51" w:rsidRPr="00313C20" w14:paraId="06289A97" w14:textId="77777777" w:rsidTr="002E1AF6">
        <w:trPr>
          <w:trHeight w:val="96"/>
        </w:trPr>
        <w:tc>
          <w:tcPr>
            <w:tcW w:w="3333" w:type="dxa"/>
          </w:tcPr>
          <w:p w14:paraId="3A3CEC29" w14:textId="77777777" w:rsidR="002A4E51" w:rsidRPr="002E1AF6" w:rsidRDefault="002A4E51" w:rsidP="002A4E51">
            <w:pPr>
              <w:pStyle w:val="Default"/>
              <w:jc w:val="both"/>
              <w:rPr>
                <w:sz w:val="18"/>
                <w:szCs w:val="20"/>
              </w:rPr>
            </w:pPr>
            <w:r w:rsidRPr="002E1AF6">
              <w:rPr>
                <w:sz w:val="18"/>
                <w:szCs w:val="20"/>
              </w:rPr>
              <w:t xml:space="preserve">Total </w:t>
            </w:r>
          </w:p>
        </w:tc>
        <w:tc>
          <w:tcPr>
            <w:tcW w:w="2430" w:type="dxa"/>
          </w:tcPr>
          <w:p w14:paraId="4E3CB111" w14:textId="04B07C00" w:rsidR="002A4E51" w:rsidRPr="002E1AF6" w:rsidRDefault="002A4E51" w:rsidP="002A4E51">
            <w:pPr>
              <w:pStyle w:val="Default"/>
              <w:jc w:val="right"/>
              <w:rPr>
                <w:b/>
                <w:iCs/>
                <w:sz w:val="18"/>
                <w:szCs w:val="20"/>
              </w:rPr>
            </w:pPr>
            <w:r w:rsidRPr="002E1AF6">
              <w:rPr>
                <w:b/>
                <w:iCs/>
                <w:sz w:val="18"/>
                <w:szCs w:val="20"/>
              </w:rPr>
              <w:t xml:space="preserve"> 911.270 </w:t>
            </w:r>
          </w:p>
        </w:tc>
        <w:tc>
          <w:tcPr>
            <w:tcW w:w="2079" w:type="dxa"/>
          </w:tcPr>
          <w:p w14:paraId="0961C0A8" w14:textId="442655A4" w:rsidR="002A4E51" w:rsidRPr="002E1AF6" w:rsidRDefault="002A4E51" w:rsidP="002A4E51">
            <w:pPr>
              <w:pStyle w:val="Default"/>
              <w:jc w:val="right"/>
              <w:rPr>
                <w:b/>
                <w:iCs/>
                <w:sz w:val="18"/>
                <w:szCs w:val="20"/>
              </w:rPr>
            </w:pPr>
            <w:r w:rsidRPr="002E1AF6">
              <w:rPr>
                <w:b/>
                <w:iCs/>
                <w:sz w:val="18"/>
                <w:szCs w:val="20"/>
              </w:rPr>
              <w:t>1.020.207</w:t>
            </w:r>
          </w:p>
        </w:tc>
      </w:tr>
    </w:tbl>
    <w:p w14:paraId="5EBF571D"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6D7DDF94" w14:textId="77777777" w:rsidR="00323E06" w:rsidRPr="00313C20" w:rsidRDefault="00323E06" w:rsidP="00323E06">
      <w:pPr>
        <w:pStyle w:val="ListParagraph"/>
        <w:numPr>
          <w:ilvl w:val="0"/>
          <w:numId w:val="42"/>
        </w:numPr>
        <w:autoSpaceDE w:val="0"/>
        <w:autoSpaceDN w:val="0"/>
        <w:adjustRightInd w:val="0"/>
        <w:contextualSpacing/>
        <w:jc w:val="both"/>
        <w:rPr>
          <w:rFonts w:ascii="Arial" w:hAnsi="Arial" w:cs="Arial"/>
          <w:color w:val="000000"/>
          <w:sz w:val="20"/>
        </w:rPr>
      </w:pPr>
      <w:r w:rsidRPr="00313C20">
        <w:rPr>
          <w:rFonts w:ascii="Arial" w:hAnsi="Arial" w:cs="Arial"/>
          <w:color w:val="000000"/>
          <w:sz w:val="20"/>
        </w:rPr>
        <w:t xml:space="preserve">Montos reconocidos en el estado de resultados </w:t>
      </w:r>
    </w:p>
    <w:p w14:paraId="10F72E20" w14:textId="77777777" w:rsidR="00323E06" w:rsidRPr="00313C20" w:rsidRDefault="00323E06" w:rsidP="00323E06">
      <w:pPr>
        <w:pStyle w:val="ListParagraph"/>
        <w:autoSpaceDE w:val="0"/>
        <w:autoSpaceDN w:val="0"/>
        <w:adjustRightInd w:val="0"/>
        <w:ind w:left="1080"/>
        <w:jc w:val="both"/>
        <w:rPr>
          <w:rFonts w:ascii="Arial" w:hAnsi="Arial" w:cs="Arial"/>
          <w:color w:val="000000"/>
          <w:sz w:val="20"/>
        </w:rPr>
      </w:pPr>
    </w:p>
    <w:tbl>
      <w:tblPr>
        <w:tblStyle w:val="TableGrid"/>
        <w:tblW w:w="0" w:type="auto"/>
        <w:tblInd w:w="360" w:type="dxa"/>
        <w:tblLook w:val="04A0" w:firstRow="1" w:lastRow="0" w:firstColumn="1" w:lastColumn="0" w:noHBand="0" w:noVBand="1"/>
      </w:tblPr>
      <w:tblGrid>
        <w:gridCol w:w="5556"/>
        <w:gridCol w:w="2579"/>
      </w:tblGrid>
      <w:tr w:rsidR="00323E06" w:rsidRPr="002A4E51" w14:paraId="369D72A1" w14:textId="77777777" w:rsidTr="002A4E51">
        <w:tc>
          <w:tcPr>
            <w:tcW w:w="5556" w:type="dxa"/>
          </w:tcPr>
          <w:p w14:paraId="75B130C0" w14:textId="77777777" w:rsidR="00323E06" w:rsidRPr="002E1AF6" w:rsidRDefault="00323E06" w:rsidP="002E1AF6">
            <w:pPr>
              <w:autoSpaceDE w:val="0"/>
              <w:autoSpaceDN w:val="0"/>
              <w:adjustRightInd w:val="0"/>
              <w:jc w:val="both"/>
              <w:rPr>
                <w:rFonts w:ascii="Arial" w:hAnsi="Arial" w:cs="Arial"/>
                <w:color w:val="000000"/>
                <w:sz w:val="18"/>
              </w:rPr>
            </w:pPr>
            <w:r w:rsidRPr="002E1AF6">
              <w:rPr>
                <w:rFonts w:ascii="Arial" w:hAnsi="Arial" w:cs="Arial"/>
                <w:color w:val="000000"/>
                <w:sz w:val="18"/>
              </w:rPr>
              <w:t>Depreciación de derecho de uso</w:t>
            </w:r>
          </w:p>
        </w:tc>
        <w:tc>
          <w:tcPr>
            <w:tcW w:w="2579" w:type="dxa"/>
          </w:tcPr>
          <w:p w14:paraId="29A83F9F" w14:textId="77777777" w:rsidR="00323E06" w:rsidRPr="002E1AF6" w:rsidRDefault="00323E06" w:rsidP="002B6E2E">
            <w:pPr>
              <w:autoSpaceDE w:val="0"/>
              <w:autoSpaceDN w:val="0"/>
              <w:adjustRightInd w:val="0"/>
              <w:jc w:val="both"/>
              <w:rPr>
                <w:rFonts w:ascii="Arial" w:hAnsi="Arial" w:cs="Arial"/>
                <w:color w:val="000000"/>
                <w:sz w:val="18"/>
              </w:rPr>
            </w:pPr>
          </w:p>
        </w:tc>
      </w:tr>
      <w:tr w:rsidR="00323E06" w:rsidRPr="002A4E51" w14:paraId="3FEA0D80" w14:textId="77777777" w:rsidTr="002A4E51">
        <w:tc>
          <w:tcPr>
            <w:tcW w:w="5556" w:type="dxa"/>
          </w:tcPr>
          <w:p w14:paraId="51436959" w14:textId="77777777" w:rsidR="00323E06" w:rsidRPr="002E1AF6" w:rsidRDefault="00323E06" w:rsidP="002B6E2E">
            <w:pPr>
              <w:autoSpaceDE w:val="0"/>
              <w:autoSpaceDN w:val="0"/>
              <w:adjustRightInd w:val="0"/>
              <w:jc w:val="both"/>
              <w:rPr>
                <w:rFonts w:ascii="Arial" w:hAnsi="Arial" w:cs="Arial"/>
                <w:color w:val="000000"/>
                <w:sz w:val="18"/>
              </w:rPr>
            </w:pPr>
            <w:r w:rsidRPr="002E1AF6">
              <w:rPr>
                <w:rFonts w:ascii="Arial" w:hAnsi="Arial" w:cs="Arial"/>
                <w:color w:val="000000"/>
                <w:sz w:val="18"/>
              </w:rPr>
              <w:t>Edificios</w:t>
            </w:r>
          </w:p>
        </w:tc>
        <w:tc>
          <w:tcPr>
            <w:tcW w:w="2579" w:type="dxa"/>
          </w:tcPr>
          <w:p w14:paraId="222D5386" w14:textId="79EDAD21" w:rsidR="00323E06" w:rsidRPr="002E1AF6" w:rsidRDefault="00351356" w:rsidP="002B6E2E">
            <w:pPr>
              <w:autoSpaceDE w:val="0"/>
              <w:autoSpaceDN w:val="0"/>
              <w:adjustRightInd w:val="0"/>
              <w:jc w:val="right"/>
              <w:rPr>
                <w:rFonts w:ascii="Arial" w:hAnsi="Arial" w:cs="Arial"/>
                <w:color w:val="000000"/>
                <w:sz w:val="18"/>
              </w:rPr>
            </w:pPr>
            <w:r w:rsidRPr="002E1AF6">
              <w:rPr>
                <w:rFonts w:ascii="Arial" w:hAnsi="Arial" w:cs="Arial"/>
                <w:color w:val="000000"/>
                <w:sz w:val="18"/>
              </w:rPr>
              <w:t>158.820</w:t>
            </w:r>
          </w:p>
        </w:tc>
      </w:tr>
      <w:tr w:rsidR="00323E06" w:rsidRPr="002A4E51" w14:paraId="5397E1B5" w14:textId="77777777" w:rsidTr="002A4E51">
        <w:tc>
          <w:tcPr>
            <w:tcW w:w="5556" w:type="dxa"/>
          </w:tcPr>
          <w:p w14:paraId="22FE5ECD" w14:textId="77777777" w:rsidR="00323E06" w:rsidRPr="002E1AF6" w:rsidRDefault="00323E06" w:rsidP="002B6E2E">
            <w:pPr>
              <w:autoSpaceDE w:val="0"/>
              <w:autoSpaceDN w:val="0"/>
              <w:adjustRightInd w:val="0"/>
              <w:jc w:val="both"/>
              <w:rPr>
                <w:rFonts w:ascii="Arial" w:hAnsi="Arial" w:cs="Arial"/>
                <w:color w:val="000000"/>
                <w:sz w:val="18"/>
              </w:rPr>
            </w:pPr>
            <w:r w:rsidRPr="002E1AF6">
              <w:rPr>
                <w:rFonts w:ascii="Arial" w:hAnsi="Arial" w:cs="Arial"/>
                <w:color w:val="000000"/>
                <w:sz w:val="18"/>
              </w:rPr>
              <w:t>Intereses sobre pasivos por arrendamientos (Otros gastos operativos)</w:t>
            </w:r>
          </w:p>
        </w:tc>
        <w:tc>
          <w:tcPr>
            <w:tcW w:w="2579" w:type="dxa"/>
          </w:tcPr>
          <w:p w14:paraId="13879626" w14:textId="6DCF2A25" w:rsidR="00323E06" w:rsidRPr="002E1AF6" w:rsidRDefault="00351356" w:rsidP="002B6E2E">
            <w:pPr>
              <w:autoSpaceDE w:val="0"/>
              <w:autoSpaceDN w:val="0"/>
              <w:adjustRightInd w:val="0"/>
              <w:jc w:val="right"/>
              <w:rPr>
                <w:rFonts w:ascii="Arial" w:hAnsi="Arial" w:cs="Arial"/>
                <w:color w:val="000000"/>
                <w:sz w:val="18"/>
              </w:rPr>
            </w:pPr>
            <w:r w:rsidRPr="002E1AF6">
              <w:rPr>
                <w:rFonts w:ascii="Arial" w:hAnsi="Arial" w:cs="Arial"/>
                <w:color w:val="000000"/>
                <w:sz w:val="18"/>
              </w:rPr>
              <w:t>37.597</w:t>
            </w:r>
          </w:p>
        </w:tc>
      </w:tr>
    </w:tbl>
    <w:p w14:paraId="04BAB58C" w14:textId="5B089CD0" w:rsidR="00323E06" w:rsidRDefault="00323E06" w:rsidP="00323E06">
      <w:pPr>
        <w:autoSpaceDE w:val="0"/>
        <w:autoSpaceDN w:val="0"/>
        <w:adjustRightInd w:val="0"/>
        <w:ind w:left="360"/>
        <w:jc w:val="both"/>
        <w:rPr>
          <w:rFonts w:ascii="Arial" w:hAnsi="Arial" w:cs="Arial"/>
          <w:color w:val="000000"/>
          <w:sz w:val="20"/>
        </w:rPr>
      </w:pPr>
    </w:p>
    <w:p w14:paraId="7474BDB0" w14:textId="77777777" w:rsidR="002A4E51" w:rsidRPr="00313C20" w:rsidRDefault="002A4E51" w:rsidP="00323E06">
      <w:pPr>
        <w:autoSpaceDE w:val="0"/>
        <w:autoSpaceDN w:val="0"/>
        <w:adjustRightInd w:val="0"/>
        <w:ind w:left="360"/>
        <w:jc w:val="both"/>
        <w:rPr>
          <w:rFonts w:ascii="Arial" w:hAnsi="Arial" w:cs="Arial"/>
          <w:color w:val="000000"/>
          <w:sz w:val="20"/>
        </w:rPr>
      </w:pPr>
    </w:p>
    <w:p w14:paraId="09D378B4" w14:textId="77777777" w:rsidR="00323E06" w:rsidRPr="00313C20" w:rsidRDefault="00323E06" w:rsidP="00323E06">
      <w:pPr>
        <w:autoSpaceDE w:val="0"/>
        <w:autoSpaceDN w:val="0"/>
        <w:adjustRightInd w:val="0"/>
        <w:ind w:firstLine="360"/>
        <w:jc w:val="both"/>
        <w:rPr>
          <w:rFonts w:ascii="Arial" w:hAnsi="Arial" w:cs="Arial"/>
          <w:color w:val="000000"/>
          <w:sz w:val="20"/>
        </w:rPr>
      </w:pPr>
      <w:r w:rsidRPr="00313C20">
        <w:rPr>
          <w:rFonts w:ascii="Arial" w:hAnsi="Arial" w:cs="Arial"/>
          <w:color w:val="000000"/>
          <w:sz w:val="20"/>
        </w:rPr>
        <w:t xml:space="preserve">(iii) Actividades de arrendamiento de la Entidad y cómo se contabilizan según la NIIF 16 </w:t>
      </w:r>
    </w:p>
    <w:p w14:paraId="10CA57C0"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3D9529BB"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El Banco arrienda varias sucursales. Los contratos de alquiler generalmente se realizan por períodos fijos de 1 a 10 años, pero pueden tener opciones de extensión como se describe en (v) a continuación.</w:t>
      </w:r>
    </w:p>
    <w:p w14:paraId="1E6EC1A1" w14:textId="3F90BEBC"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contratos pueden contener componentes de arrendamiento y no. El Banco asigna la consideración en el contrato a los componentes de arrendamiento y no arrendamiento con base en sus precios relativos independientes. Sin embargo, para los arrendamientos de bienes inmuebles para los cuales el Banco es arrendatario, ha optado por no separar los componentes de arrendamiento y los que no lo son, y en su lugar los contabiliza como un solo componente de arrendamiento.</w:t>
      </w:r>
    </w:p>
    <w:p w14:paraId="1A06F709"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términos de arrendamiento se negocian de manera individual y contienen una amplia gama de términos y condiciones diferentes. Los contratos de arrendamiento no imponen otras obligaciones de hacer o no hacer, que no sean los activos arrendados que posee el arrendador. Los activos arrendados no se pueden usar como garantía para la obtención de préstamos.</w:t>
      </w:r>
    </w:p>
    <w:p w14:paraId="183FDAEE"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64BE9AF3"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Hasta el ejercicio 2018, los arrendamientos de propiedad, planta y equipo se clasificaron como arrendamientos operativos. A partir del 1 de enero de 2019, los arrendamientos se reconocen como un activo por derecho de uso registrando un pasivo como contrapartida en la fecha en que el activo arrendado está disponible para uso de la Entidad.</w:t>
      </w:r>
    </w:p>
    <w:p w14:paraId="7F4B48D8"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06368E3E" w14:textId="77777777" w:rsidR="00323E06"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activos y pasivos que surgen de un arrendamiento se miden inicialmente sobre la base del valor presente. Los pasivos por arrendamiento incluyen el valor presente neto de los siguientes pagos por arrendamiento:</w:t>
      </w:r>
    </w:p>
    <w:p w14:paraId="75FB9917"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502D0CE1"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pagos fijos (incluidos los pagos fijos en sustancia), menos cualquier activo por incentivo a cobrar</w:t>
      </w:r>
    </w:p>
    <w:p w14:paraId="6B53E196"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pagos por arrendamiento variable basados en un índice o una tasa, inicialmente medido utilizando el índice o la tasa en la fecha de inicio</w:t>
      </w:r>
    </w:p>
    <w:p w14:paraId="0C022D22"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importes que el Banco debe pagar bajo garantías de valor residual</w:t>
      </w:r>
    </w:p>
    <w:p w14:paraId="4A8A2BB8"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el precio de ejercicio de una opción de compra si el Banco está razonablemente seguro de ejercer esa opción, y</w:t>
      </w:r>
    </w:p>
    <w:p w14:paraId="31BC1ECA"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 xml:space="preserve">pagos de multas por rescindir el arrendamiento, si el plazo del arrendamiento refleja que el Banco va a ejercer esa opción. </w:t>
      </w:r>
    </w:p>
    <w:p w14:paraId="18F60945"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31CE6665"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pagos por arrendamiento que se realizarán bajo opciones de extensión razonablemente ciertas también se incluyen en la medición del pasivo.</w:t>
      </w:r>
    </w:p>
    <w:p w14:paraId="563B11B9" w14:textId="77777777" w:rsidR="00323E06" w:rsidRDefault="00323E06" w:rsidP="00323E06">
      <w:pPr>
        <w:autoSpaceDE w:val="0"/>
        <w:autoSpaceDN w:val="0"/>
        <w:adjustRightInd w:val="0"/>
        <w:ind w:left="360"/>
        <w:jc w:val="both"/>
        <w:rPr>
          <w:rFonts w:ascii="Arial" w:hAnsi="Arial" w:cs="Arial"/>
          <w:color w:val="000000"/>
          <w:sz w:val="20"/>
        </w:rPr>
      </w:pPr>
    </w:p>
    <w:p w14:paraId="3323C8AA"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pagos de arrendamiento se descuentan utilizando la tasa de interés implícita en el arrendamiento. Si esa tasa no se puede determinar fácilmente, que generalmente es el caso de los arrendamientos en el Banco, se utiliza la tasa de endeudamiento incremental del arrendatario, que es la tasa que el arrendatario individual tendría que pagar para pedir prestados los fondos necesarios para obtener un activo de valor similar al activo por derecho de uso en un entorno económico similar con términos, seguridad y condiciones similares.</w:t>
      </w:r>
    </w:p>
    <w:p w14:paraId="7ED5EF28" w14:textId="77777777" w:rsidR="00323E06" w:rsidRPr="00313C20" w:rsidRDefault="00323E06" w:rsidP="00323E06">
      <w:pPr>
        <w:autoSpaceDE w:val="0"/>
        <w:autoSpaceDN w:val="0"/>
        <w:adjustRightInd w:val="0"/>
        <w:jc w:val="both"/>
        <w:rPr>
          <w:rFonts w:ascii="Arial" w:hAnsi="Arial" w:cs="Arial"/>
          <w:color w:val="000000"/>
          <w:sz w:val="20"/>
        </w:rPr>
      </w:pPr>
    </w:p>
    <w:p w14:paraId="7044C3B8" w14:textId="77777777" w:rsidR="00323E06"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Para determinar la tasa de interés incremental, el Banco:</w:t>
      </w:r>
    </w:p>
    <w:p w14:paraId="19156328"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6489AC01"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siempre que sea posible, utiliza el financiamiento externo recibido recientemente como punto de partida, ajustado para reflejar los cambios en las condiciones de financiamiento desde que se recibió el financiamiento externo.</w:t>
      </w:r>
    </w:p>
    <w:p w14:paraId="10987E3B"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utiliza un enfoque de determinación de la tasa que comienza con una tasa de interés libre de riesgo ajustada por riesgo de crédito para arrendamientos que ya posee la Entidad para aquellos casos en los que no cuenta con financiamiento reciente de terceros, y</w:t>
      </w:r>
    </w:p>
    <w:p w14:paraId="452F4512"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realiza ajustes específicos para el arrendamiento, por ejemplo, plazo, moneda y garantía.</w:t>
      </w:r>
    </w:p>
    <w:p w14:paraId="4179A0C0"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7218BE16"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El Banco está expuesto a posibles aumentos futuros en los pagos de arrendamiento variables basados ​​en un índice o tasa, que no se incluyen en el pasivo por arrendamiento hasta que entren en vigencia. Cuando los ajustes a los pagos por arrendamiento basados ​​en un índice o tasa entran en vigencia, el pasivo por arrendamiento se reevalúa y ajusta contra el activo por derecho de uso.</w:t>
      </w:r>
    </w:p>
    <w:p w14:paraId="3A41581D"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77DE2FC4"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 xml:space="preserve">Los pagos por arrendamiento se asignan entre el capital y el costo financiero. El costo financiero se carga a resultados durante el período de arrendamiento para producir una tasa de interés periódica constante sobre el saldo restante del pasivo para cada período. </w:t>
      </w:r>
    </w:p>
    <w:p w14:paraId="21DB6D3D"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79FA7A86" w14:textId="77777777" w:rsidR="00323E06"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activos por derecho de uso se miden al costo que comprende lo siguiente:</w:t>
      </w:r>
    </w:p>
    <w:p w14:paraId="193B5DD2"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158AED93"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el importe de la medición inicial del pasivo por arrendamiento</w:t>
      </w:r>
    </w:p>
    <w:p w14:paraId="0DC8E14B"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 xml:space="preserve">cualquier pago por arrendamiento realizado en o antes de la fecha de inicio menos cualquier activo por incentivo de arrendamiento </w:t>
      </w:r>
    </w:p>
    <w:p w14:paraId="6E77B942"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cualquier costo directo inicial, y</w:t>
      </w:r>
    </w:p>
    <w:p w14:paraId="020B0FF7" w14:textId="77777777" w:rsidR="00323E06" w:rsidRPr="00313C20" w:rsidRDefault="00323E06" w:rsidP="00323E06">
      <w:pPr>
        <w:pStyle w:val="ListParagraph"/>
        <w:numPr>
          <w:ilvl w:val="0"/>
          <w:numId w:val="41"/>
        </w:numPr>
        <w:autoSpaceDE w:val="0"/>
        <w:autoSpaceDN w:val="0"/>
        <w:adjustRightInd w:val="0"/>
        <w:jc w:val="both"/>
        <w:rPr>
          <w:rFonts w:ascii="Arial" w:hAnsi="Arial" w:cs="Arial"/>
          <w:color w:val="000000"/>
          <w:sz w:val="20"/>
        </w:rPr>
      </w:pPr>
      <w:r w:rsidRPr="00313C20">
        <w:rPr>
          <w:rFonts w:ascii="Arial" w:hAnsi="Arial" w:cs="Arial"/>
          <w:color w:val="000000"/>
          <w:sz w:val="20"/>
        </w:rPr>
        <w:t>costos de restauración.</w:t>
      </w:r>
    </w:p>
    <w:p w14:paraId="7D703B49"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559F6771"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activos por derecho de uso generalmente se deprecian durante la vida útil más corta del activo y el plazo del arrendamiento en forma lineal.</w:t>
      </w:r>
    </w:p>
    <w:p w14:paraId="5F5037A2"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23733D09"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pagos asociados con arrendamientos a corto plazo de equipos y todos los arrendamientos de activos de bajo valor se reconocen linealmente como un gasto en resultados. Los arrendamientos a corto plazo son arrendamientos con un plazo de arrendamiento de 12 meses o menos. Los activos de bajo valor comprenden equipos informáticos y pequeños artículos de mobiliario de oficina.</w:t>
      </w:r>
    </w:p>
    <w:p w14:paraId="16F94D6D" w14:textId="77777777" w:rsidR="00323E06" w:rsidRPr="00313C20" w:rsidRDefault="00323E06" w:rsidP="00323E06">
      <w:pPr>
        <w:autoSpaceDE w:val="0"/>
        <w:autoSpaceDN w:val="0"/>
        <w:adjustRightInd w:val="0"/>
        <w:jc w:val="both"/>
        <w:rPr>
          <w:rFonts w:ascii="Arial" w:hAnsi="Arial" w:cs="Arial"/>
          <w:color w:val="000000"/>
          <w:sz w:val="20"/>
        </w:rPr>
      </w:pPr>
    </w:p>
    <w:p w14:paraId="751C0930" w14:textId="77777777" w:rsidR="00323E06" w:rsidRPr="00313C20"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(v) Opciones de extensión y terminación</w:t>
      </w:r>
    </w:p>
    <w:p w14:paraId="4F99784A" w14:textId="77777777" w:rsidR="00323E06" w:rsidRPr="00313C20" w:rsidRDefault="00323E06" w:rsidP="00323E06">
      <w:pPr>
        <w:autoSpaceDE w:val="0"/>
        <w:autoSpaceDN w:val="0"/>
        <w:adjustRightInd w:val="0"/>
        <w:ind w:left="360"/>
        <w:jc w:val="both"/>
        <w:rPr>
          <w:rFonts w:ascii="Arial" w:hAnsi="Arial" w:cs="Arial"/>
          <w:color w:val="000000"/>
          <w:sz w:val="20"/>
        </w:rPr>
      </w:pPr>
    </w:p>
    <w:p w14:paraId="4DA8807B" w14:textId="77777777" w:rsidR="00323E06" w:rsidRDefault="00323E06" w:rsidP="00323E06">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Las opciones de extensión y terminación están incluidas en varios contratos de arrendamiento de propiedades. Estos se utilizan para maximizar la flexibilidad operativa en términos de gestión de los activos utilizados en las operaciones. La mayoría de las opciones de extensión y terminación mantenidas son ejercibles solo por el Banco y no por el arrendador respectivo.</w:t>
      </w:r>
    </w:p>
    <w:p w14:paraId="19E79632" w14:textId="77777777" w:rsidR="002266D4" w:rsidRPr="00701F32" w:rsidRDefault="002266D4" w:rsidP="002266D4">
      <w:pPr>
        <w:widowControl w:val="0"/>
        <w:autoSpaceDE w:val="0"/>
        <w:autoSpaceDN w:val="0"/>
        <w:adjustRightInd w:val="0"/>
        <w:jc w:val="both"/>
        <w:rPr>
          <w:rFonts w:ascii="Arial" w:hAnsi="Arial" w:cs="Arial"/>
          <w:noProof/>
          <w:sz w:val="20"/>
        </w:rPr>
      </w:pPr>
    </w:p>
    <w:p w14:paraId="296389B2" w14:textId="144424BD" w:rsidR="006C1D52" w:rsidRPr="001B2F17" w:rsidRDefault="006C1D52" w:rsidP="006C1D52">
      <w:pPr>
        <w:spacing w:after="160" w:line="259" w:lineRule="auto"/>
        <w:jc w:val="both"/>
        <w:rPr>
          <w:rFonts w:ascii="Arial" w:eastAsia="Calibri" w:hAnsi="Arial" w:cs="Arial"/>
          <w:b/>
          <w:sz w:val="20"/>
        </w:rPr>
      </w:pPr>
      <w:r w:rsidRPr="00BA7A6B">
        <w:rPr>
          <w:rFonts w:ascii="Arial" w:hAnsi="Arial" w:cs="Arial"/>
          <w:b/>
          <w:sz w:val="20"/>
        </w:rPr>
        <w:t xml:space="preserve">12. </w:t>
      </w:r>
      <w:r w:rsidRPr="00BA7A6B">
        <w:rPr>
          <w:rFonts w:ascii="Arial" w:eastAsia="Calibri" w:hAnsi="Arial" w:cs="Arial"/>
          <w:b/>
          <w:sz w:val="20"/>
        </w:rPr>
        <w:t>ACTIVOS INTANGIBLES</w:t>
      </w:r>
    </w:p>
    <w:p w14:paraId="6AA62C41" w14:textId="38CEC68A" w:rsidR="006C1D52" w:rsidRPr="00701F32" w:rsidRDefault="006C1D52" w:rsidP="006C1D52">
      <w:pPr>
        <w:tabs>
          <w:tab w:val="left" w:pos="142"/>
        </w:tabs>
        <w:jc w:val="both"/>
        <w:rPr>
          <w:rFonts w:ascii="Arial" w:hAnsi="Arial" w:cs="Arial"/>
          <w:noProof/>
          <w:sz w:val="20"/>
        </w:rPr>
      </w:pPr>
      <w:r w:rsidRPr="00701F32">
        <w:rPr>
          <w:rFonts w:ascii="Arial" w:eastAsia="Calibri" w:hAnsi="Arial" w:cs="Arial"/>
          <w:sz w:val="20"/>
        </w:rPr>
        <w:lastRenderedPageBreak/>
        <w:t xml:space="preserve">Los movimientos en activos intangibles para el </w:t>
      </w:r>
      <w:r>
        <w:rPr>
          <w:rFonts w:ascii="Arial" w:eastAsia="Calibri" w:hAnsi="Arial" w:cs="Arial"/>
          <w:sz w:val="20"/>
        </w:rPr>
        <w:t>período</w:t>
      </w:r>
      <w:r w:rsidR="007F209B">
        <w:rPr>
          <w:rFonts w:ascii="Arial" w:eastAsia="Calibri" w:hAnsi="Arial" w:cs="Arial"/>
          <w:sz w:val="20"/>
        </w:rPr>
        <w:t xml:space="preserve"> finalizado el 3</w:t>
      </w:r>
      <w:r w:rsidR="00AC312D">
        <w:rPr>
          <w:rFonts w:ascii="Arial" w:eastAsia="Calibri" w:hAnsi="Arial" w:cs="Arial"/>
          <w:sz w:val="20"/>
        </w:rPr>
        <w:t>1</w:t>
      </w:r>
      <w:r w:rsidRPr="00701F32">
        <w:rPr>
          <w:rFonts w:ascii="Arial" w:eastAsia="Calibri" w:hAnsi="Arial" w:cs="Arial"/>
          <w:sz w:val="20"/>
        </w:rPr>
        <w:t xml:space="preserve"> de </w:t>
      </w:r>
      <w:r w:rsidR="00AC312D">
        <w:rPr>
          <w:rFonts w:ascii="Arial" w:eastAsia="Calibri" w:hAnsi="Arial" w:cs="Arial"/>
          <w:sz w:val="20"/>
        </w:rPr>
        <w:t>marzo</w:t>
      </w:r>
      <w:r>
        <w:rPr>
          <w:rFonts w:ascii="Arial" w:eastAsia="Calibri" w:hAnsi="Arial" w:cs="Arial"/>
          <w:sz w:val="20"/>
        </w:rPr>
        <w:t xml:space="preserve"> de</w:t>
      </w:r>
      <w:r w:rsidRPr="00701F32">
        <w:rPr>
          <w:rFonts w:ascii="Arial" w:eastAsia="Calibri" w:hAnsi="Arial" w:cs="Arial"/>
          <w:sz w:val="20"/>
        </w:rPr>
        <w:t xml:space="preserve"> 20</w:t>
      </w:r>
      <w:r w:rsidR="00AC312D">
        <w:rPr>
          <w:rFonts w:ascii="Arial" w:eastAsia="Calibri" w:hAnsi="Arial" w:cs="Arial"/>
          <w:sz w:val="20"/>
        </w:rPr>
        <w:t>20</w:t>
      </w:r>
      <w:r w:rsidRPr="00701F32">
        <w:rPr>
          <w:rFonts w:ascii="Arial" w:eastAsia="Calibri" w:hAnsi="Arial" w:cs="Arial"/>
          <w:sz w:val="20"/>
        </w:rPr>
        <w:t xml:space="preserve"> fueron los siguientes:</w:t>
      </w:r>
    </w:p>
    <w:p w14:paraId="03FCBB78" w14:textId="77777777" w:rsidR="006C1D52" w:rsidRDefault="006C1D52" w:rsidP="006C1D52">
      <w:pPr>
        <w:widowControl w:val="0"/>
        <w:autoSpaceDE w:val="0"/>
        <w:autoSpaceDN w:val="0"/>
        <w:adjustRightInd w:val="0"/>
        <w:jc w:val="both"/>
        <w:rPr>
          <w:rFonts w:ascii="Arial" w:hAnsi="Arial" w:cs="Arial"/>
          <w:noProof/>
          <w:sz w:val="20"/>
        </w:rPr>
      </w:pPr>
    </w:p>
    <w:tbl>
      <w:tblPr>
        <w:tblW w:w="9365" w:type="dxa"/>
        <w:tblLayout w:type="fixed"/>
        <w:tblCellMar>
          <w:left w:w="70" w:type="dxa"/>
          <w:right w:w="70" w:type="dxa"/>
        </w:tblCellMar>
        <w:tblLook w:val="04A0" w:firstRow="1" w:lastRow="0" w:firstColumn="1" w:lastColumn="0" w:noHBand="0" w:noVBand="1"/>
      </w:tblPr>
      <w:tblGrid>
        <w:gridCol w:w="2405"/>
        <w:gridCol w:w="964"/>
        <w:gridCol w:w="781"/>
        <w:gridCol w:w="665"/>
        <w:gridCol w:w="748"/>
        <w:gridCol w:w="895"/>
        <w:gridCol w:w="458"/>
        <w:gridCol w:w="693"/>
        <w:gridCol w:w="825"/>
        <w:gridCol w:w="931"/>
      </w:tblGrid>
      <w:tr w:rsidR="000263A4" w:rsidRPr="000263A4" w14:paraId="0D8C97FB" w14:textId="77777777" w:rsidTr="00AC312D">
        <w:trPr>
          <w:trHeight w:val="300"/>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FCA49"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Concepto</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A029CF"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Valor de origen al inicio del ejercicio</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0DB7E"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Vida Útil total estimada en años</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A13CD4"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Altas</w:t>
            </w:r>
          </w:p>
        </w:tc>
        <w:tc>
          <w:tcPr>
            <w:tcW w:w="7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75280"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Bajas</w:t>
            </w:r>
          </w:p>
        </w:tc>
        <w:tc>
          <w:tcPr>
            <w:tcW w:w="2871" w:type="dxa"/>
            <w:gridSpan w:val="4"/>
            <w:tcBorders>
              <w:top w:val="single" w:sz="4" w:space="0" w:color="auto"/>
              <w:left w:val="nil"/>
              <w:bottom w:val="single" w:sz="4" w:space="0" w:color="auto"/>
              <w:right w:val="single" w:sz="4" w:space="0" w:color="auto"/>
            </w:tcBorders>
            <w:shd w:val="clear" w:color="auto" w:fill="auto"/>
            <w:vAlign w:val="center"/>
            <w:hideMark/>
          </w:tcPr>
          <w:p w14:paraId="6014EF42"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Depreciación</w:t>
            </w:r>
          </w:p>
        </w:tc>
        <w:tc>
          <w:tcPr>
            <w:tcW w:w="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2BB35C"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Valor residual al cierre del período</w:t>
            </w:r>
          </w:p>
        </w:tc>
      </w:tr>
      <w:tr w:rsidR="000263A4" w:rsidRPr="000263A4" w14:paraId="32D68E24" w14:textId="77777777" w:rsidTr="00AC312D">
        <w:trPr>
          <w:trHeight w:val="450"/>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5AF3D91" w14:textId="77777777" w:rsidR="000263A4" w:rsidRPr="000263A4" w:rsidRDefault="000263A4" w:rsidP="000263A4">
            <w:pPr>
              <w:rPr>
                <w:rFonts w:ascii="Arial" w:hAnsi="Arial" w:cs="Arial"/>
                <w:b/>
                <w:bCs/>
                <w:color w:val="000000"/>
                <w:sz w:val="14"/>
                <w:szCs w:val="14"/>
                <w:lang w:eastAsia="es-AR"/>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0ED9C529" w14:textId="77777777" w:rsidR="000263A4" w:rsidRPr="000263A4" w:rsidRDefault="000263A4" w:rsidP="000263A4">
            <w:pPr>
              <w:rPr>
                <w:rFonts w:ascii="Arial" w:hAnsi="Arial" w:cs="Arial"/>
                <w:b/>
                <w:bCs/>
                <w:color w:val="000000"/>
                <w:sz w:val="14"/>
                <w:szCs w:val="14"/>
                <w:lang w:eastAsia="es-AR"/>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36D756F" w14:textId="77777777" w:rsidR="000263A4" w:rsidRPr="000263A4" w:rsidRDefault="000263A4" w:rsidP="000263A4">
            <w:pPr>
              <w:rPr>
                <w:rFonts w:ascii="Arial" w:hAnsi="Arial" w:cs="Arial"/>
                <w:b/>
                <w:bCs/>
                <w:color w:val="000000"/>
                <w:sz w:val="14"/>
                <w:szCs w:val="14"/>
                <w:lang w:eastAsia="es-AR"/>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293EFE5D" w14:textId="77777777" w:rsidR="000263A4" w:rsidRPr="000263A4" w:rsidRDefault="000263A4" w:rsidP="000263A4">
            <w:pPr>
              <w:rPr>
                <w:rFonts w:ascii="Arial" w:hAnsi="Arial" w:cs="Arial"/>
                <w:b/>
                <w:bCs/>
                <w:color w:val="000000"/>
                <w:sz w:val="14"/>
                <w:szCs w:val="14"/>
                <w:lang w:eastAsia="es-AR"/>
              </w:rPr>
            </w:pPr>
          </w:p>
        </w:tc>
        <w:tc>
          <w:tcPr>
            <w:tcW w:w="748" w:type="dxa"/>
            <w:vMerge/>
            <w:tcBorders>
              <w:top w:val="single" w:sz="4" w:space="0" w:color="auto"/>
              <w:left w:val="single" w:sz="4" w:space="0" w:color="auto"/>
              <w:bottom w:val="single" w:sz="4" w:space="0" w:color="auto"/>
              <w:right w:val="single" w:sz="4" w:space="0" w:color="auto"/>
            </w:tcBorders>
            <w:vAlign w:val="center"/>
            <w:hideMark/>
          </w:tcPr>
          <w:p w14:paraId="70B103DC" w14:textId="77777777" w:rsidR="000263A4" w:rsidRPr="000263A4" w:rsidRDefault="000263A4" w:rsidP="000263A4">
            <w:pPr>
              <w:rPr>
                <w:rFonts w:ascii="Arial" w:hAnsi="Arial" w:cs="Arial"/>
                <w:b/>
                <w:bCs/>
                <w:color w:val="000000"/>
                <w:sz w:val="14"/>
                <w:szCs w:val="14"/>
                <w:lang w:eastAsia="es-AR"/>
              </w:rPr>
            </w:pPr>
          </w:p>
        </w:tc>
        <w:tc>
          <w:tcPr>
            <w:tcW w:w="895" w:type="dxa"/>
            <w:tcBorders>
              <w:top w:val="nil"/>
              <w:left w:val="nil"/>
              <w:bottom w:val="single" w:sz="4" w:space="0" w:color="auto"/>
              <w:right w:val="single" w:sz="4" w:space="0" w:color="auto"/>
            </w:tcBorders>
            <w:shd w:val="clear" w:color="auto" w:fill="auto"/>
            <w:vAlign w:val="center"/>
            <w:hideMark/>
          </w:tcPr>
          <w:p w14:paraId="51EDF31A" w14:textId="77777777" w:rsidR="000263A4" w:rsidRPr="000263A4" w:rsidRDefault="000263A4" w:rsidP="000263A4">
            <w:pPr>
              <w:jc w:val="right"/>
              <w:rPr>
                <w:rFonts w:ascii="Arial" w:hAnsi="Arial" w:cs="Arial"/>
                <w:b/>
                <w:bCs/>
                <w:color w:val="000000"/>
                <w:sz w:val="14"/>
                <w:szCs w:val="14"/>
                <w:lang w:eastAsia="es-AR"/>
              </w:rPr>
            </w:pPr>
            <w:r w:rsidRPr="000263A4">
              <w:rPr>
                <w:rFonts w:ascii="Arial" w:hAnsi="Arial" w:cs="Arial"/>
                <w:b/>
                <w:bCs/>
                <w:color w:val="000000"/>
                <w:sz w:val="14"/>
                <w:szCs w:val="14"/>
                <w:lang w:eastAsia="es-AR"/>
              </w:rPr>
              <w:t>Acumulada</w:t>
            </w:r>
          </w:p>
        </w:tc>
        <w:tc>
          <w:tcPr>
            <w:tcW w:w="458" w:type="dxa"/>
            <w:tcBorders>
              <w:top w:val="nil"/>
              <w:left w:val="nil"/>
              <w:bottom w:val="single" w:sz="4" w:space="0" w:color="auto"/>
              <w:right w:val="single" w:sz="4" w:space="0" w:color="auto"/>
            </w:tcBorders>
            <w:shd w:val="clear" w:color="auto" w:fill="auto"/>
            <w:vAlign w:val="center"/>
            <w:hideMark/>
          </w:tcPr>
          <w:p w14:paraId="309400BE" w14:textId="77777777" w:rsidR="000263A4" w:rsidRPr="000263A4" w:rsidRDefault="000263A4" w:rsidP="000263A4">
            <w:pPr>
              <w:jc w:val="right"/>
              <w:rPr>
                <w:rFonts w:ascii="Arial" w:hAnsi="Arial" w:cs="Arial"/>
                <w:b/>
                <w:bCs/>
                <w:color w:val="000000"/>
                <w:sz w:val="14"/>
                <w:szCs w:val="14"/>
                <w:lang w:eastAsia="es-AR"/>
              </w:rPr>
            </w:pPr>
            <w:r w:rsidRPr="000263A4">
              <w:rPr>
                <w:rFonts w:ascii="Arial" w:hAnsi="Arial" w:cs="Arial"/>
                <w:b/>
                <w:bCs/>
                <w:color w:val="000000"/>
                <w:sz w:val="14"/>
                <w:szCs w:val="14"/>
                <w:lang w:eastAsia="es-AR"/>
              </w:rPr>
              <w:t>Baja</w:t>
            </w:r>
          </w:p>
        </w:tc>
        <w:tc>
          <w:tcPr>
            <w:tcW w:w="693" w:type="dxa"/>
            <w:tcBorders>
              <w:top w:val="nil"/>
              <w:left w:val="nil"/>
              <w:bottom w:val="single" w:sz="4" w:space="0" w:color="auto"/>
              <w:right w:val="single" w:sz="4" w:space="0" w:color="auto"/>
            </w:tcBorders>
            <w:shd w:val="clear" w:color="auto" w:fill="auto"/>
            <w:vAlign w:val="center"/>
            <w:hideMark/>
          </w:tcPr>
          <w:p w14:paraId="38ED39C3"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Del período</w:t>
            </w:r>
          </w:p>
        </w:tc>
        <w:tc>
          <w:tcPr>
            <w:tcW w:w="825" w:type="dxa"/>
            <w:tcBorders>
              <w:top w:val="nil"/>
              <w:left w:val="nil"/>
              <w:bottom w:val="single" w:sz="4" w:space="0" w:color="auto"/>
              <w:right w:val="single" w:sz="4" w:space="0" w:color="auto"/>
            </w:tcBorders>
            <w:shd w:val="clear" w:color="auto" w:fill="auto"/>
            <w:vAlign w:val="center"/>
            <w:hideMark/>
          </w:tcPr>
          <w:p w14:paraId="7FCDC547" w14:textId="77777777" w:rsidR="000263A4" w:rsidRPr="000263A4" w:rsidRDefault="000263A4" w:rsidP="000263A4">
            <w:pPr>
              <w:jc w:val="center"/>
              <w:rPr>
                <w:rFonts w:ascii="Arial" w:hAnsi="Arial" w:cs="Arial"/>
                <w:b/>
                <w:bCs/>
                <w:color w:val="000000"/>
                <w:sz w:val="14"/>
                <w:szCs w:val="14"/>
                <w:lang w:eastAsia="es-AR"/>
              </w:rPr>
            </w:pPr>
            <w:r w:rsidRPr="000263A4">
              <w:rPr>
                <w:rFonts w:ascii="Arial" w:hAnsi="Arial" w:cs="Arial"/>
                <w:b/>
                <w:bCs/>
                <w:color w:val="000000"/>
                <w:sz w:val="14"/>
                <w:szCs w:val="14"/>
                <w:lang w:eastAsia="es-AR"/>
              </w:rPr>
              <w:t>Al cierre</w:t>
            </w:r>
          </w:p>
        </w:tc>
        <w:tc>
          <w:tcPr>
            <w:tcW w:w="931" w:type="dxa"/>
            <w:vMerge/>
            <w:tcBorders>
              <w:top w:val="single" w:sz="4" w:space="0" w:color="auto"/>
              <w:left w:val="single" w:sz="4" w:space="0" w:color="auto"/>
              <w:bottom w:val="single" w:sz="4" w:space="0" w:color="auto"/>
              <w:right w:val="single" w:sz="4" w:space="0" w:color="auto"/>
            </w:tcBorders>
            <w:vAlign w:val="center"/>
            <w:hideMark/>
          </w:tcPr>
          <w:p w14:paraId="14163406" w14:textId="77777777" w:rsidR="000263A4" w:rsidRPr="000263A4" w:rsidRDefault="000263A4" w:rsidP="000263A4">
            <w:pPr>
              <w:rPr>
                <w:rFonts w:ascii="Arial" w:hAnsi="Arial" w:cs="Arial"/>
                <w:b/>
                <w:bCs/>
                <w:color w:val="000000"/>
                <w:sz w:val="14"/>
                <w:szCs w:val="14"/>
                <w:lang w:eastAsia="es-AR"/>
              </w:rPr>
            </w:pPr>
          </w:p>
        </w:tc>
      </w:tr>
      <w:tr w:rsidR="000263A4" w:rsidRPr="000263A4" w14:paraId="1189BC3B" w14:textId="77777777" w:rsidTr="00AC312D">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C17CB40" w14:textId="77777777" w:rsidR="000263A4" w:rsidRPr="000263A4" w:rsidRDefault="000263A4" w:rsidP="000263A4">
            <w:pPr>
              <w:rPr>
                <w:rFonts w:ascii="Arial" w:hAnsi="Arial" w:cs="Arial"/>
                <w:color w:val="000000"/>
                <w:sz w:val="14"/>
                <w:szCs w:val="14"/>
                <w:lang w:eastAsia="es-AR"/>
              </w:rPr>
            </w:pPr>
            <w:r w:rsidRPr="000263A4">
              <w:rPr>
                <w:rFonts w:ascii="Arial" w:hAnsi="Arial" w:cs="Arial"/>
                <w:color w:val="000000"/>
                <w:sz w:val="14"/>
                <w:szCs w:val="14"/>
                <w:lang w:eastAsia="es-AR"/>
              </w:rPr>
              <w:t>Llave de negocio- Combinación de negocios</w:t>
            </w:r>
          </w:p>
        </w:tc>
        <w:tc>
          <w:tcPr>
            <w:tcW w:w="964" w:type="dxa"/>
            <w:tcBorders>
              <w:top w:val="nil"/>
              <w:left w:val="nil"/>
              <w:bottom w:val="single" w:sz="4" w:space="0" w:color="auto"/>
              <w:right w:val="single" w:sz="4" w:space="0" w:color="auto"/>
            </w:tcBorders>
            <w:shd w:val="clear" w:color="auto" w:fill="auto"/>
            <w:noWrap/>
            <w:vAlign w:val="center"/>
            <w:hideMark/>
          </w:tcPr>
          <w:p w14:paraId="67DD3DB9" w14:textId="2719D2F4" w:rsidR="000263A4" w:rsidRPr="000263A4" w:rsidRDefault="00AC312D" w:rsidP="00534414">
            <w:pPr>
              <w:jc w:val="right"/>
              <w:rPr>
                <w:rFonts w:ascii="Arial" w:hAnsi="Arial" w:cs="Arial"/>
                <w:b/>
                <w:bCs/>
                <w:color w:val="000000"/>
                <w:sz w:val="14"/>
                <w:szCs w:val="14"/>
                <w:lang w:eastAsia="es-AR"/>
              </w:rPr>
            </w:pPr>
            <w:r>
              <w:rPr>
                <w:rFonts w:ascii="Arial" w:hAnsi="Arial" w:cs="Arial"/>
                <w:b/>
                <w:bCs/>
                <w:color w:val="000000"/>
                <w:sz w:val="14"/>
                <w:szCs w:val="14"/>
                <w:lang w:eastAsia="es-AR"/>
              </w:rPr>
              <w:t>296.927</w:t>
            </w:r>
          </w:p>
        </w:tc>
        <w:tc>
          <w:tcPr>
            <w:tcW w:w="781" w:type="dxa"/>
            <w:tcBorders>
              <w:top w:val="nil"/>
              <w:left w:val="nil"/>
              <w:bottom w:val="single" w:sz="4" w:space="0" w:color="auto"/>
              <w:right w:val="single" w:sz="4" w:space="0" w:color="auto"/>
            </w:tcBorders>
            <w:shd w:val="clear" w:color="auto" w:fill="auto"/>
            <w:noWrap/>
            <w:vAlign w:val="center"/>
            <w:hideMark/>
          </w:tcPr>
          <w:p w14:paraId="2D95DC91" w14:textId="77777777" w:rsidR="000263A4" w:rsidRPr="000263A4" w:rsidRDefault="000263A4" w:rsidP="000263A4">
            <w:pPr>
              <w:rPr>
                <w:color w:val="000000"/>
                <w:sz w:val="20"/>
                <w:lang w:eastAsia="es-AR"/>
              </w:rPr>
            </w:pPr>
            <w:r w:rsidRPr="000263A4">
              <w:rPr>
                <w:color w:val="000000"/>
                <w:sz w:val="20"/>
                <w:lang w:eastAsia="es-AR"/>
              </w:rPr>
              <w:t> </w:t>
            </w:r>
          </w:p>
        </w:tc>
        <w:tc>
          <w:tcPr>
            <w:tcW w:w="665" w:type="dxa"/>
            <w:tcBorders>
              <w:top w:val="nil"/>
              <w:left w:val="nil"/>
              <w:bottom w:val="single" w:sz="4" w:space="0" w:color="auto"/>
              <w:right w:val="single" w:sz="4" w:space="0" w:color="auto"/>
            </w:tcBorders>
            <w:shd w:val="clear" w:color="auto" w:fill="auto"/>
            <w:noWrap/>
            <w:vAlign w:val="center"/>
            <w:hideMark/>
          </w:tcPr>
          <w:p w14:paraId="693B71E7" w14:textId="7F4BCD85" w:rsidR="000263A4" w:rsidRPr="000263A4" w:rsidRDefault="000263A4" w:rsidP="00534414">
            <w:pPr>
              <w:jc w:val="right"/>
              <w:rPr>
                <w:rFonts w:ascii="Arial" w:hAnsi="Arial" w:cs="Arial"/>
                <w:color w:val="000000"/>
                <w:sz w:val="14"/>
                <w:szCs w:val="14"/>
                <w:lang w:eastAsia="es-AR"/>
              </w:rPr>
            </w:pPr>
            <w:r w:rsidRPr="000263A4">
              <w:rPr>
                <w:rFonts w:ascii="Arial" w:hAnsi="Arial" w:cs="Arial"/>
                <w:color w:val="000000"/>
                <w:sz w:val="14"/>
                <w:szCs w:val="14"/>
                <w:lang w:eastAsia="es-AR"/>
              </w:rPr>
              <w:t>-</w:t>
            </w:r>
          </w:p>
        </w:tc>
        <w:tc>
          <w:tcPr>
            <w:tcW w:w="748" w:type="dxa"/>
            <w:tcBorders>
              <w:top w:val="nil"/>
              <w:left w:val="nil"/>
              <w:bottom w:val="single" w:sz="4" w:space="0" w:color="auto"/>
              <w:right w:val="single" w:sz="4" w:space="0" w:color="auto"/>
            </w:tcBorders>
            <w:shd w:val="clear" w:color="auto" w:fill="auto"/>
            <w:noWrap/>
            <w:vAlign w:val="center"/>
            <w:hideMark/>
          </w:tcPr>
          <w:p w14:paraId="288D92D8" w14:textId="3200D0D4" w:rsidR="000263A4" w:rsidRPr="000263A4" w:rsidRDefault="000263A4" w:rsidP="00534414">
            <w:pPr>
              <w:jc w:val="right"/>
              <w:rPr>
                <w:rFonts w:ascii="Arial" w:hAnsi="Arial" w:cs="Arial"/>
                <w:color w:val="000000"/>
                <w:sz w:val="14"/>
                <w:szCs w:val="14"/>
                <w:lang w:eastAsia="es-AR"/>
              </w:rPr>
            </w:pPr>
            <w:r w:rsidRPr="000263A4">
              <w:rPr>
                <w:rFonts w:ascii="Arial" w:hAnsi="Arial" w:cs="Arial"/>
                <w:color w:val="000000"/>
                <w:sz w:val="14"/>
                <w:szCs w:val="14"/>
                <w:lang w:eastAsia="es-AR"/>
              </w:rPr>
              <w:t>-</w:t>
            </w:r>
          </w:p>
        </w:tc>
        <w:tc>
          <w:tcPr>
            <w:tcW w:w="895" w:type="dxa"/>
            <w:tcBorders>
              <w:top w:val="nil"/>
              <w:left w:val="nil"/>
              <w:bottom w:val="single" w:sz="4" w:space="0" w:color="auto"/>
              <w:right w:val="single" w:sz="4" w:space="0" w:color="auto"/>
            </w:tcBorders>
            <w:shd w:val="clear" w:color="auto" w:fill="auto"/>
            <w:noWrap/>
            <w:vAlign w:val="center"/>
            <w:hideMark/>
          </w:tcPr>
          <w:p w14:paraId="5A473FD5" w14:textId="236117E2" w:rsidR="000263A4" w:rsidRPr="000263A4" w:rsidRDefault="000263A4" w:rsidP="00534414">
            <w:pPr>
              <w:jc w:val="right"/>
              <w:rPr>
                <w:rFonts w:ascii="Arial" w:hAnsi="Arial" w:cs="Arial"/>
                <w:color w:val="000000"/>
                <w:sz w:val="14"/>
                <w:szCs w:val="14"/>
                <w:lang w:eastAsia="es-AR"/>
              </w:rPr>
            </w:pPr>
            <w:r w:rsidRPr="000263A4">
              <w:rPr>
                <w:rFonts w:ascii="Arial" w:hAnsi="Arial" w:cs="Arial"/>
                <w:color w:val="000000"/>
                <w:sz w:val="14"/>
                <w:szCs w:val="14"/>
                <w:lang w:eastAsia="es-AR"/>
              </w:rPr>
              <w:t>-</w:t>
            </w:r>
          </w:p>
        </w:tc>
        <w:tc>
          <w:tcPr>
            <w:tcW w:w="458" w:type="dxa"/>
            <w:tcBorders>
              <w:top w:val="nil"/>
              <w:left w:val="nil"/>
              <w:bottom w:val="single" w:sz="4" w:space="0" w:color="auto"/>
              <w:right w:val="single" w:sz="4" w:space="0" w:color="auto"/>
            </w:tcBorders>
            <w:shd w:val="clear" w:color="auto" w:fill="auto"/>
            <w:noWrap/>
            <w:vAlign w:val="center"/>
            <w:hideMark/>
          </w:tcPr>
          <w:p w14:paraId="7A68C6A3" w14:textId="24BE9DDA" w:rsidR="000263A4" w:rsidRPr="000263A4" w:rsidRDefault="00AC312D" w:rsidP="00534414">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693" w:type="dxa"/>
            <w:tcBorders>
              <w:top w:val="nil"/>
              <w:left w:val="nil"/>
              <w:bottom w:val="single" w:sz="4" w:space="0" w:color="auto"/>
              <w:right w:val="single" w:sz="4" w:space="0" w:color="auto"/>
            </w:tcBorders>
            <w:shd w:val="clear" w:color="auto" w:fill="auto"/>
            <w:noWrap/>
            <w:vAlign w:val="center"/>
            <w:hideMark/>
          </w:tcPr>
          <w:p w14:paraId="20994983" w14:textId="35254A0A" w:rsidR="000263A4" w:rsidRPr="000263A4" w:rsidRDefault="000263A4" w:rsidP="00534414">
            <w:pPr>
              <w:jc w:val="right"/>
              <w:rPr>
                <w:rFonts w:ascii="Arial" w:hAnsi="Arial" w:cs="Arial"/>
                <w:color w:val="000000"/>
                <w:sz w:val="14"/>
                <w:szCs w:val="14"/>
                <w:lang w:eastAsia="es-AR"/>
              </w:rPr>
            </w:pPr>
            <w:r w:rsidRPr="000263A4">
              <w:rPr>
                <w:rFonts w:ascii="Arial" w:hAnsi="Arial" w:cs="Arial"/>
                <w:color w:val="000000"/>
                <w:sz w:val="14"/>
                <w:szCs w:val="14"/>
                <w:lang w:eastAsia="es-AR"/>
              </w:rPr>
              <w:t>-</w:t>
            </w:r>
          </w:p>
        </w:tc>
        <w:tc>
          <w:tcPr>
            <w:tcW w:w="825" w:type="dxa"/>
            <w:tcBorders>
              <w:top w:val="nil"/>
              <w:left w:val="nil"/>
              <w:bottom w:val="single" w:sz="4" w:space="0" w:color="auto"/>
              <w:right w:val="single" w:sz="4" w:space="0" w:color="auto"/>
            </w:tcBorders>
            <w:shd w:val="clear" w:color="auto" w:fill="auto"/>
            <w:noWrap/>
            <w:vAlign w:val="center"/>
            <w:hideMark/>
          </w:tcPr>
          <w:p w14:paraId="33A5E874" w14:textId="0812A708" w:rsidR="000263A4" w:rsidRPr="000263A4" w:rsidRDefault="000263A4" w:rsidP="00534414">
            <w:pPr>
              <w:jc w:val="right"/>
              <w:rPr>
                <w:rFonts w:ascii="Arial" w:hAnsi="Arial" w:cs="Arial"/>
                <w:color w:val="000000"/>
                <w:sz w:val="14"/>
                <w:szCs w:val="14"/>
                <w:lang w:eastAsia="es-AR"/>
              </w:rPr>
            </w:pPr>
            <w:r w:rsidRPr="000263A4">
              <w:rPr>
                <w:rFonts w:ascii="Arial" w:hAnsi="Arial" w:cs="Arial"/>
                <w:color w:val="000000"/>
                <w:sz w:val="14"/>
                <w:szCs w:val="14"/>
                <w:lang w:eastAsia="es-AR"/>
              </w:rPr>
              <w:t>-</w:t>
            </w:r>
          </w:p>
        </w:tc>
        <w:tc>
          <w:tcPr>
            <w:tcW w:w="931" w:type="dxa"/>
            <w:tcBorders>
              <w:top w:val="nil"/>
              <w:left w:val="nil"/>
              <w:bottom w:val="single" w:sz="4" w:space="0" w:color="auto"/>
              <w:right w:val="single" w:sz="4" w:space="0" w:color="auto"/>
            </w:tcBorders>
            <w:shd w:val="clear" w:color="auto" w:fill="auto"/>
            <w:noWrap/>
            <w:vAlign w:val="center"/>
            <w:hideMark/>
          </w:tcPr>
          <w:p w14:paraId="7ED37703" w14:textId="26190AAE" w:rsidR="000263A4" w:rsidRPr="000263A4" w:rsidRDefault="00AC312D" w:rsidP="00534414">
            <w:pPr>
              <w:jc w:val="right"/>
              <w:rPr>
                <w:rFonts w:ascii="Arial" w:hAnsi="Arial" w:cs="Arial"/>
                <w:b/>
                <w:bCs/>
                <w:color w:val="000000"/>
                <w:sz w:val="14"/>
                <w:szCs w:val="14"/>
                <w:lang w:eastAsia="es-AR"/>
              </w:rPr>
            </w:pPr>
            <w:r>
              <w:rPr>
                <w:rFonts w:ascii="Arial" w:hAnsi="Arial" w:cs="Arial"/>
                <w:b/>
                <w:bCs/>
                <w:color w:val="000000"/>
                <w:sz w:val="14"/>
                <w:szCs w:val="14"/>
                <w:lang w:eastAsia="es-AR"/>
              </w:rPr>
              <w:t>296.927</w:t>
            </w:r>
          </w:p>
        </w:tc>
      </w:tr>
      <w:tr w:rsidR="00834FC0" w:rsidRPr="000263A4" w14:paraId="344DA6FE" w14:textId="77777777" w:rsidTr="00AC312D">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C06ECF0" w14:textId="77777777" w:rsidR="00834FC0" w:rsidRPr="000263A4" w:rsidRDefault="00834FC0" w:rsidP="00834FC0">
            <w:pPr>
              <w:rPr>
                <w:rFonts w:ascii="Arial" w:hAnsi="Arial" w:cs="Arial"/>
                <w:color w:val="000000"/>
                <w:sz w:val="14"/>
                <w:szCs w:val="14"/>
                <w:lang w:eastAsia="es-AR"/>
              </w:rPr>
            </w:pPr>
            <w:r w:rsidRPr="000263A4">
              <w:rPr>
                <w:rFonts w:ascii="Arial" w:hAnsi="Arial" w:cs="Arial"/>
                <w:color w:val="000000"/>
                <w:sz w:val="14"/>
                <w:szCs w:val="14"/>
                <w:lang w:eastAsia="es-AR"/>
              </w:rPr>
              <w:t>Otros activos intangibles</w:t>
            </w:r>
          </w:p>
        </w:tc>
        <w:tc>
          <w:tcPr>
            <w:tcW w:w="964" w:type="dxa"/>
            <w:tcBorders>
              <w:top w:val="nil"/>
              <w:left w:val="nil"/>
              <w:bottom w:val="single" w:sz="4" w:space="0" w:color="auto"/>
              <w:right w:val="single" w:sz="4" w:space="0" w:color="auto"/>
            </w:tcBorders>
            <w:shd w:val="clear" w:color="auto" w:fill="auto"/>
            <w:noWrap/>
            <w:vAlign w:val="center"/>
            <w:hideMark/>
          </w:tcPr>
          <w:p w14:paraId="60BC944B" w14:textId="7640F323" w:rsidR="00834FC0" w:rsidRPr="000263A4" w:rsidRDefault="00AC312D" w:rsidP="00834FC0">
            <w:pPr>
              <w:jc w:val="right"/>
              <w:rPr>
                <w:rFonts w:ascii="Arial" w:hAnsi="Arial" w:cs="Arial"/>
                <w:b/>
                <w:bCs/>
                <w:color w:val="000000"/>
                <w:sz w:val="14"/>
                <w:szCs w:val="14"/>
                <w:lang w:eastAsia="es-AR"/>
              </w:rPr>
            </w:pPr>
            <w:r>
              <w:rPr>
                <w:rFonts w:ascii="Arial" w:hAnsi="Arial" w:cs="Arial"/>
                <w:b/>
                <w:bCs/>
                <w:color w:val="000000"/>
                <w:sz w:val="14"/>
                <w:szCs w:val="14"/>
                <w:lang w:eastAsia="es-AR"/>
              </w:rPr>
              <w:t>1.851.248</w:t>
            </w:r>
          </w:p>
        </w:tc>
        <w:tc>
          <w:tcPr>
            <w:tcW w:w="781" w:type="dxa"/>
            <w:tcBorders>
              <w:top w:val="nil"/>
              <w:left w:val="nil"/>
              <w:bottom w:val="single" w:sz="4" w:space="0" w:color="auto"/>
              <w:right w:val="single" w:sz="4" w:space="0" w:color="auto"/>
            </w:tcBorders>
            <w:shd w:val="clear" w:color="auto" w:fill="auto"/>
            <w:noWrap/>
            <w:vAlign w:val="center"/>
            <w:hideMark/>
          </w:tcPr>
          <w:p w14:paraId="3D91EAAC" w14:textId="0123E8C1" w:rsidR="00834FC0" w:rsidRPr="000263A4" w:rsidRDefault="00834FC0" w:rsidP="00834FC0">
            <w:pPr>
              <w:jc w:val="center"/>
              <w:rPr>
                <w:rFonts w:ascii="Arial" w:hAnsi="Arial" w:cs="Arial"/>
                <w:color w:val="000000"/>
                <w:sz w:val="14"/>
                <w:szCs w:val="14"/>
                <w:lang w:eastAsia="es-AR"/>
              </w:rPr>
            </w:pPr>
            <w:r w:rsidRPr="000263A4">
              <w:rPr>
                <w:rFonts w:ascii="Arial" w:hAnsi="Arial" w:cs="Arial"/>
                <w:color w:val="000000"/>
                <w:sz w:val="14"/>
                <w:szCs w:val="14"/>
                <w:lang w:eastAsia="es-AR"/>
              </w:rPr>
              <w:t>3</w:t>
            </w:r>
          </w:p>
        </w:tc>
        <w:tc>
          <w:tcPr>
            <w:tcW w:w="665" w:type="dxa"/>
            <w:tcBorders>
              <w:top w:val="nil"/>
              <w:left w:val="nil"/>
              <w:bottom w:val="single" w:sz="4" w:space="0" w:color="auto"/>
              <w:right w:val="single" w:sz="4" w:space="0" w:color="auto"/>
            </w:tcBorders>
            <w:shd w:val="clear" w:color="auto" w:fill="auto"/>
            <w:noWrap/>
            <w:vAlign w:val="center"/>
            <w:hideMark/>
          </w:tcPr>
          <w:p w14:paraId="21E491C4" w14:textId="4A1EAE4C" w:rsidR="00834FC0" w:rsidRPr="000263A4" w:rsidRDefault="00AC312D" w:rsidP="00834FC0">
            <w:pPr>
              <w:jc w:val="right"/>
              <w:rPr>
                <w:rFonts w:ascii="Arial" w:hAnsi="Arial" w:cs="Arial"/>
                <w:color w:val="000000"/>
                <w:sz w:val="14"/>
                <w:szCs w:val="14"/>
                <w:lang w:eastAsia="es-AR"/>
              </w:rPr>
            </w:pPr>
            <w:r>
              <w:rPr>
                <w:rFonts w:ascii="Arial" w:hAnsi="Arial" w:cs="Arial"/>
                <w:color w:val="000000"/>
                <w:sz w:val="14"/>
                <w:szCs w:val="14"/>
              </w:rPr>
              <w:t>49.380</w:t>
            </w:r>
          </w:p>
        </w:tc>
        <w:tc>
          <w:tcPr>
            <w:tcW w:w="748" w:type="dxa"/>
            <w:tcBorders>
              <w:top w:val="nil"/>
              <w:left w:val="nil"/>
              <w:bottom w:val="single" w:sz="4" w:space="0" w:color="auto"/>
              <w:right w:val="single" w:sz="4" w:space="0" w:color="auto"/>
            </w:tcBorders>
            <w:shd w:val="clear" w:color="auto" w:fill="auto"/>
            <w:noWrap/>
            <w:vAlign w:val="center"/>
            <w:hideMark/>
          </w:tcPr>
          <w:p w14:paraId="58B8D867" w14:textId="25930498" w:rsidR="00834FC0" w:rsidRPr="000263A4" w:rsidRDefault="00834FC0" w:rsidP="00834FC0">
            <w:pPr>
              <w:jc w:val="right"/>
              <w:rPr>
                <w:rFonts w:ascii="Arial" w:hAnsi="Arial" w:cs="Arial"/>
                <w:color w:val="000000"/>
                <w:sz w:val="14"/>
                <w:szCs w:val="14"/>
                <w:lang w:eastAsia="es-AR"/>
              </w:rPr>
            </w:pPr>
            <w:r>
              <w:rPr>
                <w:rFonts w:ascii="Arial" w:hAnsi="Arial" w:cs="Arial"/>
                <w:color w:val="000000"/>
                <w:sz w:val="14"/>
                <w:szCs w:val="14"/>
              </w:rPr>
              <w:t>-</w:t>
            </w:r>
            <w:r w:rsidR="00AC312D">
              <w:rPr>
                <w:rFonts w:ascii="Arial" w:hAnsi="Arial" w:cs="Arial"/>
                <w:color w:val="000000"/>
                <w:sz w:val="14"/>
                <w:szCs w:val="14"/>
              </w:rPr>
              <w:t>4.</w:t>
            </w:r>
            <w:r w:rsidR="00323544">
              <w:rPr>
                <w:rFonts w:ascii="Arial" w:hAnsi="Arial" w:cs="Arial"/>
                <w:color w:val="000000"/>
                <w:sz w:val="14"/>
                <w:szCs w:val="14"/>
              </w:rPr>
              <w:t>5</w:t>
            </w:r>
            <w:r w:rsidR="00AC312D">
              <w:rPr>
                <w:rFonts w:ascii="Arial" w:hAnsi="Arial" w:cs="Arial"/>
                <w:color w:val="000000"/>
                <w:sz w:val="14"/>
                <w:szCs w:val="14"/>
              </w:rPr>
              <w:t>53</w:t>
            </w:r>
          </w:p>
        </w:tc>
        <w:tc>
          <w:tcPr>
            <w:tcW w:w="895" w:type="dxa"/>
            <w:tcBorders>
              <w:top w:val="nil"/>
              <w:left w:val="nil"/>
              <w:bottom w:val="single" w:sz="4" w:space="0" w:color="auto"/>
              <w:right w:val="single" w:sz="4" w:space="0" w:color="auto"/>
            </w:tcBorders>
            <w:shd w:val="clear" w:color="auto" w:fill="auto"/>
            <w:noWrap/>
            <w:vAlign w:val="center"/>
            <w:hideMark/>
          </w:tcPr>
          <w:p w14:paraId="4652DD35" w14:textId="1C455051" w:rsidR="00834FC0" w:rsidRPr="000263A4" w:rsidRDefault="00834FC0" w:rsidP="00834FC0">
            <w:pPr>
              <w:jc w:val="right"/>
              <w:rPr>
                <w:rFonts w:ascii="Arial" w:hAnsi="Arial" w:cs="Arial"/>
                <w:color w:val="000000"/>
                <w:sz w:val="14"/>
                <w:szCs w:val="14"/>
                <w:lang w:eastAsia="es-AR"/>
              </w:rPr>
            </w:pPr>
            <w:r>
              <w:rPr>
                <w:rFonts w:ascii="Arial" w:hAnsi="Arial" w:cs="Arial"/>
                <w:color w:val="000000"/>
                <w:sz w:val="14"/>
                <w:szCs w:val="14"/>
              </w:rPr>
              <w:t>-</w:t>
            </w:r>
            <w:r w:rsidR="00AC312D">
              <w:rPr>
                <w:rFonts w:ascii="Arial" w:hAnsi="Arial" w:cs="Arial"/>
                <w:color w:val="000000"/>
                <w:sz w:val="14"/>
                <w:szCs w:val="14"/>
              </w:rPr>
              <w:t>912.84</w:t>
            </w:r>
            <w:r w:rsidR="008A2BF5">
              <w:rPr>
                <w:rFonts w:ascii="Arial" w:hAnsi="Arial" w:cs="Arial"/>
                <w:color w:val="000000"/>
                <w:sz w:val="14"/>
                <w:szCs w:val="14"/>
              </w:rPr>
              <w:t>2</w:t>
            </w:r>
          </w:p>
        </w:tc>
        <w:tc>
          <w:tcPr>
            <w:tcW w:w="458" w:type="dxa"/>
            <w:tcBorders>
              <w:top w:val="nil"/>
              <w:left w:val="nil"/>
              <w:bottom w:val="single" w:sz="4" w:space="0" w:color="auto"/>
              <w:right w:val="single" w:sz="4" w:space="0" w:color="auto"/>
            </w:tcBorders>
            <w:shd w:val="clear" w:color="auto" w:fill="auto"/>
            <w:noWrap/>
            <w:vAlign w:val="center"/>
            <w:hideMark/>
          </w:tcPr>
          <w:p w14:paraId="73FD0268" w14:textId="2A26EAB9" w:rsidR="00834FC0" w:rsidRPr="000263A4" w:rsidRDefault="008A2BF5" w:rsidP="00834FC0">
            <w:pPr>
              <w:jc w:val="right"/>
              <w:rPr>
                <w:rFonts w:ascii="Arial" w:hAnsi="Arial" w:cs="Arial"/>
                <w:color w:val="000000"/>
                <w:sz w:val="14"/>
                <w:szCs w:val="14"/>
                <w:lang w:eastAsia="es-AR"/>
              </w:rPr>
            </w:pPr>
            <w:r>
              <w:rPr>
                <w:rFonts w:ascii="Arial" w:hAnsi="Arial" w:cs="Arial"/>
                <w:color w:val="000000"/>
                <w:sz w:val="14"/>
                <w:szCs w:val="14"/>
              </w:rPr>
              <w:t>-</w:t>
            </w:r>
          </w:p>
        </w:tc>
        <w:tc>
          <w:tcPr>
            <w:tcW w:w="693" w:type="dxa"/>
            <w:tcBorders>
              <w:top w:val="nil"/>
              <w:left w:val="nil"/>
              <w:bottom w:val="single" w:sz="4" w:space="0" w:color="auto"/>
              <w:right w:val="single" w:sz="4" w:space="0" w:color="auto"/>
            </w:tcBorders>
            <w:shd w:val="clear" w:color="auto" w:fill="auto"/>
            <w:noWrap/>
            <w:vAlign w:val="center"/>
            <w:hideMark/>
          </w:tcPr>
          <w:p w14:paraId="4C524CE9" w14:textId="0CEB912B" w:rsidR="00834FC0" w:rsidRPr="000263A4" w:rsidRDefault="00834FC0" w:rsidP="00834FC0">
            <w:pPr>
              <w:jc w:val="right"/>
              <w:rPr>
                <w:rFonts w:ascii="Arial" w:hAnsi="Arial" w:cs="Arial"/>
                <w:color w:val="000000"/>
                <w:sz w:val="14"/>
                <w:szCs w:val="14"/>
                <w:lang w:eastAsia="es-AR"/>
              </w:rPr>
            </w:pPr>
            <w:r>
              <w:rPr>
                <w:rFonts w:ascii="Arial" w:hAnsi="Arial" w:cs="Arial"/>
                <w:color w:val="000000"/>
                <w:sz w:val="14"/>
                <w:szCs w:val="14"/>
              </w:rPr>
              <w:t>-</w:t>
            </w:r>
            <w:r w:rsidR="001B1FC6">
              <w:rPr>
                <w:rFonts w:ascii="Arial" w:hAnsi="Arial" w:cs="Arial"/>
                <w:color w:val="000000"/>
                <w:sz w:val="14"/>
                <w:szCs w:val="14"/>
              </w:rPr>
              <w:t>1</w:t>
            </w:r>
            <w:r w:rsidR="00AC312D">
              <w:rPr>
                <w:rFonts w:ascii="Arial" w:hAnsi="Arial" w:cs="Arial"/>
                <w:color w:val="000000"/>
                <w:sz w:val="14"/>
                <w:szCs w:val="14"/>
              </w:rPr>
              <w:t>20.312</w:t>
            </w:r>
          </w:p>
        </w:tc>
        <w:tc>
          <w:tcPr>
            <w:tcW w:w="825" w:type="dxa"/>
            <w:tcBorders>
              <w:top w:val="nil"/>
              <w:left w:val="nil"/>
              <w:bottom w:val="single" w:sz="4" w:space="0" w:color="auto"/>
              <w:right w:val="single" w:sz="4" w:space="0" w:color="auto"/>
            </w:tcBorders>
            <w:shd w:val="clear" w:color="auto" w:fill="auto"/>
            <w:noWrap/>
            <w:vAlign w:val="center"/>
            <w:hideMark/>
          </w:tcPr>
          <w:p w14:paraId="0C5D6DAD" w14:textId="2D9D1432" w:rsidR="00834FC0" w:rsidRPr="000263A4" w:rsidRDefault="00834FC0" w:rsidP="00834FC0">
            <w:pPr>
              <w:jc w:val="right"/>
              <w:rPr>
                <w:rFonts w:ascii="Arial" w:hAnsi="Arial" w:cs="Arial"/>
                <w:color w:val="000000"/>
                <w:sz w:val="14"/>
                <w:szCs w:val="14"/>
                <w:lang w:eastAsia="es-AR"/>
              </w:rPr>
            </w:pPr>
            <w:r>
              <w:rPr>
                <w:rFonts w:ascii="Arial" w:hAnsi="Arial" w:cs="Arial"/>
                <w:color w:val="000000"/>
                <w:sz w:val="14"/>
                <w:szCs w:val="14"/>
              </w:rPr>
              <w:t>-</w:t>
            </w:r>
            <w:r w:rsidR="00AC312D">
              <w:rPr>
                <w:rFonts w:ascii="Arial" w:hAnsi="Arial" w:cs="Arial"/>
                <w:color w:val="000000"/>
                <w:sz w:val="14"/>
                <w:szCs w:val="14"/>
              </w:rPr>
              <w:t>1.033.154</w:t>
            </w:r>
          </w:p>
        </w:tc>
        <w:tc>
          <w:tcPr>
            <w:tcW w:w="931" w:type="dxa"/>
            <w:tcBorders>
              <w:top w:val="nil"/>
              <w:left w:val="nil"/>
              <w:bottom w:val="single" w:sz="4" w:space="0" w:color="auto"/>
              <w:right w:val="single" w:sz="4" w:space="0" w:color="auto"/>
            </w:tcBorders>
            <w:shd w:val="clear" w:color="auto" w:fill="auto"/>
            <w:noWrap/>
            <w:vAlign w:val="center"/>
            <w:hideMark/>
          </w:tcPr>
          <w:p w14:paraId="77452FF4" w14:textId="4BC3427F" w:rsidR="00834FC0" w:rsidRPr="000263A4" w:rsidRDefault="002C7C12" w:rsidP="00834FC0">
            <w:pPr>
              <w:jc w:val="right"/>
              <w:rPr>
                <w:rFonts w:ascii="Arial" w:hAnsi="Arial" w:cs="Arial"/>
                <w:b/>
                <w:bCs/>
                <w:color w:val="000000"/>
                <w:sz w:val="14"/>
                <w:szCs w:val="14"/>
                <w:lang w:eastAsia="es-AR"/>
              </w:rPr>
            </w:pPr>
            <w:r>
              <w:rPr>
                <w:rFonts w:ascii="Arial" w:hAnsi="Arial" w:cs="Arial"/>
                <w:b/>
                <w:bCs/>
                <w:color w:val="000000"/>
                <w:sz w:val="14"/>
                <w:szCs w:val="14"/>
              </w:rPr>
              <w:t>862.921</w:t>
            </w:r>
          </w:p>
        </w:tc>
      </w:tr>
      <w:tr w:rsidR="00834FC0" w:rsidRPr="000263A4" w14:paraId="575C39E6" w14:textId="77777777" w:rsidTr="00AC312D">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20C21C9" w14:textId="77777777" w:rsidR="00834FC0" w:rsidRPr="000263A4" w:rsidRDefault="00834FC0" w:rsidP="00834FC0">
            <w:pPr>
              <w:rPr>
                <w:rFonts w:ascii="Arial" w:hAnsi="Arial" w:cs="Arial"/>
                <w:b/>
                <w:bCs/>
                <w:color w:val="000000"/>
                <w:sz w:val="14"/>
                <w:szCs w:val="14"/>
                <w:lang w:eastAsia="es-AR"/>
              </w:rPr>
            </w:pPr>
            <w:r w:rsidRPr="000263A4">
              <w:rPr>
                <w:rFonts w:ascii="Arial" w:hAnsi="Arial" w:cs="Arial"/>
                <w:b/>
                <w:bCs/>
                <w:color w:val="000000"/>
                <w:sz w:val="14"/>
                <w:szCs w:val="14"/>
                <w:lang w:eastAsia="es-AR"/>
              </w:rPr>
              <w:t>TOTAL ACTIVOS INTANGIBLES</w:t>
            </w:r>
          </w:p>
        </w:tc>
        <w:tc>
          <w:tcPr>
            <w:tcW w:w="964" w:type="dxa"/>
            <w:tcBorders>
              <w:top w:val="nil"/>
              <w:left w:val="nil"/>
              <w:bottom w:val="single" w:sz="4" w:space="0" w:color="auto"/>
              <w:right w:val="single" w:sz="4" w:space="0" w:color="auto"/>
            </w:tcBorders>
            <w:shd w:val="clear" w:color="auto" w:fill="auto"/>
            <w:noWrap/>
            <w:vAlign w:val="center"/>
            <w:hideMark/>
          </w:tcPr>
          <w:p w14:paraId="4678E8BF" w14:textId="4BE4DAC0" w:rsidR="00834FC0" w:rsidRPr="000263A4" w:rsidRDefault="00AC312D" w:rsidP="00834FC0">
            <w:pPr>
              <w:jc w:val="right"/>
              <w:rPr>
                <w:rFonts w:ascii="Arial" w:hAnsi="Arial" w:cs="Arial"/>
                <w:b/>
                <w:bCs/>
                <w:color w:val="000000"/>
                <w:sz w:val="14"/>
                <w:szCs w:val="14"/>
                <w:lang w:eastAsia="es-AR"/>
              </w:rPr>
            </w:pPr>
            <w:r>
              <w:rPr>
                <w:rFonts w:ascii="Arial" w:hAnsi="Arial" w:cs="Arial"/>
                <w:b/>
                <w:bCs/>
                <w:color w:val="000000"/>
                <w:sz w:val="14"/>
                <w:szCs w:val="14"/>
                <w:lang w:eastAsia="es-AR"/>
              </w:rPr>
              <w:t>2.148.175</w:t>
            </w:r>
          </w:p>
        </w:tc>
        <w:tc>
          <w:tcPr>
            <w:tcW w:w="781" w:type="dxa"/>
            <w:tcBorders>
              <w:top w:val="nil"/>
              <w:left w:val="nil"/>
              <w:bottom w:val="single" w:sz="4" w:space="0" w:color="auto"/>
              <w:right w:val="single" w:sz="4" w:space="0" w:color="auto"/>
            </w:tcBorders>
            <w:shd w:val="clear" w:color="auto" w:fill="auto"/>
            <w:vAlign w:val="center"/>
            <w:hideMark/>
          </w:tcPr>
          <w:p w14:paraId="2785C13A" w14:textId="77777777" w:rsidR="00834FC0" w:rsidRPr="000263A4" w:rsidRDefault="00834FC0" w:rsidP="00834FC0">
            <w:pPr>
              <w:rPr>
                <w:color w:val="000000"/>
                <w:sz w:val="20"/>
                <w:lang w:eastAsia="es-AR"/>
              </w:rPr>
            </w:pPr>
            <w:r w:rsidRPr="000263A4">
              <w:rPr>
                <w:color w:val="000000"/>
                <w:sz w:val="20"/>
                <w:lang w:eastAsia="es-AR"/>
              </w:rPr>
              <w:t> </w:t>
            </w:r>
          </w:p>
        </w:tc>
        <w:tc>
          <w:tcPr>
            <w:tcW w:w="665" w:type="dxa"/>
            <w:tcBorders>
              <w:top w:val="nil"/>
              <w:left w:val="nil"/>
              <w:bottom w:val="single" w:sz="4" w:space="0" w:color="auto"/>
              <w:right w:val="single" w:sz="4" w:space="0" w:color="auto"/>
            </w:tcBorders>
            <w:shd w:val="clear" w:color="auto" w:fill="auto"/>
            <w:noWrap/>
            <w:vAlign w:val="center"/>
            <w:hideMark/>
          </w:tcPr>
          <w:p w14:paraId="51529FBE" w14:textId="14F1643A" w:rsidR="00834FC0" w:rsidRPr="000263A4" w:rsidRDefault="00AC312D" w:rsidP="00834FC0">
            <w:pPr>
              <w:jc w:val="right"/>
              <w:rPr>
                <w:rFonts w:ascii="Arial" w:hAnsi="Arial" w:cs="Arial"/>
                <w:b/>
                <w:bCs/>
                <w:color w:val="000000"/>
                <w:sz w:val="14"/>
                <w:szCs w:val="14"/>
                <w:lang w:eastAsia="es-AR"/>
              </w:rPr>
            </w:pPr>
            <w:r>
              <w:rPr>
                <w:rFonts w:ascii="Arial" w:hAnsi="Arial" w:cs="Arial"/>
                <w:b/>
                <w:bCs/>
                <w:color w:val="000000"/>
                <w:sz w:val="14"/>
                <w:szCs w:val="14"/>
              </w:rPr>
              <w:t>49.380</w:t>
            </w:r>
          </w:p>
        </w:tc>
        <w:tc>
          <w:tcPr>
            <w:tcW w:w="748" w:type="dxa"/>
            <w:tcBorders>
              <w:top w:val="nil"/>
              <w:left w:val="nil"/>
              <w:bottom w:val="single" w:sz="4" w:space="0" w:color="auto"/>
              <w:right w:val="single" w:sz="4" w:space="0" w:color="auto"/>
            </w:tcBorders>
            <w:shd w:val="clear" w:color="auto" w:fill="auto"/>
            <w:noWrap/>
            <w:vAlign w:val="center"/>
            <w:hideMark/>
          </w:tcPr>
          <w:p w14:paraId="69C71569" w14:textId="35A901A3" w:rsidR="00834FC0" w:rsidRPr="00834FC0" w:rsidRDefault="00AC312D" w:rsidP="00834FC0">
            <w:pPr>
              <w:jc w:val="right"/>
              <w:rPr>
                <w:rFonts w:ascii="Arial" w:hAnsi="Arial" w:cs="Arial"/>
                <w:b/>
                <w:bCs/>
                <w:color w:val="000000"/>
                <w:sz w:val="14"/>
                <w:szCs w:val="14"/>
                <w:lang w:eastAsia="es-AR"/>
              </w:rPr>
            </w:pPr>
            <w:r>
              <w:rPr>
                <w:rFonts w:ascii="Arial" w:hAnsi="Arial" w:cs="Arial"/>
                <w:b/>
                <w:color w:val="000000"/>
                <w:sz w:val="14"/>
                <w:szCs w:val="14"/>
              </w:rPr>
              <w:t>-</w:t>
            </w:r>
            <w:r w:rsidR="00323E06">
              <w:rPr>
                <w:rFonts w:ascii="Arial" w:hAnsi="Arial" w:cs="Arial"/>
                <w:b/>
                <w:color w:val="000000"/>
                <w:sz w:val="14"/>
                <w:szCs w:val="14"/>
              </w:rPr>
              <w:t xml:space="preserve"> </w:t>
            </w:r>
            <w:r>
              <w:rPr>
                <w:rFonts w:ascii="Arial" w:hAnsi="Arial" w:cs="Arial"/>
                <w:b/>
                <w:color w:val="000000"/>
                <w:sz w:val="14"/>
                <w:szCs w:val="14"/>
              </w:rPr>
              <w:t>4</w:t>
            </w:r>
            <w:r w:rsidR="00323E06">
              <w:rPr>
                <w:rFonts w:ascii="Arial" w:hAnsi="Arial" w:cs="Arial"/>
                <w:b/>
                <w:color w:val="000000"/>
                <w:sz w:val="14"/>
                <w:szCs w:val="14"/>
              </w:rPr>
              <w:t>.</w:t>
            </w:r>
            <w:r>
              <w:rPr>
                <w:rFonts w:ascii="Arial" w:hAnsi="Arial" w:cs="Arial"/>
                <w:b/>
                <w:color w:val="000000"/>
                <w:sz w:val="14"/>
                <w:szCs w:val="14"/>
              </w:rPr>
              <w:t>453</w:t>
            </w:r>
          </w:p>
        </w:tc>
        <w:tc>
          <w:tcPr>
            <w:tcW w:w="895" w:type="dxa"/>
            <w:tcBorders>
              <w:top w:val="nil"/>
              <w:left w:val="nil"/>
              <w:bottom w:val="single" w:sz="4" w:space="0" w:color="auto"/>
              <w:right w:val="single" w:sz="4" w:space="0" w:color="auto"/>
            </w:tcBorders>
            <w:shd w:val="clear" w:color="auto" w:fill="auto"/>
            <w:noWrap/>
            <w:vAlign w:val="center"/>
            <w:hideMark/>
          </w:tcPr>
          <w:p w14:paraId="158D51BC" w14:textId="320796FF" w:rsidR="00834FC0" w:rsidRPr="000263A4" w:rsidRDefault="00834FC0" w:rsidP="00834FC0">
            <w:pPr>
              <w:jc w:val="right"/>
              <w:rPr>
                <w:rFonts w:ascii="Arial" w:hAnsi="Arial" w:cs="Arial"/>
                <w:b/>
                <w:bCs/>
                <w:color w:val="000000"/>
                <w:sz w:val="14"/>
                <w:szCs w:val="14"/>
                <w:lang w:eastAsia="es-AR"/>
              </w:rPr>
            </w:pPr>
            <w:r>
              <w:rPr>
                <w:rFonts w:ascii="Arial" w:hAnsi="Arial" w:cs="Arial"/>
                <w:b/>
                <w:bCs/>
                <w:color w:val="000000"/>
                <w:sz w:val="14"/>
                <w:szCs w:val="14"/>
              </w:rPr>
              <w:t>-</w:t>
            </w:r>
            <w:r w:rsidR="00AC312D">
              <w:rPr>
                <w:rFonts w:ascii="Arial" w:hAnsi="Arial" w:cs="Arial"/>
                <w:b/>
                <w:bCs/>
                <w:color w:val="000000"/>
                <w:sz w:val="14"/>
                <w:szCs w:val="14"/>
              </w:rPr>
              <w:t>912.84</w:t>
            </w:r>
            <w:r w:rsidR="008A2BF5">
              <w:rPr>
                <w:rFonts w:ascii="Arial" w:hAnsi="Arial" w:cs="Arial"/>
                <w:b/>
                <w:bCs/>
                <w:color w:val="000000"/>
                <w:sz w:val="14"/>
                <w:szCs w:val="14"/>
              </w:rPr>
              <w:t>2</w:t>
            </w:r>
          </w:p>
        </w:tc>
        <w:tc>
          <w:tcPr>
            <w:tcW w:w="458" w:type="dxa"/>
            <w:tcBorders>
              <w:top w:val="nil"/>
              <w:left w:val="nil"/>
              <w:bottom w:val="single" w:sz="4" w:space="0" w:color="auto"/>
              <w:right w:val="single" w:sz="4" w:space="0" w:color="auto"/>
            </w:tcBorders>
            <w:shd w:val="clear" w:color="auto" w:fill="auto"/>
            <w:noWrap/>
            <w:vAlign w:val="center"/>
            <w:hideMark/>
          </w:tcPr>
          <w:p w14:paraId="6985650C" w14:textId="68387BAB" w:rsidR="00834FC0" w:rsidRPr="000263A4" w:rsidRDefault="008A2BF5" w:rsidP="00834FC0">
            <w:pPr>
              <w:jc w:val="right"/>
              <w:rPr>
                <w:rFonts w:ascii="Arial" w:hAnsi="Arial" w:cs="Arial"/>
                <w:b/>
                <w:bCs/>
                <w:color w:val="000000"/>
                <w:sz w:val="14"/>
                <w:szCs w:val="14"/>
                <w:lang w:eastAsia="es-AR"/>
              </w:rPr>
            </w:pPr>
            <w:r>
              <w:rPr>
                <w:rFonts w:ascii="Arial" w:hAnsi="Arial" w:cs="Arial"/>
                <w:b/>
                <w:bCs/>
                <w:color w:val="000000"/>
                <w:sz w:val="14"/>
                <w:szCs w:val="14"/>
              </w:rPr>
              <w:t>0</w:t>
            </w:r>
          </w:p>
        </w:tc>
        <w:tc>
          <w:tcPr>
            <w:tcW w:w="693" w:type="dxa"/>
            <w:tcBorders>
              <w:top w:val="nil"/>
              <w:left w:val="nil"/>
              <w:bottom w:val="single" w:sz="4" w:space="0" w:color="auto"/>
              <w:right w:val="single" w:sz="4" w:space="0" w:color="auto"/>
            </w:tcBorders>
            <w:shd w:val="clear" w:color="auto" w:fill="auto"/>
            <w:noWrap/>
            <w:vAlign w:val="center"/>
            <w:hideMark/>
          </w:tcPr>
          <w:p w14:paraId="3D826FB3" w14:textId="5D693055" w:rsidR="00834FC0" w:rsidRPr="000263A4" w:rsidRDefault="00834FC0" w:rsidP="00834FC0">
            <w:pPr>
              <w:jc w:val="right"/>
              <w:rPr>
                <w:rFonts w:ascii="Arial" w:hAnsi="Arial" w:cs="Arial"/>
                <w:b/>
                <w:bCs/>
                <w:color w:val="000000"/>
                <w:sz w:val="14"/>
                <w:szCs w:val="14"/>
                <w:lang w:eastAsia="es-AR"/>
              </w:rPr>
            </w:pPr>
            <w:r>
              <w:rPr>
                <w:rFonts w:ascii="Arial" w:hAnsi="Arial" w:cs="Arial"/>
                <w:b/>
                <w:bCs/>
                <w:color w:val="000000"/>
                <w:sz w:val="14"/>
                <w:szCs w:val="14"/>
              </w:rPr>
              <w:t>-</w:t>
            </w:r>
            <w:r w:rsidR="001B1FC6">
              <w:rPr>
                <w:rFonts w:ascii="Arial" w:hAnsi="Arial" w:cs="Arial"/>
                <w:b/>
                <w:bCs/>
                <w:color w:val="000000"/>
                <w:sz w:val="14"/>
                <w:szCs w:val="14"/>
              </w:rPr>
              <w:t>1</w:t>
            </w:r>
            <w:r w:rsidR="00AC312D">
              <w:rPr>
                <w:rFonts w:ascii="Arial" w:hAnsi="Arial" w:cs="Arial"/>
                <w:b/>
                <w:bCs/>
                <w:color w:val="000000"/>
                <w:sz w:val="14"/>
                <w:szCs w:val="14"/>
              </w:rPr>
              <w:t>20.312</w:t>
            </w:r>
          </w:p>
        </w:tc>
        <w:tc>
          <w:tcPr>
            <w:tcW w:w="825" w:type="dxa"/>
            <w:tcBorders>
              <w:top w:val="nil"/>
              <w:left w:val="nil"/>
              <w:bottom w:val="single" w:sz="4" w:space="0" w:color="auto"/>
              <w:right w:val="single" w:sz="4" w:space="0" w:color="auto"/>
            </w:tcBorders>
            <w:shd w:val="clear" w:color="auto" w:fill="auto"/>
            <w:noWrap/>
            <w:vAlign w:val="center"/>
            <w:hideMark/>
          </w:tcPr>
          <w:p w14:paraId="500406E9" w14:textId="136B43E7" w:rsidR="00834FC0" w:rsidRPr="000263A4" w:rsidRDefault="00834FC0" w:rsidP="00834FC0">
            <w:pPr>
              <w:jc w:val="right"/>
              <w:rPr>
                <w:rFonts w:ascii="Arial" w:hAnsi="Arial" w:cs="Arial"/>
                <w:b/>
                <w:bCs/>
                <w:color w:val="000000"/>
                <w:sz w:val="14"/>
                <w:szCs w:val="14"/>
                <w:lang w:eastAsia="es-AR"/>
              </w:rPr>
            </w:pPr>
            <w:r>
              <w:rPr>
                <w:rFonts w:ascii="Arial" w:hAnsi="Arial" w:cs="Arial"/>
                <w:b/>
                <w:bCs/>
                <w:color w:val="000000"/>
                <w:sz w:val="14"/>
                <w:szCs w:val="14"/>
              </w:rPr>
              <w:t>-</w:t>
            </w:r>
            <w:r w:rsidR="00AC312D">
              <w:rPr>
                <w:rFonts w:ascii="Arial" w:hAnsi="Arial" w:cs="Arial"/>
                <w:b/>
                <w:bCs/>
                <w:color w:val="000000"/>
                <w:sz w:val="14"/>
                <w:szCs w:val="14"/>
              </w:rPr>
              <w:t>1.033.154</w:t>
            </w:r>
          </w:p>
        </w:tc>
        <w:tc>
          <w:tcPr>
            <w:tcW w:w="931" w:type="dxa"/>
            <w:tcBorders>
              <w:top w:val="nil"/>
              <w:left w:val="nil"/>
              <w:bottom w:val="single" w:sz="4" w:space="0" w:color="auto"/>
              <w:right w:val="single" w:sz="4" w:space="0" w:color="auto"/>
            </w:tcBorders>
            <w:shd w:val="clear" w:color="auto" w:fill="auto"/>
            <w:noWrap/>
            <w:vAlign w:val="center"/>
            <w:hideMark/>
          </w:tcPr>
          <w:p w14:paraId="4589ED2A" w14:textId="16F8C224" w:rsidR="00834FC0" w:rsidRPr="000263A4" w:rsidRDefault="002C7C12" w:rsidP="00834FC0">
            <w:pPr>
              <w:jc w:val="right"/>
              <w:rPr>
                <w:rFonts w:ascii="Arial" w:hAnsi="Arial" w:cs="Arial"/>
                <w:b/>
                <w:bCs/>
                <w:color w:val="000000"/>
                <w:sz w:val="14"/>
                <w:szCs w:val="14"/>
                <w:lang w:eastAsia="es-AR"/>
              </w:rPr>
            </w:pPr>
            <w:r>
              <w:rPr>
                <w:rFonts w:ascii="Arial" w:hAnsi="Arial" w:cs="Arial"/>
                <w:b/>
                <w:bCs/>
                <w:color w:val="000000"/>
                <w:sz w:val="14"/>
                <w:szCs w:val="14"/>
              </w:rPr>
              <w:t>1.159.848</w:t>
            </w:r>
          </w:p>
        </w:tc>
      </w:tr>
    </w:tbl>
    <w:p w14:paraId="39B6223C" w14:textId="77777777" w:rsidR="00323E06" w:rsidRPr="002A769F" w:rsidRDefault="00323E06" w:rsidP="006C1D52">
      <w:pPr>
        <w:widowControl w:val="0"/>
        <w:autoSpaceDE w:val="0"/>
        <w:autoSpaceDN w:val="0"/>
        <w:adjustRightInd w:val="0"/>
        <w:jc w:val="both"/>
        <w:rPr>
          <w:rFonts w:ascii="Arial" w:hAnsi="Arial" w:cs="Arial"/>
          <w:noProof/>
          <w:sz w:val="20"/>
        </w:rPr>
      </w:pPr>
    </w:p>
    <w:p w14:paraId="171A0925" w14:textId="35708FDC" w:rsidR="006C1D52" w:rsidRPr="005B6501" w:rsidRDefault="006C1D52" w:rsidP="006C1D52">
      <w:pPr>
        <w:widowControl w:val="0"/>
        <w:autoSpaceDE w:val="0"/>
        <w:autoSpaceDN w:val="0"/>
        <w:adjustRightInd w:val="0"/>
        <w:jc w:val="both"/>
        <w:rPr>
          <w:rFonts w:ascii="Arial" w:hAnsi="Arial" w:cs="Arial"/>
          <w:b/>
          <w:caps/>
          <w:noProof/>
          <w:sz w:val="20"/>
        </w:rPr>
      </w:pPr>
      <w:r w:rsidRPr="00BA7A6B">
        <w:rPr>
          <w:rFonts w:ascii="Arial" w:hAnsi="Arial" w:cs="Arial"/>
          <w:b/>
          <w:caps/>
          <w:noProof/>
          <w:sz w:val="20"/>
        </w:rPr>
        <w:t>13. Factores de riesgos financieros</w:t>
      </w:r>
    </w:p>
    <w:p w14:paraId="5CDD9B71" w14:textId="77777777" w:rsidR="006C1D52" w:rsidRPr="005B6501" w:rsidRDefault="006C1D52" w:rsidP="006C1D52">
      <w:pPr>
        <w:widowControl w:val="0"/>
        <w:autoSpaceDE w:val="0"/>
        <w:autoSpaceDN w:val="0"/>
        <w:adjustRightInd w:val="0"/>
        <w:jc w:val="both"/>
        <w:rPr>
          <w:rFonts w:ascii="Arial" w:hAnsi="Arial" w:cs="Arial"/>
          <w:noProof/>
          <w:sz w:val="20"/>
        </w:rPr>
      </w:pPr>
    </w:p>
    <w:p w14:paraId="5A6CB54E" w14:textId="5272AA68" w:rsidR="0024283F" w:rsidRPr="005B6501" w:rsidRDefault="00EE7892" w:rsidP="003E58B4">
      <w:pPr>
        <w:widowControl w:val="0"/>
        <w:autoSpaceDE w:val="0"/>
        <w:autoSpaceDN w:val="0"/>
        <w:adjustRightInd w:val="0"/>
        <w:jc w:val="both"/>
        <w:rPr>
          <w:rFonts w:ascii="Arial" w:hAnsi="Arial" w:cs="Arial"/>
          <w:noProof/>
          <w:sz w:val="20"/>
        </w:rPr>
      </w:pPr>
      <w:r w:rsidRPr="005B6501">
        <w:rPr>
          <w:rFonts w:ascii="Arial" w:hAnsi="Arial" w:cs="Arial"/>
          <w:noProof/>
          <w:sz w:val="20"/>
        </w:rPr>
        <w:t>No ha habido cambios significativos en las políticas de gestión de los riesgos a los que está expuesto el Banco, respecto de lo informado en los estados financieros al 31 de diciembre de 201</w:t>
      </w:r>
      <w:r w:rsidR="00323E06" w:rsidRPr="005B6501">
        <w:rPr>
          <w:rFonts w:ascii="Arial" w:hAnsi="Arial" w:cs="Arial"/>
          <w:noProof/>
          <w:sz w:val="20"/>
        </w:rPr>
        <w:t>9</w:t>
      </w:r>
      <w:r w:rsidRPr="005B6501">
        <w:rPr>
          <w:rFonts w:ascii="Arial" w:hAnsi="Arial" w:cs="Arial"/>
          <w:noProof/>
          <w:sz w:val="20"/>
        </w:rPr>
        <w:t>.</w:t>
      </w:r>
    </w:p>
    <w:p w14:paraId="7D379177" w14:textId="77777777" w:rsidR="0049702C" w:rsidRPr="005B6501" w:rsidRDefault="0049702C" w:rsidP="00E23C30">
      <w:pPr>
        <w:widowControl w:val="0"/>
        <w:autoSpaceDE w:val="0"/>
        <w:autoSpaceDN w:val="0"/>
        <w:adjustRightInd w:val="0"/>
        <w:jc w:val="both"/>
        <w:rPr>
          <w:rFonts w:ascii="Arial" w:hAnsi="Arial" w:cs="Arial"/>
          <w:b/>
          <w:noProof/>
          <w:sz w:val="20"/>
        </w:rPr>
      </w:pPr>
    </w:p>
    <w:p w14:paraId="36627CCF" w14:textId="521B0F09" w:rsidR="00E23C30" w:rsidRPr="00073290" w:rsidRDefault="00E23C30" w:rsidP="00E23C30">
      <w:pPr>
        <w:widowControl w:val="0"/>
        <w:autoSpaceDE w:val="0"/>
        <w:autoSpaceDN w:val="0"/>
        <w:adjustRightInd w:val="0"/>
        <w:jc w:val="both"/>
        <w:rPr>
          <w:rFonts w:ascii="Arial" w:hAnsi="Arial" w:cs="Arial"/>
          <w:b/>
          <w:noProof/>
          <w:sz w:val="20"/>
        </w:rPr>
      </w:pPr>
      <w:r w:rsidRPr="00BA7A6B">
        <w:rPr>
          <w:rFonts w:ascii="Arial" w:hAnsi="Arial" w:cs="Arial"/>
          <w:b/>
          <w:noProof/>
          <w:sz w:val="20"/>
        </w:rPr>
        <w:t>14. CONTRATO COMO AGENTE FINANCIERO POR PARTE DE LA PROVINCIA DE SAN LUIS</w:t>
      </w:r>
    </w:p>
    <w:p w14:paraId="7B5AE38B" w14:textId="77777777" w:rsidR="00E23C30" w:rsidRPr="00E23C30" w:rsidRDefault="00E23C30" w:rsidP="00E23C30">
      <w:pPr>
        <w:widowControl w:val="0"/>
        <w:autoSpaceDE w:val="0"/>
        <w:autoSpaceDN w:val="0"/>
        <w:adjustRightInd w:val="0"/>
        <w:jc w:val="both"/>
        <w:rPr>
          <w:rFonts w:ascii="Arial" w:hAnsi="Arial" w:cs="Arial"/>
          <w:noProof/>
          <w:sz w:val="20"/>
        </w:rPr>
      </w:pPr>
    </w:p>
    <w:p w14:paraId="20B8A499" w14:textId="77777777" w:rsidR="00323E06" w:rsidRPr="001859C8" w:rsidRDefault="00323E06" w:rsidP="00323E06">
      <w:pPr>
        <w:widowControl w:val="0"/>
        <w:autoSpaceDE w:val="0"/>
        <w:autoSpaceDN w:val="0"/>
        <w:adjustRightInd w:val="0"/>
        <w:jc w:val="both"/>
        <w:rPr>
          <w:rFonts w:ascii="Arial" w:hAnsi="Arial" w:cs="Arial"/>
          <w:sz w:val="20"/>
        </w:rPr>
      </w:pPr>
      <w:r w:rsidRPr="001859C8">
        <w:rPr>
          <w:rFonts w:ascii="Arial" w:hAnsi="Arial" w:cs="Arial"/>
          <w:sz w:val="20"/>
        </w:rPr>
        <w:t>Con fecha 17 de enero de 2017 se recibió una comunicación fehaciente del Ministerio de Hacienda Pública de la Provincia de San Luis mediante la cual se comunica a Banco Supervielle S.A. que a partir del 28 de febrero de 2017 se rescindió el Contrato de Vinculación mediante el cual la Entidad cumple el rol de Agente Financiero de esa provincia. Dicho Ministerio también manifestó que, sin perjuicio del ejercicio del derecho a rescindir el contrato, el Estado Provincial podrá continuar operando con el Banco hasta tanto se seleccione un nuevo agente financiero.</w:t>
      </w:r>
    </w:p>
    <w:p w14:paraId="668F526D" w14:textId="77777777" w:rsidR="00323E06" w:rsidRPr="001859C8" w:rsidRDefault="00323E06" w:rsidP="00323E06">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235A1F6D" w14:textId="77777777" w:rsidR="00323E06" w:rsidRPr="001859C8" w:rsidRDefault="00323E06" w:rsidP="00323E06">
      <w:pPr>
        <w:widowControl w:val="0"/>
        <w:autoSpaceDE w:val="0"/>
        <w:autoSpaceDN w:val="0"/>
        <w:adjustRightInd w:val="0"/>
        <w:jc w:val="both"/>
        <w:rPr>
          <w:rFonts w:ascii="Arial" w:hAnsi="Arial" w:cs="Arial"/>
          <w:sz w:val="20"/>
        </w:rPr>
      </w:pPr>
      <w:r w:rsidRPr="001859C8">
        <w:rPr>
          <w:rFonts w:ascii="Arial" w:hAnsi="Arial" w:cs="Arial"/>
          <w:sz w:val="20"/>
        </w:rPr>
        <w:t>Desde febrero de 2017, el Banco ha continuado brindando servicios financieros al gobierno de la Provincia de San Luis y a sus empleados a pesar de la terminación del acuerdo en febrero de 2017.</w:t>
      </w:r>
    </w:p>
    <w:p w14:paraId="53746DCA" w14:textId="77777777" w:rsidR="00323E06" w:rsidRPr="001859C8" w:rsidRDefault="00323E06" w:rsidP="00323E06">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34A4CC61" w14:textId="77777777" w:rsidR="00323E06" w:rsidRPr="001859C8" w:rsidRDefault="00323E06" w:rsidP="00323E06">
      <w:pPr>
        <w:widowControl w:val="0"/>
        <w:autoSpaceDE w:val="0"/>
        <w:autoSpaceDN w:val="0"/>
        <w:adjustRightInd w:val="0"/>
        <w:jc w:val="both"/>
        <w:rPr>
          <w:rFonts w:ascii="Arial" w:hAnsi="Arial" w:cs="Arial"/>
          <w:sz w:val="20"/>
        </w:rPr>
      </w:pPr>
      <w:r w:rsidRPr="001859C8">
        <w:rPr>
          <w:rFonts w:ascii="Arial" w:hAnsi="Arial" w:cs="Arial"/>
          <w:sz w:val="20"/>
        </w:rPr>
        <w:t>El 23 de mayo de 2018, la Municipalidad de la ciudad de San Luis designó al Banco Supervielle como agente financiero por un período de 2 años, con renovación automática por 2 años adicionales, comenzando con el primer pago de sueldos el 29 de junio del año en curso. Con esta designación, el Banco se convirtió en agente financiero de todos los municipios de la Provincia.</w:t>
      </w:r>
    </w:p>
    <w:p w14:paraId="31417197" w14:textId="77777777" w:rsidR="00323E06" w:rsidRPr="001859C8" w:rsidRDefault="00323E06" w:rsidP="00323E06">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0D4E81D6" w14:textId="35310E11" w:rsidR="005F3CE8" w:rsidRPr="001859C8" w:rsidRDefault="005F3CE8" w:rsidP="00323E06">
      <w:pPr>
        <w:widowControl w:val="0"/>
        <w:autoSpaceDE w:val="0"/>
        <w:autoSpaceDN w:val="0"/>
        <w:adjustRightInd w:val="0"/>
        <w:jc w:val="both"/>
        <w:rPr>
          <w:rFonts w:ascii="Arial" w:hAnsi="Arial" w:cs="Arial"/>
          <w:sz w:val="20"/>
        </w:rPr>
      </w:pPr>
      <w:r w:rsidRPr="005F3CE8">
        <w:rPr>
          <w:rFonts w:ascii="Arial" w:hAnsi="Arial" w:cs="Arial"/>
          <w:sz w:val="20"/>
        </w:rPr>
        <w:t>El 7 de junio de 2018, la Provincia ratificó el convenio firmado con el Banco por un plazo de 12 meses formalizando su rol de agente de servicios financieros exclusivo que ha continuado ejerciendo desde hace más de 20 años. Dicho convenio ha sido renovado en sucesivas oportunidades y conforme la última renovación firmada, vence el 30 de junio de 2020.</w:t>
      </w:r>
    </w:p>
    <w:p w14:paraId="077CA343" w14:textId="77777777" w:rsidR="00323E06" w:rsidRPr="001859C8" w:rsidRDefault="00323E06" w:rsidP="00323E06">
      <w:pPr>
        <w:widowControl w:val="0"/>
        <w:autoSpaceDE w:val="0"/>
        <w:autoSpaceDN w:val="0"/>
        <w:adjustRightInd w:val="0"/>
        <w:jc w:val="both"/>
        <w:rPr>
          <w:rFonts w:ascii="Arial" w:hAnsi="Arial" w:cs="Arial"/>
          <w:sz w:val="20"/>
        </w:rPr>
      </w:pPr>
    </w:p>
    <w:p w14:paraId="538FF27E" w14:textId="77777777" w:rsidR="00323E06" w:rsidRDefault="00323E06" w:rsidP="00323E06">
      <w:pPr>
        <w:jc w:val="both"/>
        <w:rPr>
          <w:szCs w:val="24"/>
          <w:lang w:eastAsia="es-ES_tradnl"/>
        </w:rPr>
      </w:pPr>
      <w:r>
        <w:rPr>
          <w:rFonts w:ascii="Arial" w:hAnsi="Arial" w:cs="Arial"/>
          <w:color w:val="000000"/>
          <w:sz w:val="20"/>
          <w:lang w:eastAsia="es-ES_tradnl"/>
        </w:rPr>
        <w:t xml:space="preserve">En enero de 2019, el gobierno de la Provincia de San Luis dio a conocer los términos y condiciones de la subasta que realizará la Provincia para el nuevo acuerdo de agencia financiera. El Banco presentó una oferta el 15 de marzo de 2019. Solamente dos ofertas fueron presentadas. </w:t>
      </w:r>
      <w:r>
        <w:rPr>
          <w:rFonts w:ascii="Arial" w:hAnsi="Arial" w:cs="Arial"/>
          <w:color w:val="000000"/>
          <w:sz w:val="20"/>
          <w:lang w:eastAsia="es-ES_tradnl"/>
        </w:rPr>
        <w:lastRenderedPageBreak/>
        <w:t xml:space="preserve">Con fecha 6 de diciembre de 2019, el gobierno de la Provincia de San Luis emitió el Decreto Nro, 8589 que resolvió cerrar la licitación sin adjudicar el acuerdo de agente financiero. </w:t>
      </w:r>
    </w:p>
    <w:p w14:paraId="5456AB9B" w14:textId="77777777" w:rsidR="00323E06" w:rsidRPr="001859C8" w:rsidRDefault="00323E06" w:rsidP="00323E06">
      <w:pPr>
        <w:widowControl w:val="0"/>
        <w:autoSpaceDE w:val="0"/>
        <w:autoSpaceDN w:val="0"/>
        <w:adjustRightInd w:val="0"/>
        <w:jc w:val="both"/>
        <w:rPr>
          <w:rFonts w:ascii="Arial" w:hAnsi="Arial" w:cs="Arial"/>
          <w:sz w:val="20"/>
        </w:rPr>
      </w:pPr>
    </w:p>
    <w:p w14:paraId="540EAEE1" w14:textId="35493CBB" w:rsidR="005B6501" w:rsidRPr="007E42BC" w:rsidRDefault="00323E06" w:rsidP="00323E06">
      <w:pPr>
        <w:widowControl w:val="0"/>
        <w:autoSpaceDE w:val="0"/>
        <w:autoSpaceDN w:val="0"/>
        <w:adjustRightInd w:val="0"/>
        <w:jc w:val="both"/>
        <w:rPr>
          <w:rFonts w:ascii="Arial" w:hAnsi="Arial" w:cs="Arial"/>
          <w:sz w:val="20"/>
        </w:rPr>
      </w:pPr>
      <w:r w:rsidRPr="001859C8">
        <w:rPr>
          <w:rFonts w:ascii="Arial" w:hAnsi="Arial" w:cs="Arial"/>
          <w:sz w:val="20"/>
        </w:rPr>
        <w:t xml:space="preserve">A la fecha de los presentes estados financieros, el Banco continúa brindando servicios </w:t>
      </w:r>
      <w:r w:rsidRPr="007E42BC">
        <w:rPr>
          <w:rFonts w:ascii="Arial" w:hAnsi="Arial" w:cs="Arial"/>
          <w:sz w:val="20"/>
        </w:rPr>
        <w:t>financieros al gobierno provincial de la Provincia de San Luis y sus empleados.</w:t>
      </w:r>
    </w:p>
    <w:p w14:paraId="756E2CDD" w14:textId="77777777" w:rsidR="00151C24" w:rsidRPr="007E42BC" w:rsidRDefault="00151C24" w:rsidP="003E58B4">
      <w:pPr>
        <w:widowControl w:val="0"/>
        <w:autoSpaceDE w:val="0"/>
        <w:autoSpaceDN w:val="0"/>
        <w:adjustRightInd w:val="0"/>
        <w:jc w:val="both"/>
        <w:rPr>
          <w:rFonts w:ascii="Arial" w:hAnsi="Arial" w:cs="Arial"/>
          <w:noProof/>
          <w:sz w:val="20"/>
        </w:rPr>
      </w:pPr>
    </w:p>
    <w:p w14:paraId="6F10F395" w14:textId="77777777" w:rsidR="00151C24" w:rsidRPr="00BA7A6B" w:rsidRDefault="00151C24" w:rsidP="00151C24">
      <w:pPr>
        <w:spacing w:after="160" w:line="259" w:lineRule="auto"/>
        <w:jc w:val="both"/>
        <w:rPr>
          <w:rFonts w:ascii="Arial" w:eastAsia="Calibri" w:hAnsi="Arial" w:cs="Arial"/>
          <w:b/>
          <w:sz w:val="20"/>
        </w:rPr>
      </w:pPr>
      <w:r w:rsidRPr="00BA7A6B">
        <w:rPr>
          <w:rFonts w:ascii="Arial" w:eastAsia="Calibri" w:hAnsi="Arial" w:cs="Arial"/>
          <w:b/>
          <w:sz w:val="20"/>
        </w:rPr>
        <w:t>15. DETALLE DE PRINCIPALES RUBROS</w:t>
      </w:r>
    </w:p>
    <w:p w14:paraId="785D9A94" w14:textId="5B177005" w:rsidR="00151C24" w:rsidRPr="00701F32" w:rsidRDefault="00151C24" w:rsidP="00151C24">
      <w:pPr>
        <w:spacing w:after="160" w:line="259" w:lineRule="auto"/>
        <w:jc w:val="both"/>
        <w:rPr>
          <w:rFonts w:ascii="Arial" w:eastAsia="Calibri" w:hAnsi="Arial" w:cs="Arial"/>
          <w:sz w:val="20"/>
        </w:rPr>
      </w:pPr>
      <w:r w:rsidRPr="00BA7A6B">
        <w:rPr>
          <w:rFonts w:ascii="Arial" w:eastAsia="Calibri" w:hAnsi="Arial" w:cs="Arial"/>
          <w:sz w:val="20"/>
        </w:rPr>
        <w:t>Se expone a continuación el detalle de los principales rubros de resultados al 3</w:t>
      </w:r>
      <w:r w:rsidR="001828D8" w:rsidRPr="00BA7A6B">
        <w:rPr>
          <w:rFonts w:ascii="Arial" w:eastAsia="Calibri" w:hAnsi="Arial" w:cs="Arial"/>
          <w:sz w:val="20"/>
        </w:rPr>
        <w:t>1</w:t>
      </w:r>
      <w:r w:rsidRPr="00BA7A6B">
        <w:rPr>
          <w:rFonts w:ascii="Arial" w:eastAsia="Calibri" w:hAnsi="Arial" w:cs="Arial"/>
          <w:sz w:val="20"/>
        </w:rPr>
        <w:t xml:space="preserve"> de </w:t>
      </w:r>
      <w:r w:rsidR="001828D8" w:rsidRPr="00BA7A6B">
        <w:rPr>
          <w:rFonts w:ascii="Arial" w:eastAsia="Calibri" w:hAnsi="Arial" w:cs="Arial"/>
          <w:sz w:val="20"/>
        </w:rPr>
        <w:t>marzo</w:t>
      </w:r>
      <w:r w:rsidRPr="00BA7A6B">
        <w:rPr>
          <w:rFonts w:ascii="Arial" w:eastAsia="Calibri" w:hAnsi="Arial" w:cs="Arial"/>
          <w:sz w:val="20"/>
        </w:rPr>
        <w:t xml:space="preserve"> de 20</w:t>
      </w:r>
      <w:r w:rsidR="001828D8" w:rsidRPr="00BA7A6B">
        <w:rPr>
          <w:rFonts w:ascii="Arial" w:eastAsia="Calibri" w:hAnsi="Arial" w:cs="Arial"/>
          <w:sz w:val="20"/>
        </w:rPr>
        <w:t>20</w:t>
      </w:r>
      <w:r w:rsidRPr="00BA7A6B">
        <w:rPr>
          <w:rFonts w:ascii="Arial" w:eastAsia="Calibri" w:hAnsi="Arial" w:cs="Arial"/>
          <w:sz w:val="20"/>
        </w:rPr>
        <w:t xml:space="preserve"> y 201</w:t>
      </w:r>
      <w:r w:rsidR="001828D8" w:rsidRPr="007E42BC">
        <w:rPr>
          <w:rFonts w:ascii="Arial" w:eastAsia="Calibri" w:hAnsi="Arial" w:cs="Arial"/>
          <w:sz w:val="20"/>
        </w:rPr>
        <w:t>9</w:t>
      </w:r>
      <w:r w:rsidRPr="007E42BC">
        <w:rPr>
          <w:rFonts w:ascii="Arial" w:eastAsia="Calibri" w:hAnsi="Arial" w:cs="Arial"/>
          <w:sz w:val="20"/>
        </w:rPr>
        <w:t>:</w:t>
      </w:r>
    </w:p>
    <w:p w14:paraId="3A001EEB" w14:textId="77777777" w:rsidR="00151C24" w:rsidRDefault="00151C24" w:rsidP="00151C24">
      <w:pPr>
        <w:rPr>
          <w:rFonts w:ascii="Arial" w:hAnsi="Arial" w:cs="Arial"/>
          <w:bCs/>
          <w:color w:val="000000"/>
          <w:sz w:val="20"/>
          <w:lang w:eastAsia="es-AR"/>
        </w:rPr>
      </w:pPr>
      <w:r>
        <w:rPr>
          <w:rFonts w:ascii="Arial" w:hAnsi="Arial" w:cs="Arial"/>
          <w:bCs/>
          <w:color w:val="000000"/>
          <w:sz w:val="20"/>
          <w:lang w:eastAsia="es-AR"/>
        </w:rPr>
        <w:t>15.1</w:t>
      </w:r>
      <w:r w:rsidRPr="00701F32">
        <w:rPr>
          <w:rFonts w:ascii="Arial" w:hAnsi="Arial" w:cs="Arial"/>
          <w:bCs/>
          <w:color w:val="000000"/>
          <w:sz w:val="20"/>
          <w:lang w:eastAsia="es-AR"/>
        </w:rPr>
        <w:t xml:space="preserve"> </w:t>
      </w:r>
      <w:r>
        <w:rPr>
          <w:rFonts w:ascii="Arial" w:hAnsi="Arial" w:cs="Arial"/>
          <w:bCs/>
          <w:color w:val="000000"/>
          <w:sz w:val="20"/>
          <w:lang w:eastAsia="es-AR"/>
        </w:rPr>
        <w:t>Ingresos por intereses</w:t>
      </w:r>
    </w:p>
    <w:p w14:paraId="34267DBB" w14:textId="77777777" w:rsidR="00AD1F33" w:rsidRDefault="00AD1F33" w:rsidP="00151C24">
      <w:pPr>
        <w:rPr>
          <w:rFonts w:ascii="Arial" w:hAnsi="Arial" w:cs="Arial"/>
          <w:bCs/>
          <w:color w:val="000000"/>
          <w:sz w:val="16"/>
          <w:szCs w:val="16"/>
          <w:lang w:eastAsia="es-AR"/>
        </w:rPr>
      </w:pPr>
    </w:p>
    <w:p w14:paraId="1C34AC27" w14:textId="77777777" w:rsidR="00AD1F33" w:rsidRPr="00066653" w:rsidRDefault="00AD1F33" w:rsidP="00151C24">
      <w:pPr>
        <w:rPr>
          <w:rFonts w:ascii="Arial" w:hAnsi="Arial" w:cs="Arial"/>
          <w:bCs/>
          <w:color w:val="000000"/>
          <w:sz w:val="16"/>
          <w:szCs w:val="16"/>
          <w:lang w:eastAsia="es-A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559"/>
        <w:gridCol w:w="1418"/>
      </w:tblGrid>
      <w:tr w:rsidR="00151C24" w:rsidRPr="00701F32" w14:paraId="6A8CDC46" w14:textId="77777777" w:rsidTr="0084502B">
        <w:trPr>
          <w:trHeight w:val="167"/>
          <w:tblHeader/>
        </w:trPr>
        <w:tc>
          <w:tcPr>
            <w:tcW w:w="5954" w:type="dxa"/>
            <w:shd w:val="clear" w:color="auto" w:fill="auto"/>
          </w:tcPr>
          <w:p w14:paraId="21B8D3FF" w14:textId="77777777" w:rsidR="00151C24" w:rsidRPr="002E1AF6" w:rsidRDefault="00151C24" w:rsidP="0084502B">
            <w:pPr>
              <w:tabs>
                <w:tab w:val="decimal" w:pos="284"/>
                <w:tab w:val="decimal" w:pos="6237"/>
                <w:tab w:val="decimal" w:pos="7200"/>
                <w:tab w:val="decimal" w:pos="8220"/>
                <w:tab w:val="decimal" w:pos="8900"/>
              </w:tabs>
              <w:jc w:val="both"/>
              <w:rPr>
                <w:rFonts w:ascii="Arial" w:hAnsi="Arial" w:cs="Arial"/>
                <w:b/>
                <w:sz w:val="18"/>
              </w:rPr>
            </w:pPr>
          </w:p>
        </w:tc>
        <w:tc>
          <w:tcPr>
            <w:tcW w:w="1559" w:type="dxa"/>
          </w:tcPr>
          <w:p w14:paraId="4AA9A27F" w14:textId="0E7382E4"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5D7534" w:rsidRPr="002E1AF6">
              <w:rPr>
                <w:rFonts w:ascii="Arial" w:hAnsi="Arial" w:cs="Arial"/>
                <w:b/>
                <w:sz w:val="18"/>
              </w:rPr>
              <w:t>3</w:t>
            </w:r>
            <w:r w:rsidRPr="002E1AF6">
              <w:rPr>
                <w:rFonts w:ascii="Arial" w:hAnsi="Arial" w:cs="Arial"/>
                <w:b/>
                <w:sz w:val="18"/>
              </w:rPr>
              <w:t>/20</w:t>
            </w:r>
            <w:r w:rsidR="005D7534" w:rsidRPr="002E1AF6">
              <w:rPr>
                <w:rFonts w:ascii="Arial" w:hAnsi="Arial" w:cs="Arial"/>
                <w:b/>
                <w:sz w:val="18"/>
              </w:rPr>
              <w:t>20</w:t>
            </w:r>
          </w:p>
        </w:tc>
        <w:tc>
          <w:tcPr>
            <w:tcW w:w="1418" w:type="dxa"/>
            <w:shd w:val="clear" w:color="auto" w:fill="auto"/>
            <w:vAlign w:val="center"/>
          </w:tcPr>
          <w:p w14:paraId="68CBB934" w14:textId="232FCF06"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5D7534" w:rsidRPr="002E1AF6">
              <w:rPr>
                <w:rFonts w:ascii="Arial" w:hAnsi="Arial" w:cs="Arial"/>
                <w:b/>
                <w:sz w:val="18"/>
              </w:rPr>
              <w:t>3</w:t>
            </w:r>
            <w:r w:rsidRPr="002E1AF6">
              <w:rPr>
                <w:rFonts w:ascii="Arial" w:hAnsi="Arial" w:cs="Arial"/>
                <w:b/>
                <w:sz w:val="18"/>
              </w:rPr>
              <w:t>/201</w:t>
            </w:r>
            <w:r w:rsidR="005D7534" w:rsidRPr="002E1AF6">
              <w:rPr>
                <w:rFonts w:ascii="Arial" w:hAnsi="Arial" w:cs="Arial"/>
                <w:b/>
                <w:sz w:val="18"/>
              </w:rPr>
              <w:t>9</w:t>
            </w:r>
          </w:p>
        </w:tc>
      </w:tr>
      <w:tr w:rsidR="00151C24" w:rsidRPr="00701F32" w14:paraId="4728E7E9" w14:textId="77777777" w:rsidTr="0084502B">
        <w:trPr>
          <w:trHeight w:val="270"/>
        </w:trPr>
        <w:tc>
          <w:tcPr>
            <w:tcW w:w="5954" w:type="dxa"/>
          </w:tcPr>
          <w:p w14:paraId="38EB6836" w14:textId="77777777" w:rsidR="00151C24" w:rsidRPr="002E1AF6" w:rsidRDefault="00151C24" w:rsidP="0084502B">
            <w:pPr>
              <w:ind w:left="29"/>
              <w:jc w:val="both"/>
              <w:rPr>
                <w:rFonts w:ascii="Arial" w:hAnsi="Arial" w:cs="Arial"/>
                <w:sz w:val="18"/>
              </w:rPr>
            </w:pPr>
            <w:r w:rsidRPr="002E1AF6">
              <w:rPr>
                <w:rFonts w:ascii="Arial" w:hAnsi="Arial" w:cs="Arial"/>
                <w:sz w:val="18"/>
              </w:rPr>
              <w:t>Por efectivo y depósitos en bancos</w:t>
            </w:r>
          </w:p>
        </w:tc>
        <w:tc>
          <w:tcPr>
            <w:tcW w:w="1559" w:type="dxa"/>
          </w:tcPr>
          <w:p w14:paraId="3A099FFB" w14:textId="121F93AD" w:rsidR="00151C24" w:rsidRPr="002E1AF6" w:rsidRDefault="00BA506E" w:rsidP="0084502B">
            <w:pPr>
              <w:ind w:right="107"/>
              <w:jc w:val="right"/>
              <w:rPr>
                <w:rFonts w:ascii="Arial" w:hAnsi="Arial" w:cs="Arial"/>
                <w:sz w:val="18"/>
              </w:rPr>
            </w:pPr>
            <w:r w:rsidRPr="002E1AF6">
              <w:rPr>
                <w:rFonts w:ascii="Arial" w:hAnsi="Arial" w:cs="Arial"/>
                <w:sz w:val="18"/>
              </w:rPr>
              <w:t>-</w:t>
            </w:r>
          </w:p>
        </w:tc>
        <w:tc>
          <w:tcPr>
            <w:tcW w:w="1418" w:type="dxa"/>
          </w:tcPr>
          <w:p w14:paraId="1E4B3B26" w14:textId="1DD2ED5F" w:rsidR="00151C24" w:rsidRPr="002E1AF6" w:rsidRDefault="00835D34" w:rsidP="0084502B">
            <w:pPr>
              <w:ind w:right="107"/>
              <w:jc w:val="right"/>
              <w:rPr>
                <w:rFonts w:ascii="Arial" w:hAnsi="Arial" w:cs="Arial"/>
                <w:sz w:val="18"/>
              </w:rPr>
            </w:pPr>
            <w:r w:rsidRPr="002E1AF6">
              <w:rPr>
                <w:rFonts w:ascii="Arial" w:hAnsi="Arial" w:cs="Arial"/>
                <w:sz w:val="18"/>
              </w:rPr>
              <w:t>1.648</w:t>
            </w:r>
          </w:p>
        </w:tc>
      </w:tr>
      <w:tr w:rsidR="00151C24" w:rsidRPr="00701F32" w14:paraId="5BAF004E" w14:textId="77777777" w:rsidTr="0084502B">
        <w:trPr>
          <w:trHeight w:val="270"/>
        </w:trPr>
        <w:tc>
          <w:tcPr>
            <w:tcW w:w="5954" w:type="dxa"/>
          </w:tcPr>
          <w:p w14:paraId="0755BDF3" w14:textId="77777777" w:rsidR="00151C24" w:rsidRPr="002E1AF6" w:rsidRDefault="00151C24" w:rsidP="0084502B">
            <w:pPr>
              <w:ind w:left="29"/>
              <w:jc w:val="both"/>
              <w:rPr>
                <w:rFonts w:ascii="Arial" w:hAnsi="Arial" w:cs="Arial"/>
                <w:sz w:val="18"/>
              </w:rPr>
            </w:pPr>
            <w:r w:rsidRPr="002E1AF6">
              <w:rPr>
                <w:rFonts w:ascii="Arial" w:hAnsi="Arial" w:cs="Arial"/>
                <w:sz w:val="18"/>
              </w:rPr>
              <w:t>Por títulos públicos y privados</w:t>
            </w:r>
          </w:p>
        </w:tc>
        <w:tc>
          <w:tcPr>
            <w:tcW w:w="1559" w:type="dxa"/>
          </w:tcPr>
          <w:p w14:paraId="7F64C0C1" w14:textId="36A7216E" w:rsidR="00151C24" w:rsidRPr="002E1AF6" w:rsidRDefault="00835D34" w:rsidP="0084502B">
            <w:pPr>
              <w:ind w:right="107"/>
              <w:jc w:val="right"/>
              <w:rPr>
                <w:rFonts w:ascii="Arial" w:hAnsi="Arial" w:cs="Arial"/>
                <w:sz w:val="18"/>
              </w:rPr>
            </w:pPr>
            <w:r w:rsidRPr="002E1AF6">
              <w:rPr>
                <w:rFonts w:ascii="Arial" w:hAnsi="Arial" w:cs="Arial"/>
                <w:sz w:val="18"/>
              </w:rPr>
              <w:t>3.760.762</w:t>
            </w:r>
          </w:p>
        </w:tc>
        <w:tc>
          <w:tcPr>
            <w:tcW w:w="1418" w:type="dxa"/>
          </w:tcPr>
          <w:p w14:paraId="5743B621" w14:textId="34C19E64" w:rsidR="00151C24" w:rsidRPr="002E1AF6" w:rsidRDefault="00835D34" w:rsidP="0084502B">
            <w:pPr>
              <w:ind w:right="107"/>
              <w:jc w:val="right"/>
              <w:rPr>
                <w:rFonts w:ascii="Arial" w:hAnsi="Arial" w:cs="Arial"/>
                <w:sz w:val="18"/>
              </w:rPr>
            </w:pPr>
            <w:r w:rsidRPr="002E1AF6">
              <w:rPr>
                <w:rFonts w:ascii="Arial" w:hAnsi="Arial" w:cs="Arial"/>
                <w:sz w:val="18"/>
              </w:rPr>
              <w:t>432.079</w:t>
            </w:r>
          </w:p>
        </w:tc>
      </w:tr>
      <w:tr w:rsidR="00151C24" w:rsidRPr="00701F32" w14:paraId="2331E37A" w14:textId="77777777" w:rsidTr="0084502B">
        <w:trPr>
          <w:trHeight w:val="270"/>
        </w:trPr>
        <w:tc>
          <w:tcPr>
            <w:tcW w:w="5954" w:type="dxa"/>
          </w:tcPr>
          <w:p w14:paraId="63AB94E3" w14:textId="77777777" w:rsidR="00151C24" w:rsidRPr="002E1AF6" w:rsidRDefault="00151C24" w:rsidP="0084502B">
            <w:pPr>
              <w:ind w:left="29"/>
              <w:jc w:val="both"/>
              <w:rPr>
                <w:rFonts w:ascii="Arial" w:hAnsi="Arial" w:cs="Arial"/>
                <w:sz w:val="18"/>
              </w:rPr>
            </w:pPr>
            <w:r w:rsidRPr="002E1AF6">
              <w:rPr>
                <w:rFonts w:ascii="Arial" w:hAnsi="Arial" w:cs="Arial"/>
                <w:sz w:val="18"/>
              </w:rPr>
              <w:t>Por otros activos financieros</w:t>
            </w:r>
          </w:p>
        </w:tc>
        <w:tc>
          <w:tcPr>
            <w:tcW w:w="1559" w:type="dxa"/>
          </w:tcPr>
          <w:p w14:paraId="487BBF87" w14:textId="736D83A2" w:rsidR="00151C24" w:rsidRPr="002E1AF6" w:rsidRDefault="00835D34" w:rsidP="0084502B">
            <w:pPr>
              <w:ind w:right="107"/>
              <w:jc w:val="right"/>
              <w:rPr>
                <w:rFonts w:ascii="Arial" w:hAnsi="Arial" w:cs="Arial"/>
                <w:sz w:val="18"/>
              </w:rPr>
            </w:pPr>
            <w:r w:rsidRPr="002E1AF6">
              <w:rPr>
                <w:rFonts w:ascii="Arial" w:hAnsi="Arial" w:cs="Arial"/>
                <w:sz w:val="18"/>
              </w:rPr>
              <w:t>41.224</w:t>
            </w:r>
          </w:p>
        </w:tc>
        <w:tc>
          <w:tcPr>
            <w:tcW w:w="1418" w:type="dxa"/>
          </w:tcPr>
          <w:p w14:paraId="4E6F6992" w14:textId="48D45698" w:rsidR="00151C24" w:rsidRPr="002E1AF6" w:rsidRDefault="00835D34" w:rsidP="0084502B">
            <w:pPr>
              <w:ind w:right="107"/>
              <w:jc w:val="right"/>
              <w:rPr>
                <w:rFonts w:ascii="Arial" w:hAnsi="Arial" w:cs="Arial"/>
                <w:sz w:val="18"/>
              </w:rPr>
            </w:pPr>
            <w:r w:rsidRPr="002E1AF6">
              <w:rPr>
                <w:rFonts w:ascii="Arial" w:hAnsi="Arial" w:cs="Arial"/>
                <w:sz w:val="18"/>
              </w:rPr>
              <w:t>270</w:t>
            </w:r>
          </w:p>
        </w:tc>
      </w:tr>
      <w:tr w:rsidR="00835D34" w:rsidRPr="00701F32" w14:paraId="2FE7FE1A" w14:textId="77777777" w:rsidTr="0084502B">
        <w:trPr>
          <w:trHeight w:val="270"/>
        </w:trPr>
        <w:tc>
          <w:tcPr>
            <w:tcW w:w="5954" w:type="dxa"/>
          </w:tcPr>
          <w:p w14:paraId="4BF08634" w14:textId="77777777" w:rsidR="00835D34" w:rsidRPr="002E1AF6" w:rsidRDefault="00835D34" w:rsidP="00835D34">
            <w:pPr>
              <w:ind w:left="29"/>
              <w:jc w:val="both"/>
              <w:rPr>
                <w:rFonts w:ascii="Arial" w:hAnsi="Arial" w:cs="Arial"/>
                <w:sz w:val="18"/>
              </w:rPr>
            </w:pPr>
            <w:r w:rsidRPr="002E1AF6">
              <w:rPr>
                <w:rFonts w:ascii="Arial" w:hAnsi="Arial" w:cs="Arial"/>
                <w:sz w:val="18"/>
              </w:rPr>
              <w:t>Al sector financiero</w:t>
            </w:r>
          </w:p>
        </w:tc>
        <w:tc>
          <w:tcPr>
            <w:tcW w:w="1559" w:type="dxa"/>
          </w:tcPr>
          <w:p w14:paraId="65594C49" w14:textId="79472B9C"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52.169</w:t>
            </w:r>
          </w:p>
        </w:tc>
        <w:tc>
          <w:tcPr>
            <w:tcW w:w="1418" w:type="dxa"/>
          </w:tcPr>
          <w:p w14:paraId="2DD06CBB" w14:textId="4091EBF6"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443.666</w:t>
            </w:r>
          </w:p>
        </w:tc>
      </w:tr>
      <w:tr w:rsidR="00835D34" w:rsidRPr="00701F32" w14:paraId="4AF55F18" w14:textId="77777777" w:rsidTr="0084502B">
        <w:trPr>
          <w:trHeight w:val="270"/>
        </w:trPr>
        <w:tc>
          <w:tcPr>
            <w:tcW w:w="5954" w:type="dxa"/>
          </w:tcPr>
          <w:p w14:paraId="720BFFD0" w14:textId="77777777" w:rsidR="00835D34" w:rsidRPr="002E1AF6" w:rsidRDefault="00835D34" w:rsidP="00835D34">
            <w:pPr>
              <w:ind w:left="29"/>
              <w:jc w:val="both"/>
              <w:rPr>
                <w:rFonts w:ascii="Arial" w:hAnsi="Arial" w:cs="Arial"/>
                <w:sz w:val="18"/>
              </w:rPr>
            </w:pPr>
            <w:r w:rsidRPr="002E1AF6">
              <w:rPr>
                <w:rFonts w:ascii="Arial" w:hAnsi="Arial" w:cs="Arial"/>
                <w:sz w:val="18"/>
              </w:rPr>
              <w:t>Adelantos</w:t>
            </w:r>
          </w:p>
        </w:tc>
        <w:tc>
          <w:tcPr>
            <w:tcW w:w="1559" w:type="dxa"/>
          </w:tcPr>
          <w:p w14:paraId="5161BCA2" w14:textId="79D5CDDA"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780.929</w:t>
            </w:r>
          </w:p>
        </w:tc>
        <w:tc>
          <w:tcPr>
            <w:tcW w:w="1418" w:type="dxa"/>
          </w:tcPr>
          <w:p w14:paraId="2D8E6640" w14:textId="1C7EE209"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1.236.961</w:t>
            </w:r>
          </w:p>
        </w:tc>
      </w:tr>
      <w:tr w:rsidR="00835D34" w:rsidRPr="00701F32" w14:paraId="20FC16EB" w14:textId="77777777" w:rsidTr="0084502B">
        <w:trPr>
          <w:trHeight w:val="270"/>
        </w:trPr>
        <w:tc>
          <w:tcPr>
            <w:tcW w:w="5954" w:type="dxa"/>
          </w:tcPr>
          <w:p w14:paraId="424DFE40" w14:textId="77777777" w:rsidR="00835D34" w:rsidRPr="002E1AF6" w:rsidRDefault="00835D34" w:rsidP="00835D34">
            <w:pPr>
              <w:ind w:left="29"/>
              <w:jc w:val="both"/>
              <w:rPr>
                <w:rFonts w:ascii="Arial" w:hAnsi="Arial" w:cs="Arial"/>
                <w:sz w:val="18"/>
              </w:rPr>
            </w:pPr>
            <w:r w:rsidRPr="002E1AF6">
              <w:rPr>
                <w:rFonts w:ascii="Arial" w:hAnsi="Arial" w:cs="Arial"/>
                <w:sz w:val="18"/>
              </w:rPr>
              <w:t>Documentos</w:t>
            </w:r>
          </w:p>
        </w:tc>
        <w:tc>
          <w:tcPr>
            <w:tcW w:w="1559" w:type="dxa"/>
          </w:tcPr>
          <w:p w14:paraId="451FB19F" w14:textId="59F38D80"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2.595.199</w:t>
            </w:r>
          </w:p>
        </w:tc>
        <w:tc>
          <w:tcPr>
            <w:tcW w:w="1418" w:type="dxa"/>
          </w:tcPr>
          <w:p w14:paraId="6BEDE877" w14:textId="3253DEBA"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3.041.818</w:t>
            </w:r>
          </w:p>
        </w:tc>
      </w:tr>
      <w:tr w:rsidR="00835D34" w:rsidRPr="00701F32" w14:paraId="0AB6E537" w14:textId="77777777" w:rsidTr="0084502B">
        <w:trPr>
          <w:trHeight w:val="270"/>
        </w:trPr>
        <w:tc>
          <w:tcPr>
            <w:tcW w:w="5954" w:type="dxa"/>
          </w:tcPr>
          <w:p w14:paraId="0207E840" w14:textId="65420036" w:rsidR="00835D34" w:rsidRPr="002E1AF6" w:rsidRDefault="00835D34" w:rsidP="00835D34">
            <w:pPr>
              <w:ind w:left="29"/>
              <w:jc w:val="both"/>
              <w:rPr>
                <w:rFonts w:ascii="Arial" w:hAnsi="Arial" w:cs="Arial"/>
                <w:sz w:val="18"/>
              </w:rPr>
            </w:pPr>
            <w:r w:rsidRPr="002E1AF6">
              <w:rPr>
                <w:rFonts w:ascii="Arial" w:hAnsi="Arial" w:cs="Arial"/>
                <w:sz w:val="18"/>
              </w:rPr>
              <w:t>Hipotecarios</w:t>
            </w:r>
          </w:p>
        </w:tc>
        <w:tc>
          <w:tcPr>
            <w:tcW w:w="1559" w:type="dxa"/>
          </w:tcPr>
          <w:p w14:paraId="04659F8B" w14:textId="7A1828C4"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121.847</w:t>
            </w:r>
          </w:p>
        </w:tc>
        <w:tc>
          <w:tcPr>
            <w:tcW w:w="1418" w:type="dxa"/>
          </w:tcPr>
          <w:p w14:paraId="49A64521" w14:textId="15E08806"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126.931</w:t>
            </w:r>
          </w:p>
        </w:tc>
      </w:tr>
      <w:tr w:rsidR="00835D34" w:rsidRPr="00701F32" w14:paraId="6B45641B" w14:textId="77777777" w:rsidTr="0084502B">
        <w:trPr>
          <w:trHeight w:val="270"/>
        </w:trPr>
        <w:tc>
          <w:tcPr>
            <w:tcW w:w="5954" w:type="dxa"/>
          </w:tcPr>
          <w:p w14:paraId="25841831" w14:textId="77777777" w:rsidR="00835D34" w:rsidRPr="002E1AF6" w:rsidRDefault="00835D34" w:rsidP="00835D34">
            <w:pPr>
              <w:ind w:left="29"/>
              <w:jc w:val="both"/>
              <w:rPr>
                <w:rFonts w:ascii="Arial" w:hAnsi="Arial" w:cs="Arial"/>
                <w:sz w:val="18"/>
              </w:rPr>
            </w:pPr>
            <w:r w:rsidRPr="002E1AF6">
              <w:rPr>
                <w:rFonts w:ascii="Arial" w:hAnsi="Arial" w:cs="Arial"/>
                <w:sz w:val="18"/>
              </w:rPr>
              <w:t>Prendarios</w:t>
            </w:r>
          </w:p>
        </w:tc>
        <w:tc>
          <w:tcPr>
            <w:tcW w:w="1559" w:type="dxa"/>
          </w:tcPr>
          <w:p w14:paraId="57A0E5E4" w14:textId="401441B6"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42.772</w:t>
            </w:r>
          </w:p>
        </w:tc>
        <w:tc>
          <w:tcPr>
            <w:tcW w:w="1418" w:type="dxa"/>
          </w:tcPr>
          <w:p w14:paraId="52A050B7" w14:textId="616D6E70"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53.933</w:t>
            </w:r>
          </w:p>
        </w:tc>
      </w:tr>
      <w:tr w:rsidR="00835D34" w:rsidRPr="00701F32" w14:paraId="5D126551" w14:textId="77777777" w:rsidTr="0084502B">
        <w:trPr>
          <w:trHeight w:val="270"/>
        </w:trPr>
        <w:tc>
          <w:tcPr>
            <w:tcW w:w="5954" w:type="dxa"/>
          </w:tcPr>
          <w:p w14:paraId="601E41AA" w14:textId="77777777" w:rsidR="00835D34" w:rsidRPr="002E1AF6" w:rsidRDefault="00835D34" w:rsidP="00835D34">
            <w:pPr>
              <w:ind w:left="29"/>
              <w:jc w:val="both"/>
              <w:rPr>
                <w:rFonts w:ascii="Arial" w:hAnsi="Arial" w:cs="Arial"/>
                <w:sz w:val="18"/>
              </w:rPr>
            </w:pPr>
            <w:r w:rsidRPr="002E1AF6">
              <w:rPr>
                <w:rFonts w:ascii="Arial" w:hAnsi="Arial" w:cs="Arial"/>
                <w:sz w:val="18"/>
              </w:rPr>
              <w:t>Personales</w:t>
            </w:r>
          </w:p>
        </w:tc>
        <w:tc>
          <w:tcPr>
            <w:tcW w:w="1559" w:type="dxa"/>
          </w:tcPr>
          <w:p w14:paraId="03C9F94B" w14:textId="5E126489"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2.326.501</w:t>
            </w:r>
          </w:p>
        </w:tc>
        <w:tc>
          <w:tcPr>
            <w:tcW w:w="1418" w:type="dxa"/>
          </w:tcPr>
          <w:p w14:paraId="766D6040" w14:textId="38512ADA"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2.716.207</w:t>
            </w:r>
          </w:p>
        </w:tc>
      </w:tr>
      <w:tr w:rsidR="00835D34" w:rsidRPr="00701F32" w14:paraId="5238394E" w14:textId="77777777" w:rsidTr="0084502B">
        <w:trPr>
          <w:trHeight w:val="270"/>
        </w:trPr>
        <w:tc>
          <w:tcPr>
            <w:tcW w:w="5954" w:type="dxa"/>
          </w:tcPr>
          <w:p w14:paraId="25C5CE30" w14:textId="77777777" w:rsidR="00835D34" w:rsidRPr="002E1AF6" w:rsidRDefault="00835D34" w:rsidP="00835D34">
            <w:pPr>
              <w:ind w:left="29"/>
              <w:jc w:val="both"/>
              <w:rPr>
                <w:rFonts w:ascii="Arial" w:hAnsi="Arial" w:cs="Arial"/>
                <w:sz w:val="18"/>
              </w:rPr>
            </w:pPr>
            <w:r w:rsidRPr="002E1AF6">
              <w:rPr>
                <w:rFonts w:ascii="Arial" w:hAnsi="Arial" w:cs="Arial"/>
                <w:sz w:val="18"/>
              </w:rPr>
              <w:t>Tarjetas de crédito</w:t>
            </w:r>
          </w:p>
        </w:tc>
        <w:tc>
          <w:tcPr>
            <w:tcW w:w="1559" w:type="dxa"/>
          </w:tcPr>
          <w:p w14:paraId="3083C149" w14:textId="6FFC2B3B"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737.093</w:t>
            </w:r>
          </w:p>
        </w:tc>
        <w:tc>
          <w:tcPr>
            <w:tcW w:w="1418" w:type="dxa"/>
          </w:tcPr>
          <w:p w14:paraId="499AC9B0" w14:textId="333756CB"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1.042.661</w:t>
            </w:r>
          </w:p>
        </w:tc>
      </w:tr>
      <w:tr w:rsidR="00835D34" w:rsidRPr="00701F32" w14:paraId="62043639" w14:textId="77777777" w:rsidTr="0084502B">
        <w:trPr>
          <w:trHeight w:val="270"/>
        </w:trPr>
        <w:tc>
          <w:tcPr>
            <w:tcW w:w="5954" w:type="dxa"/>
          </w:tcPr>
          <w:p w14:paraId="51FB5368" w14:textId="77777777" w:rsidR="00835D34" w:rsidRPr="002E1AF6" w:rsidRDefault="00835D34" w:rsidP="00835D34">
            <w:pPr>
              <w:ind w:left="29"/>
              <w:jc w:val="both"/>
              <w:rPr>
                <w:rFonts w:ascii="Arial" w:hAnsi="Arial" w:cs="Arial"/>
                <w:sz w:val="18"/>
              </w:rPr>
            </w:pPr>
            <w:r w:rsidRPr="002E1AF6">
              <w:rPr>
                <w:rFonts w:ascii="Arial" w:hAnsi="Arial" w:cs="Arial"/>
                <w:sz w:val="18"/>
              </w:rPr>
              <w:t>Arrendamientos Financieros</w:t>
            </w:r>
          </w:p>
        </w:tc>
        <w:tc>
          <w:tcPr>
            <w:tcW w:w="1559" w:type="dxa"/>
          </w:tcPr>
          <w:p w14:paraId="31BB901A" w14:textId="1A9F733B"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146.454</w:t>
            </w:r>
          </w:p>
        </w:tc>
        <w:tc>
          <w:tcPr>
            <w:tcW w:w="1418" w:type="dxa"/>
          </w:tcPr>
          <w:p w14:paraId="03940EB0" w14:textId="1CDC9347"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361.155</w:t>
            </w:r>
          </w:p>
        </w:tc>
      </w:tr>
      <w:tr w:rsidR="00835D34" w:rsidRPr="00701F32" w14:paraId="1213A06A" w14:textId="77777777" w:rsidTr="0084502B">
        <w:trPr>
          <w:trHeight w:val="270"/>
        </w:trPr>
        <w:tc>
          <w:tcPr>
            <w:tcW w:w="5954" w:type="dxa"/>
          </w:tcPr>
          <w:p w14:paraId="56A12310" w14:textId="77777777" w:rsidR="00835D34" w:rsidRPr="002E1AF6" w:rsidRDefault="00835D34" w:rsidP="00835D34">
            <w:pPr>
              <w:ind w:left="29"/>
              <w:jc w:val="both"/>
              <w:rPr>
                <w:rFonts w:ascii="Arial" w:hAnsi="Arial" w:cs="Arial"/>
                <w:sz w:val="18"/>
              </w:rPr>
            </w:pPr>
            <w:r w:rsidRPr="002E1AF6">
              <w:rPr>
                <w:rFonts w:ascii="Arial" w:hAnsi="Arial" w:cs="Arial"/>
                <w:sz w:val="18"/>
              </w:rPr>
              <w:t>Otros</w:t>
            </w:r>
          </w:p>
        </w:tc>
        <w:tc>
          <w:tcPr>
            <w:tcW w:w="1559" w:type="dxa"/>
          </w:tcPr>
          <w:p w14:paraId="7ECB0E66" w14:textId="585108B1"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1.436.652</w:t>
            </w:r>
          </w:p>
        </w:tc>
        <w:tc>
          <w:tcPr>
            <w:tcW w:w="1418" w:type="dxa"/>
          </w:tcPr>
          <w:p w14:paraId="4EF46D58" w14:textId="17ED31D8" w:rsidR="00835D34" w:rsidRPr="002E1AF6" w:rsidRDefault="00835D34" w:rsidP="00835D34">
            <w:pPr>
              <w:tabs>
                <w:tab w:val="left" w:pos="1307"/>
              </w:tabs>
              <w:ind w:right="107"/>
              <w:jc w:val="right"/>
              <w:rPr>
                <w:rFonts w:ascii="Arial" w:hAnsi="Arial" w:cs="Arial"/>
                <w:sz w:val="18"/>
              </w:rPr>
            </w:pPr>
            <w:r w:rsidRPr="002E1AF6">
              <w:rPr>
                <w:rFonts w:ascii="Arial" w:hAnsi="Arial" w:cs="Arial"/>
                <w:sz w:val="18"/>
              </w:rPr>
              <w:t>1.496.404</w:t>
            </w:r>
          </w:p>
        </w:tc>
      </w:tr>
      <w:tr w:rsidR="00151C24" w:rsidRPr="00701F32" w14:paraId="1E2296E3" w14:textId="77777777" w:rsidTr="0084502B">
        <w:trPr>
          <w:trHeight w:val="270"/>
        </w:trPr>
        <w:tc>
          <w:tcPr>
            <w:tcW w:w="5954" w:type="dxa"/>
          </w:tcPr>
          <w:p w14:paraId="15FDB503" w14:textId="548BFCFD" w:rsidR="00151C24" w:rsidRPr="002E1AF6" w:rsidRDefault="00151C24" w:rsidP="0084502B">
            <w:pPr>
              <w:pStyle w:val="Style1"/>
              <w:adjustRightInd/>
              <w:ind w:left="29"/>
              <w:jc w:val="both"/>
              <w:rPr>
                <w:rFonts w:ascii="Arial" w:hAnsi="Arial" w:cs="Arial"/>
                <w:spacing w:val="-6"/>
                <w:sz w:val="18"/>
                <w:szCs w:val="20"/>
              </w:rPr>
            </w:pPr>
            <w:r w:rsidRPr="002E1AF6">
              <w:rPr>
                <w:rFonts w:ascii="Arial" w:hAnsi="Arial" w:cs="Arial"/>
                <w:spacing w:val="-6"/>
                <w:sz w:val="18"/>
                <w:szCs w:val="20"/>
              </w:rPr>
              <w:t xml:space="preserve">Por operaciones de pase con </w:t>
            </w:r>
            <w:r w:rsidR="0051473A" w:rsidRPr="002E1AF6">
              <w:rPr>
                <w:rFonts w:ascii="Arial" w:hAnsi="Arial" w:cs="Arial"/>
                <w:spacing w:val="-6"/>
                <w:sz w:val="18"/>
                <w:szCs w:val="20"/>
              </w:rPr>
              <w:t>el sector financiero</w:t>
            </w:r>
          </w:p>
        </w:tc>
        <w:tc>
          <w:tcPr>
            <w:tcW w:w="1559" w:type="dxa"/>
          </w:tcPr>
          <w:p w14:paraId="4115F7E6" w14:textId="426028A3" w:rsidR="00151C24" w:rsidRPr="002E1AF6" w:rsidRDefault="00835D34" w:rsidP="0084502B">
            <w:pPr>
              <w:pStyle w:val="Style1"/>
              <w:adjustRightInd/>
              <w:ind w:right="107"/>
              <w:jc w:val="right"/>
              <w:rPr>
                <w:rFonts w:ascii="Arial" w:hAnsi="Arial" w:cs="Arial"/>
                <w:spacing w:val="-4"/>
                <w:sz w:val="18"/>
                <w:szCs w:val="20"/>
              </w:rPr>
            </w:pPr>
            <w:r w:rsidRPr="002E1AF6">
              <w:rPr>
                <w:rFonts w:ascii="Arial" w:hAnsi="Arial" w:cs="Arial"/>
                <w:spacing w:val="-4"/>
                <w:sz w:val="18"/>
                <w:szCs w:val="20"/>
              </w:rPr>
              <w:t>183.515</w:t>
            </w:r>
          </w:p>
        </w:tc>
        <w:tc>
          <w:tcPr>
            <w:tcW w:w="1418" w:type="dxa"/>
          </w:tcPr>
          <w:p w14:paraId="02D41B29" w14:textId="6CE031CC" w:rsidR="00151C24" w:rsidRPr="002E1AF6" w:rsidRDefault="00835D34" w:rsidP="0084502B">
            <w:pPr>
              <w:pStyle w:val="Style1"/>
              <w:adjustRightInd/>
              <w:ind w:right="107"/>
              <w:jc w:val="right"/>
              <w:rPr>
                <w:rFonts w:ascii="Arial" w:hAnsi="Arial" w:cs="Arial"/>
                <w:spacing w:val="-4"/>
                <w:sz w:val="18"/>
                <w:szCs w:val="20"/>
              </w:rPr>
            </w:pPr>
            <w:r w:rsidRPr="002E1AF6">
              <w:rPr>
                <w:rFonts w:ascii="Arial" w:hAnsi="Arial" w:cs="Arial"/>
                <w:spacing w:val="-4"/>
                <w:sz w:val="18"/>
                <w:szCs w:val="20"/>
              </w:rPr>
              <w:t>14.938</w:t>
            </w:r>
          </w:p>
        </w:tc>
      </w:tr>
      <w:tr w:rsidR="00151C24" w:rsidRPr="00701F32" w14:paraId="3B8E1383" w14:textId="77777777" w:rsidTr="0084502B">
        <w:trPr>
          <w:trHeight w:val="270"/>
        </w:trPr>
        <w:tc>
          <w:tcPr>
            <w:tcW w:w="5954" w:type="dxa"/>
            <w:shd w:val="clear" w:color="auto" w:fill="auto"/>
          </w:tcPr>
          <w:p w14:paraId="300355A4" w14:textId="77777777" w:rsidR="00151C24" w:rsidRPr="002E1AF6" w:rsidRDefault="00151C24" w:rsidP="0084502B">
            <w:pPr>
              <w:jc w:val="both"/>
              <w:rPr>
                <w:rFonts w:ascii="Arial" w:hAnsi="Arial" w:cs="Arial"/>
                <w:b/>
                <w:sz w:val="18"/>
              </w:rPr>
            </w:pPr>
            <w:r w:rsidRPr="002E1AF6">
              <w:rPr>
                <w:rFonts w:ascii="Arial" w:hAnsi="Arial" w:cs="Arial"/>
                <w:b/>
                <w:sz w:val="18"/>
              </w:rPr>
              <w:t>Total</w:t>
            </w:r>
          </w:p>
        </w:tc>
        <w:tc>
          <w:tcPr>
            <w:tcW w:w="1559" w:type="dxa"/>
          </w:tcPr>
          <w:p w14:paraId="0AF93086" w14:textId="500B563E" w:rsidR="00151C24" w:rsidRPr="002E1AF6" w:rsidRDefault="00835D34" w:rsidP="0084502B">
            <w:pPr>
              <w:pStyle w:val="Style1"/>
              <w:adjustRightInd/>
              <w:ind w:right="107"/>
              <w:jc w:val="right"/>
              <w:rPr>
                <w:rFonts w:ascii="Arial" w:hAnsi="Arial" w:cs="Arial"/>
                <w:b/>
                <w:spacing w:val="-4"/>
                <w:sz w:val="18"/>
                <w:szCs w:val="20"/>
              </w:rPr>
            </w:pPr>
            <w:r w:rsidRPr="002E1AF6">
              <w:rPr>
                <w:rFonts w:ascii="Arial" w:hAnsi="Arial" w:cs="Arial"/>
                <w:b/>
                <w:spacing w:val="-4"/>
                <w:sz w:val="18"/>
                <w:szCs w:val="20"/>
              </w:rPr>
              <w:t>12.225.117</w:t>
            </w:r>
          </w:p>
        </w:tc>
        <w:tc>
          <w:tcPr>
            <w:tcW w:w="1418" w:type="dxa"/>
            <w:shd w:val="clear" w:color="auto" w:fill="auto"/>
          </w:tcPr>
          <w:p w14:paraId="14C74426" w14:textId="4B775AB5" w:rsidR="00151C24" w:rsidRPr="002E1AF6" w:rsidRDefault="00835D34" w:rsidP="0084502B">
            <w:pPr>
              <w:pStyle w:val="Style1"/>
              <w:adjustRightInd/>
              <w:ind w:right="107"/>
              <w:jc w:val="right"/>
              <w:rPr>
                <w:rFonts w:ascii="Arial" w:hAnsi="Arial" w:cs="Arial"/>
                <w:b/>
                <w:sz w:val="18"/>
                <w:szCs w:val="20"/>
              </w:rPr>
            </w:pPr>
            <w:r w:rsidRPr="002E1AF6">
              <w:rPr>
                <w:rFonts w:ascii="Arial" w:hAnsi="Arial" w:cs="Arial"/>
                <w:b/>
                <w:sz w:val="18"/>
                <w:szCs w:val="20"/>
              </w:rPr>
              <w:t>10.968.671</w:t>
            </w:r>
          </w:p>
        </w:tc>
      </w:tr>
    </w:tbl>
    <w:p w14:paraId="548F5AC9" w14:textId="77777777" w:rsidR="00151C24" w:rsidRPr="00066653" w:rsidRDefault="00151C24" w:rsidP="00151C24">
      <w:pPr>
        <w:rPr>
          <w:rFonts w:ascii="Arial" w:hAnsi="Arial" w:cs="Arial"/>
          <w:bCs/>
          <w:color w:val="000000"/>
          <w:sz w:val="16"/>
          <w:szCs w:val="16"/>
          <w:lang w:eastAsia="es-AR"/>
        </w:rPr>
      </w:pPr>
    </w:p>
    <w:p w14:paraId="1A9AB4D4" w14:textId="77777777" w:rsidR="00151C24" w:rsidRDefault="00151C24" w:rsidP="00151C24">
      <w:pPr>
        <w:rPr>
          <w:rFonts w:ascii="Arial" w:hAnsi="Arial" w:cs="Arial"/>
          <w:bCs/>
          <w:color w:val="000000"/>
          <w:sz w:val="20"/>
          <w:lang w:eastAsia="es-AR"/>
        </w:rPr>
      </w:pPr>
      <w:r>
        <w:rPr>
          <w:rFonts w:ascii="Arial" w:hAnsi="Arial" w:cs="Arial"/>
          <w:bCs/>
          <w:color w:val="000000"/>
          <w:sz w:val="20"/>
          <w:lang w:eastAsia="es-AR"/>
        </w:rPr>
        <w:t>15.2 Ingresos por comisiones</w:t>
      </w:r>
    </w:p>
    <w:p w14:paraId="3C17DA65" w14:textId="77777777" w:rsidR="00151C24" w:rsidRPr="00066653" w:rsidRDefault="00151C24" w:rsidP="00151C24">
      <w:pPr>
        <w:rPr>
          <w:rFonts w:ascii="Arial" w:hAnsi="Arial" w:cs="Arial"/>
          <w:bCs/>
          <w:color w:val="000000"/>
          <w:sz w:val="16"/>
          <w:szCs w:val="16"/>
          <w:lang w:eastAsia="es-A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559"/>
        <w:gridCol w:w="1418"/>
      </w:tblGrid>
      <w:tr w:rsidR="00151C24" w:rsidRPr="00701F32" w14:paraId="2EB1551B" w14:textId="77777777" w:rsidTr="0084502B">
        <w:trPr>
          <w:trHeight w:val="255"/>
          <w:tblHeader/>
        </w:trPr>
        <w:tc>
          <w:tcPr>
            <w:tcW w:w="5954" w:type="dxa"/>
            <w:shd w:val="clear" w:color="auto" w:fill="auto"/>
          </w:tcPr>
          <w:p w14:paraId="7A222310" w14:textId="77777777" w:rsidR="00151C24" w:rsidRPr="002E1AF6" w:rsidRDefault="00151C24" w:rsidP="0084502B">
            <w:pPr>
              <w:tabs>
                <w:tab w:val="decimal" w:pos="284"/>
                <w:tab w:val="decimal" w:pos="6237"/>
                <w:tab w:val="decimal" w:pos="7200"/>
                <w:tab w:val="decimal" w:pos="8220"/>
                <w:tab w:val="decimal" w:pos="8900"/>
              </w:tabs>
              <w:jc w:val="both"/>
              <w:rPr>
                <w:rFonts w:ascii="Arial" w:hAnsi="Arial" w:cs="Arial"/>
                <w:b/>
                <w:sz w:val="18"/>
              </w:rPr>
            </w:pPr>
          </w:p>
        </w:tc>
        <w:tc>
          <w:tcPr>
            <w:tcW w:w="1559" w:type="dxa"/>
          </w:tcPr>
          <w:p w14:paraId="0AA81CDE" w14:textId="7EF4FC77"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5D7534" w:rsidRPr="002E1AF6">
              <w:rPr>
                <w:rFonts w:ascii="Arial" w:hAnsi="Arial" w:cs="Arial"/>
                <w:b/>
                <w:sz w:val="18"/>
              </w:rPr>
              <w:t>3</w:t>
            </w:r>
            <w:r w:rsidRPr="002E1AF6">
              <w:rPr>
                <w:rFonts w:ascii="Arial" w:hAnsi="Arial" w:cs="Arial"/>
                <w:b/>
                <w:sz w:val="18"/>
              </w:rPr>
              <w:t>/20</w:t>
            </w:r>
            <w:r w:rsidR="005D7534" w:rsidRPr="002E1AF6">
              <w:rPr>
                <w:rFonts w:ascii="Arial" w:hAnsi="Arial" w:cs="Arial"/>
                <w:b/>
                <w:sz w:val="18"/>
              </w:rPr>
              <w:t>20</w:t>
            </w:r>
          </w:p>
        </w:tc>
        <w:tc>
          <w:tcPr>
            <w:tcW w:w="1418" w:type="dxa"/>
            <w:shd w:val="clear" w:color="auto" w:fill="auto"/>
            <w:vAlign w:val="center"/>
          </w:tcPr>
          <w:p w14:paraId="6E683475" w14:textId="68F53B70"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5D7534" w:rsidRPr="002E1AF6">
              <w:rPr>
                <w:rFonts w:ascii="Arial" w:hAnsi="Arial" w:cs="Arial"/>
                <w:b/>
                <w:sz w:val="18"/>
              </w:rPr>
              <w:t>3</w:t>
            </w:r>
            <w:r w:rsidRPr="002E1AF6">
              <w:rPr>
                <w:rFonts w:ascii="Arial" w:hAnsi="Arial" w:cs="Arial"/>
                <w:b/>
                <w:sz w:val="18"/>
              </w:rPr>
              <w:t>/201</w:t>
            </w:r>
            <w:r w:rsidR="005D7534" w:rsidRPr="002E1AF6">
              <w:rPr>
                <w:rFonts w:ascii="Arial" w:hAnsi="Arial" w:cs="Arial"/>
                <w:b/>
                <w:sz w:val="18"/>
              </w:rPr>
              <w:t>9</w:t>
            </w:r>
          </w:p>
        </w:tc>
      </w:tr>
      <w:tr w:rsidR="00986A4D" w:rsidRPr="00701F32" w14:paraId="6321E04F" w14:textId="77777777" w:rsidTr="004D679A">
        <w:trPr>
          <w:trHeight w:val="255"/>
        </w:trPr>
        <w:tc>
          <w:tcPr>
            <w:tcW w:w="5954" w:type="dxa"/>
          </w:tcPr>
          <w:p w14:paraId="641AB629" w14:textId="77777777" w:rsidR="00986A4D" w:rsidRPr="002E1AF6" w:rsidRDefault="00986A4D" w:rsidP="00986A4D">
            <w:pPr>
              <w:jc w:val="both"/>
              <w:rPr>
                <w:rFonts w:ascii="Arial" w:hAnsi="Arial" w:cs="Arial"/>
                <w:sz w:val="18"/>
              </w:rPr>
            </w:pPr>
            <w:r w:rsidRPr="002E1AF6">
              <w:rPr>
                <w:rFonts w:ascii="Arial" w:hAnsi="Arial" w:cs="Arial"/>
                <w:sz w:val="18"/>
              </w:rPr>
              <w:t>Comisiones vinculadas con obligaciones</w:t>
            </w:r>
          </w:p>
        </w:tc>
        <w:tc>
          <w:tcPr>
            <w:tcW w:w="1559" w:type="dxa"/>
            <w:vAlign w:val="bottom"/>
          </w:tcPr>
          <w:p w14:paraId="6FCB3C6D" w14:textId="0321599E" w:rsidR="00986A4D" w:rsidRPr="002E1AF6" w:rsidRDefault="00986A4D" w:rsidP="00986A4D">
            <w:pPr>
              <w:ind w:right="113"/>
              <w:jc w:val="right"/>
              <w:rPr>
                <w:rFonts w:ascii="Arial" w:hAnsi="Arial" w:cs="Arial"/>
                <w:sz w:val="18"/>
              </w:rPr>
            </w:pPr>
            <w:r w:rsidRPr="002E1AF6">
              <w:rPr>
                <w:rFonts w:ascii="Arial" w:hAnsi="Arial" w:cs="Arial"/>
                <w:sz w:val="18"/>
              </w:rPr>
              <w:t>1.041.675</w:t>
            </w:r>
          </w:p>
        </w:tc>
        <w:tc>
          <w:tcPr>
            <w:tcW w:w="1418" w:type="dxa"/>
          </w:tcPr>
          <w:p w14:paraId="62DA1343" w14:textId="36599A0A" w:rsidR="00986A4D" w:rsidRPr="002E1AF6" w:rsidRDefault="00986A4D" w:rsidP="00986A4D">
            <w:pPr>
              <w:ind w:right="113"/>
              <w:jc w:val="right"/>
              <w:rPr>
                <w:rFonts w:ascii="Arial" w:hAnsi="Arial" w:cs="Arial"/>
                <w:sz w:val="18"/>
              </w:rPr>
            </w:pPr>
            <w:r w:rsidRPr="002E1AF6">
              <w:rPr>
                <w:rFonts w:ascii="Arial" w:hAnsi="Arial" w:cs="Arial"/>
                <w:sz w:val="18"/>
              </w:rPr>
              <w:t>1.006.528</w:t>
            </w:r>
          </w:p>
        </w:tc>
      </w:tr>
      <w:tr w:rsidR="00986A4D" w:rsidRPr="00701F32" w14:paraId="4197EF4F" w14:textId="77777777" w:rsidTr="004D679A">
        <w:trPr>
          <w:trHeight w:val="255"/>
        </w:trPr>
        <w:tc>
          <w:tcPr>
            <w:tcW w:w="5954" w:type="dxa"/>
          </w:tcPr>
          <w:p w14:paraId="25A710EA" w14:textId="77777777" w:rsidR="00986A4D" w:rsidRPr="002E1AF6" w:rsidRDefault="00986A4D" w:rsidP="00986A4D">
            <w:pPr>
              <w:jc w:val="both"/>
              <w:rPr>
                <w:rFonts w:ascii="Arial" w:hAnsi="Arial" w:cs="Arial"/>
                <w:sz w:val="18"/>
              </w:rPr>
            </w:pPr>
            <w:r w:rsidRPr="002E1AF6">
              <w:rPr>
                <w:rFonts w:ascii="Arial" w:hAnsi="Arial" w:cs="Arial"/>
                <w:sz w:val="18"/>
              </w:rPr>
              <w:t>Comisiones vinculadas con créditos</w:t>
            </w:r>
          </w:p>
        </w:tc>
        <w:tc>
          <w:tcPr>
            <w:tcW w:w="1559" w:type="dxa"/>
            <w:vAlign w:val="bottom"/>
          </w:tcPr>
          <w:p w14:paraId="1540AF29" w14:textId="3EE28299" w:rsidR="00986A4D" w:rsidRPr="002E1AF6" w:rsidRDefault="00986A4D" w:rsidP="00986A4D">
            <w:pPr>
              <w:ind w:right="113"/>
              <w:jc w:val="right"/>
              <w:rPr>
                <w:rFonts w:ascii="Arial" w:hAnsi="Arial" w:cs="Arial"/>
                <w:sz w:val="18"/>
              </w:rPr>
            </w:pPr>
            <w:r w:rsidRPr="002E1AF6">
              <w:rPr>
                <w:rFonts w:ascii="Arial" w:hAnsi="Arial" w:cs="Arial"/>
                <w:sz w:val="18"/>
              </w:rPr>
              <w:t>646.744</w:t>
            </w:r>
          </w:p>
        </w:tc>
        <w:tc>
          <w:tcPr>
            <w:tcW w:w="1418" w:type="dxa"/>
          </w:tcPr>
          <w:p w14:paraId="6D8C7CAD" w14:textId="4988D346" w:rsidR="00986A4D" w:rsidRPr="002E1AF6" w:rsidRDefault="00986A4D" w:rsidP="00986A4D">
            <w:pPr>
              <w:ind w:right="113"/>
              <w:jc w:val="right"/>
              <w:rPr>
                <w:rFonts w:ascii="Arial" w:hAnsi="Arial" w:cs="Arial"/>
                <w:sz w:val="18"/>
              </w:rPr>
            </w:pPr>
            <w:r w:rsidRPr="002E1AF6">
              <w:rPr>
                <w:rFonts w:ascii="Arial" w:hAnsi="Arial" w:cs="Arial"/>
                <w:sz w:val="18"/>
              </w:rPr>
              <w:t>585.295</w:t>
            </w:r>
          </w:p>
        </w:tc>
      </w:tr>
      <w:tr w:rsidR="00986A4D" w:rsidRPr="00701F32" w14:paraId="5859CF8B" w14:textId="77777777" w:rsidTr="0068697A">
        <w:trPr>
          <w:trHeight w:val="255"/>
        </w:trPr>
        <w:tc>
          <w:tcPr>
            <w:tcW w:w="5954" w:type="dxa"/>
          </w:tcPr>
          <w:p w14:paraId="7CC48A47" w14:textId="77777777" w:rsidR="00986A4D" w:rsidRPr="002E1AF6" w:rsidRDefault="00986A4D" w:rsidP="00986A4D">
            <w:pPr>
              <w:jc w:val="both"/>
              <w:rPr>
                <w:rFonts w:ascii="Arial" w:hAnsi="Arial" w:cs="Arial"/>
                <w:sz w:val="18"/>
              </w:rPr>
            </w:pPr>
            <w:r w:rsidRPr="002E1AF6">
              <w:rPr>
                <w:rFonts w:ascii="Arial" w:hAnsi="Arial" w:cs="Arial"/>
                <w:sz w:val="18"/>
              </w:rPr>
              <w:t>Comisiones vinculadas con compromisos eventuales y garantías financieras</w:t>
            </w:r>
          </w:p>
        </w:tc>
        <w:tc>
          <w:tcPr>
            <w:tcW w:w="1559" w:type="dxa"/>
            <w:vAlign w:val="center"/>
          </w:tcPr>
          <w:p w14:paraId="1AF9CB2B" w14:textId="4B8C7C1F" w:rsidR="00986A4D" w:rsidRPr="002E1AF6" w:rsidRDefault="00986A4D" w:rsidP="0068697A">
            <w:pPr>
              <w:tabs>
                <w:tab w:val="left" w:pos="1307"/>
              </w:tabs>
              <w:ind w:right="113"/>
              <w:jc w:val="right"/>
              <w:rPr>
                <w:rFonts w:ascii="Arial" w:hAnsi="Arial" w:cs="Arial"/>
                <w:sz w:val="18"/>
              </w:rPr>
            </w:pPr>
            <w:r w:rsidRPr="002E1AF6">
              <w:rPr>
                <w:rFonts w:ascii="Arial" w:hAnsi="Arial" w:cs="Arial"/>
                <w:sz w:val="18"/>
              </w:rPr>
              <w:t>4.010</w:t>
            </w:r>
          </w:p>
        </w:tc>
        <w:tc>
          <w:tcPr>
            <w:tcW w:w="1418" w:type="dxa"/>
            <w:vAlign w:val="center"/>
          </w:tcPr>
          <w:p w14:paraId="7BF3F062" w14:textId="19B5ABF4" w:rsidR="00986A4D" w:rsidRPr="002E1AF6" w:rsidRDefault="00986A4D" w:rsidP="0068697A">
            <w:pPr>
              <w:tabs>
                <w:tab w:val="left" w:pos="1307"/>
              </w:tabs>
              <w:ind w:right="113"/>
              <w:jc w:val="right"/>
              <w:rPr>
                <w:rFonts w:ascii="Arial" w:hAnsi="Arial" w:cs="Arial"/>
                <w:sz w:val="18"/>
              </w:rPr>
            </w:pPr>
            <w:r w:rsidRPr="002E1AF6">
              <w:rPr>
                <w:rFonts w:ascii="Arial" w:hAnsi="Arial" w:cs="Arial"/>
                <w:sz w:val="18"/>
              </w:rPr>
              <w:t>8.728</w:t>
            </w:r>
          </w:p>
        </w:tc>
      </w:tr>
      <w:tr w:rsidR="00986A4D" w:rsidRPr="00701F32" w14:paraId="03C1F937" w14:textId="77777777" w:rsidTr="004D679A">
        <w:trPr>
          <w:trHeight w:val="255"/>
        </w:trPr>
        <w:tc>
          <w:tcPr>
            <w:tcW w:w="5954" w:type="dxa"/>
          </w:tcPr>
          <w:p w14:paraId="087BEFBA" w14:textId="77777777" w:rsidR="00986A4D" w:rsidRPr="002E1AF6" w:rsidRDefault="00986A4D" w:rsidP="00986A4D">
            <w:pPr>
              <w:pStyle w:val="Style1"/>
              <w:adjustRightInd/>
              <w:jc w:val="both"/>
              <w:rPr>
                <w:rFonts w:ascii="Arial" w:hAnsi="Arial" w:cs="Arial"/>
                <w:spacing w:val="-6"/>
                <w:sz w:val="18"/>
                <w:szCs w:val="20"/>
              </w:rPr>
            </w:pPr>
            <w:r w:rsidRPr="002E1AF6">
              <w:rPr>
                <w:rFonts w:ascii="Arial" w:hAnsi="Arial" w:cs="Arial"/>
                <w:spacing w:val="-6"/>
                <w:sz w:val="18"/>
                <w:szCs w:val="20"/>
              </w:rPr>
              <w:t>Comisiones vinculadas con valores mobiliarios</w:t>
            </w:r>
          </w:p>
        </w:tc>
        <w:tc>
          <w:tcPr>
            <w:tcW w:w="1559" w:type="dxa"/>
            <w:vAlign w:val="bottom"/>
          </w:tcPr>
          <w:p w14:paraId="15A85916" w14:textId="0C01B899" w:rsidR="00986A4D" w:rsidRPr="002E1AF6" w:rsidRDefault="00986A4D" w:rsidP="00986A4D">
            <w:pPr>
              <w:pStyle w:val="Style1"/>
              <w:adjustRightInd/>
              <w:ind w:right="113"/>
              <w:jc w:val="right"/>
              <w:rPr>
                <w:rFonts w:ascii="Arial" w:hAnsi="Arial" w:cs="Arial"/>
                <w:spacing w:val="-4"/>
                <w:sz w:val="18"/>
                <w:szCs w:val="20"/>
              </w:rPr>
            </w:pPr>
            <w:r w:rsidRPr="002E1AF6">
              <w:rPr>
                <w:rFonts w:ascii="Arial" w:hAnsi="Arial" w:cs="Arial"/>
                <w:spacing w:val="-4"/>
                <w:sz w:val="18"/>
                <w:szCs w:val="20"/>
              </w:rPr>
              <w:t>2.355</w:t>
            </w:r>
          </w:p>
        </w:tc>
        <w:tc>
          <w:tcPr>
            <w:tcW w:w="1418" w:type="dxa"/>
          </w:tcPr>
          <w:p w14:paraId="766E6267" w14:textId="3078617E" w:rsidR="00986A4D" w:rsidRPr="002E1AF6" w:rsidRDefault="00986A4D" w:rsidP="00986A4D">
            <w:pPr>
              <w:pStyle w:val="Style1"/>
              <w:adjustRightInd/>
              <w:ind w:right="113"/>
              <w:jc w:val="right"/>
              <w:rPr>
                <w:rFonts w:ascii="Arial" w:hAnsi="Arial" w:cs="Arial"/>
                <w:spacing w:val="-4"/>
                <w:sz w:val="18"/>
                <w:szCs w:val="20"/>
              </w:rPr>
            </w:pPr>
            <w:r w:rsidRPr="002E1AF6">
              <w:rPr>
                <w:rFonts w:ascii="Arial" w:hAnsi="Arial" w:cs="Arial"/>
                <w:sz w:val="18"/>
                <w:szCs w:val="20"/>
              </w:rPr>
              <w:t>4.043</w:t>
            </w:r>
          </w:p>
        </w:tc>
      </w:tr>
      <w:tr w:rsidR="00986A4D" w:rsidRPr="00701F32" w14:paraId="0364E4C6" w14:textId="77777777" w:rsidTr="004D679A">
        <w:trPr>
          <w:trHeight w:val="255"/>
        </w:trPr>
        <w:tc>
          <w:tcPr>
            <w:tcW w:w="5954" w:type="dxa"/>
          </w:tcPr>
          <w:p w14:paraId="438266C2" w14:textId="77777777" w:rsidR="00986A4D" w:rsidRPr="002E1AF6" w:rsidRDefault="00986A4D" w:rsidP="00986A4D">
            <w:pPr>
              <w:pStyle w:val="Style1"/>
              <w:adjustRightInd/>
              <w:jc w:val="both"/>
              <w:rPr>
                <w:rFonts w:ascii="Arial" w:hAnsi="Arial" w:cs="Arial"/>
                <w:spacing w:val="-6"/>
                <w:sz w:val="18"/>
                <w:szCs w:val="20"/>
              </w:rPr>
            </w:pPr>
            <w:r w:rsidRPr="002E1AF6">
              <w:rPr>
                <w:rFonts w:ascii="Arial" w:hAnsi="Arial" w:cs="Arial"/>
                <w:spacing w:val="-6"/>
                <w:sz w:val="18"/>
                <w:szCs w:val="20"/>
              </w:rPr>
              <w:t>Comisiones por operaciones  exterior y cambio</w:t>
            </w:r>
          </w:p>
        </w:tc>
        <w:tc>
          <w:tcPr>
            <w:tcW w:w="1559" w:type="dxa"/>
            <w:vAlign w:val="bottom"/>
          </w:tcPr>
          <w:p w14:paraId="7CACE7A8" w14:textId="2A25D4C0" w:rsidR="00986A4D" w:rsidRPr="002E1AF6" w:rsidRDefault="00986A4D" w:rsidP="00986A4D">
            <w:pPr>
              <w:pStyle w:val="Style1"/>
              <w:adjustRightInd/>
              <w:ind w:right="113"/>
              <w:jc w:val="right"/>
              <w:rPr>
                <w:rFonts w:ascii="Arial" w:hAnsi="Arial" w:cs="Arial"/>
                <w:spacing w:val="-4"/>
                <w:sz w:val="18"/>
                <w:szCs w:val="20"/>
              </w:rPr>
            </w:pPr>
            <w:r w:rsidRPr="002E1AF6">
              <w:rPr>
                <w:rFonts w:ascii="Arial" w:hAnsi="Arial" w:cs="Arial"/>
                <w:spacing w:val="-4"/>
                <w:sz w:val="18"/>
                <w:szCs w:val="20"/>
              </w:rPr>
              <w:t>73.145</w:t>
            </w:r>
          </w:p>
        </w:tc>
        <w:tc>
          <w:tcPr>
            <w:tcW w:w="1418" w:type="dxa"/>
          </w:tcPr>
          <w:p w14:paraId="1040074E" w14:textId="0A025656" w:rsidR="00986A4D" w:rsidRPr="002E1AF6" w:rsidRDefault="00986A4D" w:rsidP="00986A4D">
            <w:pPr>
              <w:pStyle w:val="Style1"/>
              <w:adjustRightInd/>
              <w:ind w:right="113"/>
              <w:jc w:val="right"/>
              <w:rPr>
                <w:rFonts w:ascii="Arial" w:hAnsi="Arial" w:cs="Arial"/>
                <w:spacing w:val="-4"/>
                <w:sz w:val="18"/>
                <w:szCs w:val="20"/>
              </w:rPr>
            </w:pPr>
            <w:r w:rsidRPr="002E1AF6">
              <w:rPr>
                <w:rFonts w:ascii="Arial" w:hAnsi="Arial" w:cs="Arial"/>
                <w:sz w:val="18"/>
                <w:szCs w:val="20"/>
              </w:rPr>
              <w:t>85.559</w:t>
            </w:r>
          </w:p>
        </w:tc>
      </w:tr>
      <w:tr w:rsidR="00986A4D" w:rsidRPr="00701F32" w14:paraId="35B1101A" w14:textId="77777777" w:rsidTr="004D679A">
        <w:trPr>
          <w:trHeight w:val="255"/>
        </w:trPr>
        <w:tc>
          <w:tcPr>
            <w:tcW w:w="5954" w:type="dxa"/>
            <w:shd w:val="clear" w:color="auto" w:fill="auto"/>
          </w:tcPr>
          <w:p w14:paraId="2F800C81" w14:textId="5D04586B" w:rsidR="00986A4D" w:rsidRPr="002E1AF6" w:rsidRDefault="00986A4D" w:rsidP="00986A4D">
            <w:pPr>
              <w:jc w:val="both"/>
              <w:rPr>
                <w:rFonts w:ascii="Arial" w:hAnsi="Arial" w:cs="Arial"/>
                <w:sz w:val="18"/>
              </w:rPr>
            </w:pPr>
            <w:r w:rsidRPr="002E1AF6">
              <w:rPr>
                <w:rFonts w:ascii="Arial" w:hAnsi="Arial" w:cs="Arial"/>
                <w:sz w:val="18"/>
              </w:rPr>
              <w:t>Otros</w:t>
            </w:r>
          </w:p>
        </w:tc>
        <w:tc>
          <w:tcPr>
            <w:tcW w:w="1559" w:type="dxa"/>
          </w:tcPr>
          <w:p w14:paraId="5E6C7D10" w14:textId="34D3B477" w:rsidR="00986A4D" w:rsidRPr="002E1AF6" w:rsidRDefault="00986A4D" w:rsidP="00986A4D">
            <w:pPr>
              <w:ind w:right="134"/>
              <w:jc w:val="right"/>
              <w:rPr>
                <w:rFonts w:ascii="Arial" w:hAnsi="Arial" w:cs="Arial"/>
                <w:b/>
                <w:sz w:val="18"/>
              </w:rPr>
            </w:pPr>
            <w:r w:rsidRPr="002E1AF6">
              <w:rPr>
                <w:rFonts w:ascii="Arial" w:hAnsi="Arial" w:cs="Arial"/>
                <w:sz w:val="18"/>
              </w:rPr>
              <w:t>88.486</w:t>
            </w:r>
          </w:p>
        </w:tc>
        <w:tc>
          <w:tcPr>
            <w:tcW w:w="1418" w:type="dxa"/>
            <w:shd w:val="clear" w:color="auto" w:fill="auto"/>
          </w:tcPr>
          <w:p w14:paraId="0306C49B" w14:textId="7EB24C85" w:rsidR="00986A4D" w:rsidRPr="002E1AF6" w:rsidRDefault="00986A4D" w:rsidP="00986A4D">
            <w:pPr>
              <w:ind w:right="134"/>
              <w:jc w:val="right"/>
              <w:rPr>
                <w:rFonts w:ascii="Arial" w:hAnsi="Arial" w:cs="Arial"/>
                <w:sz w:val="18"/>
              </w:rPr>
            </w:pPr>
            <w:r w:rsidRPr="002E1AF6">
              <w:rPr>
                <w:rFonts w:ascii="Arial" w:hAnsi="Arial" w:cs="Arial"/>
                <w:sz w:val="18"/>
              </w:rPr>
              <w:t>107.703</w:t>
            </w:r>
          </w:p>
        </w:tc>
      </w:tr>
      <w:tr w:rsidR="00A77B25" w:rsidRPr="00701F32" w14:paraId="4BA03B11" w14:textId="77777777" w:rsidTr="002F65FB">
        <w:trPr>
          <w:trHeight w:val="255"/>
        </w:trPr>
        <w:tc>
          <w:tcPr>
            <w:tcW w:w="5954" w:type="dxa"/>
            <w:shd w:val="clear" w:color="auto" w:fill="auto"/>
          </w:tcPr>
          <w:p w14:paraId="50A94490" w14:textId="77777777" w:rsidR="00A77B25" w:rsidRPr="002E1AF6" w:rsidRDefault="00A77B25" w:rsidP="00A77B25">
            <w:pPr>
              <w:jc w:val="both"/>
              <w:rPr>
                <w:rFonts w:ascii="Arial" w:hAnsi="Arial" w:cs="Arial"/>
                <w:b/>
                <w:sz w:val="18"/>
              </w:rPr>
            </w:pPr>
            <w:r w:rsidRPr="002E1AF6">
              <w:rPr>
                <w:rFonts w:ascii="Arial" w:hAnsi="Arial" w:cs="Arial"/>
                <w:b/>
                <w:sz w:val="18"/>
              </w:rPr>
              <w:t>Total</w:t>
            </w:r>
          </w:p>
        </w:tc>
        <w:tc>
          <w:tcPr>
            <w:tcW w:w="1559" w:type="dxa"/>
          </w:tcPr>
          <w:p w14:paraId="08B830D7" w14:textId="5EF3EAFC" w:rsidR="00A77B25" w:rsidRPr="002E1AF6" w:rsidRDefault="00986A4D" w:rsidP="00A77B25">
            <w:pPr>
              <w:ind w:right="134"/>
              <w:jc w:val="right"/>
              <w:rPr>
                <w:rFonts w:ascii="Arial" w:hAnsi="Arial" w:cs="Arial"/>
                <w:b/>
                <w:sz w:val="18"/>
              </w:rPr>
            </w:pPr>
            <w:r w:rsidRPr="002E1AF6">
              <w:rPr>
                <w:rFonts w:ascii="Arial" w:hAnsi="Arial" w:cs="Arial"/>
                <w:b/>
                <w:sz w:val="18"/>
              </w:rPr>
              <w:t>1.856.415</w:t>
            </w:r>
          </w:p>
        </w:tc>
        <w:tc>
          <w:tcPr>
            <w:tcW w:w="1418" w:type="dxa"/>
            <w:shd w:val="clear" w:color="auto" w:fill="auto"/>
            <w:vAlign w:val="center"/>
          </w:tcPr>
          <w:p w14:paraId="1D366A7F" w14:textId="6EEDDB99" w:rsidR="00A77B25" w:rsidRPr="002E1AF6" w:rsidRDefault="00986A4D" w:rsidP="00A77B25">
            <w:pPr>
              <w:ind w:right="134"/>
              <w:jc w:val="right"/>
              <w:rPr>
                <w:rFonts w:ascii="Arial" w:hAnsi="Arial" w:cs="Arial"/>
                <w:b/>
                <w:sz w:val="18"/>
              </w:rPr>
            </w:pPr>
            <w:r w:rsidRPr="002E1AF6">
              <w:rPr>
                <w:rFonts w:ascii="Arial" w:hAnsi="Arial" w:cs="Arial"/>
                <w:b/>
                <w:bCs/>
                <w:sz w:val="18"/>
              </w:rPr>
              <w:t>1.797.856</w:t>
            </w:r>
          </w:p>
        </w:tc>
      </w:tr>
    </w:tbl>
    <w:p w14:paraId="5D06C61A" w14:textId="77777777" w:rsidR="00151C24" w:rsidRDefault="00151C24" w:rsidP="00151C24">
      <w:pPr>
        <w:rPr>
          <w:rFonts w:ascii="Arial" w:hAnsi="Arial" w:cs="Arial"/>
          <w:bCs/>
          <w:color w:val="000000"/>
          <w:sz w:val="20"/>
          <w:lang w:eastAsia="es-AR"/>
        </w:rPr>
      </w:pPr>
    </w:p>
    <w:p w14:paraId="67EAC5DC" w14:textId="77777777" w:rsidR="00151C24" w:rsidRDefault="00151C24" w:rsidP="00151C24">
      <w:pPr>
        <w:rPr>
          <w:rFonts w:ascii="Arial" w:hAnsi="Arial" w:cs="Arial"/>
          <w:bCs/>
          <w:color w:val="000000"/>
          <w:sz w:val="20"/>
          <w:lang w:eastAsia="es-AR"/>
        </w:rPr>
      </w:pPr>
      <w:r>
        <w:rPr>
          <w:rFonts w:ascii="Arial" w:hAnsi="Arial" w:cs="Arial"/>
          <w:bCs/>
          <w:color w:val="000000"/>
          <w:sz w:val="20"/>
          <w:lang w:eastAsia="es-AR"/>
        </w:rPr>
        <w:t>15.3 Egresos por intereses</w:t>
      </w:r>
    </w:p>
    <w:p w14:paraId="34B570C6" w14:textId="77777777" w:rsidR="00151C24" w:rsidRDefault="00151C24" w:rsidP="00151C24">
      <w:pPr>
        <w:rPr>
          <w:rFonts w:ascii="Arial" w:hAnsi="Arial" w:cs="Arial"/>
          <w:bCs/>
          <w:color w:val="000000"/>
          <w:sz w:val="20"/>
          <w:lang w:eastAsia="es-A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417"/>
        <w:gridCol w:w="1418"/>
      </w:tblGrid>
      <w:tr w:rsidR="00151C24" w:rsidRPr="00701F32" w14:paraId="7C83B6E5" w14:textId="77777777" w:rsidTr="00066653">
        <w:trPr>
          <w:trHeight w:val="255"/>
          <w:tblHeader/>
        </w:trPr>
        <w:tc>
          <w:tcPr>
            <w:tcW w:w="6096" w:type="dxa"/>
            <w:shd w:val="clear" w:color="auto" w:fill="auto"/>
          </w:tcPr>
          <w:p w14:paraId="2FB42C54" w14:textId="77777777" w:rsidR="00151C24" w:rsidRPr="002E1AF6" w:rsidRDefault="00151C24" w:rsidP="0084502B">
            <w:pPr>
              <w:tabs>
                <w:tab w:val="decimal" w:pos="284"/>
                <w:tab w:val="decimal" w:pos="6237"/>
                <w:tab w:val="decimal" w:pos="7200"/>
                <w:tab w:val="decimal" w:pos="8220"/>
                <w:tab w:val="decimal" w:pos="8900"/>
              </w:tabs>
              <w:jc w:val="both"/>
              <w:rPr>
                <w:rFonts w:ascii="Arial" w:hAnsi="Arial" w:cs="Arial"/>
                <w:b/>
                <w:sz w:val="18"/>
              </w:rPr>
            </w:pPr>
          </w:p>
        </w:tc>
        <w:tc>
          <w:tcPr>
            <w:tcW w:w="1417" w:type="dxa"/>
          </w:tcPr>
          <w:p w14:paraId="2E156889" w14:textId="55FF8EB9"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C81E0E" w:rsidRPr="002E1AF6">
              <w:rPr>
                <w:rFonts w:ascii="Arial" w:hAnsi="Arial" w:cs="Arial"/>
                <w:b/>
                <w:sz w:val="18"/>
              </w:rPr>
              <w:t>3</w:t>
            </w:r>
            <w:r w:rsidRPr="002E1AF6">
              <w:rPr>
                <w:rFonts w:ascii="Arial" w:hAnsi="Arial" w:cs="Arial"/>
                <w:b/>
                <w:sz w:val="18"/>
              </w:rPr>
              <w:t>/20</w:t>
            </w:r>
            <w:r w:rsidR="00C81E0E" w:rsidRPr="002E1AF6">
              <w:rPr>
                <w:rFonts w:ascii="Arial" w:hAnsi="Arial" w:cs="Arial"/>
                <w:b/>
                <w:sz w:val="18"/>
              </w:rPr>
              <w:t>20</w:t>
            </w:r>
          </w:p>
        </w:tc>
        <w:tc>
          <w:tcPr>
            <w:tcW w:w="1418" w:type="dxa"/>
            <w:shd w:val="clear" w:color="auto" w:fill="auto"/>
            <w:vAlign w:val="center"/>
          </w:tcPr>
          <w:p w14:paraId="06581754" w14:textId="2148AC79"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C81E0E" w:rsidRPr="002E1AF6">
              <w:rPr>
                <w:rFonts w:ascii="Arial" w:hAnsi="Arial" w:cs="Arial"/>
                <w:b/>
                <w:sz w:val="18"/>
              </w:rPr>
              <w:t>3</w:t>
            </w:r>
            <w:r w:rsidRPr="002E1AF6">
              <w:rPr>
                <w:rFonts w:ascii="Arial" w:hAnsi="Arial" w:cs="Arial"/>
                <w:b/>
                <w:sz w:val="18"/>
              </w:rPr>
              <w:t>/201</w:t>
            </w:r>
            <w:r w:rsidR="00C81E0E" w:rsidRPr="002E1AF6">
              <w:rPr>
                <w:rFonts w:ascii="Arial" w:hAnsi="Arial" w:cs="Arial"/>
                <w:b/>
                <w:sz w:val="18"/>
              </w:rPr>
              <w:t>9</w:t>
            </w:r>
          </w:p>
        </w:tc>
      </w:tr>
      <w:tr w:rsidR="00C81E0E" w:rsidRPr="00701F32" w14:paraId="4C5FAF25" w14:textId="77777777" w:rsidTr="00066653">
        <w:trPr>
          <w:trHeight w:val="255"/>
        </w:trPr>
        <w:tc>
          <w:tcPr>
            <w:tcW w:w="6096" w:type="dxa"/>
          </w:tcPr>
          <w:p w14:paraId="640C7709" w14:textId="77777777" w:rsidR="00C81E0E" w:rsidRPr="002E1AF6" w:rsidRDefault="00C81E0E" w:rsidP="00C81E0E">
            <w:pPr>
              <w:ind w:left="180" w:hanging="151"/>
              <w:jc w:val="both"/>
              <w:rPr>
                <w:rFonts w:ascii="Arial" w:hAnsi="Arial" w:cs="Arial"/>
                <w:sz w:val="18"/>
              </w:rPr>
            </w:pPr>
            <w:r w:rsidRPr="002E1AF6">
              <w:rPr>
                <w:rFonts w:ascii="Arial" w:hAnsi="Arial" w:cs="Arial"/>
                <w:sz w:val="18"/>
              </w:rPr>
              <w:t>Cuentas corrientes</w:t>
            </w:r>
          </w:p>
        </w:tc>
        <w:tc>
          <w:tcPr>
            <w:tcW w:w="1417" w:type="dxa"/>
          </w:tcPr>
          <w:p w14:paraId="4D3F7A3F" w14:textId="374FE58C" w:rsidR="00C81E0E" w:rsidRPr="002E1AF6" w:rsidRDefault="00C81E0E" w:rsidP="00C81E0E">
            <w:pPr>
              <w:ind w:right="134"/>
              <w:jc w:val="right"/>
              <w:rPr>
                <w:rFonts w:ascii="Arial" w:hAnsi="Arial" w:cs="Arial"/>
                <w:sz w:val="18"/>
              </w:rPr>
            </w:pPr>
            <w:r w:rsidRPr="002E1AF6">
              <w:rPr>
                <w:rFonts w:ascii="Arial" w:hAnsi="Arial" w:cs="Arial"/>
                <w:sz w:val="18"/>
              </w:rPr>
              <w:t>857.746</w:t>
            </w:r>
          </w:p>
        </w:tc>
        <w:tc>
          <w:tcPr>
            <w:tcW w:w="1418" w:type="dxa"/>
          </w:tcPr>
          <w:p w14:paraId="1741A4E5" w14:textId="3A68BE41" w:rsidR="00C81E0E" w:rsidRPr="002E1AF6" w:rsidRDefault="00C81E0E" w:rsidP="00C81E0E">
            <w:pPr>
              <w:ind w:right="134"/>
              <w:jc w:val="right"/>
              <w:rPr>
                <w:rFonts w:ascii="Arial" w:hAnsi="Arial" w:cs="Arial"/>
                <w:sz w:val="18"/>
              </w:rPr>
            </w:pPr>
            <w:r w:rsidRPr="002E1AF6">
              <w:rPr>
                <w:rFonts w:ascii="Arial" w:hAnsi="Arial" w:cs="Arial"/>
                <w:sz w:val="18"/>
              </w:rPr>
              <w:t>2.065.477</w:t>
            </w:r>
          </w:p>
        </w:tc>
      </w:tr>
      <w:tr w:rsidR="00C81E0E" w:rsidRPr="00701F32" w14:paraId="28292201" w14:textId="77777777" w:rsidTr="00066653">
        <w:trPr>
          <w:trHeight w:val="255"/>
        </w:trPr>
        <w:tc>
          <w:tcPr>
            <w:tcW w:w="6096" w:type="dxa"/>
          </w:tcPr>
          <w:p w14:paraId="0DCF0300" w14:textId="77777777" w:rsidR="00C81E0E" w:rsidRPr="002E1AF6" w:rsidRDefault="00C81E0E" w:rsidP="00C81E0E">
            <w:pPr>
              <w:ind w:left="180" w:hanging="151"/>
              <w:jc w:val="both"/>
              <w:rPr>
                <w:rFonts w:ascii="Arial" w:hAnsi="Arial" w:cs="Arial"/>
                <w:sz w:val="18"/>
              </w:rPr>
            </w:pPr>
            <w:r w:rsidRPr="002E1AF6">
              <w:rPr>
                <w:rFonts w:ascii="Arial" w:hAnsi="Arial" w:cs="Arial"/>
                <w:sz w:val="18"/>
              </w:rPr>
              <w:t>Cajas de ahorro</w:t>
            </w:r>
          </w:p>
        </w:tc>
        <w:tc>
          <w:tcPr>
            <w:tcW w:w="1417" w:type="dxa"/>
          </w:tcPr>
          <w:p w14:paraId="59B2C155" w14:textId="3D55CAAB" w:rsidR="00C81E0E" w:rsidRPr="002E1AF6" w:rsidRDefault="00C81E0E" w:rsidP="00C81E0E">
            <w:pPr>
              <w:ind w:right="134"/>
              <w:jc w:val="right"/>
              <w:rPr>
                <w:rFonts w:ascii="Arial" w:hAnsi="Arial" w:cs="Arial"/>
                <w:sz w:val="18"/>
              </w:rPr>
            </w:pPr>
            <w:r w:rsidRPr="002E1AF6">
              <w:rPr>
                <w:rFonts w:ascii="Arial" w:hAnsi="Arial" w:cs="Arial"/>
                <w:sz w:val="18"/>
              </w:rPr>
              <w:t>1.990</w:t>
            </w:r>
          </w:p>
        </w:tc>
        <w:tc>
          <w:tcPr>
            <w:tcW w:w="1418" w:type="dxa"/>
          </w:tcPr>
          <w:p w14:paraId="39AFCBC5" w14:textId="4D57BFDF" w:rsidR="00C81E0E" w:rsidRPr="002E1AF6" w:rsidRDefault="00C81E0E" w:rsidP="00C81E0E">
            <w:pPr>
              <w:ind w:right="134"/>
              <w:jc w:val="right"/>
              <w:rPr>
                <w:rFonts w:ascii="Arial" w:hAnsi="Arial" w:cs="Arial"/>
                <w:sz w:val="18"/>
              </w:rPr>
            </w:pPr>
            <w:r w:rsidRPr="002E1AF6">
              <w:rPr>
                <w:rFonts w:ascii="Arial" w:hAnsi="Arial" w:cs="Arial"/>
                <w:sz w:val="18"/>
              </w:rPr>
              <w:t>2.571</w:t>
            </w:r>
          </w:p>
        </w:tc>
      </w:tr>
      <w:tr w:rsidR="00C81E0E" w:rsidRPr="00701F32" w14:paraId="744A5B50" w14:textId="77777777" w:rsidTr="00066653">
        <w:trPr>
          <w:trHeight w:val="255"/>
        </w:trPr>
        <w:tc>
          <w:tcPr>
            <w:tcW w:w="6096" w:type="dxa"/>
          </w:tcPr>
          <w:p w14:paraId="4D0A473F" w14:textId="77777777" w:rsidR="00C81E0E" w:rsidRPr="002E1AF6" w:rsidRDefault="00C81E0E" w:rsidP="00C81E0E">
            <w:pPr>
              <w:ind w:left="180" w:hanging="151"/>
              <w:jc w:val="both"/>
              <w:rPr>
                <w:rFonts w:ascii="Arial" w:hAnsi="Arial" w:cs="Arial"/>
                <w:sz w:val="18"/>
              </w:rPr>
            </w:pPr>
            <w:r w:rsidRPr="002E1AF6">
              <w:rPr>
                <w:rFonts w:ascii="Arial" w:hAnsi="Arial" w:cs="Arial"/>
                <w:sz w:val="18"/>
              </w:rPr>
              <w:t>Plazo fijo e inversiones a plazo</w:t>
            </w:r>
          </w:p>
        </w:tc>
        <w:tc>
          <w:tcPr>
            <w:tcW w:w="1417" w:type="dxa"/>
          </w:tcPr>
          <w:p w14:paraId="1E5C0F49" w14:textId="0845F7E5" w:rsidR="00C81E0E" w:rsidRPr="002E1AF6" w:rsidRDefault="00C81E0E" w:rsidP="00C81E0E">
            <w:pPr>
              <w:ind w:right="134"/>
              <w:jc w:val="right"/>
              <w:rPr>
                <w:rFonts w:ascii="Arial" w:hAnsi="Arial" w:cs="Arial"/>
                <w:sz w:val="18"/>
              </w:rPr>
            </w:pPr>
            <w:r w:rsidRPr="002E1AF6">
              <w:rPr>
                <w:rFonts w:ascii="Arial" w:hAnsi="Arial" w:cs="Arial"/>
                <w:sz w:val="18"/>
              </w:rPr>
              <w:t>3.134.421</w:t>
            </w:r>
          </w:p>
        </w:tc>
        <w:tc>
          <w:tcPr>
            <w:tcW w:w="1418" w:type="dxa"/>
          </w:tcPr>
          <w:p w14:paraId="4CC31D5D" w14:textId="1A230A88" w:rsidR="00C81E0E" w:rsidRPr="002E1AF6" w:rsidRDefault="00C81E0E" w:rsidP="00C81E0E">
            <w:pPr>
              <w:ind w:right="134"/>
              <w:jc w:val="right"/>
              <w:rPr>
                <w:rFonts w:ascii="Arial" w:hAnsi="Arial" w:cs="Arial"/>
                <w:sz w:val="18"/>
              </w:rPr>
            </w:pPr>
            <w:r w:rsidRPr="002E1AF6">
              <w:rPr>
                <w:rFonts w:ascii="Arial" w:hAnsi="Arial" w:cs="Arial"/>
                <w:sz w:val="18"/>
              </w:rPr>
              <w:t>4.520.534</w:t>
            </w:r>
          </w:p>
        </w:tc>
      </w:tr>
      <w:tr w:rsidR="00C81E0E" w:rsidRPr="00701F32" w14:paraId="79AE8DE8" w14:textId="77777777" w:rsidTr="00066653">
        <w:trPr>
          <w:trHeight w:val="255"/>
        </w:trPr>
        <w:tc>
          <w:tcPr>
            <w:tcW w:w="6096" w:type="dxa"/>
          </w:tcPr>
          <w:p w14:paraId="639E06CB" w14:textId="77777777" w:rsidR="00C81E0E" w:rsidRPr="002E1AF6" w:rsidRDefault="00C81E0E" w:rsidP="00C81E0E">
            <w:pPr>
              <w:ind w:left="180" w:hanging="151"/>
              <w:jc w:val="both"/>
              <w:rPr>
                <w:rFonts w:ascii="Arial" w:hAnsi="Arial" w:cs="Arial"/>
                <w:sz w:val="18"/>
              </w:rPr>
            </w:pPr>
            <w:r w:rsidRPr="002E1AF6">
              <w:rPr>
                <w:rFonts w:ascii="Arial" w:hAnsi="Arial" w:cs="Arial"/>
                <w:sz w:val="18"/>
              </w:rPr>
              <w:t>Otros</w:t>
            </w:r>
          </w:p>
        </w:tc>
        <w:tc>
          <w:tcPr>
            <w:tcW w:w="1417" w:type="dxa"/>
          </w:tcPr>
          <w:p w14:paraId="407787F7" w14:textId="4D479011" w:rsidR="00C81E0E" w:rsidRPr="002E1AF6" w:rsidRDefault="00C81E0E" w:rsidP="00C81E0E">
            <w:pPr>
              <w:ind w:right="134"/>
              <w:jc w:val="right"/>
              <w:rPr>
                <w:rFonts w:ascii="Arial" w:hAnsi="Arial" w:cs="Arial"/>
                <w:sz w:val="18"/>
              </w:rPr>
            </w:pPr>
            <w:r w:rsidRPr="002E1AF6">
              <w:rPr>
                <w:rFonts w:ascii="Arial" w:hAnsi="Arial" w:cs="Arial"/>
                <w:sz w:val="18"/>
              </w:rPr>
              <w:t>954.836</w:t>
            </w:r>
          </w:p>
        </w:tc>
        <w:tc>
          <w:tcPr>
            <w:tcW w:w="1418" w:type="dxa"/>
          </w:tcPr>
          <w:p w14:paraId="44A7EFFD" w14:textId="744F1D46" w:rsidR="00C81E0E" w:rsidRPr="002E1AF6" w:rsidRDefault="00C81E0E" w:rsidP="00C81E0E">
            <w:pPr>
              <w:ind w:right="134"/>
              <w:jc w:val="right"/>
              <w:rPr>
                <w:rFonts w:ascii="Arial" w:hAnsi="Arial" w:cs="Arial"/>
                <w:sz w:val="18"/>
              </w:rPr>
            </w:pPr>
            <w:r w:rsidRPr="002E1AF6">
              <w:rPr>
                <w:rFonts w:ascii="Arial" w:hAnsi="Arial" w:cs="Arial"/>
                <w:sz w:val="18"/>
              </w:rPr>
              <w:t>834.322</w:t>
            </w:r>
          </w:p>
        </w:tc>
      </w:tr>
      <w:tr w:rsidR="00C81E0E" w:rsidRPr="00701F32" w14:paraId="60615BE8" w14:textId="77777777" w:rsidTr="0068697A">
        <w:trPr>
          <w:trHeight w:val="255"/>
        </w:trPr>
        <w:tc>
          <w:tcPr>
            <w:tcW w:w="6096" w:type="dxa"/>
          </w:tcPr>
          <w:p w14:paraId="3886E4AF" w14:textId="77777777" w:rsidR="00C81E0E" w:rsidRPr="002E1AF6" w:rsidRDefault="00C81E0E" w:rsidP="00C81E0E">
            <w:pPr>
              <w:ind w:left="180" w:hanging="151"/>
              <w:jc w:val="both"/>
              <w:rPr>
                <w:rFonts w:ascii="Arial" w:hAnsi="Arial" w:cs="Arial"/>
                <w:sz w:val="18"/>
              </w:rPr>
            </w:pPr>
            <w:r w:rsidRPr="002E1AF6">
              <w:rPr>
                <w:rFonts w:ascii="Arial" w:hAnsi="Arial" w:cs="Arial"/>
                <w:sz w:val="18"/>
              </w:rPr>
              <w:t>Por financiaciones recibidas del BCRA y otras instituciones financieras</w:t>
            </w:r>
          </w:p>
        </w:tc>
        <w:tc>
          <w:tcPr>
            <w:tcW w:w="1417" w:type="dxa"/>
            <w:vAlign w:val="center"/>
          </w:tcPr>
          <w:p w14:paraId="29FFDA87" w14:textId="26766920" w:rsidR="00C81E0E" w:rsidRPr="002E1AF6" w:rsidRDefault="00C81E0E" w:rsidP="0068697A">
            <w:pPr>
              <w:ind w:right="134"/>
              <w:jc w:val="right"/>
              <w:rPr>
                <w:rFonts w:ascii="Arial" w:hAnsi="Arial" w:cs="Arial"/>
                <w:sz w:val="18"/>
              </w:rPr>
            </w:pPr>
            <w:r w:rsidRPr="002E1AF6">
              <w:rPr>
                <w:rFonts w:ascii="Arial" w:hAnsi="Arial" w:cs="Arial"/>
                <w:sz w:val="18"/>
              </w:rPr>
              <w:t>88.102</w:t>
            </w:r>
          </w:p>
        </w:tc>
        <w:tc>
          <w:tcPr>
            <w:tcW w:w="1418" w:type="dxa"/>
            <w:vAlign w:val="center"/>
          </w:tcPr>
          <w:p w14:paraId="576F356C" w14:textId="5372C07B" w:rsidR="00C81E0E" w:rsidRPr="002E1AF6" w:rsidRDefault="00C81E0E" w:rsidP="0068697A">
            <w:pPr>
              <w:ind w:right="134"/>
              <w:jc w:val="right"/>
              <w:rPr>
                <w:rFonts w:ascii="Arial" w:hAnsi="Arial" w:cs="Arial"/>
                <w:sz w:val="18"/>
              </w:rPr>
            </w:pPr>
            <w:r w:rsidRPr="002E1AF6">
              <w:rPr>
                <w:rFonts w:ascii="Arial" w:hAnsi="Arial" w:cs="Arial"/>
                <w:sz w:val="18"/>
              </w:rPr>
              <w:t>252.977</w:t>
            </w:r>
          </w:p>
        </w:tc>
      </w:tr>
      <w:tr w:rsidR="00C81E0E" w:rsidRPr="00701F32" w14:paraId="31F7A72E" w14:textId="77777777" w:rsidTr="00066653">
        <w:trPr>
          <w:trHeight w:val="255"/>
        </w:trPr>
        <w:tc>
          <w:tcPr>
            <w:tcW w:w="6096" w:type="dxa"/>
          </w:tcPr>
          <w:p w14:paraId="120FADCC" w14:textId="77777777" w:rsidR="00C81E0E" w:rsidRPr="002E1AF6" w:rsidRDefault="00C81E0E" w:rsidP="00C81E0E">
            <w:pPr>
              <w:ind w:left="180" w:hanging="151"/>
              <w:jc w:val="both"/>
              <w:rPr>
                <w:rFonts w:ascii="Arial" w:hAnsi="Arial" w:cs="Arial"/>
                <w:sz w:val="18"/>
              </w:rPr>
            </w:pPr>
            <w:r w:rsidRPr="002E1AF6">
              <w:rPr>
                <w:rFonts w:ascii="Arial" w:hAnsi="Arial" w:cs="Arial"/>
                <w:sz w:val="18"/>
              </w:rPr>
              <w:t>Por operaciones de pase</w:t>
            </w:r>
          </w:p>
        </w:tc>
        <w:tc>
          <w:tcPr>
            <w:tcW w:w="1417" w:type="dxa"/>
          </w:tcPr>
          <w:p w14:paraId="7E8B2EC4" w14:textId="3A0CD778" w:rsidR="00C81E0E" w:rsidRPr="002E1AF6" w:rsidRDefault="00C81E0E" w:rsidP="00C81E0E">
            <w:pPr>
              <w:tabs>
                <w:tab w:val="left" w:pos="1307"/>
              </w:tabs>
              <w:ind w:right="134"/>
              <w:jc w:val="right"/>
              <w:rPr>
                <w:rFonts w:ascii="Arial" w:hAnsi="Arial" w:cs="Arial"/>
                <w:sz w:val="18"/>
              </w:rPr>
            </w:pPr>
            <w:r w:rsidRPr="002E1AF6">
              <w:rPr>
                <w:rFonts w:ascii="Arial" w:hAnsi="Arial" w:cs="Arial"/>
                <w:sz w:val="18"/>
              </w:rPr>
              <w:t>72.995</w:t>
            </w:r>
          </w:p>
        </w:tc>
        <w:tc>
          <w:tcPr>
            <w:tcW w:w="1418" w:type="dxa"/>
          </w:tcPr>
          <w:p w14:paraId="3C8E163B" w14:textId="07FB1ED5" w:rsidR="00C81E0E" w:rsidRPr="002E1AF6" w:rsidRDefault="00C81E0E" w:rsidP="00C81E0E">
            <w:pPr>
              <w:tabs>
                <w:tab w:val="left" w:pos="1307"/>
              </w:tabs>
              <w:ind w:right="134"/>
              <w:jc w:val="right"/>
              <w:rPr>
                <w:rFonts w:ascii="Arial" w:hAnsi="Arial" w:cs="Arial"/>
                <w:sz w:val="18"/>
              </w:rPr>
            </w:pPr>
            <w:r w:rsidRPr="002E1AF6">
              <w:rPr>
                <w:rFonts w:ascii="Arial" w:hAnsi="Arial" w:cs="Arial"/>
                <w:sz w:val="18"/>
              </w:rPr>
              <w:t>213.377</w:t>
            </w:r>
          </w:p>
        </w:tc>
      </w:tr>
      <w:tr w:rsidR="00C81E0E" w:rsidRPr="00701F32" w14:paraId="62F4B4FE" w14:textId="77777777" w:rsidTr="00066653">
        <w:trPr>
          <w:trHeight w:val="255"/>
        </w:trPr>
        <w:tc>
          <w:tcPr>
            <w:tcW w:w="6096" w:type="dxa"/>
          </w:tcPr>
          <w:p w14:paraId="04D57013" w14:textId="77777777" w:rsidR="00C81E0E" w:rsidRPr="002E1AF6" w:rsidRDefault="00C81E0E" w:rsidP="00C81E0E">
            <w:pPr>
              <w:pStyle w:val="Style1"/>
              <w:adjustRightInd/>
              <w:ind w:left="162" w:hanging="151"/>
              <w:jc w:val="both"/>
              <w:rPr>
                <w:rFonts w:ascii="Arial" w:hAnsi="Arial" w:cs="Arial"/>
                <w:spacing w:val="-6"/>
                <w:sz w:val="18"/>
                <w:szCs w:val="20"/>
              </w:rPr>
            </w:pPr>
            <w:r w:rsidRPr="002E1AF6">
              <w:rPr>
                <w:rFonts w:ascii="Arial" w:hAnsi="Arial" w:cs="Arial"/>
                <w:spacing w:val="-6"/>
                <w:sz w:val="18"/>
                <w:szCs w:val="20"/>
              </w:rPr>
              <w:t>Por otros pasivos financieros</w:t>
            </w:r>
          </w:p>
        </w:tc>
        <w:tc>
          <w:tcPr>
            <w:tcW w:w="1417" w:type="dxa"/>
          </w:tcPr>
          <w:p w14:paraId="0B392CA6" w14:textId="604E06AD" w:rsidR="00C81E0E" w:rsidRPr="002E1AF6" w:rsidRDefault="00C81E0E" w:rsidP="00C81E0E">
            <w:pPr>
              <w:pStyle w:val="Style1"/>
              <w:adjustRightInd/>
              <w:ind w:right="134"/>
              <w:jc w:val="right"/>
              <w:rPr>
                <w:rFonts w:ascii="Arial" w:hAnsi="Arial" w:cs="Arial"/>
                <w:spacing w:val="-4"/>
                <w:sz w:val="18"/>
                <w:szCs w:val="20"/>
              </w:rPr>
            </w:pPr>
            <w:r w:rsidRPr="002E1AF6">
              <w:rPr>
                <w:rFonts w:ascii="Arial" w:hAnsi="Arial" w:cs="Arial"/>
                <w:spacing w:val="-4"/>
                <w:sz w:val="18"/>
                <w:szCs w:val="20"/>
              </w:rPr>
              <w:t>649.543</w:t>
            </w:r>
          </w:p>
        </w:tc>
        <w:tc>
          <w:tcPr>
            <w:tcW w:w="1418" w:type="dxa"/>
          </w:tcPr>
          <w:p w14:paraId="2B728212" w14:textId="47DA793E" w:rsidR="00C81E0E" w:rsidRPr="002E1AF6" w:rsidRDefault="00C81E0E" w:rsidP="00C81E0E">
            <w:pPr>
              <w:pStyle w:val="Style1"/>
              <w:adjustRightInd/>
              <w:ind w:right="134"/>
              <w:jc w:val="right"/>
              <w:rPr>
                <w:rFonts w:ascii="Arial" w:hAnsi="Arial" w:cs="Arial"/>
                <w:spacing w:val="-4"/>
                <w:sz w:val="18"/>
                <w:szCs w:val="20"/>
              </w:rPr>
            </w:pPr>
            <w:r w:rsidRPr="002E1AF6">
              <w:rPr>
                <w:rFonts w:ascii="Arial" w:hAnsi="Arial" w:cs="Arial"/>
                <w:sz w:val="18"/>
                <w:szCs w:val="20"/>
              </w:rPr>
              <w:t>1.858.202</w:t>
            </w:r>
          </w:p>
        </w:tc>
      </w:tr>
      <w:tr w:rsidR="00151C24" w:rsidRPr="00701F32" w14:paraId="78D81D47" w14:textId="77777777" w:rsidTr="00066653">
        <w:trPr>
          <w:trHeight w:val="255"/>
        </w:trPr>
        <w:tc>
          <w:tcPr>
            <w:tcW w:w="6096" w:type="dxa"/>
          </w:tcPr>
          <w:p w14:paraId="60D066E9" w14:textId="77777777" w:rsidR="00151C24" w:rsidRPr="002E1AF6" w:rsidRDefault="00151C24" w:rsidP="0084502B">
            <w:pPr>
              <w:pStyle w:val="Style1"/>
              <w:adjustRightInd/>
              <w:ind w:left="162" w:hanging="151"/>
              <w:jc w:val="both"/>
              <w:rPr>
                <w:rFonts w:ascii="Arial" w:hAnsi="Arial" w:cs="Arial"/>
                <w:spacing w:val="-6"/>
                <w:sz w:val="18"/>
                <w:szCs w:val="20"/>
              </w:rPr>
            </w:pPr>
            <w:r w:rsidRPr="002E1AF6">
              <w:rPr>
                <w:rFonts w:ascii="Arial" w:hAnsi="Arial" w:cs="Arial"/>
                <w:spacing w:val="-6"/>
                <w:sz w:val="18"/>
                <w:szCs w:val="20"/>
              </w:rPr>
              <w:t>Por otras obligaciones negociables subordinadas</w:t>
            </w:r>
          </w:p>
        </w:tc>
        <w:tc>
          <w:tcPr>
            <w:tcW w:w="1417" w:type="dxa"/>
          </w:tcPr>
          <w:p w14:paraId="3608F567" w14:textId="1C6E52F8" w:rsidR="00151C24" w:rsidRPr="002E1AF6" w:rsidRDefault="00C81E0E" w:rsidP="0084502B">
            <w:pPr>
              <w:pStyle w:val="Style1"/>
              <w:adjustRightInd/>
              <w:ind w:right="134"/>
              <w:jc w:val="right"/>
              <w:rPr>
                <w:rFonts w:ascii="Arial" w:hAnsi="Arial" w:cs="Arial"/>
                <w:spacing w:val="-4"/>
                <w:sz w:val="18"/>
                <w:szCs w:val="20"/>
              </w:rPr>
            </w:pPr>
            <w:r w:rsidRPr="002E1AF6">
              <w:rPr>
                <w:rFonts w:ascii="Arial" w:hAnsi="Arial" w:cs="Arial"/>
                <w:spacing w:val="-4"/>
                <w:sz w:val="18"/>
                <w:szCs w:val="20"/>
              </w:rPr>
              <w:t>35.819</w:t>
            </w:r>
          </w:p>
        </w:tc>
        <w:tc>
          <w:tcPr>
            <w:tcW w:w="1418" w:type="dxa"/>
          </w:tcPr>
          <w:p w14:paraId="10BB3475" w14:textId="3BDEF571" w:rsidR="00151C24" w:rsidRPr="002E1AF6" w:rsidRDefault="00C81E0E" w:rsidP="0084502B">
            <w:pPr>
              <w:pStyle w:val="Style1"/>
              <w:adjustRightInd/>
              <w:ind w:right="134"/>
              <w:jc w:val="right"/>
              <w:rPr>
                <w:rFonts w:ascii="Arial" w:hAnsi="Arial" w:cs="Arial"/>
                <w:spacing w:val="-4"/>
                <w:sz w:val="18"/>
                <w:szCs w:val="20"/>
              </w:rPr>
            </w:pPr>
            <w:r w:rsidRPr="002E1AF6">
              <w:rPr>
                <w:rFonts w:ascii="Arial" w:hAnsi="Arial" w:cs="Arial"/>
                <w:spacing w:val="-4"/>
                <w:sz w:val="18"/>
                <w:szCs w:val="20"/>
              </w:rPr>
              <w:t>37.277</w:t>
            </w:r>
          </w:p>
        </w:tc>
      </w:tr>
      <w:tr w:rsidR="00151C24" w:rsidRPr="00701F32" w14:paraId="3072F21D" w14:textId="77777777" w:rsidTr="00066653">
        <w:trPr>
          <w:trHeight w:val="255"/>
        </w:trPr>
        <w:tc>
          <w:tcPr>
            <w:tcW w:w="6096" w:type="dxa"/>
            <w:shd w:val="clear" w:color="auto" w:fill="auto"/>
          </w:tcPr>
          <w:p w14:paraId="15E83684" w14:textId="77777777" w:rsidR="00151C24" w:rsidRPr="002E1AF6" w:rsidRDefault="00151C24" w:rsidP="0084502B">
            <w:pPr>
              <w:jc w:val="both"/>
              <w:rPr>
                <w:rFonts w:ascii="Arial" w:hAnsi="Arial" w:cs="Arial"/>
                <w:b/>
                <w:sz w:val="18"/>
              </w:rPr>
            </w:pPr>
            <w:r w:rsidRPr="002E1AF6">
              <w:rPr>
                <w:rFonts w:ascii="Arial" w:hAnsi="Arial" w:cs="Arial"/>
                <w:b/>
                <w:sz w:val="18"/>
              </w:rPr>
              <w:t>Total</w:t>
            </w:r>
          </w:p>
        </w:tc>
        <w:tc>
          <w:tcPr>
            <w:tcW w:w="1417" w:type="dxa"/>
          </w:tcPr>
          <w:p w14:paraId="0880140A" w14:textId="65BE66FB" w:rsidR="00151C24" w:rsidRPr="002E1AF6" w:rsidRDefault="00C81E0E" w:rsidP="0084502B">
            <w:pPr>
              <w:pStyle w:val="Style1"/>
              <w:adjustRightInd/>
              <w:ind w:right="107"/>
              <w:jc w:val="right"/>
              <w:rPr>
                <w:rFonts w:ascii="Arial" w:hAnsi="Arial" w:cs="Arial"/>
                <w:b/>
                <w:spacing w:val="-4"/>
                <w:sz w:val="18"/>
                <w:szCs w:val="20"/>
              </w:rPr>
            </w:pPr>
            <w:r w:rsidRPr="002E1AF6">
              <w:rPr>
                <w:rFonts w:ascii="Arial" w:hAnsi="Arial" w:cs="Arial"/>
                <w:b/>
                <w:spacing w:val="-4"/>
                <w:sz w:val="18"/>
                <w:szCs w:val="20"/>
              </w:rPr>
              <w:t>5.795.452</w:t>
            </w:r>
          </w:p>
        </w:tc>
        <w:tc>
          <w:tcPr>
            <w:tcW w:w="1418" w:type="dxa"/>
            <w:shd w:val="clear" w:color="auto" w:fill="auto"/>
          </w:tcPr>
          <w:p w14:paraId="348D6BF2" w14:textId="73E10A09" w:rsidR="00151C24" w:rsidRPr="002E1AF6" w:rsidRDefault="00C81E0E" w:rsidP="0084502B">
            <w:pPr>
              <w:pStyle w:val="Style1"/>
              <w:adjustRightInd/>
              <w:ind w:right="107"/>
              <w:jc w:val="right"/>
              <w:rPr>
                <w:rFonts w:ascii="Arial" w:hAnsi="Arial" w:cs="Arial"/>
                <w:b/>
                <w:sz w:val="18"/>
                <w:szCs w:val="20"/>
              </w:rPr>
            </w:pPr>
            <w:r w:rsidRPr="002E1AF6">
              <w:rPr>
                <w:rFonts w:ascii="Arial" w:hAnsi="Arial" w:cs="Arial"/>
                <w:b/>
                <w:sz w:val="18"/>
                <w:szCs w:val="20"/>
              </w:rPr>
              <w:t>9.7</w:t>
            </w:r>
            <w:r w:rsidR="005D7534" w:rsidRPr="002E1AF6">
              <w:rPr>
                <w:rFonts w:ascii="Arial" w:hAnsi="Arial" w:cs="Arial"/>
                <w:b/>
                <w:sz w:val="18"/>
                <w:szCs w:val="20"/>
              </w:rPr>
              <w:t>8</w:t>
            </w:r>
            <w:r w:rsidRPr="002E1AF6">
              <w:rPr>
                <w:rFonts w:ascii="Arial" w:hAnsi="Arial" w:cs="Arial"/>
                <w:b/>
                <w:sz w:val="18"/>
                <w:szCs w:val="20"/>
              </w:rPr>
              <w:t>4.737</w:t>
            </w:r>
          </w:p>
        </w:tc>
      </w:tr>
    </w:tbl>
    <w:p w14:paraId="4A709EAF" w14:textId="77777777" w:rsidR="00B85DD7" w:rsidRDefault="00B85DD7" w:rsidP="00151C24">
      <w:pPr>
        <w:rPr>
          <w:rFonts w:ascii="Arial" w:hAnsi="Arial" w:cs="Arial"/>
          <w:bCs/>
          <w:color w:val="000000"/>
          <w:sz w:val="20"/>
          <w:lang w:eastAsia="es-AR"/>
        </w:rPr>
      </w:pPr>
    </w:p>
    <w:p w14:paraId="72A7C0EF" w14:textId="5D847A76" w:rsidR="00151C24" w:rsidRDefault="00151C24" w:rsidP="00151C24">
      <w:pPr>
        <w:rPr>
          <w:rFonts w:ascii="Arial" w:hAnsi="Arial" w:cs="Arial"/>
          <w:bCs/>
          <w:color w:val="000000"/>
          <w:sz w:val="20"/>
          <w:lang w:eastAsia="es-AR"/>
        </w:rPr>
      </w:pPr>
      <w:r>
        <w:rPr>
          <w:rFonts w:ascii="Arial" w:hAnsi="Arial" w:cs="Arial"/>
          <w:bCs/>
          <w:color w:val="000000"/>
          <w:sz w:val="20"/>
          <w:lang w:eastAsia="es-AR"/>
        </w:rPr>
        <w:t>15.4 Egresos por comisiones</w:t>
      </w:r>
    </w:p>
    <w:p w14:paraId="28A17694" w14:textId="77777777" w:rsidR="00151C24" w:rsidRDefault="00151C24" w:rsidP="00151C24">
      <w:pPr>
        <w:rPr>
          <w:rFonts w:ascii="Arial" w:hAnsi="Arial" w:cs="Arial"/>
          <w:bCs/>
          <w:color w:val="000000"/>
          <w:sz w:val="20"/>
          <w:lang w:eastAsia="es-A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417"/>
        <w:gridCol w:w="1418"/>
      </w:tblGrid>
      <w:tr w:rsidR="00151C24" w:rsidRPr="00701F32" w14:paraId="7CC52D8F" w14:textId="77777777" w:rsidTr="00066653">
        <w:trPr>
          <w:trHeight w:val="255"/>
          <w:tblHeader/>
        </w:trPr>
        <w:tc>
          <w:tcPr>
            <w:tcW w:w="6096" w:type="dxa"/>
            <w:shd w:val="clear" w:color="auto" w:fill="auto"/>
          </w:tcPr>
          <w:p w14:paraId="554ED904" w14:textId="77777777" w:rsidR="00151C24" w:rsidRPr="002E1AF6" w:rsidRDefault="00151C24" w:rsidP="0084502B">
            <w:pPr>
              <w:tabs>
                <w:tab w:val="decimal" w:pos="284"/>
                <w:tab w:val="decimal" w:pos="6237"/>
                <w:tab w:val="decimal" w:pos="7200"/>
                <w:tab w:val="decimal" w:pos="8220"/>
                <w:tab w:val="decimal" w:pos="8900"/>
              </w:tabs>
              <w:jc w:val="both"/>
              <w:rPr>
                <w:rFonts w:ascii="Arial" w:hAnsi="Arial" w:cs="Arial"/>
                <w:b/>
                <w:sz w:val="18"/>
              </w:rPr>
            </w:pPr>
          </w:p>
        </w:tc>
        <w:tc>
          <w:tcPr>
            <w:tcW w:w="1417" w:type="dxa"/>
          </w:tcPr>
          <w:p w14:paraId="4CE852B5" w14:textId="755EBD7F"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5D7534" w:rsidRPr="002E1AF6">
              <w:rPr>
                <w:rFonts w:ascii="Arial" w:hAnsi="Arial" w:cs="Arial"/>
                <w:b/>
                <w:sz w:val="18"/>
              </w:rPr>
              <w:t>3</w:t>
            </w:r>
            <w:r w:rsidRPr="002E1AF6">
              <w:rPr>
                <w:rFonts w:ascii="Arial" w:hAnsi="Arial" w:cs="Arial"/>
                <w:b/>
                <w:sz w:val="18"/>
              </w:rPr>
              <w:t>/20</w:t>
            </w:r>
            <w:r w:rsidR="005D7534" w:rsidRPr="002E1AF6">
              <w:rPr>
                <w:rFonts w:ascii="Arial" w:hAnsi="Arial" w:cs="Arial"/>
                <w:b/>
                <w:sz w:val="18"/>
              </w:rPr>
              <w:t>20</w:t>
            </w:r>
          </w:p>
        </w:tc>
        <w:tc>
          <w:tcPr>
            <w:tcW w:w="1418" w:type="dxa"/>
            <w:shd w:val="clear" w:color="auto" w:fill="auto"/>
            <w:vAlign w:val="center"/>
          </w:tcPr>
          <w:p w14:paraId="07B9C4F2" w14:textId="4041DE9E" w:rsidR="00151C24" w:rsidRPr="002E1AF6" w:rsidRDefault="003C2633" w:rsidP="0084502B">
            <w:pPr>
              <w:tabs>
                <w:tab w:val="decimal" w:pos="284"/>
                <w:tab w:val="decimal" w:pos="6237"/>
                <w:tab w:val="decimal" w:pos="7200"/>
                <w:tab w:val="decimal" w:pos="8220"/>
                <w:tab w:val="decimal" w:pos="8900"/>
              </w:tabs>
              <w:jc w:val="center"/>
              <w:rPr>
                <w:rFonts w:ascii="Arial" w:hAnsi="Arial" w:cs="Arial"/>
                <w:b/>
                <w:sz w:val="18"/>
              </w:rPr>
            </w:pPr>
            <w:r w:rsidRPr="002E1AF6">
              <w:rPr>
                <w:rFonts w:ascii="Arial" w:hAnsi="Arial" w:cs="Arial"/>
                <w:b/>
                <w:sz w:val="18"/>
              </w:rPr>
              <w:t>3</w:t>
            </w:r>
            <w:r w:rsidR="005D7534" w:rsidRPr="002E1AF6">
              <w:rPr>
                <w:rFonts w:ascii="Arial" w:hAnsi="Arial" w:cs="Arial"/>
                <w:b/>
                <w:sz w:val="18"/>
              </w:rPr>
              <w:t>1</w:t>
            </w:r>
            <w:r w:rsidRPr="002E1AF6">
              <w:rPr>
                <w:rFonts w:ascii="Arial" w:hAnsi="Arial" w:cs="Arial"/>
                <w:b/>
                <w:sz w:val="18"/>
              </w:rPr>
              <w:t>/0</w:t>
            </w:r>
            <w:r w:rsidR="005D7534" w:rsidRPr="002E1AF6">
              <w:rPr>
                <w:rFonts w:ascii="Arial" w:hAnsi="Arial" w:cs="Arial"/>
                <w:b/>
                <w:sz w:val="18"/>
              </w:rPr>
              <w:t>3</w:t>
            </w:r>
            <w:r w:rsidRPr="002E1AF6">
              <w:rPr>
                <w:rFonts w:ascii="Arial" w:hAnsi="Arial" w:cs="Arial"/>
                <w:b/>
                <w:sz w:val="18"/>
              </w:rPr>
              <w:t>/201</w:t>
            </w:r>
            <w:r w:rsidR="005D7534" w:rsidRPr="002E1AF6">
              <w:rPr>
                <w:rFonts w:ascii="Arial" w:hAnsi="Arial" w:cs="Arial"/>
                <w:b/>
                <w:sz w:val="18"/>
              </w:rPr>
              <w:t>9</w:t>
            </w:r>
          </w:p>
        </w:tc>
      </w:tr>
      <w:tr w:rsidR="00151C24" w:rsidRPr="00701F32" w14:paraId="7EC0C6ED" w14:textId="77777777" w:rsidTr="00066653">
        <w:trPr>
          <w:trHeight w:val="255"/>
        </w:trPr>
        <w:tc>
          <w:tcPr>
            <w:tcW w:w="6096" w:type="dxa"/>
            <w:shd w:val="clear" w:color="auto" w:fill="auto"/>
          </w:tcPr>
          <w:p w14:paraId="3371C940" w14:textId="77777777" w:rsidR="00151C24" w:rsidRPr="002E1AF6" w:rsidRDefault="00151C24" w:rsidP="0084502B">
            <w:pPr>
              <w:ind w:left="29"/>
              <w:jc w:val="both"/>
              <w:rPr>
                <w:rFonts w:ascii="Arial" w:hAnsi="Arial" w:cs="Arial"/>
                <w:sz w:val="18"/>
              </w:rPr>
            </w:pPr>
            <w:r w:rsidRPr="002E1AF6">
              <w:rPr>
                <w:rFonts w:ascii="Arial" w:hAnsi="Arial" w:cs="Arial"/>
                <w:sz w:val="18"/>
              </w:rPr>
              <w:t>Comisiones vinculadas con operaciones con títulos valores</w:t>
            </w:r>
          </w:p>
        </w:tc>
        <w:tc>
          <w:tcPr>
            <w:tcW w:w="1417" w:type="dxa"/>
            <w:vAlign w:val="center"/>
          </w:tcPr>
          <w:p w14:paraId="2F42714C" w14:textId="54A79C72" w:rsidR="00151C24" w:rsidRPr="002E1AF6" w:rsidRDefault="005D7534" w:rsidP="0084502B">
            <w:pPr>
              <w:ind w:right="113"/>
              <w:jc w:val="right"/>
              <w:rPr>
                <w:rFonts w:ascii="Arial" w:hAnsi="Arial" w:cs="Arial"/>
                <w:sz w:val="18"/>
              </w:rPr>
            </w:pPr>
            <w:r w:rsidRPr="002E1AF6">
              <w:rPr>
                <w:rFonts w:ascii="Arial" w:hAnsi="Arial" w:cs="Arial"/>
                <w:sz w:val="18"/>
              </w:rPr>
              <w:t>722</w:t>
            </w:r>
          </w:p>
        </w:tc>
        <w:tc>
          <w:tcPr>
            <w:tcW w:w="1418" w:type="dxa"/>
            <w:shd w:val="clear" w:color="auto" w:fill="auto"/>
            <w:vAlign w:val="center"/>
          </w:tcPr>
          <w:p w14:paraId="23012A4E" w14:textId="08622341" w:rsidR="00151C24" w:rsidRPr="002E1AF6" w:rsidRDefault="009839D2" w:rsidP="0084502B">
            <w:pPr>
              <w:ind w:right="113"/>
              <w:jc w:val="right"/>
              <w:rPr>
                <w:rFonts w:ascii="Arial" w:hAnsi="Arial" w:cs="Arial"/>
                <w:sz w:val="18"/>
              </w:rPr>
            </w:pPr>
            <w:r w:rsidRPr="002E1AF6">
              <w:rPr>
                <w:rFonts w:ascii="Arial" w:hAnsi="Arial" w:cs="Arial"/>
                <w:sz w:val="18"/>
              </w:rPr>
              <w:t>4.</w:t>
            </w:r>
            <w:r w:rsidR="00F2573D">
              <w:rPr>
                <w:rFonts w:ascii="Arial" w:hAnsi="Arial" w:cs="Arial"/>
                <w:sz w:val="18"/>
              </w:rPr>
              <w:t>771</w:t>
            </w:r>
          </w:p>
        </w:tc>
      </w:tr>
      <w:tr w:rsidR="00151C24" w:rsidRPr="00701F32" w14:paraId="1A1B9F28" w14:textId="77777777" w:rsidTr="00066653">
        <w:trPr>
          <w:trHeight w:val="255"/>
        </w:trPr>
        <w:tc>
          <w:tcPr>
            <w:tcW w:w="6096" w:type="dxa"/>
          </w:tcPr>
          <w:p w14:paraId="3369BB4A" w14:textId="77777777" w:rsidR="00151C24" w:rsidRPr="002E1AF6" w:rsidRDefault="00151C24" w:rsidP="0084502B">
            <w:pPr>
              <w:ind w:left="29"/>
              <w:jc w:val="both"/>
              <w:rPr>
                <w:rFonts w:ascii="Arial" w:hAnsi="Arial" w:cs="Arial"/>
                <w:sz w:val="18"/>
              </w:rPr>
            </w:pPr>
            <w:r w:rsidRPr="002E1AF6">
              <w:rPr>
                <w:rFonts w:ascii="Arial" w:hAnsi="Arial" w:cs="Arial"/>
                <w:sz w:val="18"/>
              </w:rPr>
              <w:t>Seguros</w:t>
            </w:r>
          </w:p>
        </w:tc>
        <w:tc>
          <w:tcPr>
            <w:tcW w:w="1417" w:type="dxa"/>
            <w:vAlign w:val="center"/>
          </w:tcPr>
          <w:p w14:paraId="7A42DDB2" w14:textId="6F21DD13" w:rsidR="00151C24" w:rsidRPr="002E1AF6" w:rsidRDefault="005D7534" w:rsidP="0084502B">
            <w:pPr>
              <w:ind w:right="113"/>
              <w:jc w:val="right"/>
              <w:rPr>
                <w:rFonts w:ascii="Arial" w:hAnsi="Arial" w:cs="Arial"/>
                <w:sz w:val="18"/>
              </w:rPr>
            </w:pPr>
            <w:r w:rsidRPr="002E1AF6">
              <w:rPr>
                <w:rFonts w:ascii="Arial" w:hAnsi="Arial" w:cs="Arial"/>
                <w:sz w:val="18"/>
              </w:rPr>
              <w:t>6.847</w:t>
            </w:r>
          </w:p>
        </w:tc>
        <w:tc>
          <w:tcPr>
            <w:tcW w:w="1418" w:type="dxa"/>
            <w:vAlign w:val="center"/>
          </w:tcPr>
          <w:p w14:paraId="723FF15E" w14:textId="2174A8F6" w:rsidR="00151C24" w:rsidRPr="002E1AF6" w:rsidRDefault="005D7534" w:rsidP="0084502B">
            <w:pPr>
              <w:ind w:right="113"/>
              <w:jc w:val="right"/>
              <w:rPr>
                <w:rFonts w:ascii="Arial" w:hAnsi="Arial" w:cs="Arial"/>
                <w:sz w:val="18"/>
              </w:rPr>
            </w:pPr>
            <w:r w:rsidRPr="002E1AF6">
              <w:rPr>
                <w:rFonts w:ascii="Arial" w:hAnsi="Arial" w:cs="Arial"/>
                <w:sz w:val="18"/>
              </w:rPr>
              <w:t>3.097</w:t>
            </w:r>
          </w:p>
        </w:tc>
      </w:tr>
      <w:tr w:rsidR="00151C24" w:rsidRPr="00701F32" w14:paraId="717EE68D" w14:textId="77777777" w:rsidTr="00066653">
        <w:trPr>
          <w:trHeight w:val="255"/>
        </w:trPr>
        <w:tc>
          <w:tcPr>
            <w:tcW w:w="6096" w:type="dxa"/>
          </w:tcPr>
          <w:p w14:paraId="66567BEF" w14:textId="77777777" w:rsidR="00151C24" w:rsidRPr="002E1AF6" w:rsidRDefault="00151C24" w:rsidP="0084502B">
            <w:pPr>
              <w:ind w:left="29"/>
              <w:jc w:val="both"/>
              <w:rPr>
                <w:rFonts w:ascii="Arial" w:hAnsi="Arial" w:cs="Arial"/>
                <w:sz w:val="18"/>
              </w:rPr>
            </w:pPr>
            <w:r w:rsidRPr="002E1AF6">
              <w:rPr>
                <w:rFonts w:ascii="Arial" w:hAnsi="Arial" w:cs="Arial"/>
                <w:sz w:val="18"/>
              </w:rPr>
              <w:t>Financiaciones y consumo de tarjeta de crédito</w:t>
            </w:r>
          </w:p>
        </w:tc>
        <w:tc>
          <w:tcPr>
            <w:tcW w:w="1417" w:type="dxa"/>
            <w:vAlign w:val="center"/>
          </w:tcPr>
          <w:p w14:paraId="1EDD61CC" w14:textId="028893F2" w:rsidR="00151C24" w:rsidRPr="002E1AF6" w:rsidRDefault="005D7534" w:rsidP="0084502B">
            <w:pPr>
              <w:ind w:right="113"/>
              <w:jc w:val="right"/>
              <w:rPr>
                <w:rFonts w:ascii="Arial" w:hAnsi="Arial" w:cs="Arial"/>
                <w:sz w:val="18"/>
              </w:rPr>
            </w:pPr>
            <w:r w:rsidRPr="002E1AF6">
              <w:rPr>
                <w:rFonts w:ascii="Arial" w:hAnsi="Arial" w:cs="Arial"/>
                <w:sz w:val="18"/>
              </w:rPr>
              <w:t>413.218</w:t>
            </w:r>
          </w:p>
        </w:tc>
        <w:tc>
          <w:tcPr>
            <w:tcW w:w="1418" w:type="dxa"/>
            <w:vAlign w:val="center"/>
          </w:tcPr>
          <w:p w14:paraId="2DFD825D" w14:textId="34E6BB70" w:rsidR="00151C24" w:rsidRPr="002E1AF6" w:rsidRDefault="005D7534" w:rsidP="0084502B">
            <w:pPr>
              <w:ind w:right="113"/>
              <w:jc w:val="right"/>
              <w:rPr>
                <w:rFonts w:ascii="Arial" w:hAnsi="Arial" w:cs="Arial"/>
                <w:sz w:val="18"/>
              </w:rPr>
            </w:pPr>
            <w:r w:rsidRPr="002E1AF6">
              <w:rPr>
                <w:rFonts w:ascii="Arial" w:hAnsi="Arial" w:cs="Arial"/>
                <w:sz w:val="18"/>
              </w:rPr>
              <w:t>205.573</w:t>
            </w:r>
          </w:p>
        </w:tc>
      </w:tr>
      <w:tr w:rsidR="00151C24" w:rsidRPr="00701F32" w14:paraId="25F842CD" w14:textId="77777777" w:rsidTr="00066653">
        <w:trPr>
          <w:trHeight w:val="255"/>
        </w:trPr>
        <w:tc>
          <w:tcPr>
            <w:tcW w:w="6096" w:type="dxa"/>
          </w:tcPr>
          <w:p w14:paraId="18F708D7" w14:textId="77777777" w:rsidR="00151C24" w:rsidRPr="002E1AF6" w:rsidRDefault="00151C24" w:rsidP="0084502B">
            <w:pPr>
              <w:ind w:left="29"/>
              <w:jc w:val="both"/>
              <w:rPr>
                <w:rFonts w:ascii="Arial" w:hAnsi="Arial" w:cs="Arial"/>
                <w:sz w:val="18"/>
              </w:rPr>
            </w:pPr>
            <w:r w:rsidRPr="002E1AF6">
              <w:rPr>
                <w:rFonts w:ascii="Arial" w:hAnsi="Arial" w:cs="Arial"/>
                <w:sz w:val="18"/>
              </w:rPr>
              <w:t>Otros</w:t>
            </w:r>
          </w:p>
        </w:tc>
        <w:tc>
          <w:tcPr>
            <w:tcW w:w="1417" w:type="dxa"/>
            <w:vAlign w:val="center"/>
          </w:tcPr>
          <w:p w14:paraId="581AD5AE" w14:textId="752C97BE" w:rsidR="00151C24" w:rsidRPr="002E1AF6" w:rsidRDefault="005D7534" w:rsidP="0084502B">
            <w:pPr>
              <w:ind w:right="113"/>
              <w:jc w:val="right"/>
              <w:rPr>
                <w:rFonts w:ascii="Arial" w:hAnsi="Arial" w:cs="Arial"/>
                <w:sz w:val="18"/>
              </w:rPr>
            </w:pPr>
            <w:r w:rsidRPr="002E1AF6">
              <w:rPr>
                <w:rFonts w:ascii="Arial" w:hAnsi="Arial" w:cs="Arial"/>
                <w:sz w:val="18"/>
              </w:rPr>
              <w:t>64.250</w:t>
            </w:r>
          </w:p>
        </w:tc>
        <w:tc>
          <w:tcPr>
            <w:tcW w:w="1418" w:type="dxa"/>
            <w:vAlign w:val="center"/>
          </w:tcPr>
          <w:p w14:paraId="1884492F" w14:textId="6E715A0C" w:rsidR="00151C24" w:rsidRPr="002E1AF6" w:rsidRDefault="00F0189C" w:rsidP="0084502B">
            <w:pPr>
              <w:ind w:right="113"/>
              <w:jc w:val="right"/>
              <w:rPr>
                <w:rFonts w:ascii="Arial" w:hAnsi="Arial" w:cs="Arial"/>
                <w:sz w:val="18"/>
              </w:rPr>
            </w:pPr>
            <w:r>
              <w:rPr>
                <w:rFonts w:ascii="Arial" w:hAnsi="Arial" w:cs="Arial"/>
                <w:sz w:val="18"/>
              </w:rPr>
              <w:t>182</w:t>
            </w:r>
            <w:r w:rsidR="005D7534" w:rsidRPr="002E1AF6">
              <w:rPr>
                <w:rFonts w:ascii="Arial" w:hAnsi="Arial" w:cs="Arial"/>
                <w:sz w:val="18"/>
              </w:rPr>
              <w:t>.</w:t>
            </w:r>
            <w:r>
              <w:rPr>
                <w:rFonts w:ascii="Arial" w:hAnsi="Arial" w:cs="Arial"/>
                <w:sz w:val="18"/>
              </w:rPr>
              <w:t>834</w:t>
            </w:r>
          </w:p>
        </w:tc>
      </w:tr>
      <w:tr w:rsidR="00151C24" w:rsidRPr="00701F32" w14:paraId="3108C61F" w14:textId="77777777" w:rsidTr="00066653">
        <w:trPr>
          <w:trHeight w:val="255"/>
        </w:trPr>
        <w:tc>
          <w:tcPr>
            <w:tcW w:w="6096" w:type="dxa"/>
            <w:shd w:val="clear" w:color="auto" w:fill="auto"/>
          </w:tcPr>
          <w:p w14:paraId="40278B30" w14:textId="77777777" w:rsidR="00151C24" w:rsidRPr="002E1AF6" w:rsidRDefault="00151C24" w:rsidP="0084502B">
            <w:pPr>
              <w:jc w:val="both"/>
              <w:rPr>
                <w:rFonts w:ascii="Arial" w:hAnsi="Arial" w:cs="Arial"/>
                <w:b/>
                <w:sz w:val="18"/>
              </w:rPr>
            </w:pPr>
            <w:r w:rsidRPr="002E1AF6">
              <w:rPr>
                <w:rFonts w:ascii="Arial" w:hAnsi="Arial" w:cs="Arial"/>
                <w:b/>
                <w:sz w:val="18"/>
              </w:rPr>
              <w:t>Total</w:t>
            </w:r>
          </w:p>
        </w:tc>
        <w:tc>
          <w:tcPr>
            <w:tcW w:w="1417" w:type="dxa"/>
            <w:vAlign w:val="center"/>
          </w:tcPr>
          <w:p w14:paraId="48138CAD" w14:textId="57BD0E88" w:rsidR="00151C24" w:rsidRPr="002E1AF6" w:rsidRDefault="005D7534" w:rsidP="0084502B">
            <w:pPr>
              <w:pStyle w:val="Style1"/>
              <w:adjustRightInd/>
              <w:ind w:right="107"/>
              <w:jc w:val="right"/>
              <w:rPr>
                <w:rFonts w:ascii="Arial" w:hAnsi="Arial" w:cs="Arial"/>
                <w:b/>
                <w:spacing w:val="-4"/>
                <w:sz w:val="18"/>
                <w:szCs w:val="20"/>
              </w:rPr>
            </w:pPr>
            <w:r w:rsidRPr="002E1AF6">
              <w:rPr>
                <w:rFonts w:ascii="Arial" w:hAnsi="Arial" w:cs="Arial"/>
                <w:b/>
                <w:spacing w:val="-4"/>
                <w:sz w:val="18"/>
                <w:szCs w:val="20"/>
              </w:rPr>
              <w:t>485.037</w:t>
            </w:r>
          </w:p>
        </w:tc>
        <w:tc>
          <w:tcPr>
            <w:tcW w:w="1418" w:type="dxa"/>
            <w:shd w:val="clear" w:color="auto" w:fill="auto"/>
            <w:vAlign w:val="center"/>
          </w:tcPr>
          <w:p w14:paraId="31089354" w14:textId="536A3AC4" w:rsidR="00151C24" w:rsidRPr="002E1AF6" w:rsidRDefault="00F0189C" w:rsidP="0084502B">
            <w:pPr>
              <w:pStyle w:val="Style1"/>
              <w:adjustRightInd/>
              <w:ind w:right="107"/>
              <w:jc w:val="right"/>
              <w:rPr>
                <w:rFonts w:ascii="Arial" w:hAnsi="Arial" w:cs="Arial"/>
                <w:b/>
                <w:sz w:val="18"/>
                <w:szCs w:val="20"/>
              </w:rPr>
            </w:pPr>
            <w:r>
              <w:rPr>
                <w:rFonts w:ascii="Arial" w:hAnsi="Arial" w:cs="Arial"/>
                <w:b/>
                <w:sz w:val="18"/>
                <w:szCs w:val="20"/>
              </w:rPr>
              <w:t>396</w:t>
            </w:r>
            <w:r w:rsidR="005D7534" w:rsidRPr="002E1AF6">
              <w:rPr>
                <w:rFonts w:ascii="Arial" w:hAnsi="Arial" w:cs="Arial"/>
                <w:b/>
                <w:sz w:val="18"/>
                <w:szCs w:val="20"/>
              </w:rPr>
              <w:t>.2</w:t>
            </w:r>
            <w:r>
              <w:rPr>
                <w:rFonts w:ascii="Arial" w:hAnsi="Arial" w:cs="Arial"/>
                <w:b/>
                <w:sz w:val="18"/>
                <w:szCs w:val="20"/>
              </w:rPr>
              <w:t>75</w:t>
            </w:r>
          </w:p>
        </w:tc>
      </w:tr>
    </w:tbl>
    <w:p w14:paraId="38A56D7A" w14:textId="77777777" w:rsidR="00151C24" w:rsidRDefault="00151C24" w:rsidP="00151C24">
      <w:pPr>
        <w:rPr>
          <w:rFonts w:ascii="Arial" w:hAnsi="Arial" w:cs="Arial"/>
          <w:bCs/>
          <w:color w:val="000000"/>
          <w:sz w:val="20"/>
          <w:lang w:eastAsia="es-AR"/>
        </w:rPr>
      </w:pPr>
    </w:p>
    <w:p w14:paraId="3D65AF79" w14:textId="77777777" w:rsidR="00151C24" w:rsidRDefault="00151C24" w:rsidP="00151C24">
      <w:pPr>
        <w:jc w:val="both"/>
        <w:rPr>
          <w:rFonts w:ascii="Arial" w:hAnsi="Arial" w:cs="Arial"/>
          <w:bCs/>
          <w:color w:val="000000"/>
          <w:sz w:val="20"/>
          <w:lang w:eastAsia="es-AR"/>
        </w:rPr>
      </w:pPr>
      <w:r>
        <w:rPr>
          <w:rFonts w:ascii="Arial" w:hAnsi="Arial" w:cs="Arial"/>
          <w:bCs/>
          <w:color w:val="000000"/>
          <w:sz w:val="20"/>
          <w:lang w:eastAsia="es-AR"/>
        </w:rPr>
        <w:t xml:space="preserve">15.5 </w:t>
      </w:r>
      <w:r w:rsidRPr="0071413C">
        <w:rPr>
          <w:rFonts w:ascii="Arial" w:hAnsi="Arial" w:cs="Arial"/>
          <w:bCs/>
          <w:color w:val="000000"/>
          <w:sz w:val="20"/>
          <w:lang w:eastAsia="es-AR"/>
        </w:rPr>
        <w:t>Resultado neto por medición de instrumentos financieros a valor razonable con cambios en resultados</w:t>
      </w:r>
    </w:p>
    <w:p w14:paraId="010979BF" w14:textId="77777777" w:rsidR="00151C24" w:rsidRDefault="00151C24" w:rsidP="00151C24">
      <w:pPr>
        <w:jc w:val="both"/>
        <w:rPr>
          <w:rFonts w:ascii="Arial" w:hAnsi="Arial" w:cs="Arial"/>
          <w:bCs/>
          <w:color w:val="000000"/>
          <w:sz w:val="20"/>
          <w:lang w:eastAsia="es-AR"/>
        </w:rPr>
      </w:pPr>
    </w:p>
    <w:tbl>
      <w:tblPr>
        <w:tblW w:w="89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6"/>
        <w:gridCol w:w="1414"/>
        <w:gridCol w:w="1425"/>
      </w:tblGrid>
      <w:tr w:rsidR="00151C24" w:rsidRPr="00701F32" w14:paraId="6C415CC5" w14:textId="77777777" w:rsidTr="0084502B">
        <w:trPr>
          <w:trHeight w:val="255"/>
        </w:trPr>
        <w:tc>
          <w:tcPr>
            <w:tcW w:w="6096" w:type="dxa"/>
            <w:shd w:val="clear" w:color="auto" w:fill="auto"/>
            <w:noWrap/>
            <w:vAlign w:val="center"/>
            <w:hideMark/>
          </w:tcPr>
          <w:p w14:paraId="63903E1F" w14:textId="77777777" w:rsidR="00151C24" w:rsidRPr="002E1AF6" w:rsidRDefault="00151C24" w:rsidP="0084502B">
            <w:pPr>
              <w:rPr>
                <w:rFonts w:ascii="Arial" w:hAnsi="Arial" w:cs="Arial"/>
                <w:b/>
                <w:bCs/>
                <w:color w:val="000000"/>
                <w:sz w:val="18"/>
                <w:lang w:eastAsia="es-AR"/>
              </w:rPr>
            </w:pPr>
          </w:p>
        </w:tc>
        <w:tc>
          <w:tcPr>
            <w:tcW w:w="1414" w:type="dxa"/>
            <w:shd w:val="clear" w:color="auto" w:fill="auto"/>
            <w:noWrap/>
            <w:hideMark/>
          </w:tcPr>
          <w:p w14:paraId="2FAC0BC6" w14:textId="23333082" w:rsidR="00151C24" w:rsidRPr="002E1AF6" w:rsidRDefault="003C2633" w:rsidP="0084502B">
            <w:pPr>
              <w:jc w:val="center"/>
              <w:rPr>
                <w:rFonts w:ascii="Arial" w:hAnsi="Arial" w:cs="Arial"/>
                <w:b/>
                <w:color w:val="000000"/>
                <w:sz w:val="18"/>
                <w:lang w:eastAsia="es-AR"/>
              </w:rPr>
            </w:pPr>
            <w:r w:rsidRPr="002E1AF6">
              <w:rPr>
                <w:rFonts w:ascii="Arial" w:hAnsi="Arial" w:cs="Arial"/>
                <w:b/>
                <w:sz w:val="18"/>
              </w:rPr>
              <w:t>3</w:t>
            </w:r>
            <w:r w:rsidR="00602B2A" w:rsidRPr="002E1AF6">
              <w:rPr>
                <w:rFonts w:ascii="Arial" w:hAnsi="Arial" w:cs="Arial"/>
                <w:b/>
                <w:sz w:val="18"/>
              </w:rPr>
              <w:t>1</w:t>
            </w:r>
            <w:r w:rsidRPr="002E1AF6">
              <w:rPr>
                <w:rFonts w:ascii="Arial" w:hAnsi="Arial" w:cs="Arial"/>
                <w:b/>
                <w:sz w:val="18"/>
              </w:rPr>
              <w:t>/0</w:t>
            </w:r>
            <w:r w:rsidR="00602B2A" w:rsidRPr="002E1AF6">
              <w:rPr>
                <w:rFonts w:ascii="Arial" w:hAnsi="Arial" w:cs="Arial"/>
                <w:b/>
                <w:sz w:val="18"/>
              </w:rPr>
              <w:t>3</w:t>
            </w:r>
            <w:r w:rsidRPr="002E1AF6">
              <w:rPr>
                <w:rFonts w:ascii="Arial" w:hAnsi="Arial" w:cs="Arial"/>
                <w:b/>
                <w:sz w:val="18"/>
              </w:rPr>
              <w:t>/20</w:t>
            </w:r>
            <w:r w:rsidR="00602B2A" w:rsidRPr="002E1AF6">
              <w:rPr>
                <w:rFonts w:ascii="Arial" w:hAnsi="Arial" w:cs="Arial"/>
                <w:b/>
                <w:sz w:val="18"/>
              </w:rPr>
              <w:t>20</w:t>
            </w:r>
          </w:p>
        </w:tc>
        <w:tc>
          <w:tcPr>
            <w:tcW w:w="1425" w:type="dxa"/>
            <w:vAlign w:val="center"/>
          </w:tcPr>
          <w:p w14:paraId="764C6811" w14:textId="7CBFD4DE" w:rsidR="00151C24" w:rsidRPr="002E1AF6" w:rsidRDefault="003C2633" w:rsidP="0084502B">
            <w:pPr>
              <w:jc w:val="center"/>
              <w:rPr>
                <w:rFonts w:ascii="Arial" w:hAnsi="Arial" w:cs="Arial"/>
                <w:b/>
                <w:color w:val="000000"/>
                <w:sz w:val="18"/>
                <w:lang w:eastAsia="es-AR"/>
              </w:rPr>
            </w:pPr>
            <w:r w:rsidRPr="002E1AF6">
              <w:rPr>
                <w:rFonts w:ascii="Arial" w:hAnsi="Arial" w:cs="Arial"/>
                <w:b/>
                <w:sz w:val="18"/>
              </w:rPr>
              <w:t>3</w:t>
            </w:r>
            <w:r w:rsidR="00602B2A" w:rsidRPr="002E1AF6">
              <w:rPr>
                <w:rFonts w:ascii="Arial" w:hAnsi="Arial" w:cs="Arial"/>
                <w:b/>
                <w:sz w:val="18"/>
              </w:rPr>
              <w:t>1</w:t>
            </w:r>
            <w:r w:rsidRPr="002E1AF6">
              <w:rPr>
                <w:rFonts w:ascii="Arial" w:hAnsi="Arial" w:cs="Arial"/>
                <w:b/>
                <w:sz w:val="18"/>
              </w:rPr>
              <w:t>/0</w:t>
            </w:r>
            <w:r w:rsidR="00602B2A" w:rsidRPr="002E1AF6">
              <w:rPr>
                <w:rFonts w:ascii="Arial" w:hAnsi="Arial" w:cs="Arial"/>
                <w:b/>
                <w:sz w:val="18"/>
              </w:rPr>
              <w:t>3</w:t>
            </w:r>
            <w:r w:rsidRPr="002E1AF6">
              <w:rPr>
                <w:rFonts w:ascii="Arial" w:hAnsi="Arial" w:cs="Arial"/>
                <w:b/>
                <w:sz w:val="18"/>
              </w:rPr>
              <w:t>/201</w:t>
            </w:r>
            <w:r w:rsidR="00602B2A" w:rsidRPr="002E1AF6">
              <w:rPr>
                <w:rFonts w:ascii="Arial" w:hAnsi="Arial" w:cs="Arial"/>
                <w:b/>
                <w:sz w:val="18"/>
              </w:rPr>
              <w:t>9</w:t>
            </w:r>
          </w:p>
        </w:tc>
      </w:tr>
      <w:tr w:rsidR="00151C24" w:rsidRPr="00701F32" w14:paraId="772E2C4F" w14:textId="77777777" w:rsidTr="0084502B">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0D081"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Resultado de títulos públicos</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9B9DBC" w14:textId="1E6EF81F"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96.793</w:t>
            </w:r>
          </w:p>
        </w:tc>
        <w:tc>
          <w:tcPr>
            <w:tcW w:w="1425" w:type="dxa"/>
            <w:tcBorders>
              <w:top w:val="single" w:sz="4" w:space="0" w:color="auto"/>
              <w:left w:val="single" w:sz="4" w:space="0" w:color="auto"/>
              <w:bottom w:val="single" w:sz="4" w:space="0" w:color="auto"/>
              <w:right w:val="single" w:sz="4" w:space="0" w:color="auto"/>
            </w:tcBorders>
            <w:vAlign w:val="bottom"/>
          </w:tcPr>
          <w:p w14:paraId="74FF09F7" w14:textId="1BB972E6"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6.669.835</w:t>
            </w:r>
          </w:p>
        </w:tc>
      </w:tr>
      <w:tr w:rsidR="00151C24" w:rsidRPr="00701F32" w14:paraId="17675DF5" w14:textId="77777777" w:rsidTr="0084502B">
        <w:trPr>
          <w:trHeight w:val="255"/>
        </w:trPr>
        <w:tc>
          <w:tcPr>
            <w:tcW w:w="6096" w:type="dxa"/>
            <w:shd w:val="clear" w:color="auto" w:fill="auto"/>
            <w:noWrap/>
            <w:vAlign w:val="center"/>
          </w:tcPr>
          <w:p w14:paraId="4166BBF9"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Resultado de títulos privados</w:t>
            </w:r>
          </w:p>
        </w:tc>
        <w:tc>
          <w:tcPr>
            <w:tcW w:w="1414" w:type="dxa"/>
            <w:shd w:val="clear" w:color="auto" w:fill="auto"/>
            <w:noWrap/>
            <w:vAlign w:val="bottom"/>
          </w:tcPr>
          <w:p w14:paraId="1D46213E" w14:textId="448CD74C"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-26.491</w:t>
            </w:r>
          </w:p>
        </w:tc>
        <w:tc>
          <w:tcPr>
            <w:tcW w:w="1425" w:type="dxa"/>
            <w:vAlign w:val="bottom"/>
          </w:tcPr>
          <w:p w14:paraId="2675FC93" w14:textId="4E427E2E"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5.733</w:t>
            </w:r>
          </w:p>
        </w:tc>
      </w:tr>
      <w:tr w:rsidR="00151C24" w:rsidRPr="00701F32" w14:paraId="274FB0EA" w14:textId="77777777" w:rsidTr="0084502B">
        <w:trPr>
          <w:trHeight w:val="255"/>
        </w:trPr>
        <w:tc>
          <w:tcPr>
            <w:tcW w:w="6096" w:type="dxa"/>
            <w:shd w:val="clear" w:color="auto" w:fill="auto"/>
            <w:noWrap/>
            <w:vAlign w:val="center"/>
          </w:tcPr>
          <w:p w14:paraId="738C4F93"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Operaciones a término</w:t>
            </w:r>
          </w:p>
        </w:tc>
        <w:tc>
          <w:tcPr>
            <w:tcW w:w="1414" w:type="dxa"/>
            <w:shd w:val="clear" w:color="auto" w:fill="auto"/>
            <w:noWrap/>
            <w:vAlign w:val="bottom"/>
          </w:tcPr>
          <w:p w14:paraId="68D5B6DB" w14:textId="51029639"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46.195</w:t>
            </w:r>
          </w:p>
        </w:tc>
        <w:tc>
          <w:tcPr>
            <w:tcW w:w="1425" w:type="dxa"/>
            <w:vAlign w:val="bottom"/>
          </w:tcPr>
          <w:p w14:paraId="69D4E485" w14:textId="4E31FCBB"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86.494</w:t>
            </w:r>
          </w:p>
        </w:tc>
      </w:tr>
      <w:tr w:rsidR="00151C24" w:rsidRPr="00701F32" w14:paraId="452FEC91" w14:textId="77777777" w:rsidTr="0084502B">
        <w:trPr>
          <w:trHeight w:val="255"/>
        </w:trPr>
        <w:tc>
          <w:tcPr>
            <w:tcW w:w="6096" w:type="dxa"/>
            <w:shd w:val="clear" w:color="auto" w:fill="auto"/>
            <w:noWrap/>
            <w:vAlign w:val="center"/>
            <w:hideMark/>
          </w:tcPr>
          <w:p w14:paraId="3742B861" w14:textId="28AD3067" w:rsidR="00151C24" w:rsidRPr="002E1AF6" w:rsidRDefault="00602B2A" w:rsidP="0084502B">
            <w:pPr>
              <w:rPr>
                <w:rFonts w:ascii="Arial" w:hAnsi="Arial" w:cs="Arial"/>
                <w:color w:val="000000"/>
                <w:sz w:val="18"/>
                <w:lang w:eastAsia="es-AR"/>
              </w:rPr>
            </w:pPr>
            <w:r w:rsidRPr="002E1AF6">
              <w:rPr>
                <w:rFonts w:ascii="Arial" w:hAnsi="Arial" w:cs="Arial"/>
                <w:color w:val="000000"/>
                <w:sz w:val="18"/>
                <w:lang w:eastAsia="es-AR"/>
              </w:rPr>
              <w:t>Otros activos financieros</w:t>
            </w:r>
          </w:p>
        </w:tc>
        <w:tc>
          <w:tcPr>
            <w:tcW w:w="1414" w:type="dxa"/>
            <w:shd w:val="clear" w:color="auto" w:fill="auto"/>
            <w:noWrap/>
            <w:vAlign w:val="bottom"/>
          </w:tcPr>
          <w:p w14:paraId="15A843FF" w14:textId="618DBBB9"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-2.290</w:t>
            </w:r>
          </w:p>
        </w:tc>
        <w:tc>
          <w:tcPr>
            <w:tcW w:w="1425" w:type="dxa"/>
            <w:vAlign w:val="bottom"/>
          </w:tcPr>
          <w:p w14:paraId="7345508B" w14:textId="26DAA05D" w:rsidR="00151C24" w:rsidRPr="002E1AF6" w:rsidRDefault="00602B2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-2.454</w:t>
            </w:r>
          </w:p>
        </w:tc>
      </w:tr>
      <w:tr w:rsidR="00151C24" w:rsidRPr="00701F32" w14:paraId="0775E1C6" w14:textId="77777777" w:rsidTr="0084502B">
        <w:trPr>
          <w:trHeight w:val="270"/>
        </w:trPr>
        <w:tc>
          <w:tcPr>
            <w:tcW w:w="6096" w:type="dxa"/>
            <w:shd w:val="clear" w:color="auto" w:fill="auto"/>
            <w:noWrap/>
            <w:vAlign w:val="center"/>
            <w:hideMark/>
          </w:tcPr>
          <w:p w14:paraId="2D4193E6"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414" w:type="dxa"/>
            <w:shd w:val="clear" w:color="auto" w:fill="auto"/>
            <w:noWrap/>
            <w:vAlign w:val="bottom"/>
          </w:tcPr>
          <w:p w14:paraId="47D39DF2" w14:textId="36A30AD5" w:rsidR="00151C24" w:rsidRPr="002E1AF6" w:rsidRDefault="00602B2A"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114.207</w:t>
            </w:r>
          </w:p>
        </w:tc>
        <w:tc>
          <w:tcPr>
            <w:tcW w:w="1425" w:type="dxa"/>
            <w:vAlign w:val="bottom"/>
          </w:tcPr>
          <w:p w14:paraId="1C5F1A05" w14:textId="4CEDE8D1" w:rsidR="00151C24" w:rsidRPr="002E1AF6" w:rsidRDefault="00602B2A"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6.759.608</w:t>
            </w:r>
          </w:p>
        </w:tc>
      </w:tr>
    </w:tbl>
    <w:p w14:paraId="506325FF" w14:textId="77777777" w:rsidR="00151C24" w:rsidRDefault="00151C24" w:rsidP="00151C24">
      <w:pPr>
        <w:rPr>
          <w:rFonts w:ascii="Arial" w:hAnsi="Arial" w:cs="Arial"/>
          <w:bCs/>
          <w:color w:val="000000"/>
          <w:sz w:val="20"/>
          <w:lang w:eastAsia="es-AR"/>
        </w:rPr>
      </w:pPr>
    </w:p>
    <w:p w14:paraId="06B582E7" w14:textId="7642813E" w:rsidR="00151C24" w:rsidRPr="00701F32" w:rsidRDefault="00151C24" w:rsidP="00151C24">
      <w:pPr>
        <w:rPr>
          <w:rFonts w:ascii="Arial" w:hAnsi="Arial" w:cs="Arial"/>
          <w:bCs/>
          <w:color w:val="000000"/>
          <w:sz w:val="20"/>
          <w:lang w:eastAsia="es-AR"/>
        </w:rPr>
      </w:pPr>
      <w:r>
        <w:rPr>
          <w:rFonts w:ascii="Arial" w:hAnsi="Arial" w:cs="Arial"/>
          <w:bCs/>
          <w:color w:val="000000"/>
          <w:sz w:val="20"/>
          <w:lang w:eastAsia="es-AR"/>
        </w:rPr>
        <w:t xml:space="preserve">15.6 </w:t>
      </w:r>
      <w:r w:rsidRPr="00701F32">
        <w:rPr>
          <w:rFonts w:ascii="Arial" w:hAnsi="Arial" w:cs="Arial"/>
          <w:bCs/>
          <w:color w:val="000000"/>
          <w:sz w:val="20"/>
          <w:lang w:eastAsia="es-AR"/>
        </w:rPr>
        <w:t>Otros ingresos operativos.</w:t>
      </w:r>
    </w:p>
    <w:p w14:paraId="7C6B9488" w14:textId="77777777" w:rsidR="00151C24" w:rsidRPr="00701F32" w:rsidRDefault="00151C24" w:rsidP="00151C24">
      <w:pPr>
        <w:jc w:val="both"/>
        <w:rPr>
          <w:rFonts w:ascii="Arial" w:hAnsi="Arial" w:cs="Arial"/>
          <w:bCs/>
          <w:color w:val="000000"/>
          <w:sz w:val="20"/>
          <w:lang w:eastAsia="es-AR"/>
        </w:rPr>
      </w:pPr>
    </w:p>
    <w:tbl>
      <w:tblPr>
        <w:tblW w:w="87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9"/>
        <w:gridCol w:w="1276"/>
        <w:gridCol w:w="1141"/>
      </w:tblGrid>
      <w:tr w:rsidR="00151C24" w:rsidRPr="00701F32" w14:paraId="38FD6253" w14:textId="77777777" w:rsidTr="00066653">
        <w:trPr>
          <w:trHeight w:val="255"/>
        </w:trPr>
        <w:tc>
          <w:tcPr>
            <w:tcW w:w="6379" w:type="dxa"/>
            <w:shd w:val="clear" w:color="auto" w:fill="auto"/>
            <w:noWrap/>
            <w:vAlign w:val="center"/>
            <w:hideMark/>
          </w:tcPr>
          <w:p w14:paraId="462E2396" w14:textId="77777777" w:rsidR="00151C24" w:rsidRPr="002E1AF6" w:rsidRDefault="00151C24" w:rsidP="0084502B">
            <w:pPr>
              <w:rPr>
                <w:rFonts w:ascii="Arial" w:hAnsi="Arial" w:cs="Arial"/>
                <w:b/>
                <w:bCs/>
                <w:color w:val="000000"/>
                <w:sz w:val="18"/>
                <w:lang w:eastAsia="es-AR"/>
              </w:rPr>
            </w:pPr>
          </w:p>
        </w:tc>
        <w:tc>
          <w:tcPr>
            <w:tcW w:w="1276" w:type="dxa"/>
            <w:shd w:val="clear" w:color="auto" w:fill="auto"/>
            <w:noWrap/>
            <w:hideMark/>
          </w:tcPr>
          <w:p w14:paraId="731806D5" w14:textId="1FB994CA" w:rsidR="00151C24" w:rsidRPr="002E1AF6" w:rsidRDefault="003C2633" w:rsidP="0084502B">
            <w:pPr>
              <w:jc w:val="center"/>
              <w:rPr>
                <w:rFonts w:ascii="Arial" w:hAnsi="Arial" w:cs="Arial"/>
                <w:b/>
                <w:color w:val="000000"/>
                <w:sz w:val="18"/>
                <w:lang w:eastAsia="es-AR"/>
              </w:rPr>
            </w:pPr>
            <w:r w:rsidRPr="002E1AF6">
              <w:rPr>
                <w:rFonts w:ascii="Arial" w:hAnsi="Arial" w:cs="Arial"/>
                <w:b/>
                <w:sz w:val="18"/>
              </w:rPr>
              <w:t>3</w:t>
            </w:r>
            <w:r w:rsidR="00571457" w:rsidRPr="002E1AF6">
              <w:rPr>
                <w:rFonts w:ascii="Arial" w:hAnsi="Arial" w:cs="Arial"/>
                <w:b/>
                <w:sz w:val="18"/>
              </w:rPr>
              <w:t>1</w:t>
            </w:r>
            <w:r w:rsidRPr="002E1AF6">
              <w:rPr>
                <w:rFonts w:ascii="Arial" w:hAnsi="Arial" w:cs="Arial"/>
                <w:b/>
                <w:sz w:val="18"/>
              </w:rPr>
              <w:t>/0</w:t>
            </w:r>
            <w:r w:rsidR="00571457" w:rsidRPr="002E1AF6">
              <w:rPr>
                <w:rFonts w:ascii="Arial" w:hAnsi="Arial" w:cs="Arial"/>
                <w:b/>
                <w:sz w:val="18"/>
              </w:rPr>
              <w:t>3</w:t>
            </w:r>
            <w:r w:rsidRPr="002E1AF6">
              <w:rPr>
                <w:rFonts w:ascii="Arial" w:hAnsi="Arial" w:cs="Arial"/>
                <w:b/>
                <w:sz w:val="18"/>
              </w:rPr>
              <w:t>/20</w:t>
            </w:r>
            <w:r w:rsidR="00571457" w:rsidRPr="002E1AF6">
              <w:rPr>
                <w:rFonts w:ascii="Arial" w:hAnsi="Arial" w:cs="Arial"/>
                <w:b/>
                <w:sz w:val="18"/>
              </w:rPr>
              <w:t>20</w:t>
            </w:r>
          </w:p>
        </w:tc>
        <w:tc>
          <w:tcPr>
            <w:tcW w:w="1141" w:type="dxa"/>
            <w:vAlign w:val="center"/>
          </w:tcPr>
          <w:p w14:paraId="7BCB154F" w14:textId="2FE10F82" w:rsidR="00151C24" w:rsidRPr="002E1AF6" w:rsidRDefault="003C2633" w:rsidP="0084502B">
            <w:pPr>
              <w:jc w:val="center"/>
              <w:rPr>
                <w:rFonts w:ascii="Arial" w:hAnsi="Arial" w:cs="Arial"/>
                <w:b/>
                <w:color w:val="000000"/>
                <w:sz w:val="18"/>
                <w:lang w:eastAsia="es-AR"/>
              </w:rPr>
            </w:pPr>
            <w:r w:rsidRPr="002E1AF6">
              <w:rPr>
                <w:rFonts w:ascii="Arial" w:hAnsi="Arial" w:cs="Arial"/>
                <w:b/>
                <w:sz w:val="18"/>
              </w:rPr>
              <w:t>3</w:t>
            </w:r>
            <w:r w:rsidR="00571457" w:rsidRPr="002E1AF6">
              <w:rPr>
                <w:rFonts w:ascii="Arial" w:hAnsi="Arial" w:cs="Arial"/>
                <w:b/>
                <w:sz w:val="18"/>
              </w:rPr>
              <w:t>1</w:t>
            </w:r>
            <w:r w:rsidRPr="002E1AF6">
              <w:rPr>
                <w:rFonts w:ascii="Arial" w:hAnsi="Arial" w:cs="Arial"/>
                <w:b/>
                <w:sz w:val="18"/>
              </w:rPr>
              <w:t>/0</w:t>
            </w:r>
            <w:r w:rsidR="00571457" w:rsidRPr="002E1AF6">
              <w:rPr>
                <w:rFonts w:ascii="Arial" w:hAnsi="Arial" w:cs="Arial"/>
                <w:b/>
                <w:sz w:val="18"/>
              </w:rPr>
              <w:t>3</w:t>
            </w:r>
            <w:r w:rsidRPr="002E1AF6">
              <w:rPr>
                <w:rFonts w:ascii="Arial" w:hAnsi="Arial" w:cs="Arial"/>
                <w:b/>
                <w:sz w:val="18"/>
              </w:rPr>
              <w:t>/20</w:t>
            </w:r>
            <w:r w:rsidR="00571457" w:rsidRPr="002E1AF6">
              <w:rPr>
                <w:rFonts w:ascii="Arial" w:hAnsi="Arial" w:cs="Arial"/>
                <w:b/>
                <w:sz w:val="18"/>
              </w:rPr>
              <w:t>19</w:t>
            </w:r>
          </w:p>
        </w:tc>
      </w:tr>
      <w:tr w:rsidR="00151C24" w:rsidRPr="00701F32" w14:paraId="4940E8F6" w14:textId="77777777" w:rsidTr="00066653">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1CFE9"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Alquiler de cajas de seguridad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81FB9B" w14:textId="1D361AA6" w:rsidR="00151C24" w:rsidRPr="002E1AF6" w:rsidRDefault="0057145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67.991</w:t>
            </w:r>
          </w:p>
        </w:tc>
        <w:tc>
          <w:tcPr>
            <w:tcW w:w="1141" w:type="dxa"/>
            <w:tcBorders>
              <w:top w:val="single" w:sz="4" w:space="0" w:color="auto"/>
              <w:left w:val="single" w:sz="4" w:space="0" w:color="auto"/>
              <w:bottom w:val="single" w:sz="4" w:space="0" w:color="auto"/>
              <w:right w:val="single" w:sz="4" w:space="0" w:color="auto"/>
            </w:tcBorders>
            <w:vAlign w:val="bottom"/>
          </w:tcPr>
          <w:p w14:paraId="589E3AC1" w14:textId="14AA6368"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77.647</w:t>
            </w:r>
          </w:p>
        </w:tc>
      </w:tr>
      <w:tr w:rsidR="00151C24" w:rsidRPr="00701F32" w14:paraId="3E46C1AA" w14:textId="77777777" w:rsidTr="00066653">
        <w:trPr>
          <w:trHeight w:val="255"/>
        </w:trPr>
        <w:tc>
          <w:tcPr>
            <w:tcW w:w="6379" w:type="dxa"/>
            <w:shd w:val="clear" w:color="auto" w:fill="auto"/>
            <w:noWrap/>
            <w:vAlign w:val="center"/>
          </w:tcPr>
          <w:p w14:paraId="5A35FFF4"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Previsiones desafectadas y créditos recuperados</w:t>
            </w:r>
          </w:p>
        </w:tc>
        <w:tc>
          <w:tcPr>
            <w:tcW w:w="1276" w:type="dxa"/>
            <w:shd w:val="clear" w:color="auto" w:fill="auto"/>
            <w:noWrap/>
            <w:vAlign w:val="bottom"/>
          </w:tcPr>
          <w:p w14:paraId="64A924A1" w14:textId="45C6F439" w:rsidR="00151C24" w:rsidRPr="002E1AF6" w:rsidRDefault="0057145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316.928</w:t>
            </w:r>
          </w:p>
        </w:tc>
        <w:tc>
          <w:tcPr>
            <w:tcW w:w="1141" w:type="dxa"/>
            <w:vAlign w:val="bottom"/>
          </w:tcPr>
          <w:p w14:paraId="47EF3165" w14:textId="359DB035"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128.021</w:t>
            </w:r>
          </w:p>
        </w:tc>
      </w:tr>
      <w:tr w:rsidR="00151C24" w:rsidRPr="00701F32" w14:paraId="703C38FB" w14:textId="77777777" w:rsidTr="00066653">
        <w:trPr>
          <w:trHeight w:val="255"/>
        </w:trPr>
        <w:tc>
          <w:tcPr>
            <w:tcW w:w="6379" w:type="dxa"/>
            <w:shd w:val="clear" w:color="auto" w:fill="auto"/>
            <w:noWrap/>
            <w:vAlign w:val="center"/>
          </w:tcPr>
          <w:p w14:paraId="3B8065A8"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Intereses punitorios cobrados</w:t>
            </w:r>
          </w:p>
        </w:tc>
        <w:tc>
          <w:tcPr>
            <w:tcW w:w="1276" w:type="dxa"/>
            <w:shd w:val="clear" w:color="auto" w:fill="auto"/>
            <w:noWrap/>
            <w:vAlign w:val="bottom"/>
          </w:tcPr>
          <w:p w14:paraId="47C8C223" w14:textId="1F061D59" w:rsidR="00151C24" w:rsidRPr="002E1AF6" w:rsidRDefault="0057145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75.476</w:t>
            </w:r>
          </w:p>
        </w:tc>
        <w:tc>
          <w:tcPr>
            <w:tcW w:w="1141" w:type="dxa"/>
            <w:vAlign w:val="bottom"/>
          </w:tcPr>
          <w:p w14:paraId="7BCC85F6" w14:textId="2BC33CEB"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146.823</w:t>
            </w:r>
          </w:p>
        </w:tc>
      </w:tr>
      <w:tr w:rsidR="00151C24" w:rsidRPr="00701F32" w14:paraId="51A70C7B" w14:textId="77777777" w:rsidTr="00066653">
        <w:trPr>
          <w:trHeight w:val="255"/>
        </w:trPr>
        <w:tc>
          <w:tcPr>
            <w:tcW w:w="6379" w:type="dxa"/>
            <w:shd w:val="clear" w:color="auto" w:fill="auto"/>
            <w:noWrap/>
            <w:vAlign w:val="center"/>
          </w:tcPr>
          <w:p w14:paraId="5162F6E2"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Rendimiento fondo de riesgo S.G.R.</w:t>
            </w:r>
          </w:p>
        </w:tc>
        <w:tc>
          <w:tcPr>
            <w:tcW w:w="1276" w:type="dxa"/>
            <w:shd w:val="clear" w:color="auto" w:fill="auto"/>
            <w:noWrap/>
            <w:vAlign w:val="bottom"/>
          </w:tcPr>
          <w:p w14:paraId="5CA62620" w14:textId="57C8C1EA" w:rsidR="00151C24" w:rsidRPr="002E1AF6" w:rsidRDefault="0057145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54.371</w:t>
            </w:r>
          </w:p>
        </w:tc>
        <w:tc>
          <w:tcPr>
            <w:tcW w:w="1141" w:type="dxa"/>
            <w:vAlign w:val="bottom"/>
          </w:tcPr>
          <w:p w14:paraId="6D117449" w14:textId="47370CCE"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29.653</w:t>
            </w:r>
          </w:p>
        </w:tc>
      </w:tr>
      <w:tr w:rsidR="00151C24" w:rsidRPr="00701F32" w14:paraId="78E26E6B" w14:textId="77777777" w:rsidTr="00066653">
        <w:trPr>
          <w:trHeight w:val="255"/>
        </w:trPr>
        <w:tc>
          <w:tcPr>
            <w:tcW w:w="6379" w:type="dxa"/>
            <w:shd w:val="clear" w:color="auto" w:fill="auto"/>
            <w:noWrap/>
            <w:vAlign w:val="center"/>
            <w:hideMark/>
          </w:tcPr>
          <w:p w14:paraId="10969D2F"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Alquileres ganados</w:t>
            </w:r>
          </w:p>
        </w:tc>
        <w:tc>
          <w:tcPr>
            <w:tcW w:w="1276" w:type="dxa"/>
            <w:shd w:val="clear" w:color="auto" w:fill="auto"/>
            <w:noWrap/>
            <w:vAlign w:val="bottom"/>
          </w:tcPr>
          <w:p w14:paraId="7D18C706" w14:textId="64BC341C" w:rsidR="00151C24" w:rsidRPr="002E1AF6" w:rsidRDefault="0057145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8.251</w:t>
            </w:r>
          </w:p>
        </w:tc>
        <w:tc>
          <w:tcPr>
            <w:tcW w:w="1141" w:type="dxa"/>
            <w:vAlign w:val="bottom"/>
          </w:tcPr>
          <w:p w14:paraId="3A981ECD" w14:textId="0B238506"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1.392</w:t>
            </w:r>
          </w:p>
        </w:tc>
      </w:tr>
      <w:tr w:rsidR="00151C24" w:rsidRPr="00701F32" w14:paraId="133E7F16" w14:textId="77777777" w:rsidTr="00066653">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2F7CF"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Ajustes e intereses de créditos diversos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97A44" w14:textId="64BE5EC0" w:rsidR="00151C24" w:rsidRPr="002E1AF6" w:rsidRDefault="0057145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26.732</w:t>
            </w:r>
          </w:p>
        </w:tc>
        <w:tc>
          <w:tcPr>
            <w:tcW w:w="1141" w:type="dxa"/>
            <w:tcBorders>
              <w:top w:val="single" w:sz="4" w:space="0" w:color="auto"/>
              <w:left w:val="single" w:sz="4" w:space="0" w:color="auto"/>
              <w:bottom w:val="single" w:sz="4" w:space="0" w:color="auto"/>
              <w:right w:val="single" w:sz="4" w:space="0" w:color="auto"/>
            </w:tcBorders>
            <w:vAlign w:val="bottom"/>
          </w:tcPr>
          <w:p w14:paraId="57347A23" w14:textId="35E2E875"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45.232</w:t>
            </w:r>
          </w:p>
        </w:tc>
      </w:tr>
      <w:tr w:rsidR="00107410" w:rsidRPr="00701F32" w14:paraId="06FE1916" w14:textId="77777777" w:rsidTr="00066653">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813B2" w14:textId="1943DED5" w:rsidR="00107410" w:rsidRPr="002E1AF6" w:rsidRDefault="00107410" w:rsidP="0084502B">
            <w:pPr>
              <w:rPr>
                <w:rFonts w:ascii="Arial" w:hAnsi="Arial" w:cs="Arial"/>
                <w:color w:val="000000"/>
                <w:sz w:val="18"/>
                <w:lang w:eastAsia="es-AR"/>
              </w:rPr>
            </w:pPr>
            <w:r w:rsidRPr="002E1AF6">
              <w:rPr>
                <w:rFonts w:ascii="Arial" w:hAnsi="Arial" w:cs="Arial"/>
                <w:color w:val="000000"/>
                <w:sz w:val="18"/>
                <w:lang w:eastAsia="es-AR"/>
              </w:rPr>
              <w:t>Comisión por arrendamiento financiero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873BA" w14:textId="50807ECC" w:rsidR="00107410" w:rsidRPr="002E1AF6" w:rsidRDefault="00571457" w:rsidP="0084502B">
            <w:pPr>
              <w:jc w:val="right"/>
              <w:rPr>
                <w:rFonts w:ascii="Arial" w:hAnsi="Arial" w:cs="Arial"/>
                <w:color w:val="000000"/>
                <w:sz w:val="18"/>
                <w:lang w:eastAsia="es-AR"/>
              </w:rPr>
            </w:pPr>
            <w:r w:rsidRPr="002E1AF6">
              <w:rPr>
                <w:rFonts w:ascii="Arial" w:hAnsi="Arial" w:cs="Arial"/>
                <w:color w:val="000000"/>
                <w:sz w:val="18"/>
                <w:lang w:eastAsia="es-AR"/>
              </w:rPr>
              <w:t>81</w:t>
            </w:r>
          </w:p>
        </w:tc>
        <w:tc>
          <w:tcPr>
            <w:tcW w:w="1141" w:type="dxa"/>
            <w:tcBorders>
              <w:top w:val="single" w:sz="4" w:space="0" w:color="auto"/>
              <w:left w:val="single" w:sz="4" w:space="0" w:color="auto"/>
              <w:bottom w:val="single" w:sz="4" w:space="0" w:color="auto"/>
              <w:right w:val="single" w:sz="4" w:space="0" w:color="auto"/>
            </w:tcBorders>
            <w:vAlign w:val="bottom"/>
          </w:tcPr>
          <w:p w14:paraId="706C54CC" w14:textId="61148B7E" w:rsidR="00107410"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1.547</w:t>
            </w:r>
          </w:p>
        </w:tc>
      </w:tr>
      <w:tr w:rsidR="00107410" w:rsidRPr="00701F32" w14:paraId="55D9EFF3" w14:textId="77777777" w:rsidTr="00066653">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CDDE3" w14:textId="351361AC" w:rsidR="00107410" w:rsidRPr="002E1AF6" w:rsidRDefault="00AE73E8" w:rsidP="0084502B">
            <w:pPr>
              <w:rPr>
                <w:rFonts w:ascii="Arial" w:hAnsi="Arial" w:cs="Arial"/>
                <w:color w:val="000000"/>
                <w:sz w:val="18"/>
                <w:lang w:eastAsia="es-AR"/>
              </w:rPr>
            </w:pPr>
            <w:r w:rsidRPr="002E1AF6">
              <w:rPr>
                <w:rFonts w:ascii="Arial" w:hAnsi="Arial" w:cs="Arial"/>
                <w:color w:val="000000"/>
                <w:sz w:val="18"/>
                <w:lang w:eastAsia="es-AR"/>
              </w:rPr>
              <w:lastRenderedPageBreak/>
              <w:t>Comisión</w:t>
            </w:r>
            <w:r w:rsidR="00107410" w:rsidRPr="002E1AF6">
              <w:rPr>
                <w:rFonts w:ascii="Arial" w:hAnsi="Arial" w:cs="Arial"/>
                <w:color w:val="000000"/>
                <w:sz w:val="18"/>
                <w:lang w:eastAsia="es-AR"/>
              </w:rPr>
              <w:t xml:space="preserve"> por gestión de cuentas corrientes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F93311" w14:textId="7140E7BC" w:rsidR="00107410" w:rsidRPr="002E1AF6" w:rsidRDefault="00571457" w:rsidP="0084502B">
            <w:pPr>
              <w:jc w:val="right"/>
              <w:rPr>
                <w:rFonts w:ascii="Arial" w:hAnsi="Arial" w:cs="Arial"/>
                <w:color w:val="000000"/>
                <w:sz w:val="18"/>
                <w:lang w:eastAsia="es-AR"/>
              </w:rPr>
            </w:pPr>
            <w:r w:rsidRPr="002E1AF6">
              <w:rPr>
                <w:rFonts w:ascii="Arial" w:hAnsi="Arial" w:cs="Arial"/>
                <w:color w:val="000000"/>
                <w:sz w:val="18"/>
                <w:lang w:eastAsia="es-AR"/>
              </w:rPr>
              <w:t>62.039</w:t>
            </w:r>
          </w:p>
        </w:tc>
        <w:tc>
          <w:tcPr>
            <w:tcW w:w="1141" w:type="dxa"/>
            <w:tcBorders>
              <w:top w:val="single" w:sz="4" w:space="0" w:color="auto"/>
              <w:left w:val="single" w:sz="4" w:space="0" w:color="auto"/>
              <w:bottom w:val="single" w:sz="4" w:space="0" w:color="auto"/>
              <w:right w:val="single" w:sz="4" w:space="0" w:color="auto"/>
            </w:tcBorders>
            <w:vAlign w:val="bottom"/>
          </w:tcPr>
          <w:p w14:paraId="0328F8B5" w14:textId="139C28BE" w:rsidR="00107410"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31.901</w:t>
            </w:r>
          </w:p>
        </w:tc>
      </w:tr>
      <w:tr w:rsidR="00151C24" w:rsidRPr="00701F32" w14:paraId="23602289" w14:textId="77777777" w:rsidTr="00066653">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A354E"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Comisión por administración de cartera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ABB67E" w14:textId="3307034C" w:rsidR="00151C24" w:rsidRPr="002E1AF6" w:rsidRDefault="00571457" w:rsidP="0084502B">
            <w:pPr>
              <w:jc w:val="right"/>
              <w:rPr>
                <w:rFonts w:ascii="Arial" w:hAnsi="Arial" w:cs="Arial"/>
                <w:color w:val="000000"/>
                <w:sz w:val="18"/>
                <w:lang w:eastAsia="es-AR"/>
              </w:rPr>
            </w:pPr>
            <w:r w:rsidRPr="002E1AF6">
              <w:rPr>
                <w:rFonts w:ascii="Arial" w:hAnsi="Arial" w:cs="Arial"/>
                <w:color w:val="000000"/>
                <w:sz w:val="18"/>
                <w:lang w:eastAsia="es-AR"/>
              </w:rPr>
              <w:t>3.768</w:t>
            </w:r>
          </w:p>
        </w:tc>
        <w:tc>
          <w:tcPr>
            <w:tcW w:w="1141" w:type="dxa"/>
            <w:tcBorders>
              <w:top w:val="single" w:sz="4" w:space="0" w:color="auto"/>
              <w:left w:val="single" w:sz="4" w:space="0" w:color="auto"/>
              <w:bottom w:val="single" w:sz="4" w:space="0" w:color="auto"/>
              <w:right w:val="single" w:sz="4" w:space="0" w:color="auto"/>
            </w:tcBorders>
            <w:vAlign w:val="bottom"/>
          </w:tcPr>
          <w:p w14:paraId="4C84F2B7" w14:textId="58954FC5"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1.659</w:t>
            </w:r>
          </w:p>
        </w:tc>
      </w:tr>
      <w:tr w:rsidR="00151C24" w:rsidRPr="00701F32" w14:paraId="54F1F3BF" w14:textId="77777777" w:rsidTr="00066653">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9A342"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Comisiones por administración de cheques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8EB61" w14:textId="74F635CE" w:rsidR="00151C24" w:rsidRPr="002E1AF6" w:rsidRDefault="00571457" w:rsidP="0084502B">
            <w:pPr>
              <w:jc w:val="right"/>
              <w:rPr>
                <w:rFonts w:ascii="Arial" w:hAnsi="Arial" w:cs="Arial"/>
                <w:color w:val="000000"/>
                <w:sz w:val="18"/>
                <w:lang w:eastAsia="es-AR"/>
              </w:rPr>
            </w:pPr>
            <w:r w:rsidRPr="002E1AF6">
              <w:rPr>
                <w:rFonts w:ascii="Arial" w:hAnsi="Arial" w:cs="Arial"/>
                <w:color w:val="000000"/>
                <w:sz w:val="18"/>
                <w:lang w:eastAsia="es-AR"/>
              </w:rPr>
              <w:t>153</w:t>
            </w:r>
          </w:p>
        </w:tc>
        <w:tc>
          <w:tcPr>
            <w:tcW w:w="1141" w:type="dxa"/>
            <w:tcBorders>
              <w:top w:val="single" w:sz="4" w:space="0" w:color="auto"/>
              <w:left w:val="single" w:sz="4" w:space="0" w:color="auto"/>
              <w:bottom w:val="single" w:sz="4" w:space="0" w:color="auto"/>
              <w:right w:val="single" w:sz="4" w:space="0" w:color="auto"/>
            </w:tcBorders>
            <w:vAlign w:val="bottom"/>
          </w:tcPr>
          <w:p w14:paraId="798A97E4" w14:textId="2292D7A0" w:rsidR="00151C24" w:rsidRPr="002E1AF6" w:rsidRDefault="00043141"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40.396</w:t>
            </w:r>
          </w:p>
        </w:tc>
      </w:tr>
      <w:tr w:rsidR="00151C24" w:rsidRPr="00701F32" w14:paraId="11577D66" w14:textId="77777777" w:rsidTr="00066653">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0D235"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Otros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D23B4" w14:textId="6DEB7B0A" w:rsidR="00151C24" w:rsidRPr="002E1AF6" w:rsidRDefault="00571457"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108.556</w:t>
            </w:r>
          </w:p>
        </w:tc>
        <w:tc>
          <w:tcPr>
            <w:tcW w:w="1141" w:type="dxa"/>
            <w:tcBorders>
              <w:top w:val="single" w:sz="4" w:space="0" w:color="auto"/>
              <w:left w:val="single" w:sz="4" w:space="0" w:color="auto"/>
              <w:bottom w:val="single" w:sz="4" w:space="0" w:color="auto"/>
              <w:right w:val="single" w:sz="4" w:space="0" w:color="auto"/>
            </w:tcBorders>
            <w:vAlign w:val="bottom"/>
          </w:tcPr>
          <w:p w14:paraId="35BF922C" w14:textId="1D4A8067" w:rsidR="00151C24" w:rsidRPr="002E1AF6" w:rsidRDefault="00FA061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171.659</w:t>
            </w:r>
          </w:p>
        </w:tc>
      </w:tr>
      <w:tr w:rsidR="00151C24" w:rsidRPr="00701F32" w14:paraId="32A3F5B6" w14:textId="77777777" w:rsidTr="00066653">
        <w:trPr>
          <w:trHeight w:val="270"/>
        </w:trPr>
        <w:tc>
          <w:tcPr>
            <w:tcW w:w="6379" w:type="dxa"/>
            <w:shd w:val="clear" w:color="auto" w:fill="auto"/>
            <w:noWrap/>
            <w:vAlign w:val="center"/>
            <w:hideMark/>
          </w:tcPr>
          <w:p w14:paraId="64727C9B"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276" w:type="dxa"/>
            <w:shd w:val="clear" w:color="auto" w:fill="auto"/>
            <w:noWrap/>
            <w:vAlign w:val="bottom"/>
          </w:tcPr>
          <w:p w14:paraId="17233C40" w14:textId="47DD4BC5" w:rsidR="00151C24" w:rsidRPr="002E1AF6" w:rsidRDefault="00571457"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724.346</w:t>
            </w:r>
          </w:p>
        </w:tc>
        <w:tc>
          <w:tcPr>
            <w:tcW w:w="1141" w:type="dxa"/>
            <w:vAlign w:val="bottom"/>
          </w:tcPr>
          <w:p w14:paraId="3DCB12FB" w14:textId="0A85B2C7" w:rsidR="00151C24" w:rsidRPr="002E1AF6" w:rsidRDefault="00043141"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675.930</w:t>
            </w:r>
          </w:p>
        </w:tc>
      </w:tr>
    </w:tbl>
    <w:p w14:paraId="57160861" w14:textId="77777777" w:rsidR="00151C24" w:rsidRPr="00701F32" w:rsidRDefault="00151C24" w:rsidP="00151C24">
      <w:pPr>
        <w:rPr>
          <w:rFonts w:ascii="Arial" w:hAnsi="Arial" w:cs="Arial"/>
          <w:bCs/>
          <w:color w:val="000000"/>
          <w:sz w:val="20"/>
          <w:lang w:eastAsia="es-AR"/>
        </w:rPr>
      </w:pPr>
      <w:r>
        <w:rPr>
          <w:rFonts w:ascii="Arial" w:hAnsi="Arial" w:cs="Arial"/>
          <w:bCs/>
          <w:color w:val="000000"/>
          <w:sz w:val="20"/>
          <w:lang w:eastAsia="es-AR"/>
        </w:rPr>
        <w:tab/>
      </w:r>
    </w:p>
    <w:p w14:paraId="034C5319" w14:textId="379D85C3" w:rsidR="00151C24" w:rsidRPr="00701F32" w:rsidRDefault="00151C24" w:rsidP="00151C24">
      <w:pPr>
        <w:rPr>
          <w:rFonts w:ascii="Arial" w:hAnsi="Arial" w:cs="Arial"/>
          <w:bCs/>
          <w:color w:val="000000"/>
          <w:sz w:val="20"/>
          <w:lang w:eastAsia="es-AR"/>
        </w:rPr>
      </w:pPr>
      <w:r>
        <w:rPr>
          <w:rFonts w:ascii="Arial" w:hAnsi="Arial" w:cs="Arial"/>
          <w:bCs/>
          <w:color w:val="000000"/>
          <w:sz w:val="20"/>
          <w:lang w:eastAsia="es-AR"/>
        </w:rPr>
        <w:t>15.7</w:t>
      </w:r>
      <w:r w:rsidRPr="00701F32">
        <w:rPr>
          <w:rFonts w:ascii="Arial" w:hAnsi="Arial" w:cs="Arial"/>
          <w:bCs/>
          <w:color w:val="000000"/>
          <w:sz w:val="20"/>
          <w:lang w:eastAsia="es-AR"/>
        </w:rPr>
        <w:t xml:space="preserve"> Beneficios al personal</w:t>
      </w:r>
    </w:p>
    <w:p w14:paraId="681937F4" w14:textId="77777777" w:rsidR="00DC60F9" w:rsidRPr="00701F32" w:rsidRDefault="00DC60F9" w:rsidP="00151C24">
      <w:pPr>
        <w:rPr>
          <w:rFonts w:ascii="Arial" w:hAnsi="Arial" w:cs="Arial"/>
          <w:bCs/>
          <w:color w:val="000000"/>
          <w:sz w:val="20"/>
          <w:lang w:eastAsia="es-AR"/>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82"/>
        <w:gridCol w:w="1330"/>
        <w:gridCol w:w="1177"/>
      </w:tblGrid>
      <w:tr w:rsidR="00151C24" w:rsidRPr="00701F32" w14:paraId="0EE719F2" w14:textId="77777777" w:rsidTr="00066653">
        <w:trPr>
          <w:trHeight w:val="259"/>
        </w:trPr>
        <w:tc>
          <w:tcPr>
            <w:tcW w:w="6282" w:type="dxa"/>
            <w:shd w:val="clear" w:color="auto" w:fill="auto"/>
            <w:noWrap/>
            <w:vAlign w:val="bottom"/>
            <w:hideMark/>
          </w:tcPr>
          <w:p w14:paraId="3F8385E1" w14:textId="77777777" w:rsidR="00151C24" w:rsidRPr="002E1AF6" w:rsidRDefault="00151C24" w:rsidP="0084502B">
            <w:pPr>
              <w:rPr>
                <w:rFonts w:ascii="Arial" w:hAnsi="Arial" w:cs="Arial"/>
                <w:b/>
                <w:bCs/>
                <w:color w:val="000000"/>
                <w:sz w:val="18"/>
                <w:lang w:eastAsia="es-AR"/>
              </w:rPr>
            </w:pPr>
          </w:p>
        </w:tc>
        <w:tc>
          <w:tcPr>
            <w:tcW w:w="1330" w:type="dxa"/>
            <w:shd w:val="clear" w:color="auto" w:fill="auto"/>
            <w:noWrap/>
            <w:hideMark/>
          </w:tcPr>
          <w:p w14:paraId="33B3EFB1" w14:textId="3ABDCEF5" w:rsidR="00151C24" w:rsidRPr="002E1AF6" w:rsidRDefault="003C2633" w:rsidP="0084502B">
            <w:pPr>
              <w:jc w:val="right"/>
              <w:rPr>
                <w:rFonts w:ascii="Arial" w:hAnsi="Arial" w:cs="Arial"/>
                <w:b/>
                <w:color w:val="000000"/>
                <w:sz w:val="18"/>
                <w:lang w:eastAsia="es-AR"/>
              </w:rPr>
            </w:pPr>
            <w:r w:rsidRPr="002E1AF6">
              <w:rPr>
                <w:rFonts w:ascii="Arial" w:hAnsi="Arial" w:cs="Arial"/>
                <w:b/>
                <w:sz w:val="18"/>
              </w:rPr>
              <w:t>3</w:t>
            </w:r>
            <w:r w:rsidR="00FA0619" w:rsidRPr="002E1AF6">
              <w:rPr>
                <w:rFonts w:ascii="Arial" w:hAnsi="Arial" w:cs="Arial"/>
                <w:b/>
                <w:sz w:val="18"/>
              </w:rPr>
              <w:t>1</w:t>
            </w:r>
            <w:r w:rsidRPr="002E1AF6">
              <w:rPr>
                <w:rFonts w:ascii="Arial" w:hAnsi="Arial" w:cs="Arial"/>
                <w:b/>
                <w:sz w:val="18"/>
              </w:rPr>
              <w:t>/0</w:t>
            </w:r>
            <w:r w:rsidR="00FA0619" w:rsidRPr="002E1AF6">
              <w:rPr>
                <w:rFonts w:ascii="Arial" w:hAnsi="Arial" w:cs="Arial"/>
                <w:b/>
                <w:sz w:val="18"/>
              </w:rPr>
              <w:t>3</w:t>
            </w:r>
            <w:r w:rsidRPr="002E1AF6">
              <w:rPr>
                <w:rFonts w:ascii="Arial" w:hAnsi="Arial" w:cs="Arial"/>
                <w:b/>
                <w:sz w:val="18"/>
              </w:rPr>
              <w:t>/20</w:t>
            </w:r>
            <w:r w:rsidR="00FA0619" w:rsidRPr="002E1AF6">
              <w:rPr>
                <w:rFonts w:ascii="Arial" w:hAnsi="Arial" w:cs="Arial"/>
                <w:b/>
                <w:sz w:val="18"/>
              </w:rPr>
              <w:t>20</w:t>
            </w:r>
          </w:p>
        </w:tc>
        <w:tc>
          <w:tcPr>
            <w:tcW w:w="1177" w:type="dxa"/>
            <w:vAlign w:val="center"/>
          </w:tcPr>
          <w:p w14:paraId="18FF22CF" w14:textId="19660B45" w:rsidR="00151C24" w:rsidRPr="002E1AF6" w:rsidRDefault="003C2633" w:rsidP="0084502B">
            <w:pPr>
              <w:jc w:val="right"/>
              <w:rPr>
                <w:rFonts w:ascii="Arial" w:hAnsi="Arial" w:cs="Arial"/>
                <w:b/>
                <w:color w:val="000000"/>
                <w:sz w:val="18"/>
                <w:lang w:eastAsia="es-AR"/>
              </w:rPr>
            </w:pPr>
            <w:r w:rsidRPr="002E1AF6">
              <w:rPr>
                <w:rFonts w:ascii="Arial" w:hAnsi="Arial" w:cs="Arial"/>
                <w:b/>
                <w:sz w:val="18"/>
              </w:rPr>
              <w:t>3</w:t>
            </w:r>
            <w:r w:rsidR="00FA0619" w:rsidRPr="002E1AF6">
              <w:rPr>
                <w:rFonts w:ascii="Arial" w:hAnsi="Arial" w:cs="Arial"/>
                <w:b/>
                <w:sz w:val="18"/>
              </w:rPr>
              <w:t>1</w:t>
            </w:r>
            <w:r w:rsidRPr="002E1AF6">
              <w:rPr>
                <w:rFonts w:ascii="Arial" w:hAnsi="Arial" w:cs="Arial"/>
                <w:b/>
                <w:sz w:val="18"/>
              </w:rPr>
              <w:t>/0</w:t>
            </w:r>
            <w:r w:rsidR="00FA0619" w:rsidRPr="002E1AF6">
              <w:rPr>
                <w:rFonts w:ascii="Arial" w:hAnsi="Arial" w:cs="Arial"/>
                <w:b/>
                <w:sz w:val="18"/>
              </w:rPr>
              <w:t>3</w:t>
            </w:r>
            <w:r w:rsidRPr="002E1AF6">
              <w:rPr>
                <w:rFonts w:ascii="Arial" w:hAnsi="Arial" w:cs="Arial"/>
                <w:b/>
                <w:sz w:val="18"/>
              </w:rPr>
              <w:t>/201</w:t>
            </w:r>
            <w:r w:rsidR="00FA0619" w:rsidRPr="002E1AF6">
              <w:rPr>
                <w:rFonts w:ascii="Arial" w:hAnsi="Arial" w:cs="Arial"/>
                <w:b/>
                <w:sz w:val="18"/>
              </w:rPr>
              <w:t>9</w:t>
            </w:r>
          </w:p>
        </w:tc>
      </w:tr>
      <w:tr w:rsidR="00151C24" w:rsidRPr="00701F32" w14:paraId="2A8FC3BB" w14:textId="77777777" w:rsidTr="00066653">
        <w:trPr>
          <w:trHeight w:val="259"/>
        </w:trPr>
        <w:tc>
          <w:tcPr>
            <w:tcW w:w="6282" w:type="dxa"/>
            <w:shd w:val="clear" w:color="auto" w:fill="auto"/>
            <w:noWrap/>
            <w:vAlign w:val="bottom"/>
            <w:hideMark/>
          </w:tcPr>
          <w:p w14:paraId="52DB1BF9"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Gastos de personal</w:t>
            </w:r>
          </w:p>
        </w:tc>
        <w:tc>
          <w:tcPr>
            <w:tcW w:w="1330" w:type="dxa"/>
            <w:shd w:val="clear" w:color="auto" w:fill="auto"/>
            <w:noWrap/>
            <w:vAlign w:val="bottom"/>
          </w:tcPr>
          <w:p w14:paraId="3ACD0F1A" w14:textId="09B03417" w:rsidR="00151C24" w:rsidRPr="002E1AF6" w:rsidRDefault="00FA061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238.420</w:t>
            </w:r>
          </w:p>
        </w:tc>
        <w:tc>
          <w:tcPr>
            <w:tcW w:w="1177" w:type="dxa"/>
            <w:vAlign w:val="bottom"/>
          </w:tcPr>
          <w:p w14:paraId="67C924A5" w14:textId="0F998FEC" w:rsidR="00151C24" w:rsidRPr="002E1AF6" w:rsidRDefault="00FA061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403.021</w:t>
            </w:r>
          </w:p>
        </w:tc>
      </w:tr>
      <w:tr w:rsidR="00151C24" w:rsidRPr="00701F32" w14:paraId="71778D9D" w14:textId="77777777" w:rsidTr="00066653">
        <w:trPr>
          <w:trHeight w:val="259"/>
        </w:trPr>
        <w:tc>
          <w:tcPr>
            <w:tcW w:w="62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4A516"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Remuneraciones y cargas sociales</w:t>
            </w:r>
          </w:p>
        </w:tc>
        <w:tc>
          <w:tcPr>
            <w:tcW w:w="13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4E3A20" w14:textId="06F36896" w:rsidR="00151C24" w:rsidRPr="002E1AF6" w:rsidRDefault="00FA061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2.809.032</w:t>
            </w:r>
          </w:p>
        </w:tc>
        <w:tc>
          <w:tcPr>
            <w:tcW w:w="1177" w:type="dxa"/>
            <w:tcBorders>
              <w:top w:val="single" w:sz="4" w:space="0" w:color="auto"/>
              <w:left w:val="single" w:sz="4" w:space="0" w:color="auto"/>
              <w:bottom w:val="single" w:sz="4" w:space="0" w:color="auto"/>
              <w:right w:val="single" w:sz="4" w:space="0" w:color="auto"/>
            </w:tcBorders>
            <w:vAlign w:val="bottom"/>
          </w:tcPr>
          <w:p w14:paraId="5E189E23" w14:textId="0ACB2EBE" w:rsidR="00151C24" w:rsidRPr="002E1AF6" w:rsidRDefault="00FA061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2.612.877</w:t>
            </w:r>
          </w:p>
        </w:tc>
      </w:tr>
      <w:tr w:rsidR="00151C24" w:rsidRPr="00701F32" w14:paraId="621D45D6" w14:textId="77777777" w:rsidTr="00066653">
        <w:trPr>
          <w:trHeight w:val="274"/>
        </w:trPr>
        <w:tc>
          <w:tcPr>
            <w:tcW w:w="6282" w:type="dxa"/>
            <w:shd w:val="clear" w:color="auto" w:fill="auto"/>
            <w:noWrap/>
            <w:vAlign w:val="bottom"/>
            <w:hideMark/>
          </w:tcPr>
          <w:p w14:paraId="1280A544"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330" w:type="dxa"/>
            <w:shd w:val="clear" w:color="auto" w:fill="auto"/>
            <w:noWrap/>
            <w:vAlign w:val="bottom"/>
          </w:tcPr>
          <w:p w14:paraId="6C50E476" w14:textId="5F24A746" w:rsidR="00151C24" w:rsidRPr="002E1AF6" w:rsidRDefault="00FA0619"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3.047.452</w:t>
            </w:r>
          </w:p>
        </w:tc>
        <w:tc>
          <w:tcPr>
            <w:tcW w:w="1177" w:type="dxa"/>
            <w:vAlign w:val="bottom"/>
          </w:tcPr>
          <w:p w14:paraId="76597CFF" w14:textId="4599FCCD" w:rsidR="00151C24" w:rsidRPr="002E1AF6" w:rsidRDefault="00FA0619"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3.015.898</w:t>
            </w:r>
          </w:p>
        </w:tc>
      </w:tr>
    </w:tbl>
    <w:p w14:paraId="180CFEAF" w14:textId="77777777" w:rsidR="00151C24" w:rsidRPr="00701F32" w:rsidRDefault="00151C24" w:rsidP="00151C24">
      <w:pPr>
        <w:rPr>
          <w:rFonts w:ascii="Arial" w:hAnsi="Arial" w:cs="Arial"/>
          <w:bCs/>
          <w:color w:val="000000"/>
          <w:sz w:val="20"/>
          <w:lang w:eastAsia="es-AR"/>
        </w:rPr>
      </w:pPr>
    </w:p>
    <w:p w14:paraId="45932E2E" w14:textId="77777777" w:rsidR="00151C24" w:rsidRPr="00701F32" w:rsidRDefault="00151C24" w:rsidP="00151C24">
      <w:pPr>
        <w:rPr>
          <w:rFonts w:ascii="Arial" w:hAnsi="Arial" w:cs="Arial"/>
          <w:bCs/>
          <w:color w:val="000000"/>
          <w:sz w:val="20"/>
          <w:lang w:eastAsia="es-AR"/>
        </w:rPr>
      </w:pPr>
      <w:r>
        <w:rPr>
          <w:rFonts w:ascii="Arial" w:hAnsi="Arial" w:cs="Arial"/>
          <w:bCs/>
          <w:color w:val="000000"/>
          <w:sz w:val="20"/>
          <w:lang w:eastAsia="es-AR"/>
        </w:rPr>
        <w:t>15.8</w:t>
      </w:r>
      <w:r w:rsidRPr="00701F32">
        <w:rPr>
          <w:rFonts w:ascii="Arial" w:hAnsi="Arial" w:cs="Arial"/>
          <w:bCs/>
          <w:color w:val="000000"/>
          <w:sz w:val="20"/>
          <w:lang w:eastAsia="es-AR"/>
        </w:rPr>
        <w:t xml:space="preserve"> Gastos de Administración</w:t>
      </w:r>
    </w:p>
    <w:p w14:paraId="3A5F73CD" w14:textId="77777777" w:rsidR="00151C24" w:rsidRPr="00701F32" w:rsidRDefault="00151C24" w:rsidP="00151C24">
      <w:pPr>
        <w:rPr>
          <w:rFonts w:ascii="Arial" w:hAnsi="Arial" w:cs="Arial"/>
          <w:bCs/>
          <w:color w:val="000000"/>
          <w:sz w:val="20"/>
          <w:lang w:eastAsia="es-AR"/>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07"/>
        <w:gridCol w:w="1290"/>
        <w:gridCol w:w="1192"/>
      </w:tblGrid>
      <w:tr w:rsidR="00151C24" w:rsidRPr="00701F32" w14:paraId="7E01A6FD" w14:textId="77777777" w:rsidTr="00066653">
        <w:trPr>
          <w:trHeight w:val="261"/>
          <w:tblHeader/>
        </w:trPr>
        <w:tc>
          <w:tcPr>
            <w:tcW w:w="6307" w:type="dxa"/>
            <w:shd w:val="clear" w:color="auto" w:fill="auto"/>
            <w:noWrap/>
            <w:vAlign w:val="bottom"/>
            <w:hideMark/>
          </w:tcPr>
          <w:p w14:paraId="7AEA582F" w14:textId="77777777" w:rsidR="00151C24" w:rsidRPr="002E1AF6" w:rsidRDefault="00151C24" w:rsidP="0084502B">
            <w:pPr>
              <w:rPr>
                <w:rFonts w:ascii="Arial" w:hAnsi="Arial" w:cs="Arial"/>
                <w:b/>
                <w:bCs/>
                <w:color w:val="000000"/>
                <w:sz w:val="18"/>
                <w:lang w:eastAsia="es-AR"/>
              </w:rPr>
            </w:pPr>
          </w:p>
        </w:tc>
        <w:tc>
          <w:tcPr>
            <w:tcW w:w="1290" w:type="dxa"/>
            <w:shd w:val="clear" w:color="auto" w:fill="auto"/>
            <w:noWrap/>
            <w:hideMark/>
          </w:tcPr>
          <w:p w14:paraId="0B4605AE" w14:textId="6CCC1879" w:rsidR="00151C24" w:rsidRPr="002E1AF6" w:rsidRDefault="003C2633" w:rsidP="0084502B">
            <w:pPr>
              <w:jc w:val="right"/>
              <w:rPr>
                <w:rFonts w:ascii="Arial" w:hAnsi="Arial" w:cs="Arial"/>
                <w:b/>
                <w:color w:val="000000"/>
                <w:sz w:val="18"/>
                <w:lang w:eastAsia="es-AR"/>
              </w:rPr>
            </w:pPr>
            <w:r w:rsidRPr="002E1AF6">
              <w:rPr>
                <w:rFonts w:ascii="Arial" w:hAnsi="Arial" w:cs="Arial"/>
                <w:b/>
                <w:sz w:val="18"/>
              </w:rPr>
              <w:t>3</w:t>
            </w:r>
            <w:r w:rsidR="00FA0619" w:rsidRPr="002E1AF6">
              <w:rPr>
                <w:rFonts w:ascii="Arial" w:hAnsi="Arial" w:cs="Arial"/>
                <w:b/>
                <w:sz w:val="18"/>
              </w:rPr>
              <w:t>1</w:t>
            </w:r>
            <w:r w:rsidRPr="002E1AF6">
              <w:rPr>
                <w:rFonts w:ascii="Arial" w:hAnsi="Arial" w:cs="Arial"/>
                <w:b/>
                <w:sz w:val="18"/>
              </w:rPr>
              <w:t>/0</w:t>
            </w:r>
            <w:r w:rsidR="00FA0619" w:rsidRPr="002E1AF6">
              <w:rPr>
                <w:rFonts w:ascii="Arial" w:hAnsi="Arial" w:cs="Arial"/>
                <w:b/>
                <w:sz w:val="18"/>
              </w:rPr>
              <w:t>3</w:t>
            </w:r>
            <w:r w:rsidRPr="002E1AF6">
              <w:rPr>
                <w:rFonts w:ascii="Arial" w:hAnsi="Arial" w:cs="Arial"/>
                <w:b/>
                <w:sz w:val="18"/>
              </w:rPr>
              <w:t>/20</w:t>
            </w:r>
            <w:r w:rsidR="00FA0619" w:rsidRPr="002E1AF6">
              <w:rPr>
                <w:rFonts w:ascii="Arial" w:hAnsi="Arial" w:cs="Arial"/>
                <w:b/>
                <w:sz w:val="18"/>
              </w:rPr>
              <w:t>20</w:t>
            </w:r>
          </w:p>
        </w:tc>
        <w:tc>
          <w:tcPr>
            <w:tcW w:w="1192" w:type="dxa"/>
            <w:vAlign w:val="center"/>
          </w:tcPr>
          <w:p w14:paraId="18548867" w14:textId="77D4881B" w:rsidR="00151C24" w:rsidRPr="002E1AF6" w:rsidRDefault="003C2633" w:rsidP="0084502B">
            <w:pPr>
              <w:jc w:val="right"/>
              <w:rPr>
                <w:rFonts w:ascii="Arial" w:hAnsi="Arial" w:cs="Arial"/>
                <w:b/>
                <w:color w:val="000000"/>
                <w:sz w:val="18"/>
                <w:lang w:eastAsia="es-AR"/>
              </w:rPr>
            </w:pPr>
            <w:r w:rsidRPr="002E1AF6">
              <w:rPr>
                <w:rFonts w:ascii="Arial" w:hAnsi="Arial" w:cs="Arial"/>
                <w:b/>
                <w:sz w:val="18"/>
              </w:rPr>
              <w:t>3</w:t>
            </w:r>
            <w:r w:rsidR="00FA0619" w:rsidRPr="002E1AF6">
              <w:rPr>
                <w:rFonts w:ascii="Arial" w:hAnsi="Arial" w:cs="Arial"/>
                <w:b/>
                <w:sz w:val="18"/>
              </w:rPr>
              <w:t>1</w:t>
            </w:r>
            <w:r w:rsidRPr="002E1AF6">
              <w:rPr>
                <w:rFonts w:ascii="Arial" w:hAnsi="Arial" w:cs="Arial"/>
                <w:b/>
                <w:sz w:val="18"/>
              </w:rPr>
              <w:t>/0</w:t>
            </w:r>
            <w:r w:rsidR="00FA0619" w:rsidRPr="002E1AF6">
              <w:rPr>
                <w:rFonts w:ascii="Arial" w:hAnsi="Arial" w:cs="Arial"/>
                <w:b/>
                <w:sz w:val="18"/>
              </w:rPr>
              <w:t>3</w:t>
            </w:r>
            <w:r w:rsidRPr="002E1AF6">
              <w:rPr>
                <w:rFonts w:ascii="Arial" w:hAnsi="Arial" w:cs="Arial"/>
                <w:b/>
                <w:sz w:val="18"/>
              </w:rPr>
              <w:t>/201</w:t>
            </w:r>
            <w:r w:rsidR="00FA0619" w:rsidRPr="002E1AF6">
              <w:rPr>
                <w:rFonts w:ascii="Arial" w:hAnsi="Arial" w:cs="Arial"/>
                <w:b/>
                <w:sz w:val="18"/>
              </w:rPr>
              <w:t>9</w:t>
            </w:r>
          </w:p>
        </w:tc>
      </w:tr>
      <w:tr w:rsidR="00151C24" w:rsidRPr="00701F32" w14:paraId="097ABBEC" w14:textId="77777777" w:rsidTr="00066653">
        <w:trPr>
          <w:trHeight w:val="261"/>
        </w:trPr>
        <w:tc>
          <w:tcPr>
            <w:tcW w:w="6307" w:type="dxa"/>
            <w:shd w:val="clear" w:color="auto" w:fill="auto"/>
            <w:noWrap/>
            <w:vAlign w:val="bottom"/>
            <w:hideMark/>
          </w:tcPr>
          <w:p w14:paraId="2070345E"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Alquileres pagados</w:t>
            </w:r>
          </w:p>
        </w:tc>
        <w:tc>
          <w:tcPr>
            <w:tcW w:w="1290" w:type="dxa"/>
            <w:shd w:val="clear" w:color="auto" w:fill="auto"/>
            <w:noWrap/>
            <w:vAlign w:val="bottom"/>
          </w:tcPr>
          <w:p w14:paraId="0B95C8C0" w14:textId="27AF8BD3"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5.241</w:t>
            </w:r>
          </w:p>
        </w:tc>
        <w:tc>
          <w:tcPr>
            <w:tcW w:w="1192" w:type="dxa"/>
            <w:vAlign w:val="bottom"/>
          </w:tcPr>
          <w:p w14:paraId="0C4335FC" w14:textId="55B2A0B5"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2.892</w:t>
            </w:r>
          </w:p>
        </w:tc>
      </w:tr>
      <w:tr w:rsidR="00151C24" w:rsidRPr="00701F32" w14:paraId="29FAB4C9"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80920"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Honorarios y retribuciones por servicios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2F9E7" w14:textId="1FACC5F9"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560.782</w:t>
            </w:r>
          </w:p>
        </w:tc>
        <w:tc>
          <w:tcPr>
            <w:tcW w:w="1192" w:type="dxa"/>
            <w:tcBorders>
              <w:top w:val="single" w:sz="4" w:space="0" w:color="auto"/>
              <w:left w:val="single" w:sz="4" w:space="0" w:color="auto"/>
              <w:bottom w:val="single" w:sz="4" w:space="0" w:color="auto"/>
              <w:right w:val="single" w:sz="4" w:space="0" w:color="auto"/>
            </w:tcBorders>
            <w:vAlign w:val="bottom"/>
          </w:tcPr>
          <w:p w14:paraId="05C9CE44" w14:textId="18A33607"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605.675</w:t>
            </w:r>
          </w:p>
        </w:tc>
      </w:tr>
      <w:tr w:rsidR="00151C24" w:rsidRPr="00701F32" w14:paraId="16723DB0"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651B3"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Impuestos y tasas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8E8DD" w14:textId="7C270D99"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296.608</w:t>
            </w:r>
          </w:p>
        </w:tc>
        <w:tc>
          <w:tcPr>
            <w:tcW w:w="1192" w:type="dxa"/>
            <w:tcBorders>
              <w:top w:val="single" w:sz="4" w:space="0" w:color="auto"/>
              <w:left w:val="single" w:sz="4" w:space="0" w:color="auto"/>
              <w:bottom w:val="single" w:sz="4" w:space="0" w:color="auto"/>
              <w:right w:val="single" w:sz="4" w:space="0" w:color="auto"/>
            </w:tcBorders>
            <w:vAlign w:val="bottom"/>
          </w:tcPr>
          <w:p w14:paraId="37FA3FE6" w14:textId="547A73BD"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315.805</w:t>
            </w:r>
          </w:p>
        </w:tc>
      </w:tr>
      <w:tr w:rsidR="00151C24" w:rsidRPr="00701F32" w14:paraId="53AE09E9"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54854"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Mantenimiento y reparaciones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48B9E" w14:textId="298D6425"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225.753</w:t>
            </w:r>
          </w:p>
        </w:tc>
        <w:tc>
          <w:tcPr>
            <w:tcW w:w="1192" w:type="dxa"/>
            <w:tcBorders>
              <w:top w:val="single" w:sz="4" w:space="0" w:color="auto"/>
              <w:left w:val="single" w:sz="4" w:space="0" w:color="auto"/>
              <w:bottom w:val="single" w:sz="4" w:space="0" w:color="auto"/>
              <w:right w:val="single" w:sz="4" w:space="0" w:color="auto"/>
            </w:tcBorders>
            <w:vAlign w:val="bottom"/>
          </w:tcPr>
          <w:p w14:paraId="038D02B8" w14:textId="65954A43"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194.436</w:t>
            </w:r>
          </w:p>
        </w:tc>
      </w:tr>
      <w:tr w:rsidR="00151C24" w:rsidRPr="00701F32" w14:paraId="272F3EE0"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F0AE8" w14:textId="4860FDCE"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Energía eléctrica, gas y teléfono</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24942" w14:textId="27D6A923"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81.471</w:t>
            </w:r>
          </w:p>
        </w:tc>
        <w:tc>
          <w:tcPr>
            <w:tcW w:w="1192" w:type="dxa"/>
            <w:tcBorders>
              <w:top w:val="single" w:sz="4" w:space="0" w:color="auto"/>
              <w:left w:val="single" w:sz="4" w:space="0" w:color="auto"/>
              <w:bottom w:val="single" w:sz="4" w:space="0" w:color="auto"/>
              <w:right w:val="single" w:sz="4" w:space="0" w:color="auto"/>
            </w:tcBorders>
            <w:vAlign w:val="bottom"/>
          </w:tcPr>
          <w:p w14:paraId="2A916728" w14:textId="147941F5"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86.071</w:t>
            </w:r>
          </w:p>
        </w:tc>
      </w:tr>
      <w:tr w:rsidR="00151C24" w:rsidRPr="00701F32" w14:paraId="17B30E1F"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BECF1"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Gastos de publicidad, promoción e investigación</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DC406" w14:textId="45F593D0"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74.251</w:t>
            </w:r>
          </w:p>
        </w:tc>
        <w:tc>
          <w:tcPr>
            <w:tcW w:w="1192" w:type="dxa"/>
            <w:tcBorders>
              <w:top w:val="single" w:sz="4" w:space="0" w:color="auto"/>
              <w:left w:val="single" w:sz="4" w:space="0" w:color="auto"/>
              <w:bottom w:val="single" w:sz="4" w:space="0" w:color="auto"/>
              <w:right w:val="single" w:sz="4" w:space="0" w:color="auto"/>
            </w:tcBorders>
            <w:vAlign w:val="bottom"/>
          </w:tcPr>
          <w:p w14:paraId="3C25F84A" w14:textId="47E2B12F"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111.625</w:t>
            </w:r>
          </w:p>
        </w:tc>
      </w:tr>
      <w:tr w:rsidR="00151C24" w:rsidRPr="00701F32" w14:paraId="2ADD6F4D"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16991"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Gastos de representación y movilidad</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ABC341" w14:textId="200BCC3C"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16.236</w:t>
            </w:r>
          </w:p>
        </w:tc>
        <w:tc>
          <w:tcPr>
            <w:tcW w:w="1192" w:type="dxa"/>
            <w:tcBorders>
              <w:top w:val="single" w:sz="4" w:space="0" w:color="auto"/>
              <w:left w:val="single" w:sz="4" w:space="0" w:color="auto"/>
              <w:bottom w:val="single" w:sz="4" w:space="0" w:color="auto"/>
              <w:right w:val="single" w:sz="4" w:space="0" w:color="auto"/>
            </w:tcBorders>
            <w:vAlign w:val="bottom"/>
          </w:tcPr>
          <w:p w14:paraId="756E7DCF" w14:textId="1429AD7B"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21.696</w:t>
            </w:r>
          </w:p>
        </w:tc>
      </w:tr>
      <w:tr w:rsidR="00151C24" w:rsidRPr="00701F32" w14:paraId="31BD4A6B"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3B59E"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Honorarios al Directorio</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5B1D4F" w14:textId="2EE5B697"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10.786</w:t>
            </w:r>
          </w:p>
        </w:tc>
        <w:tc>
          <w:tcPr>
            <w:tcW w:w="1192" w:type="dxa"/>
            <w:tcBorders>
              <w:top w:val="single" w:sz="4" w:space="0" w:color="auto"/>
              <w:left w:val="single" w:sz="4" w:space="0" w:color="auto"/>
              <w:bottom w:val="single" w:sz="4" w:space="0" w:color="auto"/>
              <w:right w:val="single" w:sz="4" w:space="0" w:color="auto"/>
            </w:tcBorders>
            <w:vAlign w:val="bottom"/>
          </w:tcPr>
          <w:p w14:paraId="138007F0" w14:textId="132A784F"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52.512</w:t>
            </w:r>
          </w:p>
        </w:tc>
      </w:tr>
      <w:tr w:rsidR="00151C24" w:rsidRPr="00701F32" w14:paraId="02AD8DB4" w14:textId="77777777" w:rsidTr="00066653">
        <w:trPr>
          <w:trHeight w:val="276"/>
        </w:trPr>
        <w:tc>
          <w:tcPr>
            <w:tcW w:w="6307" w:type="dxa"/>
            <w:shd w:val="clear" w:color="auto" w:fill="auto"/>
            <w:noWrap/>
            <w:vAlign w:val="center"/>
          </w:tcPr>
          <w:p w14:paraId="45DCC89B" w14:textId="0A90AF0A" w:rsidR="00151C24" w:rsidRPr="002E1AF6" w:rsidRDefault="00AE73E8" w:rsidP="0084502B">
            <w:pPr>
              <w:rPr>
                <w:rFonts w:ascii="Arial" w:hAnsi="Arial" w:cs="Arial"/>
                <w:color w:val="000000"/>
                <w:sz w:val="18"/>
                <w:lang w:eastAsia="es-AR"/>
              </w:rPr>
            </w:pPr>
            <w:r w:rsidRPr="002E1AF6">
              <w:rPr>
                <w:rFonts w:ascii="Arial" w:hAnsi="Arial" w:cs="Arial"/>
                <w:color w:val="000000"/>
                <w:sz w:val="18"/>
                <w:lang w:eastAsia="es-AR"/>
              </w:rPr>
              <w:t>Útiles</w:t>
            </w:r>
            <w:r w:rsidR="00151C24" w:rsidRPr="002E1AF6">
              <w:rPr>
                <w:rFonts w:ascii="Arial" w:hAnsi="Arial" w:cs="Arial"/>
                <w:color w:val="000000"/>
                <w:sz w:val="18"/>
                <w:lang w:eastAsia="es-AR"/>
              </w:rPr>
              <w:t xml:space="preserve"> de oficina</w:t>
            </w:r>
          </w:p>
        </w:tc>
        <w:tc>
          <w:tcPr>
            <w:tcW w:w="1290" w:type="dxa"/>
            <w:shd w:val="clear" w:color="auto" w:fill="auto"/>
            <w:noWrap/>
            <w:vAlign w:val="bottom"/>
          </w:tcPr>
          <w:p w14:paraId="4208C510" w14:textId="09473E75"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96.680</w:t>
            </w:r>
          </w:p>
        </w:tc>
        <w:tc>
          <w:tcPr>
            <w:tcW w:w="1192" w:type="dxa"/>
            <w:vAlign w:val="bottom"/>
          </w:tcPr>
          <w:p w14:paraId="657CE016" w14:textId="0F3FA6C4"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52.149</w:t>
            </w:r>
          </w:p>
        </w:tc>
      </w:tr>
      <w:tr w:rsidR="00151C24" w:rsidRPr="00701F32" w14:paraId="796212A1" w14:textId="77777777" w:rsidTr="00066653">
        <w:trPr>
          <w:trHeight w:val="261"/>
        </w:trPr>
        <w:tc>
          <w:tcPr>
            <w:tcW w:w="6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21E078"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Diversos</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D50A2" w14:textId="5421B5B9" w:rsidR="00151C24" w:rsidRPr="002E1AF6" w:rsidRDefault="00156B1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83.854</w:t>
            </w:r>
          </w:p>
        </w:tc>
        <w:tc>
          <w:tcPr>
            <w:tcW w:w="1192" w:type="dxa"/>
            <w:tcBorders>
              <w:top w:val="single" w:sz="4" w:space="0" w:color="auto"/>
              <w:left w:val="single" w:sz="4" w:space="0" w:color="auto"/>
              <w:bottom w:val="single" w:sz="4" w:space="0" w:color="auto"/>
              <w:right w:val="single" w:sz="4" w:space="0" w:color="auto"/>
            </w:tcBorders>
            <w:vAlign w:val="bottom"/>
          </w:tcPr>
          <w:p w14:paraId="18FB3D0E" w14:textId="64CC8B81" w:rsidR="00151C24" w:rsidRPr="002E1AF6" w:rsidRDefault="00D76566"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95.696</w:t>
            </w:r>
          </w:p>
        </w:tc>
      </w:tr>
      <w:tr w:rsidR="00151C24" w:rsidRPr="00701F32" w14:paraId="056DF837" w14:textId="77777777" w:rsidTr="00066653">
        <w:trPr>
          <w:trHeight w:val="276"/>
        </w:trPr>
        <w:tc>
          <w:tcPr>
            <w:tcW w:w="6307" w:type="dxa"/>
            <w:shd w:val="clear" w:color="auto" w:fill="auto"/>
            <w:noWrap/>
            <w:vAlign w:val="bottom"/>
            <w:hideMark/>
          </w:tcPr>
          <w:p w14:paraId="4271B4CE"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t>Total</w:t>
            </w:r>
          </w:p>
        </w:tc>
        <w:tc>
          <w:tcPr>
            <w:tcW w:w="1290" w:type="dxa"/>
            <w:shd w:val="clear" w:color="auto" w:fill="auto"/>
            <w:noWrap/>
            <w:vAlign w:val="bottom"/>
          </w:tcPr>
          <w:p w14:paraId="1F3228AA" w14:textId="2F8FC9D7" w:rsidR="00151C24" w:rsidRPr="002E1AF6" w:rsidRDefault="00156B14"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1.451.662</w:t>
            </w:r>
          </w:p>
        </w:tc>
        <w:tc>
          <w:tcPr>
            <w:tcW w:w="1192" w:type="dxa"/>
            <w:vAlign w:val="bottom"/>
          </w:tcPr>
          <w:p w14:paraId="624ED5D3" w14:textId="1BEFC673" w:rsidR="00151C24" w:rsidRPr="002E1AF6" w:rsidRDefault="00D76566"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1.538.557</w:t>
            </w:r>
          </w:p>
        </w:tc>
      </w:tr>
    </w:tbl>
    <w:p w14:paraId="66D8136B" w14:textId="77777777" w:rsidR="00151C24" w:rsidRPr="00701F32" w:rsidRDefault="00151C24" w:rsidP="00151C24">
      <w:pPr>
        <w:rPr>
          <w:rFonts w:ascii="Arial" w:hAnsi="Arial" w:cs="Arial"/>
          <w:bCs/>
          <w:color w:val="000000"/>
          <w:sz w:val="20"/>
          <w:lang w:eastAsia="es-AR"/>
        </w:rPr>
      </w:pPr>
    </w:p>
    <w:p w14:paraId="0A6DEDFB" w14:textId="734D40C4" w:rsidR="00151C24" w:rsidRPr="00701F32" w:rsidRDefault="00151C24" w:rsidP="00151C24">
      <w:pPr>
        <w:rPr>
          <w:rFonts w:ascii="Arial" w:hAnsi="Arial" w:cs="Arial"/>
          <w:bCs/>
          <w:color w:val="000000"/>
          <w:sz w:val="20"/>
          <w:lang w:eastAsia="es-AR"/>
        </w:rPr>
      </w:pPr>
      <w:r>
        <w:rPr>
          <w:rFonts w:ascii="Arial" w:hAnsi="Arial" w:cs="Arial"/>
          <w:bCs/>
          <w:color w:val="000000"/>
          <w:sz w:val="20"/>
          <w:lang w:eastAsia="es-AR"/>
        </w:rPr>
        <w:t>15.9</w:t>
      </w:r>
      <w:r w:rsidRPr="00701F32">
        <w:rPr>
          <w:rFonts w:ascii="Arial" w:hAnsi="Arial" w:cs="Arial"/>
          <w:bCs/>
          <w:color w:val="000000"/>
          <w:sz w:val="20"/>
          <w:lang w:eastAsia="es-AR"/>
        </w:rPr>
        <w:t xml:space="preserve"> Otros gastos operativos.</w:t>
      </w:r>
    </w:p>
    <w:p w14:paraId="364F5E32" w14:textId="77777777" w:rsidR="00151C24" w:rsidRPr="00701F32" w:rsidRDefault="00151C24" w:rsidP="00151C24">
      <w:pPr>
        <w:rPr>
          <w:rFonts w:ascii="Arial" w:hAnsi="Arial" w:cs="Arial"/>
          <w:bCs/>
          <w:color w:val="000000"/>
          <w:sz w:val="20"/>
          <w:lang w:eastAsia="es-AR"/>
        </w:rPr>
      </w:pPr>
    </w:p>
    <w:tbl>
      <w:tblPr>
        <w:tblW w:w="882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5"/>
        <w:gridCol w:w="1378"/>
        <w:gridCol w:w="1314"/>
      </w:tblGrid>
      <w:tr w:rsidR="00151C24" w:rsidRPr="00DA4AEF" w14:paraId="562BD937" w14:textId="77777777" w:rsidTr="00066653">
        <w:trPr>
          <w:trHeight w:val="256"/>
          <w:tblHeader/>
        </w:trPr>
        <w:tc>
          <w:tcPr>
            <w:tcW w:w="6135" w:type="dxa"/>
            <w:shd w:val="clear" w:color="auto" w:fill="auto"/>
            <w:noWrap/>
            <w:vAlign w:val="bottom"/>
            <w:hideMark/>
          </w:tcPr>
          <w:p w14:paraId="1DDD7DDB" w14:textId="77777777" w:rsidR="00151C24" w:rsidRPr="002E1AF6" w:rsidRDefault="00151C24" w:rsidP="0084502B">
            <w:pPr>
              <w:rPr>
                <w:rFonts w:ascii="Arial" w:hAnsi="Arial" w:cs="Arial"/>
                <w:b/>
                <w:bCs/>
                <w:color w:val="000000"/>
                <w:sz w:val="18"/>
                <w:lang w:eastAsia="es-AR"/>
              </w:rPr>
            </w:pPr>
          </w:p>
        </w:tc>
        <w:tc>
          <w:tcPr>
            <w:tcW w:w="1378" w:type="dxa"/>
            <w:shd w:val="clear" w:color="auto" w:fill="auto"/>
            <w:noWrap/>
            <w:hideMark/>
          </w:tcPr>
          <w:p w14:paraId="5531FE4B" w14:textId="7157A2F1" w:rsidR="00151C24" w:rsidRPr="002E1AF6" w:rsidRDefault="003C2633" w:rsidP="0084502B">
            <w:pPr>
              <w:jc w:val="center"/>
              <w:rPr>
                <w:rFonts w:ascii="Arial" w:hAnsi="Arial" w:cs="Arial"/>
                <w:b/>
                <w:color w:val="000000"/>
                <w:sz w:val="18"/>
                <w:lang w:eastAsia="es-AR"/>
              </w:rPr>
            </w:pPr>
            <w:r w:rsidRPr="002E1AF6">
              <w:rPr>
                <w:rFonts w:ascii="Arial" w:hAnsi="Arial" w:cs="Arial"/>
                <w:b/>
                <w:sz w:val="18"/>
              </w:rPr>
              <w:t>3</w:t>
            </w:r>
            <w:r w:rsidR="00310C09" w:rsidRPr="002E1AF6">
              <w:rPr>
                <w:rFonts w:ascii="Arial" w:hAnsi="Arial" w:cs="Arial"/>
                <w:b/>
                <w:sz w:val="18"/>
              </w:rPr>
              <w:t>1</w:t>
            </w:r>
            <w:r w:rsidRPr="002E1AF6">
              <w:rPr>
                <w:rFonts w:ascii="Arial" w:hAnsi="Arial" w:cs="Arial"/>
                <w:b/>
                <w:sz w:val="18"/>
              </w:rPr>
              <w:t>/0</w:t>
            </w:r>
            <w:r w:rsidR="00310C09" w:rsidRPr="002E1AF6">
              <w:rPr>
                <w:rFonts w:ascii="Arial" w:hAnsi="Arial" w:cs="Arial"/>
                <w:b/>
                <w:sz w:val="18"/>
              </w:rPr>
              <w:t>3</w:t>
            </w:r>
            <w:r w:rsidRPr="002E1AF6">
              <w:rPr>
                <w:rFonts w:ascii="Arial" w:hAnsi="Arial" w:cs="Arial"/>
                <w:b/>
                <w:sz w:val="18"/>
              </w:rPr>
              <w:t>/20</w:t>
            </w:r>
            <w:r w:rsidR="00310C09" w:rsidRPr="002E1AF6">
              <w:rPr>
                <w:rFonts w:ascii="Arial" w:hAnsi="Arial" w:cs="Arial"/>
                <w:b/>
                <w:sz w:val="18"/>
              </w:rPr>
              <w:t>20</w:t>
            </w:r>
          </w:p>
        </w:tc>
        <w:tc>
          <w:tcPr>
            <w:tcW w:w="1314" w:type="dxa"/>
            <w:vAlign w:val="center"/>
          </w:tcPr>
          <w:p w14:paraId="79F564E0" w14:textId="5D85E8F6" w:rsidR="00151C24" w:rsidRPr="002E1AF6" w:rsidRDefault="003C2633" w:rsidP="0084502B">
            <w:pPr>
              <w:jc w:val="center"/>
              <w:rPr>
                <w:rFonts w:ascii="Arial" w:hAnsi="Arial" w:cs="Arial"/>
                <w:b/>
                <w:color w:val="000000"/>
                <w:sz w:val="18"/>
                <w:lang w:eastAsia="es-AR"/>
              </w:rPr>
            </w:pPr>
            <w:r w:rsidRPr="002E1AF6">
              <w:rPr>
                <w:rFonts w:ascii="Arial" w:hAnsi="Arial" w:cs="Arial"/>
                <w:b/>
                <w:sz w:val="18"/>
              </w:rPr>
              <w:t>3</w:t>
            </w:r>
            <w:r w:rsidR="00310C09" w:rsidRPr="002E1AF6">
              <w:rPr>
                <w:rFonts w:ascii="Arial" w:hAnsi="Arial" w:cs="Arial"/>
                <w:b/>
                <w:sz w:val="18"/>
              </w:rPr>
              <w:t>1</w:t>
            </w:r>
            <w:r w:rsidRPr="002E1AF6">
              <w:rPr>
                <w:rFonts w:ascii="Arial" w:hAnsi="Arial" w:cs="Arial"/>
                <w:b/>
                <w:sz w:val="18"/>
              </w:rPr>
              <w:t>/0</w:t>
            </w:r>
            <w:r w:rsidR="00310C09" w:rsidRPr="002E1AF6">
              <w:rPr>
                <w:rFonts w:ascii="Arial" w:hAnsi="Arial" w:cs="Arial"/>
                <w:b/>
                <w:sz w:val="18"/>
              </w:rPr>
              <w:t>3</w:t>
            </w:r>
            <w:r w:rsidRPr="002E1AF6">
              <w:rPr>
                <w:rFonts w:ascii="Arial" w:hAnsi="Arial" w:cs="Arial"/>
                <w:b/>
                <w:sz w:val="18"/>
              </w:rPr>
              <w:t>/20</w:t>
            </w:r>
            <w:r w:rsidR="00310C09" w:rsidRPr="002E1AF6">
              <w:rPr>
                <w:rFonts w:ascii="Arial" w:hAnsi="Arial" w:cs="Arial"/>
                <w:b/>
                <w:sz w:val="18"/>
              </w:rPr>
              <w:t>19</w:t>
            </w:r>
          </w:p>
        </w:tc>
      </w:tr>
      <w:tr w:rsidR="00151C24" w:rsidRPr="00DA4AEF" w14:paraId="40FCD8CA" w14:textId="77777777" w:rsidTr="00066653">
        <w:trPr>
          <w:trHeight w:val="256"/>
        </w:trPr>
        <w:tc>
          <w:tcPr>
            <w:tcW w:w="6135" w:type="dxa"/>
            <w:shd w:val="clear" w:color="auto" w:fill="auto"/>
            <w:noWrap/>
            <w:vAlign w:val="bottom"/>
          </w:tcPr>
          <w:p w14:paraId="6B38E5EC" w14:textId="77777777" w:rsidR="00151C24" w:rsidRPr="002E1AF6" w:rsidRDefault="00151C24" w:rsidP="0084502B">
            <w:pPr>
              <w:rPr>
                <w:rFonts w:ascii="Arial" w:hAnsi="Arial" w:cs="Arial"/>
                <w:b/>
                <w:bCs/>
                <w:color w:val="000000"/>
                <w:sz w:val="18"/>
                <w:lang w:eastAsia="es-AR"/>
              </w:rPr>
            </w:pPr>
            <w:r w:rsidRPr="002E1AF6">
              <w:rPr>
                <w:rFonts w:ascii="Arial" w:hAnsi="Arial" w:cs="Arial"/>
                <w:color w:val="000000"/>
                <w:sz w:val="18"/>
                <w:lang w:eastAsia="es-AR"/>
              </w:rPr>
              <w:t>Ingresos brutos</w:t>
            </w:r>
          </w:p>
        </w:tc>
        <w:tc>
          <w:tcPr>
            <w:tcW w:w="1378" w:type="dxa"/>
            <w:shd w:val="clear" w:color="auto" w:fill="auto"/>
            <w:noWrap/>
            <w:vAlign w:val="bottom"/>
          </w:tcPr>
          <w:p w14:paraId="00D991DD" w14:textId="23FDCA0F" w:rsidR="00151C24" w:rsidRPr="002E1AF6" w:rsidRDefault="00310C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737.541</w:t>
            </w:r>
          </w:p>
        </w:tc>
        <w:tc>
          <w:tcPr>
            <w:tcW w:w="1314" w:type="dxa"/>
            <w:vAlign w:val="bottom"/>
          </w:tcPr>
          <w:p w14:paraId="35BD79F7" w14:textId="40C07FCD" w:rsidR="00151C24" w:rsidRPr="002E1AF6" w:rsidRDefault="006869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887.006</w:t>
            </w:r>
          </w:p>
        </w:tc>
      </w:tr>
      <w:tr w:rsidR="00151C24" w:rsidRPr="00DA4AEF" w14:paraId="5176B88B" w14:textId="77777777" w:rsidTr="00066653">
        <w:trPr>
          <w:trHeight w:val="256"/>
        </w:trPr>
        <w:tc>
          <w:tcPr>
            <w:tcW w:w="6135" w:type="dxa"/>
            <w:shd w:val="clear" w:color="auto" w:fill="auto"/>
            <w:noWrap/>
            <w:vAlign w:val="center"/>
          </w:tcPr>
          <w:p w14:paraId="3F159D71"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Ajuste inicial a valor razonable de financiaciones a tasas inferiores a las de mercado</w:t>
            </w:r>
          </w:p>
        </w:tc>
        <w:tc>
          <w:tcPr>
            <w:tcW w:w="1378" w:type="dxa"/>
            <w:shd w:val="clear" w:color="auto" w:fill="auto"/>
            <w:noWrap/>
            <w:vAlign w:val="bottom"/>
          </w:tcPr>
          <w:p w14:paraId="3B45CCA5" w14:textId="4567B3E7" w:rsidR="00151C24" w:rsidRPr="002E1AF6" w:rsidRDefault="00310C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42.207</w:t>
            </w:r>
          </w:p>
        </w:tc>
        <w:tc>
          <w:tcPr>
            <w:tcW w:w="1314" w:type="dxa"/>
            <w:vAlign w:val="bottom"/>
          </w:tcPr>
          <w:p w14:paraId="7FC8B28D" w14:textId="27B546AB" w:rsidR="00151C24" w:rsidRPr="002E1AF6" w:rsidRDefault="006869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66.106</w:t>
            </w:r>
          </w:p>
        </w:tc>
      </w:tr>
      <w:tr w:rsidR="00151C24" w:rsidRPr="00DA4AEF" w14:paraId="47418CE7" w14:textId="77777777" w:rsidTr="00066653">
        <w:trPr>
          <w:trHeight w:val="256"/>
        </w:trPr>
        <w:tc>
          <w:tcPr>
            <w:tcW w:w="6135" w:type="dxa"/>
            <w:shd w:val="clear" w:color="auto" w:fill="auto"/>
            <w:noWrap/>
            <w:vAlign w:val="bottom"/>
            <w:hideMark/>
          </w:tcPr>
          <w:p w14:paraId="529286EF"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Donaciones</w:t>
            </w:r>
          </w:p>
        </w:tc>
        <w:tc>
          <w:tcPr>
            <w:tcW w:w="1378" w:type="dxa"/>
            <w:shd w:val="clear" w:color="auto" w:fill="auto"/>
            <w:noWrap/>
            <w:vAlign w:val="bottom"/>
          </w:tcPr>
          <w:p w14:paraId="5A4F61E1" w14:textId="1550E9B8" w:rsidR="00151C24" w:rsidRPr="002E1AF6" w:rsidRDefault="00310C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3.802</w:t>
            </w:r>
          </w:p>
        </w:tc>
        <w:tc>
          <w:tcPr>
            <w:tcW w:w="1314" w:type="dxa"/>
            <w:vAlign w:val="bottom"/>
          </w:tcPr>
          <w:p w14:paraId="326AD386" w14:textId="1557629A" w:rsidR="00151C24" w:rsidRPr="002E1AF6" w:rsidRDefault="006869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4.791</w:t>
            </w:r>
          </w:p>
        </w:tc>
      </w:tr>
      <w:tr w:rsidR="00151C24" w:rsidRPr="00DA4AEF" w14:paraId="20E723D9" w14:textId="77777777" w:rsidTr="00066653">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74FDD"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Fondo de garantía de los depósitos</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F91DF" w14:textId="7DA648A1" w:rsidR="00151C24" w:rsidRPr="002E1AF6" w:rsidRDefault="00310C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45.951</w:t>
            </w:r>
          </w:p>
        </w:tc>
        <w:tc>
          <w:tcPr>
            <w:tcW w:w="1314" w:type="dxa"/>
            <w:tcBorders>
              <w:top w:val="single" w:sz="4" w:space="0" w:color="auto"/>
              <w:left w:val="single" w:sz="4" w:space="0" w:color="auto"/>
              <w:bottom w:val="single" w:sz="4" w:space="0" w:color="auto"/>
              <w:right w:val="single" w:sz="4" w:space="0" w:color="auto"/>
            </w:tcBorders>
            <w:vAlign w:val="bottom"/>
          </w:tcPr>
          <w:p w14:paraId="749C07E0" w14:textId="37EB43F7" w:rsidR="00151C24" w:rsidRPr="002E1AF6" w:rsidRDefault="006869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67.599</w:t>
            </w:r>
          </w:p>
        </w:tc>
      </w:tr>
      <w:tr w:rsidR="00151C24" w:rsidRPr="00DA4AEF" w14:paraId="38F3CA52" w14:textId="77777777" w:rsidTr="00066653">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FEE4"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Obligaciones diversas</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D6079" w14:textId="5D0D2DEB" w:rsidR="00151C24" w:rsidRPr="002E1AF6" w:rsidRDefault="00310C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1.207</w:t>
            </w:r>
          </w:p>
        </w:tc>
        <w:tc>
          <w:tcPr>
            <w:tcW w:w="1314" w:type="dxa"/>
            <w:tcBorders>
              <w:top w:val="single" w:sz="4" w:space="0" w:color="auto"/>
              <w:left w:val="single" w:sz="4" w:space="0" w:color="auto"/>
              <w:bottom w:val="single" w:sz="4" w:space="0" w:color="auto"/>
              <w:right w:val="single" w:sz="4" w:space="0" w:color="auto"/>
            </w:tcBorders>
            <w:vAlign w:val="bottom"/>
          </w:tcPr>
          <w:p w14:paraId="46EACE29" w14:textId="074D0E19" w:rsidR="00151C24" w:rsidRPr="002E1AF6" w:rsidRDefault="00BD4A34"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w:t>
            </w:r>
          </w:p>
        </w:tc>
      </w:tr>
      <w:tr w:rsidR="00151C24" w:rsidRPr="00DA4AEF" w14:paraId="362D6FA2" w14:textId="77777777" w:rsidTr="00066653">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573F1" w14:textId="77777777" w:rsidR="00151C24" w:rsidRPr="002E1AF6" w:rsidRDefault="00151C24" w:rsidP="0084502B">
            <w:pPr>
              <w:rPr>
                <w:rFonts w:ascii="Arial" w:hAnsi="Arial" w:cs="Arial"/>
                <w:color w:val="000000"/>
                <w:sz w:val="18"/>
                <w:lang w:eastAsia="es-AR"/>
              </w:rPr>
            </w:pPr>
            <w:r w:rsidRPr="002E1AF6">
              <w:rPr>
                <w:rFonts w:ascii="Arial" w:hAnsi="Arial" w:cs="Arial"/>
                <w:color w:val="000000"/>
                <w:sz w:val="18"/>
                <w:lang w:eastAsia="es-AR"/>
              </w:rPr>
              <w:t>Otras provisiones</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5DE1AF" w14:textId="38ED3299" w:rsidR="00151C24" w:rsidRPr="002E1AF6" w:rsidRDefault="00310C09"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21.682</w:t>
            </w:r>
          </w:p>
        </w:tc>
        <w:tc>
          <w:tcPr>
            <w:tcW w:w="1314" w:type="dxa"/>
            <w:tcBorders>
              <w:top w:val="single" w:sz="4" w:space="0" w:color="auto"/>
              <w:left w:val="single" w:sz="4" w:space="0" w:color="auto"/>
              <w:bottom w:val="single" w:sz="4" w:space="0" w:color="auto"/>
              <w:right w:val="single" w:sz="4" w:space="0" w:color="auto"/>
            </w:tcBorders>
            <w:vAlign w:val="bottom"/>
          </w:tcPr>
          <w:p w14:paraId="4DA7B73D" w14:textId="7A226D61" w:rsidR="00151C24" w:rsidRPr="002E1AF6" w:rsidRDefault="0068697A" w:rsidP="0084502B">
            <w:pPr>
              <w:jc w:val="right"/>
              <w:rPr>
                <w:rFonts w:ascii="Arial" w:hAnsi="Arial" w:cs="Arial"/>
                <w:color w:val="000000"/>
                <w:sz w:val="18"/>
                <w:lang w:val="es-ES_tradnl" w:eastAsia="es-AR"/>
              </w:rPr>
            </w:pPr>
            <w:r w:rsidRPr="002E1AF6">
              <w:rPr>
                <w:rFonts w:ascii="Arial" w:hAnsi="Arial" w:cs="Arial"/>
                <w:color w:val="000000"/>
                <w:sz w:val="18"/>
                <w:lang w:val="es-ES_tradnl" w:eastAsia="es-AR"/>
              </w:rPr>
              <w:t>3.529</w:t>
            </w:r>
          </w:p>
        </w:tc>
      </w:tr>
      <w:tr w:rsidR="00BD4A34" w:rsidRPr="00DA4AEF" w14:paraId="0A99EE94" w14:textId="77777777" w:rsidTr="00777DF8">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076D7" w14:textId="77777777" w:rsidR="00BD4A34" w:rsidRPr="002E1AF6" w:rsidRDefault="00BD4A34" w:rsidP="00BD4A34">
            <w:pPr>
              <w:rPr>
                <w:rFonts w:ascii="Arial" w:hAnsi="Arial" w:cs="Arial"/>
                <w:color w:val="000000"/>
                <w:sz w:val="18"/>
                <w:lang w:eastAsia="es-AR"/>
              </w:rPr>
            </w:pPr>
            <w:r w:rsidRPr="002E1AF6">
              <w:rPr>
                <w:rFonts w:ascii="Arial" w:hAnsi="Arial" w:cs="Arial"/>
                <w:color w:val="000000"/>
                <w:sz w:val="18"/>
                <w:lang w:eastAsia="es-AR"/>
              </w:rPr>
              <w:t>Promociones por tarjetas de crédito</w:t>
            </w:r>
          </w:p>
        </w:tc>
        <w:tc>
          <w:tcPr>
            <w:tcW w:w="1378" w:type="dxa"/>
            <w:tcBorders>
              <w:top w:val="single" w:sz="4" w:space="0" w:color="auto"/>
              <w:left w:val="single" w:sz="4" w:space="0" w:color="auto"/>
              <w:bottom w:val="single" w:sz="4" w:space="0" w:color="auto"/>
              <w:right w:val="single" w:sz="4" w:space="0" w:color="auto"/>
            </w:tcBorders>
            <w:shd w:val="clear" w:color="auto" w:fill="auto"/>
            <w:noWrap/>
          </w:tcPr>
          <w:p w14:paraId="607BD98A" w14:textId="6FA268D7" w:rsidR="00BD4A34" w:rsidRPr="002E1AF6" w:rsidRDefault="00310C09" w:rsidP="00BD4A34">
            <w:pPr>
              <w:jc w:val="right"/>
              <w:rPr>
                <w:rFonts w:ascii="Arial" w:hAnsi="Arial" w:cs="Arial"/>
                <w:color w:val="000000"/>
                <w:sz w:val="18"/>
                <w:lang w:eastAsia="es-AR"/>
              </w:rPr>
            </w:pPr>
            <w:r w:rsidRPr="002E1AF6">
              <w:rPr>
                <w:rFonts w:ascii="Arial" w:hAnsi="Arial" w:cs="Arial"/>
                <w:sz w:val="18"/>
              </w:rPr>
              <w:t>113.812</w:t>
            </w:r>
          </w:p>
        </w:tc>
        <w:tc>
          <w:tcPr>
            <w:tcW w:w="1314" w:type="dxa"/>
            <w:tcBorders>
              <w:top w:val="single" w:sz="4" w:space="0" w:color="auto"/>
              <w:left w:val="single" w:sz="4" w:space="0" w:color="auto"/>
              <w:bottom w:val="single" w:sz="4" w:space="0" w:color="auto"/>
              <w:right w:val="single" w:sz="4" w:space="0" w:color="auto"/>
            </w:tcBorders>
            <w:vAlign w:val="bottom"/>
          </w:tcPr>
          <w:p w14:paraId="0A556F42" w14:textId="69535143" w:rsidR="00BD4A34" w:rsidRPr="002E1AF6" w:rsidRDefault="0068697A" w:rsidP="00BD4A34">
            <w:pPr>
              <w:jc w:val="right"/>
              <w:rPr>
                <w:rFonts w:ascii="Arial" w:hAnsi="Arial" w:cs="Arial"/>
                <w:color w:val="000000"/>
                <w:sz w:val="18"/>
                <w:lang w:val="es-ES_tradnl" w:eastAsia="es-AR"/>
              </w:rPr>
            </w:pPr>
            <w:r w:rsidRPr="002E1AF6">
              <w:rPr>
                <w:rFonts w:ascii="Arial" w:hAnsi="Arial" w:cs="Arial"/>
                <w:color w:val="000000"/>
                <w:sz w:val="18"/>
                <w:lang w:val="es-ES_tradnl" w:eastAsia="es-AR"/>
              </w:rPr>
              <w:t>79.291</w:t>
            </w:r>
          </w:p>
        </w:tc>
      </w:tr>
      <w:tr w:rsidR="00310C09" w:rsidRPr="00DA4AEF" w14:paraId="64D8D355" w14:textId="77777777" w:rsidTr="00777DF8">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BDB47" w14:textId="39E6A5EE" w:rsidR="00310C09" w:rsidRPr="002E1AF6" w:rsidRDefault="00310C09" w:rsidP="00BD4A34">
            <w:pPr>
              <w:rPr>
                <w:rFonts w:ascii="Arial" w:hAnsi="Arial" w:cs="Arial"/>
                <w:color w:val="000000"/>
                <w:sz w:val="18"/>
                <w:lang w:eastAsia="es-AR"/>
              </w:rPr>
            </w:pPr>
            <w:r w:rsidRPr="002E1AF6">
              <w:rPr>
                <w:rFonts w:ascii="Arial" w:hAnsi="Arial" w:cs="Arial"/>
                <w:color w:val="000000"/>
                <w:sz w:val="18"/>
                <w:lang w:eastAsia="es-AR"/>
              </w:rPr>
              <w:t>Gastos por arrendamiento financiero</w:t>
            </w:r>
          </w:p>
        </w:tc>
        <w:tc>
          <w:tcPr>
            <w:tcW w:w="1378" w:type="dxa"/>
            <w:tcBorders>
              <w:top w:val="single" w:sz="4" w:space="0" w:color="auto"/>
              <w:left w:val="single" w:sz="4" w:space="0" w:color="auto"/>
              <w:bottom w:val="single" w:sz="4" w:space="0" w:color="auto"/>
              <w:right w:val="single" w:sz="4" w:space="0" w:color="auto"/>
            </w:tcBorders>
            <w:shd w:val="clear" w:color="auto" w:fill="auto"/>
            <w:noWrap/>
          </w:tcPr>
          <w:p w14:paraId="5367ED9C" w14:textId="26E13FB7" w:rsidR="00310C09" w:rsidRPr="002E1AF6" w:rsidRDefault="00310C09" w:rsidP="00BD4A34">
            <w:pPr>
              <w:jc w:val="right"/>
              <w:rPr>
                <w:rFonts w:ascii="Arial" w:hAnsi="Arial" w:cs="Arial"/>
                <w:sz w:val="18"/>
              </w:rPr>
            </w:pPr>
            <w:r w:rsidRPr="002E1AF6">
              <w:rPr>
                <w:rFonts w:ascii="Arial" w:hAnsi="Arial" w:cs="Arial"/>
                <w:sz w:val="18"/>
              </w:rPr>
              <w:t>37.597</w:t>
            </w:r>
          </w:p>
        </w:tc>
        <w:tc>
          <w:tcPr>
            <w:tcW w:w="1314" w:type="dxa"/>
            <w:tcBorders>
              <w:top w:val="single" w:sz="4" w:space="0" w:color="auto"/>
              <w:left w:val="single" w:sz="4" w:space="0" w:color="auto"/>
              <w:bottom w:val="single" w:sz="4" w:space="0" w:color="auto"/>
              <w:right w:val="single" w:sz="4" w:space="0" w:color="auto"/>
            </w:tcBorders>
            <w:vAlign w:val="bottom"/>
          </w:tcPr>
          <w:p w14:paraId="55136A10" w14:textId="2A0D24FA" w:rsidR="00310C09" w:rsidRPr="002E1AF6" w:rsidRDefault="0068697A" w:rsidP="00BD4A34">
            <w:pPr>
              <w:jc w:val="right"/>
              <w:rPr>
                <w:rFonts w:ascii="Arial" w:hAnsi="Arial" w:cs="Arial"/>
                <w:color w:val="000000"/>
                <w:sz w:val="18"/>
                <w:lang w:val="es-ES_tradnl" w:eastAsia="es-AR"/>
              </w:rPr>
            </w:pPr>
            <w:r w:rsidRPr="002E1AF6">
              <w:rPr>
                <w:rFonts w:ascii="Arial" w:hAnsi="Arial" w:cs="Arial"/>
                <w:color w:val="000000"/>
                <w:sz w:val="18"/>
                <w:lang w:val="es-ES_tradnl" w:eastAsia="es-AR"/>
              </w:rPr>
              <w:t>62.421</w:t>
            </w:r>
          </w:p>
        </w:tc>
      </w:tr>
      <w:tr w:rsidR="00BD4A34" w:rsidRPr="00DA4AEF" w14:paraId="0A5FA8B3" w14:textId="77777777" w:rsidTr="00777DF8">
        <w:trPr>
          <w:trHeight w:val="256"/>
        </w:trPr>
        <w:tc>
          <w:tcPr>
            <w:tcW w:w="6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24EB3" w14:textId="77777777" w:rsidR="00BD4A34" w:rsidRPr="002E1AF6" w:rsidRDefault="00BD4A34" w:rsidP="00BD4A34">
            <w:pPr>
              <w:rPr>
                <w:rFonts w:ascii="Arial" w:hAnsi="Arial" w:cs="Arial"/>
                <w:color w:val="000000"/>
                <w:sz w:val="18"/>
                <w:lang w:eastAsia="es-AR"/>
              </w:rPr>
            </w:pPr>
            <w:r w:rsidRPr="002E1AF6">
              <w:rPr>
                <w:rFonts w:ascii="Arial" w:hAnsi="Arial" w:cs="Arial"/>
                <w:color w:val="000000"/>
                <w:sz w:val="18"/>
                <w:lang w:eastAsia="es-AR"/>
              </w:rPr>
              <w:t>Otros</w:t>
            </w:r>
          </w:p>
        </w:tc>
        <w:tc>
          <w:tcPr>
            <w:tcW w:w="1378" w:type="dxa"/>
            <w:tcBorders>
              <w:top w:val="single" w:sz="4" w:space="0" w:color="auto"/>
              <w:left w:val="single" w:sz="4" w:space="0" w:color="auto"/>
              <w:bottom w:val="single" w:sz="4" w:space="0" w:color="auto"/>
              <w:right w:val="single" w:sz="4" w:space="0" w:color="auto"/>
            </w:tcBorders>
            <w:shd w:val="clear" w:color="auto" w:fill="auto"/>
            <w:noWrap/>
          </w:tcPr>
          <w:p w14:paraId="2C7205F1" w14:textId="517F9920" w:rsidR="00BD4A34" w:rsidRPr="002E1AF6" w:rsidRDefault="00310C09" w:rsidP="00BD4A34">
            <w:pPr>
              <w:jc w:val="right"/>
              <w:rPr>
                <w:rFonts w:ascii="Arial" w:hAnsi="Arial" w:cs="Arial"/>
                <w:color w:val="000000"/>
                <w:sz w:val="18"/>
                <w:lang w:val="es-ES_tradnl" w:eastAsia="es-AR"/>
              </w:rPr>
            </w:pPr>
            <w:r w:rsidRPr="002E1AF6">
              <w:rPr>
                <w:rFonts w:ascii="Arial" w:hAnsi="Arial" w:cs="Arial"/>
                <w:sz w:val="18"/>
              </w:rPr>
              <w:t>116.137</w:t>
            </w:r>
          </w:p>
        </w:tc>
        <w:tc>
          <w:tcPr>
            <w:tcW w:w="1314" w:type="dxa"/>
            <w:tcBorders>
              <w:top w:val="single" w:sz="4" w:space="0" w:color="auto"/>
              <w:left w:val="single" w:sz="4" w:space="0" w:color="auto"/>
              <w:bottom w:val="single" w:sz="4" w:space="0" w:color="auto"/>
              <w:right w:val="single" w:sz="4" w:space="0" w:color="auto"/>
            </w:tcBorders>
            <w:vAlign w:val="bottom"/>
          </w:tcPr>
          <w:p w14:paraId="2D5AAB05" w14:textId="5C7ED444" w:rsidR="00BD4A34" w:rsidRPr="002E1AF6" w:rsidRDefault="0068697A" w:rsidP="00BD4A34">
            <w:pPr>
              <w:jc w:val="right"/>
              <w:rPr>
                <w:rFonts w:ascii="Arial" w:hAnsi="Arial" w:cs="Arial"/>
                <w:color w:val="000000"/>
                <w:sz w:val="18"/>
                <w:lang w:val="es-ES_tradnl" w:eastAsia="es-AR"/>
              </w:rPr>
            </w:pPr>
            <w:r w:rsidRPr="002E1AF6">
              <w:rPr>
                <w:rFonts w:ascii="Arial" w:hAnsi="Arial" w:cs="Arial"/>
                <w:color w:val="000000"/>
                <w:sz w:val="18"/>
                <w:lang w:val="es-ES_tradnl" w:eastAsia="es-AR"/>
              </w:rPr>
              <w:t>178.586</w:t>
            </w:r>
          </w:p>
        </w:tc>
      </w:tr>
      <w:tr w:rsidR="00151C24" w:rsidRPr="00DA4AEF" w14:paraId="40F27655" w14:textId="77777777" w:rsidTr="00066653">
        <w:trPr>
          <w:trHeight w:val="271"/>
        </w:trPr>
        <w:tc>
          <w:tcPr>
            <w:tcW w:w="6135" w:type="dxa"/>
            <w:shd w:val="clear" w:color="auto" w:fill="auto"/>
            <w:noWrap/>
            <w:vAlign w:val="bottom"/>
            <w:hideMark/>
          </w:tcPr>
          <w:p w14:paraId="12D79241" w14:textId="77777777" w:rsidR="00151C24" w:rsidRPr="002E1AF6" w:rsidRDefault="00151C24" w:rsidP="0084502B">
            <w:pPr>
              <w:rPr>
                <w:rFonts w:ascii="Arial" w:hAnsi="Arial" w:cs="Arial"/>
                <w:b/>
                <w:color w:val="000000"/>
                <w:sz w:val="18"/>
                <w:lang w:eastAsia="es-AR"/>
              </w:rPr>
            </w:pPr>
            <w:r w:rsidRPr="002E1AF6">
              <w:rPr>
                <w:rFonts w:ascii="Arial" w:hAnsi="Arial" w:cs="Arial"/>
                <w:b/>
                <w:color w:val="000000"/>
                <w:sz w:val="18"/>
                <w:lang w:eastAsia="es-AR"/>
              </w:rPr>
              <w:lastRenderedPageBreak/>
              <w:t>Total</w:t>
            </w:r>
          </w:p>
        </w:tc>
        <w:tc>
          <w:tcPr>
            <w:tcW w:w="1378" w:type="dxa"/>
            <w:shd w:val="clear" w:color="auto" w:fill="auto"/>
            <w:noWrap/>
            <w:vAlign w:val="bottom"/>
          </w:tcPr>
          <w:p w14:paraId="73127611" w14:textId="671DA596" w:rsidR="00151C24" w:rsidRPr="002E1AF6" w:rsidRDefault="00310C09"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1.119.936</w:t>
            </w:r>
          </w:p>
        </w:tc>
        <w:tc>
          <w:tcPr>
            <w:tcW w:w="1314" w:type="dxa"/>
            <w:vAlign w:val="bottom"/>
          </w:tcPr>
          <w:p w14:paraId="26485BB2" w14:textId="29D15161" w:rsidR="00151C24" w:rsidRPr="002E1AF6" w:rsidRDefault="0068697A" w:rsidP="0084502B">
            <w:pPr>
              <w:jc w:val="right"/>
              <w:rPr>
                <w:rFonts w:ascii="Arial" w:hAnsi="Arial" w:cs="Arial"/>
                <w:b/>
                <w:color w:val="000000"/>
                <w:sz w:val="18"/>
                <w:lang w:val="es-ES_tradnl" w:eastAsia="es-AR"/>
              </w:rPr>
            </w:pPr>
            <w:r w:rsidRPr="002E1AF6">
              <w:rPr>
                <w:rFonts w:ascii="Arial" w:hAnsi="Arial" w:cs="Arial"/>
                <w:b/>
                <w:color w:val="000000"/>
                <w:sz w:val="18"/>
                <w:lang w:val="es-ES_tradnl" w:eastAsia="es-AR"/>
              </w:rPr>
              <w:t>1.349.329</w:t>
            </w:r>
          </w:p>
        </w:tc>
      </w:tr>
    </w:tbl>
    <w:p w14:paraId="4DBA65B0" w14:textId="77777777" w:rsidR="00044B2E" w:rsidRPr="002E1AF6" w:rsidRDefault="00044B2E" w:rsidP="00151C24">
      <w:pPr>
        <w:rPr>
          <w:rFonts w:ascii="Arial" w:hAnsi="Arial" w:cs="Arial"/>
          <w:bCs/>
          <w:color w:val="000000"/>
          <w:sz w:val="18"/>
          <w:lang w:eastAsia="es-AR"/>
        </w:rPr>
      </w:pPr>
    </w:p>
    <w:p w14:paraId="32339083" w14:textId="77777777" w:rsidR="00B85DD7" w:rsidRDefault="00B85DD7" w:rsidP="00151C24">
      <w:pPr>
        <w:rPr>
          <w:rFonts w:ascii="Arial" w:hAnsi="Arial" w:cs="Arial"/>
          <w:bCs/>
          <w:color w:val="000000"/>
          <w:sz w:val="20"/>
          <w:lang w:eastAsia="es-AR"/>
        </w:rPr>
      </w:pPr>
    </w:p>
    <w:p w14:paraId="4A7F19A5" w14:textId="407DB91E" w:rsidR="00151C24" w:rsidRDefault="00151C24" w:rsidP="00151C24">
      <w:pPr>
        <w:rPr>
          <w:rFonts w:ascii="Arial" w:hAnsi="Arial" w:cs="Arial"/>
          <w:bCs/>
          <w:color w:val="000000"/>
          <w:sz w:val="20"/>
          <w:lang w:eastAsia="es-AR"/>
        </w:rPr>
      </w:pPr>
      <w:r>
        <w:rPr>
          <w:rFonts w:ascii="Arial" w:hAnsi="Arial" w:cs="Arial"/>
          <w:bCs/>
          <w:color w:val="000000"/>
          <w:sz w:val="20"/>
          <w:lang w:eastAsia="es-AR"/>
        </w:rPr>
        <w:t>15.10</w:t>
      </w:r>
      <w:r w:rsidRPr="00701F32">
        <w:rPr>
          <w:rFonts w:ascii="Arial" w:hAnsi="Arial" w:cs="Arial"/>
          <w:bCs/>
          <w:color w:val="000000"/>
          <w:sz w:val="20"/>
          <w:lang w:eastAsia="es-AR"/>
        </w:rPr>
        <w:t xml:space="preserve"> Depreciaciones y desvalorizaciones de bienes</w:t>
      </w:r>
      <w:r w:rsidR="00721980">
        <w:rPr>
          <w:rFonts w:ascii="Arial" w:hAnsi="Arial" w:cs="Arial"/>
          <w:bCs/>
          <w:color w:val="000000"/>
          <w:sz w:val="20"/>
          <w:lang w:eastAsia="es-AR"/>
        </w:rPr>
        <w:t>.</w:t>
      </w:r>
    </w:p>
    <w:p w14:paraId="09079AC6" w14:textId="77777777" w:rsidR="00151C24" w:rsidRPr="00701F32" w:rsidRDefault="00151C24" w:rsidP="00151C24">
      <w:pPr>
        <w:rPr>
          <w:rFonts w:ascii="Arial" w:hAnsi="Arial" w:cs="Arial"/>
          <w:bCs/>
          <w:color w:val="000000"/>
          <w:sz w:val="20"/>
          <w:lang w:eastAsia="es-AR"/>
        </w:rPr>
      </w:pPr>
    </w:p>
    <w:tbl>
      <w:tblPr>
        <w:tblStyle w:val="TableGrid"/>
        <w:tblW w:w="8789" w:type="dxa"/>
        <w:tblInd w:w="108" w:type="dxa"/>
        <w:tblLook w:val="04A0" w:firstRow="1" w:lastRow="0" w:firstColumn="1" w:lastColumn="0" w:noHBand="0" w:noVBand="1"/>
      </w:tblPr>
      <w:tblGrid>
        <w:gridCol w:w="6096"/>
        <w:gridCol w:w="1417"/>
        <w:gridCol w:w="1276"/>
      </w:tblGrid>
      <w:tr w:rsidR="00151C24" w:rsidRPr="00701F32" w14:paraId="7A003FF9" w14:textId="77777777" w:rsidTr="00066653">
        <w:tc>
          <w:tcPr>
            <w:tcW w:w="6096" w:type="dxa"/>
          </w:tcPr>
          <w:p w14:paraId="03C94A84" w14:textId="77777777" w:rsidR="00151C24" w:rsidRPr="002E1AF6" w:rsidRDefault="00151C24" w:rsidP="0084502B">
            <w:pPr>
              <w:jc w:val="center"/>
              <w:rPr>
                <w:rFonts w:ascii="Arial" w:hAnsi="Arial" w:cs="Arial"/>
                <w:sz w:val="18"/>
              </w:rPr>
            </w:pPr>
          </w:p>
        </w:tc>
        <w:tc>
          <w:tcPr>
            <w:tcW w:w="1417" w:type="dxa"/>
          </w:tcPr>
          <w:p w14:paraId="5C3C605A" w14:textId="464CED52" w:rsidR="00151C24" w:rsidRPr="002E1AF6" w:rsidRDefault="003C2633" w:rsidP="0084502B">
            <w:pPr>
              <w:jc w:val="center"/>
              <w:rPr>
                <w:rFonts w:ascii="Arial" w:hAnsi="Arial" w:cs="Arial"/>
                <w:b/>
                <w:sz w:val="18"/>
              </w:rPr>
            </w:pPr>
            <w:r w:rsidRPr="002E1AF6">
              <w:rPr>
                <w:rFonts w:ascii="Arial" w:hAnsi="Arial" w:cs="Arial"/>
                <w:b/>
                <w:sz w:val="18"/>
              </w:rPr>
              <w:t>3</w:t>
            </w:r>
            <w:r w:rsidR="0043094A" w:rsidRPr="002E1AF6">
              <w:rPr>
                <w:rFonts w:ascii="Arial" w:hAnsi="Arial" w:cs="Arial"/>
                <w:b/>
                <w:sz w:val="18"/>
              </w:rPr>
              <w:t>1</w:t>
            </w:r>
            <w:r w:rsidRPr="002E1AF6">
              <w:rPr>
                <w:rFonts w:ascii="Arial" w:hAnsi="Arial" w:cs="Arial"/>
                <w:b/>
                <w:sz w:val="18"/>
              </w:rPr>
              <w:t>/0</w:t>
            </w:r>
            <w:r w:rsidR="0043094A" w:rsidRPr="002E1AF6">
              <w:rPr>
                <w:rFonts w:ascii="Arial" w:hAnsi="Arial" w:cs="Arial"/>
                <w:b/>
                <w:sz w:val="18"/>
              </w:rPr>
              <w:t>3</w:t>
            </w:r>
            <w:r w:rsidRPr="002E1AF6">
              <w:rPr>
                <w:rFonts w:ascii="Arial" w:hAnsi="Arial" w:cs="Arial"/>
                <w:b/>
                <w:sz w:val="18"/>
              </w:rPr>
              <w:t>/20</w:t>
            </w:r>
            <w:r w:rsidR="0043094A" w:rsidRPr="002E1AF6">
              <w:rPr>
                <w:rFonts w:ascii="Arial" w:hAnsi="Arial" w:cs="Arial"/>
                <w:b/>
                <w:sz w:val="18"/>
              </w:rPr>
              <w:t>20</w:t>
            </w:r>
          </w:p>
        </w:tc>
        <w:tc>
          <w:tcPr>
            <w:tcW w:w="1276" w:type="dxa"/>
            <w:vAlign w:val="center"/>
          </w:tcPr>
          <w:p w14:paraId="13493198" w14:textId="7DC02974" w:rsidR="00151C24" w:rsidRPr="002E1AF6" w:rsidRDefault="003C2633" w:rsidP="0084502B">
            <w:pPr>
              <w:jc w:val="center"/>
              <w:rPr>
                <w:rFonts w:ascii="Arial" w:hAnsi="Arial" w:cs="Arial"/>
                <w:b/>
                <w:sz w:val="18"/>
              </w:rPr>
            </w:pPr>
            <w:r w:rsidRPr="002E1AF6">
              <w:rPr>
                <w:rFonts w:ascii="Arial" w:hAnsi="Arial" w:cs="Arial"/>
                <w:b/>
                <w:sz w:val="18"/>
              </w:rPr>
              <w:t>3</w:t>
            </w:r>
            <w:r w:rsidR="0043094A" w:rsidRPr="002E1AF6">
              <w:rPr>
                <w:rFonts w:ascii="Arial" w:hAnsi="Arial" w:cs="Arial"/>
                <w:b/>
                <w:sz w:val="18"/>
              </w:rPr>
              <w:t>1</w:t>
            </w:r>
            <w:r w:rsidRPr="002E1AF6">
              <w:rPr>
                <w:rFonts w:ascii="Arial" w:hAnsi="Arial" w:cs="Arial"/>
                <w:b/>
                <w:sz w:val="18"/>
              </w:rPr>
              <w:t>/0</w:t>
            </w:r>
            <w:r w:rsidR="0043094A" w:rsidRPr="002E1AF6">
              <w:rPr>
                <w:rFonts w:ascii="Arial" w:hAnsi="Arial" w:cs="Arial"/>
                <w:b/>
                <w:sz w:val="18"/>
              </w:rPr>
              <w:t>3</w:t>
            </w:r>
            <w:r w:rsidRPr="002E1AF6">
              <w:rPr>
                <w:rFonts w:ascii="Arial" w:hAnsi="Arial" w:cs="Arial"/>
                <w:b/>
                <w:sz w:val="18"/>
              </w:rPr>
              <w:t>/201</w:t>
            </w:r>
            <w:r w:rsidR="0043094A" w:rsidRPr="002E1AF6">
              <w:rPr>
                <w:rFonts w:ascii="Arial" w:hAnsi="Arial" w:cs="Arial"/>
                <w:b/>
                <w:sz w:val="18"/>
              </w:rPr>
              <w:t>9</w:t>
            </w:r>
          </w:p>
        </w:tc>
      </w:tr>
      <w:tr w:rsidR="00151C24" w:rsidRPr="00701F32" w14:paraId="1A3A17DA" w14:textId="77777777" w:rsidTr="00066653">
        <w:tc>
          <w:tcPr>
            <w:tcW w:w="6096" w:type="dxa"/>
          </w:tcPr>
          <w:p w14:paraId="76A336A7" w14:textId="77777777" w:rsidR="00151C24" w:rsidRPr="002E1AF6" w:rsidRDefault="00151C24" w:rsidP="0084502B">
            <w:pPr>
              <w:rPr>
                <w:rFonts w:ascii="Arial" w:hAnsi="Arial" w:cs="Arial"/>
                <w:sz w:val="18"/>
              </w:rPr>
            </w:pPr>
            <w:r w:rsidRPr="002E1AF6">
              <w:rPr>
                <w:rFonts w:ascii="Arial" w:hAnsi="Arial" w:cs="Arial"/>
                <w:sz w:val="18"/>
              </w:rPr>
              <w:t xml:space="preserve">Depreciación de bienes de uso </w:t>
            </w:r>
          </w:p>
        </w:tc>
        <w:tc>
          <w:tcPr>
            <w:tcW w:w="1417" w:type="dxa"/>
          </w:tcPr>
          <w:p w14:paraId="6E74A6F7" w14:textId="47654EC0" w:rsidR="00151C24" w:rsidRPr="002E1AF6" w:rsidRDefault="0043094A" w:rsidP="0084502B">
            <w:pPr>
              <w:jc w:val="right"/>
              <w:rPr>
                <w:rFonts w:ascii="Arial" w:hAnsi="Arial" w:cs="Arial"/>
                <w:sz w:val="18"/>
              </w:rPr>
            </w:pPr>
            <w:r w:rsidRPr="002E1AF6">
              <w:rPr>
                <w:rFonts w:ascii="Arial" w:hAnsi="Arial" w:cs="Arial"/>
                <w:sz w:val="18"/>
              </w:rPr>
              <w:t>79.122</w:t>
            </w:r>
          </w:p>
        </w:tc>
        <w:tc>
          <w:tcPr>
            <w:tcW w:w="1276" w:type="dxa"/>
            <w:vAlign w:val="bottom"/>
          </w:tcPr>
          <w:p w14:paraId="0C364D24" w14:textId="67A264B8" w:rsidR="00151C24" w:rsidRPr="002E1AF6" w:rsidRDefault="00E05D7E" w:rsidP="0084502B">
            <w:pPr>
              <w:jc w:val="right"/>
              <w:rPr>
                <w:rFonts w:ascii="Arial" w:hAnsi="Arial" w:cs="Arial"/>
                <w:sz w:val="18"/>
              </w:rPr>
            </w:pPr>
            <w:r w:rsidRPr="002E1AF6">
              <w:rPr>
                <w:rFonts w:ascii="Arial" w:hAnsi="Arial" w:cs="Arial"/>
                <w:sz w:val="18"/>
              </w:rPr>
              <w:t>10</w:t>
            </w:r>
            <w:r w:rsidR="0043094A" w:rsidRPr="002E1AF6">
              <w:rPr>
                <w:rFonts w:ascii="Arial" w:hAnsi="Arial" w:cs="Arial"/>
                <w:sz w:val="18"/>
              </w:rPr>
              <w:t>4.770</w:t>
            </w:r>
          </w:p>
        </w:tc>
      </w:tr>
      <w:tr w:rsidR="00151C24" w:rsidRPr="00701F32" w14:paraId="5C53709F" w14:textId="77777777" w:rsidTr="00066653">
        <w:tc>
          <w:tcPr>
            <w:tcW w:w="6096" w:type="dxa"/>
          </w:tcPr>
          <w:p w14:paraId="41B1BB65" w14:textId="77777777" w:rsidR="00151C24" w:rsidRPr="002E1AF6" w:rsidRDefault="00151C24" w:rsidP="0084502B">
            <w:pPr>
              <w:rPr>
                <w:rFonts w:ascii="Arial" w:hAnsi="Arial" w:cs="Arial"/>
                <w:sz w:val="18"/>
              </w:rPr>
            </w:pPr>
            <w:r w:rsidRPr="002E1AF6">
              <w:rPr>
                <w:rFonts w:ascii="Arial" w:hAnsi="Arial" w:cs="Arial"/>
                <w:sz w:val="18"/>
              </w:rPr>
              <w:t>Depreciación de bienes diversos</w:t>
            </w:r>
          </w:p>
        </w:tc>
        <w:tc>
          <w:tcPr>
            <w:tcW w:w="1417" w:type="dxa"/>
          </w:tcPr>
          <w:p w14:paraId="5A6EEA2E" w14:textId="641709CC" w:rsidR="00151C24" w:rsidRPr="002E1AF6" w:rsidRDefault="00E05D7E" w:rsidP="0084502B">
            <w:pPr>
              <w:jc w:val="right"/>
              <w:rPr>
                <w:rFonts w:ascii="Arial" w:hAnsi="Arial" w:cs="Arial"/>
                <w:sz w:val="18"/>
              </w:rPr>
            </w:pPr>
            <w:r w:rsidRPr="002E1AF6">
              <w:rPr>
                <w:rFonts w:ascii="Arial" w:hAnsi="Arial" w:cs="Arial"/>
                <w:sz w:val="18"/>
              </w:rPr>
              <w:t>5</w:t>
            </w:r>
            <w:r w:rsidR="0043094A" w:rsidRPr="002E1AF6">
              <w:rPr>
                <w:rFonts w:ascii="Arial" w:hAnsi="Arial" w:cs="Arial"/>
                <w:sz w:val="18"/>
              </w:rPr>
              <w:t>0.286</w:t>
            </w:r>
          </w:p>
        </w:tc>
        <w:tc>
          <w:tcPr>
            <w:tcW w:w="1276" w:type="dxa"/>
            <w:vAlign w:val="bottom"/>
          </w:tcPr>
          <w:p w14:paraId="6C1AD467" w14:textId="427B7A13" w:rsidR="00151C24" w:rsidRPr="002E1AF6" w:rsidRDefault="0043094A" w:rsidP="0084502B">
            <w:pPr>
              <w:jc w:val="right"/>
              <w:rPr>
                <w:rFonts w:ascii="Arial" w:hAnsi="Arial" w:cs="Arial"/>
                <w:sz w:val="18"/>
              </w:rPr>
            </w:pPr>
            <w:r w:rsidRPr="002E1AF6">
              <w:rPr>
                <w:rFonts w:ascii="Arial" w:hAnsi="Arial" w:cs="Arial"/>
                <w:sz w:val="18"/>
              </w:rPr>
              <w:t>33.807</w:t>
            </w:r>
          </w:p>
        </w:tc>
      </w:tr>
      <w:tr w:rsidR="00151C24" w:rsidRPr="00701F32" w14:paraId="398555F3" w14:textId="77777777" w:rsidTr="00066653">
        <w:tc>
          <w:tcPr>
            <w:tcW w:w="6096" w:type="dxa"/>
          </w:tcPr>
          <w:p w14:paraId="081471AF" w14:textId="77777777" w:rsidR="00151C24" w:rsidRPr="002E1AF6" w:rsidRDefault="00151C24" w:rsidP="0084502B">
            <w:pPr>
              <w:rPr>
                <w:rFonts w:ascii="Arial" w:hAnsi="Arial" w:cs="Arial"/>
                <w:sz w:val="18"/>
              </w:rPr>
            </w:pPr>
            <w:r w:rsidRPr="002E1AF6">
              <w:rPr>
                <w:rFonts w:ascii="Arial" w:hAnsi="Arial" w:cs="Arial"/>
                <w:sz w:val="18"/>
              </w:rPr>
              <w:t xml:space="preserve">Amortización de bienes intangibles </w:t>
            </w:r>
          </w:p>
        </w:tc>
        <w:tc>
          <w:tcPr>
            <w:tcW w:w="1417" w:type="dxa"/>
          </w:tcPr>
          <w:p w14:paraId="135A0BF6" w14:textId="6F4CE8F1" w:rsidR="00151C24" w:rsidRPr="002E1AF6" w:rsidRDefault="00E05D7E" w:rsidP="0084502B">
            <w:pPr>
              <w:jc w:val="right"/>
              <w:rPr>
                <w:rFonts w:ascii="Arial" w:hAnsi="Arial" w:cs="Arial"/>
                <w:sz w:val="18"/>
              </w:rPr>
            </w:pPr>
            <w:r w:rsidRPr="002E1AF6">
              <w:rPr>
                <w:rFonts w:ascii="Arial" w:hAnsi="Arial" w:cs="Arial"/>
                <w:sz w:val="18"/>
              </w:rPr>
              <w:t>1</w:t>
            </w:r>
            <w:r w:rsidR="0043094A" w:rsidRPr="002E1AF6">
              <w:rPr>
                <w:rFonts w:ascii="Arial" w:hAnsi="Arial" w:cs="Arial"/>
                <w:sz w:val="18"/>
              </w:rPr>
              <w:t>20.312</w:t>
            </w:r>
          </w:p>
        </w:tc>
        <w:tc>
          <w:tcPr>
            <w:tcW w:w="1276" w:type="dxa"/>
            <w:vAlign w:val="bottom"/>
          </w:tcPr>
          <w:p w14:paraId="0089977D" w14:textId="4ECA667C" w:rsidR="00151C24" w:rsidRPr="002E1AF6" w:rsidRDefault="0043094A" w:rsidP="0084502B">
            <w:pPr>
              <w:jc w:val="right"/>
              <w:rPr>
                <w:rFonts w:ascii="Arial" w:hAnsi="Arial" w:cs="Arial"/>
                <w:sz w:val="18"/>
              </w:rPr>
            </w:pPr>
            <w:r w:rsidRPr="002E1AF6">
              <w:rPr>
                <w:rFonts w:ascii="Arial" w:hAnsi="Arial" w:cs="Arial"/>
                <w:sz w:val="18"/>
              </w:rPr>
              <w:t>81.009</w:t>
            </w:r>
          </w:p>
        </w:tc>
      </w:tr>
      <w:tr w:rsidR="00151C24" w:rsidRPr="00701F32" w14:paraId="3FFCB1B4" w14:textId="77777777" w:rsidTr="00066653">
        <w:tc>
          <w:tcPr>
            <w:tcW w:w="6096" w:type="dxa"/>
          </w:tcPr>
          <w:p w14:paraId="4B3F2651" w14:textId="4BF59EE7" w:rsidR="00151C24" w:rsidRPr="002E1AF6" w:rsidRDefault="00F44E46" w:rsidP="0084502B">
            <w:pPr>
              <w:rPr>
                <w:rFonts w:ascii="Arial" w:hAnsi="Arial" w:cs="Arial"/>
                <w:sz w:val="18"/>
              </w:rPr>
            </w:pPr>
            <w:r w:rsidRPr="002E1AF6">
              <w:rPr>
                <w:rFonts w:ascii="Arial" w:hAnsi="Arial" w:cs="Arial"/>
                <w:sz w:val="18"/>
              </w:rPr>
              <w:t>Depreciación activos por derecho de uso</w:t>
            </w:r>
          </w:p>
        </w:tc>
        <w:tc>
          <w:tcPr>
            <w:tcW w:w="1417" w:type="dxa"/>
          </w:tcPr>
          <w:p w14:paraId="50ADCAF7" w14:textId="4E293B0B" w:rsidR="00151C24" w:rsidRPr="002E1AF6" w:rsidRDefault="0043094A" w:rsidP="0084502B">
            <w:pPr>
              <w:jc w:val="right"/>
              <w:rPr>
                <w:rFonts w:ascii="Arial" w:hAnsi="Arial" w:cs="Arial"/>
                <w:sz w:val="18"/>
              </w:rPr>
            </w:pPr>
            <w:r w:rsidRPr="002E1AF6">
              <w:rPr>
                <w:rFonts w:ascii="Arial" w:hAnsi="Arial" w:cs="Arial"/>
                <w:sz w:val="18"/>
              </w:rPr>
              <w:t>158.820</w:t>
            </w:r>
          </w:p>
        </w:tc>
        <w:tc>
          <w:tcPr>
            <w:tcW w:w="1276" w:type="dxa"/>
            <w:vAlign w:val="bottom"/>
          </w:tcPr>
          <w:p w14:paraId="365041E5" w14:textId="5EC5DB1E" w:rsidR="00151C24" w:rsidRPr="002E1AF6" w:rsidRDefault="0043094A" w:rsidP="0084502B">
            <w:pPr>
              <w:jc w:val="right"/>
              <w:rPr>
                <w:rFonts w:ascii="Arial" w:hAnsi="Arial" w:cs="Arial"/>
                <w:sz w:val="18"/>
              </w:rPr>
            </w:pPr>
            <w:r w:rsidRPr="002E1AF6">
              <w:rPr>
                <w:rFonts w:ascii="Arial" w:hAnsi="Arial" w:cs="Arial"/>
                <w:sz w:val="18"/>
              </w:rPr>
              <w:t>149.290</w:t>
            </w:r>
          </w:p>
        </w:tc>
      </w:tr>
      <w:tr w:rsidR="00151C24" w:rsidRPr="00701F32" w14:paraId="1FF42145" w14:textId="77777777" w:rsidTr="00066653">
        <w:tc>
          <w:tcPr>
            <w:tcW w:w="6096" w:type="dxa"/>
          </w:tcPr>
          <w:p w14:paraId="5C3A131E" w14:textId="77777777" w:rsidR="00151C24" w:rsidRPr="002E1AF6" w:rsidRDefault="00151C24" w:rsidP="0084502B">
            <w:pPr>
              <w:rPr>
                <w:rFonts w:ascii="Arial" w:hAnsi="Arial" w:cs="Arial"/>
                <w:b/>
                <w:sz w:val="18"/>
              </w:rPr>
            </w:pPr>
            <w:r w:rsidRPr="002E1AF6">
              <w:rPr>
                <w:rFonts w:ascii="Arial" w:hAnsi="Arial" w:cs="Arial"/>
                <w:b/>
                <w:sz w:val="18"/>
              </w:rPr>
              <w:t>Total</w:t>
            </w:r>
          </w:p>
        </w:tc>
        <w:tc>
          <w:tcPr>
            <w:tcW w:w="1417" w:type="dxa"/>
          </w:tcPr>
          <w:p w14:paraId="3AFC3FBD" w14:textId="06D79AE7" w:rsidR="00151C24" w:rsidRPr="002E1AF6" w:rsidRDefault="0043094A" w:rsidP="0084502B">
            <w:pPr>
              <w:jc w:val="right"/>
              <w:rPr>
                <w:rFonts w:ascii="Arial" w:hAnsi="Arial" w:cs="Arial"/>
                <w:b/>
                <w:sz w:val="18"/>
              </w:rPr>
            </w:pPr>
            <w:r w:rsidRPr="002E1AF6">
              <w:rPr>
                <w:rFonts w:ascii="Arial" w:hAnsi="Arial" w:cs="Arial"/>
                <w:b/>
                <w:sz w:val="18"/>
              </w:rPr>
              <w:t>408.540</w:t>
            </w:r>
          </w:p>
        </w:tc>
        <w:tc>
          <w:tcPr>
            <w:tcW w:w="1276" w:type="dxa"/>
            <w:vAlign w:val="bottom"/>
          </w:tcPr>
          <w:p w14:paraId="7A260754" w14:textId="6027B58D" w:rsidR="00151C24" w:rsidRPr="002E1AF6" w:rsidRDefault="0043094A" w:rsidP="0084502B">
            <w:pPr>
              <w:jc w:val="right"/>
              <w:rPr>
                <w:rFonts w:ascii="Arial" w:hAnsi="Arial" w:cs="Arial"/>
                <w:b/>
                <w:sz w:val="18"/>
              </w:rPr>
            </w:pPr>
            <w:r w:rsidRPr="002E1AF6">
              <w:rPr>
                <w:rFonts w:ascii="Arial" w:hAnsi="Arial" w:cs="Arial"/>
                <w:b/>
                <w:sz w:val="18"/>
              </w:rPr>
              <w:t>368.876</w:t>
            </w:r>
          </w:p>
        </w:tc>
      </w:tr>
    </w:tbl>
    <w:p w14:paraId="63B7B4D4" w14:textId="77777777" w:rsidR="0049702C" w:rsidRDefault="0049702C" w:rsidP="003E58B4">
      <w:pPr>
        <w:widowControl w:val="0"/>
        <w:autoSpaceDE w:val="0"/>
        <w:autoSpaceDN w:val="0"/>
        <w:adjustRightInd w:val="0"/>
        <w:jc w:val="both"/>
        <w:rPr>
          <w:rFonts w:ascii="Arial" w:hAnsi="Arial" w:cs="Arial"/>
          <w:noProof/>
          <w:sz w:val="20"/>
        </w:rPr>
      </w:pPr>
    </w:p>
    <w:p w14:paraId="027C0997" w14:textId="616BA578" w:rsidR="00E07A49" w:rsidRPr="002E1AF6" w:rsidRDefault="007C7173" w:rsidP="002E1AF6">
      <w:pPr>
        <w:spacing w:after="160" w:line="259" w:lineRule="auto"/>
        <w:jc w:val="both"/>
        <w:rPr>
          <w:rFonts w:ascii="Arial" w:eastAsia="Calibri" w:hAnsi="Arial" w:cs="Arial"/>
          <w:b/>
        </w:rPr>
      </w:pPr>
      <w:r w:rsidRPr="002E1AF6">
        <w:rPr>
          <w:rFonts w:ascii="Arial" w:hAnsi="Arial" w:cs="Arial"/>
          <w:b/>
          <w:noProof/>
          <w:sz w:val="20"/>
        </w:rPr>
        <w:t>16</w:t>
      </w:r>
      <w:r w:rsidR="0044006F" w:rsidRPr="002E1AF6">
        <w:rPr>
          <w:rFonts w:ascii="Arial" w:hAnsi="Arial" w:cs="Arial"/>
          <w:b/>
          <w:noProof/>
          <w:sz w:val="20"/>
        </w:rPr>
        <w:t>.</w:t>
      </w:r>
      <w:r w:rsidR="00E07A49" w:rsidRPr="002E1AF6">
        <w:rPr>
          <w:rFonts w:ascii="Arial" w:eastAsia="Calibri" w:hAnsi="Arial" w:cs="Arial"/>
          <w:b/>
          <w:sz w:val="20"/>
        </w:rPr>
        <w:t xml:space="preserve"> PROGRAMA</w:t>
      </w:r>
      <w:r w:rsidR="00E07A49" w:rsidRPr="00642813">
        <w:rPr>
          <w:rFonts w:ascii="Arial" w:eastAsia="Calibri" w:hAnsi="Arial" w:cs="Arial"/>
          <w:b/>
          <w:sz w:val="20"/>
        </w:rPr>
        <w:t xml:space="preserve"> DE FACILITACIÓN DE FINANCIAMIENTO AL COMERCIO EXTERIOR</w:t>
      </w:r>
    </w:p>
    <w:p w14:paraId="6B888AA5" w14:textId="77777777" w:rsidR="00E07A49" w:rsidRPr="00642813" w:rsidRDefault="00E07A49" w:rsidP="00E07A49">
      <w:pPr>
        <w:pStyle w:val="PlainText"/>
        <w:jc w:val="both"/>
        <w:rPr>
          <w:rFonts w:ascii="Arial" w:hAnsi="Arial" w:cs="Arial"/>
        </w:rPr>
      </w:pPr>
      <w:r w:rsidRPr="00642813">
        <w:rPr>
          <w:rFonts w:ascii="Arial" w:hAnsi="Arial" w:cs="Arial"/>
        </w:rPr>
        <w:t xml:space="preserve">Banco Supervielle S.A. mantiene activos los siguientes convenios: 1) Programa de Facilitación de Financiamiento al Comercio Exterior del Banco Interamericano de Desarrollo (BID), cuya línea asciende a USD 20.000.000 (dólares estadounidenses veinte millones) y 2) el Global Trade Finance Program de la Corporación Financiera Internacional (IFC), cuya línea asciende a USD 30.000.000 (dólares estadounidenses treinta millones). </w:t>
      </w:r>
    </w:p>
    <w:p w14:paraId="703BBCE6" w14:textId="77777777" w:rsidR="00E07A49" w:rsidRPr="00642813" w:rsidRDefault="00E07A49" w:rsidP="00E07A49">
      <w:pPr>
        <w:pStyle w:val="PlainText"/>
        <w:jc w:val="both"/>
        <w:rPr>
          <w:rFonts w:ascii="Arial" w:hAnsi="Arial" w:cs="Arial"/>
        </w:rPr>
      </w:pPr>
    </w:p>
    <w:p w14:paraId="3ECAB61F" w14:textId="77777777" w:rsidR="00E07A49" w:rsidRPr="00642813" w:rsidRDefault="00E07A49" w:rsidP="00E07A49">
      <w:pPr>
        <w:pBdr>
          <w:top w:val="nil"/>
          <w:left w:val="nil"/>
          <w:bottom w:val="nil"/>
          <w:right w:val="nil"/>
          <w:between w:val="nil"/>
          <w:bar w:val="nil"/>
        </w:pBdr>
        <w:tabs>
          <w:tab w:val="left" w:pos="142"/>
        </w:tabs>
        <w:jc w:val="both"/>
        <w:rPr>
          <w:rFonts w:ascii="Arial" w:eastAsiaTheme="minorHAnsi" w:hAnsi="Arial" w:cs="Arial"/>
          <w:sz w:val="20"/>
        </w:rPr>
      </w:pPr>
      <w:r w:rsidRPr="00642813">
        <w:rPr>
          <w:rFonts w:ascii="Arial" w:eastAsiaTheme="minorHAnsi" w:hAnsi="Arial" w:cs="Arial"/>
          <w:sz w:val="20"/>
        </w:rPr>
        <w:t>Por otra parte, el Banco recibió durante el mes de septiembre un préstamo sindicado senior no garantizado por USD 80.000.000 (dólares estadounidenses ochenta millones) a un plazo de tres años y con una tasa de interés de Libor + 3,40% a través del FMO, el banco holandés de desarrollo, como organizador, y de Proparco, una subsidiaria de la Agencia Francesa de Desarrollo (AFD). Los fondos recibidos fueron rápidamente colocados entre los clientes PYMEs de nuestra cartera que se desempeñan en economías regionales exportadoras en varios sectores.</w:t>
      </w:r>
    </w:p>
    <w:p w14:paraId="01B992C4" w14:textId="77777777" w:rsidR="00E07A49" w:rsidRPr="00642813" w:rsidRDefault="00E07A49" w:rsidP="00E07A49">
      <w:pPr>
        <w:pBdr>
          <w:top w:val="nil"/>
          <w:left w:val="nil"/>
          <w:bottom w:val="nil"/>
          <w:right w:val="nil"/>
          <w:between w:val="nil"/>
          <w:bar w:val="nil"/>
        </w:pBdr>
        <w:tabs>
          <w:tab w:val="left" w:pos="142"/>
        </w:tabs>
        <w:jc w:val="both"/>
        <w:rPr>
          <w:rFonts w:ascii="Arial" w:eastAsiaTheme="minorHAnsi" w:hAnsi="Arial" w:cs="Arial"/>
          <w:sz w:val="20"/>
        </w:rPr>
      </w:pPr>
    </w:p>
    <w:p w14:paraId="474011F7" w14:textId="77777777" w:rsidR="00E07A49" w:rsidRPr="00642813" w:rsidRDefault="00E07A49" w:rsidP="00E07A49">
      <w:pPr>
        <w:pBdr>
          <w:top w:val="nil"/>
          <w:left w:val="nil"/>
          <w:bottom w:val="nil"/>
          <w:right w:val="nil"/>
          <w:between w:val="nil"/>
          <w:bar w:val="nil"/>
        </w:pBdr>
        <w:tabs>
          <w:tab w:val="left" w:pos="142"/>
        </w:tabs>
        <w:jc w:val="both"/>
        <w:rPr>
          <w:rFonts w:ascii="Arial" w:eastAsiaTheme="minorHAnsi" w:hAnsi="Arial" w:cs="Arial"/>
          <w:sz w:val="20"/>
        </w:rPr>
      </w:pPr>
      <w:r w:rsidRPr="00642813">
        <w:rPr>
          <w:rFonts w:ascii="Arial" w:eastAsiaTheme="minorHAnsi" w:hAnsi="Arial" w:cs="Arial"/>
          <w:sz w:val="20"/>
        </w:rPr>
        <w:t>Corresponde señalar que tanto los convenios como el préstamo sindicado se encuentran subordinados al cumplimiento de determinados covenants financieros, ciertas obligaciones de hacer y no hacer, como así también ciertos requerimientos de información.</w:t>
      </w:r>
    </w:p>
    <w:p w14:paraId="7FFE0360" w14:textId="77777777" w:rsidR="00E07A49" w:rsidRPr="00642813" w:rsidRDefault="00E07A49" w:rsidP="00E07A49">
      <w:pPr>
        <w:pBdr>
          <w:top w:val="nil"/>
          <w:left w:val="nil"/>
          <w:bottom w:val="nil"/>
          <w:right w:val="nil"/>
          <w:between w:val="nil"/>
          <w:bar w:val="nil"/>
        </w:pBdr>
        <w:tabs>
          <w:tab w:val="left" w:pos="142"/>
        </w:tabs>
        <w:jc w:val="both"/>
        <w:rPr>
          <w:rFonts w:ascii="Arial" w:eastAsiaTheme="minorHAnsi" w:hAnsi="Arial" w:cs="Arial"/>
          <w:sz w:val="20"/>
        </w:rPr>
      </w:pPr>
    </w:p>
    <w:p w14:paraId="4ED47821" w14:textId="77777777" w:rsidR="00E07A49" w:rsidRPr="00642813" w:rsidRDefault="00E07A49" w:rsidP="00E07A49">
      <w:pPr>
        <w:pBdr>
          <w:top w:val="nil"/>
          <w:left w:val="nil"/>
          <w:bottom w:val="nil"/>
          <w:right w:val="nil"/>
          <w:between w:val="nil"/>
          <w:bar w:val="nil"/>
        </w:pBdr>
        <w:tabs>
          <w:tab w:val="left" w:pos="142"/>
        </w:tabs>
        <w:jc w:val="both"/>
        <w:rPr>
          <w:rFonts w:ascii="Arial" w:hAnsi="Arial" w:cs="Arial"/>
          <w:noProof/>
          <w:sz w:val="20"/>
        </w:rPr>
      </w:pPr>
      <w:r w:rsidRPr="00642813">
        <w:rPr>
          <w:rFonts w:ascii="Arial" w:hAnsi="Arial" w:cs="Arial"/>
          <w:noProof/>
          <w:sz w:val="20"/>
        </w:rPr>
        <w:t>Al 31 de diciembre de 2019 la Entidad no cumplía con el ratio de préstamos non-performing ni con el de cobertura, lo cual genera un potencial incumplimiento de los acuerdos de préstamo con el FMO y Proparco por las cláusulas de cross default contenidas en dicho contratos. Este incumplimiento habilitaría a los organismos mencionados anteriormente a acelerar el pago de los préstamos mencionados anteriormente por un importe de $7.167 millones al 31 de diciembre de 2019.</w:t>
      </w:r>
    </w:p>
    <w:p w14:paraId="48116660" w14:textId="77777777" w:rsidR="00E07A49" w:rsidRPr="00642813" w:rsidRDefault="00E07A49" w:rsidP="00E07A49">
      <w:pPr>
        <w:pBdr>
          <w:top w:val="nil"/>
          <w:left w:val="nil"/>
          <w:bottom w:val="nil"/>
          <w:right w:val="nil"/>
          <w:between w:val="nil"/>
          <w:bar w:val="nil"/>
        </w:pBdr>
        <w:tabs>
          <w:tab w:val="left" w:pos="142"/>
        </w:tabs>
        <w:jc w:val="both"/>
        <w:rPr>
          <w:rFonts w:ascii="Arial" w:hAnsi="Arial" w:cs="Arial"/>
          <w:noProof/>
          <w:sz w:val="20"/>
        </w:rPr>
      </w:pPr>
    </w:p>
    <w:p w14:paraId="224FA6DD" w14:textId="30F26B9F" w:rsidR="00AB5D01" w:rsidRDefault="00E07A49" w:rsidP="00E07A49">
      <w:pPr>
        <w:pBdr>
          <w:top w:val="nil"/>
          <w:left w:val="nil"/>
          <w:bottom w:val="nil"/>
          <w:right w:val="nil"/>
          <w:between w:val="nil"/>
          <w:bar w:val="nil"/>
        </w:pBdr>
        <w:tabs>
          <w:tab w:val="left" w:pos="142"/>
        </w:tabs>
        <w:jc w:val="both"/>
        <w:rPr>
          <w:rFonts w:ascii="Arial" w:eastAsiaTheme="minorHAnsi" w:hAnsi="Arial" w:cs="Arial"/>
          <w:sz w:val="20"/>
        </w:rPr>
      </w:pPr>
      <w:r w:rsidRPr="00642813">
        <w:rPr>
          <w:rFonts w:ascii="Arial" w:eastAsiaTheme="minorHAnsi" w:hAnsi="Arial" w:cs="Arial"/>
          <w:sz w:val="20"/>
        </w:rPr>
        <w:t>En consecuencia, con fecha 29 de enero de 2020 la Entidad inició el trámite para obtener un waiver con el BID, el cual se obtuvo el 18 de febrero de 2020. Por el mismo, el BID renuncia a su derecho de acelerar la deuda por el incumplimiento de los ratios de préstamos no performing y de cobertura por el periodo que va del 1 de octubre de 2019 al 31 de diciembre de 2019. También el 16 de abril de 2020, se solicitó una nueva exención al BID, que se obtuvo el 30 de abril de 2020, extendiendo lo mencionado anteriormente hasta el 31 de mayo de 2020.</w:t>
      </w:r>
    </w:p>
    <w:p w14:paraId="7EC262FC" w14:textId="77777777" w:rsidR="00044B2E" w:rsidRPr="002E1AF6" w:rsidRDefault="00044B2E" w:rsidP="002775B9">
      <w:pPr>
        <w:pBdr>
          <w:top w:val="nil"/>
          <w:left w:val="nil"/>
          <w:bottom w:val="nil"/>
          <w:right w:val="nil"/>
          <w:between w:val="nil"/>
          <w:bar w:val="nil"/>
        </w:pBdr>
        <w:tabs>
          <w:tab w:val="left" w:pos="142"/>
        </w:tabs>
        <w:jc w:val="both"/>
        <w:rPr>
          <w:rFonts w:ascii="Arial" w:hAnsi="Arial" w:cs="Arial"/>
          <w:b/>
          <w:noProof/>
          <w:sz w:val="20"/>
        </w:rPr>
      </w:pPr>
    </w:p>
    <w:p w14:paraId="46A20C39" w14:textId="7C3A6599" w:rsidR="0023251D" w:rsidRPr="002E1AF6" w:rsidRDefault="00044B2E" w:rsidP="002E1AF6">
      <w:pPr>
        <w:spacing w:after="160" w:line="259" w:lineRule="auto"/>
        <w:jc w:val="both"/>
        <w:rPr>
          <w:rFonts w:ascii="Arial" w:hAnsi="Arial" w:cs="Arial"/>
          <w:b/>
          <w:noProof/>
        </w:rPr>
      </w:pPr>
      <w:r>
        <w:rPr>
          <w:rFonts w:ascii="Arial" w:hAnsi="Arial" w:cs="Arial"/>
          <w:b/>
          <w:noProof/>
          <w:sz w:val="20"/>
        </w:rPr>
        <w:lastRenderedPageBreak/>
        <w:t xml:space="preserve">17. </w:t>
      </w:r>
      <w:r w:rsidR="0023251D" w:rsidRPr="002E1AF6">
        <w:rPr>
          <w:rFonts w:ascii="Arial" w:hAnsi="Arial" w:cs="Arial"/>
          <w:b/>
          <w:noProof/>
          <w:sz w:val="20"/>
        </w:rPr>
        <w:t>IMPACTO DEL COVID-19 EN LAS OPERACIONES DEL BANCO SUPERVIELLE</w:t>
      </w:r>
    </w:p>
    <w:p w14:paraId="51BBB1EF" w14:textId="77777777" w:rsidR="0023251D" w:rsidRPr="00BA7A6B" w:rsidRDefault="0023251D" w:rsidP="0023251D">
      <w:pPr>
        <w:pStyle w:val="BodyText2Sgl0"/>
        <w:ind w:firstLine="0"/>
        <w:jc w:val="both"/>
        <w:rPr>
          <w:rFonts w:ascii="Arial" w:eastAsia="Times New Roman" w:hAnsi="Arial" w:cs="Arial"/>
          <w:color w:val="000000"/>
          <w:lang w:eastAsia="es-AR"/>
        </w:rPr>
      </w:pPr>
      <w:r w:rsidRPr="00BA7A6B">
        <w:rPr>
          <w:rFonts w:ascii="Arial" w:eastAsia="Times New Roman" w:hAnsi="Arial" w:cs="Arial"/>
          <w:color w:val="000000"/>
          <w:lang w:eastAsia="es-AR"/>
        </w:rPr>
        <w:t>En diciembre de 2019, se informó que una nueva cepa de coronavirus (COVID-19) apareció en Wuhan, China. Desde entonces, COVID-19 se ha extendido a más de 100 países, incluida Argentina. El 11 de marzo de 2020, la Organización Mundial de la Salud declaró a COVID-19 una pandemia. Es probable que la pandemia provoque una desaceleración económica de duración potencialmente prolongada, y es posible que pueda causar una recesión global.</w:t>
      </w:r>
    </w:p>
    <w:p w14:paraId="28A605C0" w14:textId="24856C9D" w:rsidR="0023251D" w:rsidRPr="00BA7A6B" w:rsidRDefault="0023251D" w:rsidP="0023251D">
      <w:pPr>
        <w:pStyle w:val="BodyText2Sgl0"/>
        <w:ind w:firstLine="0"/>
        <w:jc w:val="both"/>
        <w:rPr>
          <w:rFonts w:ascii="Arial" w:eastAsia="Times New Roman" w:hAnsi="Arial" w:cs="Arial"/>
          <w:color w:val="000000"/>
          <w:lang w:eastAsia="es-AR"/>
        </w:rPr>
      </w:pPr>
      <w:r w:rsidRPr="00BA7A6B">
        <w:rPr>
          <w:rFonts w:ascii="Arial" w:eastAsia="Times New Roman" w:hAnsi="Arial" w:cs="Arial"/>
          <w:color w:val="000000"/>
          <w:lang w:eastAsia="es-AR"/>
        </w:rPr>
        <w:t xml:space="preserve">Desde febrero de 2020, el gobierno argentino ha adoptado varias medidas en respuesta al brote de COVID-19 en el país destinadas a prevenir el contagio masivo, incluido el cierre de las fronteras argentinas, la suspensión de vuelos nacionales y, desde el 19 de marzo de 2020, la imposición de un cierre obligatorio en todo el país, por el cual solo se permitieron actividades excepcionales y esenciales y a partir </w:t>
      </w:r>
      <w:r w:rsidRPr="00AB5D01">
        <w:rPr>
          <w:rFonts w:ascii="Arial" w:eastAsia="Times New Roman" w:hAnsi="Arial" w:cs="Arial"/>
          <w:color w:val="000000"/>
          <w:lang w:eastAsia="es-AR"/>
        </w:rPr>
        <w:t xml:space="preserve">de </w:t>
      </w:r>
      <w:r w:rsidR="00AB5D01" w:rsidRPr="002775B9">
        <w:rPr>
          <w:rFonts w:ascii="Arial" w:eastAsia="Times New Roman" w:hAnsi="Arial" w:cs="Arial"/>
          <w:color w:val="000000"/>
          <w:lang w:eastAsia="es-AR"/>
        </w:rPr>
        <w:t>11</w:t>
      </w:r>
      <w:r w:rsidRPr="002775B9">
        <w:rPr>
          <w:rFonts w:ascii="Arial" w:eastAsia="Times New Roman" w:hAnsi="Arial" w:cs="Arial"/>
          <w:color w:val="000000"/>
          <w:lang w:eastAsia="es-AR"/>
        </w:rPr>
        <w:t xml:space="preserve"> de marzo de 2020</w:t>
      </w:r>
      <w:r w:rsidRPr="00BA7A6B">
        <w:rPr>
          <w:rFonts w:ascii="Arial" w:eastAsia="Times New Roman" w:hAnsi="Arial" w:cs="Arial"/>
          <w:color w:val="000000"/>
          <w:lang w:eastAsia="es-AR"/>
        </w:rPr>
        <w:t xml:space="preserve"> se comenzaron a sumar progresivamente ciertas actividades consideradas no esenciales, con diferencias entre cada Provincia y la Ciudad de Buenos Aires. Las actividades bancarias se consideraron esenciales desde el 11 de abril de 2020, con atención en las sucursales permitidas solo con turnos programados previamente. Desde el 20 de marzo hasta el 10 de abril de 2020, las sucursales se cerraron, abriendo solo para pagos de pensiones en ciertas fechas. Durante este período, las actividades bancarias se realizaron solo a través de medios digitales.</w:t>
      </w:r>
    </w:p>
    <w:p w14:paraId="04376E1F" w14:textId="77777777" w:rsidR="0023251D" w:rsidRPr="00BA7A6B" w:rsidRDefault="0023251D" w:rsidP="0023251D">
      <w:pPr>
        <w:pStyle w:val="BodyText2Sgl0"/>
        <w:ind w:firstLine="0"/>
        <w:jc w:val="both"/>
        <w:rPr>
          <w:rFonts w:ascii="Arial" w:eastAsia="Times New Roman" w:hAnsi="Arial" w:cs="Arial"/>
          <w:color w:val="000000"/>
          <w:lang w:eastAsia="es-AR"/>
        </w:rPr>
      </w:pPr>
      <w:r w:rsidRPr="00BA7A6B">
        <w:rPr>
          <w:rFonts w:ascii="Arial" w:eastAsia="Times New Roman" w:hAnsi="Arial" w:cs="Arial"/>
          <w:color w:val="000000"/>
          <w:lang w:eastAsia="es-AR"/>
        </w:rPr>
        <w:t>Durante este tiempo, todas las transacciones se han procesado casi exclusivamente a través de canales digitales. También solicitamos a nuestros empleados administrativos y del back office, que trabajen desde su hogar, proporcionando la infraestructura de hardware requerida y el acceso remoto, mientras que las sucursales comerciales operan con medidas de seguridad adicionales para proteger la salud de los clientes y empleados.</w:t>
      </w:r>
    </w:p>
    <w:p w14:paraId="5D8846CB" w14:textId="77777777" w:rsidR="0023251D" w:rsidRPr="00BA7A6B" w:rsidRDefault="0023251D" w:rsidP="0023251D">
      <w:pPr>
        <w:pStyle w:val="BodyText2Sgl0"/>
        <w:ind w:firstLine="0"/>
        <w:jc w:val="both"/>
        <w:rPr>
          <w:rFonts w:ascii="Arial" w:eastAsia="Times New Roman" w:hAnsi="Arial" w:cs="Arial"/>
          <w:color w:val="000000"/>
          <w:lang w:eastAsia="es-AR"/>
        </w:rPr>
      </w:pPr>
      <w:r w:rsidRPr="00BA7A6B">
        <w:rPr>
          <w:rFonts w:ascii="Arial" w:eastAsia="Times New Roman" w:hAnsi="Arial" w:cs="Arial"/>
          <w:color w:val="000000"/>
          <w:lang w:eastAsia="es-AR"/>
        </w:rPr>
        <w:t>Para mitigar el impacto económico del aislamiento, el Banco Central emitió una serie de medidas preventivas, que incluyen las siguientes:</w:t>
      </w:r>
    </w:p>
    <w:p w14:paraId="5010C80A" w14:textId="77777777" w:rsidR="0023251D" w:rsidRPr="00BA7A6B" w:rsidRDefault="0023251D" w:rsidP="0023251D">
      <w:pPr>
        <w:pStyle w:val="ListParagraph"/>
        <w:numPr>
          <w:ilvl w:val="0"/>
          <w:numId w:val="46"/>
        </w:numPr>
        <w:contextualSpacing/>
        <w:jc w:val="both"/>
        <w:rPr>
          <w:rFonts w:ascii="Arial" w:hAnsi="Arial" w:cs="Arial"/>
          <w:color w:val="000000"/>
          <w:sz w:val="20"/>
          <w:lang w:eastAsia="es-AR"/>
        </w:rPr>
      </w:pPr>
      <w:r w:rsidRPr="00BA7A6B">
        <w:rPr>
          <w:rFonts w:ascii="Arial" w:hAnsi="Arial" w:cs="Arial"/>
          <w:color w:val="000000"/>
          <w:sz w:val="20"/>
          <w:lang w:eastAsia="es-AR"/>
        </w:rPr>
        <w:t>La comunicación “A” 6937 redujo las restricciones de posición sobre la posición máxima en notas de liquidez del Banco Central (LELIQ), con el fin de poner a disposición la liquidez y alentar la provisión de líneas de crédito a las PYME a un tipo preferencial (no más de 24% por año).</w:t>
      </w:r>
    </w:p>
    <w:p w14:paraId="2ED70FDC" w14:textId="77777777" w:rsidR="0023251D" w:rsidRPr="00BA7A6B" w:rsidRDefault="0023251D" w:rsidP="0023251D">
      <w:pPr>
        <w:pStyle w:val="ListParagraph"/>
        <w:ind w:left="1080"/>
        <w:contextualSpacing/>
        <w:jc w:val="both"/>
        <w:rPr>
          <w:rFonts w:ascii="Arial" w:hAnsi="Arial" w:cs="Arial"/>
          <w:color w:val="000000"/>
          <w:sz w:val="20"/>
          <w:lang w:eastAsia="es-AR"/>
        </w:rPr>
      </w:pPr>
    </w:p>
    <w:p w14:paraId="0B8837CD" w14:textId="77777777" w:rsidR="0023251D" w:rsidRPr="00BA7A6B" w:rsidRDefault="0023251D" w:rsidP="0023251D">
      <w:pPr>
        <w:pStyle w:val="ListParagraph"/>
        <w:numPr>
          <w:ilvl w:val="0"/>
          <w:numId w:val="46"/>
        </w:numPr>
        <w:contextualSpacing/>
        <w:jc w:val="both"/>
        <w:rPr>
          <w:rFonts w:ascii="Arial" w:hAnsi="Arial" w:cs="Arial"/>
          <w:color w:val="000000"/>
          <w:sz w:val="20"/>
          <w:lang w:eastAsia="es-AR"/>
        </w:rPr>
      </w:pPr>
      <w:r w:rsidRPr="00BA7A6B">
        <w:rPr>
          <w:rFonts w:ascii="Arial" w:hAnsi="Arial" w:cs="Arial"/>
          <w:color w:val="000000"/>
          <w:sz w:val="20"/>
          <w:lang w:eastAsia="es-AR"/>
        </w:rPr>
        <w:t>Comunicaciones “A” 6939 y “A” 6942, por medio de las cuales se determinó que: (i) las instituciones financieras no estarán abiertas al público desde el 20 de marzo hasta el 12 de abril de 2020, y (ii) el vencimiento de los financiamientos otorgado por instituciones financieras locales que iban a ocurrir durante ese período fueron pospuestos. En este sentido, la Comunicación "A" 6949 también renunció a cualquier interés punitivo sobre saldos impagos en créditos otorgados por entidades financieras.</w:t>
      </w:r>
    </w:p>
    <w:p w14:paraId="03D174E4" w14:textId="77777777" w:rsidR="0023251D" w:rsidRPr="00BA7A6B" w:rsidRDefault="0023251D" w:rsidP="0023251D">
      <w:pPr>
        <w:pStyle w:val="ListParagraph"/>
        <w:rPr>
          <w:rFonts w:ascii="Arial" w:hAnsi="Arial" w:cs="Arial"/>
          <w:color w:val="000000"/>
          <w:sz w:val="20"/>
          <w:lang w:eastAsia="es-AR"/>
        </w:rPr>
      </w:pPr>
    </w:p>
    <w:p w14:paraId="157DF1E6" w14:textId="77777777" w:rsidR="0023251D" w:rsidRPr="00BA7A6B" w:rsidRDefault="0023251D" w:rsidP="0023251D">
      <w:pPr>
        <w:pStyle w:val="ListParagraph"/>
        <w:numPr>
          <w:ilvl w:val="0"/>
          <w:numId w:val="46"/>
        </w:numPr>
        <w:contextualSpacing/>
        <w:jc w:val="both"/>
        <w:rPr>
          <w:rFonts w:ascii="Arial" w:hAnsi="Arial" w:cs="Arial"/>
          <w:color w:val="000000"/>
          <w:sz w:val="20"/>
          <w:lang w:eastAsia="es-AR"/>
        </w:rPr>
      </w:pPr>
      <w:r w:rsidRPr="00BA7A6B">
        <w:rPr>
          <w:rFonts w:ascii="Arial" w:hAnsi="Arial" w:cs="Arial"/>
          <w:color w:val="000000"/>
          <w:sz w:val="20"/>
          <w:lang w:eastAsia="es-AR"/>
        </w:rPr>
        <w:t>La comunicación “A” 6939 también suspendió, hasta el 30 de junio de 2020, la distribución de dividendos por entidades financieras.</w:t>
      </w:r>
    </w:p>
    <w:p w14:paraId="1BB5B855" w14:textId="77777777" w:rsidR="0023251D" w:rsidRPr="00BA7A6B" w:rsidRDefault="0023251D" w:rsidP="0023251D">
      <w:pPr>
        <w:pStyle w:val="ListParagraph"/>
        <w:rPr>
          <w:rFonts w:ascii="Arial" w:hAnsi="Arial" w:cs="Arial"/>
          <w:color w:val="000000"/>
          <w:sz w:val="20"/>
          <w:lang w:eastAsia="es-AR"/>
        </w:rPr>
      </w:pPr>
    </w:p>
    <w:p w14:paraId="256D5C10" w14:textId="77777777" w:rsidR="0023251D" w:rsidRPr="00BA7A6B" w:rsidRDefault="0023251D" w:rsidP="0023251D">
      <w:pPr>
        <w:pStyle w:val="ListParagraph"/>
        <w:numPr>
          <w:ilvl w:val="0"/>
          <w:numId w:val="46"/>
        </w:numPr>
        <w:contextualSpacing/>
        <w:jc w:val="both"/>
        <w:rPr>
          <w:rFonts w:ascii="Arial" w:hAnsi="Arial" w:cs="Arial"/>
          <w:color w:val="000000"/>
          <w:sz w:val="20"/>
          <w:lang w:eastAsia="es-AR"/>
        </w:rPr>
      </w:pPr>
      <w:r w:rsidRPr="00BA7A6B">
        <w:rPr>
          <w:rFonts w:ascii="Arial" w:hAnsi="Arial" w:cs="Arial"/>
          <w:color w:val="000000"/>
          <w:sz w:val="20"/>
          <w:lang w:eastAsia="es-AR"/>
        </w:rPr>
        <w:lastRenderedPageBreak/>
        <w:t>La comunicación “A” 6945 determinó que hasta el 30 de junio de 2020, cualquier operación efectuada a través de cajeros automáticos no estará sujeta a ningún cargo o tarifa.</w:t>
      </w:r>
    </w:p>
    <w:p w14:paraId="6F719AB7" w14:textId="77777777" w:rsidR="0023251D" w:rsidRPr="00BA7A6B" w:rsidRDefault="0023251D" w:rsidP="0023251D">
      <w:pPr>
        <w:pStyle w:val="ListParagraph"/>
        <w:rPr>
          <w:rFonts w:ascii="Arial" w:hAnsi="Arial" w:cs="Arial"/>
          <w:color w:val="000000"/>
          <w:sz w:val="20"/>
          <w:lang w:eastAsia="es-AR"/>
        </w:rPr>
      </w:pPr>
    </w:p>
    <w:p w14:paraId="74495491" w14:textId="77777777" w:rsidR="0023251D" w:rsidRPr="00BA7A6B" w:rsidRDefault="0023251D" w:rsidP="0023251D">
      <w:pPr>
        <w:pStyle w:val="ListParagraph"/>
        <w:numPr>
          <w:ilvl w:val="0"/>
          <w:numId w:val="46"/>
        </w:numPr>
        <w:contextualSpacing/>
        <w:jc w:val="both"/>
        <w:rPr>
          <w:rFonts w:ascii="Arial" w:hAnsi="Arial" w:cs="Arial"/>
          <w:color w:val="000000"/>
          <w:sz w:val="20"/>
          <w:lang w:eastAsia="es-AR"/>
        </w:rPr>
      </w:pPr>
      <w:r w:rsidRPr="00BA7A6B">
        <w:rPr>
          <w:rFonts w:ascii="Arial" w:hAnsi="Arial" w:cs="Arial"/>
          <w:color w:val="000000"/>
          <w:sz w:val="20"/>
          <w:lang w:eastAsia="es-AR"/>
        </w:rPr>
        <w:t>La Comunicación “A” 6964 determinó que los saldos impagos de financiamientos de tarjetas de crédito que tienen lugar entre el 13 de abril de 2020 y el 30 de abril de 2020, se refinanciarán automáticamente durante al menos un año con 3 meses de gracia en 9 cuotas mensuales iguales y consecutivas. Además, a través de la Comunicación “A” 6993, del 24 de abril de 2020, el Banco Central estableció una política de financiamiento de tasa de interés cero, aplicable solo a los clientes elegibles que la AFIP determinará en el futuro.</w:t>
      </w:r>
    </w:p>
    <w:p w14:paraId="3C3E22B5" w14:textId="77777777" w:rsidR="0023251D" w:rsidRPr="00BA7A6B" w:rsidRDefault="0023251D" w:rsidP="0023251D">
      <w:pPr>
        <w:pStyle w:val="ListParagraph"/>
        <w:rPr>
          <w:rFonts w:ascii="Arial" w:hAnsi="Arial" w:cs="Arial"/>
          <w:color w:val="000000"/>
          <w:sz w:val="20"/>
          <w:lang w:eastAsia="es-AR"/>
        </w:rPr>
      </w:pPr>
    </w:p>
    <w:p w14:paraId="36C6401D" w14:textId="77777777" w:rsidR="0023251D" w:rsidRPr="00BA7A6B" w:rsidRDefault="0023251D" w:rsidP="0023251D">
      <w:pPr>
        <w:pStyle w:val="ListParagraph"/>
        <w:numPr>
          <w:ilvl w:val="0"/>
          <w:numId w:val="46"/>
        </w:numPr>
        <w:contextualSpacing/>
        <w:jc w:val="both"/>
        <w:rPr>
          <w:rFonts w:ascii="Arial" w:hAnsi="Arial" w:cs="Arial"/>
          <w:color w:val="000000"/>
          <w:sz w:val="20"/>
          <w:lang w:eastAsia="es-AR"/>
        </w:rPr>
      </w:pPr>
      <w:r w:rsidRPr="00BA7A6B">
        <w:rPr>
          <w:rFonts w:ascii="Arial" w:hAnsi="Arial" w:cs="Arial"/>
          <w:color w:val="000000"/>
          <w:sz w:val="20"/>
          <w:lang w:eastAsia="es-AR"/>
        </w:rPr>
        <w:t>La comunicación “A” 6980 dictaminó que todos los depósitos a plazo no ajustables por debajo de Ps. 1 millón integrado por individuos a partir del 20 de abril de 2020, tendrá una tasa mínima equivalente al 70% de la licitación promedio de LELIQ.</w:t>
      </w:r>
    </w:p>
    <w:p w14:paraId="6E966183" w14:textId="77777777" w:rsidR="0023251D" w:rsidRPr="00BA7A6B" w:rsidRDefault="0023251D" w:rsidP="0023251D">
      <w:pPr>
        <w:pStyle w:val="BodyText2Sgl0"/>
        <w:ind w:firstLine="0"/>
        <w:jc w:val="both"/>
        <w:rPr>
          <w:rFonts w:ascii="Arial" w:eastAsia="Times New Roman" w:hAnsi="Arial" w:cs="Arial"/>
          <w:color w:val="000000"/>
          <w:lang w:eastAsia="es-AR"/>
        </w:rPr>
      </w:pPr>
    </w:p>
    <w:p w14:paraId="1A27DBA6" w14:textId="77777777" w:rsidR="0023251D" w:rsidRPr="00BA7A6B" w:rsidRDefault="0023251D" w:rsidP="0023251D">
      <w:pPr>
        <w:pStyle w:val="BodyText2Sgl0"/>
        <w:ind w:firstLine="0"/>
        <w:jc w:val="both"/>
        <w:rPr>
          <w:rFonts w:ascii="Arial" w:eastAsia="Times New Roman" w:hAnsi="Arial" w:cs="Arial"/>
          <w:color w:val="000000"/>
          <w:lang w:eastAsia="es-AR"/>
        </w:rPr>
      </w:pPr>
      <w:r w:rsidRPr="00BA7A6B">
        <w:rPr>
          <w:rFonts w:ascii="Arial" w:eastAsia="Times New Roman" w:hAnsi="Arial" w:cs="Arial"/>
          <w:color w:val="000000"/>
          <w:lang w:eastAsia="es-AR"/>
        </w:rPr>
        <w:t>Algunas de estas medidas pueden afectar negativamente nuestros ingresos, mientras que las consecuencias del aislamiento en la actividad económica pueden afectar la capacidad de algunos de nuestros clientes para pagar sus préstamos, aumentando así las provisiones para pérdidas crediticias. No obstante, la medida en que nuestro negocio se verá afectado dependerá de desarrollos futuros, que son altamente inciertos y no se pueden predecir. Ciertos factores que podrían compensar estos impactos negativos, incluyen (i) la reducción del costo de fondeo, que ha disminuido desde el inicio de la crisis por la pandemia, y (ii) la estructura de nuestros pasivos, sobre los que estimamos que no enfrentaremos restricciones de liquidez como resultado de la pandemia.</w:t>
      </w:r>
    </w:p>
    <w:p w14:paraId="70408935" w14:textId="2C3893A5" w:rsidR="002B6E2E" w:rsidRPr="00D025E4" w:rsidRDefault="002B6E2E" w:rsidP="002B6E2E">
      <w:pPr>
        <w:jc w:val="both"/>
        <w:rPr>
          <w:rFonts w:ascii="Arial" w:eastAsia="Georgia" w:hAnsi="Arial" w:cs="Arial"/>
          <w:color w:val="000000"/>
          <w:sz w:val="20"/>
        </w:rPr>
      </w:pPr>
      <w:r w:rsidRPr="00D025E4">
        <w:rPr>
          <w:rFonts w:ascii="Arial" w:eastAsia="Georgia" w:hAnsi="Arial" w:cs="Arial"/>
          <w:color w:val="000000"/>
          <w:sz w:val="20"/>
        </w:rPr>
        <w:t>.</w:t>
      </w:r>
    </w:p>
    <w:p w14:paraId="1C923C74" w14:textId="77777777" w:rsidR="002B6E2E" w:rsidRPr="00BA7A6B" w:rsidRDefault="002B6E2E" w:rsidP="002B6E2E">
      <w:pPr>
        <w:jc w:val="both"/>
        <w:rPr>
          <w:rFonts w:ascii="Arial" w:hAnsi="Arial" w:cs="Arial"/>
          <w:color w:val="000000"/>
          <w:sz w:val="20"/>
        </w:rPr>
      </w:pPr>
    </w:p>
    <w:p w14:paraId="0D70B6F2" w14:textId="77777777" w:rsidR="002B6E2E" w:rsidRPr="0023251D" w:rsidRDefault="002B6E2E" w:rsidP="003E58B4">
      <w:pPr>
        <w:widowControl w:val="0"/>
        <w:autoSpaceDE w:val="0"/>
        <w:autoSpaceDN w:val="0"/>
        <w:adjustRightInd w:val="0"/>
        <w:jc w:val="both"/>
        <w:rPr>
          <w:rFonts w:ascii="Arial" w:hAnsi="Arial" w:cs="Arial"/>
          <w:noProof/>
          <w:sz w:val="20"/>
        </w:rPr>
      </w:pPr>
    </w:p>
    <w:p w14:paraId="725E288C" w14:textId="77777777" w:rsidR="003E58B4" w:rsidRPr="0023251D" w:rsidRDefault="003E58B4" w:rsidP="007532DD">
      <w:pPr>
        <w:tabs>
          <w:tab w:val="left" w:pos="709"/>
          <w:tab w:val="left" w:pos="851"/>
        </w:tabs>
        <w:ind w:left="284" w:right="51"/>
        <w:contextualSpacing/>
        <w:jc w:val="both"/>
        <w:rPr>
          <w:rFonts w:ascii="Arial" w:hAnsi="Arial" w:cs="Arial"/>
          <w:b/>
          <w:sz w:val="20"/>
        </w:rPr>
      </w:pPr>
    </w:p>
    <w:p w14:paraId="3424262B" w14:textId="4BF56A8F" w:rsidR="00D26299" w:rsidRPr="00701F32" w:rsidRDefault="00D26299" w:rsidP="007532DD">
      <w:pPr>
        <w:tabs>
          <w:tab w:val="left" w:pos="709"/>
          <w:tab w:val="left" w:pos="851"/>
        </w:tabs>
        <w:ind w:left="284" w:right="51"/>
        <w:contextualSpacing/>
        <w:jc w:val="both"/>
        <w:rPr>
          <w:rFonts w:ascii="Arial" w:hAnsi="Arial" w:cs="Arial"/>
          <w:b/>
          <w:sz w:val="20"/>
        </w:rPr>
        <w:sectPr w:rsidR="00D26299" w:rsidRPr="00701F32" w:rsidSect="007045C3">
          <w:headerReference w:type="default" r:id="rId39"/>
          <w:pgSz w:w="11907" w:h="16839" w:code="9"/>
          <w:pgMar w:top="1418" w:right="1701" w:bottom="1418" w:left="1701" w:header="567" w:footer="0" w:gutter="0"/>
          <w:paperSrc w:first="256" w:other="256"/>
          <w:cols w:space="720"/>
          <w:docGrid w:linePitch="326"/>
        </w:sectPr>
      </w:pPr>
    </w:p>
    <w:p w14:paraId="69D91663" w14:textId="46B46BAE" w:rsidR="007532DD" w:rsidRPr="00701F32" w:rsidRDefault="007532DD" w:rsidP="007532DD">
      <w:pPr>
        <w:tabs>
          <w:tab w:val="left" w:pos="709"/>
          <w:tab w:val="left" w:pos="851"/>
        </w:tabs>
        <w:ind w:left="284" w:right="51"/>
        <w:contextualSpacing/>
        <w:jc w:val="both"/>
        <w:rPr>
          <w:rFonts w:ascii="Arial" w:hAnsi="Arial" w:cs="Arial"/>
          <w:sz w:val="20"/>
        </w:rPr>
      </w:pPr>
    </w:p>
    <w:tbl>
      <w:tblPr>
        <w:tblW w:w="9782" w:type="dxa"/>
        <w:tblLayout w:type="fixed"/>
        <w:tblCellMar>
          <w:left w:w="70" w:type="dxa"/>
          <w:right w:w="70" w:type="dxa"/>
        </w:tblCellMar>
        <w:tblLook w:val="04A0" w:firstRow="1" w:lastRow="0" w:firstColumn="1" w:lastColumn="0" w:noHBand="0" w:noVBand="1"/>
      </w:tblPr>
      <w:tblGrid>
        <w:gridCol w:w="3188"/>
        <w:gridCol w:w="709"/>
        <w:gridCol w:w="850"/>
        <w:gridCol w:w="794"/>
        <w:gridCol w:w="841"/>
        <w:gridCol w:w="842"/>
        <w:gridCol w:w="915"/>
        <w:gridCol w:w="778"/>
        <w:gridCol w:w="848"/>
        <w:gridCol w:w="17"/>
      </w:tblGrid>
      <w:tr w:rsidR="00D926FE" w:rsidRPr="00D926FE" w14:paraId="3DF89D23" w14:textId="77777777" w:rsidTr="008066E1">
        <w:trPr>
          <w:gridAfter w:val="1"/>
          <w:wAfter w:w="17" w:type="dxa"/>
          <w:trHeight w:val="240"/>
          <w:tblHeader/>
        </w:trPr>
        <w:tc>
          <w:tcPr>
            <w:tcW w:w="3188" w:type="dxa"/>
            <w:vMerge w:val="restart"/>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1A6701CA"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Concepto</w:t>
            </w:r>
          </w:p>
        </w:tc>
        <w:tc>
          <w:tcPr>
            <w:tcW w:w="709" w:type="dxa"/>
            <w:vMerge w:val="restart"/>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592D8FB2" w14:textId="77777777" w:rsid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Identifi</w:t>
            </w:r>
          </w:p>
          <w:p w14:paraId="7CBC5182" w14:textId="124416DB"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cación</w:t>
            </w:r>
          </w:p>
        </w:tc>
        <w:tc>
          <w:tcPr>
            <w:tcW w:w="3327" w:type="dxa"/>
            <w:gridSpan w:val="4"/>
            <w:tcBorders>
              <w:top w:val="single" w:sz="4" w:space="0" w:color="363639"/>
              <w:left w:val="nil"/>
              <w:bottom w:val="single" w:sz="4" w:space="0" w:color="363639"/>
              <w:right w:val="single" w:sz="4" w:space="0" w:color="363639"/>
            </w:tcBorders>
            <w:shd w:val="clear" w:color="auto" w:fill="D9D9D9" w:themeFill="background1" w:themeFillShade="D9"/>
            <w:vAlign w:val="center"/>
            <w:hideMark/>
          </w:tcPr>
          <w:p w14:paraId="5F8FF218"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TENENCIA</w:t>
            </w:r>
          </w:p>
        </w:tc>
        <w:tc>
          <w:tcPr>
            <w:tcW w:w="2541" w:type="dxa"/>
            <w:gridSpan w:val="3"/>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304764F3"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POSICION</w:t>
            </w:r>
          </w:p>
        </w:tc>
      </w:tr>
      <w:tr w:rsidR="00D926FE" w:rsidRPr="00D926FE" w14:paraId="415334B5" w14:textId="77777777" w:rsidTr="008066E1">
        <w:trPr>
          <w:gridAfter w:val="1"/>
          <w:wAfter w:w="17" w:type="dxa"/>
          <w:trHeight w:val="855"/>
          <w:tblHeader/>
        </w:trPr>
        <w:tc>
          <w:tcPr>
            <w:tcW w:w="3188" w:type="dxa"/>
            <w:vMerge/>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05B11FE9" w14:textId="77777777" w:rsidR="00D926FE" w:rsidRPr="00D926FE" w:rsidRDefault="00D926FE" w:rsidP="00D926FE">
            <w:pPr>
              <w:rPr>
                <w:rFonts w:ascii="Arial" w:hAnsi="Arial" w:cs="Arial"/>
                <w:b/>
                <w:bCs/>
                <w:sz w:val="14"/>
                <w:szCs w:val="14"/>
                <w:lang w:eastAsia="es-AR"/>
              </w:rPr>
            </w:pPr>
          </w:p>
        </w:tc>
        <w:tc>
          <w:tcPr>
            <w:tcW w:w="709" w:type="dxa"/>
            <w:vMerge/>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7721D91A" w14:textId="77777777" w:rsidR="00D926FE" w:rsidRPr="00D926FE" w:rsidRDefault="00D926FE" w:rsidP="00D926FE">
            <w:pPr>
              <w:jc w:val="center"/>
              <w:rPr>
                <w:rFonts w:ascii="Arial" w:hAnsi="Arial" w:cs="Arial"/>
                <w:b/>
                <w:bCs/>
                <w:sz w:val="14"/>
                <w:szCs w:val="14"/>
                <w:lang w:eastAsia="es-AR"/>
              </w:rPr>
            </w:pPr>
          </w:p>
        </w:tc>
        <w:tc>
          <w:tcPr>
            <w:tcW w:w="850" w:type="dxa"/>
            <w:tcBorders>
              <w:top w:val="nil"/>
              <w:left w:val="nil"/>
              <w:bottom w:val="single" w:sz="4" w:space="0" w:color="363639"/>
              <w:right w:val="single" w:sz="4" w:space="0" w:color="363639"/>
            </w:tcBorders>
            <w:shd w:val="clear" w:color="auto" w:fill="D9D9D9" w:themeFill="background1" w:themeFillShade="D9"/>
            <w:vAlign w:val="center"/>
            <w:hideMark/>
          </w:tcPr>
          <w:p w14:paraId="6892A1C5"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Valor razonable</w:t>
            </w:r>
          </w:p>
        </w:tc>
        <w:tc>
          <w:tcPr>
            <w:tcW w:w="794" w:type="dxa"/>
            <w:tcBorders>
              <w:top w:val="nil"/>
              <w:left w:val="nil"/>
              <w:bottom w:val="single" w:sz="4" w:space="0" w:color="363639"/>
              <w:right w:val="single" w:sz="4" w:space="0" w:color="363639"/>
            </w:tcBorders>
            <w:shd w:val="clear" w:color="auto" w:fill="D9D9D9" w:themeFill="background1" w:themeFillShade="D9"/>
            <w:vAlign w:val="center"/>
            <w:hideMark/>
          </w:tcPr>
          <w:p w14:paraId="5C54EEFC"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Nivel de valor razonable</w:t>
            </w:r>
          </w:p>
        </w:tc>
        <w:tc>
          <w:tcPr>
            <w:tcW w:w="841" w:type="dxa"/>
            <w:tcBorders>
              <w:top w:val="nil"/>
              <w:left w:val="nil"/>
              <w:bottom w:val="single" w:sz="4" w:space="0" w:color="363639"/>
              <w:right w:val="single" w:sz="4" w:space="0" w:color="363639"/>
            </w:tcBorders>
            <w:shd w:val="clear" w:color="auto" w:fill="D9D9D9" w:themeFill="background1" w:themeFillShade="D9"/>
            <w:vAlign w:val="center"/>
            <w:hideMark/>
          </w:tcPr>
          <w:p w14:paraId="41613361" w14:textId="4A408163"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Saldo de libros 3</w:t>
            </w:r>
            <w:r w:rsidR="008066E1">
              <w:rPr>
                <w:rFonts w:ascii="Arial" w:hAnsi="Arial" w:cs="Arial"/>
                <w:b/>
                <w:bCs/>
                <w:sz w:val="14"/>
                <w:szCs w:val="14"/>
                <w:lang w:eastAsia="es-AR"/>
              </w:rPr>
              <w:t>1/03/20</w:t>
            </w:r>
          </w:p>
        </w:tc>
        <w:tc>
          <w:tcPr>
            <w:tcW w:w="842" w:type="dxa"/>
            <w:tcBorders>
              <w:top w:val="nil"/>
              <w:left w:val="nil"/>
              <w:bottom w:val="single" w:sz="4" w:space="0" w:color="363639"/>
              <w:right w:val="single" w:sz="4" w:space="0" w:color="363639"/>
            </w:tcBorders>
            <w:shd w:val="clear" w:color="auto" w:fill="D9D9D9" w:themeFill="background1" w:themeFillShade="D9"/>
            <w:vAlign w:val="center"/>
            <w:hideMark/>
          </w:tcPr>
          <w:p w14:paraId="48FCF76A" w14:textId="66930593"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Saldo de libros 31/12/</w:t>
            </w:r>
            <w:r w:rsidR="008066E1">
              <w:rPr>
                <w:rFonts w:ascii="Arial" w:hAnsi="Arial" w:cs="Arial"/>
                <w:b/>
                <w:bCs/>
                <w:sz w:val="14"/>
                <w:szCs w:val="14"/>
                <w:lang w:eastAsia="es-AR"/>
              </w:rPr>
              <w:t>19</w:t>
            </w:r>
          </w:p>
        </w:tc>
        <w:tc>
          <w:tcPr>
            <w:tcW w:w="915" w:type="dxa"/>
            <w:tcBorders>
              <w:top w:val="nil"/>
              <w:left w:val="nil"/>
              <w:bottom w:val="single" w:sz="4" w:space="0" w:color="363639"/>
              <w:right w:val="single" w:sz="4" w:space="0" w:color="363639"/>
            </w:tcBorders>
            <w:shd w:val="clear" w:color="auto" w:fill="D9D9D9" w:themeFill="background1" w:themeFillShade="D9"/>
            <w:vAlign w:val="center"/>
            <w:hideMark/>
          </w:tcPr>
          <w:p w14:paraId="2BAC7BEB"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Posición sin opciones</w:t>
            </w:r>
          </w:p>
        </w:tc>
        <w:tc>
          <w:tcPr>
            <w:tcW w:w="778" w:type="dxa"/>
            <w:tcBorders>
              <w:top w:val="nil"/>
              <w:left w:val="nil"/>
              <w:bottom w:val="single" w:sz="4" w:space="0" w:color="363639"/>
              <w:right w:val="single" w:sz="4" w:space="0" w:color="363639"/>
            </w:tcBorders>
            <w:shd w:val="clear" w:color="auto" w:fill="D9D9D9" w:themeFill="background1" w:themeFillShade="D9"/>
            <w:vAlign w:val="center"/>
            <w:hideMark/>
          </w:tcPr>
          <w:p w14:paraId="131ABB1E"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Opciones</w:t>
            </w:r>
          </w:p>
        </w:tc>
        <w:tc>
          <w:tcPr>
            <w:tcW w:w="848" w:type="dxa"/>
            <w:tcBorders>
              <w:top w:val="nil"/>
              <w:left w:val="nil"/>
              <w:bottom w:val="single" w:sz="4" w:space="0" w:color="363639"/>
              <w:right w:val="single" w:sz="4" w:space="0" w:color="363639"/>
            </w:tcBorders>
            <w:shd w:val="clear" w:color="auto" w:fill="D9D9D9" w:themeFill="background1" w:themeFillShade="D9"/>
            <w:vAlign w:val="center"/>
            <w:hideMark/>
          </w:tcPr>
          <w:p w14:paraId="03893216"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Posición Final</w:t>
            </w:r>
          </w:p>
        </w:tc>
      </w:tr>
      <w:tr w:rsidR="00D926FE" w:rsidRPr="00D926FE" w14:paraId="51D1C95C" w14:textId="77777777" w:rsidTr="008066E1">
        <w:trPr>
          <w:trHeight w:val="233"/>
        </w:trPr>
        <w:tc>
          <w:tcPr>
            <w:tcW w:w="9782" w:type="dxa"/>
            <w:gridSpan w:val="10"/>
            <w:tcBorders>
              <w:top w:val="nil"/>
              <w:left w:val="nil"/>
              <w:bottom w:val="nil"/>
              <w:right w:val="nil"/>
            </w:tcBorders>
            <w:shd w:val="clear" w:color="auto" w:fill="auto"/>
            <w:hideMark/>
          </w:tcPr>
          <w:p w14:paraId="6B87BFB1" w14:textId="59EC205A" w:rsidR="00D926FE" w:rsidRPr="008066E1" w:rsidRDefault="00D926FE" w:rsidP="00D926FE">
            <w:pPr>
              <w:rPr>
                <w:rFonts w:ascii="Arial" w:hAnsi="Arial" w:cs="Arial"/>
                <w:b/>
                <w:bCs/>
                <w:color w:val="000000" w:themeColor="text1"/>
                <w:sz w:val="14"/>
                <w:szCs w:val="14"/>
                <w:lang w:eastAsia="es-AR"/>
              </w:rPr>
            </w:pPr>
            <w:r w:rsidRPr="008066E1">
              <w:rPr>
                <w:rFonts w:ascii="Arial" w:hAnsi="Arial" w:cs="Arial"/>
                <w:b/>
                <w:bCs/>
                <w:color w:val="000000" w:themeColor="text1"/>
                <w:sz w:val="14"/>
                <w:szCs w:val="14"/>
                <w:lang w:eastAsia="es-AR"/>
              </w:rPr>
              <w:t>TITULOS DE DEUDA A VALOR RAZONABLE CON CAMBIOS EN RESULTADOS</w:t>
            </w:r>
          </w:p>
        </w:tc>
      </w:tr>
      <w:tr w:rsidR="00D926FE" w:rsidRPr="00D926FE" w14:paraId="2FDBEEEF"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7826A32A" w14:textId="77777777" w:rsidR="00D926FE" w:rsidRPr="008066E1" w:rsidRDefault="00D926FE" w:rsidP="00B03371">
            <w:pPr>
              <w:rPr>
                <w:rFonts w:ascii="Arial" w:hAnsi="Arial" w:cs="Arial"/>
                <w:b/>
                <w:bCs/>
                <w:i/>
                <w:iCs/>
                <w:color w:val="000000" w:themeColor="text1"/>
                <w:sz w:val="14"/>
                <w:szCs w:val="14"/>
                <w:lang w:eastAsia="es-AR"/>
              </w:rPr>
            </w:pPr>
            <w:r w:rsidRPr="008066E1">
              <w:rPr>
                <w:rFonts w:ascii="Arial" w:hAnsi="Arial" w:cs="Arial"/>
                <w:b/>
                <w:bCs/>
                <w:i/>
                <w:iCs/>
                <w:color w:val="000000" w:themeColor="text1"/>
                <w:sz w:val="14"/>
                <w:szCs w:val="14"/>
                <w:lang w:eastAsia="es-AR"/>
              </w:rPr>
              <w:t>Del País</w:t>
            </w:r>
          </w:p>
        </w:tc>
        <w:tc>
          <w:tcPr>
            <w:tcW w:w="709" w:type="dxa"/>
            <w:tcBorders>
              <w:top w:val="nil"/>
              <w:left w:val="nil"/>
              <w:bottom w:val="nil"/>
              <w:right w:val="nil"/>
            </w:tcBorders>
            <w:shd w:val="clear" w:color="auto" w:fill="auto"/>
            <w:vAlign w:val="center"/>
            <w:hideMark/>
          </w:tcPr>
          <w:p w14:paraId="7D4E6CCD" w14:textId="77777777" w:rsidR="00D926FE" w:rsidRPr="008066E1" w:rsidRDefault="00D926FE" w:rsidP="00B03371">
            <w:pPr>
              <w:jc w:val="center"/>
              <w:rPr>
                <w:rFonts w:ascii="Arial" w:hAnsi="Arial" w:cs="Arial"/>
                <w:b/>
                <w:bCs/>
                <w:i/>
                <w:iCs/>
                <w:color w:val="000000" w:themeColor="text1"/>
                <w:sz w:val="14"/>
                <w:szCs w:val="14"/>
                <w:lang w:eastAsia="es-AR"/>
              </w:rPr>
            </w:pPr>
          </w:p>
        </w:tc>
        <w:tc>
          <w:tcPr>
            <w:tcW w:w="850" w:type="dxa"/>
            <w:tcBorders>
              <w:top w:val="nil"/>
              <w:left w:val="nil"/>
              <w:bottom w:val="nil"/>
              <w:right w:val="nil"/>
            </w:tcBorders>
            <w:shd w:val="clear" w:color="auto" w:fill="auto"/>
            <w:hideMark/>
          </w:tcPr>
          <w:p w14:paraId="44B10010" w14:textId="77777777" w:rsidR="00D926FE" w:rsidRPr="008066E1" w:rsidRDefault="00D926FE" w:rsidP="00D926FE">
            <w:pPr>
              <w:rPr>
                <w:color w:val="000000" w:themeColor="text1"/>
                <w:sz w:val="20"/>
                <w:lang w:eastAsia="es-AR"/>
              </w:rPr>
            </w:pPr>
          </w:p>
        </w:tc>
        <w:tc>
          <w:tcPr>
            <w:tcW w:w="794" w:type="dxa"/>
            <w:tcBorders>
              <w:top w:val="nil"/>
              <w:left w:val="nil"/>
              <w:bottom w:val="nil"/>
              <w:right w:val="nil"/>
            </w:tcBorders>
            <w:shd w:val="clear" w:color="auto" w:fill="auto"/>
            <w:hideMark/>
          </w:tcPr>
          <w:p w14:paraId="555C4EF0" w14:textId="77777777" w:rsidR="00D926FE" w:rsidRPr="008066E1" w:rsidRDefault="00D926FE" w:rsidP="00D926FE">
            <w:pPr>
              <w:rPr>
                <w:color w:val="000000" w:themeColor="text1"/>
                <w:sz w:val="20"/>
                <w:lang w:eastAsia="es-AR"/>
              </w:rPr>
            </w:pPr>
          </w:p>
        </w:tc>
        <w:tc>
          <w:tcPr>
            <w:tcW w:w="841" w:type="dxa"/>
            <w:tcBorders>
              <w:top w:val="nil"/>
              <w:left w:val="nil"/>
              <w:bottom w:val="nil"/>
              <w:right w:val="nil"/>
            </w:tcBorders>
            <w:shd w:val="clear" w:color="auto" w:fill="auto"/>
            <w:hideMark/>
          </w:tcPr>
          <w:p w14:paraId="514D20F5" w14:textId="77777777" w:rsidR="00D926FE" w:rsidRPr="008066E1" w:rsidRDefault="00D926FE" w:rsidP="00D926FE">
            <w:pPr>
              <w:rPr>
                <w:color w:val="000000" w:themeColor="text1"/>
                <w:sz w:val="20"/>
                <w:lang w:eastAsia="es-AR"/>
              </w:rPr>
            </w:pPr>
          </w:p>
        </w:tc>
        <w:tc>
          <w:tcPr>
            <w:tcW w:w="842" w:type="dxa"/>
            <w:tcBorders>
              <w:top w:val="nil"/>
              <w:left w:val="nil"/>
              <w:bottom w:val="nil"/>
              <w:right w:val="nil"/>
            </w:tcBorders>
            <w:shd w:val="clear" w:color="auto" w:fill="auto"/>
            <w:hideMark/>
          </w:tcPr>
          <w:p w14:paraId="16F633B1" w14:textId="77777777" w:rsidR="00D926FE" w:rsidRPr="008066E1" w:rsidRDefault="00D926FE" w:rsidP="00D926FE">
            <w:pPr>
              <w:rPr>
                <w:color w:val="000000" w:themeColor="text1"/>
                <w:sz w:val="20"/>
                <w:lang w:eastAsia="es-AR"/>
              </w:rPr>
            </w:pPr>
          </w:p>
        </w:tc>
        <w:tc>
          <w:tcPr>
            <w:tcW w:w="915" w:type="dxa"/>
            <w:tcBorders>
              <w:top w:val="nil"/>
              <w:left w:val="nil"/>
              <w:bottom w:val="nil"/>
              <w:right w:val="nil"/>
            </w:tcBorders>
            <w:shd w:val="clear" w:color="auto" w:fill="auto"/>
            <w:hideMark/>
          </w:tcPr>
          <w:p w14:paraId="7E29DB39" w14:textId="77777777" w:rsidR="00D926FE" w:rsidRPr="008066E1" w:rsidRDefault="00D926FE" w:rsidP="00D926FE">
            <w:pPr>
              <w:rPr>
                <w:color w:val="000000" w:themeColor="text1"/>
                <w:sz w:val="20"/>
                <w:lang w:eastAsia="es-AR"/>
              </w:rPr>
            </w:pPr>
          </w:p>
        </w:tc>
        <w:tc>
          <w:tcPr>
            <w:tcW w:w="778" w:type="dxa"/>
            <w:tcBorders>
              <w:top w:val="nil"/>
              <w:left w:val="nil"/>
              <w:bottom w:val="nil"/>
              <w:right w:val="nil"/>
            </w:tcBorders>
            <w:shd w:val="clear" w:color="auto" w:fill="auto"/>
            <w:hideMark/>
          </w:tcPr>
          <w:p w14:paraId="26CC1651" w14:textId="77777777" w:rsidR="00D926FE" w:rsidRPr="008066E1" w:rsidRDefault="00D926FE" w:rsidP="00D926FE">
            <w:pPr>
              <w:rPr>
                <w:color w:val="000000" w:themeColor="text1"/>
                <w:sz w:val="20"/>
                <w:lang w:eastAsia="es-AR"/>
              </w:rPr>
            </w:pPr>
          </w:p>
        </w:tc>
        <w:tc>
          <w:tcPr>
            <w:tcW w:w="848" w:type="dxa"/>
            <w:tcBorders>
              <w:top w:val="nil"/>
              <w:left w:val="nil"/>
              <w:bottom w:val="nil"/>
              <w:right w:val="nil"/>
            </w:tcBorders>
            <w:shd w:val="clear" w:color="auto" w:fill="auto"/>
            <w:hideMark/>
          </w:tcPr>
          <w:p w14:paraId="7E80D798" w14:textId="77777777" w:rsidR="00D926FE" w:rsidRPr="008066E1" w:rsidRDefault="00D926FE" w:rsidP="00D926FE">
            <w:pPr>
              <w:rPr>
                <w:color w:val="000000" w:themeColor="text1"/>
                <w:sz w:val="20"/>
                <w:lang w:eastAsia="es-AR"/>
              </w:rPr>
            </w:pPr>
          </w:p>
        </w:tc>
      </w:tr>
      <w:tr w:rsidR="00D926FE" w:rsidRPr="007465F0" w14:paraId="3416561C"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236A2576" w14:textId="77777777" w:rsidR="00D926FE" w:rsidRPr="008066E1" w:rsidRDefault="00D926FE" w:rsidP="00B03371">
            <w:pPr>
              <w:rPr>
                <w:rFonts w:ascii="Arial" w:hAnsi="Arial" w:cs="Arial"/>
                <w:i/>
                <w:color w:val="000000" w:themeColor="text1"/>
                <w:sz w:val="14"/>
                <w:szCs w:val="14"/>
                <w:lang w:eastAsia="es-AR"/>
              </w:rPr>
            </w:pPr>
            <w:r w:rsidRPr="008066E1">
              <w:rPr>
                <w:rFonts w:ascii="Arial" w:hAnsi="Arial" w:cs="Arial"/>
                <w:i/>
                <w:color w:val="000000" w:themeColor="text1"/>
                <w:sz w:val="14"/>
                <w:szCs w:val="14"/>
                <w:lang w:eastAsia="es-AR"/>
              </w:rPr>
              <w:t>Títulos públicos</w:t>
            </w:r>
          </w:p>
        </w:tc>
        <w:tc>
          <w:tcPr>
            <w:tcW w:w="709" w:type="dxa"/>
            <w:tcBorders>
              <w:top w:val="nil"/>
              <w:left w:val="nil"/>
              <w:bottom w:val="nil"/>
              <w:right w:val="nil"/>
            </w:tcBorders>
            <w:shd w:val="clear" w:color="auto" w:fill="auto"/>
            <w:vAlign w:val="center"/>
            <w:hideMark/>
          </w:tcPr>
          <w:p w14:paraId="3A2BE327" w14:textId="77777777" w:rsidR="00D926FE" w:rsidRPr="008066E1" w:rsidRDefault="00D926FE" w:rsidP="00B03371">
            <w:pPr>
              <w:ind w:firstLineChars="2000" w:firstLine="2800"/>
              <w:jc w:val="center"/>
              <w:rPr>
                <w:rFonts w:ascii="Arial" w:hAnsi="Arial" w:cs="Arial"/>
                <w:i/>
                <w:color w:val="000000" w:themeColor="text1"/>
                <w:sz w:val="14"/>
                <w:szCs w:val="14"/>
                <w:lang w:eastAsia="es-AR"/>
              </w:rPr>
            </w:pPr>
          </w:p>
        </w:tc>
        <w:tc>
          <w:tcPr>
            <w:tcW w:w="850" w:type="dxa"/>
            <w:tcBorders>
              <w:top w:val="nil"/>
              <w:left w:val="nil"/>
              <w:bottom w:val="nil"/>
              <w:right w:val="nil"/>
            </w:tcBorders>
            <w:shd w:val="clear" w:color="auto" w:fill="auto"/>
            <w:hideMark/>
          </w:tcPr>
          <w:p w14:paraId="40B62D5A" w14:textId="77777777" w:rsidR="00D926FE" w:rsidRPr="008066E1" w:rsidRDefault="00D926FE" w:rsidP="00D926FE">
            <w:pPr>
              <w:rPr>
                <w:i/>
                <w:color w:val="000000" w:themeColor="text1"/>
                <w:sz w:val="20"/>
                <w:lang w:eastAsia="es-AR"/>
              </w:rPr>
            </w:pPr>
          </w:p>
        </w:tc>
        <w:tc>
          <w:tcPr>
            <w:tcW w:w="794" w:type="dxa"/>
            <w:tcBorders>
              <w:top w:val="nil"/>
              <w:left w:val="nil"/>
              <w:bottom w:val="nil"/>
              <w:right w:val="nil"/>
            </w:tcBorders>
            <w:shd w:val="clear" w:color="auto" w:fill="auto"/>
            <w:hideMark/>
          </w:tcPr>
          <w:p w14:paraId="27F6BBE6" w14:textId="77777777" w:rsidR="00D926FE" w:rsidRPr="008066E1" w:rsidRDefault="00D926FE" w:rsidP="00D926FE">
            <w:pPr>
              <w:rPr>
                <w:i/>
                <w:color w:val="000000" w:themeColor="text1"/>
                <w:sz w:val="20"/>
                <w:lang w:eastAsia="es-AR"/>
              </w:rPr>
            </w:pPr>
          </w:p>
        </w:tc>
        <w:tc>
          <w:tcPr>
            <w:tcW w:w="841" w:type="dxa"/>
            <w:tcBorders>
              <w:top w:val="nil"/>
              <w:left w:val="nil"/>
              <w:bottom w:val="nil"/>
              <w:right w:val="nil"/>
            </w:tcBorders>
            <w:shd w:val="clear" w:color="auto" w:fill="auto"/>
            <w:vAlign w:val="bottom"/>
            <w:hideMark/>
          </w:tcPr>
          <w:p w14:paraId="3F93371A" w14:textId="77777777" w:rsidR="00D926FE" w:rsidRPr="008066E1" w:rsidRDefault="00D926FE" w:rsidP="008066E1">
            <w:pPr>
              <w:jc w:val="right"/>
              <w:rPr>
                <w:i/>
                <w:color w:val="000000" w:themeColor="text1"/>
                <w:sz w:val="20"/>
                <w:lang w:eastAsia="es-AR"/>
              </w:rPr>
            </w:pPr>
          </w:p>
        </w:tc>
        <w:tc>
          <w:tcPr>
            <w:tcW w:w="842" w:type="dxa"/>
            <w:tcBorders>
              <w:top w:val="nil"/>
              <w:left w:val="nil"/>
              <w:bottom w:val="nil"/>
              <w:right w:val="nil"/>
            </w:tcBorders>
            <w:shd w:val="clear" w:color="auto" w:fill="auto"/>
            <w:vAlign w:val="bottom"/>
            <w:hideMark/>
          </w:tcPr>
          <w:p w14:paraId="0DB5C467" w14:textId="77777777" w:rsidR="00D926FE" w:rsidRPr="008066E1" w:rsidRDefault="00D926FE" w:rsidP="008066E1">
            <w:pPr>
              <w:jc w:val="right"/>
              <w:rPr>
                <w:i/>
                <w:color w:val="000000" w:themeColor="text1"/>
                <w:sz w:val="20"/>
                <w:lang w:eastAsia="es-AR"/>
              </w:rPr>
            </w:pPr>
          </w:p>
        </w:tc>
        <w:tc>
          <w:tcPr>
            <w:tcW w:w="915" w:type="dxa"/>
            <w:tcBorders>
              <w:top w:val="nil"/>
              <w:left w:val="nil"/>
              <w:bottom w:val="nil"/>
              <w:right w:val="nil"/>
            </w:tcBorders>
            <w:shd w:val="clear" w:color="auto" w:fill="auto"/>
            <w:vAlign w:val="bottom"/>
            <w:hideMark/>
          </w:tcPr>
          <w:p w14:paraId="113C62BC" w14:textId="77777777" w:rsidR="00D926FE" w:rsidRPr="008066E1" w:rsidRDefault="00D926FE" w:rsidP="008066E1">
            <w:pPr>
              <w:jc w:val="right"/>
              <w:rPr>
                <w:i/>
                <w:color w:val="000000" w:themeColor="text1"/>
                <w:sz w:val="20"/>
                <w:lang w:eastAsia="es-AR"/>
              </w:rPr>
            </w:pPr>
          </w:p>
        </w:tc>
        <w:tc>
          <w:tcPr>
            <w:tcW w:w="778" w:type="dxa"/>
            <w:tcBorders>
              <w:top w:val="nil"/>
              <w:left w:val="nil"/>
              <w:bottom w:val="nil"/>
              <w:right w:val="nil"/>
            </w:tcBorders>
            <w:shd w:val="clear" w:color="auto" w:fill="auto"/>
            <w:vAlign w:val="bottom"/>
            <w:hideMark/>
          </w:tcPr>
          <w:p w14:paraId="54A48C6E" w14:textId="77777777" w:rsidR="00D926FE" w:rsidRPr="008066E1" w:rsidRDefault="00D926FE" w:rsidP="008066E1">
            <w:pPr>
              <w:jc w:val="right"/>
              <w:rPr>
                <w:i/>
                <w:color w:val="000000" w:themeColor="text1"/>
                <w:sz w:val="20"/>
                <w:lang w:eastAsia="es-AR"/>
              </w:rPr>
            </w:pPr>
          </w:p>
        </w:tc>
        <w:tc>
          <w:tcPr>
            <w:tcW w:w="848" w:type="dxa"/>
            <w:tcBorders>
              <w:top w:val="nil"/>
              <w:left w:val="nil"/>
              <w:bottom w:val="nil"/>
              <w:right w:val="nil"/>
            </w:tcBorders>
            <w:shd w:val="clear" w:color="auto" w:fill="auto"/>
            <w:vAlign w:val="bottom"/>
            <w:hideMark/>
          </w:tcPr>
          <w:p w14:paraId="47AC3266" w14:textId="77777777" w:rsidR="00D926FE" w:rsidRPr="008066E1" w:rsidRDefault="00D926FE" w:rsidP="008066E1">
            <w:pPr>
              <w:jc w:val="right"/>
              <w:rPr>
                <w:i/>
                <w:color w:val="000000" w:themeColor="text1"/>
                <w:sz w:val="20"/>
                <w:lang w:eastAsia="es-AR"/>
              </w:rPr>
            </w:pPr>
          </w:p>
        </w:tc>
      </w:tr>
      <w:tr w:rsidR="002B6E2E" w:rsidRPr="00D926FE" w14:paraId="147CE739" w14:textId="77777777" w:rsidTr="008066E1">
        <w:trPr>
          <w:gridAfter w:val="1"/>
          <w:wAfter w:w="17" w:type="dxa"/>
          <w:trHeight w:val="240"/>
        </w:trPr>
        <w:tc>
          <w:tcPr>
            <w:tcW w:w="3188" w:type="dxa"/>
            <w:tcBorders>
              <w:top w:val="nil"/>
              <w:left w:val="nil"/>
              <w:bottom w:val="nil"/>
              <w:right w:val="nil"/>
            </w:tcBorders>
            <w:shd w:val="clear" w:color="auto" w:fill="auto"/>
            <w:hideMark/>
          </w:tcPr>
          <w:p w14:paraId="57F24EF4" w14:textId="772C1EBB"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Letra del Tesoro $ Vto. 18/09/2020</w:t>
            </w:r>
          </w:p>
        </w:tc>
        <w:tc>
          <w:tcPr>
            <w:tcW w:w="709" w:type="dxa"/>
            <w:tcBorders>
              <w:top w:val="nil"/>
              <w:left w:val="nil"/>
              <w:bottom w:val="nil"/>
              <w:right w:val="nil"/>
            </w:tcBorders>
            <w:shd w:val="clear" w:color="auto" w:fill="auto"/>
            <w:vAlign w:val="bottom"/>
            <w:hideMark/>
          </w:tcPr>
          <w:p w14:paraId="05CBDE3B" w14:textId="21E3987D"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05356</w:t>
            </w:r>
          </w:p>
        </w:tc>
        <w:tc>
          <w:tcPr>
            <w:tcW w:w="850" w:type="dxa"/>
            <w:tcBorders>
              <w:top w:val="nil"/>
              <w:left w:val="nil"/>
              <w:bottom w:val="nil"/>
              <w:right w:val="nil"/>
            </w:tcBorders>
            <w:shd w:val="clear" w:color="auto" w:fill="auto"/>
            <w:vAlign w:val="bottom"/>
            <w:hideMark/>
          </w:tcPr>
          <w:p w14:paraId="79192D03"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55E0B30A" w14:textId="2C779E0F"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bottom"/>
            <w:hideMark/>
          </w:tcPr>
          <w:p w14:paraId="284176A7" w14:textId="7AB92F4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63.055</w:t>
            </w:r>
          </w:p>
        </w:tc>
        <w:tc>
          <w:tcPr>
            <w:tcW w:w="842" w:type="dxa"/>
            <w:tcBorders>
              <w:top w:val="nil"/>
              <w:left w:val="nil"/>
              <w:bottom w:val="nil"/>
              <w:right w:val="nil"/>
            </w:tcBorders>
            <w:shd w:val="clear" w:color="auto" w:fill="auto"/>
            <w:vAlign w:val="bottom"/>
          </w:tcPr>
          <w:p w14:paraId="7271AD58" w14:textId="214687FA"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0E141084" w14:textId="5DEB247D"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63.055</w:t>
            </w:r>
          </w:p>
        </w:tc>
        <w:tc>
          <w:tcPr>
            <w:tcW w:w="778" w:type="dxa"/>
            <w:tcBorders>
              <w:top w:val="nil"/>
              <w:left w:val="nil"/>
              <w:bottom w:val="nil"/>
              <w:right w:val="nil"/>
            </w:tcBorders>
            <w:shd w:val="clear" w:color="auto" w:fill="auto"/>
            <w:vAlign w:val="bottom"/>
            <w:hideMark/>
          </w:tcPr>
          <w:p w14:paraId="32CA620F" w14:textId="5C81442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1920A594" w14:textId="7FE2BB57"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63.055</w:t>
            </w:r>
          </w:p>
        </w:tc>
      </w:tr>
      <w:tr w:rsidR="002B6E2E" w:rsidRPr="00D926FE" w14:paraId="465FB9FC" w14:textId="77777777" w:rsidTr="008066E1">
        <w:trPr>
          <w:gridAfter w:val="1"/>
          <w:wAfter w:w="17" w:type="dxa"/>
          <w:trHeight w:val="240"/>
        </w:trPr>
        <w:tc>
          <w:tcPr>
            <w:tcW w:w="3188" w:type="dxa"/>
            <w:tcBorders>
              <w:top w:val="nil"/>
              <w:left w:val="nil"/>
              <w:bottom w:val="nil"/>
              <w:right w:val="nil"/>
            </w:tcBorders>
            <w:shd w:val="clear" w:color="auto" w:fill="auto"/>
            <w:hideMark/>
          </w:tcPr>
          <w:p w14:paraId="16BF41FD" w14:textId="154DB066"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Bono Tesoro Nacional $ Aj. CER 05/08/21</w:t>
            </w:r>
          </w:p>
        </w:tc>
        <w:tc>
          <w:tcPr>
            <w:tcW w:w="709" w:type="dxa"/>
            <w:tcBorders>
              <w:top w:val="nil"/>
              <w:left w:val="nil"/>
              <w:bottom w:val="nil"/>
              <w:right w:val="nil"/>
            </w:tcBorders>
            <w:shd w:val="clear" w:color="auto" w:fill="auto"/>
            <w:vAlign w:val="bottom"/>
            <w:hideMark/>
          </w:tcPr>
          <w:p w14:paraId="425336F0" w14:textId="2B39DFBE"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05359</w:t>
            </w:r>
          </w:p>
        </w:tc>
        <w:tc>
          <w:tcPr>
            <w:tcW w:w="850" w:type="dxa"/>
            <w:tcBorders>
              <w:top w:val="nil"/>
              <w:left w:val="nil"/>
              <w:bottom w:val="nil"/>
              <w:right w:val="nil"/>
            </w:tcBorders>
            <w:shd w:val="clear" w:color="auto" w:fill="auto"/>
            <w:vAlign w:val="bottom"/>
            <w:hideMark/>
          </w:tcPr>
          <w:p w14:paraId="0D6F7F97"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097E74A3" w14:textId="46A4C508"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534D4E35" w14:textId="22F11030"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51.514</w:t>
            </w:r>
          </w:p>
        </w:tc>
        <w:tc>
          <w:tcPr>
            <w:tcW w:w="842" w:type="dxa"/>
            <w:tcBorders>
              <w:top w:val="nil"/>
              <w:left w:val="nil"/>
              <w:bottom w:val="nil"/>
              <w:right w:val="nil"/>
            </w:tcBorders>
            <w:shd w:val="clear" w:color="auto" w:fill="auto"/>
            <w:vAlign w:val="bottom"/>
          </w:tcPr>
          <w:p w14:paraId="57BE1B8C" w14:textId="3F2BD19A"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3333B0F6" w14:textId="2B1AA53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-197.486</w:t>
            </w:r>
          </w:p>
        </w:tc>
        <w:tc>
          <w:tcPr>
            <w:tcW w:w="778" w:type="dxa"/>
            <w:tcBorders>
              <w:top w:val="nil"/>
              <w:left w:val="nil"/>
              <w:bottom w:val="nil"/>
              <w:right w:val="nil"/>
            </w:tcBorders>
            <w:shd w:val="clear" w:color="auto" w:fill="auto"/>
            <w:vAlign w:val="bottom"/>
            <w:hideMark/>
          </w:tcPr>
          <w:p w14:paraId="6118A4CF" w14:textId="3B95E363"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09777211" w14:textId="5F4C5511"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-197.486</w:t>
            </w:r>
          </w:p>
        </w:tc>
      </w:tr>
      <w:tr w:rsidR="002B6E2E" w:rsidRPr="00D926FE" w14:paraId="7BF4B0FA" w14:textId="77777777" w:rsidTr="008066E1">
        <w:trPr>
          <w:gridAfter w:val="1"/>
          <w:wAfter w:w="17" w:type="dxa"/>
          <w:trHeight w:val="240"/>
        </w:trPr>
        <w:tc>
          <w:tcPr>
            <w:tcW w:w="3188" w:type="dxa"/>
            <w:tcBorders>
              <w:top w:val="nil"/>
              <w:left w:val="nil"/>
              <w:bottom w:val="nil"/>
              <w:right w:val="nil"/>
            </w:tcBorders>
            <w:shd w:val="clear" w:color="auto" w:fill="auto"/>
            <w:hideMark/>
          </w:tcPr>
          <w:p w14:paraId="616EE125" w14:textId="027A59DF"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Bono Tesoro Nacional $ Badlar 05/08/21</w:t>
            </w:r>
          </w:p>
        </w:tc>
        <w:tc>
          <w:tcPr>
            <w:tcW w:w="709" w:type="dxa"/>
            <w:tcBorders>
              <w:top w:val="nil"/>
              <w:left w:val="nil"/>
              <w:bottom w:val="nil"/>
              <w:right w:val="nil"/>
            </w:tcBorders>
            <w:shd w:val="clear" w:color="auto" w:fill="auto"/>
            <w:vAlign w:val="bottom"/>
            <w:hideMark/>
          </w:tcPr>
          <w:p w14:paraId="75C03828" w14:textId="229E7CEE"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05360</w:t>
            </w:r>
          </w:p>
        </w:tc>
        <w:tc>
          <w:tcPr>
            <w:tcW w:w="850" w:type="dxa"/>
            <w:tcBorders>
              <w:top w:val="nil"/>
              <w:left w:val="nil"/>
              <w:bottom w:val="nil"/>
              <w:right w:val="nil"/>
            </w:tcBorders>
            <w:shd w:val="clear" w:color="auto" w:fill="auto"/>
            <w:vAlign w:val="bottom"/>
            <w:hideMark/>
          </w:tcPr>
          <w:p w14:paraId="6A375010"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670767A0" w14:textId="1DB8D01A"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221F61F5" w14:textId="5250DAD0"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2.518</w:t>
            </w:r>
          </w:p>
        </w:tc>
        <w:tc>
          <w:tcPr>
            <w:tcW w:w="842" w:type="dxa"/>
            <w:tcBorders>
              <w:top w:val="nil"/>
              <w:left w:val="nil"/>
              <w:bottom w:val="nil"/>
              <w:right w:val="nil"/>
            </w:tcBorders>
            <w:shd w:val="clear" w:color="auto" w:fill="auto"/>
            <w:vAlign w:val="bottom"/>
          </w:tcPr>
          <w:p w14:paraId="28FDBF02" w14:textId="7A28A8E4"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299582C0" w14:textId="3F5BDB9E"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-6.462</w:t>
            </w:r>
          </w:p>
        </w:tc>
        <w:tc>
          <w:tcPr>
            <w:tcW w:w="778" w:type="dxa"/>
            <w:tcBorders>
              <w:top w:val="nil"/>
              <w:left w:val="nil"/>
              <w:bottom w:val="nil"/>
              <w:right w:val="nil"/>
            </w:tcBorders>
            <w:shd w:val="clear" w:color="auto" w:fill="auto"/>
            <w:vAlign w:val="bottom"/>
            <w:hideMark/>
          </w:tcPr>
          <w:p w14:paraId="67C5BD1D" w14:textId="564769F2"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27F4F8AC" w14:textId="15F3C01F"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-6.462</w:t>
            </w:r>
          </w:p>
        </w:tc>
      </w:tr>
      <w:tr w:rsidR="002B6E2E" w:rsidRPr="00D926FE" w14:paraId="1F75CE17" w14:textId="77777777" w:rsidTr="008066E1">
        <w:trPr>
          <w:gridAfter w:val="1"/>
          <w:wAfter w:w="17" w:type="dxa"/>
          <w:trHeight w:val="240"/>
        </w:trPr>
        <w:tc>
          <w:tcPr>
            <w:tcW w:w="3188" w:type="dxa"/>
            <w:tcBorders>
              <w:top w:val="nil"/>
              <w:left w:val="nil"/>
              <w:bottom w:val="nil"/>
              <w:right w:val="nil"/>
            </w:tcBorders>
            <w:shd w:val="clear" w:color="auto" w:fill="auto"/>
            <w:hideMark/>
          </w:tcPr>
          <w:p w14:paraId="7536667F" w14:textId="023B7B84"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Bono Tesoro Nacional $ Vto 03/10/2021</w:t>
            </w:r>
          </w:p>
        </w:tc>
        <w:tc>
          <w:tcPr>
            <w:tcW w:w="709" w:type="dxa"/>
            <w:tcBorders>
              <w:top w:val="nil"/>
              <w:left w:val="nil"/>
              <w:bottom w:val="nil"/>
              <w:right w:val="nil"/>
            </w:tcBorders>
            <w:shd w:val="clear" w:color="auto" w:fill="auto"/>
            <w:vAlign w:val="bottom"/>
            <w:hideMark/>
          </w:tcPr>
          <w:p w14:paraId="430703C2" w14:textId="607D0BF9"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05318</w:t>
            </w:r>
          </w:p>
        </w:tc>
        <w:tc>
          <w:tcPr>
            <w:tcW w:w="850" w:type="dxa"/>
            <w:tcBorders>
              <w:top w:val="nil"/>
              <w:left w:val="nil"/>
              <w:bottom w:val="nil"/>
              <w:right w:val="nil"/>
            </w:tcBorders>
            <w:shd w:val="clear" w:color="auto" w:fill="auto"/>
            <w:vAlign w:val="bottom"/>
            <w:hideMark/>
          </w:tcPr>
          <w:p w14:paraId="7F27F96C"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3B989D2B" w14:textId="6291A7F1"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68D25B0D" w14:textId="768DA67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605</w:t>
            </w:r>
          </w:p>
        </w:tc>
        <w:tc>
          <w:tcPr>
            <w:tcW w:w="842" w:type="dxa"/>
            <w:tcBorders>
              <w:top w:val="nil"/>
              <w:left w:val="nil"/>
              <w:bottom w:val="nil"/>
              <w:right w:val="nil"/>
            </w:tcBorders>
            <w:shd w:val="clear" w:color="auto" w:fill="auto"/>
            <w:vAlign w:val="bottom"/>
          </w:tcPr>
          <w:p w14:paraId="68FBF928" w14:textId="163F51B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259261E7" w14:textId="0FE8A6F3"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605</w:t>
            </w:r>
          </w:p>
        </w:tc>
        <w:tc>
          <w:tcPr>
            <w:tcW w:w="778" w:type="dxa"/>
            <w:tcBorders>
              <w:top w:val="nil"/>
              <w:left w:val="nil"/>
              <w:bottom w:val="nil"/>
              <w:right w:val="nil"/>
            </w:tcBorders>
            <w:shd w:val="clear" w:color="auto" w:fill="auto"/>
            <w:vAlign w:val="bottom"/>
            <w:hideMark/>
          </w:tcPr>
          <w:p w14:paraId="7BC2A3BF" w14:textId="63255EA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7510C581" w14:textId="27A5FD7D"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605</w:t>
            </w:r>
          </w:p>
        </w:tc>
      </w:tr>
      <w:tr w:rsidR="002B6E2E" w:rsidRPr="00D926FE" w14:paraId="12255553" w14:textId="77777777" w:rsidTr="008066E1">
        <w:trPr>
          <w:gridAfter w:val="1"/>
          <w:wAfter w:w="17" w:type="dxa"/>
          <w:trHeight w:val="240"/>
        </w:trPr>
        <w:tc>
          <w:tcPr>
            <w:tcW w:w="3188" w:type="dxa"/>
            <w:tcBorders>
              <w:top w:val="nil"/>
              <w:left w:val="nil"/>
              <w:bottom w:val="nil"/>
              <w:right w:val="nil"/>
            </w:tcBorders>
            <w:shd w:val="clear" w:color="auto" w:fill="auto"/>
            <w:hideMark/>
          </w:tcPr>
          <w:p w14:paraId="05701550" w14:textId="38B423DE"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Bono Tesoro $ Aj. CER 1,20% Vto 18/03/22</w:t>
            </w:r>
          </w:p>
        </w:tc>
        <w:tc>
          <w:tcPr>
            <w:tcW w:w="709" w:type="dxa"/>
            <w:tcBorders>
              <w:top w:val="nil"/>
              <w:left w:val="nil"/>
              <w:bottom w:val="nil"/>
              <w:right w:val="nil"/>
            </w:tcBorders>
            <w:shd w:val="clear" w:color="auto" w:fill="auto"/>
            <w:vAlign w:val="bottom"/>
            <w:hideMark/>
          </w:tcPr>
          <w:p w14:paraId="37EE4015" w14:textId="3BB3E26A"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05491</w:t>
            </w:r>
          </w:p>
        </w:tc>
        <w:tc>
          <w:tcPr>
            <w:tcW w:w="850" w:type="dxa"/>
            <w:tcBorders>
              <w:top w:val="nil"/>
              <w:left w:val="nil"/>
              <w:bottom w:val="nil"/>
              <w:right w:val="nil"/>
            </w:tcBorders>
            <w:shd w:val="clear" w:color="auto" w:fill="auto"/>
            <w:vAlign w:val="bottom"/>
            <w:hideMark/>
          </w:tcPr>
          <w:p w14:paraId="4A1D2AF0"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5C0513B3" w14:textId="497562A0"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49D1A40D" w14:textId="10D3A81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10</w:t>
            </w:r>
          </w:p>
        </w:tc>
        <w:tc>
          <w:tcPr>
            <w:tcW w:w="842" w:type="dxa"/>
            <w:tcBorders>
              <w:top w:val="nil"/>
              <w:left w:val="nil"/>
              <w:bottom w:val="nil"/>
              <w:right w:val="nil"/>
            </w:tcBorders>
            <w:shd w:val="clear" w:color="auto" w:fill="auto"/>
            <w:vAlign w:val="bottom"/>
          </w:tcPr>
          <w:p w14:paraId="0A8F6164" w14:textId="23B1393B"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3997E490" w14:textId="09EA519D"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-17.901</w:t>
            </w:r>
          </w:p>
        </w:tc>
        <w:tc>
          <w:tcPr>
            <w:tcW w:w="778" w:type="dxa"/>
            <w:tcBorders>
              <w:top w:val="nil"/>
              <w:left w:val="nil"/>
              <w:bottom w:val="nil"/>
              <w:right w:val="nil"/>
            </w:tcBorders>
            <w:shd w:val="clear" w:color="auto" w:fill="auto"/>
            <w:vAlign w:val="bottom"/>
            <w:hideMark/>
          </w:tcPr>
          <w:p w14:paraId="13283ABD" w14:textId="0B61B8A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096210A6" w14:textId="67AAAF8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-17.901</w:t>
            </w:r>
          </w:p>
        </w:tc>
      </w:tr>
      <w:tr w:rsidR="002B6E2E" w:rsidRPr="00D926FE" w14:paraId="74B9F5C1" w14:textId="77777777" w:rsidTr="008066E1">
        <w:trPr>
          <w:gridAfter w:val="1"/>
          <w:wAfter w:w="17" w:type="dxa"/>
          <w:trHeight w:val="240"/>
        </w:trPr>
        <w:tc>
          <w:tcPr>
            <w:tcW w:w="3188" w:type="dxa"/>
            <w:tcBorders>
              <w:top w:val="nil"/>
              <w:left w:val="nil"/>
              <w:bottom w:val="nil"/>
              <w:right w:val="nil"/>
            </w:tcBorders>
            <w:shd w:val="clear" w:color="auto" w:fill="auto"/>
            <w:hideMark/>
          </w:tcPr>
          <w:p w14:paraId="3D46FA4A" w14:textId="7286FA7F"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Letra del Tesoro $ Badlar Vto.31/07/20</w:t>
            </w:r>
          </w:p>
        </w:tc>
        <w:tc>
          <w:tcPr>
            <w:tcW w:w="709" w:type="dxa"/>
            <w:tcBorders>
              <w:top w:val="nil"/>
              <w:left w:val="nil"/>
              <w:bottom w:val="nil"/>
              <w:right w:val="nil"/>
            </w:tcBorders>
            <w:shd w:val="clear" w:color="auto" w:fill="auto"/>
            <w:vAlign w:val="bottom"/>
            <w:hideMark/>
          </w:tcPr>
          <w:p w14:paraId="66FCB801" w14:textId="0221C1AF"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05363</w:t>
            </w:r>
          </w:p>
        </w:tc>
        <w:tc>
          <w:tcPr>
            <w:tcW w:w="850" w:type="dxa"/>
            <w:tcBorders>
              <w:top w:val="nil"/>
              <w:left w:val="nil"/>
              <w:bottom w:val="nil"/>
              <w:right w:val="nil"/>
            </w:tcBorders>
            <w:shd w:val="clear" w:color="auto" w:fill="auto"/>
            <w:vAlign w:val="bottom"/>
            <w:hideMark/>
          </w:tcPr>
          <w:p w14:paraId="082BF760"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19BDDEC4" w14:textId="63151227"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2417C438" w14:textId="64B58CC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9 </w:t>
            </w:r>
          </w:p>
        </w:tc>
        <w:tc>
          <w:tcPr>
            <w:tcW w:w="842" w:type="dxa"/>
            <w:tcBorders>
              <w:top w:val="nil"/>
              <w:left w:val="nil"/>
              <w:bottom w:val="nil"/>
              <w:right w:val="nil"/>
            </w:tcBorders>
            <w:shd w:val="clear" w:color="auto" w:fill="auto"/>
            <w:vAlign w:val="bottom"/>
          </w:tcPr>
          <w:p w14:paraId="3ECF68F8" w14:textId="587B11A7"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35FAB6A7" w14:textId="19645081"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9</w:t>
            </w:r>
          </w:p>
        </w:tc>
        <w:tc>
          <w:tcPr>
            <w:tcW w:w="778" w:type="dxa"/>
            <w:tcBorders>
              <w:top w:val="nil"/>
              <w:left w:val="nil"/>
              <w:bottom w:val="nil"/>
              <w:right w:val="nil"/>
            </w:tcBorders>
            <w:shd w:val="clear" w:color="auto" w:fill="auto"/>
            <w:vAlign w:val="bottom"/>
            <w:hideMark/>
          </w:tcPr>
          <w:p w14:paraId="6E3E0639" w14:textId="6A545E83"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5C81A594" w14:textId="30BB8008"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9</w:t>
            </w:r>
          </w:p>
        </w:tc>
      </w:tr>
      <w:tr w:rsidR="002B6E2E" w:rsidRPr="00D926FE" w14:paraId="5177AD7C" w14:textId="77777777" w:rsidTr="008066E1">
        <w:trPr>
          <w:gridAfter w:val="1"/>
          <w:wAfter w:w="17" w:type="dxa"/>
          <w:trHeight w:val="240"/>
        </w:trPr>
        <w:tc>
          <w:tcPr>
            <w:tcW w:w="3188" w:type="dxa"/>
            <w:tcBorders>
              <w:top w:val="nil"/>
              <w:left w:val="nil"/>
              <w:bottom w:val="nil"/>
              <w:right w:val="nil"/>
            </w:tcBorders>
            <w:shd w:val="clear" w:color="auto" w:fill="auto"/>
            <w:hideMark/>
          </w:tcPr>
          <w:p w14:paraId="1D15E8E6" w14:textId="4B79BB64"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Letra del Tesoro U$S Vto. 11/10/2019</w:t>
            </w:r>
          </w:p>
        </w:tc>
        <w:tc>
          <w:tcPr>
            <w:tcW w:w="709" w:type="dxa"/>
            <w:tcBorders>
              <w:top w:val="nil"/>
              <w:left w:val="nil"/>
              <w:bottom w:val="nil"/>
              <w:right w:val="nil"/>
            </w:tcBorders>
            <w:shd w:val="clear" w:color="auto" w:fill="auto"/>
            <w:vAlign w:val="bottom"/>
            <w:hideMark/>
          </w:tcPr>
          <w:p w14:paraId="6C9475BA" w14:textId="563BE7F3"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05291</w:t>
            </w:r>
          </w:p>
        </w:tc>
        <w:tc>
          <w:tcPr>
            <w:tcW w:w="850" w:type="dxa"/>
            <w:tcBorders>
              <w:top w:val="nil"/>
              <w:left w:val="nil"/>
              <w:bottom w:val="nil"/>
              <w:right w:val="nil"/>
            </w:tcBorders>
            <w:shd w:val="clear" w:color="auto" w:fill="auto"/>
            <w:vAlign w:val="bottom"/>
            <w:hideMark/>
          </w:tcPr>
          <w:p w14:paraId="167546ED"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2C2EAA5F" w14:textId="7FB1438A"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154AC1CD" w14:textId="310C0360"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2" w:type="dxa"/>
            <w:tcBorders>
              <w:top w:val="nil"/>
              <w:left w:val="nil"/>
              <w:bottom w:val="nil"/>
              <w:right w:val="nil"/>
            </w:tcBorders>
            <w:shd w:val="clear" w:color="auto" w:fill="auto"/>
            <w:vAlign w:val="bottom"/>
          </w:tcPr>
          <w:p w14:paraId="6FF98D4B" w14:textId="1D359E2C"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53AE5C73" w14:textId="3615C120"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190.400 </w:t>
            </w:r>
          </w:p>
        </w:tc>
        <w:tc>
          <w:tcPr>
            <w:tcW w:w="778" w:type="dxa"/>
            <w:tcBorders>
              <w:top w:val="nil"/>
              <w:left w:val="nil"/>
              <w:bottom w:val="nil"/>
              <w:right w:val="nil"/>
            </w:tcBorders>
            <w:shd w:val="clear" w:color="auto" w:fill="auto"/>
            <w:vAlign w:val="bottom"/>
            <w:hideMark/>
          </w:tcPr>
          <w:p w14:paraId="631D7853" w14:textId="12B9F660"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7C9DEC1A" w14:textId="00CCFE45"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190.400 </w:t>
            </w:r>
          </w:p>
        </w:tc>
      </w:tr>
      <w:tr w:rsidR="002B6E2E" w:rsidRPr="00D926FE" w14:paraId="55E2BCBC" w14:textId="77777777" w:rsidTr="008066E1">
        <w:trPr>
          <w:gridAfter w:val="1"/>
          <w:wAfter w:w="17" w:type="dxa"/>
          <w:trHeight w:val="240"/>
        </w:trPr>
        <w:tc>
          <w:tcPr>
            <w:tcW w:w="3188" w:type="dxa"/>
            <w:tcBorders>
              <w:top w:val="nil"/>
              <w:left w:val="nil"/>
              <w:bottom w:val="nil"/>
              <w:right w:val="nil"/>
            </w:tcBorders>
            <w:shd w:val="clear" w:color="auto" w:fill="auto"/>
            <w:hideMark/>
          </w:tcPr>
          <w:p w14:paraId="77475A9D" w14:textId="3EF55901"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Letra del Tesoro U$S Vto. 15/11/2019</w:t>
            </w:r>
          </w:p>
        </w:tc>
        <w:tc>
          <w:tcPr>
            <w:tcW w:w="709" w:type="dxa"/>
            <w:tcBorders>
              <w:top w:val="nil"/>
              <w:left w:val="nil"/>
              <w:bottom w:val="nil"/>
              <w:right w:val="nil"/>
            </w:tcBorders>
            <w:shd w:val="clear" w:color="auto" w:fill="auto"/>
            <w:vAlign w:val="bottom"/>
            <w:hideMark/>
          </w:tcPr>
          <w:p w14:paraId="076C40CF" w14:textId="12ED4BB9"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05294</w:t>
            </w:r>
          </w:p>
        </w:tc>
        <w:tc>
          <w:tcPr>
            <w:tcW w:w="850" w:type="dxa"/>
            <w:tcBorders>
              <w:top w:val="nil"/>
              <w:left w:val="nil"/>
              <w:bottom w:val="nil"/>
              <w:right w:val="nil"/>
            </w:tcBorders>
            <w:shd w:val="clear" w:color="auto" w:fill="auto"/>
            <w:vAlign w:val="bottom"/>
            <w:hideMark/>
          </w:tcPr>
          <w:p w14:paraId="5EFEFDC5"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775A4DB9" w14:textId="1580928A"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5E64A645" w14:textId="57B815B3"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2" w:type="dxa"/>
            <w:tcBorders>
              <w:top w:val="nil"/>
              <w:left w:val="nil"/>
              <w:bottom w:val="nil"/>
              <w:right w:val="nil"/>
            </w:tcBorders>
            <w:shd w:val="clear" w:color="auto" w:fill="auto"/>
            <w:vAlign w:val="bottom"/>
          </w:tcPr>
          <w:p w14:paraId="564B8CD7" w14:textId="5022F88F"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2B6703E6" w14:textId="522E549F"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137.483 </w:t>
            </w:r>
          </w:p>
        </w:tc>
        <w:tc>
          <w:tcPr>
            <w:tcW w:w="778" w:type="dxa"/>
            <w:tcBorders>
              <w:top w:val="nil"/>
              <w:left w:val="nil"/>
              <w:bottom w:val="nil"/>
              <w:right w:val="nil"/>
            </w:tcBorders>
            <w:shd w:val="clear" w:color="auto" w:fill="auto"/>
            <w:vAlign w:val="bottom"/>
            <w:hideMark/>
          </w:tcPr>
          <w:p w14:paraId="2A0D68B2" w14:textId="52461310"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5F763BD8" w14:textId="33CDF51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137.483 </w:t>
            </w:r>
          </w:p>
        </w:tc>
      </w:tr>
      <w:tr w:rsidR="002B6E2E" w:rsidRPr="00D926FE" w14:paraId="21BF03EC" w14:textId="77777777" w:rsidTr="008066E1">
        <w:trPr>
          <w:gridAfter w:val="1"/>
          <w:wAfter w:w="17" w:type="dxa"/>
          <w:trHeight w:val="240"/>
        </w:trPr>
        <w:tc>
          <w:tcPr>
            <w:tcW w:w="3188" w:type="dxa"/>
            <w:tcBorders>
              <w:top w:val="nil"/>
              <w:left w:val="nil"/>
              <w:bottom w:val="nil"/>
              <w:right w:val="nil"/>
            </w:tcBorders>
            <w:shd w:val="clear" w:color="auto" w:fill="auto"/>
            <w:hideMark/>
          </w:tcPr>
          <w:p w14:paraId="766F6E62" w14:textId="56FFC839"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Letra del Tesoro U$S Vto. 25/10/2019</w:t>
            </w:r>
          </w:p>
        </w:tc>
        <w:tc>
          <w:tcPr>
            <w:tcW w:w="709" w:type="dxa"/>
            <w:tcBorders>
              <w:top w:val="nil"/>
              <w:left w:val="nil"/>
              <w:bottom w:val="nil"/>
              <w:right w:val="nil"/>
            </w:tcBorders>
            <w:shd w:val="clear" w:color="auto" w:fill="auto"/>
            <w:vAlign w:val="bottom"/>
            <w:hideMark/>
          </w:tcPr>
          <w:p w14:paraId="2BEA89A2" w14:textId="7925DA69"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05292</w:t>
            </w:r>
          </w:p>
        </w:tc>
        <w:tc>
          <w:tcPr>
            <w:tcW w:w="850" w:type="dxa"/>
            <w:tcBorders>
              <w:top w:val="nil"/>
              <w:left w:val="nil"/>
              <w:bottom w:val="nil"/>
              <w:right w:val="nil"/>
            </w:tcBorders>
            <w:shd w:val="clear" w:color="auto" w:fill="auto"/>
            <w:vAlign w:val="bottom"/>
            <w:hideMark/>
          </w:tcPr>
          <w:p w14:paraId="5FAED235"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50C32A99" w14:textId="2727A8AE"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6A460646" w14:textId="56B7BDBF"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2" w:type="dxa"/>
            <w:tcBorders>
              <w:top w:val="nil"/>
              <w:left w:val="nil"/>
              <w:bottom w:val="nil"/>
              <w:right w:val="nil"/>
            </w:tcBorders>
            <w:shd w:val="clear" w:color="auto" w:fill="auto"/>
            <w:vAlign w:val="bottom"/>
          </w:tcPr>
          <w:p w14:paraId="1B6B8B57" w14:textId="617E5604"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07CD4F44" w14:textId="6C0C814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96.595 </w:t>
            </w:r>
          </w:p>
        </w:tc>
        <w:tc>
          <w:tcPr>
            <w:tcW w:w="778" w:type="dxa"/>
            <w:tcBorders>
              <w:top w:val="nil"/>
              <w:left w:val="nil"/>
              <w:bottom w:val="nil"/>
              <w:right w:val="nil"/>
            </w:tcBorders>
            <w:shd w:val="clear" w:color="auto" w:fill="auto"/>
            <w:vAlign w:val="bottom"/>
            <w:hideMark/>
          </w:tcPr>
          <w:p w14:paraId="6A66A231" w14:textId="3E7AD3E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7E691E5E" w14:textId="3B3B6C0E"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96.595 </w:t>
            </w:r>
          </w:p>
        </w:tc>
      </w:tr>
      <w:tr w:rsidR="002B6E2E" w:rsidRPr="00D926FE" w14:paraId="20345760" w14:textId="77777777" w:rsidTr="008066E1">
        <w:trPr>
          <w:gridAfter w:val="1"/>
          <w:wAfter w:w="17" w:type="dxa"/>
          <w:trHeight w:val="240"/>
        </w:trPr>
        <w:tc>
          <w:tcPr>
            <w:tcW w:w="3188" w:type="dxa"/>
            <w:tcBorders>
              <w:top w:val="nil"/>
              <w:left w:val="nil"/>
              <w:bottom w:val="nil"/>
              <w:right w:val="nil"/>
            </w:tcBorders>
            <w:shd w:val="clear" w:color="auto" w:fill="auto"/>
            <w:hideMark/>
          </w:tcPr>
          <w:p w14:paraId="38062D4E" w14:textId="7DBF3712"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Letra del Tesoro U$S Vto. 27/09/2019</w:t>
            </w:r>
          </w:p>
        </w:tc>
        <w:tc>
          <w:tcPr>
            <w:tcW w:w="709" w:type="dxa"/>
            <w:tcBorders>
              <w:top w:val="nil"/>
              <w:left w:val="nil"/>
              <w:bottom w:val="nil"/>
              <w:right w:val="nil"/>
            </w:tcBorders>
            <w:shd w:val="clear" w:color="auto" w:fill="auto"/>
            <w:vAlign w:val="bottom"/>
            <w:hideMark/>
          </w:tcPr>
          <w:p w14:paraId="6004E87E" w14:textId="6BC124AC"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05286</w:t>
            </w:r>
          </w:p>
        </w:tc>
        <w:tc>
          <w:tcPr>
            <w:tcW w:w="850" w:type="dxa"/>
            <w:tcBorders>
              <w:top w:val="nil"/>
              <w:left w:val="nil"/>
              <w:bottom w:val="nil"/>
              <w:right w:val="nil"/>
            </w:tcBorders>
            <w:shd w:val="clear" w:color="auto" w:fill="auto"/>
            <w:vAlign w:val="bottom"/>
            <w:hideMark/>
          </w:tcPr>
          <w:p w14:paraId="37581DD7"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4A7D8271" w14:textId="1B583EBD"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1</w:t>
            </w:r>
          </w:p>
        </w:tc>
        <w:tc>
          <w:tcPr>
            <w:tcW w:w="841" w:type="dxa"/>
            <w:tcBorders>
              <w:top w:val="nil"/>
              <w:left w:val="nil"/>
              <w:bottom w:val="nil"/>
              <w:right w:val="nil"/>
            </w:tcBorders>
            <w:shd w:val="clear" w:color="auto" w:fill="auto"/>
            <w:vAlign w:val="bottom"/>
            <w:hideMark/>
          </w:tcPr>
          <w:p w14:paraId="4C0211E0" w14:textId="1D60DB17"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2" w:type="dxa"/>
            <w:tcBorders>
              <w:top w:val="nil"/>
              <w:left w:val="nil"/>
              <w:bottom w:val="nil"/>
              <w:right w:val="nil"/>
            </w:tcBorders>
            <w:shd w:val="clear" w:color="auto" w:fill="auto"/>
            <w:vAlign w:val="bottom"/>
          </w:tcPr>
          <w:p w14:paraId="06749CA3" w14:textId="4E069842"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42A9E006" w14:textId="5A10798C"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80.500 </w:t>
            </w:r>
          </w:p>
        </w:tc>
        <w:tc>
          <w:tcPr>
            <w:tcW w:w="778" w:type="dxa"/>
            <w:tcBorders>
              <w:top w:val="nil"/>
              <w:left w:val="nil"/>
              <w:bottom w:val="nil"/>
              <w:right w:val="nil"/>
            </w:tcBorders>
            <w:shd w:val="clear" w:color="auto" w:fill="auto"/>
            <w:vAlign w:val="bottom"/>
            <w:hideMark/>
          </w:tcPr>
          <w:p w14:paraId="0A04129C" w14:textId="256C8FD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594AA8A3" w14:textId="5B4BACA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80.500 </w:t>
            </w:r>
          </w:p>
        </w:tc>
      </w:tr>
      <w:tr w:rsidR="002B6E2E" w:rsidRPr="00D926FE" w14:paraId="2ABB5901" w14:textId="77777777" w:rsidTr="008066E1">
        <w:trPr>
          <w:gridAfter w:val="1"/>
          <w:wAfter w:w="17" w:type="dxa"/>
          <w:trHeight w:val="89"/>
        </w:trPr>
        <w:tc>
          <w:tcPr>
            <w:tcW w:w="3188" w:type="dxa"/>
            <w:tcBorders>
              <w:top w:val="nil"/>
              <w:left w:val="nil"/>
              <w:bottom w:val="nil"/>
              <w:right w:val="nil"/>
            </w:tcBorders>
            <w:shd w:val="clear" w:color="auto" w:fill="auto"/>
            <w:vAlign w:val="bottom"/>
            <w:hideMark/>
          </w:tcPr>
          <w:p w14:paraId="1308AF68" w14:textId="77777777" w:rsidR="002B6E2E" w:rsidRPr="008066E1" w:rsidRDefault="002B6E2E" w:rsidP="002B6E2E">
            <w:pPr>
              <w:rPr>
                <w:rFonts w:ascii="Arial" w:hAnsi="Arial" w:cs="Arial"/>
                <w:color w:val="000000" w:themeColor="text1"/>
                <w:sz w:val="14"/>
                <w:szCs w:val="14"/>
                <w:lang w:eastAsia="es-AR"/>
              </w:rPr>
            </w:pPr>
          </w:p>
        </w:tc>
        <w:tc>
          <w:tcPr>
            <w:tcW w:w="709" w:type="dxa"/>
            <w:tcBorders>
              <w:top w:val="nil"/>
              <w:left w:val="nil"/>
              <w:bottom w:val="nil"/>
              <w:right w:val="nil"/>
            </w:tcBorders>
            <w:shd w:val="clear" w:color="auto" w:fill="auto"/>
            <w:vAlign w:val="bottom"/>
            <w:hideMark/>
          </w:tcPr>
          <w:p w14:paraId="4F3DDEBB" w14:textId="77777777" w:rsidR="002B6E2E" w:rsidRPr="008066E1" w:rsidRDefault="002B6E2E" w:rsidP="008066E1">
            <w:pPr>
              <w:jc w:val="center"/>
              <w:rPr>
                <w:color w:val="000000" w:themeColor="text1"/>
                <w:sz w:val="20"/>
                <w:lang w:eastAsia="es-AR"/>
              </w:rPr>
            </w:pPr>
          </w:p>
        </w:tc>
        <w:tc>
          <w:tcPr>
            <w:tcW w:w="850" w:type="dxa"/>
            <w:tcBorders>
              <w:top w:val="nil"/>
              <w:left w:val="nil"/>
              <w:bottom w:val="nil"/>
              <w:right w:val="nil"/>
            </w:tcBorders>
            <w:shd w:val="clear" w:color="auto" w:fill="auto"/>
            <w:vAlign w:val="bottom"/>
            <w:hideMark/>
          </w:tcPr>
          <w:p w14:paraId="13967D62" w14:textId="77777777" w:rsidR="002B6E2E" w:rsidRPr="008066E1" w:rsidRDefault="002B6E2E"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0F54DD17" w14:textId="6F25954F" w:rsidR="002B6E2E" w:rsidRPr="008066E1" w:rsidRDefault="002B6E2E" w:rsidP="008066E1">
            <w:pPr>
              <w:jc w:val="center"/>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45B26F95" w14:textId="77777777" w:rsidR="002B6E2E" w:rsidRPr="008066E1" w:rsidRDefault="002B6E2E" w:rsidP="008066E1">
            <w:pPr>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696F71C1" w14:textId="77777777" w:rsidR="002B6E2E" w:rsidRPr="008066E1" w:rsidRDefault="002B6E2E" w:rsidP="008066E1">
            <w:pPr>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736BF604" w14:textId="77777777" w:rsidR="002B6E2E" w:rsidRPr="008066E1" w:rsidRDefault="002B6E2E" w:rsidP="008066E1">
            <w:pPr>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0FC9EFCB" w14:textId="77777777" w:rsidR="002B6E2E" w:rsidRPr="008066E1" w:rsidRDefault="002B6E2E" w:rsidP="008066E1">
            <w:pPr>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5100E76E" w14:textId="77777777" w:rsidR="002B6E2E" w:rsidRPr="008066E1" w:rsidRDefault="002B6E2E" w:rsidP="008066E1">
            <w:pPr>
              <w:jc w:val="right"/>
              <w:rPr>
                <w:color w:val="000000" w:themeColor="text1"/>
                <w:sz w:val="20"/>
                <w:lang w:eastAsia="es-AR"/>
              </w:rPr>
            </w:pPr>
          </w:p>
        </w:tc>
      </w:tr>
      <w:tr w:rsidR="002B6E2E" w:rsidRPr="00D926FE" w14:paraId="23159A46"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7052405F" w14:textId="77777777"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Otros</w:t>
            </w:r>
          </w:p>
        </w:tc>
        <w:tc>
          <w:tcPr>
            <w:tcW w:w="709" w:type="dxa"/>
            <w:tcBorders>
              <w:top w:val="nil"/>
              <w:left w:val="nil"/>
              <w:bottom w:val="nil"/>
              <w:right w:val="nil"/>
            </w:tcBorders>
            <w:shd w:val="clear" w:color="auto" w:fill="auto"/>
            <w:vAlign w:val="bottom"/>
            <w:hideMark/>
          </w:tcPr>
          <w:p w14:paraId="1E7C6184" w14:textId="77777777" w:rsidR="002B6E2E" w:rsidRPr="008066E1" w:rsidRDefault="002B6E2E" w:rsidP="008066E1">
            <w:pPr>
              <w:ind w:firstLineChars="300" w:firstLine="420"/>
              <w:jc w:val="center"/>
              <w:rPr>
                <w:rFonts w:ascii="Arial" w:hAnsi="Arial" w:cs="Arial"/>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24B5D919" w14:textId="77777777" w:rsidR="002B6E2E" w:rsidRPr="008066E1" w:rsidRDefault="002B6E2E"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6F566D3E" w14:textId="77777777" w:rsidR="002B6E2E" w:rsidRPr="008066E1" w:rsidRDefault="002B6E2E" w:rsidP="008066E1">
            <w:pPr>
              <w:jc w:val="center"/>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61A9E992" w14:textId="39932065"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2" w:type="dxa"/>
            <w:tcBorders>
              <w:top w:val="nil"/>
              <w:left w:val="nil"/>
              <w:bottom w:val="nil"/>
              <w:right w:val="nil"/>
            </w:tcBorders>
            <w:shd w:val="clear" w:color="auto" w:fill="auto"/>
            <w:vAlign w:val="bottom"/>
            <w:hideMark/>
          </w:tcPr>
          <w:p w14:paraId="4E725E3B" w14:textId="4B54278F"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332.711 </w:t>
            </w:r>
          </w:p>
        </w:tc>
        <w:tc>
          <w:tcPr>
            <w:tcW w:w="915" w:type="dxa"/>
            <w:tcBorders>
              <w:top w:val="nil"/>
              <w:left w:val="nil"/>
              <w:bottom w:val="nil"/>
              <w:right w:val="nil"/>
            </w:tcBorders>
            <w:shd w:val="clear" w:color="auto" w:fill="auto"/>
            <w:vAlign w:val="bottom"/>
            <w:hideMark/>
          </w:tcPr>
          <w:p w14:paraId="1495CF42" w14:textId="69CA7ACA"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-20.033</w:t>
            </w:r>
          </w:p>
        </w:tc>
        <w:tc>
          <w:tcPr>
            <w:tcW w:w="778" w:type="dxa"/>
            <w:tcBorders>
              <w:top w:val="nil"/>
              <w:left w:val="nil"/>
              <w:bottom w:val="nil"/>
              <w:right w:val="nil"/>
            </w:tcBorders>
            <w:shd w:val="clear" w:color="auto" w:fill="auto"/>
            <w:vAlign w:val="bottom"/>
            <w:hideMark/>
          </w:tcPr>
          <w:p w14:paraId="523CD7F0" w14:textId="7481D110"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0334FE8A" w14:textId="77D2DFE8"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-20.033</w:t>
            </w:r>
          </w:p>
        </w:tc>
      </w:tr>
      <w:tr w:rsidR="007465F0" w:rsidRPr="007465F0" w14:paraId="091FA88A"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116BD028" w14:textId="77777777" w:rsidR="007465F0" w:rsidRPr="008066E1" w:rsidRDefault="007465F0" w:rsidP="00B03371">
            <w:pPr>
              <w:rPr>
                <w:rFonts w:ascii="Arial" w:hAnsi="Arial" w:cs="Arial"/>
                <w:i/>
                <w:color w:val="000000" w:themeColor="text1"/>
                <w:sz w:val="14"/>
                <w:szCs w:val="14"/>
                <w:lang w:eastAsia="es-AR"/>
              </w:rPr>
            </w:pPr>
            <w:r w:rsidRPr="008066E1">
              <w:rPr>
                <w:rFonts w:ascii="Arial" w:hAnsi="Arial" w:cs="Arial"/>
                <w:i/>
                <w:color w:val="000000" w:themeColor="text1"/>
                <w:sz w:val="14"/>
                <w:szCs w:val="14"/>
                <w:lang w:eastAsia="es-AR"/>
              </w:rPr>
              <w:t>Títulos privados</w:t>
            </w:r>
          </w:p>
        </w:tc>
        <w:tc>
          <w:tcPr>
            <w:tcW w:w="709" w:type="dxa"/>
            <w:tcBorders>
              <w:top w:val="nil"/>
              <w:left w:val="nil"/>
              <w:bottom w:val="nil"/>
              <w:right w:val="nil"/>
            </w:tcBorders>
            <w:shd w:val="clear" w:color="auto" w:fill="auto"/>
            <w:vAlign w:val="bottom"/>
            <w:hideMark/>
          </w:tcPr>
          <w:p w14:paraId="701D5A35" w14:textId="77777777" w:rsidR="007465F0" w:rsidRPr="008066E1" w:rsidRDefault="007465F0" w:rsidP="008066E1">
            <w:pPr>
              <w:ind w:firstLineChars="2000" w:firstLine="2800"/>
              <w:jc w:val="center"/>
              <w:rPr>
                <w:rFonts w:ascii="Arial" w:hAnsi="Arial" w:cs="Arial"/>
                <w:i/>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311A8EA1" w14:textId="77777777" w:rsidR="007465F0" w:rsidRPr="008066E1" w:rsidRDefault="007465F0" w:rsidP="008066E1">
            <w:pPr>
              <w:jc w:val="center"/>
              <w:rPr>
                <w:i/>
                <w:color w:val="000000" w:themeColor="text1"/>
                <w:sz w:val="20"/>
                <w:lang w:eastAsia="es-AR"/>
              </w:rPr>
            </w:pPr>
          </w:p>
        </w:tc>
        <w:tc>
          <w:tcPr>
            <w:tcW w:w="794" w:type="dxa"/>
            <w:tcBorders>
              <w:top w:val="nil"/>
              <w:left w:val="nil"/>
              <w:bottom w:val="nil"/>
              <w:right w:val="nil"/>
            </w:tcBorders>
            <w:shd w:val="clear" w:color="auto" w:fill="auto"/>
            <w:vAlign w:val="bottom"/>
            <w:hideMark/>
          </w:tcPr>
          <w:p w14:paraId="62DE7534" w14:textId="77777777" w:rsidR="007465F0" w:rsidRPr="008066E1" w:rsidRDefault="007465F0" w:rsidP="008066E1">
            <w:pPr>
              <w:jc w:val="center"/>
              <w:rPr>
                <w:i/>
                <w:color w:val="000000" w:themeColor="text1"/>
                <w:sz w:val="20"/>
                <w:lang w:eastAsia="es-AR"/>
              </w:rPr>
            </w:pPr>
          </w:p>
        </w:tc>
        <w:tc>
          <w:tcPr>
            <w:tcW w:w="841" w:type="dxa"/>
            <w:tcBorders>
              <w:top w:val="nil"/>
              <w:left w:val="nil"/>
              <w:bottom w:val="nil"/>
              <w:right w:val="nil"/>
            </w:tcBorders>
            <w:shd w:val="clear" w:color="auto" w:fill="auto"/>
            <w:vAlign w:val="bottom"/>
            <w:hideMark/>
          </w:tcPr>
          <w:p w14:paraId="0B432702" w14:textId="77777777" w:rsidR="007465F0" w:rsidRPr="008066E1" w:rsidRDefault="007465F0" w:rsidP="008066E1">
            <w:pPr>
              <w:jc w:val="right"/>
              <w:rPr>
                <w:i/>
                <w:color w:val="000000" w:themeColor="text1"/>
                <w:sz w:val="20"/>
                <w:lang w:eastAsia="es-AR"/>
              </w:rPr>
            </w:pPr>
          </w:p>
        </w:tc>
        <w:tc>
          <w:tcPr>
            <w:tcW w:w="842" w:type="dxa"/>
            <w:tcBorders>
              <w:top w:val="nil"/>
              <w:left w:val="nil"/>
              <w:bottom w:val="nil"/>
              <w:right w:val="nil"/>
            </w:tcBorders>
            <w:shd w:val="clear" w:color="auto" w:fill="auto"/>
            <w:vAlign w:val="bottom"/>
            <w:hideMark/>
          </w:tcPr>
          <w:p w14:paraId="2A3C2669" w14:textId="77777777" w:rsidR="007465F0" w:rsidRPr="008066E1" w:rsidRDefault="007465F0" w:rsidP="008066E1">
            <w:pPr>
              <w:jc w:val="right"/>
              <w:rPr>
                <w:i/>
                <w:color w:val="000000" w:themeColor="text1"/>
                <w:sz w:val="20"/>
                <w:lang w:eastAsia="es-AR"/>
              </w:rPr>
            </w:pPr>
          </w:p>
        </w:tc>
        <w:tc>
          <w:tcPr>
            <w:tcW w:w="915" w:type="dxa"/>
            <w:tcBorders>
              <w:top w:val="nil"/>
              <w:left w:val="nil"/>
              <w:bottom w:val="nil"/>
              <w:right w:val="nil"/>
            </w:tcBorders>
            <w:shd w:val="clear" w:color="auto" w:fill="auto"/>
            <w:vAlign w:val="bottom"/>
            <w:hideMark/>
          </w:tcPr>
          <w:p w14:paraId="609A43D6" w14:textId="77777777" w:rsidR="007465F0" w:rsidRPr="008066E1" w:rsidRDefault="007465F0" w:rsidP="008066E1">
            <w:pPr>
              <w:jc w:val="right"/>
              <w:rPr>
                <w:i/>
                <w:color w:val="000000" w:themeColor="text1"/>
                <w:sz w:val="20"/>
                <w:lang w:eastAsia="es-AR"/>
              </w:rPr>
            </w:pPr>
          </w:p>
        </w:tc>
        <w:tc>
          <w:tcPr>
            <w:tcW w:w="778" w:type="dxa"/>
            <w:tcBorders>
              <w:top w:val="nil"/>
              <w:left w:val="nil"/>
              <w:bottom w:val="nil"/>
              <w:right w:val="nil"/>
            </w:tcBorders>
            <w:shd w:val="clear" w:color="auto" w:fill="auto"/>
            <w:vAlign w:val="bottom"/>
            <w:hideMark/>
          </w:tcPr>
          <w:p w14:paraId="192963B4" w14:textId="77777777" w:rsidR="007465F0" w:rsidRPr="008066E1" w:rsidRDefault="007465F0" w:rsidP="008066E1">
            <w:pPr>
              <w:jc w:val="right"/>
              <w:rPr>
                <w:i/>
                <w:color w:val="000000" w:themeColor="text1"/>
                <w:sz w:val="20"/>
                <w:lang w:eastAsia="es-AR"/>
              </w:rPr>
            </w:pPr>
          </w:p>
        </w:tc>
        <w:tc>
          <w:tcPr>
            <w:tcW w:w="848" w:type="dxa"/>
            <w:tcBorders>
              <w:top w:val="nil"/>
              <w:left w:val="nil"/>
              <w:bottom w:val="nil"/>
              <w:right w:val="nil"/>
            </w:tcBorders>
            <w:shd w:val="clear" w:color="auto" w:fill="auto"/>
            <w:vAlign w:val="bottom"/>
            <w:hideMark/>
          </w:tcPr>
          <w:p w14:paraId="63E2A6A3" w14:textId="77777777" w:rsidR="007465F0" w:rsidRPr="008066E1" w:rsidRDefault="007465F0" w:rsidP="008066E1">
            <w:pPr>
              <w:jc w:val="right"/>
              <w:rPr>
                <w:i/>
                <w:color w:val="000000" w:themeColor="text1"/>
                <w:sz w:val="20"/>
                <w:lang w:eastAsia="es-AR"/>
              </w:rPr>
            </w:pPr>
          </w:p>
        </w:tc>
      </w:tr>
      <w:tr w:rsidR="002B6E2E" w:rsidRPr="00D926FE" w14:paraId="74CBCBE9" w14:textId="77777777" w:rsidTr="008066E1">
        <w:trPr>
          <w:gridAfter w:val="1"/>
          <w:wAfter w:w="17" w:type="dxa"/>
          <w:trHeight w:val="240"/>
        </w:trPr>
        <w:tc>
          <w:tcPr>
            <w:tcW w:w="3188" w:type="dxa"/>
            <w:tcBorders>
              <w:top w:val="nil"/>
              <w:left w:val="nil"/>
              <w:bottom w:val="nil"/>
              <w:right w:val="nil"/>
            </w:tcBorders>
            <w:shd w:val="clear" w:color="auto" w:fill="auto"/>
            <w:hideMark/>
          </w:tcPr>
          <w:p w14:paraId="1E916A23" w14:textId="063558D6" w:rsidR="002B6E2E" w:rsidRPr="008066E1" w:rsidRDefault="002B6E2E" w:rsidP="002B6E2E">
            <w:pPr>
              <w:rPr>
                <w:rFonts w:ascii="Arial" w:hAnsi="Arial" w:cs="Arial"/>
                <w:color w:val="000000" w:themeColor="text1"/>
                <w:sz w:val="14"/>
                <w:szCs w:val="14"/>
                <w:lang w:val="en-US" w:eastAsia="es-AR"/>
              </w:rPr>
            </w:pPr>
            <w:r w:rsidRPr="008066E1">
              <w:rPr>
                <w:rFonts w:ascii="Arial" w:hAnsi="Arial" w:cs="Arial"/>
                <w:color w:val="000000" w:themeColor="text1"/>
                <w:sz w:val="14"/>
                <w:szCs w:val="14"/>
                <w:lang w:val="en-US"/>
              </w:rPr>
              <w:t>On Ypf S.A Cl.5 $ Vto.24/01/21 CG</w:t>
            </w:r>
          </w:p>
        </w:tc>
        <w:tc>
          <w:tcPr>
            <w:tcW w:w="709" w:type="dxa"/>
            <w:tcBorders>
              <w:top w:val="nil"/>
              <w:left w:val="nil"/>
              <w:bottom w:val="nil"/>
              <w:right w:val="nil"/>
            </w:tcBorders>
            <w:shd w:val="clear" w:color="auto" w:fill="auto"/>
            <w:vAlign w:val="bottom"/>
            <w:hideMark/>
          </w:tcPr>
          <w:p w14:paraId="4BA17670" w14:textId="7BABDB08"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54575</w:t>
            </w:r>
          </w:p>
        </w:tc>
        <w:tc>
          <w:tcPr>
            <w:tcW w:w="850" w:type="dxa"/>
            <w:tcBorders>
              <w:top w:val="nil"/>
              <w:left w:val="nil"/>
              <w:bottom w:val="nil"/>
              <w:right w:val="nil"/>
            </w:tcBorders>
            <w:shd w:val="clear" w:color="auto" w:fill="auto"/>
            <w:vAlign w:val="bottom"/>
            <w:hideMark/>
          </w:tcPr>
          <w:p w14:paraId="0C498999"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7C305D10" w14:textId="6BDF2D1B"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bottom"/>
            <w:hideMark/>
          </w:tcPr>
          <w:p w14:paraId="666F2EA3" w14:textId="7CE80A65"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139.823</w:t>
            </w:r>
          </w:p>
        </w:tc>
        <w:tc>
          <w:tcPr>
            <w:tcW w:w="842" w:type="dxa"/>
            <w:tcBorders>
              <w:top w:val="nil"/>
              <w:left w:val="nil"/>
              <w:bottom w:val="nil"/>
              <w:right w:val="nil"/>
            </w:tcBorders>
            <w:shd w:val="clear" w:color="auto" w:fill="auto"/>
            <w:vAlign w:val="bottom"/>
            <w:hideMark/>
          </w:tcPr>
          <w:p w14:paraId="525D1EEC" w14:textId="775BEA13"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915" w:type="dxa"/>
            <w:tcBorders>
              <w:top w:val="nil"/>
              <w:left w:val="nil"/>
              <w:bottom w:val="nil"/>
              <w:right w:val="nil"/>
            </w:tcBorders>
            <w:shd w:val="clear" w:color="auto" w:fill="auto"/>
            <w:vAlign w:val="bottom"/>
            <w:hideMark/>
          </w:tcPr>
          <w:p w14:paraId="5978194D" w14:textId="735CE7E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139.823</w:t>
            </w:r>
          </w:p>
        </w:tc>
        <w:tc>
          <w:tcPr>
            <w:tcW w:w="778" w:type="dxa"/>
            <w:tcBorders>
              <w:top w:val="nil"/>
              <w:left w:val="nil"/>
              <w:bottom w:val="nil"/>
              <w:right w:val="nil"/>
            </w:tcBorders>
            <w:shd w:val="clear" w:color="auto" w:fill="auto"/>
            <w:vAlign w:val="bottom"/>
            <w:hideMark/>
          </w:tcPr>
          <w:p w14:paraId="6F6F8971" w14:textId="068C4C7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24F8B887" w14:textId="737AB4C8"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139.823</w:t>
            </w:r>
          </w:p>
        </w:tc>
      </w:tr>
      <w:tr w:rsidR="002B6E2E" w:rsidRPr="00D926FE" w14:paraId="37579E35" w14:textId="77777777" w:rsidTr="008066E1">
        <w:trPr>
          <w:gridAfter w:val="1"/>
          <w:wAfter w:w="17" w:type="dxa"/>
          <w:trHeight w:val="240"/>
        </w:trPr>
        <w:tc>
          <w:tcPr>
            <w:tcW w:w="3188" w:type="dxa"/>
            <w:tcBorders>
              <w:top w:val="nil"/>
              <w:left w:val="nil"/>
              <w:bottom w:val="nil"/>
              <w:right w:val="nil"/>
            </w:tcBorders>
            <w:shd w:val="clear" w:color="auto" w:fill="auto"/>
            <w:hideMark/>
          </w:tcPr>
          <w:p w14:paraId="495AA4AD" w14:textId="06C1DDEE" w:rsidR="002B6E2E" w:rsidRPr="008066E1" w:rsidRDefault="002B6E2E" w:rsidP="002B6E2E">
            <w:pPr>
              <w:rPr>
                <w:rFonts w:ascii="Arial" w:hAnsi="Arial" w:cs="Arial"/>
                <w:color w:val="000000" w:themeColor="text1"/>
                <w:sz w:val="14"/>
                <w:szCs w:val="14"/>
                <w:lang w:eastAsia="es-AR"/>
              </w:rPr>
            </w:pPr>
            <w:r w:rsidRPr="008066E1">
              <w:rPr>
                <w:rFonts w:ascii="Arial" w:hAnsi="Arial" w:cs="Arial"/>
                <w:color w:val="000000" w:themeColor="text1"/>
                <w:sz w:val="14"/>
                <w:szCs w:val="14"/>
              </w:rPr>
              <w:t>Vcp Pyme Catalinas Coop.3 V12/04/20 $ CG</w:t>
            </w:r>
          </w:p>
        </w:tc>
        <w:tc>
          <w:tcPr>
            <w:tcW w:w="709" w:type="dxa"/>
            <w:tcBorders>
              <w:top w:val="nil"/>
              <w:left w:val="nil"/>
              <w:bottom w:val="nil"/>
              <w:right w:val="nil"/>
            </w:tcBorders>
            <w:shd w:val="clear" w:color="auto" w:fill="auto"/>
            <w:vAlign w:val="bottom"/>
            <w:hideMark/>
          </w:tcPr>
          <w:p w14:paraId="356C6494" w14:textId="65853BBE"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54165</w:t>
            </w:r>
          </w:p>
        </w:tc>
        <w:tc>
          <w:tcPr>
            <w:tcW w:w="850" w:type="dxa"/>
            <w:tcBorders>
              <w:top w:val="nil"/>
              <w:left w:val="nil"/>
              <w:bottom w:val="nil"/>
              <w:right w:val="nil"/>
            </w:tcBorders>
            <w:shd w:val="clear" w:color="auto" w:fill="auto"/>
            <w:vAlign w:val="bottom"/>
            <w:hideMark/>
          </w:tcPr>
          <w:p w14:paraId="1A5B528A"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3C7A4AA1" w14:textId="366C8015"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3</w:t>
            </w:r>
          </w:p>
        </w:tc>
        <w:tc>
          <w:tcPr>
            <w:tcW w:w="841" w:type="dxa"/>
            <w:tcBorders>
              <w:top w:val="nil"/>
              <w:left w:val="nil"/>
              <w:bottom w:val="nil"/>
              <w:right w:val="nil"/>
            </w:tcBorders>
            <w:shd w:val="clear" w:color="auto" w:fill="auto"/>
            <w:vAlign w:val="bottom"/>
            <w:hideMark/>
          </w:tcPr>
          <w:p w14:paraId="3A8DDBCE" w14:textId="23D26347"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2.526</w:t>
            </w:r>
          </w:p>
        </w:tc>
        <w:tc>
          <w:tcPr>
            <w:tcW w:w="842" w:type="dxa"/>
            <w:tcBorders>
              <w:top w:val="nil"/>
              <w:left w:val="nil"/>
              <w:bottom w:val="nil"/>
              <w:right w:val="nil"/>
            </w:tcBorders>
            <w:shd w:val="clear" w:color="auto" w:fill="auto"/>
            <w:vAlign w:val="bottom"/>
            <w:hideMark/>
          </w:tcPr>
          <w:p w14:paraId="6F363517" w14:textId="3E404B02"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2.795</w:t>
            </w:r>
          </w:p>
        </w:tc>
        <w:tc>
          <w:tcPr>
            <w:tcW w:w="915" w:type="dxa"/>
            <w:tcBorders>
              <w:top w:val="nil"/>
              <w:left w:val="nil"/>
              <w:bottom w:val="nil"/>
              <w:right w:val="nil"/>
            </w:tcBorders>
            <w:shd w:val="clear" w:color="auto" w:fill="auto"/>
            <w:vAlign w:val="bottom"/>
            <w:hideMark/>
          </w:tcPr>
          <w:p w14:paraId="0D9FA999" w14:textId="2F83FC0E"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2.526</w:t>
            </w:r>
          </w:p>
        </w:tc>
        <w:tc>
          <w:tcPr>
            <w:tcW w:w="778" w:type="dxa"/>
            <w:tcBorders>
              <w:top w:val="nil"/>
              <w:left w:val="nil"/>
              <w:bottom w:val="nil"/>
              <w:right w:val="nil"/>
            </w:tcBorders>
            <w:shd w:val="clear" w:color="auto" w:fill="auto"/>
            <w:vAlign w:val="bottom"/>
            <w:hideMark/>
          </w:tcPr>
          <w:p w14:paraId="4139F7F9" w14:textId="6AB8A175"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67EAD76F" w14:textId="34A4D50D"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2.526</w:t>
            </w:r>
          </w:p>
        </w:tc>
      </w:tr>
      <w:tr w:rsidR="002B6E2E" w:rsidRPr="00D926FE" w14:paraId="3C64AB6C" w14:textId="77777777" w:rsidTr="008066E1">
        <w:trPr>
          <w:gridAfter w:val="1"/>
          <w:wAfter w:w="17" w:type="dxa"/>
          <w:trHeight w:val="240"/>
        </w:trPr>
        <w:tc>
          <w:tcPr>
            <w:tcW w:w="3188" w:type="dxa"/>
            <w:tcBorders>
              <w:top w:val="nil"/>
              <w:left w:val="nil"/>
              <w:bottom w:val="nil"/>
              <w:right w:val="nil"/>
            </w:tcBorders>
            <w:shd w:val="clear" w:color="auto" w:fill="auto"/>
            <w:hideMark/>
          </w:tcPr>
          <w:p w14:paraId="375D2BC6" w14:textId="78FECD3B" w:rsidR="002B6E2E" w:rsidRPr="008066E1" w:rsidRDefault="002B6E2E" w:rsidP="002B6E2E">
            <w:pPr>
              <w:rPr>
                <w:rFonts w:ascii="Arial" w:hAnsi="Arial" w:cs="Arial"/>
                <w:color w:val="000000" w:themeColor="text1"/>
                <w:sz w:val="14"/>
                <w:szCs w:val="14"/>
                <w:lang w:val="en-US" w:eastAsia="es-AR"/>
              </w:rPr>
            </w:pPr>
            <w:r w:rsidRPr="008066E1">
              <w:rPr>
                <w:rFonts w:ascii="Arial" w:hAnsi="Arial" w:cs="Arial"/>
                <w:color w:val="000000" w:themeColor="text1"/>
                <w:sz w:val="14"/>
                <w:szCs w:val="14"/>
                <w:lang w:val="en-US"/>
              </w:rPr>
              <w:t xml:space="preserve">On Quickfood Clase 9 Vto. 24/11/22 $ C.G.      </w:t>
            </w:r>
          </w:p>
        </w:tc>
        <w:tc>
          <w:tcPr>
            <w:tcW w:w="709" w:type="dxa"/>
            <w:tcBorders>
              <w:top w:val="nil"/>
              <w:left w:val="nil"/>
              <w:bottom w:val="nil"/>
              <w:right w:val="nil"/>
            </w:tcBorders>
            <w:shd w:val="clear" w:color="auto" w:fill="auto"/>
            <w:vAlign w:val="bottom"/>
            <w:hideMark/>
          </w:tcPr>
          <w:p w14:paraId="0C652094" w14:textId="1057A2F1"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51047</w:t>
            </w:r>
          </w:p>
        </w:tc>
        <w:tc>
          <w:tcPr>
            <w:tcW w:w="850" w:type="dxa"/>
            <w:tcBorders>
              <w:top w:val="nil"/>
              <w:left w:val="nil"/>
              <w:bottom w:val="nil"/>
              <w:right w:val="nil"/>
            </w:tcBorders>
            <w:shd w:val="clear" w:color="auto" w:fill="auto"/>
            <w:vAlign w:val="bottom"/>
            <w:hideMark/>
          </w:tcPr>
          <w:p w14:paraId="1E9F727C" w14:textId="77777777" w:rsidR="002B6E2E" w:rsidRPr="008066E1" w:rsidRDefault="002B6E2E" w:rsidP="008066E1">
            <w:pPr>
              <w:jc w:val="center"/>
              <w:rPr>
                <w:rFonts w:ascii="Arial" w:hAnsi="Arial" w:cs="Arial"/>
                <w:color w:val="000000" w:themeColor="text1"/>
                <w:sz w:val="14"/>
                <w:szCs w:val="14"/>
                <w:lang w:eastAsia="es-AR"/>
              </w:rPr>
            </w:pPr>
          </w:p>
        </w:tc>
        <w:tc>
          <w:tcPr>
            <w:tcW w:w="794" w:type="dxa"/>
            <w:tcBorders>
              <w:top w:val="nil"/>
              <w:left w:val="nil"/>
              <w:bottom w:val="nil"/>
              <w:right w:val="nil"/>
            </w:tcBorders>
            <w:shd w:val="clear" w:color="auto" w:fill="auto"/>
            <w:vAlign w:val="bottom"/>
            <w:hideMark/>
          </w:tcPr>
          <w:p w14:paraId="65F7B2AC" w14:textId="1F5D870C" w:rsidR="002B6E2E" w:rsidRPr="008066E1" w:rsidRDefault="002B6E2E"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3</w:t>
            </w:r>
          </w:p>
        </w:tc>
        <w:tc>
          <w:tcPr>
            <w:tcW w:w="841" w:type="dxa"/>
            <w:tcBorders>
              <w:top w:val="nil"/>
              <w:left w:val="nil"/>
              <w:bottom w:val="nil"/>
              <w:right w:val="nil"/>
            </w:tcBorders>
            <w:shd w:val="clear" w:color="auto" w:fill="auto"/>
            <w:vAlign w:val="bottom"/>
            <w:hideMark/>
          </w:tcPr>
          <w:p w14:paraId="6A8E5017" w14:textId="7D453B53"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2" w:type="dxa"/>
            <w:tcBorders>
              <w:top w:val="nil"/>
              <w:left w:val="nil"/>
              <w:bottom w:val="nil"/>
              <w:right w:val="nil"/>
            </w:tcBorders>
            <w:shd w:val="clear" w:color="auto" w:fill="auto"/>
            <w:vAlign w:val="bottom"/>
            <w:hideMark/>
          </w:tcPr>
          <w:p w14:paraId="70A379DD" w14:textId="34A391AC"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1.159 </w:t>
            </w:r>
          </w:p>
        </w:tc>
        <w:tc>
          <w:tcPr>
            <w:tcW w:w="915" w:type="dxa"/>
            <w:tcBorders>
              <w:top w:val="nil"/>
              <w:left w:val="nil"/>
              <w:bottom w:val="nil"/>
              <w:right w:val="nil"/>
            </w:tcBorders>
            <w:shd w:val="clear" w:color="auto" w:fill="auto"/>
            <w:vAlign w:val="bottom"/>
            <w:hideMark/>
          </w:tcPr>
          <w:p w14:paraId="4A87089F" w14:textId="775E71B6"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778" w:type="dxa"/>
            <w:tcBorders>
              <w:top w:val="nil"/>
              <w:left w:val="nil"/>
              <w:bottom w:val="nil"/>
              <w:right w:val="nil"/>
            </w:tcBorders>
            <w:shd w:val="clear" w:color="auto" w:fill="auto"/>
            <w:vAlign w:val="bottom"/>
            <w:hideMark/>
          </w:tcPr>
          <w:p w14:paraId="3962A6FC" w14:textId="34B5396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18ACE89E" w14:textId="66148299"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r>
      <w:tr w:rsidR="007465F0" w:rsidRPr="00D926FE" w14:paraId="60B377B0" w14:textId="77777777" w:rsidTr="008066E1">
        <w:trPr>
          <w:gridAfter w:val="1"/>
          <w:wAfter w:w="17" w:type="dxa"/>
          <w:trHeight w:val="240"/>
        </w:trPr>
        <w:tc>
          <w:tcPr>
            <w:tcW w:w="3188" w:type="dxa"/>
            <w:tcBorders>
              <w:top w:val="nil"/>
              <w:left w:val="nil"/>
              <w:bottom w:val="single" w:sz="4" w:space="0" w:color="auto"/>
              <w:right w:val="nil"/>
            </w:tcBorders>
            <w:shd w:val="clear" w:color="auto" w:fill="auto"/>
            <w:vAlign w:val="bottom"/>
          </w:tcPr>
          <w:p w14:paraId="7E1EA5C0" w14:textId="2725D4E8" w:rsidR="007465F0" w:rsidRPr="008066E1" w:rsidRDefault="007465F0" w:rsidP="00B03371">
            <w:pPr>
              <w:rPr>
                <w:rFonts w:ascii="Arial" w:hAnsi="Arial" w:cs="Arial"/>
                <w:color w:val="000000" w:themeColor="text1"/>
                <w:sz w:val="14"/>
                <w:szCs w:val="14"/>
                <w:lang w:val="en-US" w:eastAsia="es-AR"/>
              </w:rPr>
            </w:pPr>
          </w:p>
        </w:tc>
        <w:tc>
          <w:tcPr>
            <w:tcW w:w="709" w:type="dxa"/>
            <w:tcBorders>
              <w:top w:val="nil"/>
              <w:left w:val="nil"/>
              <w:bottom w:val="single" w:sz="4" w:space="0" w:color="auto"/>
              <w:right w:val="nil"/>
            </w:tcBorders>
            <w:shd w:val="clear" w:color="auto" w:fill="auto"/>
            <w:vAlign w:val="bottom"/>
          </w:tcPr>
          <w:p w14:paraId="78C9A9D6" w14:textId="7A8A4FD7" w:rsidR="007465F0" w:rsidRPr="008066E1" w:rsidRDefault="007465F0" w:rsidP="008066E1">
            <w:pPr>
              <w:jc w:val="center"/>
              <w:rPr>
                <w:rFonts w:ascii="Arial" w:hAnsi="Arial" w:cs="Arial"/>
                <w:color w:val="000000" w:themeColor="text1"/>
                <w:sz w:val="14"/>
                <w:szCs w:val="14"/>
                <w:lang w:eastAsia="es-AR"/>
              </w:rPr>
            </w:pPr>
          </w:p>
        </w:tc>
        <w:tc>
          <w:tcPr>
            <w:tcW w:w="850" w:type="dxa"/>
            <w:tcBorders>
              <w:top w:val="nil"/>
              <w:left w:val="nil"/>
              <w:bottom w:val="single" w:sz="4" w:space="0" w:color="auto"/>
              <w:right w:val="nil"/>
            </w:tcBorders>
            <w:shd w:val="clear" w:color="auto" w:fill="auto"/>
            <w:vAlign w:val="bottom"/>
          </w:tcPr>
          <w:p w14:paraId="6B8576F1" w14:textId="22B0FA98" w:rsidR="007465F0" w:rsidRPr="008066E1" w:rsidRDefault="007465F0" w:rsidP="008066E1">
            <w:pPr>
              <w:jc w:val="center"/>
              <w:rPr>
                <w:rFonts w:ascii="Arial" w:hAnsi="Arial" w:cs="Arial"/>
                <w:color w:val="000000" w:themeColor="text1"/>
                <w:sz w:val="14"/>
                <w:szCs w:val="14"/>
                <w:lang w:eastAsia="es-AR"/>
              </w:rPr>
            </w:pPr>
          </w:p>
        </w:tc>
        <w:tc>
          <w:tcPr>
            <w:tcW w:w="794" w:type="dxa"/>
            <w:tcBorders>
              <w:top w:val="nil"/>
              <w:left w:val="nil"/>
              <w:bottom w:val="single" w:sz="4" w:space="0" w:color="auto"/>
              <w:right w:val="nil"/>
            </w:tcBorders>
            <w:shd w:val="clear" w:color="auto" w:fill="auto"/>
            <w:vAlign w:val="bottom"/>
          </w:tcPr>
          <w:p w14:paraId="7A30F3A8" w14:textId="46D634B6" w:rsidR="007465F0" w:rsidRPr="008066E1" w:rsidRDefault="007465F0" w:rsidP="008066E1">
            <w:pPr>
              <w:jc w:val="center"/>
              <w:rPr>
                <w:rFonts w:ascii="Arial" w:hAnsi="Arial" w:cs="Arial"/>
                <w:color w:val="000000" w:themeColor="text1"/>
                <w:sz w:val="14"/>
                <w:szCs w:val="14"/>
                <w:lang w:eastAsia="es-AR"/>
              </w:rPr>
            </w:pPr>
          </w:p>
        </w:tc>
        <w:tc>
          <w:tcPr>
            <w:tcW w:w="841" w:type="dxa"/>
            <w:tcBorders>
              <w:top w:val="nil"/>
              <w:left w:val="nil"/>
              <w:bottom w:val="single" w:sz="4" w:space="0" w:color="auto"/>
              <w:right w:val="nil"/>
            </w:tcBorders>
            <w:shd w:val="clear" w:color="auto" w:fill="auto"/>
            <w:vAlign w:val="bottom"/>
          </w:tcPr>
          <w:p w14:paraId="43007AD4" w14:textId="33866B7C" w:rsidR="007465F0" w:rsidRPr="008066E1" w:rsidRDefault="007465F0" w:rsidP="008066E1">
            <w:pPr>
              <w:jc w:val="right"/>
              <w:rPr>
                <w:rFonts w:ascii="Arial" w:hAnsi="Arial" w:cs="Arial"/>
                <w:color w:val="000000" w:themeColor="text1"/>
                <w:sz w:val="14"/>
                <w:szCs w:val="14"/>
                <w:lang w:eastAsia="es-AR"/>
              </w:rPr>
            </w:pPr>
          </w:p>
        </w:tc>
        <w:tc>
          <w:tcPr>
            <w:tcW w:w="842" w:type="dxa"/>
            <w:tcBorders>
              <w:top w:val="nil"/>
              <w:left w:val="nil"/>
              <w:bottom w:val="single" w:sz="4" w:space="0" w:color="auto"/>
              <w:right w:val="nil"/>
            </w:tcBorders>
            <w:shd w:val="clear" w:color="auto" w:fill="auto"/>
            <w:vAlign w:val="bottom"/>
          </w:tcPr>
          <w:p w14:paraId="0474E82B" w14:textId="6B944E22" w:rsidR="007465F0" w:rsidRPr="008066E1" w:rsidRDefault="007465F0" w:rsidP="008066E1">
            <w:pPr>
              <w:jc w:val="right"/>
              <w:rPr>
                <w:rFonts w:ascii="Arial" w:hAnsi="Arial" w:cs="Arial"/>
                <w:color w:val="000000" w:themeColor="text1"/>
                <w:sz w:val="14"/>
                <w:szCs w:val="14"/>
                <w:lang w:eastAsia="es-AR"/>
              </w:rPr>
            </w:pPr>
          </w:p>
        </w:tc>
        <w:tc>
          <w:tcPr>
            <w:tcW w:w="915" w:type="dxa"/>
            <w:tcBorders>
              <w:top w:val="nil"/>
              <w:left w:val="nil"/>
              <w:bottom w:val="single" w:sz="4" w:space="0" w:color="auto"/>
              <w:right w:val="nil"/>
            </w:tcBorders>
            <w:shd w:val="clear" w:color="auto" w:fill="auto"/>
            <w:vAlign w:val="bottom"/>
          </w:tcPr>
          <w:p w14:paraId="13FB623C" w14:textId="32F7E837" w:rsidR="007465F0" w:rsidRPr="008066E1" w:rsidRDefault="007465F0" w:rsidP="008066E1">
            <w:pPr>
              <w:jc w:val="right"/>
              <w:rPr>
                <w:rFonts w:ascii="Arial" w:hAnsi="Arial" w:cs="Arial"/>
                <w:color w:val="000000" w:themeColor="text1"/>
                <w:sz w:val="14"/>
                <w:szCs w:val="14"/>
                <w:lang w:eastAsia="es-AR"/>
              </w:rPr>
            </w:pPr>
          </w:p>
        </w:tc>
        <w:tc>
          <w:tcPr>
            <w:tcW w:w="778" w:type="dxa"/>
            <w:tcBorders>
              <w:top w:val="nil"/>
              <w:left w:val="nil"/>
              <w:bottom w:val="single" w:sz="4" w:space="0" w:color="auto"/>
              <w:right w:val="nil"/>
            </w:tcBorders>
            <w:shd w:val="clear" w:color="auto" w:fill="auto"/>
            <w:vAlign w:val="bottom"/>
          </w:tcPr>
          <w:p w14:paraId="2DF45C82" w14:textId="7CC52A62" w:rsidR="007465F0" w:rsidRPr="008066E1" w:rsidRDefault="007465F0" w:rsidP="008066E1">
            <w:pPr>
              <w:jc w:val="right"/>
              <w:rPr>
                <w:rFonts w:ascii="Arial" w:hAnsi="Arial" w:cs="Arial"/>
                <w:color w:val="000000" w:themeColor="text1"/>
                <w:sz w:val="14"/>
                <w:szCs w:val="14"/>
                <w:lang w:eastAsia="es-AR"/>
              </w:rPr>
            </w:pPr>
          </w:p>
        </w:tc>
        <w:tc>
          <w:tcPr>
            <w:tcW w:w="848" w:type="dxa"/>
            <w:tcBorders>
              <w:top w:val="nil"/>
              <w:left w:val="nil"/>
              <w:bottom w:val="single" w:sz="4" w:space="0" w:color="auto"/>
              <w:right w:val="nil"/>
            </w:tcBorders>
            <w:shd w:val="clear" w:color="auto" w:fill="auto"/>
            <w:vAlign w:val="bottom"/>
          </w:tcPr>
          <w:p w14:paraId="128DB05C" w14:textId="35DD1040" w:rsidR="007465F0" w:rsidRPr="008066E1" w:rsidRDefault="007465F0" w:rsidP="008066E1">
            <w:pPr>
              <w:jc w:val="right"/>
              <w:rPr>
                <w:rFonts w:ascii="Arial" w:hAnsi="Arial" w:cs="Arial"/>
                <w:color w:val="000000" w:themeColor="text1"/>
                <w:sz w:val="14"/>
                <w:szCs w:val="14"/>
                <w:lang w:eastAsia="es-AR"/>
              </w:rPr>
            </w:pPr>
          </w:p>
        </w:tc>
      </w:tr>
      <w:tr w:rsidR="007465F0" w:rsidRPr="00D926FE" w14:paraId="760B580E" w14:textId="77777777" w:rsidTr="008066E1">
        <w:trPr>
          <w:gridAfter w:val="1"/>
          <w:wAfter w:w="17" w:type="dxa"/>
          <w:trHeight w:val="144"/>
        </w:trPr>
        <w:tc>
          <w:tcPr>
            <w:tcW w:w="3188" w:type="dxa"/>
            <w:tcBorders>
              <w:top w:val="nil"/>
              <w:left w:val="nil"/>
              <w:bottom w:val="nil"/>
              <w:right w:val="nil"/>
            </w:tcBorders>
            <w:shd w:val="clear" w:color="auto" w:fill="auto"/>
            <w:vAlign w:val="bottom"/>
            <w:hideMark/>
          </w:tcPr>
          <w:p w14:paraId="6003729A" w14:textId="77777777" w:rsidR="007465F0" w:rsidRPr="008066E1" w:rsidRDefault="007465F0" w:rsidP="00B03371">
            <w:pPr>
              <w:rPr>
                <w:rFonts w:ascii="Arial" w:hAnsi="Arial" w:cs="Arial"/>
                <w:color w:val="000000" w:themeColor="text1"/>
                <w:sz w:val="14"/>
                <w:szCs w:val="14"/>
                <w:lang w:eastAsia="es-AR"/>
              </w:rPr>
            </w:pPr>
          </w:p>
        </w:tc>
        <w:tc>
          <w:tcPr>
            <w:tcW w:w="709" w:type="dxa"/>
            <w:tcBorders>
              <w:top w:val="nil"/>
              <w:left w:val="nil"/>
              <w:bottom w:val="nil"/>
              <w:right w:val="nil"/>
            </w:tcBorders>
            <w:shd w:val="clear" w:color="auto" w:fill="auto"/>
            <w:vAlign w:val="bottom"/>
            <w:hideMark/>
          </w:tcPr>
          <w:p w14:paraId="7F506BB6" w14:textId="77777777" w:rsidR="007465F0" w:rsidRPr="008066E1" w:rsidRDefault="007465F0" w:rsidP="008066E1">
            <w:pPr>
              <w:ind w:firstLineChars="2000" w:firstLine="4000"/>
              <w:jc w:val="center"/>
              <w:rPr>
                <w:color w:val="000000" w:themeColor="text1"/>
                <w:sz w:val="20"/>
                <w:lang w:eastAsia="es-AR"/>
              </w:rPr>
            </w:pPr>
          </w:p>
        </w:tc>
        <w:tc>
          <w:tcPr>
            <w:tcW w:w="850" w:type="dxa"/>
            <w:tcBorders>
              <w:top w:val="nil"/>
              <w:left w:val="nil"/>
              <w:bottom w:val="nil"/>
              <w:right w:val="nil"/>
            </w:tcBorders>
            <w:shd w:val="clear" w:color="auto" w:fill="auto"/>
            <w:vAlign w:val="bottom"/>
            <w:hideMark/>
          </w:tcPr>
          <w:p w14:paraId="4B41294A" w14:textId="77777777" w:rsidR="007465F0" w:rsidRPr="008066E1" w:rsidRDefault="007465F0"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1DD9E59C" w14:textId="77777777" w:rsidR="007465F0" w:rsidRPr="008066E1" w:rsidRDefault="007465F0" w:rsidP="008066E1">
            <w:pPr>
              <w:jc w:val="center"/>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4B4A5076" w14:textId="77777777" w:rsidR="007465F0" w:rsidRPr="008066E1" w:rsidRDefault="007465F0" w:rsidP="008066E1">
            <w:pPr>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7CFDA0F2" w14:textId="77777777" w:rsidR="007465F0" w:rsidRPr="008066E1" w:rsidRDefault="007465F0" w:rsidP="008066E1">
            <w:pPr>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29145B34" w14:textId="77777777" w:rsidR="007465F0" w:rsidRPr="008066E1" w:rsidRDefault="007465F0" w:rsidP="008066E1">
            <w:pPr>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0CFB93F7" w14:textId="77777777" w:rsidR="007465F0" w:rsidRPr="008066E1" w:rsidRDefault="007465F0" w:rsidP="008066E1">
            <w:pPr>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2A681571" w14:textId="77777777" w:rsidR="007465F0" w:rsidRPr="008066E1" w:rsidRDefault="007465F0" w:rsidP="008066E1">
            <w:pPr>
              <w:jc w:val="right"/>
              <w:rPr>
                <w:color w:val="000000" w:themeColor="text1"/>
                <w:sz w:val="20"/>
                <w:lang w:eastAsia="es-AR"/>
              </w:rPr>
            </w:pPr>
          </w:p>
        </w:tc>
      </w:tr>
      <w:tr w:rsidR="002B6E2E" w:rsidRPr="00D926FE" w14:paraId="557F802A" w14:textId="77777777" w:rsidTr="008066E1">
        <w:trPr>
          <w:gridAfter w:val="1"/>
          <w:wAfter w:w="17" w:type="dxa"/>
          <w:trHeight w:val="180"/>
        </w:trPr>
        <w:tc>
          <w:tcPr>
            <w:tcW w:w="3188" w:type="dxa"/>
            <w:tcBorders>
              <w:top w:val="nil"/>
              <w:left w:val="nil"/>
              <w:bottom w:val="nil"/>
              <w:right w:val="nil"/>
            </w:tcBorders>
            <w:shd w:val="clear" w:color="auto" w:fill="auto"/>
            <w:vAlign w:val="bottom"/>
            <w:hideMark/>
          </w:tcPr>
          <w:p w14:paraId="2C3E0048" w14:textId="42FC3800" w:rsidR="002B6E2E" w:rsidRPr="008066E1" w:rsidRDefault="002B6E2E" w:rsidP="002B6E2E">
            <w:pPr>
              <w:rPr>
                <w:rFonts w:ascii="Arial" w:hAnsi="Arial" w:cs="Arial"/>
                <w:b/>
                <w:bCs/>
                <w:color w:val="000000" w:themeColor="text1"/>
                <w:sz w:val="14"/>
                <w:szCs w:val="14"/>
                <w:lang w:eastAsia="es-AR"/>
              </w:rPr>
            </w:pPr>
            <w:r w:rsidRPr="008066E1">
              <w:rPr>
                <w:rFonts w:ascii="Arial" w:hAnsi="Arial" w:cs="Arial"/>
                <w:b/>
                <w:bCs/>
                <w:color w:val="000000" w:themeColor="text1"/>
                <w:sz w:val="14"/>
                <w:szCs w:val="14"/>
                <w:lang w:eastAsia="es-AR"/>
              </w:rPr>
              <w:t>Total Títulos de deuda a valor razonable con cambios en resultados</w:t>
            </w:r>
          </w:p>
        </w:tc>
        <w:tc>
          <w:tcPr>
            <w:tcW w:w="709" w:type="dxa"/>
            <w:tcBorders>
              <w:top w:val="nil"/>
              <w:left w:val="nil"/>
              <w:bottom w:val="nil"/>
              <w:right w:val="nil"/>
            </w:tcBorders>
            <w:shd w:val="clear" w:color="auto" w:fill="auto"/>
            <w:vAlign w:val="bottom"/>
            <w:hideMark/>
          </w:tcPr>
          <w:p w14:paraId="619D92E9" w14:textId="77777777" w:rsidR="002B6E2E" w:rsidRPr="008066E1" w:rsidRDefault="002B6E2E" w:rsidP="008066E1">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7519DCCB" w14:textId="77777777" w:rsidR="002B6E2E" w:rsidRPr="008066E1" w:rsidRDefault="002B6E2E"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7C384404" w14:textId="77777777" w:rsidR="002B6E2E" w:rsidRPr="008066E1" w:rsidRDefault="002B6E2E" w:rsidP="008066E1">
            <w:pPr>
              <w:jc w:val="center"/>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1596396D" w14:textId="061FF204" w:rsidR="002B6E2E" w:rsidRPr="008066E1" w:rsidRDefault="002B6E2E" w:rsidP="008066E1">
            <w:pPr>
              <w:jc w:val="right"/>
              <w:rPr>
                <w:rFonts w:ascii="Arial" w:hAnsi="Arial" w:cs="Arial"/>
                <w:b/>
                <w:bCs/>
                <w:color w:val="000000" w:themeColor="text1"/>
                <w:sz w:val="14"/>
                <w:szCs w:val="14"/>
                <w:lang w:eastAsia="es-AR"/>
              </w:rPr>
            </w:pPr>
            <w:r w:rsidRPr="008066E1">
              <w:rPr>
                <w:rFonts w:ascii="Arial" w:hAnsi="Arial" w:cs="Arial"/>
                <w:b/>
                <w:bCs/>
                <w:color w:val="000000" w:themeColor="text1"/>
                <w:sz w:val="14"/>
                <w:szCs w:val="14"/>
              </w:rPr>
              <w:t>260.060</w:t>
            </w:r>
          </w:p>
        </w:tc>
        <w:tc>
          <w:tcPr>
            <w:tcW w:w="842" w:type="dxa"/>
            <w:tcBorders>
              <w:top w:val="nil"/>
              <w:left w:val="nil"/>
              <w:bottom w:val="nil"/>
              <w:right w:val="nil"/>
            </w:tcBorders>
            <w:shd w:val="clear" w:color="auto" w:fill="auto"/>
            <w:vAlign w:val="bottom"/>
            <w:hideMark/>
          </w:tcPr>
          <w:p w14:paraId="3F25DAB2" w14:textId="5B3FD7CE" w:rsidR="002B6E2E" w:rsidRPr="008066E1" w:rsidRDefault="002B6E2E" w:rsidP="008066E1">
            <w:pPr>
              <w:jc w:val="right"/>
              <w:rPr>
                <w:rFonts w:ascii="Arial" w:hAnsi="Arial" w:cs="Arial"/>
                <w:b/>
                <w:bCs/>
                <w:color w:val="000000" w:themeColor="text1"/>
                <w:sz w:val="14"/>
                <w:szCs w:val="14"/>
                <w:lang w:eastAsia="es-AR"/>
              </w:rPr>
            </w:pPr>
            <w:r w:rsidRPr="008066E1">
              <w:rPr>
                <w:rFonts w:ascii="Arial" w:hAnsi="Arial" w:cs="Arial"/>
                <w:b/>
                <w:bCs/>
                <w:color w:val="000000" w:themeColor="text1"/>
                <w:sz w:val="14"/>
                <w:szCs w:val="14"/>
              </w:rPr>
              <w:t>336.665</w:t>
            </w:r>
          </w:p>
        </w:tc>
        <w:tc>
          <w:tcPr>
            <w:tcW w:w="915" w:type="dxa"/>
            <w:tcBorders>
              <w:top w:val="nil"/>
              <w:left w:val="nil"/>
              <w:bottom w:val="nil"/>
              <w:right w:val="nil"/>
            </w:tcBorders>
            <w:shd w:val="clear" w:color="auto" w:fill="auto"/>
            <w:vAlign w:val="bottom"/>
            <w:hideMark/>
          </w:tcPr>
          <w:p w14:paraId="2A43BF2C" w14:textId="2783E1E6" w:rsidR="002B6E2E" w:rsidRPr="008066E1" w:rsidRDefault="002B6E2E" w:rsidP="008066E1">
            <w:pPr>
              <w:jc w:val="right"/>
              <w:rPr>
                <w:rFonts w:ascii="Arial" w:hAnsi="Arial" w:cs="Arial"/>
                <w:b/>
                <w:bCs/>
                <w:color w:val="000000" w:themeColor="text1"/>
                <w:sz w:val="14"/>
                <w:szCs w:val="14"/>
                <w:lang w:eastAsia="es-AR"/>
              </w:rPr>
            </w:pPr>
            <w:r w:rsidRPr="008066E1">
              <w:rPr>
                <w:rFonts w:ascii="Arial" w:hAnsi="Arial" w:cs="Arial"/>
                <w:b/>
                <w:bCs/>
                <w:color w:val="000000" w:themeColor="text1"/>
                <w:sz w:val="14"/>
                <w:szCs w:val="14"/>
              </w:rPr>
              <w:t>469.114</w:t>
            </w:r>
          </w:p>
        </w:tc>
        <w:tc>
          <w:tcPr>
            <w:tcW w:w="778" w:type="dxa"/>
            <w:tcBorders>
              <w:top w:val="nil"/>
              <w:left w:val="nil"/>
              <w:bottom w:val="nil"/>
              <w:right w:val="nil"/>
            </w:tcBorders>
            <w:shd w:val="clear" w:color="auto" w:fill="auto"/>
            <w:vAlign w:val="bottom"/>
            <w:hideMark/>
          </w:tcPr>
          <w:p w14:paraId="0409D307" w14:textId="43DE4BA8" w:rsidR="002B6E2E" w:rsidRPr="008066E1" w:rsidRDefault="002B6E2E"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07F1776F" w14:textId="7926498B" w:rsidR="002B6E2E" w:rsidRPr="008066E1" w:rsidRDefault="002B6E2E" w:rsidP="008066E1">
            <w:pPr>
              <w:jc w:val="right"/>
              <w:rPr>
                <w:rFonts w:ascii="Arial" w:hAnsi="Arial" w:cs="Arial"/>
                <w:b/>
                <w:bCs/>
                <w:color w:val="000000" w:themeColor="text1"/>
                <w:sz w:val="14"/>
                <w:szCs w:val="14"/>
                <w:lang w:eastAsia="es-AR"/>
              </w:rPr>
            </w:pPr>
            <w:r w:rsidRPr="008066E1">
              <w:rPr>
                <w:rFonts w:ascii="Arial" w:hAnsi="Arial" w:cs="Arial"/>
                <w:b/>
                <w:bCs/>
                <w:color w:val="000000" w:themeColor="text1"/>
                <w:sz w:val="14"/>
                <w:szCs w:val="14"/>
              </w:rPr>
              <w:t>469.114</w:t>
            </w:r>
          </w:p>
        </w:tc>
      </w:tr>
      <w:tr w:rsidR="007465F0" w:rsidRPr="00D926FE" w14:paraId="0A99168F" w14:textId="77777777" w:rsidTr="008066E1">
        <w:trPr>
          <w:gridAfter w:val="1"/>
          <w:wAfter w:w="17" w:type="dxa"/>
          <w:trHeight w:val="180"/>
        </w:trPr>
        <w:tc>
          <w:tcPr>
            <w:tcW w:w="3188" w:type="dxa"/>
            <w:tcBorders>
              <w:top w:val="nil"/>
              <w:left w:val="nil"/>
              <w:bottom w:val="nil"/>
              <w:right w:val="nil"/>
            </w:tcBorders>
            <w:shd w:val="clear" w:color="auto" w:fill="auto"/>
            <w:vAlign w:val="bottom"/>
            <w:hideMark/>
          </w:tcPr>
          <w:p w14:paraId="1764B6DC" w14:textId="77777777" w:rsidR="007465F0" w:rsidRPr="008066E1" w:rsidRDefault="007465F0" w:rsidP="00B03371">
            <w:pPr>
              <w:rPr>
                <w:rFonts w:ascii="Arial" w:hAnsi="Arial" w:cs="Arial"/>
                <w:b/>
                <w:bCs/>
                <w:color w:val="000000" w:themeColor="text1"/>
                <w:sz w:val="14"/>
                <w:szCs w:val="14"/>
                <w:lang w:eastAsia="es-AR"/>
              </w:rPr>
            </w:pPr>
          </w:p>
        </w:tc>
        <w:tc>
          <w:tcPr>
            <w:tcW w:w="709" w:type="dxa"/>
            <w:tcBorders>
              <w:top w:val="nil"/>
              <w:left w:val="nil"/>
              <w:bottom w:val="nil"/>
              <w:right w:val="nil"/>
            </w:tcBorders>
            <w:shd w:val="clear" w:color="auto" w:fill="auto"/>
            <w:vAlign w:val="bottom"/>
            <w:hideMark/>
          </w:tcPr>
          <w:p w14:paraId="0DC7C31B" w14:textId="77777777" w:rsidR="007465F0" w:rsidRPr="008066E1" w:rsidRDefault="007465F0" w:rsidP="008066E1">
            <w:pPr>
              <w:jc w:val="center"/>
              <w:rPr>
                <w:color w:val="000000" w:themeColor="text1"/>
                <w:sz w:val="20"/>
                <w:lang w:eastAsia="es-AR"/>
              </w:rPr>
            </w:pPr>
          </w:p>
        </w:tc>
        <w:tc>
          <w:tcPr>
            <w:tcW w:w="850" w:type="dxa"/>
            <w:tcBorders>
              <w:top w:val="nil"/>
              <w:left w:val="nil"/>
              <w:bottom w:val="nil"/>
              <w:right w:val="nil"/>
            </w:tcBorders>
            <w:shd w:val="clear" w:color="auto" w:fill="auto"/>
            <w:vAlign w:val="bottom"/>
            <w:hideMark/>
          </w:tcPr>
          <w:p w14:paraId="4394AA97" w14:textId="77777777" w:rsidR="007465F0" w:rsidRPr="008066E1" w:rsidRDefault="007465F0"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39613D25" w14:textId="77777777" w:rsidR="007465F0" w:rsidRPr="008066E1" w:rsidRDefault="007465F0" w:rsidP="008066E1">
            <w:pPr>
              <w:jc w:val="center"/>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6273898F" w14:textId="77777777" w:rsidR="007465F0" w:rsidRPr="008066E1" w:rsidRDefault="007465F0" w:rsidP="008066E1">
            <w:pPr>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057119FB" w14:textId="77777777" w:rsidR="007465F0" w:rsidRPr="008066E1" w:rsidRDefault="007465F0" w:rsidP="008066E1">
            <w:pPr>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5EFE5C4B" w14:textId="77777777" w:rsidR="007465F0" w:rsidRPr="008066E1" w:rsidRDefault="007465F0" w:rsidP="008066E1">
            <w:pPr>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5F27863B" w14:textId="77777777" w:rsidR="007465F0" w:rsidRPr="008066E1" w:rsidRDefault="007465F0" w:rsidP="008066E1">
            <w:pPr>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0A556F3C" w14:textId="77777777" w:rsidR="007465F0" w:rsidRPr="008066E1" w:rsidRDefault="007465F0" w:rsidP="008066E1">
            <w:pPr>
              <w:jc w:val="right"/>
              <w:rPr>
                <w:color w:val="000000" w:themeColor="text1"/>
                <w:sz w:val="20"/>
                <w:lang w:eastAsia="es-AR"/>
              </w:rPr>
            </w:pPr>
          </w:p>
        </w:tc>
      </w:tr>
      <w:tr w:rsidR="007465F0" w:rsidRPr="00D926FE" w14:paraId="65063BE1" w14:textId="77777777" w:rsidTr="008066E1">
        <w:trPr>
          <w:gridAfter w:val="1"/>
          <w:wAfter w:w="17" w:type="dxa"/>
          <w:trHeight w:val="461"/>
        </w:trPr>
        <w:tc>
          <w:tcPr>
            <w:tcW w:w="3188" w:type="dxa"/>
            <w:tcBorders>
              <w:top w:val="nil"/>
              <w:left w:val="nil"/>
              <w:bottom w:val="nil"/>
              <w:right w:val="nil"/>
            </w:tcBorders>
            <w:shd w:val="clear" w:color="auto" w:fill="auto"/>
            <w:vAlign w:val="bottom"/>
            <w:hideMark/>
          </w:tcPr>
          <w:p w14:paraId="2E03238C" w14:textId="0EABF186" w:rsidR="007465F0" w:rsidRPr="008066E1" w:rsidRDefault="007465F0" w:rsidP="00B03371">
            <w:pPr>
              <w:rPr>
                <w:rFonts w:ascii="Arial" w:hAnsi="Arial" w:cs="Arial"/>
                <w:b/>
                <w:bCs/>
                <w:color w:val="000000" w:themeColor="text1"/>
                <w:sz w:val="14"/>
                <w:szCs w:val="14"/>
                <w:lang w:eastAsia="es-AR"/>
              </w:rPr>
            </w:pPr>
            <w:r w:rsidRPr="008066E1">
              <w:rPr>
                <w:rFonts w:ascii="Arial" w:hAnsi="Arial" w:cs="Arial"/>
                <w:b/>
                <w:bCs/>
                <w:color w:val="000000" w:themeColor="text1"/>
                <w:sz w:val="14"/>
                <w:szCs w:val="14"/>
                <w:lang w:eastAsia="es-AR"/>
              </w:rPr>
              <w:t>OTROS TITULOS DE DEUDA</w:t>
            </w:r>
          </w:p>
        </w:tc>
        <w:tc>
          <w:tcPr>
            <w:tcW w:w="709" w:type="dxa"/>
            <w:tcBorders>
              <w:top w:val="nil"/>
              <w:left w:val="nil"/>
              <w:bottom w:val="nil"/>
              <w:right w:val="nil"/>
            </w:tcBorders>
            <w:shd w:val="clear" w:color="auto" w:fill="auto"/>
            <w:vAlign w:val="bottom"/>
            <w:hideMark/>
          </w:tcPr>
          <w:p w14:paraId="49778328" w14:textId="77777777" w:rsidR="007465F0" w:rsidRPr="008066E1" w:rsidRDefault="007465F0" w:rsidP="008066E1">
            <w:pPr>
              <w:jc w:val="center"/>
              <w:rPr>
                <w:rFonts w:ascii="Arial" w:hAnsi="Arial" w:cs="Arial"/>
                <w:b/>
                <w:bCs/>
                <w:color w:val="000000" w:themeColor="text1"/>
                <w:sz w:val="14"/>
                <w:szCs w:val="14"/>
                <w:lang w:eastAsia="es-AR"/>
              </w:rPr>
            </w:pPr>
          </w:p>
        </w:tc>
        <w:tc>
          <w:tcPr>
            <w:tcW w:w="5868" w:type="dxa"/>
            <w:gridSpan w:val="7"/>
            <w:tcBorders>
              <w:top w:val="nil"/>
              <w:left w:val="nil"/>
              <w:bottom w:val="nil"/>
              <w:right w:val="nil"/>
            </w:tcBorders>
            <w:shd w:val="clear" w:color="auto" w:fill="auto"/>
            <w:vAlign w:val="bottom"/>
            <w:hideMark/>
          </w:tcPr>
          <w:p w14:paraId="08EF7272" w14:textId="77777777" w:rsidR="007465F0" w:rsidRPr="008066E1" w:rsidRDefault="007465F0" w:rsidP="008066E1">
            <w:pPr>
              <w:jc w:val="center"/>
              <w:rPr>
                <w:color w:val="000000" w:themeColor="text1"/>
                <w:sz w:val="20"/>
                <w:lang w:eastAsia="es-AR"/>
              </w:rPr>
            </w:pPr>
          </w:p>
        </w:tc>
      </w:tr>
      <w:tr w:rsidR="007465F0" w:rsidRPr="00D926FE" w14:paraId="41EE4F17" w14:textId="77777777" w:rsidTr="008066E1">
        <w:trPr>
          <w:gridAfter w:val="1"/>
          <w:wAfter w:w="17" w:type="dxa"/>
          <w:trHeight w:val="180"/>
        </w:trPr>
        <w:tc>
          <w:tcPr>
            <w:tcW w:w="3188" w:type="dxa"/>
            <w:tcBorders>
              <w:top w:val="nil"/>
              <w:left w:val="nil"/>
              <w:bottom w:val="nil"/>
              <w:right w:val="nil"/>
            </w:tcBorders>
            <w:shd w:val="clear" w:color="auto" w:fill="auto"/>
            <w:vAlign w:val="bottom"/>
            <w:hideMark/>
          </w:tcPr>
          <w:p w14:paraId="3B3416FB" w14:textId="77777777" w:rsidR="007465F0" w:rsidRPr="008066E1" w:rsidRDefault="007465F0" w:rsidP="00B03371">
            <w:pPr>
              <w:rPr>
                <w:rFonts w:ascii="Arial" w:hAnsi="Arial" w:cs="Arial"/>
                <w:b/>
                <w:bCs/>
                <w:color w:val="000000" w:themeColor="text1"/>
                <w:sz w:val="14"/>
                <w:szCs w:val="14"/>
                <w:lang w:eastAsia="es-AR"/>
              </w:rPr>
            </w:pPr>
            <w:r w:rsidRPr="008066E1">
              <w:rPr>
                <w:rFonts w:ascii="Arial" w:hAnsi="Arial" w:cs="Arial"/>
                <w:b/>
                <w:bCs/>
                <w:color w:val="000000" w:themeColor="text1"/>
                <w:sz w:val="14"/>
                <w:szCs w:val="14"/>
                <w:lang w:eastAsia="es-AR"/>
              </w:rPr>
              <w:t>Medidos a valor razonable con cambios en ORI</w:t>
            </w:r>
          </w:p>
        </w:tc>
        <w:tc>
          <w:tcPr>
            <w:tcW w:w="709" w:type="dxa"/>
            <w:tcBorders>
              <w:top w:val="nil"/>
              <w:left w:val="nil"/>
              <w:bottom w:val="nil"/>
              <w:right w:val="nil"/>
            </w:tcBorders>
            <w:shd w:val="clear" w:color="auto" w:fill="auto"/>
            <w:vAlign w:val="bottom"/>
            <w:hideMark/>
          </w:tcPr>
          <w:p w14:paraId="586278C5" w14:textId="77777777" w:rsidR="007465F0" w:rsidRPr="008066E1" w:rsidRDefault="007465F0" w:rsidP="008066E1">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54BFF262" w14:textId="77777777" w:rsidR="007465F0" w:rsidRPr="008066E1" w:rsidRDefault="007465F0"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62C28B1E" w14:textId="77777777" w:rsidR="007465F0" w:rsidRPr="008066E1" w:rsidRDefault="007465F0" w:rsidP="008066E1">
            <w:pPr>
              <w:jc w:val="center"/>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5C5FDEDB" w14:textId="77777777" w:rsidR="007465F0" w:rsidRPr="008066E1" w:rsidRDefault="007465F0"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64F5530B" w14:textId="77777777" w:rsidR="007465F0" w:rsidRPr="008066E1" w:rsidRDefault="007465F0"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327FC4E2" w14:textId="77777777" w:rsidR="007465F0" w:rsidRPr="008066E1" w:rsidRDefault="007465F0"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6AB0DD8D" w14:textId="77777777" w:rsidR="007465F0" w:rsidRPr="008066E1" w:rsidRDefault="007465F0"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1E30670E" w14:textId="77777777" w:rsidR="007465F0" w:rsidRPr="008066E1" w:rsidRDefault="007465F0" w:rsidP="008066E1">
            <w:pPr>
              <w:ind w:left="709" w:hanging="709"/>
              <w:jc w:val="right"/>
              <w:rPr>
                <w:color w:val="000000" w:themeColor="text1"/>
                <w:sz w:val="20"/>
                <w:lang w:eastAsia="es-AR"/>
              </w:rPr>
            </w:pPr>
          </w:p>
        </w:tc>
      </w:tr>
      <w:tr w:rsidR="008066E1" w:rsidRPr="00D926FE" w14:paraId="157CB5C3" w14:textId="77777777" w:rsidTr="008066E1">
        <w:trPr>
          <w:gridAfter w:val="1"/>
          <w:wAfter w:w="17" w:type="dxa"/>
          <w:trHeight w:val="180"/>
        </w:trPr>
        <w:tc>
          <w:tcPr>
            <w:tcW w:w="3188" w:type="dxa"/>
            <w:tcBorders>
              <w:top w:val="nil"/>
              <w:left w:val="nil"/>
              <w:bottom w:val="nil"/>
              <w:right w:val="nil"/>
            </w:tcBorders>
            <w:shd w:val="clear" w:color="auto" w:fill="auto"/>
            <w:vAlign w:val="bottom"/>
          </w:tcPr>
          <w:p w14:paraId="49EEBFA0" w14:textId="77777777" w:rsidR="008066E1" w:rsidRPr="008066E1" w:rsidRDefault="008066E1" w:rsidP="008066E1">
            <w:pPr>
              <w:rPr>
                <w:rFonts w:ascii="Arial" w:hAnsi="Arial" w:cs="Arial"/>
                <w:b/>
                <w:bCs/>
                <w:i/>
                <w:iCs/>
                <w:color w:val="000000" w:themeColor="text1"/>
                <w:sz w:val="14"/>
                <w:szCs w:val="14"/>
                <w:lang w:eastAsia="es-AR"/>
              </w:rPr>
            </w:pPr>
            <w:r w:rsidRPr="008066E1">
              <w:rPr>
                <w:rFonts w:ascii="Arial" w:hAnsi="Arial" w:cs="Arial"/>
                <w:b/>
                <w:bCs/>
                <w:i/>
                <w:iCs/>
                <w:color w:val="000000" w:themeColor="text1"/>
                <w:sz w:val="14"/>
                <w:szCs w:val="14"/>
              </w:rPr>
              <w:t>Del País</w:t>
            </w:r>
          </w:p>
          <w:p w14:paraId="01D13412" w14:textId="052FFE89" w:rsidR="008066E1" w:rsidRPr="008066E1" w:rsidRDefault="008066E1" w:rsidP="00B03371">
            <w:pPr>
              <w:rPr>
                <w:rFonts w:ascii="Arial" w:hAnsi="Arial" w:cs="Arial"/>
                <w:b/>
                <w:bCs/>
                <w:color w:val="000000" w:themeColor="text1"/>
                <w:sz w:val="14"/>
                <w:szCs w:val="14"/>
                <w:lang w:eastAsia="es-AR"/>
              </w:rPr>
            </w:pPr>
            <w:r w:rsidRPr="008066E1">
              <w:rPr>
                <w:rFonts w:ascii="Arial" w:hAnsi="Arial" w:cs="Arial"/>
                <w:b/>
                <w:bCs/>
                <w:color w:val="000000" w:themeColor="text1"/>
                <w:sz w:val="14"/>
                <w:szCs w:val="14"/>
                <w:lang w:eastAsia="es-AR"/>
              </w:rPr>
              <w:t>Titulos Publicos</w:t>
            </w:r>
          </w:p>
        </w:tc>
        <w:tc>
          <w:tcPr>
            <w:tcW w:w="709" w:type="dxa"/>
            <w:tcBorders>
              <w:top w:val="nil"/>
              <w:left w:val="nil"/>
              <w:bottom w:val="nil"/>
              <w:right w:val="nil"/>
            </w:tcBorders>
            <w:shd w:val="clear" w:color="auto" w:fill="auto"/>
            <w:vAlign w:val="bottom"/>
          </w:tcPr>
          <w:p w14:paraId="51C750E8" w14:textId="77777777" w:rsidR="008066E1" w:rsidRPr="008066E1" w:rsidRDefault="008066E1" w:rsidP="008066E1">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6677C13A" w14:textId="77777777" w:rsidR="008066E1" w:rsidRPr="008066E1" w:rsidRDefault="008066E1"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tcPr>
          <w:p w14:paraId="1B3CC2F6" w14:textId="77777777" w:rsidR="008066E1" w:rsidRPr="008066E1" w:rsidRDefault="008066E1" w:rsidP="008066E1">
            <w:pPr>
              <w:jc w:val="center"/>
              <w:rPr>
                <w:color w:val="000000" w:themeColor="text1"/>
                <w:sz w:val="20"/>
                <w:lang w:eastAsia="es-AR"/>
              </w:rPr>
            </w:pPr>
          </w:p>
        </w:tc>
        <w:tc>
          <w:tcPr>
            <w:tcW w:w="841" w:type="dxa"/>
            <w:tcBorders>
              <w:top w:val="nil"/>
              <w:left w:val="nil"/>
              <w:bottom w:val="nil"/>
              <w:right w:val="nil"/>
            </w:tcBorders>
            <w:shd w:val="clear" w:color="auto" w:fill="auto"/>
            <w:vAlign w:val="bottom"/>
          </w:tcPr>
          <w:p w14:paraId="051018A2" w14:textId="77777777" w:rsidR="008066E1" w:rsidRPr="008066E1" w:rsidRDefault="008066E1"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tcPr>
          <w:p w14:paraId="558DBA58" w14:textId="77777777" w:rsidR="008066E1" w:rsidRPr="008066E1" w:rsidRDefault="008066E1"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tcPr>
          <w:p w14:paraId="3932A45A" w14:textId="77777777" w:rsidR="008066E1" w:rsidRPr="008066E1" w:rsidRDefault="008066E1"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tcPr>
          <w:p w14:paraId="66D7D720" w14:textId="77777777" w:rsidR="008066E1" w:rsidRPr="008066E1" w:rsidRDefault="008066E1"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tcPr>
          <w:p w14:paraId="0164DCF1" w14:textId="77777777" w:rsidR="008066E1" w:rsidRPr="008066E1" w:rsidRDefault="008066E1" w:rsidP="008066E1">
            <w:pPr>
              <w:ind w:left="709" w:hanging="709"/>
              <w:jc w:val="right"/>
              <w:rPr>
                <w:color w:val="000000" w:themeColor="text1"/>
                <w:sz w:val="20"/>
                <w:lang w:eastAsia="es-AR"/>
              </w:rPr>
            </w:pPr>
          </w:p>
        </w:tc>
      </w:tr>
      <w:tr w:rsidR="008066E1" w:rsidRPr="00D926FE" w14:paraId="26752917" w14:textId="77777777" w:rsidTr="008066E1">
        <w:trPr>
          <w:gridAfter w:val="1"/>
          <w:wAfter w:w="17" w:type="dxa"/>
          <w:trHeight w:val="180"/>
        </w:trPr>
        <w:tc>
          <w:tcPr>
            <w:tcW w:w="3188" w:type="dxa"/>
            <w:tcBorders>
              <w:top w:val="nil"/>
              <w:left w:val="nil"/>
              <w:bottom w:val="nil"/>
              <w:right w:val="nil"/>
            </w:tcBorders>
            <w:shd w:val="clear" w:color="auto" w:fill="auto"/>
          </w:tcPr>
          <w:p w14:paraId="7102AF93" w14:textId="7B1767F2"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del Tesoro $ Vto. 18/09/2020</w:t>
            </w:r>
          </w:p>
        </w:tc>
        <w:tc>
          <w:tcPr>
            <w:tcW w:w="709" w:type="dxa"/>
            <w:tcBorders>
              <w:top w:val="nil"/>
              <w:left w:val="nil"/>
              <w:bottom w:val="nil"/>
              <w:right w:val="nil"/>
            </w:tcBorders>
            <w:shd w:val="clear" w:color="auto" w:fill="auto"/>
            <w:vAlign w:val="bottom"/>
          </w:tcPr>
          <w:p w14:paraId="0F169404" w14:textId="58A54FCE" w:rsidR="008066E1" w:rsidRPr="008066E1" w:rsidRDefault="008066E1" w:rsidP="008066E1">
            <w:pPr>
              <w:jc w:val="center"/>
              <w:rPr>
                <w:rFonts w:ascii="Arial" w:hAnsi="Arial" w:cs="Arial"/>
                <w:b/>
                <w:bCs/>
                <w:color w:val="000000" w:themeColor="text1"/>
                <w:sz w:val="14"/>
                <w:szCs w:val="14"/>
                <w:lang w:eastAsia="es-AR"/>
              </w:rPr>
            </w:pPr>
            <w:r w:rsidRPr="008066E1">
              <w:rPr>
                <w:rFonts w:ascii="Arial" w:hAnsi="Arial" w:cs="Arial"/>
                <w:color w:val="000000" w:themeColor="text1"/>
                <w:sz w:val="14"/>
                <w:szCs w:val="14"/>
              </w:rPr>
              <w:t>05356</w:t>
            </w:r>
          </w:p>
        </w:tc>
        <w:tc>
          <w:tcPr>
            <w:tcW w:w="850" w:type="dxa"/>
            <w:tcBorders>
              <w:top w:val="nil"/>
              <w:left w:val="nil"/>
              <w:bottom w:val="nil"/>
              <w:right w:val="nil"/>
            </w:tcBorders>
            <w:shd w:val="clear" w:color="auto" w:fill="auto"/>
            <w:vAlign w:val="bottom"/>
          </w:tcPr>
          <w:p w14:paraId="7039205D" w14:textId="77777777" w:rsidR="008066E1" w:rsidRPr="008066E1" w:rsidRDefault="008066E1"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tcPr>
          <w:p w14:paraId="5A9B717E" w14:textId="58F370FE"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bottom"/>
          </w:tcPr>
          <w:p w14:paraId="185DC338" w14:textId="0E42B457"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166.517</w:t>
            </w:r>
          </w:p>
        </w:tc>
        <w:tc>
          <w:tcPr>
            <w:tcW w:w="842" w:type="dxa"/>
            <w:tcBorders>
              <w:top w:val="nil"/>
              <w:left w:val="nil"/>
              <w:bottom w:val="nil"/>
              <w:right w:val="nil"/>
            </w:tcBorders>
            <w:shd w:val="clear" w:color="auto" w:fill="auto"/>
            <w:vAlign w:val="bottom"/>
          </w:tcPr>
          <w:p w14:paraId="60170A04" w14:textId="62DEA8DC"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w:t>
            </w:r>
          </w:p>
        </w:tc>
        <w:tc>
          <w:tcPr>
            <w:tcW w:w="915" w:type="dxa"/>
            <w:tcBorders>
              <w:top w:val="nil"/>
              <w:left w:val="nil"/>
              <w:bottom w:val="nil"/>
              <w:right w:val="nil"/>
            </w:tcBorders>
            <w:shd w:val="clear" w:color="auto" w:fill="auto"/>
            <w:vAlign w:val="bottom"/>
          </w:tcPr>
          <w:p w14:paraId="6EE83103" w14:textId="04CEBC61"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166.517</w:t>
            </w:r>
          </w:p>
        </w:tc>
        <w:tc>
          <w:tcPr>
            <w:tcW w:w="778" w:type="dxa"/>
            <w:tcBorders>
              <w:top w:val="nil"/>
              <w:left w:val="nil"/>
              <w:bottom w:val="nil"/>
              <w:right w:val="nil"/>
            </w:tcBorders>
            <w:shd w:val="clear" w:color="auto" w:fill="auto"/>
            <w:vAlign w:val="bottom"/>
          </w:tcPr>
          <w:p w14:paraId="5CAD4011" w14:textId="4E3056D1"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7D7FAF4D" w14:textId="2ABC3E86"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166.517</w:t>
            </w:r>
          </w:p>
        </w:tc>
      </w:tr>
      <w:tr w:rsidR="008066E1" w:rsidRPr="00D926FE" w14:paraId="25A63094" w14:textId="77777777" w:rsidTr="008066E1">
        <w:trPr>
          <w:gridAfter w:val="1"/>
          <w:wAfter w:w="17" w:type="dxa"/>
          <w:trHeight w:val="180"/>
        </w:trPr>
        <w:tc>
          <w:tcPr>
            <w:tcW w:w="3188" w:type="dxa"/>
            <w:tcBorders>
              <w:top w:val="nil"/>
              <w:left w:val="nil"/>
              <w:bottom w:val="nil"/>
              <w:right w:val="nil"/>
            </w:tcBorders>
            <w:shd w:val="clear" w:color="auto" w:fill="auto"/>
          </w:tcPr>
          <w:p w14:paraId="15EC01A9" w14:textId="4BFBB15D"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del Tesoro $ Vto. 22/12/2020</w:t>
            </w:r>
          </w:p>
        </w:tc>
        <w:tc>
          <w:tcPr>
            <w:tcW w:w="709" w:type="dxa"/>
            <w:tcBorders>
              <w:top w:val="nil"/>
              <w:left w:val="nil"/>
              <w:bottom w:val="nil"/>
              <w:right w:val="nil"/>
            </w:tcBorders>
            <w:shd w:val="clear" w:color="auto" w:fill="auto"/>
            <w:vAlign w:val="bottom"/>
          </w:tcPr>
          <w:p w14:paraId="1A086CF0" w14:textId="12B7671C" w:rsidR="008066E1" w:rsidRPr="008066E1" w:rsidRDefault="008066E1" w:rsidP="008066E1">
            <w:pPr>
              <w:jc w:val="center"/>
              <w:rPr>
                <w:rFonts w:ascii="Arial" w:hAnsi="Arial" w:cs="Arial"/>
                <w:b/>
                <w:bCs/>
                <w:color w:val="000000" w:themeColor="text1"/>
                <w:sz w:val="14"/>
                <w:szCs w:val="14"/>
                <w:lang w:eastAsia="es-AR"/>
              </w:rPr>
            </w:pPr>
            <w:r w:rsidRPr="008066E1">
              <w:rPr>
                <w:rFonts w:ascii="Arial" w:hAnsi="Arial" w:cs="Arial"/>
                <w:color w:val="000000" w:themeColor="text1"/>
                <w:sz w:val="14"/>
                <w:szCs w:val="14"/>
              </w:rPr>
              <w:t>05357</w:t>
            </w:r>
          </w:p>
        </w:tc>
        <w:tc>
          <w:tcPr>
            <w:tcW w:w="850" w:type="dxa"/>
            <w:tcBorders>
              <w:top w:val="nil"/>
              <w:left w:val="nil"/>
              <w:bottom w:val="nil"/>
              <w:right w:val="nil"/>
            </w:tcBorders>
            <w:shd w:val="clear" w:color="auto" w:fill="auto"/>
            <w:vAlign w:val="bottom"/>
          </w:tcPr>
          <w:p w14:paraId="50480409" w14:textId="77777777" w:rsidR="008066E1" w:rsidRPr="008066E1" w:rsidRDefault="008066E1"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tcPr>
          <w:p w14:paraId="75CFA6BB" w14:textId="20FB5B24"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bottom"/>
          </w:tcPr>
          <w:p w14:paraId="3A3C4F7E" w14:textId="65E42FDE"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131.943</w:t>
            </w:r>
          </w:p>
        </w:tc>
        <w:tc>
          <w:tcPr>
            <w:tcW w:w="842" w:type="dxa"/>
            <w:tcBorders>
              <w:top w:val="nil"/>
              <w:left w:val="nil"/>
              <w:bottom w:val="nil"/>
              <w:right w:val="nil"/>
            </w:tcBorders>
            <w:shd w:val="clear" w:color="auto" w:fill="auto"/>
            <w:vAlign w:val="bottom"/>
          </w:tcPr>
          <w:p w14:paraId="36C25C7B" w14:textId="23023BC3"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w:t>
            </w:r>
          </w:p>
        </w:tc>
        <w:tc>
          <w:tcPr>
            <w:tcW w:w="915" w:type="dxa"/>
            <w:tcBorders>
              <w:top w:val="nil"/>
              <w:left w:val="nil"/>
              <w:bottom w:val="nil"/>
              <w:right w:val="nil"/>
            </w:tcBorders>
            <w:shd w:val="clear" w:color="auto" w:fill="auto"/>
            <w:vAlign w:val="bottom"/>
          </w:tcPr>
          <w:p w14:paraId="5962AE01" w14:textId="60A55B3A"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131.943</w:t>
            </w:r>
          </w:p>
        </w:tc>
        <w:tc>
          <w:tcPr>
            <w:tcW w:w="778" w:type="dxa"/>
            <w:tcBorders>
              <w:top w:val="nil"/>
              <w:left w:val="nil"/>
              <w:bottom w:val="nil"/>
              <w:right w:val="nil"/>
            </w:tcBorders>
            <w:shd w:val="clear" w:color="auto" w:fill="auto"/>
            <w:vAlign w:val="bottom"/>
          </w:tcPr>
          <w:p w14:paraId="39BA359B" w14:textId="497BCE2C"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37A73B99" w14:textId="04001D97"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131.943</w:t>
            </w:r>
          </w:p>
        </w:tc>
      </w:tr>
      <w:tr w:rsidR="008066E1" w:rsidRPr="00D926FE" w14:paraId="63277053" w14:textId="77777777" w:rsidTr="008066E1">
        <w:trPr>
          <w:gridAfter w:val="1"/>
          <w:wAfter w:w="17" w:type="dxa"/>
          <w:trHeight w:val="180"/>
        </w:trPr>
        <w:tc>
          <w:tcPr>
            <w:tcW w:w="3188" w:type="dxa"/>
            <w:tcBorders>
              <w:top w:val="nil"/>
              <w:left w:val="nil"/>
              <w:bottom w:val="nil"/>
              <w:right w:val="nil"/>
            </w:tcBorders>
            <w:shd w:val="clear" w:color="auto" w:fill="auto"/>
          </w:tcPr>
          <w:p w14:paraId="5966C1B7" w14:textId="11D01FC5"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del Tesoro U$S Vto. 28/02/2020</w:t>
            </w:r>
          </w:p>
        </w:tc>
        <w:tc>
          <w:tcPr>
            <w:tcW w:w="709" w:type="dxa"/>
            <w:tcBorders>
              <w:top w:val="nil"/>
              <w:left w:val="nil"/>
              <w:bottom w:val="nil"/>
              <w:right w:val="nil"/>
            </w:tcBorders>
            <w:shd w:val="clear" w:color="auto" w:fill="auto"/>
            <w:vAlign w:val="bottom"/>
          </w:tcPr>
          <w:p w14:paraId="56225EAC" w14:textId="137BDE15" w:rsidR="008066E1" w:rsidRPr="008066E1" w:rsidRDefault="008066E1" w:rsidP="008066E1">
            <w:pPr>
              <w:jc w:val="center"/>
              <w:rPr>
                <w:rFonts w:ascii="Arial" w:hAnsi="Arial" w:cs="Arial"/>
                <w:b/>
                <w:bCs/>
                <w:color w:val="000000" w:themeColor="text1"/>
                <w:sz w:val="14"/>
                <w:szCs w:val="14"/>
                <w:lang w:eastAsia="es-AR"/>
              </w:rPr>
            </w:pPr>
            <w:r w:rsidRPr="008066E1">
              <w:rPr>
                <w:rFonts w:ascii="Arial" w:hAnsi="Arial" w:cs="Arial"/>
                <w:color w:val="000000" w:themeColor="text1"/>
                <w:sz w:val="14"/>
                <w:szCs w:val="14"/>
              </w:rPr>
              <w:t>05342</w:t>
            </w:r>
          </w:p>
        </w:tc>
        <w:tc>
          <w:tcPr>
            <w:tcW w:w="850" w:type="dxa"/>
            <w:tcBorders>
              <w:top w:val="nil"/>
              <w:left w:val="nil"/>
              <w:bottom w:val="nil"/>
              <w:right w:val="nil"/>
            </w:tcBorders>
            <w:shd w:val="clear" w:color="auto" w:fill="auto"/>
            <w:vAlign w:val="bottom"/>
          </w:tcPr>
          <w:p w14:paraId="7F96DA7A" w14:textId="77777777" w:rsidR="008066E1" w:rsidRPr="008066E1" w:rsidRDefault="008066E1" w:rsidP="008066E1">
            <w:pPr>
              <w:jc w:val="center"/>
              <w:rPr>
                <w:color w:val="000000" w:themeColor="text1"/>
                <w:sz w:val="20"/>
                <w:lang w:eastAsia="es-AR"/>
              </w:rPr>
            </w:pPr>
          </w:p>
        </w:tc>
        <w:tc>
          <w:tcPr>
            <w:tcW w:w="794" w:type="dxa"/>
            <w:tcBorders>
              <w:top w:val="nil"/>
              <w:left w:val="nil"/>
              <w:bottom w:val="nil"/>
              <w:right w:val="nil"/>
            </w:tcBorders>
            <w:shd w:val="clear" w:color="auto" w:fill="auto"/>
            <w:vAlign w:val="bottom"/>
          </w:tcPr>
          <w:p w14:paraId="59486D09" w14:textId="12039643"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bottom"/>
          </w:tcPr>
          <w:p w14:paraId="4A8BCFB4" w14:textId="2EA83885"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w:t>
            </w:r>
          </w:p>
        </w:tc>
        <w:tc>
          <w:tcPr>
            <w:tcW w:w="842" w:type="dxa"/>
            <w:tcBorders>
              <w:top w:val="nil"/>
              <w:left w:val="nil"/>
              <w:bottom w:val="nil"/>
              <w:right w:val="nil"/>
            </w:tcBorders>
            <w:shd w:val="clear" w:color="auto" w:fill="auto"/>
            <w:vAlign w:val="bottom"/>
          </w:tcPr>
          <w:p w14:paraId="70AC19A2" w14:textId="5EAFEA4A"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w:t>
            </w:r>
          </w:p>
        </w:tc>
        <w:tc>
          <w:tcPr>
            <w:tcW w:w="915" w:type="dxa"/>
            <w:tcBorders>
              <w:top w:val="nil"/>
              <w:left w:val="nil"/>
              <w:bottom w:val="nil"/>
              <w:right w:val="nil"/>
            </w:tcBorders>
            <w:shd w:val="clear" w:color="auto" w:fill="auto"/>
            <w:vAlign w:val="bottom"/>
          </w:tcPr>
          <w:p w14:paraId="1560559D" w14:textId="6DE99DC8"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w:t>
            </w:r>
          </w:p>
        </w:tc>
        <w:tc>
          <w:tcPr>
            <w:tcW w:w="778" w:type="dxa"/>
            <w:tcBorders>
              <w:top w:val="nil"/>
              <w:left w:val="nil"/>
              <w:bottom w:val="nil"/>
              <w:right w:val="nil"/>
            </w:tcBorders>
            <w:shd w:val="clear" w:color="auto" w:fill="auto"/>
            <w:vAlign w:val="bottom"/>
          </w:tcPr>
          <w:p w14:paraId="2BC121F5" w14:textId="1F5B9AAE"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2B407724" w14:textId="3EB93717"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w:t>
            </w:r>
          </w:p>
        </w:tc>
      </w:tr>
      <w:tr w:rsidR="008066E1" w:rsidRPr="00D926FE" w14:paraId="54C3372A" w14:textId="77777777" w:rsidTr="008066E1">
        <w:trPr>
          <w:gridAfter w:val="1"/>
          <w:wAfter w:w="17" w:type="dxa"/>
          <w:trHeight w:val="87"/>
        </w:trPr>
        <w:tc>
          <w:tcPr>
            <w:tcW w:w="3188" w:type="dxa"/>
            <w:tcBorders>
              <w:top w:val="nil"/>
              <w:left w:val="nil"/>
              <w:bottom w:val="nil"/>
              <w:right w:val="nil"/>
            </w:tcBorders>
            <w:shd w:val="clear" w:color="auto" w:fill="auto"/>
            <w:vAlign w:val="bottom"/>
          </w:tcPr>
          <w:p w14:paraId="7B556B55" w14:textId="77777777" w:rsidR="008066E1" w:rsidRPr="008066E1" w:rsidRDefault="008066E1" w:rsidP="00B03371">
            <w:pPr>
              <w:rPr>
                <w:rFonts w:ascii="Arial" w:hAnsi="Arial" w:cs="Arial"/>
                <w:b/>
                <w:bCs/>
                <w:color w:val="000000" w:themeColor="text1"/>
                <w:sz w:val="10"/>
                <w:szCs w:val="14"/>
                <w:lang w:eastAsia="es-AR"/>
              </w:rPr>
            </w:pPr>
          </w:p>
        </w:tc>
        <w:tc>
          <w:tcPr>
            <w:tcW w:w="709" w:type="dxa"/>
            <w:tcBorders>
              <w:top w:val="nil"/>
              <w:left w:val="nil"/>
              <w:bottom w:val="nil"/>
              <w:right w:val="nil"/>
            </w:tcBorders>
            <w:shd w:val="clear" w:color="auto" w:fill="auto"/>
          </w:tcPr>
          <w:p w14:paraId="17039112" w14:textId="77777777" w:rsidR="008066E1" w:rsidRPr="008066E1" w:rsidRDefault="008066E1" w:rsidP="007465F0">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tcPr>
          <w:p w14:paraId="7EE1164F" w14:textId="77777777" w:rsidR="008066E1" w:rsidRPr="008066E1" w:rsidRDefault="008066E1" w:rsidP="007465F0">
            <w:pPr>
              <w:rPr>
                <w:color w:val="000000" w:themeColor="text1"/>
                <w:sz w:val="20"/>
                <w:lang w:eastAsia="es-AR"/>
              </w:rPr>
            </w:pPr>
          </w:p>
        </w:tc>
        <w:tc>
          <w:tcPr>
            <w:tcW w:w="794" w:type="dxa"/>
            <w:tcBorders>
              <w:top w:val="nil"/>
              <w:left w:val="nil"/>
              <w:bottom w:val="nil"/>
              <w:right w:val="nil"/>
            </w:tcBorders>
            <w:shd w:val="clear" w:color="auto" w:fill="auto"/>
          </w:tcPr>
          <w:p w14:paraId="1C21CC70" w14:textId="77777777" w:rsidR="008066E1" w:rsidRPr="008066E1" w:rsidRDefault="008066E1" w:rsidP="007465F0">
            <w:pPr>
              <w:rPr>
                <w:color w:val="000000" w:themeColor="text1"/>
                <w:sz w:val="20"/>
                <w:lang w:eastAsia="es-AR"/>
              </w:rPr>
            </w:pPr>
          </w:p>
        </w:tc>
        <w:tc>
          <w:tcPr>
            <w:tcW w:w="841" w:type="dxa"/>
            <w:tcBorders>
              <w:top w:val="nil"/>
              <w:left w:val="nil"/>
              <w:bottom w:val="nil"/>
              <w:right w:val="nil"/>
            </w:tcBorders>
            <w:shd w:val="clear" w:color="auto" w:fill="auto"/>
            <w:vAlign w:val="bottom"/>
          </w:tcPr>
          <w:p w14:paraId="57ACA25A" w14:textId="77777777" w:rsidR="008066E1" w:rsidRPr="008066E1" w:rsidRDefault="008066E1"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tcPr>
          <w:p w14:paraId="14DD4358" w14:textId="77777777" w:rsidR="008066E1" w:rsidRPr="008066E1" w:rsidRDefault="008066E1"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tcPr>
          <w:p w14:paraId="076D48FC" w14:textId="77777777" w:rsidR="008066E1" w:rsidRPr="008066E1" w:rsidRDefault="008066E1"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tcPr>
          <w:p w14:paraId="0695A000" w14:textId="77777777" w:rsidR="008066E1" w:rsidRPr="008066E1" w:rsidRDefault="008066E1"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tcPr>
          <w:p w14:paraId="3527D92C" w14:textId="77777777" w:rsidR="008066E1" w:rsidRPr="008066E1" w:rsidRDefault="008066E1" w:rsidP="008066E1">
            <w:pPr>
              <w:ind w:left="709" w:hanging="709"/>
              <w:jc w:val="right"/>
              <w:rPr>
                <w:color w:val="000000" w:themeColor="text1"/>
                <w:sz w:val="20"/>
                <w:lang w:eastAsia="es-AR"/>
              </w:rPr>
            </w:pPr>
          </w:p>
        </w:tc>
      </w:tr>
      <w:tr w:rsidR="008066E1" w:rsidRPr="00D926FE" w14:paraId="4ABC83A9" w14:textId="77777777" w:rsidTr="008066E1">
        <w:trPr>
          <w:gridAfter w:val="1"/>
          <w:wAfter w:w="17" w:type="dxa"/>
          <w:trHeight w:val="180"/>
        </w:trPr>
        <w:tc>
          <w:tcPr>
            <w:tcW w:w="3188" w:type="dxa"/>
            <w:tcBorders>
              <w:top w:val="nil"/>
              <w:left w:val="nil"/>
              <w:bottom w:val="nil"/>
              <w:right w:val="nil"/>
            </w:tcBorders>
            <w:shd w:val="clear" w:color="auto" w:fill="auto"/>
            <w:vAlign w:val="bottom"/>
          </w:tcPr>
          <w:p w14:paraId="72E02DBB" w14:textId="60C3AF93" w:rsidR="008066E1" w:rsidRPr="008066E1" w:rsidRDefault="008066E1" w:rsidP="008066E1">
            <w:pPr>
              <w:ind w:firstLineChars="100" w:firstLine="140"/>
              <w:rPr>
                <w:rFonts w:ascii="Arial" w:hAnsi="Arial" w:cs="Arial"/>
                <w:color w:val="000000" w:themeColor="text1"/>
                <w:sz w:val="14"/>
                <w:szCs w:val="14"/>
                <w:lang w:eastAsia="es-AR"/>
              </w:rPr>
            </w:pPr>
            <w:r w:rsidRPr="008066E1">
              <w:rPr>
                <w:rFonts w:ascii="Arial" w:hAnsi="Arial" w:cs="Arial"/>
                <w:color w:val="000000" w:themeColor="text1"/>
                <w:sz w:val="14"/>
                <w:szCs w:val="14"/>
              </w:rPr>
              <w:t>Letras BCRA</w:t>
            </w:r>
          </w:p>
        </w:tc>
        <w:tc>
          <w:tcPr>
            <w:tcW w:w="709" w:type="dxa"/>
            <w:tcBorders>
              <w:top w:val="nil"/>
              <w:left w:val="nil"/>
              <w:bottom w:val="nil"/>
              <w:right w:val="nil"/>
            </w:tcBorders>
            <w:shd w:val="clear" w:color="auto" w:fill="auto"/>
          </w:tcPr>
          <w:p w14:paraId="1D475BB1" w14:textId="77777777" w:rsidR="008066E1" w:rsidRPr="008066E1" w:rsidRDefault="008066E1" w:rsidP="007465F0">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tcPr>
          <w:p w14:paraId="55955969" w14:textId="77777777" w:rsidR="008066E1" w:rsidRPr="008066E1" w:rsidRDefault="008066E1" w:rsidP="007465F0">
            <w:pPr>
              <w:rPr>
                <w:color w:val="000000" w:themeColor="text1"/>
                <w:sz w:val="20"/>
                <w:lang w:eastAsia="es-AR"/>
              </w:rPr>
            </w:pPr>
          </w:p>
        </w:tc>
        <w:tc>
          <w:tcPr>
            <w:tcW w:w="794" w:type="dxa"/>
            <w:tcBorders>
              <w:top w:val="nil"/>
              <w:left w:val="nil"/>
              <w:bottom w:val="nil"/>
              <w:right w:val="nil"/>
            </w:tcBorders>
            <w:shd w:val="clear" w:color="auto" w:fill="auto"/>
          </w:tcPr>
          <w:p w14:paraId="5D93EF41" w14:textId="77777777" w:rsidR="008066E1" w:rsidRPr="008066E1" w:rsidRDefault="008066E1" w:rsidP="007465F0">
            <w:pPr>
              <w:rPr>
                <w:color w:val="000000" w:themeColor="text1"/>
                <w:sz w:val="20"/>
                <w:lang w:eastAsia="es-AR"/>
              </w:rPr>
            </w:pPr>
          </w:p>
        </w:tc>
        <w:tc>
          <w:tcPr>
            <w:tcW w:w="841" w:type="dxa"/>
            <w:tcBorders>
              <w:top w:val="nil"/>
              <w:left w:val="nil"/>
              <w:bottom w:val="nil"/>
              <w:right w:val="nil"/>
            </w:tcBorders>
            <w:shd w:val="clear" w:color="auto" w:fill="auto"/>
            <w:vAlign w:val="bottom"/>
          </w:tcPr>
          <w:p w14:paraId="0F4E6FDA" w14:textId="77777777" w:rsidR="008066E1" w:rsidRPr="008066E1" w:rsidRDefault="008066E1"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tcPr>
          <w:p w14:paraId="4F25AC80" w14:textId="77777777" w:rsidR="008066E1" w:rsidRPr="008066E1" w:rsidRDefault="008066E1"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tcPr>
          <w:p w14:paraId="73578E14" w14:textId="77777777" w:rsidR="008066E1" w:rsidRPr="008066E1" w:rsidRDefault="008066E1"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tcPr>
          <w:p w14:paraId="00F27E78" w14:textId="77777777" w:rsidR="008066E1" w:rsidRPr="008066E1" w:rsidRDefault="008066E1"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tcPr>
          <w:p w14:paraId="71EA75F7" w14:textId="77777777" w:rsidR="008066E1" w:rsidRPr="008066E1" w:rsidRDefault="008066E1" w:rsidP="008066E1">
            <w:pPr>
              <w:ind w:left="709" w:hanging="709"/>
              <w:jc w:val="right"/>
              <w:rPr>
                <w:color w:val="000000" w:themeColor="text1"/>
                <w:sz w:val="20"/>
                <w:lang w:eastAsia="es-AR"/>
              </w:rPr>
            </w:pPr>
          </w:p>
        </w:tc>
      </w:tr>
      <w:tr w:rsidR="008066E1" w:rsidRPr="00D926FE" w14:paraId="4D0318C0" w14:textId="77777777" w:rsidTr="008066E1">
        <w:trPr>
          <w:gridAfter w:val="1"/>
          <w:wAfter w:w="17" w:type="dxa"/>
          <w:trHeight w:val="180"/>
        </w:trPr>
        <w:tc>
          <w:tcPr>
            <w:tcW w:w="3188" w:type="dxa"/>
            <w:tcBorders>
              <w:top w:val="nil"/>
              <w:left w:val="nil"/>
              <w:bottom w:val="nil"/>
              <w:right w:val="nil"/>
            </w:tcBorders>
            <w:shd w:val="clear" w:color="auto" w:fill="auto"/>
          </w:tcPr>
          <w:p w14:paraId="758EFEF5" w14:textId="2B4F6477"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Vto.14/04/20</w:t>
            </w:r>
          </w:p>
        </w:tc>
        <w:tc>
          <w:tcPr>
            <w:tcW w:w="709" w:type="dxa"/>
            <w:tcBorders>
              <w:top w:val="nil"/>
              <w:left w:val="nil"/>
              <w:bottom w:val="nil"/>
              <w:right w:val="nil"/>
            </w:tcBorders>
            <w:shd w:val="clear" w:color="auto" w:fill="auto"/>
            <w:vAlign w:val="center"/>
          </w:tcPr>
          <w:p w14:paraId="09D7F3EB" w14:textId="7D5EFD4F" w:rsidR="008066E1" w:rsidRPr="008066E1" w:rsidRDefault="008066E1" w:rsidP="008066E1">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center"/>
          </w:tcPr>
          <w:p w14:paraId="3CB53C0A" w14:textId="4D778610" w:rsidR="008066E1" w:rsidRPr="008066E1" w:rsidRDefault="008066E1" w:rsidP="008066E1">
            <w:pPr>
              <w:rPr>
                <w:color w:val="000000" w:themeColor="text1"/>
                <w:sz w:val="20"/>
                <w:lang w:eastAsia="es-AR"/>
              </w:rPr>
            </w:pPr>
          </w:p>
        </w:tc>
        <w:tc>
          <w:tcPr>
            <w:tcW w:w="794" w:type="dxa"/>
            <w:tcBorders>
              <w:top w:val="nil"/>
              <w:left w:val="nil"/>
              <w:bottom w:val="nil"/>
              <w:right w:val="nil"/>
            </w:tcBorders>
            <w:shd w:val="clear" w:color="auto" w:fill="auto"/>
            <w:vAlign w:val="bottom"/>
          </w:tcPr>
          <w:p w14:paraId="0FCD11EB" w14:textId="10BF16FC"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center"/>
          </w:tcPr>
          <w:p w14:paraId="49352662" w14:textId="1F5B8172"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17.021.333</w:t>
            </w:r>
          </w:p>
        </w:tc>
        <w:tc>
          <w:tcPr>
            <w:tcW w:w="842" w:type="dxa"/>
            <w:tcBorders>
              <w:top w:val="nil"/>
              <w:left w:val="nil"/>
              <w:bottom w:val="nil"/>
              <w:right w:val="nil"/>
            </w:tcBorders>
            <w:shd w:val="clear" w:color="auto" w:fill="auto"/>
            <w:vAlign w:val="center"/>
          </w:tcPr>
          <w:p w14:paraId="170E586B" w14:textId="06C4A04B"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915" w:type="dxa"/>
            <w:tcBorders>
              <w:top w:val="nil"/>
              <w:left w:val="nil"/>
              <w:bottom w:val="nil"/>
              <w:right w:val="nil"/>
            </w:tcBorders>
            <w:shd w:val="clear" w:color="auto" w:fill="auto"/>
            <w:vAlign w:val="center"/>
          </w:tcPr>
          <w:p w14:paraId="1C62BA0B" w14:textId="096701A1"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17.021.333</w:t>
            </w:r>
          </w:p>
        </w:tc>
        <w:tc>
          <w:tcPr>
            <w:tcW w:w="778" w:type="dxa"/>
            <w:tcBorders>
              <w:top w:val="nil"/>
              <w:left w:val="nil"/>
              <w:bottom w:val="nil"/>
              <w:right w:val="nil"/>
            </w:tcBorders>
            <w:shd w:val="clear" w:color="auto" w:fill="auto"/>
            <w:vAlign w:val="center"/>
          </w:tcPr>
          <w:p w14:paraId="1288022E" w14:textId="63394438"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848" w:type="dxa"/>
            <w:tcBorders>
              <w:top w:val="nil"/>
              <w:left w:val="nil"/>
              <w:bottom w:val="nil"/>
              <w:right w:val="nil"/>
            </w:tcBorders>
            <w:shd w:val="clear" w:color="auto" w:fill="auto"/>
            <w:vAlign w:val="center"/>
          </w:tcPr>
          <w:p w14:paraId="06C84B72" w14:textId="4ED99AA7"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17.021.333</w:t>
            </w:r>
          </w:p>
        </w:tc>
      </w:tr>
      <w:tr w:rsidR="008066E1" w:rsidRPr="00D926FE" w14:paraId="4322967D" w14:textId="77777777" w:rsidTr="008066E1">
        <w:trPr>
          <w:gridAfter w:val="1"/>
          <w:wAfter w:w="17" w:type="dxa"/>
          <w:trHeight w:val="180"/>
        </w:trPr>
        <w:tc>
          <w:tcPr>
            <w:tcW w:w="3188" w:type="dxa"/>
            <w:tcBorders>
              <w:top w:val="nil"/>
              <w:left w:val="nil"/>
              <w:bottom w:val="nil"/>
              <w:right w:val="nil"/>
            </w:tcBorders>
            <w:shd w:val="clear" w:color="auto" w:fill="auto"/>
          </w:tcPr>
          <w:p w14:paraId="0F5856AD" w14:textId="1FCDED0B"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Vto.16/04/20</w:t>
            </w:r>
          </w:p>
        </w:tc>
        <w:tc>
          <w:tcPr>
            <w:tcW w:w="709" w:type="dxa"/>
            <w:tcBorders>
              <w:top w:val="nil"/>
              <w:left w:val="nil"/>
              <w:bottom w:val="nil"/>
              <w:right w:val="nil"/>
            </w:tcBorders>
            <w:shd w:val="clear" w:color="auto" w:fill="auto"/>
            <w:vAlign w:val="center"/>
          </w:tcPr>
          <w:p w14:paraId="4B01DC26" w14:textId="74E6E337" w:rsidR="008066E1" w:rsidRPr="008066E1" w:rsidRDefault="008066E1" w:rsidP="008066E1">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center"/>
          </w:tcPr>
          <w:p w14:paraId="21678B94" w14:textId="4028B650" w:rsidR="008066E1" w:rsidRPr="008066E1" w:rsidRDefault="008066E1" w:rsidP="008066E1">
            <w:pPr>
              <w:rPr>
                <w:color w:val="000000" w:themeColor="text1"/>
                <w:sz w:val="20"/>
                <w:lang w:eastAsia="es-AR"/>
              </w:rPr>
            </w:pPr>
          </w:p>
        </w:tc>
        <w:tc>
          <w:tcPr>
            <w:tcW w:w="794" w:type="dxa"/>
            <w:tcBorders>
              <w:top w:val="nil"/>
              <w:left w:val="nil"/>
              <w:bottom w:val="nil"/>
              <w:right w:val="nil"/>
            </w:tcBorders>
            <w:shd w:val="clear" w:color="auto" w:fill="auto"/>
            <w:vAlign w:val="bottom"/>
          </w:tcPr>
          <w:p w14:paraId="1C626437" w14:textId="10438DA6"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center"/>
          </w:tcPr>
          <w:p w14:paraId="05AB5558" w14:textId="612AD8D2"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16.246.296</w:t>
            </w:r>
          </w:p>
        </w:tc>
        <w:tc>
          <w:tcPr>
            <w:tcW w:w="842" w:type="dxa"/>
            <w:tcBorders>
              <w:top w:val="nil"/>
              <w:left w:val="nil"/>
              <w:bottom w:val="nil"/>
              <w:right w:val="nil"/>
            </w:tcBorders>
            <w:shd w:val="clear" w:color="auto" w:fill="auto"/>
            <w:vAlign w:val="center"/>
          </w:tcPr>
          <w:p w14:paraId="18F5CFC3" w14:textId="404615F8"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915" w:type="dxa"/>
            <w:tcBorders>
              <w:top w:val="nil"/>
              <w:left w:val="nil"/>
              <w:bottom w:val="nil"/>
              <w:right w:val="nil"/>
            </w:tcBorders>
            <w:shd w:val="clear" w:color="auto" w:fill="auto"/>
            <w:vAlign w:val="center"/>
          </w:tcPr>
          <w:p w14:paraId="2930278F" w14:textId="1AA60A8B"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16.246.296</w:t>
            </w:r>
          </w:p>
        </w:tc>
        <w:tc>
          <w:tcPr>
            <w:tcW w:w="778" w:type="dxa"/>
            <w:tcBorders>
              <w:top w:val="nil"/>
              <w:left w:val="nil"/>
              <w:bottom w:val="nil"/>
              <w:right w:val="nil"/>
            </w:tcBorders>
            <w:shd w:val="clear" w:color="auto" w:fill="auto"/>
            <w:vAlign w:val="center"/>
          </w:tcPr>
          <w:p w14:paraId="376A69DF" w14:textId="26FB0EA8"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848" w:type="dxa"/>
            <w:tcBorders>
              <w:top w:val="nil"/>
              <w:left w:val="nil"/>
              <w:bottom w:val="nil"/>
              <w:right w:val="nil"/>
            </w:tcBorders>
            <w:shd w:val="clear" w:color="auto" w:fill="auto"/>
            <w:vAlign w:val="center"/>
          </w:tcPr>
          <w:p w14:paraId="086C7073" w14:textId="7195BA37"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16.246.296</w:t>
            </w:r>
          </w:p>
        </w:tc>
      </w:tr>
      <w:tr w:rsidR="008066E1" w:rsidRPr="00D926FE" w14:paraId="5E5C6F5C" w14:textId="77777777" w:rsidTr="008066E1">
        <w:trPr>
          <w:gridAfter w:val="1"/>
          <w:wAfter w:w="17" w:type="dxa"/>
          <w:trHeight w:val="180"/>
        </w:trPr>
        <w:tc>
          <w:tcPr>
            <w:tcW w:w="3188" w:type="dxa"/>
            <w:tcBorders>
              <w:top w:val="nil"/>
              <w:left w:val="nil"/>
              <w:bottom w:val="nil"/>
              <w:right w:val="nil"/>
            </w:tcBorders>
            <w:shd w:val="clear" w:color="auto" w:fill="auto"/>
          </w:tcPr>
          <w:p w14:paraId="7DD138FF" w14:textId="3A0B813C"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Vto.08/04/20</w:t>
            </w:r>
          </w:p>
        </w:tc>
        <w:tc>
          <w:tcPr>
            <w:tcW w:w="709" w:type="dxa"/>
            <w:tcBorders>
              <w:top w:val="nil"/>
              <w:left w:val="nil"/>
              <w:bottom w:val="nil"/>
              <w:right w:val="nil"/>
            </w:tcBorders>
            <w:shd w:val="clear" w:color="auto" w:fill="auto"/>
            <w:vAlign w:val="center"/>
          </w:tcPr>
          <w:p w14:paraId="5E84803A" w14:textId="3468C333" w:rsidR="008066E1" w:rsidRPr="008066E1" w:rsidRDefault="008066E1" w:rsidP="008066E1">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center"/>
          </w:tcPr>
          <w:p w14:paraId="1C381900" w14:textId="58A7B21C" w:rsidR="008066E1" w:rsidRPr="008066E1" w:rsidRDefault="008066E1" w:rsidP="008066E1">
            <w:pPr>
              <w:rPr>
                <w:color w:val="000000" w:themeColor="text1"/>
                <w:sz w:val="20"/>
                <w:lang w:eastAsia="es-AR"/>
              </w:rPr>
            </w:pPr>
          </w:p>
        </w:tc>
        <w:tc>
          <w:tcPr>
            <w:tcW w:w="794" w:type="dxa"/>
            <w:tcBorders>
              <w:top w:val="nil"/>
              <w:left w:val="nil"/>
              <w:bottom w:val="nil"/>
              <w:right w:val="nil"/>
            </w:tcBorders>
            <w:shd w:val="clear" w:color="auto" w:fill="auto"/>
            <w:vAlign w:val="bottom"/>
          </w:tcPr>
          <w:p w14:paraId="2F23C601" w14:textId="1847E82B"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center"/>
          </w:tcPr>
          <w:p w14:paraId="0A6FE643" w14:textId="08FDB5B6"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6.626.252</w:t>
            </w:r>
          </w:p>
        </w:tc>
        <w:tc>
          <w:tcPr>
            <w:tcW w:w="842" w:type="dxa"/>
            <w:tcBorders>
              <w:top w:val="nil"/>
              <w:left w:val="nil"/>
              <w:bottom w:val="nil"/>
              <w:right w:val="nil"/>
            </w:tcBorders>
            <w:shd w:val="clear" w:color="auto" w:fill="auto"/>
            <w:vAlign w:val="center"/>
          </w:tcPr>
          <w:p w14:paraId="01E16046" w14:textId="5BC591D3"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915" w:type="dxa"/>
            <w:tcBorders>
              <w:top w:val="nil"/>
              <w:left w:val="nil"/>
              <w:bottom w:val="nil"/>
              <w:right w:val="nil"/>
            </w:tcBorders>
            <w:shd w:val="clear" w:color="auto" w:fill="auto"/>
            <w:vAlign w:val="center"/>
          </w:tcPr>
          <w:p w14:paraId="3E371F4B" w14:textId="36C1D3A6"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6.626.252</w:t>
            </w:r>
          </w:p>
        </w:tc>
        <w:tc>
          <w:tcPr>
            <w:tcW w:w="778" w:type="dxa"/>
            <w:tcBorders>
              <w:top w:val="nil"/>
              <w:left w:val="nil"/>
              <w:bottom w:val="nil"/>
              <w:right w:val="nil"/>
            </w:tcBorders>
            <w:shd w:val="clear" w:color="auto" w:fill="auto"/>
            <w:vAlign w:val="center"/>
          </w:tcPr>
          <w:p w14:paraId="63B84D1F" w14:textId="086E159B"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848" w:type="dxa"/>
            <w:tcBorders>
              <w:top w:val="nil"/>
              <w:left w:val="nil"/>
              <w:bottom w:val="nil"/>
              <w:right w:val="nil"/>
            </w:tcBorders>
            <w:shd w:val="clear" w:color="auto" w:fill="auto"/>
            <w:vAlign w:val="center"/>
          </w:tcPr>
          <w:p w14:paraId="30739D0B" w14:textId="70688FC6"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6.626.252</w:t>
            </w:r>
          </w:p>
        </w:tc>
      </w:tr>
      <w:tr w:rsidR="008066E1" w:rsidRPr="00D926FE" w14:paraId="2944FCCF" w14:textId="77777777" w:rsidTr="008066E1">
        <w:trPr>
          <w:gridAfter w:val="1"/>
          <w:wAfter w:w="17" w:type="dxa"/>
          <w:trHeight w:val="180"/>
        </w:trPr>
        <w:tc>
          <w:tcPr>
            <w:tcW w:w="3188" w:type="dxa"/>
            <w:tcBorders>
              <w:top w:val="nil"/>
              <w:left w:val="nil"/>
              <w:bottom w:val="nil"/>
              <w:right w:val="nil"/>
            </w:tcBorders>
            <w:shd w:val="clear" w:color="auto" w:fill="auto"/>
          </w:tcPr>
          <w:p w14:paraId="3522008E" w14:textId="6669A426"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Vto.03/04/20</w:t>
            </w:r>
          </w:p>
        </w:tc>
        <w:tc>
          <w:tcPr>
            <w:tcW w:w="709" w:type="dxa"/>
            <w:tcBorders>
              <w:top w:val="nil"/>
              <w:left w:val="nil"/>
              <w:bottom w:val="nil"/>
              <w:right w:val="nil"/>
            </w:tcBorders>
            <w:shd w:val="clear" w:color="auto" w:fill="auto"/>
            <w:vAlign w:val="center"/>
          </w:tcPr>
          <w:p w14:paraId="747C25B1" w14:textId="761178FC" w:rsidR="008066E1" w:rsidRPr="008066E1" w:rsidRDefault="008066E1" w:rsidP="008066E1">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center"/>
          </w:tcPr>
          <w:p w14:paraId="59BEFCE6" w14:textId="32154C00" w:rsidR="008066E1" w:rsidRPr="008066E1" w:rsidRDefault="008066E1" w:rsidP="008066E1">
            <w:pPr>
              <w:rPr>
                <w:color w:val="000000" w:themeColor="text1"/>
                <w:sz w:val="20"/>
                <w:lang w:eastAsia="es-AR"/>
              </w:rPr>
            </w:pPr>
          </w:p>
        </w:tc>
        <w:tc>
          <w:tcPr>
            <w:tcW w:w="794" w:type="dxa"/>
            <w:tcBorders>
              <w:top w:val="nil"/>
              <w:left w:val="nil"/>
              <w:bottom w:val="nil"/>
              <w:right w:val="nil"/>
            </w:tcBorders>
            <w:shd w:val="clear" w:color="auto" w:fill="auto"/>
            <w:vAlign w:val="bottom"/>
          </w:tcPr>
          <w:p w14:paraId="0EF8D84D" w14:textId="6F2B221F"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center"/>
          </w:tcPr>
          <w:p w14:paraId="7B8EC627" w14:textId="0979BDF8"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948.026</w:t>
            </w:r>
          </w:p>
        </w:tc>
        <w:tc>
          <w:tcPr>
            <w:tcW w:w="842" w:type="dxa"/>
            <w:tcBorders>
              <w:top w:val="nil"/>
              <w:left w:val="nil"/>
              <w:bottom w:val="nil"/>
              <w:right w:val="nil"/>
            </w:tcBorders>
            <w:shd w:val="clear" w:color="auto" w:fill="auto"/>
            <w:vAlign w:val="center"/>
          </w:tcPr>
          <w:p w14:paraId="2F54D19C" w14:textId="45783779"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915" w:type="dxa"/>
            <w:tcBorders>
              <w:top w:val="nil"/>
              <w:left w:val="nil"/>
              <w:bottom w:val="nil"/>
              <w:right w:val="nil"/>
            </w:tcBorders>
            <w:shd w:val="clear" w:color="auto" w:fill="auto"/>
            <w:vAlign w:val="center"/>
          </w:tcPr>
          <w:p w14:paraId="63FA28DC" w14:textId="76F9A126"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948.026</w:t>
            </w:r>
          </w:p>
        </w:tc>
        <w:tc>
          <w:tcPr>
            <w:tcW w:w="778" w:type="dxa"/>
            <w:tcBorders>
              <w:top w:val="nil"/>
              <w:left w:val="nil"/>
              <w:bottom w:val="nil"/>
              <w:right w:val="nil"/>
            </w:tcBorders>
            <w:shd w:val="clear" w:color="auto" w:fill="auto"/>
            <w:vAlign w:val="center"/>
          </w:tcPr>
          <w:p w14:paraId="0EFE5BF0" w14:textId="023F953B"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848" w:type="dxa"/>
            <w:tcBorders>
              <w:top w:val="nil"/>
              <w:left w:val="nil"/>
              <w:bottom w:val="nil"/>
              <w:right w:val="nil"/>
            </w:tcBorders>
            <w:shd w:val="clear" w:color="auto" w:fill="auto"/>
            <w:vAlign w:val="center"/>
          </w:tcPr>
          <w:p w14:paraId="4F19BBC3" w14:textId="17848878"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948.026</w:t>
            </w:r>
          </w:p>
        </w:tc>
      </w:tr>
      <w:tr w:rsidR="008066E1" w:rsidRPr="00D926FE" w14:paraId="35183246" w14:textId="77777777" w:rsidTr="008066E1">
        <w:trPr>
          <w:gridAfter w:val="1"/>
          <w:wAfter w:w="17" w:type="dxa"/>
          <w:trHeight w:val="180"/>
        </w:trPr>
        <w:tc>
          <w:tcPr>
            <w:tcW w:w="3188" w:type="dxa"/>
            <w:tcBorders>
              <w:top w:val="nil"/>
              <w:left w:val="nil"/>
              <w:bottom w:val="nil"/>
              <w:right w:val="nil"/>
            </w:tcBorders>
            <w:shd w:val="clear" w:color="auto" w:fill="auto"/>
          </w:tcPr>
          <w:p w14:paraId="22B0C537" w14:textId="7DCB3F56" w:rsidR="008066E1" w:rsidRPr="008066E1" w:rsidRDefault="008066E1" w:rsidP="008066E1">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Vto.31/03/20</w:t>
            </w:r>
          </w:p>
        </w:tc>
        <w:tc>
          <w:tcPr>
            <w:tcW w:w="709" w:type="dxa"/>
            <w:tcBorders>
              <w:top w:val="nil"/>
              <w:left w:val="nil"/>
              <w:bottom w:val="nil"/>
              <w:right w:val="nil"/>
            </w:tcBorders>
            <w:shd w:val="clear" w:color="auto" w:fill="auto"/>
            <w:vAlign w:val="center"/>
          </w:tcPr>
          <w:p w14:paraId="728A897F" w14:textId="23802D18" w:rsidR="008066E1" w:rsidRPr="008066E1" w:rsidRDefault="008066E1" w:rsidP="008066E1">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center"/>
          </w:tcPr>
          <w:p w14:paraId="47C9C805" w14:textId="175B4559" w:rsidR="008066E1" w:rsidRPr="008066E1" w:rsidRDefault="008066E1" w:rsidP="008066E1">
            <w:pPr>
              <w:rPr>
                <w:color w:val="000000" w:themeColor="text1"/>
                <w:sz w:val="20"/>
                <w:lang w:eastAsia="es-AR"/>
              </w:rPr>
            </w:pPr>
          </w:p>
        </w:tc>
        <w:tc>
          <w:tcPr>
            <w:tcW w:w="794" w:type="dxa"/>
            <w:tcBorders>
              <w:top w:val="nil"/>
              <w:left w:val="nil"/>
              <w:bottom w:val="nil"/>
              <w:right w:val="nil"/>
            </w:tcBorders>
            <w:shd w:val="clear" w:color="auto" w:fill="auto"/>
            <w:vAlign w:val="bottom"/>
          </w:tcPr>
          <w:p w14:paraId="230B3D76" w14:textId="49894C04"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2</w:t>
            </w:r>
          </w:p>
        </w:tc>
        <w:tc>
          <w:tcPr>
            <w:tcW w:w="841" w:type="dxa"/>
            <w:tcBorders>
              <w:top w:val="nil"/>
              <w:left w:val="nil"/>
              <w:bottom w:val="nil"/>
              <w:right w:val="nil"/>
            </w:tcBorders>
            <w:shd w:val="clear" w:color="auto" w:fill="auto"/>
            <w:vAlign w:val="center"/>
          </w:tcPr>
          <w:p w14:paraId="0141A2F3" w14:textId="39CABAE1"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432.279</w:t>
            </w:r>
          </w:p>
        </w:tc>
        <w:tc>
          <w:tcPr>
            <w:tcW w:w="842" w:type="dxa"/>
            <w:tcBorders>
              <w:top w:val="nil"/>
              <w:left w:val="nil"/>
              <w:bottom w:val="nil"/>
              <w:right w:val="nil"/>
            </w:tcBorders>
            <w:shd w:val="clear" w:color="auto" w:fill="auto"/>
            <w:vAlign w:val="center"/>
          </w:tcPr>
          <w:p w14:paraId="4E14F7E7" w14:textId="2FF50569"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915" w:type="dxa"/>
            <w:tcBorders>
              <w:top w:val="nil"/>
              <w:left w:val="nil"/>
              <w:bottom w:val="nil"/>
              <w:right w:val="nil"/>
            </w:tcBorders>
            <w:shd w:val="clear" w:color="auto" w:fill="auto"/>
            <w:vAlign w:val="center"/>
          </w:tcPr>
          <w:p w14:paraId="15773888" w14:textId="5484C07F"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432.279</w:t>
            </w:r>
          </w:p>
        </w:tc>
        <w:tc>
          <w:tcPr>
            <w:tcW w:w="778" w:type="dxa"/>
            <w:tcBorders>
              <w:top w:val="nil"/>
              <w:left w:val="nil"/>
              <w:bottom w:val="nil"/>
              <w:right w:val="nil"/>
            </w:tcBorders>
            <w:shd w:val="clear" w:color="auto" w:fill="auto"/>
            <w:vAlign w:val="center"/>
          </w:tcPr>
          <w:p w14:paraId="19C06FA8" w14:textId="5C4CBB91" w:rsidR="008066E1" w:rsidRPr="008066E1" w:rsidRDefault="008066E1" w:rsidP="008066E1">
            <w:pPr>
              <w:ind w:left="709" w:hanging="709"/>
              <w:jc w:val="right"/>
              <w:rPr>
                <w:color w:val="000000" w:themeColor="text1"/>
                <w:sz w:val="20"/>
                <w:lang w:eastAsia="es-AR"/>
              </w:rPr>
            </w:pPr>
            <w:r>
              <w:rPr>
                <w:color w:val="000000" w:themeColor="text1"/>
                <w:sz w:val="20"/>
                <w:lang w:eastAsia="es-AR"/>
              </w:rPr>
              <w:t>-</w:t>
            </w:r>
          </w:p>
        </w:tc>
        <w:tc>
          <w:tcPr>
            <w:tcW w:w="848" w:type="dxa"/>
            <w:tcBorders>
              <w:top w:val="nil"/>
              <w:left w:val="nil"/>
              <w:bottom w:val="nil"/>
              <w:right w:val="nil"/>
            </w:tcBorders>
            <w:shd w:val="clear" w:color="auto" w:fill="auto"/>
            <w:vAlign w:val="center"/>
          </w:tcPr>
          <w:p w14:paraId="068846FE" w14:textId="135C2C8C"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432.279</w:t>
            </w:r>
          </w:p>
        </w:tc>
      </w:tr>
      <w:tr w:rsidR="008066E1" w:rsidRPr="00D926FE" w14:paraId="0A3BF152" w14:textId="77777777" w:rsidTr="008066E1">
        <w:trPr>
          <w:gridAfter w:val="1"/>
          <w:wAfter w:w="17" w:type="dxa"/>
          <w:trHeight w:val="180"/>
        </w:trPr>
        <w:tc>
          <w:tcPr>
            <w:tcW w:w="3188" w:type="dxa"/>
            <w:tcBorders>
              <w:top w:val="nil"/>
              <w:left w:val="nil"/>
              <w:bottom w:val="nil"/>
              <w:right w:val="nil"/>
            </w:tcBorders>
            <w:shd w:val="clear" w:color="auto" w:fill="auto"/>
            <w:vAlign w:val="bottom"/>
          </w:tcPr>
          <w:p w14:paraId="4EAB846F" w14:textId="77777777" w:rsidR="008066E1" w:rsidRPr="008066E1" w:rsidRDefault="008066E1" w:rsidP="00B03371">
            <w:pPr>
              <w:rPr>
                <w:rFonts w:ascii="Arial" w:hAnsi="Arial" w:cs="Arial"/>
                <w:b/>
                <w:bCs/>
                <w:color w:val="000000" w:themeColor="text1"/>
                <w:sz w:val="14"/>
                <w:szCs w:val="14"/>
                <w:lang w:eastAsia="es-AR"/>
              </w:rPr>
            </w:pPr>
          </w:p>
        </w:tc>
        <w:tc>
          <w:tcPr>
            <w:tcW w:w="709" w:type="dxa"/>
            <w:tcBorders>
              <w:top w:val="nil"/>
              <w:left w:val="nil"/>
              <w:bottom w:val="nil"/>
              <w:right w:val="nil"/>
            </w:tcBorders>
            <w:shd w:val="clear" w:color="auto" w:fill="auto"/>
          </w:tcPr>
          <w:p w14:paraId="25046B72" w14:textId="77777777" w:rsidR="008066E1" w:rsidRPr="008066E1" w:rsidRDefault="008066E1" w:rsidP="007465F0">
            <w:pP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tcPr>
          <w:p w14:paraId="359AB514" w14:textId="77777777" w:rsidR="008066E1" w:rsidRPr="008066E1" w:rsidRDefault="008066E1" w:rsidP="007465F0">
            <w:pPr>
              <w:rPr>
                <w:color w:val="000000" w:themeColor="text1"/>
                <w:sz w:val="20"/>
                <w:lang w:eastAsia="es-AR"/>
              </w:rPr>
            </w:pPr>
          </w:p>
        </w:tc>
        <w:tc>
          <w:tcPr>
            <w:tcW w:w="794" w:type="dxa"/>
            <w:tcBorders>
              <w:top w:val="nil"/>
              <w:left w:val="nil"/>
              <w:bottom w:val="nil"/>
              <w:right w:val="nil"/>
            </w:tcBorders>
            <w:shd w:val="clear" w:color="auto" w:fill="auto"/>
          </w:tcPr>
          <w:p w14:paraId="0B2190BE" w14:textId="77777777" w:rsidR="008066E1" w:rsidRPr="008066E1" w:rsidRDefault="008066E1" w:rsidP="007465F0">
            <w:pPr>
              <w:rPr>
                <w:color w:val="000000" w:themeColor="text1"/>
                <w:sz w:val="20"/>
                <w:lang w:eastAsia="es-AR"/>
              </w:rPr>
            </w:pPr>
          </w:p>
        </w:tc>
        <w:tc>
          <w:tcPr>
            <w:tcW w:w="841" w:type="dxa"/>
            <w:tcBorders>
              <w:top w:val="nil"/>
              <w:left w:val="nil"/>
              <w:bottom w:val="nil"/>
              <w:right w:val="nil"/>
            </w:tcBorders>
            <w:shd w:val="clear" w:color="auto" w:fill="auto"/>
          </w:tcPr>
          <w:p w14:paraId="21BA7FA6" w14:textId="77777777" w:rsidR="008066E1" w:rsidRPr="008066E1" w:rsidRDefault="008066E1" w:rsidP="007A54A1">
            <w:pPr>
              <w:ind w:left="709" w:hanging="709"/>
              <w:rPr>
                <w:color w:val="000000" w:themeColor="text1"/>
                <w:sz w:val="20"/>
                <w:lang w:eastAsia="es-AR"/>
              </w:rPr>
            </w:pPr>
          </w:p>
        </w:tc>
        <w:tc>
          <w:tcPr>
            <w:tcW w:w="842" w:type="dxa"/>
            <w:tcBorders>
              <w:top w:val="nil"/>
              <w:left w:val="nil"/>
              <w:bottom w:val="nil"/>
              <w:right w:val="nil"/>
            </w:tcBorders>
            <w:shd w:val="clear" w:color="auto" w:fill="auto"/>
          </w:tcPr>
          <w:p w14:paraId="0ABFC6BE" w14:textId="77777777" w:rsidR="008066E1" w:rsidRPr="008066E1" w:rsidRDefault="008066E1" w:rsidP="007A54A1">
            <w:pPr>
              <w:ind w:left="709" w:hanging="709"/>
              <w:rPr>
                <w:color w:val="000000" w:themeColor="text1"/>
                <w:sz w:val="20"/>
                <w:lang w:eastAsia="es-AR"/>
              </w:rPr>
            </w:pPr>
          </w:p>
        </w:tc>
        <w:tc>
          <w:tcPr>
            <w:tcW w:w="915" w:type="dxa"/>
            <w:tcBorders>
              <w:top w:val="nil"/>
              <w:left w:val="nil"/>
              <w:bottom w:val="nil"/>
              <w:right w:val="nil"/>
            </w:tcBorders>
            <w:shd w:val="clear" w:color="auto" w:fill="auto"/>
          </w:tcPr>
          <w:p w14:paraId="7A382CC7" w14:textId="77777777" w:rsidR="008066E1" w:rsidRPr="008066E1" w:rsidRDefault="008066E1" w:rsidP="007A54A1">
            <w:pPr>
              <w:ind w:left="709" w:hanging="709"/>
              <w:rPr>
                <w:color w:val="000000" w:themeColor="text1"/>
                <w:sz w:val="20"/>
                <w:lang w:eastAsia="es-AR"/>
              </w:rPr>
            </w:pPr>
          </w:p>
        </w:tc>
        <w:tc>
          <w:tcPr>
            <w:tcW w:w="778" w:type="dxa"/>
            <w:tcBorders>
              <w:top w:val="nil"/>
              <w:left w:val="nil"/>
              <w:bottom w:val="nil"/>
              <w:right w:val="nil"/>
            </w:tcBorders>
            <w:shd w:val="clear" w:color="auto" w:fill="auto"/>
          </w:tcPr>
          <w:p w14:paraId="581AD29D" w14:textId="77777777" w:rsidR="008066E1" w:rsidRPr="008066E1" w:rsidRDefault="008066E1" w:rsidP="007A54A1">
            <w:pPr>
              <w:ind w:left="709" w:hanging="709"/>
              <w:rPr>
                <w:color w:val="000000" w:themeColor="text1"/>
                <w:sz w:val="20"/>
                <w:lang w:eastAsia="es-AR"/>
              </w:rPr>
            </w:pPr>
          </w:p>
        </w:tc>
        <w:tc>
          <w:tcPr>
            <w:tcW w:w="848" w:type="dxa"/>
            <w:tcBorders>
              <w:top w:val="nil"/>
              <w:left w:val="nil"/>
              <w:bottom w:val="nil"/>
              <w:right w:val="nil"/>
            </w:tcBorders>
            <w:shd w:val="clear" w:color="auto" w:fill="auto"/>
          </w:tcPr>
          <w:p w14:paraId="180EC8D9" w14:textId="77777777" w:rsidR="008066E1" w:rsidRPr="008066E1" w:rsidRDefault="008066E1" w:rsidP="007A54A1">
            <w:pPr>
              <w:ind w:left="709" w:hanging="709"/>
              <w:rPr>
                <w:color w:val="000000" w:themeColor="text1"/>
                <w:sz w:val="20"/>
                <w:lang w:eastAsia="es-AR"/>
              </w:rPr>
            </w:pPr>
          </w:p>
        </w:tc>
      </w:tr>
      <w:tr w:rsidR="008066E1" w:rsidRPr="00D926FE" w14:paraId="69A35004" w14:textId="77777777" w:rsidTr="008066E1">
        <w:trPr>
          <w:gridAfter w:val="1"/>
          <w:wAfter w:w="17" w:type="dxa"/>
          <w:trHeight w:val="180"/>
        </w:trPr>
        <w:tc>
          <w:tcPr>
            <w:tcW w:w="3188" w:type="dxa"/>
            <w:tcBorders>
              <w:top w:val="nil"/>
              <w:left w:val="nil"/>
              <w:bottom w:val="nil"/>
              <w:right w:val="nil"/>
            </w:tcBorders>
            <w:shd w:val="clear" w:color="auto" w:fill="auto"/>
            <w:vAlign w:val="bottom"/>
          </w:tcPr>
          <w:p w14:paraId="4E27356B" w14:textId="77777777" w:rsidR="008066E1" w:rsidRPr="00D926FE" w:rsidRDefault="008066E1" w:rsidP="00B03371">
            <w:pPr>
              <w:rPr>
                <w:rFonts w:ascii="Arial" w:hAnsi="Arial" w:cs="Arial"/>
                <w:b/>
                <w:bCs/>
                <w:sz w:val="14"/>
                <w:szCs w:val="14"/>
                <w:lang w:eastAsia="es-AR"/>
              </w:rPr>
            </w:pPr>
          </w:p>
        </w:tc>
        <w:tc>
          <w:tcPr>
            <w:tcW w:w="709" w:type="dxa"/>
            <w:tcBorders>
              <w:top w:val="nil"/>
              <w:left w:val="nil"/>
              <w:bottom w:val="nil"/>
              <w:right w:val="nil"/>
            </w:tcBorders>
            <w:shd w:val="clear" w:color="auto" w:fill="auto"/>
          </w:tcPr>
          <w:p w14:paraId="51391B9E" w14:textId="77777777" w:rsidR="008066E1" w:rsidRPr="00D926FE" w:rsidRDefault="008066E1" w:rsidP="007465F0">
            <w:pPr>
              <w:rPr>
                <w:rFonts w:ascii="Arial" w:hAnsi="Arial" w:cs="Arial"/>
                <w:b/>
                <w:bCs/>
                <w:sz w:val="14"/>
                <w:szCs w:val="14"/>
                <w:lang w:eastAsia="es-AR"/>
              </w:rPr>
            </w:pPr>
          </w:p>
        </w:tc>
        <w:tc>
          <w:tcPr>
            <w:tcW w:w="850" w:type="dxa"/>
            <w:tcBorders>
              <w:top w:val="nil"/>
              <w:left w:val="nil"/>
              <w:bottom w:val="nil"/>
              <w:right w:val="nil"/>
            </w:tcBorders>
            <w:shd w:val="clear" w:color="auto" w:fill="auto"/>
          </w:tcPr>
          <w:p w14:paraId="16E55CC2" w14:textId="77777777" w:rsidR="008066E1" w:rsidRPr="00D926FE" w:rsidRDefault="008066E1" w:rsidP="007465F0">
            <w:pPr>
              <w:rPr>
                <w:sz w:val="20"/>
                <w:lang w:eastAsia="es-AR"/>
              </w:rPr>
            </w:pPr>
          </w:p>
        </w:tc>
        <w:tc>
          <w:tcPr>
            <w:tcW w:w="794" w:type="dxa"/>
            <w:tcBorders>
              <w:top w:val="nil"/>
              <w:left w:val="nil"/>
              <w:bottom w:val="nil"/>
              <w:right w:val="nil"/>
            </w:tcBorders>
            <w:shd w:val="clear" w:color="auto" w:fill="auto"/>
          </w:tcPr>
          <w:p w14:paraId="78244894" w14:textId="77777777" w:rsidR="008066E1" w:rsidRPr="00D926FE" w:rsidRDefault="008066E1" w:rsidP="007465F0">
            <w:pPr>
              <w:rPr>
                <w:sz w:val="20"/>
                <w:lang w:eastAsia="es-AR"/>
              </w:rPr>
            </w:pPr>
          </w:p>
        </w:tc>
        <w:tc>
          <w:tcPr>
            <w:tcW w:w="841" w:type="dxa"/>
            <w:tcBorders>
              <w:top w:val="nil"/>
              <w:left w:val="nil"/>
              <w:bottom w:val="nil"/>
              <w:right w:val="nil"/>
            </w:tcBorders>
            <w:shd w:val="clear" w:color="auto" w:fill="auto"/>
          </w:tcPr>
          <w:p w14:paraId="23014842" w14:textId="77777777" w:rsidR="008066E1" w:rsidRPr="00D926FE" w:rsidRDefault="008066E1" w:rsidP="007A54A1">
            <w:pPr>
              <w:ind w:left="709" w:hanging="709"/>
              <w:rPr>
                <w:sz w:val="20"/>
                <w:lang w:eastAsia="es-AR"/>
              </w:rPr>
            </w:pPr>
          </w:p>
        </w:tc>
        <w:tc>
          <w:tcPr>
            <w:tcW w:w="842" w:type="dxa"/>
            <w:tcBorders>
              <w:top w:val="nil"/>
              <w:left w:val="nil"/>
              <w:bottom w:val="nil"/>
              <w:right w:val="nil"/>
            </w:tcBorders>
            <w:shd w:val="clear" w:color="auto" w:fill="auto"/>
          </w:tcPr>
          <w:p w14:paraId="033DD470" w14:textId="77777777" w:rsidR="008066E1" w:rsidRPr="00D926FE" w:rsidRDefault="008066E1" w:rsidP="007A54A1">
            <w:pPr>
              <w:ind w:left="709" w:hanging="709"/>
              <w:rPr>
                <w:sz w:val="20"/>
                <w:lang w:eastAsia="es-AR"/>
              </w:rPr>
            </w:pPr>
          </w:p>
        </w:tc>
        <w:tc>
          <w:tcPr>
            <w:tcW w:w="915" w:type="dxa"/>
            <w:tcBorders>
              <w:top w:val="nil"/>
              <w:left w:val="nil"/>
              <w:bottom w:val="nil"/>
              <w:right w:val="nil"/>
            </w:tcBorders>
            <w:shd w:val="clear" w:color="auto" w:fill="auto"/>
          </w:tcPr>
          <w:p w14:paraId="760B7299" w14:textId="77777777" w:rsidR="008066E1" w:rsidRPr="00D926FE" w:rsidRDefault="008066E1" w:rsidP="007A54A1">
            <w:pPr>
              <w:ind w:left="709" w:hanging="709"/>
              <w:rPr>
                <w:sz w:val="20"/>
                <w:lang w:eastAsia="es-AR"/>
              </w:rPr>
            </w:pPr>
          </w:p>
        </w:tc>
        <w:tc>
          <w:tcPr>
            <w:tcW w:w="778" w:type="dxa"/>
            <w:tcBorders>
              <w:top w:val="nil"/>
              <w:left w:val="nil"/>
              <w:bottom w:val="nil"/>
              <w:right w:val="nil"/>
            </w:tcBorders>
            <w:shd w:val="clear" w:color="auto" w:fill="auto"/>
          </w:tcPr>
          <w:p w14:paraId="30385457" w14:textId="77777777" w:rsidR="008066E1" w:rsidRPr="00D926FE" w:rsidRDefault="008066E1" w:rsidP="007A54A1">
            <w:pPr>
              <w:ind w:left="709" w:hanging="709"/>
              <w:rPr>
                <w:sz w:val="20"/>
                <w:lang w:eastAsia="es-AR"/>
              </w:rPr>
            </w:pPr>
          </w:p>
        </w:tc>
        <w:tc>
          <w:tcPr>
            <w:tcW w:w="848" w:type="dxa"/>
            <w:tcBorders>
              <w:top w:val="nil"/>
              <w:left w:val="nil"/>
              <w:bottom w:val="nil"/>
              <w:right w:val="nil"/>
            </w:tcBorders>
            <w:shd w:val="clear" w:color="auto" w:fill="auto"/>
          </w:tcPr>
          <w:p w14:paraId="7C0868A4" w14:textId="77777777" w:rsidR="008066E1" w:rsidRPr="00D926FE" w:rsidRDefault="008066E1" w:rsidP="007A54A1">
            <w:pPr>
              <w:ind w:left="709" w:hanging="709"/>
              <w:rPr>
                <w:sz w:val="20"/>
                <w:lang w:eastAsia="es-AR"/>
              </w:rPr>
            </w:pPr>
          </w:p>
        </w:tc>
      </w:tr>
      <w:tr w:rsidR="00CE2DE2" w:rsidRPr="00D926FE" w14:paraId="098B396D" w14:textId="77777777" w:rsidTr="00C23CC6">
        <w:trPr>
          <w:gridAfter w:val="1"/>
          <w:wAfter w:w="17" w:type="dxa"/>
          <w:trHeight w:val="180"/>
        </w:trPr>
        <w:tc>
          <w:tcPr>
            <w:tcW w:w="3188" w:type="dxa"/>
            <w:tcBorders>
              <w:top w:val="nil"/>
              <w:left w:val="nil"/>
              <w:bottom w:val="nil"/>
              <w:right w:val="nil"/>
            </w:tcBorders>
            <w:shd w:val="clear" w:color="auto" w:fill="auto"/>
            <w:vAlign w:val="bottom"/>
          </w:tcPr>
          <w:p w14:paraId="01E0F2E3" w14:textId="69D890FB" w:rsidR="00CE2DE2" w:rsidRPr="008066E1" w:rsidRDefault="00CE2DE2" w:rsidP="00CE2DE2">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lastRenderedPageBreak/>
              <w:t>Letra de liquidez del BCRA Vto.07/01/20</w:t>
            </w:r>
          </w:p>
        </w:tc>
        <w:tc>
          <w:tcPr>
            <w:tcW w:w="709" w:type="dxa"/>
            <w:tcBorders>
              <w:top w:val="nil"/>
              <w:left w:val="nil"/>
              <w:bottom w:val="nil"/>
              <w:right w:val="nil"/>
            </w:tcBorders>
            <w:shd w:val="clear" w:color="auto" w:fill="auto"/>
            <w:vAlign w:val="bottom"/>
          </w:tcPr>
          <w:p w14:paraId="2DD2968E" w14:textId="39145F47" w:rsidR="00CE2DE2" w:rsidRPr="008066E1" w:rsidRDefault="00CE2DE2" w:rsidP="00CE2DE2">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02E67FE3" w14:textId="79F7F8E5" w:rsidR="00CE2DE2" w:rsidRPr="008066E1" w:rsidRDefault="00CE2DE2" w:rsidP="00CE2DE2">
            <w:pPr>
              <w:jc w:val="right"/>
              <w:rPr>
                <w:color w:val="000000" w:themeColor="text1"/>
                <w:sz w:val="20"/>
                <w:lang w:eastAsia="es-AR"/>
              </w:rPr>
            </w:pPr>
          </w:p>
        </w:tc>
        <w:tc>
          <w:tcPr>
            <w:tcW w:w="794" w:type="dxa"/>
            <w:tcBorders>
              <w:top w:val="nil"/>
              <w:left w:val="nil"/>
              <w:bottom w:val="nil"/>
              <w:right w:val="nil"/>
            </w:tcBorders>
            <w:shd w:val="clear" w:color="auto" w:fill="auto"/>
            <w:vAlign w:val="center"/>
          </w:tcPr>
          <w:p w14:paraId="5FC4D7B8" w14:textId="38CB5EC8" w:rsidR="00CE2DE2" w:rsidRPr="008066E1" w:rsidRDefault="00CE2DE2" w:rsidP="00CE2DE2">
            <w:pPr>
              <w:jc w:val="right"/>
              <w:rPr>
                <w:color w:val="000000" w:themeColor="text1"/>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center"/>
          </w:tcPr>
          <w:p w14:paraId="1D9486CA" w14:textId="0A0C9C1F" w:rsidR="00CE2DE2" w:rsidRPr="008066E1" w:rsidRDefault="00CE2DE2" w:rsidP="00CE2DE2">
            <w:pPr>
              <w:ind w:left="709" w:hanging="709"/>
              <w:jc w:val="right"/>
              <w:rPr>
                <w:color w:val="000000" w:themeColor="text1"/>
                <w:sz w:val="20"/>
                <w:lang w:eastAsia="es-AR"/>
              </w:rPr>
            </w:pPr>
            <w:r>
              <w:rPr>
                <w:color w:val="000000" w:themeColor="text1"/>
                <w:sz w:val="20"/>
                <w:lang w:eastAsia="es-AR"/>
              </w:rPr>
              <w:t>-</w:t>
            </w:r>
          </w:p>
        </w:tc>
        <w:tc>
          <w:tcPr>
            <w:tcW w:w="842" w:type="dxa"/>
            <w:tcBorders>
              <w:top w:val="nil"/>
              <w:left w:val="nil"/>
              <w:bottom w:val="nil"/>
              <w:right w:val="nil"/>
            </w:tcBorders>
            <w:shd w:val="clear" w:color="auto" w:fill="auto"/>
            <w:vAlign w:val="center"/>
          </w:tcPr>
          <w:p w14:paraId="6603AECD" w14:textId="453D4F26" w:rsidR="00CE2DE2" w:rsidRPr="008066E1" w:rsidRDefault="00CE2DE2" w:rsidP="00CE2DE2">
            <w:pPr>
              <w:ind w:left="709" w:hanging="709"/>
              <w:jc w:val="right"/>
              <w:rPr>
                <w:color w:val="000000" w:themeColor="text1"/>
                <w:sz w:val="20"/>
                <w:lang w:eastAsia="es-AR"/>
              </w:rPr>
            </w:pPr>
            <w:r>
              <w:rPr>
                <w:rFonts w:ascii="Arial" w:hAnsi="Arial" w:cs="Arial"/>
                <w:sz w:val="14"/>
                <w:szCs w:val="14"/>
              </w:rPr>
              <w:t>5.859.848</w:t>
            </w:r>
          </w:p>
        </w:tc>
        <w:tc>
          <w:tcPr>
            <w:tcW w:w="915" w:type="dxa"/>
            <w:tcBorders>
              <w:top w:val="nil"/>
              <w:left w:val="nil"/>
              <w:bottom w:val="nil"/>
              <w:right w:val="nil"/>
            </w:tcBorders>
            <w:shd w:val="clear" w:color="auto" w:fill="auto"/>
            <w:vAlign w:val="bottom"/>
          </w:tcPr>
          <w:p w14:paraId="3655C9E3" w14:textId="55F01455"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c>
          <w:tcPr>
            <w:tcW w:w="778" w:type="dxa"/>
            <w:tcBorders>
              <w:top w:val="nil"/>
              <w:left w:val="nil"/>
              <w:bottom w:val="nil"/>
              <w:right w:val="nil"/>
            </w:tcBorders>
            <w:shd w:val="clear" w:color="auto" w:fill="auto"/>
            <w:vAlign w:val="bottom"/>
          </w:tcPr>
          <w:p w14:paraId="142ED406" w14:textId="52D337F8" w:rsidR="00CE2DE2" w:rsidRPr="008066E1" w:rsidRDefault="00FE0D33" w:rsidP="00CE2DE2">
            <w:pPr>
              <w:ind w:left="709" w:hanging="709"/>
              <w:jc w:val="right"/>
              <w:rPr>
                <w:color w:val="000000" w:themeColor="text1"/>
                <w:sz w:val="20"/>
                <w:lang w:eastAsia="es-AR"/>
              </w:rPr>
            </w:pPr>
            <w:r>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63889363" w14:textId="42A22D13"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r>
      <w:tr w:rsidR="00CE2DE2" w:rsidRPr="00D926FE" w14:paraId="19A4163A" w14:textId="77777777" w:rsidTr="00C23CC6">
        <w:trPr>
          <w:gridAfter w:val="1"/>
          <w:wAfter w:w="17" w:type="dxa"/>
          <w:trHeight w:val="180"/>
        </w:trPr>
        <w:tc>
          <w:tcPr>
            <w:tcW w:w="3188" w:type="dxa"/>
            <w:tcBorders>
              <w:top w:val="nil"/>
              <w:left w:val="nil"/>
              <w:bottom w:val="nil"/>
              <w:right w:val="nil"/>
            </w:tcBorders>
            <w:shd w:val="clear" w:color="auto" w:fill="auto"/>
            <w:vAlign w:val="bottom"/>
          </w:tcPr>
          <w:p w14:paraId="7850768E" w14:textId="343EC9A5" w:rsidR="00CE2DE2" w:rsidRPr="008066E1" w:rsidRDefault="00CE2DE2" w:rsidP="00CE2DE2">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Vto.08/01/20</w:t>
            </w:r>
          </w:p>
        </w:tc>
        <w:tc>
          <w:tcPr>
            <w:tcW w:w="709" w:type="dxa"/>
            <w:tcBorders>
              <w:top w:val="nil"/>
              <w:left w:val="nil"/>
              <w:bottom w:val="nil"/>
              <w:right w:val="nil"/>
            </w:tcBorders>
            <w:shd w:val="clear" w:color="auto" w:fill="auto"/>
            <w:vAlign w:val="bottom"/>
          </w:tcPr>
          <w:p w14:paraId="41E11CDF" w14:textId="2CE406F0" w:rsidR="00CE2DE2" w:rsidRPr="008066E1" w:rsidRDefault="00CE2DE2" w:rsidP="00CE2DE2">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741D7771" w14:textId="5D980AD2" w:rsidR="00CE2DE2" w:rsidRPr="008066E1" w:rsidRDefault="00CE2DE2" w:rsidP="00CE2DE2">
            <w:pPr>
              <w:jc w:val="right"/>
              <w:rPr>
                <w:color w:val="000000" w:themeColor="text1"/>
                <w:sz w:val="20"/>
                <w:lang w:eastAsia="es-AR"/>
              </w:rPr>
            </w:pPr>
          </w:p>
        </w:tc>
        <w:tc>
          <w:tcPr>
            <w:tcW w:w="794" w:type="dxa"/>
            <w:tcBorders>
              <w:top w:val="nil"/>
              <w:left w:val="nil"/>
              <w:bottom w:val="nil"/>
              <w:right w:val="nil"/>
            </w:tcBorders>
            <w:shd w:val="clear" w:color="auto" w:fill="auto"/>
            <w:vAlign w:val="center"/>
          </w:tcPr>
          <w:p w14:paraId="297C217D" w14:textId="4447829D" w:rsidR="00CE2DE2" w:rsidRPr="008066E1" w:rsidRDefault="00CE2DE2" w:rsidP="00CE2DE2">
            <w:pPr>
              <w:jc w:val="right"/>
              <w:rPr>
                <w:color w:val="000000" w:themeColor="text1"/>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center"/>
          </w:tcPr>
          <w:p w14:paraId="1A1D8092" w14:textId="20CE03EA" w:rsidR="00CE2DE2" w:rsidRPr="008066E1" w:rsidRDefault="00CE2DE2" w:rsidP="00CE2DE2">
            <w:pPr>
              <w:ind w:left="709" w:hanging="709"/>
              <w:jc w:val="right"/>
              <w:rPr>
                <w:color w:val="000000" w:themeColor="text1"/>
                <w:sz w:val="20"/>
                <w:lang w:eastAsia="es-AR"/>
              </w:rPr>
            </w:pPr>
            <w:r>
              <w:rPr>
                <w:color w:val="000000" w:themeColor="text1"/>
                <w:sz w:val="20"/>
                <w:lang w:eastAsia="es-AR"/>
              </w:rPr>
              <w:t>-</w:t>
            </w:r>
          </w:p>
        </w:tc>
        <w:tc>
          <w:tcPr>
            <w:tcW w:w="842" w:type="dxa"/>
            <w:tcBorders>
              <w:top w:val="nil"/>
              <w:left w:val="nil"/>
              <w:bottom w:val="nil"/>
              <w:right w:val="nil"/>
            </w:tcBorders>
            <w:shd w:val="clear" w:color="auto" w:fill="auto"/>
            <w:vAlign w:val="center"/>
          </w:tcPr>
          <w:p w14:paraId="78DA1171" w14:textId="47BD70E8" w:rsidR="00CE2DE2" w:rsidRPr="008066E1" w:rsidRDefault="00CE2DE2" w:rsidP="00CE2DE2">
            <w:pPr>
              <w:ind w:left="709" w:hanging="709"/>
              <w:jc w:val="right"/>
              <w:rPr>
                <w:color w:val="000000" w:themeColor="text1"/>
                <w:sz w:val="20"/>
                <w:lang w:eastAsia="es-AR"/>
              </w:rPr>
            </w:pPr>
            <w:r>
              <w:rPr>
                <w:rFonts w:ascii="Arial" w:hAnsi="Arial" w:cs="Arial"/>
                <w:sz w:val="14"/>
                <w:szCs w:val="14"/>
              </w:rPr>
              <w:t>989.645</w:t>
            </w:r>
          </w:p>
        </w:tc>
        <w:tc>
          <w:tcPr>
            <w:tcW w:w="915" w:type="dxa"/>
            <w:tcBorders>
              <w:top w:val="nil"/>
              <w:left w:val="nil"/>
              <w:bottom w:val="nil"/>
              <w:right w:val="nil"/>
            </w:tcBorders>
            <w:shd w:val="clear" w:color="auto" w:fill="auto"/>
            <w:vAlign w:val="bottom"/>
          </w:tcPr>
          <w:p w14:paraId="60DC02ED" w14:textId="365780AC"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c>
          <w:tcPr>
            <w:tcW w:w="778" w:type="dxa"/>
            <w:tcBorders>
              <w:top w:val="nil"/>
              <w:left w:val="nil"/>
              <w:bottom w:val="nil"/>
              <w:right w:val="nil"/>
            </w:tcBorders>
            <w:shd w:val="clear" w:color="auto" w:fill="auto"/>
            <w:vAlign w:val="bottom"/>
          </w:tcPr>
          <w:p w14:paraId="73692712" w14:textId="68D76D26" w:rsidR="00CE2DE2" w:rsidRPr="008066E1" w:rsidRDefault="00FE0D33" w:rsidP="00CE2DE2">
            <w:pPr>
              <w:ind w:left="709" w:hanging="709"/>
              <w:jc w:val="right"/>
              <w:rPr>
                <w:color w:val="000000" w:themeColor="text1"/>
                <w:sz w:val="20"/>
                <w:lang w:eastAsia="es-AR"/>
              </w:rPr>
            </w:pPr>
            <w:r>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240CC9BD" w14:textId="62A8024C"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r>
      <w:tr w:rsidR="00CE2DE2" w:rsidRPr="00D926FE" w14:paraId="27569B8D" w14:textId="77777777" w:rsidTr="00C23CC6">
        <w:trPr>
          <w:gridAfter w:val="1"/>
          <w:wAfter w:w="17" w:type="dxa"/>
          <w:trHeight w:val="180"/>
        </w:trPr>
        <w:tc>
          <w:tcPr>
            <w:tcW w:w="3188" w:type="dxa"/>
            <w:tcBorders>
              <w:top w:val="nil"/>
              <w:left w:val="nil"/>
              <w:bottom w:val="nil"/>
              <w:right w:val="nil"/>
            </w:tcBorders>
            <w:shd w:val="clear" w:color="auto" w:fill="auto"/>
            <w:vAlign w:val="bottom"/>
          </w:tcPr>
          <w:p w14:paraId="584FD02A" w14:textId="67CA9E53" w:rsidR="00CE2DE2" w:rsidRPr="008066E1" w:rsidRDefault="00CE2DE2" w:rsidP="00CE2DE2">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Vto.03/01/20</w:t>
            </w:r>
          </w:p>
        </w:tc>
        <w:tc>
          <w:tcPr>
            <w:tcW w:w="709" w:type="dxa"/>
            <w:tcBorders>
              <w:top w:val="nil"/>
              <w:left w:val="nil"/>
              <w:bottom w:val="nil"/>
              <w:right w:val="nil"/>
            </w:tcBorders>
            <w:shd w:val="clear" w:color="auto" w:fill="auto"/>
            <w:vAlign w:val="bottom"/>
          </w:tcPr>
          <w:p w14:paraId="08F1C9B5" w14:textId="48B46A57" w:rsidR="00CE2DE2" w:rsidRPr="008066E1" w:rsidRDefault="00CE2DE2" w:rsidP="00CE2DE2">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3ED3CE31" w14:textId="42EAE733" w:rsidR="00CE2DE2" w:rsidRPr="008066E1" w:rsidRDefault="00CE2DE2" w:rsidP="00CE2DE2">
            <w:pPr>
              <w:jc w:val="right"/>
              <w:rPr>
                <w:color w:val="000000" w:themeColor="text1"/>
                <w:sz w:val="20"/>
                <w:lang w:eastAsia="es-AR"/>
              </w:rPr>
            </w:pPr>
          </w:p>
        </w:tc>
        <w:tc>
          <w:tcPr>
            <w:tcW w:w="794" w:type="dxa"/>
            <w:tcBorders>
              <w:top w:val="nil"/>
              <w:left w:val="nil"/>
              <w:bottom w:val="nil"/>
              <w:right w:val="nil"/>
            </w:tcBorders>
            <w:shd w:val="clear" w:color="auto" w:fill="auto"/>
            <w:vAlign w:val="center"/>
          </w:tcPr>
          <w:p w14:paraId="5E99F26F" w14:textId="4B5E9705" w:rsidR="00CE2DE2" w:rsidRPr="008066E1" w:rsidRDefault="00CE2DE2" w:rsidP="00CE2DE2">
            <w:pPr>
              <w:jc w:val="right"/>
              <w:rPr>
                <w:color w:val="000000" w:themeColor="text1"/>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center"/>
          </w:tcPr>
          <w:p w14:paraId="52F674D9" w14:textId="1A78F9C2" w:rsidR="00CE2DE2" w:rsidRPr="008066E1" w:rsidRDefault="00CE2DE2" w:rsidP="00CE2DE2">
            <w:pPr>
              <w:ind w:left="709" w:hanging="709"/>
              <w:jc w:val="right"/>
              <w:rPr>
                <w:color w:val="000000" w:themeColor="text1"/>
                <w:sz w:val="20"/>
                <w:lang w:eastAsia="es-AR"/>
              </w:rPr>
            </w:pPr>
            <w:r>
              <w:rPr>
                <w:color w:val="000000" w:themeColor="text1"/>
                <w:sz w:val="20"/>
                <w:lang w:eastAsia="es-AR"/>
              </w:rPr>
              <w:t>-</w:t>
            </w:r>
          </w:p>
        </w:tc>
        <w:tc>
          <w:tcPr>
            <w:tcW w:w="842" w:type="dxa"/>
            <w:tcBorders>
              <w:top w:val="nil"/>
              <w:left w:val="nil"/>
              <w:bottom w:val="nil"/>
              <w:right w:val="nil"/>
            </w:tcBorders>
            <w:shd w:val="clear" w:color="auto" w:fill="auto"/>
            <w:vAlign w:val="center"/>
          </w:tcPr>
          <w:p w14:paraId="53ED9195" w14:textId="21A88A64" w:rsidR="00CE2DE2" w:rsidRPr="008066E1" w:rsidRDefault="00CE2DE2" w:rsidP="00CE2DE2">
            <w:pPr>
              <w:ind w:left="709" w:hanging="709"/>
              <w:jc w:val="right"/>
              <w:rPr>
                <w:color w:val="000000" w:themeColor="text1"/>
                <w:sz w:val="20"/>
                <w:lang w:eastAsia="es-AR"/>
              </w:rPr>
            </w:pPr>
            <w:r>
              <w:rPr>
                <w:rFonts w:ascii="Arial" w:hAnsi="Arial" w:cs="Arial"/>
                <w:sz w:val="14"/>
                <w:szCs w:val="14"/>
              </w:rPr>
              <w:t>585.639</w:t>
            </w:r>
          </w:p>
        </w:tc>
        <w:tc>
          <w:tcPr>
            <w:tcW w:w="915" w:type="dxa"/>
            <w:tcBorders>
              <w:top w:val="nil"/>
              <w:left w:val="nil"/>
              <w:bottom w:val="nil"/>
              <w:right w:val="nil"/>
            </w:tcBorders>
            <w:shd w:val="clear" w:color="auto" w:fill="auto"/>
            <w:vAlign w:val="bottom"/>
          </w:tcPr>
          <w:p w14:paraId="5BF6D86B" w14:textId="3F518B3D"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c>
          <w:tcPr>
            <w:tcW w:w="778" w:type="dxa"/>
            <w:tcBorders>
              <w:top w:val="nil"/>
              <w:left w:val="nil"/>
              <w:bottom w:val="nil"/>
              <w:right w:val="nil"/>
            </w:tcBorders>
            <w:shd w:val="clear" w:color="auto" w:fill="auto"/>
            <w:vAlign w:val="bottom"/>
          </w:tcPr>
          <w:p w14:paraId="27D9722A" w14:textId="660CA6F7" w:rsidR="00CE2DE2" w:rsidRPr="008066E1" w:rsidRDefault="00FE0D33" w:rsidP="00CE2DE2">
            <w:pPr>
              <w:ind w:left="709" w:hanging="709"/>
              <w:jc w:val="right"/>
              <w:rPr>
                <w:color w:val="000000" w:themeColor="text1"/>
                <w:sz w:val="20"/>
                <w:lang w:eastAsia="es-AR"/>
              </w:rPr>
            </w:pPr>
            <w:r>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5BFD814F" w14:textId="626D19FD"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r>
      <w:tr w:rsidR="00CE2DE2" w:rsidRPr="00D926FE" w14:paraId="6DF4229A" w14:textId="77777777" w:rsidTr="00C23CC6">
        <w:trPr>
          <w:gridAfter w:val="1"/>
          <w:wAfter w:w="17" w:type="dxa"/>
          <w:trHeight w:val="180"/>
        </w:trPr>
        <w:tc>
          <w:tcPr>
            <w:tcW w:w="3188" w:type="dxa"/>
            <w:tcBorders>
              <w:top w:val="nil"/>
              <w:left w:val="nil"/>
              <w:bottom w:val="nil"/>
              <w:right w:val="nil"/>
            </w:tcBorders>
            <w:shd w:val="clear" w:color="auto" w:fill="auto"/>
            <w:vAlign w:val="bottom"/>
          </w:tcPr>
          <w:p w14:paraId="6D34AF70" w14:textId="6328B8C2" w:rsidR="00CE2DE2" w:rsidRPr="008066E1" w:rsidRDefault="00CE2DE2" w:rsidP="00CE2DE2">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Vto.06/01/20</w:t>
            </w:r>
          </w:p>
        </w:tc>
        <w:tc>
          <w:tcPr>
            <w:tcW w:w="709" w:type="dxa"/>
            <w:tcBorders>
              <w:top w:val="nil"/>
              <w:left w:val="nil"/>
              <w:bottom w:val="nil"/>
              <w:right w:val="nil"/>
            </w:tcBorders>
            <w:shd w:val="clear" w:color="auto" w:fill="auto"/>
            <w:vAlign w:val="bottom"/>
          </w:tcPr>
          <w:p w14:paraId="193B5BD1" w14:textId="29FB0E42" w:rsidR="00CE2DE2" w:rsidRPr="008066E1" w:rsidRDefault="00CE2DE2" w:rsidP="00CE2DE2">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153E2BC8" w14:textId="4C606B23" w:rsidR="00CE2DE2" w:rsidRPr="008066E1" w:rsidRDefault="00CE2DE2" w:rsidP="00CE2DE2">
            <w:pPr>
              <w:jc w:val="right"/>
              <w:rPr>
                <w:color w:val="000000" w:themeColor="text1"/>
                <w:sz w:val="20"/>
                <w:lang w:eastAsia="es-AR"/>
              </w:rPr>
            </w:pPr>
          </w:p>
        </w:tc>
        <w:tc>
          <w:tcPr>
            <w:tcW w:w="794" w:type="dxa"/>
            <w:tcBorders>
              <w:top w:val="nil"/>
              <w:left w:val="nil"/>
              <w:bottom w:val="nil"/>
              <w:right w:val="nil"/>
            </w:tcBorders>
            <w:shd w:val="clear" w:color="auto" w:fill="auto"/>
            <w:vAlign w:val="center"/>
          </w:tcPr>
          <w:p w14:paraId="0D225CBE" w14:textId="65F9A900" w:rsidR="00CE2DE2" w:rsidRPr="008066E1" w:rsidRDefault="00CE2DE2" w:rsidP="00CE2DE2">
            <w:pPr>
              <w:jc w:val="right"/>
              <w:rPr>
                <w:color w:val="000000" w:themeColor="text1"/>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center"/>
          </w:tcPr>
          <w:p w14:paraId="7A4CAAA1" w14:textId="2E124179" w:rsidR="00CE2DE2" w:rsidRPr="008066E1" w:rsidRDefault="00CE2DE2" w:rsidP="00CE2DE2">
            <w:pPr>
              <w:ind w:left="709" w:hanging="709"/>
              <w:jc w:val="right"/>
              <w:rPr>
                <w:color w:val="000000" w:themeColor="text1"/>
                <w:sz w:val="20"/>
                <w:lang w:eastAsia="es-AR"/>
              </w:rPr>
            </w:pPr>
            <w:r>
              <w:rPr>
                <w:color w:val="000000" w:themeColor="text1"/>
                <w:sz w:val="20"/>
                <w:lang w:eastAsia="es-AR"/>
              </w:rPr>
              <w:t>-</w:t>
            </w:r>
          </w:p>
        </w:tc>
        <w:tc>
          <w:tcPr>
            <w:tcW w:w="842" w:type="dxa"/>
            <w:tcBorders>
              <w:top w:val="nil"/>
              <w:left w:val="nil"/>
              <w:bottom w:val="nil"/>
              <w:right w:val="nil"/>
            </w:tcBorders>
            <w:shd w:val="clear" w:color="auto" w:fill="auto"/>
            <w:vAlign w:val="center"/>
          </w:tcPr>
          <w:p w14:paraId="6A3AD8DF" w14:textId="530076F2" w:rsidR="00CE2DE2" w:rsidRPr="008066E1" w:rsidRDefault="00CE2DE2" w:rsidP="00CE2DE2">
            <w:pPr>
              <w:ind w:left="709" w:hanging="709"/>
              <w:jc w:val="right"/>
              <w:rPr>
                <w:color w:val="000000" w:themeColor="text1"/>
                <w:sz w:val="20"/>
                <w:lang w:eastAsia="es-AR"/>
              </w:rPr>
            </w:pPr>
            <w:r>
              <w:rPr>
                <w:rFonts w:ascii="Arial" w:hAnsi="Arial" w:cs="Arial"/>
                <w:sz w:val="14"/>
                <w:szCs w:val="14"/>
              </w:rPr>
              <w:t>268.447</w:t>
            </w:r>
          </w:p>
        </w:tc>
        <w:tc>
          <w:tcPr>
            <w:tcW w:w="915" w:type="dxa"/>
            <w:tcBorders>
              <w:top w:val="nil"/>
              <w:left w:val="nil"/>
              <w:bottom w:val="nil"/>
              <w:right w:val="nil"/>
            </w:tcBorders>
            <w:shd w:val="clear" w:color="auto" w:fill="auto"/>
            <w:vAlign w:val="bottom"/>
          </w:tcPr>
          <w:p w14:paraId="6E9EE2E9" w14:textId="336B881D"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c>
          <w:tcPr>
            <w:tcW w:w="778" w:type="dxa"/>
            <w:tcBorders>
              <w:top w:val="nil"/>
              <w:left w:val="nil"/>
              <w:bottom w:val="nil"/>
              <w:right w:val="nil"/>
            </w:tcBorders>
            <w:shd w:val="clear" w:color="auto" w:fill="auto"/>
            <w:vAlign w:val="bottom"/>
          </w:tcPr>
          <w:p w14:paraId="6074072B" w14:textId="38EE13A3" w:rsidR="00CE2DE2" w:rsidRPr="008066E1" w:rsidRDefault="00FE0D33" w:rsidP="00CE2DE2">
            <w:pPr>
              <w:ind w:left="709" w:hanging="709"/>
              <w:jc w:val="right"/>
              <w:rPr>
                <w:color w:val="000000" w:themeColor="text1"/>
                <w:sz w:val="20"/>
                <w:lang w:eastAsia="es-AR"/>
              </w:rPr>
            </w:pPr>
            <w:r>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5E43E6A5" w14:textId="0E8AECD5"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r>
      <w:tr w:rsidR="00CE2DE2" w:rsidRPr="00D926FE" w14:paraId="5882C747" w14:textId="77777777" w:rsidTr="00C23CC6">
        <w:trPr>
          <w:gridAfter w:val="1"/>
          <w:wAfter w:w="17" w:type="dxa"/>
          <w:trHeight w:val="180"/>
        </w:trPr>
        <w:tc>
          <w:tcPr>
            <w:tcW w:w="3188" w:type="dxa"/>
            <w:tcBorders>
              <w:top w:val="nil"/>
              <w:left w:val="nil"/>
              <w:bottom w:val="nil"/>
              <w:right w:val="nil"/>
            </w:tcBorders>
            <w:shd w:val="clear" w:color="auto" w:fill="auto"/>
            <w:vAlign w:val="bottom"/>
          </w:tcPr>
          <w:p w14:paraId="025F6F81" w14:textId="2C44C5D1" w:rsidR="00CE2DE2" w:rsidRPr="008066E1" w:rsidRDefault="00CE2DE2" w:rsidP="00CE2DE2">
            <w:pPr>
              <w:rPr>
                <w:rFonts w:ascii="Arial" w:hAnsi="Arial" w:cs="Arial"/>
                <w:b/>
                <w:bCs/>
                <w:color w:val="000000" w:themeColor="text1"/>
                <w:sz w:val="14"/>
                <w:szCs w:val="14"/>
                <w:lang w:eastAsia="es-AR"/>
              </w:rPr>
            </w:pPr>
            <w:r w:rsidRPr="008066E1">
              <w:rPr>
                <w:rFonts w:ascii="Arial" w:hAnsi="Arial" w:cs="Arial"/>
                <w:color w:val="000000" w:themeColor="text1"/>
                <w:sz w:val="14"/>
                <w:szCs w:val="14"/>
              </w:rPr>
              <w:t>Letra de liquidez del BCRA Vto.02/01/20</w:t>
            </w:r>
          </w:p>
        </w:tc>
        <w:tc>
          <w:tcPr>
            <w:tcW w:w="709" w:type="dxa"/>
            <w:tcBorders>
              <w:top w:val="nil"/>
              <w:left w:val="nil"/>
              <w:bottom w:val="nil"/>
              <w:right w:val="nil"/>
            </w:tcBorders>
            <w:shd w:val="clear" w:color="auto" w:fill="auto"/>
            <w:vAlign w:val="bottom"/>
          </w:tcPr>
          <w:p w14:paraId="22455C17" w14:textId="12EE163D" w:rsidR="00CE2DE2" w:rsidRPr="008066E1" w:rsidRDefault="00CE2DE2" w:rsidP="00CE2DE2">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59EAA8FC" w14:textId="1F5ECD13" w:rsidR="00CE2DE2" w:rsidRPr="008066E1" w:rsidRDefault="00CE2DE2" w:rsidP="00CE2DE2">
            <w:pPr>
              <w:jc w:val="right"/>
              <w:rPr>
                <w:color w:val="000000" w:themeColor="text1"/>
                <w:sz w:val="20"/>
                <w:lang w:eastAsia="es-AR"/>
              </w:rPr>
            </w:pPr>
          </w:p>
        </w:tc>
        <w:tc>
          <w:tcPr>
            <w:tcW w:w="794" w:type="dxa"/>
            <w:tcBorders>
              <w:top w:val="nil"/>
              <w:left w:val="nil"/>
              <w:bottom w:val="nil"/>
              <w:right w:val="nil"/>
            </w:tcBorders>
            <w:shd w:val="clear" w:color="auto" w:fill="auto"/>
            <w:vAlign w:val="center"/>
          </w:tcPr>
          <w:p w14:paraId="1A61B918" w14:textId="54E094BB" w:rsidR="00CE2DE2" w:rsidRPr="008066E1" w:rsidRDefault="00CE2DE2" w:rsidP="00CE2DE2">
            <w:pPr>
              <w:jc w:val="right"/>
              <w:rPr>
                <w:color w:val="000000" w:themeColor="text1"/>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center"/>
          </w:tcPr>
          <w:p w14:paraId="320696A0" w14:textId="0D668911" w:rsidR="00CE2DE2" w:rsidRPr="008066E1" w:rsidRDefault="00CE2DE2" w:rsidP="00CE2DE2">
            <w:pPr>
              <w:ind w:left="709" w:hanging="709"/>
              <w:jc w:val="right"/>
              <w:rPr>
                <w:color w:val="000000" w:themeColor="text1"/>
                <w:sz w:val="20"/>
                <w:lang w:eastAsia="es-AR"/>
              </w:rPr>
            </w:pPr>
            <w:r>
              <w:rPr>
                <w:color w:val="000000" w:themeColor="text1"/>
                <w:sz w:val="20"/>
                <w:lang w:eastAsia="es-AR"/>
              </w:rPr>
              <w:t>-</w:t>
            </w:r>
          </w:p>
        </w:tc>
        <w:tc>
          <w:tcPr>
            <w:tcW w:w="842" w:type="dxa"/>
            <w:tcBorders>
              <w:top w:val="nil"/>
              <w:left w:val="nil"/>
              <w:bottom w:val="nil"/>
              <w:right w:val="nil"/>
            </w:tcBorders>
            <w:shd w:val="clear" w:color="auto" w:fill="auto"/>
            <w:vAlign w:val="center"/>
          </w:tcPr>
          <w:p w14:paraId="41CD47D9" w14:textId="67C13415" w:rsidR="00CE2DE2" w:rsidRPr="008066E1" w:rsidRDefault="00CE2DE2" w:rsidP="00CE2DE2">
            <w:pPr>
              <w:ind w:left="709" w:hanging="709"/>
              <w:jc w:val="right"/>
              <w:rPr>
                <w:color w:val="000000" w:themeColor="text1"/>
                <w:sz w:val="20"/>
                <w:lang w:eastAsia="es-AR"/>
              </w:rPr>
            </w:pPr>
            <w:r>
              <w:rPr>
                <w:rFonts w:ascii="Arial" w:hAnsi="Arial" w:cs="Arial"/>
                <w:sz w:val="14"/>
                <w:szCs w:val="14"/>
              </w:rPr>
              <w:t>26.909</w:t>
            </w:r>
          </w:p>
        </w:tc>
        <w:tc>
          <w:tcPr>
            <w:tcW w:w="915" w:type="dxa"/>
            <w:tcBorders>
              <w:top w:val="nil"/>
              <w:left w:val="nil"/>
              <w:bottom w:val="nil"/>
              <w:right w:val="nil"/>
            </w:tcBorders>
            <w:shd w:val="clear" w:color="auto" w:fill="auto"/>
            <w:vAlign w:val="bottom"/>
          </w:tcPr>
          <w:p w14:paraId="7B4A33DC" w14:textId="2658B02D"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c>
          <w:tcPr>
            <w:tcW w:w="778" w:type="dxa"/>
            <w:tcBorders>
              <w:top w:val="nil"/>
              <w:left w:val="nil"/>
              <w:bottom w:val="nil"/>
              <w:right w:val="nil"/>
            </w:tcBorders>
            <w:shd w:val="clear" w:color="auto" w:fill="auto"/>
            <w:vAlign w:val="bottom"/>
          </w:tcPr>
          <w:p w14:paraId="68B46B91" w14:textId="20CA86C8" w:rsidR="00CE2DE2" w:rsidRPr="008066E1" w:rsidRDefault="00FE0D33" w:rsidP="00CE2DE2">
            <w:pPr>
              <w:ind w:left="709" w:hanging="709"/>
              <w:jc w:val="right"/>
              <w:rPr>
                <w:color w:val="000000" w:themeColor="text1"/>
                <w:sz w:val="20"/>
                <w:lang w:eastAsia="es-AR"/>
              </w:rPr>
            </w:pPr>
            <w:r>
              <w:rPr>
                <w:rFonts w:ascii="Arial" w:hAnsi="Arial" w:cs="Arial"/>
                <w:color w:val="000000" w:themeColor="text1"/>
                <w:sz w:val="14"/>
                <w:szCs w:val="14"/>
              </w:rPr>
              <w:t>-</w:t>
            </w:r>
          </w:p>
        </w:tc>
        <w:tc>
          <w:tcPr>
            <w:tcW w:w="848" w:type="dxa"/>
            <w:tcBorders>
              <w:top w:val="nil"/>
              <w:left w:val="nil"/>
              <w:bottom w:val="nil"/>
              <w:right w:val="nil"/>
            </w:tcBorders>
            <w:shd w:val="clear" w:color="auto" w:fill="auto"/>
            <w:vAlign w:val="bottom"/>
          </w:tcPr>
          <w:p w14:paraId="6C8F8233" w14:textId="02AC6CC4" w:rsidR="00CE2DE2" w:rsidRPr="008066E1" w:rsidRDefault="00CE2DE2" w:rsidP="00CE2DE2">
            <w:pPr>
              <w:ind w:left="709" w:hanging="709"/>
              <w:jc w:val="right"/>
              <w:rPr>
                <w:color w:val="000000" w:themeColor="text1"/>
                <w:sz w:val="20"/>
                <w:lang w:eastAsia="es-AR"/>
              </w:rPr>
            </w:pPr>
            <w:r w:rsidRPr="008066E1">
              <w:rPr>
                <w:color w:val="000000" w:themeColor="text1"/>
                <w:sz w:val="20"/>
                <w:lang w:eastAsia="es-AR"/>
              </w:rPr>
              <w:t>-</w:t>
            </w:r>
          </w:p>
        </w:tc>
      </w:tr>
      <w:tr w:rsidR="008066E1" w:rsidRPr="00D926FE" w14:paraId="66E2A345" w14:textId="77777777" w:rsidTr="008066E1">
        <w:trPr>
          <w:gridAfter w:val="1"/>
          <w:wAfter w:w="17" w:type="dxa"/>
          <w:trHeight w:val="180"/>
        </w:trPr>
        <w:tc>
          <w:tcPr>
            <w:tcW w:w="3188" w:type="dxa"/>
            <w:tcBorders>
              <w:top w:val="nil"/>
              <w:left w:val="nil"/>
              <w:bottom w:val="nil"/>
              <w:right w:val="nil"/>
            </w:tcBorders>
            <w:shd w:val="clear" w:color="auto" w:fill="auto"/>
            <w:vAlign w:val="bottom"/>
          </w:tcPr>
          <w:p w14:paraId="43A92A9C" w14:textId="77777777" w:rsidR="008066E1" w:rsidRPr="008066E1" w:rsidRDefault="008066E1" w:rsidP="008066E1">
            <w:pPr>
              <w:rPr>
                <w:rFonts w:ascii="Arial" w:hAnsi="Arial" w:cs="Arial"/>
                <w:b/>
                <w:bCs/>
                <w:color w:val="000000" w:themeColor="text1"/>
                <w:sz w:val="14"/>
                <w:szCs w:val="14"/>
                <w:lang w:eastAsia="es-AR"/>
              </w:rPr>
            </w:pPr>
          </w:p>
        </w:tc>
        <w:tc>
          <w:tcPr>
            <w:tcW w:w="709" w:type="dxa"/>
            <w:tcBorders>
              <w:top w:val="nil"/>
              <w:left w:val="nil"/>
              <w:bottom w:val="nil"/>
              <w:right w:val="nil"/>
            </w:tcBorders>
            <w:shd w:val="clear" w:color="auto" w:fill="auto"/>
            <w:vAlign w:val="bottom"/>
          </w:tcPr>
          <w:p w14:paraId="4BD48833" w14:textId="77777777" w:rsidR="008066E1" w:rsidRPr="008066E1" w:rsidRDefault="008066E1" w:rsidP="008066E1">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3379EB17" w14:textId="77777777" w:rsidR="008066E1" w:rsidRPr="008066E1" w:rsidRDefault="008066E1"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tcPr>
          <w:p w14:paraId="673C8DAC" w14:textId="77777777" w:rsidR="008066E1" w:rsidRPr="008066E1" w:rsidRDefault="008066E1"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tcPr>
          <w:p w14:paraId="1913E1CB" w14:textId="6251EB17" w:rsidR="008066E1" w:rsidRPr="008066E1" w:rsidRDefault="008066E1"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tcPr>
          <w:p w14:paraId="2AC9E836" w14:textId="77777777" w:rsidR="008066E1" w:rsidRPr="008066E1" w:rsidRDefault="008066E1"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tcPr>
          <w:p w14:paraId="1EDE33B0" w14:textId="77777777" w:rsidR="008066E1" w:rsidRPr="008066E1" w:rsidRDefault="008066E1"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tcPr>
          <w:p w14:paraId="4D71B922" w14:textId="77777777" w:rsidR="008066E1" w:rsidRPr="008066E1" w:rsidRDefault="008066E1"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tcPr>
          <w:p w14:paraId="1ED83129" w14:textId="77777777" w:rsidR="008066E1" w:rsidRPr="008066E1" w:rsidRDefault="008066E1" w:rsidP="008066E1">
            <w:pPr>
              <w:ind w:left="709" w:hanging="709"/>
              <w:jc w:val="right"/>
              <w:rPr>
                <w:color w:val="000000" w:themeColor="text1"/>
                <w:sz w:val="20"/>
                <w:lang w:eastAsia="es-AR"/>
              </w:rPr>
            </w:pPr>
          </w:p>
        </w:tc>
      </w:tr>
      <w:tr w:rsidR="007465F0" w:rsidRPr="00D926FE" w14:paraId="4EB55DE8"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7638F509" w14:textId="77777777" w:rsidR="007465F0" w:rsidRPr="008066E1" w:rsidRDefault="007465F0" w:rsidP="008066E1">
            <w:pPr>
              <w:rPr>
                <w:rFonts w:ascii="Arial" w:hAnsi="Arial" w:cs="Arial"/>
                <w:b/>
                <w:bCs/>
                <w:i/>
                <w:iCs/>
                <w:color w:val="000000" w:themeColor="text1"/>
                <w:sz w:val="14"/>
                <w:szCs w:val="14"/>
                <w:lang w:eastAsia="es-AR"/>
              </w:rPr>
            </w:pPr>
            <w:r w:rsidRPr="008066E1">
              <w:rPr>
                <w:rFonts w:ascii="Arial" w:hAnsi="Arial" w:cs="Arial"/>
                <w:b/>
                <w:bCs/>
                <w:i/>
                <w:iCs/>
                <w:color w:val="000000" w:themeColor="text1"/>
                <w:sz w:val="14"/>
                <w:szCs w:val="14"/>
                <w:lang w:eastAsia="es-AR"/>
              </w:rPr>
              <w:t>Del País</w:t>
            </w:r>
          </w:p>
          <w:p w14:paraId="6E5CF860" w14:textId="45335C4E" w:rsidR="004E343F" w:rsidRPr="008066E1" w:rsidRDefault="004E343F" w:rsidP="008066E1">
            <w:pPr>
              <w:rPr>
                <w:rFonts w:ascii="Arial" w:hAnsi="Arial" w:cs="Arial"/>
                <w:b/>
                <w:bCs/>
                <w:i/>
                <w:iCs/>
                <w:color w:val="000000" w:themeColor="text1"/>
                <w:sz w:val="14"/>
                <w:szCs w:val="14"/>
                <w:lang w:eastAsia="es-AR"/>
              </w:rPr>
            </w:pPr>
            <w:r w:rsidRPr="008066E1">
              <w:rPr>
                <w:rFonts w:ascii="Arial" w:hAnsi="Arial" w:cs="Arial"/>
                <w:color w:val="000000" w:themeColor="text1"/>
                <w:sz w:val="14"/>
                <w:szCs w:val="14"/>
                <w:lang w:eastAsia="es-AR"/>
              </w:rPr>
              <w:t>Títulos privados</w:t>
            </w:r>
          </w:p>
        </w:tc>
        <w:tc>
          <w:tcPr>
            <w:tcW w:w="709" w:type="dxa"/>
            <w:tcBorders>
              <w:top w:val="nil"/>
              <w:left w:val="nil"/>
              <w:bottom w:val="nil"/>
              <w:right w:val="nil"/>
            </w:tcBorders>
            <w:shd w:val="clear" w:color="auto" w:fill="auto"/>
            <w:vAlign w:val="bottom"/>
            <w:hideMark/>
          </w:tcPr>
          <w:p w14:paraId="7FB15E9A" w14:textId="77777777" w:rsidR="007465F0" w:rsidRPr="008066E1" w:rsidRDefault="007465F0" w:rsidP="008066E1">
            <w:pPr>
              <w:jc w:val="center"/>
              <w:rPr>
                <w:rFonts w:ascii="Arial" w:hAnsi="Arial" w:cs="Arial"/>
                <w:b/>
                <w:bCs/>
                <w:i/>
                <w:iCs/>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52873128" w14:textId="77777777" w:rsidR="007465F0" w:rsidRPr="008066E1" w:rsidRDefault="007465F0"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2775A513" w14:textId="77777777" w:rsidR="007465F0" w:rsidRPr="008066E1" w:rsidRDefault="007465F0"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674A7FB3" w14:textId="77777777" w:rsidR="007465F0" w:rsidRPr="008066E1" w:rsidRDefault="007465F0"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3011DFE7" w14:textId="77777777" w:rsidR="007465F0" w:rsidRPr="008066E1" w:rsidRDefault="007465F0"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38C76DA5" w14:textId="77777777" w:rsidR="007465F0" w:rsidRPr="008066E1" w:rsidRDefault="007465F0"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55C62CC8" w14:textId="77777777" w:rsidR="007465F0" w:rsidRPr="008066E1" w:rsidRDefault="007465F0"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2EB0C654" w14:textId="77777777" w:rsidR="007465F0" w:rsidRPr="008066E1" w:rsidRDefault="007465F0" w:rsidP="008066E1">
            <w:pPr>
              <w:ind w:left="709" w:hanging="709"/>
              <w:jc w:val="right"/>
              <w:rPr>
                <w:color w:val="000000" w:themeColor="text1"/>
                <w:sz w:val="20"/>
                <w:lang w:eastAsia="es-AR"/>
              </w:rPr>
            </w:pPr>
          </w:p>
        </w:tc>
      </w:tr>
      <w:tr w:rsidR="007465F0" w:rsidRPr="00D926FE" w14:paraId="78B79953"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1EE05B82" w14:textId="13987F00" w:rsidR="007465F0" w:rsidRPr="008066E1" w:rsidRDefault="004E343F" w:rsidP="008066E1">
            <w:pPr>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Otros</w:t>
            </w:r>
          </w:p>
        </w:tc>
        <w:tc>
          <w:tcPr>
            <w:tcW w:w="709" w:type="dxa"/>
            <w:tcBorders>
              <w:top w:val="nil"/>
              <w:left w:val="nil"/>
              <w:bottom w:val="nil"/>
              <w:right w:val="nil"/>
            </w:tcBorders>
            <w:shd w:val="clear" w:color="auto" w:fill="auto"/>
            <w:vAlign w:val="bottom"/>
            <w:hideMark/>
          </w:tcPr>
          <w:p w14:paraId="202355FB" w14:textId="77777777" w:rsidR="007465F0" w:rsidRPr="008066E1" w:rsidRDefault="007465F0" w:rsidP="008066E1">
            <w:pPr>
              <w:ind w:firstLineChars="300" w:firstLine="420"/>
              <w:jc w:val="center"/>
              <w:rPr>
                <w:rFonts w:ascii="Arial" w:hAnsi="Arial" w:cs="Arial"/>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06A64A2A" w14:textId="7DAB5CEF" w:rsidR="007465F0" w:rsidRPr="008066E1" w:rsidRDefault="007465F0"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3477E7C7" w14:textId="50DA2300" w:rsidR="007465F0" w:rsidRPr="008066E1" w:rsidRDefault="007465F0"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770391CF" w14:textId="77777777" w:rsidR="007465F0" w:rsidRPr="008066E1" w:rsidRDefault="007465F0"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32</w:t>
            </w:r>
          </w:p>
        </w:tc>
        <w:tc>
          <w:tcPr>
            <w:tcW w:w="842" w:type="dxa"/>
            <w:tcBorders>
              <w:top w:val="nil"/>
              <w:left w:val="nil"/>
              <w:bottom w:val="nil"/>
              <w:right w:val="nil"/>
            </w:tcBorders>
            <w:shd w:val="clear" w:color="auto" w:fill="auto"/>
            <w:vAlign w:val="bottom"/>
            <w:hideMark/>
          </w:tcPr>
          <w:p w14:paraId="5EFDAE34" w14:textId="6A03CEB9" w:rsidR="007465F0" w:rsidRPr="008066E1" w:rsidRDefault="007465F0"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3</w:t>
            </w:r>
            <w:r w:rsidR="008066E1" w:rsidRPr="008066E1">
              <w:rPr>
                <w:rFonts w:ascii="Arial" w:hAnsi="Arial" w:cs="Arial"/>
                <w:color w:val="000000" w:themeColor="text1"/>
                <w:sz w:val="14"/>
                <w:szCs w:val="14"/>
                <w:lang w:eastAsia="es-AR"/>
              </w:rPr>
              <w:t>4</w:t>
            </w:r>
          </w:p>
        </w:tc>
        <w:tc>
          <w:tcPr>
            <w:tcW w:w="915" w:type="dxa"/>
            <w:tcBorders>
              <w:top w:val="nil"/>
              <w:left w:val="nil"/>
              <w:bottom w:val="nil"/>
              <w:right w:val="nil"/>
            </w:tcBorders>
            <w:shd w:val="clear" w:color="auto" w:fill="auto"/>
            <w:vAlign w:val="bottom"/>
            <w:hideMark/>
          </w:tcPr>
          <w:p w14:paraId="4510F268" w14:textId="77777777" w:rsidR="007465F0" w:rsidRPr="008066E1" w:rsidRDefault="007465F0"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32</w:t>
            </w:r>
          </w:p>
        </w:tc>
        <w:tc>
          <w:tcPr>
            <w:tcW w:w="778" w:type="dxa"/>
            <w:tcBorders>
              <w:top w:val="nil"/>
              <w:left w:val="nil"/>
              <w:bottom w:val="nil"/>
              <w:right w:val="nil"/>
            </w:tcBorders>
            <w:shd w:val="clear" w:color="auto" w:fill="auto"/>
            <w:vAlign w:val="bottom"/>
            <w:hideMark/>
          </w:tcPr>
          <w:p w14:paraId="363060BD" w14:textId="2817A9D4" w:rsidR="007465F0" w:rsidRPr="008066E1" w:rsidRDefault="007465F0"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w:t>
            </w:r>
          </w:p>
        </w:tc>
        <w:tc>
          <w:tcPr>
            <w:tcW w:w="848" w:type="dxa"/>
            <w:tcBorders>
              <w:top w:val="nil"/>
              <w:left w:val="nil"/>
              <w:bottom w:val="nil"/>
              <w:right w:val="nil"/>
            </w:tcBorders>
            <w:shd w:val="clear" w:color="auto" w:fill="auto"/>
            <w:vAlign w:val="bottom"/>
            <w:hideMark/>
          </w:tcPr>
          <w:p w14:paraId="78FC0E25" w14:textId="77777777" w:rsidR="007465F0" w:rsidRPr="008066E1" w:rsidRDefault="007465F0"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32</w:t>
            </w:r>
          </w:p>
        </w:tc>
      </w:tr>
      <w:tr w:rsidR="007465F0" w:rsidRPr="00D926FE" w14:paraId="347584A1" w14:textId="77777777" w:rsidTr="008066E1">
        <w:trPr>
          <w:gridAfter w:val="1"/>
          <w:wAfter w:w="17" w:type="dxa"/>
          <w:trHeight w:val="405"/>
        </w:trPr>
        <w:tc>
          <w:tcPr>
            <w:tcW w:w="3188" w:type="dxa"/>
            <w:tcBorders>
              <w:top w:val="nil"/>
              <w:left w:val="nil"/>
              <w:bottom w:val="nil"/>
              <w:right w:val="nil"/>
            </w:tcBorders>
            <w:shd w:val="clear" w:color="auto" w:fill="auto"/>
            <w:vAlign w:val="bottom"/>
            <w:hideMark/>
          </w:tcPr>
          <w:p w14:paraId="3681F6F8" w14:textId="77777777" w:rsidR="007465F0" w:rsidRPr="008066E1" w:rsidRDefault="007465F0" w:rsidP="008066E1">
            <w:pPr>
              <w:rPr>
                <w:rFonts w:ascii="Arial" w:hAnsi="Arial" w:cs="Arial"/>
                <w:b/>
                <w:bCs/>
                <w:color w:val="000000" w:themeColor="text1"/>
                <w:sz w:val="14"/>
                <w:szCs w:val="14"/>
                <w:lang w:eastAsia="es-AR"/>
              </w:rPr>
            </w:pPr>
            <w:r w:rsidRPr="008066E1">
              <w:rPr>
                <w:rFonts w:ascii="Arial" w:hAnsi="Arial" w:cs="Arial"/>
                <w:b/>
                <w:bCs/>
                <w:color w:val="000000" w:themeColor="text1"/>
                <w:sz w:val="14"/>
                <w:szCs w:val="14"/>
                <w:lang w:eastAsia="es-AR"/>
              </w:rPr>
              <w:t>Medición a costo amortizado</w:t>
            </w:r>
          </w:p>
        </w:tc>
        <w:tc>
          <w:tcPr>
            <w:tcW w:w="709" w:type="dxa"/>
            <w:tcBorders>
              <w:top w:val="nil"/>
              <w:left w:val="nil"/>
              <w:bottom w:val="nil"/>
              <w:right w:val="nil"/>
            </w:tcBorders>
            <w:shd w:val="clear" w:color="auto" w:fill="auto"/>
            <w:vAlign w:val="bottom"/>
            <w:hideMark/>
          </w:tcPr>
          <w:p w14:paraId="32EC5EA3" w14:textId="77777777" w:rsidR="007465F0" w:rsidRPr="008066E1" w:rsidRDefault="007465F0" w:rsidP="008066E1">
            <w:pPr>
              <w:jc w:val="center"/>
              <w:rPr>
                <w:rFonts w:ascii="Arial" w:hAnsi="Arial" w:cs="Arial"/>
                <w:b/>
                <w:bCs/>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30F76530" w14:textId="77777777" w:rsidR="007465F0" w:rsidRPr="008066E1" w:rsidRDefault="007465F0"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1DF1B157" w14:textId="77777777" w:rsidR="007465F0" w:rsidRPr="008066E1" w:rsidRDefault="007465F0"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5C2D1458" w14:textId="77777777" w:rsidR="007465F0" w:rsidRPr="008066E1" w:rsidRDefault="007465F0"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48726795" w14:textId="77777777" w:rsidR="007465F0" w:rsidRPr="008066E1" w:rsidRDefault="007465F0"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67FCA361" w14:textId="77777777" w:rsidR="007465F0" w:rsidRPr="008066E1" w:rsidRDefault="007465F0"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6214C1CA" w14:textId="77777777" w:rsidR="007465F0" w:rsidRPr="008066E1" w:rsidRDefault="007465F0"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515B3E65" w14:textId="77777777" w:rsidR="007465F0" w:rsidRPr="008066E1" w:rsidRDefault="007465F0" w:rsidP="008066E1">
            <w:pPr>
              <w:ind w:left="709" w:hanging="709"/>
              <w:jc w:val="right"/>
              <w:rPr>
                <w:color w:val="000000" w:themeColor="text1"/>
                <w:sz w:val="20"/>
                <w:lang w:eastAsia="es-AR"/>
              </w:rPr>
            </w:pPr>
          </w:p>
        </w:tc>
      </w:tr>
      <w:tr w:rsidR="007465F0" w:rsidRPr="00D926FE" w14:paraId="24C75597"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1B6DE976" w14:textId="77777777" w:rsidR="007465F0" w:rsidRPr="008066E1" w:rsidRDefault="007465F0" w:rsidP="008066E1">
            <w:pPr>
              <w:rPr>
                <w:rFonts w:ascii="Arial" w:hAnsi="Arial" w:cs="Arial"/>
                <w:b/>
                <w:bCs/>
                <w:i/>
                <w:iCs/>
                <w:color w:val="000000" w:themeColor="text1"/>
                <w:sz w:val="14"/>
                <w:szCs w:val="14"/>
                <w:lang w:eastAsia="es-AR"/>
              </w:rPr>
            </w:pPr>
            <w:r w:rsidRPr="008066E1">
              <w:rPr>
                <w:rFonts w:ascii="Arial" w:hAnsi="Arial" w:cs="Arial"/>
                <w:b/>
                <w:bCs/>
                <w:i/>
                <w:iCs/>
                <w:color w:val="000000" w:themeColor="text1"/>
                <w:sz w:val="14"/>
                <w:szCs w:val="14"/>
                <w:lang w:eastAsia="es-AR"/>
              </w:rPr>
              <w:t>Del País</w:t>
            </w:r>
          </w:p>
        </w:tc>
        <w:tc>
          <w:tcPr>
            <w:tcW w:w="709" w:type="dxa"/>
            <w:tcBorders>
              <w:top w:val="nil"/>
              <w:left w:val="nil"/>
              <w:bottom w:val="nil"/>
              <w:right w:val="nil"/>
            </w:tcBorders>
            <w:shd w:val="clear" w:color="auto" w:fill="auto"/>
            <w:vAlign w:val="bottom"/>
            <w:hideMark/>
          </w:tcPr>
          <w:p w14:paraId="62A20698" w14:textId="77777777" w:rsidR="007465F0" w:rsidRPr="008066E1" w:rsidRDefault="007465F0" w:rsidP="008066E1">
            <w:pPr>
              <w:jc w:val="center"/>
              <w:rPr>
                <w:rFonts w:ascii="Arial" w:hAnsi="Arial" w:cs="Arial"/>
                <w:b/>
                <w:bCs/>
                <w:i/>
                <w:iCs/>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7CE3CDEE" w14:textId="77777777" w:rsidR="007465F0" w:rsidRPr="008066E1" w:rsidRDefault="007465F0"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4A602610" w14:textId="77777777" w:rsidR="007465F0" w:rsidRPr="008066E1" w:rsidRDefault="007465F0"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65A0FE5D" w14:textId="77777777" w:rsidR="007465F0" w:rsidRPr="008066E1" w:rsidRDefault="007465F0"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6C4B2BB8" w14:textId="77777777" w:rsidR="007465F0" w:rsidRPr="008066E1" w:rsidRDefault="007465F0"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1AD92E4D" w14:textId="77777777" w:rsidR="007465F0" w:rsidRPr="008066E1" w:rsidRDefault="007465F0"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18D20E93" w14:textId="77777777" w:rsidR="007465F0" w:rsidRPr="008066E1" w:rsidRDefault="007465F0"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4D85E5A2" w14:textId="77777777" w:rsidR="007465F0" w:rsidRPr="008066E1" w:rsidRDefault="007465F0" w:rsidP="008066E1">
            <w:pPr>
              <w:ind w:left="709" w:hanging="709"/>
              <w:jc w:val="right"/>
              <w:rPr>
                <w:color w:val="000000" w:themeColor="text1"/>
                <w:sz w:val="20"/>
                <w:lang w:eastAsia="es-AR"/>
              </w:rPr>
            </w:pPr>
          </w:p>
        </w:tc>
      </w:tr>
      <w:tr w:rsidR="007465F0" w:rsidRPr="00D926FE" w14:paraId="26C133F5"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0E2B3E40" w14:textId="77777777" w:rsidR="007465F0" w:rsidRPr="008066E1" w:rsidRDefault="007465F0" w:rsidP="008066E1">
            <w:pPr>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Títulos públicos</w:t>
            </w:r>
          </w:p>
        </w:tc>
        <w:tc>
          <w:tcPr>
            <w:tcW w:w="709" w:type="dxa"/>
            <w:tcBorders>
              <w:top w:val="nil"/>
              <w:left w:val="nil"/>
              <w:bottom w:val="nil"/>
              <w:right w:val="nil"/>
            </w:tcBorders>
            <w:shd w:val="clear" w:color="auto" w:fill="auto"/>
            <w:vAlign w:val="bottom"/>
            <w:hideMark/>
          </w:tcPr>
          <w:p w14:paraId="2BFFE02A" w14:textId="77777777" w:rsidR="007465F0" w:rsidRPr="008066E1" w:rsidRDefault="007465F0" w:rsidP="008066E1">
            <w:pPr>
              <w:ind w:firstLineChars="100" w:firstLine="140"/>
              <w:jc w:val="center"/>
              <w:rPr>
                <w:rFonts w:ascii="Arial" w:hAnsi="Arial" w:cs="Arial"/>
                <w:color w:val="000000" w:themeColor="text1"/>
                <w:sz w:val="14"/>
                <w:szCs w:val="14"/>
                <w:lang w:eastAsia="es-AR"/>
              </w:rPr>
            </w:pPr>
          </w:p>
        </w:tc>
        <w:tc>
          <w:tcPr>
            <w:tcW w:w="850" w:type="dxa"/>
            <w:tcBorders>
              <w:top w:val="nil"/>
              <w:left w:val="nil"/>
              <w:bottom w:val="nil"/>
              <w:right w:val="nil"/>
            </w:tcBorders>
            <w:shd w:val="clear" w:color="auto" w:fill="auto"/>
            <w:vAlign w:val="bottom"/>
            <w:hideMark/>
          </w:tcPr>
          <w:p w14:paraId="1247669B" w14:textId="77777777" w:rsidR="007465F0" w:rsidRPr="008066E1" w:rsidRDefault="007465F0"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hideMark/>
          </w:tcPr>
          <w:p w14:paraId="5837F663" w14:textId="77777777" w:rsidR="007465F0" w:rsidRPr="008066E1" w:rsidRDefault="007465F0"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75F42900" w14:textId="77777777" w:rsidR="007465F0" w:rsidRPr="008066E1" w:rsidRDefault="007465F0"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hideMark/>
          </w:tcPr>
          <w:p w14:paraId="32D5DA90" w14:textId="77777777" w:rsidR="007465F0" w:rsidRPr="008066E1" w:rsidRDefault="007465F0"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hideMark/>
          </w:tcPr>
          <w:p w14:paraId="512EA000" w14:textId="77777777" w:rsidR="007465F0" w:rsidRPr="008066E1" w:rsidRDefault="007465F0"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hideMark/>
          </w:tcPr>
          <w:p w14:paraId="04BD0A1A" w14:textId="77777777" w:rsidR="007465F0" w:rsidRPr="008066E1" w:rsidRDefault="007465F0"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hideMark/>
          </w:tcPr>
          <w:p w14:paraId="633942B6" w14:textId="77777777" w:rsidR="007465F0" w:rsidRPr="008066E1" w:rsidRDefault="007465F0" w:rsidP="008066E1">
            <w:pPr>
              <w:ind w:left="709" w:hanging="709"/>
              <w:jc w:val="right"/>
              <w:rPr>
                <w:color w:val="000000" w:themeColor="text1"/>
                <w:sz w:val="20"/>
                <w:lang w:eastAsia="es-AR"/>
              </w:rPr>
            </w:pPr>
          </w:p>
        </w:tc>
      </w:tr>
      <w:tr w:rsidR="008066E1" w:rsidRPr="00D926FE" w14:paraId="5C13C78A" w14:textId="77777777" w:rsidTr="008066E1">
        <w:trPr>
          <w:gridAfter w:val="1"/>
          <w:wAfter w:w="17" w:type="dxa"/>
          <w:trHeight w:val="240"/>
        </w:trPr>
        <w:tc>
          <w:tcPr>
            <w:tcW w:w="3188" w:type="dxa"/>
            <w:tcBorders>
              <w:top w:val="nil"/>
              <w:left w:val="nil"/>
              <w:bottom w:val="nil"/>
              <w:right w:val="nil"/>
            </w:tcBorders>
            <w:shd w:val="clear" w:color="auto" w:fill="auto"/>
            <w:vAlign w:val="bottom"/>
          </w:tcPr>
          <w:p w14:paraId="5E12133C" w14:textId="1165F1E4" w:rsidR="008066E1" w:rsidRPr="008066E1" w:rsidRDefault="008066E1" w:rsidP="008066E1">
            <w:pPr>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Bono Tesoro Nacional Tf Vto 21/11/2020     </w:t>
            </w:r>
          </w:p>
        </w:tc>
        <w:tc>
          <w:tcPr>
            <w:tcW w:w="709" w:type="dxa"/>
            <w:tcBorders>
              <w:top w:val="nil"/>
              <w:left w:val="nil"/>
              <w:bottom w:val="nil"/>
              <w:right w:val="nil"/>
            </w:tcBorders>
            <w:shd w:val="clear" w:color="auto" w:fill="auto"/>
            <w:vAlign w:val="bottom"/>
          </w:tcPr>
          <w:p w14:paraId="7678C23B" w14:textId="32D79EBB" w:rsidR="008066E1" w:rsidRPr="008066E1" w:rsidRDefault="008066E1"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05330</w:t>
            </w:r>
          </w:p>
        </w:tc>
        <w:tc>
          <w:tcPr>
            <w:tcW w:w="850" w:type="dxa"/>
            <w:tcBorders>
              <w:top w:val="nil"/>
              <w:left w:val="nil"/>
              <w:bottom w:val="nil"/>
              <w:right w:val="nil"/>
            </w:tcBorders>
            <w:shd w:val="clear" w:color="auto" w:fill="auto"/>
            <w:vAlign w:val="bottom"/>
          </w:tcPr>
          <w:p w14:paraId="11C03EAF" w14:textId="0625B915" w:rsidR="008066E1" w:rsidRPr="008066E1" w:rsidRDefault="008066E1" w:rsidP="008066E1">
            <w:pPr>
              <w:jc w:val="right"/>
              <w:rPr>
                <w:color w:val="000000" w:themeColor="text1"/>
                <w:sz w:val="20"/>
                <w:lang w:eastAsia="es-AR"/>
              </w:rPr>
            </w:pPr>
            <w:r w:rsidRPr="008066E1">
              <w:rPr>
                <w:rFonts w:ascii="Arial" w:hAnsi="Arial" w:cs="Arial"/>
                <w:color w:val="000000" w:themeColor="text1"/>
                <w:sz w:val="14"/>
                <w:szCs w:val="14"/>
              </w:rPr>
              <w:t>4.668.553</w:t>
            </w:r>
          </w:p>
        </w:tc>
        <w:tc>
          <w:tcPr>
            <w:tcW w:w="794" w:type="dxa"/>
            <w:tcBorders>
              <w:top w:val="nil"/>
              <w:left w:val="nil"/>
              <w:bottom w:val="nil"/>
              <w:right w:val="nil"/>
            </w:tcBorders>
            <w:shd w:val="clear" w:color="auto" w:fill="auto"/>
            <w:vAlign w:val="bottom"/>
          </w:tcPr>
          <w:p w14:paraId="17316CC2" w14:textId="77777777" w:rsidR="008066E1" w:rsidRPr="008066E1" w:rsidRDefault="008066E1"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tcPr>
          <w:p w14:paraId="5E261642" w14:textId="7C72E80A"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4.668.553</w:t>
            </w:r>
          </w:p>
        </w:tc>
        <w:tc>
          <w:tcPr>
            <w:tcW w:w="842" w:type="dxa"/>
            <w:tcBorders>
              <w:top w:val="nil"/>
              <w:left w:val="nil"/>
              <w:bottom w:val="nil"/>
              <w:right w:val="nil"/>
            </w:tcBorders>
            <w:shd w:val="clear" w:color="auto" w:fill="auto"/>
            <w:vAlign w:val="bottom"/>
          </w:tcPr>
          <w:p w14:paraId="7630BC43" w14:textId="3A32A9D5"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3.331.201</w:t>
            </w:r>
          </w:p>
        </w:tc>
        <w:tc>
          <w:tcPr>
            <w:tcW w:w="915" w:type="dxa"/>
            <w:tcBorders>
              <w:top w:val="nil"/>
              <w:left w:val="nil"/>
              <w:bottom w:val="nil"/>
              <w:right w:val="nil"/>
            </w:tcBorders>
            <w:shd w:val="clear" w:color="auto" w:fill="auto"/>
            <w:vAlign w:val="bottom"/>
          </w:tcPr>
          <w:p w14:paraId="46B351D2" w14:textId="50E003F8"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4.668.553</w:t>
            </w:r>
          </w:p>
        </w:tc>
        <w:tc>
          <w:tcPr>
            <w:tcW w:w="778" w:type="dxa"/>
            <w:tcBorders>
              <w:top w:val="nil"/>
              <w:left w:val="nil"/>
              <w:bottom w:val="nil"/>
              <w:right w:val="nil"/>
            </w:tcBorders>
            <w:shd w:val="clear" w:color="auto" w:fill="auto"/>
            <w:vAlign w:val="bottom"/>
          </w:tcPr>
          <w:p w14:paraId="6856CC50" w14:textId="09D85E20"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tcPr>
          <w:p w14:paraId="64E90FE6" w14:textId="25E0AD59"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4.668.553</w:t>
            </w:r>
          </w:p>
        </w:tc>
      </w:tr>
      <w:tr w:rsidR="00B03371" w:rsidRPr="00D926FE" w14:paraId="3006B2CB" w14:textId="77777777" w:rsidTr="008066E1">
        <w:trPr>
          <w:gridAfter w:val="1"/>
          <w:wAfter w:w="17" w:type="dxa"/>
          <w:trHeight w:val="240"/>
        </w:trPr>
        <w:tc>
          <w:tcPr>
            <w:tcW w:w="3188" w:type="dxa"/>
            <w:tcBorders>
              <w:top w:val="nil"/>
              <w:left w:val="nil"/>
              <w:bottom w:val="nil"/>
              <w:right w:val="nil"/>
            </w:tcBorders>
            <w:shd w:val="clear" w:color="auto" w:fill="auto"/>
            <w:vAlign w:val="bottom"/>
          </w:tcPr>
          <w:p w14:paraId="723FBA84" w14:textId="77777777" w:rsidR="00B03371" w:rsidRPr="008066E1" w:rsidRDefault="00B03371" w:rsidP="008066E1">
            <w:pPr>
              <w:rPr>
                <w:rFonts w:ascii="Arial" w:hAnsi="Arial" w:cs="Arial"/>
                <w:color w:val="000000" w:themeColor="text1"/>
                <w:sz w:val="14"/>
                <w:szCs w:val="14"/>
                <w:lang w:eastAsia="es-AR"/>
              </w:rPr>
            </w:pPr>
          </w:p>
        </w:tc>
        <w:tc>
          <w:tcPr>
            <w:tcW w:w="709" w:type="dxa"/>
            <w:tcBorders>
              <w:top w:val="nil"/>
              <w:left w:val="nil"/>
              <w:bottom w:val="nil"/>
              <w:right w:val="nil"/>
            </w:tcBorders>
            <w:shd w:val="clear" w:color="auto" w:fill="auto"/>
            <w:vAlign w:val="bottom"/>
          </w:tcPr>
          <w:p w14:paraId="11E33FB5" w14:textId="77777777" w:rsidR="00B03371" w:rsidRPr="008066E1" w:rsidRDefault="00B03371" w:rsidP="008066E1">
            <w:pPr>
              <w:ind w:firstLineChars="100" w:firstLine="140"/>
              <w:jc w:val="center"/>
              <w:rPr>
                <w:rFonts w:ascii="Arial" w:hAnsi="Arial" w:cs="Arial"/>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560FD001" w14:textId="77777777" w:rsidR="00B03371" w:rsidRPr="008066E1" w:rsidRDefault="00B03371"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tcPr>
          <w:p w14:paraId="37AB9A9E" w14:textId="77777777" w:rsidR="00B03371" w:rsidRPr="008066E1" w:rsidRDefault="00B03371"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tcPr>
          <w:p w14:paraId="4D577A96" w14:textId="77777777" w:rsidR="00B03371" w:rsidRPr="008066E1" w:rsidRDefault="00B03371"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tcPr>
          <w:p w14:paraId="3006A881" w14:textId="77777777" w:rsidR="00B03371" w:rsidRPr="008066E1" w:rsidRDefault="00B03371"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tcPr>
          <w:p w14:paraId="0A7B38CE" w14:textId="77777777" w:rsidR="00B03371" w:rsidRPr="008066E1" w:rsidRDefault="00B03371"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tcPr>
          <w:p w14:paraId="343EE571" w14:textId="77777777" w:rsidR="00B03371" w:rsidRPr="008066E1" w:rsidRDefault="00B03371"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tcPr>
          <w:p w14:paraId="6BF4F923" w14:textId="77777777" w:rsidR="00B03371" w:rsidRPr="008066E1" w:rsidRDefault="00B03371" w:rsidP="008066E1">
            <w:pPr>
              <w:ind w:left="709" w:hanging="709"/>
              <w:jc w:val="right"/>
              <w:rPr>
                <w:color w:val="000000" w:themeColor="text1"/>
                <w:sz w:val="20"/>
                <w:lang w:eastAsia="es-AR"/>
              </w:rPr>
            </w:pPr>
          </w:p>
        </w:tc>
      </w:tr>
      <w:tr w:rsidR="00B03371" w:rsidRPr="00D926FE" w14:paraId="7CE4736E" w14:textId="77777777" w:rsidTr="008066E1">
        <w:trPr>
          <w:gridAfter w:val="1"/>
          <w:wAfter w:w="17" w:type="dxa"/>
          <w:trHeight w:val="240"/>
        </w:trPr>
        <w:tc>
          <w:tcPr>
            <w:tcW w:w="3188" w:type="dxa"/>
            <w:tcBorders>
              <w:top w:val="nil"/>
              <w:left w:val="nil"/>
              <w:bottom w:val="nil"/>
              <w:right w:val="nil"/>
            </w:tcBorders>
            <w:shd w:val="clear" w:color="auto" w:fill="auto"/>
            <w:vAlign w:val="bottom"/>
          </w:tcPr>
          <w:p w14:paraId="112C2F9B" w14:textId="4E17D7F0" w:rsidR="00B03371" w:rsidRPr="008066E1" w:rsidRDefault="00B03371" w:rsidP="008066E1">
            <w:pPr>
              <w:rPr>
                <w:rFonts w:ascii="Arial" w:hAnsi="Arial" w:cs="Arial"/>
                <w:color w:val="000000" w:themeColor="text1"/>
                <w:sz w:val="14"/>
                <w:szCs w:val="14"/>
                <w:lang w:eastAsia="es-AR"/>
              </w:rPr>
            </w:pPr>
            <w:r w:rsidRPr="008066E1">
              <w:rPr>
                <w:rFonts w:ascii="Arial" w:hAnsi="Arial" w:cs="Arial"/>
                <w:color w:val="000000" w:themeColor="text1"/>
                <w:sz w:val="14"/>
                <w:szCs w:val="14"/>
                <w:lang w:eastAsia="es-AR"/>
              </w:rPr>
              <w:t>Títulos privados</w:t>
            </w:r>
          </w:p>
        </w:tc>
        <w:tc>
          <w:tcPr>
            <w:tcW w:w="709" w:type="dxa"/>
            <w:tcBorders>
              <w:top w:val="nil"/>
              <w:left w:val="nil"/>
              <w:bottom w:val="nil"/>
              <w:right w:val="nil"/>
            </w:tcBorders>
            <w:shd w:val="clear" w:color="auto" w:fill="auto"/>
            <w:vAlign w:val="bottom"/>
          </w:tcPr>
          <w:p w14:paraId="672B0AE6" w14:textId="77777777" w:rsidR="00B03371" w:rsidRPr="008066E1" w:rsidRDefault="00B03371" w:rsidP="008066E1">
            <w:pPr>
              <w:ind w:firstLineChars="100" w:firstLine="140"/>
              <w:jc w:val="center"/>
              <w:rPr>
                <w:rFonts w:ascii="Arial" w:hAnsi="Arial" w:cs="Arial"/>
                <w:color w:val="000000" w:themeColor="text1"/>
                <w:sz w:val="14"/>
                <w:szCs w:val="14"/>
                <w:lang w:eastAsia="es-AR"/>
              </w:rPr>
            </w:pPr>
          </w:p>
        </w:tc>
        <w:tc>
          <w:tcPr>
            <w:tcW w:w="850" w:type="dxa"/>
            <w:tcBorders>
              <w:top w:val="nil"/>
              <w:left w:val="nil"/>
              <w:bottom w:val="nil"/>
              <w:right w:val="nil"/>
            </w:tcBorders>
            <w:shd w:val="clear" w:color="auto" w:fill="auto"/>
            <w:vAlign w:val="bottom"/>
          </w:tcPr>
          <w:p w14:paraId="794DFF3B" w14:textId="77777777" w:rsidR="00B03371" w:rsidRPr="008066E1" w:rsidRDefault="00B03371" w:rsidP="008066E1">
            <w:pPr>
              <w:jc w:val="right"/>
              <w:rPr>
                <w:color w:val="000000" w:themeColor="text1"/>
                <w:sz w:val="20"/>
                <w:lang w:eastAsia="es-AR"/>
              </w:rPr>
            </w:pPr>
          </w:p>
        </w:tc>
        <w:tc>
          <w:tcPr>
            <w:tcW w:w="794" w:type="dxa"/>
            <w:tcBorders>
              <w:top w:val="nil"/>
              <w:left w:val="nil"/>
              <w:bottom w:val="nil"/>
              <w:right w:val="nil"/>
            </w:tcBorders>
            <w:shd w:val="clear" w:color="auto" w:fill="auto"/>
            <w:vAlign w:val="bottom"/>
          </w:tcPr>
          <w:p w14:paraId="404566EE" w14:textId="77777777" w:rsidR="00B03371" w:rsidRPr="008066E1" w:rsidRDefault="00B03371"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tcPr>
          <w:p w14:paraId="418A92E6" w14:textId="77777777" w:rsidR="00B03371" w:rsidRPr="008066E1" w:rsidRDefault="00B03371" w:rsidP="008066E1">
            <w:pPr>
              <w:ind w:left="709" w:hanging="709"/>
              <w:jc w:val="right"/>
              <w:rPr>
                <w:color w:val="000000" w:themeColor="text1"/>
                <w:sz w:val="20"/>
                <w:lang w:eastAsia="es-AR"/>
              </w:rPr>
            </w:pPr>
          </w:p>
        </w:tc>
        <w:tc>
          <w:tcPr>
            <w:tcW w:w="842" w:type="dxa"/>
            <w:tcBorders>
              <w:top w:val="nil"/>
              <w:left w:val="nil"/>
              <w:bottom w:val="nil"/>
              <w:right w:val="nil"/>
            </w:tcBorders>
            <w:shd w:val="clear" w:color="auto" w:fill="auto"/>
            <w:vAlign w:val="bottom"/>
          </w:tcPr>
          <w:p w14:paraId="7C32649B" w14:textId="77777777" w:rsidR="00B03371" w:rsidRPr="008066E1" w:rsidRDefault="00B03371" w:rsidP="008066E1">
            <w:pPr>
              <w:ind w:left="709" w:hanging="709"/>
              <w:jc w:val="right"/>
              <w:rPr>
                <w:color w:val="000000" w:themeColor="text1"/>
                <w:sz w:val="20"/>
                <w:lang w:eastAsia="es-AR"/>
              </w:rPr>
            </w:pPr>
          </w:p>
        </w:tc>
        <w:tc>
          <w:tcPr>
            <w:tcW w:w="915" w:type="dxa"/>
            <w:tcBorders>
              <w:top w:val="nil"/>
              <w:left w:val="nil"/>
              <w:bottom w:val="nil"/>
              <w:right w:val="nil"/>
            </w:tcBorders>
            <w:shd w:val="clear" w:color="auto" w:fill="auto"/>
            <w:vAlign w:val="bottom"/>
          </w:tcPr>
          <w:p w14:paraId="344A9375" w14:textId="77777777" w:rsidR="00B03371" w:rsidRPr="008066E1" w:rsidRDefault="00B03371" w:rsidP="008066E1">
            <w:pPr>
              <w:ind w:left="709" w:hanging="709"/>
              <w:jc w:val="right"/>
              <w:rPr>
                <w:color w:val="000000" w:themeColor="text1"/>
                <w:sz w:val="20"/>
                <w:lang w:eastAsia="es-AR"/>
              </w:rPr>
            </w:pPr>
          </w:p>
        </w:tc>
        <w:tc>
          <w:tcPr>
            <w:tcW w:w="778" w:type="dxa"/>
            <w:tcBorders>
              <w:top w:val="nil"/>
              <w:left w:val="nil"/>
              <w:bottom w:val="nil"/>
              <w:right w:val="nil"/>
            </w:tcBorders>
            <w:shd w:val="clear" w:color="auto" w:fill="auto"/>
            <w:vAlign w:val="bottom"/>
          </w:tcPr>
          <w:p w14:paraId="2C07C0CD" w14:textId="77777777" w:rsidR="00B03371" w:rsidRPr="008066E1" w:rsidRDefault="00B03371" w:rsidP="008066E1">
            <w:pPr>
              <w:ind w:left="709" w:hanging="709"/>
              <w:jc w:val="right"/>
              <w:rPr>
                <w:color w:val="000000" w:themeColor="text1"/>
                <w:sz w:val="20"/>
                <w:lang w:eastAsia="es-AR"/>
              </w:rPr>
            </w:pPr>
          </w:p>
        </w:tc>
        <w:tc>
          <w:tcPr>
            <w:tcW w:w="848" w:type="dxa"/>
            <w:tcBorders>
              <w:top w:val="nil"/>
              <w:left w:val="nil"/>
              <w:bottom w:val="nil"/>
              <w:right w:val="nil"/>
            </w:tcBorders>
            <w:shd w:val="clear" w:color="auto" w:fill="auto"/>
            <w:vAlign w:val="bottom"/>
          </w:tcPr>
          <w:p w14:paraId="407C5562" w14:textId="77777777" w:rsidR="00B03371" w:rsidRPr="008066E1" w:rsidRDefault="00B03371" w:rsidP="008066E1">
            <w:pPr>
              <w:ind w:left="709" w:hanging="709"/>
              <w:jc w:val="right"/>
              <w:rPr>
                <w:color w:val="000000" w:themeColor="text1"/>
                <w:sz w:val="20"/>
                <w:lang w:eastAsia="es-AR"/>
              </w:rPr>
            </w:pPr>
          </w:p>
        </w:tc>
      </w:tr>
      <w:tr w:rsidR="008066E1" w:rsidRPr="00D926FE" w14:paraId="37A0E4C3"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5CF310CC" w14:textId="1927B694" w:rsidR="008066E1" w:rsidRPr="008066E1" w:rsidRDefault="008066E1" w:rsidP="008066E1">
            <w:pPr>
              <w:rPr>
                <w:rFonts w:ascii="Arial" w:hAnsi="Arial" w:cs="Arial"/>
                <w:color w:val="000000" w:themeColor="text1"/>
                <w:sz w:val="14"/>
                <w:szCs w:val="14"/>
                <w:lang w:eastAsia="es-AR"/>
              </w:rPr>
            </w:pPr>
            <w:r w:rsidRPr="008066E1">
              <w:rPr>
                <w:rFonts w:ascii="Arial" w:hAnsi="Arial" w:cs="Arial"/>
                <w:color w:val="000000" w:themeColor="text1"/>
                <w:sz w:val="14"/>
                <w:szCs w:val="14"/>
              </w:rPr>
              <w:t>Vdff CCF Créditos 21 $ C.G.</w:t>
            </w:r>
          </w:p>
        </w:tc>
        <w:tc>
          <w:tcPr>
            <w:tcW w:w="709" w:type="dxa"/>
            <w:tcBorders>
              <w:top w:val="nil"/>
              <w:left w:val="nil"/>
              <w:bottom w:val="nil"/>
              <w:right w:val="nil"/>
            </w:tcBorders>
            <w:shd w:val="clear" w:color="auto" w:fill="auto"/>
            <w:vAlign w:val="bottom"/>
            <w:hideMark/>
          </w:tcPr>
          <w:p w14:paraId="73D8574B" w14:textId="623F9E98" w:rsidR="008066E1" w:rsidRPr="008066E1" w:rsidRDefault="008066E1"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54279</w:t>
            </w:r>
          </w:p>
        </w:tc>
        <w:tc>
          <w:tcPr>
            <w:tcW w:w="850" w:type="dxa"/>
            <w:tcBorders>
              <w:top w:val="nil"/>
              <w:left w:val="nil"/>
              <w:bottom w:val="nil"/>
              <w:right w:val="nil"/>
            </w:tcBorders>
            <w:shd w:val="clear" w:color="auto" w:fill="auto"/>
            <w:vAlign w:val="bottom"/>
            <w:hideMark/>
          </w:tcPr>
          <w:p w14:paraId="4D99DBBF" w14:textId="41AD1786" w:rsidR="008066E1" w:rsidRPr="008066E1" w:rsidRDefault="008066E1"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146.435</w:t>
            </w:r>
          </w:p>
        </w:tc>
        <w:tc>
          <w:tcPr>
            <w:tcW w:w="794" w:type="dxa"/>
            <w:tcBorders>
              <w:top w:val="nil"/>
              <w:left w:val="nil"/>
              <w:bottom w:val="nil"/>
              <w:right w:val="nil"/>
            </w:tcBorders>
            <w:shd w:val="clear" w:color="auto" w:fill="auto"/>
            <w:vAlign w:val="bottom"/>
            <w:hideMark/>
          </w:tcPr>
          <w:p w14:paraId="228FFFD6" w14:textId="77777777" w:rsidR="008066E1" w:rsidRPr="008066E1" w:rsidRDefault="008066E1" w:rsidP="008066E1">
            <w:pPr>
              <w:jc w:val="right"/>
              <w:rPr>
                <w:rFonts w:ascii="Arial" w:hAnsi="Arial" w:cs="Arial"/>
                <w:color w:val="000000" w:themeColor="text1"/>
                <w:sz w:val="14"/>
                <w:szCs w:val="14"/>
                <w:lang w:eastAsia="es-AR"/>
              </w:rPr>
            </w:pPr>
          </w:p>
        </w:tc>
        <w:tc>
          <w:tcPr>
            <w:tcW w:w="841" w:type="dxa"/>
            <w:tcBorders>
              <w:top w:val="nil"/>
              <w:left w:val="nil"/>
              <w:bottom w:val="nil"/>
              <w:right w:val="nil"/>
            </w:tcBorders>
            <w:shd w:val="clear" w:color="auto" w:fill="auto"/>
            <w:vAlign w:val="bottom"/>
            <w:hideMark/>
          </w:tcPr>
          <w:p w14:paraId="0956793B" w14:textId="5AEEC046"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146.435</w:t>
            </w:r>
          </w:p>
        </w:tc>
        <w:tc>
          <w:tcPr>
            <w:tcW w:w="842" w:type="dxa"/>
            <w:tcBorders>
              <w:top w:val="nil"/>
              <w:left w:val="nil"/>
              <w:bottom w:val="nil"/>
              <w:right w:val="nil"/>
            </w:tcBorders>
            <w:shd w:val="clear" w:color="auto" w:fill="auto"/>
            <w:vAlign w:val="bottom"/>
            <w:hideMark/>
          </w:tcPr>
          <w:p w14:paraId="557580A8" w14:textId="5673786A"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259.650</w:t>
            </w:r>
          </w:p>
        </w:tc>
        <w:tc>
          <w:tcPr>
            <w:tcW w:w="915" w:type="dxa"/>
            <w:tcBorders>
              <w:top w:val="nil"/>
              <w:left w:val="nil"/>
              <w:bottom w:val="nil"/>
              <w:right w:val="nil"/>
            </w:tcBorders>
            <w:shd w:val="clear" w:color="auto" w:fill="auto"/>
            <w:vAlign w:val="bottom"/>
            <w:hideMark/>
          </w:tcPr>
          <w:p w14:paraId="17D59E07" w14:textId="60B68BDF"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146.435</w:t>
            </w:r>
          </w:p>
        </w:tc>
        <w:tc>
          <w:tcPr>
            <w:tcW w:w="778" w:type="dxa"/>
            <w:tcBorders>
              <w:top w:val="nil"/>
              <w:left w:val="nil"/>
              <w:bottom w:val="nil"/>
              <w:right w:val="nil"/>
            </w:tcBorders>
            <w:shd w:val="clear" w:color="auto" w:fill="auto"/>
            <w:vAlign w:val="bottom"/>
            <w:hideMark/>
          </w:tcPr>
          <w:p w14:paraId="791C22B8" w14:textId="4716B98B"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476CE52E" w14:textId="11F2AA4F"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146.435</w:t>
            </w:r>
          </w:p>
        </w:tc>
      </w:tr>
      <w:tr w:rsidR="008066E1" w:rsidRPr="00D926FE" w14:paraId="58594B1A"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3274D885" w14:textId="7F018736" w:rsidR="008066E1" w:rsidRPr="008066E1" w:rsidRDefault="008066E1" w:rsidP="008066E1">
            <w:pPr>
              <w:rPr>
                <w:rFonts w:ascii="Arial" w:hAnsi="Arial" w:cs="Arial"/>
                <w:color w:val="000000" w:themeColor="text1"/>
                <w:sz w:val="14"/>
                <w:szCs w:val="14"/>
                <w:lang w:eastAsia="es-AR"/>
              </w:rPr>
            </w:pPr>
            <w:r w:rsidRPr="008066E1">
              <w:rPr>
                <w:rFonts w:ascii="Arial" w:hAnsi="Arial" w:cs="Arial"/>
                <w:color w:val="000000" w:themeColor="text1"/>
                <w:sz w:val="14"/>
                <w:szCs w:val="14"/>
              </w:rPr>
              <w:t>Vdff CCF Créditos 20 $ C.G.</w:t>
            </w:r>
          </w:p>
        </w:tc>
        <w:tc>
          <w:tcPr>
            <w:tcW w:w="709" w:type="dxa"/>
            <w:tcBorders>
              <w:top w:val="nil"/>
              <w:left w:val="nil"/>
              <w:bottom w:val="nil"/>
              <w:right w:val="nil"/>
            </w:tcBorders>
            <w:shd w:val="clear" w:color="auto" w:fill="auto"/>
            <w:vAlign w:val="bottom"/>
            <w:hideMark/>
          </w:tcPr>
          <w:p w14:paraId="47A32B53" w14:textId="2DD93CA2" w:rsidR="008066E1" w:rsidRPr="008066E1" w:rsidRDefault="008066E1" w:rsidP="008066E1">
            <w:pPr>
              <w:jc w:val="center"/>
              <w:rPr>
                <w:rFonts w:ascii="Arial" w:hAnsi="Arial" w:cs="Arial"/>
                <w:color w:val="000000" w:themeColor="text1"/>
                <w:sz w:val="14"/>
                <w:szCs w:val="14"/>
                <w:lang w:eastAsia="es-AR"/>
              </w:rPr>
            </w:pPr>
            <w:r w:rsidRPr="008066E1">
              <w:rPr>
                <w:rFonts w:ascii="Arial" w:hAnsi="Arial" w:cs="Arial"/>
                <w:color w:val="000000" w:themeColor="text1"/>
                <w:sz w:val="14"/>
                <w:szCs w:val="14"/>
              </w:rPr>
              <w:t>54158</w:t>
            </w:r>
          </w:p>
        </w:tc>
        <w:tc>
          <w:tcPr>
            <w:tcW w:w="850" w:type="dxa"/>
            <w:tcBorders>
              <w:top w:val="nil"/>
              <w:left w:val="nil"/>
              <w:bottom w:val="nil"/>
              <w:right w:val="nil"/>
            </w:tcBorders>
            <w:shd w:val="clear" w:color="auto" w:fill="auto"/>
            <w:vAlign w:val="bottom"/>
            <w:hideMark/>
          </w:tcPr>
          <w:p w14:paraId="59C1F428" w14:textId="1AAE289C" w:rsidR="008066E1" w:rsidRPr="008066E1" w:rsidRDefault="008066E1" w:rsidP="008066E1">
            <w:pPr>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20.287</w:t>
            </w:r>
          </w:p>
        </w:tc>
        <w:tc>
          <w:tcPr>
            <w:tcW w:w="794" w:type="dxa"/>
            <w:tcBorders>
              <w:top w:val="nil"/>
              <w:left w:val="nil"/>
              <w:bottom w:val="nil"/>
              <w:right w:val="nil"/>
            </w:tcBorders>
            <w:shd w:val="clear" w:color="auto" w:fill="auto"/>
            <w:vAlign w:val="bottom"/>
            <w:hideMark/>
          </w:tcPr>
          <w:p w14:paraId="00C076AE" w14:textId="77777777" w:rsidR="008066E1" w:rsidRPr="008066E1" w:rsidRDefault="008066E1" w:rsidP="008066E1">
            <w:pPr>
              <w:jc w:val="right"/>
              <w:rPr>
                <w:rFonts w:ascii="Arial" w:hAnsi="Arial" w:cs="Arial"/>
                <w:color w:val="000000" w:themeColor="text1"/>
                <w:sz w:val="14"/>
                <w:szCs w:val="14"/>
                <w:lang w:eastAsia="es-AR"/>
              </w:rPr>
            </w:pPr>
          </w:p>
        </w:tc>
        <w:tc>
          <w:tcPr>
            <w:tcW w:w="841" w:type="dxa"/>
            <w:tcBorders>
              <w:top w:val="nil"/>
              <w:left w:val="nil"/>
              <w:bottom w:val="nil"/>
              <w:right w:val="nil"/>
            </w:tcBorders>
            <w:shd w:val="clear" w:color="auto" w:fill="auto"/>
            <w:vAlign w:val="bottom"/>
            <w:hideMark/>
          </w:tcPr>
          <w:p w14:paraId="7295A402" w14:textId="347EB789"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20.287</w:t>
            </w:r>
          </w:p>
        </w:tc>
        <w:tc>
          <w:tcPr>
            <w:tcW w:w="842" w:type="dxa"/>
            <w:tcBorders>
              <w:top w:val="nil"/>
              <w:left w:val="nil"/>
              <w:bottom w:val="nil"/>
              <w:right w:val="nil"/>
            </w:tcBorders>
            <w:shd w:val="clear" w:color="auto" w:fill="auto"/>
            <w:vAlign w:val="bottom"/>
            <w:hideMark/>
          </w:tcPr>
          <w:p w14:paraId="71C1E6C6" w14:textId="36DEAE62"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89.820</w:t>
            </w:r>
          </w:p>
        </w:tc>
        <w:tc>
          <w:tcPr>
            <w:tcW w:w="915" w:type="dxa"/>
            <w:tcBorders>
              <w:top w:val="nil"/>
              <w:left w:val="nil"/>
              <w:bottom w:val="nil"/>
              <w:right w:val="nil"/>
            </w:tcBorders>
            <w:shd w:val="clear" w:color="auto" w:fill="auto"/>
            <w:vAlign w:val="bottom"/>
            <w:hideMark/>
          </w:tcPr>
          <w:p w14:paraId="36BF1DA9" w14:textId="53CD513F"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20.287</w:t>
            </w:r>
          </w:p>
        </w:tc>
        <w:tc>
          <w:tcPr>
            <w:tcW w:w="778" w:type="dxa"/>
            <w:tcBorders>
              <w:top w:val="nil"/>
              <w:left w:val="nil"/>
              <w:bottom w:val="nil"/>
              <w:right w:val="nil"/>
            </w:tcBorders>
            <w:shd w:val="clear" w:color="auto" w:fill="auto"/>
            <w:vAlign w:val="bottom"/>
            <w:hideMark/>
          </w:tcPr>
          <w:p w14:paraId="5CE1AD3E" w14:textId="1019F970"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58BFFCFD" w14:textId="6D1A2D8C" w:rsidR="008066E1" w:rsidRPr="008066E1" w:rsidRDefault="008066E1" w:rsidP="008066E1">
            <w:pPr>
              <w:ind w:left="709" w:hanging="709"/>
              <w:jc w:val="right"/>
              <w:rPr>
                <w:rFonts w:ascii="Arial" w:hAnsi="Arial" w:cs="Arial"/>
                <w:color w:val="000000" w:themeColor="text1"/>
                <w:sz w:val="14"/>
                <w:szCs w:val="14"/>
                <w:lang w:eastAsia="es-AR"/>
              </w:rPr>
            </w:pPr>
            <w:r w:rsidRPr="008066E1">
              <w:rPr>
                <w:rFonts w:ascii="Arial" w:hAnsi="Arial" w:cs="Arial"/>
                <w:color w:val="000000" w:themeColor="text1"/>
                <w:sz w:val="14"/>
                <w:szCs w:val="14"/>
              </w:rPr>
              <w:t>20.287</w:t>
            </w:r>
          </w:p>
        </w:tc>
      </w:tr>
      <w:tr w:rsidR="008066E1" w:rsidRPr="00D926FE" w14:paraId="4F611DAB"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74A31270" w14:textId="23183B51" w:rsidR="008066E1" w:rsidRPr="008066E1" w:rsidRDefault="008066E1" w:rsidP="008066E1">
            <w:pPr>
              <w:rPr>
                <w:rFonts w:ascii="Arial" w:hAnsi="Arial" w:cs="Arial"/>
                <w:color w:val="000000" w:themeColor="text1"/>
                <w:sz w:val="14"/>
                <w:szCs w:val="14"/>
                <w:lang w:eastAsia="es-AR"/>
              </w:rPr>
            </w:pPr>
            <w:r w:rsidRPr="008066E1">
              <w:rPr>
                <w:rFonts w:ascii="Arial" w:hAnsi="Arial" w:cs="Arial"/>
                <w:color w:val="000000" w:themeColor="text1"/>
                <w:sz w:val="14"/>
                <w:szCs w:val="14"/>
              </w:rPr>
              <w:t>Vdff CCF Créditos 22 $ CG</w:t>
            </w:r>
          </w:p>
        </w:tc>
        <w:tc>
          <w:tcPr>
            <w:tcW w:w="709" w:type="dxa"/>
            <w:tcBorders>
              <w:top w:val="nil"/>
              <w:left w:val="nil"/>
              <w:bottom w:val="nil"/>
              <w:right w:val="nil"/>
            </w:tcBorders>
            <w:shd w:val="clear" w:color="auto" w:fill="auto"/>
            <w:vAlign w:val="bottom"/>
            <w:hideMark/>
          </w:tcPr>
          <w:p w14:paraId="2F074567" w14:textId="1169FBD2" w:rsidR="008066E1" w:rsidRPr="008066E1" w:rsidRDefault="008066E1" w:rsidP="008066E1">
            <w:pPr>
              <w:jc w:val="center"/>
              <w:rPr>
                <w:color w:val="000000" w:themeColor="text1"/>
                <w:sz w:val="20"/>
                <w:lang w:eastAsia="es-AR"/>
              </w:rPr>
            </w:pPr>
            <w:r w:rsidRPr="008066E1">
              <w:rPr>
                <w:rFonts w:ascii="Arial" w:hAnsi="Arial" w:cs="Arial"/>
                <w:color w:val="000000" w:themeColor="text1"/>
                <w:sz w:val="14"/>
                <w:szCs w:val="14"/>
              </w:rPr>
              <w:t>54473</w:t>
            </w:r>
          </w:p>
        </w:tc>
        <w:tc>
          <w:tcPr>
            <w:tcW w:w="850" w:type="dxa"/>
            <w:tcBorders>
              <w:top w:val="nil"/>
              <w:left w:val="nil"/>
              <w:bottom w:val="nil"/>
              <w:right w:val="nil"/>
            </w:tcBorders>
            <w:shd w:val="clear" w:color="auto" w:fill="auto"/>
            <w:vAlign w:val="bottom"/>
            <w:hideMark/>
          </w:tcPr>
          <w:p w14:paraId="44FE5DDB" w14:textId="3A532966" w:rsidR="008066E1" w:rsidRPr="008066E1" w:rsidRDefault="008066E1" w:rsidP="008066E1">
            <w:pPr>
              <w:jc w:val="right"/>
              <w:rPr>
                <w:color w:val="000000" w:themeColor="text1"/>
                <w:sz w:val="20"/>
                <w:lang w:eastAsia="es-AR"/>
              </w:rPr>
            </w:pPr>
            <w:r w:rsidRPr="008066E1">
              <w:rPr>
                <w:rFonts w:ascii="Arial" w:hAnsi="Arial" w:cs="Arial"/>
                <w:color w:val="000000" w:themeColor="text1"/>
                <w:sz w:val="14"/>
                <w:szCs w:val="14"/>
              </w:rPr>
              <w:t>18.626</w:t>
            </w:r>
          </w:p>
        </w:tc>
        <w:tc>
          <w:tcPr>
            <w:tcW w:w="794" w:type="dxa"/>
            <w:tcBorders>
              <w:top w:val="nil"/>
              <w:left w:val="nil"/>
              <w:bottom w:val="nil"/>
              <w:right w:val="nil"/>
            </w:tcBorders>
            <w:shd w:val="clear" w:color="auto" w:fill="auto"/>
            <w:vAlign w:val="bottom"/>
            <w:hideMark/>
          </w:tcPr>
          <w:p w14:paraId="6D636170" w14:textId="77777777" w:rsidR="008066E1" w:rsidRPr="008066E1" w:rsidRDefault="008066E1" w:rsidP="008066E1">
            <w:pPr>
              <w:jc w:val="right"/>
              <w:rPr>
                <w:color w:val="000000" w:themeColor="text1"/>
                <w:sz w:val="20"/>
                <w:lang w:eastAsia="es-AR"/>
              </w:rPr>
            </w:pPr>
          </w:p>
        </w:tc>
        <w:tc>
          <w:tcPr>
            <w:tcW w:w="841" w:type="dxa"/>
            <w:tcBorders>
              <w:top w:val="nil"/>
              <w:left w:val="nil"/>
              <w:bottom w:val="nil"/>
              <w:right w:val="nil"/>
            </w:tcBorders>
            <w:shd w:val="clear" w:color="auto" w:fill="auto"/>
            <w:vAlign w:val="bottom"/>
            <w:hideMark/>
          </w:tcPr>
          <w:p w14:paraId="189DFF73" w14:textId="6803D95F"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18.626</w:t>
            </w:r>
          </w:p>
        </w:tc>
        <w:tc>
          <w:tcPr>
            <w:tcW w:w="842" w:type="dxa"/>
            <w:tcBorders>
              <w:top w:val="nil"/>
              <w:left w:val="nil"/>
              <w:bottom w:val="nil"/>
              <w:right w:val="nil"/>
            </w:tcBorders>
            <w:shd w:val="clear" w:color="auto" w:fill="auto"/>
            <w:vAlign w:val="bottom"/>
            <w:hideMark/>
          </w:tcPr>
          <w:p w14:paraId="005D98B3" w14:textId="65976906"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29.907</w:t>
            </w:r>
          </w:p>
        </w:tc>
        <w:tc>
          <w:tcPr>
            <w:tcW w:w="915" w:type="dxa"/>
            <w:tcBorders>
              <w:top w:val="nil"/>
              <w:left w:val="nil"/>
              <w:bottom w:val="nil"/>
              <w:right w:val="nil"/>
            </w:tcBorders>
            <w:shd w:val="clear" w:color="auto" w:fill="auto"/>
            <w:vAlign w:val="bottom"/>
            <w:hideMark/>
          </w:tcPr>
          <w:p w14:paraId="21B7CE2A" w14:textId="61930D34"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18.626</w:t>
            </w:r>
          </w:p>
        </w:tc>
        <w:tc>
          <w:tcPr>
            <w:tcW w:w="778" w:type="dxa"/>
            <w:tcBorders>
              <w:top w:val="nil"/>
              <w:left w:val="nil"/>
              <w:bottom w:val="nil"/>
              <w:right w:val="nil"/>
            </w:tcBorders>
            <w:shd w:val="clear" w:color="auto" w:fill="auto"/>
            <w:vAlign w:val="bottom"/>
            <w:hideMark/>
          </w:tcPr>
          <w:p w14:paraId="236CF182" w14:textId="66476FFA"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 xml:space="preserve">- </w:t>
            </w:r>
          </w:p>
        </w:tc>
        <w:tc>
          <w:tcPr>
            <w:tcW w:w="848" w:type="dxa"/>
            <w:tcBorders>
              <w:top w:val="nil"/>
              <w:left w:val="nil"/>
              <w:bottom w:val="nil"/>
              <w:right w:val="nil"/>
            </w:tcBorders>
            <w:shd w:val="clear" w:color="auto" w:fill="auto"/>
            <w:vAlign w:val="bottom"/>
            <w:hideMark/>
          </w:tcPr>
          <w:p w14:paraId="2579DEB2" w14:textId="53C5F47E" w:rsidR="008066E1" w:rsidRPr="008066E1" w:rsidRDefault="008066E1" w:rsidP="008066E1">
            <w:pPr>
              <w:ind w:left="709" w:hanging="709"/>
              <w:jc w:val="right"/>
              <w:rPr>
                <w:color w:val="000000" w:themeColor="text1"/>
                <w:sz w:val="20"/>
                <w:lang w:eastAsia="es-AR"/>
              </w:rPr>
            </w:pPr>
            <w:r w:rsidRPr="008066E1">
              <w:rPr>
                <w:rFonts w:ascii="Arial" w:hAnsi="Arial" w:cs="Arial"/>
                <w:color w:val="000000" w:themeColor="text1"/>
                <w:sz w:val="14"/>
                <w:szCs w:val="14"/>
              </w:rPr>
              <w:t>18.626</w:t>
            </w:r>
          </w:p>
        </w:tc>
      </w:tr>
      <w:tr w:rsidR="007465F0" w:rsidRPr="00D926FE" w14:paraId="3F368DD6" w14:textId="77777777" w:rsidTr="008066E1">
        <w:trPr>
          <w:gridAfter w:val="1"/>
          <w:wAfter w:w="17" w:type="dxa"/>
          <w:trHeight w:val="240"/>
        </w:trPr>
        <w:tc>
          <w:tcPr>
            <w:tcW w:w="3188" w:type="dxa"/>
            <w:tcBorders>
              <w:top w:val="nil"/>
              <w:left w:val="nil"/>
              <w:bottom w:val="single" w:sz="4" w:space="0" w:color="auto"/>
              <w:right w:val="nil"/>
            </w:tcBorders>
            <w:shd w:val="clear" w:color="auto" w:fill="auto"/>
            <w:vAlign w:val="bottom"/>
          </w:tcPr>
          <w:p w14:paraId="7BDEF2DC" w14:textId="5DE425C4" w:rsidR="007465F0" w:rsidRPr="00D926FE" w:rsidRDefault="007465F0" w:rsidP="00B03371">
            <w:pPr>
              <w:rPr>
                <w:rFonts w:ascii="Arial" w:hAnsi="Arial" w:cs="Arial"/>
                <w:sz w:val="14"/>
                <w:szCs w:val="14"/>
                <w:lang w:val="en-US" w:eastAsia="es-AR"/>
              </w:rPr>
            </w:pPr>
          </w:p>
        </w:tc>
        <w:tc>
          <w:tcPr>
            <w:tcW w:w="709" w:type="dxa"/>
            <w:tcBorders>
              <w:top w:val="nil"/>
              <w:left w:val="nil"/>
              <w:bottom w:val="single" w:sz="4" w:space="0" w:color="auto"/>
              <w:right w:val="nil"/>
            </w:tcBorders>
            <w:shd w:val="clear" w:color="auto" w:fill="auto"/>
          </w:tcPr>
          <w:p w14:paraId="3317E619" w14:textId="3B3AE807" w:rsidR="007465F0" w:rsidRPr="00D926FE" w:rsidRDefault="007465F0" w:rsidP="007465F0">
            <w:pPr>
              <w:rPr>
                <w:rFonts w:ascii="Arial" w:hAnsi="Arial" w:cs="Arial"/>
                <w:sz w:val="14"/>
                <w:szCs w:val="14"/>
                <w:lang w:eastAsia="es-AR"/>
              </w:rPr>
            </w:pPr>
          </w:p>
        </w:tc>
        <w:tc>
          <w:tcPr>
            <w:tcW w:w="850" w:type="dxa"/>
            <w:tcBorders>
              <w:top w:val="nil"/>
              <w:left w:val="nil"/>
              <w:bottom w:val="single" w:sz="4" w:space="0" w:color="auto"/>
              <w:right w:val="nil"/>
            </w:tcBorders>
            <w:shd w:val="clear" w:color="auto" w:fill="auto"/>
            <w:vAlign w:val="bottom"/>
          </w:tcPr>
          <w:p w14:paraId="36E31072" w14:textId="43875E56" w:rsidR="007465F0" w:rsidRPr="00D926FE" w:rsidRDefault="007465F0" w:rsidP="00B03371">
            <w:pPr>
              <w:jc w:val="right"/>
              <w:rPr>
                <w:rFonts w:ascii="Arial" w:hAnsi="Arial" w:cs="Arial"/>
                <w:sz w:val="14"/>
                <w:szCs w:val="14"/>
                <w:lang w:eastAsia="es-AR"/>
              </w:rPr>
            </w:pPr>
          </w:p>
        </w:tc>
        <w:tc>
          <w:tcPr>
            <w:tcW w:w="794" w:type="dxa"/>
            <w:tcBorders>
              <w:top w:val="nil"/>
              <w:left w:val="nil"/>
              <w:bottom w:val="single" w:sz="4" w:space="0" w:color="auto"/>
              <w:right w:val="nil"/>
            </w:tcBorders>
            <w:shd w:val="clear" w:color="auto" w:fill="auto"/>
            <w:vAlign w:val="bottom"/>
          </w:tcPr>
          <w:p w14:paraId="3FFAA434" w14:textId="2BED23E9" w:rsidR="007465F0" w:rsidRPr="00D926FE" w:rsidRDefault="007465F0" w:rsidP="00B03371">
            <w:pPr>
              <w:jc w:val="right"/>
              <w:rPr>
                <w:rFonts w:ascii="Arial" w:hAnsi="Arial" w:cs="Arial"/>
                <w:sz w:val="14"/>
                <w:szCs w:val="14"/>
                <w:lang w:eastAsia="es-AR"/>
              </w:rPr>
            </w:pPr>
          </w:p>
        </w:tc>
        <w:tc>
          <w:tcPr>
            <w:tcW w:w="841" w:type="dxa"/>
            <w:tcBorders>
              <w:top w:val="nil"/>
              <w:left w:val="nil"/>
              <w:bottom w:val="single" w:sz="4" w:space="0" w:color="auto"/>
              <w:right w:val="nil"/>
            </w:tcBorders>
            <w:shd w:val="clear" w:color="auto" w:fill="auto"/>
            <w:vAlign w:val="bottom"/>
          </w:tcPr>
          <w:p w14:paraId="0D7A40FA" w14:textId="408AE7D8" w:rsidR="007465F0" w:rsidRPr="00D926FE" w:rsidRDefault="007465F0" w:rsidP="00B03371">
            <w:pPr>
              <w:ind w:left="709" w:hanging="709"/>
              <w:jc w:val="right"/>
              <w:rPr>
                <w:rFonts w:ascii="Arial" w:hAnsi="Arial" w:cs="Arial"/>
                <w:sz w:val="14"/>
                <w:szCs w:val="14"/>
                <w:lang w:eastAsia="es-AR"/>
              </w:rPr>
            </w:pPr>
          </w:p>
        </w:tc>
        <w:tc>
          <w:tcPr>
            <w:tcW w:w="842" w:type="dxa"/>
            <w:tcBorders>
              <w:top w:val="nil"/>
              <w:left w:val="nil"/>
              <w:bottom w:val="single" w:sz="4" w:space="0" w:color="auto"/>
              <w:right w:val="nil"/>
            </w:tcBorders>
            <w:shd w:val="clear" w:color="auto" w:fill="auto"/>
            <w:vAlign w:val="bottom"/>
          </w:tcPr>
          <w:p w14:paraId="261B6162" w14:textId="67C6612D" w:rsidR="007465F0" w:rsidRPr="00D926FE" w:rsidRDefault="007465F0" w:rsidP="00B03371">
            <w:pPr>
              <w:ind w:left="709" w:hanging="709"/>
              <w:jc w:val="right"/>
              <w:rPr>
                <w:rFonts w:ascii="Arial" w:hAnsi="Arial" w:cs="Arial"/>
                <w:sz w:val="14"/>
                <w:szCs w:val="14"/>
                <w:lang w:eastAsia="es-AR"/>
              </w:rPr>
            </w:pPr>
          </w:p>
        </w:tc>
        <w:tc>
          <w:tcPr>
            <w:tcW w:w="915" w:type="dxa"/>
            <w:tcBorders>
              <w:top w:val="nil"/>
              <w:left w:val="nil"/>
              <w:bottom w:val="single" w:sz="4" w:space="0" w:color="auto"/>
              <w:right w:val="nil"/>
            </w:tcBorders>
            <w:shd w:val="clear" w:color="auto" w:fill="auto"/>
            <w:vAlign w:val="bottom"/>
          </w:tcPr>
          <w:p w14:paraId="0373A6AD" w14:textId="18A0B181" w:rsidR="007465F0" w:rsidRPr="00D926FE" w:rsidRDefault="007465F0" w:rsidP="00B03371">
            <w:pPr>
              <w:ind w:left="709" w:hanging="709"/>
              <w:jc w:val="right"/>
              <w:rPr>
                <w:rFonts w:ascii="Arial" w:hAnsi="Arial" w:cs="Arial"/>
                <w:sz w:val="14"/>
                <w:szCs w:val="14"/>
                <w:lang w:eastAsia="es-AR"/>
              </w:rPr>
            </w:pPr>
          </w:p>
        </w:tc>
        <w:tc>
          <w:tcPr>
            <w:tcW w:w="778" w:type="dxa"/>
            <w:tcBorders>
              <w:top w:val="nil"/>
              <w:left w:val="nil"/>
              <w:bottom w:val="single" w:sz="4" w:space="0" w:color="auto"/>
              <w:right w:val="nil"/>
            </w:tcBorders>
            <w:shd w:val="clear" w:color="auto" w:fill="auto"/>
            <w:vAlign w:val="bottom"/>
          </w:tcPr>
          <w:p w14:paraId="06CDE590" w14:textId="52F192FC" w:rsidR="007465F0" w:rsidRPr="00D926FE" w:rsidRDefault="007465F0" w:rsidP="00B03371">
            <w:pPr>
              <w:ind w:left="709" w:hanging="709"/>
              <w:jc w:val="right"/>
              <w:rPr>
                <w:rFonts w:ascii="Arial" w:hAnsi="Arial" w:cs="Arial"/>
                <w:sz w:val="14"/>
                <w:szCs w:val="14"/>
                <w:lang w:eastAsia="es-AR"/>
              </w:rPr>
            </w:pPr>
          </w:p>
        </w:tc>
        <w:tc>
          <w:tcPr>
            <w:tcW w:w="848" w:type="dxa"/>
            <w:tcBorders>
              <w:top w:val="nil"/>
              <w:left w:val="nil"/>
              <w:bottom w:val="single" w:sz="4" w:space="0" w:color="auto"/>
              <w:right w:val="nil"/>
            </w:tcBorders>
            <w:shd w:val="clear" w:color="auto" w:fill="auto"/>
            <w:vAlign w:val="bottom"/>
          </w:tcPr>
          <w:p w14:paraId="23EC66F5" w14:textId="2E38C530" w:rsidR="007465F0" w:rsidRPr="00D926FE" w:rsidRDefault="007465F0" w:rsidP="00B03371">
            <w:pPr>
              <w:ind w:left="709" w:hanging="709"/>
              <w:jc w:val="right"/>
              <w:rPr>
                <w:rFonts w:ascii="Arial" w:hAnsi="Arial" w:cs="Arial"/>
                <w:sz w:val="14"/>
                <w:szCs w:val="14"/>
                <w:lang w:eastAsia="es-AR"/>
              </w:rPr>
            </w:pPr>
          </w:p>
        </w:tc>
      </w:tr>
      <w:tr w:rsidR="007465F0" w:rsidRPr="00D926FE" w14:paraId="18898D0A" w14:textId="77777777" w:rsidTr="008066E1">
        <w:trPr>
          <w:gridAfter w:val="1"/>
          <w:wAfter w:w="17" w:type="dxa"/>
          <w:trHeight w:val="240"/>
        </w:trPr>
        <w:tc>
          <w:tcPr>
            <w:tcW w:w="3188" w:type="dxa"/>
            <w:tcBorders>
              <w:top w:val="nil"/>
              <w:left w:val="nil"/>
              <w:bottom w:val="nil"/>
              <w:right w:val="nil"/>
            </w:tcBorders>
            <w:shd w:val="clear" w:color="auto" w:fill="auto"/>
            <w:vAlign w:val="bottom"/>
            <w:hideMark/>
          </w:tcPr>
          <w:p w14:paraId="2AEC1380" w14:textId="77777777" w:rsidR="007465F0" w:rsidRPr="00D926FE" w:rsidRDefault="007465F0" w:rsidP="00B03371">
            <w:pPr>
              <w:rPr>
                <w:rFonts w:ascii="Arial" w:hAnsi="Arial" w:cs="Arial"/>
                <w:sz w:val="14"/>
                <w:szCs w:val="14"/>
                <w:lang w:eastAsia="es-AR"/>
              </w:rPr>
            </w:pPr>
          </w:p>
        </w:tc>
        <w:tc>
          <w:tcPr>
            <w:tcW w:w="709" w:type="dxa"/>
            <w:tcBorders>
              <w:top w:val="nil"/>
              <w:left w:val="nil"/>
              <w:bottom w:val="nil"/>
              <w:right w:val="nil"/>
            </w:tcBorders>
            <w:shd w:val="clear" w:color="auto" w:fill="auto"/>
            <w:hideMark/>
          </w:tcPr>
          <w:p w14:paraId="3DB4D74A" w14:textId="77777777" w:rsidR="007465F0" w:rsidRPr="00D926FE" w:rsidRDefault="007465F0" w:rsidP="007465F0">
            <w:pPr>
              <w:rPr>
                <w:sz w:val="20"/>
                <w:lang w:eastAsia="es-AR"/>
              </w:rPr>
            </w:pPr>
          </w:p>
        </w:tc>
        <w:tc>
          <w:tcPr>
            <w:tcW w:w="850" w:type="dxa"/>
            <w:tcBorders>
              <w:top w:val="nil"/>
              <w:left w:val="nil"/>
              <w:bottom w:val="nil"/>
              <w:right w:val="nil"/>
            </w:tcBorders>
            <w:shd w:val="clear" w:color="auto" w:fill="auto"/>
            <w:vAlign w:val="bottom"/>
            <w:hideMark/>
          </w:tcPr>
          <w:p w14:paraId="5DB3F7CA" w14:textId="77777777" w:rsidR="007465F0" w:rsidRPr="00D926FE" w:rsidRDefault="007465F0" w:rsidP="00B03371">
            <w:pPr>
              <w:jc w:val="right"/>
              <w:rPr>
                <w:sz w:val="20"/>
                <w:lang w:eastAsia="es-AR"/>
              </w:rPr>
            </w:pPr>
          </w:p>
        </w:tc>
        <w:tc>
          <w:tcPr>
            <w:tcW w:w="794" w:type="dxa"/>
            <w:tcBorders>
              <w:top w:val="nil"/>
              <w:left w:val="nil"/>
              <w:bottom w:val="nil"/>
              <w:right w:val="nil"/>
            </w:tcBorders>
            <w:shd w:val="clear" w:color="auto" w:fill="auto"/>
            <w:vAlign w:val="bottom"/>
            <w:hideMark/>
          </w:tcPr>
          <w:p w14:paraId="5C35EC47" w14:textId="77777777" w:rsidR="007465F0" w:rsidRPr="00D926FE" w:rsidRDefault="007465F0" w:rsidP="00B03371">
            <w:pPr>
              <w:jc w:val="right"/>
              <w:rPr>
                <w:sz w:val="20"/>
                <w:lang w:eastAsia="es-AR"/>
              </w:rPr>
            </w:pPr>
          </w:p>
        </w:tc>
        <w:tc>
          <w:tcPr>
            <w:tcW w:w="841" w:type="dxa"/>
            <w:tcBorders>
              <w:top w:val="nil"/>
              <w:left w:val="nil"/>
              <w:bottom w:val="nil"/>
              <w:right w:val="nil"/>
            </w:tcBorders>
            <w:shd w:val="clear" w:color="auto" w:fill="auto"/>
            <w:vAlign w:val="bottom"/>
            <w:hideMark/>
          </w:tcPr>
          <w:p w14:paraId="1BB64F37" w14:textId="77777777" w:rsidR="007465F0" w:rsidRPr="00D926FE" w:rsidRDefault="007465F0" w:rsidP="00B03371">
            <w:pPr>
              <w:ind w:left="709" w:hanging="709"/>
              <w:jc w:val="right"/>
              <w:rPr>
                <w:sz w:val="20"/>
                <w:lang w:eastAsia="es-AR"/>
              </w:rPr>
            </w:pPr>
          </w:p>
        </w:tc>
        <w:tc>
          <w:tcPr>
            <w:tcW w:w="842" w:type="dxa"/>
            <w:tcBorders>
              <w:top w:val="nil"/>
              <w:left w:val="nil"/>
              <w:bottom w:val="nil"/>
              <w:right w:val="nil"/>
            </w:tcBorders>
            <w:shd w:val="clear" w:color="auto" w:fill="auto"/>
            <w:vAlign w:val="bottom"/>
            <w:hideMark/>
          </w:tcPr>
          <w:p w14:paraId="3C09A847" w14:textId="77777777" w:rsidR="007465F0" w:rsidRPr="00D926FE" w:rsidRDefault="007465F0" w:rsidP="00B03371">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59898794" w14:textId="77777777" w:rsidR="007465F0" w:rsidRPr="00D926FE" w:rsidRDefault="007465F0" w:rsidP="00B03371">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0C23262A" w14:textId="77777777" w:rsidR="007465F0" w:rsidRPr="00D926FE" w:rsidRDefault="007465F0" w:rsidP="00B03371">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3B7BD43A" w14:textId="77777777" w:rsidR="007465F0" w:rsidRPr="00D926FE" w:rsidRDefault="007465F0" w:rsidP="00B03371">
            <w:pPr>
              <w:ind w:left="709" w:hanging="709"/>
              <w:jc w:val="right"/>
              <w:rPr>
                <w:sz w:val="20"/>
                <w:lang w:eastAsia="es-AR"/>
              </w:rPr>
            </w:pPr>
          </w:p>
        </w:tc>
      </w:tr>
      <w:tr w:rsidR="008066E1" w:rsidRPr="00D926FE" w14:paraId="150A6254" w14:textId="77777777" w:rsidTr="008066E1">
        <w:trPr>
          <w:gridAfter w:val="1"/>
          <w:wAfter w:w="17" w:type="dxa"/>
          <w:trHeight w:val="319"/>
        </w:trPr>
        <w:tc>
          <w:tcPr>
            <w:tcW w:w="3188" w:type="dxa"/>
            <w:tcBorders>
              <w:top w:val="nil"/>
              <w:left w:val="nil"/>
              <w:bottom w:val="nil"/>
              <w:right w:val="nil"/>
            </w:tcBorders>
            <w:shd w:val="clear" w:color="auto" w:fill="auto"/>
            <w:vAlign w:val="bottom"/>
            <w:hideMark/>
          </w:tcPr>
          <w:p w14:paraId="6FF4758C" w14:textId="77777777" w:rsidR="008066E1" w:rsidRPr="00D926FE" w:rsidRDefault="008066E1" w:rsidP="008066E1">
            <w:pPr>
              <w:rPr>
                <w:rFonts w:ascii="Arial" w:hAnsi="Arial" w:cs="Arial"/>
                <w:b/>
                <w:bCs/>
                <w:sz w:val="14"/>
                <w:szCs w:val="14"/>
                <w:lang w:eastAsia="es-AR"/>
              </w:rPr>
            </w:pPr>
            <w:r w:rsidRPr="00D926FE">
              <w:rPr>
                <w:rFonts w:ascii="Arial" w:hAnsi="Arial" w:cs="Arial"/>
                <w:b/>
                <w:bCs/>
                <w:sz w:val="14"/>
                <w:szCs w:val="14"/>
                <w:lang w:eastAsia="es-AR"/>
              </w:rPr>
              <w:t>Total otros Títulos de deuda</w:t>
            </w:r>
          </w:p>
        </w:tc>
        <w:tc>
          <w:tcPr>
            <w:tcW w:w="709" w:type="dxa"/>
            <w:tcBorders>
              <w:top w:val="nil"/>
              <w:left w:val="nil"/>
              <w:bottom w:val="nil"/>
              <w:right w:val="nil"/>
            </w:tcBorders>
            <w:shd w:val="clear" w:color="auto" w:fill="auto"/>
            <w:hideMark/>
          </w:tcPr>
          <w:p w14:paraId="104E6F8D" w14:textId="77777777" w:rsidR="008066E1" w:rsidRPr="00D926FE" w:rsidRDefault="008066E1" w:rsidP="008066E1">
            <w:pPr>
              <w:rPr>
                <w:rFonts w:ascii="Arial" w:hAnsi="Arial" w:cs="Arial"/>
                <w:b/>
                <w:bCs/>
                <w:sz w:val="14"/>
                <w:szCs w:val="14"/>
                <w:lang w:eastAsia="es-AR"/>
              </w:rPr>
            </w:pPr>
          </w:p>
        </w:tc>
        <w:tc>
          <w:tcPr>
            <w:tcW w:w="850" w:type="dxa"/>
            <w:tcBorders>
              <w:top w:val="nil"/>
              <w:left w:val="nil"/>
              <w:bottom w:val="nil"/>
              <w:right w:val="nil"/>
            </w:tcBorders>
            <w:shd w:val="clear" w:color="auto" w:fill="auto"/>
            <w:vAlign w:val="bottom"/>
            <w:hideMark/>
          </w:tcPr>
          <w:p w14:paraId="2C1A3915" w14:textId="77777777" w:rsidR="008066E1" w:rsidRPr="00D926FE" w:rsidRDefault="008066E1" w:rsidP="008066E1">
            <w:pPr>
              <w:jc w:val="right"/>
              <w:rPr>
                <w:sz w:val="20"/>
                <w:lang w:eastAsia="es-AR"/>
              </w:rPr>
            </w:pPr>
          </w:p>
        </w:tc>
        <w:tc>
          <w:tcPr>
            <w:tcW w:w="794" w:type="dxa"/>
            <w:tcBorders>
              <w:top w:val="nil"/>
              <w:left w:val="nil"/>
              <w:bottom w:val="nil"/>
              <w:right w:val="nil"/>
            </w:tcBorders>
            <w:shd w:val="clear" w:color="auto" w:fill="auto"/>
            <w:vAlign w:val="bottom"/>
            <w:hideMark/>
          </w:tcPr>
          <w:p w14:paraId="050CB1B3" w14:textId="77777777" w:rsidR="008066E1" w:rsidRPr="00D926FE" w:rsidRDefault="008066E1" w:rsidP="008066E1">
            <w:pPr>
              <w:jc w:val="right"/>
              <w:rPr>
                <w:sz w:val="20"/>
                <w:lang w:eastAsia="es-AR"/>
              </w:rPr>
            </w:pPr>
          </w:p>
        </w:tc>
        <w:tc>
          <w:tcPr>
            <w:tcW w:w="841" w:type="dxa"/>
            <w:tcBorders>
              <w:top w:val="nil"/>
              <w:left w:val="nil"/>
              <w:bottom w:val="nil"/>
              <w:right w:val="nil"/>
            </w:tcBorders>
            <w:shd w:val="clear" w:color="auto" w:fill="auto"/>
            <w:vAlign w:val="bottom"/>
            <w:hideMark/>
          </w:tcPr>
          <w:p w14:paraId="5309D60D" w14:textId="38E1AD73" w:rsidR="008066E1" w:rsidRPr="00D926FE" w:rsidRDefault="008066E1" w:rsidP="008066E1">
            <w:pPr>
              <w:ind w:left="709" w:hanging="709"/>
              <w:jc w:val="right"/>
              <w:rPr>
                <w:rFonts w:ascii="Arial" w:hAnsi="Arial" w:cs="Arial"/>
                <w:b/>
                <w:bCs/>
                <w:sz w:val="14"/>
                <w:szCs w:val="14"/>
                <w:lang w:eastAsia="es-AR"/>
              </w:rPr>
            </w:pPr>
            <w:r>
              <w:rPr>
                <w:rFonts w:ascii="Arial" w:hAnsi="Arial" w:cs="Arial"/>
                <w:b/>
                <w:bCs/>
                <w:sz w:val="14"/>
                <w:szCs w:val="14"/>
              </w:rPr>
              <w:t>46.426.583</w:t>
            </w:r>
          </w:p>
        </w:tc>
        <w:tc>
          <w:tcPr>
            <w:tcW w:w="842" w:type="dxa"/>
            <w:tcBorders>
              <w:top w:val="nil"/>
              <w:left w:val="nil"/>
              <w:bottom w:val="nil"/>
              <w:right w:val="nil"/>
            </w:tcBorders>
            <w:shd w:val="clear" w:color="auto" w:fill="auto"/>
            <w:vAlign w:val="bottom"/>
            <w:hideMark/>
          </w:tcPr>
          <w:p w14:paraId="3B658923" w14:textId="424595A9" w:rsidR="008066E1" w:rsidRPr="00D926FE" w:rsidRDefault="008066E1" w:rsidP="008066E1">
            <w:pPr>
              <w:ind w:left="709" w:hanging="709"/>
              <w:jc w:val="right"/>
              <w:rPr>
                <w:rFonts w:ascii="Arial" w:hAnsi="Arial" w:cs="Arial"/>
                <w:b/>
                <w:bCs/>
                <w:sz w:val="14"/>
                <w:szCs w:val="14"/>
                <w:lang w:eastAsia="es-AR"/>
              </w:rPr>
            </w:pPr>
            <w:r>
              <w:rPr>
                <w:rFonts w:ascii="Arial" w:hAnsi="Arial" w:cs="Arial"/>
                <w:b/>
                <w:bCs/>
                <w:sz w:val="14"/>
                <w:szCs w:val="14"/>
              </w:rPr>
              <w:t>11.441.100</w:t>
            </w:r>
          </w:p>
        </w:tc>
        <w:tc>
          <w:tcPr>
            <w:tcW w:w="915" w:type="dxa"/>
            <w:tcBorders>
              <w:top w:val="nil"/>
              <w:left w:val="nil"/>
              <w:bottom w:val="nil"/>
              <w:right w:val="nil"/>
            </w:tcBorders>
            <w:shd w:val="clear" w:color="auto" w:fill="auto"/>
            <w:vAlign w:val="bottom"/>
            <w:hideMark/>
          </w:tcPr>
          <w:p w14:paraId="414AEA71" w14:textId="359B6197" w:rsidR="008066E1" w:rsidRPr="00D926FE" w:rsidRDefault="008066E1" w:rsidP="008066E1">
            <w:pPr>
              <w:ind w:left="709" w:hanging="709"/>
              <w:jc w:val="right"/>
              <w:rPr>
                <w:rFonts w:ascii="Arial" w:hAnsi="Arial" w:cs="Arial"/>
                <w:b/>
                <w:bCs/>
                <w:sz w:val="14"/>
                <w:szCs w:val="14"/>
                <w:lang w:eastAsia="es-AR"/>
              </w:rPr>
            </w:pPr>
            <w:r>
              <w:rPr>
                <w:rFonts w:ascii="Arial" w:hAnsi="Arial" w:cs="Arial"/>
                <w:b/>
                <w:bCs/>
                <w:sz w:val="14"/>
                <w:szCs w:val="14"/>
              </w:rPr>
              <w:t>46.426.583</w:t>
            </w:r>
          </w:p>
        </w:tc>
        <w:tc>
          <w:tcPr>
            <w:tcW w:w="778" w:type="dxa"/>
            <w:tcBorders>
              <w:top w:val="nil"/>
              <w:left w:val="nil"/>
              <w:bottom w:val="nil"/>
              <w:right w:val="nil"/>
            </w:tcBorders>
            <w:shd w:val="clear" w:color="auto" w:fill="auto"/>
            <w:vAlign w:val="bottom"/>
            <w:hideMark/>
          </w:tcPr>
          <w:p w14:paraId="7210CC03" w14:textId="666A1FDB" w:rsidR="008066E1" w:rsidRPr="00D926FE" w:rsidRDefault="008066E1" w:rsidP="008066E1">
            <w:pPr>
              <w:ind w:left="709" w:hanging="709"/>
              <w:jc w:val="right"/>
              <w:rPr>
                <w:rFonts w:ascii="Arial" w:hAnsi="Arial" w:cs="Arial"/>
                <w:b/>
                <w:bCs/>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096F7C90" w14:textId="28FC462E" w:rsidR="008066E1" w:rsidRPr="00D926FE" w:rsidRDefault="008066E1" w:rsidP="008066E1">
            <w:pPr>
              <w:ind w:left="709" w:hanging="709"/>
              <w:jc w:val="right"/>
              <w:rPr>
                <w:rFonts w:ascii="Arial" w:hAnsi="Arial" w:cs="Arial"/>
                <w:b/>
                <w:bCs/>
                <w:sz w:val="14"/>
                <w:szCs w:val="14"/>
                <w:lang w:eastAsia="es-AR"/>
              </w:rPr>
            </w:pPr>
            <w:r>
              <w:rPr>
                <w:rFonts w:ascii="Arial" w:hAnsi="Arial" w:cs="Arial"/>
                <w:b/>
                <w:bCs/>
                <w:sz w:val="14"/>
                <w:szCs w:val="14"/>
              </w:rPr>
              <w:t>46.426.583</w:t>
            </w:r>
          </w:p>
        </w:tc>
      </w:tr>
      <w:tr w:rsidR="007465F0" w:rsidRPr="00D926FE" w14:paraId="78E41627" w14:textId="77777777" w:rsidTr="008066E1">
        <w:trPr>
          <w:gridAfter w:val="1"/>
          <w:wAfter w:w="17" w:type="dxa"/>
          <w:trHeight w:val="319"/>
        </w:trPr>
        <w:tc>
          <w:tcPr>
            <w:tcW w:w="3188" w:type="dxa"/>
            <w:tcBorders>
              <w:top w:val="nil"/>
              <w:left w:val="nil"/>
              <w:bottom w:val="nil"/>
              <w:right w:val="nil"/>
            </w:tcBorders>
            <w:shd w:val="clear" w:color="auto" w:fill="auto"/>
            <w:vAlign w:val="bottom"/>
            <w:hideMark/>
          </w:tcPr>
          <w:p w14:paraId="4A6AE4F7" w14:textId="77777777" w:rsidR="007465F0" w:rsidRPr="00D926FE" w:rsidRDefault="007465F0" w:rsidP="00B03371">
            <w:pPr>
              <w:rPr>
                <w:rFonts w:ascii="Arial" w:hAnsi="Arial" w:cs="Arial"/>
                <w:b/>
                <w:bCs/>
                <w:sz w:val="14"/>
                <w:szCs w:val="14"/>
                <w:lang w:eastAsia="es-AR"/>
              </w:rPr>
            </w:pPr>
          </w:p>
        </w:tc>
        <w:tc>
          <w:tcPr>
            <w:tcW w:w="709" w:type="dxa"/>
            <w:tcBorders>
              <w:top w:val="nil"/>
              <w:left w:val="nil"/>
              <w:bottom w:val="nil"/>
              <w:right w:val="nil"/>
            </w:tcBorders>
            <w:shd w:val="clear" w:color="auto" w:fill="auto"/>
            <w:hideMark/>
          </w:tcPr>
          <w:p w14:paraId="01DEB745" w14:textId="77777777" w:rsidR="007465F0" w:rsidRPr="00D926FE" w:rsidRDefault="007465F0" w:rsidP="007465F0">
            <w:pPr>
              <w:rPr>
                <w:sz w:val="20"/>
                <w:lang w:eastAsia="es-AR"/>
              </w:rPr>
            </w:pPr>
          </w:p>
        </w:tc>
        <w:tc>
          <w:tcPr>
            <w:tcW w:w="850" w:type="dxa"/>
            <w:tcBorders>
              <w:top w:val="nil"/>
              <w:left w:val="nil"/>
              <w:bottom w:val="nil"/>
              <w:right w:val="nil"/>
            </w:tcBorders>
            <w:shd w:val="clear" w:color="auto" w:fill="auto"/>
            <w:vAlign w:val="bottom"/>
            <w:hideMark/>
          </w:tcPr>
          <w:p w14:paraId="582975E2" w14:textId="77777777" w:rsidR="007465F0" w:rsidRPr="00D926FE" w:rsidRDefault="007465F0" w:rsidP="00B03371">
            <w:pPr>
              <w:jc w:val="right"/>
              <w:rPr>
                <w:sz w:val="20"/>
                <w:lang w:eastAsia="es-AR"/>
              </w:rPr>
            </w:pPr>
          </w:p>
        </w:tc>
        <w:tc>
          <w:tcPr>
            <w:tcW w:w="794" w:type="dxa"/>
            <w:tcBorders>
              <w:top w:val="nil"/>
              <w:left w:val="nil"/>
              <w:bottom w:val="nil"/>
              <w:right w:val="nil"/>
            </w:tcBorders>
            <w:shd w:val="clear" w:color="auto" w:fill="auto"/>
            <w:vAlign w:val="bottom"/>
            <w:hideMark/>
          </w:tcPr>
          <w:p w14:paraId="499C3233" w14:textId="77777777" w:rsidR="007465F0" w:rsidRPr="00D926FE" w:rsidRDefault="007465F0" w:rsidP="00B03371">
            <w:pPr>
              <w:jc w:val="right"/>
              <w:rPr>
                <w:sz w:val="20"/>
                <w:lang w:eastAsia="es-AR"/>
              </w:rPr>
            </w:pPr>
          </w:p>
        </w:tc>
        <w:tc>
          <w:tcPr>
            <w:tcW w:w="841" w:type="dxa"/>
            <w:tcBorders>
              <w:top w:val="nil"/>
              <w:left w:val="nil"/>
              <w:bottom w:val="nil"/>
              <w:right w:val="nil"/>
            </w:tcBorders>
            <w:shd w:val="clear" w:color="auto" w:fill="auto"/>
            <w:vAlign w:val="bottom"/>
            <w:hideMark/>
          </w:tcPr>
          <w:p w14:paraId="083EA9DE" w14:textId="77777777" w:rsidR="007465F0" w:rsidRPr="00D926FE" w:rsidRDefault="007465F0" w:rsidP="00B03371">
            <w:pPr>
              <w:ind w:left="709" w:hanging="709"/>
              <w:jc w:val="right"/>
              <w:rPr>
                <w:sz w:val="20"/>
                <w:lang w:eastAsia="es-AR"/>
              </w:rPr>
            </w:pPr>
          </w:p>
        </w:tc>
        <w:tc>
          <w:tcPr>
            <w:tcW w:w="842" w:type="dxa"/>
            <w:tcBorders>
              <w:top w:val="nil"/>
              <w:left w:val="nil"/>
              <w:bottom w:val="nil"/>
              <w:right w:val="nil"/>
            </w:tcBorders>
            <w:shd w:val="clear" w:color="auto" w:fill="auto"/>
            <w:vAlign w:val="bottom"/>
            <w:hideMark/>
          </w:tcPr>
          <w:p w14:paraId="67076D3B" w14:textId="77777777" w:rsidR="007465F0" w:rsidRPr="00D926FE" w:rsidRDefault="007465F0" w:rsidP="00B03371">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22F66A7E" w14:textId="77777777" w:rsidR="007465F0" w:rsidRPr="00D926FE" w:rsidRDefault="007465F0" w:rsidP="00B03371">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6260397D" w14:textId="77777777" w:rsidR="007465F0" w:rsidRPr="00D926FE" w:rsidRDefault="007465F0" w:rsidP="00B03371">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208A68D2" w14:textId="77777777" w:rsidR="007465F0" w:rsidRPr="00D926FE" w:rsidRDefault="007465F0" w:rsidP="00B03371">
            <w:pPr>
              <w:ind w:left="709" w:hanging="709"/>
              <w:jc w:val="right"/>
              <w:rPr>
                <w:sz w:val="20"/>
                <w:lang w:eastAsia="es-AR"/>
              </w:rPr>
            </w:pPr>
          </w:p>
        </w:tc>
      </w:tr>
      <w:tr w:rsidR="007465F0" w:rsidRPr="00D926FE" w14:paraId="4D74CB5E" w14:textId="77777777" w:rsidTr="008066E1">
        <w:trPr>
          <w:trHeight w:val="319"/>
        </w:trPr>
        <w:tc>
          <w:tcPr>
            <w:tcW w:w="3188" w:type="dxa"/>
            <w:tcBorders>
              <w:top w:val="nil"/>
              <w:left w:val="nil"/>
              <w:bottom w:val="nil"/>
              <w:right w:val="nil"/>
            </w:tcBorders>
            <w:shd w:val="clear" w:color="auto" w:fill="auto"/>
            <w:vAlign w:val="bottom"/>
            <w:hideMark/>
          </w:tcPr>
          <w:p w14:paraId="6132DC83" w14:textId="77777777" w:rsidR="007465F0" w:rsidRPr="00D926FE" w:rsidRDefault="007465F0" w:rsidP="00B03371">
            <w:pPr>
              <w:rPr>
                <w:rFonts w:ascii="Arial" w:hAnsi="Arial" w:cs="Arial"/>
                <w:b/>
                <w:bCs/>
                <w:sz w:val="14"/>
                <w:szCs w:val="14"/>
                <w:lang w:eastAsia="es-AR"/>
              </w:rPr>
            </w:pPr>
            <w:r w:rsidRPr="00D926FE">
              <w:rPr>
                <w:rFonts w:ascii="Arial" w:hAnsi="Arial" w:cs="Arial"/>
                <w:b/>
                <w:bCs/>
                <w:sz w:val="14"/>
                <w:szCs w:val="14"/>
                <w:lang w:eastAsia="es-AR"/>
              </w:rPr>
              <w:t>INSTRUMENTOS DE PATRIMONIO</w:t>
            </w:r>
          </w:p>
        </w:tc>
        <w:tc>
          <w:tcPr>
            <w:tcW w:w="6594" w:type="dxa"/>
            <w:gridSpan w:val="9"/>
            <w:tcBorders>
              <w:top w:val="nil"/>
              <w:left w:val="nil"/>
              <w:bottom w:val="nil"/>
              <w:right w:val="nil"/>
            </w:tcBorders>
            <w:shd w:val="clear" w:color="auto" w:fill="auto"/>
            <w:vAlign w:val="bottom"/>
            <w:hideMark/>
          </w:tcPr>
          <w:p w14:paraId="774281A7" w14:textId="77777777" w:rsidR="007465F0" w:rsidRPr="00D926FE" w:rsidRDefault="007465F0" w:rsidP="00B03371">
            <w:pPr>
              <w:jc w:val="right"/>
              <w:rPr>
                <w:rFonts w:ascii="Arial" w:hAnsi="Arial" w:cs="Arial"/>
                <w:b/>
                <w:bCs/>
                <w:sz w:val="14"/>
                <w:szCs w:val="14"/>
                <w:lang w:eastAsia="es-AR"/>
              </w:rPr>
            </w:pPr>
          </w:p>
        </w:tc>
      </w:tr>
      <w:tr w:rsidR="007465F0" w:rsidRPr="00D926FE" w14:paraId="3A8645F3" w14:textId="77777777" w:rsidTr="008066E1">
        <w:trPr>
          <w:gridAfter w:val="1"/>
          <w:wAfter w:w="17" w:type="dxa"/>
          <w:trHeight w:val="180"/>
        </w:trPr>
        <w:tc>
          <w:tcPr>
            <w:tcW w:w="3188" w:type="dxa"/>
            <w:tcBorders>
              <w:top w:val="nil"/>
              <w:left w:val="nil"/>
              <w:bottom w:val="nil"/>
              <w:right w:val="nil"/>
            </w:tcBorders>
            <w:shd w:val="clear" w:color="auto" w:fill="auto"/>
            <w:vAlign w:val="bottom"/>
            <w:hideMark/>
          </w:tcPr>
          <w:p w14:paraId="14AABDFA" w14:textId="77777777" w:rsidR="007465F0" w:rsidRPr="00D926FE" w:rsidRDefault="007465F0" w:rsidP="00B03371">
            <w:pPr>
              <w:rPr>
                <w:rFonts w:ascii="Arial" w:hAnsi="Arial" w:cs="Arial"/>
                <w:b/>
                <w:bCs/>
                <w:sz w:val="14"/>
                <w:szCs w:val="14"/>
                <w:lang w:eastAsia="es-AR"/>
              </w:rPr>
            </w:pPr>
            <w:r w:rsidRPr="00D926FE">
              <w:rPr>
                <w:rFonts w:ascii="Arial" w:hAnsi="Arial" w:cs="Arial"/>
                <w:b/>
                <w:bCs/>
                <w:sz w:val="14"/>
                <w:szCs w:val="14"/>
                <w:lang w:eastAsia="es-AR"/>
              </w:rPr>
              <w:t>Medidos a valor razonable con cambios en resultados</w:t>
            </w:r>
          </w:p>
        </w:tc>
        <w:tc>
          <w:tcPr>
            <w:tcW w:w="709" w:type="dxa"/>
            <w:tcBorders>
              <w:top w:val="nil"/>
              <w:left w:val="nil"/>
              <w:bottom w:val="nil"/>
              <w:right w:val="nil"/>
            </w:tcBorders>
            <w:shd w:val="clear" w:color="auto" w:fill="auto"/>
            <w:hideMark/>
          </w:tcPr>
          <w:p w14:paraId="7546D7B7" w14:textId="77777777" w:rsidR="007465F0" w:rsidRPr="00D926FE" w:rsidRDefault="007465F0" w:rsidP="007465F0">
            <w:pPr>
              <w:rPr>
                <w:rFonts w:ascii="Arial" w:hAnsi="Arial" w:cs="Arial"/>
                <w:b/>
                <w:bCs/>
                <w:sz w:val="14"/>
                <w:szCs w:val="14"/>
                <w:lang w:eastAsia="es-AR"/>
              </w:rPr>
            </w:pPr>
          </w:p>
        </w:tc>
        <w:tc>
          <w:tcPr>
            <w:tcW w:w="850" w:type="dxa"/>
            <w:tcBorders>
              <w:top w:val="nil"/>
              <w:left w:val="nil"/>
              <w:bottom w:val="nil"/>
              <w:right w:val="nil"/>
            </w:tcBorders>
            <w:shd w:val="clear" w:color="auto" w:fill="auto"/>
            <w:vAlign w:val="bottom"/>
            <w:hideMark/>
          </w:tcPr>
          <w:p w14:paraId="39CE74A7" w14:textId="77777777" w:rsidR="007465F0" w:rsidRPr="00D926FE" w:rsidRDefault="007465F0" w:rsidP="00B03371">
            <w:pPr>
              <w:jc w:val="right"/>
              <w:rPr>
                <w:sz w:val="20"/>
                <w:lang w:eastAsia="es-AR"/>
              </w:rPr>
            </w:pPr>
          </w:p>
        </w:tc>
        <w:tc>
          <w:tcPr>
            <w:tcW w:w="794" w:type="dxa"/>
            <w:tcBorders>
              <w:top w:val="nil"/>
              <w:left w:val="nil"/>
              <w:bottom w:val="nil"/>
              <w:right w:val="nil"/>
            </w:tcBorders>
            <w:shd w:val="clear" w:color="auto" w:fill="auto"/>
            <w:vAlign w:val="bottom"/>
            <w:hideMark/>
          </w:tcPr>
          <w:p w14:paraId="405DF72C" w14:textId="77777777" w:rsidR="007465F0" w:rsidRPr="00D926FE" w:rsidRDefault="007465F0" w:rsidP="00B03371">
            <w:pPr>
              <w:jc w:val="right"/>
              <w:rPr>
                <w:sz w:val="20"/>
                <w:lang w:eastAsia="es-AR"/>
              </w:rPr>
            </w:pPr>
          </w:p>
        </w:tc>
        <w:tc>
          <w:tcPr>
            <w:tcW w:w="841" w:type="dxa"/>
            <w:tcBorders>
              <w:top w:val="nil"/>
              <w:left w:val="nil"/>
              <w:bottom w:val="nil"/>
              <w:right w:val="nil"/>
            </w:tcBorders>
            <w:shd w:val="clear" w:color="auto" w:fill="auto"/>
            <w:vAlign w:val="bottom"/>
            <w:hideMark/>
          </w:tcPr>
          <w:p w14:paraId="6FE017EA" w14:textId="77777777" w:rsidR="007465F0" w:rsidRPr="00D926FE" w:rsidRDefault="007465F0" w:rsidP="00B03371">
            <w:pPr>
              <w:ind w:left="709" w:hanging="709"/>
              <w:jc w:val="right"/>
              <w:rPr>
                <w:sz w:val="20"/>
                <w:lang w:eastAsia="es-AR"/>
              </w:rPr>
            </w:pPr>
          </w:p>
        </w:tc>
        <w:tc>
          <w:tcPr>
            <w:tcW w:w="842" w:type="dxa"/>
            <w:tcBorders>
              <w:top w:val="nil"/>
              <w:left w:val="nil"/>
              <w:bottom w:val="nil"/>
              <w:right w:val="nil"/>
            </w:tcBorders>
            <w:shd w:val="clear" w:color="auto" w:fill="auto"/>
            <w:vAlign w:val="bottom"/>
            <w:hideMark/>
          </w:tcPr>
          <w:p w14:paraId="03027069" w14:textId="77777777" w:rsidR="007465F0" w:rsidRPr="00D926FE" w:rsidRDefault="007465F0" w:rsidP="00B03371">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0F9F1E20" w14:textId="77777777" w:rsidR="007465F0" w:rsidRPr="00D926FE" w:rsidRDefault="007465F0" w:rsidP="00B03371">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66536B05" w14:textId="77777777" w:rsidR="007465F0" w:rsidRPr="00D926FE" w:rsidRDefault="007465F0" w:rsidP="00B03371">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293D94E8" w14:textId="77777777" w:rsidR="007465F0" w:rsidRPr="00D926FE" w:rsidRDefault="007465F0" w:rsidP="00B03371">
            <w:pPr>
              <w:ind w:left="709" w:hanging="709"/>
              <w:jc w:val="right"/>
              <w:rPr>
                <w:sz w:val="20"/>
                <w:lang w:eastAsia="es-AR"/>
              </w:rPr>
            </w:pPr>
          </w:p>
        </w:tc>
      </w:tr>
      <w:tr w:rsidR="007465F0" w:rsidRPr="00D926FE" w14:paraId="057C109D" w14:textId="77777777" w:rsidTr="008066E1">
        <w:trPr>
          <w:gridAfter w:val="1"/>
          <w:wAfter w:w="17" w:type="dxa"/>
          <w:trHeight w:val="319"/>
        </w:trPr>
        <w:tc>
          <w:tcPr>
            <w:tcW w:w="3188" w:type="dxa"/>
            <w:tcBorders>
              <w:top w:val="nil"/>
              <w:left w:val="nil"/>
              <w:bottom w:val="nil"/>
              <w:right w:val="nil"/>
            </w:tcBorders>
            <w:shd w:val="clear" w:color="auto" w:fill="auto"/>
            <w:vAlign w:val="bottom"/>
            <w:hideMark/>
          </w:tcPr>
          <w:p w14:paraId="4C36418F" w14:textId="77777777" w:rsidR="007465F0" w:rsidRPr="00D926FE" w:rsidRDefault="007465F0" w:rsidP="00B03371">
            <w:pPr>
              <w:rPr>
                <w:rFonts w:ascii="Arial" w:hAnsi="Arial" w:cs="Arial"/>
                <w:b/>
                <w:bCs/>
                <w:i/>
                <w:iCs/>
                <w:sz w:val="14"/>
                <w:szCs w:val="14"/>
                <w:lang w:eastAsia="es-AR"/>
              </w:rPr>
            </w:pPr>
            <w:r w:rsidRPr="00D926FE">
              <w:rPr>
                <w:rFonts w:ascii="Arial" w:hAnsi="Arial" w:cs="Arial"/>
                <w:b/>
                <w:bCs/>
                <w:i/>
                <w:iCs/>
                <w:sz w:val="14"/>
                <w:szCs w:val="14"/>
                <w:lang w:eastAsia="es-AR"/>
              </w:rPr>
              <w:t>Del País</w:t>
            </w:r>
          </w:p>
        </w:tc>
        <w:tc>
          <w:tcPr>
            <w:tcW w:w="709" w:type="dxa"/>
            <w:tcBorders>
              <w:top w:val="nil"/>
              <w:left w:val="nil"/>
              <w:bottom w:val="nil"/>
              <w:right w:val="nil"/>
            </w:tcBorders>
            <w:shd w:val="clear" w:color="auto" w:fill="auto"/>
            <w:hideMark/>
          </w:tcPr>
          <w:p w14:paraId="587DF353" w14:textId="77777777" w:rsidR="007465F0" w:rsidRPr="00D926FE" w:rsidRDefault="007465F0" w:rsidP="007465F0">
            <w:pPr>
              <w:rPr>
                <w:rFonts w:ascii="Arial" w:hAnsi="Arial" w:cs="Arial"/>
                <w:b/>
                <w:bCs/>
                <w:i/>
                <w:iCs/>
                <w:sz w:val="14"/>
                <w:szCs w:val="14"/>
                <w:lang w:eastAsia="es-AR"/>
              </w:rPr>
            </w:pPr>
          </w:p>
        </w:tc>
        <w:tc>
          <w:tcPr>
            <w:tcW w:w="850" w:type="dxa"/>
            <w:tcBorders>
              <w:top w:val="nil"/>
              <w:left w:val="nil"/>
              <w:bottom w:val="nil"/>
              <w:right w:val="nil"/>
            </w:tcBorders>
            <w:shd w:val="clear" w:color="auto" w:fill="auto"/>
            <w:vAlign w:val="bottom"/>
            <w:hideMark/>
          </w:tcPr>
          <w:p w14:paraId="72EC91F6" w14:textId="77777777" w:rsidR="007465F0" w:rsidRPr="00D926FE" w:rsidRDefault="007465F0" w:rsidP="00B03371">
            <w:pPr>
              <w:jc w:val="right"/>
              <w:rPr>
                <w:sz w:val="20"/>
                <w:lang w:eastAsia="es-AR"/>
              </w:rPr>
            </w:pPr>
          </w:p>
        </w:tc>
        <w:tc>
          <w:tcPr>
            <w:tcW w:w="794" w:type="dxa"/>
            <w:tcBorders>
              <w:top w:val="nil"/>
              <w:left w:val="nil"/>
              <w:bottom w:val="nil"/>
              <w:right w:val="nil"/>
            </w:tcBorders>
            <w:shd w:val="clear" w:color="auto" w:fill="auto"/>
            <w:vAlign w:val="bottom"/>
            <w:hideMark/>
          </w:tcPr>
          <w:p w14:paraId="78A89043" w14:textId="77777777" w:rsidR="007465F0" w:rsidRPr="00D926FE" w:rsidRDefault="007465F0" w:rsidP="00B03371">
            <w:pPr>
              <w:jc w:val="right"/>
              <w:rPr>
                <w:sz w:val="20"/>
                <w:lang w:eastAsia="es-AR"/>
              </w:rPr>
            </w:pPr>
          </w:p>
        </w:tc>
        <w:tc>
          <w:tcPr>
            <w:tcW w:w="841" w:type="dxa"/>
            <w:tcBorders>
              <w:top w:val="nil"/>
              <w:left w:val="nil"/>
              <w:bottom w:val="nil"/>
              <w:right w:val="nil"/>
            </w:tcBorders>
            <w:shd w:val="clear" w:color="auto" w:fill="auto"/>
            <w:vAlign w:val="bottom"/>
            <w:hideMark/>
          </w:tcPr>
          <w:p w14:paraId="75B34AF4" w14:textId="77777777" w:rsidR="007465F0" w:rsidRPr="00D926FE" w:rsidRDefault="007465F0" w:rsidP="00B03371">
            <w:pPr>
              <w:ind w:left="709" w:hanging="709"/>
              <w:jc w:val="right"/>
              <w:rPr>
                <w:sz w:val="20"/>
                <w:lang w:eastAsia="es-AR"/>
              </w:rPr>
            </w:pPr>
          </w:p>
        </w:tc>
        <w:tc>
          <w:tcPr>
            <w:tcW w:w="842" w:type="dxa"/>
            <w:tcBorders>
              <w:top w:val="nil"/>
              <w:left w:val="nil"/>
              <w:bottom w:val="nil"/>
              <w:right w:val="nil"/>
            </w:tcBorders>
            <w:shd w:val="clear" w:color="auto" w:fill="auto"/>
            <w:vAlign w:val="bottom"/>
            <w:hideMark/>
          </w:tcPr>
          <w:p w14:paraId="7A4F7324" w14:textId="77777777" w:rsidR="007465F0" w:rsidRPr="00D926FE" w:rsidRDefault="007465F0" w:rsidP="00B03371">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550119B2" w14:textId="77777777" w:rsidR="007465F0" w:rsidRPr="00D926FE" w:rsidRDefault="007465F0" w:rsidP="00B03371">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2643B7FA" w14:textId="77777777" w:rsidR="007465F0" w:rsidRPr="00D926FE" w:rsidRDefault="007465F0" w:rsidP="00B03371">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0EF5C465" w14:textId="77777777" w:rsidR="007465F0" w:rsidRPr="00D926FE" w:rsidRDefault="007465F0" w:rsidP="00B03371">
            <w:pPr>
              <w:ind w:left="709" w:hanging="709"/>
              <w:jc w:val="right"/>
              <w:rPr>
                <w:sz w:val="20"/>
                <w:lang w:eastAsia="es-AR"/>
              </w:rPr>
            </w:pPr>
          </w:p>
        </w:tc>
      </w:tr>
      <w:tr w:rsidR="00CE2DE2" w:rsidRPr="00D926FE" w14:paraId="4BF22E00" w14:textId="77777777" w:rsidTr="00CE2DE2">
        <w:trPr>
          <w:gridAfter w:val="1"/>
          <w:wAfter w:w="17" w:type="dxa"/>
          <w:trHeight w:val="179"/>
        </w:trPr>
        <w:tc>
          <w:tcPr>
            <w:tcW w:w="3188" w:type="dxa"/>
            <w:tcBorders>
              <w:top w:val="nil"/>
              <w:left w:val="nil"/>
              <w:bottom w:val="nil"/>
              <w:right w:val="nil"/>
            </w:tcBorders>
            <w:shd w:val="clear" w:color="auto" w:fill="auto"/>
            <w:vAlign w:val="bottom"/>
            <w:hideMark/>
          </w:tcPr>
          <w:p w14:paraId="03961A2D" w14:textId="0104659F" w:rsidR="00CE2DE2" w:rsidRPr="00D926FE" w:rsidRDefault="00CE2DE2" w:rsidP="00CE2DE2">
            <w:pPr>
              <w:rPr>
                <w:rFonts w:ascii="Arial" w:hAnsi="Arial" w:cs="Arial"/>
                <w:sz w:val="14"/>
                <w:szCs w:val="14"/>
                <w:lang w:eastAsia="es-AR"/>
              </w:rPr>
            </w:pPr>
            <w:r>
              <w:rPr>
                <w:rFonts w:ascii="Arial" w:hAnsi="Arial" w:cs="Arial"/>
                <w:sz w:val="14"/>
                <w:szCs w:val="14"/>
              </w:rPr>
              <w:t>Grupo Financiero Galicia SA</w:t>
            </w:r>
          </w:p>
        </w:tc>
        <w:tc>
          <w:tcPr>
            <w:tcW w:w="709" w:type="dxa"/>
            <w:tcBorders>
              <w:top w:val="nil"/>
              <w:left w:val="nil"/>
              <w:bottom w:val="nil"/>
              <w:right w:val="nil"/>
            </w:tcBorders>
            <w:shd w:val="clear" w:color="auto" w:fill="auto"/>
            <w:vAlign w:val="bottom"/>
            <w:hideMark/>
          </w:tcPr>
          <w:p w14:paraId="3076DA3C" w14:textId="46CE9386" w:rsidR="00CE2DE2" w:rsidRPr="00D926FE" w:rsidRDefault="00CE2DE2" w:rsidP="00CE2DE2">
            <w:pPr>
              <w:jc w:val="center"/>
              <w:rPr>
                <w:rFonts w:ascii="Arial" w:hAnsi="Arial" w:cs="Arial"/>
                <w:sz w:val="14"/>
                <w:szCs w:val="14"/>
                <w:lang w:eastAsia="es-AR"/>
              </w:rPr>
            </w:pPr>
            <w:r>
              <w:rPr>
                <w:rFonts w:ascii="Arial" w:hAnsi="Arial" w:cs="Arial"/>
                <w:sz w:val="14"/>
                <w:szCs w:val="14"/>
              </w:rPr>
              <w:t>00534</w:t>
            </w:r>
          </w:p>
        </w:tc>
        <w:tc>
          <w:tcPr>
            <w:tcW w:w="850" w:type="dxa"/>
            <w:tcBorders>
              <w:top w:val="nil"/>
              <w:left w:val="nil"/>
              <w:bottom w:val="nil"/>
              <w:right w:val="nil"/>
            </w:tcBorders>
            <w:shd w:val="clear" w:color="auto" w:fill="auto"/>
            <w:vAlign w:val="bottom"/>
            <w:hideMark/>
          </w:tcPr>
          <w:p w14:paraId="5A9EF7E0" w14:textId="77777777" w:rsidR="00CE2DE2" w:rsidRPr="00D926FE" w:rsidRDefault="00CE2DE2" w:rsidP="00CE2DE2">
            <w:pPr>
              <w:jc w:val="right"/>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1F98428A" w14:textId="1F63352A" w:rsidR="00CE2DE2" w:rsidRPr="00D926FE" w:rsidRDefault="00CE2DE2" w:rsidP="00CE2DE2">
            <w:pPr>
              <w:jc w:val="right"/>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2F3D6CC5" w14:textId="3518AF4F"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 xml:space="preserve">- </w:t>
            </w:r>
          </w:p>
        </w:tc>
        <w:tc>
          <w:tcPr>
            <w:tcW w:w="842" w:type="dxa"/>
            <w:tcBorders>
              <w:top w:val="nil"/>
              <w:left w:val="nil"/>
              <w:bottom w:val="nil"/>
              <w:right w:val="nil"/>
            </w:tcBorders>
            <w:shd w:val="clear" w:color="auto" w:fill="auto"/>
            <w:vAlign w:val="bottom"/>
            <w:hideMark/>
          </w:tcPr>
          <w:p w14:paraId="628283BA" w14:textId="164CA823"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6.248</w:t>
            </w:r>
          </w:p>
        </w:tc>
        <w:tc>
          <w:tcPr>
            <w:tcW w:w="915" w:type="dxa"/>
            <w:tcBorders>
              <w:top w:val="nil"/>
              <w:left w:val="nil"/>
              <w:bottom w:val="nil"/>
              <w:right w:val="nil"/>
            </w:tcBorders>
            <w:shd w:val="clear" w:color="auto" w:fill="auto"/>
            <w:vAlign w:val="bottom"/>
            <w:hideMark/>
          </w:tcPr>
          <w:p w14:paraId="44045F52" w14:textId="0EF06221"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-6.117</w:t>
            </w:r>
          </w:p>
        </w:tc>
        <w:tc>
          <w:tcPr>
            <w:tcW w:w="778" w:type="dxa"/>
            <w:tcBorders>
              <w:top w:val="nil"/>
              <w:left w:val="nil"/>
              <w:bottom w:val="nil"/>
              <w:right w:val="nil"/>
            </w:tcBorders>
            <w:shd w:val="clear" w:color="auto" w:fill="auto"/>
            <w:vAlign w:val="bottom"/>
            <w:hideMark/>
          </w:tcPr>
          <w:p w14:paraId="76C9A414" w14:textId="5FBACE4C"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30A8848F" w14:textId="556ACA08"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-6.117</w:t>
            </w:r>
          </w:p>
        </w:tc>
      </w:tr>
      <w:tr w:rsidR="007465F0" w:rsidRPr="00D926FE" w14:paraId="1FC23FD2" w14:textId="77777777" w:rsidTr="008066E1">
        <w:trPr>
          <w:gridAfter w:val="1"/>
          <w:wAfter w:w="17" w:type="dxa"/>
          <w:trHeight w:val="80"/>
        </w:trPr>
        <w:tc>
          <w:tcPr>
            <w:tcW w:w="3188" w:type="dxa"/>
            <w:tcBorders>
              <w:top w:val="nil"/>
              <w:left w:val="nil"/>
              <w:bottom w:val="nil"/>
              <w:right w:val="nil"/>
            </w:tcBorders>
            <w:shd w:val="clear" w:color="auto" w:fill="auto"/>
            <w:vAlign w:val="bottom"/>
            <w:hideMark/>
          </w:tcPr>
          <w:p w14:paraId="726C746C" w14:textId="77777777" w:rsidR="007465F0" w:rsidRPr="00D926FE" w:rsidRDefault="007465F0" w:rsidP="00B03371">
            <w:pPr>
              <w:rPr>
                <w:rFonts w:ascii="Arial" w:hAnsi="Arial" w:cs="Arial"/>
                <w:sz w:val="14"/>
                <w:szCs w:val="14"/>
                <w:lang w:eastAsia="es-AR"/>
              </w:rPr>
            </w:pPr>
          </w:p>
        </w:tc>
        <w:tc>
          <w:tcPr>
            <w:tcW w:w="709" w:type="dxa"/>
            <w:tcBorders>
              <w:top w:val="nil"/>
              <w:left w:val="nil"/>
              <w:bottom w:val="nil"/>
              <w:right w:val="nil"/>
            </w:tcBorders>
            <w:shd w:val="clear" w:color="auto" w:fill="auto"/>
            <w:hideMark/>
          </w:tcPr>
          <w:p w14:paraId="45BB4B45" w14:textId="77777777" w:rsidR="007465F0" w:rsidRPr="00D926FE" w:rsidRDefault="007465F0" w:rsidP="007465F0">
            <w:pPr>
              <w:rPr>
                <w:sz w:val="20"/>
                <w:lang w:eastAsia="es-AR"/>
              </w:rPr>
            </w:pPr>
          </w:p>
        </w:tc>
        <w:tc>
          <w:tcPr>
            <w:tcW w:w="850" w:type="dxa"/>
            <w:tcBorders>
              <w:top w:val="nil"/>
              <w:left w:val="nil"/>
              <w:bottom w:val="nil"/>
              <w:right w:val="nil"/>
            </w:tcBorders>
            <w:shd w:val="clear" w:color="auto" w:fill="auto"/>
            <w:vAlign w:val="bottom"/>
            <w:hideMark/>
          </w:tcPr>
          <w:p w14:paraId="3D436F9B" w14:textId="77777777" w:rsidR="007465F0" w:rsidRPr="00D926FE" w:rsidRDefault="007465F0" w:rsidP="00B03371">
            <w:pPr>
              <w:jc w:val="right"/>
              <w:rPr>
                <w:sz w:val="20"/>
                <w:lang w:eastAsia="es-AR"/>
              </w:rPr>
            </w:pPr>
          </w:p>
        </w:tc>
        <w:tc>
          <w:tcPr>
            <w:tcW w:w="794" w:type="dxa"/>
            <w:tcBorders>
              <w:top w:val="nil"/>
              <w:left w:val="nil"/>
              <w:bottom w:val="nil"/>
              <w:right w:val="nil"/>
            </w:tcBorders>
            <w:shd w:val="clear" w:color="auto" w:fill="auto"/>
            <w:vAlign w:val="bottom"/>
            <w:hideMark/>
          </w:tcPr>
          <w:p w14:paraId="5F1D6978" w14:textId="77777777" w:rsidR="007465F0" w:rsidRPr="00D926FE" w:rsidRDefault="007465F0" w:rsidP="00B03371">
            <w:pPr>
              <w:jc w:val="right"/>
              <w:rPr>
                <w:sz w:val="20"/>
                <w:lang w:eastAsia="es-AR"/>
              </w:rPr>
            </w:pPr>
          </w:p>
        </w:tc>
        <w:tc>
          <w:tcPr>
            <w:tcW w:w="841" w:type="dxa"/>
            <w:tcBorders>
              <w:top w:val="nil"/>
              <w:left w:val="nil"/>
              <w:bottom w:val="nil"/>
              <w:right w:val="nil"/>
            </w:tcBorders>
            <w:shd w:val="clear" w:color="auto" w:fill="auto"/>
            <w:vAlign w:val="bottom"/>
            <w:hideMark/>
          </w:tcPr>
          <w:p w14:paraId="06640A79" w14:textId="77777777" w:rsidR="007465F0" w:rsidRPr="00D926FE" w:rsidRDefault="007465F0" w:rsidP="00B03371">
            <w:pPr>
              <w:ind w:left="709" w:hanging="709"/>
              <w:jc w:val="right"/>
              <w:rPr>
                <w:sz w:val="20"/>
                <w:lang w:eastAsia="es-AR"/>
              </w:rPr>
            </w:pPr>
          </w:p>
        </w:tc>
        <w:tc>
          <w:tcPr>
            <w:tcW w:w="842" w:type="dxa"/>
            <w:tcBorders>
              <w:top w:val="nil"/>
              <w:left w:val="nil"/>
              <w:bottom w:val="nil"/>
              <w:right w:val="nil"/>
            </w:tcBorders>
            <w:shd w:val="clear" w:color="auto" w:fill="auto"/>
            <w:vAlign w:val="bottom"/>
            <w:hideMark/>
          </w:tcPr>
          <w:p w14:paraId="46F26A52" w14:textId="77777777" w:rsidR="007465F0" w:rsidRPr="00D926FE" w:rsidRDefault="007465F0" w:rsidP="00B03371">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5CE5A5A0" w14:textId="77777777" w:rsidR="007465F0" w:rsidRPr="00D926FE" w:rsidRDefault="007465F0" w:rsidP="00B03371">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710FE328" w14:textId="77777777" w:rsidR="007465F0" w:rsidRPr="00D926FE" w:rsidRDefault="007465F0" w:rsidP="00B03371">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098A754A" w14:textId="77777777" w:rsidR="007465F0" w:rsidRPr="00D926FE" w:rsidRDefault="007465F0" w:rsidP="00B03371">
            <w:pPr>
              <w:ind w:left="709" w:hanging="709"/>
              <w:jc w:val="right"/>
              <w:rPr>
                <w:sz w:val="20"/>
                <w:lang w:eastAsia="es-AR"/>
              </w:rPr>
            </w:pPr>
          </w:p>
        </w:tc>
      </w:tr>
      <w:tr w:rsidR="00CE2DE2" w:rsidRPr="00D926FE" w14:paraId="104980EC" w14:textId="77777777" w:rsidTr="00CE2DE2">
        <w:trPr>
          <w:gridAfter w:val="1"/>
          <w:wAfter w:w="17" w:type="dxa"/>
          <w:trHeight w:val="319"/>
        </w:trPr>
        <w:tc>
          <w:tcPr>
            <w:tcW w:w="3188" w:type="dxa"/>
            <w:tcBorders>
              <w:top w:val="nil"/>
              <w:left w:val="nil"/>
              <w:bottom w:val="single" w:sz="4" w:space="0" w:color="auto"/>
              <w:right w:val="nil"/>
            </w:tcBorders>
            <w:shd w:val="clear" w:color="auto" w:fill="auto"/>
            <w:vAlign w:val="bottom"/>
            <w:hideMark/>
          </w:tcPr>
          <w:p w14:paraId="5674790D" w14:textId="77777777" w:rsidR="00BD70CF" w:rsidRDefault="00BD70CF" w:rsidP="00CE2DE2">
            <w:pPr>
              <w:rPr>
                <w:rFonts w:ascii="Arial" w:hAnsi="Arial" w:cs="Arial"/>
                <w:sz w:val="14"/>
                <w:szCs w:val="14"/>
                <w:lang w:eastAsia="es-AR"/>
              </w:rPr>
            </w:pPr>
          </w:p>
          <w:p w14:paraId="4B6F567F" w14:textId="01E54E24" w:rsidR="00BD70CF" w:rsidRPr="00BD70CF" w:rsidRDefault="00BD70CF" w:rsidP="00CE2DE2">
            <w:pPr>
              <w:rPr>
                <w:rFonts w:ascii="Arial" w:hAnsi="Arial" w:cs="Arial"/>
                <w:b/>
                <w:sz w:val="14"/>
                <w:szCs w:val="14"/>
                <w:lang w:eastAsia="es-AR"/>
              </w:rPr>
            </w:pPr>
            <w:r w:rsidRPr="00BD70CF">
              <w:rPr>
                <w:rFonts w:ascii="Arial" w:hAnsi="Arial" w:cs="Arial"/>
                <w:b/>
                <w:sz w:val="14"/>
                <w:szCs w:val="14"/>
                <w:lang w:eastAsia="es-AR"/>
              </w:rPr>
              <w:t>Medidos a valor razonable con cambios en</w:t>
            </w:r>
          </w:p>
          <w:p w14:paraId="2C8DDAC6" w14:textId="4F424EC7" w:rsidR="00BD70CF" w:rsidRDefault="00BD70CF" w:rsidP="00CE2DE2">
            <w:pPr>
              <w:rPr>
                <w:rFonts w:ascii="Arial" w:hAnsi="Arial" w:cs="Arial"/>
                <w:b/>
                <w:sz w:val="14"/>
                <w:szCs w:val="14"/>
                <w:lang w:eastAsia="es-AR"/>
              </w:rPr>
            </w:pPr>
            <w:r w:rsidRPr="00BD70CF">
              <w:rPr>
                <w:rFonts w:ascii="Arial" w:hAnsi="Arial" w:cs="Arial"/>
                <w:b/>
                <w:sz w:val="14"/>
                <w:szCs w:val="14"/>
                <w:lang w:eastAsia="es-AR"/>
              </w:rPr>
              <w:t>ORI</w:t>
            </w:r>
          </w:p>
          <w:p w14:paraId="2ED19012" w14:textId="62A29120" w:rsidR="00997114" w:rsidRPr="00BD70CF" w:rsidRDefault="00997114" w:rsidP="00CE2DE2">
            <w:pPr>
              <w:rPr>
                <w:rFonts w:ascii="Arial" w:hAnsi="Arial" w:cs="Arial"/>
                <w:b/>
                <w:sz w:val="14"/>
                <w:szCs w:val="14"/>
                <w:lang w:eastAsia="es-AR"/>
              </w:rPr>
            </w:pPr>
            <w:r>
              <w:rPr>
                <w:rFonts w:ascii="Arial" w:hAnsi="Arial" w:cs="Arial"/>
                <w:b/>
                <w:sz w:val="14"/>
                <w:szCs w:val="14"/>
                <w:lang w:eastAsia="es-AR"/>
              </w:rPr>
              <w:t>Del País</w:t>
            </w:r>
          </w:p>
          <w:p w14:paraId="7A172E02" w14:textId="4D54DB56" w:rsidR="00CE2DE2" w:rsidRPr="00D926FE" w:rsidRDefault="00CE2DE2" w:rsidP="00CE2DE2">
            <w:pPr>
              <w:rPr>
                <w:rFonts w:ascii="Arial" w:hAnsi="Arial" w:cs="Arial"/>
                <w:sz w:val="14"/>
                <w:szCs w:val="14"/>
                <w:lang w:eastAsia="es-AR"/>
              </w:rPr>
            </w:pPr>
            <w:r w:rsidRPr="00D926FE">
              <w:rPr>
                <w:rFonts w:ascii="Arial" w:hAnsi="Arial" w:cs="Arial"/>
                <w:sz w:val="14"/>
                <w:szCs w:val="14"/>
                <w:lang w:eastAsia="es-AR"/>
              </w:rPr>
              <w:t>Otros</w:t>
            </w:r>
          </w:p>
        </w:tc>
        <w:tc>
          <w:tcPr>
            <w:tcW w:w="709" w:type="dxa"/>
            <w:tcBorders>
              <w:top w:val="nil"/>
              <w:left w:val="nil"/>
              <w:bottom w:val="single" w:sz="4" w:space="0" w:color="auto"/>
              <w:right w:val="nil"/>
            </w:tcBorders>
            <w:shd w:val="clear" w:color="auto" w:fill="auto"/>
            <w:hideMark/>
          </w:tcPr>
          <w:p w14:paraId="664CF0F2" w14:textId="77777777" w:rsidR="00CE2DE2" w:rsidRPr="00D926FE" w:rsidRDefault="00CE2DE2" w:rsidP="00CE2DE2">
            <w:pPr>
              <w:rPr>
                <w:rFonts w:ascii="Arial" w:hAnsi="Arial" w:cs="Arial"/>
                <w:sz w:val="14"/>
                <w:szCs w:val="14"/>
                <w:lang w:eastAsia="es-AR"/>
              </w:rPr>
            </w:pPr>
            <w:r w:rsidRPr="00D926FE">
              <w:rPr>
                <w:rFonts w:ascii="Arial" w:hAnsi="Arial" w:cs="Arial"/>
                <w:sz w:val="14"/>
                <w:szCs w:val="14"/>
                <w:lang w:eastAsia="es-AR"/>
              </w:rPr>
              <w:t> </w:t>
            </w:r>
          </w:p>
        </w:tc>
        <w:tc>
          <w:tcPr>
            <w:tcW w:w="850" w:type="dxa"/>
            <w:tcBorders>
              <w:top w:val="nil"/>
              <w:left w:val="nil"/>
              <w:bottom w:val="single" w:sz="4" w:space="0" w:color="auto"/>
              <w:right w:val="nil"/>
            </w:tcBorders>
            <w:shd w:val="clear" w:color="auto" w:fill="auto"/>
            <w:vAlign w:val="bottom"/>
            <w:hideMark/>
          </w:tcPr>
          <w:p w14:paraId="30C4553F" w14:textId="77777777" w:rsidR="00CE2DE2" w:rsidRPr="00D926FE" w:rsidRDefault="00CE2DE2" w:rsidP="00CE2DE2">
            <w:pPr>
              <w:jc w:val="right"/>
              <w:rPr>
                <w:rFonts w:ascii="Arial" w:hAnsi="Arial" w:cs="Arial"/>
                <w:sz w:val="14"/>
                <w:szCs w:val="14"/>
                <w:lang w:eastAsia="es-AR"/>
              </w:rPr>
            </w:pPr>
            <w:r w:rsidRPr="00D926FE">
              <w:rPr>
                <w:rFonts w:ascii="Arial" w:hAnsi="Arial" w:cs="Arial"/>
                <w:sz w:val="14"/>
                <w:szCs w:val="14"/>
                <w:lang w:eastAsia="es-AR"/>
              </w:rPr>
              <w:t> </w:t>
            </w:r>
          </w:p>
        </w:tc>
        <w:tc>
          <w:tcPr>
            <w:tcW w:w="794" w:type="dxa"/>
            <w:tcBorders>
              <w:top w:val="nil"/>
              <w:left w:val="nil"/>
              <w:bottom w:val="single" w:sz="4" w:space="0" w:color="auto"/>
              <w:right w:val="nil"/>
            </w:tcBorders>
            <w:shd w:val="clear" w:color="auto" w:fill="auto"/>
            <w:vAlign w:val="bottom"/>
            <w:hideMark/>
          </w:tcPr>
          <w:p w14:paraId="770729D9" w14:textId="77777777" w:rsidR="00CE2DE2" w:rsidRPr="00D926FE" w:rsidRDefault="00CE2DE2" w:rsidP="00CE2DE2">
            <w:pPr>
              <w:jc w:val="right"/>
              <w:rPr>
                <w:rFonts w:ascii="Arial" w:hAnsi="Arial" w:cs="Arial"/>
                <w:sz w:val="14"/>
                <w:szCs w:val="14"/>
                <w:lang w:eastAsia="es-AR"/>
              </w:rPr>
            </w:pPr>
            <w:r w:rsidRPr="00D926FE">
              <w:rPr>
                <w:rFonts w:ascii="Arial" w:hAnsi="Arial" w:cs="Arial"/>
                <w:sz w:val="14"/>
                <w:szCs w:val="14"/>
                <w:lang w:eastAsia="es-AR"/>
              </w:rPr>
              <w:t> </w:t>
            </w:r>
          </w:p>
        </w:tc>
        <w:tc>
          <w:tcPr>
            <w:tcW w:w="841" w:type="dxa"/>
            <w:tcBorders>
              <w:top w:val="nil"/>
              <w:left w:val="nil"/>
              <w:bottom w:val="single" w:sz="4" w:space="0" w:color="auto"/>
              <w:right w:val="nil"/>
            </w:tcBorders>
            <w:shd w:val="clear" w:color="auto" w:fill="auto"/>
            <w:vAlign w:val="bottom"/>
            <w:hideMark/>
          </w:tcPr>
          <w:p w14:paraId="68DD7379" w14:textId="06AE2C16"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8.783</w:t>
            </w:r>
          </w:p>
        </w:tc>
        <w:tc>
          <w:tcPr>
            <w:tcW w:w="842" w:type="dxa"/>
            <w:tcBorders>
              <w:top w:val="nil"/>
              <w:left w:val="nil"/>
              <w:bottom w:val="single" w:sz="4" w:space="0" w:color="auto"/>
              <w:right w:val="nil"/>
            </w:tcBorders>
            <w:shd w:val="clear" w:color="auto" w:fill="auto"/>
            <w:vAlign w:val="bottom"/>
            <w:hideMark/>
          </w:tcPr>
          <w:p w14:paraId="12A3DCB9" w14:textId="7B6F0075"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9.468</w:t>
            </w:r>
          </w:p>
        </w:tc>
        <w:tc>
          <w:tcPr>
            <w:tcW w:w="915" w:type="dxa"/>
            <w:tcBorders>
              <w:top w:val="nil"/>
              <w:left w:val="nil"/>
              <w:bottom w:val="single" w:sz="4" w:space="0" w:color="auto"/>
              <w:right w:val="nil"/>
            </w:tcBorders>
            <w:shd w:val="clear" w:color="auto" w:fill="auto"/>
            <w:vAlign w:val="bottom"/>
            <w:hideMark/>
          </w:tcPr>
          <w:p w14:paraId="33577109" w14:textId="59F8408A"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8.783</w:t>
            </w:r>
          </w:p>
        </w:tc>
        <w:tc>
          <w:tcPr>
            <w:tcW w:w="778" w:type="dxa"/>
            <w:tcBorders>
              <w:top w:val="nil"/>
              <w:left w:val="nil"/>
              <w:bottom w:val="single" w:sz="4" w:space="0" w:color="auto"/>
              <w:right w:val="nil"/>
            </w:tcBorders>
            <w:shd w:val="clear" w:color="auto" w:fill="auto"/>
            <w:vAlign w:val="bottom"/>
            <w:hideMark/>
          </w:tcPr>
          <w:p w14:paraId="3C983937" w14:textId="1AFEF3DB"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single" w:sz="4" w:space="0" w:color="auto"/>
              <w:right w:val="nil"/>
            </w:tcBorders>
            <w:shd w:val="clear" w:color="auto" w:fill="auto"/>
            <w:vAlign w:val="bottom"/>
            <w:hideMark/>
          </w:tcPr>
          <w:p w14:paraId="36D7CFBE" w14:textId="783660EB" w:rsidR="00CE2DE2" w:rsidRPr="00D926FE" w:rsidRDefault="00CE2DE2" w:rsidP="00CE2DE2">
            <w:pPr>
              <w:ind w:left="709" w:hanging="709"/>
              <w:jc w:val="right"/>
              <w:rPr>
                <w:rFonts w:ascii="Arial" w:hAnsi="Arial" w:cs="Arial"/>
                <w:sz w:val="14"/>
                <w:szCs w:val="14"/>
                <w:lang w:eastAsia="es-AR"/>
              </w:rPr>
            </w:pPr>
            <w:r>
              <w:rPr>
                <w:rFonts w:ascii="Arial" w:hAnsi="Arial" w:cs="Arial"/>
                <w:sz w:val="14"/>
                <w:szCs w:val="14"/>
              </w:rPr>
              <w:t>8.783</w:t>
            </w:r>
          </w:p>
        </w:tc>
      </w:tr>
      <w:tr w:rsidR="00CE2DE2" w:rsidRPr="00D926FE" w14:paraId="79F9A3B3" w14:textId="77777777" w:rsidTr="00CE2DE2">
        <w:trPr>
          <w:gridAfter w:val="1"/>
          <w:wAfter w:w="17" w:type="dxa"/>
          <w:trHeight w:val="319"/>
        </w:trPr>
        <w:tc>
          <w:tcPr>
            <w:tcW w:w="3188" w:type="dxa"/>
            <w:tcBorders>
              <w:top w:val="nil"/>
              <w:left w:val="nil"/>
              <w:bottom w:val="nil"/>
              <w:right w:val="nil"/>
            </w:tcBorders>
            <w:shd w:val="clear" w:color="auto" w:fill="auto"/>
            <w:vAlign w:val="bottom"/>
            <w:hideMark/>
          </w:tcPr>
          <w:p w14:paraId="6EE3897D" w14:textId="77777777" w:rsidR="00CE2DE2" w:rsidRPr="00D926FE" w:rsidRDefault="00CE2DE2" w:rsidP="00CE2DE2">
            <w:pPr>
              <w:rPr>
                <w:rFonts w:ascii="Arial" w:hAnsi="Arial" w:cs="Arial"/>
                <w:b/>
                <w:bCs/>
                <w:sz w:val="14"/>
                <w:szCs w:val="14"/>
                <w:lang w:eastAsia="es-AR"/>
              </w:rPr>
            </w:pPr>
            <w:r w:rsidRPr="00D926FE">
              <w:rPr>
                <w:rFonts w:ascii="Arial" w:hAnsi="Arial" w:cs="Arial"/>
                <w:b/>
                <w:bCs/>
                <w:sz w:val="14"/>
                <w:szCs w:val="14"/>
                <w:lang w:eastAsia="es-AR"/>
              </w:rPr>
              <w:t>Total instrumentos de patrimonio</w:t>
            </w:r>
          </w:p>
        </w:tc>
        <w:tc>
          <w:tcPr>
            <w:tcW w:w="709" w:type="dxa"/>
            <w:tcBorders>
              <w:top w:val="nil"/>
              <w:left w:val="nil"/>
              <w:bottom w:val="nil"/>
              <w:right w:val="nil"/>
            </w:tcBorders>
            <w:shd w:val="clear" w:color="auto" w:fill="auto"/>
            <w:hideMark/>
          </w:tcPr>
          <w:p w14:paraId="2A1E839C" w14:textId="77777777" w:rsidR="00CE2DE2" w:rsidRPr="00D926FE" w:rsidRDefault="00CE2DE2" w:rsidP="00CE2DE2">
            <w:pPr>
              <w:rPr>
                <w:rFonts w:ascii="Arial" w:hAnsi="Arial" w:cs="Arial"/>
                <w:b/>
                <w:bCs/>
                <w:sz w:val="14"/>
                <w:szCs w:val="14"/>
                <w:lang w:eastAsia="es-AR"/>
              </w:rPr>
            </w:pPr>
          </w:p>
        </w:tc>
        <w:tc>
          <w:tcPr>
            <w:tcW w:w="850" w:type="dxa"/>
            <w:tcBorders>
              <w:top w:val="nil"/>
              <w:left w:val="nil"/>
              <w:bottom w:val="nil"/>
              <w:right w:val="nil"/>
            </w:tcBorders>
            <w:shd w:val="clear" w:color="auto" w:fill="auto"/>
            <w:vAlign w:val="bottom"/>
            <w:hideMark/>
          </w:tcPr>
          <w:p w14:paraId="6FABD39B" w14:textId="77777777" w:rsidR="00CE2DE2" w:rsidRPr="00D926FE" w:rsidRDefault="00CE2DE2" w:rsidP="00CE2DE2">
            <w:pPr>
              <w:jc w:val="right"/>
              <w:rPr>
                <w:sz w:val="20"/>
                <w:lang w:eastAsia="es-AR"/>
              </w:rPr>
            </w:pPr>
          </w:p>
        </w:tc>
        <w:tc>
          <w:tcPr>
            <w:tcW w:w="794" w:type="dxa"/>
            <w:tcBorders>
              <w:top w:val="nil"/>
              <w:left w:val="nil"/>
              <w:bottom w:val="nil"/>
              <w:right w:val="nil"/>
            </w:tcBorders>
            <w:shd w:val="clear" w:color="auto" w:fill="auto"/>
            <w:vAlign w:val="bottom"/>
            <w:hideMark/>
          </w:tcPr>
          <w:p w14:paraId="2DE1DCA4" w14:textId="77777777" w:rsidR="00CE2DE2" w:rsidRPr="00D926FE" w:rsidRDefault="00CE2DE2" w:rsidP="00CE2DE2">
            <w:pPr>
              <w:jc w:val="right"/>
              <w:rPr>
                <w:sz w:val="20"/>
                <w:lang w:eastAsia="es-AR"/>
              </w:rPr>
            </w:pPr>
          </w:p>
        </w:tc>
        <w:tc>
          <w:tcPr>
            <w:tcW w:w="841" w:type="dxa"/>
            <w:tcBorders>
              <w:top w:val="nil"/>
              <w:left w:val="nil"/>
              <w:bottom w:val="nil"/>
              <w:right w:val="nil"/>
            </w:tcBorders>
            <w:shd w:val="clear" w:color="auto" w:fill="auto"/>
            <w:vAlign w:val="bottom"/>
            <w:hideMark/>
          </w:tcPr>
          <w:p w14:paraId="4CDA58D1" w14:textId="2A023A92"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8.783</w:t>
            </w:r>
          </w:p>
        </w:tc>
        <w:tc>
          <w:tcPr>
            <w:tcW w:w="842" w:type="dxa"/>
            <w:tcBorders>
              <w:top w:val="nil"/>
              <w:left w:val="nil"/>
              <w:bottom w:val="nil"/>
              <w:right w:val="nil"/>
            </w:tcBorders>
            <w:shd w:val="clear" w:color="auto" w:fill="auto"/>
            <w:vAlign w:val="bottom"/>
            <w:hideMark/>
          </w:tcPr>
          <w:p w14:paraId="6F8E3093" w14:textId="00A13777"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15.716</w:t>
            </w:r>
          </w:p>
        </w:tc>
        <w:tc>
          <w:tcPr>
            <w:tcW w:w="915" w:type="dxa"/>
            <w:tcBorders>
              <w:top w:val="nil"/>
              <w:left w:val="nil"/>
              <w:bottom w:val="nil"/>
              <w:right w:val="nil"/>
            </w:tcBorders>
            <w:shd w:val="clear" w:color="auto" w:fill="auto"/>
            <w:vAlign w:val="bottom"/>
            <w:hideMark/>
          </w:tcPr>
          <w:p w14:paraId="3CEA71C3" w14:textId="0817C587"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2.666</w:t>
            </w:r>
          </w:p>
        </w:tc>
        <w:tc>
          <w:tcPr>
            <w:tcW w:w="778" w:type="dxa"/>
            <w:tcBorders>
              <w:top w:val="nil"/>
              <w:left w:val="nil"/>
              <w:bottom w:val="nil"/>
              <w:right w:val="nil"/>
            </w:tcBorders>
            <w:shd w:val="clear" w:color="auto" w:fill="auto"/>
            <w:vAlign w:val="bottom"/>
            <w:hideMark/>
          </w:tcPr>
          <w:p w14:paraId="091B1125" w14:textId="3E2684BA"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 xml:space="preserve">- </w:t>
            </w:r>
          </w:p>
        </w:tc>
        <w:tc>
          <w:tcPr>
            <w:tcW w:w="848" w:type="dxa"/>
            <w:tcBorders>
              <w:top w:val="nil"/>
              <w:left w:val="nil"/>
              <w:bottom w:val="nil"/>
              <w:right w:val="nil"/>
            </w:tcBorders>
            <w:shd w:val="clear" w:color="auto" w:fill="auto"/>
            <w:vAlign w:val="bottom"/>
            <w:hideMark/>
          </w:tcPr>
          <w:p w14:paraId="6E6D80F8" w14:textId="3B34F0A5"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2.666</w:t>
            </w:r>
          </w:p>
        </w:tc>
      </w:tr>
      <w:tr w:rsidR="00CE2DE2" w:rsidRPr="00D926FE" w14:paraId="5E84FE5E" w14:textId="77777777" w:rsidTr="00CE2DE2">
        <w:trPr>
          <w:gridAfter w:val="1"/>
          <w:wAfter w:w="17" w:type="dxa"/>
          <w:trHeight w:val="195"/>
        </w:trPr>
        <w:tc>
          <w:tcPr>
            <w:tcW w:w="3188" w:type="dxa"/>
            <w:tcBorders>
              <w:top w:val="single" w:sz="4" w:space="0" w:color="auto"/>
              <w:left w:val="nil"/>
              <w:bottom w:val="double" w:sz="6" w:space="0" w:color="auto"/>
              <w:right w:val="nil"/>
            </w:tcBorders>
            <w:shd w:val="clear" w:color="auto" w:fill="auto"/>
            <w:vAlign w:val="bottom"/>
            <w:hideMark/>
          </w:tcPr>
          <w:p w14:paraId="790A02BC" w14:textId="77777777" w:rsidR="00CE2DE2" w:rsidRPr="00D926FE" w:rsidRDefault="00CE2DE2" w:rsidP="00CE2DE2">
            <w:pPr>
              <w:rPr>
                <w:rFonts w:ascii="Arial" w:hAnsi="Arial" w:cs="Arial"/>
                <w:b/>
                <w:bCs/>
                <w:sz w:val="14"/>
                <w:szCs w:val="14"/>
                <w:lang w:eastAsia="es-AR"/>
              </w:rPr>
            </w:pPr>
            <w:r w:rsidRPr="00D926FE">
              <w:rPr>
                <w:rFonts w:ascii="Arial" w:hAnsi="Arial" w:cs="Arial"/>
                <w:b/>
                <w:bCs/>
                <w:sz w:val="14"/>
                <w:szCs w:val="14"/>
                <w:lang w:eastAsia="es-AR"/>
              </w:rPr>
              <w:t xml:space="preserve">Total </w:t>
            </w:r>
          </w:p>
        </w:tc>
        <w:tc>
          <w:tcPr>
            <w:tcW w:w="709" w:type="dxa"/>
            <w:tcBorders>
              <w:top w:val="single" w:sz="4" w:space="0" w:color="auto"/>
              <w:left w:val="nil"/>
              <w:bottom w:val="double" w:sz="6" w:space="0" w:color="auto"/>
              <w:right w:val="nil"/>
            </w:tcBorders>
            <w:shd w:val="clear" w:color="auto" w:fill="auto"/>
            <w:hideMark/>
          </w:tcPr>
          <w:p w14:paraId="1017D81E" w14:textId="77777777" w:rsidR="00CE2DE2" w:rsidRPr="00D926FE" w:rsidRDefault="00CE2DE2" w:rsidP="00CE2DE2">
            <w:pPr>
              <w:rPr>
                <w:rFonts w:ascii="Arial" w:hAnsi="Arial" w:cs="Arial"/>
                <w:sz w:val="14"/>
                <w:szCs w:val="14"/>
                <w:lang w:eastAsia="es-AR"/>
              </w:rPr>
            </w:pPr>
            <w:r w:rsidRPr="00D926FE">
              <w:rPr>
                <w:rFonts w:ascii="Arial" w:hAnsi="Arial" w:cs="Arial"/>
                <w:sz w:val="14"/>
                <w:szCs w:val="14"/>
                <w:lang w:eastAsia="es-AR"/>
              </w:rPr>
              <w:t> </w:t>
            </w:r>
          </w:p>
        </w:tc>
        <w:tc>
          <w:tcPr>
            <w:tcW w:w="850" w:type="dxa"/>
            <w:tcBorders>
              <w:top w:val="single" w:sz="4" w:space="0" w:color="auto"/>
              <w:left w:val="nil"/>
              <w:bottom w:val="double" w:sz="6" w:space="0" w:color="auto"/>
              <w:right w:val="nil"/>
            </w:tcBorders>
            <w:shd w:val="clear" w:color="auto" w:fill="auto"/>
            <w:vAlign w:val="bottom"/>
            <w:hideMark/>
          </w:tcPr>
          <w:p w14:paraId="7DCAA713" w14:textId="77777777" w:rsidR="00CE2DE2" w:rsidRPr="00D926FE" w:rsidRDefault="00CE2DE2" w:rsidP="00CE2DE2">
            <w:pPr>
              <w:jc w:val="right"/>
              <w:rPr>
                <w:rFonts w:ascii="Arial" w:hAnsi="Arial" w:cs="Arial"/>
                <w:sz w:val="14"/>
                <w:szCs w:val="14"/>
                <w:lang w:eastAsia="es-AR"/>
              </w:rPr>
            </w:pPr>
            <w:r w:rsidRPr="00D926FE">
              <w:rPr>
                <w:rFonts w:ascii="Arial" w:hAnsi="Arial" w:cs="Arial"/>
                <w:sz w:val="14"/>
                <w:szCs w:val="14"/>
                <w:lang w:eastAsia="es-AR"/>
              </w:rPr>
              <w:t> </w:t>
            </w:r>
          </w:p>
        </w:tc>
        <w:tc>
          <w:tcPr>
            <w:tcW w:w="794" w:type="dxa"/>
            <w:tcBorders>
              <w:top w:val="single" w:sz="4" w:space="0" w:color="auto"/>
              <w:left w:val="nil"/>
              <w:bottom w:val="double" w:sz="6" w:space="0" w:color="auto"/>
              <w:right w:val="nil"/>
            </w:tcBorders>
            <w:shd w:val="clear" w:color="auto" w:fill="auto"/>
            <w:vAlign w:val="bottom"/>
            <w:hideMark/>
          </w:tcPr>
          <w:p w14:paraId="62787C3C" w14:textId="77777777" w:rsidR="00CE2DE2" w:rsidRPr="00D926FE" w:rsidRDefault="00CE2DE2" w:rsidP="00CE2DE2">
            <w:pPr>
              <w:jc w:val="right"/>
              <w:rPr>
                <w:rFonts w:ascii="Arial" w:hAnsi="Arial" w:cs="Arial"/>
                <w:sz w:val="14"/>
                <w:szCs w:val="14"/>
                <w:lang w:eastAsia="es-AR"/>
              </w:rPr>
            </w:pPr>
            <w:r w:rsidRPr="00D926FE">
              <w:rPr>
                <w:rFonts w:ascii="Arial" w:hAnsi="Arial" w:cs="Arial"/>
                <w:sz w:val="14"/>
                <w:szCs w:val="14"/>
                <w:lang w:eastAsia="es-AR"/>
              </w:rPr>
              <w:t> </w:t>
            </w:r>
          </w:p>
        </w:tc>
        <w:tc>
          <w:tcPr>
            <w:tcW w:w="841" w:type="dxa"/>
            <w:tcBorders>
              <w:top w:val="single" w:sz="4" w:space="0" w:color="auto"/>
              <w:left w:val="nil"/>
              <w:bottom w:val="double" w:sz="6" w:space="0" w:color="auto"/>
              <w:right w:val="nil"/>
            </w:tcBorders>
            <w:shd w:val="clear" w:color="auto" w:fill="auto"/>
            <w:vAlign w:val="bottom"/>
            <w:hideMark/>
          </w:tcPr>
          <w:p w14:paraId="4342FF36" w14:textId="2E43D73E"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46.695.426</w:t>
            </w:r>
          </w:p>
        </w:tc>
        <w:tc>
          <w:tcPr>
            <w:tcW w:w="842" w:type="dxa"/>
            <w:tcBorders>
              <w:top w:val="single" w:sz="4" w:space="0" w:color="auto"/>
              <w:left w:val="nil"/>
              <w:bottom w:val="double" w:sz="6" w:space="0" w:color="auto"/>
              <w:right w:val="nil"/>
            </w:tcBorders>
            <w:shd w:val="clear" w:color="auto" w:fill="auto"/>
            <w:vAlign w:val="bottom"/>
            <w:hideMark/>
          </w:tcPr>
          <w:p w14:paraId="7C45864B" w14:textId="0B3DBE53"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11.793.481</w:t>
            </w:r>
          </w:p>
        </w:tc>
        <w:tc>
          <w:tcPr>
            <w:tcW w:w="915" w:type="dxa"/>
            <w:tcBorders>
              <w:top w:val="single" w:sz="4" w:space="0" w:color="auto"/>
              <w:left w:val="nil"/>
              <w:bottom w:val="double" w:sz="6" w:space="0" w:color="auto"/>
              <w:right w:val="nil"/>
            </w:tcBorders>
            <w:shd w:val="clear" w:color="auto" w:fill="auto"/>
            <w:vAlign w:val="bottom"/>
            <w:hideMark/>
          </w:tcPr>
          <w:p w14:paraId="123DD69F" w14:textId="5BF6379A"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46.898.363</w:t>
            </w:r>
          </w:p>
        </w:tc>
        <w:tc>
          <w:tcPr>
            <w:tcW w:w="778" w:type="dxa"/>
            <w:tcBorders>
              <w:top w:val="single" w:sz="4" w:space="0" w:color="auto"/>
              <w:left w:val="nil"/>
              <w:bottom w:val="double" w:sz="6" w:space="0" w:color="auto"/>
              <w:right w:val="nil"/>
            </w:tcBorders>
            <w:shd w:val="clear" w:color="auto" w:fill="auto"/>
            <w:vAlign w:val="bottom"/>
            <w:hideMark/>
          </w:tcPr>
          <w:p w14:paraId="695F5079" w14:textId="54CA4538"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 xml:space="preserve">- </w:t>
            </w:r>
          </w:p>
        </w:tc>
        <w:tc>
          <w:tcPr>
            <w:tcW w:w="848" w:type="dxa"/>
            <w:tcBorders>
              <w:top w:val="single" w:sz="4" w:space="0" w:color="auto"/>
              <w:left w:val="nil"/>
              <w:bottom w:val="double" w:sz="6" w:space="0" w:color="auto"/>
              <w:right w:val="nil"/>
            </w:tcBorders>
            <w:shd w:val="clear" w:color="auto" w:fill="auto"/>
            <w:vAlign w:val="bottom"/>
            <w:hideMark/>
          </w:tcPr>
          <w:p w14:paraId="089F3370" w14:textId="7D198039" w:rsidR="00CE2DE2" w:rsidRPr="00D926FE" w:rsidRDefault="00CE2DE2" w:rsidP="00CE2DE2">
            <w:pPr>
              <w:ind w:left="709" w:hanging="709"/>
              <w:jc w:val="right"/>
              <w:rPr>
                <w:rFonts w:ascii="Arial" w:hAnsi="Arial" w:cs="Arial"/>
                <w:b/>
                <w:bCs/>
                <w:sz w:val="14"/>
                <w:szCs w:val="14"/>
                <w:lang w:eastAsia="es-AR"/>
              </w:rPr>
            </w:pPr>
            <w:r>
              <w:rPr>
                <w:rFonts w:ascii="Arial" w:hAnsi="Arial" w:cs="Arial"/>
                <w:b/>
                <w:bCs/>
                <w:sz w:val="14"/>
                <w:szCs w:val="14"/>
              </w:rPr>
              <w:t>46.898.363</w:t>
            </w:r>
          </w:p>
        </w:tc>
      </w:tr>
    </w:tbl>
    <w:p w14:paraId="37D7B260" w14:textId="77777777" w:rsidR="00871CAF" w:rsidRPr="00701F32" w:rsidRDefault="00871CAF" w:rsidP="00066653">
      <w:pPr>
        <w:tabs>
          <w:tab w:val="left" w:pos="709"/>
          <w:tab w:val="left" w:pos="851"/>
        </w:tabs>
        <w:ind w:right="51"/>
        <w:contextualSpacing/>
        <w:jc w:val="both"/>
        <w:rPr>
          <w:rFonts w:ascii="Arial" w:hAnsi="Arial" w:cs="Arial"/>
          <w:sz w:val="20"/>
        </w:rPr>
      </w:pPr>
    </w:p>
    <w:p w14:paraId="68E2EBCF" w14:textId="77777777" w:rsidR="00871CAF" w:rsidRPr="00701F32" w:rsidRDefault="00871CAF" w:rsidP="007532DD">
      <w:pPr>
        <w:tabs>
          <w:tab w:val="left" w:pos="709"/>
          <w:tab w:val="left" w:pos="851"/>
        </w:tabs>
        <w:ind w:left="284" w:right="51"/>
        <w:contextualSpacing/>
        <w:jc w:val="both"/>
        <w:rPr>
          <w:rFonts w:ascii="Arial" w:hAnsi="Arial" w:cs="Arial"/>
          <w:sz w:val="20"/>
        </w:rPr>
        <w:sectPr w:rsidR="00871CAF" w:rsidRPr="00701F32" w:rsidSect="007045C3">
          <w:headerReference w:type="default" r:id="rId40"/>
          <w:pgSz w:w="11907" w:h="16839" w:code="9"/>
          <w:pgMar w:top="1418" w:right="1701" w:bottom="1418" w:left="1701" w:header="567" w:footer="0" w:gutter="0"/>
          <w:paperSrc w:first="256" w:other="256"/>
          <w:cols w:space="720"/>
          <w:docGrid w:linePitch="326"/>
        </w:sectPr>
      </w:pPr>
    </w:p>
    <w:tbl>
      <w:tblPr>
        <w:tblStyle w:val="TableGrid"/>
        <w:tblW w:w="77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1276"/>
        <w:gridCol w:w="1275"/>
      </w:tblGrid>
      <w:tr w:rsidR="007B34B2" w14:paraId="76FDAB46" w14:textId="77777777" w:rsidTr="00BE5A48">
        <w:tc>
          <w:tcPr>
            <w:tcW w:w="5240" w:type="dxa"/>
            <w:tcBorders>
              <w:top w:val="single" w:sz="4" w:space="0" w:color="auto"/>
              <w:left w:val="single" w:sz="4" w:space="0" w:color="auto"/>
              <w:bottom w:val="single" w:sz="4" w:space="0" w:color="auto"/>
            </w:tcBorders>
            <w:shd w:val="clear" w:color="auto" w:fill="BFBFBF" w:themeFill="background1" w:themeFillShade="BF"/>
          </w:tcPr>
          <w:p w14:paraId="378B8AF0" w14:textId="77777777" w:rsidR="007B34B2" w:rsidRPr="0066424E" w:rsidRDefault="007B34B2" w:rsidP="00BE5A48">
            <w:pPr>
              <w:widowControl w:val="0"/>
              <w:autoSpaceDE w:val="0"/>
              <w:autoSpaceDN w:val="0"/>
              <w:adjustRightInd w:val="0"/>
              <w:jc w:val="center"/>
              <w:rPr>
                <w:rFonts w:ascii="Arial" w:hAnsi="Arial" w:cs="Arial"/>
                <w:b/>
                <w:noProof/>
                <w:sz w:val="18"/>
                <w:szCs w:val="18"/>
              </w:rPr>
            </w:pPr>
            <w:r w:rsidRPr="0066424E">
              <w:rPr>
                <w:rFonts w:ascii="Arial" w:hAnsi="Arial" w:cs="Arial"/>
                <w:b/>
                <w:noProof/>
                <w:sz w:val="18"/>
                <w:szCs w:val="18"/>
              </w:rPr>
              <w:lastRenderedPageBreak/>
              <w:t>Concepto</w:t>
            </w:r>
          </w:p>
        </w:tc>
        <w:tc>
          <w:tcPr>
            <w:tcW w:w="1276" w:type="dxa"/>
            <w:tcBorders>
              <w:top w:val="single" w:sz="4" w:space="0" w:color="auto"/>
              <w:bottom w:val="single" w:sz="4" w:space="0" w:color="auto"/>
            </w:tcBorders>
            <w:shd w:val="clear" w:color="auto" w:fill="BFBFBF" w:themeFill="background1" w:themeFillShade="BF"/>
          </w:tcPr>
          <w:p w14:paraId="7F5DF3C6" w14:textId="3934426E" w:rsidR="007B34B2" w:rsidRPr="0066424E" w:rsidRDefault="009B1CF0" w:rsidP="00083AEA">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31/03/2020</w:t>
            </w:r>
          </w:p>
        </w:tc>
        <w:tc>
          <w:tcPr>
            <w:tcW w:w="1275" w:type="dxa"/>
            <w:tcBorders>
              <w:top w:val="single" w:sz="4" w:space="0" w:color="auto"/>
              <w:bottom w:val="single" w:sz="4" w:space="0" w:color="auto"/>
              <w:right w:val="single" w:sz="4" w:space="0" w:color="auto"/>
            </w:tcBorders>
            <w:shd w:val="clear" w:color="auto" w:fill="BFBFBF" w:themeFill="background1" w:themeFillShade="BF"/>
          </w:tcPr>
          <w:p w14:paraId="525DE3EC" w14:textId="67FED42E" w:rsidR="007B34B2" w:rsidRPr="0066424E" w:rsidRDefault="009B1CF0" w:rsidP="00BE5A48">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31/12/2019</w:t>
            </w:r>
          </w:p>
        </w:tc>
      </w:tr>
      <w:tr w:rsidR="007B34B2" w14:paraId="7377A91F" w14:textId="77777777" w:rsidTr="00BE5A48">
        <w:tc>
          <w:tcPr>
            <w:tcW w:w="5240" w:type="dxa"/>
            <w:tcBorders>
              <w:top w:val="single" w:sz="4" w:space="0" w:color="auto"/>
            </w:tcBorders>
          </w:tcPr>
          <w:p w14:paraId="7CA094C3" w14:textId="77777777" w:rsidR="007B34B2" w:rsidRPr="00915F29" w:rsidRDefault="007B34B2" w:rsidP="00BE5A48">
            <w:pPr>
              <w:widowControl w:val="0"/>
              <w:autoSpaceDE w:val="0"/>
              <w:autoSpaceDN w:val="0"/>
              <w:adjustRightInd w:val="0"/>
              <w:jc w:val="both"/>
              <w:rPr>
                <w:rFonts w:ascii="Arial" w:hAnsi="Arial" w:cs="Arial"/>
                <w:b/>
                <w:noProof/>
                <w:sz w:val="20"/>
                <w:szCs w:val="18"/>
              </w:rPr>
            </w:pPr>
            <w:r w:rsidRPr="00915F29">
              <w:rPr>
                <w:rFonts w:ascii="Arial" w:hAnsi="Arial" w:cs="Arial"/>
                <w:b/>
                <w:noProof/>
                <w:sz w:val="20"/>
                <w:szCs w:val="18"/>
              </w:rPr>
              <w:t>CARTERA COMERCIAL</w:t>
            </w:r>
          </w:p>
        </w:tc>
        <w:tc>
          <w:tcPr>
            <w:tcW w:w="1276" w:type="dxa"/>
            <w:tcBorders>
              <w:top w:val="single" w:sz="4" w:space="0" w:color="auto"/>
            </w:tcBorders>
          </w:tcPr>
          <w:p w14:paraId="3777F241" w14:textId="77777777" w:rsidR="007B34B2" w:rsidRPr="000436E1" w:rsidRDefault="007B34B2" w:rsidP="00BE5A48">
            <w:pPr>
              <w:widowControl w:val="0"/>
              <w:autoSpaceDE w:val="0"/>
              <w:autoSpaceDN w:val="0"/>
              <w:adjustRightInd w:val="0"/>
              <w:jc w:val="both"/>
              <w:rPr>
                <w:rFonts w:ascii="Arial" w:hAnsi="Arial" w:cs="Arial"/>
                <w:b/>
                <w:noProof/>
                <w:sz w:val="20"/>
                <w:szCs w:val="18"/>
                <w:highlight w:val="yellow"/>
              </w:rPr>
            </w:pPr>
          </w:p>
        </w:tc>
        <w:tc>
          <w:tcPr>
            <w:tcW w:w="1275" w:type="dxa"/>
            <w:tcBorders>
              <w:top w:val="single" w:sz="4" w:space="0" w:color="auto"/>
            </w:tcBorders>
          </w:tcPr>
          <w:p w14:paraId="0F95735E" w14:textId="77777777" w:rsidR="007B34B2" w:rsidRPr="000436E1" w:rsidRDefault="007B34B2" w:rsidP="00BE5A48">
            <w:pPr>
              <w:widowControl w:val="0"/>
              <w:autoSpaceDE w:val="0"/>
              <w:autoSpaceDN w:val="0"/>
              <w:adjustRightInd w:val="0"/>
              <w:jc w:val="both"/>
              <w:rPr>
                <w:rFonts w:ascii="Arial" w:hAnsi="Arial" w:cs="Arial"/>
                <w:b/>
                <w:noProof/>
                <w:sz w:val="20"/>
                <w:szCs w:val="18"/>
                <w:highlight w:val="yellow"/>
              </w:rPr>
            </w:pPr>
          </w:p>
        </w:tc>
      </w:tr>
      <w:tr w:rsidR="007B34B2" w14:paraId="49DB44E0" w14:textId="77777777" w:rsidTr="00BE5A48">
        <w:tc>
          <w:tcPr>
            <w:tcW w:w="5240" w:type="dxa"/>
          </w:tcPr>
          <w:p w14:paraId="50A01182" w14:textId="77777777" w:rsidR="007B34B2" w:rsidRPr="000436E1" w:rsidRDefault="007B34B2" w:rsidP="00BE5A48">
            <w:pPr>
              <w:widowControl w:val="0"/>
              <w:autoSpaceDE w:val="0"/>
              <w:autoSpaceDN w:val="0"/>
              <w:adjustRightInd w:val="0"/>
              <w:jc w:val="both"/>
              <w:rPr>
                <w:rFonts w:ascii="Arial" w:hAnsi="Arial" w:cs="Arial"/>
                <w:noProof/>
                <w:sz w:val="18"/>
                <w:szCs w:val="18"/>
                <w:highlight w:val="yellow"/>
              </w:rPr>
            </w:pPr>
          </w:p>
        </w:tc>
        <w:tc>
          <w:tcPr>
            <w:tcW w:w="1276" w:type="dxa"/>
          </w:tcPr>
          <w:p w14:paraId="27CC7CD3" w14:textId="77777777" w:rsidR="007B34B2" w:rsidRPr="000436E1" w:rsidRDefault="007B34B2" w:rsidP="00BE5A48">
            <w:pPr>
              <w:widowControl w:val="0"/>
              <w:autoSpaceDE w:val="0"/>
              <w:autoSpaceDN w:val="0"/>
              <w:adjustRightInd w:val="0"/>
              <w:jc w:val="both"/>
              <w:rPr>
                <w:rFonts w:ascii="Arial" w:hAnsi="Arial" w:cs="Arial"/>
                <w:noProof/>
                <w:sz w:val="18"/>
                <w:szCs w:val="18"/>
                <w:highlight w:val="yellow"/>
              </w:rPr>
            </w:pPr>
          </w:p>
        </w:tc>
        <w:tc>
          <w:tcPr>
            <w:tcW w:w="1275" w:type="dxa"/>
          </w:tcPr>
          <w:p w14:paraId="6ADD60E6" w14:textId="77777777" w:rsidR="007B34B2" w:rsidRPr="000436E1" w:rsidRDefault="007B34B2" w:rsidP="00BE5A48">
            <w:pPr>
              <w:widowControl w:val="0"/>
              <w:autoSpaceDE w:val="0"/>
              <w:autoSpaceDN w:val="0"/>
              <w:adjustRightInd w:val="0"/>
              <w:jc w:val="both"/>
              <w:rPr>
                <w:rFonts w:ascii="Arial" w:hAnsi="Arial" w:cs="Arial"/>
                <w:noProof/>
                <w:sz w:val="18"/>
                <w:szCs w:val="18"/>
                <w:highlight w:val="yellow"/>
              </w:rPr>
            </w:pPr>
          </w:p>
        </w:tc>
      </w:tr>
      <w:tr w:rsidR="004F5C72" w:rsidRPr="006269A3" w14:paraId="32F4111D" w14:textId="77777777" w:rsidTr="006265F5">
        <w:trPr>
          <w:trHeight w:val="170"/>
        </w:trPr>
        <w:tc>
          <w:tcPr>
            <w:tcW w:w="5240" w:type="dxa"/>
          </w:tcPr>
          <w:p w14:paraId="7BEE1FCF" w14:textId="77777777" w:rsidR="004F5C72" w:rsidRPr="006269A3" w:rsidRDefault="004F5C72" w:rsidP="004F5C72">
            <w:pPr>
              <w:jc w:val="both"/>
              <w:rPr>
                <w:rFonts w:ascii="Arial" w:hAnsi="Arial" w:cs="Arial"/>
                <w:b/>
                <w:bCs/>
                <w:sz w:val="18"/>
                <w:szCs w:val="18"/>
                <w:lang w:eastAsia="es-AR"/>
              </w:rPr>
            </w:pPr>
            <w:r w:rsidRPr="006269A3">
              <w:rPr>
                <w:rFonts w:ascii="Arial" w:hAnsi="Arial" w:cs="Arial"/>
                <w:b/>
                <w:bCs/>
                <w:sz w:val="18"/>
                <w:szCs w:val="18"/>
              </w:rPr>
              <w:t>En situación normal</w:t>
            </w:r>
          </w:p>
        </w:tc>
        <w:tc>
          <w:tcPr>
            <w:tcW w:w="1276" w:type="dxa"/>
            <w:tcBorders>
              <w:bottom w:val="single" w:sz="4" w:space="0" w:color="auto"/>
            </w:tcBorders>
            <w:vAlign w:val="bottom"/>
          </w:tcPr>
          <w:p w14:paraId="7947519D" w14:textId="3AA19CA2"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42.287.485</w:t>
            </w:r>
          </w:p>
        </w:tc>
        <w:tc>
          <w:tcPr>
            <w:tcW w:w="1275" w:type="dxa"/>
            <w:tcBorders>
              <w:bottom w:val="single" w:sz="4" w:space="0" w:color="auto"/>
            </w:tcBorders>
            <w:vAlign w:val="bottom"/>
          </w:tcPr>
          <w:p w14:paraId="4012F955" w14:textId="6502D947"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45.868.333</w:t>
            </w:r>
          </w:p>
        </w:tc>
      </w:tr>
      <w:tr w:rsidR="004F5C72" w:rsidRPr="006269A3" w14:paraId="5A857A7C" w14:textId="77777777" w:rsidTr="006265F5">
        <w:trPr>
          <w:trHeight w:val="170"/>
        </w:trPr>
        <w:tc>
          <w:tcPr>
            <w:tcW w:w="5240" w:type="dxa"/>
          </w:tcPr>
          <w:p w14:paraId="58415A34" w14:textId="77777777" w:rsidR="004F5C72" w:rsidRPr="006269A3" w:rsidRDefault="004F5C72" w:rsidP="004F5C72">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5E2E6078" w14:textId="39565E3F"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1.992.117</w:t>
            </w:r>
          </w:p>
        </w:tc>
        <w:tc>
          <w:tcPr>
            <w:tcW w:w="1275" w:type="dxa"/>
            <w:tcBorders>
              <w:top w:val="single" w:sz="4" w:space="0" w:color="auto"/>
            </w:tcBorders>
            <w:vAlign w:val="bottom"/>
          </w:tcPr>
          <w:p w14:paraId="3437C4CB" w14:textId="416A6E7A"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2.287.540</w:t>
            </w:r>
          </w:p>
        </w:tc>
      </w:tr>
      <w:tr w:rsidR="004F5C72" w:rsidRPr="006269A3" w14:paraId="18820497" w14:textId="77777777" w:rsidTr="006265F5">
        <w:trPr>
          <w:trHeight w:val="170"/>
        </w:trPr>
        <w:tc>
          <w:tcPr>
            <w:tcW w:w="5240" w:type="dxa"/>
          </w:tcPr>
          <w:p w14:paraId="4DB8BF9D" w14:textId="2C25F491" w:rsidR="004F5C72" w:rsidRPr="006269A3" w:rsidRDefault="004F5C72" w:rsidP="004F5C72">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439BB856" w14:textId="2B1D2520"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8.481.828</w:t>
            </w:r>
          </w:p>
        </w:tc>
        <w:tc>
          <w:tcPr>
            <w:tcW w:w="1275" w:type="dxa"/>
            <w:vAlign w:val="bottom"/>
          </w:tcPr>
          <w:p w14:paraId="47FB8DF6" w14:textId="1825F832"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9.384.827</w:t>
            </w:r>
          </w:p>
        </w:tc>
      </w:tr>
      <w:tr w:rsidR="004F5C72" w:rsidRPr="006269A3" w14:paraId="0E139156" w14:textId="77777777" w:rsidTr="006265F5">
        <w:trPr>
          <w:trHeight w:val="170"/>
        </w:trPr>
        <w:tc>
          <w:tcPr>
            <w:tcW w:w="5240" w:type="dxa"/>
          </w:tcPr>
          <w:p w14:paraId="4EF6CFC0" w14:textId="77777777" w:rsidR="004F5C72" w:rsidRPr="006269A3" w:rsidRDefault="004F5C72" w:rsidP="004F5C72">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D8CC9BF" w14:textId="03AF5927"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31.813.540</w:t>
            </w:r>
          </w:p>
        </w:tc>
        <w:tc>
          <w:tcPr>
            <w:tcW w:w="1275" w:type="dxa"/>
            <w:vAlign w:val="bottom"/>
          </w:tcPr>
          <w:p w14:paraId="4D248BCA" w14:textId="78FBEF7A"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34.195.966</w:t>
            </w:r>
          </w:p>
        </w:tc>
      </w:tr>
      <w:tr w:rsidR="00962DA2" w:rsidRPr="006269A3" w14:paraId="4A90B6C4" w14:textId="77777777" w:rsidTr="006265F5">
        <w:trPr>
          <w:trHeight w:val="170"/>
        </w:trPr>
        <w:tc>
          <w:tcPr>
            <w:tcW w:w="5240" w:type="dxa"/>
          </w:tcPr>
          <w:p w14:paraId="1FBB58A0" w14:textId="77777777" w:rsidR="00962DA2" w:rsidRPr="006269A3" w:rsidRDefault="00962DA2" w:rsidP="00BE5A48">
            <w:pPr>
              <w:ind w:firstLineChars="200" w:firstLine="360"/>
              <w:jc w:val="both"/>
              <w:rPr>
                <w:rFonts w:ascii="Arial" w:hAnsi="Arial" w:cs="Arial"/>
                <w:sz w:val="18"/>
                <w:szCs w:val="18"/>
              </w:rPr>
            </w:pPr>
          </w:p>
        </w:tc>
        <w:tc>
          <w:tcPr>
            <w:tcW w:w="1276" w:type="dxa"/>
            <w:vAlign w:val="bottom"/>
          </w:tcPr>
          <w:p w14:paraId="7143B76E" w14:textId="68038091"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4DE0F7D6" w14:textId="43B52CC9"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4F5C72" w:rsidRPr="006269A3" w14:paraId="6047F90B" w14:textId="77777777" w:rsidTr="006265F5">
        <w:trPr>
          <w:trHeight w:val="170"/>
        </w:trPr>
        <w:tc>
          <w:tcPr>
            <w:tcW w:w="5240" w:type="dxa"/>
          </w:tcPr>
          <w:p w14:paraId="2CC057DE" w14:textId="77777777" w:rsidR="004F5C72" w:rsidRPr="006269A3" w:rsidRDefault="004F5C72" w:rsidP="004F5C72">
            <w:pPr>
              <w:jc w:val="both"/>
              <w:rPr>
                <w:rFonts w:ascii="Arial" w:hAnsi="Arial" w:cs="Arial"/>
                <w:b/>
                <w:bCs/>
                <w:sz w:val="18"/>
                <w:szCs w:val="18"/>
                <w:lang w:eastAsia="es-AR"/>
              </w:rPr>
            </w:pPr>
            <w:r w:rsidRPr="006269A3">
              <w:rPr>
                <w:rFonts w:ascii="Arial" w:hAnsi="Arial" w:cs="Arial"/>
                <w:b/>
                <w:bCs/>
                <w:sz w:val="18"/>
                <w:szCs w:val="18"/>
              </w:rPr>
              <w:t>Con seguimiento especial</w:t>
            </w:r>
          </w:p>
        </w:tc>
        <w:tc>
          <w:tcPr>
            <w:tcW w:w="1276" w:type="dxa"/>
            <w:vAlign w:val="bottom"/>
          </w:tcPr>
          <w:p w14:paraId="69F7B13E" w14:textId="6D9A4600"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1.111.667</w:t>
            </w:r>
          </w:p>
        </w:tc>
        <w:tc>
          <w:tcPr>
            <w:tcW w:w="1275" w:type="dxa"/>
            <w:vAlign w:val="bottom"/>
          </w:tcPr>
          <w:p w14:paraId="5E57904E" w14:textId="527C70F9"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262.270</w:t>
            </w:r>
          </w:p>
        </w:tc>
      </w:tr>
      <w:tr w:rsidR="00962DA2" w:rsidRPr="006269A3" w14:paraId="62C02476" w14:textId="77777777" w:rsidTr="006265F5">
        <w:trPr>
          <w:trHeight w:val="170"/>
        </w:trPr>
        <w:tc>
          <w:tcPr>
            <w:tcW w:w="5240" w:type="dxa"/>
          </w:tcPr>
          <w:p w14:paraId="442A0CBD" w14:textId="77777777" w:rsidR="00962DA2" w:rsidRPr="006269A3" w:rsidRDefault="00962DA2" w:rsidP="00BE5A48">
            <w:pPr>
              <w:jc w:val="both"/>
              <w:rPr>
                <w:rFonts w:ascii="Arial" w:hAnsi="Arial" w:cs="Arial"/>
                <w:b/>
                <w:bCs/>
                <w:sz w:val="18"/>
                <w:szCs w:val="18"/>
              </w:rPr>
            </w:pPr>
          </w:p>
        </w:tc>
        <w:tc>
          <w:tcPr>
            <w:tcW w:w="1276" w:type="dxa"/>
            <w:vAlign w:val="bottom"/>
          </w:tcPr>
          <w:p w14:paraId="1C377E29" w14:textId="5B6600EA"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17EFBA06" w14:textId="1883E7F9"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4F5C72" w:rsidRPr="006269A3" w14:paraId="1D77D5D2" w14:textId="77777777" w:rsidTr="006265F5">
        <w:trPr>
          <w:trHeight w:val="170"/>
        </w:trPr>
        <w:tc>
          <w:tcPr>
            <w:tcW w:w="5240" w:type="dxa"/>
          </w:tcPr>
          <w:p w14:paraId="0043AA1F" w14:textId="77777777" w:rsidR="004F5C72" w:rsidRPr="006269A3" w:rsidRDefault="004F5C72" w:rsidP="004F5C72">
            <w:pPr>
              <w:ind w:firstLineChars="100" w:firstLine="181"/>
              <w:jc w:val="both"/>
              <w:rPr>
                <w:rFonts w:ascii="Arial" w:hAnsi="Arial" w:cs="Arial"/>
                <w:b/>
                <w:bCs/>
                <w:sz w:val="18"/>
                <w:szCs w:val="18"/>
                <w:lang w:eastAsia="es-AR"/>
              </w:rPr>
            </w:pPr>
            <w:r w:rsidRPr="006269A3">
              <w:rPr>
                <w:rFonts w:ascii="Arial" w:hAnsi="Arial" w:cs="Arial"/>
                <w:b/>
                <w:bCs/>
                <w:sz w:val="18"/>
                <w:szCs w:val="18"/>
              </w:rPr>
              <w:t>En observación</w:t>
            </w:r>
          </w:p>
        </w:tc>
        <w:tc>
          <w:tcPr>
            <w:tcW w:w="1276" w:type="dxa"/>
            <w:tcBorders>
              <w:bottom w:val="single" w:sz="4" w:space="0" w:color="auto"/>
            </w:tcBorders>
            <w:vAlign w:val="bottom"/>
          </w:tcPr>
          <w:p w14:paraId="3EE22647" w14:textId="7C16AE41"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1.111.667</w:t>
            </w:r>
          </w:p>
        </w:tc>
        <w:tc>
          <w:tcPr>
            <w:tcW w:w="1275" w:type="dxa"/>
            <w:tcBorders>
              <w:bottom w:val="single" w:sz="4" w:space="0" w:color="auto"/>
            </w:tcBorders>
            <w:vAlign w:val="bottom"/>
          </w:tcPr>
          <w:p w14:paraId="04E3426C" w14:textId="0D27F1A5"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262.270</w:t>
            </w:r>
          </w:p>
        </w:tc>
      </w:tr>
      <w:tr w:rsidR="004F5C72" w:rsidRPr="006269A3" w14:paraId="08EF5357" w14:textId="77777777" w:rsidTr="006265F5">
        <w:trPr>
          <w:trHeight w:val="170"/>
        </w:trPr>
        <w:tc>
          <w:tcPr>
            <w:tcW w:w="5240" w:type="dxa"/>
          </w:tcPr>
          <w:p w14:paraId="19528FB1" w14:textId="77777777" w:rsidR="004F5C72" w:rsidRPr="006269A3" w:rsidRDefault="004F5C72" w:rsidP="004F5C72">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0F5F27D6" w14:textId="506E0E7F"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0</w:t>
            </w:r>
          </w:p>
        </w:tc>
        <w:tc>
          <w:tcPr>
            <w:tcW w:w="1275" w:type="dxa"/>
            <w:tcBorders>
              <w:top w:val="single" w:sz="4" w:space="0" w:color="auto"/>
            </w:tcBorders>
            <w:vAlign w:val="bottom"/>
          </w:tcPr>
          <w:p w14:paraId="5087E880" w14:textId="292F09E3"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11.513</w:t>
            </w:r>
          </w:p>
        </w:tc>
      </w:tr>
      <w:tr w:rsidR="004F5C72" w:rsidRPr="006269A3" w14:paraId="1C898D7D" w14:textId="77777777" w:rsidTr="006265F5">
        <w:trPr>
          <w:trHeight w:val="170"/>
        </w:trPr>
        <w:tc>
          <w:tcPr>
            <w:tcW w:w="5240" w:type="dxa"/>
          </w:tcPr>
          <w:p w14:paraId="605CE61A" w14:textId="4724379E" w:rsidR="004F5C72" w:rsidRPr="006269A3" w:rsidRDefault="004F5C72" w:rsidP="004F5C72">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66F467CF" w14:textId="0C9B0496"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926.703</w:t>
            </w:r>
          </w:p>
        </w:tc>
        <w:tc>
          <w:tcPr>
            <w:tcW w:w="1275" w:type="dxa"/>
            <w:vAlign w:val="bottom"/>
          </w:tcPr>
          <w:p w14:paraId="493F4D69" w14:textId="320BAE08"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148.363</w:t>
            </w:r>
          </w:p>
        </w:tc>
      </w:tr>
      <w:tr w:rsidR="004F5C72" w:rsidRPr="006269A3" w14:paraId="3E189B0D" w14:textId="77777777" w:rsidTr="006265F5">
        <w:trPr>
          <w:trHeight w:val="170"/>
        </w:trPr>
        <w:tc>
          <w:tcPr>
            <w:tcW w:w="5240" w:type="dxa"/>
          </w:tcPr>
          <w:p w14:paraId="6405ADCE" w14:textId="77777777" w:rsidR="004F5C72" w:rsidRPr="006269A3" w:rsidRDefault="004F5C72" w:rsidP="004F5C72">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48E996EB" w14:textId="052043F3" w:rsidR="004F5C72" w:rsidRPr="00EE63C4"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184.964</w:t>
            </w:r>
          </w:p>
        </w:tc>
        <w:tc>
          <w:tcPr>
            <w:tcW w:w="1275" w:type="dxa"/>
            <w:vAlign w:val="bottom"/>
          </w:tcPr>
          <w:p w14:paraId="444FA277" w14:textId="41DB68FD" w:rsidR="004F5C72" w:rsidRPr="00962DA2" w:rsidRDefault="004F5C72" w:rsidP="004F5C72">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102.394</w:t>
            </w:r>
          </w:p>
        </w:tc>
      </w:tr>
      <w:tr w:rsidR="001B4F5C" w:rsidRPr="006269A3" w14:paraId="1F4E1F6E" w14:textId="77777777" w:rsidTr="00B22349">
        <w:trPr>
          <w:trHeight w:val="170"/>
        </w:trPr>
        <w:tc>
          <w:tcPr>
            <w:tcW w:w="5240" w:type="dxa"/>
          </w:tcPr>
          <w:p w14:paraId="64463281" w14:textId="77777777" w:rsidR="001B4F5C" w:rsidRPr="006269A3" w:rsidRDefault="001B4F5C" w:rsidP="00BE5A48">
            <w:pPr>
              <w:ind w:firstLineChars="200" w:firstLine="360"/>
              <w:jc w:val="both"/>
              <w:rPr>
                <w:rFonts w:ascii="Arial" w:hAnsi="Arial" w:cs="Arial"/>
                <w:sz w:val="18"/>
                <w:szCs w:val="18"/>
              </w:rPr>
            </w:pPr>
          </w:p>
        </w:tc>
        <w:tc>
          <w:tcPr>
            <w:tcW w:w="1276" w:type="dxa"/>
            <w:vAlign w:val="bottom"/>
          </w:tcPr>
          <w:p w14:paraId="740C7360" w14:textId="77777777" w:rsidR="001B4F5C" w:rsidRPr="00EE63C4" w:rsidRDefault="001B4F5C" w:rsidP="00962DA2">
            <w:pPr>
              <w:widowControl w:val="0"/>
              <w:autoSpaceDE w:val="0"/>
              <w:autoSpaceDN w:val="0"/>
              <w:adjustRightInd w:val="0"/>
              <w:jc w:val="right"/>
              <w:rPr>
                <w:rFonts w:ascii="Arial" w:hAnsi="Arial" w:cs="Arial"/>
                <w:color w:val="000000"/>
                <w:sz w:val="18"/>
                <w:szCs w:val="18"/>
              </w:rPr>
            </w:pPr>
          </w:p>
        </w:tc>
        <w:tc>
          <w:tcPr>
            <w:tcW w:w="1275" w:type="dxa"/>
            <w:vAlign w:val="bottom"/>
          </w:tcPr>
          <w:p w14:paraId="1CB322E3" w14:textId="77777777" w:rsidR="001B4F5C" w:rsidRPr="00962DA2" w:rsidRDefault="001B4F5C" w:rsidP="00962DA2">
            <w:pPr>
              <w:widowControl w:val="0"/>
              <w:autoSpaceDE w:val="0"/>
              <w:autoSpaceDN w:val="0"/>
              <w:adjustRightInd w:val="0"/>
              <w:jc w:val="right"/>
              <w:rPr>
                <w:rFonts w:ascii="Arial" w:hAnsi="Arial" w:cs="Arial"/>
                <w:color w:val="000000"/>
                <w:sz w:val="18"/>
                <w:szCs w:val="18"/>
              </w:rPr>
            </w:pPr>
          </w:p>
        </w:tc>
      </w:tr>
      <w:tr w:rsidR="004F5C72" w:rsidRPr="006269A3" w14:paraId="0AA03E63" w14:textId="77777777" w:rsidTr="00B22349">
        <w:trPr>
          <w:trHeight w:val="170"/>
        </w:trPr>
        <w:tc>
          <w:tcPr>
            <w:tcW w:w="5240" w:type="dxa"/>
          </w:tcPr>
          <w:p w14:paraId="51A14A4F" w14:textId="56CB8539" w:rsidR="004F5C72" w:rsidRPr="006269A3" w:rsidRDefault="004F5C72" w:rsidP="004F5C72">
            <w:pPr>
              <w:ind w:firstLineChars="100" w:firstLine="181"/>
              <w:jc w:val="both"/>
              <w:rPr>
                <w:rFonts w:ascii="Arial" w:hAnsi="Arial" w:cs="Arial"/>
                <w:b/>
                <w:bCs/>
                <w:sz w:val="18"/>
                <w:szCs w:val="18"/>
              </w:rPr>
            </w:pPr>
            <w:r w:rsidRPr="006269A3">
              <w:rPr>
                <w:rFonts w:ascii="Arial" w:hAnsi="Arial" w:cs="Arial"/>
                <w:b/>
                <w:bCs/>
                <w:sz w:val="18"/>
                <w:szCs w:val="18"/>
              </w:rPr>
              <w:t>En negociación o con acuerdos de refinanciación</w:t>
            </w:r>
          </w:p>
        </w:tc>
        <w:tc>
          <w:tcPr>
            <w:tcW w:w="1276" w:type="dxa"/>
            <w:tcBorders>
              <w:bottom w:val="single" w:sz="4" w:space="0" w:color="auto"/>
            </w:tcBorders>
            <w:vAlign w:val="bottom"/>
          </w:tcPr>
          <w:p w14:paraId="33AC947D" w14:textId="58C2CD86" w:rsidR="004F5C72" w:rsidRDefault="004F5C72" w:rsidP="004F5C7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bottom w:val="single" w:sz="4" w:space="0" w:color="auto"/>
            </w:tcBorders>
            <w:vAlign w:val="bottom"/>
          </w:tcPr>
          <w:p w14:paraId="7EC94670" w14:textId="44536426" w:rsidR="004F5C72" w:rsidRDefault="004F5C72" w:rsidP="004F5C7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r>
      <w:tr w:rsidR="004F5C72" w:rsidRPr="006269A3" w14:paraId="0BD74C05" w14:textId="77777777" w:rsidTr="00B22349">
        <w:trPr>
          <w:trHeight w:val="170"/>
        </w:trPr>
        <w:tc>
          <w:tcPr>
            <w:tcW w:w="5240" w:type="dxa"/>
          </w:tcPr>
          <w:p w14:paraId="40860DA5" w14:textId="4E35D0CF" w:rsidR="004F5C72" w:rsidRPr="006269A3" w:rsidRDefault="004F5C72" w:rsidP="004F5C72">
            <w:pPr>
              <w:ind w:firstLineChars="100" w:firstLine="180"/>
              <w:jc w:val="both"/>
              <w:rPr>
                <w:rFonts w:ascii="Arial" w:hAnsi="Arial" w:cs="Arial"/>
                <w:b/>
                <w:bCs/>
                <w:sz w:val="18"/>
                <w:szCs w:val="18"/>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71C636D3" w14:textId="01986839" w:rsidR="004F5C72" w:rsidRDefault="004F5C72" w:rsidP="004F5C7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top w:val="single" w:sz="4" w:space="0" w:color="auto"/>
            </w:tcBorders>
            <w:vAlign w:val="bottom"/>
          </w:tcPr>
          <w:p w14:paraId="5C322C38" w14:textId="4EE31013" w:rsidR="004F5C72" w:rsidRPr="00F21A41" w:rsidRDefault="004F5C72" w:rsidP="004F5C72">
            <w:pPr>
              <w:widowControl w:val="0"/>
              <w:autoSpaceDE w:val="0"/>
              <w:autoSpaceDN w:val="0"/>
              <w:adjustRightInd w:val="0"/>
              <w:jc w:val="right"/>
              <w:rPr>
                <w:rFonts w:ascii="Arial" w:hAnsi="Arial" w:cs="Arial"/>
                <w:noProof/>
                <w:sz w:val="18"/>
                <w:szCs w:val="18"/>
              </w:rPr>
            </w:pPr>
            <w:r w:rsidRPr="00F21A41">
              <w:rPr>
                <w:rFonts w:ascii="Arial" w:hAnsi="Arial" w:cs="Arial"/>
                <w:noProof/>
                <w:sz w:val="18"/>
                <w:szCs w:val="18"/>
              </w:rPr>
              <w:t>-</w:t>
            </w:r>
          </w:p>
        </w:tc>
      </w:tr>
      <w:tr w:rsidR="004F5C72" w:rsidRPr="006269A3" w14:paraId="525BF1E4" w14:textId="77777777" w:rsidTr="00B22349">
        <w:trPr>
          <w:trHeight w:val="170"/>
        </w:trPr>
        <w:tc>
          <w:tcPr>
            <w:tcW w:w="5240" w:type="dxa"/>
          </w:tcPr>
          <w:p w14:paraId="5D8C0FF7" w14:textId="77EC79AC" w:rsidR="004F5C72" w:rsidRPr="006269A3" w:rsidRDefault="004F5C72" w:rsidP="004F5C72">
            <w:pPr>
              <w:ind w:firstLineChars="100" w:firstLine="180"/>
              <w:jc w:val="both"/>
              <w:rPr>
                <w:rFonts w:ascii="Arial" w:hAnsi="Arial" w:cs="Arial"/>
                <w:b/>
                <w:bCs/>
                <w:sz w:val="18"/>
                <w:szCs w:val="18"/>
              </w:rPr>
            </w:pPr>
            <w:r w:rsidRPr="006269A3">
              <w:rPr>
                <w:rFonts w:ascii="Arial" w:hAnsi="Arial" w:cs="Arial"/>
                <w:sz w:val="18"/>
                <w:szCs w:val="18"/>
              </w:rPr>
              <w:t>Con garantías y contragarantías preferidas "B"</w:t>
            </w:r>
          </w:p>
        </w:tc>
        <w:tc>
          <w:tcPr>
            <w:tcW w:w="1276" w:type="dxa"/>
            <w:vAlign w:val="bottom"/>
          </w:tcPr>
          <w:p w14:paraId="614D60C1" w14:textId="4604BFCF" w:rsidR="004F5C72" w:rsidRDefault="004F5C72" w:rsidP="004F5C7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7085A6C6" w14:textId="3F3F39A6" w:rsidR="004F5C72" w:rsidRPr="00F21A41" w:rsidRDefault="004F5C72" w:rsidP="004F5C72">
            <w:pPr>
              <w:widowControl w:val="0"/>
              <w:autoSpaceDE w:val="0"/>
              <w:autoSpaceDN w:val="0"/>
              <w:adjustRightInd w:val="0"/>
              <w:jc w:val="right"/>
              <w:rPr>
                <w:rFonts w:ascii="Arial" w:hAnsi="Arial" w:cs="Arial"/>
                <w:noProof/>
                <w:sz w:val="18"/>
                <w:szCs w:val="18"/>
              </w:rPr>
            </w:pPr>
            <w:r w:rsidRPr="00F21A41">
              <w:rPr>
                <w:rFonts w:ascii="Arial" w:hAnsi="Arial" w:cs="Arial"/>
                <w:noProof/>
                <w:sz w:val="18"/>
                <w:szCs w:val="18"/>
              </w:rPr>
              <w:t>-</w:t>
            </w:r>
          </w:p>
        </w:tc>
      </w:tr>
      <w:tr w:rsidR="004F5C72" w:rsidRPr="006269A3" w14:paraId="0E7EF812" w14:textId="77777777" w:rsidTr="00B22349">
        <w:trPr>
          <w:trHeight w:val="170"/>
        </w:trPr>
        <w:tc>
          <w:tcPr>
            <w:tcW w:w="5240" w:type="dxa"/>
          </w:tcPr>
          <w:p w14:paraId="2C5B8A53" w14:textId="779359C9" w:rsidR="004F5C72" w:rsidRPr="006269A3" w:rsidRDefault="004F5C72" w:rsidP="004F5C72">
            <w:pPr>
              <w:ind w:firstLineChars="100" w:firstLine="180"/>
              <w:jc w:val="both"/>
              <w:rPr>
                <w:rFonts w:ascii="Arial" w:hAnsi="Arial" w:cs="Arial"/>
                <w:b/>
                <w:bCs/>
                <w:sz w:val="18"/>
                <w:szCs w:val="18"/>
              </w:rPr>
            </w:pPr>
            <w:r w:rsidRPr="006269A3">
              <w:rPr>
                <w:rFonts w:ascii="Arial" w:hAnsi="Arial" w:cs="Arial"/>
                <w:sz w:val="18"/>
                <w:szCs w:val="18"/>
              </w:rPr>
              <w:t>Sin garantías ni contragarantías preferidas</w:t>
            </w:r>
          </w:p>
        </w:tc>
        <w:tc>
          <w:tcPr>
            <w:tcW w:w="1276" w:type="dxa"/>
            <w:vAlign w:val="bottom"/>
          </w:tcPr>
          <w:p w14:paraId="4ED66B77" w14:textId="6AE874F8" w:rsidR="004F5C72" w:rsidRDefault="004F5C72" w:rsidP="004F5C7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12E5A1DB" w14:textId="72DC3F28" w:rsidR="004F5C72" w:rsidRPr="00F21A41" w:rsidRDefault="004F5C72" w:rsidP="004F5C72">
            <w:pPr>
              <w:widowControl w:val="0"/>
              <w:autoSpaceDE w:val="0"/>
              <w:autoSpaceDN w:val="0"/>
              <w:adjustRightInd w:val="0"/>
              <w:jc w:val="right"/>
              <w:rPr>
                <w:rFonts w:ascii="Arial" w:hAnsi="Arial" w:cs="Arial"/>
                <w:noProof/>
                <w:sz w:val="18"/>
                <w:szCs w:val="18"/>
              </w:rPr>
            </w:pPr>
            <w:r w:rsidRPr="00F21A41">
              <w:rPr>
                <w:rFonts w:ascii="Arial" w:hAnsi="Arial" w:cs="Arial"/>
                <w:noProof/>
                <w:sz w:val="18"/>
                <w:szCs w:val="18"/>
              </w:rPr>
              <w:t>-</w:t>
            </w:r>
          </w:p>
        </w:tc>
      </w:tr>
      <w:tr w:rsidR="004F5C72" w:rsidRPr="006269A3" w14:paraId="3BE6B2F8" w14:textId="77777777" w:rsidTr="00B22349">
        <w:trPr>
          <w:trHeight w:val="170"/>
        </w:trPr>
        <w:tc>
          <w:tcPr>
            <w:tcW w:w="5240" w:type="dxa"/>
          </w:tcPr>
          <w:p w14:paraId="37FF9624" w14:textId="77777777" w:rsidR="004F5C72" w:rsidRPr="006269A3" w:rsidRDefault="004F5C72" w:rsidP="00BE5A48">
            <w:pPr>
              <w:ind w:firstLineChars="100" w:firstLine="181"/>
              <w:jc w:val="both"/>
              <w:rPr>
                <w:rFonts w:ascii="Arial" w:hAnsi="Arial" w:cs="Arial"/>
                <w:b/>
                <w:bCs/>
                <w:sz w:val="18"/>
                <w:szCs w:val="18"/>
              </w:rPr>
            </w:pPr>
          </w:p>
        </w:tc>
        <w:tc>
          <w:tcPr>
            <w:tcW w:w="1276" w:type="dxa"/>
            <w:vAlign w:val="bottom"/>
          </w:tcPr>
          <w:p w14:paraId="632FC77B" w14:textId="77777777" w:rsidR="004F5C72" w:rsidRDefault="004F5C72" w:rsidP="00962DA2">
            <w:pPr>
              <w:widowControl w:val="0"/>
              <w:autoSpaceDE w:val="0"/>
              <w:autoSpaceDN w:val="0"/>
              <w:adjustRightInd w:val="0"/>
              <w:jc w:val="right"/>
              <w:rPr>
                <w:rFonts w:ascii="Arial" w:hAnsi="Arial" w:cs="Arial"/>
                <w:noProof/>
                <w:sz w:val="18"/>
                <w:szCs w:val="18"/>
              </w:rPr>
            </w:pPr>
          </w:p>
        </w:tc>
        <w:tc>
          <w:tcPr>
            <w:tcW w:w="1275" w:type="dxa"/>
            <w:vAlign w:val="bottom"/>
          </w:tcPr>
          <w:p w14:paraId="3B04A2CF" w14:textId="77777777" w:rsidR="004F5C72" w:rsidRPr="00F21A41" w:rsidRDefault="004F5C72" w:rsidP="00962DA2">
            <w:pPr>
              <w:widowControl w:val="0"/>
              <w:autoSpaceDE w:val="0"/>
              <w:autoSpaceDN w:val="0"/>
              <w:adjustRightInd w:val="0"/>
              <w:jc w:val="right"/>
              <w:rPr>
                <w:rFonts w:ascii="Arial" w:hAnsi="Arial" w:cs="Arial"/>
                <w:noProof/>
                <w:sz w:val="18"/>
                <w:szCs w:val="18"/>
              </w:rPr>
            </w:pPr>
          </w:p>
        </w:tc>
      </w:tr>
      <w:tr w:rsidR="00962DA2" w:rsidRPr="006269A3" w14:paraId="438C5CF4" w14:textId="77777777" w:rsidTr="00B22349">
        <w:trPr>
          <w:trHeight w:val="170"/>
        </w:trPr>
        <w:tc>
          <w:tcPr>
            <w:tcW w:w="5240" w:type="dxa"/>
          </w:tcPr>
          <w:p w14:paraId="51012A2C" w14:textId="6BCE7034" w:rsidR="00962DA2" w:rsidRPr="006269A3" w:rsidRDefault="00962DA2" w:rsidP="004F5C72">
            <w:pPr>
              <w:ind w:firstLineChars="100" w:firstLine="181"/>
              <w:jc w:val="both"/>
              <w:rPr>
                <w:rFonts w:ascii="Arial" w:hAnsi="Arial" w:cs="Arial"/>
                <w:b/>
                <w:bCs/>
                <w:sz w:val="18"/>
                <w:szCs w:val="18"/>
                <w:lang w:eastAsia="es-AR"/>
              </w:rPr>
            </w:pPr>
            <w:r w:rsidRPr="006269A3">
              <w:rPr>
                <w:rFonts w:ascii="Arial" w:hAnsi="Arial" w:cs="Arial"/>
                <w:b/>
                <w:bCs/>
                <w:sz w:val="18"/>
                <w:szCs w:val="18"/>
              </w:rPr>
              <w:t xml:space="preserve">En  </w:t>
            </w:r>
            <w:r w:rsidR="004F5C72">
              <w:rPr>
                <w:rFonts w:ascii="Arial" w:hAnsi="Arial" w:cs="Arial"/>
                <w:b/>
                <w:bCs/>
                <w:sz w:val="18"/>
                <w:szCs w:val="18"/>
              </w:rPr>
              <w:t>tratamiento especial</w:t>
            </w:r>
          </w:p>
        </w:tc>
        <w:tc>
          <w:tcPr>
            <w:tcW w:w="1276" w:type="dxa"/>
            <w:tcBorders>
              <w:bottom w:val="single" w:sz="4" w:space="0" w:color="auto"/>
            </w:tcBorders>
            <w:vAlign w:val="bottom"/>
          </w:tcPr>
          <w:p w14:paraId="34BBBBC4" w14:textId="19579618" w:rsidR="00962DA2" w:rsidRPr="002266D4" w:rsidRDefault="004F5C72"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bottom w:val="single" w:sz="4" w:space="0" w:color="auto"/>
            </w:tcBorders>
            <w:vAlign w:val="bottom"/>
          </w:tcPr>
          <w:p w14:paraId="211F299E" w14:textId="5025C493" w:rsidR="00962DA2" w:rsidRPr="00F21A41" w:rsidRDefault="004F5C72" w:rsidP="00962DA2">
            <w:pPr>
              <w:widowControl w:val="0"/>
              <w:autoSpaceDE w:val="0"/>
              <w:autoSpaceDN w:val="0"/>
              <w:adjustRightInd w:val="0"/>
              <w:jc w:val="right"/>
              <w:rPr>
                <w:rFonts w:ascii="Arial" w:hAnsi="Arial" w:cs="Arial"/>
                <w:noProof/>
                <w:sz w:val="18"/>
                <w:szCs w:val="18"/>
              </w:rPr>
            </w:pPr>
            <w:r w:rsidRPr="00F21A41">
              <w:rPr>
                <w:rFonts w:ascii="Arial" w:hAnsi="Arial" w:cs="Arial"/>
                <w:noProof/>
                <w:sz w:val="18"/>
                <w:szCs w:val="18"/>
              </w:rPr>
              <w:t>-</w:t>
            </w:r>
          </w:p>
        </w:tc>
      </w:tr>
      <w:tr w:rsidR="00962DA2" w:rsidRPr="006269A3" w14:paraId="5B7C7818" w14:textId="77777777" w:rsidTr="006265F5">
        <w:trPr>
          <w:trHeight w:val="170"/>
        </w:trPr>
        <w:tc>
          <w:tcPr>
            <w:tcW w:w="5240" w:type="dxa"/>
          </w:tcPr>
          <w:p w14:paraId="7AD6CC36" w14:textId="77777777" w:rsidR="00962DA2" w:rsidRPr="006269A3" w:rsidRDefault="00962DA2" w:rsidP="00BE5A48">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1D653013" w14:textId="61A966D7" w:rsidR="00962DA2" w:rsidRPr="002266D4" w:rsidRDefault="004F5C72"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top w:val="single" w:sz="4" w:space="0" w:color="auto"/>
            </w:tcBorders>
            <w:vAlign w:val="bottom"/>
          </w:tcPr>
          <w:p w14:paraId="4DF21780" w14:textId="53F31B89" w:rsidR="00962DA2" w:rsidRPr="00F21A41" w:rsidRDefault="004F5C72" w:rsidP="00962DA2">
            <w:pPr>
              <w:widowControl w:val="0"/>
              <w:autoSpaceDE w:val="0"/>
              <w:autoSpaceDN w:val="0"/>
              <w:adjustRightInd w:val="0"/>
              <w:jc w:val="right"/>
              <w:rPr>
                <w:rFonts w:ascii="Arial" w:hAnsi="Arial" w:cs="Arial"/>
                <w:noProof/>
                <w:sz w:val="18"/>
                <w:szCs w:val="18"/>
              </w:rPr>
            </w:pPr>
            <w:r w:rsidRPr="00F21A41">
              <w:rPr>
                <w:rFonts w:ascii="Arial" w:hAnsi="Arial" w:cs="Arial"/>
                <w:noProof/>
                <w:sz w:val="18"/>
                <w:szCs w:val="18"/>
              </w:rPr>
              <w:t>-</w:t>
            </w:r>
          </w:p>
        </w:tc>
      </w:tr>
      <w:tr w:rsidR="00962DA2" w:rsidRPr="006269A3" w14:paraId="474272F0" w14:textId="77777777" w:rsidTr="006265F5">
        <w:trPr>
          <w:trHeight w:val="170"/>
        </w:trPr>
        <w:tc>
          <w:tcPr>
            <w:tcW w:w="5240" w:type="dxa"/>
          </w:tcPr>
          <w:p w14:paraId="51180E74" w14:textId="5376732D" w:rsidR="00962DA2" w:rsidRPr="006269A3" w:rsidRDefault="00962DA2" w:rsidP="00BE5A48">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22EF5AE6" w14:textId="3ADB4350" w:rsidR="00962DA2" w:rsidRPr="002266D4" w:rsidRDefault="004F5C72"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537EEC77" w14:textId="30743255" w:rsidR="00962DA2" w:rsidRPr="00F21A41" w:rsidRDefault="004F5C72" w:rsidP="00962DA2">
            <w:pPr>
              <w:widowControl w:val="0"/>
              <w:autoSpaceDE w:val="0"/>
              <w:autoSpaceDN w:val="0"/>
              <w:adjustRightInd w:val="0"/>
              <w:jc w:val="right"/>
              <w:rPr>
                <w:rFonts w:ascii="Arial" w:hAnsi="Arial" w:cs="Arial"/>
                <w:noProof/>
                <w:sz w:val="18"/>
                <w:szCs w:val="18"/>
              </w:rPr>
            </w:pPr>
            <w:r w:rsidRPr="00F21A41">
              <w:rPr>
                <w:rFonts w:ascii="Arial" w:hAnsi="Arial" w:cs="Arial"/>
                <w:noProof/>
                <w:sz w:val="18"/>
                <w:szCs w:val="18"/>
              </w:rPr>
              <w:t>-</w:t>
            </w:r>
          </w:p>
        </w:tc>
      </w:tr>
      <w:tr w:rsidR="00962DA2" w:rsidRPr="006269A3" w14:paraId="59DA4C23" w14:textId="77777777" w:rsidTr="006265F5">
        <w:trPr>
          <w:trHeight w:val="170"/>
        </w:trPr>
        <w:tc>
          <w:tcPr>
            <w:tcW w:w="5240" w:type="dxa"/>
          </w:tcPr>
          <w:p w14:paraId="5B4035A1" w14:textId="77777777" w:rsidR="00962DA2" w:rsidRPr="006269A3" w:rsidRDefault="00962DA2" w:rsidP="00BE5A48">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49565687" w14:textId="08B21B8C" w:rsidR="00962DA2" w:rsidRPr="002266D4" w:rsidRDefault="004F5C72"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1042483F" w14:textId="74BBBF5E" w:rsidR="00962DA2" w:rsidRPr="001B4F5C" w:rsidRDefault="004F5C72"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r>
      <w:tr w:rsidR="00962DA2" w:rsidRPr="006269A3" w14:paraId="2E838B85" w14:textId="77777777" w:rsidTr="006265F5">
        <w:trPr>
          <w:trHeight w:val="170"/>
        </w:trPr>
        <w:tc>
          <w:tcPr>
            <w:tcW w:w="5240" w:type="dxa"/>
          </w:tcPr>
          <w:p w14:paraId="26A7BDD9" w14:textId="77777777" w:rsidR="00962DA2" w:rsidRPr="006269A3" w:rsidRDefault="00962DA2" w:rsidP="00BE5A48">
            <w:pPr>
              <w:jc w:val="both"/>
              <w:rPr>
                <w:rFonts w:ascii="Arial" w:hAnsi="Arial" w:cs="Arial"/>
                <w:b/>
                <w:bCs/>
                <w:sz w:val="18"/>
                <w:szCs w:val="18"/>
              </w:rPr>
            </w:pPr>
          </w:p>
        </w:tc>
        <w:tc>
          <w:tcPr>
            <w:tcW w:w="1276" w:type="dxa"/>
            <w:vAlign w:val="bottom"/>
          </w:tcPr>
          <w:p w14:paraId="0C2AED3A" w14:textId="793C430E" w:rsidR="00962DA2" w:rsidRPr="00EE63C4" w:rsidRDefault="00962DA2" w:rsidP="00962DA2">
            <w:pPr>
              <w:widowControl w:val="0"/>
              <w:autoSpaceDE w:val="0"/>
              <w:autoSpaceDN w:val="0"/>
              <w:adjustRightInd w:val="0"/>
              <w:jc w:val="right"/>
              <w:rPr>
                <w:rFonts w:ascii="Arial" w:hAnsi="Arial" w:cs="Arial"/>
                <w:noProof/>
                <w:sz w:val="18"/>
                <w:szCs w:val="18"/>
              </w:rPr>
            </w:pPr>
          </w:p>
        </w:tc>
        <w:tc>
          <w:tcPr>
            <w:tcW w:w="1275" w:type="dxa"/>
            <w:vAlign w:val="bottom"/>
          </w:tcPr>
          <w:p w14:paraId="65DB70CE" w14:textId="17E56D12" w:rsidR="00962DA2" w:rsidRPr="001B4F5C" w:rsidRDefault="00962DA2" w:rsidP="00962DA2">
            <w:pPr>
              <w:widowControl w:val="0"/>
              <w:autoSpaceDE w:val="0"/>
              <w:autoSpaceDN w:val="0"/>
              <w:adjustRightInd w:val="0"/>
              <w:jc w:val="right"/>
              <w:rPr>
                <w:rFonts w:ascii="Arial" w:hAnsi="Arial" w:cs="Arial"/>
                <w:noProof/>
                <w:sz w:val="18"/>
                <w:szCs w:val="18"/>
              </w:rPr>
            </w:pPr>
          </w:p>
        </w:tc>
      </w:tr>
      <w:tr w:rsidR="00B22349" w:rsidRPr="006269A3" w14:paraId="27019185" w14:textId="77777777" w:rsidTr="006265F5">
        <w:trPr>
          <w:trHeight w:val="170"/>
        </w:trPr>
        <w:tc>
          <w:tcPr>
            <w:tcW w:w="5240" w:type="dxa"/>
          </w:tcPr>
          <w:p w14:paraId="078C2A63"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Con problemas</w:t>
            </w:r>
          </w:p>
        </w:tc>
        <w:tc>
          <w:tcPr>
            <w:tcW w:w="1276" w:type="dxa"/>
            <w:tcBorders>
              <w:bottom w:val="single" w:sz="4" w:space="0" w:color="auto"/>
            </w:tcBorders>
            <w:vAlign w:val="bottom"/>
          </w:tcPr>
          <w:p w14:paraId="2742CCDE" w14:textId="496263C7"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244.876</w:t>
            </w:r>
          </w:p>
        </w:tc>
        <w:tc>
          <w:tcPr>
            <w:tcW w:w="1275" w:type="dxa"/>
            <w:tcBorders>
              <w:bottom w:val="single" w:sz="4" w:space="0" w:color="auto"/>
            </w:tcBorders>
            <w:vAlign w:val="bottom"/>
          </w:tcPr>
          <w:p w14:paraId="48BA1D44" w14:textId="5E9A9A70"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107.746</w:t>
            </w:r>
          </w:p>
        </w:tc>
      </w:tr>
      <w:tr w:rsidR="00B22349" w:rsidRPr="006269A3" w14:paraId="26E41038" w14:textId="77777777" w:rsidTr="006265F5">
        <w:trPr>
          <w:trHeight w:val="170"/>
        </w:trPr>
        <w:tc>
          <w:tcPr>
            <w:tcW w:w="5240" w:type="dxa"/>
          </w:tcPr>
          <w:p w14:paraId="023870AA"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4A46D8F6" w14:textId="6C23B006"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3.256</w:t>
            </w:r>
          </w:p>
        </w:tc>
        <w:tc>
          <w:tcPr>
            <w:tcW w:w="1275" w:type="dxa"/>
            <w:tcBorders>
              <w:top w:val="single" w:sz="4" w:space="0" w:color="auto"/>
            </w:tcBorders>
            <w:vAlign w:val="bottom"/>
          </w:tcPr>
          <w:p w14:paraId="1AFE3FD8" w14:textId="3024C141"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6.610</w:t>
            </w:r>
          </w:p>
        </w:tc>
      </w:tr>
      <w:tr w:rsidR="00B22349" w:rsidRPr="006269A3" w14:paraId="4BEEE095" w14:textId="77777777" w:rsidTr="006265F5">
        <w:trPr>
          <w:trHeight w:val="170"/>
        </w:trPr>
        <w:tc>
          <w:tcPr>
            <w:tcW w:w="5240" w:type="dxa"/>
          </w:tcPr>
          <w:p w14:paraId="164F0A84" w14:textId="059B0918"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"B"</w:t>
            </w:r>
          </w:p>
        </w:tc>
        <w:tc>
          <w:tcPr>
            <w:tcW w:w="1276" w:type="dxa"/>
            <w:vAlign w:val="bottom"/>
          </w:tcPr>
          <w:p w14:paraId="71531915" w14:textId="0D16A3D2"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112.633</w:t>
            </w:r>
          </w:p>
        </w:tc>
        <w:tc>
          <w:tcPr>
            <w:tcW w:w="1275" w:type="dxa"/>
            <w:vAlign w:val="bottom"/>
          </w:tcPr>
          <w:p w14:paraId="1BF61E23" w14:textId="38977486"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40.666</w:t>
            </w:r>
          </w:p>
        </w:tc>
      </w:tr>
      <w:tr w:rsidR="00B22349" w:rsidRPr="006269A3" w14:paraId="544CBF07" w14:textId="77777777" w:rsidTr="006265F5">
        <w:trPr>
          <w:trHeight w:val="170"/>
        </w:trPr>
        <w:tc>
          <w:tcPr>
            <w:tcW w:w="5240" w:type="dxa"/>
          </w:tcPr>
          <w:p w14:paraId="262A92FD"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4A55CC1A" w14:textId="255E0C3A"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128.987</w:t>
            </w:r>
          </w:p>
        </w:tc>
        <w:tc>
          <w:tcPr>
            <w:tcW w:w="1275" w:type="dxa"/>
            <w:vAlign w:val="bottom"/>
          </w:tcPr>
          <w:p w14:paraId="5883D344" w14:textId="2407D4DB"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60.470</w:t>
            </w:r>
          </w:p>
        </w:tc>
      </w:tr>
      <w:tr w:rsidR="00962DA2" w:rsidRPr="006269A3" w14:paraId="76579C98" w14:textId="77777777" w:rsidTr="006265F5">
        <w:trPr>
          <w:trHeight w:val="170"/>
        </w:trPr>
        <w:tc>
          <w:tcPr>
            <w:tcW w:w="5240" w:type="dxa"/>
          </w:tcPr>
          <w:p w14:paraId="1F495BE4" w14:textId="77777777" w:rsidR="00962DA2" w:rsidRPr="006269A3" w:rsidRDefault="00962DA2" w:rsidP="00BE5A48">
            <w:pPr>
              <w:jc w:val="both"/>
              <w:rPr>
                <w:rFonts w:ascii="Arial" w:hAnsi="Arial" w:cs="Arial"/>
                <w:b/>
                <w:bCs/>
                <w:sz w:val="18"/>
                <w:szCs w:val="18"/>
              </w:rPr>
            </w:pPr>
          </w:p>
        </w:tc>
        <w:tc>
          <w:tcPr>
            <w:tcW w:w="1276" w:type="dxa"/>
            <w:vAlign w:val="bottom"/>
          </w:tcPr>
          <w:p w14:paraId="5C570654" w14:textId="44DE527D"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119AAFD1" w14:textId="0656A400"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B22349" w:rsidRPr="006269A3" w14:paraId="34451C3C" w14:textId="77777777" w:rsidTr="006265F5">
        <w:trPr>
          <w:trHeight w:val="170"/>
        </w:trPr>
        <w:tc>
          <w:tcPr>
            <w:tcW w:w="5240" w:type="dxa"/>
          </w:tcPr>
          <w:p w14:paraId="1A1F71DA"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Con alto riesgo de insolvencia</w:t>
            </w:r>
          </w:p>
        </w:tc>
        <w:tc>
          <w:tcPr>
            <w:tcW w:w="1276" w:type="dxa"/>
            <w:tcBorders>
              <w:bottom w:val="single" w:sz="4" w:space="0" w:color="auto"/>
            </w:tcBorders>
            <w:vAlign w:val="bottom"/>
          </w:tcPr>
          <w:p w14:paraId="435F6AC6" w14:textId="20D8ABD6"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3.570.477</w:t>
            </w:r>
          </w:p>
        </w:tc>
        <w:tc>
          <w:tcPr>
            <w:tcW w:w="1275" w:type="dxa"/>
            <w:tcBorders>
              <w:bottom w:val="single" w:sz="4" w:space="0" w:color="auto"/>
            </w:tcBorders>
            <w:vAlign w:val="bottom"/>
          </w:tcPr>
          <w:p w14:paraId="3E8FF8B5" w14:textId="3344FF31"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3.880.371</w:t>
            </w:r>
          </w:p>
        </w:tc>
      </w:tr>
      <w:tr w:rsidR="00B22349" w:rsidRPr="006269A3" w14:paraId="03034A31" w14:textId="77777777" w:rsidTr="006265F5">
        <w:trPr>
          <w:trHeight w:val="170"/>
        </w:trPr>
        <w:tc>
          <w:tcPr>
            <w:tcW w:w="5240" w:type="dxa"/>
          </w:tcPr>
          <w:p w14:paraId="5A58F386"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218351B2" w14:textId="78FEDB75"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0</w:t>
            </w:r>
          </w:p>
        </w:tc>
        <w:tc>
          <w:tcPr>
            <w:tcW w:w="1275" w:type="dxa"/>
            <w:tcBorders>
              <w:top w:val="single" w:sz="4" w:space="0" w:color="auto"/>
            </w:tcBorders>
            <w:vAlign w:val="bottom"/>
          </w:tcPr>
          <w:p w14:paraId="45E1D05D" w14:textId="6435FD7B"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20.379</w:t>
            </w:r>
          </w:p>
        </w:tc>
      </w:tr>
      <w:tr w:rsidR="00B22349" w:rsidRPr="006269A3" w14:paraId="212504AF" w14:textId="77777777" w:rsidTr="006265F5">
        <w:trPr>
          <w:trHeight w:val="170"/>
        </w:trPr>
        <w:tc>
          <w:tcPr>
            <w:tcW w:w="5240" w:type="dxa"/>
          </w:tcPr>
          <w:p w14:paraId="3041FB70" w14:textId="2341B3BF"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6E57D606" w14:textId="064A39C5"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1.461.720</w:t>
            </w:r>
          </w:p>
        </w:tc>
        <w:tc>
          <w:tcPr>
            <w:tcW w:w="1275" w:type="dxa"/>
            <w:vAlign w:val="bottom"/>
          </w:tcPr>
          <w:p w14:paraId="3ABA88F5" w14:textId="6896E520"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1.502.709</w:t>
            </w:r>
          </w:p>
        </w:tc>
      </w:tr>
      <w:tr w:rsidR="00B22349" w:rsidRPr="006269A3" w14:paraId="6DE74B57" w14:textId="77777777" w:rsidTr="006265F5">
        <w:trPr>
          <w:trHeight w:val="170"/>
        </w:trPr>
        <w:tc>
          <w:tcPr>
            <w:tcW w:w="5240" w:type="dxa"/>
          </w:tcPr>
          <w:p w14:paraId="243173B6"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1830C132" w14:textId="7FE0DD0E"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2.108.757</w:t>
            </w:r>
          </w:p>
        </w:tc>
        <w:tc>
          <w:tcPr>
            <w:tcW w:w="1275" w:type="dxa"/>
            <w:vAlign w:val="bottom"/>
          </w:tcPr>
          <w:p w14:paraId="217057DC" w14:textId="708D5985"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2.357.283</w:t>
            </w:r>
          </w:p>
        </w:tc>
      </w:tr>
      <w:tr w:rsidR="00962DA2" w:rsidRPr="006269A3" w14:paraId="2CAF5854" w14:textId="77777777" w:rsidTr="006265F5">
        <w:trPr>
          <w:trHeight w:val="170"/>
        </w:trPr>
        <w:tc>
          <w:tcPr>
            <w:tcW w:w="5240" w:type="dxa"/>
          </w:tcPr>
          <w:p w14:paraId="5D424031" w14:textId="77777777" w:rsidR="00962DA2" w:rsidRPr="006269A3" w:rsidRDefault="00962DA2" w:rsidP="00BE5A48">
            <w:pPr>
              <w:jc w:val="both"/>
              <w:rPr>
                <w:rFonts w:ascii="Arial" w:hAnsi="Arial" w:cs="Arial"/>
                <w:b/>
                <w:bCs/>
                <w:sz w:val="18"/>
                <w:szCs w:val="18"/>
              </w:rPr>
            </w:pPr>
          </w:p>
        </w:tc>
        <w:tc>
          <w:tcPr>
            <w:tcW w:w="1276" w:type="dxa"/>
            <w:vAlign w:val="bottom"/>
          </w:tcPr>
          <w:p w14:paraId="51A56DBE" w14:textId="7F486A81"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526FF8F9" w14:textId="4A45EAF0"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B22349" w:rsidRPr="006269A3" w14:paraId="4B4D593B" w14:textId="77777777" w:rsidTr="006265F5">
        <w:trPr>
          <w:trHeight w:val="170"/>
        </w:trPr>
        <w:tc>
          <w:tcPr>
            <w:tcW w:w="5240" w:type="dxa"/>
          </w:tcPr>
          <w:p w14:paraId="5DDC4942"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Irrecuperable</w:t>
            </w:r>
          </w:p>
        </w:tc>
        <w:tc>
          <w:tcPr>
            <w:tcW w:w="1276" w:type="dxa"/>
            <w:tcBorders>
              <w:bottom w:val="single" w:sz="4" w:space="0" w:color="auto"/>
            </w:tcBorders>
            <w:vAlign w:val="bottom"/>
          </w:tcPr>
          <w:p w14:paraId="66F35266" w14:textId="5BCB93AD"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11.746</w:t>
            </w:r>
          </w:p>
        </w:tc>
        <w:tc>
          <w:tcPr>
            <w:tcW w:w="1275" w:type="dxa"/>
            <w:tcBorders>
              <w:bottom w:val="single" w:sz="4" w:space="0" w:color="auto"/>
            </w:tcBorders>
            <w:vAlign w:val="bottom"/>
          </w:tcPr>
          <w:p w14:paraId="1FAD02B3" w14:textId="2BED4092"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22.995</w:t>
            </w:r>
          </w:p>
        </w:tc>
      </w:tr>
      <w:tr w:rsidR="00B22349" w:rsidRPr="006269A3" w14:paraId="23525EA8" w14:textId="77777777" w:rsidTr="006265F5">
        <w:trPr>
          <w:trHeight w:val="170"/>
        </w:trPr>
        <w:tc>
          <w:tcPr>
            <w:tcW w:w="5240" w:type="dxa"/>
          </w:tcPr>
          <w:p w14:paraId="7164FBDB"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4A1EEF14" w14:textId="47D2EA05"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 xml:space="preserve">- </w:t>
            </w:r>
          </w:p>
        </w:tc>
        <w:tc>
          <w:tcPr>
            <w:tcW w:w="1275" w:type="dxa"/>
            <w:tcBorders>
              <w:top w:val="single" w:sz="4" w:space="0" w:color="auto"/>
            </w:tcBorders>
            <w:vAlign w:val="bottom"/>
          </w:tcPr>
          <w:p w14:paraId="1FC6A91C" w14:textId="01689883"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0</w:t>
            </w:r>
          </w:p>
        </w:tc>
      </w:tr>
      <w:tr w:rsidR="00B22349" w:rsidRPr="006269A3" w14:paraId="340CA9BF" w14:textId="77777777" w:rsidTr="006265F5">
        <w:trPr>
          <w:trHeight w:val="170"/>
        </w:trPr>
        <w:tc>
          <w:tcPr>
            <w:tcW w:w="5240" w:type="dxa"/>
          </w:tcPr>
          <w:p w14:paraId="2A061173"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45D82804" w14:textId="24AF9323"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1.551</w:t>
            </w:r>
          </w:p>
        </w:tc>
        <w:tc>
          <w:tcPr>
            <w:tcW w:w="1275" w:type="dxa"/>
            <w:vAlign w:val="bottom"/>
          </w:tcPr>
          <w:p w14:paraId="108406FC" w14:textId="7EAC6C5F"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1.672</w:t>
            </w:r>
          </w:p>
        </w:tc>
      </w:tr>
      <w:tr w:rsidR="00B22349" w:rsidRPr="006269A3" w14:paraId="0A6172D9" w14:textId="77777777" w:rsidTr="006265F5">
        <w:trPr>
          <w:trHeight w:val="170"/>
        </w:trPr>
        <w:tc>
          <w:tcPr>
            <w:tcW w:w="5240" w:type="dxa"/>
          </w:tcPr>
          <w:p w14:paraId="64D8C0B4"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A659BB2" w14:textId="37C668DE" w:rsidR="00B22349" w:rsidRPr="00EE63C4"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10.195</w:t>
            </w:r>
          </w:p>
        </w:tc>
        <w:tc>
          <w:tcPr>
            <w:tcW w:w="1275" w:type="dxa"/>
            <w:vAlign w:val="bottom"/>
          </w:tcPr>
          <w:p w14:paraId="5712E17E" w14:textId="51B1E18B"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21.323</w:t>
            </w:r>
          </w:p>
        </w:tc>
      </w:tr>
      <w:tr w:rsidR="00962DA2" w:rsidRPr="006269A3" w14:paraId="6D2E2A75" w14:textId="77777777" w:rsidTr="006265F5">
        <w:trPr>
          <w:trHeight w:val="170"/>
        </w:trPr>
        <w:tc>
          <w:tcPr>
            <w:tcW w:w="5240" w:type="dxa"/>
          </w:tcPr>
          <w:p w14:paraId="577F9AAA" w14:textId="77777777" w:rsidR="00962DA2" w:rsidRPr="006269A3" w:rsidRDefault="00962DA2" w:rsidP="00BE5A48">
            <w:pPr>
              <w:jc w:val="both"/>
              <w:rPr>
                <w:rFonts w:ascii="Arial" w:hAnsi="Arial" w:cs="Arial"/>
                <w:b/>
                <w:bCs/>
                <w:sz w:val="18"/>
                <w:szCs w:val="18"/>
              </w:rPr>
            </w:pPr>
          </w:p>
        </w:tc>
        <w:tc>
          <w:tcPr>
            <w:tcW w:w="1276" w:type="dxa"/>
            <w:vAlign w:val="bottom"/>
          </w:tcPr>
          <w:p w14:paraId="555D4F90" w14:textId="09F11F31"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77C21F0D" w14:textId="4FE7C804"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2266D4" w:rsidRPr="006269A3" w14:paraId="040B5562" w14:textId="77777777" w:rsidTr="006265F5">
        <w:trPr>
          <w:trHeight w:val="80"/>
        </w:trPr>
        <w:tc>
          <w:tcPr>
            <w:tcW w:w="5240" w:type="dxa"/>
            <w:tcBorders>
              <w:bottom w:val="single" w:sz="4" w:space="0" w:color="auto"/>
            </w:tcBorders>
          </w:tcPr>
          <w:p w14:paraId="00EF2106" w14:textId="77777777" w:rsidR="002266D4" w:rsidRPr="006269A3" w:rsidRDefault="002266D4" w:rsidP="002266D4">
            <w:pPr>
              <w:ind w:firstLineChars="200" w:firstLine="360"/>
              <w:jc w:val="both"/>
              <w:rPr>
                <w:rFonts w:ascii="Arial" w:hAnsi="Arial" w:cs="Arial"/>
                <w:sz w:val="18"/>
                <w:szCs w:val="18"/>
              </w:rPr>
            </w:pPr>
          </w:p>
        </w:tc>
        <w:tc>
          <w:tcPr>
            <w:tcW w:w="1276" w:type="dxa"/>
            <w:tcBorders>
              <w:bottom w:val="single" w:sz="4" w:space="0" w:color="auto"/>
            </w:tcBorders>
            <w:vAlign w:val="bottom"/>
          </w:tcPr>
          <w:p w14:paraId="70D2948E" w14:textId="34B78AC7" w:rsidR="002266D4" w:rsidRPr="00EE63C4" w:rsidRDefault="002266D4" w:rsidP="002266D4">
            <w:pPr>
              <w:widowControl w:val="0"/>
              <w:autoSpaceDE w:val="0"/>
              <w:autoSpaceDN w:val="0"/>
              <w:adjustRightInd w:val="0"/>
              <w:jc w:val="right"/>
              <w:rPr>
                <w:rFonts w:ascii="Arial" w:hAnsi="Arial" w:cs="Arial"/>
                <w:noProof/>
                <w:sz w:val="18"/>
                <w:szCs w:val="18"/>
                <w:highlight w:val="yellow"/>
              </w:rPr>
            </w:pPr>
          </w:p>
        </w:tc>
        <w:tc>
          <w:tcPr>
            <w:tcW w:w="1275" w:type="dxa"/>
            <w:tcBorders>
              <w:bottom w:val="single" w:sz="4" w:space="0" w:color="auto"/>
            </w:tcBorders>
            <w:vAlign w:val="bottom"/>
          </w:tcPr>
          <w:p w14:paraId="599A0053" w14:textId="4D7C353C" w:rsidR="002266D4" w:rsidRPr="00962DA2" w:rsidRDefault="002266D4" w:rsidP="002266D4">
            <w:pPr>
              <w:widowControl w:val="0"/>
              <w:autoSpaceDE w:val="0"/>
              <w:autoSpaceDN w:val="0"/>
              <w:adjustRightInd w:val="0"/>
              <w:jc w:val="right"/>
              <w:rPr>
                <w:rFonts w:ascii="Arial" w:hAnsi="Arial" w:cs="Arial"/>
                <w:noProof/>
                <w:sz w:val="18"/>
                <w:szCs w:val="18"/>
                <w:highlight w:val="yellow"/>
              </w:rPr>
            </w:pPr>
          </w:p>
        </w:tc>
      </w:tr>
      <w:tr w:rsidR="00B22349" w:rsidRPr="006269A3" w14:paraId="7690C926" w14:textId="77777777" w:rsidTr="006265F5">
        <w:tc>
          <w:tcPr>
            <w:tcW w:w="5240" w:type="dxa"/>
            <w:tcBorders>
              <w:top w:val="single" w:sz="4" w:space="0" w:color="auto"/>
              <w:bottom w:val="single" w:sz="4" w:space="0" w:color="auto"/>
            </w:tcBorders>
          </w:tcPr>
          <w:p w14:paraId="41D7534A"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TOTAL</w:t>
            </w:r>
          </w:p>
        </w:tc>
        <w:tc>
          <w:tcPr>
            <w:tcW w:w="1276" w:type="dxa"/>
            <w:tcBorders>
              <w:top w:val="single" w:sz="4" w:space="0" w:color="auto"/>
              <w:bottom w:val="single" w:sz="4" w:space="0" w:color="auto"/>
            </w:tcBorders>
            <w:vAlign w:val="center"/>
          </w:tcPr>
          <w:p w14:paraId="7CA30AAE" w14:textId="63F87DDB" w:rsidR="00B22349" w:rsidRPr="00EE63C4" w:rsidRDefault="00B22349" w:rsidP="00B22349">
            <w:pPr>
              <w:jc w:val="right"/>
              <w:rPr>
                <w:rFonts w:ascii="Arial" w:hAnsi="Arial" w:cs="Arial"/>
                <w:b/>
                <w:bCs/>
                <w:color w:val="000000"/>
                <w:sz w:val="18"/>
                <w:szCs w:val="18"/>
              </w:rPr>
            </w:pPr>
            <w:r>
              <w:rPr>
                <w:rFonts w:ascii="Arial" w:hAnsi="Arial" w:cs="Arial"/>
                <w:b/>
                <w:bCs/>
                <w:color w:val="000000"/>
                <w:sz w:val="18"/>
                <w:szCs w:val="18"/>
              </w:rPr>
              <w:t>47.226.251</w:t>
            </w:r>
          </w:p>
        </w:tc>
        <w:tc>
          <w:tcPr>
            <w:tcW w:w="1275" w:type="dxa"/>
            <w:tcBorders>
              <w:top w:val="single" w:sz="4" w:space="0" w:color="auto"/>
              <w:bottom w:val="single" w:sz="4" w:space="0" w:color="auto"/>
            </w:tcBorders>
            <w:vAlign w:val="center"/>
          </w:tcPr>
          <w:p w14:paraId="15DDBC62" w14:textId="4F012B7A"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50.141.715</w:t>
            </w:r>
          </w:p>
        </w:tc>
      </w:tr>
      <w:tr w:rsidR="002266D4" w14:paraId="4E95E238" w14:textId="77777777" w:rsidTr="00BE5A48">
        <w:tc>
          <w:tcPr>
            <w:tcW w:w="5240" w:type="dxa"/>
            <w:tcBorders>
              <w:top w:val="single" w:sz="4" w:space="0" w:color="auto"/>
            </w:tcBorders>
          </w:tcPr>
          <w:p w14:paraId="2B81B6EF" w14:textId="77777777" w:rsidR="002266D4" w:rsidRPr="000436E1" w:rsidRDefault="002266D4" w:rsidP="002266D4">
            <w:pPr>
              <w:widowControl w:val="0"/>
              <w:autoSpaceDE w:val="0"/>
              <w:autoSpaceDN w:val="0"/>
              <w:adjustRightInd w:val="0"/>
              <w:jc w:val="both"/>
              <w:rPr>
                <w:rFonts w:ascii="Arial" w:hAnsi="Arial" w:cs="Arial"/>
                <w:noProof/>
                <w:sz w:val="18"/>
                <w:szCs w:val="18"/>
                <w:highlight w:val="yellow"/>
              </w:rPr>
            </w:pPr>
          </w:p>
        </w:tc>
        <w:tc>
          <w:tcPr>
            <w:tcW w:w="1276" w:type="dxa"/>
            <w:tcBorders>
              <w:top w:val="single" w:sz="4" w:space="0" w:color="auto"/>
            </w:tcBorders>
          </w:tcPr>
          <w:p w14:paraId="2A53B9AE" w14:textId="77777777" w:rsidR="002266D4" w:rsidRPr="000436E1" w:rsidRDefault="002266D4" w:rsidP="002266D4">
            <w:pPr>
              <w:widowControl w:val="0"/>
              <w:autoSpaceDE w:val="0"/>
              <w:autoSpaceDN w:val="0"/>
              <w:adjustRightInd w:val="0"/>
              <w:jc w:val="both"/>
              <w:rPr>
                <w:rFonts w:ascii="Arial" w:hAnsi="Arial" w:cs="Arial"/>
                <w:noProof/>
                <w:sz w:val="18"/>
                <w:szCs w:val="18"/>
                <w:highlight w:val="yellow"/>
              </w:rPr>
            </w:pPr>
          </w:p>
        </w:tc>
        <w:tc>
          <w:tcPr>
            <w:tcW w:w="1275" w:type="dxa"/>
            <w:tcBorders>
              <w:top w:val="single" w:sz="4" w:space="0" w:color="auto"/>
            </w:tcBorders>
          </w:tcPr>
          <w:p w14:paraId="69070D4B" w14:textId="77777777" w:rsidR="002266D4" w:rsidRPr="000436E1" w:rsidRDefault="002266D4" w:rsidP="002266D4">
            <w:pPr>
              <w:widowControl w:val="0"/>
              <w:autoSpaceDE w:val="0"/>
              <w:autoSpaceDN w:val="0"/>
              <w:adjustRightInd w:val="0"/>
              <w:jc w:val="both"/>
              <w:rPr>
                <w:rFonts w:ascii="Arial" w:hAnsi="Arial" w:cs="Arial"/>
                <w:noProof/>
                <w:sz w:val="18"/>
                <w:szCs w:val="18"/>
                <w:highlight w:val="yellow"/>
              </w:rPr>
            </w:pPr>
          </w:p>
        </w:tc>
      </w:tr>
    </w:tbl>
    <w:p w14:paraId="647D435B" w14:textId="3BA0D1A2" w:rsidR="00D26299" w:rsidRPr="00701F32" w:rsidRDefault="00D26299" w:rsidP="007532DD">
      <w:pPr>
        <w:tabs>
          <w:tab w:val="left" w:pos="709"/>
          <w:tab w:val="left" w:pos="851"/>
        </w:tabs>
        <w:ind w:left="284" w:right="51"/>
        <w:contextualSpacing/>
        <w:jc w:val="both"/>
        <w:rPr>
          <w:rFonts w:ascii="Arial" w:hAnsi="Arial" w:cs="Arial"/>
          <w:sz w:val="20"/>
        </w:rPr>
      </w:pPr>
    </w:p>
    <w:p w14:paraId="0BAF0906" w14:textId="1B57A639" w:rsidR="009F7A13" w:rsidRDefault="009F7A13" w:rsidP="007532DD">
      <w:pPr>
        <w:tabs>
          <w:tab w:val="left" w:pos="709"/>
          <w:tab w:val="left" w:pos="851"/>
        </w:tabs>
        <w:ind w:left="284" w:right="51"/>
        <w:contextualSpacing/>
        <w:jc w:val="both"/>
        <w:rPr>
          <w:rFonts w:ascii="Arial" w:hAnsi="Arial" w:cs="Arial"/>
          <w:sz w:val="20"/>
        </w:rPr>
      </w:pPr>
    </w:p>
    <w:p w14:paraId="635D608A" w14:textId="5766D05E" w:rsidR="006A7073" w:rsidRDefault="006A7073" w:rsidP="007532DD">
      <w:pPr>
        <w:tabs>
          <w:tab w:val="left" w:pos="709"/>
          <w:tab w:val="left" w:pos="851"/>
        </w:tabs>
        <w:ind w:left="284" w:right="51"/>
        <w:contextualSpacing/>
        <w:jc w:val="both"/>
        <w:rPr>
          <w:rFonts w:ascii="Arial" w:hAnsi="Arial" w:cs="Arial"/>
          <w:sz w:val="20"/>
        </w:rPr>
      </w:pPr>
    </w:p>
    <w:p w14:paraId="1E547D24" w14:textId="2A51A37F" w:rsidR="006A7073" w:rsidRDefault="006A7073" w:rsidP="007532DD">
      <w:pPr>
        <w:tabs>
          <w:tab w:val="left" w:pos="709"/>
          <w:tab w:val="left" w:pos="851"/>
        </w:tabs>
        <w:ind w:left="284" w:right="51"/>
        <w:contextualSpacing/>
        <w:jc w:val="both"/>
        <w:rPr>
          <w:rFonts w:ascii="Arial" w:hAnsi="Arial" w:cs="Arial"/>
          <w:sz w:val="20"/>
        </w:rPr>
      </w:pPr>
    </w:p>
    <w:p w14:paraId="1D0F9F3B" w14:textId="7B5C4FC7" w:rsidR="006A7073" w:rsidRDefault="006A7073" w:rsidP="0044006F">
      <w:pPr>
        <w:tabs>
          <w:tab w:val="left" w:pos="709"/>
          <w:tab w:val="left" w:pos="851"/>
        </w:tabs>
        <w:ind w:right="51"/>
        <w:contextualSpacing/>
        <w:jc w:val="both"/>
        <w:rPr>
          <w:rFonts w:ascii="Arial" w:hAnsi="Arial" w:cs="Arial"/>
          <w:sz w:val="20"/>
        </w:rPr>
      </w:pPr>
    </w:p>
    <w:tbl>
      <w:tblPr>
        <w:tblStyle w:val="TableGrid"/>
        <w:tblW w:w="722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1276"/>
        <w:gridCol w:w="1275"/>
      </w:tblGrid>
      <w:tr w:rsidR="007B34B2" w14:paraId="3B129687" w14:textId="77777777" w:rsidTr="00BE5A48">
        <w:tc>
          <w:tcPr>
            <w:tcW w:w="4677" w:type="dxa"/>
            <w:tcBorders>
              <w:top w:val="single" w:sz="4" w:space="0" w:color="auto"/>
              <w:left w:val="single" w:sz="4" w:space="0" w:color="auto"/>
              <w:bottom w:val="single" w:sz="4" w:space="0" w:color="auto"/>
            </w:tcBorders>
            <w:shd w:val="clear" w:color="auto" w:fill="BFBFBF" w:themeFill="background1" w:themeFillShade="BF"/>
          </w:tcPr>
          <w:p w14:paraId="5F02C2BC" w14:textId="77777777" w:rsidR="007B34B2" w:rsidRPr="0066424E" w:rsidRDefault="007B34B2" w:rsidP="00BE5A48">
            <w:pPr>
              <w:widowControl w:val="0"/>
              <w:autoSpaceDE w:val="0"/>
              <w:autoSpaceDN w:val="0"/>
              <w:adjustRightInd w:val="0"/>
              <w:jc w:val="center"/>
              <w:rPr>
                <w:rFonts w:ascii="Arial" w:hAnsi="Arial" w:cs="Arial"/>
                <w:b/>
                <w:noProof/>
                <w:sz w:val="18"/>
                <w:szCs w:val="18"/>
              </w:rPr>
            </w:pPr>
            <w:r w:rsidRPr="0066424E">
              <w:rPr>
                <w:rFonts w:ascii="Arial" w:hAnsi="Arial" w:cs="Arial"/>
                <w:b/>
                <w:noProof/>
                <w:sz w:val="18"/>
                <w:szCs w:val="18"/>
              </w:rPr>
              <w:lastRenderedPageBreak/>
              <w:t>Concepto</w:t>
            </w:r>
          </w:p>
        </w:tc>
        <w:tc>
          <w:tcPr>
            <w:tcW w:w="1276" w:type="dxa"/>
            <w:tcBorders>
              <w:top w:val="single" w:sz="4" w:space="0" w:color="auto"/>
              <w:bottom w:val="single" w:sz="4" w:space="0" w:color="auto"/>
            </w:tcBorders>
            <w:shd w:val="clear" w:color="auto" w:fill="BFBFBF" w:themeFill="background1" w:themeFillShade="BF"/>
          </w:tcPr>
          <w:p w14:paraId="07F59EDC" w14:textId="4DCFCBE8" w:rsidR="007B34B2" w:rsidRPr="0066424E" w:rsidRDefault="009B1CF0" w:rsidP="00083AEA">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31/03/2020</w:t>
            </w:r>
          </w:p>
        </w:tc>
        <w:tc>
          <w:tcPr>
            <w:tcW w:w="1275" w:type="dxa"/>
            <w:tcBorders>
              <w:top w:val="single" w:sz="4" w:space="0" w:color="auto"/>
              <w:bottom w:val="single" w:sz="4" w:space="0" w:color="auto"/>
              <w:right w:val="single" w:sz="4" w:space="0" w:color="auto"/>
            </w:tcBorders>
            <w:shd w:val="clear" w:color="auto" w:fill="BFBFBF" w:themeFill="background1" w:themeFillShade="BF"/>
          </w:tcPr>
          <w:p w14:paraId="74DC1B5C" w14:textId="739B42DE" w:rsidR="007B34B2" w:rsidRPr="0066424E" w:rsidRDefault="009B1CF0" w:rsidP="00BE5A48">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31/12/2019</w:t>
            </w:r>
          </w:p>
        </w:tc>
      </w:tr>
      <w:tr w:rsidR="007B34B2" w14:paraId="03A00B33" w14:textId="77777777" w:rsidTr="00BE5A48">
        <w:tc>
          <w:tcPr>
            <w:tcW w:w="4677" w:type="dxa"/>
            <w:tcBorders>
              <w:top w:val="single" w:sz="4" w:space="0" w:color="auto"/>
            </w:tcBorders>
          </w:tcPr>
          <w:p w14:paraId="5325877E" w14:textId="77777777" w:rsidR="007B34B2" w:rsidRPr="006269A3" w:rsidRDefault="007B34B2" w:rsidP="00BE5A48">
            <w:pPr>
              <w:jc w:val="both"/>
              <w:rPr>
                <w:rFonts w:ascii="Arial" w:hAnsi="Arial" w:cs="Arial"/>
                <w:b/>
                <w:bCs/>
                <w:sz w:val="20"/>
                <w:lang w:eastAsia="es-AR"/>
              </w:rPr>
            </w:pPr>
            <w:r w:rsidRPr="006269A3">
              <w:rPr>
                <w:rFonts w:ascii="Arial" w:hAnsi="Arial" w:cs="Arial"/>
                <w:b/>
                <w:bCs/>
                <w:sz w:val="20"/>
              </w:rPr>
              <w:t>CARTERA CONSUMO Y VIVIENDA</w:t>
            </w:r>
          </w:p>
        </w:tc>
        <w:tc>
          <w:tcPr>
            <w:tcW w:w="1276" w:type="dxa"/>
            <w:tcBorders>
              <w:top w:val="single" w:sz="4" w:space="0" w:color="auto"/>
            </w:tcBorders>
          </w:tcPr>
          <w:p w14:paraId="61CBCD6E" w14:textId="77777777" w:rsidR="007B34B2" w:rsidRPr="006269A3" w:rsidRDefault="007B34B2" w:rsidP="00BE5A48">
            <w:pPr>
              <w:widowControl w:val="0"/>
              <w:autoSpaceDE w:val="0"/>
              <w:autoSpaceDN w:val="0"/>
              <w:adjustRightInd w:val="0"/>
              <w:jc w:val="both"/>
              <w:rPr>
                <w:rFonts w:ascii="Arial" w:hAnsi="Arial" w:cs="Arial"/>
                <w:b/>
                <w:noProof/>
                <w:sz w:val="20"/>
                <w:szCs w:val="18"/>
                <w:highlight w:val="yellow"/>
              </w:rPr>
            </w:pPr>
          </w:p>
        </w:tc>
        <w:tc>
          <w:tcPr>
            <w:tcW w:w="1275" w:type="dxa"/>
            <w:tcBorders>
              <w:top w:val="single" w:sz="4" w:space="0" w:color="auto"/>
            </w:tcBorders>
          </w:tcPr>
          <w:p w14:paraId="6294DAF0" w14:textId="77777777" w:rsidR="007B34B2" w:rsidRPr="006269A3" w:rsidRDefault="007B34B2" w:rsidP="00BE5A48">
            <w:pPr>
              <w:widowControl w:val="0"/>
              <w:autoSpaceDE w:val="0"/>
              <w:autoSpaceDN w:val="0"/>
              <w:adjustRightInd w:val="0"/>
              <w:jc w:val="both"/>
              <w:rPr>
                <w:rFonts w:ascii="Arial" w:hAnsi="Arial" w:cs="Arial"/>
                <w:b/>
                <w:noProof/>
                <w:sz w:val="20"/>
                <w:szCs w:val="18"/>
                <w:highlight w:val="yellow"/>
              </w:rPr>
            </w:pPr>
          </w:p>
        </w:tc>
      </w:tr>
      <w:tr w:rsidR="007B34B2" w14:paraId="560A4BA2" w14:textId="77777777" w:rsidTr="00BE5A48">
        <w:tc>
          <w:tcPr>
            <w:tcW w:w="4677" w:type="dxa"/>
          </w:tcPr>
          <w:p w14:paraId="2DDA471F" w14:textId="77777777" w:rsidR="007B34B2" w:rsidRPr="006269A3" w:rsidRDefault="007B34B2" w:rsidP="00BE5A48">
            <w:pPr>
              <w:widowControl w:val="0"/>
              <w:autoSpaceDE w:val="0"/>
              <w:autoSpaceDN w:val="0"/>
              <w:adjustRightInd w:val="0"/>
              <w:jc w:val="both"/>
              <w:rPr>
                <w:rFonts w:ascii="Arial" w:hAnsi="Arial" w:cs="Arial"/>
                <w:noProof/>
                <w:sz w:val="18"/>
                <w:szCs w:val="18"/>
                <w:highlight w:val="yellow"/>
              </w:rPr>
            </w:pPr>
          </w:p>
        </w:tc>
        <w:tc>
          <w:tcPr>
            <w:tcW w:w="1276" w:type="dxa"/>
          </w:tcPr>
          <w:p w14:paraId="29E72E74" w14:textId="77777777" w:rsidR="007B34B2" w:rsidRPr="006269A3" w:rsidRDefault="007B34B2" w:rsidP="00BE5A48">
            <w:pPr>
              <w:widowControl w:val="0"/>
              <w:autoSpaceDE w:val="0"/>
              <w:autoSpaceDN w:val="0"/>
              <w:adjustRightInd w:val="0"/>
              <w:jc w:val="both"/>
              <w:rPr>
                <w:rFonts w:ascii="Arial" w:hAnsi="Arial" w:cs="Arial"/>
                <w:noProof/>
                <w:sz w:val="18"/>
                <w:szCs w:val="18"/>
                <w:highlight w:val="yellow"/>
              </w:rPr>
            </w:pPr>
          </w:p>
        </w:tc>
        <w:tc>
          <w:tcPr>
            <w:tcW w:w="1275" w:type="dxa"/>
          </w:tcPr>
          <w:p w14:paraId="24EDE8D7" w14:textId="77777777" w:rsidR="007B34B2" w:rsidRPr="006269A3" w:rsidRDefault="007B34B2" w:rsidP="00BE5A48">
            <w:pPr>
              <w:widowControl w:val="0"/>
              <w:autoSpaceDE w:val="0"/>
              <w:autoSpaceDN w:val="0"/>
              <w:adjustRightInd w:val="0"/>
              <w:jc w:val="both"/>
              <w:rPr>
                <w:rFonts w:ascii="Arial" w:hAnsi="Arial" w:cs="Arial"/>
                <w:noProof/>
                <w:sz w:val="18"/>
                <w:szCs w:val="18"/>
                <w:highlight w:val="yellow"/>
              </w:rPr>
            </w:pPr>
          </w:p>
        </w:tc>
      </w:tr>
      <w:tr w:rsidR="00B22349" w14:paraId="7E376BC9" w14:textId="77777777" w:rsidTr="006265F5">
        <w:trPr>
          <w:trHeight w:val="170"/>
        </w:trPr>
        <w:tc>
          <w:tcPr>
            <w:tcW w:w="4677" w:type="dxa"/>
          </w:tcPr>
          <w:p w14:paraId="64046349"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Cumplimiento normal</w:t>
            </w:r>
          </w:p>
        </w:tc>
        <w:tc>
          <w:tcPr>
            <w:tcW w:w="1276" w:type="dxa"/>
            <w:tcBorders>
              <w:bottom w:val="single" w:sz="4" w:space="0" w:color="auto"/>
            </w:tcBorders>
            <w:vAlign w:val="bottom"/>
          </w:tcPr>
          <w:p w14:paraId="1761D4C5" w14:textId="769686CB"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44.109.642</w:t>
            </w:r>
          </w:p>
        </w:tc>
        <w:tc>
          <w:tcPr>
            <w:tcW w:w="1275" w:type="dxa"/>
            <w:tcBorders>
              <w:bottom w:val="single" w:sz="4" w:space="0" w:color="auto"/>
            </w:tcBorders>
            <w:vAlign w:val="bottom"/>
          </w:tcPr>
          <w:p w14:paraId="1F2C369A" w14:textId="07BE178E"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44.039.807</w:t>
            </w:r>
          </w:p>
        </w:tc>
      </w:tr>
      <w:tr w:rsidR="00B22349" w14:paraId="1A8A7C21" w14:textId="77777777" w:rsidTr="006265F5">
        <w:trPr>
          <w:trHeight w:val="170"/>
        </w:trPr>
        <w:tc>
          <w:tcPr>
            <w:tcW w:w="4677" w:type="dxa"/>
          </w:tcPr>
          <w:p w14:paraId="2F2F06EA"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3A291374" w14:textId="229A552A"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831.002</w:t>
            </w:r>
          </w:p>
        </w:tc>
        <w:tc>
          <w:tcPr>
            <w:tcW w:w="1275" w:type="dxa"/>
            <w:tcBorders>
              <w:top w:val="single" w:sz="4" w:space="0" w:color="auto"/>
            </w:tcBorders>
            <w:vAlign w:val="bottom"/>
          </w:tcPr>
          <w:p w14:paraId="54DC17D0" w14:textId="15C1F70A"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749.371</w:t>
            </w:r>
          </w:p>
        </w:tc>
      </w:tr>
      <w:tr w:rsidR="00B22349" w14:paraId="74EDBA50" w14:textId="77777777" w:rsidTr="006265F5">
        <w:trPr>
          <w:trHeight w:val="170"/>
        </w:trPr>
        <w:tc>
          <w:tcPr>
            <w:tcW w:w="4677" w:type="dxa"/>
          </w:tcPr>
          <w:p w14:paraId="4DC8B13D" w14:textId="2A99760A"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2744544B" w14:textId="4D2EF8BF"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5.874.042</w:t>
            </w:r>
          </w:p>
        </w:tc>
        <w:tc>
          <w:tcPr>
            <w:tcW w:w="1275" w:type="dxa"/>
            <w:vAlign w:val="bottom"/>
          </w:tcPr>
          <w:p w14:paraId="036280A4" w14:textId="1E09A77B"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6.202.306</w:t>
            </w:r>
          </w:p>
        </w:tc>
      </w:tr>
      <w:tr w:rsidR="00B22349" w14:paraId="137B6E67" w14:textId="77777777" w:rsidTr="006265F5">
        <w:trPr>
          <w:trHeight w:val="170"/>
        </w:trPr>
        <w:tc>
          <w:tcPr>
            <w:tcW w:w="4677" w:type="dxa"/>
          </w:tcPr>
          <w:p w14:paraId="5F118BBE"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3F2ADB74" w14:textId="736AE954"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37.404.598</w:t>
            </w:r>
          </w:p>
        </w:tc>
        <w:tc>
          <w:tcPr>
            <w:tcW w:w="1275" w:type="dxa"/>
            <w:vAlign w:val="bottom"/>
          </w:tcPr>
          <w:p w14:paraId="6A31CC67" w14:textId="67863EF0"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37.088.130</w:t>
            </w:r>
          </w:p>
        </w:tc>
      </w:tr>
      <w:tr w:rsidR="00962DA2" w14:paraId="4FB63619" w14:textId="77777777" w:rsidTr="006265F5">
        <w:trPr>
          <w:trHeight w:val="170"/>
        </w:trPr>
        <w:tc>
          <w:tcPr>
            <w:tcW w:w="4677" w:type="dxa"/>
          </w:tcPr>
          <w:p w14:paraId="014716E0" w14:textId="77777777" w:rsidR="00962DA2" w:rsidRPr="006269A3" w:rsidRDefault="00962DA2" w:rsidP="00BE5A48">
            <w:pPr>
              <w:jc w:val="both"/>
              <w:rPr>
                <w:rFonts w:ascii="Arial" w:hAnsi="Arial" w:cs="Arial"/>
                <w:b/>
                <w:bCs/>
                <w:sz w:val="18"/>
                <w:szCs w:val="18"/>
              </w:rPr>
            </w:pPr>
          </w:p>
        </w:tc>
        <w:tc>
          <w:tcPr>
            <w:tcW w:w="1276" w:type="dxa"/>
            <w:vAlign w:val="bottom"/>
          </w:tcPr>
          <w:p w14:paraId="1F453E5B" w14:textId="120B9BA3"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3E75FEA1" w14:textId="56655E48"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B22349" w14:paraId="5563F182" w14:textId="77777777" w:rsidTr="006265F5">
        <w:trPr>
          <w:trHeight w:val="170"/>
        </w:trPr>
        <w:tc>
          <w:tcPr>
            <w:tcW w:w="4677" w:type="dxa"/>
          </w:tcPr>
          <w:p w14:paraId="1C4649E1"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Riesgo bajo</w:t>
            </w:r>
          </w:p>
        </w:tc>
        <w:tc>
          <w:tcPr>
            <w:tcW w:w="1276" w:type="dxa"/>
            <w:tcBorders>
              <w:bottom w:val="single" w:sz="4" w:space="0" w:color="auto"/>
            </w:tcBorders>
            <w:vAlign w:val="bottom"/>
          </w:tcPr>
          <w:p w14:paraId="4F8D0CB0" w14:textId="5B761900"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556.218</w:t>
            </w:r>
          </w:p>
        </w:tc>
        <w:tc>
          <w:tcPr>
            <w:tcW w:w="1275" w:type="dxa"/>
            <w:tcBorders>
              <w:bottom w:val="single" w:sz="4" w:space="0" w:color="auto"/>
            </w:tcBorders>
            <w:vAlign w:val="bottom"/>
          </w:tcPr>
          <w:p w14:paraId="712C8E81" w14:textId="5CAA08B0"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1.195.355</w:t>
            </w:r>
          </w:p>
        </w:tc>
      </w:tr>
      <w:tr w:rsidR="00B22349" w14:paraId="4A6FB883" w14:textId="77777777" w:rsidTr="006265F5">
        <w:trPr>
          <w:trHeight w:val="170"/>
        </w:trPr>
        <w:tc>
          <w:tcPr>
            <w:tcW w:w="4677" w:type="dxa"/>
          </w:tcPr>
          <w:p w14:paraId="7634F1CC"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682D1CB0" w14:textId="021C332A"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30.128</w:t>
            </w:r>
          </w:p>
        </w:tc>
        <w:tc>
          <w:tcPr>
            <w:tcW w:w="1275" w:type="dxa"/>
            <w:tcBorders>
              <w:top w:val="single" w:sz="4" w:space="0" w:color="auto"/>
            </w:tcBorders>
            <w:vAlign w:val="bottom"/>
          </w:tcPr>
          <w:p w14:paraId="25B27643" w14:textId="0EE382F7"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97.862</w:t>
            </w:r>
          </w:p>
        </w:tc>
      </w:tr>
      <w:tr w:rsidR="00B22349" w14:paraId="3265D1BA" w14:textId="77777777" w:rsidTr="006265F5">
        <w:trPr>
          <w:trHeight w:val="170"/>
        </w:trPr>
        <w:tc>
          <w:tcPr>
            <w:tcW w:w="4677" w:type="dxa"/>
          </w:tcPr>
          <w:p w14:paraId="3B066111" w14:textId="5C522B55"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7EC69D18" w14:textId="4923F3C2"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61.528</w:t>
            </w:r>
          </w:p>
        </w:tc>
        <w:tc>
          <w:tcPr>
            <w:tcW w:w="1275" w:type="dxa"/>
            <w:vAlign w:val="bottom"/>
          </w:tcPr>
          <w:p w14:paraId="24858C58" w14:textId="034B2289"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173.985</w:t>
            </w:r>
          </w:p>
        </w:tc>
      </w:tr>
      <w:tr w:rsidR="00B22349" w14:paraId="5DF9BECD" w14:textId="77777777" w:rsidTr="006265F5">
        <w:trPr>
          <w:trHeight w:val="170"/>
        </w:trPr>
        <w:tc>
          <w:tcPr>
            <w:tcW w:w="4677" w:type="dxa"/>
          </w:tcPr>
          <w:p w14:paraId="072BAA89"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3139F4B4" w14:textId="74789910"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464.562</w:t>
            </w:r>
          </w:p>
        </w:tc>
        <w:tc>
          <w:tcPr>
            <w:tcW w:w="1275" w:type="dxa"/>
            <w:vAlign w:val="bottom"/>
          </w:tcPr>
          <w:p w14:paraId="176D7A4E" w14:textId="5194FCF7"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923.508</w:t>
            </w:r>
          </w:p>
        </w:tc>
      </w:tr>
      <w:tr w:rsidR="00B22349" w14:paraId="55ABBA3F" w14:textId="77777777" w:rsidTr="00B22349">
        <w:trPr>
          <w:trHeight w:val="170"/>
        </w:trPr>
        <w:tc>
          <w:tcPr>
            <w:tcW w:w="4677" w:type="dxa"/>
          </w:tcPr>
          <w:p w14:paraId="0F4DE6E3" w14:textId="77777777" w:rsidR="00B22349" w:rsidRPr="006269A3" w:rsidRDefault="00B22349" w:rsidP="00BE5A48">
            <w:pPr>
              <w:jc w:val="both"/>
              <w:rPr>
                <w:rFonts w:ascii="Arial" w:hAnsi="Arial" w:cs="Arial"/>
                <w:b/>
                <w:bCs/>
                <w:sz w:val="18"/>
                <w:szCs w:val="18"/>
              </w:rPr>
            </w:pPr>
          </w:p>
        </w:tc>
        <w:tc>
          <w:tcPr>
            <w:tcW w:w="1276" w:type="dxa"/>
            <w:vAlign w:val="bottom"/>
          </w:tcPr>
          <w:p w14:paraId="3A9F3981" w14:textId="77777777" w:rsidR="00B22349" w:rsidRPr="00962DA2" w:rsidRDefault="00B22349"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096DD5B2" w14:textId="77777777" w:rsidR="00B22349" w:rsidRPr="00962DA2" w:rsidRDefault="00B22349" w:rsidP="00962DA2">
            <w:pPr>
              <w:widowControl w:val="0"/>
              <w:autoSpaceDE w:val="0"/>
              <w:autoSpaceDN w:val="0"/>
              <w:adjustRightInd w:val="0"/>
              <w:jc w:val="right"/>
              <w:rPr>
                <w:rFonts w:ascii="Arial" w:hAnsi="Arial" w:cs="Arial"/>
                <w:noProof/>
                <w:sz w:val="18"/>
                <w:szCs w:val="18"/>
                <w:highlight w:val="yellow"/>
              </w:rPr>
            </w:pPr>
          </w:p>
        </w:tc>
      </w:tr>
      <w:tr w:rsidR="00B22349" w14:paraId="60F51324" w14:textId="77777777" w:rsidTr="00B22349">
        <w:trPr>
          <w:trHeight w:val="170"/>
        </w:trPr>
        <w:tc>
          <w:tcPr>
            <w:tcW w:w="4677" w:type="dxa"/>
          </w:tcPr>
          <w:p w14:paraId="3814DFA6" w14:textId="67588E26" w:rsidR="00B22349" w:rsidRPr="006269A3" w:rsidRDefault="00B22349" w:rsidP="00B22349">
            <w:pPr>
              <w:jc w:val="both"/>
              <w:rPr>
                <w:rFonts w:ascii="Arial" w:hAnsi="Arial" w:cs="Arial"/>
                <w:b/>
                <w:bCs/>
                <w:sz w:val="18"/>
                <w:szCs w:val="18"/>
              </w:rPr>
            </w:pPr>
            <w:r>
              <w:rPr>
                <w:rFonts w:ascii="Arial" w:hAnsi="Arial" w:cs="Arial"/>
                <w:b/>
                <w:bCs/>
                <w:sz w:val="18"/>
                <w:szCs w:val="18"/>
              </w:rPr>
              <w:t xml:space="preserve">Riesgo bajo - </w:t>
            </w:r>
            <w:r w:rsidRPr="006269A3">
              <w:rPr>
                <w:rFonts w:ascii="Arial" w:hAnsi="Arial" w:cs="Arial"/>
                <w:b/>
                <w:bCs/>
                <w:sz w:val="18"/>
                <w:szCs w:val="18"/>
              </w:rPr>
              <w:t xml:space="preserve">En </w:t>
            </w:r>
            <w:r>
              <w:rPr>
                <w:rFonts w:ascii="Arial" w:hAnsi="Arial" w:cs="Arial"/>
                <w:b/>
                <w:bCs/>
                <w:sz w:val="18"/>
                <w:szCs w:val="18"/>
              </w:rPr>
              <w:t>tratamiento especial</w:t>
            </w:r>
          </w:p>
        </w:tc>
        <w:tc>
          <w:tcPr>
            <w:tcW w:w="1276" w:type="dxa"/>
            <w:tcBorders>
              <w:bottom w:val="single" w:sz="4" w:space="0" w:color="auto"/>
            </w:tcBorders>
            <w:vAlign w:val="bottom"/>
          </w:tcPr>
          <w:p w14:paraId="13D4B834" w14:textId="2E82C814"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noProof/>
                <w:sz w:val="18"/>
                <w:szCs w:val="18"/>
              </w:rPr>
              <w:t>-</w:t>
            </w:r>
          </w:p>
        </w:tc>
        <w:tc>
          <w:tcPr>
            <w:tcW w:w="1275" w:type="dxa"/>
            <w:tcBorders>
              <w:bottom w:val="single" w:sz="4" w:space="0" w:color="auto"/>
            </w:tcBorders>
            <w:vAlign w:val="bottom"/>
          </w:tcPr>
          <w:p w14:paraId="62AB4EA6" w14:textId="6A4281ED" w:rsidR="00B22349" w:rsidRPr="002E1AF6" w:rsidRDefault="00B22349" w:rsidP="00B22349">
            <w:pPr>
              <w:widowControl w:val="0"/>
              <w:autoSpaceDE w:val="0"/>
              <w:autoSpaceDN w:val="0"/>
              <w:adjustRightInd w:val="0"/>
              <w:jc w:val="right"/>
              <w:rPr>
                <w:rFonts w:ascii="Arial" w:hAnsi="Arial" w:cs="Arial"/>
                <w:noProof/>
                <w:sz w:val="18"/>
                <w:szCs w:val="18"/>
              </w:rPr>
            </w:pPr>
            <w:r w:rsidRPr="00ED4633">
              <w:rPr>
                <w:rFonts w:ascii="Arial" w:hAnsi="Arial" w:cs="Arial"/>
                <w:noProof/>
                <w:sz w:val="18"/>
                <w:szCs w:val="18"/>
              </w:rPr>
              <w:t>-</w:t>
            </w:r>
          </w:p>
        </w:tc>
      </w:tr>
      <w:tr w:rsidR="00B22349" w14:paraId="7A2706A9" w14:textId="77777777" w:rsidTr="00B22349">
        <w:trPr>
          <w:trHeight w:val="170"/>
        </w:trPr>
        <w:tc>
          <w:tcPr>
            <w:tcW w:w="4677" w:type="dxa"/>
          </w:tcPr>
          <w:p w14:paraId="34EC27F1" w14:textId="147F5910" w:rsidR="00B22349" w:rsidRPr="00B22349" w:rsidRDefault="00B22349" w:rsidP="00B22349">
            <w:pPr>
              <w:ind w:firstLineChars="200" w:firstLine="360"/>
              <w:jc w:val="both"/>
              <w:rPr>
                <w:rFonts w:ascii="Arial" w:hAnsi="Arial" w:cs="Arial"/>
                <w:sz w:val="18"/>
                <w:szCs w:val="18"/>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62C5168D" w14:textId="748866DE"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noProof/>
                <w:sz w:val="18"/>
                <w:szCs w:val="18"/>
              </w:rPr>
              <w:t>-</w:t>
            </w:r>
          </w:p>
        </w:tc>
        <w:tc>
          <w:tcPr>
            <w:tcW w:w="1275" w:type="dxa"/>
            <w:tcBorders>
              <w:top w:val="single" w:sz="4" w:space="0" w:color="auto"/>
            </w:tcBorders>
            <w:vAlign w:val="bottom"/>
          </w:tcPr>
          <w:p w14:paraId="3DFEFC6F" w14:textId="2FDF4B5C" w:rsidR="00B22349" w:rsidRPr="002E1AF6" w:rsidRDefault="00B22349" w:rsidP="00B22349">
            <w:pPr>
              <w:widowControl w:val="0"/>
              <w:autoSpaceDE w:val="0"/>
              <w:autoSpaceDN w:val="0"/>
              <w:adjustRightInd w:val="0"/>
              <w:jc w:val="right"/>
              <w:rPr>
                <w:rFonts w:ascii="Arial" w:hAnsi="Arial" w:cs="Arial"/>
                <w:noProof/>
                <w:sz w:val="18"/>
                <w:szCs w:val="18"/>
              </w:rPr>
            </w:pPr>
            <w:r w:rsidRPr="002E1AF6">
              <w:rPr>
                <w:rFonts w:ascii="Arial" w:hAnsi="Arial" w:cs="Arial"/>
                <w:noProof/>
                <w:sz w:val="18"/>
                <w:szCs w:val="18"/>
              </w:rPr>
              <w:t>-</w:t>
            </w:r>
          </w:p>
        </w:tc>
      </w:tr>
      <w:tr w:rsidR="00B22349" w14:paraId="70B6DF63" w14:textId="77777777" w:rsidTr="006265F5">
        <w:trPr>
          <w:trHeight w:val="170"/>
        </w:trPr>
        <w:tc>
          <w:tcPr>
            <w:tcW w:w="4677" w:type="dxa"/>
          </w:tcPr>
          <w:p w14:paraId="46378784" w14:textId="245AD3E0" w:rsidR="00B22349" w:rsidRPr="00B22349" w:rsidRDefault="00B22349" w:rsidP="00B22349">
            <w:pPr>
              <w:ind w:firstLineChars="200" w:firstLine="360"/>
              <w:jc w:val="both"/>
              <w:rPr>
                <w:rFonts w:ascii="Arial" w:hAnsi="Arial" w:cs="Arial"/>
                <w:sz w:val="18"/>
                <w:szCs w:val="18"/>
              </w:rPr>
            </w:pPr>
            <w:r w:rsidRPr="006269A3">
              <w:rPr>
                <w:rFonts w:ascii="Arial" w:hAnsi="Arial" w:cs="Arial"/>
                <w:sz w:val="18"/>
                <w:szCs w:val="18"/>
              </w:rPr>
              <w:t>Con garantías y contragarantías preferidas "B"</w:t>
            </w:r>
          </w:p>
        </w:tc>
        <w:tc>
          <w:tcPr>
            <w:tcW w:w="1276" w:type="dxa"/>
            <w:vAlign w:val="bottom"/>
          </w:tcPr>
          <w:p w14:paraId="5B56B230" w14:textId="4B7F0ED8"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noProof/>
                <w:sz w:val="18"/>
                <w:szCs w:val="18"/>
              </w:rPr>
              <w:t>-</w:t>
            </w:r>
          </w:p>
        </w:tc>
        <w:tc>
          <w:tcPr>
            <w:tcW w:w="1275" w:type="dxa"/>
            <w:vAlign w:val="bottom"/>
          </w:tcPr>
          <w:p w14:paraId="27FEB01C" w14:textId="64693F78" w:rsidR="00B22349" w:rsidRPr="002E1AF6" w:rsidRDefault="00B22349" w:rsidP="00B22349">
            <w:pPr>
              <w:widowControl w:val="0"/>
              <w:autoSpaceDE w:val="0"/>
              <w:autoSpaceDN w:val="0"/>
              <w:adjustRightInd w:val="0"/>
              <w:jc w:val="right"/>
              <w:rPr>
                <w:rFonts w:ascii="Arial" w:hAnsi="Arial" w:cs="Arial"/>
                <w:noProof/>
                <w:sz w:val="18"/>
                <w:szCs w:val="18"/>
              </w:rPr>
            </w:pPr>
            <w:r w:rsidRPr="002E1AF6">
              <w:rPr>
                <w:rFonts w:ascii="Arial" w:hAnsi="Arial" w:cs="Arial"/>
                <w:noProof/>
                <w:sz w:val="18"/>
                <w:szCs w:val="18"/>
              </w:rPr>
              <w:t>-</w:t>
            </w:r>
          </w:p>
        </w:tc>
      </w:tr>
      <w:tr w:rsidR="00B22349" w14:paraId="2AFBE358" w14:textId="77777777" w:rsidTr="006265F5">
        <w:trPr>
          <w:trHeight w:val="170"/>
        </w:trPr>
        <w:tc>
          <w:tcPr>
            <w:tcW w:w="4677" w:type="dxa"/>
          </w:tcPr>
          <w:p w14:paraId="32A4C22A" w14:textId="34B4D7FB" w:rsidR="00B22349" w:rsidRPr="00B22349" w:rsidRDefault="00B22349" w:rsidP="00B22349">
            <w:pPr>
              <w:ind w:firstLineChars="200" w:firstLine="360"/>
              <w:jc w:val="both"/>
              <w:rPr>
                <w:rFonts w:ascii="Arial" w:hAnsi="Arial" w:cs="Arial"/>
                <w:sz w:val="18"/>
                <w:szCs w:val="18"/>
              </w:rPr>
            </w:pPr>
            <w:r w:rsidRPr="006269A3">
              <w:rPr>
                <w:rFonts w:ascii="Arial" w:hAnsi="Arial" w:cs="Arial"/>
                <w:sz w:val="18"/>
                <w:szCs w:val="18"/>
              </w:rPr>
              <w:t>Sin garantías ni contragarantías preferidas</w:t>
            </w:r>
          </w:p>
        </w:tc>
        <w:tc>
          <w:tcPr>
            <w:tcW w:w="1276" w:type="dxa"/>
            <w:vAlign w:val="bottom"/>
          </w:tcPr>
          <w:p w14:paraId="75B99FFE" w14:textId="18CE758D"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noProof/>
                <w:sz w:val="18"/>
                <w:szCs w:val="18"/>
              </w:rPr>
              <w:t>-</w:t>
            </w:r>
          </w:p>
        </w:tc>
        <w:tc>
          <w:tcPr>
            <w:tcW w:w="1275" w:type="dxa"/>
            <w:vAlign w:val="bottom"/>
          </w:tcPr>
          <w:p w14:paraId="6D3BD233" w14:textId="438072FF" w:rsidR="00B22349" w:rsidRPr="002E1AF6" w:rsidRDefault="00B22349" w:rsidP="00B22349">
            <w:pPr>
              <w:widowControl w:val="0"/>
              <w:autoSpaceDE w:val="0"/>
              <w:autoSpaceDN w:val="0"/>
              <w:adjustRightInd w:val="0"/>
              <w:jc w:val="right"/>
              <w:rPr>
                <w:rFonts w:ascii="Arial" w:hAnsi="Arial" w:cs="Arial"/>
                <w:noProof/>
                <w:sz w:val="18"/>
                <w:szCs w:val="18"/>
              </w:rPr>
            </w:pPr>
            <w:r w:rsidRPr="00ED4633">
              <w:rPr>
                <w:rFonts w:ascii="Arial" w:hAnsi="Arial" w:cs="Arial"/>
                <w:noProof/>
                <w:sz w:val="18"/>
                <w:szCs w:val="18"/>
              </w:rPr>
              <w:t>-</w:t>
            </w:r>
          </w:p>
        </w:tc>
      </w:tr>
      <w:tr w:rsidR="00962DA2" w14:paraId="0EBD61CB" w14:textId="77777777" w:rsidTr="006265F5">
        <w:trPr>
          <w:trHeight w:val="170"/>
        </w:trPr>
        <w:tc>
          <w:tcPr>
            <w:tcW w:w="4677" w:type="dxa"/>
          </w:tcPr>
          <w:p w14:paraId="5119AEB7" w14:textId="77777777" w:rsidR="00962DA2" w:rsidRPr="006269A3" w:rsidRDefault="00962DA2" w:rsidP="00BE5A48">
            <w:pPr>
              <w:jc w:val="both"/>
              <w:rPr>
                <w:rFonts w:ascii="Arial" w:hAnsi="Arial" w:cs="Arial"/>
                <w:b/>
                <w:bCs/>
                <w:sz w:val="18"/>
                <w:szCs w:val="18"/>
              </w:rPr>
            </w:pPr>
          </w:p>
        </w:tc>
        <w:tc>
          <w:tcPr>
            <w:tcW w:w="1276" w:type="dxa"/>
            <w:vAlign w:val="bottom"/>
          </w:tcPr>
          <w:p w14:paraId="61508010" w14:textId="3D1F1C23"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684DE0FE" w14:textId="322B91DE"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B22349" w14:paraId="0A5953FB" w14:textId="77777777" w:rsidTr="006265F5">
        <w:trPr>
          <w:trHeight w:val="170"/>
        </w:trPr>
        <w:tc>
          <w:tcPr>
            <w:tcW w:w="4677" w:type="dxa"/>
          </w:tcPr>
          <w:p w14:paraId="125D6358"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Riesgo medio</w:t>
            </w:r>
          </w:p>
        </w:tc>
        <w:tc>
          <w:tcPr>
            <w:tcW w:w="1276" w:type="dxa"/>
            <w:tcBorders>
              <w:bottom w:val="single" w:sz="4" w:space="0" w:color="auto"/>
            </w:tcBorders>
            <w:vAlign w:val="bottom"/>
          </w:tcPr>
          <w:p w14:paraId="23B8DC18" w14:textId="21D635D3"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751.623</w:t>
            </w:r>
          </w:p>
        </w:tc>
        <w:tc>
          <w:tcPr>
            <w:tcW w:w="1275" w:type="dxa"/>
            <w:tcBorders>
              <w:bottom w:val="single" w:sz="4" w:space="0" w:color="auto"/>
            </w:tcBorders>
            <w:vAlign w:val="bottom"/>
          </w:tcPr>
          <w:p w14:paraId="05E0563F" w14:textId="31DB9288"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984.613</w:t>
            </w:r>
          </w:p>
        </w:tc>
      </w:tr>
      <w:tr w:rsidR="00B22349" w14:paraId="435F80C7" w14:textId="77777777" w:rsidTr="006265F5">
        <w:trPr>
          <w:trHeight w:val="170"/>
        </w:trPr>
        <w:tc>
          <w:tcPr>
            <w:tcW w:w="4677" w:type="dxa"/>
          </w:tcPr>
          <w:p w14:paraId="1FF7744A"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733505E2" w14:textId="4F912BB2"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19.996</w:t>
            </w:r>
          </w:p>
        </w:tc>
        <w:tc>
          <w:tcPr>
            <w:tcW w:w="1275" w:type="dxa"/>
            <w:tcBorders>
              <w:top w:val="single" w:sz="4" w:space="0" w:color="auto"/>
            </w:tcBorders>
            <w:vAlign w:val="bottom"/>
          </w:tcPr>
          <w:p w14:paraId="542FA87C" w14:textId="0F461FA9"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50.444</w:t>
            </w:r>
          </w:p>
        </w:tc>
      </w:tr>
      <w:tr w:rsidR="00B22349" w14:paraId="0AE8BFBC" w14:textId="77777777" w:rsidTr="006265F5">
        <w:trPr>
          <w:trHeight w:val="170"/>
        </w:trPr>
        <w:tc>
          <w:tcPr>
            <w:tcW w:w="4677" w:type="dxa"/>
          </w:tcPr>
          <w:p w14:paraId="41DC2311" w14:textId="6C3FD882"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"B"</w:t>
            </w:r>
          </w:p>
        </w:tc>
        <w:tc>
          <w:tcPr>
            <w:tcW w:w="1276" w:type="dxa"/>
            <w:vAlign w:val="bottom"/>
          </w:tcPr>
          <w:p w14:paraId="353A15AC" w14:textId="103961A0"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106.058</w:t>
            </w:r>
          </w:p>
        </w:tc>
        <w:tc>
          <w:tcPr>
            <w:tcW w:w="1275" w:type="dxa"/>
            <w:vAlign w:val="bottom"/>
          </w:tcPr>
          <w:p w14:paraId="105E40CD" w14:textId="0462F8B1"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118.695</w:t>
            </w:r>
          </w:p>
        </w:tc>
      </w:tr>
      <w:tr w:rsidR="00B22349" w14:paraId="3B358E80" w14:textId="77777777" w:rsidTr="006265F5">
        <w:trPr>
          <w:trHeight w:val="170"/>
        </w:trPr>
        <w:tc>
          <w:tcPr>
            <w:tcW w:w="4677" w:type="dxa"/>
          </w:tcPr>
          <w:p w14:paraId="1E1038CF"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F6028CD" w14:textId="63EB4F4D"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625.569</w:t>
            </w:r>
          </w:p>
        </w:tc>
        <w:tc>
          <w:tcPr>
            <w:tcW w:w="1275" w:type="dxa"/>
            <w:vAlign w:val="bottom"/>
          </w:tcPr>
          <w:p w14:paraId="570A24E0" w14:textId="554E353B"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815.474</w:t>
            </w:r>
          </w:p>
        </w:tc>
      </w:tr>
      <w:tr w:rsidR="00B22349" w14:paraId="6FBBEADF" w14:textId="77777777" w:rsidTr="006265F5">
        <w:trPr>
          <w:trHeight w:val="170"/>
        </w:trPr>
        <w:tc>
          <w:tcPr>
            <w:tcW w:w="4677" w:type="dxa"/>
          </w:tcPr>
          <w:p w14:paraId="10A89846" w14:textId="77777777" w:rsidR="00B22349" w:rsidRPr="006269A3" w:rsidRDefault="00B22349" w:rsidP="00B22349">
            <w:pPr>
              <w:jc w:val="both"/>
              <w:rPr>
                <w:rFonts w:ascii="Arial" w:hAnsi="Arial" w:cs="Arial"/>
                <w:b/>
                <w:bCs/>
                <w:sz w:val="18"/>
                <w:szCs w:val="18"/>
              </w:rPr>
            </w:pPr>
          </w:p>
        </w:tc>
        <w:tc>
          <w:tcPr>
            <w:tcW w:w="1276" w:type="dxa"/>
            <w:vAlign w:val="bottom"/>
          </w:tcPr>
          <w:p w14:paraId="2EE66BC1" w14:textId="75582E78"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58C0990A" w14:textId="4AFD5FFC"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p>
        </w:tc>
      </w:tr>
      <w:tr w:rsidR="00B22349" w14:paraId="77B920B3" w14:textId="77777777" w:rsidTr="006265F5">
        <w:trPr>
          <w:trHeight w:val="170"/>
        </w:trPr>
        <w:tc>
          <w:tcPr>
            <w:tcW w:w="4677" w:type="dxa"/>
          </w:tcPr>
          <w:p w14:paraId="172E6FD7"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Riesgo alto</w:t>
            </w:r>
          </w:p>
        </w:tc>
        <w:tc>
          <w:tcPr>
            <w:tcW w:w="1276" w:type="dxa"/>
            <w:tcBorders>
              <w:bottom w:val="single" w:sz="4" w:space="0" w:color="auto"/>
            </w:tcBorders>
            <w:vAlign w:val="bottom"/>
          </w:tcPr>
          <w:p w14:paraId="6B854446" w14:textId="78B9D7C0"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661.690</w:t>
            </w:r>
          </w:p>
        </w:tc>
        <w:tc>
          <w:tcPr>
            <w:tcW w:w="1275" w:type="dxa"/>
            <w:tcBorders>
              <w:bottom w:val="single" w:sz="4" w:space="0" w:color="auto"/>
            </w:tcBorders>
            <w:vAlign w:val="bottom"/>
          </w:tcPr>
          <w:p w14:paraId="729921F8" w14:textId="0C96D292"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1.059.876</w:t>
            </w:r>
          </w:p>
        </w:tc>
      </w:tr>
      <w:tr w:rsidR="00B22349" w14:paraId="3715A984" w14:textId="77777777" w:rsidTr="006265F5">
        <w:trPr>
          <w:trHeight w:val="170"/>
        </w:trPr>
        <w:tc>
          <w:tcPr>
            <w:tcW w:w="4677" w:type="dxa"/>
          </w:tcPr>
          <w:p w14:paraId="14286BBD"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6DB9FD1C" w14:textId="1118DB39"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28.042</w:t>
            </w:r>
          </w:p>
        </w:tc>
        <w:tc>
          <w:tcPr>
            <w:tcW w:w="1275" w:type="dxa"/>
            <w:tcBorders>
              <w:top w:val="single" w:sz="4" w:space="0" w:color="auto"/>
            </w:tcBorders>
            <w:vAlign w:val="bottom"/>
          </w:tcPr>
          <w:p w14:paraId="13301801" w14:textId="019EC552"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25.870</w:t>
            </w:r>
          </w:p>
        </w:tc>
      </w:tr>
      <w:tr w:rsidR="00B22349" w14:paraId="4387B8D4" w14:textId="77777777" w:rsidTr="006265F5">
        <w:trPr>
          <w:trHeight w:val="170"/>
        </w:trPr>
        <w:tc>
          <w:tcPr>
            <w:tcW w:w="4677" w:type="dxa"/>
          </w:tcPr>
          <w:p w14:paraId="55150DE9" w14:textId="7D0E6D96"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23C37F22" w14:textId="43048353"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46.462</w:t>
            </w:r>
          </w:p>
        </w:tc>
        <w:tc>
          <w:tcPr>
            <w:tcW w:w="1275" w:type="dxa"/>
            <w:vAlign w:val="bottom"/>
          </w:tcPr>
          <w:p w14:paraId="1DF10CE0" w14:textId="1F2EEB43"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63.308</w:t>
            </w:r>
          </w:p>
        </w:tc>
      </w:tr>
      <w:tr w:rsidR="00B22349" w14:paraId="15138CC2" w14:textId="77777777" w:rsidTr="006265F5">
        <w:trPr>
          <w:trHeight w:val="170"/>
        </w:trPr>
        <w:tc>
          <w:tcPr>
            <w:tcW w:w="4677" w:type="dxa"/>
          </w:tcPr>
          <w:p w14:paraId="48CA737C"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19BD270E" w14:textId="66041BB1"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587.186</w:t>
            </w:r>
          </w:p>
        </w:tc>
        <w:tc>
          <w:tcPr>
            <w:tcW w:w="1275" w:type="dxa"/>
            <w:vAlign w:val="bottom"/>
          </w:tcPr>
          <w:p w14:paraId="088FF0BF" w14:textId="46A7318A"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970.698</w:t>
            </w:r>
          </w:p>
        </w:tc>
      </w:tr>
      <w:tr w:rsidR="00962DA2" w14:paraId="1BF81CD5" w14:textId="77777777" w:rsidTr="006265F5">
        <w:trPr>
          <w:trHeight w:val="170"/>
        </w:trPr>
        <w:tc>
          <w:tcPr>
            <w:tcW w:w="4677" w:type="dxa"/>
          </w:tcPr>
          <w:p w14:paraId="2A0B98E3" w14:textId="77777777" w:rsidR="00962DA2" w:rsidRPr="006269A3" w:rsidRDefault="00962DA2" w:rsidP="00BE5A48">
            <w:pPr>
              <w:jc w:val="both"/>
              <w:rPr>
                <w:rFonts w:ascii="Arial" w:hAnsi="Arial" w:cs="Arial"/>
                <w:b/>
                <w:bCs/>
                <w:sz w:val="18"/>
                <w:szCs w:val="18"/>
              </w:rPr>
            </w:pPr>
          </w:p>
        </w:tc>
        <w:tc>
          <w:tcPr>
            <w:tcW w:w="1276" w:type="dxa"/>
            <w:vAlign w:val="bottom"/>
          </w:tcPr>
          <w:p w14:paraId="19F50EF7" w14:textId="1FCEA031"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694BCCAE" w14:textId="4F4268CC"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B22349" w14:paraId="777606B9" w14:textId="77777777" w:rsidTr="006265F5">
        <w:trPr>
          <w:trHeight w:val="170"/>
        </w:trPr>
        <w:tc>
          <w:tcPr>
            <w:tcW w:w="4677" w:type="dxa"/>
          </w:tcPr>
          <w:p w14:paraId="1876E741"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Irrecuperable</w:t>
            </w:r>
          </w:p>
        </w:tc>
        <w:tc>
          <w:tcPr>
            <w:tcW w:w="1276" w:type="dxa"/>
            <w:tcBorders>
              <w:bottom w:val="single" w:sz="4" w:space="0" w:color="auto"/>
            </w:tcBorders>
            <w:vAlign w:val="bottom"/>
          </w:tcPr>
          <w:p w14:paraId="24927438" w14:textId="39089DD6"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430.984</w:t>
            </w:r>
          </w:p>
        </w:tc>
        <w:tc>
          <w:tcPr>
            <w:tcW w:w="1275" w:type="dxa"/>
            <w:tcBorders>
              <w:bottom w:val="single" w:sz="4" w:space="0" w:color="auto"/>
            </w:tcBorders>
            <w:vAlign w:val="bottom"/>
          </w:tcPr>
          <w:p w14:paraId="21814663" w14:textId="1A9BE72C"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259.919</w:t>
            </w:r>
          </w:p>
        </w:tc>
      </w:tr>
      <w:tr w:rsidR="00B22349" w14:paraId="018A3C2A" w14:textId="77777777" w:rsidTr="006265F5">
        <w:trPr>
          <w:trHeight w:val="170"/>
        </w:trPr>
        <w:tc>
          <w:tcPr>
            <w:tcW w:w="4677" w:type="dxa"/>
          </w:tcPr>
          <w:p w14:paraId="05ECE158"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6B8DA370" w14:textId="6A0040F3"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9.687</w:t>
            </w:r>
          </w:p>
        </w:tc>
        <w:tc>
          <w:tcPr>
            <w:tcW w:w="1275" w:type="dxa"/>
            <w:tcBorders>
              <w:top w:val="single" w:sz="4" w:space="0" w:color="auto"/>
            </w:tcBorders>
            <w:vAlign w:val="bottom"/>
          </w:tcPr>
          <w:p w14:paraId="33C401EA" w14:textId="26C88C6F"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5.379</w:t>
            </w:r>
          </w:p>
        </w:tc>
      </w:tr>
      <w:tr w:rsidR="00B22349" w14:paraId="3C774468" w14:textId="77777777" w:rsidTr="006265F5">
        <w:trPr>
          <w:trHeight w:val="170"/>
        </w:trPr>
        <w:tc>
          <w:tcPr>
            <w:tcW w:w="4677" w:type="dxa"/>
          </w:tcPr>
          <w:p w14:paraId="2F32B5AE"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4770A44F" w14:textId="76C05636"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55.827</w:t>
            </w:r>
          </w:p>
        </w:tc>
        <w:tc>
          <w:tcPr>
            <w:tcW w:w="1275" w:type="dxa"/>
            <w:vAlign w:val="bottom"/>
          </w:tcPr>
          <w:p w14:paraId="475C56B5" w14:textId="4BB8584B"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30.362</w:t>
            </w:r>
          </w:p>
        </w:tc>
      </w:tr>
      <w:tr w:rsidR="00B22349" w14:paraId="6176B5F7" w14:textId="77777777" w:rsidTr="006265F5">
        <w:trPr>
          <w:trHeight w:val="170"/>
        </w:trPr>
        <w:tc>
          <w:tcPr>
            <w:tcW w:w="4677" w:type="dxa"/>
          </w:tcPr>
          <w:p w14:paraId="46881DC7" w14:textId="77777777" w:rsidR="00B22349" w:rsidRPr="006269A3" w:rsidRDefault="00B22349" w:rsidP="00B2234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EEB2685" w14:textId="7A2006B1"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365.470</w:t>
            </w:r>
          </w:p>
        </w:tc>
        <w:tc>
          <w:tcPr>
            <w:tcW w:w="1275" w:type="dxa"/>
            <w:vAlign w:val="bottom"/>
          </w:tcPr>
          <w:p w14:paraId="4E31A43E" w14:textId="39AD9F26"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224.178</w:t>
            </w:r>
          </w:p>
        </w:tc>
      </w:tr>
      <w:tr w:rsidR="00962DA2" w14:paraId="7BBFA922" w14:textId="77777777" w:rsidTr="006265F5">
        <w:trPr>
          <w:trHeight w:val="80"/>
        </w:trPr>
        <w:tc>
          <w:tcPr>
            <w:tcW w:w="4677" w:type="dxa"/>
            <w:tcBorders>
              <w:bottom w:val="single" w:sz="4" w:space="0" w:color="auto"/>
            </w:tcBorders>
          </w:tcPr>
          <w:p w14:paraId="6650ED83" w14:textId="77777777" w:rsidR="00962DA2" w:rsidRPr="006269A3" w:rsidRDefault="00962DA2" w:rsidP="00BE5A48">
            <w:pPr>
              <w:ind w:firstLineChars="200" w:firstLine="360"/>
              <w:jc w:val="both"/>
              <w:rPr>
                <w:rFonts w:ascii="Arial" w:hAnsi="Arial" w:cs="Arial"/>
                <w:sz w:val="18"/>
                <w:szCs w:val="18"/>
              </w:rPr>
            </w:pPr>
          </w:p>
        </w:tc>
        <w:tc>
          <w:tcPr>
            <w:tcW w:w="1276" w:type="dxa"/>
            <w:tcBorders>
              <w:bottom w:val="single" w:sz="4" w:space="0" w:color="auto"/>
            </w:tcBorders>
            <w:vAlign w:val="bottom"/>
          </w:tcPr>
          <w:p w14:paraId="49B49E18" w14:textId="62A94836"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tcBorders>
              <w:bottom w:val="single" w:sz="4" w:space="0" w:color="auto"/>
            </w:tcBorders>
            <w:vAlign w:val="bottom"/>
          </w:tcPr>
          <w:p w14:paraId="3121E0F3" w14:textId="6A658B23"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B22349" w14:paraId="4FF03BCE" w14:textId="77777777" w:rsidTr="006265F5">
        <w:tc>
          <w:tcPr>
            <w:tcW w:w="4677" w:type="dxa"/>
            <w:tcBorders>
              <w:top w:val="single" w:sz="4" w:space="0" w:color="auto"/>
              <w:bottom w:val="single" w:sz="4" w:space="0" w:color="auto"/>
            </w:tcBorders>
          </w:tcPr>
          <w:p w14:paraId="02C87BE9"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TOTAL</w:t>
            </w:r>
          </w:p>
        </w:tc>
        <w:tc>
          <w:tcPr>
            <w:tcW w:w="1276" w:type="dxa"/>
            <w:tcBorders>
              <w:top w:val="single" w:sz="4" w:space="0" w:color="auto"/>
              <w:bottom w:val="single" w:sz="4" w:space="0" w:color="auto"/>
            </w:tcBorders>
            <w:vAlign w:val="bottom"/>
          </w:tcPr>
          <w:p w14:paraId="6046452D" w14:textId="2187FADD" w:rsidR="00B22349" w:rsidRPr="00EE63C4" w:rsidRDefault="00B22349" w:rsidP="00B22349">
            <w:pPr>
              <w:jc w:val="right"/>
              <w:rPr>
                <w:rFonts w:ascii="Arial" w:hAnsi="Arial" w:cs="Arial"/>
                <w:b/>
                <w:bCs/>
                <w:sz w:val="18"/>
                <w:szCs w:val="18"/>
              </w:rPr>
            </w:pPr>
            <w:r>
              <w:rPr>
                <w:rFonts w:ascii="Arial" w:hAnsi="Arial" w:cs="Arial"/>
                <w:b/>
                <w:bCs/>
                <w:sz w:val="18"/>
                <w:szCs w:val="18"/>
              </w:rPr>
              <w:t xml:space="preserve">46.510.157 </w:t>
            </w:r>
          </w:p>
        </w:tc>
        <w:tc>
          <w:tcPr>
            <w:tcW w:w="1275" w:type="dxa"/>
            <w:tcBorders>
              <w:top w:val="single" w:sz="4" w:space="0" w:color="auto"/>
              <w:bottom w:val="single" w:sz="4" w:space="0" w:color="auto"/>
            </w:tcBorders>
            <w:vAlign w:val="bottom"/>
          </w:tcPr>
          <w:p w14:paraId="02D8BDA6" w14:textId="78AFA5EE"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47.539.570 </w:t>
            </w:r>
          </w:p>
        </w:tc>
      </w:tr>
      <w:tr w:rsidR="00962DA2" w14:paraId="3130729E" w14:textId="77777777" w:rsidTr="00BE5A48">
        <w:trPr>
          <w:trHeight w:val="20"/>
        </w:trPr>
        <w:tc>
          <w:tcPr>
            <w:tcW w:w="4677" w:type="dxa"/>
            <w:tcBorders>
              <w:top w:val="single" w:sz="4" w:space="0" w:color="auto"/>
              <w:bottom w:val="single" w:sz="4" w:space="0" w:color="auto"/>
            </w:tcBorders>
          </w:tcPr>
          <w:p w14:paraId="4E333803" w14:textId="77777777" w:rsidR="00962DA2" w:rsidRPr="0044006F" w:rsidRDefault="00962DA2" w:rsidP="00BE5A48">
            <w:pPr>
              <w:widowControl w:val="0"/>
              <w:autoSpaceDE w:val="0"/>
              <w:autoSpaceDN w:val="0"/>
              <w:adjustRightInd w:val="0"/>
              <w:jc w:val="both"/>
              <w:rPr>
                <w:rFonts w:ascii="Arial" w:hAnsi="Arial" w:cs="Arial"/>
                <w:noProof/>
                <w:sz w:val="6"/>
                <w:szCs w:val="6"/>
                <w:highlight w:val="yellow"/>
              </w:rPr>
            </w:pPr>
          </w:p>
        </w:tc>
        <w:tc>
          <w:tcPr>
            <w:tcW w:w="1276" w:type="dxa"/>
            <w:tcBorders>
              <w:top w:val="single" w:sz="4" w:space="0" w:color="auto"/>
              <w:bottom w:val="single" w:sz="4" w:space="0" w:color="auto"/>
            </w:tcBorders>
          </w:tcPr>
          <w:p w14:paraId="1DF8A455" w14:textId="397CCD8D"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tcBorders>
              <w:top w:val="single" w:sz="4" w:space="0" w:color="auto"/>
              <w:bottom w:val="single" w:sz="4" w:space="0" w:color="auto"/>
            </w:tcBorders>
          </w:tcPr>
          <w:p w14:paraId="66C5112A" w14:textId="371C73E2"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B22349" w14:paraId="1E1C8241" w14:textId="77777777" w:rsidTr="00BE5A48">
        <w:tc>
          <w:tcPr>
            <w:tcW w:w="4677" w:type="dxa"/>
            <w:tcBorders>
              <w:top w:val="single" w:sz="4" w:space="0" w:color="auto"/>
              <w:bottom w:val="single" w:sz="4" w:space="0" w:color="auto"/>
            </w:tcBorders>
          </w:tcPr>
          <w:p w14:paraId="2AA9E2A1" w14:textId="77777777" w:rsidR="00B22349" w:rsidRPr="006269A3" w:rsidRDefault="00B22349" w:rsidP="00B22349">
            <w:pPr>
              <w:jc w:val="both"/>
              <w:rPr>
                <w:rFonts w:ascii="Arial" w:hAnsi="Arial" w:cs="Arial"/>
                <w:b/>
                <w:bCs/>
                <w:sz w:val="18"/>
                <w:szCs w:val="18"/>
                <w:lang w:eastAsia="es-AR"/>
              </w:rPr>
            </w:pPr>
            <w:r w:rsidRPr="006269A3">
              <w:rPr>
                <w:rFonts w:ascii="Arial" w:hAnsi="Arial" w:cs="Arial"/>
                <w:b/>
                <w:bCs/>
                <w:sz w:val="18"/>
                <w:szCs w:val="18"/>
              </w:rPr>
              <w:t>TOTAL GENERAL (1)</w:t>
            </w:r>
          </w:p>
        </w:tc>
        <w:tc>
          <w:tcPr>
            <w:tcW w:w="1276" w:type="dxa"/>
            <w:tcBorders>
              <w:top w:val="single" w:sz="4" w:space="0" w:color="auto"/>
              <w:bottom w:val="single" w:sz="4" w:space="0" w:color="auto"/>
            </w:tcBorders>
          </w:tcPr>
          <w:p w14:paraId="5267FC0D" w14:textId="482B8932" w:rsidR="00B22349" w:rsidRPr="00EE63C4" w:rsidRDefault="00B22349" w:rsidP="00B22349">
            <w:pPr>
              <w:jc w:val="right"/>
              <w:rPr>
                <w:rFonts w:ascii="Arial" w:hAnsi="Arial" w:cs="Arial"/>
                <w:b/>
                <w:bCs/>
                <w:color w:val="000000"/>
                <w:sz w:val="18"/>
                <w:szCs w:val="18"/>
              </w:rPr>
            </w:pPr>
            <w:r>
              <w:rPr>
                <w:rFonts w:ascii="Arial" w:hAnsi="Arial" w:cs="Arial"/>
                <w:b/>
                <w:bCs/>
                <w:color w:val="000000"/>
                <w:sz w:val="18"/>
                <w:szCs w:val="18"/>
              </w:rPr>
              <w:t xml:space="preserve">93.736.408 </w:t>
            </w:r>
          </w:p>
        </w:tc>
        <w:tc>
          <w:tcPr>
            <w:tcW w:w="1275" w:type="dxa"/>
            <w:tcBorders>
              <w:top w:val="single" w:sz="4" w:space="0" w:color="auto"/>
              <w:bottom w:val="single" w:sz="4" w:space="0" w:color="auto"/>
            </w:tcBorders>
          </w:tcPr>
          <w:p w14:paraId="7A3D5616" w14:textId="493B0F84" w:rsidR="00B22349" w:rsidRPr="00962DA2" w:rsidRDefault="00B22349" w:rsidP="00B22349">
            <w:pPr>
              <w:widowControl w:val="0"/>
              <w:autoSpaceDE w:val="0"/>
              <w:autoSpaceDN w:val="0"/>
              <w:adjustRightInd w:val="0"/>
              <w:jc w:val="right"/>
              <w:rPr>
                <w:rFonts w:ascii="Arial" w:hAnsi="Arial" w:cs="Arial"/>
                <w:b/>
                <w:noProof/>
                <w:sz w:val="18"/>
                <w:szCs w:val="18"/>
                <w:highlight w:val="yellow"/>
              </w:rPr>
            </w:pPr>
            <w:r>
              <w:rPr>
                <w:rFonts w:ascii="Arial" w:hAnsi="Arial" w:cs="Arial"/>
                <w:b/>
                <w:bCs/>
                <w:color w:val="000000"/>
                <w:sz w:val="18"/>
                <w:szCs w:val="18"/>
              </w:rPr>
              <w:t xml:space="preserve">97.681.285 </w:t>
            </w:r>
          </w:p>
        </w:tc>
      </w:tr>
      <w:tr w:rsidR="007B34B2" w14:paraId="052E62B0" w14:textId="77777777" w:rsidTr="0044006F">
        <w:trPr>
          <w:trHeight w:val="207"/>
        </w:trPr>
        <w:tc>
          <w:tcPr>
            <w:tcW w:w="4677" w:type="dxa"/>
            <w:tcBorders>
              <w:top w:val="single" w:sz="4" w:space="0" w:color="auto"/>
            </w:tcBorders>
          </w:tcPr>
          <w:p w14:paraId="46BDBF9F" w14:textId="77777777" w:rsidR="007B34B2" w:rsidRPr="0044006F" w:rsidRDefault="007B34B2" w:rsidP="00BE5A48">
            <w:pPr>
              <w:widowControl w:val="0"/>
              <w:autoSpaceDE w:val="0"/>
              <w:autoSpaceDN w:val="0"/>
              <w:adjustRightInd w:val="0"/>
              <w:jc w:val="both"/>
              <w:rPr>
                <w:rFonts w:ascii="Arial" w:hAnsi="Arial" w:cs="Arial"/>
                <w:noProof/>
                <w:sz w:val="16"/>
                <w:szCs w:val="18"/>
                <w:highlight w:val="yellow"/>
              </w:rPr>
            </w:pPr>
          </w:p>
        </w:tc>
        <w:tc>
          <w:tcPr>
            <w:tcW w:w="1276" w:type="dxa"/>
            <w:tcBorders>
              <w:top w:val="single" w:sz="4" w:space="0" w:color="auto"/>
            </w:tcBorders>
          </w:tcPr>
          <w:p w14:paraId="786CFF97" w14:textId="77777777" w:rsidR="007B34B2" w:rsidRPr="006269A3" w:rsidRDefault="007B34B2" w:rsidP="00BE5A48">
            <w:pPr>
              <w:widowControl w:val="0"/>
              <w:autoSpaceDE w:val="0"/>
              <w:autoSpaceDN w:val="0"/>
              <w:adjustRightInd w:val="0"/>
              <w:jc w:val="both"/>
              <w:rPr>
                <w:rFonts w:ascii="Arial" w:hAnsi="Arial" w:cs="Arial"/>
                <w:noProof/>
                <w:sz w:val="10"/>
                <w:szCs w:val="10"/>
                <w:highlight w:val="yellow"/>
              </w:rPr>
            </w:pPr>
          </w:p>
        </w:tc>
        <w:tc>
          <w:tcPr>
            <w:tcW w:w="1275" w:type="dxa"/>
            <w:tcBorders>
              <w:top w:val="single" w:sz="4" w:space="0" w:color="auto"/>
            </w:tcBorders>
          </w:tcPr>
          <w:p w14:paraId="089632FA" w14:textId="77777777" w:rsidR="007B34B2" w:rsidRPr="006269A3" w:rsidRDefault="007B34B2" w:rsidP="00BE5A48">
            <w:pPr>
              <w:widowControl w:val="0"/>
              <w:autoSpaceDE w:val="0"/>
              <w:autoSpaceDN w:val="0"/>
              <w:adjustRightInd w:val="0"/>
              <w:jc w:val="both"/>
              <w:rPr>
                <w:rFonts w:ascii="Arial" w:hAnsi="Arial" w:cs="Arial"/>
                <w:noProof/>
                <w:sz w:val="10"/>
                <w:szCs w:val="10"/>
                <w:highlight w:val="yellow"/>
              </w:rPr>
            </w:pPr>
          </w:p>
        </w:tc>
      </w:tr>
      <w:tr w:rsidR="007B34B2" w14:paraId="30F4438E" w14:textId="77777777" w:rsidTr="00BE5A48">
        <w:tc>
          <w:tcPr>
            <w:tcW w:w="7228" w:type="dxa"/>
            <w:gridSpan w:val="3"/>
          </w:tcPr>
          <w:p w14:paraId="5F8CA073" w14:textId="77777777" w:rsidR="007B34B2" w:rsidRPr="00F246A3" w:rsidRDefault="007B34B2" w:rsidP="00BE5A48">
            <w:pPr>
              <w:widowControl w:val="0"/>
              <w:autoSpaceDE w:val="0"/>
              <w:autoSpaceDN w:val="0"/>
              <w:adjustRightInd w:val="0"/>
              <w:jc w:val="both"/>
              <w:rPr>
                <w:rFonts w:ascii="Arial" w:hAnsi="Arial" w:cs="Arial"/>
                <w:b/>
                <w:noProof/>
                <w:sz w:val="18"/>
                <w:szCs w:val="18"/>
                <w:highlight w:val="yellow"/>
              </w:rPr>
            </w:pPr>
            <w:r w:rsidRPr="00F246A3">
              <w:rPr>
                <w:rFonts w:ascii="Arial" w:hAnsi="Arial" w:cs="Arial"/>
                <w:b/>
                <w:noProof/>
                <w:sz w:val="18"/>
                <w:szCs w:val="18"/>
              </w:rPr>
              <w:t>(1) Conciliación entre el Anexo B  y el Estado de Situacion Financiera:</w:t>
            </w:r>
          </w:p>
        </w:tc>
      </w:tr>
      <w:tr w:rsidR="00733C86" w14:paraId="7CE32152" w14:textId="77777777" w:rsidTr="006265F5">
        <w:tc>
          <w:tcPr>
            <w:tcW w:w="4677" w:type="dxa"/>
          </w:tcPr>
          <w:p w14:paraId="25D06805" w14:textId="77777777" w:rsidR="00733C86" w:rsidRPr="00F246A3" w:rsidRDefault="00733C86" w:rsidP="00733C86">
            <w:pPr>
              <w:jc w:val="both"/>
              <w:rPr>
                <w:rFonts w:ascii="Arial" w:hAnsi="Arial" w:cs="Arial"/>
                <w:b/>
                <w:bCs/>
                <w:color w:val="000000"/>
                <w:sz w:val="18"/>
                <w:szCs w:val="18"/>
                <w:lang w:eastAsia="es-AR"/>
              </w:rPr>
            </w:pPr>
            <w:r w:rsidRPr="00F246A3">
              <w:rPr>
                <w:rFonts w:ascii="Arial" w:hAnsi="Arial" w:cs="Arial"/>
                <w:b/>
                <w:bCs/>
                <w:color w:val="000000"/>
                <w:sz w:val="18"/>
                <w:szCs w:val="18"/>
              </w:rPr>
              <w:t>Préstamos y otras financiaciones</w:t>
            </w:r>
          </w:p>
        </w:tc>
        <w:tc>
          <w:tcPr>
            <w:tcW w:w="1276" w:type="dxa"/>
            <w:vAlign w:val="bottom"/>
          </w:tcPr>
          <w:p w14:paraId="47333B97" w14:textId="50188039" w:rsidR="00733C86" w:rsidRPr="00962DA2" w:rsidRDefault="00733C86" w:rsidP="00733C86">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82.678.402 </w:t>
            </w:r>
          </w:p>
        </w:tc>
        <w:tc>
          <w:tcPr>
            <w:tcW w:w="1275" w:type="dxa"/>
            <w:vAlign w:val="bottom"/>
          </w:tcPr>
          <w:p w14:paraId="1381FD67" w14:textId="07524D88" w:rsidR="00733C86" w:rsidRPr="00733C86" w:rsidRDefault="00733C86" w:rsidP="00733C86">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90.</w:t>
            </w:r>
            <w:r w:rsidR="00F30989">
              <w:rPr>
                <w:rFonts w:ascii="Arial" w:hAnsi="Arial" w:cs="Arial"/>
                <w:b/>
                <w:bCs/>
                <w:sz w:val="18"/>
                <w:szCs w:val="18"/>
              </w:rPr>
              <w:t>583</w:t>
            </w:r>
            <w:r w:rsidRPr="00733C86">
              <w:rPr>
                <w:rFonts w:ascii="Arial" w:hAnsi="Arial" w:cs="Arial"/>
                <w:b/>
                <w:bCs/>
                <w:sz w:val="18"/>
                <w:szCs w:val="18"/>
              </w:rPr>
              <w:t>.</w:t>
            </w:r>
            <w:r w:rsidR="00F30989">
              <w:rPr>
                <w:rFonts w:ascii="Arial" w:hAnsi="Arial" w:cs="Arial"/>
                <w:b/>
                <w:bCs/>
                <w:sz w:val="18"/>
                <w:szCs w:val="18"/>
              </w:rPr>
              <w:t>733</w:t>
            </w:r>
            <w:r w:rsidRPr="00733C86">
              <w:rPr>
                <w:rFonts w:ascii="Arial" w:hAnsi="Arial" w:cs="Arial"/>
                <w:b/>
                <w:bCs/>
                <w:sz w:val="18"/>
                <w:szCs w:val="18"/>
              </w:rPr>
              <w:t xml:space="preserve"> </w:t>
            </w:r>
          </w:p>
        </w:tc>
      </w:tr>
      <w:tr w:rsidR="00733C86" w14:paraId="3E4AC330" w14:textId="77777777" w:rsidTr="006265F5">
        <w:tc>
          <w:tcPr>
            <w:tcW w:w="4677" w:type="dxa"/>
          </w:tcPr>
          <w:p w14:paraId="30823CE1" w14:textId="77777777" w:rsidR="00733C86" w:rsidRPr="00F246A3" w:rsidRDefault="00733C86" w:rsidP="00733C86">
            <w:pPr>
              <w:jc w:val="both"/>
              <w:rPr>
                <w:rFonts w:ascii="Arial" w:hAnsi="Arial" w:cs="Arial"/>
                <w:b/>
                <w:bCs/>
                <w:color w:val="000000"/>
                <w:sz w:val="18"/>
                <w:szCs w:val="18"/>
                <w:lang w:eastAsia="es-AR"/>
              </w:rPr>
            </w:pPr>
            <w:r w:rsidRPr="00F246A3">
              <w:rPr>
                <w:rFonts w:ascii="Arial" w:hAnsi="Arial" w:cs="Arial"/>
                <w:b/>
                <w:bCs/>
                <w:color w:val="000000"/>
                <w:sz w:val="18"/>
                <w:szCs w:val="18"/>
              </w:rPr>
              <w:t>Otros títulos de deuda</w:t>
            </w:r>
          </w:p>
        </w:tc>
        <w:tc>
          <w:tcPr>
            <w:tcW w:w="1276" w:type="dxa"/>
            <w:vAlign w:val="bottom"/>
          </w:tcPr>
          <w:p w14:paraId="0F664168" w14:textId="56FBDCD4" w:rsidR="00733C86" w:rsidRPr="00962DA2" w:rsidRDefault="00733C86" w:rsidP="00733C86">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46.426.583 </w:t>
            </w:r>
          </w:p>
        </w:tc>
        <w:tc>
          <w:tcPr>
            <w:tcW w:w="1275" w:type="dxa"/>
            <w:vAlign w:val="bottom"/>
          </w:tcPr>
          <w:p w14:paraId="60E7F910" w14:textId="743A8FC6" w:rsidR="00733C86" w:rsidRPr="00733C86" w:rsidRDefault="00733C86" w:rsidP="00733C86">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11.</w:t>
            </w:r>
            <w:r w:rsidR="00F30989">
              <w:rPr>
                <w:rFonts w:ascii="Arial" w:hAnsi="Arial" w:cs="Arial"/>
                <w:b/>
                <w:bCs/>
                <w:sz w:val="18"/>
                <w:szCs w:val="18"/>
              </w:rPr>
              <w:t>44</w:t>
            </w:r>
            <w:r w:rsidRPr="00733C86">
              <w:rPr>
                <w:rFonts w:ascii="Arial" w:hAnsi="Arial" w:cs="Arial"/>
                <w:b/>
                <w:bCs/>
                <w:sz w:val="18"/>
                <w:szCs w:val="18"/>
              </w:rPr>
              <w:t>1.</w:t>
            </w:r>
            <w:r w:rsidR="00F30989">
              <w:rPr>
                <w:rFonts w:ascii="Arial" w:hAnsi="Arial" w:cs="Arial"/>
                <w:b/>
                <w:bCs/>
                <w:sz w:val="18"/>
                <w:szCs w:val="18"/>
              </w:rPr>
              <w:t>100</w:t>
            </w:r>
            <w:r w:rsidRPr="00733C86">
              <w:rPr>
                <w:rFonts w:ascii="Arial" w:hAnsi="Arial" w:cs="Arial"/>
                <w:b/>
                <w:bCs/>
                <w:sz w:val="18"/>
                <w:szCs w:val="18"/>
              </w:rPr>
              <w:t xml:space="preserve"> </w:t>
            </w:r>
          </w:p>
        </w:tc>
      </w:tr>
      <w:tr w:rsidR="00733C86" w14:paraId="204431A1" w14:textId="77777777" w:rsidTr="006265F5">
        <w:tc>
          <w:tcPr>
            <w:tcW w:w="4677" w:type="dxa"/>
          </w:tcPr>
          <w:p w14:paraId="552EE340" w14:textId="77777777" w:rsidR="00733C86" w:rsidRPr="00F246A3" w:rsidRDefault="00733C86" w:rsidP="00733C86">
            <w:pPr>
              <w:jc w:val="both"/>
              <w:rPr>
                <w:rFonts w:ascii="Arial" w:hAnsi="Arial" w:cs="Arial"/>
                <w:b/>
                <w:bCs/>
                <w:color w:val="000000"/>
                <w:sz w:val="18"/>
                <w:szCs w:val="18"/>
                <w:lang w:eastAsia="es-AR"/>
              </w:rPr>
            </w:pPr>
            <w:r w:rsidRPr="00F246A3">
              <w:rPr>
                <w:rFonts w:ascii="Arial" w:hAnsi="Arial" w:cs="Arial"/>
                <w:b/>
                <w:bCs/>
                <w:color w:val="000000"/>
                <w:sz w:val="18"/>
                <w:szCs w:val="18"/>
              </w:rPr>
              <w:t>Partidas computables fuera de balance</w:t>
            </w:r>
          </w:p>
        </w:tc>
        <w:tc>
          <w:tcPr>
            <w:tcW w:w="1276" w:type="dxa"/>
            <w:vAlign w:val="bottom"/>
          </w:tcPr>
          <w:p w14:paraId="02D0EDCA" w14:textId="17538DDB" w:rsidR="00733C86" w:rsidRPr="00962DA2" w:rsidRDefault="00733C86" w:rsidP="00733C86">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5.189.972 </w:t>
            </w:r>
          </w:p>
        </w:tc>
        <w:tc>
          <w:tcPr>
            <w:tcW w:w="1275" w:type="dxa"/>
            <w:vAlign w:val="bottom"/>
          </w:tcPr>
          <w:p w14:paraId="243F0233" w14:textId="5CC03DE9" w:rsidR="00733C86" w:rsidRPr="00733C86" w:rsidRDefault="00733C86" w:rsidP="00733C86">
            <w:pPr>
              <w:widowControl w:val="0"/>
              <w:autoSpaceDE w:val="0"/>
              <w:autoSpaceDN w:val="0"/>
              <w:adjustRightInd w:val="0"/>
              <w:jc w:val="right"/>
              <w:rPr>
                <w:rFonts w:ascii="Arial" w:hAnsi="Arial" w:cs="Arial"/>
                <w:b/>
                <w:noProof/>
                <w:sz w:val="18"/>
                <w:szCs w:val="18"/>
                <w:highlight w:val="yellow"/>
              </w:rPr>
            </w:pPr>
            <w:r w:rsidRPr="00733C86">
              <w:rPr>
                <w:rFonts w:ascii="Arial" w:hAnsi="Arial" w:cs="Arial"/>
                <w:b/>
                <w:bCs/>
                <w:sz w:val="18"/>
                <w:szCs w:val="18"/>
              </w:rPr>
              <w:t xml:space="preserve">962.613 </w:t>
            </w:r>
          </w:p>
        </w:tc>
      </w:tr>
      <w:tr w:rsidR="00B22349" w14:paraId="15725C39" w14:textId="77777777" w:rsidTr="006265F5">
        <w:tc>
          <w:tcPr>
            <w:tcW w:w="4677" w:type="dxa"/>
          </w:tcPr>
          <w:p w14:paraId="7330A276" w14:textId="77777777" w:rsidR="00B22349" w:rsidRPr="00F246A3" w:rsidRDefault="00B22349" w:rsidP="00B22349">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previsiones</w:t>
            </w:r>
          </w:p>
        </w:tc>
        <w:tc>
          <w:tcPr>
            <w:tcW w:w="1276" w:type="dxa"/>
            <w:vAlign w:val="bottom"/>
          </w:tcPr>
          <w:p w14:paraId="2BD572D1" w14:textId="7B75C00E"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 xml:space="preserve">5.401.440 </w:t>
            </w:r>
          </w:p>
        </w:tc>
        <w:tc>
          <w:tcPr>
            <w:tcW w:w="1275" w:type="dxa"/>
            <w:vAlign w:val="bottom"/>
          </w:tcPr>
          <w:p w14:paraId="36A28FC5" w14:textId="4C4E8724" w:rsidR="00B22349" w:rsidRPr="00733C86" w:rsidRDefault="00733C86" w:rsidP="00B22349">
            <w:pPr>
              <w:widowControl w:val="0"/>
              <w:autoSpaceDE w:val="0"/>
              <w:autoSpaceDN w:val="0"/>
              <w:adjustRightInd w:val="0"/>
              <w:jc w:val="right"/>
              <w:rPr>
                <w:rFonts w:ascii="Arial" w:hAnsi="Arial" w:cs="Arial"/>
                <w:color w:val="000000"/>
                <w:sz w:val="18"/>
                <w:szCs w:val="18"/>
              </w:rPr>
            </w:pPr>
            <w:r w:rsidRPr="00733C86">
              <w:rPr>
                <w:rFonts w:ascii="Arial" w:hAnsi="Arial" w:cs="Arial"/>
                <w:color w:val="000000"/>
                <w:sz w:val="18"/>
                <w:szCs w:val="18"/>
              </w:rPr>
              <w:t>5.</w:t>
            </w:r>
            <w:r w:rsidR="00F30989">
              <w:rPr>
                <w:rFonts w:ascii="Arial" w:hAnsi="Arial" w:cs="Arial"/>
                <w:color w:val="000000"/>
                <w:sz w:val="18"/>
                <w:szCs w:val="18"/>
              </w:rPr>
              <w:t>420</w:t>
            </w:r>
            <w:r w:rsidRPr="00733C86">
              <w:rPr>
                <w:rFonts w:ascii="Arial" w:hAnsi="Arial" w:cs="Arial"/>
                <w:color w:val="000000"/>
                <w:sz w:val="18"/>
                <w:szCs w:val="18"/>
              </w:rPr>
              <w:t>.</w:t>
            </w:r>
            <w:r w:rsidR="00F30989">
              <w:rPr>
                <w:rFonts w:ascii="Arial" w:hAnsi="Arial" w:cs="Arial"/>
                <w:color w:val="000000"/>
                <w:sz w:val="18"/>
                <w:szCs w:val="18"/>
              </w:rPr>
              <w:t>186</w:t>
            </w:r>
          </w:p>
        </w:tc>
      </w:tr>
      <w:tr w:rsidR="00B22349" w14:paraId="471FA2F1" w14:textId="77777777" w:rsidTr="00B22349">
        <w:tc>
          <w:tcPr>
            <w:tcW w:w="4677" w:type="dxa"/>
          </w:tcPr>
          <w:p w14:paraId="5F48C083" w14:textId="77777777" w:rsidR="00B22349" w:rsidRPr="00F246A3" w:rsidRDefault="00B22349" w:rsidP="00B22349">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ajustes NIIF no computables para el ESD</w:t>
            </w:r>
          </w:p>
        </w:tc>
        <w:tc>
          <w:tcPr>
            <w:tcW w:w="1276" w:type="dxa"/>
            <w:vAlign w:val="bottom"/>
          </w:tcPr>
          <w:p w14:paraId="050E3836" w14:textId="6F55CD72" w:rsidR="00B22349" w:rsidRPr="00962DA2" w:rsidRDefault="00B22349" w:rsidP="00B2234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 xml:space="preserve">280.477 </w:t>
            </w:r>
          </w:p>
        </w:tc>
        <w:tc>
          <w:tcPr>
            <w:tcW w:w="1275" w:type="dxa"/>
            <w:vAlign w:val="bottom"/>
          </w:tcPr>
          <w:p w14:paraId="0D8F2232" w14:textId="22C5B8E4" w:rsidR="00B22349" w:rsidRPr="00733C86" w:rsidRDefault="00733C86" w:rsidP="00B22349">
            <w:pPr>
              <w:widowControl w:val="0"/>
              <w:autoSpaceDE w:val="0"/>
              <w:autoSpaceDN w:val="0"/>
              <w:adjustRightInd w:val="0"/>
              <w:jc w:val="right"/>
              <w:rPr>
                <w:rFonts w:ascii="Arial" w:hAnsi="Arial" w:cs="Arial"/>
                <w:color w:val="000000"/>
                <w:sz w:val="18"/>
                <w:szCs w:val="18"/>
              </w:rPr>
            </w:pPr>
            <w:r>
              <w:rPr>
                <w:rFonts w:ascii="Arial" w:hAnsi="Arial" w:cs="Arial"/>
                <w:color w:val="000000"/>
                <w:sz w:val="18"/>
                <w:szCs w:val="18"/>
              </w:rPr>
              <w:t>331.504</w:t>
            </w:r>
          </w:p>
        </w:tc>
      </w:tr>
      <w:tr w:rsidR="00B22349" w14:paraId="68D71FAF" w14:textId="77777777" w:rsidTr="00B22349">
        <w:tc>
          <w:tcPr>
            <w:tcW w:w="4677" w:type="dxa"/>
          </w:tcPr>
          <w:p w14:paraId="286547E8" w14:textId="28FFE470" w:rsidR="00B22349" w:rsidRPr="00F246A3" w:rsidRDefault="00B22349" w:rsidP="00BE5A48">
            <w:pPr>
              <w:widowControl w:val="0"/>
              <w:autoSpaceDE w:val="0"/>
              <w:autoSpaceDN w:val="0"/>
              <w:adjustRightInd w:val="0"/>
              <w:jc w:val="both"/>
              <w:rPr>
                <w:rFonts w:ascii="Arial" w:hAnsi="Arial" w:cs="Arial"/>
                <w:noProof/>
                <w:sz w:val="18"/>
                <w:szCs w:val="18"/>
              </w:rPr>
            </w:pPr>
            <w:r w:rsidRPr="00B22349">
              <w:rPr>
                <w:rFonts w:ascii="Arial" w:hAnsi="Arial" w:cs="Arial"/>
                <w:noProof/>
                <w:sz w:val="18"/>
                <w:szCs w:val="18"/>
              </w:rPr>
              <w:t>menos conceptos no computables para el ESD</w:t>
            </w:r>
          </w:p>
        </w:tc>
        <w:tc>
          <w:tcPr>
            <w:tcW w:w="1276" w:type="dxa"/>
            <w:vAlign w:val="bottom"/>
          </w:tcPr>
          <w:p w14:paraId="508452DE" w14:textId="39C12472" w:rsidR="00B22349" w:rsidRPr="00733C86" w:rsidRDefault="00733C86" w:rsidP="00EE63C4">
            <w:pPr>
              <w:widowControl w:val="0"/>
              <w:autoSpaceDE w:val="0"/>
              <w:autoSpaceDN w:val="0"/>
              <w:adjustRightInd w:val="0"/>
              <w:jc w:val="right"/>
              <w:rPr>
                <w:rFonts w:ascii="Arial" w:hAnsi="Arial" w:cs="Arial"/>
                <w:color w:val="000000"/>
                <w:sz w:val="18"/>
                <w:szCs w:val="18"/>
              </w:rPr>
            </w:pPr>
            <w:r w:rsidRPr="00733C86">
              <w:rPr>
                <w:rFonts w:ascii="Arial" w:hAnsi="Arial" w:cs="Arial"/>
                <w:color w:val="000000"/>
                <w:sz w:val="18"/>
                <w:szCs w:val="18"/>
              </w:rPr>
              <w:t>735</w:t>
            </w:r>
          </w:p>
        </w:tc>
        <w:tc>
          <w:tcPr>
            <w:tcW w:w="1275" w:type="dxa"/>
            <w:vAlign w:val="bottom"/>
          </w:tcPr>
          <w:p w14:paraId="7F6BE257" w14:textId="77777777" w:rsidR="00B22349" w:rsidRPr="00733C86" w:rsidRDefault="00B22349" w:rsidP="00884FDE">
            <w:pPr>
              <w:widowControl w:val="0"/>
              <w:autoSpaceDE w:val="0"/>
              <w:autoSpaceDN w:val="0"/>
              <w:adjustRightInd w:val="0"/>
              <w:jc w:val="right"/>
              <w:rPr>
                <w:rFonts w:ascii="Arial" w:hAnsi="Arial" w:cs="Arial"/>
                <w:color w:val="000000"/>
                <w:sz w:val="18"/>
                <w:szCs w:val="18"/>
              </w:rPr>
            </w:pPr>
          </w:p>
        </w:tc>
      </w:tr>
      <w:tr w:rsidR="00EE63C4" w14:paraId="479321B1" w14:textId="77777777" w:rsidTr="00B22349">
        <w:tc>
          <w:tcPr>
            <w:tcW w:w="4677" w:type="dxa"/>
          </w:tcPr>
          <w:p w14:paraId="61CFF3BC" w14:textId="77777777" w:rsidR="00EE63C4" w:rsidRPr="00F246A3" w:rsidRDefault="00EE63C4" w:rsidP="00BE5A48">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Menos Títulos Públicos valuados a Costo Amortizado</w:t>
            </w:r>
          </w:p>
        </w:tc>
        <w:tc>
          <w:tcPr>
            <w:tcW w:w="1276" w:type="dxa"/>
            <w:tcBorders>
              <w:bottom w:val="single" w:sz="4" w:space="0" w:color="auto"/>
            </w:tcBorders>
            <w:vAlign w:val="bottom"/>
          </w:tcPr>
          <w:p w14:paraId="01C65B4D" w14:textId="419FFDC9" w:rsidR="00EE63C4" w:rsidRPr="00733C86" w:rsidRDefault="00733C86" w:rsidP="00EE63C4">
            <w:pPr>
              <w:widowControl w:val="0"/>
              <w:autoSpaceDE w:val="0"/>
              <w:autoSpaceDN w:val="0"/>
              <w:adjustRightInd w:val="0"/>
              <w:jc w:val="right"/>
              <w:rPr>
                <w:rFonts w:ascii="Arial" w:hAnsi="Arial" w:cs="Arial"/>
                <w:color w:val="000000"/>
                <w:sz w:val="18"/>
                <w:szCs w:val="18"/>
              </w:rPr>
            </w:pPr>
            <w:r w:rsidRPr="00733C86">
              <w:rPr>
                <w:rFonts w:ascii="Arial" w:hAnsi="Arial" w:cs="Arial"/>
                <w:color w:val="000000"/>
                <w:sz w:val="18"/>
                <w:szCs w:val="18"/>
              </w:rPr>
              <w:t>(46.241.201)</w:t>
            </w:r>
          </w:p>
        </w:tc>
        <w:tc>
          <w:tcPr>
            <w:tcW w:w="1275" w:type="dxa"/>
            <w:tcBorders>
              <w:bottom w:val="single" w:sz="4" w:space="0" w:color="auto"/>
            </w:tcBorders>
            <w:vAlign w:val="bottom"/>
          </w:tcPr>
          <w:p w14:paraId="31A950F2" w14:textId="4DF6DA02" w:rsidR="00EE63C4" w:rsidRPr="00733C86" w:rsidRDefault="00733C86" w:rsidP="00884FDE">
            <w:pPr>
              <w:widowControl w:val="0"/>
              <w:autoSpaceDE w:val="0"/>
              <w:autoSpaceDN w:val="0"/>
              <w:adjustRightInd w:val="0"/>
              <w:jc w:val="right"/>
              <w:rPr>
                <w:rFonts w:ascii="Arial" w:hAnsi="Arial" w:cs="Arial"/>
                <w:color w:val="000000"/>
                <w:sz w:val="18"/>
                <w:szCs w:val="18"/>
              </w:rPr>
            </w:pPr>
            <w:r>
              <w:rPr>
                <w:rFonts w:ascii="Arial" w:hAnsi="Arial" w:cs="Arial"/>
                <w:color w:val="000000"/>
                <w:sz w:val="18"/>
                <w:szCs w:val="18"/>
              </w:rPr>
              <w:t>(1</w:t>
            </w:r>
            <w:r w:rsidR="00F30989">
              <w:rPr>
                <w:rFonts w:ascii="Arial" w:hAnsi="Arial" w:cs="Arial"/>
                <w:color w:val="000000"/>
                <w:sz w:val="18"/>
                <w:szCs w:val="18"/>
              </w:rPr>
              <w:t>1</w:t>
            </w:r>
            <w:r>
              <w:rPr>
                <w:rFonts w:ascii="Arial" w:hAnsi="Arial" w:cs="Arial"/>
                <w:color w:val="000000"/>
                <w:sz w:val="18"/>
                <w:szCs w:val="18"/>
              </w:rPr>
              <w:t>.</w:t>
            </w:r>
            <w:r w:rsidR="00F30989">
              <w:rPr>
                <w:rFonts w:ascii="Arial" w:hAnsi="Arial" w:cs="Arial"/>
                <w:color w:val="000000"/>
                <w:sz w:val="18"/>
                <w:szCs w:val="18"/>
              </w:rPr>
              <w:t>057</w:t>
            </w:r>
            <w:r>
              <w:rPr>
                <w:rFonts w:ascii="Arial" w:hAnsi="Arial" w:cs="Arial"/>
                <w:color w:val="000000"/>
                <w:sz w:val="18"/>
                <w:szCs w:val="18"/>
              </w:rPr>
              <w:t>.</w:t>
            </w:r>
            <w:r w:rsidR="00F30989">
              <w:rPr>
                <w:rFonts w:ascii="Arial" w:hAnsi="Arial" w:cs="Arial"/>
                <w:color w:val="000000"/>
                <w:sz w:val="18"/>
                <w:szCs w:val="18"/>
              </w:rPr>
              <w:t>851</w:t>
            </w:r>
            <w:r>
              <w:rPr>
                <w:rFonts w:ascii="Arial" w:hAnsi="Arial" w:cs="Arial"/>
                <w:color w:val="000000"/>
                <w:sz w:val="18"/>
                <w:szCs w:val="18"/>
              </w:rPr>
              <w:t>)</w:t>
            </w:r>
          </w:p>
        </w:tc>
      </w:tr>
      <w:tr w:rsidR="00EE63C4" w:rsidRPr="00F246A3" w14:paraId="40E4EBFA" w14:textId="77777777" w:rsidTr="006265F5">
        <w:tc>
          <w:tcPr>
            <w:tcW w:w="4677" w:type="dxa"/>
          </w:tcPr>
          <w:p w14:paraId="7280629B" w14:textId="77777777" w:rsidR="00EE63C4" w:rsidRPr="00F246A3" w:rsidRDefault="00EE63C4" w:rsidP="00BE5A48">
            <w:pPr>
              <w:widowControl w:val="0"/>
              <w:autoSpaceDE w:val="0"/>
              <w:autoSpaceDN w:val="0"/>
              <w:adjustRightInd w:val="0"/>
              <w:jc w:val="both"/>
              <w:rPr>
                <w:rFonts w:ascii="Arial" w:hAnsi="Arial" w:cs="Arial"/>
                <w:b/>
                <w:noProof/>
                <w:sz w:val="20"/>
                <w:szCs w:val="18"/>
                <w:highlight w:val="yellow"/>
              </w:rPr>
            </w:pPr>
            <w:r w:rsidRPr="00F246A3">
              <w:rPr>
                <w:rFonts w:ascii="Arial" w:hAnsi="Arial" w:cs="Arial"/>
                <w:b/>
                <w:noProof/>
                <w:sz w:val="20"/>
                <w:szCs w:val="18"/>
              </w:rPr>
              <w:t>Total</w:t>
            </w:r>
          </w:p>
        </w:tc>
        <w:tc>
          <w:tcPr>
            <w:tcW w:w="1276" w:type="dxa"/>
            <w:tcBorders>
              <w:top w:val="single" w:sz="4" w:space="0" w:color="auto"/>
              <w:bottom w:val="single" w:sz="4" w:space="0" w:color="auto"/>
            </w:tcBorders>
            <w:vAlign w:val="bottom"/>
          </w:tcPr>
          <w:p w14:paraId="4253D64F" w14:textId="40D1C456" w:rsidR="00EE63C4" w:rsidRPr="00733C86" w:rsidRDefault="00733C86" w:rsidP="00733C86">
            <w:pPr>
              <w:jc w:val="right"/>
              <w:rPr>
                <w:rFonts w:ascii="Arial" w:hAnsi="Arial" w:cs="Arial"/>
                <w:b/>
                <w:bCs/>
                <w:sz w:val="18"/>
                <w:szCs w:val="18"/>
                <w:lang w:eastAsia="es-AR"/>
              </w:rPr>
            </w:pPr>
            <w:r>
              <w:rPr>
                <w:rFonts w:ascii="Arial" w:hAnsi="Arial" w:cs="Arial"/>
                <w:b/>
                <w:bCs/>
                <w:sz w:val="18"/>
                <w:szCs w:val="18"/>
              </w:rPr>
              <w:t xml:space="preserve">93.736.408 </w:t>
            </w:r>
          </w:p>
        </w:tc>
        <w:tc>
          <w:tcPr>
            <w:tcW w:w="1275" w:type="dxa"/>
            <w:tcBorders>
              <w:top w:val="single" w:sz="4" w:space="0" w:color="auto"/>
              <w:bottom w:val="single" w:sz="4" w:space="0" w:color="auto"/>
            </w:tcBorders>
            <w:vAlign w:val="bottom"/>
          </w:tcPr>
          <w:p w14:paraId="2551743C" w14:textId="587A4606" w:rsidR="00EE63C4" w:rsidRPr="00733C86" w:rsidRDefault="00733C86" w:rsidP="00733C86">
            <w:pPr>
              <w:jc w:val="right"/>
              <w:rPr>
                <w:rFonts w:ascii="Arial" w:hAnsi="Arial" w:cs="Arial"/>
                <w:b/>
                <w:bCs/>
                <w:sz w:val="18"/>
                <w:szCs w:val="18"/>
              </w:rPr>
            </w:pPr>
            <w:r w:rsidRPr="00733C86">
              <w:rPr>
                <w:rFonts w:ascii="Arial" w:hAnsi="Arial" w:cs="Arial"/>
                <w:b/>
                <w:bCs/>
                <w:sz w:val="18"/>
                <w:szCs w:val="18"/>
              </w:rPr>
              <w:t>97.681.285</w:t>
            </w:r>
          </w:p>
        </w:tc>
      </w:tr>
    </w:tbl>
    <w:p w14:paraId="3E073CFE" w14:textId="6B8817B7" w:rsidR="006A7073" w:rsidRDefault="006A7073" w:rsidP="008962C9"/>
    <w:p w14:paraId="7E9DB78F" w14:textId="0483BBAD" w:rsidR="009F7A13" w:rsidRPr="00701F32" w:rsidRDefault="009F7A13" w:rsidP="008962C9">
      <w:pPr>
        <w:sectPr w:rsidR="009F7A13" w:rsidRPr="00701F32" w:rsidSect="007045C3">
          <w:headerReference w:type="default" r:id="rId41"/>
          <w:pgSz w:w="11907" w:h="16839" w:code="9"/>
          <w:pgMar w:top="1418" w:right="1701" w:bottom="1418" w:left="1701" w:header="567" w:footer="0" w:gutter="0"/>
          <w:paperSrc w:first="256" w:other="256"/>
          <w:cols w:space="720"/>
          <w:docGrid w:linePitch="326"/>
        </w:sectPr>
      </w:pPr>
    </w:p>
    <w:p w14:paraId="46927F8E" w14:textId="3D252532" w:rsidR="007B34B2" w:rsidRPr="00701F32" w:rsidRDefault="007B34B2" w:rsidP="008962C9"/>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7B34B2" w:rsidRPr="00C17D08" w14:paraId="184CF2DA" w14:textId="77777777" w:rsidTr="001B4F5C">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34373C"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7F208"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FINANCIACIONES</w:t>
            </w:r>
          </w:p>
        </w:tc>
      </w:tr>
      <w:tr w:rsidR="007B34B2" w:rsidRPr="00C17D08" w14:paraId="3524DA72" w14:textId="77777777" w:rsidTr="001B4F5C">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D55C8" w14:textId="77777777" w:rsidR="007B34B2" w:rsidRPr="0066424E" w:rsidRDefault="007B34B2" w:rsidP="00BE5A48">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A0C987" w14:textId="768DC96B" w:rsidR="007B34B2" w:rsidRPr="0066424E" w:rsidRDefault="003C2633" w:rsidP="00083AEA">
            <w:pPr>
              <w:jc w:val="center"/>
              <w:rPr>
                <w:rFonts w:ascii="Arial" w:hAnsi="Arial" w:cs="Arial"/>
                <w:b/>
                <w:sz w:val="18"/>
                <w:szCs w:val="18"/>
              </w:rPr>
            </w:pPr>
            <w:r>
              <w:rPr>
                <w:rFonts w:ascii="Arial" w:hAnsi="Arial" w:cs="Arial"/>
                <w:b/>
                <w:sz w:val="18"/>
                <w:szCs w:val="18"/>
              </w:rPr>
              <w:t>3</w:t>
            </w:r>
            <w:r w:rsidR="009B1CF0">
              <w:rPr>
                <w:rFonts w:ascii="Arial" w:hAnsi="Arial" w:cs="Arial"/>
                <w:b/>
                <w:sz w:val="18"/>
                <w:szCs w:val="18"/>
              </w:rPr>
              <w:t>1</w:t>
            </w:r>
            <w:r>
              <w:rPr>
                <w:rFonts w:ascii="Arial" w:hAnsi="Arial" w:cs="Arial"/>
                <w:b/>
                <w:sz w:val="18"/>
                <w:szCs w:val="18"/>
              </w:rPr>
              <w:t>/0</w:t>
            </w:r>
            <w:r w:rsidR="009B1CF0">
              <w:rPr>
                <w:rFonts w:ascii="Arial" w:hAnsi="Arial" w:cs="Arial"/>
                <w:b/>
                <w:sz w:val="18"/>
                <w:szCs w:val="18"/>
              </w:rPr>
              <w:t>3</w:t>
            </w:r>
            <w:r>
              <w:rPr>
                <w:rFonts w:ascii="Arial" w:hAnsi="Arial" w:cs="Arial"/>
                <w:b/>
                <w:sz w:val="18"/>
                <w:szCs w:val="18"/>
              </w:rPr>
              <w:t>/20</w:t>
            </w:r>
            <w:r w:rsidR="009B1CF0">
              <w:rPr>
                <w:rFonts w:ascii="Arial" w:hAnsi="Arial" w:cs="Arial"/>
                <w:b/>
                <w:sz w:val="18"/>
                <w:szCs w:val="18"/>
              </w:rPr>
              <w:t>20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5FFACA" w14:textId="7E0E5C32" w:rsidR="007B34B2" w:rsidRPr="0066424E" w:rsidRDefault="007B34B2" w:rsidP="00BE5A48">
            <w:pPr>
              <w:jc w:val="center"/>
              <w:rPr>
                <w:rFonts w:ascii="Arial" w:hAnsi="Arial" w:cs="Arial"/>
                <w:b/>
                <w:sz w:val="18"/>
                <w:szCs w:val="18"/>
              </w:rPr>
            </w:pPr>
            <w:r w:rsidRPr="0066424E">
              <w:rPr>
                <w:rFonts w:ascii="Arial" w:hAnsi="Arial" w:cs="Arial"/>
                <w:b/>
                <w:sz w:val="18"/>
                <w:szCs w:val="18"/>
              </w:rPr>
              <w:t>31/12/201</w:t>
            </w:r>
            <w:r w:rsidR="009B1CF0">
              <w:rPr>
                <w:rFonts w:ascii="Arial" w:hAnsi="Arial" w:cs="Arial"/>
                <w:b/>
                <w:sz w:val="18"/>
                <w:szCs w:val="18"/>
              </w:rPr>
              <w:t>9</w:t>
            </w:r>
          </w:p>
        </w:tc>
      </w:tr>
      <w:tr w:rsidR="007B34B2" w:rsidRPr="00C17D08" w14:paraId="7665B7DB" w14:textId="77777777" w:rsidTr="001B4F5C">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DD10B1" w14:textId="77777777" w:rsidR="007B34B2" w:rsidRPr="0066424E" w:rsidRDefault="007B34B2" w:rsidP="00BE5A48">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D648DD"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deuda</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B63C12"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2B6D10"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deuda</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03AF38"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r>
      <w:tr w:rsidR="007B34B2" w:rsidRPr="00C17D08" w14:paraId="15C2D181" w14:textId="77777777" w:rsidTr="001B4F5C">
        <w:trPr>
          <w:trHeight w:val="113"/>
          <w:jc w:val="center"/>
        </w:trPr>
        <w:tc>
          <w:tcPr>
            <w:tcW w:w="3261" w:type="dxa"/>
            <w:tcBorders>
              <w:top w:val="single" w:sz="4" w:space="0" w:color="auto"/>
            </w:tcBorders>
            <w:vAlign w:val="bottom"/>
          </w:tcPr>
          <w:p w14:paraId="374B3576" w14:textId="77777777" w:rsidR="007B34B2" w:rsidRDefault="007B34B2" w:rsidP="00BE5A48">
            <w:pPr>
              <w:rPr>
                <w:rFonts w:ascii="Arial" w:hAnsi="Arial" w:cs="Arial"/>
                <w:sz w:val="18"/>
                <w:szCs w:val="18"/>
              </w:rPr>
            </w:pPr>
          </w:p>
        </w:tc>
        <w:tc>
          <w:tcPr>
            <w:tcW w:w="1417" w:type="dxa"/>
            <w:tcBorders>
              <w:top w:val="single" w:sz="4" w:space="0" w:color="auto"/>
            </w:tcBorders>
          </w:tcPr>
          <w:p w14:paraId="5B4EAEBB" w14:textId="77777777" w:rsidR="007B34B2" w:rsidRPr="00C17D08" w:rsidRDefault="007B34B2" w:rsidP="00BE5A48">
            <w:pPr>
              <w:rPr>
                <w:rFonts w:ascii="Arial" w:hAnsi="Arial" w:cs="Arial"/>
                <w:sz w:val="18"/>
                <w:szCs w:val="18"/>
              </w:rPr>
            </w:pPr>
          </w:p>
        </w:tc>
        <w:tc>
          <w:tcPr>
            <w:tcW w:w="1418" w:type="dxa"/>
            <w:tcBorders>
              <w:top w:val="single" w:sz="4" w:space="0" w:color="auto"/>
            </w:tcBorders>
          </w:tcPr>
          <w:p w14:paraId="749224FB" w14:textId="77777777" w:rsidR="007B34B2" w:rsidRPr="00C17D08" w:rsidRDefault="007B34B2" w:rsidP="00BE5A48">
            <w:pPr>
              <w:rPr>
                <w:rFonts w:ascii="Arial" w:hAnsi="Arial" w:cs="Arial"/>
                <w:sz w:val="18"/>
                <w:szCs w:val="18"/>
              </w:rPr>
            </w:pPr>
          </w:p>
        </w:tc>
        <w:tc>
          <w:tcPr>
            <w:tcW w:w="1276" w:type="dxa"/>
            <w:tcBorders>
              <w:top w:val="single" w:sz="4" w:space="0" w:color="auto"/>
            </w:tcBorders>
          </w:tcPr>
          <w:p w14:paraId="25A1A45A" w14:textId="77777777" w:rsidR="007B34B2" w:rsidRPr="00C17D08" w:rsidRDefault="007B34B2" w:rsidP="00BE5A48">
            <w:pPr>
              <w:rPr>
                <w:rFonts w:ascii="Arial" w:hAnsi="Arial" w:cs="Arial"/>
                <w:sz w:val="18"/>
                <w:szCs w:val="18"/>
              </w:rPr>
            </w:pPr>
          </w:p>
        </w:tc>
        <w:tc>
          <w:tcPr>
            <w:tcW w:w="1417" w:type="dxa"/>
            <w:tcBorders>
              <w:top w:val="single" w:sz="4" w:space="0" w:color="auto"/>
            </w:tcBorders>
          </w:tcPr>
          <w:p w14:paraId="452ACB37" w14:textId="77777777" w:rsidR="007B34B2" w:rsidRPr="00C17D08" w:rsidRDefault="007B34B2" w:rsidP="00BE5A48">
            <w:pPr>
              <w:rPr>
                <w:rFonts w:ascii="Arial" w:hAnsi="Arial" w:cs="Arial"/>
                <w:sz w:val="18"/>
                <w:szCs w:val="18"/>
              </w:rPr>
            </w:pPr>
          </w:p>
        </w:tc>
      </w:tr>
      <w:tr w:rsidR="009A3836" w:rsidRPr="00C17D08" w14:paraId="715BB7EE" w14:textId="77777777" w:rsidTr="00557382">
        <w:trPr>
          <w:trHeight w:val="454"/>
          <w:jc w:val="center"/>
        </w:trPr>
        <w:tc>
          <w:tcPr>
            <w:tcW w:w="3261" w:type="dxa"/>
            <w:vAlign w:val="center"/>
          </w:tcPr>
          <w:p w14:paraId="6DEBF124" w14:textId="77777777" w:rsidR="009A3836" w:rsidRDefault="009A3836" w:rsidP="009A3836">
            <w:pPr>
              <w:rPr>
                <w:rFonts w:ascii="Arial" w:hAnsi="Arial" w:cs="Arial"/>
                <w:sz w:val="18"/>
                <w:szCs w:val="18"/>
              </w:rPr>
            </w:pPr>
            <w:r>
              <w:rPr>
                <w:rFonts w:ascii="Arial" w:hAnsi="Arial" w:cs="Arial"/>
                <w:sz w:val="18"/>
                <w:szCs w:val="18"/>
              </w:rPr>
              <w:t>10 mayores clientes</w:t>
            </w:r>
          </w:p>
        </w:tc>
        <w:tc>
          <w:tcPr>
            <w:tcW w:w="1417" w:type="dxa"/>
            <w:vAlign w:val="center"/>
          </w:tcPr>
          <w:p w14:paraId="0F8EE386" w14:textId="5DD28159" w:rsidR="009A3836" w:rsidRPr="005E53F2" w:rsidRDefault="009A3836" w:rsidP="009A3836">
            <w:pPr>
              <w:jc w:val="right"/>
              <w:rPr>
                <w:rFonts w:ascii="Arial" w:hAnsi="Arial" w:cs="Arial"/>
                <w:sz w:val="18"/>
                <w:szCs w:val="18"/>
              </w:rPr>
            </w:pPr>
            <w:r>
              <w:rPr>
                <w:rFonts w:ascii="Arial" w:hAnsi="Arial" w:cs="Arial"/>
                <w:sz w:val="18"/>
                <w:szCs w:val="18"/>
              </w:rPr>
              <w:t xml:space="preserve">14.508.221 </w:t>
            </w:r>
          </w:p>
        </w:tc>
        <w:tc>
          <w:tcPr>
            <w:tcW w:w="1418" w:type="dxa"/>
            <w:vAlign w:val="center"/>
          </w:tcPr>
          <w:p w14:paraId="77BB3F74" w14:textId="6FB915DC" w:rsidR="009A3836" w:rsidRPr="005E53F2" w:rsidRDefault="009A3836" w:rsidP="009A3836">
            <w:pPr>
              <w:jc w:val="center"/>
              <w:rPr>
                <w:rFonts w:ascii="Arial" w:hAnsi="Arial" w:cs="Arial"/>
                <w:sz w:val="18"/>
                <w:szCs w:val="18"/>
              </w:rPr>
            </w:pPr>
            <w:r>
              <w:rPr>
                <w:rFonts w:ascii="Arial" w:hAnsi="Arial" w:cs="Arial"/>
                <w:sz w:val="18"/>
                <w:szCs w:val="18"/>
              </w:rPr>
              <w:t>15,48%</w:t>
            </w:r>
          </w:p>
        </w:tc>
        <w:tc>
          <w:tcPr>
            <w:tcW w:w="1276" w:type="dxa"/>
            <w:vAlign w:val="center"/>
          </w:tcPr>
          <w:p w14:paraId="657E32AF" w14:textId="41C8120D" w:rsidR="009A3836" w:rsidRPr="005E53F2" w:rsidRDefault="009A3836" w:rsidP="009A3836">
            <w:pPr>
              <w:jc w:val="right"/>
              <w:rPr>
                <w:rFonts w:ascii="Arial" w:hAnsi="Arial" w:cs="Arial"/>
                <w:sz w:val="18"/>
                <w:szCs w:val="18"/>
              </w:rPr>
            </w:pPr>
            <w:r>
              <w:rPr>
                <w:rFonts w:ascii="Arial" w:hAnsi="Arial" w:cs="Arial"/>
                <w:sz w:val="18"/>
                <w:szCs w:val="18"/>
              </w:rPr>
              <w:t xml:space="preserve">13.480.778 </w:t>
            </w:r>
          </w:p>
        </w:tc>
        <w:tc>
          <w:tcPr>
            <w:tcW w:w="1417" w:type="dxa"/>
            <w:vAlign w:val="center"/>
          </w:tcPr>
          <w:p w14:paraId="356B52FE" w14:textId="3369598F" w:rsidR="009A3836" w:rsidRPr="005E53F2" w:rsidRDefault="009A3836" w:rsidP="009A3836">
            <w:pPr>
              <w:jc w:val="center"/>
              <w:rPr>
                <w:rFonts w:ascii="Arial" w:hAnsi="Arial" w:cs="Arial"/>
                <w:sz w:val="18"/>
                <w:szCs w:val="18"/>
              </w:rPr>
            </w:pPr>
            <w:r>
              <w:rPr>
                <w:rFonts w:ascii="Arial" w:hAnsi="Arial" w:cs="Arial"/>
                <w:sz w:val="18"/>
                <w:szCs w:val="18"/>
              </w:rPr>
              <w:t>13,80%</w:t>
            </w:r>
          </w:p>
        </w:tc>
      </w:tr>
      <w:tr w:rsidR="007B34B2" w:rsidRPr="00C17D08" w14:paraId="7AF34E52" w14:textId="77777777" w:rsidTr="00557382">
        <w:trPr>
          <w:trHeight w:val="261"/>
          <w:jc w:val="center"/>
        </w:trPr>
        <w:tc>
          <w:tcPr>
            <w:tcW w:w="3261" w:type="dxa"/>
            <w:vAlign w:val="center"/>
          </w:tcPr>
          <w:p w14:paraId="66AC279C" w14:textId="77777777" w:rsidR="007B34B2" w:rsidRPr="00C17D08" w:rsidRDefault="007B34B2" w:rsidP="00557382">
            <w:pPr>
              <w:rPr>
                <w:rFonts w:ascii="Arial" w:hAnsi="Arial" w:cs="Arial"/>
                <w:sz w:val="18"/>
                <w:szCs w:val="18"/>
              </w:rPr>
            </w:pPr>
          </w:p>
        </w:tc>
        <w:tc>
          <w:tcPr>
            <w:tcW w:w="1417" w:type="dxa"/>
            <w:vAlign w:val="center"/>
          </w:tcPr>
          <w:p w14:paraId="75787924" w14:textId="77777777" w:rsidR="007B34B2" w:rsidRPr="00C17D08" w:rsidRDefault="007B34B2" w:rsidP="00557382">
            <w:pPr>
              <w:jc w:val="right"/>
              <w:rPr>
                <w:rFonts w:ascii="Arial" w:hAnsi="Arial" w:cs="Arial"/>
                <w:sz w:val="18"/>
                <w:szCs w:val="18"/>
              </w:rPr>
            </w:pPr>
          </w:p>
        </w:tc>
        <w:tc>
          <w:tcPr>
            <w:tcW w:w="1418" w:type="dxa"/>
            <w:vAlign w:val="center"/>
          </w:tcPr>
          <w:p w14:paraId="29CC4261" w14:textId="77777777" w:rsidR="007B34B2" w:rsidRPr="00C17D08" w:rsidRDefault="007B34B2" w:rsidP="00557382">
            <w:pPr>
              <w:jc w:val="center"/>
              <w:rPr>
                <w:rFonts w:ascii="Arial" w:hAnsi="Arial" w:cs="Arial"/>
                <w:sz w:val="18"/>
                <w:szCs w:val="18"/>
              </w:rPr>
            </w:pPr>
          </w:p>
        </w:tc>
        <w:tc>
          <w:tcPr>
            <w:tcW w:w="1276" w:type="dxa"/>
            <w:vAlign w:val="center"/>
          </w:tcPr>
          <w:p w14:paraId="1C1B5716" w14:textId="77777777" w:rsidR="007B34B2" w:rsidRPr="00C17D08" w:rsidRDefault="007B34B2" w:rsidP="00557382">
            <w:pPr>
              <w:jc w:val="right"/>
              <w:rPr>
                <w:rFonts w:ascii="Arial" w:hAnsi="Arial" w:cs="Arial"/>
                <w:sz w:val="18"/>
                <w:szCs w:val="18"/>
              </w:rPr>
            </w:pPr>
          </w:p>
        </w:tc>
        <w:tc>
          <w:tcPr>
            <w:tcW w:w="1417" w:type="dxa"/>
            <w:vAlign w:val="center"/>
          </w:tcPr>
          <w:p w14:paraId="5FE8A448" w14:textId="77777777" w:rsidR="007B34B2" w:rsidRPr="00C17D08" w:rsidRDefault="007B34B2" w:rsidP="00557382">
            <w:pPr>
              <w:jc w:val="center"/>
              <w:rPr>
                <w:rFonts w:ascii="Arial" w:hAnsi="Arial" w:cs="Arial"/>
                <w:sz w:val="18"/>
                <w:szCs w:val="18"/>
              </w:rPr>
            </w:pPr>
          </w:p>
        </w:tc>
      </w:tr>
      <w:tr w:rsidR="009A3836" w:rsidRPr="00C17D08" w14:paraId="5CB55E2D" w14:textId="77777777" w:rsidTr="00557382">
        <w:trPr>
          <w:trHeight w:val="454"/>
          <w:jc w:val="center"/>
        </w:trPr>
        <w:tc>
          <w:tcPr>
            <w:tcW w:w="3261" w:type="dxa"/>
            <w:vAlign w:val="center"/>
          </w:tcPr>
          <w:p w14:paraId="63109CC5" w14:textId="77777777" w:rsidR="009A3836" w:rsidRPr="00C17D08" w:rsidRDefault="009A3836" w:rsidP="009A3836">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0F5B0A82" w14:textId="286B3BE0" w:rsidR="009A3836" w:rsidRPr="005E53F2" w:rsidRDefault="009A3836" w:rsidP="009A3836">
            <w:pPr>
              <w:jc w:val="right"/>
              <w:rPr>
                <w:rFonts w:ascii="Arial" w:hAnsi="Arial" w:cs="Arial"/>
                <w:sz w:val="18"/>
                <w:szCs w:val="18"/>
              </w:rPr>
            </w:pPr>
            <w:r>
              <w:rPr>
                <w:rFonts w:ascii="Arial" w:hAnsi="Arial" w:cs="Arial"/>
                <w:sz w:val="18"/>
                <w:szCs w:val="18"/>
              </w:rPr>
              <w:t xml:space="preserve">18.979.535 </w:t>
            </w:r>
          </w:p>
        </w:tc>
        <w:tc>
          <w:tcPr>
            <w:tcW w:w="1418" w:type="dxa"/>
            <w:vAlign w:val="center"/>
          </w:tcPr>
          <w:p w14:paraId="32AEE802" w14:textId="34E4B8DF" w:rsidR="009A3836" w:rsidRPr="005E53F2" w:rsidRDefault="009A3836" w:rsidP="009A3836">
            <w:pPr>
              <w:jc w:val="center"/>
              <w:rPr>
                <w:rFonts w:ascii="Arial" w:hAnsi="Arial" w:cs="Arial"/>
                <w:sz w:val="18"/>
                <w:szCs w:val="18"/>
              </w:rPr>
            </w:pPr>
            <w:r>
              <w:rPr>
                <w:rFonts w:ascii="Arial" w:hAnsi="Arial" w:cs="Arial"/>
                <w:sz w:val="18"/>
                <w:szCs w:val="18"/>
              </w:rPr>
              <w:t>20,25%</w:t>
            </w:r>
          </w:p>
        </w:tc>
        <w:tc>
          <w:tcPr>
            <w:tcW w:w="1276" w:type="dxa"/>
            <w:vAlign w:val="center"/>
          </w:tcPr>
          <w:p w14:paraId="7B0752D7" w14:textId="43B1B76D" w:rsidR="009A3836" w:rsidRPr="005E53F2" w:rsidRDefault="009A3836" w:rsidP="009A3836">
            <w:pPr>
              <w:jc w:val="right"/>
              <w:rPr>
                <w:rFonts w:ascii="Arial" w:hAnsi="Arial" w:cs="Arial"/>
                <w:sz w:val="18"/>
                <w:szCs w:val="18"/>
              </w:rPr>
            </w:pPr>
            <w:r>
              <w:rPr>
                <w:rFonts w:ascii="Arial" w:hAnsi="Arial" w:cs="Arial"/>
                <w:sz w:val="18"/>
                <w:szCs w:val="18"/>
              </w:rPr>
              <w:t xml:space="preserve">18.885.407 </w:t>
            </w:r>
          </w:p>
        </w:tc>
        <w:tc>
          <w:tcPr>
            <w:tcW w:w="1417" w:type="dxa"/>
            <w:vAlign w:val="center"/>
          </w:tcPr>
          <w:p w14:paraId="6301F232" w14:textId="13D6996E" w:rsidR="009A3836" w:rsidRPr="005E53F2" w:rsidRDefault="009A3836" w:rsidP="009A3836">
            <w:pPr>
              <w:jc w:val="center"/>
              <w:rPr>
                <w:rFonts w:ascii="Arial" w:hAnsi="Arial" w:cs="Arial"/>
                <w:sz w:val="18"/>
                <w:szCs w:val="18"/>
              </w:rPr>
            </w:pPr>
            <w:r>
              <w:rPr>
                <w:rFonts w:ascii="Arial" w:hAnsi="Arial" w:cs="Arial"/>
                <w:sz w:val="18"/>
                <w:szCs w:val="18"/>
              </w:rPr>
              <w:t>19,33%</w:t>
            </w:r>
          </w:p>
        </w:tc>
      </w:tr>
      <w:tr w:rsidR="007B34B2" w:rsidRPr="00C17D08" w14:paraId="5C26846B" w14:textId="77777777" w:rsidTr="00557382">
        <w:trPr>
          <w:trHeight w:val="257"/>
          <w:jc w:val="center"/>
        </w:trPr>
        <w:tc>
          <w:tcPr>
            <w:tcW w:w="3261" w:type="dxa"/>
            <w:vAlign w:val="center"/>
          </w:tcPr>
          <w:p w14:paraId="34EAC169" w14:textId="77777777" w:rsidR="007B34B2" w:rsidRPr="00C17D08" w:rsidRDefault="007B34B2" w:rsidP="00557382">
            <w:pPr>
              <w:rPr>
                <w:rFonts w:ascii="Arial" w:hAnsi="Arial" w:cs="Arial"/>
                <w:sz w:val="18"/>
                <w:szCs w:val="18"/>
              </w:rPr>
            </w:pPr>
          </w:p>
        </w:tc>
        <w:tc>
          <w:tcPr>
            <w:tcW w:w="1417" w:type="dxa"/>
            <w:vAlign w:val="center"/>
          </w:tcPr>
          <w:p w14:paraId="2D0AA38D" w14:textId="77777777" w:rsidR="007B34B2" w:rsidRPr="00C17D08" w:rsidRDefault="007B34B2" w:rsidP="00557382">
            <w:pPr>
              <w:jc w:val="right"/>
              <w:rPr>
                <w:rFonts w:ascii="Arial" w:hAnsi="Arial" w:cs="Arial"/>
                <w:sz w:val="18"/>
                <w:szCs w:val="18"/>
              </w:rPr>
            </w:pPr>
          </w:p>
        </w:tc>
        <w:tc>
          <w:tcPr>
            <w:tcW w:w="1418" w:type="dxa"/>
            <w:vAlign w:val="center"/>
          </w:tcPr>
          <w:p w14:paraId="0C3119DD" w14:textId="77777777" w:rsidR="007B34B2" w:rsidRPr="00C17D08" w:rsidRDefault="007B34B2" w:rsidP="00557382">
            <w:pPr>
              <w:jc w:val="center"/>
              <w:rPr>
                <w:rFonts w:ascii="Arial" w:hAnsi="Arial" w:cs="Arial"/>
                <w:sz w:val="18"/>
                <w:szCs w:val="18"/>
              </w:rPr>
            </w:pPr>
          </w:p>
        </w:tc>
        <w:tc>
          <w:tcPr>
            <w:tcW w:w="1276" w:type="dxa"/>
            <w:vAlign w:val="center"/>
          </w:tcPr>
          <w:p w14:paraId="52B9EB41" w14:textId="77777777" w:rsidR="007B34B2" w:rsidRPr="00C17D08" w:rsidRDefault="007B34B2" w:rsidP="00557382">
            <w:pPr>
              <w:jc w:val="right"/>
              <w:rPr>
                <w:rFonts w:ascii="Arial" w:hAnsi="Arial" w:cs="Arial"/>
                <w:sz w:val="18"/>
                <w:szCs w:val="18"/>
              </w:rPr>
            </w:pPr>
          </w:p>
        </w:tc>
        <w:tc>
          <w:tcPr>
            <w:tcW w:w="1417" w:type="dxa"/>
            <w:vAlign w:val="center"/>
          </w:tcPr>
          <w:p w14:paraId="418310C1" w14:textId="77777777" w:rsidR="007B34B2" w:rsidRPr="00C17D08" w:rsidRDefault="007B34B2" w:rsidP="00557382">
            <w:pPr>
              <w:jc w:val="center"/>
              <w:rPr>
                <w:rFonts w:ascii="Arial" w:hAnsi="Arial" w:cs="Arial"/>
                <w:sz w:val="18"/>
                <w:szCs w:val="18"/>
              </w:rPr>
            </w:pPr>
          </w:p>
        </w:tc>
      </w:tr>
      <w:tr w:rsidR="009A3836" w:rsidRPr="00C17D08" w14:paraId="5C3A48EE" w14:textId="77777777" w:rsidTr="00557382">
        <w:trPr>
          <w:trHeight w:val="454"/>
          <w:jc w:val="center"/>
        </w:trPr>
        <w:tc>
          <w:tcPr>
            <w:tcW w:w="3261" w:type="dxa"/>
            <w:vAlign w:val="center"/>
          </w:tcPr>
          <w:p w14:paraId="4CB2E193" w14:textId="77777777" w:rsidR="009A3836" w:rsidRPr="00C17D08" w:rsidRDefault="009A3836" w:rsidP="009A3836">
            <w:pPr>
              <w:rPr>
                <w:rFonts w:ascii="Arial" w:hAnsi="Arial" w:cs="Arial"/>
                <w:sz w:val="18"/>
                <w:szCs w:val="18"/>
              </w:rPr>
            </w:pPr>
            <w:r>
              <w:rPr>
                <w:rFonts w:ascii="Arial" w:hAnsi="Arial" w:cs="Arial"/>
                <w:sz w:val="18"/>
                <w:szCs w:val="18"/>
              </w:rPr>
              <w:t>100 siguientes mayores clientes</w:t>
            </w:r>
          </w:p>
        </w:tc>
        <w:tc>
          <w:tcPr>
            <w:tcW w:w="1417" w:type="dxa"/>
            <w:vAlign w:val="center"/>
          </w:tcPr>
          <w:p w14:paraId="0584A30A" w14:textId="0E0251A3" w:rsidR="009A3836" w:rsidRPr="005E53F2" w:rsidRDefault="009A3836" w:rsidP="009A3836">
            <w:pPr>
              <w:jc w:val="right"/>
              <w:rPr>
                <w:rFonts w:ascii="Arial" w:hAnsi="Arial" w:cs="Arial"/>
                <w:sz w:val="18"/>
                <w:szCs w:val="18"/>
              </w:rPr>
            </w:pPr>
            <w:r>
              <w:rPr>
                <w:rFonts w:ascii="Arial" w:hAnsi="Arial" w:cs="Arial"/>
                <w:sz w:val="18"/>
                <w:szCs w:val="18"/>
              </w:rPr>
              <w:t xml:space="preserve">9.884.477 </w:t>
            </w:r>
          </w:p>
        </w:tc>
        <w:tc>
          <w:tcPr>
            <w:tcW w:w="1418" w:type="dxa"/>
            <w:vAlign w:val="center"/>
          </w:tcPr>
          <w:p w14:paraId="4C6F79EB" w14:textId="0A02903E" w:rsidR="009A3836" w:rsidRPr="005E53F2" w:rsidRDefault="009A3836" w:rsidP="009A3836">
            <w:pPr>
              <w:jc w:val="center"/>
              <w:rPr>
                <w:rFonts w:ascii="Arial" w:hAnsi="Arial" w:cs="Arial"/>
                <w:sz w:val="18"/>
                <w:szCs w:val="18"/>
              </w:rPr>
            </w:pPr>
            <w:r>
              <w:rPr>
                <w:rFonts w:ascii="Arial" w:hAnsi="Arial" w:cs="Arial"/>
                <w:sz w:val="18"/>
                <w:szCs w:val="18"/>
              </w:rPr>
              <w:t>10,54%</w:t>
            </w:r>
          </w:p>
        </w:tc>
        <w:tc>
          <w:tcPr>
            <w:tcW w:w="1276" w:type="dxa"/>
            <w:vAlign w:val="center"/>
          </w:tcPr>
          <w:p w14:paraId="6BA50A8E" w14:textId="2C5DB495" w:rsidR="009A3836" w:rsidRPr="005E53F2" w:rsidRDefault="009A3836" w:rsidP="009A3836">
            <w:pPr>
              <w:jc w:val="right"/>
              <w:rPr>
                <w:rFonts w:ascii="Arial" w:hAnsi="Arial" w:cs="Arial"/>
                <w:sz w:val="18"/>
                <w:szCs w:val="18"/>
              </w:rPr>
            </w:pPr>
            <w:r>
              <w:rPr>
                <w:rFonts w:ascii="Arial" w:hAnsi="Arial" w:cs="Arial"/>
                <w:sz w:val="18"/>
                <w:szCs w:val="18"/>
              </w:rPr>
              <w:t xml:space="preserve">9.977.848 </w:t>
            </w:r>
          </w:p>
        </w:tc>
        <w:tc>
          <w:tcPr>
            <w:tcW w:w="1417" w:type="dxa"/>
            <w:vAlign w:val="center"/>
          </w:tcPr>
          <w:p w14:paraId="3592CFCA" w14:textId="21E58036" w:rsidR="009A3836" w:rsidRPr="005E53F2" w:rsidRDefault="009A3836" w:rsidP="009A3836">
            <w:pPr>
              <w:jc w:val="center"/>
              <w:rPr>
                <w:rFonts w:ascii="Arial" w:hAnsi="Arial" w:cs="Arial"/>
                <w:sz w:val="18"/>
                <w:szCs w:val="18"/>
              </w:rPr>
            </w:pPr>
            <w:r>
              <w:rPr>
                <w:rFonts w:ascii="Arial" w:hAnsi="Arial" w:cs="Arial"/>
                <w:sz w:val="18"/>
                <w:szCs w:val="18"/>
              </w:rPr>
              <w:t>10,21%</w:t>
            </w:r>
          </w:p>
        </w:tc>
      </w:tr>
      <w:tr w:rsidR="007B34B2" w:rsidRPr="00C17D08" w14:paraId="15E34CAA" w14:textId="77777777" w:rsidTr="00557382">
        <w:trPr>
          <w:trHeight w:val="253"/>
          <w:jc w:val="center"/>
        </w:trPr>
        <w:tc>
          <w:tcPr>
            <w:tcW w:w="3261" w:type="dxa"/>
            <w:vAlign w:val="center"/>
          </w:tcPr>
          <w:p w14:paraId="430CB66A" w14:textId="77777777" w:rsidR="007B34B2" w:rsidRPr="00C17D08" w:rsidRDefault="007B34B2" w:rsidP="00557382">
            <w:pPr>
              <w:rPr>
                <w:rFonts w:ascii="Arial" w:hAnsi="Arial" w:cs="Arial"/>
                <w:sz w:val="18"/>
                <w:szCs w:val="18"/>
              </w:rPr>
            </w:pPr>
          </w:p>
        </w:tc>
        <w:tc>
          <w:tcPr>
            <w:tcW w:w="1417" w:type="dxa"/>
            <w:vAlign w:val="center"/>
          </w:tcPr>
          <w:p w14:paraId="59BEE62F" w14:textId="77777777" w:rsidR="007B34B2" w:rsidRPr="00C17D08" w:rsidRDefault="007B34B2" w:rsidP="00557382">
            <w:pPr>
              <w:jc w:val="right"/>
              <w:rPr>
                <w:rFonts w:ascii="Arial" w:hAnsi="Arial" w:cs="Arial"/>
                <w:sz w:val="18"/>
                <w:szCs w:val="18"/>
              </w:rPr>
            </w:pPr>
          </w:p>
        </w:tc>
        <w:tc>
          <w:tcPr>
            <w:tcW w:w="1418" w:type="dxa"/>
            <w:vAlign w:val="center"/>
          </w:tcPr>
          <w:p w14:paraId="0B918593" w14:textId="77777777" w:rsidR="007B34B2" w:rsidRPr="00C17D08" w:rsidRDefault="007B34B2" w:rsidP="00557382">
            <w:pPr>
              <w:jc w:val="center"/>
              <w:rPr>
                <w:rFonts w:ascii="Arial" w:hAnsi="Arial" w:cs="Arial"/>
                <w:sz w:val="18"/>
                <w:szCs w:val="18"/>
              </w:rPr>
            </w:pPr>
          </w:p>
        </w:tc>
        <w:tc>
          <w:tcPr>
            <w:tcW w:w="1276" w:type="dxa"/>
            <w:vAlign w:val="center"/>
          </w:tcPr>
          <w:p w14:paraId="68BE0C7A" w14:textId="77777777" w:rsidR="007B34B2" w:rsidRPr="00C17D08" w:rsidRDefault="007B34B2" w:rsidP="00557382">
            <w:pPr>
              <w:jc w:val="right"/>
              <w:rPr>
                <w:rFonts w:ascii="Arial" w:hAnsi="Arial" w:cs="Arial"/>
                <w:sz w:val="18"/>
                <w:szCs w:val="18"/>
              </w:rPr>
            </w:pPr>
          </w:p>
        </w:tc>
        <w:tc>
          <w:tcPr>
            <w:tcW w:w="1417" w:type="dxa"/>
            <w:vAlign w:val="center"/>
          </w:tcPr>
          <w:p w14:paraId="5DF18760" w14:textId="77777777" w:rsidR="007B34B2" w:rsidRPr="00C17D08" w:rsidRDefault="007B34B2" w:rsidP="00557382">
            <w:pPr>
              <w:jc w:val="center"/>
              <w:rPr>
                <w:rFonts w:ascii="Arial" w:hAnsi="Arial" w:cs="Arial"/>
                <w:sz w:val="18"/>
                <w:szCs w:val="18"/>
              </w:rPr>
            </w:pPr>
          </w:p>
        </w:tc>
      </w:tr>
      <w:tr w:rsidR="009A3836" w:rsidRPr="00C17D08" w14:paraId="4AB6434F" w14:textId="77777777" w:rsidTr="00557382">
        <w:trPr>
          <w:trHeight w:val="454"/>
          <w:jc w:val="center"/>
        </w:trPr>
        <w:tc>
          <w:tcPr>
            <w:tcW w:w="3261" w:type="dxa"/>
            <w:vAlign w:val="center"/>
          </w:tcPr>
          <w:p w14:paraId="4C00C09E" w14:textId="77777777" w:rsidR="009A3836" w:rsidRPr="00C17D08" w:rsidRDefault="009A3836" w:rsidP="009A3836">
            <w:pPr>
              <w:rPr>
                <w:rFonts w:ascii="Arial" w:hAnsi="Arial" w:cs="Arial"/>
                <w:sz w:val="18"/>
                <w:szCs w:val="18"/>
              </w:rPr>
            </w:pPr>
            <w:r>
              <w:rPr>
                <w:rFonts w:ascii="Arial" w:hAnsi="Arial" w:cs="Arial"/>
                <w:sz w:val="18"/>
                <w:szCs w:val="18"/>
              </w:rPr>
              <w:t>Resto de clientes</w:t>
            </w:r>
          </w:p>
        </w:tc>
        <w:tc>
          <w:tcPr>
            <w:tcW w:w="1417" w:type="dxa"/>
            <w:vAlign w:val="center"/>
          </w:tcPr>
          <w:p w14:paraId="53EA4357" w14:textId="758049E1" w:rsidR="009A3836" w:rsidRPr="005E53F2" w:rsidRDefault="009A3836" w:rsidP="009A3836">
            <w:pPr>
              <w:jc w:val="right"/>
              <w:rPr>
                <w:rFonts w:ascii="Arial" w:hAnsi="Arial" w:cs="Arial"/>
                <w:sz w:val="18"/>
                <w:szCs w:val="18"/>
              </w:rPr>
            </w:pPr>
            <w:r>
              <w:rPr>
                <w:rFonts w:ascii="Arial" w:hAnsi="Arial" w:cs="Arial"/>
                <w:sz w:val="18"/>
                <w:szCs w:val="18"/>
              </w:rPr>
              <w:t xml:space="preserve">50.364.175 </w:t>
            </w:r>
          </w:p>
        </w:tc>
        <w:tc>
          <w:tcPr>
            <w:tcW w:w="1418" w:type="dxa"/>
            <w:vAlign w:val="center"/>
          </w:tcPr>
          <w:p w14:paraId="5D26478E" w14:textId="559F32C0" w:rsidR="009A3836" w:rsidRPr="005E53F2" w:rsidRDefault="009A3836" w:rsidP="009A3836">
            <w:pPr>
              <w:jc w:val="center"/>
              <w:rPr>
                <w:rFonts w:ascii="Arial" w:hAnsi="Arial" w:cs="Arial"/>
                <w:sz w:val="18"/>
                <w:szCs w:val="18"/>
              </w:rPr>
            </w:pPr>
            <w:r>
              <w:rPr>
                <w:rFonts w:ascii="Arial" w:hAnsi="Arial" w:cs="Arial"/>
                <w:sz w:val="18"/>
                <w:szCs w:val="18"/>
              </w:rPr>
              <w:t>53,73%</w:t>
            </w:r>
          </w:p>
        </w:tc>
        <w:tc>
          <w:tcPr>
            <w:tcW w:w="1276" w:type="dxa"/>
            <w:vAlign w:val="center"/>
          </w:tcPr>
          <w:p w14:paraId="20940275" w14:textId="6A61F323" w:rsidR="009A3836" w:rsidRPr="005E53F2" w:rsidRDefault="009A3836" w:rsidP="00733C86">
            <w:pPr>
              <w:jc w:val="right"/>
              <w:rPr>
                <w:rFonts w:ascii="Arial" w:hAnsi="Arial" w:cs="Arial"/>
                <w:sz w:val="18"/>
                <w:szCs w:val="18"/>
              </w:rPr>
            </w:pPr>
            <w:r>
              <w:rPr>
                <w:rFonts w:ascii="Arial" w:hAnsi="Arial" w:cs="Arial"/>
                <w:sz w:val="18"/>
                <w:szCs w:val="18"/>
              </w:rPr>
              <w:t>55.337.25</w:t>
            </w:r>
            <w:r w:rsidR="00733C86">
              <w:rPr>
                <w:rFonts w:ascii="Arial" w:hAnsi="Arial" w:cs="Arial"/>
                <w:sz w:val="18"/>
                <w:szCs w:val="18"/>
              </w:rPr>
              <w:t>2</w:t>
            </w:r>
            <w:r>
              <w:rPr>
                <w:rFonts w:ascii="Arial" w:hAnsi="Arial" w:cs="Arial"/>
                <w:sz w:val="18"/>
                <w:szCs w:val="18"/>
              </w:rPr>
              <w:t xml:space="preserve"> </w:t>
            </w:r>
          </w:p>
        </w:tc>
        <w:tc>
          <w:tcPr>
            <w:tcW w:w="1417" w:type="dxa"/>
            <w:vAlign w:val="center"/>
          </w:tcPr>
          <w:p w14:paraId="692EFD3F" w14:textId="3E8DB5DE" w:rsidR="009A3836" w:rsidRPr="005E53F2" w:rsidRDefault="009A3836" w:rsidP="009A3836">
            <w:pPr>
              <w:jc w:val="center"/>
              <w:rPr>
                <w:rFonts w:ascii="Arial" w:hAnsi="Arial" w:cs="Arial"/>
                <w:sz w:val="18"/>
                <w:szCs w:val="18"/>
              </w:rPr>
            </w:pPr>
            <w:r>
              <w:rPr>
                <w:rFonts w:ascii="Arial" w:hAnsi="Arial" w:cs="Arial"/>
                <w:sz w:val="18"/>
                <w:szCs w:val="18"/>
              </w:rPr>
              <w:t>56,66%</w:t>
            </w:r>
          </w:p>
        </w:tc>
      </w:tr>
      <w:tr w:rsidR="009A3836" w:rsidRPr="0014647F" w14:paraId="1A23558A" w14:textId="77777777" w:rsidTr="00557382">
        <w:trPr>
          <w:trHeight w:val="340"/>
          <w:jc w:val="center"/>
        </w:trPr>
        <w:tc>
          <w:tcPr>
            <w:tcW w:w="3261" w:type="dxa"/>
            <w:tcBorders>
              <w:top w:val="single" w:sz="4" w:space="0" w:color="auto"/>
              <w:bottom w:val="single" w:sz="4" w:space="0" w:color="auto"/>
            </w:tcBorders>
            <w:vAlign w:val="center"/>
          </w:tcPr>
          <w:p w14:paraId="4D411D58" w14:textId="77777777" w:rsidR="009A3836" w:rsidRPr="0014647F" w:rsidRDefault="009A3836" w:rsidP="009A3836">
            <w:pP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center"/>
          </w:tcPr>
          <w:p w14:paraId="560F852B" w14:textId="6586C5C5" w:rsidR="009A3836" w:rsidRPr="005E53F2" w:rsidRDefault="009A3836" w:rsidP="009A3836">
            <w:pPr>
              <w:jc w:val="right"/>
              <w:rPr>
                <w:rFonts w:ascii="Arial" w:hAnsi="Arial" w:cs="Arial"/>
                <w:b/>
                <w:sz w:val="18"/>
                <w:szCs w:val="18"/>
              </w:rPr>
            </w:pPr>
            <w:r>
              <w:rPr>
                <w:rFonts w:ascii="Arial" w:hAnsi="Arial" w:cs="Arial"/>
                <w:b/>
                <w:bCs/>
                <w:sz w:val="18"/>
                <w:szCs w:val="18"/>
              </w:rPr>
              <w:t xml:space="preserve">93.736.408 </w:t>
            </w:r>
          </w:p>
        </w:tc>
        <w:tc>
          <w:tcPr>
            <w:tcW w:w="1418" w:type="dxa"/>
            <w:tcBorders>
              <w:top w:val="single" w:sz="4" w:space="0" w:color="auto"/>
              <w:bottom w:val="single" w:sz="4" w:space="0" w:color="auto"/>
            </w:tcBorders>
            <w:vAlign w:val="center"/>
          </w:tcPr>
          <w:p w14:paraId="2C74B869" w14:textId="7E5E1065" w:rsidR="009A3836" w:rsidRPr="005E53F2" w:rsidRDefault="009A3836" w:rsidP="009A3836">
            <w:pPr>
              <w:jc w:val="center"/>
              <w:rPr>
                <w:rFonts w:ascii="Arial" w:hAnsi="Arial" w:cs="Arial"/>
                <w:b/>
                <w:sz w:val="18"/>
                <w:szCs w:val="18"/>
              </w:rPr>
            </w:pPr>
            <w:r>
              <w:rPr>
                <w:rFonts w:ascii="Arial" w:hAnsi="Arial" w:cs="Arial"/>
                <w:b/>
                <w:bCs/>
                <w:sz w:val="18"/>
                <w:szCs w:val="18"/>
              </w:rPr>
              <w:t>100,00%</w:t>
            </w:r>
          </w:p>
        </w:tc>
        <w:tc>
          <w:tcPr>
            <w:tcW w:w="1276" w:type="dxa"/>
            <w:tcBorders>
              <w:top w:val="single" w:sz="4" w:space="0" w:color="auto"/>
              <w:bottom w:val="single" w:sz="4" w:space="0" w:color="auto"/>
            </w:tcBorders>
            <w:vAlign w:val="center"/>
          </w:tcPr>
          <w:p w14:paraId="14D35C4E" w14:textId="4514F670" w:rsidR="009A3836" w:rsidRPr="005E53F2" w:rsidRDefault="009A3836" w:rsidP="00733C86">
            <w:pPr>
              <w:jc w:val="right"/>
              <w:rPr>
                <w:rFonts w:ascii="Arial" w:hAnsi="Arial" w:cs="Arial"/>
                <w:b/>
                <w:sz w:val="18"/>
                <w:szCs w:val="18"/>
              </w:rPr>
            </w:pPr>
            <w:r>
              <w:rPr>
                <w:rFonts w:ascii="Arial" w:hAnsi="Arial" w:cs="Arial"/>
                <w:b/>
                <w:bCs/>
                <w:sz w:val="18"/>
                <w:szCs w:val="18"/>
              </w:rPr>
              <w:t>97.681.28</w:t>
            </w:r>
            <w:r w:rsidR="00733C86">
              <w:rPr>
                <w:rFonts w:ascii="Arial" w:hAnsi="Arial" w:cs="Arial"/>
                <w:b/>
                <w:bCs/>
                <w:sz w:val="18"/>
                <w:szCs w:val="18"/>
              </w:rPr>
              <w:t>5</w:t>
            </w:r>
            <w:r>
              <w:rPr>
                <w:rFonts w:ascii="Arial" w:hAnsi="Arial" w:cs="Arial"/>
                <w:b/>
                <w:bCs/>
                <w:sz w:val="18"/>
                <w:szCs w:val="18"/>
              </w:rPr>
              <w:t xml:space="preserve"> </w:t>
            </w:r>
          </w:p>
        </w:tc>
        <w:tc>
          <w:tcPr>
            <w:tcW w:w="1417" w:type="dxa"/>
            <w:tcBorders>
              <w:top w:val="single" w:sz="4" w:space="0" w:color="auto"/>
              <w:bottom w:val="single" w:sz="4" w:space="0" w:color="auto"/>
            </w:tcBorders>
            <w:vAlign w:val="center"/>
          </w:tcPr>
          <w:p w14:paraId="0B88CCBE" w14:textId="5E006CC2" w:rsidR="009A3836" w:rsidRPr="005E53F2" w:rsidRDefault="009A3836" w:rsidP="009A3836">
            <w:pPr>
              <w:jc w:val="center"/>
              <w:rPr>
                <w:rFonts w:ascii="Arial" w:hAnsi="Arial" w:cs="Arial"/>
                <w:b/>
                <w:sz w:val="18"/>
                <w:szCs w:val="18"/>
              </w:rPr>
            </w:pPr>
            <w:r>
              <w:rPr>
                <w:rFonts w:ascii="Arial" w:hAnsi="Arial" w:cs="Arial"/>
                <w:b/>
                <w:bCs/>
                <w:sz w:val="18"/>
                <w:szCs w:val="18"/>
              </w:rPr>
              <w:t>100,00%</w:t>
            </w:r>
          </w:p>
        </w:tc>
      </w:tr>
    </w:tbl>
    <w:p w14:paraId="1B65B610" w14:textId="4DD38497" w:rsidR="007C794F" w:rsidRPr="00701F32" w:rsidRDefault="007C794F" w:rsidP="008962C9"/>
    <w:p w14:paraId="28064A9F" w14:textId="77777777" w:rsidR="00425F99" w:rsidRPr="00701F32" w:rsidRDefault="00425F99" w:rsidP="008962C9">
      <w:pPr>
        <w:rPr>
          <w:lang w:val="en-US"/>
        </w:rPr>
      </w:pPr>
    </w:p>
    <w:p w14:paraId="14698231" w14:textId="77777777" w:rsidR="00425F99" w:rsidRPr="00701F32" w:rsidRDefault="00425F99" w:rsidP="008962C9">
      <w:pPr>
        <w:rPr>
          <w:lang w:val="en-US"/>
        </w:rPr>
      </w:pPr>
    </w:p>
    <w:p w14:paraId="2EB44FC5" w14:textId="77777777" w:rsidR="00425F99" w:rsidRPr="00701F32" w:rsidRDefault="00425F99" w:rsidP="008962C9">
      <w:pPr>
        <w:rPr>
          <w:lang w:val="en-US"/>
        </w:rPr>
        <w:sectPr w:rsidR="00425F99" w:rsidRPr="00701F32" w:rsidSect="007045C3">
          <w:headerReference w:type="default" r:id="rId42"/>
          <w:pgSz w:w="11907" w:h="16839" w:code="9"/>
          <w:pgMar w:top="1418" w:right="1701" w:bottom="1418" w:left="1701" w:header="567" w:footer="0" w:gutter="0"/>
          <w:paperSrc w:first="256" w:other="256"/>
          <w:cols w:space="720"/>
          <w:docGrid w:linePitch="326"/>
        </w:sectPr>
      </w:pPr>
    </w:p>
    <w:p w14:paraId="5664F45C" w14:textId="178CF906" w:rsidR="007C794F" w:rsidRPr="00701F32" w:rsidRDefault="007C794F" w:rsidP="008962C9">
      <w:pPr>
        <w:rPr>
          <w:lang w:val="en-US"/>
        </w:rPr>
      </w:pPr>
    </w:p>
    <w:tbl>
      <w:tblPr>
        <w:tblStyle w:val="TableGrid"/>
        <w:tblW w:w="10059" w:type="dxa"/>
        <w:tblInd w:w="-365" w:type="dxa"/>
        <w:tblLook w:val="04A0" w:firstRow="1" w:lastRow="0" w:firstColumn="1" w:lastColumn="0" w:noHBand="0" w:noVBand="1"/>
      </w:tblPr>
      <w:tblGrid>
        <w:gridCol w:w="1859"/>
        <w:gridCol w:w="995"/>
        <w:gridCol w:w="1176"/>
        <w:gridCol w:w="996"/>
        <w:gridCol w:w="945"/>
        <w:gridCol w:w="945"/>
        <w:gridCol w:w="945"/>
        <w:gridCol w:w="1022"/>
        <w:gridCol w:w="1176"/>
      </w:tblGrid>
      <w:tr w:rsidR="00181D23" w:rsidRPr="003D2CC1" w14:paraId="4AD6C937" w14:textId="77777777" w:rsidTr="00CE53C0">
        <w:trPr>
          <w:trHeight w:val="190"/>
        </w:trPr>
        <w:tc>
          <w:tcPr>
            <w:tcW w:w="185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65B7C4"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Concepto</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47AEA6"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Cartera Vencida</w:t>
            </w:r>
          </w:p>
        </w:tc>
        <w:tc>
          <w:tcPr>
            <w:tcW w:w="602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03E4FB"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Plazos que restan para su vencimiento</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744063"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Total</w:t>
            </w:r>
          </w:p>
        </w:tc>
      </w:tr>
      <w:tr w:rsidR="00110D6B" w:rsidRPr="003D2CC1" w14:paraId="74B7A03A" w14:textId="77777777" w:rsidTr="00CE53C0">
        <w:trPr>
          <w:trHeight w:val="631"/>
        </w:trPr>
        <w:tc>
          <w:tcPr>
            <w:tcW w:w="1859" w:type="dxa"/>
            <w:vMerge/>
            <w:tcBorders>
              <w:top w:val="single" w:sz="4" w:space="0" w:color="auto"/>
              <w:bottom w:val="single" w:sz="4" w:space="0" w:color="auto"/>
            </w:tcBorders>
            <w:vAlign w:val="center"/>
          </w:tcPr>
          <w:p w14:paraId="2CF2261D" w14:textId="77777777" w:rsidR="007B34B2" w:rsidRPr="003D2CC1" w:rsidRDefault="007B34B2" w:rsidP="00BE5A48">
            <w:pPr>
              <w:jc w:val="center"/>
              <w:rPr>
                <w:rFonts w:ascii="Arial" w:hAnsi="Arial" w:cs="Arial"/>
                <w:b/>
                <w:sz w:val="14"/>
                <w:szCs w:val="14"/>
                <w:lang w:eastAsia="es-AR"/>
              </w:rPr>
            </w:pPr>
          </w:p>
        </w:tc>
        <w:tc>
          <w:tcPr>
            <w:tcW w:w="995" w:type="dxa"/>
            <w:vMerge/>
            <w:tcBorders>
              <w:top w:val="single" w:sz="4" w:space="0" w:color="auto"/>
              <w:bottom w:val="single" w:sz="4" w:space="0" w:color="auto"/>
            </w:tcBorders>
            <w:vAlign w:val="center"/>
          </w:tcPr>
          <w:p w14:paraId="60ACE5EC" w14:textId="77777777" w:rsidR="007B34B2" w:rsidRPr="003D2CC1" w:rsidRDefault="007B34B2" w:rsidP="00BE5A48">
            <w:pPr>
              <w:jc w:val="center"/>
              <w:rPr>
                <w:rFonts w:ascii="Arial" w:hAnsi="Arial" w:cs="Arial"/>
                <w:b/>
                <w:sz w:val="14"/>
                <w:szCs w:val="14"/>
                <w:lang w:eastAsia="es-AR"/>
              </w:rPr>
            </w:pPr>
          </w:p>
        </w:tc>
        <w:tc>
          <w:tcPr>
            <w:tcW w:w="1176" w:type="dxa"/>
            <w:tcBorders>
              <w:top w:val="single" w:sz="4" w:space="0" w:color="auto"/>
              <w:bottom w:val="single" w:sz="4" w:space="0" w:color="auto"/>
            </w:tcBorders>
            <w:shd w:val="clear" w:color="auto" w:fill="BFBFBF" w:themeFill="background1" w:themeFillShade="BF"/>
            <w:vAlign w:val="center"/>
          </w:tcPr>
          <w:p w14:paraId="63FD8232"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1</w:t>
            </w:r>
          </w:p>
          <w:p w14:paraId="0F78B4D9"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 xml:space="preserve"> mes</w:t>
            </w:r>
          </w:p>
        </w:tc>
        <w:tc>
          <w:tcPr>
            <w:tcW w:w="996" w:type="dxa"/>
            <w:tcBorders>
              <w:top w:val="single" w:sz="4" w:space="0" w:color="auto"/>
              <w:bottom w:val="single" w:sz="4" w:space="0" w:color="auto"/>
            </w:tcBorders>
            <w:shd w:val="clear" w:color="auto" w:fill="BFBFBF" w:themeFill="background1" w:themeFillShade="BF"/>
            <w:vAlign w:val="center"/>
          </w:tcPr>
          <w:p w14:paraId="24BEA5E7" w14:textId="77777777" w:rsidR="007B34B2" w:rsidRPr="003D2CC1" w:rsidRDefault="007B34B2" w:rsidP="00BE5A48">
            <w:pPr>
              <w:ind w:right="-210"/>
              <w:rPr>
                <w:rFonts w:ascii="Arial" w:hAnsi="Arial" w:cs="Arial"/>
                <w:b/>
                <w:sz w:val="14"/>
                <w:szCs w:val="14"/>
                <w:lang w:eastAsia="es-AR"/>
              </w:rPr>
            </w:pPr>
            <w:r w:rsidRPr="003D2CC1">
              <w:rPr>
                <w:rFonts w:ascii="Arial" w:hAnsi="Arial" w:cs="Arial"/>
                <w:b/>
                <w:sz w:val="14"/>
                <w:szCs w:val="14"/>
                <w:lang w:eastAsia="es-AR"/>
              </w:rPr>
              <w:t xml:space="preserve">     3</w:t>
            </w:r>
          </w:p>
          <w:p w14:paraId="40EF43D1" w14:textId="77777777" w:rsidR="007B34B2" w:rsidRPr="003D2CC1" w:rsidRDefault="007B34B2" w:rsidP="00BE5A48">
            <w:pPr>
              <w:ind w:right="-210"/>
              <w:rPr>
                <w:rFonts w:ascii="Arial" w:hAnsi="Arial" w:cs="Arial"/>
                <w:b/>
                <w:sz w:val="14"/>
                <w:szCs w:val="14"/>
                <w:lang w:eastAsia="es-AR"/>
              </w:rPr>
            </w:pPr>
            <w:r w:rsidRPr="003D2CC1">
              <w:rPr>
                <w:rFonts w:ascii="Arial" w:hAnsi="Arial" w:cs="Arial"/>
                <w:b/>
                <w:sz w:val="14"/>
                <w:szCs w:val="14"/>
                <w:lang w:eastAsia="es-AR"/>
              </w:rPr>
              <w:t xml:space="preserve"> meses</w:t>
            </w:r>
          </w:p>
        </w:tc>
        <w:tc>
          <w:tcPr>
            <w:tcW w:w="945" w:type="dxa"/>
            <w:tcBorders>
              <w:top w:val="single" w:sz="4" w:space="0" w:color="auto"/>
              <w:bottom w:val="single" w:sz="4" w:space="0" w:color="auto"/>
            </w:tcBorders>
            <w:shd w:val="clear" w:color="auto" w:fill="BFBFBF" w:themeFill="background1" w:themeFillShade="BF"/>
            <w:vAlign w:val="center"/>
          </w:tcPr>
          <w:p w14:paraId="36098BE8"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 xml:space="preserve">6 </w:t>
            </w:r>
          </w:p>
          <w:p w14:paraId="27491B19"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meses</w:t>
            </w:r>
          </w:p>
        </w:tc>
        <w:tc>
          <w:tcPr>
            <w:tcW w:w="945" w:type="dxa"/>
            <w:tcBorders>
              <w:top w:val="single" w:sz="4" w:space="0" w:color="auto"/>
              <w:bottom w:val="single" w:sz="4" w:space="0" w:color="auto"/>
            </w:tcBorders>
            <w:shd w:val="clear" w:color="auto" w:fill="BFBFBF" w:themeFill="background1" w:themeFillShade="BF"/>
            <w:vAlign w:val="center"/>
          </w:tcPr>
          <w:p w14:paraId="3AA1636D"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12 meses</w:t>
            </w:r>
          </w:p>
        </w:tc>
        <w:tc>
          <w:tcPr>
            <w:tcW w:w="945" w:type="dxa"/>
            <w:tcBorders>
              <w:top w:val="single" w:sz="4" w:space="0" w:color="auto"/>
              <w:bottom w:val="single" w:sz="4" w:space="0" w:color="auto"/>
            </w:tcBorders>
            <w:shd w:val="clear" w:color="auto" w:fill="BFBFBF" w:themeFill="background1" w:themeFillShade="BF"/>
            <w:vAlign w:val="center"/>
          </w:tcPr>
          <w:p w14:paraId="5C70222A"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24 meses</w:t>
            </w:r>
          </w:p>
        </w:tc>
        <w:tc>
          <w:tcPr>
            <w:tcW w:w="1022" w:type="dxa"/>
            <w:tcBorders>
              <w:top w:val="single" w:sz="4" w:space="0" w:color="auto"/>
              <w:bottom w:val="single" w:sz="4" w:space="0" w:color="auto"/>
            </w:tcBorders>
            <w:shd w:val="clear" w:color="auto" w:fill="BFBFBF" w:themeFill="background1" w:themeFillShade="BF"/>
            <w:vAlign w:val="center"/>
          </w:tcPr>
          <w:p w14:paraId="54DB8FBB"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Mas de 24 meses</w:t>
            </w:r>
          </w:p>
        </w:tc>
        <w:tc>
          <w:tcPr>
            <w:tcW w:w="1176" w:type="dxa"/>
            <w:vMerge/>
            <w:tcBorders>
              <w:top w:val="single" w:sz="4" w:space="0" w:color="auto"/>
              <w:bottom w:val="single" w:sz="4" w:space="0" w:color="auto"/>
            </w:tcBorders>
          </w:tcPr>
          <w:p w14:paraId="0625D70C" w14:textId="77777777" w:rsidR="007B34B2" w:rsidRPr="003D2CC1" w:rsidRDefault="007B34B2" w:rsidP="00BE5A48">
            <w:pPr>
              <w:jc w:val="center"/>
              <w:rPr>
                <w:rFonts w:ascii="Arial" w:hAnsi="Arial" w:cs="Arial"/>
                <w:b/>
                <w:sz w:val="14"/>
                <w:szCs w:val="14"/>
                <w:lang w:eastAsia="es-AR"/>
              </w:rPr>
            </w:pPr>
          </w:p>
        </w:tc>
      </w:tr>
      <w:tr w:rsidR="00110D6B" w:rsidRPr="003D2CC1" w14:paraId="2428A285" w14:textId="77777777" w:rsidTr="0023020F">
        <w:trPr>
          <w:trHeight w:val="151"/>
        </w:trPr>
        <w:tc>
          <w:tcPr>
            <w:tcW w:w="1859" w:type="dxa"/>
            <w:tcBorders>
              <w:top w:val="single" w:sz="4" w:space="0" w:color="auto"/>
              <w:left w:val="nil"/>
              <w:bottom w:val="nil"/>
              <w:right w:val="nil"/>
            </w:tcBorders>
          </w:tcPr>
          <w:p w14:paraId="438ACC1A" w14:textId="77777777" w:rsidR="007B34B2" w:rsidRPr="003D2CC1" w:rsidRDefault="007B34B2" w:rsidP="00BE5A48">
            <w:pPr>
              <w:rPr>
                <w:rFonts w:ascii="Arial" w:hAnsi="Arial" w:cs="Arial"/>
                <w:sz w:val="14"/>
                <w:szCs w:val="14"/>
                <w:lang w:eastAsia="es-AR"/>
              </w:rPr>
            </w:pPr>
          </w:p>
        </w:tc>
        <w:tc>
          <w:tcPr>
            <w:tcW w:w="995" w:type="dxa"/>
            <w:tcBorders>
              <w:top w:val="single" w:sz="4" w:space="0" w:color="auto"/>
              <w:left w:val="nil"/>
              <w:bottom w:val="nil"/>
              <w:right w:val="nil"/>
            </w:tcBorders>
          </w:tcPr>
          <w:p w14:paraId="3EC4E52D" w14:textId="77777777" w:rsidR="007B34B2" w:rsidRPr="003D2CC1" w:rsidRDefault="007B34B2" w:rsidP="00BE5A48">
            <w:pPr>
              <w:rPr>
                <w:rFonts w:ascii="Arial" w:hAnsi="Arial" w:cs="Arial"/>
                <w:sz w:val="14"/>
                <w:szCs w:val="14"/>
                <w:lang w:eastAsia="es-AR"/>
              </w:rPr>
            </w:pPr>
          </w:p>
        </w:tc>
        <w:tc>
          <w:tcPr>
            <w:tcW w:w="1176" w:type="dxa"/>
            <w:tcBorders>
              <w:top w:val="single" w:sz="4" w:space="0" w:color="auto"/>
              <w:left w:val="nil"/>
              <w:bottom w:val="nil"/>
              <w:right w:val="nil"/>
            </w:tcBorders>
          </w:tcPr>
          <w:p w14:paraId="2298C01F" w14:textId="77777777" w:rsidR="007B34B2" w:rsidRPr="003D2CC1" w:rsidRDefault="007B34B2" w:rsidP="00BE5A48">
            <w:pPr>
              <w:rPr>
                <w:rFonts w:ascii="Arial" w:hAnsi="Arial" w:cs="Arial"/>
                <w:sz w:val="14"/>
                <w:szCs w:val="14"/>
                <w:lang w:eastAsia="es-AR"/>
              </w:rPr>
            </w:pPr>
          </w:p>
        </w:tc>
        <w:tc>
          <w:tcPr>
            <w:tcW w:w="996" w:type="dxa"/>
            <w:tcBorders>
              <w:top w:val="single" w:sz="4" w:space="0" w:color="auto"/>
              <w:left w:val="nil"/>
              <w:bottom w:val="nil"/>
              <w:right w:val="nil"/>
            </w:tcBorders>
          </w:tcPr>
          <w:p w14:paraId="590F37C2" w14:textId="77777777" w:rsidR="007B34B2" w:rsidRPr="003D2CC1" w:rsidRDefault="007B34B2" w:rsidP="00BE5A48">
            <w:pPr>
              <w:rPr>
                <w:rFonts w:ascii="Arial" w:hAnsi="Arial" w:cs="Arial"/>
                <w:sz w:val="14"/>
                <w:szCs w:val="14"/>
                <w:lang w:eastAsia="es-AR"/>
              </w:rPr>
            </w:pPr>
          </w:p>
        </w:tc>
        <w:tc>
          <w:tcPr>
            <w:tcW w:w="945" w:type="dxa"/>
            <w:tcBorders>
              <w:top w:val="single" w:sz="4" w:space="0" w:color="auto"/>
              <w:left w:val="nil"/>
              <w:bottom w:val="nil"/>
              <w:right w:val="nil"/>
            </w:tcBorders>
          </w:tcPr>
          <w:p w14:paraId="37DAE6CB" w14:textId="77777777" w:rsidR="007B34B2" w:rsidRPr="003D2CC1" w:rsidRDefault="007B34B2" w:rsidP="00BE5A48">
            <w:pPr>
              <w:rPr>
                <w:rFonts w:ascii="Arial" w:hAnsi="Arial" w:cs="Arial"/>
                <w:sz w:val="14"/>
                <w:szCs w:val="14"/>
                <w:lang w:eastAsia="es-AR"/>
              </w:rPr>
            </w:pPr>
          </w:p>
        </w:tc>
        <w:tc>
          <w:tcPr>
            <w:tcW w:w="945" w:type="dxa"/>
            <w:tcBorders>
              <w:top w:val="single" w:sz="4" w:space="0" w:color="auto"/>
              <w:left w:val="nil"/>
              <w:bottom w:val="nil"/>
              <w:right w:val="nil"/>
            </w:tcBorders>
          </w:tcPr>
          <w:p w14:paraId="63D4C100" w14:textId="77777777" w:rsidR="007B34B2" w:rsidRPr="003D2CC1" w:rsidRDefault="007B34B2" w:rsidP="00BE5A48">
            <w:pPr>
              <w:rPr>
                <w:rFonts w:ascii="Arial" w:hAnsi="Arial" w:cs="Arial"/>
                <w:sz w:val="14"/>
                <w:szCs w:val="14"/>
                <w:lang w:eastAsia="es-AR"/>
              </w:rPr>
            </w:pPr>
          </w:p>
        </w:tc>
        <w:tc>
          <w:tcPr>
            <w:tcW w:w="945" w:type="dxa"/>
            <w:tcBorders>
              <w:top w:val="single" w:sz="4" w:space="0" w:color="auto"/>
              <w:left w:val="nil"/>
              <w:bottom w:val="nil"/>
              <w:right w:val="nil"/>
            </w:tcBorders>
          </w:tcPr>
          <w:p w14:paraId="73FD133C" w14:textId="77777777" w:rsidR="007B34B2" w:rsidRPr="003D2CC1" w:rsidRDefault="007B34B2" w:rsidP="00BE5A48">
            <w:pPr>
              <w:rPr>
                <w:rFonts w:ascii="Arial" w:hAnsi="Arial" w:cs="Arial"/>
                <w:sz w:val="14"/>
                <w:szCs w:val="14"/>
                <w:lang w:eastAsia="es-AR"/>
              </w:rPr>
            </w:pPr>
          </w:p>
        </w:tc>
        <w:tc>
          <w:tcPr>
            <w:tcW w:w="1022" w:type="dxa"/>
            <w:tcBorders>
              <w:top w:val="single" w:sz="4" w:space="0" w:color="auto"/>
              <w:left w:val="nil"/>
              <w:bottom w:val="nil"/>
              <w:right w:val="nil"/>
            </w:tcBorders>
          </w:tcPr>
          <w:p w14:paraId="4ED7D6C3" w14:textId="77777777" w:rsidR="007B34B2" w:rsidRPr="003D2CC1" w:rsidRDefault="007B34B2" w:rsidP="00BE5A48">
            <w:pPr>
              <w:rPr>
                <w:rFonts w:ascii="Arial" w:hAnsi="Arial" w:cs="Arial"/>
                <w:sz w:val="14"/>
                <w:szCs w:val="14"/>
                <w:lang w:eastAsia="es-AR"/>
              </w:rPr>
            </w:pPr>
          </w:p>
        </w:tc>
        <w:tc>
          <w:tcPr>
            <w:tcW w:w="1176" w:type="dxa"/>
            <w:tcBorders>
              <w:top w:val="single" w:sz="4" w:space="0" w:color="auto"/>
              <w:left w:val="nil"/>
              <w:bottom w:val="nil"/>
              <w:right w:val="nil"/>
            </w:tcBorders>
          </w:tcPr>
          <w:p w14:paraId="4956DB52" w14:textId="77777777" w:rsidR="007B34B2" w:rsidRPr="003D2CC1" w:rsidRDefault="007B34B2" w:rsidP="00BE5A48">
            <w:pPr>
              <w:rPr>
                <w:rFonts w:ascii="Arial" w:hAnsi="Arial" w:cs="Arial"/>
                <w:sz w:val="14"/>
                <w:szCs w:val="14"/>
                <w:lang w:eastAsia="es-AR"/>
              </w:rPr>
            </w:pPr>
          </w:p>
        </w:tc>
      </w:tr>
      <w:tr w:rsidR="00110D6B" w:rsidRPr="003D2CC1" w14:paraId="0F8388B9" w14:textId="77777777" w:rsidTr="0044006F">
        <w:trPr>
          <w:trHeight w:val="454"/>
        </w:trPr>
        <w:tc>
          <w:tcPr>
            <w:tcW w:w="1859" w:type="dxa"/>
            <w:tcBorders>
              <w:top w:val="nil"/>
              <w:left w:val="nil"/>
              <w:bottom w:val="nil"/>
              <w:right w:val="nil"/>
            </w:tcBorders>
            <w:vAlign w:val="bottom"/>
          </w:tcPr>
          <w:p w14:paraId="45EF97F7" w14:textId="77777777" w:rsidR="007B34B2" w:rsidRPr="00F21A41" w:rsidRDefault="007B34B2" w:rsidP="0044006F">
            <w:pPr>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Sector Público no financiero</w:t>
            </w:r>
          </w:p>
        </w:tc>
        <w:tc>
          <w:tcPr>
            <w:tcW w:w="995" w:type="dxa"/>
            <w:tcBorders>
              <w:top w:val="nil"/>
              <w:left w:val="nil"/>
              <w:bottom w:val="nil"/>
              <w:right w:val="nil"/>
            </w:tcBorders>
            <w:vAlign w:val="bottom"/>
          </w:tcPr>
          <w:p w14:paraId="13A5BBCB" w14:textId="0DDA48CD" w:rsidR="007B34B2" w:rsidRPr="00F21A41" w:rsidRDefault="0044006F" w:rsidP="0044006F">
            <w:pPr>
              <w:jc w:val="right"/>
              <w:rPr>
                <w:rFonts w:ascii="Arial" w:hAnsi="Arial" w:cs="Arial"/>
                <w:color w:val="000000" w:themeColor="text1"/>
                <w:sz w:val="14"/>
                <w:szCs w:val="14"/>
                <w:lang w:eastAsia="es-AR"/>
              </w:rPr>
            </w:pPr>
            <w:r>
              <w:rPr>
                <w:rFonts w:ascii="Arial" w:hAnsi="Arial" w:cs="Arial"/>
                <w:color w:val="000000" w:themeColor="text1"/>
                <w:sz w:val="14"/>
                <w:szCs w:val="14"/>
                <w:lang w:eastAsia="es-AR"/>
              </w:rPr>
              <w:t>-</w:t>
            </w:r>
          </w:p>
        </w:tc>
        <w:tc>
          <w:tcPr>
            <w:tcW w:w="1176" w:type="dxa"/>
            <w:tcBorders>
              <w:top w:val="nil"/>
              <w:left w:val="nil"/>
              <w:bottom w:val="nil"/>
              <w:right w:val="nil"/>
            </w:tcBorders>
            <w:vAlign w:val="bottom"/>
          </w:tcPr>
          <w:p w14:paraId="58222526" w14:textId="631A0865" w:rsidR="007B34B2" w:rsidRPr="00F21A41" w:rsidRDefault="00CD01A0"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39.578</w:t>
            </w:r>
          </w:p>
        </w:tc>
        <w:tc>
          <w:tcPr>
            <w:tcW w:w="996" w:type="dxa"/>
            <w:tcBorders>
              <w:top w:val="nil"/>
              <w:left w:val="nil"/>
              <w:bottom w:val="nil"/>
              <w:right w:val="nil"/>
            </w:tcBorders>
            <w:vAlign w:val="bottom"/>
          </w:tcPr>
          <w:p w14:paraId="30F80ACE" w14:textId="67326521" w:rsidR="007B34B2" w:rsidRPr="00F21A41" w:rsidRDefault="00CD01A0"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4.104</w:t>
            </w:r>
          </w:p>
        </w:tc>
        <w:tc>
          <w:tcPr>
            <w:tcW w:w="945" w:type="dxa"/>
            <w:tcBorders>
              <w:top w:val="nil"/>
              <w:left w:val="nil"/>
              <w:bottom w:val="nil"/>
              <w:right w:val="nil"/>
            </w:tcBorders>
            <w:vAlign w:val="bottom"/>
          </w:tcPr>
          <w:p w14:paraId="36C35F2C" w14:textId="4BA2FEA8" w:rsidR="007B34B2" w:rsidRPr="00F21A41" w:rsidRDefault="00CD01A0"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6.298</w:t>
            </w:r>
          </w:p>
        </w:tc>
        <w:tc>
          <w:tcPr>
            <w:tcW w:w="945" w:type="dxa"/>
            <w:tcBorders>
              <w:top w:val="nil"/>
              <w:left w:val="nil"/>
              <w:bottom w:val="nil"/>
              <w:right w:val="nil"/>
            </w:tcBorders>
            <w:vAlign w:val="bottom"/>
          </w:tcPr>
          <w:p w14:paraId="0026E8C4" w14:textId="49B34C52" w:rsidR="007B34B2" w:rsidRPr="00F21A41" w:rsidRDefault="00CD01A0"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13.347</w:t>
            </w:r>
          </w:p>
        </w:tc>
        <w:tc>
          <w:tcPr>
            <w:tcW w:w="945" w:type="dxa"/>
            <w:tcBorders>
              <w:top w:val="nil"/>
              <w:left w:val="nil"/>
              <w:bottom w:val="nil"/>
              <w:right w:val="nil"/>
            </w:tcBorders>
            <w:vAlign w:val="bottom"/>
          </w:tcPr>
          <w:p w14:paraId="6FBC4925" w14:textId="65C90815" w:rsidR="007B34B2" w:rsidRPr="00F21A41" w:rsidRDefault="00CD01A0"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30.156</w:t>
            </w:r>
          </w:p>
        </w:tc>
        <w:tc>
          <w:tcPr>
            <w:tcW w:w="1022" w:type="dxa"/>
            <w:tcBorders>
              <w:top w:val="nil"/>
              <w:left w:val="nil"/>
              <w:bottom w:val="nil"/>
              <w:right w:val="nil"/>
            </w:tcBorders>
            <w:vAlign w:val="bottom"/>
          </w:tcPr>
          <w:p w14:paraId="254EF526" w14:textId="38CF791A" w:rsidR="007B34B2" w:rsidRPr="00F21A41" w:rsidRDefault="00CD01A0"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14.439</w:t>
            </w:r>
          </w:p>
        </w:tc>
        <w:tc>
          <w:tcPr>
            <w:tcW w:w="1176" w:type="dxa"/>
            <w:tcBorders>
              <w:top w:val="nil"/>
              <w:left w:val="nil"/>
              <w:bottom w:val="nil"/>
              <w:right w:val="nil"/>
            </w:tcBorders>
            <w:vAlign w:val="bottom"/>
          </w:tcPr>
          <w:p w14:paraId="611F7976" w14:textId="2BD0C2D9" w:rsidR="007B34B2" w:rsidRPr="00F21A41" w:rsidRDefault="00CD01A0"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107.922</w:t>
            </w:r>
          </w:p>
        </w:tc>
      </w:tr>
      <w:tr w:rsidR="00CE53C0" w:rsidRPr="00CE53C0" w14:paraId="12D8C4FB" w14:textId="77777777" w:rsidTr="0044006F">
        <w:trPr>
          <w:trHeight w:val="454"/>
        </w:trPr>
        <w:tc>
          <w:tcPr>
            <w:tcW w:w="1859" w:type="dxa"/>
            <w:tcBorders>
              <w:top w:val="nil"/>
              <w:left w:val="nil"/>
              <w:bottom w:val="nil"/>
              <w:right w:val="nil"/>
            </w:tcBorders>
            <w:vAlign w:val="bottom"/>
          </w:tcPr>
          <w:p w14:paraId="4420E76A" w14:textId="02959DE2" w:rsidR="00CE53C0" w:rsidRPr="00F21A41" w:rsidRDefault="00CE53C0" w:rsidP="0044006F">
            <w:pPr>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Sector Financiero</w:t>
            </w:r>
          </w:p>
        </w:tc>
        <w:tc>
          <w:tcPr>
            <w:tcW w:w="995" w:type="dxa"/>
            <w:tcBorders>
              <w:top w:val="nil"/>
              <w:left w:val="nil"/>
              <w:bottom w:val="nil"/>
              <w:right w:val="nil"/>
            </w:tcBorders>
            <w:vAlign w:val="bottom"/>
          </w:tcPr>
          <w:p w14:paraId="3D5AAEEA" w14:textId="2C1E7A8B" w:rsidR="00CE53C0" w:rsidRPr="00F21A41" w:rsidRDefault="0044006F" w:rsidP="0044006F">
            <w:pPr>
              <w:jc w:val="right"/>
              <w:rPr>
                <w:rFonts w:ascii="Arial" w:hAnsi="Arial" w:cs="Arial"/>
                <w:color w:val="000000" w:themeColor="text1"/>
                <w:sz w:val="14"/>
                <w:szCs w:val="14"/>
                <w:lang w:eastAsia="es-AR"/>
              </w:rPr>
            </w:pPr>
            <w:r>
              <w:rPr>
                <w:rFonts w:ascii="Arial" w:hAnsi="Arial" w:cs="Arial"/>
                <w:color w:val="000000" w:themeColor="text1"/>
                <w:sz w:val="14"/>
                <w:szCs w:val="14"/>
                <w:lang w:eastAsia="es-AR"/>
              </w:rPr>
              <w:t>-</w:t>
            </w:r>
          </w:p>
        </w:tc>
        <w:tc>
          <w:tcPr>
            <w:tcW w:w="1176" w:type="dxa"/>
            <w:tcBorders>
              <w:top w:val="nil"/>
              <w:left w:val="nil"/>
              <w:bottom w:val="nil"/>
              <w:right w:val="nil"/>
            </w:tcBorders>
            <w:vAlign w:val="bottom"/>
          </w:tcPr>
          <w:p w14:paraId="5AF525F1" w14:textId="2BD88A14"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117.796</w:t>
            </w:r>
          </w:p>
        </w:tc>
        <w:tc>
          <w:tcPr>
            <w:tcW w:w="996" w:type="dxa"/>
            <w:tcBorders>
              <w:top w:val="nil"/>
              <w:left w:val="nil"/>
              <w:bottom w:val="nil"/>
              <w:right w:val="nil"/>
            </w:tcBorders>
            <w:vAlign w:val="bottom"/>
          </w:tcPr>
          <w:p w14:paraId="09BD6DB7" w14:textId="012769F7"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8.074</w:t>
            </w:r>
          </w:p>
        </w:tc>
        <w:tc>
          <w:tcPr>
            <w:tcW w:w="945" w:type="dxa"/>
            <w:tcBorders>
              <w:top w:val="nil"/>
              <w:left w:val="nil"/>
              <w:bottom w:val="nil"/>
              <w:right w:val="nil"/>
            </w:tcBorders>
            <w:vAlign w:val="bottom"/>
          </w:tcPr>
          <w:p w14:paraId="4326ACD1" w14:textId="2998B309"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56.758</w:t>
            </w:r>
          </w:p>
        </w:tc>
        <w:tc>
          <w:tcPr>
            <w:tcW w:w="945" w:type="dxa"/>
            <w:tcBorders>
              <w:top w:val="nil"/>
              <w:left w:val="nil"/>
              <w:bottom w:val="nil"/>
              <w:right w:val="nil"/>
            </w:tcBorders>
            <w:vAlign w:val="bottom"/>
          </w:tcPr>
          <w:p w14:paraId="3DC0B5A1" w14:textId="078C1DFD"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14.396</w:t>
            </w:r>
          </w:p>
        </w:tc>
        <w:tc>
          <w:tcPr>
            <w:tcW w:w="945" w:type="dxa"/>
            <w:tcBorders>
              <w:top w:val="nil"/>
              <w:left w:val="nil"/>
              <w:bottom w:val="nil"/>
              <w:right w:val="nil"/>
            </w:tcBorders>
            <w:vAlign w:val="bottom"/>
          </w:tcPr>
          <w:p w14:paraId="2504A3F4" w14:textId="13D4B1FA"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33.829</w:t>
            </w:r>
          </w:p>
        </w:tc>
        <w:tc>
          <w:tcPr>
            <w:tcW w:w="1022" w:type="dxa"/>
            <w:tcBorders>
              <w:top w:val="nil"/>
              <w:left w:val="nil"/>
              <w:bottom w:val="nil"/>
              <w:right w:val="nil"/>
            </w:tcBorders>
            <w:vAlign w:val="bottom"/>
          </w:tcPr>
          <w:p w14:paraId="3E127F8A" w14:textId="20325487" w:rsidR="00CE53C0" w:rsidRPr="00F21A41" w:rsidRDefault="0044006F" w:rsidP="0044006F">
            <w:pPr>
              <w:jc w:val="right"/>
              <w:rPr>
                <w:rFonts w:ascii="Arial" w:hAnsi="Arial" w:cs="Arial"/>
                <w:color w:val="000000" w:themeColor="text1"/>
                <w:sz w:val="14"/>
                <w:szCs w:val="14"/>
                <w:lang w:eastAsia="es-AR"/>
              </w:rPr>
            </w:pPr>
            <w:r>
              <w:rPr>
                <w:rFonts w:ascii="Arial" w:hAnsi="Arial" w:cs="Arial"/>
                <w:color w:val="000000" w:themeColor="text1"/>
                <w:sz w:val="14"/>
                <w:szCs w:val="14"/>
                <w:lang w:eastAsia="es-AR"/>
              </w:rPr>
              <w:t>-</w:t>
            </w:r>
          </w:p>
        </w:tc>
        <w:tc>
          <w:tcPr>
            <w:tcW w:w="1176" w:type="dxa"/>
            <w:tcBorders>
              <w:top w:val="nil"/>
              <w:left w:val="nil"/>
              <w:bottom w:val="nil"/>
              <w:right w:val="nil"/>
            </w:tcBorders>
            <w:vAlign w:val="bottom"/>
          </w:tcPr>
          <w:p w14:paraId="66B397F0" w14:textId="1207AF92"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230.853</w:t>
            </w:r>
          </w:p>
        </w:tc>
      </w:tr>
      <w:tr w:rsidR="00C5517A" w:rsidRPr="00CE53C0" w14:paraId="40B6AAB9" w14:textId="77777777" w:rsidTr="0044006F">
        <w:trPr>
          <w:trHeight w:val="80"/>
        </w:trPr>
        <w:tc>
          <w:tcPr>
            <w:tcW w:w="1859" w:type="dxa"/>
            <w:tcBorders>
              <w:top w:val="nil"/>
              <w:left w:val="nil"/>
              <w:bottom w:val="nil"/>
              <w:right w:val="nil"/>
            </w:tcBorders>
            <w:vAlign w:val="bottom"/>
          </w:tcPr>
          <w:p w14:paraId="2BFA194D" w14:textId="77777777" w:rsidR="00C5517A" w:rsidRPr="00F21A41" w:rsidRDefault="00C5517A" w:rsidP="0044006F">
            <w:pPr>
              <w:rPr>
                <w:rFonts w:ascii="Arial" w:hAnsi="Arial" w:cs="Arial"/>
                <w:color w:val="000000" w:themeColor="text1"/>
                <w:sz w:val="14"/>
                <w:szCs w:val="14"/>
                <w:lang w:eastAsia="es-AR"/>
              </w:rPr>
            </w:pPr>
          </w:p>
        </w:tc>
        <w:tc>
          <w:tcPr>
            <w:tcW w:w="995" w:type="dxa"/>
            <w:tcBorders>
              <w:top w:val="nil"/>
              <w:left w:val="nil"/>
              <w:bottom w:val="nil"/>
              <w:right w:val="nil"/>
            </w:tcBorders>
            <w:vAlign w:val="bottom"/>
          </w:tcPr>
          <w:p w14:paraId="34A974FE" w14:textId="77777777" w:rsidR="00C5517A" w:rsidRPr="00F21A41" w:rsidRDefault="00C5517A" w:rsidP="0044006F">
            <w:pPr>
              <w:jc w:val="right"/>
              <w:rPr>
                <w:rFonts w:ascii="Arial" w:hAnsi="Arial" w:cs="Arial"/>
                <w:color w:val="000000" w:themeColor="text1"/>
                <w:sz w:val="14"/>
                <w:szCs w:val="14"/>
                <w:lang w:eastAsia="es-AR"/>
              </w:rPr>
            </w:pPr>
          </w:p>
        </w:tc>
        <w:tc>
          <w:tcPr>
            <w:tcW w:w="1176" w:type="dxa"/>
            <w:tcBorders>
              <w:top w:val="nil"/>
              <w:left w:val="nil"/>
              <w:bottom w:val="nil"/>
              <w:right w:val="nil"/>
            </w:tcBorders>
            <w:vAlign w:val="bottom"/>
          </w:tcPr>
          <w:p w14:paraId="63FA12D5" w14:textId="77777777" w:rsidR="00C5517A" w:rsidRPr="00F21A41" w:rsidRDefault="00C5517A" w:rsidP="0044006F">
            <w:pPr>
              <w:jc w:val="right"/>
              <w:rPr>
                <w:rFonts w:ascii="Arial" w:hAnsi="Arial" w:cs="Arial"/>
                <w:color w:val="000000" w:themeColor="text1"/>
                <w:sz w:val="14"/>
                <w:szCs w:val="14"/>
              </w:rPr>
            </w:pPr>
          </w:p>
        </w:tc>
        <w:tc>
          <w:tcPr>
            <w:tcW w:w="996" w:type="dxa"/>
            <w:tcBorders>
              <w:top w:val="nil"/>
              <w:left w:val="nil"/>
              <w:bottom w:val="nil"/>
              <w:right w:val="nil"/>
            </w:tcBorders>
            <w:vAlign w:val="bottom"/>
          </w:tcPr>
          <w:p w14:paraId="0BB15810" w14:textId="77777777" w:rsidR="00C5517A" w:rsidRPr="00F21A41" w:rsidRDefault="00C5517A" w:rsidP="0044006F">
            <w:pPr>
              <w:jc w:val="right"/>
              <w:rPr>
                <w:rFonts w:ascii="Arial" w:hAnsi="Arial" w:cs="Arial"/>
                <w:color w:val="000000" w:themeColor="text1"/>
                <w:sz w:val="14"/>
                <w:szCs w:val="14"/>
              </w:rPr>
            </w:pPr>
          </w:p>
        </w:tc>
        <w:tc>
          <w:tcPr>
            <w:tcW w:w="945" w:type="dxa"/>
            <w:tcBorders>
              <w:top w:val="nil"/>
              <w:left w:val="nil"/>
              <w:bottom w:val="nil"/>
              <w:right w:val="nil"/>
            </w:tcBorders>
            <w:vAlign w:val="bottom"/>
          </w:tcPr>
          <w:p w14:paraId="2D8C19C2" w14:textId="77777777" w:rsidR="00C5517A" w:rsidRPr="00F21A41" w:rsidRDefault="00C5517A" w:rsidP="0044006F">
            <w:pPr>
              <w:jc w:val="right"/>
              <w:rPr>
                <w:rFonts w:ascii="Arial" w:hAnsi="Arial" w:cs="Arial"/>
                <w:color w:val="000000" w:themeColor="text1"/>
                <w:sz w:val="14"/>
                <w:szCs w:val="14"/>
              </w:rPr>
            </w:pPr>
          </w:p>
        </w:tc>
        <w:tc>
          <w:tcPr>
            <w:tcW w:w="945" w:type="dxa"/>
            <w:tcBorders>
              <w:top w:val="nil"/>
              <w:left w:val="nil"/>
              <w:bottom w:val="nil"/>
              <w:right w:val="nil"/>
            </w:tcBorders>
            <w:vAlign w:val="bottom"/>
          </w:tcPr>
          <w:p w14:paraId="72C4E6F0" w14:textId="77777777" w:rsidR="00C5517A" w:rsidRPr="00F21A41" w:rsidRDefault="00C5517A" w:rsidP="0044006F">
            <w:pPr>
              <w:jc w:val="right"/>
              <w:rPr>
                <w:rFonts w:ascii="Arial" w:hAnsi="Arial" w:cs="Arial"/>
                <w:color w:val="000000" w:themeColor="text1"/>
                <w:sz w:val="14"/>
                <w:szCs w:val="14"/>
              </w:rPr>
            </w:pPr>
          </w:p>
        </w:tc>
        <w:tc>
          <w:tcPr>
            <w:tcW w:w="945" w:type="dxa"/>
            <w:tcBorders>
              <w:top w:val="nil"/>
              <w:left w:val="nil"/>
              <w:bottom w:val="nil"/>
              <w:right w:val="nil"/>
            </w:tcBorders>
            <w:vAlign w:val="bottom"/>
          </w:tcPr>
          <w:p w14:paraId="06DC7FA0" w14:textId="77777777" w:rsidR="00C5517A" w:rsidRPr="00F21A41" w:rsidRDefault="00C5517A" w:rsidP="0044006F">
            <w:pPr>
              <w:jc w:val="right"/>
              <w:rPr>
                <w:rFonts w:ascii="Arial" w:hAnsi="Arial" w:cs="Arial"/>
                <w:color w:val="000000" w:themeColor="text1"/>
                <w:sz w:val="14"/>
                <w:szCs w:val="14"/>
              </w:rPr>
            </w:pPr>
          </w:p>
        </w:tc>
        <w:tc>
          <w:tcPr>
            <w:tcW w:w="1022" w:type="dxa"/>
            <w:tcBorders>
              <w:top w:val="nil"/>
              <w:left w:val="nil"/>
              <w:bottom w:val="nil"/>
              <w:right w:val="nil"/>
            </w:tcBorders>
            <w:vAlign w:val="bottom"/>
          </w:tcPr>
          <w:p w14:paraId="5418C91B" w14:textId="77777777" w:rsidR="00C5517A" w:rsidRPr="00F21A41" w:rsidRDefault="00C5517A" w:rsidP="0044006F">
            <w:pPr>
              <w:jc w:val="right"/>
              <w:rPr>
                <w:rFonts w:ascii="Arial" w:hAnsi="Arial" w:cs="Arial"/>
                <w:color w:val="000000" w:themeColor="text1"/>
                <w:sz w:val="14"/>
                <w:szCs w:val="14"/>
              </w:rPr>
            </w:pPr>
          </w:p>
        </w:tc>
        <w:tc>
          <w:tcPr>
            <w:tcW w:w="1176" w:type="dxa"/>
            <w:tcBorders>
              <w:top w:val="nil"/>
              <w:left w:val="nil"/>
              <w:bottom w:val="nil"/>
              <w:right w:val="nil"/>
            </w:tcBorders>
            <w:vAlign w:val="bottom"/>
          </w:tcPr>
          <w:p w14:paraId="55E8028C" w14:textId="77777777" w:rsidR="00C5517A" w:rsidRPr="00F21A41" w:rsidRDefault="00C5517A" w:rsidP="0044006F">
            <w:pPr>
              <w:jc w:val="right"/>
              <w:rPr>
                <w:rFonts w:ascii="Arial" w:hAnsi="Arial" w:cs="Arial"/>
                <w:color w:val="000000" w:themeColor="text1"/>
                <w:sz w:val="14"/>
                <w:szCs w:val="14"/>
              </w:rPr>
            </w:pPr>
          </w:p>
        </w:tc>
      </w:tr>
      <w:tr w:rsidR="00CE53C0" w:rsidRPr="00CE53C0" w14:paraId="6C601D1F" w14:textId="77777777" w:rsidTr="0044006F">
        <w:trPr>
          <w:trHeight w:val="454"/>
        </w:trPr>
        <w:tc>
          <w:tcPr>
            <w:tcW w:w="1859" w:type="dxa"/>
            <w:tcBorders>
              <w:top w:val="nil"/>
              <w:left w:val="nil"/>
              <w:bottom w:val="nil"/>
              <w:right w:val="nil"/>
            </w:tcBorders>
            <w:vAlign w:val="bottom"/>
          </w:tcPr>
          <w:p w14:paraId="21098F27" w14:textId="77777777" w:rsidR="00CE53C0" w:rsidRPr="00F21A41" w:rsidRDefault="00CE53C0" w:rsidP="0044006F">
            <w:pPr>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Sector privado no financiero y residentes en el exterior</w:t>
            </w:r>
          </w:p>
        </w:tc>
        <w:tc>
          <w:tcPr>
            <w:tcW w:w="995" w:type="dxa"/>
            <w:tcBorders>
              <w:top w:val="nil"/>
              <w:left w:val="nil"/>
              <w:bottom w:val="nil"/>
              <w:right w:val="nil"/>
            </w:tcBorders>
            <w:vAlign w:val="bottom"/>
          </w:tcPr>
          <w:p w14:paraId="06C586F7" w14:textId="0341A99A"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5.929.610</w:t>
            </w:r>
          </w:p>
        </w:tc>
        <w:tc>
          <w:tcPr>
            <w:tcW w:w="1176" w:type="dxa"/>
            <w:tcBorders>
              <w:top w:val="nil"/>
              <w:left w:val="nil"/>
              <w:bottom w:val="nil"/>
              <w:right w:val="nil"/>
            </w:tcBorders>
            <w:vAlign w:val="bottom"/>
          </w:tcPr>
          <w:p w14:paraId="62D76342" w14:textId="27E9D666"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53.596.885</w:t>
            </w:r>
          </w:p>
        </w:tc>
        <w:tc>
          <w:tcPr>
            <w:tcW w:w="996" w:type="dxa"/>
            <w:tcBorders>
              <w:top w:val="nil"/>
              <w:left w:val="nil"/>
              <w:bottom w:val="nil"/>
              <w:right w:val="nil"/>
            </w:tcBorders>
            <w:vAlign w:val="bottom"/>
          </w:tcPr>
          <w:p w14:paraId="7C07B749" w14:textId="5E13C51E"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22.631.060</w:t>
            </w:r>
          </w:p>
        </w:tc>
        <w:tc>
          <w:tcPr>
            <w:tcW w:w="945" w:type="dxa"/>
            <w:tcBorders>
              <w:top w:val="nil"/>
              <w:left w:val="nil"/>
              <w:bottom w:val="nil"/>
              <w:right w:val="nil"/>
            </w:tcBorders>
            <w:vAlign w:val="bottom"/>
          </w:tcPr>
          <w:p w14:paraId="4F0F6354" w14:textId="493EE402"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24.013.743</w:t>
            </w:r>
          </w:p>
        </w:tc>
        <w:tc>
          <w:tcPr>
            <w:tcW w:w="945" w:type="dxa"/>
            <w:tcBorders>
              <w:top w:val="nil"/>
              <w:left w:val="nil"/>
              <w:bottom w:val="nil"/>
              <w:right w:val="nil"/>
            </w:tcBorders>
            <w:vAlign w:val="bottom"/>
          </w:tcPr>
          <w:p w14:paraId="1C627871" w14:textId="30264506"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29.333.118</w:t>
            </w:r>
          </w:p>
        </w:tc>
        <w:tc>
          <w:tcPr>
            <w:tcW w:w="945" w:type="dxa"/>
            <w:tcBorders>
              <w:top w:val="nil"/>
              <w:left w:val="nil"/>
              <w:bottom w:val="nil"/>
              <w:right w:val="nil"/>
            </w:tcBorders>
            <w:vAlign w:val="bottom"/>
          </w:tcPr>
          <w:p w14:paraId="08B3423F" w14:textId="5F80ED3C"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42.839.545</w:t>
            </w:r>
          </w:p>
        </w:tc>
        <w:tc>
          <w:tcPr>
            <w:tcW w:w="1022" w:type="dxa"/>
            <w:tcBorders>
              <w:top w:val="nil"/>
              <w:left w:val="nil"/>
              <w:bottom w:val="nil"/>
              <w:right w:val="nil"/>
            </w:tcBorders>
            <w:vAlign w:val="bottom"/>
          </w:tcPr>
          <w:p w14:paraId="60013165" w14:textId="0538B07A"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89.092.055</w:t>
            </w:r>
          </w:p>
        </w:tc>
        <w:tc>
          <w:tcPr>
            <w:tcW w:w="1176" w:type="dxa"/>
            <w:tcBorders>
              <w:top w:val="nil"/>
              <w:left w:val="nil"/>
              <w:bottom w:val="nil"/>
              <w:right w:val="nil"/>
            </w:tcBorders>
            <w:vAlign w:val="bottom"/>
          </w:tcPr>
          <w:p w14:paraId="28D0C69C" w14:textId="3DF9C3ED" w:rsidR="00CE53C0" w:rsidRPr="00F21A41" w:rsidRDefault="00860E79" w:rsidP="0044006F">
            <w:pPr>
              <w:jc w:val="right"/>
              <w:rPr>
                <w:rFonts w:ascii="Arial" w:hAnsi="Arial" w:cs="Arial"/>
                <w:color w:val="000000" w:themeColor="text1"/>
                <w:sz w:val="14"/>
                <w:szCs w:val="14"/>
                <w:lang w:eastAsia="es-AR"/>
              </w:rPr>
            </w:pPr>
            <w:r w:rsidRPr="00F21A41">
              <w:rPr>
                <w:rFonts w:ascii="Arial" w:hAnsi="Arial" w:cs="Arial"/>
                <w:color w:val="000000" w:themeColor="text1"/>
                <w:sz w:val="14"/>
                <w:szCs w:val="14"/>
                <w:lang w:eastAsia="es-AR"/>
              </w:rPr>
              <w:t>267.436.016</w:t>
            </w:r>
          </w:p>
        </w:tc>
      </w:tr>
      <w:tr w:rsidR="006B3790" w:rsidRPr="00CE53C0" w14:paraId="338D343B" w14:textId="77777777" w:rsidTr="0044006F">
        <w:trPr>
          <w:trHeight w:val="340"/>
        </w:trPr>
        <w:tc>
          <w:tcPr>
            <w:tcW w:w="1859" w:type="dxa"/>
            <w:tcBorders>
              <w:top w:val="single" w:sz="4" w:space="0" w:color="auto"/>
              <w:left w:val="nil"/>
              <w:right w:val="nil"/>
            </w:tcBorders>
            <w:vAlign w:val="bottom"/>
          </w:tcPr>
          <w:p w14:paraId="3E4A0EEB" w14:textId="77777777" w:rsidR="006B3790" w:rsidRPr="003D2CC1" w:rsidRDefault="006B3790" w:rsidP="0044006F">
            <w:pPr>
              <w:rPr>
                <w:rFonts w:ascii="Arial" w:hAnsi="Arial" w:cs="Arial"/>
                <w:b/>
                <w:sz w:val="14"/>
                <w:szCs w:val="14"/>
                <w:lang w:eastAsia="es-AR"/>
              </w:rPr>
            </w:pPr>
            <w:r w:rsidRPr="003D2CC1">
              <w:rPr>
                <w:rFonts w:ascii="Arial" w:hAnsi="Arial" w:cs="Arial"/>
                <w:b/>
                <w:sz w:val="14"/>
                <w:szCs w:val="14"/>
                <w:lang w:eastAsia="es-AR"/>
              </w:rPr>
              <w:t>TOTAL</w:t>
            </w:r>
          </w:p>
        </w:tc>
        <w:tc>
          <w:tcPr>
            <w:tcW w:w="995" w:type="dxa"/>
            <w:tcBorders>
              <w:top w:val="single" w:sz="4" w:space="0" w:color="auto"/>
              <w:left w:val="nil"/>
              <w:right w:val="nil"/>
            </w:tcBorders>
            <w:vAlign w:val="bottom"/>
          </w:tcPr>
          <w:p w14:paraId="3A2B3380" w14:textId="39433479" w:rsidR="006B3790" w:rsidRPr="006B3790" w:rsidRDefault="00860E79" w:rsidP="0044006F">
            <w:pPr>
              <w:jc w:val="right"/>
              <w:rPr>
                <w:rFonts w:ascii="Arial" w:hAnsi="Arial" w:cs="Arial"/>
                <w:b/>
                <w:sz w:val="14"/>
                <w:szCs w:val="14"/>
                <w:lang w:eastAsia="es-AR"/>
              </w:rPr>
            </w:pPr>
            <w:r>
              <w:rPr>
                <w:rFonts w:ascii="Arial" w:hAnsi="Arial" w:cs="Arial"/>
                <w:b/>
                <w:sz w:val="14"/>
                <w:szCs w:val="14"/>
                <w:lang w:eastAsia="es-AR"/>
              </w:rPr>
              <w:t>5.929.610</w:t>
            </w:r>
          </w:p>
        </w:tc>
        <w:tc>
          <w:tcPr>
            <w:tcW w:w="1176" w:type="dxa"/>
            <w:tcBorders>
              <w:top w:val="single" w:sz="4" w:space="0" w:color="auto"/>
              <w:left w:val="nil"/>
              <w:right w:val="nil"/>
            </w:tcBorders>
            <w:vAlign w:val="bottom"/>
          </w:tcPr>
          <w:p w14:paraId="26637F15" w14:textId="30D2D3C9" w:rsidR="006B3790" w:rsidRPr="00CE53C0" w:rsidRDefault="00860E79" w:rsidP="0044006F">
            <w:pPr>
              <w:jc w:val="right"/>
              <w:rPr>
                <w:rFonts w:ascii="Arial" w:hAnsi="Arial" w:cs="Arial"/>
                <w:b/>
                <w:sz w:val="14"/>
                <w:szCs w:val="14"/>
                <w:lang w:eastAsia="es-AR"/>
              </w:rPr>
            </w:pPr>
            <w:r>
              <w:rPr>
                <w:rFonts w:ascii="Arial" w:hAnsi="Arial" w:cs="Arial"/>
                <w:b/>
                <w:sz w:val="14"/>
                <w:szCs w:val="14"/>
                <w:lang w:eastAsia="es-AR"/>
              </w:rPr>
              <w:t>53.754.259</w:t>
            </w:r>
          </w:p>
        </w:tc>
        <w:tc>
          <w:tcPr>
            <w:tcW w:w="996" w:type="dxa"/>
            <w:tcBorders>
              <w:top w:val="single" w:sz="4" w:space="0" w:color="auto"/>
              <w:left w:val="nil"/>
              <w:right w:val="nil"/>
            </w:tcBorders>
            <w:vAlign w:val="bottom"/>
          </w:tcPr>
          <w:p w14:paraId="520F0A57" w14:textId="267182E7" w:rsidR="006B3790" w:rsidRPr="00CE53C0" w:rsidRDefault="00860E79" w:rsidP="0044006F">
            <w:pPr>
              <w:jc w:val="right"/>
              <w:rPr>
                <w:rFonts w:ascii="Arial" w:hAnsi="Arial" w:cs="Arial"/>
                <w:b/>
                <w:sz w:val="14"/>
                <w:szCs w:val="14"/>
                <w:lang w:eastAsia="es-AR"/>
              </w:rPr>
            </w:pPr>
            <w:r>
              <w:rPr>
                <w:rFonts w:ascii="Arial" w:hAnsi="Arial" w:cs="Arial"/>
                <w:b/>
                <w:sz w:val="14"/>
                <w:szCs w:val="14"/>
                <w:lang w:eastAsia="es-AR"/>
              </w:rPr>
              <w:t>22.643.238</w:t>
            </w:r>
          </w:p>
        </w:tc>
        <w:tc>
          <w:tcPr>
            <w:tcW w:w="945" w:type="dxa"/>
            <w:tcBorders>
              <w:top w:val="single" w:sz="4" w:space="0" w:color="auto"/>
              <w:left w:val="nil"/>
              <w:right w:val="nil"/>
            </w:tcBorders>
            <w:vAlign w:val="bottom"/>
          </w:tcPr>
          <w:p w14:paraId="260C90E9" w14:textId="7DDDD2CC" w:rsidR="006B3790" w:rsidRPr="00CE53C0" w:rsidRDefault="00860E79" w:rsidP="0044006F">
            <w:pPr>
              <w:jc w:val="right"/>
              <w:rPr>
                <w:rFonts w:ascii="Arial" w:hAnsi="Arial" w:cs="Arial"/>
                <w:b/>
                <w:sz w:val="14"/>
                <w:szCs w:val="14"/>
                <w:lang w:eastAsia="es-AR"/>
              </w:rPr>
            </w:pPr>
            <w:r>
              <w:rPr>
                <w:rFonts w:ascii="Arial" w:hAnsi="Arial" w:cs="Arial"/>
                <w:b/>
                <w:sz w:val="14"/>
                <w:szCs w:val="14"/>
                <w:lang w:eastAsia="es-AR"/>
              </w:rPr>
              <w:t>24.076.799</w:t>
            </w:r>
          </w:p>
        </w:tc>
        <w:tc>
          <w:tcPr>
            <w:tcW w:w="945" w:type="dxa"/>
            <w:tcBorders>
              <w:top w:val="single" w:sz="4" w:space="0" w:color="auto"/>
              <w:left w:val="nil"/>
              <w:right w:val="nil"/>
            </w:tcBorders>
            <w:vAlign w:val="bottom"/>
          </w:tcPr>
          <w:p w14:paraId="4B20044C" w14:textId="0B8057C3" w:rsidR="006B3790" w:rsidRPr="00CE53C0" w:rsidRDefault="00860E79" w:rsidP="0044006F">
            <w:pPr>
              <w:jc w:val="right"/>
              <w:rPr>
                <w:rFonts w:ascii="Arial" w:hAnsi="Arial" w:cs="Arial"/>
                <w:b/>
                <w:sz w:val="14"/>
                <w:szCs w:val="14"/>
                <w:lang w:eastAsia="es-AR"/>
              </w:rPr>
            </w:pPr>
            <w:r>
              <w:rPr>
                <w:rFonts w:ascii="Arial" w:hAnsi="Arial" w:cs="Arial"/>
                <w:b/>
                <w:sz w:val="14"/>
                <w:szCs w:val="14"/>
                <w:lang w:eastAsia="es-AR"/>
              </w:rPr>
              <w:t>29.360.861</w:t>
            </w:r>
          </w:p>
        </w:tc>
        <w:tc>
          <w:tcPr>
            <w:tcW w:w="945" w:type="dxa"/>
            <w:tcBorders>
              <w:top w:val="single" w:sz="4" w:space="0" w:color="auto"/>
              <w:left w:val="nil"/>
              <w:right w:val="nil"/>
            </w:tcBorders>
            <w:vAlign w:val="bottom"/>
          </w:tcPr>
          <w:p w14:paraId="2651C6A8" w14:textId="1BE0DCF4" w:rsidR="006B3790" w:rsidRPr="00CE53C0" w:rsidRDefault="00860E79" w:rsidP="0044006F">
            <w:pPr>
              <w:jc w:val="right"/>
              <w:rPr>
                <w:rFonts w:ascii="Arial" w:hAnsi="Arial" w:cs="Arial"/>
                <w:b/>
                <w:sz w:val="14"/>
                <w:szCs w:val="14"/>
                <w:lang w:eastAsia="es-AR"/>
              </w:rPr>
            </w:pPr>
            <w:r>
              <w:rPr>
                <w:rFonts w:ascii="Arial" w:hAnsi="Arial" w:cs="Arial"/>
                <w:b/>
                <w:sz w:val="14"/>
                <w:szCs w:val="14"/>
                <w:lang w:eastAsia="es-AR"/>
              </w:rPr>
              <w:t>42.903.530</w:t>
            </w:r>
          </w:p>
        </w:tc>
        <w:tc>
          <w:tcPr>
            <w:tcW w:w="1022" w:type="dxa"/>
            <w:tcBorders>
              <w:top w:val="single" w:sz="4" w:space="0" w:color="auto"/>
              <w:left w:val="nil"/>
              <w:right w:val="nil"/>
            </w:tcBorders>
            <w:vAlign w:val="bottom"/>
          </w:tcPr>
          <w:p w14:paraId="2A3ED5DA" w14:textId="17CDF775" w:rsidR="006B3790" w:rsidRPr="00CE53C0" w:rsidRDefault="00860E79" w:rsidP="0044006F">
            <w:pPr>
              <w:jc w:val="right"/>
              <w:rPr>
                <w:rFonts w:ascii="Arial" w:hAnsi="Arial" w:cs="Arial"/>
                <w:b/>
                <w:sz w:val="14"/>
                <w:szCs w:val="14"/>
                <w:lang w:eastAsia="es-AR"/>
              </w:rPr>
            </w:pPr>
            <w:r>
              <w:rPr>
                <w:rFonts w:ascii="Arial" w:hAnsi="Arial" w:cs="Arial"/>
                <w:b/>
                <w:sz w:val="14"/>
                <w:szCs w:val="14"/>
                <w:lang w:eastAsia="es-AR"/>
              </w:rPr>
              <w:t>89.106.494</w:t>
            </w:r>
          </w:p>
        </w:tc>
        <w:tc>
          <w:tcPr>
            <w:tcW w:w="1176" w:type="dxa"/>
            <w:tcBorders>
              <w:top w:val="single" w:sz="4" w:space="0" w:color="auto"/>
              <w:left w:val="nil"/>
              <w:right w:val="nil"/>
            </w:tcBorders>
            <w:vAlign w:val="bottom"/>
          </w:tcPr>
          <w:p w14:paraId="479ED639" w14:textId="781751DC" w:rsidR="006B3790" w:rsidRPr="00CE53C0" w:rsidRDefault="00860E79" w:rsidP="0044006F">
            <w:pPr>
              <w:jc w:val="right"/>
              <w:rPr>
                <w:rFonts w:ascii="Arial" w:hAnsi="Arial" w:cs="Arial"/>
                <w:b/>
                <w:sz w:val="14"/>
                <w:szCs w:val="14"/>
                <w:lang w:eastAsia="es-AR"/>
              </w:rPr>
            </w:pPr>
            <w:r>
              <w:rPr>
                <w:rFonts w:ascii="Arial" w:hAnsi="Arial" w:cs="Arial"/>
                <w:b/>
                <w:sz w:val="14"/>
                <w:szCs w:val="14"/>
                <w:lang w:eastAsia="es-AR"/>
              </w:rPr>
              <w:t>267.774.791</w:t>
            </w:r>
          </w:p>
        </w:tc>
      </w:tr>
    </w:tbl>
    <w:p w14:paraId="79FF454F" w14:textId="68E02961" w:rsidR="00425F99" w:rsidRPr="00701F32" w:rsidRDefault="00425F99" w:rsidP="008962C9">
      <w:pPr>
        <w:rPr>
          <w:lang w:val="en-US"/>
        </w:rPr>
      </w:pPr>
    </w:p>
    <w:p w14:paraId="5112EA60" w14:textId="120A090A" w:rsidR="00425F99" w:rsidRPr="00701F32" w:rsidRDefault="007251AB" w:rsidP="008962C9">
      <w:pPr>
        <w:rPr>
          <w:lang w:val="en-US"/>
        </w:rPr>
      </w:pPr>
      <w:r w:rsidRPr="00701F32">
        <w:rPr>
          <w:lang w:val="en-US"/>
        </w:rPr>
        <w:t xml:space="preserve"> </w:t>
      </w:r>
    </w:p>
    <w:p w14:paraId="5DB63652" w14:textId="4A68358D" w:rsidR="00425F99" w:rsidRPr="00701F32" w:rsidRDefault="00425F99" w:rsidP="008962C9">
      <w:pPr>
        <w:rPr>
          <w:lang w:val="en-US"/>
        </w:rPr>
        <w:sectPr w:rsidR="00425F99" w:rsidRPr="00701F32" w:rsidSect="007045C3">
          <w:headerReference w:type="default" r:id="rId43"/>
          <w:pgSz w:w="11907" w:h="16839" w:code="9"/>
          <w:pgMar w:top="1418" w:right="1701" w:bottom="1418" w:left="1701" w:header="567" w:footer="0" w:gutter="0"/>
          <w:paperSrc w:first="256" w:other="256"/>
          <w:cols w:space="720"/>
          <w:docGrid w:linePitch="326"/>
        </w:sectPr>
      </w:pPr>
    </w:p>
    <w:p w14:paraId="324ED2A3" w14:textId="23E8F525" w:rsidR="00425F99" w:rsidRPr="00701F32" w:rsidRDefault="00425F99" w:rsidP="00EC349E">
      <w:pPr>
        <w:jc w:val="center"/>
        <w:rPr>
          <w:lang w:val="en-US"/>
        </w:rPr>
      </w:pPr>
    </w:p>
    <w:p w14:paraId="10F86E03" w14:textId="749FBED9" w:rsidR="009E3BEB" w:rsidRPr="00701F32" w:rsidRDefault="000614BA" w:rsidP="008962C9">
      <w:pPr>
        <w:rPr>
          <w:lang w:val="en-US"/>
        </w:rPr>
      </w:pPr>
      <w:r w:rsidRPr="00701F32">
        <w:rPr>
          <w:noProof/>
          <w:lang w:eastAsia="es-AR"/>
        </w:rPr>
        <w:tab/>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7B34B2" w:rsidRPr="00C17D08" w14:paraId="0D0CAD30" w14:textId="77777777" w:rsidTr="00066653">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D604D0"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83597C"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DEPÓSITOS</w:t>
            </w:r>
          </w:p>
        </w:tc>
      </w:tr>
      <w:tr w:rsidR="007B34B2" w:rsidRPr="00C17D08" w14:paraId="4811A737" w14:textId="77777777" w:rsidTr="00066653">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5CB453" w14:textId="77777777" w:rsidR="007B34B2" w:rsidRPr="0066424E" w:rsidRDefault="007B34B2" w:rsidP="00BE5A48">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7E9C3D" w14:textId="2A0472C7" w:rsidR="007B34B2" w:rsidRPr="0066424E" w:rsidRDefault="003C2633" w:rsidP="00083AEA">
            <w:pPr>
              <w:jc w:val="center"/>
              <w:rPr>
                <w:rFonts w:ascii="Arial" w:hAnsi="Arial" w:cs="Arial"/>
                <w:b/>
                <w:sz w:val="18"/>
                <w:szCs w:val="18"/>
              </w:rPr>
            </w:pPr>
            <w:r>
              <w:rPr>
                <w:rFonts w:ascii="Arial" w:hAnsi="Arial" w:cs="Arial"/>
                <w:b/>
                <w:sz w:val="18"/>
                <w:szCs w:val="18"/>
              </w:rPr>
              <w:t>3</w:t>
            </w:r>
            <w:r w:rsidR="00D01297">
              <w:rPr>
                <w:rFonts w:ascii="Arial" w:hAnsi="Arial" w:cs="Arial"/>
                <w:b/>
                <w:sz w:val="18"/>
                <w:szCs w:val="18"/>
              </w:rPr>
              <w:t>1</w:t>
            </w:r>
            <w:r>
              <w:rPr>
                <w:rFonts w:ascii="Arial" w:hAnsi="Arial" w:cs="Arial"/>
                <w:b/>
                <w:sz w:val="18"/>
                <w:szCs w:val="18"/>
              </w:rPr>
              <w:t>/0</w:t>
            </w:r>
            <w:r w:rsidR="00D01297">
              <w:rPr>
                <w:rFonts w:ascii="Arial" w:hAnsi="Arial" w:cs="Arial"/>
                <w:b/>
                <w:sz w:val="18"/>
                <w:szCs w:val="18"/>
              </w:rPr>
              <w:t>3</w:t>
            </w:r>
            <w:r>
              <w:rPr>
                <w:rFonts w:ascii="Arial" w:hAnsi="Arial" w:cs="Arial"/>
                <w:b/>
                <w:sz w:val="18"/>
                <w:szCs w:val="18"/>
              </w:rPr>
              <w:t>/20</w:t>
            </w:r>
            <w:r w:rsidR="00D01297">
              <w:rPr>
                <w:rFonts w:ascii="Arial" w:hAnsi="Arial" w:cs="Arial"/>
                <w:b/>
                <w:sz w:val="18"/>
                <w:szCs w:val="18"/>
              </w:rPr>
              <w:t>20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3C7999" w14:textId="44A53099" w:rsidR="007B34B2" w:rsidRPr="0066424E" w:rsidRDefault="007B34B2" w:rsidP="00BE5A48">
            <w:pPr>
              <w:jc w:val="center"/>
              <w:rPr>
                <w:rFonts w:ascii="Arial" w:hAnsi="Arial" w:cs="Arial"/>
                <w:b/>
                <w:sz w:val="18"/>
                <w:szCs w:val="18"/>
              </w:rPr>
            </w:pPr>
            <w:r w:rsidRPr="0066424E">
              <w:rPr>
                <w:rFonts w:ascii="Arial" w:hAnsi="Arial" w:cs="Arial"/>
                <w:b/>
                <w:sz w:val="18"/>
                <w:szCs w:val="18"/>
              </w:rPr>
              <w:t>31/12/201</w:t>
            </w:r>
            <w:r w:rsidR="00D01297">
              <w:rPr>
                <w:rFonts w:ascii="Arial" w:hAnsi="Arial" w:cs="Arial"/>
                <w:b/>
                <w:sz w:val="18"/>
                <w:szCs w:val="18"/>
              </w:rPr>
              <w:t>9</w:t>
            </w:r>
          </w:p>
        </w:tc>
      </w:tr>
      <w:tr w:rsidR="007B34B2" w:rsidRPr="00C17D08" w14:paraId="02D1C316" w14:textId="77777777" w:rsidTr="00066653">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48D181" w14:textId="77777777" w:rsidR="007B34B2" w:rsidRPr="0066424E" w:rsidRDefault="007B34B2" w:rsidP="00BE5A48">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9A2A9D"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colocación</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61A053"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508172"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colocación</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82BE78"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r>
      <w:tr w:rsidR="007B34B2" w:rsidRPr="00C17D08" w14:paraId="1C72E223" w14:textId="77777777" w:rsidTr="00066653">
        <w:trPr>
          <w:trHeight w:val="113"/>
          <w:jc w:val="center"/>
        </w:trPr>
        <w:tc>
          <w:tcPr>
            <w:tcW w:w="3261" w:type="dxa"/>
            <w:tcBorders>
              <w:top w:val="single" w:sz="4" w:space="0" w:color="auto"/>
            </w:tcBorders>
            <w:vAlign w:val="bottom"/>
          </w:tcPr>
          <w:p w14:paraId="4435CD07" w14:textId="77777777" w:rsidR="007B34B2" w:rsidRDefault="007B34B2" w:rsidP="00BE5A48">
            <w:pPr>
              <w:rPr>
                <w:rFonts w:ascii="Arial" w:hAnsi="Arial" w:cs="Arial"/>
                <w:sz w:val="18"/>
                <w:szCs w:val="18"/>
              </w:rPr>
            </w:pPr>
          </w:p>
        </w:tc>
        <w:tc>
          <w:tcPr>
            <w:tcW w:w="1417" w:type="dxa"/>
            <w:tcBorders>
              <w:top w:val="single" w:sz="4" w:space="0" w:color="auto"/>
            </w:tcBorders>
          </w:tcPr>
          <w:p w14:paraId="5F075B90" w14:textId="77777777" w:rsidR="007B34B2" w:rsidRPr="00C17D08" w:rsidRDefault="007B34B2" w:rsidP="006459D0">
            <w:pPr>
              <w:jc w:val="right"/>
              <w:rPr>
                <w:rFonts w:ascii="Arial" w:hAnsi="Arial" w:cs="Arial"/>
                <w:sz w:val="18"/>
                <w:szCs w:val="18"/>
              </w:rPr>
            </w:pPr>
          </w:p>
        </w:tc>
        <w:tc>
          <w:tcPr>
            <w:tcW w:w="1418" w:type="dxa"/>
            <w:tcBorders>
              <w:top w:val="single" w:sz="4" w:space="0" w:color="auto"/>
            </w:tcBorders>
          </w:tcPr>
          <w:p w14:paraId="385081DF" w14:textId="77777777" w:rsidR="007B34B2" w:rsidRPr="00C17D08" w:rsidRDefault="007B34B2" w:rsidP="006459D0">
            <w:pPr>
              <w:jc w:val="right"/>
              <w:rPr>
                <w:rFonts w:ascii="Arial" w:hAnsi="Arial" w:cs="Arial"/>
                <w:sz w:val="18"/>
                <w:szCs w:val="18"/>
              </w:rPr>
            </w:pPr>
          </w:p>
        </w:tc>
        <w:tc>
          <w:tcPr>
            <w:tcW w:w="1276" w:type="dxa"/>
            <w:tcBorders>
              <w:top w:val="single" w:sz="4" w:space="0" w:color="auto"/>
            </w:tcBorders>
          </w:tcPr>
          <w:p w14:paraId="03932AB2" w14:textId="77777777" w:rsidR="007B34B2" w:rsidRPr="00C17D08" w:rsidRDefault="007B34B2" w:rsidP="006459D0">
            <w:pPr>
              <w:jc w:val="right"/>
              <w:rPr>
                <w:rFonts w:ascii="Arial" w:hAnsi="Arial" w:cs="Arial"/>
                <w:sz w:val="18"/>
                <w:szCs w:val="18"/>
              </w:rPr>
            </w:pPr>
          </w:p>
        </w:tc>
        <w:tc>
          <w:tcPr>
            <w:tcW w:w="1417" w:type="dxa"/>
            <w:tcBorders>
              <w:top w:val="single" w:sz="4" w:space="0" w:color="auto"/>
            </w:tcBorders>
          </w:tcPr>
          <w:p w14:paraId="3FD9AA9B" w14:textId="77777777" w:rsidR="007B34B2" w:rsidRPr="00C17D08" w:rsidRDefault="007B34B2" w:rsidP="006459D0">
            <w:pPr>
              <w:jc w:val="right"/>
              <w:rPr>
                <w:rFonts w:ascii="Arial" w:hAnsi="Arial" w:cs="Arial"/>
                <w:sz w:val="18"/>
                <w:szCs w:val="18"/>
              </w:rPr>
            </w:pPr>
          </w:p>
        </w:tc>
      </w:tr>
      <w:tr w:rsidR="007B34B2" w:rsidRPr="00C17D08" w14:paraId="3B0B3ADF" w14:textId="77777777" w:rsidTr="00066653">
        <w:trPr>
          <w:trHeight w:val="454"/>
          <w:jc w:val="center"/>
        </w:trPr>
        <w:tc>
          <w:tcPr>
            <w:tcW w:w="3261" w:type="dxa"/>
            <w:vAlign w:val="center"/>
          </w:tcPr>
          <w:p w14:paraId="7E5A2CC8" w14:textId="77777777" w:rsidR="007B34B2" w:rsidRDefault="007B34B2" w:rsidP="00557382">
            <w:pPr>
              <w:rPr>
                <w:rFonts w:ascii="Arial" w:hAnsi="Arial" w:cs="Arial"/>
                <w:sz w:val="18"/>
                <w:szCs w:val="18"/>
              </w:rPr>
            </w:pPr>
            <w:r>
              <w:rPr>
                <w:rFonts w:ascii="Arial" w:hAnsi="Arial" w:cs="Arial"/>
                <w:sz w:val="18"/>
                <w:szCs w:val="18"/>
              </w:rPr>
              <w:t>10 mayores clientes</w:t>
            </w:r>
          </w:p>
        </w:tc>
        <w:tc>
          <w:tcPr>
            <w:tcW w:w="1417" w:type="dxa"/>
            <w:vAlign w:val="center"/>
          </w:tcPr>
          <w:p w14:paraId="6474ED37" w14:textId="3E9D2C40" w:rsidR="007B34B2" w:rsidRPr="00C17D08" w:rsidRDefault="00F3743D" w:rsidP="00557382">
            <w:pPr>
              <w:jc w:val="right"/>
              <w:rPr>
                <w:rFonts w:ascii="Arial" w:hAnsi="Arial" w:cs="Arial"/>
                <w:sz w:val="18"/>
                <w:szCs w:val="18"/>
              </w:rPr>
            </w:pPr>
            <w:r>
              <w:rPr>
                <w:rFonts w:ascii="Arial" w:hAnsi="Arial" w:cs="Arial"/>
                <w:sz w:val="18"/>
                <w:szCs w:val="18"/>
              </w:rPr>
              <w:t>36</w:t>
            </w:r>
            <w:r w:rsidR="00DC39E1">
              <w:rPr>
                <w:rFonts w:ascii="Arial" w:hAnsi="Arial" w:cs="Arial"/>
                <w:sz w:val="18"/>
                <w:szCs w:val="18"/>
              </w:rPr>
              <w:t>.</w:t>
            </w:r>
            <w:r>
              <w:rPr>
                <w:rFonts w:ascii="Arial" w:hAnsi="Arial" w:cs="Arial"/>
                <w:sz w:val="18"/>
                <w:szCs w:val="18"/>
              </w:rPr>
              <w:t>220</w:t>
            </w:r>
            <w:r w:rsidR="00DC39E1">
              <w:rPr>
                <w:rFonts w:ascii="Arial" w:hAnsi="Arial" w:cs="Arial"/>
                <w:sz w:val="18"/>
                <w:szCs w:val="18"/>
              </w:rPr>
              <w:t>.</w:t>
            </w:r>
            <w:r>
              <w:rPr>
                <w:rFonts w:ascii="Arial" w:hAnsi="Arial" w:cs="Arial"/>
                <w:sz w:val="18"/>
                <w:szCs w:val="18"/>
              </w:rPr>
              <w:t>668</w:t>
            </w:r>
          </w:p>
        </w:tc>
        <w:tc>
          <w:tcPr>
            <w:tcW w:w="1418" w:type="dxa"/>
            <w:vAlign w:val="center"/>
          </w:tcPr>
          <w:p w14:paraId="74BD3ADB" w14:textId="5C51D465" w:rsidR="007B34B2" w:rsidRPr="00C17D08" w:rsidRDefault="00DC39E1" w:rsidP="00557382">
            <w:pPr>
              <w:jc w:val="center"/>
              <w:rPr>
                <w:rFonts w:ascii="Arial" w:hAnsi="Arial" w:cs="Arial"/>
                <w:sz w:val="18"/>
                <w:szCs w:val="18"/>
              </w:rPr>
            </w:pPr>
            <w:r>
              <w:rPr>
                <w:rFonts w:ascii="Arial" w:hAnsi="Arial" w:cs="Arial"/>
                <w:sz w:val="18"/>
                <w:szCs w:val="18"/>
              </w:rPr>
              <w:t>2</w:t>
            </w:r>
            <w:r w:rsidR="00B93E02">
              <w:rPr>
                <w:rFonts w:ascii="Arial" w:hAnsi="Arial" w:cs="Arial"/>
                <w:sz w:val="18"/>
                <w:szCs w:val="18"/>
              </w:rPr>
              <w:t>6</w:t>
            </w:r>
            <w:r>
              <w:rPr>
                <w:rFonts w:ascii="Arial" w:hAnsi="Arial" w:cs="Arial"/>
                <w:sz w:val="18"/>
                <w:szCs w:val="18"/>
              </w:rPr>
              <w:t>,</w:t>
            </w:r>
            <w:r w:rsidR="00B93E02">
              <w:rPr>
                <w:rFonts w:ascii="Arial" w:hAnsi="Arial" w:cs="Arial"/>
                <w:sz w:val="18"/>
                <w:szCs w:val="18"/>
              </w:rPr>
              <w:t>43</w:t>
            </w:r>
            <w:r>
              <w:rPr>
                <w:rFonts w:ascii="Arial" w:hAnsi="Arial" w:cs="Arial"/>
                <w:sz w:val="18"/>
                <w:szCs w:val="18"/>
              </w:rPr>
              <w:t>%</w:t>
            </w:r>
          </w:p>
        </w:tc>
        <w:tc>
          <w:tcPr>
            <w:tcW w:w="1276" w:type="dxa"/>
            <w:vAlign w:val="center"/>
          </w:tcPr>
          <w:p w14:paraId="1A87E8A2" w14:textId="7FF26681" w:rsidR="007B34B2" w:rsidRPr="00C17D08" w:rsidRDefault="00D01297" w:rsidP="00557382">
            <w:pPr>
              <w:jc w:val="right"/>
              <w:rPr>
                <w:rFonts w:ascii="Arial" w:hAnsi="Arial" w:cs="Arial"/>
                <w:sz w:val="18"/>
                <w:szCs w:val="18"/>
              </w:rPr>
            </w:pPr>
            <w:r>
              <w:rPr>
                <w:rFonts w:ascii="Arial" w:hAnsi="Arial" w:cs="Arial"/>
                <w:sz w:val="18"/>
                <w:szCs w:val="18"/>
              </w:rPr>
              <w:t>12</w:t>
            </w:r>
            <w:r w:rsidR="00A30CC7">
              <w:rPr>
                <w:rFonts w:ascii="Arial" w:hAnsi="Arial" w:cs="Arial"/>
                <w:sz w:val="18"/>
                <w:szCs w:val="18"/>
              </w:rPr>
              <w:t>.3</w:t>
            </w:r>
            <w:r>
              <w:rPr>
                <w:rFonts w:ascii="Arial" w:hAnsi="Arial" w:cs="Arial"/>
                <w:sz w:val="18"/>
                <w:szCs w:val="18"/>
              </w:rPr>
              <w:t>99</w:t>
            </w:r>
            <w:r w:rsidR="00A30CC7">
              <w:rPr>
                <w:rFonts w:ascii="Arial" w:hAnsi="Arial" w:cs="Arial"/>
                <w:sz w:val="18"/>
                <w:szCs w:val="18"/>
              </w:rPr>
              <w:t>.6</w:t>
            </w:r>
            <w:r>
              <w:rPr>
                <w:rFonts w:ascii="Arial" w:hAnsi="Arial" w:cs="Arial"/>
                <w:sz w:val="18"/>
                <w:szCs w:val="18"/>
              </w:rPr>
              <w:t>78</w:t>
            </w:r>
          </w:p>
        </w:tc>
        <w:tc>
          <w:tcPr>
            <w:tcW w:w="1417" w:type="dxa"/>
            <w:vAlign w:val="center"/>
          </w:tcPr>
          <w:p w14:paraId="6AF4591A" w14:textId="1FE171CE" w:rsidR="007B34B2" w:rsidRPr="00C17D08" w:rsidRDefault="00D01297" w:rsidP="00557382">
            <w:pPr>
              <w:jc w:val="center"/>
              <w:rPr>
                <w:rFonts w:ascii="Arial" w:hAnsi="Arial" w:cs="Arial"/>
                <w:sz w:val="18"/>
                <w:szCs w:val="18"/>
              </w:rPr>
            </w:pPr>
            <w:r>
              <w:rPr>
                <w:rFonts w:ascii="Arial" w:hAnsi="Arial" w:cs="Arial"/>
                <w:sz w:val="18"/>
                <w:szCs w:val="18"/>
              </w:rPr>
              <w:t>12</w:t>
            </w:r>
            <w:r w:rsidR="00300DD6">
              <w:rPr>
                <w:rFonts w:ascii="Arial" w:hAnsi="Arial" w:cs="Arial"/>
                <w:sz w:val="18"/>
                <w:szCs w:val="18"/>
              </w:rPr>
              <w:t>,</w:t>
            </w:r>
            <w:r>
              <w:rPr>
                <w:rFonts w:ascii="Arial" w:hAnsi="Arial" w:cs="Arial"/>
                <w:sz w:val="18"/>
                <w:szCs w:val="18"/>
              </w:rPr>
              <w:t>82</w:t>
            </w:r>
            <w:r w:rsidR="00A30CC7">
              <w:rPr>
                <w:rFonts w:ascii="Arial" w:hAnsi="Arial" w:cs="Arial"/>
                <w:sz w:val="18"/>
                <w:szCs w:val="18"/>
              </w:rPr>
              <w:t>%</w:t>
            </w:r>
          </w:p>
        </w:tc>
      </w:tr>
      <w:tr w:rsidR="007B34B2" w:rsidRPr="00C17D08" w14:paraId="51DB68BB" w14:textId="77777777" w:rsidTr="00066653">
        <w:trPr>
          <w:trHeight w:val="123"/>
          <w:jc w:val="center"/>
        </w:trPr>
        <w:tc>
          <w:tcPr>
            <w:tcW w:w="3261" w:type="dxa"/>
            <w:vAlign w:val="center"/>
          </w:tcPr>
          <w:p w14:paraId="38DE63BD" w14:textId="77777777" w:rsidR="007B34B2" w:rsidRPr="00C17D08" w:rsidRDefault="007B34B2" w:rsidP="00557382">
            <w:pPr>
              <w:rPr>
                <w:rFonts w:ascii="Arial" w:hAnsi="Arial" w:cs="Arial"/>
                <w:sz w:val="18"/>
                <w:szCs w:val="18"/>
              </w:rPr>
            </w:pPr>
          </w:p>
        </w:tc>
        <w:tc>
          <w:tcPr>
            <w:tcW w:w="1417" w:type="dxa"/>
            <w:vAlign w:val="center"/>
          </w:tcPr>
          <w:p w14:paraId="46A5249F" w14:textId="77777777" w:rsidR="007B34B2" w:rsidRPr="00C17D08" w:rsidRDefault="007B34B2" w:rsidP="00557382">
            <w:pPr>
              <w:jc w:val="right"/>
              <w:rPr>
                <w:rFonts w:ascii="Arial" w:hAnsi="Arial" w:cs="Arial"/>
                <w:sz w:val="18"/>
                <w:szCs w:val="18"/>
              </w:rPr>
            </w:pPr>
          </w:p>
        </w:tc>
        <w:tc>
          <w:tcPr>
            <w:tcW w:w="1418" w:type="dxa"/>
            <w:vAlign w:val="center"/>
          </w:tcPr>
          <w:p w14:paraId="487AD53B" w14:textId="77777777" w:rsidR="007B34B2" w:rsidRPr="00C17D08" w:rsidRDefault="007B34B2" w:rsidP="00557382">
            <w:pPr>
              <w:jc w:val="center"/>
              <w:rPr>
                <w:rFonts w:ascii="Arial" w:hAnsi="Arial" w:cs="Arial"/>
                <w:sz w:val="18"/>
                <w:szCs w:val="18"/>
              </w:rPr>
            </w:pPr>
          </w:p>
        </w:tc>
        <w:tc>
          <w:tcPr>
            <w:tcW w:w="1276" w:type="dxa"/>
            <w:vAlign w:val="center"/>
          </w:tcPr>
          <w:p w14:paraId="2B5320BC" w14:textId="77777777" w:rsidR="007B34B2" w:rsidRPr="00C17D08" w:rsidRDefault="007B34B2" w:rsidP="00557382">
            <w:pPr>
              <w:jc w:val="right"/>
              <w:rPr>
                <w:rFonts w:ascii="Arial" w:hAnsi="Arial" w:cs="Arial"/>
                <w:sz w:val="18"/>
                <w:szCs w:val="18"/>
              </w:rPr>
            </w:pPr>
          </w:p>
        </w:tc>
        <w:tc>
          <w:tcPr>
            <w:tcW w:w="1417" w:type="dxa"/>
            <w:vAlign w:val="center"/>
          </w:tcPr>
          <w:p w14:paraId="2F1BA025" w14:textId="77777777" w:rsidR="007B34B2" w:rsidRPr="00C17D08" w:rsidRDefault="007B34B2" w:rsidP="00557382">
            <w:pPr>
              <w:jc w:val="center"/>
              <w:rPr>
                <w:rFonts w:ascii="Arial" w:hAnsi="Arial" w:cs="Arial"/>
                <w:sz w:val="18"/>
                <w:szCs w:val="18"/>
              </w:rPr>
            </w:pPr>
          </w:p>
        </w:tc>
      </w:tr>
      <w:tr w:rsidR="007B34B2" w:rsidRPr="00C17D08" w14:paraId="77139180" w14:textId="77777777" w:rsidTr="00066653">
        <w:trPr>
          <w:trHeight w:val="454"/>
          <w:jc w:val="center"/>
        </w:trPr>
        <w:tc>
          <w:tcPr>
            <w:tcW w:w="3261" w:type="dxa"/>
            <w:vAlign w:val="center"/>
          </w:tcPr>
          <w:p w14:paraId="694DBE19" w14:textId="77777777" w:rsidR="007B34B2" w:rsidRPr="00C17D08" w:rsidRDefault="007B34B2" w:rsidP="00557382">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6682C20F" w14:textId="32D4A87D" w:rsidR="007B34B2" w:rsidRPr="00C17D08" w:rsidRDefault="00F3743D" w:rsidP="00557382">
            <w:pPr>
              <w:jc w:val="right"/>
              <w:rPr>
                <w:rFonts w:ascii="Arial" w:hAnsi="Arial" w:cs="Arial"/>
                <w:sz w:val="18"/>
                <w:szCs w:val="18"/>
              </w:rPr>
            </w:pPr>
            <w:r>
              <w:rPr>
                <w:rFonts w:ascii="Arial" w:hAnsi="Arial" w:cs="Arial"/>
                <w:sz w:val="18"/>
                <w:szCs w:val="18"/>
              </w:rPr>
              <w:t>21</w:t>
            </w:r>
            <w:r w:rsidR="00DC39E1">
              <w:rPr>
                <w:rFonts w:ascii="Arial" w:hAnsi="Arial" w:cs="Arial"/>
                <w:sz w:val="18"/>
                <w:szCs w:val="18"/>
              </w:rPr>
              <w:t>.</w:t>
            </w:r>
            <w:r>
              <w:rPr>
                <w:rFonts w:ascii="Arial" w:hAnsi="Arial" w:cs="Arial"/>
                <w:sz w:val="18"/>
                <w:szCs w:val="18"/>
              </w:rPr>
              <w:t>497</w:t>
            </w:r>
            <w:r w:rsidR="00DC39E1">
              <w:rPr>
                <w:rFonts w:ascii="Arial" w:hAnsi="Arial" w:cs="Arial"/>
                <w:sz w:val="18"/>
                <w:szCs w:val="18"/>
              </w:rPr>
              <w:t>.</w:t>
            </w:r>
            <w:r>
              <w:rPr>
                <w:rFonts w:ascii="Arial" w:hAnsi="Arial" w:cs="Arial"/>
                <w:sz w:val="18"/>
                <w:szCs w:val="18"/>
              </w:rPr>
              <w:t>893</w:t>
            </w:r>
          </w:p>
        </w:tc>
        <w:tc>
          <w:tcPr>
            <w:tcW w:w="1418" w:type="dxa"/>
            <w:vAlign w:val="center"/>
          </w:tcPr>
          <w:p w14:paraId="415BB8C1" w14:textId="34EA583B" w:rsidR="007B34B2" w:rsidRPr="00C17D08" w:rsidRDefault="00DC39E1" w:rsidP="00557382">
            <w:pPr>
              <w:jc w:val="center"/>
              <w:rPr>
                <w:rFonts w:ascii="Arial" w:hAnsi="Arial" w:cs="Arial"/>
                <w:sz w:val="18"/>
                <w:szCs w:val="18"/>
              </w:rPr>
            </w:pPr>
            <w:r>
              <w:rPr>
                <w:rFonts w:ascii="Arial" w:hAnsi="Arial" w:cs="Arial"/>
                <w:sz w:val="18"/>
                <w:szCs w:val="18"/>
              </w:rPr>
              <w:t>1</w:t>
            </w:r>
            <w:r w:rsidR="00B93E02">
              <w:rPr>
                <w:rFonts w:ascii="Arial" w:hAnsi="Arial" w:cs="Arial"/>
                <w:sz w:val="18"/>
                <w:szCs w:val="18"/>
              </w:rPr>
              <w:t>5</w:t>
            </w:r>
            <w:r>
              <w:rPr>
                <w:rFonts w:ascii="Arial" w:hAnsi="Arial" w:cs="Arial"/>
                <w:sz w:val="18"/>
                <w:szCs w:val="18"/>
              </w:rPr>
              <w:t>,6</w:t>
            </w:r>
            <w:r w:rsidR="00B93E02">
              <w:rPr>
                <w:rFonts w:ascii="Arial" w:hAnsi="Arial" w:cs="Arial"/>
                <w:sz w:val="18"/>
                <w:szCs w:val="18"/>
              </w:rPr>
              <w:t>9</w:t>
            </w:r>
            <w:r>
              <w:rPr>
                <w:rFonts w:ascii="Arial" w:hAnsi="Arial" w:cs="Arial"/>
                <w:sz w:val="18"/>
                <w:szCs w:val="18"/>
              </w:rPr>
              <w:t>%</w:t>
            </w:r>
          </w:p>
        </w:tc>
        <w:tc>
          <w:tcPr>
            <w:tcW w:w="1276" w:type="dxa"/>
            <w:vAlign w:val="center"/>
          </w:tcPr>
          <w:p w14:paraId="76CB8EE4" w14:textId="29B5C781" w:rsidR="007B34B2" w:rsidRPr="00C17D08" w:rsidRDefault="00D01297" w:rsidP="00557382">
            <w:pPr>
              <w:jc w:val="right"/>
              <w:rPr>
                <w:rFonts w:ascii="Arial" w:hAnsi="Arial" w:cs="Arial"/>
                <w:sz w:val="18"/>
                <w:szCs w:val="18"/>
              </w:rPr>
            </w:pPr>
            <w:r>
              <w:rPr>
                <w:rFonts w:ascii="Arial" w:hAnsi="Arial" w:cs="Arial"/>
                <w:sz w:val="18"/>
                <w:szCs w:val="18"/>
              </w:rPr>
              <w:t>11</w:t>
            </w:r>
            <w:r w:rsidR="00A30CC7">
              <w:rPr>
                <w:rFonts w:ascii="Arial" w:hAnsi="Arial" w:cs="Arial"/>
                <w:sz w:val="18"/>
                <w:szCs w:val="18"/>
              </w:rPr>
              <w:t>.</w:t>
            </w:r>
            <w:r>
              <w:rPr>
                <w:rFonts w:ascii="Arial" w:hAnsi="Arial" w:cs="Arial"/>
                <w:sz w:val="18"/>
                <w:szCs w:val="18"/>
              </w:rPr>
              <w:t>991</w:t>
            </w:r>
            <w:r w:rsidR="00A30CC7">
              <w:rPr>
                <w:rFonts w:ascii="Arial" w:hAnsi="Arial" w:cs="Arial"/>
                <w:sz w:val="18"/>
                <w:szCs w:val="18"/>
              </w:rPr>
              <w:t>.</w:t>
            </w:r>
            <w:r>
              <w:rPr>
                <w:rFonts w:ascii="Arial" w:hAnsi="Arial" w:cs="Arial"/>
                <w:sz w:val="18"/>
                <w:szCs w:val="18"/>
              </w:rPr>
              <w:t>665</w:t>
            </w:r>
          </w:p>
        </w:tc>
        <w:tc>
          <w:tcPr>
            <w:tcW w:w="1417" w:type="dxa"/>
            <w:vAlign w:val="center"/>
          </w:tcPr>
          <w:p w14:paraId="7A35A54E" w14:textId="02E6A251" w:rsidR="007B34B2" w:rsidRPr="00C17D08" w:rsidRDefault="00A30CC7" w:rsidP="00557382">
            <w:pPr>
              <w:spacing w:line="360" w:lineRule="auto"/>
              <w:jc w:val="center"/>
              <w:rPr>
                <w:rFonts w:ascii="Arial" w:hAnsi="Arial" w:cs="Arial"/>
                <w:sz w:val="18"/>
                <w:szCs w:val="18"/>
              </w:rPr>
            </w:pPr>
            <w:r>
              <w:rPr>
                <w:rFonts w:ascii="Arial" w:hAnsi="Arial" w:cs="Arial"/>
                <w:sz w:val="18"/>
                <w:szCs w:val="18"/>
              </w:rPr>
              <w:t>1</w:t>
            </w:r>
            <w:r w:rsidR="00D01297">
              <w:rPr>
                <w:rFonts w:ascii="Arial" w:hAnsi="Arial" w:cs="Arial"/>
                <w:sz w:val="18"/>
                <w:szCs w:val="18"/>
              </w:rPr>
              <w:t>2</w:t>
            </w:r>
            <w:r w:rsidR="00300DD6">
              <w:rPr>
                <w:rFonts w:ascii="Arial" w:hAnsi="Arial" w:cs="Arial"/>
                <w:sz w:val="18"/>
                <w:szCs w:val="18"/>
              </w:rPr>
              <w:t>,</w:t>
            </w:r>
            <w:r w:rsidR="00D01297">
              <w:rPr>
                <w:rFonts w:ascii="Arial" w:hAnsi="Arial" w:cs="Arial"/>
                <w:sz w:val="18"/>
                <w:szCs w:val="18"/>
              </w:rPr>
              <w:t>40</w:t>
            </w:r>
            <w:r>
              <w:rPr>
                <w:rFonts w:ascii="Arial" w:hAnsi="Arial" w:cs="Arial"/>
                <w:sz w:val="18"/>
                <w:szCs w:val="18"/>
              </w:rPr>
              <w:t>%</w:t>
            </w:r>
          </w:p>
        </w:tc>
      </w:tr>
      <w:tr w:rsidR="007B34B2" w:rsidRPr="00C17D08" w14:paraId="105E67F2" w14:textId="77777777" w:rsidTr="00066653">
        <w:trPr>
          <w:trHeight w:val="207"/>
          <w:jc w:val="center"/>
        </w:trPr>
        <w:tc>
          <w:tcPr>
            <w:tcW w:w="3261" w:type="dxa"/>
            <w:vAlign w:val="center"/>
          </w:tcPr>
          <w:p w14:paraId="44C1D88E" w14:textId="77777777" w:rsidR="007B34B2" w:rsidRPr="00C17D08" w:rsidRDefault="007B34B2" w:rsidP="00557382">
            <w:pPr>
              <w:rPr>
                <w:rFonts w:ascii="Arial" w:hAnsi="Arial" w:cs="Arial"/>
                <w:sz w:val="18"/>
                <w:szCs w:val="18"/>
              </w:rPr>
            </w:pPr>
          </w:p>
        </w:tc>
        <w:tc>
          <w:tcPr>
            <w:tcW w:w="1417" w:type="dxa"/>
            <w:vAlign w:val="center"/>
          </w:tcPr>
          <w:p w14:paraId="5B9D9F91" w14:textId="77777777" w:rsidR="007B34B2" w:rsidRPr="00C17D08" w:rsidRDefault="007B34B2" w:rsidP="00557382">
            <w:pPr>
              <w:jc w:val="right"/>
              <w:rPr>
                <w:rFonts w:ascii="Arial" w:hAnsi="Arial" w:cs="Arial"/>
                <w:sz w:val="18"/>
                <w:szCs w:val="18"/>
              </w:rPr>
            </w:pPr>
          </w:p>
        </w:tc>
        <w:tc>
          <w:tcPr>
            <w:tcW w:w="1418" w:type="dxa"/>
            <w:vAlign w:val="center"/>
          </w:tcPr>
          <w:p w14:paraId="48FF71AA" w14:textId="77777777" w:rsidR="007B34B2" w:rsidRPr="00C17D08" w:rsidRDefault="007B34B2" w:rsidP="00557382">
            <w:pPr>
              <w:jc w:val="center"/>
              <w:rPr>
                <w:rFonts w:ascii="Arial" w:hAnsi="Arial" w:cs="Arial"/>
                <w:sz w:val="18"/>
                <w:szCs w:val="18"/>
              </w:rPr>
            </w:pPr>
          </w:p>
        </w:tc>
        <w:tc>
          <w:tcPr>
            <w:tcW w:w="1276" w:type="dxa"/>
            <w:vAlign w:val="center"/>
          </w:tcPr>
          <w:p w14:paraId="0AB8677E" w14:textId="77777777" w:rsidR="007B34B2" w:rsidRPr="00C17D08" w:rsidRDefault="007B34B2" w:rsidP="00557382">
            <w:pPr>
              <w:jc w:val="right"/>
              <w:rPr>
                <w:rFonts w:ascii="Arial" w:hAnsi="Arial" w:cs="Arial"/>
                <w:sz w:val="18"/>
                <w:szCs w:val="18"/>
              </w:rPr>
            </w:pPr>
          </w:p>
        </w:tc>
        <w:tc>
          <w:tcPr>
            <w:tcW w:w="1417" w:type="dxa"/>
            <w:vAlign w:val="center"/>
          </w:tcPr>
          <w:p w14:paraId="5F67135B" w14:textId="77777777" w:rsidR="007B34B2" w:rsidRPr="00C17D08" w:rsidRDefault="007B34B2" w:rsidP="00557382">
            <w:pPr>
              <w:jc w:val="center"/>
              <w:rPr>
                <w:rFonts w:ascii="Arial" w:hAnsi="Arial" w:cs="Arial"/>
                <w:sz w:val="18"/>
                <w:szCs w:val="18"/>
              </w:rPr>
            </w:pPr>
          </w:p>
        </w:tc>
      </w:tr>
      <w:tr w:rsidR="007B34B2" w:rsidRPr="00C17D08" w14:paraId="1B14320D" w14:textId="77777777" w:rsidTr="00066653">
        <w:trPr>
          <w:trHeight w:val="454"/>
          <w:jc w:val="center"/>
        </w:trPr>
        <w:tc>
          <w:tcPr>
            <w:tcW w:w="3261" w:type="dxa"/>
            <w:vAlign w:val="center"/>
          </w:tcPr>
          <w:p w14:paraId="10C6793F" w14:textId="77777777" w:rsidR="007B34B2" w:rsidRPr="00C17D08" w:rsidRDefault="007B34B2" w:rsidP="00557382">
            <w:pPr>
              <w:rPr>
                <w:rFonts w:ascii="Arial" w:hAnsi="Arial" w:cs="Arial"/>
                <w:sz w:val="18"/>
                <w:szCs w:val="18"/>
              </w:rPr>
            </w:pPr>
            <w:r>
              <w:rPr>
                <w:rFonts w:ascii="Arial" w:hAnsi="Arial" w:cs="Arial"/>
                <w:sz w:val="18"/>
                <w:szCs w:val="18"/>
              </w:rPr>
              <w:t>100 siguientes mayores clientes</w:t>
            </w:r>
          </w:p>
        </w:tc>
        <w:tc>
          <w:tcPr>
            <w:tcW w:w="1417" w:type="dxa"/>
            <w:vAlign w:val="center"/>
          </w:tcPr>
          <w:p w14:paraId="2926208F" w14:textId="6D8CA1E7" w:rsidR="007B34B2" w:rsidRPr="00C17D08" w:rsidRDefault="00F3743D" w:rsidP="00557382">
            <w:pPr>
              <w:jc w:val="right"/>
              <w:rPr>
                <w:rFonts w:ascii="Arial" w:hAnsi="Arial" w:cs="Arial"/>
                <w:sz w:val="18"/>
                <w:szCs w:val="18"/>
              </w:rPr>
            </w:pPr>
            <w:r>
              <w:rPr>
                <w:rFonts w:ascii="Arial" w:hAnsi="Arial" w:cs="Arial"/>
                <w:sz w:val="18"/>
                <w:szCs w:val="18"/>
              </w:rPr>
              <w:t>7</w:t>
            </w:r>
            <w:r w:rsidR="00DC39E1">
              <w:rPr>
                <w:rFonts w:ascii="Arial" w:hAnsi="Arial" w:cs="Arial"/>
                <w:sz w:val="18"/>
                <w:szCs w:val="18"/>
              </w:rPr>
              <w:t>.</w:t>
            </w:r>
            <w:r>
              <w:rPr>
                <w:rFonts w:ascii="Arial" w:hAnsi="Arial" w:cs="Arial"/>
                <w:sz w:val="18"/>
                <w:szCs w:val="18"/>
              </w:rPr>
              <w:t>083</w:t>
            </w:r>
            <w:r w:rsidR="00DC39E1">
              <w:rPr>
                <w:rFonts w:ascii="Arial" w:hAnsi="Arial" w:cs="Arial"/>
                <w:sz w:val="18"/>
                <w:szCs w:val="18"/>
              </w:rPr>
              <w:t>.</w:t>
            </w:r>
            <w:r>
              <w:rPr>
                <w:rFonts w:ascii="Arial" w:hAnsi="Arial" w:cs="Arial"/>
                <w:sz w:val="18"/>
                <w:szCs w:val="18"/>
              </w:rPr>
              <w:t>255</w:t>
            </w:r>
          </w:p>
        </w:tc>
        <w:tc>
          <w:tcPr>
            <w:tcW w:w="1418" w:type="dxa"/>
            <w:vAlign w:val="center"/>
          </w:tcPr>
          <w:p w14:paraId="36BBCA0B" w14:textId="457953D9" w:rsidR="007B34B2" w:rsidRPr="00C17D08" w:rsidRDefault="00DC39E1" w:rsidP="00557382">
            <w:pPr>
              <w:jc w:val="center"/>
              <w:rPr>
                <w:rFonts w:ascii="Arial" w:hAnsi="Arial" w:cs="Arial"/>
                <w:sz w:val="18"/>
                <w:szCs w:val="18"/>
              </w:rPr>
            </w:pPr>
            <w:r>
              <w:rPr>
                <w:rFonts w:ascii="Arial" w:hAnsi="Arial" w:cs="Arial"/>
                <w:sz w:val="18"/>
                <w:szCs w:val="18"/>
              </w:rPr>
              <w:t>5,</w:t>
            </w:r>
            <w:r w:rsidR="00B93E02">
              <w:rPr>
                <w:rFonts w:ascii="Arial" w:hAnsi="Arial" w:cs="Arial"/>
                <w:sz w:val="18"/>
                <w:szCs w:val="18"/>
              </w:rPr>
              <w:t>17</w:t>
            </w:r>
            <w:r>
              <w:rPr>
                <w:rFonts w:ascii="Arial" w:hAnsi="Arial" w:cs="Arial"/>
                <w:sz w:val="18"/>
                <w:szCs w:val="18"/>
              </w:rPr>
              <w:t>%</w:t>
            </w:r>
          </w:p>
        </w:tc>
        <w:tc>
          <w:tcPr>
            <w:tcW w:w="1276" w:type="dxa"/>
            <w:vAlign w:val="center"/>
          </w:tcPr>
          <w:p w14:paraId="5D42D565" w14:textId="0FB86D16" w:rsidR="007B34B2" w:rsidRPr="00C17D08" w:rsidRDefault="00D01297" w:rsidP="00557382">
            <w:pPr>
              <w:jc w:val="right"/>
              <w:rPr>
                <w:rFonts w:ascii="Arial" w:hAnsi="Arial" w:cs="Arial"/>
                <w:sz w:val="18"/>
                <w:szCs w:val="18"/>
              </w:rPr>
            </w:pPr>
            <w:r>
              <w:rPr>
                <w:rFonts w:ascii="Arial" w:hAnsi="Arial" w:cs="Arial"/>
                <w:sz w:val="18"/>
                <w:szCs w:val="18"/>
              </w:rPr>
              <w:t>6</w:t>
            </w:r>
            <w:r w:rsidR="00A30CC7">
              <w:rPr>
                <w:rFonts w:ascii="Arial" w:hAnsi="Arial" w:cs="Arial"/>
                <w:sz w:val="18"/>
                <w:szCs w:val="18"/>
              </w:rPr>
              <w:t>.</w:t>
            </w:r>
            <w:r>
              <w:rPr>
                <w:rFonts w:ascii="Arial" w:hAnsi="Arial" w:cs="Arial"/>
                <w:sz w:val="18"/>
                <w:szCs w:val="18"/>
              </w:rPr>
              <w:t>018</w:t>
            </w:r>
            <w:r w:rsidR="00A30CC7">
              <w:rPr>
                <w:rFonts w:ascii="Arial" w:hAnsi="Arial" w:cs="Arial"/>
                <w:sz w:val="18"/>
                <w:szCs w:val="18"/>
              </w:rPr>
              <w:t>.</w:t>
            </w:r>
            <w:r>
              <w:rPr>
                <w:rFonts w:ascii="Arial" w:hAnsi="Arial" w:cs="Arial"/>
                <w:sz w:val="18"/>
                <w:szCs w:val="18"/>
              </w:rPr>
              <w:t>186</w:t>
            </w:r>
          </w:p>
        </w:tc>
        <w:tc>
          <w:tcPr>
            <w:tcW w:w="1417" w:type="dxa"/>
            <w:vAlign w:val="center"/>
          </w:tcPr>
          <w:p w14:paraId="680175E1" w14:textId="307F2931" w:rsidR="007B34B2" w:rsidRPr="00C17D08" w:rsidRDefault="00D01297" w:rsidP="00557382">
            <w:pPr>
              <w:jc w:val="center"/>
              <w:rPr>
                <w:rFonts w:ascii="Arial" w:hAnsi="Arial" w:cs="Arial"/>
                <w:sz w:val="18"/>
                <w:szCs w:val="18"/>
              </w:rPr>
            </w:pPr>
            <w:r>
              <w:rPr>
                <w:rFonts w:ascii="Arial" w:hAnsi="Arial" w:cs="Arial"/>
                <w:sz w:val="18"/>
                <w:szCs w:val="18"/>
              </w:rPr>
              <w:t>6</w:t>
            </w:r>
            <w:r w:rsidR="00300DD6">
              <w:rPr>
                <w:rFonts w:ascii="Arial" w:hAnsi="Arial" w:cs="Arial"/>
                <w:sz w:val="18"/>
                <w:szCs w:val="18"/>
              </w:rPr>
              <w:t>,</w:t>
            </w:r>
            <w:r>
              <w:rPr>
                <w:rFonts w:ascii="Arial" w:hAnsi="Arial" w:cs="Arial"/>
                <w:sz w:val="18"/>
                <w:szCs w:val="18"/>
              </w:rPr>
              <w:t>22</w:t>
            </w:r>
            <w:r w:rsidR="00A30CC7">
              <w:rPr>
                <w:rFonts w:ascii="Arial" w:hAnsi="Arial" w:cs="Arial"/>
                <w:sz w:val="18"/>
                <w:szCs w:val="18"/>
              </w:rPr>
              <w:t>%</w:t>
            </w:r>
          </w:p>
        </w:tc>
      </w:tr>
      <w:tr w:rsidR="007B34B2" w:rsidRPr="00C17D08" w14:paraId="281CA9C6" w14:textId="77777777" w:rsidTr="00066653">
        <w:trPr>
          <w:trHeight w:val="149"/>
          <w:jc w:val="center"/>
        </w:trPr>
        <w:tc>
          <w:tcPr>
            <w:tcW w:w="3261" w:type="dxa"/>
            <w:vAlign w:val="center"/>
          </w:tcPr>
          <w:p w14:paraId="70D0D31E" w14:textId="77777777" w:rsidR="007B34B2" w:rsidRPr="00C17D08" w:rsidRDefault="007B34B2" w:rsidP="00557382">
            <w:pPr>
              <w:rPr>
                <w:rFonts w:ascii="Arial" w:hAnsi="Arial" w:cs="Arial"/>
                <w:sz w:val="18"/>
                <w:szCs w:val="18"/>
              </w:rPr>
            </w:pPr>
          </w:p>
        </w:tc>
        <w:tc>
          <w:tcPr>
            <w:tcW w:w="1417" w:type="dxa"/>
            <w:vAlign w:val="center"/>
          </w:tcPr>
          <w:p w14:paraId="16402129" w14:textId="77777777" w:rsidR="007B34B2" w:rsidRPr="00C17D08" w:rsidRDefault="007B34B2" w:rsidP="00557382">
            <w:pPr>
              <w:jc w:val="right"/>
              <w:rPr>
                <w:rFonts w:ascii="Arial" w:hAnsi="Arial" w:cs="Arial"/>
                <w:sz w:val="18"/>
                <w:szCs w:val="18"/>
              </w:rPr>
            </w:pPr>
          </w:p>
        </w:tc>
        <w:tc>
          <w:tcPr>
            <w:tcW w:w="1418" w:type="dxa"/>
            <w:vAlign w:val="center"/>
          </w:tcPr>
          <w:p w14:paraId="3544CDBB" w14:textId="77777777" w:rsidR="007B34B2" w:rsidRPr="00C17D08" w:rsidRDefault="007B34B2" w:rsidP="00557382">
            <w:pPr>
              <w:jc w:val="center"/>
              <w:rPr>
                <w:rFonts w:ascii="Arial" w:hAnsi="Arial" w:cs="Arial"/>
                <w:sz w:val="18"/>
                <w:szCs w:val="18"/>
              </w:rPr>
            </w:pPr>
          </w:p>
        </w:tc>
        <w:tc>
          <w:tcPr>
            <w:tcW w:w="1276" w:type="dxa"/>
            <w:vAlign w:val="center"/>
          </w:tcPr>
          <w:p w14:paraId="2B953C60" w14:textId="77777777" w:rsidR="007B34B2" w:rsidRPr="00C17D08" w:rsidRDefault="007B34B2" w:rsidP="00557382">
            <w:pPr>
              <w:jc w:val="right"/>
              <w:rPr>
                <w:rFonts w:ascii="Arial" w:hAnsi="Arial" w:cs="Arial"/>
                <w:sz w:val="18"/>
                <w:szCs w:val="18"/>
              </w:rPr>
            </w:pPr>
          </w:p>
        </w:tc>
        <w:tc>
          <w:tcPr>
            <w:tcW w:w="1417" w:type="dxa"/>
            <w:vAlign w:val="center"/>
          </w:tcPr>
          <w:p w14:paraId="173A069E" w14:textId="77777777" w:rsidR="007B34B2" w:rsidRPr="00C17D08" w:rsidRDefault="007B34B2" w:rsidP="00557382">
            <w:pPr>
              <w:jc w:val="center"/>
              <w:rPr>
                <w:rFonts w:ascii="Arial" w:hAnsi="Arial" w:cs="Arial"/>
                <w:sz w:val="18"/>
                <w:szCs w:val="18"/>
              </w:rPr>
            </w:pPr>
          </w:p>
        </w:tc>
      </w:tr>
      <w:tr w:rsidR="007B34B2" w:rsidRPr="00C17D08" w14:paraId="1F2C73A6" w14:textId="77777777" w:rsidTr="00066653">
        <w:trPr>
          <w:trHeight w:val="454"/>
          <w:jc w:val="center"/>
        </w:trPr>
        <w:tc>
          <w:tcPr>
            <w:tcW w:w="3261" w:type="dxa"/>
            <w:vAlign w:val="center"/>
          </w:tcPr>
          <w:p w14:paraId="6EA9EA9E" w14:textId="77777777" w:rsidR="007B34B2" w:rsidRPr="00C17D08" w:rsidRDefault="007B34B2" w:rsidP="00557382">
            <w:pPr>
              <w:rPr>
                <w:rFonts w:ascii="Arial" w:hAnsi="Arial" w:cs="Arial"/>
                <w:sz w:val="18"/>
                <w:szCs w:val="18"/>
              </w:rPr>
            </w:pPr>
            <w:r>
              <w:rPr>
                <w:rFonts w:ascii="Arial" w:hAnsi="Arial" w:cs="Arial"/>
                <w:sz w:val="18"/>
                <w:szCs w:val="18"/>
              </w:rPr>
              <w:t>Resto de clientes</w:t>
            </w:r>
          </w:p>
        </w:tc>
        <w:tc>
          <w:tcPr>
            <w:tcW w:w="1417" w:type="dxa"/>
            <w:vAlign w:val="center"/>
          </w:tcPr>
          <w:p w14:paraId="079A9980" w14:textId="1E84923D" w:rsidR="007B34B2" w:rsidRPr="00C17D08" w:rsidRDefault="00F3743D" w:rsidP="00F3743D">
            <w:pPr>
              <w:jc w:val="right"/>
              <w:rPr>
                <w:rFonts w:ascii="Arial" w:hAnsi="Arial" w:cs="Arial"/>
                <w:sz w:val="18"/>
                <w:szCs w:val="18"/>
              </w:rPr>
            </w:pPr>
            <w:r>
              <w:rPr>
                <w:rFonts w:ascii="Arial" w:hAnsi="Arial" w:cs="Arial"/>
                <w:sz w:val="18"/>
                <w:szCs w:val="18"/>
              </w:rPr>
              <w:t>72</w:t>
            </w:r>
            <w:r w:rsidR="00DC39E1">
              <w:rPr>
                <w:rFonts w:ascii="Arial" w:hAnsi="Arial" w:cs="Arial"/>
                <w:sz w:val="18"/>
                <w:szCs w:val="18"/>
              </w:rPr>
              <w:t>.</w:t>
            </w:r>
            <w:r>
              <w:rPr>
                <w:rFonts w:ascii="Arial" w:hAnsi="Arial" w:cs="Arial"/>
                <w:sz w:val="18"/>
                <w:szCs w:val="18"/>
              </w:rPr>
              <w:t>233</w:t>
            </w:r>
            <w:r w:rsidR="00DC39E1">
              <w:rPr>
                <w:rFonts w:ascii="Arial" w:hAnsi="Arial" w:cs="Arial"/>
                <w:sz w:val="18"/>
                <w:szCs w:val="18"/>
              </w:rPr>
              <w:t>.</w:t>
            </w:r>
            <w:r>
              <w:rPr>
                <w:rFonts w:ascii="Arial" w:hAnsi="Arial" w:cs="Arial"/>
                <w:sz w:val="18"/>
                <w:szCs w:val="18"/>
              </w:rPr>
              <w:t>488</w:t>
            </w:r>
          </w:p>
        </w:tc>
        <w:tc>
          <w:tcPr>
            <w:tcW w:w="1418" w:type="dxa"/>
            <w:vAlign w:val="center"/>
          </w:tcPr>
          <w:p w14:paraId="50FF7EC4" w14:textId="178AAC9B" w:rsidR="007B34B2" w:rsidRPr="00C17D08" w:rsidRDefault="00DC39E1" w:rsidP="00557382">
            <w:pPr>
              <w:jc w:val="center"/>
              <w:rPr>
                <w:rFonts w:ascii="Arial" w:hAnsi="Arial" w:cs="Arial"/>
                <w:sz w:val="18"/>
                <w:szCs w:val="18"/>
              </w:rPr>
            </w:pPr>
            <w:r>
              <w:rPr>
                <w:rFonts w:ascii="Arial" w:hAnsi="Arial" w:cs="Arial"/>
                <w:sz w:val="18"/>
                <w:szCs w:val="18"/>
              </w:rPr>
              <w:t>5</w:t>
            </w:r>
            <w:r w:rsidR="00B93E02">
              <w:rPr>
                <w:rFonts w:ascii="Arial" w:hAnsi="Arial" w:cs="Arial"/>
                <w:sz w:val="18"/>
                <w:szCs w:val="18"/>
              </w:rPr>
              <w:t>2</w:t>
            </w:r>
            <w:r>
              <w:rPr>
                <w:rFonts w:ascii="Arial" w:hAnsi="Arial" w:cs="Arial"/>
                <w:sz w:val="18"/>
                <w:szCs w:val="18"/>
              </w:rPr>
              <w:t>,7</w:t>
            </w:r>
            <w:r w:rsidR="00B93E02">
              <w:rPr>
                <w:rFonts w:ascii="Arial" w:hAnsi="Arial" w:cs="Arial"/>
                <w:sz w:val="18"/>
                <w:szCs w:val="18"/>
              </w:rPr>
              <w:t>1</w:t>
            </w:r>
            <w:r>
              <w:rPr>
                <w:rFonts w:ascii="Arial" w:hAnsi="Arial" w:cs="Arial"/>
                <w:sz w:val="18"/>
                <w:szCs w:val="18"/>
              </w:rPr>
              <w:t>%</w:t>
            </w:r>
          </w:p>
        </w:tc>
        <w:tc>
          <w:tcPr>
            <w:tcW w:w="1276" w:type="dxa"/>
            <w:vAlign w:val="center"/>
          </w:tcPr>
          <w:p w14:paraId="74AF190A" w14:textId="5D069C56" w:rsidR="007B34B2" w:rsidRPr="00C17D08" w:rsidRDefault="00D01297" w:rsidP="00557382">
            <w:pPr>
              <w:jc w:val="right"/>
              <w:rPr>
                <w:rFonts w:ascii="Arial" w:hAnsi="Arial" w:cs="Arial"/>
                <w:sz w:val="18"/>
                <w:szCs w:val="18"/>
              </w:rPr>
            </w:pPr>
            <w:r>
              <w:rPr>
                <w:rFonts w:ascii="Arial" w:hAnsi="Arial" w:cs="Arial"/>
                <w:sz w:val="18"/>
                <w:szCs w:val="18"/>
              </w:rPr>
              <w:t>66</w:t>
            </w:r>
            <w:r w:rsidR="00A30CC7">
              <w:rPr>
                <w:rFonts w:ascii="Arial" w:hAnsi="Arial" w:cs="Arial"/>
                <w:sz w:val="18"/>
                <w:szCs w:val="18"/>
              </w:rPr>
              <w:t>.</w:t>
            </w:r>
            <w:r>
              <w:rPr>
                <w:rFonts w:ascii="Arial" w:hAnsi="Arial" w:cs="Arial"/>
                <w:sz w:val="18"/>
                <w:szCs w:val="18"/>
              </w:rPr>
              <w:t>327</w:t>
            </w:r>
            <w:r w:rsidR="00A30CC7">
              <w:rPr>
                <w:rFonts w:ascii="Arial" w:hAnsi="Arial" w:cs="Arial"/>
                <w:sz w:val="18"/>
                <w:szCs w:val="18"/>
              </w:rPr>
              <w:t>.</w:t>
            </w:r>
            <w:r>
              <w:rPr>
                <w:rFonts w:ascii="Arial" w:hAnsi="Arial" w:cs="Arial"/>
                <w:sz w:val="18"/>
                <w:szCs w:val="18"/>
              </w:rPr>
              <w:t>030</w:t>
            </w:r>
          </w:p>
        </w:tc>
        <w:tc>
          <w:tcPr>
            <w:tcW w:w="1417" w:type="dxa"/>
            <w:vAlign w:val="center"/>
          </w:tcPr>
          <w:p w14:paraId="7C608DCA" w14:textId="1022B77A" w:rsidR="007B34B2" w:rsidRPr="00C17D08" w:rsidRDefault="00D01297" w:rsidP="00557382">
            <w:pPr>
              <w:jc w:val="center"/>
              <w:rPr>
                <w:rFonts w:ascii="Arial" w:hAnsi="Arial" w:cs="Arial"/>
                <w:sz w:val="18"/>
                <w:szCs w:val="18"/>
              </w:rPr>
            </w:pPr>
            <w:r>
              <w:rPr>
                <w:rFonts w:ascii="Arial" w:hAnsi="Arial" w:cs="Arial"/>
                <w:sz w:val="18"/>
                <w:szCs w:val="18"/>
              </w:rPr>
              <w:t>68</w:t>
            </w:r>
            <w:r w:rsidR="00300DD6">
              <w:rPr>
                <w:rFonts w:ascii="Arial" w:hAnsi="Arial" w:cs="Arial"/>
                <w:sz w:val="18"/>
                <w:szCs w:val="18"/>
              </w:rPr>
              <w:t>,</w:t>
            </w:r>
            <w:r>
              <w:rPr>
                <w:rFonts w:ascii="Arial" w:hAnsi="Arial" w:cs="Arial"/>
                <w:sz w:val="18"/>
                <w:szCs w:val="18"/>
              </w:rPr>
              <w:t>56</w:t>
            </w:r>
            <w:r w:rsidR="00A30CC7">
              <w:rPr>
                <w:rFonts w:ascii="Arial" w:hAnsi="Arial" w:cs="Arial"/>
                <w:sz w:val="18"/>
                <w:szCs w:val="18"/>
              </w:rPr>
              <w:t>%</w:t>
            </w:r>
          </w:p>
        </w:tc>
      </w:tr>
      <w:tr w:rsidR="007B34B2" w:rsidRPr="0014647F" w14:paraId="4083F140" w14:textId="77777777" w:rsidTr="00066653">
        <w:trPr>
          <w:trHeight w:val="340"/>
          <w:jc w:val="center"/>
        </w:trPr>
        <w:tc>
          <w:tcPr>
            <w:tcW w:w="3261" w:type="dxa"/>
            <w:tcBorders>
              <w:top w:val="single" w:sz="4" w:space="0" w:color="auto"/>
              <w:bottom w:val="single" w:sz="4" w:space="0" w:color="auto"/>
            </w:tcBorders>
            <w:vAlign w:val="center"/>
          </w:tcPr>
          <w:p w14:paraId="075D6520" w14:textId="77777777" w:rsidR="007B34B2" w:rsidRPr="0014647F" w:rsidRDefault="007B34B2" w:rsidP="00557382">
            <w:pP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center"/>
          </w:tcPr>
          <w:p w14:paraId="24FD2A7C" w14:textId="6E62F769" w:rsidR="007B34B2" w:rsidRPr="0014647F" w:rsidRDefault="00DC39E1" w:rsidP="00557382">
            <w:pPr>
              <w:jc w:val="right"/>
              <w:rPr>
                <w:rFonts w:ascii="Arial" w:hAnsi="Arial" w:cs="Arial"/>
                <w:b/>
                <w:sz w:val="18"/>
                <w:szCs w:val="18"/>
              </w:rPr>
            </w:pPr>
            <w:r>
              <w:rPr>
                <w:rFonts w:ascii="Arial" w:hAnsi="Arial" w:cs="Arial"/>
                <w:b/>
                <w:sz w:val="18"/>
                <w:szCs w:val="18"/>
              </w:rPr>
              <w:t>1</w:t>
            </w:r>
            <w:r w:rsidR="00F3743D">
              <w:rPr>
                <w:rFonts w:ascii="Arial" w:hAnsi="Arial" w:cs="Arial"/>
                <w:b/>
                <w:sz w:val="18"/>
                <w:szCs w:val="18"/>
              </w:rPr>
              <w:t>37</w:t>
            </w:r>
            <w:r>
              <w:rPr>
                <w:rFonts w:ascii="Arial" w:hAnsi="Arial" w:cs="Arial"/>
                <w:b/>
                <w:sz w:val="18"/>
                <w:szCs w:val="18"/>
              </w:rPr>
              <w:t>.</w:t>
            </w:r>
            <w:r w:rsidR="00F3743D">
              <w:rPr>
                <w:rFonts w:ascii="Arial" w:hAnsi="Arial" w:cs="Arial"/>
                <w:b/>
                <w:sz w:val="18"/>
                <w:szCs w:val="18"/>
              </w:rPr>
              <w:t>035</w:t>
            </w:r>
            <w:r>
              <w:rPr>
                <w:rFonts w:ascii="Arial" w:hAnsi="Arial" w:cs="Arial"/>
                <w:b/>
                <w:sz w:val="18"/>
                <w:szCs w:val="18"/>
              </w:rPr>
              <w:t>.</w:t>
            </w:r>
            <w:r w:rsidR="00F3743D">
              <w:rPr>
                <w:rFonts w:ascii="Arial" w:hAnsi="Arial" w:cs="Arial"/>
                <w:b/>
                <w:sz w:val="18"/>
                <w:szCs w:val="18"/>
              </w:rPr>
              <w:t>304</w:t>
            </w:r>
          </w:p>
        </w:tc>
        <w:tc>
          <w:tcPr>
            <w:tcW w:w="1418" w:type="dxa"/>
            <w:tcBorders>
              <w:top w:val="single" w:sz="4" w:space="0" w:color="auto"/>
              <w:bottom w:val="single" w:sz="4" w:space="0" w:color="auto"/>
            </w:tcBorders>
            <w:vAlign w:val="center"/>
          </w:tcPr>
          <w:p w14:paraId="1F5390D2" w14:textId="28EBA46F" w:rsidR="007B34B2" w:rsidRPr="0014647F" w:rsidRDefault="00DC39E1" w:rsidP="00557382">
            <w:pPr>
              <w:jc w:val="center"/>
              <w:rPr>
                <w:rFonts w:ascii="Arial" w:hAnsi="Arial" w:cs="Arial"/>
                <w:b/>
                <w:sz w:val="18"/>
                <w:szCs w:val="18"/>
              </w:rPr>
            </w:pPr>
            <w:r>
              <w:rPr>
                <w:rFonts w:ascii="Arial" w:hAnsi="Arial" w:cs="Arial"/>
                <w:b/>
                <w:sz w:val="18"/>
                <w:szCs w:val="18"/>
              </w:rPr>
              <w:t>100,00%</w:t>
            </w:r>
          </w:p>
        </w:tc>
        <w:tc>
          <w:tcPr>
            <w:tcW w:w="1276" w:type="dxa"/>
            <w:tcBorders>
              <w:top w:val="single" w:sz="4" w:space="0" w:color="auto"/>
              <w:bottom w:val="single" w:sz="4" w:space="0" w:color="auto"/>
            </w:tcBorders>
            <w:vAlign w:val="center"/>
          </w:tcPr>
          <w:p w14:paraId="63E77D7C" w14:textId="5F79AE85" w:rsidR="007B34B2" w:rsidRPr="0014647F" w:rsidRDefault="00A30CC7" w:rsidP="00557382">
            <w:pPr>
              <w:jc w:val="right"/>
              <w:rPr>
                <w:rFonts w:ascii="Arial" w:hAnsi="Arial" w:cs="Arial"/>
                <w:b/>
                <w:sz w:val="18"/>
                <w:szCs w:val="18"/>
              </w:rPr>
            </w:pPr>
            <w:r>
              <w:rPr>
                <w:rFonts w:ascii="Arial" w:hAnsi="Arial" w:cs="Arial"/>
                <w:b/>
                <w:sz w:val="18"/>
                <w:szCs w:val="18"/>
              </w:rPr>
              <w:t>9</w:t>
            </w:r>
            <w:r w:rsidR="00D01297">
              <w:rPr>
                <w:rFonts w:ascii="Arial" w:hAnsi="Arial" w:cs="Arial"/>
                <w:b/>
                <w:sz w:val="18"/>
                <w:szCs w:val="18"/>
              </w:rPr>
              <w:t>6</w:t>
            </w:r>
            <w:r>
              <w:rPr>
                <w:rFonts w:ascii="Arial" w:hAnsi="Arial" w:cs="Arial"/>
                <w:b/>
                <w:sz w:val="18"/>
                <w:szCs w:val="18"/>
              </w:rPr>
              <w:t>.</w:t>
            </w:r>
            <w:r w:rsidR="00D01297">
              <w:rPr>
                <w:rFonts w:ascii="Arial" w:hAnsi="Arial" w:cs="Arial"/>
                <w:b/>
                <w:sz w:val="18"/>
                <w:szCs w:val="18"/>
              </w:rPr>
              <w:t>736.559</w:t>
            </w:r>
          </w:p>
        </w:tc>
        <w:tc>
          <w:tcPr>
            <w:tcW w:w="1417" w:type="dxa"/>
            <w:tcBorders>
              <w:top w:val="single" w:sz="4" w:space="0" w:color="auto"/>
              <w:bottom w:val="single" w:sz="4" w:space="0" w:color="auto"/>
            </w:tcBorders>
            <w:vAlign w:val="center"/>
          </w:tcPr>
          <w:p w14:paraId="42C5FCE7" w14:textId="39DBFABB" w:rsidR="007B34B2" w:rsidRPr="0014647F" w:rsidRDefault="00A30CC7" w:rsidP="00557382">
            <w:pPr>
              <w:jc w:val="center"/>
              <w:rPr>
                <w:rFonts w:ascii="Arial" w:hAnsi="Arial" w:cs="Arial"/>
                <w:b/>
                <w:sz w:val="18"/>
                <w:szCs w:val="18"/>
              </w:rPr>
            </w:pPr>
            <w:r>
              <w:rPr>
                <w:rFonts w:ascii="Arial" w:hAnsi="Arial" w:cs="Arial"/>
                <w:b/>
                <w:sz w:val="18"/>
                <w:szCs w:val="18"/>
              </w:rPr>
              <w:t>100</w:t>
            </w:r>
            <w:r w:rsidR="00300DD6">
              <w:rPr>
                <w:rFonts w:ascii="Arial" w:hAnsi="Arial" w:cs="Arial"/>
                <w:b/>
                <w:sz w:val="18"/>
                <w:szCs w:val="18"/>
              </w:rPr>
              <w:t>,00</w:t>
            </w:r>
            <w:r>
              <w:rPr>
                <w:rFonts w:ascii="Arial" w:hAnsi="Arial" w:cs="Arial"/>
                <w:b/>
                <w:sz w:val="18"/>
                <w:szCs w:val="18"/>
              </w:rPr>
              <w:t>%</w:t>
            </w:r>
          </w:p>
        </w:tc>
      </w:tr>
    </w:tbl>
    <w:p w14:paraId="391FD568" w14:textId="57527251" w:rsidR="00860C48" w:rsidRPr="00701F32" w:rsidRDefault="00860C48" w:rsidP="008962C9">
      <w:pPr>
        <w:rPr>
          <w:lang w:val="en-US"/>
        </w:rPr>
      </w:pPr>
    </w:p>
    <w:p w14:paraId="154AC156" w14:textId="77777777" w:rsidR="00860C48" w:rsidRPr="00701F32" w:rsidRDefault="00860C48" w:rsidP="008962C9">
      <w:pPr>
        <w:rPr>
          <w:lang w:val="en-US"/>
        </w:rPr>
      </w:pPr>
    </w:p>
    <w:p w14:paraId="6FE7CFD0" w14:textId="77777777" w:rsidR="00860C48" w:rsidRPr="00701F32" w:rsidRDefault="00860C48" w:rsidP="008962C9">
      <w:pPr>
        <w:rPr>
          <w:lang w:val="en-US"/>
        </w:rPr>
        <w:sectPr w:rsidR="00860C48" w:rsidRPr="00701F32" w:rsidSect="00425F99">
          <w:headerReference w:type="default" r:id="rId44"/>
          <w:pgSz w:w="11907" w:h="16839" w:code="9"/>
          <w:pgMar w:top="1418" w:right="1701" w:bottom="1418" w:left="1701" w:header="567" w:footer="0" w:gutter="0"/>
          <w:paperSrc w:first="256" w:other="256"/>
          <w:cols w:space="720"/>
          <w:docGrid w:linePitch="326"/>
        </w:sectPr>
      </w:pPr>
    </w:p>
    <w:p w14:paraId="755A3011" w14:textId="77777777" w:rsidR="007B34B2" w:rsidRPr="00701F32" w:rsidRDefault="000D4C17" w:rsidP="008962C9">
      <w:pPr>
        <w:rPr>
          <w:lang w:val="en-US"/>
        </w:rPr>
      </w:pPr>
      <w:r w:rsidRPr="00701F32">
        <w:rPr>
          <w:lang w:val="en-US"/>
        </w:rPr>
        <w:lastRenderedPageBreak/>
        <w:t xml:space="preserve"> </w:t>
      </w:r>
    </w:p>
    <w:tbl>
      <w:tblPr>
        <w:tblStyle w:val="TableGrid"/>
        <w:tblW w:w="10126" w:type="dxa"/>
        <w:tblInd w:w="-365" w:type="dxa"/>
        <w:tblLook w:val="04A0" w:firstRow="1" w:lastRow="0" w:firstColumn="1" w:lastColumn="0" w:noHBand="0" w:noVBand="1"/>
      </w:tblPr>
      <w:tblGrid>
        <w:gridCol w:w="2904"/>
        <w:gridCol w:w="1106"/>
        <w:gridCol w:w="1017"/>
        <w:gridCol w:w="1017"/>
        <w:gridCol w:w="954"/>
        <w:gridCol w:w="954"/>
        <w:gridCol w:w="1068"/>
        <w:gridCol w:w="1106"/>
      </w:tblGrid>
      <w:tr w:rsidR="00A968C4" w:rsidRPr="00EA7AC7" w14:paraId="3C52BD88" w14:textId="77777777" w:rsidTr="000D2FC0">
        <w:trPr>
          <w:trHeight w:val="164"/>
        </w:trPr>
        <w:tc>
          <w:tcPr>
            <w:tcW w:w="290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F2FF61"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Concepto</w:t>
            </w:r>
          </w:p>
        </w:tc>
        <w:tc>
          <w:tcPr>
            <w:tcW w:w="7222"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3BE1D0"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Plazos que restan para su vencimiento</w:t>
            </w:r>
          </w:p>
        </w:tc>
      </w:tr>
      <w:tr w:rsidR="00A968C4" w:rsidRPr="00EA7AC7" w14:paraId="16D880B1" w14:textId="77777777" w:rsidTr="000D2FC0">
        <w:trPr>
          <w:trHeight w:val="549"/>
        </w:trPr>
        <w:tc>
          <w:tcPr>
            <w:tcW w:w="2904" w:type="dxa"/>
            <w:vMerge/>
            <w:tcBorders>
              <w:top w:val="single" w:sz="4" w:space="0" w:color="auto"/>
              <w:bottom w:val="single" w:sz="4" w:space="0" w:color="auto"/>
            </w:tcBorders>
            <w:shd w:val="clear" w:color="auto" w:fill="BFBFBF" w:themeFill="background1" w:themeFillShade="BF"/>
            <w:vAlign w:val="center"/>
          </w:tcPr>
          <w:p w14:paraId="4D3DE37F" w14:textId="77777777" w:rsidR="007B34B2" w:rsidRPr="00066653" w:rsidRDefault="007B34B2" w:rsidP="00BE5A48">
            <w:pPr>
              <w:jc w:val="center"/>
              <w:rPr>
                <w:rFonts w:ascii="Arial" w:hAnsi="Arial" w:cs="Arial"/>
                <w:b/>
                <w:sz w:val="16"/>
                <w:szCs w:val="16"/>
                <w:lang w:eastAsia="es-AR"/>
              </w:rPr>
            </w:pPr>
          </w:p>
        </w:tc>
        <w:tc>
          <w:tcPr>
            <w:tcW w:w="1106" w:type="dxa"/>
            <w:tcBorders>
              <w:top w:val="single" w:sz="4" w:space="0" w:color="auto"/>
              <w:bottom w:val="single" w:sz="4" w:space="0" w:color="auto"/>
            </w:tcBorders>
            <w:shd w:val="clear" w:color="auto" w:fill="BFBFBF" w:themeFill="background1" w:themeFillShade="BF"/>
            <w:vAlign w:val="center"/>
          </w:tcPr>
          <w:p w14:paraId="5A4D57DA"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1</w:t>
            </w:r>
          </w:p>
          <w:p w14:paraId="6430226E"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 xml:space="preserve"> mes</w:t>
            </w:r>
          </w:p>
        </w:tc>
        <w:tc>
          <w:tcPr>
            <w:tcW w:w="1017" w:type="dxa"/>
            <w:tcBorders>
              <w:top w:val="single" w:sz="4" w:space="0" w:color="auto"/>
              <w:bottom w:val="single" w:sz="4" w:space="0" w:color="auto"/>
            </w:tcBorders>
            <w:shd w:val="clear" w:color="auto" w:fill="BFBFBF" w:themeFill="background1" w:themeFillShade="BF"/>
            <w:vAlign w:val="center"/>
          </w:tcPr>
          <w:p w14:paraId="25A5C6CE" w14:textId="77777777" w:rsidR="007B34B2" w:rsidRPr="00066653" w:rsidRDefault="007B34B2" w:rsidP="00BE5A48">
            <w:pPr>
              <w:ind w:right="-210"/>
              <w:rPr>
                <w:rFonts w:ascii="Arial" w:hAnsi="Arial" w:cs="Arial"/>
                <w:b/>
                <w:sz w:val="16"/>
                <w:szCs w:val="16"/>
                <w:lang w:eastAsia="es-AR"/>
              </w:rPr>
            </w:pPr>
            <w:r w:rsidRPr="00066653">
              <w:rPr>
                <w:rFonts w:ascii="Arial" w:hAnsi="Arial" w:cs="Arial"/>
                <w:b/>
                <w:sz w:val="16"/>
                <w:szCs w:val="16"/>
                <w:lang w:eastAsia="es-AR"/>
              </w:rPr>
              <w:t xml:space="preserve">     3</w:t>
            </w:r>
          </w:p>
          <w:p w14:paraId="63C89571" w14:textId="77777777" w:rsidR="007B34B2" w:rsidRPr="00066653" w:rsidRDefault="007B34B2" w:rsidP="00BE5A48">
            <w:pPr>
              <w:ind w:right="-210"/>
              <w:rPr>
                <w:rFonts w:ascii="Arial" w:hAnsi="Arial" w:cs="Arial"/>
                <w:b/>
                <w:sz w:val="16"/>
                <w:szCs w:val="16"/>
                <w:lang w:eastAsia="es-AR"/>
              </w:rPr>
            </w:pPr>
            <w:r w:rsidRPr="00066653">
              <w:rPr>
                <w:rFonts w:ascii="Arial" w:hAnsi="Arial" w:cs="Arial"/>
                <w:b/>
                <w:sz w:val="16"/>
                <w:szCs w:val="16"/>
                <w:lang w:eastAsia="es-AR"/>
              </w:rPr>
              <w:t xml:space="preserve"> meses</w:t>
            </w:r>
          </w:p>
        </w:tc>
        <w:tc>
          <w:tcPr>
            <w:tcW w:w="1017" w:type="dxa"/>
            <w:tcBorders>
              <w:top w:val="single" w:sz="4" w:space="0" w:color="auto"/>
              <w:bottom w:val="single" w:sz="4" w:space="0" w:color="auto"/>
            </w:tcBorders>
            <w:shd w:val="clear" w:color="auto" w:fill="BFBFBF" w:themeFill="background1" w:themeFillShade="BF"/>
            <w:vAlign w:val="center"/>
          </w:tcPr>
          <w:p w14:paraId="2119EA44"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 xml:space="preserve">6 </w:t>
            </w:r>
          </w:p>
          <w:p w14:paraId="7A3D00DA"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meses</w:t>
            </w:r>
          </w:p>
        </w:tc>
        <w:tc>
          <w:tcPr>
            <w:tcW w:w="954" w:type="dxa"/>
            <w:tcBorders>
              <w:top w:val="single" w:sz="4" w:space="0" w:color="auto"/>
              <w:bottom w:val="single" w:sz="4" w:space="0" w:color="auto"/>
            </w:tcBorders>
            <w:shd w:val="clear" w:color="auto" w:fill="BFBFBF" w:themeFill="background1" w:themeFillShade="BF"/>
            <w:vAlign w:val="center"/>
          </w:tcPr>
          <w:p w14:paraId="11569659"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12 meses</w:t>
            </w:r>
          </w:p>
        </w:tc>
        <w:tc>
          <w:tcPr>
            <w:tcW w:w="954" w:type="dxa"/>
            <w:tcBorders>
              <w:top w:val="single" w:sz="4" w:space="0" w:color="auto"/>
              <w:bottom w:val="single" w:sz="4" w:space="0" w:color="auto"/>
            </w:tcBorders>
            <w:shd w:val="clear" w:color="auto" w:fill="BFBFBF" w:themeFill="background1" w:themeFillShade="BF"/>
            <w:vAlign w:val="center"/>
          </w:tcPr>
          <w:p w14:paraId="41D27E38"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24 meses</w:t>
            </w:r>
          </w:p>
        </w:tc>
        <w:tc>
          <w:tcPr>
            <w:tcW w:w="1068" w:type="dxa"/>
            <w:tcBorders>
              <w:top w:val="single" w:sz="4" w:space="0" w:color="auto"/>
              <w:bottom w:val="single" w:sz="4" w:space="0" w:color="auto"/>
            </w:tcBorders>
            <w:shd w:val="clear" w:color="auto" w:fill="BFBFBF" w:themeFill="background1" w:themeFillShade="BF"/>
            <w:vAlign w:val="center"/>
          </w:tcPr>
          <w:p w14:paraId="4340F26D"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Mas de 24 meses</w:t>
            </w:r>
          </w:p>
        </w:tc>
        <w:tc>
          <w:tcPr>
            <w:tcW w:w="1106" w:type="dxa"/>
            <w:tcBorders>
              <w:top w:val="single" w:sz="4" w:space="0" w:color="auto"/>
              <w:bottom w:val="single" w:sz="4" w:space="0" w:color="auto"/>
            </w:tcBorders>
            <w:shd w:val="clear" w:color="auto" w:fill="BFBFBF" w:themeFill="background1" w:themeFillShade="BF"/>
            <w:vAlign w:val="center"/>
          </w:tcPr>
          <w:p w14:paraId="2DA10F66"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Total</w:t>
            </w:r>
          </w:p>
        </w:tc>
      </w:tr>
      <w:tr w:rsidR="00A968C4" w:rsidRPr="00EA7AC7" w14:paraId="247B72F4" w14:textId="77777777" w:rsidTr="000D2FC0">
        <w:trPr>
          <w:trHeight w:val="97"/>
        </w:trPr>
        <w:tc>
          <w:tcPr>
            <w:tcW w:w="2904" w:type="dxa"/>
            <w:tcBorders>
              <w:top w:val="single" w:sz="4" w:space="0" w:color="auto"/>
              <w:left w:val="nil"/>
              <w:bottom w:val="nil"/>
              <w:right w:val="nil"/>
            </w:tcBorders>
          </w:tcPr>
          <w:p w14:paraId="0ACDC877" w14:textId="77777777" w:rsidR="007B34B2" w:rsidRPr="001A10B5" w:rsidRDefault="007B34B2" w:rsidP="00BE5A48">
            <w:pPr>
              <w:rPr>
                <w:rFonts w:ascii="Arial" w:hAnsi="Arial" w:cs="Arial"/>
                <w:sz w:val="16"/>
                <w:szCs w:val="16"/>
                <w:lang w:eastAsia="es-AR"/>
              </w:rPr>
            </w:pPr>
          </w:p>
        </w:tc>
        <w:tc>
          <w:tcPr>
            <w:tcW w:w="1106" w:type="dxa"/>
            <w:tcBorders>
              <w:top w:val="single" w:sz="4" w:space="0" w:color="auto"/>
              <w:left w:val="nil"/>
              <w:bottom w:val="nil"/>
              <w:right w:val="nil"/>
            </w:tcBorders>
          </w:tcPr>
          <w:p w14:paraId="13903F9F" w14:textId="77777777" w:rsidR="007B34B2" w:rsidRPr="004708CB" w:rsidRDefault="007B34B2" w:rsidP="00BE5A48">
            <w:pPr>
              <w:rPr>
                <w:rFonts w:ascii="Arial" w:hAnsi="Arial" w:cs="Arial"/>
                <w:sz w:val="16"/>
                <w:szCs w:val="16"/>
                <w:lang w:eastAsia="es-AR"/>
              </w:rPr>
            </w:pPr>
          </w:p>
        </w:tc>
        <w:tc>
          <w:tcPr>
            <w:tcW w:w="1017" w:type="dxa"/>
            <w:tcBorders>
              <w:top w:val="single" w:sz="4" w:space="0" w:color="auto"/>
              <w:left w:val="nil"/>
              <w:bottom w:val="nil"/>
              <w:right w:val="nil"/>
            </w:tcBorders>
          </w:tcPr>
          <w:p w14:paraId="1FE567B1" w14:textId="77777777" w:rsidR="007B34B2" w:rsidRPr="0012241E" w:rsidRDefault="007B34B2" w:rsidP="00BE5A48">
            <w:pPr>
              <w:rPr>
                <w:rFonts w:ascii="Arial" w:hAnsi="Arial" w:cs="Arial"/>
                <w:sz w:val="16"/>
                <w:szCs w:val="16"/>
                <w:lang w:eastAsia="es-AR"/>
              </w:rPr>
            </w:pPr>
          </w:p>
        </w:tc>
        <w:tc>
          <w:tcPr>
            <w:tcW w:w="1017" w:type="dxa"/>
            <w:tcBorders>
              <w:top w:val="single" w:sz="4" w:space="0" w:color="auto"/>
              <w:left w:val="nil"/>
              <w:bottom w:val="nil"/>
              <w:right w:val="nil"/>
            </w:tcBorders>
          </w:tcPr>
          <w:p w14:paraId="3EC7BC3B" w14:textId="77777777" w:rsidR="007B34B2" w:rsidRPr="00B85009" w:rsidRDefault="007B34B2" w:rsidP="00BE5A48">
            <w:pPr>
              <w:rPr>
                <w:rFonts w:ascii="Arial" w:hAnsi="Arial" w:cs="Arial"/>
                <w:sz w:val="16"/>
                <w:szCs w:val="16"/>
                <w:lang w:eastAsia="es-AR"/>
              </w:rPr>
            </w:pPr>
          </w:p>
        </w:tc>
        <w:tc>
          <w:tcPr>
            <w:tcW w:w="954" w:type="dxa"/>
            <w:tcBorders>
              <w:top w:val="single" w:sz="4" w:space="0" w:color="auto"/>
              <w:left w:val="nil"/>
              <w:bottom w:val="nil"/>
              <w:right w:val="nil"/>
            </w:tcBorders>
          </w:tcPr>
          <w:p w14:paraId="0F8CEF7D" w14:textId="77777777" w:rsidR="007B34B2" w:rsidRPr="003D4ED0" w:rsidRDefault="007B34B2" w:rsidP="00BE5A48">
            <w:pPr>
              <w:rPr>
                <w:rFonts w:ascii="Arial" w:hAnsi="Arial" w:cs="Arial"/>
                <w:sz w:val="16"/>
                <w:szCs w:val="16"/>
                <w:lang w:eastAsia="es-AR"/>
              </w:rPr>
            </w:pPr>
          </w:p>
        </w:tc>
        <w:tc>
          <w:tcPr>
            <w:tcW w:w="954" w:type="dxa"/>
            <w:tcBorders>
              <w:top w:val="single" w:sz="4" w:space="0" w:color="auto"/>
              <w:left w:val="nil"/>
              <w:bottom w:val="nil"/>
              <w:right w:val="nil"/>
            </w:tcBorders>
          </w:tcPr>
          <w:p w14:paraId="2CCC4FE6" w14:textId="77777777" w:rsidR="007B34B2" w:rsidRPr="00066653" w:rsidRDefault="007B34B2" w:rsidP="00BE5A48">
            <w:pPr>
              <w:rPr>
                <w:rFonts w:ascii="Arial" w:hAnsi="Arial" w:cs="Arial"/>
                <w:sz w:val="16"/>
                <w:szCs w:val="16"/>
                <w:lang w:eastAsia="es-AR"/>
              </w:rPr>
            </w:pPr>
          </w:p>
        </w:tc>
        <w:tc>
          <w:tcPr>
            <w:tcW w:w="1068" w:type="dxa"/>
            <w:tcBorders>
              <w:top w:val="single" w:sz="4" w:space="0" w:color="auto"/>
              <w:left w:val="nil"/>
              <w:bottom w:val="nil"/>
              <w:right w:val="nil"/>
            </w:tcBorders>
          </w:tcPr>
          <w:p w14:paraId="3521FAF4" w14:textId="77777777" w:rsidR="007B34B2" w:rsidRPr="00066653" w:rsidRDefault="007B34B2" w:rsidP="00BE5A48">
            <w:pPr>
              <w:rPr>
                <w:rFonts w:ascii="Arial" w:hAnsi="Arial" w:cs="Arial"/>
                <w:sz w:val="16"/>
                <w:szCs w:val="16"/>
                <w:lang w:eastAsia="es-AR"/>
              </w:rPr>
            </w:pPr>
          </w:p>
        </w:tc>
        <w:tc>
          <w:tcPr>
            <w:tcW w:w="1106" w:type="dxa"/>
            <w:tcBorders>
              <w:top w:val="single" w:sz="4" w:space="0" w:color="auto"/>
              <w:left w:val="nil"/>
              <w:bottom w:val="nil"/>
              <w:right w:val="nil"/>
            </w:tcBorders>
          </w:tcPr>
          <w:p w14:paraId="73A538A8" w14:textId="77777777" w:rsidR="007B34B2" w:rsidRPr="00066653" w:rsidRDefault="007B34B2" w:rsidP="00BE5A48">
            <w:pPr>
              <w:rPr>
                <w:rFonts w:ascii="Arial" w:hAnsi="Arial" w:cs="Arial"/>
                <w:sz w:val="16"/>
                <w:szCs w:val="16"/>
                <w:lang w:eastAsia="es-AR"/>
              </w:rPr>
            </w:pPr>
          </w:p>
        </w:tc>
      </w:tr>
      <w:tr w:rsidR="00A968C4" w:rsidRPr="00EA7AC7" w14:paraId="42FC04C5" w14:textId="77777777" w:rsidTr="000D2FC0">
        <w:trPr>
          <w:trHeight w:val="394"/>
        </w:trPr>
        <w:tc>
          <w:tcPr>
            <w:tcW w:w="2904" w:type="dxa"/>
            <w:tcBorders>
              <w:top w:val="nil"/>
              <w:left w:val="nil"/>
              <w:bottom w:val="nil"/>
              <w:right w:val="nil"/>
            </w:tcBorders>
            <w:vAlign w:val="bottom"/>
          </w:tcPr>
          <w:p w14:paraId="2EF5C01A" w14:textId="77777777" w:rsidR="007B34B2" w:rsidRPr="001A10B5" w:rsidRDefault="007B34B2" w:rsidP="00BE5A48">
            <w:pPr>
              <w:rPr>
                <w:rFonts w:ascii="Arial" w:hAnsi="Arial" w:cs="Arial"/>
                <w:b/>
                <w:sz w:val="16"/>
                <w:szCs w:val="16"/>
                <w:lang w:eastAsia="es-AR"/>
              </w:rPr>
            </w:pPr>
            <w:r w:rsidRPr="00066653">
              <w:rPr>
                <w:rFonts w:ascii="Arial" w:hAnsi="Arial" w:cs="Arial"/>
                <w:b/>
                <w:sz w:val="16"/>
                <w:szCs w:val="16"/>
                <w:lang w:eastAsia="es-AR"/>
              </w:rPr>
              <w:t>Depósitos</w:t>
            </w:r>
          </w:p>
        </w:tc>
        <w:tc>
          <w:tcPr>
            <w:tcW w:w="1106" w:type="dxa"/>
            <w:tcBorders>
              <w:top w:val="nil"/>
              <w:left w:val="nil"/>
              <w:bottom w:val="nil"/>
              <w:right w:val="nil"/>
            </w:tcBorders>
            <w:vAlign w:val="bottom"/>
          </w:tcPr>
          <w:p w14:paraId="24D76789" w14:textId="3922D1CF" w:rsidR="007B34B2" w:rsidRPr="004708CB" w:rsidRDefault="007B34B2" w:rsidP="00BE5A48">
            <w:pPr>
              <w:rPr>
                <w:rFonts w:ascii="Arial" w:hAnsi="Arial" w:cs="Arial"/>
                <w:sz w:val="16"/>
                <w:szCs w:val="16"/>
                <w:lang w:eastAsia="es-AR"/>
              </w:rPr>
            </w:pPr>
          </w:p>
        </w:tc>
        <w:tc>
          <w:tcPr>
            <w:tcW w:w="1017" w:type="dxa"/>
            <w:tcBorders>
              <w:top w:val="nil"/>
              <w:left w:val="nil"/>
              <w:bottom w:val="nil"/>
              <w:right w:val="nil"/>
            </w:tcBorders>
            <w:vAlign w:val="bottom"/>
          </w:tcPr>
          <w:p w14:paraId="76ABAE2F" w14:textId="07D7C812" w:rsidR="007B34B2" w:rsidRPr="0012241E" w:rsidRDefault="007B34B2" w:rsidP="00BE5A48">
            <w:pPr>
              <w:rPr>
                <w:rFonts w:ascii="Arial" w:hAnsi="Arial" w:cs="Arial"/>
                <w:sz w:val="16"/>
                <w:szCs w:val="16"/>
                <w:lang w:eastAsia="es-AR"/>
              </w:rPr>
            </w:pPr>
          </w:p>
        </w:tc>
        <w:tc>
          <w:tcPr>
            <w:tcW w:w="1017" w:type="dxa"/>
            <w:tcBorders>
              <w:top w:val="nil"/>
              <w:left w:val="nil"/>
              <w:bottom w:val="nil"/>
              <w:right w:val="nil"/>
            </w:tcBorders>
            <w:vAlign w:val="bottom"/>
          </w:tcPr>
          <w:p w14:paraId="334642DA" w14:textId="7C231428" w:rsidR="007B34B2" w:rsidRPr="00B85009" w:rsidRDefault="007B34B2" w:rsidP="00BE5A48">
            <w:pPr>
              <w:rPr>
                <w:rFonts w:ascii="Arial" w:hAnsi="Arial" w:cs="Arial"/>
                <w:sz w:val="16"/>
                <w:szCs w:val="16"/>
                <w:lang w:eastAsia="es-AR"/>
              </w:rPr>
            </w:pPr>
          </w:p>
        </w:tc>
        <w:tc>
          <w:tcPr>
            <w:tcW w:w="954" w:type="dxa"/>
            <w:tcBorders>
              <w:top w:val="nil"/>
              <w:left w:val="nil"/>
              <w:bottom w:val="nil"/>
              <w:right w:val="nil"/>
            </w:tcBorders>
            <w:vAlign w:val="bottom"/>
          </w:tcPr>
          <w:p w14:paraId="297F6FC0" w14:textId="77777777" w:rsidR="007B34B2" w:rsidRPr="003D4ED0" w:rsidRDefault="007B34B2" w:rsidP="00BE5A48">
            <w:pPr>
              <w:rPr>
                <w:rFonts w:ascii="Arial" w:hAnsi="Arial" w:cs="Arial"/>
                <w:sz w:val="16"/>
                <w:szCs w:val="16"/>
                <w:lang w:eastAsia="es-AR"/>
              </w:rPr>
            </w:pPr>
          </w:p>
        </w:tc>
        <w:tc>
          <w:tcPr>
            <w:tcW w:w="954" w:type="dxa"/>
            <w:tcBorders>
              <w:top w:val="nil"/>
              <w:left w:val="nil"/>
              <w:bottom w:val="nil"/>
              <w:right w:val="nil"/>
            </w:tcBorders>
            <w:vAlign w:val="bottom"/>
          </w:tcPr>
          <w:p w14:paraId="18EEE854" w14:textId="77777777" w:rsidR="007B34B2" w:rsidRPr="00066653" w:rsidRDefault="007B34B2" w:rsidP="00BE5A48">
            <w:pPr>
              <w:rPr>
                <w:rFonts w:ascii="Arial" w:hAnsi="Arial" w:cs="Arial"/>
                <w:sz w:val="16"/>
                <w:szCs w:val="16"/>
                <w:lang w:eastAsia="es-AR"/>
              </w:rPr>
            </w:pPr>
          </w:p>
        </w:tc>
        <w:tc>
          <w:tcPr>
            <w:tcW w:w="1068" w:type="dxa"/>
            <w:tcBorders>
              <w:top w:val="nil"/>
              <w:left w:val="nil"/>
              <w:bottom w:val="nil"/>
              <w:right w:val="nil"/>
            </w:tcBorders>
            <w:vAlign w:val="bottom"/>
          </w:tcPr>
          <w:p w14:paraId="20538E3F" w14:textId="77777777" w:rsidR="007B34B2" w:rsidRPr="00066653" w:rsidRDefault="007B34B2" w:rsidP="00BE5A48">
            <w:pPr>
              <w:rPr>
                <w:rFonts w:ascii="Arial" w:hAnsi="Arial" w:cs="Arial"/>
                <w:sz w:val="16"/>
                <w:szCs w:val="16"/>
                <w:lang w:eastAsia="es-AR"/>
              </w:rPr>
            </w:pPr>
          </w:p>
        </w:tc>
        <w:tc>
          <w:tcPr>
            <w:tcW w:w="1106" w:type="dxa"/>
            <w:tcBorders>
              <w:top w:val="nil"/>
              <w:left w:val="nil"/>
              <w:bottom w:val="nil"/>
              <w:right w:val="nil"/>
            </w:tcBorders>
            <w:vAlign w:val="bottom"/>
          </w:tcPr>
          <w:p w14:paraId="4084D569" w14:textId="68C93685" w:rsidR="007B34B2" w:rsidRPr="00066653" w:rsidRDefault="007B34B2" w:rsidP="00BE5A48">
            <w:pPr>
              <w:rPr>
                <w:rFonts w:ascii="Arial" w:hAnsi="Arial" w:cs="Arial"/>
                <w:sz w:val="16"/>
                <w:szCs w:val="16"/>
                <w:lang w:eastAsia="es-AR"/>
              </w:rPr>
            </w:pPr>
          </w:p>
        </w:tc>
      </w:tr>
      <w:tr w:rsidR="00A968C4" w:rsidRPr="00EA7AC7" w14:paraId="4033259B" w14:textId="77777777" w:rsidTr="00066653">
        <w:trPr>
          <w:trHeight w:val="394"/>
        </w:trPr>
        <w:tc>
          <w:tcPr>
            <w:tcW w:w="2904" w:type="dxa"/>
            <w:tcBorders>
              <w:top w:val="nil"/>
              <w:left w:val="nil"/>
              <w:bottom w:val="nil"/>
              <w:right w:val="nil"/>
            </w:tcBorders>
            <w:vAlign w:val="bottom"/>
          </w:tcPr>
          <w:p w14:paraId="594FDB6C" w14:textId="77777777" w:rsidR="007B34B2" w:rsidRPr="001A10B5" w:rsidRDefault="007B34B2" w:rsidP="00BE5A48">
            <w:pPr>
              <w:rPr>
                <w:rFonts w:ascii="Arial" w:hAnsi="Arial" w:cs="Arial"/>
                <w:sz w:val="16"/>
                <w:szCs w:val="16"/>
                <w:lang w:eastAsia="es-AR"/>
              </w:rPr>
            </w:pPr>
            <w:r w:rsidRPr="001A10B5">
              <w:rPr>
                <w:rFonts w:ascii="Arial" w:hAnsi="Arial" w:cs="Arial"/>
                <w:sz w:val="16"/>
                <w:szCs w:val="16"/>
                <w:lang w:eastAsia="es-AR"/>
              </w:rPr>
              <w:t>Sector Público no financiero</w:t>
            </w:r>
          </w:p>
        </w:tc>
        <w:tc>
          <w:tcPr>
            <w:tcW w:w="1106" w:type="dxa"/>
            <w:tcBorders>
              <w:top w:val="nil"/>
              <w:left w:val="nil"/>
              <w:bottom w:val="nil"/>
              <w:right w:val="nil"/>
            </w:tcBorders>
            <w:vAlign w:val="bottom"/>
          </w:tcPr>
          <w:p w14:paraId="67A1A09D" w14:textId="170E84E4" w:rsidR="007B34B2" w:rsidRPr="0012241E" w:rsidRDefault="00E72D10">
            <w:pPr>
              <w:jc w:val="right"/>
              <w:rPr>
                <w:rFonts w:ascii="Arial" w:hAnsi="Arial" w:cs="Arial"/>
                <w:sz w:val="16"/>
                <w:szCs w:val="16"/>
                <w:lang w:eastAsia="es-AR"/>
              </w:rPr>
            </w:pPr>
            <w:r>
              <w:rPr>
                <w:rFonts w:ascii="Arial" w:hAnsi="Arial" w:cs="Arial"/>
                <w:sz w:val="16"/>
                <w:szCs w:val="16"/>
                <w:lang w:eastAsia="es-AR"/>
              </w:rPr>
              <w:t>4.694</w:t>
            </w:r>
            <w:r w:rsidR="003623E6">
              <w:rPr>
                <w:rFonts w:ascii="Arial" w:hAnsi="Arial" w:cs="Arial"/>
                <w:sz w:val="16"/>
                <w:szCs w:val="16"/>
                <w:lang w:eastAsia="es-AR"/>
              </w:rPr>
              <w:t>.</w:t>
            </w:r>
            <w:r>
              <w:rPr>
                <w:rFonts w:ascii="Arial" w:hAnsi="Arial" w:cs="Arial"/>
                <w:sz w:val="16"/>
                <w:szCs w:val="16"/>
                <w:lang w:eastAsia="es-AR"/>
              </w:rPr>
              <w:t>680</w:t>
            </w:r>
          </w:p>
        </w:tc>
        <w:tc>
          <w:tcPr>
            <w:tcW w:w="1017" w:type="dxa"/>
            <w:tcBorders>
              <w:top w:val="nil"/>
              <w:left w:val="nil"/>
              <w:bottom w:val="nil"/>
              <w:right w:val="nil"/>
            </w:tcBorders>
            <w:vAlign w:val="bottom"/>
          </w:tcPr>
          <w:p w14:paraId="3E9B93D5" w14:textId="44E59AC8" w:rsidR="007B34B2" w:rsidRPr="00B85009" w:rsidRDefault="00E72D10">
            <w:pPr>
              <w:jc w:val="right"/>
              <w:rPr>
                <w:rFonts w:ascii="Arial" w:hAnsi="Arial" w:cs="Arial"/>
                <w:sz w:val="16"/>
                <w:szCs w:val="16"/>
                <w:lang w:eastAsia="es-AR"/>
              </w:rPr>
            </w:pPr>
            <w:r>
              <w:rPr>
                <w:rFonts w:ascii="Arial" w:hAnsi="Arial" w:cs="Arial"/>
                <w:sz w:val="16"/>
                <w:szCs w:val="16"/>
                <w:lang w:eastAsia="es-AR"/>
              </w:rPr>
              <w:t>931.149</w:t>
            </w:r>
          </w:p>
        </w:tc>
        <w:tc>
          <w:tcPr>
            <w:tcW w:w="1017" w:type="dxa"/>
            <w:tcBorders>
              <w:top w:val="nil"/>
              <w:left w:val="nil"/>
              <w:bottom w:val="nil"/>
              <w:right w:val="nil"/>
            </w:tcBorders>
            <w:vAlign w:val="bottom"/>
          </w:tcPr>
          <w:p w14:paraId="71832253" w14:textId="376FB8CF" w:rsidR="007B34B2" w:rsidRPr="003D4ED0" w:rsidRDefault="00E72D10">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4EC8C316" w14:textId="518E73AE"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06F1036E" w14:textId="49C0C8CD"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1068" w:type="dxa"/>
            <w:tcBorders>
              <w:top w:val="nil"/>
              <w:left w:val="nil"/>
              <w:bottom w:val="nil"/>
              <w:right w:val="nil"/>
            </w:tcBorders>
            <w:vAlign w:val="bottom"/>
          </w:tcPr>
          <w:p w14:paraId="671D3DAB" w14:textId="03E430BA"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1106" w:type="dxa"/>
            <w:tcBorders>
              <w:top w:val="nil"/>
              <w:left w:val="nil"/>
              <w:bottom w:val="nil"/>
              <w:right w:val="nil"/>
            </w:tcBorders>
            <w:vAlign w:val="bottom"/>
          </w:tcPr>
          <w:p w14:paraId="67D3B77D" w14:textId="48677E6A" w:rsidR="007B34B2" w:rsidRPr="00066653" w:rsidRDefault="00E72D10">
            <w:pPr>
              <w:jc w:val="right"/>
              <w:rPr>
                <w:rFonts w:ascii="Arial" w:hAnsi="Arial" w:cs="Arial"/>
                <w:sz w:val="16"/>
                <w:szCs w:val="16"/>
                <w:lang w:eastAsia="es-AR"/>
              </w:rPr>
            </w:pPr>
            <w:r>
              <w:rPr>
                <w:rFonts w:ascii="Arial" w:hAnsi="Arial" w:cs="Arial"/>
                <w:sz w:val="16"/>
                <w:szCs w:val="16"/>
                <w:lang w:eastAsia="es-AR"/>
              </w:rPr>
              <w:t>5.625.829</w:t>
            </w:r>
          </w:p>
        </w:tc>
      </w:tr>
      <w:tr w:rsidR="00A968C4" w:rsidRPr="00EA7AC7" w14:paraId="6725E76A" w14:textId="77777777" w:rsidTr="00066653">
        <w:trPr>
          <w:trHeight w:val="394"/>
        </w:trPr>
        <w:tc>
          <w:tcPr>
            <w:tcW w:w="2904" w:type="dxa"/>
            <w:tcBorders>
              <w:top w:val="nil"/>
              <w:left w:val="nil"/>
              <w:bottom w:val="nil"/>
              <w:right w:val="nil"/>
            </w:tcBorders>
            <w:vAlign w:val="bottom"/>
          </w:tcPr>
          <w:p w14:paraId="05367411" w14:textId="52315C76" w:rsidR="007B34B2" w:rsidRPr="004708CB" w:rsidRDefault="007B34B2" w:rsidP="00BE5A48">
            <w:pPr>
              <w:rPr>
                <w:rFonts w:ascii="Arial" w:hAnsi="Arial" w:cs="Arial"/>
                <w:sz w:val="16"/>
                <w:szCs w:val="16"/>
                <w:lang w:eastAsia="es-AR"/>
              </w:rPr>
            </w:pPr>
            <w:r w:rsidRPr="001A10B5">
              <w:rPr>
                <w:rFonts w:ascii="Arial" w:hAnsi="Arial" w:cs="Arial"/>
                <w:sz w:val="16"/>
                <w:szCs w:val="16"/>
                <w:lang w:eastAsia="es-AR"/>
              </w:rPr>
              <w:t>Sector Fi</w:t>
            </w:r>
            <w:r w:rsidR="00A10D21" w:rsidRPr="001A10B5">
              <w:rPr>
                <w:rFonts w:ascii="Arial" w:hAnsi="Arial" w:cs="Arial"/>
                <w:sz w:val="16"/>
                <w:szCs w:val="16"/>
                <w:lang w:eastAsia="es-AR"/>
              </w:rPr>
              <w:t>n</w:t>
            </w:r>
            <w:r w:rsidRPr="001A10B5">
              <w:rPr>
                <w:rFonts w:ascii="Arial" w:hAnsi="Arial" w:cs="Arial"/>
                <w:sz w:val="16"/>
                <w:szCs w:val="16"/>
                <w:lang w:eastAsia="es-AR"/>
              </w:rPr>
              <w:t>anciero</w:t>
            </w:r>
          </w:p>
        </w:tc>
        <w:tc>
          <w:tcPr>
            <w:tcW w:w="1106" w:type="dxa"/>
            <w:tcBorders>
              <w:top w:val="nil"/>
              <w:left w:val="nil"/>
              <w:bottom w:val="nil"/>
              <w:right w:val="nil"/>
            </w:tcBorders>
            <w:vAlign w:val="bottom"/>
          </w:tcPr>
          <w:p w14:paraId="150F71F7" w14:textId="20528A2B" w:rsidR="007B34B2" w:rsidRPr="0012241E" w:rsidRDefault="00E72D10">
            <w:pPr>
              <w:jc w:val="right"/>
              <w:rPr>
                <w:rFonts w:ascii="Arial" w:hAnsi="Arial" w:cs="Arial"/>
                <w:sz w:val="16"/>
                <w:szCs w:val="16"/>
                <w:lang w:eastAsia="es-AR"/>
              </w:rPr>
            </w:pPr>
            <w:r>
              <w:rPr>
                <w:rFonts w:ascii="Arial" w:hAnsi="Arial" w:cs="Arial"/>
                <w:sz w:val="16"/>
                <w:szCs w:val="16"/>
                <w:lang w:eastAsia="es-AR"/>
              </w:rPr>
              <w:t>61.640</w:t>
            </w:r>
          </w:p>
        </w:tc>
        <w:tc>
          <w:tcPr>
            <w:tcW w:w="1017" w:type="dxa"/>
            <w:tcBorders>
              <w:top w:val="nil"/>
              <w:left w:val="nil"/>
              <w:bottom w:val="nil"/>
              <w:right w:val="nil"/>
            </w:tcBorders>
            <w:vAlign w:val="bottom"/>
          </w:tcPr>
          <w:p w14:paraId="0C93D6A4" w14:textId="4E6CA4DD" w:rsidR="007B34B2" w:rsidRPr="00B85009" w:rsidRDefault="003623E6">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1E9E171D" w14:textId="38FD884E" w:rsidR="007B34B2" w:rsidRPr="003D4ED0" w:rsidRDefault="003623E6">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31E97C97" w14:textId="7162DFE4"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655D8A84" w14:textId="79341992"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1068" w:type="dxa"/>
            <w:tcBorders>
              <w:top w:val="nil"/>
              <w:left w:val="nil"/>
              <w:bottom w:val="nil"/>
              <w:right w:val="nil"/>
            </w:tcBorders>
            <w:vAlign w:val="bottom"/>
          </w:tcPr>
          <w:p w14:paraId="5097C5BD" w14:textId="5EC5FE08"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1106" w:type="dxa"/>
            <w:tcBorders>
              <w:top w:val="nil"/>
              <w:left w:val="nil"/>
              <w:bottom w:val="nil"/>
              <w:right w:val="nil"/>
            </w:tcBorders>
            <w:vAlign w:val="bottom"/>
          </w:tcPr>
          <w:p w14:paraId="6989D10E" w14:textId="4EE36AD2" w:rsidR="007B34B2" w:rsidRPr="00066653" w:rsidRDefault="00E72D10">
            <w:pPr>
              <w:jc w:val="right"/>
              <w:rPr>
                <w:rFonts w:ascii="Arial" w:hAnsi="Arial" w:cs="Arial"/>
                <w:sz w:val="16"/>
                <w:szCs w:val="16"/>
                <w:lang w:eastAsia="es-AR"/>
              </w:rPr>
            </w:pPr>
            <w:r>
              <w:rPr>
                <w:rFonts w:ascii="Arial" w:hAnsi="Arial" w:cs="Arial"/>
                <w:sz w:val="16"/>
                <w:szCs w:val="16"/>
                <w:lang w:eastAsia="es-AR"/>
              </w:rPr>
              <w:t>61.640</w:t>
            </w:r>
          </w:p>
        </w:tc>
      </w:tr>
      <w:tr w:rsidR="00A968C4" w:rsidRPr="00EA7AC7" w14:paraId="605C42F0" w14:textId="77777777" w:rsidTr="00066653">
        <w:trPr>
          <w:trHeight w:val="394"/>
        </w:trPr>
        <w:tc>
          <w:tcPr>
            <w:tcW w:w="2904" w:type="dxa"/>
            <w:tcBorders>
              <w:top w:val="nil"/>
              <w:left w:val="nil"/>
              <w:bottom w:val="nil"/>
              <w:right w:val="nil"/>
            </w:tcBorders>
            <w:vAlign w:val="bottom"/>
          </w:tcPr>
          <w:p w14:paraId="342BCBD7" w14:textId="77777777" w:rsidR="007B34B2" w:rsidRPr="004708CB" w:rsidRDefault="007B34B2" w:rsidP="00BE5A48">
            <w:pPr>
              <w:rPr>
                <w:rFonts w:ascii="Arial" w:hAnsi="Arial" w:cs="Arial"/>
                <w:sz w:val="16"/>
                <w:szCs w:val="16"/>
                <w:lang w:eastAsia="es-AR"/>
              </w:rPr>
            </w:pPr>
            <w:r w:rsidRPr="001A10B5">
              <w:rPr>
                <w:rFonts w:ascii="Arial" w:hAnsi="Arial" w:cs="Arial"/>
                <w:sz w:val="16"/>
                <w:szCs w:val="16"/>
                <w:lang w:eastAsia="es-AR"/>
              </w:rPr>
              <w:t>Sector privado no financiero y residentes en el exterior</w:t>
            </w:r>
          </w:p>
        </w:tc>
        <w:tc>
          <w:tcPr>
            <w:tcW w:w="1106" w:type="dxa"/>
            <w:tcBorders>
              <w:top w:val="nil"/>
              <w:left w:val="nil"/>
              <w:bottom w:val="nil"/>
              <w:right w:val="nil"/>
            </w:tcBorders>
            <w:vAlign w:val="bottom"/>
          </w:tcPr>
          <w:p w14:paraId="0F37B407" w14:textId="1A4D852C" w:rsidR="007B34B2" w:rsidRPr="0012241E" w:rsidRDefault="00E72D10">
            <w:pPr>
              <w:jc w:val="right"/>
              <w:rPr>
                <w:rFonts w:ascii="Arial" w:hAnsi="Arial" w:cs="Arial"/>
                <w:sz w:val="16"/>
                <w:szCs w:val="16"/>
                <w:lang w:eastAsia="es-AR"/>
              </w:rPr>
            </w:pPr>
            <w:r>
              <w:rPr>
                <w:rFonts w:ascii="Arial" w:hAnsi="Arial" w:cs="Arial"/>
                <w:sz w:val="16"/>
                <w:szCs w:val="16"/>
                <w:lang w:eastAsia="es-AR"/>
              </w:rPr>
              <w:t>114.536.976</w:t>
            </w:r>
          </w:p>
        </w:tc>
        <w:tc>
          <w:tcPr>
            <w:tcW w:w="1017" w:type="dxa"/>
            <w:tcBorders>
              <w:top w:val="nil"/>
              <w:left w:val="nil"/>
              <w:bottom w:val="nil"/>
              <w:right w:val="nil"/>
            </w:tcBorders>
            <w:vAlign w:val="bottom"/>
          </w:tcPr>
          <w:p w14:paraId="67021781" w14:textId="4B0B3DE9" w:rsidR="007B34B2" w:rsidRPr="00B85009" w:rsidRDefault="00E72D10">
            <w:pPr>
              <w:jc w:val="right"/>
              <w:rPr>
                <w:rFonts w:ascii="Arial" w:hAnsi="Arial" w:cs="Arial"/>
                <w:sz w:val="16"/>
                <w:szCs w:val="16"/>
                <w:lang w:eastAsia="es-AR"/>
              </w:rPr>
            </w:pPr>
            <w:r>
              <w:rPr>
                <w:rFonts w:ascii="Arial" w:hAnsi="Arial" w:cs="Arial"/>
                <w:sz w:val="16"/>
                <w:szCs w:val="16"/>
                <w:lang w:eastAsia="es-AR"/>
              </w:rPr>
              <w:t>9.749.822</w:t>
            </w:r>
          </w:p>
        </w:tc>
        <w:tc>
          <w:tcPr>
            <w:tcW w:w="1017" w:type="dxa"/>
            <w:tcBorders>
              <w:top w:val="nil"/>
              <w:left w:val="nil"/>
              <w:bottom w:val="nil"/>
              <w:right w:val="nil"/>
            </w:tcBorders>
            <w:vAlign w:val="bottom"/>
          </w:tcPr>
          <w:p w14:paraId="564C9B16" w14:textId="526187D7" w:rsidR="007B34B2" w:rsidRPr="003D4ED0" w:rsidRDefault="00E72D10">
            <w:pPr>
              <w:jc w:val="right"/>
              <w:rPr>
                <w:rFonts w:ascii="Arial" w:hAnsi="Arial" w:cs="Arial"/>
                <w:sz w:val="16"/>
                <w:szCs w:val="16"/>
                <w:lang w:eastAsia="es-AR"/>
              </w:rPr>
            </w:pPr>
            <w:r>
              <w:rPr>
                <w:rFonts w:ascii="Arial" w:hAnsi="Arial" w:cs="Arial"/>
                <w:sz w:val="16"/>
                <w:szCs w:val="16"/>
                <w:lang w:eastAsia="es-AR"/>
              </w:rPr>
              <w:t>8.007.667</w:t>
            </w:r>
          </w:p>
        </w:tc>
        <w:tc>
          <w:tcPr>
            <w:tcW w:w="954" w:type="dxa"/>
            <w:tcBorders>
              <w:top w:val="nil"/>
              <w:left w:val="nil"/>
              <w:bottom w:val="nil"/>
              <w:right w:val="nil"/>
            </w:tcBorders>
            <w:vAlign w:val="bottom"/>
          </w:tcPr>
          <w:p w14:paraId="53E6720F" w14:textId="3C0D5D90" w:rsidR="007B34B2" w:rsidRPr="00066653" w:rsidRDefault="00E72D10">
            <w:pPr>
              <w:jc w:val="right"/>
              <w:rPr>
                <w:rFonts w:ascii="Arial" w:hAnsi="Arial" w:cs="Arial"/>
                <w:sz w:val="16"/>
                <w:szCs w:val="16"/>
                <w:lang w:eastAsia="es-AR"/>
              </w:rPr>
            </w:pPr>
            <w:r>
              <w:rPr>
                <w:rFonts w:ascii="Arial" w:hAnsi="Arial" w:cs="Arial"/>
                <w:sz w:val="16"/>
                <w:szCs w:val="16"/>
                <w:lang w:eastAsia="es-AR"/>
              </w:rPr>
              <w:t>626.048</w:t>
            </w:r>
          </w:p>
        </w:tc>
        <w:tc>
          <w:tcPr>
            <w:tcW w:w="954" w:type="dxa"/>
            <w:tcBorders>
              <w:top w:val="nil"/>
              <w:left w:val="nil"/>
              <w:bottom w:val="nil"/>
              <w:right w:val="nil"/>
            </w:tcBorders>
            <w:vAlign w:val="bottom"/>
          </w:tcPr>
          <w:p w14:paraId="4AB285D6" w14:textId="67CB40AA" w:rsidR="007B34B2" w:rsidRPr="00066653" w:rsidRDefault="00E72D10">
            <w:pPr>
              <w:jc w:val="right"/>
              <w:rPr>
                <w:rFonts w:ascii="Arial" w:hAnsi="Arial" w:cs="Arial"/>
                <w:sz w:val="16"/>
                <w:szCs w:val="16"/>
                <w:lang w:eastAsia="es-AR"/>
              </w:rPr>
            </w:pPr>
            <w:r>
              <w:rPr>
                <w:rFonts w:ascii="Arial" w:hAnsi="Arial" w:cs="Arial"/>
                <w:sz w:val="16"/>
                <w:szCs w:val="16"/>
                <w:lang w:eastAsia="es-AR"/>
              </w:rPr>
              <w:t>-</w:t>
            </w:r>
          </w:p>
        </w:tc>
        <w:tc>
          <w:tcPr>
            <w:tcW w:w="1068" w:type="dxa"/>
            <w:tcBorders>
              <w:top w:val="nil"/>
              <w:left w:val="nil"/>
              <w:bottom w:val="nil"/>
              <w:right w:val="nil"/>
            </w:tcBorders>
            <w:vAlign w:val="bottom"/>
          </w:tcPr>
          <w:p w14:paraId="3DC53B28" w14:textId="10DA9323"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1106" w:type="dxa"/>
            <w:tcBorders>
              <w:top w:val="nil"/>
              <w:left w:val="nil"/>
              <w:bottom w:val="nil"/>
              <w:right w:val="nil"/>
            </w:tcBorders>
            <w:vAlign w:val="bottom"/>
          </w:tcPr>
          <w:p w14:paraId="527B5442" w14:textId="1A362A78" w:rsidR="007B34B2" w:rsidRPr="00066653" w:rsidRDefault="00E72D10">
            <w:pPr>
              <w:jc w:val="right"/>
              <w:rPr>
                <w:rFonts w:ascii="Arial" w:hAnsi="Arial" w:cs="Arial"/>
                <w:sz w:val="16"/>
                <w:szCs w:val="16"/>
                <w:lang w:eastAsia="es-AR"/>
              </w:rPr>
            </w:pPr>
            <w:r>
              <w:rPr>
                <w:rFonts w:ascii="Arial" w:hAnsi="Arial" w:cs="Arial"/>
                <w:sz w:val="16"/>
                <w:szCs w:val="16"/>
                <w:lang w:eastAsia="es-AR"/>
              </w:rPr>
              <w:t>132.920513</w:t>
            </w:r>
          </w:p>
        </w:tc>
      </w:tr>
      <w:tr w:rsidR="00A968C4" w:rsidRPr="00EA7AC7" w14:paraId="55DD6ABB" w14:textId="77777777" w:rsidTr="00066653">
        <w:trPr>
          <w:trHeight w:val="99"/>
        </w:trPr>
        <w:tc>
          <w:tcPr>
            <w:tcW w:w="2904" w:type="dxa"/>
            <w:tcBorders>
              <w:top w:val="nil"/>
              <w:left w:val="nil"/>
              <w:bottom w:val="nil"/>
              <w:right w:val="nil"/>
            </w:tcBorders>
            <w:vAlign w:val="bottom"/>
          </w:tcPr>
          <w:p w14:paraId="4E80DEA8" w14:textId="77777777" w:rsidR="007B34B2" w:rsidRPr="001A10B5" w:rsidRDefault="007B34B2" w:rsidP="00BE5A48">
            <w:pPr>
              <w:rPr>
                <w:rFonts w:ascii="Arial" w:hAnsi="Arial" w:cs="Arial"/>
                <w:sz w:val="16"/>
                <w:szCs w:val="16"/>
                <w:lang w:eastAsia="es-AR"/>
              </w:rPr>
            </w:pPr>
          </w:p>
        </w:tc>
        <w:tc>
          <w:tcPr>
            <w:tcW w:w="1106" w:type="dxa"/>
            <w:tcBorders>
              <w:top w:val="nil"/>
              <w:left w:val="nil"/>
              <w:bottom w:val="nil"/>
              <w:right w:val="nil"/>
            </w:tcBorders>
            <w:vAlign w:val="bottom"/>
          </w:tcPr>
          <w:p w14:paraId="40EABB55" w14:textId="77777777" w:rsidR="007B34B2" w:rsidRPr="004708CB"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08217FBA" w14:textId="77777777" w:rsidR="007B34B2" w:rsidRPr="0012241E"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082DBFDE" w14:textId="77777777" w:rsidR="007B34B2" w:rsidRPr="00B85009"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5E264B17" w14:textId="77777777" w:rsidR="007B34B2" w:rsidRPr="003D4ED0"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7E1B87F8" w14:textId="77777777" w:rsidR="007B34B2" w:rsidRPr="00066653" w:rsidRDefault="007B34B2">
            <w:pPr>
              <w:jc w:val="right"/>
              <w:rPr>
                <w:rFonts w:ascii="Arial" w:hAnsi="Arial" w:cs="Arial"/>
                <w:sz w:val="16"/>
                <w:szCs w:val="16"/>
                <w:lang w:eastAsia="es-AR"/>
              </w:rPr>
            </w:pPr>
          </w:p>
        </w:tc>
        <w:tc>
          <w:tcPr>
            <w:tcW w:w="1068" w:type="dxa"/>
            <w:tcBorders>
              <w:top w:val="nil"/>
              <w:left w:val="nil"/>
              <w:bottom w:val="nil"/>
              <w:right w:val="nil"/>
            </w:tcBorders>
            <w:vAlign w:val="bottom"/>
          </w:tcPr>
          <w:p w14:paraId="013C3467" w14:textId="77777777" w:rsidR="007B34B2" w:rsidRPr="00066653" w:rsidRDefault="007B34B2">
            <w:pPr>
              <w:jc w:val="right"/>
              <w:rPr>
                <w:rFonts w:ascii="Arial" w:hAnsi="Arial" w:cs="Arial"/>
                <w:sz w:val="16"/>
                <w:szCs w:val="16"/>
                <w:lang w:eastAsia="es-AR"/>
              </w:rPr>
            </w:pPr>
          </w:p>
        </w:tc>
        <w:tc>
          <w:tcPr>
            <w:tcW w:w="1106" w:type="dxa"/>
            <w:tcBorders>
              <w:top w:val="nil"/>
              <w:left w:val="nil"/>
              <w:bottom w:val="nil"/>
              <w:right w:val="nil"/>
            </w:tcBorders>
            <w:vAlign w:val="bottom"/>
          </w:tcPr>
          <w:p w14:paraId="7DB2F7E8" w14:textId="77777777" w:rsidR="007B34B2" w:rsidRPr="00066653" w:rsidRDefault="007B34B2">
            <w:pPr>
              <w:jc w:val="right"/>
              <w:rPr>
                <w:rFonts w:ascii="Arial" w:hAnsi="Arial" w:cs="Arial"/>
                <w:sz w:val="16"/>
                <w:szCs w:val="16"/>
                <w:lang w:eastAsia="es-AR"/>
              </w:rPr>
            </w:pPr>
          </w:p>
        </w:tc>
      </w:tr>
      <w:tr w:rsidR="00E72D10" w:rsidRPr="00EA7AC7" w14:paraId="41571B37" w14:textId="77777777" w:rsidTr="000D2FC0">
        <w:trPr>
          <w:trHeight w:val="394"/>
        </w:trPr>
        <w:tc>
          <w:tcPr>
            <w:tcW w:w="2904" w:type="dxa"/>
            <w:tcBorders>
              <w:top w:val="nil"/>
              <w:left w:val="nil"/>
              <w:bottom w:val="nil"/>
              <w:right w:val="nil"/>
            </w:tcBorders>
            <w:vAlign w:val="bottom"/>
          </w:tcPr>
          <w:p w14:paraId="240720CB" w14:textId="6BF7ADA6" w:rsidR="00E72D10" w:rsidRPr="00066653" w:rsidRDefault="00E72D10" w:rsidP="000D2FC0">
            <w:pPr>
              <w:rPr>
                <w:rFonts w:ascii="Arial" w:hAnsi="Arial" w:cs="Arial"/>
                <w:b/>
                <w:sz w:val="16"/>
                <w:szCs w:val="16"/>
                <w:lang w:eastAsia="es-AR"/>
              </w:rPr>
            </w:pPr>
            <w:r>
              <w:rPr>
                <w:rFonts w:ascii="Arial" w:hAnsi="Arial" w:cs="Arial"/>
                <w:b/>
                <w:sz w:val="16"/>
                <w:szCs w:val="16"/>
                <w:lang w:eastAsia="es-AR"/>
              </w:rPr>
              <w:t>Pasivos a valor razonable con cambios en resultados</w:t>
            </w:r>
          </w:p>
        </w:tc>
        <w:tc>
          <w:tcPr>
            <w:tcW w:w="1106" w:type="dxa"/>
            <w:tcBorders>
              <w:top w:val="nil"/>
              <w:left w:val="nil"/>
              <w:bottom w:val="nil"/>
              <w:right w:val="nil"/>
            </w:tcBorders>
            <w:vAlign w:val="bottom"/>
          </w:tcPr>
          <w:p w14:paraId="4081CF68" w14:textId="51D3E14E" w:rsidR="00E72D10" w:rsidRPr="004708CB" w:rsidRDefault="00E72D10" w:rsidP="000D2FC0">
            <w:pPr>
              <w:jc w:val="right"/>
              <w:rPr>
                <w:rFonts w:ascii="Arial" w:hAnsi="Arial" w:cs="Arial"/>
                <w:sz w:val="16"/>
                <w:szCs w:val="16"/>
                <w:lang w:eastAsia="es-AR"/>
              </w:rPr>
            </w:pPr>
            <w:r>
              <w:rPr>
                <w:rFonts w:ascii="Arial" w:hAnsi="Arial" w:cs="Arial"/>
                <w:sz w:val="16"/>
                <w:szCs w:val="16"/>
                <w:lang w:eastAsia="es-AR"/>
              </w:rPr>
              <w:t>365.736</w:t>
            </w:r>
          </w:p>
        </w:tc>
        <w:tc>
          <w:tcPr>
            <w:tcW w:w="1017" w:type="dxa"/>
            <w:tcBorders>
              <w:top w:val="nil"/>
              <w:left w:val="nil"/>
              <w:bottom w:val="nil"/>
              <w:right w:val="nil"/>
            </w:tcBorders>
            <w:vAlign w:val="bottom"/>
          </w:tcPr>
          <w:p w14:paraId="4EFEA372" w14:textId="487756E9" w:rsidR="00E72D10" w:rsidRPr="00B85009" w:rsidRDefault="00E72D10" w:rsidP="000D2FC0">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19D11E03" w14:textId="254DFFDD" w:rsidR="00E72D10" w:rsidRPr="00EA7AC7" w:rsidRDefault="00E72D10" w:rsidP="000D2FC0">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06792B84" w14:textId="3C5D853F" w:rsidR="00E72D10" w:rsidRPr="00EA7AC7" w:rsidRDefault="00E72D10" w:rsidP="000D2FC0">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718712EF" w14:textId="6ACD920F" w:rsidR="00E72D10" w:rsidRPr="00EA7AC7" w:rsidRDefault="00E72D10" w:rsidP="000D2FC0">
            <w:pPr>
              <w:jc w:val="right"/>
              <w:rPr>
                <w:rFonts w:ascii="Arial" w:hAnsi="Arial" w:cs="Arial"/>
                <w:sz w:val="16"/>
                <w:szCs w:val="16"/>
                <w:lang w:eastAsia="es-AR"/>
              </w:rPr>
            </w:pPr>
            <w:r>
              <w:rPr>
                <w:rFonts w:ascii="Arial" w:hAnsi="Arial" w:cs="Arial"/>
                <w:sz w:val="16"/>
                <w:szCs w:val="16"/>
                <w:lang w:eastAsia="es-AR"/>
              </w:rPr>
              <w:t>-</w:t>
            </w:r>
          </w:p>
        </w:tc>
        <w:tc>
          <w:tcPr>
            <w:tcW w:w="1068" w:type="dxa"/>
            <w:tcBorders>
              <w:top w:val="nil"/>
              <w:left w:val="nil"/>
              <w:bottom w:val="nil"/>
              <w:right w:val="nil"/>
            </w:tcBorders>
            <w:vAlign w:val="bottom"/>
          </w:tcPr>
          <w:p w14:paraId="65EE4C90" w14:textId="6B6930EC" w:rsidR="00E72D10" w:rsidRPr="00EA7AC7" w:rsidRDefault="00E72D10" w:rsidP="000D2FC0">
            <w:pPr>
              <w:jc w:val="right"/>
              <w:rPr>
                <w:rFonts w:ascii="Arial" w:hAnsi="Arial" w:cs="Arial"/>
                <w:sz w:val="16"/>
                <w:szCs w:val="16"/>
                <w:lang w:eastAsia="es-AR"/>
              </w:rPr>
            </w:pPr>
            <w:r>
              <w:rPr>
                <w:rFonts w:ascii="Arial" w:hAnsi="Arial" w:cs="Arial"/>
                <w:sz w:val="16"/>
                <w:szCs w:val="16"/>
                <w:lang w:eastAsia="es-AR"/>
              </w:rPr>
              <w:t>-</w:t>
            </w:r>
          </w:p>
        </w:tc>
        <w:tc>
          <w:tcPr>
            <w:tcW w:w="1106" w:type="dxa"/>
            <w:tcBorders>
              <w:top w:val="nil"/>
              <w:left w:val="nil"/>
              <w:bottom w:val="nil"/>
              <w:right w:val="nil"/>
            </w:tcBorders>
            <w:vAlign w:val="bottom"/>
          </w:tcPr>
          <w:p w14:paraId="01FC2654" w14:textId="3B13DB8B" w:rsidR="00E72D10" w:rsidRPr="00EA7AC7" w:rsidRDefault="00E72D10" w:rsidP="000D2FC0">
            <w:pPr>
              <w:jc w:val="right"/>
              <w:rPr>
                <w:rFonts w:ascii="Arial" w:hAnsi="Arial" w:cs="Arial"/>
                <w:sz w:val="16"/>
                <w:szCs w:val="16"/>
                <w:lang w:eastAsia="es-AR"/>
              </w:rPr>
            </w:pPr>
            <w:r>
              <w:rPr>
                <w:rFonts w:ascii="Arial" w:hAnsi="Arial" w:cs="Arial"/>
                <w:sz w:val="16"/>
                <w:szCs w:val="16"/>
                <w:lang w:eastAsia="es-AR"/>
              </w:rPr>
              <w:t>365.736</w:t>
            </w:r>
          </w:p>
        </w:tc>
      </w:tr>
      <w:tr w:rsidR="000D2FC0" w:rsidRPr="00EA7AC7" w14:paraId="047B88A4" w14:textId="77777777" w:rsidTr="000D2FC0">
        <w:trPr>
          <w:trHeight w:val="394"/>
        </w:trPr>
        <w:tc>
          <w:tcPr>
            <w:tcW w:w="2904" w:type="dxa"/>
            <w:tcBorders>
              <w:top w:val="nil"/>
              <w:left w:val="nil"/>
              <w:bottom w:val="nil"/>
              <w:right w:val="nil"/>
            </w:tcBorders>
            <w:vAlign w:val="bottom"/>
          </w:tcPr>
          <w:p w14:paraId="2405D697" w14:textId="32FD70F0" w:rsidR="000D2FC0" w:rsidRPr="00066653" w:rsidRDefault="000D2FC0" w:rsidP="000D2FC0">
            <w:pPr>
              <w:rPr>
                <w:rFonts w:ascii="Arial" w:hAnsi="Arial" w:cs="Arial"/>
                <w:b/>
                <w:sz w:val="16"/>
                <w:szCs w:val="16"/>
                <w:lang w:eastAsia="es-AR"/>
              </w:rPr>
            </w:pPr>
            <w:r w:rsidRPr="00066653">
              <w:rPr>
                <w:rFonts w:ascii="Arial" w:hAnsi="Arial" w:cs="Arial"/>
                <w:b/>
                <w:sz w:val="16"/>
                <w:szCs w:val="16"/>
                <w:lang w:eastAsia="es-AR"/>
              </w:rPr>
              <w:t>Operaciones de pase</w:t>
            </w:r>
          </w:p>
        </w:tc>
        <w:tc>
          <w:tcPr>
            <w:tcW w:w="1106" w:type="dxa"/>
            <w:tcBorders>
              <w:top w:val="nil"/>
              <w:left w:val="nil"/>
              <w:bottom w:val="nil"/>
              <w:right w:val="nil"/>
            </w:tcBorders>
            <w:vAlign w:val="bottom"/>
          </w:tcPr>
          <w:p w14:paraId="0F0615DB" w14:textId="5528B580" w:rsidR="000D2FC0" w:rsidRPr="004708CB" w:rsidRDefault="000D2FC0" w:rsidP="000D2FC0">
            <w:pPr>
              <w:jc w:val="right"/>
              <w:rPr>
                <w:rFonts w:ascii="Arial" w:hAnsi="Arial" w:cs="Arial"/>
                <w:sz w:val="16"/>
                <w:szCs w:val="16"/>
                <w:lang w:eastAsia="es-AR"/>
              </w:rPr>
            </w:pPr>
          </w:p>
        </w:tc>
        <w:tc>
          <w:tcPr>
            <w:tcW w:w="1017" w:type="dxa"/>
            <w:tcBorders>
              <w:top w:val="nil"/>
              <w:left w:val="nil"/>
              <w:bottom w:val="nil"/>
              <w:right w:val="nil"/>
            </w:tcBorders>
            <w:vAlign w:val="bottom"/>
          </w:tcPr>
          <w:p w14:paraId="77813278" w14:textId="5248FD42" w:rsidR="000D2FC0" w:rsidRPr="00B85009" w:rsidRDefault="000D2FC0" w:rsidP="000D2FC0">
            <w:pPr>
              <w:jc w:val="right"/>
              <w:rPr>
                <w:rFonts w:ascii="Arial" w:hAnsi="Arial" w:cs="Arial"/>
                <w:sz w:val="16"/>
                <w:szCs w:val="16"/>
                <w:lang w:eastAsia="es-AR"/>
              </w:rPr>
            </w:pPr>
          </w:p>
        </w:tc>
        <w:tc>
          <w:tcPr>
            <w:tcW w:w="1017" w:type="dxa"/>
            <w:tcBorders>
              <w:top w:val="nil"/>
              <w:left w:val="nil"/>
              <w:bottom w:val="nil"/>
              <w:right w:val="nil"/>
            </w:tcBorders>
            <w:vAlign w:val="bottom"/>
          </w:tcPr>
          <w:p w14:paraId="327A2379" w14:textId="7E24511F" w:rsidR="000D2FC0" w:rsidRPr="00EA7AC7" w:rsidRDefault="000D2FC0" w:rsidP="000D2FC0">
            <w:pPr>
              <w:jc w:val="right"/>
              <w:rPr>
                <w:rFonts w:ascii="Arial" w:hAnsi="Arial" w:cs="Arial"/>
                <w:sz w:val="16"/>
                <w:szCs w:val="16"/>
                <w:lang w:eastAsia="es-AR"/>
              </w:rPr>
            </w:pPr>
          </w:p>
        </w:tc>
        <w:tc>
          <w:tcPr>
            <w:tcW w:w="954" w:type="dxa"/>
            <w:tcBorders>
              <w:top w:val="nil"/>
              <w:left w:val="nil"/>
              <w:bottom w:val="nil"/>
              <w:right w:val="nil"/>
            </w:tcBorders>
            <w:vAlign w:val="bottom"/>
          </w:tcPr>
          <w:p w14:paraId="12AFB8CB" w14:textId="33166B6F" w:rsidR="000D2FC0" w:rsidRPr="00EA7AC7" w:rsidRDefault="000D2FC0" w:rsidP="000D2FC0">
            <w:pPr>
              <w:jc w:val="right"/>
              <w:rPr>
                <w:rFonts w:ascii="Arial" w:hAnsi="Arial" w:cs="Arial"/>
                <w:sz w:val="16"/>
                <w:szCs w:val="16"/>
                <w:lang w:eastAsia="es-AR"/>
              </w:rPr>
            </w:pPr>
          </w:p>
        </w:tc>
        <w:tc>
          <w:tcPr>
            <w:tcW w:w="954" w:type="dxa"/>
            <w:tcBorders>
              <w:top w:val="nil"/>
              <w:left w:val="nil"/>
              <w:bottom w:val="nil"/>
              <w:right w:val="nil"/>
            </w:tcBorders>
            <w:vAlign w:val="bottom"/>
          </w:tcPr>
          <w:p w14:paraId="7A51036F" w14:textId="13580722" w:rsidR="000D2FC0" w:rsidRPr="00EA7AC7" w:rsidRDefault="000D2FC0" w:rsidP="000D2FC0">
            <w:pPr>
              <w:jc w:val="right"/>
              <w:rPr>
                <w:rFonts w:ascii="Arial" w:hAnsi="Arial" w:cs="Arial"/>
                <w:sz w:val="16"/>
                <w:szCs w:val="16"/>
                <w:lang w:eastAsia="es-AR"/>
              </w:rPr>
            </w:pPr>
          </w:p>
        </w:tc>
        <w:tc>
          <w:tcPr>
            <w:tcW w:w="1068" w:type="dxa"/>
            <w:tcBorders>
              <w:top w:val="nil"/>
              <w:left w:val="nil"/>
              <w:bottom w:val="nil"/>
              <w:right w:val="nil"/>
            </w:tcBorders>
            <w:vAlign w:val="bottom"/>
          </w:tcPr>
          <w:p w14:paraId="10FDA24D" w14:textId="10FEA04B" w:rsidR="000D2FC0" w:rsidRPr="00EA7AC7" w:rsidRDefault="000D2FC0" w:rsidP="000D2FC0">
            <w:pPr>
              <w:jc w:val="right"/>
              <w:rPr>
                <w:rFonts w:ascii="Arial" w:hAnsi="Arial" w:cs="Arial"/>
                <w:sz w:val="16"/>
                <w:szCs w:val="16"/>
                <w:lang w:eastAsia="es-AR"/>
              </w:rPr>
            </w:pPr>
          </w:p>
        </w:tc>
        <w:tc>
          <w:tcPr>
            <w:tcW w:w="1106" w:type="dxa"/>
            <w:tcBorders>
              <w:top w:val="nil"/>
              <w:left w:val="nil"/>
              <w:bottom w:val="nil"/>
              <w:right w:val="nil"/>
            </w:tcBorders>
            <w:vAlign w:val="bottom"/>
          </w:tcPr>
          <w:p w14:paraId="6D4829E1" w14:textId="30AA5153" w:rsidR="000D2FC0" w:rsidRPr="00EA7AC7" w:rsidRDefault="000D2FC0" w:rsidP="000D2FC0">
            <w:pPr>
              <w:jc w:val="right"/>
              <w:rPr>
                <w:rFonts w:ascii="Arial" w:hAnsi="Arial" w:cs="Arial"/>
                <w:sz w:val="16"/>
                <w:szCs w:val="16"/>
                <w:lang w:eastAsia="es-AR"/>
              </w:rPr>
            </w:pPr>
          </w:p>
        </w:tc>
      </w:tr>
      <w:tr w:rsidR="00A968C4" w:rsidRPr="00EA7AC7" w14:paraId="597A1190" w14:textId="77777777" w:rsidTr="00066653">
        <w:trPr>
          <w:trHeight w:val="394"/>
        </w:trPr>
        <w:tc>
          <w:tcPr>
            <w:tcW w:w="2904" w:type="dxa"/>
            <w:tcBorders>
              <w:top w:val="nil"/>
              <w:left w:val="nil"/>
              <w:bottom w:val="nil"/>
              <w:right w:val="nil"/>
            </w:tcBorders>
            <w:vAlign w:val="bottom"/>
          </w:tcPr>
          <w:p w14:paraId="7373CBD2" w14:textId="77777777" w:rsidR="007B34B2" w:rsidRPr="00066653" w:rsidRDefault="007B34B2" w:rsidP="00BE5A48">
            <w:pPr>
              <w:rPr>
                <w:rFonts w:ascii="Arial" w:hAnsi="Arial" w:cs="Arial"/>
                <w:sz w:val="16"/>
                <w:szCs w:val="16"/>
                <w:lang w:eastAsia="es-AR"/>
              </w:rPr>
            </w:pPr>
            <w:r w:rsidRPr="00066653">
              <w:rPr>
                <w:rFonts w:ascii="Arial" w:hAnsi="Arial" w:cs="Arial"/>
                <w:sz w:val="16"/>
                <w:szCs w:val="16"/>
                <w:lang w:eastAsia="es-AR"/>
              </w:rPr>
              <w:t>Otras Entidades Financieras</w:t>
            </w:r>
          </w:p>
        </w:tc>
        <w:tc>
          <w:tcPr>
            <w:tcW w:w="1106" w:type="dxa"/>
            <w:tcBorders>
              <w:top w:val="nil"/>
              <w:left w:val="nil"/>
              <w:bottom w:val="nil"/>
              <w:right w:val="nil"/>
            </w:tcBorders>
            <w:vAlign w:val="bottom"/>
          </w:tcPr>
          <w:p w14:paraId="3C5F3A1D" w14:textId="1BA7CEC9" w:rsidR="007B34B2" w:rsidRPr="0012241E" w:rsidRDefault="00E72D10">
            <w:pPr>
              <w:jc w:val="right"/>
              <w:rPr>
                <w:rFonts w:ascii="Arial" w:hAnsi="Arial" w:cs="Arial"/>
                <w:sz w:val="16"/>
                <w:szCs w:val="16"/>
                <w:lang w:eastAsia="es-AR"/>
              </w:rPr>
            </w:pPr>
            <w:r>
              <w:rPr>
                <w:rFonts w:ascii="Arial" w:hAnsi="Arial" w:cs="Arial"/>
                <w:sz w:val="16"/>
                <w:szCs w:val="16"/>
                <w:lang w:eastAsia="es-AR"/>
              </w:rPr>
              <w:t>282.843</w:t>
            </w:r>
          </w:p>
        </w:tc>
        <w:tc>
          <w:tcPr>
            <w:tcW w:w="1017" w:type="dxa"/>
            <w:tcBorders>
              <w:top w:val="nil"/>
              <w:left w:val="nil"/>
              <w:bottom w:val="nil"/>
              <w:right w:val="nil"/>
            </w:tcBorders>
            <w:vAlign w:val="bottom"/>
          </w:tcPr>
          <w:p w14:paraId="2C454A12" w14:textId="30824A62" w:rsidR="007B34B2" w:rsidRPr="00B85009" w:rsidRDefault="003623E6">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79375EB7" w14:textId="116C4FB8" w:rsidR="007B34B2" w:rsidRPr="003D4ED0" w:rsidRDefault="003623E6">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5C398BF0" w14:textId="033B0F94"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954" w:type="dxa"/>
            <w:tcBorders>
              <w:top w:val="nil"/>
              <w:left w:val="nil"/>
              <w:bottom w:val="nil"/>
              <w:right w:val="nil"/>
            </w:tcBorders>
            <w:vAlign w:val="bottom"/>
          </w:tcPr>
          <w:p w14:paraId="26BA60F6" w14:textId="0BD14A0E"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1068" w:type="dxa"/>
            <w:tcBorders>
              <w:top w:val="nil"/>
              <w:left w:val="nil"/>
              <w:bottom w:val="nil"/>
              <w:right w:val="nil"/>
            </w:tcBorders>
            <w:vAlign w:val="bottom"/>
          </w:tcPr>
          <w:p w14:paraId="572690FC" w14:textId="7712B1C8" w:rsidR="007B34B2" w:rsidRPr="00066653" w:rsidRDefault="003623E6">
            <w:pPr>
              <w:jc w:val="right"/>
              <w:rPr>
                <w:rFonts w:ascii="Arial" w:hAnsi="Arial" w:cs="Arial"/>
                <w:sz w:val="16"/>
                <w:szCs w:val="16"/>
                <w:lang w:eastAsia="es-AR"/>
              </w:rPr>
            </w:pPr>
            <w:r>
              <w:rPr>
                <w:rFonts w:ascii="Arial" w:hAnsi="Arial" w:cs="Arial"/>
                <w:sz w:val="16"/>
                <w:szCs w:val="16"/>
                <w:lang w:eastAsia="es-AR"/>
              </w:rPr>
              <w:t>-</w:t>
            </w:r>
          </w:p>
        </w:tc>
        <w:tc>
          <w:tcPr>
            <w:tcW w:w="1106" w:type="dxa"/>
            <w:tcBorders>
              <w:top w:val="nil"/>
              <w:left w:val="nil"/>
              <w:bottom w:val="nil"/>
              <w:right w:val="nil"/>
            </w:tcBorders>
            <w:vAlign w:val="bottom"/>
          </w:tcPr>
          <w:p w14:paraId="7D9508A8" w14:textId="732DAB33" w:rsidR="007B34B2" w:rsidRPr="00066653" w:rsidRDefault="00E72D10">
            <w:pPr>
              <w:jc w:val="right"/>
              <w:rPr>
                <w:rFonts w:ascii="Arial" w:hAnsi="Arial" w:cs="Arial"/>
                <w:sz w:val="16"/>
                <w:szCs w:val="16"/>
                <w:lang w:eastAsia="es-AR"/>
              </w:rPr>
            </w:pPr>
            <w:r>
              <w:rPr>
                <w:rFonts w:ascii="Arial" w:hAnsi="Arial" w:cs="Arial"/>
                <w:sz w:val="16"/>
                <w:szCs w:val="16"/>
                <w:lang w:eastAsia="es-AR"/>
              </w:rPr>
              <w:t>282.843</w:t>
            </w:r>
          </w:p>
        </w:tc>
      </w:tr>
      <w:tr w:rsidR="00A968C4" w:rsidRPr="00EA7AC7" w14:paraId="60C68AB3" w14:textId="77777777" w:rsidTr="00066653">
        <w:trPr>
          <w:trHeight w:val="99"/>
        </w:trPr>
        <w:tc>
          <w:tcPr>
            <w:tcW w:w="2904" w:type="dxa"/>
            <w:tcBorders>
              <w:top w:val="nil"/>
              <w:left w:val="nil"/>
              <w:bottom w:val="nil"/>
              <w:right w:val="nil"/>
            </w:tcBorders>
            <w:vAlign w:val="bottom"/>
          </w:tcPr>
          <w:p w14:paraId="3B0096F5" w14:textId="77777777" w:rsidR="007B34B2" w:rsidRPr="001A10B5" w:rsidRDefault="007B34B2" w:rsidP="00BE5A48">
            <w:pPr>
              <w:rPr>
                <w:rFonts w:ascii="Arial" w:hAnsi="Arial" w:cs="Arial"/>
                <w:b/>
                <w:sz w:val="16"/>
                <w:szCs w:val="16"/>
                <w:lang w:eastAsia="es-AR"/>
              </w:rPr>
            </w:pPr>
          </w:p>
        </w:tc>
        <w:tc>
          <w:tcPr>
            <w:tcW w:w="1106" w:type="dxa"/>
            <w:tcBorders>
              <w:top w:val="nil"/>
              <w:left w:val="nil"/>
              <w:bottom w:val="nil"/>
              <w:right w:val="nil"/>
            </w:tcBorders>
            <w:vAlign w:val="bottom"/>
          </w:tcPr>
          <w:p w14:paraId="20AC0016" w14:textId="77777777" w:rsidR="007B34B2" w:rsidRPr="004708CB"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018BFF9F" w14:textId="77777777" w:rsidR="007B34B2" w:rsidRPr="0012241E"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72DA3001" w14:textId="77777777" w:rsidR="007B34B2" w:rsidRPr="00B85009"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37708DE0" w14:textId="77777777" w:rsidR="007B34B2" w:rsidRPr="003D4ED0"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73FFA4F6" w14:textId="77777777" w:rsidR="007B34B2" w:rsidRPr="00066653" w:rsidRDefault="007B34B2">
            <w:pPr>
              <w:jc w:val="right"/>
              <w:rPr>
                <w:rFonts w:ascii="Arial" w:hAnsi="Arial" w:cs="Arial"/>
                <w:sz w:val="16"/>
                <w:szCs w:val="16"/>
                <w:lang w:eastAsia="es-AR"/>
              </w:rPr>
            </w:pPr>
          </w:p>
        </w:tc>
        <w:tc>
          <w:tcPr>
            <w:tcW w:w="1068" w:type="dxa"/>
            <w:tcBorders>
              <w:top w:val="nil"/>
              <w:left w:val="nil"/>
              <w:bottom w:val="nil"/>
              <w:right w:val="nil"/>
            </w:tcBorders>
            <w:vAlign w:val="bottom"/>
          </w:tcPr>
          <w:p w14:paraId="3168625C" w14:textId="77777777" w:rsidR="007B34B2" w:rsidRPr="00066653" w:rsidRDefault="007B34B2">
            <w:pPr>
              <w:jc w:val="right"/>
              <w:rPr>
                <w:rFonts w:ascii="Arial" w:hAnsi="Arial" w:cs="Arial"/>
                <w:sz w:val="16"/>
                <w:szCs w:val="16"/>
                <w:lang w:eastAsia="es-AR"/>
              </w:rPr>
            </w:pPr>
          </w:p>
        </w:tc>
        <w:tc>
          <w:tcPr>
            <w:tcW w:w="1106" w:type="dxa"/>
            <w:tcBorders>
              <w:top w:val="nil"/>
              <w:left w:val="nil"/>
              <w:bottom w:val="nil"/>
              <w:right w:val="nil"/>
            </w:tcBorders>
            <w:vAlign w:val="bottom"/>
          </w:tcPr>
          <w:p w14:paraId="0C9239F8" w14:textId="77777777" w:rsidR="007B34B2" w:rsidRPr="00066653" w:rsidRDefault="007B34B2">
            <w:pPr>
              <w:jc w:val="right"/>
              <w:rPr>
                <w:rFonts w:ascii="Arial" w:hAnsi="Arial" w:cs="Arial"/>
                <w:sz w:val="16"/>
                <w:szCs w:val="16"/>
                <w:lang w:eastAsia="es-AR"/>
              </w:rPr>
            </w:pPr>
          </w:p>
        </w:tc>
      </w:tr>
      <w:tr w:rsidR="0012645F" w:rsidRPr="00EA7AC7" w14:paraId="00FAF79B" w14:textId="77777777" w:rsidTr="00066653">
        <w:trPr>
          <w:trHeight w:val="340"/>
        </w:trPr>
        <w:tc>
          <w:tcPr>
            <w:tcW w:w="2904" w:type="dxa"/>
            <w:tcBorders>
              <w:top w:val="nil"/>
              <w:left w:val="nil"/>
              <w:bottom w:val="nil"/>
              <w:right w:val="nil"/>
            </w:tcBorders>
            <w:vAlign w:val="bottom"/>
          </w:tcPr>
          <w:p w14:paraId="1153C22B" w14:textId="0E5B222B" w:rsidR="0012645F" w:rsidRPr="001A10B5" w:rsidRDefault="0012645F" w:rsidP="00BE5A48">
            <w:pPr>
              <w:rPr>
                <w:rFonts w:ascii="Arial" w:hAnsi="Arial" w:cs="Arial"/>
                <w:b/>
                <w:sz w:val="16"/>
                <w:szCs w:val="16"/>
                <w:lang w:eastAsia="es-AR"/>
              </w:rPr>
            </w:pPr>
            <w:r w:rsidRPr="001A10B5">
              <w:rPr>
                <w:rFonts w:ascii="Arial" w:hAnsi="Arial" w:cs="Arial"/>
                <w:b/>
                <w:sz w:val="16"/>
                <w:szCs w:val="16"/>
                <w:lang w:eastAsia="es-AR"/>
              </w:rPr>
              <w:t>Otros pasivos financieros</w:t>
            </w:r>
          </w:p>
        </w:tc>
        <w:tc>
          <w:tcPr>
            <w:tcW w:w="1106" w:type="dxa"/>
            <w:tcBorders>
              <w:top w:val="nil"/>
              <w:left w:val="nil"/>
              <w:bottom w:val="nil"/>
              <w:right w:val="nil"/>
            </w:tcBorders>
            <w:vAlign w:val="bottom"/>
          </w:tcPr>
          <w:p w14:paraId="554CABFC" w14:textId="4A710C82" w:rsidR="0012645F" w:rsidRPr="0012241E" w:rsidRDefault="00E72D10">
            <w:pPr>
              <w:jc w:val="right"/>
              <w:rPr>
                <w:rFonts w:ascii="Arial" w:hAnsi="Arial" w:cs="Arial"/>
                <w:sz w:val="16"/>
                <w:szCs w:val="16"/>
                <w:lang w:eastAsia="es-AR"/>
              </w:rPr>
            </w:pPr>
            <w:r>
              <w:rPr>
                <w:rFonts w:ascii="Arial" w:hAnsi="Arial" w:cs="Arial"/>
                <w:sz w:val="16"/>
                <w:szCs w:val="16"/>
                <w:lang w:eastAsia="es-AR"/>
              </w:rPr>
              <w:t>4.950.995</w:t>
            </w:r>
          </w:p>
        </w:tc>
        <w:tc>
          <w:tcPr>
            <w:tcW w:w="1017" w:type="dxa"/>
            <w:tcBorders>
              <w:top w:val="nil"/>
              <w:left w:val="nil"/>
              <w:bottom w:val="nil"/>
              <w:right w:val="nil"/>
            </w:tcBorders>
            <w:vAlign w:val="bottom"/>
          </w:tcPr>
          <w:p w14:paraId="796EBD82" w14:textId="2B42F027" w:rsidR="0012645F" w:rsidRPr="00B85009" w:rsidRDefault="00E72D10">
            <w:pPr>
              <w:jc w:val="right"/>
              <w:rPr>
                <w:rFonts w:ascii="Arial" w:hAnsi="Arial" w:cs="Arial"/>
                <w:sz w:val="16"/>
                <w:szCs w:val="16"/>
                <w:lang w:eastAsia="es-AR"/>
              </w:rPr>
            </w:pPr>
            <w:r>
              <w:rPr>
                <w:rFonts w:ascii="Arial" w:hAnsi="Arial" w:cs="Arial"/>
                <w:sz w:val="16"/>
                <w:szCs w:val="16"/>
                <w:lang w:eastAsia="es-AR"/>
              </w:rPr>
              <w:t>86.068</w:t>
            </w:r>
          </w:p>
        </w:tc>
        <w:tc>
          <w:tcPr>
            <w:tcW w:w="1017" w:type="dxa"/>
            <w:tcBorders>
              <w:top w:val="nil"/>
              <w:left w:val="nil"/>
              <w:bottom w:val="nil"/>
              <w:right w:val="nil"/>
            </w:tcBorders>
            <w:vAlign w:val="bottom"/>
          </w:tcPr>
          <w:p w14:paraId="286911B3" w14:textId="6C3DA82C" w:rsidR="0012645F" w:rsidRPr="003D4ED0" w:rsidRDefault="00E72D10">
            <w:pPr>
              <w:jc w:val="right"/>
              <w:rPr>
                <w:rFonts w:ascii="Arial" w:hAnsi="Arial" w:cs="Arial"/>
                <w:sz w:val="16"/>
                <w:szCs w:val="16"/>
                <w:lang w:eastAsia="es-AR"/>
              </w:rPr>
            </w:pPr>
            <w:r>
              <w:rPr>
                <w:rFonts w:ascii="Arial" w:hAnsi="Arial" w:cs="Arial"/>
                <w:sz w:val="16"/>
                <w:szCs w:val="16"/>
                <w:lang w:eastAsia="es-AR"/>
              </w:rPr>
              <w:t>123.176</w:t>
            </w:r>
          </w:p>
        </w:tc>
        <w:tc>
          <w:tcPr>
            <w:tcW w:w="954" w:type="dxa"/>
            <w:tcBorders>
              <w:top w:val="nil"/>
              <w:left w:val="nil"/>
              <w:bottom w:val="nil"/>
              <w:right w:val="nil"/>
            </w:tcBorders>
            <w:vAlign w:val="bottom"/>
          </w:tcPr>
          <w:p w14:paraId="61D8C20A" w14:textId="01BDD192" w:rsidR="0012645F" w:rsidRPr="00066653" w:rsidRDefault="00E72D10">
            <w:pPr>
              <w:jc w:val="right"/>
              <w:rPr>
                <w:rFonts w:ascii="Arial" w:hAnsi="Arial" w:cs="Arial"/>
                <w:sz w:val="16"/>
                <w:szCs w:val="16"/>
                <w:lang w:eastAsia="es-AR"/>
              </w:rPr>
            </w:pPr>
            <w:r>
              <w:rPr>
                <w:rFonts w:ascii="Arial" w:hAnsi="Arial" w:cs="Arial"/>
                <w:sz w:val="16"/>
                <w:szCs w:val="16"/>
                <w:lang w:eastAsia="es-AR"/>
              </w:rPr>
              <w:t>214.926</w:t>
            </w:r>
          </w:p>
        </w:tc>
        <w:tc>
          <w:tcPr>
            <w:tcW w:w="954" w:type="dxa"/>
            <w:tcBorders>
              <w:top w:val="nil"/>
              <w:left w:val="nil"/>
              <w:bottom w:val="nil"/>
              <w:right w:val="nil"/>
            </w:tcBorders>
            <w:vAlign w:val="bottom"/>
          </w:tcPr>
          <w:p w14:paraId="5398D472" w14:textId="29362A89" w:rsidR="0012645F" w:rsidRPr="00066653" w:rsidRDefault="00E72D10">
            <w:pPr>
              <w:jc w:val="right"/>
              <w:rPr>
                <w:rFonts w:ascii="Arial" w:hAnsi="Arial" w:cs="Arial"/>
                <w:sz w:val="16"/>
                <w:szCs w:val="16"/>
                <w:lang w:eastAsia="es-AR"/>
              </w:rPr>
            </w:pPr>
            <w:r>
              <w:rPr>
                <w:rFonts w:ascii="Arial" w:hAnsi="Arial" w:cs="Arial"/>
                <w:sz w:val="16"/>
                <w:szCs w:val="16"/>
                <w:lang w:eastAsia="es-AR"/>
              </w:rPr>
              <w:t>305.234</w:t>
            </w:r>
          </w:p>
        </w:tc>
        <w:tc>
          <w:tcPr>
            <w:tcW w:w="1068" w:type="dxa"/>
            <w:tcBorders>
              <w:top w:val="nil"/>
              <w:left w:val="nil"/>
              <w:bottom w:val="nil"/>
              <w:right w:val="nil"/>
            </w:tcBorders>
            <w:vAlign w:val="bottom"/>
          </w:tcPr>
          <w:p w14:paraId="291AF8F3" w14:textId="049B8E96" w:rsidR="0012645F" w:rsidRPr="00066653" w:rsidRDefault="00E72D10">
            <w:pPr>
              <w:jc w:val="right"/>
              <w:rPr>
                <w:rFonts w:ascii="Arial" w:hAnsi="Arial" w:cs="Arial"/>
                <w:sz w:val="16"/>
                <w:szCs w:val="16"/>
                <w:lang w:eastAsia="es-AR"/>
              </w:rPr>
            </w:pPr>
            <w:r>
              <w:rPr>
                <w:rFonts w:ascii="Arial" w:hAnsi="Arial" w:cs="Arial"/>
                <w:sz w:val="16"/>
                <w:szCs w:val="16"/>
                <w:lang w:eastAsia="es-AR"/>
              </w:rPr>
              <w:t>311.999</w:t>
            </w:r>
          </w:p>
        </w:tc>
        <w:tc>
          <w:tcPr>
            <w:tcW w:w="1106" w:type="dxa"/>
            <w:tcBorders>
              <w:top w:val="nil"/>
              <w:left w:val="nil"/>
              <w:bottom w:val="nil"/>
              <w:right w:val="nil"/>
            </w:tcBorders>
            <w:vAlign w:val="bottom"/>
          </w:tcPr>
          <w:p w14:paraId="0ACD4C76" w14:textId="3C977AFF" w:rsidR="0012645F" w:rsidRPr="00066653" w:rsidRDefault="00E72D10">
            <w:pPr>
              <w:jc w:val="right"/>
              <w:rPr>
                <w:rFonts w:ascii="Arial" w:hAnsi="Arial" w:cs="Arial"/>
                <w:sz w:val="16"/>
                <w:szCs w:val="16"/>
                <w:lang w:eastAsia="es-AR"/>
              </w:rPr>
            </w:pPr>
            <w:r>
              <w:rPr>
                <w:rFonts w:ascii="Arial" w:hAnsi="Arial" w:cs="Arial"/>
                <w:sz w:val="16"/>
                <w:szCs w:val="16"/>
                <w:lang w:eastAsia="es-AR"/>
              </w:rPr>
              <w:t>5.992.398</w:t>
            </w:r>
          </w:p>
        </w:tc>
      </w:tr>
      <w:tr w:rsidR="0012645F" w:rsidRPr="00EA7AC7" w14:paraId="75E612BF" w14:textId="77777777" w:rsidTr="00066653">
        <w:trPr>
          <w:trHeight w:val="99"/>
        </w:trPr>
        <w:tc>
          <w:tcPr>
            <w:tcW w:w="2904" w:type="dxa"/>
            <w:tcBorders>
              <w:top w:val="nil"/>
              <w:left w:val="nil"/>
              <w:bottom w:val="nil"/>
              <w:right w:val="nil"/>
            </w:tcBorders>
            <w:vAlign w:val="bottom"/>
          </w:tcPr>
          <w:p w14:paraId="096048EE" w14:textId="77777777" w:rsidR="0012645F" w:rsidRPr="001A10B5" w:rsidRDefault="0012645F" w:rsidP="00BE5A48">
            <w:pPr>
              <w:rPr>
                <w:rFonts w:ascii="Arial" w:hAnsi="Arial" w:cs="Arial"/>
                <w:b/>
                <w:sz w:val="16"/>
                <w:szCs w:val="16"/>
                <w:lang w:eastAsia="es-AR"/>
              </w:rPr>
            </w:pPr>
          </w:p>
        </w:tc>
        <w:tc>
          <w:tcPr>
            <w:tcW w:w="1106" w:type="dxa"/>
            <w:tcBorders>
              <w:top w:val="nil"/>
              <w:left w:val="nil"/>
              <w:bottom w:val="nil"/>
              <w:right w:val="nil"/>
            </w:tcBorders>
            <w:vAlign w:val="bottom"/>
          </w:tcPr>
          <w:p w14:paraId="4DDA7B72" w14:textId="77777777" w:rsidR="0012645F" w:rsidRPr="004708CB" w:rsidRDefault="0012645F">
            <w:pPr>
              <w:jc w:val="right"/>
              <w:rPr>
                <w:rFonts w:ascii="Arial" w:hAnsi="Arial" w:cs="Arial"/>
                <w:sz w:val="16"/>
                <w:szCs w:val="16"/>
                <w:lang w:eastAsia="es-AR"/>
              </w:rPr>
            </w:pPr>
          </w:p>
        </w:tc>
        <w:tc>
          <w:tcPr>
            <w:tcW w:w="1017" w:type="dxa"/>
            <w:tcBorders>
              <w:top w:val="nil"/>
              <w:left w:val="nil"/>
              <w:bottom w:val="nil"/>
              <w:right w:val="nil"/>
            </w:tcBorders>
            <w:vAlign w:val="bottom"/>
          </w:tcPr>
          <w:p w14:paraId="51BEABF7" w14:textId="77777777" w:rsidR="0012645F" w:rsidRPr="0012241E" w:rsidRDefault="0012645F">
            <w:pPr>
              <w:jc w:val="right"/>
              <w:rPr>
                <w:rFonts w:ascii="Arial" w:hAnsi="Arial" w:cs="Arial"/>
                <w:sz w:val="16"/>
                <w:szCs w:val="16"/>
                <w:lang w:eastAsia="es-AR"/>
              </w:rPr>
            </w:pPr>
          </w:p>
        </w:tc>
        <w:tc>
          <w:tcPr>
            <w:tcW w:w="1017" w:type="dxa"/>
            <w:tcBorders>
              <w:top w:val="nil"/>
              <w:left w:val="nil"/>
              <w:bottom w:val="nil"/>
              <w:right w:val="nil"/>
            </w:tcBorders>
            <w:vAlign w:val="bottom"/>
          </w:tcPr>
          <w:p w14:paraId="1AD7FD9F" w14:textId="77777777" w:rsidR="0012645F" w:rsidRPr="00B85009" w:rsidRDefault="0012645F">
            <w:pPr>
              <w:jc w:val="right"/>
              <w:rPr>
                <w:rFonts w:ascii="Arial" w:hAnsi="Arial" w:cs="Arial"/>
                <w:sz w:val="16"/>
                <w:szCs w:val="16"/>
                <w:lang w:eastAsia="es-AR"/>
              </w:rPr>
            </w:pPr>
          </w:p>
        </w:tc>
        <w:tc>
          <w:tcPr>
            <w:tcW w:w="954" w:type="dxa"/>
            <w:tcBorders>
              <w:top w:val="nil"/>
              <w:left w:val="nil"/>
              <w:bottom w:val="nil"/>
              <w:right w:val="nil"/>
            </w:tcBorders>
            <w:vAlign w:val="bottom"/>
          </w:tcPr>
          <w:p w14:paraId="6B297CE6" w14:textId="77777777" w:rsidR="0012645F" w:rsidRPr="003D4ED0" w:rsidRDefault="0012645F">
            <w:pPr>
              <w:jc w:val="right"/>
              <w:rPr>
                <w:rFonts w:ascii="Arial" w:hAnsi="Arial" w:cs="Arial"/>
                <w:sz w:val="16"/>
                <w:szCs w:val="16"/>
                <w:lang w:eastAsia="es-AR"/>
              </w:rPr>
            </w:pPr>
          </w:p>
        </w:tc>
        <w:tc>
          <w:tcPr>
            <w:tcW w:w="954" w:type="dxa"/>
            <w:tcBorders>
              <w:top w:val="nil"/>
              <w:left w:val="nil"/>
              <w:bottom w:val="nil"/>
              <w:right w:val="nil"/>
            </w:tcBorders>
            <w:vAlign w:val="bottom"/>
          </w:tcPr>
          <w:p w14:paraId="31A96FFA" w14:textId="77777777" w:rsidR="0012645F" w:rsidRPr="00066653" w:rsidRDefault="0012645F">
            <w:pPr>
              <w:jc w:val="right"/>
              <w:rPr>
                <w:rFonts w:ascii="Arial" w:hAnsi="Arial" w:cs="Arial"/>
                <w:sz w:val="16"/>
                <w:szCs w:val="16"/>
                <w:lang w:eastAsia="es-AR"/>
              </w:rPr>
            </w:pPr>
          </w:p>
        </w:tc>
        <w:tc>
          <w:tcPr>
            <w:tcW w:w="1068" w:type="dxa"/>
            <w:tcBorders>
              <w:top w:val="nil"/>
              <w:left w:val="nil"/>
              <w:bottom w:val="nil"/>
              <w:right w:val="nil"/>
            </w:tcBorders>
            <w:vAlign w:val="bottom"/>
          </w:tcPr>
          <w:p w14:paraId="4C399D5D" w14:textId="77777777" w:rsidR="0012645F" w:rsidRPr="00066653" w:rsidRDefault="0012645F">
            <w:pPr>
              <w:jc w:val="right"/>
              <w:rPr>
                <w:rFonts w:ascii="Arial" w:hAnsi="Arial" w:cs="Arial"/>
                <w:sz w:val="16"/>
                <w:szCs w:val="16"/>
                <w:lang w:eastAsia="es-AR"/>
              </w:rPr>
            </w:pPr>
          </w:p>
        </w:tc>
        <w:tc>
          <w:tcPr>
            <w:tcW w:w="1106" w:type="dxa"/>
            <w:tcBorders>
              <w:top w:val="nil"/>
              <w:left w:val="nil"/>
              <w:bottom w:val="nil"/>
              <w:right w:val="nil"/>
            </w:tcBorders>
            <w:vAlign w:val="bottom"/>
          </w:tcPr>
          <w:p w14:paraId="5956E6EE" w14:textId="77777777" w:rsidR="0012645F" w:rsidRPr="00066653" w:rsidRDefault="0012645F">
            <w:pPr>
              <w:jc w:val="right"/>
              <w:rPr>
                <w:rFonts w:ascii="Arial" w:hAnsi="Arial" w:cs="Arial"/>
                <w:sz w:val="16"/>
                <w:szCs w:val="16"/>
                <w:lang w:eastAsia="es-AR"/>
              </w:rPr>
            </w:pPr>
          </w:p>
        </w:tc>
      </w:tr>
      <w:tr w:rsidR="00A968C4" w:rsidRPr="00EA7AC7" w14:paraId="5CBC97FE" w14:textId="77777777" w:rsidTr="00066653">
        <w:trPr>
          <w:trHeight w:val="394"/>
        </w:trPr>
        <w:tc>
          <w:tcPr>
            <w:tcW w:w="2904" w:type="dxa"/>
            <w:tcBorders>
              <w:top w:val="nil"/>
              <w:left w:val="nil"/>
              <w:bottom w:val="nil"/>
              <w:right w:val="nil"/>
            </w:tcBorders>
            <w:vAlign w:val="bottom"/>
          </w:tcPr>
          <w:p w14:paraId="3BC3EA4A" w14:textId="77777777" w:rsidR="007B34B2" w:rsidRPr="0012241E" w:rsidRDefault="007B34B2" w:rsidP="00BE5A48">
            <w:pPr>
              <w:rPr>
                <w:rFonts w:ascii="Arial" w:hAnsi="Arial" w:cs="Arial"/>
                <w:b/>
                <w:sz w:val="16"/>
                <w:szCs w:val="16"/>
                <w:lang w:eastAsia="es-AR"/>
              </w:rPr>
            </w:pPr>
            <w:r w:rsidRPr="001A10B5">
              <w:rPr>
                <w:rFonts w:ascii="Arial" w:hAnsi="Arial" w:cs="Arial"/>
                <w:b/>
                <w:sz w:val="16"/>
                <w:szCs w:val="16"/>
                <w:lang w:eastAsia="es-AR"/>
              </w:rPr>
              <w:t xml:space="preserve">Financiaciones recibidas del BCRA y otras </w:t>
            </w:r>
            <w:r w:rsidRPr="004708CB">
              <w:rPr>
                <w:rFonts w:ascii="Arial" w:hAnsi="Arial" w:cs="Arial"/>
                <w:b/>
                <w:sz w:val="16"/>
                <w:szCs w:val="16"/>
                <w:lang w:eastAsia="es-AR"/>
              </w:rPr>
              <w:t>instituciones financieras</w:t>
            </w:r>
          </w:p>
        </w:tc>
        <w:tc>
          <w:tcPr>
            <w:tcW w:w="1106" w:type="dxa"/>
            <w:tcBorders>
              <w:top w:val="nil"/>
              <w:left w:val="nil"/>
              <w:bottom w:val="nil"/>
              <w:right w:val="nil"/>
            </w:tcBorders>
            <w:vAlign w:val="bottom"/>
          </w:tcPr>
          <w:p w14:paraId="65FFFCFC" w14:textId="1389CFBD" w:rsidR="007B34B2" w:rsidRPr="00B85009" w:rsidRDefault="00E72D10">
            <w:pPr>
              <w:jc w:val="right"/>
              <w:rPr>
                <w:rFonts w:ascii="Arial" w:hAnsi="Arial" w:cs="Arial"/>
                <w:sz w:val="16"/>
                <w:szCs w:val="16"/>
                <w:lang w:eastAsia="es-AR"/>
              </w:rPr>
            </w:pPr>
            <w:r>
              <w:rPr>
                <w:rFonts w:ascii="Arial" w:hAnsi="Arial" w:cs="Arial"/>
                <w:sz w:val="16"/>
                <w:szCs w:val="16"/>
                <w:lang w:eastAsia="es-AR"/>
              </w:rPr>
              <w:t>181.323</w:t>
            </w:r>
          </w:p>
        </w:tc>
        <w:tc>
          <w:tcPr>
            <w:tcW w:w="1017" w:type="dxa"/>
            <w:tcBorders>
              <w:top w:val="nil"/>
              <w:left w:val="nil"/>
              <w:bottom w:val="nil"/>
              <w:right w:val="nil"/>
            </w:tcBorders>
            <w:vAlign w:val="bottom"/>
          </w:tcPr>
          <w:p w14:paraId="2899432A" w14:textId="67E1E2E6" w:rsidR="007B34B2" w:rsidRPr="003D4ED0" w:rsidRDefault="00E72D10">
            <w:pPr>
              <w:jc w:val="right"/>
              <w:rPr>
                <w:rFonts w:ascii="Arial" w:hAnsi="Arial" w:cs="Arial"/>
                <w:sz w:val="16"/>
                <w:szCs w:val="16"/>
                <w:lang w:eastAsia="es-AR"/>
              </w:rPr>
            </w:pPr>
            <w:r>
              <w:rPr>
                <w:rFonts w:ascii="Arial" w:hAnsi="Arial" w:cs="Arial"/>
                <w:sz w:val="16"/>
                <w:szCs w:val="16"/>
                <w:lang w:eastAsia="es-AR"/>
              </w:rPr>
              <w:t>7.325.178</w:t>
            </w:r>
          </w:p>
        </w:tc>
        <w:tc>
          <w:tcPr>
            <w:tcW w:w="1017" w:type="dxa"/>
            <w:tcBorders>
              <w:top w:val="nil"/>
              <w:left w:val="nil"/>
              <w:bottom w:val="nil"/>
              <w:right w:val="nil"/>
            </w:tcBorders>
            <w:vAlign w:val="bottom"/>
          </w:tcPr>
          <w:p w14:paraId="1AB26027" w14:textId="54669ADF" w:rsidR="007B34B2" w:rsidRPr="00066653" w:rsidRDefault="00E72D10">
            <w:pPr>
              <w:jc w:val="right"/>
              <w:rPr>
                <w:rFonts w:ascii="Arial" w:hAnsi="Arial" w:cs="Arial"/>
                <w:sz w:val="16"/>
                <w:szCs w:val="16"/>
                <w:lang w:eastAsia="es-AR"/>
              </w:rPr>
            </w:pPr>
            <w:r>
              <w:rPr>
                <w:rFonts w:ascii="Arial" w:hAnsi="Arial" w:cs="Arial"/>
                <w:sz w:val="16"/>
                <w:szCs w:val="16"/>
                <w:lang w:eastAsia="es-AR"/>
              </w:rPr>
              <w:t>211.519</w:t>
            </w:r>
          </w:p>
        </w:tc>
        <w:tc>
          <w:tcPr>
            <w:tcW w:w="954" w:type="dxa"/>
            <w:tcBorders>
              <w:top w:val="nil"/>
              <w:left w:val="nil"/>
              <w:bottom w:val="nil"/>
              <w:right w:val="nil"/>
            </w:tcBorders>
            <w:vAlign w:val="bottom"/>
          </w:tcPr>
          <w:p w14:paraId="481F6CFE" w14:textId="17C4ECFD" w:rsidR="007B34B2" w:rsidRPr="00066653" w:rsidRDefault="00E72D10">
            <w:pPr>
              <w:jc w:val="right"/>
              <w:rPr>
                <w:rFonts w:ascii="Arial" w:hAnsi="Arial" w:cs="Arial"/>
                <w:sz w:val="16"/>
                <w:szCs w:val="16"/>
                <w:lang w:eastAsia="es-AR"/>
              </w:rPr>
            </w:pPr>
            <w:r>
              <w:rPr>
                <w:rFonts w:ascii="Arial" w:hAnsi="Arial" w:cs="Arial"/>
                <w:sz w:val="16"/>
                <w:szCs w:val="16"/>
                <w:lang w:eastAsia="es-AR"/>
              </w:rPr>
              <w:t>269.775</w:t>
            </w:r>
          </w:p>
        </w:tc>
        <w:tc>
          <w:tcPr>
            <w:tcW w:w="954" w:type="dxa"/>
            <w:tcBorders>
              <w:top w:val="nil"/>
              <w:left w:val="nil"/>
              <w:bottom w:val="nil"/>
              <w:right w:val="nil"/>
            </w:tcBorders>
            <w:vAlign w:val="bottom"/>
          </w:tcPr>
          <w:p w14:paraId="78A52848" w14:textId="7DFDC932" w:rsidR="007B34B2" w:rsidRPr="00066653" w:rsidRDefault="00E72D10">
            <w:pPr>
              <w:jc w:val="right"/>
              <w:rPr>
                <w:rFonts w:ascii="Arial" w:hAnsi="Arial" w:cs="Arial"/>
                <w:sz w:val="16"/>
                <w:szCs w:val="16"/>
                <w:lang w:eastAsia="es-AR"/>
              </w:rPr>
            </w:pPr>
            <w:r>
              <w:rPr>
                <w:rFonts w:ascii="Arial" w:hAnsi="Arial" w:cs="Arial"/>
                <w:sz w:val="16"/>
                <w:szCs w:val="16"/>
                <w:lang w:eastAsia="es-AR"/>
              </w:rPr>
              <w:t>454.867</w:t>
            </w:r>
          </w:p>
        </w:tc>
        <w:tc>
          <w:tcPr>
            <w:tcW w:w="1068" w:type="dxa"/>
            <w:tcBorders>
              <w:top w:val="nil"/>
              <w:left w:val="nil"/>
              <w:bottom w:val="nil"/>
              <w:right w:val="nil"/>
            </w:tcBorders>
            <w:vAlign w:val="bottom"/>
          </w:tcPr>
          <w:p w14:paraId="73075474" w14:textId="0D8DCBAE" w:rsidR="007B34B2" w:rsidRPr="00066653" w:rsidRDefault="00E72D10">
            <w:pPr>
              <w:jc w:val="right"/>
              <w:rPr>
                <w:rFonts w:ascii="Arial" w:hAnsi="Arial" w:cs="Arial"/>
                <w:sz w:val="16"/>
                <w:szCs w:val="16"/>
                <w:lang w:eastAsia="es-AR"/>
              </w:rPr>
            </w:pPr>
            <w:r>
              <w:rPr>
                <w:rFonts w:ascii="Arial" w:hAnsi="Arial" w:cs="Arial"/>
                <w:sz w:val="16"/>
                <w:szCs w:val="16"/>
                <w:lang w:eastAsia="es-AR"/>
              </w:rPr>
              <w:t>209.573</w:t>
            </w:r>
          </w:p>
        </w:tc>
        <w:tc>
          <w:tcPr>
            <w:tcW w:w="1106" w:type="dxa"/>
            <w:tcBorders>
              <w:top w:val="nil"/>
              <w:left w:val="nil"/>
              <w:bottom w:val="nil"/>
              <w:right w:val="nil"/>
            </w:tcBorders>
            <w:vAlign w:val="bottom"/>
          </w:tcPr>
          <w:p w14:paraId="7B3FE18B" w14:textId="17AA9B60" w:rsidR="007B34B2" w:rsidRPr="00066653" w:rsidRDefault="00E72D10">
            <w:pPr>
              <w:jc w:val="right"/>
              <w:rPr>
                <w:rFonts w:ascii="Arial" w:hAnsi="Arial" w:cs="Arial"/>
                <w:sz w:val="16"/>
                <w:szCs w:val="16"/>
                <w:lang w:eastAsia="es-AR"/>
              </w:rPr>
            </w:pPr>
            <w:r>
              <w:rPr>
                <w:rFonts w:ascii="Arial" w:hAnsi="Arial" w:cs="Arial"/>
                <w:sz w:val="16"/>
                <w:szCs w:val="16"/>
                <w:lang w:eastAsia="es-AR"/>
              </w:rPr>
              <w:t>8.652.235</w:t>
            </w:r>
          </w:p>
        </w:tc>
      </w:tr>
      <w:tr w:rsidR="00A968C4" w:rsidRPr="00EA7AC7" w14:paraId="09B07277" w14:textId="77777777" w:rsidTr="00066653">
        <w:trPr>
          <w:trHeight w:val="99"/>
        </w:trPr>
        <w:tc>
          <w:tcPr>
            <w:tcW w:w="2904" w:type="dxa"/>
            <w:tcBorders>
              <w:top w:val="nil"/>
              <w:left w:val="nil"/>
              <w:bottom w:val="nil"/>
              <w:right w:val="nil"/>
            </w:tcBorders>
            <w:vAlign w:val="bottom"/>
          </w:tcPr>
          <w:p w14:paraId="4A1FC6E9" w14:textId="77777777" w:rsidR="007B34B2" w:rsidRPr="001A10B5" w:rsidRDefault="007B34B2" w:rsidP="00BE5A48">
            <w:pPr>
              <w:rPr>
                <w:rFonts w:ascii="Arial" w:hAnsi="Arial" w:cs="Arial"/>
                <w:b/>
                <w:sz w:val="16"/>
                <w:szCs w:val="16"/>
                <w:lang w:eastAsia="es-AR"/>
              </w:rPr>
            </w:pPr>
          </w:p>
        </w:tc>
        <w:tc>
          <w:tcPr>
            <w:tcW w:w="1106" w:type="dxa"/>
            <w:tcBorders>
              <w:top w:val="nil"/>
              <w:left w:val="nil"/>
              <w:bottom w:val="nil"/>
              <w:right w:val="nil"/>
            </w:tcBorders>
            <w:vAlign w:val="bottom"/>
          </w:tcPr>
          <w:p w14:paraId="401EB81A" w14:textId="77777777" w:rsidR="007B34B2" w:rsidRPr="004708CB"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7589A704" w14:textId="77777777" w:rsidR="007B34B2" w:rsidRPr="0012241E"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3CD94209" w14:textId="77777777" w:rsidR="007B34B2" w:rsidRPr="00B85009"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75C7173A" w14:textId="77777777" w:rsidR="007B34B2" w:rsidRPr="003D4ED0"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71D3029B" w14:textId="77777777" w:rsidR="007B34B2" w:rsidRPr="00066653" w:rsidRDefault="007B34B2">
            <w:pPr>
              <w:jc w:val="right"/>
              <w:rPr>
                <w:rFonts w:ascii="Arial" w:hAnsi="Arial" w:cs="Arial"/>
                <w:sz w:val="16"/>
                <w:szCs w:val="16"/>
                <w:lang w:eastAsia="es-AR"/>
              </w:rPr>
            </w:pPr>
          </w:p>
        </w:tc>
        <w:tc>
          <w:tcPr>
            <w:tcW w:w="1068" w:type="dxa"/>
            <w:tcBorders>
              <w:top w:val="nil"/>
              <w:left w:val="nil"/>
              <w:bottom w:val="nil"/>
              <w:right w:val="nil"/>
            </w:tcBorders>
            <w:vAlign w:val="bottom"/>
          </w:tcPr>
          <w:p w14:paraId="4717DBEF" w14:textId="77777777" w:rsidR="007B34B2" w:rsidRPr="00066653" w:rsidRDefault="007B34B2">
            <w:pPr>
              <w:jc w:val="right"/>
              <w:rPr>
                <w:rFonts w:ascii="Arial" w:hAnsi="Arial" w:cs="Arial"/>
                <w:sz w:val="16"/>
                <w:szCs w:val="16"/>
                <w:lang w:eastAsia="es-AR"/>
              </w:rPr>
            </w:pPr>
          </w:p>
        </w:tc>
        <w:tc>
          <w:tcPr>
            <w:tcW w:w="1106" w:type="dxa"/>
            <w:tcBorders>
              <w:top w:val="nil"/>
              <w:left w:val="nil"/>
              <w:bottom w:val="nil"/>
              <w:right w:val="nil"/>
            </w:tcBorders>
            <w:vAlign w:val="bottom"/>
          </w:tcPr>
          <w:p w14:paraId="795D41C1" w14:textId="77777777" w:rsidR="007B34B2" w:rsidRPr="00066653" w:rsidRDefault="007B34B2">
            <w:pPr>
              <w:jc w:val="right"/>
              <w:rPr>
                <w:rFonts w:ascii="Arial" w:hAnsi="Arial" w:cs="Arial"/>
                <w:sz w:val="16"/>
                <w:szCs w:val="16"/>
                <w:lang w:eastAsia="es-AR"/>
              </w:rPr>
            </w:pPr>
          </w:p>
        </w:tc>
      </w:tr>
      <w:tr w:rsidR="00A968C4" w:rsidRPr="00EA7AC7" w14:paraId="6755EABA" w14:textId="77777777" w:rsidTr="00066653">
        <w:trPr>
          <w:trHeight w:val="394"/>
        </w:trPr>
        <w:tc>
          <w:tcPr>
            <w:tcW w:w="2904" w:type="dxa"/>
            <w:tcBorders>
              <w:top w:val="nil"/>
              <w:left w:val="nil"/>
              <w:bottom w:val="nil"/>
              <w:right w:val="nil"/>
            </w:tcBorders>
            <w:vAlign w:val="bottom"/>
          </w:tcPr>
          <w:p w14:paraId="512401B1" w14:textId="77777777" w:rsidR="007B34B2" w:rsidRPr="001A10B5" w:rsidRDefault="007B34B2" w:rsidP="00BE5A48">
            <w:pPr>
              <w:rPr>
                <w:rFonts w:ascii="Arial" w:hAnsi="Arial" w:cs="Arial"/>
                <w:b/>
                <w:sz w:val="16"/>
                <w:szCs w:val="16"/>
                <w:lang w:eastAsia="es-AR"/>
              </w:rPr>
            </w:pPr>
            <w:r w:rsidRPr="001A10B5">
              <w:rPr>
                <w:rFonts w:ascii="Arial" w:hAnsi="Arial" w:cs="Arial"/>
                <w:b/>
                <w:sz w:val="16"/>
                <w:szCs w:val="16"/>
                <w:lang w:eastAsia="es-AR"/>
              </w:rPr>
              <w:t>Obligaciones negociables emitidas</w:t>
            </w:r>
          </w:p>
        </w:tc>
        <w:tc>
          <w:tcPr>
            <w:tcW w:w="1106" w:type="dxa"/>
            <w:tcBorders>
              <w:top w:val="nil"/>
              <w:left w:val="nil"/>
              <w:bottom w:val="nil"/>
              <w:right w:val="nil"/>
            </w:tcBorders>
            <w:vAlign w:val="bottom"/>
          </w:tcPr>
          <w:p w14:paraId="6D61C18F" w14:textId="07176E1F" w:rsidR="007B34B2" w:rsidRPr="0012241E" w:rsidRDefault="00E72D10">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5A4B781E" w14:textId="0F989C13" w:rsidR="007B34B2" w:rsidRPr="00B85009" w:rsidRDefault="00E72D10">
            <w:pPr>
              <w:jc w:val="right"/>
              <w:rPr>
                <w:rFonts w:ascii="Arial" w:hAnsi="Arial" w:cs="Arial"/>
                <w:sz w:val="16"/>
                <w:szCs w:val="16"/>
                <w:lang w:eastAsia="es-AR"/>
              </w:rPr>
            </w:pPr>
            <w:r>
              <w:rPr>
                <w:rFonts w:ascii="Arial" w:hAnsi="Arial" w:cs="Arial"/>
                <w:sz w:val="16"/>
                <w:szCs w:val="16"/>
                <w:lang w:eastAsia="es-AR"/>
              </w:rPr>
              <w:t>251.042</w:t>
            </w:r>
          </w:p>
        </w:tc>
        <w:tc>
          <w:tcPr>
            <w:tcW w:w="1017" w:type="dxa"/>
            <w:tcBorders>
              <w:top w:val="nil"/>
              <w:left w:val="nil"/>
              <w:bottom w:val="nil"/>
              <w:right w:val="nil"/>
            </w:tcBorders>
            <w:vAlign w:val="bottom"/>
          </w:tcPr>
          <w:p w14:paraId="1C4C09C4" w14:textId="78327130" w:rsidR="007B34B2" w:rsidRPr="003D4ED0" w:rsidRDefault="00E72D10">
            <w:pPr>
              <w:jc w:val="right"/>
              <w:rPr>
                <w:rFonts w:ascii="Arial" w:hAnsi="Arial" w:cs="Arial"/>
                <w:sz w:val="16"/>
                <w:szCs w:val="16"/>
                <w:lang w:eastAsia="es-AR"/>
              </w:rPr>
            </w:pPr>
            <w:r>
              <w:rPr>
                <w:rFonts w:ascii="Arial" w:hAnsi="Arial" w:cs="Arial"/>
                <w:sz w:val="16"/>
                <w:szCs w:val="16"/>
                <w:lang w:eastAsia="es-AR"/>
              </w:rPr>
              <w:t>1.229.249</w:t>
            </w:r>
          </w:p>
        </w:tc>
        <w:tc>
          <w:tcPr>
            <w:tcW w:w="954" w:type="dxa"/>
            <w:tcBorders>
              <w:top w:val="nil"/>
              <w:left w:val="nil"/>
              <w:bottom w:val="nil"/>
              <w:right w:val="nil"/>
            </w:tcBorders>
            <w:vAlign w:val="bottom"/>
          </w:tcPr>
          <w:p w14:paraId="2C1F6924" w14:textId="6407C2C7" w:rsidR="007B34B2" w:rsidRPr="00066653" w:rsidRDefault="00E72D10">
            <w:pPr>
              <w:jc w:val="right"/>
              <w:rPr>
                <w:rFonts w:ascii="Arial" w:hAnsi="Arial" w:cs="Arial"/>
                <w:sz w:val="16"/>
                <w:szCs w:val="16"/>
                <w:lang w:eastAsia="es-AR"/>
              </w:rPr>
            </w:pPr>
            <w:r>
              <w:rPr>
                <w:rFonts w:ascii="Arial" w:hAnsi="Arial" w:cs="Arial"/>
                <w:sz w:val="16"/>
                <w:szCs w:val="16"/>
                <w:lang w:eastAsia="es-AR"/>
              </w:rPr>
              <w:t>1.107.575</w:t>
            </w:r>
          </w:p>
        </w:tc>
        <w:tc>
          <w:tcPr>
            <w:tcW w:w="954" w:type="dxa"/>
            <w:tcBorders>
              <w:top w:val="nil"/>
              <w:left w:val="nil"/>
              <w:bottom w:val="nil"/>
              <w:right w:val="nil"/>
            </w:tcBorders>
            <w:vAlign w:val="bottom"/>
          </w:tcPr>
          <w:p w14:paraId="4C1141C0" w14:textId="0A58157C" w:rsidR="007B34B2" w:rsidRPr="00066653" w:rsidRDefault="00E72D10">
            <w:pPr>
              <w:jc w:val="right"/>
              <w:rPr>
                <w:rFonts w:ascii="Arial" w:hAnsi="Arial" w:cs="Arial"/>
                <w:sz w:val="16"/>
                <w:szCs w:val="16"/>
                <w:lang w:eastAsia="es-AR"/>
              </w:rPr>
            </w:pPr>
            <w:r>
              <w:rPr>
                <w:rFonts w:ascii="Arial" w:hAnsi="Arial" w:cs="Arial"/>
                <w:sz w:val="16"/>
                <w:szCs w:val="16"/>
                <w:lang w:eastAsia="es-AR"/>
              </w:rPr>
              <w:t>1.625.196</w:t>
            </w:r>
          </w:p>
        </w:tc>
        <w:tc>
          <w:tcPr>
            <w:tcW w:w="1068" w:type="dxa"/>
            <w:tcBorders>
              <w:top w:val="nil"/>
              <w:left w:val="nil"/>
              <w:bottom w:val="nil"/>
              <w:right w:val="nil"/>
            </w:tcBorders>
            <w:vAlign w:val="bottom"/>
          </w:tcPr>
          <w:p w14:paraId="4D143B04" w14:textId="68E5FDF0" w:rsidR="007B34B2" w:rsidRPr="00066653" w:rsidRDefault="00E72D10">
            <w:pPr>
              <w:jc w:val="right"/>
              <w:rPr>
                <w:rFonts w:ascii="Arial" w:hAnsi="Arial" w:cs="Arial"/>
                <w:sz w:val="16"/>
                <w:szCs w:val="16"/>
                <w:lang w:eastAsia="es-AR"/>
              </w:rPr>
            </w:pPr>
            <w:r>
              <w:rPr>
                <w:rFonts w:ascii="Arial" w:hAnsi="Arial" w:cs="Arial"/>
                <w:sz w:val="16"/>
                <w:szCs w:val="16"/>
                <w:lang w:eastAsia="es-AR"/>
              </w:rPr>
              <w:t>1.027.232</w:t>
            </w:r>
          </w:p>
        </w:tc>
        <w:tc>
          <w:tcPr>
            <w:tcW w:w="1106" w:type="dxa"/>
            <w:tcBorders>
              <w:top w:val="nil"/>
              <w:left w:val="nil"/>
              <w:bottom w:val="nil"/>
              <w:right w:val="nil"/>
            </w:tcBorders>
            <w:vAlign w:val="bottom"/>
          </w:tcPr>
          <w:p w14:paraId="1C28E13F" w14:textId="599DCDE3" w:rsidR="007B34B2" w:rsidRPr="00066653" w:rsidRDefault="00E72D10">
            <w:pPr>
              <w:jc w:val="right"/>
              <w:rPr>
                <w:rFonts w:ascii="Arial" w:hAnsi="Arial" w:cs="Arial"/>
                <w:sz w:val="16"/>
                <w:szCs w:val="16"/>
                <w:lang w:eastAsia="es-AR"/>
              </w:rPr>
            </w:pPr>
            <w:r>
              <w:rPr>
                <w:rFonts w:ascii="Arial" w:hAnsi="Arial" w:cs="Arial"/>
                <w:sz w:val="16"/>
                <w:szCs w:val="16"/>
                <w:lang w:eastAsia="es-AR"/>
              </w:rPr>
              <w:t>5.240.294</w:t>
            </w:r>
          </w:p>
        </w:tc>
      </w:tr>
      <w:tr w:rsidR="00A968C4" w:rsidRPr="00EA7AC7" w14:paraId="0CEE6E84" w14:textId="77777777" w:rsidTr="00066653">
        <w:trPr>
          <w:trHeight w:val="99"/>
        </w:trPr>
        <w:tc>
          <w:tcPr>
            <w:tcW w:w="2904" w:type="dxa"/>
            <w:tcBorders>
              <w:top w:val="nil"/>
              <w:left w:val="nil"/>
              <w:bottom w:val="nil"/>
              <w:right w:val="nil"/>
            </w:tcBorders>
            <w:vAlign w:val="bottom"/>
          </w:tcPr>
          <w:p w14:paraId="661ACE4A" w14:textId="77777777" w:rsidR="007B34B2" w:rsidRPr="001A10B5" w:rsidRDefault="007B34B2" w:rsidP="00BE5A48">
            <w:pPr>
              <w:rPr>
                <w:rFonts w:ascii="Arial" w:hAnsi="Arial" w:cs="Arial"/>
                <w:b/>
                <w:sz w:val="16"/>
                <w:szCs w:val="16"/>
                <w:lang w:eastAsia="es-AR"/>
              </w:rPr>
            </w:pPr>
          </w:p>
        </w:tc>
        <w:tc>
          <w:tcPr>
            <w:tcW w:w="1106" w:type="dxa"/>
            <w:tcBorders>
              <w:top w:val="nil"/>
              <w:left w:val="nil"/>
              <w:bottom w:val="nil"/>
              <w:right w:val="nil"/>
            </w:tcBorders>
            <w:vAlign w:val="bottom"/>
          </w:tcPr>
          <w:p w14:paraId="2D68DC3A" w14:textId="77777777" w:rsidR="007B34B2" w:rsidRPr="004708CB"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2AD573C4" w14:textId="77777777" w:rsidR="007B34B2" w:rsidRPr="0012241E" w:rsidRDefault="007B34B2">
            <w:pPr>
              <w:jc w:val="right"/>
              <w:rPr>
                <w:rFonts w:ascii="Arial" w:hAnsi="Arial" w:cs="Arial"/>
                <w:sz w:val="16"/>
                <w:szCs w:val="16"/>
                <w:lang w:eastAsia="es-AR"/>
              </w:rPr>
            </w:pPr>
          </w:p>
        </w:tc>
        <w:tc>
          <w:tcPr>
            <w:tcW w:w="1017" w:type="dxa"/>
            <w:tcBorders>
              <w:top w:val="nil"/>
              <w:left w:val="nil"/>
              <w:bottom w:val="nil"/>
              <w:right w:val="nil"/>
            </w:tcBorders>
            <w:vAlign w:val="bottom"/>
          </w:tcPr>
          <w:p w14:paraId="59C6DFBF" w14:textId="77777777" w:rsidR="007B34B2" w:rsidRPr="00B85009"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3D828F68" w14:textId="77777777" w:rsidR="007B34B2" w:rsidRPr="003D4ED0" w:rsidRDefault="007B34B2">
            <w:pPr>
              <w:jc w:val="right"/>
              <w:rPr>
                <w:rFonts w:ascii="Arial" w:hAnsi="Arial" w:cs="Arial"/>
                <w:sz w:val="16"/>
                <w:szCs w:val="16"/>
                <w:lang w:eastAsia="es-AR"/>
              </w:rPr>
            </w:pPr>
          </w:p>
        </w:tc>
        <w:tc>
          <w:tcPr>
            <w:tcW w:w="954" w:type="dxa"/>
            <w:tcBorders>
              <w:top w:val="nil"/>
              <w:left w:val="nil"/>
              <w:bottom w:val="nil"/>
              <w:right w:val="nil"/>
            </w:tcBorders>
            <w:vAlign w:val="bottom"/>
          </w:tcPr>
          <w:p w14:paraId="54C46DA2" w14:textId="77777777" w:rsidR="007B34B2" w:rsidRPr="00066653" w:rsidRDefault="007B34B2">
            <w:pPr>
              <w:jc w:val="right"/>
              <w:rPr>
                <w:rFonts w:ascii="Arial" w:hAnsi="Arial" w:cs="Arial"/>
                <w:sz w:val="16"/>
                <w:szCs w:val="16"/>
                <w:lang w:eastAsia="es-AR"/>
              </w:rPr>
            </w:pPr>
          </w:p>
        </w:tc>
        <w:tc>
          <w:tcPr>
            <w:tcW w:w="1068" w:type="dxa"/>
            <w:tcBorders>
              <w:top w:val="nil"/>
              <w:left w:val="nil"/>
              <w:bottom w:val="nil"/>
              <w:right w:val="nil"/>
            </w:tcBorders>
            <w:vAlign w:val="bottom"/>
          </w:tcPr>
          <w:p w14:paraId="0EAECC6D" w14:textId="77777777" w:rsidR="007B34B2" w:rsidRPr="00066653" w:rsidRDefault="007B34B2">
            <w:pPr>
              <w:jc w:val="right"/>
              <w:rPr>
                <w:rFonts w:ascii="Arial" w:hAnsi="Arial" w:cs="Arial"/>
                <w:sz w:val="16"/>
                <w:szCs w:val="16"/>
                <w:lang w:eastAsia="es-AR"/>
              </w:rPr>
            </w:pPr>
          </w:p>
        </w:tc>
        <w:tc>
          <w:tcPr>
            <w:tcW w:w="1106" w:type="dxa"/>
            <w:tcBorders>
              <w:top w:val="nil"/>
              <w:left w:val="nil"/>
              <w:bottom w:val="nil"/>
              <w:right w:val="nil"/>
            </w:tcBorders>
            <w:vAlign w:val="bottom"/>
          </w:tcPr>
          <w:p w14:paraId="62E52CA4" w14:textId="77777777" w:rsidR="007B34B2" w:rsidRPr="00066653" w:rsidRDefault="007B34B2">
            <w:pPr>
              <w:jc w:val="right"/>
              <w:rPr>
                <w:rFonts w:ascii="Arial" w:hAnsi="Arial" w:cs="Arial"/>
                <w:sz w:val="16"/>
                <w:szCs w:val="16"/>
                <w:lang w:eastAsia="es-AR"/>
              </w:rPr>
            </w:pPr>
          </w:p>
        </w:tc>
      </w:tr>
      <w:tr w:rsidR="00A968C4" w:rsidRPr="00EA7AC7" w14:paraId="6CA11023" w14:textId="77777777" w:rsidTr="00066653">
        <w:trPr>
          <w:trHeight w:val="394"/>
        </w:trPr>
        <w:tc>
          <w:tcPr>
            <w:tcW w:w="2904" w:type="dxa"/>
            <w:tcBorders>
              <w:top w:val="nil"/>
              <w:left w:val="nil"/>
              <w:bottom w:val="nil"/>
              <w:right w:val="nil"/>
            </w:tcBorders>
            <w:vAlign w:val="bottom"/>
          </w:tcPr>
          <w:p w14:paraId="321276C0" w14:textId="77777777" w:rsidR="007B34B2" w:rsidRPr="004708CB" w:rsidRDefault="007B34B2" w:rsidP="00BE5A48">
            <w:pPr>
              <w:rPr>
                <w:rFonts w:ascii="Arial" w:hAnsi="Arial" w:cs="Arial"/>
                <w:b/>
                <w:sz w:val="16"/>
                <w:szCs w:val="16"/>
                <w:lang w:eastAsia="es-AR"/>
              </w:rPr>
            </w:pPr>
            <w:r w:rsidRPr="001A10B5">
              <w:rPr>
                <w:rFonts w:ascii="Arial" w:hAnsi="Arial" w:cs="Arial"/>
                <w:b/>
                <w:sz w:val="16"/>
                <w:szCs w:val="16"/>
                <w:lang w:eastAsia="es-AR"/>
              </w:rPr>
              <w:t>Obligaciones negociables subordinadas</w:t>
            </w:r>
          </w:p>
        </w:tc>
        <w:tc>
          <w:tcPr>
            <w:tcW w:w="1106" w:type="dxa"/>
            <w:tcBorders>
              <w:top w:val="nil"/>
              <w:left w:val="nil"/>
              <w:bottom w:val="nil"/>
              <w:right w:val="nil"/>
            </w:tcBorders>
            <w:vAlign w:val="bottom"/>
          </w:tcPr>
          <w:p w14:paraId="09627174" w14:textId="15F05476" w:rsidR="007B34B2" w:rsidRPr="0012241E" w:rsidRDefault="00E72D10">
            <w:pPr>
              <w:jc w:val="right"/>
              <w:rPr>
                <w:rFonts w:ascii="Arial" w:hAnsi="Arial" w:cs="Arial"/>
                <w:sz w:val="16"/>
                <w:szCs w:val="16"/>
                <w:lang w:eastAsia="es-AR"/>
              </w:rPr>
            </w:pPr>
            <w:r>
              <w:rPr>
                <w:rFonts w:ascii="Arial" w:hAnsi="Arial" w:cs="Arial"/>
                <w:sz w:val="16"/>
                <w:szCs w:val="16"/>
                <w:lang w:eastAsia="es-AR"/>
              </w:rPr>
              <w:t>-</w:t>
            </w:r>
          </w:p>
        </w:tc>
        <w:tc>
          <w:tcPr>
            <w:tcW w:w="1017" w:type="dxa"/>
            <w:tcBorders>
              <w:top w:val="nil"/>
              <w:left w:val="nil"/>
              <w:bottom w:val="nil"/>
              <w:right w:val="nil"/>
            </w:tcBorders>
            <w:vAlign w:val="bottom"/>
          </w:tcPr>
          <w:p w14:paraId="20A7307B" w14:textId="55AC68FE" w:rsidR="007B34B2" w:rsidRPr="00B85009" w:rsidRDefault="00E72D10">
            <w:pPr>
              <w:jc w:val="right"/>
              <w:rPr>
                <w:rFonts w:ascii="Arial" w:hAnsi="Arial" w:cs="Arial"/>
                <w:sz w:val="16"/>
                <w:szCs w:val="16"/>
                <w:lang w:eastAsia="es-AR"/>
              </w:rPr>
            </w:pPr>
            <w:r>
              <w:rPr>
                <w:rFonts w:ascii="Arial" w:hAnsi="Arial" w:cs="Arial"/>
                <w:sz w:val="16"/>
                <w:szCs w:val="16"/>
                <w:lang w:eastAsia="es-AR"/>
              </w:rPr>
              <w:t>30.666</w:t>
            </w:r>
          </w:p>
        </w:tc>
        <w:tc>
          <w:tcPr>
            <w:tcW w:w="1017" w:type="dxa"/>
            <w:tcBorders>
              <w:top w:val="nil"/>
              <w:left w:val="nil"/>
              <w:bottom w:val="nil"/>
              <w:right w:val="nil"/>
            </w:tcBorders>
            <w:vAlign w:val="bottom"/>
          </w:tcPr>
          <w:p w14:paraId="48FBA125" w14:textId="3F21CD38" w:rsidR="007B34B2" w:rsidRPr="003D4ED0" w:rsidRDefault="00E72D10">
            <w:pPr>
              <w:jc w:val="right"/>
              <w:rPr>
                <w:rFonts w:ascii="Arial" w:hAnsi="Arial" w:cs="Arial"/>
                <w:sz w:val="16"/>
                <w:szCs w:val="16"/>
                <w:lang w:eastAsia="es-AR"/>
              </w:rPr>
            </w:pPr>
            <w:r>
              <w:rPr>
                <w:rFonts w:ascii="Arial" w:hAnsi="Arial" w:cs="Arial"/>
                <w:sz w:val="16"/>
                <w:szCs w:val="16"/>
                <w:lang w:eastAsia="es-AR"/>
              </w:rPr>
              <w:t>1.501.902</w:t>
            </w:r>
          </w:p>
        </w:tc>
        <w:tc>
          <w:tcPr>
            <w:tcW w:w="954" w:type="dxa"/>
            <w:tcBorders>
              <w:top w:val="nil"/>
              <w:left w:val="nil"/>
              <w:bottom w:val="nil"/>
              <w:right w:val="nil"/>
            </w:tcBorders>
            <w:vAlign w:val="bottom"/>
          </w:tcPr>
          <w:p w14:paraId="7861E6B3" w14:textId="71D8F8F6" w:rsidR="007B34B2" w:rsidRPr="00066653" w:rsidRDefault="00E72D10">
            <w:pPr>
              <w:jc w:val="right"/>
              <w:rPr>
                <w:rFonts w:ascii="Arial" w:hAnsi="Arial" w:cs="Arial"/>
                <w:sz w:val="16"/>
                <w:szCs w:val="16"/>
                <w:lang w:eastAsia="es-AR"/>
              </w:rPr>
            </w:pPr>
            <w:r>
              <w:rPr>
                <w:rFonts w:ascii="Arial" w:hAnsi="Arial" w:cs="Arial"/>
                <w:sz w:val="16"/>
                <w:szCs w:val="16"/>
                <w:lang w:eastAsia="es-AR"/>
              </w:rPr>
              <w:t>31.003</w:t>
            </w:r>
          </w:p>
        </w:tc>
        <w:tc>
          <w:tcPr>
            <w:tcW w:w="954" w:type="dxa"/>
            <w:tcBorders>
              <w:top w:val="nil"/>
              <w:left w:val="nil"/>
              <w:bottom w:val="nil"/>
              <w:right w:val="nil"/>
            </w:tcBorders>
            <w:vAlign w:val="bottom"/>
          </w:tcPr>
          <w:p w14:paraId="5EDC4E32" w14:textId="563F5EB0" w:rsidR="007B34B2" w:rsidRPr="00066653" w:rsidRDefault="00E72D10">
            <w:pPr>
              <w:jc w:val="right"/>
              <w:rPr>
                <w:rFonts w:ascii="Arial" w:hAnsi="Arial" w:cs="Arial"/>
                <w:sz w:val="16"/>
                <w:szCs w:val="16"/>
                <w:lang w:eastAsia="es-AR"/>
              </w:rPr>
            </w:pPr>
            <w:r>
              <w:rPr>
                <w:rFonts w:ascii="Arial" w:hAnsi="Arial" w:cs="Arial"/>
                <w:sz w:val="16"/>
                <w:szCs w:val="16"/>
                <w:lang w:eastAsia="es-AR"/>
              </w:rPr>
              <w:t>928.037</w:t>
            </w:r>
          </w:p>
        </w:tc>
        <w:tc>
          <w:tcPr>
            <w:tcW w:w="1068" w:type="dxa"/>
            <w:tcBorders>
              <w:top w:val="nil"/>
              <w:left w:val="nil"/>
              <w:bottom w:val="nil"/>
              <w:right w:val="nil"/>
            </w:tcBorders>
            <w:vAlign w:val="bottom"/>
          </w:tcPr>
          <w:p w14:paraId="44B0C707" w14:textId="58205A61" w:rsidR="007B34B2" w:rsidRPr="00066653" w:rsidRDefault="00E72D10">
            <w:pPr>
              <w:jc w:val="right"/>
              <w:rPr>
                <w:rFonts w:ascii="Arial" w:hAnsi="Arial" w:cs="Arial"/>
                <w:sz w:val="16"/>
                <w:szCs w:val="16"/>
                <w:lang w:eastAsia="es-AR"/>
              </w:rPr>
            </w:pPr>
            <w:r>
              <w:rPr>
                <w:rFonts w:ascii="Arial" w:hAnsi="Arial" w:cs="Arial"/>
                <w:sz w:val="16"/>
                <w:szCs w:val="16"/>
                <w:lang w:eastAsia="es-AR"/>
              </w:rPr>
              <w:t>-</w:t>
            </w:r>
          </w:p>
        </w:tc>
        <w:tc>
          <w:tcPr>
            <w:tcW w:w="1106" w:type="dxa"/>
            <w:tcBorders>
              <w:top w:val="nil"/>
              <w:left w:val="nil"/>
              <w:bottom w:val="nil"/>
              <w:right w:val="nil"/>
            </w:tcBorders>
            <w:vAlign w:val="bottom"/>
          </w:tcPr>
          <w:p w14:paraId="4CD042D7" w14:textId="7268528C" w:rsidR="007B34B2" w:rsidRPr="00066653" w:rsidRDefault="00E72D10">
            <w:pPr>
              <w:jc w:val="right"/>
              <w:rPr>
                <w:rFonts w:ascii="Arial" w:hAnsi="Arial" w:cs="Arial"/>
                <w:sz w:val="16"/>
                <w:szCs w:val="16"/>
                <w:lang w:eastAsia="es-AR"/>
              </w:rPr>
            </w:pPr>
            <w:r>
              <w:rPr>
                <w:rFonts w:ascii="Arial" w:hAnsi="Arial" w:cs="Arial"/>
                <w:sz w:val="16"/>
                <w:szCs w:val="16"/>
                <w:lang w:eastAsia="es-AR"/>
              </w:rPr>
              <w:t>2.491.608</w:t>
            </w:r>
          </w:p>
        </w:tc>
      </w:tr>
      <w:tr w:rsidR="00A968C4" w:rsidRPr="00EA7AC7" w14:paraId="1C07AE77" w14:textId="77777777" w:rsidTr="000D2FC0">
        <w:trPr>
          <w:trHeight w:val="99"/>
        </w:trPr>
        <w:tc>
          <w:tcPr>
            <w:tcW w:w="2904" w:type="dxa"/>
            <w:tcBorders>
              <w:top w:val="nil"/>
              <w:left w:val="nil"/>
              <w:bottom w:val="single" w:sz="4" w:space="0" w:color="auto"/>
              <w:right w:val="nil"/>
            </w:tcBorders>
            <w:vAlign w:val="bottom"/>
          </w:tcPr>
          <w:p w14:paraId="79F50D57" w14:textId="77777777" w:rsidR="007B34B2" w:rsidRPr="001A10B5" w:rsidRDefault="007B34B2" w:rsidP="00BE5A48">
            <w:pPr>
              <w:rPr>
                <w:rFonts w:ascii="Arial" w:hAnsi="Arial" w:cs="Arial"/>
                <w:sz w:val="16"/>
                <w:szCs w:val="16"/>
                <w:lang w:eastAsia="es-AR"/>
              </w:rPr>
            </w:pPr>
          </w:p>
        </w:tc>
        <w:tc>
          <w:tcPr>
            <w:tcW w:w="1106" w:type="dxa"/>
            <w:tcBorders>
              <w:top w:val="nil"/>
              <w:left w:val="nil"/>
              <w:bottom w:val="single" w:sz="4" w:space="0" w:color="auto"/>
              <w:right w:val="nil"/>
            </w:tcBorders>
            <w:vAlign w:val="bottom"/>
          </w:tcPr>
          <w:p w14:paraId="490DC1E9" w14:textId="77777777" w:rsidR="007B34B2" w:rsidRPr="004708CB" w:rsidRDefault="007B34B2" w:rsidP="00BE5A48">
            <w:pPr>
              <w:rPr>
                <w:rFonts w:ascii="Arial" w:hAnsi="Arial" w:cs="Arial"/>
                <w:sz w:val="16"/>
                <w:szCs w:val="16"/>
                <w:lang w:eastAsia="es-AR"/>
              </w:rPr>
            </w:pPr>
          </w:p>
        </w:tc>
        <w:tc>
          <w:tcPr>
            <w:tcW w:w="1017" w:type="dxa"/>
            <w:tcBorders>
              <w:top w:val="nil"/>
              <w:left w:val="nil"/>
              <w:bottom w:val="single" w:sz="4" w:space="0" w:color="auto"/>
              <w:right w:val="nil"/>
            </w:tcBorders>
            <w:vAlign w:val="bottom"/>
          </w:tcPr>
          <w:p w14:paraId="2FD4D280" w14:textId="77777777" w:rsidR="007B34B2" w:rsidRPr="0012241E" w:rsidRDefault="007B34B2" w:rsidP="00BE5A48">
            <w:pPr>
              <w:rPr>
                <w:rFonts w:ascii="Arial" w:hAnsi="Arial" w:cs="Arial"/>
                <w:sz w:val="16"/>
                <w:szCs w:val="16"/>
                <w:lang w:eastAsia="es-AR"/>
              </w:rPr>
            </w:pPr>
          </w:p>
        </w:tc>
        <w:tc>
          <w:tcPr>
            <w:tcW w:w="1017" w:type="dxa"/>
            <w:tcBorders>
              <w:top w:val="nil"/>
              <w:left w:val="nil"/>
              <w:bottom w:val="single" w:sz="4" w:space="0" w:color="auto"/>
              <w:right w:val="nil"/>
            </w:tcBorders>
            <w:vAlign w:val="bottom"/>
          </w:tcPr>
          <w:p w14:paraId="129C3D96" w14:textId="77777777" w:rsidR="007B34B2" w:rsidRPr="00B85009" w:rsidRDefault="007B34B2" w:rsidP="00BE5A48">
            <w:pPr>
              <w:rPr>
                <w:rFonts w:ascii="Arial" w:hAnsi="Arial" w:cs="Arial"/>
                <w:sz w:val="16"/>
                <w:szCs w:val="16"/>
                <w:lang w:eastAsia="es-AR"/>
              </w:rPr>
            </w:pPr>
          </w:p>
        </w:tc>
        <w:tc>
          <w:tcPr>
            <w:tcW w:w="954" w:type="dxa"/>
            <w:tcBorders>
              <w:top w:val="nil"/>
              <w:left w:val="nil"/>
              <w:bottom w:val="single" w:sz="4" w:space="0" w:color="auto"/>
              <w:right w:val="nil"/>
            </w:tcBorders>
            <w:vAlign w:val="bottom"/>
          </w:tcPr>
          <w:p w14:paraId="0EF3691B" w14:textId="77777777" w:rsidR="007B34B2" w:rsidRPr="003D4ED0" w:rsidRDefault="007B34B2" w:rsidP="00BE5A48">
            <w:pPr>
              <w:rPr>
                <w:rFonts w:ascii="Arial" w:hAnsi="Arial" w:cs="Arial"/>
                <w:sz w:val="16"/>
                <w:szCs w:val="16"/>
                <w:lang w:eastAsia="es-AR"/>
              </w:rPr>
            </w:pPr>
          </w:p>
        </w:tc>
        <w:tc>
          <w:tcPr>
            <w:tcW w:w="954" w:type="dxa"/>
            <w:tcBorders>
              <w:top w:val="nil"/>
              <w:left w:val="nil"/>
              <w:bottom w:val="single" w:sz="4" w:space="0" w:color="auto"/>
              <w:right w:val="nil"/>
            </w:tcBorders>
            <w:vAlign w:val="bottom"/>
          </w:tcPr>
          <w:p w14:paraId="2B13DA78" w14:textId="77777777" w:rsidR="007B34B2" w:rsidRPr="00066653" w:rsidRDefault="007B34B2" w:rsidP="00BE5A48">
            <w:pPr>
              <w:rPr>
                <w:rFonts w:ascii="Arial" w:hAnsi="Arial" w:cs="Arial"/>
                <w:sz w:val="16"/>
                <w:szCs w:val="16"/>
                <w:lang w:eastAsia="es-AR"/>
              </w:rPr>
            </w:pPr>
          </w:p>
        </w:tc>
        <w:tc>
          <w:tcPr>
            <w:tcW w:w="1068" w:type="dxa"/>
            <w:tcBorders>
              <w:top w:val="nil"/>
              <w:left w:val="nil"/>
              <w:bottom w:val="single" w:sz="4" w:space="0" w:color="auto"/>
              <w:right w:val="nil"/>
            </w:tcBorders>
            <w:vAlign w:val="bottom"/>
          </w:tcPr>
          <w:p w14:paraId="33B10722" w14:textId="77777777" w:rsidR="007B34B2" w:rsidRPr="00066653" w:rsidRDefault="007B34B2" w:rsidP="00BE5A48">
            <w:pPr>
              <w:rPr>
                <w:rFonts w:ascii="Arial" w:hAnsi="Arial" w:cs="Arial"/>
                <w:sz w:val="16"/>
                <w:szCs w:val="16"/>
                <w:lang w:eastAsia="es-AR"/>
              </w:rPr>
            </w:pPr>
          </w:p>
        </w:tc>
        <w:tc>
          <w:tcPr>
            <w:tcW w:w="1106" w:type="dxa"/>
            <w:tcBorders>
              <w:top w:val="nil"/>
              <w:left w:val="nil"/>
              <w:bottom w:val="single" w:sz="4" w:space="0" w:color="auto"/>
              <w:right w:val="nil"/>
            </w:tcBorders>
            <w:vAlign w:val="bottom"/>
          </w:tcPr>
          <w:p w14:paraId="296B7F84" w14:textId="77777777" w:rsidR="007B34B2" w:rsidRPr="00066653" w:rsidRDefault="007B34B2" w:rsidP="00BE5A48">
            <w:pPr>
              <w:rPr>
                <w:rFonts w:ascii="Arial" w:hAnsi="Arial" w:cs="Arial"/>
                <w:sz w:val="16"/>
                <w:szCs w:val="16"/>
                <w:lang w:eastAsia="es-AR"/>
              </w:rPr>
            </w:pPr>
          </w:p>
        </w:tc>
      </w:tr>
      <w:tr w:rsidR="00A968C4" w:rsidRPr="00EA7AC7" w14:paraId="62F64FE7" w14:textId="77777777" w:rsidTr="000D2FC0">
        <w:trPr>
          <w:trHeight w:val="295"/>
        </w:trPr>
        <w:tc>
          <w:tcPr>
            <w:tcW w:w="2904" w:type="dxa"/>
            <w:tcBorders>
              <w:top w:val="single" w:sz="4" w:space="0" w:color="auto"/>
              <w:left w:val="nil"/>
              <w:right w:val="nil"/>
            </w:tcBorders>
            <w:vAlign w:val="center"/>
          </w:tcPr>
          <w:p w14:paraId="6DBCD7F4" w14:textId="77777777" w:rsidR="007B34B2" w:rsidRPr="00EA7AC7" w:rsidRDefault="007B34B2" w:rsidP="00BE5A48">
            <w:pPr>
              <w:jc w:val="center"/>
              <w:rPr>
                <w:rFonts w:ascii="Arial" w:hAnsi="Arial" w:cs="Arial"/>
                <w:b/>
                <w:sz w:val="16"/>
                <w:szCs w:val="16"/>
                <w:lang w:eastAsia="es-AR"/>
              </w:rPr>
            </w:pPr>
            <w:r w:rsidRPr="00EA7AC7">
              <w:rPr>
                <w:rFonts w:ascii="Arial" w:hAnsi="Arial" w:cs="Arial"/>
                <w:b/>
                <w:sz w:val="16"/>
                <w:szCs w:val="16"/>
                <w:lang w:eastAsia="es-AR"/>
              </w:rPr>
              <w:t>TOTAL</w:t>
            </w:r>
          </w:p>
        </w:tc>
        <w:tc>
          <w:tcPr>
            <w:tcW w:w="1106" w:type="dxa"/>
            <w:tcBorders>
              <w:top w:val="single" w:sz="4" w:space="0" w:color="auto"/>
              <w:left w:val="nil"/>
              <w:right w:val="nil"/>
            </w:tcBorders>
            <w:vAlign w:val="center"/>
          </w:tcPr>
          <w:p w14:paraId="00B5ABD9" w14:textId="12747B9F" w:rsidR="007B34B2" w:rsidRPr="00EA7AC7" w:rsidRDefault="00E72D10" w:rsidP="00BE5A48">
            <w:pPr>
              <w:jc w:val="center"/>
              <w:rPr>
                <w:rFonts w:ascii="Arial" w:hAnsi="Arial" w:cs="Arial"/>
                <w:b/>
                <w:sz w:val="16"/>
                <w:szCs w:val="16"/>
                <w:lang w:eastAsia="es-AR"/>
              </w:rPr>
            </w:pPr>
            <w:r>
              <w:rPr>
                <w:rFonts w:ascii="Arial" w:hAnsi="Arial" w:cs="Arial"/>
                <w:b/>
                <w:sz w:val="16"/>
                <w:szCs w:val="16"/>
                <w:lang w:eastAsia="es-AR"/>
              </w:rPr>
              <w:t>125.074.193</w:t>
            </w:r>
          </w:p>
        </w:tc>
        <w:tc>
          <w:tcPr>
            <w:tcW w:w="1017" w:type="dxa"/>
            <w:tcBorders>
              <w:top w:val="single" w:sz="4" w:space="0" w:color="auto"/>
              <w:left w:val="nil"/>
              <w:right w:val="nil"/>
            </w:tcBorders>
            <w:vAlign w:val="center"/>
          </w:tcPr>
          <w:p w14:paraId="548E4F37" w14:textId="30854B8F" w:rsidR="007B34B2" w:rsidRPr="00EA7AC7" w:rsidRDefault="00E72D10" w:rsidP="00BE5A48">
            <w:pPr>
              <w:jc w:val="center"/>
              <w:rPr>
                <w:rFonts w:ascii="Arial" w:hAnsi="Arial" w:cs="Arial"/>
                <w:b/>
                <w:sz w:val="16"/>
                <w:szCs w:val="16"/>
                <w:lang w:eastAsia="es-AR"/>
              </w:rPr>
            </w:pPr>
            <w:r>
              <w:rPr>
                <w:rFonts w:ascii="Arial" w:hAnsi="Arial" w:cs="Arial"/>
                <w:b/>
                <w:sz w:val="16"/>
                <w:szCs w:val="16"/>
                <w:lang w:eastAsia="es-AR"/>
              </w:rPr>
              <w:t>18.373.925</w:t>
            </w:r>
          </w:p>
        </w:tc>
        <w:tc>
          <w:tcPr>
            <w:tcW w:w="1017" w:type="dxa"/>
            <w:tcBorders>
              <w:top w:val="single" w:sz="4" w:space="0" w:color="auto"/>
              <w:left w:val="nil"/>
              <w:right w:val="nil"/>
            </w:tcBorders>
            <w:vAlign w:val="center"/>
          </w:tcPr>
          <w:p w14:paraId="7281D156" w14:textId="7F9FFADD" w:rsidR="007B34B2" w:rsidRPr="00EA7AC7" w:rsidRDefault="00E72D10" w:rsidP="00BE5A48">
            <w:pPr>
              <w:jc w:val="center"/>
              <w:rPr>
                <w:rFonts w:ascii="Arial" w:hAnsi="Arial" w:cs="Arial"/>
                <w:b/>
                <w:sz w:val="16"/>
                <w:szCs w:val="16"/>
                <w:lang w:eastAsia="es-AR"/>
              </w:rPr>
            </w:pPr>
            <w:r>
              <w:rPr>
                <w:rFonts w:ascii="Arial" w:hAnsi="Arial" w:cs="Arial"/>
                <w:b/>
                <w:sz w:val="16"/>
                <w:szCs w:val="16"/>
                <w:lang w:eastAsia="es-AR"/>
              </w:rPr>
              <w:t>11.073.513</w:t>
            </w:r>
          </w:p>
        </w:tc>
        <w:tc>
          <w:tcPr>
            <w:tcW w:w="954" w:type="dxa"/>
            <w:tcBorders>
              <w:top w:val="single" w:sz="4" w:space="0" w:color="auto"/>
              <w:left w:val="nil"/>
              <w:right w:val="nil"/>
            </w:tcBorders>
            <w:vAlign w:val="center"/>
          </w:tcPr>
          <w:p w14:paraId="7948CC2C" w14:textId="20FDB08F" w:rsidR="007B34B2" w:rsidRPr="00EA7AC7" w:rsidRDefault="00E72D10" w:rsidP="00BE5A48">
            <w:pPr>
              <w:jc w:val="center"/>
              <w:rPr>
                <w:rFonts w:ascii="Arial" w:hAnsi="Arial" w:cs="Arial"/>
                <w:b/>
                <w:sz w:val="16"/>
                <w:szCs w:val="16"/>
                <w:lang w:eastAsia="es-AR"/>
              </w:rPr>
            </w:pPr>
            <w:r>
              <w:rPr>
                <w:rFonts w:ascii="Arial" w:hAnsi="Arial" w:cs="Arial"/>
                <w:b/>
                <w:sz w:val="16"/>
                <w:szCs w:val="16"/>
                <w:lang w:eastAsia="es-AR"/>
              </w:rPr>
              <w:t>2.249.327</w:t>
            </w:r>
          </w:p>
        </w:tc>
        <w:tc>
          <w:tcPr>
            <w:tcW w:w="954" w:type="dxa"/>
            <w:tcBorders>
              <w:top w:val="single" w:sz="4" w:space="0" w:color="auto"/>
              <w:left w:val="nil"/>
              <w:right w:val="nil"/>
            </w:tcBorders>
            <w:vAlign w:val="center"/>
          </w:tcPr>
          <w:p w14:paraId="78CD9E9B" w14:textId="5FC0FD13" w:rsidR="007B34B2" w:rsidRPr="00EA7AC7" w:rsidRDefault="00E72D10" w:rsidP="00BE5A48">
            <w:pPr>
              <w:jc w:val="center"/>
              <w:rPr>
                <w:rFonts w:ascii="Arial" w:hAnsi="Arial" w:cs="Arial"/>
                <w:b/>
                <w:sz w:val="16"/>
                <w:szCs w:val="16"/>
                <w:lang w:eastAsia="es-AR"/>
              </w:rPr>
            </w:pPr>
            <w:r>
              <w:rPr>
                <w:rFonts w:ascii="Arial" w:hAnsi="Arial" w:cs="Arial"/>
                <w:b/>
                <w:sz w:val="16"/>
                <w:szCs w:val="16"/>
                <w:lang w:eastAsia="es-AR"/>
              </w:rPr>
              <w:t>3.313.334</w:t>
            </w:r>
          </w:p>
        </w:tc>
        <w:tc>
          <w:tcPr>
            <w:tcW w:w="1068" w:type="dxa"/>
            <w:tcBorders>
              <w:top w:val="single" w:sz="4" w:space="0" w:color="auto"/>
              <w:left w:val="nil"/>
              <w:right w:val="nil"/>
            </w:tcBorders>
            <w:vAlign w:val="center"/>
          </w:tcPr>
          <w:p w14:paraId="034A8C6F" w14:textId="04C42F48" w:rsidR="007B34B2" w:rsidRPr="00EA7AC7" w:rsidRDefault="00E72D10" w:rsidP="00BE5A48">
            <w:pPr>
              <w:jc w:val="center"/>
              <w:rPr>
                <w:rFonts w:ascii="Arial" w:hAnsi="Arial" w:cs="Arial"/>
                <w:b/>
                <w:sz w:val="16"/>
                <w:szCs w:val="16"/>
                <w:lang w:eastAsia="es-AR"/>
              </w:rPr>
            </w:pPr>
            <w:r>
              <w:rPr>
                <w:rFonts w:ascii="Arial" w:hAnsi="Arial" w:cs="Arial"/>
                <w:b/>
                <w:sz w:val="16"/>
                <w:szCs w:val="16"/>
                <w:lang w:eastAsia="es-AR"/>
              </w:rPr>
              <w:t>1.548.804</w:t>
            </w:r>
          </w:p>
        </w:tc>
        <w:tc>
          <w:tcPr>
            <w:tcW w:w="1106" w:type="dxa"/>
            <w:tcBorders>
              <w:top w:val="single" w:sz="4" w:space="0" w:color="auto"/>
              <w:left w:val="nil"/>
              <w:right w:val="nil"/>
            </w:tcBorders>
            <w:vAlign w:val="center"/>
          </w:tcPr>
          <w:p w14:paraId="5DFA35FF" w14:textId="0C670AF6" w:rsidR="007B34B2" w:rsidRPr="00EA7AC7" w:rsidRDefault="00E72D10" w:rsidP="00BE5A48">
            <w:pPr>
              <w:jc w:val="center"/>
              <w:rPr>
                <w:rFonts w:ascii="Arial" w:hAnsi="Arial" w:cs="Arial"/>
                <w:b/>
                <w:sz w:val="16"/>
                <w:szCs w:val="16"/>
                <w:lang w:eastAsia="es-AR"/>
              </w:rPr>
            </w:pPr>
            <w:r>
              <w:rPr>
                <w:rFonts w:ascii="Arial" w:hAnsi="Arial" w:cs="Arial"/>
                <w:b/>
                <w:sz w:val="16"/>
                <w:szCs w:val="16"/>
                <w:lang w:eastAsia="es-AR"/>
              </w:rPr>
              <w:t>161.633.096</w:t>
            </w:r>
          </w:p>
        </w:tc>
      </w:tr>
    </w:tbl>
    <w:p w14:paraId="2B1C5B05" w14:textId="6E8EBF9F" w:rsidR="00860C48" w:rsidRPr="00701F32" w:rsidRDefault="00860C48" w:rsidP="008962C9">
      <w:pPr>
        <w:rPr>
          <w:lang w:val="en-US"/>
        </w:rPr>
      </w:pPr>
    </w:p>
    <w:p w14:paraId="79DC9D6A" w14:textId="77777777" w:rsidR="00860C48" w:rsidRPr="00701F32" w:rsidRDefault="00860C48" w:rsidP="008962C9">
      <w:pPr>
        <w:rPr>
          <w:lang w:val="en-US"/>
        </w:rPr>
      </w:pPr>
    </w:p>
    <w:p w14:paraId="1F8FDA1B" w14:textId="77777777" w:rsidR="007A7EC4" w:rsidRPr="00701F32" w:rsidRDefault="007A7EC4" w:rsidP="008962C9">
      <w:pPr>
        <w:rPr>
          <w:lang w:val="en-US"/>
        </w:rPr>
        <w:sectPr w:rsidR="007A7EC4" w:rsidRPr="00701F32" w:rsidSect="00425F99">
          <w:headerReference w:type="default" r:id="rId45"/>
          <w:pgSz w:w="11907" w:h="16839" w:code="9"/>
          <w:pgMar w:top="1418" w:right="1701" w:bottom="1418" w:left="1701" w:header="567" w:footer="0" w:gutter="0"/>
          <w:paperSrc w:first="256" w:other="256"/>
          <w:cols w:space="720"/>
          <w:docGrid w:linePitch="326"/>
        </w:sectPr>
      </w:pPr>
    </w:p>
    <w:tbl>
      <w:tblPr>
        <w:tblStyle w:val="TableGrid"/>
        <w:tblW w:w="10356" w:type="dxa"/>
        <w:tblInd w:w="-431" w:type="dxa"/>
        <w:tblLayout w:type="fixed"/>
        <w:tblLook w:val="04A0" w:firstRow="1" w:lastRow="0" w:firstColumn="1" w:lastColumn="0" w:noHBand="0" w:noVBand="1"/>
      </w:tblPr>
      <w:tblGrid>
        <w:gridCol w:w="3545"/>
        <w:gridCol w:w="1047"/>
        <w:gridCol w:w="1079"/>
        <w:gridCol w:w="1122"/>
        <w:gridCol w:w="1275"/>
        <w:gridCol w:w="1147"/>
        <w:gridCol w:w="1134"/>
        <w:gridCol w:w="7"/>
      </w:tblGrid>
      <w:tr w:rsidR="00A179F3" w:rsidRPr="007B34B2" w14:paraId="6A3710BE" w14:textId="77777777" w:rsidTr="00083AEA">
        <w:trPr>
          <w:gridAfter w:val="1"/>
          <w:wAfter w:w="7" w:type="dxa"/>
        </w:trPr>
        <w:tc>
          <w:tcPr>
            <w:tcW w:w="3545" w:type="dxa"/>
            <w:vMerge w:val="restart"/>
            <w:tcBorders>
              <w:top w:val="single" w:sz="4" w:space="0" w:color="auto"/>
              <w:left w:val="single" w:sz="4" w:space="0" w:color="auto"/>
              <w:bottom w:val="single" w:sz="4" w:space="0" w:color="auto"/>
            </w:tcBorders>
            <w:shd w:val="clear" w:color="auto" w:fill="BFBFBF" w:themeFill="background1" w:themeFillShade="BF"/>
            <w:vAlign w:val="center"/>
          </w:tcPr>
          <w:p w14:paraId="54403B9C" w14:textId="71494E3E" w:rsidR="007B34B2" w:rsidRPr="00A179F3" w:rsidRDefault="007B34B2" w:rsidP="00A179F3">
            <w:pPr>
              <w:jc w:val="center"/>
              <w:rPr>
                <w:rFonts w:ascii="Arial" w:hAnsi="Arial" w:cs="Arial"/>
                <w:b/>
                <w:sz w:val="16"/>
                <w:szCs w:val="18"/>
                <w:lang w:val="en-US"/>
              </w:rPr>
            </w:pPr>
            <w:r w:rsidRPr="00A179F3">
              <w:rPr>
                <w:rFonts w:ascii="Arial" w:hAnsi="Arial" w:cs="Arial"/>
                <w:b/>
                <w:sz w:val="16"/>
                <w:szCs w:val="18"/>
                <w:lang w:val="en-US"/>
              </w:rPr>
              <w:lastRenderedPageBreak/>
              <w:t>Concepto</w:t>
            </w:r>
          </w:p>
        </w:tc>
        <w:tc>
          <w:tcPr>
            <w:tcW w:w="1047" w:type="dxa"/>
            <w:vMerge w:val="restart"/>
            <w:tcBorders>
              <w:top w:val="single" w:sz="4" w:space="0" w:color="auto"/>
              <w:bottom w:val="single" w:sz="4" w:space="0" w:color="auto"/>
            </w:tcBorders>
            <w:shd w:val="clear" w:color="auto" w:fill="BFBFBF" w:themeFill="background1" w:themeFillShade="BF"/>
            <w:vAlign w:val="center"/>
          </w:tcPr>
          <w:p w14:paraId="3F3BAED5" w14:textId="102F30BB" w:rsidR="007B34B2" w:rsidRPr="00A179F3" w:rsidRDefault="007B34B2" w:rsidP="00A179F3">
            <w:pPr>
              <w:jc w:val="center"/>
              <w:rPr>
                <w:rFonts w:ascii="Arial" w:hAnsi="Arial" w:cs="Arial"/>
                <w:b/>
                <w:sz w:val="16"/>
                <w:szCs w:val="18"/>
              </w:rPr>
            </w:pPr>
            <w:r w:rsidRPr="00A179F3">
              <w:rPr>
                <w:rFonts w:ascii="Arial" w:hAnsi="Arial" w:cs="Arial"/>
                <w:b/>
                <w:sz w:val="16"/>
                <w:szCs w:val="18"/>
              </w:rPr>
              <w:t>Saldo al comienzo del ejercicio</w:t>
            </w:r>
          </w:p>
        </w:tc>
        <w:tc>
          <w:tcPr>
            <w:tcW w:w="1079" w:type="dxa"/>
            <w:vMerge w:val="restart"/>
            <w:tcBorders>
              <w:top w:val="single" w:sz="4" w:space="0" w:color="auto"/>
              <w:bottom w:val="single" w:sz="4" w:space="0" w:color="auto"/>
            </w:tcBorders>
            <w:shd w:val="clear" w:color="auto" w:fill="BFBFBF" w:themeFill="background1" w:themeFillShade="BF"/>
            <w:vAlign w:val="center"/>
          </w:tcPr>
          <w:p w14:paraId="6FAEEF14" w14:textId="2A637D91" w:rsidR="007B34B2" w:rsidRPr="00A179F3" w:rsidRDefault="007B34B2" w:rsidP="00A179F3">
            <w:pPr>
              <w:jc w:val="center"/>
              <w:rPr>
                <w:rFonts w:ascii="Arial" w:hAnsi="Arial" w:cs="Arial"/>
                <w:b/>
                <w:sz w:val="16"/>
                <w:szCs w:val="18"/>
              </w:rPr>
            </w:pPr>
            <w:r w:rsidRPr="00A179F3">
              <w:rPr>
                <w:rFonts w:ascii="Arial" w:hAnsi="Arial" w:cs="Arial"/>
                <w:b/>
                <w:sz w:val="16"/>
                <w:szCs w:val="18"/>
              </w:rPr>
              <w:t>Aumentos</w:t>
            </w:r>
          </w:p>
        </w:tc>
        <w:tc>
          <w:tcPr>
            <w:tcW w:w="2397" w:type="dxa"/>
            <w:gridSpan w:val="2"/>
            <w:tcBorders>
              <w:top w:val="single" w:sz="4" w:space="0" w:color="auto"/>
              <w:bottom w:val="single" w:sz="4" w:space="0" w:color="auto"/>
            </w:tcBorders>
            <w:shd w:val="clear" w:color="auto" w:fill="BFBFBF" w:themeFill="background1" w:themeFillShade="BF"/>
            <w:vAlign w:val="center"/>
          </w:tcPr>
          <w:p w14:paraId="73E9218D" w14:textId="2092E354" w:rsidR="007B34B2" w:rsidRPr="00A179F3" w:rsidRDefault="007B34B2" w:rsidP="00A179F3">
            <w:pPr>
              <w:jc w:val="center"/>
              <w:rPr>
                <w:rFonts w:ascii="Arial" w:hAnsi="Arial" w:cs="Arial"/>
                <w:b/>
                <w:sz w:val="16"/>
                <w:szCs w:val="18"/>
              </w:rPr>
            </w:pPr>
            <w:r w:rsidRPr="00A179F3">
              <w:rPr>
                <w:rFonts w:ascii="Arial" w:hAnsi="Arial" w:cs="Arial"/>
                <w:b/>
                <w:sz w:val="16"/>
                <w:szCs w:val="18"/>
              </w:rPr>
              <w:t>Disminuciones</w:t>
            </w:r>
          </w:p>
        </w:tc>
        <w:tc>
          <w:tcPr>
            <w:tcW w:w="1147" w:type="dxa"/>
            <w:vMerge w:val="restart"/>
            <w:tcBorders>
              <w:top w:val="single" w:sz="4" w:space="0" w:color="auto"/>
              <w:bottom w:val="single" w:sz="4" w:space="0" w:color="auto"/>
            </w:tcBorders>
            <w:shd w:val="clear" w:color="auto" w:fill="BFBFBF" w:themeFill="background1" w:themeFillShade="BF"/>
            <w:vAlign w:val="center"/>
          </w:tcPr>
          <w:p w14:paraId="51B922D8" w14:textId="546B2C5E" w:rsidR="007B34B2" w:rsidRPr="00A179F3" w:rsidRDefault="00083AEA" w:rsidP="00083AEA">
            <w:pPr>
              <w:jc w:val="center"/>
              <w:rPr>
                <w:rFonts w:ascii="Arial" w:hAnsi="Arial" w:cs="Arial"/>
                <w:b/>
                <w:sz w:val="16"/>
                <w:szCs w:val="18"/>
              </w:rPr>
            </w:pPr>
            <w:r>
              <w:rPr>
                <w:rFonts w:ascii="Arial" w:hAnsi="Arial" w:cs="Arial"/>
                <w:b/>
                <w:sz w:val="16"/>
                <w:szCs w:val="18"/>
              </w:rPr>
              <w:t xml:space="preserve">Saldo al </w:t>
            </w:r>
            <w:r w:rsidR="003C2633">
              <w:rPr>
                <w:rFonts w:ascii="Arial" w:hAnsi="Arial" w:cs="Arial"/>
                <w:b/>
                <w:sz w:val="16"/>
                <w:szCs w:val="18"/>
              </w:rPr>
              <w:t>3</w:t>
            </w:r>
            <w:r w:rsidR="009B1CF0">
              <w:rPr>
                <w:rFonts w:ascii="Arial" w:hAnsi="Arial" w:cs="Arial"/>
                <w:b/>
                <w:sz w:val="16"/>
                <w:szCs w:val="18"/>
              </w:rPr>
              <w:t>1</w:t>
            </w:r>
            <w:r w:rsidR="003C2633">
              <w:rPr>
                <w:rFonts w:ascii="Arial" w:hAnsi="Arial" w:cs="Arial"/>
                <w:b/>
                <w:sz w:val="16"/>
                <w:szCs w:val="18"/>
              </w:rPr>
              <w:t>/0</w:t>
            </w:r>
            <w:r w:rsidR="009B1CF0">
              <w:rPr>
                <w:rFonts w:ascii="Arial" w:hAnsi="Arial" w:cs="Arial"/>
                <w:b/>
                <w:sz w:val="16"/>
                <w:szCs w:val="18"/>
              </w:rPr>
              <w:t>3</w:t>
            </w:r>
            <w:r w:rsidR="003C2633">
              <w:rPr>
                <w:rFonts w:ascii="Arial" w:hAnsi="Arial" w:cs="Arial"/>
                <w:b/>
                <w:sz w:val="16"/>
                <w:szCs w:val="18"/>
              </w:rPr>
              <w:t>/20</w:t>
            </w:r>
            <w:r w:rsidR="009B1CF0">
              <w:rPr>
                <w:rFonts w:ascii="Arial" w:hAnsi="Arial" w:cs="Arial"/>
                <w:b/>
                <w:sz w:val="16"/>
                <w:szCs w:val="18"/>
              </w:rPr>
              <w:t>20</w:t>
            </w:r>
            <w:r w:rsidR="00211162">
              <w:rPr>
                <w:rFonts w:ascii="Arial" w:hAnsi="Arial" w:cs="Arial"/>
                <w:b/>
                <w:sz w:val="16"/>
                <w:szCs w:val="18"/>
              </w:rPr>
              <w:t xml:space="preserve"> (*)</w:t>
            </w:r>
          </w:p>
        </w:tc>
        <w:tc>
          <w:tcPr>
            <w:tcW w:w="1134" w:type="dxa"/>
            <w:vMerge w:val="restart"/>
            <w:tcBorders>
              <w:top w:val="single" w:sz="4" w:space="0" w:color="auto"/>
              <w:bottom w:val="single" w:sz="4" w:space="0" w:color="auto"/>
              <w:right w:val="single" w:sz="4" w:space="0" w:color="auto"/>
            </w:tcBorders>
            <w:shd w:val="clear" w:color="auto" w:fill="BFBFBF" w:themeFill="background1" w:themeFillShade="BF"/>
            <w:vAlign w:val="center"/>
          </w:tcPr>
          <w:p w14:paraId="467AA5CA" w14:textId="2E568340" w:rsidR="007B34B2" w:rsidRPr="00A179F3" w:rsidRDefault="007B34B2" w:rsidP="00A179F3">
            <w:pPr>
              <w:jc w:val="center"/>
              <w:rPr>
                <w:rFonts w:ascii="Arial" w:hAnsi="Arial" w:cs="Arial"/>
                <w:b/>
                <w:sz w:val="16"/>
                <w:szCs w:val="18"/>
              </w:rPr>
            </w:pPr>
            <w:r w:rsidRPr="00A179F3">
              <w:rPr>
                <w:rFonts w:ascii="Arial" w:hAnsi="Arial" w:cs="Arial"/>
                <w:b/>
                <w:sz w:val="16"/>
                <w:szCs w:val="18"/>
              </w:rPr>
              <w:t>Saldo al 31/12/201</w:t>
            </w:r>
            <w:r w:rsidR="009B1CF0">
              <w:rPr>
                <w:rFonts w:ascii="Arial" w:hAnsi="Arial" w:cs="Arial"/>
                <w:b/>
                <w:sz w:val="16"/>
                <w:szCs w:val="18"/>
              </w:rPr>
              <w:t>9</w:t>
            </w:r>
          </w:p>
        </w:tc>
      </w:tr>
      <w:tr w:rsidR="00A179F3" w:rsidRPr="007B34B2" w14:paraId="65B758EE" w14:textId="77777777" w:rsidTr="00083AEA">
        <w:trPr>
          <w:gridAfter w:val="1"/>
          <w:wAfter w:w="7" w:type="dxa"/>
        </w:trPr>
        <w:tc>
          <w:tcPr>
            <w:tcW w:w="3545" w:type="dxa"/>
            <w:vMerge/>
            <w:tcBorders>
              <w:top w:val="single" w:sz="4" w:space="0" w:color="auto"/>
              <w:bottom w:val="single" w:sz="4" w:space="0" w:color="auto"/>
            </w:tcBorders>
            <w:shd w:val="clear" w:color="auto" w:fill="BFBFBF" w:themeFill="background1" w:themeFillShade="BF"/>
          </w:tcPr>
          <w:p w14:paraId="5D8A4B79" w14:textId="77777777" w:rsidR="007B34B2" w:rsidRPr="007B34B2" w:rsidRDefault="007B34B2" w:rsidP="008962C9">
            <w:pPr>
              <w:rPr>
                <w:rFonts w:ascii="Arial" w:hAnsi="Arial" w:cs="Arial"/>
                <w:sz w:val="18"/>
                <w:szCs w:val="18"/>
              </w:rPr>
            </w:pPr>
          </w:p>
        </w:tc>
        <w:tc>
          <w:tcPr>
            <w:tcW w:w="1047" w:type="dxa"/>
            <w:vMerge/>
            <w:tcBorders>
              <w:top w:val="single" w:sz="4" w:space="0" w:color="auto"/>
              <w:bottom w:val="single" w:sz="4" w:space="0" w:color="auto"/>
            </w:tcBorders>
            <w:shd w:val="clear" w:color="auto" w:fill="BFBFBF" w:themeFill="background1" w:themeFillShade="BF"/>
          </w:tcPr>
          <w:p w14:paraId="1D7E43DD" w14:textId="77777777" w:rsidR="007B34B2" w:rsidRPr="007B34B2" w:rsidRDefault="007B34B2" w:rsidP="008962C9">
            <w:pPr>
              <w:rPr>
                <w:rFonts w:ascii="Arial" w:hAnsi="Arial" w:cs="Arial"/>
                <w:sz w:val="18"/>
                <w:szCs w:val="18"/>
              </w:rPr>
            </w:pPr>
          </w:p>
        </w:tc>
        <w:tc>
          <w:tcPr>
            <w:tcW w:w="1079" w:type="dxa"/>
            <w:vMerge/>
            <w:tcBorders>
              <w:top w:val="single" w:sz="4" w:space="0" w:color="auto"/>
              <w:bottom w:val="single" w:sz="4" w:space="0" w:color="auto"/>
            </w:tcBorders>
            <w:shd w:val="clear" w:color="auto" w:fill="BFBFBF" w:themeFill="background1" w:themeFillShade="BF"/>
          </w:tcPr>
          <w:p w14:paraId="0FFE4623" w14:textId="77777777" w:rsidR="007B34B2" w:rsidRPr="007B34B2" w:rsidRDefault="007B34B2" w:rsidP="008962C9">
            <w:pPr>
              <w:rPr>
                <w:rFonts w:ascii="Arial" w:hAnsi="Arial" w:cs="Arial"/>
                <w:sz w:val="18"/>
                <w:szCs w:val="18"/>
              </w:rPr>
            </w:pPr>
          </w:p>
        </w:tc>
        <w:tc>
          <w:tcPr>
            <w:tcW w:w="1122" w:type="dxa"/>
            <w:tcBorders>
              <w:top w:val="single" w:sz="4" w:space="0" w:color="auto"/>
              <w:bottom w:val="single" w:sz="4" w:space="0" w:color="auto"/>
              <w:right w:val="single" w:sz="4" w:space="0" w:color="auto"/>
            </w:tcBorders>
            <w:shd w:val="clear" w:color="auto" w:fill="BFBFBF" w:themeFill="background1" w:themeFillShade="BF"/>
            <w:vAlign w:val="center"/>
          </w:tcPr>
          <w:p w14:paraId="28D55FD1" w14:textId="3F76F3AC" w:rsidR="007B34B2" w:rsidRPr="00A179F3" w:rsidRDefault="007B34B2" w:rsidP="00A179F3">
            <w:pPr>
              <w:jc w:val="center"/>
              <w:rPr>
                <w:rFonts w:ascii="Arial" w:hAnsi="Arial" w:cs="Arial"/>
                <w:b/>
                <w:sz w:val="16"/>
                <w:szCs w:val="18"/>
              </w:rPr>
            </w:pPr>
            <w:r w:rsidRPr="00A179F3">
              <w:rPr>
                <w:rFonts w:ascii="Arial" w:hAnsi="Arial" w:cs="Arial"/>
                <w:b/>
                <w:sz w:val="16"/>
                <w:szCs w:val="18"/>
              </w:rPr>
              <w:t>Desafectaciones</w:t>
            </w:r>
          </w:p>
        </w:tc>
        <w:tc>
          <w:tcPr>
            <w:tcW w:w="1275" w:type="dxa"/>
            <w:tcBorders>
              <w:top w:val="single" w:sz="4" w:space="0" w:color="auto"/>
              <w:left w:val="single" w:sz="4" w:space="0" w:color="auto"/>
              <w:bottom w:val="single" w:sz="4" w:space="0" w:color="auto"/>
            </w:tcBorders>
            <w:shd w:val="clear" w:color="auto" w:fill="BFBFBF" w:themeFill="background1" w:themeFillShade="BF"/>
            <w:vAlign w:val="center"/>
          </w:tcPr>
          <w:p w14:paraId="1CC9AA1F" w14:textId="7ACA482A" w:rsidR="007B34B2" w:rsidRPr="00A179F3" w:rsidRDefault="007B34B2" w:rsidP="00A179F3">
            <w:pPr>
              <w:jc w:val="center"/>
              <w:rPr>
                <w:rFonts w:ascii="Arial" w:hAnsi="Arial" w:cs="Arial"/>
                <w:b/>
                <w:sz w:val="16"/>
                <w:szCs w:val="18"/>
              </w:rPr>
            </w:pPr>
            <w:r w:rsidRPr="00A179F3">
              <w:rPr>
                <w:rFonts w:ascii="Arial" w:hAnsi="Arial" w:cs="Arial"/>
                <w:b/>
                <w:sz w:val="16"/>
                <w:szCs w:val="18"/>
              </w:rPr>
              <w:t>Aplicaciones</w:t>
            </w:r>
          </w:p>
        </w:tc>
        <w:tc>
          <w:tcPr>
            <w:tcW w:w="1147" w:type="dxa"/>
            <w:vMerge/>
            <w:tcBorders>
              <w:top w:val="single" w:sz="4" w:space="0" w:color="auto"/>
              <w:bottom w:val="single" w:sz="4" w:space="0" w:color="auto"/>
            </w:tcBorders>
            <w:shd w:val="clear" w:color="auto" w:fill="BFBFBF" w:themeFill="background1" w:themeFillShade="BF"/>
          </w:tcPr>
          <w:p w14:paraId="7F902EE4" w14:textId="77777777" w:rsidR="007B34B2" w:rsidRPr="007B34B2" w:rsidRDefault="007B34B2" w:rsidP="008962C9">
            <w:pPr>
              <w:rPr>
                <w:rFonts w:ascii="Arial" w:hAnsi="Arial" w:cs="Arial"/>
                <w:sz w:val="18"/>
                <w:szCs w:val="18"/>
              </w:rPr>
            </w:pPr>
          </w:p>
        </w:tc>
        <w:tc>
          <w:tcPr>
            <w:tcW w:w="1134" w:type="dxa"/>
            <w:vMerge/>
            <w:tcBorders>
              <w:top w:val="single" w:sz="4" w:space="0" w:color="auto"/>
              <w:bottom w:val="single" w:sz="4" w:space="0" w:color="auto"/>
            </w:tcBorders>
            <w:shd w:val="clear" w:color="auto" w:fill="BFBFBF" w:themeFill="background1" w:themeFillShade="BF"/>
          </w:tcPr>
          <w:p w14:paraId="5963D38B" w14:textId="77777777" w:rsidR="007B34B2" w:rsidRPr="007B34B2" w:rsidRDefault="007B34B2" w:rsidP="008962C9">
            <w:pPr>
              <w:rPr>
                <w:rFonts w:ascii="Arial" w:hAnsi="Arial" w:cs="Arial"/>
                <w:sz w:val="18"/>
                <w:szCs w:val="18"/>
              </w:rPr>
            </w:pPr>
          </w:p>
        </w:tc>
      </w:tr>
      <w:tr w:rsidR="00A179F3" w:rsidRPr="007B34B2" w14:paraId="3CA915CF" w14:textId="77777777" w:rsidTr="00083AEA">
        <w:tc>
          <w:tcPr>
            <w:tcW w:w="10356" w:type="dxa"/>
            <w:gridSpan w:val="8"/>
            <w:tcBorders>
              <w:top w:val="single" w:sz="4" w:space="0" w:color="auto"/>
              <w:left w:val="nil"/>
              <w:bottom w:val="nil"/>
              <w:right w:val="nil"/>
            </w:tcBorders>
          </w:tcPr>
          <w:p w14:paraId="494023C5" w14:textId="3E6D769F" w:rsidR="00A179F3" w:rsidRPr="00A004CE" w:rsidRDefault="00A179F3" w:rsidP="008962C9">
            <w:pPr>
              <w:rPr>
                <w:rFonts w:ascii="Arial" w:hAnsi="Arial" w:cs="Arial"/>
                <w:b/>
                <w:sz w:val="16"/>
                <w:szCs w:val="18"/>
                <w:u w:val="single"/>
              </w:rPr>
            </w:pPr>
            <w:r w:rsidRPr="00A004CE">
              <w:rPr>
                <w:rFonts w:ascii="Arial" w:hAnsi="Arial" w:cs="Arial"/>
                <w:b/>
                <w:sz w:val="16"/>
                <w:szCs w:val="18"/>
                <w:u w:val="single"/>
              </w:rPr>
              <w:t>DEL PASIVO</w:t>
            </w:r>
          </w:p>
        </w:tc>
      </w:tr>
      <w:tr w:rsidR="00A179F3" w:rsidRPr="007B34B2" w14:paraId="3AE8C6C2" w14:textId="77777777" w:rsidTr="00083AEA">
        <w:trPr>
          <w:gridAfter w:val="1"/>
          <w:wAfter w:w="7" w:type="dxa"/>
        </w:trPr>
        <w:tc>
          <w:tcPr>
            <w:tcW w:w="3545" w:type="dxa"/>
            <w:tcBorders>
              <w:top w:val="nil"/>
              <w:left w:val="nil"/>
              <w:bottom w:val="nil"/>
              <w:right w:val="nil"/>
            </w:tcBorders>
          </w:tcPr>
          <w:p w14:paraId="3DB671F4" w14:textId="77777777" w:rsidR="007B34B2" w:rsidRPr="00A004CE" w:rsidRDefault="007B34B2" w:rsidP="008962C9">
            <w:pPr>
              <w:rPr>
                <w:rFonts w:ascii="Arial" w:hAnsi="Arial" w:cs="Arial"/>
                <w:b/>
                <w:sz w:val="16"/>
                <w:szCs w:val="18"/>
              </w:rPr>
            </w:pPr>
          </w:p>
        </w:tc>
        <w:tc>
          <w:tcPr>
            <w:tcW w:w="1047" w:type="dxa"/>
            <w:tcBorders>
              <w:top w:val="nil"/>
              <w:left w:val="nil"/>
              <w:bottom w:val="nil"/>
              <w:right w:val="nil"/>
            </w:tcBorders>
          </w:tcPr>
          <w:p w14:paraId="1B3E699F" w14:textId="77777777" w:rsidR="007B34B2" w:rsidRPr="00A179F3" w:rsidRDefault="007B34B2" w:rsidP="008962C9">
            <w:pPr>
              <w:rPr>
                <w:rFonts w:ascii="Arial" w:hAnsi="Arial" w:cs="Arial"/>
                <w:sz w:val="16"/>
                <w:szCs w:val="18"/>
              </w:rPr>
            </w:pPr>
          </w:p>
        </w:tc>
        <w:tc>
          <w:tcPr>
            <w:tcW w:w="1079" w:type="dxa"/>
            <w:tcBorders>
              <w:top w:val="nil"/>
              <w:left w:val="nil"/>
              <w:bottom w:val="nil"/>
              <w:right w:val="nil"/>
            </w:tcBorders>
          </w:tcPr>
          <w:p w14:paraId="4466B348" w14:textId="77777777" w:rsidR="007B34B2" w:rsidRPr="00A179F3" w:rsidRDefault="007B34B2" w:rsidP="008962C9">
            <w:pPr>
              <w:rPr>
                <w:rFonts w:ascii="Arial" w:hAnsi="Arial" w:cs="Arial"/>
                <w:sz w:val="16"/>
                <w:szCs w:val="18"/>
              </w:rPr>
            </w:pPr>
          </w:p>
        </w:tc>
        <w:tc>
          <w:tcPr>
            <w:tcW w:w="1122" w:type="dxa"/>
            <w:tcBorders>
              <w:top w:val="nil"/>
              <w:left w:val="nil"/>
              <w:bottom w:val="nil"/>
              <w:right w:val="nil"/>
            </w:tcBorders>
          </w:tcPr>
          <w:p w14:paraId="32F8A5AD" w14:textId="77777777" w:rsidR="007B34B2" w:rsidRPr="00A179F3" w:rsidRDefault="007B34B2" w:rsidP="008962C9">
            <w:pPr>
              <w:rPr>
                <w:rFonts w:ascii="Arial" w:hAnsi="Arial" w:cs="Arial"/>
                <w:sz w:val="16"/>
                <w:szCs w:val="18"/>
              </w:rPr>
            </w:pPr>
          </w:p>
        </w:tc>
        <w:tc>
          <w:tcPr>
            <w:tcW w:w="1275" w:type="dxa"/>
            <w:tcBorders>
              <w:top w:val="nil"/>
              <w:left w:val="nil"/>
              <w:bottom w:val="nil"/>
              <w:right w:val="nil"/>
            </w:tcBorders>
          </w:tcPr>
          <w:p w14:paraId="07F8B37F" w14:textId="77777777" w:rsidR="007B34B2" w:rsidRPr="00A179F3" w:rsidRDefault="007B34B2" w:rsidP="008962C9">
            <w:pPr>
              <w:rPr>
                <w:rFonts w:ascii="Arial" w:hAnsi="Arial" w:cs="Arial"/>
                <w:sz w:val="16"/>
                <w:szCs w:val="18"/>
              </w:rPr>
            </w:pPr>
          </w:p>
        </w:tc>
        <w:tc>
          <w:tcPr>
            <w:tcW w:w="1147" w:type="dxa"/>
            <w:tcBorders>
              <w:top w:val="nil"/>
              <w:left w:val="nil"/>
              <w:bottom w:val="nil"/>
              <w:right w:val="nil"/>
            </w:tcBorders>
          </w:tcPr>
          <w:p w14:paraId="6B0AB3D9" w14:textId="77777777" w:rsidR="007B34B2" w:rsidRPr="00A179F3" w:rsidRDefault="007B34B2" w:rsidP="008962C9">
            <w:pPr>
              <w:rPr>
                <w:rFonts w:ascii="Arial" w:hAnsi="Arial" w:cs="Arial"/>
                <w:sz w:val="16"/>
                <w:szCs w:val="18"/>
              </w:rPr>
            </w:pPr>
          </w:p>
        </w:tc>
        <w:tc>
          <w:tcPr>
            <w:tcW w:w="1134" w:type="dxa"/>
            <w:tcBorders>
              <w:top w:val="nil"/>
              <w:left w:val="nil"/>
              <w:bottom w:val="nil"/>
              <w:right w:val="nil"/>
            </w:tcBorders>
          </w:tcPr>
          <w:p w14:paraId="14A28C30" w14:textId="77777777" w:rsidR="007B34B2" w:rsidRPr="00A179F3" w:rsidRDefault="007B34B2" w:rsidP="008962C9">
            <w:pPr>
              <w:rPr>
                <w:rFonts w:ascii="Arial" w:hAnsi="Arial" w:cs="Arial"/>
                <w:sz w:val="16"/>
                <w:szCs w:val="18"/>
              </w:rPr>
            </w:pPr>
          </w:p>
        </w:tc>
      </w:tr>
      <w:tr w:rsidR="006878B8" w:rsidRPr="007B34B2" w14:paraId="7541A874" w14:textId="77777777" w:rsidTr="005C11BF">
        <w:trPr>
          <w:gridAfter w:val="1"/>
          <w:wAfter w:w="7" w:type="dxa"/>
          <w:trHeight w:val="230"/>
        </w:trPr>
        <w:tc>
          <w:tcPr>
            <w:tcW w:w="3545" w:type="dxa"/>
            <w:tcBorders>
              <w:top w:val="nil"/>
              <w:left w:val="nil"/>
              <w:bottom w:val="nil"/>
              <w:right w:val="nil"/>
            </w:tcBorders>
            <w:vAlign w:val="center"/>
          </w:tcPr>
          <w:p w14:paraId="628027B2" w14:textId="701B836B" w:rsidR="006878B8" w:rsidRPr="00A179F3" w:rsidRDefault="006878B8" w:rsidP="006878B8">
            <w:pPr>
              <w:rPr>
                <w:rFonts w:ascii="Arial" w:hAnsi="Arial" w:cs="Arial"/>
                <w:sz w:val="16"/>
                <w:szCs w:val="18"/>
              </w:rPr>
            </w:pPr>
            <w:r w:rsidRPr="00A179F3">
              <w:rPr>
                <w:rFonts w:ascii="Arial" w:hAnsi="Arial" w:cs="Arial"/>
                <w:sz w:val="16"/>
                <w:szCs w:val="18"/>
              </w:rPr>
              <w:t>Provisiones por compromisos eventuales</w:t>
            </w:r>
          </w:p>
        </w:tc>
        <w:tc>
          <w:tcPr>
            <w:tcW w:w="1047" w:type="dxa"/>
            <w:tcBorders>
              <w:top w:val="nil"/>
              <w:left w:val="nil"/>
              <w:bottom w:val="nil"/>
              <w:right w:val="nil"/>
            </w:tcBorders>
            <w:vAlign w:val="bottom"/>
          </w:tcPr>
          <w:p w14:paraId="697FCDE6" w14:textId="01158249" w:rsidR="006878B8" w:rsidRPr="00A179F3" w:rsidRDefault="00411982" w:rsidP="006878B8">
            <w:pPr>
              <w:jc w:val="right"/>
              <w:rPr>
                <w:rFonts w:ascii="Arial" w:hAnsi="Arial" w:cs="Arial"/>
                <w:sz w:val="16"/>
                <w:szCs w:val="18"/>
              </w:rPr>
            </w:pPr>
            <w:r>
              <w:rPr>
                <w:rFonts w:ascii="Arial" w:hAnsi="Arial" w:cs="Arial"/>
                <w:sz w:val="16"/>
                <w:szCs w:val="18"/>
              </w:rPr>
              <w:t>367</w:t>
            </w:r>
          </w:p>
        </w:tc>
        <w:tc>
          <w:tcPr>
            <w:tcW w:w="1079" w:type="dxa"/>
            <w:tcBorders>
              <w:top w:val="nil"/>
              <w:left w:val="nil"/>
              <w:bottom w:val="nil"/>
              <w:right w:val="nil"/>
            </w:tcBorders>
            <w:vAlign w:val="bottom"/>
          </w:tcPr>
          <w:p w14:paraId="670AE285" w14:textId="21236E69" w:rsidR="006878B8" w:rsidRPr="00A179F3" w:rsidRDefault="00D115C3" w:rsidP="005C11BF">
            <w:pPr>
              <w:jc w:val="right"/>
              <w:rPr>
                <w:rFonts w:ascii="Arial" w:hAnsi="Arial" w:cs="Arial"/>
                <w:sz w:val="16"/>
                <w:szCs w:val="18"/>
              </w:rPr>
            </w:pPr>
            <w:r>
              <w:rPr>
                <w:rFonts w:ascii="Arial" w:hAnsi="Arial" w:cs="Arial"/>
                <w:sz w:val="16"/>
                <w:szCs w:val="18"/>
              </w:rPr>
              <w:t>43.020</w:t>
            </w:r>
          </w:p>
        </w:tc>
        <w:tc>
          <w:tcPr>
            <w:tcW w:w="1122" w:type="dxa"/>
            <w:tcBorders>
              <w:top w:val="nil"/>
              <w:left w:val="nil"/>
              <w:bottom w:val="nil"/>
              <w:right w:val="nil"/>
            </w:tcBorders>
            <w:vAlign w:val="bottom"/>
          </w:tcPr>
          <w:p w14:paraId="27A0ECB9" w14:textId="40C919B3" w:rsidR="006878B8" w:rsidRPr="00A179F3" w:rsidRDefault="00D115C3" w:rsidP="005C11BF">
            <w:pPr>
              <w:jc w:val="right"/>
              <w:rPr>
                <w:rFonts w:ascii="Arial" w:hAnsi="Arial" w:cs="Arial"/>
                <w:sz w:val="16"/>
                <w:szCs w:val="18"/>
              </w:rPr>
            </w:pPr>
            <w:r>
              <w:rPr>
                <w:rFonts w:ascii="Arial" w:hAnsi="Arial" w:cs="Arial"/>
                <w:sz w:val="16"/>
                <w:szCs w:val="18"/>
              </w:rPr>
              <w:t>-27.690</w:t>
            </w:r>
          </w:p>
        </w:tc>
        <w:tc>
          <w:tcPr>
            <w:tcW w:w="1275" w:type="dxa"/>
            <w:tcBorders>
              <w:top w:val="nil"/>
              <w:left w:val="nil"/>
              <w:bottom w:val="nil"/>
              <w:right w:val="nil"/>
            </w:tcBorders>
            <w:vAlign w:val="bottom"/>
          </w:tcPr>
          <w:p w14:paraId="63A637F7" w14:textId="6F8F9AA2" w:rsidR="006878B8" w:rsidRPr="00A179F3" w:rsidRDefault="00D115C3" w:rsidP="005C11BF">
            <w:pPr>
              <w:jc w:val="right"/>
              <w:rPr>
                <w:rFonts w:ascii="Arial" w:hAnsi="Arial" w:cs="Arial"/>
                <w:sz w:val="16"/>
                <w:szCs w:val="18"/>
              </w:rPr>
            </w:pPr>
            <w:r>
              <w:rPr>
                <w:rFonts w:ascii="Arial" w:hAnsi="Arial" w:cs="Arial"/>
                <w:sz w:val="16"/>
                <w:szCs w:val="18"/>
              </w:rPr>
              <w:t>-</w:t>
            </w:r>
          </w:p>
        </w:tc>
        <w:tc>
          <w:tcPr>
            <w:tcW w:w="1147" w:type="dxa"/>
            <w:tcBorders>
              <w:top w:val="nil"/>
              <w:left w:val="nil"/>
              <w:bottom w:val="nil"/>
              <w:right w:val="nil"/>
            </w:tcBorders>
            <w:vAlign w:val="bottom"/>
          </w:tcPr>
          <w:p w14:paraId="7ABDF8DC" w14:textId="78CFD66F" w:rsidR="006878B8" w:rsidRPr="00A179F3" w:rsidRDefault="00D115C3" w:rsidP="005C11BF">
            <w:pPr>
              <w:jc w:val="right"/>
              <w:rPr>
                <w:rFonts w:ascii="Arial" w:hAnsi="Arial" w:cs="Arial"/>
                <w:sz w:val="16"/>
                <w:szCs w:val="18"/>
              </w:rPr>
            </w:pPr>
            <w:r>
              <w:rPr>
                <w:rFonts w:ascii="Arial" w:hAnsi="Arial" w:cs="Arial"/>
                <w:sz w:val="16"/>
                <w:szCs w:val="18"/>
              </w:rPr>
              <w:t>15.697</w:t>
            </w:r>
          </w:p>
        </w:tc>
        <w:tc>
          <w:tcPr>
            <w:tcW w:w="1134" w:type="dxa"/>
            <w:tcBorders>
              <w:top w:val="nil"/>
              <w:left w:val="nil"/>
              <w:bottom w:val="nil"/>
              <w:right w:val="nil"/>
            </w:tcBorders>
            <w:vAlign w:val="bottom"/>
          </w:tcPr>
          <w:p w14:paraId="650112F8" w14:textId="0005DF67" w:rsidR="006878B8" w:rsidRPr="00A179F3" w:rsidRDefault="00D115C3" w:rsidP="00D115C3">
            <w:pPr>
              <w:jc w:val="right"/>
              <w:rPr>
                <w:rFonts w:ascii="Arial" w:hAnsi="Arial" w:cs="Arial"/>
                <w:sz w:val="16"/>
                <w:szCs w:val="18"/>
              </w:rPr>
            </w:pPr>
            <w:r>
              <w:rPr>
                <w:rFonts w:ascii="Arial" w:hAnsi="Arial" w:cs="Arial"/>
                <w:sz w:val="16"/>
                <w:szCs w:val="18"/>
              </w:rPr>
              <w:t>367</w:t>
            </w:r>
          </w:p>
        </w:tc>
      </w:tr>
      <w:tr w:rsidR="006878B8" w:rsidRPr="007B34B2" w14:paraId="14FF60F3" w14:textId="77777777" w:rsidTr="005C11BF">
        <w:trPr>
          <w:gridAfter w:val="1"/>
          <w:wAfter w:w="7" w:type="dxa"/>
        </w:trPr>
        <w:tc>
          <w:tcPr>
            <w:tcW w:w="3545" w:type="dxa"/>
            <w:tcBorders>
              <w:top w:val="nil"/>
              <w:left w:val="nil"/>
              <w:bottom w:val="nil"/>
              <w:right w:val="nil"/>
            </w:tcBorders>
            <w:vAlign w:val="center"/>
          </w:tcPr>
          <w:p w14:paraId="517E85CF" w14:textId="584CDAB5" w:rsidR="006878B8" w:rsidRPr="00A179F3" w:rsidRDefault="006878B8" w:rsidP="006878B8">
            <w:pPr>
              <w:rPr>
                <w:rFonts w:ascii="Arial" w:hAnsi="Arial" w:cs="Arial"/>
                <w:sz w:val="16"/>
                <w:szCs w:val="18"/>
              </w:rPr>
            </w:pPr>
            <w:r w:rsidRPr="00A179F3">
              <w:rPr>
                <w:rFonts w:ascii="Arial" w:hAnsi="Arial" w:cs="Arial"/>
                <w:sz w:val="16"/>
                <w:szCs w:val="18"/>
              </w:rPr>
              <w:t>Por sanciones administrativas,</w:t>
            </w:r>
            <w:r>
              <w:rPr>
                <w:rFonts w:ascii="Arial" w:hAnsi="Arial" w:cs="Arial"/>
                <w:sz w:val="16"/>
                <w:szCs w:val="18"/>
              </w:rPr>
              <w:t xml:space="preserve"> </w:t>
            </w:r>
            <w:r w:rsidRPr="00A179F3">
              <w:rPr>
                <w:rFonts w:ascii="Arial" w:hAnsi="Arial" w:cs="Arial"/>
                <w:sz w:val="16"/>
                <w:szCs w:val="18"/>
              </w:rPr>
              <w:t>Disciplinarias y penales</w:t>
            </w:r>
          </w:p>
        </w:tc>
        <w:tc>
          <w:tcPr>
            <w:tcW w:w="1047" w:type="dxa"/>
            <w:tcBorders>
              <w:top w:val="nil"/>
              <w:left w:val="nil"/>
              <w:bottom w:val="nil"/>
              <w:right w:val="nil"/>
            </w:tcBorders>
            <w:vAlign w:val="bottom"/>
          </w:tcPr>
          <w:p w14:paraId="7DE033C8" w14:textId="67E9E872" w:rsidR="006878B8" w:rsidRPr="00A179F3" w:rsidRDefault="00D115C3" w:rsidP="006878B8">
            <w:pPr>
              <w:jc w:val="right"/>
              <w:rPr>
                <w:rFonts w:ascii="Arial" w:hAnsi="Arial" w:cs="Arial"/>
                <w:sz w:val="16"/>
                <w:szCs w:val="18"/>
              </w:rPr>
            </w:pPr>
            <w:r>
              <w:rPr>
                <w:rFonts w:ascii="Arial" w:hAnsi="Arial" w:cs="Arial"/>
                <w:sz w:val="16"/>
                <w:szCs w:val="18"/>
              </w:rPr>
              <w:t>12.041</w:t>
            </w:r>
          </w:p>
        </w:tc>
        <w:tc>
          <w:tcPr>
            <w:tcW w:w="1079" w:type="dxa"/>
            <w:tcBorders>
              <w:top w:val="nil"/>
              <w:left w:val="nil"/>
              <w:bottom w:val="nil"/>
              <w:right w:val="nil"/>
            </w:tcBorders>
            <w:vAlign w:val="bottom"/>
          </w:tcPr>
          <w:p w14:paraId="1D2F7AD7" w14:textId="74169ED6" w:rsidR="006878B8" w:rsidRPr="00A179F3" w:rsidRDefault="00D115C3" w:rsidP="005C11BF">
            <w:pPr>
              <w:jc w:val="right"/>
              <w:rPr>
                <w:rFonts w:ascii="Arial" w:hAnsi="Arial" w:cs="Arial"/>
                <w:sz w:val="16"/>
                <w:szCs w:val="18"/>
              </w:rPr>
            </w:pPr>
            <w:r>
              <w:rPr>
                <w:rFonts w:ascii="Arial" w:hAnsi="Arial" w:cs="Arial"/>
                <w:sz w:val="16"/>
                <w:szCs w:val="18"/>
              </w:rPr>
              <w:t>7.000</w:t>
            </w:r>
          </w:p>
        </w:tc>
        <w:tc>
          <w:tcPr>
            <w:tcW w:w="1122" w:type="dxa"/>
            <w:tcBorders>
              <w:top w:val="nil"/>
              <w:left w:val="nil"/>
              <w:bottom w:val="nil"/>
              <w:right w:val="nil"/>
            </w:tcBorders>
            <w:vAlign w:val="bottom"/>
          </w:tcPr>
          <w:p w14:paraId="41885542" w14:textId="22D8643E" w:rsidR="006878B8" w:rsidRPr="00A179F3" w:rsidRDefault="00D115C3" w:rsidP="005C11BF">
            <w:pPr>
              <w:jc w:val="right"/>
              <w:rPr>
                <w:rFonts w:ascii="Arial" w:hAnsi="Arial" w:cs="Arial"/>
                <w:sz w:val="16"/>
                <w:szCs w:val="18"/>
              </w:rPr>
            </w:pPr>
            <w:r>
              <w:rPr>
                <w:rFonts w:ascii="Arial" w:hAnsi="Arial" w:cs="Arial"/>
                <w:sz w:val="16"/>
                <w:szCs w:val="18"/>
              </w:rPr>
              <w:t>-</w:t>
            </w:r>
          </w:p>
        </w:tc>
        <w:tc>
          <w:tcPr>
            <w:tcW w:w="1275" w:type="dxa"/>
            <w:tcBorders>
              <w:top w:val="nil"/>
              <w:left w:val="nil"/>
              <w:bottom w:val="nil"/>
              <w:right w:val="nil"/>
            </w:tcBorders>
            <w:vAlign w:val="bottom"/>
          </w:tcPr>
          <w:p w14:paraId="263BA5F0" w14:textId="47C477CE" w:rsidR="006878B8" w:rsidRPr="00A179F3" w:rsidRDefault="00D115C3" w:rsidP="005C11BF">
            <w:pPr>
              <w:jc w:val="right"/>
              <w:rPr>
                <w:rFonts w:ascii="Arial" w:hAnsi="Arial" w:cs="Arial"/>
                <w:sz w:val="16"/>
                <w:szCs w:val="18"/>
              </w:rPr>
            </w:pPr>
            <w:r>
              <w:rPr>
                <w:rFonts w:ascii="Arial" w:hAnsi="Arial" w:cs="Arial"/>
                <w:sz w:val="16"/>
                <w:szCs w:val="18"/>
              </w:rPr>
              <w:t>-</w:t>
            </w:r>
            <w:r w:rsidR="009131A3">
              <w:rPr>
                <w:rFonts w:ascii="Arial" w:hAnsi="Arial" w:cs="Arial"/>
                <w:sz w:val="16"/>
                <w:szCs w:val="18"/>
              </w:rPr>
              <w:t>11</w:t>
            </w:r>
          </w:p>
        </w:tc>
        <w:tc>
          <w:tcPr>
            <w:tcW w:w="1147" w:type="dxa"/>
            <w:tcBorders>
              <w:top w:val="nil"/>
              <w:left w:val="nil"/>
              <w:bottom w:val="nil"/>
              <w:right w:val="nil"/>
            </w:tcBorders>
            <w:vAlign w:val="bottom"/>
          </w:tcPr>
          <w:p w14:paraId="59599D4F" w14:textId="0473EEAA" w:rsidR="006878B8" w:rsidRPr="00A179F3" w:rsidRDefault="00D115C3" w:rsidP="005C11BF">
            <w:pPr>
              <w:jc w:val="right"/>
              <w:rPr>
                <w:rFonts w:ascii="Arial" w:hAnsi="Arial" w:cs="Arial"/>
                <w:sz w:val="16"/>
                <w:szCs w:val="18"/>
              </w:rPr>
            </w:pPr>
            <w:r>
              <w:rPr>
                <w:rFonts w:ascii="Arial" w:hAnsi="Arial" w:cs="Arial"/>
                <w:sz w:val="16"/>
                <w:szCs w:val="18"/>
              </w:rPr>
              <w:t>19.030</w:t>
            </w:r>
          </w:p>
        </w:tc>
        <w:tc>
          <w:tcPr>
            <w:tcW w:w="1134" w:type="dxa"/>
            <w:tcBorders>
              <w:top w:val="nil"/>
              <w:left w:val="nil"/>
              <w:bottom w:val="nil"/>
              <w:right w:val="nil"/>
            </w:tcBorders>
            <w:vAlign w:val="bottom"/>
          </w:tcPr>
          <w:p w14:paraId="5DF4D795" w14:textId="2C8D8878" w:rsidR="006878B8" w:rsidRPr="00A179F3" w:rsidRDefault="00D115C3" w:rsidP="00D115C3">
            <w:pPr>
              <w:jc w:val="right"/>
              <w:rPr>
                <w:rFonts w:ascii="Arial" w:hAnsi="Arial" w:cs="Arial"/>
                <w:sz w:val="16"/>
                <w:szCs w:val="18"/>
              </w:rPr>
            </w:pPr>
            <w:r>
              <w:rPr>
                <w:rFonts w:ascii="Arial" w:hAnsi="Arial" w:cs="Arial"/>
                <w:sz w:val="16"/>
                <w:szCs w:val="18"/>
              </w:rPr>
              <w:t>12.041</w:t>
            </w:r>
          </w:p>
        </w:tc>
      </w:tr>
      <w:tr w:rsidR="00D115C3" w:rsidRPr="007B34B2" w14:paraId="731B3998" w14:textId="77777777" w:rsidTr="005C11BF">
        <w:trPr>
          <w:gridAfter w:val="1"/>
          <w:wAfter w:w="7" w:type="dxa"/>
        </w:trPr>
        <w:tc>
          <w:tcPr>
            <w:tcW w:w="3545" w:type="dxa"/>
            <w:tcBorders>
              <w:top w:val="nil"/>
              <w:left w:val="nil"/>
              <w:bottom w:val="nil"/>
              <w:right w:val="nil"/>
            </w:tcBorders>
            <w:vAlign w:val="center"/>
          </w:tcPr>
          <w:p w14:paraId="5F37005B" w14:textId="07EB4C96" w:rsidR="00D115C3" w:rsidRPr="00A179F3" w:rsidRDefault="00D115C3" w:rsidP="006878B8">
            <w:pPr>
              <w:rPr>
                <w:rFonts w:ascii="Arial" w:hAnsi="Arial" w:cs="Arial"/>
                <w:sz w:val="16"/>
                <w:szCs w:val="18"/>
              </w:rPr>
            </w:pPr>
            <w:r>
              <w:rPr>
                <w:rFonts w:ascii="Arial" w:hAnsi="Arial" w:cs="Arial"/>
                <w:sz w:val="16"/>
                <w:szCs w:val="18"/>
              </w:rPr>
              <w:t>Provisiones por reestructuración</w:t>
            </w:r>
          </w:p>
        </w:tc>
        <w:tc>
          <w:tcPr>
            <w:tcW w:w="1047" w:type="dxa"/>
            <w:tcBorders>
              <w:top w:val="nil"/>
              <w:left w:val="nil"/>
              <w:bottom w:val="nil"/>
              <w:right w:val="nil"/>
            </w:tcBorders>
            <w:vAlign w:val="bottom"/>
          </w:tcPr>
          <w:p w14:paraId="5C158BE2" w14:textId="0E0CAA4D" w:rsidR="00D115C3" w:rsidRDefault="00D115C3" w:rsidP="006878B8">
            <w:pPr>
              <w:jc w:val="right"/>
              <w:rPr>
                <w:rFonts w:ascii="Arial" w:hAnsi="Arial" w:cs="Arial"/>
                <w:sz w:val="16"/>
                <w:szCs w:val="18"/>
              </w:rPr>
            </w:pPr>
            <w:r>
              <w:rPr>
                <w:rFonts w:ascii="Arial" w:hAnsi="Arial" w:cs="Arial"/>
                <w:sz w:val="16"/>
                <w:szCs w:val="18"/>
              </w:rPr>
              <w:t>500.000</w:t>
            </w:r>
          </w:p>
        </w:tc>
        <w:tc>
          <w:tcPr>
            <w:tcW w:w="1079" w:type="dxa"/>
            <w:tcBorders>
              <w:top w:val="nil"/>
              <w:left w:val="nil"/>
              <w:bottom w:val="nil"/>
              <w:right w:val="nil"/>
            </w:tcBorders>
            <w:vAlign w:val="bottom"/>
          </w:tcPr>
          <w:p w14:paraId="41A43B5D" w14:textId="4FF3ABAA" w:rsidR="00D115C3" w:rsidRPr="00A179F3" w:rsidRDefault="00D115C3" w:rsidP="005C11BF">
            <w:pPr>
              <w:jc w:val="right"/>
              <w:rPr>
                <w:rFonts w:ascii="Arial" w:hAnsi="Arial" w:cs="Arial"/>
                <w:sz w:val="16"/>
                <w:szCs w:val="18"/>
              </w:rPr>
            </w:pPr>
            <w:r>
              <w:rPr>
                <w:rFonts w:ascii="Arial" w:hAnsi="Arial" w:cs="Arial"/>
                <w:sz w:val="16"/>
                <w:szCs w:val="18"/>
              </w:rPr>
              <w:t>91.014</w:t>
            </w:r>
          </w:p>
        </w:tc>
        <w:tc>
          <w:tcPr>
            <w:tcW w:w="1122" w:type="dxa"/>
            <w:tcBorders>
              <w:top w:val="nil"/>
              <w:left w:val="nil"/>
              <w:bottom w:val="nil"/>
              <w:right w:val="nil"/>
            </w:tcBorders>
            <w:vAlign w:val="bottom"/>
          </w:tcPr>
          <w:p w14:paraId="54862597" w14:textId="555BB0D3" w:rsidR="00D115C3" w:rsidRPr="00A179F3" w:rsidRDefault="00D115C3" w:rsidP="005C11BF">
            <w:pPr>
              <w:jc w:val="right"/>
              <w:rPr>
                <w:rFonts w:ascii="Arial" w:hAnsi="Arial" w:cs="Arial"/>
                <w:sz w:val="16"/>
                <w:szCs w:val="18"/>
              </w:rPr>
            </w:pPr>
            <w:r>
              <w:rPr>
                <w:rFonts w:ascii="Arial" w:hAnsi="Arial" w:cs="Arial"/>
                <w:sz w:val="16"/>
                <w:szCs w:val="18"/>
              </w:rPr>
              <w:t>-466.577</w:t>
            </w:r>
          </w:p>
        </w:tc>
        <w:tc>
          <w:tcPr>
            <w:tcW w:w="1275" w:type="dxa"/>
            <w:tcBorders>
              <w:top w:val="nil"/>
              <w:left w:val="nil"/>
              <w:bottom w:val="nil"/>
              <w:right w:val="nil"/>
            </w:tcBorders>
            <w:vAlign w:val="bottom"/>
          </w:tcPr>
          <w:p w14:paraId="395D04A5" w14:textId="69037F7B" w:rsidR="00D115C3" w:rsidRPr="00A179F3" w:rsidRDefault="00D115C3" w:rsidP="005C11BF">
            <w:pPr>
              <w:jc w:val="right"/>
              <w:rPr>
                <w:rFonts w:ascii="Arial" w:hAnsi="Arial" w:cs="Arial"/>
                <w:sz w:val="16"/>
                <w:szCs w:val="18"/>
              </w:rPr>
            </w:pPr>
            <w:r>
              <w:rPr>
                <w:rFonts w:ascii="Arial" w:hAnsi="Arial" w:cs="Arial"/>
                <w:sz w:val="16"/>
                <w:szCs w:val="18"/>
              </w:rPr>
              <w:t>-</w:t>
            </w:r>
          </w:p>
        </w:tc>
        <w:tc>
          <w:tcPr>
            <w:tcW w:w="1147" w:type="dxa"/>
            <w:tcBorders>
              <w:top w:val="nil"/>
              <w:left w:val="nil"/>
              <w:bottom w:val="nil"/>
              <w:right w:val="nil"/>
            </w:tcBorders>
            <w:vAlign w:val="bottom"/>
          </w:tcPr>
          <w:p w14:paraId="40881245" w14:textId="2FFCAD4E" w:rsidR="00D115C3" w:rsidRPr="00A179F3" w:rsidRDefault="00D115C3" w:rsidP="005C11BF">
            <w:pPr>
              <w:jc w:val="right"/>
              <w:rPr>
                <w:rFonts w:ascii="Arial" w:hAnsi="Arial" w:cs="Arial"/>
                <w:sz w:val="16"/>
                <w:szCs w:val="18"/>
              </w:rPr>
            </w:pPr>
            <w:r>
              <w:rPr>
                <w:rFonts w:ascii="Arial" w:hAnsi="Arial" w:cs="Arial"/>
                <w:sz w:val="16"/>
                <w:szCs w:val="18"/>
              </w:rPr>
              <w:t>124.437</w:t>
            </w:r>
          </w:p>
        </w:tc>
        <w:tc>
          <w:tcPr>
            <w:tcW w:w="1134" w:type="dxa"/>
            <w:tcBorders>
              <w:top w:val="nil"/>
              <w:left w:val="nil"/>
              <w:bottom w:val="nil"/>
              <w:right w:val="nil"/>
            </w:tcBorders>
            <w:vAlign w:val="bottom"/>
          </w:tcPr>
          <w:p w14:paraId="3F31C339" w14:textId="54AF7F74" w:rsidR="00D115C3" w:rsidRPr="00A179F3" w:rsidRDefault="00D115C3" w:rsidP="00D115C3">
            <w:pPr>
              <w:jc w:val="right"/>
              <w:rPr>
                <w:rFonts w:ascii="Arial" w:hAnsi="Arial" w:cs="Arial"/>
                <w:sz w:val="16"/>
                <w:szCs w:val="18"/>
              </w:rPr>
            </w:pPr>
            <w:r>
              <w:rPr>
                <w:rFonts w:ascii="Arial" w:hAnsi="Arial" w:cs="Arial"/>
                <w:sz w:val="16"/>
                <w:szCs w:val="18"/>
              </w:rPr>
              <w:t>500.000</w:t>
            </w:r>
          </w:p>
        </w:tc>
      </w:tr>
      <w:tr w:rsidR="006878B8" w:rsidRPr="007B34B2" w14:paraId="30DC6BB1" w14:textId="77777777" w:rsidTr="005C11BF">
        <w:trPr>
          <w:gridAfter w:val="1"/>
          <w:wAfter w:w="7" w:type="dxa"/>
        </w:trPr>
        <w:tc>
          <w:tcPr>
            <w:tcW w:w="3545" w:type="dxa"/>
            <w:tcBorders>
              <w:top w:val="nil"/>
              <w:left w:val="nil"/>
              <w:bottom w:val="nil"/>
              <w:right w:val="nil"/>
            </w:tcBorders>
            <w:vAlign w:val="center"/>
          </w:tcPr>
          <w:p w14:paraId="0F1DD898" w14:textId="7253EA7C" w:rsidR="006878B8" w:rsidRPr="00A179F3" w:rsidRDefault="006878B8" w:rsidP="006878B8">
            <w:pPr>
              <w:rPr>
                <w:rFonts w:ascii="Arial" w:hAnsi="Arial" w:cs="Arial"/>
                <w:sz w:val="16"/>
                <w:szCs w:val="18"/>
              </w:rPr>
            </w:pPr>
            <w:r w:rsidRPr="00A179F3">
              <w:rPr>
                <w:rFonts w:ascii="Arial" w:hAnsi="Arial" w:cs="Arial"/>
                <w:sz w:val="16"/>
                <w:szCs w:val="18"/>
              </w:rPr>
              <w:t>Provisiones por beneficios por terminación</w:t>
            </w:r>
          </w:p>
        </w:tc>
        <w:tc>
          <w:tcPr>
            <w:tcW w:w="1047" w:type="dxa"/>
            <w:tcBorders>
              <w:top w:val="nil"/>
              <w:left w:val="nil"/>
              <w:bottom w:val="nil"/>
              <w:right w:val="nil"/>
            </w:tcBorders>
            <w:vAlign w:val="bottom"/>
          </w:tcPr>
          <w:p w14:paraId="070B0A13" w14:textId="00499377" w:rsidR="006878B8" w:rsidRPr="00A179F3" w:rsidRDefault="00D115C3" w:rsidP="006878B8">
            <w:pPr>
              <w:jc w:val="right"/>
              <w:rPr>
                <w:rFonts w:ascii="Arial" w:hAnsi="Arial" w:cs="Arial"/>
                <w:sz w:val="16"/>
                <w:szCs w:val="18"/>
              </w:rPr>
            </w:pPr>
            <w:r>
              <w:rPr>
                <w:rFonts w:ascii="Arial" w:hAnsi="Arial" w:cs="Arial"/>
                <w:sz w:val="16"/>
                <w:szCs w:val="18"/>
              </w:rPr>
              <w:t>947.536</w:t>
            </w:r>
          </w:p>
        </w:tc>
        <w:tc>
          <w:tcPr>
            <w:tcW w:w="1079" w:type="dxa"/>
            <w:tcBorders>
              <w:top w:val="nil"/>
              <w:left w:val="nil"/>
              <w:bottom w:val="nil"/>
              <w:right w:val="nil"/>
            </w:tcBorders>
            <w:vAlign w:val="bottom"/>
          </w:tcPr>
          <w:p w14:paraId="4D8E3FFC" w14:textId="5F89FC52" w:rsidR="006878B8" w:rsidRPr="00A179F3" w:rsidRDefault="00D115C3" w:rsidP="005C11BF">
            <w:pPr>
              <w:jc w:val="right"/>
              <w:rPr>
                <w:rFonts w:ascii="Arial" w:hAnsi="Arial" w:cs="Arial"/>
                <w:sz w:val="16"/>
                <w:szCs w:val="18"/>
              </w:rPr>
            </w:pPr>
            <w:r>
              <w:rPr>
                <w:rFonts w:ascii="Arial" w:hAnsi="Arial" w:cs="Arial"/>
                <w:sz w:val="16"/>
                <w:szCs w:val="18"/>
              </w:rPr>
              <w:t>144.098</w:t>
            </w:r>
          </w:p>
        </w:tc>
        <w:tc>
          <w:tcPr>
            <w:tcW w:w="1122" w:type="dxa"/>
            <w:tcBorders>
              <w:top w:val="nil"/>
              <w:left w:val="nil"/>
              <w:bottom w:val="nil"/>
              <w:right w:val="nil"/>
            </w:tcBorders>
            <w:vAlign w:val="bottom"/>
          </w:tcPr>
          <w:p w14:paraId="65399284" w14:textId="4BA1CB6D" w:rsidR="006878B8" w:rsidRPr="00A179F3" w:rsidRDefault="00D115C3" w:rsidP="005C11BF">
            <w:pPr>
              <w:jc w:val="right"/>
              <w:rPr>
                <w:rFonts w:ascii="Arial" w:hAnsi="Arial" w:cs="Arial"/>
                <w:sz w:val="16"/>
                <w:szCs w:val="18"/>
              </w:rPr>
            </w:pPr>
            <w:r>
              <w:rPr>
                <w:rFonts w:ascii="Arial" w:hAnsi="Arial" w:cs="Arial"/>
                <w:sz w:val="16"/>
                <w:szCs w:val="18"/>
              </w:rPr>
              <w:t>-</w:t>
            </w:r>
          </w:p>
        </w:tc>
        <w:tc>
          <w:tcPr>
            <w:tcW w:w="1275" w:type="dxa"/>
            <w:tcBorders>
              <w:top w:val="nil"/>
              <w:left w:val="nil"/>
              <w:bottom w:val="nil"/>
              <w:right w:val="nil"/>
            </w:tcBorders>
            <w:vAlign w:val="bottom"/>
          </w:tcPr>
          <w:p w14:paraId="6CB6C856" w14:textId="32FE549F" w:rsidR="006878B8" w:rsidRPr="00A179F3" w:rsidRDefault="00D115C3" w:rsidP="005C11BF">
            <w:pPr>
              <w:jc w:val="right"/>
              <w:rPr>
                <w:rFonts w:ascii="Arial" w:hAnsi="Arial" w:cs="Arial"/>
                <w:sz w:val="16"/>
                <w:szCs w:val="18"/>
              </w:rPr>
            </w:pPr>
            <w:r>
              <w:rPr>
                <w:rFonts w:ascii="Arial" w:hAnsi="Arial" w:cs="Arial"/>
                <w:sz w:val="16"/>
                <w:szCs w:val="18"/>
              </w:rPr>
              <w:t>-97.363</w:t>
            </w:r>
          </w:p>
        </w:tc>
        <w:tc>
          <w:tcPr>
            <w:tcW w:w="1147" w:type="dxa"/>
            <w:tcBorders>
              <w:top w:val="nil"/>
              <w:left w:val="nil"/>
              <w:bottom w:val="nil"/>
              <w:right w:val="nil"/>
            </w:tcBorders>
            <w:vAlign w:val="bottom"/>
          </w:tcPr>
          <w:p w14:paraId="3B308B25" w14:textId="2E54C071" w:rsidR="006878B8" w:rsidRPr="00A179F3" w:rsidRDefault="00D115C3" w:rsidP="005C11BF">
            <w:pPr>
              <w:jc w:val="right"/>
              <w:rPr>
                <w:rFonts w:ascii="Arial" w:hAnsi="Arial" w:cs="Arial"/>
                <w:sz w:val="16"/>
                <w:szCs w:val="18"/>
              </w:rPr>
            </w:pPr>
            <w:r>
              <w:rPr>
                <w:rFonts w:ascii="Arial" w:hAnsi="Arial" w:cs="Arial"/>
                <w:sz w:val="16"/>
                <w:szCs w:val="18"/>
              </w:rPr>
              <w:t>994.271</w:t>
            </w:r>
          </w:p>
        </w:tc>
        <w:tc>
          <w:tcPr>
            <w:tcW w:w="1134" w:type="dxa"/>
            <w:tcBorders>
              <w:top w:val="nil"/>
              <w:left w:val="nil"/>
              <w:bottom w:val="nil"/>
              <w:right w:val="nil"/>
            </w:tcBorders>
            <w:vAlign w:val="bottom"/>
          </w:tcPr>
          <w:p w14:paraId="5056E6AD" w14:textId="6A86C375" w:rsidR="006878B8" w:rsidRPr="00A179F3" w:rsidRDefault="00D115C3" w:rsidP="00D115C3">
            <w:pPr>
              <w:jc w:val="right"/>
              <w:rPr>
                <w:rFonts w:ascii="Arial" w:hAnsi="Arial" w:cs="Arial"/>
                <w:sz w:val="16"/>
                <w:szCs w:val="18"/>
              </w:rPr>
            </w:pPr>
            <w:r>
              <w:rPr>
                <w:rFonts w:ascii="Arial" w:hAnsi="Arial" w:cs="Arial"/>
                <w:sz w:val="16"/>
                <w:szCs w:val="18"/>
              </w:rPr>
              <w:t>947.536</w:t>
            </w:r>
          </w:p>
        </w:tc>
      </w:tr>
      <w:tr w:rsidR="006878B8" w:rsidRPr="007B34B2" w14:paraId="666DE6BA" w14:textId="77777777" w:rsidTr="005C11BF">
        <w:trPr>
          <w:gridAfter w:val="1"/>
          <w:wAfter w:w="7" w:type="dxa"/>
        </w:trPr>
        <w:tc>
          <w:tcPr>
            <w:tcW w:w="3545" w:type="dxa"/>
            <w:tcBorders>
              <w:top w:val="nil"/>
              <w:left w:val="nil"/>
              <w:bottom w:val="nil"/>
              <w:right w:val="nil"/>
            </w:tcBorders>
            <w:vAlign w:val="center"/>
          </w:tcPr>
          <w:p w14:paraId="1C7B02FD" w14:textId="52D87E2E" w:rsidR="006878B8" w:rsidRPr="00A179F3" w:rsidRDefault="006878B8" w:rsidP="006878B8">
            <w:pPr>
              <w:rPr>
                <w:rFonts w:ascii="Arial" w:hAnsi="Arial" w:cs="Arial"/>
                <w:sz w:val="16"/>
                <w:szCs w:val="18"/>
              </w:rPr>
            </w:pPr>
            <w:r w:rsidRPr="00A179F3">
              <w:rPr>
                <w:rFonts w:ascii="Arial" w:hAnsi="Arial" w:cs="Arial"/>
                <w:sz w:val="16"/>
                <w:szCs w:val="18"/>
              </w:rPr>
              <w:t>Otras</w:t>
            </w:r>
          </w:p>
        </w:tc>
        <w:tc>
          <w:tcPr>
            <w:tcW w:w="1047" w:type="dxa"/>
            <w:tcBorders>
              <w:top w:val="nil"/>
              <w:left w:val="nil"/>
              <w:bottom w:val="nil"/>
              <w:right w:val="nil"/>
            </w:tcBorders>
            <w:vAlign w:val="bottom"/>
          </w:tcPr>
          <w:p w14:paraId="362E7462" w14:textId="20521B8B" w:rsidR="006878B8" w:rsidRPr="00A179F3" w:rsidRDefault="00D115C3" w:rsidP="006878B8">
            <w:pPr>
              <w:jc w:val="right"/>
              <w:rPr>
                <w:rFonts w:ascii="Arial" w:hAnsi="Arial" w:cs="Arial"/>
                <w:sz w:val="16"/>
                <w:szCs w:val="18"/>
              </w:rPr>
            </w:pPr>
            <w:r>
              <w:rPr>
                <w:rFonts w:ascii="Arial" w:hAnsi="Arial" w:cs="Arial"/>
                <w:sz w:val="16"/>
                <w:szCs w:val="18"/>
              </w:rPr>
              <w:t>379.349</w:t>
            </w:r>
          </w:p>
        </w:tc>
        <w:tc>
          <w:tcPr>
            <w:tcW w:w="1079" w:type="dxa"/>
            <w:tcBorders>
              <w:top w:val="nil"/>
              <w:left w:val="nil"/>
              <w:bottom w:val="nil"/>
              <w:right w:val="nil"/>
            </w:tcBorders>
            <w:vAlign w:val="bottom"/>
          </w:tcPr>
          <w:p w14:paraId="2F33B097" w14:textId="1F6D0E21" w:rsidR="006878B8" w:rsidRPr="00A179F3" w:rsidRDefault="00D115C3" w:rsidP="005C11BF">
            <w:pPr>
              <w:jc w:val="right"/>
              <w:rPr>
                <w:rFonts w:ascii="Arial" w:hAnsi="Arial" w:cs="Arial"/>
                <w:sz w:val="16"/>
                <w:szCs w:val="18"/>
              </w:rPr>
            </w:pPr>
            <w:r>
              <w:rPr>
                <w:rFonts w:ascii="Arial" w:hAnsi="Arial" w:cs="Arial"/>
                <w:sz w:val="16"/>
                <w:szCs w:val="18"/>
              </w:rPr>
              <w:t>387.239</w:t>
            </w:r>
          </w:p>
        </w:tc>
        <w:tc>
          <w:tcPr>
            <w:tcW w:w="1122" w:type="dxa"/>
            <w:tcBorders>
              <w:top w:val="nil"/>
              <w:left w:val="nil"/>
              <w:bottom w:val="nil"/>
              <w:right w:val="nil"/>
            </w:tcBorders>
            <w:vAlign w:val="bottom"/>
          </w:tcPr>
          <w:p w14:paraId="6D0A544A" w14:textId="750A4B7A" w:rsidR="006878B8" w:rsidRPr="00A179F3" w:rsidRDefault="00D115C3" w:rsidP="005C11BF">
            <w:pPr>
              <w:jc w:val="right"/>
              <w:rPr>
                <w:rFonts w:ascii="Arial" w:hAnsi="Arial" w:cs="Arial"/>
                <w:sz w:val="16"/>
                <w:szCs w:val="18"/>
              </w:rPr>
            </w:pPr>
            <w:r>
              <w:rPr>
                <w:rFonts w:ascii="Arial" w:hAnsi="Arial" w:cs="Arial"/>
                <w:sz w:val="16"/>
                <w:szCs w:val="18"/>
              </w:rPr>
              <w:t>-116.409</w:t>
            </w:r>
          </w:p>
        </w:tc>
        <w:tc>
          <w:tcPr>
            <w:tcW w:w="1275" w:type="dxa"/>
            <w:tcBorders>
              <w:top w:val="nil"/>
              <w:left w:val="nil"/>
              <w:bottom w:val="nil"/>
              <w:right w:val="nil"/>
            </w:tcBorders>
            <w:vAlign w:val="bottom"/>
          </w:tcPr>
          <w:p w14:paraId="40508701" w14:textId="01E6A024" w:rsidR="006878B8" w:rsidRPr="00A179F3" w:rsidRDefault="00D115C3" w:rsidP="005C11BF">
            <w:pPr>
              <w:jc w:val="right"/>
              <w:rPr>
                <w:rFonts w:ascii="Arial" w:hAnsi="Arial" w:cs="Arial"/>
                <w:sz w:val="16"/>
                <w:szCs w:val="18"/>
              </w:rPr>
            </w:pPr>
            <w:r>
              <w:rPr>
                <w:rFonts w:ascii="Arial" w:hAnsi="Arial" w:cs="Arial"/>
                <w:sz w:val="16"/>
                <w:szCs w:val="18"/>
              </w:rPr>
              <w:t>-20.576</w:t>
            </w:r>
          </w:p>
        </w:tc>
        <w:tc>
          <w:tcPr>
            <w:tcW w:w="1147" w:type="dxa"/>
            <w:tcBorders>
              <w:top w:val="nil"/>
              <w:left w:val="nil"/>
              <w:bottom w:val="nil"/>
              <w:right w:val="nil"/>
            </w:tcBorders>
            <w:vAlign w:val="bottom"/>
          </w:tcPr>
          <w:p w14:paraId="6C580F65" w14:textId="000C957E" w:rsidR="006878B8" w:rsidRPr="00A179F3" w:rsidRDefault="00D115C3" w:rsidP="005C11BF">
            <w:pPr>
              <w:jc w:val="right"/>
              <w:rPr>
                <w:rFonts w:ascii="Arial" w:hAnsi="Arial" w:cs="Arial"/>
                <w:sz w:val="16"/>
                <w:szCs w:val="18"/>
              </w:rPr>
            </w:pPr>
            <w:r>
              <w:rPr>
                <w:rFonts w:ascii="Arial" w:hAnsi="Arial" w:cs="Arial"/>
                <w:sz w:val="16"/>
                <w:szCs w:val="18"/>
              </w:rPr>
              <w:t>629.603</w:t>
            </w:r>
          </w:p>
        </w:tc>
        <w:tc>
          <w:tcPr>
            <w:tcW w:w="1134" w:type="dxa"/>
            <w:tcBorders>
              <w:top w:val="nil"/>
              <w:left w:val="nil"/>
              <w:bottom w:val="nil"/>
              <w:right w:val="nil"/>
            </w:tcBorders>
            <w:vAlign w:val="bottom"/>
          </w:tcPr>
          <w:p w14:paraId="09539453" w14:textId="7E3CBA8F" w:rsidR="006878B8" w:rsidRPr="00A179F3" w:rsidRDefault="00D115C3" w:rsidP="00D115C3">
            <w:pPr>
              <w:jc w:val="right"/>
              <w:rPr>
                <w:rFonts w:ascii="Arial" w:hAnsi="Arial" w:cs="Arial"/>
                <w:sz w:val="16"/>
                <w:szCs w:val="18"/>
              </w:rPr>
            </w:pPr>
            <w:r>
              <w:rPr>
                <w:rFonts w:ascii="Arial" w:hAnsi="Arial" w:cs="Arial"/>
                <w:sz w:val="16"/>
                <w:szCs w:val="18"/>
              </w:rPr>
              <w:t>379.349</w:t>
            </w:r>
          </w:p>
        </w:tc>
      </w:tr>
      <w:tr w:rsidR="006878B8" w:rsidRPr="00A179F3" w14:paraId="0F467B32" w14:textId="77777777" w:rsidTr="005C11BF">
        <w:trPr>
          <w:gridAfter w:val="1"/>
          <w:wAfter w:w="7" w:type="dxa"/>
          <w:trHeight w:val="108"/>
        </w:trPr>
        <w:tc>
          <w:tcPr>
            <w:tcW w:w="3545" w:type="dxa"/>
            <w:tcBorders>
              <w:top w:val="nil"/>
              <w:left w:val="nil"/>
              <w:bottom w:val="nil"/>
              <w:right w:val="nil"/>
            </w:tcBorders>
            <w:vAlign w:val="bottom"/>
          </w:tcPr>
          <w:p w14:paraId="131C2DE9" w14:textId="1D702E69" w:rsidR="006878B8" w:rsidRPr="00A179F3" w:rsidRDefault="006878B8" w:rsidP="006878B8">
            <w:pPr>
              <w:rPr>
                <w:rFonts w:ascii="Arial" w:hAnsi="Arial" w:cs="Arial"/>
                <w:b/>
                <w:sz w:val="16"/>
                <w:szCs w:val="18"/>
              </w:rPr>
            </w:pPr>
            <w:r>
              <w:rPr>
                <w:rFonts w:ascii="Arial" w:hAnsi="Arial" w:cs="Arial"/>
                <w:b/>
                <w:sz w:val="16"/>
                <w:szCs w:val="18"/>
              </w:rPr>
              <w:t>TOTAL PROVISIONES</w:t>
            </w:r>
          </w:p>
        </w:tc>
        <w:tc>
          <w:tcPr>
            <w:tcW w:w="1047" w:type="dxa"/>
            <w:tcBorders>
              <w:top w:val="single" w:sz="4" w:space="0" w:color="auto"/>
              <w:left w:val="nil"/>
              <w:bottom w:val="single" w:sz="4" w:space="0" w:color="auto"/>
              <w:right w:val="nil"/>
            </w:tcBorders>
            <w:vAlign w:val="center"/>
          </w:tcPr>
          <w:p w14:paraId="3B19F77F" w14:textId="3A7242DF" w:rsidR="006878B8" w:rsidRPr="00A179F3" w:rsidRDefault="00D115C3" w:rsidP="006878B8">
            <w:pPr>
              <w:jc w:val="right"/>
              <w:rPr>
                <w:rFonts w:ascii="Arial" w:hAnsi="Arial" w:cs="Arial"/>
                <w:b/>
                <w:sz w:val="16"/>
                <w:szCs w:val="18"/>
              </w:rPr>
            </w:pPr>
            <w:r>
              <w:rPr>
                <w:rFonts w:ascii="Arial" w:hAnsi="Arial" w:cs="Arial"/>
                <w:b/>
                <w:sz w:val="16"/>
                <w:szCs w:val="18"/>
              </w:rPr>
              <w:t>1.839.293</w:t>
            </w:r>
          </w:p>
        </w:tc>
        <w:tc>
          <w:tcPr>
            <w:tcW w:w="1079" w:type="dxa"/>
            <w:tcBorders>
              <w:top w:val="single" w:sz="4" w:space="0" w:color="auto"/>
              <w:left w:val="nil"/>
              <w:bottom w:val="single" w:sz="4" w:space="0" w:color="auto"/>
              <w:right w:val="nil"/>
            </w:tcBorders>
            <w:vAlign w:val="bottom"/>
          </w:tcPr>
          <w:p w14:paraId="6E389149" w14:textId="6E52EF0A" w:rsidR="006878B8" w:rsidRPr="00A179F3" w:rsidRDefault="00D115C3" w:rsidP="005C11BF">
            <w:pPr>
              <w:jc w:val="right"/>
              <w:rPr>
                <w:rFonts w:ascii="Arial" w:hAnsi="Arial" w:cs="Arial"/>
                <w:b/>
                <w:sz w:val="16"/>
                <w:szCs w:val="18"/>
              </w:rPr>
            </w:pPr>
            <w:r>
              <w:rPr>
                <w:rFonts w:ascii="Arial" w:hAnsi="Arial" w:cs="Arial"/>
                <w:b/>
                <w:sz w:val="16"/>
                <w:szCs w:val="18"/>
              </w:rPr>
              <w:t>672.371</w:t>
            </w:r>
          </w:p>
        </w:tc>
        <w:tc>
          <w:tcPr>
            <w:tcW w:w="1122" w:type="dxa"/>
            <w:tcBorders>
              <w:top w:val="single" w:sz="4" w:space="0" w:color="auto"/>
              <w:left w:val="nil"/>
              <w:bottom w:val="single" w:sz="4" w:space="0" w:color="auto"/>
              <w:right w:val="nil"/>
            </w:tcBorders>
            <w:vAlign w:val="bottom"/>
          </w:tcPr>
          <w:p w14:paraId="0B2A88AC" w14:textId="40EE7BB7" w:rsidR="006878B8" w:rsidRPr="00A179F3" w:rsidRDefault="00D115C3" w:rsidP="005C11BF">
            <w:pPr>
              <w:jc w:val="right"/>
              <w:rPr>
                <w:rFonts w:ascii="Arial" w:hAnsi="Arial" w:cs="Arial"/>
                <w:b/>
                <w:sz w:val="16"/>
                <w:szCs w:val="18"/>
              </w:rPr>
            </w:pPr>
            <w:r>
              <w:rPr>
                <w:rFonts w:ascii="Arial" w:hAnsi="Arial" w:cs="Arial"/>
                <w:b/>
                <w:sz w:val="16"/>
                <w:szCs w:val="18"/>
              </w:rPr>
              <w:t>-610.676</w:t>
            </w:r>
          </w:p>
        </w:tc>
        <w:tc>
          <w:tcPr>
            <w:tcW w:w="1275" w:type="dxa"/>
            <w:tcBorders>
              <w:top w:val="single" w:sz="4" w:space="0" w:color="auto"/>
              <w:left w:val="nil"/>
              <w:bottom w:val="single" w:sz="4" w:space="0" w:color="auto"/>
              <w:right w:val="nil"/>
            </w:tcBorders>
            <w:vAlign w:val="bottom"/>
          </w:tcPr>
          <w:p w14:paraId="79C9D85E" w14:textId="247719C7" w:rsidR="006878B8" w:rsidRPr="00A179F3" w:rsidRDefault="0040502F" w:rsidP="005C11BF">
            <w:pPr>
              <w:jc w:val="right"/>
              <w:rPr>
                <w:rFonts w:ascii="Arial" w:hAnsi="Arial" w:cs="Arial"/>
                <w:b/>
                <w:sz w:val="16"/>
                <w:szCs w:val="18"/>
              </w:rPr>
            </w:pPr>
            <w:r>
              <w:rPr>
                <w:rFonts w:ascii="Arial" w:hAnsi="Arial" w:cs="Arial"/>
                <w:b/>
                <w:sz w:val="16"/>
                <w:szCs w:val="18"/>
              </w:rPr>
              <w:t>-</w:t>
            </w:r>
            <w:r w:rsidR="00D115C3">
              <w:rPr>
                <w:rFonts w:ascii="Arial" w:hAnsi="Arial" w:cs="Arial"/>
                <w:b/>
                <w:sz w:val="16"/>
                <w:szCs w:val="18"/>
              </w:rPr>
              <w:t>117.950</w:t>
            </w:r>
          </w:p>
        </w:tc>
        <w:tc>
          <w:tcPr>
            <w:tcW w:w="1147" w:type="dxa"/>
            <w:tcBorders>
              <w:top w:val="single" w:sz="4" w:space="0" w:color="auto"/>
              <w:left w:val="nil"/>
              <w:bottom w:val="single" w:sz="4" w:space="0" w:color="auto"/>
              <w:right w:val="nil"/>
            </w:tcBorders>
            <w:vAlign w:val="bottom"/>
          </w:tcPr>
          <w:p w14:paraId="4F7E7C98" w14:textId="35DFF495" w:rsidR="006878B8" w:rsidRPr="00A179F3" w:rsidRDefault="00D115C3" w:rsidP="005C11BF">
            <w:pPr>
              <w:jc w:val="right"/>
              <w:rPr>
                <w:rFonts w:ascii="Arial" w:hAnsi="Arial" w:cs="Arial"/>
                <w:b/>
                <w:sz w:val="16"/>
                <w:szCs w:val="18"/>
              </w:rPr>
            </w:pPr>
            <w:r>
              <w:rPr>
                <w:rFonts w:ascii="Arial" w:hAnsi="Arial" w:cs="Arial"/>
                <w:b/>
                <w:sz w:val="16"/>
                <w:szCs w:val="18"/>
              </w:rPr>
              <w:t>1.783.038</w:t>
            </w:r>
          </w:p>
        </w:tc>
        <w:tc>
          <w:tcPr>
            <w:tcW w:w="1134" w:type="dxa"/>
            <w:tcBorders>
              <w:top w:val="single" w:sz="4" w:space="0" w:color="auto"/>
              <w:left w:val="nil"/>
              <w:bottom w:val="single" w:sz="4" w:space="0" w:color="auto"/>
              <w:right w:val="nil"/>
            </w:tcBorders>
            <w:vAlign w:val="bottom"/>
          </w:tcPr>
          <w:p w14:paraId="427EA32B" w14:textId="6453ADE7" w:rsidR="006878B8" w:rsidRPr="00A179F3" w:rsidRDefault="00D115C3" w:rsidP="00D115C3">
            <w:pPr>
              <w:jc w:val="right"/>
              <w:rPr>
                <w:rFonts w:ascii="Arial" w:hAnsi="Arial" w:cs="Arial"/>
                <w:b/>
                <w:sz w:val="16"/>
                <w:szCs w:val="18"/>
              </w:rPr>
            </w:pPr>
            <w:r>
              <w:rPr>
                <w:rFonts w:ascii="Arial" w:hAnsi="Arial" w:cs="Arial"/>
                <w:b/>
                <w:sz w:val="16"/>
                <w:szCs w:val="18"/>
              </w:rPr>
              <w:t>1.839.293</w:t>
            </w:r>
          </w:p>
        </w:tc>
      </w:tr>
    </w:tbl>
    <w:p w14:paraId="6CAEF52E" w14:textId="6C38F69B" w:rsidR="00860C48" w:rsidRPr="00211162" w:rsidRDefault="00860C48" w:rsidP="00211162">
      <w:pPr>
        <w:rPr>
          <w:rFonts w:ascii="Arial" w:hAnsi="Arial" w:cs="Arial"/>
          <w:sz w:val="16"/>
          <w:szCs w:val="16"/>
        </w:rPr>
      </w:pPr>
    </w:p>
    <w:p w14:paraId="0F00C878" w14:textId="123479F9" w:rsidR="007A7EC4" w:rsidRPr="00211162" w:rsidRDefault="00211162" w:rsidP="00211162">
      <w:pPr>
        <w:ind w:left="-284"/>
        <w:rPr>
          <w:rFonts w:ascii="Arial" w:hAnsi="Arial" w:cs="Arial"/>
          <w:sz w:val="16"/>
          <w:szCs w:val="16"/>
        </w:rPr>
      </w:pPr>
      <w:r>
        <w:rPr>
          <w:rFonts w:ascii="Arial" w:hAnsi="Arial" w:cs="Arial"/>
          <w:sz w:val="16"/>
          <w:szCs w:val="16"/>
        </w:rPr>
        <w:t>(*)</w:t>
      </w:r>
      <w:r w:rsidRPr="00211162">
        <w:rPr>
          <w:rFonts w:ascii="Arial" w:hAnsi="Arial" w:cs="Arial"/>
          <w:sz w:val="16"/>
          <w:szCs w:val="16"/>
        </w:rPr>
        <w:t xml:space="preserve"> </w:t>
      </w:r>
      <w:r>
        <w:rPr>
          <w:rFonts w:ascii="Arial" w:hAnsi="Arial" w:cs="Arial"/>
          <w:sz w:val="16"/>
          <w:szCs w:val="16"/>
        </w:rPr>
        <w:t>En el total se incluyen</w:t>
      </w:r>
      <w:r w:rsidRPr="00211162">
        <w:rPr>
          <w:rFonts w:ascii="Arial" w:hAnsi="Arial" w:cs="Arial"/>
          <w:sz w:val="16"/>
          <w:szCs w:val="16"/>
        </w:rPr>
        <w:t xml:space="preserve"> Prejubilaciones</w:t>
      </w:r>
      <w:r>
        <w:rPr>
          <w:rFonts w:ascii="Arial" w:hAnsi="Arial" w:cs="Arial"/>
          <w:sz w:val="16"/>
          <w:szCs w:val="16"/>
        </w:rPr>
        <w:t xml:space="preserve"> por</w:t>
      </w:r>
      <w:r w:rsidRPr="00211162">
        <w:rPr>
          <w:rFonts w:ascii="Arial" w:hAnsi="Arial" w:cs="Arial"/>
          <w:sz w:val="16"/>
          <w:szCs w:val="16"/>
        </w:rPr>
        <w:t xml:space="preserve"> </w:t>
      </w:r>
      <w:r w:rsidR="00D115C3">
        <w:rPr>
          <w:rFonts w:ascii="Arial" w:hAnsi="Arial" w:cs="Arial"/>
          <w:sz w:val="16"/>
          <w:szCs w:val="16"/>
        </w:rPr>
        <w:t>994.270</w:t>
      </w:r>
      <w:r w:rsidRPr="00211162">
        <w:rPr>
          <w:rFonts w:ascii="Arial" w:hAnsi="Arial" w:cs="Arial"/>
          <w:sz w:val="16"/>
          <w:szCs w:val="16"/>
        </w:rPr>
        <w:t xml:space="preserve"> y </w:t>
      </w:r>
      <w:r w:rsidR="00BE29BE">
        <w:rPr>
          <w:rFonts w:ascii="Arial" w:hAnsi="Arial" w:cs="Arial"/>
          <w:sz w:val="16"/>
          <w:szCs w:val="16"/>
        </w:rPr>
        <w:t>provisión</w:t>
      </w:r>
      <w:r>
        <w:rPr>
          <w:rFonts w:ascii="Arial" w:hAnsi="Arial" w:cs="Arial"/>
          <w:sz w:val="16"/>
          <w:szCs w:val="16"/>
        </w:rPr>
        <w:t xml:space="preserve"> </w:t>
      </w:r>
      <w:r w:rsidRPr="00211162">
        <w:rPr>
          <w:rFonts w:ascii="Arial" w:hAnsi="Arial" w:cs="Arial"/>
          <w:sz w:val="16"/>
          <w:szCs w:val="16"/>
        </w:rPr>
        <w:t xml:space="preserve">Premios a la trayectoria </w:t>
      </w:r>
      <w:r>
        <w:rPr>
          <w:rFonts w:ascii="Arial" w:hAnsi="Arial" w:cs="Arial"/>
          <w:sz w:val="16"/>
          <w:szCs w:val="16"/>
        </w:rPr>
        <w:t xml:space="preserve">por </w:t>
      </w:r>
      <w:r w:rsidR="00D115C3">
        <w:rPr>
          <w:rFonts w:ascii="Arial" w:hAnsi="Arial" w:cs="Arial"/>
          <w:sz w:val="16"/>
          <w:szCs w:val="16"/>
        </w:rPr>
        <w:t>377.221</w:t>
      </w:r>
      <w:r w:rsidRPr="00211162">
        <w:rPr>
          <w:rFonts w:ascii="Arial" w:hAnsi="Arial" w:cs="Arial"/>
          <w:sz w:val="16"/>
          <w:szCs w:val="16"/>
        </w:rPr>
        <w:t>.</w:t>
      </w:r>
    </w:p>
    <w:p w14:paraId="60F09959" w14:textId="0937D609" w:rsidR="007B34B2" w:rsidRPr="007B34B2" w:rsidRDefault="007B34B2" w:rsidP="003233E9">
      <w:pPr>
        <w:jc w:val="center"/>
      </w:pPr>
    </w:p>
    <w:p w14:paraId="3E1ABD8F" w14:textId="22E6E9D2" w:rsidR="007B34B2" w:rsidRPr="007B34B2" w:rsidRDefault="007B34B2" w:rsidP="003233E9">
      <w:pPr>
        <w:jc w:val="center"/>
      </w:pPr>
    </w:p>
    <w:p w14:paraId="0FA4F316" w14:textId="460E45A5" w:rsidR="007B34B2" w:rsidRPr="007B34B2" w:rsidRDefault="007B34B2" w:rsidP="003233E9">
      <w:pPr>
        <w:jc w:val="center"/>
      </w:pPr>
    </w:p>
    <w:p w14:paraId="2C929CB1" w14:textId="0F91EC4C" w:rsidR="007B34B2" w:rsidRPr="007B34B2" w:rsidRDefault="007B34B2" w:rsidP="003233E9">
      <w:pPr>
        <w:jc w:val="center"/>
      </w:pPr>
    </w:p>
    <w:p w14:paraId="6C22E9B6" w14:textId="126CDD9C" w:rsidR="007B34B2" w:rsidRPr="007B34B2" w:rsidRDefault="007B34B2" w:rsidP="003233E9">
      <w:pPr>
        <w:jc w:val="center"/>
      </w:pPr>
    </w:p>
    <w:p w14:paraId="757E7220" w14:textId="0EED2845" w:rsidR="007B34B2" w:rsidRPr="007B34B2" w:rsidRDefault="007B34B2" w:rsidP="003233E9">
      <w:pPr>
        <w:jc w:val="center"/>
      </w:pPr>
    </w:p>
    <w:p w14:paraId="3B2E8F3F" w14:textId="043A35DD" w:rsidR="007B34B2" w:rsidRPr="007B34B2" w:rsidRDefault="007B34B2" w:rsidP="003233E9">
      <w:pPr>
        <w:jc w:val="center"/>
      </w:pPr>
    </w:p>
    <w:p w14:paraId="483107D2" w14:textId="1C05E765" w:rsidR="007B34B2" w:rsidRPr="007B34B2" w:rsidRDefault="007B34B2" w:rsidP="003233E9">
      <w:pPr>
        <w:jc w:val="center"/>
      </w:pPr>
    </w:p>
    <w:p w14:paraId="18CA0450" w14:textId="06AFC94E" w:rsidR="007A7EC4" w:rsidRPr="007B34B2" w:rsidRDefault="007A7EC4" w:rsidP="008962C9">
      <w:pPr>
        <w:sectPr w:rsidR="007A7EC4" w:rsidRPr="007B34B2" w:rsidSect="00425F99">
          <w:headerReference w:type="default" r:id="rId46"/>
          <w:pgSz w:w="11907" w:h="16839" w:code="9"/>
          <w:pgMar w:top="1418" w:right="1701" w:bottom="1418" w:left="1701" w:header="567" w:footer="0" w:gutter="0"/>
          <w:paperSrc w:first="256" w:other="256"/>
          <w:cols w:space="720"/>
          <w:docGrid w:linePitch="326"/>
        </w:sectPr>
      </w:pPr>
    </w:p>
    <w:p w14:paraId="13756B5B" w14:textId="4249E04D" w:rsidR="007A7EC4" w:rsidRPr="007B34B2" w:rsidRDefault="007A7EC4" w:rsidP="008962C9"/>
    <w:p w14:paraId="1AA438E9" w14:textId="18AA1BB1" w:rsidR="007A7EC4" w:rsidRPr="007B34B2" w:rsidRDefault="007A7EC4" w:rsidP="008962C9"/>
    <w:tbl>
      <w:tblPr>
        <w:tblW w:w="10140" w:type="dxa"/>
        <w:tblInd w:w="-431" w:type="dxa"/>
        <w:tblCellMar>
          <w:left w:w="70" w:type="dxa"/>
          <w:right w:w="70" w:type="dxa"/>
        </w:tblCellMar>
        <w:tblLook w:val="04A0" w:firstRow="1" w:lastRow="0" w:firstColumn="1" w:lastColumn="0" w:noHBand="0" w:noVBand="1"/>
      </w:tblPr>
      <w:tblGrid>
        <w:gridCol w:w="3829"/>
        <w:gridCol w:w="1418"/>
        <w:gridCol w:w="1133"/>
        <w:gridCol w:w="841"/>
        <w:gridCol w:w="647"/>
        <w:gridCol w:w="569"/>
        <w:gridCol w:w="647"/>
        <w:gridCol w:w="1056"/>
      </w:tblGrid>
      <w:tr w:rsidR="00B44D46" w:rsidRPr="00083AEA" w14:paraId="1625EA44" w14:textId="77777777" w:rsidTr="00D500E4">
        <w:trPr>
          <w:trHeight w:val="259"/>
        </w:trPr>
        <w:tc>
          <w:tcPr>
            <w:tcW w:w="382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EC99DD" w14:textId="77777777"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Conceptos</w:t>
            </w:r>
          </w:p>
        </w:tc>
        <w:tc>
          <w:tcPr>
            <w:tcW w:w="1418" w:type="dxa"/>
            <w:vMerge w:val="restart"/>
            <w:tcBorders>
              <w:top w:val="single" w:sz="4" w:space="0" w:color="auto"/>
              <w:left w:val="single" w:sz="4" w:space="0" w:color="auto"/>
              <w:bottom w:val="single" w:sz="4" w:space="0" w:color="auto"/>
              <w:right w:val="single" w:sz="4" w:space="0" w:color="363639"/>
            </w:tcBorders>
            <w:shd w:val="clear" w:color="auto" w:fill="BFBFBF" w:themeFill="background1" w:themeFillShade="BF"/>
            <w:vAlign w:val="center"/>
            <w:hideMark/>
          </w:tcPr>
          <w:p w14:paraId="7ED798F6" w14:textId="77777777"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Casa matriz y sucursales en el país</w:t>
            </w:r>
          </w:p>
        </w:tc>
        <w:tc>
          <w:tcPr>
            <w:tcW w:w="1133" w:type="dxa"/>
            <w:vMerge w:val="restart"/>
            <w:tcBorders>
              <w:top w:val="single" w:sz="4" w:space="0" w:color="auto"/>
              <w:left w:val="single" w:sz="4" w:space="0" w:color="363639"/>
              <w:bottom w:val="single" w:sz="4" w:space="0" w:color="auto"/>
              <w:right w:val="single" w:sz="4" w:space="0" w:color="363639"/>
            </w:tcBorders>
            <w:shd w:val="clear" w:color="auto" w:fill="BFBFBF" w:themeFill="background1" w:themeFillShade="BF"/>
            <w:vAlign w:val="center"/>
            <w:hideMark/>
          </w:tcPr>
          <w:p w14:paraId="301418DE" w14:textId="576D7D75" w:rsidR="00111409" w:rsidRPr="00083AEA" w:rsidRDefault="00111409" w:rsidP="00083AEA">
            <w:pPr>
              <w:jc w:val="center"/>
              <w:rPr>
                <w:rFonts w:ascii="Arial" w:hAnsi="Arial" w:cs="Arial"/>
                <w:b/>
                <w:bCs/>
                <w:sz w:val="14"/>
                <w:szCs w:val="18"/>
                <w:lang w:eastAsia="es-AR"/>
              </w:rPr>
            </w:pPr>
            <w:r w:rsidRPr="00083AEA">
              <w:rPr>
                <w:rFonts w:ascii="Arial" w:hAnsi="Arial" w:cs="Arial"/>
                <w:b/>
                <w:bCs/>
                <w:sz w:val="14"/>
                <w:szCs w:val="18"/>
                <w:lang w:eastAsia="es-AR"/>
              </w:rPr>
              <w:t xml:space="preserve">Total al </w:t>
            </w:r>
            <w:r w:rsidR="003C2633">
              <w:rPr>
                <w:rFonts w:ascii="Arial" w:hAnsi="Arial" w:cs="Arial"/>
                <w:b/>
                <w:bCs/>
                <w:sz w:val="14"/>
                <w:szCs w:val="18"/>
                <w:lang w:eastAsia="es-AR"/>
              </w:rPr>
              <w:t>3</w:t>
            </w:r>
            <w:r w:rsidR="008F75C6">
              <w:rPr>
                <w:rFonts w:ascii="Arial" w:hAnsi="Arial" w:cs="Arial"/>
                <w:b/>
                <w:bCs/>
                <w:sz w:val="14"/>
                <w:szCs w:val="18"/>
                <w:lang w:eastAsia="es-AR"/>
              </w:rPr>
              <w:t>1</w:t>
            </w:r>
            <w:r w:rsidR="003C2633">
              <w:rPr>
                <w:rFonts w:ascii="Arial" w:hAnsi="Arial" w:cs="Arial"/>
                <w:b/>
                <w:bCs/>
                <w:sz w:val="14"/>
                <w:szCs w:val="18"/>
                <w:lang w:eastAsia="es-AR"/>
              </w:rPr>
              <w:t>/0</w:t>
            </w:r>
            <w:r w:rsidR="008F75C6">
              <w:rPr>
                <w:rFonts w:ascii="Arial" w:hAnsi="Arial" w:cs="Arial"/>
                <w:b/>
                <w:bCs/>
                <w:sz w:val="14"/>
                <w:szCs w:val="18"/>
                <w:lang w:eastAsia="es-AR"/>
              </w:rPr>
              <w:t>3</w:t>
            </w:r>
            <w:r w:rsidR="003C2633">
              <w:rPr>
                <w:rFonts w:ascii="Arial" w:hAnsi="Arial" w:cs="Arial"/>
                <w:b/>
                <w:bCs/>
                <w:sz w:val="14"/>
                <w:szCs w:val="18"/>
                <w:lang w:eastAsia="es-AR"/>
              </w:rPr>
              <w:t>/20</w:t>
            </w:r>
            <w:r w:rsidR="008F75C6">
              <w:rPr>
                <w:rFonts w:ascii="Arial" w:hAnsi="Arial" w:cs="Arial"/>
                <w:b/>
                <w:bCs/>
                <w:sz w:val="14"/>
                <w:szCs w:val="18"/>
                <w:lang w:eastAsia="es-AR"/>
              </w:rPr>
              <w:t>20</w:t>
            </w:r>
          </w:p>
        </w:tc>
        <w:tc>
          <w:tcPr>
            <w:tcW w:w="0" w:type="auto"/>
            <w:gridSpan w:val="4"/>
            <w:tcBorders>
              <w:top w:val="single" w:sz="4" w:space="0" w:color="auto"/>
              <w:left w:val="nil"/>
              <w:bottom w:val="single" w:sz="4" w:space="0" w:color="auto"/>
              <w:right w:val="single" w:sz="4" w:space="0" w:color="363639"/>
            </w:tcBorders>
            <w:shd w:val="clear" w:color="auto" w:fill="BFBFBF" w:themeFill="background1" w:themeFillShade="BF"/>
            <w:vAlign w:val="center"/>
            <w:hideMark/>
          </w:tcPr>
          <w:p w14:paraId="0E0ACE19" w14:textId="77777777"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Período 2 (por moneda)</w:t>
            </w:r>
          </w:p>
        </w:tc>
        <w:tc>
          <w:tcPr>
            <w:tcW w:w="1056" w:type="dxa"/>
            <w:vMerge w:val="restart"/>
            <w:tcBorders>
              <w:top w:val="single" w:sz="4" w:space="0" w:color="auto"/>
              <w:left w:val="single" w:sz="4" w:space="0" w:color="363639"/>
              <w:bottom w:val="single" w:sz="4" w:space="0" w:color="auto"/>
              <w:right w:val="single" w:sz="4" w:space="0" w:color="auto"/>
            </w:tcBorders>
            <w:shd w:val="clear" w:color="auto" w:fill="BFBFBF" w:themeFill="background1" w:themeFillShade="BF"/>
            <w:vAlign w:val="center"/>
            <w:hideMark/>
          </w:tcPr>
          <w:p w14:paraId="4F915991" w14:textId="5DC9777C"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Total al 31/12/201</w:t>
            </w:r>
            <w:r w:rsidR="008F75C6">
              <w:rPr>
                <w:rFonts w:ascii="Arial" w:hAnsi="Arial" w:cs="Arial"/>
                <w:b/>
                <w:bCs/>
                <w:sz w:val="14"/>
                <w:szCs w:val="18"/>
                <w:lang w:eastAsia="es-AR"/>
              </w:rPr>
              <w:t>9</w:t>
            </w:r>
          </w:p>
        </w:tc>
      </w:tr>
      <w:tr w:rsidR="00B44D46" w:rsidRPr="00083AEA" w14:paraId="778F769F" w14:textId="77777777" w:rsidTr="00D500E4">
        <w:trPr>
          <w:trHeight w:val="197"/>
        </w:trPr>
        <w:tc>
          <w:tcPr>
            <w:tcW w:w="3829" w:type="dxa"/>
            <w:vMerge/>
            <w:tcBorders>
              <w:top w:val="single" w:sz="4" w:space="0" w:color="auto"/>
              <w:left w:val="single" w:sz="4" w:space="0" w:color="auto"/>
              <w:bottom w:val="single" w:sz="4" w:space="0" w:color="auto"/>
              <w:right w:val="single" w:sz="4" w:space="0" w:color="auto"/>
            </w:tcBorders>
            <w:vAlign w:val="center"/>
            <w:hideMark/>
          </w:tcPr>
          <w:p w14:paraId="4798FD55" w14:textId="77777777" w:rsidR="00111409" w:rsidRPr="00083AEA" w:rsidRDefault="00111409" w:rsidP="00AA04EC">
            <w:pPr>
              <w:rPr>
                <w:rFonts w:ascii="Arial" w:hAnsi="Arial" w:cs="Arial"/>
                <w:b/>
                <w:bCs/>
                <w:sz w:val="14"/>
                <w:szCs w:val="18"/>
                <w:lang w:eastAsia="es-AR"/>
              </w:rPr>
            </w:pPr>
          </w:p>
        </w:tc>
        <w:tc>
          <w:tcPr>
            <w:tcW w:w="1418" w:type="dxa"/>
            <w:vMerge/>
            <w:tcBorders>
              <w:top w:val="single" w:sz="4" w:space="0" w:color="auto"/>
              <w:left w:val="single" w:sz="4" w:space="0" w:color="auto"/>
              <w:bottom w:val="single" w:sz="4" w:space="0" w:color="363639"/>
              <w:right w:val="single" w:sz="4" w:space="0" w:color="363639"/>
            </w:tcBorders>
            <w:vAlign w:val="center"/>
            <w:hideMark/>
          </w:tcPr>
          <w:p w14:paraId="533B7C6C" w14:textId="77777777" w:rsidR="00111409" w:rsidRPr="00083AEA" w:rsidRDefault="00111409" w:rsidP="00AA04EC">
            <w:pPr>
              <w:jc w:val="center"/>
              <w:rPr>
                <w:rFonts w:ascii="Arial" w:hAnsi="Arial" w:cs="Arial"/>
                <w:b/>
                <w:bCs/>
                <w:sz w:val="14"/>
                <w:szCs w:val="18"/>
                <w:lang w:eastAsia="es-AR"/>
              </w:rPr>
            </w:pPr>
          </w:p>
        </w:tc>
        <w:tc>
          <w:tcPr>
            <w:tcW w:w="1133" w:type="dxa"/>
            <w:vMerge/>
            <w:tcBorders>
              <w:top w:val="single" w:sz="4" w:space="0" w:color="auto"/>
              <w:left w:val="single" w:sz="4" w:space="0" w:color="363639"/>
              <w:bottom w:val="single" w:sz="4" w:space="0" w:color="363639"/>
              <w:right w:val="single" w:sz="4" w:space="0" w:color="363639"/>
            </w:tcBorders>
            <w:vAlign w:val="center"/>
            <w:hideMark/>
          </w:tcPr>
          <w:p w14:paraId="2C210D35" w14:textId="77777777" w:rsidR="00111409" w:rsidRPr="00083AEA" w:rsidRDefault="00111409" w:rsidP="00AA04EC">
            <w:pPr>
              <w:jc w:val="center"/>
              <w:rPr>
                <w:rFonts w:ascii="Arial" w:hAnsi="Arial" w:cs="Arial"/>
                <w:b/>
                <w:bCs/>
                <w:sz w:val="14"/>
                <w:szCs w:val="18"/>
                <w:lang w:eastAsia="es-AR"/>
              </w:rPr>
            </w:pP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0B047928" w14:textId="77777777"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Dólar</w:t>
            </w: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45A8B146" w14:textId="77777777"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Euro</w:t>
            </w: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73A597AE" w14:textId="77777777"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Real</w:t>
            </w: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32B8D277" w14:textId="77777777" w:rsidR="00111409" w:rsidRPr="00083AEA" w:rsidRDefault="00111409" w:rsidP="00AA04EC">
            <w:pPr>
              <w:jc w:val="center"/>
              <w:rPr>
                <w:rFonts w:ascii="Arial" w:hAnsi="Arial" w:cs="Arial"/>
                <w:b/>
                <w:bCs/>
                <w:sz w:val="14"/>
                <w:szCs w:val="18"/>
                <w:lang w:eastAsia="es-AR"/>
              </w:rPr>
            </w:pPr>
            <w:r w:rsidRPr="00083AEA">
              <w:rPr>
                <w:rFonts w:ascii="Arial" w:hAnsi="Arial" w:cs="Arial"/>
                <w:b/>
                <w:bCs/>
                <w:sz w:val="14"/>
                <w:szCs w:val="18"/>
                <w:lang w:eastAsia="es-AR"/>
              </w:rPr>
              <w:t>Otras</w:t>
            </w:r>
          </w:p>
        </w:tc>
        <w:tc>
          <w:tcPr>
            <w:tcW w:w="1056" w:type="dxa"/>
            <w:vMerge/>
            <w:tcBorders>
              <w:top w:val="single" w:sz="4" w:space="0" w:color="auto"/>
              <w:left w:val="single" w:sz="4" w:space="0" w:color="363639"/>
              <w:bottom w:val="single" w:sz="4" w:space="0" w:color="363639"/>
              <w:right w:val="single" w:sz="4" w:space="0" w:color="363639"/>
            </w:tcBorders>
            <w:vAlign w:val="center"/>
            <w:hideMark/>
          </w:tcPr>
          <w:p w14:paraId="776EFA91" w14:textId="77777777" w:rsidR="00111409" w:rsidRPr="00083AEA" w:rsidRDefault="00111409" w:rsidP="00AA04EC">
            <w:pPr>
              <w:jc w:val="center"/>
              <w:rPr>
                <w:rFonts w:ascii="Arial" w:hAnsi="Arial" w:cs="Arial"/>
                <w:b/>
                <w:bCs/>
                <w:sz w:val="14"/>
                <w:szCs w:val="18"/>
                <w:lang w:eastAsia="es-AR"/>
              </w:rPr>
            </w:pPr>
          </w:p>
        </w:tc>
      </w:tr>
      <w:tr w:rsidR="00083AEA" w:rsidRPr="00083AEA" w14:paraId="41C02CD3" w14:textId="77777777" w:rsidTr="00D500E4">
        <w:trPr>
          <w:gridAfter w:val="7"/>
          <w:wAfter w:w="6311" w:type="dxa"/>
          <w:trHeight w:val="115"/>
        </w:trPr>
        <w:tc>
          <w:tcPr>
            <w:tcW w:w="3829" w:type="dxa"/>
            <w:tcBorders>
              <w:top w:val="single" w:sz="4" w:space="0" w:color="auto"/>
            </w:tcBorders>
            <w:shd w:val="clear" w:color="auto" w:fill="FFFFFF" w:themeFill="background1"/>
            <w:vAlign w:val="bottom"/>
            <w:hideMark/>
          </w:tcPr>
          <w:p w14:paraId="55C6ABF8" w14:textId="77777777" w:rsidR="00111409" w:rsidRPr="00083AEA" w:rsidRDefault="00111409" w:rsidP="00AA04EC">
            <w:pPr>
              <w:rPr>
                <w:rFonts w:ascii="Arial" w:hAnsi="Arial" w:cs="Arial"/>
                <w:b/>
                <w:bCs/>
                <w:sz w:val="14"/>
                <w:szCs w:val="18"/>
                <w:lang w:eastAsia="es-AR"/>
              </w:rPr>
            </w:pPr>
            <w:r w:rsidRPr="00083AEA">
              <w:rPr>
                <w:rFonts w:ascii="Arial" w:hAnsi="Arial" w:cs="Arial"/>
                <w:b/>
                <w:bCs/>
                <w:sz w:val="14"/>
                <w:szCs w:val="18"/>
                <w:lang w:eastAsia="es-AR"/>
              </w:rPr>
              <w:t>ACTIVO</w:t>
            </w:r>
          </w:p>
        </w:tc>
      </w:tr>
      <w:tr w:rsidR="00B44D46" w:rsidRPr="00083AEA" w14:paraId="4C28917F" w14:textId="77777777" w:rsidTr="00D500E4">
        <w:trPr>
          <w:trHeight w:val="259"/>
        </w:trPr>
        <w:tc>
          <w:tcPr>
            <w:tcW w:w="3829" w:type="dxa"/>
            <w:shd w:val="clear" w:color="auto" w:fill="auto"/>
            <w:vAlign w:val="bottom"/>
            <w:hideMark/>
          </w:tcPr>
          <w:p w14:paraId="04846B6E" w14:textId="77777777" w:rsidR="00111409" w:rsidRPr="00083AEA" w:rsidRDefault="00111409" w:rsidP="00AA04EC">
            <w:pPr>
              <w:rPr>
                <w:rFonts w:ascii="Arial" w:hAnsi="Arial" w:cs="Arial"/>
                <w:sz w:val="14"/>
                <w:szCs w:val="18"/>
                <w:lang w:eastAsia="es-AR"/>
              </w:rPr>
            </w:pPr>
            <w:r w:rsidRPr="00083AEA">
              <w:rPr>
                <w:rFonts w:ascii="Arial" w:hAnsi="Arial" w:cs="Arial"/>
                <w:sz w:val="14"/>
                <w:szCs w:val="18"/>
                <w:lang w:eastAsia="es-AR"/>
              </w:rPr>
              <w:t>Efectivo y Depósitos en Bancos</w:t>
            </w:r>
          </w:p>
        </w:tc>
        <w:tc>
          <w:tcPr>
            <w:tcW w:w="1418" w:type="dxa"/>
            <w:shd w:val="clear" w:color="auto" w:fill="auto"/>
            <w:vAlign w:val="bottom"/>
          </w:tcPr>
          <w:p w14:paraId="671A0717" w14:textId="41BDBC81"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1</w:t>
            </w:r>
            <w:r w:rsidR="008F75C6">
              <w:rPr>
                <w:rFonts w:ascii="Arial" w:hAnsi="Arial" w:cs="Arial"/>
                <w:sz w:val="14"/>
                <w:szCs w:val="18"/>
                <w:lang w:eastAsia="es-AR"/>
              </w:rPr>
              <w:t>2</w:t>
            </w:r>
            <w:r>
              <w:rPr>
                <w:rFonts w:ascii="Arial" w:hAnsi="Arial" w:cs="Arial"/>
                <w:sz w:val="14"/>
                <w:szCs w:val="18"/>
                <w:lang w:eastAsia="es-AR"/>
              </w:rPr>
              <w:t>.</w:t>
            </w:r>
            <w:r w:rsidR="008F75C6">
              <w:rPr>
                <w:rFonts w:ascii="Arial" w:hAnsi="Arial" w:cs="Arial"/>
                <w:sz w:val="14"/>
                <w:szCs w:val="18"/>
                <w:lang w:eastAsia="es-AR"/>
              </w:rPr>
              <w:t>952</w:t>
            </w:r>
            <w:r>
              <w:rPr>
                <w:rFonts w:ascii="Arial" w:hAnsi="Arial" w:cs="Arial"/>
                <w:sz w:val="14"/>
                <w:szCs w:val="18"/>
                <w:lang w:eastAsia="es-AR"/>
              </w:rPr>
              <w:t>.</w:t>
            </w:r>
            <w:r w:rsidR="008F75C6">
              <w:rPr>
                <w:rFonts w:ascii="Arial" w:hAnsi="Arial" w:cs="Arial"/>
                <w:sz w:val="14"/>
                <w:szCs w:val="18"/>
                <w:lang w:eastAsia="es-AR"/>
              </w:rPr>
              <w:t>309</w:t>
            </w:r>
          </w:p>
        </w:tc>
        <w:tc>
          <w:tcPr>
            <w:tcW w:w="1133" w:type="dxa"/>
            <w:shd w:val="clear" w:color="auto" w:fill="auto"/>
            <w:vAlign w:val="bottom"/>
          </w:tcPr>
          <w:p w14:paraId="6C8EFD08" w14:textId="1406BB99"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1</w:t>
            </w:r>
            <w:r w:rsidR="008F75C6">
              <w:rPr>
                <w:rFonts w:ascii="Arial" w:hAnsi="Arial" w:cs="Arial"/>
                <w:sz w:val="14"/>
                <w:szCs w:val="18"/>
                <w:lang w:eastAsia="es-AR"/>
              </w:rPr>
              <w:t>2</w:t>
            </w:r>
            <w:r>
              <w:rPr>
                <w:rFonts w:ascii="Arial" w:hAnsi="Arial" w:cs="Arial"/>
                <w:sz w:val="14"/>
                <w:szCs w:val="18"/>
                <w:lang w:eastAsia="es-AR"/>
              </w:rPr>
              <w:t>.</w:t>
            </w:r>
            <w:r w:rsidR="008F75C6">
              <w:rPr>
                <w:rFonts w:ascii="Arial" w:hAnsi="Arial" w:cs="Arial"/>
                <w:sz w:val="14"/>
                <w:szCs w:val="18"/>
                <w:lang w:eastAsia="es-AR"/>
              </w:rPr>
              <w:t>952</w:t>
            </w:r>
            <w:r>
              <w:rPr>
                <w:rFonts w:ascii="Arial" w:hAnsi="Arial" w:cs="Arial"/>
                <w:sz w:val="14"/>
                <w:szCs w:val="18"/>
                <w:lang w:eastAsia="es-AR"/>
              </w:rPr>
              <w:t>.</w:t>
            </w:r>
            <w:r w:rsidR="008F75C6">
              <w:rPr>
                <w:rFonts w:ascii="Arial" w:hAnsi="Arial" w:cs="Arial"/>
                <w:sz w:val="14"/>
                <w:szCs w:val="18"/>
                <w:lang w:eastAsia="es-AR"/>
              </w:rPr>
              <w:t>309</w:t>
            </w:r>
          </w:p>
        </w:tc>
        <w:tc>
          <w:tcPr>
            <w:tcW w:w="0" w:type="auto"/>
            <w:shd w:val="clear" w:color="auto" w:fill="auto"/>
            <w:vAlign w:val="bottom"/>
          </w:tcPr>
          <w:p w14:paraId="448E0987" w14:textId="57928656"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12</w:t>
            </w:r>
            <w:r w:rsidR="0087008D">
              <w:rPr>
                <w:rFonts w:ascii="Arial" w:hAnsi="Arial" w:cs="Arial"/>
                <w:sz w:val="14"/>
                <w:szCs w:val="18"/>
                <w:lang w:eastAsia="es-AR"/>
              </w:rPr>
              <w:t>.</w:t>
            </w:r>
            <w:r>
              <w:rPr>
                <w:rFonts w:ascii="Arial" w:hAnsi="Arial" w:cs="Arial"/>
                <w:sz w:val="14"/>
                <w:szCs w:val="18"/>
                <w:lang w:eastAsia="es-AR"/>
              </w:rPr>
              <w:t>328</w:t>
            </w:r>
            <w:r w:rsidR="0087008D">
              <w:rPr>
                <w:rFonts w:ascii="Arial" w:hAnsi="Arial" w:cs="Arial"/>
                <w:sz w:val="14"/>
                <w:szCs w:val="18"/>
                <w:lang w:eastAsia="es-AR"/>
              </w:rPr>
              <w:t>.</w:t>
            </w:r>
            <w:r>
              <w:rPr>
                <w:rFonts w:ascii="Arial" w:hAnsi="Arial" w:cs="Arial"/>
                <w:sz w:val="14"/>
                <w:szCs w:val="18"/>
                <w:lang w:eastAsia="es-AR"/>
              </w:rPr>
              <w:t>782</w:t>
            </w:r>
          </w:p>
        </w:tc>
        <w:tc>
          <w:tcPr>
            <w:tcW w:w="0" w:type="auto"/>
            <w:shd w:val="clear" w:color="auto" w:fill="auto"/>
            <w:vAlign w:val="bottom"/>
          </w:tcPr>
          <w:p w14:paraId="18104FFF" w14:textId="655DE5B3"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508</w:t>
            </w:r>
            <w:r w:rsidR="0087008D">
              <w:rPr>
                <w:rFonts w:ascii="Arial" w:hAnsi="Arial" w:cs="Arial"/>
                <w:sz w:val="14"/>
                <w:szCs w:val="18"/>
                <w:lang w:eastAsia="es-AR"/>
              </w:rPr>
              <w:t>.</w:t>
            </w:r>
            <w:r>
              <w:rPr>
                <w:rFonts w:ascii="Arial" w:hAnsi="Arial" w:cs="Arial"/>
                <w:sz w:val="14"/>
                <w:szCs w:val="18"/>
                <w:lang w:eastAsia="es-AR"/>
              </w:rPr>
              <w:t>997</w:t>
            </w:r>
          </w:p>
        </w:tc>
        <w:tc>
          <w:tcPr>
            <w:tcW w:w="0" w:type="auto"/>
            <w:shd w:val="clear" w:color="auto" w:fill="auto"/>
            <w:vAlign w:val="bottom"/>
          </w:tcPr>
          <w:p w14:paraId="44D995D8" w14:textId="6D90C650"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1</w:t>
            </w:r>
            <w:r w:rsidR="008F75C6">
              <w:rPr>
                <w:rFonts w:ascii="Arial" w:hAnsi="Arial" w:cs="Arial"/>
                <w:sz w:val="14"/>
                <w:szCs w:val="18"/>
                <w:lang w:eastAsia="es-AR"/>
              </w:rPr>
              <w:t>1</w:t>
            </w:r>
            <w:r>
              <w:rPr>
                <w:rFonts w:ascii="Arial" w:hAnsi="Arial" w:cs="Arial"/>
                <w:sz w:val="14"/>
                <w:szCs w:val="18"/>
                <w:lang w:eastAsia="es-AR"/>
              </w:rPr>
              <w:t>.</w:t>
            </w:r>
            <w:r w:rsidR="008F75C6">
              <w:rPr>
                <w:rFonts w:ascii="Arial" w:hAnsi="Arial" w:cs="Arial"/>
                <w:sz w:val="14"/>
                <w:szCs w:val="18"/>
                <w:lang w:eastAsia="es-AR"/>
              </w:rPr>
              <w:t>810</w:t>
            </w:r>
          </w:p>
        </w:tc>
        <w:tc>
          <w:tcPr>
            <w:tcW w:w="0" w:type="auto"/>
            <w:shd w:val="clear" w:color="auto" w:fill="auto"/>
            <w:vAlign w:val="bottom"/>
          </w:tcPr>
          <w:p w14:paraId="6A565FC0" w14:textId="26C619A0"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102</w:t>
            </w:r>
            <w:r w:rsidR="0087008D">
              <w:rPr>
                <w:rFonts w:ascii="Arial" w:hAnsi="Arial" w:cs="Arial"/>
                <w:sz w:val="14"/>
                <w:szCs w:val="18"/>
                <w:lang w:eastAsia="es-AR"/>
              </w:rPr>
              <w:t>.</w:t>
            </w:r>
            <w:r>
              <w:rPr>
                <w:rFonts w:ascii="Arial" w:hAnsi="Arial" w:cs="Arial"/>
                <w:sz w:val="14"/>
                <w:szCs w:val="18"/>
                <w:lang w:eastAsia="es-AR"/>
              </w:rPr>
              <w:t>720</w:t>
            </w:r>
          </w:p>
        </w:tc>
        <w:tc>
          <w:tcPr>
            <w:tcW w:w="1056" w:type="dxa"/>
            <w:shd w:val="clear" w:color="auto" w:fill="auto"/>
            <w:vAlign w:val="bottom"/>
            <w:hideMark/>
          </w:tcPr>
          <w:p w14:paraId="0EA43241" w14:textId="0DB9A5A4"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14</w:t>
            </w:r>
            <w:r w:rsidR="00111409" w:rsidRPr="00083AEA">
              <w:rPr>
                <w:rFonts w:ascii="Arial" w:hAnsi="Arial" w:cs="Arial"/>
                <w:sz w:val="14"/>
                <w:szCs w:val="18"/>
                <w:lang w:eastAsia="es-AR"/>
              </w:rPr>
              <w:t>.</w:t>
            </w:r>
            <w:r>
              <w:rPr>
                <w:rFonts w:ascii="Arial" w:hAnsi="Arial" w:cs="Arial"/>
                <w:sz w:val="14"/>
                <w:szCs w:val="18"/>
                <w:lang w:eastAsia="es-AR"/>
              </w:rPr>
              <w:t>364</w:t>
            </w:r>
            <w:r w:rsidR="00111409" w:rsidRPr="00083AEA">
              <w:rPr>
                <w:rFonts w:ascii="Arial" w:hAnsi="Arial" w:cs="Arial"/>
                <w:sz w:val="14"/>
                <w:szCs w:val="18"/>
                <w:lang w:eastAsia="es-AR"/>
              </w:rPr>
              <w:t>.</w:t>
            </w:r>
            <w:r>
              <w:rPr>
                <w:rFonts w:ascii="Arial" w:hAnsi="Arial" w:cs="Arial"/>
                <w:sz w:val="14"/>
                <w:szCs w:val="18"/>
                <w:lang w:eastAsia="es-AR"/>
              </w:rPr>
              <w:t>584</w:t>
            </w:r>
          </w:p>
        </w:tc>
      </w:tr>
      <w:tr w:rsidR="00B44D46" w:rsidRPr="00083AEA" w14:paraId="265E7A0E" w14:textId="77777777" w:rsidTr="00D500E4">
        <w:trPr>
          <w:trHeight w:val="391"/>
        </w:trPr>
        <w:tc>
          <w:tcPr>
            <w:tcW w:w="3829" w:type="dxa"/>
            <w:tcBorders>
              <w:top w:val="nil"/>
            </w:tcBorders>
            <w:shd w:val="clear" w:color="auto" w:fill="auto"/>
            <w:vAlign w:val="bottom"/>
            <w:hideMark/>
          </w:tcPr>
          <w:p w14:paraId="4B62A395" w14:textId="77777777" w:rsidR="00111409" w:rsidRPr="00083AEA" w:rsidRDefault="00111409" w:rsidP="00AA04EC">
            <w:pPr>
              <w:rPr>
                <w:rFonts w:ascii="Arial" w:hAnsi="Arial" w:cs="Arial"/>
                <w:sz w:val="14"/>
                <w:szCs w:val="18"/>
                <w:lang w:eastAsia="es-AR"/>
              </w:rPr>
            </w:pPr>
            <w:r w:rsidRPr="00083AEA">
              <w:rPr>
                <w:rFonts w:ascii="Arial" w:hAnsi="Arial" w:cs="Arial"/>
                <w:sz w:val="14"/>
                <w:szCs w:val="18"/>
                <w:lang w:eastAsia="es-AR"/>
              </w:rPr>
              <w:t>Títulos de deuda a valor razonable con cambios en resultados</w:t>
            </w:r>
          </w:p>
        </w:tc>
        <w:tc>
          <w:tcPr>
            <w:tcW w:w="1418" w:type="dxa"/>
            <w:tcBorders>
              <w:top w:val="nil"/>
            </w:tcBorders>
            <w:shd w:val="clear" w:color="auto" w:fill="auto"/>
            <w:vAlign w:val="bottom"/>
          </w:tcPr>
          <w:p w14:paraId="222A5AEE" w14:textId="6DDF3128"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w:t>
            </w:r>
          </w:p>
        </w:tc>
        <w:tc>
          <w:tcPr>
            <w:tcW w:w="1133" w:type="dxa"/>
            <w:tcBorders>
              <w:top w:val="nil"/>
            </w:tcBorders>
            <w:shd w:val="clear" w:color="auto" w:fill="auto"/>
            <w:vAlign w:val="bottom"/>
          </w:tcPr>
          <w:p w14:paraId="4DEF2118" w14:textId="62863AAA"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69D57E3E" w14:textId="6B439D08"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3E58F946" w14:textId="79F1D6C7"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765FC9B8" w14:textId="4DC99BCF"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3CA8922" w14:textId="4A6B366E"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1BFBCFC5" w14:textId="6D0513EA" w:rsidR="00111409" w:rsidRPr="00083AEA" w:rsidRDefault="008F75C6" w:rsidP="00AA04EC">
            <w:pPr>
              <w:jc w:val="right"/>
              <w:rPr>
                <w:rFonts w:ascii="Arial" w:hAnsi="Arial" w:cs="Arial"/>
                <w:sz w:val="14"/>
                <w:szCs w:val="18"/>
                <w:lang w:eastAsia="es-AR"/>
              </w:rPr>
            </w:pPr>
            <w:r>
              <w:rPr>
                <w:rFonts w:ascii="Arial" w:hAnsi="Arial" w:cs="Arial"/>
                <w:sz w:val="14"/>
                <w:szCs w:val="18"/>
                <w:lang w:eastAsia="es-AR"/>
              </w:rPr>
              <w:t>306</w:t>
            </w:r>
            <w:r w:rsidR="00111409" w:rsidRPr="00083AEA">
              <w:rPr>
                <w:rFonts w:ascii="Arial" w:hAnsi="Arial" w:cs="Arial"/>
                <w:sz w:val="14"/>
                <w:szCs w:val="18"/>
                <w:lang w:eastAsia="es-AR"/>
              </w:rPr>
              <w:t>.</w:t>
            </w:r>
            <w:r>
              <w:rPr>
                <w:rFonts w:ascii="Arial" w:hAnsi="Arial" w:cs="Arial"/>
                <w:sz w:val="14"/>
                <w:szCs w:val="18"/>
                <w:lang w:eastAsia="es-AR"/>
              </w:rPr>
              <w:t>805</w:t>
            </w:r>
          </w:p>
        </w:tc>
      </w:tr>
      <w:tr w:rsidR="00B44D46" w:rsidRPr="00083AEA" w14:paraId="25A179F1" w14:textId="77777777" w:rsidTr="00D500E4">
        <w:trPr>
          <w:trHeight w:val="259"/>
        </w:trPr>
        <w:tc>
          <w:tcPr>
            <w:tcW w:w="3829" w:type="dxa"/>
            <w:tcBorders>
              <w:top w:val="nil"/>
            </w:tcBorders>
            <w:shd w:val="clear" w:color="auto" w:fill="auto"/>
            <w:vAlign w:val="bottom"/>
            <w:hideMark/>
          </w:tcPr>
          <w:p w14:paraId="74A5A0A1" w14:textId="77777777" w:rsidR="00111409" w:rsidRPr="00083AEA" w:rsidRDefault="00111409" w:rsidP="00AA04EC">
            <w:pPr>
              <w:rPr>
                <w:rFonts w:ascii="Arial" w:hAnsi="Arial" w:cs="Arial"/>
                <w:sz w:val="14"/>
                <w:szCs w:val="18"/>
                <w:lang w:eastAsia="es-AR"/>
              </w:rPr>
            </w:pPr>
            <w:r w:rsidRPr="00083AEA">
              <w:rPr>
                <w:rFonts w:ascii="Arial" w:hAnsi="Arial" w:cs="Arial"/>
                <w:sz w:val="14"/>
                <w:szCs w:val="18"/>
                <w:lang w:eastAsia="es-AR"/>
              </w:rPr>
              <w:t>Otros activos financieros</w:t>
            </w:r>
          </w:p>
        </w:tc>
        <w:tc>
          <w:tcPr>
            <w:tcW w:w="1418" w:type="dxa"/>
            <w:tcBorders>
              <w:top w:val="nil"/>
            </w:tcBorders>
            <w:shd w:val="clear" w:color="auto" w:fill="auto"/>
            <w:vAlign w:val="bottom"/>
          </w:tcPr>
          <w:p w14:paraId="111026CE" w14:textId="7A2357FB"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948</w:t>
            </w:r>
            <w:r w:rsidR="0087008D">
              <w:rPr>
                <w:rFonts w:ascii="Arial" w:hAnsi="Arial" w:cs="Arial"/>
                <w:sz w:val="14"/>
                <w:szCs w:val="18"/>
                <w:lang w:eastAsia="es-AR"/>
              </w:rPr>
              <w:t>.</w:t>
            </w:r>
            <w:r>
              <w:rPr>
                <w:rFonts w:ascii="Arial" w:hAnsi="Arial" w:cs="Arial"/>
                <w:sz w:val="14"/>
                <w:szCs w:val="18"/>
                <w:lang w:eastAsia="es-AR"/>
              </w:rPr>
              <w:t>337</w:t>
            </w:r>
          </w:p>
        </w:tc>
        <w:tc>
          <w:tcPr>
            <w:tcW w:w="1133" w:type="dxa"/>
            <w:tcBorders>
              <w:top w:val="nil"/>
            </w:tcBorders>
            <w:shd w:val="clear" w:color="auto" w:fill="auto"/>
            <w:vAlign w:val="bottom"/>
          </w:tcPr>
          <w:p w14:paraId="33AD74B1" w14:textId="39A5FCF5"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948</w:t>
            </w:r>
            <w:r w:rsidR="0087008D">
              <w:rPr>
                <w:rFonts w:ascii="Arial" w:hAnsi="Arial" w:cs="Arial"/>
                <w:sz w:val="14"/>
                <w:szCs w:val="18"/>
                <w:lang w:eastAsia="es-AR"/>
              </w:rPr>
              <w:t>.</w:t>
            </w:r>
            <w:r>
              <w:rPr>
                <w:rFonts w:ascii="Arial" w:hAnsi="Arial" w:cs="Arial"/>
                <w:sz w:val="14"/>
                <w:szCs w:val="18"/>
                <w:lang w:eastAsia="es-AR"/>
              </w:rPr>
              <w:t>337</w:t>
            </w:r>
          </w:p>
        </w:tc>
        <w:tc>
          <w:tcPr>
            <w:tcW w:w="0" w:type="auto"/>
            <w:tcBorders>
              <w:top w:val="nil"/>
            </w:tcBorders>
            <w:shd w:val="clear" w:color="auto" w:fill="auto"/>
            <w:vAlign w:val="bottom"/>
          </w:tcPr>
          <w:p w14:paraId="20628B8F" w14:textId="11F8B9B9"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948</w:t>
            </w:r>
            <w:r w:rsidR="0087008D">
              <w:rPr>
                <w:rFonts w:ascii="Arial" w:hAnsi="Arial" w:cs="Arial"/>
                <w:sz w:val="14"/>
                <w:szCs w:val="18"/>
                <w:lang w:eastAsia="es-AR"/>
              </w:rPr>
              <w:t>.</w:t>
            </w:r>
            <w:r>
              <w:rPr>
                <w:rFonts w:ascii="Arial" w:hAnsi="Arial" w:cs="Arial"/>
                <w:sz w:val="14"/>
                <w:szCs w:val="18"/>
                <w:lang w:eastAsia="es-AR"/>
              </w:rPr>
              <w:t>252</w:t>
            </w:r>
          </w:p>
        </w:tc>
        <w:tc>
          <w:tcPr>
            <w:tcW w:w="0" w:type="auto"/>
            <w:tcBorders>
              <w:top w:val="nil"/>
            </w:tcBorders>
            <w:shd w:val="clear" w:color="auto" w:fill="auto"/>
            <w:vAlign w:val="bottom"/>
          </w:tcPr>
          <w:p w14:paraId="7F90BDF1" w14:textId="781B2950"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76</w:t>
            </w:r>
          </w:p>
        </w:tc>
        <w:tc>
          <w:tcPr>
            <w:tcW w:w="0" w:type="auto"/>
            <w:tcBorders>
              <w:top w:val="nil"/>
            </w:tcBorders>
            <w:shd w:val="clear" w:color="auto" w:fill="auto"/>
            <w:vAlign w:val="bottom"/>
          </w:tcPr>
          <w:p w14:paraId="6ED3D450" w14:textId="1BBE2C1A"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9</w:t>
            </w:r>
          </w:p>
        </w:tc>
        <w:tc>
          <w:tcPr>
            <w:tcW w:w="0" w:type="auto"/>
            <w:tcBorders>
              <w:top w:val="nil"/>
            </w:tcBorders>
            <w:shd w:val="clear" w:color="auto" w:fill="auto"/>
            <w:vAlign w:val="bottom"/>
          </w:tcPr>
          <w:p w14:paraId="4F84F460" w14:textId="2F3D687B"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3A9FF5B2" w14:textId="13BA2BA2"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983</w:t>
            </w:r>
            <w:r w:rsidR="00111409" w:rsidRPr="00083AEA">
              <w:rPr>
                <w:rFonts w:ascii="Arial" w:hAnsi="Arial" w:cs="Arial"/>
                <w:sz w:val="14"/>
                <w:szCs w:val="18"/>
                <w:lang w:eastAsia="es-AR"/>
              </w:rPr>
              <w:t>.</w:t>
            </w:r>
            <w:r>
              <w:rPr>
                <w:rFonts w:ascii="Arial" w:hAnsi="Arial" w:cs="Arial"/>
                <w:sz w:val="14"/>
                <w:szCs w:val="18"/>
                <w:lang w:eastAsia="es-AR"/>
              </w:rPr>
              <w:t>732</w:t>
            </w:r>
          </w:p>
        </w:tc>
      </w:tr>
      <w:tr w:rsidR="00B44D46" w:rsidRPr="00083AEA" w14:paraId="39E83EB5" w14:textId="77777777" w:rsidTr="00D500E4">
        <w:trPr>
          <w:trHeight w:val="259"/>
        </w:trPr>
        <w:tc>
          <w:tcPr>
            <w:tcW w:w="3829" w:type="dxa"/>
            <w:tcBorders>
              <w:top w:val="nil"/>
            </w:tcBorders>
            <w:shd w:val="clear" w:color="auto" w:fill="auto"/>
            <w:vAlign w:val="bottom"/>
            <w:hideMark/>
          </w:tcPr>
          <w:p w14:paraId="3ECFE8F2" w14:textId="77777777" w:rsidR="00111409" w:rsidRPr="00083AEA" w:rsidRDefault="00111409" w:rsidP="00AA04EC">
            <w:pPr>
              <w:rPr>
                <w:rFonts w:ascii="Arial" w:hAnsi="Arial" w:cs="Arial"/>
                <w:b/>
                <w:bCs/>
                <w:sz w:val="14"/>
                <w:szCs w:val="18"/>
                <w:lang w:eastAsia="es-AR"/>
              </w:rPr>
            </w:pPr>
            <w:r w:rsidRPr="00083AEA">
              <w:rPr>
                <w:rFonts w:ascii="Arial" w:hAnsi="Arial" w:cs="Arial"/>
                <w:b/>
                <w:bCs/>
                <w:sz w:val="14"/>
                <w:szCs w:val="18"/>
                <w:lang w:eastAsia="es-AR"/>
              </w:rPr>
              <w:t>Préstamos y otras financiaciones</w:t>
            </w:r>
          </w:p>
        </w:tc>
        <w:tc>
          <w:tcPr>
            <w:tcW w:w="1418" w:type="dxa"/>
            <w:tcBorders>
              <w:top w:val="nil"/>
            </w:tcBorders>
            <w:shd w:val="clear" w:color="auto" w:fill="auto"/>
            <w:vAlign w:val="bottom"/>
          </w:tcPr>
          <w:p w14:paraId="49284FF3" w14:textId="3F83CE91" w:rsidR="00111409" w:rsidRPr="00083AEA" w:rsidRDefault="00111409" w:rsidP="00AA04EC">
            <w:pPr>
              <w:jc w:val="right"/>
              <w:rPr>
                <w:rFonts w:ascii="Arial" w:hAnsi="Arial" w:cs="Arial"/>
                <w:sz w:val="14"/>
                <w:szCs w:val="18"/>
                <w:lang w:eastAsia="es-AR"/>
              </w:rPr>
            </w:pPr>
          </w:p>
        </w:tc>
        <w:tc>
          <w:tcPr>
            <w:tcW w:w="1133" w:type="dxa"/>
            <w:tcBorders>
              <w:top w:val="nil"/>
            </w:tcBorders>
            <w:shd w:val="clear" w:color="auto" w:fill="auto"/>
            <w:vAlign w:val="bottom"/>
          </w:tcPr>
          <w:p w14:paraId="2A8FF46C" w14:textId="1758AA23" w:rsidR="00111409" w:rsidRPr="00083AEA" w:rsidRDefault="00111409" w:rsidP="00AA04EC">
            <w:pPr>
              <w:jc w:val="right"/>
              <w:rPr>
                <w:rFonts w:ascii="Arial" w:hAnsi="Arial" w:cs="Arial"/>
                <w:sz w:val="14"/>
                <w:szCs w:val="18"/>
                <w:lang w:eastAsia="es-AR"/>
              </w:rPr>
            </w:pPr>
          </w:p>
        </w:tc>
        <w:tc>
          <w:tcPr>
            <w:tcW w:w="0" w:type="auto"/>
            <w:tcBorders>
              <w:top w:val="nil"/>
            </w:tcBorders>
            <w:shd w:val="clear" w:color="auto" w:fill="auto"/>
            <w:vAlign w:val="bottom"/>
          </w:tcPr>
          <w:p w14:paraId="6FA09039" w14:textId="79A70430" w:rsidR="00111409" w:rsidRPr="00083AEA" w:rsidRDefault="00111409" w:rsidP="00AA04EC">
            <w:pPr>
              <w:jc w:val="right"/>
              <w:rPr>
                <w:rFonts w:ascii="Arial" w:hAnsi="Arial" w:cs="Arial"/>
                <w:b/>
                <w:bCs/>
                <w:sz w:val="14"/>
                <w:szCs w:val="18"/>
                <w:lang w:eastAsia="es-AR"/>
              </w:rPr>
            </w:pPr>
          </w:p>
        </w:tc>
        <w:tc>
          <w:tcPr>
            <w:tcW w:w="0" w:type="auto"/>
            <w:tcBorders>
              <w:top w:val="nil"/>
            </w:tcBorders>
            <w:shd w:val="clear" w:color="auto" w:fill="auto"/>
            <w:vAlign w:val="bottom"/>
          </w:tcPr>
          <w:p w14:paraId="7DC9D55C" w14:textId="3DE447E5" w:rsidR="00111409" w:rsidRPr="00083AEA" w:rsidRDefault="00111409" w:rsidP="00AA04EC">
            <w:pPr>
              <w:jc w:val="right"/>
              <w:rPr>
                <w:rFonts w:ascii="Arial" w:hAnsi="Arial" w:cs="Arial"/>
                <w:b/>
                <w:bCs/>
                <w:sz w:val="14"/>
                <w:szCs w:val="18"/>
                <w:lang w:eastAsia="es-AR"/>
              </w:rPr>
            </w:pPr>
          </w:p>
        </w:tc>
        <w:tc>
          <w:tcPr>
            <w:tcW w:w="0" w:type="auto"/>
            <w:tcBorders>
              <w:top w:val="nil"/>
            </w:tcBorders>
            <w:shd w:val="clear" w:color="auto" w:fill="auto"/>
            <w:vAlign w:val="bottom"/>
          </w:tcPr>
          <w:p w14:paraId="430B37F6" w14:textId="054EDF97" w:rsidR="00111409" w:rsidRPr="00083AEA" w:rsidRDefault="00111409" w:rsidP="00AA04EC">
            <w:pPr>
              <w:jc w:val="right"/>
              <w:rPr>
                <w:rFonts w:ascii="Arial" w:hAnsi="Arial" w:cs="Arial"/>
                <w:b/>
                <w:bCs/>
                <w:sz w:val="14"/>
                <w:szCs w:val="18"/>
                <w:lang w:eastAsia="es-AR"/>
              </w:rPr>
            </w:pPr>
          </w:p>
        </w:tc>
        <w:tc>
          <w:tcPr>
            <w:tcW w:w="0" w:type="auto"/>
            <w:tcBorders>
              <w:top w:val="nil"/>
            </w:tcBorders>
            <w:shd w:val="clear" w:color="auto" w:fill="auto"/>
            <w:vAlign w:val="bottom"/>
          </w:tcPr>
          <w:p w14:paraId="206EB6DB" w14:textId="5720183E" w:rsidR="00111409" w:rsidRPr="00083AEA" w:rsidRDefault="00111409" w:rsidP="00AA04EC">
            <w:pPr>
              <w:jc w:val="right"/>
              <w:rPr>
                <w:rFonts w:ascii="Arial" w:hAnsi="Arial" w:cs="Arial"/>
                <w:b/>
                <w:bCs/>
                <w:sz w:val="14"/>
                <w:szCs w:val="18"/>
                <w:lang w:eastAsia="es-AR"/>
              </w:rPr>
            </w:pPr>
          </w:p>
        </w:tc>
        <w:tc>
          <w:tcPr>
            <w:tcW w:w="1056" w:type="dxa"/>
            <w:tcBorders>
              <w:top w:val="nil"/>
            </w:tcBorders>
            <w:shd w:val="clear" w:color="auto" w:fill="auto"/>
            <w:vAlign w:val="bottom"/>
            <w:hideMark/>
          </w:tcPr>
          <w:p w14:paraId="5269A4E8" w14:textId="77777777" w:rsidR="00111409" w:rsidRPr="00083AEA" w:rsidRDefault="00111409" w:rsidP="00AA04EC">
            <w:pPr>
              <w:jc w:val="right"/>
              <w:rPr>
                <w:rFonts w:ascii="Arial" w:hAnsi="Arial" w:cs="Arial"/>
                <w:sz w:val="14"/>
                <w:szCs w:val="18"/>
                <w:lang w:eastAsia="es-AR"/>
              </w:rPr>
            </w:pPr>
            <w:r w:rsidRPr="00083AEA">
              <w:rPr>
                <w:rFonts w:ascii="Arial" w:hAnsi="Arial" w:cs="Arial"/>
                <w:sz w:val="14"/>
                <w:szCs w:val="18"/>
                <w:lang w:eastAsia="es-AR"/>
              </w:rPr>
              <w:t> </w:t>
            </w:r>
          </w:p>
        </w:tc>
      </w:tr>
      <w:tr w:rsidR="00B44D46" w:rsidRPr="00083AEA" w14:paraId="2A9A503F" w14:textId="77777777" w:rsidTr="00D500E4">
        <w:trPr>
          <w:trHeight w:val="259"/>
        </w:trPr>
        <w:tc>
          <w:tcPr>
            <w:tcW w:w="3829" w:type="dxa"/>
            <w:tcBorders>
              <w:top w:val="nil"/>
            </w:tcBorders>
            <w:shd w:val="clear" w:color="auto" w:fill="auto"/>
            <w:vAlign w:val="bottom"/>
            <w:hideMark/>
          </w:tcPr>
          <w:p w14:paraId="00BC1321" w14:textId="77777777" w:rsidR="00111409" w:rsidRPr="00083AEA" w:rsidRDefault="00111409" w:rsidP="00AA04EC">
            <w:pPr>
              <w:ind w:firstLineChars="100" w:firstLine="140"/>
              <w:rPr>
                <w:rFonts w:ascii="Arial" w:hAnsi="Arial" w:cs="Arial"/>
                <w:sz w:val="14"/>
                <w:szCs w:val="18"/>
                <w:lang w:eastAsia="es-AR"/>
              </w:rPr>
            </w:pPr>
            <w:r w:rsidRPr="00083AEA">
              <w:rPr>
                <w:rFonts w:ascii="Arial" w:hAnsi="Arial" w:cs="Arial"/>
                <w:sz w:val="14"/>
                <w:szCs w:val="18"/>
                <w:lang w:eastAsia="es-AR"/>
              </w:rPr>
              <w:t>Préstamos - Sector Privado no Financiero y Residentes en el exterior</w:t>
            </w:r>
          </w:p>
        </w:tc>
        <w:tc>
          <w:tcPr>
            <w:tcW w:w="1418" w:type="dxa"/>
            <w:tcBorders>
              <w:top w:val="nil"/>
            </w:tcBorders>
            <w:shd w:val="clear" w:color="auto" w:fill="auto"/>
            <w:vAlign w:val="bottom"/>
          </w:tcPr>
          <w:p w14:paraId="4A369CA6" w14:textId="69A5B093"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2</w:t>
            </w:r>
            <w:r w:rsidR="00D500E4">
              <w:rPr>
                <w:rFonts w:ascii="Arial" w:hAnsi="Arial" w:cs="Arial"/>
                <w:sz w:val="14"/>
                <w:szCs w:val="18"/>
                <w:lang w:eastAsia="es-AR"/>
              </w:rPr>
              <w:t>1</w:t>
            </w:r>
            <w:r>
              <w:rPr>
                <w:rFonts w:ascii="Arial" w:hAnsi="Arial" w:cs="Arial"/>
                <w:sz w:val="14"/>
                <w:szCs w:val="18"/>
                <w:lang w:eastAsia="es-AR"/>
              </w:rPr>
              <w:t>.</w:t>
            </w:r>
            <w:r w:rsidR="00D500E4">
              <w:rPr>
                <w:rFonts w:ascii="Arial" w:hAnsi="Arial" w:cs="Arial"/>
                <w:sz w:val="14"/>
                <w:szCs w:val="18"/>
                <w:lang w:eastAsia="es-AR"/>
              </w:rPr>
              <w:t>652</w:t>
            </w:r>
            <w:r>
              <w:rPr>
                <w:rFonts w:ascii="Arial" w:hAnsi="Arial" w:cs="Arial"/>
                <w:sz w:val="14"/>
                <w:szCs w:val="18"/>
                <w:lang w:eastAsia="es-AR"/>
              </w:rPr>
              <w:t>.</w:t>
            </w:r>
            <w:r w:rsidR="00D500E4">
              <w:rPr>
                <w:rFonts w:ascii="Arial" w:hAnsi="Arial" w:cs="Arial"/>
                <w:sz w:val="14"/>
                <w:szCs w:val="18"/>
                <w:lang w:eastAsia="es-AR"/>
              </w:rPr>
              <w:t>652</w:t>
            </w:r>
          </w:p>
        </w:tc>
        <w:tc>
          <w:tcPr>
            <w:tcW w:w="1133" w:type="dxa"/>
            <w:tcBorders>
              <w:top w:val="nil"/>
            </w:tcBorders>
            <w:shd w:val="clear" w:color="auto" w:fill="auto"/>
            <w:vAlign w:val="bottom"/>
          </w:tcPr>
          <w:p w14:paraId="2C2466F8" w14:textId="29E6A934"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2</w:t>
            </w:r>
            <w:r w:rsidR="00D500E4">
              <w:rPr>
                <w:rFonts w:ascii="Arial" w:hAnsi="Arial" w:cs="Arial"/>
                <w:sz w:val="14"/>
                <w:szCs w:val="18"/>
                <w:lang w:eastAsia="es-AR"/>
              </w:rPr>
              <w:t>1</w:t>
            </w:r>
            <w:r>
              <w:rPr>
                <w:rFonts w:ascii="Arial" w:hAnsi="Arial" w:cs="Arial"/>
                <w:sz w:val="14"/>
                <w:szCs w:val="18"/>
                <w:lang w:eastAsia="es-AR"/>
              </w:rPr>
              <w:t>.</w:t>
            </w:r>
            <w:r w:rsidR="00D500E4">
              <w:rPr>
                <w:rFonts w:ascii="Arial" w:hAnsi="Arial" w:cs="Arial"/>
                <w:sz w:val="14"/>
                <w:szCs w:val="18"/>
                <w:lang w:eastAsia="es-AR"/>
              </w:rPr>
              <w:t>652</w:t>
            </w:r>
            <w:r>
              <w:rPr>
                <w:rFonts w:ascii="Arial" w:hAnsi="Arial" w:cs="Arial"/>
                <w:sz w:val="14"/>
                <w:szCs w:val="18"/>
                <w:lang w:eastAsia="es-AR"/>
              </w:rPr>
              <w:t>.</w:t>
            </w:r>
            <w:r w:rsidR="00D500E4">
              <w:rPr>
                <w:rFonts w:ascii="Arial" w:hAnsi="Arial" w:cs="Arial"/>
                <w:sz w:val="14"/>
                <w:szCs w:val="18"/>
                <w:lang w:eastAsia="es-AR"/>
              </w:rPr>
              <w:t>652</w:t>
            </w:r>
          </w:p>
        </w:tc>
        <w:tc>
          <w:tcPr>
            <w:tcW w:w="0" w:type="auto"/>
            <w:tcBorders>
              <w:top w:val="nil"/>
            </w:tcBorders>
            <w:shd w:val="clear" w:color="auto" w:fill="auto"/>
            <w:vAlign w:val="bottom"/>
          </w:tcPr>
          <w:p w14:paraId="0B8F1529" w14:textId="782B2EB7"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2</w:t>
            </w:r>
            <w:r w:rsidR="00D500E4">
              <w:rPr>
                <w:rFonts w:ascii="Arial" w:hAnsi="Arial" w:cs="Arial"/>
                <w:sz w:val="14"/>
                <w:szCs w:val="18"/>
                <w:lang w:eastAsia="es-AR"/>
              </w:rPr>
              <w:t>1</w:t>
            </w:r>
            <w:r>
              <w:rPr>
                <w:rFonts w:ascii="Arial" w:hAnsi="Arial" w:cs="Arial"/>
                <w:sz w:val="14"/>
                <w:szCs w:val="18"/>
                <w:lang w:eastAsia="es-AR"/>
              </w:rPr>
              <w:t>.</w:t>
            </w:r>
            <w:r w:rsidR="00D500E4">
              <w:rPr>
                <w:rFonts w:ascii="Arial" w:hAnsi="Arial" w:cs="Arial"/>
                <w:sz w:val="14"/>
                <w:szCs w:val="18"/>
                <w:lang w:eastAsia="es-AR"/>
              </w:rPr>
              <w:t>651</w:t>
            </w:r>
            <w:r>
              <w:rPr>
                <w:rFonts w:ascii="Arial" w:hAnsi="Arial" w:cs="Arial"/>
                <w:sz w:val="14"/>
                <w:szCs w:val="18"/>
                <w:lang w:eastAsia="es-AR"/>
              </w:rPr>
              <w:t>.</w:t>
            </w:r>
            <w:r w:rsidR="00D500E4">
              <w:rPr>
                <w:rFonts w:ascii="Arial" w:hAnsi="Arial" w:cs="Arial"/>
                <w:sz w:val="14"/>
                <w:szCs w:val="18"/>
                <w:lang w:eastAsia="es-AR"/>
              </w:rPr>
              <w:t>381</w:t>
            </w:r>
          </w:p>
        </w:tc>
        <w:tc>
          <w:tcPr>
            <w:tcW w:w="0" w:type="auto"/>
            <w:tcBorders>
              <w:top w:val="nil"/>
            </w:tcBorders>
            <w:shd w:val="clear" w:color="auto" w:fill="auto"/>
            <w:vAlign w:val="bottom"/>
          </w:tcPr>
          <w:p w14:paraId="0B2B69F0" w14:textId="00BAA0C3"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801</w:t>
            </w:r>
          </w:p>
        </w:tc>
        <w:tc>
          <w:tcPr>
            <w:tcW w:w="0" w:type="auto"/>
            <w:tcBorders>
              <w:top w:val="nil"/>
            </w:tcBorders>
            <w:shd w:val="clear" w:color="auto" w:fill="auto"/>
            <w:vAlign w:val="bottom"/>
          </w:tcPr>
          <w:p w14:paraId="1B8BDDD4" w14:textId="4A2D560D"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FC9C5FC" w14:textId="3C90607F"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470</w:t>
            </w:r>
          </w:p>
        </w:tc>
        <w:tc>
          <w:tcPr>
            <w:tcW w:w="1056" w:type="dxa"/>
            <w:tcBorders>
              <w:top w:val="nil"/>
            </w:tcBorders>
            <w:shd w:val="clear" w:color="auto" w:fill="auto"/>
            <w:vAlign w:val="bottom"/>
            <w:hideMark/>
          </w:tcPr>
          <w:p w14:paraId="5ABD48AF" w14:textId="107B25E5" w:rsidR="00111409" w:rsidRPr="00083AEA" w:rsidRDefault="00111409" w:rsidP="00AA04EC">
            <w:pPr>
              <w:jc w:val="right"/>
              <w:rPr>
                <w:rFonts w:ascii="Arial" w:hAnsi="Arial" w:cs="Arial"/>
                <w:sz w:val="14"/>
                <w:szCs w:val="18"/>
                <w:lang w:eastAsia="es-AR"/>
              </w:rPr>
            </w:pPr>
            <w:r w:rsidRPr="00083AEA">
              <w:rPr>
                <w:rFonts w:ascii="Arial" w:hAnsi="Arial" w:cs="Arial"/>
                <w:sz w:val="14"/>
                <w:szCs w:val="18"/>
                <w:lang w:eastAsia="es-AR"/>
              </w:rPr>
              <w:t>2</w:t>
            </w:r>
            <w:r w:rsidR="00D500E4">
              <w:rPr>
                <w:rFonts w:ascii="Arial" w:hAnsi="Arial" w:cs="Arial"/>
                <w:sz w:val="14"/>
                <w:szCs w:val="18"/>
                <w:lang w:eastAsia="es-AR"/>
              </w:rPr>
              <w:t>3</w:t>
            </w:r>
            <w:r w:rsidRPr="00083AEA">
              <w:rPr>
                <w:rFonts w:ascii="Arial" w:hAnsi="Arial" w:cs="Arial"/>
                <w:sz w:val="14"/>
                <w:szCs w:val="18"/>
                <w:lang w:eastAsia="es-AR"/>
              </w:rPr>
              <w:t>.</w:t>
            </w:r>
            <w:r w:rsidR="00D500E4">
              <w:rPr>
                <w:rFonts w:ascii="Arial" w:hAnsi="Arial" w:cs="Arial"/>
                <w:sz w:val="14"/>
                <w:szCs w:val="18"/>
                <w:lang w:eastAsia="es-AR"/>
              </w:rPr>
              <w:t>158</w:t>
            </w:r>
            <w:r w:rsidRPr="00083AEA">
              <w:rPr>
                <w:rFonts w:ascii="Arial" w:hAnsi="Arial" w:cs="Arial"/>
                <w:sz w:val="14"/>
                <w:szCs w:val="18"/>
                <w:lang w:eastAsia="es-AR"/>
              </w:rPr>
              <w:t>.5</w:t>
            </w:r>
            <w:r w:rsidR="00D500E4">
              <w:rPr>
                <w:rFonts w:ascii="Arial" w:hAnsi="Arial" w:cs="Arial"/>
                <w:sz w:val="14"/>
                <w:szCs w:val="18"/>
                <w:lang w:eastAsia="es-AR"/>
              </w:rPr>
              <w:t>90</w:t>
            </w:r>
          </w:p>
        </w:tc>
      </w:tr>
      <w:tr w:rsidR="00B44D46" w:rsidRPr="00083AEA" w14:paraId="318713C1" w14:textId="77777777" w:rsidTr="00D500E4">
        <w:trPr>
          <w:trHeight w:val="259"/>
        </w:trPr>
        <w:tc>
          <w:tcPr>
            <w:tcW w:w="3829" w:type="dxa"/>
            <w:tcBorders>
              <w:top w:val="nil"/>
            </w:tcBorders>
            <w:shd w:val="clear" w:color="auto" w:fill="auto"/>
            <w:vAlign w:val="bottom"/>
            <w:hideMark/>
          </w:tcPr>
          <w:p w14:paraId="7D053F39" w14:textId="77777777" w:rsidR="00111409" w:rsidRPr="00083AEA" w:rsidRDefault="00111409" w:rsidP="00AA04EC">
            <w:pPr>
              <w:rPr>
                <w:rFonts w:ascii="Arial" w:hAnsi="Arial" w:cs="Arial"/>
                <w:sz w:val="14"/>
                <w:szCs w:val="18"/>
                <w:lang w:eastAsia="es-AR"/>
              </w:rPr>
            </w:pPr>
            <w:r w:rsidRPr="00083AEA">
              <w:rPr>
                <w:rFonts w:ascii="Arial" w:hAnsi="Arial" w:cs="Arial"/>
                <w:sz w:val="14"/>
                <w:szCs w:val="18"/>
                <w:lang w:eastAsia="es-AR"/>
              </w:rPr>
              <w:t>Otros Títulos de Deuda</w:t>
            </w:r>
          </w:p>
        </w:tc>
        <w:tc>
          <w:tcPr>
            <w:tcW w:w="1418" w:type="dxa"/>
            <w:tcBorders>
              <w:top w:val="nil"/>
            </w:tcBorders>
            <w:shd w:val="clear" w:color="auto" w:fill="auto"/>
            <w:vAlign w:val="bottom"/>
          </w:tcPr>
          <w:p w14:paraId="4D5772B4" w14:textId="2601CFD0"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69</w:t>
            </w:r>
          </w:p>
        </w:tc>
        <w:tc>
          <w:tcPr>
            <w:tcW w:w="1133" w:type="dxa"/>
            <w:tcBorders>
              <w:top w:val="nil"/>
            </w:tcBorders>
            <w:shd w:val="clear" w:color="auto" w:fill="auto"/>
            <w:vAlign w:val="bottom"/>
          </w:tcPr>
          <w:p w14:paraId="2ED84D1E" w14:textId="50FCB06A"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69</w:t>
            </w:r>
          </w:p>
        </w:tc>
        <w:tc>
          <w:tcPr>
            <w:tcW w:w="0" w:type="auto"/>
            <w:tcBorders>
              <w:top w:val="nil"/>
            </w:tcBorders>
            <w:shd w:val="clear" w:color="auto" w:fill="auto"/>
            <w:vAlign w:val="bottom"/>
          </w:tcPr>
          <w:p w14:paraId="3B1336B0" w14:textId="08B151EF"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69</w:t>
            </w:r>
          </w:p>
        </w:tc>
        <w:tc>
          <w:tcPr>
            <w:tcW w:w="0" w:type="auto"/>
            <w:tcBorders>
              <w:top w:val="nil"/>
            </w:tcBorders>
            <w:shd w:val="clear" w:color="auto" w:fill="auto"/>
            <w:vAlign w:val="bottom"/>
          </w:tcPr>
          <w:p w14:paraId="6B25E004" w14:textId="56C5DA40"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270FF0BE" w14:textId="7F52AD6D"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29936318" w14:textId="21D4292F"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164D60CB" w14:textId="314CD132"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70</w:t>
            </w:r>
          </w:p>
        </w:tc>
      </w:tr>
      <w:tr w:rsidR="00B44D46" w:rsidRPr="00083AEA" w14:paraId="09D32B96" w14:textId="77777777" w:rsidTr="00D500E4">
        <w:trPr>
          <w:trHeight w:val="259"/>
        </w:trPr>
        <w:tc>
          <w:tcPr>
            <w:tcW w:w="3829" w:type="dxa"/>
            <w:tcBorders>
              <w:top w:val="nil"/>
            </w:tcBorders>
            <w:shd w:val="clear" w:color="auto" w:fill="auto"/>
            <w:vAlign w:val="bottom"/>
            <w:hideMark/>
          </w:tcPr>
          <w:p w14:paraId="260D9BF2" w14:textId="77777777" w:rsidR="00111409" w:rsidRPr="00083AEA" w:rsidRDefault="00111409" w:rsidP="00AA04EC">
            <w:pPr>
              <w:rPr>
                <w:rFonts w:ascii="Arial" w:hAnsi="Arial" w:cs="Arial"/>
                <w:sz w:val="14"/>
                <w:szCs w:val="18"/>
                <w:lang w:eastAsia="es-AR"/>
              </w:rPr>
            </w:pPr>
            <w:r w:rsidRPr="00083AEA">
              <w:rPr>
                <w:rFonts w:ascii="Arial" w:hAnsi="Arial" w:cs="Arial"/>
                <w:sz w:val="14"/>
                <w:szCs w:val="18"/>
                <w:lang w:eastAsia="es-AR"/>
              </w:rPr>
              <w:t>Activos financieros entregados en garantía</w:t>
            </w:r>
          </w:p>
        </w:tc>
        <w:tc>
          <w:tcPr>
            <w:tcW w:w="1418" w:type="dxa"/>
            <w:tcBorders>
              <w:top w:val="nil"/>
            </w:tcBorders>
            <w:shd w:val="clear" w:color="auto" w:fill="auto"/>
            <w:vAlign w:val="bottom"/>
          </w:tcPr>
          <w:p w14:paraId="73245BAB" w14:textId="09A30549"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1.949</w:t>
            </w:r>
            <w:r w:rsidR="0087008D">
              <w:rPr>
                <w:rFonts w:ascii="Arial" w:hAnsi="Arial" w:cs="Arial"/>
                <w:sz w:val="14"/>
                <w:szCs w:val="18"/>
                <w:lang w:eastAsia="es-AR"/>
              </w:rPr>
              <w:t>.</w:t>
            </w:r>
            <w:r>
              <w:rPr>
                <w:rFonts w:ascii="Arial" w:hAnsi="Arial" w:cs="Arial"/>
                <w:sz w:val="14"/>
                <w:szCs w:val="18"/>
                <w:lang w:eastAsia="es-AR"/>
              </w:rPr>
              <w:t>923</w:t>
            </w:r>
          </w:p>
        </w:tc>
        <w:tc>
          <w:tcPr>
            <w:tcW w:w="1133" w:type="dxa"/>
            <w:tcBorders>
              <w:top w:val="nil"/>
            </w:tcBorders>
            <w:shd w:val="clear" w:color="auto" w:fill="auto"/>
            <w:vAlign w:val="bottom"/>
          </w:tcPr>
          <w:p w14:paraId="54DD9745" w14:textId="2190DC47"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1.</w:t>
            </w:r>
            <w:r w:rsidR="0087008D">
              <w:rPr>
                <w:rFonts w:ascii="Arial" w:hAnsi="Arial" w:cs="Arial"/>
                <w:sz w:val="14"/>
                <w:szCs w:val="18"/>
                <w:lang w:eastAsia="es-AR"/>
              </w:rPr>
              <w:t>9</w:t>
            </w:r>
            <w:r>
              <w:rPr>
                <w:rFonts w:ascii="Arial" w:hAnsi="Arial" w:cs="Arial"/>
                <w:sz w:val="14"/>
                <w:szCs w:val="18"/>
                <w:lang w:eastAsia="es-AR"/>
              </w:rPr>
              <w:t>49</w:t>
            </w:r>
            <w:r w:rsidR="0087008D">
              <w:rPr>
                <w:rFonts w:ascii="Arial" w:hAnsi="Arial" w:cs="Arial"/>
                <w:sz w:val="14"/>
                <w:szCs w:val="18"/>
                <w:lang w:eastAsia="es-AR"/>
              </w:rPr>
              <w:t>.</w:t>
            </w:r>
            <w:r>
              <w:rPr>
                <w:rFonts w:ascii="Arial" w:hAnsi="Arial" w:cs="Arial"/>
                <w:sz w:val="14"/>
                <w:szCs w:val="18"/>
                <w:lang w:eastAsia="es-AR"/>
              </w:rPr>
              <w:t>923</w:t>
            </w:r>
          </w:p>
        </w:tc>
        <w:tc>
          <w:tcPr>
            <w:tcW w:w="0" w:type="auto"/>
            <w:tcBorders>
              <w:top w:val="nil"/>
            </w:tcBorders>
            <w:shd w:val="clear" w:color="auto" w:fill="auto"/>
            <w:vAlign w:val="bottom"/>
          </w:tcPr>
          <w:p w14:paraId="54011E7D" w14:textId="4B52337A"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1.949</w:t>
            </w:r>
            <w:r w:rsidR="0087008D">
              <w:rPr>
                <w:rFonts w:ascii="Arial" w:hAnsi="Arial" w:cs="Arial"/>
                <w:sz w:val="14"/>
                <w:szCs w:val="18"/>
                <w:lang w:eastAsia="es-AR"/>
              </w:rPr>
              <w:t>.</w:t>
            </w:r>
            <w:r w:rsidR="008A0E80">
              <w:rPr>
                <w:rFonts w:ascii="Arial" w:hAnsi="Arial" w:cs="Arial"/>
                <w:sz w:val="14"/>
                <w:szCs w:val="18"/>
                <w:lang w:eastAsia="es-AR"/>
              </w:rPr>
              <w:t>9</w:t>
            </w:r>
            <w:r>
              <w:rPr>
                <w:rFonts w:ascii="Arial" w:hAnsi="Arial" w:cs="Arial"/>
                <w:sz w:val="14"/>
                <w:szCs w:val="18"/>
                <w:lang w:eastAsia="es-AR"/>
              </w:rPr>
              <w:t>23</w:t>
            </w:r>
          </w:p>
        </w:tc>
        <w:tc>
          <w:tcPr>
            <w:tcW w:w="0" w:type="auto"/>
            <w:tcBorders>
              <w:top w:val="nil"/>
            </w:tcBorders>
            <w:shd w:val="clear" w:color="auto" w:fill="auto"/>
            <w:vAlign w:val="bottom"/>
          </w:tcPr>
          <w:p w14:paraId="49FB74E1" w14:textId="36BEE28F"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4EBFC2EA" w14:textId="54066B61"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2DA5696B" w14:textId="15524381" w:rsidR="00111409" w:rsidRPr="00083AEA" w:rsidRDefault="0087008D" w:rsidP="00AA04EC">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3DCA029E" w14:textId="74FCB701" w:rsidR="00111409" w:rsidRPr="00083AEA" w:rsidRDefault="00D500E4" w:rsidP="00AA04EC">
            <w:pPr>
              <w:jc w:val="right"/>
              <w:rPr>
                <w:rFonts w:ascii="Arial" w:hAnsi="Arial" w:cs="Arial"/>
                <w:sz w:val="14"/>
                <w:szCs w:val="18"/>
                <w:lang w:eastAsia="es-AR"/>
              </w:rPr>
            </w:pPr>
            <w:r>
              <w:rPr>
                <w:rFonts w:ascii="Arial" w:hAnsi="Arial" w:cs="Arial"/>
                <w:sz w:val="14"/>
                <w:szCs w:val="18"/>
                <w:lang w:eastAsia="es-AR"/>
              </w:rPr>
              <w:t>1.819</w:t>
            </w:r>
            <w:r w:rsidR="00111409" w:rsidRPr="00083AEA">
              <w:rPr>
                <w:rFonts w:ascii="Arial" w:hAnsi="Arial" w:cs="Arial"/>
                <w:sz w:val="14"/>
                <w:szCs w:val="18"/>
                <w:lang w:eastAsia="es-AR"/>
              </w:rPr>
              <w:t>.</w:t>
            </w:r>
            <w:r>
              <w:rPr>
                <w:rFonts w:ascii="Arial" w:hAnsi="Arial" w:cs="Arial"/>
                <w:sz w:val="14"/>
                <w:szCs w:val="18"/>
                <w:lang w:eastAsia="es-AR"/>
              </w:rPr>
              <w:t>601</w:t>
            </w:r>
          </w:p>
        </w:tc>
      </w:tr>
      <w:tr w:rsidR="00B44D46" w:rsidRPr="00083AEA" w14:paraId="3E51BD3C" w14:textId="77777777" w:rsidTr="00D500E4">
        <w:trPr>
          <w:trHeight w:val="259"/>
        </w:trPr>
        <w:tc>
          <w:tcPr>
            <w:tcW w:w="3829" w:type="dxa"/>
            <w:tcBorders>
              <w:top w:val="nil"/>
            </w:tcBorders>
            <w:shd w:val="clear" w:color="auto" w:fill="auto"/>
            <w:vAlign w:val="bottom"/>
            <w:hideMark/>
          </w:tcPr>
          <w:p w14:paraId="01CD3538" w14:textId="77777777"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Otros activos no financieros</w:t>
            </w:r>
          </w:p>
        </w:tc>
        <w:tc>
          <w:tcPr>
            <w:tcW w:w="1418" w:type="dxa"/>
            <w:tcBorders>
              <w:top w:val="nil"/>
            </w:tcBorders>
            <w:shd w:val="clear" w:color="auto" w:fill="auto"/>
            <w:vAlign w:val="bottom"/>
          </w:tcPr>
          <w:p w14:paraId="387F54A0" w14:textId="19017650" w:rsidR="00557382" w:rsidRPr="00083AEA" w:rsidRDefault="0087008D" w:rsidP="00557382">
            <w:pPr>
              <w:jc w:val="right"/>
              <w:rPr>
                <w:rFonts w:ascii="Arial" w:hAnsi="Arial" w:cs="Arial"/>
                <w:sz w:val="14"/>
                <w:szCs w:val="18"/>
                <w:lang w:eastAsia="es-AR"/>
              </w:rPr>
            </w:pPr>
            <w:r>
              <w:rPr>
                <w:rFonts w:ascii="Arial" w:hAnsi="Arial" w:cs="Arial"/>
                <w:sz w:val="14"/>
                <w:szCs w:val="18"/>
                <w:lang w:eastAsia="es-AR"/>
              </w:rPr>
              <w:t>2.</w:t>
            </w:r>
            <w:r w:rsidR="00D500E4">
              <w:rPr>
                <w:rFonts w:ascii="Arial" w:hAnsi="Arial" w:cs="Arial"/>
                <w:sz w:val="14"/>
                <w:szCs w:val="18"/>
                <w:lang w:eastAsia="es-AR"/>
              </w:rPr>
              <w:t>9</w:t>
            </w:r>
            <w:r>
              <w:rPr>
                <w:rFonts w:ascii="Arial" w:hAnsi="Arial" w:cs="Arial"/>
                <w:sz w:val="14"/>
                <w:szCs w:val="18"/>
                <w:lang w:eastAsia="es-AR"/>
              </w:rPr>
              <w:t>7</w:t>
            </w:r>
            <w:r w:rsidR="00D500E4">
              <w:rPr>
                <w:rFonts w:ascii="Arial" w:hAnsi="Arial" w:cs="Arial"/>
                <w:sz w:val="14"/>
                <w:szCs w:val="18"/>
                <w:lang w:eastAsia="es-AR"/>
              </w:rPr>
              <w:t>1</w:t>
            </w:r>
          </w:p>
        </w:tc>
        <w:tc>
          <w:tcPr>
            <w:tcW w:w="1133" w:type="dxa"/>
            <w:tcBorders>
              <w:top w:val="nil"/>
            </w:tcBorders>
            <w:shd w:val="clear" w:color="auto" w:fill="auto"/>
            <w:vAlign w:val="bottom"/>
          </w:tcPr>
          <w:p w14:paraId="07DE4936" w14:textId="481051EB" w:rsidR="00557382" w:rsidRPr="00083AEA" w:rsidRDefault="0087008D" w:rsidP="00557382">
            <w:pPr>
              <w:jc w:val="right"/>
              <w:rPr>
                <w:rFonts w:ascii="Arial" w:hAnsi="Arial" w:cs="Arial"/>
                <w:sz w:val="14"/>
                <w:szCs w:val="18"/>
                <w:lang w:eastAsia="es-AR"/>
              </w:rPr>
            </w:pPr>
            <w:r>
              <w:rPr>
                <w:rFonts w:ascii="Arial" w:hAnsi="Arial" w:cs="Arial"/>
                <w:sz w:val="14"/>
                <w:szCs w:val="18"/>
                <w:lang w:eastAsia="es-AR"/>
              </w:rPr>
              <w:t>2.</w:t>
            </w:r>
            <w:r w:rsidR="00D500E4">
              <w:rPr>
                <w:rFonts w:ascii="Arial" w:hAnsi="Arial" w:cs="Arial"/>
                <w:sz w:val="14"/>
                <w:szCs w:val="18"/>
                <w:lang w:eastAsia="es-AR"/>
              </w:rPr>
              <w:t>9</w:t>
            </w:r>
            <w:r>
              <w:rPr>
                <w:rFonts w:ascii="Arial" w:hAnsi="Arial" w:cs="Arial"/>
                <w:sz w:val="14"/>
                <w:szCs w:val="18"/>
                <w:lang w:eastAsia="es-AR"/>
              </w:rPr>
              <w:t>7</w:t>
            </w:r>
            <w:r w:rsidR="00D500E4">
              <w:rPr>
                <w:rFonts w:ascii="Arial" w:hAnsi="Arial" w:cs="Arial"/>
                <w:sz w:val="14"/>
                <w:szCs w:val="18"/>
                <w:lang w:eastAsia="es-AR"/>
              </w:rPr>
              <w:t>1</w:t>
            </w:r>
          </w:p>
        </w:tc>
        <w:tc>
          <w:tcPr>
            <w:tcW w:w="0" w:type="auto"/>
            <w:tcBorders>
              <w:top w:val="nil"/>
            </w:tcBorders>
            <w:shd w:val="clear" w:color="auto" w:fill="auto"/>
            <w:vAlign w:val="bottom"/>
          </w:tcPr>
          <w:p w14:paraId="75AB40E1" w14:textId="04B3706E" w:rsidR="00557382" w:rsidRPr="00083AEA" w:rsidRDefault="0087008D" w:rsidP="00557382">
            <w:pPr>
              <w:jc w:val="right"/>
              <w:rPr>
                <w:rFonts w:ascii="Arial" w:hAnsi="Arial" w:cs="Arial"/>
                <w:sz w:val="14"/>
                <w:szCs w:val="18"/>
                <w:lang w:eastAsia="es-AR"/>
              </w:rPr>
            </w:pPr>
            <w:r>
              <w:rPr>
                <w:rFonts w:ascii="Arial" w:hAnsi="Arial" w:cs="Arial"/>
                <w:sz w:val="14"/>
                <w:szCs w:val="18"/>
                <w:lang w:eastAsia="es-AR"/>
              </w:rPr>
              <w:t>2.</w:t>
            </w:r>
            <w:r w:rsidR="00D500E4">
              <w:rPr>
                <w:rFonts w:ascii="Arial" w:hAnsi="Arial" w:cs="Arial"/>
                <w:sz w:val="14"/>
                <w:szCs w:val="18"/>
                <w:lang w:eastAsia="es-AR"/>
              </w:rPr>
              <w:t>9</w:t>
            </w:r>
            <w:r>
              <w:rPr>
                <w:rFonts w:ascii="Arial" w:hAnsi="Arial" w:cs="Arial"/>
                <w:sz w:val="14"/>
                <w:szCs w:val="18"/>
                <w:lang w:eastAsia="es-AR"/>
              </w:rPr>
              <w:t>7</w:t>
            </w:r>
            <w:r w:rsidR="00D500E4">
              <w:rPr>
                <w:rFonts w:ascii="Arial" w:hAnsi="Arial" w:cs="Arial"/>
                <w:sz w:val="14"/>
                <w:szCs w:val="18"/>
                <w:lang w:eastAsia="es-AR"/>
              </w:rPr>
              <w:t>1</w:t>
            </w:r>
          </w:p>
        </w:tc>
        <w:tc>
          <w:tcPr>
            <w:tcW w:w="0" w:type="auto"/>
            <w:tcBorders>
              <w:top w:val="nil"/>
            </w:tcBorders>
            <w:shd w:val="clear" w:color="auto" w:fill="auto"/>
            <w:vAlign w:val="bottom"/>
          </w:tcPr>
          <w:p w14:paraId="45E4F4A5" w14:textId="1C38435A" w:rsidR="00557382" w:rsidRPr="00083AEA" w:rsidRDefault="0087008D"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7B8A2FFC" w14:textId="357C9DF3" w:rsidR="00557382" w:rsidRPr="00083AEA" w:rsidRDefault="0087008D"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7F5FD2C6" w14:textId="08C44D58" w:rsidR="00557382" w:rsidRPr="00083AEA" w:rsidRDefault="0087008D"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1A25FC6E" w14:textId="2025ECF5" w:rsidR="00557382" w:rsidRPr="00083AEA" w:rsidRDefault="00D500E4" w:rsidP="00557382">
            <w:pPr>
              <w:jc w:val="right"/>
              <w:rPr>
                <w:rFonts w:ascii="Arial" w:hAnsi="Arial" w:cs="Arial"/>
                <w:sz w:val="14"/>
                <w:szCs w:val="18"/>
                <w:lang w:eastAsia="es-AR"/>
              </w:rPr>
            </w:pPr>
            <w:r>
              <w:rPr>
                <w:rFonts w:ascii="Arial" w:hAnsi="Arial" w:cs="Arial"/>
                <w:sz w:val="14"/>
                <w:szCs w:val="18"/>
                <w:lang w:eastAsia="es-AR"/>
              </w:rPr>
              <w:t>6.</w:t>
            </w:r>
            <w:r w:rsidR="00557382" w:rsidRPr="00083AEA">
              <w:rPr>
                <w:rFonts w:ascii="Arial" w:hAnsi="Arial" w:cs="Arial"/>
                <w:sz w:val="14"/>
                <w:szCs w:val="18"/>
                <w:lang w:eastAsia="es-AR"/>
              </w:rPr>
              <w:t>9</w:t>
            </w:r>
            <w:r>
              <w:rPr>
                <w:rFonts w:ascii="Arial" w:hAnsi="Arial" w:cs="Arial"/>
                <w:sz w:val="14"/>
                <w:szCs w:val="18"/>
                <w:lang w:eastAsia="es-AR"/>
              </w:rPr>
              <w:t>21</w:t>
            </w:r>
          </w:p>
        </w:tc>
      </w:tr>
      <w:tr w:rsidR="00B44D46" w:rsidRPr="00083AEA" w14:paraId="3252A8FC" w14:textId="77777777" w:rsidTr="00D500E4">
        <w:trPr>
          <w:trHeight w:val="259"/>
        </w:trPr>
        <w:tc>
          <w:tcPr>
            <w:tcW w:w="3829" w:type="dxa"/>
            <w:tcBorders>
              <w:top w:val="nil"/>
            </w:tcBorders>
            <w:shd w:val="clear" w:color="auto" w:fill="auto"/>
            <w:vAlign w:val="bottom"/>
            <w:hideMark/>
          </w:tcPr>
          <w:p w14:paraId="50CB16D4" w14:textId="77777777" w:rsidR="00557382" w:rsidRPr="00083AEA" w:rsidRDefault="00557382" w:rsidP="00557382">
            <w:pPr>
              <w:rPr>
                <w:rFonts w:ascii="Arial" w:hAnsi="Arial" w:cs="Arial"/>
                <w:b/>
                <w:bCs/>
                <w:sz w:val="14"/>
                <w:szCs w:val="18"/>
                <w:lang w:eastAsia="es-AR"/>
              </w:rPr>
            </w:pPr>
            <w:r w:rsidRPr="00083AEA">
              <w:rPr>
                <w:rFonts w:ascii="Arial" w:hAnsi="Arial" w:cs="Arial"/>
                <w:b/>
                <w:bCs/>
                <w:sz w:val="14"/>
                <w:szCs w:val="18"/>
                <w:lang w:eastAsia="es-AR"/>
              </w:rPr>
              <w:t>TOTAL ACTIVO</w:t>
            </w:r>
          </w:p>
        </w:tc>
        <w:tc>
          <w:tcPr>
            <w:tcW w:w="1418" w:type="dxa"/>
            <w:tcBorders>
              <w:top w:val="single" w:sz="4" w:space="0" w:color="auto"/>
              <w:bottom w:val="single" w:sz="4" w:space="0" w:color="auto"/>
            </w:tcBorders>
            <w:shd w:val="clear" w:color="auto" w:fill="auto"/>
            <w:vAlign w:val="bottom"/>
          </w:tcPr>
          <w:p w14:paraId="1A379A4F" w14:textId="6547FCFC" w:rsidR="00557382" w:rsidRPr="00083AEA" w:rsidRDefault="00D500E4" w:rsidP="00557382">
            <w:pPr>
              <w:jc w:val="right"/>
              <w:rPr>
                <w:rFonts w:ascii="Arial" w:hAnsi="Arial" w:cs="Arial"/>
                <w:b/>
                <w:bCs/>
                <w:sz w:val="14"/>
                <w:szCs w:val="18"/>
                <w:lang w:eastAsia="es-AR"/>
              </w:rPr>
            </w:pPr>
            <w:r>
              <w:rPr>
                <w:rFonts w:ascii="Arial" w:hAnsi="Arial" w:cs="Arial"/>
                <w:b/>
                <w:bCs/>
                <w:sz w:val="14"/>
                <w:szCs w:val="18"/>
                <w:lang w:eastAsia="es-AR"/>
              </w:rPr>
              <w:t>37</w:t>
            </w:r>
            <w:r w:rsidR="0087008D">
              <w:rPr>
                <w:rFonts w:ascii="Arial" w:hAnsi="Arial" w:cs="Arial"/>
                <w:b/>
                <w:bCs/>
                <w:sz w:val="14"/>
                <w:szCs w:val="18"/>
                <w:lang w:eastAsia="es-AR"/>
              </w:rPr>
              <w:t>.</w:t>
            </w:r>
            <w:r>
              <w:rPr>
                <w:rFonts w:ascii="Arial" w:hAnsi="Arial" w:cs="Arial"/>
                <w:b/>
                <w:bCs/>
                <w:sz w:val="14"/>
                <w:szCs w:val="18"/>
                <w:lang w:eastAsia="es-AR"/>
              </w:rPr>
              <w:t>506</w:t>
            </w:r>
            <w:r w:rsidR="0087008D">
              <w:rPr>
                <w:rFonts w:ascii="Arial" w:hAnsi="Arial" w:cs="Arial"/>
                <w:b/>
                <w:bCs/>
                <w:sz w:val="14"/>
                <w:szCs w:val="18"/>
                <w:lang w:eastAsia="es-AR"/>
              </w:rPr>
              <w:t>.</w:t>
            </w:r>
            <w:r>
              <w:rPr>
                <w:rFonts w:ascii="Arial" w:hAnsi="Arial" w:cs="Arial"/>
                <w:b/>
                <w:bCs/>
                <w:sz w:val="14"/>
                <w:szCs w:val="18"/>
                <w:lang w:eastAsia="es-AR"/>
              </w:rPr>
              <w:t>261</w:t>
            </w:r>
          </w:p>
        </w:tc>
        <w:tc>
          <w:tcPr>
            <w:tcW w:w="1133" w:type="dxa"/>
            <w:tcBorders>
              <w:top w:val="single" w:sz="4" w:space="0" w:color="auto"/>
              <w:bottom w:val="single" w:sz="4" w:space="0" w:color="auto"/>
            </w:tcBorders>
            <w:shd w:val="clear" w:color="auto" w:fill="auto"/>
            <w:vAlign w:val="bottom"/>
          </w:tcPr>
          <w:p w14:paraId="622793A0" w14:textId="47A7AC6B" w:rsidR="00557382" w:rsidRPr="00083AEA" w:rsidRDefault="00D500E4" w:rsidP="00557382">
            <w:pPr>
              <w:jc w:val="right"/>
              <w:rPr>
                <w:rFonts w:ascii="Arial" w:hAnsi="Arial" w:cs="Arial"/>
                <w:b/>
                <w:bCs/>
                <w:sz w:val="14"/>
                <w:szCs w:val="18"/>
                <w:lang w:eastAsia="es-AR"/>
              </w:rPr>
            </w:pPr>
            <w:r>
              <w:rPr>
                <w:rFonts w:ascii="Arial" w:hAnsi="Arial" w:cs="Arial"/>
                <w:b/>
                <w:bCs/>
                <w:sz w:val="14"/>
                <w:szCs w:val="18"/>
                <w:lang w:eastAsia="es-AR"/>
              </w:rPr>
              <w:t>37</w:t>
            </w:r>
            <w:r w:rsidR="0087008D">
              <w:rPr>
                <w:rFonts w:ascii="Arial" w:hAnsi="Arial" w:cs="Arial"/>
                <w:b/>
                <w:bCs/>
                <w:sz w:val="14"/>
                <w:szCs w:val="18"/>
                <w:lang w:eastAsia="es-AR"/>
              </w:rPr>
              <w:t>.</w:t>
            </w:r>
            <w:r>
              <w:rPr>
                <w:rFonts w:ascii="Arial" w:hAnsi="Arial" w:cs="Arial"/>
                <w:b/>
                <w:bCs/>
                <w:sz w:val="14"/>
                <w:szCs w:val="18"/>
                <w:lang w:eastAsia="es-AR"/>
              </w:rPr>
              <w:t>506</w:t>
            </w:r>
            <w:r w:rsidR="0087008D">
              <w:rPr>
                <w:rFonts w:ascii="Arial" w:hAnsi="Arial" w:cs="Arial"/>
                <w:b/>
                <w:bCs/>
                <w:sz w:val="14"/>
                <w:szCs w:val="18"/>
                <w:lang w:eastAsia="es-AR"/>
              </w:rPr>
              <w:t>.</w:t>
            </w:r>
            <w:r>
              <w:rPr>
                <w:rFonts w:ascii="Arial" w:hAnsi="Arial" w:cs="Arial"/>
                <w:b/>
                <w:bCs/>
                <w:sz w:val="14"/>
                <w:szCs w:val="18"/>
                <w:lang w:eastAsia="es-AR"/>
              </w:rPr>
              <w:t>261</w:t>
            </w:r>
          </w:p>
        </w:tc>
        <w:tc>
          <w:tcPr>
            <w:tcW w:w="0" w:type="auto"/>
            <w:tcBorders>
              <w:top w:val="single" w:sz="4" w:space="0" w:color="auto"/>
              <w:bottom w:val="single" w:sz="4" w:space="0" w:color="auto"/>
            </w:tcBorders>
            <w:shd w:val="clear" w:color="auto" w:fill="auto"/>
            <w:vAlign w:val="bottom"/>
          </w:tcPr>
          <w:p w14:paraId="2357538B" w14:textId="54A83114" w:rsidR="00557382" w:rsidRPr="00083AEA" w:rsidRDefault="00D500E4" w:rsidP="00557382">
            <w:pPr>
              <w:jc w:val="right"/>
              <w:rPr>
                <w:rFonts w:ascii="Arial" w:hAnsi="Arial" w:cs="Arial"/>
                <w:b/>
                <w:bCs/>
                <w:sz w:val="14"/>
                <w:szCs w:val="18"/>
                <w:lang w:eastAsia="es-AR"/>
              </w:rPr>
            </w:pPr>
            <w:r>
              <w:rPr>
                <w:rFonts w:ascii="Arial" w:hAnsi="Arial" w:cs="Arial"/>
                <w:b/>
                <w:bCs/>
                <w:sz w:val="14"/>
                <w:szCs w:val="18"/>
                <w:lang w:eastAsia="es-AR"/>
              </w:rPr>
              <w:t>36</w:t>
            </w:r>
            <w:r w:rsidR="0087008D">
              <w:rPr>
                <w:rFonts w:ascii="Arial" w:hAnsi="Arial" w:cs="Arial"/>
                <w:b/>
                <w:bCs/>
                <w:sz w:val="14"/>
                <w:szCs w:val="18"/>
                <w:lang w:eastAsia="es-AR"/>
              </w:rPr>
              <w:t>.</w:t>
            </w:r>
            <w:r>
              <w:rPr>
                <w:rFonts w:ascii="Arial" w:hAnsi="Arial" w:cs="Arial"/>
                <w:b/>
                <w:bCs/>
                <w:sz w:val="14"/>
                <w:szCs w:val="18"/>
                <w:lang w:eastAsia="es-AR"/>
              </w:rPr>
              <w:t>881</w:t>
            </w:r>
            <w:r w:rsidR="0087008D">
              <w:rPr>
                <w:rFonts w:ascii="Arial" w:hAnsi="Arial" w:cs="Arial"/>
                <w:b/>
                <w:bCs/>
                <w:sz w:val="14"/>
                <w:szCs w:val="18"/>
                <w:lang w:eastAsia="es-AR"/>
              </w:rPr>
              <w:t>.</w:t>
            </w:r>
            <w:r>
              <w:rPr>
                <w:rFonts w:ascii="Arial" w:hAnsi="Arial" w:cs="Arial"/>
                <w:b/>
                <w:bCs/>
                <w:sz w:val="14"/>
                <w:szCs w:val="18"/>
                <w:lang w:eastAsia="es-AR"/>
              </w:rPr>
              <w:t>378</w:t>
            </w:r>
          </w:p>
        </w:tc>
        <w:tc>
          <w:tcPr>
            <w:tcW w:w="0" w:type="auto"/>
            <w:tcBorders>
              <w:top w:val="single" w:sz="4" w:space="0" w:color="auto"/>
              <w:bottom w:val="single" w:sz="4" w:space="0" w:color="auto"/>
            </w:tcBorders>
            <w:shd w:val="clear" w:color="auto" w:fill="auto"/>
            <w:vAlign w:val="bottom"/>
          </w:tcPr>
          <w:p w14:paraId="682CBCFB" w14:textId="1061B8DD" w:rsidR="00557382" w:rsidRPr="00083AEA" w:rsidRDefault="00D500E4" w:rsidP="00557382">
            <w:pPr>
              <w:jc w:val="right"/>
              <w:rPr>
                <w:rFonts w:ascii="Arial" w:hAnsi="Arial" w:cs="Arial"/>
                <w:b/>
                <w:bCs/>
                <w:sz w:val="14"/>
                <w:szCs w:val="18"/>
                <w:lang w:eastAsia="es-AR"/>
              </w:rPr>
            </w:pPr>
            <w:r>
              <w:rPr>
                <w:rFonts w:ascii="Arial" w:hAnsi="Arial" w:cs="Arial"/>
                <w:b/>
                <w:bCs/>
                <w:sz w:val="14"/>
                <w:szCs w:val="18"/>
                <w:lang w:eastAsia="es-AR"/>
              </w:rPr>
              <w:t>509</w:t>
            </w:r>
            <w:r w:rsidR="0087008D">
              <w:rPr>
                <w:rFonts w:ascii="Arial" w:hAnsi="Arial" w:cs="Arial"/>
                <w:b/>
                <w:bCs/>
                <w:sz w:val="14"/>
                <w:szCs w:val="18"/>
                <w:lang w:eastAsia="es-AR"/>
              </w:rPr>
              <w:t>.</w:t>
            </w:r>
            <w:r>
              <w:rPr>
                <w:rFonts w:ascii="Arial" w:hAnsi="Arial" w:cs="Arial"/>
                <w:b/>
                <w:bCs/>
                <w:sz w:val="14"/>
                <w:szCs w:val="18"/>
                <w:lang w:eastAsia="es-AR"/>
              </w:rPr>
              <w:t>874</w:t>
            </w:r>
          </w:p>
        </w:tc>
        <w:tc>
          <w:tcPr>
            <w:tcW w:w="0" w:type="auto"/>
            <w:tcBorders>
              <w:top w:val="single" w:sz="4" w:space="0" w:color="auto"/>
              <w:bottom w:val="single" w:sz="4" w:space="0" w:color="auto"/>
            </w:tcBorders>
            <w:shd w:val="clear" w:color="auto" w:fill="auto"/>
            <w:vAlign w:val="bottom"/>
          </w:tcPr>
          <w:p w14:paraId="175ADFF3" w14:textId="5B05B8A2" w:rsidR="00557382" w:rsidRPr="00083AEA" w:rsidRDefault="00D500E4" w:rsidP="00557382">
            <w:pPr>
              <w:jc w:val="right"/>
              <w:rPr>
                <w:rFonts w:ascii="Arial" w:hAnsi="Arial" w:cs="Arial"/>
                <w:b/>
                <w:bCs/>
                <w:sz w:val="14"/>
                <w:szCs w:val="18"/>
                <w:lang w:eastAsia="es-AR"/>
              </w:rPr>
            </w:pPr>
            <w:r>
              <w:rPr>
                <w:rFonts w:ascii="Arial" w:hAnsi="Arial" w:cs="Arial"/>
                <w:b/>
                <w:bCs/>
                <w:sz w:val="14"/>
                <w:szCs w:val="18"/>
                <w:lang w:eastAsia="es-AR"/>
              </w:rPr>
              <w:t>1</w:t>
            </w:r>
            <w:r w:rsidR="0087008D">
              <w:rPr>
                <w:rFonts w:ascii="Arial" w:hAnsi="Arial" w:cs="Arial"/>
                <w:b/>
                <w:bCs/>
                <w:sz w:val="14"/>
                <w:szCs w:val="18"/>
                <w:lang w:eastAsia="es-AR"/>
              </w:rPr>
              <w:t>1.</w:t>
            </w:r>
            <w:r>
              <w:rPr>
                <w:rFonts w:ascii="Arial" w:hAnsi="Arial" w:cs="Arial"/>
                <w:b/>
                <w:bCs/>
                <w:sz w:val="14"/>
                <w:szCs w:val="18"/>
                <w:lang w:eastAsia="es-AR"/>
              </w:rPr>
              <w:t>819</w:t>
            </w:r>
          </w:p>
        </w:tc>
        <w:tc>
          <w:tcPr>
            <w:tcW w:w="0" w:type="auto"/>
            <w:tcBorders>
              <w:top w:val="single" w:sz="4" w:space="0" w:color="auto"/>
              <w:bottom w:val="single" w:sz="4" w:space="0" w:color="auto"/>
            </w:tcBorders>
            <w:shd w:val="clear" w:color="auto" w:fill="auto"/>
            <w:vAlign w:val="bottom"/>
          </w:tcPr>
          <w:p w14:paraId="144E1CEF" w14:textId="4165BD88" w:rsidR="00557382" w:rsidRPr="00083AEA" w:rsidRDefault="00D500E4" w:rsidP="00557382">
            <w:pPr>
              <w:jc w:val="right"/>
              <w:rPr>
                <w:rFonts w:ascii="Arial" w:hAnsi="Arial" w:cs="Arial"/>
                <w:b/>
                <w:bCs/>
                <w:sz w:val="14"/>
                <w:szCs w:val="18"/>
                <w:lang w:eastAsia="es-AR"/>
              </w:rPr>
            </w:pPr>
            <w:r>
              <w:rPr>
                <w:rFonts w:ascii="Arial" w:hAnsi="Arial" w:cs="Arial"/>
                <w:b/>
                <w:bCs/>
                <w:sz w:val="14"/>
                <w:szCs w:val="18"/>
                <w:lang w:eastAsia="es-AR"/>
              </w:rPr>
              <w:t>103</w:t>
            </w:r>
            <w:r w:rsidR="0087008D">
              <w:rPr>
                <w:rFonts w:ascii="Arial" w:hAnsi="Arial" w:cs="Arial"/>
                <w:b/>
                <w:bCs/>
                <w:sz w:val="14"/>
                <w:szCs w:val="18"/>
                <w:lang w:eastAsia="es-AR"/>
              </w:rPr>
              <w:t>.</w:t>
            </w:r>
            <w:r>
              <w:rPr>
                <w:rFonts w:ascii="Arial" w:hAnsi="Arial" w:cs="Arial"/>
                <w:b/>
                <w:bCs/>
                <w:sz w:val="14"/>
                <w:szCs w:val="18"/>
                <w:lang w:eastAsia="es-AR"/>
              </w:rPr>
              <w:t>190</w:t>
            </w:r>
          </w:p>
        </w:tc>
        <w:tc>
          <w:tcPr>
            <w:tcW w:w="1056" w:type="dxa"/>
            <w:tcBorders>
              <w:top w:val="single" w:sz="4" w:space="0" w:color="auto"/>
              <w:bottom w:val="single" w:sz="4" w:space="0" w:color="auto"/>
            </w:tcBorders>
            <w:shd w:val="clear" w:color="auto" w:fill="auto"/>
            <w:vAlign w:val="bottom"/>
            <w:hideMark/>
          </w:tcPr>
          <w:p w14:paraId="13B8C462" w14:textId="35F56430" w:rsidR="00557382" w:rsidRPr="00083AEA" w:rsidRDefault="00557382" w:rsidP="00557382">
            <w:pPr>
              <w:jc w:val="right"/>
              <w:rPr>
                <w:rFonts w:ascii="Arial" w:hAnsi="Arial" w:cs="Arial"/>
                <w:b/>
                <w:bCs/>
                <w:sz w:val="14"/>
                <w:szCs w:val="18"/>
                <w:lang w:eastAsia="es-AR"/>
              </w:rPr>
            </w:pPr>
            <w:r w:rsidRPr="00083AEA">
              <w:rPr>
                <w:rFonts w:ascii="Arial" w:hAnsi="Arial" w:cs="Arial"/>
                <w:b/>
                <w:bCs/>
                <w:sz w:val="14"/>
                <w:szCs w:val="18"/>
                <w:lang w:eastAsia="es-AR"/>
              </w:rPr>
              <w:t>4</w:t>
            </w:r>
            <w:r w:rsidR="00D500E4">
              <w:rPr>
                <w:rFonts w:ascii="Arial" w:hAnsi="Arial" w:cs="Arial"/>
                <w:b/>
                <w:bCs/>
                <w:sz w:val="14"/>
                <w:szCs w:val="18"/>
                <w:lang w:eastAsia="es-AR"/>
              </w:rPr>
              <w:t>0</w:t>
            </w:r>
            <w:r w:rsidRPr="00083AEA">
              <w:rPr>
                <w:rFonts w:ascii="Arial" w:hAnsi="Arial" w:cs="Arial"/>
                <w:b/>
                <w:bCs/>
                <w:sz w:val="14"/>
                <w:szCs w:val="18"/>
                <w:lang w:eastAsia="es-AR"/>
              </w:rPr>
              <w:t>.</w:t>
            </w:r>
            <w:r w:rsidR="00D500E4">
              <w:rPr>
                <w:rFonts w:ascii="Arial" w:hAnsi="Arial" w:cs="Arial"/>
                <w:b/>
                <w:bCs/>
                <w:sz w:val="14"/>
                <w:szCs w:val="18"/>
                <w:lang w:eastAsia="es-AR"/>
              </w:rPr>
              <w:t>640</w:t>
            </w:r>
            <w:r w:rsidRPr="00083AEA">
              <w:rPr>
                <w:rFonts w:ascii="Arial" w:hAnsi="Arial" w:cs="Arial"/>
                <w:b/>
                <w:bCs/>
                <w:sz w:val="14"/>
                <w:szCs w:val="18"/>
                <w:lang w:eastAsia="es-AR"/>
              </w:rPr>
              <w:t>.</w:t>
            </w:r>
            <w:r w:rsidR="00D500E4">
              <w:rPr>
                <w:rFonts w:ascii="Arial" w:hAnsi="Arial" w:cs="Arial"/>
                <w:b/>
                <w:bCs/>
                <w:sz w:val="14"/>
                <w:szCs w:val="18"/>
                <w:lang w:eastAsia="es-AR"/>
              </w:rPr>
              <w:t>30</w:t>
            </w:r>
            <w:r w:rsidR="00E27F3A">
              <w:rPr>
                <w:rFonts w:ascii="Arial" w:hAnsi="Arial" w:cs="Arial"/>
                <w:b/>
                <w:bCs/>
                <w:sz w:val="14"/>
                <w:szCs w:val="18"/>
                <w:lang w:eastAsia="es-AR"/>
              </w:rPr>
              <w:t>3</w:t>
            </w:r>
          </w:p>
        </w:tc>
      </w:tr>
      <w:tr w:rsidR="00B44D46" w:rsidRPr="00083AEA" w14:paraId="76C89928" w14:textId="77777777" w:rsidTr="00D500E4">
        <w:trPr>
          <w:trHeight w:val="70"/>
        </w:trPr>
        <w:tc>
          <w:tcPr>
            <w:tcW w:w="3829" w:type="dxa"/>
            <w:tcBorders>
              <w:top w:val="nil"/>
              <w:left w:val="nil"/>
              <w:bottom w:val="nil"/>
              <w:right w:val="nil"/>
            </w:tcBorders>
            <w:shd w:val="clear" w:color="auto" w:fill="auto"/>
            <w:noWrap/>
            <w:hideMark/>
          </w:tcPr>
          <w:p w14:paraId="2829AD08" w14:textId="77777777" w:rsidR="00557382" w:rsidRPr="00083AEA" w:rsidRDefault="00557382" w:rsidP="00557382">
            <w:pPr>
              <w:jc w:val="right"/>
              <w:rPr>
                <w:rFonts w:ascii="Arial" w:hAnsi="Arial" w:cs="Arial"/>
                <w:b/>
                <w:bCs/>
                <w:sz w:val="14"/>
                <w:szCs w:val="18"/>
                <w:lang w:eastAsia="es-AR"/>
              </w:rPr>
            </w:pPr>
          </w:p>
        </w:tc>
        <w:tc>
          <w:tcPr>
            <w:tcW w:w="1418" w:type="dxa"/>
            <w:tcBorders>
              <w:top w:val="single" w:sz="4" w:space="0" w:color="auto"/>
              <w:left w:val="nil"/>
              <w:bottom w:val="nil"/>
              <w:right w:val="nil"/>
            </w:tcBorders>
            <w:shd w:val="clear" w:color="auto" w:fill="auto"/>
            <w:noWrap/>
          </w:tcPr>
          <w:p w14:paraId="61DFCB72" w14:textId="77777777" w:rsidR="00557382" w:rsidRPr="00083AEA" w:rsidRDefault="00557382" w:rsidP="00557382">
            <w:pPr>
              <w:rPr>
                <w:sz w:val="14"/>
                <w:lang w:eastAsia="es-AR"/>
              </w:rPr>
            </w:pPr>
          </w:p>
        </w:tc>
        <w:tc>
          <w:tcPr>
            <w:tcW w:w="1133" w:type="dxa"/>
            <w:tcBorders>
              <w:top w:val="single" w:sz="4" w:space="0" w:color="auto"/>
              <w:left w:val="nil"/>
              <w:bottom w:val="nil"/>
              <w:right w:val="nil"/>
            </w:tcBorders>
            <w:shd w:val="clear" w:color="auto" w:fill="auto"/>
            <w:noWrap/>
          </w:tcPr>
          <w:p w14:paraId="618CAF73" w14:textId="77777777" w:rsidR="00557382" w:rsidRPr="00083AEA" w:rsidRDefault="00557382" w:rsidP="00557382">
            <w:pPr>
              <w:rPr>
                <w:sz w:val="14"/>
                <w:lang w:eastAsia="es-AR"/>
              </w:rPr>
            </w:pPr>
          </w:p>
        </w:tc>
        <w:tc>
          <w:tcPr>
            <w:tcW w:w="0" w:type="auto"/>
            <w:tcBorders>
              <w:top w:val="single" w:sz="4" w:space="0" w:color="auto"/>
              <w:left w:val="nil"/>
              <w:bottom w:val="nil"/>
              <w:right w:val="nil"/>
            </w:tcBorders>
            <w:shd w:val="clear" w:color="auto" w:fill="auto"/>
            <w:noWrap/>
          </w:tcPr>
          <w:p w14:paraId="6D33C337" w14:textId="77777777" w:rsidR="00557382" w:rsidRPr="00083AEA" w:rsidRDefault="00557382" w:rsidP="00557382">
            <w:pPr>
              <w:rPr>
                <w:sz w:val="14"/>
                <w:lang w:eastAsia="es-AR"/>
              </w:rPr>
            </w:pPr>
          </w:p>
        </w:tc>
        <w:tc>
          <w:tcPr>
            <w:tcW w:w="0" w:type="auto"/>
            <w:tcBorders>
              <w:top w:val="single" w:sz="4" w:space="0" w:color="auto"/>
              <w:left w:val="nil"/>
              <w:bottom w:val="nil"/>
              <w:right w:val="nil"/>
            </w:tcBorders>
            <w:shd w:val="clear" w:color="auto" w:fill="auto"/>
            <w:noWrap/>
          </w:tcPr>
          <w:p w14:paraId="75D4F928" w14:textId="77777777" w:rsidR="00557382" w:rsidRPr="00083AEA" w:rsidRDefault="00557382" w:rsidP="00557382">
            <w:pPr>
              <w:rPr>
                <w:sz w:val="14"/>
                <w:lang w:eastAsia="es-AR"/>
              </w:rPr>
            </w:pPr>
          </w:p>
        </w:tc>
        <w:tc>
          <w:tcPr>
            <w:tcW w:w="0" w:type="auto"/>
            <w:tcBorders>
              <w:top w:val="single" w:sz="4" w:space="0" w:color="auto"/>
              <w:left w:val="nil"/>
              <w:bottom w:val="nil"/>
              <w:right w:val="nil"/>
            </w:tcBorders>
            <w:shd w:val="clear" w:color="auto" w:fill="auto"/>
            <w:noWrap/>
          </w:tcPr>
          <w:p w14:paraId="06676E31" w14:textId="77777777" w:rsidR="00557382" w:rsidRPr="00083AEA" w:rsidRDefault="00557382" w:rsidP="00557382">
            <w:pPr>
              <w:rPr>
                <w:sz w:val="14"/>
                <w:lang w:eastAsia="es-AR"/>
              </w:rPr>
            </w:pPr>
          </w:p>
        </w:tc>
        <w:tc>
          <w:tcPr>
            <w:tcW w:w="0" w:type="auto"/>
            <w:tcBorders>
              <w:top w:val="single" w:sz="4" w:space="0" w:color="auto"/>
              <w:left w:val="nil"/>
              <w:bottom w:val="nil"/>
              <w:right w:val="nil"/>
            </w:tcBorders>
            <w:shd w:val="clear" w:color="auto" w:fill="auto"/>
            <w:noWrap/>
          </w:tcPr>
          <w:p w14:paraId="48FB0E9D" w14:textId="77777777" w:rsidR="00557382" w:rsidRPr="00083AEA" w:rsidRDefault="00557382" w:rsidP="00557382">
            <w:pPr>
              <w:rPr>
                <w:sz w:val="14"/>
                <w:lang w:eastAsia="es-AR"/>
              </w:rPr>
            </w:pPr>
          </w:p>
        </w:tc>
        <w:tc>
          <w:tcPr>
            <w:tcW w:w="1056" w:type="dxa"/>
            <w:tcBorders>
              <w:top w:val="single" w:sz="4" w:space="0" w:color="auto"/>
              <w:left w:val="nil"/>
              <w:bottom w:val="nil"/>
              <w:right w:val="nil"/>
            </w:tcBorders>
            <w:shd w:val="clear" w:color="auto" w:fill="auto"/>
            <w:noWrap/>
            <w:hideMark/>
          </w:tcPr>
          <w:p w14:paraId="626C7B71" w14:textId="77777777" w:rsidR="00557382" w:rsidRPr="00083AEA" w:rsidRDefault="00557382" w:rsidP="00557382">
            <w:pPr>
              <w:rPr>
                <w:sz w:val="14"/>
                <w:lang w:eastAsia="es-AR"/>
              </w:rPr>
            </w:pPr>
          </w:p>
        </w:tc>
      </w:tr>
      <w:tr w:rsidR="00557382" w:rsidRPr="00083AEA" w14:paraId="42F9AA7E" w14:textId="77777777" w:rsidTr="00D500E4">
        <w:trPr>
          <w:gridAfter w:val="7"/>
          <w:wAfter w:w="6311" w:type="dxa"/>
          <w:trHeight w:val="97"/>
        </w:trPr>
        <w:tc>
          <w:tcPr>
            <w:tcW w:w="3829" w:type="dxa"/>
            <w:shd w:val="clear" w:color="auto" w:fill="FFFFFF" w:themeFill="background1"/>
            <w:vAlign w:val="bottom"/>
            <w:hideMark/>
          </w:tcPr>
          <w:p w14:paraId="08A87E15" w14:textId="77777777" w:rsidR="00557382" w:rsidRPr="00083AEA" w:rsidRDefault="00557382" w:rsidP="00557382">
            <w:pPr>
              <w:rPr>
                <w:rFonts w:ascii="Arial" w:hAnsi="Arial" w:cs="Arial"/>
                <w:b/>
                <w:bCs/>
                <w:sz w:val="14"/>
                <w:szCs w:val="18"/>
                <w:lang w:eastAsia="es-AR"/>
              </w:rPr>
            </w:pPr>
            <w:r w:rsidRPr="00083AEA">
              <w:rPr>
                <w:rFonts w:ascii="Arial" w:hAnsi="Arial" w:cs="Arial"/>
                <w:b/>
                <w:bCs/>
                <w:sz w:val="14"/>
                <w:szCs w:val="18"/>
                <w:lang w:eastAsia="es-AR"/>
              </w:rPr>
              <w:t>P</w:t>
            </w:r>
            <w:r w:rsidRPr="00083AEA">
              <w:rPr>
                <w:rFonts w:ascii="Arial" w:hAnsi="Arial" w:cs="Arial"/>
                <w:b/>
                <w:bCs/>
                <w:sz w:val="14"/>
                <w:szCs w:val="18"/>
                <w:shd w:val="clear" w:color="auto" w:fill="FFFFFF" w:themeFill="background1"/>
                <w:lang w:eastAsia="es-AR"/>
              </w:rPr>
              <w:t>ASIVO</w:t>
            </w:r>
          </w:p>
        </w:tc>
      </w:tr>
      <w:tr w:rsidR="00B44D46" w:rsidRPr="00083AEA" w14:paraId="53DE782F" w14:textId="77777777" w:rsidTr="00D500E4">
        <w:trPr>
          <w:trHeight w:val="259"/>
        </w:trPr>
        <w:tc>
          <w:tcPr>
            <w:tcW w:w="3829" w:type="dxa"/>
            <w:tcBorders>
              <w:top w:val="nil"/>
            </w:tcBorders>
            <w:shd w:val="clear" w:color="auto" w:fill="auto"/>
            <w:vAlign w:val="bottom"/>
            <w:hideMark/>
          </w:tcPr>
          <w:p w14:paraId="7F0E8CD2" w14:textId="77777777"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Depósitos</w:t>
            </w:r>
          </w:p>
        </w:tc>
        <w:tc>
          <w:tcPr>
            <w:tcW w:w="1418" w:type="dxa"/>
            <w:tcBorders>
              <w:top w:val="nil"/>
            </w:tcBorders>
            <w:shd w:val="clear" w:color="auto" w:fill="auto"/>
          </w:tcPr>
          <w:p w14:paraId="6C3D4774" w14:textId="48F45098" w:rsidR="00557382" w:rsidRPr="00083AEA" w:rsidRDefault="00557382" w:rsidP="00557382">
            <w:pPr>
              <w:rPr>
                <w:rFonts w:ascii="Arial" w:hAnsi="Arial" w:cs="Arial"/>
                <w:sz w:val="14"/>
                <w:szCs w:val="18"/>
                <w:lang w:eastAsia="es-AR"/>
              </w:rPr>
            </w:pPr>
          </w:p>
        </w:tc>
        <w:tc>
          <w:tcPr>
            <w:tcW w:w="1133" w:type="dxa"/>
            <w:tcBorders>
              <w:top w:val="nil"/>
            </w:tcBorders>
            <w:shd w:val="clear" w:color="auto" w:fill="auto"/>
          </w:tcPr>
          <w:p w14:paraId="05EB0E07" w14:textId="5E0D8D58" w:rsidR="00557382" w:rsidRPr="00083AEA" w:rsidRDefault="00557382" w:rsidP="00557382">
            <w:pPr>
              <w:rPr>
                <w:rFonts w:ascii="Arial" w:hAnsi="Arial" w:cs="Arial"/>
                <w:sz w:val="14"/>
                <w:szCs w:val="18"/>
                <w:lang w:eastAsia="es-AR"/>
              </w:rPr>
            </w:pPr>
          </w:p>
        </w:tc>
        <w:tc>
          <w:tcPr>
            <w:tcW w:w="0" w:type="auto"/>
            <w:tcBorders>
              <w:top w:val="nil"/>
            </w:tcBorders>
            <w:shd w:val="clear" w:color="auto" w:fill="auto"/>
          </w:tcPr>
          <w:p w14:paraId="2585D0C7" w14:textId="1103E8FB" w:rsidR="00557382" w:rsidRPr="00083AEA" w:rsidRDefault="00557382" w:rsidP="00557382">
            <w:pPr>
              <w:jc w:val="right"/>
              <w:rPr>
                <w:rFonts w:ascii="Arial" w:hAnsi="Arial" w:cs="Arial"/>
                <w:sz w:val="14"/>
                <w:szCs w:val="18"/>
                <w:lang w:eastAsia="es-AR"/>
              </w:rPr>
            </w:pPr>
          </w:p>
        </w:tc>
        <w:tc>
          <w:tcPr>
            <w:tcW w:w="0" w:type="auto"/>
            <w:tcBorders>
              <w:top w:val="nil"/>
            </w:tcBorders>
            <w:shd w:val="clear" w:color="auto" w:fill="auto"/>
          </w:tcPr>
          <w:p w14:paraId="19A7188B" w14:textId="0F642C4B" w:rsidR="00557382" w:rsidRPr="00083AEA" w:rsidRDefault="00557382" w:rsidP="00557382">
            <w:pPr>
              <w:jc w:val="right"/>
              <w:rPr>
                <w:rFonts w:ascii="Arial" w:hAnsi="Arial" w:cs="Arial"/>
                <w:sz w:val="14"/>
                <w:szCs w:val="18"/>
                <w:lang w:eastAsia="es-AR"/>
              </w:rPr>
            </w:pPr>
          </w:p>
        </w:tc>
        <w:tc>
          <w:tcPr>
            <w:tcW w:w="0" w:type="auto"/>
            <w:tcBorders>
              <w:top w:val="nil"/>
            </w:tcBorders>
            <w:shd w:val="clear" w:color="auto" w:fill="auto"/>
          </w:tcPr>
          <w:p w14:paraId="3A655374" w14:textId="7152C533" w:rsidR="00557382" w:rsidRPr="00083AEA" w:rsidRDefault="00557382" w:rsidP="00557382">
            <w:pPr>
              <w:jc w:val="right"/>
              <w:rPr>
                <w:rFonts w:ascii="Arial" w:hAnsi="Arial" w:cs="Arial"/>
                <w:sz w:val="14"/>
                <w:szCs w:val="18"/>
                <w:lang w:eastAsia="es-AR"/>
              </w:rPr>
            </w:pPr>
          </w:p>
        </w:tc>
        <w:tc>
          <w:tcPr>
            <w:tcW w:w="0" w:type="auto"/>
            <w:tcBorders>
              <w:top w:val="nil"/>
            </w:tcBorders>
            <w:shd w:val="clear" w:color="auto" w:fill="auto"/>
          </w:tcPr>
          <w:p w14:paraId="5C3F6381" w14:textId="77E39833" w:rsidR="00557382" w:rsidRPr="00083AEA" w:rsidRDefault="00557382" w:rsidP="00557382">
            <w:pPr>
              <w:jc w:val="right"/>
              <w:rPr>
                <w:rFonts w:ascii="Arial" w:hAnsi="Arial" w:cs="Arial"/>
                <w:sz w:val="14"/>
                <w:szCs w:val="18"/>
                <w:lang w:eastAsia="es-AR"/>
              </w:rPr>
            </w:pPr>
          </w:p>
        </w:tc>
        <w:tc>
          <w:tcPr>
            <w:tcW w:w="1056" w:type="dxa"/>
            <w:tcBorders>
              <w:top w:val="nil"/>
            </w:tcBorders>
            <w:shd w:val="clear" w:color="auto" w:fill="auto"/>
            <w:hideMark/>
          </w:tcPr>
          <w:p w14:paraId="06D927F4" w14:textId="77777777"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 </w:t>
            </w:r>
          </w:p>
        </w:tc>
      </w:tr>
      <w:tr w:rsidR="00B44D46" w:rsidRPr="00083AEA" w14:paraId="74AE5C0C" w14:textId="77777777" w:rsidTr="00D500E4">
        <w:trPr>
          <w:trHeight w:val="259"/>
        </w:trPr>
        <w:tc>
          <w:tcPr>
            <w:tcW w:w="3829" w:type="dxa"/>
            <w:tcBorders>
              <w:top w:val="nil"/>
            </w:tcBorders>
            <w:shd w:val="clear" w:color="auto" w:fill="auto"/>
            <w:vAlign w:val="bottom"/>
            <w:hideMark/>
          </w:tcPr>
          <w:p w14:paraId="18B573ED" w14:textId="77777777" w:rsidR="00557382" w:rsidRPr="00083AEA" w:rsidRDefault="00557382" w:rsidP="00557382">
            <w:pPr>
              <w:ind w:firstLineChars="100" w:firstLine="140"/>
              <w:rPr>
                <w:rFonts w:ascii="Arial" w:hAnsi="Arial" w:cs="Arial"/>
                <w:sz w:val="14"/>
                <w:szCs w:val="18"/>
                <w:lang w:eastAsia="es-AR"/>
              </w:rPr>
            </w:pPr>
            <w:r w:rsidRPr="00083AEA">
              <w:rPr>
                <w:rFonts w:ascii="Arial" w:hAnsi="Arial" w:cs="Arial"/>
                <w:sz w:val="14"/>
                <w:szCs w:val="18"/>
                <w:lang w:eastAsia="es-AR"/>
              </w:rPr>
              <w:t>Sector Público no Financiero</w:t>
            </w:r>
          </w:p>
        </w:tc>
        <w:tc>
          <w:tcPr>
            <w:tcW w:w="1418" w:type="dxa"/>
            <w:tcBorders>
              <w:top w:val="nil"/>
            </w:tcBorders>
            <w:shd w:val="clear" w:color="auto" w:fill="auto"/>
            <w:vAlign w:val="bottom"/>
          </w:tcPr>
          <w:p w14:paraId="042CFE34" w14:textId="76B715FA" w:rsidR="00557382" w:rsidRPr="00083AEA" w:rsidRDefault="00F03057" w:rsidP="00557382">
            <w:pPr>
              <w:jc w:val="right"/>
              <w:rPr>
                <w:rFonts w:ascii="Arial" w:hAnsi="Arial" w:cs="Arial"/>
                <w:sz w:val="14"/>
                <w:szCs w:val="18"/>
                <w:lang w:eastAsia="es-AR"/>
              </w:rPr>
            </w:pPr>
            <w:r>
              <w:rPr>
                <w:rFonts w:ascii="Arial" w:hAnsi="Arial" w:cs="Arial"/>
                <w:sz w:val="14"/>
                <w:szCs w:val="18"/>
                <w:lang w:eastAsia="es-AR"/>
              </w:rPr>
              <w:t>1</w:t>
            </w:r>
            <w:r w:rsidR="00B901B6">
              <w:rPr>
                <w:rFonts w:ascii="Arial" w:hAnsi="Arial" w:cs="Arial"/>
                <w:sz w:val="14"/>
                <w:szCs w:val="18"/>
                <w:lang w:eastAsia="es-AR"/>
              </w:rPr>
              <w:t>.</w:t>
            </w:r>
            <w:r>
              <w:rPr>
                <w:rFonts w:ascii="Arial" w:hAnsi="Arial" w:cs="Arial"/>
                <w:sz w:val="14"/>
                <w:szCs w:val="18"/>
                <w:lang w:eastAsia="es-AR"/>
              </w:rPr>
              <w:t>447</w:t>
            </w:r>
            <w:r w:rsidR="00B901B6">
              <w:rPr>
                <w:rFonts w:ascii="Arial" w:hAnsi="Arial" w:cs="Arial"/>
                <w:sz w:val="14"/>
                <w:szCs w:val="18"/>
                <w:lang w:eastAsia="es-AR"/>
              </w:rPr>
              <w:t>.</w:t>
            </w:r>
            <w:r>
              <w:rPr>
                <w:rFonts w:ascii="Arial" w:hAnsi="Arial" w:cs="Arial"/>
                <w:sz w:val="14"/>
                <w:szCs w:val="18"/>
                <w:lang w:eastAsia="es-AR"/>
              </w:rPr>
              <w:t>405</w:t>
            </w:r>
          </w:p>
        </w:tc>
        <w:tc>
          <w:tcPr>
            <w:tcW w:w="1133" w:type="dxa"/>
            <w:tcBorders>
              <w:top w:val="nil"/>
            </w:tcBorders>
            <w:shd w:val="clear" w:color="auto" w:fill="auto"/>
            <w:vAlign w:val="bottom"/>
          </w:tcPr>
          <w:p w14:paraId="4D20BFB8" w14:textId="04E6E2AB" w:rsidR="00557382" w:rsidRPr="00083AEA" w:rsidRDefault="00F03057" w:rsidP="00557382">
            <w:pPr>
              <w:jc w:val="right"/>
              <w:rPr>
                <w:rFonts w:ascii="Arial" w:hAnsi="Arial" w:cs="Arial"/>
                <w:sz w:val="14"/>
                <w:szCs w:val="18"/>
                <w:lang w:eastAsia="es-AR"/>
              </w:rPr>
            </w:pPr>
            <w:r>
              <w:rPr>
                <w:rFonts w:ascii="Arial" w:hAnsi="Arial" w:cs="Arial"/>
                <w:sz w:val="14"/>
                <w:szCs w:val="18"/>
                <w:lang w:eastAsia="es-AR"/>
              </w:rPr>
              <w:t>1</w:t>
            </w:r>
            <w:r w:rsidR="00B901B6">
              <w:rPr>
                <w:rFonts w:ascii="Arial" w:hAnsi="Arial" w:cs="Arial"/>
                <w:sz w:val="14"/>
                <w:szCs w:val="18"/>
                <w:lang w:eastAsia="es-AR"/>
              </w:rPr>
              <w:t>.</w:t>
            </w:r>
            <w:r>
              <w:rPr>
                <w:rFonts w:ascii="Arial" w:hAnsi="Arial" w:cs="Arial"/>
                <w:sz w:val="14"/>
                <w:szCs w:val="18"/>
                <w:lang w:eastAsia="es-AR"/>
              </w:rPr>
              <w:t>447</w:t>
            </w:r>
            <w:r w:rsidR="00B901B6">
              <w:rPr>
                <w:rFonts w:ascii="Arial" w:hAnsi="Arial" w:cs="Arial"/>
                <w:sz w:val="14"/>
                <w:szCs w:val="18"/>
                <w:lang w:eastAsia="es-AR"/>
              </w:rPr>
              <w:t>.</w:t>
            </w:r>
            <w:r>
              <w:rPr>
                <w:rFonts w:ascii="Arial" w:hAnsi="Arial" w:cs="Arial"/>
                <w:sz w:val="14"/>
                <w:szCs w:val="18"/>
                <w:lang w:eastAsia="es-AR"/>
              </w:rPr>
              <w:t>405</w:t>
            </w:r>
          </w:p>
        </w:tc>
        <w:tc>
          <w:tcPr>
            <w:tcW w:w="0" w:type="auto"/>
            <w:tcBorders>
              <w:top w:val="nil"/>
            </w:tcBorders>
            <w:shd w:val="clear" w:color="auto" w:fill="auto"/>
            <w:vAlign w:val="bottom"/>
          </w:tcPr>
          <w:p w14:paraId="7C67E3D6" w14:textId="40F721B7"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1</w:t>
            </w:r>
            <w:r w:rsidR="00B901B6">
              <w:rPr>
                <w:rFonts w:ascii="Arial" w:hAnsi="Arial" w:cs="Arial"/>
                <w:sz w:val="14"/>
                <w:szCs w:val="18"/>
                <w:lang w:eastAsia="es-AR"/>
              </w:rPr>
              <w:t>.</w:t>
            </w:r>
            <w:r>
              <w:rPr>
                <w:rFonts w:ascii="Arial" w:hAnsi="Arial" w:cs="Arial"/>
                <w:sz w:val="14"/>
                <w:szCs w:val="18"/>
                <w:lang w:eastAsia="es-AR"/>
              </w:rPr>
              <w:t>447</w:t>
            </w:r>
            <w:r w:rsidR="00B901B6">
              <w:rPr>
                <w:rFonts w:ascii="Arial" w:hAnsi="Arial" w:cs="Arial"/>
                <w:sz w:val="14"/>
                <w:szCs w:val="18"/>
                <w:lang w:eastAsia="es-AR"/>
              </w:rPr>
              <w:t>.</w:t>
            </w:r>
            <w:r>
              <w:rPr>
                <w:rFonts w:ascii="Arial" w:hAnsi="Arial" w:cs="Arial"/>
                <w:sz w:val="14"/>
                <w:szCs w:val="18"/>
                <w:lang w:eastAsia="es-AR"/>
              </w:rPr>
              <w:t>323</w:t>
            </w:r>
          </w:p>
        </w:tc>
        <w:tc>
          <w:tcPr>
            <w:tcW w:w="0" w:type="auto"/>
            <w:tcBorders>
              <w:top w:val="nil"/>
            </w:tcBorders>
            <w:shd w:val="clear" w:color="auto" w:fill="auto"/>
            <w:vAlign w:val="bottom"/>
          </w:tcPr>
          <w:p w14:paraId="389C7B75" w14:textId="50D05D0D"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82</w:t>
            </w:r>
          </w:p>
        </w:tc>
        <w:tc>
          <w:tcPr>
            <w:tcW w:w="0" w:type="auto"/>
            <w:tcBorders>
              <w:top w:val="nil"/>
            </w:tcBorders>
            <w:shd w:val="clear" w:color="auto" w:fill="auto"/>
            <w:vAlign w:val="bottom"/>
          </w:tcPr>
          <w:p w14:paraId="663914F0" w14:textId="1825C94B" w:rsidR="00557382" w:rsidRPr="00083AEA" w:rsidRDefault="00B901B6"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36E5286F" w14:textId="7CA8077A" w:rsidR="00557382" w:rsidRPr="00083AEA" w:rsidRDefault="00B901B6"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104CFDB9" w14:textId="70E98CE2"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w:t>
            </w:r>
            <w:r w:rsidR="00557382" w:rsidRPr="00083AEA">
              <w:rPr>
                <w:rFonts w:ascii="Arial" w:hAnsi="Arial" w:cs="Arial"/>
                <w:sz w:val="14"/>
                <w:szCs w:val="18"/>
                <w:lang w:eastAsia="es-AR"/>
              </w:rPr>
              <w:t>.</w:t>
            </w:r>
            <w:r>
              <w:rPr>
                <w:rFonts w:ascii="Arial" w:hAnsi="Arial" w:cs="Arial"/>
                <w:sz w:val="14"/>
                <w:szCs w:val="18"/>
                <w:lang w:eastAsia="es-AR"/>
              </w:rPr>
              <w:t>340</w:t>
            </w:r>
            <w:r w:rsidR="00557382" w:rsidRPr="00083AEA">
              <w:rPr>
                <w:rFonts w:ascii="Arial" w:hAnsi="Arial" w:cs="Arial"/>
                <w:sz w:val="14"/>
                <w:szCs w:val="18"/>
                <w:lang w:eastAsia="es-AR"/>
              </w:rPr>
              <w:t>.</w:t>
            </w:r>
            <w:r>
              <w:rPr>
                <w:rFonts w:ascii="Arial" w:hAnsi="Arial" w:cs="Arial"/>
                <w:sz w:val="14"/>
                <w:szCs w:val="18"/>
                <w:lang w:eastAsia="es-AR"/>
              </w:rPr>
              <w:t>724</w:t>
            </w:r>
          </w:p>
        </w:tc>
      </w:tr>
      <w:tr w:rsidR="00B44D46" w:rsidRPr="00083AEA" w14:paraId="45EDA475" w14:textId="77777777" w:rsidTr="00D500E4">
        <w:trPr>
          <w:trHeight w:val="259"/>
        </w:trPr>
        <w:tc>
          <w:tcPr>
            <w:tcW w:w="3829" w:type="dxa"/>
            <w:tcBorders>
              <w:top w:val="nil"/>
            </w:tcBorders>
            <w:shd w:val="clear" w:color="auto" w:fill="auto"/>
            <w:vAlign w:val="bottom"/>
            <w:hideMark/>
          </w:tcPr>
          <w:p w14:paraId="600E4140" w14:textId="77777777" w:rsidR="00557382" w:rsidRPr="00083AEA" w:rsidRDefault="00557382" w:rsidP="00557382">
            <w:pPr>
              <w:ind w:firstLineChars="100" w:firstLine="140"/>
              <w:rPr>
                <w:rFonts w:ascii="Arial" w:hAnsi="Arial" w:cs="Arial"/>
                <w:sz w:val="14"/>
                <w:szCs w:val="18"/>
                <w:lang w:eastAsia="es-AR"/>
              </w:rPr>
            </w:pPr>
            <w:r w:rsidRPr="00083AEA">
              <w:rPr>
                <w:rFonts w:ascii="Arial" w:hAnsi="Arial" w:cs="Arial"/>
                <w:sz w:val="14"/>
                <w:szCs w:val="18"/>
                <w:lang w:eastAsia="es-AR"/>
              </w:rPr>
              <w:t>Sector Financiero</w:t>
            </w:r>
          </w:p>
        </w:tc>
        <w:tc>
          <w:tcPr>
            <w:tcW w:w="1418" w:type="dxa"/>
            <w:tcBorders>
              <w:top w:val="nil"/>
            </w:tcBorders>
            <w:shd w:val="clear" w:color="auto" w:fill="auto"/>
            <w:vAlign w:val="bottom"/>
          </w:tcPr>
          <w:p w14:paraId="1DEA2F0F" w14:textId="2DBEA500"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2.335</w:t>
            </w:r>
          </w:p>
        </w:tc>
        <w:tc>
          <w:tcPr>
            <w:tcW w:w="1133" w:type="dxa"/>
            <w:tcBorders>
              <w:top w:val="nil"/>
            </w:tcBorders>
            <w:shd w:val="clear" w:color="auto" w:fill="auto"/>
            <w:vAlign w:val="bottom"/>
          </w:tcPr>
          <w:p w14:paraId="3C1C2120" w14:textId="0C4D46F8"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2.335</w:t>
            </w:r>
          </w:p>
        </w:tc>
        <w:tc>
          <w:tcPr>
            <w:tcW w:w="0" w:type="auto"/>
            <w:tcBorders>
              <w:top w:val="nil"/>
            </w:tcBorders>
            <w:shd w:val="clear" w:color="auto" w:fill="auto"/>
            <w:vAlign w:val="bottom"/>
          </w:tcPr>
          <w:p w14:paraId="1E2F97D4" w14:textId="5247E081"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2.335</w:t>
            </w:r>
          </w:p>
        </w:tc>
        <w:tc>
          <w:tcPr>
            <w:tcW w:w="0" w:type="auto"/>
            <w:tcBorders>
              <w:top w:val="nil"/>
            </w:tcBorders>
            <w:shd w:val="clear" w:color="auto" w:fill="auto"/>
            <w:vAlign w:val="bottom"/>
          </w:tcPr>
          <w:p w14:paraId="22E05345" w14:textId="5D876979" w:rsidR="00557382" w:rsidRPr="00083AEA" w:rsidRDefault="00B901B6"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12E73AD6" w14:textId="2EE6315B" w:rsidR="00557382" w:rsidRPr="00083AEA" w:rsidRDefault="00B901B6"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4BC8E322" w14:textId="50004733" w:rsidR="00557382" w:rsidRPr="00083AEA" w:rsidRDefault="00B901B6"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74BE5C73" w14:textId="2459E3ED"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9</w:t>
            </w:r>
            <w:r w:rsidR="00557382" w:rsidRPr="00083AEA">
              <w:rPr>
                <w:rFonts w:ascii="Arial" w:hAnsi="Arial" w:cs="Arial"/>
                <w:sz w:val="14"/>
                <w:szCs w:val="18"/>
                <w:lang w:eastAsia="es-AR"/>
              </w:rPr>
              <w:t>.</w:t>
            </w:r>
            <w:r>
              <w:rPr>
                <w:rFonts w:ascii="Arial" w:hAnsi="Arial" w:cs="Arial"/>
                <w:sz w:val="14"/>
                <w:szCs w:val="18"/>
                <w:lang w:eastAsia="es-AR"/>
              </w:rPr>
              <w:t>769</w:t>
            </w:r>
          </w:p>
        </w:tc>
      </w:tr>
      <w:tr w:rsidR="00B44D46" w:rsidRPr="00083AEA" w14:paraId="7094D7E3" w14:textId="77777777" w:rsidTr="00D500E4">
        <w:trPr>
          <w:trHeight w:val="259"/>
        </w:trPr>
        <w:tc>
          <w:tcPr>
            <w:tcW w:w="3829" w:type="dxa"/>
            <w:tcBorders>
              <w:top w:val="nil"/>
            </w:tcBorders>
            <w:shd w:val="clear" w:color="auto" w:fill="auto"/>
            <w:vAlign w:val="bottom"/>
            <w:hideMark/>
          </w:tcPr>
          <w:p w14:paraId="48CAFFEF" w14:textId="77777777" w:rsidR="00557382" w:rsidRPr="00083AEA" w:rsidRDefault="00557382" w:rsidP="00557382">
            <w:pPr>
              <w:ind w:firstLineChars="100" w:firstLine="140"/>
              <w:rPr>
                <w:rFonts w:ascii="Arial" w:hAnsi="Arial" w:cs="Arial"/>
                <w:sz w:val="14"/>
                <w:szCs w:val="18"/>
                <w:lang w:eastAsia="es-AR"/>
              </w:rPr>
            </w:pPr>
            <w:r w:rsidRPr="00083AEA">
              <w:rPr>
                <w:rFonts w:ascii="Arial" w:hAnsi="Arial" w:cs="Arial"/>
                <w:sz w:val="14"/>
                <w:szCs w:val="18"/>
                <w:lang w:eastAsia="es-AR"/>
              </w:rPr>
              <w:t>Sector Privado no Financiero y Residentes en el exterior</w:t>
            </w:r>
          </w:p>
        </w:tc>
        <w:tc>
          <w:tcPr>
            <w:tcW w:w="1418" w:type="dxa"/>
            <w:tcBorders>
              <w:top w:val="nil"/>
            </w:tcBorders>
            <w:shd w:val="clear" w:color="auto" w:fill="auto"/>
            <w:vAlign w:val="bottom"/>
          </w:tcPr>
          <w:p w14:paraId="2EC94F17" w14:textId="28A18B6D"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2</w:t>
            </w:r>
            <w:r w:rsidR="00B44D46">
              <w:rPr>
                <w:rFonts w:ascii="Arial" w:hAnsi="Arial" w:cs="Arial"/>
                <w:sz w:val="14"/>
                <w:szCs w:val="18"/>
                <w:lang w:eastAsia="es-AR"/>
              </w:rPr>
              <w:t>2</w:t>
            </w:r>
            <w:r>
              <w:rPr>
                <w:rFonts w:ascii="Arial" w:hAnsi="Arial" w:cs="Arial"/>
                <w:sz w:val="14"/>
                <w:szCs w:val="18"/>
                <w:lang w:eastAsia="es-AR"/>
              </w:rPr>
              <w:t>.</w:t>
            </w:r>
            <w:r w:rsidR="00B44D46">
              <w:rPr>
                <w:rFonts w:ascii="Arial" w:hAnsi="Arial" w:cs="Arial"/>
                <w:sz w:val="14"/>
                <w:szCs w:val="18"/>
                <w:lang w:eastAsia="es-AR"/>
              </w:rPr>
              <w:t>609</w:t>
            </w:r>
            <w:r>
              <w:rPr>
                <w:rFonts w:ascii="Arial" w:hAnsi="Arial" w:cs="Arial"/>
                <w:sz w:val="14"/>
                <w:szCs w:val="18"/>
                <w:lang w:eastAsia="es-AR"/>
              </w:rPr>
              <w:t>.</w:t>
            </w:r>
            <w:r w:rsidR="00B44D46">
              <w:rPr>
                <w:rFonts w:ascii="Arial" w:hAnsi="Arial" w:cs="Arial"/>
                <w:sz w:val="14"/>
                <w:szCs w:val="18"/>
                <w:lang w:eastAsia="es-AR"/>
              </w:rPr>
              <w:t>057</w:t>
            </w:r>
          </w:p>
        </w:tc>
        <w:tc>
          <w:tcPr>
            <w:tcW w:w="1133" w:type="dxa"/>
            <w:tcBorders>
              <w:top w:val="nil"/>
            </w:tcBorders>
            <w:shd w:val="clear" w:color="auto" w:fill="auto"/>
            <w:vAlign w:val="bottom"/>
          </w:tcPr>
          <w:p w14:paraId="7BEBE1F8" w14:textId="12CFD315"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22</w:t>
            </w:r>
            <w:r w:rsidR="003C10B0">
              <w:rPr>
                <w:rFonts w:ascii="Arial" w:hAnsi="Arial" w:cs="Arial"/>
                <w:sz w:val="14"/>
                <w:szCs w:val="18"/>
                <w:lang w:eastAsia="es-AR"/>
              </w:rPr>
              <w:t>.</w:t>
            </w:r>
            <w:r>
              <w:rPr>
                <w:rFonts w:ascii="Arial" w:hAnsi="Arial" w:cs="Arial"/>
                <w:sz w:val="14"/>
                <w:szCs w:val="18"/>
                <w:lang w:eastAsia="es-AR"/>
              </w:rPr>
              <w:t>609</w:t>
            </w:r>
            <w:r w:rsidR="003C10B0">
              <w:rPr>
                <w:rFonts w:ascii="Arial" w:hAnsi="Arial" w:cs="Arial"/>
                <w:sz w:val="14"/>
                <w:szCs w:val="18"/>
                <w:lang w:eastAsia="es-AR"/>
              </w:rPr>
              <w:t>.</w:t>
            </w:r>
            <w:r>
              <w:rPr>
                <w:rFonts w:ascii="Arial" w:hAnsi="Arial" w:cs="Arial"/>
                <w:sz w:val="14"/>
                <w:szCs w:val="18"/>
                <w:lang w:eastAsia="es-AR"/>
              </w:rPr>
              <w:t>057</w:t>
            </w:r>
          </w:p>
        </w:tc>
        <w:tc>
          <w:tcPr>
            <w:tcW w:w="0" w:type="auto"/>
            <w:tcBorders>
              <w:top w:val="nil"/>
            </w:tcBorders>
            <w:shd w:val="clear" w:color="auto" w:fill="auto"/>
            <w:vAlign w:val="bottom"/>
          </w:tcPr>
          <w:p w14:paraId="2348E546" w14:textId="39055C8D"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22</w:t>
            </w:r>
            <w:r w:rsidR="003C10B0">
              <w:rPr>
                <w:rFonts w:ascii="Arial" w:hAnsi="Arial" w:cs="Arial"/>
                <w:sz w:val="14"/>
                <w:szCs w:val="18"/>
                <w:lang w:eastAsia="es-AR"/>
              </w:rPr>
              <w:t>.</w:t>
            </w:r>
            <w:r>
              <w:rPr>
                <w:rFonts w:ascii="Arial" w:hAnsi="Arial" w:cs="Arial"/>
                <w:sz w:val="14"/>
                <w:szCs w:val="18"/>
                <w:lang w:eastAsia="es-AR"/>
              </w:rPr>
              <w:t>235</w:t>
            </w:r>
            <w:r w:rsidR="003C10B0">
              <w:rPr>
                <w:rFonts w:ascii="Arial" w:hAnsi="Arial" w:cs="Arial"/>
                <w:sz w:val="14"/>
                <w:szCs w:val="18"/>
                <w:lang w:eastAsia="es-AR"/>
              </w:rPr>
              <w:t>.</w:t>
            </w:r>
            <w:r>
              <w:rPr>
                <w:rFonts w:ascii="Arial" w:hAnsi="Arial" w:cs="Arial"/>
                <w:sz w:val="14"/>
                <w:szCs w:val="18"/>
                <w:lang w:eastAsia="es-AR"/>
              </w:rPr>
              <w:t>089</w:t>
            </w:r>
          </w:p>
        </w:tc>
        <w:tc>
          <w:tcPr>
            <w:tcW w:w="0" w:type="auto"/>
            <w:tcBorders>
              <w:top w:val="nil"/>
            </w:tcBorders>
            <w:shd w:val="clear" w:color="auto" w:fill="auto"/>
            <w:vAlign w:val="bottom"/>
          </w:tcPr>
          <w:p w14:paraId="3E9083C6" w14:textId="403AFD20"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373</w:t>
            </w:r>
            <w:r w:rsidR="003C10B0">
              <w:rPr>
                <w:rFonts w:ascii="Arial" w:hAnsi="Arial" w:cs="Arial"/>
                <w:sz w:val="14"/>
                <w:szCs w:val="18"/>
                <w:lang w:eastAsia="es-AR"/>
              </w:rPr>
              <w:t>.</w:t>
            </w:r>
            <w:r>
              <w:rPr>
                <w:rFonts w:ascii="Arial" w:hAnsi="Arial" w:cs="Arial"/>
                <w:sz w:val="14"/>
                <w:szCs w:val="18"/>
                <w:lang w:eastAsia="es-AR"/>
              </w:rPr>
              <w:t>968</w:t>
            </w:r>
          </w:p>
        </w:tc>
        <w:tc>
          <w:tcPr>
            <w:tcW w:w="0" w:type="auto"/>
            <w:tcBorders>
              <w:top w:val="nil"/>
            </w:tcBorders>
            <w:shd w:val="clear" w:color="auto" w:fill="auto"/>
            <w:vAlign w:val="bottom"/>
          </w:tcPr>
          <w:p w14:paraId="491C187F" w14:textId="367292A7"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5E4AA9C" w14:textId="6470E20A"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407200C8" w14:textId="283C36E9" w:rsidR="00557382" w:rsidRPr="00083AEA" w:rsidRDefault="00557382" w:rsidP="00557382">
            <w:pPr>
              <w:jc w:val="right"/>
              <w:rPr>
                <w:rFonts w:ascii="Arial" w:hAnsi="Arial" w:cs="Arial"/>
                <w:sz w:val="14"/>
                <w:szCs w:val="18"/>
                <w:lang w:eastAsia="es-AR"/>
              </w:rPr>
            </w:pPr>
            <w:r w:rsidRPr="00083AEA">
              <w:rPr>
                <w:rFonts w:ascii="Arial" w:hAnsi="Arial" w:cs="Arial"/>
                <w:sz w:val="14"/>
                <w:szCs w:val="18"/>
                <w:lang w:eastAsia="es-AR"/>
              </w:rPr>
              <w:t>2</w:t>
            </w:r>
            <w:r w:rsidR="00B44D46">
              <w:rPr>
                <w:rFonts w:ascii="Arial" w:hAnsi="Arial" w:cs="Arial"/>
                <w:sz w:val="14"/>
                <w:szCs w:val="18"/>
                <w:lang w:eastAsia="es-AR"/>
              </w:rPr>
              <w:t>4</w:t>
            </w:r>
            <w:r w:rsidRPr="00083AEA">
              <w:rPr>
                <w:rFonts w:ascii="Arial" w:hAnsi="Arial" w:cs="Arial"/>
                <w:sz w:val="14"/>
                <w:szCs w:val="18"/>
                <w:lang w:eastAsia="es-AR"/>
              </w:rPr>
              <w:t>.</w:t>
            </w:r>
            <w:r w:rsidR="00B44D46">
              <w:rPr>
                <w:rFonts w:ascii="Arial" w:hAnsi="Arial" w:cs="Arial"/>
                <w:sz w:val="14"/>
                <w:szCs w:val="18"/>
                <w:lang w:eastAsia="es-AR"/>
              </w:rPr>
              <w:t>305</w:t>
            </w:r>
            <w:r w:rsidRPr="00083AEA">
              <w:rPr>
                <w:rFonts w:ascii="Arial" w:hAnsi="Arial" w:cs="Arial"/>
                <w:sz w:val="14"/>
                <w:szCs w:val="18"/>
                <w:lang w:eastAsia="es-AR"/>
              </w:rPr>
              <w:t>.</w:t>
            </w:r>
            <w:r w:rsidR="00B44D46">
              <w:rPr>
                <w:rFonts w:ascii="Arial" w:hAnsi="Arial" w:cs="Arial"/>
                <w:sz w:val="14"/>
                <w:szCs w:val="18"/>
                <w:lang w:eastAsia="es-AR"/>
              </w:rPr>
              <w:t>911</w:t>
            </w:r>
          </w:p>
        </w:tc>
      </w:tr>
      <w:tr w:rsidR="00B44D46" w:rsidRPr="00083AEA" w14:paraId="616A60C3" w14:textId="77777777" w:rsidTr="00D500E4">
        <w:trPr>
          <w:trHeight w:val="259"/>
        </w:trPr>
        <w:tc>
          <w:tcPr>
            <w:tcW w:w="3829" w:type="dxa"/>
            <w:tcBorders>
              <w:top w:val="nil"/>
            </w:tcBorders>
            <w:shd w:val="clear" w:color="auto" w:fill="auto"/>
            <w:vAlign w:val="bottom"/>
            <w:hideMark/>
          </w:tcPr>
          <w:p w14:paraId="192B1A80" w14:textId="77777777"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Pasivos a valor razonable con cambios en resultados</w:t>
            </w:r>
          </w:p>
        </w:tc>
        <w:tc>
          <w:tcPr>
            <w:tcW w:w="1418" w:type="dxa"/>
            <w:tcBorders>
              <w:top w:val="nil"/>
            </w:tcBorders>
            <w:shd w:val="clear" w:color="auto" w:fill="auto"/>
            <w:vAlign w:val="bottom"/>
          </w:tcPr>
          <w:p w14:paraId="25A45DDE" w14:textId="2C169BE8"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83.659</w:t>
            </w:r>
          </w:p>
        </w:tc>
        <w:tc>
          <w:tcPr>
            <w:tcW w:w="1133" w:type="dxa"/>
            <w:tcBorders>
              <w:top w:val="nil"/>
            </w:tcBorders>
            <w:shd w:val="clear" w:color="auto" w:fill="auto"/>
            <w:vAlign w:val="bottom"/>
          </w:tcPr>
          <w:p w14:paraId="2DB1DE6C" w14:textId="6B8C11EF"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83.659</w:t>
            </w:r>
          </w:p>
        </w:tc>
        <w:tc>
          <w:tcPr>
            <w:tcW w:w="0" w:type="auto"/>
            <w:tcBorders>
              <w:top w:val="nil"/>
            </w:tcBorders>
            <w:shd w:val="clear" w:color="auto" w:fill="auto"/>
            <w:vAlign w:val="bottom"/>
          </w:tcPr>
          <w:p w14:paraId="1BAEA7BC" w14:textId="657C5DDC"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83.659</w:t>
            </w:r>
          </w:p>
        </w:tc>
        <w:tc>
          <w:tcPr>
            <w:tcW w:w="0" w:type="auto"/>
            <w:tcBorders>
              <w:top w:val="nil"/>
            </w:tcBorders>
            <w:shd w:val="clear" w:color="auto" w:fill="auto"/>
            <w:vAlign w:val="bottom"/>
          </w:tcPr>
          <w:p w14:paraId="16658A40" w14:textId="6C2E73DF" w:rsidR="00557382" w:rsidRPr="00083AEA" w:rsidRDefault="00A94B83"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0758082" w14:textId="4D20233A" w:rsidR="00557382" w:rsidRPr="00083AEA" w:rsidRDefault="00A94B83"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46CFCB1A" w14:textId="64F45397" w:rsidR="00557382" w:rsidRPr="00083AEA" w:rsidRDefault="00A94B83"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2CAF700D" w14:textId="3AA744E6"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w:t>
            </w:r>
          </w:p>
        </w:tc>
      </w:tr>
      <w:tr w:rsidR="00B44D46" w:rsidRPr="00083AEA" w14:paraId="68CC1DB6" w14:textId="77777777" w:rsidTr="00D500E4">
        <w:trPr>
          <w:trHeight w:val="259"/>
        </w:trPr>
        <w:tc>
          <w:tcPr>
            <w:tcW w:w="3829" w:type="dxa"/>
            <w:tcBorders>
              <w:top w:val="nil"/>
            </w:tcBorders>
            <w:shd w:val="clear" w:color="auto" w:fill="auto"/>
            <w:vAlign w:val="bottom"/>
            <w:hideMark/>
          </w:tcPr>
          <w:p w14:paraId="5C209B37" w14:textId="47489A03"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Otros pasivos financieros</w:t>
            </w:r>
          </w:p>
        </w:tc>
        <w:tc>
          <w:tcPr>
            <w:tcW w:w="1418" w:type="dxa"/>
            <w:tcBorders>
              <w:top w:val="nil"/>
            </w:tcBorders>
            <w:shd w:val="clear" w:color="auto" w:fill="auto"/>
            <w:vAlign w:val="bottom"/>
          </w:tcPr>
          <w:p w14:paraId="69EF726E" w14:textId="0D5C7368"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2.</w:t>
            </w:r>
            <w:r w:rsidR="00B44D46">
              <w:rPr>
                <w:rFonts w:ascii="Arial" w:hAnsi="Arial" w:cs="Arial"/>
                <w:sz w:val="14"/>
                <w:szCs w:val="18"/>
                <w:lang w:eastAsia="es-AR"/>
              </w:rPr>
              <w:t>193</w:t>
            </w:r>
            <w:r>
              <w:rPr>
                <w:rFonts w:ascii="Arial" w:hAnsi="Arial" w:cs="Arial"/>
                <w:sz w:val="14"/>
                <w:szCs w:val="18"/>
                <w:lang w:eastAsia="es-AR"/>
              </w:rPr>
              <w:t>.</w:t>
            </w:r>
            <w:r w:rsidR="00B44D46">
              <w:rPr>
                <w:rFonts w:ascii="Arial" w:hAnsi="Arial" w:cs="Arial"/>
                <w:sz w:val="14"/>
                <w:szCs w:val="18"/>
                <w:lang w:eastAsia="es-AR"/>
              </w:rPr>
              <w:t>366</w:t>
            </w:r>
          </w:p>
        </w:tc>
        <w:tc>
          <w:tcPr>
            <w:tcW w:w="1133" w:type="dxa"/>
            <w:tcBorders>
              <w:top w:val="nil"/>
            </w:tcBorders>
            <w:shd w:val="clear" w:color="auto" w:fill="auto"/>
            <w:vAlign w:val="bottom"/>
          </w:tcPr>
          <w:p w14:paraId="2205E3EB" w14:textId="6B052DBF"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2.</w:t>
            </w:r>
            <w:r w:rsidR="00B44D46">
              <w:rPr>
                <w:rFonts w:ascii="Arial" w:hAnsi="Arial" w:cs="Arial"/>
                <w:sz w:val="14"/>
                <w:szCs w:val="18"/>
                <w:lang w:eastAsia="es-AR"/>
              </w:rPr>
              <w:t>193</w:t>
            </w:r>
            <w:r>
              <w:rPr>
                <w:rFonts w:ascii="Arial" w:hAnsi="Arial" w:cs="Arial"/>
                <w:sz w:val="14"/>
                <w:szCs w:val="18"/>
                <w:lang w:eastAsia="es-AR"/>
              </w:rPr>
              <w:t>.36</w:t>
            </w:r>
            <w:r w:rsidR="00B44D46">
              <w:rPr>
                <w:rFonts w:ascii="Arial" w:hAnsi="Arial" w:cs="Arial"/>
                <w:sz w:val="14"/>
                <w:szCs w:val="18"/>
                <w:lang w:eastAsia="es-AR"/>
              </w:rPr>
              <w:t>6</w:t>
            </w:r>
          </w:p>
        </w:tc>
        <w:tc>
          <w:tcPr>
            <w:tcW w:w="0" w:type="auto"/>
            <w:tcBorders>
              <w:top w:val="nil"/>
            </w:tcBorders>
            <w:shd w:val="clear" w:color="auto" w:fill="auto"/>
            <w:vAlign w:val="bottom"/>
          </w:tcPr>
          <w:p w14:paraId="57056ECF" w14:textId="2E947FC7" w:rsidR="00557382" w:rsidRPr="00083AEA" w:rsidRDefault="00B93529" w:rsidP="00557382">
            <w:pPr>
              <w:jc w:val="right"/>
              <w:rPr>
                <w:rFonts w:ascii="Arial" w:hAnsi="Arial" w:cs="Arial"/>
                <w:sz w:val="14"/>
                <w:szCs w:val="18"/>
                <w:lang w:eastAsia="es-AR"/>
              </w:rPr>
            </w:pPr>
            <w:r>
              <w:rPr>
                <w:rFonts w:ascii="Arial" w:hAnsi="Arial" w:cs="Arial"/>
                <w:sz w:val="14"/>
                <w:szCs w:val="18"/>
                <w:lang w:eastAsia="es-AR"/>
              </w:rPr>
              <w:t>2.062.555</w:t>
            </w:r>
          </w:p>
        </w:tc>
        <w:tc>
          <w:tcPr>
            <w:tcW w:w="0" w:type="auto"/>
            <w:tcBorders>
              <w:top w:val="nil"/>
            </w:tcBorders>
            <w:shd w:val="clear" w:color="auto" w:fill="auto"/>
            <w:vAlign w:val="bottom"/>
          </w:tcPr>
          <w:p w14:paraId="0678DD22" w14:textId="492F369F"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1</w:t>
            </w:r>
            <w:r w:rsidR="00B44D46">
              <w:rPr>
                <w:rFonts w:ascii="Arial" w:hAnsi="Arial" w:cs="Arial"/>
                <w:sz w:val="14"/>
                <w:szCs w:val="18"/>
                <w:lang w:eastAsia="es-AR"/>
              </w:rPr>
              <w:t>26</w:t>
            </w:r>
            <w:r>
              <w:rPr>
                <w:rFonts w:ascii="Arial" w:hAnsi="Arial" w:cs="Arial"/>
                <w:sz w:val="14"/>
                <w:szCs w:val="18"/>
                <w:lang w:eastAsia="es-AR"/>
              </w:rPr>
              <w:t>.</w:t>
            </w:r>
            <w:r w:rsidR="00B44D46">
              <w:rPr>
                <w:rFonts w:ascii="Arial" w:hAnsi="Arial" w:cs="Arial"/>
                <w:sz w:val="14"/>
                <w:szCs w:val="18"/>
                <w:lang w:eastAsia="es-AR"/>
              </w:rPr>
              <w:t>746</w:t>
            </w:r>
          </w:p>
        </w:tc>
        <w:tc>
          <w:tcPr>
            <w:tcW w:w="0" w:type="auto"/>
            <w:tcBorders>
              <w:top w:val="nil"/>
            </w:tcBorders>
            <w:shd w:val="clear" w:color="auto" w:fill="auto"/>
            <w:vAlign w:val="bottom"/>
          </w:tcPr>
          <w:p w14:paraId="65C82456" w14:textId="3315A78F"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35</w:t>
            </w:r>
          </w:p>
        </w:tc>
        <w:tc>
          <w:tcPr>
            <w:tcW w:w="0" w:type="auto"/>
            <w:tcBorders>
              <w:top w:val="nil"/>
            </w:tcBorders>
            <w:shd w:val="clear" w:color="auto" w:fill="auto"/>
            <w:vAlign w:val="bottom"/>
          </w:tcPr>
          <w:p w14:paraId="4A26DFEB" w14:textId="2DA18CBF"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4</w:t>
            </w:r>
            <w:r w:rsidR="003C10B0">
              <w:rPr>
                <w:rFonts w:ascii="Arial" w:hAnsi="Arial" w:cs="Arial"/>
                <w:sz w:val="14"/>
                <w:szCs w:val="18"/>
                <w:lang w:eastAsia="es-AR"/>
              </w:rPr>
              <w:t>.</w:t>
            </w:r>
            <w:r>
              <w:rPr>
                <w:rFonts w:ascii="Arial" w:hAnsi="Arial" w:cs="Arial"/>
                <w:sz w:val="14"/>
                <w:szCs w:val="18"/>
                <w:lang w:eastAsia="es-AR"/>
              </w:rPr>
              <w:t>030</w:t>
            </w:r>
          </w:p>
        </w:tc>
        <w:tc>
          <w:tcPr>
            <w:tcW w:w="1056" w:type="dxa"/>
            <w:tcBorders>
              <w:top w:val="nil"/>
            </w:tcBorders>
            <w:shd w:val="clear" w:color="auto" w:fill="auto"/>
            <w:vAlign w:val="bottom"/>
            <w:hideMark/>
          </w:tcPr>
          <w:p w14:paraId="50690AB2" w14:textId="62AF3465"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2.196</w:t>
            </w:r>
            <w:r w:rsidR="00557382" w:rsidRPr="00083AEA">
              <w:rPr>
                <w:rFonts w:ascii="Arial" w:hAnsi="Arial" w:cs="Arial"/>
                <w:sz w:val="14"/>
                <w:szCs w:val="18"/>
                <w:lang w:eastAsia="es-AR"/>
              </w:rPr>
              <w:t>.</w:t>
            </w:r>
            <w:r>
              <w:rPr>
                <w:rFonts w:ascii="Arial" w:hAnsi="Arial" w:cs="Arial"/>
                <w:sz w:val="14"/>
                <w:szCs w:val="18"/>
                <w:lang w:eastAsia="es-AR"/>
              </w:rPr>
              <w:t>682</w:t>
            </w:r>
          </w:p>
        </w:tc>
      </w:tr>
      <w:tr w:rsidR="00B44D46" w:rsidRPr="00083AEA" w14:paraId="20ACB8A2" w14:textId="77777777" w:rsidTr="00D500E4">
        <w:trPr>
          <w:trHeight w:val="313"/>
        </w:trPr>
        <w:tc>
          <w:tcPr>
            <w:tcW w:w="3829" w:type="dxa"/>
            <w:tcBorders>
              <w:top w:val="nil"/>
            </w:tcBorders>
            <w:shd w:val="clear" w:color="auto" w:fill="auto"/>
            <w:vAlign w:val="bottom"/>
            <w:hideMark/>
          </w:tcPr>
          <w:p w14:paraId="799CC128" w14:textId="77777777"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Financiaciones recibidas del BCRA y otras instituciones financieras</w:t>
            </w:r>
          </w:p>
        </w:tc>
        <w:tc>
          <w:tcPr>
            <w:tcW w:w="1418" w:type="dxa"/>
            <w:tcBorders>
              <w:top w:val="nil"/>
            </w:tcBorders>
            <w:shd w:val="clear" w:color="auto" w:fill="auto"/>
            <w:vAlign w:val="bottom"/>
          </w:tcPr>
          <w:p w14:paraId="0DAB06E8" w14:textId="13A5D46A"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7</w:t>
            </w:r>
            <w:r w:rsidR="003C10B0">
              <w:rPr>
                <w:rFonts w:ascii="Arial" w:hAnsi="Arial" w:cs="Arial"/>
                <w:sz w:val="14"/>
                <w:szCs w:val="18"/>
                <w:lang w:eastAsia="es-AR"/>
              </w:rPr>
              <w:t>.</w:t>
            </w:r>
            <w:r>
              <w:rPr>
                <w:rFonts w:ascii="Arial" w:hAnsi="Arial" w:cs="Arial"/>
                <w:sz w:val="14"/>
                <w:szCs w:val="18"/>
                <w:lang w:eastAsia="es-AR"/>
              </w:rPr>
              <w:t>199</w:t>
            </w:r>
            <w:r w:rsidR="003C10B0">
              <w:rPr>
                <w:rFonts w:ascii="Arial" w:hAnsi="Arial" w:cs="Arial"/>
                <w:sz w:val="14"/>
                <w:szCs w:val="18"/>
                <w:lang w:eastAsia="es-AR"/>
              </w:rPr>
              <w:t>.</w:t>
            </w:r>
            <w:r>
              <w:rPr>
                <w:rFonts w:ascii="Arial" w:hAnsi="Arial" w:cs="Arial"/>
                <w:sz w:val="14"/>
                <w:szCs w:val="18"/>
                <w:lang w:eastAsia="es-AR"/>
              </w:rPr>
              <w:t>182</w:t>
            </w:r>
          </w:p>
        </w:tc>
        <w:tc>
          <w:tcPr>
            <w:tcW w:w="1133" w:type="dxa"/>
            <w:tcBorders>
              <w:top w:val="nil"/>
            </w:tcBorders>
            <w:shd w:val="clear" w:color="auto" w:fill="auto"/>
            <w:vAlign w:val="bottom"/>
          </w:tcPr>
          <w:p w14:paraId="7534B0FE" w14:textId="6FBD07A2"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7.199</w:t>
            </w:r>
            <w:r w:rsidR="003C10B0">
              <w:rPr>
                <w:rFonts w:ascii="Arial" w:hAnsi="Arial" w:cs="Arial"/>
                <w:sz w:val="14"/>
                <w:szCs w:val="18"/>
                <w:lang w:eastAsia="es-AR"/>
              </w:rPr>
              <w:t>.</w:t>
            </w:r>
            <w:r>
              <w:rPr>
                <w:rFonts w:ascii="Arial" w:hAnsi="Arial" w:cs="Arial"/>
                <w:sz w:val="14"/>
                <w:szCs w:val="18"/>
                <w:lang w:eastAsia="es-AR"/>
              </w:rPr>
              <w:t>182</w:t>
            </w:r>
          </w:p>
        </w:tc>
        <w:tc>
          <w:tcPr>
            <w:tcW w:w="0" w:type="auto"/>
            <w:tcBorders>
              <w:top w:val="nil"/>
            </w:tcBorders>
            <w:shd w:val="clear" w:color="auto" w:fill="auto"/>
            <w:vAlign w:val="bottom"/>
          </w:tcPr>
          <w:p w14:paraId="017701C1" w14:textId="5AAAD332"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7</w:t>
            </w:r>
            <w:r w:rsidR="003C10B0">
              <w:rPr>
                <w:rFonts w:ascii="Arial" w:hAnsi="Arial" w:cs="Arial"/>
                <w:sz w:val="14"/>
                <w:szCs w:val="18"/>
                <w:lang w:eastAsia="es-AR"/>
              </w:rPr>
              <w:t>.</w:t>
            </w:r>
            <w:r>
              <w:rPr>
                <w:rFonts w:ascii="Arial" w:hAnsi="Arial" w:cs="Arial"/>
                <w:sz w:val="14"/>
                <w:szCs w:val="18"/>
                <w:lang w:eastAsia="es-AR"/>
              </w:rPr>
              <w:t>199</w:t>
            </w:r>
            <w:r w:rsidR="003C10B0">
              <w:rPr>
                <w:rFonts w:ascii="Arial" w:hAnsi="Arial" w:cs="Arial"/>
                <w:sz w:val="14"/>
                <w:szCs w:val="18"/>
                <w:lang w:eastAsia="es-AR"/>
              </w:rPr>
              <w:t>.1</w:t>
            </w:r>
            <w:r>
              <w:rPr>
                <w:rFonts w:ascii="Arial" w:hAnsi="Arial" w:cs="Arial"/>
                <w:sz w:val="14"/>
                <w:szCs w:val="18"/>
                <w:lang w:eastAsia="es-AR"/>
              </w:rPr>
              <w:t>82</w:t>
            </w:r>
          </w:p>
        </w:tc>
        <w:tc>
          <w:tcPr>
            <w:tcW w:w="0" w:type="auto"/>
            <w:tcBorders>
              <w:top w:val="nil"/>
            </w:tcBorders>
            <w:shd w:val="clear" w:color="auto" w:fill="auto"/>
            <w:vAlign w:val="bottom"/>
          </w:tcPr>
          <w:p w14:paraId="4D8AF7CB" w14:textId="5272B4D7"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675106CE" w14:textId="03A9545A"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2A7EECE5" w14:textId="1215B5BF"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6252E1C9" w14:textId="6ACFFA1E"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8</w:t>
            </w:r>
            <w:r w:rsidR="00557382" w:rsidRPr="00083AEA">
              <w:rPr>
                <w:rFonts w:ascii="Arial" w:hAnsi="Arial" w:cs="Arial"/>
                <w:sz w:val="14"/>
                <w:szCs w:val="18"/>
                <w:lang w:eastAsia="es-AR"/>
              </w:rPr>
              <w:t>.</w:t>
            </w:r>
            <w:r>
              <w:rPr>
                <w:rFonts w:ascii="Arial" w:hAnsi="Arial" w:cs="Arial"/>
                <w:sz w:val="14"/>
                <w:szCs w:val="18"/>
                <w:lang w:eastAsia="es-AR"/>
              </w:rPr>
              <w:t>705</w:t>
            </w:r>
            <w:r w:rsidR="00557382" w:rsidRPr="00083AEA">
              <w:rPr>
                <w:rFonts w:ascii="Arial" w:hAnsi="Arial" w:cs="Arial"/>
                <w:sz w:val="14"/>
                <w:szCs w:val="18"/>
                <w:lang w:eastAsia="es-AR"/>
              </w:rPr>
              <w:t>.</w:t>
            </w:r>
            <w:r>
              <w:rPr>
                <w:rFonts w:ascii="Arial" w:hAnsi="Arial" w:cs="Arial"/>
                <w:sz w:val="14"/>
                <w:szCs w:val="18"/>
                <w:lang w:eastAsia="es-AR"/>
              </w:rPr>
              <w:t>358</w:t>
            </w:r>
          </w:p>
        </w:tc>
      </w:tr>
      <w:tr w:rsidR="00B44D46" w:rsidRPr="00083AEA" w14:paraId="0776F916" w14:textId="77777777" w:rsidTr="00D500E4">
        <w:trPr>
          <w:trHeight w:val="259"/>
        </w:trPr>
        <w:tc>
          <w:tcPr>
            <w:tcW w:w="3829" w:type="dxa"/>
            <w:tcBorders>
              <w:top w:val="nil"/>
            </w:tcBorders>
            <w:shd w:val="clear" w:color="auto" w:fill="auto"/>
            <w:vAlign w:val="bottom"/>
            <w:hideMark/>
          </w:tcPr>
          <w:p w14:paraId="183A5375" w14:textId="77777777"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Obligaciones negociables subordinadas</w:t>
            </w:r>
          </w:p>
        </w:tc>
        <w:tc>
          <w:tcPr>
            <w:tcW w:w="1418" w:type="dxa"/>
            <w:tcBorders>
              <w:top w:val="nil"/>
            </w:tcBorders>
            <w:shd w:val="clear" w:color="auto" w:fill="auto"/>
            <w:vAlign w:val="bottom"/>
          </w:tcPr>
          <w:p w14:paraId="10A05DD0" w14:textId="0028AF76"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1</w:t>
            </w:r>
            <w:r w:rsidR="003C10B0">
              <w:rPr>
                <w:rFonts w:ascii="Arial" w:hAnsi="Arial" w:cs="Arial"/>
                <w:sz w:val="14"/>
                <w:szCs w:val="18"/>
                <w:lang w:eastAsia="es-AR"/>
              </w:rPr>
              <w:t>.</w:t>
            </w:r>
            <w:r>
              <w:rPr>
                <w:rFonts w:ascii="Arial" w:hAnsi="Arial" w:cs="Arial"/>
                <w:sz w:val="14"/>
                <w:szCs w:val="18"/>
                <w:lang w:eastAsia="es-AR"/>
              </w:rPr>
              <w:t>911</w:t>
            </w:r>
            <w:r w:rsidR="003C10B0">
              <w:rPr>
                <w:rFonts w:ascii="Arial" w:hAnsi="Arial" w:cs="Arial"/>
                <w:sz w:val="14"/>
                <w:szCs w:val="18"/>
                <w:lang w:eastAsia="es-AR"/>
              </w:rPr>
              <w:t>.</w:t>
            </w:r>
            <w:r>
              <w:rPr>
                <w:rFonts w:ascii="Arial" w:hAnsi="Arial" w:cs="Arial"/>
                <w:sz w:val="14"/>
                <w:szCs w:val="18"/>
                <w:lang w:eastAsia="es-AR"/>
              </w:rPr>
              <w:t>456</w:t>
            </w:r>
          </w:p>
        </w:tc>
        <w:tc>
          <w:tcPr>
            <w:tcW w:w="1133" w:type="dxa"/>
            <w:tcBorders>
              <w:top w:val="nil"/>
            </w:tcBorders>
            <w:shd w:val="clear" w:color="auto" w:fill="auto"/>
            <w:vAlign w:val="bottom"/>
          </w:tcPr>
          <w:p w14:paraId="733BB1C7" w14:textId="6E8597D6"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1</w:t>
            </w:r>
            <w:r w:rsidR="003C10B0">
              <w:rPr>
                <w:rFonts w:ascii="Arial" w:hAnsi="Arial" w:cs="Arial"/>
                <w:sz w:val="14"/>
                <w:szCs w:val="18"/>
                <w:lang w:eastAsia="es-AR"/>
              </w:rPr>
              <w:t>.</w:t>
            </w:r>
            <w:r>
              <w:rPr>
                <w:rFonts w:ascii="Arial" w:hAnsi="Arial" w:cs="Arial"/>
                <w:sz w:val="14"/>
                <w:szCs w:val="18"/>
                <w:lang w:eastAsia="es-AR"/>
              </w:rPr>
              <w:t>911</w:t>
            </w:r>
            <w:r w:rsidR="003C10B0">
              <w:rPr>
                <w:rFonts w:ascii="Arial" w:hAnsi="Arial" w:cs="Arial"/>
                <w:sz w:val="14"/>
                <w:szCs w:val="18"/>
                <w:lang w:eastAsia="es-AR"/>
              </w:rPr>
              <w:t>.</w:t>
            </w:r>
            <w:r>
              <w:rPr>
                <w:rFonts w:ascii="Arial" w:hAnsi="Arial" w:cs="Arial"/>
                <w:sz w:val="14"/>
                <w:szCs w:val="18"/>
                <w:lang w:eastAsia="es-AR"/>
              </w:rPr>
              <w:t>456</w:t>
            </w:r>
          </w:p>
        </w:tc>
        <w:tc>
          <w:tcPr>
            <w:tcW w:w="0" w:type="auto"/>
            <w:tcBorders>
              <w:top w:val="nil"/>
            </w:tcBorders>
            <w:shd w:val="clear" w:color="auto" w:fill="auto"/>
            <w:vAlign w:val="bottom"/>
          </w:tcPr>
          <w:p w14:paraId="5420087E" w14:textId="6C190A7B"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1</w:t>
            </w:r>
            <w:r w:rsidR="003C10B0">
              <w:rPr>
                <w:rFonts w:ascii="Arial" w:hAnsi="Arial" w:cs="Arial"/>
                <w:sz w:val="14"/>
                <w:szCs w:val="18"/>
                <w:lang w:eastAsia="es-AR"/>
              </w:rPr>
              <w:t>.</w:t>
            </w:r>
            <w:r>
              <w:rPr>
                <w:rFonts w:ascii="Arial" w:hAnsi="Arial" w:cs="Arial"/>
                <w:sz w:val="14"/>
                <w:szCs w:val="18"/>
                <w:lang w:eastAsia="es-AR"/>
              </w:rPr>
              <w:t>911</w:t>
            </w:r>
            <w:r w:rsidR="003C10B0">
              <w:rPr>
                <w:rFonts w:ascii="Arial" w:hAnsi="Arial" w:cs="Arial"/>
                <w:sz w:val="14"/>
                <w:szCs w:val="18"/>
                <w:lang w:eastAsia="es-AR"/>
              </w:rPr>
              <w:t>.</w:t>
            </w:r>
            <w:r>
              <w:rPr>
                <w:rFonts w:ascii="Arial" w:hAnsi="Arial" w:cs="Arial"/>
                <w:sz w:val="14"/>
                <w:szCs w:val="18"/>
                <w:lang w:eastAsia="es-AR"/>
              </w:rPr>
              <w:t>45</w:t>
            </w:r>
            <w:r w:rsidR="003C10B0">
              <w:rPr>
                <w:rFonts w:ascii="Arial" w:hAnsi="Arial" w:cs="Arial"/>
                <w:sz w:val="14"/>
                <w:szCs w:val="18"/>
                <w:lang w:eastAsia="es-AR"/>
              </w:rPr>
              <w:t>6</w:t>
            </w:r>
          </w:p>
        </w:tc>
        <w:tc>
          <w:tcPr>
            <w:tcW w:w="0" w:type="auto"/>
            <w:tcBorders>
              <w:top w:val="nil"/>
            </w:tcBorders>
            <w:shd w:val="clear" w:color="auto" w:fill="auto"/>
            <w:vAlign w:val="bottom"/>
          </w:tcPr>
          <w:p w14:paraId="6BF2A482" w14:textId="3EDBA731"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69E0E27" w14:textId="0BA9E915"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0891E2FC" w14:textId="105F7BC9"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5FBD97D7" w14:textId="3A9D06D5"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2</w:t>
            </w:r>
            <w:r w:rsidR="00557382" w:rsidRPr="00083AEA">
              <w:rPr>
                <w:rFonts w:ascii="Arial" w:hAnsi="Arial" w:cs="Arial"/>
                <w:sz w:val="14"/>
                <w:szCs w:val="18"/>
                <w:lang w:eastAsia="es-AR"/>
              </w:rPr>
              <w:t>.</w:t>
            </w:r>
            <w:r>
              <w:rPr>
                <w:rFonts w:ascii="Arial" w:hAnsi="Arial" w:cs="Arial"/>
                <w:sz w:val="14"/>
                <w:szCs w:val="18"/>
                <w:lang w:eastAsia="es-AR"/>
              </w:rPr>
              <w:t>285</w:t>
            </w:r>
            <w:r w:rsidR="00557382" w:rsidRPr="00083AEA">
              <w:rPr>
                <w:rFonts w:ascii="Arial" w:hAnsi="Arial" w:cs="Arial"/>
                <w:sz w:val="14"/>
                <w:szCs w:val="18"/>
                <w:lang w:eastAsia="es-AR"/>
              </w:rPr>
              <w:t>.</w:t>
            </w:r>
            <w:r>
              <w:rPr>
                <w:rFonts w:ascii="Arial" w:hAnsi="Arial" w:cs="Arial"/>
                <w:sz w:val="14"/>
                <w:szCs w:val="18"/>
                <w:lang w:eastAsia="es-AR"/>
              </w:rPr>
              <w:t>239</w:t>
            </w:r>
          </w:p>
        </w:tc>
      </w:tr>
      <w:tr w:rsidR="00B44D46" w:rsidRPr="00083AEA" w14:paraId="1150291E" w14:textId="77777777" w:rsidTr="00D500E4">
        <w:trPr>
          <w:trHeight w:val="259"/>
        </w:trPr>
        <w:tc>
          <w:tcPr>
            <w:tcW w:w="3829" w:type="dxa"/>
            <w:tcBorders>
              <w:top w:val="nil"/>
            </w:tcBorders>
            <w:shd w:val="clear" w:color="auto" w:fill="auto"/>
            <w:vAlign w:val="bottom"/>
            <w:hideMark/>
          </w:tcPr>
          <w:p w14:paraId="1697EFC2" w14:textId="77777777" w:rsidR="00557382" w:rsidRPr="00083AEA" w:rsidRDefault="00557382" w:rsidP="00557382">
            <w:pPr>
              <w:rPr>
                <w:rFonts w:ascii="Arial" w:hAnsi="Arial" w:cs="Arial"/>
                <w:sz w:val="14"/>
                <w:szCs w:val="18"/>
                <w:lang w:eastAsia="es-AR"/>
              </w:rPr>
            </w:pPr>
            <w:r w:rsidRPr="00083AEA">
              <w:rPr>
                <w:rFonts w:ascii="Arial" w:hAnsi="Arial" w:cs="Arial"/>
                <w:sz w:val="14"/>
                <w:szCs w:val="18"/>
                <w:lang w:eastAsia="es-AR"/>
              </w:rPr>
              <w:t>Otros pasivos no financieros</w:t>
            </w:r>
          </w:p>
        </w:tc>
        <w:tc>
          <w:tcPr>
            <w:tcW w:w="1418" w:type="dxa"/>
            <w:tcBorders>
              <w:top w:val="nil"/>
              <w:bottom w:val="single" w:sz="4" w:space="0" w:color="363639"/>
            </w:tcBorders>
            <w:shd w:val="clear" w:color="auto" w:fill="auto"/>
            <w:vAlign w:val="bottom"/>
          </w:tcPr>
          <w:p w14:paraId="5DD5974D" w14:textId="03BC0ECF"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55</w:t>
            </w:r>
            <w:r w:rsidR="003C10B0">
              <w:rPr>
                <w:rFonts w:ascii="Arial" w:hAnsi="Arial" w:cs="Arial"/>
                <w:sz w:val="14"/>
                <w:szCs w:val="18"/>
                <w:lang w:eastAsia="es-AR"/>
              </w:rPr>
              <w:t>.</w:t>
            </w:r>
            <w:r>
              <w:rPr>
                <w:rFonts w:ascii="Arial" w:hAnsi="Arial" w:cs="Arial"/>
                <w:sz w:val="14"/>
                <w:szCs w:val="18"/>
                <w:lang w:eastAsia="es-AR"/>
              </w:rPr>
              <w:t>097</w:t>
            </w:r>
          </w:p>
        </w:tc>
        <w:tc>
          <w:tcPr>
            <w:tcW w:w="1133" w:type="dxa"/>
            <w:tcBorders>
              <w:top w:val="nil"/>
              <w:bottom w:val="single" w:sz="4" w:space="0" w:color="363639"/>
            </w:tcBorders>
            <w:shd w:val="clear" w:color="auto" w:fill="auto"/>
            <w:vAlign w:val="bottom"/>
          </w:tcPr>
          <w:p w14:paraId="661A5D28" w14:textId="2FEAF483"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55</w:t>
            </w:r>
            <w:r w:rsidR="003C10B0">
              <w:rPr>
                <w:rFonts w:ascii="Arial" w:hAnsi="Arial" w:cs="Arial"/>
                <w:sz w:val="14"/>
                <w:szCs w:val="18"/>
                <w:lang w:eastAsia="es-AR"/>
              </w:rPr>
              <w:t>.</w:t>
            </w:r>
            <w:r>
              <w:rPr>
                <w:rFonts w:ascii="Arial" w:hAnsi="Arial" w:cs="Arial"/>
                <w:sz w:val="14"/>
                <w:szCs w:val="18"/>
                <w:lang w:eastAsia="es-AR"/>
              </w:rPr>
              <w:t>097</w:t>
            </w:r>
          </w:p>
        </w:tc>
        <w:tc>
          <w:tcPr>
            <w:tcW w:w="0" w:type="auto"/>
            <w:tcBorders>
              <w:top w:val="nil"/>
              <w:bottom w:val="single" w:sz="4" w:space="0" w:color="363639"/>
            </w:tcBorders>
            <w:shd w:val="clear" w:color="auto" w:fill="auto"/>
            <w:vAlign w:val="bottom"/>
          </w:tcPr>
          <w:p w14:paraId="1C74AEDC" w14:textId="22C8FA11"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55</w:t>
            </w:r>
            <w:r w:rsidR="003C10B0">
              <w:rPr>
                <w:rFonts w:ascii="Arial" w:hAnsi="Arial" w:cs="Arial"/>
                <w:sz w:val="14"/>
                <w:szCs w:val="18"/>
                <w:lang w:eastAsia="es-AR"/>
              </w:rPr>
              <w:t>.</w:t>
            </w:r>
            <w:r>
              <w:rPr>
                <w:rFonts w:ascii="Arial" w:hAnsi="Arial" w:cs="Arial"/>
                <w:sz w:val="14"/>
                <w:szCs w:val="18"/>
                <w:lang w:eastAsia="es-AR"/>
              </w:rPr>
              <w:t>097</w:t>
            </w:r>
          </w:p>
        </w:tc>
        <w:tc>
          <w:tcPr>
            <w:tcW w:w="0" w:type="auto"/>
            <w:tcBorders>
              <w:top w:val="nil"/>
              <w:bottom w:val="single" w:sz="4" w:space="0" w:color="363639"/>
            </w:tcBorders>
            <w:shd w:val="clear" w:color="auto" w:fill="auto"/>
            <w:vAlign w:val="bottom"/>
          </w:tcPr>
          <w:p w14:paraId="4364F3E8" w14:textId="12CE750C"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bottom w:val="single" w:sz="4" w:space="0" w:color="363639"/>
            </w:tcBorders>
            <w:shd w:val="clear" w:color="auto" w:fill="auto"/>
            <w:vAlign w:val="bottom"/>
          </w:tcPr>
          <w:p w14:paraId="12EDD7C9" w14:textId="0214D4DB"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bottom w:val="single" w:sz="4" w:space="0" w:color="363639"/>
            </w:tcBorders>
            <w:shd w:val="clear" w:color="auto" w:fill="auto"/>
            <w:vAlign w:val="bottom"/>
          </w:tcPr>
          <w:p w14:paraId="497BFEF4" w14:textId="7436764D" w:rsidR="00557382" w:rsidRPr="00083AEA" w:rsidRDefault="003C10B0" w:rsidP="00557382">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bottom w:val="single" w:sz="4" w:space="0" w:color="363639"/>
            </w:tcBorders>
            <w:shd w:val="clear" w:color="auto" w:fill="auto"/>
            <w:vAlign w:val="bottom"/>
            <w:hideMark/>
          </w:tcPr>
          <w:p w14:paraId="34F0B4AD" w14:textId="30E32545" w:rsidR="00557382" w:rsidRPr="00083AEA" w:rsidRDefault="00B44D46" w:rsidP="00557382">
            <w:pPr>
              <w:jc w:val="right"/>
              <w:rPr>
                <w:rFonts w:ascii="Arial" w:hAnsi="Arial" w:cs="Arial"/>
                <w:sz w:val="14"/>
                <w:szCs w:val="18"/>
                <w:lang w:eastAsia="es-AR"/>
              </w:rPr>
            </w:pPr>
            <w:r>
              <w:rPr>
                <w:rFonts w:ascii="Arial" w:hAnsi="Arial" w:cs="Arial"/>
                <w:sz w:val="14"/>
                <w:szCs w:val="18"/>
                <w:lang w:eastAsia="es-AR"/>
              </w:rPr>
              <w:t>92.</w:t>
            </w:r>
            <w:r w:rsidR="00557382" w:rsidRPr="00083AEA">
              <w:rPr>
                <w:rFonts w:ascii="Arial" w:hAnsi="Arial" w:cs="Arial"/>
                <w:sz w:val="14"/>
                <w:szCs w:val="18"/>
                <w:lang w:eastAsia="es-AR"/>
              </w:rPr>
              <w:t>5</w:t>
            </w:r>
            <w:r>
              <w:rPr>
                <w:rFonts w:ascii="Arial" w:hAnsi="Arial" w:cs="Arial"/>
                <w:sz w:val="14"/>
                <w:szCs w:val="18"/>
                <w:lang w:eastAsia="es-AR"/>
              </w:rPr>
              <w:t>80</w:t>
            </w:r>
          </w:p>
        </w:tc>
      </w:tr>
      <w:tr w:rsidR="00B44D46" w:rsidRPr="00083AEA" w14:paraId="6165955E" w14:textId="77777777" w:rsidTr="00D500E4">
        <w:trPr>
          <w:trHeight w:val="259"/>
        </w:trPr>
        <w:tc>
          <w:tcPr>
            <w:tcW w:w="3829" w:type="dxa"/>
            <w:shd w:val="clear" w:color="auto" w:fill="auto"/>
            <w:vAlign w:val="bottom"/>
            <w:hideMark/>
          </w:tcPr>
          <w:p w14:paraId="4B461653" w14:textId="77777777" w:rsidR="00557382" w:rsidRPr="00083AEA" w:rsidRDefault="00557382" w:rsidP="00557382">
            <w:pPr>
              <w:rPr>
                <w:rFonts w:ascii="Arial" w:hAnsi="Arial" w:cs="Arial"/>
                <w:b/>
                <w:bCs/>
                <w:sz w:val="14"/>
                <w:szCs w:val="18"/>
                <w:lang w:eastAsia="es-AR"/>
              </w:rPr>
            </w:pPr>
            <w:r w:rsidRPr="00083AEA">
              <w:rPr>
                <w:rFonts w:ascii="Arial" w:hAnsi="Arial" w:cs="Arial"/>
                <w:b/>
                <w:bCs/>
                <w:sz w:val="14"/>
                <w:szCs w:val="18"/>
                <w:lang w:eastAsia="es-AR"/>
              </w:rPr>
              <w:t>TOTAL PASIVO</w:t>
            </w:r>
          </w:p>
        </w:tc>
        <w:tc>
          <w:tcPr>
            <w:tcW w:w="1418" w:type="dxa"/>
            <w:tcBorders>
              <w:top w:val="single" w:sz="4" w:space="0" w:color="363639"/>
              <w:left w:val="nil"/>
              <w:bottom w:val="single" w:sz="4" w:space="0" w:color="363639"/>
            </w:tcBorders>
            <w:shd w:val="clear" w:color="auto" w:fill="auto"/>
            <w:vAlign w:val="bottom"/>
          </w:tcPr>
          <w:p w14:paraId="5AD3515B" w14:textId="0268AC2B" w:rsidR="00557382" w:rsidRPr="00083AEA" w:rsidRDefault="00B44D46" w:rsidP="00557382">
            <w:pPr>
              <w:jc w:val="right"/>
              <w:rPr>
                <w:rFonts w:ascii="Arial" w:hAnsi="Arial" w:cs="Arial"/>
                <w:b/>
                <w:bCs/>
                <w:sz w:val="14"/>
                <w:szCs w:val="18"/>
                <w:lang w:eastAsia="es-AR"/>
              </w:rPr>
            </w:pPr>
            <w:r>
              <w:rPr>
                <w:rFonts w:ascii="Arial" w:hAnsi="Arial" w:cs="Arial"/>
                <w:b/>
                <w:bCs/>
                <w:sz w:val="14"/>
                <w:szCs w:val="18"/>
                <w:lang w:eastAsia="es-AR"/>
              </w:rPr>
              <w:t>35</w:t>
            </w:r>
            <w:r w:rsidR="003C10B0">
              <w:rPr>
                <w:rFonts w:ascii="Arial" w:hAnsi="Arial" w:cs="Arial"/>
                <w:b/>
                <w:bCs/>
                <w:sz w:val="14"/>
                <w:szCs w:val="18"/>
                <w:lang w:eastAsia="es-AR"/>
              </w:rPr>
              <w:t>.</w:t>
            </w:r>
            <w:r>
              <w:rPr>
                <w:rFonts w:ascii="Arial" w:hAnsi="Arial" w:cs="Arial"/>
                <w:b/>
                <w:bCs/>
                <w:sz w:val="14"/>
                <w:szCs w:val="18"/>
                <w:lang w:eastAsia="es-AR"/>
              </w:rPr>
              <w:t>501</w:t>
            </w:r>
            <w:r w:rsidR="003C10B0">
              <w:rPr>
                <w:rFonts w:ascii="Arial" w:hAnsi="Arial" w:cs="Arial"/>
                <w:b/>
                <w:bCs/>
                <w:sz w:val="14"/>
                <w:szCs w:val="18"/>
                <w:lang w:eastAsia="es-AR"/>
              </w:rPr>
              <w:t>.</w:t>
            </w:r>
            <w:r>
              <w:rPr>
                <w:rFonts w:ascii="Arial" w:hAnsi="Arial" w:cs="Arial"/>
                <w:b/>
                <w:bCs/>
                <w:sz w:val="14"/>
                <w:szCs w:val="18"/>
                <w:lang w:eastAsia="es-AR"/>
              </w:rPr>
              <w:t>557</w:t>
            </w:r>
          </w:p>
        </w:tc>
        <w:tc>
          <w:tcPr>
            <w:tcW w:w="1133" w:type="dxa"/>
            <w:tcBorders>
              <w:top w:val="single" w:sz="4" w:space="0" w:color="363639"/>
              <w:bottom w:val="single" w:sz="4" w:space="0" w:color="363639"/>
            </w:tcBorders>
            <w:shd w:val="clear" w:color="auto" w:fill="auto"/>
            <w:vAlign w:val="bottom"/>
          </w:tcPr>
          <w:p w14:paraId="77E4FCC7" w14:textId="2667EC67" w:rsidR="00557382" w:rsidRPr="00083AEA" w:rsidRDefault="00B44D46" w:rsidP="00557382">
            <w:pPr>
              <w:jc w:val="right"/>
              <w:rPr>
                <w:rFonts w:ascii="Arial" w:hAnsi="Arial" w:cs="Arial"/>
                <w:b/>
                <w:bCs/>
                <w:sz w:val="14"/>
                <w:szCs w:val="18"/>
                <w:lang w:eastAsia="es-AR"/>
              </w:rPr>
            </w:pPr>
            <w:r>
              <w:rPr>
                <w:rFonts w:ascii="Arial" w:hAnsi="Arial" w:cs="Arial"/>
                <w:b/>
                <w:bCs/>
                <w:sz w:val="14"/>
                <w:szCs w:val="18"/>
                <w:lang w:eastAsia="es-AR"/>
              </w:rPr>
              <w:t>35</w:t>
            </w:r>
            <w:r w:rsidR="003C10B0">
              <w:rPr>
                <w:rFonts w:ascii="Arial" w:hAnsi="Arial" w:cs="Arial"/>
                <w:b/>
                <w:bCs/>
                <w:sz w:val="14"/>
                <w:szCs w:val="18"/>
                <w:lang w:eastAsia="es-AR"/>
              </w:rPr>
              <w:t>.</w:t>
            </w:r>
            <w:r>
              <w:rPr>
                <w:rFonts w:ascii="Arial" w:hAnsi="Arial" w:cs="Arial"/>
                <w:b/>
                <w:bCs/>
                <w:sz w:val="14"/>
                <w:szCs w:val="18"/>
                <w:lang w:eastAsia="es-AR"/>
              </w:rPr>
              <w:t>501</w:t>
            </w:r>
            <w:r w:rsidR="003C10B0">
              <w:rPr>
                <w:rFonts w:ascii="Arial" w:hAnsi="Arial" w:cs="Arial"/>
                <w:b/>
                <w:bCs/>
                <w:sz w:val="14"/>
                <w:szCs w:val="18"/>
                <w:lang w:eastAsia="es-AR"/>
              </w:rPr>
              <w:t>.</w:t>
            </w:r>
            <w:r>
              <w:rPr>
                <w:rFonts w:ascii="Arial" w:hAnsi="Arial" w:cs="Arial"/>
                <w:b/>
                <w:bCs/>
                <w:sz w:val="14"/>
                <w:szCs w:val="18"/>
                <w:lang w:eastAsia="es-AR"/>
              </w:rPr>
              <w:t>557</w:t>
            </w:r>
          </w:p>
        </w:tc>
        <w:tc>
          <w:tcPr>
            <w:tcW w:w="0" w:type="auto"/>
            <w:tcBorders>
              <w:top w:val="single" w:sz="4" w:space="0" w:color="363639"/>
              <w:bottom w:val="single" w:sz="4" w:space="0" w:color="363639"/>
            </w:tcBorders>
            <w:shd w:val="clear" w:color="auto" w:fill="auto"/>
            <w:vAlign w:val="bottom"/>
          </w:tcPr>
          <w:p w14:paraId="26C24DA3" w14:textId="3C56FE6A" w:rsidR="00557382" w:rsidRPr="00083AEA" w:rsidRDefault="00B44D46" w:rsidP="00557382">
            <w:pPr>
              <w:jc w:val="right"/>
              <w:rPr>
                <w:rFonts w:ascii="Arial" w:hAnsi="Arial" w:cs="Arial"/>
                <w:b/>
                <w:bCs/>
                <w:sz w:val="14"/>
                <w:szCs w:val="18"/>
                <w:lang w:eastAsia="es-AR"/>
              </w:rPr>
            </w:pPr>
            <w:r>
              <w:rPr>
                <w:rFonts w:ascii="Arial" w:hAnsi="Arial" w:cs="Arial"/>
                <w:b/>
                <w:bCs/>
                <w:sz w:val="14"/>
                <w:szCs w:val="18"/>
                <w:lang w:eastAsia="es-AR"/>
              </w:rPr>
              <w:t>34</w:t>
            </w:r>
            <w:r w:rsidR="003C10B0">
              <w:rPr>
                <w:rFonts w:ascii="Arial" w:hAnsi="Arial" w:cs="Arial"/>
                <w:b/>
                <w:bCs/>
                <w:sz w:val="14"/>
                <w:szCs w:val="18"/>
                <w:lang w:eastAsia="es-AR"/>
              </w:rPr>
              <w:t>.</w:t>
            </w:r>
            <w:r>
              <w:rPr>
                <w:rFonts w:ascii="Arial" w:hAnsi="Arial" w:cs="Arial"/>
                <w:b/>
                <w:bCs/>
                <w:sz w:val="14"/>
                <w:szCs w:val="18"/>
                <w:lang w:eastAsia="es-AR"/>
              </w:rPr>
              <w:t>996</w:t>
            </w:r>
            <w:r w:rsidR="003C10B0">
              <w:rPr>
                <w:rFonts w:ascii="Arial" w:hAnsi="Arial" w:cs="Arial"/>
                <w:b/>
                <w:bCs/>
                <w:sz w:val="14"/>
                <w:szCs w:val="18"/>
                <w:lang w:eastAsia="es-AR"/>
              </w:rPr>
              <w:t>.6</w:t>
            </w:r>
            <w:r>
              <w:rPr>
                <w:rFonts w:ascii="Arial" w:hAnsi="Arial" w:cs="Arial"/>
                <w:b/>
                <w:bCs/>
                <w:sz w:val="14"/>
                <w:szCs w:val="18"/>
                <w:lang w:eastAsia="es-AR"/>
              </w:rPr>
              <w:t>96</w:t>
            </w:r>
          </w:p>
        </w:tc>
        <w:tc>
          <w:tcPr>
            <w:tcW w:w="0" w:type="auto"/>
            <w:tcBorders>
              <w:top w:val="single" w:sz="4" w:space="0" w:color="363639"/>
              <w:bottom w:val="single" w:sz="4" w:space="0" w:color="363639"/>
            </w:tcBorders>
            <w:shd w:val="clear" w:color="auto" w:fill="auto"/>
            <w:vAlign w:val="bottom"/>
          </w:tcPr>
          <w:p w14:paraId="07293D0F" w14:textId="2B13F416" w:rsidR="00557382" w:rsidRPr="00083AEA" w:rsidRDefault="00B44D46" w:rsidP="00557382">
            <w:pPr>
              <w:jc w:val="right"/>
              <w:rPr>
                <w:rFonts w:ascii="Arial" w:hAnsi="Arial" w:cs="Arial"/>
                <w:b/>
                <w:bCs/>
                <w:sz w:val="14"/>
                <w:szCs w:val="18"/>
                <w:lang w:eastAsia="es-AR"/>
              </w:rPr>
            </w:pPr>
            <w:r>
              <w:rPr>
                <w:rFonts w:ascii="Arial" w:hAnsi="Arial" w:cs="Arial"/>
                <w:b/>
                <w:bCs/>
                <w:sz w:val="14"/>
                <w:szCs w:val="18"/>
                <w:lang w:eastAsia="es-AR"/>
              </w:rPr>
              <w:t>500</w:t>
            </w:r>
            <w:r w:rsidR="003C10B0">
              <w:rPr>
                <w:rFonts w:ascii="Arial" w:hAnsi="Arial" w:cs="Arial"/>
                <w:b/>
                <w:bCs/>
                <w:sz w:val="14"/>
                <w:szCs w:val="18"/>
                <w:lang w:eastAsia="es-AR"/>
              </w:rPr>
              <w:t>.</w:t>
            </w:r>
            <w:r>
              <w:rPr>
                <w:rFonts w:ascii="Arial" w:hAnsi="Arial" w:cs="Arial"/>
                <w:b/>
                <w:bCs/>
                <w:sz w:val="14"/>
                <w:szCs w:val="18"/>
                <w:lang w:eastAsia="es-AR"/>
              </w:rPr>
              <w:t>796</w:t>
            </w:r>
          </w:p>
        </w:tc>
        <w:tc>
          <w:tcPr>
            <w:tcW w:w="0" w:type="auto"/>
            <w:tcBorders>
              <w:top w:val="single" w:sz="4" w:space="0" w:color="363639"/>
              <w:bottom w:val="single" w:sz="4" w:space="0" w:color="363639"/>
            </w:tcBorders>
            <w:shd w:val="clear" w:color="auto" w:fill="auto"/>
            <w:vAlign w:val="bottom"/>
          </w:tcPr>
          <w:p w14:paraId="54182FEE" w14:textId="39ED326D" w:rsidR="00557382" w:rsidRPr="00083AEA" w:rsidRDefault="00B44D46" w:rsidP="00557382">
            <w:pPr>
              <w:jc w:val="right"/>
              <w:rPr>
                <w:rFonts w:ascii="Arial" w:hAnsi="Arial" w:cs="Arial"/>
                <w:b/>
                <w:bCs/>
                <w:sz w:val="14"/>
                <w:szCs w:val="18"/>
                <w:lang w:eastAsia="es-AR"/>
              </w:rPr>
            </w:pPr>
            <w:r>
              <w:rPr>
                <w:rFonts w:ascii="Arial" w:hAnsi="Arial" w:cs="Arial"/>
                <w:b/>
                <w:bCs/>
                <w:sz w:val="14"/>
                <w:szCs w:val="18"/>
                <w:lang w:eastAsia="es-AR"/>
              </w:rPr>
              <w:t>35</w:t>
            </w:r>
          </w:p>
        </w:tc>
        <w:tc>
          <w:tcPr>
            <w:tcW w:w="0" w:type="auto"/>
            <w:tcBorders>
              <w:top w:val="single" w:sz="4" w:space="0" w:color="363639"/>
              <w:bottom w:val="single" w:sz="4" w:space="0" w:color="363639"/>
            </w:tcBorders>
            <w:shd w:val="clear" w:color="auto" w:fill="auto"/>
            <w:vAlign w:val="bottom"/>
          </w:tcPr>
          <w:p w14:paraId="3EF3A23D" w14:textId="632B586E" w:rsidR="00557382" w:rsidRPr="00083AEA" w:rsidRDefault="00B44D46" w:rsidP="00557382">
            <w:pPr>
              <w:jc w:val="right"/>
              <w:rPr>
                <w:rFonts w:ascii="Arial" w:hAnsi="Arial" w:cs="Arial"/>
                <w:b/>
                <w:bCs/>
                <w:sz w:val="14"/>
                <w:szCs w:val="18"/>
                <w:lang w:eastAsia="es-AR"/>
              </w:rPr>
            </w:pPr>
            <w:r>
              <w:rPr>
                <w:rFonts w:ascii="Arial" w:hAnsi="Arial" w:cs="Arial"/>
                <w:b/>
                <w:bCs/>
                <w:sz w:val="14"/>
                <w:szCs w:val="18"/>
                <w:lang w:eastAsia="es-AR"/>
              </w:rPr>
              <w:t>4</w:t>
            </w:r>
            <w:r w:rsidR="003C10B0">
              <w:rPr>
                <w:rFonts w:ascii="Arial" w:hAnsi="Arial" w:cs="Arial"/>
                <w:b/>
                <w:bCs/>
                <w:sz w:val="14"/>
                <w:szCs w:val="18"/>
                <w:lang w:eastAsia="es-AR"/>
              </w:rPr>
              <w:t>.</w:t>
            </w:r>
            <w:r>
              <w:rPr>
                <w:rFonts w:ascii="Arial" w:hAnsi="Arial" w:cs="Arial"/>
                <w:b/>
                <w:bCs/>
                <w:sz w:val="14"/>
                <w:szCs w:val="18"/>
                <w:lang w:eastAsia="es-AR"/>
              </w:rPr>
              <w:t>030</w:t>
            </w:r>
          </w:p>
        </w:tc>
        <w:tc>
          <w:tcPr>
            <w:tcW w:w="1056" w:type="dxa"/>
            <w:tcBorders>
              <w:top w:val="single" w:sz="4" w:space="0" w:color="363639"/>
              <w:bottom w:val="single" w:sz="4" w:space="0" w:color="363639"/>
            </w:tcBorders>
            <w:shd w:val="clear" w:color="auto" w:fill="auto"/>
            <w:vAlign w:val="bottom"/>
            <w:hideMark/>
          </w:tcPr>
          <w:p w14:paraId="23A3E3C4" w14:textId="22116041" w:rsidR="00557382" w:rsidRPr="00083AEA" w:rsidRDefault="00B44D46" w:rsidP="00557382">
            <w:pPr>
              <w:jc w:val="right"/>
              <w:rPr>
                <w:rFonts w:ascii="Arial" w:hAnsi="Arial" w:cs="Arial"/>
                <w:b/>
                <w:bCs/>
                <w:sz w:val="14"/>
                <w:szCs w:val="18"/>
                <w:lang w:eastAsia="es-AR"/>
              </w:rPr>
            </w:pPr>
            <w:r>
              <w:rPr>
                <w:rFonts w:ascii="Arial" w:hAnsi="Arial" w:cs="Arial"/>
                <w:b/>
                <w:bCs/>
                <w:sz w:val="14"/>
                <w:szCs w:val="18"/>
                <w:lang w:eastAsia="es-AR"/>
              </w:rPr>
              <w:t>39</w:t>
            </w:r>
            <w:r w:rsidR="00557382" w:rsidRPr="00083AEA">
              <w:rPr>
                <w:rFonts w:ascii="Arial" w:hAnsi="Arial" w:cs="Arial"/>
                <w:b/>
                <w:bCs/>
                <w:sz w:val="14"/>
                <w:szCs w:val="18"/>
                <w:lang w:eastAsia="es-AR"/>
              </w:rPr>
              <w:t>.</w:t>
            </w:r>
            <w:r>
              <w:rPr>
                <w:rFonts w:ascii="Arial" w:hAnsi="Arial" w:cs="Arial"/>
                <w:b/>
                <w:bCs/>
                <w:sz w:val="14"/>
                <w:szCs w:val="18"/>
                <w:lang w:eastAsia="es-AR"/>
              </w:rPr>
              <w:t>936</w:t>
            </w:r>
            <w:r w:rsidR="00557382" w:rsidRPr="00083AEA">
              <w:rPr>
                <w:rFonts w:ascii="Arial" w:hAnsi="Arial" w:cs="Arial"/>
                <w:b/>
                <w:bCs/>
                <w:sz w:val="14"/>
                <w:szCs w:val="18"/>
                <w:lang w:eastAsia="es-AR"/>
              </w:rPr>
              <w:t>.</w:t>
            </w:r>
            <w:r>
              <w:rPr>
                <w:rFonts w:ascii="Arial" w:hAnsi="Arial" w:cs="Arial"/>
                <w:b/>
                <w:bCs/>
                <w:sz w:val="14"/>
                <w:szCs w:val="18"/>
                <w:lang w:eastAsia="es-AR"/>
              </w:rPr>
              <w:t>26</w:t>
            </w:r>
            <w:r w:rsidR="0040502F">
              <w:rPr>
                <w:rFonts w:ascii="Arial" w:hAnsi="Arial" w:cs="Arial"/>
                <w:b/>
                <w:bCs/>
                <w:sz w:val="14"/>
                <w:szCs w:val="18"/>
                <w:lang w:eastAsia="es-AR"/>
              </w:rPr>
              <w:t>3</w:t>
            </w:r>
          </w:p>
        </w:tc>
      </w:tr>
    </w:tbl>
    <w:p w14:paraId="2927F4A0" w14:textId="2592F89E" w:rsidR="007A7EC4" w:rsidRPr="007B34B2" w:rsidRDefault="007A7EC4" w:rsidP="008962C9">
      <w:pPr>
        <w:sectPr w:rsidR="007A7EC4" w:rsidRPr="007B34B2" w:rsidSect="00425F99">
          <w:headerReference w:type="default" r:id="rId47"/>
          <w:pgSz w:w="11907" w:h="16839" w:code="9"/>
          <w:pgMar w:top="1418" w:right="1701" w:bottom="1418" w:left="1701" w:header="567" w:footer="0" w:gutter="0"/>
          <w:paperSrc w:first="256" w:other="256"/>
          <w:cols w:space="720"/>
          <w:docGrid w:linePitch="326"/>
        </w:sectPr>
      </w:pPr>
    </w:p>
    <w:p w14:paraId="7CE05784" w14:textId="5C222E98" w:rsidR="007C794F" w:rsidRDefault="007C794F" w:rsidP="008962C9"/>
    <w:tbl>
      <w:tblPr>
        <w:tblStyle w:val="TableGrid"/>
        <w:tblW w:w="14444" w:type="dxa"/>
        <w:tblLook w:val="04A0" w:firstRow="1" w:lastRow="0" w:firstColumn="1" w:lastColumn="0" w:noHBand="0" w:noVBand="1"/>
      </w:tblPr>
      <w:tblGrid>
        <w:gridCol w:w="883"/>
        <w:gridCol w:w="2491"/>
        <w:gridCol w:w="2215"/>
        <w:gridCol w:w="2344"/>
        <w:gridCol w:w="2182"/>
        <w:gridCol w:w="1276"/>
        <w:gridCol w:w="1043"/>
        <w:gridCol w:w="1082"/>
        <w:gridCol w:w="928"/>
      </w:tblGrid>
      <w:tr w:rsidR="00BE5A48" w14:paraId="611CEE03" w14:textId="77777777" w:rsidTr="009D53E3">
        <w:tc>
          <w:tcPr>
            <w:tcW w:w="883" w:type="dxa"/>
            <w:tcBorders>
              <w:bottom w:val="single" w:sz="4" w:space="0" w:color="auto"/>
            </w:tcBorders>
            <w:shd w:val="clear" w:color="auto" w:fill="BFBFBF" w:themeFill="background1" w:themeFillShade="BF"/>
            <w:vAlign w:val="center"/>
          </w:tcPr>
          <w:p w14:paraId="35FBDAAA" w14:textId="3762244B" w:rsidR="00BE5A48" w:rsidRPr="00BE5A48" w:rsidRDefault="00BE5A48" w:rsidP="00BE5A48">
            <w:pPr>
              <w:jc w:val="center"/>
              <w:rPr>
                <w:rFonts w:ascii="Arial" w:hAnsi="Arial" w:cs="Arial"/>
                <w:b/>
                <w:sz w:val="16"/>
                <w:szCs w:val="18"/>
              </w:rPr>
            </w:pPr>
            <w:r w:rsidRPr="00BE5A48">
              <w:rPr>
                <w:rFonts w:ascii="Arial" w:hAnsi="Arial" w:cs="Arial"/>
                <w:b/>
                <w:sz w:val="16"/>
                <w:szCs w:val="18"/>
              </w:rPr>
              <w:t>Tipo de Contrato</w:t>
            </w:r>
          </w:p>
        </w:tc>
        <w:tc>
          <w:tcPr>
            <w:tcW w:w="2491" w:type="dxa"/>
            <w:tcBorders>
              <w:bottom w:val="single" w:sz="4" w:space="0" w:color="auto"/>
            </w:tcBorders>
            <w:shd w:val="clear" w:color="auto" w:fill="BFBFBF" w:themeFill="background1" w:themeFillShade="BF"/>
            <w:vAlign w:val="center"/>
          </w:tcPr>
          <w:p w14:paraId="78039A46" w14:textId="77777777" w:rsidR="00BE5A48" w:rsidRPr="00BE5A48" w:rsidRDefault="00BE5A48" w:rsidP="00BE5A48">
            <w:pPr>
              <w:jc w:val="center"/>
              <w:rPr>
                <w:rFonts w:ascii="Arial" w:hAnsi="Arial" w:cs="Arial"/>
                <w:b/>
                <w:bCs/>
                <w:sz w:val="16"/>
                <w:szCs w:val="18"/>
                <w:lang w:eastAsia="es-AR"/>
              </w:rPr>
            </w:pPr>
            <w:r w:rsidRPr="00BE5A48">
              <w:rPr>
                <w:rFonts w:ascii="Arial" w:hAnsi="Arial" w:cs="Arial"/>
                <w:b/>
                <w:bCs/>
                <w:sz w:val="16"/>
                <w:szCs w:val="18"/>
              </w:rPr>
              <w:t>Objetivo de las</w:t>
            </w:r>
          </w:p>
          <w:p w14:paraId="1A008D9E" w14:textId="13EF13DB" w:rsidR="00BE5A48" w:rsidRPr="00BE5A48" w:rsidRDefault="00BE5A48" w:rsidP="00BE5A48">
            <w:pPr>
              <w:jc w:val="center"/>
              <w:rPr>
                <w:rFonts w:ascii="Arial" w:hAnsi="Arial" w:cs="Arial"/>
                <w:b/>
                <w:sz w:val="16"/>
                <w:szCs w:val="18"/>
              </w:rPr>
            </w:pPr>
            <w:r w:rsidRPr="00BE5A48">
              <w:rPr>
                <w:rFonts w:ascii="Arial" w:hAnsi="Arial" w:cs="Arial"/>
                <w:b/>
                <w:sz w:val="16"/>
                <w:szCs w:val="18"/>
              </w:rPr>
              <w:t>Operaciones</w:t>
            </w:r>
          </w:p>
        </w:tc>
        <w:tc>
          <w:tcPr>
            <w:tcW w:w="2215" w:type="dxa"/>
            <w:tcBorders>
              <w:bottom w:val="single" w:sz="4" w:space="0" w:color="auto"/>
            </w:tcBorders>
            <w:shd w:val="clear" w:color="auto" w:fill="BFBFBF" w:themeFill="background1" w:themeFillShade="BF"/>
            <w:vAlign w:val="center"/>
          </w:tcPr>
          <w:p w14:paraId="2245A26B" w14:textId="7BCF88E9" w:rsidR="00BE5A48" w:rsidRPr="00BE5A48" w:rsidRDefault="00BE5A48" w:rsidP="00BE5A48">
            <w:pPr>
              <w:jc w:val="center"/>
              <w:rPr>
                <w:rFonts w:ascii="Arial" w:hAnsi="Arial" w:cs="Arial"/>
                <w:b/>
                <w:sz w:val="16"/>
                <w:szCs w:val="18"/>
              </w:rPr>
            </w:pPr>
            <w:r w:rsidRPr="00BE5A48">
              <w:rPr>
                <w:rFonts w:ascii="Arial" w:hAnsi="Arial" w:cs="Arial"/>
                <w:b/>
                <w:sz w:val="16"/>
                <w:szCs w:val="18"/>
              </w:rPr>
              <w:t>Activo Subyacente</w:t>
            </w:r>
          </w:p>
        </w:tc>
        <w:tc>
          <w:tcPr>
            <w:tcW w:w="2344" w:type="dxa"/>
            <w:tcBorders>
              <w:bottom w:val="single" w:sz="4" w:space="0" w:color="auto"/>
            </w:tcBorders>
            <w:shd w:val="clear" w:color="auto" w:fill="BFBFBF" w:themeFill="background1" w:themeFillShade="BF"/>
            <w:vAlign w:val="center"/>
          </w:tcPr>
          <w:p w14:paraId="6474A94D" w14:textId="10FE27AD" w:rsidR="00BE5A48" w:rsidRPr="00BE5A48" w:rsidRDefault="00BE5A48" w:rsidP="00BE5A48">
            <w:pPr>
              <w:jc w:val="center"/>
              <w:rPr>
                <w:rFonts w:ascii="Arial" w:hAnsi="Arial" w:cs="Arial"/>
                <w:b/>
                <w:sz w:val="16"/>
                <w:szCs w:val="18"/>
              </w:rPr>
            </w:pPr>
            <w:r w:rsidRPr="00BE5A48">
              <w:rPr>
                <w:rFonts w:ascii="Arial" w:hAnsi="Arial" w:cs="Arial"/>
                <w:b/>
                <w:sz w:val="16"/>
                <w:szCs w:val="18"/>
              </w:rPr>
              <w:t>Tipo de liquidación</w:t>
            </w:r>
          </w:p>
        </w:tc>
        <w:tc>
          <w:tcPr>
            <w:tcW w:w="2182" w:type="dxa"/>
            <w:tcBorders>
              <w:bottom w:val="single" w:sz="4" w:space="0" w:color="auto"/>
            </w:tcBorders>
            <w:shd w:val="clear" w:color="auto" w:fill="BFBFBF" w:themeFill="background1" w:themeFillShade="BF"/>
            <w:vAlign w:val="center"/>
          </w:tcPr>
          <w:p w14:paraId="6A8FE548" w14:textId="3FAED47C" w:rsidR="00BE5A48" w:rsidRPr="00BE5A48" w:rsidRDefault="00BE29BE" w:rsidP="00BE5A48">
            <w:pPr>
              <w:jc w:val="center"/>
              <w:rPr>
                <w:rFonts w:ascii="Arial" w:hAnsi="Arial" w:cs="Arial"/>
                <w:b/>
                <w:sz w:val="16"/>
                <w:szCs w:val="18"/>
              </w:rPr>
            </w:pPr>
            <w:r w:rsidRPr="00BE5A48">
              <w:rPr>
                <w:rFonts w:ascii="Arial" w:hAnsi="Arial" w:cs="Arial"/>
                <w:b/>
                <w:sz w:val="16"/>
                <w:szCs w:val="18"/>
              </w:rPr>
              <w:t>Ámbito</w:t>
            </w:r>
            <w:r w:rsidR="00BE5A48" w:rsidRPr="00BE5A48">
              <w:rPr>
                <w:rFonts w:ascii="Arial" w:hAnsi="Arial" w:cs="Arial"/>
                <w:b/>
                <w:sz w:val="16"/>
                <w:szCs w:val="18"/>
              </w:rPr>
              <w:t xml:space="preserve"> de Negociación o contraparte</w:t>
            </w:r>
          </w:p>
        </w:tc>
        <w:tc>
          <w:tcPr>
            <w:tcW w:w="1276" w:type="dxa"/>
            <w:tcBorders>
              <w:bottom w:val="single" w:sz="4" w:space="0" w:color="auto"/>
            </w:tcBorders>
            <w:shd w:val="clear" w:color="auto" w:fill="BFBFBF" w:themeFill="background1" w:themeFillShade="BF"/>
            <w:vAlign w:val="center"/>
          </w:tcPr>
          <w:p w14:paraId="2D5BF418" w14:textId="4D7DDC02" w:rsidR="00BE5A48" w:rsidRPr="00BE5A48" w:rsidRDefault="00BE5A48" w:rsidP="00BE5A48">
            <w:pPr>
              <w:jc w:val="center"/>
              <w:rPr>
                <w:rFonts w:ascii="Arial" w:hAnsi="Arial" w:cs="Arial"/>
                <w:b/>
                <w:sz w:val="16"/>
                <w:szCs w:val="18"/>
              </w:rPr>
            </w:pPr>
            <w:r w:rsidRPr="00BE5A48">
              <w:rPr>
                <w:rFonts w:ascii="Arial" w:hAnsi="Arial" w:cs="Arial"/>
                <w:b/>
                <w:sz w:val="16"/>
                <w:szCs w:val="18"/>
              </w:rPr>
              <w:t>Plazo Promedio Ponderado originalmente pactado</w:t>
            </w:r>
          </w:p>
        </w:tc>
        <w:tc>
          <w:tcPr>
            <w:tcW w:w="1043" w:type="dxa"/>
            <w:tcBorders>
              <w:bottom w:val="single" w:sz="4" w:space="0" w:color="auto"/>
            </w:tcBorders>
            <w:shd w:val="clear" w:color="auto" w:fill="BFBFBF" w:themeFill="background1" w:themeFillShade="BF"/>
            <w:vAlign w:val="center"/>
          </w:tcPr>
          <w:p w14:paraId="3BAFF6A4" w14:textId="39B4EB63" w:rsidR="00BE5A48" w:rsidRPr="00BE5A48" w:rsidRDefault="00BE5A48" w:rsidP="00BE5A48">
            <w:pPr>
              <w:jc w:val="center"/>
              <w:rPr>
                <w:rFonts w:ascii="Arial" w:hAnsi="Arial" w:cs="Arial"/>
                <w:b/>
                <w:sz w:val="16"/>
                <w:szCs w:val="18"/>
              </w:rPr>
            </w:pPr>
            <w:r w:rsidRPr="00BE5A48">
              <w:rPr>
                <w:rFonts w:ascii="Arial" w:hAnsi="Arial" w:cs="Arial"/>
                <w:b/>
                <w:sz w:val="16"/>
                <w:szCs w:val="18"/>
              </w:rPr>
              <w:t>Plazo promedio ponderado residual</w:t>
            </w:r>
          </w:p>
        </w:tc>
        <w:tc>
          <w:tcPr>
            <w:tcW w:w="1082" w:type="dxa"/>
            <w:tcBorders>
              <w:bottom w:val="single" w:sz="4" w:space="0" w:color="auto"/>
            </w:tcBorders>
            <w:shd w:val="clear" w:color="auto" w:fill="BFBFBF" w:themeFill="background1" w:themeFillShade="BF"/>
            <w:vAlign w:val="center"/>
          </w:tcPr>
          <w:p w14:paraId="6895B4B6" w14:textId="64021ED7" w:rsidR="00BE5A48" w:rsidRPr="00BE5A48" w:rsidRDefault="00BE5A48" w:rsidP="00BE5A48">
            <w:pPr>
              <w:jc w:val="center"/>
              <w:rPr>
                <w:rFonts w:ascii="Arial" w:hAnsi="Arial" w:cs="Arial"/>
                <w:b/>
                <w:sz w:val="16"/>
                <w:szCs w:val="18"/>
              </w:rPr>
            </w:pPr>
            <w:r w:rsidRPr="00BE5A48">
              <w:rPr>
                <w:rFonts w:ascii="Arial" w:hAnsi="Arial" w:cs="Arial"/>
                <w:b/>
                <w:sz w:val="16"/>
                <w:szCs w:val="18"/>
              </w:rPr>
              <w:t>Plazo Promedio Ponderado de liquid. de diferencias</w:t>
            </w:r>
          </w:p>
        </w:tc>
        <w:tc>
          <w:tcPr>
            <w:tcW w:w="0" w:type="auto"/>
            <w:tcBorders>
              <w:bottom w:val="single" w:sz="4" w:space="0" w:color="auto"/>
            </w:tcBorders>
            <w:shd w:val="clear" w:color="auto" w:fill="BFBFBF" w:themeFill="background1" w:themeFillShade="BF"/>
            <w:vAlign w:val="center"/>
          </w:tcPr>
          <w:p w14:paraId="5242A0BA" w14:textId="2A8EEA8B" w:rsidR="00BE5A48" w:rsidRPr="00BE5A48" w:rsidRDefault="00BE5A48" w:rsidP="00BE5A48">
            <w:pPr>
              <w:jc w:val="center"/>
              <w:rPr>
                <w:rFonts w:ascii="Arial" w:hAnsi="Arial" w:cs="Arial"/>
                <w:b/>
                <w:sz w:val="16"/>
                <w:szCs w:val="18"/>
              </w:rPr>
            </w:pPr>
            <w:r w:rsidRPr="00BE5A48">
              <w:rPr>
                <w:rFonts w:ascii="Arial" w:hAnsi="Arial" w:cs="Arial"/>
                <w:b/>
                <w:sz w:val="16"/>
                <w:szCs w:val="18"/>
              </w:rPr>
              <w:t>Monto</w:t>
            </w:r>
          </w:p>
        </w:tc>
      </w:tr>
      <w:tr w:rsidR="00BE5A48" w:rsidRPr="00BE5A48" w14:paraId="546AAE4B" w14:textId="77777777" w:rsidTr="00BE5A48">
        <w:trPr>
          <w:trHeight w:val="20"/>
        </w:trPr>
        <w:tc>
          <w:tcPr>
            <w:tcW w:w="883" w:type="dxa"/>
            <w:tcBorders>
              <w:top w:val="single" w:sz="4" w:space="0" w:color="auto"/>
              <w:left w:val="nil"/>
              <w:bottom w:val="nil"/>
              <w:right w:val="nil"/>
            </w:tcBorders>
          </w:tcPr>
          <w:p w14:paraId="2DE3DF41" w14:textId="77777777" w:rsidR="00BE5A48" w:rsidRPr="00BE5A48" w:rsidRDefault="00BE5A48" w:rsidP="00BE5A48">
            <w:pPr>
              <w:rPr>
                <w:rFonts w:ascii="Arial" w:hAnsi="Arial" w:cs="Arial"/>
                <w:sz w:val="16"/>
                <w:szCs w:val="18"/>
              </w:rPr>
            </w:pPr>
          </w:p>
        </w:tc>
        <w:tc>
          <w:tcPr>
            <w:tcW w:w="2491" w:type="dxa"/>
            <w:tcBorders>
              <w:top w:val="single" w:sz="4" w:space="0" w:color="auto"/>
              <w:left w:val="nil"/>
              <w:bottom w:val="nil"/>
              <w:right w:val="nil"/>
            </w:tcBorders>
          </w:tcPr>
          <w:p w14:paraId="19F88540" w14:textId="77777777" w:rsidR="00BE5A48" w:rsidRPr="00BE5A48" w:rsidRDefault="00BE5A48" w:rsidP="00BE5A48">
            <w:pPr>
              <w:rPr>
                <w:rFonts w:ascii="Arial" w:hAnsi="Arial" w:cs="Arial"/>
                <w:sz w:val="16"/>
                <w:szCs w:val="18"/>
              </w:rPr>
            </w:pPr>
          </w:p>
        </w:tc>
        <w:tc>
          <w:tcPr>
            <w:tcW w:w="2215" w:type="dxa"/>
            <w:tcBorders>
              <w:top w:val="single" w:sz="4" w:space="0" w:color="auto"/>
              <w:left w:val="nil"/>
              <w:bottom w:val="nil"/>
              <w:right w:val="nil"/>
            </w:tcBorders>
          </w:tcPr>
          <w:p w14:paraId="6E1CAA69" w14:textId="77777777" w:rsidR="00BE5A48" w:rsidRPr="00BE5A48" w:rsidRDefault="00BE5A48" w:rsidP="00BE5A48">
            <w:pPr>
              <w:rPr>
                <w:rFonts w:ascii="Arial" w:hAnsi="Arial" w:cs="Arial"/>
                <w:sz w:val="16"/>
                <w:szCs w:val="18"/>
              </w:rPr>
            </w:pPr>
          </w:p>
        </w:tc>
        <w:tc>
          <w:tcPr>
            <w:tcW w:w="2344" w:type="dxa"/>
            <w:tcBorders>
              <w:top w:val="single" w:sz="4" w:space="0" w:color="auto"/>
              <w:left w:val="nil"/>
              <w:bottom w:val="nil"/>
              <w:right w:val="nil"/>
            </w:tcBorders>
          </w:tcPr>
          <w:p w14:paraId="5CC266E5" w14:textId="77777777" w:rsidR="00BE5A48" w:rsidRPr="00BE5A48" w:rsidRDefault="00BE5A48" w:rsidP="00BE5A48">
            <w:pPr>
              <w:rPr>
                <w:rFonts w:ascii="Arial" w:hAnsi="Arial" w:cs="Arial"/>
                <w:sz w:val="16"/>
                <w:szCs w:val="18"/>
              </w:rPr>
            </w:pPr>
          </w:p>
        </w:tc>
        <w:tc>
          <w:tcPr>
            <w:tcW w:w="2182" w:type="dxa"/>
            <w:tcBorders>
              <w:top w:val="single" w:sz="4" w:space="0" w:color="auto"/>
              <w:left w:val="nil"/>
              <w:bottom w:val="nil"/>
              <w:right w:val="nil"/>
            </w:tcBorders>
          </w:tcPr>
          <w:p w14:paraId="28F236A2" w14:textId="77777777" w:rsidR="00BE5A48" w:rsidRPr="00BE5A48" w:rsidRDefault="00BE5A48" w:rsidP="00BE5A48">
            <w:pPr>
              <w:rPr>
                <w:rFonts w:ascii="Arial" w:hAnsi="Arial" w:cs="Arial"/>
                <w:sz w:val="16"/>
                <w:szCs w:val="18"/>
              </w:rPr>
            </w:pPr>
          </w:p>
        </w:tc>
        <w:tc>
          <w:tcPr>
            <w:tcW w:w="1276" w:type="dxa"/>
            <w:tcBorders>
              <w:top w:val="single" w:sz="4" w:space="0" w:color="auto"/>
              <w:left w:val="nil"/>
              <w:bottom w:val="nil"/>
              <w:right w:val="nil"/>
            </w:tcBorders>
          </w:tcPr>
          <w:p w14:paraId="6F26BDB7" w14:textId="77777777" w:rsidR="00BE5A48" w:rsidRPr="00BE5A48" w:rsidRDefault="00BE5A48" w:rsidP="00BE5A48">
            <w:pPr>
              <w:rPr>
                <w:rFonts w:ascii="Arial" w:hAnsi="Arial" w:cs="Arial"/>
                <w:sz w:val="16"/>
                <w:szCs w:val="18"/>
              </w:rPr>
            </w:pPr>
          </w:p>
        </w:tc>
        <w:tc>
          <w:tcPr>
            <w:tcW w:w="1043" w:type="dxa"/>
            <w:tcBorders>
              <w:top w:val="single" w:sz="4" w:space="0" w:color="auto"/>
              <w:left w:val="nil"/>
              <w:bottom w:val="nil"/>
              <w:right w:val="nil"/>
            </w:tcBorders>
          </w:tcPr>
          <w:p w14:paraId="3C48FFA8" w14:textId="77777777" w:rsidR="00BE5A48" w:rsidRPr="00BE5A48" w:rsidRDefault="00BE5A48" w:rsidP="00BE5A48">
            <w:pPr>
              <w:rPr>
                <w:rFonts w:ascii="Arial" w:hAnsi="Arial" w:cs="Arial"/>
                <w:sz w:val="16"/>
                <w:szCs w:val="18"/>
              </w:rPr>
            </w:pPr>
          </w:p>
        </w:tc>
        <w:tc>
          <w:tcPr>
            <w:tcW w:w="1082" w:type="dxa"/>
            <w:tcBorders>
              <w:top w:val="single" w:sz="4" w:space="0" w:color="auto"/>
              <w:left w:val="nil"/>
              <w:bottom w:val="nil"/>
              <w:right w:val="nil"/>
            </w:tcBorders>
          </w:tcPr>
          <w:p w14:paraId="57849257" w14:textId="77777777" w:rsidR="00BE5A48" w:rsidRPr="00BE5A48" w:rsidRDefault="00BE5A48" w:rsidP="00BE5A48">
            <w:pPr>
              <w:rPr>
                <w:rFonts w:ascii="Arial" w:hAnsi="Arial" w:cs="Arial"/>
                <w:sz w:val="16"/>
                <w:szCs w:val="18"/>
              </w:rPr>
            </w:pPr>
          </w:p>
        </w:tc>
        <w:tc>
          <w:tcPr>
            <w:tcW w:w="0" w:type="auto"/>
            <w:tcBorders>
              <w:top w:val="single" w:sz="4" w:space="0" w:color="auto"/>
              <w:left w:val="nil"/>
              <w:bottom w:val="nil"/>
              <w:right w:val="nil"/>
            </w:tcBorders>
          </w:tcPr>
          <w:p w14:paraId="13EF0A4B" w14:textId="77777777" w:rsidR="00BE5A48" w:rsidRPr="00BE5A48" w:rsidRDefault="00BE5A48" w:rsidP="00BE5A48">
            <w:pPr>
              <w:rPr>
                <w:rFonts w:ascii="Arial" w:hAnsi="Arial" w:cs="Arial"/>
                <w:sz w:val="16"/>
                <w:szCs w:val="18"/>
              </w:rPr>
            </w:pPr>
          </w:p>
        </w:tc>
      </w:tr>
      <w:tr w:rsidR="00BE5A48" w:rsidRPr="00BE5A48" w14:paraId="6988B4B6" w14:textId="77777777" w:rsidTr="003C1373">
        <w:tc>
          <w:tcPr>
            <w:tcW w:w="883" w:type="dxa"/>
            <w:tcBorders>
              <w:top w:val="nil"/>
              <w:left w:val="nil"/>
              <w:bottom w:val="nil"/>
              <w:right w:val="nil"/>
            </w:tcBorders>
            <w:vAlign w:val="bottom"/>
          </w:tcPr>
          <w:p w14:paraId="1BAD654A" w14:textId="4EA11D23" w:rsidR="00BE5A48" w:rsidRPr="00BE5A48" w:rsidRDefault="00BE5A48" w:rsidP="003C1373">
            <w:pPr>
              <w:jc w:val="center"/>
              <w:rPr>
                <w:rFonts w:ascii="Arial" w:hAnsi="Arial" w:cs="Arial"/>
                <w:sz w:val="16"/>
                <w:szCs w:val="18"/>
              </w:rPr>
            </w:pPr>
            <w:r w:rsidRPr="00BE5A48">
              <w:rPr>
                <w:rFonts w:ascii="Arial" w:hAnsi="Arial" w:cs="Arial"/>
                <w:sz w:val="16"/>
                <w:szCs w:val="18"/>
              </w:rPr>
              <w:t>Futuros</w:t>
            </w:r>
          </w:p>
        </w:tc>
        <w:tc>
          <w:tcPr>
            <w:tcW w:w="2491" w:type="dxa"/>
            <w:tcBorders>
              <w:top w:val="nil"/>
              <w:left w:val="nil"/>
              <w:bottom w:val="nil"/>
              <w:right w:val="nil"/>
            </w:tcBorders>
            <w:vAlign w:val="bottom"/>
          </w:tcPr>
          <w:p w14:paraId="66138CE4" w14:textId="37F2E472" w:rsidR="00BE5A48" w:rsidRPr="00BE5A48" w:rsidRDefault="00BE5A48" w:rsidP="003C1373">
            <w:pPr>
              <w:jc w:val="center"/>
              <w:rPr>
                <w:rFonts w:ascii="Arial" w:hAnsi="Arial" w:cs="Arial"/>
                <w:sz w:val="16"/>
                <w:szCs w:val="18"/>
              </w:rPr>
            </w:pPr>
            <w:r w:rsidRPr="00BE5A48">
              <w:rPr>
                <w:rFonts w:ascii="Arial" w:hAnsi="Arial" w:cs="Arial"/>
                <w:sz w:val="16"/>
                <w:szCs w:val="18"/>
              </w:rPr>
              <w:t>Cobertura de moneda extranjera</w:t>
            </w:r>
          </w:p>
        </w:tc>
        <w:tc>
          <w:tcPr>
            <w:tcW w:w="2215" w:type="dxa"/>
            <w:tcBorders>
              <w:top w:val="nil"/>
              <w:left w:val="nil"/>
              <w:bottom w:val="nil"/>
              <w:right w:val="nil"/>
            </w:tcBorders>
            <w:vAlign w:val="bottom"/>
          </w:tcPr>
          <w:p w14:paraId="1710EBD6" w14:textId="0E758941" w:rsidR="00BE5A48" w:rsidRPr="00BE5A48" w:rsidRDefault="00BE5A48" w:rsidP="003C1373">
            <w:pPr>
              <w:jc w:val="center"/>
              <w:rPr>
                <w:rFonts w:ascii="Arial" w:hAnsi="Arial" w:cs="Arial"/>
                <w:sz w:val="16"/>
                <w:szCs w:val="18"/>
              </w:rPr>
            </w:pPr>
            <w:r w:rsidRPr="00BE5A48">
              <w:rPr>
                <w:rFonts w:ascii="Arial" w:hAnsi="Arial" w:cs="Arial"/>
                <w:sz w:val="16"/>
                <w:szCs w:val="18"/>
              </w:rPr>
              <w:t>Moneda extranjera</w:t>
            </w:r>
          </w:p>
        </w:tc>
        <w:tc>
          <w:tcPr>
            <w:tcW w:w="2344" w:type="dxa"/>
            <w:tcBorders>
              <w:top w:val="nil"/>
              <w:left w:val="nil"/>
              <w:bottom w:val="nil"/>
              <w:right w:val="nil"/>
            </w:tcBorders>
            <w:vAlign w:val="bottom"/>
          </w:tcPr>
          <w:p w14:paraId="7F341E85" w14:textId="0D44B9CE" w:rsidR="00BE5A48" w:rsidRPr="00BE5A48" w:rsidRDefault="00BE5A48" w:rsidP="003C1373">
            <w:pPr>
              <w:jc w:val="center"/>
              <w:rPr>
                <w:rFonts w:ascii="Arial" w:hAnsi="Arial" w:cs="Arial"/>
                <w:sz w:val="16"/>
                <w:szCs w:val="18"/>
              </w:rPr>
            </w:pPr>
            <w:r w:rsidRPr="00BE5A48">
              <w:rPr>
                <w:rFonts w:ascii="Arial" w:hAnsi="Arial" w:cs="Arial"/>
                <w:sz w:val="16"/>
                <w:szCs w:val="18"/>
              </w:rPr>
              <w:t>Diaria de diferencias</w:t>
            </w:r>
          </w:p>
        </w:tc>
        <w:tc>
          <w:tcPr>
            <w:tcW w:w="2182" w:type="dxa"/>
            <w:tcBorders>
              <w:top w:val="nil"/>
              <w:left w:val="nil"/>
              <w:bottom w:val="nil"/>
              <w:right w:val="nil"/>
            </w:tcBorders>
            <w:vAlign w:val="bottom"/>
          </w:tcPr>
          <w:p w14:paraId="0D83D3D9" w14:textId="77B03320" w:rsidR="00BE5A48" w:rsidRPr="00BE5A48" w:rsidRDefault="00BE5A48" w:rsidP="003C1373">
            <w:pPr>
              <w:jc w:val="center"/>
              <w:rPr>
                <w:rFonts w:ascii="Arial" w:hAnsi="Arial" w:cs="Arial"/>
                <w:sz w:val="16"/>
                <w:szCs w:val="18"/>
              </w:rPr>
            </w:pPr>
            <w:r w:rsidRPr="00BE5A48">
              <w:rPr>
                <w:rFonts w:ascii="Arial" w:hAnsi="Arial" w:cs="Arial"/>
                <w:sz w:val="16"/>
                <w:szCs w:val="18"/>
              </w:rPr>
              <w:t>ROFEX</w:t>
            </w:r>
          </w:p>
        </w:tc>
        <w:tc>
          <w:tcPr>
            <w:tcW w:w="1276" w:type="dxa"/>
            <w:tcBorders>
              <w:top w:val="nil"/>
              <w:left w:val="nil"/>
              <w:bottom w:val="nil"/>
              <w:right w:val="nil"/>
            </w:tcBorders>
            <w:vAlign w:val="bottom"/>
          </w:tcPr>
          <w:p w14:paraId="1562E54E" w14:textId="335B3F04" w:rsidR="00BE5A48" w:rsidRPr="00BE5A48" w:rsidRDefault="00C0777A" w:rsidP="003C1373">
            <w:pPr>
              <w:jc w:val="center"/>
              <w:rPr>
                <w:rFonts w:ascii="Arial" w:hAnsi="Arial" w:cs="Arial"/>
                <w:sz w:val="16"/>
                <w:szCs w:val="18"/>
              </w:rPr>
            </w:pPr>
            <w:r>
              <w:rPr>
                <w:rFonts w:ascii="Arial" w:hAnsi="Arial" w:cs="Arial"/>
                <w:sz w:val="16"/>
                <w:szCs w:val="18"/>
              </w:rPr>
              <w:t>4</w:t>
            </w:r>
          </w:p>
        </w:tc>
        <w:tc>
          <w:tcPr>
            <w:tcW w:w="1043" w:type="dxa"/>
            <w:tcBorders>
              <w:top w:val="nil"/>
              <w:left w:val="nil"/>
              <w:bottom w:val="nil"/>
              <w:right w:val="nil"/>
            </w:tcBorders>
            <w:vAlign w:val="bottom"/>
          </w:tcPr>
          <w:p w14:paraId="0E03A107" w14:textId="1BCA743C" w:rsidR="00BE5A48" w:rsidRPr="00BE5A48" w:rsidRDefault="00C0777A" w:rsidP="003C1373">
            <w:pPr>
              <w:jc w:val="center"/>
              <w:rPr>
                <w:rFonts w:ascii="Arial" w:hAnsi="Arial" w:cs="Arial"/>
                <w:sz w:val="16"/>
                <w:szCs w:val="18"/>
              </w:rPr>
            </w:pPr>
            <w:r>
              <w:rPr>
                <w:rFonts w:ascii="Arial" w:hAnsi="Arial" w:cs="Arial"/>
                <w:sz w:val="16"/>
                <w:szCs w:val="18"/>
              </w:rPr>
              <w:t>4</w:t>
            </w:r>
          </w:p>
        </w:tc>
        <w:tc>
          <w:tcPr>
            <w:tcW w:w="1082" w:type="dxa"/>
            <w:tcBorders>
              <w:top w:val="nil"/>
              <w:left w:val="nil"/>
              <w:bottom w:val="nil"/>
              <w:right w:val="nil"/>
            </w:tcBorders>
            <w:vAlign w:val="bottom"/>
          </w:tcPr>
          <w:p w14:paraId="3C454C28" w14:textId="55D3111B" w:rsidR="00BE5A48" w:rsidRPr="00BE5A48" w:rsidRDefault="00BE5A48" w:rsidP="003C1373">
            <w:pPr>
              <w:jc w:val="center"/>
              <w:rPr>
                <w:rFonts w:ascii="Arial" w:hAnsi="Arial" w:cs="Arial"/>
                <w:sz w:val="16"/>
                <w:szCs w:val="18"/>
              </w:rPr>
            </w:pPr>
            <w:r>
              <w:rPr>
                <w:rFonts w:ascii="Arial" w:hAnsi="Arial" w:cs="Arial"/>
                <w:sz w:val="16"/>
                <w:szCs w:val="18"/>
              </w:rPr>
              <w:t>1</w:t>
            </w:r>
          </w:p>
        </w:tc>
        <w:tc>
          <w:tcPr>
            <w:tcW w:w="0" w:type="auto"/>
            <w:tcBorders>
              <w:top w:val="nil"/>
              <w:left w:val="nil"/>
              <w:bottom w:val="nil"/>
              <w:right w:val="nil"/>
            </w:tcBorders>
            <w:vAlign w:val="bottom"/>
          </w:tcPr>
          <w:p w14:paraId="4987605D" w14:textId="3C7F6F0E" w:rsidR="002F13E0" w:rsidRPr="00BE5A48" w:rsidRDefault="00C0777A" w:rsidP="002F13E0">
            <w:pPr>
              <w:jc w:val="center"/>
              <w:rPr>
                <w:rFonts w:ascii="Arial" w:hAnsi="Arial" w:cs="Arial"/>
                <w:sz w:val="16"/>
                <w:szCs w:val="18"/>
              </w:rPr>
            </w:pPr>
            <w:r>
              <w:rPr>
                <w:rFonts w:ascii="Arial" w:hAnsi="Arial" w:cs="Arial"/>
                <w:sz w:val="16"/>
                <w:szCs w:val="18"/>
              </w:rPr>
              <w:t>904.068</w:t>
            </w:r>
          </w:p>
        </w:tc>
      </w:tr>
      <w:tr w:rsidR="00C0777A" w:rsidRPr="00BE5A48" w14:paraId="33622EFC" w14:textId="77777777" w:rsidTr="003C1373">
        <w:tc>
          <w:tcPr>
            <w:tcW w:w="883" w:type="dxa"/>
            <w:tcBorders>
              <w:top w:val="nil"/>
              <w:left w:val="nil"/>
              <w:bottom w:val="nil"/>
              <w:right w:val="nil"/>
            </w:tcBorders>
            <w:vAlign w:val="bottom"/>
          </w:tcPr>
          <w:p w14:paraId="66420C37" w14:textId="77777777" w:rsidR="00C0777A" w:rsidRPr="00BE5A48" w:rsidRDefault="00C0777A" w:rsidP="003C1373">
            <w:pPr>
              <w:jc w:val="center"/>
              <w:rPr>
                <w:rFonts w:ascii="Arial" w:hAnsi="Arial" w:cs="Arial"/>
                <w:sz w:val="16"/>
                <w:szCs w:val="18"/>
              </w:rPr>
            </w:pPr>
          </w:p>
        </w:tc>
        <w:tc>
          <w:tcPr>
            <w:tcW w:w="2491" w:type="dxa"/>
            <w:tcBorders>
              <w:top w:val="nil"/>
              <w:left w:val="nil"/>
              <w:bottom w:val="nil"/>
              <w:right w:val="nil"/>
            </w:tcBorders>
            <w:vAlign w:val="bottom"/>
          </w:tcPr>
          <w:p w14:paraId="0EDB922B" w14:textId="77777777" w:rsidR="00C0777A" w:rsidRPr="00BE5A48" w:rsidRDefault="00C0777A" w:rsidP="003C1373">
            <w:pPr>
              <w:jc w:val="center"/>
              <w:rPr>
                <w:rFonts w:ascii="Arial" w:hAnsi="Arial" w:cs="Arial"/>
                <w:sz w:val="16"/>
                <w:szCs w:val="18"/>
              </w:rPr>
            </w:pPr>
          </w:p>
        </w:tc>
        <w:tc>
          <w:tcPr>
            <w:tcW w:w="2215" w:type="dxa"/>
            <w:tcBorders>
              <w:top w:val="nil"/>
              <w:left w:val="nil"/>
              <w:bottom w:val="nil"/>
              <w:right w:val="nil"/>
            </w:tcBorders>
            <w:vAlign w:val="bottom"/>
          </w:tcPr>
          <w:p w14:paraId="18833C96" w14:textId="77777777" w:rsidR="00C0777A" w:rsidRPr="00BE5A48" w:rsidRDefault="00C0777A" w:rsidP="003C1373">
            <w:pPr>
              <w:jc w:val="center"/>
              <w:rPr>
                <w:rFonts w:ascii="Arial" w:hAnsi="Arial" w:cs="Arial"/>
                <w:sz w:val="16"/>
                <w:szCs w:val="18"/>
              </w:rPr>
            </w:pPr>
          </w:p>
        </w:tc>
        <w:tc>
          <w:tcPr>
            <w:tcW w:w="2344" w:type="dxa"/>
            <w:tcBorders>
              <w:top w:val="nil"/>
              <w:left w:val="nil"/>
              <w:bottom w:val="nil"/>
              <w:right w:val="nil"/>
            </w:tcBorders>
            <w:vAlign w:val="bottom"/>
          </w:tcPr>
          <w:p w14:paraId="7DB80C79" w14:textId="77777777" w:rsidR="00C0777A" w:rsidRPr="00BE5A48" w:rsidRDefault="00C0777A" w:rsidP="003C1373">
            <w:pPr>
              <w:jc w:val="center"/>
              <w:rPr>
                <w:rFonts w:ascii="Arial" w:hAnsi="Arial" w:cs="Arial"/>
                <w:sz w:val="16"/>
                <w:szCs w:val="18"/>
              </w:rPr>
            </w:pPr>
          </w:p>
        </w:tc>
        <w:tc>
          <w:tcPr>
            <w:tcW w:w="2182" w:type="dxa"/>
            <w:tcBorders>
              <w:top w:val="nil"/>
              <w:left w:val="nil"/>
              <w:bottom w:val="nil"/>
              <w:right w:val="nil"/>
            </w:tcBorders>
            <w:vAlign w:val="bottom"/>
          </w:tcPr>
          <w:p w14:paraId="18C370D3" w14:textId="77777777" w:rsidR="00C0777A" w:rsidRDefault="00C0777A" w:rsidP="003C1373">
            <w:pPr>
              <w:jc w:val="center"/>
              <w:rPr>
                <w:rFonts w:ascii="Arial" w:hAnsi="Arial" w:cs="Arial"/>
                <w:sz w:val="16"/>
                <w:szCs w:val="18"/>
              </w:rPr>
            </w:pPr>
          </w:p>
        </w:tc>
        <w:tc>
          <w:tcPr>
            <w:tcW w:w="1276" w:type="dxa"/>
            <w:tcBorders>
              <w:top w:val="nil"/>
              <w:left w:val="nil"/>
              <w:bottom w:val="nil"/>
              <w:right w:val="nil"/>
            </w:tcBorders>
            <w:vAlign w:val="bottom"/>
          </w:tcPr>
          <w:p w14:paraId="1CCC13AA" w14:textId="77777777" w:rsidR="00C0777A" w:rsidRDefault="00C0777A" w:rsidP="003C1373">
            <w:pPr>
              <w:jc w:val="center"/>
              <w:rPr>
                <w:rFonts w:ascii="Arial" w:hAnsi="Arial" w:cs="Arial"/>
                <w:sz w:val="16"/>
                <w:szCs w:val="18"/>
              </w:rPr>
            </w:pPr>
          </w:p>
        </w:tc>
        <w:tc>
          <w:tcPr>
            <w:tcW w:w="1043" w:type="dxa"/>
            <w:tcBorders>
              <w:top w:val="nil"/>
              <w:left w:val="nil"/>
              <w:bottom w:val="nil"/>
              <w:right w:val="nil"/>
            </w:tcBorders>
            <w:vAlign w:val="bottom"/>
          </w:tcPr>
          <w:p w14:paraId="5C1B1F65" w14:textId="77777777" w:rsidR="00C0777A" w:rsidRDefault="00C0777A" w:rsidP="003C1373">
            <w:pPr>
              <w:jc w:val="center"/>
              <w:rPr>
                <w:rFonts w:ascii="Arial" w:hAnsi="Arial" w:cs="Arial"/>
                <w:sz w:val="16"/>
                <w:szCs w:val="18"/>
              </w:rPr>
            </w:pPr>
          </w:p>
        </w:tc>
        <w:tc>
          <w:tcPr>
            <w:tcW w:w="1082" w:type="dxa"/>
            <w:tcBorders>
              <w:top w:val="nil"/>
              <w:left w:val="nil"/>
              <w:bottom w:val="nil"/>
              <w:right w:val="nil"/>
            </w:tcBorders>
            <w:vAlign w:val="bottom"/>
          </w:tcPr>
          <w:p w14:paraId="17906034" w14:textId="77777777" w:rsidR="00C0777A" w:rsidRDefault="00C0777A" w:rsidP="003C1373">
            <w:pPr>
              <w:jc w:val="center"/>
              <w:rPr>
                <w:rFonts w:ascii="Arial" w:hAnsi="Arial" w:cs="Arial"/>
                <w:sz w:val="16"/>
                <w:szCs w:val="18"/>
              </w:rPr>
            </w:pPr>
          </w:p>
        </w:tc>
        <w:tc>
          <w:tcPr>
            <w:tcW w:w="0" w:type="auto"/>
            <w:tcBorders>
              <w:top w:val="nil"/>
              <w:left w:val="nil"/>
              <w:bottom w:val="nil"/>
              <w:right w:val="nil"/>
            </w:tcBorders>
            <w:vAlign w:val="bottom"/>
          </w:tcPr>
          <w:p w14:paraId="18C75DB2" w14:textId="77777777" w:rsidR="00C0777A" w:rsidRDefault="00C0777A" w:rsidP="002F13E0">
            <w:pPr>
              <w:jc w:val="center"/>
              <w:rPr>
                <w:rFonts w:ascii="Arial" w:hAnsi="Arial" w:cs="Arial"/>
                <w:sz w:val="16"/>
                <w:szCs w:val="18"/>
              </w:rPr>
            </w:pPr>
          </w:p>
        </w:tc>
      </w:tr>
      <w:tr w:rsidR="00C0777A" w:rsidRPr="00BE5A48" w14:paraId="79C03BFE" w14:textId="77777777" w:rsidTr="003C1373">
        <w:tc>
          <w:tcPr>
            <w:tcW w:w="883" w:type="dxa"/>
            <w:tcBorders>
              <w:top w:val="nil"/>
              <w:left w:val="nil"/>
              <w:bottom w:val="nil"/>
              <w:right w:val="nil"/>
            </w:tcBorders>
            <w:vAlign w:val="bottom"/>
          </w:tcPr>
          <w:p w14:paraId="52866056" w14:textId="2D0617D8" w:rsidR="00C0777A" w:rsidRPr="00BE5A48" w:rsidRDefault="00C0777A" w:rsidP="003C1373">
            <w:pPr>
              <w:jc w:val="center"/>
              <w:rPr>
                <w:rFonts w:ascii="Arial" w:hAnsi="Arial" w:cs="Arial"/>
                <w:sz w:val="16"/>
                <w:szCs w:val="18"/>
              </w:rPr>
            </w:pPr>
            <w:r w:rsidRPr="00BE5A48">
              <w:rPr>
                <w:rFonts w:ascii="Arial" w:hAnsi="Arial" w:cs="Arial"/>
                <w:sz w:val="16"/>
                <w:szCs w:val="18"/>
              </w:rPr>
              <w:t>Futuros</w:t>
            </w:r>
          </w:p>
        </w:tc>
        <w:tc>
          <w:tcPr>
            <w:tcW w:w="2491" w:type="dxa"/>
            <w:tcBorders>
              <w:top w:val="nil"/>
              <w:left w:val="nil"/>
              <w:bottom w:val="nil"/>
              <w:right w:val="nil"/>
            </w:tcBorders>
            <w:vAlign w:val="bottom"/>
          </w:tcPr>
          <w:p w14:paraId="082AA866" w14:textId="7C3338A8" w:rsidR="00C0777A" w:rsidRPr="00BE5A48" w:rsidRDefault="00C0777A" w:rsidP="003C1373">
            <w:pPr>
              <w:jc w:val="center"/>
              <w:rPr>
                <w:rFonts w:ascii="Arial" w:hAnsi="Arial" w:cs="Arial"/>
                <w:sz w:val="16"/>
                <w:szCs w:val="18"/>
              </w:rPr>
            </w:pPr>
            <w:r w:rsidRPr="00BE5A48">
              <w:rPr>
                <w:rFonts w:ascii="Arial" w:hAnsi="Arial" w:cs="Arial"/>
                <w:sz w:val="16"/>
                <w:szCs w:val="18"/>
              </w:rPr>
              <w:t>Cobertura de moneda extranjera</w:t>
            </w:r>
          </w:p>
        </w:tc>
        <w:tc>
          <w:tcPr>
            <w:tcW w:w="2215" w:type="dxa"/>
            <w:tcBorders>
              <w:top w:val="nil"/>
              <w:left w:val="nil"/>
              <w:bottom w:val="nil"/>
              <w:right w:val="nil"/>
            </w:tcBorders>
            <w:vAlign w:val="bottom"/>
          </w:tcPr>
          <w:p w14:paraId="678B0CC5" w14:textId="141236A2" w:rsidR="00C0777A" w:rsidRPr="00BE5A48" w:rsidRDefault="00C0777A" w:rsidP="003C1373">
            <w:pPr>
              <w:jc w:val="center"/>
              <w:rPr>
                <w:rFonts w:ascii="Arial" w:hAnsi="Arial" w:cs="Arial"/>
                <w:sz w:val="16"/>
                <w:szCs w:val="18"/>
              </w:rPr>
            </w:pPr>
            <w:r w:rsidRPr="00BE5A48">
              <w:rPr>
                <w:rFonts w:ascii="Arial" w:hAnsi="Arial" w:cs="Arial"/>
                <w:sz w:val="16"/>
                <w:szCs w:val="18"/>
              </w:rPr>
              <w:t>Moneda extranjera</w:t>
            </w:r>
          </w:p>
        </w:tc>
        <w:tc>
          <w:tcPr>
            <w:tcW w:w="2344" w:type="dxa"/>
            <w:tcBorders>
              <w:top w:val="nil"/>
              <w:left w:val="nil"/>
              <w:bottom w:val="nil"/>
              <w:right w:val="nil"/>
            </w:tcBorders>
            <w:vAlign w:val="bottom"/>
          </w:tcPr>
          <w:p w14:paraId="5C75D8DA" w14:textId="3E8046B6" w:rsidR="00C0777A" w:rsidRPr="00BE5A48" w:rsidRDefault="00C0777A" w:rsidP="003C1373">
            <w:pPr>
              <w:jc w:val="center"/>
              <w:rPr>
                <w:rFonts w:ascii="Arial" w:hAnsi="Arial" w:cs="Arial"/>
                <w:sz w:val="16"/>
                <w:szCs w:val="18"/>
              </w:rPr>
            </w:pPr>
            <w:r w:rsidRPr="00BE5A48">
              <w:rPr>
                <w:rFonts w:ascii="Arial" w:hAnsi="Arial" w:cs="Arial"/>
                <w:sz w:val="16"/>
                <w:szCs w:val="18"/>
              </w:rPr>
              <w:t>Diaria de diferencias</w:t>
            </w:r>
          </w:p>
        </w:tc>
        <w:tc>
          <w:tcPr>
            <w:tcW w:w="2182" w:type="dxa"/>
            <w:tcBorders>
              <w:top w:val="nil"/>
              <w:left w:val="nil"/>
              <w:bottom w:val="nil"/>
              <w:right w:val="nil"/>
            </w:tcBorders>
            <w:vAlign w:val="bottom"/>
          </w:tcPr>
          <w:p w14:paraId="300D03A1" w14:textId="5661B233" w:rsidR="00C0777A" w:rsidRPr="00BE5A48" w:rsidRDefault="00C0777A" w:rsidP="003C1373">
            <w:pPr>
              <w:jc w:val="center"/>
              <w:rPr>
                <w:rFonts w:ascii="Arial" w:hAnsi="Arial" w:cs="Arial"/>
                <w:sz w:val="16"/>
                <w:szCs w:val="18"/>
              </w:rPr>
            </w:pPr>
            <w:r>
              <w:rPr>
                <w:rFonts w:ascii="Arial" w:hAnsi="Arial" w:cs="Arial"/>
                <w:sz w:val="16"/>
                <w:szCs w:val="18"/>
              </w:rPr>
              <w:t>Otros Mercados del país</w:t>
            </w:r>
          </w:p>
        </w:tc>
        <w:tc>
          <w:tcPr>
            <w:tcW w:w="1276" w:type="dxa"/>
            <w:tcBorders>
              <w:top w:val="nil"/>
              <w:left w:val="nil"/>
              <w:bottom w:val="nil"/>
              <w:right w:val="nil"/>
            </w:tcBorders>
            <w:vAlign w:val="bottom"/>
          </w:tcPr>
          <w:p w14:paraId="7E51088F" w14:textId="7CFE3480" w:rsidR="00C0777A" w:rsidRDefault="00C0777A" w:rsidP="003C1373">
            <w:pPr>
              <w:jc w:val="center"/>
              <w:rPr>
                <w:rFonts w:ascii="Arial" w:hAnsi="Arial" w:cs="Arial"/>
                <w:sz w:val="16"/>
                <w:szCs w:val="18"/>
              </w:rPr>
            </w:pPr>
            <w:r>
              <w:rPr>
                <w:rFonts w:ascii="Arial" w:hAnsi="Arial" w:cs="Arial"/>
                <w:sz w:val="16"/>
                <w:szCs w:val="18"/>
              </w:rPr>
              <w:t>2</w:t>
            </w:r>
          </w:p>
        </w:tc>
        <w:tc>
          <w:tcPr>
            <w:tcW w:w="1043" w:type="dxa"/>
            <w:tcBorders>
              <w:top w:val="nil"/>
              <w:left w:val="nil"/>
              <w:bottom w:val="nil"/>
              <w:right w:val="nil"/>
            </w:tcBorders>
            <w:vAlign w:val="bottom"/>
          </w:tcPr>
          <w:p w14:paraId="05C24453" w14:textId="3F311ADF" w:rsidR="00C0777A" w:rsidRDefault="00C0777A" w:rsidP="003C1373">
            <w:pPr>
              <w:jc w:val="center"/>
              <w:rPr>
                <w:rFonts w:ascii="Arial" w:hAnsi="Arial" w:cs="Arial"/>
                <w:sz w:val="16"/>
                <w:szCs w:val="18"/>
              </w:rPr>
            </w:pPr>
            <w:r>
              <w:rPr>
                <w:rFonts w:ascii="Arial" w:hAnsi="Arial" w:cs="Arial"/>
                <w:sz w:val="16"/>
                <w:szCs w:val="18"/>
              </w:rPr>
              <w:t>1</w:t>
            </w:r>
          </w:p>
        </w:tc>
        <w:tc>
          <w:tcPr>
            <w:tcW w:w="1082" w:type="dxa"/>
            <w:tcBorders>
              <w:top w:val="nil"/>
              <w:left w:val="nil"/>
              <w:bottom w:val="nil"/>
              <w:right w:val="nil"/>
            </w:tcBorders>
            <w:vAlign w:val="bottom"/>
          </w:tcPr>
          <w:p w14:paraId="08C3C6B3" w14:textId="59E0A6F7" w:rsidR="00C0777A" w:rsidRDefault="00C0777A" w:rsidP="003C1373">
            <w:pPr>
              <w:jc w:val="center"/>
              <w:rPr>
                <w:rFonts w:ascii="Arial" w:hAnsi="Arial" w:cs="Arial"/>
                <w:sz w:val="16"/>
                <w:szCs w:val="18"/>
              </w:rPr>
            </w:pPr>
            <w:r>
              <w:rPr>
                <w:rFonts w:ascii="Arial" w:hAnsi="Arial" w:cs="Arial"/>
                <w:sz w:val="16"/>
                <w:szCs w:val="18"/>
              </w:rPr>
              <w:t>1</w:t>
            </w:r>
          </w:p>
        </w:tc>
        <w:tc>
          <w:tcPr>
            <w:tcW w:w="0" w:type="auto"/>
            <w:tcBorders>
              <w:top w:val="nil"/>
              <w:left w:val="nil"/>
              <w:bottom w:val="nil"/>
              <w:right w:val="nil"/>
            </w:tcBorders>
            <w:vAlign w:val="bottom"/>
          </w:tcPr>
          <w:p w14:paraId="59AA6A63" w14:textId="3FD13F97" w:rsidR="00C0777A" w:rsidRDefault="00C0777A" w:rsidP="002F13E0">
            <w:pPr>
              <w:jc w:val="center"/>
              <w:rPr>
                <w:rFonts w:ascii="Arial" w:hAnsi="Arial" w:cs="Arial"/>
                <w:sz w:val="16"/>
                <w:szCs w:val="18"/>
              </w:rPr>
            </w:pPr>
            <w:r>
              <w:rPr>
                <w:rFonts w:ascii="Arial" w:hAnsi="Arial" w:cs="Arial"/>
                <w:sz w:val="16"/>
                <w:szCs w:val="18"/>
              </w:rPr>
              <w:t>172.675</w:t>
            </w:r>
          </w:p>
        </w:tc>
      </w:tr>
      <w:tr w:rsidR="00BE5A48" w:rsidRPr="00BE5A48" w14:paraId="1F63325F" w14:textId="77777777" w:rsidTr="003C1373">
        <w:trPr>
          <w:trHeight w:val="80"/>
        </w:trPr>
        <w:tc>
          <w:tcPr>
            <w:tcW w:w="883" w:type="dxa"/>
            <w:tcBorders>
              <w:top w:val="nil"/>
              <w:left w:val="nil"/>
              <w:bottom w:val="nil"/>
              <w:right w:val="nil"/>
            </w:tcBorders>
            <w:vAlign w:val="bottom"/>
          </w:tcPr>
          <w:p w14:paraId="3C899DA8" w14:textId="77777777" w:rsidR="00BE5A48" w:rsidRPr="00BE5A48" w:rsidRDefault="00BE5A48" w:rsidP="003C1373">
            <w:pPr>
              <w:jc w:val="center"/>
              <w:rPr>
                <w:rFonts w:ascii="Arial" w:hAnsi="Arial" w:cs="Arial"/>
                <w:sz w:val="16"/>
                <w:szCs w:val="18"/>
              </w:rPr>
            </w:pPr>
          </w:p>
        </w:tc>
        <w:tc>
          <w:tcPr>
            <w:tcW w:w="2491" w:type="dxa"/>
            <w:tcBorders>
              <w:top w:val="nil"/>
              <w:left w:val="nil"/>
              <w:bottom w:val="nil"/>
              <w:right w:val="nil"/>
            </w:tcBorders>
            <w:vAlign w:val="bottom"/>
          </w:tcPr>
          <w:p w14:paraId="06721352" w14:textId="77777777" w:rsidR="00BE5A48" w:rsidRPr="00BE5A48" w:rsidRDefault="00BE5A48" w:rsidP="003C1373">
            <w:pPr>
              <w:jc w:val="center"/>
              <w:rPr>
                <w:rFonts w:ascii="Arial" w:hAnsi="Arial" w:cs="Arial"/>
                <w:sz w:val="16"/>
                <w:szCs w:val="18"/>
              </w:rPr>
            </w:pPr>
          </w:p>
        </w:tc>
        <w:tc>
          <w:tcPr>
            <w:tcW w:w="2215" w:type="dxa"/>
            <w:tcBorders>
              <w:top w:val="nil"/>
              <w:left w:val="nil"/>
              <w:bottom w:val="nil"/>
              <w:right w:val="nil"/>
            </w:tcBorders>
            <w:vAlign w:val="bottom"/>
          </w:tcPr>
          <w:p w14:paraId="615BE9BC" w14:textId="77777777" w:rsidR="00BE5A48" w:rsidRPr="00BE5A48" w:rsidRDefault="00BE5A48" w:rsidP="003C1373">
            <w:pPr>
              <w:jc w:val="center"/>
              <w:rPr>
                <w:rFonts w:ascii="Arial" w:hAnsi="Arial" w:cs="Arial"/>
                <w:sz w:val="16"/>
                <w:szCs w:val="18"/>
              </w:rPr>
            </w:pPr>
          </w:p>
        </w:tc>
        <w:tc>
          <w:tcPr>
            <w:tcW w:w="2344" w:type="dxa"/>
            <w:tcBorders>
              <w:top w:val="nil"/>
              <w:left w:val="nil"/>
              <w:bottom w:val="nil"/>
              <w:right w:val="nil"/>
            </w:tcBorders>
            <w:vAlign w:val="bottom"/>
          </w:tcPr>
          <w:p w14:paraId="1E22ACF0" w14:textId="77777777" w:rsidR="00BE5A48" w:rsidRPr="00BE5A48" w:rsidRDefault="00BE5A48" w:rsidP="003C1373">
            <w:pPr>
              <w:jc w:val="center"/>
              <w:rPr>
                <w:rFonts w:ascii="Arial" w:hAnsi="Arial" w:cs="Arial"/>
                <w:sz w:val="16"/>
                <w:szCs w:val="18"/>
              </w:rPr>
            </w:pPr>
          </w:p>
        </w:tc>
        <w:tc>
          <w:tcPr>
            <w:tcW w:w="2182" w:type="dxa"/>
            <w:tcBorders>
              <w:top w:val="nil"/>
              <w:left w:val="nil"/>
              <w:bottom w:val="nil"/>
              <w:right w:val="nil"/>
            </w:tcBorders>
            <w:vAlign w:val="bottom"/>
          </w:tcPr>
          <w:p w14:paraId="33512C49" w14:textId="77777777" w:rsidR="00BE5A48" w:rsidRPr="00BE5A48" w:rsidRDefault="00BE5A48" w:rsidP="003C1373">
            <w:pPr>
              <w:jc w:val="center"/>
              <w:rPr>
                <w:rFonts w:ascii="Arial" w:hAnsi="Arial" w:cs="Arial"/>
                <w:sz w:val="16"/>
                <w:szCs w:val="18"/>
              </w:rPr>
            </w:pPr>
          </w:p>
        </w:tc>
        <w:tc>
          <w:tcPr>
            <w:tcW w:w="1276" w:type="dxa"/>
            <w:tcBorders>
              <w:top w:val="nil"/>
              <w:left w:val="nil"/>
              <w:bottom w:val="nil"/>
              <w:right w:val="nil"/>
            </w:tcBorders>
            <w:vAlign w:val="bottom"/>
          </w:tcPr>
          <w:p w14:paraId="4C1CAFBB" w14:textId="77777777" w:rsidR="00BE5A48" w:rsidRPr="00BE5A48" w:rsidRDefault="00BE5A48" w:rsidP="003C1373">
            <w:pPr>
              <w:jc w:val="center"/>
              <w:rPr>
                <w:rFonts w:ascii="Arial" w:hAnsi="Arial" w:cs="Arial"/>
                <w:sz w:val="16"/>
                <w:szCs w:val="18"/>
              </w:rPr>
            </w:pPr>
          </w:p>
        </w:tc>
        <w:tc>
          <w:tcPr>
            <w:tcW w:w="1043" w:type="dxa"/>
            <w:tcBorders>
              <w:top w:val="nil"/>
              <w:left w:val="nil"/>
              <w:bottom w:val="nil"/>
              <w:right w:val="nil"/>
            </w:tcBorders>
            <w:vAlign w:val="bottom"/>
          </w:tcPr>
          <w:p w14:paraId="038E7027" w14:textId="77777777" w:rsidR="00BE5A48" w:rsidRPr="00BE5A48" w:rsidRDefault="00BE5A48" w:rsidP="003C1373">
            <w:pPr>
              <w:jc w:val="center"/>
              <w:rPr>
                <w:rFonts w:ascii="Arial" w:hAnsi="Arial" w:cs="Arial"/>
                <w:sz w:val="16"/>
                <w:szCs w:val="18"/>
              </w:rPr>
            </w:pPr>
          </w:p>
        </w:tc>
        <w:tc>
          <w:tcPr>
            <w:tcW w:w="1082" w:type="dxa"/>
            <w:tcBorders>
              <w:top w:val="nil"/>
              <w:left w:val="nil"/>
              <w:bottom w:val="nil"/>
              <w:right w:val="nil"/>
            </w:tcBorders>
            <w:vAlign w:val="bottom"/>
          </w:tcPr>
          <w:p w14:paraId="0A714C22" w14:textId="77777777" w:rsidR="00BE5A48" w:rsidRPr="00BE5A48" w:rsidRDefault="00BE5A48" w:rsidP="003C1373">
            <w:pPr>
              <w:jc w:val="center"/>
              <w:rPr>
                <w:rFonts w:ascii="Arial" w:hAnsi="Arial" w:cs="Arial"/>
                <w:sz w:val="16"/>
                <w:szCs w:val="18"/>
              </w:rPr>
            </w:pPr>
          </w:p>
        </w:tc>
        <w:tc>
          <w:tcPr>
            <w:tcW w:w="0" w:type="auto"/>
            <w:tcBorders>
              <w:top w:val="nil"/>
              <w:left w:val="nil"/>
              <w:bottom w:val="nil"/>
              <w:right w:val="nil"/>
            </w:tcBorders>
            <w:vAlign w:val="bottom"/>
          </w:tcPr>
          <w:p w14:paraId="37825E2A" w14:textId="77777777" w:rsidR="00BE5A48" w:rsidRPr="00BE5A48" w:rsidRDefault="00BE5A48" w:rsidP="003C1373">
            <w:pPr>
              <w:jc w:val="center"/>
              <w:rPr>
                <w:rFonts w:ascii="Arial" w:hAnsi="Arial" w:cs="Arial"/>
                <w:sz w:val="16"/>
                <w:szCs w:val="18"/>
              </w:rPr>
            </w:pPr>
          </w:p>
        </w:tc>
      </w:tr>
      <w:tr w:rsidR="00BE5A48" w:rsidRPr="00BE5A48" w14:paraId="6A4D1710" w14:textId="77777777" w:rsidTr="003C1373">
        <w:trPr>
          <w:trHeight w:val="98"/>
        </w:trPr>
        <w:tc>
          <w:tcPr>
            <w:tcW w:w="883" w:type="dxa"/>
            <w:tcBorders>
              <w:top w:val="nil"/>
              <w:left w:val="nil"/>
              <w:bottom w:val="nil"/>
              <w:right w:val="nil"/>
            </w:tcBorders>
            <w:vAlign w:val="bottom"/>
          </w:tcPr>
          <w:p w14:paraId="3B903A6F" w14:textId="21A52D9C" w:rsidR="00BE5A48" w:rsidRPr="00BE5A48" w:rsidRDefault="00BE5A48" w:rsidP="003C1373">
            <w:pPr>
              <w:jc w:val="center"/>
              <w:rPr>
                <w:rFonts w:ascii="Arial" w:hAnsi="Arial" w:cs="Arial"/>
                <w:sz w:val="16"/>
                <w:szCs w:val="18"/>
              </w:rPr>
            </w:pPr>
            <w:r w:rsidRPr="00BE5A48">
              <w:rPr>
                <w:rFonts w:ascii="Arial" w:hAnsi="Arial" w:cs="Arial"/>
                <w:sz w:val="16"/>
                <w:szCs w:val="18"/>
              </w:rPr>
              <w:t>Forwards</w:t>
            </w:r>
          </w:p>
        </w:tc>
        <w:tc>
          <w:tcPr>
            <w:tcW w:w="2491" w:type="dxa"/>
            <w:tcBorders>
              <w:top w:val="nil"/>
              <w:left w:val="nil"/>
              <w:bottom w:val="nil"/>
              <w:right w:val="nil"/>
            </w:tcBorders>
            <w:vAlign w:val="bottom"/>
          </w:tcPr>
          <w:p w14:paraId="271E7896" w14:textId="2D1486B3" w:rsidR="00BE5A48" w:rsidRPr="00BE5A48" w:rsidRDefault="00BE5A48" w:rsidP="003C1373">
            <w:pPr>
              <w:jc w:val="center"/>
              <w:rPr>
                <w:rFonts w:ascii="Arial" w:hAnsi="Arial" w:cs="Arial"/>
                <w:sz w:val="16"/>
                <w:szCs w:val="18"/>
              </w:rPr>
            </w:pPr>
            <w:r w:rsidRPr="00BE5A48">
              <w:rPr>
                <w:rFonts w:ascii="Arial" w:hAnsi="Arial" w:cs="Arial"/>
                <w:sz w:val="16"/>
                <w:szCs w:val="18"/>
              </w:rPr>
              <w:t>Cobertura de moneda extranjera</w:t>
            </w:r>
          </w:p>
        </w:tc>
        <w:tc>
          <w:tcPr>
            <w:tcW w:w="2215" w:type="dxa"/>
            <w:tcBorders>
              <w:top w:val="nil"/>
              <w:left w:val="nil"/>
              <w:bottom w:val="nil"/>
              <w:right w:val="nil"/>
            </w:tcBorders>
            <w:vAlign w:val="bottom"/>
          </w:tcPr>
          <w:p w14:paraId="5704D82D" w14:textId="31047B63" w:rsidR="00BE5A48" w:rsidRPr="00BE5A48" w:rsidRDefault="00BE5A48" w:rsidP="003C1373">
            <w:pPr>
              <w:jc w:val="center"/>
              <w:rPr>
                <w:rFonts w:ascii="Arial" w:hAnsi="Arial" w:cs="Arial"/>
                <w:sz w:val="16"/>
                <w:szCs w:val="18"/>
              </w:rPr>
            </w:pPr>
            <w:r w:rsidRPr="00BE5A48">
              <w:rPr>
                <w:rFonts w:ascii="Arial" w:hAnsi="Arial" w:cs="Arial"/>
                <w:sz w:val="16"/>
                <w:szCs w:val="18"/>
              </w:rPr>
              <w:t>Moneda extranjera</w:t>
            </w:r>
          </w:p>
        </w:tc>
        <w:tc>
          <w:tcPr>
            <w:tcW w:w="2344" w:type="dxa"/>
            <w:tcBorders>
              <w:top w:val="nil"/>
              <w:left w:val="nil"/>
              <w:bottom w:val="nil"/>
              <w:right w:val="nil"/>
            </w:tcBorders>
            <w:vAlign w:val="bottom"/>
          </w:tcPr>
          <w:p w14:paraId="6FE60D56" w14:textId="74DA4B6F" w:rsidR="00BE5A48" w:rsidRPr="00BE5A48" w:rsidRDefault="00BE5A48" w:rsidP="003C1373">
            <w:pPr>
              <w:jc w:val="center"/>
              <w:rPr>
                <w:rFonts w:ascii="Arial" w:hAnsi="Arial" w:cs="Arial"/>
                <w:sz w:val="16"/>
                <w:szCs w:val="18"/>
              </w:rPr>
            </w:pPr>
            <w:r w:rsidRPr="00BE5A48">
              <w:rPr>
                <w:rFonts w:ascii="Arial" w:hAnsi="Arial" w:cs="Arial"/>
                <w:sz w:val="16"/>
                <w:szCs w:val="18"/>
              </w:rPr>
              <w:t>Al vencimiento de diferencias</w:t>
            </w:r>
          </w:p>
        </w:tc>
        <w:tc>
          <w:tcPr>
            <w:tcW w:w="2182" w:type="dxa"/>
            <w:tcBorders>
              <w:top w:val="nil"/>
              <w:left w:val="nil"/>
              <w:bottom w:val="nil"/>
              <w:right w:val="nil"/>
            </w:tcBorders>
            <w:vAlign w:val="bottom"/>
          </w:tcPr>
          <w:p w14:paraId="679A9806" w14:textId="48CCDBE7" w:rsidR="00BE5A48" w:rsidRPr="00BE5A48" w:rsidRDefault="00BE5A48" w:rsidP="003C1373">
            <w:pPr>
              <w:jc w:val="center"/>
              <w:rPr>
                <w:rFonts w:ascii="Arial" w:hAnsi="Arial" w:cs="Arial"/>
                <w:sz w:val="16"/>
                <w:szCs w:val="18"/>
              </w:rPr>
            </w:pPr>
            <w:r w:rsidRPr="00BE5A48">
              <w:rPr>
                <w:rFonts w:ascii="Arial" w:hAnsi="Arial" w:cs="Arial"/>
                <w:sz w:val="16"/>
                <w:szCs w:val="18"/>
              </w:rPr>
              <w:t>OTC – residentes en el país - sector no financiero</w:t>
            </w:r>
          </w:p>
        </w:tc>
        <w:tc>
          <w:tcPr>
            <w:tcW w:w="1276" w:type="dxa"/>
            <w:tcBorders>
              <w:top w:val="nil"/>
              <w:left w:val="nil"/>
              <w:bottom w:val="nil"/>
              <w:right w:val="nil"/>
            </w:tcBorders>
            <w:vAlign w:val="bottom"/>
          </w:tcPr>
          <w:p w14:paraId="30C6FAB8" w14:textId="2596B19D" w:rsidR="00BE5A48" w:rsidRPr="00BE5A48" w:rsidRDefault="00C0777A" w:rsidP="003C1373">
            <w:pPr>
              <w:jc w:val="center"/>
              <w:rPr>
                <w:rFonts w:ascii="Arial" w:hAnsi="Arial" w:cs="Arial"/>
                <w:sz w:val="16"/>
                <w:szCs w:val="18"/>
              </w:rPr>
            </w:pPr>
            <w:r>
              <w:rPr>
                <w:rFonts w:ascii="Arial" w:hAnsi="Arial" w:cs="Arial"/>
                <w:sz w:val="16"/>
                <w:szCs w:val="18"/>
              </w:rPr>
              <w:t>3</w:t>
            </w:r>
          </w:p>
        </w:tc>
        <w:tc>
          <w:tcPr>
            <w:tcW w:w="1043" w:type="dxa"/>
            <w:tcBorders>
              <w:top w:val="nil"/>
              <w:left w:val="nil"/>
              <w:bottom w:val="nil"/>
              <w:right w:val="nil"/>
            </w:tcBorders>
            <w:vAlign w:val="bottom"/>
          </w:tcPr>
          <w:p w14:paraId="5C8D24D5" w14:textId="2D86FFDF" w:rsidR="00BE5A48" w:rsidRPr="00BE5A48" w:rsidRDefault="00C0777A" w:rsidP="003C1373">
            <w:pPr>
              <w:jc w:val="center"/>
              <w:rPr>
                <w:rFonts w:ascii="Arial" w:hAnsi="Arial" w:cs="Arial"/>
                <w:sz w:val="16"/>
                <w:szCs w:val="18"/>
              </w:rPr>
            </w:pPr>
            <w:r>
              <w:rPr>
                <w:rFonts w:ascii="Arial" w:hAnsi="Arial" w:cs="Arial"/>
                <w:sz w:val="16"/>
                <w:szCs w:val="18"/>
              </w:rPr>
              <w:t>3</w:t>
            </w:r>
          </w:p>
        </w:tc>
        <w:tc>
          <w:tcPr>
            <w:tcW w:w="1082" w:type="dxa"/>
            <w:tcBorders>
              <w:top w:val="nil"/>
              <w:left w:val="nil"/>
              <w:bottom w:val="nil"/>
              <w:right w:val="nil"/>
            </w:tcBorders>
            <w:vAlign w:val="bottom"/>
          </w:tcPr>
          <w:p w14:paraId="2DCADDDD" w14:textId="274F084D" w:rsidR="00BE5A48" w:rsidRPr="00BE5A48" w:rsidRDefault="00C0777A" w:rsidP="003C1373">
            <w:pPr>
              <w:jc w:val="center"/>
              <w:rPr>
                <w:rFonts w:ascii="Arial" w:hAnsi="Arial" w:cs="Arial"/>
                <w:sz w:val="16"/>
                <w:szCs w:val="18"/>
              </w:rPr>
            </w:pPr>
            <w:r>
              <w:rPr>
                <w:rFonts w:ascii="Arial" w:hAnsi="Arial" w:cs="Arial"/>
                <w:sz w:val="16"/>
                <w:szCs w:val="18"/>
              </w:rPr>
              <w:t>100</w:t>
            </w:r>
          </w:p>
        </w:tc>
        <w:tc>
          <w:tcPr>
            <w:tcW w:w="0" w:type="auto"/>
            <w:tcBorders>
              <w:top w:val="nil"/>
              <w:left w:val="nil"/>
              <w:bottom w:val="nil"/>
              <w:right w:val="nil"/>
            </w:tcBorders>
            <w:vAlign w:val="bottom"/>
          </w:tcPr>
          <w:p w14:paraId="5AAE42FF" w14:textId="2DED9128" w:rsidR="00BE5A48" w:rsidRPr="00BE5A48" w:rsidRDefault="00C0777A" w:rsidP="003C1373">
            <w:pPr>
              <w:jc w:val="center"/>
              <w:rPr>
                <w:rFonts w:ascii="Arial" w:hAnsi="Arial" w:cs="Arial"/>
                <w:sz w:val="16"/>
                <w:szCs w:val="18"/>
              </w:rPr>
            </w:pPr>
            <w:r>
              <w:rPr>
                <w:rFonts w:ascii="Arial" w:hAnsi="Arial" w:cs="Arial"/>
                <w:sz w:val="16"/>
                <w:szCs w:val="18"/>
              </w:rPr>
              <w:t>1.299.494</w:t>
            </w:r>
          </w:p>
        </w:tc>
      </w:tr>
      <w:tr w:rsidR="00BE5A48" w:rsidRPr="00BE5A48" w14:paraId="2E11D4E4" w14:textId="77777777" w:rsidTr="003C1373">
        <w:tc>
          <w:tcPr>
            <w:tcW w:w="883" w:type="dxa"/>
            <w:tcBorders>
              <w:top w:val="nil"/>
              <w:left w:val="nil"/>
              <w:bottom w:val="nil"/>
              <w:right w:val="nil"/>
            </w:tcBorders>
            <w:vAlign w:val="bottom"/>
          </w:tcPr>
          <w:p w14:paraId="0BF79DF4" w14:textId="77777777" w:rsidR="00BE5A48" w:rsidRPr="00BE5A48" w:rsidRDefault="00BE5A48" w:rsidP="003C1373">
            <w:pPr>
              <w:jc w:val="center"/>
              <w:rPr>
                <w:rFonts w:ascii="Arial" w:hAnsi="Arial" w:cs="Arial"/>
                <w:sz w:val="16"/>
                <w:szCs w:val="18"/>
              </w:rPr>
            </w:pPr>
          </w:p>
        </w:tc>
        <w:tc>
          <w:tcPr>
            <w:tcW w:w="2491" w:type="dxa"/>
            <w:tcBorders>
              <w:top w:val="nil"/>
              <w:left w:val="nil"/>
              <w:bottom w:val="nil"/>
              <w:right w:val="nil"/>
            </w:tcBorders>
            <w:vAlign w:val="bottom"/>
          </w:tcPr>
          <w:p w14:paraId="35734B78" w14:textId="77777777" w:rsidR="00BE5A48" w:rsidRPr="00BE5A48" w:rsidRDefault="00BE5A48" w:rsidP="003C1373">
            <w:pPr>
              <w:jc w:val="center"/>
              <w:rPr>
                <w:rFonts w:ascii="Arial" w:hAnsi="Arial" w:cs="Arial"/>
                <w:sz w:val="16"/>
                <w:szCs w:val="18"/>
              </w:rPr>
            </w:pPr>
          </w:p>
        </w:tc>
        <w:tc>
          <w:tcPr>
            <w:tcW w:w="2215" w:type="dxa"/>
            <w:tcBorders>
              <w:top w:val="nil"/>
              <w:left w:val="nil"/>
              <w:bottom w:val="nil"/>
              <w:right w:val="nil"/>
            </w:tcBorders>
            <w:vAlign w:val="bottom"/>
          </w:tcPr>
          <w:p w14:paraId="23230C6B" w14:textId="77777777" w:rsidR="00BE5A48" w:rsidRPr="00BE5A48" w:rsidRDefault="00BE5A48" w:rsidP="003C1373">
            <w:pPr>
              <w:jc w:val="center"/>
              <w:rPr>
                <w:rFonts w:ascii="Arial" w:hAnsi="Arial" w:cs="Arial"/>
                <w:sz w:val="16"/>
                <w:szCs w:val="18"/>
              </w:rPr>
            </w:pPr>
          </w:p>
        </w:tc>
        <w:tc>
          <w:tcPr>
            <w:tcW w:w="2344" w:type="dxa"/>
            <w:tcBorders>
              <w:top w:val="nil"/>
              <w:left w:val="nil"/>
              <w:bottom w:val="nil"/>
              <w:right w:val="nil"/>
            </w:tcBorders>
            <w:vAlign w:val="bottom"/>
          </w:tcPr>
          <w:p w14:paraId="12A025D6" w14:textId="77777777" w:rsidR="00BE5A48" w:rsidRPr="00BE5A48" w:rsidRDefault="00BE5A48" w:rsidP="003C1373">
            <w:pPr>
              <w:jc w:val="center"/>
              <w:rPr>
                <w:rFonts w:ascii="Arial" w:hAnsi="Arial" w:cs="Arial"/>
                <w:sz w:val="16"/>
                <w:szCs w:val="18"/>
              </w:rPr>
            </w:pPr>
          </w:p>
        </w:tc>
        <w:tc>
          <w:tcPr>
            <w:tcW w:w="2182" w:type="dxa"/>
            <w:tcBorders>
              <w:top w:val="nil"/>
              <w:left w:val="nil"/>
              <w:bottom w:val="nil"/>
              <w:right w:val="nil"/>
            </w:tcBorders>
            <w:vAlign w:val="bottom"/>
          </w:tcPr>
          <w:p w14:paraId="24D848BA" w14:textId="77777777" w:rsidR="00BE5A48" w:rsidRPr="00BE5A48" w:rsidRDefault="00BE5A48" w:rsidP="003C1373">
            <w:pPr>
              <w:jc w:val="center"/>
              <w:rPr>
                <w:rFonts w:ascii="Arial" w:hAnsi="Arial" w:cs="Arial"/>
                <w:sz w:val="16"/>
                <w:szCs w:val="18"/>
              </w:rPr>
            </w:pPr>
          </w:p>
        </w:tc>
        <w:tc>
          <w:tcPr>
            <w:tcW w:w="1276" w:type="dxa"/>
            <w:tcBorders>
              <w:top w:val="nil"/>
              <w:left w:val="nil"/>
              <w:bottom w:val="nil"/>
              <w:right w:val="nil"/>
            </w:tcBorders>
            <w:vAlign w:val="bottom"/>
          </w:tcPr>
          <w:p w14:paraId="186AD413" w14:textId="77777777" w:rsidR="00BE5A48" w:rsidRPr="00BE5A48" w:rsidRDefault="00BE5A48" w:rsidP="003C1373">
            <w:pPr>
              <w:jc w:val="center"/>
              <w:rPr>
                <w:rFonts w:ascii="Arial" w:hAnsi="Arial" w:cs="Arial"/>
                <w:sz w:val="16"/>
                <w:szCs w:val="18"/>
              </w:rPr>
            </w:pPr>
          </w:p>
        </w:tc>
        <w:tc>
          <w:tcPr>
            <w:tcW w:w="1043" w:type="dxa"/>
            <w:tcBorders>
              <w:top w:val="nil"/>
              <w:left w:val="nil"/>
              <w:bottom w:val="nil"/>
              <w:right w:val="nil"/>
            </w:tcBorders>
            <w:vAlign w:val="bottom"/>
          </w:tcPr>
          <w:p w14:paraId="5556A1D6" w14:textId="77777777" w:rsidR="00BE5A48" w:rsidRPr="00BE5A48" w:rsidRDefault="00BE5A48" w:rsidP="003C1373">
            <w:pPr>
              <w:jc w:val="center"/>
              <w:rPr>
                <w:rFonts w:ascii="Arial" w:hAnsi="Arial" w:cs="Arial"/>
                <w:sz w:val="16"/>
                <w:szCs w:val="18"/>
              </w:rPr>
            </w:pPr>
          </w:p>
        </w:tc>
        <w:tc>
          <w:tcPr>
            <w:tcW w:w="1082" w:type="dxa"/>
            <w:tcBorders>
              <w:top w:val="nil"/>
              <w:left w:val="nil"/>
              <w:bottom w:val="nil"/>
              <w:right w:val="nil"/>
            </w:tcBorders>
            <w:vAlign w:val="bottom"/>
          </w:tcPr>
          <w:p w14:paraId="778B6CC6" w14:textId="77777777" w:rsidR="00BE5A48" w:rsidRPr="00BE5A48" w:rsidRDefault="00BE5A48" w:rsidP="003C1373">
            <w:pPr>
              <w:jc w:val="center"/>
              <w:rPr>
                <w:rFonts w:ascii="Arial" w:hAnsi="Arial" w:cs="Arial"/>
                <w:sz w:val="16"/>
                <w:szCs w:val="18"/>
              </w:rPr>
            </w:pPr>
          </w:p>
        </w:tc>
        <w:tc>
          <w:tcPr>
            <w:tcW w:w="0" w:type="auto"/>
            <w:tcBorders>
              <w:top w:val="nil"/>
              <w:left w:val="nil"/>
              <w:bottom w:val="nil"/>
              <w:right w:val="nil"/>
            </w:tcBorders>
            <w:vAlign w:val="bottom"/>
          </w:tcPr>
          <w:p w14:paraId="3AD8E68F" w14:textId="77777777" w:rsidR="00BE5A48" w:rsidRPr="00BE5A48" w:rsidRDefault="00BE5A48" w:rsidP="003C1373">
            <w:pPr>
              <w:jc w:val="center"/>
              <w:rPr>
                <w:rFonts w:ascii="Arial" w:hAnsi="Arial" w:cs="Arial"/>
                <w:sz w:val="16"/>
                <w:szCs w:val="18"/>
              </w:rPr>
            </w:pPr>
          </w:p>
        </w:tc>
      </w:tr>
      <w:tr w:rsidR="00BE5A48" w:rsidRPr="00BE5A48" w14:paraId="09BC3AB4" w14:textId="77777777" w:rsidTr="003C1373">
        <w:tc>
          <w:tcPr>
            <w:tcW w:w="883" w:type="dxa"/>
            <w:tcBorders>
              <w:top w:val="nil"/>
              <w:left w:val="nil"/>
              <w:bottom w:val="nil"/>
              <w:right w:val="nil"/>
            </w:tcBorders>
            <w:vAlign w:val="bottom"/>
          </w:tcPr>
          <w:p w14:paraId="64331FD7" w14:textId="6C0A44EB" w:rsidR="00BE5A48" w:rsidRPr="00BE5A48" w:rsidRDefault="00BE5A48" w:rsidP="003C1373">
            <w:pPr>
              <w:jc w:val="center"/>
              <w:rPr>
                <w:rFonts w:ascii="Arial" w:hAnsi="Arial" w:cs="Arial"/>
                <w:sz w:val="16"/>
                <w:szCs w:val="18"/>
              </w:rPr>
            </w:pPr>
            <w:r w:rsidRPr="00BE5A48">
              <w:rPr>
                <w:rFonts w:ascii="Arial" w:hAnsi="Arial" w:cs="Arial"/>
                <w:sz w:val="16"/>
                <w:szCs w:val="18"/>
              </w:rPr>
              <w:t>Pases</w:t>
            </w:r>
          </w:p>
        </w:tc>
        <w:tc>
          <w:tcPr>
            <w:tcW w:w="2491" w:type="dxa"/>
            <w:tcBorders>
              <w:top w:val="nil"/>
              <w:left w:val="nil"/>
              <w:bottom w:val="nil"/>
              <w:right w:val="nil"/>
            </w:tcBorders>
            <w:vAlign w:val="bottom"/>
          </w:tcPr>
          <w:p w14:paraId="18596009" w14:textId="58EC5866" w:rsidR="00BE5A48" w:rsidRPr="00BE5A48" w:rsidRDefault="00BE5A48" w:rsidP="003C1373">
            <w:pPr>
              <w:jc w:val="center"/>
              <w:rPr>
                <w:rFonts w:ascii="Arial" w:hAnsi="Arial" w:cs="Arial"/>
                <w:sz w:val="16"/>
                <w:szCs w:val="18"/>
              </w:rPr>
            </w:pPr>
            <w:r w:rsidRPr="00BE5A48">
              <w:rPr>
                <w:rFonts w:ascii="Arial" w:hAnsi="Arial" w:cs="Arial"/>
                <w:sz w:val="16"/>
                <w:szCs w:val="18"/>
              </w:rPr>
              <w:t xml:space="preserve">Intermediación – cuenta propia </w:t>
            </w:r>
          </w:p>
        </w:tc>
        <w:tc>
          <w:tcPr>
            <w:tcW w:w="2215" w:type="dxa"/>
            <w:tcBorders>
              <w:top w:val="nil"/>
              <w:left w:val="nil"/>
              <w:bottom w:val="nil"/>
              <w:right w:val="nil"/>
            </w:tcBorders>
            <w:vAlign w:val="bottom"/>
          </w:tcPr>
          <w:p w14:paraId="37C60672" w14:textId="16058DA9" w:rsidR="00BE5A48" w:rsidRPr="00BE5A48" w:rsidRDefault="00BE5A48" w:rsidP="003C1373">
            <w:pPr>
              <w:jc w:val="center"/>
              <w:rPr>
                <w:rFonts w:ascii="Arial" w:hAnsi="Arial" w:cs="Arial"/>
                <w:sz w:val="16"/>
                <w:szCs w:val="18"/>
              </w:rPr>
            </w:pPr>
            <w:r w:rsidRPr="00BE5A48">
              <w:rPr>
                <w:rFonts w:ascii="Arial" w:hAnsi="Arial" w:cs="Arial"/>
                <w:sz w:val="16"/>
                <w:szCs w:val="18"/>
              </w:rPr>
              <w:t>Títulos públicos nacionales</w:t>
            </w:r>
          </w:p>
        </w:tc>
        <w:tc>
          <w:tcPr>
            <w:tcW w:w="2344" w:type="dxa"/>
            <w:tcBorders>
              <w:top w:val="nil"/>
              <w:left w:val="nil"/>
              <w:bottom w:val="nil"/>
              <w:right w:val="nil"/>
            </w:tcBorders>
            <w:vAlign w:val="bottom"/>
          </w:tcPr>
          <w:p w14:paraId="42F220B3" w14:textId="074039B3" w:rsidR="00BE5A48" w:rsidRPr="00BE5A48" w:rsidRDefault="00BE5A48" w:rsidP="003C1373">
            <w:pPr>
              <w:jc w:val="center"/>
              <w:rPr>
                <w:rFonts w:ascii="Arial" w:hAnsi="Arial" w:cs="Arial"/>
                <w:sz w:val="16"/>
                <w:szCs w:val="18"/>
              </w:rPr>
            </w:pPr>
            <w:r w:rsidRPr="00BE5A48">
              <w:rPr>
                <w:rFonts w:ascii="Arial" w:hAnsi="Arial" w:cs="Arial"/>
                <w:sz w:val="16"/>
                <w:szCs w:val="18"/>
              </w:rPr>
              <w:t>Otras</w:t>
            </w:r>
          </w:p>
        </w:tc>
        <w:tc>
          <w:tcPr>
            <w:tcW w:w="2182" w:type="dxa"/>
            <w:tcBorders>
              <w:top w:val="nil"/>
              <w:left w:val="nil"/>
              <w:bottom w:val="nil"/>
              <w:right w:val="nil"/>
            </w:tcBorders>
            <w:vAlign w:val="bottom"/>
          </w:tcPr>
          <w:p w14:paraId="5DDD5256" w14:textId="2134DD8C" w:rsidR="00BE5A48" w:rsidRPr="00BE5A48" w:rsidRDefault="00BE5A48" w:rsidP="003C1373">
            <w:pPr>
              <w:jc w:val="center"/>
              <w:rPr>
                <w:rFonts w:ascii="Arial" w:hAnsi="Arial" w:cs="Arial"/>
                <w:sz w:val="16"/>
                <w:szCs w:val="18"/>
              </w:rPr>
            </w:pPr>
            <w:r w:rsidRPr="00BE5A48">
              <w:rPr>
                <w:rFonts w:ascii="Arial" w:hAnsi="Arial" w:cs="Arial"/>
                <w:sz w:val="16"/>
                <w:szCs w:val="18"/>
              </w:rPr>
              <w:t>BCBA</w:t>
            </w:r>
          </w:p>
        </w:tc>
        <w:tc>
          <w:tcPr>
            <w:tcW w:w="1276" w:type="dxa"/>
            <w:tcBorders>
              <w:top w:val="nil"/>
              <w:left w:val="nil"/>
              <w:bottom w:val="nil"/>
              <w:right w:val="nil"/>
            </w:tcBorders>
            <w:vAlign w:val="bottom"/>
          </w:tcPr>
          <w:p w14:paraId="0EAC88E2" w14:textId="5768D0C9" w:rsidR="00BE5A48" w:rsidRPr="00BE5A48" w:rsidRDefault="00BE5A48" w:rsidP="003C1373">
            <w:pPr>
              <w:jc w:val="center"/>
              <w:rPr>
                <w:rFonts w:ascii="Arial" w:hAnsi="Arial" w:cs="Arial"/>
                <w:sz w:val="16"/>
                <w:szCs w:val="18"/>
              </w:rPr>
            </w:pPr>
            <w:r>
              <w:rPr>
                <w:rFonts w:ascii="Arial" w:hAnsi="Arial" w:cs="Arial"/>
                <w:sz w:val="16"/>
                <w:szCs w:val="18"/>
              </w:rPr>
              <w:t>3</w:t>
            </w:r>
          </w:p>
        </w:tc>
        <w:tc>
          <w:tcPr>
            <w:tcW w:w="1043" w:type="dxa"/>
            <w:tcBorders>
              <w:top w:val="nil"/>
              <w:left w:val="nil"/>
              <w:bottom w:val="nil"/>
              <w:right w:val="nil"/>
            </w:tcBorders>
            <w:vAlign w:val="bottom"/>
          </w:tcPr>
          <w:p w14:paraId="0C0BFF33" w14:textId="2C773BD3" w:rsidR="00BE5A48" w:rsidRPr="00BE5A48" w:rsidRDefault="00BE5A48" w:rsidP="003C1373">
            <w:pPr>
              <w:jc w:val="center"/>
              <w:rPr>
                <w:rFonts w:ascii="Arial" w:hAnsi="Arial" w:cs="Arial"/>
                <w:sz w:val="16"/>
                <w:szCs w:val="18"/>
              </w:rPr>
            </w:pPr>
            <w:r>
              <w:rPr>
                <w:rFonts w:ascii="Arial" w:hAnsi="Arial" w:cs="Arial"/>
                <w:sz w:val="16"/>
                <w:szCs w:val="18"/>
              </w:rPr>
              <w:t>3</w:t>
            </w:r>
          </w:p>
        </w:tc>
        <w:tc>
          <w:tcPr>
            <w:tcW w:w="1082" w:type="dxa"/>
            <w:tcBorders>
              <w:top w:val="nil"/>
              <w:left w:val="nil"/>
              <w:bottom w:val="nil"/>
              <w:right w:val="nil"/>
            </w:tcBorders>
            <w:vAlign w:val="bottom"/>
          </w:tcPr>
          <w:p w14:paraId="434A0ABD" w14:textId="74B62C78" w:rsidR="00BE5A48" w:rsidRPr="00BE5A48" w:rsidRDefault="00BE5A48" w:rsidP="003C1373">
            <w:pPr>
              <w:jc w:val="center"/>
              <w:rPr>
                <w:rFonts w:ascii="Arial" w:hAnsi="Arial" w:cs="Arial"/>
                <w:sz w:val="16"/>
                <w:szCs w:val="18"/>
              </w:rPr>
            </w:pPr>
            <w:r>
              <w:rPr>
                <w:rFonts w:ascii="Arial" w:hAnsi="Arial" w:cs="Arial"/>
                <w:sz w:val="16"/>
                <w:szCs w:val="18"/>
              </w:rPr>
              <w:t>-</w:t>
            </w:r>
          </w:p>
        </w:tc>
        <w:tc>
          <w:tcPr>
            <w:tcW w:w="0" w:type="auto"/>
            <w:tcBorders>
              <w:top w:val="nil"/>
              <w:left w:val="nil"/>
              <w:bottom w:val="nil"/>
              <w:right w:val="nil"/>
            </w:tcBorders>
            <w:vAlign w:val="bottom"/>
          </w:tcPr>
          <w:p w14:paraId="0A8ACBE1" w14:textId="56F17B0A" w:rsidR="00BE5A48" w:rsidRPr="00BE5A48" w:rsidRDefault="00C0777A" w:rsidP="003C1373">
            <w:pPr>
              <w:jc w:val="center"/>
              <w:rPr>
                <w:rFonts w:ascii="Arial" w:hAnsi="Arial" w:cs="Arial"/>
                <w:sz w:val="16"/>
                <w:szCs w:val="18"/>
              </w:rPr>
            </w:pPr>
            <w:r>
              <w:rPr>
                <w:rFonts w:ascii="Arial" w:hAnsi="Arial" w:cs="Arial"/>
                <w:sz w:val="16"/>
                <w:szCs w:val="18"/>
              </w:rPr>
              <w:t>4.676.105</w:t>
            </w:r>
          </w:p>
        </w:tc>
      </w:tr>
    </w:tbl>
    <w:p w14:paraId="2662563C" w14:textId="25930D8C" w:rsidR="00A179F3" w:rsidRPr="00BE5A48" w:rsidRDefault="00A179F3" w:rsidP="008962C9">
      <w:pPr>
        <w:rPr>
          <w:rFonts w:ascii="Arial" w:hAnsi="Arial" w:cs="Arial"/>
          <w:sz w:val="18"/>
          <w:szCs w:val="18"/>
        </w:rPr>
      </w:pPr>
    </w:p>
    <w:p w14:paraId="157B6DDB" w14:textId="3B3234AA" w:rsidR="00A179F3" w:rsidRPr="00BE5A48" w:rsidRDefault="00A179F3" w:rsidP="008962C9">
      <w:pPr>
        <w:rPr>
          <w:rFonts w:ascii="Arial" w:hAnsi="Arial" w:cs="Arial"/>
          <w:sz w:val="18"/>
          <w:szCs w:val="18"/>
        </w:rPr>
      </w:pPr>
    </w:p>
    <w:p w14:paraId="101B29E3" w14:textId="7D22B1EB" w:rsidR="00A179F3" w:rsidRPr="00BE5A48" w:rsidRDefault="00A179F3" w:rsidP="008962C9">
      <w:pPr>
        <w:rPr>
          <w:rFonts w:ascii="Arial" w:hAnsi="Arial" w:cs="Arial"/>
          <w:sz w:val="18"/>
          <w:szCs w:val="18"/>
        </w:rPr>
      </w:pPr>
    </w:p>
    <w:p w14:paraId="37107703" w14:textId="0DB284A3" w:rsidR="00A179F3" w:rsidRDefault="00A179F3" w:rsidP="008962C9"/>
    <w:p w14:paraId="14970CD3" w14:textId="77777777" w:rsidR="00A179F3" w:rsidRPr="007B34B2" w:rsidRDefault="00A179F3" w:rsidP="008962C9"/>
    <w:p w14:paraId="4E054EB4" w14:textId="77777777" w:rsidR="00B37F15" w:rsidRPr="00BE5A48" w:rsidRDefault="00B37F15" w:rsidP="008962C9">
      <w:pPr>
        <w:sectPr w:rsidR="00B37F15" w:rsidRPr="00BE5A48" w:rsidSect="00AF16A0">
          <w:headerReference w:type="default" r:id="rId48"/>
          <w:pgSz w:w="16839" w:h="11907" w:orient="landscape" w:code="9"/>
          <w:pgMar w:top="1701" w:right="1418" w:bottom="1701" w:left="1418" w:header="567" w:footer="0" w:gutter="0"/>
          <w:paperSrc w:first="256" w:other="256"/>
          <w:cols w:space="720"/>
          <w:docGrid w:linePitch="326"/>
        </w:sectPr>
      </w:pPr>
    </w:p>
    <w:p w14:paraId="5E7AE46D" w14:textId="77777777" w:rsidR="004C6D19" w:rsidRPr="00BE5A48" w:rsidRDefault="004C6D19" w:rsidP="008962C9"/>
    <w:p w14:paraId="37410128" w14:textId="77777777" w:rsidR="007C794F" w:rsidRPr="00701F32" w:rsidRDefault="007C794F" w:rsidP="008962C9"/>
    <w:tbl>
      <w:tblPr>
        <w:tblW w:w="10371" w:type="dxa"/>
        <w:tblInd w:w="-714" w:type="dxa"/>
        <w:tblLayout w:type="fixed"/>
        <w:tblCellMar>
          <w:left w:w="70" w:type="dxa"/>
          <w:right w:w="70" w:type="dxa"/>
        </w:tblCellMar>
        <w:tblLook w:val="04A0" w:firstRow="1" w:lastRow="0" w:firstColumn="1" w:lastColumn="0" w:noHBand="0" w:noVBand="1"/>
      </w:tblPr>
      <w:tblGrid>
        <w:gridCol w:w="2547"/>
        <w:gridCol w:w="1204"/>
        <w:gridCol w:w="997"/>
        <w:gridCol w:w="897"/>
        <w:gridCol w:w="1229"/>
        <w:gridCol w:w="1229"/>
        <w:gridCol w:w="1134"/>
        <w:gridCol w:w="1134"/>
      </w:tblGrid>
      <w:tr w:rsidR="00E20558" w:rsidRPr="000B563A" w14:paraId="7B706484" w14:textId="77777777" w:rsidTr="00015FAF">
        <w:tc>
          <w:tcPr>
            <w:tcW w:w="2547"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24B5FAA0" w14:textId="77777777" w:rsidR="00E20558" w:rsidRPr="000B563A" w:rsidRDefault="00E20558" w:rsidP="00BE5A48">
            <w:pPr>
              <w:jc w:val="center"/>
              <w:rPr>
                <w:rFonts w:ascii="Arial" w:hAnsi="Arial" w:cs="Arial"/>
                <w:b/>
                <w:bCs/>
                <w:sz w:val="16"/>
                <w:szCs w:val="16"/>
                <w:lang w:eastAsia="es-AR"/>
              </w:rPr>
            </w:pPr>
            <w:bookmarkStart w:id="49" w:name="_Hlk40885448"/>
            <w:r w:rsidRPr="000B563A">
              <w:rPr>
                <w:rFonts w:ascii="Arial" w:hAnsi="Arial" w:cs="Arial"/>
                <w:b/>
                <w:bCs/>
                <w:sz w:val="16"/>
                <w:szCs w:val="16"/>
                <w:lang w:eastAsia="es-AR"/>
              </w:rPr>
              <w:t>Conceptos</w:t>
            </w:r>
          </w:p>
        </w:tc>
        <w:tc>
          <w:tcPr>
            <w:tcW w:w="120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45C83DE" w14:textId="77777777" w:rsidR="00E20558" w:rsidRPr="000B563A" w:rsidRDefault="00E20558" w:rsidP="00BE5A48">
            <w:pPr>
              <w:jc w:val="center"/>
              <w:rPr>
                <w:rFonts w:ascii="Arial" w:hAnsi="Arial" w:cs="Arial"/>
                <w:b/>
                <w:bCs/>
                <w:sz w:val="16"/>
                <w:szCs w:val="16"/>
                <w:lang w:eastAsia="es-AR"/>
              </w:rPr>
            </w:pPr>
            <w:r w:rsidRPr="000B563A">
              <w:rPr>
                <w:rFonts w:ascii="Arial" w:hAnsi="Arial" w:cs="Arial"/>
                <w:b/>
                <w:bCs/>
                <w:sz w:val="16"/>
                <w:szCs w:val="16"/>
                <w:lang w:eastAsia="es-AR"/>
              </w:rPr>
              <w:t>Saldos al inicio del ejercicio</w:t>
            </w:r>
          </w:p>
        </w:tc>
        <w:tc>
          <w:tcPr>
            <w:tcW w:w="997"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1C3BE140" w14:textId="7BF507A4" w:rsidR="00E20558" w:rsidRPr="000B563A" w:rsidRDefault="00E20558" w:rsidP="00124DDB">
            <w:pPr>
              <w:rPr>
                <w:rFonts w:ascii="Arial" w:hAnsi="Arial" w:cs="Arial"/>
                <w:b/>
                <w:bCs/>
                <w:sz w:val="16"/>
                <w:szCs w:val="16"/>
                <w:lang w:eastAsia="es-AR"/>
              </w:rPr>
            </w:pPr>
            <w:r w:rsidRPr="00124DDB">
              <w:rPr>
                <w:rFonts w:ascii="Arial" w:hAnsi="Arial" w:cs="Arial"/>
                <w:b/>
                <w:bCs/>
                <w:sz w:val="16"/>
                <w:szCs w:val="16"/>
                <w:lang w:eastAsia="es-AR"/>
              </w:rPr>
              <w:t>PCE de los próximos 12 meses</w:t>
            </w:r>
          </w:p>
        </w:tc>
        <w:tc>
          <w:tcPr>
            <w:tcW w:w="3355" w:type="dxa"/>
            <w:gridSpan w:val="3"/>
            <w:tcBorders>
              <w:top w:val="single" w:sz="4" w:space="0" w:color="363639"/>
              <w:left w:val="single" w:sz="4" w:space="0" w:color="363639"/>
              <w:bottom w:val="single" w:sz="4" w:space="0" w:color="363639"/>
              <w:right w:val="single" w:sz="4" w:space="0" w:color="363639"/>
            </w:tcBorders>
            <w:shd w:val="clear" w:color="auto" w:fill="BFBFBF" w:themeFill="background1" w:themeFillShade="BF"/>
          </w:tcPr>
          <w:p w14:paraId="403D02A2" w14:textId="47E156F1" w:rsidR="00E20558" w:rsidRPr="000B563A" w:rsidRDefault="00E20558" w:rsidP="00BE5A48">
            <w:pPr>
              <w:jc w:val="center"/>
              <w:rPr>
                <w:rFonts w:ascii="Arial" w:hAnsi="Arial" w:cs="Arial"/>
                <w:b/>
                <w:bCs/>
                <w:sz w:val="16"/>
                <w:szCs w:val="16"/>
                <w:lang w:eastAsia="es-AR"/>
              </w:rPr>
            </w:pPr>
            <w:r w:rsidRPr="00E20558">
              <w:rPr>
                <w:rFonts w:ascii="Arial" w:hAnsi="Arial" w:cs="Arial"/>
                <w:b/>
                <w:bCs/>
                <w:sz w:val="16"/>
                <w:szCs w:val="16"/>
                <w:lang w:eastAsia="es-AR"/>
              </w:rPr>
              <w:t>PCE de vida remanente del activo financiero</w:t>
            </w:r>
          </w:p>
        </w:tc>
        <w:tc>
          <w:tcPr>
            <w:tcW w:w="113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149C45A1" w14:textId="77777777" w:rsidR="00E20558" w:rsidRPr="00124DDB" w:rsidRDefault="00E20558" w:rsidP="00124DDB">
            <w:pPr>
              <w:rPr>
                <w:rFonts w:ascii="Arial" w:hAnsi="Arial" w:cs="Arial"/>
                <w:b/>
                <w:bCs/>
                <w:sz w:val="16"/>
                <w:szCs w:val="16"/>
                <w:lang w:eastAsia="es-AR"/>
              </w:rPr>
            </w:pPr>
            <w:r w:rsidRPr="00124DDB">
              <w:rPr>
                <w:rFonts w:ascii="Arial" w:hAnsi="Arial" w:cs="Arial"/>
                <w:b/>
                <w:bCs/>
                <w:sz w:val="16"/>
                <w:szCs w:val="16"/>
                <w:lang w:eastAsia="es-AR"/>
              </w:rPr>
              <w:t>Resultado monetario generado por previsiones</w:t>
            </w:r>
          </w:p>
          <w:p w14:paraId="7F9AC508" w14:textId="7FF27C6C" w:rsidR="00E20558" w:rsidRPr="000B563A" w:rsidRDefault="00E20558" w:rsidP="00083AEA">
            <w:pPr>
              <w:jc w:val="center"/>
              <w:rPr>
                <w:rFonts w:ascii="Arial" w:hAnsi="Arial" w:cs="Arial"/>
                <w:b/>
                <w:bCs/>
                <w:sz w:val="16"/>
                <w:szCs w:val="16"/>
                <w:lang w:eastAsia="es-AR"/>
              </w:rPr>
            </w:pPr>
          </w:p>
        </w:tc>
        <w:tc>
          <w:tcPr>
            <w:tcW w:w="113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6F85CF58" w14:textId="0A49D2A2" w:rsidR="00E20558" w:rsidRPr="000B563A" w:rsidRDefault="00E20558" w:rsidP="00BE5A48">
            <w:pPr>
              <w:jc w:val="center"/>
              <w:rPr>
                <w:rFonts w:ascii="Arial" w:hAnsi="Arial" w:cs="Arial"/>
                <w:b/>
                <w:bCs/>
                <w:sz w:val="16"/>
                <w:szCs w:val="16"/>
                <w:lang w:eastAsia="es-AR"/>
              </w:rPr>
            </w:pPr>
            <w:r w:rsidRPr="000B563A">
              <w:rPr>
                <w:rFonts w:ascii="Arial" w:hAnsi="Arial" w:cs="Arial"/>
                <w:b/>
                <w:bCs/>
                <w:sz w:val="16"/>
                <w:szCs w:val="16"/>
                <w:lang w:eastAsia="es-AR"/>
              </w:rPr>
              <w:t>Saldo al 31/</w:t>
            </w:r>
            <w:r>
              <w:rPr>
                <w:rFonts w:ascii="Arial" w:hAnsi="Arial" w:cs="Arial"/>
                <w:b/>
                <w:bCs/>
                <w:sz w:val="16"/>
                <w:szCs w:val="16"/>
                <w:lang w:eastAsia="es-AR"/>
              </w:rPr>
              <w:t>03/2020</w:t>
            </w:r>
          </w:p>
        </w:tc>
      </w:tr>
      <w:tr w:rsidR="00124DDB" w:rsidRPr="000B563A" w14:paraId="2E5ED889" w14:textId="77777777" w:rsidTr="00E20558">
        <w:tc>
          <w:tcPr>
            <w:tcW w:w="2547" w:type="dxa"/>
            <w:vMerge/>
            <w:tcBorders>
              <w:top w:val="single" w:sz="4" w:space="0" w:color="363639"/>
              <w:left w:val="single" w:sz="4" w:space="0" w:color="363639"/>
              <w:bottom w:val="single" w:sz="4" w:space="0" w:color="auto"/>
              <w:right w:val="single" w:sz="4" w:space="0" w:color="363639"/>
            </w:tcBorders>
            <w:vAlign w:val="center"/>
            <w:hideMark/>
          </w:tcPr>
          <w:p w14:paraId="21CD1E68" w14:textId="77777777" w:rsidR="00124DDB" w:rsidRPr="000B563A" w:rsidRDefault="00124DDB" w:rsidP="00BE5A48">
            <w:pPr>
              <w:rPr>
                <w:rFonts w:ascii="Arial" w:hAnsi="Arial" w:cs="Arial"/>
                <w:b/>
                <w:bCs/>
                <w:sz w:val="16"/>
                <w:szCs w:val="16"/>
                <w:lang w:eastAsia="es-AR"/>
              </w:rPr>
            </w:pPr>
          </w:p>
        </w:tc>
        <w:tc>
          <w:tcPr>
            <w:tcW w:w="1204" w:type="dxa"/>
            <w:vMerge/>
            <w:tcBorders>
              <w:top w:val="single" w:sz="4" w:space="0" w:color="363639"/>
              <w:left w:val="single" w:sz="4" w:space="0" w:color="363639"/>
              <w:bottom w:val="single" w:sz="4" w:space="0" w:color="auto"/>
              <w:right w:val="single" w:sz="4" w:space="0" w:color="363639"/>
            </w:tcBorders>
            <w:vAlign w:val="center"/>
            <w:hideMark/>
          </w:tcPr>
          <w:p w14:paraId="55143866" w14:textId="77777777" w:rsidR="00124DDB" w:rsidRPr="000B563A" w:rsidRDefault="00124DDB" w:rsidP="00BE5A48">
            <w:pPr>
              <w:rPr>
                <w:rFonts w:ascii="Arial" w:hAnsi="Arial" w:cs="Arial"/>
                <w:b/>
                <w:bCs/>
                <w:sz w:val="16"/>
                <w:szCs w:val="16"/>
                <w:lang w:eastAsia="es-AR"/>
              </w:rPr>
            </w:pPr>
          </w:p>
        </w:tc>
        <w:tc>
          <w:tcPr>
            <w:tcW w:w="997" w:type="dxa"/>
            <w:vMerge/>
            <w:tcBorders>
              <w:top w:val="single" w:sz="4" w:space="0" w:color="363639"/>
              <w:left w:val="single" w:sz="4" w:space="0" w:color="363639"/>
              <w:bottom w:val="single" w:sz="4" w:space="0" w:color="auto"/>
              <w:right w:val="single" w:sz="4" w:space="0" w:color="363639"/>
            </w:tcBorders>
            <w:vAlign w:val="center"/>
            <w:hideMark/>
          </w:tcPr>
          <w:p w14:paraId="03C478E0" w14:textId="77777777" w:rsidR="00124DDB" w:rsidRPr="000B563A" w:rsidRDefault="00124DDB" w:rsidP="00BE5A48">
            <w:pPr>
              <w:rPr>
                <w:rFonts w:ascii="Arial" w:hAnsi="Arial" w:cs="Arial"/>
                <w:b/>
                <w:bCs/>
                <w:sz w:val="16"/>
                <w:szCs w:val="16"/>
                <w:lang w:eastAsia="es-AR"/>
              </w:rPr>
            </w:pPr>
          </w:p>
        </w:tc>
        <w:tc>
          <w:tcPr>
            <w:tcW w:w="897" w:type="dxa"/>
            <w:tcBorders>
              <w:top w:val="nil"/>
              <w:left w:val="nil"/>
              <w:bottom w:val="single" w:sz="4" w:space="0" w:color="auto"/>
              <w:right w:val="single" w:sz="4" w:space="0" w:color="auto"/>
            </w:tcBorders>
            <w:shd w:val="clear" w:color="auto" w:fill="BFBFBF" w:themeFill="background1" w:themeFillShade="BF"/>
            <w:hideMark/>
          </w:tcPr>
          <w:p w14:paraId="235DD85B" w14:textId="3435275A" w:rsidR="00124DDB" w:rsidRPr="000B563A" w:rsidRDefault="00124DDB" w:rsidP="00BE5A48">
            <w:pPr>
              <w:jc w:val="center"/>
              <w:rPr>
                <w:rFonts w:ascii="Arial" w:hAnsi="Arial" w:cs="Arial"/>
                <w:b/>
                <w:bCs/>
                <w:sz w:val="16"/>
                <w:szCs w:val="16"/>
                <w:lang w:eastAsia="es-AR"/>
              </w:rPr>
            </w:pPr>
            <w:r w:rsidRPr="00124DDB">
              <w:rPr>
                <w:rFonts w:ascii="Arial" w:hAnsi="Arial" w:cs="Arial"/>
                <w:b/>
                <w:bCs/>
                <w:sz w:val="16"/>
                <w:szCs w:val="16"/>
                <w:lang w:eastAsia="es-AR"/>
              </w:rPr>
              <w:t>IF con increm. signif. del riesgo crediticio</w:t>
            </w:r>
          </w:p>
        </w:tc>
        <w:tc>
          <w:tcPr>
            <w:tcW w:w="12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E37FA4" w14:textId="5A05AC01" w:rsidR="00124DDB" w:rsidRPr="000B563A" w:rsidRDefault="00124DDB" w:rsidP="00BE5A48">
            <w:pPr>
              <w:jc w:val="center"/>
              <w:rPr>
                <w:rFonts w:ascii="Arial" w:hAnsi="Arial" w:cs="Arial"/>
                <w:b/>
                <w:bCs/>
                <w:sz w:val="16"/>
                <w:szCs w:val="16"/>
                <w:lang w:eastAsia="es-AR"/>
              </w:rPr>
            </w:pPr>
            <w:r w:rsidRPr="00124DDB">
              <w:rPr>
                <w:rFonts w:ascii="Arial" w:hAnsi="Arial" w:cs="Arial"/>
                <w:b/>
                <w:bCs/>
                <w:sz w:val="16"/>
                <w:szCs w:val="16"/>
                <w:lang w:eastAsia="es-AR"/>
              </w:rPr>
              <w:t>IF con deterioro crediticio</w:t>
            </w:r>
          </w:p>
        </w:tc>
        <w:tc>
          <w:tcPr>
            <w:tcW w:w="1229" w:type="dxa"/>
            <w:tcBorders>
              <w:top w:val="nil"/>
              <w:left w:val="single" w:sz="4" w:space="0" w:color="auto"/>
              <w:bottom w:val="single" w:sz="4" w:space="0" w:color="auto"/>
              <w:right w:val="single" w:sz="4" w:space="0" w:color="363639"/>
            </w:tcBorders>
            <w:shd w:val="clear" w:color="auto" w:fill="BFBFBF" w:themeFill="background1" w:themeFillShade="BF"/>
            <w:hideMark/>
          </w:tcPr>
          <w:p w14:paraId="6241F0A0" w14:textId="2DFFD6D2" w:rsidR="00124DDB" w:rsidRPr="000B563A" w:rsidRDefault="00124DDB" w:rsidP="00BE5A48">
            <w:pPr>
              <w:jc w:val="center"/>
              <w:rPr>
                <w:rFonts w:ascii="Arial" w:hAnsi="Arial" w:cs="Arial"/>
                <w:b/>
                <w:bCs/>
                <w:sz w:val="16"/>
                <w:szCs w:val="16"/>
                <w:lang w:eastAsia="es-AR"/>
              </w:rPr>
            </w:pPr>
            <w:r w:rsidRPr="00124DDB">
              <w:rPr>
                <w:rFonts w:ascii="Arial" w:hAnsi="Arial" w:cs="Arial"/>
                <w:b/>
                <w:bCs/>
                <w:sz w:val="16"/>
                <w:szCs w:val="16"/>
                <w:lang w:eastAsia="es-AR"/>
              </w:rPr>
              <w:t>IF con deterioro crediticio comprado u originado</w:t>
            </w:r>
          </w:p>
        </w:tc>
        <w:tc>
          <w:tcPr>
            <w:tcW w:w="1134" w:type="dxa"/>
            <w:vMerge/>
            <w:tcBorders>
              <w:top w:val="single" w:sz="4" w:space="0" w:color="363639"/>
              <w:left w:val="single" w:sz="4" w:space="0" w:color="363639"/>
              <w:bottom w:val="single" w:sz="4" w:space="0" w:color="auto"/>
              <w:right w:val="single" w:sz="4" w:space="0" w:color="363639"/>
            </w:tcBorders>
            <w:vAlign w:val="center"/>
            <w:hideMark/>
          </w:tcPr>
          <w:p w14:paraId="16B9149A" w14:textId="77777777" w:rsidR="00124DDB" w:rsidRPr="000B563A" w:rsidRDefault="00124DDB" w:rsidP="00BE5A48">
            <w:pPr>
              <w:rPr>
                <w:rFonts w:ascii="Arial" w:hAnsi="Arial" w:cs="Arial"/>
                <w:b/>
                <w:bCs/>
                <w:sz w:val="16"/>
                <w:szCs w:val="16"/>
                <w:lang w:eastAsia="es-AR"/>
              </w:rPr>
            </w:pPr>
          </w:p>
        </w:tc>
        <w:tc>
          <w:tcPr>
            <w:tcW w:w="1134" w:type="dxa"/>
            <w:vMerge/>
            <w:tcBorders>
              <w:top w:val="single" w:sz="4" w:space="0" w:color="363639"/>
              <w:left w:val="single" w:sz="4" w:space="0" w:color="363639"/>
              <w:bottom w:val="single" w:sz="4" w:space="0" w:color="auto"/>
              <w:right w:val="single" w:sz="4" w:space="0" w:color="363639"/>
            </w:tcBorders>
            <w:shd w:val="clear" w:color="auto" w:fill="BDB3BD"/>
            <w:vAlign w:val="center"/>
            <w:hideMark/>
          </w:tcPr>
          <w:p w14:paraId="55580FB1" w14:textId="77777777" w:rsidR="00124DDB" w:rsidRPr="000B563A" w:rsidRDefault="00124DDB" w:rsidP="00BE5A48">
            <w:pPr>
              <w:rPr>
                <w:rFonts w:ascii="Arial" w:hAnsi="Arial" w:cs="Arial"/>
                <w:b/>
                <w:bCs/>
                <w:sz w:val="16"/>
                <w:szCs w:val="16"/>
                <w:lang w:eastAsia="es-AR"/>
              </w:rPr>
            </w:pPr>
          </w:p>
        </w:tc>
      </w:tr>
      <w:tr w:rsidR="00124DDB" w:rsidRPr="000B563A" w14:paraId="3ACA9F74" w14:textId="77777777" w:rsidTr="00124DDB">
        <w:tc>
          <w:tcPr>
            <w:tcW w:w="2547" w:type="dxa"/>
            <w:tcBorders>
              <w:top w:val="single" w:sz="4" w:space="0" w:color="auto"/>
              <w:left w:val="nil"/>
              <w:bottom w:val="nil"/>
              <w:right w:val="nil"/>
            </w:tcBorders>
            <w:shd w:val="clear" w:color="auto" w:fill="auto"/>
            <w:vAlign w:val="center"/>
            <w:hideMark/>
          </w:tcPr>
          <w:p w14:paraId="07A5D471" w14:textId="77777777" w:rsidR="00124DDB" w:rsidRPr="000B563A" w:rsidRDefault="00124DDB"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204" w:type="dxa"/>
            <w:tcBorders>
              <w:top w:val="single" w:sz="4" w:space="0" w:color="auto"/>
              <w:left w:val="nil"/>
              <w:bottom w:val="nil"/>
              <w:right w:val="nil"/>
            </w:tcBorders>
            <w:shd w:val="clear" w:color="auto" w:fill="auto"/>
            <w:hideMark/>
          </w:tcPr>
          <w:p w14:paraId="7FD3B043" w14:textId="77777777" w:rsidR="00124DDB" w:rsidRPr="000B563A" w:rsidRDefault="00124DDB"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997" w:type="dxa"/>
            <w:tcBorders>
              <w:top w:val="single" w:sz="4" w:space="0" w:color="auto"/>
              <w:left w:val="nil"/>
              <w:bottom w:val="nil"/>
              <w:right w:val="nil"/>
            </w:tcBorders>
            <w:shd w:val="clear" w:color="auto" w:fill="auto"/>
            <w:vAlign w:val="center"/>
            <w:hideMark/>
          </w:tcPr>
          <w:p w14:paraId="771E09E6" w14:textId="77777777" w:rsidR="00124DDB" w:rsidRPr="000B563A" w:rsidRDefault="00124DDB"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897" w:type="dxa"/>
            <w:tcBorders>
              <w:top w:val="single" w:sz="4" w:space="0" w:color="auto"/>
              <w:left w:val="nil"/>
              <w:bottom w:val="nil"/>
              <w:right w:val="nil"/>
            </w:tcBorders>
            <w:shd w:val="clear" w:color="auto" w:fill="auto"/>
            <w:hideMark/>
          </w:tcPr>
          <w:p w14:paraId="566EBDA8" w14:textId="77777777" w:rsidR="00124DDB" w:rsidRPr="000B563A" w:rsidRDefault="00124DDB"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229" w:type="dxa"/>
            <w:tcBorders>
              <w:top w:val="single" w:sz="4" w:space="0" w:color="auto"/>
              <w:left w:val="nil"/>
              <w:bottom w:val="nil"/>
              <w:right w:val="nil"/>
            </w:tcBorders>
          </w:tcPr>
          <w:p w14:paraId="61D4361C" w14:textId="77777777" w:rsidR="00124DDB" w:rsidRPr="000B563A" w:rsidRDefault="00124DDB" w:rsidP="00BE5A48">
            <w:pPr>
              <w:jc w:val="center"/>
              <w:rPr>
                <w:rFonts w:ascii="Arial" w:hAnsi="Arial" w:cs="Arial"/>
                <w:sz w:val="16"/>
                <w:szCs w:val="16"/>
                <w:lang w:eastAsia="es-AR"/>
              </w:rPr>
            </w:pPr>
          </w:p>
        </w:tc>
        <w:tc>
          <w:tcPr>
            <w:tcW w:w="1229" w:type="dxa"/>
            <w:tcBorders>
              <w:top w:val="single" w:sz="4" w:space="0" w:color="auto"/>
              <w:left w:val="nil"/>
              <w:bottom w:val="nil"/>
              <w:right w:val="nil"/>
            </w:tcBorders>
            <w:shd w:val="clear" w:color="auto" w:fill="auto"/>
            <w:hideMark/>
          </w:tcPr>
          <w:p w14:paraId="716EAEAB" w14:textId="6DA4AED6" w:rsidR="00124DDB" w:rsidRPr="000B563A" w:rsidRDefault="00124DDB"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134" w:type="dxa"/>
            <w:tcBorders>
              <w:top w:val="single" w:sz="4" w:space="0" w:color="auto"/>
              <w:left w:val="nil"/>
              <w:bottom w:val="nil"/>
              <w:right w:val="nil"/>
            </w:tcBorders>
            <w:shd w:val="clear" w:color="auto" w:fill="auto"/>
            <w:hideMark/>
          </w:tcPr>
          <w:p w14:paraId="3E2FD1C1" w14:textId="77777777" w:rsidR="00124DDB" w:rsidRPr="000B563A" w:rsidRDefault="00124DDB"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134" w:type="dxa"/>
            <w:tcBorders>
              <w:top w:val="single" w:sz="4" w:space="0" w:color="auto"/>
              <w:left w:val="nil"/>
              <w:bottom w:val="nil"/>
              <w:right w:val="nil"/>
            </w:tcBorders>
            <w:shd w:val="clear" w:color="auto" w:fill="auto"/>
            <w:hideMark/>
          </w:tcPr>
          <w:p w14:paraId="4B8EA7DD" w14:textId="77777777" w:rsidR="00124DDB" w:rsidRPr="000B563A" w:rsidRDefault="00124DDB" w:rsidP="00BE5A48">
            <w:pPr>
              <w:jc w:val="center"/>
              <w:rPr>
                <w:rFonts w:ascii="Arial" w:hAnsi="Arial" w:cs="Arial"/>
                <w:sz w:val="16"/>
                <w:szCs w:val="16"/>
                <w:lang w:eastAsia="es-AR"/>
              </w:rPr>
            </w:pPr>
            <w:r w:rsidRPr="000B563A">
              <w:rPr>
                <w:rFonts w:ascii="Arial" w:hAnsi="Arial" w:cs="Arial"/>
                <w:sz w:val="16"/>
                <w:szCs w:val="16"/>
                <w:lang w:eastAsia="es-AR"/>
              </w:rPr>
              <w:t> </w:t>
            </w:r>
          </w:p>
        </w:tc>
      </w:tr>
      <w:tr w:rsidR="00832933" w:rsidRPr="000B563A" w14:paraId="5AE8A4E5" w14:textId="77777777" w:rsidTr="005333A4">
        <w:tc>
          <w:tcPr>
            <w:tcW w:w="2547" w:type="dxa"/>
            <w:tcBorders>
              <w:left w:val="nil"/>
              <w:bottom w:val="nil"/>
              <w:right w:val="nil"/>
            </w:tcBorders>
            <w:shd w:val="clear" w:color="auto" w:fill="auto"/>
            <w:vAlign w:val="center"/>
          </w:tcPr>
          <w:p w14:paraId="7826CC4C" w14:textId="01D4C966" w:rsidR="00832933" w:rsidRPr="000B563A" w:rsidRDefault="00832933" w:rsidP="00832933">
            <w:pPr>
              <w:rPr>
                <w:rFonts w:ascii="Arial" w:hAnsi="Arial" w:cs="Arial"/>
                <w:sz w:val="16"/>
                <w:szCs w:val="16"/>
                <w:lang w:eastAsia="es-AR"/>
              </w:rPr>
            </w:pPr>
            <w:r>
              <w:rPr>
                <w:rFonts w:ascii="Arial" w:hAnsi="Arial" w:cs="Arial"/>
                <w:sz w:val="16"/>
                <w:szCs w:val="16"/>
                <w:lang w:eastAsia="es-AR"/>
              </w:rPr>
              <w:t>Otros activos financieros</w:t>
            </w:r>
          </w:p>
        </w:tc>
        <w:tc>
          <w:tcPr>
            <w:tcW w:w="1204" w:type="dxa"/>
            <w:tcBorders>
              <w:left w:val="nil"/>
              <w:bottom w:val="nil"/>
              <w:right w:val="nil"/>
            </w:tcBorders>
            <w:shd w:val="clear" w:color="auto" w:fill="auto"/>
            <w:vAlign w:val="bottom"/>
          </w:tcPr>
          <w:p w14:paraId="0378886F" w14:textId="0FA656C9" w:rsidR="00832933" w:rsidRPr="004576F4" w:rsidRDefault="00026C2D">
            <w:pPr>
              <w:jc w:val="right"/>
              <w:rPr>
                <w:rFonts w:ascii="Arial" w:hAnsi="Arial" w:cs="Arial"/>
                <w:sz w:val="16"/>
                <w:szCs w:val="16"/>
                <w:lang w:eastAsia="es-AR"/>
              </w:rPr>
            </w:pPr>
            <w:r w:rsidRPr="004576F4">
              <w:rPr>
                <w:rFonts w:ascii="Arial" w:hAnsi="Arial" w:cs="Arial"/>
                <w:color w:val="000000"/>
                <w:sz w:val="16"/>
                <w:szCs w:val="16"/>
              </w:rPr>
              <w:t>62</w:t>
            </w:r>
            <w:r w:rsidR="00F22917" w:rsidRPr="004576F4">
              <w:rPr>
                <w:rFonts w:ascii="Arial" w:hAnsi="Arial" w:cs="Arial"/>
                <w:color w:val="000000"/>
                <w:sz w:val="16"/>
                <w:szCs w:val="16"/>
              </w:rPr>
              <w:t>.210</w:t>
            </w:r>
          </w:p>
        </w:tc>
        <w:tc>
          <w:tcPr>
            <w:tcW w:w="997" w:type="dxa"/>
            <w:tcBorders>
              <w:left w:val="nil"/>
              <w:bottom w:val="nil"/>
              <w:right w:val="nil"/>
            </w:tcBorders>
            <w:shd w:val="clear" w:color="auto" w:fill="auto"/>
            <w:vAlign w:val="bottom"/>
          </w:tcPr>
          <w:p w14:paraId="4216B183" w14:textId="74B93A66" w:rsidR="00832933" w:rsidRPr="004576F4" w:rsidRDefault="00027BFF">
            <w:pPr>
              <w:jc w:val="right"/>
              <w:rPr>
                <w:rFonts w:ascii="Arial" w:hAnsi="Arial" w:cs="Arial"/>
                <w:sz w:val="16"/>
                <w:szCs w:val="16"/>
                <w:lang w:eastAsia="es-AR"/>
              </w:rPr>
            </w:pPr>
            <w:r w:rsidRPr="004576F4">
              <w:rPr>
                <w:rFonts w:ascii="Arial" w:hAnsi="Arial" w:cs="Arial"/>
                <w:color w:val="000000"/>
                <w:sz w:val="16"/>
                <w:szCs w:val="16"/>
              </w:rPr>
              <w:t>1000</w:t>
            </w:r>
          </w:p>
        </w:tc>
        <w:tc>
          <w:tcPr>
            <w:tcW w:w="897" w:type="dxa"/>
            <w:tcBorders>
              <w:left w:val="nil"/>
              <w:bottom w:val="nil"/>
              <w:right w:val="nil"/>
            </w:tcBorders>
            <w:shd w:val="clear" w:color="auto" w:fill="auto"/>
            <w:vAlign w:val="bottom"/>
          </w:tcPr>
          <w:p w14:paraId="7BA4C85A" w14:textId="01025C16"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229" w:type="dxa"/>
            <w:tcBorders>
              <w:left w:val="nil"/>
              <w:bottom w:val="nil"/>
              <w:right w:val="nil"/>
            </w:tcBorders>
            <w:vAlign w:val="bottom"/>
          </w:tcPr>
          <w:p w14:paraId="40B921C6" w14:textId="52936360"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229" w:type="dxa"/>
            <w:tcBorders>
              <w:left w:val="nil"/>
              <w:bottom w:val="nil"/>
              <w:right w:val="nil"/>
            </w:tcBorders>
            <w:shd w:val="clear" w:color="auto" w:fill="auto"/>
            <w:vAlign w:val="bottom"/>
          </w:tcPr>
          <w:p w14:paraId="7BA715C2" w14:textId="7B583A3B"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134" w:type="dxa"/>
            <w:tcBorders>
              <w:left w:val="nil"/>
              <w:bottom w:val="nil"/>
              <w:right w:val="nil"/>
            </w:tcBorders>
            <w:shd w:val="clear" w:color="auto" w:fill="auto"/>
            <w:vAlign w:val="bottom"/>
          </w:tcPr>
          <w:p w14:paraId="53FAB76D" w14:textId="02BEE55E" w:rsidR="00832933" w:rsidRPr="004576F4" w:rsidRDefault="00027BFF">
            <w:pPr>
              <w:jc w:val="right"/>
              <w:rPr>
                <w:rFonts w:ascii="Arial" w:hAnsi="Arial" w:cs="Arial"/>
                <w:sz w:val="16"/>
                <w:szCs w:val="16"/>
                <w:lang w:eastAsia="es-AR"/>
              </w:rPr>
            </w:pPr>
            <w:r w:rsidRPr="004576F4">
              <w:rPr>
                <w:rFonts w:ascii="Arial" w:hAnsi="Arial" w:cs="Arial"/>
                <w:color w:val="000000"/>
                <w:sz w:val="16"/>
                <w:szCs w:val="16"/>
              </w:rPr>
              <w:t>-4501</w:t>
            </w:r>
          </w:p>
        </w:tc>
        <w:tc>
          <w:tcPr>
            <w:tcW w:w="1134" w:type="dxa"/>
            <w:tcBorders>
              <w:left w:val="nil"/>
              <w:bottom w:val="nil"/>
              <w:right w:val="nil"/>
            </w:tcBorders>
            <w:shd w:val="clear" w:color="auto" w:fill="auto"/>
            <w:vAlign w:val="bottom"/>
          </w:tcPr>
          <w:p w14:paraId="545BA57E" w14:textId="6CBAF42F" w:rsidR="00832933" w:rsidRPr="004576F4" w:rsidRDefault="00832933">
            <w:pPr>
              <w:jc w:val="right"/>
              <w:rPr>
                <w:rFonts w:ascii="Arial" w:hAnsi="Arial" w:cs="Arial"/>
                <w:sz w:val="16"/>
                <w:szCs w:val="16"/>
                <w:lang w:eastAsia="es-AR"/>
              </w:rPr>
            </w:pPr>
            <w:r w:rsidRPr="004576F4">
              <w:rPr>
                <w:rFonts w:ascii="Arial" w:hAnsi="Arial" w:cs="Arial"/>
                <w:sz w:val="16"/>
                <w:szCs w:val="16"/>
              </w:rPr>
              <w:t>58.709</w:t>
            </w:r>
          </w:p>
        </w:tc>
      </w:tr>
      <w:tr w:rsidR="007E42BC" w:rsidRPr="000B563A" w14:paraId="3135C859" w14:textId="77777777" w:rsidTr="005333A4">
        <w:tc>
          <w:tcPr>
            <w:tcW w:w="2547" w:type="dxa"/>
            <w:tcBorders>
              <w:left w:val="nil"/>
              <w:bottom w:val="nil"/>
              <w:right w:val="nil"/>
            </w:tcBorders>
            <w:shd w:val="clear" w:color="auto" w:fill="auto"/>
            <w:vAlign w:val="center"/>
          </w:tcPr>
          <w:p w14:paraId="45C93BFD" w14:textId="7753C669" w:rsidR="007E42BC" w:rsidRPr="000B563A" w:rsidRDefault="007E42BC" w:rsidP="007E42BC">
            <w:pPr>
              <w:rPr>
                <w:rFonts w:ascii="Arial" w:hAnsi="Arial" w:cs="Arial"/>
                <w:sz w:val="16"/>
                <w:szCs w:val="16"/>
                <w:lang w:eastAsia="es-AR"/>
              </w:rPr>
            </w:pPr>
          </w:p>
        </w:tc>
        <w:tc>
          <w:tcPr>
            <w:tcW w:w="1204" w:type="dxa"/>
            <w:tcBorders>
              <w:left w:val="nil"/>
              <w:bottom w:val="nil"/>
              <w:right w:val="nil"/>
            </w:tcBorders>
            <w:shd w:val="clear" w:color="auto" w:fill="auto"/>
            <w:vAlign w:val="bottom"/>
          </w:tcPr>
          <w:p w14:paraId="540F3838" w14:textId="5B36AED3" w:rsidR="007E42BC" w:rsidRPr="004576F4" w:rsidRDefault="007E42BC">
            <w:pPr>
              <w:jc w:val="right"/>
              <w:rPr>
                <w:rFonts w:ascii="Arial" w:hAnsi="Arial" w:cs="Arial"/>
                <w:sz w:val="16"/>
                <w:szCs w:val="16"/>
                <w:lang w:eastAsia="es-AR"/>
              </w:rPr>
            </w:pPr>
          </w:p>
        </w:tc>
        <w:tc>
          <w:tcPr>
            <w:tcW w:w="997" w:type="dxa"/>
            <w:tcBorders>
              <w:left w:val="nil"/>
              <w:bottom w:val="nil"/>
              <w:right w:val="nil"/>
            </w:tcBorders>
            <w:shd w:val="clear" w:color="auto" w:fill="auto"/>
            <w:vAlign w:val="bottom"/>
          </w:tcPr>
          <w:p w14:paraId="66EC97FB" w14:textId="5BDDC950" w:rsidR="007E42BC" w:rsidRPr="004576F4" w:rsidRDefault="007E42BC">
            <w:pPr>
              <w:jc w:val="right"/>
              <w:rPr>
                <w:rFonts w:ascii="Arial" w:hAnsi="Arial" w:cs="Arial"/>
                <w:sz w:val="16"/>
                <w:szCs w:val="16"/>
                <w:lang w:eastAsia="es-AR"/>
              </w:rPr>
            </w:pPr>
          </w:p>
        </w:tc>
        <w:tc>
          <w:tcPr>
            <w:tcW w:w="897" w:type="dxa"/>
            <w:tcBorders>
              <w:left w:val="nil"/>
              <w:bottom w:val="nil"/>
              <w:right w:val="nil"/>
            </w:tcBorders>
            <w:shd w:val="clear" w:color="auto" w:fill="auto"/>
            <w:vAlign w:val="bottom"/>
          </w:tcPr>
          <w:p w14:paraId="1D8F57A5" w14:textId="77777777" w:rsidR="007E42BC" w:rsidRPr="004576F4" w:rsidRDefault="007E42BC">
            <w:pPr>
              <w:jc w:val="right"/>
              <w:rPr>
                <w:rFonts w:ascii="Arial" w:hAnsi="Arial" w:cs="Arial"/>
                <w:sz w:val="16"/>
                <w:szCs w:val="16"/>
                <w:lang w:eastAsia="es-AR"/>
              </w:rPr>
            </w:pPr>
          </w:p>
        </w:tc>
        <w:tc>
          <w:tcPr>
            <w:tcW w:w="1229" w:type="dxa"/>
            <w:tcBorders>
              <w:left w:val="nil"/>
              <w:bottom w:val="nil"/>
              <w:right w:val="nil"/>
            </w:tcBorders>
            <w:vAlign w:val="bottom"/>
          </w:tcPr>
          <w:p w14:paraId="68997FA6" w14:textId="77777777" w:rsidR="007E42BC" w:rsidRPr="004576F4" w:rsidRDefault="007E42BC">
            <w:pPr>
              <w:jc w:val="right"/>
              <w:rPr>
                <w:rFonts w:ascii="Arial" w:hAnsi="Arial" w:cs="Arial"/>
                <w:sz w:val="16"/>
                <w:szCs w:val="16"/>
                <w:lang w:eastAsia="es-AR"/>
              </w:rPr>
            </w:pPr>
          </w:p>
        </w:tc>
        <w:tc>
          <w:tcPr>
            <w:tcW w:w="1229" w:type="dxa"/>
            <w:tcBorders>
              <w:left w:val="nil"/>
              <w:bottom w:val="nil"/>
              <w:right w:val="nil"/>
            </w:tcBorders>
            <w:shd w:val="clear" w:color="auto" w:fill="auto"/>
            <w:vAlign w:val="bottom"/>
          </w:tcPr>
          <w:p w14:paraId="1F221828" w14:textId="19518CF6" w:rsidR="007E42BC" w:rsidRPr="004576F4" w:rsidRDefault="007E42BC">
            <w:pPr>
              <w:jc w:val="right"/>
              <w:rPr>
                <w:rFonts w:ascii="Arial" w:hAnsi="Arial" w:cs="Arial"/>
                <w:sz w:val="16"/>
                <w:szCs w:val="16"/>
                <w:lang w:eastAsia="es-AR"/>
              </w:rPr>
            </w:pPr>
          </w:p>
        </w:tc>
        <w:tc>
          <w:tcPr>
            <w:tcW w:w="1134" w:type="dxa"/>
            <w:tcBorders>
              <w:left w:val="nil"/>
              <w:bottom w:val="nil"/>
              <w:right w:val="nil"/>
            </w:tcBorders>
            <w:shd w:val="clear" w:color="auto" w:fill="auto"/>
            <w:vAlign w:val="bottom"/>
          </w:tcPr>
          <w:p w14:paraId="7A056762" w14:textId="6680FB25" w:rsidR="007E42BC" w:rsidRPr="004576F4" w:rsidRDefault="007E42BC">
            <w:pPr>
              <w:jc w:val="right"/>
              <w:rPr>
                <w:rFonts w:ascii="Arial" w:hAnsi="Arial" w:cs="Arial"/>
                <w:sz w:val="16"/>
                <w:szCs w:val="16"/>
                <w:lang w:eastAsia="es-AR"/>
              </w:rPr>
            </w:pPr>
          </w:p>
        </w:tc>
        <w:tc>
          <w:tcPr>
            <w:tcW w:w="1134" w:type="dxa"/>
            <w:tcBorders>
              <w:left w:val="nil"/>
              <w:bottom w:val="nil"/>
              <w:right w:val="nil"/>
            </w:tcBorders>
            <w:shd w:val="clear" w:color="auto" w:fill="auto"/>
            <w:vAlign w:val="bottom"/>
          </w:tcPr>
          <w:p w14:paraId="3C5C04ED" w14:textId="7D2FA8A8" w:rsidR="007E42BC" w:rsidRPr="004576F4" w:rsidRDefault="007E42BC">
            <w:pPr>
              <w:jc w:val="right"/>
              <w:rPr>
                <w:rFonts w:ascii="Arial" w:hAnsi="Arial" w:cs="Arial"/>
                <w:sz w:val="16"/>
                <w:szCs w:val="16"/>
                <w:lang w:eastAsia="es-AR"/>
              </w:rPr>
            </w:pPr>
          </w:p>
        </w:tc>
      </w:tr>
      <w:tr w:rsidR="007E42BC" w:rsidRPr="000B563A" w14:paraId="0F356ABB" w14:textId="77777777" w:rsidTr="005333A4">
        <w:tc>
          <w:tcPr>
            <w:tcW w:w="2547" w:type="dxa"/>
            <w:tcBorders>
              <w:top w:val="nil"/>
              <w:left w:val="nil"/>
              <w:bottom w:val="nil"/>
              <w:right w:val="nil"/>
            </w:tcBorders>
            <w:shd w:val="clear" w:color="auto" w:fill="auto"/>
            <w:vAlign w:val="bottom"/>
            <w:hideMark/>
          </w:tcPr>
          <w:p w14:paraId="775578C0" w14:textId="77777777" w:rsidR="007E42BC" w:rsidRPr="000B563A" w:rsidRDefault="007E42BC" w:rsidP="007E42BC">
            <w:pPr>
              <w:rPr>
                <w:rFonts w:ascii="Arial" w:hAnsi="Arial" w:cs="Arial"/>
                <w:sz w:val="16"/>
                <w:szCs w:val="16"/>
                <w:lang w:eastAsia="es-AR"/>
              </w:rPr>
            </w:pPr>
            <w:r w:rsidRPr="000B563A">
              <w:rPr>
                <w:rFonts w:ascii="Arial" w:hAnsi="Arial" w:cs="Arial"/>
                <w:sz w:val="16"/>
                <w:szCs w:val="16"/>
                <w:lang w:eastAsia="es-AR"/>
              </w:rPr>
              <w:t>Préstamos y otras financiaciones</w:t>
            </w:r>
          </w:p>
        </w:tc>
        <w:tc>
          <w:tcPr>
            <w:tcW w:w="1204" w:type="dxa"/>
            <w:tcBorders>
              <w:top w:val="nil"/>
              <w:left w:val="nil"/>
              <w:bottom w:val="nil"/>
              <w:right w:val="nil"/>
            </w:tcBorders>
            <w:shd w:val="clear" w:color="auto" w:fill="auto"/>
            <w:vAlign w:val="bottom"/>
          </w:tcPr>
          <w:p w14:paraId="25066406" w14:textId="28663CA7" w:rsidR="007E42BC" w:rsidRPr="004576F4" w:rsidRDefault="007E42BC">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bottom"/>
          </w:tcPr>
          <w:p w14:paraId="013800D7" w14:textId="7531A3D0" w:rsidR="007E42BC" w:rsidRPr="004576F4" w:rsidRDefault="007E42BC">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bottom"/>
          </w:tcPr>
          <w:p w14:paraId="5C84F698" w14:textId="77777777" w:rsidR="007E42BC" w:rsidRPr="004576F4" w:rsidRDefault="007E42BC">
            <w:pPr>
              <w:jc w:val="right"/>
              <w:rPr>
                <w:rFonts w:ascii="Arial" w:hAnsi="Arial" w:cs="Arial"/>
                <w:sz w:val="16"/>
                <w:szCs w:val="16"/>
                <w:lang w:eastAsia="es-AR"/>
              </w:rPr>
            </w:pPr>
          </w:p>
        </w:tc>
        <w:tc>
          <w:tcPr>
            <w:tcW w:w="1229" w:type="dxa"/>
            <w:tcBorders>
              <w:top w:val="nil"/>
              <w:left w:val="nil"/>
              <w:bottom w:val="nil"/>
              <w:right w:val="nil"/>
            </w:tcBorders>
            <w:vAlign w:val="bottom"/>
          </w:tcPr>
          <w:p w14:paraId="47D84D06" w14:textId="77777777" w:rsidR="007E42BC" w:rsidRPr="004576F4" w:rsidRDefault="007E42BC">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bottom"/>
          </w:tcPr>
          <w:p w14:paraId="73F511CA" w14:textId="63C2EBAE" w:rsidR="007E42BC" w:rsidRPr="004576F4" w:rsidRDefault="007E42BC">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1BB85F42" w14:textId="0C6657E7" w:rsidR="007E42BC" w:rsidRPr="004576F4" w:rsidRDefault="007E42BC">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0B2B179C" w14:textId="4D46FDC7" w:rsidR="007E42BC" w:rsidRPr="004576F4" w:rsidRDefault="007E42BC">
            <w:pPr>
              <w:jc w:val="right"/>
              <w:rPr>
                <w:rFonts w:ascii="Arial" w:hAnsi="Arial" w:cs="Arial"/>
                <w:sz w:val="16"/>
                <w:szCs w:val="16"/>
                <w:lang w:eastAsia="es-AR"/>
              </w:rPr>
            </w:pPr>
          </w:p>
        </w:tc>
      </w:tr>
      <w:tr w:rsidR="004576F4" w:rsidRPr="000B563A" w14:paraId="6C8427CC" w14:textId="77777777" w:rsidTr="005333A4">
        <w:tc>
          <w:tcPr>
            <w:tcW w:w="2547" w:type="dxa"/>
            <w:tcBorders>
              <w:top w:val="nil"/>
              <w:left w:val="nil"/>
              <w:bottom w:val="nil"/>
              <w:right w:val="nil"/>
            </w:tcBorders>
            <w:shd w:val="clear" w:color="auto" w:fill="auto"/>
            <w:vAlign w:val="bottom"/>
            <w:hideMark/>
          </w:tcPr>
          <w:p w14:paraId="0F4C3E1C" w14:textId="77777777" w:rsidR="004576F4" w:rsidRPr="000B563A" w:rsidRDefault="004576F4" w:rsidP="004576F4">
            <w:pPr>
              <w:ind w:firstLineChars="200" w:firstLine="320"/>
              <w:rPr>
                <w:rFonts w:ascii="Arial" w:hAnsi="Arial" w:cs="Arial"/>
                <w:sz w:val="16"/>
                <w:szCs w:val="16"/>
                <w:lang w:eastAsia="es-AR"/>
              </w:rPr>
            </w:pPr>
            <w:r w:rsidRPr="000B563A">
              <w:rPr>
                <w:rFonts w:ascii="Arial" w:hAnsi="Arial" w:cs="Arial"/>
                <w:sz w:val="16"/>
                <w:szCs w:val="16"/>
                <w:lang w:eastAsia="es-AR"/>
              </w:rPr>
              <w:t>Otras Entidades Financieras</w:t>
            </w:r>
          </w:p>
        </w:tc>
        <w:tc>
          <w:tcPr>
            <w:tcW w:w="1204" w:type="dxa"/>
            <w:tcBorders>
              <w:top w:val="nil"/>
              <w:left w:val="nil"/>
              <w:bottom w:val="nil"/>
              <w:right w:val="nil"/>
            </w:tcBorders>
            <w:shd w:val="clear" w:color="auto" w:fill="auto"/>
            <w:vAlign w:val="bottom"/>
          </w:tcPr>
          <w:p w14:paraId="7AF77828" w14:textId="7B5C2732"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1.467 </w:t>
            </w:r>
          </w:p>
        </w:tc>
        <w:tc>
          <w:tcPr>
            <w:tcW w:w="997" w:type="dxa"/>
            <w:tcBorders>
              <w:top w:val="nil"/>
              <w:left w:val="nil"/>
              <w:bottom w:val="nil"/>
              <w:right w:val="nil"/>
            </w:tcBorders>
            <w:shd w:val="clear" w:color="auto" w:fill="auto"/>
            <w:vAlign w:val="bottom"/>
          </w:tcPr>
          <w:p w14:paraId="02C99B62" w14:textId="1958A2A0"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29.081 </w:t>
            </w:r>
          </w:p>
        </w:tc>
        <w:tc>
          <w:tcPr>
            <w:tcW w:w="897" w:type="dxa"/>
            <w:tcBorders>
              <w:top w:val="nil"/>
              <w:left w:val="nil"/>
              <w:bottom w:val="nil"/>
              <w:right w:val="nil"/>
            </w:tcBorders>
            <w:shd w:val="clear" w:color="auto" w:fill="auto"/>
            <w:vAlign w:val="bottom"/>
          </w:tcPr>
          <w:p w14:paraId="0B5AB407" w14:textId="78639888"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   </w:t>
            </w:r>
          </w:p>
        </w:tc>
        <w:tc>
          <w:tcPr>
            <w:tcW w:w="1229" w:type="dxa"/>
            <w:tcBorders>
              <w:top w:val="nil"/>
              <w:left w:val="nil"/>
              <w:bottom w:val="nil"/>
              <w:right w:val="nil"/>
            </w:tcBorders>
            <w:vAlign w:val="bottom"/>
          </w:tcPr>
          <w:p w14:paraId="07143CAA" w14:textId="1FDF9364"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   </w:t>
            </w:r>
          </w:p>
        </w:tc>
        <w:tc>
          <w:tcPr>
            <w:tcW w:w="1229" w:type="dxa"/>
            <w:tcBorders>
              <w:top w:val="nil"/>
              <w:left w:val="nil"/>
              <w:bottom w:val="nil"/>
              <w:right w:val="nil"/>
            </w:tcBorders>
            <w:shd w:val="clear" w:color="auto" w:fill="auto"/>
            <w:vAlign w:val="bottom"/>
          </w:tcPr>
          <w:p w14:paraId="31B93794" w14:textId="66AC244D" w:rsidR="004576F4" w:rsidRPr="004576F4" w:rsidRDefault="004576F4">
            <w:pPr>
              <w:jc w:val="right"/>
              <w:rPr>
                <w:rFonts w:ascii="Arial" w:hAnsi="Arial" w:cs="Arial"/>
                <w:sz w:val="16"/>
                <w:szCs w:val="16"/>
                <w:lang w:eastAsia="es-AR"/>
              </w:rPr>
            </w:pPr>
            <w:r w:rsidRPr="004576F4">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2995FABB" w14:textId="5F263214"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-106 </w:t>
            </w:r>
          </w:p>
        </w:tc>
        <w:tc>
          <w:tcPr>
            <w:tcW w:w="1134" w:type="dxa"/>
            <w:tcBorders>
              <w:top w:val="nil"/>
              <w:left w:val="nil"/>
              <w:bottom w:val="nil"/>
              <w:right w:val="nil"/>
            </w:tcBorders>
            <w:shd w:val="clear" w:color="auto" w:fill="auto"/>
            <w:vAlign w:val="bottom"/>
          </w:tcPr>
          <w:p w14:paraId="79C09795" w14:textId="575BFF6F"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30.442 </w:t>
            </w:r>
          </w:p>
        </w:tc>
      </w:tr>
      <w:tr w:rsidR="004576F4" w:rsidRPr="000B563A" w14:paraId="0FDD4DBE" w14:textId="77777777" w:rsidTr="005333A4">
        <w:tc>
          <w:tcPr>
            <w:tcW w:w="2547" w:type="dxa"/>
            <w:tcBorders>
              <w:top w:val="nil"/>
              <w:left w:val="nil"/>
              <w:bottom w:val="nil"/>
              <w:right w:val="nil"/>
            </w:tcBorders>
            <w:shd w:val="clear" w:color="auto" w:fill="auto"/>
            <w:vAlign w:val="bottom"/>
            <w:hideMark/>
          </w:tcPr>
          <w:p w14:paraId="24F7BEAA" w14:textId="77777777" w:rsidR="004576F4" w:rsidRPr="000B563A" w:rsidRDefault="004576F4" w:rsidP="004576F4">
            <w:pPr>
              <w:ind w:firstLineChars="200" w:firstLine="320"/>
              <w:rPr>
                <w:rFonts w:ascii="Arial" w:hAnsi="Arial" w:cs="Arial"/>
                <w:sz w:val="16"/>
                <w:szCs w:val="16"/>
                <w:lang w:eastAsia="es-AR"/>
              </w:rPr>
            </w:pPr>
            <w:r w:rsidRPr="000B563A">
              <w:rPr>
                <w:rFonts w:ascii="Arial" w:hAnsi="Arial" w:cs="Arial"/>
                <w:sz w:val="16"/>
                <w:szCs w:val="16"/>
                <w:lang w:eastAsia="es-AR"/>
              </w:rPr>
              <w:t>Sector privado no financiero y residentes en el Exterior</w:t>
            </w:r>
          </w:p>
        </w:tc>
        <w:tc>
          <w:tcPr>
            <w:tcW w:w="1204" w:type="dxa"/>
            <w:tcBorders>
              <w:top w:val="nil"/>
              <w:left w:val="nil"/>
              <w:bottom w:val="nil"/>
              <w:right w:val="nil"/>
            </w:tcBorders>
            <w:shd w:val="clear" w:color="auto" w:fill="auto"/>
            <w:vAlign w:val="bottom"/>
          </w:tcPr>
          <w:p w14:paraId="4F5A357B" w14:textId="7F631AD0" w:rsidR="004576F4" w:rsidRPr="004576F4" w:rsidRDefault="004576F4">
            <w:pPr>
              <w:ind w:firstLineChars="200" w:firstLine="320"/>
              <w:jc w:val="right"/>
              <w:rPr>
                <w:rFonts w:ascii="Arial" w:hAnsi="Arial" w:cs="Arial"/>
                <w:b/>
                <w:sz w:val="16"/>
                <w:szCs w:val="16"/>
                <w:lang w:eastAsia="es-AR"/>
              </w:rPr>
            </w:pPr>
            <w:r w:rsidRPr="005333A4">
              <w:rPr>
                <w:rFonts w:ascii="Arial" w:hAnsi="Arial" w:cs="Arial"/>
                <w:sz w:val="16"/>
                <w:szCs w:val="16"/>
              </w:rPr>
              <w:t xml:space="preserve"> 5.421.984 </w:t>
            </w:r>
          </w:p>
        </w:tc>
        <w:tc>
          <w:tcPr>
            <w:tcW w:w="997" w:type="dxa"/>
            <w:tcBorders>
              <w:top w:val="nil"/>
              <w:left w:val="nil"/>
              <w:bottom w:val="nil"/>
              <w:right w:val="nil"/>
            </w:tcBorders>
            <w:shd w:val="clear" w:color="auto" w:fill="auto"/>
            <w:vAlign w:val="bottom"/>
          </w:tcPr>
          <w:p w14:paraId="52C29297" w14:textId="1808A76F" w:rsidR="004576F4" w:rsidRPr="004576F4" w:rsidRDefault="004576F4">
            <w:pPr>
              <w:jc w:val="right"/>
              <w:rPr>
                <w:rFonts w:ascii="Arial" w:hAnsi="Arial" w:cs="Arial"/>
                <w:b/>
                <w:sz w:val="16"/>
                <w:szCs w:val="16"/>
                <w:lang w:eastAsia="es-AR"/>
              </w:rPr>
            </w:pPr>
            <w:r w:rsidRPr="005333A4">
              <w:rPr>
                <w:rFonts w:ascii="Arial" w:hAnsi="Arial" w:cs="Arial"/>
                <w:sz w:val="16"/>
                <w:szCs w:val="16"/>
              </w:rPr>
              <w:t xml:space="preserve">-118.166 </w:t>
            </w:r>
          </w:p>
        </w:tc>
        <w:tc>
          <w:tcPr>
            <w:tcW w:w="897" w:type="dxa"/>
            <w:tcBorders>
              <w:top w:val="nil"/>
              <w:left w:val="nil"/>
              <w:bottom w:val="nil"/>
              <w:right w:val="nil"/>
            </w:tcBorders>
            <w:shd w:val="clear" w:color="auto" w:fill="auto"/>
            <w:vAlign w:val="bottom"/>
          </w:tcPr>
          <w:p w14:paraId="0D7E7BB5" w14:textId="1F0C0932" w:rsidR="004576F4" w:rsidRPr="004576F4" w:rsidRDefault="004576F4">
            <w:pPr>
              <w:jc w:val="right"/>
              <w:rPr>
                <w:rFonts w:ascii="Arial" w:hAnsi="Arial" w:cs="Arial"/>
                <w:b/>
                <w:sz w:val="16"/>
                <w:szCs w:val="16"/>
                <w:lang w:eastAsia="es-AR"/>
              </w:rPr>
            </w:pPr>
            <w:r w:rsidRPr="005333A4">
              <w:rPr>
                <w:rFonts w:ascii="Arial" w:hAnsi="Arial" w:cs="Arial"/>
                <w:sz w:val="16"/>
                <w:szCs w:val="16"/>
              </w:rPr>
              <w:t xml:space="preserve"> 132.477 </w:t>
            </w:r>
          </w:p>
        </w:tc>
        <w:tc>
          <w:tcPr>
            <w:tcW w:w="1229" w:type="dxa"/>
            <w:tcBorders>
              <w:top w:val="nil"/>
              <w:left w:val="nil"/>
              <w:bottom w:val="nil"/>
              <w:right w:val="nil"/>
            </w:tcBorders>
            <w:vAlign w:val="bottom"/>
          </w:tcPr>
          <w:p w14:paraId="64CE901B" w14:textId="2BC97BA9" w:rsidR="004576F4" w:rsidRPr="004576F4" w:rsidRDefault="004576F4">
            <w:pPr>
              <w:jc w:val="right"/>
              <w:rPr>
                <w:rFonts w:ascii="Arial" w:hAnsi="Arial" w:cs="Arial"/>
                <w:b/>
                <w:sz w:val="16"/>
                <w:szCs w:val="16"/>
                <w:lang w:eastAsia="es-AR"/>
              </w:rPr>
            </w:pPr>
            <w:r w:rsidRPr="005333A4">
              <w:rPr>
                <w:rFonts w:ascii="Arial" w:hAnsi="Arial" w:cs="Arial"/>
                <w:sz w:val="16"/>
                <w:szCs w:val="16"/>
              </w:rPr>
              <w:t xml:space="preserve"> 327.017 </w:t>
            </w:r>
          </w:p>
        </w:tc>
        <w:tc>
          <w:tcPr>
            <w:tcW w:w="1229" w:type="dxa"/>
            <w:tcBorders>
              <w:top w:val="nil"/>
              <w:left w:val="nil"/>
              <w:bottom w:val="nil"/>
              <w:right w:val="nil"/>
            </w:tcBorders>
            <w:shd w:val="clear" w:color="auto" w:fill="auto"/>
            <w:vAlign w:val="bottom"/>
          </w:tcPr>
          <w:p w14:paraId="485C81DB" w14:textId="0615ED58" w:rsidR="004576F4" w:rsidRPr="004576F4" w:rsidRDefault="004576F4">
            <w:pPr>
              <w:jc w:val="right"/>
              <w:rPr>
                <w:rFonts w:ascii="Arial" w:hAnsi="Arial" w:cs="Arial"/>
                <w:b/>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1FEE83C1" w14:textId="6B99DA95" w:rsidR="004576F4" w:rsidRPr="004576F4" w:rsidRDefault="004576F4">
            <w:pPr>
              <w:jc w:val="right"/>
              <w:rPr>
                <w:rFonts w:ascii="Arial" w:hAnsi="Arial" w:cs="Arial"/>
                <w:b/>
                <w:sz w:val="16"/>
                <w:szCs w:val="16"/>
                <w:lang w:eastAsia="es-AR"/>
              </w:rPr>
            </w:pPr>
            <w:r w:rsidRPr="005333A4">
              <w:rPr>
                <w:rFonts w:ascii="Arial" w:hAnsi="Arial" w:cs="Arial"/>
                <w:sz w:val="16"/>
                <w:szCs w:val="16"/>
              </w:rPr>
              <w:t xml:space="preserve">-392.314 </w:t>
            </w:r>
          </w:p>
        </w:tc>
        <w:tc>
          <w:tcPr>
            <w:tcW w:w="1134" w:type="dxa"/>
            <w:tcBorders>
              <w:top w:val="nil"/>
              <w:left w:val="nil"/>
              <w:bottom w:val="nil"/>
              <w:right w:val="nil"/>
            </w:tcBorders>
            <w:shd w:val="clear" w:color="auto" w:fill="auto"/>
            <w:vAlign w:val="bottom"/>
          </w:tcPr>
          <w:p w14:paraId="1C414ABF" w14:textId="08637E51" w:rsidR="004576F4" w:rsidRPr="004576F4" w:rsidRDefault="004576F4">
            <w:pPr>
              <w:jc w:val="right"/>
              <w:rPr>
                <w:rFonts w:ascii="Arial" w:hAnsi="Arial" w:cs="Arial"/>
                <w:b/>
                <w:sz w:val="16"/>
                <w:szCs w:val="16"/>
                <w:lang w:eastAsia="es-AR"/>
              </w:rPr>
            </w:pPr>
            <w:r w:rsidRPr="005333A4">
              <w:rPr>
                <w:rFonts w:ascii="Arial" w:hAnsi="Arial" w:cs="Arial"/>
                <w:sz w:val="16"/>
                <w:szCs w:val="16"/>
              </w:rPr>
              <w:t xml:space="preserve"> 5.370.998 </w:t>
            </w:r>
          </w:p>
        </w:tc>
      </w:tr>
      <w:tr w:rsidR="004576F4" w:rsidRPr="000B563A" w14:paraId="25A233F2" w14:textId="77777777" w:rsidTr="005333A4">
        <w:tc>
          <w:tcPr>
            <w:tcW w:w="2547" w:type="dxa"/>
            <w:tcBorders>
              <w:top w:val="nil"/>
              <w:left w:val="nil"/>
              <w:bottom w:val="nil"/>
              <w:right w:val="nil"/>
            </w:tcBorders>
            <w:shd w:val="clear" w:color="auto" w:fill="auto"/>
            <w:vAlign w:val="bottom"/>
            <w:hideMark/>
          </w:tcPr>
          <w:p w14:paraId="37FC2906" w14:textId="77777777"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Adelantos</w:t>
            </w:r>
          </w:p>
        </w:tc>
        <w:tc>
          <w:tcPr>
            <w:tcW w:w="1204" w:type="dxa"/>
            <w:tcBorders>
              <w:top w:val="nil"/>
              <w:left w:val="nil"/>
              <w:bottom w:val="nil"/>
              <w:right w:val="nil"/>
            </w:tcBorders>
            <w:shd w:val="clear" w:color="auto" w:fill="auto"/>
            <w:vAlign w:val="bottom"/>
          </w:tcPr>
          <w:p w14:paraId="5FBE8B18" w14:textId="6BF1AA63" w:rsidR="004576F4" w:rsidRPr="004576F4" w:rsidRDefault="004576F4">
            <w:pPr>
              <w:jc w:val="right"/>
              <w:rPr>
                <w:rFonts w:ascii="Arial" w:hAnsi="Arial" w:cs="Arial"/>
                <w:sz w:val="16"/>
                <w:szCs w:val="16"/>
              </w:rPr>
            </w:pPr>
            <w:r w:rsidRPr="005333A4">
              <w:rPr>
                <w:rFonts w:ascii="Arial" w:hAnsi="Arial" w:cs="Arial"/>
                <w:sz w:val="16"/>
                <w:szCs w:val="16"/>
              </w:rPr>
              <w:t xml:space="preserve"> 1.225.286 </w:t>
            </w:r>
          </w:p>
        </w:tc>
        <w:tc>
          <w:tcPr>
            <w:tcW w:w="997" w:type="dxa"/>
            <w:tcBorders>
              <w:top w:val="nil"/>
              <w:left w:val="nil"/>
              <w:bottom w:val="nil"/>
              <w:right w:val="nil"/>
            </w:tcBorders>
            <w:shd w:val="clear" w:color="auto" w:fill="auto"/>
            <w:vAlign w:val="bottom"/>
          </w:tcPr>
          <w:p w14:paraId="2BEAEF3D" w14:textId="31228450"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46.638 </w:t>
            </w:r>
          </w:p>
        </w:tc>
        <w:tc>
          <w:tcPr>
            <w:tcW w:w="897" w:type="dxa"/>
            <w:tcBorders>
              <w:top w:val="nil"/>
              <w:left w:val="nil"/>
              <w:bottom w:val="nil"/>
              <w:right w:val="nil"/>
            </w:tcBorders>
            <w:shd w:val="clear" w:color="auto" w:fill="auto"/>
            <w:vAlign w:val="bottom"/>
          </w:tcPr>
          <w:p w14:paraId="6EE8B0A1" w14:textId="143ABDB8"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-3.021 </w:t>
            </w:r>
          </w:p>
        </w:tc>
        <w:tc>
          <w:tcPr>
            <w:tcW w:w="1229" w:type="dxa"/>
            <w:tcBorders>
              <w:top w:val="nil"/>
              <w:left w:val="nil"/>
              <w:bottom w:val="nil"/>
              <w:right w:val="nil"/>
            </w:tcBorders>
            <w:vAlign w:val="bottom"/>
          </w:tcPr>
          <w:p w14:paraId="0C8BC787" w14:textId="2C8CE85A"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-103.217 </w:t>
            </w:r>
          </w:p>
        </w:tc>
        <w:tc>
          <w:tcPr>
            <w:tcW w:w="1229" w:type="dxa"/>
            <w:tcBorders>
              <w:top w:val="nil"/>
              <w:left w:val="nil"/>
              <w:bottom w:val="nil"/>
              <w:right w:val="nil"/>
            </w:tcBorders>
            <w:shd w:val="clear" w:color="auto" w:fill="auto"/>
            <w:vAlign w:val="bottom"/>
          </w:tcPr>
          <w:p w14:paraId="6FCCF68A" w14:textId="33AAC2B7"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251AF542" w14:textId="34BA9A7D"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-88.657 </w:t>
            </w:r>
          </w:p>
        </w:tc>
        <w:tc>
          <w:tcPr>
            <w:tcW w:w="1134" w:type="dxa"/>
            <w:tcBorders>
              <w:top w:val="nil"/>
              <w:left w:val="nil"/>
              <w:bottom w:val="nil"/>
              <w:right w:val="nil"/>
            </w:tcBorders>
            <w:shd w:val="clear" w:color="auto" w:fill="auto"/>
            <w:vAlign w:val="bottom"/>
          </w:tcPr>
          <w:p w14:paraId="163FB8D3" w14:textId="75C5866C"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1.077.029 </w:t>
            </w:r>
          </w:p>
        </w:tc>
      </w:tr>
      <w:tr w:rsidR="004576F4" w:rsidRPr="000B563A" w14:paraId="0895B2B3" w14:textId="77777777" w:rsidTr="005333A4">
        <w:tc>
          <w:tcPr>
            <w:tcW w:w="2547" w:type="dxa"/>
            <w:tcBorders>
              <w:top w:val="nil"/>
              <w:left w:val="nil"/>
              <w:bottom w:val="nil"/>
              <w:right w:val="nil"/>
            </w:tcBorders>
            <w:shd w:val="clear" w:color="auto" w:fill="auto"/>
            <w:vAlign w:val="bottom"/>
            <w:hideMark/>
          </w:tcPr>
          <w:p w14:paraId="5AAF94B8" w14:textId="77777777"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Documentos</w:t>
            </w:r>
          </w:p>
        </w:tc>
        <w:tc>
          <w:tcPr>
            <w:tcW w:w="1204" w:type="dxa"/>
            <w:tcBorders>
              <w:top w:val="nil"/>
              <w:left w:val="nil"/>
              <w:bottom w:val="nil"/>
              <w:right w:val="nil"/>
            </w:tcBorders>
            <w:shd w:val="clear" w:color="auto" w:fill="auto"/>
            <w:vAlign w:val="bottom"/>
          </w:tcPr>
          <w:p w14:paraId="1CE92D77" w14:textId="35C2D558" w:rsidR="004576F4" w:rsidRPr="004576F4" w:rsidRDefault="004576F4">
            <w:pPr>
              <w:jc w:val="right"/>
              <w:rPr>
                <w:rFonts w:ascii="Arial" w:hAnsi="Arial" w:cs="Arial"/>
                <w:sz w:val="16"/>
                <w:szCs w:val="16"/>
              </w:rPr>
            </w:pPr>
            <w:r w:rsidRPr="005333A4">
              <w:rPr>
                <w:rFonts w:ascii="Arial" w:hAnsi="Arial" w:cs="Arial"/>
                <w:sz w:val="16"/>
                <w:szCs w:val="16"/>
              </w:rPr>
              <w:t xml:space="preserve"> 356.274 </w:t>
            </w:r>
          </w:p>
        </w:tc>
        <w:tc>
          <w:tcPr>
            <w:tcW w:w="997" w:type="dxa"/>
            <w:tcBorders>
              <w:top w:val="nil"/>
              <w:left w:val="nil"/>
              <w:bottom w:val="nil"/>
              <w:right w:val="nil"/>
            </w:tcBorders>
            <w:shd w:val="clear" w:color="auto" w:fill="auto"/>
            <w:vAlign w:val="bottom"/>
          </w:tcPr>
          <w:p w14:paraId="3881E0CF" w14:textId="0E7F7168"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-2.963 </w:t>
            </w:r>
          </w:p>
        </w:tc>
        <w:tc>
          <w:tcPr>
            <w:tcW w:w="897" w:type="dxa"/>
            <w:tcBorders>
              <w:top w:val="nil"/>
              <w:left w:val="nil"/>
              <w:bottom w:val="nil"/>
              <w:right w:val="nil"/>
            </w:tcBorders>
            <w:shd w:val="clear" w:color="auto" w:fill="auto"/>
            <w:vAlign w:val="bottom"/>
          </w:tcPr>
          <w:p w14:paraId="699A2FFA" w14:textId="4A2E4D7D"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-24.090 </w:t>
            </w:r>
          </w:p>
        </w:tc>
        <w:tc>
          <w:tcPr>
            <w:tcW w:w="1229" w:type="dxa"/>
            <w:tcBorders>
              <w:top w:val="nil"/>
              <w:left w:val="nil"/>
              <w:bottom w:val="nil"/>
              <w:right w:val="nil"/>
            </w:tcBorders>
            <w:vAlign w:val="bottom"/>
          </w:tcPr>
          <w:p w14:paraId="5D7A3BF8" w14:textId="6D5FA2C7"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35.636 </w:t>
            </w:r>
          </w:p>
        </w:tc>
        <w:tc>
          <w:tcPr>
            <w:tcW w:w="1229" w:type="dxa"/>
            <w:tcBorders>
              <w:top w:val="nil"/>
              <w:left w:val="nil"/>
              <w:bottom w:val="nil"/>
              <w:right w:val="nil"/>
            </w:tcBorders>
            <w:shd w:val="clear" w:color="auto" w:fill="auto"/>
            <w:vAlign w:val="bottom"/>
          </w:tcPr>
          <w:p w14:paraId="5B2F6E4C" w14:textId="4B8F484D"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45A749B4" w14:textId="08F49B7E"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-25.779 </w:t>
            </w:r>
          </w:p>
        </w:tc>
        <w:tc>
          <w:tcPr>
            <w:tcW w:w="1134" w:type="dxa"/>
            <w:tcBorders>
              <w:top w:val="nil"/>
              <w:left w:val="nil"/>
              <w:bottom w:val="nil"/>
              <w:right w:val="nil"/>
            </w:tcBorders>
            <w:shd w:val="clear" w:color="auto" w:fill="auto"/>
            <w:vAlign w:val="bottom"/>
          </w:tcPr>
          <w:p w14:paraId="3DC34E0A" w14:textId="2AFDD32B"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339.078 </w:t>
            </w:r>
          </w:p>
        </w:tc>
      </w:tr>
      <w:tr w:rsidR="004576F4" w:rsidRPr="000B563A" w14:paraId="4E2E3AB8" w14:textId="77777777" w:rsidTr="005333A4">
        <w:tc>
          <w:tcPr>
            <w:tcW w:w="2547" w:type="dxa"/>
            <w:tcBorders>
              <w:top w:val="nil"/>
              <w:left w:val="nil"/>
              <w:bottom w:val="nil"/>
              <w:right w:val="nil"/>
            </w:tcBorders>
            <w:shd w:val="clear" w:color="auto" w:fill="auto"/>
            <w:vAlign w:val="bottom"/>
            <w:hideMark/>
          </w:tcPr>
          <w:p w14:paraId="71F52111" w14:textId="77777777"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Hipotecarios</w:t>
            </w:r>
          </w:p>
        </w:tc>
        <w:tc>
          <w:tcPr>
            <w:tcW w:w="1204" w:type="dxa"/>
            <w:tcBorders>
              <w:top w:val="nil"/>
              <w:left w:val="nil"/>
              <w:bottom w:val="nil"/>
              <w:right w:val="nil"/>
            </w:tcBorders>
            <w:shd w:val="clear" w:color="auto" w:fill="auto"/>
            <w:vAlign w:val="bottom"/>
          </w:tcPr>
          <w:p w14:paraId="6402712D" w14:textId="669ADA68" w:rsidR="004576F4" w:rsidRPr="004576F4" w:rsidRDefault="004576F4">
            <w:pPr>
              <w:jc w:val="right"/>
              <w:rPr>
                <w:rFonts w:ascii="Arial" w:hAnsi="Arial" w:cs="Arial"/>
                <w:sz w:val="16"/>
                <w:szCs w:val="16"/>
              </w:rPr>
            </w:pPr>
            <w:r w:rsidRPr="005333A4">
              <w:rPr>
                <w:rFonts w:ascii="Arial" w:hAnsi="Arial" w:cs="Arial"/>
                <w:sz w:val="16"/>
                <w:szCs w:val="16"/>
              </w:rPr>
              <w:t xml:space="preserve"> 560.278 </w:t>
            </w:r>
          </w:p>
        </w:tc>
        <w:tc>
          <w:tcPr>
            <w:tcW w:w="997" w:type="dxa"/>
            <w:tcBorders>
              <w:top w:val="nil"/>
              <w:left w:val="nil"/>
              <w:bottom w:val="nil"/>
              <w:right w:val="nil"/>
            </w:tcBorders>
            <w:shd w:val="clear" w:color="auto" w:fill="auto"/>
            <w:vAlign w:val="bottom"/>
          </w:tcPr>
          <w:p w14:paraId="4CBCA9AF" w14:textId="5DB9B40D"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18.272 </w:t>
            </w:r>
          </w:p>
        </w:tc>
        <w:tc>
          <w:tcPr>
            <w:tcW w:w="897" w:type="dxa"/>
            <w:tcBorders>
              <w:top w:val="nil"/>
              <w:left w:val="nil"/>
              <w:bottom w:val="nil"/>
              <w:right w:val="nil"/>
            </w:tcBorders>
            <w:shd w:val="clear" w:color="auto" w:fill="auto"/>
            <w:vAlign w:val="bottom"/>
          </w:tcPr>
          <w:p w14:paraId="7CC66C59" w14:textId="383D429F"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-5.820 </w:t>
            </w:r>
          </w:p>
        </w:tc>
        <w:tc>
          <w:tcPr>
            <w:tcW w:w="1229" w:type="dxa"/>
            <w:tcBorders>
              <w:top w:val="nil"/>
              <w:left w:val="nil"/>
              <w:bottom w:val="nil"/>
              <w:right w:val="nil"/>
            </w:tcBorders>
            <w:vAlign w:val="bottom"/>
          </w:tcPr>
          <w:p w14:paraId="14DE5840" w14:textId="213196D2"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14.148 </w:t>
            </w:r>
          </w:p>
        </w:tc>
        <w:tc>
          <w:tcPr>
            <w:tcW w:w="1229" w:type="dxa"/>
            <w:tcBorders>
              <w:top w:val="nil"/>
              <w:left w:val="nil"/>
              <w:bottom w:val="nil"/>
              <w:right w:val="nil"/>
            </w:tcBorders>
            <w:shd w:val="clear" w:color="auto" w:fill="auto"/>
            <w:vAlign w:val="bottom"/>
          </w:tcPr>
          <w:p w14:paraId="63378100" w14:textId="08F7105D"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635CC1C7" w14:textId="0673AD97"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-40.540 </w:t>
            </w:r>
          </w:p>
        </w:tc>
        <w:tc>
          <w:tcPr>
            <w:tcW w:w="1134" w:type="dxa"/>
            <w:tcBorders>
              <w:top w:val="nil"/>
              <w:left w:val="nil"/>
              <w:bottom w:val="nil"/>
              <w:right w:val="nil"/>
            </w:tcBorders>
            <w:shd w:val="clear" w:color="auto" w:fill="auto"/>
            <w:vAlign w:val="bottom"/>
          </w:tcPr>
          <w:p w14:paraId="7882D4E5" w14:textId="1ED72F48"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546.338 </w:t>
            </w:r>
          </w:p>
        </w:tc>
      </w:tr>
      <w:tr w:rsidR="004576F4" w:rsidRPr="000B563A" w14:paraId="0638CDEB" w14:textId="77777777" w:rsidTr="005333A4">
        <w:tc>
          <w:tcPr>
            <w:tcW w:w="2547" w:type="dxa"/>
            <w:tcBorders>
              <w:top w:val="nil"/>
              <w:left w:val="nil"/>
              <w:bottom w:val="nil"/>
              <w:right w:val="nil"/>
            </w:tcBorders>
            <w:shd w:val="clear" w:color="auto" w:fill="auto"/>
            <w:vAlign w:val="bottom"/>
            <w:hideMark/>
          </w:tcPr>
          <w:p w14:paraId="5E8F837A" w14:textId="77777777"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Prendarios</w:t>
            </w:r>
          </w:p>
        </w:tc>
        <w:tc>
          <w:tcPr>
            <w:tcW w:w="1204" w:type="dxa"/>
            <w:tcBorders>
              <w:top w:val="nil"/>
              <w:left w:val="nil"/>
              <w:bottom w:val="nil"/>
              <w:right w:val="nil"/>
            </w:tcBorders>
            <w:shd w:val="clear" w:color="auto" w:fill="auto"/>
            <w:vAlign w:val="bottom"/>
          </w:tcPr>
          <w:p w14:paraId="42B3C8F8" w14:textId="403DA430" w:rsidR="004576F4" w:rsidRPr="004576F4" w:rsidRDefault="004576F4">
            <w:pPr>
              <w:jc w:val="right"/>
              <w:rPr>
                <w:rFonts w:ascii="Arial" w:hAnsi="Arial" w:cs="Arial"/>
                <w:sz w:val="16"/>
                <w:szCs w:val="16"/>
              </w:rPr>
            </w:pPr>
            <w:r w:rsidRPr="005333A4">
              <w:rPr>
                <w:rFonts w:ascii="Arial" w:hAnsi="Arial" w:cs="Arial"/>
                <w:sz w:val="16"/>
                <w:szCs w:val="16"/>
              </w:rPr>
              <w:t xml:space="preserve"> 46.322 </w:t>
            </w:r>
          </w:p>
        </w:tc>
        <w:tc>
          <w:tcPr>
            <w:tcW w:w="997" w:type="dxa"/>
            <w:tcBorders>
              <w:top w:val="nil"/>
              <w:left w:val="nil"/>
              <w:bottom w:val="nil"/>
              <w:right w:val="nil"/>
            </w:tcBorders>
            <w:shd w:val="clear" w:color="auto" w:fill="auto"/>
            <w:vAlign w:val="bottom"/>
          </w:tcPr>
          <w:p w14:paraId="0631B048" w14:textId="17D0A6C6"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167.722 </w:t>
            </w:r>
          </w:p>
        </w:tc>
        <w:tc>
          <w:tcPr>
            <w:tcW w:w="897" w:type="dxa"/>
            <w:tcBorders>
              <w:top w:val="nil"/>
              <w:left w:val="nil"/>
              <w:bottom w:val="nil"/>
              <w:right w:val="nil"/>
            </w:tcBorders>
            <w:shd w:val="clear" w:color="auto" w:fill="auto"/>
            <w:vAlign w:val="bottom"/>
          </w:tcPr>
          <w:p w14:paraId="3B4479FF" w14:textId="3A9AAB88"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84.096 </w:t>
            </w:r>
          </w:p>
        </w:tc>
        <w:tc>
          <w:tcPr>
            <w:tcW w:w="1229" w:type="dxa"/>
            <w:tcBorders>
              <w:top w:val="nil"/>
              <w:left w:val="nil"/>
              <w:bottom w:val="nil"/>
              <w:right w:val="nil"/>
            </w:tcBorders>
            <w:vAlign w:val="bottom"/>
          </w:tcPr>
          <w:p w14:paraId="762CC42F" w14:textId="5AB363AF"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283.176 </w:t>
            </w:r>
          </w:p>
        </w:tc>
        <w:tc>
          <w:tcPr>
            <w:tcW w:w="1229" w:type="dxa"/>
            <w:tcBorders>
              <w:top w:val="nil"/>
              <w:left w:val="nil"/>
              <w:bottom w:val="nil"/>
              <w:right w:val="nil"/>
            </w:tcBorders>
            <w:shd w:val="clear" w:color="auto" w:fill="auto"/>
            <w:vAlign w:val="bottom"/>
          </w:tcPr>
          <w:p w14:paraId="4D08FC2F" w14:textId="517FD845"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6CBF7B07" w14:textId="2F042444"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-3.352 </w:t>
            </w:r>
          </w:p>
        </w:tc>
        <w:tc>
          <w:tcPr>
            <w:tcW w:w="1134" w:type="dxa"/>
            <w:tcBorders>
              <w:top w:val="nil"/>
              <w:left w:val="nil"/>
              <w:bottom w:val="nil"/>
              <w:right w:val="nil"/>
            </w:tcBorders>
            <w:shd w:val="clear" w:color="auto" w:fill="auto"/>
            <w:vAlign w:val="bottom"/>
          </w:tcPr>
          <w:p w14:paraId="08DFA139" w14:textId="4CF00990"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577.964 </w:t>
            </w:r>
          </w:p>
        </w:tc>
      </w:tr>
      <w:tr w:rsidR="004576F4" w:rsidRPr="000B563A" w14:paraId="4803DEA5" w14:textId="77777777" w:rsidTr="005333A4">
        <w:tc>
          <w:tcPr>
            <w:tcW w:w="2547" w:type="dxa"/>
            <w:tcBorders>
              <w:top w:val="nil"/>
              <w:left w:val="nil"/>
              <w:bottom w:val="nil"/>
              <w:right w:val="nil"/>
            </w:tcBorders>
            <w:shd w:val="clear" w:color="auto" w:fill="auto"/>
            <w:vAlign w:val="bottom"/>
            <w:hideMark/>
          </w:tcPr>
          <w:p w14:paraId="4C406B6A" w14:textId="77777777"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Personales</w:t>
            </w:r>
          </w:p>
        </w:tc>
        <w:tc>
          <w:tcPr>
            <w:tcW w:w="1204" w:type="dxa"/>
            <w:tcBorders>
              <w:top w:val="nil"/>
              <w:left w:val="nil"/>
              <w:bottom w:val="nil"/>
              <w:right w:val="nil"/>
            </w:tcBorders>
            <w:shd w:val="clear" w:color="auto" w:fill="auto"/>
            <w:vAlign w:val="bottom"/>
          </w:tcPr>
          <w:p w14:paraId="5E65A071" w14:textId="2FABB061" w:rsidR="004576F4" w:rsidRPr="004576F4" w:rsidRDefault="004576F4">
            <w:pPr>
              <w:jc w:val="right"/>
              <w:rPr>
                <w:rFonts w:ascii="Arial" w:hAnsi="Arial" w:cs="Arial"/>
                <w:sz w:val="16"/>
                <w:szCs w:val="16"/>
              </w:rPr>
            </w:pPr>
            <w:r w:rsidRPr="005333A4">
              <w:rPr>
                <w:rFonts w:ascii="Arial" w:hAnsi="Arial" w:cs="Arial"/>
                <w:sz w:val="16"/>
                <w:szCs w:val="16"/>
              </w:rPr>
              <w:t xml:space="preserve"> 848.657 </w:t>
            </w:r>
          </w:p>
        </w:tc>
        <w:tc>
          <w:tcPr>
            <w:tcW w:w="997" w:type="dxa"/>
            <w:tcBorders>
              <w:top w:val="nil"/>
              <w:left w:val="nil"/>
              <w:bottom w:val="nil"/>
              <w:right w:val="nil"/>
            </w:tcBorders>
            <w:shd w:val="clear" w:color="auto" w:fill="auto"/>
            <w:vAlign w:val="bottom"/>
          </w:tcPr>
          <w:p w14:paraId="7BC8EE35" w14:textId="689A559F"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-27.205 </w:t>
            </w:r>
          </w:p>
        </w:tc>
        <w:tc>
          <w:tcPr>
            <w:tcW w:w="897" w:type="dxa"/>
            <w:tcBorders>
              <w:top w:val="nil"/>
              <w:left w:val="nil"/>
              <w:bottom w:val="nil"/>
              <w:right w:val="nil"/>
            </w:tcBorders>
            <w:shd w:val="clear" w:color="auto" w:fill="auto"/>
            <w:vAlign w:val="bottom"/>
          </w:tcPr>
          <w:p w14:paraId="66675B51" w14:textId="03D3B38B"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114.563 </w:t>
            </w:r>
          </w:p>
        </w:tc>
        <w:tc>
          <w:tcPr>
            <w:tcW w:w="1229" w:type="dxa"/>
            <w:tcBorders>
              <w:top w:val="nil"/>
              <w:left w:val="nil"/>
              <w:bottom w:val="nil"/>
              <w:right w:val="nil"/>
            </w:tcBorders>
            <w:vAlign w:val="bottom"/>
          </w:tcPr>
          <w:p w14:paraId="7A40768A" w14:textId="6B9B9BDB"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784.325 </w:t>
            </w:r>
          </w:p>
        </w:tc>
        <w:tc>
          <w:tcPr>
            <w:tcW w:w="1229" w:type="dxa"/>
            <w:tcBorders>
              <w:top w:val="nil"/>
              <w:left w:val="nil"/>
              <w:bottom w:val="nil"/>
              <w:right w:val="nil"/>
            </w:tcBorders>
            <w:shd w:val="clear" w:color="auto" w:fill="auto"/>
            <w:vAlign w:val="bottom"/>
          </w:tcPr>
          <w:p w14:paraId="26271A34" w14:textId="0EED7B8F"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45250652" w14:textId="4BB721E2"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-61.406 </w:t>
            </w:r>
          </w:p>
        </w:tc>
        <w:tc>
          <w:tcPr>
            <w:tcW w:w="1134" w:type="dxa"/>
            <w:tcBorders>
              <w:top w:val="nil"/>
              <w:left w:val="nil"/>
              <w:bottom w:val="nil"/>
              <w:right w:val="nil"/>
            </w:tcBorders>
            <w:shd w:val="clear" w:color="auto" w:fill="auto"/>
            <w:vAlign w:val="bottom"/>
          </w:tcPr>
          <w:p w14:paraId="387051EE" w14:textId="4B9BC8B9"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1.658.934 </w:t>
            </w:r>
          </w:p>
        </w:tc>
      </w:tr>
      <w:tr w:rsidR="004576F4" w:rsidRPr="000B563A" w14:paraId="1087FA32" w14:textId="77777777" w:rsidTr="005333A4">
        <w:tc>
          <w:tcPr>
            <w:tcW w:w="2547" w:type="dxa"/>
            <w:tcBorders>
              <w:top w:val="nil"/>
              <w:left w:val="nil"/>
              <w:bottom w:val="nil"/>
              <w:right w:val="nil"/>
            </w:tcBorders>
            <w:shd w:val="clear" w:color="auto" w:fill="auto"/>
            <w:vAlign w:val="bottom"/>
            <w:hideMark/>
          </w:tcPr>
          <w:p w14:paraId="578128D8" w14:textId="77777777"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Tarjetas de Crédito</w:t>
            </w:r>
          </w:p>
        </w:tc>
        <w:tc>
          <w:tcPr>
            <w:tcW w:w="1204" w:type="dxa"/>
            <w:tcBorders>
              <w:top w:val="nil"/>
              <w:left w:val="nil"/>
              <w:bottom w:val="nil"/>
              <w:right w:val="nil"/>
            </w:tcBorders>
            <w:shd w:val="clear" w:color="auto" w:fill="auto"/>
            <w:vAlign w:val="bottom"/>
          </w:tcPr>
          <w:p w14:paraId="1108DC8F" w14:textId="32703115" w:rsidR="004576F4" w:rsidRPr="004576F4" w:rsidRDefault="004576F4">
            <w:pPr>
              <w:jc w:val="right"/>
              <w:rPr>
                <w:rFonts w:ascii="Arial" w:hAnsi="Arial" w:cs="Arial"/>
                <w:sz w:val="16"/>
                <w:szCs w:val="16"/>
              </w:rPr>
            </w:pPr>
            <w:r w:rsidRPr="005333A4">
              <w:rPr>
                <w:rFonts w:ascii="Arial" w:hAnsi="Arial" w:cs="Arial"/>
                <w:sz w:val="16"/>
                <w:szCs w:val="16"/>
              </w:rPr>
              <w:t xml:space="preserve"> 714.446 </w:t>
            </w:r>
          </w:p>
        </w:tc>
        <w:tc>
          <w:tcPr>
            <w:tcW w:w="997" w:type="dxa"/>
            <w:tcBorders>
              <w:top w:val="nil"/>
              <w:left w:val="nil"/>
              <w:bottom w:val="nil"/>
              <w:right w:val="nil"/>
            </w:tcBorders>
            <w:shd w:val="clear" w:color="auto" w:fill="auto"/>
            <w:vAlign w:val="bottom"/>
          </w:tcPr>
          <w:p w14:paraId="1C02179E" w14:textId="1517BE3C"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-289.036 </w:t>
            </w:r>
          </w:p>
        </w:tc>
        <w:tc>
          <w:tcPr>
            <w:tcW w:w="897" w:type="dxa"/>
            <w:tcBorders>
              <w:top w:val="nil"/>
              <w:left w:val="nil"/>
              <w:bottom w:val="nil"/>
              <w:right w:val="nil"/>
            </w:tcBorders>
            <w:shd w:val="clear" w:color="auto" w:fill="auto"/>
            <w:vAlign w:val="bottom"/>
          </w:tcPr>
          <w:p w14:paraId="1750CEAF" w14:textId="4AE9C1D6"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-100.524 </w:t>
            </w:r>
          </w:p>
        </w:tc>
        <w:tc>
          <w:tcPr>
            <w:tcW w:w="1229" w:type="dxa"/>
            <w:tcBorders>
              <w:top w:val="nil"/>
              <w:left w:val="nil"/>
              <w:bottom w:val="nil"/>
              <w:right w:val="nil"/>
            </w:tcBorders>
            <w:vAlign w:val="bottom"/>
          </w:tcPr>
          <w:p w14:paraId="146BAAFD" w14:textId="04BE17DF"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-232.033 </w:t>
            </w:r>
          </w:p>
        </w:tc>
        <w:tc>
          <w:tcPr>
            <w:tcW w:w="1229" w:type="dxa"/>
            <w:tcBorders>
              <w:top w:val="nil"/>
              <w:left w:val="nil"/>
              <w:bottom w:val="nil"/>
              <w:right w:val="nil"/>
            </w:tcBorders>
            <w:shd w:val="clear" w:color="auto" w:fill="auto"/>
            <w:vAlign w:val="bottom"/>
          </w:tcPr>
          <w:p w14:paraId="1215D197" w14:textId="5E06966A"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6A16424E" w14:textId="0BA6736C"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-51.695 </w:t>
            </w:r>
          </w:p>
        </w:tc>
        <w:tc>
          <w:tcPr>
            <w:tcW w:w="1134" w:type="dxa"/>
            <w:tcBorders>
              <w:top w:val="nil"/>
              <w:left w:val="nil"/>
              <w:bottom w:val="nil"/>
              <w:right w:val="nil"/>
            </w:tcBorders>
            <w:shd w:val="clear" w:color="auto" w:fill="auto"/>
            <w:vAlign w:val="bottom"/>
          </w:tcPr>
          <w:p w14:paraId="72FA89DE" w14:textId="0BA6AC90"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41.158 </w:t>
            </w:r>
          </w:p>
        </w:tc>
      </w:tr>
      <w:tr w:rsidR="004576F4" w:rsidRPr="000B563A" w14:paraId="20FAA4A1" w14:textId="77777777" w:rsidTr="005333A4">
        <w:tc>
          <w:tcPr>
            <w:tcW w:w="2547" w:type="dxa"/>
            <w:tcBorders>
              <w:top w:val="nil"/>
              <w:left w:val="nil"/>
              <w:bottom w:val="nil"/>
              <w:right w:val="nil"/>
            </w:tcBorders>
            <w:shd w:val="clear" w:color="auto" w:fill="auto"/>
            <w:vAlign w:val="bottom"/>
            <w:hideMark/>
          </w:tcPr>
          <w:p w14:paraId="4B95FD0C" w14:textId="63DEC6EF"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Arrendamientos Finan</w:t>
            </w:r>
            <w:r>
              <w:rPr>
                <w:rFonts w:ascii="Arial" w:hAnsi="Arial" w:cs="Arial"/>
                <w:sz w:val="16"/>
                <w:szCs w:val="16"/>
                <w:lang w:eastAsia="es-AR"/>
              </w:rPr>
              <w:t>c.</w:t>
            </w:r>
          </w:p>
        </w:tc>
        <w:tc>
          <w:tcPr>
            <w:tcW w:w="1204" w:type="dxa"/>
            <w:tcBorders>
              <w:top w:val="nil"/>
              <w:left w:val="nil"/>
              <w:bottom w:val="nil"/>
              <w:right w:val="nil"/>
            </w:tcBorders>
            <w:shd w:val="clear" w:color="auto" w:fill="auto"/>
            <w:vAlign w:val="bottom"/>
          </w:tcPr>
          <w:p w14:paraId="541987A1" w14:textId="1436B7E1" w:rsidR="004576F4" w:rsidRPr="004576F4" w:rsidRDefault="004576F4">
            <w:pPr>
              <w:jc w:val="right"/>
              <w:rPr>
                <w:rFonts w:ascii="Arial" w:hAnsi="Arial" w:cs="Arial"/>
                <w:sz w:val="16"/>
                <w:szCs w:val="16"/>
              </w:rPr>
            </w:pPr>
            <w:r w:rsidRPr="005333A4">
              <w:rPr>
                <w:rFonts w:ascii="Arial" w:hAnsi="Arial" w:cs="Arial"/>
                <w:sz w:val="16"/>
                <w:szCs w:val="16"/>
              </w:rPr>
              <w:t xml:space="preserve"> 255.107 </w:t>
            </w:r>
          </w:p>
        </w:tc>
        <w:tc>
          <w:tcPr>
            <w:tcW w:w="997" w:type="dxa"/>
            <w:tcBorders>
              <w:top w:val="nil"/>
              <w:left w:val="nil"/>
              <w:bottom w:val="nil"/>
              <w:right w:val="nil"/>
            </w:tcBorders>
            <w:shd w:val="clear" w:color="auto" w:fill="auto"/>
            <w:vAlign w:val="bottom"/>
          </w:tcPr>
          <w:p w14:paraId="72751642" w14:textId="1238E29F"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-15.610 </w:t>
            </w:r>
          </w:p>
        </w:tc>
        <w:tc>
          <w:tcPr>
            <w:tcW w:w="897" w:type="dxa"/>
            <w:tcBorders>
              <w:top w:val="nil"/>
              <w:left w:val="nil"/>
              <w:bottom w:val="nil"/>
              <w:right w:val="nil"/>
            </w:tcBorders>
            <w:shd w:val="clear" w:color="auto" w:fill="auto"/>
            <w:vAlign w:val="bottom"/>
          </w:tcPr>
          <w:p w14:paraId="10E3DBF7" w14:textId="2B5AA3DD"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-31.653 </w:t>
            </w:r>
          </w:p>
        </w:tc>
        <w:tc>
          <w:tcPr>
            <w:tcW w:w="1229" w:type="dxa"/>
            <w:tcBorders>
              <w:top w:val="nil"/>
              <w:left w:val="nil"/>
              <w:bottom w:val="nil"/>
              <w:right w:val="nil"/>
            </w:tcBorders>
            <w:vAlign w:val="bottom"/>
          </w:tcPr>
          <w:p w14:paraId="5C94B697" w14:textId="4F4D0E4E"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61.655 </w:t>
            </w:r>
          </w:p>
        </w:tc>
        <w:tc>
          <w:tcPr>
            <w:tcW w:w="1229" w:type="dxa"/>
            <w:tcBorders>
              <w:top w:val="nil"/>
              <w:left w:val="nil"/>
              <w:bottom w:val="nil"/>
              <w:right w:val="nil"/>
            </w:tcBorders>
            <w:shd w:val="clear" w:color="auto" w:fill="auto"/>
            <w:vAlign w:val="bottom"/>
          </w:tcPr>
          <w:p w14:paraId="107A3B1F" w14:textId="48F86243"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3C3AC411" w14:textId="5A2AA8F1"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-18.459 </w:t>
            </w:r>
          </w:p>
        </w:tc>
        <w:tc>
          <w:tcPr>
            <w:tcW w:w="1134" w:type="dxa"/>
            <w:tcBorders>
              <w:top w:val="nil"/>
              <w:left w:val="nil"/>
              <w:bottom w:val="nil"/>
              <w:right w:val="nil"/>
            </w:tcBorders>
            <w:shd w:val="clear" w:color="auto" w:fill="auto"/>
            <w:vAlign w:val="bottom"/>
          </w:tcPr>
          <w:p w14:paraId="358095AC" w14:textId="31A000E4"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251.040 </w:t>
            </w:r>
          </w:p>
        </w:tc>
      </w:tr>
      <w:tr w:rsidR="004576F4" w:rsidRPr="000B563A" w14:paraId="0EBB950F" w14:textId="77777777" w:rsidTr="005333A4">
        <w:tc>
          <w:tcPr>
            <w:tcW w:w="2547" w:type="dxa"/>
            <w:tcBorders>
              <w:top w:val="nil"/>
              <w:left w:val="nil"/>
              <w:bottom w:val="nil"/>
              <w:right w:val="nil"/>
            </w:tcBorders>
            <w:shd w:val="clear" w:color="auto" w:fill="auto"/>
            <w:vAlign w:val="bottom"/>
            <w:hideMark/>
          </w:tcPr>
          <w:p w14:paraId="4A8A705B" w14:textId="77777777" w:rsidR="004576F4" w:rsidRPr="000B563A" w:rsidRDefault="004576F4" w:rsidP="004576F4">
            <w:pPr>
              <w:ind w:firstLineChars="400" w:firstLine="640"/>
              <w:rPr>
                <w:rFonts w:ascii="Arial" w:hAnsi="Arial" w:cs="Arial"/>
                <w:sz w:val="16"/>
                <w:szCs w:val="16"/>
                <w:lang w:eastAsia="es-AR"/>
              </w:rPr>
            </w:pPr>
            <w:r w:rsidRPr="000B563A">
              <w:rPr>
                <w:rFonts w:ascii="Arial" w:hAnsi="Arial" w:cs="Arial"/>
                <w:sz w:val="16"/>
                <w:szCs w:val="16"/>
                <w:lang w:eastAsia="es-AR"/>
              </w:rPr>
              <w:t>Otros</w:t>
            </w:r>
          </w:p>
        </w:tc>
        <w:tc>
          <w:tcPr>
            <w:tcW w:w="1204" w:type="dxa"/>
            <w:tcBorders>
              <w:top w:val="nil"/>
              <w:left w:val="nil"/>
              <w:bottom w:val="nil"/>
              <w:right w:val="nil"/>
            </w:tcBorders>
            <w:shd w:val="clear" w:color="auto" w:fill="auto"/>
            <w:vAlign w:val="bottom"/>
          </w:tcPr>
          <w:p w14:paraId="3C0531EB" w14:textId="3F359C9C" w:rsidR="004576F4" w:rsidRPr="004576F4" w:rsidRDefault="004576F4">
            <w:pPr>
              <w:jc w:val="right"/>
              <w:rPr>
                <w:rFonts w:ascii="Arial" w:hAnsi="Arial" w:cs="Arial"/>
                <w:sz w:val="16"/>
                <w:szCs w:val="16"/>
              </w:rPr>
            </w:pPr>
            <w:r w:rsidRPr="005333A4">
              <w:rPr>
                <w:rFonts w:ascii="Arial" w:hAnsi="Arial" w:cs="Arial"/>
                <w:sz w:val="16"/>
                <w:szCs w:val="16"/>
              </w:rPr>
              <w:t xml:space="preserve"> 1.415.614 </w:t>
            </w:r>
          </w:p>
        </w:tc>
        <w:tc>
          <w:tcPr>
            <w:tcW w:w="997" w:type="dxa"/>
            <w:tcBorders>
              <w:top w:val="nil"/>
              <w:left w:val="nil"/>
              <w:bottom w:val="nil"/>
              <w:right w:val="nil"/>
            </w:tcBorders>
            <w:shd w:val="clear" w:color="auto" w:fill="auto"/>
            <w:vAlign w:val="bottom"/>
          </w:tcPr>
          <w:p w14:paraId="2E58DC90" w14:textId="06C5DEB9"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-15.984 </w:t>
            </w:r>
          </w:p>
        </w:tc>
        <w:tc>
          <w:tcPr>
            <w:tcW w:w="897" w:type="dxa"/>
            <w:tcBorders>
              <w:top w:val="nil"/>
              <w:left w:val="nil"/>
              <w:bottom w:val="nil"/>
              <w:right w:val="nil"/>
            </w:tcBorders>
            <w:shd w:val="clear" w:color="auto" w:fill="auto"/>
            <w:vAlign w:val="bottom"/>
          </w:tcPr>
          <w:p w14:paraId="22125223" w14:textId="6FFE0EB5"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98.926 </w:t>
            </w:r>
          </w:p>
        </w:tc>
        <w:tc>
          <w:tcPr>
            <w:tcW w:w="1229" w:type="dxa"/>
            <w:tcBorders>
              <w:top w:val="nil"/>
              <w:left w:val="nil"/>
              <w:bottom w:val="nil"/>
              <w:right w:val="nil"/>
            </w:tcBorders>
            <w:vAlign w:val="bottom"/>
          </w:tcPr>
          <w:p w14:paraId="02390B6E" w14:textId="00873C1B"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-516.673 </w:t>
            </w:r>
          </w:p>
        </w:tc>
        <w:tc>
          <w:tcPr>
            <w:tcW w:w="1229" w:type="dxa"/>
            <w:tcBorders>
              <w:top w:val="nil"/>
              <w:left w:val="nil"/>
              <w:bottom w:val="nil"/>
              <w:right w:val="nil"/>
            </w:tcBorders>
            <w:shd w:val="clear" w:color="auto" w:fill="auto"/>
            <w:vAlign w:val="bottom"/>
          </w:tcPr>
          <w:p w14:paraId="33E5C9AE" w14:textId="2FBF4643" w:rsidR="004576F4" w:rsidRPr="004576F4" w:rsidRDefault="004576F4">
            <w:pPr>
              <w:jc w:val="right"/>
              <w:rPr>
                <w:rFonts w:ascii="Arial" w:hAnsi="Arial" w:cs="Arial"/>
                <w:sz w:val="16"/>
                <w:szCs w:val="16"/>
                <w:lang w:eastAsia="es-AR"/>
              </w:rPr>
            </w:pPr>
            <w:r w:rsidRPr="004576F4">
              <w:rPr>
                <w:rFonts w:ascii="Arial" w:hAnsi="Arial" w:cs="Arial"/>
                <w:b/>
                <w:bCs/>
                <w:color w:val="000000"/>
                <w:sz w:val="16"/>
                <w:szCs w:val="16"/>
              </w:rPr>
              <w:t>-</w:t>
            </w:r>
          </w:p>
        </w:tc>
        <w:tc>
          <w:tcPr>
            <w:tcW w:w="1134" w:type="dxa"/>
            <w:tcBorders>
              <w:top w:val="nil"/>
              <w:left w:val="nil"/>
              <w:bottom w:val="nil"/>
              <w:right w:val="nil"/>
            </w:tcBorders>
            <w:shd w:val="clear" w:color="auto" w:fill="auto"/>
            <w:vAlign w:val="bottom"/>
          </w:tcPr>
          <w:p w14:paraId="1176DE32" w14:textId="6C9FD75D"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-102.426 </w:t>
            </w:r>
          </w:p>
        </w:tc>
        <w:tc>
          <w:tcPr>
            <w:tcW w:w="1134" w:type="dxa"/>
            <w:tcBorders>
              <w:top w:val="nil"/>
              <w:left w:val="nil"/>
              <w:bottom w:val="nil"/>
              <w:right w:val="nil"/>
            </w:tcBorders>
            <w:shd w:val="clear" w:color="auto" w:fill="auto"/>
            <w:vAlign w:val="bottom"/>
          </w:tcPr>
          <w:p w14:paraId="1836F0AB" w14:textId="4B160764" w:rsidR="004576F4" w:rsidRPr="004576F4" w:rsidRDefault="004576F4">
            <w:pPr>
              <w:jc w:val="right"/>
              <w:rPr>
                <w:rFonts w:ascii="Arial" w:hAnsi="Arial" w:cs="Arial"/>
                <w:sz w:val="16"/>
                <w:szCs w:val="16"/>
                <w:lang w:eastAsia="es-AR"/>
              </w:rPr>
            </w:pPr>
            <w:r w:rsidRPr="005333A4">
              <w:rPr>
                <w:rFonts w:ascii="Arial" w:hAnsi="Arial" w:cs="Arial"/>
                <w:sz w:val="16"/>
                <w:szCs w:val="16"/>
              </w:rPr>
              <w:t xml:space="preserve"> 879.457 </w:t>
            </w:r>
          </w:p>
        </w:tc>
      </w:tr>
      <w:tr w:rsidR="00124DDB" w:rsidRPr="000B563A" w14:paraId="5CBFC68A" w14:textId="77777777" w:rsidTr="005333A4">
        <w:tc>
          <w:tcPr>
            <w:tcW w:w="2547" w:type="dxa"/>
            <w:tcBorders>
              <w:top w:val="nil"/>
              <w:left w:val="nil"/>
              <w:bottom w:val="nil"/>
              <w:right w:val="nil"/>
            </w:tcBorders>
            <w:shd w:val="clear" w:color="auto" w:fill="auto"/>
            <w:vAlign w:val="bottom"/>
            <w:hideMark/>
          </w:tcPr>
          <w:p w14:paraId="4D52181F" w14:textId="77777777" w:rsidR="00124DDB" w:rsidRPr="000B563A" w:rsidRDefault="00124DDB" w:rsidP="000B563A">
            <w:pPr>
              <w:rPr>
                <w:rFonts w:ascii="Arial" w:hAnsi="Arial" w:cs="Arial"/>
                <w:sz w:val="16"/>
                <w:szCs w:val="16"/>
                <w:lang w:eastAsia="es-AR"/>
              </w:rPr>
            </w:pPr>
          </w:p>
        </w:tc>
        <w:tc>
          <w:tcPr>
            <w:tcW w:w="1204" w:type="dxa"/>
            <w:tcBorders>
              <w:top w:val="nil"/>
              <w:left w:val="nil"/>
              <w:bottom w:val="nil"/>
              <w:right w:val="nil"/>
            </w:tcBorders>
            <w:shd w:val="clear" w:color="auto" w:fill="auto"/>
            <w:vAlign w:val="bottom"/>
          </w:tcPr>
          <w:p w14:paraId="61743587" w14:textId="77777777" w:rsidR="00124DDB" w:rsidRPr="004576F4" w:rsidRDefault="00124DDB">
            <w:pPr>
              <w:jc w:val="right"/>
              <w:rPr>
                <w:rFonts w:ascii="Arial" w:hAnsi="Arial" w:cs="Arial"/>
                <w:sz w:val="16"/>
                <w:szCs w:val="16"/>
              </w:rPr>
            </w:pPr>
          </w:p>
        </w:tc>
        <w:tc>
          <w:tcPr>
            <w:tcW w:w="997" w:type="dxa"/>
            <w:tcBorders>
              <w:top w:val="nil"/>
              <w:left w:val="nil"/>
              <w:bottom w:val="nil"/>
              <w:right w:val="nil"/>
            </w:tcBorders>
            <w:shd w:val="clear" w:color="auto" w:fill="auto"/>
            <w:vAlign w:val="bottom"/>
          </w:tcPr>
          <w:p w14:paraId="423654D5" w14:textId="77777777" w:rsidR="00124DDB" w:rsidRPr="004576F4" w:rsidRDefault="00124DDB">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bottom"/>
          </w:tcPr>
          <w:p w14:paraId="39615296" w14:textId="77777777" w:rsidR="00124DDB" w:rsidRPr="004576F4" w:rsidRDefault="00124DDB">
            <w:pPr>
              <w:jc w:val="right"/>
              <w:rPr>
                <w:rFonts w:ascii="Arial" w:hAnsi="Arial" w:cs="Arial"/>
                <w:sz w:val="16"/>
                <w:szCs w:val="16"/>
                <w:lang w:eastAsia="es-AR"/>
              </w:rPr>
            </w:pPr>
          </w:p>
        </w:tc>
        <w:tc>
          <w:tcPr>
            <w:tcW w:w="1229" w:type="dxa"/>
            <w:tcBorders>
              <w:top w:val="nil"/>
              <w:left w:val="nil"/>
              <w:bottom w:val="nil"/>
              <w:right w:val="nil"/>
            </w:tcBorders>
            <w:vAlign w:val="bottom"/>
          </w:tcPr>
          <w:p w14:paraId="5BB9C36D" w14:textId="77777777" w:rsidR="00124DDB" w:rsidRPr="004576F4" w:rsidRDefault="00124DDB">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bottom"/>
          </w:tcPr>
          <w:p w14:paraId="65AA0AD9" w14:textId="617835EE" w:rsidR="00124DDB" w:rsidRPr="004576F4" w:rsidRDefault="00124DDB">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476F162D" w14:textId="77777777" w:rsidR="00124DDB" w:rsidRPr="004576F4" w:rsidRDefault="00124DDB">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0BB2930B" w14:textId="77777777" w:rsidR="00124DDB" w:rsidRPr="004576F4" w:rsidRDefault="00124DDB">
            <w:pPr>
              <w:jc w:val="right"/>
              <w:rPr>
                <w:rFonts w:ascii="Arial" w:hAnsi="Arial" w:cs="Arial"/>
                <w:sz w:val="16"/>
                <w:szCs w:val="16"/>
                <w:lang w:eastAsia="es-AR"/>
              </w:rPr>
            </w:pPr>
          </w:p>
        </w:tc>
      </w:tr>
      <w:tr w:rsidR="00832933" w:rsidRPr="000B563A" w14:paraId="53845DE3" w14:textId="77777777" w:rsidTr="005333A4">
        <w:tc>
          <w:tcPr>
            <w:tcW w:w="2547" w:type="dxa"/>
            <w:tcBorders>
              <w:top w:val="nil"/>
              <w:left w:val="nil"/>
              <w:bottom w:val="nil"/>
              <w:right w:val="nil"/>
            </w:tcBorders>
            <w:shd w:val="clear" w:color="auto" w:fill="auto"/>
            <w:vAlign w:val="bottom"/>
            <w:hideMark/>
          </w:tcPr>
          <w:p w14:paraId="44308927" w14:textId="5E5F4AF1" w:rsidR="00832933" w:rsidRPr="000B563A" w:rsidRDefault="00832933" w:rsidP="00832933">
            <w:pPr>
              <w:rPr>
                <w:rFonts w:ascii="Arial" w:hAnsi="Arial" w:cs="Arial"/>
                <w:sz w:val="16"/>
                <w:szCs w:val="16"/>
                <w:lang w:eastAsia="es-AR"/>
              </w:rPr>
            </w:pPr>
            <w:r w:rsidRPr="000B563A">
              <w:rPr>
                <w:rFonts w:ascii="Arial" w:hAnsi="Arial" w:cs="Arial"/>
                <w:sz w:val="16"/>
                <w:szCs w:val="16"/>
                <w:lang w:eastAsia="es-AR"/>
              </w:rPr>
              <w:t>Títulos Privados</w:t>
            </w:r>
          </w:p>
        </w:tc>
        <w:tc>
          <w:tcPr>
            <w:tcW w:w="1204" w:type="dxa"/>
            <w:tcBorders>
              <w:top w:val="nil"/>
              <w:left w:val="nil"/>
              <w:bottom w:val="nil"/>
              <w:right w:val="nil"/>
            </w:tcBorders>
            <w:shd w:val="clear" w:color="auto" w:fill="auto"/>
            <w:vAlign w:val="bottom"/>
          </w:tcPr>
          <w:p w14:paraId="150A8206" w14:textId="25CAE87B" w:rsidR="00832933" w:rsidRPr="004576F4" w:rsidRDefault="00027BFF">
            <w:pPr>
              <w:jc w:val="right"/>
              <w:rPr>
                <w:rFonts w:ascii="Arial" w:hAnsi="Arial" w:cs="Arial"/>
                <w:sz w:val="16"/>
                <w:szCs w:val="16"/>
                <w:lang w:eastAsia="es-AR"/>
              </w:rPr>
            </w:pPr>
            <w:r w:rsidRPr="004576F4">
              <w:rPr>
                <w:rFonts w:ascii="Arial" w:hAnsi="Arial" w:cs="Arial"/>
                <w:color w:val="000000"/>
                <w:sz w:val="16"/>
                <w:szCs w:val="16"/>
              </w:rPr>
              <w:t>-</w:t>
            </w:r>
          </w:p>
        </w:tc>
        <w:tc>
          <w:tcPr>
            <w:tcW w:w="997" w:type="dxa"/>
            <w:tcBorders>
              <w:top w:val="nil"/>
              <w:left w:val="nil"/>
              <w:bottom w:val="nil"/>
              <w:right w:val="nil"/>
            </w:tcBorders>
            <w:shd w:val="clear" w:color="auto" w:fill="auto"/>
            <w:vAlign w:val="bottom"/>
          </w:tcPr>
          <w:p w14:paraId="4F2AE663" w14:textId="74458C19" w:rsidR="00832933" w:rsidRPr="004576F4" w:rsidRDefault="00027BFF">
            <w:pPr>
              <w:jc w:val="right"/>
              <w:rPr>
                <w:rFonts w:ascii="Arial" w:hAnsi="Arial" w:cs="Arial"/>
                <w:sz w:val="16"/>
                <w:szCs w:val="16"/>
                <w:lang w:eastAsia="es-AR"/>
              </w:rPr>
            </w:pPr>
            <w:r w:rsidRPr="004576F4">
              <w:rPr>
                <w:rFonts w:ascii="Arial" w:hAnsi="Arial" w:cs="Arial"/>
                <w:color w:val="000000"/>
                <w:sz w:val="16"/>
                <w:szCs w:val="16"/>
              </w:rPr>
              <w:t>75</w:t>
            </w:r>
          </w:p>
        </w:tc>
        <w:tc>
          <w:tcPr>
            <w:tcW w:w="897" w:type="dxa"/>
            <w:tcBorders>
              <w:top w:val="nil"/>
              <w:left w:val="nil"/>
              <w:bottom w:val="nil"/>
              <w:right w:val="nil"/>
            </w:tcBorders>
            <w:shd w:val="clear" w:color="auto" w:fill="auto"/>
            <w:vAlign w:val="bottom"/>
          </w:tcPr>
          <w:p w14:paraId="3BD5455F" w14:textId="2B1C9DFC"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229" w:type="dxa"/>
            <w:tcBorders>
              <w:top w:val="nil"/>
              <w:left w:val="nil"/>
              <w:bottom w:val="nil"/>
              <w:right w:val="nil"/>
            </w:tcBorders>
            <w:vAlign w:val="bottom"/>
          </w:tcPr>
          <w:p w14:paraId="755F705C" w14:textId="03E58C9D"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229" w:type="dxa"/>
            <w:tcBorders>
              <w:top w:val="nil"/>
              <w:left w:val="nil"/>
              <w:bottom w:val="nil"/>
              <w:right w:val="nil"/>
            </w:tcBorders>
            <w:shd w:val="clear" w:color="auto" w:fill="auto"/>
            <w:vAlign w:val="bottom"/>
          </w:tcPr>
          <w:p w14:paraId="7FD32C71" w14:textId="18502221"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635CF092" w14:textId="12819397" w:rsidR="00832933" w:rsidRPr="004576F4" w:rsidRDefault="00027BFF">
            <w:pPr>
              <w:jc w:val="right"/>
              <w:rPr>
                <w:rFonts w:ascii="Arial" w:hAnsi="Arial" w:cs="Arial"/>
                <w:sz w:val="16"/>
                <w:szCs w:val="16"/>
                <w:lang w:eastAsia="es-AR"/>
              </w:rPr>
            </w:pPr>
            <w:r w:rsidRPr="004576F4">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7F860540" w14:textId="61BFB92B" w:rsidR="00832933" w:rsidRPr="004576F4" w:rsidRDefault="00832933">
            <w:pPr>
              <w:jc w:val="right"/>
              <w:rPr>
                <w:rFonts w:ascii="Arial" w:hAnsi="Arial" w:cs="Arial"/>
                <w:sz w:val="16"/>
                <w:szCs w:val="16"/>
                <w:lang w:eastAsia="es-AR"/>
              </w:rPr>
            </w:pPr>
            <w:r w:rsidRPr="004576F4">
              <w:rPr>
                <w:rFonts w:ascii="Arial" w:hAnsi="Arial" w:cs="Arial"/>
                <w:sz w:val="16"/>
                <w:szCs w:val="16"/>
              </w:rPr>
              <w:t>75</w:t>
            </w:r>
          </w:p>
        </w:tc>
      </w:tr>
      <w:tr w:rsidR="00124DDB" w:rsidRPr="000B563A" w14:paraId="33BB1DBB" w14:textId="77777777" w:rsidTr="005333A4">
        <w:tc>
          <w:tcPr>
            <w:tcW w:w="2547" w:type="dxa"/>
            <w:tcBorders>
              <w:top w:val="nil"/>
              <w:left w:val="nil"/>
              <w:bottom w:val="nil"/>
              <w:right w:val="nil"/>
            </w:tcBorders>
            <w:shd w:val="clear" w:color="auto" w:fill="auto"/>
            <w:vAlign w:val="bottom"/>
            <w:hideMark/>
          </w:tcPr>
          <w:p w14:paraId="1812AE33" w14:textId="77777777" w:rsidR="00124DDB" w:rsidRPr="000B563A" w:rsidRDefault="00124DDB" w:rsidP="000B563A">
            <w:pPr>
              <w:rPr>
                <w:rFonts w:ascii="Arial" w:hAnsi="Arial" w:cs="Arial"/>
                <w:sz w:val="16"/>
                <w:szCs w:val="16"/>
                <w:lang w:eastAsia="es-AR"/>
              </w:rPr>
            </w:pPr>
          </w:p>
        </w:tc>
        <w:tc>
          <w:tcPr>
            <w:tcW w:w="1204" w:type="dxa"/>
            <w:tcBorders>
              <w:top w:val="nil"/>
              <w:left w:val="nil"/>
              <w:bottom w:val="nil"/>
              <w:right w:val="nil"/>
            </w:tcBorders>
            <w:shd w:val="clear" w:color="auto" w:fill="auto"/>
            <w:vAlign w:val="bottom"/>
          </w:tcPr>
          <w:p w14:paraId="1FB1A11D" w14:textId="77777777" w:rsidR="00124DDB" w:rsidRPr="004576F4" w:rsidRDefault="00124DDB">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bottom"/>
          </w:tcPr>
          <w:p w14:paraId="7C7E8D0E" w14:textId="77777777" w:rsidR="00124DDB" w:rsidRPr="004576F4" w:rsidRDefault="00124DDB">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bottom"/>
          </w:tcPr>
          <w:p w14:paraId="1DF642C8" w14:textId="77777777" w:rsidR="00124DDB" w:rsidRPr="004576F4" w:rsidRDefault="00124DDB">
            <w:pPr>
              <w:jc w:val="right"/>
              <w:rPr>
                <w:rFonts w:ascii="Arial" w:hAnsi="Arial" w:cs="Arial"/>
                <w:sz w:val="16"/>
                <w:szCs w:val="16"/>
                <w:lang w:eastAsia="es-AR"/>
              </w:rPr>
            </w:pPr>
          </w:p>
        </w:tc>
        <w:tc>
          <w:tcPr>
            <w:tcW w:w="1229" w:type="dxa"/>
            <w:tcBorders>
              <w:top w:val="nil"/>
              <w:left w:val="nil"/>
              <w:bottom w:val="nil"/>
              <w:right w:val="nil"/>
            </w:tcBorders>
            <w:vAlign w:val="bottom"/>
          </w:tcPr>
          <w:p w14:paraId="184F8F21" w14:textId="77777777" w:rsidR="00124DDB" w:rsidRPr="004576F4" w:rsidRDefault="00124DDB">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bottom"/>
          </w:tcPr>
          <w:p w14:paraId="0B6CAD54" w14:textId="69666578" w:rsidR="00124DDB" w:rsidRPr="004576F4" w:rsidRDefault="00124DDB">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63422B9B" w14:textId="77777777" w:rsidR="00124DDB" w:rsidRPr="004576F4" w:rsidRDefault="00124DDB">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7C8FCD12" w14:textId="77777777" w:rsidR="00124DDB" w:rsidRPr="004576F4" w:rsidRDefault="00124DDB">
            <w:pPr>
              <w:jc w:val="right"/>
              <w:rPr>
                <w:rFonts w:ascii="Arial" w:hAnsi="Arial" w:cs="Arial"/>
                <w:sz w:val="16"/>
                <w:szCs w:val="16"/>
                <w:lang w:eastAsia="es-AR"/>
              </w:rPr>
            </w:pPr>
          </w:p>
        </w:tc>
      </w:tr>
      <w:tr w:rsidR="00832933" w:rsidRPr="000B563A" w14:paraId="557C923E" w14:textId="77777777" w:rsidTr="005333A4">
        <w:tc>
          <w:tcPr>
            <w:tcW w:w="2547" w:type="dxa"/>
            <w:tcBorders>
              <w:top w:val="nil"/>
              <w:left w:val="nil"/>
              <w:bottom w:val="nil"/>
              <w:right w:val="nil"/>
            </w:tcBorders>
            <w:shd w:val="clear" w:color="auto" w:fill="auto"/>
            <w:vAlign w:val="bottom"/>
            <w:hideMark/>
          </w:tcPr>
          <w:p w14:paraId="2C7061E1" w14:textId="398F02FB" w:rsidR="00832933" w:rsidRPr="000B563A" w:rsidRDefault="00832933" w:rsidP="00832933">
            <w:pPr>
              <w:rPr>
                <w:rFonts w:ascii="Arial" w:hAnsi="Arial" w:cs="Arial"/>
                <w:sz w:val="16"/>
                <w:szCs w:val="16"/>
                <w:lang w:eastAsia="es-AR"/>
              </w:rPr>
            </w:pPr>
            <w:r w:rsidRPr="000B563A">
              <w:rPr>
                <w:rFonts w:ascii="Arial" w:hAnsi="Arial" w:cs="Arial"/>
                <w:sz w:val="16"/>
                <w:szCs w:val="16"/>
                <w:lang w:eastAsia="es-AR"/>
              </w:rPr>
              <w:t xml:space="preserve">Compromisos eventuales </w:t>
            </w:r>
          </w:p>
        </w:tc>
        <w:tc>
          <w:tcPr>
            <w:tcW w:w="1204" w:type="dxa"/>
            <w:tcBorders>
              <w:top w:val="nil"/>
              <w:left w:val="nil"/>
              <w:bottom w:val="nil"/>
              <w:right w:val="nil"/>
            </w:tcBorders>
            <w:shd w:val="clear" w:color="auto" w:fill="auto"/>
            <w:vAlign w:val="bottom"/>
          </w:tcPr>
          <w:p w14:paraId="6E67D17F" w14:textId="2078E177" w:rsidR="00832933" w:rsidRPr="004576F4" w:rsidRDefault="00832933">
            <w:pPr>
              <w:jc w:val="right"/>
              <w:rPr>
                <w:rFonts w:ascii="Arial" w:hAnsi="Arial" w:cs="Arial"/>
                <w:sz w:val="16"/>
                <w:szCs w:val="16"/>
                <w:lang w:eastAsia="es-AR"/>
              </w:rPr>
            </w:pPr>
            <w:r w:rsidRPr="004576F4">
              <w:rPr>
                <w:rFonts w:ascii="Arial" w:hAnsi="Arial" w:cs="Arial"/>
                <w:color w:val="000000"/>
                <w:sz w:val="16"/>
                <w:szCs w:val="16"/>
              </w:rPr>
              <w:t>396</w:t>
            </w:r>
          </w:p>
        </w:tc>
        <w:tc>
          <w:tcPr>
            <w:tcW w:w="997" w:type="dxa"/>
            <w:tcBorders>
              <w:top w:val="nil"/>
              <w:left w:val="nil"/>
              <w:bottom w:val="nil"/>
              <w:right w:val="nil"/>
            </w:tcBorders>
            <w:shd w:val="clear" w:color="auto" w:fill="auto"/>
            <w:vAlign w:val="bottom"/>
          </w:tcPr>
          <w:p w14:paraId="1FDCF065" w14:textId="1E012E0D" w:rsidR="00832933" w:rsidRPr="004576F4" w:rsidRDefault="00832933">
            <w:pPr>
              <w:jc w:val="right"/>
              <w:rPr>
                <w:rFonts w:ascii="Arial" w:hAnsi="Arial" w:cs="Arial"/>
                <w:sz w:val="16"/>
                <w:szCs w:val="16"/>
                <w:lang w:eastAsia="es-AR"/>
              </w:rPr>
            </w:pPr>
            <w:r w:rsidRPr="004576F4">
              <w:rPr>
                <w:rFonts w:ascii="Arial" w:hAnsi="Arial" w:cs="Arial"/>
                <w:color w:val="000000"/>
                <w:sz w:val="16"/>
                <w:szCs w:val="16"/>
              </w:rPr>
              <w:t>15.329</w:t>
            </w:r>
          </w:p>
        </w:tc>
        <w:tc>
          <w:tcPr>
            <w:tcW w:w="897" w:type="dxa"/>
            <w:tcBorders>
              <w:top w:val="nil"/>
              <w:left w:val="nil"/>
              <w:bottom w:val="nil"/>
              <w:right w:val="nil"/>
            </w:tcBorders>
            <w:shd w:val="clear" w:color="auto" w:fill="auto"/>
            <w:vAlign w:val="bottom"/>
          </w:tcPr>
          <w:p w14:paraId="79FF24E2" w14:textId="3E72263C"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229" w:type="dxa"/>
            <w:tcBorders>
              <w:top w:val="nil"/>
              <w:left w:val="nil"/>
              <w:bottom w:val="nil"/>
              <w:right w:val="nil"/>
            </w:tcBorders>
            <w:vAlign w:val="bottom"/>
          </w:tcPr>
          <w:p w14:paraId="123E0859" w14:textId="3C31977A"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229" w:type="dxa"/>
            <w:tcBorders>
              <w:top w:val="nil"/>
              <w:left w:val="nil"/>
              <w:bottom w:val="nil"/>
              <w:right w:val="nil"/>
            </w:tcBorders>
            <w:shd w:val="clear" w:color="auto" w:fill="auto"/>
            <w:vAlign w:val="bottom"/>
          </w:tcPr>
          <w:p w14:paraId="4C36FC45" w14:textId="558CE854" w:rsidR="00832933" w:rsidRPr="004576F4" w:rsidRDefault="00793014">
            <w:pPr>
              <w:jc w:val="right"/>
              <w:rPr>
                <w:rFonts w:ascii="Arial" w:hAnsi="Arial" w:cs="Arial"/>
                <w:sz w:val="16"/>
                <w:szCs w:val="16"/>
                <w:lang w:eastAsia="es-AR"/>
              </w:rPr>
            </w:pPr>
            <w:r w:rsidRPr="004576F4">
              <w:rPr>
                <w:rFonts w:ascii="Arial" w:hAnsi="Arial" w:cs="Arial"/>
                <w:color w:val="000000"/>
                <w:sz w:val="16"/>
                <w:szCs w:val="16"/>
              </w:rPr>
              <w:t>-</w:t>
            </w:r>
          </w:p>
        </w:tc>
        <w:tc>
          <w:tcPr>
            <w:tcW w:w="1134" w:type="dxa"/>
            <w:tcBorders>
              <w:top w:val="nil"/>
              <w:left w:val="nil"/>
              <w:bottom w:val="nil"/>
              <w:right w:val="nil"/>
            </w:tcBorders>
            <w:shd w:val="clear" w:color="auto" w:fill="auto"/>
            <w:vAlign w:val="bottom"/>
          </w:tcPr>
          <w:p w14:paraId="7478BACE" w14:textId="239B5299" w:rsidR="00832933" w:rsidRPr="004576F4" w:rsidRDefault="00832933">
            <w:pPr>
              <w:jc w:val="right"/>
              <w:rPr>
                <w:rFonts w:ascii="Arial" w:hAnsi="Arial" w:cs="Arial"/>
                <w:sz w:val="16"/>
                <w:szCs w:val="16"/>
                <w:lang w:eastAsia="es-AR"/>
              </w:rPr>
            </w:pPr>
            <w:r w:rsidRPr="004576F4">
              <w:rPr>
                <w:rFonts w:ascii="Arial" w:hAnsi="Arial" w:cs="Arial"/>
                <w:color w:val="000000"/>
                <w:sz w:val="16"/>
                <w:szCs w:val="16"/>
              </w:rPr>
              <w:t>-29</w:t>
            </w:r>
          </w:p>
        </w:tc>
        <w:tc>
          <w:tcPr>
            <w:tcW w:w="1134" w:type="dxa"/>
            <w:tcBorders>
              <w:top w:val="nil"/>
              <w:left w:val="nil"/>
              <w:bottom w:val="nil"/>
              <w:right w:val="nil"/>
            </w:tcBorders>
            <w:shd w:val="clear" w:color="auto" w:fill="auto"/>
            <w:vAlign w:val="bottom"/>
          </w:tcPr>
          <w:p w14:paraId="56A36593" w14:textId="129CEB02" w:rsidR="00832933" w:rsidRPr="004576F4" w:rsidRDefault="00832933">
            <w:pPr>
              <w:jc w:val="right"/>
              <w:rPr>
                <w:rFonts w:ascii="Arial" w:hAnsi="Arial" w:cs="Arial"/>
                <w:sz w:val="16"/>
                <w:szCs w:val="16"/>
                <w:lang w:eastAsia="es-AR"/>
              </w:rPr>
            </w:pPr>
            <w:r w:rsidRPr="004576F4">
              <w:rPr>
                <w:rFonts w:ascii="Arial" w:hAnsi="Arial" w:cs="Arial"/>
                <w:sz w:val="16"/>
                <w:szCs w:val="16"/>
              </w:rPr>
              <w:t>15.696</w:t>
            </w:r>
          </w:p>
        </w:tc>
      </w:tr>
      <w:tr w:rsidR="00124DDB" w:rsidRPr="000B563A" w14:paraId="26550D6B" w14:textId="77777777" w:rsidTr="00124DDB">
        <w:tc>
          <w:tcPr>
            <w:tcW w:w="2547" w:type="dxa"/>
            <w:tcBorders>
              <w:top w:val="nil"/>
              <w:left w:val="nil"/>
              <w:bottom w:val="nil"/>
              <w:right w:val="nil"/>
            </w:tcBorders>
            <w:shd w:val="clear" w:color="auto" w:fill="auto"/>
            <w:vAlign w:val="bottom"/>
            <w:hideMark/>
          </w:tcPr>
          <w:p w14:paraId="27032632" w14:textId="77777777" w:rsidR="00124DDB" w:rsidRPr="000B563A" w:rsidRDefault="00124DDB" w:rsidP="000B563A">
            <w:pPr>
              <w:rPr>
                <w:rFonts w:ascii="Arial" w:hAnsi="Arial" w:cs="Arial"/>
                <w:sz w:val="16"/>
                <w:szCs w:val="16"/>
                <w:lang w:eastAsia="es-AR"/>
              </w:rPr>
            </w:pPr>
          </w:p>
        </w:tc>
        <w:tc>
          <w:tcPr>
            <w:tcW w:w="1204" w:type="dxa"/>
            <w:tcBorders>
              <w:top w:val="nil"/>
              <w:left w:val="nil"/>
              <w:bottom w:val="nil"/>
              <w:right w:val="nil"/>
            </w:tcBorders>
            <w:shd w:val="clear" w:color="auto" w:fill="auto"/>
            <w:vAlign w:val="center"/>
          </w:tcPr>
          <w:p w14:paraId="3EDD258E" w14:textId="77777777" w:rsidR="00124DDB" w:rsidRPr="000B563A" w:rsidRDefault="00124DDB" w:rsidP="000B563A">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center"/>
          </w:tcPr>
          <w:p w14:paraId="44F686D0" w14:textId="77777777" w:rsidR="00124DDB" w:rsidRPr="000B563A" w:rsidRDefault="00124DDB" w:rsidP="000B563A">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center"/>
          </w:tcPr>
          <w:p w14:paraId="409EA551" w14:textId="77777777" w:rsidR="00124DDB" w:rsidRPr="000B563A" w:rsidRDefault="00124DDB" w:rsidP="000B563A">
            <w:pPr>
              <w:jc w:val="right"/>
              <w:rPr>
                <w:rFonts w:ascii="Arial" w:hAnsi="Arial" w:cs="Arial"/>
                <w:sz w:val="16"/>
                <w:szCs w:val="16"/>
                <w:lang w:eastAsia="es-AR"/>
              </w:rPr>
            </w:pPr>
          </w:p>
        </w:tc>
        <w:tc>
          <w:tcPr>
            <w:tcW w:w="1229" w:type="dxa"/>
            <w:tcBorders>
              <w:top w:val="nil"/>
              <w:left w:val="nil"/>
              <w:bottom w:val="nil"/>
              <w:right w:val="nil"/>
            </w:tcBorders>
          </w:tcPr>
          <w:p w14:paraId="66994F1F" w14:textId="77777777" w:rsidR="00124DDB" w:rsidRPr="000B563A" w:rsidRDefault="00124DDB" w:rsidP="000B563A">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center"/>
          </w:tcPr>
          <w:p w14:paraId="2138E068" w14:textId="70D2EB49" w:rsidR="00124DDB" w:rsidRPr="000B563A" w:rsidRDefault="00124DDB"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tcPr>
          <w:p w14:paraId="1E05B04D" w14:textId="77777777" w:rsidR="00124DDB" w:rsidRPr="000B563A" w:rsidRDefault="00124DDB"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tcPr>
          <w:p w14:paraId="5B494E7E" w14:textId="77777777" w:rsidR="00124DDB" w:rsidRPr="000B563A" w:rsidRDefault="00124DDB">
            <w:pPr>
              <w:jc w:val="right"/>
              <w:rPr>
                <w:rFonts w:ascii="Arial" w:hAnsi="Arial" w:cs="Arial"/>
                <w:sz w:val="16"/>
                <w:szCs w:val="16"/>
                <w:lang w:eastAsia="es-AR"/>
              </w:rPr>
            </w:pPr>
          </w:p>
        </w:tc>
      </w:tr>
      <w:tr w:rsidR="00027BFF" w:rsidRPr="000B563A" w14:paraId="7B36DF43" w14:textId="77777777" w:rsidTr="002E1AF6">
        <w:tc>
          <w:tcPr>
            <w:tcW w:w="2547" w:type="dxa"/>
            <w:tcBorders>
              <w:top w:val="nil"/>
              <w:left w:val="nil"/>
              <w:bottom w:val="nil"/>
              <w:right w:val="nil"/>
            </w:tcBorders>
            <w:shd w:val="clear" w:color="auto" w:fill="auto"/>
            <w:vAlign w:val="bottom"/>
            <w:hideMark/>
          </w:tcPr>
          <w:p w14:paraId="27F08CF3" w14:textId="77777777" w:rsidR="00027BFF" w:rsidRPr="000B563A" w:rsidRDefault="00027BFF" w:rsidP="00027BFF">
            <w:pPr>
              <w:rPr>
                <w:rFonts w:ascii="Arial" w:hAnsi="Arial" w:cs="Arial"/>
                <w:b/>
                <w:bCs/>
                <w:sz w:val="16"/>
                <w:szCs w:val="16"/>
                <w:lang w:eastAsia="es-AR"/>
              </w:rPr>
            </w:pPr>
            <w:r w:rsidRPr="000B563A">
              <w:rPr>
                <w:rFonts w:ascii="Arial" w:hAnsi="Arial" w:cs="Arial"/>
                <w:b/>
                <w:bCs/>
                <w:sz w:val="16"/>
                <w:szCs w:val="16"/>
                <w:lang w:eastAsia="es-AR"/>
              </w:rPr>
              <w:t>TOTAL DE PREVISIONES</w:t>
            </w:r>
          </w:p>
        </w:tc>
        <w:tc>
          <w:tcPr>
            <w:tcW w:w="1204" w:type="dxa"/>
            <w:tcBorders>
              <w:top w:val="single" w:sz="4" w:space="0" w:color="auto"/>
              <w:left w:val="nil"/>
              <w:bottom w:val="single" w:sz="4" w:space="0" w:color="auto"/>
              <w:right w:val="nil"/>
            </w:tcBorders>
            <w:shd w:val="clear" w:color="auto" w:fill="auto"/>
          </w:tcPr>
          <w:p w14:paraId="525C2044" w14:textId="19B9C386" w:rsidR="00027BFF" w:rsidRPr="00027BFF" w:rsidRDefault="00027BFF" w:rsidP="00027BFF">
            <w:pPr>
              <w:jc w:val="right"/>
              <w:rPr>
                <w:rFonts w:ascii="Arial" w:hAnsi="Arial" w:cs="Arial"/>
                <w:b/>
                <w:bCs/>
                <w:sz w:val="16"/>
                <w:szCs w:val="16"/>
                <w:lang w:eastAsia="es-AR"/>
              </w:rPr>
            </w:pPr>
            <w:r w:rsidRPr="002E1AF6">
              <w:rPr>
                <w:rFonts w:ascii="Arial" w:hAnsi="Arial" w:cs="Arial"/>
                <w:b/>
                <w:sz w:val="16"/>
                <w:szCs w:val="16"/>
              </w:rPr>
              <w:t xml:space="preserve"> 5.486.057 </w:t>
            </w:r>
          </w:p>
        </w:tc>
        <w:tc>
          <w:tcPr>
            <w:tcW w:w="997" w:type="dxa"/>
            <w:tcBorders>
              <w:top w:val="single" w:sz="4" w:space="0" w:color="auto"/>
              <w:left w:val="nil"/>
              <w:bottom w:val="single" w:sz="4" w:space="0" w:color="auto"/>
              <w:right w:val="nil"/>
            </w:tcBorders>
            <w:shd w:val="clear" w:color="auto" w:fill="auto"/>
          </w:tcPr>
          <w:p w14:paraId="334EB050" w14:textId="068E9977" w:rsidR="00027BFF" w:rsidRPr="00027BFF" w:rsidRDefault="00027BFF" w:rsidP="00027BFF">
            <w:pPr>
              <w:jc w:val="right"/>
              <w:rPr>
                <w:rFonts w:ascii="Arial" w:hAnsi="Arial" w:cs="Arial"/>
                <w:b/>
                <w:bCs/>
                <w:sz w:val="16"/>
                <w:szCs w:val="16"/>
                <w:lang w:eastAsia="es-AR"/>
              </w:rPr>
            </w:pPr>
            <w:r w:rsidRPr="002E1AF6">
              <w:rPr>
                <w:rFonts w:ascii="Arial" w:hAnsi="Arial" w:cs="Arial"/>
                <w:b/>
                <w:sz w:val="16"/>
                <w:szCs w:val="16"/>
              </w:rPr>
              <w:t xml:space="preserve">-72.681 </w:t>
            </w:r>
          </w:p>
        </w:tc>
        <w:tc>
          <w:tcPr>
            <w:tcW w:w="897" w:type="dxa"/>
            <w:tcBorders>
              <w:top w:val="single" w:sz="4" w:space="0" w:color="auto"/>
              <w:left w:val="nil"/>
              <w:bottom w:val="single" w:sz="4" w:space="0" w:color="auto"/>
              <w:right w:val="nil"/>
            </w:tcBorders>
            <w:shd w:val="clear" w:color="auto" w:fill="auto"/>
          </w:tcPr>
          <w:p w14:paraId="6CCEBE35" w14:textId="27A21D09" w:rsidR="00027BFF" w:rsidRPr="00027BFF" w:rsidRDefault="00027BFF" w:rsidP="00027BFF">
            <w:pPr>
              <w:jc w:val="right"/>
              <w:rPr>
                <w:rFonts w:ascii="Arial" w:hAnsi="Arial" w:cs="Arial"/>
                <w:b/>
                <w:bCs/>
                <w:sz w:val="16"/>
                <w:szCs w:val="16"/>
                <w:lang w:eastAsia="es-AR"/>
              </w:rPr>
            </w:pPr>
            <w:r w:rsidRPr="002E1AF6">
              <w:rPr>
                <w:rFonts w:ascii="Arial" w:hAnsi="Arial" w:cs="Arial"/>
                <w:b/>
                <w:sz w:val="16"/>
                <w:szCs w:val="16"/>
              </w:rPr>
              <w:t xml:space="preserve"> 132.477 </w:t>
            </w:r>
          </w:p>
        </w:tc>
        <w:tc>
          <w:tcPr>
            <w:tcW w:w="1229" w:type="dxa"/>
            <w:tcBorders>
              <w:top w:val="single" w:sz="4" w:space="0" w:color="auto"/>
              <w:left w:val="nil"/>
              <w:bottom w:val="single" w:sz="4" w:space="0" w:color="auto"/>
              <w:right w:val="nil"/>
            </w:tcBorders>
          </w:tcPr>
          <w:p w14:paraId="39E64AE0" w14:textId="11409B98" w:rsidR="00027BFF" w:rsidRPr="00027BFF" w:rsidRDefault="00027BFF" w:rsidP="00027BFF">
            <w:pPr>
              <w:jc w:val="right"/>
              <w:rPr>
                <w:rFonts w:ascii="Arial" w:hAnsi="Arial" w:cs="Arial"/>
                <w:b/>
                <w:bCs/>
                <w:sz w:val="16"/>
                <w:szCs w:val="16"/>
                <w:lang w:eastAsia="es-AR"/>
              </w:rPr>
            </w:pPr>
            <w:r w:rsidRPr="002E1AF6">
              <w:rPr>
                <w:rFonts w:ascii="Arial" w:hAnsi="Arial" w:cs="Arial"/>
                <w:b/>
                <w:sz w:val="16"/>
                <w:szCs w:val="16"/>
              </w:rPr>
              <w:t xml:space="preserve"> 327.017 </w:t>
            </w:r>
          </w:p>
        </w:tc>
        <w:tc>
          <w:tcPr>
            <w:tcW w:w="1229" w:type="dxa"/>
            <w:tcBorders>
              <w:top w:val="single" w:sz="4" w:space="0" w:color="auto"/>
              <w:left w:val="nil"/>
              <w:bottom w:val="single" w:sz="4" w:space="0" w:color="auto"/>
              <w:right w:val="nil"/>
            </w:tcBorders>
            <w:shd w:val="clear" w:color="auto" w:fill="auto"/>
            <w:vAlign w:val="center"/>
          </w:tcPr>
          <w:p w14:paraId="5263EC97" w14:textId="769DC7F8" w:rsidR="00027BFF" w:rsidRPr="00027BFF" w:rsidRDefault="00027BFF" w:rsidP="00027BFF">
            <w:pPr>
              <w:jc w:val="right"/>
              <w:rPr>
                <w:rFonts w:ascii="Arial" w:hAnsi="Arial" w:cs="Arial"/>
                <w:b/>
                <w:bCs/>
                <w:sz w:val="16"/>
                <w:szCs w:val="16"/>
                <w:lang w:eastAsia="es-AR"/>
              </w:rPr>
            </w:pPr>
            <w:r w:rsidRPr="00027BFF">
              <w:rPr>
                <w:rFonts w:ascii="Arial" w:hAnsi="Arial" w:cs="Arial"/>
                <w:b/>
                <w:bCs/>
                <w:sz w:val="16"/>
                <w:szCs w:val="16"/>
              </w:rPr>
              <w:t>-</w:t>
            </w:r>
          </w:p>
        </w:tc>
        <w:tc>
          <w:tcPr>
            <w:tcW w:w="1134" w:type="dxa"/>
            <w:tcBorders>
              <w:top w:val="single" w:sz="4" w:space="0" w:color="auto"/>
              <w:left w:val="nil"/>
              <w:bottom w:val="single" w:sz="4" w:space="0" w:color="auto"/>
              <w:right w:val="nil"/>
            </w:tcBorders>
            <w:shd w:val="clear" w:color="auto" w:fill="auto"/>
          </w:tcPr>
          <w:p w14:paraId="5E784814" w14:textId="1E0D6650" w:rsidR="00027BFF" w:rsidRPr="00027BFF" w:rsidRDefault="00027BFF" w:rsidP="00027BFF">
            <w:pPr>
              <w:jc w:val="right"/>
              <w:rPr>
                <w:rFonts w:ascii="Arial" w:hAnsi="Arial" w:cs="Arial"/>
                <w:b/>
                <w:bCs/>
                <w:sz w:val="16"/>
                <w:szCs w:val="16"/>
                <w:lang w:eastAsia="es-AR"/>
              </w:rPr>
            </w:pPr>
            <w:r w:rsidRPr="002E1AF6">
              <w:rPr>
                <w:rFonts w:ascii="Arial" w:hAnsi="Arial" w:cs="Arial"/>
                <w:b/>
                <w:sz w:val="16"/>
                <w:szCs w:val="16"/>
              </w:rPr>
              <w:t xml:space="preserve">-396.950 </w:t>
            </w:r>
          </w:p>
        </w:tc>
        <w:tc>
          <w:tcPr>
            <w:tcW w:w="1134" w:type="dxa"/>
            <w:tcBorders>
              <w:top w:val="single" w:sz="4" w:space="0" w:color="auto"/>
              <w:left w:val="nil"/>
              <w:bottom w:val="single" w:sz="4" w:space="0" w:color="auto"/>
              <w:right w:val="nil"/>
            </w:tcBorders>
            <w:shd w:val="clear" w:color="auto" w:fill="auto"/>
          </w:tcPr>
          <w:p w14:paraId="4771FE55" w14:textId="031AD03A" w:rsidR="00027BFF" w:rsidRPr="00027BFF" w:rsidRDefault="00027BFF" w:rsidP="00027BFF">
            <w:pPr>
              <w:jc w:val="right"/>
              <w:rPr>
                <w:rFonts w:ascii="Arial" w:hAnsi="Arial" w:cs="Arial"/>
                <w:b/>
                <w:bCs/>
                <w:sz w:val="16"/>
                <w:szCs w:val="16"/>
                <w:lang w:eastAsia="es-AR"/>
              </w:rPr>
            </w:pPr>
            <w:r w:rsidRPr="002E1AF6">
              <w:rPr>
                <w:rFonts w:ascii="Arial" w:hAnsi="Arial" w:cs="Arial"/>
                <w:b/>
                <w:sz w:val="16"/>
                <w:szCs w:val="16"/>
              </w:rPr>
              <w:t xml:space="preserve"> 5.475.920 </w:t>
            </w:r>
          </w:p>
        </w:tc>
      </w:tr>
      <w:bookmarkEnd w:id="49"/>
    </w:tbl>
    <w:p w14:paraId="03200C1F" w14:textId="77777777" w:rsidR="00A179F3" w:rsidRDefault="00A179F3" w:rsidP="00A179F3">
      <w:pPr>
        <w:rPr>
          <w:rFonts w:ascii="Arial" w:hAnsi="Arial" w:cs="Arial"/>
          <w:sz w:val="16"/>
          <w:szCs w:val="16"/>
          <w:lang w:eastAsia="es-AR"/>
        </w:rPr>
      </w:pPr>
    </w:p>
    <w:p w14:paraId="0AF2A670" w14:textId="7C266EB2" w:rsidR="007E42BC" w:rsidRDefault="007E42BC" w:rsidP="008962C9">
      <w:pPr>
        <w:rPr>
          <w:rFonts w:ascii="Arial" w:hAnsi="Arial" w:cs="Arial"/>
          <w:sz w:val="16"/>
          <w:szCs w:val="16"/>
          <w:lang w:eastAsia="es-AR"/>
        </w:rPr>
      </w:pPr>
    </w:p>
    <w:p w14:paraId="6C0FC141" w14:textId="77777777" w:rsidR="007E42BC" w:rsidRDefault="007E42BC" w:rsidP="008962C9">
      <w:pPr>
        <w:rPr>
          <w:rFonts w:ascii="Arial" w:hAnsi="Arial" w:cs="Arial"/>
          <w:sz w:val="16"/>
          <w:szCs w:val="16"/>
          <w:lang w:eastAsia="es-AR"/>
        </w:rPr>
      </w:pPr>
    </w:p>
    <w:p w14:paraId="4AE55AD8" w14:textId="77777777" w:rsidR="007E42BC" w:rsidRDefault="007E42BC" w:rsidP="008962C9">
      <w:pPr>
        <w:rPr>
          <w:rFonts w:ascii="Arial" w:hAnsi="Arial" w:cs="Arial"/>
          <w:sz w:val="16"/>
          <w:szCs w:val="16"/>
          <w:lang w:eastAsia="es-AR"/>
        </w:rPr>
      </w:pPr>
    </w:p>
    <w:p w14:paraId="181761FC" w14:textId="3375D7D2" w:rsidR="007E42BC" w:rsidRPr="00A004CE" w:rsidRDefault="007E42BC" w:rsidP="008962C9">
      <w:pPr>
        <w:rPr>
          <w:rFonts w:ascii="Arial" w:hAnsi="Arial" w:cs="Arial"/>
          <w:sz w:val="16"/>
          <w:szCs w:val="16"/>
          <w:lang w:eastAsia="es-AR"/>
        </w:rPr>
        <w:sectPr w:rsidR="007E42BC" w:rsidRPr="00A004CE" w:rsidSect="004C6D19">
          <w:headerReference w:type="default" r:id="rId49"/>
          <w:pgSz w:w="11907" w:h="16839" w:code="9"/>
          <w:pgMar w:top="1418" w:right="1701" w:bottom="1418" w:left="1701" w:header="567" w:footer="0" w:gutter="0"/>
          <w:paperSrc w:first="256" w:other="256"/>
          <w:cols w:space="720"/>
          <w:docGrid w:linePitch="326"/>
        </w:sectPr>
      </w:pPr>
    </w:p>
    <w:p w14:paraId="4F4AC673" w14:textId="77777777" w:rsidR="00CE53C0" w:rsidRPr="00701F32" w:rsidRDefault="00CE53C0" w:rsidP="00A004CE"/>
    <w:p w14:paraId="16E19C87" w14:textId="7E5122B8" w:rsidR="00865685" w:rsidRPr="00701F32" w:rsidRDefault="00865685" w:rsidP="00B0586C">
      <w:pPr>
        <w:tabs>
          <w:tab w:val="left" w:pos="1365"/>
        </w:tabs>
        <w:rPr>
          <w:rFonts w:ascii="Arial" w:hAnsi="Arial" w:cs="Arial"/>
          <w:sz w:val="20"/>
          <w:u w:val="single"/>
        </w:rPr>
      </w:pPr>
      <w:r w:rsidRPr="00701F32">
        <w:rPr>
          <w:rFonts w:ascii="Arial" w:hAnsi="Arial" w:cs="Arial"/>
          <w:sz w:val="20"/>
          <w:u w:val="single"/>
        </w:rPr>
        <w:t>Breve descripción del Negocio y Evolución de las Operaciones</w:t>
      </w:r>
    </w:p>
    <w:p w14:paraId="683EA1A3" w14:textId="77777777" w:rsidR="00CA188D" w:rsidRPr="00701F32" w:rsidRDefault="00CA188D" w:rsidP="00B0586C">
      <w:pPr>
        <w:tabs>
          <w:tab w:val="left" w:pos="1365"/>
        </w:tabs>
        <w:rPr>
          <w:rFonts w:ascii="Arial" w:hAnsi="Arial" w:cs="Arial"/>
          <w:sz w:val="20"/>
          <w:u w:val="single"/>
        </w:rPr>
      </w:pPr>
    </w:p>
    <w:p w14:paraId="6390A272" w14:textId="77777777" w:rsidR="00D115C3" w:rsidRPr="00D115C3" w:rsidRDefault="00D115C3" w:rsidP="00D115C3">
      <w:pPr>
        <w:tabs>
          <w:tab w:val="left" w:pos="142"/>
        </w:tabs>
        <w:jc w:val="both"/>
        <w:rPr>
          <w:rFonts w:ascii="Arial" w:hAnsi="Arial" w:cs="Arial"/>
          <w:sz w:val="20"/>
        </w:rPr>
      </w:pPr>
      <w:r w:rsidRPr="00D115C3">
        <w:rPr>
          <w:rFonts w:ascii="Arial" w:hAnsi="Arial" w:cs="Arial"/>
          <w:sz w:val="20"/>
        </w:rPr>
        <w:t xml:space="preserve">Banco Supervielle S.A. es un banco argentino cuyos orígenes se remontan a 1887. Su actividad se concentra principalmente en la provisión de servicios bancarios y financieros a individuos y pequeñas y medianas empresas. Su larga presencia en el sector financiero le ha permitido establecer una robusta relación con sus clientes y una marca reconocida en la industria bancaria local. Ha desarrollado un modelo de negocios multimarca para diferenciar los productos y servicios financieros que ofrece a un amplio espectro de individuos, pequeñas y medianas empresas y grandes empresas del país. A través de su red bancaria tiene presencia en la Ciudad Autónoma de Buenos Aires y en las provincias de Buenos Aires, Mendoza, San Luis, San Juan, Córdoba, Tucumán. Santa Fe y Neuquén. </w:t>
      </w:r>
    </w:p>
    <w:p w14:paraId="3EB4EC78" w14:textId="77777777" w:rsidR="00D115C3" w:rsidRPr="00D115C3" w:rsidRDefault="00D115C3" w:rsidP="00D115C3">
      <w:pPr>
        <w:tabs>
          <w:tab w:val="left" w:pos="142"/>
        </w:tabs>
        <w:jc w:val="both"/>
        <w:rPr>
          <w:rFonts w:ascii="Arial" w:hAnsi="Arial" w:cs="Arial"/>
          <w:sz w:val="20"/>
        </w:rPr>
      </w:pPr>
    </w:p>
    <w:p w14:paraId="3DE09781" w14:textId="52685A24" w:rsidR="00D115C3" w:rsidRPr="00D115C3" w:rsidRDefault="00D115C3" w:rsidP="00D115C3">
      <w:pPr>
        <w:tabs>
          <w:tab w:val="left" w:pos="142"/>
        </w:tabs>
        <w:jc w:val="both"/>
        <w:rPr>
          <w:rFonts w:ascii="Arial" w:hAnsi="Arial" w:cs="Arial"/>
          <w:sz w:val="20"/>
        </w:rPr>
      </w:pPr>
      <w:r w:rsidRPr="00D115C3">
        <w:rPr>
          <w:rFonts w:ascii="Arial" w:hAnsi="Arial" w:cs="Arial"/>
          <w:sz w:val="20"/>
        </w:rPr>
        <w:t xml:space="preserve">El resultado del ejercicio finalizado el 31 de </w:t>
      </w:r>
      <w:r w:rsidR="0044006F">
        <w:rPr>
          <w:rFonts w:ascii="Arial" w:hAnsi="Arial" w:cs="Arial"/>
          <w:sz w:val="20"/>
        </w:rPr>
        <w:t>marzo</w:t>
      </w:r>
      <w:r w:rsidRPr="00D115C3">
        <w:rPr>
          <w:rFonts w:ascii="Arial" w:hAnsi="Arial" w:cs="Arial"/>
          <w:sz w:val="20"/>
        </w:rPr>
        <w:t xml:space="preserve"> de 20</w:t>
      </w:r>
      <w:r w:rsidR="0044006F">
        <w:rPr>
          <w:rFonts w:ascii="Arial" w:hAnsi="Arial" w:cs="Arial"/>
          <w:sz w:val="20"/>
        </w:rPr>
        <w:t>20</w:t>
      </w:r>
      <w:r w:rsidRPr="00D115C3">
        <w:rPr>
          <w:rFonts w:ascii="Arial" w:hAnsi="Arial" w:cs="Arial"/>
          <w:sz w:val="20"/>
        </w:rPr>
        <w:t xml:space="preserve"> arroja una ganancia de $ </w:t>
      </w:r>
      <w:r w:rsidR="0044006F">
        <w:rPr>
          <w:rFonts w:ascii="Arial" w:hAnsi="Arial" w:cs="Arial"/>
          <w:sz w:val="20"/>
        </w:rPr>
        <w:t xml:space="preserve">365.659 </w:t>
      </w:r>
      <w:r w:rsidRPr="00D115C3">
        <w:rPr>
          <w:rFonts w:ascii="Arial" w:hAnsi="Arial" w:cs="Arial"/>
          <w:sz w:val="20"/>
        </w:rPr>
        <w:t xml:space="preserve">lo que representa un retorno sobre el patrimonio neto promedio de </w:t>
      </w:r>
      <w:r w:rsidR="00932A60">
        <w:rPr>
          <w:rFonts w:ascii="Arial" w:hAnsi="Arial" w:cs="Arial"/>
          <w:sz w:val="20"/>
        </w:rPr>
        <w:t>2</w:t>
      </w:r>
      <w:r w:rsidRPr="00D115C3">
        <w:rPr>
          <w:rFonts w:ascii="Arial" w:hAnsi="Arial" w:cs="Arial"/>
          <w:sz w:val="20"/>
        </w:rPr>
        <w:t>%. Dicho resultado se originó principalmente por el margen financiero y el margen de servicios.</w:t>
      </w:r>
    </w:p>
    <w:p w14:paraId="6C20F685" w14:textId="77777777" w:rsidR="00D115C3" w:rsidRPr="00D115C3" w:rsidRDefault="00D115C3" w:rsidP="00D115C3">
      <w:pPr>
        <w:tabs>
          <w:tab w:val="left" w:pos="142"/>
        </w:tabs>
        <w:jc w:val="both"/>
        <w:rPr>
          <w:rFonts w:ascii="Arial" w:hAnsi="Arial" w:cs="Arial"/>
          <w:sz w:val="20"/>
        </w:rPr>
      </w:pPr>
    </w:p>
    <w:p w14:paraId="479E312B" w14:textId="77777777" w:rsidR="00D115C3" w:rsidRPr="00D115C3" w:rsidRDefault="00D115C3" w:rsidP="00D115C3">
      <w:pPr>
        <w:tabs>
          <w:tab w:val="left" w:pos="142"/>
        </w:tabs>
        <w:jc w:val="both"/>
        <w:rPr>
          <w:rFonts w:ascii="Arial" w:hAnsi="Arial" w:cs="Arial"/>
          <w:sz w:val="20"/>
        </w:rPr>
      </w:pPr>
      <w:r w:rsidRPr="00D115C3">
        <w:rPr>
          <w:rFonts w:ascii="Arial" w:hAnsi="Arial" w:cs="Arial"/>
          <w:sz w:val="20"/>
        </w:rPr>
        <w:t>La actividad de negocios desarrollada por la Entidad durante el presente período abarcó el otorgamiento de préstamos en sus distintas líneas (adelantos, personales, documentos descontados, hipotecarios, tarjetas de crédito, leasing, Pymes, comercio exterior, entre otros) como así también la inversión en instrumentos de deuda emitidos por el BCRA.</w:t>
      </w:r>
    </w:p>
    <w:p w14:paraId="1AD12B58" w14:textId="77777777" w:rsidR="00D115C3" w:rsidRPr="00D115C3" w:rsidRDefault="00D115C3" w:rsidP="00D115C3">
      <w:pPr>
        <w:tabs>
          <w:tab w:val="left" w:pos="142"/>
        </w:tabs>
        <w:jc w:val="both"/>
        <w:rPr>
          <w:rFonts w:ascii="Arial" w:hAnsi="Arial" w:cs="Arial"/>
          <w:sz w:val="20"/>
        </w:rPr>
      </w:pPr>
    </w:p>
    <w:p w14:paraId="1BC6F1C2" w14:textId="5E6A1BF8" w:rsidR="00CA188D" w:rsidRDefault="00D115C3" w:rsidP="00D115C3">
      <w:pPr>
        <w:tabs>
          <w:tab w:val="left" w:pos="142"/>
        </w:tabs>
        <w:jc w:val="both"/>
        <w:rPr>
          <w:rFonts w:ascii="Arial" w:hAnsi="Arial" w:cs="Arial"/>
          <w:sz w:val="20"/>
        </w:rPr>
      </w:pPr>
      <w:r w:rsidRPr="00D115C3">
        <w:rPr>
          <w:rFonts w:ascii="Arial" w:hAnsi="Arial" w:cs="Arial"/>
          <w:sz w:val="20"/>
        </w:rPr>
        <w:t>En lo relativo al fondeo, en fecha 4 de febrero de 2019 se emitieron obligaciones negociables no subordinadas a tasa flotante Badlar por $ 3.000.000 con vencimiento final para el 4 de noviembre de 2019.</w:t>
      </w:r>
    </w:p>
    <w:p w14:paraId="27BFD901" w14:textId="77777777" w:rsidR="00D115C3" w:rsidRPr="00701F32" w:rsidRDefault="00D115C3" w:rsidP="00D115C3">
      <w:pPr>
        <w:tabs>
          <w:tab w:val="left" w:pos="142"/>
        </w:tabs>
        <w:jc w:val="both"/>
        <w:rPr>
          <w:rFonts w:ascii="Arial" w:hAnsi="Arial" w:cs="Arial"/>
          <w:sz w:val="20"/>
        </w:rPr>
      </w:pPr>
    </w:p>
    <w:p w14:paraId="3A356948" w14:textId="09ADF092" w:rsidR="00CA188D" w:rsidRPr="00701F32" w:rsidRDefault="00CA188D" w:rsidP="00CA188D">
      <w:pPr>
        <w:tabs>
          <w:tab w:val="left" w:pos="142"/>
          <w:tab w:val="left" w:pos="426"/>
        </w:tabs>
        <w:jc w:val="both"/>
        <w:rPr>
          <w:rFonts w:ascii="Arial" w:hAnsi="Arial" w:cs="Arial"/>
          <w:sz w:val="20"/>
          <w:u w:val="single"/>
        </w:rPr>
      </w:pPr>
      <w:r w:rsidRPr="00701F32">
        <w:rPr>
          <w:rFonts w:ascii="Arial" w:hAnsi="Arial" w:cs="Arial"/>
          <w:sz w:val="20"/>
          <w:u w:val="single"/>
        </w:rPr>
        <w:t>Breve descripción de las sociedades vinculadas</w:t>
      </w:r>
    </w:p>
    <w:p w14:paraId="2E14C5C6" w14:textId="77777777" w:rsidR="00CA188D" w:rsidRPr="00701F32" w:rsidRDefault="00CA188D" w:rsidP="00CA188D">
      <w:pPr>
        <w:tabs>
          <w:tab w:val="left" w:pos="142"/>
        </w:tabs>
        <w:jc w:val="both"/>
        <w:rPr>
          <w:rFonts w:ascii="Arial" w:hAnsi="Arial" w:cs="Arial"/>
          <w:sz w:val="20"/>
        </w:rPr>
      </w:pPr>
    </w:p>
    <w:p w14:paraId="19C41EAC" w14:textId="6D90D711" w:rsidR="00D115C3" w:rsidRPr="00701F32" w:rsidRDefault="00D115C3" w:rsidP="00D115C3">
      <w:pPr>
        <w:tabs>
          <w:tab w:val="left" w:pos="142"/>
        </w:tabs>
        <w:jc w:val="both"/>
        <w:rPr>
          <w:rFonts w:ascii="Arial" w:hAnsi="Arial" w:cs="Arial"/>
          <w:sz w:val="20"/>
        </w:rPr>
      </w:pPr>
      <w:r w:rsidRPr="00701F32">
        <w:rPr>
          <w:rFonts w:ascii="Arial" w:hAnsi="Arial" w:cs="Arial"/>
          <w:sz w:val="20"/>
        </w:rPr>
        <w:t xml:space="preserve">Banco Supervielle </w:t>
      </w:r>
      <w:r w:rsidRPr="00803805">
        <w:rPr>
          <w:rFonts w:ascii="Arial" w:hAnsi="Arial" w:cs="Arial"/>
          <w:sz w:val="20"/>
        </w:rPr>
        <w:t xml:space="preserve">S.A. controla el 95% de Cordial Compañía Financiera S.A., una compañía financiera que se concentra principalmente en la financiación al consumo. El 5% restante fue adquirido por el accionista </w:t>
      </w:r>
      <w:r w:rsidRPr="003B6D95">
        <w:rPr>
          <w:rFonts w:ascii="Arial" w:hAnsi="Arial" w:cs="Arial"/>
          <w:sz w:val="20"/>
        </w:rPr>
        <w:t xml:space="preserve">controlante, Grupo Supervielle S.A. </w:t>
      </w:r>
      <w:bookmarkStart w:id="50" w:name="_Hlk40653060"/>
      <w:r w:rsidRPr="003B6D95">
        <w:rPr>
          <w:rFonts w:ascii="Arial" w:hAnsi="Arial" w:cs="Arial"/>
          <w:sz w:val="20"/>
        </w:rPr>
        <w:t xml:space="preserve">La sociedad controlante de Banco Supervielle S.A. es Grupo Supervielle S.A.  Dicha sociedad posee el </w:t>
      </w:r>
      <w:r w:rsidRPr="006E1AF7">
        <w:rPr>
          <w:rFonts w:ascii="Arial" w:hAnsi="Arial" w:cs="Arial"/>
          <w:sz w:val="20"/>
        </w:rPr>
        <w:t>97,10</w:t>
      </w:r>
      <w:r w:rsidRPr="003B6D95">
        <w:rPr>
          <w:rFonts w:ascii="Arial" w:hAnsi="Arial" w:cs="Arial"/>
          <w:sz w:val="20"/>
        </w:rPr>
        <w:t xml:space="preserve">% de las acciones y el </w:t>
      </w:r>
      <w:r w:rsidRPr="006E1AF7">
        <w:rPr>
          <w:rFonts w:ascii="Arial" w:hAnsi="Arial" w:cs="Arial"/>
          <w:sz w:val="20"/>
        </w:rPr>
        <w:t>97,068</w:t>
      </w:r>
      <w:r w:rsidRPr="003B6D95">
        <w:rPr>
          <w:rFonts w:ascii="Arial" w:hAnsi="Arial" w:cs="Arial"/>
          <w:sz w:val="20"/>
        </w:rPr>
        <w:t xml:space="preserve">% de los votos al 31 de </w:t>
      </w:r>
      <w:r>
        <w:rPr>
          <w:rFonts w:ascii="Arial" w:hAnsi="Arial" w:cs="Arial"/>
          <w:sz w:val="20"/>
        </w:rPr>
        <w:t>marzo</w:t>
      </w:r>
      <w:r w:rsidRPr="003B6D95">
        <w:rPr>
          <w:rFonts w:ascii="Arial" w:hAnsi="Arial" w:cs="Arial"/>
          <w:sz w:val="20"/>
        </w:rPr>
        <w:t xml:space="preserve"> de 20</w:t>
      </w:r>
      <w:r>
        <w:rPr>
          <w:rFonts w:ascii="Arial" w:hAnsi="Arial" w:cs="Arial"/>
          <w:sz w:val="20"/>
        </w:rPr>
        <w:t>20</w:t>
      </w:r>
      <w:r w:rsidRPr="003B6D95">
        <w:rPr>
          <w:rFonts w:ascii="Arial" w:hAnsi="Arial" w:cs="Arial"/>
          <w:sz w:val="20"/>
        </w:rPr>
        <w:t>.</w:t>
      </w:r>
    </w:p>
    <w:p w14:paraId="47F7D6CA" w14:textId="77777777" w:rsidR="00CA188D" w:rsidRPr="00701F32" w:rsidRDefault="00CA188D" w:rsidP="00CA188D">
      <w:pPr>
        <w:tabs>
          <w:tab w:val="left" w:pos="142"/>
        </w:tabs>
        <w:jc w:val="both"/>
        <w:rPr>
          <w:rFonts w:ascii="Arial" w:hAnsi="Arial" w:cs="Arial"/>
          <w:sz w:val="20"/>
        </w:rPr>
      </w:pPr>
    </w:p>
    <w:bookmarkEnd w:id="50"/>
    <w:p w14:paraId="02BD0698" w14:textId="78AED79E" w:rsidR="00D115C3" w:rsidRPr="00701F32" w:rsidRDefault="00D115C3" w:rsidP="00D115C3">
      <w:pPr>
        <w:tabs>
          <w:tab w:val="left" w:pos="142"/>
        </w:tabs>
        <w:jc w:val="both"/>
        <w:rPr>
          <w:rFonts w:ascii="Arial" w:hAnsi="Arial" w:cs="Arial"/>
          <w:sz w:val="20"/>
        </w:rPr>
      </w:pPr>
      <w:r w:rsidRPr="00701F32">
        <w:rPr>
          <w:rFonts w:ascii="Arial" w:hAnsi="Arial" w:cs="Arial"/>
          <w:sz w:val="20"/>
        </w:rPr>
        <w:t>Cordial Compañía Financiera S.A. es una empresa de servicios financieros sujeta a las regulaciones del Banco Central de la República Argentina, cuyo negocio principal es el otorgamiento de tarjetas de crédito y préstamos destinados al consumo. Su modelo de negocios se basa en proporcionar soluciones de financiamiento principalmente a los segmentos de clientes de ingresos medios y medios-bajos. Al 3</w:t>
      </w:r>
      <w:r>
        <w:rPr>
          <w:rFonts w:ascii="Arial" w:hAnsi="Arial" w:cs="Arial"/>
          <w:sz w:val="20"/>
        </w:rPr>
        <w:t>1</w:t>
      </w:r>
      <w:r w:rsidRPr="00701F32">
        <w:rPr>
          <w:rFonts w:ascii="Arial" w:hAnsi="Arial" w:cs="Arial"/>
          <w:sz w:val="20"/>
        </w:rPr>
        <w:t xml:space="preserve"> de </w:t>
      </w:r>
      <w:r>
        <w:rPr>
          <w:rFonts w:ascii="Arial" w:hAnsi="Arial" w:cs="Arial"/>
          <w:sz w:val="20"/>
        </w:rPr>
        <w:t>marzo</w:t>
      </w:r>
      <w:r w:rsidRPr="00701F32">
        <w:rPr>
          <w:rFonts w:ascii="Arial" w:hAnsi="Arial" w:cs="Arial"/>
          <w:sz w:val="20"/>
        </w:rPr>
        <w:t xml:space="preserve"> de 20</w:t>
      </w:r>
      <w:r>
        <w:rPr>
          <w:rFonts w:ascii="Arial" w:hAnsi="Arial" w:cs="Arial"/>
          <w:sz w:val="20"/>
        </w:rPr>
        <w:t>20</w:t>
      </w:r>
      <w:r w:rsidRPr="00701F32">
        <w:rPr>
          <w:rFonts w:ascii="Arial" w:hAnsi="Arial" w:cs="Arial"/>
          <w:sz w:val="20"/>
        </w:rPr>
        <w:t xml:space="preserve"> obtuvo un resultado negativo de </w:t>
      </w:r>
      <w:r>
        <w:rPr>
          <w:rFonts w:ascii="Arial" w:hAnsi="Arial" w:cs="Arial"/>
          <w:sz w:val="20"/>
        </w:rPr>
        <w:t xml:space="preserve">$ </w:t>
      </w:r>
      <w:r w:rsidR="00932A60">
        <w:rPr>
          <w:rFonts w:ascii="Arial" w:hAnsi="Arial" w:cs="Arial"/>
          <w:sz w:val="20"/>
        </w:rPr>
        <w:t>149.628</w:t>
      </w:r>
      <w:r w:rsidRPr="00701F32">
        <w:rPr>
          <w:rFonts w:ascii="Arial" w:hAnsi="Arial" w:cs="Arial"/>
          <w:sz w:val="20"/>
        </w:rPr>
        <w:t>.</w:t>
      </w:r>
    </w:p>
    <w:p w14:paraId="28B29464" w14:textId="77777777" w:rsidR="00D115C3" w:rsidRPr="00701F32" w:rsidRDefault="00D115C3" w:rsidP="00D115C3">
      <w:pPr>
        <w:tabs>
          <w:tab w:val="left" w:pos="142"/>
        </w:tabs>
        <w:jc w:val="both"/>
        <w:rPr>
          <w:rFonts w:ascii="Arial" w:hAnsi="Arial" w:cs="Arial"/>
          <w:sz w:val="20"/>
        </w:rPr>
      </w:pPr>
    </w:p>
    <w:p w14:paraId="65F38962" w14:textId="77777777" w:rsidR="00D115C3" w:rsidRDefault="00D115C3" w:rsidP="00D115C3">
      <w:pPr>
        <w:tabs>
          <w:tab w:val="left" w:pos="142"/>
        </w:tabs>
        <w:jc w:val="both"/>
        <w:rPr>
          <w:rFonts w:ascii="Arial" w:hAnsi="Arial" w:cs="Arial"/>
          <w:sz w:val="20"/>
        </w:rPr>
      </w:pPr>
      <w:bookmarkStart w:id="51" w:name="_Hlk40653089"/>
      <w:r w:rsidRPr="00701F32">
        <w:rPr>
          <w:rFonts w:ascii="Arial" w:hAnsi="Arial" w:cs="Arial"/>
          <w:sz w:val="20"/>
        </w:rPr>
        <w:t>Banco Supervielle S.A. tiene participación del 1</w:t>
      </w:r>
      <w:r>
        <w:rPr>
          <w:rFonts w:ascii="Arial" w:hAnsi="Arial" w:cs="Arial"/>
          <w:sz w:val="20"/>
        </w:rPr>
        <w:t>2,375</w:t>
      </w:r>
      <w:r w:rsidRPr="00701F32">
        <w:rPr>
          <w:rFonts w:ascii="Arial" w:hAnsi="Arial" w:cs="Arial"/>
          <w:sz w:val="20"/>
        </w:rPr>
        <w:t>% del capital accionario de Tarjeta Automática S.A. Esta participación ha sido efectuada dentro del marco de las normas sobre servicios complementarios de la actividad financiera establecido por el BCRA.</w:t>
      </w:r>
    </w:p>
    <w:p w14:paraId="46153BD9" w14:textId="77777777" w:rsidR="00721980" w:rsidRPr="00701F32" w:rsidRDefault="00721980" w:rsidP="00CA188D">
      <w:pPr>
        <w:tabs>
          <w:tab w:val="left" w:pos="142"/>
        </w:tabs>
        <w:jc w:val="both"/>
        <w:rPr>
          <w:rFonts w:ascii="Arial" w:hAnsi="Arial" w:cs="Arial"/>
          <w:sz w:val="20"/>
        </w:rPr>
      </w:pPr>
    </w:p>
    <w:p w14:paraId="3DA72D51" w14:textId="1F2A547D" w:rsidR="00932A60" w:rsidRPr="00701F32" w:rsidRDefault="00932A60" w:rsidP="00932A60">
      <w:pPr>
        <w:tabs>
          <w:tab w:val="left" w:pos="142"/>
        </w:tabs>
        <w:jc w:val="both"/>
        <w:rPr>
          <w:rFonts w:ascii="Arial" w:hAnsi="Arial" w:cs="Arial"/>
          <w:sz w:val="20"/>
        </w:rPr>
      </w:pPr>
      <w:bookmarkStart w:id="52" w:name="_Hlk40653109"/>
      <w:bookmarkEnd w:id="51"/>
      <w:r w:rsidRPr="00701F32">
        <w:rPr>
          <w:rFonts w:ascii="Arial" w:hAnsi="Arial" w:cs="Arial"/>
          <w:sz w:val="20"/>
        </w:rPr>
        <w:lastRenderedPageBreak/>
        <w:t xml:space="preserve">Banco </w:t>
      </w:r>
      <w:r w:rsidRPr="00605783">
        <w:rPr>
          <w:rFonts w:ascii="Arial" w:hAnsi="Arial" w:cs="Arial"/>
          <w:sz w:val="20"/>
        </w:rPr>
        <w:t>Supervielle está vinculado a Sofital S.A.F.e I.I. Al 3</w:t>
      </w:r>
      <w:r>
        <w:rPr>
          <w:rFonts w:ascii="Arial" w:hAnsi="Arial" w:cs="Arial"/>
          <w:sz w:val="20"/>
        </w:rPr>
        <w:t>1</w:t>
      </w:r>
      <w:r w:rsidRPr="00605783">
        <w:rPr>
          <w:rFonts w:ascii="Arial" w:hAnsi="Arial" w:cs="Arial"/>
          <w:sz w:val="20"/>
        </w:rPr>
        <w:t xml:space="preserve"> de </w:t>
      </w:r>
      <w:r>
        <w:rPr>
          <w:rFonts w:ascii="Arial" w:hAnsi="Arial" w:cs="Arial"/>
          <w:sz w:val="20"/>
        </w:rPr>
        <w:t>marzo</w:t>
      </w:r>
      <w:r w:rsidRPr="00605783">
        <w:rPr>
          <w:rFonts w:ascii="Arial" w:hAnsi="Arial" w:cs="Arial"/>
          <w:sz w:val="20"/>
        </w:rPr>
        <w:t xml:space="preserve"> de 20</w:t>
      </w:r>
      <w:r>
        <w:rPr>
          <w:rFonts w:ascii="Arial" w:hAnsi="Arial" w:cs="Arial"/>
          <w:sz w:val="20"/>
        </w:rPr>
        <w:t>20</w:t>
      </w:r>
      <w:r w:rsidRPr="00605783">
        <w:rPr>
          <w:rFonts w:ascii="Arial" w:hAnsi="Arial" w:cs="Arial"/>
          <w:sz w:val="20"/>
        </w:rPr>
        <w:t xml:space="preserve"> la participación accionaria de Sofital S.A.F.e I.I. en Banco Supervielle S.A. representa el 2,79% del capital social y el 2.8</w:t>
      </w:r>
      <w:r>
        <w:rPr>
          <w:rFonts w:ascii="Arial" w:hAnsi="Arial" w:cs="Arial"/>
          <w:sz w:val="20"/>
        </w:rPr>
        <w:t>1</w:t>
      </w:r>
      <w:r w:rsidRPr="00605783">
        <w:rPr>
          <w:rFonts w:ascii="Arial" w:hAnsi="Arial" w:cs="Arial"/>
          <w:sz w:val="20"/>
        </w:rPr>
        <w:t>% de los votos.</w:t>
      </w:r>
    </w:p>
    <w:p w14:paraId="51824CC0" w14:textId="77777777" w:rsidR="00932A60" w:rsidRPr="00701F32" w:rsidRDefault="00932A60" w:rsidP="00932A60">
      <w:pPr>
        <w:tabs>
          <w:tab w:val="left" w:pos="142"/>
        </w:tabs>
        <w:jc w:val="both"/>
        <w:rPr>
          <w:rFonts w:ascii="Arial" w:hAnsi="Arial" w:cs="Arial"/>
          <w:sz w:val="20"/>
        </w:rPr>
      </w:pPr>
    </w:p>
    <w:p w14:paraId="0EC730CD" w14:textId="77777777" w:rsidR="00932A60" w:rsidRPr="00701F32" w:rsidRDefault="00932A60" w:rsidP="00932A60">
      <w:pPr>
        <w:tabs>
          <w:tab w:val="left" w:pos="142"/>
        </w:tabs>
        <w:jc w:val="both"/>
        <w:rPr>
          <w:rFonts w:ascii="Arial" w:hAnsi="Arial" w:cs="Arial"/>
          <w:sz w:val="20"/>
        </w:rPr>
      </w:pPr>
      <w:r w:rsidRPr="00701F32">
        <w:rPr>
          <w:rFonts w:ascii="Arial" w:hAnsi="Arial" w:cs="Arial"/>
          <w:sz w:val="20"/>
        </w:rPr>
        <w:t>Adicionalmente, la Entidad se encuentra vinculada a las empresas Supervielle Asset Management S.A., Espacio Cordial de Servicios S.A., Supervielle Seguros S.A., Invertir Online S.A.</w:t>
      </w:r>
      <w:r>
        <w:rPr>
          <w:rFonts w:ascii="Arial" w:hAnsi="Arial" w:cs="Arial"/>
          <w:sz w:val="20"/>
        </w:rPr>
        <w:t>U.</w:t>
      </w:r>
      <w:r w:rsidRPr="00701F32">
        <w:rPr>
          <w:rFonts w:ascii="Arial" w:hAnsi="Arial" w:cs="Arial"/>
          <w:sz w:val="20"/>
        </w:rPr>
        <w:t>, InvertirOnline.Com Argentina S.A.</w:t>
      </w:r>
      <w:r>
        <w:rPr>
          <w:rFonts w:ascii="Arial" w:hAnsi="Arial" w:cs="Arial"/>
          <w:sz w:val="20"/>
        </w:rPr>
        <w:t>U.</w:t>
      </w:r>
      <w:r w:rsidRPr="00701F32">
        <w:rPr>
          <w:rFonts w:ascii="Arial" w:hAnsi="Arial" w:cs="Arial"/>
          <w:sz w:val="20"/>
        </w:rPr>
        <w:t xml:space="preserve"> y Micro Lending S.A.</w:t>
      </w:r>
      <w:r>
        <w:rPr>
          <w:rFonts w:ascii="Arial" w:hAnsi="Arial" w:cs="Arial"/>
          <w:sz w:val="20"/>
        </w:rPr>
        <w:t>U.</w:t>
      </w:r>
      <w:r w:rsidRPr="00701F32">
        <w:rPr>
          <w:rFonts w:ascii="Arial" w:hAnsi="Arial" w:cs="Arial"/>
          <w:sz w:val="20"/>
        </w:rPr>
        <w:t xml:space="preserve"> por ser sociedades controladas por Grupo Supervielle S.A.</w:t>
      </w:r>
    </w:p>
    <w:bookmarkEnd w:id="52"/>
    <w:p w14:paraId="0AA7F427" w14:textId="77777777" w:rsidR="00932A60" w:rsidRPr="00701F32" w:rsidRDefault="00932A60" w:rsidP="00932A60">
      <w:pPr>
        <w:tabs>
          <w:tab w:val="left" w:pos="142"/>
        </w:tabs>
        <w:jc w:val="both"/>
        <w:rPr>
          <w:rFonts w:ascii="Arial" w:hAnsi="Arial" w:cs="Arial"/>
          <w:sz w:val="20"/>
        </w:rPr>
      </w:pPr>
    </w:p>
    <w:p w14:paraId="684E412D" w14:textId="77777777" w:rsidR="00932A60" w:rsidRPr="007C7659" w:rsidRDefault="00932A60" w:rsidP="00932A60">
      <w:pPr>
        <w:tabs>
          <w:tab w:val="left" w:pos="142"/>
        </w:tabs>
        <w:jc w:val="both"/>
        <w:rPr>
          <w:rFonts w:ascii="Arial" w:hAnsi="Arial" w:cs="Arial"/>
          <w:sz w:val="20"/>
        </w:rPr>
      </w:pPr>
      <w:r w:rsidRPr="00701F32">
        <w:rPr>
          <w:rFonts w:ascii="Arial" w:hAnsi="Arial" w:cs="Arial"/>
          <w:sz w:val="20"/>
        </w:rPr>
        <w:t>A</w:t>
      </w:r>
      <w:r>
        <w:rPr>
          <w:rFonts w:ascii="Arial" w:hAnsi="Arial" w:cs="Arial"/>
          <w:sz w:val="20"/>
        </w:rPr>
        <w:t xml:space="preserve"> </w:t>
      </w:r>
      <w:r w:rsidRPr="00701F32">
        <w:rPr>
          <w:rFonts w:ascii="Arial" w:hAnsi="Arial" w:cs="Arial"/>
          <w:sz w:val="20"/>
        </w:rPr>
        <w:t xml:space="preserve">continuación se detallan cuadros con información consolidada con Cordial Compañía Financiera S.A., comparativo con el </w:t>
      </w:r>
      <w:r>
        <w:rPr>
          <w:rFonts w:ascii="Arial" w:hAnsi="Arial" w:cs="Arial"/>
          <w:sz w:val="20"/>
        </w:rPr>
        <w:t>ejercicio</w:t>
      </w:r>
      <w:r w:rsidRPr="00701F32">
        <w:rPr>
          <w:rFonts w:ascii="Arial" w:hAnsi="Arial" w:cs="Arial"/>
          <w:sz w:val="20"/>
        </w:rPr>
        <w:t xml:space="preserve"> anterior, referidos a la estructura patrimonial, estructura de </w:t>
      </w:r>
      <w:r w:rsidRPr="007C7659">
        <w:rPr>
          <w:rFonts w:ascii="Arial" w:hAnsi="Arial" w:cs="Arial"/>
          <w:sz w:val="20"/>
        </w:rPr>
        <w:t>resultados, estructura de flujo de efectivo e índices financieros y patrimoniales:</w:t>
      </w:r>
    </w:p>
    <w:p w14:paraId="633102E3" w14:textId="77777777" w:rsidR="00B87D37" w:rsidRPr="007C7659" w:rsidRDefault="00B87D37" w:rsidP="00B87D37">
      <w:pPr>
        <w:tabs>
          <w:tab w:val="left" w:pos="142"/>
        </w:tabs>
        <w:jc w:val="both"/>
        <w:rPr>
          <w:rFonts w:ascii="Arial" w:hAnsi="Arial" w:cs="Arial"/>
          <w:sz w:val="20"/>
        </w:rPr>
      </w:pPr>
    </w:p>
    <w:p w14:paraId="6A48A50A" w14:textId="5037CA4C" w:rsidR="00B87D37" w:rsidRPr="007C7659" w:rsidRDefault="00B87D37" w:rsidP="00B87D37">
      <w:pPr>
        <w:tabs>
          <w:tab w:val="left" w:pos="142"/>
        </w:tabs>
        <w:jc w:val="both"/>
        <w:rPr>
          <w:rFonts w:ascii="Arial" w:hAnsi="Arial" w:cs="Arial"/>
          <w:sz w:val="20"/>
          <w:u w:val="single"/>
        </w:rPr>
      </w:pPr>
      <w:r w:rsidRPr="007C7659">
        <w:rPr>
          <w:rFonts w:ascii="Arial" w:hAnsi="Arial" w:cs="Arial"/>
          <w:sz w:val="20"/>
          <w:u w:val="single"/>
        </w:rPr>
        <w:t>Estructura Patrimonial</w:t>
      </w:r>
    </w:p>
    <w:p w14:paraId="3BA06112" w14:textId="77777777" w:rsidR="00B87D37" w:rsidRPr="007C7659" w:rsidRDefault="00B87D37" w:rsidP="00B87D37">
      <w:pPr>
        <w:tabs>
          <w:tab w:val="left" w:pos="142"/>
        </w:tabs>
        <w:jc w:val="both"/>
        <w:rPr>
          <w:rFonts w:ascii="Arial" w:hAnsi="Arial" w:cs="Arial"/>
          <w:sz w:val="20"/>
          <w:u w:val="single"/>
        </w:rPr>
      </w:pPr>
    </w:p>
    <w:tbl>
      <w:tblPr>
        <w:tblW w:w="4424"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246"/>
        <w:gridCol w:w="1705"/>
        <w:gridCol w:w="1565"/>
      </w:tblGrid>
      <w:tr w:rsidR="00C04A66" w:rsidRPr="00DC6200" w14:paraId="6E9B8856" w14:textId="634D5B83" w:rsidTr="00C04A66">
        <w:trPr>
          <w:trHeight w:val="315"/>
          <w:tblHeader/>
        </w:trPr>
        <w:tc>
          <w:tcPr>
            <w:tcW w:w="2825" w:type="pct"/>
            <w:tcMar>
              <w:left w:w="108" w:type="dxa"/>
              <w:right w:w="108" w:type="dxa"/>
            </w:tcMar>
            <w:vAlign w:val="center"/>
          </w:tcPr>
          <w:p w14:paraId="12B8BFB7" w14:textId="77777777" w:rsidR="00C04A66" w:rsidRPr="007C7659" w:rsidRDefault="00C04A66" w:rsidP="00C04A66">
            <w:pPr>
              <w:tabs>
                <w:tab w:val="left" w:pos="142"/>
              </w:tabs>
              <w:jc w:val="both"/>
              <w:rPr>
                <w:rFonts w:ascii="Arial" w:hAnsi="Arial" w:cs="Arial"/>
                <w:b/>
                <w:sz w:val="18"/>
              </w:rPr>
            </w:pPr>
            <w:r w:rsidRPr="007C7659">
              <w:rPr>
                <w:rFonts w:ascii="Arial" w:hAnsi="Arial" w:cs="Arial"/>
                <w:b/>
                <w:sz w:val="18"/>
              </w:rPr>
              <w:t>Concepto</w:t>
            </w:r>
          </w:p>
        </w:tc>
        <w:tc>
          <w:tcPr>
            <w:tcW w:w="1134" w:type="pct"/>
            <w:tcMar>
              <w:left w:w="108" w:type="dxa"/>
              <w:right w:w="108" w:type="dxa"/>
            </w:tcMar>
            <w:vAlign w:val="bottom"/>
          </w:tcPr>
          <w:p w14:paraId="549F9098" w14:textId="755E2074" w:rsidR="00C04A66" w:rsidRPr="007C7659" w:rsidRDefault="00C04A66" w:rsidP="00C04A66">
            <w:pPr>
              <w:tabs>
                <w:tab w:val="left" w:pos="142"/>
              </w:tabs>
              <w:ind w:left="831" w:hanging="831"/>
              <w:jc w:val="center"/>
              <w:rPr>
                <w:rFonts w:ascii="Arial" w:hAnsi="Arial" w:cs="Arial"/>
                <w:b/>
                <w:sz w:val="18"/>
              </w:rPr>
            </w:pPr>
            <w:r>
              <w:rPr>
                <w:rFonts w:ascii="Arial" w:hAnsi="Arial" w:cs="Arial"/>
                <w:b/>
                <w:bCs/>
                <w:color w:val="000000"/>
                <w:sz w:val="18"/>
                <w:szCs w:val="18"/>
              </w:rPr>
              <w:t>31/03/2020</w:t>
            </w:r>
          </w:p>
        </w:tc>
        <w:tc>
          <w:tcPr>
            <w:tcW w:w="1041" w:type="pct"/>
            <w:vAlign w:val="bottom"/>
          </w:tcPr>
          <w:p w14:paraId="087AEB24" w14:textId="7D7B8D06" w:rsidR="00C04A66" w:rsidRPr="007C7659" w:rsidRDefault="00C04A66" w:rsidP="00C04A66">
            <w:pPr>
              <w:ind w:left="720" w:hanging="607"/>
              <w:jc w:val="center"/>
              <w:rPr>
                <w:rFonts w:ascii="Arial" w:hAnsi="Arial" w:cs="Arial"/>
                <w:sz w:val="18"/>
                <w:lang w:val="es-ES" w:eastAsia="es-ES"/>
              </w:rPr>
            </w:pPr>
            <w:r>
              <w:rPr>
                <w:rFonts w:ascii="Arial" w:hAnsi="Arial" w:cs="Arial"/>
                <w:b/>
                <w:bCs/>
                <w:color w:val="000000"/>
                <w:sz w:val="18"/>
                <w:szCs w:val="18"/>
              </w:rPr>
              <w:t>31/03/2019</w:t>
            </w:r>
          </w:p>
        </w:tc>
      </w:tr>
      <w:tr w:rsidR="00C04A66" w:rsidRPr="00DC6200" w14:paraId="2C645237" w14:textId="42EEDA6C" w:rsidTr="00C04A66">
        <w:tc>
          <w:tcPr>
            <w:tcW w:w="2825" w:type="pct"/>
            <w:tcMar>
              <w:left w:w="108" w:type="dxa"/>
              <w:right w:w="108" w:type="dxa"/>
            </w:tcMar>
            <w:vAlign w:val="bottom"/>
          </w:tcPr>
          <w:p w14:paraId="5FCA374A" w14:textId="77777777" w:rsidR="00C04A66" w:rsidRPr="00355711" w:rsidRDefault="00C04A66" w:rsidP="00C04A66">
            <w:pPr>
              <w:tabs>
                <w:tab w:val="left" w:pos="142"/>
              </w:tabs>
              <w:rPr>
                <w:rFonts w:ascii="Arial" w:hAnsi="Arial" w:cs="Arial"/>
                <w:sz w:val="18"/>
              </w:rPr>
            </w:pPr>
            <w:r w:rsidRPr="00355711">
              <w:rPr>
                <w:rFonts w:ascii="Arial" w:hAnsi="Arial" w:cs="Arial"/>
                <w:sz w:val="18"/>
              </w:rPr>
              <w:t>Total del Activo</w:t>
            </w:r>
          </w:p>
        </w:tc>
        <w:tc>
          <w:tcPr>
            <w:tcW w:w="1134" w:type="pct"/>
            <w:tcMar>
              <w:left w:w="108" w:type="dxa"/>
              <w:right w:w="108" w:type="dxa"/>
            </w:tcMar>
            <w:vAlign w:val="bottom"/>
          </w:tcPr>
          <w:p w14:paraId="6BB7E906" w14:textId="128ADE16"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190.352.958</w:t>
            </w:r>
          </w:p>
        </w:tc>
        <w:tc>
          <w:tcPr>
            <w:tcW w:w="1041" w:type="pct"/>
            <w:vAlign w:val="bottom"/>
          </w:tcPr>
          <w:p w14:paraId="09736E8A" w14:textId="091822DA"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238.449.303</w:t>
            </w:r>
          </w:p>
        </w:tc>
      </w:tr>
      <w:tr w:rsidR="00C04A66" w:rsidRPr="00DC6200" w14:paraId="41C3067D" w14:textId="508F4100" w:rsidTr="00C04A66">
        <w:tc>
          <w:tcPr>
            <w:tcW w:w="2825" w:type="pct"/>
            <w:tcMar>
              <w:left w:w="108" w:type="dxa"/>
              <w:right w:w="108" w:type="dxa"/>
            </w:tcMar>
            <w:vAlign w:val="bottom"/>
          </w:tcPr>
          <w:p w14:paraId="1FB2D6A8"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Pasivo</w:t>
            </w:r>
          </w:p>
        </w:tc>
        <w:tc>
          <w:tcPr>
            <w:tcW w:w="1134" w:type="pct"/>
            <w:tcMar>
              <w:left w:w="108" w:type="dxa"/>
              <w:right w:w="108" w:type="dxa"/>
            </w:tcMar>
            <w:vAlign w:val="bottom"/>
          </w:tcPr>
          <w:p w14:paraId="2AE1BA3B" w14:textId="0AE461AD"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169.601.554</w:t>
            </w:r>
          </w:p>
        </w:tc>
        <w:tc>
          <w:tcPr>
            <w:tcW w:w="1041" w:type="pct"/>
            <w:vAlign w:val="bottom"/>
          </w:tcPr>
          <w:p w14:paraId="30B2430D" w14:textId="3B950D69"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217.162.468</w:t>
            </w:r>
          </w:p>
        </w:tc>
      </w:tr>
      <w:tr w:rsidR="00C04A66" w:rsidRPr="00DC6200" w14:paraId="022FBBF7" w14:textId="5CD7C17F" w:rsidTr="00C04A66">
        <w:tc>
          <w:tcPr>
            <w:tcW w:w="2825" w:type="pct"/>
            <w:tcMar>
              <w:left w:w="108" w:type="dxa"/>
              <w:right w:w="108" w:type="dxa"/>
            </w:tcMar>
            <w:vAlign w:val="bottom"/>
          </w:tcPr>
          <w:p w14:paraId="71DCCF29"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Pat. Neto atribuible a partip.  controladora</w:t>
            </w:r>
          </w:p>
        </w:tc>
        <w:tc>
          <w:tcPr>
            <w:tcW w:w="1134" w:type="pct"/>
            <w:tcMar>
              <w:left w:w="108" w:type="dxa"/>
              <w:right w:w="108" w:type="dxa"/>
            </w:tcMar>
            <w:vAlign w:val="bottom"/>
          </w:tcPr>
          <w:p w14:paraId="3F044B5C" w14:textId="3921E1E8"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20.619.111</w:t>
            </w:r>
          </w:p>
        </w:tc>
        <w:tc>
          <w:tcPr>
            <w:tcW w:w="1041" w:type="pct"/>
            <w:vAlign w:val="bottom"/>
          </w:tcPr>
          <w:p w14:paraId="22CBDED1" w14:textId="4BFE351F"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21.133.557</w:t>
            </w:r>
          </w:p>
        </w:tc>
      </w:tr>
      <w:tr w:rsidR="00C04A66" w:rsidRPr="00DC6200" w14:paraId="1BE4F382" w14:textId="602A41D1" w:rsidTr="00C04A66">
        <w:tc>
          <w:tcPr>
            <w:tcW w:w="2825" w:type="pct"/>
            <w:tcMar>
              <w:left w:w="108" w:type="dxa"/>
              <w:right w:w="108" w:type="dxa"/>
            </w:tcMar>
            <w:vAlign w:val="bottom"/>
          </w:tcPr>
          <w:p w14:paraId="7C4AA381"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Pat. Neto atribuible a partip. no controladora</w:t>
            </w:r>
          </w:p>
        </w:tc>
        <w:tc>
          <w:tcPr>
            <w:tcW w:w="1134" w:type="pct"/>
            <w:tcMar>
              <w:left w:w="108" w:type="dxa"/>
              <w:right w:w="108" w:type="dxa"/>
            </w:tcMar>
            <w:vAlign w:val="bottom"/>
          </w:tcPr>
          <w:p w14:paraId="566F9595" w14:textId="6C20F590"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132.293</w:t>
            </w:r>
          </w:p>
        </w:tc>
        <w:tc>
          <w:tcPr>
            <w:tcW w:w="1041" w:type="pct"/>
            <w:vAlign w:val="bottom"/>
          </w:tcPr>
          <w:p w14:paraId="11CA6081" w14:textId="1CB4CE5C"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153.278</w:t>
            </w:r>
          </w:p>
        </w:tc>
      </w:tr>
      <w:tr w:rsidR="00C04A66" w:rsidRPr="00DC6200" w14:paraId="39AE58C8" w14:textId="3D683A5B" w:rsidTr="00C04A66">
        <w:tc>
          <w:tcPr>
            <w:tcW w:w="2825" w:type="pct"/>
            <w:tcMar>
              <w:left w:w="108" w:type="dxa"/>
              <w:right w:w="108" w:type="dxa"/>
            </w:tcMar>
            <w:vAlign w:val="bottom"/>
          </w:tcPr>
          <w:p w14:paraId="395E7002"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Patrimonio Neto</w:t>
            </w:r>
          </w:p>
        </w:tc>
        <w:tc>
          <w:tcPr>
            <w:tcW w:w="1134" w:type="pct"/>
            <w:tcMar>
              <w:left w:w="108" w:type="dxa"/>
              <w:right w:w="108" w:type="dxa"/>
            </w:tcMar>
            <w:vAlign w:val="bottom"/>
          </w:tcPr>
          <w:p w14:paraId="76FBD5E3" w14:textId="1D1F1240"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20.751.404</w:t>
            </w:r>
          </w:p>
        </w:tc>
        <w:tc>
          <w:tcPr>
            <w:tcW w:w="1041" w:type="pct"/>
            <w:vAlign w:val="bottom"/>
          </w:tcPr>
          <w:p w14:paraId="36496B83" w14:textId="00596DCD"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21.286.835</w:t>
            </w:r>
          </w:p>
        </w:tc>
      </w:tr>
      <w:tr w:rsidR="00C04A66" w:rsidRPr="00DC6200" w14:paraId="20FEC255" w14:textId="4FC73748" w:rsidTr="00C04A66">
        <w:tc>
          <w:tcPr>
            <w:tcW w:w="2825" w:type="pct"/>
            <w:tcMar>
              <w:left w:w="108" w:type="dxa"/>
              <w:right w:w="108" w:type="dxa"/>
            </w:tcMar>
            <w:vAlign w:val="bottom"/>
          </w:tcPr>
          <w:p w14:paraId="7090C27A" w14:textId="77777777" w:rsidR="00C04A66" w:rsidRPr="00355711" w:rsidRDefault="00C04A66" w:rsidP="00C04A66">
            <w:pPr>
              <w:tabs>
                <w:tab w:val="left" w:pos="142"/>
              </w:tabs>
              <w:jc w:val="both"/>
              <w:rPr>
                <w:rFonts w:ascii="Arial" w:hAnsi="Arial" w:cs="Arial"/>
                <w:b/>
                <w:sz w:val="18"/>
              </w:rPr>
            </w:pPr>
            <w:r w:rsidRPr="00355711">
              <w:rPr>
                <w:rFonts w:ascii="Arial" w:hAnsi="Arial" w:cs="Arial"/>
                <w:sz w:val="18"/>
              </w:rPr>
              <w:t>Total del Pasivo más Patrimonio Neto</w:t>
            </w:r>
          </w:p>
        </w:tc>
        <w:tc>
          <w:tcPr>
            <w:tcW w:w="1134" w:type="pct"/>
            <w:tcMar>
              <w:left w:w="108" w:type="dxa"/>
              <w:right w:w="108" w:type="dxa"/>
            </w:tcMar>
            <w:vAlign w:val="bottom"/>
          </w:tcPr>
          <w:p w14:paraId="7C81A9A5" w14:textId="0BD34115"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190.352.958</w:t>
            </w:r>
          </w:p>
        </w:tc>
        <w:tc>
          <w:tcPr>
            <w:tcW w:w="1041" w:type="pct"/>
            <w:vAlign w:val="bottom"/>
          </w:tcPr>
          <w:p w14:paraId="15560B5E" w14:textId="08F1A7DC" w:rsidR="00C04A66" w:rsidRPr="00605783" w:rsidRDefault="00C04A66" w:rsidP="00C04A66">
            <w:pPr>
              <w:tabs>
                <w:tab w:val="left" w:pos="142"/>
              </w:tabs>
              <w:jc w:val="right"/>
              <w:rPr>
                <w:rFonts w:ascii="Arial" w:hAnsi="Arial" w:cs="Arial"/>
                <w:sz w:val="18"/>
                <w:szCs w:val="18"/>
                <w:lang w:val="es-MX"/>
              </w:rPr>
            </w:pPr>
            <w:r>
              <w:rPr>
                <w:rFonts w:ascii="Arial" w:hAnsi="Arial" w:cs="Arial"/>
                <w:color w:val="000000"/>
                <w:sz w:val="18"/>
                <w:szCs w:val="18"/>
              </w:rPr>
              <w:t>238.449.303</w:t>
            </w:r>
          </w:p>
        </w:tc>
      </w:tr>
    </w:tbl>
    <w:p w14:paraId="784373AE" w14:textId="77777777" w:rsidR="00B87D37" w:rsidRPr="00DC6200" w:rsidRDefault="00B87D37" w:rsidP="00B87D37">
      <w:pPr>
        <w:tabs>
          <w:tab w:val="left" w:pos="142"/>
        </w:tabs>
        <w:jc w:val="both"/>
        <w:rPr>
          <w:rFonts w:ascii="Arial" w:hAnsi="Arial" w:cs="Arial"/>
          <w:sz w:val="20"/>
          <w:u w:val="single"/>
        </w:rPr>
      </w:pPr>
    </w:p>
    <w:p w14:paraId="4EB9D5B1" w14:textId="075893FD" w:rsidR="00B87D37" w:rsidRPr="00DC6200" w:rsidRDefault="00B87D37" w:rsidP="00B87D37">
      <w:pPr>
        <w:tabs>
          <w:tab w:val="left" w:pos="142"/>
          <w:tab w:val="left" w:pos="426"/>
        </w:tabs>
        <w:jc w:val="both"/>
        <w:rPr>
          <w:rFonts w:ascii="Arial" w:hAnsi="Arial" w:cs="Arial"/>
          <w:sz w:val="20"/>
          <w:u w:val="single"/>
        </w:rPr>
      </w:pPr>
      <w:r w:rsidRPr="00DC6200">
        <w:rPr>
          <w:rFonts w:ascii="Arial" w:hAnsi="Arial" w:cs="Arial"/>
          <w:sz w:val="20"/>
          <w:u w:val="single"/>
        </w:rPr>
        <w:t>Estructura de Resultados</w:t>
      </w:r>
    </w:p>
    <w:p w14:paraId="4A47CE54" w14:textId="77777777" w:rsidR="00B87D37" w:rsidRPr="00DC6200" w:rsidRDefault="00B87D37" w:rsidP="00B87D37">
      <w:pPr>
        <w:tabs>
          <w:tab w:val="left" w:pos="142"/>
          <w:tab w:val="left" w:pos="426"/>
        </w:tabs>
        <w:jc w:val="both"/>
        <w:rPr>
          <w:rFonts w:ascii="Arial" w:hAnsi="Arial" w:cs="Arial"/>
          <w:sz w:val="20"/>
          <w:u w:val="single"/>
        </w:rPr>
      </w:pPr>
    </w:p>
    <w:tbl>
      <w:tblPr>
        <w:tblW w:w="4408"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287"/>
        <w:gridCol w:w="1673"/>
        <w:gridCol w:w="1529"/>
      </w:tblGrid>
      <w:tr w:rsidR="00C04A66" w:rsidRPr="00DC6200" w14:paraId="48B28A08" w14:textId="623D0441" w:rsidTr="00C04A66">
        <w:trPr>
          <w:trHeight w:val="291"/>
          <w:tblHeader/>
        </w:trPr>
        <w:tc>
          <w:tcPr>
            <w:tcW w:w="2862" w:type="pct"/>
            <w:tcMar>
              <w:left w:w="108" w:type="dxa"/>
              <w:right w:w="108" w:type="dxa"/>
            </w:tcMar>
            <w:vAlign w:val="center"/>
          </w:tcPr>
          <w:p w14:paraId="3FC33CFD" w14:textId="77777777" w:rsidR="00C04A66" w:rsidRPr="00355711" w:rsidRDefault="00C04A66" w:rsidP="00C04A66">
            <w:pPr>
              <w:tabs>
                <w:tab w:val="left" w:pos="142"/>
              </w:tabs>
              <w:jc w:val="both"/>
              <w:rPr>
                <w:rFonts w:ascii="Arial" w:hAnsi="Arial" w:cs="Arial"/>
                <w:b/>
                <w:sz w:val="18"/>
              </w:rPr>
            </w:pPr>
            <w:r w:rsidRPr="00355711">
              <w:rPr>
                <w:rFonts w:ascii="Arial" w:hAnsi="Arial" w:cs="Arial"/>
                <w:b/>
                <w:sz w:val="18"/>
              </w:rPr>
              <w:t>Concepto</w:t>
            </w:r>
          </w:p>
        </w:tc>
        <w:tc>
          <w:tcPr>
            <w:tcW w:w="1117" w:type="pct"/>
            <w:tcMar>
              <w:left w:w="108" w:type="dxa"/>
              <w:right w:w="108" w:type="dxa"/>
            </w:tcMar>
            <w:vAlign w:val="bottom"/>
          </w:tcPr>
          <w:p w14:paraId="400792E6" w14:textId="6850279F" w:rsidR="00C04A66" w:rsidRPr="00534414" w:rsidRDefault="00C04A66" w:rsidP="00C04A66">
            <w:pPr>
              <w:tabs>
                <w:tab w:val="left" w:pos="142"/>
              </w:tabs>
              <w:ind w:left="831" w:hanging="831"/>
              <w:jc w:val="center"/>
              <w:rPr>
                <w:rFonts w:ascii="Arial" w:hAnsi="Arial" w:cs="Arial"/>
                <w:b/>
                <w:sz w:val="18"/>
              </w:rPr>
            </w:pPr>
            <w:r>
              <w:rPr>
                <w:rFonts w:ascii="Arial" w:hAnsi="Arial" w:cs="Arial"/>
                <w:b/>
                <w:bCs/>
                <w:color w:val="000000"/>
                <w:sz w:val="18"/>
                <w:szCs w:val="18"/>
              </w:rPr>
              <w:t>31/03/2020</w:t>
            </w:r>
          </w:p>
        </w:tc>
        <w:tc>
          <w:tcPr>
            <w:tcW w:w="1021" w:type="pct"/>
            <w:vAlign w:val="bottom"/>
          </w:tcPr>
          <w:p w14:paraId="7D9B44FD" w14:textId="17488D53" w:rsidR="00C04A66" w:rsidRPr="00534414" w:rsidRDefault="00C04A66" w:rsidP="00C04A66">
            <w:pPr>
              <w:ind w:left="831" w:hanging="831"/>
              <w:jc w:val="center"/>
              <w:rPr>
                <w:rFonts w:ascii="Arial" w:hAnsi="Arial" w:cs="Arial"/>
                <w:b/>
                <w:sz w:val="18"/>
              </w:rPr>
            </w:pPr>
            <w:r>
              <w:rPr>
                <w:rFonts w:ascii="Arial" w:hAnsi="Arial" w:cs="Arial"/>
                <w:b/>
                <w:bCs/>
                <w:color w:val="000000"/>
                <w:sz w:val="18"/>
                <w:szCs w:val="18"/>
              </w:rPr>
              <w:t>31/03/2019</w:t>
            </w:r>
          </w:p>
        </w:tc>
      </w:tr>
      <w:tr w:rsidR="00C04A66" w:rsidRPr="00DC6200" w14:paraId="74CFE8AF" w14:textId="7BDA7649" w:rsidTr="00C04A66">
        <w:trPr>
          <w:trHeight w:val="215"/>
        </w:trPr>
        <w:tc>
          <w:tcPr>
            <w:tcW w:w="2862" w:type="pct"/>
            <w:tcMar>
              <w:left w:w="108" w:type="dxa"/>
              <w:right w:w="108" w:type="dxa"/>
            </w:tcMar>
            <w:vAlign w:val="center"/>
          </w:tcPr>
          <w:p w14:paraId="046632F2" w14:textId="77777777" w:rsidR="00C04A66" w:rsidRPr="00355711" w:rsidRDefault="00C04A66" w:rsidP="00C04A66">
            <w:pPr>
              <w:tabs>
                <w:tab w:val="left" w:pos="142"/>
              </w:tabs>
              <w:rPr>
                <w:rFonts w:ascii="Arial" w:hAnsi="Arial" w:cs="Arial"/>
                <w:sz w:val="18"/>
              </w:rPr>
            </w:pPr>
            <w:r w:rsidRPr="00355711">
              <w:rPr>
                <w:rFonts w:ascii="Arial" w:hAnsi="Arial" w:cs="Arial"/>
                <w:sz w:val="18"/>
                <w:lang w:val="es-MX"/>
              </w:rPr>
              <w:t>Ganancia Neta por Intereses y Comisiones</w:t>
            </w:r>
          </w:p>
        </w:tc>
        <w:tc>
          <w:tcPr>
            <w:tcW w:w="1117" w:type="pct"/>
            <w:tcMar>
              <w:left w:w="108" w:type="dxa"/>
              <w:right w:w="108" w:type="dxa"/>
            </w:tcMar>
            <w:vAlign w:val="bottom"/>
          </w:tcPr>
          <w:p w14:paraId="5FBD1FD1" w14:textId="43CE3CE0"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8.404.701</w:t>
            </w:r>
          </w:p>
        </w:tc>
        <w:tc>
          <w:tcPr>
            <w:tcW w:w="1021" w:type="pct"/>
            <w:vAlign w:val="bottom"/>
          </w:tcPr>
          <w:p w14:paraId="757A6DB6" w14:textId="21271500"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3.228.096 </w:t>
            </w:r>
          </w:p>
        </w:tc>
      </w:tr>
      <w:tr w:rsidR="00C04A66" w:rsidRPr="00DC6200" w14:paraId="0EF331A9" w14:textId="107BB3D7" w:rsidTr="00C04A66">
        <w:trPr>
          <w:trHeight w:val="416"/>
        </w:trPr>
        <w:tc>
          <w:tcPr>
            <w:tcW w:w="2862" w:type="pct"/>
            <w:tcMar>
              <w:left w:w="108" w:type="dxa"/>
              <w:right w:w="108" w:type="dxa"/>
            </w:tcMar>
            <w:vAlign w:val="center"/>
          </w:tcPr>
          <w:p w14:paraId="671E6E4B"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Otros Resultados Netos y Otros Ingresos Operativos Netos</w:t>
            </w:r>
          </w:p>
        </w:tc>
        <w:tc>
          <w:tcPr>
            <w:tcW w:w="1117" w:type="pct"/>
            <w:tcMar>
              <w:left w:w="108" w:type="dxa"/>
              <w:right w:w="108" w:type="dxa"/>
            </w:tcMar>
            <w:vAlign w:val="bottom"/>
          </w:tcPr>
          <w:p w14:paraId="157A22AB" w14:textId="61D73774"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-580.580</w:t>
            </w:r>
          </w:p>
        </w:tc>
        <w:tc>
          <w:tcPr>
            <w:tcW w:w="1021" w:type="pct"/>
            <w:vAlign w:val="bottom"/>
          </w:tcPr>
          <w:p w14:paraId="0990B16C" w14:textId="30628E69"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4.201.387 </w:t>
            </w:r>
          </w:p>
        </w:tc>
      </w:tr>
      <w:tr w:rsidR="00C04A66" w:rsidRPr="00DC6200" w14:paraId="3B265C07" w14:textId="75C5797F" w:rsidTr="00C04A66">
        <w:trPr>
          <w:trHeight w:val="215"/>
        </w:trPr>
        <w:tc>
          <w:tcPr>
            <w:tcW w:w="2862" w:type="pct"/>
            <w:tcMar>
              <w:left w:w="108" w:type="dxa"/>
              <w:right w:w="108" w:type="dxa"/>
            </w:tcMar>
            <w:vAlign w:val="center"/>
          </w:tcPr>
          <w:p w14:paraId="22C4E76E"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Otras Pérdidas y Otros Gastos Operativos</w:t>
            </w:r>
          </w:p>
        </w:tc>
        <w:tc>
          <w:tcPr>
            <w:tcW w:w="1117" w:type="pct"/>
            <w:tcMar>
              <w:left w:w="108" w:type="dxa"/>
              <w:right w:w="108" w:type="dxa"/>
            </w:tcMar>
            <w:vAlign w:val="bottom"/>
          </w:tcPr>
          <w:p w14:paraId="76EF21ED" w14:textId="60C2A411"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-6.524.620</w:t>
            </w:r>
          </w:p>
        </w:tc>
        <w:tc>
          <w:tcPr>
            <w:tcW w:w="1021" w:type="pct"/>
            <w:vAlign w:val="bottom"/>
          </w:tcPr>
          <w:p w14:paraId="4EF57F6D" w14:textId="44E90C80"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-6.863.937 </w:t>
            </w:r>
          </w:p>
        </w:tc>
      </w:tr>
      <w:tr w:rsidR="00C04A66" w:rsidRPr="00DC6200" w14:paraId="2C345B5E" w14:textId="4092C140" w:rsidTr="00C04A66">
        <w:trPr>
          <w:trHeight w:val="215"/>
        </w:trPr>
        <w:tc>
          <w:tcPr>
            <w:tcW w:w="2862" w:type="pct"/>
            <w:tcMar>
              <w:left w:w="108" w:type="dxa"/>
              <w:right w:w="108" w:type="dxa"/>
            </w:tcMar>
            <w:vAlign w:val="center"/>
          </w:tcPr>
          <w:p w14:paraId="49A553CE"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 xml:space="preserve">Resultado por asociadas </w:t>
            </w:r>
          </w:p>
        </w:tc>
        <w:tc>
          <w:tcPr>
            <w:tcW w:w="1117" w:type="pct"/>
            <w:tcMar>
              <w:left w:w="108" w:type="dxa"/>
              <w:right w:w="108" w:type="dxa"/>
            </w:tcMar>
            <w:vAlign w:val="bottom"/>
          </w:tcPr>
          <w:p w14:paraId="668CE8D0" w14:textId="517309EB"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-3.447</w:t>
            </w:r>
          </w:p>
        </w:tc>
        <w:tc>
          <w:tcPr>
            <w:tcW w:w="1021" w:type="pct"/>
            <w:vAlign w:val="bottom"/>
          </w:tcPr>
          <w:p w14:paraId="46CC71BE" w14:textId="36B49F88"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-21.529 </w:t>
            </w:r>
          </w:p>
        </w:tc>
      </w:tr>
      <w:tr w:rsidR="00C04A66" w:rsidRPr="00DC6200" w14:paraId="4CA551F3" w14:textId="77777777" w:rsidTr="00C04A66">
        <w:trPr>
          <w:trHeight w:val="215"/>
        </w:trPr>
        <w:tc>
          <w:tcPr>
            <w:tcW w:w="2862" w:type="pct"/>
            <w:tcMar>
              <w:left w:w="108" w:type="dxa"/>
              <w:right w:w="108" w:type="dxa"/>
            </w:tcMar>
            <w:vAlign w:val="center"/>
          </w:tcPr>
          <w:p w14:paraId="6543F248" w14:textId="7ADCB141" w:rsidR="00C04A66" w:rsidRPr="00355711" w:rsidRDefault="00C04A66" w:rsidP="00C04A66">
            <w:pPr>
              <w:tabs>
                <w:tab w:val="left" w:pos="142"/>
              </w:tabs>
              <w:jc w:val="both"/>
              <w:rPr>
                <w:rFonts w:ascii="Arial" w:hAnsi="Arial" w:cs="Arial"/>
                <w:sz w:val="18"/>
              </w:rPr>
            </w:pPr>
            <w:r w:rsidRPr="00C04A66">
              <w:rPr>
                <w:rFonts w:ascii="Arial" w:hAnsi="Arial" w:cs="Arial"/>
                <w:sz w:val="18"/>
              </w:rPr>
              <w:t>Resultado por la posición monetaria neta</w:t>
            </w:r>
          </w:p>
        </w:tc>
        <w:tc>
          <w:tcPr>
            <w:tcW w:w="1117" w:type="pct"/>
            <w:tcMar>
              <w:left w:w="108" w:type="dxa"/>
              <w:right w:w="108" w:type="dxa"/>
            </w:tcMar>
            <w:vAlign w:val="bottom"/>
          </w:tcPr>
          <w:p w14:paraId="7AB2A2D2" w14:textId="4A58ECB6"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-695.368</w:t>
            </w:r>
          </w:p>
        </w:tc>
        <w:tc>
          <w:tcPr>
            <w:tcW w:w="1021" w:type="pct"/>
            <w:vAlign w:val="bottom"/>
          </w:tcPr>
          <w:p w14:paraId="321D5D5B" w14:textId="507DE6D2"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-1.641.199 </w:t>
            </w:r>
          </w:p>
        </w:tc>
      </w:tr>
      <w:tr w:rsidR="00C04A66" w:rsidRPr="00DC6200" w14:paraId="5E18E2DA" w14:textId="4F5B150E" w:rsidTr="00C04A66">
        <w:trPr>
          <w:trHeight w:val="215"/>
        </w:trPr>
        <w:tc>
          <w:tcPr>
            <w:tcW w:w="2862" w:type="pct"/>
            <w:tcMar>
              <w:left w:w="108" w:type="dxa"/>
              <w:right w:w="108" w:type="dxa"/>
            </w:tcMar>
            <w:vAlign w:val="center"/>
          </w:tcPr>
          <w:p w14:paraId="6FA1FAB7"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Subtotal – Ganancia antes de impuesto a las ganancias</w:t>
            </w:r>
          </w:p>
        </w:tc>
        <w:tc>
          <w:tcPr>
            <w:tcW w:w="1117" w:type="pct"/>
            <w:tcMar>
              <w:left w:w="108" w:type="dxa"/>
              <w:right w:w="108" w:type="dxa"/>
            </w:tcMar>
            <w:vAlign w:val="bottom"/>
          </w:tcPr>
          <w:p w14:paraId="341C28F4" w14:textId="4EB71B62"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600.686</w:t>
            </w:r>
          </w:p>
        </w:tc>
        <w:tc>
          <w:tcPr>
            <w:tcW w:w="1021" w:type="pct"/>
            <w:vAlign w:val="bottom"/>
          </w:tcPr>
          <w:p w14:paraId="375BF6D4" w14:textId="2CCE7139"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-1.097.182 </w:t>
            </w:r>
          </w:p>
        </w:tc>
      </w:tr>
      <w:tr w:rsidR="00C04A66" w:rsidRPr="00DC6200" w14:paraId="1558AD32" w14:textId="62157FAB" w:rsidTr="00C04A66">
        <w:trPr>
          <w:trHeight w:val="215"/>
        </w:trPr>
        <w:tc>
          <w:tcPr>
            <w:tcW w:w="2862" w:type="pct"/>
            <w:tcMar>
              <w:left w:w="108" w:type="dxa"/>
              <w:right w:w="108" w:type="dxa"/>
            </w:tcMar>
            <w:vAlign w:val="center"/>
          </w:tcPr>
          <w:p w14:paraId="7BC3BC1A" w14:textId="77777777" w:rsidR="00C04A66" w:rsidRPr="00355711" w:rsidRDefault="00C04A66" w:rsidP="00C04A66">
            <w:pPr>
              <w:tabs>
                <w:tab w:val="left" w:pos="142"/>
              </w:tabs>
              <w:jc w:val="both"/>
              <w:rPr>
                <w:rFonts w:ascii="Arial" w:hAnsi="Arial" w:cs="Arial"/>
                <w:sz w:val="18"/>
              </w:rPr>
            </w:pPr>
            <w:r w:rsidRPr="00355711">
              <w:rPr>
                <w:rFonts w:ascii="Arial" w:hAnsi="Arial" w:cs="Arial"/>
                <w:sz w:val="18"/>
              </w:rPr>
              <w:t>Impuesto a las Ganancias</w:t>
            </w:r>
          </w:p>
        </w:tc>
        <w:tc>
          <w:tcPr>
            <w:tcW w:w="1117" w:type="pct"/>
            <w:tcMar>
              <w:left w:w="108" w:type="dxa"/>
              <w:right w:w="108" w:type="dxa"/>
            </w:tcMar>
            <w:vAlign w:val="bottom"/>
          </w:tcPr>
          <w:p w14:paraId="1F143BC4" w14:textId="03DE6992"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-235.027</w:t>
            </w:r>
          </w:p>
        </w:tc>
        <w:tc>
          <w:tcPr>
            <w:tcW w:w="1021" w:type="pct"/>
            <w:vAlign w:val="bottom"/>
          </w:tcPr>
          <w:p w14:paraId="66458DAA" w14:textId="2E93FA31"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-265.174 </w:t>
            </w:r>
          </w:p>
        </w:tc>
      </w:tr>
      <w:tr w:rsidR="00C04A66" w:rsidRPr="00701F32" w14:paraId="291E9C1F" w14:textId="557CA4B9" w:rsidTr="00C04A66">
        <w:trPr>
          <w:trHeight w:val="200"/>
        </w:trPr>
        <w:tc>
          <w:tcPr>
            <w:tcW w:w="2862" w:type="pct"/>
            <w:tcMar>
              <w:left w:w="108" w:type="dxa"/>
              <w:right w:w="108" w:type="dxa"/>
            </w:tcMar>
            <w:vAlign w:val="center"/>
          </w:tcPr>
          <w:p w14:paraId="05F90300" w14:textId="77777777" w:rsidR="00C04A66" w:rsidRPr="00355711" w:rsidRDefault="00C04A66" w:rsidP="00C04A66">
            <w:pPr>
              <w:tabs>
                <w:tab w:val="left" w:pos="142"/>
              </w:tabs>
              <w:jc w:val="both"/>
              <w:rPr>
                <w:rFonts w:ascii="Arial" w:hAnsi="Arial" w:cs="Arial"/>
                <w:b/>
                <w:sz w:val="18"/>
              </w:rPr>
            </w:pPr>
            <w:r w:rsidRPr="00355711">
              <w:rPr>
                <w:rFonts w:ascii="Arial" w:hAnsi="Arial" w:cs="Arial"/>
                <w:sz w:val="18"/>
              </w:rPr>
              <w:t>Ganancia Neta</w:t>
            </w:r>
          </w:p>
        </w:tc>
        <w:tc>
          <w:tcPr>
            <w:tcW w:w="1117" w:type="pct"/>
            <w:tcMar>
              <w:left w:w="108" w:type="dxa"/>
              <w:right w:w="108" w:type="dxa"/>
            </w:tcMar>
            <w:vAlign w:val="bottom"/>
          </w:tcPr>
          <w:p w14:paraId="3CF4D471" w14:textId="48997B37"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365.659</w:t>
            </w:r>
          </w:p>
        </w:tc>
        <w:tc>
          <w:tcPr>
            <w:tcW w:w="1021" w:type="pct"/>
            <w:vAlign w:val="bottom"/>
          </w:tcPr>
          <w:p w14:paraId="1786CACB" w14:textId="2953AF2B" w:rsidR="00C04A66" w:rsidRPr="00605783" w:rsidRDefault="00C04A66" w:rsidP="00C04A66">
            <w:pPr>
              <w:tabs>
                <w:tab w:val="left" w:pos="142"/>
              </w:tabs>
              <w:jc w:val="right"/>
              <w:rPr>
                <w:rFonts w:ascii="Arial" w:hAnsi="Arial" w:cs="Arial"/>
                <w:sz w:val="18"/>
                <w:szCs w:val="18"/>
              </w:rPr>
            </w:pPr>
            <w:r>
              <w:rPr>
                <w:rFonts w:ascii="Arial" w:hAnsi="Arial" w:cs="Arial"/>
                <w:color w:val="000000"/>
                <w:sz w:val="18"/>
                <w:szCs w:val="18"/>
              </w:rPr>
              <w:t xml:space="preserve">       -1.362.356 </w:t>
            </w:r>
          </w:p>
        </w:tc>
      </w:tr>
    </w:tbl>
    <w:p w14:paraId="514E7122" w14:textId="78DCD8DF" w:rsidR="00E43D1A" w:rsidRDefault="00E43D1A" w:rsidP="00B87D37">
      <w:pPr>
        <w:tabs>
          <w:tab w:val="left" w:pos="142"/>
          <w:tab w:val="left" w:pos="426"/>
        </w:tabs>
        <w:jc w:val="both"/>
        <w:rPr>
          <w:rFonts w:ascii="Arial" w:hAnsi="Arial" w:cs="Arial"/>
          <w:sz w:val="20"/>
        </w:rPr>
      </w:pPr>
    </w:p>
    <w:p w14:paraId="2AA54630" w14:textId="6C32043C" w:rsidR="00B87D37" w:rsidRPr="00701F32" w:rsidRDefault="00B87D37" w:rsidP="00B87D37">
      <w:pPr>
        <w:tabs>
          <w:tab w:val="left" w:pos="142"/>
          <w:tab w:val="left" w:pos="426"/>
        </w:tabs>
        <w:jc w:val="both"/>
        <w:rPr>
          <w:rFonts w:ascii="Arial" w:hAnsi="Arial" w:cs="Arial"/>
          <w:sz w:val="20"/>
          <w:u w:val="single"/>
        </w:rPr>
      </w:pPr>
      <w:r w:rsidRPr="00BA7A6B">
        <w:rPr>
          <w:rFonts w:ascii="Arial" w:hAnsi="Arial" w:cs="Arial"/>
          <w:sz w:val="20"/>
          <w:u w:val="single"/>
        </w:rPr>
        <w:t>Estructura del Flujo de Efectivo</w:t>
      </w:r>
    </w:p>
    <w:p w14:paraId="21826E44" w14:textId="77777777" w:rsidR="00B87D37" w:rsidRPr="00701F32" w:rsidRDefault="00B87D37" w:rsidP="00B87D37">
      <w:pPr>
        <w:tabs>
          <w:tab w:val="left" w:pos="142"/>
          <w:tab w:val="left" w:pos="426"/>
        </w:tabs>
        <w:jc w:val="both"/>
        <w:rPr>
          <w:rFonts w:ascii="Arial" w:hAnsi="Arial" w:cs="Arial"/>
          <w:sz w:val="20"/>
          <w:u w:val="single"/>
        </w:rPr>
      </w:pPr>
    </w:p>
    <w:tbl>
      <w:tblPr>
        <w:tblW w:w="4408"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287"/>
        <w:gridCol w:w="1673"/>
        <w:gridCol w:w="1529"/>
      </w:tblGrid>
      <w:tr w:rsidR="00C04A66" w:rsidRPr="00DC6200" w14:paraId="20A9376C" w14:textId="1E05885A" w:rsidTr="003B6C26">
        <w:trPr>
          <w:trHeight w:val="215"/>
          <w:tblHeader/>
        </w:trPr>
        <w:tc>
          <w:tcPr>
            <w:tcW w:w="2862" w:type="pct"/>
            <w:tcMar>
              <w:left w:w="108" w:type="dxa"/>
              <w:right w:w="108" w:type="dxa"/>
            </w:tcMar>
            <w:vAlign w:val="center"/>
          </w:tcPr>
          <w:p w14:paraId="23CCDD7A" w14:textId="77777777" w:rsidR="00C04A66" w:rsidRPr="00355711" w:rsidRDefault="00C04A66" w:rsidP="00C04A66">
            <w:pPr>
              <w:tabs>
                <w:tab w:val="left" w:pos="142"/>
              </w:tabs>
              <w:jc w:val="both"/>
              <w:rPr>
                <w:rFonts w:ascii="Arial" w:hAnsi="Arial" w:cs="Arial"/>
                <w:b/>
                <w:sz w:val="18"/>
                <w:szCs w:val="18"/>
              </w:rPr>
            </w:pPr>
            <w:r w:rsidRPr="00355711">
              <w:rPr>
                <w:rFonts w:ascii="Arial" w:hAnsi="Arial" w:cs="Arial"/>
                <w:b/>
                <w:sz w:val="18"/>
                <w:szCs w:val="18"/>
              </w:rPr>
              <w:t>Concepto</w:t>
            </w:r>
          </w:p>
        </w:tc>
        <w:tc>
          <w:tcPr>
            <w:tcW w:w="1117" w:type="pct"/>
            <w:tcMar>
              <w:left w:w="108" w:type="dxa"/>
              <w:right w:w="108" w:type="dxa"/>
            </w:tcMar>
            <w:vAlign w:val="bottom"/>
          </w:tcPr>
          <w:p w14:paraId="055962B2" w14:textId="2772B3E6" w:rsidR="00C04A66" w:rsidRPr="00AC1789" w:rsidRDefault="00C04A66" w:rsidP="00C04A66">
            <w:pPr>
              <w:tabs>
                <w:tab w:val="left" w:pos="142"/>
              </w:tabs>
              <w:ind w:left="831" w:hanging="831"/>
              <w:jc w:val="center"/>
              <w:rPr>
                <w:rFonts w:ascii="Arial" w:hAnsi="Arial" w:cs="Arial"/>
                <w:b/>
                <w:sz w:val="18"/>
              </w:rPr>
            </w:pPr>
            <w:r>
              <w:rPr>
                <w:rFonts w:ascii="Arial" w:hAnsi="Arial" w:cs="Arial"/>
                <w:b/>
                <w:bCs/>
                <w:color w:val="000000"/>
                <w:sz w:val="18"/>
                <w:szCs w:val="18"/>
              </w:rPr>
              <w:t>31/03/2020</w:t>
            </w:r>
          </w:p>
        </w:tc>
        <w:tc>
          <w:tcPr>
            <w:tcW w:w="1021" w:type="pct"/>
            <w:vAlign w:val="bottom"/>
          </w:tcPr>
          <w:p w14:paraId="512C042E" w14:textId="3587EC5D" w:rsidR="00C04A66" w:rsidRPr="00534414" w:rsidRDefault="00C04A66" w:rsidP="00C04A66">
            <w:pPr>
              <w:tabs>
                <w:tab w:val="left" w:pos="142"/>
              </w:tabs>
              <w:ind w:left="831" w:hanging="831"/>
              <w:jc w:val="center"/>
              <w:rPr>
                <w:rFonts w:ascii="Arial" w:hAnsi="Arial" w:cs="Arial"/>
                <w:b/>
                <w:sz w:val="18"/>
              </w:rPr>
            </w:pPr>
            <w:r>
              <w:rPr>
                <w:rFonts w:ascii="Arial" w:hAnsi="Arial" w:cs="Arial"/>
                <w:b/>
                <w:bCs/>
                <w:color w:val="000000"/>
                <w:sz w:val="18"/>
                <w:szCs w:val="18"/>
              </w:rPr>
              <w:t>31/03/2019</w:t>
            </w:r>
          </w:p>
        </w:tc>
      </w:tr>
      <w:tr w:rsidR="00B96C6D" w:rsidRPr="00DC6200" w14:paraId="5CC3FDCB" w14:textId="78148F08" w:rsidTr="003B6C26">
        <w:trPr>
          <w:trHeight w:val="373"/>
        </w:trPr>
        <w:tc>
          <w:tcPr>
            <w:tcW w:w="2862" w:type="pct"/>
            <w:tcMar>
              <w:left w:w="108" w:type="dxa"/>
              <w:right w:w="108" w:type="dxa"/>
            </w:tcMar>
            <w:vAlign w:val="center"/>
          </w:tcPr>
          <w:p w14:paraId="16BFF47E" w14:textId="4B0B62E9" w:rsidR="00B96C6D" w:rsidRPr="00355711" w:rsidRDefault="00B96C6D" w:rsidP="00B96C6D">
            <w:pPr>
              <w:tabs>
                <w:tab w:val="left" w:pos="142"/>
              </w:tabs>
              <w:rPr>
                <w:rFonts w:ascii="Arial" w:hAnsi="Arial" w:cs="Arial"/>
                <w:sz w:val="18"/>
                <w:szCs w:val="18"/>
              </w:rPr>
            </w:pPr>
            <w:r w:rsidRPr="00355711">
              <w:rPr>
                <w:rFonts w:ascii="Arial" w:hAnsi="Arial" w:cs="Arial"/>
                <w:sz w:val="18"/>
                <w:szCs w:val="18"/>
                <w:lang w:val="es-MX"/>
              </w:rPr>
              <w:t xml:space="preserve">Flujo Neto de Efectivo Generado </w:t>
            </w:r>
            <w:r>
              <w:rPr>
                <w:rFonts w:ascii="Arial" w:hAnsi="Arial" w:cs="Arial"/>
                <w:sz w:val="18"/>
                <w:szCs w:val="18"/>
                <w:lang w:val="es-MX"/>
              </w:rPr>
              <w:t xml:space="preserve">por </w:t>
            </w:r>
            <w:r w:rsidRPr="00355711">
              <w:rPr>
                <w:rFonts w:ascii="Arial" w:hAnsi="Arial" w:cs="Arial"/>
                <w:sz w:val="18"/>
                <w:szCs w:val="18"/>
                <w:lang w:val="es-MX"/>
              </w:rPr>
              <w:t>/ (Utilizado</w:t>
            </w:r>
            <w:r>
              <w:rPr>
                <w:rFonts w:ascii="Arial" w:hAnsi="Arial" w:cs="Arial"/>
                <w:sz w:val="18"/>
                <w:szCs w:val="18"/>
                <w:lang w:val="es-MX"/>
              </w:rPr>
              <w:t xml:space="preserve"> en</w:t>
            </w:r>
            <w:r w:rsidRPr="00355711">
              <w:rPr>
                <w:rFonts w:ascii="Arial" w:hAnsi="Arial" w:cs="Arial"/>
                <w:sz w:val="18"/>
                <w:szCs w:val="18"/>
                <w:lang w:val="es-MX"/>
              </w:rPr>
              <w:t>) por las Actividades Operativas</w:t>
            </w:r>
          </w:p>
        </w:tc>
        <w:tc>
          <w:tcPr>
            <w:tcW w:w="1117" w:type="pct"/>
            <w:tcMar>
              <w:left w:w="108" w:type="dxa"/>
              <w:right w:w="108" w:type="dxa"/>
            </w:tcMar>
            <w:vAlign w:val="bottom"/>
          </w:tcPr>
          <w:p w14:paraId="5D133979" w14:textId="4C72F804" w:rsidR="00B96C6D" w:rsidRPr="00D70BDB" w:rsidRDefault="00B96C6D" w:rsidP="00B96C6D">
            <w:pPr>
              <w:tabs>
                <w:tab w:val="left" w:pos="142"/>
              </w:tabs>
              <w:jc w:val="right"/>
              <w:rPr>
                <w:rFonts w:ascii="Arial" w:hAnsi="Arial" w:cs="Arial"/>
                <w:sz w:val="18"/>
                <w:szCs w:val="18"/>
              </w:rPr>
            </w:pPr>
            <w:r>
              <w:rPr>
                <w:rFonts w:ascii="Arial" w:hAnsi="Arial" w:cs="Arial"/>
                <w:color w:val="000000"/>
                <w:sz w:val="18"/>
                <w:szCs w:val="18"/>
              </w:rPr>
              <w:t>13.603.016</w:t>
            </w:r>
          </w:p>
        </w:tc>
        <w:tc>
          <w:tcPr>
            <w:tcW w:w="1021" w:type="pct"/>
            <w:vAlign w:val="bottom"/>
          </w:tcPr>
          <w:p w14:paraId="4590BD89" w14:textId="71A183A6" w:rsidR="00B96C6D" w:rsidRPr="00605783" w:rsidRDefault="00B96C6D" w:rsidP="00B96C6D">
            <w:pPr>
              <w:tabs>
                <w:tab w:val="left" w:pos="142"/>
              </w:tabs>
              <w:jc w:val="right"/>
              <w:rPr>
                <w:rFonts w:ascii="Arial" w:hAnsi="Arial" w:cs="Arial"/>
                <w:sz w:val="18"/>
                <w:szCs w:val="18"/>
                <w:lang w:val="es-MX" w:eastAsia="es-ES"/>
              </w:rPr>
            </w:pPr>
            <w:r>
              <w:rPr>
                <w:rFonts w:ascii="Arial" w:hAnsi="Arial" w:cs="Arial"/>
                <w:color w:val="000000"/>
                <w:sz w:val="18"/>
                <w:szCs w:val="18"/>
              </w:rPr>
              <w:t xml:space="preserve">         6.397.445 </w:t>
            </w:r>
          </w:p>
        </w:tc>
      </w:tr>
      <w:tr w:rsidR="00B96C6D" w:rsidRPr="00DC6200" w14:paraId="10B5DFF6" w14:textId="2EBFB1BC" w:rsidTr="003B6C26">
        <w:trPr>
          <w:trHeight w:val="360"/>
        </w:trPr>
        <w:tc>
          <w:tcPr>
            <w:tcW w:w="2862" w:type="pct"/>
            <w:tcMar>
              <w:left w:w="108" w:type="dxa"/>
              <w:right w:w="108" w:type="dxa"/>
            </w:tcMar>
            <w:vAlign w:val="center"/>
          </w:tcPr>
          <w:p w14:paraId="65EC4A75" w14:textId="77777777" w:rsidR="00B96C6D" w:rsidRPr="00355711" w:rsidRDefault="00B96C6D" w:rsidP="00B96C6D">
            <w:pPr>
              <w:tabs>
                <w:tab w:val="left" w:pos="142"/>
              </w:tabs>
              <w:jc w:val="both"/>
              <w:rPr>
                <w:rFonts w:ascii="Arial" w:hAnsi="Arial" w:cs="Arial"/>
                <w:sz w:val="18"/>
                <w:szCs w:val="18"/>
              </w:rPr>
            </w:pPr>
            <w:r w:rsidRPr="00355711">
              <w:rPr>
                <w:rFonts w:ascii="Arial" w:hAnsi="Arial" w:cs="Arial"/>
                <w:sz w:val="18"/>
                <w:szCs w:val="18"/>
              </w:rPr>
              <w:t>Flujo Neto de Efectivo Utilizado en las Actividades de Inversión</w:t>
            </w:r>
          </w:p>
        </w:tc>
        <w:tc>
          <w:tcPr>
            <w:tcW w:w="1117" w:type="pct"/>
            <w:tcMar>
              <w:left w:w="108" w:type="dxa"/>
              <w:right w:w="108" w:type="dxa"/>
            </w:tcMar>
            <w:vAlign w:val="bottom"/>
          </w:tcPr>
          <w:p w14:paraId="34F1520E" w14:textId="5C446692" w:rsidR="00B96C6D" w:rsidRPr="00D70BDB" w:rsidRDefault="00B96C6D" w:rsidP="00B96C6D">
            <w:pPr>
              <w:tabs>
                <w:tab w:val="left" w:pos="142"/>
              </w:tabs>
              <w:jc w:val="right"/>
              <w:rPr>
                <w:rFonts w:ascii="Arial" w:hAnsi="Arial" w:cs="Arial"/>
                <w:sz w:val="18"/>
                <w:szCs w:val="18"/>
              </w:rPr>
            </w:pPr>
            <w:r>
              <w:rPr>
                <w:rFonts w:ascii="Arial" w:hAnsi="Arial" w:cs="Arial"/>
                <w:color w:val="000000"/>
                <w:sz w:val="18"/>
                <w:szCs w:val="18"/>
              </w:rPr>
              <w:t>-254.544</w:t>
            </w:r>
          </w:p>
        </w:tc>
        <w:tc>
          <w:tcPr>
            <w:tcW w:w="1021" w:type="pct"/>
            <w:vAlign w:val="bottom"/>
          </w:tcPr>
          <w:p w14:paraId="28E5BDFA" w14:textId="471FE533" w:rsidR="00B96C6D" w:rsidRPr="00605783" w:rsidRDefault="00B96C6D" w:rsidP="00B96C6D">
            <w:pPr>
              <w:tabs>
                <w:tab w:val="left" w:pos="142"/>
              </w:tabs>
              <w:jc w:val="right"/>
              <w:rPr>
                <w:rFonts w:ascii="Arial" w:hAnsi="Arial" w:cs="Arial"/>
                <w:sz w:val="18"/>
                <w:szCs w:val="18"/>
                <w:lang w:val="es-MX" w:eastAsia="es-ES"/>
              </w:rPr>
            </w:pPr>
            <w:r>
              <w:rPr>
                <w:rFonts w:ascii="Arial" w:hAnsi="Arial" w:cs="Arial"/>
                <w:color w:val="000000"/>
                <w:sz w:val="18"/>
                <w:szCs w:val="18"/>
              </w:rPr>
              <w:t xml:space="preserve">              28.268 </w:t>
            </w:r>
          </w:p>
        </w:tc>
      </w:tr>
      <w:tr w:rsidR="00B96C6D" w:rsidRPr="00DC6200" w14:paraId="7C77911A" w14:textId="56B93228" w:rsidTr="003B6C26">
        <w:trPr>
          <w:trHeight w:val="373"/>
        </w:trPr>
        <w:tc>
          <w:tcPr>
            <w:tcW w:w="2862" w:type="pct"/>
            <w:tcMar>
              <w:left w:w="108" w:type="dxa"/>
              <w:right w:w="108" w:type="dxa"/>
            </w:tcMar>
            <w:vAlign w:val="center"/>
          </w:tcPr>
          <w:p w14:paraId="2C5DA66D" w14:textId="6A978785" w:rsidR="00B96C6D" w:rsidRPr="00355711" w:rsidRDefault="00B96C6D" w:rsidP="00B96C6D">
            <w:pPr>
              <w:tabs>
                <w:tab w:val="left" w:pos="142"/>
              </w:tabs>
              <w:jc w:val="both"/>
              <w:rPr>
                <w:rFonts w:ascii="Arial" w:hAnsi="Arial" w:cs="Arial"/>
                <w:sz w:val="18"/>
                <w:szCs w:val="18"/>
              </w:rPr>
            </w:pPr>
            <w:r w:rsidRPr="00355711">
              <w:rPr>
                <w:rFonts w:ascii="Arial" w:hAnsi="Arial" w:cs="Arial"/>
                <w:sz w:val="18"/>
                <w:szCs w:val="18"/>
              </w:rPr>
              <w:t>Flujo Neto de Efectivo Generado por las Actividades de Financiación</w:t>
            </w:r>
          </w:p>
        </w:tc>
        <w:tc>
          <w:tcPr>
            <w:tcW w:w="1117" w:type="pct"/>
            <w:tcMar>
              <w:left w:w="108" w:type="dxa"/>
              <w:right w:w="108" w:type="dxa"/>
            </w:tcMar>
            <w:vAlign w:val="bottom"/>
          </w:tcPr>
          <w:p w14:paraId="1FC67712" w14:textId="2DA8C087" w:rsidR="00B96C6D" w:rsidRPr="00D70BDB" w:rsidRDefault="00B96C6D" w:rsidP="00B96C6D">
            <w:pPr>
              <w:tabs>
                <w:tab w:val="left" w:pos="142"/>
              </w:tabs>
              <w:jc w:val="right"/>
              <w:rPr>
                <w:rFonts w:ascii="Arial" w:hAnsi="Arial" w:cs="Arial"/>
                <w:sz w:val="18"/>
                <w:szCs w:val="18"/>
              </w:rPr>
            </w:pPr>
            <w:r>
              <w:rPr>
                <w:rFonts w:ascii="Arial" w:hAnsi="Arial" w:cs="Arial"/>
                <w:color w:val="000000"/>
                <w:sz w:val="18"/>
                <w:szCs w:val="18"/>
              </w:rPr>
              <w:t>-4.625.107</w:t>
            </w:r>
          </w:p>
        </w:tc>
        <w:tc>
          <w:tcPr>
            <w:tcW w:w="1021" w:type="pct"/>
            <w:vAlign w:val="bottom"/>
          </w:tcPr>
          <w:p w14:paraId="1BD2AE5B" w14:textId="3DEEBD35" w:rsidR="00B96C6D" w:rsidRPr="00605783" w:rsidRDefault="00B96C6D" w:rsidP="00B96C6D">
            <w:pPr>
              <w:tabs>
                <w:tab w:val="left" w:pos="142"/>
              </w:tabs>
              <w:jc w:val="right"/>
              <w:rPr>
                <w:rFonts w:ascii="Arial" w:hAnsi="Arial" w:cs="Arial"/>
                <w:sz w:val="18"/>
                <w:szCs w:val="18"/>
                <w:lang w:val="es-MX" w:eastAsia="es-ES"/>
              </w:rPr>
            </w:pPr>
            <w:r>
              <w:rPr>
                <w:rFonts w:ascii="Arial" w:hAnsi="Arial" w:cs="Arial"/>
                <w:color w:val="000000"/>
                <w:sz w:val="18"/>
                <w:szCs w:val="18"/>
              </w:rPr>
              <w:t xml:space="preserve">         1.417.240 </w:t>
            </w:r>
          </w:p>
        </w:tc>
      </w:tr>
      <w:tr w:rsidR="00B96C6D" w:rsidRPr="00DC6200" w14:paraId="07B2E4F3" w14:textId="5DA0594F" w:rsidTr="003B6C26">
        <w:trPr>
          <w:trHeight w:val="186"/>
        </w:trPr>
        <w:tc>
          <w:tcPr>
            <w:tcW w:w="2862" w:type="pct"/>
            <w:tcMar>
              <w:left w:w="108" w:type="dxa"/>
              <w:right w:w="108" w:type="dxa"/>
            </w:tcMar>
            <w:vAlign w:val="center"/>
          </w:tcPr>
          <w:p w14:paraId="12068D8E" w14:textId="77777777" w:rsidR="00B96C6D" w:rsidRPr="00355711" w:rsidRDefault="00B96C6D" w:rsidP="00B96C6D">
            <w:pPr>
              <w:tabs>
                <w:tab w:val="left" w:pos="142"/>
              </w:tabs>
              <w:jc w:val="both"/>
              <w:rPr>
                <w:rFonts w:ascii="Arial" w:hAnsi="Arial" w:cs="Arial"/>
                <w:sz w:val="18"/>
                <w:szCs w:val="18"/>
              </w:rPr>
            </w:pPr>
            <w:r w:rsidRPr="00355711">
              <w:rPr>
                <w:rFonts w:ascii="Arial" w:hAnsi="Arial" w:cs="Arial"/>
                <w:sz w:val="18"/>
                <w:szCs w:val="18"/>
              </w:rPr>
              <w:t>Efecto de las variaciones del tipo de cambio s/ el efectivo</w:t>
            </w:r>
          </w:p>
        </w:tc>
        <w:tc>
          <w:tcPr>
            <w:tcW w:w="1117" w:type="pct"/>
            <w:tcMar>
              <w:left w:w="108" w:type="dxa"/>
              <w:right w:w="108" w:type="dxa"/>
            </w:tcMar>
            <w:vAlign w:val="bottom"/>
          </w:tcPr>
          <w:p w14:paraId="207144D9" w14:textId="0ADD5CA5" w:rsidR="00B96C6D" w:rsidRPr="00D70BDB" w:rsidRDefault="00B96C6D" w:rsidP="00B96C6D">
            <w:pPr>
              <w:tabs>
                <w:tab w:val="left" w:pos="142"/>
              </w:tabs>
              <w:jc w:val="right"/>
              <w:rPr>
                <w:rFonts w:ascii="Arial" w:hAnsi="Arial" w:cs="Arial"/>
                <w:sz w:val="18"/>
                <w:szCs w:val="18"/>
              </w:rPr>
            </w:pPr>
            <w:r>
              <w:rPr>
                <w:rFonts w:ascii="Arial" w:hAnsi="Arial" w:cs="Arial"/>
                <w:color w:val="000000"/>
                <w:sz w:val="18"/>
                <w:szCs w:val="18"/>
              </w:rPr>
              <w:t>-1.484.469</w:t>
            </w:r>
          </w:p>
        </w:tc>
        <w:tc>
          <w:tcPr>
            <w:tcW w:w="1021" w:type="pct"/>
            <w:vAlign w:val="bottom"/>
          </w:tcPr>
          <w:p w14:paraId="346AFE84" w14:textId="6937D6DE" w:rsidR="00B96C6D" w:rsidRPr="00605783" w:rsidRDefault="00B96C6D" w:rsidP="00B96C6D">
            <w:pPr>
              <w:tabs>
                <w:tab w:val="left" w:pos="142"/>
              </w:tabs>
              <w:jc w:val="right"/>
              <w:rPr>
                <w:rFonts w:ascii="Arial" w:hAnsi="Arial" w:cs="Arial"/>
                <w:b/>
                <w:sz w:val="18"/>
                <w:szCs w:val="18"/>
                <w:lang w:val="es-MX" w:eastAsia="es-ES"/>
              </w:rPr>
            </w:pPr>
            <w:r>
              <w:rPr>
                <w:rFonts w:ascii="Arial" w:hAnsi="Arial" w:cs="Arial"/>
                <w:color w:val="000000"/>
                <w:sz w:val="18"/>
                <w:szCs w:val="18"/>
              </w:rPr>
              <w:t xml:space="preserve">         3.016.493 </w:t>
            </w:r>
          </w:p>
        </w:tc>
      </w:tr>
      <w:tr w:rsidR="00B96C6D" w:rsidRPr="00DC6200" w14:paraId="4FA9205A" w14:textId="6C7A86C5" w:rsidTr="00BA7A6B">
        <w:trPr>
          <w:trHeight w:val="73"/>
        </w:trPr>
        <w:tc>
          <w:tcPr>
            <w:tcW w:w="2862" w:type="pct"/>
            <w:tcMar>
              <w:left w:w="108" w:type="dxa"/>
              <w:right w:w="108" w:type="dxa"/>
            </w:tcMar>
            <w:vAlign w:val="center"/>
          </w:tcPr>
          <w:p w14:paraId="7505ED54" w14:textId="3E6352DB" w:rsidR="00B96C6D" w:rsidRPr="00355711" w:rsidRDefault="00B96C6D" w:rsidP="00B96C6D">
            <w:pPr>
              <w:tabs>
                <w:tab w:val="left" w:pos="142"/>
              </w:tabs>
              <w:jc w:val="both"/>
              <w:rPr>
                <w:rFonts w:ascii="Arial" w:hAnsi="Arial" w:cs="Arial"/>
                <w:b/>
                <w:sz w:val="18"/>
                <w:szCs w:val="18"/>
              </w:rPr>
            </w:pPr>
            <w:r w:rsidRPr="00355711">
              <w:rPr>
                <w:rFonts w:ascii="Arial" w:hAnsi="Arial" w:cs="Arial"/>
                <w:sz w:val="18"/>
                <w:szCs w:val="18"/>
              </w:rPr>
              <w:lastRenderedPageBreak/>
              <w:t xml:space="preserve">Total de Fondos Generados durante el </w:t>
            </w:r>
            <w:r>
              <w:rPr>
                <w:rFonts w:ascii="Arial" w:hAnsi="Arial" w:cs="Arial"/>
                <w:sz w:val="18"/>
                <w:szCs w:val="18"/>
              </w:rPr>
              <w:t>período</w:t>
            </w:r>
          </w:p>
        </w:tc>
        <w:tc>
          <w:tcPr>
            <w:tcW w:w="1117" w:type="pct"/>
            <w:tcMar>
              <w:left w:w="108" w:type="dxa"/>
              <w:right w:w="108" w:type="dxa"/>
            </w:tcMar>
            <w:vAlign w:val="bottom"/>
          </w:tcPr>
          <w:p w14:paraId="7F6EB269" w14:textId="1E3AF3F1" w:rsidR="00B96C6D" w:rsidRPr="00D70BDB" w:rsidRDefault="00B96C6D" w:rsidP="00B96C6D">
            <w:pPr>
              <w:tabs>
                <w:tab w:val="left" w:pos="142"/>
              </w:tabs>
              <w:jc w:val="right"/>
              <w:rPr>
                <w:rFonts w:ascii="Arial" w:hAnsi="Arial" w:cs="Arial"/>
                <w:b/>
                <w:sz w:val="18"/>
                <w:szCs w:val="18"/>
                <w:lang w:val="es-MX"/>
              </w:rPr>
            </w:pPr>
            <w:r>
              <w:rPr>
                <w:rFonts w:ascii="Arial" w:hAnsi="Arial" w:cs="Arial"/>
                <w:color w:val="000000"/>
                <w:sz w:val="18"/>
                <w:szCs w:val="18"/>
              </w:rPr>
              <w:t>7.238.896</w:t>
            </w:r>
          </w:p>
        </w:tc>
        <w:tc>
          <w:tcPr>
            <w:tcW w:w="1021" w:type="pct"/>
            <w:vAlign w:val="bottom"/>
          </w:tcPr>
          <w:p w14:paraId="54BF72EF" w14:textId="56AD309A" w:rsidR="00B96C6D" w:rsidRPr="00D70BDB" w:rsidRDefault="00B96C6D" w:rsidP="00B96C6D">
            <w:pPr>
              <w:tabs>
                <w:tab w:val="left" w:pos="142"/>
              </w:tabs>
              <w:jc w:val="right"/>
              <w:rPr>
                <w:rFonts w:ascii="Arial" w:hAnsi="Arial" w:cs="Arial"/>
                <w:b/>
                <w:sz w:val="18"/>
                <w:szCs w:val="18"/>
                <w:lang w:val="es-MX" w:eastAsia="es-ES"/>
              </w:rPr>
            </w:pPr>
            <w:r>
              <w:rPr>
                <w:rFonts w:ascii="Arial" w:hAnsi="Arial" w:cs="Arial"/>
                <w:color w:val="000000"/>
                <w:sz w:val="18"/>
                <w:szCs w:val="18"/>
              </w:rPr>
              <w:t xml:space="preserve">      10.859.447 </w:t>
            </w:r>
          </w:p>
        </w:tc>
      </w:tr>
    </w:tbl>
    <w:p w14:paraId="264AFB42" w14:textId="77777777" w:rsidR="00B87D37" w:rsidRPr="00355711" w:rsidRDefault="00B87D37" w:rsidP="00B87D37">
      <w:pPr>
        <w:tabs>
          <w:tab w:val="left" w:pos="142"/>
        </w:tabs>
        <w:jc w:val="both"/>
        <w:rPr>
          <w:rFonts w:ascii="Arial" w:hAnsi="Arial" w:cs="Arial"/>
          <w:sz w:val="18"/>
          <w:szCs w:val="18"/>
        </w:rPr>
      </w:pPr>
    </w:p>
    <w:p w14:paraId="2595CF4C" w14:textId="77777777" w:rsidR="00B87D37" w:rsidRPr="00701F32" w:rsidRDefault="00B87D37" w:rsidP="00B87D37">
      <w:pPr>
        <w:tabs>
          <w:tab w:val="left" w:pos="142"/>
        </w:tabs>
        <w:jc w:val="both"/>
        <w:rPr>
          <w:rFonts w:ascii="Arial" w:hAnsi="Arial" w:cs="Arial"/>
          <w:sz w:val="20"/>
        </w:rPr>
      </w:pPr>
    </w:p>
    <w:p w14:paraId="7F3E528C" w14:textId="55D95BE5" w:rsidR="00B87D37" w:rsidRPr="00803805" w:rsidRDefault="00B87D37" w:rsidP="00B87D37">
      <w:pPr>
        <w:tabs>
          <w:tab w:val="left" w:pos="142"/>
        </w:tabs>
        <w:jc w:val="both"/>
        <w:rPr>
          <w:rFonts w:ascii="Arial" w:hAnsi="Arial" w:cs="Arial"/>
          <w:sz w:val="20"/>
          <w:u w:val="single"/>
        </w:rPr>
      </w:pPr>
      <w:r w:rsidRPr="00803805">
        <w:rPr>
          <w:rFonts w:ascii="Arial" w:hAnsi="Arial" w:cs="Arial"/>
          <w:sz w:val="20"/>
          <w:u w:val="single"/>
        </w:rPr>
        <w:t>Datos estadísticos</w:t>
      </w:r>
    </w:p>
    <w:p w14:paraId="14F1D10E" w14:textId="77777777" w:rsidR="00B87D37" w:rsidRPr="00803805" w:rsidRDefault="00B87D37" w:rsidP="00B87D37">
      <w:pPr>
        <w:tabs>
          <w:tab w:val="left" w:pos="142"/>
        </w:tabs>
        <w:jc w:val="both"/>
        <w:rPr>
          <w:rFonts w:ascii="Arial" w:hAnsi="Arial" w:cs="Arial"/>
          <w:sz w:val="20"/>
        </w:rPr>
      </w:pPr>
    </w:p>
    <w:tbl>
      <w:tblPr>
        <w:tblW w:w="4409"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287"/>
        <w:gridCol w:w="1670"/>
        <w:gridCol w:w="1534"/>
      </w:tblGrid>
      <w:tr w:rsidR="00CF42B5" w:rsidRPr="00803805" w14:paraId="51D28C00" w14:textId="3E37970E" w:rsidTr="002804F4">
        <w:trPr>
          <w:trHeight w:val="248"/>
          <w:tblHeader/>
        </w:trPr>
        <w:tc>
          <w:tcPr>
            <w:tcW w:w="2861" w:type="pct"/>
            <w:tcMar>
              <w:left w:w="108" w:type="dxa"/>
              <w:right w:w="108" w:type="dxa"/>
            </w:tcMar>
            <w:vAlign w:val="center"/>
          </w:tcPr>
          <w:p w14:paraId="1BEDB3DF" w14:textId="77777777" w:rsidR="00CF42B5" w:rsidRPr="00803805" w:rsidRDefault="00CF42B5" w:rsidP="00CF42B5">
            <w:pPr>
              <w:tabs>
                <w:tab w:val="left" w:pos="142"/>
              </w:tabs>
              <w:jc w:val="both"/>
              <w:rPr>
                <w:rFonts w:ascii="Arial" w:hAnsi="Arial" w:cs="Arial"/>
                <w:b/>
                <w:sz w:val="18"/>
                <w:szCs w:val="18"/>
              </w:rPr>
            </w:pPr>
            <w:r w:rsidRPr="00803805">
              <w:rPr>
                <w:rFonts w:ascii="Arial" w:hAnsi="Arial" w:cs="Arial"/>
                <w:b/>
                <w:sz w:val="18"/>
                <w:szCs w:val="18"/>
              </w:rPr>
              <w:t xml:space="preserve">Cantidades de préstamos otorgados </w:t>
            </w:r>
          </w:p>
        </w:tc>
        <w:tc>
          <w:tcPr>
            <w:tcW w:w="1115" w:type="pct"/>
            <w:tcMar>
              <w:left w:w="108" w:type="dxa"/>
              <w:right w:w="108" w:type="dxa"/>
            </w:tcMar>
            <w:vAlign w:val="bottom"/>
          </w:tcPr>
          <w:p w14:paraId="091A24D1" w14:textId="10929D34" w:rsidR="00CF42B5" w:rsidRPr="00803805" w:rsidRDefault="00CF42B5" w:rsidP="00CF42B5">
            <w:pPr>
              <w:tabs>
                <w:tab w:val="left" w:pos="142"/>
              </w:tabs>
              <w:jc w:val="center"/>
              <w:rPr>
                <w:rFonts w:ascii="Arial" w:hAnsi="Arial" w:cs="Arial"/>
                <w:b/>
                <w:sz w:val="18"/>
                <w:szCs w:val="18"/>
              </w:rPr>
            </w:pPr>
            <w:r>
              <w:rPr>
                <w:rFonts w:ascii="Arial" w:hAnsi="Arial" w:cs="Arial"/>
                <w:b/>
                <w:bCs/>
                <w:color w:val="000000"/>
                <w:sz w:val="18"/>
                <w:szCs w:val="18"/>
              </w:rPr>
              <w:t>31/03/2020</w:t>
            </w:r>
          </w:p>
        </w:tc>
        <w:tc>
          <w:tcPr>
            <w:tcW w:w="1024" w:type="pct"/>
            <w:vAlign w:val="bottom"/>
          </w:tcPr>
          <w:p w14:paraId="4B031F3F" w14:textId="63A82BE4" w:rsidR="00CF42B5" w:rsidRPr="00803805" w:rsidRDefault="00CF42B5" w:rsidP="00CF42B5">
            <w:pPr>
              <w:jc w:val="center"/>
              <w:rPr>
                <w:rFonts w:ascii="Arial" w:hAnsi="Arial" w:cs="Arial"/>
                <w:sz w:val="18"/>
                <w:szCs w:val="18"/>
                <w:lang w:val="es-ES" w:eastAsia="es-ES"/>
              </w:rPr>
            </w:pPr>
            <w:r>
              <w:rPr>
                <w:rFonts w:ascii="Arial" w:hAnsi="Arial" w:cs="Arial"/>
                <w:b/>
                <w:bCs/>
                <w:color w:val="000000"/>
                <w:sz w:val="18"/>
                <w:szCs w:val="18"/>
              </w:rPr>
              <w:t>31/03/2019</w:t>
            </w:r>
          </w:p>
        </w:tc>
      </w:tr>
      <w:tr w:rsidR="00C04A66" w:rsidRPr="00803805" w14:paraId="100C8024" w14:textId="331E209E" w:rsidTr="00C04A66">
        <w:trPr>
          <w:trHeight w:val="244"/>
        </w:trPr>
        <w:tc>
          <w:tcPr>
            <w:tcW w:w="2861" w:type="pct"/>
            <w:tcMar>
              <w:left w:w="108" w:type="dxa"/>
              <w:right w:w="108" w:type="dxa"/>
            </w:tcMar>
            <w:vAlign w:val="bottom"/>
          </w:tcPr>
          <w:p w14:paraId="1551CD38" w14:textId="77777777" w:rsidR="00C04A66" w:rsidRPr="00803805" w:rsidRDefault="00C04A66" w:rsidP="00C04A66">
            <w:pPr>
              <w:tabs>
                <w:tab w:val="left" w:pos="142"/>
              </w:tabs>
              <w:rPr>
                <w:rFonts w:ascii="Arial" w:hAnsi="Arial" w:cs="Arial"/>
                <w:sz w:val="18"/>
                <w:szCs w:val="18"/>
              </w:rPr>
            </w:pPr>
            <w:r w:rsidRPr="00803805">
              <w:rPr>
                <w:rFonts w:ascii="Arial" w:hAnsi="Arial" w:cs="Arial"/>
                <w:sz w:val="18"/>
                <w:szCs w:val="18"/>
              </w:rPr>
              <w:t xml:space="preserve">Préstamos Personales </w:t>
            </w:r>
          </w:p>
        </w:tc>
        <w:tc>
          <w:tcPr>
            <w:tcW w:w="1115" w:type="pct"/>
            <w:tcMar>
              <w:left w:w="108" w:type="dxa"/>
              <w:right w:w="108" w:type="dxa"/>
            </w:tcMar>
            <w:vAlign w:val="bottom"/>
          </w:tcPr>
          <w:p w14:paraId="7E3AA26D" w14:textId="17C4C281" w:rsidR="00C04A66" w:rsidRPr="00605783" w:rsidRDefault="00C04A66" w:rsidP="00C04A66">
            <w:pPr>
              <w:jc w:val="right"/>
              <w:rPr>
                <w:rFonts w:ascii="Arial" w:hAnsi="Arial" w:cs="Arial"/>
                <w:sz w:val="18"/>
                <w:szCs w:val="18"/>
              </w:rPr>
            </w:pPr>
            <w:r>
              <w:rPr>
                <w:rFonts w:ascii="Arial" w:hAnsi="Arial" w:cs="Arial"/>
                <w:color w:val="000000"/>
                <w:sz w:val="18"/>
                <w:szCs w:val="18"/>
              </w:rPr>
              <w:t>249.216</w:t>
            </w:r>
          </w:p>
        </w:tc>
        <w:tc>
          <w:tcPr>
            <w:tcW w:w="1024" w:type="pct"/>
            <w:vAlign w:val="bottom"/>
          </w:tcPr>
          <w:p w14:paraId="2A761B92" w14:textId="60DCBE33" w:rsidR="00C04A66" w:rsidRPr="00605783" w:rsidRDefault="00C04A66" w:rsidP="00C04A66">
            <w:pPr>
              <w:tabs>
                <w:tab w:val="left" w:pos="142"/>
              </w:tabs>
              <w:jc w:val="right"/>
              <w:rPr>
                <w:rFonts w:ascii="Arial" w:hAnsi="Arial" w:cs="Arial"/>
                <w:sz w:val="18"/>
                <w:szCs w:val="18"/>
                <w:lang w:val="es-MX" w:eastAsia="es-ES"/>
              </w:rPr>
            </w:pPr>
            <w:r>
              <w:rPr>
                <w:rFonts w:ascii="Arial" w:hAnsi="Arial" w:cs="Arial"/>
                <w:color w:val="000000"/>
                <w:sz w:val="18"/>
                <w:szCs w:val="18"/>
              </w:rPr>
              <w:t xml:space="preserve">            447.948 </w:t>
            </w:r>
          </w:p>
        </w:tc>
      </w:tr>
      <w:tr w:rsidR="00C04A66" w:rsidRPr="00DC6200" w14:paraId="2CFD0892" w14:textId="22982D40" w:rsidTr="00C04A66">
        <w:trPr>
          <w:trHeight w:val="228"/>
        </w:trPr>
        <w:tc>
          <w:tcPr>
            <w:tcW w:w="2861" w:type="pct"/>
            <w:tcMar>
              <w:left w:w="108" w:type="dxa"/>
              <w:right w:w="108" w:type="dxa"/>
            </w:tcMar>
            <w:vAlign w:val="bottom"/>
          </w:tcPr>
          <w:p w14:paraId="4A9C9F39" w14:textId="77777777" w:rsidR="00C04A66" w:rsidRPr="00803805" w:rsidRDefault="00C04A66" w:rsidP="00C04A66">
            <w:pPr>
              <w:tabs>
                <w:tab w:val="left" w:pos="142"/>
              </w:tabs>
              <w:jc w:val="both"/>
              <w:rPr>
                <w:rFonts w:ascii="Arial" w:hAnsi="Arial" w:cs="Arial"/>
                <w:sz w:val="18"/>
                <w:szCs w:val="18"/>
              </w:rPr>
            </w:pPr>
            <w:r w:rsidRPr="00803805">
              <w:rPr>
                <w:rFonts w:ascii="Arial" w:hAnsi="Arial" w:cs="Arial"/>
                <w:sz w:val="18"/>
                <w:szCs w:val="18"/>
              </w:rPr>
              <w:t>Tarjetas de Crédito (Titulares)</w:t>
            </w:r>
          </w:p>
        </w:tc>
        <w:tc>
          <w:tcPr>
            <w:tcW w:w="1115" w:type="pct"/>
            <w:tcMar>
              <w:left w:w="108" w:type="dxa"/>
              <w:right w:w="108" w:type="dxa"/>
            </w:tcMar>
            <w:vAlign w:val="bottom"/>
          </w:tcPr>
          <w:p w14:paraId="759525BF" w14:textId="4628012E" w:rsidR="00C04A66" w:rsidRPr="00605783" w:rsidRDefault="00C04A66" w:rsidP="00C04A66">
            <w:pPr>
              <w:jc w:val="right"/>
              <w:rPr>
                <w:rFonts w:ascii="Arial" w:hAnsi="Arial" w:cs="Arial"/>
                <w:sz w:val="18"/>
                <w:szCs w:val="18"/>
              </w:rPr>
            </w:pPr>
            <w:r>
              <w:rPr>
                <w:rFonts w:ascii="Arial" w:hAnsi="Arial" w:cs="Arial"/>
                <w:color w:val="000000"/>
                <w:sz w:val="18"/>
                <w:szCs w:val="18"/>
              </w:rPr>
              <w:t>186.824</w:t>
            </w:r>
          </w:p>
        </w:tc>
        <w:tc>
          <w:tcPr>
            <w:tcW w:w="1024" w:type="pct"/>
            <w:vAlign w:val="bottom"/>
          </w:tcPr>
          <w:p w14:paraId="75D5FAA2" w14:textId="3BD8CB35" w:rsidR="00C04A66" w:rsidRPr="00605783" w:rsidRDefault="00C04A66" w:rsidP="00C04A66">
            <w:pPr>
              <w:tabs>
                <w:tab w:val="left" w:pos="142"/>
              </w:tabs>
              <w:jc w:val="right"/>
              <w:rPr>
                <w:rFonts w:ascii="Arial" w:hAnsi="Arial" w:cs="Arial"/>
                <w:sz w:val="18"/>
                <w:szCs w:val="18"/>
                <w:lang w:val="es-MX" w:eastAsia="es-ES"/>
              </w:rPr>
            </w:pPr>
            <w:r>
              <w:rPr>
                <w:rFonts w:ascii="Arial" w:hAnsi="Arial" w:cs="Arial"/>
                <w:color w:val="000000"/>
                <w:sz w:val="18"/>
                <w:szCs w:val="18"/>
              </w:rPr>
              <w:t xml:space="preserve">            256.624 </w:t>
            </w:r>
          </w:p>
        </w:tc>
      </w:tr>
    </w:tbl>
    <w:p w14:paraId="36FE6ECB" w14:textId="77777777" w:rsidR="00B87D37" w:rsidRPr="00701F32" w:rsidRDefault="00B87D37" w:rsidP="00B87D37">
      <w:pPr>
        <w:tabs>
          <w:tab w:val="left" w:pos="142"/>
        </w:tabs>
        <w:jc w:val="both"/>
        <w:rPr>
          <w:rFonts w:ascii="Arial" w:hAnsi="Arial" w:cs="Arial"/>
          <w:sz w:val="20"/>
        </w:rPr>
      </w:pPr>
    </w:p>
    <w:p w14:paraId="59ED2628" w14:textId="0EA741D4" w:rsidR="00B87D37" w:rsidRPr="00701F32" w:rsidRDefault="00BE29BE" w:rsidP="00B87D37">
      <w:pPr>
        <w:tabs>
          <w:tab w:val="left" w:pos="142"/>
          <w:tab w:val="left" w:pos="284"/>
          <w:tab w:val="left" w:pos="567"/>
        </w:tabs>
        <w:jc w:val="both"/>
        <w:rPr>
          <w:rFonts w:ascii="Arial" w:hAnsi="Arial" w:cs="Arial"/>
          <w:sz w:val="20"/>
          <w:u w:val="single"/>
        </w:rPr>
      </w:pPr>
      <w:r w:rsidRPr="00701F32">
        <w:rPr>
          <w:rFonts w:ascii="Arial" w:hAnsi="Arial" w:cs="Arial"/>
          <w:sz w:val="20"/>
          <w:u w:val="single"/>
        </w:rPr>
        <w:t>Índices</w:t>
      </w:r>
      <w:r w:rsidR="00B87D37" w:rsidRPr="00701F32">
        <w:rPr>
          <w:rFonts w:ascii="Arial" w:hAnsi="Arial" w:cs="Arial"/>
          <w:sz w:val="20"/>
          <w:u w:val="single"/>
        </w:rPr>
        <w:t xml:space="preserve"> financieros y patrimoniales (en porcentaje)</w:t>
      </w:r>
    </w:p>
    <w:p w14:paraId="79DDB727" w14:textId="77777777" w:rsidR="00B87D37" w:rsidRPr="00701F32" w:rsidRDefault="00B87D37" w:rsidP="00B87D37">
      <w:pPr>
        <w:tabs>
          <w:tab w:val="left" w:pos="142"/>
        </w:tabs>
        <w:jc w:val="both"/>
        <w:rPr>
          <w:rFonts w:ascii="Arial" w:hAnsi="Arial" w:cs="Arial"/>
          <w:sz w:val="20"/>
        </w:rPr>
      </w:pPr>
    </w:p>
    <w:tbl>
      <w:tblPr>
        <w:tblW w:w="7621" w:type="dxa"/>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361"/>
        <w:gridCol w:w="1701"/>
        <w:gridCol w:w="1559"/>
      </w:tblGrid>
      <w:tr w:rsidR="00CF42B5" w:rsidRPr="00803805" w14:paraId="58E2A1B1" w14:textId="154E9C34" w:rsidTr="002804F4">
        <w:trPr>
          <w:trHeight w:val="325"/>
          <w:tblHeader/>
        </w:trPr>
        <w:tc>
          <w:tcPr>
            <w:tcW w:w="4361" w:type="dxa"/>
            <w:tcMar>
              <w:left w:w="108" w:type="dxa"/>
              <w:right w:w="108" w:type="dxa"/>
            </w:tcMar>
            <w:vAlign w:val="center"/>
          </w:tcPr>
          <w:p w14:paraId="49C83F37" w14:textId="77777777" w:rsidR="00CF42B5" w:rsidRPr="00803805" w:rsidRDefault="00CF42B5" w:rsidP="00CF42B5">
            <w:pPr>
              <w:tabs>
                <w:tab w:val="left" w:pos="142"/>
              </w:tabs>
              <w:jc w:val="both"/>
              <w:rPr>
                <w:rFonts w:ascii="Arial" w:hAnsi="Arial" w:cs="Arial"/>
                <w:b/>
                <w:sz w:val="18"/>
              </w:rPr>
            </w:pPr>
            <w:r w:rsidRPr="00803805">
              <w:rPr>
                <w:rFonts w:ascii="Arial" w:hAnsi="Arial" w:cs="Arial"/>
                <w:b/>
                <w:sz w:val="18"/>
              </w:rPr>
              <w:t>Ratio</w:t>
            </w:r>
          </w:p>
        </w:tc>
        <w:tc>
          <w:tcPr>
            <w:tcW w:w="1701" w:type="dxa"/>
            <w:tcMar>
              <w:left w:w="108" w:type="dxa"/>
              <w:right w:w="108" w:type="dxa"/>
            </w:tcMar>
            <w:vAlign w:val="bottom"/>
          </w:tcPr>
          <w:p w14:paraId="222DF820" w14:textId="45846876" w:rsidR="00CF42B5" w:rsidRPr="00803805" w:rsidRDefault="00CF42B5" w:rsidP="00CF42B5">
            <w:pPr>
              <w:tabs>
                <w:tab w:val="left" w:pos="142"/>
              </w:tabs>
              <w:jc w:val="center"/>
              <w:rPr>
                <w:rFonts w:ascii="Arial" w:hAnsi="Arial" w:cs="Arial"/>
                <w:b/>
                <w:sz w:val="18"/>
              </w:rPr>
            </w:pPr>
            <w:r>
              <w:rPr>
                <w:rFonts w:ascii="Arial" w:hAnsi="Arial" w:cs="Arial"/>
                <w:b/>
                <w:bCs/>
                <w:color w:val="000000"/>
                <w:sz w:val="18"/>
                <w:szCs w:val="18"/>
              </w:rPr>
              <w:t>31/03/2020</w:t>
            </w:r>
          </w:p>
        </w:tc>
        <w:tc>
          <w:tcPr>
            <w:tcW w:w="1559" w:type="dxa"/>
            <w:vAlign w:val="bottom"/>
          </w:tcPr>
          <w:p w14:paraId="5894A09E" w14:textId="6AA5E780" w:rsidR="00CF42B5" w:rsidRPr="00803805" w:rsidRDefault="00CF42B5" w:rsidP="00CF42B5">
            <w:pPr>
              <w:jc w:val="center"/>
              <w:rPr>
                <w:rFonts w:ascii="Arial" w:hAnsi="Arial" w:cs="Arial"/>
                <w:sz w:val="18"/>
                <w:lang w:val="es-ES" w:eastAsia="es-ES"/>
              </w:rPr>
            </w:pPr>
            <w:r>
              <w:rPr>
                <w:rFonts w:ascii="Arial" w:hAnsi="Arial" w:cs="Arial"/>
                <w:b/>
                <w:bCs/>
                <w:color w:val="000000"/>
                <w:sz w:val="18"/>
                <w:szCs w:val="18"/>
              </w:rPr>
              <w:t>31/03/2019</w:t>
            </w:r>
          </w:p>
        </w:tc>
      </w:tr>
      <w:tr w:rsidR="00CF42B5" w:rsidRPr="00605783" w14:paraId="364A2132" w14:textId="23985029" w:rsidTr="00CF42B5">
        <w:trPr>
          <w:trHeight w:val="234"/>
        </w:trPr>
        <w:tc>
          <w:tcPr>
            <w:tcW w:w="4361" w:type="dxa"/>
            <w:tcMar>
              <w:left w:w="108" w:type="dxa"/>
              <w:right w:w="108" w:type="dxa"/>
            </w:tcMar>
            <w:vAlign w:val="bottom"/>
          </w:tcPr>
          <w:p w14:paraId="0961EA68" w14:textId="77777777" w:rsidR="00CF42B5" w:rsidRPr="00605783" w:rsidRDefault="00CF42B5" w:rsidP="00CF42B5">
            <w:pPr>
              <w:tabs>
                <w:tab w:val="left" w:pos="142"/>
              </w:tabs>
              <w:rPr>
                <w:rFonts w:ascii="Arial" w:hAnsi="Arial" w:cs="Arial"/>
                <w:sz w:val="18"/>
                <w:szCs w:val="18"/>
              </w:rPr>
            </w:pPr>
            <w:r w:rsidRPr="00605783">
              <w:rPr>
                <w:rFonts w:ascii="Arial" w:hAnsi="Arial" w:cs="Arial"/>
                <w:sz w:val="18"/>
                <w:szCs w:val="18"/>
              </w:rPr>
              <w:t>Liquidez (1)</w:t>
            </w:r>
          </w:p>
        </w:tc>
        <w:tc>
          <w:tcPr>
            <w:tcW w:w="1701" w:type="dxa"/>
            <w:tcMar>
              <w:left w:w="108" w:type="dxa"/>
              <w:right w:w="108" w:type="dxa"/>
            </w:tcMar>
          </w:tcPr>
          <w:p w14:paraId="0C6A48DD" w14:textId="0A182F34" w:rsidR="00CF42B5" w:rsidRPr="00D70BDB" w:rsidRDefault="00124DDB" w:rsidP="00CF42B5">
            <w:pPr>
              <w:jc w:val="right"/>
              <w:rPr>
                <w:rFonts w:ascii="Arial" w:hAnsi="Arial" w:cs="Arial"/>
                <w:sz w:val="18"/>
                <w:szCs w:val="18"/>
                <w:highlight w:val="yellow"/>
              </w:rPr>
            </w:pPr>
            <w:r w:rsidRPr="00124DDB">
              <w:rPr>
                <w:rFonts w:ascii="Arial" w:hAnsi="Arial" w:cs="Arial"/>
                <w:sz w:val="18"/>
                <w:szCs w:val="18"/>
              </w:rPr>
              <w:t>130,25</w:t>
            </w:r>
            <w:r w:rsidR="00C60893">
              <w:rPr>
                <w:rFonts w:ascii="Arial" w:hAnsi="Arial" w:cs="Arial"/>
                <w:sz w:val="18"/>
                <w:szCs w:val="18"/>
              </w:rPr>
              <w:t>%</w:t>
            </w:r>
          </w:p>
        </w:tc>
        <w:tc>
          <w:tcPr>
            <w:tcW w:w="1559" w:type="dxa"/>
            <w:vAlign w:val="bottom"/>
          </w:tcPr>
          <w:p w14:paraId="6479F8C9" w14:textId="4C74B749" w:rsidR="00CF42B5" w:rsidRPr="00605783" w:rsidRDefault="00CF42B5" w:rsidP="00CF42B5">
            <w:pPr>
              <w:jc w:val="right"/>
              <w:rPr>
                <w:rFonts w:ascii="Arial" w:hAnsi="Arial" w:cs="Arial"/>
                <w:sz w:val="18"/>
                <w:szCs w:val="18"/>
                <w:lang w:val="es-ES_tradnl" w:eastAsia="es-ES"/>
              </w:rPr>
            </w:pPr>
            <w:r>
              <w:rPr>
                <w:rFonts w:ascii="Arial" w:hAnsi="Arial" w:cs="Arial"/>
                <w:color w:val="000000"/>
                <w:sz w:val="18"/>
                <w:szCs w:val="18"/>
              </w:rPr>
              <w:t>143,61%</w:t>
            </w:r>
          </w:p>
        </w:tc>
      </w:tr>
      <w:tr w:rsidR="00CF42B5" w:rsidRPr="00605783" w14:paraId="0E0BFCE7" w14:textId="541D2580" w:rsidTr="00CF42B5">
        <w:trPr>
          <w:trHeight w:val="219"/>
        </w:trPr>
        <w:tc>
          <w:tcPr>
            <w:tcW w:w="4361" w:type="dxa"/>
            <w:tcMar>
              <w:left w:w="108" w:type="dxa"/>
              <w:right w:w="108" w:type="dxa"/>
            </w:tcMar>
            <w:vAlign w:val="bottom"/>
          </w:tcPr>
          <w:p w14:paraId="54E83D66" w14:textId="77777777" w:rsidR="00CF42B5" w:rsidRPr="00605783" w:rsidRDefault="00CF42B5" w:rsidP="00CF42B5">
            <w:pPr>
              <w:tabs>
                <w:tab w:val="left" w:pos="142"/>
              </w:tabs>
              <w:jc w:val="both"/>
              <w:rPr>
                <w:rFonts w:ascii="Arial" w:hAnsi="Arial" w:cs="Arial"/>
                <w:sz w:val="18"/>
                <w:szCs w:val="18"/>
              </w:rPr>
            </w:pPr>
            <w:r w:rsidRPr="00605783">
              <w:rPr>
                <w:rFonts w:ascii="Arial" w:hAnsi="Arial" w:cs="Arial"/>
                <w:sz w:val="18"/>
                <w:szCs w:val="18"/>
              </w:rPr>
              <w:t>Solvencia (2)</w:t>
            </w:r>
          </w:p>
        </w:tc>
        <w:tc>
          <w:tcPr>
            <w:tcW w:w="1701" w:type="dxa"/>
            <w:tcMar>
              <w:left w:w="108" w:type="dxa"/>
              <w:right w:w="108" w:type="dxa"/>
            </w:tcMar>
          </w:tcPr>
          <w:p w14:paraId="6C8861C5" w14:textId="42049B5C" w:rsidR="00CF42B5" w:rsidRPr="00D70BDB" w:rsidRDefault="00CF42B5" w:rsidP="00CF42B5">
            <w:pPr>
              <w:jc w:val="right"/>
              <w:rPr>
                <w:rFonts w:ascii="Arial" w:hAnsi="Arial" w:cs="Arial"/>
                <w:sz w:val="18"/>
                <w:szCs w:val="18"/>
                <w:highlight w:val="yellow"/>
              </w:rPr>
            </w:pPr>
            <w:r w:rsidRPr="00D27915">
              <w:rPr>
                <w:rFonts w:ascii="Arial" w:hAnsi="Arial" w:cs="Arial"/>
                <w:sz w:val="18"/>
                <w:szCs w:val="18"/>
              </w:rPr>
              <w:t>11,85%</w:t>
            </w:r>
          </w:p>
        </w:tc>
        <w:tc>
          <w:tcPr>
            <w:tcW w:w="1559" w:type="dxa"/>
            <w:vAlign w:val="bottom"/>
          </w:tcPr>
          <w:p w14:paraId="471BBC1A" w14:textId="3939EC69" w:rsidR="00CF42B5" w:rsidRPr="00605783" w:rsidRDefault="00CF42B5" w:rsidP="00CF42B5">
            <w:pPr>
              <w:jc w:val="right"/>
              <w:rPr>
                <w:rFonts w:ascii="Arial" w:hAnsi="Arial" w:cs="Arial"/>
                <w:sz w:val="18"/>
                <w:szCs w:val="18"/>
                <w:lang w:val="es-ES_tradnl" w:eastAsia="es-ES"/>
              </w:rPr>
            </w:pPr>
            <w:r>
              <w:rPr>
                <w:rFonts w:ascii="Arial" w:hAnsi="Arial" w:cs="Arial"/>
                <w:color w:val="000000"/>
                <w:sz w:val="18"/>
                <w:szCs w:val="18"/>
              </w:rPr>
              <w:t>9,28%</w:t>
            </w:r>
          </w:p>
        </w:tc>
      </w:tr>
      <w:tr w:rsidR="00CF42B5" w:rsidRPr="00605783" w14:paraId="5DB53D51" w14:textId="61E0679C" w:rsidTr="00CF42B5">
        <w:trPr>
          <w:trHeight w:val="219"/>
        </w:trPr>
        <w:tc>
          <w:tcPr>
            <w:tcW w:w="4361" w:type="dxa"/>
            <w:tcMar>
              <w:left w:w="108" w:type="dxa"/>
              <w:right w:w="108" w:type="dxa"/>
            </w:tcMar>
            <w:vAlign w:val="bottom"/>
          </w:tcPr>
          <w:p w14:paraId="7CF1DA05" w14:textId="77777777" w:rsidR="00CF42B5" w:rsidRPr="00605783" w:rsidRDefault="00CF42B5" w:rsidP="00CF42B5">
            <w:pPr>
              <w:tabs>
                <w:tab w:val="left" w:pos="142"/>
              </w:tabs>
              <w:jc w:val="both"/>
              <w:rPr>
                <w:rFonts w:ascii="Arial" w:hAnsi="Arial" w:cs="Arial"/>
                <w:sz w:val="18"/>
                <w:szCs w:val="18"/>
              </w:rPr>
            </w:pPr>
            <w:r w:rsidRPr="00605783">
              <w:rPr>
                <w:rFonts w:ascii="Arial" w:hAnsi="Arial" w:cs="Arial"/>
                <w:sz w:val="18"/>
                <w:szCs w:val="18"/>
              </w:rPr>
              <w:t>Activos Inmovilizados (3)</w:t>
            </w:r>
          </w:p>
        </w:tc>
        <w:tc>
          <w:tcPr>
            <w:tcW w:w="1701" w:type="dxa"/>
            <w:tcMar>
              <w:left w:w="108" w:type="dxa"/>
              <w:right w:w="108" w:type="dxa"/>
            </w:tcMar>
          </w:tcPr>
          <w:p w14:paraId="6545E32E" w14:textId="29A73784" w:rsidR="00CF42B5" w:rsidRPr="00D70BDB" w:rsidRDefault="00CF42B5" w:rsidP="00CF42B5">
            <w:pPr>
              <w:jc w:val="right"/>
              <w:rPr>
                <w:rFonts w:ascii="Arial" w:hAnsi="Arial" w:cs="Arial"/>
                <w:sz w:val="18"/>
                <w:szCs w:val="18"/>
                <w:highlight w:val="yellow"/>
              </w:rPr>
            </w:pPr>
            <w:r w:rsidRPr="00D27915">
              <w:rPr>
                <w:rFonts w:ascii="Arial" w:hAnsi="Arial" w:cs="Arial"/>
                <w:sz w:val="18"/>
                <w:szCs w:val="18"/>
              </w:rPr>
              <w:t>7,73%</w:t>
            </w:r>
          </w:p>
        </w:tc>
        <w:tc>
          <w:tcPr>
            <w:tcW w:w="1559" w:type="dxa"/>
            <w:vAlign w:val="bottom"/>
          </w:tcPr>
          <w:p w14:paraId="4529552B" w14:textId="76833812" w:rsidR="00CF42B5" w:rsidRPr="00605783" w:rsidRDefault="00CF42B5" w:rsidP="00CF42B5">
            <w:pPr>
              <w:jc w:val="right"/>
              <w:rPr>
                <w:rFonts w:ascii="Arial" w:hAnsi="Arial" w:cs="Arial"/>
                <w:sz w:val="18"/>
                <w:szCs w:val="18"/>
                <w:lang w:val="es-ES_tradnl" w:eastAsia="es-ES"/>
              </w:rPr>
            </w:pPr>
            <w:r>
              <w:rPr>
                <w:rFonts w:ascii="Arial" w:hAnsi="Arial" w:cs="Arial"/>
                <w:color w:val="000000"/>
                <w:sz w:val="18"/>
                <w:szCs w:val="18"/>
              </w:rPr>
              <w:t>5,39%</w:t>
            </w:r>
          </w:p>
        </w:tc>
      </w:tr>
    </w:tbl>
    <w:p w14:paraId="5E4B8C71" w14:textId="77777777" w:rsidR="00CA188D" w:rsidRPr="00211162" w:rsidRDefault="00CA188D" w:rsidP="00627289">
      <w:pPr>
        <w:numPr>
          <w:ilvl w:val="0"/>
          <w:numId w:val="33"/>
        </w:numPr>
        <w:tabs>
          <w:tab w:val="left" w:pos="142"/>
        </w:tabs>
        <w:ind w:left="786"/>
        <w:contextualSpacing/>
        <w:jc w:val="both"/>
        <w:rPr>
          <w:rFonts w:ascii="Arial" w:hAnsi="Arial" w:cs="Arial"/>
          <w:sz w:val="16"/>
          <w:szCs w:val="18"/>
          <w:lang w:eastAsia="es-AR"/>
        </w:rPr>
      </w:pPr>
      <w:r w:rsidRPr="00211162">
        <w:rPr>
          <w:rFonts w:ascii="Arial" w:hAnsi="Arial" w:cs="Arial"/>
          <w:sz w:val="16"/>
          <w:szCs w:val="18"/>
          <w:lang w:eastAsia="es-AR"/>
        </w:rPr>
        <w:t>Ratio de Cobertura de Liquidez</w:t>
      </w:r>
    </w:p>
    <w:p w14:paraId="03661073" w14:textId="77777777" w:rsidR="00280079" w:rsidRPr="00836A9D" w:rsidRDefault="00A2015D" w:rsidP="00627289">
      <w:pPr>
        <w:numPr>
          <w:ilvl w:val="0"/>
          <w:numId w:val="33"/>
        </w:numPr>
        <w:tabs>
          <w:tab w:val="left" w:pos="142"/>
        </w:tabs>
        <w:ind w:left="786"/>
        <w:contextualSpacing/>
        <w:jc w:val="both"/>
        <w:rPr>
          <w:rFonts w:ascii="Arial" w:hAnsi="Arial" w:cs="Arial"/>
          <w:sz w:val="16"/>
          <w:szCs w:val="16"/>
          <w:lang w:eastAsia="es-AR"/>
        </w:rPr>
      </w:pPr>
      <w:r w:rsidRPr="00836A9D">
        <w:rPr>
          <w:rFonts w:ascii="Arial" w:hAnsi="Arial" w:cs="Arial"/>
          <w:sz w:val="16"/>
          <w:szCs w:val="16"/>
          <w:lang w:eastAsia="es-AR"/>
        </w:rPr>
        <w:t>Patrimonio neto atribuible a controladora</w:t>
      </w:r>
      <w:r w:rsidR="005E0D3C" w:rsidRPr="00836A9D">
        <w:rPr>
          <w:rFonts w:ascii="Arial" w:hAnsi="Arial" w:cs="Arial"/>
          <w:sz w:val="16"/>
          <w:szCs w:val="16"/>
          <w:lang w:eastAsia="es-AR"/>
        </w:rPr>
        <w:t xml:space="preserve"> /</w:t>
      </w:r>
      <w:r w:rsidRPr="00836A9D">
        <w:rPr>
          <w:rFonts w:ascii="Arial" w:hAnsi="Arial" w:cs="Arial"/>
          <w:sz w:val="16"/>
          <w:szCs w:val="16"/>
          <w:lang w:eastAsia="es-AR"/>
        </w:rPr>
        <w:t xml:space="preserve"> </w:t>
      </w:r>
      <w:r w:rsidR="00CA188D" w:rsidRPr="00836A9D">
        <w:rPr>
          <w:rFonts w:ascii="Arial" w:hAnsi="Arial" w:cs="Arial"/>
          <w:sz w:val="16"/>
          <w:szCs w:val="16"/>
          <w:lang w:eastAsia="es-AR"/>
        </w:rPr>
        <w:t>Pasivo</w:t>
      </w:r>
      <w:r w:rsidRPr="00836A9D">
        <w:rPr>
          <w:rFonts w:ascii="Arial" w:hAnsi="Arial" w:cs="Arial"/>
          <w:sz w:val="16"/>
          <w:szCs w:val="16"/>
          <w:lang w:eastAsia="es-AR"/>
        </w:rPr>
        <w:t xml:space="preserve"> total</w:t>
      </w:r>
    </w:p>
    <w:p w14:paraId="724394F2" w14:textId="33947BA5" w:rsidR="00280079" w:rsidRPr="00836A9D" w:rsidRDefault="00280079" w:rsidP="00627289">
      <w:pPr>
        <w:numPr>
          <w:ilvl w:val="0"/>
          <w:numId w:val="33"/>
        </w:numPr>
        <w:tabs>
          <w:tab w:val="left" w:pos="142"/>
        </w:tabs>
        <w:ind w:left="786"/>
        <w:contextualSpacing/>
        <w:jc w:val="both"/>
        <w:rPr>
          <w:rFonts w:ascii="Arial" w:hAnsi="Arial" w:cs="Arial"/>
          <w:sz w:val="16"/>
          <w:szCs w:val="16"/>
          <w:lang w:eastAsia="es-AR"/>
        </w:rPr>
      </w:pPr>
      <w:r w:rsidRPr="00836A9D">
        <w:rPr>
          <w:rFonts w:ascii="Arial" w:hAnsi="Arial" w:cs="Arial"/>
          <w:sz w:val="16"/>
          <w:szCs w:val="16"/>
          <w:lang w:eastAsia="es-AR"/>
        </w:rPr>
        <w:t xml:space="preserve">Activos Inmovilizados / Activos totales </w:t>
      </w:r>
    </w:p>
    <w:p w14:paraId="098D7FC7" w14:textId="62583332" w:rsidR="00F4204E" w:rsidRDefault="00F4204E" w:rsidP="00CA188D">
      <w:pPr>
        <w:tabs>
          <w:tab w:val="left" w:pos="142"/>
          <w:tab w:val="left" w:pos="426"/>
        </w:tabs>
        <w:ind w:left="786"/>
        <w:contextualSpacing/>
        <w:jc w:val="both"/>
        <w:rPr>
          <w:rFonts w:ascii="Arial" w:hAnsi="Arial" w:cs="Arial"/>
          <w:sz w:val="20"/>
          <w:lang w:eastAsia="es-AR"/>
        </w:rPr>
      </w:pPr>
    </w:p>
    <w:p w14:paraId="4C39148E" w14:textId="77777777" w:rsidR="00B4540C" w:rsidRDefault="00B4540C" w:rsidP="00DC6200">
      <w:pPr>
        <w:tabs>
          <w:tab w:val="left" w:pos="142"/>
          <w:tab w:val="left" w:pos="284"/>
          <w:tab w:val="left" w:pos="426"/>
        </w:tabs>
        <w:jc w:val="both"/>
        <w:rPr>
          <w:rFonts w:ascii="Arial" w:hAnsi="Arial" w:cs="Arial"/>
          <w:sz w:val="20"/>
          <w:lang w:val="es-ES_tradnl"/>
        </w:rPr>
      </w:pPr>
    </w:p>
    <w:p w14:paraId="6EFB23E8" w14:textId="77777777" w:rsidR="00417189" w:rsidRDefault="00417189" w:rsidP="00DC6200">
      <w:pPr>
        <w:tabs>
          <w:tab w:val="left" w:pos="142"/>
          <w:tab w:val="left" w:pos="284"/>
          <w:tab w:val="left" w:pos="426"/>
        </w:tabs>
        <w:jc w:val="both"/>
        <w:rPr>
          <w:rFonts w:ascii="Arial" w:hAnsi="Arial" w:cs="Arial"/>
          <w:sz w:val="20"/>
          <w:lang w:val="es-ES_tradnl"/>
        </w:rPr>
      </w:pPr>
    </w:p>
    <w:p w14:paraId="5DC32058" w14:textId="2609D915" w:rsidR="00417189" w:rsidRDefault="00417189" w:rsidP="00417189">
      <w:pPr>
        <w:tabs>
          <w:tab w:val="left" w:pos="142"/>
          <w:tab w:val="left" w:pos="426"/>
        </w:tabs>
        <w:jc w:val="both"/>
        <w:rPr>
          <w:rFonts w:ascii="Arial" w:hAnsi="Arial" w:cs="Arial"/>
          <w:sz w:val="20"/>
          <w:u w:val="single"/>
        </w:rPr>
      </w:pPr>
      <w:r>
        <w:rPr>
          <w:rFonts w:ascii="Arial" w:hAnsi="Arial" w:cs="Arial"/>
          <w:sz w:val="20"/>
          <w:u w:val="single"/>
        </w:rPr>
        <w:t>Perspectivas del negocio</w:t>
      </w:r>
    </w:p>
    <w:p w14:paraId="4E297F51" w14:textId="77777777" w:rsidR="00417189" w:rsidRPr="00701F32" w:rsidRDefault="00417189" w:rsidP="00417189">
      <w:pPr>
        <w:tabs>
          <w:tab w:val="left" w:pos="142"/>
          <w:tab w:val="left" w:pos="426"/>
        </w:tabs>
        <w:jc w:val="both"/>
        <w:rPr>
          <w:rFonts w:ascii="Arial" w:hAnsi="Arial" w:cs="Arial"/>
          <w:sz w:val="20"/>
          <w:u w:val="single"/>
        </w:rPr>
      </w:pPr>
    </w:p>
    <w:p w14:paraId="502B83FE" w14:textId="22FE8D68" w:rsidR="00417189" w:rsidRPr="002E1AF6" w:rsidRDefault="00417189" w:rsidP="00DC6200">
      <w:pPr>
        <w:tabs>
          <w:tab w:val="left" w:pos="142"/>
          <w:tab w:val="left" w:pos="284"/>
          <w:tab w:val="left" w:pos="426"/>
        </w:tabs>
        <w:jc w:val="both"/>
        <w:rPr>
          <w:rFonts w:ascii="Arial" w:hAnsi="Arial" w:cs="Arial"/>
          <w:sz w:val="20"/>
        </w:rPr>
        <w:sectPr w:rsidR="00417189" w:rsidRPr="002E1AF6" w:rsidSect="0056039F">
          <w:headerReference w:type="default" r:id="rId50"/>
          <w:pgSz w:w="11907" w:h="16840" w:code="9"/>
          <w:pgMar w:top="1417" w:right="1701" w:bottom="1417" w:left="1701" w:header="567" w:footer="0" w:gutter="0"/>
          <w:cols w:space="720"/>
          <w:docGrid w:linePitch="272"/>
        </w:sectPr>
      </w:pPr>
      <w:r w:rsidRPr="00417189">
        <w:rPr>
          <w:rFonts w:ascii="Arial" w:hAnsi="Arial" w:cs="Arial"/>
          <w:sz w:val="20"/>
        </w:rPr>
        <w:t xml:space="preserve">Para el año 2020, </w:t>
      </w:r>
      <w:r>
        <w:rPr>
          <w:rFonts w:ascii="Arial" w:hAnsi="Arial" w:cs="Arial"/>
          <w:sz w:val="20"/>
        </w:rPr>
        <w:t>Banco Supervielle</w:t>
      </w:r>
      <w:r w:rsidRPr="00417189">
        <w:rPr>
          <w:rFonts w:ascii="Arial" w:hAnsi="Arial" w:cs="Arial"/>
          <w:sz w:val="20"/>
        </w:rPr>
        <w:t xml:space="preserve"> proyecta continuar contribuyendo con su generación crediticia al crecimiento y evolución de la economía argentina.</w:t>
      </w:r>
    </w:p>
    <w:p w14:paraId="52192AFC" w14:textId="52B5A882" w:rsidR="00580FD1" w:rsidRPr="008F7157" w:rsidRDefault="00580FD1" w:rsidP="00580FD1">
      <w:pPr>
        <w:jc w:val="both"/>
        <w:rPr>
          <w:rFonts w:ascii="Arial" w:hAnsi="Arial" w:cs="Arial"/>
          <w:sz w:val="20"/>
        </w:rPr>
      </w:pPr>
      <w:r w:rsidRPr="008F7157">
        <w:rPr>
          <w:rFonts w:ascii="Arial" w:hAnsi="Arial" w:cs="Arial"/>
          <w:sz w:val="20"/>
        </w:rPr>
        <w:lastRenderedPageBreak/>
        <w:t>A continuación, se detalla la información al 3</w:t>
      </w:r>
      <w:r w:rsidR="00CF42B5" w:rsidRPr="008F7157">
        <w:rPr>
          <w:rFonts w:ascii="Arial" w:hAnsi="Arial" w:cs="Arial"/>
          <w:sz w:val="20"/>
        </w:rPr>
        <w:t>1</w:t>
      </w:r>
      <w:r w:rsidRPr="008F7157">
        <w:rPr>
          <w:rFonts w:ascii="Arial" w:hAnsi="Arial" w:cs="Arial"/>
          <w:sz w:val="20"/>
        </w:rPr>
        <w:t xml:space="preserve"> de </w:t>
      </w:r>
      <w:r w:rsidR="00CF42B5" w:rsidRPr="008F7157">
        <w:rPr>
          <w:rFonts w:ascii="Arial" w:hAnsi="Arial" w:cs="Arial"/>
          <w:sz w:val="20"/>
        </w:rPr>
        <w:t>marzo</w:t>
      </w:r>
      <w:r w:rsidRPr="008F7157">
        <w:rPr>
          <w:rFonts w:ascii="Arial" w:hAnsi="Arial" w:cs="Arial"/>
          <w:sz w:val="20"/>
        </w:rPr>
        <w:t xml:space="preserve"> de 20</w:t>
      </w:r>
      <w:r w:rsidR="00CF42B5" w:rsidRPr="008F7157">
        <w:rPr>
          <w:rFonts w:ascii="Arial" w:hAnsi="Arial" w:cs="Arial"/>
          <w:sz w:val="20"/>
        </w:rPr>
        <w:t>20</w:t>
      </w:r>
      <w:r w:rsidRPr="008F7157">
        <w:rPr>
          <w:rFonts w:ascii="Arial" w:hAnsi="Arial" w:cs="Arial"/>
          <w:sz w:val="20"/>
        </w:rPr>
        <w:t xml:space="preserve"> solicitada por el Art. 12 del Título IV Capítulo III correspondiente al Régimen Informativo Periódico de acuerdo con el Texto Ordenado en 2013 de las Normas dictadas por la Comisión Nacional de Valores.</w:t>
      </w:r>
    </w:p>
    <w:p w14:paraId="2A92D8CB" w14:textId="77777777" w:rsidR="00580FD1" w:rsidRPr="008F7157" w:rsidRDefault="00580FD1" w:rsidP="00580FD1">
      <w:pPr>
        <w:jc w:val="both"/>
        <w:rPr>
          <w:rFonts w:ascii="Arial" w:hAnsi="Arial" w:cs="Arial"/>
          <w:sz w:val="20"/>
        </w:rPr>
      </w:pPr>
    </w:p>
    <w:p w14:paraId="5E93B604" w14:textId="77777777" w:rsidR="00580FD1" w:rsidRPr="008F7157" w:rsidRDefault="00580FD1" w:rsidP="00580FD1">
      <w:pPr>
        <w:pStyle w:val="s14-99509"/>
        <w:numPr>
          <w:ilvl w:val="0"/>
          <w:numId w:val="36"/>
        </w:numPr>
        <w:rPr>
          <w:i/>
          <w:iCs/>
          <w:color w:val="auto"/>
        </w:rPr>
      </w:pPr>
      <w:r w:rsidRPr="008F7157">
        <w:rPr>
          <w:iCs/>
          <w:color w:val="auto"/>
          <w:u w:val="single"/>
        </w:rPr>
        <w:t>Cuestiones generales sobre la actividad de la sociedad</w:t>
      </w:r>
      <w:r w:rsidRPr="008F7157">
        <w:rPr>
          <w:iCs/>
          <w:color w:val="auto"/>
        </w:rPr>
        <w:t>.</w:t>
      </w:r>
    </w:p>
    <w:p w14:paraId="63BAA239" w14:textId="77777777" w:rsidR="00580FD1" w:rsidRPr="008F7157" w:rsidRDefault="00580FD1" w:rsidP="00580FD1">
      <w:pPr>
        <w:pStyle w:val="s14-99509"/>
        <w:ind w:left="1004" w:firstLine="0"/>
        <w:rPr>
          <w:color w:val="auto"/>
        </w:rPr>
      </w:pPr>
    </w:p>
    <w:p w14:paraId="09EE5EB2" w14:textId="77777777" w:rsidR="00580FD1" w:rsidRPr="008F7157" w:rsidRDefault="00580FD1" w:rsidP="00580FD1">
      <w:pPr>
        <w:pStyle w:val="s14-99509"/>
        <w:numPr>
          <w:ilvl w:val="0"/>
          <w:numId w:val="38"/>
        </w:numPr>
        <w:rPr>
          <w:color w:val="auto"/>
        </w:rPr>
      </w:pPr>
      <w:r w:rsidRPr="008F7157">
        <w:rPr>
          <w:i/>
          <w:iCs/>
          <w:color w:val="auto"/>
        </w:rPr>
        <w:t>Regímenes jurídicos específicos y significativos que impliquen decaimientos o renacimientos contingentes de beneficios previstos por dichas disposiciones.</w:t>
      </w:r>
    </w:p>
    <w:p w14:paraId="18B37B0E" w14:textId="77777777" w:rsidR="00580FD1" w:rsidRPr="008F7157" w:rsidRDefault="00580FD1" w:rsidP="00580FD1">
      <w:pPr>
        <w:pStyle w:val="s14-99509"/>
        <w:ind w:left="854" w:firstLine="0"/>
        <w:rPr>
          <w:i/>
          <w:iCs/>
          <w:color w:val="auto"/>
        </w:rPr>
      </w:pPr>
    </w:p>
    <w:p w14:paraId="388477E4" w14:textId="77777777" w:rsidR="00580FD1" w:rsidRPr="008F7157" w:rsidRDefault="00580FD1" w:rsidP="00580FD1">
      <w:pPr>
        <w:pStyle w:val="s14-99509"/>
        <w:ind w:left="854" w:firstLine="0"/>
        <w:rPr>
          <w:color w:val="auto"/>
        </w:rPr>
      </w:pPr>
      <w:r w:rsidRPr="008F7157">
        <w:rPr>
          <w:iCs/>
          <w:color w:val="auto"/>
        </w:rPr>
        <w:t>La Entidad no posee tales Regímenes</w:t>
      </w:r>
      <w:r w:rsidRPr="008F7157">
        <w:rPr>
          <w:color w:val="auto"/>
        </w:rPr>
        <w:t>.</w:t>
      </w:r>
    </w:p>
    <w:p w14:paraId="4CF83B52" w14:textId="77777777" w:rsidR="00580FD1" w:rsidRPr="008F7157" w:rsidRDefault="00580FD1" w:rsidP="00580FD1">
      <w:pPr>
        <w:pStyle w:val="s14-99509"/>
        <w:ind w:left="854" w:firstLine="0"/>
        <w:rPr>
          <w:color w:val="auto"/>
        </w:rPr>
      </w:pPr>
    </w:p>
    <w:p w14:paraId="6A089C4B" w14:textId="77777777" w:rsidR="00580FD1" w:rsidRPr="008F7157" w:rsidRDefault="00580FD1" w:rsidP="00580FD1">
      <w:pPr>
        <w:pStyle w:val="s14-99509"/>
        <w:tabs>
          <w:tab w:val="left" w:pos="426"/>
        </w:tabs>
        <w:ind w:left="709" w:hanging="425"/>
        <w:rPr>
          <w:i/>
          <w:iCs/>
          <w:color w:val="auto"/>
        </w:rPr>
      </w:pPr>
      <w:r w:rsidRPr="008F7157">
        <w:rPr>
          <w:i/>
          <w:iCs/>
          <w:color w:val="auto"/>
        </w:rPr>
        <w:t>b)  Modificaciones significativas en las actividades de la sociedad u otras circunstancias similares</w:t>
      </w:r>
      <w:r w:rsidRPr="008F7157">
        <w:rPr>
          <w:color w:val="auto"/>
        </w:rPr>
        <w:t xml:space="preserve"> </w:t>
      </w:r>
      <w:r w:rsidRPr="008F7157">
        <w:rPr>
          <w:i/>
          <w:iCs/>
          <w:color w:val="auto"/>
        </w:rPr>
        <w:t xml:space="preserve">ocurridas durante los períodos comprendidos por los estados contables que afecten su comparabilidad con los presentados en períodos anteriores, o que podrían afectarla con los que habrán de presentarse en períodos futuros. </w:t>
      </w:r>
    </w:p>
    <w:p w14:paraId="6760CB7A" w14:textId="77777777" w:rsidR="00580FD1" w:rsidRPr="008F7157" w:rsidRDefault="00580FD1" w:rsidP="00580FD1">
      <w:pPr>
        <w:pStyle w:val="s14-99509"/>
        <w:ind w:left="854" w:firstLine="0"/>
        <w:rPr>
          <w:iCs/>
          <w:color w:val="auto"/>
        </w:rPr>
      </w:pPr>
    </w:p>
    <w:p w14:paraId="076AE62F" w14:textId="77777777" w:rsidR="00580FD1" w:rsidRPr="008F7157" w:rsidRDefault="00580FD1" w:rsidP="00580FD1">
      <w:pPr>
        <w:pStyle w:val="s14-99509"/>
        <w:ind w:left="854" w:firstLine="0"/>
        <w:rPr>
          <w:i/>
          <w:iCs/>
          <w:color w:val="auto"/>
        </w:rPr>
      </w:pPr>
      <w:r w:rsidRPr="008F7157">
        <w:rPr>
          <w:iCs/>
          <w:color w:val="auto"/>
        </w:rPr>
        <w:t>La Entidad no posee modificaciones en sus actividades u otras circunstancias similares que afecten la comparabilidad de sus estados contables con los presentados en ejercicios anteriores o que podrían afectar los futuros.</w:t>
      </w:r>
    </w:p>
    <w:p w14:paraId="2B0D4AE7" w14:textId="77777777" w:rsidR="00580FD1" w:rsidRPr="008F7157" w:rsidRDefault="00580FD1" w:rsidP="00580FD1">
      <w:pPr>
        <w:pStyle w:val="s14-99509"/>
        <w:ind w:left="854" w:firstLine="0"/>
        <w:rPr>
          <w:color w:val="auto"/>
        </w:rPr>
      </w:pPr>
    </w:p>
    <w:p w14:paraId="37FF51BE" w14:textId="77777777" w:rsidR="00580FD1" w:rsidRPr="008F7157" w:rsidRDefault="00580FD1" w:rsidP="00580FD1">
      <w:pPr>
        <w:pStyle w:val="s14-99509"/>
        <w:rPr>
          <w:color w:val="auto"/>
        </w:rPr>
      </w:pPr>
      <w:r w:rsidRPr="008F7157">
        <w:rPr>
          <w:iCs/>
          <w:color w:val="auto"/>
        </w:rPr>
        <w:t>2.</w:t>
      </w:r>
      <w:r w:rsidRPr="008F7157">
        <w:rPr>
          <w:i/>
          <w:iCs/>
          <w:color w:val="auto"/>
        </w:rPr>
        <w:t>       Clasificación de los saldos de créditos y deudas en las siguientes categorías:</w:t>
      </w:r>
    </w:p>
    <w:p w14:paraId="58EFA6FC" w14:textId="77777777" w:rsidR="00580FD1" w:rsidRPr="008F7157" w:rsidRDefault="00580FD1" w:rsidP="00580FD1">
      <w:pPr>
        <w:pStyle w:val="s14-99509"/>
        <w:tabs>
          <w:tab w:val="left" w:pos="851"/>
        </w:tabs>
        <w:ind w:left="851" w:hanging="567"/>
        <w:rPr>
          <w:i/>
          <w:iCs/>
          <w:color w:val="auto"/>
        </w:rPr>
      </w:pPr>
      <w:r w:rsidRPr="008F7157">
        <w:rPr>
          <w:i/>
          <w:iCs/>
          <w:color w:val="auto"/>
        </w:rPr>
        <w:t xml:space="preserve">                    </w:t>
      </w:r>
    </w:p>
    <w:p w14:paraId="7CE5FDE4" w14:textId="7B57317C" w:rsidR="00580FD1" w:rsidRPr="008F7157" w:rsidRDefault="00580FD1" w:rsidP="00580FD1">
      <w:pPr>
        <w:pStyle w:val="s14-99509"/>
        <w:ind w:left="851" w:hanging="567"/>
        <w:rPr>
          <w:iCs/>
          <w:color w:val="auto"/>
        </w:rPr>
      </w:pPr>
      <w:r w:rsidRPr="008F7157">
        <w:rPr>
          <w:i/>
          <w:iCs/>
          <w:color w:val="auto"/>
        </w:rPr>
        <w:t xml:space="preserve">          </w:t>
      </w:r>
      <w:r w:rsidRPr="008F7157">
        <w:rPr>
          <w:iCs/>
          <w:color w:val="auto"/>
        </w:rPr>
        <w:t>La clasificación de los saldos de créditos y deudas de acuerdo a su plazo de vencimiento se encuentra detallada, respectivamente, en el Anexo D y en el Anexo I de los estados financieros condensados intermedios consolidados y separados al 3</w:t>
      </w:r>
      <w:r w:rsidR="008F7157" w:rsidRPr="008F7157">
        <w:rPr>
          <w:iCs/>
          <w:color w:val="auto"/>
        </w:rPr>
        <w:t>1</w:t>
      </w:r>
      <w:r w:rsidRPr="008F7157">
        <w:rPr>
          <w:iCs/>
          <w:color w:val="auto"/>
        </w:rPr>
        <w:t xml:space="preserve"> de </w:t>
      </w:r>
      <w:r w:rsidR="008F7157" w:rsidRPr="008F7157">
        <w:rPr>
          <w:iCs/>
          <w:color w:val="auto"/>
        </w:rPr>
        <w:t>marzo</w:t>
      </w:r>
      <w:r w:rsidRPr="008F7157">
        <w:rPr>
          <w:iCs/>
          <w:color w:val="auto"/>
        </w:rPr>
        <w:t xml:space="preserve"> de 20</w:t>
      </w:r>
      <w:r w:rsidR="008F7157" w:rsidRPr="008F7157">
        <w:rPr>
          <w:iCs/>
          <w:color w:val="auto"/>
        </w:rPr>
        <w:t>20</w:t>
      </w:r>
      <w:r w:rsidRPr="008F7157">
        <w:rPr>
          <w:iCs/>
          <w:color w:val="auto"/>
        </w:rPr>
        <w:t>.</w:t>
      </w:r>
    </w:p>
    <w:p w14:paraId="1E4A06B2" w14:textId="77777777" w:rsidR="00580FD1" w:rsidRPr="008F7157" w:rsidRDefault="00580FD1" w:rsidP="00580FD1">
      <w:pPr>
        <w:pStyle w:val="s14-99509"/>
        <w:ind w:left="851" w:hanging="567"/>
        <w:rPr>
          <w:iCs/>
          <w:color w:val="auto"/>
        </w:rPr>
      </w:pPr>
    </w:p>
    <w:p w14:paraId="18EF9FAD" w14:textId="77777777" w:rsidR="00580FD1" w:rsidRPr="008F7157" w:rsidRDefault="00580FD1" w:rsidP="00580FD1">
      <w:pPr>
        <w:pStyle w:val="s14-99509"/>
        <w:tabs>
          <w:tab w:val="left" w:pos="284"/>
          <w:tab w:val="left" w:pos="851"/>
        </w:tabs>
        <w:ind w:left="851" w:hanging="851"/>
        <w:rPr>
          <w:color w:val="auto"/>
        </w:rPr>
      </w:pPr>
      <w:r w:rsidRPr="008F7157">
        <w:rPr>
          <w:i/>
          <w:iCs/>
          <w:color w:val="auto"/>
        </w:rPr>
        <w:t xml:space="preserve">     </w:t>
      </w:r>
      <w:r w:rsidRPr="008F7157">
        <w:rPr>
          <w:iCs/>
          <w:color w:val="auto"/>
        </w:rPr>
        <w:t>3</w:t>
      </w:r>
      <w:r w:rsidRPr="008F7157">
        <w:rPr>
          <w:i/>
          <w:iCs/>
          <w:color w:val="auto"/>
        </w:rPr>
        <w:t>.     Clasificación de los créditos y deudas, de manera que permita conocer los efectos          financieros que produce su mantenimiento. La misma debe posibilitar la identificación de:</w:t>
      </w:r>
    </w:p>
    <w:p w14:paraId="3BCD6E7D" w14:textId="77777777" w:rsidR="00580FD1" w:rsidRPr="008F7157" w:rsidRDefault="00580FD1" w:rsidP="00580FD1">
      <w:pPr>
        <w:pStyle w:val="s14-99509"/>
        <w:rPr>
          <w:color w:val="auto"/>
        </w:rPr>
      </w:pPr>
      <w:r w:rsidRPr="008F7157">
        <w:rPr>
          <w:i/>
          <w:iCs/>
          <w:color w:val="auto"/>
        </w:rPr>
        <w:t xml:space="preserve">           a)  Las cuentas en moneda nacional, en moneda extranjera y en especie;</w:t>
      </w:r>
    </w:p>
    <w:p w14:paraId="5314858E" w14:textId="77777777" w:rsidR="00580FD1" w:rsidRPr="008F7157" w:rsidRDefault="00580FD1" w:rsidP="00580FD1">
      <w:pPr>
        <w:pStyle w:val="s14-99509"/>
        <w:rPr>
          <w:color w:val="auto"/>
        </w:rPr>
      </w:pPr>
      <w:r w:rsidRPr="008F7157">
        <w:rPr>
          <w:i/>
          <w:iCs/>
          <w:color w:val="auto"/>
        </w:rPr>
        <w:t xml:space="preserve">           b)  Los saldos sujetos a cláusulas de ajuste y los que no lo están;</w:t>
      </w:r>
    </w:p>
    <w:p w14:paraId="34C3C9CB" w14:textId="555471C0" w:rsidR="00702B2F" w:rsidRPr="008F7157" w:rsidRDefault="00580FD1" w:rsidP="00580FD1">
      <w:pPr>
        <w:pStyle w:val="s14-99509"/>
        <w:tabs>
          <w:tab w:val="left" w:pos="851"/>
        </w:tabs>
        <w:rPr>
          <w:i/>
          <w:iCs/>
          <w:color w:val="auto"/>
        </w:rPr>
      </w:pPr>
      <w:r w:rsidRPr="008F7157">
        <w:rPr>
          <w:i/>
          <w:iCs/>
          <w:color w:val="auto"/>
        </w:rPr>
        <w:t xml:space="preserve">           c)  Los saldos que devengan intereses y los que no lo hacen.</w:t>
      </w:r>
    </w:p>
    <w:p w14:paraId="56214736" w14:textId="77777777" w:rsidR="00702B2F" w:rsidRPr="008F7157" w:rsidRDefault="00702B2F" w:rsidP="00702B2F">
      <w:pPr>
        <w:pStyle w:val="s14-99509"/>
        <w:tabs>
          <w:tab w:val="left" w:pos="851"/>
        </w:tabs>
        <w:rPr>
          <w:i/>
          <w:iCs/>
          <w:color w:val="auto"/>
        </w:rPr>
      </w:pPr>
      <w:r w:rsidRPr="008F7157">
        <w:rPr>
          <w:i/>
          <w:iCs/>
          <w:color w:val="auto"/>
        </w:rPr>
        <w:t xml:space="preserve">  </w:t>
      </w:r>
    </w:p>
    <w:p w14:paraId="2C7B03F4" w14:textId="5B125B6E" w:rsidR="00702B2F" w:rsidRPr="008F7157" w:rsidRDefault="00702B2F" w:rsidP="00AA04EC">
      <w:pPr>
        <w:pStyle w:val="s14-99509"/>
        <w:tabs>
          <w:tab w:val="left" w:pos="851"/>
        </w:tabs>
        <w:rPr>
          <w:iCs/>
          <w:color w:val="auto"/>
        </w:rPr>
      </w:pPr>
      <w:r w:rsidRPr="008F7157">
        <w:rPr>
          <w:i/>
          <w:iCs/>
          <w:color w:val="auto"/>
        </w:rPr>
        <w:t xml:space="preserve">          </w:t>
      </w:r>
      <w:r w:rsidRPr="008F7157">
        <w:rPr>
          <w:iCs/>
          <w:color w:val="auto"/>
        </w:rPr>
        <w:t xml:space="preserve"> Se detalla cuadro a continuación:</w:t>
      </w:r>
    </w:p>
    <w:p w14:paraId="6A4A6EB0" w14:textId="77777777" w:rsidR="008F7157" w:rsidRPr="007F270F" w:rsidRDefault="008F7157" w:rsidP="00AA04EC">
      <w:pPr>
        <w:pStyle w:val="s14-99509"/>
        <w:tabs>
          <w:tab w:val="left" w:pos="851"/>
        </w:tabs>
        <w:rPr>
          <w:iCs/>
          <w:color w:val="auto"/>
          <w:highlight w:val="yellow"/>
        </w:rPr>
      </w:pPr>
    </w:p>
    <w:p w14:paraId="06537844" w14:textId="72740D21" w:rsidR="00702B2F" w:rsidRDefault="00702B2F" w:rsidP="00702B2F">
      <w:pPr>
        <w:pStyle w:val="s14-99509"/>
        <w:tabs>
          <w:tab w:val="left" w:pos="851"/>
        </w:tabs>
        <w:rPr>
          <w:iCs/>
          <w:color w:val="auto"/>
          <w:highlight w:val="yellow"/>
        </w:rPr>
      </w:pPr>
    </w:p>
    <w:p w14:paraId="6928AF3C" w14:textId="58D78190" w:rsidR="003B6C26" w:rsidRDefault="003B6C26" w:rsidP="00702B2F">
      <w:pPr>
        <w:pStyle w:val="s14-99509"/>
        <w:tabs>
          <w:tab w:val="left" w:pos="851"/>
        </w:tabs>
        <w:rPr>
          <w:iCs/>
          <w:color w:val="auto"/>
          <w:highlight w:val="yellow"/>
        </w:rPr>
      </w:pPr>
    </w:p>
    <w:tbl>
      <w:tblPr>
        <w:tblW w:w="11363" w:type="dxa"/>
        <w:tblInd w:w="-1139" w:type="dxa"/>
        <w:tblCellMar>
          <w:left w:w="70" w:type="dxa"/>
          <w:right w:w="70" w:type="dxa"/>
        </w:tblCellMar>
        <w:tblLook w:val="04A0" w:firstRow="1" w:lastRow="0" w:firstColumn="1" w:lastColumn="0" w:noHBand="0" w:noVBand="1"/>
      </w:tblPr>
      <w:tblGrid>
        <w:gridCol w:w="3402"/>
        <w:gridCol w:w="919"/>
        <w:gridCol w:w="988"/>
        <w:gridCol w:w="851"/>
        <w:gridCol w:w="841"/>
        <w:gridCol w:w="850"/>
        <w:gridCol w:w="841"/>
        <w:gridCol w:w="989"/>
        <w:gridCol w:w="841"/>
        <w:gridCol w:w="841"/>
      </w:tblGrid>
      <w:tr w:rsidR="003B6C26" w:rsidRPr="007F270F" w14:paraId="574286D4" w14:textId="77777777" w:rsidTr="001A62FE">
        <w:trPr>
          <w:trHeight w:val="165"/>
          <w:tblHeader/>
        </w:trPr>
        <w:tc>
          <w:tcPr>
            <w:tcW w:w="11363" w:type="dxa"/>
            <w:gridSpan w:val="10"/>
            <w:tcBorders>
              <w:top w:val="single" w:sz="4" w:space="0" w:color="363639"/>
              <w:left w:val="single" w:sz="4" w:space="0" w:color="363639"/>
              <w:bottom w:val="single" w:sz="4" w:space="0" w:color="363639"/>
              <w:right w:val="single" w:sz="4" w:space="0" w:color="363639"/>
            </w:tcBorders>
            <w:shd w:val="clear" w:color="000000" w:fill="D9D9D9"/>
            <w:noWrap/>
            <w:vAlign w:val="center"/>
          </w:tcPr>
          <w:p w14:paraId="2F793066"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lastRenderedPageBreak/>
              <w:t>Información en miles de pesos</w:t>
            </w:r>
          </w:p>
        </w:tc>
      </w:tr>
      <w:tr w:rsidR="003B6C26" w:rsidRPr="007F270F" w14:paraId="42C0EC3F" w14:textId="77777777" w:rsidTr="001A62FE">
        <w:trPr>
          <w:trHeight w:val="210"/>
          <w:tblHeader/>
        </w:trPr>
        <w:tc>
          <w:tcPr>
            <w:tcW w:w="3402" w:type="dxa"/>
            <w:vMerge w:val="restart"/>
            <w:tcBorders>
              <w:top w:val="single" w:sz="4" w:space="0" w:color="363639"/>
              <w:left w:val="single" w:sz="4" w:space="0" w:color="auto"/>
              <w:bottom w:val="single" w:sz="4" w:space="0" w:color="000000"/>
              <w:right w:val="single" w:sz="4" w:space="0" w:color="auto"/>
            </w:tcBorders>
            <w:shd w:val="clear" w:color="000000" w:fill="D9D9D9"/>
            <w:noWrap/>
            <w:vAlign w:val="center"/>
            <w:hideMark/>
          </w:tcPr>
          <w:p w14:paraId="2E3B61B0"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 xml:space="preserve">Estados Financieros al </w:t>
            </w:r>
            <w:r>
              <w:rPr>
                <w:rFonts w:ascii="Arial" w:hAnsi="Arial" w:cs="Arial"/>
                <w:b/>
                <w:bCs/>
                <w:sz w:val="14"/>
                <w:szCs w:val="14"/>
                <w:lang w:eastAsia="es-AR"/>
              </w:rPr>
              <w:t>3</w:t>
            </w:r>
            <w:r>
              <w:rPr>
                <w:b/>
                <w:bCs/>
                <w:sz w:val="14"/>
                <w:szCs w:val="14"/>
                <w:lang w:eastAsia="es-AR"/>
              </w:rPr>
              <w:t>1/03/2020</w:t>
            </w:r>
          </w:p>
        </w:tc>
        <w:tc>
          <w:tcPr>
            <w:tcW w:w="5290" w:type="dxa"/>
            <w:gridSpan w:val="6"/>
            <w:tcBorders>
              <w:top w:val="single" w:sz="4" w:space="0" w:color="363639"/>
              <w:left w:val="nil"/>
              <w:bottom w:val="single" w:sz="4" w:space="0" w:color="auto"/>
              <w:right w:val="single" w:sz="4" w:space="0" w:color="auto"/>
            </w:tcBorders>
            <w:shd w:val="clear" w:color="000000" w:fill="D9D9D9"/>
            <w:vAlign w:val="center"/>
            <w:hideMark/>
          </w:tcPr>
          <w:p w14:paraId="371F5B47"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Moneda Nacional</w:t>
            </w:r>
          </w:p>
        </w:tc>
        <w:tc>
          <w:tcPr>
            <w:tcW w:w="2671" w:type="dxa"/>
            <w:gridSpan w:val="3"/>
            <w:tcBorders>
              <w:top w:val="single" w:sz="4" w:space="0" w:color="363639"/>
              <w:left w:val="nil"/>
              <w:bottom w:val="single" w:sz="4" w:space="0" w:color="auto"/>
              <w:right w:val="single" w:sz="4" w:space="0" w:color="auto"/>
            </w:tcBorders>
            <w:shd w:val="clear" w:color="000000" w:fill="D9D9D9"/>
            <w:noWrap/>
            <w:vAlign w:val="center"/>
            <w:hideMark/>
          </w:tcPr>
          <w:p w14:paraId="48FD916D"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Moneda Extranjera</w:t>
            </w:r>
          </w:p>
        </w:tc>
      </w:tr>
      <w:tr w:rsidR="003B6C26" w:rsidRPr="007F270F" w14:paraId="16FE88B3" w14:textId="77777777" w:rsidTr="001A62FE">
        <w:trPr>
          <w:trHeight w:val="142"/>
          <w:tblHeader/>
        </w:trPr>
        <w:tc>
          <w:tcPr>
            <w:tcW w:w="3402" w:type="dxa"/>
            <w:vMerge/>
            <w:tcBorders>
              <w:top w:val="nil"/>
              <w:left w:val="single" w:sz="4" w:space="0" w:color="auto"/>
              <w:bottom w:val="single" w:sz="4" w:space="0" w:color="000000"/>
              <w:right w:val="single" w:sz="4" w:space="0" w:color="auto"/>
            </w:tcBorders>
            <w:vAlign w:val="center"/>
            <w:hideMark/>
          </w:tcPr>
          <w:p w14:paraId="7E340B11" w14:textId="77777777" w:rsidR="003B6C26" w:rsidRPr="00432534" w:rsidRDefault="003B6C26" w:rsidP="001A62FE">
            <w:pPr>
              <w:rPr>
                <w:rFonts w:ascii="Arial" w:hAnsi="Arial" w:cs="Arial"/>
                <w:b/>
                <w:bCs/>
                <w:sz w:val="14"/>
                <w:szCs w:val="14"/>
                <w:lang w:eastAsia="es-AR"/>
              </w:rPr>
            </w:pPr>
          </w:p>
        </w:tc>
        <w:tc>
          <w:tcPr>
            <w:tcW w:w="919" w:type="dxa"/>
            <w:tcBorders>
              <w:top w:val="nil"/>
              <w:left w:val="nil"/>
              <w:bottom w:val="single" w:sz="4" w:space="0" w:color="auto"/>
              <w:right w:val="single" w:sz="4" w:space="0" w:color="auto"/>
            </w:tcBorders>
            <w:shd w:val="clear" w:color="000000" w:fill="D9D9D9"/>
            <w:vAlign w:val="center"/>
            <w:hideMark/>
          </w:tcPr>
          <w:p w14:paraId="2D9997BE"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Saldos al cierre</w:t>
            </w:r>
          </w:p>
        </w:tc>
        <w:tc>
          <w:tcPr>
            <w:tcW w:w="988" w:type="dxa"/>
            <w:tcBorders>
              <w:top w:val="nil"/>
              <w:left w:val="nil"/>
              <w:bottom w:val="single" w:sz="4" w:space="0" w:color="auto"/>
              <w:right w:val="single" w:sz="4" w:space="0" w:color="auto"/>
            </w:tcBorders>
            <w:shd w:val="clear" w:color="000000" w:fill="D9D9D9"/>
            <w:vAlign w:val="center"/>
            <w:hideMark/>
          </w:tcPr>
          <w:p w14:paraId="785F2491"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Sin Rendimiento</w:t>
            </w:r>
          </w:p>
        </w:tc>
        <w:tc>
          <w:tcPr>
            <w:tcW w:w="851" w:type="dxa"/>
            <w:tcBorders>
              <w:top w:val="nil"/>
              <w:left w:val="nil"/>
              <w:bottom w:val="single" w:sz="4" w:space="0" w:color="auto"/>
              <w:right w:val="single" w:sz="4" w:space="0" w:color="auto"/>
            </w:tcBorders>
            <w:shd w:val="clear" w:color="000000" w:fill="D9D9D9"/>
            <w:vAlign w:val="center"/>
            <w:hideMark/>
          </w:tcPr>
          <w:p w14:paraId="750AD8FE"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Tasa interés variable</w:t>
            </w:r>
          </w:p>
        </w:tc>
        <w:tc>
          <w:tcPr>
            <w:tcW w:w="841" w:type="dxa"/>
            <w:tcBorders>
              <w:top w:val="nil"/>
              <w:left w:val="nil"/>
              <w:bottom w:val="single" w:sz="4" w:space="0" w:color="auto"/>
              <w:right w:val="single" w:sz="4" w:space="0" w:color="auto"/>
            </w:tcBorders>
            <w:shd w:val="clear" w:color="000000" w:fill="D9D9D9"/>
            <w:vAlign w:val="center"/>
            <w:hideMark/>
          </w:tcPr>
          <w:p w14:paraId="3C336E1A"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Tasa interés fija</w:t>
            </w:r>
          </w:p>
        </w:tc>
        <w:tc>
          <w:tcPr>
            <w:tcW w:w="850" w:type="dxa"/>
            <w:tcBorders>
              <w:top w:val="nil"/>
              <w:left w:val="nil"/>
              <w:bottom w:val="single" w:sz="4" w:space="0" w:color="auto"/>
              <w:right w:val="single" w:sz="4" w:space="0" w:color="auto"/>
            </w:tcBorders>
            <w:shd w:val="clear" w:color="000000" w:fill="D9D9D9"/>
            <w:noWrap/>
            <w:vAlign w:val="center"/>
            <w:hideMark/>
          </w:tcPr>
          <w:p w14:paraId="1C13AF98"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CER/UVA</w:t>
            </w:r>
          </w:p>
        </w:tc>
        <w:tc>
          <w:tcPr>
            <w:tcW w:w="841" w:type="dxa"/>
            <w:tcBorders>
              <w:top w:val="nil"/>
              <w:left w:val="nil"/>
              <w:bottom w:val="single" w:sz="4" w:space="0" w:color="auto"/>
              <w:right w:val="single" w:sz="4" w:space="0" w:color="auto"/>
            </w:tcBorders>
            <w:shd w:val="clear" w:color="000000" w:fill="D9D9D9"/>
            <w:noWrap/>
            <w:vAlign w:val="center"/>
            <w:hideMark/>
          </w:tcPr>
          <w:p w14:paraId="3A440D05"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Cotizables</w:t>
            </w:r>
          </w:p>
        </w:tc>
        <w:tc>
          <w:tcPr>
            <w:tcW w:w="989" w:type="dxa"/>
            <w:tcBorders>
              <w:top w:val="nil"/>
              <w:left w:val="nil"/>
              <w:bottom w:val="single" w:sz="4" w:space="0" w:color="auto"/>
              <w:right w:val="single" w:sz="4" w:space="0" w:color="auto"/>
            </w:tcBorders>
            <w:shd w:val="clear" w:color="000000" w:fill="D9D9D9"/>
            <w:vAlign w:val="center"/>
            <w:hideMark/>
          </w:tcPr>
          <w:p w14:paraId="5FB45880"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Sin Rendimiento</w:t>
            </w:r>
          </w:p>
        </w:tc>
        <w:tc>
          <w:tcPr>
            <w:tcW w:w="841" w:type="dxa"/>
            <w:tcBorders>
              <w:top w:val="nil"/>
              <w:left w:val="nil"/>
              <w:bottom w:val="single" w:sz="4" w:space="0" w:color="auto"/>
              <w:right w:val="single" w:sz="4" w:space="0" w:color="auto"/>
            </w:tcBorders>
            <w:shd w:val="clear" w:color="000000" w:fill="D9D9D9"/>
            <w:noWrap/>
            <w:vAlign w:val="center"/>
            <w:hideMark/>
          </w:tcPr>
          <w:p w14:paraId="24B3FE9E"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Tasa interés</w:t>
            </w:r>
          </w:p>
        </w:tc>
        <w:tc>
          <w:tcPr>
            <w:tcW w:w="841" w:type="dxa"/>
            <w:tcBorders>
              <w:top w:val="nil"/>
              <w:left w:val="nil"/>
              <w:bottom w:val="single" w:sz="4" w:space="0" w:color="auto"/>
              <w:right w:val="single" w:sz="4" w:space="0" w:color="auto"/>
            </w:tcBorders>
            <w:shd w:val="clear" w:color="000000" w:fill="D9D9D9"/>
            <w:noWrap/>
            <w:vAlign w:val="center"/>
            <w:hideMark/>
          </w:tcPr>
          <w:p w14:paraId="283BBE41"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Cotizables</w:t>
            </w:r>
          </w:p>
        </w:tc>
      </w:tr>
      <w:tr w:rsidR="003B6C26" w:rsidRPr="007F270F" w14:paraId="4D6FF737" w14:textId="77777777" w:rsidTr="001A62FE">
        <w:trPr>
          <w:trHeight w:val="134"/>
        </w:trPr>
        <w:tc>
          <w:tcPr>
            <w:tcW w:w="3402" w:type="dxa"/>
            <w:tcBorders>
              <w:top w:val="nil"/>
              <w:left w:val="single" w:sz="4" w:space="0" w:color="auto"/>
              <w:bottom w:val="single" w:sz="4" w:space="0" w:color="auto"/>
              <w:right w:val="single" w:sz="4" w:space="0" w:color="auto"/>
            </w:tcBorders>
            <w:shd w:val="clear" w:color="000000" w:fill="D9D9D9"/>
            <w:hideMark/>
          </w:tcPr>
          <w:p w14:paraId="3DCF00A3"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ACTIVO</w:t>
            </w:r>
          </w:p>
        </w:tc>
        <w:tc>
          <w:tcPr>
            <w:tcW w:w="919" w:type="dxa"/>
            <w:tcBorders>
              <w:top w:val="nil"/>
              <w:left w:val="nil"/>
              <w:bottom w:val="single" w:sz="4" w:space="0" w:color="363639"/>
              <w:right w:val="single" w:sz="4" w:space="0" w:color="363639"/>
            </w:tcBorders>
            <w:shd w:val="clear" w:color="000000" w:fill="D9D9D9"/>
            <w:noWrap/>
            <w:vAlign w:val="bottom"/>
          </w:tcPr>
          <w:p w14:paraId="49583D3D"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185.579.570 </w:t>
            </w:r>
          </w:p>
        </w:tc>
        <w:tc>
          <w:tcPr>
            <w:tcW w:w="988" w:type="dxa"/>
            <w:tcBorders>
              <w:top w:val="nil"/>
              <w:left w:val="single" w:sz="4" w:space="0" w:color="auto"/>
              <w:bottom w:val="single" w:sz="4" w:space="0" w:color="auto"/>
              <w:right w:val="single" w:sz="4" w:space="0" w:color="auto"/>
            </w:tcBorders>
            <w:shd w:val="clear" w:color="000000" w:fill="D9D9D9"/>
            <w:noWrap/>
            <w:vAlign w:val="bottom"/>
          </w:tcPr>
          <w:p w14:paraId="593226B3"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56.974.855 </w:t>
            </w:r>
          </w:p>
        </w:tc>
        <w:tc>
          <w:tcPr>
            <w:tcW w:w="851" w:type="dxa"/>
            <w:tcBorders>
              <w:top w:val="nil"/>
              <w:left w:val="nil"/>
              <w:bottom w:val="single" w:sz="4" w:space="0" w:color="auto"/>
              <w:right w:val="single" w:sz="4" w:space="0" w:color="auto"/>
            </w:tcBorders>
            <w:shd w:val="clear" w:color="000000" w:fill="D9D9D9"/>
            <w:noWrap/>
            <w:vAlign w:val="bottom"/>
          </w:tcPr>
          <w:p w14:paraId="74037D30"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1.933.092 </w:t>
            </w:r>
          </w:p>
        </w:tc>
        <w:tc>
          <w:tcPr>
            <w:tcW w:w="841" w:type="dxa"/>
            <w:tcBorders>
              <w:top w:val="nil"/>
              <w:left w:val="nil"/>
              <w:bottom w:val="single" w:sz="4" w:space="0" w:color="auto"/>
              <w:right w:val="single" w:sz="4" w:space="0" w:color="auto"/>
            </w:tcBorders>
            <w:shd w:val="clear" w:color="000000" w:fill="D9D9D9"/>
            <w:noWrap/>
            <w:vAlign w:val="bottom"/>
          </w:tcPr>
          <w:p w14:paraId="44E68450"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83.868.611 </w:t>
            </w:r>
          </w:p>
        </w:tc>
        <w:tc>
          <w:tcPr>
            <w:tcW w:w="850" w:type="dxa"/>
            <w:tcBorders>
              <w:top w:val="nil"/>
              <w:left w:val="nil"/>
              <w:bottom w:val="single" w:sz="4" w:space="0" w:color="auto"/>
              <w:right w:val="single" w:sz="4" w:space="0" w:color="auto"/>
            </w:tcBorders>
            <w:shd w:val="clear" w:color="000000" w:fill="D9D9D9"/>
            <w:noWrap/>
            <w:vAlign w:val="bottom"/>
          </w:tcPr>
          <w:p w14:paraId="5A6EBDDD"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5.949.465 </w:t>
            </w:r>
          </w:p>
        </w:tc>
        <w:tc>
          <w:tcPr>
            <w:tcW w:w="841" w:type="dxa"/>
            <w:tcBorders>
              <w:top w:val="nil"/>
              <w:left w:val="nil"/>
              <w:bottom w:val="single" w:sz="4" w:space="0" w:color="auto"/>
              <w:right w:val="single" w:sz="4" w:space="0" w:color="auto"/>
            </w:tcBorders>
            <w:shd w:val="clear" w:color="000000" w:fill="D9D9D9"/>
            <w:noWrap/>
            <w:vAlign w:val="bottom"/>
          </w:tcPr>
          <w:p w14:paraId="6576A817"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268.843 </w:t>
            </w:r>
          </w:p>
        </w:tc>
        <w:tc>
          <w:tcPr>
            <w:tcW w:w="989" w:type="dxa"/>
            <w:tcBorders>
              <w:top w:val="nil"/>
              <w:left w:val="nil"/>
              <w:bottom w:val="single" w:sz="4" w:space="0" w:color="auto"/>
              <w:right w:val="single" w:sz="4" w:space="0" w:color="auto"/>
            </w:tcBorders>
            <w:shd w:val="clear" w:color="000000" w:fill="D9D9D9"/>
            <w:noWrap/>
            <w:vAlign w:val="bottom"/>
          </w:tcPr>
          <w:p w14:paraId="141B6E46"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15.745.395 </w:t>
            </w:r>
          </w:p>
        </w:tc>
        <w:tc>
          <w:tcPr>
            <w:tcW w:w="841" w:type="dxa"/>
            <w:tcBorders>
              <w:top w:val="nil"/>
              <w:left w:val="nil"/>
              <w:bottom w:val="single" w:sz="4" w:space="0" w:color="auto"/>
              <w:right w:val="single" w:sz="4" w:space="0" w:color="auto"/>
            </w:tcBorders>
            <w:shd w:val="clear" w:color="000000" w:fill="D9D9D9"/>
            <w:noWrap/>
            <w:vAlign w:val="bottom"/>
          </w:tcPr>
          <w:p w14:paraId="7B6226D4"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20.421.085 </w:t>
            </w:r>
          </w:p>
        </w:tc>
        <w:tc>
          <w:tcPr>
            <w:tcW w:w="841" w:type="dxa"/>
            <w:tcBorders>
              <w:top w:val="nil"/>
              <w:left w:val="nil"/>
              <w:bottom w:val="single" w:sz="4" w:space="0" w:color="auto"/>
              <w:right w:val="single" w:sz="4" w:space="0" w:color="auto"/>
            </w:tcBorders>
            <w:shd w:val="clear" w:color="000000" w:fill="D9D9D9"/>
            <w:noWrap/>
            <w:vAlign w:val="bottom"/>
          </w:tcPr>
          <w:p w14:paraId="7F788414"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418.224 </w:t>
            </w:r>
          </w:p>
        </w:tc>
      </w:tr>
      <w:tr w:rsidR="003B6C26" w:rsidRPr="007F270F" w14:paraId="646D2690" w14:textId="77777777" w:rsidTr="001A62FE">
        <w:trPr>
          <w:trHeight w:val="225"/>
        </w:trPr>
        <w:tc>
          <w:tcPr>
            <w:tcW w:w="3402" w:type="dxa"/>
            <w:tcBorders>
              <w:top w:val="single" w:sz="4" w:space="0" w:color="auto"/>
              <w:left w:val="single" w:sz="4" w:space="0" w:color="auto"/>
              <w:bottom w:val="single" w:sz="4" w:space="0" w:color="363639"/>
              <w:right w:val="single" w:sz="4" w:space="0" w:color="363639"/>
            </w:tcBorders>
            <w:shd w:val="clear" w:color="auto" w:fill="auto"/>
            <w:vAlign w:val="bottom"/>
            <w:hideMark/>
          </w:tcPr>
          <w:p w14:paraId="5B6BCDDF"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Efectivo y Depósitos en Bancos</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C5DC7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35.162.486 </w:t>
            </w:r>
          </w:p>
        </w:tc>
        <w:tc>
          <w:tcPr>
            <w:tcW w:w="988" w:type="dxa"/>
            <w:tcBorders>
              <w:top w:val="single" w:sz="4" w:space="0" w:color="auto"/>
              <w:left w:val="nil"/>
              <w:bottom w:val="single" w:sz="4" w:space="0" w:color="auto"/>
              <w:right w:val="single" w:sz="4" w:space="0" w:color="auto"/>
            </w:tcBorders>
            <w:shd w:val="clear" w:color="auto" w:fill="auto"/>
            <w:noWrap/>
            <w:vAlign w:val="bottom"/>
          </w:tcPr>
          <w:p w14:paraId="2EA8D0F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22.210.307 </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D65BC5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62F663C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15F199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5865B48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single" w:sz="4" w:space="0" w:color="auto"/>
              <w:left w:val="nil"/>
              <w:bottom w:val="single" w:sz="4" w:space="0" w:color="auto"/>
              <w:right w:val="single" w:sz="4" w:space="0" w:color="auto"/>
            </w:tcBorders>
            <w:shd w:val="clear" w:color="auto" w:fill="auto"/>
            <w:noWrap/>
            <w:vAlign w:val="bottom"/>
          </w:tcPr>
          <w:p w14:paraId="50CCB1B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12.952.179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57CA4BD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06CC3DD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07CEC809" w14:textId="77777777" w:rsidTr="001A62FE">
        <w:trPr>
          <w:trHeight w:val="154"/>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4A6D4AC3"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Efectivo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5DD9FC9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9.538.275 </w:t>
            </w:r>
          </w:p>
        </w:tc>
        <w:tc>
          <w:tcPr>
            <w:tcW w:w="988" w:type="dxa"/>
            <w:tcBorders>
              <w:top w:val="nil"/>
              <w:left w:val="nil"/>
              <w:bottom w:val="single" w:sz="4" w:space="0" w:color="auto"/>
              <w:right w:val="single" w:sz="4" w:space="0" w:color="auto"/>
            </w:tcBorders>
            <w:shd w:val="clear" w:color="auto" w:fill="auto"/>
            <w:noWrap/>
            <w:vAlign w:val="bottom"/>
          </w:tcPr>
          <w:p w14:paraId="0EBD3B2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6.924.918 </w:t>
            </w:r>
          </w:p>
        </w:tc>
        <w:tc>
          <w:tcPr>
            <w:tcW w:w="851" w:type="dxa"/>
            <w:tcBorders>
              <w:top w:val="nil"/>
              <w:left w:val="nil"/>
              <w:bottom w:val="single" w:sz="4" w:space="0" w:color="auto"/>
              <w:right w:val="single" w:sz="4" w:space="0" w:color="auto"/>
            </w:tcBorders>
            <w:shd w:val="clear" w:color="auto" w:fill="auto"/>
            <w:noWrap/>
            <w:vAlign w:val="bottom"/>
          </w:tcPr>
          <w:p w14:paraId="0C93F7E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39A287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6C103FD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66EF62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9E6DD9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2.613.357 </w:t>
            </w:r>
          </w:p>
        </w:tc>
        <w:tc>
          <w:tcPr>
            <w:tcW w:w="841" w:type="dxa"/>
            <w:tcBorders>
              <w:top w:val="nil"/>
              <w:left w:val="nil"/>
              <w:bottom w:val="single" w:sz="4" w:space="0" w:color="auto"/>
              <w:right w:val="single" w:sz="4" w:space="0" w:color="auto"/>
            </w:tcBorders>
            <w:shd w:val="clear" w:color="auto" w:fill="auto"/>
            <w:noWrap/>
            <w:vAlign w:val="bottom"/>
          </w:tcPr>
          <w:p w14:paraId="18D08B8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3859C6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4CA8D584" w14:textId="77777777" w:rsidTr="001A62FE">
        <w:trPr>
          <w:trHeight w:val="114"/>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22DCAADB"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Entidades Financieras y corresponsales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06936622" w14:textId="77777777" w:rsidR="003B6C26" w:rsidRPr="00432534" w:rsidRDefault="003B6C26" w:rsidP="001A62FE">
            <w:pPr>
              <w:jc w:val="right"/>
              <w:rPr>
                <w:rFonts w:ascii="Arial" w:hAnsi="Arial" w:cs="Arial"/>
                <w:sz w:val="14"/>
                <w:szCs w:val="14"/>
                <w:lang w:eastAsia="es-AR"/>
              </w:rPr>
            </w:pPr>
          </w:p>
        </w:tc>
        <w:tc>
          <w:tcPr>
            <w:tcW w:w="988" w:type="dxa"/>
            <w:tcBorders>
              <w:top w:val="nil"/>
              <w:left w:val="nil"/>
              <w:bottom w:val="single" w:sz="4" w:space="0" w:color="auto"/>
              <w:right w:val="single" w:sz="4" w:space="0" w:color="auto"/>
            </w:tcBorders>
            <w:shd w:val="clear" w:color="auto" w:fill="auto"/>
            <w:noWrap/>
            <w:vAlign w:val="bottom"/>
          </w:tcPr>
          <w:p w14:paraId="5FC1E045" w14:textId="77777777" w:rsidR="003B6C26" w:rsidRPr="00432534" w:rsidRDefault="003B6C26" w:rsidP="001A62FE">
            <w:pPr>
              <w:jc w:val="right"/>
              <w:rPr>
                <w:rFonts w:ascii="Arial" w:hAnsi="Arial" w:cs="Arial"/>
                <w:sz w:val="14"/>
                <w:szCs w:val="14"/>
                <w:lang w:eastAsia="es-AR"/>
              </w:rPr>
            </w:pPr>
          </w:p>
        </w:tc>
        <w:tc>
          <w:tcPr>
            <w:tcW w:w="851" w:type="dxa"/>
            <w:tcBorders>
              <w:top w:val="nil"/>
              <w:left w:val="nil"/>
              <w:bottom w:val="single" w:sz="4" w:space="0" w:color="auto"/>
              <w:right w:val="single" w:sz="4" w:space="0" w:color="auto"/>
            </w:tcBorders>
            <w:shd w:val="clear" w:color="auto" w:fill="auto"/>
            <w:noWrap/>
            <w:vAlign w:val="bottom"/>
          </w:tcPr>
          <w:p w14:paraId="2BC5A091" w14:textId="77777777" w:rsidR="003B6C26" w:rsidRPr="00432534" w:rsidRDefault="003B6C26" w:rsidP="001A62FE">
            <w:pPr>
              <w:jc w:val="right"/>
              <w:rPr>
                <w:rFonts w:ascii="Arial" w:hAnsi="Arial" w:cs="Arial"/>
                <w:sz w:val="14"/>
                <w:szCs w:val="14"/>
                <w:lang w:eastAsia="es-AR"/>
              </w:rPr>
            </w:pPr>
          </w:p>
        </w:tc>
        <w:tc>
          <w:tcPr>
            <w:tcW w:w="841" w:type="dxa"/>
            <w:tcBorders>
              <w:top w:val="nil"/>
              <w:left w:val="nil"/>
              <w:bottom w:val="single" w:sz="4" w:space="0" w:color="auto"/>
              <w:right w:val="single" w:sz="4" w:space="0" w:color="auto"/>
            </w:tcBorders>
            <w:shd w:val="clear" w:color="auto" w:fill="auto"/>
            <w:noWrap/>
            <w:vAlign w:val="bottom"/>
          </w:tcPr>
          <w:p w14:paraId="57ADAAEC" w14:textId="77777777" w:rsidR="003B6C26" w:rsidRPr="00432534" w:rsidRDefault="003B6C26" w:rsidP="001A62FE">
            <w:pPr>
              <w:jc w:val="right"/>
              <w:rPr>
                <w:rFonts w:ascii="Arial" w:hAnsi="Arial" w:cs="Arial"/>
                <w:sz w:val="14"/>
                <w:szCs w:val="14"/>
                <w:lang w:eastAsia="es-AR"/>
              </w:rPr>
            </w:pPr>
          </w:p>
        </w:tc>
        <w:tc>
          <w:tcPr>
            <w:tcW w:w="850" w:type="dxa"/>
            <w:tcBorders>
              <w:top w:val="nil"/>
              <w:left w:val="nil"/>
              <w:bottom w:val="single" w:sz="4" w:space="0" w:color="auto"/>
              <w:right w:val="single" w:sz="4" w:space="0" w:color="auto"/>
            </w:tcBorders>
            <w:shd w:val="clear" w:color="auto" w:fill="auto"/>
            <w:noWrap/>
            <w:vAlign w:val="bottom"/>
          </w:tcPr>
          <w:p w14:paraId="3C830E2E" w14:textId="77777777" w:rsidR="003B6C26" w:rsidRPr="00432534" w:rsidRDefault="003B6C26" w:rsidP="001A62FE">
            <w:pPr>
              <w:jc w:val="right"/>
              <w:rPr>
                <w:rFonts w:ascii="Arial" w:hAnsi="Arial" w:cs="Arial"/>
                <w:sz w:val="14"/>
                <w:szCs w:val="14"/>
                <w:lang w:eastAsia="es-AR"/>
              </w:rPr>
            </w:pPr>
          </w:p>
        </w:tc>
        <w:tc>
          <w:tcPr>
            <w:tcW w:w="841" w:type="dxa"/>
            <w:tcBorders>
              <w:top w:val="nil"/>
              <w:left w:val="nil"/>
              <w:bottom w:val="single" w:sz="4" w:space="0" w:color="auto"/>
              <w:right w:val="single" w:sz="4" w:space="0" w:color="auto"/>
            </w:tcBorders>
            <w:shd w:val="clear" w:color="auto" w:fill="auto"/>
            <w:noWrap/>
            <w:vAlign w:val="bottom"/>
          </w:tcPr>
          <w:p w14:paraId="0AC3CA83" w14:textId="77777777" w:rsidR="003B6C26" w:rsidRPr="00432534" w:rsidRDefault="003B6C26" w:rsidP="001A62FE">
            <w:pPr>
              <w:jc w:val="right"/>
              <w:rPr>
                <w:rFonts w:ascii="Arial" w:hAnsi="Arial" w:cs="Arial"/>
                <w:sz w:val="14"/>
                <w:szCs w:val="14"/>
                <w:lang w:eastAsia="es-AR"/>
              </w:rPr>
            </w:pPr>
          </w:p>
        </w:tc>
        <w:tc>
          <w:tcPr>
            <w:tcW w:w="989" w:type="dxa"/>
            <w:tcBorders>
              <w:top w:val="nil"/>
              <w:left w:val="nil"/>
              <w:bottom w:val="single" w:sz="4" w:space="0" w:color="auto"/>
              <w:right w:val="single" w:sz="4" w:space="0" w:color="auto"/>
            </w:tcBorders>
            <w:shd w:val="clear" w:color="auto" w:fill="auto"/>
            <w:noWrap/>
            <w:vAlign w:val="bottom"/>
          </w:tcPr>
          <w:p w14:paraId="143CC83A" w14:textId="77777777" w:rsidR="003B6C26" w:rsidRPr="00432534" w:rsidRDefault="003B6C26" w:rsidP="001A62FE">
            <w:pPr>
              <w:jc w:val="right"/>
              <w:rPr>
                <w:rFonts w:ascii="Arial" w:hAnsi="Arial" w:cs="Arial"/>
                <w:sz w:val="14"/>
                <w:szCs w:val="14"/>
                <w:lang w:eastAsia="es-AR"/>
              </w:rPr>
            </w:pPr>
          </w:p>
        </w:tc>
        <w:tc>
          <w:tcPr>
            <w:tcW w:w="841" w:type="dxa"/>
            <w:tcBorders>
              <w:top w:val="nil"/>
              <w:left w:val="nil"/>
              <w:bottom w:val="single" w:sz="4" w:space="0" w:color="auto"/>
              <w:right w:val="single" w:sz="4" w:space="0" w:color="auto"/>
            </w:tcBorders>
            <w:shd w:val="clear" w:color="auto" w:fill="auto"/>
            <w:noWrap/>
            <w:vAlign w:val="bottom"/>
          </w:tcPr>
          <w:p w14:paraId="7ADA1B3B" w14:textId="77777777" w:rsidR="003B6C26" w:rsidRPr="00432534" w:rsidRDefault="003B6C26" w:rsidP="001A62FE">
            <w:pPr>
              <w:jc w:val="right"/>
              <w:rPr>
                <w:rFonts w:ascii="Arial" w:hAnsi="Arial" w:cs="Arial"/>
                <w:sz w:val="14"/>
                <w:szCs w:val="14"/>
                <w:lang w:eastAsia="es-AR"/>
              </w:rPr>
            </w:pPr>
          </w:p>
        </w:tc>
        <w:tc>
          <w:tcPr>
            <w:tcW w:w="841" w:type="dxa"/>
            <w:tcBorders>
              <w:top w:val="nil"/>
              <w:left w:val="nil"/>
              <w:bottom w:val="single" w:sz="4" w:space="0" w:color="auto"/>
              <w:right w:val="single" w:sz="4" w:space="0" w:color="auto"/>
            </w:tcBorders>
            <w:shd w:val="clear" w:color="auto" w:fill="auto"/>
            <w:noWrap/>
            <w:vAlign w:val="bottom"/>
          </w:tcPr>
          <w:p w14:paraId="1C538F30" w14:textId="77777777" w:rsidR="003B6C26" w:rsidRPr="00432534" w:rsidRDefault="003B6C26" w:rsidP="001A62FE">
            <w:pPr>
              <w:jc w:val="right"/>
              <w:rPr>
                <w:rFonts w:ascii="Arial" w:hAnsi="Arial" w:cs="Arial"/>
                <w:sz w:val="14"/>
                <w:szCs w:val="14"/>
                <w:lang w:eastAsia="es-AR"/>
              </w:rPr>
            </w:pPr>
          </w:p>
        </w:tc>
      </w:tr>
      <w:tr w:rsidR="003B6C26" w:rsidRPr="007F270F" w14:paraId="560F5342" w14:textId="77777777" w:rsidTr="001A62FE">
        <w:trPr>
          <w:trHeight w:val="89"/>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041401D2"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BCRA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0E96991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24.214.769 </w:t>
            </w:r>
          </w:p>
        </w:tc>
        <w:tc>
          <w:tcPr>
            <w:tcW w:w="988" w:type="dxa"/>
            <w:tcBorders>
              <w:top w:val="nil"/>
              <w:left w:val="nil"/>
              <w:bottom w:val="single" w:sz="4" w:space="0" w:color="auto"/>
              <w:right w:val="single" w:sz="4" w:space="0" w:color="auto"/>
            </w:tcBorders>
            <w:shd w:val="clear" w:color="auto" w:fill="auto"/>
            <w:noWrap/>
            <w:vAlign w:val="bottom"/>
          </w:tcPr>
          <w:p w14:paraId="427C3CA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15.082.804 </w:t>
            </w:r>
          </w:p>
        </w:tc>
        <w:tc>
          <w:tcPr>
            <w:tcW w:w="851" w:type="dxa"/>
            <w:tcBorders>
              <w:top w:val="nil"/>
              <w:left w:val="nil"/>
              <w:bottom w:val="single" w:sz="4" w:space="0" w:color="auto"/>
              <w:right w:val="single" w:sz="4" w:space="0" w:color="auto"/>
            </w:tcBorders>
            <w:shd w:val="clear" w:color="auto" w:fill="auto"/>
            <w:noWrap/>
            <w:vAlign w:val="bottom"/>
          </w:tcPr>
          <w:p w14:paraId="3330CEE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27F53A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9B8392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B757C2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752824E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9.131.965 </w:t>
            </w:r>
          </w:p>
        </w:tc>
        <w:tc>
          <w:tcPr>
            <w:tcW w:w="841" w:type="dxa"/>
            <w:tcBorders>
              <w:top w:val="nil"/>
              <w:left w:val="nil"/>
              <w:bottom w:val="single" w:sz="4" w:space="0" w:color="auto"/>
              <w:right w:val="single" w:sz="4" w:space="0" w:color="auto"/>
            </w:tcBorders>
            <w:shd w:val="clear" w:color="auto" w:fill="auto"/>
            <w:noWrap/>
            <w:vAlign w:val="bottom"/>
          </w:tcPr>
          <w:p w14:paraId="201D8C9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8A827E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333E59C5" w14:textId="77777777" w:rsidTr="001A62FE">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24F9E75D"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Otras del país y del exterior</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222DB33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1.383.167 </w:t>
            </w:r>
          </w:p>
        </w:tc>
        <w:tc>
          <w:tcPr>
            <w:tcW w:w="988" w:type="dxa"/>
            <w:tcBorders>
              <w:top w:val="nil"/>
              <w:left w:val="nil"/>
              <w:bottom w:val="single" w:sz="4" w:space="0" w:color="auto"/>
              <w:right w:val="single" w:sz="4" w:space="0" w:color="auto"/>
            </w:tcBorders>
            <w:shd w:val="clear" w:color="auto" w:fill="auto"/>
            <w:noWrap/>
            <w:vAlign w:val="bottom"/>
          </w:tcPr>
          <w:p w14:paraId="4E40924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202.585 </w:t>
            </w:r>
          </w:p>
        </w:tc>
        <w:tc>
          <w:tcPr>
            <w:tcW w:w="851" w:type="dxa"/>
            <w:tcBorders>
              <w:top w:val="nil"/>
              <w:left w:val="nil"/>
              <w:bottom w:val="single" w:sz="4" w:space="0" w:color="auto"/>
              <w:right w:val="single" w:sz="4" w:space="0" w:color="auto"/>
            </w:tcBorders>
            <w:shd w:val="clear" w:color="auto" w:fill="auto"/>
            <w:noWrap/>
            <w:vAlign w:val="bottom"/>
          </w:tcPr>
          <w:p w14:paraId="1E37A29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764CED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5161295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77AB5E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59A168E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1.180.582 </w:t>
            </w:r>
          </w:p>
        </w:tc>
        <w:tc>
          <w:tcPr>
            <w:tcW w:w="841" w:type="dxa"/>
            <w:tcBorders>
              <w:top w:val="nil"/>
              <w:left w:val="nil"/>
              <w:bottom w:val="single" w:sz="4" w:space="0" w:color="auto"/>
              <w:right w:val="single" w:sz="4" w:space="0" w:color="auto"/>
            </w:tcBorders>
            <w:shd w:val="clear" w:color="auto" w:fill="auto"/>
            <w:noWrap/>
            <w:vAlign w:val="bottom"/>
          </w:tcPr>
          <w:p w14:paraId="204388F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9EB4EE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587DB1FA" w14:textId="77777777" w:rsidTr="001A62FE">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7A06A557"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Otros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6C02057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26.275 </w:t>
            </w:r>
          </w:p>
        </w:tc>
        <w:tc>
          <w:tcPr>
            <w:tcW w:w="988" w:type="dxa"/>
            <w:tcBorders>
              <w:top w:val="nil"/>
              <w:left w:val="nil"/>
              <w:bottom w:val="single" w:sz="4" w:space="0" w:color="auto"/>
              <w:right w:val="single" w:sz="4" w:space="0" w:color="auto"/>
            </w:tcBorders>
            <w:shd w:val="clear" w:color="auto" w:fill="auto"/>
            <w:noWrap/>
            <w:vAlign w:val="bottom"/>
          </w:tcPr>
          <w:p w14:paraId="2497D69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700FE8D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D63A03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62058B2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9B96EE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9E166A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26.275 </w:t>
            </w:r>
          </w:p>
        </w:tc>
        <w:tc>
          <w:tcPr>
            <w:tcW w:w="841" w:type="dxa"/>
            <w:tcBorders>
              <w:top w:val="nil"/>
              <w:left w:val="nil"/>
              <w:bottom w:val="single" w:sz="4" w:space="0" w:color="auto"/>
              <w:right w:val="single" w:sz="4" w:space="0" w:color="auto"/>
            </w:tcBorders>
            <w:shd w:val="clear" w:color="auto" w:fill="auto"/>
            <w:noWrap/>
            <w:vAlign w:val="bottom"/>
          </w:tcPr>
          <w:p w14:paraId="472C8F8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38B0CF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6AEC6094" w14:textId="77777777" w:rsidTr="001A62FE">
        <w:trPr>
          <w:trHeight w:val="279"/>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6921B7E2"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Títulos de deuda a valor razonable con cambios en resultados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4D9840C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260.060 </w:t>
            </w:r>
          </w:p>
        </w:tc>
        <w:tc>
          <w:tcPr>
            <w:tcW w:w="988" w:type="dxa"/>
            <w:tcBorders>
              <w:top w:val="nil"/>
              <w:left w:val="nil"/>
              <w:bottom w:val="single" w:sz="4" w:space="0" w:color="auto"/>
              <w:right w:val="single" w:sz="4" w:space="0" w:color="auto"/>
            </w:tcBorders>
            <w:shd w:val="clear" w:color="auto" w:fill="auto"/>
            <w:noWrap/>
            <w:vAlign w:val="bottom"/>
          </w:tcPr>
          <w:p w14:paraId="64FAE14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07A1FED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CBB77D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6EF07FB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B6073D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260.060 </w:t>
            </w:r>
          </w:p>
        </w:tc>
        <w:tc>
          <w:tcPr>
            <w:tcW w:w="989" w:type="dxa"/>
            <w:tcBorders>
              <w:top w:val="nil"/>
              <w:left w:val="nil"/>
              <w:bottom w:val="single" w:sz="4" w:space="0" w:color="auto"/>
              <w:right w:val="single" w:sz="4" w:space="0" w:color="auto"/>
            </w:tcBorders>
            <w:shd w:val="clear" w:color="auto" w:fill="auto"/>
            <w:noWrap/>
            <w:vAlign w:val="bottom"/>
          </w:tcPr>
          <w:p w14:paraId="5E47AE6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EFB90D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3EFA07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564D5516" w14:textId="77777777" w:rsidTr="001A62FE">
        <w:trPr>
          <w:trHeight w:val="10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0941FC10"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 xml:space="preserve">Instrumentos derivados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436FB3A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143.424 </w:t>
            </w:r>
          </w:p>
        </w:tc>
        <w:tc>
          <w:tcPr>
            <w:tcW w:w="988" w:type="dxa"/>
            <w:tcBorders>
              <w:top w:val="nil"/>
              <w:left w:val="nil"/>
              <w:bottom w:val="single" w:sz="4" w:space="0" w:color="auto"/>
              <w:right w:val="single" w:sz="4" w:space="0" w:color="auto"/>
            </w:tcBorders>
            <w:shd w:val="clear" w:color="auto" w:fill="auto"/>
            <w:noWrap/>
            <w:vAlign w:val="bottom"/>
          </w:tcPr>
          <w:p w14:paraId="2F4CC0B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143.424 </w:t>
            </w:r>
          </w:p>
        </w:tc>
        <w:tc>
          <w:tcPr>
            <w:tcW w:w="851" w:type="dxa"/>
            <w:tcBorders>
              <w:top w:val="nil"/>
              <w:left w:val="nil"/>
              <w:bottom w:val="single" w:sz="4" w:space="0" w:color="auto"/>
              <w:right w:val="single" w:sz="4" w:space="0" w:color="auto"/>
            </w:tcBorders>
            <w:shd w:val="clear" w:color="auto" w:fill="auto"/>
            <w:noWrap/>
            <w:vAlign w:val="bottom"/>
          </w:tcPr>
          <w:p w14:paraId="2E8A60F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DB76CF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50DC8CF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818808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1F086A2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0DC43B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D1E812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33B9BA64" w14:textId="77777777" w:rsidTr="001A62FE">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6FC6155D"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 xml:space="preserve">Operaciones de pase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D2E91F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79.143 </w:t>
            </w:r>
          </w:p>
        </w:tc>
        <w:tc>
          <w:tcPr>
            <w:tcW w:w="988" w:type="dxa"/>
            <w:tcBorders>
              <w:top w:val="nil"/>
              <w:left w:val="nil"/>
              <w:bottom w:val="single" w:sz="4" w:space="0" w:color="auto"/>
              <w:right w:val="single" w:sz="4" w:space="0" w:color="auto"/>
            </w:tcBorders>
            <w:shd w:val="clear" w:color="auto" w:fill="auto"/>
            <w:noWrap/>
            <w:vAlign w:val="bottom"/>
          </w:tcPr>
          <w:p w14:paraId="1EA269E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393 </w:t>
            </w:r>
          </w:p>
        </w:tc>
        <w:tc>
          <w:tcPr>
            <w:tcW w:w="851" w:type="dxa"/>
            <w:tcBorders>
              <w:top w:val="nil"/>
              <w:left w:val="nil"/>
              <w:bottom w:val="single" w:sz="4" w:space="0" w:color="auto"/>
              <w:right w:val="single" w:sz="4" w:space="0" w:color="auto"/>
            </w:tcBorders>
            <w:shd w:val="clear" w:color="auto" w:fill="auto"/>
            <w:noWrap/>
            <w:vAlign w:val="bottom"/>
          </w:tcPr>
          <w:p w14:paraId="57C58D1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0C2CB2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78.750 </w:t>
            </w:r>
          </w:p>
        </w:tc>
        <w:tc>
          <w:tcPr>
            <w:tcW w:w="850" w:type="dxa"/>
            <w:tcBorders>
              <w:top w:val="nil"/>
              <w:left w:val="nil"/>
              <w:bottom w:val="single" w:sz="4" w:space="0" w:color="auto"/>
              <w:right w:val="single" w:sz="4" w:space="0" w:color="auto"/>
            </w:tcBorders>
            <w:shd w:val="clear" w:color="auto" w:fill="auto"/>
            <w:noWrap/>
            <w:vAlign w:val="bottom"/>
          </w:tcPr>
          <w:p w14:paraId="5BF9680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A19610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0AAB82F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0CBED2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A5616E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7C1D3DC9" w14:textId="77777777" w:rsidTr="001A62FE">
        <w:trPr>
          <w:trHeight w:val="121"/>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77306EAF"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 xml:space="preserve">Otros activos financieros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813200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1.022.713 </w:t>
            </w:r>
          </w:p>
        </w:tc>
        <w:tc>
          <w:tcPr>
            <w:tcW w:w="988" w:type="dxa"/>
            <w:tcBorders>
              <w:top w:val="nil"/>
              <w:left w:val="nil"/>
              <w:bottom w:val="single" w:sz="4" w:space="0" w:color="auto"/>
              <w:right w:val="single" w:sz="4" w:space="0" w:color="auto"/>
            </w:tcBorders>
            <w:shd w:val="clear" w:color="auto" w:fill="auto"/>
            <w:noWrap/>
            <w:vAlign w:val="bottom"/>
          </w:tcPr>
          <w:p w14:paraId="30C1123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640.129 </w:t>
            </w:r>
          </w:p>
        </w:tc>
        <w:tc>
          <w:tcPr>
            <w:tcW w:w="851" w:type="dxa"/>
            <w:tcBorders>
              <w:top w:val="nil"/>
              <w:left w:val="nil"/>
              <w:bottom w:val="single" w:sz="4" w:space="0" w:color="auto"/>
              <w:right w:val="single" w:sz="4" w:space="0" w:color="auto"/>
            </w:tcBorders>
            <w:shd w:val="clear" w:color="auto" w:fill="auto"/>
            <w:noWrap/>
            <w:vAlign w:val="bottom"/>
          </w:tcPr>
          <w:p w14:paraId="79E3FDF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A9241C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7F305F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138291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428E6F0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351.282 </w:t>
            </w:r>
          </w:p>
        </w:tc>
        <w:tc>
          <w:tcPr>
            <w:tcW w:w="841" w:type="dxa"/>
            <w:tcBorders>
              <w:top w:val="nil"/>
              <w:left w:val="nil"/>
              <w:bottom w:val="single" w:sz="4" w:space="0" w:color="auto"/>
              <w:right w:val="single" w:sz="4" w:space="0" w:color="auto"/>
            </w:tcBorders>
            <w:shd w:val="clear" w:color="auto" w:fill="auto"/>
            <w:noWrap/>
            <w:vAlign w:val="bottom"/>
          </w:tcPr>
          <w:p w14:paraId="6D46B83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D16BB5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31.302 </w:t>
            </w:r>
          </w:p>
        </w:tc>
      </w:tr>
      <w:tr w:rsidR="003B6C26" w:rsidRPr="007F270F" w14:paraId="1B16F765" w14:textId="77777777" w:rsidTr="001A62FE">
        <w:trPr>
          <w:trHeight w:val="136"/>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08D831AC"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 xml:space="preserve">Préstamos y otras financiaciones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68F64B7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82.678.402 </w:t>
            </w:r>
          </w:p>
        </w:tc>
        <w:tc>
          <w:tcPr>
            <w:tcW w:w="988" w:type="dxa"/>
            <w:tcBorders>
              <w:top w:val="nil"/>
              <w:left w:val="nil"/>
              <w:bottom w:val="single" w:sz="4" w:space="0" w:color="auto"/>
              <w:right w:val="single" w:sz="4" w:space="0" w:color="auto"/>
            </w:tcBorders>
            <w:shd w:val="clear" w:color="auto" w:fill="auto"/>
            <w:noWrap/>
            <w:vAlign w:val="bottom"/>
          </w:tcPr>
          <w:p w14:paraId="4BB9954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16.799.802 </w:t>
            </w:r>
          </w:p>
        </w:tc>
        <w:tc>
          <w:tcPr>
            <w:tcW w:w="851" w:type="dxa"/>
            <w:tcBorders>
              <w:top w:val="nil"/>
              <w:left w:val="nil"/>
              <w:bottom w:val="single" w:sz="4" w:space="0" w:color="auto"/>
              <w:right w:val="single" w:sz="4" w:space="0" w:color="auto"/>
            </w:tcBorders>
            <w:shd w:val="clear" w:color="auto" w:fill="auto"/>
            <w:noWrap/>
            <w:vAlign w:val="bottom"/>
          </w:tcPr>
          <w:p w14:paraId="29A0B37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1.449.283 </w:t>
            </w:r>
          </w:p>
        </w:tc>
        <w:tc>
          <w:tcPr>
            <w:tcW w:w="841" w:type="dxa"/>
            <w:tcBorders>
              <w:top w:val="nil"/>
              <w:left w:val="nil"/>
              <w:bottom w:val="single" w:sz="4" w:space="0" w:color="auto"/>
              <w:right w:val="single" w:sz="4" w:space="0" w:color="auto"/>
            </w:tcBorders>
            <w:shd w:val="clear" w:color="auto" w:fill="auto"/>
            <w:noWrap/>
            <w:vAlign w:val="bottom"/>
          </w:tcPr>
          <w:p w14:paraId="15119A9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37.847.123 </w:t>
            </w:r>
          </w:p>
        </w:tc>
        <w:tc>
          <w:tcPr>
            <w:tcW w:w="850" w:type="dxa"/>
            <w:tcBorders>
              <w:top w:val="nil"/>
              <w:left w:val="nil"/>
              <w:bottom w:val="single" w:sz="4" w:space="0" w:color="auto"/>
              <w:right w:val="single" w:sz="4" w:space="0" w:color="auto"/>
            </w:tcBorders>
            <w:shd w:val="clear" w:color="auto" w:fill="auto"/>
            <w:noWrap/>
            <w:vAlign w:val="bottom"/>
          </w:tcPr>
          <w:p w14:paraId="5F63B1A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5.949.465 </w:t>
            </w:r>
          </w:p>
        </w:tc>
        <w:tc>
          <w:tcPr>
            <w:tcW w:w="841" w:type="dxa"/>
            <w:tcBorders>
              <w:top w:val="nil"/>
              <w:left w:val="nil"/>
              <w:bottom w:val="single" w:sz="4" w:space="0" w:color="auto"/>
              <w:right w:val="single" w:sz="4" w:space="0" w:color="auto"/>
            </w:tcBorders>
            <w:shd w:val="clear" w:color="auto" w:fill="auto"/>
            <w:noWrap/>
            <w:vAlign w:val="bottom"/>
          </w:tcPr>
          <w:p w14:paraId="0EA3FD2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4432DF8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211.648 </w:t>
            </w:r>
          </w:p>
        </w:tc>
        <w:tc>
          <w:tcPr>
            <w:tcW w:w="841" w:type="dxa"/>
            <w:tcBorders>
              <w:top w:val="nil"/>
              <w:left w:val="nil"/>
              <w:bottom w:val="single" w:sz="4" w:space="0" w:color="auto"/>
              <w:right w:val="single" w:sz="4" w:space="0" w:color="auto"/>
            </w:tcBorders>
            <w:shd w:val="clear" w:color="auto" w:fill="auto"/>
            <w:noWrap/>
            <w:vAlign w:val="bottom"/>
          </w:tcPr>
          <w:p w14:paraId="6EB670F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20.421.081 </w:t>
            </w:r>
          </w:p>
        </w:tc>
        <w:tc>
          <w:tcPr>
            <w:tcW w:w="841" w:type="dxa"/>
            <w:tcBorders>
              <w:top w:val="nil"/>
              <w:left w:val="nil"/>
              <w:bottom w:val="single" w:sz="4" w:space="0" w:color="auto"/>
              <w:right w:val="single" w:sz="4" w:space="0" w:color="auto"/>
            </w:tcBorders>
            <w:shd w:val="clear" w:color="auto" w:fill="auto"/>
            <w:noWrap/>
            <w:vAlign w:val="bottom"/>
          </w:tcPr>
          <w:p w14:paraId="6818D10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0D99F472" w14:textId="77777777" w:rsidTr="001A62FE">
        <w:trPr>
          <w:trHeight w:val="110"/>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5B1DA3F9"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Sector público no financiero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B286FD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61.188 </w:t>
            </w:r>
          </w:p>
        </w:tc>
        <w:tc>
          <w:tcPr>
            <w:tcW w:w="988" w:type="dxa"/>
            <w:tcBorders>
              <w:top w:val="nil"/>
              <w:left w:val="nil"/>
              <w:bottom w:val="single" w:sz="4" w:space="0" w:color="auto"/>
              <w:right w:val="single" w:sz="4" w:space="0" w:color="auto"/>
            </w:tcBorders>
            <w:shd w:val="clear" w:color="auto" w:fill="auto"/>
            <w:noWrap/>
            <w:vAlign w:val="bottom"/>
          </w:tcPr>
          <w:p w14:paraId="7957193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33.753 </w:t>
            </w:r>
          </w:p>
        </w:tc>
        <w:tc>
          <w:tcPr>
            <w:tcW w:w="851" w:type="dxa"/>
            <w:tcBorders>
              <w:top w:val="nil"/>
              <w:left w:val="nil"/>
              <w:bottom w:val="single" w:sz="4" w:space="0" w:color="auto"/>
              <w:right w:val="single" w:sz="4" w:space="0" w:color="auto"/>
            </w:tcBorders>
            <w:shd w:val="clear" w:color="auto" w:fill="auto"/>
            <w:noWrap/>
            <w:vAlign w:val="bottom"/>
          </w:tcPr>
          <w:p w14:paraId="1D6E4C5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26.631 </w:t>
            </w:r>
          </w:p>
        </w:tc>
        <w:tc>
          <w:tcPr>
            <w:tcW w:w="841" w:type="dxa"/>
            <w:tcBorders>
              <w:top w:val="nil"/>
              <w:left w:val="nil"/>
              <w:bottom w:val="single" w:sz="4" w:space="0" w:color="auto"/>
              <w:right w:val="single" w:sz="4" w:space="0" w:color="auto"/>
            </w:tcBorders>
            <w:shd w:val="clear" w:color="auto" w:fill="auto"/>
            <w:noWrap/>
            <w:vAlign w:val="bottom"/>
          </w:tcPr>
          <w:p w14:paraId="2B73497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804 </w:t>
            </w:r>
          </w:p>
        </w:tc>
        <w:tc>
          <w:tcPr>
            <w:tcW w:w="850" w:type="dxa"/>
            <w:tcBorders>
              <w:top w:val="nil"/>
              <w:left w:val="nil"/>
              <w:bottom w:val="single" w:sz="4" w:space="0" w:color="auto"/>
              <w:right w:val="single" w:sz="4" w:space="0" w:color="auto"/>
            </w:tcBorders>
            <w:shd w:val="clear" w:color="auto" w:fill="auto"/>
            <w:noWrap/>
            <w:vAlign w:val="bottom"/>
          </w:tcPr>
          <w:p w14:paraId="00D7673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29EF61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075436D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4C88A8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C78491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0055C8F7" w14:textId="77777777" w:rsidTr="001A62FE">
        <w:trPr>
          <w:trHeight w:val="99"/>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66436625"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BCRA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42B2842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tcPr>
          <w:p w14:paraId="558425B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49A849C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82439A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00C3AE8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E0A5C9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1E8FAD0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8EDE18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8F2A94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6E05EDEF" w14:textId="77777777" w:rsidTr="001A62FE">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760B64F9"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Otras entidades financieras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2E2D9BF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162.820 </w:t>
            </w:r>
          </w:p>
        </w:tc>
        <w:tc>
          <w:tcPr>
            <w:tcW w:w="988" w:type="dxa"/>
            <w:tcBorders>
              <w:top w:val="nil"/>
              <w:left w:val="nil"/>
              <w:bottom w:val="single" w:sz="4" w:space="0" w:color="auto"/>
              <w:right w:val="single" w:sz="4" w:space="0" w:color="auto"/>
            </w:tcBorders>
            <w:shd w:val="clear" w:color="auto" w:fill="auto"/>
            <w:noWrap/>
            <w:vAlign w:val="bottom"/>
          </w:tcPr>
          <w:p w14:paraId="26C5568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1.192 </w:t>
            </w:r>
          </w:p>
        </w:tc>
        <w:tc>
          <w:tcPr>
            <w:tcW w:w="851" w:type="dxa"/>
            <w:tcBorders>
              <w:top w:val="nil"/>
              <w:left w:val="nil"/>
              <w:bottom w:val="single" w:sz="4" w:space="0" w:color="auto"/>
              <w:right w:val="single" w:sz="4" w:space="0" w:color="auto"/>
            </w:tcBorders>
            <w:shd w:val="clear" w:color="auto" w:fill="auto"/>
            <w:noWrap/>
            <w:vAlign w:val="bottom"/>
          </w:tcPr>
          <w:p w14:paraId="7B95664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D81F84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161.628 </w:t>
            </w:r>
          </w:p>
        </w:tc>
        <w:tc>
          <w:tcPr>
            <w:tcW w:w="850" w:type="dxa"/>
            <w:tcBorders>
              <w:top w:val="nil"/>
              <w:left w:val="nil"/>
              <w:bottom w:val="single" w:sz="4" w:space="0" w:color="auto"/>
              <w:right w:val="single" w:sz="4" w:space="0" w:color="auto"/>
            </w:tcBorders>
            <w:shd w:val="clear" w:color="auto" w:fill="auto"/>
            <w:noWrap/>
            <w:vAlign w:val="bottom"/>
          </w:tcPr>
          <w:p w14:paraId="6E1E9C1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7566E6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39D635A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9D5A93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4C8FFB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12B6A0EA" w14:textId="77777777" w:rsidTr="001A62FE">
        <w:trPr>
          <w:trHeight w:val="174"/>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7485D259"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Sector privado no financiero y residentes en el exterior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4CE3892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82.454.394 </w:t>
            </w:r>
          </w:p>
        </w:tc>
        <w:tc>
          <w:tcPr>
            <w:tcW w:w="988" w:type="dxa"/>
            <w:tcBorders>
              <w:top w:val="nil"/>
              <w:left w:val="nil"/>
              <w:bottom w:val="single" w:sz="4" w:space="0" w:color="auto"/>
              <w:right w:val="single" w:sz="4" w:space="0" w:color="auto"/>
            </w:tcBorders>
            <w:shd w:val="clear" w:color="auto" w:fill="auto"/>
            <w:noWrap/>
            <w:vAlign w:val="bottom"/>
          </w:tcPr>
          <w:p w14:paraId="5011A1D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16.764.857 </w:t>
            </w:r>
          </w:p>
        </w:tc>
        <w:tc>
          <w:tcPr>
            <w:tcW w:w="851" w:type="dxa"/>
            <w:tcBorders>
              <w:top w:val="nil"/>
              <w:left w:val="nil"/>
              <w:bottom w:val="single" w:sz="4" w:space="0" w:color="auto"/>
              <w:right w:val="single" w:sz="4" w:space="0" w:color="auto"/>
            </w:tcBorders>
            <w:shd w:val="clear" w:color="auto" w:fill="auto"/>
            <w:noWrap/>
            <w:vAlign w:val="bottom"/>
          </w:tcPr>
          <w:p w14:paraId="4F7B8F6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1.422.652 </w:t>
            </w:r>
          </w:p>
        </w:tc>
        <w:tc>
          <w:tcPr>
            <w:tcW w:w="841" w:type="dxa"/>
            <w:tcBorders>
              <w:top w:val="nil"/>
              <w:left w:val="nil"/>
              <w:bottom w:val="single" w:sz="4" w:space="0" w:color="auto"/>
              <w:right w:val="single" w:sz="4" w:space="0" w:color="auto"/>
            </w:tcBorders>
            <w:shd w:val="clear" w:color="auto" w:fill="auto"/>
            <w:noWrap/>
            <w:vAlign w:val="bottom"/>
          </w:tcPr>
          <w:p w14:paraId="523A10E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37.684.691 </w:t>
            </w:r>
          </w:p>
        </w:tc>
        <w:tc>
          <w:tcPr>
            <w:tcW w:w="850" w:type="dxa"/>
            <w:tcBorders>
              <w:top w:val="nil"/>
              <w:left w:val="nil"/>
              <w:bottom w:val="single" w:sz="4" w:space="0" w:color="auto"/>
              <w:right w:val="single" w:sz="4" w:space="0" w:color="auto"/>
            </w:tcBorders>
            <w:shd w:val="clear" w:color="auto" w:fill="auto"/>
            <w:noWrap/>
            <w:vAlign w:val="bottom"/>
          </w:tcPr>
          <w:p w14:paraId="18A752A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5.949.465 </w:t>
            </w:r>
          </w:p>
        </w:tc>
        <w:tc>
          <w:tcPr>
            <w:tcW w:w="841" w:type="dxa"/>
            <w:tcBorders>
              <w:top w:val="nil"/>
              <w:left w:val="nil"/>
              <w:bottom w:val="single" w:sz="4" w:space="0" w:color="auto"/>
              <w:right w:val="single" w:sz="4" w:space="0" w:color="auto"/>
            </w:tcBorders>
            <w:shd w:val="clear" w:color="auto" w:fill="auto"/>
            <w:noWrap/>
            <w:vAlign w:val="bottom"/>
          </w:tcPr>
          <w:p w14:paraId="66197C6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7AC6185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211.648 </w:t>
            </w:r>
          </w:p>
        </w:tc>
        <w:tc>
          <w:tcPr>
            <w:tcW w:w="841" w:type="dxa"/>
            <w:tcBorders>
              <w:top w:val="nil"/>
              <w:left w:val="nil"/>
              <w:bottom w:val="single" w:sz="4" w:space="0" w:color="auto"/>
              <w:right w:val="single" w:sz="4" w:space="0" w:color="auto"/>
            </w:tcBorders>
            <w:shd w:val="clear" w:color="auto" w:fill="auto"/>
            <w:noWrap/>
            <w:vAlign w:val="bottom"/>
          </w:tcPr>
          <w:p w14:paraId="1CA09FC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20.421.081 </w:t>
            </w:r>
          </w:p>
        </w:tc>
        <w:tc>
          <w:tcPr>
            <w:tcW w:w="841" w:type="dxa"/>
            <w:tcBorders>
              <w:top w:val="nil"/>
              <w:left w:val="nil"/>
              <w:bottom w:val="single" w:sz="4" w:space="0" w:color="auto"/>
              <w:right w:val="single" w:sz="4" w:space="0" w:color="auto"/>
            </w:tcBorders>
            <w:shd w:val="clear" w:color="auto" w:fill="auto"/>
            <w:noWrap/>
            <w:vAlign w:val="bottom"/>
          </w:tcPr>
          <w:p w14:paraId="591EEEA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0479E595" w14:textId="77777777" w:rsidTr="001A62FE">
        <w:trPr>
          <w:trHeight w:val="194"/>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0347EA7B"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Otros títulos de deuda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78FB305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46.426.583 </w:t>
            </w:r>
          </w:p>
        </w:tc>
        <w:tc>
          <w:tcPr>
            <w:tcW w:w="988" w:type="dxa"/>
            <w:tcBorders>
              <w:top w:val="nil"/>
              <w:left w:val="nil"/>
              <w:bottom w:val="single" w:sz="4" w:space="0" w:color="auto"/>
              <w:right w:val="single" w:sz="4" w:space="0" w:color="auto"/>
            </w:tcBorders>
            <w:shd w:val="clear" w:color="auto" w:fill="auto"/>
            <w:noWrap/>
            <w:vAlign w:val="bottom"/>
          </w:tcPr>
          <w:p w14:paraId="577B957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3B22B93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483.809 </w:t>
            </w:r>
          </w:p>
        </w:tc>
        <w:tc>
          <w:tcPr>
            <w:tcW w:w="841" w:type="dxa"/>
            <w:tcBorders>
              <w:top w:val="nil"/>
              <w:left w:val="nil"/>
              <w:bottom w:val="single" w:sz="4" w:space="0" w:color="auto"/>
              <w:right w:val="single" w:sz="4" w:space="0" w:color="auto"/>
            </w:tcBorders>
            <w:shd w:val="clear" w:color="auto" w:fill="auto"/>
            <w:noWrap/>
            <w:vAlign w:val="bottom"/>
          </w:tcPr>
          <w:p w14:paraId="3E2981C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45.942.738 </w:t>
            </w:r>
          </w:p>
        </w:tc>
        <w:tc>
          <w:tcPr>
            <w:tcW w:w="850" w:type="dxa"/>
            <w:tcBorders>
              <w:top w:val="nil"/>
              <w:left w:val="nil"/>
              <w:bottom w:val="single" w:sz="4" w:space="0" w:color="auto"/>
              <w:right w:val="single" w:sz="4" w:space="0" w:color="auto"/>
            </w:tcBorders>
            <w:shd w:val="clear" w:color="auto" w:fill="auto"/>
            <w:noWrap/>
            <w:vAlign w:val="bottom"/>
          </w:tcPr>
          <w:p w14:paraId="596370C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6E952F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50207FB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9D0228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 </w:t>
            </w:r>
          </w:p>
        </w:tc>
        <w:tc>
          <w:tcPr>
            <w:tcW w:w="841" w:type="dxa"/>
            <w:tcBorders>
              <w:top w:val="nil"/>
              <w:left w:val="nil"/>
              <w:bottom w:val="single" w:sz="4" w:space="0" w:color="auto"/>
              <w:right w:val="single" w:sz="4" w:space="0" w:color="auto"/>
            </w:tcBorders>
            <w:shd w:val="clear" w:color="auto" w:fill="auto"/>
            <w:noWrap/>
            <w:vAlign w:val="bottom"/>
          </w:tcPr>
          <w:p w14:paraId="10C8DAA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32 </w:t>
            </w:r>
          </w:p>
        </w:tc>
      </w:tr>
      <w:tr w:rsidR="003B6C26" w:rsidRPr="007F270F" w14:paraId="1CB21509" w14:textId="77777777" w:rsidTr="001A62FE">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53694A96"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Activos financieros entregados en garantía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095F44F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5.610.753 </w:t>
            </w:r>
          </w:p>
        </w:tc>
        <w:tc>
          <w:tcPr>
            <w:tcW w:w="988" w:type="dxa"/>
            <w:tcBorders>
              <w:top w:val="nil"/>
              <w:left w:val="nil"/>
              <w:bottom w:val="single" w:sz="4" w:space="0" w:color="auto"/>
              <w:right w:val="single" w:sz="4" w:space="0" w:color="auto"/>
            </w:tcBorders>
            <w:shd w:val="clear" w:color="auto" w:fill="auto"/>
            <w:noWrap/>
            <w:vAlign w:val="bottom"/>
          </w:tcPr>
          <w:p w14:paraId="26E4B35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2.993.577 </w:t>
            </w:r>
          </w:p>
        </w:tc>
        <w:tc>
          <w:tcPr>
            <w:tcW w:w="851" w:type="dxa"/>
            <w:tcBorders>
              <w:top w:val="nil"/>
              <w:left w:val="nil"/>
              <w:bottom w:val="single" w:sz="4" w:space="0" w:color="auto"/>
              <w:right w:val="single" w:sz="4" w:space="0" w:color="auto"/>
            </w:tcBorders>
            <w:shd w:val="clear" w:color="auto" w:fill="auto"/>
            <w:noWrap/>
            <w:vAlign w:val="bottom"/>
          </w:tcPr>
          <w:p w14:paraId="2EC09F4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EABCAC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0F8FEA0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F12A47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93BC4A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2.230.286 </w:t>
            </w:r>
          </w:p>
        </w:tc>
        <w:tc>
          <w:tcPr>
            <w:tcW w:w="841" w:type="dxa"/>
            <w:tcBorders>
              <w:top w:val="nil"/>
              <w:left w:val="nil"/>
              <w:bottom w:val="single" w:sz="4" w:space="0" w:color="auto"/>
              <w:right w:val="single" w:sz="4" w:space="0" w:color="auto"/>
            </w:tcBorders>
            <w:shd w:val="clear" w:color="auto" w:fill="auto"/>
            <w:noWrap/>
            <w:vAlign w:val="bottom"/>
          </w:tcPr>
          <w:p w14:paraId="74F4956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613B27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386.890 </w:t>
            </w:r>
          </w:p>
        </w:tc>
      </w:tr>
      <w:tr w:rsidR="003B6C26" w:rsidRPr="007F270F" w14:paraId="7EE3FCA2" w14:textId="77777777" w:rsidTr="001A62FE">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76DDCEA3"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Activos por impuestos a las ganancias corriente</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64D314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415.107 </w:t>
            </w:r>
          </w:p>
        </w:tc>
        <w:tc>
          <w:tcPr>
            <w:tcW w:w="988" w:type="dxa"/>
            <w:tcBorders>
              <w:top w:val="nil"/>
              <w:left w:val="nil"/>
              <w:bottom w:val="single" w:sz="4" w:space="0" w:color="auto"/>
              <w:right w:val="single" w:sz="4" w:space="0" w:color="auto"/>
            </w:tcBorders>
            <w:shd w:val="clear" w:color="auto" w:fill="auto"/>
            <w:noWrap/>
            <w:vAlign w:val="bottom"/>
          </w:tcPr>
          <w:p w14:paraId="4A6890E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415.107 </w:t>
            </w:r>
          </w:p>
        </w:tc>
        <w:tc>
          <w:tcPr>
            <w:tcW w:w="851" w:type="dxa"/>
            <w:tcBorders>
              <w:top w:val="nil"/>
              <w:left w:val="nil"/>
              <w:bottom w:val="single" w:sz="4" w:space="0" w:color="auto"/>
              <w:right w:val="single" w:sz="4" w:space="0" w:color="auto"/>
            </w:tcBorders>
            <w:shd w:val="clear" w:color="auto" w:fill="auto"/>
            <w:noWrap/>
            <w:vAlign w:val="bottom"/>
          </w:tcPr>
          <w:p w14:paraId="288C413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7AEBD8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75A91EF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4158B1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79852B4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4DAE2E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C3F2E6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4D158643" w14:textId="77777777" w:rsidTr="001A62FE">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0B5FBD2E"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Inversiones en instrumentos de patrimonio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72E9379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8.783 </w:t>
            </w:r>
          </w:p>
        </w:tc>
        <w:tc>
          <w:tcPr>
            <w:tcW w:w="988" w:type="dxa"/>
            <w:tcBorders>
              <w:top w:val="nil"/>
              <w:left w:val="nil"/>
              <w:bottom w:val="single" w:sz="4" w:space="0" w:color="auto"/>
              <w:right w:val="single" w:sz="4" w:space="0" w:color="auto"/>
            </w:tcBorders>
            <w:shd w:val="clear" w:color="auto" w:fill="auto"/>
            <w:noWrap/>
            <w:vAlign w:val="bottom"/>
          </w:tcPr>
          <w:p w14:paraId="7806B0A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33B439B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416A76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420DB4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B8A24B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8.783 </w:t>
            </w:r>
          </w:p>
        </w:tc>
        <w:tc>
          <w:tcPr>
            <w:tcW w:w="989" w:type="dxa"/>
            <w:tcBorders>
              <w:top w:val="nil"/>
              <w:left w:val="nil"/>
              <w:bottom w:val="single" w:sz="4" w:space="0" w:color="auto"/>
              <w:right w:val="single" w:sz="4" w:space="0" w:color="auto"/>
            </w:tcBorders>
            <w:shd w:val="clear" w:color="auto" w:fill="auto"/>
            <w:noWrap/>
            <w:vAlign w:val="bottom"/>
          </w:tcPr>
          <w:p w14:paraId="0DAF511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9C73D5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B8A20B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28CA5A77" w14:textId="77777777" w:rsidTr="001A62FE">
        <w:trPr>
          <w:trHeight w:val="206"/>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4DCC8F42"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Inversión en subsidiarias, asociadas y negocios conjuntos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BA0A56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2.543.937 </w:t>
            </w:r>
          </w:p>
        </w:tc>
        <w:tc>
          <w:tcPr>
            <w:tcW w:w="988" w:type="dxa"/>
            <w:tcBorders>
              <w:top w:val="nil"/>
              <w:left w:val="nil"/>
              <w:bottom w:val="single" w:sz="4" w:space="0" w:color="auto"/>
              <w:right w:val="single" w:sz="4" w:space="0" w:color="auto"/>
            </w:tcBorders>
            <w:shd w:val="clear" w:color="auto" w:fill="auto"/>
            <w:noWrap/>
            <w:vAlign w:val="bottom"/>
          </w:tcPr>
          <w:p w14:paraId="1CF7274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2.543.937 </w:t>
            </w:r>
          </w:p>
        </w:tc>
        <w:tc>
          <w:tcPr>
            <w:tcW w:w="851" w:type="dxa"/>
            <w:tcBorders>
              <w:top w:val="nil"/>
              <w:left w:val="nil"/>
              <w:bottom w:val="single" w:sz="4" w:space="0" w:color="auto"/>
              <w:right w:val="single" w:sz="4" w:space="0" w:color="auto"/>
            </w:tcBorders>
            <w:shd w:val="clear" w:color="auto" w:fill="auto"/>
            <w:noWrap/>
            <w:vAlign w:val="bottom"/>
          </w:tcPr>
          <w:p w14:paraId="50A9CE9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D6758D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20C8E03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54F68B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271052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4E0813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3CADE9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76B3FE57" w14:textId="77777777" w:rsidTr="001A62FE">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75FD5A9F"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Propiedad, planta y equipo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38A8C5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4.354.399 </w:t>
            </w:r>
          </w:p>
        </w:tc>
        <w:tc>
          <w:tcPr>
            <w:tcW w:w="988" w:type="dxa"/>
            <w:tcBorders>
              <w:top w:val="nil"/>
              <w:left w:val="nil"/>
              <w:bottom w:val="single" w:sz="4" w:space="0" w:color="auto"/>
              <w:right w:val="single" w:sz="4" w:space="0" w:color="auto"/>
            </w:tcBorders>
            <w:shd w:val="clear" w:color="auto" w:fill="auto"/>
            <w:noWrap/>
            <w:vAlign w:val="bottom"/>
          </w:tcPr>
          <w:p w14:paraId="45367B6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4.354.399 </w:t>
            </w:r>
          </w:p>
        </w:tc>
        <w:tc>
          <w:tcPr>
            <w:tcW w:w="851" w:type="dxa"/>
            <w:tcBorders>
              <w:top w:val="nil"/>
              <w:left w:val="nil"/>
              <w:bottom w:val="single" w:sz="4" w:space="0" w:color="auto"/>
              <w:right w:val="single" w:sz="4" w:space="0" w:color="auto"/>
            </w:tcBorders>
            <w:shd w:val="clear" w:color="auto" w:fill="auto"/>
            <w:noWrap/>
            <w:vAlign w:val="bottom"/>
          </w:tcPr>
          <w:p w14:paraId="56293F8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77672A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661990B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DD195B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C699A7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A58CE4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BEE796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20BB9E62" w14:textId="77777777" w:rsidTr="001A62FE">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723149F6"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Activos intangibles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67EF540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1.159.848 </w:t>
            </w:r>
          </w:p>
        </w:tc>
        <w:tc>
          <w:tcPr>
            <w:tcW w:w="988" w:type="dxa"/>
            <w:tcBorders>
              <w:top w:val="nil"/>
              <w:left w:val="nil"/>
              <w:bottom w:val="single" w:sz="4" w:space="0" w:color="auto"/>
              <w:right w:val="single" w:sz="4" w:space="0" w:color="auto"/>
            </w:tcBorders>
            <w:shd w:val="clear" w:color="auto" w:fill="auto"/>
            <w:noWrap/>
            <w:vAlign w:val="bottom"/>
          </w:tcPr>
          <w:p w14:paraId="6377A5E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1.159.848 </w:t>
            </w:r>
          </w:p>
        </w:tc>
        <w:tc>
          <w:tcPr>
            <w:tcW w:w="851" w:type="dxa"/>
            <w:tcBorders>
              <w:top w:val="nil"/>
              <w:left w:val="nil"/>
              <w:bottom w:val="single" w:sz="4" w:space="0" w:color="auto"/>
              <w:right w:val="single" w:sz="4" w:space="0" w:color="auto"/>
            </w:tcBorders>
            <w:shd w:val="clear" w:color="auto" w:fill="auto"/>
            <w:noWrap/>
            <w:vAlign w:val="bottom"/>
          </w:tcPr>
          <w:p w14:paraId="00235C9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7A3DB0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415A08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CBBA01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4F8D49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901717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76AA15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6175E61A" w14:textId="77777777" w:rsidTr="001A62FE">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58B7D60A"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Activos por impuesto a las ganancias diferido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F9B1F9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161.841 </w:t>
            </w:r>
          </w:p>
        </w:tc>
        <w:tc>
          <w:tcPr>
            <w:tcW w:w="988" w:type="dxa"/>
            <w:tcBorders>
              <w:top w:val="nil"/>
              <w:left w:val="nil"/>
              <w:bottom w:val="single" w:sz="4" w:space="0" w:color="auto"/>
              <w:right w:val="single" w:sz="4" w:space="0" w:color="auto"/>
            </w:tcBorders>
            <w:shd w:val="clear" w:color="auto" w:fill="auto"/>
            <w:noWrap/>
            <w:vAlign w:val="bottom"/>
          </w:tcPr>
          <w:p w14:paraId="1D16C0A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161.841 </w:t>
            </w:r>
          </w:p>
        </w:tc>
        <w:tc>
          <w:tcPr>
            <w:tcW w:w="851" w:type="dxa"/>
            <w:tcBorders>
              <w:top w:val="nil"/>
              <w:left w:val="nil"/>
              <w:bottom w:val="single" w:sz="4" w:space="0" w:color="auto"/>
              <w:right w:val="single" w:sz="4" w:space="0" w:color="auto"/>
            </w:tcBorders>
            <w:shd w:val="clear" w:color="auto" w:fill="auto"/>
            <w:noWrap/>
            <w:vAlign w:val="bottom"/>
          </w:tcPr>
          <w:p w14:paraId="0CE9FC1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7780ED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23DF035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D8FC5E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4FA8B3B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604650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1A491B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7799C6A6" w14:textId="77777777" w:rsidTr="001A62FE">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03095322"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Otros activos no financieros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7C6F11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5.552.091 </w:t>
            </w:r>
          </w:p>
        </w:tc>
        <w:tc>
          <w:tcPr>
            <w:tcW w:w="988" w:type="dxa"/>
            <w:tcBorders>
              <w:top w:val="nil"/>
              <w:left w:val="nil"/>
              <w:bottom w:val="single" w:sz="4" w:space="0" w:color="auto"/>
              <w:right w:val="single" w:sz="4" w:space="0" w:color="auto"/>
            </w:tcBorders>
            <w:shd w:val="clear" w:color="auto" w:fill="auto"/>
            <w:noWrap/>
            <w:vAlign w:val="bottom"/>
          </w:tcPr>
          <w:p w14:paraId="461C63A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5.552.091 </w:t>
            </w:r>
          </w:p>
        </w:tc>
        <w:tc>
          <w:tcPr>
            <w:tcW w:w="851" w:type="dxa"/>
            <w:tcBorders>
              <w:top w:val="nil"/>
              <w:left w:val="nil"/>
              <w:bottom w:val="single" w:sz="4" w:space="0" w:color="auto"/>
              <w:right w:val="single" w:sz="4" w:space="0" w:color="auto"/>
            </w:tcBorders>
            <w:shd w:val="clear" w:color="auto" w:fill="auto"/>
            <w:noWrap/>
            <w:vAlign w:val="bottom"/>
          </w:tcPr>
          <w:p w14:paraId="4A284CD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718DD6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5FF17CB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E4A9EA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1FB601A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46B37D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04A25D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7F270F" w14:paraId="1978E483" w14:textId="77777777" w:rsidTr="001A62FE">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6166B495"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Activos no corrientes mantenidos para la venta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C2A8FB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tcPr>
          <w:p w14:paraId="47D86CA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54CCD7D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1826F5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3F7051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68B606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BFE44D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4A36B0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C4EE37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bl>
    <w:p w14:paraId="5E925950" w14:textId="6E48E887" w:rsidR="003B6C26" w:rsidRDefault="003B6C26" w:rsidP="00702B2F">
      <w:pPr>
        <w:pStyle w:val="s14-99509"/>
        <w:tabs>
          <w:tab w:val="left" w:pos="851"/>
        </w:tabs>
        <w:rPr>
          <w:iCs/>
          <w:color w:val="auto"/>
          <w:highlight w:val="yellow"/>
        </w:rPr>
      </w:pPr>
    </w:p>
    <w:p w14:paraId="7E0D8185" w14:textId="5AA75BAB" w:rsidR="003B6C26" w:rsidRDefault="003B6C26" w:rsidP="00702B2F">
      <w:pPr>
        <w:pStyle w:val="s14-99509"/>
        <w:tabs>
          <w:tab w:val="left" w:pos="851"/>
        </w:tabs>
        <w:rPr>
          <w:iCs/>
          <w:color w:val="auto"/>
          <w:highlight w:val="yellow"/>
        </w:rPr>
      </w:pPr>
    </w:p>
    <w:p w14:paraId="617487E9" w14:textId="4E8ED8D9" w:rsidR="001A62FE" w:rsidRDefault="001A62FE" w:rsidP="00702B2F">
      <w:pPr>
        <w:pStyle w:val="s14-99509"/>
        <w:tabs>
          <w:tab w:val="left" w:pos="851"/>
        </w:tabs>
        <w:rPr>
          <w:iCs/>
          <w:color w:val="auto"/>
          <w:highlight w:val="yellow"/>
        </w:rPr>
      </w:pPr>
    </w:p>
    <w:p w14:paraId="5921E98D" w14:textId="0509B592" w:rsidR="001A62FE" w:rsidRDefault="001A62FE" w:rsidP="00702B2F">
      <w:pPr>
        <w:pStyle w:val="s14-99509"/>
        <w:tabs>
          <w:tab w:val="left" w:pos="851"/>
        </w:tabs>
        <w:rPr>
          <w:iCs/>
          <w:color w:val="auto"/>
          <w:highlight w:val="yellow"/>
        </w:rPr>
      </w:pPr>
    </w:p>
    <w:p w14:paraId="6087525E" w14:textId="426FC00F" w:rsidR="001A62FE" w:rsidRDefault="001A62FE" w:rsidP="00702B2F">
      <w:pPr>
        <w:pStyle w:val="s14-99509"/>
        <w:tabs>
          <w:tab w:val="left" w:pos="851"/>
        </w:tabs>
        <w:rPr>
          <w:iCs/>
          <w:color w:val="auto"/>
          <w:highlight w:val="yellow"/>
        </w:rPr>
      </w:pPr>
    </w:p>
    <w:p w14:paraId="5427C61B" w14:textId="14E7DEAA" w:rsidR="001A62FE" w:rsidRDefault="001A62FE" w:rsidP="00702B2F">
      <w:pPr>
        <w:pStyle w:val="s14-99509"/>
        <w:tabs>
          <w:tab w:val="left" w:pos="851"/>
        </w:tabs>
        <w:rPr>
          <w:iCs/>
          <w:color w:val="auto"/>
          <w:highlight w:val="yellow"/>
        </w:rPr>
      </w:pPr>
    </w:p>
    <w:p w14:paraId="1E55E5F8" w14:textId="60641623" w:rsidR="001A62FE" w:rsidRDefault="001A62FE" w:rsidP="00702B2F">
      <w:pPr>
        <w:pStyle w:val="s14-99509"/>
        <w:tabs>
          <w:tab w:val="left" w:pos="851"/>
        </w:tabs>
        <w:rPr>
          <w:iCs/>
          <w:color w:val="auto"/>
          <w:highlight w:val="yellow"/>
        </w:rPr>
      </w:pPr>
    </w:p>
    <w:p w14:paraId="7AB21BA5" w14:textId="77777777" w:rsidR="001A62FE" w:rsidRDefault="001A62FE" w:rsidP="00702B2F">
      <w:pPr>
        <w:pStyle w:val="s14-99509"/>
        <w:tabs>
          <w:tab w:val="left" w:pos="851"/>
        </w:tabs>
        <w:rPr>
          <w:iCs/>
          <w:color w:val="auto"/>
          <w:highlight w:val="yellow"/>
        </w:rPr>
      </w:pPr>
    </w:p>
    <w:tbl>
      <w:tblPr>
        <w:tblW w:w="11263" w:type="dxa"/>
        <w:tblInd w:w="-1139" w:type="dxa"/>
        <w:tblCellMar>
          <w:left w:w="70" w:type="dxa"/>
          <w:right w:w="70" w:type="dxa"/>
        </w:tblCellMar>
        <w:tblLook w:val="04A0" w:firstRow="1" w:lastRow="0" w:firstColumn="1" w:lastColumn="0" w:noHBand="0" w:noVBand="1"/>
      </w:tblPr>
      <w:tblGrid>
        <w:gridCol w:w="3261"/>
        <w:gridCol w:w="968"/>
        <w:gridCol w:w="988"/>
        <w:gridCol w:w="854"/>
        <w:gridCol w:w="854"/>
        <w:gridCol w:w="814"/>
        <w:gridCol w:w="841"/>
        <w:gridCol w:w="988"/>
        <w:gridCol w:w="854"/>
        <w:gridCol w:w="841"/>
      </w:tblGrid>
      <w:tr w:rsidR="003B6C26" w:rsidRPr="00432534" w14:paraId="5F39ECDF" w14:textId="77777777" w:rsidTr="001A62FE">
        <w:trPr>
          <w:trHeight w:val="266"/>
        </w:trPr>
        <w:tc>
          <w:tcPr>
            <w:tcW w:w="11263" w:type="dxa"/>
            <w:gridSpan w:val="10"/>
            <w:tcBorders>
              <w:top w:val="single" w:sz="4" w:space="0" w:color="363639"/>
              <w:left w:val="single" w:sz="4" w:space="0" w:color="363639"/>
              <w:bottom w:val="single" w:sz="4" w:space="0" w:color="363639"/>
              <w:right w:val="single" w:sz="4" w:space="0" w:color="363639"/>
            </w:tcBorders>
            <w:shd w:val="clear" w:color="000000" w:fill="D9D9D9"/>
            <w:vAlign w:val="center"/>
          </w:tcPr>
          <w:p w14:paraId="44A09326"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lastRenderedPageBreak/>
              <w:t>Información en miles de pesos</w:t>
            </w:r>
          </w:p>
        </w:tc>
      </w:tr>
      <w:tr w:rsidR="003B6C26" w:rsidRPr="00432534" w14:paraId="50030311" w14:textId="77777777" w:rsidTr="001A62FE">
        <w:trPr>
          <w:trHeight w:val="266"/>
        </w:trPr>
        <w:tc>
          <w:tcPr>
            <w:tcW w:w="3261" w:type="dxa"/>
            <w:vMerge w:val="restart"/>
            <w:tcBorders>
              <w:top w:val="single" w:sz="4" w:space="0" w:color="363639"/>
              <w:left w:val="single" w:sz="4" w:space="0" w:color="363639"/>
              <w:right w:val="single" w:sz="4" w:space="0" w:color="363639"/>
            </w:tcBorders>
            <w:shd w:val="clear" w:color="000000" w:fill="D9D9D9"/>
            <w:vAlign w:val="center"/>
          </w:tcPr>
          <w:p w14:paraId="4C411F92"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Estados Financieros al 3</w:t>
            </w:r>
            <w:r w:rsidRPr="00432534">
              <w:rPr>
                <w:b/>
                <w:bCs/>
                <w:sz w:val="14"/>
                <w:szCs w:val="14"/>
                <w:lang w:eastAsia="es-AR"/>
              </w:rPr>
              <w:t>1/03/2020</w:t>
            </w:r>
          </w:p>
        </w:tc>
        <w:tc>
          <w:tcPr>
            <w:tcW w:w="5319" w:type="dxa"/>
            <w:gridSpan w:val="6"/>
            <w:tcBorders>
              <w:top w:val="single" w:sz="4" w:space="0" w:color="363639"/>
              <w:left w:val="nil"/>
              <w:bottom w:val="single" w:sz="4" w:space="0" w:color="363639"/>
              <w:right w:val="single" w:sz="4" w:space="0" w:color="auto"/>
            </w:tcBorders>
            <w:shd w:val="clear" w:color="000000" w:fill="D9D9D9"/>
            <w:noWrap/>
            <w:vAlign w:val="center"/>
          </w:tcPr>
          <w:p w14:paraId="796507D7"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Moneda Nacional</w:t>
            </w:r>
          </w:p>
        </w:tc>
        <w:tc>
          <w:tcPr>
            <w:tcW w:w="2683" w:type="dxa"/>
            <w:gridSpan w:val="3"/>
            <w:tcBorders>
              <w:top w:val="single" w:sz="4" w:space="0" w:color="363639"/>
              <w:left w:val="nil"/>
              <w:bottom w:val="single" w:sz="4" w:space="0" w:color="363639"/>
              <w:right w:val="single" w:sz="4" w:space="0" w:color="363639"/>
            </w:tcBorders>
            <w:shd w:val="clear" w:color="000000" w:fill="D9D9D9"/>
            <w:noWrap/>
            <w:vAlign w:val="center"/>
          </w:tcPr>
          <w:p w14:paraId="33EAC136"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Moneda Extranjera</w:t>
            </w:r>
          </w:p>
        </w:tc>
      </w:tr>
      <w:tr w:rsidR="003B6C26" w:rsidRPr="00432534" w14:paraId="3CECE49C" w14:textId="77777777" w:rsidTr="001A62FE">
        <w:trPr>
          <w:trHeight w:val="266"/>
        </w:trPr>
        <w:tc>
          <w:tcPr>
            <w:tcW w:w="3261" w:type="dxa"/>
            <w:vMerge/>
            <w:tcBorders>
              <w:left w:val="single" w:sz="4" w:space="0" w:color="363639"/>
              <w:bottom w:val="single" w:sz="4" w:space="0" w:color="363639"/>
              <w:right w:val="single" w:sz="4" w:space="0" w:color="363639"/>
            </w:tcBorders>
            <w:shd w:val="clear" w:color="000000" w:fill="D9D9D9"/>
            <w:vAlign w:val="center"/>
          </w:tcPr>
          <w:p w14:paraId="1E9983D6" w14:textId="77777777" w:rsidR="003B6C26" w:rsidRPr="00432534" w:rsidRDefault="003B6C26" w:rsidP="001A62FE">
            <w:pPr>
              <w:jc w:val="center"/>
              <w:rPr>
                <w:rFonts w:ascii="Arial" w:hAnsi="Arial" w:cs="Arial"/>
                <w:b/>
                <w:bCs/>
                <w:sz w:val="14"/>
                <w:szCs w:val="14"/>
                <w:lang w:eastAsia="es-AR"/>
              </w:rPr>
            </w:pPr>
          </w:p>
        </w:tc>
        <w:tc>
          <w:tcPr>
            <w:tcW w:w="968" w:type="dxa"/>
            <w:tcBorders>
              <w:top w:val="single" w:sz="4" w:space="0" w:color="363639"/>
              <w:left w:val="nil"/>
              <w:bottom w:val="single" w:sz="4" w:space="0" w:color="363639"/>
              <w:right w:val="single" w:sz="4" w:space="0" w:color="363639"/>
            </w:tcBorders>
            <w:shd w:val="clear" w:color="000000" w:fill="D9D9D9"/>
            <w:noWrap/>
            <w:vAlign w:val="center"/>
          </w:tcPr>
          <w:p w14:paraId="0263685C"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Saldos al cierre</w:t>
            </w:r>
          </w:p>
        </w:tc>
        <w:tc>
          <w:tcPr>
            <w:tcW w:w="988" w:type="dxa"/>
            <w:tcBorders>
              <w:top w:val="single" w:sz="4" w:space="0" w:color="363639"/>
              <w:left w:val="single" w:sz="4" w:space="0" w:color="auto"/>
              <w:bottom w:val="single" w:sz="4" w:space="0" w:color="363639"/>
              <w:right w:val="single" w:sz="4" w:space="0" w:color="auto"/>
            </w:tcBorders>
            <w:shd w:val="clear" w:color="000000" w:fill="D9D9D9"/>
            <w:noWrap/>
            <w:vAlign w:val="center"/>
          </w:tcPr>
          <w:p w14:paraId="3AA74D11"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Sin Rendimiento</w:t>
            </w:r>
          </w:p>
        </w:tc>
        <w:tc>
          <w:tcPr>
            <w:tcW w:w="854" w:type="dxa"/>
            <w:tcBorders>
              <w:top w:val="single" w:sz="4" w:space="0" w:color="363639"/>
              <w:left w:val="nil"/>
              <w:bottom w:val="single" w:sz="4" w:space="0" w:color="363639"/>
              <w:right w:val="single" w:sz="4" w:space="0" w:color="auto"/>
            </w:tcBorders>
            <w:shd w:val="clear" w:color="000000" w:fill="D9D9D9"/>
            <w:noWrap/>
            <w:vAlign w:val="center"/>
          </w:tcPr>
          <w:p w14:paraId="3F444F22"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Tasa interés variable</w:t>
            </w:r>
          </w:p>
        </w:tc>
        <w:tc>
          <w:tcPr>
            <w:tcW w:w="854" w:type="dxa"/>
            <w:tcBorders>
              <w:top w:val="single" w:sz="4" w:space="0" w:color="363639"/>
              <w:left w:val="nil"/>
              <w:bottom w:val="single" w:sz="4" w:space="0" w:color="363639"/>
              <w:right w:val="single" w:sz="4" w:space="0" w:color="auto"/>
            </w:tcBorders>
            <w:shd w:val="clear" w:color="000000" w:fill="D9D9D9"/>
            <w:noWrap/>
            <w:vAlign w:val="center"/>
          </w:tcPr>
          <w:p w14:paraId="3A9CA08C"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Tasa interés fija</w:t>
            </w:r>
          </w:p>
        </w:tc>
        <w:tc>
          <w:tcPr>
            <w:tcW w:w="814" w:type="dxa"/>
            <w:tcBorders>
              <w:top w:val="single" w:sz="4" w:space="0" w:color="363639"/>
              <w:left w:val="nil"/>
              <w:bottom w:val="single" w:sz="4" w:space="0" w:color="363639"/>
              <w:right w:val="single" w:sz="4" w:space="0" w:color="auto"/>
            </w:tcBorders>
            <w:shd w:val="clear" w:color="000000" w:fill="D9D9D9"/>
            <w:noWrap/>
            <w:vAlign w:val="center"/>
          </w:tcPr>
          <w:p w14:paraId="25C7E27E"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CER/UVA</w:t>
            </w:r>
          </w:p>
        </w:tc>
        <w:tc>
          <w:tcPr>
            <w:tcW w:w="841" w:type="dxa"/>
            <w:tcBorders>
              <w:top w:val="single" w:sz="4" w:space="0" w:color="363639"/>
              <w:left w:val="nil"/>
              <w:bottom w:val="single" w:sz="4" w:space="0" w:color="363639"/>
              <w:right w:val="single" w:sz="4" w:space="0" w:color="auto"/>
            </w:tcBorders>
            <w:shd w:val="clear" w:color="000000" w:fill="D9D9D9"/>
            <w:noWrap/>
            <w:vAlign w:val="center"/>
          </w:tcPr>
          <w:p w14:paraId="0048C821"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Cotizables</w:t>
            </w:r>
          </w:p>
        </w:tc>
        <w:tc>
          <w:tcPr>
            <w:tcW w:w="988" w:type="dxa"/>
            <w:tcBorders>
              <w:top w:val="single" w:sz="4" w:space="0" w:color="363639"/>
              <w:left w:val="nil"/>
              <w:bottom w:val="single" w:sz="4" w:space="0" w:color="363639"/>
              <w:right w:val="single" w:sz="4" w:space="0" w:color="auto"/>
            </w:tcBorders>
            <w:shd w:val="clear" w:color="000000" w:fill="D9D9D9"/>
            <w:noWrap/>
            <w:vAlign w:val="center"/>
          </w:tcPr>
          <w:p w14:paraId="033250FD"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Sin Rendimiento</w:t>
            </w:r>
          </w:p>
        </w:tc>
        <w:tc>
          <w:tcPr>
            <w:tcW w:w="854" w:type="dxa"/>
            <w:tcBorders>
              <w:top w:val="single" w:sz="4" w:space="0" w:color="363639"/>
              <w:left w:val="nil"/>
              <w:bottom w:val="single" w:sz="4" w:space="0" w:color="363639"/>
              <w:right w:val="single" w:sz="4" w:space="0" w:color="auto"/>
            </w:tcBorders>
            <w:shd w:val="clear" w:color="000000" w:fill="D9D9D9"/>
            <w:noWrap/>
            <w:vAlign w:val="center"/>
          </w:tcPr>
          <w:p w14:paraId="3C59B9D3"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Tasa interés</w:t>
            </w:r>
          </w:p>
        </w:tc>
        <w:tc>
          <w:tcPr>
            <w:tcW w:w="841" w:type="dxa"/>
            <w:tcBorders>
              <w:top w:val="single" w:sz="4" w:space="0" w:color="363639"/>
              <w:left w:val="nil"/>
              <w:bottom w:val="single" w:sz="4" w:space="0" w:color="363639"/>
              <w:right w:val="single" w:sz="4" w:space="0" w:color="363639"/>
            </w:tcBorders>
            <w:shd w:val="clear" w:color="000000" w:fill="D9D9D9"/>
            <w:noWrap/>
            <w:vAlign w:val="center"/>
          </w:tcPr>
          <w:p w14:paraId="593AB98B"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Cotizables</w:t>
            </w:r>
          </w:p>
        </w:tc>
      </w:tr>
      <w:tr w:rsidR="003B6C26" w:rsidRPr="00432534" w14:paraId="14E4572D" w14:textId="77777777" w:rsidTr="001A62FE">
        <w:trPr>
          <w:trHeight w:val="266"/>
        </w:trPr>
        <w:tc>
          <w:tcPr>
            <w:tcW w:w="3261" w:type="dxa"/>
            <w:tcBorders>
              <w:top w:val="single" w:sz="4" w:space="0" w:color="363639"/>
              <w:left w:val="single" w:sz="4" w:space="0" w:color="363639"/>
              <w:bottom w:val="single" w:sz="4" w:space="0" w:color="363639"/>
              <w:right w:val="single" w:sz="4" w:space="0" w:color="363639"/>
            </w:tcBorders>
            <w:shd w:val="clear" w:color="000000" w:fill="D9D9D9"/>
            <w:hideMark/>
          </w:tcPr>
          <w:p w14:paraId="670B09B7"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PASIVO</w:t>
            </w:r>
          </w:p>
        </w:tc>
        <w:tc>
          <w:tcPr>
            <w:tcW w:w="968" w:type="dxa"/>
            <w:tcBorders>
              <w:top w:val="nil"/>
              <w:left w:val="nil"/>
              <w:bottom w:val="single" w:sz="4" w:space="0" w:color="363639"/>
              <w:right w:val="single" w:sz="4" w:space="0" w:color="363639"/>
            </w:tcBorders>
            <w:shd w:val="clear" w:color="000000" w:fill="D9D9D9"/>
            <w:noWrap/>
            <w:vAlign w:val="bottom"/>
            <w:hideMark/>
          </w:tcPr>
          <w:p w14:paraId="2D80918A"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164.960.459 </w:t>
            </w:r>
          </w:p>
        </w:tc>
        <w:tc>
          <w:tcPr>
            <w:tcW w:w="98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85C2FBA"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30.367.750 </w:t>
            </w:r>
          </w:p>
        </w:tc>
        <w:tc>
          <w:tcPr>
            <w:tcW w:w="854" w:type="dxa"/>
            <w:tcBorders>
              <w:top w:val="single" w:sz="4" w:space="0" w:color="auto"/>
              <w:left w:val="nil"/>
              <w:bottom w:val="single" w:sz="4" w:space="0" w:color="auto"/>
              <w:right w:val="single" w:sz="4" w:space="0" w:color="auto"/>
            </w:tcBorders>
            <w:shd w:val="clear" w:color="000000" w:fill="D9D9D9"/>
            <w:noWrap/>
            <w:vAlign w:val="bottom"/>
            <w:hideMark/>
          </w:tcPr>
          <w:p w14:paraId="439FCF2F"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4.834.760 </w:t>
            </w:r>
          </w:p>
        </w:tc>
        <w:tc>
          <w:tcPr>
            <w:tcW w:w="854" w:type="dxa"/>
            <w:tcBorders>
              <w:top w:val="single" w:sz="4" w:space="0" w:color="auto"/>
              <w:left w:val="nil"/>
              <w:bottom w:val="single" w:sz="4" w:space="0" w:color="auto"/>
              <w:right w:val="single" w:sz="4" w:space="0" w:color="auto"/>
            </w:tcBorders>
            <w:shd w:val="clear" w:color="000000" w:fill="D9D9D9"/>
            <w:noWrap/>
            <w:vAlign w:val="bottom"/>
            <w:hideMark/>
          </w:tcPr>
          <w:p w14:paraId="64DC0508"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93.560.572 </w:t>
            </w:r>
          </w:p>
        </w:tc>
        <w:tc>
          <w:tcPr>
            <w:tcW w:w="814" w:type="dxa"/>
            <w:tcBorders>
              <w:top w:val="single" w:sz="4" w:space="0" w:color="auto"/>
              <w:left w:val="nil"/>
              <w:bottom w:val="single" w:sz="4" w:space="0" w:color="auto"/>
              <w:right w:val="single" w:sz="4" w:space="0" w:color="auto"/>
            </w:tcBorders>
            <w:shd w:val="clear" w:color="000000" w:fill="D9D9D9"/>
            <w:noWrap/>
            <w:vAlign w:val="bottom"/>
            <w:hideMark/>
          </w:tcPr>
          <w:p w14:paraId="67B9DE45"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414.031 </w:t>
            </w:r>
          </w:p>
        </w:tc>
        <w:tc>
          <w:tcPr>
            <w:tcW w:w="841" w:type="dxa"/>
            <w:tcBorders>
              <w:top w:val="nil"/>
              <w:left w:val="nil"/>
              <w:bottom w:val="single" w:sz="4" w:space="0" w:color="auto"/>
              <w:right w:val="single" w:sz="4" w:space="0" w:color="auto"/>
            </w:tcBorders>
            <w:shd w:val="clear" w:color="000000" w:fill="D9D9D9"/>
            <w:noWrap/>
            <w:vAlign w:val="bottom"/>
            <w:hideMark/>
          </w:tcPr>
          <w:p w14:paraId="6090D927"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282.077 </w:t>
            </w:r>
          </w:p>
        </w:tc>
        <w:tc>
          <w:tcPr>
            <w:tcW w:w="988" w:type="dxa"/>
            <w:tcBorders>
              <w:top w:val="single" w:sz="4" w:space="0" w:color="auto"/>
              <w:left w:val="nil"/>
              <w:bottom w:val="single" w:sz="4" w:space="0" w:color="auto"/>
              <w:right w:val="single" w:sz="4" w:space="0" w:color="auto"/>
            </w:tcBorders>
            <w:shd w:val="clear" w:color="000000" w:fill="D9D9D9"/>
            <w:noWrap/>
            <w:vAlign w:val="bottom"/>
            <w:hideMark/>
          </w:tcPr>
          <w:p w14:paraId="2FE79013"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2.685.609 </w:t>
            </w:r>
          </w:p>
        </w:tc>
        <w:tc>
          <w:tcPr>
            <w:tcW w:w="854" w:type="dxa"/>
            <w:tcBorders>
              <w:top w:val="single" w:sz="4" w:space="0" w:color="auto"/>
              <w:left w:val="nil"/>
              <w:bottom w:val="single" w:sz="4" w:space="0" w:color="auto"/>
              <w:right w:val="single" w:sz="4" w:space="0" w:color="auto"/>
            </w:tcBorders>
            <w:shd w:val="clear" w:color="000000" w:fill="D9D9D9"/>
            <w:noWrap/>
            <w:vAlign w:val="bottom"/>
            <w:hideMark/>
          </w:tcPr>
          <w:p w14:paraId="618EF9C0"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32.732.001 </w:t>
            </w:r>
          </w:p>
        </w:tc>
        <w:tc>
          <w:tcPr>
            <w:tcW w:w="841" w:type="dxa"/>
            <w:tcBorders>
              <w:top w:val="single" w:sz="4" w:space="0" w:color="auto"/>
              <w:left w:val="nil"/>
              <w:bottom w:val="single" w:sz="4" w:space="0" w:color="auto"/>
              <w:right w:val="single" w:sz="4" w:space="0" w:color="auto"/>
            </w:tcBorders>
            <w:shd w:val="clear" w:color="000000" w:fill="D9D9D9"/>
            <w:noWrap/>
            <w:vAlign w:val="bottom"/>
            <w:hideMark/>
          </w:tcPr>
          <w:p w14:paraId="45101437" w14:textId="77777777" w:rsidR="003B6C26" w:rsidRPr="00432534" w:rsidRDefault="003B6C26" w:rsidP="001A62FE">
            <w:pPr>
              <w:jc w:val="right"/>
              <w:rPr>
                <w:rFonts w:ascii="Arial" w:hAnsi="Arial" w:cs="Arial"/>
                <w:b/>
                <w:bCs/>
                <w:sz w:val="14"/>
                <w:szCs w:val="14"/>
                <w:lang w:eastAsia="es-AR"/>
              </w:rPr>
            </w:pPr>
            <w:r w:rsidRPr="00432534">
              <w:rPr>
                <w:rFonts w:ascii="Arial" w:hAnsi="Arial" w:cs="Arial"/>
                <w:b/>
                <w:sz w:val="14"/>
                <w:szCs w:val="14"/>
              </w:rPr>
              <w:t xml:space="preserve">83.659 </w:t>
            </w:r>
          </w:p>
        </w:tc>
      </w:tr>
      <w:tr w:rsidR="003B6C26" w:rsidRPr="00432534" w14:paraId="3E82FD70" w14:textId="77777777" w:rsidTr="001A62FE">
        <w:trPr>
          <w:trHeight w:val="266"/>
        </w:trPr>
        <w:tc>
          <w:tcPr>
            <w:tcW w:w="3261" w:type="dxa"/>
            <w:tcBorders>
              <w:top w:val="single" w:sz="4" w:space="0" w:color="363639"/>
              <w:left w:val="single" w:sz="4" w:space="0" w:color="363639"/>
              <w:bottom w:val="single" w:sz="4" w:space="0" w:color="363639"/>
              <w:right w:val="single" w:sz="4" w:space="0" w:color="363639"/>
            </w:tcBorders>
            <w:shd w:val="clear" w:color="auto" w:fill="auto"/>
            <w:vAlign w:val="bottom"/>
            <w:hideMark/>
          </w:tcPr>
          <w:p w14:paraId="16F120FB"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Depósitos</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B098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137.035.304 </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5FF9AA2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19.014.272 </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08009A4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1A2AFA3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93.548.368 </w:t>
            </w: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14:paraId="7DCE162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414.031 </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14:paraId="6635A26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32A40C2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414.837 </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5A74147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23.643.796 </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14:paraId="32428F5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407DF9EA" w14:textId="77777777" w:rsidTr="001A62FE">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424187EE"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Sector público no financiero</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670891E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5.568.195 </w:t>
            </w:r>
          </w:p>
        </w:tc>
        <w:tc>
          <w:tcPr>
            <w:tcW w:w="988" w:type="dxa"/>
            <w:tcBorders>
              <w:top w:val="nil"/>
              <w:left w:val="nil"/>
              <w:bottom w:val="single" w:sz="4" w:space="0" w:color="auto"/>
              <w:right w:val="single" w:sz="4" w:space="0" w:color="auto"/>
            </w:tcBorders>
            <w:shd w:val="clear" w:color="auto" w:fill="auto"/>
            <w:noWrap/>
            <w:vAlign w:val="bottom"/>
            <w:hideMark/>
          </w:tcPr>
          <w:p w14:paraId="4ED2EA1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1.945.152 </w:t>
            </w:r>
          </w:p>
        </w:tc>
        <w:tc>
          <w:tcPr>
            <w:tcW w:w="854" w:type="dxa"/>
            <w:tcBorders>
              <w:top w:val="nil"/>
              <w:left w:val="nil"/>
              <w:bottom w:val="single" w:sz="4" w:space="0" w:color="auto"/>
              <w:right w:val="single" w:sz="4" w:space="0" w:color="auto"/>
            </w:tcBorders>
            <w:shd w:val="clear" w:color="auto" w:fill="auto"/>
            <w:noWrap/>
            <w:vAlign w:val="bottom"/>
            <w:hideMark/>
          </w:tcPr>
          <w:p w14:paraId="0C6C638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3532273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2.165.612 </w:t>
            </w:r>
          </w:p>
        </w:tc>
        <w:tc>
          <w:tcPr>
            <w:tcW w:w="814" w:type="dxa"/>
            <w:tcBorders>
              <w:top w:val="nil"/>
              <w:left w:val="nil"/>
              <w:bottom w:val="single" w:sz="4" w:space="0" w:color="auto"/>
              <w:right w:val="single" w:sz="4" w:space="0" w:color="auto"/>
            </w:tcBorders>
            <w:shd w:val="clear" w:color="auto" w:fill="auto"/>
            <w:noWrap/>
            <w:vAlign w:val="bottom"/>
            <w:hideMark/>
          </w:tcPr>
          <w:p w14:paraId="6016B97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10.191 </w:t>
            </w:r>
          </w:p>
        </w:tc>
        <w:tc>
          <w:tcPr>
            <w:tcW w:w="841" w:type="dxa"/>
            <w:tcBorders>
              <w:top w:val="nil"/>
              <w:left w:val="nil"/>
              <w:bottom w:val="single" w:sz="4" w:space="0" w:color="auto"/>
              <w:right w:val="single" w:sz="4" w:space="0" w:color="auto"/>
            </w:tcBorders>
            <w:shd w:val="clear" w:color="auto" w:fill="auto"/>
            <w:noWrap/>
            <w:vAlign w:val="bottom"/>
            <w:hideMark/>
          </w:tcPr>
          <w:p w14:paraId="62D6510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52EEDC2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20.903 </w:t>
            </w:r>
          </w:p>
        </w:tc>
        <w:tc>
          <w:tcPr>
            <w:tcW w:w="854" w:type="dxa"/>
            <w:tcBorders>
              <w:top w:val="nil"/>
              <w:left w:val="nil"/>
              <w:bottom w:val="single" w:sz="4" w:space="0" w:color="auto"/>
              <w:right w:val="single" w:sz="4" w:space="0" w:color="auto"/>
            </w:tcBorders>
            <w:shd w:val="clear" w:color="auto" w:fill="auto"/>
            <w:noWrap/>
            <w:vAlign w:val="bottom"/>
            <w:hideMark/>
          </w:tcPr>
          <w:p w14:paraId="3081560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1.426.337 </w:t>
            </w:r>
          </w:p>
        </w:tc>
        <w:tc>
          <w:tcPr>
            <w:tcW w:w="841" w:type="dxa"/>
            <w:tcBorders>
              <w:top w:val="nil"/>
              <w:left w:val="nil"/>
              <w:bottom w:val="single" w:sz="4" w:space="0" w:color="auto"/>
              <w:right w:val="single" w:sz="4" w:space="0" w:color="auto"/>
            </w:tcBorders>
            <w:shd w:val="clear" w:color="auto" w:fill="auto"/>
            <w:noWrap/>
            <w:vAlign w:val="bottom"/>
            <w:hideMark/>
          </w:tcPr>
          <w:p w14:paraId="6CCE46C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1FD49C03" w14:textId="77777777" w:rsidTr="001A62FE">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3BE953B6"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Sector financiero</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013D2E7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61.640 </w:t>
            </w:r>
          </w:p>
        </w:tc>
        <w:tc>
          <w:tcPr>
            <w:tcW w:w="988" w:type="dxa"/>
            <w:tcBorders>
              <w:top w:val="nil"/>
              <w:left w:val="nil"/>
              <w:bottom w:val="single" w:sz="4" w:space="0" w:color="auto"/>
              <w:right w:val="single" w:sz="4" w:space="0" w:color="auto"/>
            </w:tcBorders>
            <w:shd w:val="clear" w:color="auto" w:fill="auto"/>
            <w:noWrap/>
            <w:vAlign w:val="bottom"/>
            <w:hideMark/>
          </w:tcPr>
          <w:p w14:paraId="232C00F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59.265 </w:t>
            </w:r>
          </w:p>
        </w:tc>
        <w:tc>
          <w:tcPr>
            <w:tcW w:w="854" w:type="dxa"/>
            <w:tcBorders>
              <w:top w:val="nil"/>
              <w:left w:val="nil"/>
              <w:bottom w:val="single" w:sz="4" w:space="0" w:color="auto"/>
              <w:right w:val="single" w:sz="4" w:space="0" w:color="auto"/>
            </w:tcBorders>
            <w:shd w:val="clear" w:color="auto" w:fill="auto"/>
            <w:noWrap/>
            <w:vAlign w:val="bottom"/>
            <w:hideMark/>
          </w:tcPr>
          <w:p w14:paraId="6A2DE1F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7D439F9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40 </w:t>
            </w:r>
          </w:p>
        </w:tc>
        <w:tc>
          <w:tcPr>
            <w:tcW w:w="814" w:type="dxa"/>
            <w:tcBorders>
              <w:top w:val="nil"/>
              <w:left w:val="nil"/>
              <w:bottom w:val="single" w:sz="4" w:space="0" w:color="auto"/>
              <w:right w:val="single" w:sz="4" w:space="0" w:color="auto"/>
            </w:tcBorders>
            <w:shd w:val="clear" w:color="auto" w:fill="auto"/>
            <w:noWrap/>
            <w:vAlign w:val="bottom"/>
            <w:hideMark/>
          </w:tcPr>
          <w:p w14:paraId="264DF23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1753099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67A2DFB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6E6E03E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2.335 </w:t>
            </w:r>
          </w:p>
        </w:tc>
        <w:tc>
          <w:tcPr>
            <w:tcW w:w="841" w:type="dxa"/>
            <w:tcBorders>
              <w:top w:val="nil"/>
              <w:left w:val="nil"/>
              <w:bottom w:val="single" w:sz="4" w:space="0" w:color="auto"/>
              <w:right w:val="single" w:sz="4" w:space="0" w:color="auto"/>
            </w:tcBorders>
            <w:shd w:val="clear" w:color="auto" w:fill="auto"/>
            <w:noWrap/>
            <w:vAlign w:val="bottom"/>
            <w:hideMark/>
          </w:tcPr>
          <w:p w14:paraId="0D981E7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1FB1BA5B" w14:textId="77777777" w:rsidTr="001A62FE">
        <w:trPr>
          <w:trHeight w:val="266"/>
        </w:trPr>
        <w:tc>
          <w:tcPr>
            <w:tcW w:w="3261" w:type="dxa"/>
            <w:tcBorders>
              <w:top w:val="nil"/>
              <w:left w:val="single" w:sz="4" w:space="0" w:color="363639"/>
              <w:bottom w:val="single" w:sz="4" w:space="0" w:color="363639"/>
              <w:right w:val="single" w:sz="4" w:space="0" w:color="363639"/>
            </w:tcBorders>
            <w:shd w:val="clear" w:color="auto" w:fill="auto"/>
            <w:noWrap/>
            <w:vAlign w:val="bottom"/>
            <w:hideMark/>
          </w:tcPr>
          <w:p w14:paraId="3A71D317" w14:textId="77777777" w:rsidR="003B6C26" w:rsidRPr="00432534" w:rsidRDefault="003B6C26" w:rsidP="001A62FE">
            <w:pPr>
              <w:rPr>
                <w:rFonts w:ascii="Arial" w:hAnsi="Arial" w:cs="Arial"/>
                <w:sz w:val="14"/>
                <w:szCs w:val="14"/>
                <w:lang w:eastAsia="es-AR"/>
              </w:rPr>
            </w:pPr>
            <w:r w:rsidRPr="00432534">
              <w:rPr>
                <w:rFonts w:ascii="Arial" w:hAnsi="Arial" w:cs="Arial"/>
                <w:sz w:val="14"/>
                <w:szCs w:val="14"/>
                <w:lang w:eastAsia="es-AR"/>
              </w:rPr>
              <w:t xml:space="preserve">   Sector privado no financiero y residentes en el exterior</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3BBBF57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131.405.469 </w:t>
            </w:r>
          </w:p>
        </w:tc>
        <w:tc>
          <w:tcPr>
            <w:tcW w:w="988" w:type="dxa"/>
            <w:tcBorders>
              <w:top w:val="nil"/>
              <w:left w:val="nil"/>
              <w:bottom w:val="single" w:sz="4" w:space="0" w:color="auto"/>
              <w:right w:val="single" w:sz="4" w:space="0" w:color="auto"/>
            </w:tcBorders>
            <w:shd w:val="clear" w:color="auto" w:fill="auto"/>
            <w:noWrap/>
            <w:vAlign w:val="bottom"/>
            <w:hideMark/>
          </w:tcPr>
          <w:p w14:paraId="34C3D2F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17.009.855 </w:t>
            </w:r>
          </w:p>
        </w:tc>
        <w:tc>
          <w:tcPr>
            <w:tcW w:w="854" w:type="dxa"/>
            <w:tcBorders>
              <w:top w:val="nil"/>
              <w:left w:val="nil"/>
              <w:bottom w:val="single" w:sz="4" w:space="0" w:color="auto"/>
              <w:right w:val="single" w:sz="4" w:space="0" w:color="auto"/>
            </w:tcBorders>
            <w:shd w:val="clear" w:color="auto" w:fill="auto"/>
            <w:noWrap/>
            <w:vAlign w:val="bottom"/>
            <w:hideMark/>
          </w:tcPr>
          <w:p w14:paraId="5780D1D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03FF71A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91.382.716 </w:t>
            </w:r>
          </w:p>
        </w:tc>
        <w:tc>
          <w:tcPr>
            <w:tcW w:w="814" w:type="dxa"/>
            <w:tcBorders>
              <w:top w:val="nil"/>
              <w:left w:val="nil"/>
              <w:bottom w:val="single" w:sz="4" w:space="0" w:color="auto"/>
              <w:right w:val="single" w:sz="4" w:space="0" w:color="auto"/>
            </w:tcBorders>
            <w:shd w:val="clear" w:color="auto" w:fill="auto"/>
            <w:noWrap/>
            <w:vAlign w:val="bottom"/>
            <w:hideMark/>
          </w:tcPr>
          <w:p w14:paraId="79B8359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403.840 </w:t>
            </w:r>
          </w:p>
        </w:tc>
        <w:tc>
          <w:tcPr>
            <w:tcW w:w="841" w:type="dxa"/>
            <w:tcBorders>
              <w:top w:val="nil"/>
              <w:left w:val="nil"/>
              <w:bottom w:val="single" w:sz="4" w:space="0" w:color="auto"/>
              <w:right w:val="single" w:sz="4" w:space="0" w:color="auto"/>
            </w:tcBorders>
            <w:shd w:val="clear" w:color="auto" w:fill="auto"/>
            <w:noWrap/>
            <w:vAlign w:val="bottom"/>
            <w:hideMark/>
          </w:tcPr>
          <w:p w14:paraId="2AECA97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542EECC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393.934 </w:t>
            </w:r>
          </w:p>
        </w:tc>
        <w:tc>
          <w:tcPr>
            <w:tcW w:w="854" w:type="dxa"/>
            <w:tcBorders>
              <w:top w:val="nil"/>
              <w:left w:val="nil"/>
              <w:bottom w:val="single" w:sz="4" w:space="0" w:color="auto"/>
              <w:right w:val="single" w:sz="4" w:space="0" w:color="auto"/>
            </w:tcBorders>
            <w:shd w:val="clear" w:color="auto" w:fill="auto"/>
            <w:noWrap/>
            <w:vAlign w:val="bottom"/>
            <w:hideMark/>
          </w:tcPr>
          <w:p w14:paraId="273DD23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22.215.124 </w:t>
            </w:r>
          </w:p>
        </w:tc>
        <w:tc>
          <w:tcPr>
            <w:tcW w:w="841" w:type="dxa"/>
            <w:tcBorders>
              <w:top w:val="nil"/>
              <w:left w:val="nil"/>
              <w:bottom w:val="single" w:sz="4" w:space="0" w:color="auto"/>
              <w:right w:val="single" w:sz="4" w:space="0" w:color="auto"/>
            </w:tcBorders>
            <w:shd w:val="clear" w:color="auto" w:fill="auto"/>
            <w:noWrap/>
            <w:vAlign w:val="bottom"/>
            <w:hideMark/>
          </w:tcPr>
          <w:p w14:paraId="09B5D4C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549837C1" w14:textId="77777777" w:rsidTr="001A62FE">
        <w:trPr>
          <w:trHeight w:val="266"/>
        </w:trPr>
        <w:tc>
          <w:tcPr>
            <w:tcW w:w="3261" w:type="dxa"/>
            <w:tcBorders>
              <w:top w:val="nil"/>
              <w:left w:val="single" w:sz="4" w:space="0" w:color="363639"/>
              <w:bottom w:val="single" w:sz="4" w:space="0" w:color="363639"/>
              <w:right w:val="single" w:sz="4" w:space="0" w:color="363639"/>
            </w:tcBorders>
            <w:shd w:val="clear" w:color="auto" w:fill="auto"/>
            <w:noWrap/>
            <w:vAlign w:val="bottom"/>
            <w:hideMark/>
          </w:tcPr>
          <w:p w14:paraId="0046EE88"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Pasivos a valor razonable con cambios en resultados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3C39971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365.736 </w:t>
            </w:r>
          </w:p>
        </w:tc>
        <w:tc>
          <w:tcPr>
            <w:tcW w:w="988" w:type="dxa"/>
            <w:tcBorders>
              <w:top w:val="nil"/>
              <w:left w:val="nil"/>
              <w:bottom w:val="single" w:sz="4" w:space="0" w:color="auto"/>
              <w:right w:val="single" w:sz="4" w:space="0" w:color="auto"/>
            </w:tcBorders>
            <w:shd w:val="clear" w:color="auto" w:fill="auto"/>
            <w:noWrap/>
            <w:vAlign w:val="bottom"/>
            <w:hideMark/>
          </w:tcPr>
          <w:p w14:paraId="08665CB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59FEECE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23D27A3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5CA82B5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3A9440E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282.077 </w:t>
            </w:r>
          </w:p>
        </w:tc>
        <w:tc>
          <w:tcPr>
            <w:tcW w:w="988" w:type="dxa"/>
            <w:tcBorders>
              <w:top w:val="nil"/>
              <w:left w:val="nil"/>
              <w:bottom w:val="single" w:sz="4" w:space="0" w:color="auto"/>
              <w:right w:val="single" w:sz="4" w:space="0" w:color="auto"/>
            </w:tcBorders>
            <w:shd w:val="clear" w:color="auto" w:fill="auto"/>
            <w:noWrap/>
            <w:vAlign w:val="bottom"/>
            <w:hideMark/>
          </w:tcPr>
          <w:p w14:paraId="648B185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4731987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54B23B4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83.659 </w:t>
            </w:r>
          </w:p>
        </w:tc>
      </w:tr>
      <w:tr w:rsidR="003B6C26" w:rsidRPr="00432534" w14:paraId="763506FC" w14:textId="77777777" w:rsidTr="001A62FE">
        <w:trPr>
          <w:trHeight w:val="224"/>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6E9FCCB7"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Instrumentos derivados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037D6E0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7DF2215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4CF6B01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2ECD80E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1CD5DF2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53DEA37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1F323DA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65745B0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3BD5053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6743DD3A" w14:textId="77777777" w:rsidTr="001A62FE">
        <w:trPr>
          <w:trHeight w:val="160"/>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6B59D7BF"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Operaciones de pase</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70B6B14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282.843 </w:t>
            </w:r>
          </w:p>
        </w:tc>
        <w:tc>
          <w:tcPr>
            <w:tcW w:w="988" w:type="dxa"/>
            <w:tcBorders>
              <w:top w:val="nil"/>
              <w:left w:val="nil"/>
              <w:bottom w:val="single" w:sz="4" w:space="0" w:color="auto"/>
              <w:right w:val="single" w:sz="4" w:space="0" w:color="auto"/>
            </w:tcBorders>
            <w:shd w:val="clear" w:color="auto" w:fill="auto"/>
            <w:noWrap/>
            <w:vAlign w:val="bottom"/>
            <w:hideMark/>
          </w:tcPr>
          <w:p w14:paraId="2BBC94A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282.843 </w:t>
            </w:r>
          </w:p>
        </w:tc>
        <w:tc>
          <w:tcPr>
            <w:tcW w:w="854" w:type="dxa"/>
            <w:tcBorders>
              <w:top w:val="nil"/>
              <w:left w:val="nil"/>
              <w:bottom w:val="single" w:sz="4" w:space="0" w:color="auto"/>
              <w:right w:val="single" w:sz="4" w:space="0" w:color="auto"/>
            </w:tcBorders>
            <w:shd w:val="clear" w:color="auto" w:fill="auto"/>
            <w:noWrap/>
            <w:vAlign w:val="bottom"/>
            <w:hideMark/>
          </w:tcPr>
          <w:p w14:paraId="7C9F1DE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7F4C492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2C9FCD7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099A15C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7742ABC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53C45FA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F97A28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54833CDA" w14:textId="77777777" w:rsidTr="001A62FE">
        <w:trPr>
          <w:trHeight w:val="114"/>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318AEA64"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Otros pasivos financieros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394EBC8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5.813.690 </w:t>
            </w:r>
          </w:p>
        </w:tc>
        <w:tc>
          <w:tcPr>
            <w:tcW w:w="988" w:type="dxa"/>
            <w:tcBorders>
              <w:top w:val="nil"/>
              <w:left w:val="nil"/>
              <w:bottom w:val="single" w:sz="4" w:space="0" w:color="auto"/>
              <w:right w:val="single" w:sz="4" w:space="0" w:color="auto"/>
            </w:tcBorders>
            <w:shd w:val="clear" w:color="auto" w:fill="auto"/>
            <w:noWrap/>
            <w:vAlign w:val="bottom"/>
            <w:hideMark/>
          </w:tcPr>
          <w:p w14:paraId="1CA30B0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3.608.117 </w:t>
            </w:r>
          </w:p>
        </w:tc>
        <w:tc>
          <w:tcPr>
            <w:tcW w:w="854" w:type="dxa"/>
            <w:tcBorders>
              <w:top w:val="nil"/>
              <w:left w:val="nil"/>
              <w:bottom w:val="single" w:sz="4" w:space="0" w:color="auto"/>
              <w:right w:val="single" w:sz="4" w:space="0" w:color="auto"/>
            </w:tcBorders>
            <w:shd w:val="clear" w:color="auto" w:fill="auto"/>
            <w:noWrap/>
            <w:vAlign w:val="bottom"/>
            <w:hideMark/>
          </w:tcPr>
          <w:p w14:paraId="35EA63F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7C0A719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12.204 </w:t>
            </w:r>
          </w:p>
        </w:tc>
        <w:tc>
          <w:tcPr>
            <w:tcW w:w="814" w:type="dxa"/>
            <w:tcBorders>
              <w:top w:val="nil"/>
              <w:left w:val="nil"/>
              <w:bottom w:val="single" w:sz="4" w:space="0" w:color="auto"/>
              <w:right w:val="single" w:sz="4" w:space="0" w:color="auto"/>
            </w:tcBorders>
            <w:shd w:val="clear" w:color="auto" w:fill="auto"/>
            <w:noWrap/>
            <w:vAlign w:val="bottom"/>
            <w:hideMark/>
          </w:tcPr>
          <w:p w14:paraId="37B5A7A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4EED387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7D9CDB3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2.193.369 </w:t>
            </w:r>
          </w:p>
        </w:tc>
        <w:tc>
          <w:tcPr>
            <w:tcW w:w="854" w:type="dxa"/>
            <w:tcBorders>
              <w:top w:val="nil"/>
              <w:left w:val="nil"/>
              <w:bottom w:val="single" w:sz="4" w:space="0" w:color="auto"/>
              <w:right w:val="single" w:sz="4" w:space="0" w:color="auto"/>
            </w:tcBorders>
            <w:shd w:val="clear" w:color="auto" w:fill="auto"/>
            <w:noWrap/>
            <w:vAlign w:val="bottom"/>
            <w:hideMark/>
          </w:tcPr>
          <w:p w14:paraId="0591C11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43A9648D"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73318090" w14:textId="77777777" w:rsidTr="001A62FE">
        <w:trPr>
          <w:trHeight w:val="250"/>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49C269E9"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Financiaciones recibidas del BCRA y otras instituciones financieras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4265ED0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8.051.006 </w:t>
            </w:r>
          </w:p>
        </w:tc>
        <w:tc>
          <w:tcPr>
            <w:tcW w:w="988" w:type="dxa"/>
            <w:tcBorders>
              <w:top w:val="nil"/>
              <w:left w:val="nil"/>
              <w:bottom w:val="single" w:sz="4" w:space="0" w:color="auto"/>
              <w:right w:val="single" w:sz="4" w:space="0" w:color="auto"/>
            </w:tcBorders>
            <w:shd w:val="clear" w:color="auto" w:fill="auto"/>
            <w:noWrap/>
            <w:vAlign w:val="bottom"/>
            <w:hideMark/>
          </w:tcPr>
          <w:p w14:paraId="5B4225A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11.288 </w:t>
            </w:r>
          </w:p>
        </w:tc>
        <w:tc>
          <w:tcPr>
            <w:tcW w:w="854" w:type="dxa"/>
            <w:tcBorders>
              <w:top w:val="nil"/>
              <w:left w:val="nil"/>
              <w:bottom w:val="single" w:sz="4" w:space="0" w:color="auto"/>
              <w:right w:val="single" w:sz="4" w:space="0" w:color="auto"/>
            </w:tcBorders>
            <w:shd w:val="clear" w:color="auto" w:fill="auto"/>
            <w:noWrap/>
            <w:vAlign w:val="bottom"/>
            <w:hideMark/>
          </w:tcPr>
          <w:p w14:paraId="13AADC1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840.535 </w:t>
            </w:r>
          </w:p>
        </w:tc>
        <w:tc>
          <w:tcPr>
            <w:tcW w:w="854" w:type="dxa"/>
            <w:tcBorders>
              <w:top w:val="nil"/>
              <w:left w:val="nil"/>
              <w:bottom w:val="single" w:sz="4" w:space="0" w:color="auto"/>
              <w:right w:val="single" w:sz="4" w:space="0" w:color="auto"/>
            </w:tcBorders>
            <w:shd w:val="clear" w:color="auto" w:fill="auto"/>
            <w:noWrap/>
            <w:vAlign w:val="bottom"/>
            <w:hideMark/>
          </w:tcPr>
          <w:p w14:paraId="1CCA648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1B805B4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63A756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2BB6DC9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213A57F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7.199.183 </w:t>
            </w:r>
          </w:p>
        </w:tc>
        <w:tc>
          <w:tcPr>
            <w:tcW w:w="841" w:type="dxa"/>
            <w:tcBorders>
              <w:top w:val="nil"/>
              <w:left w:val="nil"/>
              <w:bottom w:val="single" w:sz="4" w:space="0" w:color="auto"/>
              <w:right w:val="single" w:sz="4" w:space="0" w:color="auto"/>
            </w:tcBorders>
            <w:shd w:val="clear" w:color="auto" w:fill="auto"/>
            <w:noWrap/>
            <w:vAlign w:val="bottom"/>
            <w:hideMark/>
          </w:tcPr>
          <w:p w14:paraId="564D6BE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41D872C8" w14:textId="77777777" w:rsidTr="001A62FE">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4D1E19FC"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Obligaciones negociables emitidas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16D7B43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4.170.559 </w:t>
            </w:r>
          </w:p>
        </w:tc>
        <w:tc>
          <w:tcPr>
            <w:tcW w:w="988" w:type="dxa"/>
            <w:tcBorders>
              <w:top w:val="nil"/>
              <w:left w:val="nil"/>
              <w:bottom w:val="single" w:sz="4" w:space="0" w:color="auto"/>
              <w:right w:val="single" w:sz="4" w:space="0" w:color="auto"/>
            </w:tcBorders>
            <w:shd w:val="clear" w:color="auto" w:fill="auto"/>
            <w:noWrap/>
            <w:vAlign w:val="bottom"/>
            <w:hideMark/>
          </w:tcPr>
          <w:p w14:paraId="6C284E8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176.334 </w:t>
            </w:r>
          </w:p>
        </w:tc>
        <w:tc>
          <w:tcPr>
            <w:tcW w:w="854" w:type="dxa"/>
            <w:tcBorders>
              <w:top w:val="nil"/>
              <w:left w:val="nil"/>
              <w:bottom w:val="single" w:sz="4" w:space="0" w:color="auto"/>
              <w:right w:val="single" w:sz="4" w:space="0" w:color="auto"/>
            </w:tcBorders>
            <w:shd w:val="clear" w:color="auto" w:fill="auto"/>
            <w:noWrap/>
            <w:vAlign w:val="bottom"/>
            <w:hideMark/>
          </w:tcPr>
          <w:p w14:paraId="6159A0F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3.994.225 </w:t>
            </w:r>
          </w:p>
        </w:tc>
        <w:tc>
          <w:tcPr>
            <w:tcW w:w="854" w:type="dxa"/>
            <w:tcBorders>
              <w:top w:val="nil"/>
              <w:left w:val="nil"/>
              <w:bottom w:val="single" w:sz="4" w:space="0" w:color="auto"/>
              <w:right w:val="single" w:sz="4" w:space="0" w:color="auto"/>
            </w:tcBorders>
            <w:shd w:val="clear" w:color="auto" w:fill="auto"/>
            <w:noWrap/>
            <w:vAlign w:val="bottom"/>
            <w:hideMark/>
          </w:tcPr>
          <w:p w14:paraId="4681947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7429D73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04337E4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468137E6"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664A49E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4B02B4A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238B691C" w14:textId="77777777" w:rsidTr="001A62FE">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27B84AE2"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Pasivo por impuestos a las ganancias corriente</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641D8CF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421.427 </w:t>
            </w:r>
          </w:p>
        </w:tc>
        <w:tc>
          <w:tcPr>
            <w:tcW w:w="988" w:type="dxa"/>
            <w:tcBorders>
              <w:top w:val="nil"/>
              <w:left w:val="nil"/>
              <w:bottom w:val="single" w:sz="4" w:space="0" w:color="auto"/>
              <w:right w:val="single" w:sz="4" w:space="0" w:color="auto"/>
            </w:tcBorders>
            <w:shd w:val="clear" w:color="auto" w:fill="auto"/>
            <w:noWrap/>
            <w:vAlign w:val="bottom"/>
            <w:hideMark/>
          </w:tcPr>
          <w:p w14:paraId="5CB63A9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421.427 </w:t>
            </w:r>
          </w:p>
        </w:tc>
        <w:tc>
          <w:tcPr>
            <w:tcW w:w="854" w:type="dxa"/>
            <w:tcBorders>
              <w:top w:val="nil"/>
              <w:left w:val="nil"/>
              <w:bottom w:val="single" w:sz="4" w:space="0" w:color="auto"/>
              <w:right w:val="single" w:sz="4" w:space="0" w:color="auto"/>
            </w:tcBorders>
            <w:shd w:val="clear" w:color="auto" w:fill="auto"/>
            <w:noWrap/>
            <w:vAlign w:val="bottom"/>
            <w:hideMark/>
          </w:tcPr>
          <w:p w14:paraId="55F2C90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5E16523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195D689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F833E4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58FA060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0AC7517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1B8DA1F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4A1AC001" w14:textId="77777777" w:rsidTr="001A62FE">
        <w:trPr>
          <w:trHeight w:val="214"/>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364C0B9F"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Obligaciones negociables subordinadas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1E66B24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1.911.457 </w:t>
            </w:r>
          </w:p>
        </w:tc>
        <w:tc>
          <w:tcPr>
            <w:tcW w:w="988" w:type="dxa"/>
            <w:tcBorders>
              <w:top w:val="nil"/>
              <w:left w:val="nil"/>
              <w:bottom w:val="single" w:sz="4" w:space="0" w:color="auto"/>
              <w:right w:val="single" w:sz="4" w:space="0" w:color="auto"/>
            </w:tcBorders>
            <w:shd w:val="clear" w:color="auto" w:fill="auto"/>
            <w:noWrap/>
            <w:vAlign w:val="bottom"/>
            <w:hideMark/>
          </w:tcPr>
          <w:p w14:paraId="64D2D7C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07AD337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1A9CBA0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09991E7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5232B47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7E420F0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22.435 </w:t>
            </w:r>
          </w:p>
        </w:tc>
        <w:tc>
          <w:tcPr>
            <w:tcW w:w="854" w:type="dxa"/>
            <w:tcBorders>
              <w:top w:val="nil"/>
              <w:left w:val="nil"/>
              <w:bottom w:val="single" w:sz="4" w:space="0" w:color="auto"/>
              <w:right w:val="single" w:sz="4" w:space="0" w:color="auto"/>
            </w:tcBorders>
            <w:shd w:val="clear" w:color="auto" w:fill="auto"/>
            <w:noWrap/>
            <w:vAlign w:val="bottom"/>
            <w:hideMark/>
          </w:tcPr>
          <w:p w14:paraId="4747323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1.889.022 </w:t>
            </w:r>
          </w:p>
        </w:tc>
        <w:tc>
          <w:tcPr>
            <w:tcW w:w="841" w:type="dxa"/>
            <w:tcBorders>
              <w:top w:val="nil"/>
              <w:left w:val="nil"/>
              <w:bottom w:val="single" w:sz="4" w:space="0" w:color="auto"/>
              <w:right w:val="single" w:sz="4" w:space="0" w:color="auto"/>
            </w:tcBorders>
            <w:shd w:val="clear" w:color="auto" w:fill="auto"/>
            <w:noWrap/>
            <w:vAlign w:val="bottom"/>
            <w:hideMark/>
          </w:tcPr>
          <w:p w14:paraId="115D79EA"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6B31F92E" w14:textId="77777777" w:rsidTr="001A62FE">
        <w:trPr>
          <w:trHeight w:val="77"/>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7F44B077"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Provisiones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0932B7B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411.547 </w:t>
            </w:r>
          </w:p>
        </w:tc>
        <w:tc>
          <w:tcPr>
            <w:tcW w:w="988" w:type="dxa"/>
            <w:tcBorders>
              <w:top w:val="nil"/>
              <w:left w:val="nil"/>
              <w:bottom w:val="single" w:sz="4" w:space="0" w:color="auto"/>
              <w:right w:val="single" w:sz="4" w:space="0" w:color="auto"/>
            </w:tcBorders>
            <w:shd w:val="clear" w:color="auto" w:fill="auto"/>
            <w:noWrap/>
            <w:vAlign w:val="bottom"/>
            <w:hideMark/>
          </w:tcPr>
          <w:p w14:paraId="79BEFCA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411.547 </w:t>
            </w:r>
          </w:p>
        </w:tc>
        <w:tc>
          <w:tcPr>
            <w:tcW w:w="854" w:type="dxa"/>
            <w:tcBorders>
              <w:top w:val="nil"/>
              <w:left w:val="nil"/>
              <w:bottom w:val="single" w:sz="4" w:space="0" w:color="auto"/>
              <w:right w:val="single" w:sz="4" w:space="0" w:color="auto"/>
            </w:tcBorders>
            <w:shd w:val="clear" w:color="auto" w:fill="auto"/>
            <w:noWrap/>
            <w:vAlign w:val="bottom"/>
            <w:hideMark/>
          </w:tcPr>
          <w:p w14:paraId="2EEFD20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415979D0"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20A2F28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63F40A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63A0C43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2994B253"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4889D80B"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33A962EE" w14:textId="77777777" w:rsidTr="001A62FE">
        <w:trPr>
          <w:trHeight w:val="80"/>
        </w:trPr>
        <w:tc>
          <w:tcPr>
            <w:tcW w:w="3261" w:type="dxa"/>
            <w:tcBorders>
              <w:top w:val="nil"/>
              <w:left w:val="single" w:sz="4" w:space="0" w:color="363639"/>
              <w:bottom w:val="single" w:sz="4" w:space="0" w:color="363639"/>
              <w:right w:val="single" w:sz="4" w:space="0" w:color="363639"/>
            </w:tcBorders>
            <w:shd w:val="clear" w:color="auto" w:fill="auto"/>
            <w:noWrap/>
            <w:vAlign w:val="bottom"/>
            <w:hideMark/>
          </w:tcPr>
          <w:p w14:paraId="77315C15"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Pasivo por impuestos a las ganancias diferido</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3BA693E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912 </w:t>
            </w:r>
          </w:p>
        </w:tc>
        <w:tc>
          <w:tcPr>
            <w:tcW w:w="988" w:type="dxa"/>
            <w:tcBorders>
              <w:top w:val="nil"/>
              <w:left w:val="nil"/>
              <w:bottom w:val="single" w:sz="4" w:space="0" w:color="auto"/>
              <w:right w:val="single" w:sz="4" w:space="0" w:color="auto"/>
            </w:tcBorders>
            <w:shd w:val="clear" w:color="auto" w:fill="auto"/>
            <w:noWrap/>
            <w:vAlign w:val="bottom"/>
            <w:hideMark/>
          </w:tcPr>
          <w:p w14:paraId="0085E68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912 </w:t>
            </w:r>
          </w:p>
        </w:tc>
        <w:tc>
          <w:tcPr>
            <w:tcW w:w="854" w:type="dxa"/>
            <w:tcBorders>
              <w:top w:val="nil"/>
              <w:left w:val="nil"/>
              <w:bottom w:val="single" w:sz="4" w:space="0" w:color="auto"/>
              <w:right w:val="single" w:sz="4" w:space="0" w:color="auto"/>
            </w:tcBorders>
            <w:shd w:val="clear" w:color="auto" w:fill="auto"/>
            <w:noWrap/>
            <w:vAlign w:val="bottom"/>
            <w:hideMark/>
          </w:tcPr>
          <w:p w14:paraId="2BE8C2EC"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1B8AAC5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3201FAA1"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10F8C819"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33211B7F"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1828A00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698F25C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7BB75ECD" w14:textId="77777777" w:rsidTr="001A62FE">
        <w:trPr>
          <w:trHeight w:val="196"/>
        </w:trPr>
        <w:tc>
          <w:tcPr>
            <w:tcW w:w="3261" w:type="dxa"/>
            <w:tcBorders>
              <w:top w:val="nil"/>
              <w:left w:val="single" w:sz="4" w:space="0" w:color="363639"/>
              <w:bottom w:val="single" w:sz="4" w:space="0" w:color="auto"/>
              <w:right w:val="single" w:sz="4" w:space="0" w:color="363639"/>
            </w:tcBorders>
            <w:shd w:val="clear" w:color="auto" w:fill="auto"/>
            <w:vAlign w:val="bottom"/>
            <w:hideMark/>
          </w:tcPr>
          <w:p w14:paraId="04450A99"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lang w:eastAsia="es-AR"/>
              </w:rPr>
              <w:t>Otros pasivos no financieros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67B443A8"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6.495.978 </w:t>
            </w:r>
          </w:p>
        </w:tc>
        <w:tc>
          <w:tcPr>
            <w:tcW w:w="988" w:type="dxa"/>
            <w:tcBorders>
              <w:top w:val="nil"/>
              <w:left w:val="nil"/>
              <w:bottom w:val="single" w:sz="4" w:space="0" w:color="auto"/>
              <w:right w:val="single" w:sz="4" w:space="0" w:color="auto"/>
            </w:tcBorders>
            <w:shd w:val="clear" w:color="auto" w:fill="auto"/>
            <w:noWrap/>
            <w:vAlign w:val="bottom"/>
            <w:hideMark/>
          </w:tcPr>
          <w:p w14:paraId="0994671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6.441.010 </w:t>
            </w:r>
          </w:p>
        </w:tc>
        <w:tc>
          <w:tcPr>
            <w:tcW w:w="854" w:type="dxa"/>
            <w:tcBorders>
              <w:top w:val="nil"/>
              <w:left w:val="nil"/>
              <w:bottom w:val="single" w:sz="4" w:space="0" w:color="auto"/>
              <w:right w:val="single" w:sz="4" w:space="0" w:color="auto"/>
            </w:tcBorders>
            <w:shd w:val="clear" w:color="auto" w:fill="auto"/>
            <w:noWrap/>
            <w:vAlign w:val="bottom"/>
            <w:hideMark/>
          </w:tcPr>
          <w:p w14:paraId="1D4395C7"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44D5C48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57E0D1E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66E12524"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665AC5F2"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54.968 </w:t>
            </w:r>
          </w:p>
        </w:tc>
        <w:tc>
          <w:tcPr>
            <w:tcW w:w="854" w:type="dxa"/>
            <w:tcBorders>
              <w:top w:val="nil"/>
              <w:left w:val="nil"/>
              <w:bottom w:val="single" w:sz="4" w:space="0" w:color="auto"/>
              <w:right w:val="single" w:sz="4" w:space="0" w:color="auto"/>
            </w:tcBorders>
            <w:shd w:val="clear" w:color="auto" w:fill="auto"/>
            <w:noWrap/>
            <w:vAlign w:val="bottom"/>
            <w:hideMark/>
          </w:tcPr>
          <w:p w14:paraId="4368B605"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31BC73E" w14:textId="77777777" w:rsidR="003B6C26" w:rsidRPr="00432534" w:rsidRDefault="003B6C26" w:rsidP="001A62FE">
            <w:pPr>
              <w:jc w:val="right"/>
              <w:rPr>
                <w:rFonts w:ascii="Arial" w:hAnsi="Arial" w:cs="Arial"/>
                <w:sz w:val="14"/>
                <w:szCs w:val="14"/>
                <w:lang w:eastAsia="es-AR"/>
              </w:rPr>
            </w:pPr>
            <w:r w:rsidRPr="00432534">
              <w:rPr>
                <w:rFonts w:ascii="Arial" w:hAnsi="Arial" w:cs="Arial"/>
                <w:sz w:val="14"/>
                <w:szCs w:val="14"/>
              </w:rPr>
              <w:t xml:space="preserve">- </w:t>
            </w:r>
          </w:p>
        </w:tc>
      </w:tr>
      <w:tr w:rsidR="003B6C26" w:rsidRPr="00432534" w14:paraId="767121F7" w14:textId="77777777" w:rsidTr="001A62FE">
        <w:trPr>
          <w:trHeight w:val="139"/>
        </w:trPr>
        <w:tc>
          <w:tcPr>
            <w:tcW w:w="3261" w:type="dxa"/>
            <w:tcBorders>
              <w:top w:val="single" w:sz="4" w:space="0" w:color="auto"/>
              <w:left w:val="single" w:sz="4" w:space="0" w:color="auto"/>
              <w:bottom w:val="single" w:sz="4" w:space="0" w:color="auto"/>
              <w:right w:val="single" w:sz="4" w:space="0" w:color="auto"/>
            </w:tcBorders>
            <w:shd w:val="clear" w:color="000000" w:fill="D9D9D9"/>
            <w:hideMark/>
          </w:tcPr>
          <w:p w14:paraId="44BCD10A"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 xml:space="preserve">PATRIMONIO NETO </w:t>
            </w:r>
          </w:p>
        </w:tc>
        <w:tc>
          <w:tcPr>
            <w:tcW w:w="9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AAC3C22" w14:textId="77777777" w:rsidR="003B6C26" w:rsidRPr="00432534" w:rsidRDefault="003B6C26" w:rsidP="001A62FE">
            <w:pPr>
              <w:jc w:val="right"/>
              <w:rPr>
                <w:rFonts w:ascii="Arial" w:hAnsi="Arial" w:cs="Arial"/>
                <w:b/>
                <w:bCs/>
                <w:sz w:val="14"/>
                <w:szCs w:val="14"/>
              </w:rPr>
            </w:pPr>
            <w:r w:rsidRPr="00432534">
              <w:rPr>
                <w:rFonts w:ascii="Arial" w:hAnsi="Arial" w:cs="Arial"/>
                <w:b/>
                <w:bCs/>
                <w:sz w:val="14"/>
                <w:szCs w:val="14"/>
              </w:rPr>
              <w:t>20.619.111</w:t>
            </w:r>
          </w:p>
        </w:tc>
        <w:tc>
          <w:tcPr>
            <w:tcW w:w="7034" w:type="dxa"/>
            <w:gridSpan w:val="8"/>
            <w:tcBorders>
              <w:top w:val="single" w:sz="4" w:space="0" w:color="auto"/>
              <w:left w:val="single" w:sz="4" w:space="0" w:color="auto"/>
            </w:tcBorders>
            <w:shd w:val="clear" w:color="auto" w:fill="auto"/>
            <w:vAlign w:val="bottom"/>
          </w:tcPr>
          <w:p w14:paraId="5C8BB379" w14:textId="77777777" w:rsidR="003B6C26" w:rsidRPr="00432534" w:rsidRDefault="003B6C26" w:rsidP="001A62FE">
            <w:pPr>
              <w:rPr>
                <w:rFonts w:ascii="Arial" w:hAnsi="Arial" w:cs="Arial"/>
                <w:b/>
                <w:bCs/>
                <w:sz w:val="14"/>
                <w:szCs w:val="14"/>
                <w:lang w:eastAsia="es-AR"/>
              </w:rPr>
            </w:pPr>
          </w:p>
        </w:tc>
      </w:tr>
      <w:tr w:rsidR="003B6C26" w:rsidRPr="00432534" w14:paraId="4C255866" w14:textId="77777777" w:rsidTr="001A62FE">
        <w:trPr>
          <w:trHeight w:val="82"/>
        </w:trPr>
        <w:tc>
          <w:tcPr>
            <w:tcW w:w="3261" w:type="dxa"/>
            <w:tcBorders>
              <w:top w:val="single" w:sz="4" w:space="0" w:color="auto"/>
              <w:left w:val="single" w:sz="4" w:space="0" w:color="auto"/>
              <w:bottom w:val="single" w:sz="4" w:space="0" w:color="auto"/>
              <w:right w:val="single" w:sz="4" w:space="0" w:color="auto"/>
            </w:tcBorders>
            <w:shd w:val="clear" w:color="000000" w:fill="D9D9D9"/>
            <w:hideMark/>
          </w:tcPr>
          <w:p w14:paraId="6D30E7FB" w14:textId="77777777" w:rsidR="003B6C26" w:rsidRPr="00432534" w:rsidRDefault="003B6C26" w:rsidP="001A62FE">
            <w:pPr>
              <w:jc w:val="center"/>
              <w:rPr>
                <w:rFonts w:ascii="Arial" w:hAnsi="Arial" w:cs="Arial"/>
                <w:b/>
                <w:bCs/>
                <w:sz w:val="14"/>
                <w:szCs w:val="14"/>
                <w:lang w:eastAsia="es-AR"/>
              </w:rPr>
            </w:pPr>
            <w:r w:rsidRPr="00432534">
              <w:rPr>
                <w:rFonts w:ascii="Arial" w:hAnsi="Arial" w:cs="Arial"/>
                <w:b/>
                <w:bCs/>
                <w:sz w:val="14"/>
                <w:szCs w:val="14"/>
                <w:lang w:eastAsia="es-AR"/>
              </w:rPr>
              <w:t xml:space="preserve">TOTAL PASIVO MAS PATRIMONIO NETO </w:t>
            </w:r>
          </w:p>
        </w:tc>
        <w:tc>
          <w:tcPr>
            <w:tcW w:w="9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406DB7" w14:textId="77777777" w:rsidR="003B6C26" w:rsidRPr="00432534" w:rsidRDefault="003B6C26" w:rsidP="001A62FE">
            <w:pPr>
              <w:rPr>
                <w:rFonts w:ascii="Arial" w:hAnsi="Arial" w:cs="Arial"/>
                <w:b/>
                <w:bCs/>
                <w:sz w:val="14"/>
                <w:szCs w:val="14"/>
                <w:lang w:eastAsia="es-AR"/>
              </w:rPr>
            </w:pPr>
            <w:r w:rsidRPr="00432534">
              <w:rPr>
                <w:rFonts w:ascii="Arial" w:hAnsi="Arial" w:cs="Arial"/>
                <w:b/>
                <w:bCs/>
                <w:sz w:val="14"/>
                <w:szCs w:val="14"/>
              </w:rPr>
              <w:t>185.579.570</w:t>
            </w:r>
          </w:p>
        </w:tc>
        <w:tc>
          <w:tcPr>
            <w:tcW w:w="7034" w:type="dxa"/>
            <w:gridSpan w:val="8"/>
            <w:tcBorders>
              <w:left w:val="single" w:sz="4" w:space="0" w:color="auto"/>
            </w:tcBorders>
            <w:shd w:val="clear" w:color="auto" w:fill="auto"/>
            <w:vAlign w:val="bottom"/>
          </w:tcPr>
          <w:p w14:paraId="2ABDBDC1" w14:textId="77777777" w:rsidR="003B6C26" w:rsidRPr="00432534" w:rsidRDefault="003B6C26" w:rsidP="001A62FE">
            <w:pPr>
              <w:rPr>
                <w:rFonts w:ascii="Arial" w:hAnsi="Arial" w:cs="Arial"/>
                <w:b/>
                <w:bCs/>
                <w:sz w:val="14"/>
                <w:szCs w:val="14"/>
                <w:lang w:eastAsia="es-AR"/>
              </w:rPr>
            </w:pPr>
          </w:p>
        </w:tc>
      </w:tr>
    </w:tbl>
    <w:p w14:paraId="070398EF" w14:textId="77777777" w:rsidR="003B6C26" w:rsidRPr="007F270F" w:rsidRDefault="003B6C26" w:rsidP="00702B2F">
      <w:pPr>
        <w:pStyle w:val="s14-99509"/>
        <w:tabs>
          <w:tab w:val="left" w:pos="851"/>
        </w:tabs>
        <w:rPr>
          <w:iCs/>
          <w:color w:val="auto"/>
          <w:highlight w:val="yellow"/>
        </w:rPr>
      </w:pPr>
    </w:p>
    <w:p w14:paraId="21910ED5" w14:textId="77777777" w:rsidR="00E355F7" w:rsidRPr="007F270F" w:rsidRDefault="00E355F7" w:rsidP="00702B2F">
      <w:pPr>
        <w:pStyle w:val="s14-99509"/>
        <w:tabs>
          <w:tab w:val="left" w:pos="851"/>
        </w:tabs>
        <w:rPr>
          <w:iCs/>
          <w:color w:val="auto"/>
          <w:highlight w:val="yellow"/>
        </w:rPr>
      </w:pPr>
    </w:p>
    <w:p w14:paraId="6E0B2339" w14:textId="77777777" w:rsidR="00AA04EC" w:rsidRPr="007F270F" w:rsidRDefault="00AA04EC" w:rsidP="00AA04EC">
      <w:pPr>
        <w:jc w:val="center"/>
        <w:rPr>
          <w:rFonts w:ascii="Arial" w:hAnsi="Arial" w:cs="Arial"/>
          <w:sz w:val="14"/>
          <w:szCs w:val="16"/>
          <w:highlight w:val="yellow"/>
          <w:lang w:eastAsia="es-AR"/>
        </w:rPr>
        <w:sectPr w:rsidR="00AA04EC" w:rsidRPr="007F270F">
          <w:headerReference w:type="default" r:id="rId51"/>
          <w:pgSz w:w="12240" w:h="15840"/>
          <w:pgMar w:top="1417" w:right="1701" w:bottom="1417" w:left="1701" w:header="708" w:footer="708" w:gutter="0"/>
          <w:cols w:space="708"/>
          <w:docGrid w:linePitch="360"/>
        </w:sectPr>
      </w:pPr>
    </w:p>
    <w:p w14:paraId="4B398D43" w14:textId="5B07488E" w:rsidR="00702B2F" w:rsidRPr="00432534" w:rsidRDefault="00702B2F" w:rsidP="00702B2F">
      <w:pPr>
        <w:pStyle w:val="s14-99509"/>
        <w:tabs>
          <w:tab w:val="left" w:pos="851"/>
        </w:tabs>
        <w:rPr>
          <w:iCs/>
          <w:color w:val="auto"/>
        </w:rPr>
      </w:pPr>
    </w:p>
    <w:p w14:paraId="79ED24E5" w14:textId="63356F8A" w:rsidR="00702B2F" w:rsidRPr="00932594" w:rsidRDefault="00702B2F" w:rsidP="00AA04EC">
      <w:pPr>
        <w:pStyle w:val="s14-99509"/>
        <w:tabs>
          <w:tab w:val="left" w:pos="851"/>
        </w:tabs>
        <w:ind w:firstLine="0"/>
        <w:rPr>
          <w:iCs/>
          <w:color w:val="auto"/>
        </w:rPr>
      </w:pPr>
    </w:p>
    <w:p w14:paraId="50473E48" w14:textId="77777777" w:rsidR="00580FD1" w:rsidRPr="00932594" w:rsidRDefault="00580FD1" w:rsidP="00580FD1">
      <w:pPr>
        <w:pStyle w:val="s14-99509"/>
        <w:tabs>
          <w:tab w:val="left" w:pos="851"/>
        </w:tabs>
        <w:ind w:left="851" w:hanging="567"/>
        <w:rPr>
          <w:i/>
          <w:iCs/>
          <w:color w:val="auto"/>
        </w:rPr>
      </w:pPr>
      <w:r w:rsidRPr="00932594">
        <w:rPr>
          <w:iCs/>
          <w:color w:val="auto"/>
        </w:rPr>
        <w:t>4</w:t>
      </w:r>
      <w:r w:rsidRPr="00932594">
        <w:rPr>
          <w:i/>
          <w:iCs/>
          <w:color w:val="auto"/>
        </w:rPr>
        <w:t>.     Detalle del porcentaje de participación en sociedades del artículo 33 de la Ley Nº 19.550 en el capital y en el total de votos. Además, saldos deudores y/o acreedores por sociedad y segregados del modo previsto en los puntos 2 y 3 anteriores.</w:t>
      </w:r>
    </w:p>
    <w:p w14:paraId="582D1D7B" w14:textId="77777777" w:rsidR="00580FD1" w:rsidRPr="007F270F" w:rsidRDefault="00580FD1" w:rsidP="00580FD1">
      <w:pPr>
        <w:pStyle w:val="s14-99509"/>
        <w:tabs>
          <w:tab w:val="left" w:pos="851"/>
        </w:tabs>
        <w:ind w:left="851" w:hanging="567"/>
        <w:rPr>
          <w:i/>
          <w:iCs/>
          <w:color w:val="auto"/>
          <w:highlight w:val="yellow"/>
        </w:rPr>
      </w:pPr>
    </w:p>
    <w:p w14:paraId="437E423C" w14:textId="77777777" w:rsidR="00932594" w:rsidRPr="00D025E4" w:rsidRDefault="00932594" w:rsidP="00932594">
      <w:pPr>
        <w:ind w:left="851" w:hanging="851"/>
        <w:jc w:val="both"/>
        <w:rPr>
          <w:rFonts w:ascii="Arial" w:hAnsi="Arial" w:cs="Arial"/>
          <w:iCs/>
          <w:sz w:val="20"/>
          <w:lang w:eastAsia="es-AR"/>
        </w:rPr>
      </w:pPr>
      <w:r w:rsidRPr="00AB113D">
        <w:rPr>
          <w:rFonts w:ascii="Arial" w:hAnsi="Arial" w:cs="Arial"/>
          <w:iCs/>
          <w:sz w:val="20"/>
          <w:lang w:eastAsia="es-AR"/>
        </w:rPr>
        <w:t xml:space="preserve">La Entidad participa en el 95% del capital social y de los votos necesarios para formar la voluntad social de Cordial Compañía Financiera S.A.  Los saldos deudores y acreedores mantenidos con la misma se encuentran detallados en </w:t>
      </w:r>
      <w:r w:rsidRPr="00534414">
        <w:rPr>
          <w:rFonts w:ascii="Arial" w:hAnsi="Arial" w:cs="Arial"/>
          <w:iCs/>
          <w:sz w:val="20"/>
          <w:lang w:eastAsia="es-AR"/>
        </w:rPr>
        <w:t xml:space="preserve">Nota </w:t>
      </w:r>
      <w:r>
        <w:rPr>
          <w:rFonts w:ascii="Arial" w:hAnsi="Arial" w:cs="Arial"/>
          <w:iCs/>
          <w:sz w:val="20"/>
          <w:lang w:eastAsia="es-AR"/>
        </w:rPr>
        <w:t>12</w:t>
      </w:r>
      <w:r w:rsidRPr="00534414">
        <w:rPr>
          <w:rFonts w:ascii="Arial" w:hAnsi="Arial" w:cs="Arial"/>
          <w:iCs/>
          <w:sz w:val="20"/>
          <w:lang w:eastAsia="es-AR"/>
        </w:rPr>
        <w:t xml:space="preserve"> </w:t>
      </w:r>
      <w:r w:rsidRPr="00AB113D">
        <w:rPr>
          <w:rFonts w:ascii="Arial" w:hAnsi="Arial" w:cs="Arial"/>
          <w:iCs/>
          <w:sz w:val="20"/>
          <w:lang w:eastAsia="es-AR"/>
        </w:rPr>
        <w:t xml:space="preserve">a los </w:t>
      </w:r>
      <w:r>
        <w:rPr>
          <w:rFonts w:ascii="Arial" w:hAnsi="Arial" w:cs="Arial"/>
          <w:iCs/>
          <w:sz w:val="20"/>
          <w:lang w:eastAsia="es-AR"/>
        </w:rPr>
        <w:t>e</w:t>
      </w:r>
      <w:r w:rsidRPr="00AB113D">
        <w:rPr>
          <w:rFonts w:ascii="Arial" w:hAnsi="Arial" w:cs="Arial"/>
          <w:iCs/>
          <w:sz w:val="20"/>
          <w:lang w:eastAsia="es-AR"/>
        </w:rPr>
        <w:t xml:space="preserve">stados </w:t>
      </w:r>
      <w:r>
        <w:rPr>
          <w:rFonts w:ascii="Arial" w:hAnsi="Arial" w:cs="Arial"/>
          <w:iCs/>
          <w:sz w:val="20"/>
          <w:lang w:eastAsia="es-AR"/>
        </w:rPr>
        <w:t>financieros consolidados y separados al 31 de diciembre de 2019</w:t>
      </w:r>
      <w:r w:rsidRPr="00AB113D">
        <w:rPr>
          <w:rFonts w:ascii="Arial" w:hAnsi="Arial" w:cs="Arial"/>
          <w:iCs/>
          <w:sz w:val="20"/>
          <w:lang w:eastAsia="es-AR"/>
        </w:rPr>
        <w:t xml:space="preserve">.  </w:t>
      </w:r>
      <w:r>
        <w:rPr>
          <w:rFonts w:ascii="Arial" w:hAnsi="Arial" w:cs="Arial"/>
          <w:iCs/>
          <w:sz w:val="20"/>
          <w:lang w:eastAsia="es-AR"/>
        </w:rPr>
        <w:t xml:space="preserve">Todos </w:t>
      </w:r>
      <w:r w:rsidRPr="00B6189F">
        <w:rPr>
          <w:rFonts w:ascii="Arial" w:hAnsi="Arial" w:cs="Arial"/>
          <w:iCs/>
          <w:sz w:val="20"/>
          <w:lang w:eastAsia="es-AR"/>
        </w:rPr>
        <w:t>los saldos se encuentran expresados en moneda nacional.  Para los Préstamos</w:t>
      </w:r>
      <w:r>
        <w:rPr>
          <w:rFonts w:ascii="Arial" w:hAnsi="Arial" w:cs="Arial"/>
          <w:iCs/>
          <w:sz w:val="20"/>
          <w:lang w:eastAsia="es-AR"/>
        </w:rPr>
        <w:t xml:space="preserve"> y otras financiaciones a Otras entidades financieras</w:t>
      </w:r>
      <w:r w:rsidRPr="00B6189F">
        <w:rPr>
          <w:rFonts w:ascii="Arial" w:hAnsi="Arial" w:cs="Arial"/>
          <w:iCs/>
          <w:sz w:val="20"/>
          <w:lang w:eastAsia="es-AR"/>
        </w:rPr>
        <w:t xml:space="preserve">, su vencimiento se produce dentro del plazo que va desde </w:t>
      </w:r>
      <w:r>
        <w:rPr>
          <w:rFonts w:ascii="Arial" w:hAnsi="Arial" w:cs="Arial"/>
          <w:iCs/>
          <w:sz w:val="20"/>
          <w:lang w:eastAsia="es-AR"/>
        </w:rPr>
        <w:t>1</w:t>
      </w:r>
      <w:r w:rsidRPr="00B6189F">
        <w:rPr>
          <w:rFonts w:ascii="Arial" w:hAnsi="Arial" w:cs="Arial"/>
          <w:iCs/>
          <w:sz w:val="20"/>
          <w:lang w:eastAsia="es-AR"/>
        </w:rPr>
        <w:t xml:space="preserve"> día hasta </w:t>
      </w:r>
      <w:r>
        <w:rPr>
          <w:rFonts w:ascii="Arial" w:hAnsi="Arial" w:cs="Arial"/>
          <w:iCs/>
          <w:sz w:val="20"/>
          <w:lang w:eastAsia="es-AR"/>
        </w:rPr>
        <w:t>30 día</w:t>
      </w:r>
      <w:r w:rsidRPr="00B6189F">
        <w:rPr>
          <w:rFonts w:ascii="Arial" w:hAnsi="Arial" w:cs="Arial"/>
          <w:iCs/>
          <w:sz w:val="20"/>
          <w:lang w:eastAsia="es-AR"/>
        </w:rPr>
        <w:t xml:space="preserve">s y los mismos están sujetos a tasa de interés fija.  </w:t>
      </w:r>
      <w:r>
        <w:rPr>
          <w:rFonts w:ascii="Arial" w:hAnsi="Arial" w:cs="Arial"/>
          <w:iCs/>
          <w:sz w:val="20"/>
          <w:lang w:eastAsia="es-AR"/>
        </w:rPr>
        <w:t xml:space="preserve">Para los Títulos de Deuda a Valor Razonable con cambios en Resultados, su vencimiento se produce dentro del plazo que va desde 13 meses hasta 30 meses y están sujetos a tasa de interés variable.  En el caso de los saldos por </w:t>
      </w:r>
      <w:r w:rsidRPr="008A1764">
        <w:rPr>
          <w:rFonts w:ascii="Arial" w:hAnsi="Arial" w:cs="Arial"/>
          <w:iCs/>
          <w:sz w:val="20"/>
          <w:lang w:eastAsia="es-AR"/>
        </w:rPr>
        <w:t xml:space="preserve">Depósitos, su </w:t>
      </w:r>
      <w:r w:rsidRPr="00D025E4">
        <w:rPr>
          <w:rFonts w:ascii="Arial" w:hAnsi="Arial" w:cs="Arial"/>
          <w:iCs/>
          <w:sz w:val="20"/>
          <w:lang w:eastAsia="es-AR"/>
        </w:rPr>
        <w:t>vencimiento se produce dentro del plazo de los 30 días y no devengan tasa de interés.</w:t>
      </w:r>
    </w:p>
    <w:p w14:paraId="499DB559" w14:textId="77777777" w:rsidR="00580FD1" w:rsidRPr="00BA7A6B" w:rsidRDefault="00580FD1" w:rsidP="00580FD1">
      <w:pPr>
        <w:ind w:left="851" w:hanging="851"/>
        <w:jc w:val="both"/>
        <w:rPr>
          <w:rFonts w:ascii="Arial" w:hAnsi="Arial" w:cs="Arial"/>
          <w:iCs/>
          <w:sz w:val="20"/>
          <w:lang w:eastAsia="es-AR"/>
        </w:rPr>
      </w:pPr>
    </w:p>
    <w:p w14:paraId="4242F3B8" w14:textId="77777777" w:rsidR="00580FD1" w:rsidRPr="00BA7A6B" w:rsidRDefault="00580FD1" w:rsidP="00580FD1">
      <w:pPr>
        <w:pStyle w:val="s14-99509"/>
        <w:tabs>
          <w:tab w:val="left" w:pos="851"/>
        </w:tabs>
        <w:jc w:val="left"/>
        <w:rPr>
          <w:i/>
          <w:iCs/>
          <w:color w:val="auto"/>
        </w:rPr>
      </w:pPr>
      <w:r w:rsidRPr="00BA7A6B">
        <w:rPr>
          <w:iCs/>
          <w:color w:val="auto"/>
        </w:rPr>
        <w:t>5</w:t>
      </w:r>
      <w:r w:rsidRPr="00BA7A6B">
        <w:rPr>
          <w:i/>
          <w:iCs/>
          <w:color w:val="auto"/>
        </w:rPr>
        <w:t>.    Créditos por ventas o préstamos contra directores, síndicos, miembros del consejo de</w:t>
      </w:r>
    </w:p>
    <w:p w14:paraId="1D8CB243" w14:textId="77777777" w:rsidR="00580FD1" w:rsidRPr="00BA7A6B" w:rsidRDefault="00580FD1" w:rsidP="00580FD1">
      <w:pPr>
        <w:pStyle w:val="s14-99509"/>
        <w:tabs>
          <w:tab w:val="left" w:pos="851"/>
        </w:tabs>
        <w:ind w:left="708" w:firstLine="0"/>
        <w:jc w:val="left"/>
        <w:rPr>
          <w:i/>
          <w:iCs/>
          <w:color w:val="auto"/>
        </w:rPr>
      </w:pPr>
      <w:r w:rsidRPr="00BA7A6B">
        <w:rPr>
          <w:i/>
          <w:iCs/>
          <w:color w:val="auto"/>
        </w:rPr>
        <w:t>vigilancia y sus parientes hasta el segundo grado inclusive.</w:t>
      </w:r>
    </w:p>
    <w:p w14:paraId="399F74B4" w14:textId="77777777" w:rsidR="00580FD1" w:rsidRPr="00BA7A6B" w:rsidRDefault="00580FD1" w:rsidP="00580FD1">
      <w:pPr>
        <w:pStyle w:val="s14-99509"/>
        <w:tabs>
          <w:tab w:val="left" w:pos="851"/>
        </w:tabs>
        <w:ind w:left="709" w:firstLine="0"/>
        <w:rPr>
          <w:i/>
          <w:iCs/>
          <w:color w:val="auto"/>
        </w:rPr>
      </w:pPr>
    </w:p>
    <w:p w14:paraId="2650CF66" w14:textId="3709BE66" w:rsidR="00932594" w:rsidRPr="00C17D99" w:rsidRDefault="00932594" w:rsidP="00932594">
      <w:pPr>
        <w:pStyle w:val="Default"/>
        <w:ind w:left="644"/>
        <w:jc w:val="both"/>
        <w:rPr>
          <w:color w:val="auto"/>
        </w:rPr>
      </w:pPr>
      <w:r w:rsidRPr="00BA7A6B">
        <w:rPr>
          <w:sz w:val="20"/>
        </w:rPr>
        <w:t xml:space="preserve">Los saldos de financiaciones al 31 de </w:t>
      </w:r>
      <w:r w:rsidR="00BF45A3" w:rsidRPr="00BA7A6B">
        <w:rPr>
          <w:sz w:val="20"/>
        </w:rPr>
        <w:t>marzo de 2020</w:t>
      </w:r>
      <w:r w:rsidRPr="00BA7A6B">
        <w:rPr>
          <w:sz w:val="20"/>
        </w:rPr>
        <w:t xml:space="preserve"> que se incluyen en el detalle </w:t>
      </w:r>
      <w:r w:rsidRPr="00BA7A6B">
        <w:rPr>
          <w:color w:val="auto"/>
          <w:sz w:val="20"/>
        </w:rPr>
        <w:t xml:space="preserve">de los créditos y deudas indicados en el punto 3 precedente, correspondientes a los directores y síndicos y sus parientes hasta el segundo grado inclusive, ascienden a </w:t>
      </w:r>
      <w:r w:rsidR="00BF45A3" w:rsidRPr="00BA7A6B">
        <w:rPr>
          <w:color w:val="auto"/>
          <w:sz w:val="20"/>
        </w:rPr>
        <w:t>873.859</w:t>
      </w:r>
      <w:r w:rsidRPr="00BA7A6B">
        <w:rPr>
          <w:color w:val="auto"/>
          <w:sz w:val="20"/>
        </w:rPr>
        <w:t xml:space="preserve">. La máxima asistencia a los mismos habida durante dicho período ascendió a </w:t>
      </w:r>
      <w:r w:rsidR="006925F2" w:rsidRPr="00BA7A6B">
        <w:rPr>
          <w:color w:val="auto"/>
          <w:sz w:val="20"/>
        </w:rPr>
        <w:t>874.955</w:t>
      </w:r>
      <w:r w:rsidRPr="00BA7A6B">
        <w:rPr>
          <w:color w:val="auto"/>
          <w:sz w:val="20"/>
        </w:rPr>
        <w:t>.</w:t>
      </w:r>
    </w:p>
    <w:p w14:paraId="64E0822A" w14:textId="77777777" w:rsidR="00580FD1" w:rsidRPr="00932594" w:rsidRDefault="00580FD1" w:rsidP="00580FD1">
      <w:pPr>
        <w:pStyle w:val="s14-99509"/>
        <w:ind w:firstLine="0"/>
        <w:rPr>
          <w:color w:val="auto"/>
        </w:rPr>
      </w:pPr>
    </w:p>
    <w:p w14:paraId="13EE6D90" w14:textId="77777777" w:rsidR="00580FD1" w:rsidRPr="00932594" w:rsidRDefault="00580FD1" w:rsidP="00580FD1">
      <w:pPr>
        <w:pStyle w:val="s14-99509"/>
        <w:numPr>
          <w:ilvl w:val="0"/>
          <w:numId w:val="37"/>
        </w:numPr>
        <w:rPr>
          <w:i/>
          <w:iCs/>
          <w:color w:val="auto"/>
        </w:rPr>
      </w:pPr>
      <w:r w:rsidRPr="00932594">
        <w:rPr>
          <w:iCs/>
          <w:color w:val="auto"/>
          <w:u w:val="single"/>
        </w:rPr>
        <w:t xml:space="preserve">Inventario físico de los bienes de </w:t>
      </w:r>
      <w:r w:rsidRPr="00932594">
        <w:rPr>
          <w:i/>
          <w:iCs/>
          <w:color w:val="auto"/>
          <w:u w:val="single"/>
        </w:rPr>
        <w:t>cambio</w:t>
      </w:r>
      <w:r w:rsidRPr="00932594">
        <w:rPr>
          <w:i/>
          <w:iCs/>
          <w:color w:val="auto"/>
        </w:rPr>
        <w:t>.</w:t>
      </w:r>
    </w:p>
    <w:p w14:paraId="3CEDDACB" w14:textId="77777777" w:rsidR="00580FD1" w:rsidRPr="00932594" w:rsidRDefault="00580FD1" w:rsidP="00580FD1">
      <w:pPr>
        <w:pStyle w:val="s14-99509"/>
        <w:ind w:left="1004" w:firstLine="0"/>
        <w:rPr>
          <w:color w:val="auto"/>
        </w:rPr>
      </w:pPr>
    </w:p>
    <w:p w14:paraId="0BEF8167" w14:textId="77777777" w:rsidR="00580FD1" w:rsidRPr="00932594" w:rsidRDefault="00580FD1" w:rsidP="00580FD1">
      <w:pPr>
        <w:pStyle w:val="s14-99509"/>
        <w:tabs>
          <w:tab w:val="left" w:pos="709"/>
          <w:tab w:val="left" w:pos="851"/>
        </w:tabs>
        <w:ind w:left="709" w:hanging="425"/>
        <w:rPr>
          <w:i/>
          <w:iCs/>
          <w:color w:val="auto"/>
        </w:rPr>
      </w:pPr>
      <w:r w:rsidRPr="00932594">
        <w:rPr>
          <w:i/>
          <w:iCs/>
          <w:color w:val="auto"/>
        </w:rPr>
        <w:t xml:space="preserve">        Periodicidad y alcance de los inventarios físicos de los bienes de cambio. Si existen bienes de inmovilización significativa en el tiempo, por ejemplo, más de un año, indicar su monto y si se han efectuado las previsiones que correspondan:</w:t>
      </w:r>
    </w:p>
    <w:p w14:paraId="7E441638" w14:textId="77777777" w:rsidR="00580FD1" w:rsidRPr="00932594" w:rsidRDefault="00580FD1" w:rsidP="00580FD1">
      <w:pPr>
        <w:pStyle w:val="s14-99509"/>
        <w:tabs>
          <w:tab w:val="left" w:pos="709"/>
          <w:tab w:val="left" w:pos="851"/>
        </w:tabs>
        <w:ind w:left="709" w:hanging="425"/>
        <w:rPr>
          <w:i/>
          <w:iCs/>
          <w:color w:val="auto"/>
        </w:rPr>
      </w:pPr>
    </w:p>
    <w:p w14:paraId="15155F54" w14:textId="77777777" w:rsidR="00580FD1" w:rsidRPr="00932594" w:rsidRDefault="00580FD1" w:rsidP="00580FD1">
      <w:pPr>
        <w:pStyle w:val="s14-99509"/>
        <w:tabs>
          <w:tab w:val="left" w:pos="709"/>
          <w:tab w:val="left" w:pos="851"/>
        </w:tabs>
        <w:ind w:left="709" w:hanging="425"/>
        <w:rPr>
          <w:iCs/>
          <w:color w:val="auto"/>
        </w:rPr>
      </w:pPr>
      <w:r w:rsidRPr="00932594">
        <w:rPr>
          <w:i/>
          <w:iCs/>
          <w:color w:val="auto"/>
        </w:rPr>
        <w:t xml:space="preserve">        </w:t>
      </w:r>
      <w:r w:rsidRPr="00932594">
        <w:rPr>
          <w:iCs/>
          <w:color w:val="auto"/>
        </w:rPr>
        <w:t>La Entidad no posee Bienes de Cambio ni bienes de inmovilización significativa.</w:t>
      </w:r>
    </w:p>
    <w:p w14:paraId="6FF6CC17" w14:textId="77777777" w:rsidR="00580FD1" w:rsidRPr="007F270F" w:rsidRDefault="00580FD1" w:rsidP="00580FD1">
      <w:pPr>
        <w:pStyle w:val="s14-99509"/>
        <w:ind w:firstLine="0"/>
        <w:rPr>
          <w:color w:val="auto"/>
          <w:highlight w:val="yellow"/>
        </w:rPr>
      </w:pPr>
    </w:p>
    <w:p w14:paraId="6A007F7F" w14:textId="77777777" w:rsidR="00580FD1" w:rsidRPr="00932594" w:rsidRDefault="00580FD1" w:rsidP="00580FD1">
      <w:pPr>
        <w:pStyle w:val="s14-99509"/>
        <w:numPr>
          <w:ilvl w:val="0"/>
          <w:numId w:val="37"/>
        </w:numPr>
        <w:rPr>
          <w:iCs/>
          <w:color w:val="auto"/>
        </w:rPr>
      </w:pPr>
      <w:r w:rsidRPr="00932594">
        <w:rPr>
          <w:iCs/>
          <w:color w:val="auto"/>
          <w:u w:val="single"/>
        </w:rPr>
        <w:t>Participaciones en otras sociedades</w:t>
      </w:r>
      <w:r w:rsidRPr="00932594">
        <w:rPr>
          <w:iCs/>
          <w:color w:val="auto"/>
        </w:rPr>
        <w:t>.</w:t>
      </w:r>
    </w:p>
    <w:p w14:paraId="30280FC4" w14:textId="77777777" w:rsidR="00580FD1" w:rsidRPr="00932594" w:rsidRDefault="00580FD1" w:rsidP="00580FD1">
      <w:pPr>
        <w:pStyle w:val="s14-99509"/>
        <w:tabs>
          <w:tab w:val="left" w:pos="426"/>
        </w:tabs>
        <w:ind w:left="1004" w:firstLine="0"/>
        <w:rPr>
          <w:color w:val="auto"/>
        </w:rPr>
      </w:pPr>
    </w:p>
    <w:p w14:paraId="0BF1A9DF" w14:textId="77777777" w:rsidR="00580FD1" w:rsidRPr="00932594" w:rsidRDefault="00580FD1" w:rsidP="00580FD1">
      <w:pPr>
        <w:pStyle w:val="s14-99509"/>
        <w:tabs>
          <w:tab w:val="left" w:pos="709"/>
        </w:tabs>
        <w:rPr>
          <w:i/>
          <w:iCs/>
          <w:color w:val="auto"/>
        </w:rPr>
      </w:pPr>
      <w:r w:rsidRPr="00932594">
        <w:rPr>
          <w:i/>
          <w:iCs/>
          <w:color w:val="auto"/>
        </w:rPr>
        <w:t xml:space="preserve">       Participaciones en otras sociedades en exceso de lo admitido por el artículo 31 de la</w:t>
      </w:r>
    </w:p>
    <w:p w14:paraId="510E976B" w14:textId="77777777" w:rsidR="00580FD1" w:rsidRPr="00932594" w:rsidRDefault="00580FD1" w:rsidP="00580FD1">
      <w:pPr>
        <w:pStyle w:val="s14-99509"/>
        <w:tabs>
          <w:tab w:val="left" w:pos="709"/>
        </w:tabs>
        <w:ind w:left="284"/>
        <w:rPr>
          <w:i/>
          <w:iCs/>
          <w:color w:val="auto"/>
        </w:rPr>
      </w:pPr>
      <w:r w:rsidRPr="00932594">
        <w:rPr>
          <w:i/>
          <w:iCs/>
          <w:color w:val="auto"/>
        </w:rPr>
        <w:t>Ley Nº 19.550 y planes para regularizar la situación.</w:t>
      </w:r>
    </w:p>
    <w:p w14:paraId="37D3C1AF" w14:textId="77777777" w:rsidR="00580FD1" w:rsidRPr="00932594" w:rsidRDefault="00580FD1" w:rsidP="00580FD1">
      <w:pPr>
        <w:pStyle w:val="s14-99509"/>
        <w:rPr>
          <w:i/>
          <w:iCs/>
          <w:color w:val="auto"/>
        </w:rPr>
      </w:pPr>
    </w:p>
    <w:p w14:paraId="51BA19EF" w14:textId="57039197" w:rsidR="00580FD1" w:rsidRDefault="00580FD1" w:rsidP="00580FD1">
      <w:pPr>
        <w:pStyle w:val="s14-99509"/>
        <w:ind w:left="708" w:firstLine="0"/>
        <w:rPr>
          <w:iCs/>
          <w:color w:val="auto"/>
        </w:rPr>
      </w:pPr>
      <w:r w:rsidRPr="00932594">
        <w:rPr>
          <w:iCs/>
          <w:color w:val="auto"/>
        </w:rPr>
        <w:t>Las disposiciones del artículo 31 de la citada ley no aplican para las entidades financieras.</w:t>
      </w:r>
    </w:p>
    <w:p w14:paraId="3EF5296B" w14:textId="77777777" w:rsidR="00CB7488" w:rsidRPr="00932594" w:rsidRDefault="00CB7488" w:rsidP="00580FD1">
      <w:pPr>
        <w:pStyle w:val="s14-99509"/>
        <w:ind w:left="708" w:firstLine="0"/>
        <w:rPr>
          <w:iCs/>
          <w:color w:val="auto"/>
        </w:rPr>
      </w:pPr>
    </w:p>
    <w:p w14:paraId="6B81CAFA" w14:textId="77777777" w:rsidR="00580FD1" w:rsidRPr="007F270F" w:rsidRDefault="00580FD1" w:rsidP="00580FD1">
      <w:pPr>
        <w:pStyle w:val="s14-99509"/>
        <w:tabs>
          <w:tab w:val="left" w:pos="709"/>
          <w:tab w:val="left" w:pos="993"/>
        </w:tabs>
        <w:rPr>
          <w:iCs/>
          <w:color w:val="auto"/>
          <w:highlight w:val="yellow"/>
        </w:rPr>
      </w:pPr>
    </w:p>
    <w:p w14:paraId="6D54BAE6" w14:textId="77777777" w:rsidR="00580FD1" w:rsidRPr="00932594" w:rsidRDefault="00580FD1" w:rsidP="00580FD1">
      <w:pPr>
        <w:pStyle w:val="s14-99509"/>
        <w:numPr>
          <w:ilvl w:val="0"/>
          <w:numId w:val="37"/>
        </w:numPr>
        <w:rPr>
          <w:iCs/>
          <w:color w:val="auto"/>
        </w:rPr>
      </w:pPr>
      <w:r w:rsidRPr="00932594">
        <w:rPr>
          <w:iCs/>
          <w:color w:val="auto"/>
          <w:u w:val="single"/>
        </w:rPr>
        <w:lastRenderedPageBreak/>
        <w:t>Valores recuperables</w:t>
      </w:r>
      <w:r w:rsidRPr="00932594">
        <w:rPr>
          <w:iCs/>
          <w:color w:val="auto"/>
        </w:rPr>
        <w:t>.</w:t>
      </w:r>
    </w:p>
    <w:p w14:paraId="669300EA" w14:textId="77777777" w:rsidR="00580FD1" w:rsidRPr="00932594" w:rsidRDefault="00580FD1" w:rsidP="00580FD1">
      <w:pPr>
        <w:pStyle w:val="s14-99509"/>
        <w:ind w:left="1004" w:firstLine="0"/>
        <w:rPr>
          <w:iCs/>
          <w:color w:val="auto"/>
        </w:rPr>
      </w:pPr>
    </w:p>
    <w:p w14:paraId="3096F87C" w14:textId="77777777" w:rsidR="00580FD1" w:rsidRPr="00932594" w:rsidRDefault="00580FD1" w:rsidP="00580FD1">
      <w:pPr>
        <w:pStyle w:val="s14-99509"/>
        <w:ind w:left="993" w:hanging="993"/>
        <w:rPr>
          <w:i/>
          <w:iCs/>
          <w:color w:val="auto"/>
        </w:rPr>
      </w:pPr>
      <w:r w:rsidRPr="00932594">
        <w:rPr>
          <w:i/>
          <w:iCs/>
          <w:color w:val="auto"/>
        </w:rPr>
        <w:t xml:space="preserve">                  Criterios seguidos para determinar los "valores recuperables" significativos de bienes de cambio, bienes de uso y otros activos, empleados como límites para sus respectivas valuaciones contables.</w:t>
      </w:r>
    </w:p>
    <w:p w14:paraId="2AC780F8" w14:textId="77777777" w:rsidR="00580FD1" w:rsidRPr="00932594" w:rsidRDefault="00580FD1" w:rsidP="00580FD1">
      <w:pPr>
        <w:pStyle w:val="s14-99509"/>
        <w:ind w:left="993" w:hanging="993"/>
        <w:rPr>
          <w:i/>
          <w:iCs/>
          <w:color w:val="auto"/>
        </w:rPr>
      </w:pPr>
    </w:p>
    <w:p w14:paraId="186C1B25" w14:textId="77777777" w:rsidR="00932594" w:rsidRDefault="00580FD1" w:rsidP="00932594">
      <w:pPr>
        <w:pStyle w:val="s14-99509"/>
        <w:ind w:left="993" w:hanging="993"/>
        <w:rPr>
          <w:iCs/>
          <w:color w:val="auto"/>
        </w:rPr>
      </w:pPr>
      <w:r w:rsidRPr="00932594">
        <w:rPr>
          <w:iCs/>
          <w:color w:val="auto"/>
        </w:rPr>
        <w:t xml:space="preserve">                  </w:t>
      </w:r>
      <w:r w:rsidR="00932594" w:rsidRPr="00932594">
        <w:rPr>
          <w:iCs/>
          <w:color w:val="auto"/>
        </w:rPr>
        <w:t>El valor recuperable de los activos no financieros como es el caso de propiedad planta y equipo, corresponde al mayor entre el monto neto que se obtendría de su venta o su valor en uso.  Ver Nota 1.15 (Propiedad, planta y equipo), 1.16 (Propiedades de inversión) y Nota 1.19 (Desvalorización de activos no financieros) a los estados financieros consolidados al 31 de diciembre de 2019 donde se expone el tema y, ver Nota 1.13 (Propiedad, planta y equipo), 1.14 (Propiedades de inversión) y 1.16 (Desvalorización de activos no financieros) a los estados financieros separados al 31 de diciembre de 2019).</w:t>
      </w:r>
      <w:r w:rsidR="00932594">
        <w:rPr>
          <w:iCs/>
          <w:color w:val="auto"/>
        </w:rPr>
        <w:t xml:space="preserve">  </w:t>
      </w:r>
    </w:p>
    <w:p w14:paraId="42AB6E5B" w14:textId="21215FFC" w:rsidR="00580FD1" w:rsidRPr="007F270F" w:rsidRDefault="00580FD1" w:rsidP="00580FD1">
      <w:pPr>
        <w:pStyle w:val="s14-99509"/>
        <w:ind w:left="993" w:hanging="993"/>
        <w:rPr>
          <w:iCs/>
          <w:color w:val="auto"/>
          <w:highlight w:val="yellow"/>
        </w:rPr>
      </w:pPr>
    </w:p>
    <w:p w14:paraId="45B55EBE" w14:textId="77777777" w:rsidR="00580FD1" w:rsidRPr="002E1AF6" w:rsidRDefault="00580FD1" w:rsidP="00580FD1">
      <w:pPr>
        <w:pStyle w:val="s14-99509"/>
        <w:ind w:left="993" w:hanging="993"/>
        <w:rPr>
          <w:iCs/>
          <w:color w:val="auto"/>
        </w:rPr>
      </w:pPr>
    </w:p>
    <w:p w14:paraId="3B925935" w14:textId="77777777" w:rsidR="00932594" w:rsidRPr="00234F83" w:rsidRDefault="00580FD1" w:rsidP="00932594">
      <w:pPr>
        <w:pStyle w:val="s14-99509"/>
        <w:ind w:left="993" w:hanging="993"/>
        <w:rPr>
          <w:iCs/>
          <w:color w:val="auto"/>
        </w:rPr>
      </w:pPr>
      <w:r w:rsidRPr="002E1AF6">
        <w:rPr>
          <w:iCs/>
          <w:color w:val="auto"/>
        </w:rPr>
        <w:t xml:space="preserve"> </w:t>
      </w:r>
      <w:r w:rsidRPr="00C40ED4">
        <w:rPr>
          <w:iCs/>
          <w:color w:val="auto"/>
        </w:rPr>
        <w:t xml:space="preserve">                 </w:t>
      </w:r>
      <w:r w:rsidR="00932594" w:rsidRPr="00C40ED4">
        <w:rPr>
          <w:iCs/>
          <w:color w:val="auto"/>
        </w:rPr>
        <w:t>En el caso de los valores llave de los activos intangibles,</w:t>
      </w:r>
      <w:r w:rsidR="00932594" w:rsidRPr="00C40ED4">
        <w:t xml:space="preserve"> </w:t>
      </w:r>
      <w:r w:rsidR="00932594" w:rsidRPr="00C40ED4">
        <w:rPr>
          <w:iCs/>
          <w:color w:val="auto"/>
        </w:rPr>
        <w:t>dichos valores se asignan a las unidades generadoras de efectivo de la Entidad sobre la base de los segmentos operativos.  Ver Nota 1.17 y Nota 9 acápite</w:t>
      </w:r>
      <w:r w:rsidR="00932594">
        <w:rPr>
          <w:iCs/>
          <w:color w:val="auto"/>
        </w:rPr>
        <w:t xml:space="preserve"> Prueba de recuperabilidad de valores llaves, a los estados financieros consolidados al 31 de diciembre de 2019 y, Nota 1.15 y Nota 9 acápite Prueba de recuperabilidad de valores llaves, a los estados financieros separados al 31 de diciembre de 2019.</w:t>
      </w:r>
    </w:p>
    <w:p w14:paraId="5EBC4CDF" w14:textId="4787B0B1" w:rsidR="00580FD1" w:rsidRPr="007F270F" w:rsidRDefault="00580FD1" w:rsidP="00580FD1">
      <w:pPr>
        <w:pStyle w:val="s14-99509"/>
        <w:ind w:left="993" w:hanging="993"/>
        <w:rPr>
          <w:iCs/>
          <w:color w:val="auto"/>
          <w:sz w:val="18"/>
          <w:szCs w:val="18"/>
          <w:highlight w:val="yellow"/>
        </w:rPr>
      </w:pPr>
    </w:p>
    <w:p w14:paraId="78DDE38C" w14:textId="77777777" w:rsidR="00580FD1" w:rsidRPr="00932594" w:rsidRDefault="00580FD1" w:rsidP="00580FD1">
      <w:pPr>
        <w:pStyle w:val="s14-99509"/>
        <w:numPr>
          <w:ilvl w:val="0"/>
          <w:numId w:val="37"/>
        </w:numPr>
        <w:tabs>
          <w:tab w:val="left" w:pos="284"/>
          <w:tab w:val="left" w:pos="426"/>
          <w:tab w:val="left" w:pos="993"/>
        </w:tabs>
        <w:rPr>
          <w:i/>
          <w:iCs/>
          <w:color w:val="auto"/>
        </w:rPr>
      </w:pPr>
      <w:r w:rsidRPr="00932594">
        <w:rPr>
          <w:i/>
          <w:iCs/>
          <w:color w:val="auto"/>
          <w:u w:val="single"/>
        </w:rPr>
        <w:t>Seguros que cubren los bienes tangibles</w:t>
      </w:r>
      <w:r w:rsidRPr="00932594">
        <w:rPr>
          <w:i/>
          <w:iCs/>
          <w:color w:val="auto"/>
        </w:rPr>
        <w:t>.</w:t>
      </w:r>
    </w:p>
    <w:p w14:paraId="736F5835" w14:textId="77777777" w:rsidR="00580FD1" w:rsidRPr="00932594" w:rsidRDefault="00580FD1" w:rsidP="00580FD1">
      <w:pPr>
        <w:pStyle w:val="s14-99509"/>
        <w:tabs>
          <w:tab w:val="left" w:pos="1134"/>
        </w:tabs>
        <w:ind w:firstLine="0"/>
        <w:rPr>
          <w:color w:val="auto"/>
        </w:rPr>
      </w:pPr>
    </w:p>
    <w:p w14:paraId="1197EE41" w14:textId="77777777" w:rsidR="00580FD1" w:rsidRPr="00932594" w:rsidRDefault="00580FD1" w:rsidP="00580FD1">
      <w:pPr>
        <w:pStyle w:val="s14-99509"/>
        <w:tabs>
          <w:tab w:val="left" w:pos="426"/>
          <w:tab w:val="left" w:pos="1134"/>
        </w:tabs>
        <w:ind w:left="993" w:firstLine="0"/>
        <w:rPr>
          <w:i/>
          <w:iCs/>
          <w:color w:val="auto"/>
        </w:rPr>
      </w:pPr>
      <w:r w:rsidRPr="00932594">
        <w:rPr>
          <w:i/>
          <w:iCs/>
          <w:color w:val="auto"/>
        </w:rPr>
        <w:t>Para cada grupo homogéneo de los bienes se consignarán los riesgos cubiertos, las   sumas aseguradas y los correspondientes valores contables.</w:t>
      </w:r>
    </w:p>
    <w:p w14:paraId="0C9BF6FA" w14:textId="77777777" w:rsidR="00580FD1" w:rsidRPr="00932594" w:rsidRDefault="00580FD1" w:rsidP="00580FD1">
      <w:pPr>
        <w:pStyle w:val="s14-99509"/>
        <w:tabs>
          <w:tab w:val="left" w:pos="1134"/>
        </w:tabs>
        <w:rPr>
          <w:i/>
          <w:iCs/>
          <w:color w:val="auto"/>
        </w:rPr>
      </w:pPr>
      <w:r w:rsidRPr="00932594">
        <w:rPr>
          <w:i/>
          <w:iCs/>
          <w:color w:val="auto"/>
        </w:rPr>
        <w:t xml:space="preserve">          </w:t>
      </w:r>
      <w:r w:rsidRPr="00932594">
        <w:rPr>
          <w:iCs/>
          <w:color w:val="auto"/>
        </w:rPr>
        <w:t xml:space="preserve">      Se detalla a continuación de acuerdo con el siguiente cuadro:</w:t>
      </w:r>
    </w:p>
    <w:p w14:paraId="565E939C" w14:textId="77777777" w:rsidR="00580FD1" w:rsidRPr="007F270F" w:rsidRDefault="00580FD1" w:rsidP="00580FD1">
      <w:pPr>
        <w:pStyle w:val="s14-99509"/>
        <w:tabs>
          <w:tab w:val="left" w:pos="1134"/>
        </w:tabs>
        <w:rPr>
          <w:highlight w:val="yellow"/>
        </w:rPr>
      </w:pPr>
    </w:p>
    <w:tbl>
      <w:tblPr>
        <w:tblW w:w="7887" w:type="dxa"/>
        <w:tblInd w:w="279" w:type="dxa"/>
        <w:tblCellMar>
          <w:left w:w="70" w:type="dxa"/>
          <w:right w:w="70" w:type="dxa"/>
        </w:tblCellMar>
        <w:tblLook w:val="04A0" w:firstRow="1" w:lastRow="0" w:firstColumn="1" w:lastColumn="0" w:noHBand="0" w:noVBand="1"/>
      </w:tblPr>
      <w:tblGrid>
        <w:gridCol w:w="3332"/>
        <w:gridCol w:w="2141"/>
        <w:gridCol w:w="1462"/>
        <w:gridCol w:w="952"/>
      </w:tblGrid>
      <w:tr w:rsidR="00932594" w:rsidRPr="00AA04EC" w14:paraId="165F7502" w14:textId="77777777" w:rsidTr="002E1AF6">
        <w:trPr>
          <w:trHeight w:val="94"/>
        </w:trPr>
        <w:tc>
          <w:tcPr>
            <w:tcW w:w="3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0CD085B" w14:textId="77777777" w:rsidR="00932594" w:rsidRPr="00546F98" w:rsidRDefault="00932594" w:rsidP="004D679A">
            <w:pPr>
              <w:ind w:left="66" w:hanging="66"/>
              <w:jc w:val="center"/>
              <w:rPr>
                <w:rFonts w:ascii="Arial" w:hAnsi="Arial" w:cs="Arial"/>
                <w:b/>
                <w:color w:val="000000"/>
                <w:sz w:val="16"/>
                <w:szCs w:val="18"/>
                <w:lang w:eastAsia="es-AR"/>
              </w:rPr>
            </w:pPr>
            <w:r w:rsidRPr="00546F98">
              <w:rPr>
                <w:rFonts w:ascii="Arial" w:hAnsi="Arial" w:cs="Arial"/>
                <w:b/>
                <w:color w:val="000000"/>
                <w:sz w:val="16"/>
                <w:szCs w:val="18"/>
                <w:lang w:eastAsia="es-AR"/>
              </w:rPr>
              <w:t>Grupo Homogéneo de Bienes</w:t>
            </w:r>
          </w:p>
        </w:tc>
        <w:tc>
          <w:tcPr>
            <w:tcW w:w="214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4C6316C" w14:textId="77777777" w:rsidR="00932594" w:rsidRPr="00546F98" w:rsidRDefault="00932594" w:rsidP="004D679A">
            <w:pPr>
              <w:jc w:val="center"/>
              <w:rPr>
                <w:rFonts w:ascii="Arial" w:hAnsi="Arial" w:cs="Arial"/>
                <w:b/>
                <w:color w:val="000000"/>
                <w:sz w:val="16"/>
                <w:szCs w:val="18"/>
                <w:lang w:eastAsia="es-AR"/>
              </w:rPr>
            </w:pPr>
            <w:r w:rsidRPr="00546F98">
              <w:rPr>
                <w:rFonts w:ascii="Arial" w:hAnsi="Arial" w:cs="Arial"/>
                <w:b/>
                <w:color w:val="000000"/>
                <w:sz w:val="16"/>
                <w:szCs w:val="18"/>
                <w:lang w:eastAsia="es-AR"/>
              </w:rPr>
              <w:t>Riesgo Cubierto</w:t>
            </w:r>
          </w:p>
        </w:tc>
        <w:tc>
          <w:tcPr>
            <w:tcW w:w="146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62D613" w14:textId="77777777" w:rsidR="00932594" w:rsidRPr="00546F98" w:rsidRDefault="00932594" w:rsidP="004D679A">
            <w:pPr>
              <w:jc w:val="center"/>
              <w:rPr>
                <w:rFonts w:ascii="Arial" w:hAnsi="Arial" w:cs="Arial"/>
                <w:b/>
                <w:color w:val="000000"/>
                <w:sz w:val="16"/>
                <w:szCs w:val="18"/>
                <w:lang w:eastAsia="es-AR"/>
              </w:rPr>
            </w:pPr>
            <w:r w:rsidRPr="00546F98">
              <w:rPr>
                <w:rFonts w:ascii="Arial" w:hAnsi="Arial" w:cs="Arial"/>
                <w:b/>
                <w:color w:val="000000"/>
                <w:sz w:val="16"/>
                <w:szCs w:val="18"/>
                <w:lang w:eastAsia="es-AR"/>
              </w:rPr>
              <w:t>Suma Asegurada Miles $</w:t>
            </w:r>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BB740A" w14:textId="77777777" w:rsidR="00932594" w:rsidRPr="00546F98" w:rsidRDefault="00932594" w:rsidP="004D679A">
            <w:pPr>
              <w:jc w:val="center"/>
              <w:rPr>
                <w:rFonts w:ascii="Arial" w:hAnsi="Arial" w:cs="Arial"/>
                <w:b/>
                <w:color w:val="000000"/>
                <w:sz w:val="16"/>
                <w:szCs w:val="18"/>
                <w:lang w:eastAsia="es-AR"/>
              </w:rPr>
            </w:pPr>
            <w:r w:rsidRPr="00546F98">
              <w:rPr>
                <w:rFonts w:ascii="Arial" w:hAnsi="Arial" w:cs="Arial"/>
                <w:b/>
                <w:color w:val="000000"/>
                <w:sz w:val="16"/>
                <w:szCs w:val="18"/>
                <w:lang w:eastAsia="es-AR"/>
              </w:rPr>
              <w:t>Valor Contable Miles $</w:t>
            </w:r>
          </w:p>
        </w:tc>
      </w:tr>
      <w:tr w:rsidR="00932594" w:rsidRPr="00AA04EC" w14:paraId="40027199" w14:textId="77777777" w:rsidTr="002E1AF6">
        <w:trPr>
          <w:trHeight w:val="102"/>
        </w:trPr>
        <w:tc>
          <w:tcPr>
            <w:tcW w:w="33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7188B3E" w14:textId="77777777" w:rsidR="00932594" w:rsidRPr="00546F98" w:rsidRDefault="00932594" w:rsidP="004D679A">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Integral Bancaria</w:t>
            </w:r>
          </w:p>
        </w:tc>
        <w:tc>
          <w:tcPr>
            <w:tcW w:w="2141" w:type="dxa"/>
            <w:tcBorders>
              <w:top w:val="nil"/>
              <w:left w:val="nil"/>
              <w:bottom w:val="single" w:sz="4" w:space="0" w:color="auto"/>
              <w:right w:val="single" w:sz="4" w:space="0" w:color="auto"/>
            </w:tcBorders>
            <w:shd w:val="clear" w:color="auto" w:fill="FFFFFF" w:themeFill="background1"/>
            <w:noWrap/>
            <w:vAlign w:val="bottom"/>
            <w:hideMark/>
          </w:tcPr>
          <w:p w14:paraId="33A2A83C" w14:textId="77777777" w:rsidR="00932594" w:rsidRPr="00546F98" w:rsidRDefault="00932594" w:rsidP="004D679A">
            <w:pPr>
              <w:rPr>
                <w:rFonts w:ascii="Arial" w:hAnsi="Arial" w:cs="Arial"/>
                <w:color w:val="000000"/>
                <w:sz w:val="16"/>
                <w:szCs w:val="18"/>
                <w:lang w:eastAsia="es-AR"/>
              </w:rPr>
            </w:pPr>
            <w:r w:rsidRPr="00546F98">
              <w:rPr>
                <w:rFonts w:ascii="Arial" w:hAnsi="Arial" w:cs="Arial"/>
                <w:color w:val="000000"/>
                <w:sz w:val="16"/>
                <w:szCs w:val="18"/>
                <w:lang w:eastAsia="es-AR"/>
              </w:rPr>
              <w:t>Robo</w:t>
            </w:r>
          </w:p>
        </w:tc>
        <w:tc>
          <w:tcPr>
            <w:tcW w:w="1462" w:type="dxa"/>
            <w:tcBorders>
              <w:top w:val="nil"/>
              <w:left w:val="single" w:sz="4" w:space="0" w:color="auto"/>
              <w:bottom w:val="nil"/>
              <w:right w:val="single" w:sz="4" w:space="0" w:color="auto"/>
            </w:tcBorders>
            <w:shd w:val="clear" w:color="auto" w:fill="auto"/>
            <w:noWrap/>
            <w:vAlign w:val="bottom"/>
          </w:tcPr>
          <w:p w14:paraId="021CD00E" w14:textId="46AAB74A" w:rsidR="00932594" w:rsidRPr="002E1AF6" w:rsidRDefault="00E07A49" w:rsidP="004D679A">
            <w:pPr>
              <w:jc w:val="right"/>
              <w:rPr>
                <w:rFonts w:ascii="Arial" w:hAnsi="Arial" w:cs="Arial"/>
                <w:color w:val="000000"/>
                <w:sz w:val="16"/>
                <w:szCs w:val="16"/>
              </w:rPr>
            </w:pPr>
            <w:r w:rsidRPr="00E07A49">
              <w:rPr>
                <w:rFonts w:ascii="Arial" w:hAnsi="Arial" w:cs="Arial"/>
                <w:color w:val="000000"/>
                <w:sz w:val="16"/>
                <w:szCs w:val="16"/>
              </w:rPr>
              <w:t>1.289.394</w:t>
            </w:r>
          </w:p>
        </w:tc>
        <w:tc>
          <w:tcPr>
            <w:tcW w:w="952" w:type="dxa"/>
            <w:tcBorders>
              <w:top w:val="nil"/>
              <w:left w:val="nil"/>
              <w:bottom w:val="single" w:sz="4" w:space="0" w:color="auto"/>
              <w:right w:val="single" w:sz="4" w:space="0" w:color="auto"/>
            </w:tcBorders>
            <w:shd w:val="clear" w:color="auto" w:fill="auto"/>
            <w:noWrap/>
            <w:vAlign w:val="bottom"/>
          </w:tcPr>
          <w:p w14:paraId="26665CCA" w14:textId="7CC32C71" w:rsidR="00932594" w:rsidRPr="00E07A49" w:rsidRDefault="00932594" w:rsidP="004D679A">
            <w:pPr>
              <w:jc w:val="right"/>
              <w:rPr>
                <w:rFonts w:ascii="Arial" w:hAnsi="Arial" w:cs="Arial"/>
                <w:color w:val="000000"/>
                <w:sz w:val="16"/>
                <w:szCs w:val="16"/>
              </w:rPr>
            </w:pPr>
            <w:r w:rsidRPr="002E1AF6">
              <w:rPr>
                <w:rFonts w:ascii="Arial" w:hAnsi="Arial" w:cs="Arial"/>
                <w:color w:val="000000"/>
                <w:sz w:val="16"/>
                <w:szCs w:val="16"/>
              </w:rPr>
              <w:t>9.538.275</w:t>
            </w:r>
          </w:p>
        </w:tc>
      </w:tr>
      <w:tr w:rsidR="00932594" w:rsidRPr="00546F98" w14:paraId="51F7990D" w14:textId="77777777" w:rsidTr="002E1AF6">
        <w:trPr>
          <w:trHeight w:val="332"/>
        </w:trPr>
        <w:tc>
          <w:tcPr>
            <w:tcW w:w="3332" w:type="dxa"/>
            <w:tcBorders>
              <w:top w:val="nil"/>
              <w:left w:val="single" w:sz="4" w:space="0" w:color="auto"/>
              <w:bottom w:val="single" w:sz="4" w:space="0" w:color="auto"/>
              <w:right w:val="single" w:sz="4" w:space="0" w:color="auto"/>
            </w:tcBorders>
            <w:shd w:val="clear" w:color="auto" w:fill="FFFFFF" w:themeFill="background1"/>
            <w:vAlign w:val="bottom"/>
            <w:hideMark/>
          </w:tcPr>
          <w:p w14:paraId="38CCDE9D" w14:textId="77777777" w:rsidR="00932594" w:rsidRPr="00546F98" w:rsidRDefault="00932594" w:rsidP="004D679A">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Edificios, Contenidos de cada Sucursal y Centro de Servicios, Cristales, Carteles, Grupos Electrógenos.</w:t>
            </w:r>
          </w:p>
        </w:tc>
        <w:tc>
          <w:tcPr>
            <w:tcW w:w="2141" w:type="dxa"/>
            <w:tcBorders>
              <w:top w:val="nil"/>
              <w:left w:val="nil"/>
              <w:bottom w:val="single" w:sz="4" w:space="0" w:color="auto"/>
              <w:right w:val="nil"/>
            </w:tcBorders>
            <w:shd w:val="clear" w:color="auto" w:fill="FFFFFF" w:themeFill="background1"/>
            <w:noWrap/>
            <w:vAlign w:val="center"/>
            <w:hideMark/>
          </w:tcPr>
          <w:p w14:paraId="2684F352" w14:textId="77777777" w:rsidR="00932594" w:rsidRPr="00546F98" w:rsidRDefault="00932594" w:rsidP="004D679A">
            <w:pPr>
              <w:rPr>
                <w:rFonts w:ascii="Arial" w:hAnsi="Arial" w:cs="Arial"/>
                <w:color w:val="000000"/>
                <w:sz w:val="16"/>
                <w:szCs w:val="18"/>
                <w:lang w:eastAsia="es-AR"/>
              </w:rPr>
            </w:pPr>
            <w:r w:rsidRPr="00546F98">
              <w:rPr>
                <w:rFonts w:ascii="Arial" w:hAnsi="Arial" w:cs="Arial"/>
                <w:color w:val="000000"/>
                <w:sz w:val="16"/>
                <w:szCs w:val="18"/>
                <w:lang w:eastAsia="es-AR"/>
              </w:rPr>
              <w:t>Todo Riesgo Operativo (Incendio)</w:t>
            </w:r>
          </w:p>
        </w:tc>
        <w:tc>
          <w:tcPr>
            <w:tcW w:w="14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57752CD" w14:textId="1E467252" w:rsidR="00932594" w:rsidRPr="002E1AF6" w:rsidRDefault="00E07A49" w:rsidP="004D679A">
            <w:pPr>
              <w:jc w:val="right"/>
              <w:rPr>
                <w:rFonts w:ascii="Arial" w:hAnsi="Arial" w:cs="Arial"/>
                <w:color w:val="000000"/>
                <w:sz w:val="16"/>
                <w:szCs w:val="16"/>
              </w:rPr>
            </w:pPr>
            <w:r w:rsidRPr="002E1AF6">
              <w:rPr>
                <w:rFonts w:ascii="Arial" w:hAnsi="Arial" w:cs="Arial"/>
                <w:color w:val="000000"/>
                <w:sz w:val="16"/>
                <w:szCs w:val="16"/>
              </w:rPr>
              <w:t>13.382.243</w:t>
            </w:r>
          </w:p>
        </w:tc>
        <w:tc>
          <w:tcPr>
            <w:tcW w:w="952" w:type="dxa"/>
            <w:vMerge w:val="restart"/>
            <w:tcBorders>
              <w:top w:val="single" w:sz="4" w:space="0" w:color="auto"/>
              <w:left w:val="nil"/>
              <w:bottom w:val="single" w:sz="4" w:space="0" w:color="000000"/>
              <w:right w:val="single" w:sz="4" w:space="0" w:color="auto"/>
            </w:tcBorders>
            <w:shd w:val="clear" w:color="auto" w:fill="auto"/>
            <w:noWrap/>
            <w:vAlign w:val="center"/>
          </w:tcPr>
          <w:p w14:paraId="5DB05D49" w14:textId="774B2058" w:rsidR="00932594" w:rsidRPr="00E07A49" w:rsidRDefault="00932594" w:rsidP="004D679A">
            <w:pPr>
              <w:jc w:val="right"/>
              <w:rPr>
                <w:rFonts w:ascii="Arial" w:hAnsi="Arial" w:cs="Arial"/>
                <w:color w:val="000000"/>
                <w:sz w:val="16"/>
                <w:szCs w:val="16"/>
              </w:rPr>
            </w:pPr>
            <w:r w:rsidRPr="002E1AF6">
              <w:rPr>
                <w:rFonts w:ascii="Arial" w:hAnsi="Arial" w:cs="Arial"/>
                <w:color w:val="000000"/>
                <w:sz w:val="16"/>
                <w:szCs w:val="16"/>
              </w:rPr>
              <w:t>8.029.923</w:t>
            </w:r>
          </w:p>
        </w:tc>
      </w:tr>
      <w:tr w:rsidR="00932594" w:rsidRPr="00546F98" w14:paraId="12AACE12" w14:textId="77777777" w:rsidTr="002E1AF6">
        <w:trPr>
          <w:trHeight w:val="235"/>
        </w:trPr>
        <w:tc>
          <w:tcPr>
            <w:tcW w:w="33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B77844" w14:textId="77777777" w:rsidR="00932594" w:rsidRPr="00546F98" w:rsidRDefault="00932594" w:rsidP="004D679A">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 xml:space="preserve">Centro de Cómputos </w:t>
            </w:r>
          </w:p>
        </w:tc>
        <w:tc>
          <w:tcPr>
            <w:tcW w:w="2141" w:type="dxa"/>
            <w:tcBorders>
              <w:top w:val="nil"/>
              <w:left w:val="nil"/>
              <w:bottom w:val="single" w:sz="4" w:space="0" w:color="auto"/>
              <w:right w:val="nil"/>
            </w:tcBorders>
            <w:shd w:val="clear" w:color="auto" w:fill="FFFFFF" w:themeFill="background1"/>
            <w:noWrap/>
            <w:vAlign w:val="bottom"/>
            <w:hideMark/>
          </w:tcPr>
          <w:p w14:paraId="738D9BCC" w14:textId="77777777" w:rsidR="00932594" w:rsidRPr="00546F98" w:rsidRDefault="00932594" w:rsidP="004D679A">
            <w:pPr>
              <w:rPr>
                <w:rFonts w:ascii="Arial" w:hAnsi="Arial" w:cs="Arial"/>
                <w:color w:val="000000"/>
                <w:sz w:val="16"/>
                <w:szCs w:val="18"/>
                <w:lang w:eastAsia="es-AR"/>
              </w:rPr>
            </w:pPr>
            <w:r w:rsidRPr="00546F98">
              <w:rPr>
                <w:rFonts w:ascii="Arial" w:hAnsi="Arial" w:cs="Arial"/>
                <w:color w:val="000000"/>
                <w:sz w:val="16"/>
                <w:szCs w:val="18"/>
                <w:lang w:eastAsia="es-AR"/>
              </w:rPr>
              <w:t>Incendio y todo daño físico</w:t>
            </w:r>
          </w:p>
        </w:tc>
        <w:tc>
          <w:tcPr>
            <w:tcW w:w="146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A9ECBCF" w14:textId="77777777" w:rsidR="00932594" w:rsidRPr="002E1AF6" w:rsidRDefault="00932594" w:rsidP="004D679A">
            <w:pPr>
              <w:rPr>
                <w:rFonts w:ascii="Arial" w:hAnsi="Arial" w:cs="Arial"/>
                <w:color w:val="000000"/>
                <w:sz w:val="16"/>
                <w:szCs w:val="18"/>
                <w:lang w:eastAsia="es-AR"/>
              </w:rPr>
            </w:pPr>
          </w:p>
        </w:tc>
        <w:tc>
          <w:tcPr>
            <w:tcW w:w="952" w:type="dxa"/>
            <w:vMerge/>
            <w:tcBorders>
              <w:top w:val="nil"/>
              <w:left w:val="nil"/>
              <w:bottom w:val="single" w:sz="4" w:space="0" w:color="000000"/>
              <w:right w:val="single" w:sz="4" w:space="0" w:color="auto"/>
            </w:tcBorders>
            <w:shd w:val="clear" w:color="auto" w:fill="auto"/>
            <w:vAlign w:val="center"/>
          </w:tcPr>
          <w:p w14:paraId="58FD90DA" w14:textId="77777777" w:rsidR="00932594" w:rsidRPr="00E07A49" w:rsidRDefault="00932594" w:rsidP="004D679A">
            <w:pPr>
              <w:rPr>
                <w:rFonts w:ascii="Arial" w:hAnsi="Arial" w:cs="Arial"/>
                <w:color w:val="000000"/>
                <w:sz w:val="16"/>
                <w:szCs w:val="18"/>
                <w:lang w:eastAsia="es-AR"/>
              </w:rPr>
            </w:pPr>
          </w:p>
        </w:tc>
      </w:tr>
      <w:tr w:rsidR="00932594" w:rsidRPr="00546F98" w14:paraId="61ED7C30" w14:textId="77777777" w:rsidTr="002E1AF6">
        <w:trPr>
          <w:trHeight w:val="235"/>
        </w:trPr>
        <w:tc>
          <w:tcPr>
            <w:tcW w:w="33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DB037F8" w14:textId="77777777" w:rsidR="00932594" w:rsidRPr="00546F98" w:rsidRDefault="00932594" w:rsidP="004D679A">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Automotores y Rodados</w:t>
            </w:r>
          </w:p>
        </w:tc>
        <w:tc>
          <w:tcPr>
            <w:tcW w:w="2141" w:type="dxa"/>
            <w:tcBorders>
              <w:top w:val="nil"/>
              <w:left w:val="nil"/>
              <w:bottom w:val="single" w:sz="4" w:space="0" w:color="auto"/>
              <w:right w:val="single" w:sz="4" w:space="0" w:color="auto"/>
            </w:tcBorders>
            <w:shd w:val="clear" w:color="auto" w:fill="FFFFFF" w:themeFill="background1"/>
            <w:noWrap/>
            <w:vAlign w:val="bottom"/>
            <w:hideMark/>
          </w:tcPr>
          <w:p w14:paraId="2C5FFE1C" w14:textId="77777777" w:rsidR="00932594" w:rsidRPr="00546F98" w:rsidRDefault="00932594" w:rsidP="004D679A">
            <w:pPr>
              <w:rPr>
                <w:rFonts w:ascii="Arial" w:hAnsi="Arial" w:cs="Arial"/>
                <w:color w:val="000000"/>
                <w:sz w:val="16"/>
                <w:szCs w:val="18"/>
                <w:lang w:eastAsia="es-AR"/>
              </w:rPr>
            </w:pPr>
            <w:r w:rsidRPr="00546F98">
              <w:rPr>
                <w:rFonts w:ascii="Arial" w:hAnsi="Arial" w:cs="Arial"/>
                <w:color w:val="000000"/>
                <w:sz w:val="16"/>
                <w:szCs w:val="18"/>
                <w:lang w:eastAsia="es-AR"/>
              </w:rPr>
              <w:t>Todo Riesgo c/franquicia</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449EA" w14:textId="0F9C69F7" w:rsidR="00932594" w:rsidRPr="002E1AF6" w:rsidRDefault="00E07A49" w:rsidP="004D679A">
            <w:pPr>
              <w:jc w:val="right"/>
              <w:rPr>
                <w:rFonts w:ascii="Arial" w:hAnsi="Arial" w:cs="Arial"/>
                <w:color w:val="000000"/>
                <w:sz w:val="16"/>
                <w:szCs w:val="16"/>
              </w:rPr>
            </w:pPr>
            <w:r w:rsidRPr="002E1AF6">
              <w:rPr>
                <w:rFonts w:ascii="Arial" w:hAnsi="Arial" w:cs="Arial"/>
                <w:color w:val="000000"/>
                <w:sz w:val="16"/>
                <w:szCs w:val="16"/>
              </w:rPr>
              <w:t>152.849</w:t>
            </w:r>
          </w:p>
        </w:tc>
        <w:tc>
          <w:tcPr>
            <w:tcW w:w="952" w:type="dxa"/>
            <w:tcBorders>
              <w:top w:val="single" w:sz="4" w:space="0" w:color="auto"/>
              <w:left w:val="nil"/>
              <w:bottom w:val="single" w:sz="4" w:space="0" w:color="auto"/>
              <w:right w:val="single" w:sz="4" w:space="0" w:color="auto"/>
            </w:tcBorders>
            <w:shd w:val="clear" w:color="auto" w:fill="auto"/>
            <w:noWrap/>
            <w:vAlign w:val="bottom"/>
          </w:tcPr>
          <w:p w14:paraId="2EB49CBB" w14:textId="3257AE6B" w:rsidR="00932594" w:rsidRPr="002E1AF6" w:rsidRDefault="00932594" w:rsidP="004D679A">
            <w:pPr>
              <w:jc w:val="right"/>
              <w:rPr>
                <w:rFonts w:ascii="Arial" w:hAnsi="Arial" w:cs="Arial"/>
                <w:color w:val="000000"/>
                <w:sz w:val="16"/>
                <w:szCs w:val="16"/>
              </w:rPr>
            </w:pPr>
            <w:r w:rsidRPr="002E1AF6">
              <w:rPr>
                <w:rFonts w:ascii="Arial" w:hAnsi="Arial" w:cs="Arial"/>
                <w:color w:val="000000"/>
                <w:sz w:val="16"/>
                <w:szCs w:val="16"/>
              </w:rPr>
              <w:t>82.710</w:t>
            </w:r>
          </w:p>
        </w:tc>
      </w:tr>
      <w:tr w:rsidR="00932594" w:rsidRPr="00546F98" w14:paraId="5AAFD0A9" w14:textId="77777777" w:rsidTr="002E1AF6">
        <w:trPr>
          <w:trHeight w:val="235"/>
        </w:trPr>
        <w:tc>
          <w:tcPr>
            <w:tcW w:w="3332" w:type="dxa"/>
            <w:tcBorders>
              <w:top w:val="nil"/>
              <w:left w:val="single" w:sz="4" w:space="0" w:color="auto"/>
              <w:bottom w:val="single" w:sz="4" w:space="0" w:color="auto"/>
              <w:right w:val="single" w:sz="4" w:space="0" w:color="auto"/>
            </w:tcBorders>
            <w:shd w:val="clear" w:color="auto" w:fill="FFFFFF" w:themeFill="background1"/>
            <w:vAlign w:val="bottom"/>
            <w:hideMark/>
          </w:tcPr>
          <w:p w14:paraId="6EC21780" w14:textId="77777777" w:rsidR="00932594" w:rsidRPr="00546F98" w:rsidRDefault="00932594" w:rsidP="004D679A">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Rodados entregados en Leasing</w:t>
            </w:r>
          </w:p>
        </w:tc>
        <w:tc>
          <w:tcPr>
            <w:tcW w:w="2141" w:type="dxa"/>
            <w:tcBorders>
              <w:top w:val="nil"/>
              <w:left w:val="nil"/>
              <w:bottom w:val="single" w:sz="4" w:space="0" w:color="auto"/>
              <w:right w:val="single" w:sz="4" w:space="0" w:color="auto"/>
            </w:tcBorders>
            <w:shd w:val="clear" w:color="auto" w:fill="FFFFFF" w:themeFill="background1"/>
            <w:noWrap/>
            <w:vAlign w:val="bottom"/>
            <w:hideMark/>
          </w:tcPr>
          <w:p w14:paraId="270C7014" w14:textId="77777777" w:rsidR="00932594" w:rsidRPr="00546F98" w:rsidRDefault="00932594" w:rsidP="004D679A">
            <w:pPr>
              <w:rPr>
                <w:rFonts w:ascii="Arial" w:hAnsi="Arial" w:cs="Arial"/>
                <w:color w:val="000000"/>
                <w:sz w:val="16"/>
                <w:szCs w:val="18"/>
                <w:lang w:eastAsia="es-AR"/>
              </w:rPr>
            </w:pPr>
            <w:r w:rsidRPr="00546F98">
              <w:rPr>
                <w:rFonts w:ascii="Arial" w:hAnsi="Arial" w:cs="Arial"/>
                <w:color w:val="000000"/>
                <w:sz w:val="16"/>
                <w:szCs w:val="18"/>
                <w:lang w:eastAsia="es-AR"/>
              </w:rPr>
              <w:t>Todo riesgo</w:t>
            </w:r>
          </w:p>
        </w:tc>
        <w:tc>
          <w:tcPr>
            <w:tcW w:w="1462" w:type="dxa"/>
            <w:tcBorders>
              <w:top w:val="nil"/>
              <w:left w:val="nil"/>
              <w:bottom w:val="single" w:sz="4" w:space="0" w:color="auto"/>
              <w:right w:val="single" w:sz="4" w:space="0" w:color="auto"/>
            </w:tcBorders>
            <w:shd w:val="clear" w:color="auto" w:fill="auto"/>
            <w:noWrap/>
            <w:vAlign w:val="bottom"/>
          </w:tcPr>
          <w:p w14:paraId="23347C5E" w14:textId="7E99E8B7" w:rsidR="00932594" w:rsidRPr="002E1AF6" w:rsidRDefault="00E07A49" w:rsidP="004D679A">
            <w:pPr>
              <w:jc w:val="right"/>
              <w:rPr>
                <w:rFonts w:ascii="Arial" w:hAnsi="Arial" w:cs="Arial"/>
                <w:sz w:val="16"/>
                <w:szCs w:val="18"/>
                <w:lang w:eastAsia="es-AR"/>
              </w:rPr>
            </w:pPr>
            <w:r w:rsidRPr="002E1AF6">
              <w:rPr>
                <w:rFonts w:ascii="Arial" w:hAnsi="Arial" w:cs="Arial"/>
                <w:sz w:val="16"/>
                <w:szCs w:val="18"/>
                <w:lang w:eastAsia="es-AR"/>
              </w:rPr>
              <w:t>1.387.786</w:t>
            </w:r>
          </w:p>
        </w:tc>
        <w:tc>
          <w:tcPr>
            <w:tcW w:w="952" w:type="dxa"/>
            <w:vMerge w:val="restart"/>
            <w:tcBorders>
              <w:top w:val="nil"/>
              <w:left w:val="single" w:sz="4" w:space="0" w:color="auto"/>
              <w:bottom w:val="single" w:sz="4" w:space="0" w:color="000000"/>
              <w:right w:val="single" w:sz="4" w:space="0" w:color="auto"/>
            </w:tcBorders>
            <w:shd w:val="clear" w:color="auto" w:fill="auto"/>
            <w:noWrap/>
            <w:vAlign w:val="bottom"/>
          </w:tcPr>
          <w:p w14:paraId="2F93F878" w14:textId="5C439787" w:rsidR="00932594" w:rsidRPr="002E1AF6" w:rsidRDefault="00932594">
            <w:pPr>
              <w:jc w:val="right"/>
              <w:rPr>
                <w:rFonts w:ascii="Arial" w:hAnsi="Arial" w:cs="Arial"/>
                <w:color w:val="000000"/>
                <w:sz w:val="16"/>
                <w:szCs w:val="18"/>
                <w:lang w:eastAsia="es-AR"/>
              </w:rPr>
            </w:pPr>
            <w:r w:rsidRPr="002E1AF6">
              <w:rPr>
                <w:rFonts w:ascii="Arial" w:hAnsi="Arial" w:cs="Arial"/>
                <w:color w:val="000000"/>
                <w:sz w:val="16"/>
                <w:szCs w:val="18"/>
                <w:lang w:eastAsia="es-AR"/>
              </w:rPr>
              <w:t>2.954.098</w:t>
            </w:r>
          </w:p>
        </w:tc>
      </w:tr>
      <w:tr w:rsidR="00932594" w:rsidRPr="00546F98" w14:paraId="7BA5ECB1" w14:textId="77777777" w:rsidTr="002E1AF6">
        <w:trPr>
          <w:trHeight w:val="236"/>
        </w:trPr>
        <w:tc>
          <w:tcPr>
            <w:tcW w:w="3332" w:type="dxa"/>
            <w:tcBorders>
              <w:top w:val="nil"/>
              <w:left w:val="single" w:sz="4" w:space="0" w:color="auto"/>
              <w:bottom w:val="single" w:sz="4" w:space="0" w:color="auto"/>
              <w:right w:val="single" w:sz="4" w:space="0" w:color="auto"/>
            </w:tcBorders>
            <w:shd w:val="clear" w:color="auto" w:fill="auto"/>
            <w:vAlign w:val="bottom"/>
            <w:hideMark/>
          </w:tcPr>
          <w:p w14:paraId="25E4BEA9" w14:textId="77777777" w:rsidR="00932594" w:rsidRPr="00546F98" w:rsidRDefault="00932594" w:rsidP="004D679A">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Maquinarias entregadas en Leasing</w:t>
            </w:r>
          </w:p>
        </w:tc>
        <w:tc>
          <w:tcPr>
            <w:tcW w:w="2141" w:type="dxa"/>
            <w:tcBorders>
              <w:top w:val="nil"/>
              <w:left w:val="nil"/>
              <w:bottom w:val="single" w:sz="4" w:space="0" w:color="auto"/>
              <w:right w:val="single" w:sz="4" w:space="0" w:color="auto"/>
            </w:tcBorders>
            <w:shd w:val="clear" w:color="auto" w:fill="auto"/>
            <w:noWrap/>
            <w:vAlign w:val="bottom"/>
            <w:hideMark/>
          </w:tcPr>
          <w:p w14:paraId="53731603" w14:textId="77777777" w:rsidR="00932594" w:rsidRPr="00546F98" w:rsidRDefault="00932594" w:rsidP="004D679A">
            <w:pPr>
              <w:rPr>
                <w:rFonts w:ascii="Arial" w:hAnsi="Arial" w:cs="Arial"/>
                <w:color w:val="000000"/>
                <w:sz w:val="16"/>
                <w:szCs w:val="18"/>
                <w:lang w:eastAsia="es-AR"/>
              </w:rPr>
            </w:pPr>
            <w:r w:rsidRPr="00546F98">
              <w:rPr>
                <w:rFonts w:ascii="Arial" w:hAnsi="Arial" w:cs="Arial"/>
                <w:color w:val="000000"/>
                <w:sz w:val="16"/>
                <w:szCs w:val="18"/>
                <w:lang w:eastAsia="es-AR"/>
              </w:rPr>
              <w:t>Todo riesgo</w:t>
            </w:r>
          </w:p>
        </w:tc>
        <w:tc>
          <w:tcPr>
            <w:tcW w:w="1462" w:type="dxa"/>
            <w:tcBorders>
              <w:top w:val="nil"/>
              <w:left w:val="nil"/>
              <w:bottom w:val="single" w:sz="4" w:space="0" w:color="auto"/>
              <w:right w:val="single" w:sz="4" w:space="0" w:color="auto"/>
            </w:tcBorders>
            <w:shd w:val="clear" w:color="auto" w:fill="auto"/>
            <w:noWrap/>
            <w:vAlign w:val="bottom"/>
          </w:tcPr>
          <w:p w14:paraId="012048E9" w14:textId="7181B953" w:rsidR="00932594" w:rsidRPr="00932594" w:rsidRDefault="00E07A49" w:rsidP="004D679A">
            <w:pPr>
              <w:jc w:val="right"/>
              <w:rPr>
                <w:rFonts w:ascii="Arial" w:hAnsi="Arial" w:cs="Arial"/>
                <w:sz w:val="16"/>
                <w:szCs w:val="18"/>
                <w:highlight w:val="yellow"/>
                <w:lang w:eastAsia="es-AR"/>
              </w:rPr>
            </w:pPr>
            <w:r w:rsidRPr="002E1AF6">
              <w:rPr>
                <w:rFonts w:ascii="Arial" w:hAnsi="Arial" w:cs="Arial"/>
                <w:sz w:val="16"/>
                <w:szCs w:val="18"/>
                <w:lang w:eastAsia="es-AR"/>
              </w:rPr>
              <w:t>2.789.077</w:t>
            </w:r>
          </w:p>
        </w:tc>
        <w:tc>
          <w:tcPr>
            <w:tcW w:w="952" w:type="dxa"/>
            <w:vMerge/>
            <w:tcBorders>
              <w:top w:val="nil"/>
              <w:left w:val="single" w:sz="4" w:space="0" w:color="auto"/>
              <w:bottom w:val="single" w:sz="4" w:space="0" w:color="000000"/>
              <w:right w:val="single" w:sz="4" w:space="0" w:color="auto"/>
            </w:tcBorders>
            <w:vAlign w:val="center"/>
          </w:tcPr>
          <w:p w14:paraId="4E99C1A0" w14:textId="77777777" w:rsidR="00932594" w:rsidRPr="00546F98" w:rsidRDefault="00932594" w:rsidP="004D679A">
            <w:pPr>
              <w:rPr>
                <w:rFonts w:ascii="Arial" w:hAnsi="Arial" w:cs="Arial"/>
                <w:color w:val="000000"/>
                <w:sz w:val="16"/>
                <w:szCs w:val="18"/>
                <w:lang w:eastAsia="es-AR"/>
              </w:rPr>
            </w:pPr>
          </w:p>
        </w:tc>
      </w:tr>
    </w:tbl>
    <w:p w14:paraId="110EFD33" w14:textId="77777777" w:rsidR="00580FD1" w:rsidRPr="007F270F" w:rsidRDefault="00580FD1" w:rsidP="00580FD1">
      <w:pPr>
        <w:pStyle w:val="s14-99509"/>
        <w:tabs>
          <w:tab w:val="left" w:pos="1134"/>
        </w:tabs>
        <w:ind w:firstLine="993"/>
        <w:rPr>
          <w:color w:val="auto"/>
          <w:highlight w:val="yellow"/>
        </w:rPr>
      </w:pPr>
    </w:p>
    <w:p w14:paraId="071438FD" w14:textId="5E42C65C" w:rsidR="00580FD1" w:rsidRDefault="00580FD1" w:rsidP="00580FD1">
      <w:pPr>
        <w:pStyle w:val="s14-99509"/>
        <w:tabs>
          <w:tab w:val="left" w:pos="1134"/>
        </w:tabs>
        <w:rPr>
          <w:color w:val="auto"/>
          <w:highlight w:val="yellow"/>
        </w:rPr>
      </w:pPr>
    </w:p>
    <w:p w14:paraId="42C0A51E" w14:textId="738B46BD" w:rsidR="00CB7488" w:rsidRDefault="00CB7488" w:rsidP="00580FD1">
      <w:pPr>
        <w:pStyle w:val="s14-99509"/>
        <w:tabs>
          <w:tab w:val="left" w:pos="1134"/>
        </w:tabs>
        <w:rPr>
          <w:color w:val="auto"/>
          <w:highlight w:val="yellow"/>
        </w:rPr>
      </w:pPr>
    </w:p>
    <w:p w14:paraId="4125AE81" w14:textId="77777777" w:rsidR="00CB7488" w:rsidRPr="007F270F" w:rsidRDefault="00CB7488" w:rsidP="00580FD1">
      <w:pPr>
        <w:pStyle w:val="s14-99509"/>
        <w:tabs>
          <w:tab w:val="left" w:pos="1134"/>
        </w:tabs>
        <w:rPr>
          <w:color w:val="auto"/>
          <w:highlight w:val="yellow"/>
        </w:rPr>
      </w:pPr>
    </w:p>
    <w:p w14:paraId="2DDB02E0" w14:textId="77777777" w:rsidR="00580FD1" w:rsidRPr="00932594" w:rsidRDefault="00580FD1" w:rsidP="00580FD1">
      <w:pPr>
        <w:pStyle w:val="s14-99509"/>
        <w:numPr>
          <w:ilvl w:val="0"/>
          <w:numId w:val="37"/>
        </w:numPr>
        <w:rPr>
          <w:i/>
          <w:iCs/>
          <w:color w:val="auto"/>
        </w:rPr>
      </w:pPr>
      <w:r w:rsidRPr="00932594">
        <w:rPr>
          <w:i/>
          <w:iCs/>
          <w:color w:val="auto"/>
          <w:u w:val="single"/>
        </w:rPr>
        <w:lastRenderedPageBreak/>
        <w:t>Contingencias positivas y negativas</w:t>
      </w:r>
      <w:r w:rsidRPr="00932594">
        <w:rPr>
          <w:i/>
          <w:iCs/>
          <w:color w:val="auto"/>
        </w:rPr>
        <w:t>.</w:t>
      </w:r>
    </w:p>
    <w:p w14:paraId="460A115C" w14:textId="77777777" w:rsidR="00580FD1" w:rsidRPr="00932594" w:rsidRDefault="00580FD1" w:rsidP="00580FD1">
      <w:pPr>
        <w:pStyle w:val="s14-99509"/>
        <w:ind w:left="1004" w:firstLine="0"/>
        <w:rPr>
          <w:color w:val="auto"/>
        </w:rPr>
      </w:pPr>
    </w:p>
    <w:p w14:paraId="0B48C2ED" w14:textId="77777777" w:rsidR="00580FD1" w:rsidRPr="00932594" w:rsidRDefault="00580FD1" w:rsidP="00580FD1">
      <w:pPr>
        <w:pStyle w:val="s14-99509"/>
        <w:tabs>
          <w:tab w:val="left" w:pos="993"/>
        </w:tabs>
        <w:rPr>
          <w:i/>
          <w:iCs/>
          <w:color w:val="auto"/>
        </w:rPr>
      </w:pPr>
      <w:r w:rsidRPr="00932594">
        <w:rPr>
          <w:i/>
          <w:iCs/>
          <w:color w:val="auto"/>
        </w:rPr>
        <w:t>a)         Elementos considerados para calcular las previsiones cuyos saldos, considerados</w:t>
      </w:r>
    </w:p>
    <w:p w14:paraId="016AC309" w14:textId="77777777" w:rsidR="00580FD1" w:rsidRPr="00932594" w:rsidRDefault="00580FD1" w:rsidP="00580FD1">
      <w:pPr>
        <w:pStyle w:val="s14-99509"/>
        <w:tabs>
          <w:tab w:val="left" w:pos="993"/>
        </w:tabs>
        <w:rPr>
          <w:i/>
          <w:iCs/>
          <w:color w:val="auto"/>
        </w:rPr>
      </w:pPr>
      <w:r w:rsidRPr="00932594">
        <w:rPr>
          <w:i/>
          <w:iCs/>
          <w:color w:val="auto"/>
        </w:rPr>
        <w:t xml:space="preserve">            individualmente o en conjunto, superen el dos por ciento (2%) del patrimonio.</w:t>
      </w:r>
    </w:p>
    <w:p w14:paraId="77C8E7F0" w14:textId="77777777" w:rsidR="00580FD1" w:rsidRPr="00932594" w:rsidRDefault="00580FD1" w:rsidP="00580FD1">
      <w:pPr>
        <w:pStyle w:val="s14-99509"/>
        <w:tabs>
          <w:tab w:val="left" w:pos="993"/>
        </w:tabs>
        <w:rPr>
          <w:i/>
          <w:iCs/>
          <w:color w:val="auto"/>
        </w:rPr>
      </w:pPr>
    </w:p>
    <w:p w14:paraId="27A0B33F" w14:textId="2546C227" w:rsidR="00932594" w:rsidRPr="00932594" w:rsidRDefault="00932594" w:rsidP="00932594">
      <w:pPr>
        <w:pStyle w:val="s14-99509"/>
        <w:tabs>
          <w:tab w:val="left" w:pos="993"/>
        </w:tabs>
        <w:ind w:left="993" w:firstLine="0"/>
        <w:rPr>
          <w:color w:val="auto"/>
        </w:rPr>
      </w:pPr>
      <w:r w:rsidRPr="00932594">
        <w:rPr>
          <w:color w:val="auto"/>
        </w:rPr>
        <w:t xml:space="preserve">Las previsiones correspondientes al activo, a saber: Préstamos y otras financiaciones (las cuales incluyen Préstamos, Otros Créditos por Intermediación Financiera, Créditos por Arrendamiento y Créditos Diversos), se rigen por criterios establecidos por normas del Banco Central los cuales se encuentran indicados en Nota 1.11 a los estados financieros separados al 31 de diciembre de 2019 y Nota 1.13 a los estados financieros consolidados al 31 de diciembre de 2019. Las previsiones del pasivo han sido determinadas por el Directorio de la Entidad en función a la información recibida de sus asesores legales (ver Nota 6 a los estados financieros consolidados y separados al 31 de marzo de 2020). </w:t>
      </w:r>
    </w:p>
    <w:p w14:paraId="789B9640" w14:textId="77777777" w:rsidR="00580FD1" w:rsidRPr="00932594" w:rsidRDefault="00580FD1" w:rsidP="00580FD1">
      <w:pPr>
        <w:pStyle w:val="s14-99509"/>
        <w:tabs>
          <w:tab w:val="left" w:pos="993"/>
        </w:tabs>
        <w:rPr>
          <w:color w:val="auto"/>
        </w:rPr>
      </w:pPr>
    </w:p>
    <w:p w14:paraId="03E01DD9" w14:textId="77777777" w:rsidR="00580FD1" w:rsidRPr="00932594" w:rsidRDefault="00580FD1" w:rsidP="00580FD1">
      <w:pPr>
        <w:pStyle w:val="s14-99509"/>
        <w:tabs>
          <w:tab w:val="left" w:pos="426"/>
          <w:tab w:val="left" w:pos="993"/>
        </w:tabs>
        <w:ind w:left="993" w:hanging="709"/>
        <w:rPr>
          <w:i/>
          <w:iCs/>
          <w:color w:val="auto"/>
        </w:rPr>
      </w:pPr>
      <w:r w:rsidRPr="00932594">
        <w:rPr>
          <w:i/>
          <w:iCs/>
          <w:color w:val="auto"/>
        </w:rPr>
        <w:t xml:space="preserve">b)       Situaciones contingentes a la fecha de los estados contables cuya probabilidad de ocurrencia no sea remota y cuyos efectos patrimoniales no hayan sido contabilizados, </w:t>
      </w:r>
    </w:p>
    <w:p w14:paraId="47E5C667" w14:textId="77777777" w:rsidR="00580FD1" w:rsidRPr="00932594" w:rsidRDefault="00580FD1" w:rsidP="00580FD1">
      <w:pPr>
        <w:pStyle w:val="s14-99509"/>
        <w:tabs>
          <w:tab w:val="left" w:pos="426"/>
          <w:tab w:val="left" w:pos="993"/>
        </w:tabs>
        <w:ind w:left="993" w:hanging="709"/>
        <w:rPr>
          <w:i/>
          <w:iCs/>
          <w:color w:val="auto"/>
        </w:rPr>
      </w:pPr>
      <w:r w:rsidRPr="00932594">
        <w:rPr>
          <w:i/>
          <w:iCs/>
          <w:color w:val="auto"/>
        </w:rPr>
        <w:t xml:space="preserve">             indicándose si la falta de contabilización se basa en su probabilidad de concreción o en dificultades para la cuantificación de sus efectos.         </w:t>
      </w:r>
    </w:p>
    <w:p w14:paraId="54F93C93" w14:textId="77777777" w:rsidR="00580FD1" w:rsidRPr="00932594" w:rsidRDefault="00580FD1" w:rsidP="00580FD1">
      <w:pPr>
        <w:pStyle w:val="s14-99509"/>
        <w:tabs>
          <w:tab w:val="left" w:pos="426"/>
          <w:tab w:val="left" w:pos="993"/>
        </w:tabs>
        <w:ind w:left="993" w:hanging="709"/>
        <w:rPr>
          <w:i/>
          <w:iCs/>
          <w:color w:val="auto"/>
        </w:rPr>
      </w:pPr>
      <w:r w:rsidRPr="00932594">
        <w:rPr>
          <w:i/>
          <w:iCs/>
          <w:color w:val="auto"/>
        </w:rPr>
        <w:t xml:space="preserve">           </w:t>
      </w:r>
    </w:p>
    <w:p w14:paraId="7895C777" w14:textId="77777777" w:rsidR="00580FD1" w:rsidRPr="00932594" w:rsidRDefault="00580FD1" w:rsidP="00580FD1">
      <w:pPr>
        <w:pStyle w:val="s14-99509"/>
        <w:tabs>
          <w:tab w:val="left" w:pos="426"/>
          <w:tab w:val="left" w:pos="993"/>
        </w:tabs>
        <w:ind w:left="993" w:hanging="709"/>
        <w:rPr>
          <w:iCs/>
          <w:color w:val="auto"/>
        </w:rPr>
      </w:pPr>
      <w:r w:rsidRPr="00932594">
        <w:rPr>
          <w:i/>
          <w:iCs/>
          <w:color w:val="auto"/>
        </w:rPr>
        <w:t xml:space="preserve">             </w:t>
      </w:r>
      <w:r w:rsidRPr="00932594">
        <w:rPr>
          <w:iCs/>
          <w:color w:val="auto"/>
        </w:rPr>
        <w:t xml:space="preserve">La Entidad ha contemplado todas las situaciones contingentes y las mismas se   encuentran contabilizadas.  La Entidad considera que no hay situaciones contingentes cuya probabilidad de ocurrencia no sea remota y cuyos efectos no hayan sido contabilizados.  </w:t>
      </w:r>
    </w:p>
    <w:p w14:paraId="251207EF" w14:textId="77777777" w:rsidR="00580FD1" w:rsidRPr="007F270F" w:rsidRDefault="00580FD1" w:rsidP="00580FD1">
      <w:pPr>
        <w:pStyle w:val="s14-99509"/>
        <w:tabs>
          <w:tab w:val="left" w:pos="426"/>
          <w:tab w:val="left" w:pos="993"/>
        </w:tabs>
        <w:ind w:left="993" w:hanging="709"/>
        <w:rPr>
          <w:i/>
          <w:iCs/>
          <w:color w:val="auto"/>
          <w:highlight w:val="yellow"/>
        </w:rPr>
      </w:pPr>
    </w:p>
    <w:p w14:paraId="3FC71E49" w14:textId="77777777" w:rsidR="00580FD1" w:rsidRPr="00932594" w:rsidRDefault="00580FD1" w:rsidP="00580FD1">
      <w:pPr>
        <w:pStyle w:val="s14-99509"/>
        <w:numPr>
          <w:ilvl w:val="0"/>
          <w:numId w:val="37"/>
        </w:numPr>
        <w:tabs>
          <w:tab w:val="left" w:pos="426"/>
          <w:tab w:val="left" w:pos="993"/>
        </w:tabs>
        <w:rPr>
          <w:iCs/>
          <w:color w:val="auto"/>
        </w:rPr>
      </w:pPr>
      <w:r w:rsidRPr="00932594">
        <w:rPr>
          <w:iCs/>
          <w:color w:val="auto"/>
          <w:u w:val="single"/>
        </w:rPr>
        <w:t>Adelantos irrevocables a cuenta de futuras suscripciones</w:t>
      </w:r>
      <w:r w:rsidRPr="00932594">
        <w:rPr>
          <w:iCs/>
          <w:color w:val="auto"/>
        </w:rPr>
        <w:t>.</w:t>
      </w:r>
    </w:p>
    <w:p w14:paraId="54E1B4C7" w14:textId="77777777" w:rsidR="00580FD1" w:rsidRPr="00932594" w:rsidRDefault="00580FD1" w:rsidP="00580FD1">
      <w:pPr>
        <w:pStyle w:val="s14-99509"/>
        <w:tabs>
          <w:tab w:val="left" w:pos="426"/>
          <w:tab w:val="left" w:pos="993"/>
        </w:tabs>
        <w:ind w:left="1004" w:firstLine="0"/>
        <w:rPr>
          <w:color w:val="auto"/>
        </w:rPr>
      </w:pPr>
    </w:p>
    <w:p w14:paraId="71E12376" w14:textId="77777777" w:rsidR="00580FD1" w:rsidRPr="00932594" w:rsidRDefault="00580FD1" w:rsidP="00580FD1">
      <w:pPr>
        <w:pStyle w:val="s14-99509"/>
        <w:tabs>
          <w:tab w:val="left" w:pos="993"/>
        </w:tabs>
        <w:rPr>
          <w:i/>
          <w:iCs/>
          <w:color w:val="auto"/>
        </w:rPr>
      </w:pPr>
      <w:r w:rsidRPr="00932594">
        <w:rPr>
          <w:i/>
          <w:iCs/>
          <w:color w:val="auto"/>
        </w:rPr>
        <w:t xml:space="preserve">           Estado de la tramitación dirigida a su capitalización:</w:t>
      </w:r>
    </w:p>
    <w:p w14:paraId="651A58A8" w14:textId="77777777" w:rsidR="00580FD1" w:rsidRPr="00932594" w:rsidRDefault="00580FD1" w:rsidP="00580FD1">
      <w:pPr>
        <w:pStyle w:val="s14-99509"/>
        <w:rPr>
          <w:i/>
          <w:iCs/>
          <w:color w:val="auto"/>
        </w:rPr>
      </w:pPr>
    </w:p>
    <w:p w14:paraId="3EC8095C" w14:textId="314DCC42" w:rsidR="00580FD1" w:rsidRPr="00932594" w:rsidRDefault="00580FD1" w:rsidP="00580FD1">
      <w:pPr>
        <w:pStyle w:val="s14-99509"/>
        <w:tabs>
          <w:tab w:val="left" w:pos="993"/>
          <w:tab w:val="left" w:pos="1843"/>
        </w:tabs>
        <w:ind w:left="850" w:firstLine="0"/>
        <w:rPr>
          <w:iCs/>
          <w:color w:val="auto"/>
        </w:rPr>
      </w:pPr>
      <w:r w:rsidRPr="00932594">
        <w:rPr>
          <w:iCs/>
          <w:color w:val="auto"/>
        </w:rPr>
        <w:t>Al 3</w:t>
      </w:r>
      <w:r w:rsidR="00932594" w:rsidRPr="00932594">
        <w:rPr>
          <w:iCs/>
          <w:color w:val="auto"/>
        </w:rPr>
        <w:t>1</w:t>
      </w:r>
      <w:r w:rsidRPr="00932594">
        <w:rPr>
          <w:iCs/>
          <w:color w:val="auto"/>
        </w:rPr>
        <w:t xml:space="preserve"> de </w:t>
      </w:r>
      <w:r w:rsidR="00932594" w:rsidRPr="00932594">
        <w:rPr>
          <w:iCs/>
          <w:color w:val="auto"/>
        </w:rPr>
        <w:t>marzo</w:t>
      </w:r>
      <w:r w:rsidRPr="00932594">
        <w:rPr>
          <w:iCs/>
          <w:color w:val="auto"/>
        </w:rPr>
        <w:t xml:space="preserve"> de 20</w:t>
      </w:r>
      <w:r w:rsidR="00932594">
        <w:rPr>
          <w:iCs/>
          <w:color w:val="auto"/>
        </w:rPr>
        <w:t>20</w:t>
      </w:r>
      <w:r w:rsidRPr="00932594">
        <w:rPr>
          <w:iCs/>
          <w:color w:val="auto"/>
        </w:rPr>
        <w:t xml:space="preserve"> no existen aportes irrevocables a cuenta de futuras    suscripciones de capital pendientes de capitalización.</w:t>
      </w:r>
    </w:p>
    <w:p w14:paraId="1B1BF095" w14:textId="77777777" w:rsidR="00580FD1" w:rsidRPr="00932594" w:rsidRDefault="00580FD1" w:rsidP="00580FD1">
      <w:pPr>
        <w:pStyle w:val="s14-99509"/>
        <w:rPr>
          <w:color w:val="auto"/>
        </w:rPr>
      </w:pPr>
    </w:p>
    <w:p w14:paraId="19E935A9" w14:textId="77777777" w:rsidR="00580FD1" w:rsidRPr="00932594" w:rsidRDefault="00580FD1" w:rsidP="00580FD1">
      <w:pPr>
        <w:pStyle w:val="s14-99509"/>
        <w:tabs>
          <w:tab w:val="left" w:pos="851"/>
          <w:tab w:val="left" w:pos="1134"/>
        </w:tabs>
        <w:rPr>
          <w:i/>
          <w:iCs/>
          <w:color w:val="auto"/>
        </w:rPr>
      </w:pPr>
      <w:r w:rsidRPr="00932594">
        <w:rPr>
          <w:iCs/>
          <w:color w:val="auto"/>
        </w:rPr>
        <w:t>12.</w:t>
      </w:r>
      <w:r w:rsidRPr="00932594">
        <w:rPr>
          <w:i/>
          <w:iCs/>
          <w:color w:val="auto"/>
        </w:rPr>
        <w:t xml:space="preserve">        Dividendos acumulativos impagos de acciones preferidas.</w:t>
      </w:r>
    </w:p>
    <w:p w14:paraId="22BC4A58" w14:textId="77777777" w:rsidR="00580FD1" w:rsidRPr="00932594" w:rsidRDefault="00580FD1" w:rsidP="00580FD1">
      <w:pPr>
        <w:pStyle w:val="s14-99509"/>
        <w:rPr>
          <w:i/>
          <w:iCs/>
          <w:color w:val="auto"/>
        </w:rPr>
      </w:pPr>
    </w:p>
    <w:p w14:paraId="2C7CE36B" w14:textId="77777777" w:rsidR="00580FD1" w:rsidRPr="00932594" w:rsidRDefault="00580FD1" w:rsidP="00580FD1">
      <w:pPr>
        <w:pStyle w:val="s14-99509"/>
        <w:rPr>
          <w:color w:val="auto"/>
        </w:rPr>
      </w:pPr>
      <w:r w:rsidRPr="00932594">
        <w:rPr>
          <w:color w:val="auto"/>
        </w:rPr>
        <w:t xml:space="preserve">             La Entidad no posee dividendos acumulativos impagos de acciones preferidas.</w:t>
      </w:r>
    </w:p>
    <w:p w14:paraId="4E2D445B" w14:textId="77777777" w:rsidR="00580FD1" w:rsidRPr="007F270F" w:rsidRDefault="00580FD1" w:rsidP="00580FD1">
      <w:pPr>
        <w:pStyle w:val="s14-99509"/>
        <w:rPr>
          <w:color w:val="auto"/>
          <w:highlight w:val="yellow"/>
        </w:rPr>
      </w:pPr>
    </w:p>
    <w:p w14:paraId="39A431A6" w14:textId="77777777" w:rsidR="00580FD1" w:rsidRPr="005A0B25" w:rsidRDefault="00580FD1" w:rsidP="00580FD1">
      <w:pPr>
        <w:pStyle w:val="s14-99509"/>
        <w:tabs>
          <w:tab w:val="left" w:pos="993"/>
        </w:tabs>
        <w:rPr>
          <w:i/>
          <w:iCs/>
          <w:color w:val="auto"/>
        </w:rPr>
      </w:pPr>
      <w:r w:rsidRPr="005A0B25">
        <w:rPr>
          <w:iCs/>
          <w:color w:val="auto"/>
        </w:rPr>
        <w:t xml:space="preserve">13.        </w:t>
      </w:r>
      <w:r w:rsidRPr="005A0B25">
        <w:rPr>
          <w:i/>
          <w:iCs/>
          <w:color w:val="auto"/>
        </w:rPr>
        <w:t xml:space="preserve">Condiciones, circunstancias o plazos para la cesación de las restricciones a la  </w:t>
      </w:r>
    </w:p>
    <w:p w14:paraId="6B1177EE" w14:textId="77777777" w:rsidR="00580FD1" w:rsidRPr="005A0B25" w:rsidRDefault="00580FD1" w:rsidP="00580FD1">
      <w:pPr>
        <w:pStyle w:val="s14-99509"/>
        <w:tabs>
          <w:tab w:val="left" w:pos="993"/>
        </w:tabs>
        <w:rPr>
          <w:i/>
          <w:iCs/>
          <w:color w:val="auto"/>
        </w:rPr>
      </w:pPr>
      <w:r w:rsidRPr="005A0B25">
        <w:rPr>
          <w:i/>
          <w:iCs/>
          <w:color w:val="auto"/>
        </w:rPr>
        <w:t xml:space="preserve">             distribución de los resultados no asignados, incluyendo las que se originan por la  </w:t>
      </w:r>
    </w:p>
    <w:p w14:paraId="1832E25F" w14:textId="77777777" w:rsidR="00580FD1" w:rsidRPr="005A0B25" w:rsidRDefault="00580FD1" w:rsidP="00580FD1">
      <w:pPr>
        <w:pStyle w:val="s14-99509"/>
        <w:ind w:left="993" w:firstLine="0"/>
        <w:rPr>
          <w:i/>
          <w:iCs/>
          <w:color w:val="auto"/>
        </w:rPr>
      </w:pPr>
      <w:r w:rsidRPr="005A0B25">
        <w:rPr>
          <w:i/>
          <w:iCs/>
          <w:color w:val="auto"/>
        </w:rPr>
        <w:t>afectación de la reserva legal para absorber pérdidas finales y aún están    pendientes de reintegro.</w:t>
      </w:r>
    </w:p>
    <w:p w14:paraId="73230231" w14:textId="77777777" w:rsidR="00580FD1" w:rsidRPr="005A0B25" w:rsidRDefault="00580FD1" w:rsidP="00580FD1">
      <w:pPr>
        <w:pStyle w:val="s14-99509"/>
        <w:jc w:val="left"/>
        <w:rPr>
          <w:iCs/>
          <w:color w:val="auto"/>
        </w:rPr>
      </w:pPr>
      <w:r w:rsidRPr="005A0B25">
        <w:rPr>
          <w:i/>
          <w:iCs/>
          <w:color w:val="auto"/>
        </w:rPr>
        <w:t xml:space="preserve">                </w:t>
      </w:r>
    </w:p>
    <w:p w14:paraId="1404F9D8" w14:textId="21FF5803" w:rsidR="00A849AE" w:rsidRPr="00AB113D" w:rsidRDefault="00580FD1" w:rsidP="00580FD1">
      <w:pPr>
        <w:pStyle w:val="s14-99509"/>
        <w:tabs>
          <w:tab w:val="left" w:pos="851"/>
        </w:tabs>
        <w:ind w:firstLine="0"/>
        <w:rPr>
          <w:iCs/>
          <w:color w:val="auto"/>
        </w:rPr>
      </w:pPr>
      <w:r w:rsidRPr="005A0B25">
        <w:rPr>
          <w:iCs/>
          <w:color w:val="auto"/>
        </w:rPr>
        <w:lastRenderedPageBreak/>
        <w:t>En Nota 9.9 a los estados financieros condensados intermedios consolidados y separados al 3</w:t>
      </w:r>
      <w:r w:rsidR="00932594" w:rsidRPr="005A0B25">
        <w:rPr>
          <w:iCs/>
          <w:color w:val="auto"/>
        </w:rPr>
        <w:t>1</w:t>
      </w:r>
      <w:r w:rsidRPr="005A0B25">
        <w:rPr>
          <w:iCs/>
          <w:color w:val="auto"/>
        </w:rPr>
        <w:t xml:space="preserve"> de </w:t>
      </w:r>
      <w:r w:rsidR="00932594" w:rsidRPr="005A0B25">
        <w:rPr>
          <w:iCs/>
          <w:color w:val="auto"/>
        </w:rPr>
        <w:t>marzo</w:t>
      </w:r>
      <w:r w:rsidRPr="005A0B25">
        <w:rPr>
          <w:iCs/>
          <w:color w:val="auto"/>
        </w:rPr>
        <w:t xml:space="preserve"> de 20</w:t>
      </w:r>
      <w:r w:rsidR="005A0B25" w:rsidRPr="005A0B25">
        <w:rPr>
          <w:iCs/>
          <w:color w:val="auto"/>
        </w:rPr>
        <w:t>20</w:t>
      </w:r>
      <w:r w:rsidRPr="005A0B25">
        <w:rPr>
          <w:iCs/>
          <w:color w:val="auto"/>
        </w:rPr>
        <w:t xml:space="preserve"> se exponen las restricciones normativas dispuestas por el Banco Central relativas a la distribución de resultados no asignados.</w:t>
      </w:r>
    </w:p>
    <w:sectPr w:rsidR="00A849AE" w:rsidRPr="00AB113D" w:rsidSect="0056039F">
      <w:headerReference w:type="default" r:id="rId52"/>
      <w:pgSz w:w="11907" w:h="16840" w:code="9"/>
      <w:pgMar w:top="1417" w:right="1701" w:bottom="1417" w:left="1701" w:header="567" w:footer="0"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23990" w16cex:dateUtc="2020-05-22T14: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64809" w14:textId="77777777" w:rsidR="0041513A" w:rsidRDefault="0041513A">
      <w:pPr>
        <w:rPr>
          <w:sz w:val="23"/>
          <w:szCs w:val="23"/>
        </w:rPr>
      </w:pPr>
      <w:r>
        <w:rPr>
          <w:sz w:val="23"/>
          <w:szCs w:val="23"/>
        </w:rPr>
        <w:separator/>
      </w:r>
    </w:p>
  </w:endnote>
  <w:endnote w:type="continuationSeparator" w:id="0">
    <w:p w14:paraId="4EB93104" w14:textId="77777777" w:rsidR="0041513A" w:rsidRDefault="0041513A">
      <w:pPr>
        <w:rPr>
          <w:sz w:val="23"/>
          <w:szCs w:val="23"/>
        </w:rPr>
      </w:pPr>
      <w:r>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744"/>
      <w:gridCol w:w="1057"/>
      <w:gridCol w:w="1566"/>
      <w:gridCol w:w="687"/>
      <w:gridCol w:w="2631"/>
      <w:gridCol w:w="616"/>
    </w:tblGrid>
    <w:tr w:rsidR="001967BC" w:rsidRPr="00DA23BA" w14:paraId="18FA4E47" w14:textId="77777777" w:rsidTr="00CC7B81">
      <w:trPr>
        <w:trHeight w:val="180"/>
      </w:trPr>
      <w:tc>
        <w:tcPr>
          <w:tcW w:w="1483" w:type="pct"/>
          <w:tcBorders>
            <w:top w:val="nil"/>
            <w:left w:val="nil"/>
            <w:bottom w:val="nil"/>
            <w:right w:val="nil"/>
          </w:tcBorders>
          <w:shd w:val="clear" w:color="auto" w:fill="auto"/>
          <w:noWrap/>
          <w:vAlign w:val="bottom"/>
        </w:tcPr>
        <w:p w14:paraId="692C4915" w14:textId="77777777" w:rsidR="001967BC" w:rsidRPr="00DA23BA" w:rsidRDefault="001967BC"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62FCA1EA" w14:textId="77777777" w:rsidR="001967BC" w:rsidRPr="00DA23BA" w:rsidRDefault="001967BC"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0DC6E72" w14:textId="77777777" w:rsidR="001967BC" w:rsidRPr="00DA23BA" w:rsidRDefault="001967BC"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7385B61F" w14:textId="77777777" w:rsidR="001967BC" w:rsidRPr="00DA23BA" w:rsidRDefault="001967BC"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6BA8B1A1" w14:textId="77777777" w:rsidR="001967BC" w:rsidRPr="00DA23BA" w:rsidRDefault="001967BC"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1B35CC2" w14:textId="77777777" w:rsidR="001967BC" w:rsidRPr="00DA23BA" w:rsidRDefault="001967BC" w:rsidP="00CC7B81">
          <w:pPr>
            <w:jc w:val="center"/>
            <w:rPr>
              <w:rFonts w:ascii="Arial" w:hAnsi="Arial" w:cs="Arial"/>
              <w:color w:val="000000"/>
              <w:sz w:val="15"/>
              <w:szCs w:val="15"/>
              <w:lang w:eastAsia="es-AR"/>
            </w:rPr>
          </w:pPr>
        </w:p>
      </w:tc>
    </w:tr>
    <w:tr w:rsidR="001967BC" w:rsidRPr="00DA23BA" w14:paraId="7F05E75A" w14:textId="77777777" w:rsidTr="00CC7B81">
      <w:trPr>
        <w:trHeight w:val="180"/>
      </w:trPr>
      <w:tc>
        <w:tcPr>
          <w:tcW w:w="1483" w:type="pct"/>
          <w:tcBorders>
            <w:top w:val="nil"/>
            <w:left w:val="nil"/>
            <w:bottom w:val="nil"/>
            <w:right w:val="nil"/>
          </w:tcBorders>
          <w:shd w:val="clear" w:color="auto" w:fill="auto"/>
          <w:noWrap/>
          <w:vAlign w:val="bottom"/>
        </w:tcPr>
        <w:p w14:paraId="5599BE6D" w14:textId="77777777" w:rsidR="001967BC" w:rsidRPr="00DA23BA" w:rsidRDefault="001967BC"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062B4420" w14:textId="77777777" w:rsidR="001967BC" w:rsidRPr="00DA23BA" w:rsidRDefault="001967BC"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44E14203" w14:textId="77777777" w:rsidR="001967BC" w:rsidRPr="00DA23BA" w:rsidRDefault="001967BC"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10AE4462" w14:textId="77777777" w:rsidR="001967BC" w:rsidRPr="00DA23BA" w:rsidRDefault="001967BC"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8822E89" w14:textId="77777777" w:rsidR="001967BC" w:rsidRPr="00DA23BA" w:rsidRDefault="001967BC"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53FE376" w14:textId="77777777" w:rsidR="001967BC" w:rsidRPr="00DA23BA" w:rsidRDefault="001967BC" w:rsidP="00CC7B81">
          <w:pPr>
            <w:jc w:val="center"/>
            <w:rPr>
              <w:rFonts w:ascii="Arial" w:hAnsi="Arial" w:cs="Arial"/>
              <w:color w:val="000000"/>
              <w:sz w:val="15"/>
              <w:szCs w:val="15"/>
              <w:lang w:eastAsia="es-AR"/>
            </w:rPr>
          </w:pPr>
        </w:p>
      </w:tc>
    </w:tr>
    <w:tr w:rsidR="001967BC" w:rsidRPr="00DA23BA" w14:paraId="7456BD26" w14:textId="77777777" w:rsidTr="00CC7B81">
      <w:trPr>
        <w:trHeight w:val="180"/>
      </w:trPr>
      <w:tc>
        <w:tcPr>
          <w:tcW w:w="1483" w:type="pct"/>
          <w:tcBorders>
            <w:top w:val="nil"/>
            <w:left w:val="nil"/>
            <w:bottom w:val="nil"/>
            <w:right w:val="nil"/>
          </w:tcBorders>
          <w:shd w:val="clear" w:color="auto" w:fill="auto"/>
          <w:noWrap/>
          <w:vAlign w:val="bottom"/>
        </w:tcPr>
        <w:p w14:paraId="20895E75" w14:textId="77777777" w:rsidR="001967BC" w:rsidRPr="00DA23BA" w:rsidRDefault="001967BC"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50F98499" w14:textId="77777777" w:rsidR="001967BC" w:rsidRPr="00DA23BA" w:rsidRDefault="001967BC"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F60B01C" w14:textId="77777777" w:rsidR="001967BC" w:rsidRPr="00DA23BA" w:rsidRDefault="001967BC"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0B50E370" w14:textId="77777777" w:rsidR="001967BC" w:rsidRPr="00DA23BA" w:rsidRDefault="001967BC"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3931FB2E" w14:textId="77777777" w:rsidR="001967BC" w:rsidRPr="00DA23BA" w:rsidRDefault="001967BC"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D7DF617" w14:textId="77777777" w:rsidR="001967BC" w:rsidRPr="00DA23BA" w:rsidRDefault="001967BC" w:rsidP="00CC7B81">
          <w:pPr>
            <w:jc w:val="center"/>
            <w:rPr>
              <w:rFonts w:ascii="Arial" w:hAnsi="Arial" w:cs="Arial"/>
              <w:color w:val="000000"/>
              <w:sz w:val="15"/>
              <w:szCs w:val="15"/>
              <w:lang w:eastAsia="es-AR"/>
            </w:rPr>
          </w:pPr>
        </w:p>
      </w:tc>
    </w:tr>
    <w:tr w:rsidR="001967BC" w:rsidRPr="00DA23BA" w14:paraId="3575B9F6" w14:textId="77777777" w:rsidTr="00CC7B81">
      <w:trPr>
        <w:trHeight w:val="180"/>
      </w:trPr>
      <w:tc>
        <w:tcPr>
          <w:tcW w:w="1483" w:type="pct"/>
          <w:tcBorders>
            <w:top w:val="nil"/>
            <w:left w:val="nil"/>
            <w:bottom w:val="nil"/>
            <w:right w:val="nil"/>
          </w:tcBorders>
          <w:shd w:val="clear" w:color="auto" w:fill="auto"/>
          <w:noWrap/>
          <w:vAlign w:val="bottom"/>
        </w:tcPr>
        <w:p w14:paraId="3EA3511E" w14:textId="77777777" w:rsidR="001967BC" w:rsidRPr="00DA23BA" w:rsidRDefault="001967BC" w:rsidP="00205B29">
          <w:pPr>
            <w:jc w:val="center"/>
            <w:rPr>
              <w:rFonts w:ascii="Arial" w:hAnsi="Arial" w:cs="Arial"/>
              <w:sz w:val="15"/>
              <w:szCs w:val="15"/>
              <w:lang w:eastAsia="es-AR"/>
            </w:rPr>
          </w:pPr>
          <w:r>
            <w:rPr>
              <w:rFonts w:ascii="Arial" w:hAnsi="Arial" w:cs="Arial"/>
              <w:sz w:val="15"/>
              <w:szCs w:val="15"/>
              <w:lang w:eastAsia="es-AR"/>
            </w:rPr>
            <w:t>Mariano Andrés Biglia</w:t>
          </w:r>
        </w:p>
      </w:tc>
      <w:tc>
        <w:tcPr>
          <w:tcW w:w="576" w:type="pct"/>
          <w:tcBorders>
            <w:top w:val="nil"/>
            <w:left w:val="nil"/>
            <w:bottom w:val="nil"/>
            <w:right w:val="nil"/>
          </w:tcBorders>
          <w:shd w:val="clear" w:color="auto" w:fill="auto"/>
          <w:noWrap/>
          <w:vAlign w:val="bottom"/>
        </w:tcPr>
        <w:p w14:paraId="1A6BBE8C" w14:textId="77777777" w:rsidR="001967BC" w:rsidRPr="00DA23BA"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3279C1C0" w14:textId="135F76BA" w:rsidR="001967BC" w:rsidRPr="00DA23BA" w:rsidRDefault="001967BC" w:rsidP="00205B29">
          <w:pPr>
            <w:jc w:val="center"/>
            <w:rPr>
              <w:rFonts w:ascii="Arial" w:hAnsi="Arial" w:cs="Arial"/>
              <w:sz w:val="15"/>
              <w:szCs w:val="15"/>
              <w:lang w:eastAsia="es-AR"/>
            </w:rPr>
          </w:pPr>
          <w:r>
            <w:rPr>
              <w:rFonts w:ascii="Arial" w:hAnsi="Arial" w:cs="Arial"/>
              <w:sz w:val="15"/>
              <w:szCs w:val="15"/>
            </w:rPr>
            <w:t>Jorge Oscar Ramírez</w:t>
          </w:r>
        </w:p>
      </w:tc>
      <w:tc>
        <w:tcPr>
          <w:tcW w:w="377" w:type="pct"/>
          <w:tcBorders>
            <w:top w:val="nil"/>
            <w:left w:val="nil"/>
            <w:bottom w:val="nil"/>
            <w:right w:val="nil"/>
          </w:tcBorders>
          <w:shd w:val="clear" w:color="auto" w:fill="auto"/>
          <w:noWrap/>
          <w:vAlign w:val="bottom"/>
        </w:tcPr>
        <w:p w14:paraId="040AA1C5" w14:textId="77777777" w:rsidR="001967BC" w:rsidRPr="00DA23BA"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6ECACD4" w14:textId="776FDA80" w:rsidR="001967BC" w:rsidRPr="00662E02" w:rsidRDefault="001967BC" w:rsidP="00205B29">
          <w:pPr>
            <w:ind w:left="-26" w:firstLine="26"/>
            <w:jc w:val="center"/>
            <w:rPr>
              <w:rFonts w:ascii="Arial" w:hAnsi="Arial" w:cs="Arial"/>
              <w:sz w:val="15"/>
              <w:szCs w:val="15"/>
              <w:lang w:eastAsia="es-AR"/>
            </w:rPr>
          </w:pPr>
          <w:r w:rsidRPr="00525F7E">
            <w:rPr>
              <w:rFonts w:ascii="Arial" w:hAnsi="Arial" w:cs="Arial"/>
              <w:sz w:val="15"/>
              <w:szCs w:val="15"/>
              <w:lang w:eastAsia="es-AR"/>
            </w:rPr>
            <w:t>Atilio María Dell Oro Maini</w:t>
          </w:r>
        </w:p>
      </w:tc>
      <w:tc>
        <w:tcPr>
          <w:tcW w:w="326" w:type="pct"/>
          <w:tcBorders>
            <w:top w:val="nil"/>
            <w:left w:val="nil"/>
            <w:bottom w:val="nil"/>
            <w:right w:val="nil"/>
          </w:tcBorders>
          <w:shd w:val="clear" w:color="auto" w:fill="auto"/>
          <w:noWrap/>
          <w:vAlign w:val="bottom"/>
        </w:tcPr>
        <w:p w14:paraId="60AF0593" w14:textId="77777777" w:rsidR="001967BC" w:rsidRPr="00DA23BA" w:rsidRDefault="001967BC" w:rsidP="00205B29">
          <w:pPr>
            <w:jc w:val="center"/>
            <w:rPr>
              <w:rFonts w:ascii="Arial" w:hAnsi="Arial" w:cs="Arial"/>
              <w:color w:val="000000"/>
              <w:sz w:val="15"/>
              <w:szCs w:val="15"/>
              <w:lang w:eastAsia="es-AR"/>
            </w:rPr>
          </w:pPr>
        </w:p>
      </w:tc>
    </w:tr>
    <w:tr w:rsidR="001967BC" w:rsidRPr="00DA23BA" w14:paraId="35C9E5F3" w14:textId="77777777" w:rsidTr="00CC7B81">
      <w:trPr>
        <w:trHeight w:val="180"/>
      </w:trPr>
      <w:tc>
        <w:tcPr>
          <w:tcW w:w="1483" w:type="pct"/>
          <w:tcBorders>
            <w:top w:val="nil"/>
            <w:left w:val="nil"/>
            <w:bottom w:val="nil"/>
            <w:right w:val="nil"/>
          </w:tcBorders>
          <w:shd w:val="clear" w:color="auto" w:fill="auto"/>
          <w:noWrap/>
          <w:vAlign w:val="bottom"/>
        </w:tcPr>
        <w:p w14:paraId="006BD8E1" w14:textId="77777777" w:rsidR="001967BC" w:rsidRPr="00DA23BA" w:rsidRDefault="001967BC" w:rsidP="00205B29">
          <w:pPr>
            <w:jc w:val="center"/>
            <w:rPr>
              <w:rFonts w:ascii="Arial" w:hAnsi="Arial" w:cs="Arial"/>
              <w:sz w:val="15"/>
              <w:szCs w:val="15"/>
              <w:lang w:eastAsia="es-AR"/>
            </w:rPr>
          </w:pPr>
          <w:r w:rsidRPr="00DA23BA">
            <w:rPr>
              <w:rFonts w:ascii="Arial" w:hAnsi="Arial" w:cs="Arial"/>
              <w:sz w:val="15"/>
              <w:szCs w:val="15"/>
              <w:lang w:eastAsia="es-AR"/>
            </w:rPr>
            <w:t>Responsable del Área Contable</w:t>
          </w:r>
        </w:p>
      </w:tc>
      <w:tc>
        <w:tcPr>
          <w:tcW w:w="576" w:type="pct"/>
          <w:tcBorders>
            <w:top w:val="nil"/>
            <w:left w:val="nil"/>
            <w:bottom w:val="nil"/>
            <w:right w:val="nil"/>
          </w:tcBorders>
          <w:shd w:val="clear" w:color="auto" w:fill="auto"/>
          <w:noWrap/>
          <w:vAlign w:val="bottom"/>
        </w:tcPr>
        <w:p w14:paraId="446BE04B" w14:textId="77777777" w:rsidR="001967BC" w:rsidRPr="00DA23BA"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79886BB2" w14:textId="7F4E2A6B" w:rsidR="001967BC" w:rsidRPr="00DA23BA" w:rsidRDefault="001967BC" w:rsidP="00205B29">
          <w:pPr>
            <w:jc w:val="center"/>
            <w:rPr>
              <w:rFonts w:ascii="Arial" w:hAnsi="Arial" w:cs="Arial"/>
              <w:sz w:val="15"/>
              <w:szCs w:val="15"/>
              <w:lang w:eastAsia="es-AR"/>
            </w:rPr>
          </w:pPr>
          <w:r w:rsidRPr="00DA23BA">
            <w:rPr>
              <w:rFonts w:ascii="Arial" w:hAnsi="Arial" w:cs="Arial"/>
              <w:sz w:val="15"/>
              <w:szCs w:val="15"/>
              <w:lang w:eastAsia="es-AR"/>
            </w:rPr>
            <w:t>Gerente General</w:t>
          </w:r>
        </w:p>
      </w:tc>
      <w:tc>
        <w:tcPr>
          <w:tcW w:w="377" w:type="pct"/>
          <w:tcBorders>
            <w:top w:val="nil"/>
            <w:left w:val="nil"/>
            <w:bottom w:val="nil"/>
            <w:right w:val="nil"/>
          </w:tcBorders>
          <w:shd w:val="clear" w:color="auto" w:fill="auto"/>
          <w:noWrap/>
          <w:vAlign w:val="bottom"/>
        </w:tcPr>
        <w:p w14:paraId="019877CA" w14:textId="77777777" w:rsidR="001967BC" w:rsidRPr="00DA23BA"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5138380E" w14:textId="77777777" w:rsidR="001967BC" w:rsidRPr="00DA23BA" w:rsidRDefault="001967BC" w:rsidP="00205B29">
          <w:pPr>
            <w:ind w:left="210" w:hanging="210"/>
            <w:jc w:val="center"/>
            <w:rPr>
              <w:rFonts w:ascii="Arial" w:hAnsi="Arial" w:cs="Arial"/>
              <w:sz w:val="15"/>
              <w:szCs w:val="15"/>
              <w:lang w:eastAsia="es-AR"/>
            </w:rPr>
          </w:pPr>
          <w:r>
            <w:rPr>
              <w:rFonts w:ascii="Arial" w:hAnsi="Arial" w:cs="Arial"/>
              <w:sz w:val="15"/>
              <w:szCs w:val="15"/>
              <w:lang w:eastAsia="es-AR"/>
            </w:rPr>
            <w:t>Vicep</w:t>
          </w:r>
          <w:r w:rsidRPr="00DA23BA">
            <w:rPr>
              <w:rFonts w:ascii="Arial" w:hAnsi="Arial" w:cs="Arial"/>
              <w:sz w:val="15"/>
              <w:szCs w:val="15"/>
              <w:lang w:eastAsia="es-AR"/>
            </w:rPr>
            <w:t>residente</w:t>
          </w:r>
        </w:p>
      </w:tc>
      <w:tc>
        <w:tcPr>
          <w:tcW w:w="326" w:type="pct"/>
          <w:tcBorders>
            <w:top w:val="nil"/>
            <w:left w:val="nil"/>
            <w:bottom w:val="nil"/>
            <w:right w:val="nil"/>
          </w:tcBorders>
          <w:shd w:val="clear" w:color="auto" w:fill="auto"/>
          <w:noWrap/>
          <w:vAlign w:val="bottom"/>
        </w:tcPr>
        <w:p w14:paraId="74CB495A" w14:textId="77777777" w:rsidR="001967BC" w:rsidRPr="00DA23BA" w:rsidRDefault="001967BC" w:rsidP="00205B29">
          <w:pPr>
            <w:jc w:val="center"/>
            <w:rPr>
              <w:rFonts w:ascii="Arial" w:hAnsi="Arial" w:cs="Arial"/>
              <w:color w:val="000000"/>
              <w:sz w:val="15"/>
              <w:szCs w:val="15"/>
              <w:lang w:eastAsia="es-AR"/>
            </w:rPr>
          </w:pPr>
        </w:p>
      </w:tc>
    </w:tr>
    <w:tr w:rsidR="001967BC" w:rsidRPr="00DA23BA" w14:paraId="7EB72B77" w14:textId="77777777" w:rsidTr="00CC7B81">
      <w:trPr>
        <w:trHeight w:val="180"/>
      </w:trPr>
      <w:tc>
        <w:tcPr>
          <w:tcW w:w="1483" w:type="pct"/>
          <w:tcBorders>
            <w:top w:val="nil"/>
            <w:left w:val="nil"/>
            <w:bottom w:val="nil"/>
            <w:right w:val="nil"/>
          </w:tcBorders>
          <w:shd w:val="clear" w:color="auto" w:fill="auto"/>
          <w:noWrap/>
          <w:vAlign w:val="bottom"/>
        </w:tcPr>
        <w:p w14:paraId="1D87769E" w14:textId="77777777" w:rsidR="001967BC" w:rsidRPr="00DA23BA" w:rsidRDefault="001967BC"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70DE4EFB" w14:textId="77777777" w:rsidR="001967BC" w:rsidRPr="00DA23BA"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B88ED3F" w14:textId="77777777" w:rsidR="001967BC" w:rsidRPr="00DA23BA"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6F023950" w14:textId="77777777" w:rsidR="001967BC" w:rsidRPr="00DA23BA"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435DB171" w14:textId="77777777" w:rsidR="001967BC" w:rsidRPr="00DA23BA" w:rsidRDefault="001967BC" w:rsidP="00205B29">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7C6D0DCB" w14:textId="77777777" w:rsidR="001967BC" w:rsidRPr="00DA23BA" w:rsidRDefault="001967BC" w:rsidP="00205B29">
          <w:pPr>
            <w:jc w:val="center"/>
            <w:rPr>
              <w:rFonts w:ascii="Arial" w:hAnsi="Arial" w:cs="Arial"/>
              <w:sz w:val="15"/>
              <w:szCs w:val="15"/>
              <w:lang w:eastAsia="es-AR"/>
            </w:rPr>
          </w:pPr>
        </w:p>
      </w:tc>
    </w:tr>
    <w:tr w:rsidR="001967BC" w:rsidRPr="00DA23BA" w14:paraId="68C0B9DD" w14:textId="77777777" w:rsidTr="00CC7B81">
      <w:trPr>
        <w:trHeight w:val="180"/>
      </w:trPr>
      <w:tc>
        <w:tcPr>
          <w:tcW w:w="1483" w:type="pct"/>
          <w:tcBorders>
            <w:top w:val="nil"/>
            <w:left w:val="nil"/>
            <w:bottom w:val="nil"/>
            <w:right w:val="nil"/>
          </w:tcBorders>
          <w:shd w:val="clear" w:color="auto" w:fill="auto"/>
          <w:noWrap/>
          <w:vAlign w:val="bottom"/>
        </w:tcPr>
        <w:p w14:paraId="540B64D9" w14:textId="77777777" w:rsidR="001967BC" w:rsidRPr="00DA23BA" w:rsidRDefault="001967BC" w:rsidP="00205B29">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576" w:type="pct"/>
          <w:tcBorders>
            <w:top w:val="nil"/>
            <w:left w:val="nil"/>
            <w:bottom w:val="nil"/>
            <w:right w:val="nil"/>
          </w:tcBorders>
          <w:shd w:val="clear" w:color="auto" w:fill="auto"/>
          <w:noWrap/>
          <w:vAlign w:val="bottom"/>
        </w:tcPr>
        <w:p w14:paraId="5428B2F8" w14:textId="77777777" w:rsidR="001967BC" w:rsidRPr="00DA23BA"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3866C1A4" w14:textId="77777777" w:rsidR="001967BC" w:rsidRPr="00DA23BA"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91F797B" w14:textId="77777777" w:rsidR="001967BC" w:rsidRPr="00DA23BA"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78459C6" w14:textId="77777777" w:rsidR="001967BC" w:rsidRPr="00DA23BA" w:rsidRDefault="001967BC" w:rsidP="00205B29">
          <w:pPr>
            <w:ind w:left="210" w:hanging="210"/>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326" w:type="pct"/>
          <w:tcBorders>
            <w:top w:val="nil"/>
            <w:left w:val="nil"/>
            <w:bottom w:val="nil"/>
            <w:right w:val="nil"/>
          </w:tcBorders>
          <w:shd w:val="clear" w:color="auto" w:fill="auto"/>
          <w:noWrap/>
          <w:vAlign w:val="bottom"/>
        </w:tcPr>
        <w:p w14:paraId="1B74BE99" w14:textId="77777777" w:rsidR="001967BC" w:rsidRPr="00DA23BA" w:rsidRDefault="001967BC" w:rsidP="00205B29">
          <w:pPr>
            <w:jc w:val="center"/>
            <w:rPr>
              <w:rFonts w:ascii="Arial" w:hAnsi="Arial" w:cs="Arial"/>
              <w:color w:val="000000"/>
              <w:sz w:val="15"/>
              <w:szCs w:val="15"/>
              <w:lang w:eastAsia="es-AR"/>
            </w:rPr>
          </w:pPr>
        </w:p>
      </w:tc>
    </w:tr>
    <w:tr w:rsidR="001967BC" w:rsidRPr="00DA23BA" w14:paraId="6C2CEE34" w14:textId="77777777" w:rsidTr="00CC7B81">
      <w:trPr>
        <w:trHeight w:val="180"/>
      </w:trPr>
      <w:tc>
        <w:tcPr>
          <w:tcW w:w="1483" w:type="pct"/>
          <w:tcBorders>
            <w:top w:val="nil"/>
            <w:left w:val="nil"/>
            <w:bottom w:val="nil"/>
            <w:right w:val="nil"/>
          </w:tcBorders>
          <w:shd w:val="clear" w:color="auto" w:fill="auto"/>
          <w:noWrap/>
          <w:vAlign w:val="bottom"/>
        </w:tcPr>
        <w:p w14:paraId="44A73BA9" w14:textId="4777EE32" w:rsidR="001967BC" w:rsidRPr="00DA23BA" w:rsidRDefault="001967BC" w:rsidP="00205B29">
          <w:pPr>
            <w:jc w:val="center"/>
            <w:rPr>
              <w:rFonts w:ascii="Arial" w:hAnsi="Arial" w:cs="Arial"/>
              <w:sz w:val="15"/>
              <w:szCs w:val="15"/>
              <w:lang w:eastAsia="es-AR"/>
            </w:rPr>
          </w:pPr>
          <w:r>
            <w:rPr>
              <w:rFonts w:ascii="Arial" w:hAnsi="Arial" w:cs="Arial"/>
              <w:sz w:val="15"/>
              <w:szCs w:val="15"/>
              <w:lang w:eastAsia="es-AR"/>
            </w:rPr>
            <w:t>28 de mayo de 2020</w:t>
          </w:r>
        </w:p>
      </w:tc>
      <w:tc>
        <w:tcPr>
          <w:tcW w:w="576" w:type="pct"/>
          <w:tcBorders>
            <w:top w:val="nil"/>
            <w:left w:val="nil"/>
            <w:bottom w:val="nil"/>
            <w:right w:val="nil"/>
          </w:tcBorders>
          <w:shd w:val="clear" w:color="auto" w:fill="auto"/>
          <w:noWrap/>
          <w:vAlign w:val="bottom"/>
        </w:tcPr>
        <w:p w14:paraId="5EA89D35" w14:textId="77777777" w:rsidR="001967BC" w:rsidRPr="00DA23BA"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5A3D9CB" w14:textId="77777777" w:rsidR="001967BC" w:rsidRPr="00DA23BA"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79E6E48F" w14:textId="77777777" w:rsidR="001967BC" w:rsidRPr="00DA23BA"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9DB3B69" w14:textId="0DE0E41A" w:rsidR="001967BC" w:rsidRPr="00DA23BA" w:rsidRDefault="001967BC" w:rsidP="00634606">
          <w:pPr>
            <w:ind w:left="210" w:hanging="210"/>
            <w:jc w:val="center"/>
            <w:rPr>
              <w:rFonts w:ascii="Arial" w:hAnsi="Arial" w:cs="Arial"/>
              <w:sz w:val="15"/>
              <w:szCs w:val="15"/>
              <w:lang w:eastAsia="es-AR"/>
            </w:rPr>
          </w:pPr>
          <w:r>
            <w:rPr>
              <w:rFonts w:ascii="Arial" w:hAnsi="Arial" w:cs="Arial"/>
              <w:sz w:val="15"/>
              <w:szCs w:val="15"/>
              <w:lang w:eastAsia="es-AR"/>
            </w:rPr>
            <w:t>28 de mayo de 2020</w:t>
          </w:r>
        </w:p>
      </w:tc>
      <w:tc>
        <w:tcPr>
          <w:tcW w:w="326" w:type="pct"/>
          <w:tcBorders>
            <w:top w:val="nil"/>
            <w:left w:val="nil"/>
            <w:bottom w:val="nil"/>
            <w:right w:val="nil"/>
          </w:tcBorders>
          <w:shd w:val="clear" w:color="auto" w:fill="auto"/>
          <w:noWrap/>
          <w:vAlign w:val="bottom"/>
        </w:tcPr>
        <w:p w14:paraId="5A82EF8E" w14:textId="77777777" w:rsidR="001967BC" w:rsidRPr="00DA23BA" w:rsidRDefault="001967BC" w:rsidP="00205B29">
          <w:pPr>
            <w:jc w:val="center"/>
            <w:rPr>
              <w:rFonts w:ascii="Arial" w:hAnsi="Arial" w:cs="Arial"/>
              <w:color w:val="000000"/>
              <w:sz w:val="15"/>
              <w:szCs w:val="15"/>
              <w:lang w:eastAsia="es-AR"/>
            </w:rPr>
          </w:pPr>
        </w:p>
      </w:tc>
    </w:tr>
    <w:tr w:rsidR="001967BC" w:rsidRPr="001967BC" w14:paraId="36DF0FA3" w14:textId="77777777" w:rsidTr="00CC7B81">
      <w:trPr>
        <w:trHeight w:val="180"/>
      </w:trPr>
      <w:tc>
        <w:tcPr>
          <w:tcW w:w="1483" w:type="pct"/>
          <w:tcBorders>
            <w:top w:val="nil"/>
            <w:left w:val="nil"/>
            <w:bottom w:val="nil"/>
            <w:right w:val="nil"/>
          </w:tcBorders>
          <w:shd w:val="clear" w:color="auto" w:fill="auto"/>
          <w:noWrap/>
          <w:vAlign w:val="center"/>
        </w:tcPr>
        <w:p w14:paraId="12BB3602" w14:textId="77777777" w:rsidR="001967BC" w:rsidRPr="00DA23BA" w:rsidRDefault="001967BC" w:rsidP="00205B29">
          <w:pPr>
            <w:jc w:val="center"/>
            <w:rPr>
              <w:rFonts w:ascii="Arial" w:hAnsi="Arial" w:cs="Arial"/>
              <w:sz w:val="15"/>
              <w:szCs w:val="15"/>
              <w:lang w:eastAsia="es-AR"/>
            </w:rPr>
          </w:pPr>
          <w:r w:rsidRPr="00DA23BA">
            <w:rPr>
              <w:rFonts w:ascii="Arial" w:hAnsi="Arial" w:cs="Arial"/>
              <w:sz w:val="15"/>
              <w:szCs w:val="15"/>
              <w:lang w:eastAsia="es-AR"/>
            </w:rPr>
            <w:t>Por Comisión Fiscalizadora</w:t>
          </w:r>
        </w:p>
      </w:tc>
      <w:tc>
        <w:tcPr>
          <w:tcW w:w="576" w:type="pct"/>
          <w:tcBorders>
            <w:top w:val="nil"/>
            <w:left w:val="nil"/>
            <w:bottom w:val="nil"/>
            <w:right w:val="nil"/>
          </w:tcBorders>
          <w:shd w:val="clear" w:color="auto" w:fill="auto"/>
          <w:noWrap/>
          <w:vAlign w:val="bottom"/>
        </w:tcPr>
        <w:p w14:paraId="33139A9B" w14:textId="77777777" w:rsidR="001967BC" w:rsidRPr="00DA23BA"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21F08C6" w14:textId="77777777" w:rsidR="001967BC" w:rsidRPr="00DA23BA"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4BA04CF3" w14:textId="77777777" w:rsidR="001967BC" w:rsidRPr="00DA23BA"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5FB4E8E2" w14:textId="77777777" w:rsidR="001967BC" w:rsidRPr="00DA23BA" w:rsidRDefault="001967BC" w:rsidP="00205B29">
          <w:pPr>
            <w:ind w:left="210" w:hanging="210"/>
            <w:jc w:val="center"/>
            <w:rPr>
              <w:rFonts w:ascii="Arial" w:hAnsi="Arial" w:cs="Arial"/>
              <w:sz w:val="15"/>
              <w:szCs w:val="15"/>
              <w:lang w:val="en-US" w:eastAsia="es-AR"/>
            </w:rPr>
          </w:pPr>
          <w:r w:rsidRPr="00DA23BA">
            <w:rPr>
              <w:rFonts w:ascii="Arial" w:hAnsi="Arial" w:cs="Arial"/>
              <w:sz w:val="15"/>
              <w:szCs w:val="15"/>
              <w:lang w:val="en-US" w:eastAsia="es-AR"/>
            </w:rPr>
            <w:t>PRICE WATERHOUSE &amp; CO. S.R.L.</w:t>
          </w:r>
        </w:p>
      </w:tc>
      <w:tc>
        <w:tcPr>
          <w:tcW w:w="326" w:type="pct"/>
          <w:tcBorders>
            <w:top w:val="nil"/>
            <w:left w:val="nil"/>
            <w:bottom w:val="nil"/>
            <w:right w:val="nil"/>
          </w:tcBorders>
          <w:shd w:val="clear" w:color="auto" w:fill="auto"/>
          <w:noWrap/>
          <w:vAlign w:val="bottom"/>
        </w:tcPr>
        <w:p w14:paraId="3A570171" w14:textId="77777777" w:rsidR="001967BC" w:rsidRPr="00DA23BA" w:rsidRDefault="001967BC" w:rsidP="00205B29">
          <w:pPr>
            <w:jc w:val="center"/>
            <w:rPr>
              <w:rFonts w:ascii="Arial" w:hAnsi="Arial" w:cs="Arial"/>
              <w:color w:val="000000"/>
              <w:sz w:val="15"/>
              <w:szCs w:val="15"/>
              <w:lang w:val="en-US" w:eastAsia="es-AR"/>
            </w:rPr>
          </w:pPr>
        </w:p>
      </w:tc>
    </w:tr>
    <w:tr w:rsidR="001967BC" w:rsidRPr="001967BC" w14:paraId="1B0C5727" w14:textId="77777777" w:rsidTr="00CC7B81">
      <w:trPr>
        <w:trHeight w:val="180"/>
      </w:trPr>
      <w:tc>
        <w:tcPr>
          <w:tcW w:w="1483" w:type="pct"/>
          <w:tcBorders>
            <w:top w:val="nil"/>
            <w:left w:val="nil"/>
            <w:bottom w:val="nil"/>
            <w:right w:val="nil"/>
          </w:tcBorders>
          <w:shd w:val="clear" w:color="auto" w:fill="auto"/>
          <w:noWrap/>
          <w:vAlign w:val="bottom"/>
        </w:tcPr>
        <w:p w14:paraId="2667B3E9" w14:textId="77777777" w:rsidR="001967BC" w:rsidRPr="00DA23BA" w:rsidRDefault="001967BC"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736DC75C" w14:textId="77777777" w:rsidR="001967BC" w:rsidRPr="008A6403" w:rsidRDefault="001967BC"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55860CD5" w14:textId="77777777" w:rsidR="001967BC" w:rsidRPr="008A6403" w:rsidRDefault="001967BC"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12A71D53" w14:textId="77777777" w:rsidR="001967BC" w:rsidRPr="008A6403" w:rsidRDefault="001967BC"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301CB9BE" w14:textId="77777777" w:rsidR="001967BC" w:rsidRPr="00DA23BA" w:rsidRDefault="001967BC" w:rsidP="00205B29">
          <w:pPr>
            <w:ind w:left="352" w:hanging="352"/>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590E7787" w14:textId="77777777" w:rsidR="001967BC" w:rsidRPr="00DA23BA" w:rsidRDefault="001967BC" w:rsidP="00205B29">
          <w:pPr>
            <w:jc w:val="center"/>
            <w:rPr>
              <w:rFonts w:ascii="Arial" w:hAnsi="Arial" w:cs="Arial"/>
              <w:color w:val="000000"/>
              <w:sz w:val="15"/>
              <w:szCs w:val="15"/>
              <w:lang w:val="en-US" w:eastAsia="es-AR"/>
            </w:rPr>
          </w:pPr>
        </w:p>
      </w:tc>
    </w:tr>
    <w:tr w:rsidR="001967BC" w:rsidRPr="001967BC" w14:paraId="75D64EB0" w14:textId="77777777" w:rsidTr="00CC7B81">
      <w:trPr>
        <w:trHeight w:val="180"/>
      </w:trPr>
      <w:tc>
        <w:tcPr>
          <w:tcW w:w="1483" w:type="pct"/>
          <w:tcBorders>
            <w:top w:val="nil"/>
            <w:left w:val="nil"/>
            <w:bottom w:val="nil"/>
            <w:right w:val="nil"/>
          </w:tcBorders>
          <w:shd w:val="clear" w:color="auto" w:fill="auto"/>
          <w:noWrap/>
          <w:vAlign w:val="bottom"/>
        </w:tcPr>
        <w:p w14:paraId="4378363B" w14:textId="77777777" w:rsidR="001967BC" w:rsidRPr="00DA23BA" w:rsidRDefault="001967BC"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75C53EB6" w14:textId="77777777" w:rsidR="001967BC" w:rsidRPr="008A6403" w:rsidRDefault="001967BC"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2B03BEAF" w14:textId="77777777" w:rsidR="001967BC" w:rsidRPr="008A6403" w:rsidRDefault="001967BC"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49B70F13" w14:textId="77777777" w:rsidR="001967BC" w:rsidRPr="008A6403" w:rsidRDefault="001967BC"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0ECA1B08" w14:textId="77777777" w:rsidR="001967BC" w:rsidRPr="00DA23BA" w:rsidRDefault="001967BC" w:rsidP="00205B29">
          <w:pPr>
            <w:ind w:left="498" w:hanging="498"/>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7A7BAE30" w14:textId="77777777" w:rsidR="001967BC" w:rsidRPr="00DA23BA" w:rsidRDefault="001967BC" w:rsidP="00205B29">
          <w:pPr>
            <w:jc w:val="center"/>
            <w:rPr>
              <w:rFonts w:ascii="Arial" w:hAnsi="Arial" w:cs="Arial"/>
              <w:color w:val="000000"/>
              <w:sz w:val="15"/>
              <w:szCs w:val="15"/>
              <w:lang w:val="en-US" w:eastAsia="es-AR"/>
            </w:rPr>
          </w:pPr>
        </w:p>
      </w:tc>
    </w:tr>
    <w:tr w:rsidR="001967BC" w:rsidRPr="00DA23BA" w14:paraId="5FAE1DAE" w14:textId="77777777" w:rsidTr="00CC7B81">
      <w:trPr>
        <w:trHeight w:val="180"/>
      </w:trPr>
      <w:tc>
        <w:tcPr>
          <w:tcW w:w="1483" w:type="pct"/>
          <w:tcBorders>
            <w:top w:val="nil"/>
            <w:left w:val="nil"/>
            <w:bottom w:val="nil"/>
            <w:right w:val="nil"/>
          </w:tcBorders>
          <w:shd w:val="clear" w:color="auto" w:fill="auto"/>
          <w:noWrap/>
          <w:vAlign w:val="bottom"/>
        </w:tcPr>
        <w:p w14:paraId="39959B77" w14:textId="77777777" w:rsidR="001967BC" w:rsidRPr="00DA23BA" w:rsidRDefault="001967BC"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3B7A02DE" w14:textId="77777777" w:rsidR="001967BC" w:rsidRPr="00DA23BA" w:rsidRDefault="001967BC"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52CCC1EF" w14:textId="77777777" w:rsidR="001967BC" w:rsidRPr="00DA23BA" w:rsidRDefault="001967BC"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1438CC03" w14:textId="77777777" w:rsidR="001967BC" w:rsidRPr="00DA23BA" w:rsidRDefault="001967BC"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61F74EED" w14:textId="77777777" w:rsidR="001967BC" w:rsidRPr="00DA23BA" w:rsidRDefault="001967BC" w:rsidP="00205B29">
          <w:pPr>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679BD102" w14:textId="77777777" w:rsidR="001967BC" w:rsidRPr="00DA23BA" w:rsidRDefault="001967BC" w:rsidP="00205B29">
          <w:pPr>
            <w:jc w:val="center"/>
            <w:rPr>
              <w:rFonts w:ascii="Arial" w:hAnsi="Arial" w:cs="Arial"/>
              <w:sz w:val="15"/>
              <w:szCs w:val="15"/>
              <w:lang w:eastAsia="es-AR"/>
            </w:rPr>
          </w:pPr>
          <w:r w:rsidRPr="00DA23BA">
            <w:rPr>
              <w:rFonts w:ascii="Arial" w:hAnsi="Arial" w:cs="Arial"/>
              <w:sz w:val="15"/>
              <w:szCs w:val="15"/>
              <w:lang w:eastAsia="es-AR"/>
            </w:rPr>
            <w:t>(Socio)</w:t>
          </w:r>
        </w:p>
      </w:tc>
    </w:tr>
    <w:tr w:rsidR="001967BC" w:rsidRPr="008A6403" w14:paraId="0205B7EC" w14:textId="77777777" w:rsidTr="00CC7B81">
      <w:trPr>
        <w:trHeight w:val="180"/>
      </w:trPr>
      <w:tc>
        <w:tcPr>
          <w:tcW w:w="1483" w:type="pct"/>
          <w:tcBorders>
            <w:top w:val="nil"/>
            <w:left w:val="nil"/>
            <w:bottom w:val="nil"/>
            <w:right w:val="nil"/>
          </w:tcBorders>
          <w:shd w:val="clear" w:color="auto" w:fill="auto"/>
          <w:noWrap/>
          <w:vAlign w:val="bottom"/>
        </w:tcPr>
        <w:p w14:paraId="35B581E4" w14:textId="77777777" w:rsidR="001967BC" w:rsidRPr="00DA23BA" w:rsidRDefault="001967BC" w:rsidP="00205B29">
          <w:pPr>
            <w:jc w:val="center"/>
            <w:rPr>
              <w:rFonts w:ascii="Arial" w:hAnsi="Arial" w:cs="Arial"/>
              <w:sz w:val="15"/>
              <w:szCs w:val="15"/>
              <w:lang w:eastAsia="es-AR"/>
            </w:rPr>
          </w:pPr>
          <w:r w:rsidRPr="00DA23BA">
            <w:rPr>
              <w:rFonts w:ascii="Arial" w:hAnsi="Arial" w:cs="Arial"/>
              <w:sz w:val="15"/>
              <w:szCs w:val="15"/>
              <w:lang w:eastAsia="es-AR"/>
            </w:rPr>
            <w:t>Enrique José Barreiro</w:t>
          </w:r>
        </w:p>
      </w:tc>
      <w:tc>
        <w:tcPr>
          <w:tcW w:w="576" w:type="pct"/>
          <w:tcBorders>
            <w:top w:val="nil"/>
            <w:left w:val="nil"/>
            <w:bottom w:val="nil"/>
            <w:right w:val="nil"/>
          </w:tcBorders>
          <w:shd w:val="clear" w:color="auto" w:fill="auto"/>
          <w:noWrap/>
          <w:vAlign w:val="bottom"/>
        </w:tcPr>
        <w:p w14:paraId="0F44CDF7" w14:textId="77777777" w:rsidR="001967BC" w:rsidRPr="00DA23BA" w:rsidRDefault="001967BC"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5D9E30CE" w14:textId="77777777" w:rsidR="001967BC" w:rsidRPr="00DA23BA" w:rsidRDefault="001967BC"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18C331E5" w14:textId="77777777" w:rsidR="001967BC" w:rsidRPr="00DA23BA" w:rsidRDefault="001967BC"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135DD69E" w14:textId="77777777" w:rsidR="001967BC" w:rsidRPr="00000EDD" w:rsidRDefault="001967BC" w:rsidP="00205B29">
          <w:pPr>
            <w:jc w:val="center"/>
            <w:rPr>
              <w:rFonts w:ascii="Arial" w:hAnsi="Arial" w:cs="Arial"/>
              <w:color w:val="FF0000"/>
              <w:sz w:val="15"/>
              <w:szCs w:val="15"/>
              <w:lang w:val="en-US" w:eastAsia="es-AR"/>
            </w:rPr>
          </w:pPr>
        </w:p>
      </w:tc>
      <w:tc>
        <w:tcPr>
          <w:tcW w:w="326" w:type="pct"/>
          <w:tcBorders>
            <w:top w:val="nil"/>
            <w:left w:val="nil"/>
            <w:bottom w:val="nil"/>
            <w:right w:val="nil"/>
          </w:tcBorders>
          <w:shd w:val="clear" w:color="auto" w:fill="auto"/>
          <w:noWrap/>
          <w:vAlign w:val="bottom"/>
        </w:tcPr>
        <w:p w14:paraId="11FF1643" w14:textId="77777777" w:rsidR="001967BC" w:rsidRPr="008A6403" w:rsidRDefault="001967BC" w:rsidP="00205B29">
          <w:pPr>
            <w:jc w:val="center"/>
            <w:rPr>
              <w:rFonts w:ascii="Arial" w:hAnsi="Arial" w:cs="Arial"/>
              <w:color w:val="000000"/>
              <w:sz w:val="15"/>
              <w:szCs w:val="15"/>
              <w:lang w:val="en-US" w:eastAsia="es-AR"/>
            </w:rPr>
          </w:pPr>
        </w:p>
      </w:tc>
    </w:tr>
    <w:tr w:rsidR="001967BC" w:rsidRPr="005F797B" w14:paraId="61DD8B08" w14:textId="77777777" w:rsidTr="00A74D2F">
      <w:trPr>
        <w:trHeight w:val="180"/>
      </w:trPr>
      <w:tc>
        <w:tcPr>
          <w:tcW w:w="1483" w:type="pct"/>
          <w:tcBorders>
            <w:top w:val="nil"/>
            <w:left w:val="nil"/>
            <w:bottom w:val="nil"/>
            <w:right w:val="nil"/>
          </w:tcBorders>
          <w:shd w:val="clear" w:color="auto" w:fill="auto"/>
          <w:noWrap/>
          <w:vAlign w:val="bottom"/>
        </w:tcPr>
        <w:p w14:paraId="306D9953" w14:textId="77777777" w:rsidR="001967BC" w:rsidRPr="00DA23BA" w:rsidRDefault="001967BC" w:rsidP="00205B29">
          <w:pPr>
            <w:jc w:val="center"/>
            <w:rPr>
              <w:rFonts w:ascii="Arial" w:hAnsi="Arial" w:cs="Arial"/>
              <w:sz w:val="15"/>
              <w:szCs w:val="15"/>
              <w:lang w:eastAsia="es-AR"/>
            </w:rPr>
          </w:pPr>
          <w:r w:rsidRPr="00DA23BA">
            <w:rPr>
              <w:rFonts w:ascii="Arial" w:hAnsi="Arial" w:cs="Arial"/>
              <w:sz w:val="15"/>
              <w:szCs w:val="15"/>
              <w:lang w:eastAsia="es-AR"/>
            </w:rPr>
            <w:t>Síndico</w:t>
          </w:r>
        </w:p>
      </w:tc>
      <w:tc>
        <w:tcPr>
          <w:tcW w:w="576" w:type="pct"/>
          <w:tcBorders>
            <w:top w:val="nil"/>
            <w:left w:val="nil"/>
            <w:bottom w:val="nil"/>
            <w:right w:val="nil"/>
          </w:tcBorders>
          <w:shd w:val="clear" w:color="auto" w:fill="auto"/>
          <w:noWrap/>
          <w:vAlign w:val="bottom"/>
        </w:tcPr>
        <w:p w14:paraId="779FCEA8" w14:textId="77777777" w:rsidR="001967BC" w:rsidRPr="00DA23BA" w:rsidRDefault="001967BC"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48C7FB24" w14:textId="77777777" w:rsidR="001967BC" w:rsidRPr="00DA23BA" w:rsidRDefault="001967BC"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3AFA7483" w14:textId="77777777" w:rsidR="001967BC" w:rsidRPr="00DA23BA" w:rsidRDefault="001967BC"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tcPr>
        <w:p w14:paraId="355496AA" w14:textId="5452AFAA" w:rsidR="001967BC" w:rsidRPr="000924A1" w:rsidRDefault="001967BC" w:rsidP="00205B29">
          <w:pPr>
            <w:jc w:val="center"/>
            <w:rPr>
              <w:rFonts w:ascii="Arial" w:hAnsi="Arial" w:cs="Arial"/>
              <w:sz w:val="15"/>
              <w:szCs w:val="15"/>
              <w:lang w:val="en-US" w:eastAsia="es-AR"/>
            </w:rPr>
          </w:pPr>
          <w:r w:rsidRPr="00534414">
            <w:rPr>
              <w:rFonts w:ascii="Arial" w:hAnsi="Arial"/>
              <w:sz w:val="15"/>
              <w:szCs w:val="15"/>
              <w:lang w:val="de-DE"/>
            </w:rPr>
            <w:t>Santiago José Mignone</w:t>
          </w:r>
        </w:p>
      </w:tc>
      <w:tc>
        <w:tcPr>
          <w:tcW w:w="326" w:type="pct"/>
          <w:tcBorders>
            <w:top w:val="nil"/>
            <w:left w:val="nil"/>
            <w:bottom w:val="nil"/>
            <w:right w:val="nil"/>
          </w:tcBorders>
          <w:shd w:val="clear" w:color="auto" w:fill="auto"/>
          <w:noWrap/>
          <w:vAlign w:val="bottom"/>
        </w:tcPr>
        <w:p w14:paraId="0924BFC4" w14:textId="77777777" w:rsidR="001967BC" w:rsidRPr="005F797B" w:rsidRDefault="001967BC" w:rsidP="00205B29">
          <w:pPr>
            <w:jc w:val="center"/>
            <w:rPr>
              <w:rFonts w:ascii="Arial" w:hAnsi="Arial" w:cs="Arial"/>
              <w:color w:val="000000"/>
              <w:sz w:val="15"/>
              <w:szCs w:val="15"/>
              <w:lang w:val="en-US" w:eastAsia="es-AR"/>
            </w:rPr>
          </w:pPr>
        </w:p>
      </w:tc>
    </w:tr>
    <w:tr w:rsidR="001967BC" w:rsidRPr="005F797B" w14:paraId="7DDF09C3" w14:textId="77777777" w:rsidTr="00A74D2F">
      <w:trPr>
        <w:trHeight w:val="180"/>
      </w:trPr>
      <w:tc>
        <w:tcPr>
          <w:tcW w:w="1483" w:type="pct"/>
          <w:tcBorders>
            <w:top w:val="nil"/>
            <w:left w:val="nil"/>
            <w:bottom w:val="nil"/>
            <w:right w:val="nil"/>
          </w:tcBorders>
          <w:shd w:val="clear" w:color="auto" w:fill="auto"/>
          <w:noWrap/>
          <w:vAlign w:val="bottom"/>
        </w:tcPr>
        <w:p w14:paraId="0B2BA107" w14:textId="77777777" w:rsidR="001967BC" w:rsidRPr="00FE608C" w:rsidRDefault="001967BC" w:rsidP="00205B29">
          <w:pPr>
            <w:jc w:val="center"/>
            <w:rPr>
              <w:rFonts w:ascii="Arial" w:hAnsi="Arial" w:cs="Arial"/>
              <w:sz w:val="15"/>
              <w:szCs w:val="15"/>
              <w:lang w:eastAsia="es-AR"/>
            </w:rPr>
          </w:pPr>
          <w:r w:rsidRPr="00FE608C">
            <w:rPr>
              <w:rFonts w:ascii="Arial" w:hAnsi="Arial" w:cs="Arial"/>
              <w:sz w:val="15"/>
              <w:szCs w:val="15"/>
              <w:lang w:eastAsia="es-AR"/>
            </w:rPr>
            <w:t>Contador Público (U.N.L.Z)</w:t>
          </w:r>
        </w:p>
      </w:tc>
      <w:tc>
        <w:tcPr>
          <w:tcW w:w="576" w:type="pct"/>
          <w:tcBorders>
            <w:top w:val="nil"/>
            <w:left w:val="nil"/>
            <w:bottom w:val="nil"/>
            <w:right w:val="nil"/>
          </w:tcBorders>
          <w:shd w:val="clear" w:color="auto" w:fill="auto"/>
          <w:noWrap/>
          <w:vAlign w:val="bottom"/>
        </w:tcPr>
        <w:p w14:paraId="23CD4B55" w14:textId="77777777" w:rsidR="001967BC" w:rsidRPr="00FE608C"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5CFC1CA" w14:textId="77777777" w:rsidR="001967BC" w:rsidRPr="00FE608C"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E4A27EA" w14:textId="77777777" w:rsidR="001967BC" w:rsidRPr="00FE608C"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tcPr>
        <w:p w14:paraId="5DEA2B6D" w14:textId="7BD0729C" w:rsidR="001967BC" w:rsidRPr="000924A1" w:rsidRDefault="001967BC" w:rsidP="00205B29">
          <w:pPr>
            <w:jc w:val="center"/>
            <w:rPr>
              <w:rFonts w:ascii="Arial" w:hAnsi="Arial" w:cs="Arial"/>
              <w:sz w:val="15"/>
              <w:szCs w:val="15"/>
              <w:lang w:eastAsia="es-AR"/>
            </w:rPr>
          </w:pPr>
          <w:r w:rsidRPr="00534414">
            <w:rPr>
              <w:rFonts w:ascii="Arial" w:hAnsi="Arial"/>
              <w:sz w:val="15"/>
              <w:szCs w:val="15"/>
              <w:lang w:val="de-DE"/>
            </w:rPr>
            <w:t>Contador Público (U.B.A.)</w:t>
          </w:r>
        </w:p>
      </w:tc>
      <w:tc>
        <w:tcPr>
          <w:tcW w:w="326" w:type="pct"/>
          <w:tcBorders>
            <w:top w:val="nil"/>
            <w:left w:val="nil"/>
            <w:bottom w:val="nil"/>
            <w:right w:val="nil"/>
          </w:tcBorders>
          <w:shd w:val="clear" w:color="auto" w:fill="auto"/>
          <w:noWrap/>
          <w:vAlign w:val="bottom"/>
        </w:tcPr>
        <w:p w14:paraId="7B90D241" w14:textId="77777777" w:rsidR="001967BC" w:rsidRPr="005F797B" w:rsidRDefault="001967BC" w:rsidP="00205B29">
          <w:pPr>
            <w:jc w:val="center"/>
            <w:rPr>
              <w:rFonts w:ascii="Arial" w:hAnsi="Arial" w:cs="Arial"/>
              <w:color w:val="000000"/>
              <w:sz w:val="15"/>
              <w:szCs w:val="15"/>
              <w:lang w:eastAsia="es-AR"/>
            </w:rPr>
          </w:pPr>
        </w:p>
      </w:tc>
    </w:tr>
    <w:tr w:rsidR="001967BC" w:rsidRPr="00FE608C" w14:paraId="4F250B2F" w14:textId="77777777" w:rsidTr="00CC7B81">
      <w:trPr>
        <w:trHeight w:val="180"/>
      </w:trPr>
      <w:tc>
        <w:tcPr>
          <w:tcW w:w="1483" w:type="pct"/>
          <w:tcBorders>
            <w:top w:val="nil"/>
            <w:left w:val="nil"/>
            <w:bottom w:val="nil"/>
            <w:right w:val="nil"/>
          </w:tcBorders>
          <w:shd w:val="clear" w:color="auto" w:fill="auto"/>
          <w:noWrap/>
          <w:vAlign w:val="bottom"/>
        </w:tcPr>
        <w:p w14:paraId="70866B4F" w14:textId="77777777" w:rsidR="001967BC" w:rsidRPr="00FE608C" w:rsidRDefault="001967BC" w:rsidP="00205B29">
          <w:pPr>
            <w:jc w:val="center"/>
            <w:rPr>
              <w:rFonts w:ascii="Arial" w:hAnsi="Arial" w:cs="Arial"/>
              <w:sz w:val="15"/>
              <w:szCs w:val="15"/>
              <w:lang w:eastAsia="es-AR"/>
            </w:rPr>
          </w:pPr>
          <w:r w:rsidRPr="00FE608C">
            <w:rPr>
              <w:rFonts w:ascii="Arial" w:hAnsi="Arial" w:cs="Arial"/>
              <w:sz w:val="15"/>
              <w:szCs w:val="15"/>
              <w:lang w:eastAsia="es-AR"/>
            </w:rPr>
            <w:t>C.P.C.E.C.A.B.A. T°108 -F° 233</w:t>
          </w:r>
        </w:p>
      </w:tc>
      <w:tc>
        <w:tcPr>
          <w:tcW w:w="576" w:type="pct"/>
          <w:tcBorders>
            <w:top w:val="nil"/>
            <w:left w:val="nil"/>
            <w:bottom w:val="nil"/>
            <w:right w:val="nil"/>
          </w:tcBorders>
          <w:shd w:val="clear" w:color="auto" w:fill="auto"/>
          <w:noWrap/>
          <w:vAlign w:val="bottom"/>
        </w:tcPr>
        <w:p w14:paraId="6FCF9E12" w14:textId="77777777" w:rsidR="001967BC" w:rsidRPr="00FE608C"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AF019CB" w14:textId="77777777" w:rsidR="001967BC" w:rsidRPr="00FE608C"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381A40F6" w14:textId="77777777" w:rsidR="001967BC" w:rsidRPr="00FE608C"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623AEA64" w14:textId="05A9E55D" w:rsidR="001967BC" w:rsidRPr="00FE608C" w:rsidRDefault="001967BC" w:rsidP="00205B29">
          <w:pPr>
            <w:jc w:val="center"/>
            <w:rPr>
              <w:rFonts w:ascii="Arial" w:hAnsi="Arial" w:cs="Arial"/>
              <w:sz w:val="15"/>
              <w:szCs w:val="15"/>
              <w:lang w:eastAsia="es-AR"/>
            </w:rPr>
          </w:pPr>
          <w:r w:rsidRPr="00C9122B">
            <w:rPr>
              <w:rFonts w:ascii="Arial" w:hAnsi="Arial" w:cs="Arial"/>
              <w:sz w:val="15"/>
              <w:szCs w:val="15"/>
              <w:lang w:eastAsia="es-AR"/>
            </w:rPr>
            <w:t xml:space="preserve">C.P.C.E.C.A.B.A.  T° </w:t>
          </w:r>
          <w:r>
            <w:rPr>
              <w:rFonts w:ascii="Arial" w:hAnsi="Arial" w:cs="Arial"/>
              <w:sz w:val="15"/>
              <w:szCs w:val="15"/>
              <w:lang w:eastAsia="es-AR"/>
            </w:rPr>
            <w:t>233</w:t>
          </w:r>
          <w:r w:rsidRPr="00C9122B">
            <w:rPr>
              <w:rFonts w:ascii="Arial" w:hAnsi="Arial" w:cs="Arial"/>
              <w:sz w:val="15"/>
              <w:szCs w:val="15"/>
              <w:lang w:eastAsia="es-AR"/>
            </w:rPr>
            <w:t xml:space="preserve"> F° </w:t>
          </w:r>
          <w:r>
            <w:rPr>
              <w:rFonts w:ascii="Arial" w:hAnsi="Arial" w:cs="Arial"/>
              <w:sz w:val="15"/>
              <w:szCs w:val="15"/>
              <w:lang w:eastAsia="es-AR"/>
            </w:rPr>
            <w:t>237</w:t>
          </w:r>
        </w:p>
      </w:tc>
      <w:tc>
        <w:tcPr>
          <w:tcW w:w="326" w:type="pct"/>
          <w:tcBorders>
            <w:top w:val="nil"/>
            <w:left w:val="nil"/>
            <w:bottom w:val="nil"/>
            <w:right w:val="nil"/>
          </w:tcBorders>
          <w:shd w:val="clear" w:color="auto" w:fill="auto"/>
          <w:noWrap/>
          <w:vAlign w:val="bottom"/>
        </w:tcPr>
        <w:p w14:paraId="093EF40B" w14:textId="77777777" w:rsidR="001967BC" w:rsidRPr="00FE608C" w:rsidRDefault="001967BC" w:rsidP="00205B29">
          <w:pPr>
            <w:jc w:val="center"/>
            <w:rPr>
              <w:rFonts w:ascii="Arial" w:hAnsi="Arial" w:cs="Arial"/>
              <w:color w:val="000000"/>
              <w:sz w:val="15"/>
              <w:szCs w:val="15"/>
              <w:lang w:eastAsia="es-AR"/>
            </w:rPr>
          </w:pPr>
        </w:p>
      </w:tc>
    </w:tr>
    <w:tr w:rsidR="001967BC" w:rsidRPr="00FE608C" w14:paraId="07E5EC43" w14:textId="77777777" w:rsidTr="00CC7B81">
      <w:trPr>
        <w:trHeight w:val="180"/>
      </w:trPr>
      <w:tc>
        <w:tcPr>
          <w:tcW w:w="1483" w:type="pct"/>
          <w:tcBorders>
            <w:top w:val="nil"/>
            <w:left w:val="nil"/>
            <w:bottom w:val="nil"/>
            <w:right w:val="nil"/>
          </w:tcBorders>
          <w:shd w:val="clear" w:color="auto" w:fill="auto"/>
          <w:noWrap/>
          <w:vAlign w:val="bottom"/>
        </w:tcPr>
        <w:p w14:paraId="5B2AE4F6" w14:textId="77777777" w:rsidR="001967BC" w:rsidRPr="00FE608C" w:rsidRDefault="001967BC"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179E97DF" w14:textId="77777777" w:rsidR="001967BC" w:rsidRPr="00FE608C"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3A350C12" w14:textId="77777777" w:rsidR="001967BC" w:rsidRPr="00FE608C"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201CE203" w14:textId="77777777" w:rsidR="001967BC" w:rsidRPr="00FE608C"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F174DE8" w14:textId="77777777" w:rsidR="001967BC" w:rsidRPr="00FE608C" w:rsidRDefault="001967BC"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C147555" w14:textId="77777777" w:rsidR="001967BC" w:rsidRPr="00FE608C" w:rsidRDefault="001967BC" w:rsidP="00205B29">
          <w:pPr>
            <w:jc w:val="center"/>
            <w:rPr>
              <w:rFonts w:ascii="Arial" w:hAnsi="Arial" w:cs="Arial"/>
              <w:color w:val="000000"/>
              <w:sz w:val="15"/>
              <w:szCs w:val="15"/>
              <w:lang w:eastAsia="es-AR"/>
            </w:rPr>
          </w:pPr>
        </w:p>
      </w:tc>
    </w:tr>
    <w:tr w:rsidR="001967BC" w:rsidRPr="00FE608C" w14:paraId="33E48A24" w14:textId="77777777" w:rsidTr="00CC7B81">
      <w:trPr>
        <w:trHeight w:val="180"/>
      </w:trPr>
      <w:tc>
        <w:tcPr>
          <w:tcW w:w="1483" w:type="pct"/>
          <w:tcBorders>
            <w:top w:val="nil"/>
            <w:left w:val="nil"/>
            <w:bottom w:val="nil"/>
            <w:right w:val="nil"/>
          </w:tcBorders>
          <w:shd w:val="clear" w:color="auto" w:fill="auto"/>
          <w:noWrap/>
          <w:vAlign w:val="bottom"/>
        </w:tcPr>
        <w:p w14:paraId="1AA58A87" w14:textId="77777777" w:rsidR="001967BC" w:rsidRPr="00FE608C" w:rsidRDefault="001967BC"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5BC01BC2" w14:textId="77777777" w:rsidR="001967BC" w:rsidRPr="00FE608C"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73F5BC96" w14:textId="77777777" w:rsidR="001967BC" w:rsidRPr="00FE608C" w:rsidRDefault="001967BC"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3550C1E6" w14:textId="77777777" w:rsidR="001967BC" w:rsidRPr="00FE608C"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762B74AF" w14:textId="77777777" w:rsidR="001967BC" w:rsidRPr="00FE608C" w:rsidRDefault="001967BC"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7C285F7F" w14:textId="77777777" w:rsidR="001967BC" w:rsidRPr="00FE608C" w:rsidRDefault="001967BC" w:rsidP="00205B29">
          <w:pPr>
            <w:jc w:val="center"/>
            <w:rPr>
              <w:rFonts w:ascii="Arial" w:hAnsi="Arial" w:cs="Arial"/>
              <w:color w:val="000000"/>
              <w:sz w:val="15"/>
              <w:szCs w:val="15"/>
              <w:lang w:eastAsia="es-AR"/>
            </w:rPr>
          </w:pPr>
        </w:p>
      </w:tc>
    </w:tr>
    <w:tr w:rsidR="001967BC" w:rsidRPr="00DA23BA" w14:paraId="074965EE" w14:textId="77777777" w:rsidTr="00CC7B81">
      <w:trPr>
        <w:trHeight w:val="180"/>
      </w:trPr>
      <w:tc>
        <w:tcPr>
          <w:tcW w:w="1483" w:type="pct"/>
          <w:tcBorders>
            <w:top w:val="nil"/>
            <w:left w:val="nil"/>
            <w:bottom w:val="nil"/>
            <w:right w:val="nil"/>
          </w:tcBorders>
          <w:shd w:val="clear" w:color="auto" w:fill="auto"/>
          <w:noWrap/>
          <w:vAlign w:val="bottom"/>
        </w:tcPr>
        <w:p w14:paraId="61945C6B" w14:textId="77777777" w:rsidR="001967BC" w:rsidRPr="00FE608C" w:rsidRDefault="001967BC"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13AA70CE" w14:textId="77777777" w:rsidR="001967BC" w:rsidRPr="00FE608C" w:rsidRDefault="001967BC"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CB652F3" w14:textId="36BEB88E" w:rsidR="001967BC" w:rsidRPr="00DA23BA" w:rsidRDefault="001967BC" w:rsidP="00205B29">
          <w:pPr>
            <w:jc w:val="center"/>
            <w:rPr>
              <w:rFonts w:ascii="Arial" w:hAnsi="Arial" w:cs="Arial"/>
              <w:sz w:val="15"/>
              <w:szCs w:val="15"/>
              <w:lang w:eastAsia="es-AR"/>
            </w:rPr>
          </w:pPr>
          <w:r>
            <w:rPr>
              <w:rFonts w:ascii="Arial" w:hAnsi="Arial" w:cs="Arial"/>
              <w:sz w:val="15"/>
              <w:szCs w:val="15"/>
              <w:lang w:eastAsia="es-AR"/>
            </w:rPr>
            <w:t xml:space="preserve">- </w:t>
          </w:r>
          <w:r w:rsidRPr="00A76E3D">
            <w:rPr>
              <w:rFonts w:ascii="Arial" w:hAnsi="Arial" w:cs="Arial"/>
              <w:sz w:val="15"/>
              <w:szCs w:val="15"/>
              <w:lang w:eastAsia="es-AR"/>
            </w:rPr>
            <w:fldChar w:fldCharType="begin"/>
          </w:r>
          <w:r w:rsidRPr="00A76E3D">
            <w:rPr>
              <w:rFonts w:ascii="Arial" w:hAnsi="Arial" w:cs="Arial"/>
              <w:sz w:val="15"/>
              <w:szCs w:val="15"/>
              <w:lang w:eastAsia="es-AR"/>
            </w:rPr>
            <w:instrText xml:space="preserve"> PAGE   \* MERGEFORMAT </w:instrText>
          </w:r>
          <w:r w:rsidRPr="00A76E3D">
            <w:rPr>
              <w:rFonts w:ascii="Arial" w:hAnsi="Arial" w:cs="Arial"/>
              <w:sz w:val="15"/>
              <w:szCs w:val="15"/>
              <w:lang w:eastAsia="es-AR"/>
            </w:rPr>
            <w:fldChar w:fldCharType="separate"/>
          </w:r>
          <w:r>
            <w:rPr>
              <w:rFonts w:ascii="Arial" w:hAnsi="Arial" w:cs="Arial"/>
              <w:noProof/>
              <w:sz w:val="15"/>
              <w:szCs w:val="15"/>
              <w:lang w:eastAsia="es-AR"/>
            </w:rPr>
            <w:t>9</w:t>
          </w:r>
          <w:r w:rsidRPr="00A76E3D">
            <w:rPr>
              <w:rFonts w:ascii="Arial" w:hAnsi="Arial" w:cs="Arial"/>
              <w:sz w:val="15"/>
              <w:szCs w:val="15"/>
              <w:lang w:eastAsia="es-AR"/>
            </w:rPr>
            <w:fldChar w:fldCharType="end"/>
          </w:r>
          <w:r>
            <w:rPr>
              <w:rFonts w:ascii="Arial" w:hAnsi="Arial" w:cs="Arial"/>
              <w:sz w:val="15"/>
              <w:szCs w:val="15"/>
              <w:lang w:eastAsia="es-AR"/>
            </w:rPr>
            <w:t xml:space="preserve"> - </w:t>
          </w:r>
        </w:p>
      </w:tc>
      <w:tc>
        <w:tcPr>
          <w:tcW w:w="377" w:type="pct"/>
          <w:tcBorders>
            <w:top w:val="nil"/>
            <w:left w:val="nil"/>
            <w:bottom w:val="nil"/>
            <w:right w:val="nil"/>
          </w:tcBorders>
          <w:shd w:val="clear" w:color="auto" w:fill="auto"/>
          <w:noWrap/>
          <w:vAlign w:val="bottom"/>
        </w:tcPr>
        <w:p w14:paraId="4998EC06" w14:textId="77777777" w:rsidR="001967BC" w:rsidRPr="00DA23BA" w:rsidRDefault="001967BC"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AA3816B" w14:textId="77777777" w:rsidR="001967BC" w:rsidRPr="00DA23BA" w:rsidRDefault="001967BC"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3DA8942D" w14:textId="77777777" w:rsidR="001967BC" w:rsidRPr="00DA23BA" w:rsidRDefault="001967BC" w:rsidP="00205B29">
          <w:pPr>
            <w:jc w:val="center"/>
            <w:rPr>
              <w:rFonts w:ascii="Arial" w:hAnsi="Arial" w:cs="Arial"/>
              <w:color w:val="000000"/>
              <w:sz w:val="15"/>
              <w:szCs w:val="15"/>
              <w:lang w:eastAsia="es-AR"/>
            </w:rPr>
          </w:pPr>
        </w:p>
      </w:tc>
    </w:tr>
  </w:tbl>
  <w:p w14:paraId="25D81E4D" w14:textId="77777777" w:rsidR="001967BC" w:rsidRDefault="001967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760"/>
      <w:gridCol w:w="1071"/>
      <w:gridCol w:w="1518"/>
      <w:gridCol w:w="701"/>
      <w:gridCol w:w="2645"/>
      <w:gridCol w:w="606"/>
    </w:tblGrid>
    <w:tr w:rsidR="001967BC" w:rsidRPr="00D24C22" w14:paraId="147428EF" w14:textId="77777777" w:rsidTr="00D24C22">
      <w:trPr>
        <w:trHeight w:val="180"/>
      </w:trPr>
      <w:tc>
        <w:tcPr>
          <w:tcW w:w="1483" w:type="pct"/>
          <w:tcBorders>
            <w:top w:val="nil"/>
            <w:left w:val="nil"/>
            <w:bottom w:val="nil"/>
            <w:right w:val="nil"/>
          </w:tcBorders>
          <w:shd w:val="clear" w:color="auto" w:fill="auto"/>
          <w:noWrap/>
          <w:vAlign w:val="bottom"/>
        </w:tcPr>
        <w:tbl>
          <w:tblPr>
            <w:tblW w:w="5468" w:type="pct"/>
            <w:tblCellMar>
              <w:left w:w="70" w:type="dxa"/>
              <w:right w:w="70" w:type="dxa"/>
            </w:tblCellMar>
            <w:tblLook w:val="04A0" w:firstRow="1" w:lastRow="0" w:firstColumn="1" w:lastColumn="0" w:noHBand="0" w:noVBand="1"/>
          </w:tblPr>
          <w:tblGrid>
            <w:gridCol w:w="852"/>
            <w:gridCol w:w="332"/>
            <w:gridCol w:w="469"/>
            <w:gridCol w:w="218"/>
            <w:gridCol w:w="817"/>
            <w:gridCol w:w="177"/>
          </w:tblGrid>
          <w:tr w:rsidR="001967BC" w:rsidRPr="00DA23BA" w14:paraId="488A7DB9" w14:textId="77777777" w:rsidTr="00D24C22">
            <w:trPr>
              <w:trHeight w:val="180"/>
            </w:trPr>
            <w:tc>
              <w:tcPr>
                <w:tcW w:w="1487" w:type="pct"/>
                <w:tcBorders>
                  <w:top w:val="nil"/>
                  <w:left w:val="nil"/>
                  <w:bottom w:val="nil"/>
                  <w:right w:val="nil"/>
                </w:tcBorders>
                <w:shd w:val="clear" w:color="auto" w:fill="auto"/>
                <w:noWrap/>
                <w:vAlign w:val="bottom"/>
              </w:tcPr>
              <w:p w14:paraId="158E0B8C"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55DB2CF"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6A16478"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2898556B"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7711AD3B"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7C2F9595"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12842A04" w14:textId="77777777" w:rsidTr="00D24C22">
            <w:trPr>
              <w:trHeight w:val="180"/>
            </w:trPr>
            <w:tc>
              <w:tcPr>
                <w:tcW w:w="1487" w:type="pct"/>
                <w:tcBorders>
                  <w:top w:val="nil"/>
                  <w:left w:val="nil"/>
                  <w:bottom w:val="nil"/>
                  <w:right w:val="nil"/>
                </w:tcBorders>
                <w:shd w:val="clear" w:color="auto" w:fill="auto"/>
                <w:noWrap/>
                <w:vAlign w:val="bottom"/>
              </w:tcPr>
              <w:p w14:paraId="04060125"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7566A13C"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D446EDB"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55DD5B3"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3BDBFD88"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019A2B84"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67ED2BA0" w14:textId="77777777" w:rsidTr="00D24C22">
            <w:trPr>
              <w:trHeight w:val="180"/>
            </w:trPr>
            <w:tc>
              <w:tcPr>
                <w:tcW w:w="1487" w:type="pct"/>
                <w:tcBorders>
                  <w:top w:val="nil"/>
                  <w:left w:val="nil"/>
                  <w:bottom w:val="nil"/>
                  <w:right w:val="nil"/>
                </w:tcBorders>
                <w:shd w:val="clear" w:color="auto" w:fill="auto"/>
                <w:noWrap/>
                <w:vAlign w:val="bottom"/>
              </w:tcPr>
              <w:p w14:paraId="734CA4BB"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5E589800"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07CC1630"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3B7BEF47"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1C974758"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7298B88F"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1AF498FC" w14:textId="77777777" w:rsidTr="00D24C22">
            <w:trPr>
              <w:trHeight w:val="180"/>
            </w:trPr>
            <w:tc>
              <w:tcPr>
                <w:tcW w:w="1487" w:type="pct"/>
                <w:tcBorders>
                  <w:top w:val="nil"/>
                  <w:left w:val="nil"/>
                  <w:bottom w:val="nil"/>
                  <w:right w:val="nil"/>
                </w:tcBorders>
                <w:shd w:val="clear" w:color="auto" w:fill="auto"/>
                <w:noWrap/>
                <w:vAlign w:val="bottom"/>
              </w:tcPr>
              <w:p w14:paraId="10AF85B3"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38A8DF12"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1829479"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986C51E"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5244DD99"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36F61E49"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015448F3" w14:textId="77777777" w:rsidTr="00D24C22">
            <w:trPr>
              <w:trHeight w:val="180"/>
            </w:trPr>
            <w:tc>
              <w:tcPr>
                <w:tcW w:w="1487" w:type="pct"/>
                <w:tcBorders>
                  <w:top w:val="nil"/>
                  <w:left w:val="nil"/>
                  <w:bottom w:val="nil"/>
                  <w:right w:val="nil"/>
                </w:tcBorders>
                <w:shd w:val="clear" w:color="auto" w:fill="auto"/>
                <w:noWrap/>
                <w:vAlign w:val="bottom"/>
              </w:tcPr>
              <w:p w14:paraId="349DB372"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20F9E339"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2D8ECE23"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5A86D2AE"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014D3F5F"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0B84D10B"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0BF369F2" w14:textId="77777777" w:rsidTr="00D24C22">
            <w:trPr>
              <w:trHeight w:val="180"/>
            </w:trPr>
            <w:tc>
              <w:tcPr>
                <w:tcW w:w="1487" w:type="pct"/>
                <w:tcBorders>
                  <w:top w:val="nil"/>
                  <w:left w:val="nil"/>
                  <w:bottom w:val="nil"/>
                  <w:right w:val="nil"/>
                </w:tcBorders>
                <w:shd w:val="clear" w:color="auto" w:fill="auto"/>
                <w:noWrap/>
                <w:vAlign w:val="bottom"/>
              </w:tcPr>
              <w:p w14:paraId="197F48DE"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431B196B"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01AB0461"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18D39CF0"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0938504D"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506D4B6D"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04504536" w14:textId="77777777" w:rsidTr="00D24C22">
            <w:trPr>
              <w:trHeight w:val="180"/>
            </w:trPr>
            <w:tc>
              <w:tcPr>
                <w:tcW w:w="1487" w:type="pct"/>
                <w:tcBorders>
                  <w:top w:val="nil"/>
                  <w:left w:val="nil"/>
                  <w:bottom w:val="nil"/>
                  <w:right w:val="nil"/>
                </w:tcBorders>
                <w:shd w:val="clear" w:color="auto" w:fill="auto"/>
                <w:noWrap/>
                <w:vAlign w:val="bottom"/>
              </w:tcPr>
              <w:p w14:paraId="1434181F"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2D8E215F"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0A3179F"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BCE0DFF"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3AFBC44E"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67A6C7EA" w14:textId="77777777" w:rsidR="001967BC" w:rsidRPr="00DA23BA" w:rsidRDefault="001967BC" w:rsidP="00D24C22">
                <w:pPr>
                  <w:jc w:val="center"/>
                  <w:rPr>
                    <w:rFonts w:ascii="Arial" w:hAnsi="Arial" w:cs="Arial"/>
                    <w:sz w:val="15"/>
                    <w:szCs w:val="15"/>
                    <w:lang w:eastAsia="es-AR"/>
                  </w:rPr>
                </w:pPr>
              </w:p>
            </w:tc>
          </w:tr>
          <w:tr w:rsidR="001967BC" w:rsidRPr="00D24C22" w14:paraId="3E300898" w14:textId="77777777" w:rsidTr="00D24C22">
            <w:trPr>
              <w:trHeight w:val="180"/>
            </w:trPr>
            <w:tc>
              <w:tcPr>
                <w:tcW w:w="1487" w:type="pct"/>
                <w:tcBorders>
                  <w:top w:val="nil"/>
                  <w:left w:val="nil"/>
                  <w:bottom w:val="nil"/>
                  <w:right w:val="nil"/>
                </w:tcBorders>
                <w:shd w:val="clear" w:color="auto" w:fill="auto"/>
                <w:noWrap/>
                <w:vAlign w:val="bottom"/>
              </w:tcPr>
              <w:p w14:paraId="167BDCFF"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28D9D4D7"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7C70A68"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39E70A81"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6F8ABEB8"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38C37A1A"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03B20D97" w14:textId="77777777" w:rsidTr="00D24C22">
            <w:trPr>
              <w:trHeight w:val="180"/>
            </w:trPr>
            <w:tc>
              <w:tcPr>
                <w:tcW w:w="1487" w:type="pct"/>
                <w:tcBorders>
                  <w:top w:val="nil"/>
                  <w:left w:val="nil"/>
                  <w:bottom w:val="nil"/>
                  <w:right w:val="nil"/>
                </w:tcBorders>
                <w:shd w:val="clear" w:color="auto" w:fill="auto"/>
                <w:noWrap/>
                <w:vAlign w:val="bottom"/>
              </w:tcPr>
              <w:p w14:paraId="53C67E31"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0E408E1"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7354281"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6145337E"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36D54BE8" w14:textId="77777777" w:rsidR="001967BC" w:rsidRPr="00DA23BA" w:rsidRDefault="001967BC"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2FCDC2AC"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2809882E" w14:textId="77777777" w:rsidTr="00D24C22">
            <w:trPr>
              <w:trHeight w:val="180"/>
            </w:trPr>
            <w:tc>
              <w:tcPr>
                <w:tcW w:w="1487" w:type="pct"/>
                <w:tcBorders>
                  <w:top w:val="nil"/>
                  <w:left w:val="nil"/>
                  <w:bottom w:val="nil"/>
                  <w:right w:val="nil"/>
                </w:tcBorders>
                <w:shd w:val="clear" w:color="auto" w:fill="auto"/>
                <w:noWrap/>
                <w:vAlign w:val="center"/>
              </w:tcPr>
              <w:p w14:paraId="60C009CF"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42452DA1"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2F454C0"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22642CBB"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7814D9D2" w14:textId="77777777" w:rsidR="001967BC" w:rsidRPr="00DA23BA" w:rsidRDefault="001967BC" w:rsidP="00D24C22">
                <w:pPr>
                  <w:ind w:left="210" w:hanging="210"/>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52F54FF7" w14:textId="77777777" w:rsidR="001967BC" w:rsidRPr="00DA23BA" w:rsidRDefault="001967BC" w:rsidP="00D24C22">
                <w:pPr>
                  <w:jc w:val="center"/>
                  <w:rPr>
                    <w:rFonts w:ascii="Arial" w:hAnsi="Arial" w:cs="Arial"/>
                    <w:color w:val="000000"/>
                    <w:sz w:val="15"/>
                    <w:szCs w:val="15"/>
                    <w:lang w:val="en-US" w:eastAsia="es-AR"/>
                  </w:rPr>
                </w:pPr>
              </w:p>
            </w:tc>
          </w:tr>
          <w:tr w:rsidR="001967BC" w:rsidRPr="00DA23BA" w14:paraId="6A7A6FFE" w14:textId="77777777" w:rsidTr="00D24C22">
            <w:trPr>
              <w:trHeight w:val="180"/>
            </w:trPr>
            <w:tc>
              <w:tcPr>
                <w:tcW w:w="1487" w:type="pct"/>
                <w:tcBorders>
                  <w:top w:val="nil"/>
                  <w:left w:val="nil"/>
                  <w:bottom w:val="nil"/>
                  <w:right w:val="nil"/>
                </w:tcBorders>
                <w:shd w:val="clear" w:color="auto" w:fill="auto"/>
                <w:noWrap/>
                <w:vAlign w:val="bottom"/>
              </w:tcPr>
              <w:p w14:paraId="10BA1133" w14:textId="77777777" w:rsidR="001967BC" w:rsidRPr="00DA23BA" w:rsidRDefault="001967BC" w:rsidP="00D24C22">
                <w:pPr>
                  <w:jc w:val="center"/>
                  <w:rPr>
                    <w:rFonts w:ascii="Arial" w:hAnsi="Arial" w:cs="Arial"/>
                    <w:sz w:val="15"/>
                    <w:szCs w:val="15"/>
                    <w:lang w:val="en-US" w:eastAsia="es-AR"/>
                  </w:rPr>
                </w:pPr>
              </w:p>
            </w:tc>
            <w:tc>
              <w:tcPr>
                <w:tcW w:w="580" w:type="pct"/>
                <w:tcBorders>
                  <w:top w:val="nil"/>
                  <w:left w:val="nil"/>
                  <w:bottom w:val="nil"/>
                  <w:right w:val="nil"/>
                </w:tcBorders>
                <w:shd w:val="clear" w:color="auto" w:fill="auto"/>
                <w:noWrap/>
                <w:vAlign w:val="bottom"/>
              </w:tcPr>
              <w:p w14:paraId="4D3285C0" w14:textId="77777777" w:rsidR="001967BC" w:rsidRPr="00DA23BA" w:rsidRDefault="001967BC" w:rsidP="00D24C22">
                <w:pPr>
                  <w:jc w:val="center"/>
                  <w:rPr>
                    <w:rFonts w:ascii="Arial" w:hAnsi="Arial" w:cs="Arial"/>
                    <w:sz w:val="15"/>
                    <w:szCs w:val="15"/>
                    <w:lang w:val="en-US" w:eastAsia="es-AR"/>
                  </w:rPr>
                </w:pPr>
              </w:p>
            </w:tc>
            <w:tc>
              <w:tcPr>
                <w:tcW w:w="819" w:type="pct"/>
                <w:tcBorders>
                  <w:top w:val="nil"/>
                  <w:left w:val="nil"/>
                  <w:bottom w:val="nil"/>
                  <w:right w:val="nil"/>
                </w:tcBorders>
                <w:shd w:val="clear" w:color="auto" w:fill="auto"/>
                <w:noWrap/>
                <w:vAlign w:val="bottom"/>
              </w:tcPr>
              <w:p w14:paraId="264207BE" w14:textId="77777777" w:rsidR="001967BC" w:rsidRPr="00DA23BA" w:rsidRDefault="001967BC" w:rsidP="00D24C22">
                <w:pPr>
                  <w:jc w:val="center"/>
                  <w:rPr>
                    <w:rFonts w:ascii="Arial" w:hAnsi="Arial" w:cs="Arial"/>
                    <w:sz w:val="15"/>
                    <w:szCs w:val="15"/>
                    <w:lang w:val="en-US" w:eastAsia="es-AR"/>
                  </w:rPr>
                </w:pPr>
              </w:p>
            </w:tc>
            <w:tc>
              <w:tcPr>
                <w:tcW w:w="380" w:type="pct"/>
                <w:tcBorders>
                  <w:top w:val="nil"/>
                  <w:left w:val="nil"/>
                  <w:bottom w:val="nil"/>
                  <w:right w:val="nil"/>
                </w:tcBorders>
                <w:shd w:val="clear" w:color="auto" w:fill="auto"/>
                <w:noWrap/>
                <w:vAlign w:val="bottom"/>
              </w:tcPr>
              <w:p w14:paraId="4E2FDA91" w14:textId="77777777" w:rsidR="001967BC" w:rsidRPr="00DA23BA" w:rsidRDefault="001967BC" w:rsidP="00D24C22">
                <w:pPr>
                  <w:jc w:val="center"/>
                  <w:rPr>
                    <w:rFonts w:ascii="Arial" w:hAnsi="Arial" w:cs="Arial"/>
                    <w:sz w:val="15"/>
                    <w:szCs w:val="15"/>
                    <w:lang w:val="en-US" w:eastAsia="es-AR"/>
                  </w:rPr>
                </w:pPr>
              </w:p>
            </w:tc>
            <w:tc>
              <w:tcPr>
                <w:tcW w:w="1425" w:type="pct"/>
                <w:tcBorders>
                  <w:top w:val="nil"/>
                  <w:left w:val="nil"/>
                  <w:bottom w:val="nil"/>
                  <w:right w:val="nil"/>
                </w:tcBorders>
                <w:shd w:val="clear" w:color="auto" w:fill="auto"/>
                <w:noWrap/>
                <w:vAlign w:val="bottom"/>
              </w:tcPr>
              <w:p w14:paraId="1CE0BEA6" w14:textId="77777777" w:rsidR="001967BC" w:rsidRPr="00DA23BA" w:rsidRDefault="001967BC" w:rsidP="00D24C22">
                <w:pPr>
                  <w:ind w:left="352" w:hanging="352"/>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74FEB534" w14:textId="77777777" w:rsidR="001967BC" w:rsidRPr="00DA23BA" w:rsidRDefault="001967BC" w:rsidP="00D24C22">
                <w:pPr>
                  <w:jc w:val="center"/>
                  <w:rPr>
                    <w:rFonts w:ascii="Arial" w:hAnsi="Arial" w:cs="Arial"/>
                    <w:color w:val="000000"/>
                    <w:sz w:val="15"/>
                    <w:szCs w:val="15"/>
                    <w:lang w:val="en-US" w:eastAsia="es-AR"/>
                  </w:rPr>
                </w:pPr>
              </w:p>
            </w:tc>
          </w:tr>
          <w:tr w:rsidR="001967BC" w:rsidRPr="00DA23BA" w14:paraId="4114279A" w14:textId="77777777" w:rsidTr="00D24C22">
            <w:trPr>
              <w:trHeight w:val="180"/>
            </w:trPr>
            <w:tc>
              <w:tcPr>
                <w:tcW w:w="1487" w:type="pct"/>
                <w:tcBorders>
                  <w:top w:val="nil"/>
                  <w:left w:val="nil"/>
                  <w:bottom w:val="nil"/>
                  <w:right w:val="nil"/>
                </w:tcBorders>
                <w:shd w:val="clear" w:color="auto" w:fill="auto"/>
                <w:noWrap/>
                <w:vAlign w:val="bottom"/>
              </w:tcPr>
              <w:p w14:paraId="762756E3" w14:textId="77777777" w:rsidR="001967BC" w:rsidRPr="00DA23BA" w:rsidRDefault="001967BC" w:rsidP="00D24C22">
                <w:pPr>
                  <w:jc w:val="center"/>
                  <w:rPr>
                    <w:rFonts w:ascii="Arial" w:hAnsi="Arial" w:cs="Arial"/>
                    <w:sz w:val="15"/>
                    <w:szCs w:val="15"/>
                    <w:lang w:val="en-US" w:eastAsia="es-AR"/>
                  </w:rPr>
                </w:pPr>
              </w:p>
            </w:tc>
            <w:tc>
              <w:tcPr>
                <w:tcW w:w="580" w:type="pct"/>
                <w:tcBorders>
                  <w:top w:val="nil"/>
                  <w:left w:val="nil"/>
                  <w:bottom w:val="nil"/>
                  <w:right w:val="nil"/>
                </w:tcBorders>
                <w:shd w:val="clear" w:color="auto" w:fill="auto"/>
                <w:noWrap/>
                <w:vAlign w:val="bottom"/>
              </w:tcPr>
              <w:p w14:paraId="5E3D26B8" w14:textId="77777777" w:rsidR="001967BC" w:rsidRPr="00DA23BA" w:rsidRDefault="001967BC" w:rsidP="00D24C22">
                <w:pPr>
                  <w:jc w:val="center"/>
                  <w:rPr>
                    <w:rFonts w:ascii="Arial" w:hAnsi="Arial" w:cs="Arial"/>
                    <w:sz w:val="15"/>
                    <w:szCs w:val="15"/>
                    <w:lang w:val="en-US" w:eastAsia="es-AR"/>
                  </w:rPr>
                </w:pPr>
              </w:p>
            </w:tc>
            <w:tc>
              <w:tcPr>
                <w:tcW w:w="819" w:type="pct"/>
                <w:tcBorders>
                  <w:top w:val="nil"/>
                  <w:left w:val="nil"/>
                  <w:bottom w:val="nil"/>
                  <w:right w:val="nil"/>
                </w:tcBorders>
                <w:shd w:val="clear" w:color="auto" w:fill="auto"/>
                <w:noWrap/>
                <w:vAlign w:val="bottom"/>
              </w:tcPr>
              <w:p w14:paraId="6B033C2E" w14:textId="77777777" w:rsidR="001967BC" w:rsidRPr="00DA23BA" w:rsidRDefault="001967BC" w:rsidP="00D24C22">
                <w:pPr>
                  <w:jc w:val="center"/>
                  <w:rPr>
                    <w:rFonts w:ascii="Arial" w:hAnsi="Arial" w:cs="Arial"/>
                    <w:sz w:val="15"/>
                    <w:szCs w:val="15"/>
                    <w:lang w:val="en-US" w:eastAsia="es-AR"/>
                  </w:rPr>
                </w:pPr>
              </w:p>
            </w:tc>
            <w:tc>
              <w:tcPr>
                <w:tcW w:w="380" w:type="pct"/>
                <w:tcBorders>
                  <w:top w:val="nil"/>
                  <w:left w:val="nil"/>
                  <w:bottom w:val="nil"/>
                  <w:right w:val="nil"/>
                </w:tcBorders>
                <w:shd w:val="clear" w:color="auto" w:fill="auto"/>
                <w:noWrap/>
                <w:vAlign w:val="bottom"/>
              </w:tcPr>
              <w:p w14:paraId="76289AA8" w14:textId="77777777" w:rsidR="001967BC" w:rsidRPr="00DA23BA" w:rsidRDefault="001967BC" w:rsidP="00D24C22">
                <w:pPr>
                  <w:jc w:val="center"/>
                  <w:rPr>
                    <w:rFonts w:ascii="Arial" w:hAnsi="Arial" w:cs="Arial"/>
                    <w:sz w:val="15"/>
                    <w:szCs w:val="15"/>
                    <w:lang w:val="en-US" w:eastAsia="es-AR"/>
                  </w:rPr>
                </w:pPr>
              </w:p>
            </w:tc>
            <w:tc>
              <w:tcPr>
                <w:tcW w:w="1425" w:type="pct"/>
                <w:tcBorders>
                  <w:top w:val="nil"/>
                  <w:left w:val="nil"/>
                  <w:bottom w:val="nil"/>
                  <w:right w:val="nil"/>
                </w:tcBorders>
                <w:shd w:val="clear" w:color="auto" w:fill="auto"/>
                <w:noWrap/>
                <w:vAlign w:val="bottom"/>
              </w:tcPr>
              <w:p w14:paraId="0EC2193E" w14:textId="77777777" w:rsidR="001967BC" w:rsidRPr="00DA23BA" w:rsidRDefault="001967BC" w:rsidP="00D24C22">
                <w:pPr>
                  <w:ind w:left="498" w:hanging="498"/>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474F1CE4" w14:textId="77777777" w:rsidR="001967BC" w:rsidRPr="00DA23BA" w:rsidRDefault="001967BC" w:rsidP="00D24C22">
                <w:pPr>
                  <w:jc w:val="center"/>
                  <w:rPr>
                    <w:rFonts w:ascii="Arial" w:hAnsi="Arial" w:cs="Arial"/>
                    <w:color w:val="000000"/>
                    <w:sz w:val="15"/>
                    <w:szCs w:val="15"/>
                    <w:lang w:val="en-US" w:eastAsia="es-AR"/>
                  </w:rPr>
                </w:pPr>
              </w:p>
            </w:tc>
          </w:tr>
          <w:tr w:rsidR="001967BC" w:rsidRPr="00DA23BA" w14:paraId="06410886" w14:textId="77777777" w:rsidTr="00D24C22">
            <w:trPr>
              <w:trHeight w:val="180"/>
            </w:trPr>
            <w:tc>
              <w:tcPr>
                <w:tcW w:w="1487" w:type="pct"/>
                <w:tcBorders>
                  <w:top w:val="nil"/>
                  <w:left w:val="nil"/>
                  <w:bottom w:val="nil"/>
                  <w:right w:val="nil"/>
                </w:tcBorders>
                <w:shd w:val="clear" w:color="auto" w:fill="auto"/>
                <w:noWrap/>
                <w:vAlign w:val="bottom"/>
              </w:tcPr>
              <w:p w14:paraId="3D401171" w14:textId="77777777" w:rsidR="001967BC" w:rsidRPr="00DA23BA" w:rsidRDefault="001967BC" w:rsidP="00D24C22">
                <w:pPr>
                  <w:jc w:val="center"/>
                  <w:rPr>
                    <w:rFonts w:ascii="Arial" w:hAnsi="Arial" w:cs="Arial"/>
                    <w:sz w:val="15"/>
                    <w:szCs w:val="15"/>
                    <w:lang w:val="en-US" w:eastAsia="es-AR"/>
                  </w:rPr>
                </w:pPr>
              </w:p>
            </w:tc>
            <w:tc>
              <w:tcPr>
                <w:tcW w:w="580" w:type="pct"/>
                <w:tcBorders>
                  <w:top w:val="nil"/>
                  <w:left w:val="nil"/>
                  <w:bottom w:val="nil"/>
                  <w:right w:val="nil"/>
                </w:tcBorders>
                <w:shd w:val="clear" w:color="auto" w:fill="auto"/>
                <w:noWrap/>
                <w:vAlign w:val="bottom"/>
              </w:tcPr>
              <w:p w14:paraId="5DE9F55D" w14:textId="77777777" w:rsidR="001967BC" w:rsidRPr="00DA23BA" w:rsidRDefault="001967BC" w:rsidP="00D24C22">
                <w:pPr>
                  <w:jc w:val="center"/>
                  <w:rPr>
                    <w:rFonts w:ascii="Arial" w:hAnsi="Arial" w:cs="Arial"/>
                    <w:sz w:val="15"/>
                    <w:szCs w:val="15"/>
                    <w:lang w:val="en-US" w:eastAsia="es-AR"/>
                  </w:rPr>
                </w:pPr>
              </w:p>
            </w:tc>
            <w:tc>
              <w:tcPr>
                <w:tcW w:w="819" w:type="pct"/>
                <w:tcBorders>
                  <w:top w:val="nil"/>
                  <w:left w:val="nil"/>
                  <w:bottom w:val="nil"/>
                  <w:right w:val="nil"/>
                </w:tcBorders>
                <w:shd w:val="clear" w:color="auto" w:fill="auto"/>
                <w:noWrap/>
                <w:vAlign w:val="bottom"/>
              </w:tcPr>
              <w:p w14:paraId="7376DE67" w14:textId="77777777" w:rsidR="001967BC" w:rsidRPr="00DA23BA" w:rsidRDefault="001967BC" w:rsidP="00D24C22">
                <w:pPr>
                  <w:jc w:val="center"/>
                  <w:rPr>
                    <w:rFonts w:ascii="Arial" w:hAnsi="Arial" w:cs="Arial"/>
                    <w:sz w:val="15"/>
                    <w:szCs w:val="15"/>
                    <w:lang w:val="en-US" w:eastAsia="es-AR"/>
                  </w:rPr>
                </w:pPr>
              </w:p>
            </w:tc>
            <w:tc>
              <w:tcPr>
                <w:tcW w:w="380" w:type="pct"/>
                <w:tcBorders>
                  <w:top w:val="nil"/>
                  <w:left w:val="nil"/>
                  <w:bottom w:val="nil"/>
                  <w:right w:val="nil"/>
                </w:tcBorders>
                <w:shd w:val="clear" w:color="auto" w:fill="auto"/>
                <w:noWrap/>
                <w:vAlign w:val="bottom"/>
              </w:tcPr>
              <w:p w14:paraId="323F0BA8" w14:textId="77777777" w:rsidR="001967BC" w:rsidRPr="00DA23BA" w:rsidRDefault="001967BC" w:rsidP="00D24C22">
                <w:pPr>
                  <w:jc w:val="center"/>
                  <w:rPr>
                    <w:rFonts w:ascii="Arial" w:hAnsi="Arial" w:cs="Arial"/>
                    <w:sz w:val="15"/>
                    <w:szCs w:val="15"/>
                    <w:lang w:val="en-US" w:eastAsia="es-AR"/>
                  </w:rPr>
                </w:pPr>
              </w:p>
            </w:tc>
            <w:tc>
              <w:tcPr>
                <w:tcW w:w="1425" w:type="pct"/>
                <w:tcBorders>
                  <w:top w:val="nil"/>
                  <w:left w:val="nil"/>
                  <w:bottom w:val="nil"/>
                  <w:right w:val="nil"/>
                </w:tcBorders>
                <w:shd w:val="clear" w:color="auto" w:fill="auto"/>
                <w:noWrap/>
                <w:vAlign w:val="bottom"/>
              </w:tcPr>
              <w:p w14:paraId="37AEF7C9" w14:textId="77777777" w:rsidR="001967BC" w:rsidRPr="00DA23BA" w:rsidRDefault="001967BC" w:rsidP="00D24C22">
                <w:pPr>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4E64A5FF" w14:textId="77777777" w:rsidR="001967BC" w:rsidRPr="00DA23BA" w:rsidRDefault="001967BC" w:rsidP="00D24C22">
                <w:pPr>
                  <w:jc w:val="center"/>
                  <w:rPr>
                    <w:rFonts w:ascii="Arial" w:hAnsi="Arial" w:cs="Arial"/>
                    <w:sz w:val="15"/>
                    <w:szCs w:val="15"/>
                    <w:lang w:eastAsia="es-AR"/>
                  </w:rPr>
                </w:pPr>
              </w:p>
            </w:tc>
          </w:tr>
          <w:tr w:rsidR="001967BC" w:rsidRPr="00D24C22" w14:paraId="437B7143" w14:textId="77777777" w:rsidTr="00D24C22">
            <w:trPr>
              <w:trHeight w:val="180"/>
            </w:trPr>
            <w:tc>
              <w:tcPr>
                <w:tcW w:w="1487" w:type="pct"/>
                <w:tcBorders>
                  <w:top w:val="nil"/>
                  <w:left w:val="nil"/>
                  <w:bottom w:val="nil"/>
                  <w:right w:val="nil"/>
                </w:tcBorders>
                <w:shd w:val="clear" w:color="auto" w:fill="auto"/>
                <w:noWrap/>
                <w:vAlign w:val="bottom"/>
              </w:tcPr>
              <w:p w14:paraId="07F0AAD7"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36D6A963"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642D060B"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2E4DADFD"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75187C27" w14:textId="77777777" w:rsidR="001967BC" w:rsidRPr="00DA23BA" w:rsidRDefault="001967BC"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475FDBAE" w14:textId="77777777" w:rsidR="001967BC" w:rsidRPr="00DA23BA" w:rsidRDefault="001967BC" w:rsidP="00D24C22">
                <w:pPr>
                  <w:jc w:val="center"/>
                  <w:rPr>
                    <w:rFonts w:ascii="Arial" w:hAnsi="Arial" w:cs="Arial"/>
                    <w:color w:val="000000"/>
                    <w:sz w:val="15"/>
                    <w:szCs w:val="15"/>
                    <w:lang w:eastAsia="es-AR"/>
                  </w:rPr>
                </w:pPr>
              </w:p>
            </w:tc>
          </w:tr>
          <w:tr w:rsidR="001967BC" w:rsidRPr="00DA23BA" w14:paraId="67ABCFC8" w14:textId="77777777" w:rsidTr="00D24C22">
            <w:trPr>
              <w:trHeight w:val="180"/>
            </w:trPr>
            <w:tc>
              <w:tcPr>
                <w:tcW w:w="1487" w:type="pct"/>
                <w:tcBorders>
                  <w:top w:val="nil"/>
                  <w:left w:val="nil"/>
                  <w:bottom w:val="nil"/>
                  <w:right w:val="nil"/>
                </w:tcBorders>
                <w:shd w:val="clear" w:color="auto" w:fill="auto"/>
                <w:noWrap/>
                <w:vAlign w:val="bottom"/>
              </w:tcPr>
              <w:p w14:paraId="71B4E304"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4375FBD3"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204AB2BC"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6CB78B0B"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585E2067" w14:textId="77777777" w:rsidR="001967BC" w:rsidRPr="00DA23BA" w:rsidRDefault="001967BC"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2E0DEF8D" w14:textId="77777777" w:rsidR="001967BC" w:rsidRPr="00DA23BA" w:rsidRDefault="001967BC" w:rsidP="00D24C22">
                <w:pPr>
                  <w:jc w:val="center"/>
                  <w:rPr>
                    <w:rFonts w:ascii="Arial" w:hAnsi="Arial" w:cs="Arial"/>
                    <w:color w:val="000000"/>
                    <w:sz w:val="15"/>
                    <w:szCs w:val="15"/>
                    <w:lang w:eastAsia="es-AR"/>
                  </w:rPr>
                </w:pPr>
              </w:p>
            </w:tc>
          </w:tr>
          <w:tr w:rsidR="001967BC" w:rsidRPr="00D24C22" w14:paraId="129461BC" w14:textId="77777777" w:rsidTr="00D24C22">
            <w:trPr>
              <w:trHeight w:val="180"/>
            </w:trPr>
            <w:tc>
              <w:tcPr>
                <w:tcW w:w="1487" w:type="pct"/>
                <w:tcBorders>
                  <w:top w:val="nil"/>
                  <w:left w:val="nil"/>
                  <w:bottom w:val="nil"/>
                  <w:right w:val="nil"/>
                </w:tcBorders>
                <w:shd w:val="clear" w:color="auto" w:fill="auto"/>
                <w:noWrap/>
                <w:vAlign w:val="bottom"/>
              </w:tcPr>
              <w:p w14:paraId="454F2A83"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91EAAED"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88FF693"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5F3533F"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22CD7CD1" w14:textId="77777777" w:rsidR="001967BC" w:rsidRPr="00DA23BA" w:rsidRDefault="001967BC"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403A2B1A" w14:textId="77777777" w:rsidR="001967BC" w:rsidRPr="00DA23BA" w:rsidRDefault="001967BC" w:rsidP="00D24C22">
                <w:pPr>
                  <w:jc w:val="center"/>
                  <w:rPr>
                    <w:rFonts w:ascii="Arial" w:hAnsi="Arial" w:cs="Arial"/>
                    <w:color w:val="000000"/>
                    <w:sz w:val="15"/>
                    <w:szCs w:val="15"/>
                    <w:lang w:eastAsia="es-AR"/>
                  </w:rPr>
                </w:pPr>
              </w:p>
            </w:tc>
          </w:tr>
          <w:tr w:rsidR="001967BC" w:rsidRPr="00D24C22" w14:paraId="7B8582DB" w14:textId="77777777" w:rsidTr="00D24C22">
            <w:trPr>
              <w:trHeight w:val="180"/>
            </w:trPr>
            <w:tc>
              <w:tcPr>
                <w:tcW w:w="1487" w:type="pct"/>
                <w:tcBorders>
                  <w:top w:val="nil"/>
                  <w:left w:val="nil"/>
                  <w:bottom w:val="nil"/>
                  <w:right w:val="nil"/>
                </w:tcBorders>
                <w:shd w:val="clear" w:color="auto" w:fill="auto"/>
                <w:noWrap/>
                <w:vAlign w:val="bottom"/>
              </w:tcPr>
              <w:p w14:paraId="6176223E" w14:textId="77777777" w:rsidR="001967BC" w:rsidRPr="00DA23BA" w:rsidRDefault="001967BC"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C0C802A" w14:textId="77777777" w:rsidR="001967BC" w:rsidRPr="00DA23BA" w:rsidRDefault="001967BC"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569D845A" w14:textId="77777777" w:rsidR="001967BC" w:rsidRPr="00DA23BA" w:rsidRDefault="001967BC"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73EB5A44" w14:textId="77777777" w:rsidR="001967BC" w:rsidRPr="00DA23BA" w:rsidRDefault="001967BC"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26F2E049" w14:textId="77777777" w:rsidR="001967BC" w:rsidRPr="00DA23BA" w:rsidRDefault="001967BC"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4E93147B" w14:textId="77777777" w:rsidR="001967BC" w:rsidRPr="00DA23BA" w:rsidRDefault="001967BC" w:rsidP="00D24C22">
                <w:pPr>
                  <w:jc w:val="center"/>
                  <w:rPr>
                    <w:rFonts w:ascii="Arial" w:hAnsi="Arial" w:cs="Arial"/>
                    <w:color w:val="000000"/>
                    <w:sz w:val="15"/>
                    <w:szCs w:val="15"/>
                    <w:lang w:eastAsia="es-AR"/>
                  </w:rPr>
                </w:pPr>
              </w:p>
            </w:tc>
          </w:tr>
        </w:tbl>
        <w:p w14:paraId="4BF9F309" w14:textId="77777777" w:rsidR="001967BC" w:rsidRPr="0017062B" w:rsidRDefault="001967BC" w:rsidP="00D24C22">
          <w:pPr>
            <w:pStyle w:val="Footer"/>
          </w:pPr>
        </w:p>
        <w:p w14:paraId="4EED7443" w14:textId="77777777" w:rsidR="001967BC" w:rsidRPr="00D24C22" w:rsidRDefault="001967BC" w:rsidP="00D24C22">
          <w:pPr>
            <w:jc w:val="center"/>
            <w:rPr>
              <w:rFonts w:ascii="Arial" w:hAnsi="Arial" w:cs="Arial"/>
              <w:sz w:val="15"/>
              <w:szCs w:val="15"/>
              <w:lang w:val="it-IT" w:eastAsia="es-AR"/>
            </w:rPr>
          </w:pPr>
        </w:p>
      </w:tc>
      <w:tc>
        <w:tcPr>
          <w:tcW w:w="576" w:type="pct"/>
          <w:tcBorders>
            <w:top w:val="nil"/>
            <w:left w:val="nil"/>
            <w:bottom w:val="nil"/>
            <w:right w:val="nil"/>
          </w:tcBorders>
          <w:shd w:val="clear" w:color="auto" w:fill="auto"/>
          <w:noWrap/>
          <w:vAlign w:val="bottom"/>
        </w:tcPr>
        <w:p w14:paraId="06921FEF" w14:textId="77777777" w:rsidR="001967BC" w:rsidRPr="00DA23BA" w:rsidRDefault="001967BC" w:rsidP="00D24C22">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2EDFD563" w14:textId="77777777" w:rsidR="001967BC" w:rsidRPr="00DA23BA" w:rsidRDefault="001967BC" w:rsidP="00D24C22">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C0A0E54" w14:textId="77777777" w:rsidR="001967BC" w:rsidRPr="00DA23BA" w:rsidRDefault="001967BC" w:rsidP="00D24C22">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8D4A4C7" w14:textId="77777777" w:rsidR="001967BC" w:rsidRPr="00DA23BA" w:rsidRDefault="001967BC" w:rsidP="00D24C22">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60C22E39" w14:textId="77777777" w:rsidR="001967BC" w:rsidRPr="00DA23BA" w:rsidRDefault="001967BC" w:rsidP="00D24C22">
          <w:pPr>
            <w:jc w:val="center"/>
            <w:rPr>
              <w:rFonts w:ascii="Arial" w:hAnsi="Arial" w:cs="Arial"/>
              <w:color w:val="000000"/>
              <w:sz w:val="15"/>
              <w:szCs w:val="15"/>
              <w:lang w:eastAsia="es-AR"/>
            </w:rPr>
          </w:pPr>
        </w:p>
      </w:tc>
    </w:tr>
  </w:tbl>
  <w:p w14:paraId="475325B3" w14:textId="77777777" w:rsidR="001967BC" w:rsidRPr="00BA218C" w:rsidRDefault="001967BC" w:rsidP="00E05C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577"/>
      <w:gridCol w:w="890"/>
      <w:gridCol w:w="1566"/>
      <w:gridCol w:w="519"/>
      <w:gridCol w:w="3133"/>
      <w:gridCol w:w="616"/>
    </w:tblGrid>
    <w:tr w:rsidR="001967BC" w:rsidRPr="00DA23BA" w14:paraId="23B1E2F4" w14:textId="77777777" w:rsidTr="000924A1">
      <w:trPr>
        <w:trHeight w:val="180"/>
      </w:trPr>
      <w:tc>
        <w:tcPr>
          <w:tcW w:w="1411" w:type="pct"/>
          <w:tcBorders>
            <w:top w:val="nil"/>
            <w:left w:val="nil"/>
            <w:bottom w:val="nil"/>
            <w:right w:val="nil"/>
          </w:tcBorders>
          <w:shd w:val="clear" w:color="auto" w:fill="auto"/>
          <w:noWrap/>
          <w:vAlign w:val="bottom"/>
        </w:tcPr>
        <w:p w14:paraId="7047E2CB" w14:textId="77777777" w:rsidR="001967BC" w:rsidRPr="00DA23BA" w:rsidRDefault="001967BC"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10D47C83" w14:textId="77777777" w:rsidR="001967BC" w:rsidRPr="00DA23BA" w:rsidRDefault="001967BC"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2B968DC" w14:textId="77777777" w:rsidR="001967BC" w:rsidRPr="00DA23BA" w:rsidRDefault="001967BC"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5DF88D65" w14:textId="77777777" w:rsidR="001967BC" w:rsidRPr="00DA23BA" w:rsidRDefault="001967BC"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235554DA" w14:textId="77777777" w:rsidR="001967BC" w:rsidRPr="00DA23BA" w:rsidRDefault="001967BC"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1BA4FE06" w14:textId="77777777" w:rsidR="001967BC" w:rsidRPr="00DA23BA" w:rsidRDefault="001967BC" w:rsidP="00B51CA4">
          <w:pPr>
            <w:jc w:val="center"/>
            <w:rPr>
              <w:rFonts w:ascii="Arial" w:hAnsi="Arial" w:cs="Arial"/>
              <w:color w:val="000000"/>
              <w:sz w:val="15"/>
              <w:szCs w:val="15"/>
              <w:lang w:eastAsia="es-AR"/>
            </w:rPr>
          </w:pPr>
        </w:p>
      </w:tc>
    </w:tr>
    <w:tr w:rsidR="001967BC" w:rsidRPr="00DA23BA" w14:paraId="54DF052D" w14:textId="77777777" w:rsidTr="000924A1">
      <w:trPr>
        <w:trHeight w:val="180"/>
      </w:trPr>
      <w:tc>
        <w:tcPr>
          <w:tcW w:w="1411" w:type="pct"/>
          <w:tcBorders>
            <w:top w:val="nil"/>
            <w:left w:val="nil"/>
            <w:bottom w:val="nil"/>
            <w:right w:val="nil"/>
          </w:tcBorders>
          <w:shd w:val="clear" w:color="auto" w:fill="auto"/>
          <w:noWrap/>
          <w:vAlign w:val="bottom"/>
        </w:tcPr>
        <w:p w14:paraId="7A5C7C02" w14:textId="77777777" w:rsidR="001967BC" w:rsidRPr="00DA23BA" w:rsidRDefault="001967BC"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490E62F8" w14:textId="77777777" w:rsidR="001967BC" w:rsidRPr="00DA23BA" w:rsidRDefault="001967BC"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7F7A2E1" w14:textId="77777777" w:rsidR="001967BC" w:rsidRPr="00DA23BA" w:rsidRDefault="001967BC"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023062F7" w14:textId="77777777" w:rsidR="001967BC" w:rsidRPr="00DA23BA" w:rsidRDefault="001967BC"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15514D50" w14:textId="77777777" w:rsidR="001967BC" w:rsidRPr="00DA23BA" w:rsidRDefault="001967BC"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6B0FB6A7" w14:textId="77777777" w:rsidR="001967BC" w:rsidRPr="00DA23BA" w:rsidRDefault="001967BC" w:rsidP="00B51CA4">
          <w:pPr>
            <w:jc w:val="center"/>
            <w:rPr>
              <w:rFonts w:ascii="Arial" w:hAnsi="Arial" w:cs="Arial"/>
              <w:color w:val="000000"/>
              <w:sz w:val="15"/>
              <w:szCs w:val="15"/>
              <w:lang w:eastAsia="es-AR"/>
            </w:rPr>
          </w:pPr>
        </w:p>
      </w:tc>
    </w:tr>
    <w:tr w:rsidR="001967BC" w:rsidRPr="00DA23BA" w14:paraId="4C384A3A" w14:textId="77777777" w:rsidTr="000924A1">
      <w:trPr>
        <w:trHeight w:val="87"/>
      </w:trPr>
      <w:tc>
        <w:tcPr>
          <w:tcW w:w="1411" w:type="pct"/>
          <w:tcBorders>
            <w:top w:val="nil"/>
            <w:left w:val="nil"/>
            <w:bottom w:val="nil"/>
            <w:right w:val="nil"/>
          </w:tcBorders>
          <w:shd w:val="clear" w:color="auto" w:fill="auto"/>
          <w:noWrap/>
          <w:vAlign w:val="bottom"/>
        </w:tcPr>
        <w:p w14:paraId="0AD66764" w14:textId="77777777" w:rsidR="001967BC" w:rsidRPr="00DA23BA" w:rsidRDefault="001967BC"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5E492B36" w14:textId="77777777" w:rsidR="001967BC" w:rsidRPr="00DA23BA" w:rsidRDefault="001967BC"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380BA630" w14:textId="77777777" w:rsidR="001967BC" w:rsidRPr="00DA23BA" w:rsidRDefault="001967BC"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31F344AC" w14:textId="77777777" w:rsidR="001967BC" w:rsidRPr="00DA23BA" w:rsidRDefault="001967BC"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C9E4E07" w14:textId="77777777" w:rsidR="001967BC" w:rsidRPr="00DA23BA" w:rsidRDefault="001967BC"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02450B0" w14:textId="77777777" w:rsidR="001967BC" w:rsidRPr="00DA23BA" w:rsidRDefault="001967BC" w:rsidP="00B51CA4">
          <w:pPr>
            <w:jc w:val="center"/>
            <w:rPr>
              <w:rFonts w:ascii="Arial" w:hAnsi="Arial" w:cs="Arial"/>
              <w:color w:val="000000"/>
              <w:sz w:val="15"/>
              <w:szCs w:val="15"/>
              <w:lang w:eastAsia="es-AR"/>
            </w:rPr>
          </w:pPr>
        </w:p>
      </w:tc>
    </w:tr>
    <w:tr w:rsidR="001967BC" w:rsidRPr="00DA23BA" w14:paraId="7E30B144" w14:textId="77777777" w:rsidTr="000924A1">
      <w:trPr>
        <w:trHeight w:val="180"/>
      </w:trPr>
      <w:tc>
        <w:tcPr>
          <w:tcW w:w="1411" w:type="pct"/>
          <w:tcBorders>
            <w:top w:val="nil"/>
            <w:left w:val="nil"/>
            <w:bottom w:val="nil"/>
            <w:right w:val="nil"/>
          </w:tcBorders>
          <w:shd w:val="clear" w:color="auto" w:fill="auto"/>
          <w:noWrap/>
          <w:vAlign w:val="bottom"/>
        </w:tcPr>
        <w:p w14:paraId="26846831" w14:textId="77777777" w:rsidR="001967BC" w:rsidRPr="00DA23BA" w:rsidRDefault="001967BC" w:rsidP="000924A1">
          <w:pPr>
            <w:jc w:val="center"/>
            <w:rPr>
              <w:rFonts w:ascii="Arial" w:hAnsi="Arial" w:cs="Arial"/>
              <w:sz w:val="15"/>
              <w:szCs w:val="15"/>
              <w:lang w:eastAsia="es-AR"/>
            </w:rPr>
          </w:pPr>
          <w:r>
            <w:rPr>
              <w:rFonts w:ascii="Arial" w:hAnsi="Arial" w:cs="Arial"/>
              <w:sz w:val="15"/>
              <w:szCs w:val="15"/>
              <w:lang w:eastAsia="es-AR"/>
            </w:rPr>
            <w:t>Mariano Andrés Biglia</w:t>
          </w:r>
        </w:p>
      </w:tc>
      <w:tc>
        <w:tcPr>
          <w:tcW w:w="504" w:type="pct"/>
          <w:tcBorders>
            <w:top w:val="nil"/>
            <w:left w:val="nil"/>
            <w:bottom w:val="nil"/>
            <w:right w:val="nil"/>
          </w:tcBorders>
          <w:shd w:val="clear" w:color="auto" w:fill="auto"/>
          <w:noWrap/>
          <w:vAlign w:val="bottom"/>
        </w:tcPr>
        <w:p w14:paraId="409DE077"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03B905B5" w14:textId="7E91EB16" w:rsidR="001967BC" w:rsidRPr="00DA23BA" w:rsidRDefault="001967BC" w:rsidP="000924A1">
          <w:pPr>
            <w:jc w:val="center"/>
            <w:rPr>
              <w:rFonts w:ascii="Arial" w:hAnsi="Arial" w:cs="Arial"/>
              <w:sz w:val="15"/>
              <w:szCs w:val="15"/>
              <w:lang w:eastAsia="es-AR"/>
            </w:rPr>
          </w:pPr>
          <w:r>
            <w:rPr>
              <w:rFonts w:ascii="Arial" w:hAnsi="Arial" w:cs="Arial"/>
              <w:sz w:val="15"/>
              <w:szCs w:val="15"/>
            </w:rPr>
            <w:t>Jorge Oscar Ramírez</w:t>
          </w:r>
        </w:p>
      </w:tc>
      <w:tc>
        <w:tcPr>
          <w:tcW w:w="305" w:type="pct"/>
          <w:tcBorders>
            <w:top w:val="nil"/>
            <w:left w:val="nil"/>
            <w:bottom w:val="nil"/>
            <w:right w:val="nil"/>
          </w:tcBorders>
          <w:shd w:val="clear" w:color="auto" w:fill="auto"/>
          <w:noWrap/>
          <w:vAlign w:val="bottom"/>
        </w:tcPr>
        <w:p w14:paraId="6C1CA760"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224DF7AD" w14:textId="2CE92725" w:rsidR="001967BC" w:rsidRPr="00DA23BA" w:rsidRDefault="001967BC" w:rsidP="000924A1">
          <w:pPr>
            <w:ind w:left="210" w:hanging="210"/>
            <w:jc w:val="center"/>
            <w:rPr>
              <w:rFonts w:ascii="Arial" w:hAnsi="Arial" w:cs="Arial"/>
              <w:sz w:val="15"/>
              <w:szCs w:val="15"/>
              <w:lang w:eastAsia="es-AR"/>
            </w:rPr>
          </w:pPr>
          <w:r w:rsidRPr="000924A1">
            <w:rPr>
              <w:rFonts w:ascii="Arial" w:hAnsi="Arial" w:cs="Arial"/>
              <w:sz w:val="15"/>
              <w:szCs w:val="15"/>
            </w:rPr>
            <w:t>Atilio María Dell Oro Maini</w:t>
          </w:r>
        </w:p>
      </w:tc>
      <w:tc>
        <w:tcPr>
          <w:tcW w:w="326" w:type="pct"/>
          <w:tcBorders>
            <w:top w:val="nil"/>
            <w:left w:val="nil"/>
            <w:bottom w:val="nil"/>
            <w:right w:val="nil"/>
          </w:tcBorders>
          <w:shd w:val="clear" w:color="auto" w:fill="auto"/>
          <w:noWrap/>
          <w:vAlign w:val="bottom"/>
        </w:tcPr>
        <w:p w14:paraId="24236D9C" w14:textId="77777777" w:rsidR="001967BC" w:rsidRPr="00DA23BA" w:rsidRDefault="001967BC" w:rsidP="000924A1">
          <w:pPr>
            <w:jc w:val="center"/>
            <w:rPr>
              <w:rFonts w:ascii="Arial" w:hAnsi="Arial" w:cs="Arial"/>
              <w:color w:val="000000"/>
              <w:sz w:val="15"/>
              <w:szCs w:val="15"/>
              <w:lang w:eastAsia="es-AR"/>
            </w:rPr>
          </w:pPr>
        </w:p>
      </w:tc>
    </w:tr>
    <w:tr w:rsidR="001967BC" w:rsidRPr="00DA23BA" w14:paraId="4B218533" w14:textId="77777777" w:rsidTr="000924A1">
      <w:trPr>
        <w:trHeight w:val="180"/>
      </w:trPr>
      <w:tc>
        <w:tcPr>
          <w:tcW w:w="1411" w:type="pct"/>
          <w:tcBorders>
            <w:top w:val="nil"/>
            <w:left w:val="nil"/>
            <w:bottom w:val="nil"/>
            <w:right w:val="nil"/>
          </w:tcBorders>
          <w:shd w:val="clear" w:color="auto" w:fill="auto"/>
          <w:noWrap/>
          <w:vAlign w:val="bottom"/>
        </w:tcPr>
        <w:p w14:paraId="2D0D755D"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Responsable del Área Contable</w:t>
          </w:r>
        </w:p>
      </w:tc>
      <w:tc>
        <w:tcPr>
          <w:tcW w:w="504" w:type="pct"/>
          <w:tcBorders>
            <w:top w:val="nil"/>
            <w:left w:val="nil"/>
            <w:bottom w:val="nil"/>
            <w:right w:val="nil"/>
          </w:tcBorders>
          <w:shd w:val="clear" w:color="auto" w:fill="auto"/>
          <w:noWrap/>
          <w:vAlign w:val="bottom"/>
        </w:tcPr>
        <w:p w14:paraId="785C4DC5"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0820685E" w14:textId="3EF4AFFE"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Gerente General</w:t>
          </w:r>
        </w:p>
      </w:tc>
      <w:tc>
        <w:tcPr>
          <w:tcW w:w="305" w:type="pct"/>
          <w:tcBorders>
            <w:top w:val="nil"/>
            <w:left w:val="nil"/>
            <w:bottom w:val="nil"/>
            <w:right w:val="nil"/>
          </w:tcBorders>
          <w:shd w:val="clear" w:color="auto" w:fill="auto"/>
          <w:noWrap/>
          <w:vAlign w:val="bottom"/>
        </w:tcPr>
        <w:p w14:paraId="5E50A3E8"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6ACD93E" w14:textId="77777777" w:rsidR="001967BC" w:rsidRPr="00DA23BA" w:rsidRDefault="001967BC" w:rsidP="000924A1">
          <w:pPr>
            <w:ind w:left="210" w:hanging="210"/>
            <w:jc w:val="center"/>
            <w:rPr>
              <w:rFonts w:ascii="Arial" w:hAnsi="Arial" w:cs="Arial"/>
              <w:sz w:val="15"/>
              <w:szCs w:val="15"/>
              <w:lang w:eastAsia="es-AR"/>
            </w:rPr>
          </w:pPr>
          <w:r>
            <w:rPr>
              <w:rFonts w:ascii="Arial" w:hAnsi="Arial" w:cs="Arial"/>
              <w:sz w:val="15"/>
              <w:szCs w:val="15"/>
              <w:lang w:eastAsia="es-AR"/>
            </w:rPr>
            <w:t>Vicep</w:t>
          </w:r>
          <w:r w:rsidRPr="00DA23BA">
            <w:rPr>
              <w:rFonts w:ascii="Arial" w:hAnsi="Arial" w:cs="Arial"/>
              <w:sz w:val="15"/>
              <w:szCs w:val="15"/>
              <w:lang w:eastAsia="es-AR"/>
            </w:rPr>
            <w:t>residente</w:t>
          </w:r>
        </w:p>
      </w:tc>
      <w:tc>
        <w:tcPr>
          <w:tcW w:w="326" w:type="pct"/>
          <w:tcBorders>
            <w:top w:val="nil"/>
            <w:left w:val="nil"/>
            <w:bottom w:val="nil"/>
            <w:right w:val="nil"/>
          </w:tcBorders>
          <w:shd w:val="clear" w:color="auto" w:fill="auto"/>
          <w:noWrap/>
          <w:vAlign w:val="bottom"/>
        </w:tcPr>
        <w:p w14:paraId="4016F0D2" w14:textId="77777777" w:rsidR="001967BC" w:rsidRPr="00DA23BA" w:rsidRDefault="001967BC" w:rsidP="000924A1">
          <w:pPr>
            <w:jc w:val="center"/>
            <w:rPr>
              <w:rFonts w:ascii="Arial" w:hAnsi="Arial" w:cs="Arial"/>
              <w:color w:val="000000"/>
              <w:sz w:val="15"/>
              <w:szCs w:val="15"/>
              <w:lang w:eastAsia="es-AR"/>
            </w:rPr>
          </w:pPr>
        </w:p>
      </w:tc>
    </w:tr>
    <w:tr w:rsidR="001967BC" w:rsidRPr="00DA23BA" w14:paraId="3D270B3D" w14:textId="77777777" w:rsidTr="000924A1">
      <w:trPr>
        <w:trHeight w:val="180"/>
      </w:trPr>
      <w:tc>
        <w:tcPr>
          <w:tcW w:w="1411" w:type="pct"/>
          <w:tcBorders>
            <w:top w:val="nil"/>
            <w:left w:val="nil"/>
            <w:bottom w:val="nil"/>
            <w:right w:val="nil"/>
          </w:tcBorders>
          <w:shd w:val="clear" w:color="auto" w:fill="auto"/>
          <w:noWrap/>
          <w:vAlign w:val="bottom"/>
        </w:tcPr>
        <w:p w14:paraId="5FFFD85B" w14:textId="77777777" w:rsidR="001967BC" w:rsidRPr="00DA23BA" w:rsidRDefault="001967BC"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751C0B4C"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FEA668F" w14:textId="77777777" w:rsidR="001967BC" w:rsidRPr="00DA23BA" w:rsidRDefault="001967BC"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E6D50D7"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2C34096" w14:textId="77777777" w:rsidR="001967BC" w:rsidRPr="00DA23BA" w:rsidRDefault="001967BC" w:rsidP="000924A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791BDB1" w14:textId="77777777" w:rsidR="001967BC" w:rsidRPr="00DA23BA" w:rsidRDefault="001967BC" w:rsidP="000924A1">
          <w:pPr>
            <w:jc w:val="center"/>
            <w:rPr>
              <w:rFonts w:ascii="Arial" w:hAnsi="Arial" w:cs="Arial"/>
              <w:sz w:val="15"/>
              <w:szCs w:val="15"/>
              <w:lang w:eastAsia="es-AR"/>
            </w:rPr>
          </w:pPr>
        </w:p>
      </w:tc>
    </w:tr>
    <w:tr w:rsidR="001967BC" w:rsidRPr="00707D83" w14:paraId="75ACF347" w14:textId="77777777" w:rsidTr="000924A1">
      <w:trPr>
        <w:trHeight w:val="180"/>
      </w:trPr>
      <w:tc>
        <w:tcPr>
          <w:tcW w:w="1411" w:type="pct"/>
          <w:tcBorders>
            <w:top w:val="nil"/>
            <w:left w:val="nil"/>
            <w:bottom w:val="nil"/>
            <w:right w:val="nil"/>
          </w:tcBorders>
          <w:shd w:val="clear" w:color="auto" w:fill="auto"/>
          <w:noWrap/>
          <w:vAlign w:val="bottom"/>
        </w:tcPr>
        <w:p w14:paraId="1DE6F822"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504" w:type="pct"/>
          <w:tcBorders>
            <w:top w:val="nil"/>
            <w:left w:val="nil"/>
            <w:bottom w:val="nil"/>
            <w:right w:val="nil"/>
          </w:tcBorders>
          <w:shd w:val="clear" w:color="auto" w:fill="auto"/>
          <w:noWrap/>
          <w:vAlign w:val="bottom"/>
        </w:tcPr>
        <w:p w14:paraId="40C9E314"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1C194EFC" w14:textId="77777777" w:rsidR="001967BC" w:rsidRPr="00DA23BA" w:rsidRDefault="001967BC"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11F7CF6C"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6ADD2CB6" w14:textId="77777777" w:rsidR="001967BC" w:rsidRPr="00DA23BA" w:rsidRDefault="001967BC" w:rsidP="000924A1">
          <w:pPr>
            <w:ind w:left="210" w:hanging="210"/>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326" w:type="pct"/>
          <w:tcBorders>
            <w:top w:val="nil"/>
            <w:left w:val="nil"/>
            <w:bottom w:val="nil"/>
            <w:right w:val="nil"/>
          </w:tcBorders>
          <w:shd w:val="clear" w:color="auto" w:fill="auto"/>
          <w:noWrap/>
          <w:vAlign w:val="bottom"/>
        </w:tcPr>
        <w:p w14:paraId="42093116" w14:textId="77777777" w:rsidR="001967BC" w:rsidRPr="00DA23BA" w:rsidRDefault="001967BC" w:rsidP="000924A1">
          <w:pPr>
            <w:jc w:val="center"/>
            <w:rPr>
              <w:rFonts w:ascii="Arial" w:hAnsi="Arial" w:cs="Arial"/>
              <w:color w:val="000000"/>
              <w:sz w:val="15"/>
              <w:szCs w:val="15"/>
              <w:lang w:eastAsia="es-AR"/>
            </w:rPr>
          </w:pPr>
        </w:p>
      </w:tc>
    </w:tr>
    <w:tr w:rsidR="001967BC" w:rsidRPr="00DA23BA" w14:paraId="18344B4F" w14:textId="77777777" w:rsidTr="000924A1">
      <w:trPr>
        <w:trHeight w:val="180"/>
      </w:trPr>
      <w:tc>
        <w:tcPr>
          <w:tcW w:w="1411" w:type="pct"/>
          <w:tcBorders>
            <w:top w:val="nil"/>
            <w:left w:val="nil"/>
            <w:bottom w:val="nil"/>
            <w:right w:val="nil"/>
          </w:tcBorders>
          <w:shd w:val="clear" w:color="auto" w:fill="auto"/>
          <w:noWrap/>
          <w:vAlign w:val="bottom"/>
        </w:tcPr>
        <w:p w14:paraId="06FDE647" w14:textId="001CE50F" w:rsidR="001967BC" w:rsidRPr="00DA23BA" w:rsidRDefault="001967BC" w:rsidP="00843797">
          <w:pPr>
            <w:jc w:val="center"/>
            <w:rPr>
              <w:rFonts w:ascii="Arial" w:hAnsi="Arial" w:cs="Arial"/>
              <w:sz w:val="15"/>
              <w:szCs w:val="15"/>
              <w:lang w:eastAsia="es-AR"/>
            </w:rPr>
          </w:pPr>
          <w:r>
            <w:rPr>
              <w:rFonts w:ascii="Arial" w:hAnsi="Arial" w:cs="Arial"/>
              <w:sz w:val="15"/>
              <w:szCs w:val="15"/>
              <w:lang w:eastAsia="es-AR"/>
            </w:rPr>
            <w:t>28 de mayo de 2020</w:t>
          </w:r>
        </w:p>
      </w:tc>
      <w:tc>
        <w:tcPr>
          <w:tcW w:w="504" w:type="pct"/>
          <w:tcBorders>
            <w:top w:val="nil"/>
            <w:left w:val="nil"/>
            <w:bottom w:val="nil"/>
            <w:right w:val="nil"/>
          </w:tcBorders>
          <w:shd w:val="clear" w:color="auto" w:fill="auto"/>
          <w:noWrap/>
          <w:vAlign w:val="bottom"/>
        </w:tcPr>
        <w:p w14:paraId="5577F275"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759D42F9" w14:textId="77777777" w:rsidR="001967BC" w:rsidRPr="00DA23BA" w:rsidRDefault="001967BC"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2D1F4DCF"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24F8C1B6" w14:textId="52BD1C0A" w:rsidR="001967BC" w:rsidRPr="00DA23BA" w:rsidRDefault="001967BC" w:rsidP="00843797">
          <w:pPr>
            <w:ind w:left="210" w:hanging="210"/>
            <w:jc w:val="center"/>
            <w:rPr>
              <w:rFonts w:ascii="Arial" w:hAnsi="Arial" w:cs="Arial"/>
              <w:sz w:val="15"/>
              <w:szCs w:val="15"/>
              <w:lang w:eastAsia="es-AR"/>
            </w:rPr>
          </w:pPr>
          <w:r>
            <w:rPr>
              <w:rFonts w:ascii="Arial" w:hAnsi="Arial" w:cs="Arial"/>
              <w:sz w:val="15"/>
              <w:szCs w:val="15"/>
              <w:lang w:eastAsia="es-AR"/>
            </w:rPr>
            <w:t>28 de mayo de 2020</w:t>
          </w:r>
        </w:p>
      </w:tc>
      <w:tc>
        <w:tcPr>
          <w:tcW w:w="326" w:type="pct"/>
          <w:tcBorders>
            <w:top w:val="nil"/>
            <w:left w:val="nil"/>
            <w:bottom w:val="nil"/>
            <w:right w:val="nil"/>
          </w:tcBorders>
          <w:shd w:val="clear" w:color="auto" w:fill="auto"/>
          <w:noWrap/>
          <w:vAlign w:val="bottom"/>
        </w:tcPr>
        <w:p w14:paraId="762C2FD7" w14:textId="77777777" w:rsidR="001967BC" w:rsidRPr="00DA23BA" w:rsidRDefault="001967BC" w:rsidP="000924A1">
          <w:pPr>
            <w:jc w:val="center"/>
            <w:rPr>
              <w:rFonts w:ascii="Arial" w:hAnsi="Arial" w:cs="Arial"/>
              <w:color w:val="000000"/>
              <w:sz w:val="15"/>
              <w:szCs w:val="15"/>
              <w:lang w:eastAsia="es-AR"/>
            </w:rPr>
          </w:pPr>
        </w:p>
      </w:tc>
    </w:tr>
    <w:tr w:rsidR="001967BC" w:rsidRPr="001967BC" w14:paraId="430C7C31" w14:textId="77777777" w:rsidTr="000924A1">
      <w:trPr>
        <w:trHeight w:val="180"/>
      </w:trPr>
      <w:tc>
        <w:tcPr>
          <w:tcW w:w="1411" w:type="pct"/>
          <w:tcBorders>
            <w:top w:val="nil"/>
            <w:left w:val="nil"/>
            <w:bottom w:val="nil"/>
            <w:right w:val="nil"/>
          </w:tcBorders>
          <w:shd w:val="clear" w:color="auto" w:fill="auto"/>
          <w:noWrap/>
          <w:vAlign w:val="center"/>
        </w:tcPr>
        <w:p w14:paraId="2939E773"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Por Comisión Fiscalizadora</w:t>
          </w:r>
        </w:p>
      </w:tc>
      <w:tc>
        <w:tcPr>
          <w:tcW w:w="504" w:type="pct"/>
          <w:tcBorders>
            <w:top w:val="nil"/>
            <w:left w:val="nil"/>
            <w:bottom w:val="nil"/>
            <w:right w:val="nil"/>
          </w:tcBorders>
          <w:shd w:val="clear" w:color="auto" w:fill="auto"/>
          <w:noWrap/>
          <w:vAlign w:val="bottom"/>
        </w:tcPr>
        <w:p w14:paraId="2D70E0C6"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5E6BD608" w14:textId="77777777" w:rsidR="001967BC" w:rsidRPr="00DA23BA" w:rsidRDefault="001967BC"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9FEE365"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2668882" w14:textId="77777777" w:rsidR="001967BC" w:rsidRPr="00DA23BA" w:rsidRDefault="001967BC" w:rsidP="000924A1">
          <w:pPr>
            <w:ind w:left="210" w:hanging="210"/>
            <w:jc w:val="center"/>
            <w:rPr>
              <w:rFonts w:ascii="Arial" w:hAnsi="Arial" w:cs="Arial"/>
              <w:sz w:val="15"/>
              <w:szCs w:val="15"/>
              <w:lang w:val="en-US" w:eastAsia="es-AR"/>
            </w:rPr>
          </w:pPr>
          <w:r w:rsidRPr="00DA23BA">
            <w:rPr>
              <w:rFonts w:ascii="Arial" w:hAnsi="Arial" w:cs="Arial"/>
              <w:sz w:val="15"/>
              <w:szCs w:val="15"/>
              <w:lang w:val="en-US" w:eastAsia="es-AR"/>
            </w:rPr>
            <w:t>PRICE WATERHOUSE &amp; CO. S.R.L.</w:t>
          </w:r>
        </w:p>
      </w:tc>
      <w:tc>
        <w:tcPr>
          <w:tcW w:w="326" w:type="pct"/>
          <w:tcBorders>
            <w:top w:val="nil"/>
            <w:left w:val="nil"/>
            <w:bottom w:val="nil"/>
            <w:right w:val="nil"/>
          </w:tcBorders>
          <w:shd w:val="clear" w:color="auto" w:fill="auto"/>
          <w:noWrap/>
          <w:vAlign w:val="bottom"/>
        </w:tcPr>
        <w:p w14:paraId="628FD5DD" w14:textId="77777777" w:rsidR="001967BC" w:rsidRPr="00DA23BA" w:rsidRDefault="001967BC" w:rsidP="000924A1">
          <w:pPr>
            <w:jc w:val="center"/>
            <w:rPr>
              <w:rFonts w:ascii="Arial" w:hAnsi="Arial" w:cs="Arial"/>
              <w:color w:val="000000"/>
              <w:sz w:val="15"/>
              <w:szCs w:val="15"/>
              <w:lang w:val="en-US" w:eastAsia="es-AR"/>
            </w:rPr>
          </w:pPr>
        </w:p>
      </w:tc>
    </w:tr>
    <w:tr w:rsidR="001967BC" w:rsidRPr="001967BC" w14:paraId="121C7D0C" w14:textId="77777777" w:rsidTr="000924A1">
      <w:trPr>
        <w:trHeight w:val="180"/>
      </w:trPr>
      <w:tc>
        <w:tcPr>
          <w:tcW w:w="1411" w:type="pct"/>
          <w:tcBorders>
            <w:top w:val="nil"/>
            <w:left w:val="nil"/>
            <w:bottom w:val="nil"/>
            <w:right w:val="nil"/>
          </w:tcBorders>
          <w:shd w:val="clear" w:color="auto" w:fill="auto"/>
          <w:noWrap/>
          <w:vAlign w:val="bottom"/>
        </w:tcPr>
        <w:p w14:paraId="510535C6" w14:textId="77777777" w:rsidR="001967BC" w:rsidRPr="00DA23BA" w:rsidRDefault="001967BC"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4FECBBD4" w14:textId="77777777" w:rsidR="001967BC" w:rsidRPr="008A6403" w:rsidRDefault="001967BC"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47EE981F" w14:textId="77777777" w:rsidR="001967BC" w:rsidRPr="008A6403" w:rsidRDefault="001967BC"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274EAA84" w14:textId="77777777" w:rsidR="001967BC" w:rsidRPr="008A6403" w:rsidRDefault="001967BC"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0FF047D9" w14:textId="77777777" w:rsidR="001967BC" w:rsidRPr="00DA23BA" w:rsidRDefault="001967BC" w:rsidP="000924A1">
          <w:pPr>
            <w:ind w:left="352" w:hanging="352"/>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100104A9" w14:textId="77777777" w:rsidR="001967BC" w:rsidRPr="00DA23BA" w:rsidRDefault="001967BC" w:rsidP="000924A1">
          <w:pPr>
            <w:jc w:val="center"/>
            <w:rPr>
              <w:rFonts w:ascii="Arial" w:hAnsi="Arial" w:cs="Arial"/>
              <w:color w:val="000000"/>
              <w:sz w:val="15"/>
              <w:szCs w:val="15"/>
              <w:lang w:val="en-US" w:eastAsia="es-AR"/>
            </w:rPr>
          </w:pPr>
        </w:p>
      </w:tc>
    </w:tr>
    <w:tr w:rsidR="001967BC" w:rsidRPr="001967BC" w14:paraId="4777A978" w14:textId="77777777" w:rsidTr="000924A1">
      <w:trPr>
        <w:trHeight w:val="180"/>
      </w:trPr>
      <w:tc>
        <w:tcPr>
          <w:tcW w:w="1411" w:type="pct"/>
          <w:tcBorders>
            <w:top w:val="nil"/>
            <w:left w:val="nil"/>
            <w:bottom w:val="nil"/>
            <w:right w:val="nil"/>
          </w:tcBorders>
          <w:shd w:val="clear" w:color="auto" w:fill="auto"/>
          <w:noWrap/>
          <w:vAlign w:val="bottom"/>
        </w:tcPr>
        <w:p w14:paraId="69F5EAEE" w14:textId="77777777" w:rsidR="001967BC" w:rsidRPr="00DA23BA" w:rsidRDefault="001967BC"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1A42A7CC" w14:textId="77777777" w:rsidR="001967BC" w:rsidRPr="008A6403" w:rsidRDefault="001967BC"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0A2BEFD7" w14:textId="77777777" w:rsidR="001967BC" w:rsidRPr="008A6403" w:rsidRDefault="001967BC"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529CBD75" w14:textId="77777777" w:rsidR="001967BC" w:rsidRPr="008A6403" w:rsidRDefault="001967BC"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621D0DBD" w14:textId="77777777" w:rsidR="001967BC" w:rsidRPr="00DA23BA" w:rsidRDefault="001967BC" w:rsidP="000924A1">
          <w:pPr>
            <w:ind w:left="498" w:hanging="498"/>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0FA4FC81" w14:textId="77777777" w:rsidR="001967BC" w:rsidRPr="00DA23BA" w:rsidRDefault="001967BC" w:rsidP="000924A1">
          <w:pPr>
            <w:jc w:val="center"/>
            <w:rPr>
              <w:rFonts w:ascii="Arial" w:hAnsi="Arial" w:cs="Arial"/>
              <w:color w:val="000000"/>
              <w:sz w:val="15"/>
              <w:szCs w:val="15"/>
              <w:lang w:val="en-US" w:eastAsia="es-AR"/>
            </w:rPr>
          </w:pPr>
        </w:p>
      </w:tc>
    </w:tr>
    <w:tr w:rsidR="001967BC" w:rsidRPr="00DA23BA" w14:paraId="674AADDC" w14:textId="77777777" w:rsidTr="000924A1">
      <w:trPr>
        <w:trHeight w:val="180"/>
      </w:trPr>
      <w:tc>
        <w:tcPr>
          <w:tcW w:w="1411" w:type="pct"/>
          <w:tcBorders>
            <w:top w:val="nil"/>
            <w:left w:val="nil"/>
            <w:bottom w:val="nil"/>
            <w:right w:val="nil"/>
          </w:tcBorders>
          <w:shd w:val="clear" w:color="auto" w:fill="auto"/>
          <w:noWrap/>
          <w:vAlign w:val="bottom"/>
        </w:tcPr>
        <w:p w14:paraId="54AD3ACE" w14:textId="77777777" w:rsidR="001967BC" w:rsidRPr="00DA23BA" w:rsidRDefault="001967BC"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14B5E55A" w14:textId="77777777" w:rsidR="001967BC" w:rsidRPr="00DA23BA" w:rsidRDefault="001967BC"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212C727B" w14:textId="77777777" w:rsidR="001967BC" w:rsidRPr="00DA23BA" w:rsidRDefault="001967BC"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4130A8C8" w14:textId="77777777" w:rsidR="001967BC" w:rsidRPr="00DA23BA" w:rsidRDefault="001967BC"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02C7E12B" w14:textId="77777777" w:rsidR="001967BC" w:rsidRPr="00DA23BA" w:rsidRDefault="001967BC" w:rsidP="000924A1">
          <w:pPr>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4915E04C"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(Socio)</w:t>
          </w:r>
        </w:p>
      </w:tc>
    </w:tr>
    <w:tr w:rsidR="001967BC" w:rsidRPr="00000EDD" w14:paraId="4E70F26B" w14:textId="77777777" w:rsidTr="000924A1">
      <w:trPr>
        <w:trHeight w:val="180"/>
      </w:trPr>
      <w:tc>
        <w:tcPr>
          <w:tcW w:w="1411" w:type="pct"/>
          <w:tcBorders>
            <w:top w:val="nil"/>
            <w:left w:val="nil"/>
            <w:bottom w:val="nil"/>
            <w:right w:val="nil"/>
          </w:tcBorders>
          <w:shd w:val="clear" w:color="auto" w:fill="auto"/>
          <w:noWrap/>
          <w:vAlign w:val="bottom"/>
        </w:tcPr>
        <w:p w14:paraId="36FCB121"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Enrique José Barreiro</w:t>
          </w:r>
        </w:p>
      </w:tc>
      <w:tc>
        <w:tcPr>
          <w:tcW w:w="504" w:type="pct"/>
          <w:tcBorders>
            <w:top w:val="nil"/>
            <w:left w:val="nil"/>
            <w:bottom w:val="nil"/>
            <w:right w:val="nil"/>
          </w:tcBorders>
          <w:shd w:val="clear" w:color="auto" w:fill="auto"/>
          <w:noWrap/>
          <w:vAlign w:val="bottom"/>
        </w:tcPr>
        <w:p w14:paraId="17242186" w14:textId="77777777" w:rsidR="001967BC" w:rsidRPr="00DA23BA" w:rsidRDefault="001967BC"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6026BFAF" w14:textId="77777777" w:rsidR="001967BC" w:rsidRPr="00DA23BA" w:rsidRDefault="001967BC"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49948AA5" w14:textId="77777777" w:rsidR="001967BC" w:rsidRPr="00DA23BA" w:rsidRDefault="001967BC"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6297AF43" w14:textId="77777777" w:rsidR="001967BC" w:rsidRPr="00000EDD" w:rsidRDefault="001967BC" w:rsidP="000924A1">
          <w:pPr>
            <w:jc w:val="center"/>
            <w:rPr>
              <w:rFonts w:ascii="Arial" w:hAnsi="Arial" w:cs="Arial"/>
              <w:color w:val="FF0000"/>
              <w:sz w:val="15"/>
              <w:szCs w:val="15"/>
              <w:lang w:val="en-US" w:eastAsia="es-AR"/>
            </w:rPr>
          </w:pPr>
        </w:p>
      </w:tc>
      <w:tc>
        <w:tcPr>
          <w:tcW w:w="326" w:type="pct"/>
          <w:tcBorders>
            <w:top w:val="nil"/>
            <w:left w:val="nil"/>
            <w:bottom w:val="nil"/>
            <w:right w:val="nil"/>
          </w:tcBorders>
          <w:shd w:val="clear" w:color="auto" w:fill="auto"/>
          <w:noWrap/>
          <w:vAlign w:val="bottom"/>
        </w:tcPr>
        <w:p w14:paraId="702B7694" w14:textId="77777777" w:rsidR="001967BC" w:rsidRPr="00000EDD" w:rsidRDefault="001967BC" w:rsidP="000924A1">
          <w:pPr>
            <w:jc w:val="center"/>
            <w:rPr>
              <w:rFonts w:ascii="Arial" w:hAnsi="Arial" w:cs="Arial"/>
              <w:color w:val="FF0000"/>
              <w:sz w:val="15"/>
              <w:szCs w:val="15"/>
              <w:lang w:val="en-US" w:eastAsia="es-AR"/>
            </w:rPr>
          </w:pPr>
        </w:p>
      </w:tc>
    </w:tr>
    <w:tr w:rsidR="001967BC" w:rsidRPr="00000EDD" w14:paraId="5A2FDA47" w14:textId="77777777" w:rsidTr="000924A1">
      <w:trPr>
        <w:trHeight w:val="180"/>
      </w:trPr>
      <w:tc>
        <w:tcPr>
          <w:tcW w:w="1411" w:type="pct"/>
          <w:tcBorders>
            <w:top w:val="nil"/>
            <w:left w:val="nil"/>
            <w:bottom w:val="nil"/>
            <w:right w:val="nil"/>
          </w:tcBorders>
          <w:shd w:val="clear" w:color="auto" w:fill="auto"/>
          <w:noWrap/>
          <w:vAlign w:val="bottom"/>
        </w:tcPr>
        <w:p w14:paraId="5E10C704"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Síndico</w:t>
          </w:r>
        </w:p>
      </w:tc>
      <w:tc>
        <w:tcPr>
          <w:tcW w:w="504" w:type="pct"/>
          <w:tcBorders>
            <w:top w:val="nil"/>
            <w:left w:val="nil"/>
            <w:bottom w:val="nil"/>
            <w:right w:val="nil"/>
          </w:tcBorders>
          <w:shd w:val="clear" w:color="auto" w:fill="auto"/>
          <w:noWrap/>
          <w:vAlign w:val="bottom"/>
        </w:tcPr>
        <w:p w14:paraId="44AFBD9E" w14:textId="77777777" w:rsidR="001967BC" w:rsidRPr="00DA23BA" w:rsidRDefault="001967BC"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250A3615" w14:textId="77777777" w:rsidR="001967BC" w:rsidRPr="00DA23BA" w:rsidRDefault="001967BC"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13C99BBF" w14:textId="77777777" w:rsidR="001967BC" w:rsidRPr="00DA23BA" w:rsidRDefault="001967BC"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3868B93E" w14:textId="25B698D6" w:rsidR="001967BC" w:rsidRPr="002530BD" w:rsidRDefault="001967BC" w:rsidP="000924A1">
          <w:pPr>
            <w:jc w:val="center"/>
            <w:rPr>
              <w:rFonts w:ascii="Arial" w:hAnsi="Arial" w:cs="Arial"/>
              <w:sz w:val="15"/>
              <w:szCs w:val="15"/>
              <w:lang w:eastAsia="es-AR"/>
            </w:rPr>
          </w:pPr>
          <w:r>
            <w:rPr>
              <w:rFonts w:ascii="Arial" w:hAnsi="Arial" w:cs="Arial"/>
              <w:sz w:val="15"/>
              <w:szCs w:val="15"/>
              <w:lang w:val="en-US" w:eastAsia="es-AR"/>
            </w:rPr>
            <w:t>Santiago Jose Mignone</w:t>
          </w:r>
        </w:p>
      </w:tc>
      <w:tc>
        <w:tcPr>
          <w:tcW w:w="326" w:type="pct"/>
          <w:tcBorders>
            <w:top w:val="nil"/>
            <w:left w:val="nil"/>
            <w:bottom w:val="nil"/>
            <w:right w:val="nil"/>
          </w:tcBorders>
          <w:shd w:val="clear" w:color="auto" w:fill="auto"/>
          <w:noWrap/>
          <w:vAlign w:val="bottom"/>
        </w:tcPr>
        <w:p w14:paraId="2497449C" w14:textId="77777777" w:rsidR="001967BC" w:rsidRPr="00000EDD" w:rsidRDefault="001967BC" w:rsidP="000924A1">
          <w:pPr>
            <w:jc w:val="center"/>
            <w:rPr>
              <w:rFonts w:ascii="Arial" w:hAnsi="Arial" w:cs="Arial"/>
              <w:color w:val="FF0000"/>
              <w:sz w:val="15"/>
              <w:szCs w:val="15"/>
              <w:lang w:eastAsia="es-AR"/>
            </w:rPr>
          </w:pPr>
        </w:p>
      </w:tc>
    </w:tr>
    <w:tr w:rsidR="001967BC" w:rsidRPr="00707D83" w14:paraId="2311A149" w14:textId="77777777" w:rsidTr="000924A1">
      <w:trPr>
        <w:trHeight w:val="180"/>
      </w:trPr>
      <w:tc>
        <w:tcPr>
          <w:tcW w:w="1411" w:type="pct"/>
          <w:tcBorders>
            <w:top w:val="nil"/>
            <w:left w:val="nil"/>
            <w:bottom w:val="nil"/>
            <w:right w:val="nil"/>
          </w:tcBorders>
          <w:shd w:val="clear" w:color="auto" w:fill="auto"/>
          <w:noWrap/>
          <w:vAlign w:val="bottom"/>
        </w:tcPr>
        <w:p w14:paraId="78D5CC2D"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Contador Público (U.N.L.Z)</w:t>
          </w:r>
        </w:p>
      </w:tc>
      <w:tc>
        <w:tcPr>
          <w:tcW w:w="504" w:type="pct"/>
          <w:tcBorders>
            <w:top w:val="nil"/>
            <w:left w:val="nil"/>
            <w:bottom w:val="nil"/>
            <w:right w:val="nil"/>
          </w:tcBorders>
          <w:shd w:val="clear" w:color="auto" w:fill="auto"/>
          <w:noWrap/>
          <w:vAlign w:val="bottom"/>
        </w:tcPr>
        <w:p w14:paraId="3D06DA40"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AEFA57D" w14:textId="77777777" w:rsidR="001967BC" w:rsidRPr="00DA23BA" w:rsidRDefault="001967BC"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6AC76E3"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0159D170" w14:textId="69120B74" w:rsidR="001967BC" w:rsidRPr="002530BD" w:rsidRDefault="001967BC">
          <w:pPr>
            <w:jc w:val="center"/>
            <w:rPr>
              <w:rFonts w:ascii="Arial" w:hAnsi="Arial" w:cs="Arial"/>
              <w:sz w:val="15"/>
              <w:szCs w:val="15"/>
              <w:lang w:eastAsia="es-AR"/>
            </w:rPr>
          </w:pPr>
          <w:r w:rsidRPr="00C9122B">
            <w:rPr>
              <w:rFonts w:ascii="Arial" w:hAnsi="Arial" w:cs="Arial"/>
              <w:sz w:val="15"/>
              <w:szCs w:val="15"/>
              <w:lang w:eastAsia="es-AR"/>
            </w:rPr>
            <w:t>Contador Público (</w:t>
          </w:r>
          <w:r>
            <w:rPr>
              <w:rFonts w:ascii="Arial" w:hAnsi="Arial" w:cs="Arial"/>
              <w:sz w:val="15"/>
              <w:szCs w:val="15"/>
              <w:lang w:eastAsia="es-AR"/>
            </w:rPr>
            <w:t>U.B.A.</w:t>
          </w:r>
          <w:r w:rsidRPr="00C9122B">
            <w:rPr>
              <w:rFonts w:ascii="Arial" w:hAnsi="Arial" w:cs="Arial"/>
              <w:sz w:val="15"/>
              <w:szCs w:val="15"/>
              <w:lang w:eastAsia="es-AR"/>
            </w:rPr>
            <w:t>)</w:t>
          </w:r>
        </w:p>
      </w:tc>
      <w:tc>
        <w:tcPr>
          <w:tcW w:w="326" w:type="pct"/>
          <w:tcBorders>
            <w:top w:val="nil"/>
            <w:left w:val="nil"/>
            <w:bottom w:val="nil"/>
            <w:right w:val="nil"/>
          </w:tcBorders>
          <w:shd w:val="clear" w:color="auto" w:fill="auto"/>
          <w:noWrap/>
          <w:vAlign w:val="bottom"/>
        </w:tcPr>
        <w:p w14:paraId="6DC46989" w14:textId="77777777" w:rsidR="001967BC" w:rsidRPr="00000EDD" w:rsidRDefault="001967BC" w:rsidP="000924A1">
          <w:pPr>
            <w:jc w:val="center"/>
            <w:rPr>
              <w:rFonts w:ascii="Arial" w:hAnsi="Arial" w:cs="Arial"/>
              <w:color w:val="FF0000"/>
              <w:sz w:val="15"/>
              <w:szCs w:val="15"/>
              <w:lang w:eastAsia="es-AR"/>
            </w:rPr>
          </w:pPr>
        </w:p>
      </w:tc>
    </w:tr>
    <w:tr w:rsidR="001967BC" w:rsidRPr="00707D83" w14:paraId="54472CC4" w14:textId="77777777" w:rsidTr="000924A1">
      <w:trPr>
        <w:trHeight w:val="180"/>
      </w:trPr>
      <w:tc>
        <w:tcPr>
          <w:tcW w:w="1411" w:type="pct"/>
          <w:tcBorders>
            <w:top w:val="nil"/>
            <w:left w:val="nil"/>
            <w:bottom w:val="nil"/>
            <w:right w:val="nil"/>
          </w:tcBorders>
          <w:shd w:val="clear" w:color="auto" w:fill="auto"/>
          <w:noWrap/>
          <w:vAlign w:val="bottom"/>
        </w:tcPr>
        <w:p w14:paraId="76653DEA" w14:textId="77777777" w:rsidR="001967BC" w:rsidRPr="00DA23BA" w:rsidRDefault="001967BC" w:rsidP="000924A1">
          <w:pPr>
            <w:jc w:val="center"/>
            <w:rPr>
              <w:rFonts w:ascii="Arial" w:hAnsi="Arial" w:cs="Arial"/>
              <w:sz w:val="15"/>
              <w:szCs w:val="15"/>
              <w:lang w:eastAsia="es-AR"/>
            </w:rPr>
          </w:pPr>
          <w:r w:rsidRPr="00DA23BA">
            <w:rPr>
              <w:rFonts w:ascii="Arial" w:hAnsi="Arial" w:cs="Arial"/>
              <w:sz w:val="15"/>
              <w:szCs w:val="15"/>
              <w:lang w:eastAsia="es-AR"/>
            </w:rPr>
            <w:t>C.P.C.E.C.A.B.A. T°</w:t>
          </w:r>
          <w:r>
            <w:rPr>
              <w:rFonts w:ascii="Arial" w:hAnsi="Arial" w:cs="Arial"/>
              <w:sz w:val="15"/>
              <w:szCs w:val="15"/>
              <w:lang w:eastAsia="es-AR"/>
            </w:rPr>
            <w:t>108 -</w:t>
          </w:r>
          <w:r w:rsidRPr="00DA23BA">
            <w:rPr>
              <w:rFonts w:ascii="Arial" w:hAnsi="Arial" w:cs="Arial"/>
              <w:sz w:val="15"/>
              <w:szCs w:val="15"/>
              <w:lang w:eastAsia="es-AR"/>
            </w:rPr>
            <w:t>F° 233</w:t>
          </w:r>
        </w:p>
      </w:tc>
      <w:tc>
        <w:tcPr>
          <w:tcW w:w="504" w:type="pct"/>
          <w:tcBorders>
            <w:top w:val="nil"/>
            <w:left w:val="nil"/>
            <w:bottom w:val="nil"/>
            <w:right w:val="nil"/>
          </w:tcBorders>
          <w:shd w:val="clear" w:color="auto" w:fill="auto"/>
          <w:noWrap/>
          <w:vAlign w:val="bottom"/>
        </w:tcPr>
        <w:p w14:paraId="25053664"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540461E2" w14:textId="77777777" w:rsidR="001967BC" w:rsidRPr="00DA23BA" w:rsidRDefault="001967BC"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472C06D9"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F0F944F" w14:textId="744E4671" w:rsidR="001967BC" w:rsidRPr="002530BD" w:rsidRDefault="001967BC" w:rsidP="000924A1">
          <w:pPr>
            <w:jc w:val="center"/>
            <w:rPr>
              <w:rFonts w:ascii="Arial" w:hAnsi="Arial" w:cs="Arial"/>
              <w:sz w:val="15"/>
              <w:szCs w:val="15"/>
              <w:lang w:eastAsia="es-AR"/>
            </w:rPr>
          </w:pPr>
          <w:r w:rsidRPr="00C9122B">
            <w:rPr>
              <w:rFonts w:ascii="Arial" w:hAnsi="Arial" w:cs="Arial"/>
              <w:sz w:val="15"/>
              <w:szCs w:val="15"/>
              <w:lang w:eastAsia="es-AR"/>
            </w:rPr>
            <w:t xml:space="preserve">C.P.C.E.C.A.B.A.  T° </w:t>
          </w:r>
          <w:r>
            <w:rPr>
              <w:rFonts w:ascii="Arial" w:hAnsi="Arial" w:cs="Arial"/>
              <w:sz w:val="15"/>
              <w:szCs w:val="15"/>
              <w:lang w:eastAsia="es-AR"/>
            </w:rPr>
            <w:t>233</w:t>
          </w:r>
          <w:r w:rsidRPr="00C9122B">
            <w:rPr>
              <w:rFonts w:ascii="Arial" w:hAnsi="Arial" w:cs="Arial"/>
              <w:sz w:val="15"/>
              <w:szCs w:val="15"/>
              <w:lang w:eastAsia="es-AR"/>
            </w:rPr>
            <w:t xml:space="preserve"> F° </w:t>
          </w:r>
          <w:r>
            <w:rPr>
              <w:rFonts w:ascii="Arial" w:hAnsi="Arial" w:cs="Arial"/>
              <w:sz w:val="15"/>
              <w:szCs w:val="15"/>
              <w:lang w:eastAsia="es-AR"/>
            </w:rPr>
            <w:t>237</w:t>
          </w:r>
        </w:p>
      </w:tc>
      <w:tc>
        <w:tcPr>
          <w:tcW w:w="326" w:type="pct"/>
          <w:tcBorders>
            <w:top w:val="nil"/>
            <w:left w:val="nil"/>
            <w:bottom w:val="nil"/>
            <w:right w:val="nil"/>
          </w:tcBorders>
          <w:shd w:val="clear" w:color="auto" w:fill="auto"/>
          <w:noWrap/>
          <w:vAlign w:val="bottom"/>
        </w:tcPr>
        <w:p w14:paraId="13B9A6F8" w14:textId="77777777" w:rsidR="001967BC" w:rsidRPr="00000EDD" w:rsidRDefault="001967BC" w:rsidP="000924A1">
          <w:pPr>
            <w:jc w:val="center"/>
            <w:rPr>
              <w:rFonts w:ascii="Arial" w:hAnsi="Arial" w:cs="Arial"/>
              <w:color w:val="FF0000"/>
              <w:sz w:val="15"/>
              <w:szCs w:val="15"/>
              <w:lang w:eastAsia="es-AR"/>
            </w:rPr>
          </w:pPr>
        </w:p>
      </w:tc>
    </w:tr>
    <w:tr w:rsidR="001967BC" w:rsidRPr="00707D83" w14:paraId="16339D28" w14:textId="77777777" w:rsidTr="000924A1">
      <w:trPr>
        <w:trHeight w:val="180"/>
      </w:trPr>
      <w:tc>
        <w:tcPr>
          <w:tcW w:w="1411" w:type="pct"/>
          <w:tcBorders>
            <w:top w:val="nil"/>
            <w:left w:val="nil"/>
            <w:bottom w:val="nil"/>
            <w:right w:val="nil"/>
          </w:tcBorders>
          <w:shd w:val="clear" w:color="auto" w:fill="auto"/>
          <w:noWrap/>
          <w:vAlign w:val="bottom"/>
        </w:tcPr>
        <w:p w14:paraId="498D4FA4" w14:textId="77777777" w:rsidR="001967BC" w:rsidRPr="00DA23BA" w:rsidRDefault="001967BC"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4D352AC2"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0BB628B3" w14:textId="77777777" w:rsidR="001967BC" w:rsidRPr="00DA23BA" w:rsidRDefault="001967BC"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64414CC"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CDEB1AC" w14:textId="77777777" w:rsidR="001967BC" w:rsidRPr="00000EDD" w:rsidRDefault="001967BC" w:rsidP="000924A1">
          <w:pPr>
            <w:jc w:val="center"/>
            <w:rPr>
              <w:rFonts w:ascii="Arial" w:hAnsi="Arial" w:cs="Arial"/>
              <w:color w:val="FF0000"/>
              <w:sz w:val="15"/>
              <w:szCs w:val="15"/>
              <w:lang w:eastAsia="es-AR"/>
            </w:rPr>
          </w:pPr>
        </w:p>
      </w:tc>
      <w:tc>
        <w:tcPr>
          <w:tcW w:w="326" w:type="pct"/>
          <w:tcBorders>
            <w:top w:val="nil"/>
            <w:left w:val="nil"/>
            <w:bottom w:val="nil"/>
            <w:right w:val="nil"/>
          </w:tcBorders>
          <w:shd w:val="clear" w:color="auto" w:fill="auto"/>
          <w:noWrap/>
          <w:vAlign w:val="bottom"/>
        </w:tcPr>
        <w:p w14:paraId="6652EBF9" w14:textId="77777777" w:rsidR="001967BC" w:rsidRPr="00000EDD" w:rsidRDefault="001967BC" w:rsidP="000924A1">
          <w:pPr>
            <w:jc w:val="center"/>
            <w:rPr>
              <w:rFonts w:ascii="Arial" w:hAnsi="Arial" w:cs="Arial"/>
              <w:color w:val="FF0000"/>
              <w:sz w:val="15"/>
              <w:szCs w:val="15"/>
              <w:lang w:eastAsia="es-AR"/>
            </w:rPr>
          </w:pPr>
        </w:p>
      </w:tc>
    </w:tr>
    <w:tr w:rsidR="001967BC" w:rsidRPr="002648BD" w14:paraId="18C2E544" w14:textId="77777777" w:rsidTr="000924A1">
      <w:trPr>
        <w:trHeight w:val="180"/>
      </w:trPr>
      <w:tc>
        <w:tcPr>
          <w:tcW w:w="1411" w:type="pct"/>
          <w:tcBorders>
            <w:top w:val="nil"/>
            <w:left w:val="nil"/>
            <w:bottom w:val="nil"/>
            <w:right w:val="nil"/>
          </w:tcBorders>
          <w:shd w:val="clear" w:color="auto" w:fill="auto"/>
          <w:noWrap/>
          <w:vAlign w:val="bottom"/>
        </w:tcPr>
        <w:p w14:paraId="5520B802" w14:textId="77777777" w:rsidR="001967BC" w:rsidRPr="00DA23BA" w:rsidRDefault="001967BC"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63401292" w14:textId="77777777" w:rsidR="001967BC" w:rsidRPr="00DA23BA" w:rsidRDefault="001967BC"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2C154FD2" w14:textId="3CBA0F33" w:rsidR="001967BC" w:rsidRPr="00DA23BA" w:rsidRDefault="001967BC" w:rsidP="000924A1">
          <w:pPr>
            <w:jc w:val="center"/>
            <w:rPr>
              <w:rFonts w:ascii="Arial" w:hAnsi="Arial" w:cs="Arial"/>
              <w:sz w:val="15"/>
              <w:szCs w:val="15"/>
              <w:lang w:eastAsia="es-AR"/>
            </w:rPr>
          </w:pPr>
          <w:r>
            <w:rPr>
              <w:rFonts w:ascii="Arial" w:hAnsi="Arial" w:cs="Arial"/>
              <w:sz w:val="15"/>
              <w:szCs w:val="15"/>
              <w:lang w:eastAsia="es-AR"/>
            </w:rPr>
            <w:t xml:space="preserve">- </w:t>
          </w:r>
          <w:r w:rsidRPr="00A76E3D">
            <w:rPr>
              <w:rFonts w:ascii="Arial" w:hAnsi="Arial" w:cs="Arial"/>
              <w:sz w:val="15"/>
              <w:szCs w:val="15"/>
              <w:lang w:eastAsia="es-AR"/>
            </w:rPr>
            <w:fldChar w:fldCharType="begin"/>
          </w:r>
          <w:r w:rsidRPr="00A76E3D">
            <w:rPr>
              <w:rFonts w:ascii="Arial" w:hAnsi="Arial" w:cs="Arial"/>
              <w:sz w:val="15"/>
              <w:szCs w:val="15"/>
              <w:lang w:eastAsia="es-AR"/>
            </w:rPr>
            <w:instrText xml:space="preserve"> PAGE   \* MERGEFORMAT </w:instrText>
          </w:r>
          <w:r w:rsidRPr="00A76E3D">
            <w:rPr>
              <w:rFonts w:ascii="Arial" w:hAnsi="Arial" w:cs="Arial"/>
              <w:sz w:val="15"/>
              <w:szCs w:val="15"/>
              <w:lang w:eastAsia="es-AR"/>
            </w:rPr>
            <w:fldChar w:fldCharType="separate"/>
          </w:r>
          <w:r>
            <w:rPr>
              <w:rFonts w:ascii="Arial" w:hAnsi="Arial" w:cs="Arial"/>
              <w:noProof/>
              <w:sz w:val="15"/>
              <w:szCs w:val="15"/>
              <w:lang w:eastAsia="es-AR"/>
            </w:rPr>
            <w:t>64</w:t>
          </w:r>
          <w:r w:rsidRPr="00A76E3D">
            <w:rPr>
              <w:rFonts w:ascii="Arial" w:hAnsi="Arial" w:cs="Arial"/>
              <w:sz w:val="15"/>
              <w:szCs w:val="15"/>
              <w:lang w:eastAsia="es-AR"/>
            </w:rPr>
            <w:fldChar w:fldCharType="end"/>
          </w:r>
          <w:r>
            <w:rPr>
              <w:rFonts w:ascii="Arial" w:hAnsi="Arial" w:cs="Arial"/>
              <w:sz w:val="15"/>
              <w:szCs w:val="15"/>
              <w:lang w:eastAsia="es-AR"/>
            </w:rPr>
            <w:t xml:space="preserve"> - </w:t>
          </w:r>
        </w:p>
      </w:tc>
      <w:tc>
        <w:tcPr>
          <w:tcW w:w="305" w:type="pct"/>
          <w:tcBorders>
            <w:top w:val="nil"/>
            <w:left w:val="nil"/>
            <w:bottom w:val="nil"/>
            <w:right w:val="nil"/>
          </w:tcBorders>
          <w:shd w:val="clear" w:color="auto" w:fill="auto"/>
          <w:noWrap/>
          <w:vAlign w:val="bottom"/>
        </w:tcPr>
        <w:p w14:paraId="48A3EA87" w14:textId="77777777" w:rsidR="001967BC" w:rsidRPr="00DA23BA" w:rsidRDefault="001967BC"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3692292" w14:textId="77777777" w:rsidR="001967BC" w:rsidRPr="00DA23BA" w:rsidRDefault="001967BC" w:rsidP="000924A1">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360199A" w14:textId="77777777" w:rsidR="001967BC" w:rsidRPr="00DA23BA" w:rsidRDefault="001967BC" w:rsidP="000924A1">
          <w:pPr>
            <w:jc w:val="center"/>
            <w:rPr>
              <w:rFonts w:ascii="Arial" w:hAnsi="Arial" w:cs="Arial"/>
              <w:color w:val="000000"/>
              <w:sz w:val="15"/>
              <w:szCs w:val="15"/>
              <w:lang w:eastAsia="es-AR"/>
            </w:rPr>
          </w:pPr>
        </w:p>
      </w:tc>
    </w:tr>
  </w:tbl>
  <w:p w14:paraId="07E21DA6" w14:textId="77777777" w:rsidR="001967BC" w:rsidRPr="00BA218C" w:rsidRDefault="001967BC" w:rsidP="00E05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C7D93" w14:textId="77777777" w:rsidR="0041513A" w:rsidRDefault="0041513A">
      <w:pPr>
        <w:rPr>
          <w:sz w:val="23"/>
          <w:szCs w:val="23"/>
        </w:rPr>
      </w:pPr>
      <w:r>
        <w:rPr>
          <w:sz w:val="23"/>
          <w:szCs w:val="23"/>
        </w:rPr>
        <w:separator/>
      </w:r>
    </w:p>
  </w:footnote>
  <w:footnote w:type="continuationSeparator" w:id="0">
    <w:p w14:paraId="118C2D0F" w14:textId="77777777" w:rsidR="0041513A" w:rsidRDefault="0041513A">
      <w:pPr>
        <w:rPr>
          <w:sz w:val="23"/>
          <w:szCs w:val="23"/>
        </w:rPr>
      </w:pPr>
      <w:r>
        <w:rPr>
          <w:sz w:val="23"/>
          <w:szCs w:val="23"/>
        </w:rPr>
        <w:continuationSeparator/>
      </w:r>
    </w:p>
  </w:footnote>
  <w:footnote w:id="1">
    <w:p w14:paraId="35B8AD13" w14:textId="46A4B66E" w:rsidR="001967BC" w:rsidRDefault="001967BC" w:rsidP="006F33FA">
      <w:pPr>
        <w:pStyle w:val="FootnoteText"/>
        <w:rPr>
          <w:sz w:val="16"/>
          <w:lang w:val="es-MX"/>
        </w:rPr>
      </w:pPr>
    </w:p>
  </w:footnote>
  <w:footnote w:id="2">
    <w:p w14:paraId="760ABEE0" w14:textId="77777777" w:rsidR="001967BC" w:rsidRDefault="001967BC" w:rsidP="00264F4C">
      <w:pPr>
        <w:pStyle w:val="FootnoteText"/>
        <w:rPr>
          <w:sz w:val="16"/>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4FB16" w14:textId="77777777" w:rsidR="001967BC" w:rsidRDefault="001967BC" w:rsidP="00C80859">
    <w:pPr>
      <w:pStyle w:val="Header"/>
      <w:jc w:val="right"/>
      <w:rPr>
        <w:rFonts w:ascii="Arial" w:hAnsi="Arial" w:cs="Arial"/>
        <w:sz w:val="20"/>
      </w:rPr>
    </w:pPr>
    <w:r w:rsidRPr="009042A8">
      <w:rPr>
        <w:rFonts w:ascii="Arial" w:hAnsi="Arial" w:cs="Arial"/>
        <w:noProof/>
        <w:sz w:val="20"/>
        <w:lang w:eastAsia="es-AR"/>
      </w:rPr>
      <w:drawing>
        <wp:inline distT="0" distB="0" distL="0" distR="0" wp14:anchorId="23C51B95" wp14:editId="5BBFDA80">
          <wp:extent cx="1027130" cy="452633"/>
          <wp:effectExtent l="19050" t="0" r="157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9E136C9" w14:textId="77777777" w:rsidR="001967BC" w:rsidRDefault="001967BC">
    <w:pPr>
      <w:pStyle w:val="Header"/>
      <w:rPr>
        <w:rFonts w:ascii="Arial" w:hAnsi="Arial" w:cs="Arial"/>
        <w:sz w:val="20"/>
      </w:rPr>
    </w:pPr>
  </w:p>
  <w:p w14:paraId="5FFF94E9" w14:textId="77777777" w:rsidR="001967BC" w:rsidRDefault="001967BC">
    <w:pPr>
      <w:pStyle w:val="Header"/>
      <w:rPr>
        <w:rFonts w:ascii="Arial" w:hAnsi="Arial" w:cs="Arial"/>
        <w:sz w:val="20"/>
      </w:rPr>
    </w:pPr>
  </w:p>
  <w:p w14:paraId="6B008AF4" w14:textId="77777777" w:rsidR="001967BC" w:rsidRDefault="001967BC">
    <w:pPr>
      <w:pStyle w:val="Header"/>
      <w:rPr>
        <w:rFonts w:ascii="Arial" w:hAnsi="Arial" w:cs="Arial"/>
        <w:sz w:val="20"/>
      </w:rPr>
    </w:pPr>
  </w:p>
  <w:p w14:paraId="0EDFAA74" w14:textId="77777777" w:rsidR="001967BC" w:rsidRDefault="001967BC">
    <w:pPr>
      <w:pStyle w:val="Header"/>
      <w:rPr>
        <w:rFonts w:ascii="Arial" w:hAnsi="Arial" w:cs="Arial"/>
        <w:sz w:val="20"/>
      </w:rPr>
    </w:pPr>
  </w:p>
  <w:p w14:paraId="359AE8B3" w14:textId="77777777" w:rsidR="001967BC" w:rsidRPr="00A97183" w:rsidRDefault="001967BC">
    <w:pPr>
      <w:pStyle w:val="Header"/>
      <w:rPr>
        <w:rFonts w:ascii="Arial" w:hAnsi="Arial" w:cs="Arial"/>
        <w:sz w:val="20"/>
      </w:rPr>
    </w:pPr>
  </w:p>
  <w:p w14:paraId="12DDFC96" w14:textId="77777777" w:rsidR="001967BC" w:rsidRPr="00A97183" w:rsidRDefault="001967BC">
    <w:pPr>
      <w:pStyle w:val="Header"/>
      <w:rPr>
        <w:rFonts w:ascii="Arial" w:hAnsi="Arial" w:cs="Arial"/>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AAE0" w14:textId="77777777" w:rsidR="001967BC" w:rsidRDefault="001967B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5BA8E" w14:textId="77777777" w:rsidR="001967BC" w:rsidRDefault="001967BC" w:rsidP="00CE18EC">
    <w:pPr>
      <w:tabs>
        <w:tab w:val="right" w:pos="9214"/>
      </w:tabs>
      <w:ind w:left="142" w:hanging="142"/>
      <w:jc w:val="right"/>
      <w:rPr>
        <w:rFonts w:ascii="Arial" w:hAnsi="Arial" w:cs="Arial"/>
        <w:b/>
        <w:sz w:val="20"/>
        <w:lang w:val="pt-BR"/>
      </w:rPr>
    </w:pPr>
    <w:r w:rsidRPr="0086282C">
      <w:rPr>
        <w:rFonts w:ascii="Arial" w:hAnsi="Arial" w:cs="Arial"/>
        <w:b/>
        <w:noProof/>
        <w:sz w:val="20"/>
        <w:lang w:eastAsia="es-AR"/>
      </w:rPr>
      <w:drawing>
        <wp:inline distT="0" distB="0" distL="0" distR="0" wp14:anchorId="6C2BDBC1" wp14:editId="699A6236">
          <wp:extent cx="1027130" cy="452633"/>
          <wp:effectExtent l="19050" t="0" r="157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152BE23" w14:textId="77777777" w:rsidR="001967BC" w:rsidRDefault="001967BC" w:rsidP="00CE18EC">
    <w:pPr>
      <w:pStyle w:val="2Ttulo"/>
      <w:rPr>
        <w:rFonts w:ascii="Arial" w:hAnsi="Arial" w:cs="Arial"/>
        <w:sz w:val="20"/>
      </w:rPr>
    </w:pPr>
  </w:p>
  <w:p w14:paraId="3E553BED" w14:textId="77777777" w:rsidR="001967BC" w:rsidRDefault="001967BC" w:rsidP="00CE18EC">
    <w:pPr>
      <w:pStyle w:val="2Ttulo"/>
      <w:rPr>
        <w:rFonts w:ascii="Arial" w:hAnsi="Arial" w:cs="Arial"/>
        <w:sz w:val="20"/>
      </w:rPr>
    </w:pPr>
  </w:p>
  <w:p w14:paraId="66E8CC8F" w14:textId="3A20C6EA" w:rsidR="001967BC" w:rsidRDefault="001967BC" w:rsidP="00CE18EC">
    <w:pPr>
      <w:pStyle w:val="2Ttulo"/>
      <w:rPr>
        <w:rFonts w:ascii="Arial" w:hAnsi="Arial" w:cs="Arial"/>
        <w:sz w:val="20"/>
      </w:rPr>
    </w:pPr>
    <w:r w:rsidRPr="000C455E">
      <w:rPr>
        <w:rFonts w:ascii="Arial" w:hAnsi="Arial" w:cs="Arial"/>
        <w:sz w:val="20"/>
      </w:rPr>
      <w:t xml:space="preserve">NOTAS A LOS ESTADOS </w:t>
    </w:r>
    <w:r>
      <w:rPr>
        <w:rFonts w:ascii="Arial" w:hAnsi="Arial" w:cs="Arial"/>
        <w:sz w:val="20"/>
      </w:rPr>
      <w:t xml:space="preserve">FINANCIEROS CONDENSADOS INTERMEDIOS CONSOLIDADOS </w:t>
    </w:r>
  </w:p>
  <w:p w14:paraId="0BFC8582" w14:textId="5B2A44B3" w:rsidR="001967BC" w:rsidRPr="000C455E" w:rsidRDefault="001967BC" w:rsidP="00CE18EC">
    <w:pPr>
      <w:pStyle w:val="2Ttulo"/>
      <w:rPr>
        <w:rFonts w:ascii="Arial" w:hAnsi="Arial" w:cs="Arial"/>
        <w:b w:val="0"/>
        <w:sz w:val="20"/>
      </w:rPr>
    </w:pPr>
    <w:r>
      <w:rPr>
        <w:rFonts w:ascii="Arial" w:hAnsi="Arial" w:cs="Arial"/>
        <w:sz w:val="20"/>
      </w:rPr>
      <w:t xml:space="preserve"> AL 31</w:t>
    </w:r>
    <w:r w:rsidRPr="000C455E">
      <w:rPr>
        <w:rFonts w:ascii="Arial" w:hAnsi="Arial" w:cs="Arial"/>
        <w:sz w:val="20"/>
      </w:rPr>
      <w:t xml:space="preserve"> DE </w:t>
    </w:r>
    <w:r>
      <w:rPr>
        <w:rFonts w:ascii="Arial" w:hAnsi="Arial" w:cs="Arial"/>
        <w:sz w:val="20"/>
      </w:rPr>
      <w:t>MARZO DE 2020</w:t>
    </w:r>
  </w:p>
  <w:p w14:paraId="719A93DB" w14:textId="77777777" w:rsidR="001967BC" w:rsidRPr="006426AF" w:rsidRDefault="001967BC" w:rsidP="00CE18EC">
    <w:pPr>
      <w:pStyle w:val="2Ttulo"/>
      <w:rPr>
        <w:rFonts w:ascii="Arial" w:hAnsi="Arial" w:cs="Arial"/>
        <w:b w:val="0"/>
        <w:sz w:val="16"/>
        <w:szCs w:val="16"/>
        <w:lang w:val="es-ES_tradnl"/>
      </w:rPr>
    </w:pPr>
    <w:r w:rsidRPr="006426AF">
      <w:rPr>
        <w:rFonts w:ascii="Arial" w:hAnsi="Arial" w:cs="Arial"/>
        <w:b w:val="0"/>
        <w:sz w:val="16"/>
        <w:szCs w:val="16"/>
        <w:lang w:val="es-ES_tradnl"/>
      </w:rPr>
      <w:t>Presentadas en forma comparativa</w:t>
    </w:r>
  </w:p>
  <w:p w14:paraId="52272B46" w14:textId="2FE714C6" w:rsidR="001967BC" w:rsidRDefault="001967BC" w:rsidP="00CE18EC">
    <w:pPr>
      <w:pStyle w:val="2Ttulo"/>
      <w:rPr>
        <w:rFonts w:ascii="Arial" w:hAnsi="Arial" w:cs="Arial"/>
        <w:b w:val="0"/>
        <w:sz w:val="16"/>
        <w:szCs w:val="16"/>
      </w:rPr>
    </w:pPr>
    <w:r w:rsidRPr="006426AF">
      <w:rPr>
        <w:rFonts w:ascii="Arial" w:hAnsi="Arial" w:cs="Arial"/>
        <w:b w:val="0"/>
        <w:sz w:val="16"/>
        <w:szCs w:val="16"/>
      </w:rPr>
      <w:t xml:space="preserve"> (Cifras expresadas en miles de pesos</w:t>
    </w:r>
    <w:r>
      <w:rPr>
        <w:rFonts w:ascii="Arial" w:hAnsi="Arial" w:cs="Arial"/>
        <w:b w:val="0"/>
        <w:sz w:val="16"/>
        <w:szCs w:val="16"/>
      </w:rPr>
      <w:t xml:space="preserve"> en moneda homogénea</w:t>
    </w:r>
    <w:r w:rsidRPr="006426AF">
      <w:rPr>
        <w:rFonts w:ascii="Arial" w:hAnsi="Arial" w:cs="Arial"/>
        <w:b w:val="0"/>
        <w:sz w:val="16"/>
        <w:szCs w:val="16"/>
      </w:rPr>
      <w:t>)</w:t>
    </w:r>
  </w:p>
  <w:p w14:paraId="43B3F9DE" w14:textId="77777777" w:rsidR="001967BC" w:rsidRPr="002F4872" w:rsidRDefault="001967BC" w:rsidP="00CE18EC">
    <w:pPr>
      <w:pStyle w:val="Header"/>
      <w:jc w:val="center"/>
      <w:rPr>
        <w:rFonts w:ascii="Arial" w:hAnsi="Arial" w:cs="Arial"/>
        <w:sz w:val="20"/>
      </w:rPr>
    </w:pPr>
  </w:p>
  <w:p w14:paraId="6A858087" w14:textId="77777777" w:rsidR="001967BC" w:rsidRPr="002F4872" w:rsidRDefault="001967BC" w:rsidP="00CE18EC">
    <w:pPr>
      <w:pStyle w:val="Header"/>
      <w:jc w:val="center"/>
      <w:rPr>
        <w:rFonts w:ascii="Arial" w:hAnsi="Arial" w:cs="Arial"/>
        <w:sz w:val="20"/>
        <w:lang w:val="es-ES"/>
      </w:rPr>
    </w:pPr>
  </w:p>
  <w:p w14:paraId="1EA0B4CE" w14:textId="77777777" w:rsidR="001967BC" w:rsidRPr="005E5441" w:rsidRDefault="001967BC" w:rsidP="002374F8">
    <w:pPr>
      <w:pStyle w:val="2Ttulo"/>
      <w:jc w:val="left"/>
      <w:rPr>
        <w:rFonts w:ascii="Arial" w:hAnsi="Arial" w:cs="Arial"/>
        <w:b w:val="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42A65" w14:textId="77777777" w:rsidR="001967BC" w:rsidRDefault="001967B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B9D4F" w14:textId="77777777" w:rsidR="001967BC" w:rsidRDefault="001967BC"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56EF842" wp14:editId="7D36BE36">
          <wp:extent cx="1027130" cy="452633"/>
          <wp:effectExtent l="19050" t="0" r="157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44EAFCC" w14:textId="3151A0B3" w:rsidR="001967BC" w:rsidRDefault="001967BC" w:rsidP="00326935">
    <w:pPr>
      <w:tabs>
        <w:tab w:val="right" w:pos="9214"/>
      </w:tabs>
      <w:rPr>
        <w:rFonts w:ascii="Arial" w:hAnsi="Arial" w:cs="Arial"/>
        <w:b/>
        <w:sz w:val="20"/>
        <w:lang w:val="es-ES_tradnl"/>
      </w:rPr>
    </w:pPr>
    <w:r>
      <w:rPr>
        <w:rFonts w:ascii="Arial" w:hAnsi="Arial" w:cs="Arial"/>
        <w:b/>
        <w:sz w:val="20"/>
        <w:lang w:val="es-ES_tradnl"/>
      </w:rPr>
      <w:t xml:space="preserve">ANEXO B </w:t>
    </w:r>
  </w:p>
  <w:p w14:paraId="69BB059D" w14:textId="77777777" w:rsidR="001967BC" w:rsidRDefault="001967BC" w:rsidP="00D458EF">
    <w:pPr>
      <w:tabs>
        <w:tab w:val="right" w:pos="9214"/>
      </w:tabs>
      <w:jc w:val="right"/>
      <w:rPr>
        <w:rFonts w:ascii="Arial" w:hAnsi="Arial" w:cs="Arial"/>
        <w:b/>
        <w:sz w:val="20"/>
        <w:lang w:val="es-ES_tradnl"/>
      </w:rPr>
    </w:pPr>
  </w:p>
  <w:p w14:paraId="46D35670" w14:textId="164F1C6B" w:rsidR="001967BC" w:rsidRPr="009040E3" w:rsidRDefault="001967BC" w:rsidP="00326935">
    <w:pPr>
      <w:pStyle w:val="Header"/>
      <w:jc w:val="center"/>
      <w:rPr>
        <w:rFonts w:ascii="Arial" w:hAnsi="Arial" w:cs="Arial"/>
        <w:b/>
        <w:sz w:val="20"/>
        <w:lang w:val="es-ES_tradnl"/>
      </w:rPr>
    </w:pPr>
    <w:r>
      <w:rPr>
        <w:rFonts w:ascii="Arial" w:hAnsi="Arial" w:cs="Arial"/>
        <w:b/>
        <w:sz w:val="20"/>
        <w:lang w:val="es-ES_tradnl"/>
      </w:rPr>
      <w:t>CLASIFICACIÓN DE PRÉSTAMOS Y OTRAS FINANCIACIONES POR SITUACIÓN Y GARANTIAS RECIBIDAS CONSOLIDADO</w:t>
    </w:r>
  </w:p>
  <w:p w14:paraId="34A7F0F0" w14:textId="1E118658" w:rsidR="001967BC" w:rsidRPr="009040E3" w:rsidRDefault="001967BC" w:rsidP="00326935">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29D2F065" w14:textId="4194A649" w:rsidR="001967BC" w:rsidRPr="009040E3" w:rsidRDefault="001967BC" w:rsidP="00326935">
    <w:pPr>
      <w:pStyle w:val="Header"/>
      <w:jc w:val="center"/>
      <w:rPr>
        <w:rFonts w:ascii="Arial" w:hAnsi="Arial" w:cs="Arial"/>
        <w:sz w:val="16"/>
        <w:szCs w:val="16"/>
        <w:lang w:val="es-ES"/>
      </w:rPr>
    </w:pPr>
    <w:r w:rsidRPr="009040E3">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9040E3">
      <w:rPr>
        <w:rFonts w:ascii="Arial" w:hAnsi="Arial" w:cs="Arial"/>
        <w:sz w:val="16"/>
        <w:szCs w:val="16"/>
        <w:lang w:val="es-ES"/>
      </w:rPr>
      <w:t>)</w:t>
    </w:r>
  </w:p>
  <w:p w14:paraId="1C5D17ED" w14:textId="77777777" w:rsidR="001967BC" w:rsidRPr="00F941DB" w:rsidRDefault="001967BC" w:rsidP="00326935">
    <w:pPr>
      <w:pStyle w:val="Header"/>
      <w:jc w:val="center"/>
      <w:rPr>
        <w:rFonts w:ascii="Arial" w:hAnsi="Arial" w:cs="Arial"/>
        <w:sz w:val="20"/>
        <w:lang w:val="es-ES"/>
      </w:rPr>
    </w:pPr>
  </w:p>
  <w:p w14:paraId="3A6BB2A5" w14:textId="77777777" w:rsidR="001967BC" w:rsidRPr="00F941DB" w:rsidRDefault="001967BC" w:rsidP="00F941DB">
    <w:pPr>
      <w:pStyle w:val="2Ttulo"/>
      <w:jc w:val="left"/>
      <w:rPr>
        <w:rFonts w:ascii="Arial" w:hAnsi="Arial" w:cs="Arial"/>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ECDA" w14:textId="77777777" w:rsidR="001967BC" w:rsidRDefault="001967BC"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69512759" wp14:editId="695F5D7E">
          <wp:extent cx="1027130" cy="452633"/>
          <wp:effectExtent l="19050" t="0" r="1570"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60449A6" w14:textId="14B37E08" w:rsidR="001967BC" w:rsidRDefault="001967BC" w:rsidP="00326935">
    <w:pPr>
      <w:tabs>
        <w:tab w:val="right" w:pos="9214"/>
      </w:tabs>
      <w:rPr>
        <w:rFonts w:ascii="Arial" w:hAnsi="Arial" w:cs="Arial"/>
        <w:b/>
        <w:sz w:val="20"/>
        <w:lang w:val="es-ES_tradnl"/>
      </w:rPr>
    </w:pPr>
    <w:r>
      <w:rPr>
        <w:rFonts w:ascii="Arial" w:hAnsi="Arial" w:cs="Arial"/>
        <w:b/>
        <w:sz w:val="20"/>
        <w:lang w:val="es-ES_tradnl"/>
      </w:rPr>
      <w:t xml:space="preserve">ANEXO C </w:t>
    </w:r>
  </w:p>
  <w:p w14:paraId="44F6A796" w14:textId="77777777" w:rsidR="001967BC" w:rsidRDefault="001967BC" w:rsidP="00326935">
    <w:pPr>
      <w:tabs>
        <w:tab w:val="right" w:pos="9214"/>
      </w:tabs>
      <w:rPr>
        <w:rFonts w:ascii="Arial" w:hAnsi="Arial" w:cs="Arial"/>
        <w:b/>
        <w:sz w:val="20"/>
        <w:lang w:val="es-ES_tradnl"/>
      </w:rPr>
    </w:pPr>
  </w:p>
  <w:p w14:paraId="3F8D931C" w14:textId="7401EC17" w:rsidR="001967BC" w:rsidRPr="009040E3" w:rsidRDefault="001967BC" w:rsidP="00326935">
    <w:pPr>
      <w:pStyle w:val="Header"/>
      <w:jc w:val="center"/>
      <w:rPr>
        <w:rFonts w:ascii="Arial" w:hAnsi="Arial" w:cs="Arial"/>
        <w:b/>
        <w:sz w:val="20"/>
        <w:lang w:val="es-ES_tradnl"/>
      </w:rPr>
    </w:pPr>
    <w:r>
      <w:rPr>
        <w:rFonts w:ascii="Arial" w:hAnsi="Arial" w:cs="Arial"/>
        <w:b/>
        <w:sz w:val="20"/>
        <w:lang w:val="es-ES_tradnl"/>
      </w:rPr>
      <w:t>CONCENTRACIÓN DE PRESTAMOS Y OTRAS FINANCIACIONES CONSOLIDADO</w:t>
    </w:r>
  </w:p>
  <w:p w14:paraId="35516407" w14:textId="52E1E154" w:rsidR="001967BC" w:rsidRPr="009040E3" w:rsidRDefault="001967BC" w:rsidP="00326935">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0E7725A1" w14:textId="298F8F0F" w:rsidR="001967BC" w:rsidRPr="009040E3" w:rsidRDefault="001967BC" w:rsidP="00326935">
    <w:pPr>
      <w:pStyle w:val="Header"/>
      <w:jc w:val="center"/>
      <w:rPr>
        <w:rFonts w:ascii="Arial" w:hAnsi="Arial" w:cs="Arial"/>
        <w:sz w:val="16"/>
        <w:szCs w:val="16"/>
        <w:lang w:val="es-ES"/>
      </w:rPr>
    </w:pPr>
    <w:r w:rsidRPr="009040E3">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9040E3">
      <w:rPr>
        <w:rFonts w:ascii="Arial" w:hAnsi="Arial" w:cs="Arial"/>
        <w:sz w:val="16"/>
        <w:szCs w:val="16"/>
        <w:lang w:val="es-ES"/>
      </w:rPr>
      <w:t>)</w:t>
    </w:r>
  </w:p>
  <w:p w14:paraId="0BEB571A" w14:textId="77777777" w:rsidR="001967BC" w:rsidRPr="00F941DB" w:rsidRDefault="001967BC" w:rsidP="00326935">
    <w:pPr>
      <w:pStyle w:val="Header"/>
      <w:jc w:val="center"/>
      <w:rPr>
        <w:rFonts w:ascii="Arial" w:hAnsi="Arial" w:cs="Arial"/>
        <w:sz w:val="20"/>
        <w:lang w:val="es-ES"/>
      </w:rPr>
    </w:pPr>
  </w:p>
  <w:p w14:paraId="5E792A1B" w14:textId="77777777" w:rsidR="001967BC" w:rsidRPr="00F941DB" w:rsidRDefault="001967BC" w:rsidP="00F941DB">
    <w:pPr>
      <w:pStyle w:val="2Ttulo"/>
      <w:jc w:val="left"/>
      <w:rPr>
        <w:rFonts w:ascii="Arial" w:hAnsi="Arial" w:cs="Arial"/>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7327F" w14:textId="77777777" w:rsidR="001967BC" w:rsidRDefault="001967BC"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82C0D56" wp14:editId="0D086F7E">
          <wp:extent cx="1027130" cy="452633"/>
          <wp:effectExtent l="19050" t="0" r="1570" b="0"/>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3B890741" w14:textId="77777777" w:rsidR="001967BC" w:rsidRDefault="001967BC" w:rsidP="00326935">
    <w:pPr>
      <w:tabs>
        <w:tab w:val="right" w:pos="9214"/>
      </w:tabs>
      <w:rPr>
        <w:rFonts w:ascii="Arial" w:hAnsi="Arial" w:cs="Arial"/>
        <w:b/>
        <w:sz w:val="20"/>
        <w:lang w:val="es-ES_tradnl"/>
      </w:rPr>
    </w:pPr>
    <w:r>
      <w:rPr>
        <w:rFonts w:ascii="Arial" w:hAnsi="Arial" w:cs="Arial"/>
        <w:b/>
        <w:sz w:val="20"/>
        <w:lang w:val="es-ES_tradnl"/>
      </w:rPr>
      <w:t>ANEXO D</w:t>
    </w:r>
  </w:p>
  <w:p w14:paraId="12E82FA5" w14:textId="77777777" w:rsidR="001967BC" w:rsidRDefault="001967BC" w:rsidP="00D458EF">
    <w:pPr>
      <w:tabs>
        <w:tab w:val="right" w:pos="9214"/>
      </w:tabs>
      <w:jc w:val="right"/>
      <w:rPr>
        <w:rFonts w:ascii="Arial" w:hAnsi="Arial" w:cs="Arial"/>
        <w:b/>
        <w:sz w:val="20"/>
        <w:lang w:val="es-ES_tradnl"/>
      </w:rPr>
    </w:pPr>
  </w:p>
  <w:p w14:paraId="7078770C" w14:textId="1E2C9D4B" w:rsidR="001967BC" w:rsidRPr="009040E3" w:rsidRDefault="001967BC" w:rsidP="00326935">
    <w:pPr>
      <w:pStyle w:val="Header"/>
      <w:jc w:val="center"/>
      <w:rPr>
        <w:rFonts w:ascii="Arial" w:hAnsi="Arial" w:cs="Arial"/>
        <w:b/>
        <w:sz w:val="20"/>
        <w:lang w:val="es-ES_tradnl"/>
      </w:rPr>
    </w:pPr>
    <w:r w:rsidRPr="009040E3">
      <w:rPr>
        <w:rFonts w:ascii="Arial" w:hAnsi="Arial" w:cs="Arial"/>
        <w:b/>
        <w:sz w:val="20"/>
        <w:lang w:val="es-ES_tradnl"/>
      </w:rPr>
      <w:t>APERTURA POR PLAZO</w:t>
    </w:r>
    <w:r>
      <w:rPr>
        <w:rFonts w:ascii="Arial" w:hAnsi="Arial" w:cs="Arial"/>
        <w:b/>
        <w:sz w:val="20"/>
        <w:lang w:val="es-ES_tradnl"/>
      </w:rPr>
      <w:t>S</w:t>
    </w:r>
    <w:r w:rsidRPr="009040E3">
      <w:rPr>
        <w:rFonts w:ascii="Arial" w:hAnsi="Arial" w:cs="Arial"/>
        <w:b/>
        <w:sz w:val="20"/>
        <w:lang w:val="es-ES_tradnl"/>
      </w:rPr>
      <w:t xml:space="preserve"> DE </w:t>
    </w:r>
    <w:r>
      <w:rPr>
        <w:rFonts w:ascii="Arial" w:hAnsi="Arial" w:cs="Arial"/>
        <w:b/>
        <w:sz w:val="20"/>
        <w:lang w:val="es-ES_tradnl"/>
      </w:rPr>
      <w:t>PRÉSTAMOS Y OTRAS</w:t>
    </w:r>
    <w:r w:rsidRPr="009040E3">
      <w:rPr>
        <w:rFonts w:ascii="Arial" w:hAnsi="Arial" w:cs="Arial"/>
        <w:b/>
        <w:sz w:val="20"/>
        <w:lang w:val="es-ES_tradnl"/>
      </w:rPr>
      <w:t xml:space="preserve"> FINANCIACIONES</w:t>
    </w:r>
    <w:r>
      <w:rPr>
        <w:rFonts w:ascii="Arial" w:hAnsi="Arial" w:cs="Arial"/>
        <w:b/>
        <w:sz w:val="20"/>
        <w:lang w:val="es-ES_tradnl"/>
      </w:rPr>
      <w:t xml:space="preserve"> CONSOLIDADO</w:t>
    </w:r>
  </w:p>
  <w:p w14:paraId="587C0AB5" w14:textId="030B41CA" w:rsidR="001967BC" w:rsidRPr="009040E3" w:rsidRDefault="001967BC" w:rsidP="00326935">
    <w:pPr>
      <w:pStyle w:val="Header"/>
      <w:jc w:val="center"/>
      <w:rPr>
        <w:rFonts w:ascii="Arial" w:hAnsi="Arial" w:cs="Arial"/>
        <w:b/>
        <w:sz w:val="20"/>
        <w:lang w:val="es-ES_tradnl"/>
      </w:rPr>
    </w:pPr>
    <w:r>
      <w:rPr>
        <w:rFonts w:ascii="Arial" w:hAnsi="Arial" w:cs="Arial"/>
        <w:b/>
        <w:sz w:val="20"/>
        <w:lang w:val="es-ES_tradnl"/>
      </w:rPr>
      <w:t>Al 31 DE MARZO DE 2020</w:t>
    </w:r>
  </w:p>
  <w:p w14:paraId="29B3ABA1" w14:textId="1055EAB8" w:rsidR="001967BC" w:rsidRPr="009040E3" w:rsidRDefault="001967BC" w:rsidP="00326935">
    <w:pPr>
      <w:pStyle w:val="Header"/>
      <w:jc w:val="center"/>
      <w:rPr>
        <w:rFonts w:ascii="Arial" w:hAnsi="Arial" w:cs="Arial"/>
        <w:sz w:val="16"/>
        <w:szCs w:val="16"/>
        <w:lang w:val="es-ES"/>
      </w:rPr>
    </w:pPr>
    <w:r w:rsidRPr="009040E3">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9040E3">
      <w:rPr>
        <w:rFonts w:ascii="Arial" w:hAnsi="Arial" w:cs="Arial"/>
        <w:sz w:val="16"/>
        <w:szCs w:val="16"/>
        <w:lang w:val="es-ES"/>
      </w:rPr>
      <w:t>)</w:t>
    </w:r>
  </w:p>
  <w:p w14:paraId="6CCC0C36" w14:textId="77777777" w:rsidR="001967BC" w:rsidRPr="00F941DB" w:rsidRDefault="001967BC" w:rsidP="00326935">
    <w:pPr>
      <w:pStyle w:val="Header"/>
      <w:jc w:val="center"/>
      <w:rPr>
        <w:rFonts w:ascii="Arial" w:hAnsi="Arial" w:cs="Arial"/>
        <w:sz w:val="20"/>
        <w:lang w:val="es-ES"/>
      </w:rPr>
    </w:pPr>
  </w:p>
  <w:p w14:paraId="6AFD73D1" w14:textId="77777777" w:rsidR="001967BC" w:rsidRPr="00F941DB" w:rsidRDefault="001967BC" w:rsidP="00F941DB">
    <w:pPr>
      <w:pStyle w:val="2Ttulo"/>
      <w:jc w:val="left"/>
      <w:rPr>
        <w:rFonts w:ascii="Arial" w:hAnsi="Arial" w:cs="Arial"/>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581CF" w14:textId="77777777" w:rsidR="001967BC" w:rsidRDefault="001967BC"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222EE6E6" wp14:editId="7C5CC16B">
          <wp:extent cx="1027130" cy="452633"/>
          <wp:effectExtent l="19050" t="0" r="1570" b="0"/>
          <wp:docPr id="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681C494" w14:textId="77777777" w:rsidR="001967BC" w:rsidRDefault="001967BC" w:rsidP="00326935">
    <w:pPr>
      <w:tabs>
        <w:tab w:val="right" w:pos="9214"/>
      </w:tabs>
      <w:ind w:left="142" w:hanging="142"/>
      <w:rPr>
        <w:rFonts w:ascii="Arial" w:hAnsi="Arial" w:cs="Arial"/>
        <w:b/>
        <w:sz w:val="20"/>
        <w:lang w:val="es-ES_tradnl"/>
      </w:rPr>
    </w:pPr>
    <w:r w:rsidRPr="00F941DB">
      <w:rPr>
        <w:rFonts w:ascii="Arial" w:hAnsi="Arial" w:cs="Arial"/>
        <w:b/>
        <w:sz w:val="20"/>
        <w:lang w:val="es-ES_tradnl"/>
      </w:rPr>
      <w:t>ANEXO H</w:t>
    </w:r>
  </w:p>
  <w:p w14:paraId="7B5F4E8F" w14:textId="77777777" w:rsidR="001967BC" w:rsidRPr="002C6517" w:rsidRDefault="001967BC" w:rsidP="00326935">
    <w:pPr>
      <w:tabs>
        <w:tab w:val="right" w:pos="9214"/>
      </w:tabs>
      <w:rPr>
        <w:rFonts w:ascii="Arial" w:hAnsi="Arial" w:cs="Arial"/>
        <w:sz w:val="20"/>
        <w:lang w:val="es-ES"/>
      </w:rPr>
    </w:pPr>
  </w:p>
  <w:p w14:paraId="1255BA44" w14:textId="08CB298B" w:rsidR="001967BC" w:rsidRPr="00F941DB" w:rsidRDefault="001967BC" w:rsidP="00675A40">
    <w:pPr>
      <w:pStyle w:val="Header"/>
      <w:jc w:val="center"/>
      <w:rPr>
        <w:rFonts w:ascii="Arial" w:hAnsi="Arial" w:cs="Arial"/>
        <w:b/>
        <w:sz w:val="20"/>
        <w:lang w:val="es-ES_tradnl"/>
      </w:rPr>
    </w:pPr>
    <w:r w:rsidRPr="00F941DB">
      <w:rPr>
        <w:rFonts w:ascii="Arial" w:hAnsi="Arial" w:cs="Arial"/>
        <w:b/>
        <w:sz w:val="20"/>
        <w:lang w:val="es-ES_tradnl"/>
      </w:rPr>
      <w:t>CONCENTRACI</w:t>
    </w:r>
    <w:r>
      <w:rPr>
        <w:rFonts w:ascii="Arial" w:hAnsi="Arial" w:cs="Arial"/>
        <w:b/>
        <w:sz w:val="20"/>
        <w:lang w:val="es-ES_tradnl"/>
      </w:rPr>
      <w:t>Ó</w:t>
    </w:r>
    <w:r w:rsidRPr="00F941DB">
      <w:rPr>
        <w:rFonts w:ascii="Arial" w:hAnsi="Arial" w:cs="Arial"/>
        <w:b/>
        <w:sz w:val="20"/>
        <w:lang w:val="es-ES_tradnl"/>
      </w:rPr>
      <w:t>N DE LOS DEPOSITOS</w:t>
    </w:r>
    <w:r>
      <w:rPr>
        <w:rFonts w:ascii="Arial" w:hAnsi="Arial" w:cs="Arial"/>
        <w:b/>
        <w:sz w:val="20"/>
        <w:lang w:val="es-ES_tradnl"/>
      </w:rPr>
      <w:t xml:space="preserve"> CONSOLIDADO</w:t>
    </w:r>
  </w:p>
  <w:p w14:paraId="7DD76EFB" w14:textId="2D87C043" w:rsidR="001967BC" w:rsidRPr="009040E3" w:rsidRDefault="001967BC" w:rsidP="00025107">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4CC9A0CC" w14:textId="681C197E" w:rsidR="001967BC" w:rsidRDefault="001967BC" w:rsidP="007F3B18">
    <w:pPr>
      <w:pStyle w:val="Header"/>
      <w:jc w:val="center"/>
      <w:rPr>
        <w:rFonts w:ascii="Arial" w:hAnsi="Arial" w:cs="Arial"/>
        <w:sz w:val="16"/>
        <w:szCs w:val="16"/>
        <w:lang w:val="es-ES"/>
      </w:rPr>
    </w:pPr>
    <w:r w:rsidRPr="002C6517">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2C6517">
      <w:rPr>
        <w:rFonts w:ascii="Arial" w:hAnsi="Arial" w:cs="Arial"/>
        <w:sz w:val="16"/>
        <w:szCs w:val="16"/>
        <w:lang w:val="es-ES"/>
      </w:rPr>
      <w:t>)</w:t>
    </w:r>
  </w:p>
  <w:p w14:paraId="6E2A97A2" w14:textId="77777777" w:rsidR="001967BC" w:rsidRPr="002C6517" w:rsidRDefault="001967BC" w:rsidP="002C6517">
    <w:pPr>
      <w:pStyle w:val="Header"/>
      <w:rPr>
        <w:rFonts w:ascii="Arial" w:hAnsi="Arial" w:cs="Arial"/>
        <w:sz w:val="20"/>
        <w:lang w:val="es-ES"/>
      </w:rPr>
    </w:pPr>
  </w:p>
  <w:p w14:paraId="730826C6" w14:textId="77777777" w:rsidR="001967BC" w:rsidRPr="00F941DB" w:rsidRDefault="001967BC" w:rsidP="002C6517">
    <w:pPr>
      <w:pStyle w:val="Header"/>
      <w:rPr>
        <w:rFonts w:ascii="Arial" w:hAnsi="Arial" w:cs="Arial"/>
        <w:sz w:val="20"/>
        <w:lang w:val="es-ES_tradn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76ECA" w14:textId="77777777" w:rsidR="001967BC" w:rsidRDefault="001967BC"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0D752B19" wp14:editId="6303100F">
          <wp:extent cx="1027130" cy="452633"/>
          <wp:effectExtent l="19050" t="0" r="1570" b="0"/>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5D2464D" w14:textId="77777777" w:rsidR="001967BC" w:rsidRDefault="001967BC" w:rsidP="00326935">
    <w:pPr>
      <w:tabs>
        <w:tab w:val="right" w:pos="9214"/>
      </w:tabs>
      <w:ind w:left="142" w:hanging="142"/>
      <w:rPr>
        <w:rFonts w:ascii="Arial" w:hAnsi="Arial" w:cs="Arial"/>
        <w:b/>
        <w:sz w:val="20"/>
        <w:lang w:val="es-ES_tradnl"/>
      </w:rPr>
    </w:pPr>
    <w:r w:rsidRPr="002C6517">
      <w:rPr>
        <w:rFonts w:ascii="Arial" w:hAnsi="Arial" w:cs="Arial"/>
        <w:b/>
        <w:sz w:val="20"/>
        <w:lang w:val="es-ES_tradnl"/>
      </w:rPr>
      <w:t>ANEXO I</w:t>
    </w:r>
  </w:p>
  <w:p w14:paraId="7EDFC8D1" w14:textId="77777777" w:rsidR="001967BC" w:rsidRPr="002C6517" w:rsidRDefault="001967BC" w:rsidP="002C6517">
    <w:pPr>
      <w:tabs>
        <w:tab w:val="right" w:pos="9214"/>
      </w:tabs>
      <w:ind w:left="142" w:hanging="142"/>
      <w:rPr>
        <w:rFonts w:ascii="Arial" w:hAnsi="Arial" w:cs="Arial"/>
        <w:b/>
        <w:sz w:val="20"/>
        <w:lang w:val="es-ES"/>
      </w:rPr>
    </w:pPr>
  </w:p>
  <w:p w14:paraId="6A27F9C0" w14:textId="77777777" w:rsidR="001967BC" w:rsidRPr="002C6517" w:rsidRDefault="001967BC" w:rsidP="00944CB2">
    <w:pPr>
      <w:pStyle w:val="Header"/>
      <w:jc w:val="center"/>
      <w:rPr>
        <w:rFonts w:ascii="Arial" w:hAnsi="Arial" w:cs="Arial"/>
        <w:b/>
        <w:sz w:val="20"/>
        <w:lang w:val="es-ES_tradnl"/>
      </w:rPr>
    </w:pPr>
    <w:r w:rsidRPr="002C6517">
      <w:rPr>
        <w:rFonts w:ascii="Arial" w:hAnsi="Arial" w:cs="Arial"/>
        <w:b/>
        <w:sz w:val="20"/>
        <w:lang w:val="es-ES_tradnl"/>
      </w:rPr>
      <w:t xml:space="preserve">APERTURA </w:t>
    </w:r>
    <w:r>
      <w:rPr>
        <w:rFonts w:ascii="Arial" w:hAnsi="Arial" w:cs="Arial"/>
        <w:b/>
        <w:sz w:val="20"/>
        <w:lang w:val="es-ES_tradnl"/>
      </w:rPr>
      <w:t>DE PASIVOS FINANCIEROS POR PL</w:t>
    </w:r>
    <w:r w:rsidRPr="002C6517">
      <w:rPr>
        <w:rFonts w:ascii="Arial" w:hAnsi="Arial" w:cs="Arial"/>
        <w:b/>
        <w:sz w:val="20"/>
        <w:lang w:val="es-ES_tradnl"/>
      </w:rPr>
      <w:t>A</w:t>
    </w:r>
    <w:r>
      <w:rPr>
        <w:rFonts w:ascii="Arial" w:hAnsi="Arial" w:cs="Arial"/>
        <w:b/>
        <w:sz w:val="20"/>
        <w:lang w:val="es-ES_tradnl"/>
      </w:rPr>
      <w:t>ZOS REMANENTES CONSOLIDADO</w:t>
    </w:r>
  </w:p>
  <w:p w14:paraId="1AA53676" w14:textId="36C97C4E" w:rsidR="001967BC" w:rsidRPr="002C6517" w:rsidRDefault="001967BC" w:rsidP="00083C78">
    <w:pPr>
      <w:pStyle w:val="Header"/>
      <w:jc w:val="center"/>
      <w:rPr>
        <w:rFonts w:ascii="Arial" w:hAnsi="Arial" w:cs="Arial"/>
        <w:b/>
        <w:sz w:val="20"/>
        <w:lang w:val="es-ES_tradnl"/>
      </w:rPr>
    </w:pPr>
    <w:r>
      <w:rPr>
        <w:rFonts w:ascii="Arial" w:hAnsi="Arial" w:cs="Arial"/>
        <w:b/>
        <w:sz w:val="20"/>
        <w:lang w:val="es-ES_tradnl"/>
      </w:rPr>
      <w:t>AL 31 DE MARZO DE 2020</w:t>
    </w:r>
  </w:p>
  <w:p w14:paraId="4F26FC12" w14:textId="43215060" w:rsidR="001967BC" w:rsidRDefault="001967BC" w:rsidP="00083C78">
    <w:pPr>
      <w:pStyle w:val="Header"/>
      <w:jc w:val="center"/>
      <w:rPr>
        <w:rFonts w:ascii="Arial" w:hAnsi="Arial" w:cs="Arial"/>
        <w:sz w:val="16"/>
        <w:szCs w:val="16"/>
        <w:lang w:val="es-ES"/>
      </w:rPr>
    </w:pPr>
    <w:r w:rsidRPr="002C6517">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2C6517">
      <w:rPr>
        <w:rFonts w:ascii="Arial" w:hAnsi="Arial" w:cs="Arial"/>
        <w:sz w:val="16"/>
        <w:szCs w:val="16"/>
        <w:lang w:val="es-ES"/>
      </w:rPr>
      <w:t>)</w:t>
    </w:r>
  </w:p>
  <w:p w14:paraId="25A12904" w14:textId="77777777" w:rsidR="001967BC" w:rsidRPr="008C1D4C" w:rsidRDefault="001967BC" w:rsidP="002C6517">
    <w:pPr>
      <w:pStyle w:val="Header"/>
      <w:rPr>
        <w:rFonts w:ascii="Arial" w:hAnsi="Arial" w:cs="Arial"/>
        <w:sz w:val="20"/>
        <w:lang w:val="es-ES_tradnl"/>
      </w:rPr>
    </w:pPr>
  </w:p>
  <w:p w14:paraId="32AF3633" w14:textId="77777777" w:rsidR="001967BC" w:rsidRPr="008C1D4C" w:rsidRDefault="001967BC" w:rsidP="008C1D4C">
    <w:pPr>
      <w:pStyle w:val="Header"/>
      <w:rPr>
        <w:rFonts w:ascii="Arial" w:hAnsi="Arial" w:cs="Arial"/>
        <w:sz w:val="20"/>
        <w:lang w:val="es-ES_tradn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4155" w14:textId="77777777" w:rsidR="001967BC" w:rsidRDefault="001967BC"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5E4D0043" wp14:editId="4B0FEC1F">
          <wp:extent cx="1027130" cy="452633"/>
          <wp:effectExtent l="19050" t="0" r="1570" b="0"/>
          <wp:docPr id="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050D2230" w14:textId="77777777" w:rsidR="001967BC" w:rsidRDefault="001967BC" w:rsidP="00326935">
    <w:pPr>
      <w:tabs>
        <w:tab w:val="right" w:pos="9214"/>
      </w:tabs>
      <w:ind w:left="142" w:hanging="142"/>
      <w:rPr>
        <w:rFonts w:ascii="Arial" w:hAnsi="Arial" w:cs="Arial"/>
        <w:b/>
        <w:sz w:val="20"/>
        <w:lang w:val="es-ES_tradnl"/>
      </w:rPr>
    </w:pPr>
    <w:r w:rsidRPr="002C6517">
      <w:rPr>
        <w:rFonts w:ascii="Arial" w:hAnsi="Arial" w:cs="Arial"/>
        <w:b/>
        <w:sz w:val="20"/>
        <w:lang w:val="es-ES_tradnl"/>
      </w:rPr>
      <w:t xml:space="preserve">ANEXO </w:t>
    </w:r>
    <w:r>
      <w:rPr>
        <w:rFonts w:ascii="Arial" w:hAnsi="Arial" w:cs="Arial"/>
        <w:b/>
        <w:sz w:val="20"/>
        <w:lang w:val="es-ES_tradnl"/>
      </w:rPr>
      <w:t>R</w:t>
    </w:r>
  </w:p>
  <w:p w14:paraId="63E549C7" w14:textId="77777777" w:rsidR="001967BC" w:rsidRPr="002C6517" w:rsidRDefault="001967BC" w:rsidP="002C6517">
    <w:pPr>
      <w:tabs>
        <w:tab w:val="right" w:pos="9214"/>
      </w:tabs>
      <w:ind w:left="142" w:hanging="142"/>
      <w:rPr>
        <w:rFonts w:ascii="Arial" w:hAnsi="Arial" w:cs="Arial"/>
        <w:b/>
        <w:sz w:val="20"/>
        <w:lang w:val="es-ES"/>
      </w:rPr>
    </w:pPr>
  </w:p>
  <w:p w14:paraId="6E4C35ED" w14:textId="3725740C" w:rsidR="001967BC" w:rsidRDefault="001967BC" w:rsidP="00944CB2">
    <w:pPr>
      <w:pStyle w:val="Header"/>
      <w:jc w:val="center"/>
      <w:rPr>
        <w:rFonts w:ascii="Arial" w:hAnsi="Arial" w:cs="Arial"/>
        <w:b/>
        <w:sz w:val="20"/>
        <w:lang w:val="es-ES_tradnl"/>
      </w:rPr>
    </w:pPr>
    <w:r>
      <w:rPr>
        <w:rFonts w:ascii="Arial" w:hAnsi="Arial" w:cs="Arial"/>
        <w:b/>
        <w:sz w:val="20"/>
        <w:lang w:val="es-ES_tradnl"/>
      </w:rPr>
      <w:t>CORRECCION DE VALOR POR PÉRDIDAS CONSOLIDADAS</w:t>
    </w:r>
  </w:p>
  <w:p w14:paraId="7CBDAEBE" w14:textId="77777777" w:rsidR="001967BC" w:rsidRPr="002C6517" w:rsidRDefault="001967BC" w:rsidP="00944CB2">
    <w:pPr>
      <w:pStyle w:val="Header"/>
      <w:jc w:val="center"/>
      <w:rPr>
        <w:rFonts w:ascii="Arial" w:hAnsi="Arial" w:cs="Arial"/>
        <w:b/>
        <w:sz w:val="20"/>
        <w:lang w:val="es-ES_tradnl"/>
      </w:rPr>
    </w:pPr>
    <w:r>
      <w:rPr>
        <w:rFonts w:ascii="Arial" w:hAnsi="Arial" w:cs="Arial"/>
        <w:b/>
        <w:sz w:val="20"/>
        <w:lang w:val="es-ES_tradnl"/>
      </w:rPr>
      <w:t>PREVISIONES POR RIESGO DE INCOBRABILIDAD</w:t>
    </w:r>
  </w:p>
  <w:p w14:paraId="13E5B3B9" w14:textId="358376FF" w:rsidR="001967BC" w:rsidRPr="009040E3" w:rsidRDefault="001967BC" w:rsidP="00025107">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6E2C8E0E" w14:textId="2D90EE48" w:rsidR="001967BC" w:rsidRDefault="001967BC" w:rsidP="00083C78">
    <w:pPr>
      <w:pStyle w:val="Header"/>
      <w:jc w:val="center"/>
      <w:rPr>
        <w:rFonts w:ascii="Arial" w:hAnsi="Arial" w:cs="Arial"/>
        <w:sz w:val="16"/>
        <w:szCs w:val="16"/>
        <w:lang w:val="es-ES"/>
      </w:rPr>
    </w:pPr>
    <w:r w:rsidRPr="002C6517">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2C6517">
      <w:rPr>
        <w:rFonts w:ascii="Arial" w:hAnsi="Arial" w:cs="Arial"/>
        <w:sz w:val="16"/>
        <w:szCs w:val="16"/>
        <w:lang w:val="es-ES"/>
      </w:rPr>
      <w:t>)</w:t>
    </w:r>
  </w:p>
  <w:p w14:paraId="3E52A4B9" w14:textId="77777777" w:rsidR="001967BC" w:rsidRPr="008C1D4C" w:rsidRDefault="001967BC" w:rsidP="002C6517">
    <w:pPr>
      <w:pStyle w:val="Header"/>
      <w:rPr>
        <w:rFonts w:ascii="Arial" w:hAnsi="Arial" w:cs="Arial"/>
        <w:sz w:val="20"/>
        <w:lang w:val="es-ES_tradnl"/>
      </w:rPr>
    </w:pPr>
  </w:p>
  <w:p w14:paraId="03862DF2" w14:textId="77777777" w:rsidR="001967BC" w:rsidRPr="008C1D4C" w:rsidRDefault="001967BC" w:rsidP="008C1D4C">
    <w:pPr>
      <w:pStyle w:val="Header"/>
      <w:rPr>
        <w:rFonts w:ascii="Arial" w:hAnsi="Arial" w:cs="Arial"/>
        <w:sz w:val="20"/>
        <w:lang w:val="es-ES_tradn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F1F3D" w14:textId="77777777" w:rsidR="001967BC" w:rsidRDefault="001967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84FEA" w14:textId="77777777" w:rsidR="001967BC" w:rsidRPr="00333643" w:rsidRDefault="001967BC" w:rsidP="00286343">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6A2E4341" wp14:editId="0BD6FDE4">
          <wp:extent cx="1027130" cy="452633"/>
          <wp:effectExtent l="19050" t="0" r="1570" b="0"/>
          <wp:docPr id="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A7EB8D3" w14:textId="77777777" w:rsidR="001967BC" w:rsidRPr="00333643" w:rsidRDefault="001967BC" w:rsidP="00286343">
    <w:pPr>
      <w:tabs>
        <w:tab w:val="right" w:pos="9214"/>
      </w:tabs>
      <w:ind w:left="142" w:hanging="142"/>
      <w:jc w:val="center"/>
      <w:rPr>
        <w:rFonts w:ascii="Arial" w:hAnsi="Arial" w:cs="Arial"/>
        <w:b/>
        <w:sz w:val="20"/>
        <w:lang w:val="es-ES_tradnl"/>
      </w:rPr>
    </w:pPr>
  </w:p>
  <w:p w14:paraId="5A8530F2" w14:textId="77777777" w:rsidR="001967BC" w:rsidRPr="0056456F" w:rsidRDefault="001967BC" w:rsidP="00286343">
    <w:pPr>
      <w:tabs>
        <w:tab w:val="right" w:pos="9214"/>
      </w:tabs>
      <w:rPr>
        <w:rFonts w:ascii="Arial" w:hAnsi="Arial" w:cs="Arial"/>
        <w:b/>
        <w:sz w:val="20"/>
        <w:lang w:val="es-ES_tradnl"/>
      </w:rPr>
    </w:pPr>
  </w:p>
  <w:p w14:paraId="42B399E4" w14:textId="4F74B72D" w:rsidR="001967BC" w:rsidRPr="0017062B" w:rsidRDefault="001967BC" w:rsidP="00286343">
    <w:pPr>
      <w:pStyle w:val="2Ttulo"/>
      <w:rPr>
        <w:rFonts w:ascii="Arial" w:hAnsi="Arial" w:cs="Arial"/>
        <w:sz w:val="20"/>
      </w:rPr>
    </w:pPr>
    <w:r w:rsidRPr="0017062B">
      <w:rPr>
        <w:rFonts w:ascii="Arial" w:hAnsi="Arial" w:cs="Arial"/>
        <w:sz w:val="20"/>
      </w:rPr>
      <w:t xml:space="preserve">ESTADO DE SITUACION </w:t>
    </w:r>
    <w:r>
      <w:rPr>
        <w:rFonts w:ascii="Arial" w:hAnsi="Arial" w:cs="Arial"/>
        <w:sz w:val="20"/>
      </w:rPr>
      <w:t>FINANCIERA</w:t>
    </w:r>
    <w:r w:rsidRPr="006423FF">
      <w:rPr>
        <w:rFonts w:ascii="Arial" w:hAnsi="Arial" w:cs="Arial"/>
        <w:sz w:val="20"/>
      </w:rPr>
      <w:t xml:space="preserve"> </w:t>
    </w:r>
    <w:r>
      <w:rPr>
        <w:rFonts w:ascii="Arial" w:hAnsi="Arial" w:cs="Arial"/>
        <w:sz w:val="20"/>
      </w:rPr>
      <w:t>CONDENSADO INTERMEDIO CONSOLIDADO</w:t>
    </w:r>
  </w:p>
  <w:p w14:paraId="7F23A1D5" w14:textId="7476CFA0" w:rsidR="001967BC" w:rsidRPr="0017062B" w:rsidRDefault="001967BC" w:rsidP="00286343">
    <w:pPr>
      <w:pStyle w:val="2Ttulo"/>
      <w:rPr>
        <w:rFonts w:ascii="Arial" w:hAnsi="Arial" w:cs="Arial"/>
        <w:sz w:val="20"/>
      </w:rPr>
    </w:pPr>
    <w:r>
      <w:rPr>
        <w:rFonts w:ascii="Arial" w:hAnsi="Arial" w:cs="Arial"/>
        <w:sz w:val="20"/>
      </w:rPr>
      <w:t xml:space="preserve"> AL 31 DE MARZO DE 2020</w:t>
    </w:r>
  </w:p>
  <w:p w14:paraId="150458B3" w14:textId="25B22272" w:rsidR="001967BC" w:rsidRDefault="001967BC" w:rsidP="00286343">
    <w:pPr>
      <w:pStyle w:val="2Ttulo"/>
      <w:rPr>
        <w:rFonts w:ascii="Arial" w:hAnsi="Arial" w:cs="Arial"/>
        <w:b w:val="0"/>
        <w:sz w:val="16"/>
        <w:szCs w:val="16"/>
        <w:lang w:val="es-ES_tradnl"/>
      </w:rPr>
    </w:pPr>
    <w:r w:rsidRPr="00905E24">
      <w:rPr>
        <w:rFonts w:ascii="Arial" w:hAnsi="Arial" w:cs="Arial"/>
        <w:b w:val="0"/>
        <w:sz w:val="16"/>
        <w:szCs w:val="16"/>
        <w:lang w:val="es-ES_tradnl"/>
      </w:rPr>
      <w:t>Presentado en forma comparativa con el ejercicio económico final</w:t>
    </w:r>
    <w:r>
      <w:rPr>
        <w:rFonts w:ascii="Arial" w:hAnsi="Arial" w:cs="Arial"/>
        <w:b w:val="0"/>
        <w:sz w:val="16"/>
        <w:szCs w:val="16"/>
        <w:lang w:val="es-ES_tradnl"/>
      </w:rPr>
      <w:t>izado el 31 de diciembre de 2020</w:t>
    </w:r>
  </w:p>
  <w:p w14:paraId="355ED9EA" w14:textId="57122CDA" w:rsidR="001967BC" w:rsidRDefault="001967BC" w:rsidP="00286343">
    <w:pPr>
      <w:pStyle w:val="2Ttulo"/>
      <w:rPr>
        <w:rFonts w:ascii="Arial" w:hAnsi="Arial" w:cs="Arial"/>
        <w:b w:val="0"/>
        <w:sz w:val="16"/>
        <w:szCs w:val="16"/>
      </w:rPr>
    </w:pPr>
    <w:r w:rsidRPr="00905E24">
      <w:rPr>
        <w:rFonts w:ascii="Arial" w:hAnsi="Arial" w:cs="Arial"/>
        <w:b w:val="0"/>
        <w:sz w:val="16"/>
        <w:szCs w:val="16"/>
      </w:rPr>
      <w:t xml:space="preserve"> (Cifras expresadas en miles de pesos</w:t>
    </w:r>
    <w:r>
      <w:rPr>
        <w:rFonts w:ascii="Arial" w:hAnsi="Arial" w:cs="Arial"/>
        <w:b w:val="0"/>
        <w:sz w:val="16"/>
        <w:szCs w:val="16"/>
      </w:rPr>
      <w:t xml:space="preserve"> en moneda homogénea</w:t>
    </w:r>
    <w:r w:rsidRPr="00905E24">
      <w:rPr>
        <w:rFonts w:ascii="Arial" w:hAnsi="Arial" w:cs="Arial"/>
        <w:b w:val="0"/>
        <w:sz w:val="16"/>
        <w:szCs w:val="16"/>
      </w:rPr>
      <w:t>)</w:t>
    </w:r>
  </w:p>
  <w:p w14:paraId="12DAAD6B" w14:textId="77777777" w:rsidR="001967BC" w:rsidRPr="00333643" w:rsidRDefault="001967BC" w:rsidP="00286343">
    <w:pPr>
      <w:pStyle w:val="2Ttulo"/>
      <w:jc w:val="left"/>
      <w:rPr>
        <w:rFonts w:ascii="Arial" w:hAnsi="Arial" w:cs="Arial"/>
        <w:b w:val="0"/>
        <w:sz w:val="20"/>
      </w:rPr>
    </w:pPr>
  </w:p>
  <w:p w14:paraId="6A3B9951" w14:textId="77777777" w:rsidR="001967BC" w:rsidRPr="00333643" w:rsidRDefault="001967BC" w:rsidP="00286343">
    <w:pPr>
      <w:jc w:val="both"/>
      <w:rPr>
        <w:rFonts w:ascii="Arial" w:hAnsi="Arial" w:cs="Arial"/>
        <w:sz w:val="20"/>
      </w:rPr>
    </w:pPr>
  </w:p>
  <w:p w14:paraId="0B75A227" w14:textId="77777777" w:rsidR="001967BC" w:rsidRPr="00286343" w:rsidRDefault="001967BC" w:rsidP="0028634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D6971" w14:textId="77777777" w:rsidR="001967BC" w:rsidRDefault="001967BC"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CE23CAD" wp14:editId="4E3E8367">
          <wp:extent cx="1027130" cy="452633"/>
          <wp:effectExtent l="19050" t="0" r="1570" b="0"/>
          <wp:docPr id="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022F682" w14:textId="77777777" w:rsidR="001967BC" w:rsidRDefault="001967BC" w:rsidP="00A97183">
    <w:pPr>
      <w:tabs>
        <w:tab w:val="right" w:pos="9214"/>
      </w:tabs>
      <w:ind w:left="142" w:hanging="142"/>
      <w:rPr>
        <w:rFonts w:ascii="Arial" w:hAnsi="Arial" w:cs="Arial"/>
        <w:b/>
        <w:sz w:val="20"/>
        <w:lang w:val="es-ES_tradnl"/>
      </w:rPr>
    </w:pPr>
  </w:p>
  <w:p w14:paraId="1857A6A1" w14:textId="77777777" w:rsidR="001967BC" w:rsidRDefault="001967BC" w:rsidP="00A97183">
    <w:pPr>
      <w:tabs>
        <w:tab w:val="right" w:pos="9214"/>
      </w:tabs>
      <w:ind w:left="142" w:hanging="142"/>
      <w:rPr>
        <w:rFonts w:ascii="Arial" w:hAnsi="Arial" w:cs="Arial"/>
        <w:b/>
        <w:sz w:val="20"/>
        <w:lang w:val="es-ES_tradnl"/>
      </w:rPr>
    </w:pPr>
  </w:p>
  <w:p w14:paraId="75A03A50" w14:textId="77777777" w:rsidR="001967BC" w:rsidRDefault="001967BC" w:rsidP="00A97183">
    <w:pPr>
      <w:tabs>
        <w:tab w:val="right" w:pos="9214"/>
      </w:tabs>
      <w:ind w:left="142" w:hanging="142"/>
      <w:rPr>
        <w:rFonts w:ascii="Arial" w:hAnsi="Arial" w:cs="Arial"/>
        <w:b/>
        <w:sz w:val="20"/>
        <w:lang w:val="es-ES_tradnl"/>
      </w:rPr>
    </w:pPr>
  </w:p>
  <w:p w14:paraId="1EEA0860" w14:textId="77777777" w:rsidR="001967BC" w:rsidRDefault="001967BC" w:rsidP="00A97183">
    <w:pPr>
      <w:tabs>
        <w:tab w:val="right" w:pos="9214"/>
      </w:tabs>
      <w:ind w:left="142" w:hanging="142"/>
      <w:rPr>
        <w:rFonts w:ascii="Arial" w:hAnsi="Arial" w:cs="Arial"/>
        <w:b/>
        <w:sz w:val="20"/>
        <w:lang w:val="es-ES_tradnl"/>
      </w:rPr>
    </w:pPr>
  </w:p>
  <w:p w14:paraId="1350015A" w14:textId="77777777" w:rsidR="001967BC" w:rsidRPr="00A97183" w:rsidRDefault="001967BC" w:rsidP="00A97183">
    <w:pPr>
      <w:tabs>
        <w:tab w:val="right" w:pos="9214"/>
      </w:tabs>
      <w:ind w:left="142" w:hanging="142"/>
      <w:rPr>
        <w:rFonts w:ascii="Arial" w:hAnsi="Arial" w:cs="Arial"/>
        <w:b/>
        <w:sz w:val="20"/>
        <w:lang w:val="es-ES_tradnl"/>
      </w:rPr>
    </w:pPr>
  </w:p>
  <w:p w14:paraId="7F508F31" w14:textId="77777777" w:rsidR="001967BC" w:rsidRDefault="001967B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4744" w14:textId="77777777" w:rsidR="001967BC" w:rsidRDefault="001967B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186A6" w14:textId="77777777" w:rsidR="001967BC" w:rsidRDefault="001967BC" w:rsidP="00452D9D">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4F43D5FE" wp14:editId="7875475D">
          <wp:extent cx="1027130" cy="452633"/>
          <wp:effectExtent l="19050" t="0" r="1570" b="0"/>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B077D93" w14:textId="77777777" w:rsidR="001967BC" w:rsidRPr="0056456F" w:rsidRDefault="001967BC" w:rsidP="00452D9D">
    <w:pPr>
      <w:tabs>
        <w:tab w:val="right" w:pos="9214"/>
      </w:tabs>
      <w:ind w:left="142" w:hanging="142"/>
      <w:jc w:val="right"/>
      <w:rPr>
        <w:rFonts w:ascii="Arial" w:hAnsi="Arial" w:cs="Arial"/>
        <w:b/>
        <w:sz w:val="20"/>
        <w:lang w:val="es-ES_tradnl"/>
      </w:rPr>
    </w:pPr>
  </w:p>
  <w:p w14:paraId="59694033" w14:textId="0168A9CA" w:rsidR="001967BC" w:rsidRDefault="001967BC" w:rsidP="00343F2B">
    <w:pPr>
      <w:pStyle w:val="2Ttulo"/>
      <w:rPr>
        <w:rFonts w:ascii="Arial" w:hAnsi="Arial" w:cs="Arial"/>
        <w:sz w:val="20"/>
      </w:rPr>
    </w:pPr>
    <w:r w:rsidRPr="0017062B">
      <w:rPr>
        <w:rFonts w:ascii="Arial" w:hAnsi="Arial" w:cs="Arial"/>
        <w:sz w:val="20"/>
      </w:rPr>
      <w:t xml:space="preserve">ESTADO DE SITUACION </w:t>
    </w:r>
    <w:r>
      <w:rPr>
        <w:rFonts w:ascii="Arial" w:hAnsi="Arial" w:cs="Arial"/>
        <w:sz w:val="20"/>
      </w:rPr>
      <w:t>FINANCIERA CONDENSADO INTERMEDIO SEPARADO</w:t>
    </w:r>
  </w:p>
  <w:p w14:paraId="35D0CF87" w14:textId="44C3EEBB" w:rsidR="001967BC" w:rsidRPr="0017062B" w:rsidRDefault="001967BC" w:rsidP="00343F2B">
    <w:pPr>
      <w:pStyle w:val="2Ttulo"/>
      <w:rPr>
        <w:rFonts w:ascii="Arial" w:hAnsi="Arial" w:cs="Arial"/>
        <w:sz w:val="20"/>
      </w:rPr>
    </w:pPr>
    <w:r>
      <w:rPr>
        <w:rFonts w:ascii="Arial" w:hAnsi="Arial" w:cs="Arial"/>
        <w:sz w:val="20"/>
      </w:rPr>
      <w:t>AL 31 DE MARZO DE 2020</w:t>
    </w:r>
  </w:p>
  <w:p w14:paraId="26B63035" w14:textId="5CD21D8A" w:rsidR="001967BC" w:rsidRPr="00905E24" w:rsidRDefault="001967BC" w:rsidP="005C2DE7">
    <w:pPr>
      <w:pStyle w:val="2Ttulo"/>
      <w:rPr>
        <w:rFonts w:ascii="Arial" w:hAnsi="Arial" w:cs="Arial"/>
        <w:b w:val="0"/>
        <w:sz w:val="16"/>
        <w:szCs w:val="16"/>
        <w:lang w:val="es-ES_tradnl"/>
      </w:rPr>
    </w:pPr>
    <w:r w:rsidRPr="00905E24">
      <w:rPr>
        <w:rFonts w:ascii="Arial" w:hAnsi="Arial" w:cs="Arial"/>
        <w:b w:val="0"/>
        <w:sz w:val="16"/>
        <w:szCs w:val="16"/>
        <w:lang w:val="es-ES_tradnl"/>
      </w:rPr>
      <w:t>Presentado en forma comparativa con el ejercicio económico final</w:t>
    </w:r>
    <w:r>
      <w:rPr>
        <w:rFonts w:ascii="Arial" w:hAnsi="Arial" w:cs="Arial"/>
        <w:b w:val="0"/>
        <w:sz w:val="16"/>
        <w:szCs w:val="16"/>
        <w:lang w:val="es-ES_tradnl"/>
      </w:rPr>
      <w:t>izado el 31 de diciembre de 2019</w:t>
    </w:r>
  </w:p>
  <w:p w14:paraId="366423A4" w14:textId="7D52136F" w:rsidR="001967BC" w:rsidRDefault="001967BC" w:rsidP="005C2DE7">
    <w:pPr>
      <w:pStyle w:val="2Ttulo"/>
      <w:rPr>
        <w:rFonts w:ascii="Arial" w:hAnsi="Arial" w:cs="Arial"/>
        <w:b w:val="0"/>
        <w:sz w:val="16"/>
        <w:szCs w:val="16"/>
      </w:rPr>
    </w:pPr>
    <w:r w:rsidRPr="00905E24">
      <w:rPr>
        <w:rFonts w:ascii="Arial" w:hAnsi="Arial" w:cs="Arial"/>
        <w:b w:val="0"/>
        <w:sz w:val="16"/>
        <w:szCs w:val="16"/>
      </w:rPr>
      <w:t>(Cifras expresa</w:t>
    </w:r>
    <w:r>
      <w:rPr>
        <w:rFonts w:ascii="Arial" w:hAnsi="Arial" w:cs="Arial"/>
        <w:b w:val="0"/>
        <w:sz w:val="16"/>
        <w:szCs w:val="16"/>
      </w:rPr>
      <w:t>das en miles de pesos en moneda homogénea</w:t>
    </w:r>
    <w:r w:rsidRPr="00905E24">
      <w:rPr>
        <w:rFonts w:ascii="Arial" w:hAnsi="Arial" w:cs="Arial"/>
        <w:b w:val="0"/>
        <w:sz w:val="16"/>
        <w:szCs w:val="16"/>
      </w:rPr>
      <w:t>)</w:t>
    </w:r>
  </w:p>
  <w:p w14:paraId="3AB821DF" w14:textId="77777777" w:rsidR="001967BC" w:rsidRPr="00333643" w:rsidRDefault="001967BC" w:rsidP="005C2DE7">
    <w:pPr>
      <w:pStyle w:val="2Ttulo"/>
      <w:jc w:val="left"/>
      <w:rPr>
        <w:rFonts w:ascii="Arial" w:hAnsi="Arial" w:cs="Arial"/>
        <w:b w:val="0"/>
        <w:sz w:val="20"/>
      </w:rPr>
    </w:pPr>
  </w:p>
  <w:p w14:paraId="44F832F1" w14:textId="77777777" w:rsidR="001967BC" w:rsidRPr="00452D9D" w:rsidRDefault="001967BC" w:rsidP="005C2DE7">
    <w:pPr>
      <w:rPr>
        <w:rFonts w:ascii="Arial" w:hAnsi="Arial" w:cs="Arial"/>
        <w:b/>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0E1A3" w14:textId="77777777" w:rsidR="001967BC" w:rsidRDefault="001967BC"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463FAFAC" wp14:editId="1443411D">
          <wp:extent cx="1027130" cy="452633"/>
          <wp:effectExtent l="19050" t="0" r="1570" b="0"/>
          <wp:docPr id="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FBCFC6A" w14:textId="77777777" w:rsidR="001967BC" w:rsidRPr="0017062B" w:rsidRDefault="001967BC" w:rsidP="00452D9D">
    <w:pPr>
      <w:tabs>
        <w:tab w:val="right" w:pos="9214"/>
      </w:tabs>
      <w:ind w:left="142" w:hanging="142"/>
      <w:jc w:val="right"/>
      <w:rPr>
        <w:rFonts w:ascii="Arial" w:hAnsi="Arial" w:cs="Arial"/>
        <w:sz w:val="20"/>
        <w:lang w:val="es-ES"/>
      </w:rPr>
    </w:pPr>
  </w:p>
  <w:p w14:paraId="002C2BF4" w14:textId="6C689982" w:rsidR="001967BC" w:rsidRPr="00D90995" w:rsidRDefault="001967BC" w:rsidP="00316445">
    <w:pPr>
      <w:pStyle w:val="2Ttulo"/>
      <w:rPr>
        <w:rFonts w:ascii="Arial" w:hAnsi="Arial" w:cs="Arial"/>
        <w:sz w:val="20"/>
        <w:lang w:val="es-ES_tradnl"/>
      </w:rPr>
    </w:pPr>
    <w:r>
      <w:rPr>
        <w:rFonts w:ascii="Arial" w:hAnsi="Arial" w:cs="Arial"/>
        <w:sz w:val="20"/>
      </w:rPr>
      <w:t>ESTADO DE RESULTADOS CONDENSADO INTERMEDIO SEPARADO</w:t>
    </w:r>
  </w:p>
  <w:p w14:paraId="399EE105" w14:textId="272663DE" w:rsidR="001967BC" w:rsidRDefault="001967BC" w:rsidP="00B511FF">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PERIODO DE TRES MESES FINALIZADO</w:t>
    </w:r>
  </w:p>
  <w:p w14:paraId="1F2B4B32" w14:textId="7ADDB32A" w:rsidR="001967BC" w:rsidRPr="00B511FF" w:rsidRDefault="001967BC" w:rsidP="00B511FF">
    <w:pPr>
      <w:pStyle w:val="2Ttulo"/>
      <w:rPr>
        <w:rFonts w:ascii="Arial" w:hAnsi="Arial" w:cs="Arial"/>
        <w:b w:val="0"/>
        <w:sz w:val="20"/>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MARZO DE 2020</w:t>
    </w:r>
  </w:p>
  <w:p w14:paraId="5AF07EE0" w14:textId="05639A29" w:rsidR="001967BC" w:rsidRPr="005E5441" w:rsidRDefault="001967BC"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igual periodo del ejercicio</w:t>
    </w:r>
    <w:r w:rsidRPr="005E5441">
      <w:rPr>
        <w:rFonts w:ascii="Arial" w:hAnsi="Arial" w:cs="Arial"/>
        <w:b w:val="0"/>
        <w:sz w:val="16"/>
        <w:szCs w:val="16"/>
        <w:lang w:val="es-ES_tradnl"/>
      </w:rPr>
      <w:t xml:space="preserve"> anterior</w:t>
    </w:r>
  </w:p>
  <w:p w14:paraId="57403CAD" w14:textId="00C3F71C" w:rsidR="001967BC" w:rsidRDefault="001967BC" w:rsidP="00174CCB">
    <w:pPr>
      <w:pStyle w:val="2Ttulo"/>
      <w:rPr>
        <w:rFonts w:ascii="Arial" w:hAnsi="Arial" w:cs="Arial"/>
        <w:b w:val="0"/>
        <w:sz w:val="16"/>
        <w:szCs w:val="16"/>
      </w:rPr>
    </w:pPr>
    <w:r w:rsidRPr="005E5441">
      <w:rPr>
        <w:rFonts w:ascii="Arial" w:hAnsi="Arial" w:cs="Arial"/>
        <w:b w:val="0"/>
        <w:sz w:val="16"/>
        <w:szCs w:val="16"/>
      </w:rPr>
      <w:t>(Cifras expresadas en miles de pesos)</w:t>
    </w:r>
  </w:p>
  <w:p w14:paraId="5664A8DD" w14:textId="77777777" w:rsidR="001967BC" w:rsidRPr="00050353" w:rsidRDefault="001967BC" w:rsidP="00174CCB">
    <w:pPr>
      <w:pStyle w:val="2Ttulo"/>
      <w:jc w:val="left"/>
      <w:rPr>
        <w:rFonts w:ascii="Arial" w:hAnsi="Arial" w:cs="Arial"/>
        <w:b w:val="0"/>
        <w:sz w:val="20"/>
      </w:rPr>
    </w:pPr>
  </w:p>
  <w:p w14:paraId="6EAF1554" w14:textId="77777777" w:rsidR="001967BC" w:rsidRPr="00174CCB" w:rsidRDefault="001967BC" w:rsidP="005C2DE7">
    <w:pPr>
      <w:rPr>
        <w:rFonts w:ascii="Arial" w:hAnsi="Arial" w:cs="Arial"/>
        <w:b/>
        <w:sz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A5522" w14:textId="77777777" w:rsidR="001967BC" w:rsidRDefault="001967BC"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7325B107" wp14:editId="08053BED">
          <wp:extent cx="1027130" cy="452633"/>
          <wp:effectExtent l="19050" t="0" r="1570" b="0"/>
          <wp:docPr id="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7770C57A" w14:textId="77777777" w:rsidR="001967BC" w:rsidRPr="0017062B" w:rsidRDefault="001967BC" w:rsidP="00452D9D">
    <w:pPr>
      <w:tabs>
        <w:tab w:val="right" w:pos="9214"/>
      </w:tabs>
      <w:ind w:left="142" w:hanging="142"/>
      <w:jc w:val="right"/>
      <w:rPr>
        <w:rFonts w:ascii="Arial" w:hAnsi="Arial" w:cs="Arial"/>
        <w:sz w:val="20"/>
        <w:lang w:val="es-ES"/>
      </w:rPr>
    </w:pPr>
  </w:p>
  <w:p w14:paraId="2D5FAF47" w14:textId="77777777" w:rsidR="001967BC" w:rsidRDefault="001967BC" w:rsidP="00316445">
    <w:pPr>
      <w:pStyle w:val="2Ttulo"/>
      <w:rPr>
        <w:rFonts w:ascii="Arial" w:hAnsi="Arial" w:cs="Arial"/>
        <w:sz w:val="20"/>
      </w:rPr>
    </w:pPr>
    <w:r>
      <w:rPr>
        <w:rFonts w:ascii="Arial" w:hAnsi="Arial" w:cs="Arial"/>
        <w:sz w:val="20"/>
      </w:rPr>
      <w:t xml:space="preserve">ESTADO DE RESULTADOS CONDENSADO INTERMEDIO SEPARADO </w:t>
    </w:r>
  </w:p>
  <w:p w14:paraId="3C54C824" w14:textId="33F732AC" w:rsidR="001967BC" w:rsidRPr="00D90995" w:rsidRDefault="001967BC" w:rsidP="00316445">
    <w:pPr>
      <w:pStyle w:val="2Ttulo"/>
      <w:rPr>
        <w:rFonts w:ascii="Arial" w:hAnsi="Arial" w:cs="Arial"/>
        <w:sz w:val="20"/>
        <w:lang w:val="es-ES_tradnl"/>
      </w:rPr>
    </w:pPr>
    <w:r>
      <w:rPr>
        <w:rFonts w:ascii="Arial" w:hAnsi="Arial" w:cs="Arial"/>
        <w:sz w:val="20"/>
      </w:rPr>
      <w:t>– GANANCIA POR ACCION</w:t>
    </w:r>
  </w:p>
  <w:p w14:paraId="1B8ED96F" w14:textId="6F8C2306" w:rsidR="001967BC" w:rsidRDefault="001967BC" w:rsidP="00B511FF">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PERIODO DE TRES MESES FINALIZADO</w:t>
    </w:r>
  </w:p>
  <w:p w14:paraId="52382E52" w14:textId="0ECF46E0" w:rsidR="001967BC" w:rsidRDefault="001967BC" w:rsidP="00B511FF">
    <w:pPr>
      <w:pStyle w:val="2Ttulo"/>
      <w:rPr>
        <w:rFonts w:ascii="Arial" w:hAnsi="Arial" w:cs="Arial"/>
        <w:sz w:val="20"/>
        <w:lang w:val="es-ES_tradnl"/>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MARZO DE 2020</w:t>
    </w:r>
  </w:p>
  <w:p w14:paraId="5055E611" w14:textId="77777777" w:rsidR="001967BC" w:rsidRPr="00B511FF" w:rsidRDefault="001967BC" w:rsidP="00B511FF">
    <w:pPr>
      <w:pStyle w:val="2Ttulo"/>
      <w:rPr>
        <w:rFonts w:ascii="Arial" w:hAnsi="Arial" w:cs="Arial"/>
        <w:b w:val="0"/>
        <w:sz w:val="20"/>
      </w:rPr>
    </w:pPr>
  </w:p>
  <w:p w14:paraId="0A67F1B2" w14:textId="15DA8173" w:rsidR="001967BC" w:rsidRPr="005E5441" w:rsidRDefault="001967BC"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igual período del ejercicio</w:t>
    </w:r>
    <w:r w:rsidRPr="005E5441">
      <w:rPr>
        <w:rFonts w:ascii="Arial" w:hAnsi="Arial" w:cs="Arial"/>
        <w:b w:val="0"/>
        <w:sz w:val="16"/>
        <w:szCs w:val="16"/>
        <w:lang w:val="es-ES_tradnl"/>
      </w:rPr>
      <w:t xml:space="preserve"> anterior</w:t>
    </w:r>
  </w:p>
  <w:p w14:paraId="50AFF322" w14:textId="4E8A756C" w:rsidR="001967BC" w:rsidRDefault="001967BC" w:rsidP="00174CCB">
    <w:pPr>
      <w:pStyle w:val="2Ttulo"/>
      <w:rPr>
        <w:rFonts w:ascii="Arial" w:hAnsi="Arial" w:cs="Arial"/>
        <w:b w:val="0"/>
        <w:sz w:val="16"/>
        <w:szCs w:val="16"/>
      </w:rPr>
    </w:pPr>
    <w:r w:rsidRPr="005E5441">
      <w:rPr>
        <w:rFonts w:ascii="Arial" w:hAnsi="Arial" w:cs="Arial"/>
        <w:b w:val="0"/>
        <w:sz w:val="16"/>
        <w:szCs w:val="16"/>
      </w:rPr>
      <w:t>(Cifras expresadas en miles de pesos</w:t>
    </w:r>
    <w:r>
      <w:rPr>
        <w:rFonts w:ascii="Arial" w:hAnsi="Arial" w:cs="Arial"/>
        <w:b w:val="0"/>
        <w:sz w:val="16"/>
        <w:szCs w:val="16"/>
      </w:rPr>
      <w:t xml:space="preserve"> en moneda homogénea</w:t>
    </w:r>
    <w:r w:rsidRPr="005E5441">
      <w:rPr>
        <w:rFonts w:ascii="Arial" w:hAnsi="Arial" w:cs="Arial"/>
        <w:b w:val="0"/>
        <w:sz w:val="16"/>
        <w:szCs w:val="16"/>
      </w:rPr>
      <w:t>)</w:t>
    </w:r>
  </w:p>
  <w:p w14:paraId="090F4568" w14:textId="77777777" w:rsidR="001967BC" w:rsidRPr="00050353" w:rsidRDefault="001967BC" w:rsidP="00174CCB">
    <w:pPr>
      <w:pStyle w:val="2Ttulo"/>
      <w:jc w:val="left"/>
      <w:rPr>
        <w:rFonts w:ascii="Arial" w:hAnsi="Arial" w:cs="Arial"/>
        <w:b w:val="0"/>
        <w:sz w:val="20"/>
      </w:rPr>
    </w:pPr>
  </w:p>
  <w:p w14:paraId="29E66965" w14:textId="77777777" w:rsidR="001967BC" w:rsidRPr="00174CCB" w:rsidRDefault="001967BC" w:rsidP="005C2DE7">
    <w:pPr>
      <w:rPr>
        <w:rFonts w:ascii="Arial" w:hAnsi="Arial" w:cs="Arial"/>
        <w:b/>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1B29B" w14:textId="77777777" w:rsidR="001967BC" w:rsidRDefault="001967BC"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4BD8B99B" wp14:editId="54554639">
          <wp:extent cx="1027130" cy="452633"/>
          <wp:effectExtent l="19050" t="0" r="1570" b="0"/>
          <wp:docPr id="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34CDD7D9" w14:textId="77777777" w:rsidR="001967BC" w:rsidRPr="0017062B" w:rsidRDefault="001967BC" w:rsidP="00452D9D">
    <w:pPr>
      <w:tabs>
        <w:tab w:val="right" w:pos="9214"/>
      </w:tabs>
      <w:ind w:left="142" w:hanging="142"/>
      <w:jc w:val="right"/>
      <w:rPr>
        <w:rFonts w:ascii="Arial" w:hAnsi="Arial" w:cs="Arial"/>
        <w:sz w:val="20"/>
        <w:lang w:val="es-ES"/>
      </w:rPr>
    </w:pPr>
  </w:p>
  <w:p w14:paraId="57DE7D44" w14:textId="3B47C5B6" w:rsidR="001967BC" w:rsidRDefault="001967BC" w:rsidP="002669F4">
    <w:pPr>
      <w:pStyle w:val="2Ttulo"/>
      <w:rPr>
        <w:rFonts w:ascii="Arial" w:hAnsi="Arial" w:cs="Arial"/>
        <w:sz w:val="20"/>
        <w:lang w:val="es-ES_tradnl"/>
      </w:rPr>
    </w:pPr>
    <w:r>
      <w:rPr>
        <w:rFonts w:ascii="Arial" w:hAnsi="Arial" w:cs="Arial"/>
        <w:sz w:val="20"/>
      </w:rPr>
      <w:t>ESTADO DE OTROS RESULTADOS INTEGRALES CONDENSADO INTERMEDIO SEPARADO</w:t>
    </w:r>
  </w:p>
  <w:p w14:paraId="001E3BAD" w14:textId="4C632EF4" w:rsidR="001967BC" w:rsidRDefault="001967BC" w:rsidP="006D010A">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PERIODO DE TRES MESES FINALIZADO</w:t>
    </w:r>
  </w:p>
  <w:p w14:paraId="0D7886F4" w14:textId="029D1163" w:rsidR="001967BC" w:rsidRPr="00B511FF" w:rsidRDefault="001967BC" w:rsidP="006D010A">
    <w:pPr>
      <w:pStyle w:val="2Ttulo"/>
      <w:rPr>
        <w:rFonts w:ascii="Arial" w:hAnsi="Arial" w:cs="Arial"/>
        <w:b w:val="0"/>
        <w:sz w:val="20"/>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MARZO DE 2020 y 2019</w:t>
    </w:r>
  </w:p>
  <w:p w14:paraId="63DDEBAC" w14:textId="211B5C31" w:rsidR="001967BC" w:rsidRPr="005E5441" w:rsidRDefault="001967BC"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igual período del ejercicio </w:t>
    </w:r>
    <w:r w:rsidRPr="005E5441">
      <w:rPr>
        <w:rFonts w:ascii="Arial" w:hAnsi="Arial" w:cs="Arial"/>
        <w:b w:val="0"/>
        <w:sz w:val="16"/>
        <w:szCs w:val="16"/>
        <w:lang w:val="es-ES_tradnl"/>
      </w:rPr>
      <w:t>anterior</w:t>
    </w:r>
  </w:p>
  <w:p w14:paraId="53A705B1" w14:textId="19C409CD" w:rsidR="001967BC" w:rsidRDefault="001967BC" w:rsidP="00174CCB">
    <w:pPr>
      <w:pStyle w:val="2Ttulo"/>
      <w:rPr>
        <w:rFonts w:ascii="Arial" w:hAnsi="Arial" w:cs="Arial"/>
        <w:b w:val="0"/>
        <w:sz w:val="16"/>
        <w:szCs w:val="16"/>
      </w:rPr>
    </w:pPr>
    <w:r w:rsidRPr="005E5441">
      <w:rPr>
        <w:rFonts w:ascii="Arial" w:hAnsi="Arial" w:cs="Arial"/>
        <w:b w:val="0"/>
        <w:sz w:val="16"/>
        <w:szCs w:val="16"/>
      </w:rPr>
      <w:t>(Cifras expresadas en miles de pesos</w:t>
    </w:r>
    <w:r>
      <w:rPr>
        <w:rFonts w:ascii="Arial" w:hAnsi="Arial" w:cs="Arial"/>
        <w:b w:val="0"/>
        <w:sz w:val="16"/>
        <w:szCs w:val="16"/>
      </w:rPr>
      <w:t xml:space="preserve"> en moneda homogénea</w:t>
    </w:r>
    <w:r w:rsidRPr="005E5441">
      <w:rPr>
        <w:rFonts w:ascii="Arial" w:hAnsi="Arial" w:cs="Arial"/>
        <w:b w:val="0"/>
        <w:sz w:val="16"/>
        <w:szCs w:val="16"/>
      </w:rPr>
      <w:t>)</w:t>
    </w:r>
  </w:p>
  <w:p w14:paraId="499239D5" w14:textId="77777777" w:rsidR="001967BC" w:rsidRPr="00050353" w:rsidRDefault="001967BC" w:rsidP="00174CCB">
    <w:pPr>
      <w:pStyle w:val="2Ttulo"/>
      <w:jc w:val="left"/>
      <w:rPr>
        <w:rFonts w:ascii="Arial" w:hAnsi="Arial" w:cs="Arial"/>
        <w:b w:val="0"/>
        <w:sz w:val="20"/>
      </w:rPr>
    </w:pPr>
  </w:p>
  <w:p w14:paraId="09C174C0" w14:textId="77777777" w:rsidR="001967BC" w:rsidRPr="00174CCB" w:rsidRDefault="001967BC" w:rsidP="005C2DE7">
    <w:pPr>
      <w:rPr>
        <w:rFonts w:ascii="Arial" w:hAnsi="Arial" w:cs="Arial"/>
        <w:b/>
        <w:sz w:val="2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A8D3" w14:textId="77777777" w:rsidR="001967BC" w:rsidRDefault="001967BC"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6673ED85" wp14:editId="086BE7FA">
          <wp:extent cx="1027130" cy="452633"/>
          <wp:effectExtent l="19050" t="0" r="1570" b="0"/>
          <wp:docPr id="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9D57FE5" w14:textId="77777777" w:rsidR="001967BC" w:rsidRPr="0017062B" w:rsidRDefault="001967BC" w:rsidP="00452D9D">
    <w:pPr>
      <w:tabs>
        <w:tab w:val="right" w:pos="9214"/>
      </w:tabs>
      <w:ind w:left="142" w:hanging="142"/>
      <w:jc w:val="right"/>
      <w:rPr>
        <w:rFonts w:ascii="Arial" w:hAnsi="Arial" w:cs="Arial"/>
        <w:sz w:val="20"/>
        <w:lang w:val="es-ES"/>
      </w:rPr>
    </w:pPr>
  </w:p>
  <w:p w14:paraId="2E98347B" w14:textId="0D52340D" w:rsidR="001967BC" w:rsidRDefault="001967BC" w:rsidP="002669F4">
    <w:pPr>
      <w:pStyle w:val="2Ttulo"/>
      <w:rPr>
        <w:rFonts w:ascii="Arial" w:hAnsi="Arial" w:cs="Arial"/>
        <w:sz w:val="20"/>
        <w:lang w:val="es-ES_tradnl"/>
      </w:rPr>
    </w:pPr>
    <w:r>
      <w:rPr>
        <w:rFonts w:ascii="Arial" w:hAnsi="Arial" w:cs="Arial"/>
        <w:sz w:val="20"/>
      </w:rPr>
      <w:t>ESTADO DE CAMBIOS EN EL PATRIMONIO CONDENSADO INTERMEDIO SEPARADO</w:t>
    </w:r>
  </w:p>
  <w:p w14:paraId="7670443C" w14:textId="3AE813E2" w:rsidR="001967BC" w:rsidRDefault="001967BC" w:rsidP="006D010A">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PERIODO DE TRES MESES FINALIZADO</w:t>
    </w:r>
  </w:p>
  <w:p w14:paraId="202226AE" w14:textId="38394964" w:rsidR="001967BC" w:rsidRPr="00B511FF" w:rsidRDefault="001967BC" w:rsidP="006D010A">
    <w:pPr>
      <w:pStyle w:val="2Ttulo"/>
      <w:rPr>
        <w:rFonts w:ascii="Arial" w:hAnsi="Arial" w:cs="Arial"/>
        <w:b w:val="0"/>
        <w:sz w:val="20"/>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MARZO DE 2020</w:t>
    </w:r>
  </w:p>
  <w:p w14:paraId="5932AC70" w14:textId="65EC8E56" w:rsidR="001967BC" w:rsidRPr="005E5441" w:rsidRDefault="001967BC"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igual período del ejercicio</w:t>
    </w:r>
    <w:r w:rsidRPr="005E5441">
      <w:rPr>
        <w:rFonts w:ascii="Arial" w:hAnsi="Arial" w:cs="Arial"/>
        <w:b w:val="0"/>
        <w:sz w:val="16"/>
        <w:szCs w:val="16"/>
        <w:lang w:val="es-ES_tradnl"/>
      </w:rPr>
      <w:t xml:space="preserve"> anterior</w:t>
    </w:r>
  </w:p>
  <w:p w14:paraId="080E2C9E" w14:textId="4DD92C4D" w:rsidR="001967BC" w:rsidRDefault="001967BC" w:rsidP="00174CCB">
    <w:pPr>
      <w:pStyle w:val="2Ttulo"/>
      <w:rPr>
        <w:rFonts w:ascii="Arial" w:hAnsi="Arial" w:cs="Arial"/>
        <w:b w:val="0"/>
        <w:sz w:val="16"/>
        <w:szCs w:val="16"/>
      </w:rPr>
    </w:pPr>
    <w:r w:rsidRPr="005E5441">
      <w:rPr>
        <w:rFonts w:ascii="Arial" w:hAnsi="Arial" w:cs="Arial"/>
        <w:b w:val="0"/>
        <w:sz w:val="16"/>
        <w:szCs w:val="16"/>
      </w:rPr>
      <w:t>(Cifras expresadas en miles de pesos</w:t>
    </w:r>
    <w:r>
      <w:rPr>
        <w:rFonts w:ascii="Arial" w:hAnsi="Arial" w:cs="Arial"/>
        <w:b w:val="0"/>
        <w:sz w:val="16"/>
        <w:szCs w:val="16"/>
      </w:rPr>
      <w:t xml:space="preserve"> en moneda homogénea</w:t>
    </w:r>
    <w:r w:rsidRPr="005E5441">
      <w:rPr>
        <w:rFonts w:ascii="Arial" w:hAnsi="Arial" w:cs="Arial"/>
        <w:b w:val="0"/>
        <w:sz w:val="16"/>
        <w:szCs w:val="16"/>
      </w:rPr>
      <w:t>)</w:t>
    </w:r>
  </w:p>
  <w:p w14:paraId="7AE2F350" w14:textId="77777777" w:rsidR="001967BC" w:rsidRPr="00174CCB" w:rsidRDefault="001967BC" w:rsidP="005C2DE7">
    <w:pPr>
      <w:rPr>
        <w:rFonts w:ascii="Arial" w:hAnsi="Arial" w:cs="Arial"/>
        <w:b/>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1B548" w14:textId="77777777" w:rsidR="001967BC" w:rsidRDefault="001967BC" w:rsidP="00452D9D">
    <w:pPr>
      <w:pStyle w:val="2Ttulo"/>
      <w:jc w:val="right"/>
      <w:rPr>
        <w:rFonts w:ascii="Arial" w:hAnsi="Arial" w:cs="Arial"/>
        <w:sz w:val="20"/>
      </w:rPr>
    </w:pPr>
    <w:r w:rsidRPr="009042A8">
      <w:rPr>
        <w:rFonts w:ascii="Arial" w:hAnsi="Arial" w:cs="Arial"/>
        <w:noProof/>
        <w:sz w:val="20"/>
        <w:lang w:eastAsia="es-AR"/>
      </w:rPr>
      <w:drawing>
        <wp:inline distT="0" distB="0" distL="0" distR="0" wp14:anchorId="2EAF2170" wp14:editId="0FA28155">
          <wp:extent cx="1027130" cy="452633"/>
          <wp:effectExtent l="19050" t="0" r="1570" b="0"/>
          <wp:docPr id="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2B47E78" w14:textId="77777777" w:rsidR="001967BC" w:rsidRPr="000C455E" w:rsidRDefault="001967BC" w:rsidP="00452D9D">
    <w:pPr>
      <w:pStyle w:val="2Ttulo"/>
      <w:jc w:val="right"/>
      <w:rPr>
        <w:rFonts w:ascii="Arial" w:hAnsi="Arial" w:cs="Arial"/>
        <w:sz w:val="20"/>
      </w:rPr>
    </w:pPr>
  </w:p>
  <w:p w14:paraId="4164B06A" w14:textId="5ECC7F10" w:rsidR="001967BC" w:rsidRPr="000C455E" w:rsidRDefault="001967BC" w:rsidP="00F50B2D">
    <w:pPr>
      <w:pStyle w:val="2Ttulo"/>
      <w:rPr>
        <w:rFonts w:ascii="Arial" w:hAnsi="Arial" w:cs="Arial"/>
        <w:sz w:val="20"/>
      </w:rPr>
    </w:pPr>
    <w:r w:rsidRPr="000C455E">
      <w:rPr>
        <w:rFonts w:ascii="Arial" w:hAnsi="Arial" w:cs="Arial"/>
        <w:sz w:val="20"/>
      </w:rPr>
      <w:t>ESTADO DE FLUJO</w:t>
    </w:r>
    <w:r>
      <w:rPr>
        <w:rFonts w:ascii="Arial" w:hAnsi="Arial" w:cs="Arial"/>
        <w:sz w:val="20"/>
      </w:rPr>
      <w:t>S</w:t>
    </w:r>
    <w:r w:rsidRPr="000C455E">
      <w:rPr>
        <w:rFonts w:ascii="Arial" w:hAnsi="Arial" w:cs="Arial"/>
        <w:sz w:val="20"/>
      </w:rPr>
      <w:t xml:space="preserve"> DE EFECTIVO</w:t>
    </w:r>
    <w:r>
      <w:rPr>
        <w:rFonts w:ascii="Arial" w:hAnsi="Arial" w:cs="Arial"/>
        <w:sz w:val="20"/>
      </w:rPr>
      <w:t xml:space="preserve"> CONDENSADO INTERMEDIO SEPARADO </w:t>
    </w:r>
  </w:p>
  <w:p w14:paraId="4ED09EC9" w14:textId="79995144" w:rsidR="001967BC" w:rsidRDefault="001967BC" w:rsidP="00F50B2D">
    <w:pPr>
      <w:pStyle w:val="2Ttulo"/>
      <w:rPr>
        <w:rFonts w:ascii="Arial" w:hAnsi="Arial" w:cs="Arial"/>
        <w:sz w:val="20"/>
        <w:lang w:val="es-ES_tradnl"/>
      </w:rPr>
    </w:pPr>
    <w:r w:rsidRPr="000C455E">
      <w:rPr>
        <w:rFonts w:ascii="Arial" w:hAnsi="Arial" w:cs="Arial"/>
        <w:sz w:val="20"/>
        <w:lang w:val="es-ES_tradnl"/>
      </w:rPr>
      <w:t xml:space="preserve">CORRESPONDIENTE AL </w:t>
    </w:r>
    <w:r>
      <w:rPr>
        <w:rFonts w:ascii="Arial" w:hAnsi="Arial" w:cs="Arial"/>
        <w:sz w:val="20"/>
        <w:lang w:val="es-ES_tradnl"/>
      </w:rPr>
      <w:t>PERIODO DE TRES MESES FINALIZADO</w:t>
    </w:r>
  </w:p>
  <w:p w14:paraId="34685B6A" w14:textId="1A971240" w:rsidR="001967BC" w:rsidRPr="000C455E" w:rsidRDefault="001967BC" w:rsidP="00F50B2D">
    <w:pPr>
      <w:pStyle w:val="2Ttulo"/>
      <w:rPr>
        <w:rFonts w:ascii="Arial" w:hAnsi="Arial" w:cs="Arial"/>
        <w:sz w:val="20"/>
        <w:lang w:val="es-ES_tradnl"/>
      </w:rPr>
    </w:pPr>
    <w:r>
      <w:rPr>
        <w:rFonts w:ascii="Arial" w:hAnsi="Arial" w:cs="Arial"/>
        <w:sz w:val="20"/>
        <w:lang w:val="es-ES_tradnl"/>
      </w:rPr>
      <w:t>EL 31 DE MARZO DE 2020</w:t>
    </w:r>
  </w:p>
  <w:p w14:paraId="2287B58B" w14:textId="304FE7EC" w:rsidR="001967BC" w:rsidRPr="005E5441" w:rsidRDefault="001967BC" w:rsidP="00F50B2D">
    <w:pPr>
      <w:pStyle w:val="2Ttulo"/>
      <w:rPr>
        <w:rFonts w:ascii="Arial" w:hAnsi="Arial" w:cs="Arial"/>
        <w:b w:val="0"/>
        <w:sz w:val="16"/>
        <w:szCs w:val="16"/>
        <w:lang w:val="es-ES_tradnl"/>
      </w:rPr>
    </w:pPr>
    <w:r w:rsidRPr="005E5441">
      <w:rPr>
        <w:rFonts w:ascii="Arial" w:hAnsi="Arial" w:cs="Arial"/>
        <w:b w:val="0"/>
        <w:sz w:val="16"/>
        <w:szCs w:val="16"/>
        <w:lang w:val="es-ES_tradnl"/>
      </w:rPr>
      <w:t>Presentado en forma comparativa con</w:t>
    </w:r>
    <w:r>
      <w:rPr>
        <w:rFonts w:ascii="Arial" w:hAnsi="Arial" w:cs="Arial"/>
        <w:b w:val="0"/>
        <w:sz w:val="16"/>
        <w:szCs w:val="16"/>
        <w:lang w:val="es-ES_tradnl"/>
      </w:rPr>
      <w:t xml:space="preserve"> igual período del ejercicio</w:t>
    </w:r>
    <w:r w:rsidRPr="005E5441">
      <w:rPr>
        <w:rFonts w:ascii="Arial" w:hAnsi="Arial" w:cs="Arial"/>
        <w:b w:val="0"/>
        <w:sz w:val="16"/>
        <w:szCs w:val="16"/>
        <w:lang w:val="es-ES_tradnl"/>
      </w:rPr>
      <w:t xml:space="preserve"> anterior</w:t>
    </w:r>
  </w:p>
  <w:p w14:paraId="4B4C6CA3" w14:textId="3921A5FE" w:rsidR="001967BC" w:rsidRDefault="001967BC" w:rsidP="00AD18AE">
    <w:pPr>
      <w:pStyle w:val="2Ttulo"/>
      <w:pageBreakBefore/>
      <w:rPr>
        <w:rFonts w:ascii="Arial" w:hAnsi="Arial" w:cs="Arial"/>
        <w:b w:val="0"/>
        <w:sz w:val="16"/>
        <w:szCs w:val="16"/>
      </w:rPr>
    </w:pPr>
    <w:r w:rsidRPr="005E5441">
      <w:rPr>
        <w:rFonts w:ascii="Arial" w:hAnsi="Arial" w:cs="Arial"/>
        <w:b w:val="0"/>
        <w:sz w:val="16"/>
        <w:szCs w:val="16"/>
      </w:rPr>
      <w:t>(Cifras expresad</w:t>
    </w:r>
    <w:r>
      <w:rPr>
        <w:rFonts w:ascii="Arial" w:hAnsi="Arial" w:cs="Arial"/>
        <w:b w:val="0"/>
        <w:sz w:val="16"/>
        <w:szCs w:val="16"/>
      </w:rPr>
      <w:t>as en miles de pesos en moneda homogénea</w:t>
    </w:r>
    <w:r w:rsidRPr="005E5441">
      <w:rPr>
        <w:rFonts w:ascii="Arial" w:hAnsi="Arial" w:cs="Arial"/>
        <w:b w:val="0"/>
        <w:sz w:val="16"/>
        <w:szCs w:val="16"/>
      </w:rPr>
      <w:t>)</w:t>
    </w:r>
  </w:p>
  <w:p w14:paraId="4DF08C92" w14:textId="77777777" w:rsidR="001967BC" w:rsidRDefault="001967BC" w:rsidP="0080598B">
    <w:pPr>
      <w:pageBreakBefore/>
      <w:tabs>
        <w:tab w:val="right" w:pos="9214"/>
      </w:tabs>
      <w:ind w:left="142" w:hanging="142"/>
      <w:rPr>
        <w:rFonts w:ascii="Arial" w:hAnsi="Arial" w:cs="Arial"/>
        <w:b/>
        <w:sz w:val="20"/>
        <w:lang w:val="es-ES_tradnl"/>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86A53" w14:textId="77777777" w:rsidR="001967BC" w:rsidRDefault="001967BC" w:rsidP="00452D9D">
    <w:pPr>
      <w:pStyle w:val="2Ttulo"/>
      <w:jc w:val="right"/>
      <w:rPr>
        <w:rFonts w:ascii="Arial" w:hAnsi="Arial" w:cs="Arial"/>
        <w:sz w:val="20"/>
      </w:rPr>
    </w:pPr>
    <w:r w:rsidRPr="009042A8">
      <w:rPr>
        <w:rFonts w:ascii="Arial" w:hAnsi="Arial" w:cs="Arial"/>
        <w:noProof/>
        <w:sz w:val="20"/>
        <w:lang w:eastAsia="es-AR"/>
      </w:rPr>
      <w:drawing>
        <wp:inline distT="0" distB="0" distL="0" distR="0" wp14:anchorId="501E8F85" wp14:editId="3F74D335">
          <wp:extent cx="1027130" cy="452633"/>
          <wp:effectExtent l="19050" t="0" r="1570" b="0"/>
          <wp:docPr id="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AB3C4F3" w14:textId="77777777" w:rsidR="001967BC" w:rsidRPr="000C455E" w:rsidRDefault="001967BC" w:rsidP="00452D9D">
    <w:pPr>
      <w:pStyle w:val="2Ttulo"/>
      <w:jc w:val="right"/>
      <w:rPr>
        <w:rFonts w:ascii="Arial" w:hAnsi="Arial" w:cs="Arial"/>
        <w:sz w:val="20"/>
      </w:rPr>
    </w:pPr>
  </w:p>
  <w:p w14:paraId="641D9341" w14:textId="07AA1D77" w:rsidR="001967BC" w:rsidRDefault="001967BC" w:rsidP="00A84C27">
    <w:pPr>
      <w:pStyle w:val="2Ttulo"/>
      <w:rPr>
        <w:rFonts w:ascii="Arial" w:hAnsi="Arial" w:cs="Arial"/>
        <w:sz w:val="20"/>
      </w:rPr>
    </w:pPr>
    <w:r w:rsidRPr="000C455E">
      <w:rPr>
        <w:rFonts w:ascii="Arial" w:hAnsi="Arial" w:cs="Arial"/>
        <w:sz w:val="20"/>
      </w:rPr>
      <w:t xml:space="preserve">NOTAS A LOS ESTADOS </w:t>
    </w:r>
    <w:r>
      <w:rPr>
        <w:rFonts w:ascii="Arial" w:hAnsi="Arial" w:cs="Arial"/>
        <w:sz w:val="20"/>
      </w:rPr>
      <w:t>FINANCIEROS CONDENSADOS INTERMEDIOS</w:t>
    </w:r>
    <w:r w:rsidRPr="00812AED">
      <w:rPr>
        <w:rFonts w:ascii="Arial" w:hAnsi="Arial" w:cs="Arial"/>
        <w:sz w:val="20"/>
      </w:rPr>
      <w:t xml:space="preserve"> </w:t>
    </w:r>
    <w:r>
      <w:rPr>
        <w:rFonts w:ascii="Arial" w:hAnsi="Arial" w:cs="Arial"/>
        <w:sz w:val="20"/>
      </w:rPr>
      <w:t>SEPARADOS</w:t>
    </w:r>
  </w:p>
  <w:p w14:paraId="7D976D19" w14:textId="63096185" w:rsidR="001967BC" w:rsidRPr="000C455E" w:rsidRDefault="001967BC" w:rsidP="00A84C27">
    <w:pPr>
      <w:pStyle w:val="2Ttulo"/>
      <w:rPr>
        <w:rFonts w:ascii="Arial" w:hAnsi="Arial" w:cs="Arial"/>
        <w:b w:val="0"/>
        <w:sz w:val="20"/>
      </w:rPr>
    </w:pPr>
    <w:r w:rsidRPr="000009EA">
      <w:rPr>
        <w:rFonts w:ascii="Arial" w:hAnsi="Arial" w:cs="Arial"/>
        <w:sz w:val="20"/>
      </w:rPr>
      <w:t>AL</w:t>
    </w:r>
    <w:r>
      <w:rPr>
        <w:rFonts w:ascii="Arial" w:hAnsi="Arial" w:cs="Arial"/>
        <w:sz w:val="20"/>
      </w:rPr>
      <w:t xml:space="preserve"> 31</w:t>
    </w:r>
    <w:r w:rsidRPr="000C455E">
      <w:rPr>
        <w:rFonts w:ascii="Arial" w:hAnsi="Arial" w:cs="Arial"/>
        <w:sz w:val="20"/>
      </w:rPr>
      <w:t xml:space="preserve"> DE</w:t>
    </w:r>
    <w:r>
      <w:rPr>
        <w:rFonts w:ascii="Arial" w:hAnsi="Arial" w:cs="Arial"/>
        <w:sz w:val="20"/>
      </w:rPr>
      <w:t xml:space="preserve"> MARZO DE 2020</w:t>
    </w:r>
  </w:p>
  <w:p w14:paraId="35415B95" w14:textId="77777777" w:rsidR="001967BC" w:rsidRPr="006426AF" w:rsidRDefault="001967BC" w:rsidP="00A84C27">
    <w:pPr>
      <w:pStyle w:val="2Ttulo"/>
      <w:rPr>
        <w:rFonts w:ascii="Arial" w:hAnsi="Arial" w:cs="Arial"/>
        <w:b w:val="0"/>
        <w:sz w:val="16"/>
        <w:szCs w:val="16"/>
        <w:lang w:val="es-ES_tradnl"/>
      </w:rPr>
    </w:pPr>
    <w:r w:rsidRPr="006426AF">
      <w:rPr>
        <w:rFonts w:ascii="Arial" w:hAnsi="Arial" w:cs="Arial"/>
        <w:b w:val="0"/>
        <w:sz w:val="16"/>
        <w:szCs w:val="16"/>
        <w:lang w:val="es-ES_tradnl"/>
      </w:rPr>
      <w:t xml:space="preserve">Presentadas en forma comparativa </w:t>
    </w:r>
  </w:p>
  <w:p w14:paraId="27633494" w14:textId="2CAE561B" w:rsidR="001967BC" w:rsidRDefault="001967BC" w:rsidP="00A84C27">
    <w:pPr>
      <w:pStyle w:val="2Ttulo"/>
      <w:rPr>
        <w:rFonts w:ascii="Arial" w:hAnsi="Arial" w:cs="Arial"/>
        <w:b w:val="0"/>
        <w:sz w:val="16"/>
        <w:szCs w:val="16"/>
      </w:rPr>
    </w:pPr>
    <w:r w:rsidRPr="006426AF">
      <w:rPr>
        <w:rFonts w:ascii="Arial" w:hAnsi="Arial" w:cs="Arial"/>
        <w:b w:val="0"/>
        <w:sz w:val="16"/>
        <w:szCs w:val="16"/>
      </w:rPr>
      <w:t xml:space="preserve"> (Cifras expresadas en miles de pesos</w:t>
    </w:r>
    <w:r>
      <w:rPr>
        <w:rFonts w:ascii="Arial" w:hAnsi="Arial" w:cs="Arial"/>
        <w:b w:val="0"/>
        <w:sz w:val="16"/>
        <w:szCs w:val="16"/>
      </w:rPr>
      <w:t xml:space="preserve"> en moneda homogénea</w:t>
    </w:r>
    <w:r w:rsidRPr="006426AF">
      <w:rPr>
        <w:rFonts w:ascii="Arial" w:hAnsi="Arial" w:cs="Arial"/>
        <w:b w:val="0"/>
        <w:sz w:val="16"/>
        <w:szCs w:val="16"/>
      </w:rPr>
      <w:t>)</w:t>
    </w:r>
  </w:p>
  <w:p w14:paraId="23E4D641" w14:textId="77777777" w:rsidR="001967BC" w:rsidRPr="00A84C27" w:rsidRDefault="001967BC" w:rsidP="0080598B">
    <w:pPr>
      <w:pageBreakBefore/>
      <w:tabs>
        <w:tab w:val="right" w:pos="9214"/>
      </w:tabs>
      <w:ind w:left="142" w:hanging="142"/>
      <w:rPr>
        <w:rFonts w:ascii="Arial" w:hAnsi="Arial" w:cs="Arial"/>
        <w:b/>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415BD" w14:textId="77777777" w:rsidR="001967BC" w:rsidRDefault="001967BC" w:rsidP="00D26299">
    <w:pPr>
      <w:tabs>
        <w:tab w:val="right" w:pos="9214"/>
      </w:tabs>
      <w:ind w:left="142" w:hanging="142"/>
      <w:jc w:val="right"/>
      <w:rPr>
        <w:rFonts w:ascii="Arial" w:hAnsi="Arial" w:cs="Arial"/>
        <w:b/>
        <w:sz w:val="20"/>
        <w:lang w:val="pt-BR"/>
      </w:rPr>
    </w:pPr>
    <w:r w:rsidRPr="009042A8">
      <w:rPr>
        <w:rFonts w:ascii="Arial" w:hAnsi="Arial" w:cs="Arial"/>
        <w:b/>
        <w:noProof/>
        <w:sz w:val="20"/>
        <w:lang w:eastAsia="es-AR"/>
      </w:rPr>
      <w:drawing>
        <wp:inline distT="0" distB="0" distL="0" distR="0" wp14:anchorId="7FD775B0" wp14:editId="07CACE30">
          <wp:extent cx="1027130" cy="452633"/>
          <wp:effectExtent l="19050" t="0" r="1570" b="0"/>
          <wp:docPr id="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A82A3D7" w14:textId="77777777" w:rsidR="001967BC" w:rsidRDefault="001967BC" w:rsidP="00D26299">
    <w:pPr>
      <w:tabs>
        <w:tab w:val="right" w:pos="9214"/>
      </w:tabs>
      <w:ind w:left="142" w:hanging="142"/>
      <w:rPr>
        <w:rFonts w:ascii="Arial" w:hAnsi="Arial" w:cs="Arial"/>
        <w:b/>
        <w:sz w:val="20"/>
        <w:lang w:val="pt-BR"/>
      </w:rPr>
    </w:pPr>
    <w:r>
      <w:rPr>
        <w:rFonts w:ascii="Arial" w:hAnsi="Arial" w:cs="Arial"/>
        <w:b/>
        <w:sz w:val="20"/>
        <w:lang w:val="pt-BR"/>
      </w:rPr>
      <w:t xml:space="preserve">ANEXO A     </w:t>
    </w:r>
  </w:p>
  <w:p w14:paraId="70D44113" w14:textId="77777777" w:rsidR="001967BC" w:rsidRPr="00C80859" w:rsidRDefault="001967BC" w:rsidP="00D26299">
    <w:pPr>
      <w:tabs>
        <w:tab w:val="right" w:pos="9214"/>
      </w:tabs>
      <w:rPr>
        <w:rFonts w:ascii="Arial" w:hAnsi="Arial" w:cs="Arial"/>
        <w:sz w:val="20"/>
        <w:lang w:val="pt-BR"/>
      </w:rPr>
    </w:pPr>
  </w:p>
  <w:p w14:paraId="19D16B2B" w14:textId="77777777" w:rsidR="001967BC" w:rsidRPr="008147B1" w:rsidRDefault="001967BC" w:rsidP="00D26299">
    <w:pPr>
      <w:pStyle w:val="Header"/>
      <w:jc w:val="center"/>
      <w:rPr>
        <w:rFonts w:ascii="Arial" w:hAnsi="Arial" w:cs="Arial"/>
        <w:b/>
        <w:sz w:val="20"/>
        <w:lang w:val="es-ES_tradnl"/>
      </w:rPr>
    </w:pPr>
    <w:r w:rsidRPr="008147B1">
      <w:rPr>
        <w:rFonts w:ascii="Arial" w:hAnsi="Arial" w:cs="Arial"/>
        <w:b/>
        <w:sz w:val="20"/>
        <w:lang w:val="es-ES_tradnl"/>
      </w:rPr>
      <w:t>DETALLE DE TITULOS PUBLICOS Y PRIVADOS</w:t>
    </w:r>
  </w:p>
  <w:p w14:paraId="12090E71" w14:textId="25BC975B" w:rsidR="001967BC" w:rsidRPr="009040E3" w:rsidRDefault="001967BC" w:rsidP="00025107">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007BB2E9" w14:textId="6F060C84" w:rsidR="001967BC" w:rsidRDefault="001967BC" w:rsidP="00D26299">
    <w:pPr>
      <w:pStyle w:val="Header"/>
      <w:jc w:val="center"/>
      <w:rPr>
        <w:rFonts w:ascii="Arial" w:hAnsi="Arial" w:cs="Arial"/>
        <w:sz w:val="16"/>
        <w:szCs w:val="16"/>
        <w:lang w:val="es-ES"/>
      </w:rPr>
    </w:pPr>
    <w:r w:rsidRPr="008147B1">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8147B1">
      <w:rPr>
        <w:rFonts w:ascii="Arial" w:hAnsi="Arial" w:cs="Arial"/>
        <w:sz w:val="16"/>
        <w:szCs w:val="16"/>
        <w:lang w:val="es-ES"/>
      </w:rPr>
      <w:t>)</w:t>
    </w:r>
  </w:p>
  <w:p w14:paraId="248B4E6B" w14:textId="77777777" w:rsidR="001967BC" w:rsidRPr="00D26299" w:rsidRDefault="001967BC" w:rsidP="00D26299">
    <w:pPr>
      <w:pStyle w:val="Heade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242E6" w14:textId="77777777" w:rsidR="001967BC" w:rsidRDefault="001967BC" w:rsidP="00C80859">
    <w:pPr>
      <w:tabs>
        <w:tab w:val="right" w:pos="9214"/>
      </w:tabs>
      <w:ind w:left="142" w:hanging="142"/>
      <w:jc w:val="right"/>
      <w:rPr>
        <w:rFonts w:ascii="Arial" w:hAnsi="Arial" w:cs="Arial"/>
        <w:sz w:val="20"/>
        <w:lang w:val="es-ES"/>
      </w:rPr>
    </w:pPr>
    <w:r w:rsidRPr="009042A8">
      <w:rPr>
        <w:rFonts w:ascii="Arial" w:hAnsi="Arial" w:cs="Arial"/>
        <w:b/>
        <w:noProof/>
        <w:sz w:val="20"/>
        <w:lang w:eastAsia="es-AR"/>
      </w:rPr>
      <w:drawing>
        <wp:inline distT="0" distB="0" distL="0" distR="0" wp14:anchorId="51D6CF2C" wp14:editId="38D69F6E">
          <wp:extent cx="1027130" cy="452633"/>
          <wp:effectExtent l="19050" t="0" r="157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2FD4002" w14:textId="77777777" w:rsidR="001967BC" w:rsidRDefault="001967BC" w:rsidP="00C80859">
    <w:pPr>
      <w:tabs>
        <w:tab w:val="right" w:pos="9214"/>
      </w:tabs>
      <w:ind w:left="142" w:hanging="142"/>
      <w:jc w:val="right"/>
      <w:rPr>
        <w:rFonts w:ascii="Arial" w:hAnsi="Arial" w:cs="Arial"/>
        <w:sz w:val="20"/>
        <w:lang w:val="es-ES"/>
      </w:rPr>
    </w:pPr>
  </w:p>
  <w:p w14:paraId="188D4706" w14:textId="77777777" w:rsidR="001967BC" w:rsidRPr="0017062B" w:rsidRDefault="001967BC" w:rsidP="00C80859">
    <w:pPr>
      <w:tabs>
        <w:tab w:val="right" w:pos="9214"/>
      </w:tabs>
      <w:ind w:left="142" w:hanging="142"/>
      <w:jc w:val="center"/>
      <w:rPr>
        <w:rFonts w:ascii="Arial" w:hAnsi="Arial" w:cs="Arial"/>
        <w:sz w:val="20"/>
        <w:lang w:val="es-ES"/>
      </w:rPr>
    </w:pPr>
  </w:p>
  <w:p w14:paraId="7EEA70CA" w14:textId="5D3BC7E9" w:rsidR="001967BC" w:rsidRPr="0017062B" w:rsidRDefault="001967BC" w:rsidP="009327FF">
    <w:pPr>
      <w:pStyle w:val="2Ttulo"/>
      <w:rPr>
        <w:rFonts w:ascii="Arial" w:hAnsi="Arial" w:cs="Arial"/>
        <w:sz w:val="20"/>
      </w:rPr>
    </w:pPr>
    <w:r w:rsidRPr="0017062B">
      <w:rPr>
        <w:rFonts w:ascii="Arial" w:hAnsi="Arial" w:cs="Arial"/>
        <w:sz w:val="20"/>
      </w:rPr>
      <w:t xml:space="preserve">ESTADO </w:t>
    </w:r>
    <w:r>
      <w:rPr>
        <w:rFonts w:ascii="Arial" w:hAnsi="Arial" w:cs="Arial"/>
        <w:sz w:val="20"/>
      </w:rPr>
      <w:t xml:space="preserve">DE </w:t>
    </w:r>
    <w:r w:rsidRPr="0017062B">
      <w:rPr>
        <w:rFonts w:ascii="Arial" w:hAnsi="Arial" w:cs="Arial"/>
        <w:sz w:val="20"/>
      </w:rPr>
      <w:t>RESULTADOS</w:t>
    </w:r>
    <w:r w:rsidRPr="006423FF">
      <w:rPr>
        <w:rFonts w:ascii="Arial" w:hAnsi="Arial" w:cs="Arial"/>
        <w:sz w:val="20"/>
      </w:rPr>
      <w:t xml:space="preserve"> </w:t>
    </w:r>
    <w:r>
      <w:rPr>
        <w:rFonts w:ascii="Arial" w:hAnsi="Arial" w:cs="Arial"/>
        <w:sz w:val="20"/>
      </w:rPr>
      <w:t>CONDENSADO INTERMEDIO CONSOLIDADO</w:t>
    </w:r>
  </w:p>
  <w:p w14:paraId="02F5FDC2" w14:textId="079B73BE" w:rsidR="001967BC" w:rsidRDefault="001967BC" w:rsidP="00143CC8">
    <w:pPr>
      <w:pStyle w:val="2Ttulo"/>
      <w:rPr>
        <w:rFonts w:ascii="Arial" w:hAnsi="Arial" w:cs="Arial"/>
        <w:sz w:val="20"/>
        <w:lang w:val="es-ES_tradnl"/>
      </w:rPr>
    </w:pPr>
    <w:r w:rsidRPr="0017062B">
      <w:rPr>
        <w:rFonts w:ascii="Arial" w:hAnsi="Arial" w:cs="Arial"/>
        <w:sz w:val="20"/>
        <w:lang w:val="es-ES_tradnl"/>
      </w:rPr>
      <w:t>CO</w:t>
    </w:r>
    <w:r>
      <w:rPr>
        <w:rFonts w:ascii="Arial" w:hAnsi="Arial" w:cs="Arial"/>
        <w:sz w:val="20"/>
        <w:lang w:val="es-ES_tradnl"/>
      </w:rPr>
      <w:t xml:space="preserve">RRESPONDIENTE AL PERIODO DE TRES MESES FINALIZADO </w:t>
    </w:r>
  </w:p>
  <w:p w14:paraId="32149F12" w14:textId="4DEB61EE" w:rsidR="001967BC" w:rsidRDefault="001967BC" w:rsidP="007D0D3E">
    <w:pPr>
      <w:pStyle w:val="2Ttulo"/>
      <w:rPr>
        <w:rFonts w:ascii="Arial" w:hAnsi="Arial" w:cs="Arial"/>
        <w:sz w:val="20"/>
        <w:lang w:val="es-ES_tradnl"/>
      </w:rPr>
    </w:pPr>
    <w:r>
      <w:rPr>
        <w:rFonts w:ascii="Arial" w:hAnsi="Arial" w:cs="Arial"/>
        <w:sz w:val="20"/>
        <w:lang w:val="es-ES_tradnl"/>
      </w:rPr>
      <w:t>EL 31</w:t>
    </w:r>
    <w:r w:rsidRPr="0017062B">
      <w:rPr>
        <w:rFonts w:ascii="Arial" w:hAnsi="Arial" w:cs="Arial"/>
        <w:sz w:val="20"/>
        <w:lang w:val="es-ES_tradnl"/>
      </w:rPr>
      <w:t xml:space="preserve"> DE</w:t>
    </w:r>
    <w:r>
      <w:rPr>
        <w:rFonts w:ascii="Arial" w:hAnsi="Arial" w:cs="Arial"/>
        <w:sz w:val="20"/>
        <w:lang w:val="es-ES_tradnl"/>
      </w:rPr>
      <w:t xml:space="preserve"> MARZO DE 2020</w:t>
    </w:r>
  </w:p>
  <w:p w14:paraId="5C2733BB" w14:textId="77777777" w:rsidR="001967BC" w:rsidRDefault="001967BC" w:rsidP="007D0D3E">
    <w:pPr>
      <w:pStyle w:val="2Ttulo"/>
      <w:rPr>
        <w:rFonts w:ascii="Arial" w:hAnsi="Arial" w:cs="Arial"/>
        <w:sz w:val="20"/>
        <w:lang w:val="es-ES_tradnl"/>
      </w:rPr>
    </w:pPr>
  </w:p>
  <w:p w14:paraId="66F874A2" w14:textId="3CC7F19B" w:rsidR="001967BC" w:rsidRPr="005E5441" w:rsidRDefault="001967BC" w:rsidP="00143CC8">
    <w:pPr>
      <w:pStyle w:val="2Ttulo"/>
      <w:rPr>
        <w:rFonts w:ascii="Arial" w:hAnsi="Arial" w:cs="Arial"/>
        <w:b w:val="0"/>
        <w:sz w:val="16"/>
        <w:szCs w:val="16"/>
        <w:lang w:val="es-ES_tradnl"/>
      </w:rPr>
    </w:pPr>
    <w:r w:rsidRPr="005E5441">
      <w:rPr>
        <w:rFonts w:ascii="Arial" w:hAnsi="Arial" w:cs="Arial"/>
        <w:b w:val="0"/>
        <w:sz w:val="16"/>
        <w:szCs w:val="16"/>
        <w:lang w:val="es-ES_tradnl"/>
      </w:rPr>
      <w:t xml:space="preserve">Presentado </w:t>
    </w:r>
    <w:r>
      <w:rPr>
        <w:rFonts w:ascii="Arial" w:hAnsi="Arial" w:cs="Arial"/>
        <w:b w:val="0"/>
        <w:sz w:val="16"/>
        <w:szCs w:val="16"/>
        <w:lang w:val="es-ES_tradnl"/>
      </w:rPr>
      <w:t>en forma comparativa con igual período del ejercicio anterior</w:t>
    </w:r>
  </w:p>
  <w:p w14:paraId="649F53AD" w14:textId="7370C4A1" w:rsidR="001967BC" w:rsidRDefault="001967BC" w:rsidP="00143CC8">
    <w:pPr>
      <w:pStyle w:val="2Ttulo"/>
      <w:rPr>
        <w:rFonts w:ascii="Arial" w:hAnsi="Arial" w:cs="Arial"/>
        <w:b w:val="0"/>
        <w:sz w:val="16"/>
        <w:szCs w:val="16"/>
      </w:rPr>
    </w:pPr>
    <w:r w:rsidRPr="005E5441">
      <w:rPr>
        <w:rFonts w:ascii="Arial" w:hAnsi="Arial" w:cs="Arial"/>
        <w:b w:val="0"/>
        <w:sz w:val="16"/>
        <w:szCs w:val="16"/>
      </w:rPr>
      <w:t>(Cifras expresadas en miles de pesos</w:t>
    </w:r>
    <w:r>
      <w:rPr>
        <w:rFonts w:ascii="Arial" w:hAnsi="Arial" w:cs="Arial"/>
        <w:b w:val="0"/>
        <w:sz w:val="16"/>
        <w:szCs w:val="16"/>
      </w:rPr>
      <w:t xml:space="preserve"> en moneda homogénea</w:t>
    </w:r>
    <w:r w:rsidRPr="005E5441">
      <w:rPr>
        <w:rFonts w:ascii="Arial" w:hAnsi="Arial" w:cs="Arial"/>
        <w:b w:val="0"/>
        <w:sz w:val="16"/>
        <w:szCs w:val="16"/>
      </w:rPr>
      <w:t>)</w:t>
    </w:r>
  </w:p>
  <w:p w14:paraId="4F59F21B" w14:textId="77777777" w:rsidR="001967BC" w:rsidRPr="00050353" w:rsidRDefault="001967BC" w:rsidP="00050353">
    <w:pPr>
      <w:pStyle w:val="2Ttulo"/>
      <w:jc w:val="left"/>
      <w:rPr>
        <w:rFonts w:ascii="Arial" w:hAnsi="Arial" w:cs="Arial"/>
        <w:b w:val="0"/>
        <w:sz w:val="20"/>
      </w:rPr>
    </w:pPr>
  </w:p>
  <w:p w14:paraId="48A9E2FB" w14:textId="77777777" w:rsidR="001967BC" w:rsidRPr="00B70E4F" w:rsidRDefault="001967BC" w:rsidP="00050353">
    <w:pPr>
      <w:pStyle w:val="2Ttulo"/>
      <w:jc w:val="left"/>
      <w:rPr>
        <w:rFonts w:ascii="Arial" w:hAnsi="Arial" w:cs="Arial"/>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ADA87" w14:textId="77777777" w:rsidR="001967BC" w:rsidRDefault="001967BC" w:rsidP="009D3B80">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0A54B49F" wp14:editId="6EA1FF8A">
          <wp:extent cx="1027130" cy="452633"/>
          <wp:effectExtent l="19050" t="0" r="1570" b="0"/>
          <wp:docPr id="1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98E6963" w14:textId="77777777" w:rsidR="001967BC" w:rsidRDefault="001967BC" w:rsidP="009D3B80">
    <w:pPr>
      <w:tabs>
        <w:tab w:val="right" w:pos="9214"/>
      </w:tabs>
      <w:rPr>
        <w:rFonts w:ascii="Arial" w:hAnsi="Arial" w:cs="Arial"/>
        <w:b/>
        <w:sz w:val="20"/>
        <w:lang w:val="es-ES_tradnl"/>
      </w:rPr>
    </w:pPr>
    <w:r w:rsidRPr="000C455E">
      <w:rPr>
        <w:rFonts w:ascii="Arial" w:hAnsi="Arial" w:cs="Arial"/>
        <w:b/>
        <w:sz w:val="20"/>
        <w:lang w:val="es-ES_tradnl"/>
      </w:rPr>
      <w:t>ANEXO B</w:t>
    </w:r>
  </w:p>
  <w:p w14:paraId="476DD242" w14:textId="77777777" w:rsidR="001967BC" w:rsidRPr="00CC5C97" w:rsidRDefault="001967BC" w:rsidP="009D3B80">
    <w:pPr>
      <w:tabs>
        <w:tab w:val="right" w:pos="9214"/>
      </w:tabs>
      <w:rPr>
        <w:rFonts w:ascii="Arial" w:hAnsi="Arial" w:cs="Arial"/>
        <w:sz w:val="20"/>
        <w:lang w:val="pt-BR"/>
      </w:rPr>
    </w:pPr>
  </w:p>
  <w:p w14:paraId="5B27F8E7" w14:textId="38EBE53F" w:rsidR="001967BC" w:rsidRDefault="001967BC" w:rsidP="009D3B80">
    <w:pPr>
      <w:pStyle w:val="Header"/>
      <w:jc w:val="center"/>
      <w:rPr>
        <w:rFonts w:ascii="Arial" w:hAnsi="Arial" w:cs="Arial"/>
        <w:b/>
        <w:sz w:val="20"/>
        <w:lang w:val="es-ES_tradnl"/>
      </w:rPr>
    </w:pPr>
    <w:r w:rsidRPr="000342AE">
      <w:rPr>
        <w:rFonts w:ascii="Arial" w:hAnsi="Arial" w:cs="Arial"/>
        <w:b/>
        <w:sz w:val="20"/>
        <w:lang w:val="es-ES_tradnl"/>
      </w:rPr>
      <w:t>C</w:t>
    </w:r>
    <w:r>
      <w:rPr>
        <w:rFonts w:ascii="Arial" w:hAnsi="Arial" w:cs="Arial"/>
        <w:b/>
        <w:sz w:val="20"/>
        <w:lang w:val="es-ES_tradnl"/>
      </w:rPr>
      <w:t>LASIFICACION</w:t>
    </w:r>
    <w:r w:rsidRPr="000342AE">
      <w:rPr>
        <w:rFonts w:ascii="Arial" w:hAnsi="Arial" w:cs="Arial"/>
        <w:b/>
        <w:sz w:val="20"/>
        <w:lang w:val="es-ES_tradnl"/>
      </w:rPr>
      <w:t xml:space="preserve"> </w:t>
    </w:r>
    <w:r>
      <w:rPr>
        <w:rFonts w:ascii="Arial" w:hAnsi="Arial" w:cs="Arial"/>
        <w:b/>
        <w:sz w:val="20"/>
        <w:lang w:val="es-ES_tradnl"/>
      </w:rPr>
      <w:t>DE</w:t>
    </w:r>
    <w:r w:rsidRPr="000342AE">
      <w:rPr>
        <w:rFonts w:ascii="Arial" w:hAnsi="Arial" w:cs="Arial"/>
        <w:b/>
        <w:sz w:val="20"/>
        <w:lang w:val="es-ES_tradnl"/>
      </w:rPr>
      <w:t xml:space="preserve"> </w:t>
    </w:r>
    <w:r>
      <w:rPr>
        <w:rFonts w:ascii="Arial" w:hAnsi="Arial" w:cs="Arial"/>
        <w:b/>
        <w:sz w:val="20"/>
        <w:lang w:val="es-ES_tradnl"/>
      </w:rPr>
      <w:t>PRÉSTAMOS</w:t>
    </w:r>
    <w:r w:rsidRPr="000342AE">
      <w:rPr>
        <w:rFonts w:ascii="Arial" w:hAnsi="Arial" w:cs="Arial"/>
        <w:b/>
        <w:sz w:val="20"/>
        <w:lang w:val="es-ES_tradnl"/>
      </w:rPr>
      <w:t xml:space="preserve"> </w:t>
    </w:r>
    <w:r>
      <w:rPr>
        <w:rFonts w:ascii="Arial" w:hAnsi="Arial" w:cs="Arial"/>
        <w:b/>
        <w:sz w:val="20"/>
        <w:lang w:val="es-ES_tradnl"/>
      </w:rPr>
      <w:t>Y</w:t>
    </w:r>
    <w:r w:rsidRPr="000342AE">
      <w:rPr>
        <w:rFonts w:ascii="Arial" w:hAnsi="Arial" w:cs="Arial"/>
        <w:b/>
        <w:sz w:val="20"/>
        <w:lang w:val="es-ES_tradnl"/>
      </w:rPr>
      <w:t xml:space="preserve"> </w:t>
    </w:r>
    <w:r>
      <w:rPr>
        <w:rFonts w:ascii="Arial" w:hAnsi="Arial" w:cs="Arial"/>
        <w:b/>
        <w:sz w:val="20"/>
        <w:lang w:val="es-ES_tradnl"/>
      </w:rPr>
      <w:t>OTRAS</w:t>
    </w:r>
    <w:r w:rsidRPr="000342AE">
      <w:rPr>
        <w:rFonts w:ascii="Arial" w:hAnsi="Arial" w:cs="Arial"/>
        <w:b/>
        <w:sz w:val="20"/>
        <w:lang w:val="es-ES_tradnl"/>
      </w:rPr>
      <w:t xml:space="preserve"> </w:t>
    </w:r>
    <w:r>
      <w:rPr>
        <w:rFonts w:ascii="Arial" w:hAnsi="Arial" w:cs="Arial"/>
        <w:b/>
        <w:sz w:val="20"/>
        <w:lang w:val="es-ES_tradnl"/>
      </w:rPr>
      <w:t>FINANCIACIONES</w:t>
    </w:r>
    <w:r w:rsidRPr="000342AE">
      <w:rPr>
        <w:rFonts w:ascii="Arial" w:hAnsi="Arial" w:cs="Arial"/>
        <w:b/>
        <w:sz w:val="20"/>
        <w:lang w:val="es-ES_tradnl"/>
      </w:rPr>
      <w:t xml:space="preserve"> </w:t>
    </w:r>
  </w:p>
  <w:p w14:paraId="2784A856" w14:textId="77777777" w:rsidR="001967BC" w:rsidRPr="000C455E" w:rsidRDefault="001967BC" w:rsidP="009D3B80">
    <w:pPr>
      <w:pStyle w:val="Header"/>
      <w:jc w:val="center"/>
      <w:rPr>
        <w:rFonts w:ascii="Arial" w:hAnsi="Arial" w:cs="Arial"/>
        <w:b/>
        <w:sz w:val="20"/>
        <w:lang w:val="es-ES_tradnl"/>
      </w:rPr>
    </w:pPr>
    <w:r>
      <w:rPr>
        <w:rFonts w:ascii="Arial" w:hAnsi="Arial" w:cs="Arial"/>
        <w:b/>
        <w:sz w:val="20"/>
        <w:lang w:val="es-ES_tradnl"/>
      </w:rPr>
      <w:t>POR</w:t>
    </w:r>
    <w:r w:rsidRPr="000342AE">
      <w:rPr>
        <w:rFonts w:ascii="Arial" w:hAnsi="Arial" w:cs="Arial"/>
        <w:b/>
        <w:sz w:val="20"/>
        <w:lang w:val="es-ES_tradnl"/>
      </w:rPr>
      <w:t xml:space="preserve"> </w:t>
    </w:r>
    <w:r>
      <w:rPr>
        <w:rFonts w:ascii="Arial" w:hAnsi="Arial" w:cs="Arial"/>
        <w:b/>
        <w:sz w:val="20"/>
        <w:lang w:val="es-ES_tradnl"/>
      </w:rPr>
      <w:t>SITUACION</w:t>
    </w:r>
    <w:r w:rsidRPr="000342AE">
      <w:rPr>
        <w:rFonts w:ascii="Arial" w:hAnsi="Arial" w:cs="Arial"/>
        <w:b/>
        <w:sz w:val="20"/>
        <w:lang w:val="es-ES_tradnl"/>
      </w:rPr>
      <w:t xml:space="preserve"> </w:t>
    </w:r>
    <w:r>
      <w:rPr>
        <w:rFonts w:ascii="Arial" w:hAnsi="Arial" w:cs="Arial"/>
        <w:b/>
        <w:sz w:val="20"/>
        <w:lang w:val="es-ES_tradnl"/>
      </w:rPr>
      <w:t>Y</w:t>
    </w:r>
    <w:r w:rsidRPr="000342AE">
      <w:rPr>
        <w:rFonts w:ascii="Arial" w:hAnsi="Arial" w:cs="Arial"/>
        <w:b/>
        <w:sz w:val="20"/>
        <w:lang w:val="es-ES_tradnl"/>
      </w:rPr>
      <w:t xml:space="preserve"> </w:t>
    </w:r>
    <w:r>
      <w:rPr>
        <w:rFonts w:ascii="Arial" w:hAnsi="Arial" w:cs="Arial"/>
        <w:b/>
        <w:sz w:val="20"/>
        <w:lang w:val="es-ES_tradnl"/>
      </w:rPr>
      <w:t>GARANTIAS RECIBIDAS</w:t>
    </w:r>
  </w:p>
  <w:p w14:paraId="273AACBB" w14:textId="27BE42DF" w:rsidR="001967BC" w:rsidRPr="009040E3" w:rsidRDefault="001967BC" w:rsidP="00025107">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11015256" w14:textId="2E3C92E7" w:rsidR="001967BC" w:rsidRPr="00CC5C97" w:rsidRDefault="001967BC" w:rsidP="009D3B80">
    <w:pPr>
      <w:pStyle w:val="Header"/>
      <w:jc w:val="center"/>
      <w:rPr>
        <w:rFonts w:ascii="Arial" w:hAnsi="Arial" w:cs="Arial"/>
        <w:sz w:val="16"/>
        <w:szCs w:val="16"/>
        <w:lang w:val="es-ES"/>
      </w:rPr>
    </w:pPr>
    <w:r w:rsidRPr="00CC5C97">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CC5C97">
      <w:rPr>
        <w:rFonts w:ascii="Arial" w:hAnsi="Arial" w:cs="Arial"/>
        <w:sz w:val="16"/>
        <w:szCs w:val="16"/>
        <w:lang w:val="es-ES"/>
      </w:rPr>
      <w:t>)</w:t>
    </w:r>
  </w:p>
  <w:p w14:paraId="7AC05CE5" w14:textId="77777777" w:rsidR="001967BC" w:rsidRPr="00CC5C97" w:rsidRDefault="001967BC" w:rsidP="009D3B80">
    <w:pPr>
      <w:pStyle w:val="Header"/>
      <w:rPr>
        <w:rFonts w:ascii="Arial" w:hAnsi="Arial" w:cs="Arial"/>
        <w:sz w:val="20"/>
        <w:lang w:val="es-ES"/>
      </w:rPr>
    </w:pPr>
  </w:p>
  <w:p w14:paraId="40B8AB1D" w14:textId="77777777" w:rsidR="001967BC" w:rsidRPr="009D3B80" w:rsidRDefault="001967BC" w:rsidP="009D3B8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5C4B9" w14:textId="77777777" w:rsidR="001967BC" w:rsidRDefault="001967BC" w:rsidP="007C794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57D551C9" wp14:editId="2DAF6137">
          <wp:extent cx="1027130" cy="452633"/>
          <wp:effectExtent l="19050" t="0" r="1570" b="0"/>
          <wp:docPr id="1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0D88CEFE" w14:textId="77777777" w:rsidR="001967BC" w:rsidRDefault="001967BC" w:rsidP="007C794F">
    <w:pPr>
      <w:tabs>
        <w:tab w:val="right" w:pos="9214"/>
      </w:tabs>
      <w:rPr>
        <w:rFonts w:ascii="Arial" w:hAnsi="Arial" w:cs="Arial"/>
        <w:b/>
        <w:sz w:val="20"/>
        <w:lang w:val="es-ES_tradnl"/>
      </w:rPr>
    </w:pPr>
    <w:r>
      <w:rPr>
        <w:rFonts w:ascii="Arial" w:hAnsi="Arial" w:cs="Arial"/>
        <w:b/>
        <w:sz w:val="20"/>
        <w:lang w:val="es-ES_tradnl"/>
      </w:rPr>
      <w:t>ANEXO C</w:t>
    </w:r>
  </w:p>
  <w:p w14:paraId="54799B52" w14:textId="77777777" w:rsidR="001967BC" w:rsidRDefault="001967BC" w:rsidP="007C794F">
    <w:pPr>
      <w:tabs>
        <w:tab w:val="right" w:pos="9214"/>
      </w:tabs>
      <w:jc w:val="right"/>
      <w:rPr>
        <w:rFonts w:ascii="Arial" w:hAnsi="Arial" w:cs="Arial"/>
        <w:b/>
        <w:sz w:val="20"/>
        <w:lang w:val="es-ES_tradnl"/>
      </w:rPr>
    </w:pPr>
  </w:p>
  <w:p w14:paraId="584889B4" w14:textId="7E150442" w:rsidR="001967BC" w:rsidRPr="009040E3" w:rsidRDefault="001967BC" w:rsidP="007C794F">
    <w:pPr>
      <w:pStyle w:val="Header"/>
      <w:jc w:val="center"/>
      <w:rPr>
        <w:rFonts w:ascii="Arial" w:hAnsi="Arial" w:cs="Arial"/>
        <w:b/>
        <w:sz w:val="20"/>
        <w:lang w:val="es-ES_tradnl"/>
      </w:rPr>
    </w:pPr>
    <w:r w:rsidRPr="009040E3">
      <w:rPr>
        <w:rFonts w:ascii="Arial" w:hAnsi="Arial" w:cs="Arial"/>
        <w:b/>
        <w:sz w:val="20"/>
        <w:lang w:val="es-ES_tradnl"/>
      </w:rPr>
      <w:t xml:space="preserve">CONCENTRACION DE </w:t>
    </w:r>
    <w:r>
      <w:rPr>
        <w:rFonts w:ascii="Arial" w:hAnsi="Arial" w:cs="Arial"/>
        <w:b/>
        <w:sz w:val="20"/>
        <w:lang w:val="es-ES_tradnl"/>
      </w:rPr>
      <w:t>PRÉSTAMOS Y OTRAS FINANCIACIONES</w:t>
    </w:r>
  </w:p>
  <w:p w14:paraId="71D7B453" w14:textId="6AB22750" w:rsidR="001967BC" w:rsidRPr="009040E3" w:rsidRDefault="001967BC" w:rsidP="00A261DE">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7B2DD09B" w14:textId="27E4737B" w:rsidR="001967BC" w:rsidRPr="009040E3" w:rsidRDefault="001967BC" w:rsidP="007C794F">
    <w:pPr>
      <w:pStyle w:val="Header"/>
      <w:jc w:val="center"/>
      <w:rPr>
        <w:rFonts w:ascii="Arial" w:hAnsi="Arial" w:cs="Arial"/>
        <w:sz w:val="16"/>
        <w:szCs w:val="16"/>
        <w:lang w:val="es-ES"/>
      </w:rPr>
    </w:pPr>
    <w:r w:rsidRPr="009040E3">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9040E3">
      <w:rPr>
        <w:rFonts w:ascii="Arial" w:hAnsi="Arial" w:cs="Arial"/>
        <w:sz w:val="16"/>
        <w:szCs w:val="16"/>
        <w:lang w:val="es-ES"/>
      </w:rPr>
      <w:t>)</w:t>
    </w:r>
  </w:p>
  <w:p w14:paraId="27A8BF46" w14:textId="77777777" w:rsidR="001967BC" w:rsidRPr="00F941DB" w:rsidRDefault="001967BC" w:rsidP="007C794F">
    <w:pPr>
      <w:pStyle w:val="Header"/>
      <w:jc w:val="center"/>
      <w:rPr>
        <w:rFonts w:ascii="Arial" w:hAnsi="Arial" w:cs="Arial"/>
        <w:sz w:val="20"/>
        <w:lang w:val="es-ES"/>
      </w:rPr>
    </w:pPr>
  </w:p>
  <w:p w14:paraId="0FBEA8BD" w14:textId="77777777" w:rsidR="001967BC" w:rsidRPr="00F941DB" w:rsidRDefault="001967BC" w:rsidP="007C794F">
    <w:pPr>
      <w:pStyle w:val="2Ttulo"/>
      <w:jc w:val="left"/>
      <w:rPr>
        <w:rFonts w:ascii="Arial" w:hAnsi="Arial" w:cs="Arial"/>
        <w:sz w:val="20"/>
      </w:rPr>
    </w:pPr>
  </w:p>
  <w:p w14:paraId="205C1901" w14:textId="77777777" w:rsidR="001967BC" w:rsidRPr="00D26299" w:rsidRDefault="001967BC" w:rsidP="00D2629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A7780" w14:textId="77777777" w:rsidR="001967BC" w:rsidRDefault="001967BC" w:rsidP="00425F99">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C31429D" wp14:editId="48D54D63">
          <wp:extent cx="1027130" cy="452633"/>
          <wp:effectExtent l="19050" t="0" r="1570" b="0"/>
          <wp:docPr id="1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0C1747B0" w14:textId="77777777" w:rsidR="001967BC" w:rsidRDefault="001967BC" w:rsidP="00425F99">
    <w:pPr>
      <w:tabs>
        <w:tab w:val="right" w:pos="9214"/>
      </w:tabs>
      <w:rPr>
        <w:rFonts w:ascii="Arial" w:hAnsi="Arial" w:cs="Arial"/>
        <w:b/>
        <w:sz w:val="20"/>
        <w:lang w:val="es-ES_tradnl"/>
      </w:rPr>
    </w:pPr>
    <w:r>
      <w:rPr>
        <w:rFonts w:ascii="Arial" w:hAnsi="Arial" w:cs="Arial"/>
        <w:b/>
        <w:sz w:val="20"/>
        <w:lang w:val="es-ES_tradnl"/>
      </w:rPr>
      <w:t>ANEXO D</w:t>
    </w:r>
  </w:p>
  <w:p w14:paraId="7425EAC6" w14:textId="77777777" w:rsidR="001967BC" w:rsidRDefault="001967BC" w:rsidP="00425F99">
    <w:pPr>
      <w:tabs>
        <w:tab w:val="right" w:pos="9214"/>
      </w:tabs>
      <w:jc w:val="right"/>
      <w:rPr>
        <w:rFonts w:ascii="Arial" w:hAnsi="Arial" w:cs="Arial"/>
        <w:b/>
        <w:sz w:val="20"/>
        <w:lang w:val="es-ES_tradnl"/>
      </w:rPr>
    </w:pPr>
  </w:p>
  <w:p w14:paraId="6DACA4D7" w14:textId="2F5B9158" w:rsidR="001967BC" w:rsidRPr="009040E3" w:rsidRDefault="001967BC" w:rsidP="00425F99">
    <w:pPr>
      <w:pStyle w:val="Header"/>
      <w:jc w:val="center"/>
      <w:rPr>
        <w:rFonts w:ascii="Arial" w:hAnsi="Arial" w:cs="Arial"/>
        <w:b/>
        <w:sz w:val="20"/>
        <w:lang w:val="es-ES_tradnl"/>
      </w:rPr>
    </w:pPr>
    <w:r w:rsidRPr="009040E3">
      <w:rPr>
        <w:rFonts w:ascii="Arial" w:hAnsi="Arial" w:cs="Arial"/>
        <w:b/>
        <w:sz w:val="20"/>
        <w:lang w:val="es-ES_tradnl"/>
      </w:rPr>
      <w:t>APERTURA POR PLAZO</w:t>
    </w:r>
    <w:r>
      <w:rPr>
        <w:rFonts w:ascii="Arial" w:hAnsi="Arial" w:cs="Arial"/>
        <w:b/>
        <w:sz w:val="20"/>
        <w:lang w:val="es-ES_tradnl"/>
      </w:rPr>
      <w:t>S</w:t>
    </w:r>
    <w:r w:rsidRPr="009040E3">
      <w:rPr>
        <w:rFonts w:ascii="Arial" w:hAnsi="Arial" w:cs="Arial"/>
        <w:b/>
        <w:sz w:val="20"/>
        <w:lang w:val="es-ES_tradnl"/>
      </w:rPr>
      <w:t xml:space="preserve"> DE </w:t>
    </w:r>
    <w:r>
      <w:rPr>
        <w:rFonts w:ascii="Arial" w:hAnsi="Arial" w:cs="Arial"/>
        <w:b/>
        <w:sz w:val="20"/>
        <w:lang w:val="es-ES_tradnl"/>
      </w:rPr>
      <w:t>PRÉSTAMOS Y OTRAS</w:t>
    </w:r>
    <w:r w:rsidRPr="009040E3">
      <w:rPr>
        <w:rFonts w:ascii="Arial" w:hAnsi="Arial" w:cs="Arial"/>
        <w:b/>
        <w:sz w:val="20"/>
        <w:lang w:val="es-ES_tradnl"/>
      </w:rPr>
      <w:t xml:space="preserve"> FINANCIACIONES</w:t>
    </w:r>
  </w:p>
  <w:p w14:paraId="133CB023" w14:textId="2F41E287" w:rsidR="001967BC" w:rsidRPr="009040E3" w:rsidRDefault="001967BC" w:rsidP="00425F99">
    <w:pPr>
      <w:pStyle w:val="Header"/>
      <w:jc w:val="center"/>
      <w:rPr>
        <w:rFonts w:ascii="Arial" w:hAnsi="Arial" w:cs="Arial"/>
        <w:b/>
        <w:sz w:val="20"/>
        <w:lang w:val="es-ES_tradnl"/>
      </w:rPr>
    </w:pPr>
    <w:r>
      <w:rPr>
        <w:rFonts w:ascii="Arial" w:hAnsi="Arial" w:cs="Arial"/>
        <w:b/>
        <w:sz w:val="20"/>
        <w:lang w:val="es-ES_tradnl"/>
      </w:rPr>
      <w:t>AL 31 DE MARZO DE 2020</w:t>
    </w:r>
  </w:p>
  <w:p w14:paraId="1A3DF513" w14:textId="6BC87EC9" w:rsidR="001967BC" w:rsidRPr="009040E3" w:rsidRDefault="001967BC" w:rsidP="00425F99">
    <w:pPr>
      <w:pStyle w:val="Header"/>
      <w:jc w:val="center"/>
      <w:rPr>
        <w:rFonts w:ascii="Arial" w:hAnsi="Arial" w:cs="Arial"/>
        <w:sz w:val="16"/>
        <w:szCs w:val="16"/>
        <w:lang w:val="es-ES"/>
      </w:rPr>
    </w:pPr>
    <w:r w:rsidRPr="009040E3">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9040E3">
      <w:rPr>
        <w:rFonts w:ascii="Arial" w:hAnsi="Arial" w:cs="Arial"/>
        <w:sz w:val="16"/>
        <w:szCs w:val="16"/>
        <w:lang w:val="es-ES"/>
      </w:rPr>
      <w:t>)</w:t>
    </w:r>
  </w:p>
  <w:p w14:paraId="55EFA2E2" w14:textId="77777777" w:rsidR="001967BC" w:rsidRPr="00F941DB" w:rsidRDefault="001967BC" w:rsidP="00425F99">
    <w:pPr>
      <w:pStyle w:val="Header"/>
      <w:jc w:val="center"/>
      <w:rPr>
        <w:rFonts w:ascii="Arial" w:hAnsi="Arial" w:cs="Arial"/>
        <w:sz w:val="20"/>
        <w:lang w:val="es-ES"/>
      </w:rPr>
    </w:pPr>
  </w:p>
  <w:p w14:paraId="65488ECB" w14:textId="77777777" w:rsidR="001967BC" w:rsidRPr="00F941DB" w:rsidRDefault="001967BC" w:rsidP="00425F99">
    <w:pPr>
      <w:pStyle w:val="2Ttulo"/>
      <w:jc w:val="left"/>
      <w:rPr>
        <w:rFonts w:ascii="Arial" w:hAnsi="Arial" w:cs="Arial"/>
        <w:sz w:val="20"/>
      </w:rPr>
    </w:pPr>
  </w:p>
  <w:p w14:paraId="2B9AE1A8" w14:textId="77777777" w:rsidR="001967BC" w:rsidRPr="00D26299" w:rsidRDefault="001967BC" w:rsidP="00D2629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DE593" w14:textId="77777777" w:rsidR="001967BC" w:rsidRDefault="001967BC" w:rsidP="00860C48">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2554EE7B" wp14:editId="464D9B9B">
          <wp:extent cx="1027130" cy="452633"/>
          <wp:effectExtent l="19050" t="0" r="1570" b="0"/>
          <wp:docPr id="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7A8CF697" w14:textId="77777777" w:rsidR="001967BC" w:rsidRDefault="001967BC" w:rsidP="00860C48">
    <w:pPr>
      <w:tabs>
        <w:tab w:val="right" w:pos="9214"/>
      </w:tabs>
      <w:ind w:left="142" w:hanging="142"/>
      <w:rPr>
        <w:rFonts w:ascii="Arial" w:hAnsi="Arial" w:cs="Arial"/>
        <w:b/>
        <w:sz w:val="20"/>
        <w:lang w:val="es-ES_tradnl"/>
      </w:rPr>
    </w:pPr>
    <w:r w:rsidRPr="00F941DB">
      <w:rPr>
        <w:rFonts w:ascii="Arial" w:hAnsi="Arial" w:cs="Arial"/>
        <w:b/>
        <w:sz w:val="20"/>
        <w:lang w:val="es-ES_tradnl"/>
      </w:rPr>
      <w:t>ANEXO H</w:t>
    </w:r>
  </w:p>
  <w:p w14:paraId="0CDCF5EC" w14:textId="77777777" w:rsidR="001967BC" w:rsidRPr="002C6517" w:rsidRDefault="001967BC" w:rsidP="00860C48">
    <w:pPr>
      <w:tabs>
        <w:tab w:val="right" w:pos="9214"/>
      </w:tabs>
      <w:rPr>
        <w:rFonts w:ascii="Arial" w:hAnsi="Arial" w:cs="Arial"/>
        <w:sz w:val="20"/>
        <w:lang w:val="es-ES"/>
      </w:rPr>
    </w:pPr>
  </w:p>
  <w:p w14:paraId="13D303FA" w14:textId="6E288E52" w:rsidR="001967BC" w:rsidRPr="00F941DB" w:rsidRDefault="001967BC" w:rsidP="00860C48">
    <w:pPr>
      <w:pStyle w:val="Header"/>
      <w:jc w:val="center"/>
      <w:rPr>
        <w:rFonts w:ascii="Arial" w:hAnsi="Arial" w:cs="Arial"/>
        <w:b/>
        <w:sz w:val="20"/>
        <w:lang w:val="es-ES_tradnl"/>
      </w:rPr>
    </w:pPr>
    <w:r w:rsidRPr="00F941DB">
      <w:rPr>
        <w:rFonts w:ascii="Arial" w:hAnsi="Arial" w:cs="Arial"/>
        <w:b/>
        <w:sz w:val="20"/>
        <w:lang w:val="es-ES_tradnl"/>
      </w:rPr>
      <w:t>CONCENTRACION DE LOS DEP</w:t>
    </w:r>
    <w:r>
      <w:rPr>
        <w:rFonts w:ascii="Arial" w:hAnsi="Arial" w:cs="Arial"/>
        <w:b/>
        <w:sz w:val="20"/>
        <w:lang w:val="es-ES_tradnl"/>
      </w:rPr>
      <w:t>Ó</w:t>
    </w:r>
    <w:r w:rsidRPr="00F941DB">
      <w:rPr>
        <w:rFonts w:ascii="Arial" w:hAnsi="Arial" w:cs="Arial"/>
        <w:b/>
        <w:sz w:val="20"/>
        <w:lang w:val="es-ES_tradnl"/>
      </w:rPr>
      <w:t>SITOS</w:t>
    </w:r>
  </w:p>
  <w:p w14:paraId="214C4BDD" w14:textId="7C988C2F" w:rsidR="001967BC" w:rsidRPr="009040E3" w:rsidRDefault="001967BC" w:rsidP="00A261DE">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0707200D" w14:textId="15BB6CE8" w:rsidR="001967BC" w:rsidRDefault="001967BC" w:rsidP="00860C48">
    <w:pPr>
      <w:pStyle w:val="Header"/>
      <w:jc w:val="center"/>
      <w:rPr>
        <w:rFonts w:ascii="Arial" w:hAnsi="Arial" w:cs="Arial"/>
        <w:sz w:val="16"/>
        <w:szCs w:val="16"/>
        <w:lang w:val="es-ES"/>
      </w:rPr>
    </w:pPr>
    <w:r w:rsidRPr="002C6517">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2C6517">
      <w:rPr>
        <w:rFonts w:ascii="Arial" w:hAnsi="Arial" w:cs="Arial"/>
        <w:sz w:val="16"/>
        <w:szCs w:val="16"/>
        <w:lang w:val="es-ES"/>
      </w:rPr>
      <w:t>)</w:t>
    </w:r>
  </w:p>
  <w:p w14:paraId="37654021" w14:textId="77777777" w:rsidR="001967BC" w:rsidRPr="002C6517" w:rsidRDefault="001967BC" w:rsidP="00860C48">
    <w:pPr>
      <w:pStyle w:val="Header"/>
      <w:rPr>
        <w:rFonts w:ascii="Arial" w:hAnsi="Arial" w:cs="Arial"/>
        <w:sz w:val="20"/>
        <w:lang w:val="es-ES"/>
      </w:rPr>
    </w:pPr>
  </w:p>
  <w:p w14:paraId="425A0EAD" w14:textId="77777777" w:rsidR="001967BC" w:rsidRPr="00F941DB" w:rsidRDefault="001967BC" w:rsidP="00860C48">
    <w:pPr>
      <w:pStyle w:val="Header"/>
      <w:rPr>
        <w:rFonts w:ascii="Arial" w:hAnsi="Arial" w:cs="Arial"/>
        <w:sz w:val="20"/>
        <w:lang w:val="es-ES_tradnl"/>
      </w:rPr>
    </w:pPr>
  </w:p>
  <w:p w14:paraId="13F1D0C7" w14:textId="77777777" w:rsidR="001967BC" w:rsidRPr="00860C48" w:rsidRDefault="001967BC" w:rsidP="00860C48">
    <w:pPr>
      <w:pStyle w:val="Header"/>
      <w:rPr>
        <w:lang w:val="es-ES_tradnl"/>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CFE73" w14:textId="77777777" w:rsidR="001967BC" w:rsidRDefault="001967BC" w:rsidP="00860C48">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2A57689E" wp14:editId="76555108">
          <wp:extent cx="1027130" cy="452633"/>
          <wp:effectExtent l="19050" t="0" r="1570" b="0"/>
          <wp:docPr id="1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6FA3ACC" w14:textId="77777777" w:rsidR="001967BC" w:rsidRDefault="001967BC" w:rsidP="00860C48">
    <w:pPr>
      <w:tabs>
        <w:tab w:val="right" w:pos="9214"/>
      </w:tabs>
      <w:ind w:left="142" w:hanging="142"/>
      <w:rPr>
        <w:rFonts w:ascii="Arial" w:hAnsi="Arial" w:cs="Arial"/>
        <w:b/>
        <w:sz w:val="20"/>
        <w:lang w:val="es-ES_tradnl"/>
      </w:rPr>
    </w:pPr>
    <w:r w:rsidRPr="002C6517">
      <w:rPr>
        <w:rFonts w:ascii="Arial" w:hAnsi="Arial" w:cs="Arial"/>
        <w:b/>
        <w:sz w:val="20"/>
        <w:lang w:val="es-ES_tradnl"/>
      </w:rPr>
      <w:t>ANEXO I</w:t>
    </w:r>
  </w:p>
  <w:p w14:paraId="08AE86B8" w14:textId="77777777" w:rsidR="001967BC" w:rsidRPr="002C6517" w:rsidRDefault="001967BC" w:rsidP="00860C48">
    <w:pPr>
      <w:tabs>
        <w:tab w:val="right" w:pos="9214"/>
      </w:tabs>
      <w:ind w:left="142" w:hanging="142"/>
      <w:rPr>
        <w:rFonts w:ascii="Arial" w:hAnsi="Arial" w:cs="Arial"/>
        <w:b/>
        <w:sz w:val="20"/>
        <w:lang w:val="es-ES"/>
      </w:rPr>
    </w:pPr>
  </w:p>
  <w:p w14:paraId="2A72F5D2" w14:textId="77777777" w:rsidR="001967BC" w:rsidRPr="002C6517" w:rsidRDefault="001967BC" w:rsidP="00860C48">
    <w:pPr>
      <w:pStyle w:val="Header"/>
      <w:jc w:val="center"/>
      <w:rPr>
        <w:rFonts w:ascii="Arial" w:hAnsi="Arial" w:cs="Arial"/>
        <w:b/>
        <w:sz w:val="20"/>
        <w:lang w:val="es-ES_tradnl"/>
      </w:rPr>
    </w:pPr>
    <w:r w:rsidRPr="002C6517">
      <w:rPr>
        <w:rFonts w:ascii="Arial" w:hAnsi="Arial" w:cs="Arial"/>
        <w:b/>
        <w:sz w:val="20"/>
        <w:lang w:val="es-ES_tradnl"/>
      </w:rPr>
      <w:t xml:space="preserve">APERTURA </w:t>
    </w:r>
    <w:r>
      <w:rPr>
        <w:rFonts w:ascii="Arial" w:hAnsi="Arial" w:cs="Arial"/>
        <w:b/>
        <w:sz w:val="20"/>
        <w:lang w:val="es-ES_tradnl"/>
      </w:rPr>
      <w:t>DE PASIVOS FINANCIEROS POR PL</w:t>
    </w:r>
    <w:r w:rsidRPr="002C6517">
      <w:rPr>
        <w:rFonts w:ascii="Arial" w:hAnsi="Arial" w:cs="Arial"/>
        <w:b/>
        <w:sz w:val="20"/>
        <w:lang w:val="es-ES_tradnl"/>
      </w:rPr>
      <w:t>A</w:t>
    </w:r>
    <w:r>
      <w:rPr>
        <w:rFonts w:ascii="Arial" w:hAnsi="Arial" w:cs="Arial"/>
        <w:b/>
        <w:sz w:val="20"/>
        <w:lang w:val="es-ES_tradnl"/>
      </w:rPr>
      <w:t>ZOS REMANENTES</w:t>
    </w:r>
  </w:p>
  <w:p w14:paraId="174D3CE1" w14:textId="16AA26CA" w:rsidR="001967BC" w:rsidRPr="002C6517" w:rsidRDefault="001967BC" w:rsidP="00860C48">
    <w:pPr>
      <w:pStyle w:val="Header"/>
      <w:jc w:val="center"/>
      <w:rPr>
        <w:rFonts w:ascii="Arial" w:hAnsi="Arial" w:cs="Arial"/>
        <w:b/>
        <w:sz w:val="20"/>
        <w:lang w:val="es-ES_tradnl"/>
      </w:rPr>
    </w:pPr>
    <w:r>
      <w:rPr>
        <w:rFonts w:ascii="Arial" w:hAnsi="Arial" w:cs="Arial"/>
        <w:b/>
        <w:sz w:val="20"/>
        <w:lang w:val="es-ES_tradnl"/>
      </w:rPr>
      <w:t>AL 31 DE MARZO DE 2020</w:t>
    </w:r>
  </w:p>
  <w:p w14:paraId="09253113" w14:textId="41D0741D" w:rsidR="001967BC" w:rsidRDefault="001967BC" w:rsidP="00860C48">
    <w:pPr>
      <w:pStyle w:val="Header"/>
      <w:jc w:val="center"/>
      <w:rPr>
        <w:rFonts w:ascii="Arial" w:hAnsi="Arial" w:cs="Arial"/>
        <w:sz w:val="16"/>
        <w:szCs w:val="16"/>
        <w:lang w:val="es-ES"/>
      </w:rPr>
    </w:pPr>
    <w:r w:rsidRPr="002C6517">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2C6517">
      <w:rPr>
        <w:rFonts w:ascii="Arial" w:hAnsi="Arial" w:cs="Arial"/>
        <w:sz w:val="16"/>
        <w:szCs w:val="16"/>
        <w:lang w:val="es-ES"/>
      </w:rPr>
      <w:t>)</w:t>
    </w:r>
  </w:p>
  <w:p w14:paraId="72D85541" w14:textId="77777777" w:rsidR="001967BC" w:rsidRPr="008C1D4C" w:rsidRDefault="001967BC" w:rsidP="00860C48">
    <w:pPr>
      <w:pStyle w:val="Header"/>
      <w:rPr>
        <w:rFonts w:ascii="Arial" w:hAnsi="Arial" w:cs="Arial"/>
        <w:sz w:val="20"/>
        <w:lang w:val="es-ES_tradnl"/>
      </w:rPr>
    </w:pPr>
  </w:p>
  <w:p w14:paraId="704B9705" w14:textId="77777777" w:rsidR="001967BC" w:rsidRPr="008C1D4C" w:rsidRDefault="001967BC" w:rsidP="00860C48">
    <w:pPr>
      <w:pStyle w:val="Header"/>
      <w:rPr>
        <w:rFonts w:ascii="Arial" w:hAnsi="Arial" w:cs="Arial"/>
        <w:sz w:val="20"/>
        <w:lang w:val="es-ES_tradnl"/>
      </w:rPr>
    </w:pPr>
  </w:p>
  <w:p w14:paraId="1EED9720" w14:textId="77777777" w:rsidR="001967BC" w:rsidRPr="00860C48" w:rsidRDefault="001967BC" w:rsidP="00860C48">
    <w:pPr>
      <w:pStyle w:val="Header"/>
      <w:rPr>
        <w:lang w:val="es-ES_tradnl"/>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6525B" w14:textId="77777777" w:rsidR="001967BC" w:rsidRDefault="001967BC" w:rsidP="007A7EC4">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4212A5BA" wp14:editId="606CBA4B">
          <wp:extent cx="1027130" cy="452633"/>
          <wp:effectExtent l="19050" t="0" r="1570" b="0"/>
          <wp:docPr id="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5D24A0B" w14:textId="77777777" w:rsidR="001967BC" w:rsidRDefault="001967BC" w:rsidP="007A7EC4">
    <w:pPr>
      <w:tabs>
        <w:tab w:val="right" w:pos="9214"/>
      </w:tabs>
      <w:rPr>
        <w:rFonts w:ascii="Arial" w:hAnsi="Arial" w:cs="Arial"/>
        <w:b/>
        <w:sz w:val="20"/>
        <w:lang w:val="es-ES_tradnl"/>
      </w:rPr>
    </w:pPr>
    <w:r w:rsidRPr="008C1D4C">
      <w:rPr>
        <w:rFonts w:ascii="Arial" w:hAnsi="Arial" w:cs="Arial"/>
        <w:b/>
        <w:sz w:val="20"/>
        <w:lang w:val="es-ES_tradnl"/>
      </w:rPr>
      <w:t>ANEXO J</w:t>
    </w:r>
  </w:p>
  <w:p w14:paraId="7F6F71CB" w14:textId="77777777" w:rsidR="001967BC" w:rsidRPr="00F52B7B" w:rsidRDefault="001967BC" w:rsidP="007A7EC4">
    <w:pPr>
      <w:tabs>
        <w:tab w:val="right" w:pos="9214"/>
      </w:tabs>
      <w:ind w:left="142" w:hanging="142"/>
      <w:rPr>
        <w:rFonts w:ascii="Arial" w:hAnsi="Arial" w:cs="Arial"/>
        <w:sz w:val="20"/>
        <w:lang w:val="es-ES"/>
      </w:rPr>
    </w:pPr>
  </w:p>
  <w:p w14:paraId="716D64DD" w14:textId="77777777" w:rsidR="001967BC" w:rsidRPr="008C1D4C" w:rsidRDefault="001967BC" w:rsidP="007A7EC4">
    <w:pPr>
      <w:pStyle w:val="Header"/>
      <w:jc w:val="center"/>
      <w:rPr>
        <w:rFonts w:ascii="Arial" w:hAnsi="Arial" w:cs="Arial"/>
        <w:b/>
        <w:sz w:val="20"/>
        <w:lang w:val="es-ES_tradnl"/>
      </w:rPr>
    </w:pPr>
    <w:r w:rsidRPr="008C1D4C">
      <w:rPr>
        <w:rFonts w:ascii="Arial" w:hAnsi="Arial" w:cs="Arial"/>
        <w:b/>
        <w:sz w:val="20"/>
        <w:lang w:val="es-ES_tradnl"/>
      </w:rPr>
      <w:t>MOVIMIENTO DE PR</w:t>
    </w:r>
    <w:r>
      <w:rPr>
        <w:rFonts w:ascii="Arial" w:hAnsi="Arial" w:cs="Arial"/>
        <w:b/>
        <w:sz w:val="20"/>
        <w:lang w:val="es-ES_tradnl"/>
      </w:rPr>
      <w:t>O</w:t>
    </w:r>
    <w:r w:rsidRPr="008C1D4C">
      <w:rPr>
        <w:rFonts w:ascii="Arial" w:hAnsi="Arial" w:cs="Arial"/>
        <w:b/>
        <w:sz w:val="20"/>
        <w:lang w:val="es-ES_tradnl"/>
      </w:rPr>
      <w:t>VISIONES</w:t>
    </w:r>
  </w:p>
  <w:p w14:paraId="0CC376B0" w14:textId="49463DEF" w:rsidR="001967BC" w:rsidRPr="009040E3" w:rsidRDefault="001967BC" w:rsidP="00A261DE">
    <w:pPr>
      <w:pStyle w:val="Header"/>
      <w:jc w:val="center"/>
      <w:rPr>
        <w:rFonts w:ascii="Arial" w:hAnsi="Arial" w:cs="Arial"/>
        <w:b/>
        <w:sz w:val="20"/>
        <w:lang w:val="es-ES_tradnl"/>
      </w:rPr>
    </w:pPr>
    <w:r>
      <w:rPr>
        <w:rFonts w:ascii="Arial" w:hAnsi="Arial" w:cs="Arial"/>
        <w:b/>
        <w:sz w:val="20"/>
        <w:lang w:val="es-ES_tradnl"/>
      </w:rPr>
      <w:t xml:space="preserve">AL 31 DE MARZO DE 2020 Y 31 DE DICIEMBRE DE 2019 </w:t>
    </w:r>
  </w:p>
  <w:p w14:paraId="41ACEFEA" w14:textId="5AF3344A" w:rsidR="001967BC" w:rsidRPr="00F52B7B" w:rsidRDefault="001967BC" w:rsidP="007A7EC4">
    <w:pPr>
      <w:pStyle w:val="Header"/>
      <w:jc w:val="center"/>
      <w:rPr>
        <w:rFonts w:ascii="Arial" w:hAnsi="Arial" w:cs="Arial"/>
        <w:sz w:val="16"/>
        <w:szCs w:val="16"/>
        <w:lang w:val="es-ES"/>
      </w:rPr>
    </w:pPr>
    <w:r w:rsidRPr="00F52B7B">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F52B7B">
      <w:rPr>
        <w:rFonts w:ascii="Arial" w:hAnsi="Arial" w:cs="Arial"/>
        <w:sz w:val="16"/>
        <w:szCs w:val="16"/>
        <w:lang w:val="es-ES"/>
      </w:rPr>
      <w:t>)</w:t>
    </w:r>
  </w:p>
  <w:p w14:paraId="227CC3C5" w14:textId="77777777" w:rsidR="001967BC" w:rsidRPr="00D458EF" w:rsidRDefault="001967BC" w:rsidP="007A7EC4">
    <w:pPr>
      <w:pStyle w:val="Header"/>
      <w:rPr>
        <w:rFonts w:ascii="Arial" w:hAnsi="Arial" w:cs="Arial"/>
        <w:sz w:val="20"/>
        <w:lang w:val="es-ES_tradnl"/>
      </w:rPr>
    </w:pPr>
  </w:p>
  <w:p w14:paraId="276F154A" w14:textId="77777777" w:rsidR="001967BC" w:rsidRPr="007A7EC4" w:rsidRDefault="001967BC" w:rsidP="007A7EC4">
    <w:pPr>
      <w:pStyle w:val="Header"/>
      <w:rPr>
        <w:lang w:val="es-ES_tradnl"/>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0E7F3" w14:textId="77777777" w:rsidR="001967BC" w:rsidRDefault="001967BC" w:rsidP="007A7EC4">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92C02A3" wp14:editId="686E07A5">
          <wp:extent cx="1027130" cy="452633"/>
          <wp:effectExtent l="19050" t="0" r="1570" b="0"/>
          <wp:docPr id="1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8DF1AA9" w14:textId="77777777" w:rsidR="001967BC" w:rsidRDefault="001967BC" w:rsidP="007A7EC4">
    <w:pPr>
      <w:tabs>
        <w:tab w:val="right" w:pos="9214"/>
      </w:tabs>
      <w:ind w:left="142" w:hanging="142"/>
      <w:rPr>
        <w:rFonts w:ascii="Arial" w:hAnsi="Arial" w:cs="Arial"/>
        <w:b/>
        <w:sz w:val="20"/>
        <w:lang w:val="es-ES_tradnl"/>
      </w:rPr>
    </w:pPr>
    <w:r w:rsidRPr="00F52B7B">
      <w:rPr>
        <w:rFonts w:ascii="Arial" w:hAnsi="Arial" w:cs="Arial"/>
        <w:b/>
        <w:sz w:val="20"/>
        <w:lang w:val="es-ES_tradnl"/>
      </w:rPr>
      <w:t>ANEXO L</w:t>
    </w:r>
  </w:p>
  <w:p w14:paraId="520EA6E0" w14:textId="77777777" w:rsidR="001967BC" w:rsidRPr="00F52B7B" w:rsidRDefault="001967BC" w:rsidP="007A7EC4">
    <w:pPr>
      <w:tabs>
        <w:tab w:val="right" w:pos="9214"/>
      </w:tabs>
      <w:ind w:left="142" w:hanging="142"/>
      <w:rPr>
        <w:rFonts w:ascii="Arial" w:hAnsi="Arial" w:cs="Arial"/>
        <w:sz w:val="20"/>
        <w:lang w:val="es-ES"/>
      </w:rPr>
    </w:pPr>
  </w:p>
  <w:p w14:paraId="1724C548" w14:textId="77777777" w:rsidR="001967BC" w:rsidRPr="00F52B7B" w:rsidRDefault="001967BC" w:rsidP="007A7EC4">
    <w:pPr>
      <w:pStyle w:val="Header"/>
      <w:jc w:val="center"/>
      <w:rPr>
        <w:rFonts w:ascii="Arial" w:hAnsi="Arial" w:cs="Arial"/>
        <w:b/>
        <w:sz w:val="20"/>
        <w:lang w:val="es-ES_tradnl"/>
      </w:rPr>
    </w:pPr>
    <w:r w:rsidRPr="00F52B7B">
      <w:rPr>
        <w:rFonts w:ascii="Arial" w:hAnsi="Arial" w:cs="Arial"/>
        <w:b/>
        <w:sz w:val="20"/>
        <w:lang w:val="es-ES_tradnl"/>
      </w:rPr>
      <w:t>SALDOS EN MONEDA EXTRANJERA</w:t>
    </w:r>
  </w:p>
  <w:p w14:paraId="78B10FD4" w14:textId="77A7C0D1" w:rsidR="001967BC" w:rsidRPr="00F52B7B" w:rsidRDefault="001967BC" w:rsidP="00A261DE">
    <w:pPr>
      <w:pStyle w:val="Header"/>
      <w:jc w:val="center"/>
      <w:rPr>
        <w:rFonts w:ascii="Arial" w:hAnsi="Arial" w:cs="Arial"/>
        <w:b/>
        <w:sz w:val="20"/>
        <w:lang w:val="es-ES_tradnl"/>
      </w:rPr>
    </w:pPr>
    <w:r>
      <w:rPr>
        <w:rFonts w:ascii="Arial" w:hAnsi="Arial" w:cs="Arial"/>
        <w:b/>
        <w:sz w:val="20"/>
        <w:lang w:val="es-ES_tradnl"/>
      </w:rPr>
      <w:t>AL 31 DE MARZODE 2020 Y 31 DE DICIEMBRE DE 2019</w:t>
    </w:r>
  </w:p>
  <w:p w14:paraId="3BB92C74" w14:textId="77777777" w:rsidR="001967BC" w:rsidRDefault="001967BC" w:rsidP="007A7EC4">
    <w:pPr>
      <w:pStyle w:val="Header"/>
      <w:jc w:val="center"/>
      <w:rPr>
        <w:rFonts w:ascii="Arial" w:hAnsi="Arial" w:cs="Arial"/>
        <w:sz w:val="16"/>
        <w:szCs w:val="16"/>
        <w:lang w:val="es-ES"/>
      </w:rPr>
    </w:pPr>
    <w:r>
      <w:rPr>
        <w:rFonts w:ascii="Arial" w:hAnsi="Arial" w:cs="Arial"/>
        <w:sz w:val="16"/>
        <w:szCs w:val="16"/>
        <w:lang w:val="es-ES"/>
      </w:rPr>
      <w:t>(C</w:t>
    </w:r>
    <w:r w:rsidRPr="00F52B7B">
      <w:rPr>
        <w:rFonts w:ascii="Arial" w:hAnsi="Arial" w:cs="Arial"/>
        <w:sz w:val="16"/>
        <w:szCs w:val="16"/>
        <w:lang w:val="es-ES"/>
      </w:rPr>
      <w:t>ifras expresadas en miles de pesos)</w:t>
    </w:r>
  </w:p>
  <w:p w14:paraId="49EB4278" w14:textId="77777777" w:rsidR="001967BC" w:rsidRPr="007A7EC4" w:rsidRDefault="001967BC" w:rsidP="007A7EC4">
    <w:pPr>
      <w:pStyle w:val="Header"/>
      <w:rPr>
        <w:lang w:val="es-E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67BE2" w14:textId="77777777" w:rsidR="001967BC" w:rsidRDefault="001967BC" w:rsidP="00AF16A0">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79EBC2B7" wp14:editId="6499D599">
          <wp:extent cx="1027130" cy="452633"/>
          <wp:effectExtent l="19050" t="0" r="1570" b="0"/>
          <wp:docPr id="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44B4E37" w14:textId="77777777" w:rsidR="001967BC" w:rsidRDefault="001967BC" w:rsidP="00AF16A0">
    <w:pPr>
      <w:tabs>
        <w:tab w:val="right" w:pos="9214"/>
      </w:tabs>
      <w:ind w:left="142" w:hanging="142"/>
      <w:rPr>
        <w:rFonts w:ascii="Arial" w:hAnsi="Arial" w:cs="Arial"/>
        <w:b/>
        <w:sz w:val="20"/>
        <w:lang w:val="es-ES_tradnl"/>
      </w:rPr>
    </w:pPr>
    <w:r w:rsidRPr="00F52B7B">
      <w:rPr>
        <w:rFonts w:ascii="Arial" w:hAnsi="Arial" w:cs="Arial"/>
        <w:b/>
        <w:sz w:val="20"/>
        <w:lang w:val="es-ES_tradnl"/>
      </w:rPr>
      <w:t>ANEXO O</w:t>
    </w:r>
  </w:p>
  <w:p w14:paraId="680467E6" w14:textId="77777777" w:rsidR="001967BC" w:rsidRPr="00F52B7B" w:rsidRDefault="001967BC" w:rsidP="00AF16A0">
    <w:pPr>
      <w:tabs>
        <w:tab w:val="right" w:pos="9214"/>
      </w:tabs>
      <w:rPr>
        <w:rFonts w:ascii="Arial" w:hAnsi="Arial" w:cs="Arial"/>
        <w:sz w:val="20"/>
        <w:lang w:val="es-ES"/>
      </w:rPr>
    </w:pPr>
  </w:p>
  <w:p w14:paraId="0C12CD2E" w14:textId="77777777" w:rsidR="001967BC" w:rsidRPr="00F52B7B" w:rsidRDefault="001967BC" w:rsidP="00AF16A0">
    <w:pPr>
      <w:pStyle w:val="Header"/>
      <w:jc w:val="center"/>
      <w:rPr>
        <w:rFonts w:ascii="Arial" w:hAnsi="Arial" w:cs="Arial"/>
        <w:b/>
        <w:sz w:val="20"/>
        <w:lang w:val="es-ES_tradnl"/>
      </w:rPr>
    </w:pPr>
    <w:r w:rsidRPr="00F52B7B">
      <w:rPr>
        <w:rFonts w:ascii="Arial" w:hAnsi="Arial" w:cs="Arial"/>
        <w:b/>
        <w:sz w:val="20"/>
        <w:lang w:val="es-ES_tradnl"/>
      </w:rPr>
      <w:t>INSTRUMENTOS FINANCIEROS DERIVADOS</w:t>
    </w:r>
  </w:p>
  <w:p w14:paraId="48562365" w14:textId="77214C21" w:rsidR="001967BC" w:rsidRPr="00F52B7B" w:rsidRDefault="001967BC" w:rsidP="00AF16A0">
    <w:pPr>
      <w:pStyle w:val="Header"/>
      <w:jc w:val="center"/>
      <w:rPr>
        <w:rFonts w:ascii="Arial" w:hAnsi="Arial" w:cs="Arial"/>
        <w:b/>
        <w:sz w:val="20"/>
        <w:lang w:val="es-ES_tradnl"/>
      </w:rPr>
    </w:pPr>
    <w:r>
      <w:rPr>
        <w:rFonts w:ascii="Arial" w:hAnsi="Arial" w:cs="Arial"/>
        <w:b/>
        <w:sz w:val="20"/>
        <w:lang w:val="es-ES_tradnl"/>
      </w:rPr>
      <w:t>AL 31 DE MARZO DE 2020</w:t>
    </w:r>
  </w:p>
  <w:p w14:paraId="2B98B0AF" w14:textId="5070D8FB" w:rsidR="001967BC" w:rsidRDefault="001967BC" w:rsidP="00AF16A0">
    <w:pPr>
      <w:pStyle w:val="Header"/>
      <w:jc w:val="center"/>
      <w:rPr>
        <w:rFonts w:ascii="Arial" w:hAnsi="Arial" w:cs="Arial"/>
        <w:sz w:val="16"/>
        <w:szCs w:val="16"/>
        <w:lang w:val="es-ES"/>
      </w:rPr>
    </w:pPr>
    <w:r w:rsidRPr="00F52B7B">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F52B7B">
      <w:rPr>
        <w:rFonts w:ascii="Arial" w:hAnsi="Arial" w:cs="Arial"/>
        <w:sz w:val="16"/>
        <w:szCs w:val="16"/>
        <w:lang w:val="es-ES"/>
      </w:rPr>
      <w:t>)</w:t>
    </w:r>
  </w:p>
  <w:p w14:paraId="1BBEFEFF" w14:textId="77777777" w:rsidR="001967BC" w:rsidRPr="00F52B7B" w:rsidRDefault="001967BC" w:rsidP="00AF16A0">
    <w:pPr>
      <w:pStyle w:val="Header"/>
      <w:rPr>
        <w:rFonts w:ascii="Arial" w:hAnsi="Arial" w:cs="Arial"/>
        <w:sz w:val="20"/>
        <w:lang w:val="es-ES_tradnl"/>
      </w:rPr>
    </w:pPr>
  </w:p>
  <w:p w14:paraId="094932D0" w14:textId="77777777" w:rsidR="001967BC" w:rsidRPr="00AF16A0" w:rsidRDefault="001967BC" w:rsidP="00AF16A0">
    <w:pPr>
      <w:pStyle w:val="Header"/>
      <w:rPr>
        <w:lang w:val="es-ES_tradnl"/>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52C0A" w14:textId="77777777" w:rsidR="001967BC" w:rsidRDefault="001967BC" w:rsidP="004C6D19">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6FFB8A1" wp14:editId="0B5AD866">
          <wp:extent cx="1027130" cy="452633"/>
          <wp:effectExtent l="19050" t="0" r="157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A272CF0" w14:textId="77777777" w:rsidR="001967BC" w:rsidRDefault="001967BC" w:rsidP="004C6D19">
    <w:pPr>
      <w:tabs>
        <w:tab w:val="right" w:pos="9214"/>
      </w:tabs>
      <w:ind w:left="142" w:hanging="142"/>
      <w:rPr>
        <w:rFonts w:ascii="Arial" w:hAnsi="Arial" w:cs="Arial"/>
        <w:b/>
        <w:sz w:val="20"/>
        <w:lang w:val="es-ES_tradnl"/>
      </w:rPr>
    </w:pPr>
    <w:r w:rsidRPr="002C6517">
      <w:rPr>
        <w:rFonts w:ascii="Arial" w:hAnsi="Arial" w:cs="Arial"/>
        <w:b/>
        <w:sz w:val="20"/>
        <w:lang w:val="es-ES_tradnl"/>
      </w:rPr>
      <w:t xml:space="preserve">ANEXO </w:t>
    </w:r>
    <w:r>
      <w:rPr>
        <w:rFonts w:ascii="Arial" w:hAnsi="Arial" w:cs="Arial"/>
        <w:b/>
        <w:sz w:val="20"/>
        <w:lang w:val="es-ES_tradnl"/>
      </w:rPr>
      <w:t>R</w:t>
    </w:r>
  </w:p>
  <w:p w14:paraId="3BF3BA99" w14:textId="77777777" w:rsidR="001967BC" w:rsidRPr="002C6517" w:rsidRDefault="001967BC" w:rsidP="004C6D19">
    <w:pPr>
      <w:tabs>
        <w:tab w:val="right" w:pos="9214"/>
      </w:tabs>
      <w:ind w:left="142" w:hanging="142"/>
      <w:rPr>
        <w:rFonts w:ascii="Arial" w:hAnsi="Arial" w:cs="Arial"/>
        <w:b/>
        <w:sz w:val="20"/>
        <w:lang w:val="es-ES"/>
      </w:rPr>
    </w:pPr>
  </w:p>
  <w:p w14:paraId="104A4289" w14:textId="00DB4CBA" w:rsidR="001967BC" w:rsidRDefault="001967BC" w:rsidP="004C6D19">
    <w:pPr>
      <w:pStyle w:val="Header"/>
      <w:jc w:val="center"/>
      <w:rPr>
        <w:rFonts w:ascii="Arial" w:hAnsi="Arial" w:cs="Arial"/>
        <w:b/>
        <w:sz w:val="20"/>
        <w:lang w:val="es-ES_tradnl"/>
      </w:rPr>
    </w:pPr>
    <w:r>
      <w:rPr>
        <w:rFonts w:ascii="Arial" w:hAnsi="Arial" w:cs="Arial"/>
        <w:b/>
        <w:sz w:val="20"/>
        <w:lang w:val="es-ES_tradnl"/>
      </w:rPr>
      <w:t>CORRECCION DE VALOR POR PÉRDIDAS</w:t>
    </w:r>
  </w:p>
  <w:p w14:paraId="0BE72D62" w14:textId="77777777" w:rsidR="001967BC" w:rsidRPr="002C6517" w:rsidRDefault="001967BC" w:rsidP="004C6D19">
    <w:pPr>
      <w:pStyle w:val="Header"/>
      <w:jc w:val="center"/>
      <w:rPr>
        <w:rFonts w:ascii="Arial" w:hAnsi="Arial" w:cs="Arial"/>
        <w:b/>
        <w:sz w:val="20"/>
        <w:lang w:val="es-ES_tradnl"/>
      </w:rPr>
    </w:pPr>
    <w:r>
      <w:rPr>
        <w:rFonts w:ascii="Arial" w:hAnsi="Arial" w:cs="Arial"/>
        <w:b/>
        <w:sz w:val="20"/>
        <w:lang w:val="es-ES_tradnl"/>
      </w:rPr>
      <w:t>PREVISIONES POR RIESGO DE INCOBRABILIDAD</w:t>
    </w:r>
  </w:p>
  <w:p w14:paraId="3EC4B123" w14:textId="4FFC547E" w:rsidR="001967BC" w:rsidRPr="009040E3" w:rsidRDefault="001967BC" w:rsidP="00A261DE">
    <w:pPr>
      <w:pStyle w:val="Header"/>
      <w:jc w:val="center"/>
      <w:rPr>
        <w:rFonts w:ascii="Arial" w:hAnsi="Arial" w:cs="Arial"/>
        <w:b/>
        <w:sz w:val="20"/>
        <w:lang w:val="es-ES_tradnl"/>
      </w:rPr>
    </w:pPr>
    <w:r>
      <w:rPr>
        <w:rFonts w:ascii="Arial" w:hAnsi="Arial" w:cs="Arial"/>
        <w:b/>
        <w:sz w:val="20"/>
        <w:lang w:val="es-ES_tradnl"/>
      </w:rPr>
      <w:t>AL 31 DE MARZO DE 2020 Y 31 DE DICIEMBRE DE 2019</w:t>
    </w:r>
  </w:p>
  <w:p w14:paraId="1ACC6FD2" w14:textId="76A60B16" w:rsidR="001967BC" w:rsidRDefault="001967BC" w:rsidP="004C6D19">
    <w:pPr>
      <w:pStyle w:val="Header"/>
      <w:jc w:val="center"/>
      <w:rPr>
        <w:rFonts w:ascii="Arial" w:hAnsi="Arial" w:cs="Arial"/>
        <w:sz w:val="16"/>
        <w:szCs w:val="16"/>
        <w:lang w:val="es-ES"/>
      </w:rPr>
    </w:pPr>
    <w:r w:rsidRPr="002C6517">
      <w:rPr>
        <w:rFonts w:ascii="Arial" w:hAnsi="Arial" w:cs="Arial"/>
        <w:sz w:val="16"/>
        <w:szCs w:val="16"/>
        <w:lang w:val="es-ES"/>
      </w:rPr>
      <w:t>(Cifras expresadas en miles de pesos</w:t>
    </w:r>
    <w:r>
      <w:rPr>
        <w:rFonts w:ascii="Arial" w:hAnsi="Arial" w:cs="Arial"/>
        <w:sz w:val="16"/>
        <w:szCs w:val="16"/>
        <w:lang w:val="es-ES"/>
      </w:rPr>
      <w:t xml:space="preserve"> en moneda homogénea</w:t>
    </w:r>
    <w:r w:rsidRPr="002C6517">
      <w:rPr>
        <w:rFonts w:ascii="Arial" w:hAnsi="Arial" w:cs="Arial"/>
        <w:sz w:val="16"/>
        <w:szCs w:val="16"/>
        <w:lang w:val="es-ES"/>
      </w:rPr>
      <w:t>)</w:t>
    </w:r>
  </w:p>
  <w:p w14:paraId="2FEA988B" w14:textId="77777777" w:rsidR="001967BC" w:rsidRPr="008C1D4C" w:rsidRDefault="001967BC" w:rsidP="004C6D19">
    <w:pPr>
      <w:pStyle w:val="Header"/>
      <w:rPr>
        <w:rFonts w:ascii="Arial" w:hAnsi="Arial" w:cs="Arial"/>
        <w:sz w:val="20"/>
        <w:lang w:val="es-ES_tradnl"/>
      </w:rPr>
    </w:pPr>
  </w:p>
  <w:p w14:paraId="55EACA63" w14:textId="77777777" w:rsidR="001967BC" w:rsidRPr="008C1D4C" w:rsidRDefault="001967BC" w:rsidP="004C6D19">
    <w:pPr>
      <w:pStyle w:val="Header"/>
      <w:rPr>
        <w:rFonts w:ascii="Arial" w:hAnsi="Arial" w:cs="Arial"/>
        <w:sz w:val="20"/>
        <w:lang w:val="es-ES_tradnl"/>
      </w:rPr>
    </w:pPr>
  </w:p>
  <w:p w14:paraId="2B631327" w14:textId="77777777" w:rsidR="001967BC" w:rsidRPr="004C6D19" w:rsidRDefault="001967BC" w:rsidP="004C6D19">
    <w:pPr>
      <w:pStyle w:val="Header"/>
      <w:rPr>
        <w:lang w:val="es-ES_tradnl"/>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80FA7" w14:textId="77777777" w:rsidR="001967BC" w:rsidRDefault="001967BC" w:rsidP="00B726CF">
    <w:pPr>
      <w:tabs>
        <w:tab w:val="right" w:pos="9214"/>
      </w:tabs>
      <w:ind w:left="142" w:hanging="142"/>
      <w:jc w:val="right"/>
      <w:rPr>
        <w:rFonts w:ascii="Arial" w:hAnsi="Arial" w:cs="Arial"/>
        <w:b/>
      </w:rPr>
    </w:pPr>
    <w:r>
      <w:rPr>
        <w:noProof/>
        <w:color w:val="000000"/>
        <w:sz w:val="17"/>
        <w:szCs w:val="17"/>
        <w:lang w:eastAsia="es-AR"/>
      </w:rPr>
      <w:drawing>
        <wp:inline distT="0" distB="0" distL="0" distR="0" wp14:anchorId="372C87B7" wp14:editId="425F35F9">
          <wp:extent cx="962025" cy="481013"/>
          <wp:effectExtent l="19050" t="0" r="9525" b="0"/>
          <wp:docPr id="148" name="Imagen 1" descr="http://10.241.100.92/imagenes/supervielle.jpg">
            <a:hlinkClick xmlns:a="http://schemas.openxmlformats.org/drawingml/2006/main" r:id="rId1"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1.100.92/imagenes/supervielle.jpg">
                    <a:hlinkClick r:id="rId1" tgtFrame="_self"/>
                  </pic:cNvPr>
                  <pic:cNvPicPr>
                    <a:picLocks noChangeAspect="1" noChangeArrowheads="1"/>
                  </pic:cNvPicPr>
                </pic:nvPicPr>
                <pic:blipFill>
                  <a:blip r:embed="rId2"/>
                  <a:srcRect/>
                  <a:stretch>
                    <a:fillRect/>
                  </a:stretch>
                </pic:blipFill>
                <pic:spPr bwMode="auto">
                  <a:xfrm>
                    <a:off x="0" y="0"/>
                    <a:ext cx="962025" cy="481013"/>
                  </a:xfrm>
                  <a:prstGeom prst="rect">
                    <a:avLst/>
                  </a:prstGeom>
                  <a:noFill/>
                  <a:ln w="9525">
                    <a:noFill/>
                    <a:miter lim="800000"/>
                    <a:headEnd/>
                    <a:tailEnd/>
                  </a:ln>
                </pic:spPr>
              </pic:pic>
            </a:graphicData>
          </a:graphic>
        </wp:inline>
      </w:drawing>
    </w:r>
  </w:p>
  <w:p w14:paraId="252D2846" w14:textId="77777777" w:rsidR="001967BC" w:rsidRDefault="001967BC" w:rsidP="00B726CF">
    <w:pPr>
      <w:tabs>
        <w:tab w:val="right" w:pos="9214"/>
      </w:tabs>
      <w:ind w:left="142" w:hanging="142"/>
      <w:jc w:val="right"/>
      <w:rPr>
        <w:rStyle w:val="PageNumber"/>
        <w:rFonts w:ascii="Arial" w:hAnsi="Arial" w:cs="Arial"/>
        <w:lang w:val="es-ES"/>
      </w:rPr>
    </w:pPr>
  </w:p>
  <w:p w14:paraId="506EDE85" w14:textId="145093BF" w:rsidR="001967BC" w:rsidRPr="0038264E" w:rsidRDefault="001967BC" w:rsidP="00B726CF">
    <w:pPr>
      <w:tabs>
        <w:tab w:val="right" w:pos="9214"/>
      </w:tabs>
      <w:ind w:left="142" w:hanging="142"/>
      <w:jc w:val="center"/>
      <w:rPr>
        <w:rStyle w:val="PageNumber"/>
        <w:rFonts w:ascii="Arial" w:hAnsi="Arial" w:cs="Arial"/>
        <w:b/>
        <w:lang w:val="es-ES"/>
      </w:rPr>
    </w:pPr>
    <w:r>
      <w:rPr>
        <w:rStyle w:val="PageNumber"/>
        <w:rFonts w:ascii="Arial" w:hAnsi="Arial" w:cs="Arial"/>
        <w:b/>
        <w:lang w:val="es-ES"/>
      </w:rPr>
      <w:t>RESEÑA INFORMATIVA AL 31</w:t>
    </w:r>
    <w:r w:rsidRPr="0038264E">
      <w:rPr>
        <w:rStyle w:val="PageNumber"/>
        <w:rFonts w:ascii="Arial" w:hAnsi="Arial" w:cs="Arial"/>
        <w:b/>
        <w:lang w:val="es-ES"/>
      </w:rPr>
      <w:t xml:space="preserve"> DE </w:t>
    </w:r>
    <w:r>
      <w:rPr>
        <w:rStyle w:val="PageNumber"/>
        <w:rFonts w:ascii="Arial" w:hAnsi="Arial" w:cs="Arial"/>
        <w:b/>
        <w:lang w:val="es-ES"/>
      </w:rPr>
      <w:t>MARZO DE 2020</w:t>
    </w:r>
  </w:p>
  <w:p w14:paraId="27A95DEC" w14:textId="65CE77AA" w:rsidR="001967BC" w:rsidRPr="00836A9D" w:rsidRDefault="001967BC" w:rsidP="00836A9D">
    <w:pPr>
      <w:pStyle w:val="2Ttulo"/>
      <w:rPr>
        <w:rFonts w:ascii="Arial" w:hAnsi="Arial" w:cs="Arial"/>
        <w:b w:val="0"/>
        <w:color w:val="FFFFFF" w:themeColor="background1"/>
        <w:sz w:val="20"/>
      </w:rPr>
    </w:pPr>
    <w:r w:rsidRPr="00013DEE">
      <w:rPr>
        <w:rFonts w:ascii="Arial" w:hAnsi="Arial" w:cs="Arial"/>
        <w:color w:val="FFFFFF" w:themeColor="background1"/>
        <w:sz w:val="20"/>
      </w:rPr>
      <w:t xml:space="preserve">DE </w:t>
    </w:r>
    <w:r>
      <w:rPr>
        <w:rFonts w:ascii="Arial" w:hAnsi="Arial" w:cs="Arial"/>
        <w:b w:val="0"/>
        <w:color w:val="FFFFFF" w:themeColor="background1"/>
        <w:sz w:val="16"/>
        <w:szCs w:val="16"/>
        <w:lang w:val="es-ES_tradnl"/>
      </w:rPr>
      <w:t>RES</w:t>
    </w:r>
    <w:r w:rsidRPr="00013DEE">
      <w:rPr>
        <w:rFonts w:ascii="Arial" w:hAnsi="Arial" w:cs="Arial"/>
        <w:b w:val="0"/>
        <w:color w:val="FFFFFF" w:themeColor="background1"/>
        <w:sz w:val="16"/>
        <w:szCs w:val="16"/>
        <w:lang w:val="es-ES_tradnl"/>
      </w:rPr>
      <w:t xml:space="preserve"> forma con el ejercicio económico finalizado el 31 de diciembre de 2012</w:t>
    </w:r>
    <w:r w:rsidRPr="00013DEE">
      <w:rPr>
        <w:rFonts w:ascii="Arial" w:hAnsi="Arial" w:cs="Arial"/>
        <w:b w:val="0"/>
        <w:color w:val="FFFFFF" w:themeColor="background1"/>
        <w:sz w:val="16"/>
        <w:szCs w:val="16"/>
      </w:rPr>
      <w:t>(Cifras expresadas en miles de pesos</w:t>
    </w:r>
  </w:p>
  <w:p w14:paraId="2784EF7E" w14:textId="77777777" w:rsidR="001967BC" w:rsidRDefault="001967BC" w:rsidP="00B726CF">
    <w:pPr>
      <w:tabs>
        <w:tab w:val="right" w:pos="9214"/>
      </w:tabs>
      <w:ind w:left="142" w:hanging="142"/>
      <w:jc w:val="both"/>
      <w:rPr>
        <w:rFonts w:ascii="Arial" w:hAnsi="Arial" w:cs="Arial"/>
        <w:b/>
        <w:color w:val="FFFFFF" w:themeColor="background1"/>
      </w:rPr>
    </w:pPr>
    <w:r>
      <w:rPr>
        <w:rFonts w:ascii="Arial" w:hAnsi="Arial" w:cs="Arial"/>
        <w:b/>
        <w:color w:val="FFFFFF" w:themeColor="background1"/>
      </w:rPr>
      <w:t xml:space="preserve">BANCO SUPERVIELLE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6DC01" w14:textId="77777777" w:rsidR="001967BC" w:rsidRDefault="001967BC" w:rsidP="00C80859">
    <w:pPr>
      <w:tabs>
        <w:tab w:val="right" w:pos="9214"/>
      </w:tabs>
      <w:ind w:left="142" w:hanging="142"/>
      <w:jc w:val="right"/>
      <w:rPr>
        <w:rFonts w:ascii="Arial" w:hAnsi="Arial" w:cs="Arial"/>
        <w:sz w:val="20"/>
        <w:lang w:val="es-ES"/>
      </w:rPr>
    </w:pPr>
    <w:r w:rsidRPr="009042A8">
      <w:rPr>
        <w:rFonts w:ascii="Arial" w:hAnsi="Arial" w:cs="Arial"/>
        <w:b/>
        <w:noProof/>
        <w:sz w:val="20"/>
        <w:lang w:eastAsia="es-AR"/>
      </w:rPr>
      <w:drawing>
        <wp:inline distT="0" distB="0" distL="0" distR="0" wp14:anchorId="1CAF0DA3" wp14:editId="02AAF56B">
          <wp:extent cx="1027130" cy="452633"/>
          <wp:effectExtent l="19050" t="0" r="1570"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C72CE28" w14:textId="77777777" w:rsidR="001967BC" w:rsidRDefault="001967BC" w:rsidP="00C80859">
    <w:pPr>
      <w:tabs>
        <w:tab w:val="right" w:pos="9214"/>
      </w:tabs>
      <w:ind w:left="142" w:hanging="142"/>
      <w:jc w:val="right"/>
      <w:rPr>
        <w:rFonts w:ascii="Arial" w:hAnsi="Arial" w:cs="Arial"/>
        <w:sz w:val="20"/>
        <w:lang w:val="es-ES"/>
      </w:rPr>
    </w:pPr>
  </w:p>
  <w:p w14:paraId="4B5BAC6C" w14:textId="77777777" w:rsidR="001967BC" w:rsidRPr="0017062B" w:rsidRDefault="001967BC" w:rsidP="00C80859">
    <w:pPr>
      <w:tabs>
        <w:tab w:val="right" w:pos="9214"/>
      </w:tabs>
      <w:ind w:left="142" w:hanging="142"/>
      <w:jc w:val="center"/>
      <w:rPr>
        <w:rFonts w:ascii="Arial" w:hAnsi="Arial" w:cs="Arial"/>
        <w:sz w:val="20"/>
        <w:lang w:val="es-ES"/>
      </w:rPr>
    </w:pPr>
  </w:p>
  <w:p w14:paraId="697DBD70" w14:textId="77777777" w:rsidR="001967BC" w:rsidRDefault="001967BC" w:rsidP="009327FF">
    <w:pPr>
      <w:pStyle w:val="2Ttulo"/>
      <w:rPr>
        <w:rFonts w:ascii="Arial" w:hAnsi="Arial" w:cs="Arial"/>
        <w:sz w:val="20"/>
      </w:rPr>
    </w:pPr>
    <w:r w:rsidRPr="0017062B">
      <w:rPr>
        <w:rFonts w:ascii="Arial" w:hAnsi="Arial" w:cs="Arial"/>
        <w:sz w:val="20"/>
      </w:rPr>
      <w:t xml:space="preserve">ESTADO </w:t>
    </w:r>
    <w:r>
      <w:rPr>
        <w:rFonts w:ascii="Arial" w:hAnsi="Arial" w:cs="Arial"/>
        <w:sz w:val="20"/>
      </w:rPr>
      <w:t xml:space="preserve">DE </w:t>
    </w:r>
    <w:r w:rsidRPr="0017062B">
      <w:rPr>
        <w:rFonts w:ascii="Arial" w:hAnsi="Arial" w:cs="Arial"/>
        <w:sz w:val="20"/>
      </w:rPr>
      <w:t>RESULTADOS</w:t>
    </w:r>
    <w:r>
      <w:rPr>
        <w:rFonts w:ascii="Arial" w:hAnsi="Arial" w:cs="Arial"/>
        <w:sz w:val="20"/>
      </w:rPr>
      <w:t xml:space="preserve"> CONDENSADO INTERMEDIO CONSOLIDADO</w:t>
    </w:r>
    <w:r w:rsidRPr="0017062B">
      <w:rPr>
        <w:rFonts w:ascii="Arial" w:hAnsi="Arial" w:cs="Arial"/>
        <w:sz w:val="20"/>
      </w:rPr>
      <w:t xml:space="preserve"> </w:t>
    </w:r>
  </w:p>
  <w:p w14:paraId="16F2878D" w14:textId="53651FB1" w:rsidR="001967BC" w:rsidRPr="0017062B" w:rsidRDefault="001967BC" w:rsidP="009327FF">
    <w:pPr>
      <w:pStyle w:val="2Ttulo"/>
      <w:rPr>
        <w:rFonts w:ascii="Arial" w:hAnsi="Arial" w:cs="Arial"/>
        <w:sz w:val="20"/>
      </w:rPr>
    </w:pPr>
    <w:r>
      <w:rPr>
        <w:rFonts w:ascii="Arial" w:hAnsi="Arial" w:cs="Arial"/>
        <w:sz w:val="20"/>
      </w:rPr>
      <w:t>– GANANCIA POR ACCION</w:t>
    </w:r>
  </w:p>
  <w:p w14:paraId="7146D74E" w14:textId="5A18B828" w:rsidR="001967BC" w:rsidRDefault="001967BC" w:rsidP="00143CC8">
    <w:pPr>
      <w:pStyle w:val="2Ttulo"/>
      <w:rPr>
        <w:rFonts w:ascii="Arial" w:hAnsi="Arial" w:cs="Arial"/>
        <w:sz w:val="20"/>
        <w:lang w:val="es-ES_tradnl"/>
      </w:rPr>
    </w:pPr>
    <w:r w:rsidRPr="0017062B">
      <w:rPr>
        <w:rFonts w:ascii="Arial" w:hAnsi="Arial" w:cs="Arial"/>
        <w:sz w:val="20"/>
        <w:lang w:val="es-ES_tradnl"/>
      </w:rPr>
      <w:t>CO</w:t>
    </w:r>
    <w:r>
      <w:rPr>
        <w:rFonts w:ascii="Arial" w:hAnsi="Arial" w:cs="Arial"/>
        <w:sz w:val="20"/>
        <w:lang w:val="es-ES_tradnl"/>
      </w:rPr>
      <w:t xml:space="preserve">RRESPONDIENTE AL PERIODO DE TRES MESES FINALIZADO </w:t>
    </w:r>
  </w:p>
  <w:p w14:paraId="45BEB62F" w14:textId="6EF11AB5" w:rsidR="001967BC" w:rsidRDefault="001967BC" w:rsidP="007D0D3E">
    <w:pPr>
      <w:pStyle w:val="2Ttulo"/>
      <w:rPr>
        <w:rFonts w:ascii="Arial" w:hAnsi="Arial" w:cs="Arial"/>
        <w:sz w:val="20"/>
        <w:lang w:val="es-ES_tradnl"/>
      </w:rPr>
    </w:pPr>
    <w:r>
      <w:rPr>
        <w:rFonts w:ascii="Arial" w:hAnsi="Arial" w:cs="Arial"/>
        <w:sz w:val="20"/>
        <w:lang w:val="es-ES_tradnl"/>
      </w:rPr>
      <w:t>EL 31</w:t>
    </w:r>
    <w:r w:rsidRPr="0017062B">
      <w:rPr>
        <w:rFonts w:ascii="Arial" w:hAnsi="Arial" w:cs="Arial"/>
        <w:sz w:val="20"/>
        <w:lang w:val="es-ES_tradnl"/>
      </w:rPr>
      <w:t xml:space="preserve"> DE</w:t>
    </w:r>
    <w:r>
      <w:rPr>
        <w:rFonts w:ascii="Arial" w:hAnsi="Arial" w:cs="Arial"/>
        <w:sz w:val="20"/>
        <w:lang w:val="es-ES_tradnl"/>
      </w:rPr>
      <w:t xml:space="preserve"> MARZO DE 2020</w:t>
    </w:r>
  </w:p>
  <w:p w14:paraId="406003D0" w14:textId="77777777" w:rsidR="001967BC" w:rsidRDefault="001967BC" w:rsidP="007D0D3E">
    <w:pPr>
      <w:pStyle w:val="2Ttulo"/>
      <w:rPr>
        <w:rFonts w:ascii="Arial" w:hAnsi="Arial" w:cs="Arial"/>
        <w:sz w:val="20"/>
        <w:lang w:val="es-ES_tradnl"/>
      </w:rPr>
    </w:pPr>
  </w:p>
  <w:p w14:paraId="3E7F1B21" w14:textId="124849E2" w:rsidR="001967BC" w:rsidRPr="005E5441" w:rsidRDefault="001967BC" w:rsidP="00143CC8">
    <w:pPr>
      <w:pStyle w:val="2Ttulo"/>
      <w:rPr>
        <w:rFonts w:ascii="Arial" w:hAnsi="Arial" w:cs="Arial"/>
        <w:b w:val="0"/>
        <w:sz w:val="16"/>
        <w:szCs w:val="16"/>
        <w:lang w:val="es-ES_tradnl"/>
      </w:rPr>
    </w:pPr>
    <w:r w:rsidRPr="005E5441">
      <w:rPr>
        <w:rFonts w:ascii="Arial" w:hAnsi="Arial" w:cs="Arial"/>
        <w:b w:val="0"/>
        <w:sz w:val="16"/>
        <w:szCs w:val="16"/>
        <w:lang w:val="es-ES_tradnl"/>
      </w:rPr>
      <w:t xml:space="preserve">Presentado </w:t>
    </w:r>
    <w:r>
      <w:rPr>
        <w:rFonts w:ascii="Arial" w:hAnsi="Arial" w:cs="Arial"/>
        <w:b w:val="0"/>
        <w:sz w:val="16"/>
        <w:szCs w:val="16"/>
        <w:lang w:val="es-ES_tradnl"/>
      </w:rPr>
      <w:t>en forma comparativa con igual período del ejercicio</w:t>
    </w:r>
    <w:r w:rsidRPr="005E5441">
      <w:rPr>
        <w:rFonts w:ascii="Arial" w:hAnsi="Arial" w:cs="Arial"/>
        <w:b w:val="0"/>
        <w:sz w:val="16"/>
        <w:szCs w:val="16"/>
        <w:lang w:val="es-ES_tradnl"/>
      </w:rPr>
      <w:t xml:space="preserve"> anterior</w:t>
    </w:r>
  </w:p>
  <w:p w14:paraId="2D408F4A" w14:textId="301C37E0" w:rsidR="001967BC" w:rsidRDefault="001967BC" w:rsidP="00143CC8">
    <w:pPr>
      <w:pStyle w:val="2Ttulo"/>
      <w:rPr>
        <w:rFonts w:ascii="Arial" w:hAnsi="Arial" w:cs="Arial"/>
        <w:b w:val="0"/>
        <w:sz w:val="16"/>
        <w:szCs w:val="16"/>
      </w:rPr>
    </w:pPr>
    <w:r w:rsidRPr="005E5441">
      <w:rPr>
        <w:rFonts w:ascii="Arial" w:hAnsi="Arial" w:cs="Arial"/>
        <w:b w:val="0"/>
        <w:sz w:val="16"/>
        <w:szCs w:val="16"/>
      </w:rPr>
      <w:t>(Cifras expresadas en miles de pesos</w:t>
    </w:r>
    <w:r>
      <w:rPr>
        <w:rFonts w:ascii="Arial" w:hAnsi="Arial" w:cs="Arial"/>
        <w:b w:val="0"/>
        <w:sz w:val="16"/>
        <w:szCs w:val="16"/>
      </w:rPr>
      <w:t xml:space="preserve"> en moneda homogénea</w:t>
    </w:r>
    <w:r w:rsidRPr="005E5441">
      <w:rPr>
        <w:rFonts w:ascii="Arial" w:hAnsi="Arial" w:cs="Arial"/>
        <w:b w:val="0"/>
        <w:sz w:val="16"/>
        <w:szCs w:val="16"/>
      </w:rPr>
      <w:t>)</w:t>
    </w:r>
  </w:p>
  <w:p w14:paraId="20C5DC9B" w14:textId="77777777" w:rsidR="001967BC" w:rsidRPr="00050353" w:rsidRDefault="001967BC" w:rsidP="00050353">
    <w:pPr>
      <w:pStyle w:val="2Ttulo"/>
      <w:jc w:val="left"/>
      <w:rPr>
        <w:rFonts w:ascii="Arial" w:hAnsi="Arial" w:cs="Arial"/>
        <w:b w:val="0"/>
        <w:sz w:val="20"/>
      </w:rPr>
    </w:pPr>
  </w:p>
  <w:p w14:paraId="61ACEE2A" w14:textId="77777777" w:rsidR="001967BC" w:rsidRPr="00B70E4F" w:rsidRDefault="001967BC" w:rsidP="00050353">
    <w:pPr>
      <w:pStyle w:val="2Ttulo"/>
      <w:jc w:val="left"/>
      <w:rPr>
        <w:rFonts w:ascii="Arial" w:hAnsi="Arial" w:cs="Arial"/>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6AD0B" w14:textId="77777777" w:rsidR="001967BC" w:rsidRDefault="001967BC" w:rsidP="00B726CF">
    <w:pPr>
      <w:tabs>
        <w:tab w:val="right" w:pos="9214"/>
      </w:tabs>
      <w:ind w:left="142" w:hanging="142"/>
      <w:jc w:val="right"/>
      <w:rPr>
        <w:rFonts w:ascii="Arial" w:hAnsi="Arial" w:cs="Arial"/>
        <w:b/>
      </w:rPr>
    </w:pPr>
    <w:r>
      <w:rPr>
        <w:noProof/>
        <w:color w:val="000000"/>
        <w:sz w:val="17"/>
        <w:szCs w:val="17"/>
        <w:lang w:eastAsia="es-AR"/>
      </w:rPr>
      <w:drawing>
        <wp:inline distT="0" distB="0" distL="0" distR="0" wp14:anchorId="4B42E9A1" wp14:editId="61099A28">
          <wp:extent cx="962025" cy="481013"/>
          <wp:effectExtent l="19050" t="0" r="9525" b="0"/>
          <wp:docPr id="1" name="Imagen 1" descr="http://10.241.100.92/imagenes/supervielle.jpg">
            <a:hlinkClick xmlns:a="http://schemas.openxmlformats.org/drawingml/2006/main" r:id="rId1"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1.100.92/imagenes/supervielle.jpg">
                    <a:hlinkClick r:id="rId1" tgtFrame="_self"/>
                  </pic:cNvPr>
                  <pic:cNvPicPr>
                    <a:picLocks noChangeAspect="1" noChangeArrowheads="1"/>
                  </pic:cNvPicPr>
                </pic:nvPicPr>
                <pic:blipFill>
                  <a:blip r:embed="rId2"/>
                  <a:srcRect/>
                  <a:stretch>
                    <a:fillRect/>
                  </a:stretch>
                </pic:blipFill>
                <pic:spPr bwMode="auto">
                  <a:xfrm>
                    <a:off x="0" y="0"/>
                    <a:ext cx="962025" cy="481013"/>
                  </a:xfrm>
                  <a:prstGeom prst="rect">
                    <a:avLst/>
                  </a:prstGeom>
                  <a:noFill/>
                  <a:ln w="9525">
                    <a:noFill/>
                    <a:miter lim="800000"/>
                    <a:headEnd/>
                    <a:tailEnd/>
                  </a:ln>
                </pic:spPr>
              </pic:pic>
            </a:graphicData>
          </a:graphic>
        </wp:inline>
      </w:drawing>
    </w:r>
  </w:p>
  <w:p w14:paraId="70E96F76" w14:textId="77777777" w:rsidR="001967BC" w:rsidRDefault="001967BC" w:rsidP="00B726CF">
    <w:pPr>
      <w:tabs>
        <w:tab w:val="right" w:pos="9214"/>
      </w:tabs>
      <w:ind w:left="142" w:hanging="142"/>
      <w:jc w:val="right"/>
      <w:rPr>
        <w:rStyle w:val="PageNumber"/>
        <w:rFonts w:ascii="Arial" w:hAnsi="Arial" w:cs="Arial"/>
        <w:lang w:val="es-ES"/>
      </w:rPr>
    </w:pPr>
  </w:p>
  <w:p w14:paraId="486BD41C" w14:textId="77777777" w:rsidR="001967BC" w:rsidRPr="00097BE6" w:rsidRDefault="001967BC" w:rsidP="003F1AB0">
    <w:pPr>
      <w:tabs>
        <w:tab w:val="right" w:pos="9214"/>
      </w:tabs>
      <w:ind w:left="142" w:hanging="142"/>
      <w:jc w:val="center"/>
      <w:rPr>
        <w:rStyle w:val="PageNumber"/>
        <w:rFonts w:ascii="Arial" w:hAnsi="Arial" w:cs="Arial"/>
        <w:b/>
        <w:sz w:val="20"/>
        <w:lang w:val="es-ES"/>
      </w:rPr>
    </w:pPr>
    <w:r w:rsidRPr="00097BE6">
      <w:rPr>
        <w:rStyle w:val="PageNumber"/>
        <w:rFonts w:ascii="Arial" w:hAnsi="Arial" w:cs="Arial"/>
        <w:b/>
        <w:sz w:val="20"/>
        <w:lang w:val="es-ES"/>
      </w:rPr>
      <w:t>Información Adicional a las Notas a los Estados Contables requerida</w:t>
    </w:r>
  </w:p>
  <w:p w14:paraId="6BB51F5E" w14:textId="77777777" w:rsidR="001967BC" w:rsidRPr="00097BE6" w:rsidRDefault="001967BC" w:rsidP="003F1AB0">
    <w:pPr>
      <w:tabs>
        <w:tab w:val="right" w:pos="9214"/>
      </w:tabs>
      <w:ind w:left="142" w:hanging="142"/>
      <w:jc w:val="center"/>
      <w:rPr>
        <w:rStyle w:val="PageNumber"/>
        <w:rFonts w:ascii="Arial" w:hAnsi="Arial" w:cs="Arial"/>
        <w:b/>
        <w:sz w:val="20"/>
        <w:lang w:val="es-ES"/>
      </w:rPr>
    </w:pPr>
    <w:r w:rsidRPr="00097BE6">
      <w:rPr>
        <w:rStyle w:val="PageNumber"/>
        <w:rFonts w:ascii="Arial" w:hAnsi="Arial" w:cs="Arial"/>
        <w:b/>
        <w:sz w:val="20"/>
        <w:lang w:val="es-ES"/>
      </w:rPr>
      <w:t>por el Artículo 12, Capítulo III, Título IV de la normativa de la Comisión Nacional de Valores</w:t>
    </w:r>
  </w:p>
  <w:p w14:paraId="1E815A41" w14:textId="08588CB7" w:rsidR="001967BC" w:rsidRPr="00097BE6" w:rsidRDefault="001967BC" w:rsidP="003F1AB0">
    <w:pPr>
      <w:tabs>
        <w:tab w:val="right" w:pos="9214"/>
      </w:tabs>
      <w:ind w:left="142" w:hanging="142"/>
      <w:jc w:val="center"/>
      <w:rPr>
        <w:rStyle w:val="PageNumber"/>
        <w:rFonts w:ascii="Arial" w:hAnsi="Arial" w:cs="Arial"/>
        <w:sz w:val="16"/>
        <w:szCs w:val="16"/>
        <w:lang w:val="es-ES"/>
      </w:rPr>
    </w:pPr>
    <w:r w:rsidRPr="00097BE6">
      <w:rPr>
        <w:rStyle w:val="PageNumber"/>
        <w:rFonts w:ascii="Arial" w:hAnsi="Arial" w:cs="Arial"/>
        <w:sz w:val="16"/>
        <w:szCs w:val="16"/>
        <w:lang w:val="es-ES"/>
      </w:rPr>
      <w:t xml:space="preserve">Correspondiente al </w:t>
    </w:r>
    <w:r>
      <w:rPr>
        <w:rStyle w:val="PageNumber"/>
        <w:rFonts w:ascii="Arial" w:hAnsi="Arial" w:cs="Arial"/>
        <w:sz w:val="16"/>
        <w:szCs w:val="16"/>
        <w:lang w:val="es-ES"/>
      </w:rPr>
      <w:t>período de tres meses</w:t>
    </w:r>
    <w:r w:rsidRPr="00097BE6">
      <w:rPr>
        <w:rStyle w:val="PageNumber"/>
        <w:rFonts w:ascii="Arial" w:hAnsi="Arial" w:cs="Arial"/>
        <w:sz w:val="16"/>
        <w:szCs w:val="16"/>
        <w:lang w:val="es-ES"/>
      </w:rPr>
      <w:t xml:space="preserve"> finalizado</w:t>
    </w:r>
  </w:p>
  <w:p w14:paraId="637021E3" w14:textId="45D5A4A7" w:rsidR="001967BC" w:rsidRPr="00097BE6" w:rsidRDefault="001967BC" w:rsidP="003F1AB0">
    <w:pPr>
      <w:tabs>
        <w:tab w:val="right" w:pos="9214"/>
      </w:tabs>
      <w:ind w:left="142" w:hanging="142"/>
      <w:jc w:val="center"/>
      <w:rPr>
        <w:rStyle w:val="PageNumber"/>
        <w:rFonts w:ascii="Arial" w:hAnsi="Arial" w:cs="Arial"/>
        <w:sz w:val="16"/>
        <w:szCs w:val="16"/>
        <w:lang w:val="es-ES"/>
      </w:rPr>
    </w:pPr>
    <w:r w:rsidRPr="00097BE6">
      <w:rPr>
        <w:rStyle w:val="PageNumber"/>
        <w:rFonts w:ascii="Arial" w:hAnsi="Arial" w:cs="Arial"/>
        <w:sz w:val="16"/>
        <w:szCs w:val="16"/>
        <w:lang w:val="es-ES"/>
      </w:rPr>
      <w:t>el 3</w:t>
    </w:r>
    <w:r>
      <w:rPr>
        <w:rStyle w:val="PageNumber"/>
        <w:rFonts w:ascii="Arial" w:hAnsi="Arial" w:cs="Arial"/>
        <w:sz w:val="16"/>
        <w:szCs w:val="16"/>
        <w:lang w:val="es-ES"/>
      </w:rPr>
      <w:t>1</w:t>
    </w:r>
    <w:r w:rsidRPr="00097BE6">
      <w:rPr>
        <w:rStyle w:val="PageNumber"/>
        <w:rFonts w:ascii="Arial" w:hAnsi="Arial" w:cs="Arial"/>
        <w:sz w:val="16"/>
        <w:szCs w:val="16"/>
        <w:lang w:val="es-ES"/>
      </w:rPr>
      <w:t xml:space="preserve"> de </w:t>
    </w:r>
    <w:r>
      <w:rPr>
        <w:rStyle w:val="PageNumber"/>
        <w:rFonts w:ascii="Arial" w:hAnsi="Arial" w:cs="Arial"/>
        <w:sz w:val="16"/>
        <w:szCs w:val="16"/>
        <w:lang w:val="es-ES"/>
      </w:rPr>
      <w:t xml:space="preserve">marzo </w:t>
    </w:r>
    <w:r w:rsidRPr="00097BE6">
      <w:rPr>
        <w:rStyle w:val="PageNumber"/>
        <w:rFonts w:ascii="Arial" w:hAnsi="Arial" w:cs="Arial"/>
        <w:sz w:val="16"/>
        <w:szCs w:val="16"/>
        <w:lang w:val="es-ES"/>
      </w:rPr>
      <w:t>de 20</w:t>
    </w:r>
    <w:r>
      <w:rPr>
        <w:rStyle w:val="PageNumber"/>
        <w:rFonts w:ascii="Arial" w:hAnsi="Arial" w:cs="Arial"/>
        <w:sz w:val="16"/>
        <w:szCs w:val="16"/>
        <w:lang w:val="es-ES"/>
      </w:rPr>
      <w:t>20</w:t>
    </w:r>
    <w:r w:rsidRPr="00097BE6">
      <w:rPr>
        <w:rStyle w:val="PageNumber"/>
        <w:rFonts w:ascii="Arial" w:hAnsi="Arial" w:cs="Arial"/>
        <w:sz w:val="16"/>
        <w:szCs w:val="16"/>
        <w:lang w:val="es-ES"/>
      </w:rPr>
      <w:t>, presentado en forma comparativa.</w:t>
    </w:r>
  </w:p>
  <w:p w14:paraId="5FD0FD18" w14:textId="77777777" w:rsidR="001967BC" w:rsidRPr="00097BE6" w:rsidRDefault="001967BC" w:rsidP="003F1AB0">
    <w:pPr>
      <w:tabs>
        <w:tab w:val="right" w:pos="9214"/>
      </w:tabs>
      <w:ind w:left="142" w:hanging="142"/>
      <w:jc w:val="center"/>
      <w:rPr>
        <w:rStyle w:val="PageNumber"/>
        <w:rFonts w:ascii="Arial" w:hAnsi="Arial" w:cs="Arial"/>
        <w:sz w:val="16"/>
        <w:szCs w:val="16"/>
        <w:lang w:val="es-ES"/>
      </w:rPr>
    </w:pPr>
    <w:r w:rsidRPr="00097BE6">
      <w:rPr>
        <w:rStyle w:val="PageNumber"/>
        <w:rFonts w:ascii="Arial" w:hAnsi="Arial" w:cs="Arial"/>
        <w:sz w:val="16"/>
        <w:szCs w:val="16"/>
        <w:lang w:val="es-ES"/>
      </w:rPr>
      <w:t>(cifras expresadas en miles de pesos)</w:t>
    </w:r>
  </w:p>
  <w:p w14:paraId="2C7623AA" w14:textId="3F23969D" w:rsidR="001967BC" w:rsidRPr="00836A9D" w:rsidRDefault="001967BC" w:rsidP="00836A9D">
    <w:pPr>
      <w:pStyle w:val="2Ttulo"/>
      <w:rPr>
        <w:rFonts w:ascii="Arial" w:hAnsi="Arial" w:cs="Arial"/>
        <w:b w:val="0"/>
        <w:color w:val="FFFFFF" w:themeColor="background1"/>
        <w:sz w:val="16"/>
        <w:szCs w:val="16"/>
        <w:lang w:val="es-ES_tradnl"/>
      </w:rPr>
    </w:pPr>
    <w:r w:rsidRPr="00013DEE">
      <w:rPr>
        <w:rFonts w:ascii="Arial" w:hAnsi="Arial" w:cs="Arial"/>
        <w:b w:val="0"/>
        <w:color w:val="FFFFFF" w:themeColor="background1"/>
        <w:sz w:val="16"/>
        <w:szCs w:val="16"/>
      </w:rPr>
      <w:t>(Cif</w:t>
    </w:r>
    <w:r>
      <w:rPr>
        <w:rFonts w:ascii="Arial" w:hAnsi="Arial" w:cs="Arial"/>
        <w:b w:val="0"/>
        <w:color w:val="FFFFFF" w:themeColor="background1"/>
        <w:sz w:val="16"/>
        <w:szCs w:val="16"/>
      </w:rPr>
      <w:t xml:space="preserve">ras expresadas en miles de </w:t>
    </w:r>
    <w:r w:rsidRPr="00013DEE">
      <w:rPr>
        <w:rFonts w:ascii="Arial" w:hAnsi="Arial" w:cs="Arial"/>
        <w:color w:val="FFFFFF" w:themeColor="background1"/>
        <w:sz w:val="20"/>
      </w:rPr>
      <w:t>DE 2013</w:t>
    </w:r>
    <w:r>
      <w:rPr>
        <w:rFonts w:ascii="Arial" w:hAnsi="Arial" w:cs="Arial"/>
        <w:b w:val="0"/>
        <w:color w:val="FFFFFF" w:themeColor="background1"/>
        <w:sz w:val="16"/>
        <w:szCs w:val="16"/>
        <w:lang w:val="es-ES_tradnl"/>
      </w:rPr>
      <w:t>S</w:t>
    </w:r>
    <w:r w:rsidRPr="00013DEE">
      <w:rPr>
        <w:rFonts w:ascii="Arial" w:hAnsi="Arial" w:cs="Arial"/>
        <w:b w:val="0"/>
        <w:color w:val="FFFFFF" w:themeColor="background1"/>
        <w:sz w:val="16"/>
        <w:szCs w:val="16"/>
        <w:lang w:val="es-ES_tradnl"/>
      </w:rPr>
      <w:t xml:space="preserve"> forma comparativa con el ejercicio económico finalizado el 31 de diciembre d</w:t>
    </w:r>
    <w:r w:rsidRPr="00013DEE">
      <w:rPr>
        <w:rFonts w:ascii="Arial" w:hAnsi="Arial" w:cs="Arial"/>
        <w:b w:val="0"/>
        <w:color w:val="FFFFFF" w:themeColor="background1"/>
        <w:sz w:val="16"/>
        <w:szCs w:val="16"/>
      </w:rPr>
      <w:t>Cifras expresadas en miles de pesos</w:t>
    </w:r>
    <w:r>
      <w:rPr>
        <w:rFonts w:ascii="Arial" w:hAnsi="Arial" w:cs="Arial"/>
        <w:color w:val="FFFFFF" w:themeColor="background1"/>
      </w:rPr>
      <w:t>NCO SUPERVIELLE</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548C8" w14:textId="77777777" w:rsidR="001967BC" w:rsidRDefault="001967BC" w:rsidP="00B726CF">
    <w:pPr>
      <w:tabs>
        <w:tab w:val="right" w:pos="9214"/>
      </w:tabs>
      <w:ind w:left="142" w:hanging="142"/>
      <w:jc w:val="right"/>
      <w:rPr>
        <w:rFonts w:ascii="Arial" w:hAnsi="Arial" w:cs="Arial"/>
        <w:b/>
      </w:rPr>
    </w:pPr>
    <w:r>
      <w:rPr>
        <w:noProof/>
        <w:color w:val="000000"/>
        <w:sz w:val="17"/>
        <w:szCs w:val="17"/>
        <w:lang w:eastAsia="es-AR"/>
      </w:rPr>
      <w:drawing>
        <wp:inline distT="0" distB="0" distL="0" distR="0" wp14:anchorId="17D2E723" wp14:editId="10F9E357">
          <wp:extent cx="962025" cy="481013"/>
          <wp:effectExtent l="19050" t="0" r="9525" b="0"/>
          <wp:docPr id="11" name="Imagen 1" descr="http://10.241.100.92/imagenes/supervielle.jpg">
            <a:hlinkClick xmlns:a="http://schemas.openxmlformats.org/drawingml/2006/main" r:id="rId1"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1.100.92/imagenes/supervielle.jpg">
                    <a:hlinkClick r:id="rId1" tgtFrame="_self"/>
                  </pic:cNvPr>
                  <pic:cNvPicPr>
                    <a:picLocks noChangeAspect="1" noChangeArrowheads="1"/>
                  </pic:cNvPicPr>
                </pic:nvPicPr>
                <pic:blipFill>
                  <a:blip r:embed="rId2"/>
                  <a:srcRect/>
                  <a:stretch>
                    <a:fillRect/>
                  </a:stretch>
                </pic:blipFill>
                <pic:spPr bwMode="auto">
                  <a:xfrm>
                    <a:off x="0" y="0"/>
                    <a:ext cx="962025" cy="481013"/>
                  </a:xfrm>
                  <a:prstGeom prst="rect">
                    <a:avLst/>
                  </a:prstGeom>
                  <a:noFill/>
                  <a:ln w="9525">
                    <a:noFill/>
                    <a:miter lim="800000"/>
                    <a:headEnd/>
                    <a:tailEnd/>
                  </a:ln>
                </pic:spPr>
              </pic:pic>
            </a:graphicData>
          </a:graphic>
        </wp:inline>
      </w:drawing>
    </w:r>
  </w:p>
  <w:p w14:paraId="2FD6000B" w14:textId="77777777" w:rsidR="001967BC" w:rsidRDefault="001967BC" w:rsidP="00B726CF">
    <w:pPr>
      <w:tabs>
        <w:tab w:val="right" w:pos="9214"/>
      </w:tabs>
      <w:ind w:left="142" w:hanging="142"/>
      <w:jc w:val="right"/>
      <w:rPr>
        <w:rStyle w:val="PageNumber"/>
        <w:rFonts w:ascii="Arial" w:hAnsi="Arial" w:cs="Arial"/>
        <w:lang w:val="es-ES"/>
      </w:rPr>
    </w:pPr>
  </w:p>
  <w:p w14:paraId="5089D525" w14:textId="626F69B8" w:rsidR="001967BC" w:rsidRPr="00097BE6" w:rsidRDefault="001967BC" w:rsidP="00097BE6">
    <w:pPr>
      <w:tabs>
        <w:tab w:val="right" w:pos="9214"/>
      </w:tabs>
      <w:ind w:left="142" w:hanging="142"/>
      <w:jc w:val="center"/>
      <w:rPr>
        <w:rStyle w:val="PageNumber"/>
        <w:rFonts w:ascii="Arial" w:hAnsi="Arial" w:cs="Arial"/>
        <w:b/>
        <w:sz w:val="20"/>
        <w:lang w:val="es-ES"/>
      </w:rPr>
    </w:pPr>
    <w:bookmarkStart w:id="53" w:name="_Hlk15474540"/>
    <w:r w:rsidRPr="00097BE6">
      <w:rPr>
        <w:rStyle w:val="PageNumber"/>
        <w:rFonts w:ascii="Arial" w:hAnsi="Arial" w:cs="Arial"/>
        <w:b/>
        <w:sz w:val="20"/>
        <w:lang w:val="es-ES"/>
      </w:rPr>
      <w:t>Información Adicional a las Notas a los Estados Contables requerida</w:t>
    </w:r>
  </w:p>
  <w:p w14:paraId="52C2C288" w14:textId="77777777" w:rsidR="001967BC" w:rsidRPr="00097BE6" w:rsidRDefault="001967BC" w:rsidP="00097BE6">
    <w:pPr>
      <w:tabs>
        <w:tab w:val="right" w:pos="9214"/>
      </w:tabs>
      <w:ind w:left="142" w:hanging="142"/>
      <w:jc w:val="center"/>
      <w:rPr>
        <w:rStyle w:val="PageNumber"/>
        <w:rFonts w:ascii="Arial" w:hAnsi="Arial" w:cs="Arial"/>
        <w:b/>
        <w:sz w:val="20"/>
        <w:lang w:val="es-ES"/>
      </w:rPr>
    </w:pPr>
    <w:r w:rsidRPr="00097BE6">
      <w:rPr>
        <w:rStyle w:val="PageNumber"/>
        <w:rFonts w:ascii="Arial" w:hAnsi="Arial" w:cs="Arial"/>
        <w:b/>
        <w:sz w:val="20"/>
        <w:lang w:val="es-ES"/>
      </w:rPr>
      <w:t>por el Artículo 12, Capítulo III, Título IV de la normativa de la Comisión Nacional de Valores</w:t>
    </w:r>
  </w:p>
  <w:p w14:paraId="14ADD04C" w14:textId="453A4D4C" w:rsidR="001967BC" w:rsidRPr="00097BE6" w:rsidRDefault="001967BC" w:rsidP="00097BE6">
    <w:pPr>
      <w:tabs>
        <w:tab w:val="right" w:pos="9214"/>
      </w:tabs>
      <w:ind w:left="142" w:hanging="142"/>
      <w:jc w:val="center"/>
      <w:rPr>
        <w:rStyle w:val="PageNumber"/>
        <w:rFonts w:ascii="Arial" w:hAnsi="Arial" w:cs="Arial"/>
        <w:sz w:val="16"/>
        <w:szCs w:val="16"/>
        <w:lang w:val="es-ES"/>
      </w:rPr>
    </w:pPr>
    <w:r w:rsidRPr="00097BE6">
      <w:rPr>
        <w:rStyle w:val="PageNumber"/>
        <w:rFonts w:ascii="Arial" w:hAnsi="Arial" w:cs="Arial"/>
        <w:sz w:val="16"/>
        <w:szCs w:val="16"/>
        <w:lang w:val="es-ES"/>
      </w:rPr>
      <w:t xml:space="preserve">Correspondiente al </w:t>
    </w:r>
    <w:r>
      <w:rPr>
        <w:rStyle w:val="PageNumber"/>
        <w:rFonts w:ascii="Arial" w:hAnsi="Arial" w:cs="Arial"/>
        <w:sz w:val="16"/>
        <w:szCs w:val="16"/>
        <w:lang w:val="es-ES"/>
      </w:rPr>
      <w:t>período de tres meses</w:t>
    </w:r>
    <w:r w:rsidRPr="00097BE6">
      <w:rPr>
        <w:rStyle w:val="PageNumber"/>
        <w:rFonts w:ascii="Arial" w:hAnsi="Arial" w:cs="Arial"/>
        <w:sz w:val="16"/>
        <w:szCs w:val="16"/>
        <w:lang w:val="es-ES"/>
      </w:rPr>
      <w:t xml:space="preserve"> finalizado</w:t>
    </w:r>
  </w:p>
  <w:p w14:paraId="6B1CB4DF" w14:textId="6ACEC7D8" w:rsidR="001967BC" w:rsidRPr="00097BE6" w:rsidRDefault="001967BC" w:rsidP="00097BE6">
    <w:pPr>
      <w:tabs>
        <w:tab w:val="right" w:pos="9214"/>
      </w:tabs>
      <w:ind w:left="142" w:hanging="142"/>
      <w:jc w:val="center"/>
      <w:rPr>
        <w:rStyle w:val="PageNumber"/>
        <w:rFonts w:ascii="Arial" w:hAnsi="Arial" w:cs="Arial"/>
        <w:sz w:val="16"/>
        <w:szCs w:val="16"/>
        <w:lang w:val="es-ES"/>
      </w:rPr>
    </w:pPr>
    <w:r w:rsidRPr="00097BE6">
      <w:rPr>
        <w:rStyle w:val="PageNumber"/>
        <w:rFonts w:ascii="Arial" w:hAnsi="Arial" w:cs="Arial"/>
        <w:sz w:val="16"/>
        <w:szCs w:val="16"/>
        <w:lang w:val="es-ES"/>
      </w:rPr>
      <w:t>el 3</w:t>
    </w:r>
    <w:r>
      <w:rPr>
        <w:rStyle w:val="PageNumber"/>
        <w:rFonts w:ascii="Arial" w:hAnsi="Arial" w:cs="Arial"/>
        <w:sz w:val="16"/>
        <w:szCs w:val="16"/>
        <w:lang w:val="es-ES"/>
      </w:rPr>
      <w:t>1</w:t>
    </w:r>
    <w:r w:rsidRPr="00097BE6">
      <w:rPr>
        <w:rStyle w:val="PageNumber"/>
        <w:rFonts w:ascii="Arial" w:hAnsi="Arial" w:cs="Arial"/>
        <w:sz w:val="16"/>
        <w:szCs w:val="16"/>
        <w:lang w:val="es-ES"/>
      </w:rPr>
      <w:t xml:space="preserve"> de </w:t>
    </w:r>
    <w:r>
      <w:rPr>
        <w:rStyle w:val="PageNumber"/>
        <w:rFonts w:ascii="Arial" w:hAnsi="Arial" w:cs="Arial"/>
        <w:sz w:val="16"/>
        <w:szCs w:val="16"/>
        <w:lang w:val="es-ES"/>
      </w:rPr>
      <w:t>marzo</w:t>
    </w:r>
    <w:r w:rsidRPr="00097BE6">
      <w:rPr>
        <w:rStyle w:val="PageNumber"/>
        <w:rFonts w:ascii="Arial" w:hAnsi="Arial" w:cs="Arial"/>
        <w:sz w:val="16"/>
        <w:szCs w:val="16"/>
        <w:lang w:val="es-ES"/>
      </w:rPr>
      <w:t xml:space="preserve"> de 20</w:t>
    </w:r>
    <w:r>
      <w:rPr>
        <w:rStyle w:val="PageNumber"/>
        <w:rFonts w:ascii="Arial" w:hAnsi="Arial" w:cs="Arial"/>
        <w:sz w:val="16"/>
        <w:szCs w:val="16"/>
        <w:lang w:val="es-ES"/>
      </w:rPr>
      <w:t>20</w:t>
    </w:r>
    <w:r w:rsidRPr="00097BE6">
      <w:rPr>
        <w:rStyle w:val="PageNumber"/>
        <w:rFonts w:ascii="Arial" w:hAnsi="Arial" w:cs="Arial"/>
        <w:sz w:val="16"/>
        <w:szCs w:val="16"/>
        <w:lang w:val="es-ES"/>
      </w:rPr>
      <w:t>, presentado en forma comparativa.</w:t>
    </w:r>
  </w:p>
  <w:p w14:paraId="3FCC623D" w14:textId="4753B0DE" w:rsidR="001967BC" w:rsidRPr="00097BE6" w:rsidRDefault="001967BC" w:rsidP="00097BE6">
    <w:pPr>
      <w:tabs>
        <w:tab w:val="right" w:pos="9214"/>
      </w:tabs>
      <w:ind w:left="142" w:hanging="142"/>
      <w:jc w:val="center"/>
      <w:rPr>
        <w:rStyle w:val="PageNumber"/>
        <w:rFonts w:ascii="Arial" w:hAnsi="Arial" w:cs="Arial"/>
        <w:sz w:val="16"/>
        <w:szCs w:val="16"/>
        <w:lang w:val="es-ES"/>
      </w:rPr>
    </w:pPr>
    <w:r w:rsidRPr="00097BE6">
      <w:rPr>
        <w:rStyle w:val="PageNumber"/>
        <w:rFonts w:ascii="Arial" w:hAnsi="Arial" w:cs="Arial"/>
        <w:sz w:val="16"/>
        <w:szCs w:val="16"/>
        <w:lang w:val="es-ES"/>
      </w:rPr>
      <w:t>(cifras expresadas en miles de pesos)</w:t>
    </w:r>
    <w:bookmarkEnd w:id="53"/>
  </w:p>
  <w:p w14:paraId="394B77A8" w14:textId="358C19DD" w:rsidR="001967BC" w:rsidRPr="00097BE6" w:rsidRDefault="001967BC" w:rsidP="00097BE6">
    <w:pPr>
      <w:pStyle w:val="2Ttulo"/>
      <w:rPr>
        <w:rFonts w:ascii="Arial" w:hAnsi="Arial" w:cs="Arial"/>
        <w:b w:val="0"/>
        <w:color w:val="FFFFFF" w:themeColor="background1"/>
        <w:sz w:val="16"/>
        <w:szCs w:val="16"/>
      </w:rPr>
    </w:pPr>
    <w:r w:rsidRPr="00013DEE">
      <w:rPr>
        <w:rFonts w:ascii="Arial" w:hAnsi="Arial" w:cs="Arial"/>
        <w:b w:val="0"/>
        <w:color w:val="FFFFFF" w:themeColor="background1"/>
        <w:sz w:val="16"/>
        <w:szCs w:val="16"/>
      </w:rPr>
      <w:t>(Cif</w:t>
    </w:r>
    <w:r>
      <w:rPr>
        <w:rFonts w:ascii="Arial" w:hAnsi="Arial" w:cs="Arial"/>
        <w:b w:val="0"/>
        <w:color w:val="FFFFFF" w:themeColor="background1"/>
        <w:sz w:val="16"/>
        <w:szCs w:val="16"/>
      </w:rPr>
      <w:t xml:space="preserve">ras expresadas en miles de </w:t>
    </w:r>
  </w:p>
  <w:p w14:paraId="1F3A3A14" w14:textId="77777777" w:rsidR="001967BC" w:rsidRPr="00013DEE" w:rsidRDefault="001967BC" w:rsidP="00B726CF">
    <w:pPr>
      <w:tabs>
        <w:tab w:val="right" w:pos="9214"/>
      </w:tabs>
      <w:ind w:left="142" w:hanging="142"/>
      <w:jc w:val="both"/>
      <w:rPr>
        <w:rFonts w:ascii="Arial" w:hAnsi="Arial" w:cs="Arial"/>
        <w:color w:val="FFFFFF" w:themeColor="background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C72F4" w14:textId="77777777" w:rsidR="001967BC" w:rsidRDefault="001967BC" w:rsidP="00C80859">
    <w:pPr>
      <w:tabs>
        <w:tab w:val="right" w:pos="9214"/>
      </w:tabs>
      <w:ind w:left="142" w:hanging="142"/>
      <w:jc w:val="right"/>
      <w:rPr>
        <w:rFonts w:ascii="Arial" w:hAnsi="Arial" w:cs="Arial"/>
        <w:sz w:val="20"/>
        <w:lang w:val="es-ES"/>
      </w:rPr>
    </w:pPr>
    <w:r w:rsidRPr="009042A8">
      <w:rPr>
        <w:rFonts w:ascii="Arial" w:hAnsi="Arial" w:cs="Arial"/>
        <w:b/>
        <w:noProof/>
        <w:sz w:val="20"/>
        <w:lang w:eastAsia="es-AR"/>
      </w:rPr>
      <w:drawing>
        <wp:inline distT="0" distB="0" distL="0" distR="0" wp14:anchorId="7395BD1F" wp14:editId="52853165">
          <wp:extent cx="1027130" cy="452633"/>
          <wp:effectExtent l="19050" t="0" r="1570"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3672BBAE" w14:textId="77777777" w:rsidR="001967BC" w:rsidRDefault="001967BC" w:rsidP="00C80859">
    <w:pPr>
      <w:tabs>
        <w:tab w:val="right" w:pos="9214"/>
      </w:tabs>
      <w:ind w:left="142" w:hanging="142"/>
      <w:jc w:val="right"/>
      <w:rPr>
        <w:rFonts w:ascii="Arial" w:hAnsi="Arial" w:cs="Arial"/>
        <w:sz w:val="20"/>
        <w:lang w:val="es-ES"/>
      </w:rPr>
    </w:pPr>
  </w:p>
  <w:p w14:paraId="6A96CF29" w14:textId="77777777" w:rsidR="001967BC" w:rsidRPr="0017062B" w:rsidRDefault="001967BC" w:rsidP="00C80859">
    <w:pPr>
      <w:tabs>
        <w:tab w:val="right" w:pos="9214"/>
      </w:tabs>
      <w:ind w:left="142" w:hanging="142"/>
      <w:jc w:val="center"/>
      <w:rPr>
        <w:rFonts w:ascii="Arial" w:hAnsi="Arial" w:cs="Arial"/>
        <w:sz w:val="20"/>
        <w:lang w:val="es-ES"/>
      </w:rPr>
    </w:pPr>
  </w:p>
  <w:p w14:paraId="369646A4" w14:textId="5CAF30C9" w:rsidR="001967BC" w:rsidRPr="0017062B" w:rsidRDefault="001967BC" w:rsidP="009327FF">
    <w:pPr>
      <w:pStyle w:val="2Ttulo"/>
      <w:rPr>
        <w:rFonts w:ascii="Arial" w:hAnsi="Arial" w:cs="Arial"/>
        <w:sz w:val="20"/>
      </w:rPr>
    </w:pPr>
    <w:r w:rsidRPr="0017062B">
      <w:rPr>
        <w:rFonts w:ascii="Arial" w:hAnsi="Arial" w:cs="Arial"/>
        <w:sz w:val="20"/>
      </w:rPr>
      <w:t xml:space="preserve">ESTADO DE </w:t>
    </w:r>
    <w:r>
      <w:rPr>
        <w:rFonts w:ascii="Arial" w:hAnsi="Arial" w:cs="Arial"/>
        <w:sz w:val="20"/>
      </w:rPr>
      <w:t xml:space="preserve">OTROS </w:t>
    </w:r>
    <w:r w:rsidRPr="0017062B">
      <w:rPr>
        <w:rFonts w:ascii="Arial" w:hAnsi="Arial" w:cs="Arial"/>
        <w:sz w:val="20"/>
      </w:rPr>
      <w:t xml:space="preserve">RESULTADOS </w:t>
    </w:r>
    <w:r>
      <w:rPr>
        <w:rFonts w:ascii="Arial" w:hAnsi="Arial" w:cs="Arial"/>
        <w:sz w:val="20"/>
      </w:rPr>
      <w:t xml:space="preserve">INTEGRALES CONDENSADO INTERMEDIO CONSOLIDADO </w:t>
    </w:r>
  </w:p>
  <w:p w14:paraId="3E20C6E3" w14:textId="329A8691" w:rsidR="001967BC" w:rsidRDefault="001967BC" w:rsidP="00143CC8">
    <w:pPr>
      <w:pStyle w:val="2Ttulo"/>
      <w:rPr>
        <w:rFonts w:ascii="Arial" w:hAnsi="Arial" w:cs="Arial"/>
        <w:sz w:val="20"/>
        <w:lang w:val="es-ES_tradnl"/>
      </w:rPr>
    </w:pPr>
    <w:r w:rsidRPr="0017062B">
      <w:rPr>
        <w:rFonts w:ascii="Arial" w:hAnsi="Arial" w:cs="Arial"/>
        <w:sz w:val="20"/>
        <w:lang w:val="es-ES_tradnl"/>
      </w:rPr>
      <w:t>CO</w:t>
    </w:r>
    <w:r>
      <w:rPr>
        <w:rFonts w:ascii="Arial" w:hAnsi="Arial" w:cs="Arial"/>
        <w:sz w:val="20"/>
        <w:lang w:val="es-ES_tradnl"/>
      </w:rPr>
      <w:t xml:space="preserve">RRESPONDIENTE AL PERIODO DE TRES MESES FINALIZADO </w:t>
    </w:r>
  </w:p>
  <w:p w14:paraId="0A7ACCFB" w14:textId="7192B714" w:rsidR="001967BC" w:rsidRPr="0017062B" w:rsidRDefault="001967BC" w:rsidP="007D0D3E">
    <w:pPr>
      <w:pStyle w:val="2Ttulo"/>
      <w:rPr>
        <w:rFonts w:ascii="Arial" w:hAnsi="Arial" w:cs="Arial"/>
        <w:sz w:val="20"/>
        <w:lang w:val="es-ES_tradnl"/>
      </w:rPr>
    </w:pPr>
    <w:r>
      <w:rPr>
        <w:rFonts w:ascii="Arial" w:hAnsi="Arial" w:cs="Arial"/>
        <w:sz w:val="20"/>
        <w:lang w:val="es-ES_tradnl"/>
      </w:rPr>
      <w:t>EL 31</w:t>
    </w:r>
    <w:r w:rsidRPr="0017062B">
      <w:rPr>
        <w:rFonts w:ascii="Arial" w:hAnsi="Arial" w:cs="Arial"/>
        <w:sz w:val="20"/>
        <w:lang w:val="es-ES_tradnl"/>
      </w:rPr>
      <w:t xml:space="preserve"> DE</w:t>
    </w:r>
    <w:r>
      <w:rPr>
        <w:rFonts w:ascii="Arial" w:hAnsi="Arial" w:cs="Arial"/>
        <w:sz w:val="20"/>
        <w:lang w:val="es-ES_tradnl"/>
      </w:rPr>
      <w:t xml:space="preserve"> MARZO DE 2020</w:t>
    </w:r>
  </w:p>
  <w:p w14:paraId="24167CD9" w14:textId="0B072A5E" w:rsidR="001967BC" w:rsidRPr="005E5441" w:rsidRDefault="001967BC" w:rsidP="00143CC8">
    <w:pPr>
      <w:pStyle w:val="2Ttulo"/>
      <w:rPr>
        <w:rFonts w:ascii="Arial" w:hAnsi="Arial" w:cs="Arial"/>
        <w:b w:val="0"/>
        <w:sz w:val="16"/>
        <w:szCs w:val="16"/>
        <w:lang w:val="es-ES_tradnl"/>
      </w:rPr>
    </w:pPr>
    <w:r w:rsidRPr="005E5441">
      <w:rPr>
        <w:rFonts w:ascii="Arial" w:hAnsi="Arial" w:cs="Arial"/>
        <w:b w:val="0"/>
        <w:sz w:val="16"/>
        <w:szCs w:val="16"/>
        <w:lang w:val="es-ES_tradnl"/>
      </w:rPr>
      <w:t xml:space="preserve">Presentado </w:t>
    </w:r>
    <w:r>
      <w:rPr>
        <w:rFonts w:ascii="Arial" w:hAnsi="Arial" w:cs="Arial"/>
        <w:b w:val="0"/>
        <w:sz w:val="16"/>
        <w:szCs w:val="16"/>
        <w:lang w:val="es-ES_tradnl"/>
      </w:rPr>
      <w:t>en forma comparativa con igual período del ejercicio</w:t>
    </w:r>
    <w:r w:rsidRPr="005E5441">
      <w:rPr>
        <w:rFonts w:ascii="Arial" w:hAnsi="Arial" w:cs="Arial"/>
        <w:b w:val="0"/>
        <w:sz w:val="16"/>
        <w:szCs w:val="16"/>
        <w:lang w:val="es-ES_tradnl"/>
      </w:rPr>
      <w:t xml:space="preserve"> anterior</w:t>
    </w:r>
  </w:p>
  <w:p w14:paraId="0DC04523" w14:textId="4C54332C" w:rsidR="001967BC" w:rsidRDefault="001967BC" w:rsidP="00143CC8">
    <w:pPr>
      <w:pStyle w:val="2Ttulo"/>
      <w:rPr>
        <w:rFonts w:ascii="Arial" w:hAnsi="Arial" w:cs="Arial"/>
        <w:b w:val="0"/>
        <w:sz w:val="16"/>
        <w:szCs w:val="16"/>
      </w:rPr>
    </w:pPr>
    <w:r w:rsidRPr="005E5441">
      <w:rPr>
        <w:rFonts w:ascii="Arial" w:hAnsi="Arial" w:cs="Arial"/>
        <w:b w:val="0"/>
        <w:sz w:val="16"/>
        <w:szCs w:val="16"/>
      </w:rPr>
      <w:t>(Cifras expresadas en miles de pesos</w:t>
    </w:r>
    <w:r>
      <w:rPr>
        <w:rFonts w:ascii="Arial" w:hAnsi="Arial" w:cs="Arial"/>
        <w:b w:val="0"/>
        <w:sz w:val="16"/>
        <w:szCs w:val="16"/>
      </w:rPr>
      <w:t xml:space="preserve"> en moneda homogénea</w:t>
    </w:r>
    <w:r w:rsidRPr="005E5441">
      <w:rPr>
        <w:rFonts w:ascii="Arial" w:hAnsi="Arial" w:cs="Arial"/>
        <w:b w:val="0"/>
        <w:sz w:val="16"/>
        <w:szCs w:val="16"/>
      </w:rPr>
      <w:t>)</w:t>
    </w:r>
  </w:p>
  <w:p w14:paraId="2428FAF3" w14:textId="77777777" w:rsidR="001967BC" w:rsidRPr="00050353" w:rsidRDefault="001967BC" w:rsidP="00050353">
    <w:pPr>
      <w:pStyle w:val="2Ttulo"/>
      <w:jc w:val="left"/>
      <w:rPr>
        <w:rFonts w:ascii="Arial" w:hAnsi="Arial" w:cs="Arial"/>
        <w:b w:val="0"/>
        <w:sz w:val="20"/>
      </w:rPr>
    </w:pPr>
  </w:p>
  <w:p w14:paraId="53300EB3" w14:textId="77777777" w:rsidR="001967BC" w:rsidRPr="00B70E4F" w:rsidRDefault="001967BC" w:rsidP="00050353">
    <w:pPr>
      <w:pStyle w:val="2Ttulo"/>
      <w:jc w:val="left"/>
      <w:rPr>
        <w:rFonts w:ascii="Arial" w:hAnsi="Arial" w:cs="Arial"/>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11D41" w14:textId="77777777" w:rsidR="001967BC" w:rsidRDefault="001967B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EE566" w14:textId="77777777" w:rsidR="001967BC" w:rsidRDefault="001967BC" w:rsidP="00C80859">
    <w:pPr>
      <w:jc w:val="right"/>
      <w:rPr>
        <w:rFonts w:ascii="Arial" w:hAnsi="Arial" w:cs="Arial"/>
        <w:sz w:val="20"/>
      </w:rPr>
    </w:pPr>
    <w:r w:rsidRPr="009042A8">
      <w:rPr>
        <w:rFonts w:ascii="Arial" w:hAnsi="Arial" w:cs="Arial"/>
        <w:noProof/>
        <w:sz w:val="20"/>
        <w:lang w:eastAsia="es-AR"/>
      </w:rPr>
      <w:drawing>
        <wp:inline distT="0" distB="0" distL="0" distR="0" wp14:anchorId="5AC4C615" wp14:editId="49EFFE07">
          <wp:extent cx="1027130" cy="452633"/>
          <wp:effectExtent l="19050" t="0" r="1570" b="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34836AD3" w14:textId="77777777" w:rsidR="001967BC" w:rsidRDefault="001967BC" w:rsidP="00C80859">
    <w:pPr>
      <w:jc w:val="right"/>
      <w:rPr>
        <w:rFonts w:ascii="Arial" w:hAnsi="Arial" w:cs="Arial"/>
        <w:sz w:val="20"/>
      </w:rPr>
    </w:pPr>
  </w:p>
  <w:p w14:paraId="30A5E25E" w14:textId="77777777" w:rsidR="001967BC" w:rsidRPr="0056456F" w:rsidRDefault="001967BC" w:rsidP="00C80859">
    <w:pPr>
      <w:jc w:val="right"/>
      <w:rPr>
        <w:rFonts w:ascii="Arial" w:hAnsi="Arial" w:cs="Arial"/>
        <w:sz w:val="20"/>
      </w:rPr>
    </w:pPr>
  </w:p>
  <w:p w14:paraId="66E9EF16" w14:textId="6B405748" w:rsidR="001967BC" w:rsidRPr="000C455E" w:rsidRDefault="001967BC" w:rsidP="003302F5">
    <w:pPr>
      <w:pStyle w:val="2Ttulo"/>
      <w:rPr>
        <w:rFonts w:ascii="Arial" w:hAnsi="Arial" w:cs="Arial"/>
        <w:sz w:val="20"/>
      </w:rPr>
    </w:pPr>
    <w:r w:rsidRPr="000C455E">
      <w:rPr>
        <w:rFonts w:ascii="Arial" w:hAnsi="Arial" w:cs="Arial"/>
        <w:sz w:val="20"/>
      </w:rPr>
      <w:t xml:space="preserve">ESTADO DE </w:t>
    </w:r>
    <w:r>
      <w:rPr>
        <w:rFonts w:ascii="Arial" w:hAnsi="Arial" w:cs="Arial"/>
        <w:sz w:val="20"/>
      </w:rPr>
      <w:t>CAMBIOS</w:t>
    </w:r>
    <w:r w:rsidRPr="000C455E">
      <w:rPr>
        <w:rFonts w:ascii="Arial" w:hAnsi="Arial" w:cs="Arial"/>
        <w:sz w:val="20"/>
      </w:rPr>
      <w:t xml:space="preserve"> </w:t>
    </w:r>
    <w:r>
      <w:rPr>
        <w:rFonts w:ascii="Arial" w:hAnsi="Arial" w:cs="Arial"/>
        <w:sz w:val="20"/>
      </w:rPr>
      <w:t>EN EL</w:t>
    </w:r>
    <w:r w:rsidRPr="000C455E">
      <w:rPr>
        <w:rFonts w:ascii="Arial" w:hAnsi="Arial" w:cs="Arial"/>
        <w:sz w:val="20"/>
      </w:rPr>
      <w:t xml:space="preserve"> PATRIMONIO</w:t>
    </w:r>
    <w:r>
      <w:rPr>
        <w:rFonts w:ascii="Arial" w:hAnsi="Arial" w:cs="Arial"/>
        <w:sz w:val="20"/>
      </w:rPr>
      <w:t xml:space="preserve"> CONDENSADO INTERMEDIO CONSOLIDADO</w:t>
    </w:r>
  </w:p>
  <w:p w14:paraId="37860F03" w14:textId="19176D09" w:rsidR="001967BC" w:rsidRPr="000C455E" w:rsidRDefault="001967BC" w:rsidP="00E623C5">
    <w:pPr>
      <w:pStyle w:val="2Ttulo"/>
      <w:rPr>
        <w:rFonts w:ascii="Arial" w:hAnsi="Arial" w:cs="Arial"/>
        <w:sz w:val="20"/>
        <w:lang w:val="es-ES_tradnl"/>
      </w:rPr>
    </w:pPr>
    <w:r>
      <w:rPr>
        <w:rFonts w:ascii="Arial" w:hAnsi="Arial" w:cs="Arial"/>
        <w:sz w:val="20"/>
        <w:lang w:val="es-ES_tradnl"/>
      </w:rPr>
      <w:t>CORRESPONDIENTE AL PERIODO DE TRES MESES FINALIZADO EL 31</w:t>
    </w:r>
    <w:r w:rsidRPr="000C455E">
      <w:rPr>
        <w:rFonts w:ascii="Arial" w:hAnsi="Arial" w:cs="Arial"/>
        <w:sz w:val="20"/>
        <w:lang w:val="es-ES_tradnl"/>
      </w:rPr>
      <w:t xml:space="preserve"> DE </w:t>
    </w:r>
    <w:r>
      <w:rPr>
        <w:rFonts w:ascii="Arial" w:hAnsi="Arial" w:cs="Arial"/>
        <w:sz w:val="20"/>
        <w:lang w:val="es-ES_tradnl"/>
      </w:rPr>
      <w:t>MARZO DE 2020</w:t>
    </w:r>
  </w:p>
  <w:p w14:paraId="2CFAAEC6" w14:textId="3E421F12" w:rsidR="001967BC" w:rsidRPr="00503DEA" w:rsidRDefault="001967BC" w:rsidP="00E623C5">
    <w:pPr>
      <w:pStyle w:val="2Ttulo"/>
      <w:rPr>
        <w:rFonts w:ascii="Arial" w:hAnsi="Arial" w:cs="Arial"/>
        <w:b w:val="0"/>
        <w:sz w:val="16"/>
        <w:szCs w:val="16"/>
        <w:lang w:val="es-ES_tradnl"/>
      </w:rPr>
    </w:pPr>
    <w:r w:rsidRPr="00503DEA">
      <w:rPr>
        <w:rFonts w:ascii="Arial" w:hAnsi="Arial" w:cs="Arial"/>
        <w:b w:val="0"/>
        <w:sz w:val="16"/>
        <w:szCs w:val="16"/>
        <w:lang w:val="es-ES_tradnl"/>
      </w:rPr>
      <w:t xml:space="preserve">Presentado en forma comparativa con </w:t>
    </w:r>
    <w:r>
      <w:rPr>
        <w:rFonts w:ascii="Arial" w:hAnsi="Arial" w:cs="Arial"/>
        <w:b w:val="0"/>
        <w:sz w:val="16"/>
        <w:szCs w:val="16"/>
        <w:lang w:val="es-ES_tradnl"/>
      </w:rPr>
      <w:t>igual período del ejercicio</w:t>
    </w:r>
    <w:r w:rsidRPr="00503DEA">
      <w:rPr>
        <w:rFonts w:ascii="Arial" w:hAnsi="Arial" w:cs="Arial"/>
        <w:b w:val="0"/>
        <w:sz w:val="16"/>
        <w:szCs w:val="16"/>
        <w:lang w:val="es-ES_tradnl"/>
      </w:rPr>
      <w:t xml:space="preserve"> anterior</w:t>
    </w:r>
  </w:p>
  <w:p w14:paraId="280F9CC0" w14:textId="7422C367" w:rsidR="001967BC" w:rsidRDefault="001967BC" w:rsidP="00E623C5">
    <w:pPr>
      <w:pStyle w:val="2Ttulo"/>
      <w:rPr>
        <w:rFonts w:ascii="Arial" w:hAnsi="Arial" w:cs="Arial"/>
        <w:b w:val="0"/>
        <w:sz w:val="16"/>
        <w:szCs w:val="16"/>
      </w:rPr>
    </w:pPr>
    <w:r w:rsidRPr="00503DEA">
      <w:rPr>
        <w:rFonts w:ascii="Arial" w:hAnsi="Arial" w:cs="Arial"/>
        <w:b w:val="0"/>
        <w:sz w:val="16"/>
        <w:szCs w:val="16"/>
      </w:rPr>
      <w:t>(Cifras expresadas en miles de pesos</w:t>
    </w:r>
    <w:r>
      <w:rPr>
        <w:rFonts w:ascii="Arial" w:hAnsi="Arial" w:cs="Arial"/>
        <w:b w:val="0"/>
        <w:sz w:val="16"/>
        <w:szCs w:val="16"/>
      </w:rPr>
      <w:t xml:space="preserve"> en moneda homogénea</w:t>
    </w:r>
    <w:r w:rsidRPr="00503DEA">
      <w:rPr>
        <w:rFonts w:ascii="Arial" w:hAnsi="Arial" w:cs="Arial"/>
        <w:b w:val="0"/>
        <w:sz w:val="16"/>
        <w:szCs w:val="16"/>
      </w:rPr>
      <w:t>)</w:t>
    </w:r>
  </w:p>
  <w:p w14:paraId="02EB2CD2" w14:textId="77777777" w:rsidR="001967BC" w:rsidRPr="000C455E" w:rsidRDefault="001967BC" w:rsidP="00050353">
    <w:pPr>
      <w:pStyle w:val="2Ttulo"/>
      <w:jc w:val="left"/>
      <w:rPr>
        <w:rFonts w:ascii="Arial" w:hAnsi="Arial" w:cs="Arial"/>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F72A4" w14:textId="77777777" w:rsidR="001967BC" w:rsidRDefault="001967B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57709" w14:textId="77777777" w:rsidR="001967BC" w:rsidRDefault="001967BC" w:rsidP="00C80859">
    <w:pPr>
      <w:pStyle w:val="2Ttulo"/>
      <w:jc w:val="right"/>
      <w:rPr>
        <w:rFonts w:ascii="Arial" w:hAnsi="Arial" w:cs="Arial"/>
        <w:sz w:val="20"/>
      </w:rPr>
    </w:pPr>
    <w:r w:rsidRPr="009042A8">
      <w:rPr>
        <w:rFonts w:ascii="Arial" w:hAnsi="Arial" w:cs="Arial"/>
        <w:noProof/>
        <w:sz w:val="20"/>
        <w:lang w:eastAsia="es-AR"/>
      </w:rPr>
      <w:drawing>
        <wp:inline distT="0" distB="0" distL="0" distR="0" wp14:anchorId="16F129B0" wp14:editId="3CD901EE">
          <wp:extent cx="1027130" cy="452633"/>
          <wp:effectExtent l="19050" t="0" r="1570" b="0"/>
          <wp:docPr id="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F648D47" w14:textId="77777777" w:rsidR="001967BC" w:rsidRDefault="001967BC" w:rsidP="00C80859">
    <w:pPr>
      <w:pStyle w:val="2Ttulo"/>
      <w:jc w:val="right"/>
      <w:rPr>
        <w:rFonts w:ascii="Arial" w:hAnsi="Arial" w:cs="Arial"/>
        <w:sz w:val="20"/>
      </w:rPr>
    </w:pPr>
  </w:p>
  <w:p w14:paraId="5F8CC40B" w14:textId="77777777" w:rsidR="001967BC" w:rsidRPr="000C455E" w:rsidRDefault="001967BC" w:rsidP="00C80859">
    <w:pPr>
      <w:pStyle w:val="2Ttulo"/>
      <w:jc w:val="right"/>
      <w:rPr>
        <w:rFonts w:ascii="Arial" w:hAnsi="Arial" w:cs="Arial"/>
        <w:sz w:val="20"/>
      </w:rPr>
    </w:pPr>
  </w:p>
  <w:p w14:paraId="3649BF60" w14:textId="07F8CC67" w:rsidR="001967BC" w:rsidRPr="000C455E" w:rsidRDefault="001967BC" w:rsidP="003827AA">
    <w:pPr>
      <w:pStyle w:val="2Ttulo"/>
      <w:rPr>
        <w:rFonts w:ascii="Arial" w:hAnsi="Arial" w:cs="Arial"/>
        <w:sz w:val="20"/>
      </w:rPr>
    </w:pPr>
    <w:r w:rsidRPr="000C455E">
      <w:rPr>
        <w:rFonts w:ascii="Arial" w:hAnsi="Arial" w:cs="Arial"/>
        <w:sz w:val="20"/>
      </w:rPr>
      <w:t>ESTADO DE FLUJO</w:t>
    </w:r>
    <w:r>
      <w:rPr>
        <w:rFonts w:ascii="Arial" w:hAnsi="Arial" w:cs="Arial"/>
        <w:sz w:val="20"/>
      </w:rPr>
      <w:t>S</w:t>
    </w:r>
    <w:r w:rsidRPr="000C455E">
      <w:rPr>
        <w:rFonts w:ascii="Arial" w:hAnsi="Arial" w:cs="Arial"/>
        <w:sz w:val="20"/>
      </w:rPr>
      <w:t xml:space="preserve"> DE EFECTIVO </w:t>
    </w:r>
    <w:r>
      <w:rPr>
        <w:rFonts w:ascii="Arial" w:hAnsi="Arial" w:cs="Arial"/>
        <w:sz w:val="20"/>
      </w:rPr>
      <w:t>CONDENSADO INTERMEDIO CONSOLIDADO</w:t>
    </w:r>
  </w:p>
  <w:p w14:paraId="463F967F" w14:textId="4B2B1F64" w:rsidR="001967BC" w:rsidRDefault="001967BC" w:rsidP="00E623C5">
    <w:pPr>
      <w:pStyle w:val="2Ttulo"/>
      <w:rPr>
        <w:rFonts w:ascii="Arial" w:hAnsi="Arial" w:cs="Arial"/>
        <w:sz w:val="20"/>
        <w:lang w:val="es-ES_tradnl"/>
      </w:rPr>
    </w:pPr>
    <w:r w:rsidRPr="000C455E">
      <w:rPr>
        <w:rFonts w:ascii="Arial" w:hAnsi="Arial" w:cs="Arial"/>
        <w:sz w:val="20"/>
        <w:lang w:val="es-ES_tradnl"/>
      </w:rPr>
      <w:t>COR</w:t>
    </w:r>
    <w:r>
      <w:rPr>
        <w:rFonts w:ascii="Arial" w:hAnsi="Arial" w:cs="Arial"/>
        <w:sz w:val="20"/>
        <w:lang w:val="es-ES_tradnl"/>
      </w:rPr>
      <w:t xml:space="preserve">RESPONDIENTE AL PERIODO DE TRES MESES FINALIZADO </w:t>
    </w:r>
  </w:p>
  <w:p w14:paraId="107D7110" w14:textId="41984FD9" w:rsidR="001967BC" w:rsidRPr="000C455E" w:rsidRDefault="001967BC" w:rsidP="00E623C5">
    <w:pPr>
      <w:pStyle w:val="2Ttulo"/>
      <w:rPr>
        <w:rFonts w:ascii="Arial" w:hAnsi="Arial" w:cs="Arial"/>
        <w:sz w:val="20"/>
        <w:lang w:val="es-ES_tradnl"/>
      </w:rPr>
    </w:pPr>
    <w:r>
      <w:rPr>
        <w:rFonts w:ascii="Arial" w:hAnsi="Arial" w:cs="Arial"/>
        <w:sz w:val="20"/>
        <w:lang w:val="es-ES_tradnl"/>
      </w:rPr>
      <w:t>EL 31 DE MARZO DE 2020</w:t>
    </w:r>
  </w:p>
  <w:p w14:paraId="37672E02" w14:textId="4753A906" w:rsidR="001967BC" w:rsidRPr="005E5441" w:rsidRDefault="001967BC" w:rsidP="00E623C5">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igual período del ejercicio </w:t>
    </w:r>
    <w:r w:rsidRPr="005E5441">
      <w:rPr>
        <w:rFonts w:ascii="Arial" w:hAnsi="Arial" w:cs="Arial"/>
        <w:b w:val="0"/>
        <w:sz w:val="16"/>
        <w:szCs w:val="16"/>
        <w:lang w:val="es-ES_tradnl"/>
      </w:rPr>
      <w:t>anterior</w:t>
    </w:r>
  </w:p>
  <w:p w14:paraId="0C5CC93D" w14:textId="1BF6A98C" w:rsidR="001967BC" w:rsidRDefault="001967BC" w:rsidP="00524D84">
    <w:pPr>
      <w:pStyle w:val="2Ttulo"/>
      <w:rPr>
        <w:rFonts w:ascii="Arial" w:hAnsi="Arial" w:cs="Arial"/>
        <w:b w:val="0"/>
        <w:sz w:val="16"/>
        <w:szCs w:val="16"/>
      </w:rPr>
    </w:pPr>
    <w:r w:rsidRPr="005E5441">
      <w:rPr>
        <w:rFonts w:ascii="Arial" w:hAnsi="Arial" w:cs="Arial"/>
        <w:b w:val="0"/>
        <w:sz w:val="16"/>
        <w:szCs w:val="16"/>
      </w:rPr>
      <w:t>(Cifras expresadas en miles de pesos</w:t>
    </w:r>
    <w:r>
      <w:rPr>
        <w:rFonts w:ascii="Arial" w:hAnsi="Arial" w:cs="Arial"/>
        <w:b w:val="0"/>
        <w:sz w:val="16"/>
        <w:szCs w:val="16"/>
      </w:rPr>
      <w:t xml:space="preserve"> en moneda homogénea</w:t>
    </w:r>
    <w:r w:rsidRPr="005E5441">
      <w:rPr>
        <w:rFonts w:ascii="Arial" w:hAnsi="Arial" w:cs="Arial"/>
        <w:b w:val="0"/>
        <w:sz w:val="16"/>
        <w:szCs w:val="16"/>
      </w:rPr>
      <w:t>)</w:t>
    </w:r>
  </w:p>
  <w:p w14:paraId="5BCD0FEE" w14:textId="77777777" w:rsidR="001967BC" w:rsidRPr="005E5441" w:rsidRDefault="001967BC" w:rsidP="002374F8">
    <w:pPr>
      <w:pStyle w:val="2Ttulo"/>
      <w:jc w:val="left"/>
      <w:rPr>
        <w:rFonts w:ascii="Arial" w:hAnsi="Arial" w:cs="Arial"/>
        <w:b w:val="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6CA971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95706D3C"/>
    <w:name w:val="WW8Num1"/>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cs="Arial" w:hint="default"/>
        <w:lang w:val="es-AR"/>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1080" w:hanging="360"/>
      </w:pPr>
      <w:rPr>
        <w:rFonts w:cs="Arial"/>
      </w:rPr>
    </w:lvl>
    <w:lvl w:ilvl="1">
      <w:start w:val="1"/>
      <w:numFmt w:val="lowerLetter"/>
      <w:lvlText w:val="%2."/>
      <w:lvlJc w:val="left"/>
      <w:pPr>
        <w:tabs>
          <w:tab w:val="num" w:pos="0"/>
        </w:tabs>
        <w:ind w:left="180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4" w15:restartNumberingAfterBreak="0">
    <w:nsid w:val="00000006"/>
    <w:multiLevelType w:val="multilevel"/>
    <w:tmpl w:val="00000006"/>
    <w:name w:val="WW8Num6"/>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A"/>
    <w:multiLevelType w:val="multilevel"/>
    <w:tmpl w:val="0000000A"/>
    <w:name w:val="WW8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9D2C5E"/>
    <w:multiLevelType w:val="multilevel"/>
    <w:tmpl w:val="AE2A3636"/>
    <w:name w:val="WW8Num14"/>
    <w:lvl w:ilvl="0">
      <w:start w:val="23"/>
      <w:numFmt w:val="decimal"/>
      <w:lvlText w:val="%1."/>
      <w:lvlJc w:val="left"/>
      <w:pPr>
        <w:tabs>
          <w:tab w:val="num" w:pos="0"/>
        </w:tabs>
        <w:ind w:left="360" w:hanging="360"/>
      </w:pPr>
      <w:rPr>
        <w:rFonts w:hint="default"/>
      </w:rPr>
    </w:lvl>
    <w:lvl w:ilvl="1">
      <w:start w:val="3"/>
      <w:numFmt w:val="decimal"/>
      <w:lvlText w:val="%1.%2."/>
      <w:lvlJc w:val="left"/>
      <w:pPr>
        <w:tabs>
          <w:tab w:val="num" w:pos="0"/>
        </w:tabs>
        <w:ind w:left="792" w:hanging="432"/>
      </w:pPr>
      <w:rPr>
        <w:rFonts w:hint="default"/>
      </w:rPr>
    </w:lvl>
    <w:lvl w:ilvl="2">
      <w:start w:val="4"/>
      <w:numFmt w:val="decimal"/>
      <w:lvlText w:val="%1.%2.%3."/>
      <w:lvlJc w:val="left"/>
      <w:pPr>
        <w:tabs>
          <w:tab w:val="num" w:pos="0"/>
        </w:tabs>
        <w:ind w:left="1224" w:hanging="504"/>
      </w:pPr>
      <w:rPr>
        <w:rFonts w:cs="Arial"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01247400"/>
    <w:multiLevelType w:val="hybridMultilevel"/>
    <w:tmpl w:val="417CB75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2" w15:restartNumberingAfterBreak="0">
    <w:nsid w:val="014F6E0E"/>
    <w:multiLevelType w:val="multilevel"/>
    <w:tmpl w:val="C6729CB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1D9080D"/>
    <w:multiLevelType w:val="hybridMultilevel"/>
    <w:tmpl w:val="F516EEB0"/>
    <w:lvl w:ilvl="0" w:tplc="2C0A0001">
      <w:start w:val="1"/>
      <w:numFmt w:val="bullet"/>
      <w:lvlText w:val=""/>
      <w:lvlJc w:val="left"/>
      <w:pPr>
        <w:ind w:left="810" w:hanging="360"/>
      </w:pPr>
      <w:rPr>
        <w:rFonts w:ascii="Symbol" w:hAnsi="Symbol" w:hint="default"/>
      </w:rPr>
    </w:lvl>
    <w:lvl w:ilvl="1" w:tplc="2C0A0003">
      <w:start w:val="1"/>
      <w:numFmt w:val="bullet"/>
      <w:lvlText w:val="o"/>
      <w:lvlJc w:val="left"/>
      <w:pPr>
        <w:ind w:left="1530" w:hanging="360"/>
      </w:pPr>
      <w:rPr>
        <w:rFonts w:ascii="Courier New" w:hAnsi="Courier New" w:cs="Courier New" w:hint="default"/>
      </w:rPr>
    </w:lvl>
    <w:lvl w:ilvl="2" w:tplc="2C0A0005" w:tentative="1">
      <w:start w:val="1"/>
      <w:numFmt w:val="bullet"/>
      <w:lvlText w:val=""/>
      <w:lvlJc w:val="left"/>
      <w:pPr>
        <w:ind w:left="2250" w:hanging="360"/>
      </w:pPr>
      <w:rPr>
        <w:rFonts w:ascii="Wingdings" w:hAnsi="Wingdings" w:hint="default"/>
      </w:rPr>
    </w:lvl>
    <w:lvl w:ilvl="3" w:tplc="2C0A0001" w:tentative="1">
      <w:start w:val="1"/>
      <w:numFmt w:val="bullet"/>
      <w:lvlText w:val=""/>
      <w:lvlJc w:val="left"/>
      <w:pPr>
        <w:ind w:left="2970" w:hanging="360"/>
      </w:pPr>
      <w:rPr>
        <w:rFonts w:ascii="Symbol" w:hAnsi="Symbol" w:hint="default"/>
      </w:rPr>
    </w:lvl>
    <w:lvl w:ilvl="4" w:tplc="2C0A0003" w:tentative="1">
      <w:start w:val="1"/>
      <w:numFmt w:val="bullet"/>
      <w:lvlText w:val="o"/>
      <w:lvlJc w:val="left"/>
      <w:pPr>
        <w:ind w:left="3690" w:hanging="360"/>
      </w:pPr>
      <w:rPr>
        <w:rFonts w:ascii="Courier New" w:hAnsi="Courier New" w:cs="Courier New" w:hint="default"/>
      </w:rPr>
    </w:lvl>
    <w:lvl w:ilvl="5" w:tplc="2C0A0005" w:tentative="1">
      <w:start w:val="1"/>
      <w:numFmt w:val="bullet"/>
      <w:lvlText w:val=""/>
      <w:lvlJc w:val="left"/>
      <w:pPr>
        <w:ind w:left="4410" w:hanging="360"/>
      </w:pPr>
      <w:rPr>
        <w:rFonts w:ascii="Wingdings" w:hAnsi="Wingdings" w:hint="default"/>
      </w:rPr>
    </w:lvl>
    <w:lvl w:ilvl="6" w:tplc="2C0A0001" w:tentative="1">
      <w:start w:val="1"/>
      <w:numFmt w:val="bullet"/>
      <w:lvlText w:val=""/>
      <w:lvlJc w:val="left"/>
      <w:pPr>
        <w:ind w:left="5130" w:hanging="360"/>
      </w:pPr>
      <w:rPr>
        <w:rFonts w:ascii="Symbol" w:hAnsi="Symbol" w:hint="default"/>
      </w:rPr>
    </w:lvl>
    <w:lvl w:ilvl="7" w:tplc="2C0A0003" w:tentative="1">
      <w:start w:val="1"/>
      <w:numFmt w:val="bullet"/>
      <w:lvlText w:val="o"/>
      <w:lvlJc w:val="left"/>
      <w:pPr>
        <w:ind w:left="5850" w:hanging="360"/>
      </w:pPr>
      <w:rPr>
        <w:rFonts w:ascii="Courier New" w:hAnsi="Courier New" w:cs="Courier New" w:hint="default"/>
      </w:rPr>
    </w:lvl>
    <w:lvl w:ilvl="8" w:tplc="2C0A0005" w:tentative="1">
      <w:start w:val="1"/>
      <w:numFmt w:val="bullet"/>
      <w:lvlText w:val=""/>
      <w:lvlJc w:val="left"/>
      <w:pPr>
        <w:ind w:left="6570" w:hanging="360"/>
      </w:pPr>
      <w:rPr>
        <w:rFonts w:ascii="Wingdings" w:hAnsi="Wingdings" w:hint="default"/>
      </w:rPr>
    </w:lvl>
  </w:abstractNum>
  <w:abstractNum w:abstractNumId="14" w15:restartNumberingAfterBreak="0">
    <w:nsid w:val="040E37EE"/>
    <w:multiLevelType w:val="hybridMultilevel"/>
    <w:tmpl w:val="27704AE2"/>
    <w:lvl w:ilvl="0" w:tplc="0AD6091E">
      <w:start w:val="1"/>
      <w:numFmt w:val="decimal"/>
      <w:lvlText w:val="%1)"/>
      <w:lvlJc w:val="left"/>
      <w:pPr>
        <w:ind w:left="786" w:hanging="360"/>
      </w:pPr>
      <w:rPr>
        <w:rFonts w:hint="default"/>
        <w:b/>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5" w15:restartNumberingAfterBreak="0">
    <w:nsid w:val="04783180"/>
    <w:multiLevelType w:val="hybridMultilevel"/>
    <w:tmpl w:val="E82429FE"/>
    <w:lvl w:ilvl="0" w:tplc="5C0E18EA">
      <w:start w:val="1"/>
      <w:numFmt w:val="lowerRoman"/>
      <w:lvlText w:val="(%1)"/>
      <w:lvlJc w:val="left"/>
      <w:pPr>
        <w:ind w:left="720" w:hanging="360"/>
      </w:pPr>
      <w:rPr>
        <w:rFonts w:ascii="Times New Roman" w:eastAsia="Times New Roman"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049C7F49"/>
    <w:multiLevelType w:val="hybridMultilevel"/>
    <w:tmpl w:val="7DE42F1A"/>
    <w:lvl w:ilvl="0" w:tplc="628878C8">
      <w:start w:val="1"/>
      <w:numFmt w:val="decimal"/>
      <w:lvlText w:val="(%1)"/>
      <w:lvlJc w:val="left"/>
      <w:pPr>
        <w:ind w:left="644" w:hanging="360"/>
      </w:pPr>
      <w:rPr>
        <w:rFonts w:hint="default"/>
        <w:sz w:val="16"/>
        <w:szCs w:val="16"/>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7" w15:restartNumberingAfterBreak="0">
    <w:nsid w:val="068417A2"/>
    <w:multiLevelType w:val="hybridMultilevel"/>
    <w:tmpl w:val="1406A708"/>
    <w:lvl w:ilvl="0" w:tplc="D902AA06">
      <w:start w:val="9"/>
      <w:numFmt w:val="lowerLetter"/>
      <w:lvlText w:val="(%1)"/>
      <w:lvlJc w:val="left"/>
      <w:pPr>
        <w:ind w:left="786" w:hanging="360"/>
      </w:pPr>
      <w:rPr>
        <w:rFonts w:hint="default"/>
        <w:b/>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8" w15:restartNumberingAfterBreak="0">
    <w:nsid w:val="077A7D41"/>
    <w:multiLevelType w:val="hybridMultilevel"/>
    <w:tmpl w:val="EDBA9290"/>
    <w:styleLink w:val="Estiloimportado82"/>
    <w:lvl w:ilvl="0" w:tplc="370E75C4">
      <w:start w:val="1"/>
      <w:numFmt w:val="lowerLetter"/>
      <w:lvlText w:val="%1."/>
      <w:lvlJc w:val="left"/>
      <w:pPr>
        <w:ind w:left="1418" w:hanging="284"/>
      </w:pPr>
      <w:rPr>
        <w:rFonts w:hAnsi="Arial Unicode MS"/>
        <w:caps w:val="0"/>
        <w:smallCaps w:val="0"/>
        <w:strike w:val="0"/>
        <w:dstrike w:val="0"/>
        <w:color w:val="000000"/>
        <w:spacing w:val="0"/>
        <w:w w:val="100"/>
        <w:kern w:val="0"/>
        <w:position w:val="0"/>
        <w:highlight w:val="none"/>
        <w:vertAlign w:val="baseline"/>
      </w:rPr>
    </w:lvl>
    <w:lvl w:ilvl="1" w:tplc="3A068150">
      <w:start w:val="1"/>
      <w:numFmt w:val="lowerLetter"/>
      <w:lvlText w:val="%2."/>
      <w:lvlJc w:val="left"/>
      <w:pPr>
        <w:ind w:left="1024" w:hanging="284"/>
      </w:pPr>
      <w:rPr>
        <w:rFonts w:hAnsi="Arial Unicode MS"/>
        <w:caps w:val="0"/>
        <w:smallCaps w:val="0"/>
        <w:strike w:val="0"/>
        <w:dstrike w:val="0"/>
        <w:color w:val="000000"/>
        <w:spacing w:val="0"/>
        <w:w w:val="100"/>
        <w:kern w:val="0"/>
        <w:position w:val="0"/>
        <w:highlight w:val="none"/>
        <w:vertAlign w:val="baseline"/>
      </w:rPr>
    </w:lvl>
    <w:lvl w:ilvl="2" w:tplc="82CE8AD4">
      <w:start w:val="1"/>
      <w:numFmt w:val="lowerRoman"/>
      <w:lvlText w:val="%3."/>
      <w:lvlJc w:val="left"/>
      <w:pPr>
        <w:ind w:left="1744" w:hanging="199"/>
      </w:pPr>
      <w:rPr>
        <w:rFonts w:hAnsi="Arial Unicode MS"/>
        <w:caps w:val="0"/>
        <w:smallCaps w:val="0"/>
        <w:strike w:val="0"/>
        <w:dstrike w:val="0"/>
        <w:color w:val="000000"/>
        <w:spacing w:val="0"/>
        <w:w w:val="100"/>
        <w:kern w:val="0"/>
        <w:position w:val="0"/>
        <w:highlight w:val="none"/>
        <w:vertAlign w:val="baseline"/>
      </w:rPr>
    </w:lvl>
    <w:lvl w:ilvl="3" w:tplc="5770F584">
      <w:start w:val="1"/>
      <w:numFmt w:val="decimal"/>
      <w:lvlText w:val="%4."/>
      <w:lvlJc w:val="left"/>
      <w:pPr>
        <w:ind w:left="2464" w:hanging="284"/>
      </w:pPr>
      <w:rPr>
        <w:rFonts w:hAnsi="Arial Unicode MS"/>
        <w:caps w:val="0"/>
        <w:smallCaps w:val="0"/>
        <w:strike w:val="0"/>
        <w:dstrike w:val="0"/>
        <w:color w:val="000000"/>
        <w:spacing w:val="0"/>
        <w:w w:val="100"/>
        <w:kern w:val="0"/>
        <w:position w:val="0"/>
        <w:highlight w:val="none"/>
        <w:vertAlign w:val="baseline"/>
      </w:rPr>
    </w:lvl>
    <w:lvl w:ilvl="4" w:tplc="71B002CA">
      <w:start w:val="1"/>
      <w:numFmt w:val="lowerLetter"/>
      <w:lvlText w:val="%5."/>
      <w:lvlJc w:val="left"/>
      <w:pPr>
        <w:ind w:left="3184" w:hanging="284"/>
      </w:pPr>
      <w:rPr>
        <w:rFonts w:hAnsi="Arial Unicode MS"/>
        <w:caps w:val="0"/>
        <w:smallCaps w:val="0"/>
        <w:strike w:val="0"/>
        <w:dstrike w:val="0"/>
        <w:color w:val="000000"/>
        <w:spacing w:val="0"/>
        <w:w w:val="100"/>
        <w:kern w:val="0"/>
        <w:position w:val="0"/>
        <w:highlight w:val="none"/>
        <w:vertAlign w:val="baseline"/>
      </w:rPr>
    </w:lvl>
    <w:lvl w:ilvl="5" w:tplc="4348B770">
      <w:start w:val="1"/>
      <w:numFmt w:val="lowerRoman"/>
      <w:lvlText w:val="%6."/>
      <w:lvlJc w:val="left"/>
      <w:pPr>
        <w:ind w:left="3904" w:hanging="199"/>
      </w:pPr>
      <w:rPr>
        <w:rFonts w:hAnsi="Arial Unicode MS"/>
        <w:caps w:val="0"/>
        <w:smallCaps w:val="0"/>
        <w:strike w:val="0"/>
        <w:dstrike w:val="0"/>
        <w:color w:val="000000"/>
        <w:spacing w:val="0"/>
        <w:w w:val="100"/>
        <w:kern w:val="0"/>
        <w:position w:val="0"/>
        <w:highlight w:val="none"/>
        <w:vertAlign w:val="baseline"/>
      </w:rPr>
    </w:lvl>
    <w:lvl w:ilvl="6" w:tplc="FD763E8A">
      <w:start w:val="1"/>
      <w:numFmt w:val="decimal"/>
      <w:lvlText w:val="%7."/>
      <w:lvlJc w:val="left"/>
      <w:pPr>
        <w:ind w:left="4624" w:hanging="284"/>
      </w:pPr>
      <w:rPr>
        <w:rFonts w:hAnsi="Arial Unicode MS"/>
        <w:caps w:val="0"/>
        <w:smallCaps w:val="0"/>
        <w:strike w:val="0"/>
        <w:dstrike w:val="0"/>
        <w:color w:val="000000"/>
        <w:spacing w:val="0"/>
        <w:w w:val="100"/>
        <w:kern w:val="0"/>
        <w:position w:val="0"/>
        <w:highlight w:val="none"/>
        <w:vertAlign w:val="baseline"/>
      </w:rPr>
    </w:lvl>
    <w:lvl w:ilvl="7" w:tplc="97B6851E">
      <w:start w:val="1"/>
      <w:numFmt w:val="lowerLetter"/>
      <w:lvlText w:val="%8."/>
      <w:lvlJc w:val="left"/>
      <w:pPr>
        <w:ind w:left="5344" w:hanging="284"/>
      </w:pPr>
      <w:rPr>
        <w:rFonts w:hAnsi="Arial Unicode MS"/>
        <w:caps w:val="0"/>
        <w:smallCaps w:val="0"/>
        <w:strike w:val="0"/>
        <w:dstrike w:val="0"/>
        <w:color w:val="000000"/>
        <w:spacing w:val="0"/>
        <w:w w:val="100"/>
        <w:kern w:val="0"/>
        <w:position w:val="0"/>
        <w:highlight w:val="none"/>
        <w:vertAlign w:val="baseline"/>
      </w:rPr>
    </w:lvl>
    <w:lvl w:ilvl="8" w:tplc="311452A2">
      <w:start w:val="1"/>
      <w:numFmt w:val="lowerRoman"/>
      <w:lvlText w:val="%9."/>
      <w:lvlJc w:val="left"/>
      <w:pPr>
        <w:ind w:left="6064" w:hanging="199"/>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0938671E"/>
    <w:multiLevelType w:val="hybridMultilevel"/>
    <w:tmpl w:val="E82429FE"/>
    <w:lvl w:ilvl="0" w:tplc="5C0E18EA">
      <w:start w:val="1"/>
      <w:numFmt w:val="lowerRoman"/>
      <w:lvlText w:val="(%1)"/>
      <w:lvlJc w:val="left"/>
      <w:pPr>
        <w:ind w:left="720" w:hanging="360"/>
      </w:pPr>
      <w:rPr>
        <w:rFonts w:ascii="Times New Roman" w:eastAsia="Times New Roman"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09745E34"/>
    <w:multiLevelType w:val="hybridMultilevel"/>
    <w:tmpl w:val="6016B87C"/>
    <w:lvl w:ilvl="0" w:tplc="C734D3BA">
      <w:start w:val="1"/>
      <w:numFmt w:val="lowerLetter"/>
      <w:lvlText w:val="%1)"/>
      <w:lvlJc w:val="left"/>
      <w:pPr>
        <w:ind w:left="644"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0B766696"/>
    <w:multiLevelType w:val="hybridMultilevel"/>
    <w:tmpl w:val="936C2704"/>
    <w:lvl w:ilvl="0" w:tplc="EF12415A">
      <w:start w:val="1"/>
      <w:numFmt w:val="lowerLetter"/>
      <w:lvlText w:val="(%1)"/>
      <w:lvlJc w:val="left"/>
      <w:pPr>
        <w:ind w:left="360" w:hanging="360"/>
      </w:pPr>
      <w:rPr>
        <w:rFonts w:hint="default"/>
        <w:b/>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0C066800"/>
    <w:multiLevelType w:val="hybridMultilevel"/>
    <w:tmpl w:val="F2C0624E"/>
    <w:lvl w:ilvl="0" w:tplc="69E03E00">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0D7D2C11"/>
    <w:multiLevelType w:val="hybridMultilevel"/>
    <w:tmpl w:val="A4084382"/>
    <w:lvl w:ilvl="0" w:tplc="E6003FFA">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0FED35F1"/>
    <w:multiLevelType w:val="hybridMultilevel"/>
    <w:tmpl w:val="B76413EC"/>
    <w:lvl w:ilvl="0" w:tplc="9536A36A">
      <w:start w:val="1"/>
      <w:numFmt w:val="decimal"/>
      <w:lvlText w:val="%1."/>
      <w:lvlJc w:val="left"/>
      <w:pPr>
        <w:ind w:left="644" w:hanging="360"/>
      </w:pPr>
      <w:rPr>
        <w:rFonts w:hint="default"/>
        <w:i w:val="0"/>
        <w:u w:val="none"/>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5" w15:restartNumberingAfterBreak="0">
    <w:nsid w:val="1291720A"/>
    <w:multiLevelType w:val="hybridMultilevel"/>
    <w:tmpl w:val="8872E3D0"/>
    <w:lvl w:ilvl="0" w:tplc="4A26F29A">
      <w:start w:val="1"/>
      <w:numFmt w:val="lowerLetter"/>
      <w:lvlText w:val="(%1)"/>
      <w:lvlJc w:val="left"/>
      <w:pPr>
        <w:ind w:left="360" w:hanging="360"/>
      </w:pPr>
      <w:rPr>
        <w:rFonts w:hint="default"/>
        <w:b/>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17E90127"/>
    <w:multiLevelType w:val="multilevel"/>
    <w:tmpl w:val="27288520"/>
    <w:styleLink w:val="Estiloimportado32"/>
    <w:lvl w:ilvl="0">
      <w:start w:val="1"/>
      <w:numFmt w:val="decimal"/>
      <w:lvlText w:val="%1."/>
      <w:lvlJc w:val="left"/>
      <w:pPr>
        <w:tabs>
          <w:tab w:val="num" w:pos="142"/>
        </w:tabs>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142"/>
          <w:tab w:val="num" w:pos="792"/>
        </w:tabs>
        <w:ind w:left="1010" w:hanging="65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left" w:pos="142"/>
          <w:tab w:val="num" w:pos="1224"/>
        </w:tabs>
        <w:ind w:left="1442" w:hanging="722"/>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142"/>
          <w:tab w:val="num" w:pos="1728"/>
        </w:tabs>
        <w:ind w:left="1946" w:hanging="866"/>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left" w:pos="142"/>
          <w:tab w:val="num" w:pos="2232"/>
        </w:tabs>
        <w:ind w:left="2450" w:hanging="101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142"/>
          <w:tab w:val="num" w:pos="2736"/>
        </w:tabs>
        <w:ind w:left="2954" w:hanging="115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142"/>
          <w:tab w:val="num" w:pos="3240"/>
        </w:tabs>
        <w:ind w:left="3458" w:hanging="129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142"/>
          <w:tab w:val="num" w:pos="3744"/>
        </w:tabs>
        <w:ind w:left="3962" w:hanging="1442"/>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142"/>
          <w:tab w:val="num" w:pos="4320"/>
        </w:tabs>
        <w:ind w:left="4538" w:hanging="1658"/>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1DB318A3"/>
    <w:multiLevelType w:val="multilevel"/>
    <w:tmpl w:val="D3B43D5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DBF5755"/>
    <w:multiLevelType w:val="hybridMultilevel"/>
    <w:tmpl w:val="BB58B964"/>
    <w:lvl w:ilvl="0" w:tplc="2C0A0017">
      <w:start w:val="1"/>
      <w:numFmt w:val="lowerLetter"/>
      <w:lvlText w:val="%1)"/>
      <w:lvlJc w:val="left"/>
      <w:pPr>
        <w:ind w:left="720" w:hanging="360"/>
      </w:pPr>
      <w:rPr>
        <w:rFonts w:hint="default"/>
      </w:rPr>
    </w:lvl>
    <w:lvl w:ilvl="1" w:tplc="943EA56E">
      <w:start w:val="1"/>
      <w:numFmt w:val="lowerRoman"/>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20D40BA2"/>
    <w:multiLevelType w:val="multilevel"/>
    <w:tmpl w:val="3BC42524"/>
    <w:styleLink w:val="Estiloimportado112"/>
    <w:lvl w:ilvl="0">
      <w:start w:val="7"/>
      <w:numFmt w:val="decimal"/>
      <w:lvlText w:val="%1."/>
      <w:lvlJc w:val="left"/>
      <w:pPr>
        <w:tabs>
          <w:tab w:val="num" w:pos="360"/>
        </w:tabs>
        <w:ind w:left="357" w:hanging="357"/>
      </w:pPr>
      <w:rPr>
        <w:rFonts w:hint="default"/>
        <w:b/>
        <w:u w:val="none"/>
      </w:rPr>
    </w:lvl>
    <w:lvl w:ilvl="1">
      <w:start w:val="1"/>
      <w:numFmt w:val="decimal"/>
      <w:lvlText w:val="%1.%2."/>
      <w:lvlJc w:val="left"/>
      <w:pPr>
        <w:tabs>
          <w:tab w:val="num" w:pos="359"/>
        </w:tabs>
        <w:ind w:left="284" w:firstLine="0"/>
      </w:pPr>
      <w:rPr>
        <w:rFonts w:ascii="Arial" w:hAnsi="Arial" w:hint="default"/>
        <w:b w:val="0"/>
        <w:i w:val="0"/>
        <w:sz w:val="20"/>
        <w:szCs w:val="20"/>
        <w:u w:val="none"/>
      </w:rPr>
    </w:lvl>
    <w:lvl w:ilvl="2">
      <w:start w:val="1"/>
      <w:numFmt w:val="decimal"/>
      <w:lvlText w:val="%1.%2.%3."/>
      <w:lvlJc w:val="left"/>
      <w:pPr>
        <w:tabs>
          <w:tab w:val="num" w:pos="1210"/>
        </w:tabs>
        <w:ind w:left="1207" w:hanging="357"/>
      </w:pPr>
      <w:rPr>
        <w:rFonts w:ascii="Arial" w:hAnsi="Arial" w:hint="default"/>
        <w:b w:val="0"/>
        <w:i w:val="0"/>
        <w:u w:val="none"/>
      </w:rPr>
    </w:lvl>
    <w:lvl w:ilvl="3">
      <w:start w:val="1"/>
      <w:numFmt w:val="decimal"/>
      <w:lvlText w:val="%1.%2.%3.%4."/>
      <w:lvlJc w:val="left"/>
      <w:pPr>
        <w:tabs>
          <w:tab w:val="num" w:pos="1635"/>
        </w:tabs>
        <w:ind w:left="1632" w:hanging="357"/>
      </w:pPr>
      <w:rPr>
        <w:rFonts w:hint="default"/>
        <w:b/>
        <w:u w:val="none"/>
      </w:rPr>
    </w:lvl>
    <w:lvl w:ilvl="4">
      <w:start w:val="1"/>
      <w:numFmt w:val="decimal"/>
      <w:lvlText w:val="%1.%2.%3.%4.%5."/>
      <w:lvlJc w:val="left"/>
      <w:pPr>
        <w:tabs>
          <w:tab w:val="num" w:pos="2060"/>
        </w:tabs>
        <w:ind w:left="2057" w:hanging="357"/>
      </w:pPr>
      <w:rPr>
        <w:rFonts w:hint="default"/>
        <w:b/>
        <w:u w:val="none"/>
      </w:rPr>
    </w:lvl>
    <w:lvl w:ilvl="5">
      <w:start w:val="1"/>
      <w:numFmt w:val="decimal"/>
      <w:lvlText w:val="%1.%2.%3.%4.%5.%6."/>
      <w:lvlJc w:val="left"/>
      <w:pPr>
        <w:tabs>
          <w:tab w:val="num" w:pos="2485"/>
        </w:tabs>
        <w:ind w:left="2482" w:hanging="357"/>
      </w:pPr>
      <w:rPr>
        <w:rFonts w:hint="default"/>
        <w:b/>
        <w:u w:val="none"/>
      </w:rPr>
    </w:lvl>
    <w:lvl w:ilvl="6">
      <w:start w:val="1"/>
      <w:numFmt w:val="decimal"/>
      <w:lvlText w:val="%1.%2.%3.%4.%5.%6.%7."/>
      <w:lvlJc w:val="left"/>
      <w:pPr>
        <w:tabs>
          <w:tab w:val="num" w:pos="2910"/>
        </w:tabs>
        <w:ind w:left="2907" w:hanging="357"/>
      </w:pPr>
      <w:rPr>
        <w:rFonts w:hint="default"/>
        <w:b/>
        <w:u w:val="none"/>
      </w:rPr>
    </w:lvl>
    <w:lvl w:ilvl="7">
      <w:start w:val="1"/>
      <w:numFmt w:val="decimal"/>
      <w:lvlText w:val="%1.%2.%3.%4.%5.%6.%7.%8."/>
      <w:lvlJc w:val="left"/>
      <w:pPr>
        <w:tabs>
          <w:tab w:val="num" w:pos="3335"/>
        </w:tabs>
        <w:ind w:left="3332" w:hanging="357"/>
      </w:pPr>
      <w:rPr>
        <w:rFonts w:hint="default"/>
        <w:b/>
        <w:u w:val="none"/>
      </w:rPr>
    </w:lvl>
    <w:lvl w:ilvl="8">
      <w:start w:val="1"/>
      <w:numFmt w:val="decimal"/>
      <w:lvlText w:val="%1.%2.%3.%4.%5.%6.%7.%8.%9."/>
      <w:lvlJc w:val="left"/>
      <w:pPr>
        <w:tabs>
          <w:tab w:val="num" w:pos="3760"/>
        </w:tabs>
        <w:ind w:left="3757" w:hanging="357"/>
      </w:pPr>
      <w:rPr>
        <w:rFonts w:hint="default"/>
        <w:b/>
        <w:u w:val="none"/>
      </w:rPr>
    </w:lvl>
  </w:abstractNum>
  <w:abstractNum w:abstractNumId="30" w15:restartNumberingAfterBreak="0">
    <w:nsid w:val="232A471D"/>
    <w:multiLevelType w:val="hybridMultilevel"/>
    <w:tmpl w:val="AED4AF3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1" w15:restartNumberingAfterBreak="0">
    <w:nsid w:val="260958BE"/>
    <w:multiLevelType w:val="hybridMultilevel"/>
    <w:tmpl w:val="8D1C029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297C3DE1"/>
    <w:multiLevelType w:val="hybridMultilevel"/>
    <w:tmpl w:val="FE361A3C"/>
    <w:lvl w:ilvl="0" w:tplc="6ED2D3F6">
      <w:start w:val="2"/>
      <w:numFmt w:val="bullet"/>
      <w:lvlText w:val="-"/>
      <w:lvlJc w:val="left"/>
      <w:pPr>
        <w:ind w:left="720" w:hanging="360"/>
      </w:pPr>
      <w:rPr>
        <w:rFonts w:ascii="Georgia" w:eastAsiaTheme="minorHAnsi" w:hAnsi="Georgia"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2AB63B38"/>
    <w:multiLevelType w:val="hybridMultilevel"/>
    <w:tmpl w:val="15BE8056"/>
    <w:styleLink w:val="Estiloimportado92"/>
    <w:lvl w:ilvl="0" w:tplc="DE305630">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FC70F47C">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CE368BF2">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61268616">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6A689290">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29DC36C4">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446AF6C0">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AF02703A">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FF2E4676">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2AC04080"/>
    <w:multiLevelType w:val="hybridMultilevel"/>
    <w:tmpl w:val="75305502"/>
    <w:styleLink w:val="Estiloimportado142"/>
    <w:lvl w:ilvl="0" w:tplc="97BA4EC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1E0C03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87AAFA84">
      <w:start w:val="1"/>
      <w:numFmt w:val="upperRoman"/>
      <w:lvlText w:val="%3."/>
      <w:lvlJc w:val="left"/>
      <w:pPr>
        <w:ind w:left="2700" w:hanging="720"/>
      </w:pPr>
      <w:rPr>
        <w:rFonts w:hAnsi="Arial Unicode MS"/>
        <w:caps w:val="0"/>
        <w:smallCaps w:val="0"/>
        <w:strike w:val="0"/>
        <w:dstrike w:val="0"/>
        <w:color w:val="000000"/>
        <w:spacing w:val="0"/>
        <w:w w:val="100"/>
        <w:kern w:val="0"/>
        <w:position w:val="0"/>
        <w:highlight w:val="none"/>
        <w:vertAlign w:val="baseline"/>
      </w:rPr>
    </w:lvl>
    <w:lvl w:ilvl="3" w:tplc="2900642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3350CD56">
      <w:start w:val="1"/>
      <w:numFmt w:val="decimal"/>
      <w:lvlText w:val="%5."/>
      <w:lvlJc w:val="left"/>
      <w:pPr>
        <w:ind w:left="3600" w:hanging="317"/>
      </w:pPr>
      <w:rPr>
        <w:rFonts w:hAnsi="Arial Unicode MS"/>
        <w:caps w:val="0"/>
        <w:smallCaps w:val="0"/>
        <w:strike w:val="0"/>
        <w:dstrike w:val="0"/>
        <w:color w:val="000000"/>
        <w:spacing w:val="0"/>
        <w:w w:val="100"/>
        <w:kern w:val="0"/>
        <w:position w:val="0"/>
        <w:highlight w:val="none"/>
        <w:vertAlign w:val="baseline"/>
      </w:rPr>
    </w:lvl>
    <w:lvl w:ilvl="5" w:tplc="D77C69B6">
      <w:start w:val="1"/>
      <w:numFmt w:val="lowerRoman"/>
      <w:lvlText w:val="%6."/>
      <w:lvlJc w:val="left"/>
      <w:pPr>
        <w:ind w:left="4320" w:hanging="275"/>
      </w:pPr>
      <w:rPr>
        <w:rFonts w:hAnsi="Arial Unicode MS"/>
        <w:caps w:val="0"/>
        <w:smallCaps w:val="0"/>
        <w:strike w:val="0"/>
        <w:dstrike w:val="0"/>
        <w:color w:val="000000"/>
        <w:spacing w:val="0"/>
        <w:w w:val="100"/>
        <w:kern w:val="0"/>
        <w:position w:val="0"/>
        <w:highlight w:val="none"/>
        <w:vertAlign w:val="baseline"/>
      </w:rPr>
    </w:lvl>
    <w:lvl w:ilvl="6" w:tplc="C540AE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546CCA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96CA377A">
      <w:start w:val="1"/>
      <w:numFmt w:val="lowerRoman"/>
      <w:lvlText w:val="%9."/>
      <w:lvlJc w:val="left"/>
      <w:pPr>
        <w:ind w:left="6480" w:hanging="275"/>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2B4B1045"/>
    <w:multiLevelType w:val="hybridMultilevel"/>
    <w:tmpl w:val="BACA5816"/>
    <w:styleLink w:val="Estiloimportado202"/>
    <w:lvl w:ilvl="0" w:tplc="DE88ACAC">
      <w:start w:val="1"/>
      <w:numFmt w:val="bullet"/>
      <w:lvlText w:val="•"/>
      <w:lvlJc w:val="left"/>
      <w:pPr>
        <w:tabs>
          <w:tab w:val="left" w:pos="142"/>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912EF12">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B7834EC">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EB06C1E">
      <w:start w:val="1"/>
      <w:numFmt w:val="bullet"/>
      <w:lvlText w:val="•"/>
      <w:lvlJc w:val="left"/>
      <w:pPr>
        <w:tabs>
          <w:tab w:val="left" w:pos="142"/>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B4ECD5C">
      <w:start w:val="1"/>
      <w:numFmt w:val="bullet"/>
      <w:lvlText w:val="o"/>
      <w:lvlJc w:val="left"/>
      <w:pPr>
        <w:tabs>
          <w:tab w:val="left" w:pos="142"/>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012EC88">
      <w:start w:val="1"/>
      <w:numFmt w:val="bullet"/>
      <w:lvlText w:val="▪"/>
      <w:lvlJc w:val="left"/>
      <w:pPr>
        <w:tabs>
          <w:tab w:val="left" w:pos="142"/>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50377A">
      <w:start w:val="1"/>
      <w:numFmt w:val="bullet"/>
      <w:lvlText w:val="•"/>
      <w:lvlJc w:val="left"/>
      <w:pPr>
        <w:tabs>
          <w:tab w:val="left" w:pos="142"/>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5C9FC6">
      <w:start w:val="1"/>
      <w:numFmt w:val="bullet"/>
      <w:lvlText w:val="o"/>
      <w:lvlJc w:val="left"/>
      <w:pPr>
        <w:tabs>
          <w:tab w:val="left" w:pos="142"/>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80E6340">
      <w:start w:val="1"/>
      <w:numFmt w:val="bullet"/>
      <w:lvlText w:val="▪"/>
      <w:lvlJc w:val="left"/>
      <w:pPr>
        <w:tabs>
          <w:tab w:val="left" w:pos="142"/>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307E07A9"/>
    <w:multiLevelType w:val="multilevel"/>
    <w:tmpl w:val="FCB202C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3186556"/>
    <w:multiLevelType w:val="hybridMultilevel"/>
    <w:tmpl w:val="84E00B62"/>
    <w:lvl w:ilvl="0" w:tplc="BD9E106C">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33D53DAD"/>
    <w:multiLevelType w:val="hybridMultilevel"/>
    <w:tmpl w:val="54FA531E"/>
    <w:lvl w:ilvl="0" w:tplc="B03C8EA8">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361040F7"/>
    <w:multiLevelType w:val="multilevel"/>
    <w:tmpl w:val="A3B86BFA"/>
    <w:lvl w:ilvl="0">
      <w:start w:val="1"/>
      <w:numFmt w:val="bullet"/>
      <w:lvlText w:val=""/>
      <w:lvlJc w:val="left"/>
      <w:pPr>
        <w:ind w:left="360" w:hanging="360"/>
      </w:pPr>
      <w:rPr>
        <w:rFonts w:ascii="Symbol" w:hAnsi="Symbol" w:hint="default"/>
      </w:rPr>
    </w:lvl>
    <w:lvl w:ilvl="1">
      <w:start w:val="4"/>
      <w:numFmt w:val="decimal"/>
      <w:lvlText w:val="%11.%2."/>
      <w:lvlJc w:val="left"/>
      <w:pPr>
        <w:ind w:left="360" w:hanging="360"/>
      </w:pPr>
    </w:lvl>
    <w:lvl w:ilvl="2">
      <w:start w:val="1"/>
      <w:numFmt w:val="lowerRoman"/>
      <w:lvlText w:val="%1.%2.%3"/>
      <w:lvlJc w:val="left"/>
      <w:pPr>
        <w:ind w:left="1080" w:hanging="108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15:restartNumberingAfterBreak="0">
    <w:nsid w:val="377D04FD"/>
    <w:multiLevelType w:val="hybridMultilevel"/>
    <w:tmpl w:val="FA6E0F78"/>
    <w:styleLink w:val="Estiloimportado42"/>
    <w:lvl w:ilvl="0" w:tplc="CA8254B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E025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8C2A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7A27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06FA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63405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C8A257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5AA2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836F1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37BD1432"/>
    <w:multiLevelType w:val="hybridMultilevel"/>
    <w:tmpl w:val="F81A85AC"/>
    <w:styleLink w:val="Estiloimportado182"/>
    <w:lvl w:ilvl="0" w:tplc="C14AEE1A">
      <w:start w:val="1"/>
      <w:numFmt w:val="bullet"/>
      <w:lvlText w:val="•"/>
      <w:lvlJc w:val="left"/>
      <w:pPr>
        <w:tabs>
          <w:tab w:val="left" w:pos="142"/>
          <w:tab w:val="num" w:pos="709"/>
          <w:tab w:val="left" w:pos="993"/>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E9C6F5FA">
      <w:start w:val="1"/>
      <w:numFmt w:val="bullet"/>
      <w:lvlText w:val="o"/>
      <w:lvlJc w:val="left"/>
      <w:pPr>
        <w:tabs>
          <w:tab w:val="left" w:pos="142"/>
          <w:tab w:val="left" w:pos="709"/>
          <w:tab w:val="left" w:pos="993"/>
          <w:tab w:val="num" w:pos="1440"/>
        </w:tabs>
        <w:ind w:left="145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30824CC0">
      <w:start w:val="1"/>
      <w:numFmt w:val="bullet"/>
      <w:lvlText w:val="▪"/>
      <w:lvlJc w:val="left"/>
      <w:pPr>
        <w:tabs>
          <w:tab w:val="left" w:pos="142"/>
          <w:tab w:val="left" w:pos="709"/>
          <w:tab w:val="left" w:pos="993"/>
          <w:tab w:val="num" w:pos="2160"/>
        </w:tabs>
        <w:ind w:left="217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DAF0E732">
      <w:start w:val="1"/>
      <w:numFmt w:val="bullet"/>
      <w:lvlText w:val="•"/>
      <w:lvlJc w:val="left"/>
      <w:pPr>
        <w:tabs>
          <w:tab w:val="left" w:pos="142"/>
          <w:tab w:val="left" w:pos="709"/>
          <w:tab w:val="left" w:pos="993"/>
          <w:tab w:val="num" w:pos="2880"/>
        </w:tabs>
        <w:ind w:left="289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2A068A8E">
      <w:start w:val="1"/>
      <w:numFmt w:val="bullet"/>
      <w:lvlText w:val="o"/>
      <w:lvlJc w:val="left"/>
      <w:pPr>
        <w:tabs>
          <w:tab w:val="left" w:pos="142"/>
          <w:tab w:val="left" w:pos="709"/>
          <w:tab w:val="left" w:pos="993"/>
          <w:tab w:val="num" w:pos="3600"/>
        </w:tabs>
        <w:ind w:left="361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FCD65E14">
      <w:start w:val="1"/>
      <w:numFmt w:val="bullet"/>
      <w:lvlText w:val="▪"/>
      <w:lvlJc w:val="left"/>
      <w:pPr>
        <w:tabs>
          <w:tab w:val="left" w:pos="142"/>
          <w:tab w:val="left" w:pos="709"/>
          <w:tab w:val="left" w:pos="993"/>
          <w:tab w:val="num" w:pos="4320"/>
        </w:tabs>
        <w:ind w:left="433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88523B90">
      <w:start w:val="1"/>
      <w:numFmt w:val="bullet"/>
      <w:lvlText w:val="•"/>
      <w:lvlJc w:val="left"/>
      <w:pPr>
        <w:tabs>
          <w:tab w:val="left" w:pos="142"/>
          <w:tab w:val="left" w:pos="709"/>
          <w:tab w:val="left" w:pos="993"/>
          <w:tab w:val="num" w:pos="5040"/>
        </w:tabs>
        <w:ind w:left="505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8E12B250">
      <w:start w:val="1"/>
      <w:numFmt w:val="bullet"/>
      <w:lvlText w:val="o"/>
      <w:lvlJc w:val="left"/>
      <w:pPr>
        <w:tabs>
          <w:tab w:val="left" w:pos="142"/>
          <w:tab w:val="left" w:pos="709"/>
          <w:tab w:val="left" w:pos="993"/>
          <w:tab w:val="num" w:pos="5760"/>
        </w:tabs>
        <w:ind w:left="577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2EE0D6F8">
      <w:start w:val="1"/>
      <w:numFmt w:val="bullet"/>
      <w:lvlText w:val="▪"/>
      <w:lvlJc w:val="left"/>
      <w:pPr>
        <w:tabs>
          <w:tab w:val="left" w:pos="142"/>
          <w:tab w:val="left" w:pos="709"/>
          <w:tab w:val="left" w:pos="993"/>
          <w:tab w:val="num" w:pos="6480"/>
        </w:tabs>
        <w:ind w:left="649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3975065B"/>
    <w:multiLevelType w:val="hybridMultilevel"/>
    <w:tmpl w:val="1B6C4238"/>
    <w:styleLink w:val="Estiloimportado152"/>
    <w:lvl w:ilvl="0" w:tplc="D0F4B92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4E2045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7AE88BF6">
      <w:start w:val="1"/>
      <w:numFmt w:val="lowerRoman"/>
      <w:lvlText w:val="%3."/>
      <w:lvlJc w:val="left"/>
      <w:pPr>
        <w:ind w:left="2160" w:hanging="275"/>
      </w:pPr>
      <w:rPr>
        <w:rFonts w:hAnsi="Arial Unicode MS"/>
        <w:caps w:val="0"/>
        <w:smallCaps w:val="0"/>
        <w:strike w:val="0"/>
        <w:dstrike w:val="0"/>
        <w:color w:val="000000"/>
        <w:spacing w:val="0"/>
        <w:w w:val="100"/>
        <w:kern w:val="0"/>
        <w:position w:val="0"/>
        <w:highlight w:val="none"/>
        <w:vertAlign w:val="baseline"/>
      </w:rPr>
    </w:lvl>
    <w:lvl w:ilvl="3" w:tplc="E19A4BE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9F94919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8DF2F004">
      <w:start w:val="1"/>
      <w:numFmt w:val="lowerRoman"/>
      <w:lvlText w:val="%6."/>
      <w:lvlJc w:val="left"/>
      <w:pPr>
        <w:ind w:left="4320" w:hanging="275"/>
      </w:pPr>
      <w:rPr>
        <w:rFonts w:hAnsi="Arial Unicode MS"/>
        <w:caps w:val="0"/>
        <w:smallCaps w:val="0"/>
        <w:strike w:val="0"/>
        <w:dstrike w:val="0"/>
        <w:color w:val="000000"/>
        <w:spacing w:val="0"/>
        <w:w w:val="100"/>
        <w:kern w:val="0"/>
        <w:position w:val="0"/>
        <w:highlight w:val="none"/>
        <w:vertAlign w:val="baseline"/>
      </w:rPr>
    </w:lvl>
    <w:lvl w:ilvl="6" w:tplc="90A0B25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4EA6C8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7EAE4322">
      <w:start w:val="1"/>
      <w:numFmt w:val="lowerRoman"/>
      <w:lvlText w:val="%9."/>
      <w:lvlJc w:val="left"/>
      <w:pPr>
        <w:ind w:left="6480" w:hanging="275"/>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397B5C03"/>
    <w:multiLevelType w:val="hybridMultilevel"/>
    <w:tmpl w:val="6262BD28"/>
    <w:styleLink w:val="Estiloimportado132"/>
    <w:lvl w:ilvl="0" w:tplc="494A32CA">
      <w:start w:val="1"/>
      <w:numFmt w:val="bullet"/>
      <w:lvlText w:val="✓"/>
      <w:lvlJc w:val="left"/>
      <w:pPr>
        <w:ind w:left="77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31A24A4">
      <w:start w:val="1"/>
      <w:numFmt w:val="bullet"/>
      <w:lvlText w:val="o"/>
      <w:lvlJc w:val="left"/>
      <w:pPr>
        <w:ind w:left="149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FC6F7FE">
      <w:start w:val="1"/>
      <w:numFmt w:val="bullet"/>
      <w:lvlText w:val="▪"/>
      <w:lvlJc w:val="left"/>
      <w:pPr>
        <w:ind w:left="22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0941BEA">
      <w:start w:val="1"/>
      <w:numFmt w:val="bullet"/>
      <w:lvlText w:val="•"/>
      <w:lvlJc w:val="left"/>
      <w:pPr>
        <w:ind w:left="293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53023F8">
      <w:start w:val="1"/>
      <w:numFmt w:val="bullet"/>
      <w:lvlText w:val="o"/>
      <w:lvlJc w:val="left"/>
      <w:pPr>
        <w:ind w:left="365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39649F6">
      <w:start w:val="1"/>
      <w:numFmt w:val="bullet"/>
      <w:lvlText w:val="▪"/>
      <w:lvlJc w:val="left"/>
      <w:pPr>
        <w:ind w:left="437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12137A">
      <w:start w:val="1"/>
      <w:numFmt w:val="bullet"/>
      <w:lvlText w:val="•"/>
      <w:lvlJc w:val="left"/>
      <w:pPr>
        <w:ind w:left="509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36A3242">
      <w:start w:val="1"/>
      <w:numFmt w:val="bullet"/>
      <w:lvlText w:val="o"/>
      <w:lvlJc w:val="left"/>
      <w:pPr>
        <w:ind w:left="58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8AF77C">
      <w:start w:val="1"/>
      <w:numFmt w:val="bullet"/>
      <w:lvlText w:val="▪"/>
      <w:lvlJc w:val="left"/>
      <w:pPr>
        <w:ind w:left="653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39F406B4"/>
    <w:multiLevelType w:val="hybridMultilevel"/>
    <w:tmpl w:val="8A7069DA"/>
    <w:styleLink w:val="Estiloimportado19"/>
    <w:lvl w:ilvl="0" w:tplc="55D09E04">
      <w:start w:val="1"/>
      <w:numFmt w:val="bullet"/>
      <w:lvlText w:val="-"/>
      <w:lvlJc w:val="left"/>
      <w:pPr>
        <w:ind w:left="72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1" w:tplc="9F3AE758">
      <w:start w:val="1"/>
      <w:numFmt w:val="bullet"/>
      <w:lvlText w:val="o"/>
      <w:lvlJc w:val="left"/>
      <w:pPr>
        <w:ind w:left="144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2" w:tplc="AB22DA44">
      <w:start w:val="1"/>
      <w:numFmt w:val="bullet"/>
      <w:lvlText w:val="▪"/>
      <w:lvlJc w:val="left"/>
      <w:pPr>
        <w:ind w:left="216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3" w:tplc="038A255A">
      <w:start w:val="1"/>
      <w:numFmt w:val="bullet"/>
      <w:lvlText w:val="•"/>
      <w:lvlJc w:val="left"/>
      <w:pPr>
        <w:ind w:left="288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4" w:tplc="5CCA336E">
      <w:start w:val="1"/>
      <w:numFmt w:val="bullet"/>
      <w:lvlText w:val="o"/>
      <w:lvlJc w:val="left"/>
      <w:pPr>
        <w:ind w:left="360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5" w:tplc="8480C342">
      <w:start w:val="1"/>
      <w:numFmt w:val="bullet"/>
      <w:lvlText w:val="▪"/>
      <w:lvlJc w:val="left"/>
      <w:pPr>
        <w:ind w:left="432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6" w:tplc="3E0019A6">
      <w:start w:val="1"/>
      <w:numFmt w:val="bullet"/>
      <w:lvlText w:val="•"/>
      <w:lvlJc w:val="left"/>
      <w:pPr>
        <w:ind w:left="504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7" w:tplc="33BC2198">
      <w:start w:val="1"/>
      <w:numFmt w:val="bullet"/>
      <w:lvlText w:val="o"/>
      <w:lvlJc w:val="left"/>
      <w:pPr>
        <w:ind w:left="576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8" w:tplc="424016C8">
      <w:start w:val="1"/>
      <w:numFmt w:val="bullet"/>
      <w:lvlText w:val="▪"/>
      <w:lvlJc w:val="left"/>
      <w:pPr>
        <w:ind w:left="648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3B3A4E2E"/>
    <w:multiLevelType w:val="hybridMultilevel"/>
    <w:tmpl w:val="43347B38"/>
    <w:lvl w:ilvl="0" w:tplc="3A7AC8C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3C48572A"/>
    <w:multiLevelType w:val="hybridMultilevel"/>
    <w:tmpl w:val="7062D0EE"/>
    <w:styleLink w:val="Estiloimportado192"/>
    <w:lvl w:ilvl="0" w:tplc="D400ABAA">
      <w:start w:val="1"/>
      <w:numFmt w:val="bullet"/>
      <w:lvlText w:val="•"/>
      <w:lvlJc w:val="left"/>
      <w:pPr>
        <w:tabs>
          <w:tab w:val="left" w:pos="142"/>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8D2F718">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F4CED26">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C1C0B06">
      <w:start w:val="1"/>
      <w:numFmt w:val="bullet"/>
      <w:lvlText w:val="•"/>
      <w:lvlJc w:val="left"/>
      <w:pPr>
        <w:tabs>
          <w:tab w:val="left" w:pos="142"/>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A3E9E8E">
      <w:start w:val="1"/>
      <w:numFmt w:val="bullet"/>
      <w:lvlText w:val="o"/>
      <w:lvlJc w:val="left"/>
      <w:pPr>
        <w:tabs>
          <w:tab w:val="left" w:pos="142"/>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B2C9E8A">
      <w:start w:val="1"/>
      <w:numFmt w:val="bullet"/>
      <w:lvlText w:val="▪"/>
      <w:lvlJc w:val="left"/>
      <w:pPr>
        <w:tabs>
          <w:tab w:val="left" w:pos="142"/>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858DBD8">
      <w:start w:val="1"/>
      <w:numFmt w:val="bullet"/>
      <w:lvlText w:val="•"/>
      <w:lvlJc w:val="left"/>
      <w:pPr>
        <w:tabs>
          <w:tab w:val="left" w:pos="142"/>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142C578">
      <w:start w:val="1"/>
      <w:numFmt w:val="bullet"/>
      <w:lvlText w:val="o"/>
      <w:lvlJc w:val="left"/>
      <w:pPr>
        <w:tabs>
          <w:tab w:val="left" w:pos="142"/>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221706">
      <w:start w:val="1"/>
      <w:numFmt w:val="bullet"/>
      <w:lvlText w:val="▪"/>
      <w:lvlJc w:val="left"/>
      <w:pPr>
        <w:tabs>
          <w:tab w:val="left" w:pos="142"/>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3CE447C4"/>
    <w:multiLevelType w:val="hybridMultilevel"/>
    <w:tmpl w:val="D4F0AABC"/>
    <w:lvl w:ilvl="0" w:tplc="2C0A0019">
      <w:start w:val="1"/>
      <w:numFmt w:val="lowerLetter"/>
      <w:lvlText w:val="%1."/>
      <w:lvlJc w:val="left"/>
      <w:pPr>
        <w:ind w:left="1506" w:hanging="360"/>
      </w:pPr>
    </w:lvl>
    <w:lvl w:ilvl="1" w:tplc="2C0A0019" w:tentative="1">
      <w:start w:val="1"/>
      <w:numFmt w:val="lowerLetter"/>
      <w:lvlText w:val="%2."/>
      <w:lvlJc w:val="left"/>
      <w:pPr>
        <w:ind w:left="2226" w:hanging="360"/>
      </w:pPr>
    </w:lvl>
    <w:lvl w:ilvl="2" w:tplc="2C0A001B" w:tentative="1">
      <w:start w:val="1"/>
      <w:numFmt w:val="lowerRoman"/>
      <w:lvlText w:val="%3."/>
      <w:lvlJc w:val="right"/>
      <w:pPr>
        <w:ind w:left="2946" w:hanging="180"/>
      </w:pPr>
    </w:lvl>
    <w:lvl w:ilvl="3" w:tplc="2C0A000F" w:tentative="1">
      <w:start w:val="1"/>
      <w:numFmt w:val="decimal"/>
      <w:lvlText w:val="%4."/>
      <w:lvlJc w:val="left"/>
      <w:pPr>
        <w:ind w:left="3666" w:hanging="360"/>
      </w:pPr>
    </w:lvl>
    <w:lvl w:ilvl="4" w:tplc="2C0A0019" w:tentative="1">
      <w:start w:val="1"/>
      <w:numFmt w:val="lowerLetter"/>
      <w:lvlText w:val="%5."/>
      <w:lvlJc w:val="left"/>
      <w:pPr>
        <w:ind w:left="4386" w:hanging="360"/>
      </w:pPr>
    </w:lvl>
    <w:lvl w:ilvl="5" w:tplc="2C0A001B" w:tentative="1">
      <w:start w:val="1"/>
      <w:numFmt w:val="lowerRoman"/>
      <w:lvlText w:val="%6."/>
      <w:lvlJc w:val="right"/>
      <w:pPr>
        <w:ind w:left="5106" w:hanging="180"/>
      </w:pPr>
    </w:lvl>
    <w:lvl w:ilvl="6" w:tplc="2C0A000F" w:tentative="1">
      <w:start w:val="1"/>
      <w:numFmt w:val="decimal"/>
      <w:lvlText w:val="%7."/>
      <w:lvlJc w:val="left"/>
      <w:pPr>
        <w:ind w:left="5826" w:hanging="360"/>
      </w:pPr>
    </w:lvl>
    <w:lvl w:ilvl="7" w:tplc="2C0A0019" w:tentative="1">
      <w:start w:val="1"/>
      <w:numFmt w:val="lowerLetter"/>
      <w:lvlText w:val="%8."/>
      <w:lvlJc w:val="left"/>
      <w:pPr>
        <w:ind w:left="6546" w:hanging="360"/>
      </w:pPr>
    </w:lvl>
    <w:lvl w:ilvl="8" w:tplc="2C0A001B" w:tentative="1">
      <w:start w:val="1"/>
      <w:numFmt w:val="lowerRoman"/>
      <w:lvlText w:val="%9."/>
      <w:lvlJc w:val="right"/>
      <w:pPr>
        <w:ind w:left="7266" w:hanging="180"/>
      </w:pPr>
    </w:lvl>
  </w:abstractNum>
  <w:abstractNum w:abstractNumId="48" w15:restartNumberingAfterBreak="0">
    <w:nsid w:val="3E864EAE"/>
    <w:multiLevelType w:val="hybridMultilevel"/>
    <w:tmpl w:val="BB58B964"/>
    <w:lvl w:ilvl="0" w:tplc="2C0A0017">
      <w:start w:val="1"/>
      <w:numFmt w:val="lowerLetter"/>
      <w:lvlText w:val="%1)"/>
      <w:lvlJc w:val="left"/>
      <w:pPr>
        <w:ind w:left="720" w:hanging="360"/>
      </w:pPr>
      <w:rPr>
        <w:rFonts w:hint="default"/>
      </w:rPr>
    </w:lvl>
    <w:lvl w:ilvl="1" w:tplc="943EA56E">
      <w:start w:val="1"/>
      <w:numFmt w:val="lowerRoman"/>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15:restartNumberingAfterBreak="0">
    <w:nsid w:val="3EA74297"/>
    <w:multiLevelType w:val="hybridMultilevel"/>
    <w:tmpl w:val="BE984B0C"/>
    <w:lvl w:ilvl="0" w:tplc="9B0EE01C">
      <w:start w:val="1"/>
      <w:numFmt w:val="decimal"/>
      <w:lvlText w:val="(%1)"/>
      <w:lvlJc w:val="left"/>
      <w:pPr>
        <w:ind w:left="720" w:hanging="360"/>
      </w:pPr>
      <w:rPr>
        <w:rFonts w:hint="default"/>
        <w:sz w:val="20"/>
        <w:szCs w:val="20"/>
        <w:vertAlign w:val="superscrip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43AE2444"/>
    <w:multiLevelType w:val="multilevel"/>
    <w:tmpl w:val="025A93D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3E15E36"/>
    <w:multiLevelType w:val="hybridMultilevel"/>
    <w:tmpl w:val="C63A2C40"/>
    <w:lvl w:ilvl="0" w:tplc="E6003FFA">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2" w15:restartNumberingAfterBreak="0">
    <w:nsid w:val="463A5FF3"/>
    <w:multiLevelType w:val="hybridMultilevel"/>
    <w:tmpl w:val="8230F9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49365D26"/>
    <w:multiLevelType w:val="hybridMultilevel"/>
    <w:tmpl w:val="AC3AE36A"/>
    <w:styleLink w:val="Estiloimportado162"/>
    <w:lvl w:ilvl="0" w:tplc="E460C2BA">
      <w:start w:val="1"/>
      <w:numFmt w:val="bullet"/>
      <w:lvlText w:val="•"/>
      <w:lvlJc w:val="left"/>
      <w:pPr>
        <w:tabs>
          <w:tab w:val="left" w:pos="142"/>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E804E0">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1B6CB54">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AA3D28">
      <w:start w:val="1"/>
      <w:numFmt w:val="bullet"/>
      <w:lvlText w:val="✓"/>
      <w:lvlJc w:val="left"/>
      <w:pPr>
        <w:tabs>
          <w:tab w:val="left" w:pos="142"/>
        </w:tabs>
        <w:ind w:left="170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4D0BBEC">
      <w:start w:val="1"/>
      <w:numFmt w:val="bullet"/>
      <w:lvlText w:val="o"/>
      <w:lvlJc w:val="left"/>
      <w:pPr>
        <w:tabs>
          <w:tab w:val="left" w:pos="142"/>
        </w:tabs>
        <w:ind w:left="242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EB6CE60">
      <w:start w:val="1"/>
      <w:numFmt w:val="bullet"/>
      <w:lvlText w:val="▪"/>
      <w:lvlJc w:val="left"/>
      <w:pPr>
        <w:tabs>
          <w:tab w:val="left" w:pos="142"/>
        </w:tabs>
        <w:ind w:left="314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4E02F70">
      <w:start w:val="1"/>
      <w:numFmt w:val="bullet"/>
      <w:lvlText w:val="•"/>
      <w:lvlJc w:val="left"/>
      <w:pPr>
        <w:tabs>
          <w:tab w:val="left" w:pos="142"/>
        </w:tabs>
        <w:ind w:left="386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2B48AD02">
      <w:start w:val="1"/>
      <w:numFmt w:val="bullet"/>
      <w:lvlText w:val="o"/>
      <w:lvlJc w:val="left"/>
      <w:pPr>
        <w:tabs>
          <w:tab w:val="left" w:pos="142"/>
        </w:tabs>
        <w:ind w:left="458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C280298">
      <w:start w:val="1"/>
      <w:numFmt w:val="bullet"/>
      <w:lvlText w:val="▪"/>
      <w:lvlJc w:val="left"/>
      <w:pPr>
        <w:tabs>
          <w:tab w:val="left" w:pos="142"/>
        </w:tabs>
        <w:ind w:left="530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15:restartNumberingAfterBreak="0">
    <w:nsid w:val="4D1C5EDF"/>
    <w:multiLevelType w:val="hybridMultilevel"/>
    <w:tmpl w:val="8DDA4CA2"/>
    <w:lvl w:ilvl="0" w:tplc="E8E086D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4F6A5CEE"/>
    <w:multiLevelType w:val="hybridMultilevel"/>
    <w:tmpl w:val="9B988694"/>
    <w:lvl w:ilvl="0" w:tplc="2C0A0019">
      <w:start w:val="1"/>
      <w:numFmt w:val="bullet"/>
      <w:lvlText w:val="-"/>
      <w:lvlJc w:val="left"/>
      <w:pPr>
        <w:ind w:left="720" w:hanging="360"/>
      </w:p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6" w15:restartNumberingAfterBreak="0">
    <w:nsid w:val="5028589A"/>
    <w:multiLevelType w:val="hybridMultilevel"/>
    <w:tmpl w:val="6A66442C"/>
    <w:lvl w:ilvl="0" w:tplc="AB6AB1FC">
      <w:start w:val="6"/>
      <w:numFmt w:val="decimal"/>
      <w:lvlText w:val="%1."/>
      <w:lvlJc w:val="left"/>
      <w:pPr>
        <w:ind w:left="644" w:hanging="360"/>
      </w:pPr>
      <w:rPr>
        <w:rFonts w:hint="default"/>
        <w:i w:val="0"/>
        <w:u w:val="none"/>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57" w15:restartNumberingAfterBreak="0">
    <w:nsid w:val="55624B15"/>
    <w:multiLevelType w:val="hybridMultilevel"/>
    <w:tmpl w:val="509CDAB0"/>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58" w15:restartNumberingAfterBreak="0">
    <w:nsid w:val="565D015A"/>
    <w:multiLevelType w:val="hybridMultilevel"/>
    <w:tmpl w:val="A1583442"/>
    <w:lvl w:ilvl="0" w:tplc="DE145D8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5A4601AF"/>
    <w:multiLevelType w:val="hybridMultilevel"/>
    <w:tmpl w:val="8656F220"/>
    <w:styleLink w:val="Estiloimportado52"/>
    <w:lvl w:ilvl="0" w:tplc="51CA3D5C">
      <w:start w:val="1"/>
      <w:numFmt w:val="bullet"/>
      <w:lvlText w:val="•"/>
      <w:lvlJc w:val="left"/>
      <w:pPr>
        <w:ind w:left="64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5F85F40">
      <w:start w:val="1"/>
      <w:numFmt w:val="bullet"/>
      <w:lvlText w:val="o"/>
      <w:lvlJc w:val="left"/>
      <w:pPr>
        <w:ind w:left="136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EA2E36">
      <w:start w:val="1"/>
      <w:numFmt w:val="bullet"/>
      <w:lvlText w:val="▪"/>
      <w:lvlJc w:val="left"/>
      <w:pPr>
        <w:ind w:left="208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4364B52">
      <w:start w:val="1"/>
      <w:numFmt w:val="bullet"/>
      <w:lvlText w:val="•"/>
      <w:lvlJc w:val="left"/>
      <w:pPr>
        <w:ind w:left="280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AE679EE">
      <w:start w:val="1"/>
      <w:numFmt w:val="bullet"/>
      <w:lvlText w:val="o"/>
      <w:lvlJc w:val="left"/>
      <w:pPr>
        <w:ind w:left="352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78EA50">
      <w:start w:val="1"/>
      <w:numFmt w:val="bullet"/>
      <w:lvlText w:val="▪"/>
      <w:lvlJc w:val="left"/>
      <w:pPr>
        <w:ind w:left="424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77CAFCE">
      <w:start w:val="1"/>
      <w:numFmt w:val="bullet"/>
      <w:lvlText w:val="•"/>
      <w:lvlJc w:val="left"/>
      <w:pPr>
        <w:ind w:left="496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60643A">
      <w:start w:val="1"/>
      <w:numFmt w:val="bullet"/>
      <w:lvlText w:val="o"/>
      <w:lvlJc w:val="left"/>
      <w:pPr>
        <w:ind w:left="568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82CA1A">
      <w:start w:val="1"/>
      <w:numFmt w:val="bullet"/>
      <w:lvlText w:val="▪"/>
      <w:lvlJc w:val="left"/>
      <w:pPr>
        <w:ind w:left="640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5D182964"/>
    <w:multiLevelType w:val="hybridMultilevel"/>
    <w:tmpl w:val="E82429FE"/>
    <w:lvl w:ilvl="0" w:tplc="5C0E18EA">
      <w:start w:val="1"/>
      <w:numFmt w:val="lowerRoman"/>
      <w:lvlText w:val="(%1)"/>
      <w:lvlJc w:val="left"/>
      <w:pPr>
        <w:ind w:left="720" w:hanging="360"/>
      </w:pPr>
      <w:rPr>
        <w:rFonts w:ascii="Times New Roman" w:eastAsia="Times New Roman" w:hAnsi="Times New Roman" w:cs="Times New Roman"/>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61" w15:restartNumberingAfterBreak="0">
    <w:nsid w:val="5D1C53C3"/>
    <w:multiLevelType w:val="hybridMultilevel"/>
    <w:tmpl w:val="8C38C52C"/>
    <w:lvl w:ilvl="0" w:tplc="D0CEEB8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 w15:restartNumberingAfterBreak="0">
    <w:nsid w:val="60CF3F28"/>
    <w:multiLevelType w:val="hybridMultilevel"/>
    <w:tmpl w:val="53960978"/>
    <w:styleLink w:val="Estiloimportado2032"/>
    <w:lvl w:ilvl="0" w:tplc="BF443B0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B3423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8E88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02C77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4CAB2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E46CC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85CDAF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08F7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C62F8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622A3F6A"/>
    <w:multiLevelType w:val="hybridMultilevel"/>
    <w:tmpl w:val="490CE87A"/>
    <w:lvl w:ilvl="0" w:tplc="238AE34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622F68BF"/>
    <w:multiLevelType w:val="hybridMultilevel"/>
    <w:tmpl w:val="47842628"/>
    <w:styleLink w:val="Estiloimportado122"/>
    <w:lvl w:ilvl="0" w:tplc="47842628">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321CC0F6">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251877B6">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1986A35C">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717AF8E6">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322AD582">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94064F8E">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7C5C499A">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237CCB60">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65" w15:restartNumberingAfterBreak="0">
    <w:nsid w:val="65693E1C"/>
    <w:multiLevelType w:val="hybridMultilevel"/>
    <w:tmpl w:val="110C5764"/>
    <w:lvl w:ilvl="0" w:tplc="003A1D6C">
      <w:start w:val="1"/>
      <w:numFmt w:val="lowerLetter"/>
      <w:lvlText w:val="%1."/>
      <w:lvlJc w:val="left"/>
      <w:pPr>
        <w:ind w:left="786" w:hanging="360"/>
      </w:pPr>
      <w:rPr>
        <w:rFonts w:hint="default"/>
        <w:b/>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66" w15:restartNumberingAfterBreak="0">
    <w:nsid w:val="675A42CE"/>
    <w:multiLevelType w:val="hybridMultilevel"/>
    <w:tmpl w:val="8ED27E9A"/>
    <w:lvl w:ilvl="0" w:tplc="FFFFFFFF">
      <w:start w:val="7"/>
      <w:numFmt w:val="bullet"/>
      <w:pStyle w:val="PrimerNivel"/>
      <w:lvlText w:val="-"/>
      <w:lvlJc w:val="left"/>
      <w:pPr>
        <w:ind w:left="2520" w:hanging="360"/>
      </w:pPr>
      <w:rPr>
        <w:rFonts w:ascii="Calibri" w:eastAsia="Calibri" w:hAnsi="Calibri" w:cs="Calibri"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7" w15:restartNumberingAfterBreak="0">
    <w:nsid w:val="68EE3026"/>
    <w:multiLevelType w:val="hybridMultilevel"/>
    <w:tmpl w:val="B7107386"/>
    <w:styleLink w:val="Estiloimportado72"/>
    <w:lvl w:ilvl="0" w:tplc="4E4290FA">
      <w:start w:val="1"/>
      <w:numFmt w:val="lowerLetter"/>
      <w:lvlText w:val="%1."/>
      <w:lvlJc w:val="left"/>
      <w:pPr>
        <w:ind w:left="1418" w:hanging="284"/>
      </w:pPr>
      <w:rPr>
        <w:rFonts w:hAnsi="Arial Unicode MS"/>
        <w:caps w:val="0"/>
        <w:smallCaps w:val="0"/>
        <w:strike w:val="0"/>
        <w:dstrike w:val="0"/>
        <w:color w:val="000000"/>
        <w:spacing w:val="0"/>
        <w:w w:val="100"/>
        <w:kern w:val="0"/>
        <w:position w:val="0"/>
        <w:highlight w:val="none"/>
        <w:vertAlign w:val="baseline"/>
      </w:rPr>
    </w:lvl>
    <w:lvl w:ilvl="1" w:tplc="587057AA">
      <w:start w:val="1"/>
      <w:numFmt w:val="lowerLetter"/>
      <w:lvlText w:val="%2."/>
      <w:lvlJc w:val="left"/>
      <w:pPr>
        <w:ind w:left="286" w:hanging="284"/>
      </w:pPr>
      <w:rPr>
        <w:rFonts w:hAnsi="Arial Unicode MS"/>
        <w:caps w:val="0"/>
        <w:smallCaps w:val="0"/>
        <w:strike w:val="0"/>
        <w:dstrike w:val="0"/>
        <w:color w:val="000000"/>
        <w:spacing w:val="0"/>
        <w:w w:val="100"/>
        <w:kern w:val="0"/>
        <w:position w:val="0"/>
        <w:highlight w:val="none"/>
        <w:vertAlign w:val="baseline"/>
      </w:rPr>
    </w:lvl>
    <w:lvl w:ilvl="2" w:tplc="A11E7B4C">
      <w:start w:val="1"/>
      <w:numFmt w:val="lowerRoman"/>
      <w:lvlText w:val="%3."/>
      <w:lvlJc w:val="left"/>
      <w:pPr>
        <w:ind w:left="1006" w:hanging="199"/>
      </w:pPr>
      <w:rPr>
        <w:rFonts w:hAnsi="Arial Unicode MS"/>
        <w:caps w:val="0"/>
        <w:smallCaps w:val="0"/>
        <w:strike w:val="0"/>
        <w:dstrike w:val="0"/>
        <w:color w:val="000000"/>
        <w:spacing w:val="0"/>
        <w:w w:val="100"/>
        <w:kern w:val="0"/>
        <w:position w:val="0"/>
        <w:highlight w:val="none"/>
        <w:vertAlign w:val="baseline"/>
      </w:rPr>
    </w:lvl>
    <w:lvl w:ilvl="3" w:tplc="9566EAEC">
      <w:start w:val="1"/>
      <w:numFmt w:val="decimal"/>
      <w:lvlText w:val="%4."/>
      <w:lvlJc w:val="left"/>
      <w:pPr>
        <w:ind w:left="1726" w:hanging="284"/>
      </w:pPr>
      <w:rPr>
        <w:rFonts w:hAnsi="Arial Unicode MS"/>
        <w:caps w:val="0"/>
        <w:smallCaps w:val="0"/>
        <w:strike w:val="0"/>
        <w:dstrike w:val="0"/>
        <w:color w:val="000000"/>
        <w:spacing w:val="0"/>
        <w:w w:val="100"/>
        <w:kern w:val="0"/>
        <w:position w:val="0"/>
        <w:highlight w:val="none"/>
        <w:vertAlign w:val="baseline"/>
      </w:rPr>
    </w:lvl>
    <w:lvl w:ilvl="4" w:tplc="E738DC46">
      <w:start w:val="1"/>
      <w:numFmt w:val="lowerLetter"/>
      <w:lvlText w:val="%5."/>
      <w:lvlJc w:val="left"/>
      <w:pPr>
        <w:ind w:left="2446" w:hanging="284"/>
      </w:pPr>
      <w:rPr>
        <w:rFonts w:hAnsi="Arial Unicode MS"/>
        <w:caps w:val="0"/>
        <w:smallCaps w:val="0"/>
        <w:strike w:val="0"/>
        <w:dstrike w:val="0"/>
        <w:color w:val="000000"/>
        <w:spacing w:val="0"/>
        <w:w w:val="100"/>
        <w:kern w:val="0"/>
        <w:position w:val="0"/>
        <w:highlight w:val="none"/>
        <w:vertAlign w:val="baseline"/>
      </w:rPr>
    </w:lvl>
    <w:lvl w:ilvl="5" w:tplc="FCDC3110">
      <w:start w:val="1"/>
      <w:numFmt w:val="lowerRoman"/>
      <w:lvlText w:val="%6."/>
      <w:lvlJc w:val="left"/>
      <w:pPr>
        <w:ind w:left="3166" w:hanging="199"/>
      </w:pPr>
      <w:rPr>
        <w:rFonts w:hAnsi="Arial Unicode MS"/>
        <w:caps w:val="0"/>
        <w:smallCaps w:val="0"/>
        <w:strike w:val="0"/>
        <w:dstrike w:val="0"/>
        <w:color w:val="000000"/>
        <w:spacing w:val="0"/>
        <w:w w:val="100"/>
        <w:kern w:val="0"/>
        <w:position w:val="0"/>
        <w:highlight w:val="none"/>
        <w:vertAlign w:val="baseline"/>
      </w:rPr>
    </w:lvl>
    <w:lvl w:ilvl="6" w:tplc="8B1295FC">
      <w:start w:val="1"/>
      <w:numFmt w:val="decimal"/>
      <w:lvlText w:val="%7."/>
      <w:lvlJc w:val="left"/>
      <w:pPr>
        <w:ind w:left="3886" w:hanging="284"/>
      </w:pPr>
      <w:rPr>
        <w:rFonts w:hAnsi="Arial Unicode MS"/>
        <w:caps w:val="0"/>
        <w:smallCaps w:val="0"/>
        <w:strike w:val="0"/>
        <w:dstrike w:val="0"/>
        <w:color w:val="000000"/>
        <w:spacing w:val="0"/>
        <w:w w:val="100"/>
        <w:kern w:val="0"/>
        <w:position w:val="0"/>
        <w:highlight w:val="none"/>
        <w:vertAlign w:val="baseline"/>
      </w:rPr>
    </w:lvl>
    <w:lvl w:ilvl="7" w:tplc="55A03BF2">
      <w:start w:val="1"/>
      <w:numFmt w:val="lowerLetter"/>
      <w:lvlText w:val="%8."/>
      <w:lvlJc w:val="left"/>
      <w:pPr>
        <w:ind w:left="4606" w:hanging="284"/>
      </w:pPr>
      <w:rPr>
        <w:rFonts w:hAnsi="Arial Unicode MS"/>
        <w:caps w:val="0"/>
        <w:smallCaps w:val="0"/>
        <w:strike w:val="0"/>
        <w:dstrike w:val="0"/>
        <w:color w:val="000000"/>
        <w:spacing w:val="0"/>
        <w:w w:val="100"/>
        <w:kern w:val="0"/>
        <w:position w:val="0"/>
        <w:highlight w:val="none"/>
        <w:vertAlign w:val="baseline"/>
      </w:rPr>
    </w:lvl>
    <w:lvl w:ilvl="8" w:tplc="3E6ACAAA">
      <w:start w:val="1"/>
      <w:numFmt w:val="lowerRoman"/>
      <w:lvlText w:val="%9."/>
      <w:lvlJc w:val="left"/>
      <w:pPr>
        <w:ind w:left="5326" w:hanging="199"/>
      </w:pPr>
      <w:rPr>
        <w:rFonts w:hAnsi="Arial Unicode MS"/>
        <w:caps w:val="0"/>
        <w:smallCaps w:val="0"/>
        <w:strike w:val="0"/>
        <w:dstrike w:val="0"/>
        <w:color w:val="000000"/>
        <w:spacing w:val="0"/>
        <w:w w:val="100"/>
        <w:kern w:val="0"/>
        <w:position w:val="0"/>
        <w:highlight w:val="none"/>
        <w:vertAlign w:val="baseline"/>
      </w:rPr>
    </w:lvl>
  </w:abstractNum>
  <w:abstractNum w:abstractNumId="68" w15:restartNumberingAfterBreak="0">
    <w:nsid w:val="69791BB2"/>
    <w:multiLevelType w:val="hybridMultilevel"/>
    <w:tmpl w:val="5552BE38"/>
    <w:styleLink w:val="Estiloimportado113"/>
    <w:lvl w:ilvl="0" w:tplc="FCFAAF26">
      <w:start w:val="1"/>
      <w:numFmt w:val="lowerLetter"/>
      <w:lvlText w:val="%1."/>
      <w:lvlJc w:val="left"/>
      <w:pPr>
        <w:ind w:left="1854" w:hanging="360"/>
      </w:pPr>
      <w:rPr>
        <w:rFonts w:hAnsi="Arial Unicode MS"/>
        <w:caps w:val="0"/>
        <w:smallCaps w:val="0"/>
        <w:strike w:val="0"/>
        <w:dstrike w:val="0"/>
        <w:color w:val="000000"/>
        <w:spacing w:val="0"/>
        <w:w w:val="100"/>
        <w:kern w:val="0"/>
        <w:position w:val="0"/>
        <w:highlight w:val="none"/>
        <w:vertAlign w:val="baseline"/>
      </w:rPr>
    </w:lvl>
    <w:lvl w:ilvl="1" w:tplc="F8B037DA">
      <w:start w:val="1"/>
      <w:numFmt w:val="lowerLetter"/>
      <w:lvlText w:val="%2."/>
      <w:lvlJc w:val="left"/>
      <w:pPr>
        <w:ind w:left="2574" w:hanging="360"/>
      </w:pPr>
      <w:rPr>
        <w:rFonts w:hAnsi="Arial Unicode MS"/>
        <w:caps w:val="0"/>
        <w:smallCaps w:val="0"/>
        <w:strike w:val="0"/>
        <w:dstrike w:val="0"/>
        <w:color w:val="000000"/>
        <w:spacing w:val="0"/>
        <w:w w:val="100"/>
        <w:kern w:val="0"/>
        <w:position w:val="0"/>
        <w:highlight w:val="none"/>
        <w:vertAlign w:val="baseline"/>
      </w:rPr>
    </w:lvl>
    <w:lvl w:ilvl="2" w:tplc="2818A1B0">
      <w:start w:val="1"/>
      <w:numFmt w:val="lowerRoman"/>
      <w:lvlText w:val="%3."/>
      <w:lvlJc w:val="left"/>
      <w:pPr>
        <w:ind w:left="3294" w:hanging="275"/>
      </w:pPr>
      <w:rPr>
        <w:rFonts w:hAnsi="Arial Unicode MS"/>
        <w:caps w:val="0"/>
        <w:smallCaps w:val="0"/>
        <w:strike w:val="0"/>
        <w:dstrike w:val="0"/>
        <w:color w:val="000000"/>
        <w:spacing w:val="0"/>
        <w:w w:val="100"/>
        <w:kern w:val="0"/>
        <w:position w:val="0"/>
        <w:highlight w:val="none"/>
        <w:vertAlign w:val="baseline"/>
      </w:rPr>
    </w:lvl>
    <w:lvl w:ilvl="3" w:tplc="521A3A66">
      <w:start w:val="1"/>
      <w:numFmt w:val="decimal"/>
      <w:lvlText w:val="%4."/>
      <w:lvlJc w:val="left"/>
      <w:pPr>
        <w:ind w:left="4014" w:hanging="360"/>
      </w:pPr>
      <w:rPr>
        <w:rFonts w:hAnsi="Arial Unicode MS"/>
        <w:caps w:val="0"/>
        <w:smallCaps w:val="0"/>
        <w:strike w:val="0"/>
        <w:dstrike w:val="0"/>
        <w:color w:val="000000"/>
        <w:spacing w:val="0"/>
        <w:w w:val="100"/>
        <w:kern w:val="0"/>
        <w:position w:val="0"/>
        <w:highlight w:val="none"/>
        <w:vertAlign w:val="baseline"/>
      </w:rPr>
    </w:lvl>
    <w:lvl w:ilvl="4" w:tplc="C8609DD6">
      <w:start w:val="1"/>
      <w:numFmt w:val="lowerLetter"/>
      <w:lvlText w:val="%5."/>
      <w:lvlJc w:val="left"/>
      <w:pPr>
        <w:ind w:left="4734" w:hanging="360"/>
      </w:pPr>
      <w:rPr>
        <w:rFonts w:hAnsi="Arial Unicode MS"/>
        <w:caps w:val="0"/>
        <w:smallCaps w:val="0"/>
        <w:strike w:val="0"/>
        <w:dstrike w:val="0"/>
        <w:color w:val="000000"/>
        <w:spacing w:val="0"/>
        <w:w w:val="100"/>
        <w:kern w:val="0"/>
        <w:position w:val="0"/>
        <w:highlight w:val="none"/>
        <w:vertAlign w:val="baseline"/>
      </w:rPr>
    </w:lvl>
    <w:lvl w:ilvl="5" w:tplc="AC0E1856">
      <w:start w:val="1"/>
      <w:numFmt w:val="lowerRoman"/>
      <w:lvlText w:val="%6."/>
      <w:lvlJc w:val="left"/>
      <w:pPr>
        <w:ind w:left="5454" w:hanging="275"/>
      </w:pPr>
      <w:rPr>
        <w:rFonts w:hAnsi="Arial Unicode MS"/>
        <w:caps w:val="0"/>
        <w:smallCaps w:val="0"/>
        <w:strike w:val="0"/>
        <w:dstrike w:val="0"/>
        <w:color w:val="000000"/>
        <w:spacing w:val="0"/>
        <w:w w:val="100"/>
        <w:kern w:val="0"/>
        <w:position w:val="0"/>
        <w:highlight w:val="none"/>
        <w:vertAlign w:val="baseline"/>
      </w:rPr>
    </w:lvl>
    <w:lvl w:ilvl="6" w:tplc="01D48D4E">
      <w:start w:val="1"/>
      <w:numFmt w:val="decimal"/>
      <w:lvlText w:val="%7."/>
      <w:lvlJc w:val="left"/>
      <w:pPr>
        <w:ind w:left="6174" w:hanging="360"/>
      </w:pPr>
      <w:rPr>
        <w:rFonts w:hAnsi="Arial Unicode MS"/>
        <w:caps w:val="0"/>
        <w:smallCaps w:val="0"/>
        <w:strike w:val="0"/>
        <w:dstrike w:val="0"/>
        <w:color w:val="000000"/>
        <w:spacing w:val="0"/>
        <w:w w:val="100"/>
        <w:kern w:val="0"/>
        <w:position w:val="0"/>
        <w:highlight w:val="none"/>
        <w:vertAlign w:val="baseline"/>
      </w:rPr>
    </w:lvl>
    <w:lvl w:ilvl="7" w:tplc="8A0678E4">
      <w:start w:val="1"/>
      <w:numFmt w:val="lowerLetter"/>
      <w:lvlText w:val="%8."/>
      <w:lvlJc w:val="left"/>
      <w:pPr>
        <w:ind w:left="6894" w:hanging="360"/>
      </w:pPr>
      <w:rPr>
        <w:rFonts w:hAnsi="Arial Unicode MS"/>
        <w:caps w:val="0"/>
        <w:smallCaps w:val="0"/>
        <w:strike w:val="0"/>
        <w:dstrike w:val="0"/>
        <w:color w:val="000000"/>
        <w:spacing w:val="0"/>
        <w:w w:val="100"/>
        <w:kern w:val="0"/>
        <w:position w:val="0"/>
        <w:highlight w:val="none"/>
        <w:vertAlign w:val="baseline"/>
      </w:rPr>
    </w:lvl>
    <w:lvl w:ilvl="8" w:tplc="38FEC51A">
      <w:start w:val="1"/>
      <w:numFmt w:val="lowerRoman"/>
      <w:lvlText w:val="%9."/>
      <w:lvlJc w:val="left"/>
      <w:pPr>
        <w:ind w:left="7614" w:hanging="275"/>
      </w:pPr>
      <w:rPr>
        <w:rFonts w:hAnsi="Arial Unicode MS"/>
        <w:caps w:val="0"/>
        <w:smallCaps w:val="0"/>
        <w:strike w:val="0"/>
        <w:dstrike w:val="0"/>
        <w:color w:val="000000"/>
        <w:spacing w:val="0"/>
        <w:w w:val="100"/>
        <w:kern w:val="0"/>
        <w:position w:val="0"/>
        <w:highlight w:val="none"/>
        <w:vertAlign w:val="baseline"/>
      </w:rPr>
    </w:lvl>
  </w:abstractNum>
  <w:abstractNum w:abstractNumId="69" w15:restartNumberingAfterBreak="0">
    <w:nsid w:val="6A005983"/>
    <w:multiLevelType w:val="hybridMultilevel"/>
    <w:tmpl w:val="9672082A"/>
    <w:styleLink w:val="Estiloimportado20"/>
    <w:lvl w:ilvl="0" w:tplc="9DA42D3A">
      <w:start w:val="1"/>
      <w:numFmt w:val="bullet"/>
      <w:lvlText w:val="•"/>
      <w:lvlJc w:val="left"/>
      <w:pPr>
        <w:tabs>
          <w:tab w:val="left" w:pos="142"/>
        </w:tabs>
        <w:ind w:left="11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A46B178">
      <w:start w:val="1"/>
      <w:numFmt w:val="bullet"/>
      <w:lvlText w:val="o"/>
      <w:lvlJc w:val="left"/>
      <w:pPr>
        <w:tabs>
          <w:tab w:val="left" w:pos="142"/>
        </w:tabs>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CFC710E">
      <w:start w:val="1"/>
      <w:numFmt w:val="bullet"/>
      <w:lvlText w:val="▪"/>
      <w:lvlJc w:val="left"/>
      <w:pPr>
        <w:tabs>
          <w:tab w:val="left" w:pos="142"/>
        </w:tabs>
        <w:ind w:left="25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D66346">
      <w:start w:val="1"/>
      <w:numFmt w:val="bullet"/>
      <w:lvlText w:val="•"/>
      <w:lvlJc w:val="left"/>
      <w:pPr>
        <w:tabs>
          <w:tab w:val="left" w:pos="142"/>
        </w:tabs>
        <w:ind w:left="330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6943F98">
      <w:start w:val="1"/>
      <w:numFmt w:val="bullet"/>
      <w:lvlText w:val="o"/>
      <w:lvlJc w:val="left"/>
      <w:pPr>
        <w:tabs>
          <w:tab w:val="left" w:pos="142"/>
        </w:tabs>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8E88EE2">
      <w:start w:val="1"/>
      <w:numFmt w:val="bullet"/>
      <w:lvlText w:val="▪"/>
      <w:lvlJc w:val="left"/>
      <w:pPr>
        <w:tabs>
          <w:tab w:val="left" w:pos="142"/>
        </w:tabs>
        <w:ind w:left="47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8EEAC80">
      <w:start w:val="1"/>
      <w:numFmt w:val="bullet"/>
      <w:lvlText w:val="•"/>
      <w:lvlJc w:val="left"/>
      <w:pPr>
        <w:tabs>
          <w:tab w:val="left" w:pos="142"/>
        </w:tabs>
        <w:ind w:left="546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DB6536C">
      <w:start w:val="1"/>
      <w:numFmt w:val="bullet"/>
      <w:lvlText w:val="o"/>
      <w:lvlJc w:val="left"/>
      <w:pPr>
        <w:tabs>
          <w:tab w:val="left" w:pos="142"/>
        </w:tabs>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21E2300">
      <w:start w:val="1"/>
      <w:numFmt w:val="bullet"/>
      <w:lvlText w:val="▪"/>
      <w:lvlJc w:val="left"/>
      <w:pPr>
        <w:tabs>
          <w:tab w:val="left" w:pos="142"/>
        </w:tabs>
        <w:ind w:left="69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6B2F42C0"/>
    <w:multiLevelType w:val="multilevel"/>
    <w:tmpl w:val="F8AEE4A2"/>
    <w:styleLink w:val="Estiloimportado22"/>
    <w:lvl w:ilvl="0">
      <w:start w:val="23"/>
      <w:numFmt w:val="decimal"/>
      <w:lvlText w:val="%1."/>
      <w:lvlJc w:val="left"/>
      <w:pPr>
        <w:ind w:left="600" w:hanging="600"/>
      </w:pPr>
      <w:rPr>
        <w:rFonts w:hint="default"/>
        <w:u w:val="none"/>
      </w:rPr>
    </w:lvl>
    <w:lvl w:ilvl="1">
      <w:start w:val="3"/>
      <w:numFmt w:val="decimal"/>
      <w:lvlText w:val="%1.%2."/>
      <w:lvlJc w:val="left"/>
      <w:pPr>
        <w:ind w:left="960" w:hanging="600"/>
      </w:pPr>
      <w:rPr>
        <w:rFonts w:hint="default"/>
        <w:u w:val="none"/>
      </w:rPr>
    </w:lvl>
    <w:lvl w:ilvl="2">
      <w:start w:val="2"/>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71" w15:restartNumberingAfterBreak="0">
    <w:nsid w:val="6B42165E"/>
    <w:multiLevelType w:val="hybridMultilevel"/>
    <w:tmpl w:val="4274B438"/>
    <w:styleLink w:val="Estiloimportado102"/>
    <w:lvl w:ilvl="0" w:tplc="4274B438">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7158C394">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8E60A052">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F80A551E">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EF262AEC">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E9D050F0">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692A037C">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21B0B51E">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EEEC5B9C">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72" w15:restartNumberingAfterBreak="0">
    <w:nsid w:val="6CD73E37"/>
    <w:multiLevelType w:val="hybridMultilevel"/>
    <w:tmpl w:val="EBB2A82C"/>
    <w:lvl w:ilvl="0" w:tplc="E8E086D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3" w15:restartNumberingAfterBreak="0">
    <w:nsid w:val="6CEA1647"/>
    <w:multiLevelType w:val="hybridMultilevel"/>
    <w:tmpl w:val="18C6D374"/>
    <w:lvl w:ilvl="0" w:tplc="D0CEEB8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4" w15:restartNumberingAfterBreak="0">
    <w:nsid w:val="6DCC7348"/>
    <w:multiLevelType w:val="hybridMultilevel"/>
    <w:tmpl w:val="D5E44D70"/>
    <w:styleLink w:val="Estiloimportado62"/>
    <w:lvl w:ilvl="0" w:tplc="326604EE">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8500F10E">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409026E4">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7C682D92">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C5A60534">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ED88326C">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E9FE7850">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1752069A">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81CE1E02">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75" w15:restartNumberingAfterBreak="0">
    <w:nsid w:val="72CD7B52"/>
    <w:multiLevelType w:val="hybridMultilevel"/>
    <w:tmpl w:val="988251BC"/>
    <w:lvl w:ilvl="0" w:tplc="F55A34E0">
      <w:start w:val="1"/>
      <w:numFmt w:val="lowerRoman"/>
      <w:lvlText w:val="(%1)"/>
      <w:lvlJc w:val="left"/>
      <w:pPr>
        <w:ind w:left="720" w:hanging="360"/>
      </w:pPr>
      <w:rPr>
        <w:rFonts w:ascii="Arial" w:eastAsia="Times New Roman" w:hAnsi="Arial" w:cs="Arial" w:hint="default"/>
        <w:sz w:val="20"/>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6" w15:restartNumberingAfterBreak="0">
    <w:nsid w:val="73DD3C6D"/>
    <w:multiLevelType w:val="hybridMultilevel"/>
    <w:tmpl w:val="2BF845C0"/>
    <w:lvl w:ilvl="0" w:tplc="1BC602C2">
      <w:start w:val="1"/>
      <w:numFmt w:val="decimal"/>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7" w15:restartNumberingAfterBreak="0">
    <w:nsid w:val="763F2C62"/>
    <w:multiLevelType w:val="hybridMultilevel"/>
    <w:tmpl w:val="A8EA96FC"/>
    <w:lvl w:ilvl="0" w:tplc="2C0A0001">
      <w:start w:val="1"/>
      <w:numFmt w:val="bullet"/>
      <w:lvlText w:val=""/>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78" w15:restartNumberingAfterBreak="0">
    <w:nsid w:val="766C58DB"/>
    <w:multiLevelType w:val="hybridMultilevel"/>
    <w:tmpl w:val="3B50FA14"/>
    <w:styleLink w:val="Estiloimportado172"/>
    <w:lvl w:ilvl="0" w:tplc="6364530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F25F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704DC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C54573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3403D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EF63A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49E947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A64B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1E0F1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78B16A5B"/>
    <w:multiLevelType w:val="hybridMultilevel"/>
    <w:tmpl w:val="6CB61E38"/>
    <w:lvl w:ilvl="0" w:tplc="4768C79E">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7C286B1A"/>
    <w:multiLevelType w:val="hybridMultilevel"/>
    <w:tmpl w:val="4BAEC650"/>
    <w:lvl w:ilvl="0" w:tplc="2C0A0001">
      <w:start w:val="1"/>
      <w:numFmt w:val="bullet"/>
      <w:lvlText w:val=""/>
      <w:lvlJc w:val="left"/>
      <w:pPr>
        <w:ind w:left="720" w:hanging="360"/>
      </w:pPr>
      <w:rPr>
        <w:rFonts w:ascii="Symbol" w:hAnsi="Symbol" w:hint="default"/>
      </w:rPr>
    </w:lvl>
    <w:lvl w:ilvl="1" w:tplc="877ADAEC">
      <w:numFmt w:val="bullet"/>
      <w:lvlText w:val="•"/>
      <w:lvlJc w:val="left"/>
      <w:pPr>
        <w:ind w:left="1440" w:hanging="360"/>
      </w:pPr>
      <w:rPr>
        <w:rFonts w:ascii="Times New Roman" w:eastAsia="Times New Roman" w:hAnsi="Times New Roman" w:cs="Times New Roman"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81" w15:restartNumberingAfterBreak="0">
    <w:nsid w:val="7CBF004A"/>
    <w:multiLevelType w:val="hybridMultilevel"/>
    <w:tmpl w:val="318E7A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2" w15:restartNumberingAfterBreak="0">
    <w:nsid w:val="7D381C8C"/>
    <w:multiLevelType w:val="hybridMultilevel"/>
    <w:tmpl w:val="CC545DCC"/>
    <w:lvl w:ilvl="0" w:tplc="FFFFFFFF">
      <w:start w:val="1"/>
      <w:numFmt w:val="bullet"/>
      <w:lvlText w:val="-"/>
      <w:lvlJc w:val="left"/>
      <w:pPr>
        <w:ind w:left="720" w:hanging="360"/>
      </w:p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3" w15:restartNumberingAfterBreak="0">
    <w:nsid w:val="7FB64A0E"/>
    <w:multiLevelType w:val="multilevel"/>
    <w:tmpl w:val="8ADA4C6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2"/>
  </w:num>
  <w:num w:numId="3">
    <w:abstractNumId w:val="81"/>
  </w:num>
  <w:num w:numId="4">
    <w:abstractNumId w:val="29"/>
  </w:num>
  <w:num w:numId="5">
    <w:abstractNumId w:val="70"/>
  </w:num>
  <w:num w:numId="6">
    <w:abstractNumId w:val="26"/>
  </w:num>
  <w:num w:numId="7">
    <w:abstractNumId w:val="40"/>
  </w:num>
  <w:num w:numId="8">
    <w:abstractNumId w:val="59"/>
  </w:num>
  <w:num w:numId="9">
    <w:abstractNumId w:val="74"/>
  </w:num>
  <w:num w:numId="10">
    <w:abstractNumId w:val="67"/>
  </w:num>
  <w:num w:numId="11">
    <w:abstractNumId w:val="18"/>
  </w:num>
  <w:num w:numId="12">
    <w:abstractNumId w:val="33"/>
  </w:num>
  <w:num w:numId="13">
    <w:abstractNumId w:val="71"/>
  </w:num>
  <w:num w:numId="14">
    <w:abstractNumId w:val="68"/>
  </w:num>
  <w:num w:numId="15">
    <w:abstractNumId w:val="64"/>
  </w:num>
  <w:num w:numId="16">
    <w:abstractNumId w:val="43"/>
  </w:num>
  <w:num w:numId="17">
    <w:abstractNumId w:val="34"/>
  </w:num>
  <w:num w:numId="18">
    <w:abstractNumId w:val="42"/>
  </w:num>
  <w:num w:numId="19">
    <w:abstractNumId w:val="62"/>
  </w:num>
  <w:num w:numId="20">
    <w:abstractNumId w:val="53"/>
  </w:num>
  <w:num w:numId="21">
    <w:abstractNumId w:val="78"/>
  </w:num>
  <w:num w:numId="22">
    <w:abstractNumId w:val="41"/>
  </w:num>
  <w:num w:numId="23">
    <w:abstractNumId w:val="46"/>
  </w:num>
  <w:num w:numId="24">
    <w:abstractNumId w:val="35"/>
  </w:num>
  <w:num w:numId="25">
    <w:abstractNumId w:val="44"/>
  </w:num>
  <w:num w:numId="26">
    <w:abstractNumId w:val="69"/>
  </w:num>
  <w:num w:numId="27">
    <w:abstractNumId w:val="21"/>
  </w:num>
  <w:num w:numId="28">
    <w:abstractNumId w:val="13"/>
  </w:num>
  <w:num w:numId="29">
    <w:abstractNumId w:val="66"/>
  </w:num>
  <w:num w:numId="30">
    <w:abstractNumId w:val="48"/>
  </w:num>
  <w:num w:numId="31">
    <w:abstractNumId w:val="55"/>
  </w:num>
  <w:num w:numId="32">
    <w:abstractNumId w:val="32"/>
  </w:num>
  <w:num w:numId="33">
    <w:abstractNumId w:val="16"/>
  </w:num>
  <w:num w:numId="34">
    <w:abstractNumId w:val="28"/>
  </w:num>
  <w:num w:numId="35">
    <w:abstractNumId w:val="25"/>
  </w:num>
  <w:num w:numId="36">
    <w:abstractNumId w:val="24"/>
  </w:num>
  <w:num w:numId="37">
    <w:abstractNumId w:val="56"/>
  </w:num>
  <w:num w:numId="38">
    <w:abstractNumId w:val="20"/>
  </w:num>
  <w:num w:numId="39">
    <w:abstractNumId w:val="51"/>
  </w:num>
  <w:num w:numId="40">
    <w:abstractNumId w:val="23"/>
  </w:num>
  <w:num w:numId="41">
    <w:abstractNumId w:val="9"/>
  </w:num>
  <w:num w:numId="42">
    <w:abstractNumId w:val="54"/>
  </w:num>
  <w:num w:numId="43">
    <w:abstractNumId w:val="52"/>
  </w:num>
  <w:num w:numId="44">
    <w:abstractNumId w:val="30"/>
  </w:num>
  <w:num w:numId="45">
    <w:abstractNumId w:val="72"/>
  </w:num>
  <w:num w:numId="46">
    <w:abstractNumId w:val="77"/>
  </w:num>
  <w:num w:numId="47">
    <w:abstractNumId w:val="75"/>
  </w:num>
  <w:num w:numId="48">
    <w:abstractNumId w:val="61"/>
  </w:num>
  <w:num w:numId="49">
    <w:abstractNumId w:val="17"/>
  </w:num>
  <w:num w:numId="50">
    <w:abstractNumId w:val="15"/>
  </w:num>
  <w:num w:numId="51">
    <w:abstractNumId w:val="19"/>
  </w:num>
  <w:num w:numId="52">
    <w:abstractNumId w:val="73"/>
  </w:num>
  <w:num w:numId="53">
    <w:abstractNumId w:val="14"/>
  </w:num>
  <w:num w:numId="54">
    <w:abstractNumId w:val="57"/>
  </w:num>
  <w:num w:numId="55">
    <w:abstractNumId w:val="58"/>
  </w:num>
  <w:num w:numId="56">
    <w:abstractNumId w:val="79"/>
  </w:num>
  <w:num w:numId="57">
    <w:abstractNumId w:val="47"/>
  </w:num>
  <w:num w:numId="58">
    <w:abstractNumId w:val="22"/>
  </w:num>
  <w:num w:numId="59">
    <w:abstractNumId w:val="65"/>
  </w:num>
  <w:num w:numId="60">
    <w:abstractNumId w:val="27"/>
  </w:num>
  <w:num w:numId="61">
    <w:abstractNumId w:val="50"/>
  </w:num>
  <w:num w:numId="62">
    <w:abstractNumId w:val="12"/>
  </w:num>
  <w:num w:numId="63">
    <w:abstractNumId w:val="83"/>
  </w:num>
  <w:num w:numId="64">
    <w:abstractNumId w:val="63"/>
  </w:num>
  <w:num w:numId="65">
    <w:abstractNumId w:val="37"/>
  </w:num>
  <w:num w:numId="66">
    <w:abstractNumId w:val="31"/>
  </w:num>
  <w:num w:numId="67">
    <w:abstractNumId w:val="80"/>
  </w:num>
  <w:num w:numId="68">
    <w:abstractNumId w:val="11"/>
  </w:num>
  <w:num w:numId="69">
    <w:abstractNumId w:val="49"/>
  </w:num>
  <w:num w:numId="70">
    <w:abstractNumId w:val="39"/>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0"/>
    <w:lvlOverride w:ilvl="0">
      <w:startOverride w:val="1"/>
    </w:lvlOverride>
    <w:lvlOverride w:ilvl="1"/>
    <w:lvlOverride w:ilvl="2"/>
    <w:lvlOverride w:ilvl="3"/>
    <w:lvlOverride w:ilvl="4"/>
    <w:lvlOverride w:ilvl="5"/>
    <w:lvlOverride w:ilvl="6"/>
    <w:lvlOverride w:ilvl="7"/>
    <w:lvlOverride w:ilvl="8"/>
  </w:num>
  <w:num w:numId="72">
    <w:abstractNumId w:val="36"/>
  </w:num>
  <w:num w:numId="73">
    <w:abstractNumId w:val="38"/>
  </w:num>
  <w:num w:numId="74">
    <w:abstractNumId w:val="45"/>
  </w:num>
  <w:num w:numId="75">
    <w:abstractNumId w:val="7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AR" w:vendorID="64" w:dllVersion="6" w:nlCheck="1" w:checkStyle="1"/>
  <w:activeWritingStyle w:appName="MSWord" w:lang="en-GB" w:vendorID="64" w:dllVersion="6" w:nlCheck="1" w:checkStyle="0"/>
  <w:activeWritingStyle w:appName="MSWord" w:lang="en-US" w:vendorID="64" w:dllVersion="6" w:nlCheck="1" w:checkStyle="1"/>
  <w:activeWritingStyle w:appName="MSWord" w:lang="fr-FR" w:vendorID="64" w:dllVersion="6" w:nlCheck="1" w:checkStyle="1"/>
  <w:activeWritingStyle w:appName="MSWord" w:lang="es-PE" w:vendorID="64" w:dllVersion="6" w:nlCheck="1" w:checkStyle="1"/>
  <w:activeWritingStyle w:appName="MSWord" w:lang="es-MX" w:vendorID="64" w:dllVersion="6" w:nlCheck="1" w:checkStyle="1"/>
  <w:activeWritingStyle w:appName="MSWord" w:lang="es-A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0" w:nlCheck="1" w:checkStyle="0"/>
  <w:activeWritingStyle w:appName="MSWord" w:lang="es-PE" w:vendorID="64" w:dllVersion="0" w:nlCheck="1" w:checkStyle="0"/>
  <w:activeWritingStyle w:appName="MSWord" w:lang="es-MX" w:vendorID="64" w:dllVersion="0" w:nlCheck="1" w:checkStyle="0"/>
  <w:activeWritingStyle w:appName="MSWord" w:lang="pt-B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E97D94"/>
    <w:rsid w:val="00000013"/>
    <w:rsid w:val="000009EA"/>
    <w:rsid w:val="00000B6E"/>
    <w:rsid w:val="00000D07"/>
    <w:rsid w:val="00000EDD"/>
    <w:rsid w:val="00000F5A"/>
    <w:rsid w:val="000014C9"/>
    <w:rsid w:val="0000156B"/>
    <w:rsid w:val="00001795"/>
    <w:rsid w:val="00001BDB"/>
    <w:rsid w:val="00001CB1"/>
    <w:rsid w:val="00001EAB"/>
    <w:rsid w:val="000022BA"/>
    <w:rsid w:val="000024BF"/>
    <w:rsid w:val="00002574"/>
    <w:rsid w:val="0000282B"/>
    <w:rsid w:val="00002B37"/>
    <w:rsid w:val="00002E07"/>
    <w:rsid w:val="0000337E"/>
    <w:rsid w:val="00003CD1"/>
    <w:rsid w:val="000043A3"/>
    <w:rsid w:val="000045FD"/>
    <w:rsid w:val="000047EA"/>
    <w:rsid w:val="00004B94"/>
    <w:rsid w:val="00004BD3"/>
    <w:rsid w:val="0000580C"/>
    <w:rsid w:val="00005E38"/>
    <w:rsid w:val="00005E87"/>
    <w:rsid w:val="0000600D"/>
    <w:rsid w:val="00006020"/>
    <w:rsid w:val="00006059"/>
    <w:rsid w:val="00006579"/>
    <w:rsid w:val="00006788"/>
    <w:rsid w:val="00006D32"/>
    <w:rsid w:val="00006F91"/>
    <w:rsid w:val="00006FA4"/>
    <w:rsid w:val="00007100"/>
    <w:rsid w:val="0000737F"/>
    <w:rsid w:val="00007A68"/>
    <w:rsid w:val="00007CBC"/>
    <w:rsid w:val="00007E89"/>
    <w:rsid w:val="00007F86"/>
    <w:rsid w:val="0001012B"/>
    <w:rsid w:val="0001058C"/>
    <w:rsid w:val="00010ECB"/>
    <w:rsid w:val="00011283"/>
    <w:rsid w:val="000112CF"/>
    <w:rsid w:val="00011657"/>
    <w:rsid w:val="0001172C"/>
    <w:rsid w:val="0001184A"/>
    <w:rsid w:val="00011B2F"/>
    <w:rsid w:val="00011B88"/>
    <w:rsid w:val="00011BC4"/>
    <w:rsid w:val="00011BEC"/>
    <w:rsid w:val="00011DDD"/>
    <w:rsid w:val="00011DED"/>
    <w:rsid w:val="0001214A"/>
    <w:rsid w:val="000121C8"/>
    <w:rsid w:val="000125A6"/>
    <w:rsid w:val="0001279A"/>
    <w:rsid w:val="00012C89"/>
    <w:rsid w:val="0001304E"/>
    <w:rsid w:val="00013198"/>
    <w:rsid w:val="000133DD"/>
    <w:rsid w:val="0001389E"/>
    <w:rsid w:val="00013B98"/>
    <w:rsid w:val="000140C0"/>
    <w:rsid w:val="00014DB1"/>
    <w:rsid w:val="0001502C"/>
    <w:rsid w:val="000151BC"/>
    <w:rsid w:val="00015210"/>
    <w:rsid w:val="0001551F"/>
    <w:rsid w:val="00015672"/>
    <w:rsid w:val="000157FE"/>
    <w:rsid w:val="00015F83"/>
    <w:rsid w:val="00015FAF"/>
    <w:rsid w:val="000166F0"/>
    <w:rsid w:val="00016901"/>
    <w:rsid w:val="000169D8"/>
    <w:rsid w:val="00016A77"/>
    <w:rsid w:val="00016F29"/>
    <w:rsid w:val="00017167"/>
    <w:rsid w:val="0001723B"/>
    <w:rsid w:val="00017580"/>
    <w:rsid w:val="00017652"/>
    <w:rsid w:val="00017BE0"/>
    <w:rsid w:val="00017D90"/>
    <w:rsid w:val="00017F56"/>
    <w:rsid w:val="0002038E"/>
    <w:rsid w:val="000203FB"/>
    <w:rsid w:val="0002042F"/>
    <w:rsid w:val="00020484"/>
    <w:rsid w:val="000205B6"/>
    <w:rsid w:val="000209D7"/>
    <w:rsid w:val="00021529"/>
    <w:rsid w:val="00021DEC"/>
    <w:rsid w:val="000225AF"/>
    <w:rsid w:val="00022876"/>
    <w:rsid w:val="000229EC"/>
    <w:rsid w:val="00022BA8"/>
    <w:rsid w:val="00022E83"/>
    <w:rsid w:val="000230EA"/>
    <w:rsid w:val="0002338A"/>
    <w:rsid w:val="00023941"/>
    <w:rsid w:val="00023BF6"/>
    <w:rsid w:val="0002403F"/>
    <w:rsid w:val="00024A8B"/>
    <w:rsid w:val="00024AFF"/>
    <w:rsid w:val="00024B39"/>
    <w:rsid w:val="00024F55"/>
    <w:rsid w:val="00024F74"/>
    <w:rsid w:val="0002505A"/>
    <w:rsid w:val="00025107"/>
    <w:rsid w:val="000258F2"/>
    <w:rsid w:val="00025F6A"/>
    <w:rsid w:val="00026189"/>
    <w:rsid w:val="000263A4"/>
    <w:rsid w:val="0002644C"/>
    <w:rsid w:val="0002679E"/>
    <w:rsid w:val="00026AEA"/>
    <w:rsid w:val="00026B80"/>
    <w:rsid w:val="00026C2D"/>
    <w:rsid w:val="00026F6F"/>
    <w:rsid w:val="00027746"/>
    <w:rsid w:val="0002782C"/>
    <w:rsid w:val="00027BFF"/>
    <w:rsid w:val="00027D6E"/>
    <w:rsid w:val="00027D9E"/>
    <w:rsid w:val="00030691"/>
    <w:rsid w:val="000306BF"/>
    <w:rsid w:val="000306FC"/>
    <w:rsid w:val="00030B3C"/>
    <w:rsid w:val="00030DDA"/>
    <w:rsid w:val="00030E28"/>
    <w:rsid w:val="00030ECD"/>
    <w:rsid w:val="0003109F"/>
    <w:rsid w:val="00031FB6"/>
    <w:rsid w:val="00032AD1"/>
    <w:rsid w:val="00032C9C"/>
    <w:rsid w:val="00033420"/>
    <w:rsid w:val="000336ED"/>
    <w:rsid w:val="00033900"/>
    <w:rsid w:val="00033B43"/>
    <w:rsid w:val="0003421F"/>
    <w:rsid w:val="000342AE"/>
    <w:rsid w:val="000342F6"/>
    <w:rsid w:val="000345FA"/>
    <w:rsid w:val="000345FB"/>
    <w:rsid w:val="00034C0E"/>
    <w:rsid w:val="000352BC"/>
    <w:rsid w:val="000357BB"/>
    <w:rsid w:val="00035F95"/>
    <w:rsid w:val="00036104"/>
    <w:rsid w:val="0003612C"/>
    <w:rsid w:val="000361D5"/>
    <w:rsid w:val="000361E0"/>
    <w:rsid w:val="000363F3"/>
    <w:rsid w:val="00036AFB"/>
    <w:rsid w:val="00036C4B"/>
    <w:rsid w:val="00036D5B"/>
    <w:rsid w:val="0003705B"/>
    <w:rsid w:val="00037082"/>
    <w:rsid w:val="00037475"/>
    <w:rsid w:val="000376D9"/>
    <w:rsid w:val="00037FCA"/>
    <w:rsid w:val="00040001"/>
    <w:rsid w:val="00040018"/>
    <w:rsid w:val="00040098"/>
    <w:rsid w:val="00040217"/>
    <w:rsid w:val="000405BB"/>
    <w:rsid w:val="000407A5"/>
    <w:rsid w:val="000409A6"/>
    <w:rsid w:val="00040AA3"/>
    <w:rsid w:val="00040B32"/>
    <w:rsid w:val="00040D9D"/>
    <w:rsid w:val="00040F00"/>
    <w:rsid w:val="00040F3F"/>
    <w:rsid w:val="00041255"/>
    <w:rsid w:val="0004130F"/>
    <w:rsid w:val="00041537"/>
    <w:rsid w:val="0004176A"/>
    <w:rsid w:val="000419BF"/>
    <w:rsid w:val="00041A94"/>
    <w:rsid w:val="00041B32"/>
    <w:rsid w:val="000425B0"/>
    <w:rsid w:val="0004288D"/>
    <w:rsid w:val="000428A1"/>
    <w:rsid w:val="00042B27"/>
    <w:rsid w:val="00042B52"/>
    <w:rsid w:val="00042C43"/>
    <w:rsid w:val="00042C85"/>
    <w:rsid w:val="00043141"/>
    <w:rsid w:val="000432E6"/>
    <w:rsid w:val="00043457"/>
    <w:rsid w:val="000436E1"/>
    <w:rsid w:val="000438B2"/>
    <w:rsid w:val="00043FC0"/>
    <w:rsid w:val="00044167"/>
    <w:rsid w:val="0004416B"/>
    <w:rsid w:val="0004474C"/>
    <w:rsid w:val="000449AE"/>
    <w:rsid w:val="00044B2E"/>
    <w:rsid w:val="00044E4D"/>
    <w:rsid w:val="000453F2"/>
    <w:rsid w:val="00045647"/>
    <w:rsid w:val="00045785"/>
    <w:rsid w:val="00045982"/>
    <w:rsid w:val="00045A0E"/>
    <w:rsid w:val="00046389"/>
    <w:rsid w:val="000464F1"/>
    <w:rsid w:val="0004687F"/>
    <w:rsid w:val="00046D1E"/>
    <w:rsid w:val="00047F91"/>
    <w:rsid w:val="000501BB"/>
    <w:rsid w:val="00050353"/>
    <w:rsid w:val="0005038C"/>
    <w:rsid w:val="000504FA"/>
    <w:rsid w:val="00050CA0"/>
    <w:rsid w:val="00050E4C"/>
    <w:rsid w:val="000516EB"/>
    <w:rsid w:val="00051D6D"/>
    <w:rsid w:val="00052108"/>
    <w:rsid w:val="00052131"/>
    <w:rsid w:val="00052382"/>
    <w:rsid w:val="0005245A"/>
    <w:rsid w:val="00052729"/>
    <w:rsid w:val="0005273E"/>
    <w:rsid w:val="000532CC"/>
    <w:rsid w:val="000538A6"/>
    <w:rsid w:val="00053DE2"/>
    <w:rsid w:val="000541B9"/>
    <w:rsid w:val="00054423"/>
    <w:rsid w:val="000547B7"/>
    <w:rsid w:val="00054D3D"/>
    <w:rsid w:val="00054DE0"/>
    <w:rsid w:val="00054F5E"/>
    <w:rsid w:val="00054FDF"/>
    <w:rsid w:val="000556F0"/>
    <w:rsid w:val="00055871"/>
    <w:rsid w:val="0005645C"/>
    <w:rsid w:val="00056942"/>
    <w:rsid w:val="00056EF3"/>
    <w:rsid w:val="000574F1"/>
    <w:rsid w:val="00057690"/>
    <w:rsid w:val="0005775A"/>
    <w:rsid w:val="0006002E"/>
    <w:rsid w:val="000600EC"/>
    <w:rsid w:val="0006083D"/>
    <w:rsid w:val="00060954"/>
    <w:rsid w:val="000614BA"/>
    <w:rsid w:val="000618A3"/>
    <w:rsid w:val="000619F6"/>
    <w:rsid w:val="00061C1F"/>
    <w:rsid w:val="00061D27"/>
    <w:rsid w:val="00061FA8"/>
    <w:rsid w:val="00062385"/>
    <w:rsid w:val="0006290C"/>
    <w:rsid w:val="00062DA6"/>
    <w:rsid w:val="000633A4"/>
    <w:rsid w:val="00063443"/>
    <w:rsid w:val="00063516"/>
    <w:rsid w:val="00063A80"/>
    <w:rsid w:val="00063C2D"/>
    <w:rsid w:val="00064581"/>
    <w:rsid w:val="00064730"/>
    <w:rsid w:val="0006481D"/>
    <w:rsid w:val="00065647"/>
    <w:rsid w:val="000663F6"/>
    <w:rsid w:val="00066592"/>
    <w:rsid w:val="00066653"/>
    <w:rsid w:val="00066D3E"/>
    <w:rsid w:val="00066EF6"/>
    <w:rsid w:val="000670C1"/>
    <w:rsid w:val="000670E1"/>
    <w:rsid w:val="00067378"/>
    <w:rsid w:val="000673B3"/>
    <w:rsid w:val="00067408"/>
    <w:rsid w:val="0006745A"/>
    <w:rsid w:val="000674A2"/>
    <w:rsid w:val="00067695"/>
    <w:rsid w:val="00067D5E"/>
    <w:rsid w:val="00067E7D"/>
    <w:rsid w:val="000705E8"/>
    <w:rsid w:val="00070877"/>
    <w:rsid w:val="00070EAA"/>
    <w:rsid w:val="0007120D"/>
    <w:rsid w:val="00071382"/>
    <w:rsid w:val="0007144E"/>
    <w:rsid w:val="00071A3C"/>
    <w:rsid w:val="00071D2E"/>
    <w:rsid w:val="00072AB7"/>
    <w:rsid w:val="00072E09"/>
    <w:rsid w:val="00074580"/>
    <w:rsid w:val="0007462C"/>
    <w:rsid w:val="0007488A"/>
    <w:rsid w:val="00074B03"/>
    <w:rsid w:val="00074B27"/>
    <w:rsid w:val="00074C00"/>
    <w:rsid w:val="00074C10"/>
    <w:rsid w:val="00074D4E"/>
    <w:rsid w:val="000753DE"/>
    <w:rsid w:val="00075470"/>
    <w:rsid w:val="00075512"/>
    <w:rsid w:val="00075811"/>
    <w:rsid w:val="00075814"/>
    <w:rsid w:val="00075BC5"/>
    <w:rsid w:val="0007601B"/>
    <w:rsid w:val="000761A8"/>
    <w:rsid w:val="00076229"/>
    <w:rsid w:val="0007631D"/>
    <w:rsid w:val="000768B1"/>
    <w:rsid w:val="00076B97"/>
    <w:rsid w:val="00076C98"/>
    <w:rsid w:val="00076DF1"/>
    <w:rsid w:val="00076EC8"/>
    <w:rsid w:val="00077414"/>
    <w:rsid w:val="000775DC"/>
    <w:rsid w:val="0007777C"/>
    <w:rsid w:val="0007793F"/>
    <w:rsid w:val="00077D4F"/>
    <w:rsid w:val="000800C5"/>
    <w:rsid w:val="00080285"/>
    <w:rsid w:val="00080295"/>
    <w:rsid w:val="0008047B"/>
    <w:rsid w:val="00080CBE"/>
    <w:rsid w:val="0008162B"/>
    <w:rsid w:val="000818A9"/>
    <w:rsid w:val="0008204E"/>
    <w:rsid w:val="00082525"/>
    <w:rsid w:val="000825E5"/>
    <w:rsid w:val="000826F9"/>
    <w:rsid w:val="000829D8"/>
    <w:rsid w:val="00082CF7"/>
    <w:rsid w:val="000830A7"/>
    <w:rsid w:val="00083AEA"/>
    <w:rsid w:val="00083BCC"/>
    <w:rsid w:val="00083C78"/>
    <w:rsid w:val="0008442F"/>
    <w:rsid w:val="0008459C"/>
    <w:rsid w:val="000846A2"/>
    <w:rsid w:val="000847B9"/>
    <w:rsid w:val="000849DA"/>
    <w:rsid w:val="00084E0C"/>
    <w:rsid w:val="00084E49"/>
    <w:rsid w:val="00084EEA"/>
    <w:rsid w:val="0008525B"/>
    <w:rsid w:val="00085296"/>
    <w:rsid w:val="000853A0"/>
    <w:rsid w:val="000855FC"/>
    <w:rsid w:val="0008619D"/>
    <w:rsid w:val="00086951"/>
    <w:rsid w:val="0008703D"/>
    <w:rsid w:val="000871C9"/>
    <w:rsid w:val="000878E5"/>
    <w:rsid w:val="00087A3A"/>
    <w:rsid w:val="0009024D"/>
    <w:rsid w:val="00090284"/>
    <w:rsid w:val="000902CB"/>
    <w:rsid w:val="00090422"/>
    <w:rsid w:val="0009081A"/>
    <w:rsid w:val="00090820"/>
    <w:rsid w:val="000908CC"/>
    <w:rsid w:val="000917C1"/>
    <w:rsid w:val="00091E81"/>
    <w:rsid w:val="000920D1"/>
    <w:rsid w:val="000922D3"/>
    <w:rsid w:val="000923D0"/>
    <w:rsid w:val="000923F5"/>
    <w:rsid w:val="00092479"/>
    <w:rsid w:val="000924A1"/>
    <w:rsid w:val="0009287C"/>
    <w:rsid w:val="000932A1"/>
    <w:rsid w:val="00093551"/>
    <w:rsid w:val="0009356E"/>
    <w:rsid w:val="00093606"/>
    <w:rsid w:val="00093C4A"/>
    <w:rsid w:val="0009414B"/>
    <w:rsid w:val="00094368"/>
    <w:rsid w:val="000943D6"/>
    <w:rsid w:val="00094651"/>
    <w:rsid w:val="00094A10"/>
    <w:rsid w:val="00094BCD"/>
    <w:rsid w:val="000950EE"/>
    <w:rsid w:val="00095288"/>
    <w:rsid w:val="00095612"/>
    <w:rsid w:val="00095628"/>
    <w:rsid w:val="00095647"/>
    <w:rsid w:val="00095C7C"/>
    <w:rsid w:val="00096D77"/>
    <w:rsid w:val="00097262"/>
    <w:rsid w:val="00097483"/>
    <w:rsid w:val="0009762A"/>
    <w:rsid w:val="00097BC1"/>
    <w:rsid w:val="00097BE6"/>
    <w:rsid w:val="00097E35"/>
    <w:rsid w:val="00097F8A"/>
    <w:rsid w:val="000A0696"/>
    <w:rsid w:val="000A1085"/>
    <w:rsid w:val="000A11B9"/>
    <w:rsid w:val="000A121F"/>
    <w:rsid w:val="000A1660"/>
    <w:rsid w:val="000A1889"/>
    <w:rsid w:val="000A1BEF"/>
    <w:rsid w:val="000A1F0D"/>
    <w:rsid w:val="000A200A"/>
    <w:rsid w:val="000A26AE"/>
    <w:rsid w:val="000A2B53"/>
    <w:rsid w:val="000A2F41"/>
    <w:rsid w:val="000A309A"/>
    <w:rsid w:val="000A3A9E"/>
    <w:rsid w:val="000A3B50"/>
    <w:rsid w:val="000A3C66"/>
    <w:rsid w:val="000A3C93"/>
    <w:rsid w:val="000A4D42"/>
    <w:rsid w:val="000A518E"/>
    <w:rsid w:val="000A54B9"/>
    <w:rsid w:val="000A5702"/>
    <w:rsid w:val="000A58EC"/>
    <w:rsid w:val="000A5AFF"/>
    <w:rsid w:val="000A5D8C"/>
    <w:rsid w:val="000A5D9E"/>
    <w:rsid w:val="000A5F70"/>
    <w:rsid w:val="000A705B"/>
    <w:rsid w:val="000A73CE"/>
    <w:rsid w:val="000A7489"/>
    <w:rsid w:val="000A7826"/>
    <w:rsid w:val="000A7C8B"/>
    <w:rsid w:val="000B0507"/>
    <w:rsid w:val="000B064D"/>
    <w:rsid w:val="000B0963"/>
    <w:rsid w:val="000B0A19"/>
    <w:rsid w:val="000B0ABB"/>
    <w:rsid w:val="000B0B64"/>
    <w:rsid w:val="000B0B86"/>
    <w:rsid w:val="000B0D4B"/>
    <w:rsid w:val="000B10E1"/>
    <w:rsid w:val="000B1170"/>
    <w:rsid w:val="000B1251"/>
    <w:rsid w:val="000B15A4"/>
    <w:rsid w:val="000B17D6"/>
    <w:rsid w:val="000B26C1"/>
    <w:rsid w:val="000B2ED3"/>
    <w:rsid w:val="000B2F8E"/>
    <w:rsid w:val="000B31AF"/>
    <w:rsid w:val="000B332E"/>
    <w:rsid w:val="000B3411"/>
    <w:rsid w:val="000B35E1"/>
    <w:rsid w:val="000B362A"/>
    <w:rsid w:val="000B370A"/>
    <w:rsid w:val="000B3D9C"/>
    <w:rsid w:val="000B47F1"/>
    <w:rsid w:val="000B4B12"/>
    <w:rsid w:val="000B5477"/>
    <w:rsid w:val="000B563A"/>
    <w:rsid w:val="000B64D6"/>
    <w:rsid w:val="000B6761"/>
    <w:rsid w:val="000B6A0D"/>
    <w:rsid w:val="000B6D1A"/>
    <w:rsid w:val="000B702C"/>
    <w:rsid w:val="000B7623"/>
    <w:rsid w:val="000B781C"/>
    <w:rsid w:val="000B7CFB"/>
    <w:rsid w:val="000C016A"/>
    <w:rsid w:val="000C0352"/>
    <w:rsid w:val="000C0595"/>
    <w:rsid w:val="000C0C73"/>
    <w:rsid w:val="000C0F8E"/>
    <w:rsid w:val="000C1076"/>
    <w:rsid w:val="000C117B"/>
    <w:rsid w:val="000C12F4"/>
    <w:rsid w:val="000C138F"/>
    <w:rsid w:val="000C1442"/>
    <w:rsid w:val="000C1608"/>
    <w:rsid w:val="000C1B7A"/>
    <w:rsid w:val="000C2569"/>
    <w:rsid w:val="000C258E"/>
    <w:rsid w:val="000C26D5"/>
    <w:rsid w:val="000C270B"/>
    <w:rsid w:val="000C271E"/>
    <w:rsid w:val="000C2E74"/>
    <w:rsid w:val="000C2E8D"/>
    <w:rsid w:val="000C3111"/>
    <w:rsid w:val="000C3311"/>
    <w:rsid w:val="000C333F"/>
    <w:rsid w:val="000C3A8A"/>
    <w:rsid w:val="000C3C1D"/>
    <w:rsid w:val="000C3C5D"/>
    <w:rsid w:val="000C4190"/>
    <w:rsid w:val="000C4371"/>
    <w:rsid w:val="000C447A"/>
    <w:rsid w:val="000C455E"/>
    <w:rsid w:val="000C46F7"/>
    <w:rsid w:val="000C48CF"/>
    <w:rsid w:val="000C4A69"/>
    <w:rsid w:val="000C4AED"/>
    <w:rsid w:val="000C4C71"/>
    <w:rsid w:val="000C4EC8"/>
    <w:rsid w:val="000C5202"/>
    <w:rsid w:val="000C5391"/>
    <w:rsid w:val="000C5C3A"/>
    <w:rsid w:val="000C5E2F"/>
    <w:rsid w:val="000C6432"/>
    <w:rsid w:val="000C69CB"/>
    <w:rsid w:val="000C71CD"/>
    <w:rsid w:val="000C735B"/>
    <w:rsid w:val="000C73E1"/>
    <w:rsid w:val="000C7610"/>
    <w:rsid w:val="000C7872"/>
    <w:rsid w:val="000C7C2D"/>
    <w:rsid w:val="000D0721"/>
    <w:rsid w:val="000D08CD"/>
    <w:rsid w:val="000D11CE"/>
    <w:rsid w:val="000D11F9"/>
    <w:rsid w:val="000D136E"/>
    <w:rsid w:val="000D19C8"/>
    <w:rsid w:val="000D1DF7"/>
    <w:rsid w:val="000D1E0A"/>
    <w:rsid w:val="000D1F5D"/>
    <w:rsid w:val="000D21C8"/>
    <w:rsid w:val="000D2BB2"/>
    <w:rsid w:val="000D2FC0"/>
    <w:rsid w:val="000D3103"/>
    <w:rsid w:val="000D33AF"/>
    <w:rsid w:val="000D41E8"/>
    <w:rsid w:val="000D48B0"/>
    <w:rsid w:val="000D4978"/>
    <w:rsid w:val="000D4C17"/>
    <w:rsid w:val="000D55DA"/>
    <w:rsid w:val="000D5745"/>
    <w:rsid w:val="000D601B"/>
    <w:rsid w:val="000D6182"/>
    <w:rsid w:val="000D67DB"/>
    <w:rsid w:val="000D6D0C"/>
    <w:rsid w:val="000D6D60"/>
    <w:rsid w:val="000D6F2B"/>
    <w:rsid w:val="000D73E0"/>
    <w:rsid w:val="000D7F34"/>
    <w:rsid w:val="000E0677"/>
    <w:rsid w:val="000E07F9"/>
    <w:rsid w:val="000E0F91"/>
    <w:rsid w:val="000E12C3"/>
    <w:rsid w:val="000E1551"/>
    <w:rsid w:val="000E1B85"/>
    <w:rsid w:val="000E1BAB"/>
    <w:rsid w:val="000E1F15"/>
    <w:rsid w:val="000E2146"/>
    <w:rsid w:val="000E2187"/>
    <w:rsid w:val="000E230F"/>
    <w:rsid w:val="000E2535"/>
    <w:rsid w:val="000E2730"/>
    <w:rsid w:val="000E2B41"/>
    <w:rsid w:val="000E2DA5"/>
    <w:rsid w:val="000E2EFF"/>
    <w:rsid w:val="000E377A"/>
    <w:rsid w:val="000E37B9"/>
    <w:rsid w:val="000E391E"/>
    <w:rsid w:val="000E3A8C"/>
    <w:rsid w:val="000E3A95"/>
    <w:rsid w:val="000E3D97"/>
    <w:rsid w:val="000E432E"/>
    <w:rsid w:val="000E43B8"/>
    <w:rsid w:val="000E47C0"/>
    <w:rsid w:val="000E48CB"/>
    <w:rsid w:val="000E4A84"/>
    <w:rsid w:val="000E4BB1"/>
    <w:rsid w:val="000E4BD7"/>
    <w:rsid w:val="000E4C5B"/>
    <w:rsid w:val="000E4CB5"/>
    <w:rsid w:val="000E4D44"/>
    <w:rsid w:val="000E4E8F"/>
    <w:rsid w:val="000E50C2"/>
    <w:rsid w:val="000E50F4"/>
    <w:rsid w:val="000E5621"/>
    <w:rsid w:val="000E5C02"/>
    <w:rsid w:val="000E5CED"/>
    <w:rsid w:val="000E609D"/>
    <w:rsid w:val="000E6357"/>
    <w:rsid w:val="000E6655"/>
    <w:rsid w:val="000E6670"/>
    <w:rsid w:val="000E671A"/>
    <w:rsid w:val="000E69BA"/>
    <w:rsid w:val="000E6C95"/>
    <w:rsid w:val="000E707E"/>
    <w:rsid w:val="000E70D3"/>
    <w:rsid w:val="000E7BFA"/>
    <w:rsid w:val="000F00E5"/>
    <w:rsid w:val="000F0139"/>
    <w:rsid w:val="000F0C38"/>
    <w:rsid w:val="000F0FA1"/>
    <w:rsid w:val="000F1496"/>
    <w:rsid w:val="000F16B0"/>
    <w:rsid w:val="000F1A1B"/>
    <w:rsid w:val="000F2007"/>
    <w:rsid w:val="000F22F5"/>
    <w:rsid w:val="000F254F"/>
    <w:rsid w:val="000F27EC"/>
    <w:rsid w:val="000F28E1"/>
    <w:rsid w:val="000F2910"/>
    <w:rsid w:val="000F2C66"/>
    <w:rsid w:val="000F3A63"/>
    <w:rsid w:val="000F3C06"/>
    <w:rsid w:val="000F3CBD"/>
    <w:rsid w:val="000F3EDE"/>
    <w:rsid w:val="000F43E4"/>
    <w:rsid w:val="000F44A9"/>
    <w:rsid w:val="000F44D6"/>
    <w:rsid w:val="000F487C"/>
    <w:rsid w:val="000F492F"/>
    <w:rsid w:val="000F49E9"/>
    <w:rsid w:val="000F4BE9"/>
    <w:rsid w:val="000F4E24"/>
    <w:rsid w:val="000F4EC6"/>
    <w:rsid w:val="000F566B"/>
    <w:rsid w:val="000F58AF"/>
    <w:rsid w:val="000F58EF"/>
    <w:rsid w:val="000F5BB9"/>
    <w:rsid w:val="000F61ED"/>
    <w:rsid w:val="000F63C2"/>
    <w:rsid w:val="000F63F5"/>
    <w:rsid w:val="000F64F9"/>
    <w:rsid w:val="000F6D1D"/>
    <w:rsid w:val="000F6EEB"/>
    <w:rsid w:val="000F6EF1"/>
    <w:rsid w:val="000F75B1"/>
    <w:rsid w:val="000F7A1A"/>
    <w:rsid w:val="000F7B89"/>
    <w:rsid w:val="000F7CAF"/>
    <w:rsid w:val="00100370"/>
    <w:rsid w:val="0010049C"/>
    <w:rsid w:val="00100A56"/>
    <w:rsid w:val="00100D8B"/>
    <w:rsid w:val="001013C3"/>
    <w:rsid w:val="001014DA"/>
    <w:rsid w:val="00101562"/>
    <w:rsid w:val="001015E3"/>
    <w:rsid w:val="00101654"/>
    <w:rsid w:val="00101AF1"/>
    <w:rsid w:val="00101C15"/>
    <w:rsid w:val="001021B5"/>
    <w:rsid w:val="00102455"/>
    <w:rsid w:val="00102567"/>
    <w:rsid w:val="00102BD7"/>
    <w:rsid w:val="00102D94"/>
    <w:rsid w:val="00103C2D"/>
    <w:rsid w:val="00103C3E"/>
    <w:rsid w:val="001040CA"/>
    <w:rsid w:val="001040E1"/>
    <w:rsid w:val="001041AF"/>
    <w:rsid w:val="00104710"/>
    <w:rsid w:val="0010475E"/>
    <w:rsid w:val="00105656"/>
    <w:rsid w:val="001058C0"/>
    <w:rsid w:val="00105B2A"/>
    <w:rsid w:val="00106074"/>
    <w:rsid w:val="00106338"/>
    <w:rsid w:val="0010654A"/>
    <w:rsid w:val="0010660B"/>
    <w:rsid w:val="001066E5"/>
    <w:rsid w:val="001073BC"/>
    <w:rsid w:val="00107410"/>
    <w:rsid w:val="00107AE8"/>
    <w:rsid w:val="00107FF9"/>
    <w:rsid w:val="00110108"/>
    <w:rsid w:val="0011036B"/>
    <w:rsid w:val="00110747"/>
    <w:rsid w:val="00110D6B"/>
    <w:rsid w:val="001110A4"/>
    <w:rsid w:val="0011111A"/>
    <w:rsid w:val="001113E3"/>
    <w:rsid w:val="00111409"/>
    <w:rsid w:val="00111ADD"/>
    <w:rsid w:val="00111C46"/>
    <w:rsid w:val="00111E5A"/>
    <w:rsid w:val="00112348"/>
    <w:rsid w:val="00112D26"/>
    <w:rsid w:val="00112DBE"/>
    <w:rsid w:val="00112DE5"/>
    <w:rsid w:val="00113899"/>
    <w:rsid w:val="00113AC5"/>
    <w:rsid w:val="00113BF6"/>
    <w:rsid w:val="00114557"/>
    <w:rsid w:val="001147E3"/>
    <w:rsid w:val="00114864"/>
    <w:rsid w:val="00114BD0"/>
    <w:rsid w:val="00114D6C"/>
    <w:rsid w:val="00114EAB"/>
    <w:rsid w:val="00114EBD"/>
    <w:rsid w:val="00114EFB"/>
    <w:rsid w:val="00115507"/>
    <w:rsid w:val="001156F6"/>
    <w:rsid w:val="00115BE7"/>
    <w:rsid w:val="00115F87"/>
    <w:rsid w:val="00116068"/>
    <w:rsid w:val="00116647"/>
    <w:rsid w:val="00116654"/>
    <w:rsid w:val="00116B10"/>
    <w:rsid w:val="00116CBA"/>
    <w:rsid w:val="00116DEA"/>
    <w:rsid w:val="00116EF0"/>
    <w:rsid w:val="00117BE6"/>
    <w:rsid w:val="00117EB9"/>
    <w:rsid w:val="00120755"/>
    <w:rsid w:val="00120861"/>
    <w:rsid w:val="00120952"/>
    <w:rsid w:val="00120C3C"/>
    <w:rsid w:val="001214B3"/>
    <w:rsid w:val="0012158A"/>
    <w:rsid w:val="0012218B"/>
    <w:rsid w:val="0012241E"/>
    <w:rsid w:val="00122507"/>
    <w:rsid w:val="0012285E"/>
    <w:rsid w:val="001228EE"/>
    <w:rsid w:val="00122AD7"/>
    <w:rsid w:val="00122BCE"/>
    <w:rsid w:val="00122C0F"/>
    <w:rsid w:val="001230BF"/>
    <w:rsid w:val="0012326F"/>
    <w:rsid w:val="00123442"/>
    <w:rsid w:val="001234E6"/>
    <w:rsid w:val="0012419A"/>
    <w:rsid w:val="0012466C"/>
    <w:rsid w:val="0012493F"/>
    <w:rsid w:val="001249D4"/>
    <w:rsid w:val="00124DDB"/>
    <w:rsid w:val="00125098"/>
    <w:rsid w:val="0012516D"/>
    <w:rsid w:val="00125256"/>
    <w:rsid w:val="0012529C"/>
    <w:rsid w:val="0012537C"/>
    <w:rsid w:val="001253C8"/>
    <w:rsid w:val="001256BC"/>
    <w:rsid w:val="00125792"/>
    <w:rsid w:val="00125A4A"/>
    <w:rsid w:val="00125C93"/>
    <w:rsid w:val="00125CAD"/>
    <w:rsid w:val="00125F5B"/>
    <w:rsid w:val="0012605F"/>
    <w:rsid w:val="00126073"/>
    <w:rsid w:val="0012645F"/>
    <w:rsid w:val="001264BE"/>
    <w:rsid w:val="00126C45"/>
    <w:rsid w:val="00126C71"/>
    <w:rsid w:val="00127158"/>
    <w:rsid w:val="00127162"/>
    <w:rsid w:val="00127703"/>
    <w:rsid w:val="00127A10"/>
    <w:rsid w:val="00127ADE"/>
    <w:rsid w:val="00127D2E"/>
    <w:rsid w:val="0013012F"/>
    <w:rsid w:val="0013068D"/>
    <w:rsid w:val="001307DF"/>
    <w:rsid w:val="00130B64"/>
    <w:rsid w:val="00131392"/>
    <w:rsid w:val="001314AB"/>
    <w:rsid w:val="001317E3"/>
    <w:rsid w:val="00131D95"/>
    <w:rsid w:val="00131DC3"/>
    <w:rsid w:val="00132227"/>
    <w:rsid w:val="00132437"/>
    <w:rsid w:val="00132B1D"/>
    <w:rsid w:val="001334DE"/>
    <w:rsid w:val="001336BD"/>
    <w:rsid w:val="001337F6"/>
    <w:rsid w:val="00133A88"/>
    <w:rsid w:val="00133DD5"/>
    <w:rsid w:val="00133ED0"/>
    <w:rsid w:val="00134175"/>
    <w:rsid w:val="00134341"/>
    <w:rsid w:val="001343D3"/>
    <w:rsid w:val="00134E30"/>
    <w:rsid w:val="00135113"/>
    <w:rsid w:val="00135859"/>
    <w:rsid w:val="00135D4B"/>
    <w:rsid w:val="00136051"/>
    <w:rsid w:val="0013612E"/>
    <w:rsid w:val="00136660"/>
    <w:rsid w:val="0013668C"/>
    <w:rsid w:val="00136895"/>
    <w:rsid w:val="00137125"/>
    <w:rsid w:val="00137843"/>
    <w:rsid w:val="00137863"/>
    <w:rsid w:val="00137A6E"/>
    <w:rsid w:val="00137BAB"/>
    <w:rsid w:val="0014030A"/>
    <w:rsid w:val="001408C0"/>
    <w:rsid w:val="00140A5D"/>
    <w:rsid w:val="00140C07"/>
    <w:rsid w:val="00140E64"/>
    <w:rsid w:val="001414E2"/>
    <w:rsid w:val="00141711"/>
    <w:rsid w:val="00141782"/>
    <w:rsid w:val="001421E1"/>
    <w:rsid w:val="0014267C"/>
    <w:rsid w:val="0014268F"/>
    <w:rsid w:val="001426FD"/>
    <w:rsid w:val="00142726"/>
    <w:rsid w:val="0014284F"/>
    <w:rsid w:val="001429F3"/>
    <w:rsid w:val="00142D79"/>
    <w:rsid w:val="00143270"/>
    <w:rsid w:val="00143834"/>
    <w:rsid w:val="00143C97"/>
    <w:rsid w:val="00143CC8"/>
    <w:rsid w:val="00144135"/>
    <w:rsid w:val="0014420D"/>
    <w:rsid w:val="00144317"/>
    <w:rsid w:val="00144377"/>
    <w:rsid w:val="001443D8"/>
    <w:rsid w:val="00144B2E"/>
    <w:rsid w:val="00144CC6"/>
    <w:rsid w:val="00144D14"/>
    <w:rsid w:val="00145107"/>
    <w:rsid w:val="00145406"/>
    <w:rsid w:val="00145839"/>
    <w:rsid w:val="00146104"/>
    <w:rsid w:val="0014647F"/>
    <w:rsid w:val="001466D2"/>
    <w:rsid w:val="001466D3"/>
    <w:rsid w:val="001468AB"/>
    <w:rsid w:val="001468EB"/>
    <w:rsid w:val="001471B0"/>
    <w:rsid w:val="0014759C"/>
    <w:rsid w:val="0014764C"/>
    <w:rsid w:val="001479F1"/>
    <w:rsid w:val="0015034A"/>
    <w:rsid w:val="001503CC"/>
    <w:rsid w:val="001504D9"/>
    <w:rsid w:val="00150D6C"/>
    <w:rsid w:val="00150DC3"/>
    <w:rsid w:val="00151AE1"/>
    <w:rsid w:val="00151C24"/>
    <w:rsid w:val="00151F0A"/>
    <w:rsid w:val="0015207F"/>
    <w:rsid w:val="00152368"/>
    <w:rsid w:val="0015271D"/>
    <w:rsid w:val="0015286F"/>
    <w:rsid w:val="00152A75"/>
    <w:rsid w:val="00152B14"/>
    <w:rsid w:val="00152EDF"/>
    <w:rsid w:val="0015312A"/>
    <w:rsid w:val="0015356F"/>
    <w:rsid w:val="0015357D"/>
    <w:rsid w:val="00153854"/>
    <w:rsid w:val="00154458"/>
    <w:rsid w:val="00154747"/>
    <w:rsid w:val="001547CD"/>
    <w:rsid w:val="00154DDF"/>
    <w:rsid w:val="00155A0D"/>
    <w:rsid w:val="00155B64"/>
    <w:rsid w:val="00155F2B"/>
    <w:rsid w:val="00156078"/>
    <w:rsid w:val="001563CE"/>
    <w:rsid w:val="00156596"/>
    <w:rsid w:val="001569A6"/>
    <w:rsid w:val="00156AAB"/>
    <w:rsid w:val="00156B14"/>
    <w:rsid w:val="00156D62"/>
    <w:rsid w:val="00157063"/>
    <w:rsid w:val="0015786D"/>
    <w:rsid w:val="001579B8"/>
    <w:rsid w:val="00157B68"/>
    <w:rsid w:val="00157D15"/>
    <w:rsid w:val="00157F32"/>
    <w:rsid w:val="001604C8"/>
    <w:rsid w:val="0016054C"/>
    <w:rsid w:val="001605B3"/>
    <w:rsid w:val="001607CB"/>
    <w:rsid w:val="00160C46"/>
    <w:rsid w:val="00160CCD"/>
    <w:rsid w:val="00160D84"/>
    <w:rsid w:val="00161337"/>
    <w:rsid w:val="00161630"/>
    <w:rsid w:val="00161B38"/>
    <w:rsid w:val="00161C38"/>
    <w:rsid w:val="00161FAD"/>
    <w:rsid w:val="00162221"/>
    <w:rsid w:val="00162495"/>
    <w:rsid w:val="001624B7"/>
    <w:rsid w:val="0016276D"/>
    <w:rsid w:val="0016278A"/>
    <w:rsid w:val="001629AA"/>
    <w:rsid w:val="00162B00"/>
    <w:rsid w:val="00162E01"/>
    <w:rsid w:val="00163052"/>
    <w:rsid w:val="0016427D"/>
    <w:rsid w:val="00164295"/>
    <w:rsid w:val="00164484"/>
    <w:rsid w:val="00164875"/>
    <w:rsid w:val="001649ED"/>
    <w:rsid w:val="00164BC2"/>
    <w:rsid w:val="00164DE9"/>
    <w:rsid w:val="00165462"/>
    <w:rsid w:val="001655E9"/>
    <w:rsid w:val="001656CC"/>
    <w:rsid w:val="0016595F"/>
    <w:rsid w:val="001665D9"/>
    <w:rsid w:val="00166B17"/>
    <w:rsid w:val="00166D81"/>
    <w:rsid w:val="00166FF4"/>
    <w:rsid w:val="00167403"/>
    <w:rsid w:val="00167533"/>
    <w:rsid w:val="001675EE"/>
    <w:rsid w:val="001676E0"/>
    <w:rsid w:val="0016788C"/>
    <w:rsid w:val="001678F8"/>
    <w:rsid w:val="001679AB"/>
    <w:rsid w:val="00167D4D"/>
    <w:rsid w:val="00170007"/>
    <w:rsid w:val="0017062B"/>
    <w:rsid w:val="00170632"/>
    <w:rsid w:val="00170681"/>
    <w:rsid w:val="00170830"/>
    <w:rsid w:val="00170838"/>
    <w:rsid w:val="0017096E"/>
    <w:rsid w:val="00170C68"/>
    <w:rsid w:val="0017115B"/>
    <w:rsid w:val="001711C1"/>
    <w:rsid w:val="00171261"/>
    <w:rsid w:val="00171390"/>
    <w:rsid w:val="00171B93"/>
    <w:rsid w:val="00171EB5"/>
    <w:rsid w:val="0017268F"/>
    <w:rsid w:val="00172711"/>
    <w:rsid w:val="00172CA3"/>
    <w:rsid w:val="00172F33"/>
    <w:rsid w:val="00172FBA"/>
    <w:rsid w:val="00173560"/>
    <w:rsid w:val="001736B9"/>
    <w:rsid w:val="00173EA8"/>
    <w:rsid w:val="00173FE8"/>
    <w:rsid w:val="0017439B"/>
    <w:rsid w:val="00174513"/>
    <w:rsid w:val="00174A31"/>
    <w:rsid w:val="00174C54"/>
    <w:rsid w:val="00174CCB"/>
    <w:rsid w:val="00175001"/>
    <w:rsid w:val="001753A0"/>
    <w:rsid w:val="0017564D"/>
    <w:rsid w:val="001762AB"/>
    <w:rsid w:val="0017637C"/>
    <w:rsid w:val="001763BF"/>
    <w:rsid w:val="00176460"/>
    <w:rsid w:val="00176610"/>
    <w:rsid w:val="001767CD"/>
    <w:rsid w:val="001768E9"/>
    <w:rsid w:val="00176F9D"/>
    <w:rsid w:val="0017729E"/>
    <w:rsid w:val="00177475"/>
    <w:rsid w:val="001778F6"/>
    <w:rsid w:val="00177E4A"/>
    <w:rsid w:val="0018013E"/>
    <w:rsid w:val="001802B9"/>
    <w:rsid w:val="00180367"/>
    <w:rsid w:val="00180734"/>
    <w:rsid w:val="00180A5F"/>
    <w:rsid w:val="001816FB"/>
    <w:rsid w:val="00181752"/>
    <w:rsid w:val="00181856"/>
    <w:rsid w:val="00181D23"/>
    <w:rsid w:val="00181ECD"/>
    <w:rsid w:val="00182149"/>
    <w:rsid w:val="001828D8"/>
    <w:rsid w:val="00182BEF"/>
    <w:rsid w:val="00182E41"/>
    <w:rsid w:val="001830A8"/>
    <w:rsid w:val="001830BD"/>
    <w:rsid w:val="001835D2"/>
    <w:rsid w:val="00183B90"/>
    <w:rsid w:val="0018417A"/>
    <w:rsid w:val="001841F2"/>
    <w:rsid w:val="00184A2C"/>
    <w:rsid w:val="00184D53"/>
    <w:rsid w:val="00184FE6"/>
    <w:rsid w:val="00185239"/>
    <w:rsid w:val="001854C2"/>
    <w:rsid w:val="00185B53"/>
    <w:rsid w:val="00185C52"/>
    <w:rsid w:val="00186091"/>
    <w:rsid w:val="001862EF"/>
    <w:rsid w:val="001866C2"/>
    <w:rsid w:val="00186CDF"/>
    <w:rsid w:val="00186E18"/>
    <w:rsid w:val="001871B8"/>
    <w:rsid w:val="00187562"/>
    <w:rsid w:val="001877F0"/>
    <w:rsid w:val="0018780B"/>
    <w:rsid w:val="00187948"/>
    <w:rsid w:val="00187B3E"/>
    <w:rsid w:val="00187BBA"/>
    <w:rsid w:val="00190011"/>
    <w:rsid w:val="00190353"/>
    <w:rsid w:val="001906EA"/>
    <w:rsid w:val="00190B39"/>
    <w:rsid w:val="00190C30"/>
    <w:rsid w:val="00190FDA"/>
    <w:rsid w:val="0019132A"/>
    <w:rsid w:val="0019177D"/>
    <w:rsid w:val="00191E2A"/>
    <w:rsid w:val="00191F76"/>
    <w:rsid w:val="00192AB9"/>
    <w:rsid w:val="001934D5"/>
    <w:rsid w:val="0019365D"/>
    <w:rsid w:val="00193AD2"/>
    <w:rsid w:val="00193CC8"/>
    <w:rsid w:val="00193F74"/>
    <w:rsid w:val="00193FD2"/>
    <w:rsid w:val="00194B3C"/>
    <w:rsid w:val="0019505F"/>
    <w:rsid w:val="001952D3"/>
    <w:rsid w:val="001955AA"/>
    <w:rsid w:val="00195659"/>
    <w:rsid w:val="00195684"/>
    <w:rsid w:val="001957C7"/>
    <w:rsid w:val="00195871"/>
    <w:rsid w:val="00196100"/>
    <w:rsid w:val="00196107"/>
    <w:rsid w:val="001967BC"/>
    <w:rsid w:val="00196B77"/>
    <w:rsid w:val="00196FA5"/>
    <w:rsid w:val="0019703F"/>
    <w:rsid w:val="0019722B"/>
    <w:rsid w:val="001973CE"/>
    <w:rsid w:val="00197647"/>
    <w:rsid w:val="00197881"/>
    <w:rsid w:val="001978EA"/>
    <w:rsid w:val="00197961"/>
    <w:rsid w:val="00197CA1"/>
    <w:rsid w:val="00197DAB"/>
    <w:rsid w:val="00197E05"/>
    <w:rsid w:val="00197F0D"/>
    <w:rsid w:val="001A02AA"/>
    <w:rsid w:val="001A06E2"/>
    <w:rsid w:val="001A0CC2"/>
    <w:rsid w:val="001A0E7B"/>
    <w:rsid w:val="001A10A9"/>
    <w:rsid w:val="001A10B5"/>
    <w:rsid w:val="001A1270"/>
    <w:rsid w:val="001A1500"/>
    <w:rsid w:val="001A1699"/>
    <w:rsid w:val="001A1915"/>
    <w:rsid w:val="001A1944"/>
    <w:rsid w:val="001A19C8"/>
    <w:rsid w:val="001A1BB1"/>
    <w:rsid w:val="001A1C68"/>
    <w:rsid w:val="001A1FD8"/>
    <w:rsid w:val="001A24CA"/>
    <w:rsid w:val="001A27BE"/>
    <w:rsid w:val="001A2B43"/>
    <w:rsid w:val="001A2CCF"/>
    <w:rsid w:val="001A300A"/>
    <w:rsid w:val="001A3147"/>
    <w:rsid w:val="001A3CE0"/>
    <w:rsid w:val="001A3DB9"/>
    <w:rsid w:val="001A3F9C"/>
    <w:rsid w:val="001A41E2"/>
    <w:rsid w:val="001A4659"/>
    <w:rsid w:val="001A498A"/>
    <w:rsid w:val="001A4BAE"/>
    <w:rsid w:val="001A4E21"/>
    <w:rsid w:val="001A4F13"/>
    <w:rsid w:val="001A5138"/>
    <w:rsid w:val="001A519E"/>
    <w:rsid w:val="001A573E"/>
    <w:rsid w:val="001A57B5"/>
    <w:rsid w:val="001A57C4"/>
    <w:rsid w:val="001A5899"/>
    <w:rsid w:val="001A59F8"/>
    <w:rsid w:val="001A5A75"/>
    <w:rsid w:val="001A5AFC"/>
    <w:rsid w:val="001A5B5F"/>
    <w:rsid w:val="001A5EFC"/>
    <w:rsid w:val="001A605E"/>
    <w:rsid w:val="001A62FE"/>
    <w:rsid w:val="001A6925"/>
    <w:rsid w:val="001A6DA3"/>
    <w:rsid w:val="001A7117"/>
    <w:rsid w:val="001A754E"/>
    <w:rsid w:val="001A7606"/>
    <w:rsid w:val="001A7757"/>
    <w:rsid w:val="001A785D"/>
    <w:rsid w:val="001A7A99"/>
    <w:rsid w:val="001A7B09"/>
    <w:rsid w:val="001B0954"/>
    <w:rsid w:val="001B0A16"/>
    <w:rsid w:val="001B0EAA"/>
    <w:rsid w:val="001B152F"/>
    <w:rsid w:val="001B1581"/>
    <w:rsid w:val="001B163A"/>
    <w:rsid w:val="001B1EC8"/>
    <w:rsid w:val="001B1F0A"/>
    <w:rsid w:val="001B1FC6"/>
    <w:rsid w:val="001B212C"/>
    <w:rsid w:val="001B25DF"/>
    <w:rsid w:val="001B2835"/>
    <w:rsid w:val="001B2A04"/>
    <w:rsid w:val="001B2CFC"/>
    <w:rsid w:val="001B2F17"/>
    <w:rsid w:val="001B3911"/>
    <w:rsid w:val="001B3A8D"/>
    <w:rsid w:val="001B3E8C"/>
    <w:rsid w:val="001B426E"/>
    <w:rsid w:val="001B4827"/>
    <w:rsid w:val="001B4A0E"/>
    <w:rsid w:val="001B4EB4"/>
    <w:rsid w:val="001B4F5C"/>
    <w:rsid w:val="001B559B"/>
    <w:rsid w:val="001B5638"/>
    <w:rsid w:val="001B5889"/>
    <w:rsid w:val="001B5A3F"/>
    <w:rsid w:val="001B5B87"/>
    <w:rsid w:val="001B5CFB"/>
    <w:rsid w:val="001B63B9"/>
    <w:rsid w:val="001B6541"/>
    <w:rsid w:val="001B6692"/>
    <w:rsid w:val="001B66AB"/>
    <w:rsid w:val="001B6853"/>
    <w:rsid w:val="001B6DC9"/>
    <w:rsid w:val="001B7354"/>
    <w:rsid w:val="001B7BB1"/>
    <w:rsid w:val="001B7C0B"/>
    <w:rsid w:val="001B7D9B"/>
    <w:rsid w:val="001B7FAE"/>
    <w:rsid w:val="001C00AC"/>
    <w:rsid w:val="001C0285"/>
    <w:rsid w:val="001C05E9"/>
    <w:rsid w:val="001C0E13"/>
    <w:rsid w:val="001C1475"/>
    <w:rsid w:val="001C1703"/>
    <w:rsid w:val="001C17F6"/>
    <w:rsid w:val="001C236F"/>
    <w:rsid w:val="001C2C86"/>
    <w:rsid w:val="001C2CE4"/>
    <w:rsid w:val="001C2FBB"/>
    <w:rsid w:val="001C3106"/>
    <w:rsid w:val="001C329C"/>
    <w:rsid w:val="001C347B"/>
    <w:rsid w:val="001C3715"/>
    <w:rsid w:val="001C3BCA"/>
    <w:rsid w:val="001C3DC3"/>
    <w:rsid w:val="001C4109"/>
    <w:rsid w:val="001C4235"/>
    <w:rsid w:val="001C4995"/>
    <w:rsid w:val="001C4AA7"/>
    <w:rsid w:val="001C4AB8"/>
    <w:rsid w:val="001C4CA0"/>
    <w:rsid w:val="001C4CFB"/>
    <w:rsid w:val="001C4D52"/>
    <w:rsid w:val="001C4EA3"/>
    <w:rsid w:val="001C50DA"/>
    <w:rsid w:val="001C5D09"/>
    <w:rsid w:val="001C5D43"/>
    <w:rsid w:val="001C5E6C"/>
    <w:rsid w:val="001C5F7A"/>
    <w:rsid w:val="001C5FFE"/>
    <w:rsid w:val="001C6076"/>
    <w:rsid w:val="001C6425"/>
    <w:rsid w:val="001C6600"/>
    <w:rsid w:val="001C6704"/>
    <w:rsid w:val="001C683F"/>
    <w:rsid w:val="001C6A09"/>
    <w:rsid w:val="001C6B13"/>
    <w:rsid w:val="001C6C95"/>
    <w:rsid w:val="001C6C97"/>
    <w:rsid w:val="001C6CFB"/>
    <w:rsid w:val="001C701A"/>
    <w:rsid w:val="001C71FF"/>
    <w:rsid w:val="001C7572"/>
    <w:rsid w:val="001C765F"/>
    <w:rsid w:val="001C793D"/>
    <w:rsid w:val="001C7DCE"/>
    <w:rsid w:val="001C7F01"/>
    <w:rsid w:val="001C7F4E"/>
    <w:rsid w:val="001D0311"/>
    <w:rsid w:val="001D04E1"/>
    <w:rsid w:val="001D0C21"/>
    <w:rsid w:val="001D0E9F"/>
    <w:rsid w:val="001D0FA5"/>
    <w:rsid w:val="001D131E"/>
    <w:rsid w:val="001D1869"/>
    <w:rsid w:val="001D2002"/>
    <w:rsid w:val="001D24AC"/>
    <w:rsid w:val="001D27A5"/>
    <w:rsid w:val="001D29A5"/>
    <w:rsid w:val="001D2ADC"/>
    <w:rsid w:val="001D2B86"/>
    <w:rsid w:val="001D3900"/>
    <w:rsid w:val="001D3DEC"/>
    <w:rsid w:val="001D3FD4"/>
    <w:rsid w:val="001D4609"/>
    <w:rsid w:val="001D4CF9"/>
    <w:rsid w:val="001D4D35"/>
    <w:rsid w:val="001D4EC2"/>
    <w:rsid w:val="001D56F2"/>
    <w:rsid w:val="001D595F"/>
    <w:rsid w:val="001D5AF1"/>
    <w:rsid w:val="001D5C60"/>
    <w:rsid w:val="001D5CD0"/>
    <w:rsid w:val="001D634F"/>
    <w:rsid w:val="001D6409"/>
    <w:rsid w:val="001D6678"/>
    <w:rsid w:val="001D682D"/>
    <w:rsid w:val="001D69F6"/>
    <w:rsid w:val="001D6A2C"/>
    <w:rsid w:val="001D6D40"/>
    <w:rsid w:val="001D7015"/>
    <w:rsid w:val="001D7022"/>
    <w:rsid w:val="001D707E"/>
    <w:rsid w:val="001D742A"/>
    <w:rsid w:val="001D757B"/>
    <w:rsid w:val="001D79AC"/>
    <w:rsid w:val="001D7D68"/>
    <w:rsid w:val="001D7FB2"/>
    <w:rsid w:val="001E0031"/>
    <w:rsid w:val="001E007E"/>
    <w:rsid w:val="001E01D8"/>
    <w:rsid w:val="001E0608"/>
    <w:rsid w:val="001E073C"/>
    <w:rsid w:val="001E09C8"/>
    <w:rsid w:val="001E0B16"/>
    <w:rsid w:val="001E0BB2"/>
    <w:rsid w:val="001E0DE5"/>
    <w:rsid w:val="001E0F83"/>
    <w:rsid w:val="001E0FE2"/>
    <w:rsid w:val="001E11D6"/>
    <w:rsid w:val="001E11FA"/>
    <w:rsid w:val="001E12D7"/>
    <w:rsid w:val="001E152D"/>
    <w:rsid w:val="001E1E07"/>
    <w:rsid w:val="001E1FED"/>
    <w:rsid w:val="001E2256"/>
    <w:rsid w:val="001E27FD"/>
    <w:rsid w:val="001E2965"/>
    <w:rsid w:val="001E2B58"/>
    <w:rsid w:val="001E2C4C"/>
    <w:rsid w:val="001E3571"/>
    <w:rsid w:val="001E36C4"/>
    <w:rsid w:val="001E45E4"/>
    <w:rsid w:val="001E479B"/>
    <w:rsid w:val="001E4D88"/>
    <w:rsid w:val="001E4EE2"/>
    <w:rsid w:val="001E52FA"/>
    <w:rsid w:val="001E5560"/>
    <w:rsid w:val="001E5EDF"/>
    <w:rsid w:val="001E5EF4"/>
    <w:rsid w:val="001E64F8"/>
    <w:rsid w:val="001E68DC"/>
    <w:rsid w:val="001E6D8B"/>
    <w:rsid w:val="001E70AF"/>
    <w:rsid w:val="001E72A7"/>
    <w:rsid w:val="001E7395"/>
    <w:rsid w:val="001E76CB"/>
    <w:rsid w:val="001E7F5F"/>
    <w:rsid w:val="001F0A7C"/>
    <w:rsid w:val="001F0B38"/>
    <w:rsid w:val="001F0C23"/>
    <w:rsid w:val="001F15E3"/>
    <w:rsid w:val="001F16CA"/>
    <w:rsid w:val="001F1DF6"/>
    <w:rsid w:val="001F2006"/>
    <w:rsid w:val="001F2028"/>
    <w:rsid w:val="001F214B"/>
    <w:rsid w:val="001F2347"/>
    <w:rsid w:val="001F2C60"/>
    <w:rsid w:val="001F30F9"/>
    <w:rsid w:val="001F3171"/>
    <w:rsid w:val="001F33BD"/>
    <w:rsid w:val="001F3510"/>
    <w:rsid w:val="001F3521"/>
    <w:rsid w:val="001F3A40"/>
    <w:rsid w:val="001F3AFD"/>
    <w:rsid w:val="001F3E14"/>
    <w:rsid w:val="001F412C"/>
    <w:rsid w:val="001F4215"/>
    <w:rsid w:val="001F4301"/>
    <w:rsid w:val="001F45AE"/>
    <w:rsid w:val="001F4CD9"/>
    <w:rsid w:val="001F5424"/>
    <w:rsid w:val="001F5491"/>
    <w:rsid w:val="001F668A"/>
    <w:rsid w:val="001F6701"/>
    <w:rsid w:val="001F7189"/>
    <w:rsid w:val="001F737C"/>
    <w:rsid w:val="001F7AC2"/>
    <w:rsid w:val="001F7DCB"/>
    <w:rsid w:val="00200517"/>
    <w:rsid w:val="00200D92"/>
    <w:rsid w:val="00201315"/>
    <w:rsid w:val="00201486"/>
    <w:rsid w:val="00201671"/>
    <w:rsid w:val="002020D3"/>
    <w:rsid w:val="0020223D"/>
    <w:rsid w:val="0020272C"/>
    <w:rsid w:val="002027E9"/>
    <w:rsid w:val="00202D4F"/>
    <w:rsid w:val="00202FE4"/>
    <w:rsid w:val="0020305D"/>
    <w:rsid w:val="002038F5"/>
    <w:rsid w:val="002040CD"/>
    <w:rsid w:val="0020415E"/>
    <w:rsid w:val="002043B2"/>
    <w:rsid w:val="002047BA"/>
    <w:rsid w:val="00205046"/>
    <w:rsid w:val="0020530E"/>
    <w:rsid w:val="00205682"/>
    <w:rsid w:val="00205B29"/>
    <w:rsid w:val="00205F60"/>
    <w:rsid w:val="00206001"/>
    <w:rsid w:val="00206159"/>
    <w:rsid w:val="002061A2"/>
    <w:rsid w:val="002064BC"/>
    <w:rsid w:val="002065F8"/>
    <w:rsid w:val="00206670"/>
    <w:rsid w:val="0020673A"/>
    <w:rsid w:val="002067E2"/>
    <w:rsid w:val="00206938"/>
    <w:rsid w:val="00206B9E"/>
    <w:rsid w:val="00206BD7"/>
    <w:rsid w:val="00206F9E"/>
    <w:rsid w:val="00207335"/>
    <w:rsid w:val="002073AB"/>
    <w:rsid w:val="00207D39"/>
    <w:rsid w:val="0021054D"/>
    <w:rsid w:val="00210637"/>
    <w:rsid w:val="002107F0"/>
    <w:rsid w:val="00210BFC"/>
    <w:rsid w:val="00211162"/>
    <w:rsid w:val="0021117F"/>
    <w:rsid w:val="002111A9"/>
    <w:rsid w:val="00211335"/>
    <w:rsid w:val="00211655"/>
    <w:rsid w:val="0021184F"/>
    <w:rsid w:val="00211A4E"/>
    <w:rsid w:val="00211D80"/>
    <w:rsid w:val="00211E4B"/>
    <w:rsid w:val="00212403"/>
    <w:rsid w:val="00212476"/>
    <w:rsid w:val="002126F2"/>
    <w:rsid w:val="0021273B"/>
    <w:rsid w:val="00212DE0"/>
    <w:rsid w:val="00212E1C"/>
    <w:rsid w:val="002130C2"/>
    <w:rsid w:val="002131AA"/>
    <w:rsid w:val="002132C5"/>
    <w:rsid w:val="002132F6"/>
    <w:rsid w:val="0021362E"/>
    <w:rsid w:val="00213706"/>
    <w:rsid w:val="002138AF"/>
    <w:rsid w:val="00213D33"/>
    <w:rsid w:val="002140CB"/>
    <w:rsid w:val="002143EA"/>
    <w:rsid w:val="00214CA6"/>
    <w:rsid w:val="0021568B"/>
    <w:rsid w:val="00215878"/>
    <w:rsid w:val="002159BA"/>
    <w:rsid w:val="002159CD"/>
    <w:rsid w:val="00215A01"/>
    <w:rsid w:val="00216328"/>
    <w:rsid w:val="00216350"/>
    <w:rsid w:val="00216BDB"/>
    <w:rsid w:val="00216F43"/>
    <w:rsid w:val="00217080"/>
    <w:rsid w:val="002172D5"/>
    <w:rsid w:val="00217793"/>
    <w:rsid w:val="00217C65"/>
    <w:rsid w:val="00217F54"/>
    <w:rsid w:val="002200EC"/>
    <w:rsid w:val="002202DC"/>
    <w:rsid w:val="0022036D"/>
    <w:rsid w:val="0022052A"/>
    <w:rsid w:val="00220A9A"/>
    <w:rsid w:val="00220DFF"/>
    <w:rsid w:val="002212B3"/>
    <w:rsid w:val="0022142A"/>
    <w:rsid w:val="002217B1"/>
    <w:rsid w:val="002218E9"/>
    <w:rsid w:val="00221C8D"/>
    <w:rsid w:val="00221E36"/>
    <w:rsid w:val="00221FD7"/>
    <w:rsid w:val="00222236"/>
    <w:rsid w:val="0022231E"/>
    <w:rsid w:val="0022237C"/>
    <w:rsid w:val="0022249B"/>
    <w:rsid w:val="00222614"/>
    <w:rsid w:val="002226E8"/>
    <w:rsid w:val="002227F6"/>
    <w:rsid w:val="002230E5"/>
    <w:rsid w:val="002230F0"/>
    <w:rsid w:val="0022323B"/>
    <w:rsid w:val="0022345E"/>
    <w:rsid w:val="00223475"/>
    <w:rsid w:val="00223797"/>
    <w:rsid w:val="00223911"/>
    <w:rsid w:val="00223A80"/>
    <w:rsid w:val="00223B86"/>
    <w:rsid w:val="002244E2"/>
    <w:rsid w:val="0022464C"/>
    <w:rsid w:val="00224AD7"/>
    <w:rsid w:val="00224B3F"/>
    <w:rsid w:val="00224B5F"/>
    <w:rsid w:val="00224D4A"/>
    <w:rsid w:val="00224D72"/>
    <w:rsid w:val="00225747"/>
    <w:rsid w:val="00225762"/>
    <w:rsid w:val="00225870"/>
    <w:rsid w:val="00225C76"/>
    <w:rsid w:val="00225DE0"/>
    <w:rsid w:val="00226113"/>
    <w:rsid w:val="00226438"/>
    <w:rsid w:val="00226497"/>
    <w:rsid w:val="002266D4"/>
    <w:rsid w:val="002269D9"/>
    <w:rsid w:val="00226ADA"/>
    <w:rsid w:val="00226C51"/>
    <w:rsid w:val="00226CC8"/>
    <w:rsid w:val="002271B5"/>
    <w:rsid w:val="002278C2"/>
    <w:rsid w:val="00227B05"/>
    <w:rsid w:val="00227BE6"/>
    <w:rsid w:val="00230197"/>
    <w:rsid w:val="002301AC"/>
    <w:rsid w:val="002301BC"/>
    <w:rsid w:val="0023020F"/>
    <w:rsid w:val="002309A7"/>
    <w:rsid w:val="0023108D"/>
    <w:rsid w:val="002311B6"/>
    <w:rsid w:val="0023122A"/>
    <w:rsid w:val="00231632"/>
    <w:rsid w:val="0023163F"/>
    <w:rsid w:val="00231DEC"/>
    <w:rsid w:val="00231EC8"/>
    <w:rsid w:val="0023251D"/>
    <w:rsid w:val="00232896"/>
    <w:rsid w:val="002328E5"/>
    <w:rsid w:val="00232A35"/>
    <w:rsid w:val="002331B6"/>
    <w:rsid w:val="002334CE"/>
    <w:rsid w:val="002342B5"/>
    <w:rsid w:val="00234830"/>
    <w:rsid w:val="002349CF"/>
    <w:rsid w:val="0023559D"/>
    <w:rsid w:val="002358AD"/>
    <w:rsid w:val="00235CB2"/>
    <w:rsid w:val="00235E31"/>
    <w:rsid w:val="00236096"/>
    <w:rsid w:val="0023627E"/>
    <w:rsid w:val="002366BC"/>
    <w:rsid w:val="002368F4"/>
    <w:rsid w:val="00236B80"/>
    <w:rsid w:val="00236C29"/>
    <w:rsid w:val="0023719A"/>
    <w:rsid w:val="002374F8"/>
    <w:rsid w:val="00237786"/>
    <w:rsid w:val="00237804"/>
    <w:rsid w:val="00237B30"/>
    <w:rsid w:val="00237E0E"/>
    <w:rsid w:val="00240722"/>
    <w:rsid w:val="00240755"/>
    <w:rsid w:val="00240778"/>
    <w:rsid w:val="00240F93"/>
    <w:rsid w:val="0024126D"/>
    <w:rsid w:val="0024132B"/>
    <w:rsid w:val="0024159A"/>
    <w:rsid w:val="0024170C"/>
    <w:rsid w:val="002417F5"/>
    <w:rsid w:val="0024203F"/>
    <w:rsid w:val="0024207C"/>
    <w:rsid w:val="002421DD"/>
    <w:rsid w:val="0024226C"/>
    <w:rsid w:val="002422DC"/>
    <w:rsid w:val="00242490"/>
    <w:rsid w:val="0024283F"/>
    <w:rsid w:val="00242BBA"/>
    <w:rsid w:val="00243272"/>
    <w:rsid w:val="002439C3"/>
    <w:rsid w:val="002439EB"/>
    <w:rsid w:val="0024422C"/>
    <w:rsid w:val="00244607"/>
    <w:rsid w:val="00244A77"/>
    <w:rsid w:val="00244F57"/>
    <w:rsid w:val="00245423"/>
    <w:rsid w:val="00245964"/>
    <w:rsid w:val="0024694C"/>
    <w:rsid w:val="002469FB"/>
    <w:rsid w:val="00246A9A"/>
    <w:rsid w:val="0024788F"/>
    <w:rsid w:val="002479E1"/>
    <w:rsid w:val="00247AC4"/>
    <w:rsid w:val="00247E2A"/>
    <w:rsid w:val="002506C1"/>
    <w:rsid w:val="00250807"/>
    <w:rsid w:val="00250C4A"/>
    <w:rsid w:val="00251097"/>
    <w:rsid w:val="0025166F"/>
    <w:rsid w:val="00251677"/>
    <w:rsid w:val="00251734"/>
    <w:rsid w:val="00252178"/>
    <w:rsid w:val="002523AE"/>
    <w:rsid w:val="002523B2"/>
    <w:rsid w:val="00252437"/>
    <w:rsid w:val="002525A8"/>
    <w:rsid w:val="00252C3D"/>
    <w:rsid w:val="00252CF5"/>
    <w:rsid w:val="002530BD"/>
    <w:rsid w:val="00253253"/>
    <w:rsid w:val="00254860"/>
    <w:rsid w:val="00254884"/>
    <w:rsid w:val="00255199"/>
    <w:rsid w:val="002551C6"/>
    <w:rsid w:val="002559E0"/>
    <w:rsid w:val="00255F25"/>
    <w:rsid w:val="00255F79"/>
    <w:rsid w:val="0025615C"/>
    <w:rsid w:val="00256483"/>
    <w:rsid w:val="00256588"/>
    <w:rsid w:val="00256F12"/>
    <w:rsid w:val="002571F5"/>
    <w:rsid w:val="002576F3"/>
    <w:rsid w:val="00257A51"/>
    <w:rsid w:val="00257DED"/>
    <w:rsid w:val="00257E5B"/>
    <w:rsid w:val="00257F80"/>
    <w:rsid w:val="00257FB4"/>
    <w:rsid w:val="002600A3"/>
    <w:rsid w:val="002604F2"/>
    <w:rsid w:val="00260816"/>
    <w:rsid w:val="00260987"/>
    <w:rsid w:val="002609D9"/>
    <w:rsid w:val="00260D11"/>
    <w:rsid w:val="00260EC3"/>
    <w:rsid w:val="002611F4"/>
    <w:rsid w:val="0026122B"/>
    <w:rsid w:val="00261474"/>
    <w:rsid w:val="002614FD"/>
    <w:rsid w:val="00261B31"/>
    <w:rsid w:val="00261BCB"/>
    <w:rsid w:val="00261CCB"/>
    <w:rsid w:val="00261D16"/>
    <w:rsid w:val="00261E09"/>
    <w:rsid w:val="0026252F"/>
    <w:rsid w:val="00262BD5"/>
    <w:rsid w:val="0026330C"/>
    <w:rsid w:val="00263F0B"/>
    <w:rsid w:val="00264569"/>
    <w:rsid w:val="002646A3"/>
    <w:rsid w:val="002648BD"/>
    <w:rsid w:val="00264C7D"/>
    <w:rsid w:val="00264D63"/>
    <w:rsid w:val="00264D8A"/>
    <w:rsid w:val="00264F4C"/>
    <w:rsid w:val="002650D7"/>
    <w:rsid w:val="002653D3"/>
    <w:rsid w:val="0026550B"/>
    <w:rsid w:val="002659B8"/>
    <w:rsid w:val="00265B22"/>
    <w:rsid w:val="00266148"/>
    <w:rsid w:val="00266222"/>
    <w:rsid w:val="00266385"/>
    <w:rsid w:val="002663A9"/>
    <w:rsid w:val="002669A9"/>
    <w:rsid w:val="002669CC"/>
    <w:rsid w:val="002669F4"/>
    <w:rsid w:val="00266E02"/>
    <w:rsid w:val="0026710C"/>
    <w:rsid w:val="00270530"/>
    <w:rsid w:val="002705BE"/>
    <w:rsid w:val="00270A51"/>
    <w:rsid w:val="00270E02"/>
    <w:rsid w:val="00270EB9"/>
    <w:rsid w:val="0027100A"/>
    <w:rsid w:val="0027106D"/>
    <w:rsid w:val="00271284"/>
    <w:rsid w:val="0027154E"/>
    <w:rsid w:val="002721AC"/>
    <w:rsid w:val="00272356"/>
    <w:rsid w:val="00272705"/>
    <w:rsid w:val="002728EA"/>
    <w:rsid w:val="00272B77"/>
    <w:rsid w:val="002730BB"/>
    <w:rsid w:val="00273148"/>
    <w:rsid w:val="002731C9"/>
    <w:rsid w:val="0027334F"/>
    <w:rsid w:val="00273514"/>
    <w:rsid w:val="0027361D"/>
    <w:rsid w:val="00273B9A"/>
    <w:rsid w:val="00273E98"/>
    <w:rsid w:val="00274102"/>
    <w:rsid w:val="0027466D"/>
    <w:rsid w:val="00274964"/>
    <w:rsid w:val="00274D25"/>
    <w:rsid w:val="00274DF6"/>
    <w:rsid w:val="0027520C"/>
    <w:rsid w:val="0027520E"/>
    <w:rsid w:val="00275405"/>
    <w:rsid w:val="0027557A"/>
    <w:rsid w:val="0027588C"/>
    <w:rsid w:val="00275D34"/>
    <w:rsid w:val="0027602E"/>
    <w:rsid w:val="00276106"/>
    <w:rsid w:val="00276159"/>
    <w:rsid w:val="002761AC"/>
    <w:rsid w:val="002762D6"/>
    <w:rsid w:val="0027649D"/>
    <w:rsid w:val="002764AE"/>
    <w:rsid w:val="00276790"/>
    <w:rsid w:val="002767AA"/>
    <w:rsid w:val="00276A6E"/>
    <w:rsid w:val="00276BBE"/>
    <w:rsid w:val="00276D58"/>
    <w:rsid w:val="00276DC3"/>
    <w:rsid w:val="00277432"/>
    <w:rsid w:val="002775B9"/>
    <w:rsid w:val="00277723"/>
    <w:rsid w:val="00277D80"/>
    <w:rsid w:val="00280079"/>
    <w:rsid w:val="002804F4"/>
    <w:rsid w:val="002808B5"/>
    <w:rsid w:val="00280BC6"/>
    <w:rsid w:val="00281886"/>
    <w:rsid w:val="00281A9F"/>
    <w:rsid w:val="00281AFB"/>
    <w:rsid w:val="00281F4D"/>
    <w:rsid w:val="0028224D"/>
    <w:rsid w:val="00282384"/>
    <w:rsid w:val="0028279F"/>
    <w:rsid w:val="00283439"/>
    <w:rsid w:val="002834CE"/>
    <w:rsid w:val="00283E0C"/>
    <w:rsid w:val="002845CD"/>
    <w:rsid w:val="00284933"/>
    <w:rsid w:val="002849A2"/>
    <w:rsid w:val="002849F6"/>
    <w:rsid w:val="00284B37"/>
    <w:rsid w:val="00284B6B"/>
    <w:rsid w:val="00284BCD"/>
    <w:rsid w:val="00284C69"/>
    <w:rsid w:val="00284E7A"/>
    <w:rsid w:val="00284EEC"/>
    <w:rsid w:val="002851D2"/>
    <w:rsid w:val="00285339"/>
    <w:rsid w:val="00285381"/>
    <w:rsid w:val="00285558"/>
    <w:rsid w:val="00285B8F"/>
    <w:rsid w:val="00285C83"/>
    <w:rsid w:val="00285DEC"/>
    <w:rsid w:val="00286343"/>
    <w:rsid w:val="0028636E"/>
    <w:rsid w:val="00286472"/>
    <w:rsid w:val="0028648D"/>
    <w:rsid w:val="00286D54"/>
    <w:rsid w:val="00287223"/>
    <w:rsid w:val="00287242"/>
    <w:rsid w:val="00287294"/>
    <w:rsid w:val="0028730C"/>
    <w:rsid w:val="0028737D"/>
    <w:rsid w:val="00287396"/>
    <w:rsid w:val="0028752D"/>
    <w:rsid w:val="00287667"/>
    <w:rsid w:val="002878D4"/>
    <w:rsid w:val="00287B5E"/>
    <w:rsid w:val="00287FB6"/>
    <w:rsid w:val="00290173"/>
    <w:rsid w:val="002903C7"/>
    <w:rsid w:val="00290B23"/>
    <w:rsid w:val="00290D07"/>
    <w:rsid w:val="002911E4"/>
    <w:rsid w:val="00291449"/>
    <w:rsid w:val="002914B3"/>
    <w:rsid w:val="00291992"/>
    <w:rsid w:val="00291D30"/>
    <w:rsid w:val="00291D67"/>
    <w:rsid w:val="00292134"/>
    <w:rsid w:val="00292189"/>
    <w:rsid w:val="002921D1"/>
    <w:rsid w:val="0029250F"/>
    <w:rsid w:val="00292770"/>
    <w:rsid w:val="00292A9C"/>
    <w:rsid w:val="0029319D"/>
    <w:rsid w:val="002933F7"/>
    <w:rsid w:val="00293429"/>
    <w:rsid w:val="00293759"/>
    <w:rsid w:val="0029390B"/>
    <w:rsid w:val="00293914"/>
    <w:rsid w:val="00293C30"/>
    <w:rsid w:val="00293CC6"/>
    <w:rsid w:val="00293D28"/>
    <w:rsid w:val="00293D2C"/>
    <w:rsid w:val="00293EDF"/>
    <w:rsid w:val="00293F0F"/>
    <w:rsid w:val="00295560"/>
    <w:rsid w:val="0029597B"/>
    <w:rsid w:val="002962E8"/>
    <w:rsid w:val="00296534"/>
    <w:rsid w:val="002969C6"/>
    <w:rsid w:val="00296B82"/>
    <w:rsid w:val="00296EC0"/>
    <w:rsid w:val="00296EFE"/>
    <w:rsid w:val="00296FF1"/>
    <w:rsid w:val="00297223"/>
    <w:rsid w:val="00297B3F"/>
    <w:rsid w:val="00297B6A"/>
    <w:rsid w:val="002A0002"/>
    <w:rsid w:val="002A0A25"/>
    <w:rsid w:val="002A0BA2"/>
    <w:rsid w:val="002A11EE"/>
    <w:rsid w:val="002A14F4"/>
    <w:rsid w:val="002A1971"/>
    <w:rsid w:val="002A1B60"/>
    <w:rsid w:val="002A22C5"/>
    <w:rsid w:val="002A2354"/>
    <w:rsid w:val="002A263B"/>
    <w:rsid w:val="002A29D5"/>
    <w:rsid w:val="002A2D52"/>
    <w:rsid w:val="002A3348"/>
    <w:rsid w:val="002A3484"/>
    <w:rsid w:val="002A364B"/>
    <w:rsid w:val="002A382A"/>
    <w:rsid w:val="002A3A8E"/>
    <w:rsid w:val="002A409C"/>
    <w:rsid w:val="002A454F"/>
    <w:rsid w:val="002A4E51"/>
    <w:rsid w:val="002A5212"/>
    <w:rsid w:val="002A5470"/>
    <w:rsid w:val="002A56B3"/>
    <w:rsid w:val="002A5DB6"/>
    <w:rsid w:val="002A5EEA"/>
    <w:rsid w:val="002A636A"/>
    <w:rsid w:val="002A716D"/>
    <w:rsid w:val="002A725C"/>
    <w:rsid w:val="002A75F9"/>
    <w:rsid w:val="002A7951"/>
    <w:rsid w:val="002B000F"/>
    <w:rsid w:val="002B0C3E"/>
    <w:rsid w:val="002B146B"/>
    <w:rsid w:val="002B161E"/>
    <w:rsid w:val="002B1647"/>
    <w:rsid w:val="002B17F0"/>
    <w:rsid w:val="002B1B8A"/>
    <w:rsid w:val="002B1C34"/>
    <w:rsid w:val="002B1E7D"/>
    <w:rsid w:val="002B1E8B"/>
    <w:rsid w:val="002B2055"/>
    <w:rsid w:val="002B24EC"/>
    <w:rsid w:val="002B2601"/>
    <w:rsid w:val="002B2AEC"/>
    <w:rsid w:val="002B2D3D"/>
    <w:rsid w:val="002B2F5F"/>
    <w:rsid w:val="002B3397"/>
    <w:rsid w:val="002B33C4"/>
    <w:rsid w:val="002B34A6"/>
    <w:rsid w:val="002B37D9"/>
    <w:rsid w:val="002B37DD"/>
    <w:rsid w:val="002B37FF"/>
    <w:rsid w:val="002B3C70"/>
    <w:rsid w:val="002B3F47"/>
    <w:rsid w:val="002B40D7"/>
    <w:rsid w:val="002B40FD"/>
    <w:rsid w:val="002B4131"/>
    <w:rsid w:val="002B4209"/>
    <w:rsid w:val="002B4368"/>
    <w:rsid w:val="002B4820"/>
    <w:rsid w:val="002B4906"/>
    <w:rsid w:val="002B4DE7"/>
    <w:rsid w:val="002B4E9E"/>
    <w:rsid w:val="002B4F00"/>
    <w:rsid w:val="002B5009"/>
    <w:rsid w:val="002B50B8"/>
    <w:rsid w:val="002B5188"/>
    <w:rsid w:val="002B52DE"/>
    <w:rsid w:val="002B56CB"/>
    <w:rsid w:val="002B5725"/>
    <w:rsid w:val="002B5860"/>
    <w:rsid w:val="002B63D0"/>
    <w:rsid w:val="002B6974"/>
    <w:rsid w:val="002B6E2E"/>
    <w:rsid w:val="002B72AB"/>
    <w:rsid w:val="002B72BA"/>
    <w:rsid w:val="002B76E3"/>
    <w:rsid w:val="002B77C5"/>
    <w:rsid w:val="002B78E4"/>
    <w:rsid w:val="002B79BE"/>
    <w:rsid w:val="002B7E56"/>
    <w:rsid w:val="002C005C"/>
    <w:rsid w:val="002C030C"/>
    <w:rsid w:val="002C03C1"/>
    <w:rsid w:val="002C05B3"/>
    <w:rsid w:val="002C094E"/>
    <w:rsid w:val="002C0C68"/>
    <w:rsid w:val="002C0EA5"/>
    <w:rsid w:val="002C187E"/>
    <w:rsid w:val="002C27B1"/>
    <w:rsid w:val="002C27F6"/>
    <w:rsid w:val="002C2B61"/>
    <w:rsid w:val="002C2D41"/>
    <w:rsid w:val="002C2FC7"/>
    <w:rsid w:val="002C3065"/>
    <w:rsid w:val="002C3358"/>
    <w:rsid w:val="002C3404"/>
    <w:rsid w:val="002C39F0"/>
    <w:rsid w:val="002C3A48"/>
    <w:rsid w:val="002C4094"/>
    <w:rsid w:val="002C434F"/>
    <w:rsid w:val="002C454A"/>
    <w:rsid w:val="002C46C8"/>
    <w:rsid w:val="002C4D17"/>
    <w:rsid w:val="002C4E8B"/>
    <w:rsid w:val="002C4F94"/>
    <w:rsid w:val="002C55A0"/>
    <w:rsid w:val="002C5733"/>
    <w:rsid w:val="002C592B"/>
    <w:rsid w:val="002C5CE0"/>
    <w:rsid w:val="002C5D05"/>
    <w:rsid w:val="002C5EB6"/>
    <w:rsid w:val="002C6517"/>
    <w:rsid w:val="002C6596"/>
    <w:rsid w:val="002C6B38"/>
    <w:rsid w:val="002C77EF"/>
    <w:rsid w:val="002C7ABB"/>
    <w:rsid w:val="002C7AEB"/>
    <w:rsid w:val="002C7C12"/>
    <w:rsid w:val="002C7E18"/>
    <w:rsid w:val="002C7FBD"/>
    <w:rsid w:val="002D0076"/>
    <w:rsid w:val="002D0618"/>
    <w:rsid w:val="002D073B"/>
    <w:rsid w:val="002D074B"/>
    <w:rsid w:val="002D0E01"/>
    <w:rsid w:val="002D0EBE"/>
    <w:rsid w:val="002D1129"/>
    <w:rsid w:val="002D11BA"/>
    <w:rsid w:val="002D137D"/>
    <w:rsid w:val="002D1A57"/>
    <w:rsid w:val="002D1B25"/>
    <w:rsid w:val="002D1E8B"/>
    <w:rsid w:val="002D1FCF"/>
    <w:rsid w:val="002D2024"/>
    <w:rsid w:val="002D2520"/>
    <w:rsid w:val="002D2B27"/>
    <w:rsid w:val="002D2F58"/>
    <w:rsid w:val="002D3030"/>
    <w:rsid w:val="002D3065"/>
    <w:rsid w:val="002D3683"/>
    <w:rsid w:val="002D3CBC"/>
    <w:rsid w:val="002D4974"/>
    <w:rsid w:val="002D4E77"/>
    <w:rsid w:val="002D4FE1"/>
    <w:rsid w:val="002D5397"/>
    <w:rsid w:val="002D55D1"/>
    <w:rsid w:val="002D562F"/>
    <w:rsid w:val="002D5698"/>
    <w:rsid w:val="002D5805"/>
    <w:rsid w:val="002D6A17"/>
    <w:rsid w:val="002D6B24"/>
    <w:rsid w:val="002D6FF2"/>
    <w:rsid w:val="002D7639"/>
    <w:rsid w:val="002D7CDB"/>
    <w:rsid w:val="002D7FEE"/>
    <w:rsid w:val="002E010E"/>
    <w:rsid w:val="002E0A36"/>
    <w:rsid w:val="002E13DE"/>
    <w:rsid w:val="002E1AEA"/>
    <w:rsid w:val="002E1AF6"/>
    <w:rsid w:val="002E1B56"/>
    <w:rsid w:val="002E2271"/>
    <w:rsid w:val="002E232F"/>
    <w:rsid w:val="002E2522"/>
    <w:rsid w:val="002E31BC"/>
    <w:rsid w:val="002E3DC7"/>
    <w:rsid w:val="002E44C4"/>
    <w:rsid w:val="002E46E4"/>
    <w:rsid w:val="002E4CBE"/>
    <w:rsid w:val="002E5014"/>
    <w:rsid w:val="002E50E3"/>
    <w:rsid w:val="002E522D"/>
    <w:rsid w:val="002E5672"/>
    <w:rsid w:val="002E5D49"/>
    <w:rsid w:val="002E6215"/>
    <w:rsid w:val="002E6914"/>
    <w:rsid w:val="002E6AB0"/>
    <w:rsid w:val="002E6ADA"/>
    <w:rsid w:val="002E6B5B"/>
    <w:rsid w:val="002E6BC3"/>
    <w:rsid w:val="002E6F1C"/>
    <w:rsid w:val="002E711A"/>
    <w:rsid w:val="002E71FD"/>
    <w:rsid w:val="002E744B"/>
    <w:rsid w:val="002E77E6"/>
    <w:rsid w:val="002E7ADB"/>
    <w:rsid w:val="002E7B78"/>
    <w:rsid w:val="002E7BA3"/>
    <w:rsid w:val="002E7E74"/>
    <w:rsid w:val="002F0029"/>
    <w:rsid w:val="002F0189"/>
    <w:rsid w:val="002F0310"/>
    <w:rsid w:val="002F059A"/>
    <w:rsid w:val="002F0893"/>
    <w:rsid w:val="002F09AC"/>
    <w:rsid w:val="002F0C89"/>
    <w:rsid w:val="002F0FBB"/>
    <w:rsid w:val="002F1285"/>
    <w:rsid w:val="002F13E0"/>
    <w:rsid w:val="002F1557"/>
    <w:rsid w:val="002F159A"/>
    <w:rsid w:val="002F1660"/>
    <w:rsid w:val="002F173F"/>
    <w:rsid w:val="002F1ABC"/>
    <w:rsid w:val="002F1B74"/>
    <w:rsid w:val="002F2345"/>
    <w:rsid w:val="002F254A"/>
    <w:rsid w:val="002F2E04"/>
    <w:rsid w:val="002F2ED6"/>
    <w:rsid w:val="002F319F"/>
    <w:rsid w:val="002F39C4"/>
    <w:rsid w:val="002F3D40"/>
    <w:rsid w:val="002F3D8F"/>
    <w:rsid w:val="002F3DEC"/>
    <w:rsid w:val="002F3DF1"/>
    <w:rsid w:val="002F3FA5"/>
    <w:rsid w:val="002F4270"/>
    <w:rsid w:val="002F469C"/>
    <w:rsid w:val="002F4872"/>
    <w:rsid w:val="002F4C92"/>
    <w:rsid w:val="002F57FC"/>
    <w:rsid w:val="002F5D0F"/>
    <w:rsid w:val="002F65FB"/>
    <w:rsid w:val="002F6C11"/>
    <w:rsid w:val="002F6E1B"/>
    <w:rsid w:val="002F7103"/>
    <w:rsid w:val="002F7409"/>
    <w:rsid w:val="002F74C8"/>
    <w:rsid w:val="002F7961"/>
    <w:rsid w:val="002F7B92"/>
    <w:rsid w:val="002F7BA5"/>
    <w:rsid w:val="002F7F07"/>
    <w:rsid w:val="002F7F46"/>
    <w:rsid w:val="0030003C"/>
    <w:rsid w:val="0030024A"/>
    <w:rsid w:val="003003FC"/>
    <w:rsid w:val="00300AD2"/>
    <w:rsid w:val="00300DD6"/>
    <w:rsid w:val="00300EAA"/>
    <w:rsid w:val="003012C9"/>
    <w:rsid w:val="003015BE"/>
    <w:rsid w:val="003020BB"/>
    <w:rsid w:val="003020DD"/>
    <w:rsid w:val="003020EC"/>
    <w:rsid w:val="003022A2"/>
    <w:rsid w:val="0030295C"/>
    <w:rsid w:val="003029AA"/>
    <w:rsid w:val="00302A32"/>
    <w:rsid w:val="00302C5B"/>
    <w:rsid w:val="00303169"/>
    <w:rsid w:val="0030318C"/>
    <w:rsid w:val="00303300"/>
    <w:rsid w:val="003036B7"/>
    <w:rsid w:val="0030393C"/>
    <w:rsid w:val="00303D20"/>
    <w:rsid w:val="00303F14"/>
    <w:rsid w:val="003042C2"/>
    <w:rsid w:val="00304BF6"/>
    <w:rsid w:val="00304F6C"/>
    <w:rsid w:val="00305A53"/>
    <w:rsid w:val="00305F75"/>
    <w:rsid w:val="0030617A"/>
    <w:rsid w:val="003065D0"/>
    <w:rsid w:val="00306643"/>
    <w:rsid w:val="00306E7E"/>
    <w:rsid w:val="00307AF1"/>
    <w:rsid w:val="00307D49"/>
    <w:rsid w:val="00310507"/>
    <w:rsid w:val="00310578"/>
    <w:rsid w:val="00310664"/>
    <w:rsid w:val="00310AA9"/>
    <w:rsid w:val="00310C09"/>
    <w:rsid w:val="00310EFC"/>
    <w:rsid w:val="00310F72"/>
    <w:rsid w:val="00310FB9"/>
    <w:rsid w:val="003111D3"/>
    <w:rsid w:val="003117E7"/>
    <w:rsid w:val="00311DA0"/>
    <w:rsid w:val="00311F37"/>
    <w:rsid w:val="00312142"/>
    <w:rsid w:val="0031215E"/>
    <w:rsid w:val="003127AB"/>
    <w:rsid w:val="003128CD"/>
    <w:rsid w:val="00312C3F"/>
    <w:rsid w:val="0031300D"/>
    <w:rsid w:val="00313C9A"/>
    <w:rsid w:val="00313F72"/>
    <w:rsid w:val="00314140"/>
    <w:rsid w:val="003149CD"/>
    <w:rsid w:val="0031518F"/>
    <w:rsid w:val="003152C7"/>
    <w:rsid w:val="00315310"/>
    <w:rsid w:val="003159A7"/>
    <w:rsid w:val="00315AB6"/>
    <w:rsid w:val="00316057"/>
    <w:rsid w:val="0031611C"/>
    <w:rsid w:val="00316445"/>
    <w:rsid w:val="00316462"/>
    <w:rsid w:val="0031688E"/>
    <w:rsid w:val="00316E1D"/>
    <w:rsid w:val="00316E55"/>
    <w:rsid w:val="003171D7"/>
    <w:rsid w:val="00317C2D"/>
    <w:rsid w:val="00317ED1"/>
    <w:rsid w:val="003206FE"/>
    <w:rsid w:val="00320874"/>
    <w:rsid w:val="003209F8"/>
    <w:rsid w:val="00320CCE"/>
    <w:rsid w:val="00320F84"/>
    <w:rsid w:val="003210AB"/>
    <w:rsid w:val="00321442"/>
    <w:rsid w:val="0032191A"/>
    <w:rsid w:val="00321B0C"/>
    <w:rsid w:val="00322039"/>
    <w:rsid w:val="003225E3"/>
    <w:rsid w:val="003226C6"/>
    <w:rsid w:val="00322D9E"/>
    <w:rsid w:val="00322EA5"/>
    <w:rsid w:val="003230E3"/>
    <w:rsid w:val="003233E9"/>
    <w:rsid w:val="00323544"/>
    <w:rsid w:val="00323B1E"/>
    <w:rsid w:val="00323D0B"/>
    <w:rsid w:val="00323E06"/>
    <w:rsid w:val="00323E0E"/>
    <w:rsid w:val="003243B2"/>
    <w:rsid w:val="00324638"/>
    <w:rsid w:val="00324797"/>
    <w:rsid w:val="00324F60"/>
    <w:rsid w:val="003251AA"/>
    <w:rsid w:val="00325525"/>
    <w:rsid w:val="00325983"/>
    <w:rsid w:val="00325BC4"/>
    <w:rsid w:val="00325CD0"/>
    <w:rsid w:val="003260BA"/>
    <w:rsid w:val="00326633"/>
    <w:rsid w:val="0032673A"/>
    <w:rsid w:val="0032683A"/>
    <w:rsid w:val="00326859"/>
    <w:rsid w:val="00326935"/>
    <w:rsid w:val="003269C7"/>
    <w:rsid w:val="00326E79"/>
    <w:rsid w:val="0032724F"/>
    <w:rsid w:val="00327345"/>
    <w:rsid w:val="003275D6"/>
    <w:rsid w:val="0032760F"/>
    <w:rsid w:val="00327E92"/>
    <w:rsid w:val="00327F0C"/>
    <w:rsid w:val="00330203"/>
    <w:rsid w:val="003302F5"/>
    <w:rsid w:val="00330353"/>
    <w:rsid w:val="00330F2E"/>
    <w:rsid w:val="0033106C"/>
    <w:rsid w:val="00331197"/>
    <w:rsid w:val="0033135C"/>
    <w:rsid w:val="003314C5"/>
    <w:rsid w:val="003314F4"/>
    <w:rsid w:val="00331719"/>
    <w:rsid w:val="00331783"/>
    <w:rsid w:val="0033181A"/>
    <w:rsid w:val="00331C9B"/>
    <w:rsid w:val="003321F9"/>
    <w:rsid w:val="0033274A"/>
    <w:rsid w:val="00332776"/>
    <w:rsid w:val="00332855"/>
    <w:rsid w:val="00332A30"/>
    <w:rsid w:val="00332ABE"/>
    <w:rsid w:val="003330DD"/>
    <w:rsid w:val="00333279"/>
    <w:rsid w:val="00333643"/>
    <w:rsid w:val="00333869"/>
    <w:rsid w:val="003339B1"/>
    <w:rsid w:val="00333CBB"/>
    <w:rsid w:val="00333D50"/>
    <w:rsid w:val="00333D54"/>
    <w:rsid w:val="00333EAF"/>
    <w:rsid w:val="0033456F"/>
    <w:rsid w:val="00334A55"/>
    <w:rsid w:val="00334AB4"/>
    <w:rsid w:val="00334F74"/>
    <w:rsid w:val="00335AB8"/>
    <w:rsid w:val="00335B9D"/>
    <w:rsid w:val="00335D4A"/>
    <w:rsid w:val="0033641B"/>
    <w:rsid w:val="0033660B"/>
    <w:rsid w:val="00336CE5"/>
    <w:rsid w:val="00336FC9"/>
    <w:rsid w:val="0033704D"/>
    <w:rsid w:val="00337378"/>
    <w:rsid w:val="00337719"/>
    <w:rsid w:val="00337E68"/>
    <w:rsid w:val="00337F36"/>
    <w:rsid w:val="00337FFC"/>
    <w:rsid w:val="003402A0"/>
    <w:rsid w:val="0034045C"/>
    <w:rsid w:val="0034060A"/>
    <w:rsid w:val="00340864"/>
    <w:rsid w:val="00340A68"/>
    <w:rsid w:val="00340B50"/>
    <w:rsid w:val="00340E1F"/>
    <w:rsid w:val="00341498"/>
    <w:rsid w:val="003416CD"/>
    <w:rsid w:val="00341800"/>
    <w:rsid w:val="003422C6"/>
    <w:rsid w:val="0034268B"/>
    <w:rsid w:val="00342B76"/>
    <w:rsid w:val="00342E98"/>
    <w:rsid w:val="00342F26"/>
    <w:rsid w:val="00342F5B"/>
    <w:rsid w:val="00342F75"/>
    <w:rsid w:val="003432E0"/>
    <w:rsid w:val="003434EC"/>
    <w:rsid w:val="0034369E"/>
    <w:rsid w:val="003436D1"/>
    <w:rsid w:val="00343797"/>
    <w:rsid w:val="00343A41"/>
    <w:rsid w:val="00343F2B"/>
    <w:rsid w:val="003447D8"/>
    <w:rsid w:val="00344C66"/>
    <w:rsid w:val="00344CB5"/>
    <w:rsid w:val="00345087"/>
    <w:rsid w:val="00345334"/>
    <w:rsid w:val="00345350"/>
    <w:rsid w:val="00345DB3"/>
    <w:rsid w:val="003462F0"/>
    <w:rsid w:val="003465AA"/>
    <w:rsid w:val="00346836"/>
    <w:rsid w:val="00346A7E"/>
    <w:rsid w:val="00346CF2"/>
    <w:rsid w:val="00347083"/>
    <w:rsid w:val="00347259"/>
    <w:rsid w:val="003501D6"/>
    <w:rsid w:val="00350674"/>
    <w:rsid w:val="00351003"/>
    <w:rsid w:val="0035127B"/>
    <w:rsid w:val="00351292"/>
    <w:rsid w:val="00351356"/>
    <w:rsid w:val="00351596"/>
    <w:rsid w:val="00351646"/>
    <w:rsid w:val="00351CFC"/>
    <w:rsid w:val="00351E15"/>
    <w:rsid w:val="00352158"/>
    <w:rsid w:val="00352758"/>
    <w:rsid w:val="00352F48"/>
    <w:rsid w:val="003531C3"/>
    <w:rsid w:val="003534B8"/>
    <w:rsid w:val="003534CE"/>
    <w:rsid w:val="00353B73"/>
    <w:rsid w:val="00353BDB"/>
    <w:rsid w:val="00353FBB"/>
    <w:rsid w:val="0035439D"/>
    <w:rsid w:val="00354568"/>
    <w:rsid w:val="00354959"/>
    <w:rsid w:val="00354C57"/>
    <w:rsid w:val="00354D09"/>
    <w:rsid w:val="00355996"/>
    <w:rsid w:val="00356377"/>
    <w:rsid w:val="003564E7"/>
    <w:rsid w:val="003565A3"/>
    <w:rsid w:val="003565D5"/>
    <w:rsid w:val="003569F5"/>
    <w:rsid w:val="00356A1F"/>
    <w:rsid w:val="00356D6F"/>
    <w:rsid w:val="00356FE8"/>
    <w:rsid w:val="00357130"/>
    <w:rsid w:val="003571EC"/>
    <w:rsid w:val="00357209"/>
    <w:rsid w:val="00357344"/>
    <w:rsid w:val="003575F1"/>
    <w:rsid w:val="00357EE2"/>
    <w:rsid w:val="003600D5"/>
    <w:rsid w:val="00360D99"/>
    <w:rsid w:val="00360DC8"/>
    <w:rsid w:val="00360E3B"/>
    <w:rsid w:val="003615A9"/>
    <w:rsid w:val="00361867"/>
    <w:rsid w:val="003618F1"/>
    <w:rsid w:val="00361CA7"/>
    <w:rsid w:val="00361F61"/>
    <w:rsid w:val="0036209F"/>
    <w:rsid w:val="0036234A"/>
    <w:rsid w:val="003623E6"/>
    <w:rsid w:val="00362490"/>
    <w:rsid w:val="00362515"/>
    <w:rsid w:val="003626E3"/>
    <w:rsid w:val="00362B9A"/>
    <w:rsid w:val="0036310A"/>
    <w:rsid w:val="0036361E"/>
    <w:rsid w:val="003638C3"/>
    <w:rsid w:val="00364225"/>
    <w:rsid w:val="003647F9"/>
    <w:rsid w:val="00364924"/>
    <w:rsid w:val="00364AA1"/>
    <w:rsid w:val="00364CCA"/>
    <w:rsid w:val="00364D36"/>
    <w:rsid w:val="00365269"/>
    <w:rsid w:val="0036575A"/>
    <w:rsid w:val="0036579C"/>
    <w:rsid w:val="003658A0"/>
    <w:rsid w:val="00366242"/>
    <w:rsid w:val="00366889"/>
    <w:rsid w:val="00366CC2"/>
    <w:rsid w:val="00366DF8"/>
    <w:rsid w:val="0036760D"/>
    <w:rsid w:val="003678A5"/>
    <w:rsid w:val="00367C58"/>
    <w:rsid w:val="00367CA1"/>
    <w:rsid w:val="0037133A"/>
    <w:rsid w:val="00371699"/>
    <w:rsid w:val="0037169B"/>
    <w:rsid w:val="003717FC"/>
    <w:rsid w:val="00371BCA"/>
    <w:rsid w:val="00371F8E"/>
    <w:rsid w:val="003721D8"/>
    <w:rsid w:val="00372ADF"/>
    <w:rsid w:val="00372B9C"/>
    <w:rsid w:val="00372C4E"/>
    <w:rsid w:val="0037305B"/>
    <w:rsid w:val="003733E2"/>
    <w:rsid w:val="003739B5"/>
    <w:rsid w:val="0037456B"/>
    <w:rsid w:val="00374609"/>
    <w:rsid w:val="00374627"/>
    <w:rsid w:val="00374937"/>
    <w:rsid w:val="003752C2"/>
    <w:rsid w:val="003755B9"/>
    <w:rsid w:val="0037587E"/>
    <w:rsid w:val="0037597E"/>
    <w:rsid w:val="00375EFE"/>
    <w:rsid w:val="003764B5"/>
    <w:rsid w:val="00376E31"/>
    <w:rsid w:val="0037711A"/>
    <w:rsid w:val="00377124"/>
    <w:rsid w:val="003773DC"/>
    <w:rsid w:val="00377A79"/>
    <w:rsid w:val="00377B35"/>
    <w:rsid w:val="00377D7F"/>
    <w:rsid w:val="00377E57"/>
    <w:rsid w:val="00377F64"/>
    <w:rsid w:val="00377F77"/>
    <w:rsid w:val="00380420"/>
    <w:rsid w:val="0038072C"/>
    <w:rsid w:val="0038082D"/>
    <w:rsid w:val="00380A63"/>
    <w:rsid w:val="00380B33"/>
    <w:rsid w:val="00381A31"/>
    <w:rsid w:val="00381BAD"/>
    <w:rsid w:val="00381E4A"/>
    <w:rsid w:val="0038201C"/>
    <w:rsid w:val="00382493"/>
    <w:rsid w:val="003824EC"/>
    <w:rsid w:val="003827AA"/>
    <w:rsid w:val="003828BC"/>
    <w:rsid w:val="00382F2E"/>
    <w:rsid w:val="00382F33"/>
    <w:rsid w:val="00383619"/>
    <w:rsid w:val="003838BE"/>
    <w:rsid w:val="00383DCE"/>
    <w:rsid w:val="00383EFE"/>
    <w:rsid w:val="00384204"/>
    <w:rsid w:val="0038456C"/>
    <w:rsid w:val="00384584"/>
    <w:rsid w:val="00384693"/>
    <w:rsid w:val="003852A5"/>
    <w:rsid w:val="00385423"/>
    <w:rsid w:val="003856EC"/>
    <w:rsid w:val="0038595A"/>
    <w:rsid w:val="0038636E"/>
    <w:rsid w:val="00386630"/>
    <w:rsid w:val="00386B0F"/>
    <w:rsid w:val="0038752C"/>
    <w:rsid w:val="003876AC"/>
    <w:rsid w:val="00387A79"/>
    <w:rsid w:val="00387AD8"/>
    <w:rsid w:val="00387D2B"/>
    <w:rsid w:val="00387DE8"/>
    <w:rsid w:val="00387F75"/>
    <w:rsid w:val="00387F96"/>
    <w:rsid w:val="003903CF"/>
    <w:rsid w:val="00390431"/>
    <w:rsid w:val="00390B51"/>
    <w:rsid w:val="00390C0C"/>
    <w:rsid w:val="00391090"/>
    <w:rsid w:val="003913E1"/>
    <w:rsid w:val="00391483"/>
    <w:rsid w:val="003915DE"/>
    <w:rsid w:val="00391794"/>
    <w:rsid w:val="00391AE6"/>
    <w:rsid w:val="00391B39"/>
    <w:rsid w:val="00391E59"/>
    <w:rsid w:val="00391F9B"/>
    <w:rsid w:val="00391FC4"/>
    <w:rsid w:val="003921F0"/>
    <w:rsid w:val="00392326"/>
    <w:rsid w:val="003927BF"/>
    <w:rsid w:val="00392E0D"/>
    <w:rsid w:val="00392E26"/>
    <w:rsid w:val="003934AE"/>
    <w:rsid w:val="003934C9"/>
    <w:rsid w:val="00393A75"/>
    <w:rsid w:val="00393BF6"/>
    <w:rsid w:val="00393CEB"/>
    <w:rsid w:val="00393E1F"/>
    <w:rsid w:val="003940DD"/>
    <w:rsid w:val="00394766"/>
    <w:rsid w:val="00394B9A"/>
    <w:rsid w:val="00395015"/>
    <w:rsid w:val="0039507E"/>
    <w:rsid w:val="003953EA"/>
    <w:rsid w:val="00395A89"/>
    <w:rsid w:val="00396632"/>
    <w:rsid w:val="00396894"/>
    <w:rsid w:val="00396A23"/>
    <w:rsid w:val="00396ADA"/>
    <w:rsid w:val="00396C93"/>
    <w:rsid w:val="0039715D"/>
    <w:rsid w:val="00397CEA"/>
    <w:rsid w:val="00397D59"/>
    <w:rsid w:val="00397FD9"/>
    <w:rsid w:val="003A042C"/>
    <w:rsid w:val="003A0A33"/>
    <w:rsid w:val="003A0B95"/>
    <w:rsid w:val="003A0C03"/>
    <w:rsid w:val="003A12AF"/>
    <w:rsid w:val="003A1317"/>
    <w:rsid w:val="003A13FB"/>
    <w:rsid w:val="003A1828"/>
    <w:rsid w:val="003A184B"/>
    <w:rsid w:val="003A18ED"/>
    <w:rsid w:val="003A18F2"/>
    <w:rsid w:val="003A19CC"/>
    <w:rsid w:val="003A1D8C"/>
    <w:rsid w:val="003A1E89"/>
    <w:rsid w:val="003A2080"/>
    <w:rsid w:val="003A23B2"/>
    <w:rsid w:val="003A25A5"/>
    <w:rsid w:val="003A2C5E"/>
    <w:rsid w:val="003A2F73"/>
    <w:rsid w:val="003A2FA9"/>
    <w:rsid w:val="003A3162"/>
    <w:rsid w:val="003A31F2"/>
    <w:rsid w:val="003A32AE"/>
    <w:rsid w:val="003A33E4"/>
    <w:rsid w:val="003A3E18"/>
    <w:rsid w:val="003A3EC0"/>
    <w:rsid w:val="003A48DB"/>
    <w:rsid w:val="003A4B4A"/>
    <w:rsid w:val="003A4B66"/>
    <w:rsid w:val="003A5206"/>
    <w:rsid w:val="003A546C"/>
    <w:rsid w:val="003A5648"/>
    <w:rsid w:val="003A56FE"/>
    <w:rsid w:val="003A5741"/>
    <w:rsid w:val="003A594F"/>
    <w:rsid w:val="003A5C0B"/>
    <w:rsid w:val="003A5C70"/>
    <w:rsid w:val="003A6D51"/>
    <w:rsid w:val="003A6D9D"/>
    <w:rsid w:val="003A7012"/>
    <w:rsid w:val="003A73EC"/>
    <w:rsid w:val="003A76BA"/>
    <w:rsid w:val="003A77FC"/>
    <w:rsid w:val="003A7F6B"/>
    <w:rsid w:val="003B0537"/>
    <w:rsid w:val="003B06F3"/>
    <w:rsid w:val="003B0B7E"/>
    <w:rsid w:val="003B0D47"/>
    <w:rsid w:val="003B1200"/>
    <w:rsid w:val="003B1202"/>
    <w:rsid w:val="003B1799"/>
    <w:rsid w:val="003B1846"/>
    <w:rsid w:val="003B1B0D"/>
    <w:rsid w:val="003B1C56"/>
    <w:rsid w:val="003B2166"/>
    <w:rsid w:val="003B29FE"/>
    <w:rsid w:val="003B2BA5"/>
    <w:rsid w:val="003B2FDA"/>
    <w:rsid w:val="003B30E4"/>
    <w:rsid w:val="003B337D"/>
    <w:rsid w:val="003B35BC"/>
    <w:rsid w:val="003B3A9A"/>
    <w:rsid w:val="003B454E"/>
    <w:rsid w:val="003B47FC"/>
    <w:rsid w:val="003B4988"/>
    <w:rsid w:val="003B4E68"/>
    <w:rsid w:val="003B50A6"/>
    <w:rsid w:val="003B50D2"/>
    <w:rsid w:val="003B50DB"/>
    <w:rsid w:val="003B5111"/>
    <w:rsid w:val="003B5A76"/>
    <w:rsid w:val="003B5ACA"/>
    <w:rsid w:val="003B5FEC"/>
    <w:rsid w:val="003B61A6"/>
    <w:rsid w:val="003B62E3"/>
    <w:rsid w:val="003B6365"/>
    <w:rsid w:val="003B6612"/>
    <w:rsid w:val="003B66C2"/>
    <w:rsid w:val="003B6799"/>
    <w:rsid w:val="003B69CE"/>
    <w:rsid w:val="003B6C26"/>
    <w:rsid w:val="003B6D71"/>
    <w:rsid w:val="003B6DB2"/>
    <w:rsid w:val="003B715A"/>
    <w:rsid w:val="003B71AF"/>
    <w:rsid w:val="003B7657"/>
    <w:rsid w:val="003B78D5"/>
    <w:rsid w:val="003B7B53"/>
    <w:rsid w:val="003B7D6F"/>
    <w:rsid w:val="003B7DD7"/>
    <w:rsid w:val="003C00AB"/>
    <w:rsid w:val="003C08A0"/>
    <w:rsid w:val="003C09D8"/>
    <w:rsid w:val="003C0D0D"/>
    <w:rsid w:val="003C0E1E"/>
    <w:rsid w:val="003C10B0"/>
    <w:rsid w:val="003C1373"/>
    <w:rsid w:val="003C19F9"/>
    <w:rsid w:val="003C1AAB"/>
    <w:rsid w:val="003C1B83"/>
    <w:rsid w:val="003C1E1A"/>
    <w:rsid w:val="003C2470"/>
    <w:rsid w:val="003C2633"/>
    <w:rsid w:val="003C2C2F"/>
    <w:rsid w:val="003C2CB7"/>
    <w:rsid w:val="003C3074"/>
    <w:rsid w:val="003C30B9"/>
    <w:rsid w:val="003C3241"/>
    <w:rsid w:val="003C35D2"/>
    <w:rsid w:val="003C35E9"/>
    <w:rsid w:val="003C3757"/>
    <w:rsid w:val="003C381B"/>
    <w:rsid w:val="003C38B7"/>
    <w:rsid w:val="003C39ED"/>
    <w:rsid w:val="003C3D85"/>
    <w:rsid w:val="003C40B8"/>
    <w:rsid w:val="003C41CD"/>
    <w:rsid w:val="003C4301"/>
    <w:rsid w:val="003C44E6"/>
    <w:rsid w:val="003C46FA"/>
    <w:rsid w:val="003C490B"/>
    <w:rsid w:val="003C4A68"/>
    <w:rsid w:val="003C4C9A"/>
    <w:rsid w:val="003C4DAE"/>
    <w:rsid w:val="003C56BB"/>
    <w:rsid w:val="003C5A31"/>
    <w:rsid w:val="003C5C2C"/>
    <w:rsid w:val="003C62E3"/>
    <w:rsid w:val="003C688E"/>
    <w:rsid w:val="003C6A8A"/>
    <w:rsid w:val="003C6D13"/>
    <w:rsid w:val="003C6E91"/>
    <w:rsid w:val="003C731D"/>
    <w:rsid w:val="003C7446"/>
    <w:rsid w:val="003C7661"/>
    <w:rsid w:val="003C78A0"/>
    <w:rsid w:val="003C7B3E"/>
    <w:rsid w:val="003C7C0B"/>
    <w:rsid w:val="003C7CAA"/>
    <w:rsid w:val="003C7DE9"/>
    <w:rsid w:val="003D0B81"/>
    <w:rsid w:val="003D10B0"/>
    <w:rsid w:val="003D1185"/>
    <w:rsid w:val="003D1B15"/>
    <w:rsid w:val="003D284C"/>
    <w:rsid w:val="003D2881"/>
    <w:rsid w:val="003D2CC1"/>
    <w:rsid w:val="003D2F5A"/>
    <w:rsid w:val="003D2FB5"/>
    <w:rsid w:val="003D3166"/>
    <w:rsid w:val="003D345C"/>
    <w:rsid w:val="003D3A29"/>
    <w:rsid w:val="003D44B0"/>
    <w:rsid w:val="003D458A"/>
    <w:rsid w:val="003D4CD7"/>
    <w:rsid w:val="003D4ED0"/>
    <w:rsid w:val="003D4F4C"/>
    <w:rsid w:val="003D5159"/>
    <w:rsid w:val="003D5336"/>
    <w:rsid w:val="003D5AF8"/>
    <w:rsid w:val="003D5CA2"/>
    <w:rsid w:val="003D60CC"/>
    <w:rsid w:val="003D60DF"/>
    <w:rsid w:val="003D638E"/>
    <w:rsid w:val="003D64C2"/>
    <w:rsid w:val="003D66F6"/>
    <w:rsid w:val="003D672B"/>
    <w:rsid w:val="003D68A5"/>
    <w:rsid w:val="003D6DCF"/>
    <w:rsid w:val="003D7196"/>
    <w:rsid w:val="003D752F"/>
    <w:rsid w:val="003D7B53"/>
    <w:rsid w:val="003D7B7C"/>
    <w:rsid w:val="003E014F"/>
    <w:rsid w:val="003E0496"/>
    <w:rsid w:val="003E08DC"/>
    <w:rsid w:val="003E0903"/>
    <w:rsid w:val="003E0E59"/>
    <w:rsid w:val="003E124D"/>
    <w:rsid w:val="003E12B0"/>
    <w:rsid w:val="003E19A8"/>
    <w:rsid w:val="003E1F74"/>
    <w:rsid w:val="003E2094"/>
    <w:rsid w:val="003E24CF"/>
    <w:rsid w:val="003E2602"/>
    <w:rsid w:val="003E2637"/>
    <w:rsid w:val="003E2758"/>
    <w:rsid w:val="003E27A6"/>
    <w:rsid w:val="003E2939"/>
    <w:rsid w:val="003E2D0C"/>
    <w:rsid w:val="003E321B"/>
    <w:rsid w:val="003E393A"/>
    <w:rsid w:val="003E393D"/>
    <w:rsid w:val="003E42A9"/>
    <w:rsid w:val="003E43C5"/>
    <w:rsid w:val="003E44D0"/>
    <w:rsid w:val="003E4637"/>
    <w:rsid w:val="003E487A"/>
    <w:rsid w:val="003E4DD0"/>
    <w:rsid w:val="003E509E"/>
    <w:rsid w:val="003E521D"/>
    <w:rsid w:val="003E53FF"/>
    <w:rsid w:val="003E544F"/>
    <w:rsid w:val="003E56AD"/>
    <w:rsid w:val="003E578A"/>
    <w:rsid w:val="003E58B4"/>
    <w:rsid w:val="003E5B5C"/>
    <w:rsid w:val="003E5D01"/>
    <w:rsid w:val="003E5D94"/>
    <w:rsid w:val="003E5F73"/>
    <w:rsid w:val="003E63FD"/>
    <w:rsid w:val="003E64DB"/>
    <w:rsid w:val="003E7315"/>
    <w:rsid w:val="003E7492"/>
    <w:rsid w:val="003E7864"/>
    <w:rsid w:val="003E7956"/>
    <w:rsid w:val="003E7F65"/>
    <w:rsid w:val="003F051A"/>
    <w:rsid w:val="003F05EF"/>
    <w:rsid w:val="003F1018"/>
    <w:rsid w:val="003F1500"/>
    <w:rsid w:val="003F1881"/>
    <w:rsid w:val="003F1AB0"/>
    <w:rsid w:val="003F220A"/>
    <w:rsid w:val="003F27E4"/>
    <w:rsid w:val="003F29CE"/>
    <w:rsid w:val="003F2B79"/>
    <w:rsid w:val="003F2F8D"/>
    <w:rsid w:val="003F2FB7"/>
    <w:rsid w:val="003F35F5"/>
    <w:rsid w:val="003F36F7"/>
    <w:rsid w:val="003F3D2E"/>
    <w:rsid w:val="003F4215"/>
    <w:rsid w:val="003F4896"/>
    <w:rsid w:val="003F589D"/>
    <w:rsid w:val="003F590A"/>
    <w:rsid w:val="003F5A78"/>
    <w:rsid w:val="003F5E49"/>
    <w:rsid w:val="003F5FA6"/>
    <w:rsid w:val="003F6A95"/>
    <w:rsid w:val="003F7121"/>
    <w:rsid w:val="004005DD"/>
    <w:rsid w:val="00400822"/>
    <w:rsid w:val="00400863"/>
    <w:rsid w:val="004017DB"/>
    <w:rsid w:val="00401E11"/>
    <w:rsid w:val="00401E50"/>
    <w:rsid w:val="004023E4"/>
    <w:rsid w:val="004026FD"/>
    <w:rsid w:val="00402AF4"/>
    <w:rsid w:val="00402D60"/>
    <w:rsid w:val="00402E21"/>
    <w:rsid w:val="004035B3"/>
    <w:rsid w:val="00403A73"/>
    <w:rsid w:val="00403C33"/>
    <w:rsid w:val="00403D6A"/>
    <w:rsid w:val="00403E56"/>
    <w:rsid w:val="004041FE"/>
    <w:rsid w:val="00404B0A"/>
    <w:rsid w:val="00404B57"/>
    <w:rsid w:val="00404CA6"/>
    <w:rsid w:val="0040502F"/>
    <w:rsid w:val="004061BC"/>
    <w:rsid w:val="004062E3"/>
    <w:rsid w:val="00406331"/>
    <w:rsid w:val="004065B6"/>
    <w:rsid w:val="0040673C"/>
    <w:rsid w:val="00406834"/>
    <w:rsid w:val="00406D3C"/>
    <w:rsid w:val="00406DD8"/>
    <w:rsid w:val="00407C27"/>
    <w:rsid w:val="00407C2A"/>
    <w:rsid w:val="00407D9B"/>
    <w:rsid w:val="00407E47"/>
    <w:rsid w:val="00410074"/>
    <w:rsid w:val="004101FD"/>
    <w:rsid w:val="00410523"/>
    <w:rsid w:val="00410804"/>
    <w:rsid w:val="0041081F"/>
    <w:rsid w:val="004109EB"/>
    <w:rsid w:val="00410AA1"/>
    <w:rsid w:val="004111F2"/>
    <w:rsid w:val="004112EC"/>
    <w:rsid w:val="004117F7"/>
    <w:rsid w:val="00411982"/>
    <w:rsid w:val="00411A14"/>
    <w:rsid w:val="00411A73"/>
    <w:rsid w:val="00411CB4"/>
    <w:rsid w:val="00411CB9"/>
    <w:rsid w:val="00411E1E"/>
    <w:rsid w:val="00411E7B"/>
    <w:rsid w:val="00411EE8"/>
    <w:rsid w:val="00412352"/>
    <w:rsid w:val="00412773"/>
    <w:rsid w:val="0041277F"/>
    <w:rsid w:val="00413157"/>
    <w:rsid w:val="0041328E"/>
    <w:rsid w:val="0041332C"/>
    <w:rsid w:val="004133CA"/>
    <w:rsid w:val="0041350B"/>
    <w:rsid w:val="004135C2"/>
    <w:rsid w:val="00413800"/>
    <w:rsid w:val="004139BA"/>
    <w:rsid w:val="00413D1F"/>
    <w:rsid w:val="00413DC3"/>
    <w:rsid w:val="0041465E"/>
    <w:rsid w:val="0041475C"/>
    <w:rsid w:val="00414A46"/>
    <w:rsid w:val="00414D33"/>
    <w:rsid w:val="0041504E"/>
    <w:rsid w:val="004150E0"/>
    <w:rsid w:val="0041513A"/>
    <w:rsid w:val="004151C9"/>
    <w:rsid w:val="00415244"/>
    <w:rsid w:val="00415521"/>
    <w:rsid w:val="00415621"/>
    <w:rsid w:val="00415AF0"/>
    <w:rsid w:val="00415ED6"/>
    <w:rsid w:val="00415EDF"/>
    <w:rsid w:val="00416275"/>
    <w:rsid w:val="00416685"/>
    <w:rsid w:val="0041697F"/>
    <w:rsid w:val="00417189"/>
    <w:rsid w:val="004171EE"/>
    <w:rsid w:val="004179D0"/>
    <w:rsid w:val="00417C9D"/>
    <w:rsid w:val="00420166"/>
    <w:rsid w:val="00420363"/>
    <w:rsid w:val="00420ED8"/>
    <w:rsid w:val="00421CD3"/>
    <w:rsid w:val="00421D5E"/>
    <w:rsid w:val="00422163"/>
    <w:rsid w:val="00422911"/>
    <w:rsid w:val="00423196"/>
    <w:rsid w:val="00423227"/>
    <w:rsid w:val="0042374B"/>
    <w:rsid w:val="004237E7"/>
    <w:rsid w:val="004240BC"/>
    <w:rsid w:val="004242D3"/>
    <w:rsid w:val="0042468E"/>
    <w:rsid w:val="00424983"/>
    <w:rsid w:val="00424B87"/>
    <w:rsid w:val="00424DA0"/>
    <w:rsid w:val="00424E56"/>
    <w:rsid w:val="00424FCE"/>
    <w:rsid w:val="0042525C"/>
    <w:rsid w:val="00425407"/>
    <w:rsid w:val="00425503"/>
    <w:rsid w:val="00425889"/>
    <w:rsid w:val="004259D3"/>
    <w:rsid w:val="00425BA9"/>
    <w:rsid w:val="00425F42"/>
    <w:rsid w:val="00425F99"/>
    <w:rsid w:val="004268EE"/>
    <w:rsid w:val="00426B7A"/>
    <w:rsid w:val="00426BEC"/>
    <w:rsid w:val="00426D45"/>
    <w:rsid w:val="0042751E"/>
    <w:rsid w:val="004277DA"/>
    <w:rsid w:val="00427A49"/>
    <w:rsid w:val="00430194"/>
    <w:rsid w:val="004302BA"/>
    <w:rsid w:val="004302C7"/>
    <w:rsid w:val="004303F7"/>
    <w:rsid w:val="00430403"/>
    <w:rsid w:val="00430609"/>
    <w:rsid w:val="004306B5"/>
    <w:rsid w:val="0043094A"/>
    <w:rsid w:val="00430B4E"/>
    <w:rsid w:val="00430D82"/>
    <w:rsid w:val="00430E5B"/>
    <w:rsid w:val="0043175D"/>
    <w:rsid w:val="00431880"/>
    <w:rsid w:val="00432127"/>
    <w:rsid w:val="00432504"/>
    <w:rsid w:val="00432534"/>
    <w:rsid w:val="0043256C"/>
    <w:rsid w:val="004332C6"/>
    <w:rsid w:val="004333E6"/>
    <w:rsid w:val="004335A1"/>
    <w:rsid w:val="004335E3"/>
    <w:rsid w:val="004337B5"/>
    <w:rsid w:val="004337F4"/>
    <w:rsid w:val="00433A2F"/>
    <w:rsid w:val="00433A9F"/>
    <w:rsid w:val="00433B34"/>
    <w:rsid w:val="00433F64"/>
    <w:rsid w:val="004342E4"/>
    <w:rsid w:val="004344DC"/>
    <w:rsid w:val="00434A74"/>
    <w:rsid w:val="00434BAA"/>
    <w:rsid w:val="00435391"/>
    <w:rsid w:val="004353A8"/>
    <w:rsid w:val="00435DC6"/>
    <w:rsid w:val="00436140"/>
    <w:rsid w:val="00436D51"/>
    <w:rsid w:val="00436E9A"/>
    <w:rsid w:val="00436F0F"/>
    <w:rsid w:val="00436FB1"/>
    <w:rsid w:val="00436FC4"/>
    <w:rsid w:val="00437032"/>
    <w:rsid w:val="004370FD"/>
    <w:rsid w:val="004373B2"/>
    <w:rsid w:val="00437581"/>
    <w:rsid w:val="0043794C"/>
    <w:rsid w:val="00437A5C"/>
    <w:rsid w:val="00437DE1"/>
    <w:rsid w:val="00437F6F"/>
    <w:rsid w:val="0044006F"/>
    <w:rsid w:val="0044047F"/>
    <w:rsid w:val="004407A7"/>
    <w:rsid w:val="00440B17"/>
    <w:rsid w:val="00440B2F"/>
    <w:rsid w:val="00440DCC"/>
    <w:rsid w:val="00440E0D"/>
    <w:rsid w:val="00441058"/>
    <w:rsid w:val="00441447"/>
    <w:rsid w:val="00441694"/>
    <w:rsid w:val="0044172E"/>
    <w:rsid w:val="00441832"/>
    <w:rsid w:val="0044186C"/>
    <w:rsid w:val="00441B21"/>
    <w:rsid w:val="00442706"/>
    <w:rsid w:val="00442F78"/>
    <w:rsid w:val="00442FAB"/>
    <w:rsid w:val="00443146"/>
    <w:rsid w:val="00443312"/>
    <w:rsid w:val="004437AA"/>
    <w:rsid w:val="00443BD4"/>
    <w:rsid w:val="00443DE6"/>
    <w:rsid w:val="00444304"/>
    <w:rsid w:val="004448AB"/>
    <w:rsid w:val="00444AD6"/>
    <w:rsid w:val="00444CFF"/>
    <w:rsid w:val="00444EB5"/>
    <w:rsid w:val="0044517C"/>
    <w:rsid w:val="0044534C"/>
    <w:rsid w:val="0044557D"/>
    <w:rsid w:val="00445764"/>
    <w:rsid w:val="004457A8"/>
    <w:rsid w:val="00445E1B"/>
    <w:rsid w:val="0044692F"/>
    <w:rsid w:val="00446EE9"/>
    <w:rsid w:val="004470DB"/>
    <w:rsid w:val="00447224"/>
    <w:rsid w:val="0044750F"/>
    <w:rsid w:val="0044774C"/>
    <w:rsid w:val="00447935"/>
    <w:rsid w:val="00447FD4"/>
    <w:rsid w:val="004503BF"/>
    <w:rsid w:val="00450ACA"/>
    <w:rsid w:val="00450CD0"/>
    <w:rsid w:val="00450F0E"/>
    <w:rsid w:val="00451671"/>
    <w:rsid w:val="00451816"/>
    <w:rsid w:val="004518E5"/>
    <w:rsid w:val="00451F3D"/>
    <w:rsid w:val="0045214E"/>
    <w:rsid w:val="00452896"/>
    <w:rsid w:val="00452983"/>
    <w:rsid w:val="00452CF8"/>
    <w:rsid w:val="00452D9D"/>
    <w:rsid w:val="0045337E"/>
    <w:rsid w:val="0045358D"/>
    <w:rsid w:val="00453C06"/>
    <w:rsid w:val="00453C32"/>
    <w:rsid w:val="00453CE1"/>
    <w:rsid w:val="00453FDB"/>
    <w:rsid w:val="00454C35"/>
    <w:rsid w:val="0045515E"/>
    <w:rsid w:val="004552FB"/>
    <w:rsid w:val="004554C7"/>
    <w:rsid w:val="0045554B"/>
    <w:rsid w:val="004557C3"/>
    <w:rsid w:val="00455B9C"/>
    <w:rsid w:val="00456040"/>
    <w:rsid w:val="004569FC"/>
    <w:rsid w:val="00456B78"/>
    <w:rsid w:val="00456EE7"/>
    <w:rsid w:val="0045765D"/>
    <w:rsid w:val="004576F1"/>
    <w:rsid w:val="004576F4"/>
    <w:rsid w:val="00457729"/>
    <w:rsid w:val="004579F4"/>
    <w:rsid w:val="00457C5D"/>
    <w:rsid w:val="0046002A"/>
    <w:rsid w:val="004609AC"/>
    <w:rsid w:val="004609E5"/>
    <w:rsid w:val="00460C91"/>
    <w:rsid w:val="00460DEA"/>
    <w:rsid w:val="00460F32"/>
    <w:rsid w:val="00461026"/>
    <w:rsid w:val="00461254"/>
    <w:rsid w:val="004612D3"/>
    <w:rsid w:val="00461508"/>
    <w:rsid w:val="004616E9"/>
    <w:rsid w:val="00461B6D"/>
    <w:rsid w:val="004622AD"/>
    <w:rsid w:val="00462930"/>
    <w:rsid w:val="00462B18"/>
    <w:rsid w:val="00462D96"/>
    <w:rsid w:val="004630B0"/>
    <w:rsid w:val="004632D9"/>
    <w:rsid w:val="004633CC"/>
    <w:rsid w:val="0046361F"/>
    <w:rsid w:val="00463733"/>
    <w:rsid w:val="00463F8B"/>
    <w:rsid w:val="00463FAF"/>
    <w:rsid w:val="004644C8"/>
    <w:rsid w:val="00464713"/>
    <w:rsid w:val="004647D6"/>
    <w:rsid w:val="00464C0F"/>
    <w:rsid w:val="00464CED"/>
    <w:rsid w:val="00464D80"/>
    <w:rsid w:val="00464E0B"/>
    <w:rsid w:val="00464E34"/>
    <w:rsid w:val="00465006"/>
    <w:rsid w:val="004651CA"/>
    <w:rsid w:val="0046561A"/>
    <w:rsid w:val="00465779"/>
    <w:rsid w:val="00465DA7"/>
    <w:rsid w:val="0046690D"/>
    <w:rsid w:val="00466920"/>
    <w:rsid w:val="004669E0"/>
    <w:rsid w:val="00466A11"/>
    <w:rsid w:val="00466F71"/>
    <w:rsid w:val="00467044"/>
    <w:rsid w:val="0046731D"/>
    <w:rsid w:val="004676BD"/>
    <w:rsid w:val="004677A4"/>
    <w:rsid w:val="00467897"/>
    <w:rsid w:val="004700D9"/>
    <w:rsid w:val="004708AB"/>
    <w:rsid w:val="004708B0"/>
    <w:rsid w:val="004708CB"/>
    <w:rsid w:val="0047095D"/>
    <w:rsid w:val="00470AC1"/>
    <w:rsid w:val="00471732"/>
    <w:rsid w:val="00471DC9"/>
    <w:rsid w:val="00472B58"/>
    <w:rsid w:val="00472BAB"/>
    <w:rsid w:val="00472C5A"/>
    <w:rsid w:val="00472C89"/>
    <w:rsid w:val="00472D18"/>
    <w:rsid w:val="00473038"/>
    <w:rsid w:val="004731B3"/>
    <w:rsid w:val="00473405"/>
    <w:rsid w:val="00473475"/>
    <w:rsid w:val="004735A6"/>
    <w:rsid w:val="00473632"/>
    <w:rsid w:val="00473702"/>
    <w:rsid w:val="00473AF5"/>
    <w:rsid w:val="00473C67"/>
    <w:rsid w:val="00473CFF"/>
    <w:rsid w:val="004742EC"/>
    <w:rsid w:val="0047452C"/>
    <w:rsid w:val="00474A6B"/>
    <w:rsid w:val="00474ABD"/>
    <w:rsid w:val="00474B3D"/>
    <w:rsid w:val="004750D1"/>
    <w:rsid w:val="00475426"/>
    <w:rsid w:val="00475505"/>
    <w:rsid w:val="00475CA7"/>
    <w:rsid w:val="00475EFD"/>
    <w:rsid w:val="00475F6E"/>
    <w:rsid w:val="004760E5"/>
    <w:rsid w:val="004762EC"/>
    <w:rsid w:val="0047635B"/>
    <w:rsid w:val="00476828"/>
    <w:rsid w:val="00476907"/>
    <w:rsid w:val="00476C7E"/>
    <w:rsid w:val="00476E8D"/>
    <w:rsid w:val="00476F50"/>
    <w:rsid w:val="00477872"/>
    <w:rsid w:val="00477D4B"/>
    <w:rsid w:val="0048087D"/>
    <w:rsid w:val="00481467"/>
    <w:rsid w:val="0048153E"/>
    <w:rsid w:val="004816FA"/>
    <w:rsid w:val="00481E4D"/>
    <w:rsid w:val="00481EF6"/>
    <w:rsid w:val="00481F59"/>
    <w:rsid w:val="004823FF"/>
    <w:rsid w:val="00482551"/>
    <w:rsid w:val="00482E1E"/>
    <w:rsid w:val="00482E9A"/>
    <w:rsid w:val="00482FF1"/>
    <w:rsid w:val="004830E0"/>
    <w:rsid w:val="00483334"/>
    <w:rsid w:val="004836F5"/>
    <w:rsid w:val="00483968"/>
    <w:rsid w:val="00483B64"/>
    <w:rsid w:val="004843BC"/>
    <w:rsid w:val="00484663"/>
    <w:rsid w:val="00484B32"/>
    <w:rsid w:val="00484DB8"/>
    <w:rsid w:val="00484F0B"/>
    <w:rsid w:val="004853C0"/>
    <w:rsid w:val="004854AD"/>
    <w:rsid w:val="004855FC"/>
    <w:rsid w:val="004856EF"/>
    <w:rsid w:val="004860CD"/>
    <w:rsid w:val="00486553"/>
    <w:rsid w:val="004866A8"/>
    <w:rsid w:val="004867FC"/>
    <w:rsid w:val="004868FA"/>
    <w:rsid w:val="00486EE3"/>
    <w:rsid w:val="0048703E"/>
    <w:rsid w:val="00487299"/>
    <w:rsid w:val="0048778A"/>
    <w:rsid w:val="004877CF"/>
    <w:rsid w:val="00487BE7"/>
    <w:rsid w:val="00490101"/>
    <w:rsid w:val="00490411"/>
    <w:rsid w:val="004905A4"/>
    <w:rsid w:val="00490C20"/>
    <w:rsid w:val="0049136B"/>
    <w:rsid w:val="004913F3"/>
    <w:rsid w:val="0049140D"/>
    <w:rsid w:val="004915B6"/>
    <w:rsid w:val="004918C4"/>
    <w:rsid w:val="00491F7A"/>
    <w:rsid w:val="00492046"/>
    <w:rsid w:val="00492498"/>
    <w:rsid w:val="0049295E"/>
    <w:rsid w:val="00492D66"/>
    <w:rsid w:val="00492DB4"/>
    <w:rsid w:val="00492F4A"/>
    <w:rsid w:val="00493074"/>
    <w:rsid w:val="004932A4"/>
    <w:rsid w:val="004933F7"/>
    <w:rsid w:val="00493D41"/>
    <w:rsid w:val="00493D54"/>
    <w:rsid w:val="00493FCD"/>
    <w:rsid w:val="004943E4"/>
    <w:rsid w:val="00494A59"/>
    <w:rsid w:val="00494CA5"/>
    <w:rsid w:val="00494DE4"/>
    <w:rsid w:val="00495078"/>
    <w:rsid w:val="00495084"/>
    <w:rsid w:val="004952A7"/>
    <w:rsid w:val="00495C5F"/>
    <w:rsid w:val="00495D5F"/>
    <w:rsid w:val="00495E57"/>
    <w:rsid w:val="0049617D"/>
    <w:rsid w:val="004961CF"/>
    <w:rsid w:val="004963DF"/>
    <w:rsid w:val="00496CBC"/>
    <w:rsid w:val="0049702C"/>
    <w:rsid w:val="00497483"/>
    <w:rsid w:val="0049795D"/>
    <w:rsid w:val="00497DA1"/>
    <w:rsid w:val="00497E25"/>
    <w:rsid w:val="004A0792"/>
    <w:rsid w:val="004A12A8"/>
    <w:rsid w:val="004A12E7"/>
    <w:rsid w:val="004A14D6"/>
    <w:rsid w:val="004A170D"/>
    <w:rsid w:val="004A17B0"/>
    <w:rsid w:val="004A1A09"/>
    <w:rsid w:val="004A1DC7"/>
    <w:rsid w:val="004A25F6"/>
    <w:rsid w:val="004A2738"/>
    <w:rsid w:val="004A2E33"/>
    <w:rsid w:val="004A311A"/>
    <w:rsid w:val="004A3843"/>
    <w:rsid w:val="004A3E08"/>
    <w:rsid w:val="004A435C"/>
    <w:rsid w:val="004A4430"/>
    <w:rsid w:val="004A47B7"/>
    <w:rsid w:val="004A49E7"/>
    <w:rsid w:val="004A4D48"/>
    <w:rsid w:val="004A5525"/>
    <w:rsid w:val="004A582C"/>
    <w:rsid w:val="004A5C65"/>
    <w:rsid w:val="004A5D6D"/>
    <w:rsid w:val="004A5E1E"/>
    <w:rsid w:val="004A5E56"/>
    <w:rsid w:val="004A5EAC"/>
    <w:rsid w:val="004A60DD"/>
    <w:rsid w:val="004A64C6"/>
    <w:rsid w:val="004A6902"/>
    <w:rsid w:val="004A6917"/>
    <w:rsid w:val="004A7A90"/>
    <w:rsid w:val="004A7E88"/>
    <w:rsid w:val="004B00AC"/>
    <w:rsid w:val="004B0666"/>
    <w:rsid w:val="004B11BE"/>
    <w:rsid w:val="004B14B4"/>
    <w:rsid w:val="004B1829"/>
    <w:rsid w:val="004B1AAC"/>
    <w:rsid w:val="004B1F49"/>
    <w:rsid w:val="004B243B"/>
    <w:rsid w:val="004B27DC"/>
    <w:rsid w:val="004B28CB"/>
    <w:rsid w:val="004B2A27"/>
    <w:rsid w:val="004B2C36"/>
    <w:rsid w:val="004B35E1"/>
    <w:rsid w:val="004B36DE"/>
    <w:rsid w:val="004B389C"/>
    <w:rsid w:val="004B3B17"/>
    <w:rsid w:val="004B3C0B"/>
    <w:rsid w:val="004B4059"/>
    <w:rsid w:val="004B423A"/>
    <w:rsid w:val="004B48DD"/>
    <w:rsid w:val="004B4919"/>
    <w:rsid w:val="004B4B8F"/>
    <w:rsid w:val="004B4CDA"/>
    <w:rsid w:val="004B5086"/>
    <w:rsid w:val="004B5327"/>
    <w:rsid w:val="004B58F7"/>
    <w:rsid w:val="004B5908"/>
    <w:rsid w:val="004B62B5"/>
    <w:rsid w:val="004B6615"/>
    <w:rsid w:val="004B6960"/>
    <w:rsid w:val="004B6A02"/>
    <w:rsid w:val="004B7070"/>
    <w:rsid w:val="004B7290"/>
    <w:rsid w:val="004B7944"/>
    <w:rsid w:val="004B7F5F"/>
    <w:rsid w:val="004B7F66"/>
    <w:rsid w:val="004C089D"/>
    <w:rsid w:val="004C0B8D"/>
    <w:rsid w:val="004C0D69"/>
    <w:rsid w:val="004C0E21"/>
    <w:rsid w:val="004C10AF"/>
    <w:rsid w:val="004C1533"/>
    <w:rsid w:val="004C16C0"/>
    <w:rsid w:val="004C16DD"/>
    <w:rsid w:val="004C1D20"/>
    <w:rsid w:val="004C23EB"/>
    <w:rsid w:val="004C241B"/>
    <w:rsid w:val="004C28BE"/>
    <w:rsid w:val="004C2A99"/>
    <w:rsid w:val="004C2C01"/>
    <w:rsid w:val="004C2C24"/>
    <w:rsid w:val="004C2FA9"/>
    <w:rsid w:val="004C3471"/>
    <w:rsid w:val="004C3711"/>
    <w:rsid w:val="004C3AD2"/>
    <w:rsid w:val="004C423A"/>
    <w:rsid w:val="004C4382"/>
    <w:rsid w:val="004C439E"/>
    <w:rsid w:val="004C4A21"/>
    <w:rsid w:val="004C4CEB"/>
    <w:rsid w:val="004C4E8C"/>
    <w:rsid w:val="004C501C"/>
    <w:rsid w:val="004C5086"/>
    <w:rsid w:val="004C518C"/>
    <w:rsid w:val="004C5490"/>
    <w:rsid w:val="004C5A96"/>
    <w:rsid w:val="004C606B"/>
    <w:rsid w:val="004C6096"/>
    <w:rsid w:val="004C6582"/>
    <w:rsid w:val="004C6660"/>
    <w:rsid w:val="004C66C0"/>
    <w:rsid w:val="004C6967"/>
    <w:rsid w:val="004C6D19"/>
    <w:rsid w:val="004C6E69"/>
    <w:rsid w:val="004C6F73"/>
    <w:rsid w:val="004C6F7D"/>
    <w:rsid w:val="004C6FE0"/>
    <w:rsid w:val="004C7056"/>
    <w:rsid w:val="004C705F"/>
    <w:rsid w:val="004C71FB"/>
    <w:rsid w:val="004C741B"/>
    <w:rsid w:val="004C7A45"/>
    <w:rsid w:val="004C7DA0"/>
    <w:rsid w:val="004D0220"/>
    <w:rsid w:val="004D03C5"/>
    <w:rsid w:val="004D0556"/>
    <w:rsid w:val="004D08EA"/>
    <w:rsid w:val="004D096F"/>
    <w:rsid w:val="004D13D8"/>
    <w:rsid w:val="004D1491"/>
    <w:rsid w:val="004D181E"/>
    <w:rsid w:val="004D1CC4"/>
    <w:rsid w:val="004D1CDF"/>
    <w:rsid w:val="004D1D9C"/>
    <w:rsid w:val="004D1E4D"/>
    <w:rsid w:val="004D2494"/>
    <w:rsid w:val="004D279F"/>
    <w:rsid w:val="004D28FA"/>
    <w:rsid w:val="004D2A8C"/>
    <w:rsid w:val="004D2C10"/>
    <w:rsid w:val="004D2E39"/>
    <w:rsid w:val="004D2F30"/>
    <w:rsid w:val="004D3C0B"/>
    <w:rsid w:val="004D3C76"/>
    <w:rsid w:val="004D3E38"/>
    <w:rsid w:val="004D4420"/>
    <w:rsid w:val="004D46EE"/>
    <w:rsid w:val="004D4808"/>
    <w:rsid w:val="004D4B82"/>
    <w:rsid w:val="004D52D6"/>
    <w:rsid w:val="004D56D0"/>
    <w:rsid w:val="004D589B"/>
    <w:rsid w:val="004D6462"/>
    <w:rsid w:val="004D679A"/>
    <w:rsid w:val="004D6BED"/>
    <w:rsid w:val="004D6E02"/>
    <w:rsid w:val="004D7093"/>
    <w:rsid w:val="004D7572"/>
    <w:rsid w:val="004D7657"/>
    <w:rsid w:val="004D77FC"/>
    <w:rsid w:val="004D7DF2"/>
    <w:rsid w:val="004E026F"/>
    <w:rsid w:val="004E0373"/>
    <w:rsid w:val="004E05ED"/>
    <w:rsid w:val="004E0688"/>
    <w:rsid w:val="004E0889"/>
    <w:rsid w:val="004E0F6F"/>
    <w:rsid w:val="004E108A"/>
    <w:rsid w:val="004E1234"/>
    <w:rsid w:val="004E1440"/>
    <w:rsid w:val="004E14A9"/>
    <w:rsid w:val="004E174A"/>
    <w:rsid w:val="004E1890"/>
    <w:rsid w:val="004E1CC5"/>
    <w:rsid w:val="004E20A9"/>
    <w:rsid w:val="004E2379"/>
    <w:rsid w:val="004E24B5"/>
    <w:rsid w:val="004E2512"/>
    <w:rsid w:val="004E2596"/>
    <w:rsid w:val="004E30E0"/>
    <w:rsid w:val="004E343F"/>
    <w:rsid w:val="004E41AA"/>
    <w:rsid w:val="004E42A5"/>
    <w:rsid w:val="004E457F"/>
    <w:rsid w:val="004E4600"/>
    <w:rsid w:val="004E4763"/>
    <w:rsid w:val="004E486E"/>
    <w:rsid w:val="004E4875"/>
    <w:rsid w:val="004E4C82"/>
    <w:rsid w:val="004E4E94"/>
    <w:rsid w:val="004E4F61"/>
    <w:rsid w:val="004E54CB"/>
    <w:rsid w:val="004E5AA1"/>
    <w:rsid w:val="004E5E69"/>
    <w:rsid w:val="004E5FAE"/>
    <w:rsid w:val="004E5FF6"/>
    <w:rsid w:val="004E6017"/>
    <w:rsid w:val="004E616B"/>
    <w:rsid w:val="004E67BD"/>
    <w:rsid w:val="004E6A4C"/>
    <w:rsid w:val="004E6D0F"/>
    <w:rsid w:val="004E7611"/>
    <w:rsid w:val="004F0323"/>
    <w:rsid w:val="004F0596"/>
    <w:rsid w:val="004F1205"/>
    <w:rsid w:val="004F1777"/>
    <w:rsid w:val="004F1834"/>
    <w:rsid w:val="004F1871"/>
    <w:rsid w:val="004F2399"/>
    <w:rsid w:val="004F2751"/>
    <w:rsid w:val="004F2A6A"/>
    <w:rsid w:val="004F306A"/>
    <w:rsid w:val="004F32F0"/>
    <w:rsid w:val="004F3325"/>
    <w:rsid w:val="004F33B3"/>
    <w:rsid w:val="004F3547"/>
    <w:rsid w:val="004F3609"/>
    <w:rsid w:val="004F3AD6"/>
    <w:rsid w:val="004F3E32"/>
    <w:rsid w:val="004F3FC1"/>
    <w:rsid w:val="004F512C"/>
    <w:rsid w:val="004F582E"/>
    <w:rsid w:val="004F59C5"/>
    <w:rsid w:val="004F5C72"/>
    <w:rsid w:val="004F5D35"/>
    <w:rsid w:val="004F631C"/>
    <w:rsid w:val="004F6B73"/>
    <w:rsid w:val="004F6BC9"/>
    <w:rsid w:val="004F6CF1"/>
    <w:rsid w:val="004F6FF7"/>
    <w:rsid w:val="004F7196"/>
    <w:rsid w:val="004F7249"/>
    <w:rsid w:val="004F7801"/>
    <w:rsid w:val="004F79F0"/>
    <w:rsid w:val="004F7E64"/>
    <w:rsid w:val="004F7FF5"/>
    <w:rsid w:val="00500632"/>
    <w:rsid w:val="0050080E"/>
    <w:rsid w:val="00500E93"/>
    <w:rsid w:val="00500EED"/>
    <w:rsid w:val="00500FDE"/>
    <w:rsid w:val="0050135A"/>
    <w:rsid w:val="00501453"/>
    <w:rsid w:val="00501630"/>
    <w:rsid w:val="005017F6"/>
    <w:rsid w:val="00501C49"/>
    <w:rsid w:val="00502181"/>
    <w:rsid w:val="005021DB"/>
    <w:rsid w:val="0050292C"/>
    <w:rsid w:val="005035CE"/>
    <w:rsid w:val="005035EB"/>
    <w:rsid w:val="00503A51"/>
    <w:rsid w:val="00503BBE"/>
    <w:rsid w:val="00503DB4"/>
    <w:rsid w:val="00503DEA"/>
    <w:rsid w:val="00503FE2"/>
    <w:rsid w:val="00504013"/>
    <w:rsid w:val="00504212"/>
    <w:rsid w:val="00504573"/>
    <w:rsid w:val="00504768"/>
    <w:rsid w:val="00504C52"/>
    <w:rsid w:val="00504C88"/>
    <w:rsid w:val="00504E16"/>
    <w:rsid w:val="00505288"/>
    <w:rsid w:val="005056D9"/>
    <w:rsid w:val="005057DF"/>
    <w:rsid w:val="00505A86"/>
    <w:rsid w:val="00505C9D"/>
    <w:rsid w:val="00505E1D"/>
    <w:rsid w:val="0050613D"/>
    <w:rsid w:val="005062FE"/>
    <w:rsid w:val="00506669"/>
    <w:rsid w:val="00506B18"/>
    <w:rsid w:val="00506B40"/>
    <w:rsid w:val="00506C54"/>
    <w:rsid w:val="00506E27"/>
    <w:rsid w:val="00506E59"/>
    <w:rsid w:val="00506FE2"/>
    <w:rsid w:val="005078C4"/>
    <w:rsid w:val="00507B8D"/>
    <w:rsid w:val="00507D87"/>
    <w:rsid w:val="00510125"/>
    <w:rsid w:val="00510208"/>
    <w:rsid w:val="00510456"/>
    <w:rsid w:val="00510536"/>
    <w:rsid w:val="00510C39"/>
    <w:rsid w:val="00510D64"/>
    <w:rsid w:val="0051134A"/>
    <w:rsid w:val="0051155B"/>
    <w:rsid w:val="00511C5D"/>
    <w:rsid w:val="00511CFC"/>
    <w:rsid w:val="00511D28"/>
    <w:rsid w:val="00511EEF"/>
    <w:rsid w:val="00512014"/>
    <w:rsid w:val="00512139"/>
    <w:rsid w:val="005122FE"/>
    <w:rsid w:val="00512583"/>
    <w:rsid w:val="0051270D"/>
    <w:rsid w:val="00512808"/>
    <w:rsid w:val="00512D55"/>
    <w:rsid w:val="0051322D"/>
    <w:rsid w:val="0051337C"/>
    <w:rsid w:val="005135E6"/>
    <w:rsid w:val="005137E9"/>
    <w:rsid w:val="0051473A"/>
    <w:rsid w:val="005152A1"/>
    <w:rsid w:val="0051539A"/>
    <w:rsid w:val="005153A1"/>
    <w:rsid w:val="0051551F"/>
    <w:rsid w:val="00515792"/>
    <w:rsid w:val="005157CB"/>
    <w:rsid w:val="00515C8C"/>
    <w:rsid w:val="00515D6E"/>
    <w:rsid w:val="00515E30"/>
    <w:rsid w:val="0051635F"/>
    <w:rsid w:val="005163F0"/>
    <w:rsid w:val="00516595"/>
    <w:rsid w:val="005168B0"/>
    <w:rsid w:val="00516AC8"/>
    <w:rsid w:val="00516CBC"/>
    <w:rsid w:val="00516DA4"/>
    <w:rsid w:val="005172F5"/>
    <w:rsid w:val="00517BCF"/>
    <w:rsid w:val="005207EE"/>
    <w:rsid w:val="00520CBB"/>
    <w:rsid w:val="005213F8"/>
    <w:rsid w:val="005216C7"/>
    <w:rsid w:val="005219BB"/>
    <w:rsid w:val="00521B9E"/>
    <w:rsid w:val="005220AB"/>
    <w:rsid w:val="005222AE"/>
    <w:rsid w:val="005223AE"/>
    <w:rsid w:val="00522F1D"/>
    <w:rsid w:val="005237F4"/>
    <w:rsid w:val="00524BA4"/>
    <w:rsid w:val="00524D84"/>
    <w:rsid w:val="00525117"/>
    <w:rsid w:val="00525137"/>
    <w:rsid w:val="00525351"/>
    <w:rsid w:val="00525609"/>
    <w:rsid w:val="005258EA"/>
    <w:rsid w:val="00525A83"/>
    <w:rsid w:val="00525B17"/>
    <w:rsid w:val="00525F7E"/>
    <w:rsid w:val="00526097"/>
    <w:rsid w:val="00526FC4"/>
    <w:rsid w:val="00526FFB"/>
    <w:rsid w:val="00527524"/>
    <w:rsid w:val="00527537"/>
    <w:rsid w:val="00527AA1"/>
    <w:rsid w:val="00527C78"/>
    <w:rsid w:val="0053037E"/>
    <w:rsid w:val="005304E7"/>
    <w:rsid w:val="00530585"/>
    <w:rsid w:val="00530EFB"/>
    <w:rsid w:val="005312AB"/>
    <w:rsid w:val="005316A3"/>
    <w:rsid w:val="00531EEE"/>
    <w:rsid w:val="005321AD"/>
    <w:rsid w:val="0053277B"/>
    <w:rsid w:val="00532854"/>
    <w:rsid w:val="00532CDF"/>
    <w:rsid w:val="005333A4"/>
    <w:rsid w:val="00533464"/>
    <w:rsid w:val="00533566"/>
    <w:rsid w:val="00533981"/>
    <w:rsid w:val="00534414"/>
    <w:rsid w:val="005344D7"/>
    <w:rsid w:val="005344EA"/>
    <w:rsid w:val="005346D5"/>
    <w:rsid w:val="005347B6"/>
    <w:rsid w:val="005348FC"/>
    <w:rsid w:val="00534F8C"/>
    <w:rsid w:val="00535CFA"/>
    <w:rsid w:val="00535EBA"/>
    <w:rsid w:val="00535FEA"/>
    <w:rsid w:val="00536125"/>
    <w:rsid w:val="0053634F"/>
    <w:rsid w:val="00536468"/>
    <w:rsid w:val="005367BE"/>
    <w:rsid w:val="00536BED"/>
    <w:rsid w:val="0053731A"/>
    <w:rsid w:val="005373F8"/>
    <w:rsid w:val="0053752C"/>
    <w:rsid w:val="00537665"/>
    <w:rsid w:val="00537732"/>
    <w:rsid w:val="005379AC"/>
    <w:rsid w:val="00537D4F"/>
    <w:rsid w:val="00540661"/>
    <w:rsid w:val="00540743"/>
    <w:rsid w:val="00540B98"/>
    <w:rsid w:val="00541249"/>
    <w:rsid w:val="0054162A"/>
    <w:rsid w:val="00541882"/>
    <w:rsid w:val="005420FD"/>
    <w:rsid w:val="00542D10"/>
    <w:rsid w:val="00542F7D"/>
    <w:rsid w:val="005433BE"/>
    <w:rsid w:val="00543932"/>
    <w:rsid w:val="00543C53"/>
    <w:rsid w:val="00543FD4"/>
    <w:rsid w:val="005442EF"/>
    <w:rsid w:val="00544462"/>
    <w:rsid w:val="00544691"/>
    <w:rsid w:val="00544D0C"/>
    <w:rsid w:val="00544D28"/>
    <w:rsid w:val="00544F5F"/>
    <w:rsid w:val="005450BF"/>
    <w:rsid w:val="005454B9"/>
    <w:rsid w:val="00545544"/>
    <w:rsid w:val="00545A96"/>
    <w:rsid w:val="00545BAD"/>
    <w:rsid w:val="00545C9A"/>
    <w:rsid w:val="00545FC4"/>
    <w:rsid w:val="00545FC6"/>
    <w:rsid w:val="0054606A"/>
    <w:rsid w:val="005461BA"/>
    <w:rsid w:val="005465FB"/>
    <w:rsid w:val="00546676"/>
    <w:rsid w:val="005469B2"/>
    <w:rsid w:val="00546B41"/>
    <w:rsid w:val="00546F98"/>
    <w:rsid w:val="00546FF1"/>
    <w:rsid w:val="00546FF2"/>
    <w:rsid w:val="005470F1"/>
    <w:rsid w:val="00547255"/>
    <w:rsid w:val="005474B7"/>
    <w:rsid w:val="00547B3F"/>
    <w:rsid w:val="00547BF7"/>
    <w:rsid w:val="00547F2B"/>
    <w:rsid w:val="005502A0"/>
    <w:rsid w:val="005502FE"/>
    <w:rsid w:val="0055084A"/>
    <w:rsid w:val="00550990"/>
    <w:rsid w:val="00550A82"/>
    <w:rsid w:val="00550B7C"/>
    <w:rsid w:val="00550C89"/>
    <w:rsid w:val="00551542"/>
    <w:rsid w:val="00551612"/>
    <w:rsid w:val="00551761"/>
    <w:rsid w:val="00551B2C"/>
    <w:rsid w:val="00551B40"/>
    <w:rsid w:val="00551C1E"/>
    <w:rsid w:val="00551C47"/>
    <w:rsid w:val="00551E4C"/>
    <w:rsid w:val="00552269"/>
    <w:rsid w:val="0055280B"/>
    <w:rsid w:val="00552EA8"/>
    <w:rsid w:val="0055345E"/>
    <w:rsid w:val="00553F75"/>
    <w:rsid w:val="00554212"/>
    <w:rsid w:val="00554357"/>
    <w:rsid w:val="005547F1"/>
    <w:rsid w:val="0055495D"/>
    <w:rsid w:val="00554CFE"/>
    <w:rsid w:val="00554D40"/>
    <w:rsid w:val="00554F71"/>
    <w:rsid w:val="00555249"/>
    <w:rsid w:val="005552AB"/>
    <w:rsid w:val="005554C1"/>
    <w:rsid w:val="0055550B"/>
    <w:rsid w:val="00555859"/>
    <w:rsid w:val="00555D99"/>
    <w:rsid w:val="00556388"/>
    <w:rsid w:val="0055672B"/>
    <w:rsid w:val="0055696C"/>
    <w:rsid w:val="00556976"/>
    <w:rsid w:val="00556D46"/>
    <w:rsid w:val="00556F6F"/>
    <w:rsid w:val="00557382"/>
    <w:rsid w:val="00557942"/>
    <w:rsid w:val="00557A25"/>
    <w:rsid w:val="0056028D"/>
    <w:rsid w:val="0056039F"/>
    <w:rsid w:val="00560467"/>
    <w:rsid w:val="00560F8D"/>
    <w:rsid w:val="0056135A"/>
    <w:rsid w:val="00561992"/>
    <w:rsid w:val="005622E1"/>
    <w:rsid w:val="00562B31"/>
    <w:rsid w:val="00562C42"/>
    <w:rsid w:val="00563145"/>
    <w:rsid w:val="00563BF3"/>
    <w:rsid w:val="00563CB7"/>
    <w:rsid w:val="005642E2"/>
    <w:rsid w:val="005643A2"/>
    <w:rsid w:val="005643AA"/>
    <w:rsid w:val="005644F2"/>
    <w:rsid w:val="0056456F"/>
    <w:rsid w:val="00564719"/>
    <w:rsid w:val="00564B84"/>
    <w:rsid w:val="005654AA"/>
    <w:rsid w:val="005655A6"/>
    <w:rsid w:val="005658FF"/>
    <w:rsid w:val="005660A2"/>
    <w:rsid w:val="0056611A"/>
    <w:rsid w:val="0056641D"/>
    <w:rsid w:val="00566481"/>
    <w:rsid w:val="005677AB"/>
    <w:rsid w:val="005677DF"/>
    <w:rsid w:val="0056793F"/>
    <w:rsid w:val="00567DCF"/>
    <w:rsid w:val="00567F79"/>
    <w:rsid w:val="00567F86"/>
    <w:rsid w:val="00570E0D"/>
    <w:rsid w:val="00571188"/>
    <w:rsid w:val="00571457"/>
    <w:rsid w:val="0057156F"/>
    <w:rsid w:val="00571660"/>
    <w:rsid w:val="0057197A"/>
    <w:rsid w:val="0057199F"/>
    <w:rsid w:val="005720C0"/>
    <w:rsid w:val="005720C4"/>
    <w:rsid w:val="005722F3"/>
    <w:rsid w:val="00572CF6"/>
    <w:rsid w:val="00572E7F"/>
    <w:rsid w:val="00572FCB"/>
    <w:rsid w:val="005735B5"/>
    <w:rsid w:val="005738A3"/>
    <w:rsid w:val="00574406"/>
    <w:rsid w:val="005745B1"/>
    <w:rsid w:val="00574DB1"/>
    <w:rsid w:val="00574F74"/>
    <w:rsid w:val="0057503C"/>
    <w:rsid w:val="00575227"/>
    <w:rsid w:val="00575306"/>
    <w:rsid w:val="005759CA"/>
    <w:rsid w:val="00575E58"/>
    <w:rsid w:val="00575EC1"/>
    <w:rsid w:val="00575F20"/>
    <w:rsid w:val="00576023"/>
    <w:rsid w:val="005760F7"/>
    <w:rsid w:val="005761FD"/>
    <w:rsid w:val="005762FA"/>
    <w:rsid w:val="00576489"/>
    <w:rsid w:val="00576E82"/>
    <w:rsid w:val="00577026"/>
    <w:rsid w:val="005774BA"/>
    <w:rsid w:val="005778A9"/>
    <w:rsid w:val="0058007E"/>
    <w:rsid w:val="0058034F"/>
    <w:rsid w:val="0058074A"/>
    <w:rsid w:val="00580C9C"/>
    <w:rsid w:val="00580FD1"/>
    <w:rsid w:val="0058140F"/>
    <w:rsid w:val="0058153C"/>
    <w:rsid w:val="005817B4"/>
    <w:rsid w:val="005819B2"/>
    <w:rsid w:val="00581E1B"/>
    <w:rsid w:val="00581F67"/>
    <w:rsid w:val="00581FA5"/>
    <w:rsid w:val="00582593"/>
    <w:rsid w:val="00582D9A"/>
    <w:rsid w:val="00582EAB"/>
    <w:rsid w:val="005830BC"/>
    <w:rsid w:val="0058334D"/>
    <w:rsid w:val="005835E4"/>
    <w:rsid w:val="0058362F"/>
    <w:rsid w:val="005836D0"/>
    <w:rsid w:val="00583A4B"/>
    <w:rsid w:val="00583E48"/>
    <w:rsid w:val="005840C3"/>
    <w:rsid w:val="005840E3"/>
    <w:rsid w:val="00584293"/>
    <w:rsid w:val="00584DEC"/>
    <w:rsid w:val="00584F49"/>
    <w:rsid w:val="00585492"/>
    <w:rsid w:val="0058560F"/>
    <w:rsid w:val="00585947"/>
    <w:rsid w:val="00585971"/>
    <w:rsid w:val="0058661C"/>
    <w:rsid w:val="00586A3A"/>
    <w:rsid w:val="00586E14"/>
    <w:rsid w:val="00587072"/>
    <w:rsid w:val="0058738C"/>
    <w:rsid w:val="00587898"/>
    <w:rsid w:val="005879D2"/>
    <w:rsid w:val="00587BBD"/>
    <w:rsid w:val="00587C28"/>
    <w:rsid w:val="00590A32"/>
    <w:rsid w:val="00590A88"/>
    <w:rsid w:val="00591611"/>
    <w:rsid w:val="005916D3"/>
    <w:rsid w:val="005918BC"/>
    <w:rsid w:val="00591B47"/>
    <w:rsid w:val="005924FC"/>
    <w:rsid w:val="00592638"/>
    <w:rsid w:val="0059273D"/>
    <w:rsid w:val="00592A0A"/>
    <w:rsid w:val="00592A24"/>
    <w:rsid w:val="005933CF"/>
    <w:rsid w:val="00593C40"/>
    <w:rsid w:val="00594190"/>
    <w:rsid w:val="0059422E"/>
    <w:rsid w:val="00595064"/>
    <w:rsid w:val="00595BFF"/>
    <w:rsid w:val="00595DB1"/>
    <w:rsid w:val="00595E3E"/>
    <w:rsid w:val="00595EB4"/>
    <w:rsid w:val="00596553"/>
    <w:rsid w:val="0059661C"/>
    <w:rsid w:val="0059681B"/>
    <w:rsid w:val="00596B51"/>
    <w:rsid w:val="0059709D"/>
    <w:rsid w:val="00597154"/>
    <w:rsid w:val="00597327"/>
    <w:rsid w:val="00597389"/>
    <w:rsid w:val="0059752E"/>
    <w:rsid w:val="0059772D"/>
    <w:rsid w:val="00597D39"/>
    <w:rsid w:val="00597FCD"/>
    <w:rsid w:val="005A0055"/>
    <w:rsid w:val="005A0754"/>
    <w:rsid w:val="005A0B25"/>
    <w:rsid w:val="005A0FF8"/>
    <w:rsid w:val="005A132F"/>
    <w:rsid w:val="005A13EE"/>
    <w:rsid w:val="005A1AD1"/>
    <w:rsid w:val="005A1B34"/>
    <w:rsid w:val="005A1C89"/>
    <w:rsid w:val="005A1CB9"/>
    <w:rsid w:val="005A1CC5"/>
    <w:rsid w:val="005A1EEB"/>
    <w:rsid w:val="005A1F48"/>
    <w:rsid w:val="005A2311"/>
    <w:rsid w:val="005A24E9"/>
    <w:rsid w:val="005A2982"/>
    <w:rsid w:val="005A29FE"/>
    <w:rsid w:val="005A2BAD"/>
    <w:rsid w:val="005A2D60"/>
    <w:rsid w:val="005A2F7D"/>
    <w:rsid w:val="005A358A"/>
    <w:rsid w:val="005A35D5"/>
    <w:rsid w:val="005A366A"/>
    <w:rsid w:val="005A3B69"/>
    <w:rsid w:val="005A3C22"/>
    <w:rsid w:val="005A3C97"/>
    <w:rsid w:val="005A4274"/>
    <w:rsid w:val="005A4441"/>
    <w:rsid w:val="005A499A"/>
    <w:rsid w:val="005A4ADB"/>
    <w:rsid w:val="005A4B7D"/>
    <w:rsid w:val="005A4DD4"/>
    <w:rsid w:val="005A4E0F"/>
    <w:rsid w:val="005A530F"/>
    <w:rsid w:val="005A531F"/>
    <w:rsid w:val="005A5836"/>
    <w:rsid w:val="005A5E34"/>
    <w:rsid w:val="005A5F4B"/>
    <w:rsid w:val="005A65FC"/>
    <w:rsid w:val="005A66E5"/>
    <w:rsid w:val="005A675C"/>
    <w:rsid w:val="005A6836"/>
    <w:rsid w:val="005A6953"/>
    <w:rsid w:val="005A6997"/>
    <w:rsid w:val="005A6E14"/>
    <w:rsid w:val="005A6F1B"/>
    <w:rsid w:val="005A71B9"/>
    <w:rsid w:val="005A741E"/>
    <w:rsid w:val="005A7470"/>
    <w:rsid w:val="005A76B9"/>
    <w:rsid w:val="005A781A"/>
    <w:rsid w:val="005A7888"/>
    <w:rsid w:val="005A790D"/>
    <w:rsid w:val="005A7914"/>
    <w:rsid w:val="005A7997"/>
    <w:rsid w:val="005A79B1"/>
    <w:rsid w:val="005A7BAF"/>
    <w:rsid w:val="005B01F3"/>
    <w:rsid w:val="005B022A"/>
    <w:rsid w:val="005B0635"/>
    <w:rsid w:val="005B08CD"/>
    <w:rsid w:val="005B0980"/>
    <w:rsid w:val="005B0E37"/>
    <w:rsid w:val="005B0E46"/>
    <w:rsid w:val="005B131C"/>
    <w:rsid w:val="005B14B6"/>
    <w:rsid w:val="005B1BC5"/>
    <w:rsid w:val="005B1C87"/>
    <w:rsid w:val="005B1CA4"/>
    <w:rsid w:val="005B1D25"/>
    <w:rsid w:val="005B2148"/>
    <w:rsid w:val="005B2520"/>
    <w:rsid w:val="005B2619"/>
    <w:rsid w:val="005B26F0"/>
    <w:rsid w:val="005B295D"/>
    <w:rsid w:val="005B2BAF"/>
    <w:rsid w:val="005B3A52"/>
    <w:rsid w:val="005B3AF8"/>
    <w:rsid w:val="005B3AFC"/>
    <w:rsid w:val="005B3C06"/>
    <w:rsid w:val="005B4283"/>
    <w:rsid w:val="005B45A6"/>
    <w:rsid w:val="005B4BA6"/>
    <w:rsid w:val="005B4DD1"/>
    <w:rsid w:val="005B4EE1"/>
    <w:rsid w:val="005B567E"/>
    <w:rsid w:val="005B5D36"/>
    <w:rsid w:val="005B60CC"/>
    <w:rsid w:val="005B6501"/>
    <w:rsid w:val="005B67A9"/>
    <w:rsid w:val="005B68F1"/>
    <w:rsid w:val="005B6DD0"/>
    <w:rsid w:val="005B7804"/>
    <w:rsid w:val="005B781A"/>
    <w:rsid w:val="005B7F2B"/>
    <w:rsid w:val="005B7F92"/>
    <w:rsid w:val="005C009F"/>
    <w:rsid w:val="005C02EB"/>
    <w:rsid w:val="005C051B"/>
    <w:rsid w:val="005C0903"/>
    <w:rsid w:val="005C095E"/>
    <w:rsid w:val="005C0E28"/>
    <w:rsid w:val="005C0E2C"/>
    <w:rsid w:val="005C0E5C"/>
    <w:rsid w:val="005C0FF2"/>
    <w:rsid w:val="005C11BF"/>
    <w:rsid w:val="005C1507"/>
    <w:rsid w:val="005C17F8"/>
    <w:rsid w:val="005C1E69"/>
    <w:rsid w:val="005C1EC9"/>
    <w:rsid w:val="005C23AA"/>
    <w:rsid w:val="005C2702"/>
    <w:rsid w:val="005C285A"/>
    <w:rsid w:val="005C2935"/>
    <w:rsid w:val="005C2CA2"/>
    <w:rsid w:val="005C2DE7"/>
    <w:rsid w:val="005C3081"/>
    <w:rsid w:val="005C4077"/>
    <w:rsid w:val="005C42EB"/>
    <w:rsid w:val="005C4329"/>
    <w:rsid w:val="005C447F"/>
    <w:rsid w:val="005C4875"/>
    <w:rsid w:val="005C487C"/>
    <w:rsid w:val="005C4A7C"/>
    <w:rsid w:val="005C4F5C"/>
    <w:rsid w:val="005C563F"/>
    <w:rsid w:val="005C567A"/>
    <w:rsid w:val="005C5801"/>
    <w:rsid w:val="005C5875"/>
    <w:rsid w:val="005C58BA"/>
    <w:rsid w:val="005C5A2C"/>
    <w:rsid w:val="005C5ABE"/>
    <w:rsid w:val="005C5B45"/>
    <w:rsid w:val="005C5D4F"/>
    <w:rsid w:val="005C5E14"/>
    <w:rsid w:val="005C61A1"/>
    <w:rsid w:val="005C6599"/>
    <w:rsid w:val="005C6CEA"/>
    <w:rsid w:val="005C7300"/>
    <w:rsid w:val="005C76E6"/>
    <w:rsid w:val="005D0252"/>
    <w:rsid w:val="005D04C0"/>
    <w:rsid w:val="005D0832"/>
    <w:rsid w:val="005D0876"/>
    <w:rsid w:val="005D0925"/>
    <w:rsid w:val="005D0D23"/>
    <w:rsid w:val="005D0EBE"/>
    <w:rsid w:val="005D0F13"/>
    <w:rsid w:val="005D0F25"/>
    <w:rsid w:val="005D1601"/>
    <w:rsid w:val="005D1655"/>
    <w:rsid w:val="005D17EB"/>
    <w:rsid w:val="005D2DD7"/>
    <w:rsid w:val="005D2ED6"/>
    <w:rsid w:val="005D334C"/>
    <w:rsid w:val="005D3672"/>
    <w:rsid w:val="005D3A30"/>
    <w:rsid w:val="005D3D64"/>
    <w:rsid w:val="005D405A"/>
    <w:rsid w:val="005D419A"/>
    <w:rsid w:val="005D476E"/>
    <w:rsid w:val="005D4789"/>
    <w:rsid w:val="005D47D5"/>
    <w:rsid w:val="005D4D38"/>
    <w:rsid w:val="005D5012"/>
    <w:rsid w:val="005D51DF"/>
    <w:rsid w:val="005D51FA"/>
    <w:rsid w:val="005D5746"/>
    <w:rsid w:val="005D5839"/>
    <w:rsid w:val="005D5ACF"/>
    <w:rsid w:val="005D6035"/>
    <w:rsid w:val="005D6236"/>
    <w:rsid w:val="005D6B99"/>
    <w:rsid w:val="005D6EEF"/>
    <w:rsid w:val="005D71C1"/>
    <w:rsid w:val="005D7534"/>
    <w:rsid w:val="005D768A"/>
    <w:rsid w:val="005D7AD0"/>
    <w:rsid w:val="005E0584"/>
    <w:rsid w:val="005E077D"/>
    <w:rsid w:val="005E0AB2"/>
    <w:rsid w:val="005E0D3C"/>
    <w:rsid w:val="005E0EAF"/>
    <w:rsid w:val="005E1186"/>
    <w:rsid w:val="005E11A3"/>
    <w:rsid w:val="005E1329"/>
    <w:rsid w:val="005E16F6"/>
    <w:rsid w:val="005E190B"/>
    <w:rsid w:val="005E1C1C"/>
    <w:rsid w:val="005E1CF3"/>
    <w:rsid w:val="005E20D7"/>
    <w:rsid w:val="005E2BEB"/>
    <w:rsid w:val="005E2DA3"/>
    <w:rsid w:val="005E32CE"/>
    <w:rsid w:val="005E34FA"/>
    <w:rsid w:val="005E393C"/>
    <w:rsid w:val="005E4218"/>
    <w:rsid w:val="005E4269"/>
    <w:rsid w:val="005E43AA"/>
    <w:rsid w:val="005E49B9"/>
    <w:rsid w:val="005E49EE"/>
    <w:rsid w:val="005E4CF1"/>
    <w:rsid w:val="005E4D90"/>
    <w:rsid w:val="005E502D"/>
    <w:rsid w:val="005E53F2"/>
    <w:rsid w:val="005E5441"/>
    <w:rsid w:val="005E5617"/>
    <w:rsid w:val="005E581C"/>
    <w:rsid w:val="005E59C2"/>
    <w:rsid w:val="005E5EDB"/>
    <w:rsid w:val="005E6230"/>
    <w:rsid w:val="005E6649"/>
    <w:rsid w:val="005E6C27"/>
    <w:rsid w:val="005E7689"/>
    <w:rsid w:val="005E785A"/>
    <w:rsid w:val="005E7BAB"/>
    <w:rsid w:val="005E7C38"/>
    <w:rsid w:val="005E7C52"/>
    <w:rsid w:val="005E7C68"/>
    <w:rsid w:val="005E7CB8"/>
    <w:rsid w:val="005E7DCE"/>
    <w:rsid w:val="005E7F4C"/>
    <w:rsid w:val="005F0107"/>
    <w:rsid w:val="005F034A"/>
    <w:rsid w:val="005F06DA"/>
    <w:rsid w:val="005F072E"/>
    <w:rsid w:val="005F0795"/>
    <w:rsid w:val="005F07FA"/>
    <w:rsid w:val="005F090B"/>
    <w:rsid w:val="005F0F3E"/>
    <w:rsid w:val="005F0F55"/>
    <w:rsid w:val="005F0FFD"/>
    <w:rsid w:val="005F1151"/>
    <w:rsid w:val="005F1380"/>
    <w:rsid w:val="005F19DC"/>
    <w:rsid w:val="005F1ED6"/>
    <w:rsid w:val="005F21FB"/>
    <w:rsid w:val="005F22A7"/>
    <w:rsid w:val="005F23F9"/>
    <w:rsid w:val="005F26E2"/>
    <w:rsid w:val="005F2ADB"/>
    <w:rsid w:val="005F2C68"/>
    <w:rsid w:val="005F34C9"/>
    <w:rsid w:val="005F369F"/>
    <w:rsid w:val="005F3CE8"/>
    <w:rsid w:val="005F3D43"/>
    <w:rsid w:val="005F3EA6"/>
    <w:rsid w:val="005F434F"/>
    <w:rsid w:val="005F4415"/>
    <w:rsid w:val="005F46D6"/>
    <w:rsid w:val="005F4970"/>
    <w:rsid w:val="005F49A9"/>
    <w:rsid w:val="005F4FAE"/>
    <w:rsid w:val="005F4FB8"/>
    <w:rsid w:val="005F5300"/>
    <w:rsid w:val="005F5D02"/>
    <w:rsid w:val="005F6281"/>
    <w:rsid w:val="005F659D"/>
    <w:rsid w:val="005F670E"/>
    <w:rsid w:val="005F6DD4"/>
    <w:rsid w:val="005F6E8C"/>
    <w:rsid w:val="005F73A5"/>
    <w:rsid w:val="005F797B"/>
    <w:rsid w:val="005F7FD3"/>
    <w:rsid w:val="006000F3"/>
    <w:rsid w:val="006006AB"/>
    <w:rsid w:val="00600933"/>
    <w:rsid w:val="00600D5D"/>
    <w:rsid w:val="00600F53"/>
    <w:rsid w:val="006010BC"/>
    <w:rsid w:val="00601EBA"/>
    <w:rsid w:val="0060213C"/>
    <w:rsid w:val="00602181"/>
    <w:rsid w:val="0060223A"/>
    <w:rsid w:val="0060240D"/>
    <w:rsid w:val="0060243D"/>
    <w:rsid w:val="006026D6"/>
    <w:rsid w:val="00602B2A"/>
    <w:rsid w:val="00602CC4"/>
    <w:rsid w:val="006030AA"/>
    <w:rsid w:val="0060316D"/>
    <w:rsid w:val="00603858"/>
    <w:rsid w:val="006041AB"/>
    <w:rsid w:val="00604293"/>
    <w:rsid w:val="00604F0C"/>
    <w:rsid w:val="006051FB"/>
    <w:rsid w:val="00605703"/>
    <w:rsid w:val="0060571E"/>
    <w:rsid w:val="00605783"/>
    <w:rsid w:val="00605D63"/>
    <w:rsid w:val="0060694D"/>
    <w:rsid w:val="00606BA6"/>
    <w:rsid w:val="00606D60"/>
    <w:rsid w:val="00606E2A"/>
    <w:rsid w:val="00607DBB"/>
    <w:rsid w:val="006103C2"/>
    <w:rsid w:val="006104DE"/>
    <w:rsid w:val="00610682"/>
    <w:rsid w:val="00610896"/>
    <w:rsid w:val="006111FF"/>
    <w:rsid w:val="006113B0"/>
    <w:rsid w:val="00611658"/>
    <w:rsid w:val="006118D2"/>
    <w:rsid w:val="006118F8"/>
    <w:rsid w:val="00611B5F"/>
    <w:rsid w:val="00611D53"/>
    <w:rsid w:val="006124A0"/>
    <w:rsid w:val="00612565"/>
    <w:rsid w:val="006128FD"/>
    <w:rsid w:val="006129EA"/>
    <w:rsid w:val="00612AFA"/>
    <w:rsid w:val="00612BA1"/>
    <w:rsid w:val="00612BD7"/>
    <w:rsid w:val="00613B54"/>
    <w:rsid w:val="00613B5B"/>
    <w:rsid w:val="00613EB0"/>
    <w:rsid w:val="0061405C"/>
    <w:rsid w:val="00614188"/>
    <w:rsid w:val="006145B1"/>
    <w:rsid w:val="00614733"/>
    <w:rsid w:val="00614C70"/>
    <w:rsid w:val="00615252"/>
    <w:rsid w:val="00615753"/>
    <w:rsid w:val="00615841"/>
    <w:rsid w:val="00615873"/>
    <w:rsid w:val="00615925"/>
    <w:rsid w:val="00615B48"/>
    <w:rsid w:val="006168B2"/>
    <w:rsid w:val="0061738E"/>
    <w:rsid w:val="00617411"/>
    <w:rsid w:val="0061748F"/>
    <w:rsid w:val="0061771E"/>
    <w:rsid w:val="00617CA8"/>
    <w:rsid w:val="00617F06"/>
    <w:rsid w:val="0062011F"/>
    <w:rsid w:val="00620CD4"/>
    <w:rsid w:val="006215D2"/>
    <w:rsid w:val="00621844"/>
    <w:rsid w:val="00621F64"/>
    <w:rsid w:val="00621F6D"/>
    <w:rsid w:val="0062238F"/>
    <w:rsid w:val="006227D4"/>
    <w:rsid w:val="006229AF"/>
    <w:rsid w:val="006229D5"/>
    <w:rsid w:val="00622D75"/>
    <w:rsid w:val="006235B6"/>
    <w:rsid w:val="00623668"/>
    <w:rsid w:val="006237BB"/>
    <w:rsid w:val="00623A88"/>
    <w:rsid w:val="0062466A"/>
    <w:rsid w:val="006246EA"/>
    <w:rsid w:val="00624B85"/>
    <w:rsid w:val="00624C5F"/>
    <w:rsid w:val="00624DAF"/>
    <w:rsid w:val="00624F80"/>
    <w:rsid w:val="00625127"/>
    <w:rsid w:val="00625669"/>
    <w:rsid w:val="00625715"/>
    <w:rsid w:val="006259E0"/>
    <w:rsid w:val="006259E4"/>
    <w:rsid w:val="00625BD0"/>
    <w:rsid w:val="00625E91"/>
    <w:rsid w:val="006260BE"/>
    <w:rsid w:val="006262AA"/>
    <w:rsid w:val="0062633F"/>
    <w:rsid w:val="006263E5"/>
    <w:rsid w:val="006265F5"/>
    <w:rsid w:val="006269A3"/>
    <w:rsid w:val="00627289"/>
    <w:rsid w:val="006273F8"/>
    <w:rsid w:val="00627B73"/>
    <w:rsid w:val="006303DE"/>
    <w:rsid w:val="006306F0"/>
    <w:rsid w:val="00630845"/>
    <w:rsid w:val="00630C3B"/>
    <w:rsid w:val="00630D18"/>
    <w:rsid w:val="00630D6E"/>
    <w:rsid w:val="00630E8C"/>
    <w:rsid w:val="00631036"/>
    <w:rsid w:val="006311B9"/>
    <w:rsid w:val="0063169E"/>
    <w:rsid w:val="00631A99"/>
    <w:rsid w:val="00631AA9"/>
    <w:rsid w:val="00631F1B"/>
    <w:rsid w:val="006320EE"/>
    <w:rsid w:val="006321BD"/>
    <w:rsid w:val="00632653"/>
    <w:rsid w:val="00632B4D"/>
    <w:rsid w:val="00632D80"/>
    <w:rsid w:val="00633249"/>
    <w:rsid w:val="00633621"/>
    <w:rsid w:val="0063372A"/>
    <w:rsid w:val="00633932"/>
    <w:rsid w:val="00633AA6"/>
    <w:rsid w:val="00633B4B"/>
    <w:rsid w:val="0063405E"/>
    <w:rsid w:val="00634294"/>
    <w:rsid w:val="006342BA"/>
    <w:rsid w:val="00634549"/>
    <w:rsid w:val="00634606"/>
    <w:rsid w:val="00634BEB"/>
    <w:rsid w:val="00635D6D"/>
    <w:rsid w:val="00635E95"/>
    <w:rsid w:val="0063628C"/>
    <w:rsid w:val="0063670E"/>
    <w:rsid w:val="00636963"/>
    <w:rsid w:val="00636E67"/>
    <w:rsid w:val="00636F7A"/>
    <w:rsid w:val="00636FF4"/>
    <w:rsid w:val="006371CD"/>
    <w:rsid w:val="0063721E"/>
    <w:rsid w:val="00637555"/>
    <w:rsid w:val="00637767"/>
    <w:rsid w:val="00637A70"/>
    <w:rsid w:val="00637A92"/>
    <w:rsid w:val="00637D17"/>
    <w:rsid w:val="00637DB4"/>
    <w:rsid w:val="00640178"/>
    <w:rsid w:val="00640200"/>
    <w:rsid w:val="0064025F"/>
    <w:rsid w:val="00640AC9"/>
    <w:rsid w:val="00640B47"/>
    <w:rsid w:val="00641262"/>
    <w:rsid w:val="00641369"/>
    <w:rsid w:val="00641C33"/>
    <w:rsid w:val="00641F93"/>
    <w:rsid w:val="00642310"/>
    <w:rsid w:val="0064238A"/>
    <w:rsid w:val="006423FF"/>
    <w:rsid w:val="0064260F"/>
    <w:rsid w:val="006426AF"/>
    <w:rsid w:val="0064271F"/>
    <w:rsid w:val="0064285D"/>
    <w:rsid w:val="00642966"/>
    <w:rsid w:val="0064299B"/>
    <w:rsid w:val="00643117"/>
    <w:rsid w:val="0064330F"/>
    <w:rsid w:val="00643460"/>
    <w:rsid w:val="006434E6"/>
    <w:rsid w:val="0064368D"/>
    <w:rsid w:val="006436E5"/>
    <w:rsid w:val="006437F9"/>
    <w:rsid w:val="00643840"/>
    <w:rsid w:val="00643A98"/>
    <w:rsid w:val="00643BF8"/>
    <w:rsid w:val="00643CC1"/>
    <w:rsid w:val="0064428E"/>
    <w:rsid w:val="00644382"/>
    <w:rsid w:val="006444F5"/>
    <w:rsid w:val="00644603"/>
    <w:rsid w:val="006449D8"/>
    <w:rsid w:val="00644B64"/>
    <w:rsid w:val="00644E9E"/>
    <w:rsid w:val="00645196"/>
    <w:rsid w:val="006456CD"/>
    <w:rsid w:val="006459D0"/>
    <w:rsid w:val="00645C2E"/>
    <w:rsid w:val="0064672D"/>
    <w:rsid w:val="00646815"/>
    <w:rsid w:val="0064691B"/>
    <w:rsid w:val="00646A04"/>
    <w:rsid w:val="0064707C"/>
    <w:rsid w:val="006470AD"/>
    <w:rsid w:val="00647850"/>
    <w:rsid w:val="00647CEF"/>
    <w:rsid w:val="0065012D"/>
    <w:rsid w:val="0065020F"/>
    <w:rsid w:val="00650625"/>
    <w:rsid w:val="00650739"/>
    <w:rsid w:val="006507AA"/>
    <w:rsid w:val="00650A90"/>
    <w:rsid w:val="00650DAA"/>
    <w:rsid w:val="006514A7"/>
    <w:rsid w:val="006514B8"/>
    <w:rsid w:val="00651863"/>
    <w:rsid w:val="00652317"/>
    <w:rsid w:val="006523AC"/>
    <w:rsid w:val="006524A3"/>
    <w:rsid w:val="00652636"/>
    <w:rsid w:val="006526EF"/>
    <w:rsid w:val="00652745"/>
    <w:rsid w:val="006527BF"/>
    <w:rsid w:val="00652A9D"/>
    <w:rsid w:val="00652CB1"/>
    <w:rsid w:val="00652D0A"/>
    <w:rsid w:val="006532DB"/>
    <w:rsid w:val="0065334E"/>
    <w:rsid w:val="006534B5"/>
    <w:rsid w:val="00653A0E"/>
    <w:rsid w:val="006540F2"/>
    <w:rsid w:val="00654120"/>
    <w:rsid w:val="00654160"/>
    <w:rsid w:val="00654187"/>
    <w:rsid w:val="006541C0"/>
    <w:rsid w:val="006542DC"/>
    <w:rsid w:val="00654689"/>
    <w:rsid w:val="00654A03"/>
    <w:rsid w:val="00654A5D"/>
    <w:rsid w:val="00654BD9"/>
    <w:rsid w:val="00655850"/>
    <w:rsid w:val="006559E7"/>
    <w:rsid w:val="00655F0E"/>
    <w:rsid w:val="00655FF9"/>
    <w:rsid w:val="0065628D"/>
    <w:rsid w:val="00656AAA"/>
    <w:rsid w:val="00656DBB"/>
    <w:rsid w:val="00656E62"/>
    <w:rsid w:val="006574BA"/>
    <w:rsid w:val="00657F36"/>
    <w:rsid w:val="00660038"/>
    <w:rsid w:val="0066009F"/>
    <w:rsid w:val="006601CC"/>
    <w:rsid w:val="0066035B"/>
    <w:rsid w:val="00660815"/>
    <w:rsid w:val="006608AA"/>
    <w:rsid w:val="00660D96"/>
    <w:rsid w:val="00660F14"/>
    <w:rsid w:val="00662271"/>
    <w:rsid w:val="006624FB"/>
    <w:rsid w:val="00662E02"/>
    <w:rsid w:val="006637B6"/>
    <w:rsid w:val="00663965"/>
    <w:rsid w:val="00663BAD"/>
    <w:rsid w:val="00663D53"/>
    <w:rsid w:val="00663D8F"/>
    <w:rsid w:val="00663DC9"/>
    <w:rsid w:val="00663E45"/>
    <w:rsid w:val="006641F2"/>
    <w:rsid w:val="00664D27"/>
    <w:rsid w:val="00666113"/>
    <w:rsid w:val="00666381"/>
    <w:rsid w:val="00666551"/>
    <w:rsid w:val="0066693F"/>
    <w:rsid w:val="00666D1D"/>
    <w:rsid w:val="00666E62"/>
    <w:rsid w:val="00666F4E"/>
    <w:rsid w:val="0066728C"/>
    <w:rsid w:val="00667591"/>
    <w:rsid w:val="006679DF"/>
    <w:rsid w:val="006701AC"/>
    <w:rsid w:val="006701ED"/>
    <w:rsid w:val="006702C2"/>
    <w:rsid w:val="006704DE"/>
    <w:rsid w:val="00670AD7"/>
    <w:rsid w:val="00670AF5"/>
    <w:rsid w:val="00670E74"/>
    <w:rsid w:val="00671769"/>
    <w:rsid w:val="006721A3"/>
    <w:rsid w:val="006726E2"/>
    <w:rsid w:val="006727E5"/>
    <w:rsid w:val="00672BA9"/>
    <w:rsid w:val="00672BC6"/>
    <w:rsid w:val="00672D07"/>
    <w:rsid w:val="006734C6"/>
    <w:rsid w:val="00673D7F"/>
    <w:rsid w:val="0067412D"/>
    <w:rsid w:val="00674869"/>
    <w:rsid w:val="00674B06"/>
    <w:rsid w:val="00675124"/>
    <w:rsid w:val="00675418"/>
    <w:rsid w:val="0067597D"/>
    <w:rsid w:val="00675A40"/>
    <w:rsid w:val="00675CAD"/>
    <w:rsid w:val="00675E43"/>
    <w:rsid w:val="0067625C"/>
    <w:rsid w:val="006767FA"/>
    <w:rsid w:val="00676841"/>
    <w:rsid w:val="00676EB1"/>
    <w:rsid w:val="006776F1"/>
    <w:rsid w:val="0067782C"/>
    <w:rsid w:val="00677ABE"/>
    <w:rsid w:val="00677D14"/>
    <w:rsid w:val="00677E41"/>
    <w:rsid w:val="006803BC"/>
    <w:rsid w:val="00680434"/>
    <w:rsid w:val="0068061D"/>
    <w:rsid w:val="00680779"/>
    <w:rsid w:val="00680F22"/>
    <w:rsid w:val="006811FA"/>
    <w:rsid w:val="00681707"/>
    <w:rsid w:val="00681894"/>
    <w:rsid w:val="00681B1C"/>
    <w:rsid w:val="00681DC0"/>
    <w:rsid w:val="00681E88"/>
    <w:rsid w:val="00682659"/>
    <w:rsid w:val="006826AF"/>
    <w:rsid w:val="00682968"/>
    <w:rsid w:val="006829F7"/>
    <w:rsid w:val="00682FE0"/>
    <w:rsid w:val="0068321B"/>
    <w:rsid w:val="00683C07"/>
    <w:rsid w:val="00683E57"/>
    <w:rsid w:val="00683E9E"/>
    <w:rsid w:val="00684006"/>
    <w:rsid w:val="006841C8"/>
    <w:rsid w:val="0068420F"/>
    <w:rsid w:val="0068428C"/>
    <w:rsid w:val="00684354"/>
    <w:rsid w:val="0068496F"/>
    <w:rsid w:val="00684BB8"/>
    <w:rsid w:val="006853C3"/>
    <w:rsid w:val="00685512"/>
    <w:rsid w:val="00685790"/>
    <w:rsid w:val="0068581B"/>
    <w:rsid w:val="006858A8"/>
    <w:rsid w:val="00685A91"/>
    <w:rsid w:val="00685DC2"/>
    <w:rsid w:val="006866DB"/>
    <w:rsid w:val="006868F9"/>
    <w:rsid w:val="0068697A"/>
    <w:rsid w:val="00686F14"/>
    <w:rsid w:val="00686F49"/>
    <w:rsid w:val="006872C3"/>
    <w:rsid w:val="006878B8"/>
    <w:rsid w:val="00687942"/>
    <w:rsid w:val="0068797F"/>
    <w:rsid w:val="00687C73"/>
    <w:rsid w:val="00687C79"/>
    <w:rsid w:val="00690169"/>
    <w:rsid w:val="0069017C"/>
    <w:rsid w:val="0069046D"/>
    <w:rsid w:val="00690EC8"/>
    <w:rsid w:val="00690F34"/>
    <w:rsid w:val="00691155"/>
    <w:rsid w:val="006912D8"/>
    <w:rsid w:val="00691704"/>
    <w:rsid w:val="0069179D"/>
    <w:rsid w:val="00691A1E"/>
    <w:rsid w:val="00691BA3"/>
    <w:rsid w:val="00691BA6"/>
    <w:rsid w:val="00691D6F"/>
    <w:rsid w:val="00691F19"/>
    <w:rsid w:val="00692443"/>
    <w:rsid w:val="006925F2"/>
    <w:rsid w:val="006925F7"/>
    <w:rsid w:val="0069265C"/>
    <w:rsid w:val="00692663"/>
    <w:rsid w:val="00692F8D"/>
    <w:rsid w:val="0069380A"/>
    <w:rsid w:val="006938F0"/>
    <w:rsid w:val="00693D7A"/>
    <w:rsid w:val="00694304"/>
    <w:rsid w:val="00694444"/>
    <w:rsid w:val="006944DC"/>
    <w:rsid w:val="00694720"/>
    <w:rsid w:val="006948CC"/>
    <w:rsid w:val="00694B4F"/>
    <w:rsid w:val="00694CDF"/>
    <w:rsid w:val="00695055"/>
    <w:rsid w:val="006952E3"/>
    <w:rsid w:val="006953FC"/>
    <w:rsid w:val="006955B5"/>
    <w:rsid w:val="00695614"/>
    <w:rsid w:val="00695690"/>
    <w:rsid w:val="006958A1"/>
    <w:rsid w:val="00695F25"/>
    <w:rsid w:val="0069608E"/>
    <w:rsid w:val="006961F8"/>
    <w:rsid w:val="00696432"/>
    <w:rsid w:val="006965E0"/>
    <w:rsid w:val="0069665B"/>
    <w:rsid w:val="006967B5"/>
    <w:rsid w:val="0069700F"/>
    <w:rsid w:val="00697166"/>
    <w:rsid w:val="00697172"/>
    <w:rsid w:val="00697676"/>
    <w:rsid w:val="0069781F"/>
    <w:rsid w:val="006979A2"/>
    <w:rsid w:val="00697DB2"/>
    <w:rsid w:val="006A0095"/>
    <w:rsid w:val="006A0A35"/>
    <w:rsid w:val="006A0AE1"/>
    <w:rsid w:val="006A0C5C"/>
    <w:rsid w:val="006A121D"/>
    <w:rsid w:val="006A1CBB"/>
    <w:rsid w:val="006A1D29"/>
    <w:rsid w:val="006A1F55"/>
    <w:rsid w:val="006A236F"/>
    <w:rsid w:val="006A285B"/>
    <w:rsid w:val="006A2CF7"/>
    <w:rsid w:val="006A2DF5"/>
    <w:rsid w:val="006A3528"/>
    <w:rsid w:val="006A37CA"/>
    <w:rsid w:val="006A3851"/>
    <w:rsid w:val="006A3AB6"/>
    <w:rsid w:val="006A3B81"/>
    <w:rsid w:val="006A3E86"/>
    <w:rsid w:val="006A3FEC"/>
    <w:rsid w:val="006A47DF"/>
    <w:rsid w:val="006A53F4"/>
    <w:rsid w:val="006A548E"/>
    <w:rsid w:val="006A56C3"/>
    <w:rsid w:val="006A59FB"/>
    <w:rsid w:val="006A6203"/>
    <w:rsid w:val="006A6B64"/>
    <w:rsid w:val="006A7073"/>
    <w:rsid w:val="006A71DA"/>
    <w:rsid w:val="006A72AC"/>
    <w:rsid w:val="006A753E"/>
    <w:rsid w:val="006A7CBA"/>
    <w:rsid w:val="006A7D2A"/>
    <w:rsid w:val="006B0453"/>
    <w:rsid w:val="006B05D4"/>
    <w:rsid w:val="006B07C8"/>
    <w:rsid w:val="006B0CE6"/>
    <w:rsid w:val="006B109C"/>
    <w:rsid w:val="006B18C4"/>
    <w:rsid w:val="006B1A3E"/>
    <w:rsid w:val="006B2082"/>
    <w:rsid w:val="006B238C"/>
    <w:rsid w:val="006B2507"/>
    <w:rsid w:val="006B2858"/>
    <w:rsid w:val="006B28A2"/>
    <w:rsid w:val="006B29DF"/>
    <w:rsid w:val="006B2AED"/>
    <w:rsid w:val="006B2B13"/>
    <w:rsid w:val="006B310E"/>
    <w:rsid w:val="006B3243"/>
    <w:rsid w:val="006B3449"/>
    <w:rsid w:val="006B35B7"/>
    <w:rsid w:val="006B3679"/>
    <w:rsid w:val="006B3790"/>
    <w:rsid w:val="006B3919"/>
    <w:rsid w:val="006B3BE8"/>
    <w:rsid w:val="006B3C83"/>
    <w:rsid w:val="006B3F24"/>
    <w:rsid w:val="006B41B1"/>
    <w:rsid w:val="006B422A"/>
    <w:rsid w:val="006B43CB"/>
    <w:rsid w:val="006B4402"/>
    <w:rsid w:val="006B4E26"/>
    <w:rsid w:val="006B5517"/>
    <w:rsid w:val="006B5772"/>
    <w:rsid w:val="006B5B40"/>
    <w:rsid w:val="006B6C00"/>
    <w:rsid w:val="006B6CD1"/>
    <w:rsid w:val="006B6D4D"/>
    <w:rsid w:val="006B6E05"/>
    <w:rsid w:val="006B71E9"/>
    <w:rsid w:val="006B7E2F"/>
    <w:rsid w:val="006B7F9C"/>
    <w:rsid w:val="006C0166"/>
    <w:rsid w:val="006C028F"/>
    <w:rsid w:val="006C0852"/>
    <w:rsid w:val="006C094E"/>
    <w:rsid w:val="006C1751"/>
    <w:rsid w:val="006C1AF4"/>
    <w:rsid w:val="006C1D52"/>
    <w:rsid w:val="006C21CE"/>
    <w:rsid w:val="006C22C0"/>
    <w:rsid w:val="006C23E9"/>
    <w:rsid w:val="006C2CA0"/>
    <w:rsid w:val="006C2EE7"/>
    <w:rsid w:val="006C31D7"/>
    <w:rsid w:val="006C35CE"/>
    <w:rsid w:val="006C3B30"/>
    <w:rsid w:val="006C3EDC"/>
    <w:rsid w:val="006C47EA"/>
    <w:rsid w:val="006C4910"/>
    <w:rsid w:val="006C4AF0"/>
    <w:rsid w:val="006C4B94"/>
    <w:rsid w:val="006C518F"/>
    <w:rsid w:val="006C540F"/>
    <w:rsid w:val="006C55BF"/>
    <w:rsid w:val="006C59C8"/>
    <w:rsid w:val="006C5A8B"/>
    <w:rsid w:val="006C5F00"/>
    <w:rsid w:val="006C5F4B"/>
    <w:rsid w:val="006C6007"/>
    <w:rsid w:val="006C616C"/>
    <w:rsid w:val="006C6375"/>
    <w:rsid w:val="006C6698"/>
    <w:rsid w:val="006C6A34"/>
    <w:rsid w:val="006C6A98"/>
    <w:rsid w:val="006C6AAF"/>
    <w:rsid w:val="006C70B3"/>
    <w:rsid w:val="006C720B"/>
    <w:rsid w:val="006C7CD2"/>
    <w:rsid w:val="006C7E12"/>
    <w:rsid w:val="006D008B"/>
    <w:rsid w:val="006D010A"/>
    <w:rsid w:val="006D02ED"/>
    <w:rsid w:val="006D0322"/>
    <w:rsid w:val="006D0336"/>
    <w:rsid w:val="006D0999"/>
    <w:rsid w:val="006D0CCC"/>
    <w:rsid w:val="006D0DBA"/>
    <w:rsid w:val="006D0F95"/>
    <w:rsid w:val="006D10DE"/>
    <w:rsid w:val="006D13EE"/>
    <w:rsid w:val="006D16A7"/>
    <w:rsid w:val="006D1939"/>
    <w:rsid w:val="006D19A7"/>
    <w:rsid w:val="006D1EB1"/>
    <w:rsid w:val="006D21A1"/>
    <w:rsid w:val="006D22CD"/>
    <w:rsid w:val="006D2337"/>
    <w:rsid w:val="006D23CF"/>
    <w:rsid w:val="006D268B"/>
    <w:rsid w:val="006D2874"/>
    <w:rsid w:val="006D28E6"/>
    <w:rsid w:val="006D2D06"/>
    <w:rsid w:val="006D2DCA"/>
    <w:rsid w:val="006D3009"/>
    <w:rsid w:val="006D32AD"/>
    <w:rsid w:val="006D32C1"/>
    <w:rsid w:val="006D33C1"/>
    <w:rsid w:val="006D357D"/>
    <w:rsid w:val="006D3616"/>
    <w:rsid w:val="006D3B4E"/>
    <w:rsid w:val="006D4076"/>
    <w:rsid w:val="006D42F9"/>
    <w:rsid w:val="006D4349"/>
    <w:rsid w:val="006D43FB"/>
    <w:rsid w:val="006D48B0"/>
    <w:rsid w:val="006D48FD"/>
    <w:rsid w:val="006D492B"/>
    <w:rsid w:val="006D4D1F"/>
    <w:rsid w:val="006D4ED3"/>
    <w:rsid w:val="006D4F51"/>
    <w:rsid w:val="006D52AB"/>
    <w:rsid w:val="006D5978"/>
    <w:rsid w:val="006D5E97"/>
    <w:rsid w:val="006D5F4A"/>
    <w:rsid w:val="006D6580"/>
    <w:rsid w:val="006D65B5"/>
    <w:rsid w:val="006D694B"/>
    <w:rsid w:val="006D6D6B"/>
    <w:rsid w:val="006D71DE"/>
    <w:rsid w:val="006D7B0B"/>
    <w:rsid w:val="006D7FAF"/>
    <w:rsid w:val="006E0066"/>
    <w:rsid w:val="006E046C"/>
    <w:rsid w:val="006E0D5D"/>
    <w:rsid w:val="006E0E6D"/>
    <w:rsid w:val="006E0F38"/>
    <w:rsid w:val="006E1044"/>
    <w:rsid w:val="006E1049"/>
    <w:rsid w:val="006E1203"/>
    <w:rsid w:val="006E169A"/>
    <w:rsid w:val="006E17B2"/>
    <w:rsid w:val="006E1E78"/>
    <w:rsid w:val="006E2313"/>
    <w:rsid w:val="006E23BF"/>
    <w:rsid w:val="006E2762"/>
    <w:rsid w:val="006E2A36"/>
    <w:rsid w:val="006E32E6"/>
    <w:rsid w:val="006E3353"/>
    <w:rsid w:val="006E344D"/>
    <w:rsid w:val="006E39B3"/>
    <w:rsid w:val="006E39B4"/>
    <w:rsid w:val="006E4108"/>
    <w:rsid w:val="006E41DF"/>
    <w:rsid w:val="006E4231"/>
    <w:rsid w:val="006E471A"/>
    <w:rsid w:val="006E483D"/>
    <w:rsid w:val="006E4CD7"/>
    <w:rsid w:val="006E4F06"/>
    <w:rsid w:val="006E53A3"/>
    <w:rsid w:val="006E53B0"/>
    <w:rsid w:val="006E5B42"/>
    <w:rsid w:val="006E5F28"/>
    <w:rsid w:val="006E60AA"/>
    <w:rsid w:val="006E7A7C"/>
    <w:rsid w:val="006E7CF3"/>
    <w:rsid w:val="006E7E33"/>
    <w:rsid w:val="006F01F3"/>
    <w:rsid w:val="006F0227"/>
    <w:rsid w:val="006F0730"/>
    <w:rsid w:val="006F096A"/>
    <w:rsid w:val="006F096E"/>
    <w:rsid w:val="006F0BAE"/>
    <w:rsid w:val="006F1504"/>
    <w:rsid w:val="006F1652"/>
    <w:rsid w:val="006F1DEA"/>
    <w:rsid w:val="006F1F86"/>
    <w:rsid w:val="006F1FC9"/>
    <w:rsid w:val="006F2033"/>
    <w:rsid w:val="006F2233"/>
    <w:rsid w:val="006F2712"/>
    <w:rsid w:val="006F2BBA"/>
    <w:rsid w:val="006F33FA"/>
    <w:rsid w:val="006F350E"/>
    <w:rsid w:val="006F3DB5"/>
    <w:rsid w:val="006F3EE4"/>
    <w:rsid w:val="006F3F06"/>
    <w:rsid w:val="006F3F29"/>
    <w:rsid w:val="006F4116"/>
    <w:rsid w:val="006F51EA"/>
    <w:rsid w:val="006F52B9"/>
    <w:rsid w:val="006F54AC"/>
    <w:rsid w:val="006F5632"/>
    <w:rsid w:val="006F59E2"/>
    <w:rsid w:val="006F65AD"/>
    <w:rsid w:val="006F680C"/>
    <w:rsid w:val="006F6D81"/>
    <w:rsid w:val="006F6FE9"/>
    <w:rsid w:val="006F7077"/>
    <w:rsid w:val="006F757F"/>
    <w:rsid w:val="006F75EB"/>
    <w:rsid w:val="006F775A"/>
    <w:rsid w:val="006F7AF9"/>
    <w:rsid w:val="00700363"/>
    <w:rsid w:val="00700DC4"/>
    <w:rsid w:val="0070111A"/>
    <w:rsid w:val="007013F5"/>
    <w:rsid w:val="0070171B"/>
    <w:rsid w:val="0070190A"/>
    <w:rsid w:val="00701A35"/>
    <w:rsid w:val="00701F32"/>
    <w:rsid w:val="00702464"/>
    <w:rsid w:val="0070287B"/>
    <w:rsid w:val="007029B8"/>
    <w:rsid w:val="00702AD7"/>
    <w:rsid w:val="00702AEA"/>
    <w:rsid w:val="00702B2F"/>
    <w:rsid w:val="00702FD2"/>
    <w:rsid w:val="00703196"/>
    <w:rsid w:val="0070341A"/>
    <w:rsid w:val="007035F8"/>
    <w:rsid w:val="00703A7C"/>
    <w:rsid w:val="007040AA"/>
    <w:rsid w:val="007045C3"/>
    <w:rsid w:val="007058CB"/>
    <w:rsid w:val="0070625C"/>
    <w:rsid w:val="00706427"/>
    <w:rsid w:val="007064BC"/>
    <w:rsid w:val="007064FF"/>
    <w:rsid w:val="007065A2"/>
    <w:rsid w:val="00706A15"/>
    <w:rsid w:val="00706AFF"/>
    <w:rsid w:val="00706B2B"/>
    <w:rsid w:val="007070A9"/>
    <w:rsid w:val="007070F8"/>
    <w:rsid w:val="007073B3"/>
    <w:rsid w:val="0070755E"/>
    <w:rsid w:val="0070757C"/>
    <w:rsid w:val="0070765E"/>
    <w:rsid w:val="00707AFA"/>
    <w:rsid w:val="00707D83"/>
    <w:rsid w:val="00710276"/>
    <w:rsid w:val="00710664"/>
    <w:rsid w:val="007106BC"/>
    <w:rsid w:val="007107EF"/>
    <w:rsid w:val="00710EB6"/>
    <w:rsid w:val="00710F0E"/>
    <w:rsid w:val="007113E5"/>
    <w:rsid w:val="00711799"/>
    <w:rsid w:val="00711A68"/>
    <w:rsid w:val="00711B49"/>
    <w:rsid w:val="00711FF0"/>
    <w:rsid w:val="00712334"/>
    <w:rsid w:val="0071241B"/>
    <w:rsid w:val="00712426"/>
    <w:rsid w:val="007126E2"/>
    <w:rsid w:val="007128BA"/>
    <w:rsid w:val="00712A01"/>
    <w:rsid w:val="00712ADC"/>
    <w:rsid w:val="00712F94"/>
    <w:rsid w:val="00712FCC"/>
    <w:rsid w:val="00713BA2"/>
    <w:rsid w:val="0071413C"/>
    <w:rsid w:val="00714187"/>
    <w:rsid w:val="00714350"/>
    <w:rsid w:val="00714892"/>
    <w:rsid w:val="0071499E"/>
    <w:rsid w:val="00714DBE"/>
    <w:rsid w:val="00715216"/>
    <w:rsid w:val="00715608"/>
    <w:rsid w:val="007157A4"/>
    <w:rsid w:val="00715CDA"/>
    <w:rsid w:val="00716024"/>
    <w:rsid w:val="00716BDD"/>
    <w:rsid w:val="00716C7C"/>
    <w:rsid w:val="00716D17"/>
    <w:rsid w:val="0071799D"/>
    <w:rsid w:val="00717B56"/>
    <w:rsid w:val="00720146"/>
    <w:rsid w:val="00720884"/>
    <w:rsid w:val="00720BED"/>
    <w:rsid w:val="00721349"/>
    <w:rsid w:val="0072143F"/>
    <w:rsid w:val="007215C9"/>
    <w:rsid w:val="00721980"/>
    <w:rsid w:val="00721A7C"/>
    <w:rsid w:val="00721C7D"/>
    <w:rsid w:val="007220BD"/>
    <w:rsid w:val="007222D0"/>
    <w:rsid w:val="007222DA"/>
    <w:rsid w:val="00722339"/>
    <w:rsid w:val="00722714"/>
    <w:rsid w:val="007228CD"/>
    <w:rsid w:val="00722A03"/>
    <w:rsid w:val="007231F8"/>
    <w:rsid w:val="0072332B"/>
    <w:rsid w:val="007236FA"/>
    <w:rsid w:val="00723B4B"/>
    <w:rsid w:val="00724334"/>
    <w:rsid w:val="0072483B"/>
    <w:rsid w:val="00724BC9"/>
    <w:rsid w:val="00724F21"/>
    <w:rsid w:val="007250E3"/>
    <w:rsid w:val="007251AB"/>
    <w:rsid w:val="00725422"/>
    <w:rsid w:val="007255B4"/>
    <w:rsid w:val="007257B5"/>
    <w:rsid w:val="0072678F"/>
    <w:rsid w:val="00726834"/>
    <w:rsid w:val="00726A9D"/>
    <w:rsid w:val="00726AE2"/>
    <w:rsid w:val="007270F1"/>
    <w:rsid w:val="0072736A"/>
    <w:rsid w:val="007276CC"/>
    <w:rsid w:val="007279C7"/>
    <w:rsid w:val="00727A2A"/>
    <w:rsid w:val="00727A36"/>
    <w:rsid w:val="00727C4D"/>
    <w:rsid w:val="00727D9A"/>
    <w:rsid w:val="00727DE0"/>
    <w:rsid w:val="00730264"/>
    <w:rsid w:val="007302B7"/>
    <w:rsid w:val="00730405"/>
    <w:rsid w:val="00730421"/>
    <w:rsid w:val="007309ED"/>
    <w:rsid w:val="00730F05"/>
    <w:rsid w:val="00730F1A"/>
    <w:rsid w:val="0073109E"/>
    <w:rsid w:val="00731187"/>
    <w:rsid w:val="007311D4"/>
    <w:rsid w:val="0073120A"/>
    <w:rsid w:val="007318AA"/>
    <w:rsid w:val="00731D5D"/>
    <w:rsid w:val="00731E62"/>
    <w:rsid w:val="007322D1"/>
    <w:rsid w:val="0073266E"/>
    <w:rsid w:val="007328CF"/>
    <w:rsid w:val="0073295E"/>
    <w:rsid w:val="00732DC6"/>
    <w:rsid w:val="00733844"/>
    <w:rsid w:val="007339AB"/>
    <w:rsid w:val="00733BCD"/>
    <w:rsid w:val="00733C86"/>
    <w:rsid w:val="007341FE"/>
    <w:rsid w:val="00734410"/>
    <w:rsid w:val="00734990"/>
    <w:rsid w:val="00734E81"/>
    <w:rsid w:val="007354B6"/>
    <w:rsid w:val="00735673"/>
    <w:rsid w:val="007359DB"/>
    <w:rsid w:val="00735A75"/>
    <w:rsid w:val="00735A7B"/>
    <w:rsid w:val="00735B03"/>
    <w:rsid w:val="00735C7F"/>
    <w:rsid w:val="00736051"/>
    <w:rsid w:val="00736663"/>
    <w:rsid w:val="0073683A"/>
    <w:rsid w:val="007368F0"/>
    <w:rsid w:val="00736B5D"/>
    <w:rsid w:val="00736BD3"/>
    <w:rsid w:val="00736BEC"/>
    <w:rsid w:val="00736F0B"/>
    <w:rsid w:val="00737044"/>
    <w:rsid w:val="0073788F"/>
    <w:rsid w:val="007378AD"/>
    <w:rsid w:val="00737B5B"/>
    <w:rsid w:val="00737D49"/>
    <w:rsid w:val="00737FB1"/>
    <w:rsid w:val="00740206"/>
    <w:rsid w:val="007403B7"/>
    <w:rsid w:val="00740A38"/>
    <w:rsid w:val="00740F4E"/>
    <w:rsid w:val="007412AF"/>
    <w:rsid w:val="00741373"/>
    <w:rsid w:val="00741447"/>
    <w:rsid w:val="00741E9E"/>
    <w:rsid w:val="00742C20"/>
    <w:rsid w:val="00742E7A"/>
    <w:rsid w:val="00742F28"/>
    <w:rsid w:val="0074316C"/>
    <w:rsid w:val="00743C22"/>
    <w:rsid w:val="00743E9B"/>
    <w:rsid w:val="007447FF"/>
    <w:rsid w:val="00744FCC"/>
    <w:rsid w:val="0074515D"/>
    <w:rsid w:val="0074560F"/>
    <w:rsid w:val="00745672"/>
    <w:rsid w:val="00745895"/>
    <w:rsid w:val="007465F0"/>
    <w:rsid w:val="007467CF"/>
    <w:rsid w:val="007469E5"/>
    <w:rsid w:val="00746F29"/>
    <w:rsid w:val="007477F0"/>
    <w:rsid w:val="00747F47"/>
    <w:rsid w:val="00750032"/>
    <w:rsid w:val="00750568"/>
    <w:rsid w:val="0075070D"/>
    <w:rsid w:val="00750CB4"/>
    <w:rsid w:val="00750F21"/>
    <w:rsid w:val="00751055"/>
    <w:rsid w:val="00751481"/>
    <w:rsid w:val="007515BF"/>
    <w:rsid w:val="00751A92"/>
    <w:rsid w:val="00751BA2"/>
    <w:rsid w:val="00751EF2"/>
    <w:rsid w:val="007523E6"/>
    <w:rsid w:val="00752777"/>
    <w:rsid w:val="007528A7"/>
    <w:rsid w:val="00752937"/>
    <w:rsid w:val="007529AD"/>
    <w:rsid w:val="00752A4F"/>
    <w:rsid w:val="00752F41"/>
    <w:rsid w:val="007531AE"/>
    <w:rsid w:val="007532DD"/>
    <w:rsid w:val="00753765"/>
    <w:rsid w:val="00753D34"/>
    <w:rsid w:val="0075413E"/>
    <w:rsid w:val="00754265"/>
    <w:rsid w:val="007545DE"/>
    <w:rsid w:val="007546AC"/>
    <w:rsid w:val="00754920"/>
    <w:rsid w:val="00754E43"/>
    <w:rsid w:val="00755574"/>
    <w:rsid w:val="00755F62"/>
    <w:rsid w:val="00756097"/>
    <w:rsid w:val="007562F4"/>
    <w:rsid w:val="007563B9"/>
    <w:rsid w:val="007563C4"/>
    <w:rsid w:val="00756659"/>
    <w:rsid w:val="00756A6F"/>
    <w:rsid w:val="00757582"/>
    <w:rsid w:val="00757790"/>
    <w:rsid w:val="007579F7"/>
    <w:rsid w:val="00757F74"/>
    <w:rsid w:val="00757FCC"/>
    <w:rsid w:val="00760236"/>
    <w:rsid w:val="0076062F"/>
    <w:rsid w:val="007606B6"/>
    <w:rsid w:val="0076093B"/>
    <w:rsid w:val="00760EED"/>
    <w:rsid w:val="00760F43"/>
    <w:rsid w:val="00760FE0"/>
    <w:rsid w:val="00760FED"/>
    <w:rsid w:val="00761041"/>
    <w:rsid w:val="00761AA5"/>
    <w:rsid w:val="00761FE0"/>
    <w:rsid w:val="00762157"/>
    <w:rsid w:val="0076224C"/>
    <w:rsid w:val="007624A3"/>
    <w:rsid w:val="00762587"/>
    <w:rsid w:val="00762920"/>
    <w:rsid w:val="00762A85"/>
    <w:rsid w:val="00762D88"/>
    <w:rsid w:val="00762F32"/>
    <w:rsid w:val="007631B7"/>
    <w:rsid w:val="00763232"/>
    <w:rsid w:val="00763438"/>
    <w:rsid w:val="00763624"/>
    <w:rsid w:val="00763BF7"/>
    <w:rsid w:val="007644D4"/>
    <w:rsid w:val="007644D8"/>
    <w:rsid w:val="0076457F"/>
    <w:rsid w:val="0076462D"/>
    <w:rsid w:val="007647BF"/>
    <w:rsid w:val="00764986"/>
    <w:rsid w:val="00764B69"/>
    <w:rsid w:val="00764FB9"/>
    <w:rsid w:val="00764FE5"/>
    <w:rsid w:val="007650C4"/>
    <w:rsid w:val="0076568E"/>
    <w:rsid w:val="00765726"/>
    <w:rsid w:val="0076627B"/>
    <w:rsid w:val="007662EA"/>
    <w:rsid w:val="00766919"/>
    <w:rsid w:val="00766CC4"/>
    <w:rsid w:val="00766D46"/>
    <w:rsid w:val="00766E5A"/>
    <w:rsid w:val="00767CB1"/>
    <w:rsid w:val="0077072D"/>
    <w:rsid w:val="0077096F"/>
    <w:rsid w:val="00770C5E"/>
    <w:rsid w:val="00770CF9"/>
    <w:rsid w:val="00770E04"/>
    <w:rsid w:val="00771119"/>
    <w:rsid w:val="00771467"/>
    <w:rsid w:val="007718FF"/>
    <w:rsid w:val="00771EBA"/>
    <w:rsid w:val="00772D1E"/>
    <w:rsid w:val="00772E7A"/>
    <w:rsid w:val="007733FE"/>
    <w:rsid w:val="00773ABB"/>
    <w:rsid w:val="00773F71"/>
    <w:rsid w:val="0077445A"/>
    <w:rsid w:val="00774949"/>
    <w:rsid w:val="00774AB6"/>
    <w:rsid w:val="00774B94"/>
    <w:rsid w:val="00774D67"/>
    <w:rsid w:val="00774E55"/>
    <w:rsid w:val="00775D85"/>
    <w:rsid w:val="00775FE7"/>
    <w:rsid w:val="0077631A"/>
    <w:rsid w:val="00776723"/>
    <w:rsid w:val="00776B52"/>
    <w:rsid w:val="00776FF1"/>
    <w:rsid w:val="007770DF"/>
    <w:rsid w:val="007773FF"/>
    <w:rsid w:val="00777AAA"/>
    <w:rsid w:val="00777AD3"/>
    <w:rsid w:val="00777DF8"/>
    <w:rsid w:val="00780CDA"/>
    <w:rsid w:val="00780EBE"/>
    <w:rsid w:val="00780F9D"/>
    <w:rsid w:val="0078119D"/>
    <w:rsid w:val="007815F7"/>
    <w:rsid w:val="00781866"/>
    <w:rsid w:val="00781CA8"/>
    <w:rsid w:val="00782371"/>
    <w:rsid w:val="00782553"/>
    <w:rsid w:val="0078287B"/>
    <w:rsid w:val="00782D51"/>
    <w:rsid w:val="00782D8D"/>
    <w:rsid w:val="00782EC1"/>
    <w:rsid w:val="00782ED3"/>
    <w:rsid w:val="00782F76"/>
    <w:rsid w:val="00784169"/>
    <w:rsid w:val="0078433A"/>
    <w:rsid w:val="00784923"/>
    <w:rsid w:val="00784BB2"/>
    <w:rsid w:val="00784FE8"/>
    <w:rsid w:val="007856A6"/>
    <w:rsid w:val="0078593A"/>
    <w:rsid w:val="00785B69"/>
    <w:rsid w:val="00785C8B"/>
    <w:rsid w:val="00785CC1"/>
    <w:rsid w:val="0078672E"/>
    <w:rsid w:val="00786E0F"/>
    <w:rsid w:val="00787098"/>
    <w:rsid w:val="007876F9"/>
    <w:rsid w:val="007877CE"/>
    <w:rsid w:val="00787F09"/>
    <w:rsid w:val="00787F2C"/>
    <w:rsid w:val="007908BD"/>
    <w:rsid w:val="00790908"/>
    <w:rsid w:val="00790BE1"/>
    <w:rsid w:val="00791C18"/>
    <w:rsid w:val="00792305"/>
    <w:rsid w:val="00792B1A"/>
    <w:rsid w:val="00792BDC"/>
    <w:rsid w:val="00792BFC"/>
    <w:rsid w:val="00792EC2"/>
    <w:rsid w:val="00793014"/>
    <w:rsid w:val="00793412"/>
    <w:rsid w:val="007935B6"/>
    <w:rsid w:val="00793B4C"/>
    <w:rsid w:val="00793C23"/>
    <w:rsid w:val="00793ED8"/>
    <w:rsid w:val="0079409C"/>
    <w:rsid w:val="0079425F"/>
    <w:rsid w:val="00794660"/>
    <w:rsid w:val="007948DA"/>
    <w:rsid w:val="0079492B"/>
    <w:rsid w:val="00794C7B"/>
    <w:rsid w:val="00794E99"/>
    <w:rsid w:val="00794FA4"/>
    <w:rsid w:val="00795023"/>
    <w:rsid w:val="0079503C"/>
    <w:rsid w:val="0079636F"/>
    <w:rsid w:val="007963C9"/>
    <w:rsid w:val="00796531"/>
    <w:rsid w:val="00796C79"/>
    <w:rsid w:val="00796E1F"/>
    <w:rsid w:val="00797115"/>
    <w:rsid w:val="00797347"/>
    <w:rsid w:val="00797411"/>
    <w:rsid w:val="0079781E"/>
    <w:rsid w:val="00797F61"/>
    <w:rsid w:val="007A0399"/>
    <w:rsid w:val="007A0FC4"/>
    <w:rsid w:val="007A12E2"/>
    <w:rsid w:val="007A198B"/>
    <w:rsid w:val="007A1BBA"/>
    <w:rsid w:val="007A1F5A"/>
    <w:rsid w:val="007A20B7"/>
    <w:rsid w:val="007A25C6"/>
    <w:rsid w:val="007A2752"/>
    <w:rsid w:val="007A27FB"/>
    <w:rsid w:val="007A2B3E"/>
    <w:rsid w:val="007A2D6B"/>
    <w:rsid w:val="007A30ED"/>
    <w:rsid w:val="007A3644"/>
    <w:rsid w:val="007A3806"/>
    <w:rsid w:val="007A3C4C"/>
    <w:rsid w:val="007A3D85"/>
    <w:rsid w:val="007A42A9"/>
    <w:rsid w:val="007A42B8"/>
    <w:rsid w:val="007A42F3"/>
    <w:rsid w:val="007A459E"/>
    <w:rsid w:val="007A45F9"/>
    <w:rsid w:val="007A4B5A"/>
    <w:rsid w:val="007A5063"/>
    <w:rsid w:val="007A5277"/>
    <w:rsid w:val="007A532F"/>
    <w:rsid w:val="007A54A1"/>
    <w:rsid w:val="007A57C2"/>
    <w:rsid w:val="007A5A3B"/>
    <w:rsid w:val="007A5D05"/>
    <w:rsid w:val="007A65D7"/>
    <w:rsid w:val="007A6B2D"/>
    <w:rsid w:val="007A6D9C"/>
    <w:rsid w:val="007A7182"/>
    <w:rsid w:val="007A74BD"/>
    <w:rsid w:val="007A783F"/>
    <w:rsid w:val="007A7CC6"/>
    <w:rsid w:val="007A7EC4"/>
    <w:rsid w:val="007B008D"/>
    <w:rsid w:val="007B0527"/>
    <w:rsid w:val="007B08BD"/>
    <w:rsid w:val="007B0F9E"/>
    <w:rsid w:val="007B1F38"/>
    <w:rsid w:val="007B2171"/>
    <w:rsid w:val="007B226E"/>
    <w:rsid w:val="007B2908"/>
    <w:rsid w:val="007B2CFD"/>
    <w:rsid w:val="007B3095"/>
    <w:rsid w:val="007B322F"/>
    <w:rsid w:val="007B34B2"/>
    <w:rsid w:val="007B34BA"/>
    <w:rsid w:val="007B34DA"/>
    <w:rsid w:val="007B3A45"/>
    <w:rsid w:val="007B437A"/>
    <w:rsid w:val="007B44FD"/>
    <w:rsid w:val="007B4E91"/>
    <w:rsid w:val="007B5132"/>
    <w:rsid w:val="007B549B"/>
    <w:rsid w:val="007B55A5"/>
    <w:rsid w:val="007B5683"/>
    <w:rsid w:val="007B5783"/>
    <w:rsid w:val="007B5949"/>
    <w:rsid w:val="007B5988"/>
    <w:rsid w:val="007B5D59"/>
    <w:rsid w:val="007B5DC7"/>
    <w:rsid w:val="007B6A6E"/>
    <w:rsid w:val="007B6BB9"/>
    <w:rsid w:val="007B725F"/>
    <w:rsid w:val="007B778F"/>
    <w:rsid w:val="007B7823"/>
    <w:rsid w:val="007B7B91"/>
    <w:rsid w:val="007C0395"/>
    <w:rsid w:val="007C07F0"/>
    <w:rsid w:val="007C11CC"/>
    <w:rsid w:val="007C1340"/>
    <w:rsid w:val="007C1962"/>
    <w:rsid w:val="007C196B"/>
    <w:rsid w:val="007C1A2E"/>
    <w:rsid w:val="007C1A5C"/>
    <w:rsid w:val="007C1D51"/>
    <w:rsid w:val="007C211C"/>
    <w:rsid w:val="007C23ED"/>
    <w:rsid w:val="007C2511"/>
    <w:rsid w:val="007C2630"/>
    <w:rsid w:val="007C2C30"/>
    <w:rsid w:val="007C2E93"/>
    <w:rsid w:val="007C2FEB"/>
    <w:rsid w:val="007C384E"/>
    <w:rsid w:val="007C3B47"/>
    <w:rsid w:val="007C3C0C"/>
    <w:rsid w:val="007C3D95"/>
    <w:rsid w:val="007C4102"/>
    <w:rsid w:val="007C45CE"/>
    <w:rsid w:val="007C4655"/>
    <w:rsid w:val="007C49B2"/>
    <w:rsid w:val="007C4A5B"/>
    <w:rsid w:val="007C4DDC"/>
    <w:rsid w:val="007C4F07"/>
    <w:rsid w:val="007C4F0F"/>
    <w:rsid w:val="007C50E2"/>
    <w:rsid w:val="007C5944"/>
    <w:rsid w:val="007C630C"/>
    <w:rsid w:val="007C6AC2"/>
    <w:rsid w:val="007C6B3F"/>
    <w:rsid w:val="007C6BDD"/>
    <w:rsid w:val="007C7006"/>
    <w:rsid w:val="007C70CB"/>
    <w:rsid w:val="007C7173"/>
    <w:rsid w:val="007C74F0"/>
    <w:rsid w:val="007C7659"/>
    <w:rsid w:val="007C794F"/>
    <w:rsid w:val="007C7C69"/>
    <w:rsid w:val="007C7CB6"/>
    <w:rsid w:val="007C7CD4"/>
    <w:rsid w:val="007D04A7"/>
    <w:rsid w:val="007D0AD1"/>
    <w:rsid w:val="007D0D3E"/>
    <w:rsid w:val="007D1083"/>
    <w:rsid w:val="007D10D5"/>
    <w:rsid w:val="007D15C9"/>
    <w:rsid w:val="007D187F"/>
    <w:rsid w:val="007D1882"/>
    <w:rsid w:val="007D18D3"/>
    <w:rsid w:val="007D1975"/>
    <w:rsid w:val="007D1C9D"/>
    <w:rsid w:val="007D27E0"/>
    <w:rsid w:val="007D2F05"/>
    <w:rsid w:val="007D2FF4"/>
    <w:rsid w:val="007D2FFA"/>
    <w:rsid w:val="007D33D5"/>
    <w:rsid w:val="007D346E"/>
    <w:rsid w:val="007D391F"/>
    <w:rsid w:val="007D3A71"/>
    <w:rsid w:val="007D3B0E"/>
    <w:rsid w:val="007D4640"/>
    <w:rsid w:val="007D48C3"/>
    <w:rsid w:val="007D4A6A"/>
    <w:rsid w:val="007D4AB4"/>
    <w:rsid w:val="007D4F9F"/>
    <w:rsid w:val="007D54C2"/>
    <w:rsid w:val="007D5646"/>
    <w:rsid w:val="007D59A1"/>
    <w:rsid w:val="007D5C37"/>
    <w:rsid w:val="007D5E1C"/>
    <w:rsid w:val="007D6118"/>
    <w:rsid w:val="007D6313"/>
    <w:rsid w:val="007D6E71"/>
    <w:rsid w:val="007D6E8A"/>
    <w:rsid w:val="007D6FA0"/>
    <w:rsid w:val="007D7294"/>
    <w:rsid w:val="007D72A9"/>
    <w:rsid w:val="007D73B5"/>
    <w:rsid w:val="007D7590"/>
    <w:rsid w:val="007E0188"/>
    <w:rsid w:val="007E0512"/>
    <w:rsid w:val="007E078A"/>
    <w:rsid w:val="007E0DB2"/>
    <w:rsid w:val="007E0E60"/>
    <w:rsid w:val="007E0FFA"/>
    <w:rsid w:val="007E111F"/>
    <w:rsid w:val="007E18DE"/>
    <w:rsid w:val="007E1910"/>
    <w:rsid w:val="007E1AFC"/>
    <w:rsid w:val="007E1BCD"/>
    <w:rsid w:val="007E1CA2"/>
    <w:rsid w:val="007E1CB0"/>
    <w:rsid w:val="007E2320"/>
    <w:rsid w:val="007E24C8"/>
    <w:rsid w:val="007E25A5"/>
    <w:rsid w:val="007E263E"/>
    <w:rsid w:val="007E307D"/>
    <w:rsid w:val="007E3796"/>
    <w:rsid w:val="007E37C3"/>
    <w:rsid w:val="007E38BF"/>
    <w:rsid w:val="007E3B33"/>
    <w:rsid w:val="007E4046"/>
    <w:rsid w:val="007E41EC"/>
    <w:rsid w:val="007E42BC"/>
    <w:rsid w:val="007E43A8"/>
    <w:rsid w:val="007E4445"/>
    <w:rsid w:val="007E47E1"/>
    <w:rsid w:val="007E4AC5"/>
    <w:rsid w:val="007E50D7"/>
    <w:rsid w:val="007E57AB"/>
    <w:rsid w:val="007E5DAA"/>
    <w:rsid w:val="007E5DF1"/>
    <w:rsid w:val="007E5E02"/>
    <w:rsid w:val="007E5F3A"/>
    <w:rsid w:val="007E606D"/>
    <w:rsid w:val="007E64FE"/>
    <w:rsid w:val="007E6672"/>
    <w:rsid w:val="007E67C3"/>
    <w:rsid w:val="007E6943"/>
    <w:rsid w:val="007E7202"/>
    <w:rsid w:val="007E72CD"/>
    <w:rsid w:val="007E78B5"/>
    <w:rsid w:val="007E7AC0"/>
    <w:rsid w:val="007E7C0F"/>
    <w:rsid w:val="007E7D03"/>
    <w:rsid w:val="007E7EF9"/>
    <w:rsid w:val="007F01C5"/>
    <w:rsid w:val="007F0B2C"/>
    <w:rsid w:val="007F0D70"/>
    <w:rsid w:val="007F0DFC"/>
    <w:rsid w:val="007F0F3B"/>
    <w:rsid w:val="007F0F3E"/>
    <w:rsid w:val="007F10A7"/>
    <w:rsid w:val="007F139F"/>
    <w:rsid w:val="007F13B3"/>
    <w:rsid w:val="007F16D7"/>
    <w:rsid w:val="007F1DD8"/>
    <w:rsid w:val="007F1E57"/>
    <w:rsid w:val="007F209B"/>
    <w:rsid w:val="007F20E3"/>
    <w:rsid w:val="007F218F"/>
    <w:rsid w:val="007F251A"/>
    <w:rsid w:val="007F270F"/>
    <w:rsid w:val="007F27FB"/>
    <w:rsid w:val="007F2A63"/>
    <w:rsid w:val="007F2A80"/>
    <w:rsid w:val="007F2EC3"/>
    <w:rsid w:val="007F2F97"/>
    <w:rsid w:val="007F306B"/>
    <w:rsid w:val="007F32D1"/>
    <w:rsid w:val="007F38CC"/>
    <w:rsid w:val="007F3B18"/>
    <w:rsid w:val="007F3EE6"/>
    <w:rsid w:val="007F423C"/>
    <w:rsid w:val="007F427A"/>
    <w:rsid w:val="007F47A9"/>
    <w:rsid w:val="007F49FC"/>
    <w:rsid w:val="007F4A39"/>
    <w:rsid w:val="007F5138"/>
    <w:rsid w:val="007F56F8"/>
    <w:rsid w:val="007F5730"/>
    <w:rsid w:val="007F57D5"/>
    <w:rsid w:val="007F5DFD"/>
    <w:rsid w:val="007F5EB4"/>
    <w:rsid w:val="007F608F"/>
    <w:rsid w:val="007F60BF"/>
    <w:rsid w:val="007F7205"/>
    <w:rsid w:val="007F7289"/>
    <w:rsid w:val="007F7379"/>
    <w:rsid w:val="007F7502"/>
    <w:rsid w:val="008003A9"/>
    <w:rsid w:val="008007EB"/>
    <w:rsid w:val="0080080D"/>
    <w:rsid w:val="00800B38"/>
    <w:rsid w:val="00801955"/>
    <w:rsid w:val="00801C47"/>
    <w:rsid w:val="0080206C"/>
    <w:rsid w:val="00802136"/>
    <w:rsid w:val="008027E3"/>
    <w:rsid w:val="0080293E"/>
    <w:rsid w:val="00802BF1"/>
    <w:rsid w:val="00802F65"/>
    <w:rsid w:val="008030AE"/>
    <w:rsid w:val="00803647"/>
    <w:rsid w:val="00803805"/>
    <w:rsid w:val="00803EAE"/>
    <w:rsid w:val="00804041"/>
    <w:rsid w:val="008041B7"/>
    <w:rsid w:val="008046A3"/>
    <w:rsid w:val="008046B1"/>
    <w:rsid w:val="00804984"/>
    <w:rsid w:val="008052A0"/>
    <w:rsid w:val="0080598B"/>
    <w:rsid w:val="00805B59"/>
    <w:rsid w:val="00805EE1"/>
    <w:rsid w:val="0080604D"/>
    <w:rsid w:val="00806323"/>
    <w:rsid w:val="00806324"/>
    <w:rsid w:val="008066E1"/>
    <w:rsid w:val="008069CF"/>
    <w:rsid w:val="00806A09"/>
    <w:rsid w:val="00806B3D"/>
    <w:rsid w:val="00806F8F"/>
    <w:rsid w:val="00807432"/>
    <w:rsid w:val="00807D6B"/>
    <w:rsid w:val="00810070"/>
    <w:rsid w:val="008100A0"/>
    <w:rsid w:val="00810100"/>
    <w:rsid w:val="00810225"/>
    <w:rsid w:val="00810462"/>
    <w:rsid w:val="0081056F"/>
    <w:rsid w:val="0081073D"/>
    <w:rsid w:val="008107B4"/>
    <w:rsid w:val="00810D43"/>
    <w:rsid w:val="008111B1"/>
    <w:rsid w:val="008124F6"/>
    <w:rsid w:val="008129EE"/>
    <w:rsid w:val="00812AED"/>
    <w:rsid w:val="00812DF2"/>
    <w:rsid w:val="00812F1A"/>
    <w:rsid w:val="0081360C"/>
    <w:rsid w:val="008138C3"/>
    <w:rsid w:val="0081444A"/>
    <w:rsid w:val="0081457D"/>
    <w:rsid w:val="008145A7"/>
    <w:rsid w:val="00814672"/>
    <w:rsid w:val="008147B1"/>
    <w:rsid w:val="00814C22"/>
    <w:rsid w:val="00814C8E"/>
    <w:rsid w:val="00814D32"/>
    <w:rsid w:val="008150B8"/>
    <w:rsid w:val="008155B0"/>
    <w:rsid w:val="0081595E"/>
    <w:rsid w:val="008159B2"/>
    <w:rsid w:val="00815CC2"/>
    <w:rsid w:val="00815D9E"/>
    <w:rsid w:val="0081648F"/>
    <w:rsid w:val="008165DF"/>
    <w:rsid w:val="0081669E"/>
    <w:rsid w:val="0081680F"/>
    <w:rsid w:val="00816AA6"/>
    <w:rsid w:val="008172A1"/>
    <w:rsid w:val="008174FE"/>
    <w:rsid w:val="008176D4"/>
    <w:rsid w:val="008201EC"/>
    <w:rsid w:val="00820529"/>
    <w:rsid w:val="00820928"/>
    <w:rsid w:val="008213F4"/>
    <w:rsid w:val="008217E1"/>
    <w:rsid w:val="00821997"/>
    <w:rsid w:val="00821D55"/>
    <w:rsid w:val="00822226"/>
    <w:rsid w:val="008222E1"/>
    <w:rsid w:val="0082236E"/>
    <w:rsid w:val="008227B0"/>
    <w:rsid w:val="008227C4"/>
    <w:rsid w:val="008228A9"/>
    <w:rsid w:val="00822C01"/>
    <w:rsid w:val="008232FB"/>
    <w:rsid w:val="0082336B"/>
    <w:rsid w:val="008233C4"/>
    <w:rsid w:val="00823511"/>
    <w:rsid w:val="00823628"/>
    <w:rsid w:val="00823A9B"/>
    <w:rsid w:val="008248C3"/>
    <w:rsid w:val="008248F0"/>
    <w:rsid w:val="00824B4D"/>
    <w:rsid w:val="00824D91"/>
    <w:rsid w:val="0082506B"/>
    <w:rsid w:val="008254DF"/>
    <w:rsid w:val="00825764"/>
    <w:rsid w:val="00825B91"/>
    <w:rsid w:val="008262D0"/>
    <w:rsid w:val="008266B3"/>
    <w:rsid w:val="00826C1B"/>
    <w:rsid w:val="0082702F"/>
    <w:rsid w:val="00827314"/>
    <w:rsid w:val="0082742F"/>
    <w:rsid w:val="0082759F"/>
    <w:rsid w:val="008275D6"/>
    <w:rsid w:val="008279D2"/>
    <w:rsid w:val="00827C8E"/>
    <w:rsid w:val="00827CF3"/>
    <w:rsid w:val="0083022D"/>
    <w:rsid w:val="008302B7"/>
    <w:rsid w:val="0083086F"/>
    <w:rsid w:val="00830CAE"/>
    <w:rsid w:val="0083110B"/>
    <w:rsid w:val="00831174"/>
    <w:rsid w:val="00831267"/>
    <w:rsid w:val="008317D7"/>
    <w:rsid w:val="00831B5B"/>
    <w:rsid w:val="00831BD1"/>
    <w:rsid w:val="00831EEF"/>
    <w:rsid w:val="00832065"/>
    <w:rsid w:val="008320E7"/>
    <w:rsid w:val="008322EA"/>
    <w:rsid w:val="00832431"/>
    <w:rsid w:val="0083252F"/>
    <w:rsid w:val="00832933"/>
    <w:rsid w:val="00833428"/>
    <w:rsid w:val="008335BE"/>
    <w:rsid w:val="00833A87"/>
    <w:rsid w:val="00833F87"/>
    <w:rsid w:val="00834AC7"/>
    <w:rsid w:val="00834E8A"/>
    <w:rsid w:val="00834EB7"/>
    <w:rsid w:val="00834ED0"/>
    <w:rsid w:val="00834FC0"/>
    <w:rsid w:val="00835D34"/>
    <w:rsid w:val="00835FD5"/>
    <w:rsid w:val="0083616A"/>
    <w:rsid w:val="0083616E"/>
    <w:rsid w:val="00836693"/>
    <w:rsid w:val="008366C7"/>
    <w:rsid w:val="008369B8"/>
    <w:rsid w:val="00836A9D"/>
    <w:rsid w:val="00836BA4"/>
    <w:rsid w:val="00836CDF"/>
    <w:rsid w:val="00836D79"/>
    <w:rsid w:val="008374DA"/>
    <w:rsid w:val="00837503"/>
    <w:rsid w:val="008379E5"/>
    <w:rsid w:val="00837A84"/>
    <w:rsid w:val="00837BEB"/>
    <w:rsid w:val="00837C57"/>
    <w:rsid w:val="0084030E"/>
    <w:rsid w:val="0084060D"/>
    <w:rsid w:val="00840842"/>
    <w:rsid w:val="00840B76"/>
    <w:rsid w:val="00840F9B"/>
    <w:rsid w:val="008415D0"/>
    <w:rsid w:val="008419AB"/>
    <w:rsid w:val="00841E78"/>
    <w:rsid w:val="008421C8"/>
    <w:rsid w:val="0084258F"/>
    <w:rsid w:val="00842C45"/>
    <w:rsid w:val="00842C63"/>
    <w:rsid w:val="00842CCC"/>
    <w:rsid w:val="008431B5"/>
    <w:rsid w:val="008433E0"/>
    <w:rsid w:val="008435AA"/>
    <w:rsid w:val="008436AF"/>
    <w:rsid w:val="008436C9"/>
    <w:rsid w:val="00843737"/>
    <w:rsid w:val="00843797"/>
    <w:rsid w:val="00843810"/>
    <w:rsid w:val="00843E5D"/>
    <w:rsid w:val="0084401F"/>
    <w:rsid w:val="00844F80"/>
    <w:rsid w:val="0084502B"/>
    <w:rsid w:val="008454B7"/>
    <w:rsid w:val="00845843"/>
    <w:rsid w:val="008458E3"/>
    <w:rsid w:val="008460CC"/>
    <w:rsid w:val="008460E0"/>
    <w:rsid w:val="008473EA"/>
    <w:rsid w:val="00847435"/>
    <w:rsid w:val="008476B6"/>
    <w:rsid w:val="008476EF"/>
    <w:rsid w:val="00847738"/>
    <w:rsid w:val="00847F82"/>
    <w:rsid w:val="008509C7"/>
    <w:rsid w:val="00850E24"/>
    <w:rsid w:val="00851176"/>
    <w:rsid w:val="008513CC"/>
    <w:rsid w:val="00851597"/>
    <w:rsid w:val="00851600"/>
    <w:rsid w:val="008517C1"/>
    <w:rsid w:val="008518BD"/>
    <w:rsid w:val="00851A3E"/>
    <w:rsid w:val="00851A62"/>
    <w:rsid w:val="00851F8D"/>
    <w:rsid w:val="0085237C"/>
    <w:rsid w:val="00852450"/>
    <w:rsid w:val="0085259C"/>
    <w:rsid w:val="0085282E"/>
    <w:rsid w:val="00852D23"/>
    <w:rsid w:val="00852EC7"/>
    <w:rsid w:val="0085315F"/>
    <w:rsid w:val="00853618"/>
    <w:rsid w:val="00853895"/>
    <w:rsid w:val="00853F20"/>
    <w:rsid w:val="00853FA5"/>
    <w:rsid w:val="008545A9"/>
    <w:rsid w:val="00854865"/>
    <w:rsid w:val="008552C8"/>
    <w:rsid w:val="0085573D"/>
    <w:rsid w:val="008558F2"/>
    <w:rsid w:val="0085595A"/>
    <w:rsid w:val="008559B3"/>
    <w:rsid w:val="00855BF7"/>
    <w:rsid w:val="00855D59"/>
    <w:rsid w:val="00855DF9"/>
    <w:rsid w:val="00856544"/>
    <w:rsid w:val="00856EA4"/>
    <w:rsid w:val="0085791D"/>
    <w:rsid w:val="00857C1C"/>
    <w:rsid w:val="00857FC3"/>
    <w:rsid w:val="008601B2"/>
    <w:rsid w:val="0086025E"/>
    <w:rsid w:val="00860331"/>
    <w:rsid w:val="00860534"/>
    <w:rsid w:val="00860663"/>
    <w:rsid w:val="008607C9"/>
    <w:rsid w:val="0086083D"/>
    <w:rsid w:val="008608F7"/>
    <w:rsid w:val="00860C10"/>
    <w:rsid w:val="00860C48"/>
    <w:rsid w:val="00860E79"/>
    <w:rsid w:val="00860E9A"/>
    <w:rsid w:val="00860FBA"/>
    <w:rsid w:val="0086107A"/>
    <w:rsid w:val="008618E1"/>
    <w:rsid w:val="008618FA"/>
    <w:rsid w:val="00861D9E"/>
    <w:rsid w:val="00861F6E"/>
    <w:rsid w:val="00861FF4"/>
    <w:rsid w:val="008626BC"/>
    <w:rsid w:val="0086282C"/>
    <w:rsid w:val="00862837"/>
    <w:rsid w:val="00862BA9"/>
    <w:rsid w:val="00863313"/>
    <w:rsid w:val="008636A3"/>
    <w:rsid w:val="00863A0E"/>
    <w:rsid w:val="0086414E"/>
    <w:rsid w:val="00864184"/>
    <w:rsid w:val="008641DF"/>
    <w:rsid w:val="008643BE"/>
    <w:rsid w:val="0086462C"/>
    <w:rsid w:val="008647A4"/>
    <w:rsid w:val="0086484C"/>
    <w:rsid w:val="008648F3"/>
    <w:rsid w:val="00865034"/>
    <w:rsid w:val="00865051"/>
    <w:rsid w:val="00865094"/>
    <w:rsid w:val="008650E2"/>
    <w:rsid w:val="00865551"/>
    <w:rsid w:val="008655F5"/>
    <w:rsid w:val="00865685"/>
    <w:rsid w:val="008656BF"/>
    <w:rsid w:val="008658DC"/>
    <w:rsid w:val="0086599C"/>
    <w:rsid w:val="00865A9F"/>
    <w:rsid w:val="00865D97"/>
    <w:rsid w:val="008665E1"/>
    <w:rsid w:val="00866D45"/>
    <w:rsid w:val="00867044"/>
    <w:rsid w:val="0086713F"/>
    <w:rsid w:val="0086769C"/>
    <w:rsid w:val="008676D5"/>
    <w:rsid w:val="00867DBA"/>
    <w:rsid w:val="0087008D"/>
    <w:rsid w:val="008700D4"/>
    <w:rsid w:val="00870815"/>
    <w:rsid w:val="00870988"/>
    <w:rsid w:val="00870A0E"/>
    <w:rsid w:val="00870C2C"/>
    <w:rsid w:val="00870DB7"/>
    <w:rsid w:val="00870DDC"/>
    <w:rsid w:val="00870EE5"/>
    <w:rsid w:val="00870FC1"/>
    <w:rsid w:val="0087118B"/>
    <w:rsid w:val="00871609"/>
    <w:rsid w:val="008716E7"/>
    <w:rsid w:val="00871868"/>
    <w:rsid w:val="00871A74"/>
    <w:rsid w:val="00871CAF"/>
    <w:rsid w:val="00871E10"/>
    <w:rsid w:val="00871F56"/>
    <w:rsid w:val="0087205A"/>
    <w:rsid w:val="0087225A"/>
    <w:rsid w:val="00872277"/>
    <w:rsid w:val="008724C7"/>
    <w:rsid w:val="008724F7"/>
    <w:rsid w:val="00872814"/>
    <w:rsid w:val="008729D8"/>
    <w:rsid w:val="00872A97"/>
    <w:rsid w:val="00872FAF"/>
    <w:rsid w:val="0087367F"/>
    <w:rsid w:val="008737B3"/>
    <w:rsid w:val="008738FD"/>
    <w:rsid w:val="00873C1E"/>
    <w:rsid w:val="00873CEA"/>
    <w:rsid w:val="00873D0E"/>
    <w:rsid w:val="00873E27"/>
    <w:rsid w:val="008740FF"/>
    <w:rsid w:val="008741ED"/>
    <w:rsid w:val="00874A92"/>
    <w:rsid w:val="00874AD2"/>
    <w:rsid w:val="00874AEC"/>
    <w:rsid w:val="00874E96"/>
    <w:rsid w:val="008756C2"/>
    <w:rsid w:val="00875899"/>
    <w:rsid w:val="00875A8F"/>
    <w:rsid w:val="00875B3A"/>
    <w:rsid w:val="00875D5E"/>
    <w:rsid w:val="00875E7C"/>
    <w:rsid w:val="00875ED7"/>
    <w:rsid w:val="00875FAC"/>
    <w:rsid w:val="00876050"/>
    <w:rsid w:val="008762F9"/>
    <w:rsid w:val="00877134"/>
    <w:rsid w:val="00877271"/>
    <w:rsid w:val="0087767A"/>
    <w:rsid w:val="00877CC1"/>
    <w:rsid w:val="008801DD"/>
    <w:rsid w:val="0088061B"/>
    <w:rsid w:val="00880BB5"/>
    <w:rsid w:val="00880DB1"/>
    <w:rsid w:val="0088121C"/>
    <w:rsid w:val="008814AB"/>
    <w:rsid w:val="00881EEF"/>
    <w:rsid w:val="008824A1"/>
    <w:rsid w:val="00882511"/>
    <w:rsid w:val="008826C6"/>
    <w:rsid w:val="008828BC"/>
    <w:rsid w:val="00882D88"/>
    <w:rsid w:val="0088325E"/>
    <w:rsid w:val="00883936"/>
    <w:rsid w:val="0088396C"/>
    <w:rsid w:val="00883EA6"/>
    <w:rsid w:val="008840DB"/>
    <w:rsid w:val="0088432A"/>
    <w:rsid w:val="0088455A"/>
    <w:rsid w:val="008845F3"/>
    <w:rsid w:val="00884C92"/>
    <w:rsid w:val="00884DC8"/>
    <w:rsid w:val="00884FDE"/>
    <w:rsid w:val="00885442"/>
    <w:rsid w:val="008854AB"/>
    <w:rsid w:val="00885823"/>
    <w:rsid w:val="00885947"/>
    <w:rsid w:val="00885B2F"/>
    <w:rsid w:val="00885F65"/>
    <w:rsid w:val="00886348"/>
    <w:rsid w:val="008863E8"/>
    <w:rsid w:val="00886657"/>
    <w:rsid w:val="008869AD"/>
    <w:rsid w:val="00886ABA"/>
    <w:rsid w:val="00886AE1"/>
    <w:rsid w:val="00886DC7"/>
    <w:rsid w:val="00886EBF"/>
    <w:rsid w:val="00887162"/>
    <w:rsid w:val="0088798D"/>
    <w:rsid w:val="00887C02"/>
    <w:rsid w:val="0089031D"/>
    <w:rsid w:val="00890849"/>
    <w:rsid w:val="00890952"/>
    <w:rsid w:val="00890980"/>
    <w:rsid w:val="00890A89"/>
    <w:rsid w:val="00890E4B"/>
    <w:rsid w:val="00891256"/>
    <w:rsid w:val="008913AE"/>
    <w:rsid w:val="00891656"/>
    <w:rsid w:val="008916DF"/>
    <w:rsid w:val="00891959"/>
    <w:rsid w:val="00892211"/>
    <w:rsid w:val="00892267"/>
    <w:rsid w:val="00892634"/>
    <w:rsid w:val="00892832"/>
    <w:rsid w:val="008928A7"/>
    <w:rsid w:val="00892D58"/>
    <w:rsid w:val="00893083"/>
    <w:rsid w:val="008934CE"/>
    <w:rsid w:val="0089357F"/>
    <w:rsid w:val="00893748"/>
    <w:rsid w:val="008937D9"/>
    <w:rsid w:val="00893B68"/>
    <w:rsid w:val="00893FD0"/>
    <w:rsid w:val="00894026"/>
    <w:rsid w:val="00894662"/>
    <w:rsid w:val="00894903"/>
    <w:rsid w:val="00894B55"/>
    <w:rsid w:val="00894B9B"/>
    <w:rsid w:val="00894F22"/>
    <w:rsid w:val="00895465"/>
    <w:rsid w:val="00895962"/>
    <w:rsid w:val="00895CD5"/>
    <w:rsid w:val="00895EA0"/>
    <w:rsid w:val="00896058"/>
    <w:rsid w:val="00896229"/>
    <w:rsid w:val="008962C9"/>
    <w:rsid w:val="008965BE"/>
    <w:rsid w:val="00896B46"/>
    <w:rsid w:val="00896D38"/>
    <w:rsid w:val="008970D4"/>
    <w:rsid w:val="00897D90"/>
    <w:rsid w:val="00897E2D"/>
    <w:rsid w:val="008A0152"/>
    <w:rsid w:val="008A02B0"/>
    <w:rsid w:val="008A02CB"/>
    <w:rsid w:val="008A0456"/>
    <w:rsid w:val="008A0553"/>
    <w:rsid w:val="008A07A5"/>
    <w:rsid w:val="008A08B8"/>
    <w:rsid w:val="008A093A"/>
    <w:rsid w:val="008A0B88"/>
    <w:rsid w:val="008A0E80"/>
    <w:rsid w:val="008A0ED0"/>
    <w:rsid w:val="008A111D"/>
    <w:rsid w:val="008A15F2"/>
    <w:rsid w:val="008A1A0D"/>
    <w:rsid w:val="008A1C5F"/>
    <w:rsid w:val="008A1C88"/>
    <w:rsid w:val="008A1F7E"/>
    <w:rsid w:val="008A2682"/>
    <w:rsid w:val="008A295C"/>
    <w:rsid w:val="008A2A09"/>
    <w:rsid w:val="008A2B60"/>
    <w:rsid w:val="008A2BF5"/>
    <w:rsid w:val="008A2C96"/>
    <w:rsid w:val="008A372A"/>
    <w:rsid w:val="008A3948"/>
    <w:rsid w:val="008A424D"/>
    <w:rsid w:val="008A466E"/>
    <w:rsid w:val="008A46DC"/>
    <w:rsid w:val="008A4796"/>
    <w:rsid w:val="008A4811"/>
    <w:rsid w:val="008A4D2F"/>
    <w:rsid w:val="008A4EAC"/>
    <w:rsid w:val="008A5417"/>
    <w:rsid w:val="008A54AC"/>
    <w:rsid w:val="008A557A"/>
    <w:rsid w:val="008A55AC"/>
    <w:rsid w:val="008A5EEC"/>
    <w:rsid w:val="008A6103"/>
    <w:rsid w:val="008A6403"/>
    <w:rsid w:val="008A6CEC"/>
    <w:rsid w:val="008A71CF"/>
    <w:rsid w:val="008A726E"/>
    <w:rsid w:val="008A75E9"/>
    <w:rsid w:val="008A78EF"/>
    <w:rsid w:val="008A7DEB"/>
    <w:rsid w:val="008A7E29"/>
    <w:rsid w:val="008B0336"/>
    <w:rsid w:val="008B04E3"/>
    <w:rsid w:val="008B061F"/>
    <w:rsid w:val="008B0A20"/>
    <w:rsid w:val="008B2476"/>
    <w:rsid w:val="008B2792"/>
    <w:rsid w:val="008B2880"/>
    <w:rsid w:val="008B290C"/>
    <w:rsid w:val="008B2A1C"/>
    <w:rsid w:val="008B2A87"/>
    <w:rsid w:val="008B2F94"/>
    <w:rsid w:val="008B3183"/>
    <w:rsid w:val="008B3AE3"/>
    <w:rsid w:val="008B3C0B"/>
    <w:rsid w:val="008B3E2E"/>
    <w:rsid w:val="008B3FE7"/>
    <w:rsid w:val="008B442A"/>
    <w:rsid w:val="008B4479"/>
    <w:rsid w:val="008B44A3"/>
    <w:rsid w:val="008B45BA"/>
    <w:rsid w:val="008B4701"/>
    <w:rsid w:val="008B4B35"/>
    <w:rsid w:val="008B4BE2"/>
    <w:rsid w:val="008B544B"/>
    <w:rsid w:val="008B5741"/>
    <w:rsid w:val="008B59BA"/>
    <w:rsid w:val="008B5D6A"/>
    <w:rsid w:val="008B5EC7"/>
    <w:rsid w:val="008B5F3F"/>
    <w:rsid w:val="008B5FEA"/>
    <w:rsid w:val="008B6344"/>
    <w:rsid w:val="008B64DB"/>
    <w:rsid w:val="008B679B"/>
    <w:rsid w:val="008C0069"/>
    <w:rsid w:val="008C00A6"/>
    <w:rsid w:val="008C0126"/>
    <w:rsid w:val="008C04DC"/>
    <w:rsid w:val="008C06BC"/>
    <w:rsid w:val="008C084C"/>
    <w:rsid w:val="008C0EDD"/>
    <w:rsid w:val="008C126E"/>
    <w:rsid w:val="008C1587"/>
    <w:rsid w:val="008C1B62"/>
    <w:rsid w:val="008C1D4C"/>
    <w:rsid w:val="008C1D9C"/>
    <w:rsid w:val="008C1DBF"/>
    <w:rsid w:val="008C25B0"/>
    <w:rsid w:val="008C2C21"/>
    <w:rsid w:val="008C2E2B"/>
    <w:rsid w:val="008C30AF"/>
    <w:rsid w:val="008C36D5"/>
    <w:rsid w:val="008C36FB"/>
    <w:rsid w:val="008C3707"/>
    <w:rsid w:val="008C3BB2"/>
    <w:rsid w:val="008C420A"/>
    <w:rsid w:val="008C4307"/>
    <w:rsid w:val="008C4386"/>
    <w:rsid w:val="008C4516"/>
    <w:rsid w:val="008C4591"/>
    <w:rsid w:val="008C4C54"/>
    <w:rsid w:val="008C5426"/>
    <w:rsid w:val="008C57D5"/>
    <w:rsid w:val="008C57F0"/>
    <w:rsid w:val="008C5A69"/>
    <w:rsid w:val="008C615D"/>
    <w:rsid w:val="008C61CE"/>
    <w:rsid w:val="008C6B0B"/>
    <w:rsid w:val="008C6C2F"/>
    <w:rsid w:val="008C6E92"/>
    <w:rsid w:val="008C7237"/>
    <w:rsid w:val="008C748D"/>
    <w:rsid w:val="008C76ED"/>
    <w:rsid w:val="008C793E"/>
    <w:rsid w:val="008C7B3D"/>
    <w:rsid w:val="008C7E4D"/>
    <w:rsid w:val="008C7E4F"/>
    <w:rsid w:val="008C7F51"/>
    <w:rsid w:val="008D000E"/>
    <w:rsid w:val="008D0623"/>
    <w:rsid w:val="008D0884"/>
    <w:rsid w:val="008D0922"/>
    <w:rsid w:val="008D098B"/>
    <w:rsid w:val="008D0F76"/>
    <w:rsid w:val="008D1671"/>
    <w:rsid w:val="008D188A"/>
    <w:rsid w:val="008D246D"/>
    <w:rsid w:val="008D24F9"/>
    <w:rsid w:val="008D288A"/>
    <w:rsid w:val="008D2B93"/>
    <w:rsid w:val="008D31A8"/>
    <w:rsid w:val="008D31C2"/>
    <w:rsid w:val="008D322F"/>
    <w:rsid w:val="008D3438"/>
    <w:rsid w:val="008D364D"/>
    <w:rsid w:val="008D3714"/>
    <w:rsid w:val="008D38A5"/>
    <w:rsid w:val="008D3A27"/>
    <w:rsid w:val="008D3F5C"/>
    <w:rsid w:val="008D40E2"/>
    <w:rsid w:val="008D43E2"/>
    <w:rsid w:val="008D50E9"/>
    <w:rsid w:val="008D56CE"/>
    <w:rsid w:val="008D592A"/>
    <w:rsid w:val="008D5AB2"/>
    <w:rsid w:val="008D5C1F"/>
    <w:rsid w:val="008D5C27"/>
    <w:rsid w:val="008D608F"/>
    <w:rsid w:val="008D6105"/>
    <w:rsid w:val="008D6306"/>
    <w:rsid w:val="008D6653"/>
    <w:rsid w:val="008D692A"/>
    <w:rsid w:val="008D6B97"/>
    <w:rsid w:val="008D6E62"/>
    <w:rsid w:val="008D6F4C"/>
    <w:rsid w:val="008D71A1"/>
    <w:rsid w:val="008D7368"/>
    <w:rsid w:val="008D7556"/>
    <w:rsid w:val="008D7742"/>
    <w:rsid w:val="008D79C5"/>
    <w:rsid w:val="008D7C41"/>
    <w:rsid w:val="008D7F28"/>
    <w:rsid w:val="008E00C2"/>
    <w:rsid w:val="008E02F4"/>
    <w:rsid w:val="008E034A"/>
    <w:rsid w:val="008E04A0"/>
    <w:rsid w:val="008E08B9"/>
    <w:rsid w:val="008E14F1"/>
    <w:rsid w:val="008E1546"/>
    <w:rsid w:val="008E15C3"/>
    <w:rsid w:val="008E1AC7"/>
    <w:rsid w:val="008E1B39"/>
    <w:rsid w:val="008E2094"/>
    <w:rsid w:val="008E2705"/>
    <w:rsid w:val="008E2804"/>
    <w:rsid w:val="008E2A63"/>
    <w:rsid w:val="008E2E2D"/>
    <w:rsid w:val="008E2E57"/>
    <w:rsid w:val="008E2F1B"/>
    <w:rsid w:val="008E2F6B"/>
    <w:rsid w:val="008E3199"/>
    <w:rsid w:val="008E3423"/>
    <w:rsid w:val="008E3603"/>
    <w:rsid w:val="008E4010"/>
    <w:rsid w:val="008E4053"/>
    <w:rsid w:val="008E40A2"/>
    <w:rsid w:val="008E4267"/>
    <w:rsid w:val="008E4463"/>
    <w:rsid w:val="008E4707"/>
    <w:rsid w:val="008E4B90"/>
    <w:rsid w:val="008E4C5D"/>
    <w:rsid w:val="008E4E11"/>
    <w:rsid w:val="008E50D1"/>
    <w:rsid w:val="008E5741"/>
    <w:rsid w:val="008E5A59"/>
    <w:rsid w:val="008E5B21"/>
    <w:rsid w:val="008E61B7"/>
    <w:rsid w:val="008E6227"/>
    <w:rsid w:val="008E6C59"/>
    <w:rsid w:val="008E73C5"/>
    <w:rsid w:val="008E7416"/>
    <w:rsid w:val="008E7715"/>
    <w:rsid w:val="008E7CF7"/>
    <w:rsid w:val="008E7DBB"/>
    <w:rsid w:val="008E7FB6"/>
    <w:rsid w:val="008F009A"/>
    <w:rsid w:val="008F0273"/>
    <w:rsid w:val="008F0310"/>
    <w:rsid w:val="008F038D"/>
    <w:rsid w:val="008F03AA"/>
    <w:rsid w:val="008F03B9"/>
    <w:rsid w:val="008F064B"/>
    <w:rsid w:val="008F0913"/>
    <w:rsid w:val="008F0BC3"/>
    <w:rsid w:val="008F0CF8"/>
    <w:rsid w:val="008F0D88"/>
    <w:rsid w:val="008F0E59"/>
    <w:rsid w:val="008F0F48"/>
    <w:rsid w:val="008F0FA3"/>
    <w:rsid w:val="008F1A3F"/>
    <w:rsid w:val="008F1A47"/>
    <w:rsid w:val="008F1A68"/>
    <w:rsid w:val="008F241E"/>
    <w:rsid w:val="008F2710"/>
    <w:rsid w:val="008F28B8"/>
    <w:rsid w:val="008F2FFF"/>
    <w:rsid w:val="008F38A1"/>
    <w:rsid w:val="008F399E"/>
    <w:rsid w:val="008F3B00"/>
    <w:rsid w:val="008F3BFA"/>
    <w:rsid w:val="008F4334"/>
    <w:rsid w:val="008F436A"/>
    <w:rsid w:val="008F437F"/>
    <w:rsid w:val="008F475C"/>
    <w:rsid w:val="008F4937"/>
    <w:rsid w:val="008F4B18"/>
    <w:rsid w:val="008F4DB1"/>
    <w:rsid w:val="008F5082"/>
    <w:rsid w:val="008F516C"/>
    <w:rsid w:val="008F552E"/>
    <w:rsid w:val="008F561B"/>
    <w:rsid w:val="008F57CD"/>
    <w:rsid w:val="008F5A11"/>
    <w:rsid w:val="008F5B4E"/>
    <w:rsid w:val="008F5B61"/>
    <w:rsid w:val="008F6489"/>
    <w:rsid w:val="008F6497"/>
    <w:rsid w:val="008F6630"/>
    <w:rsid w:val="008F6833"/>
    <w:rsid w:val="008F6ABB"/>
    <w:rsid w:val="008F7157"/>
    <w:rsid w:val="008F71C2"/>
    <w:rsid w:val="008F7228"/>
    <w:rsid w:val="008F72A2"/>
    <w:rsid w:val="008F75C6"/>
    <w:rsid w:val="008F78E9"/>
    <w:rsid w:val="008F7A3D"/>
    <w:rsid w:val="008F7EB4"/>
    <w:rsid w:val="008F7EBF"/>
    <w:rsid w:val="008F7FE2"/>
    <w:rsid w:val="009001BA"/>
    <w:rsid w:val="009001D0"/>
    <w:rsid w:val="009001F9"/>
    <w:rsid w:val="00900639"/>
    <w:rsid w:val="00900BCA"/>
    <w:rsid w:val="00900E48"/>
    <w:rsid w:val="0090105F"/>
    <w:rsid w:val="00901250"/>
    <w:rsid w:val="00901288"/>
    <w:rsid w:val="00901406"/>
    <w:rsid w:val="009014DA"/>
    <w:rsid w:val="00901B68"/>
    <w:rsid w:val="0090221E"/>
    <w:rsid w:val="00902BCF"/>
    <w:rsid w:val="009033FD"/>
    <w:rsid w:val="00903C3B"/>
    <w:rsid w:val="00903F17"/>
    <w:rsid w:val="00904027"/>
    <w:rsid w:val="009040E3"/>
    <w:rsid w:val="009042A8"/>
    <w:rsid w:val="00905D2B"/>
    <w:rsid w:val="00905E24"/>
    <w:rsid w:val="00905F50"/>
    <w:rsid w:val="0090604D"/>
    <w:rsid w:val="00906A04"/>
    <w:rsid w:val="00906BD0"/>
    <w:rsid w:val="009079DB"/>
    <w:rsid w:val="00907B25"/>
    <w:rsid w:val="00907B5E"/>
    <w:rsid w:val="00907C97"/>
    <w:rsid w:val="00910003"/>
    <w:rsid w:val="009100EA"/>
    <w:rsid w:val="00910602"/>
    <w:rsid w:val="00910614"/>
    <w:rsid w:val="00910815"/>
    <w:rsid w:val="00910830"/>
    <w:rsid w:val="00910C21"/>
    <w:rsid w:val="00910C22"/>
    <w:rsid w:val="00911595"/>
    <w:rsid w:val="0091166D"/>
    <w:rsid w:val="00911787"/>
    <w:rsid w:val="00911D59"/>
    <w:rsid w:val="00911EF8"/>
    <w:rsid w:val="00911F1C"/>
    <w:rsid w:val="0091213D"/>
    <w:rsid w:val="00912250"/>
    <w:rsid w:val="00912367"/>
    <w:rsid w:val="009127FE"/>
    <w:rsid w:val="00912898"/>
    <w:rsid w:val="00912D6E"/>
    <w:rsid w:val="009131A3"/>
    <w:rsid w:val="009131FC"/>
    <w:rsid w:val="00913516"/>
    <w:rsid w:val="00913862"/>
    <w:rsid w:val="009138FB"/>
    <w:rsid w:val="0091401F"/>
    <w:rsid w:val="009142F2"/>
    <w:rsid w:val="009146A1"/>
    <w:rsid w:val="0091482B"/>
    <w:rsid w:val="00914F74"/>
    <w:rsid w:val="00914FE0"/>
    <w:rsid w:val="00915006"/>
    <w:rsid w:val="009152A5"/>
    <w:rsid w:val="00915567"/>
    <w:rsid w:val="00915602"/>
    <w:rsid w:val="00915F29"/>
    <w:rsid w:val="00916381"/>
    <w:rsid w:val="00916D6B"/>
    <w:rsid w:val="00916FDD"/>
    <w:rsid w:val="0091730C"/>
    <w:rsid w:val="00917332"/>
    <w:rsid w:val="009173D6"/>
    <w:rsid w:val="0092007A"/>
    <w:rsid w:val="009203E4"/>
    <w:rsid w:val="00920438"/>
    <w:rsid w:val="00920467"/>
    <w:rsid w:val="0092051D"/>
    <w:rsid w:val="0092059F"/>
    <w:rsid w:val="00920B1B"/>
    <w:rsid w:val="00920E6B"/>
    <w:rsid w:val="00921230"/>
    <w:rsid w:val="0092139D"/>
    <w:rsid w:val="009218AD"/>
    <w:rsid w:val="00921A17"/>
    <w:rsid w:val="00921EC5"/>
    <w:rsid w:val="009220BD"/>
    <w:rsid w:val="00922328"/>
    <w:rsid w:val="00922358"/>
    <w:rsid w:val="0092257E"/>
    <w:rsid w:val="00922644"/>
    <w:rsid w:val="009227F5"/>
    <w:rsid w:val="00922F6F"/>
    <w:rsid w:val="00923268"/>
    <w:rsid w:val="00923371"/>
    <w:rsid w:val="009234BA"/>
    <w:rsid w:val="009235AD"/>
    <w:rsid w:val="00923635"/>
    <w:rsid w:val="00923954"/>
    <w:rsid w:val="00923A29"/>
    <w:rsid w:val="00923E07"/>
    <w:rsid w:val="0092426D"/>
    <w:rsid w:val="009246CA"/>
    <w:rsid w:val="00924BD6"/>
    <w:rsid w:val="00924EBC"/>
    <w:rsid w:val="009257F7"/>
    <w:rsid w:val="00926490"/>
    <w:rsid w:val="00926581"/>
    <w:rsid w:val="009266E4"/>
    <w:rsid w:val="0092690C"/>
    <w:rsid w:val="00926BE1"/>
    <w:rsid w:val="00926D4B"/>
    <w:rsid w:val="00927275"/>
    <w:rsid w:val="009272BB"/>
    <w:rsid w:val="009278BF"/>
    <w:rsid w:val="00927E9A"/>
    <w:rsid w:val="00927F7D"/>
    <w:rsid w:val="009300FA"/>
    <w:rsid w:val="00930CF9"/>
    <w:rsid w:val="00930FC8"/>
    <w:rsid w:val="00931100"/>
    <w:rsid w:val="009317E2"/>
    <w:rsid w:val="00932137"/>
    <w:rsid w:val="00932559"/>
    <w:rsid w:val="00932594"/>
    <w:rsid w:val="009327FF"/>
    <w:rsid w:val="00932A60"/>
    <w:rsid w:val="00932BDE"/>
    <w:rsid w:val="00932CAC"/>
    <w:rsid w:val="0093334D"/>
    <w:rsid w:val="009337F7"/>
    <w:rsid w:val="00933FC7"/>
    <w:rsid w:val="0093403C"/>
    <w:rsid w:val="0093460F"/>
    <w:rsid w:val="00934D64"/>
    <w:rsid w:val="00934F9A"/>
    <w:rsid w:val="00935225"/>
    <w:rsid w:val="009352DF"/>
    <w:rsid w:val="00935575"/>
    <w:rsid w:val="009355DF"/>
    <w:rsid w:val="00935891"/>
    <w:rsid w:val="00935AA2"/>
    <w:rsid w:val="00935C06"/>
    <w:rsid w:val="009363CE"/>
    <w:rsid w:val="00936647"/>
    <w:rsid w:val="00936998"/>
    <w:rsid w:val="009371C0"/>
    <w:rsid w:val="00937C99"/>
    <w:rsid w:val="00937FA6"/>
    <w:rsid w:val="00937FBA"/>
    <w:rsid w:val="00940103"/>
    <w:rsid w:val="0094064F"/>
    <w:rsid w:val="00940698"/>
    <w:rsid w:val="00940FD4"/>
    <w:rsid w:val="00941382"/>
    <w:rsid w:val="00941703"/>
    <w:rsid w:val="00941AF2"/>
    <w:rsid w:val="00941B5F"/>
    <w:rsid w:val="00941CB4"/>
    <w:rsid w:val="00941EF3"/>
    <w:rsid w:val="009421F4"/>
    <w:rsid w:val="00942404"/>
    <w:rsid w:val="0094248D"/>
    <w:rsid w:val="009427A1"/>
    <w:rsid w:val="00942A1F"/>
    <w:rsid w:val="00942DB7"/>
    <w:rsid w:val="0094303A"/>
    <w:rsid w:val="0094309D"/>
    <w:rsid w:val="00943832"/>
    <w:rsid w:val="009440FA"/>
    <w:rsid w:val="009442AB"/>
    <w:rsid w:val="00944B4A"/>
    <w:rsid w:val="00944CB2"/>
    <w:rsid w:val="00944EC5"/>
    <w:rsid w:val="00945036"/>
    <w:rsid w:val="00945157"/>
    <w:rsid w:val="0094518F"/>
    <w:rsid w:val="00945752"/>
    <w:rsid w:val="00945D97"/>
    <w:rsid w:val="00946A39"/>
    <w:rsid w:val="00946D20"/>
    <w:rsid w:val="00946D73"/>
    <w:rsid w:val="00947246"/>
    <w:rsid w:val="009472BC"/>
    <w:rsid w:val="00947B52"/>
    <w:rsid w:val="00947D56"/>
    <w:rsid w:val="00947D97"/>
    <w:rsid w:val="00947DC3"/>
    <w:rsid w:val="0095053A"/>
    <w:rsid w:val="0095067D"/>
    <w:rsid w:val="009509EB"/>
    <w:rsid w:val="00950A3C"/>
    <w:rsid w:val="009517F0"/>
    <w:rsid w:val="00951C4C"/>
    <w:rsid w:val="00951DB3"/>
    <w:rsid w:val="009527A7"/>
    <w:rsid w:val="00953BBE"/>
    <w:rsid w:val="00953BE3"/>
    <w:rsid w:val="00953DA8"/>
    <w:rsid w:val="00953E42"/>
    <w:rsid w:val="009540BB"/>
    <w:rsid w:val="009545E8"/>
    <w:rsid w:val="009546A6"/>
    <w:rsid w:val="00954768"/>
    <w:rsid w:val="00954F01"/>
    <w:rsid w:val="009551F7"/>
    <w:rsid w:val="009555AD"/>
    <w:rsid w:val="00955743"/>
    <w:rsid w:val="00955C17"/>
    <w:rsid w:val="00955DAD"/>
    <w:rsid w:val="00956194"/>
    <w:rsid w:val="0095625E"/>
    <w:rsid w:val="00956EC7"/>
    <w:rsid w:val="00956F05"/>
    <w:rsid w:val="00956F37"/>
    <w:rsid w:val="00957F0C"/>
    <w:rsid w:val="009610AF"/>
    <w:rsid w:val="00961253"/>
    <w:rsid w:val="00961661"/>
    <w:rsid w:val="00962A4B"/>
    <w:rsid w:val="00962C2C"/>
    <w:rsid w:val="00962DA2"/>
    <w:rsid w:val="00962FBF"/>
    <w:rsid w:val="00963068"/>
    <w:rsid w:val="009633FC"/>
    <w:rsid w:val="009638F2"/>
    <w:rsid w:val="00963FFC"/>
    <w:rsid w:val="009640A0"/>
    <w:rsid w:val="00965A07"/>
    <w:rsid w:val="00965F85"/>
    <w:rsid w:val="009661CB"/>
    <w:rsid w:val="0096677A"/>
    <w:rsid w:val="009669C3"/>
    <w:rsid w:val="00966E41"/>
    <w:rsid w:val="0096703F"/>
    <w:rsid w:val="00967182"/>
    <w:rsid w:val="00967546"/>
    <w:rsid w:val="00967633"/>
    <w:rsid w:val="00970083"/>
    <w:rsid w:val="00970823"/>
    <w:rsid w:val="00970D02"/>
    <w:rsid w:val="00970F6B"/>
    <w:rsid w:val="009711B8"/>
    <w:rsid w:val="0097126F"/>
    <w:rsid w:val="009712E2"/>
    <w:rsid w:val="0097147C"/>
    <w:rsid w:val="009714D7"/>
    <w:rsid w:val="00971641"/>
    <w:rsid w:val="0097192D"/>
    <w:rsid w:val="0097203C"/>
    <w:rsid w:val="009721CA"/>
    <w:rsid w:val="00972C0E"/>
    <w:rsid w:val="00972EC1"/>
    <w:rsid w:val="0097321B"/>
    <w:rsid w:val="00973489"/>
    <w:rsid w:val="0097356D"/>
    <w:rsid w:val="00973696"/>
    <w:rsid w:val="00973C65"/>
    <w:rsid w:val="0097458A"/>
    <w:rsid w:val="009747D0"/>
    <w:rsid w:val="00974ABE"/>
    <w:rsid w:val="00974B47"/>
    <w:rsid w:val="00974D52"/>
    <w:rsid w:val="00975329"/>
    <w:rsid w:val="0097587D"/>
    <w:rsid w:val="00976052"/>
    <w:rsid w:val="00976286"/>
    <w:rsid w:val="00976446"/>
    <w:rsid w:val="009767A8"/>
    <w:rsid w:val="009768AB"/>
    <w:rsid w:val="00976A24"/>
    <w:rsid w:val="00976DC6"/>
    <w:rsid w:val="00976F4C"/>
    <w:rsid w:val="00976FA1"/>
    <w:rsid w:val="00977818"/>
    <w:rsid w:val="00980A72"/>
    <w:rsid w:val="00980BBF"/>
    <w:rsid w:val="00980DAE"/>
    <w:rsid w:val="00980F6F"/>
    <w:rsid w:val="00981159"/>
    <w:rsid w:val="00981602"/>
    <w:rsid w:val="009818FD"/>
    <w:rsid w:val="00981A66"/>
    <w:rsid w:val="00981BFC"/>
    <w:rsid w:val="00982198"/>
    <w:rsid w:val="00982EE3"/>
    <w:rsid w:val="009830B5"/>
    <w:rsid w:val="0098359C"/>
    <w:rsid w:val="009835B5"/>
    <w:rsid w:val="009839D2"/>
    <w:rsid w:val="00983B62"/>
    <w:rsid w:val="00984026"/>
    <w:rsid w:val="00984898"/>
    <w:rsid w:val="00984BF2"/>
    <w:rsid w:val="00984C50"/>
    <w:rsid w:val="009866D9"/>
    <w:rsid w:val="009866DD"/>
    <w:rsid w:val="0098685E"/>
    <w:rsid w:val="00986A4D"/>
    <w:rsid w:val="00986CD8"/>
    <w:rsid w:val="009877CB"/>
    <w:rsid w:val="009878F4"/>
    <w:rsid w:val="0099048D"/>
    <w:rsid w:val="0099079A"/>
    <w:rsid w:val="009908CD"/>
    <w:rsid w:val="00990900"/>
    <w:rsid w:val="00990E33"/>
    <w:rsid w:val="00991042"/>
    <w:rsid w:val="00991062"/>
    <w:rsid w:val="009911FF"/>
    <w:rsid w:val="0099199D"/>
    <w:rsid w:val="009919E0"/>
    <w:rsid w:val="00991A26"/>
    <w:rsid w:val="00992170"/>
    <w:rsid w:val="009925EA"/>
    <w:rsid w:val="00992743"/>
    <w:rsid w:val="00992CF2"/>
    <w:rsid w:val="0099306D"/>
    <w:rsid w:val="00993307"/>
    <w:rsid w:val="00993339"/>
    <w:rsid w:val="0099360E"/>
    <w:rsid w:val="009937D7"/>
    <w:rsid w:val="00993E09"/>
    <w:rsid w:val="00994C1D"/>
    <w:rsid w:val="00994D1D"/>
    <w:rsid w:val="00994DCA"/>
    <w:rsid w:val="00994E77"/>
    <w:rsid w:val="00995365"/>
    <w:rsid w:val="00995537"/>
    <w:rsid w:val="00995568"/>
    <w:rsid w:val="00995833"/>
    <w:rsid w:val="00995BE0"/>
    <w:rsid w:val="00995BE6"/>
    <w:rsid w:val="00995C2D"/>
    <w:rsid w:val="00996159"/>
    <w:rsid w:val="009967B1"/>
    <w:rsid w:val="009968C8"/>
    <w:rsid w:val="00996A50"/>
    <w:rsid w:val="00996B3C"/>
    <w:rsid w:val="00996DC4"/>
    <w:rsid w:val="009970CF"/>
    <w:rsid w:val="00997114"/>
    <w:rsid w:val="009976D2"/>
    <w:rsid w:val="009979F3"/>
    <w:rsid w:val="00997A69"/>
    <w:rsid w:val="00997CAB"/>
    <w:rsid w:val="009A02A5"/>
    <w:rsid w:val="009A0537"/>
    <w:rsid w:val="009A0848"/>
    <w:rsid w:val="009A1029"/>
    <w:rsid w:val="009A1390"/>
    <w:rsid w:val="009A1B50"/>
    <w:rsid w:val="009A1FDC"/>
    <w:rsid w:val="009A206E"/>
    <w:rsid w:val="009A21F9"/>
    <w:rsid w:val="009A29A8"/>
    <w:rsid w:val="009A2A69"/>
    <w:rsid w:val="009A3256"/>
    <w:rsid w:val="009A3836"/>
    <w:rsid w:val="009A3A46"/>
    <w:rsid w:val="009A3CCD"/>
    <w:rsid w:val="009A3E80"/>
    <w:rsid w:val="009A460D"/>
    <w:rsid w:val="009A4625"/>
    <w:rsid w:val="009A4B0D"/>
    <w:rsid w:val="009A54BC"/>
    <w:rsid w:val="009A5748"/>
    <w:rsid w:val="009A58C2"/>
    <w:rsid w:val="009A59B0"/>
    <w:rsid w:val="009A64F1"/>
    <w:rsid w:val="009A66F3"/>
    <w:rsid w:val="009A67B9"/>
    <w:rsid w:val="009A68ED"/>
    <w:rsid w:val="009A69FD"/>
    <w:rsid w:val="009A6D3D"/>
    <w:rsid w:val="009A6EE7"/>
    <w:rsid w:val="009A700E"/>
    <w:rsid w:val="009A7725"/>
    <w:rsid w:val="009A7AD0"/>
    <w:rsid w:val="009A7AFA"/>
    <w:rsid w:val="009A7EAA"/>
    <w:rsid w:val="009A7F1F"/>
    <w:rsid w:val="009B0056"/>
    <w:rsid w:val="009B0526"/>
    <w:rsid w:val="009B08DA"/>
    <w:rsid w:val="009B0929"/>
    <w:rsid w:val="009B0EF5"/>
    <w:rsid w:val="009B118C"/>
    <w:rsid w:val="009B11F8"/>
    <w:rsid w:val="009B138E"/>
    <w:rsid w:val="009B1B0E"/>
    <w:rsid w:val="009B1B82"/>
    <w:rsid w:val="009B1C50"/>
    <w:rsid w:val="009B1CF0"/>
    <w:rsid w:val="009B2448"/>
    <w:rsid w:val="009B24E8"/>
    <w:rsid w:val="009B26E9"/>
    <w:rsid w:val="009B2D72"/>
    <w:rsid w:val="009B3484"/>
    <w:rsid w:val="009B383D"/>
    <w:rsid w:val="009B394C"/>
    <w:rsid w:val="009B3C84"/>
    <w:rsid w:val="009B415B"/>
    <w:rsid w:val="009B417B"/>
    <w:rsid w:val="009B438F"/>
    <w:rsid w:val="009B4431"/>
    <w:rsid w:val="009B4643"/>
    <w:rsid w:val="009B4660"/>
    <w:rsid w:val="009B4BDD"/>
    <w:rsid w:val="009B50C8"/>
    <w:rsid w:val="009B5387"/>
    <w:rsid w:val="009B5398"/>
    <w:rsid w:val="009B546D"/>
    <w:rsid w:val="009B54ED"/>
    <w:rsid w:val="009B5BF4"/>
    <w:rsid w:val="009B5C17"/>
    <w:rsid w:val="009B600E"/>
    <w:rsid w:val="009B612B"/>
    <w:rsid w:val="009B6241"/>
    <w:rsid w:val="009B659A"/>
    <w:rsid w:val="009B6647"/>
    <w:rsid w:val="009B6951"/>
    <w:rsid w:val="009B7A13"/>
    <w:rsid w:val="009B7B2A"/>
    <w:rsid w:val="009B7B7D"/>
    <w:rsid w:val="009B7B85"/>
    <w:rsid w:val="009B7C1D"/>
    <w:rsid w:val="009B7EA2"/>
    <w:rsid w:val="009B7FF1"/>
    <w:rsid w:val="009C0343"/>
    <w:rsid w:val="009C0A31"/>
    <w:rsid w:val="009C0D4B"/>
    <w:rsid w:val="009C0D62"/>
    <w:rsid w:val="009C101E"/>
    <w:rsid w:val="009C1613"/>
    <w:rsid w:val="009C1823"/>
    <w:rsid w:val="009C1A3E"/>
    <w:rsid w:val="009C1E1F"/>
    <w:rsid w:val="009C1F2A"/>
    <w:rsid w:val="009C2087"/>
    <w:rsid w:val="009C21E7"/>
    <w:rsid w:val="009C2340"/>
    <w:rsid w:val="009C26D4"/>
    <w:rsid w:val="009C2774"/>
    <w:rsid w:val="009C2B7A"/>
    <w:rsid w:val="009C34F9"/>
    <w:rsid w:val="009C3692"/>
    <w:rsid w:val="009C36C5"/>
    <w:rsid w:val="009C36D0"/>
    <w:rsid w:val="009C39E0"/>
    <w:rsid w:val="009C3C81"/>
    <w:rsid w:val="009C3D8C"/>
    <w:rsid w:val="009C43BE"/>
    <w:rsid w:val="009C440D"/>
    <w:rsid w:val="009C4950"/>
    <w:rsid w:val="009C4D36"/>
    <w:rsid w:val="009C589F"/>
    <w:rsid w:val="009C59B6"/>
    <w:rsid w:val="009C59D7"/>
    <w:rsid w:val="009C5DAE"/>
    <w:rsid w:val="009C64FC"/>
    <w:rsid w:val="009C6A0A"/>
    <w:rsid w:val="009C6A17"/>
    <w:rsid w:val="009C6D73"/>
    <w:rsid w:val="009C6DAF"/>
    <w:rsid w:val="009C71B6"/>
    <w:rsid w:val="009C75A9"/>
    <w:rsid w:val="009C772C"/>
    <w:rsid w:val="009D0035"/>
    <w:rsid w:val="009D0334"/>
    <w:rsid w:val="009D0511"/>
    <w:rsid w:val="009D0C16"/>
    <w:rsid w:val="009D0DAB"/>
    <w:rsid w:val="009D219E"/>
    <w:rsid w:val="009D309C"/>
    <w:rsid w:val="009D3120"/>
    <w:rsid w:val="009D3293"/>
    <w:rsid w:val="009D353B"/>
    <w:rsid w:val="009D378C"/>
    <w:rsid w:val="009D387D"/>
    <w:rsid w:val="009D3943"/>
    <w:rsid w:val="009D3B80"/>
    <w:rsid w:val="009D3DA3"/>
    <w:rsid w:val="009D3E1C"/>
    <w:rsid w:val="009D3E8E"/>
    <w:rsid w:val="009D42DC"/>
    <w:rsid w:val="009D4928"/>
    <w:rsid w:val="009D4E00"/>
    <w:rsid w:val="009D508A"/>
    <w:rsid w:val="009D53E3"/>
    <w:rsid w:val="009D5931"/>
    <w:rsid w:val="009D593A"/>
    <w:rsid w:val="009D5D95"/>
    <w:rsid w:val="009D5E8B"/>
    <w:rsid w:val="009D6748"/>
    <w:rsid w:val="009D697B"/>
    <w:rsid w:val="009D6A14"/>
    <w:rsid w:val="009D6E87"/>
    <w:rsid w:val="009D6F22"/>
    <w:rsid w:val="009D706E"/>
    <w:rsid w:val="009D7497"/>
    <w:rsid w:val="009D7793"/>
    <w:rsid w:val="009D790B"/>
    <w:rsid w:val="009D7A7E"/>
    <w:rsid w:val="009D7DC1"/>
    <w:rsid w:val="009E0062"/>
    <w:rsid w:val="009E0077"/>
    <w:rsid w:val="009E00B2"/>
    <w:rsid w:val="009E04D2"/>
    <w:rsid w:val="009E0515"/>
    <w:rsid w:val="009E0615"/>
    <w:rsid w:val="009E0622"/>
    <w:rsid w:val="009E06D3"/>
    <w:rsid w:val="009E0AC8"/>
    <w:rsid w:val="009E0D11"/>
    <w:rsid w:val="009E0FB5"/>
    <w:rsid w:val="009E1562"/>
    <w:rsid w:val="009E16BF"/>
    <w:rsid w:val="009E1909"/>
    <w:rsid w:val="009E1B04"/>
    <w:rsid w:val="009E1F33"/>
    <w:rsid w:val="009E1F66"/>
    <w:rsid w:val="009E1F81"/>
    <w:rsid w:val="009E206E"/>
    <w:rsid w:val="009E2492"/>
    <w:rsid w:val="009E27D2"/>
    <w:rsid w:val="009E2869"/>
    <w:rsid w:val="009E2E2C"/>
    <w:rsid w:val="009E30D2"/>
    <w:rsid w:val="009E3BEB"/>
    <w:rsid w:val="009E461A"/>
    <w:rsid w:val="009E4675"/>
    <w:rsid w:val="009E476B"/>
    <w:rsid w:val="009E477D"/>
    <w:rsid w:val="009E4BA7"/>
    <w:rsid w:val="009E5089"/>
    <w:rsid w:val="009E514A"/>
    <w:rsid w:val="009E53AC"/>
    <w:rsid w:val="009E5586"/>
    <w:rsid w:val="009E5756"/>
    <w:rsid w:val="009E5832"/>
    <w:rsid w:val="009E59FF"/>
    <w:rsid w:val="009E5B38"/>
    <w:rsid w:val="009E6047"/>
    <w:rsid w:val="009E6561"/>
    <w:rsid w:val="009E68E7"/>
    <w:rsid w:val="009E694A"/>
    <w:rsid w:val="009E6A6D"/>
    <w:rsid w:val="009E70F0"/>
    <w:rsid w:val="009E70F6"/>
    <w:rsid w:val="009E7502"/>
    <w:rsid w:val="009E7B8F"/>
    <w:rsid w:val="009E7C4D"/>
    <w:rsid w:val="009E7D4D"/>
    <w:rsid w:val="009E7D7F"/>
    <w:rsid w:val="009E7DC7"/>
    <w:rsid w:val="009F0132"/>
    <w:rsid w:val="009F020F"/>
    <w:rsid w:val="009F0380"/>
    <w:rsid w:val="009F05D5"/>
    <w:rsid w:val="009F14BF"/>
    <w:rsid w:val="009F182E"/>
    <w:rsid w:val="009F1A18"/>
    <w:rsid w:val="009F1B0F"/>
    <w:rsid w:val="009F29DC"/>
    <w:rsid w:val="009F2B53"/>
    <w:rsid w:val="009F2C2E"/>
    <w:rsid w:val="009F3353"/>
    <w:rsid w:val="009F348D"/>
    <w:rsid w:val="009F3A49"/>
    <w:rsid w:val="009F3B48"/>
    <w:rsid w:val="009F3C08"/>
    <w:rsid w:val="009F3C17"/>
    <w:rsid w:val="009F3CE8"/>
    <w:rsid w:val="009F415F"/>
    <w:rsid w:val="009F4F62"/>
    <w:rsid w:val="009F5719"/>
    <w:rsid w:val="009F5AD6"/>
    <w:rsid w:val="009F6057"/>
    <w:rsid w:val="009F6102"/>
    <w:rsid w:val="009F63FF"/>
    <w:rsid w:val="009F645A"/>
    <w:rsid w:val="009F6489"/>
    <w:rsid w:val="009F64CA"/>
    <w:rsid w:val="009F67F2"/>
    <w:rsid w:val="009F68A0"/>
    <w:rsid w:val="009F6947"/>
    <w:rsid w:val="009F6E18"/>
    <w:rsid w:val="009F709A"/>
    <w:rsid w:val="009F71E4"/>
    <w:rsid w:val="009F7776"/>
    <w:rsid w:val="009F7816"/>
    <w:rsid w:val="009F7A13"/>
    <w:rsid w:val="009F7B33"/>
    <w:rsid w:val="009F7C49"/>
    <w:rsid w:val="009F7E3C"/>
    <w:rsid w:val="009F7ECE"/>
    <w:rsid w:val="00A00123"/>
    <w:rsid w:val="00A001CC"/>
    <w:rsid w:val="00A003B7"/>
    <w:rsid w:val="00A004CB"/>
    <w:rsid w:val="00A004CE"/>
    <w:rsid w:val="00A00782"/>
    <w:rsid w:val="00A00C51"/>
    <w:rsid w:val="00A00C58"/>
    <w:rsid w:val="00A00D01"/>
    <w:rsid w:val="00A01473"/>
    <w:rsid w:val="00A01772"/>
    <w:rsid w:val="00A01CBE"/>
    <w:rsid w:val="00A02228"/>
    <w:rsid w:val="00A02627"/>
    <w:rsid w:val="00A02A60"/>
    <w:rsid w:val="00A03075"/>
    <w:rsid w:val="00A031FB"/>
    <w:rsid w:val="00A03209"/>
    <w:rsid w:val="00A0341C"/>
    <w:rsid w:val="00A034B7"/>
    <w:rsid w:val="00A03540"/>
    <w:rsid w:val="00A03665"/>
    <w:rsid w:val="00A03D02"/>
    <w:rsid w:val="00A03FD4"/>
    <w:rsid w:val="00A04107"/>
    <w:rsid w:val="00A04191"/>
    <w:rsid w:val="00A04D8C"/>
    <w:rsid w:val="00A0527A"/>
    <w:rsid w:val="00A05828"/>
    <w:rsid w:val="00A05EAD"/>
    <w:rsid w:val="00A05F88"/>
    <w:rsid w:val="00A0621B"/>
    <w:rsid w:val="00A062DD"/>
    <w:rsid w:val="00A06927"/>
    <w:rsid w:val="00A06A40"/>
    <w:rsid w:val="00A06BE9"/>
    <w:rsid w:val="00A06D85"/>
    <w:rsid w:val="00A074C3"/>
    <w:rsid w:val="00A1007B"/>
    <w:rsid w:val="00A10214"/>
    <w:rsid w:val="00A10590"/>
    <w:rsid w:val="00A10ABD"/>
    <w:rsid w:val="00A10D21"/>
    <w:rsid w:val="00A10F0D"/>
    <w:rsid w:val="00A11111"/>
    <w:rsid w:val="00A11B13"/>
    <w:rsid w:val="00A11B5C"/>
    <w:rsid w:val="00A12749"/>
    <w:rsid w:val="00A128DC"/>
    <w:rsid w:val="00A12945"/>
    <w:rsid w:val="00A12FAC"/>
    <w:rsid w:val="00A13503"/>
    <w:rsid w:val="00A13995"/>
    <w:rsid w:val="00A13A41"/>
    <w:rsid w:val="00A147DE"/>
    <w:rsid w:val="00A15212"/>
    <w:rsid w:val="00A15524"/>
    <w:rsid w:val="00A15923"/>
    <w:rsid w:val="00A15981"/>
    <w:rsid w:val="00A159BD"/>
    <w:rsid w:val="00A16A6C"/>
    <w:rsid w:val="00A16BE0"/>
    <w:rsid w:val="00A17036"/>
    <w:rsid w:val="00A17379"/>
    <w:rsid w:val="00A173F0"/>
    <w:rsid w:val="00A17907"/>
    <w:rsid w:val="00A179F3"/>
    <w:rsid w:val="00A17AFE"/>
    <w:rsid w:val="00A17B5D"/>
    <w:rsid w:val="00A2015D"/>
    <w:rsid w:val="00A201BE"/>
    <w:rsid w:val="00A20268"/>
    <w:rsid w:val="00A20792"/>
    <w:rsid w:val="00A209A7"/>
    <w:rsid w:val="00A20D52"/>
    <w:rsid w:val="00A21071"/>
    <w:rsid w:val="00A218B0"/>
    <w:rsid w:val="00A21BAF"/>
    <w:rsid w:val="00A220B5"/>
    <w:rsid w:val="00A22122"/>
    <w:rsid w:val="00A22816"/>
    <w:rsid w:val="00A2283D"/>
    <w:rsid w:val="00A228B0"/>
    <w:rsid w:val="00A22937"/>
    <w:rsid w:val="00A22B8F"/>
    <w:rsid w:val="00A22BFF"/>
    <w:rsid w:val="00A22F35"/>
    <w:rsid w:val="00A23788"/>
    <w:rsid w:val="00A23ADA"/>
    <w:rsid w:val="00A23DEC"/>
    <w:rsid w:val="00A23E70"/>
    <w:rsid w:val="00A23FC4"/>
    <w:rsid w:val="00A246ED"/>
    <w:rsid w:val="00A2544F"/>
    <w:rsid w:val="00A2573B"/>
    <w:rsid w:val="00A25843"/>
    <w:rsid w:val="00A259F2"/>
    <w:rsid w:val="00A25D30"/>
    <w:rsid w:val="00A261DE"/>
    <w:rsid w:val="00A261E8"/>
    <w:rsid w:val="00A2624D"/>
    <w:rsid w:val="00A2651C"/>
    <w:rsid w:val="00A26A90"/>
    <w:rsid w:val="00A26D82"/>
    <w:rsid w:val="00A26E80"/>
    <w:rsid w:val="00A2718B"/>
    <w:rsid w:val="00A277AE"/>
    <w:rsid w:val="00A27E57"/>
    <w:rsid w:val="00A30262"/>
    <w:rsid w:val="00A30CC7"/>
    <w:rsid w:val="00A3135D"/>
    <w:rsid w:val="00A316A5"/>
    <w:rsid w:val="00A316B5"/>
    <w:rsid w:val="00A31959"/>
    <w:rsid w:val="00A31B08"/>
    <w:rsid w:val="00A31C18"/>
    <w:rsid w:val="00A32F12"/>
    <w:rsid w:val="00A33284"/>
    <w:rsid w:val="00A33423"/>
    <w:rsid w:val="00A33675"/>
    <w:rsid w:val="00A3374B"/>
    <w:rsid w:val="00A33931"/>
    <w:rsid w:val="00A33B28"/>
    <w:rsid w:val="00A33DB9"/>
    <w:rsid w:val="00A3402F"/>
    <w:rsid w:val="00A3418D"/>
    <w:rsid w:val="00A342F5"/>
    <w:rsid w:val="00A34394"/>
    <w:rsid w:val="00A343BB"/>
    <w:rsid w:val="00A34AB9"/>
    <w:rsid w:val="00A34ACE"/>
    <w:rsid w:val="00A34BDF"/>
    <w:rsid w:val="00A34F25"/>
    <w:rsid w:val="00A34F67"/>
    <w:rsid w:val="00A351EF"/>
    <w:rsid w:val="00A352C4"/>
    <w:rsid w:val="00A356A6"/>
    <w:rsid w:val="00A358A0"/>
    <w:rsid w:val="00A35D87"/>
    <w:rsid w:val="00A36638"/>
    <w:rsid w:val="00A366B8"/>
    <w:rsid w:val="00A36806"/>
    <w:rsid w:val="00A368C8"/>
    <w:rsid w:val="00A36C40"/>
    <w:rsid w:val="00A375EA"/>
    <w:rsid w:val="00A376FF"/>
    <w:rsid w:val="00A400A2"/>
    <w:rsid w:val="00A400C3"/>
    <w:rsid w:val="00A400E8"/>
    <w:rsid w:val="00A40482"/>
    <w:rsid w:val="00A40678"/>
    <w:rsid w:val="00A40C07"/>
    <w:rsid w:val="00A40CEE"/>
    <w:rsid w:val="00A4122C"/>
    <w:rsid w:val="00A412AD"/>
    <w:rsid w:val="00A41515"/>
    <w:rsid w:val="00A418E5"/>
    <w:rsid w:val="00A41D0B"/>
    <w:rsid w:val="00A41D40"/>
    <w:rsid w:val="00A41F81"/>
    <w:rsid w:val="00A42288"/>
    <w:rsid w:val="00A42387"/>
    <w:rsid w:val="00A4245E"/>
    <w:rsid w:val="00A42908"/>
    <w:rsid w:val="00A4293A"/>
    <w:rsid w:val="00A42B5C"/>
    <w:rsid w:val="00A42B87"/>
    <w:rsid w:val="00A42BC3"/>
    <w:rsid w:val="00A42D1F"/>
    <w:rsid w:val="00A435C6"/>
    <w:rsid w:val="00A437FE"/>
    <w:rsid w:val="00A439F8"/>
    <w:rsid w:val="00A43F49"/>
    <w:rsid w:val="00A4465E"/>
    <w:rsid w:val="00A44718"/>
    <w:rsid w:val="00A449AE"/>
    <w:rsid w:val="00A44E9F"/>
    <w:rsid w:val="00A44F9A"/>
    <w:rsid w:val="00A4513D"/>
    <w:rsid w:val="00A45514"/>
    <w:rsid w:val="00A45608"/>
    <w:rsid w:val="00A45B7C"/>
    <w:rsid w:val="00A45E16"/>
    <w:rsid w:val="00A4604B"/>
    <w:rsid w:val="00A4691D"/>
    <w:rsid w:val="00A46CBE"/>
    <w:rsid w:val="00A46E23"/>
    <w:rsid w:val="00A46F47"/>
    <w:rsid w:val="00A47226"/>
    <w:rsid w:val="00A476AB"/>
    <w:rsid w:val="00A47AB0"/>
    <w:rsid w:val="00A47F99"/>
    <w:rsid w:val="00A50368"/>
    <w:rsid w:val="00A50A36"/>
    <w:rsid w:val="00A50A92"/>
    <w:rsid w:val="00A50BF1"/>
    <w:rsid w:val="00A50E0A"/>
    <w:rsid w:val="00A5190E"/>
    <w:rsid w:val="00A51A3E"/>
    <w:rsid w:val="00A52161"/>
    <w:rsid w:val="00A523BC"/>
    <w:rsid w:val="00A52EFD"/>
    <w:rsid w:val="00A533C7"/>
    <w:rsid w:val="00A53439"/>
    <w:rsid w:val="00A5349C"/>
    <w:rsid w:val="00A53598"/>
    <w:rsid w:val="00A5409A"/>
    <w:rsid w:val="00A542E2"/>
    <w:rsid w:val="00A544BA"/>
    <w:rsid w:val="00A54843"/>
    <w:rsid w:val="00A55435"/>
    <w:rsid w:val="00A55AF2"/>
    <w:rsid w:val="00A55CDF"/>
    <w:rsid w:val="00A55EFF"/>
    <w:rsid w:val="00A56120"/>
    <w:rsid w:val="00A5628F"/>
    <w:rsid w:val="00A562A0"/>
    <w:rsid w:val="00A5637C"/>
    <w:rsid w:val="00A56435"/>
    <w:rsid w:val="00A566BC"/>
    <w:rsid w:val="00A56B31"/>
    <w:rsid w:val="00A56BF5"/>
    <w:rsid w:val="00A56CA6"/>
    <w:rsid w:val="00A56E4D"/>
    <w:rsid w:val="00A57188"/>
    <w:rsid w:val="00A57222"/>
    <w:rsid w:val="00A575F4"/>
    <w:rsid w:val="00A57897"/>
    <w:rsid w:val="00A5791F"/>
    <w:rsid w:val="00A57C70"/>
    <w:rsid w:val="00A57FD2"/>
    <w:rsid w:val="00A6003C"/>
    <w:rsid w:val="00A60689"/>
    <w:rsid w:val="00A607BA"/>
    <w:rsid w:val="00A609B9"/>
    <w:rsid w:val="00A60CB9"/>
    <w:rsid w:val="00A61210"/>
    <w:rsid w:val="00A613B3"/>
    <w:rsid w:val="00A618C0"/>
    <w:rsid w:val="00A61AD2"/>
    <w:rsid w:val="00A61C79"/>
    <w:rsid w:val="00A61EE9"/>
    <w:rsid w:val="00A6292B"/>
    <w:rsid w:val="00A62C5B"/>
    <w:rsid w:val="00A6315E"/>
    <w:rsid w:val="00A6341E"/>
    <w:rsid w:val="00A63487"/>
    <w:rsid w:val="00A636E6"/>
    <w:rsid w:val="00A63907"/>
    <w:rsid w:val="00A640A6"/>
    <w:rsid w:val="00A642C9"/>
    <w:rsid w:val="00A64531"/>
    <w:rsid w:val="00A6541B"/>
    <w:rsid w:val="00A655D7"/>
    <w:rsid w:val="00A659DF"/>
    <w:rsid w:val="00A65AB6"/>
    <w:rsid w:val="00A65D1B"/>
    <w:rsid w:val="00A65EA3"/>
    <w:rsid w:val="00A6688D"/>
    <w:rsid w:val="00A66B16"/>
    <w:rsid w:val="00A66C43"/>
    <w:rsid w:val="00A67360"/>
    <w:rsid w:val="00A67424"/>
    <w:rsid w:val="00A67453"/>
    <w:rsid w:val="00A676D5"/>
    <w:rsid w:val="00A67EFA"/>
    <w:rsid w:val="00A70058"/>
    <w:rsid w:val="00A7006A"/>
    <w:rsid w:val="00A70108"/>
    <w:rsid w:val="00A70353"/>
    <w:rsid w:val="00A705C2"/>
    <w:rsid w:val="00A70755"/>
    <w:rsid w:val="00A70906"/>
    <w:rsid w:val="00A70C68"/>
    <w:rsid w:val="00A70D36"/>
    <w:rsid w:val="00A70D62"/>
    <w:rsid w:val="00A70F13"/>
    <w:rsid w:val="00A711AB"/>
    <w:rsid w:val="00A71214"/>
    <w:rsid w:val="00A7121B"/>
    <w:rsid w:val="00A7127C"/>
    <w:rsid w:val="00A71982"/>
    <w:rsid w:val="00A71A2D"/>
    <w:rsid w:val="00A71CBE"/>
    <w:rsid w:val="00A721D3"/>
    <w:rsid w:val="00A72497"/>
    <w:rsid w:val="00A72994"/>
    <w:rsid w:val="00A72BF7"/>
    <w:rsid w:val="00A731C6"/>
    <w:rsid w:val="00A73328"/>
    <w:rsid w:val="00A734FE"/>
    <w:rsid w:val="00A73539"/>
    <w:rsid w:val="00A736D6"/>
    <w:rsid w:val="00A737B4"/>
    <w:rsid w:val="00A73A98"/>
    <w:rsid w:val="00A73B65"/>
    <w:rsid w:val="00A73D4C"/>
    <w:rsid w:val="00A73ECF"/>
    <w:rsid w:val="00A73FA6"/>
    <w:rsid w:val="00A740DC"/>
    <w:rsid w:val="00A741B9"/>
    <w:rsid w:val="00A741BD"/>
    <w:rsid w:val="00A74422"/>
    <w:rsid w:val="00A74508"/>
    <w:rsid w:val="00A747F2"/>
    <w:rsid w:val="00A74911"/>
    <w:rsid w:val="00A74D2F"/>
    <w:rsid w:val="00A75180"/>
    <w:rsid w:val="00A752A2"/>
    <w:rsid w:val="00A7531D"/>
    <w:rsid w:val="00A75672"/>
    <w:rsid w:val="00A75B0C"/>
    <w:rsid w:val="00A75BA5"/>
    <w:rsid w:val="00A75E31"/>
    <w:rsid w:val="00A76031"/>
    <w:rsid w:val="00A76076"/>
    <w:rsid w:val="00A764DD"/>
    <w:rsid w:val="00A7675A"/>
    <w:rsid w:val="00A7678E"/>
    <w:rsid w:val="00A767D0"/>
    <w:rsid w:val="00A76821"/>
    <w:rsid w:val="00A769C2"/>
    <w:rsid w:val="00A76E3D"/>
    <w:rsid w:val="00A770AD"/>
    <w:rsid w:val="00A778F6"/>
    <w:rsid w:val="00A77B25"/>
    <w:rsid w:val="00A77B71"/>
    <w:rsid w:val="00A80305"/>
    <w:rsid w:val="00A80739"/>
    <w:rsid w:val="00A80A15"/>
    <w:rsid w:val="00A80C7E"/>
    <w:rsid w:val="00A81230"/>
    <w:rsid w:val="00A81476"/>
    <w:rsid w:val="00A815AA"/>
    <w:rsid w:val="00A81B3B"/>
    <w:rsid w:val="00A81CFE"/>
    <w:rsid w:val="00A8221E"/>
    <w:rsid w:val="00A8272E"/>
    <w:rsid w:val="00A82827"/>
    <w:rsid w:val="00A82ACB"/>
    <w:rsid w:val="00A82AEE"/>
    <w:rsid w:val="00A82DFA"/>
    <w:rsid w:val="00A82EAC"/>
    <w:rsid w:val="00A830E6"/>
    <w:rsid w:val="00A83330"/>
    <w:rsid w:val="00A8374A"/>
    <w:rsid w:val="00A83DD7"/>
    <w:rsid w:val="00A84243"/>
    <w:rsid w:val="00A8434C"/>
    <w:rsid w:val="00A843EF"/>
    <w:rsid w:val="00A844A1"/>
    <w:rsid w:val="00A8462A"/>
    <w:rsid w:val="00A84771"/>
    <w:rsid w:val="00A849AE"/>
    <w:rsid w:val="00A84BB6"/>
    <w:rsid w:val="00A84C27"/>
    <w:rsid w:val="00A84F16"/>
    <w:rsid w:val="00A85159"/>
    <w:rsid w:val="00A85819"/>
    <w:rsid w:val="00A85D3C"/>
    <w:rsid w:val="00A85F8B"/>
    <w:rsid w:val="00A87303"/>
    <w:rsid w:val="00A877D8"/>
    <w:rsid w:val="00A87A64"/>
    <w:rsid w:val="00A87BE3"/>
    <w:rsid w:val="00A87DD0"/>
    <w:rsid w:val="00A901AA"/>
    <w:rsid w:val="00A91900"/>
    <w:rsid w:val="00A91A24"/>
    <w:rsid w:val="00A91B06"/>
    <w:rsid w:val="00A91BF2"/>
    <w:rsid w:val="00A92084"/>
    <w:rsid w:val="00A923F6"/>
    <w:rsid w:val="00A928A3"/>
    <w:rsid w:val="00A92B53"/>
    <w:rsid w:val="00A92B5F"/>
    <w:rsid w:val="00A92CEA"/>
    <w:rsid w:val="00A935BA"/>
    <w:rsid w:val="00A9367E"/>
    <w:rsid w:val="00A93B16"/>
    <w:rsid w:val="00A93B87"/>
    <w:rsid w:val="00A93CBF"/>
    <w:rsid w:val="00A9430B"/>
    <w:rsid w:val="00A94722"/>
    <w:rsid w:val="00A94B83"/>
    <w:rsid w:val="00A94C76"/>
    <w:rsid w:val="00A94C99"/>
    <w:rsid w:val="00A94D58"/>
    <w:rsid w:val="00A94E86"/>
    <w:rsid w:val="00A9502C"/>
    <w:rsid w:val="00A950BE"/>
    <w:rsid w:val="00A95161"/>
    <w:rsid w:val="00A953D2"/>
    <w:rsid w:val="00A956D2"/>
    <w:rsid w:val="00A956D7"/>
    <w:rsid w:val="00A95CA0"/>
    <w:rsid w:val="00A95F3E"/>
    <w:rsid w:val="00A965D5"/>
    <w:rsid w:val="00A9678C"/>
    <w:rsid w:val="00A968C4"/>
    <w:rsid w:val="00A96A5E"/>
    <w:rsid w:val="00A970D5"/>
    <w:rsid w:val="00A97183"/>
    <w:rsid w:val="00A9746B"/>
    <w:rsid w:val="00A97475"/>
    <w:rsid w:val="00A9755C"/>
    <w:rsid w:val="00A978AB"/>
    <w:rsid w:val="00A97B83"/>
    <w:rsid w:val="00A97C8A"/>
    <w:rsid w:val="00A97E0D"/>
    <w:rsid w:val="00AA018C"/>
    <w:rsid w:val="00AA04EC"/>
    <w:rsid w:val="00AA0711"/>
    <w:rsid w:val="00AA0D10"/>
    <w:rsid w:val="00AA0DC5"/>
    <w:rsid w:val="00AA0DFF"/>
    <w:rsid w:val="00AA105D"/>
    <w:rsid w:val="00AA109A"/>
    <w:rsid w:val="00AA1563"/>
    <w:rsid w:val="00AA186E"/>
    <w:rsid w:val="00AA1904"/>
    <w:rsid w:val="00AA1974"/>
    <w:rsid w:val="00AA1AE5"/>
    <w:rsid w:val="00AA1E40"/>
    <w:rsid w:val="00AA1F8A"/>
    <w:rsid w:val="00AA2048"/>
    <w:rsid w:val="00AA23D3"/>
    <w:rsid w:val="00AA2809"/>
    <w:rsid w:val="00AA29F1"/>
    <w:rsid w:val="00AA2A28"/>
    <w:rsid w:val="00AA2BEA"/>
    <w:rsid w:val="00AA35C7"/>
    <w:rsid w:val="00AA3BA3"/>
    <w:rsid w:val="00AA3C91"/>
    <w:rsid w:val="00AA3E91"/>
    <w:rsid w:val="00AA40A5"/>
    <w:rsid w:val="00AA43E3"/>
    <w:rsid w:val="00AA4443"/>
    <w:rsid w:val="00AA46A6"/>
    <w:rsid w:val="00AA5517"/>
    <w:rsid w:val="00AA5BDF"/>
    <w:rsid w:val="00AA5C92"/>
    <w:rsid w:val="00AA6099"/>
    <w:rsid w:val="00AA6F3C"/>
    <w:rsid w:val="00AA6FCE"/>
    <w:rsid w:val="00AA6FE7"/>
    <w:rsid w:val="00AA71C5"/>
    <w:rsid w:val="00AA742C"/>
    <w:rsid w:val="00AA772D"/>
    <w:rsid w:val="00AA7D0D"/>
    <w:rsid w:val="00AB009F"/>
    <w:rsid w:val="00AB086B"/>
    <w:rsid w:val="00AB0DE8"/>
    <w:rsid w:val="00AB1102"/>
    <w:rsid w:val="00AB1A58"/>
    <w:rsid w:val="00AB1D87"/>
    <w:rsid w:val="00AB1E71"/>
    <w:rsid w:val="00AB2306"/>
    <w:rsid w:val="00AB23CA"/>
    <w:rsid w:val="00AB24B5"/>
    <w:rsid w:val="00AB30F7"/>
    <w:rsid w:val="00AB31E0"/>
    <w:rsid w:val="00AB31EB"/>
    <w:rsid w:val="00AB32DE"/>
    <w:rsid w:val="00AB3593"/>
    <w:rsid w:val="00AB36D1"/>
    <w:rsid w:val="00AB3ACC"/>
    <w:rsid w:val="00AB3DEA"/>
    <w:rsid w:val="00AB405B"/>
    <w:rsid w:val="00AB48E3"/>
    <w:rsid w:val="00AB49A0"/>
    <w:rsid w:val="00AB4EE5"/>
    <w:rsid w:val="00AB4F04"/>
    <w:rsid w:val="00AB53C5"/>
    <w:rsid w:val="00AB55B0"/>
    <w:rsid w:val="00AB55BF"/>
    <w:rsid w:val="00AB5A01"/>
    <w:rsid w:val="00AB5BFB"/>
    <w:rsid w:val="00AB5CEA"/>
    <w:rsid w:val="00AB5D01"/>
    <w:rsid w:val="00AB5EBA"/>
    <w:rsid w:val="00AB6141"/>
    <w:rsid w:val="00AB6B92"/>
    <w:rsid w:val="00AB6E7B"/>
    <w:rsid w:val="00AB7B0F"/>
    <w:rsid w:val="00AC0285"/>
    <w:rsid w:val="00AC028D"/>
    <w:rsid w:val="00AC0854"/>
    <w:rsid w:val="00AC0AC3"/>
    <w:rsid w:val="00AC0CE6"/>
    <w:rsid w:val="00AC0F40"/>
    <w:rsid w:val="00AC0FB7"/>
    <w:rsid w:val="00AC138A"/>
    <w:rsid w:val="00AC1572"/>
    <w:rsid w:val="00AC1690"/>
    <w:rsid w:val="00AC1789"/>
    <w:rsid w:val="00AC192A"/>
    <w:rsid w:val="00AC198F"/>
    <w:rsid w:val="00AC1D5F"/>
    <w:rsid w:val="00AC1F29"/>
    <w:rsid w:val="00AC1FD3"/>
    <w:rsid w:val="00AC2952"/>
    <w:rsid w:val="00AC2AE8"/>
    <w:rsid w:val="00AC2FD9"/>
    <w:rsid w:val="00AC30D5"/>
    <w:rsid w:val="00AC312D"/>
    <w:rsid w:val="00AC3749"/>
    <w:rsid w:val="00AC37BB"/>
    <w:rsid w:val="00AC3D96"/>
    <w:rsid w:val="00AC40F9"/>
    <w:rsid w:val="00AC413D"/>
    <w:rsid w:val="00AC418C"/>
    <w:rsid w:val="00AC42E3"/>
    <w:rsid w:val="00AC4467"/>
    <w:rsid w:val="00AC4856"/>
    <w:rsid w:val="00AC4AB2"/>
    <w:rsid w:val="00AC4E26"/>
    <w:rsid w:val="00AC4E82"/>
    <w:rsid w:val="00AC4F4B"/>
    <w:rsid w:val="00AC4FE6"/>
    <w:rsid w:val="00AC57DE"/>
    <w:rsid w:val="00AC5927"/>
    <w:rsid w:val="00AC5999"/>
    <w:rsid w:val="00AC5B4A"/>
    <w:rsid w:val="00AC5BF7"/>
    <w:rsid w:val="00AC5FA9"/>
    <w:rsid w:val="00AC6147"/>
    <w:rsid w:val="00AC614D"/>
    <w:rsid w:val="00AC66E2"/>
    <w:rsid w:val="00AC68B3"/>
    <w:rsid w:val="00AC6B1A"/>
    <w:rsid w:val="00AC6F82"/>
    <w:rsid w:val="00AC7054"/>
    <w:rsid w:val="00AC7252"/>
    <w:rsid w:val="00AC779B"/>
    <w:rsid w:val="00AC795F"/>
    <w:rsid w:val="00AC7B90"/>
    <w:rsid w:val="00AC7C55"/>
    <w:rsid w:val="00AC7CA3"/>
    <w:rsid w:val="00AC7F86"/>
    <w:rsid w:val="00AD0421"/>
    <w:rsid w:val="00AD05AA"/>
    <w:rsid w:val="00AD081E"/>
    <w:rsid w:val="00AD0CA0"/>
    <w:rsid w:val="00AD1026"/>
    <w:rsid w:val="00AD11F6"/>
    <w:rsid w:val="00AD147F"/>
    <w:rsid w:val="00AD188B"/>
    <w:rsid w:val="00AD18AE"/>
    <w:rsid w:val="00AD1D17"/>
    <w:rsid w:val="00AD1E87"/>
    <w:rsid w:val="00AD1F33"/>
    <w:rsid w:val="00AD21E0"/>
    <w:rsid w:val="00AD24A9"/>
    <w:rsid w:val="00AD2F4D"/>
    <w:rsid w:val="00AD343C"/>
    <w:rsid w:val="00AD3688"/>
    <w:rsid w:val="00AD3B9C"/>
    <w:rsid w:val="00AD3BCF"/>
    <w:rsid w:val="00AD3BF8"/>
    <w:rsid w:val="00AD3EEA"/>
    <w:rsid w:val="00AD3FAB"/>
    <w:rsid w:val="00AD40A3"/>
    <w:rsid w:val="00AD44F8"/>
    <w:rsid w:val="00AD4990"/>
    <w:rsid w:val="00AD4A7A"/>
    <w:rsid w:val="00AD509C"/>
    <w:rsid w:val="00AD550F"/>
    <w:rsid w:val="00AD5AC8"/>
    <w:rsid w:val="00AD5EDB"/>
    <w:rsid w:val="00AD627A"/>
    <w:rsid w:val="00AD6433"/>
    <w:rsid w:val="00AD6C8E"/>
    <w:rsid w:val="00AD702F"/>
    <w:rsid w:val="00AD74F4"/>
    <w:rsid w:val="00AD7545"/>
    <w:rsid w:val="00AD7780"/>
    <w:rsid w:val="00AD7803"/>
    <w:rsid w:val="00AD78F0"/>
    <w:rsid w:val="00AD79B7"/>
    <w:rsid w:val="00AD7F33"/>
    <w:rsid w:val="00AE033A"/>
    <w:rsid w:val="00AE08A8"/>
    <w:rsid w:val="00AE0B3F"/>
    <w:rsid w:val="00AE0F16"/>
    <w:rsid w:val="00AE10E4"/>
    <w:rsid w:val="00AE11EA"/>
    <w:rsid w:val="00AE1987"/>
    <w:rsid w:val="00AE1B0C"/>
    <w:rsid w:val="00AE1BC0"/>
    <w:rsid w:val="00AE1C74"/>
    <w:rsid w:val="00AE1E9D"/>
    <w:rsid w:val="00AE1F74"/>
    <w:rsid w:val="00AE26E2"/>
    <w:rsid w:val="00AE2A29"/>
    <w:rsid w:val="00AE2BA2"/>
    <w:rsid w:val="00AE2CE3"/>
    <w:rsid w:val="00AE2D3E"/>
    <w:rsid w:val="00AE2E87"/>
    <w:rsid w:val="00AE2ECD"/>
    <w:rsid w:val="00AE30A9"/>
    <w:rsid w:val="00AE347F"/>
    <w:rsid w:val="00AE3722"/>
    <w:rsid w:val="00AE3A10"/>
    <w:rsid w:val="00AE3A32"/>
    <w:rsid w:val="00AE4523"/>
    <w:rsid w:val="00AE47DF"/>
    <w:rsid w:val="00AE4E3A"/>
    <w:rsid w:val="00AE527A"/>
    <w:rsid w:val="00AE5670"/>
    <w:rsid w:val="00AE5C5F"/>
    <w:rsid w:val="00AE5E93"/>
    <w:rsid w:val="00AE5F17"/>
    <w:rsid w:val="00AE5F23"/>
    <w:rsid w:val="00AE62DB"/>
    <w:rsid w:val="00AE6327"/>
    <w:rsid w:val="00AE65F7"/>
    <w:rsid w:val="00AE66A4"/>
    <w:rsid w:val="00AE6B25"/>
    <w:rsid w:val="00AE6B8D"/>
    <w:rsid w:val="00AE6F96"/>
    <w:rsid w:val="00AE700E"/>
    <w:rsid w:val="00AE7043"/>
    <w:rsid w:val="00AE71B9"/>
    <w:rsid w:val="00AE73E8"/>
    <w:rsid w:val="00AE7482"/>
    <w:rsid w:val="00AE76AC"/>
    <w:rsid w:val="00AE7D0F"/>
    <w:rsid w:val="00AE7E41"/>
    <w:rsid w:val="00AE7FC8"/>
    <w:rsid w:val="00AF003C"/>
    <w:rsid w:val="00AF05CB"/>
    <w:rsid w:val="00AF0E37"/>
    <w:rsid w:val="00AF10EB"/>
    <w:rsid w:val="00AF1605"/>
    <w:rsid w:val="00AF16A0"/>
    <w:rsid w:val="00AF1704"/>
    <w:rsid w:val="00AF18A9"/>
    <w:rsid w:val="00AF1C25"/>
    <w:rsid w:val="00AF1D30"/>
    <w:rsid w:val="00AF25FB"/>
    <w:rsid w:val="00AF2A02"/>
    <w:rsid w:val="00AF2B5E"/>
    <w:rsid w:val="00AF2EF4"/>
    <w:rsid w:val="00AF31A3"/>
    <w:rsid w:val="00AF348A"/>
    <w:rsid w:val="00AF38B1"/>
    <w:rsid w:val="00AF39B1"/>
    <w:rsid w:val="00AF3A00"/>
    <w:rsid w:val="00AF3AB8"/>
    <w:rsid w:val="00AF3C77"/>
    <w:rsid w:val="00AF3E0B"/>
    <w:rsid w:val="00AF42A4"/>
    <w:rsid w:val="00AF4529"/>
    <w:rsid w:val="00AF47D4"/>
    <w:rsid w:val="00AF4B05"/>
    <w:rsid w:val="00AF4B7E"/>
    <w:rsid w:val="00AF4EE1"/>
    <w:rsid w:val="00AF506B"/>
    <w:rsid w:val="00AF52CE"/>
    <w:rsid w:val="00AF5387"/>
    <w:rsid w:val="00AF549A"/>
    <w:rsid w:val="00AF59C0"/>
    <w:rsid w:val="00AF5A2E"/>
    <w:rsid w:val="00AF5B6B"/>
    <w:rsid w:val="00AF5B97"/>
    <w:rsid w:val="00AF5E8A"/>
    <w:rsid w:val="00AF5F45"/>
    <w:rsid w:val="00AF7153"/>
    <w:rsid w:val="00AF72E0"/>
    <w:rsid w:val="00AF7382"/>
    <w:rsid w:val="00AF7870"/>
    <w:rsid w:val="00AF7FF5"/>
    <w:rsid w:val="00B00444"/>
    <w:rsid w:val="00B0094B"/>
    <w:rsid w:val="00B0112E"/>
    <w:rsid w:val="00B014C7"/>
    <w:rsid w:val="00B01744"/>
    <w:rsid w:val="00B0178B"/>
    <w:rsid w:val="00B02028"/>
    <w:rsid w:val="00B021A2"/>
    <w:rsid w:val="00B02AFB"/>
    <w:rsid w:val="00B02B15"/>
    <w:rsid w:val="00B02B1F"/>
    <w:rsid w:val="00B02B3A"/>
    <w:rsid w:val="00B02C06"/>
    <w:rsid w:val="00B02E22"/>
    <w:rsid w:val="00B031A8"/>
    <w:rsid w:val="00B03371"/>
    <w:rsid w:val="00B03E6C"/>
    <w:rsid w:val="00B03FBE"/>
    <w:rsid w:val="00B041B9"/>
    <w:rsid w:val="00B04A6E"/>
    <w:rsid w:val="00B050D6"/>
    <w:rsid w:val="00B05441"/>
    <w:rsid w:val="00B0549C"/>
    <w:rsid w:val="00B054E3"/>
    <w:rsid w:val="00B0586C"/>
    <w:rsid w:val="00B059FD"/>
    <w:rsid w:val="00B05BE2"/>
    <w:rsid w:val="00B05C2C"/>
    <w:rsid w:val="00B0648F"/>
    <w:rsid w:val="00B07133"/>
    <w:rsid w:val="00B076BC"/>
    <w:rsid w:val="00B078D7"/>
    <w:rsid w:val="00B07FC6"/>
    <w:rsid w:val="00B103B6"/>
    <w:rsid w:val="00B10579"/>
    <w:rsid w:val="00B10641"/>
    <w:rsid w:val="00B10E3A"/>
    <w:rsid w:val="00B10F19"/>
    <w:rsid w:val="00B11098"/>
    <w:rsid w:val="00B110A9"/>
    <w:rsid w:val="00B113AA"/>
    <w:rsid w:val="00B1148E"/>
    <w:rsid w:val="00B117F5"/>
    <w:rsid w:val="00B11900"/>
    <w:rsid w:val="00B11B27"/>
    <w:rsid w:val="00B11C85"/>
    <w:rsid w:val="00B11CDF"/>
    <w:rsid w:val="00B121DF"/>
    <w:rsid w:val="00B1231B"/>
    <w:rsid w:val="00B12510"/>
    <w:rsid w:val="00B12A7D"/>
    <w:rsid w:val="00B12DD4"/>
    <w:rsid w:val="00B1328D"/>
    <w:rsid w:val="00B14041"/>
    <w:rsid w:val="00B1413A"/>
    <w:rsid w:val="00B1434C"/>
    <w:rsid w:val="00B14A17"/>
    <w:rsid w:val="00B154F6"/>
    <w:rsid w:val="00B1569B"/>
    <w:rsid w:val="00B156F1"/>
    <w:rsid w:val="00B15776"/>
    <w:rsid w:val="00B157AB"/>
    <w:rsid w:val="00B15BEF"/>
    <w:rsid w:val="00B16471"/>
    <w:rsid w:val="00B1654B"/>
    <w:rsid w:val="00B16AAD"/>
    <w:rsid w:val="00B16AD7"/>
    <w:rsid w:val="00B17143"/>
    <w:rsid w:val="00B17274"/>
    <w:rsid w:val="00B173C2"/>
    <w:rsid w:val="00B176A6"/>
    <w:rsid w:val="00B17828"/>
    <w:rsid w:val="00B17999"/>
    <w:rsid w:val="00B179CD"/>
    <w:rsid w:val="00B200BB"/>
    <w:rsid w:val="00B202D7"/>
    <w:rsid w:val="00B20304"/>
    <w:rsid w:val="00B207F0"/>
    <w:rsid w:val="00B20AB4"/>
    <w:rsid w:val="00B20D78"/>
    <w:rsid w:val="00B212EA"/>
    <w:rsid w:val="00B214EB"/>
    <w:rsid w:val="00B215FA"/>
    <w:rsid w:val="00B21988"/>
    <w:rsid w:val="00B21D14"/>
    <w:rsid w:val="00B21D93"/>
    <w:rsid w:val="00B21E1D"/>
    <w:rsid w:val="00B2229B"/>
    <w:rsid w:val="00B22323"/>
    <w:rsid w:val="00B22349"/>
    <w:rsid w:val="00B22560"/>
    <w:rsid w:val="00B225FD"/>
    <w:rsid w:val="00B2297E"/>
    <w:rsid w:val="00B229A0"/>
    <w:rsid w:val="00B22E9C"/>
    <w:rsid w:val="00B23019"/>
    <w:rsid w:val="00B23361"/>
    <w:rsid w:val="00B233CE"/>
    <w:rsid w:val="00B2350B"/>
    <w:rsid w:val="00B239EA"/>
    <w:rsid w:val="00B23A3B"/>
    <w:rsid w:val="00B23E47"/>
    <w:rsid w:val="00B2438C"/>
    <w:rsid w:val="00B24A5E"/>
    <w:rsid w:val="00B24E1E"/>
    <w:rsid w:val="00B24E9C"/>
    <w:rsid w:val="00B2524A"/>
    <w:rsid w:val="00B254D3"/>
    <w:rsid w:val="00B255DA"/>
    <w:rsid w:val="00B25BEF"/>
    <w:rsid w:val="00B25F8F"/>
    <w:rsid w:val="00B2617E"/>
    <w:rsid w:val="00B262E6"/>
    <w:rsid w:val="00B2648F"/>
    <w:rsid w:val="00B26A01"/>
    <w:rsid w:val="00B26A0F"/>
    <w:rsid w:val="00B26C48"/>
    <w:rsid w:val="00B26CE5"/>
    <w:rsid w:val="00B2722F"/>
    <w:rsid w:val="00B27518"/>
    <w:rsid w:val="00B27AD2"/>
    <w:rsid w:val="00B302AE"/>
    <w:rsid w:val="00B3033F"/>
    <w:rsid w:val="00B305CB"/>
    <w:rsid w:val="00B30A0B"/>
    <w:rsid w:val="00B30B93"/>
    <w:rsid w:val="00B30DEB"/>
    <w:rsid w:val="00B30F75"/>
    <w:rsid w:val="00B31389"/>
    <w:rsid w:val="00B3176A"/>
    <w:rsid w:val="00B31B58"/>
    <w:rsid w:val="00B31CBE"/>
    <w:rsid w:val="00B31E94"/>
    <w:rsid w:val="00B32016"/>
    <w:rsid w:val="00B3289C"/>
    <w:rsid w:val="00B337CE"/>
    <w:rsid w:val="00B33821"/>
    <w:rsid w:val="00B33AA6"/>
    <w:rsid w:val="00B33B2F"/>
    <w:rsid w:val="00B33FDA"/>
    <w:rsid w:val="00B34D49"/>
    <w:rsid w:val="00B34DCA"/>
    <w:rsid w:val="00B352CF"/>
    <w:rsid w:val="00B358D0"/>
    <w:rsid w:val="00B3595E"/>
    <w:rsid w:val="00B35B35"/>
    <w:rsid w:val="00B35F07"/>
    <w:rsid w:val="00B360B5"/>
    <w:rsid w:val="00B3618A"/>
    <w:rsid w:val="00B366C4"/>
    <w:rsid w:val="00B36946"/>
    <w:rsid w:val="00B36C75"/>
    <w:rsid w:val="00B36E45"/>
    <w:rsid w:val="00B37540"/>
    <w:rsid w:val="00B37A9E"/>
    <w:rsid w:val="00B37DFB"/>
    <w:rsid w:val="00B37F15"/>
    <w:rsid w:val="00B40530"/>
    <w:rsid w:val="00B409F0"/>
    <w:rsid w:val="00B40EB0"/>
    <w:rsid w:val="00B410E6"/>
    <w:rsid w:val="00B414D9"/>
    <w:rsid w:val="00B415F1"/>
    <w:rsid w:val="00B417CB"/>
    <w:rsid w:val="00B41826"/>
    <w:rsid w:val="00B41850"/>
    <w:rsid w:val="00B419C2"/>
    <w:rsid w:val="00B41E03"/>
    <w:rsid w:val="00B4276A"/>
    <w:rsid w:val="00B4290F"/>
    <w:rsid w:val="00B429B5"/>
    <w:rsid w:val="00B4353F"/>
    <w:rsid w:val="00B4395E"/>
    <w:rsid w:val="00B43BF4"/>
    <w:rsid w:val="00B44230"/>
    <w:rsid w:val="00B4471F"/>
    <w:rsid w:val="00B44896"/>
    <w:rsid w:val="00B44A02"/>
    <w:rsid w:val="00B44B4F"/>
    <w:rsid w:val="00B44D46"/>
    <w:rsid w:val="00B44F0A"/>
    <w:rsid w:val="00B450FC"/>
    <w:rsid w:val="00B45138"/>
    <w:rsid w:val="00B4540C"/>
    <w:rsid w:val="00B45558"/>
    <w:rsid w:val="00B457F2"/>
    <w:rsid w:val="00B45A47"/>
    <w:rsid w:val="00B46052"/>
    <w:rsid w:val="00B460A0"/>
    <w:rsid w:val="00B462F3"/>
    <w:rsid w:val="00B4651D"/>
    <w:rsid w:val="00B46752"/>
    <w:rsid w:val="00B46FAD"/>
    <w:rsid w:val="00B47273"/>
    <w:rsid w:val="00B4780E"/>
    <w:rsid w:val="00B47A37"/>
    <w:rsid w:val="00B502CC"/>
    <w:rsid w:val="00B50339"/>
    <w:rsid w:val="00B50397"/>
    <w:rsid w:val="00B504B5"/>
    <w:rsid w:val="00B5057C"/>
    <w:rsid w:val="00B50825"/>
    <w:rsid w:val="00B50881"/>
    <w:rsid w:val="00B511FF"/>
    <w:rsid w:val="00B513EE"/>
    <w:rsid w:val="00B514F8"/>
    <w:rsid w:val="00B51CA4"/>
    <w:rsid w:val="00B51D70"/>
    <w:rsid w:val="00B52466"/>
    <w:rsid w:val="00B524C4"/>
    <w:rsid w:val="00B52530"/>
    <w:rsid w:val="00B525E9"/>
    <w:rsid w:val="00B52696"/>
    <w:rsid w:val="00B52D75"/>
    <w:rsid w:val="00B532AB"/>
    <w:rsid w:val="00B53319"/>
    <w:rsid w:val="00B5398A"/>
    <w:rsid w:val="00B539F8"/>
    <w:rsid w:val="00B53EB1"/>
    <w:rsid w:val="00B53F3C"/>
    <w:rsid w:val="00B53FFB"/>
    <w:rsid w:val="00B54830"/>
    <w:rsid w:val="00B54E50"/>
    <w:rsid w:val="00B54E7C"/>
    <w:rsid w:val="00B55739"/>
    <w:rsid w:val="00B55E68"/>
    <w:rsid w:val="00B55F8D"/>
    <w:rsid w:val="00B562EC"/>
    <w:rsid w:val="00B56666"/>
    <w:rsid w:val="00B56E83"/>
    <w:rsid w:val="00B57129"/>
    <w:rsid w:val="00B57573"/>
    <w:rsid w:val="00B5775E"/>
    <w:rsid w:val="00B577F4"/>
    <w:rsid w:val="00B57A58"/>
    <w:rsid w:val="00B57E4E"/>
    <w:rsid w:val="00B57EE7"/>
    <w:rsid w:val="00B60C0A"/>
    <w:rsid w:val="00B61A6B"/>
    <w:rsid w:val="00B61B8B"/>
    <w:rsid w:val="00B61CA9"/>
    <w:rsid w:val="00B61D8D"/>
    <w:rsid w:val="00B61E99"/>
    <w:rsid w:val="00B61E9C"/>
    <w:rsid w:val="00B62226"/>
    <w:rsid w:val="00B626DF"/>
    <w:rsid w:val="00B63929"/>
    <w:rsid w:val="00B63989"/>
    <w:rsid w:val="00B6399D"/>
    <w:rsid w:val="00B63AD2"/>
    <w:rsid w:val="00B63E67"/>
    <w:rsid w:val="00B63E88"/>
    <w:rsid w:val="00B6413A"/>
    <w:rsid w:val="00B641BC"/>
    <w:rsid w:val="00B64459"/>
    <w:rsid w:val="00B644A5"/>
    <w:rsid w:val="00B64F35"/>
    <w:rsid w:val="00B65481"/>
    <w:rsid w:val="00B656DD"/>
    <w:rsid w:val="00B660DC"/>
    <w:rsid w:val="00B661D5"/>
    <w:rsid w:val="00B664D9"/>
    <w:rsid w:val="00B66599"/>
    <w:rsid w:val="00B6735F"/>
    <w:rsid w:val="00B67706"/>
    <w:rsid w:val="00B678EE"/>
    <w:rsid w:val="00B67D50"/>
    <w:rsid w:val="00B67E9C"/>
    <w:rsid w:val="00B704CD"/>
    <w:rsid w:val="00B70E4F"/>
    <w:rsid w:val="00B712AA"/>
    <w:rsid w:val="00B715A2"/>
    <w:rsid w:val="00B716F8"/>
    <w:rsid w:val="00B71829"/>
    <w:rsid w:val="00B71B72"/>
    <w:rsid w:val="00B71DF6"/>
    <w:rsid w:val="00B722CB"/>
    <w:rsid w:val="00B725F9"/>
    <w:rsid w:val="00B726CF"/>
    <w:rsid w:val="00B72B20"/>
    <w:rsid w:val="00B72BE1"/>
    <w:rsid w:val="00B72D13"/>
    <w:rsid w:val="00B72E56"/>
    <w:rsid w:val="00B730BF"/>
    <w:rsid w:val="00B73E0A"/>
    <w:rsid w:val="00B73FC6"/>
    <w:rsid w:val="00B74260"/>
    <w:rsid w:val="00B74414"/>
    <w:rsid w:val="00B74592"/>
    <w:rsid w:val="00B74819"/>
    <w:rsid w:val="00B7495D"/>
    <w:rsid w:val="00B750F8"/>
    <w:rsid w:val="00B752FD"/>
    <w:rsid w:val="00B75388"/>
    <w:rsid w:val="00B756AD"/>
    <w:rsid w:val="00B75712"/>
    <w:rsid w:val="00B75780"/>
    <w:rsid w:val="00B75E32"/>
    <w:rsid w:val="00B76411"/>
    <w:rsid w:val="00B76DE4"/>
    <w:rsid w:val="00B76E57"/>
    <w:rsid w:val="00B77170"/>
    <w:rsid w:val="00B77EB9"/>
    <w:rsid w:val="00B8016D"/>
    <w:rsid w:val="00B8018C"/>
    <w:rsid w:val="00B805C8"/>
    <w:rsid w:val="00B806C8"/>
    <w:rsid w:val="00B80EE5"/>
    <w:rsid w:val="00B811B6"/>
    <w:rsid w:val="00B814B6"/>
    <w:rsid w:val="00B81539"/>
    <w:rsid w:val="00B81616"/>
    <w:rsid w:val="00B81654"/>
    <w:rsid w:val="00B8189A"/>
    <w:rsid w:val="00B81C30"/>
    <w:rsid w:val="00B81C6E"/>
    <w:rsid w:val="00B81C76"/>
    <w:rsid w:val="00B81DD6"/>
    <w:rsid w:val="00B81E0F"/>
    <w:rsid w:val="00B81E62"/>
    <w:rsid w:val="00B8203A"/>
    <w:rsid w:val="00B8226C"/>
    <w:rsid w:val="00B82E7B"/>
    <w:rsid w:val="00B83B9A"/>
    <w:rsid w:val="00B83D5F"/>
    <w:rsid w:val="00B83E92"/>
    <w:rsid w:val="00B8457C"/>
    <w:rsid w:val="00B84770"/>
    <w:rsid w:val="00B847D5"/>
    <w:rsid w:val="00B848DD"/>
    <w:rsid w:val="00B84B22"/>
    <w:rsid w:val="00B84B6F"/>
    <w:rsid w:val="00B84BD3"/>
    <w:rsid w:val="00B84E5A"/>
    <w:rsid w:val="00B84EB8"/>
    <w:rsid w:val="00B84F4D"/>
    <w:rsid w:val="00B85009"/>
    <w:rsid w:val="00B85306"/>
    <w:rsid w:val="00B8586E"/>
    <w:rsid w:val="00B859CF"/>
    <w:rsid w:val="00B85C92"/>
    <w:rsid w:val="00B85D48"/>
    <w:rsid w:val="00B85DD7"/>
    <w:rsid w:val="00B86406"/>
    <w:rsid w:val="00B86973"/>
    <w:rsid w:val="00B86B30"/>
    <w:rsid w:val="00B86BA8"/>
    <w:rsid w:val="00B86DB2"/>
    <w:rsid w:val="00B86F10"/>
    <w:rsid w:val="00B871EA"/>
    <w:rsid w:val="00B873B2"/>
    <w:rsid w:val="00B87D37"/>
    <w:rsid w:val="00B87F2D"/>
    <w:rsid w:val="00B901B6"/>
    <w:rsid w:val="00B90F41"/>
    <w:rsid w:val="00B910A9"/>
    <w:rsid w:val="00B91102"/>
    <w:rsid w:val="00B91251"/>
    <w:rsid w:val="00B91B46"/>
    <w:rsid w:val="00B91ED8"/>
    <w:rsid w:val="00B92167"/>
    <w:rsid w:val="00B9242D"/>
    <w:rsid w:val="00B92535"/>
    <w:rsid w:val="00B926D5"/>
    <w:rsid w:val="00B927B9"/>
    <w:rsid w:val="00B92B34"/>
    <w:rsid w:val="00B92C38"/>
    <w:rsid w:val="00B92C99"/>
    <w:rsid w:val="00B92FFB"/>
    <w:rsid w:val="00B93529"/>
    <w:rsid w:val="00B93E02"/>
    <w:rsid w:val="00B94BD0"/>
    <w:rsid w:val="00B95F2B"/>
    <w:rsid w:val="00B960E3"/>
    <w:rsid w:val="00B9635C"/>
    <w:rsid w:val="00B967F3"/>
    <w:rsid w:val="00B96931"/>
    <w:rsid w:val="00B96B3D"/>
    <w:rsid w:val="00B96C6D"/>
    <w:rsid w:val="00B97A3E"/>
    <w:rsid w:val="00B97C55"/>
    <w:rsid w:val="00BA0928"/>
    <w:rsid w:val="00BA101A"/>
    <w:rsid w:val="00BA1038"/>
    <w:rsid w:val="00BA1384"/>
    <w:rsid w:val="00BA1EB9"/>
    <w:rsid w:val="00BA2049"/>
    <w:rsid w:val="00BA20F2"/>
    <w:rsid w:val="00BA218C"/>
    <w:rsid w:val="00BA23C3"/>
    <w:rsid w:val="00BA26B8"/>
    <w:rsid w:val="00BA28BF"/>
    <w:rsid w:val="00BA2AE4"/>
    <w:rsid w:val="00BA2B34"/>
    <w:rsid w:val="00BA3354"/>
    <w:rsid w:val="00BA370C"/>
    <w:rsid w:val="00BA3C16"/>
    <w:rsid w:val="00BA4150"/>
    <w:rsid w:val="00BA41C1"/>
    <w:rsid w:val="00BA425A"/>
    <w:rsid w:val="00BA47BD"/>
    <w:rsid w:val="00BA4930"/>
    <w:rsid w:val="00BA4B62"/>
    <w:rsid w:val="00BA4BA5"/>
    <w:rsid w:val="00BA4C2A"/>
    <w:rsid w:val="00BA501F"/>
    <w:rsid w:val="00BA506E"/>
    <w:rsid w:val="00BA51F7"/>
    <w:rsid w:val="00BA526F"/>
    <w:rsid w:val="00BA5B33"/>
    <w:rsid w:val="00BA5DCB"/>
    <w:rsid w:val="00BA6424"/>
    <w:rsid w:val="00BA6B8D"/>
    <w:rsid w:val="00BA6CFA"/>
    <w:rsid w:val="00BA6EFC"/>
    <w:rsid w:val="00BA7143"/>
    <w:rsid w:val="00BA7A6B"/>
    <w:rsid w:val="00BA7D98"/>
    <w:rsid w:val="00BA7EC7"/>
    <w:rsid w:val="00BB01F0"/>
    <w:rsid w:val="00BB06C0"/>
    <w:rsid w:val="00BB0731"/>
    <w:rsid w:val="00BB15B8"/>
    <w:rsid w:val="00BB15EA"/>
    <w:rsid w:val="00BB1674"/>
    <w:rsid w:val="00BB1D52"/>
    <w:rsid w:val="00BB1F68"/>
    <w:rsid w:val="00BB20B6"/>
    <w:rsid w:val="00BB25AB"/>
    <w:rsid w:val="00BB2CC9"/>
    <w:rsid w:val="00BB3066"/>
    <w:rsid w:val="00BB30C8"/>
    <w:rsid w:val="00BB3A5A"/>
    <w:rsid w:val="00BB3DB2"/>
    <w:rsid w:val="00BB4476"/>
    <w:rsid w:val="00BB47D2"/>
    <w:rsid w:val="00BB4D2A"/>
    <w:rsid w:val="00BB4D47"/>
    <w:rsid w:val="00BB4E28"/>
    <w:rsid w:val="00BB4E8F"/>
    <w:rsid w:val="00BB51D6"/>
    <w:rsid w:val="00BB5316"/>
    <w:rsid w:val="00BB5356"/>
    <w:rsid w:val="00BB563C"/>
    <w:rsid w:val="00BB58CD"/>
    <w:rsid w:val="00BB5A58"/>
    <w:rsid w:val="00BB5DC3"/>
    <w:rsid w:val="00BB5F6A"/>
    <w:rsid w:val="00BB635C"/>
    <w:rsid w:val="00BB67CC"/>
    <w:rsid w:val="00BB6A16"/>
    <w:rsid w:val="00BB6D3F"/>
    <w:rsid w:val="00BB6E29"/>
    <w:rsid w:val="00BB6F99"/>
    <w:rsid w:val="00BB70BD"/>
    <w:rsid w:val="00BB71BA"/>
    <w:rsid w:val="00BB76D3"/>
    <w:rsid w:val="00BB7BCD"/>
    <w:rsid w:val="00BC0858"/>
    <w:rsid w:val="00BC0F75"/>
    <w:rsid w:val="00BC10FB"/>
    <w:rsid w:val="00BC11E2"/>
    <w:rsid w:val="00BC15B3"/>
    <w:rsid w:val="00BC1CA9"/>
    <w:rsid w:val="00BC1EBE"/>
    <w:rsid w:val="00BC2038"/>
    <w:rsid w:val="00BC20C6"/>
    <w:rsid w:val="00BC240E"/>
    <w:rsid w:val="00BC2B89"/>
    <w:rsid w:val="00BC2BCE"/>
    <w:rsid w:val="00BC2D9F"/>
    <w:rsid w:val="00BC2E05"/>
    <w:rsid w:val="00BC2FBF"/>
    <w:rsid w:val="00BC32F4"/>
    <w:rsid w:val="00BC3305"/>
    <w:rsid w:val="00BC3376"/>
    <w:rsid w:val="00BC3529"/>
    <w:rsid w:val="00BC371A"/>
    <w:rsid w:val="00BC3948"/>
    <w:rsid w:val="00BC3B6B"/>
    <w:rsid w:val="00BC4830"/>
    <w:rsid w:val="00BC50D4"/>
    <w:rsid w:val="00BC54D6"/>
    <w:rsid w:val="00BC54F7"/>
    <w:rsid w:val="00BC568F"/>
    <w:rsid w:val="00BC58D5"/>
    <w:rsid w:val="00BC5C38"/>
    <w:rsid w:val="00BC6150"/>
    <w:rsid w:val="00BC6281"/>
    <w:rsid w:val="00BC6D0A"/>
    <w:rsid w:val="00BC6E48"/>
    <w:rsid w:val="00BC78ED"/>
    <w:rsid w:val="00BD0048"/>
    <w:rsid w:val="00BD0400"/>
    <w:rsid w:val="00BD09A8"/>
    <w:rsid w:val="00BD0DC8"/>
    <w:rsid w:val="00BD1068"/>
    <w:rsid w:val="00BD118D"/>
    <w:rsid w:val="00BD13CE"/>
    <w:rsid w:val="00BD146E"/>
    <w:rsid w:val="00BD14BD"/>
    <w:rsid w:val="00BD14C0"/>
    <w:rsid w:val="00BD14F6"/>
    <w:rsid w:val="00BD15FB"/>
    <w:rsid w:val="00BD168D"/>
    <w:rsid w:val="00BD16E7"/>
    <w:rsid w:val="00BD178A"/>
    <w:rsid w:val="00BD1BFE"/>
    <w:rsid w:val="00BD1DE5"/>
    <w:rsid w:val="00BD2182"/>
    <w:rsid w:val="00BD284D"/>
    <w:rsid w:val="00BD2F57"/>
    <w:rsid w:val="00BD2F59"/>
    <w:rsid w:val="00BD3063"/>
    <w:rsid w:val="00BD3210"/>
    <w:rsid w:val="00BD3213"/>
    <w:rsid w:val="00BD3A2C"/>
    <w:rsid w:val="00BD3EC5"/>
    <w:rsid w:val="00BD3F1A"/>
    <w:rsid w:val="00BD41A4"/>
    <w:rsid w:val="00BD452A"/>
    <w:rsid w:val="00BD4A34"/>
    <w:rsid w:val="00BD4C2F"/>
    <w:rsid w:val="00BD4FA6"/>
    <w:rsid w:val="00BD52E6"/>
    <w:rsid w:val="00BD53CB"/>
    <w:rsid w:val="00BD58B1"/>
    <w:rsid w:val="00BD62AE"/>
    <w:rsid w:val="00BD6696"/>
    <w:rsid w:val="00BD6BCE"/>
    <w:rsid w:val="00BD6FA0"/>
    <w:rsid w:val="00BD6FD1"/>
    <w:rsid w:val="00BD7082"/>
    <w:rsid w:val="00BD70CF"/>
    <w:rsid w:val="00BD738C"/>
    <w:rsid w:val="00BD7898"/>
    <w:rsid w:val="00BD7B0D"/>
    <w:rsid w:val="00BE005F"/>
    <w:rsid w:val="00BE00E6"/>
    <w:rsid w:val="00BE0991"/>
    <w:rsid w:val="00BE10AD"/>
    <w:rsid w:val="00BE1343"/>
    <w:rsid w:val="00BE16AF"/>
    <w:rsid w:val="00BE175E"/>
    <w:rsid w:val="00BE1B16"/>
    <w:rsid w:val="00BE1B23"/>
    <w:rsid w:val="00BE1DCC"/>
    <w:rsid w:val="00BE2389"/>
    <w:rsid w:val="00BE2479"/>
    <w:rsid w:val="00BE26A8"/>
    <w:rsid w:val="00BE29BE"/>
    <w:rsid w:val="00BE2EAA"/>
    <w:rsid w:val="00BE3103"/>
    <w:rsid w:val="00BE374B"/>
    <w:rsid w:val="00BE384E"/>
    <w:rsid w:val="00BE39F5"/>
    <w:rsid w:val="00BE3B42"/>
    <w:rsid w:val="00BE3D0D"/>
    <w:rsid w:val="00BE3D52"/>
    <w:rsid w:val="00BE3E70"/>
    <w:rsid w:val="00BE3F44"/>
    <w:rsid w:val="00BE4281"/>
    <w:rsid w:val="00BE44A0"/>
    <w:rsid w:val="00BE44E1"/>
    <w:rsid w:val="00BE4E26"/>
    <w:rsid w:val="00BE4EC0"/>
    <w:rsid w:val="00BE55D9"/>
    <w:rsid w:val="00BE584A"/>
    <w:rsid w:val="00BE5A48"/>
    <w:rsid w:val="00BE5E7C"/>
    <w:rsid w:val="00BE6298"/>
    <w:rsid w:val="00BE649D"/>
    <w:rsid w:val="00BE6546"/>
    <w:rsid w:val="00BE6948"/>
    <w:rsid w:val="00BE6EE3"/>
    <w:rsid w:val="00BE704A"/>
    <w:rsid w:val="00BE7280"/>
    <w:rsid w:val="00BE76C2"/>
    <w:rsid w:val="00BE7D02"/>
    <w:rsid w:val="00BE7D4D"/>
    <w:rsid w:val="00BF010E"/>
    <w:rsid w:val="00BF0251"/>
    <w:rsid w:val="00BF0484"/>
    <w:rsid w:val="00BF08D8"/>
    <w:rsid w:val="00BF0947"/>
    <w:rsid w:val="00BF09E3"/>
    <w:rsid w:val="00BF0B29"/>
    <w:rsid w:val="00BF15B9"/>
    <w:rsid w:val="00BF2A3D"/>
    <w:rsid w:val="00BF2F2A"/>
    <w:rsid w:val="00BF3003"/>
    <w:rsid w:val="00BF31D3"/>
    <w:rsid w:val="00BF4085"/>
    <w:rsid w:val="00BF45A3"/>
    <w:rsid w:val="00BF4700"/>
    <w:rsid w:val="00BF47B7"/>
    <w:rsid w:val="00BF4EAE"/>
    <w:rsid w:val="00BF51C8"/>
    <w:rsid w:val="00BF530A"/>
    <w:rsid w:val="00BF5435"/>
    <w:rsid w:val="00BF5745"/>
    <w:rsid w:val="00BF5800"/>
    <w:rsid w:val="00BF6030"/>
    <w:rsid w:val="00BF68C2"/>
    <w:rsid w:val="00BF720E"/>
    <w:rsid w:val="00BF746E"/>
    <w:rsid w:val="00BF7809"/>
    <w:rsid w:val="00BF78AD"/>
    <w:rsid w:val="00BF794D"/>
    <w:rsid w:val="00BF7B19"/>
    <w:rsid w:val="00BF7B37"/>
    <w:rsid w:val="00BF7B63"/>
    <w:rsid w:val="00BF7FA8"/>
    <w:rsid w:val="00C0024D"/>
    <w:rsid w:val="00C003E8"/>
    <w:rsid w:val="00C00F7F"/>
    <w:rsid w:val="00C0108F"/>
    <w:rsid w:val="00C01129"/>
    <w:rsid w:val="00C011EC"/>
    <w:rsid w:val="00C01AD0"/>
    <w:rsid w:val="00C0260D"/>
    <w:rsid w:val="00C026B6"/>
    <w:rsid w:val="00C02788"/>
    <w:rsid w:val="00C02D4A"/>
    <w:rsid w:val="00C02D5F"/>
    <w:rsid w:val="00C03348"/>
    <w:rsid w:val="00C0337F"/>
    <w:rsid w:val="00C03436"/>
    <w:rsid w:val="00C03D0A"/>
    <w:rsid w:val="00C03F77"/>
    <w:rsid w:val="00C03FE5"/>
    <w:rsid w:val="00C0424D"/>
    <w:rsid w:val="00C042AB"/>
    <w:rsid w:val="00C0458D"/>
    <w:rsid w:val="00C04A66"/>
    <w:rsid w:val="00C055FF"/>
    <w:rsid w:val="00C05728"/>
    <w:rsid w:val="00C05C7D"/>
    <w:rsid w:val="00C05E94"/>
    <w:rsid w:val="00C0618B"/>
    <w:rsid w:val="00C063E2"/>
    <w:rsid w:val="00C0642F"/>
    <w:rsid w:val="00C06537"/>
    <w:rsid w:val="00C06817"/>
    <w:rsid w:val="00C06866"/>
    <w:rsid w:val="00C069B1"/>
    <w:rsid w:val="00C06DF6"/>
    <w:rsid w:val="00C06F1C"/>
    <w:rsid w:val="00C06F6F"/>
    <w:rsid w:val="00C0711F"/>
    <w:rsid w:val="00C0777A"/>
    <w:rsid w:val="00C07929"/>
    <w:rsid w:val="00C07CB3"/>
    <w:rsid w:val="00C07D83"/>
    <w:rsid w:val="00C1006D"/>
    <w:rsid w:val="00C10179"/>
    <w:rsid w:val="00C1040F"/>
    <w:rsid w:val="00C10FD6"/>
    <w:rsid w:val="00C110B3"/>
    <w:rsid w:val="00C115FD"/>
    <w:rsid w:val="00C13128"/>
    <w:rsid w:val="00C1317A"/>
    <w:rsid w:val="00C13420"/>
    <w:rsid w:val="00C1348B"/>
    <w:rsid w:val="00C13ACC"/>
    <w:rsid w:val="00C13B60"/>
    <w:rsid w:val="00C13FCE"/>
    <w:rsid w:val="00C1422D"/>
    <w:rsid w:val="00C143D8"/>
    <w:rsid w:val="00C1451A"/>
    <w:rsid w:val="00C14573"/>
    <w:rsid w:val="00C14AA0"/>
    <w:rsid w:val="00C150CA"/>
    <w:rsid w:val="00C1521E"/>
    <w:rsid w:val="00C157D2"/>
    <w:rsid w:val="00C159C5"/>
    <w:rsid w:val="00C15B96"/>
    <w:rsid w:val="00C15C0F"/>
    <w:rsid w:val="00C15C75"/>
    <w:rsid w:val="00C162F0"/>
    <w:rsid w:val="00C168ED"/>
    <w:rsid w:val="00C16CC3"/>
    <w:rsid w:val="00C16DB4"/>
    <w:rsid w:val="00C172AB"/>
    <w:rsid w:val="00C17657"/>
    <w:rsid w:val="00C17696"/>
    <w:rsid w:val="00C17888"/>
    <w:rsid w:val="00C17D08"/>
    <w:rsid w:val="00C17D50"/>
    <w:rsid w:val="00C17FDA"/>
    <w:rsid w:val="00C20C5E"/>
    <w:rsid w:val="00C2158E"/>
    <w:rsid w:val="00C21A91"/>
    <w:rsid w:val="00C22164"/>
    <w:rsid w:val="00C221C7"/>
    <w:rsid w:val="00C22503"/>
    <w:rsid w:val="00C2273F"/>
    <w:rsid w:val="00C22957"/>
    <w:rsid w:val="00C22D3E"/>
    <w:rsid w:val="00C23045"/>
    <w:rsid w:val="00C23750"/>
    <w:rsid w:val="00C237AC"/>
    <w:rsid w:val="00C2385C"/>
    <w:rsid w:val="00C23BEC"/>
    <w:rsid w:val="00C23CB4"/>
    <w:rsid w:val="00C23CC6"/>
    <w:rsid w:val="00C24422"/>
    <w:rsid w:val="00C245AD"/>
    <w:rsid w:val="00C24CCA"/>
    <w:rsid w:val="00C24E9D"/>
    <w:rsid w:val="00C252FB"/>
    <w:rsid w:val="00C257FC"/>
    <w:rsid w:val="00C25832"/>
    <w:rsid w:val="00C258A6"/>
    <w:rsid w:val="00C25C17"/>
    <w:rsid w:val="00C25D39"/>
    <w:rsid w:val="00C25E4A"/>
    <w:rsid w:val="00C26324"/>
    <w:rsid w:val="00C265CC"/>
    <w:rsid w:val="00C266DD"/>
    <w:rsid w:val="00C2675E"/>
    <w:rsid w:val="00C26C2A"/>
    <w:rsid w:val="00C272F8"/>
    <w:rsid w:val="00C2756D"/>
    <w:rsid w:val="00C27AF5"/>
    <w:rsid w:val="00C27E5C"/>
    <w:rsid w:val="00C30158"/>
    <w:rsid w:val="00C30248"/>
    <w:rsid w:val="00C30485"/>
    <w:rsid w:val="00C3089E"/>
    <w:rsid w:val="00C308FF"/>
    <w:rsid w:val="00C31372"/>
    <w:rsid w:val="00C31F2E"/>
    <w:rsid w:val="00C32409"/>
    <w:rsid w:val="00C32419"/>
    <w:rsid w:val="00C327F0"/>
    <w:rsid w:val="00C328FA"/>
    <w:rsid w:val="00C32C47"/>
    <w:rsid w:val="00C32D44"/>
    <w:rsid w:val="00C32DA4"/>
    <w:rsid w:val="00C330A4"/>
    <w:rsid w:val="00C33548"/>
    <w:rsid w:val="00C33B48"/>
    <w:rsid w:val="00C34501"/>
    <w:rsid w:val="00C3462F"/>
    <w:rsid w:val="00C3469E"/>
    <w:rsid w:val="00C3472B"/>
    <w:rsid w:val="00C34A4D"/>
    <w:rsid w:val="00C34CE3"/>
    <w:rsid w:val="00C34EBD"/>
    <w:rsid w:val="00C350F2"/>
    <w:rsid w:val="00C35234"/>
    <w:rsid w:val="00C3547E"/>
    <w:rsid w:val="00C35E9B"/>
    <w:rsid w:val="00C35FC8"/>
    <w:rsid w:val="00C35FF3"/>
    <w:rsid w:val="00C3644E"/>
    <w:rsid w:val="00C366AD"/>
    <w:rsid w:val="00C3686C"/>
    <w:rsid w:val="00C368C2"/>
    <w:rsid w:val="00C36A60"/>
    <w:rsid w:val="00C36B93"/>
    <w:rsid w:val="00C36D5D"/>
    <w:rsid w:val="00C36F34"/>
    <w:rsid w:val="00C37142"/>
    <w:rsid w:val="00C3714F"/>
    <w:rsid w:val="00C40047"/>
    <w:rsid w:val="00C40104"/>
    <w:rsid w:val="00C4082F"/>
    <w:rsid w:val="00C40DFD"/>
    <w:rsid w:val="00C40EA3"/>
    <w:rsid w:val="00C40ED4"/>
    <w:rsid w:val="00C40EE6"/>
    <w:rsid w:val="00C41064"/>
    <w:rsid w:val="00C41244"/>
    <w:rsid w:val="00C41691"/>
    <w:rsid w:val="00C41803"/>
    <w:rsid w:val="00C41FC1"/>
    <w:rsid w:val="00C42146"/>
    <w:rsid w:val="00C42351"/>
    <w:rsid w:val="00C42DC2"/>
    <w:rsid w:val="00C42E65"/>
    <w:rsid w:val="00C42ECD"/>
    <w:rsid w:val="00C42F32"/>
    <w:rsid w:val="00C43BF8"/>
    <w:rsid w:val="00C4404A"/>
    <w:rsid w:val="00C44522"/>
    <w:rsid w:val="00C44601"/>
    <w:rsid w:val="00C448BA"/>
    <w:rsid w:val="00C4499B"/>
    <w:rsid w:val="00C44A97"/>
    <w:rsid w:val="00C44C7F"/>
    <w:rsid w:val="00C44DDC"/>
    <w:rsid w:val="00C451E0"/>
    <w:rsid w:val="00C453F8"/>
    <w:rsid w:val="00C454EE"/>
    <w:rsid w:val="00C458AB"/>
    <w:rsid w:val="00C45A6A"/>
    <w:rsid w:val="00C45BBC"/>
    <w:rsid w:val="00C46224"/>
    <w:rsid w:val="00C462F1"/>
    <w:rsid w:val="00C4691B"/>
    <w:rsid w:val="00C46DFD"/>
    <w:rsid w:val="00C47021"/>
    <w:rsid w:val="00C471B9"/>
    <w:rsid w:val="00C471E1"/>
    <w:rsid w:val="00C47568"/>
    <w:rsid w:val="00C47A30"/>
    <w:rsid w:val="00C47D00"/>
    <w:rsid w:val="00C504DE"/>
    <w:rsid w:val="00C50504"/>
    <w:rsid w:val="00C505CF"/>
    <w:rsid w:val="00C50654"/>
    <w:rsid w:val="00C50879"/>
    <w:rsid w:val="00C50ACA"/>
    <w:rsid w:val="00C50B5F"/>
    <w:rsid w:val="00C50CF9"/>
    <w:rsid w:val="00C50D43"/>
    <w:rsid w:val="00C50EB3"/>
    <w:rsid w:val="00C50F01"/>
    <w:rsid w:val="00C51195"/>
    <w:rsid w:val="00C513B8"/>
    <w:rsid w:val="00C51C53"/>
    <w:rsid w:val="00C51CEC"/>
    <w:rsid w:val="00C51E73"/>
    <w:rsid w:val="00C521ED"/>
    <w:rsid w:val="00C52F6E"/>
    <w:rsid w:val="00C5320F"/>
    <w:rsid w:val="00C53246"/>
    <w:rsid w:val="00C533C8"/>
    <w:rsid w:val="00C53486"/>
    <w:rsid w:val="00C5357D"/>
    <w:rsid w:val="00C53921"/>
    <w:rsid w:val="00C5433A"/>
    <w:rsid w:val="00C54522"/>
    <w:rsid w:val="00C54859"/>
    <w:rsid w:val="00C54AF2"/>
    <w:rsid w:val="00C54E73"/>
    <w:rsid w:val="00C5517A"/>
    <w:rsid w:val="00C5537C"/>
    <w:rsid w:val="00C554F9"/>
    <w:rsid w:val="00C555CA"/>
    <w:rsid w:val="00C5575C"/>
    <w:rsid w:val="00C559B0"/>
    <w:rsid w:val="00C55AD0"/>
    <w:rsid w:val="00C55C1B"/>
    <w:rsid w:val="00C5627C"/>
    <w:rsid w:val="00C56A10"/>
    <w:rsid w:val="00C56CAE"/>
    <w:rsid w:val="00C56E6B"/>
    <w:rsid w:val="00C56FD0"/>
    <w:rsid w:val="00C5704E"/>
    <w:rsid w:val="00C57966"/>
    <w:rsid w:val="00C57FDF"/>
    <w:rsid w:val="00C602FC"/>
    <w:rsid w:val="00C605F6"/>
    <w:rsid w:val="00C6075E"/>
    <w:rsid w:val="00C60893"/>
    <w:rsid w:val="00C609E1"/>
    <w:rsid w:val="00C60EBE"/>
    <w:rsid w:val="00C60F9F"/>
    <w:rsid w:val="00C60FB7"/>
    <w:rsid w:val="00C60FBA"/>
    <w:rsid w:val="00C6108C"/>
    <w:rsid w:val="00C61424"/>
    <w:rsid w:val="00C615F7"/>
    <w:rsid w:val="00C6163B"/>
    <w:rsid w:val="00C618BA"/>
    <w:rsid w:val="00C61BEA"/>
    <w:rsid w:val="00C61DF0"/>
    <w:rsid w:val="00C62200"/>
    <w:rsid w:val="00C623DC"/>
    <w:rsid w:val="00C624D4"/>
    <w:rsid w:val="00C62C50"/>
    <w:rsid w:val="00C63352"/>
    <w:rsid w:val="00C633F1"/>
    <w:rsid w:val="00C63989"/>
    <w:rsid w:val="00C641E5"/>
    <w:rsid w:val="00C64225"/>
    <w:rsid w:val="00C643B4"/>
    <w:rsid w:val="00C6470D"/>
    <w:rsid w:val="00C64748"/>
    <w:rsid w:val="00C648D4"/>
    <w:rsid w:val="00C64B96"/>
    <w:rsid w:val="00C64C91"/>
    <w:rsid w:val="00C64EA2"/>
    <w:rsid w:val="00C64EDB"/>
    <w:rsid w:val="00C65270"/>
    <w:rsid w:val="00C6564D"/>
    <w:rsid w:val="00C65A0F"/>
    <w:rsid w:val="00C65C1F"/>
    <w:rsid w:val="00C661AE"/>
    <w:rsid w:val="00C665D9"/>
    <w:rsid w:val="00C667A6"/>
    <w:rsid w:val="00C66D47"/>
    <w:rsid w:val="00C67085"/>
    <w:rsid w:val="00C67459"/>
    <w:rsid w:val="00C67F63"/>
    <w:rsid w:val="00C70173"/>
    <w:rsid w:val="00C707C6"/>
    <w:rsid w:val="00C70989"/>
    <w:rsid w:val="00C709A4"/>
    <w:rsid w:val="00C70AA4"/>
    <w:rsid w:val="00C71087"/>
    <w:rsid w:val="00C713D8"/>
    <w:rsid w:val="00C7145C"/>
    <w:rsid w:val="00C7146E"/>
    <w:rsid w:val="00C71563"/>
    <w:rsid w:val="00C71723"/>
    <w:rsid w:val="00C7190C"/>
    <w:rsid w:val="00C72014"/>
    <w:rsid w:val="00C72336"/>
    <w:rsid w:val="00C729A5"/>
    <w:rsid w:val="00C72A82"/>
    <w:rsid w:val="00C72EB1"/>
    <w:rsid w:val="00C72F01"/>
    <w:rsid w:val="00C7304F"/>
    <w:rsid w:val="00C732B2"/>
    <w:rsid w:val="00C73C7E"/>
    <w:rsid w:val="00C73CB9"/>
    <w:rsid w:val="00C73F2F"/>
    <w:rsid w:val="00C74191"/>
    <w:rsid w:val="00C7424D"/>
    <w:rsid w:val="00C744E0"/>
    <w:rsid w:val="00C74713"/>
    <w:rsid w:val="00C747C6"/>
    <w:rsid w:val="00C74951"/>
    <w:rsid w:val="00C74E33"/>
    <w:rsid w:val="00C74F2A"/>
    <w:rsid w:val="00C74F5F"/>
    <w:rsid w:val="00C74FD5"/>
    <w:rsid w:val="00C75A0E"/>
    <w:rsid w:val="00C75A13"/>
    <w:rsid w:val="00C75D67"/>
    <w:rsid w:val="00C7614C"/>
    <w:rsid w:val="00C763E2"/>
    <w:rsid w:val="00C76729"/>
    <w:rsid w:val="00C770A7"/>
    <w:rsid w:val="00C77537"/>
    <w:rsid w:val="00C777B0"/>
    <w:rsid w:val="00C778DB"/>
    <w:rsid w:val="00C77BAC"/>
    <w:rsid w:val="00C77C80"/>
    <w:rsid w:val="00C77DC6"/>
    <w:rsid w:val="00C80100"/>
    <w:rsid w:val="00C804EB"/>
    <w:rsid w:val="00C8064D"/>
    <w:rsid w:val="00C80859"/>
    <w:rsid w:val="00C80C0F"/>
    <w:rsid w:val="00C812D4"/>
    <w:rsid w:val="00C81C97"/>
    <w:rsid w:val="00C81E0E"/>
    <w:rsid w:val="00C820AD"/>
    <w:rsid w:val="00C821D1"/>
    <w:rsid w:val="00C82438"/>
    <w:rsid w:val="00C828B5"/>
    <w:rsid w:val="00C82BAC"/>
    <w:rsid w:val="00C82C98"/>
    <w:rsid w:val="00C83A45"/>
    <w:rsid w:val="00C8424F"/>
    <w:rsid w:val="00C8432F"/>
    <w:rsid w:val="00C847EE"/>
    <w:rsid w:val="00C84A2B"/>
    <w:rsid w:val="00C84BA2"/>
    <w:rsid w:val="00C850F8"/>
    <w:rsid w:val="00C85147"/>
    <w:rsid w:val="00C85185"/>
    <w:rsid w:val="00C85481"/>
    <w:rsid w:val="00C85681"/>
    <w:rsid w:val="00C85C90"/>
    <w:rsid w:val="00C85F06"/>
    <w:rsid w:val="00C864B3"/>
    <w:rsid w:val="00C86762"/>
    <w:rsid w:val="00C86ABB"/>
    <w:rsid w:val="00C86BED"/>
    <w:rsid w:val="00C86E8C"/>
    <w:rsid w:val="00C870A0"/>
    <w:rsid w:val="00C87412"/>
    <w:rsid w:val="00C87447"/>
    <w:rsid w:val="00C878D6"/>
    <w:rsid w:val="00C8798B"/>
    <w:rsid w:val="00C87B76"/>
    <w:rsid w:val="00C87CF5"/>
    <w:rsid w:val="00C87F04"/>
    <w:rsid w:val="00C87F7E"/>
    <w:rsid w:val="00C909BC"/>
    <w:rsid w:val="00C91158"/>
    <w:rsid w:val="00C9122B"/>
    <w:rsid w:val="00C91284"/>
    <w:rsid w:val="00C913E0"/>
    <w:rsid w:val="00C91712"/>
    <w:rsid w:val="00C91FBC"/>
    <w:rsid w:val="00C91FD2"/>
    <w:rsid w:val="00C9200A"/>
    <w:rsid w:val="00C921C5"/>
    <w:rsid w:val="00C92384"/>
    <w:rsid w:val="00C93467"/>
    <w:rsid w:val="00C93895"/>
    <w:rsid w:val="00C9396F"/>
    <w:rsid w:val="00C93A68"/>
    <w:rsid w:val="00C93B4F"/>
    <w:rsid w:val="00C94782"/>
    <w:rsid w:val="00C94B93"/>
    <w:rsid w:val="00C94BD4"/>
    <w:rsid w:val="00C94E87"/>
    <w:rsid w:val="00C952E7"/>
    <w:rsid w:val="00C95480"/>
    <w:rsid w:val="00C954B5"/>
    <w:rsid w:val="00C95950"/>
    <w:rsid w:val="00C96351"/>
    <w:rsid w:val="00C96811"/>
    <w:rsid w:val="00C9752B"/>
    <w:rsid w:val="00C97AF6"/>
    <w:rsid w:val="00C97EDA"/>
    <w:rsid w:val="00C97F50"/>
    <w:rsid w:val="00CA03A3"/>
    <w:rsid w:val="00CA0A87"/>
    <w:rsid w:val="00CA0B41"/>
    <w:rsid w:val="00CA0C2A"/>
    <w:rsid w:val="00CA0CA5"/>
    <w:rsid w:val="00CA12DF"/>
    <w:rsid w:val="00CA1364"/>
    <w:rsid w:val="00CA188D"/>
    <w:rsid w:val="00CA1C21"/>
    <w:rsid w:val="00CA2D18"/>
    <w:rsid w:val="00CA2D45"/>
    <w:rsid w:val="00CA2D64"/>
    <w:rsid w:val="00CA2EC2"/>
    <w:rsid w:val="00CA2F73"/>
    <w:rsid w:val="00CA30BE"/>
    <w:rsid w:val="00CA30F3"/>
    <w:rsid w:val="00CA34C9"/>
    <w:rsid w:val="00CA3878"/>
    <w:rsid w:val="00CA38A0"/>
    <w:rsid w:val="00CA3E37"/>
    <w:rsid w:val="00CA4949"/>
    <w:rsid w:val="00CA4A65"/>
    <w:rsid w:val="00CA4D00"/>
    <w:rsid w:val="00CA538F"/>
    <w:rsid w:val="00CA58A0"/>
    <w:rsid w:val="00CA5E4C"/>
    <w:rsid w:val="00CA626E"/>
    <w:rsid w:val="00CA6857"/>
    <w:rsid w:val="00CA6870"/>
    <w:rsid w:val="00CA6A3E"/>
    <w:rsid w:val="00CA6A8F"/>
    <w:rsid w:val="00CA6DA3"/>
    <w:rsid w:val="00CA6FAC"/>
    <w:rsid w:val="00CA7100"/>
    <w:rsid w:val="00CA7761"/>
    <w:rsid w:val="00CA7ABF"/>
    <w:rsid w:val="00CB0101"/>
    <w:rsid w:val="00CB0169"/>
    <w:rsid w:val="00CB071C"/>
    <w:rsid w:val="00CB08E6"/>
    <w:rsid w:val="00CB0A40"/>
    <w:rsid w:val="00CB0AB9"/>
    <w:rsid w:val="00CB0D1F"/>
    <w:rsid w:val="00CB0D34"/>
    <w:rsid w:val="00CB0F4B"/>
    <w:rsid w:val="00CB13B2"/>
    <w:rsid w:val="00CB20DC"/>
    <w:rsid w:val="00CB22DF"/>
    <w:rsid w:val="00CB258B"/>
    <w:rsid w:val="00CB2AEA"/>
    <w:rsid w:val="00CB347B"/>
    <w:rsid w:val="00CB38CE"/>
    <w:rsid w:val="00CB3DD8"/>
    <w:rsid w:val="00CB4043"/>
    <w:rsid w:val="00CB426F"/>
    <w:rsid w:val="00CB4320"/>
    <w:rsid w:val="00CB4537"/>
    <w:rsid w:val="00CB486B"/>
    <w:rsid w:val="00CB4A95"/>
    <w:rsid w:val="00CB4BAD"/>
    <w:rsid w:val="00CB4C1D"/>
    <w:rsid w:val="00CB4DEE"/>
    <w:rsid w:val="00CB4EFB"/>
    <w:rsid w:val="00CB5018"/>
    <w:rsid w:val="00CB559B"/>
    <w:rsid w:val="00CB5880"/>
    <w:rsid w:val="00CB5FEA"/>
    <w:rsid w:val="00CB6304"/>
    <w:rsid w:val="00CB7360"/>
    <w:rsid w:val="00CB7488"/>
    <w:rsid w:val="00CB773E"/>
    <w:rsid w:val="00CB7D3D"/>
    <w:rsid w:val="00CB7EF4"/>
    <w:rsid w:val="00CC04E2"/>
    <w:rsid w:val="00CC090B"/>
    <w:rsid w:val="00CC0DEC"/>
    <w:rsid w:val="00CC0EB7"/>
    <w:rsid w:val="00CC130D"/>
    <w:rsid w:val="00CC168E"/>
    <w:rsid w:val="00CC17DC"/>
    <w:rsid w:val="00CC18C9"/>
    <w:rsid w:val="00CC1AB9"/>
    <w:rsid w:val="00CC1BAB"/>
    <w:rsid w:val="00CC1F64"/>
    <w:rsid w:val="00CC2082"/>
    <w:rsid w:val="00CC2319"/>
    <w:rsid w:val="00CC237D"/>
    <w:rsid w:val="00CC23A2"/>
    <w:rsid w:val="00CC23E6"/>
    <w:rsid w:val="00CC25F2"/>
    <w:rsid w:val="00CC3101"/>
    <w:rsid w:val="00CC3233"/>
    <w:rsid w:val="00CC383E"/>
    <w:rsid w:val="00CC3ABE"/>
    <w:rsid w:val="00CC3C6A"/>
    <w:rsid w:val="00CC3D1B"/>
    <w:rsid w:val="00CC4177"/>
    <w:rsid w:val="00CC4683"/>
    <w:rsid w:val="00CC4C1C"/>
    <w:rsid w:val="00CC5320"/>
    <w:rsid w:val="00CC54AD"/>
    <w:rsid w:val="00CC58AD"/>
    <w:rsid w:val="00CC5C77"/>
    <w:rsid w:val="00CC5C97"/>
    <w:rsid w:val="00CC5DBB"/>
    <w:rsid w:val="00CC5EB2"/>
    <w:rsid w:val="00CC606F"/>
    <w:rsid w:val="00CC63B4"/>
    <w:rsid w:val="00CC6935"/>
    <w:rsid w:val="00CC6991"/>
    <w:rsid w:val="00CC6B3E"/>
    <w:rsid w:val="00CC6EC3"/>
    <w:rsid w:val="00CC726A"/>
    <w:rsid w:val="00CC749F"/>
    <w:rsid w:val="00CC759C"/>
    <w:rsid w:val="00CC7B81"/>
    <w:rsid w:val="00CC7CF6"/>
    <w:rsid w:val="00CC7EA2"/>
    <w:rsid w:val="00CD01A0"/>
    <w:rsid w:val="00CD0250"/>
    <w:rsid w:val="00CD03EC"/>
    <w:rsid w:val="00CD0719"/>
    <w:rsid w:val="00CD08E6"/>
    <w:rsid w:val="00CD0C4D"/>
    <w:rsid w:val="00CD0D14"/>
    <w:rsid w:val="00CD0EF9"/>
    <w:rsid w:val="00CD14EF"/>
    <w:rsid w:val="00CD1806"/>
    <w:rsid w:val="00CD1866"/>
    <w:rsid w:val="00CD1957"/>
    <w:rsid w:val="00CD1A28"/>
    <w:rsid w:val="00CD1B84"/>
    <w:rsid w:val="00CD1DF4"/>
    <w:rsid w:val="00CD21B2"/>
    <w:rsid w:val="00CD2429"/>
    <w:rsid w:val="00CD2457"/>
    <w:rsid w:val="00CD248A"/>
    <w:rsid w:val="00CD277A"/>
    <w:rsid w:val="00CD2AB8"/>
    <w:rsid w:val="00CD2AEF"/>
    <w:rsid w:val="00CD2B12"/>
    <w:rsid w:val="00CD2BA7"/>
    <w:rsid w:val="00CD2D44"/>
    <w:rsid w:val="00CD2D4D"/>
    <w:rsid w:val="00CD3BE3"/>
    <w:rsid w:val="00CD3EAA"/>
    <w:rsid w:val="00CD43C0"/>
    <w:rsid w:val="00CD4C53"/>
    <w:rsid w:val="00CD4CCE"/>
    <w:rsid w:val="00CD560B"/>
    <w:rsid w:val="00CD5CC0"/>
    <w:rsid w:val="00CD5D37"/>
    <w:rsid w:val="00CD5E73"/>
    <w:rsid w:val="00CD60B1"/>
    <w:rsid w:val="00CD6156"/>
    <w:rsid w:val="00CD618C"/>
    <w:rsid w:val="00CD6C86"/>
    <w:rsid w:val="00CD6D99"/>
    <w:rsid w:val="00CD6F39"/>
    <w:rsid w:val="00CD7449"/>
    <w:rsid w:val="00CD7870"/>
    <w:rsid w:val="00CD791A"/>
    <w:rsid w:val="00CD7BB7"/>
    <w:rsid w:val="00CD7C2B"/>
    <w:rsid w:val="00CD7E0A"/>
    <w:rsid w:val="00CE00B6"/>
    <w:rsid w:val="00CE0203"/>
    <w:rsid w:val="00CE0F8E"/>
    <w:rsid w:val="00CE123E"/>
    <w:rsid w:val="00CE18EC"/>
    <w:rsid w:val="00CE1F23"/>
    <w:rsid w:val="00CE2413"/>
    <w:rsid w:val="00CE29BC"/>
    <w:rsid w:val="00CE2DE2"/>
    <w:rsid w:val="00CE2F4A"/>
    <w:rsid w:val="00CE2FE8"/>
    <w:rsid w:val="00CE31CA"/>
    <w:rsid w:val="00CE33D7"/>
    <w:rsid w:val="00CE34E0"/>
    <w:rsid w:val="00CE35F5"/>
    <w:rsid w:val="00CE3730"/>
    <w:rsid w:val="00CE3C86"/>
    <w:rsid w:val="00CE3F71"/>
    <w:rsid w:val="00CE3FC6"/>
    <w:rsid w:val="00CE41FA"/>
    <w:rsid w:val="00CE426E"/>
    <w:rsid w:val="00CE4289"/>
    <w:rsid w:val="00CE42C0"/>
    <w:rsid w:val="00CE45B1"/>
    <w:rsid w:val="00CE46F3"/>
    <w:rsid w:val="00CE49BA"/>
    <w:rsid w:val="00CE4E02"/>
    <w:rsid w:val="00CE4F48"/>
    <w:rsid w:val="00CE50F4"/>
    <w:rsid w:val="00CE53C0"/>
    <w:rsid w:val="00CE54AD"/>
    <w:rsid w:val="00CE5511"/>
    <w:rsid w:val="00CE5AA3"/>
    <w:rsid w:val="00CE612C"/>
    <w:rsid w:val="00CE62ED"/>
    <w:rsid w:val="00CE650A"/>
    <w:rsid w:val="00CE6785"/>
    <w:rsid w:val="00CE6B42"/>
    <w:rsid w:val="00CE6B54"/>
    <w:rsid w:val="00CE6BFA"/>
    <w:rsid w:val="00CE6D7E"/>
    <w:rsid w:val="00CE6E9D"/>
    <w:rsid w:val="00CE73D6"/>
    <w:rsid w:val="00CE7694"/>
    <w:rsid w:val="00CE7C11"/>
    <w:rsid w:val="00CE7C5E"/>
    <w:rsid w:val="00CE7CA6"/>
    <w:rsid w:val="00CE7D76"/>
    <w:rsid w:val="00CE7F4A"/>
    <w:rsid w:val="00CF0E74"/>
    <w:rsid w:val="00CF107D"/>
    <w:rsid w:val="00CF1387"/>
    <w:rsid w:val="00CF1961"/>
    <w:rsid w:val="00CF1B9B"/>
    <w:rsid w:val="00CF1BDE"/>
    <w:rsid w:val="00CF23AB"/>
    <w:rsid w:val="00CF297D"/>
    <w:rsid w:val="00CF308E"/>
    <w:rsid w:val="00CF3B1F"/>
    <w:rsid w:val="00CF42B5"/>
    <w:rsid w:val="00CF43ED"/>
    <w:rsid w:val="00CF4703"/>
    <w:rsid w:val="00CF47C4"/>
    <w:rsid w:val="00CF481A"/>
    <w:rsid w:val="00CF4E42"/>
    <w:rsid w:val="00CF5078"/>
    <w:rsid w:val="00CF567D"/>
    <w:rsid w:val="00CF577A"/>
    <w:rsid w:val="00CF5B97"/>
    <w:rsid w:val="00CF5C15"/>
    <w:rsid w:val="00CF5CA1"/>
    <w:rsid w:val="00CF5CCE"/>
    <w:rsid w:val="00CF5D43"/>
    <w:rsid w:val="00CF5E69"/>
    <w:rsid w:val="00CF6037"/>
    <w:rsid w:val="00CF6039"/>
    <w:rsid w:val="00CF606F"/>
    <w:rsid w:val="00CF69B4"/>
    <w:rsid w:val="00CF6BD1"/>
    <w:rsid w:val="00CF6F0A"/>
    <w:rsid w:val="00CF724F"/>
    <w:rsid w:val="00CF7319"/>
    <w:rsid w:val="00CF74BD"/>
    <w:rsid w:val="00CF754B"/>
    <w:rsid w:val="00CF7D2C"/>
    <w:rsid w:val="00D0051C"/>
    <w:rsid w:val="00D00937"/>
    <w:rsid w:val="00D00DA5"/>
    <w:rsid w:val="00D0115C"/>
    <w:rsid w:val="00D01297"/>
    <w:rsid w:val="00D014ED"/>
    <w:rsid w:val="00D01800"/>
    <w:rsid w:val="00D01BD7"/>
    <w:rsid w:val="00D020A2"/>
    <w:rsid w:val="00D021C5"/>
    <w:rsid w:val="00D0240E"/>
    <w:rsid w:val="00D025E4"/>
    <w:rsid w:val="00D02E38"/>
    <w:rsid w:val="00D0337E"/>
    <w:rsid w:val="00D036D3"/>
    <w:rsid w:val="00D03B17"/>
    <w:rsid w:val="00D03BB3"/>
    <w:rsid w:val="00D03BD0"/>
    <w:rsid w:val="00D0424B"/>
    <w:rsid w:val="00D0430B"/>
    <w:rsid w:val="00D04633"/>
    <w:rsid w:val="00D049AE"/>
    <w:rsid w:val="00D052CC"/>
    <w:rsid w:val="00D0543A"/>
    <w:rsid w:val="00D05E1D"/>
    <w:rsid w:val="00D0604A"/>
    <w:rsid w:val="00D065B3"/>
    <w:rsid w:val="00D0687A"/>
    <w:rsid w:val="00D06B38"/>
    <w:rsid w:val="00D070B4"/>
    <w:rsid w:val="00D071C4"/>
    <w:rsid w:val="00D07844"/>
    <w:rsid w:val="00D07E49"/>
    <w:rsid w:val="00D07FA1"/>
    <w:rsid w:val="00D10008"/>
    <w:rsid w:val="00D10F7B"/>
    <w:rsid w:val="00D11386"/>
    <w:rsid w:val="00D11538"/>
    <w:rsid w:val="00D115C3"/>
    <w:rsid w:val="00D11A7E"/>
    <w:rsid w:val="00D11CDF"/>
    <w:rsid w:val="00D11E9F"/>
    <w:rsid w:val="00D12635"/>
    <w:rsid w:val="00D1263B"/>
    <w:rsid w:val="00D1278B"/>
    <w:rsid w:val="00D128E8"/>
    <w:rsid w:val="00D129C4"/>
    <w:rsid w:val="00D12E45"/>
    <w:rsid w:val="00D13210"/>
    <w:rsid w:val="00D13924"/>
    <w:rsid w:val="00D13D82"/>
    <w:rsid w:val="00D13E14"/>
    <w:rsid w:val="00D13E32"/>
    <w:rsid w:val="00D140FC"/>
    <w:rsid w:val="00D14167"/>
    <w:rsid w:val="00D14372"/>
    <w:rsid w:val="00D1491B"/>
    <w:rsid w:val="00D14D9B"/>
    <w:rsid w:val="00D156BC"/>
    <w:rsid w:val="00D15AB2"/>
    <w:rsid w:val="00D15F15"/>
    <w:rsid w:val="00D15F2F"/>
    <w:rsid w:val="00D16218"/>
    <w:rsid w:val="00D16280"/>
    <w:rsid w:val="00D166CC"/>
    <w:rsid w:val="00D1681B"/>
    <w:rsid w:val="00D16AEC"/>
    <w:rsid w:val="00D16AF8"/>
    <w:rsid w:val="00D16E38"/>
    <w:rsid w:val="00D17266"/>
    <w:rsid w:val="00D17399"/>
    <w:rsid w:val="00D17937"/>
    <w:rsid w:val="00D17D79"/>
    <w:rsid w:val="00D17DDF"/>
    <w:rsid w:val="00D2026A"/>
    <w:rsid w:val="00D20E20"/>
    <w:rsid w:val="00D20EF9"/>
    <w:rsid w:val="00D211F5"/>
    <w:rsid w:val="00D2137A"/>
    <w:rsid w:val="00D2140C"/>
    <w:rsid w:val="00D214E6"/>
    <w:rsid w:val="00D21978"/>
    <w:rsid w:val="00D21A24"/>
    <w:rsid w:val="00D21B53"/>
    <w:rsid w:val="00D21ECC"/>
    <w:rsid w:val="00D22C40"/>
    <w:rsid w:val="00D22C60"/>
    <w:rsid w:val="00D22E2C"/>
    <w:rsid w:val="00D23921"/>
    <w:rsid w:val="00D23D7A"/>
    <w:rsid w:val="00D242BF"/>
    <w:rsid w:val="00D24C22"/>
    <w:rsid w:val="00D2578D"/>
    <w:rsid w:val="00D25938"/>
    <w:rsid w:val="00D25954"/>
    <w:rsid w:val="00D25C12"/>
    <w:rsid w:val="00D26051"/>
    <w:rsid w:val="00D2616A"/>
    <w:rsid w:val="00D26299"/>
    <w:rsid w:val="00D2631E"/>
    <w:rsid w:val="00D26399"/>
    <w:rsid w:val="00D266BC"/>
    <w:rsid w:val="00D26C3C"/>
    <w:rsid w:val="00D27915"/>
    <w:rsid w:val="00D27B18"/>
    <w:rsid w:val="00D27C87"/>
    <w:rsid w:val="00D3000D"/>
    <w:rsid w:val="00D30206"/>
    <w:rsid w:val="00D302F8"/>
    <w:rsid w:val="00D306AF"/>
    <w:rsid w:val="00D307DC"/>
    <w:rsid w:val="00D30CBA"/>
    <w:rsid w:val="00D3157B"/>
    <w:rsid w:val="00D317DE"/>
    <w:rsid w:val="00D31B96"/>
    <w:rsid w:val="00D31CAA"/>
    <w:rsid w:val="00D31EC7"/>
    <w:rsid w:val="00D3208D"/>
    <w:rsid w:val="00D32128"/>
    <w:rsid w:val="00D324D6"/>
    <w:rsid w:val="00D3280F"/>
    <w:rsid w:val="00D32C56"/>
    <w:rsid w:val="00D32DE5"/>
    <w:rsid w:val="00D32EC0"/>
    <w:rsid w:val="00D33044"/>
    <w:rsid w:val="00D33298"/>
    <w:rsid w:val="00D33D00"/>
    <w:rsid w:val="00D34171"/>
    <w:rsid w:val="00D34AE6"/>
    <w:rsid w:val="00D34CAF"/>
    <w:rsid w:val="00D34D9F"/>
    <w:rsid w:val="00D35406"/>
    <w:rsid w:val="00D3550E"/>
    <w:rsid w:val="00D35590"/>
    <w:rsid w:val="00D359EA"/>
    <w:rsid w:val="00D35B72"/>
    <w:rsid w:val="00D35BBC"/>
    <w:rsid w:val="00D35C80"/>
    <w:rsid w:val="00D35EF9"/>
    <w:rsid w:val="00D35F15"/>
    <w:rsid w:val="00D3600E"/>
    <w:rsid w:val="00D3633A"/>
    <w:rsid w:val="00D36EB4"/>
    <w:rsid w:val="00D36F9A"/>
    <w:rsid w:val="00D376AD"/>
    <w:rsid w:val="00D379AF"/>
    <w:rsid w:val="00D37CD1"/>
    <w:rsid w:val="00D400F9"/>
    <w:rsid w:val="00D4016F"/>
    <w:rsid w:val="00D40730"/>
    <w:rsid w:val="00D40B75"/>
    <w:rsid w:val="00D40D79"/>
    <w:rsid w:val="00D40EE0"/>
    <w:rsid w:val="00D4131E"/>
    <w:rsid w:val="00D413A0"/>
    <w:rsid w:val="00D417E6"/>
    <w:rsid w:val="00D4187F"/>
    <w:rsid w:val="00D41A6E"/>
    <w:rsid w:val="00D41AEF"/>
    <w:rsid w:val="00D42020"/>
    <w:rsid w:val="00D42329"/>
    <w:rsid w:val="00D42332"/>
    <w:rsid w:val="00D424B6"/>
    <w:rsid w:val="00D4253A"/>
    <w:rsid w:val="00D4261B"/>
    <w:rsid w:val="00D42A29"/>
    <w:rsid w:val="00D42AAE"/>
    <w:rsid w:val="00D4377C"/>
    <w:rsid w:val="00D43A2B"/>
    <w:rsid w:val="00D43FA4"/>
    <w:rsid w:val="00D4427C"/>
    <w:rsid w:val="00D446F1"/>
    <w:rsid w:val="00D448D0"/>
    <w:rsid w:val="00D44AF3"/>
    <w:rsid w:val="00D44B1B"/>
    <w:rsid w:val="00D44B9D"/>
    <w:rsid w:val="00D44FB3"/>
    <w:rsid w:val="00D451F3"/>
    <w:rsid w:val="00D454D4"/>
    <w:rsid w:val="00D4589D"/>
    <w:rsid w:val="00D458EF"/>
    <w:rsid w:val="00D45977"/>
    <w:rsid w:val="00D45BA5"/>
    <w:rsid w:val="00D45D73"/>
    <w:rsid w:val="00D463AC"/>
    <w:rsid w:val="00D465A3"/>
    <w:rsid w:val="00D46934"/>
    <w:rsid w:val="00D476AA"/>
    <w:rsid w:val="00D47717"/>
    <w:rsid w:val="00D477E9"/>
    <w:rsid w:val="00D500C9"/>
    <w:rsid w:val="00D500E4"/>
    <w:rsid w:val="00D501F8"/>
    <w:rsid w:val="00D50A4B"/>
    <w:rsid w:val="00D50A60"/>
    <w:rsid w:val="00D50BA9"/>
    <w:rsid w:val="00D5151B"/>
    <w:rsid w:val="00D51532"/>
    <w:rsid w:val="00D51A65"/>
    <w:rsid w:val="00D521BA"/>
    <w:rsid w:val="00D52264"/>
    <w:rsid w:val="00D524AE"/>
    <w:rsid w:val="00D52541"/>
    <w:rsid w:val="00D526F3"/>
    <w:rsid w:val="00D527D4"/>
    <w:rsid w:val="00D52A51"/>
    <w:rsid w:val="00D52D05"/>
    <w:rsid w:val="00D531E4"/>
    <w:rsid w:val="00D5336C"/>
    <w:rsid w:val="00D53667"/>
    <w:rsid w:val="00D536D8"/>
    <w:rsid w:val="00D5371E"/>
    <w:rsid w:val="00D53AA2"/>
    <w:rsid w:val="00D54137"/>
    <w:rsid w:val="00D54317"/>
    <w:rsid w:val="00D5432A"/>
    <w:rsid w:val="00D54703"/>
    <w:rsid w:val="00D54A2C"/>
    <w:rsid w:val="00D54A3A"/>
    <w:rsid w:val="00D54B63"/>
    <w:rsid w:val="00D54CC3"/>
    <w:rsid w:val="00D550D1"/>
    <w:rsid w:val="00D5514B"/>
    <w:rsid w:val="00D55AF7"/>
    <w:rsid w:val="00D5613B"/>
    <w:rsid w:val="00D562B0"/>
    <w:rsid w:val="00D562F3"/>
    <w:rsid w:val="00D566EA"/>
    <w:rsid w:val="00D5676E"/>
    <w:rsid w:val="00D56FF4"/>
    <w:rsid w:val="00D570C9"/>
    <w:rsid w:val="00D570F9"/>
    <w:rsid w:val="00D57127"/>
    <w:rsid w:val="00D576C5"/>
    <w:rsid w:val="00D5782F"/>
    <w:rsid w:val="00D57B0C"/>
    <w:rsid w:val="00D6031E"/>
    <w:rsid w:val="00D6035A"/>
    <w:rsid w:val="00D60B95"/>
    <w:rsid w:val="00D60F9A"/>
    <w:rsid w:val="00D610C4"/>
    <w:rsid w:val="00D61329"/>
    <w:rsid w:val="00D613C6"/>
    <w:rsid w:val="00D613E0"/>
    <w:rsid w:val="00D61420"/>
    <w:rsid w:val="00D6157E"/>
    <w:rsid w:val="00D61AC3"/>
    <w:rsid w:val="00D61AF8"/>
    <w:rsid w:val="00D620C2"/>
    <w:rsid w:val="00D62779"/>
    <w:rsid w:val="00D62978"/>
    <w:rsid w:val="00D629C4"/>
    <w:rsid w:val="00D62BBB"/>
    <w:rsid w:val="00D62F58"/>
    <w:rsid w:val="00D63135"/>
    <w:rsid w:val="00D632CA"/>
    <w:rsid w:val="00D636AD"/>
    <w:rsid w:val="00D63B67"/>
    <w:rsid w:val="00D642AD"/>
    <w:rsid w:val="00D64381"/>
    <w:rsid w:val="00D64649"/>
    <w:rsid w:val="00D64D4A"/>
    <w:rsid w:val="00D65289"/>
    <w:rsid w:val="00D652DA"/>
    <w:rsid w:val="00D6544B"/>
    <w:rsid w:val="00D6595D"/>
    <w:rsid w:val="00D65B78"/>
    <w:rsid w:val="00D65BF4"/>
    <w:rsid w:val="00D65F4F"/>
    <w:rsid w:val="00D66098"/>
    <w:rsid w:val="00D663BC"/>
    <w:rsid w:val="00D66849"/>
    <w:rsid w:val="00D66EB3"/>
    <w:rsid w:val="00D672C0"/>
    <w:rsid w:val="00D672DE"/>
    <w:rsid w:val="00D6792C"/>
    <w:rsid w:val="00D67A49"/>
    <w:rsid w:val="00D67B8B"/>
    <w:rsid w:val="00D67D29"/>
    <w:rsid w:val="00D67F0E"/>
    <w:rsid w:val="00D705B0"/>
    <w:rsid w:val="00D70824"/>
    <w:rsid w:val="00D70B45"/>
    <w:rsid w:val="00D70BDB"/>
    <w:rsid w:val="00D70F5A"/>
    <w:rsid w:val="00D71170"/>
    <w:rsid w:val="00D7182A"/>
    <w:rsid w:val="00D72BEA"/>
    <w:rsid w:val="00D72CDE"/>
    <w:rsid w:val="00D73498"/>
    <w:rsid w:val="00D738BD"/>
    <w:rsid w:val="00D73A79"/>
    <w:rsid w:val="00D73BB1"/>
    <w:rsid w:val="00D7400B"/>
    <w:rsid w:val="00D74025"/>
    <w:rsid w:val="00D74030"/>
    <w:rsid w:val="00D74292"/>
    <w:rsid w:val="00D748C7"/>
    <w:rsid w:val="00D7491F"/>
    <w:rsid w:val="00D74A61"/>
    <w:rsid w:val="00D74B00"/>
    <w:rsid w:val="00D74B11"/>
    <w:rsid w:val="00D74EB8"/>
    <w:rsid w:val="00D74EF3"/>
    <w:rsid w:val="00D7506A"/>
    <w:rsid w:val="00D752AD"/>
    <w:rsid w:val="00D7537D"/>
    <w:rsid w:val="00D754BB"/>
    <w:rsid w:val="00D7587C"/>
    <w:rsid w:val="00D7611E"/>
    <w:rsid w:val="00D76272"/>
    <w:rsid w:val="00D76566"/>
    <w:rsid w:val="00D765F6"/>
    <w:rsid w:val="00D7660C"/>
    <w:rsid w:val="00D766AC"/>
    <w:rsid w:val="00D76BA3"/>
    <w:rsid w:val="00D76D06"/>
    <w:rsid w:val="00D772FC"/>
    <w:rsid w:val="00D777B1"/>
    <w:rsid w:val="00D77B48"/>
    <w:rsid w:val="00D77CA7"/>
    <w:rsid w:val="00D77CB9"/>
    <w:rsid w:val="00D801D9"/>
    <w:rsid w:val="00D80537"/>
    <w:rsid w:val="00D8089A"/>
    <w:rsid w:val="00D808DF"/>
    <w:rsid w:val="00D80B9F"/>
    <w:rsid w:val="00D80BF1"/>
    <w:rsid w:val="00D816AB"/>
    <w:rsid w:val="00D8175E"/>
    <w:rsid w:val="00D81E6F"/>
    <w:rsid w:val="00D82011"/>
    <w:rsid w:val="00D8217D"/>
    <w:rsid w:val="00D82423"/>
    <w:rsid w:val="00D82685"/>
    <w:rsid w:val="00D826E8"/>
    <w:rsid w:val="00D8298F"/>
    <w:rsid w:val="00D82BD7"/>
    <w:rsid w:val="00D830B7"/>
    <w:rsid w:val="00D83192"/>
    <w:rsid w:val="00D834C0"/>
    <w:rsid w:val="00D83535"/>
    <w:rsid w:val="00D8361A"/>
    <w:rsid w:val="00D83A2A"/>
    <w:rsid w:val="00D83EA0"/>
    <w:rsid w:val="00D840EF"/>
    <w:rsid w:val="00D84667"/>
    <w:rsid w:val="00D84A47"/>
    <w:rsid w:val="00D84CFC"/>
    <w:rsid w:val="00D8505C"/>
    <w:rsid w:val="00D85252"/>
    <w:rsid w:val="00D85303"/>
    <w:rsid w:val="00D85348"/>
    <w:rsid w:val="00D85645"/>
    <w:rsid w:val="00D85D5C"/>
    <w:rsid w:val="00D86043"/>
    <w:rsid w:val="00D86058"/>
    <w:rsid w:val="00D860EF"/>
    <w:rsid w:val="00D864A9"/>
    <w:rsid w:val="00D8682B"/>
    <w:rsid w:val="00D86C9F"/>
    <w:rsid w:val="00D86E65"/>
    <w:rsid w:val="00D874CA"/>
    <w:rsid w:val="00D878CB"/>
    <w:rsid w:val="00D87ABD"/>
    <w:rsid w:val="00D87BFE"/>
    <w:rsid w:val="00D901BD"/>
    <w:rsid w:val="00D90557"/>
    <w:rsid w:val="00D90659"/>
    <w:rsid w:val="00D90737"/>
    <w:rsid w:val="00D90813"/>
    <w:rsid w:val="00D90995"/>
    <w:rsid w:val="00D909E1"/>
    <w:rsid w:val="00D90B86"/>
    <w:rsid w:val="00D90D28"/>
    <w:rsid w:val="00D9102B"/>
    <w:rsid w:val="00D91B71"/>
    <w:rsid w:val="00D91E3C"/>
    <w:rsid w:val="00D92241"/>
    <w:rsid w:val="00D92251"/>
    <w:rsid w:val="00D926FE"/>
    <w:rsid w:val="00D9289C"/>
    <w:rsid w:val="00D92AA7"/>
    <w:rsid w:val="00D93294"/>
    <w:rsid w:val="00D93600"/>
    <w:rsid w:val="00D93778"/>
    <w:rsid w:val="00D93A75"/>
    <w:rsid w:val="00D940BE"/>
    <w:rsid w:val="00D941E6"/>
    <w:rsid w:val="00D94587"/>
    <w:rsid w:val="00D94716"/>
    <w:rsid w:val="00D9473F"/>
    <w:rsid w:val="00D952A7"/>
    <w:rsid w:val="00D952A8"/>
    <w:rsid w:val="00D955C7"/>
    <w:rsid w:val="00D95786"/>
    <w:rsid w:val="00D95872"/>
    <w:rsid w:val="00D9601F"/>
    <w:rsid w:val="00D96A18"/>
    <w:rsid w:val="00D96B04"/>
    <w:rsid w:val="00D96D7D"/>
    <w:rsid w:val="00D97098"/>
    <w:rsid w:val="00D973C8"/>
    <w:rsid w:val="00D97743"/>
    <w:rsid w:val="00D9776C"/>
    <w:rsid w:val="00D97A5B"/>
    <w:rsid w:val="00D97A5D"/>
    <w:rsid w:val="00D97D84"/>
    <w:rsid w:val="00DA0B11"/>
    <w:rsid w:val="00DA0E4E"/>
    <w:rsid w:val="00DA0E5C"/>
    <w:rsid w:val="00DA1236"/>
    <w:rsid w:val="00DA27D5"/>
    <w:rsid w:val="00DA27EF"/>
    <w:rsid w:val="00DA31E8"/>
    <w:rsid w:val="00DA32F0"/>
    <w:rsid w:val="00DA3C9C"/>
    <w:rsid w:val="00DA4AEF"/>
    <w:rsid w:val="00DA524A"/>
    <w:rsid w:val="00DA58A6"/>
    <w:rsid w:val="00DA5A04"/>
    <w:rsid w:val="00DA5B52"/>
    <w:rsid w:val="00DA5DD5"/>
    <w:rsid w:val="00DA5DF7"/>
    <w:rsid w:val="00DA5E7E"/>
    <w:rsid w:val="00DA6434"/>
    <w:rsid w:val="00DA6437"/>
    <w:rsid w:val="00DA660B"/>
    <w:rsid w:val="00DA6BD8"/>
    <w:rsid w:val="00DA6BE4"/>
    <w:rsid w:val="00DA6D74"/>
    <w:rsid w:val="00DA72C5"/>
    <w:rsid w:val="00DA780F"/>
    <w:rsid w:val="00DA7BA4"/>
    <w:rsid w:val="00DA7BD7"/>
    <w:rsid w:val="00DA7E4C"/>
    <w:rsid w:val="00DB03E0"/>
    <w:rsid w:val="00DB06B0"/>
    <w:rsid w:val="00DB09AB"/>
    <w:rsid w:val="00DB0F35"/>
    <w:rsid w:val="00DB1415"/>
    <w:rsid w:val="00DB1790"/>
    <w:rsid w:val="00DB1AC1"/>
    <w:rsid w:val="00DB2E23"/>
    <w:rsid w:val="00DB3083"/>
    <w:rsid w:val="00DB338C"/>
    <w:rsid w:val="00DB3623"/>
    <w:rsid w:val="00DB3B56"/>
    <w:rsid w:val="00DB3D2C"/>
    <w:rsid w:val="00DB4094"/>
    <w:rsid w:val="00DB4867"/>
    <w:rsid w:val="00DB492F"/>
    <w:rsid w:val="00DB4A25"/>
    <w:rsid w:val="00DB5352"/>
    <w:rsid w:val="00DB541A"/>
    <w:rsid w:val="00DB58CA"/>
    <w:rsid w:val="00DB5940"/>
    <w:rsid w:val="00DB5A36"/>
    <w:rsid w:val="00DB5CD7"/>
    <w:rsid w:val="00DB5FC6"/>
    <w:rsid w:val="00DB6027"/>
    <w:rsid w:val="00DB6393"/>
    <w:rsid w:val="00DB6460"/>
    <w:rsid w:val="00DB6607"/>
    <w:rsid w:val="00DB7006"/>
    <w:rsid w:val="00DB7257"/>
    <w:rsid w:val="00DB751E"/>
    <w:rsid w:val="00DB7AF1"/>
    <w:rsid w:val="00DB7BC1"/>
    <w:rsid w:val="00DC02CC"/>
    <w:rsid w:val="00DC067A"/>
    <w:rsid w:val="00DC08CA"/>
    <w:rsid w:val="00DC096C"/>
    <w:rsid w:val="00DC0CC4"/>
    <w:rsid w:val="00DC0E17"/>
    <w:rsid w:val="00DC1040"/>
    <w:rsid w:val="00DC12EA"/>
    <w:rsid w:val="00DC1335"/>
    <w:rsid w:val="00DC1697"/>
    <w:rsid w:val="00DC1948"/>
    <w:rsid w:val="00DC1BDA"/>
    <w:rsid w:val="00DC1C6F"/>
    <w:rsid w:val="00DC1D91"/>
    <w:rsid w:val="00DC1DDE"/>
    <w:rsid w:val="00DC1E42"/>
    <w:rsid w:val="00DC25B2"/>
    <w:rsid w:val="00DC27A2"/>
    <w:rsid w:val="00DC2FFA"/>
    <w:rsid w:val="00DC31DA"/>
    <w:rsid w:val="00DC3224"/>
    <w:rsid w:val="00DC3851"/>
    <w:rsid w:val="00DC3957"/>
    <w:rsid w:val="00DC39E1"/>
    <w:rsid w:val="00DC4780"/>
    <w:rsid w:val="00DC4879"/>
    <w:rsid w:val="00DC4DF2"/>
    <w:rsid w:val="00DC4FDF"/>
    <w:rsid w:val="00DC5109"/>
    <w:rsid w:val="00DC516E"/>
    <w:rsid w:val="00DC53CB"/>
    <w:rsid w:val="00DC5409"/>
    <w:rsid w:val="00DC550D"/>
    <w:rsid w:val="00DC5640"/>
    <w:rsid w:val="00DC589B"/>
    <w:rsid w:val="00DC5A90"/>
    <w:rsid w:val="00DC5D9C"/>
    <w:rsid w:val="00DC5DFE"/>
    <w:rsid w:val="00DC6030"/>
    <w:rsid w:val="00DC60F9"/>
    <w:rsid w:val="00DC6200"/>
    <w:rsid w:val="00DC625B"/>
    <w:rsid w:val="00DC63D9"/>
    <w:rsid w:val="00DC63E6"/>
    <w:rsid w:val="00DC651C"/>
    <w:rsid w:val="00DC65BB"/>
    <w:rsid w:val="00DC663C"/>
    <w:rsid w:val="00DC693D"/>
    <w:rsid w:val="00DC6942"/>
    <w:rsid w:val="00DC6D96"/>
    <w:rsid w:val="00DC6DDE"/>
    <w:rsid w:val="00DC7D48"/>
    <w:rsid w:val="00DC7F39"/>
    <w:rsid w:val="00DC7FD1"/>
    <w:rsid w:val="00DD0BAC"/>
    <w:rsid w:val="00DD0DC4"/>
    <w:rsid w:val="00DD17D3"/>
    <w:rsid w:val="00DD1CDC"/>
    <w:rsid w:val="00DD2285"/>
    <w:rsid w:val="00DD22E6"/>
    <w:rsid w:val="00DD28D3"/>
    <w:rsid w:val="00DD2CB4"/>
    <w:rsid w:val="00DD3070"/>
    <w:rsid w:val="00DD31EC"/>
    <w:rsid w:val="00DD33F3"/>
    <w:rsid w:val="00DD3751"/>
    <w:rsid w:val="00DD375F"/>
    <w:rsid w:val="00DD3869"/>
    <w:rsid w:val="00DD42E4"/>
    <w:rsid w:val="00DD4691"/>
    <w:rsid w:val="00DD46F7"/>
    <w:rsid w:val="00DD5260"/>
    <w:rsid w:val="00DD539A"/>
    <w:rsid w:val="00DD5502"/>
    <w:rsid w:val="00DD558F"/>
    <w:rsid w:val="00DD586C"/>
    <w:rsid w:val="00DD5E57"/>
    <w:rsid w:val="00DD613E"/>
    <w:rsid w:val="00DD61D2"/>
    <w:rsid w:val="00DD6441"/>
    <w:rsid w:val="00DD6935"/>
    <w:rsid w:val="00DD7075"/>
    <w:rsid w:val="00DD784F"/>
    <w:rsid w:val="00DD7E57"/>
    <w:rsid w:val="00DE0D21"/>
    <w:rsid w:val="00DE1295"/>
    <w:rsid w:val="00DE146D"/>
    <w:rsid w:val="00DE1568"/>
    <w:rsid w:val="00DE15FB"/>
    <w:rsid w:val="00DE1CD0"/>
    <w:rsid w:val="00DE1CD2"/>
    <w:rsid w:val="00DE1E4D"/>
    <w:rsid w:val="00DE1E92"/>
    <w:rsid w:val="00DE221E"/>
    <w:rsid w:val="00DE228D"/>
    <w:rsid w:val="00DE24D3"/>
    <w:rsid w:val="00DE2D09"/>
    <w:rsid w:val="00DE30F9"/>
    <w:rsid w:val="00DE3487"/>
    <w:rsid w:val="00DE3A0D"/>
    <w:rsid w:val="00DE3A42"/>
    <w:rsid w:val="00DE3A9D"/>
    <w:rsid w:val="00DE417C"/>
    <w:rsid w:val="00DE41DC"/>
    <w:rsid w:val="00DE4A37"/>
    <w:rsid w:val="00DE4C02"/>
    <w:rsid w:val="00DE4F83"/>
    <w:rsid w:val="00DE4FA7"/>
    <w:rsid w:val="00DE50A2"/>
    <w:rsid w:val="00DE5129"/>
    <w:rsid w:val="00DE54F0"/>
    <w:rsid w:val="00DE55DD"/>
    <w:rsid w:val="00DE5A56"/>
    <w:rsid w:val="00DE5A9C"/>
    <w:rsid w:val="00DE5F56"/>
    <w:rsid w:val="00DE60E3"/>
    <w:rsid w:val="00DE67D9"/>
    <w:rsid w:val="00DE6D0C"/>
    <w:rsid w:val="00DE73D2"/>
    <w:rsid w:val="00DE7564"/>
    <w:rsid w:val="00DE7606"/>
    <w:rsid w:val="00DE7833"/>
    <w:rsid w:val="00DE7E8F"/>
    <w:rsid w:val="00DE7FD3"/>
    <w:rsid w:val="00DF03EC"/>
    <w:rsid w:val="00DF08A3"/>
    <w:rsid w:val="00DF0E0D"/>
    <w:rsid w:val="00DF12B5"/>
    <w:rsid w:val="00DF18B9"/>
    <w:rsid w:val="00DF1DF9"/>
    <w:rsid w:val="00DF2335"/>
    <w:rsid w:val="00DF2695"/>
    <w:rsid w:val="00DF2C4E"/>
    <w:rsid w:val="00DF2DA3"/>
    <w:rsid w:val="00DF325D"/>
    <w:rsid w:val="00DF36CE"/>
    <w:rsid w:val="00DF3BC9"/>
    <w:rsid w:val="00DF3E4D"/>
    <w:rsid w:val="00DF3FDE"/>
    <w:rsid w:val="00DF416E"/>
    <w:rsid w:val="00DF4805"/>
    <w:rsid w:val="00DF4A3F"/>
    <w:rsid w:val="00DF4A98"/>
    <w:rsid w:val="00DF5137"/>
    <w:rsid w:val="00DF524C"/>
    <w:rsid w:val="00DF54FF"/>
    <w:rsid w:val="00DF5EFD"/>
    <w:rsid w:val="00DF67D0"/>
    <w:rsid w:val="00DF6FE1"/>
    <w:rsid w:val="00DF735E"/>
    <w:rsid w:val="00DF7570"/>
    <w:rsid w:val="00DF764F"/>
    <w:rsid w:val="00DF79C7"/>
    <w:rsid w:val="00DF7A66"/>
    <w:rsid w:val="00DF7D74"/>
    <w:rsid w:val="00DF7E68"/>
    <w:rsid w:val="00E0008E"/>
    <w:rsid w:val="00E004BB"/>
    <w:rsid w:val="00E005D0"/>
    <w:rsid w:val="00E00798"/>
    <w:rsid w:val="00E0080D"/>
    <w:rsid w:val="00E00D95"/>
    <w:rsid w:val="00E0107E"/>
    <w:rsid w:val="00E011AF"/>
    <w:rsid w:val="00E012E0"/>
    <w:rsid w:val="00E01781"/>
    <w:rsid w:val="00E01808"/>
    <w:rsid w:val="00E02134"/>
    <w:rsid w:val="00E021D6"/>
    <w:rsid w:val="00E02786"/>
    <w:rsid w:val="00E0290B"/>
    <w:rsid w:val="00E029ED"/>
    <w:rsid w:val="00E02E50"/>
    <w:rsid w:val="00E02FA5"/>
    <w:rsid w:val="00E0304C"/>
    <w:rsid w:val="00E0320A"/>
    <w:rsid w:val="00E03421"/>
    <w:rsid w:val="00E0369E"/>
    <w:rsid w:val="00E03C10"/>
    <w:rsid w:val="00E03DD1"/>
    <w:rsid w:val="00E03E19"/>
    <w:rsid w:val="00E03E7D"/>
    <w:rsid w:val="00E04153"/>
    <w:rsid w:val="00E04228"/>
    <w:rsid w:val="00E044F9"/>
    <w:rsid w:val="00E05122"/>
    <w:rsid w:val="00E051D6"/>
    <w:rsid w:val="00E053E5"/>
    <w:rsid w:val="00E05411"/>
    <w:rsid w:val="00E054F8"/>
    <w:rsid w:val="00E05514"/>
    <w:rsid w:val="00E05530"/>
    <w:rsid w:val="00E059BE"/>
    <w:rsid w:val="00E05AF7"/>
    <w:rsid w:val="00E05C63"/>
    <w:rsid w:val="00E05D2A"/>
    <w:rsid w:val="00E05D7E"/>
    <w:rsid w:val="00E05DB4"/>
    <w:rsid w:val="00E06152"/>
    <w:rsid w:val="00E06796"/>
    <w:rsid w:val="00E067D5"/>
    <w:rsid w:val="00E06D9D"/>
    <w:rsid w:val="00E07294"/>
    <w:rsid w:val="00E0741B"/>
    <w:rsid w:val="00E07996"/>
    <w:rsid w:val="00E07A49"/>
    <w:rsid w:val="00E07C24"/>
    <w:rsid w:val="00E1014B"/>
    <w:rsid w:val="00E104CA"/>
    <w:rsid w:val="00E10F1E"/>
    <w:rsid w:val="00E11008"/>
    <w:rsid w:val="00E110B9"/>
    <w:rsid w:val="00E11648"/>
    <w:rsid w:val="00E119D4"/>
    <w:rsid w:val="00E11B09"/>
    <w:rsid w:val="00E11D44"/>
    <w:rsid w:val="00E12550"/>
    <w:rsid w:val="00E1280A"/>
    <w:rsid w:val="00E128A2"/>
    <w:rsid w:val="00E12B5E"/>
    <w:rsid w:val="00E12C28"/>
    <w:rsid w:val="00E12CC1"/>
    <w:rsid w:val="00E13418"/>
    <w:rsid w:val="00E136C2"/>
    <w:rsid w:val="00E139C8"/>
    <w:rsid w:val="00E13B1C"/>
    <w:rsid w:val="00E13B98"/>
    <w:rsid w:val="00E13D41"/>
    <w:rsid w:val="00E13F6D"/>
    <w:rsid w:val="00E1400A"/>
    <w:rsid w:val="00E14160"/>
    <w:rsid w:val="00E15326"/>
    <w:rsid w:val="00E153A6"/>
    <w:rsid w:val="00E15904"/>
    <w:rsid w:val="00E16087"/>
    <w:rsid w:val="00E16539"/>
    <w:rsid w:val="00E1681F"/>
    <w:rsid w:val="00E171FD"/>
    <w:rsid w:val="00E17478"/>
    <w:rsid w:val="00E178A9"/>
    <w:rsid w:val="00E17F43"/>
    <w:rsid w:val="00E20558"/>
    <w:rsid w:val="00E207D2"/>
    <w:rsid w:val="00E2119E"/>
    <w:rsid w:val="00E213E1"/>
    <w:rsid w:val="00E21443"/>
    <w:rsid w:val="00E21C67"/>
    <w:rsid w:val="00E2269E"/>
    <w:rsid w:val="00E22F7B"/>
    <w:rsid w:val="00E234B7"/>
    <w:rsid w:val="00E23C30"/>
    <w:rsid w:val="00E23DE0"/>
    <w:rsid w:val="00E23DFF"/>
    <w:rsid w:val="00E242BC"/>
    <w:rsid w:val="00E24528"/>
    <w:rsid w:val="00E245F9"/>
    <w:rsid w:val="00E247F9"/>
    <w:rsid w:val="00E24A47"/>
    <w:rsid w:val="00E25170"/>
    <w:rsid w:val="00E251A0"/>
    <w:rsid w:val="00E2533B"/>
    <w:rsid w:val="00E254DC"/>
    <w:rsid w:val="00E25791"/>
    <w:rsid w:val="00E25BC9"/>
    <w:rsid w:val="00E25D5D"/>
    <w:rsid w:val="00E25DAF"/>
    <w:rsid w:val="00E26496"/>
    <w:rsid w:val="00E264CA"/>
    <w:rsid w:val="00E26643"/>
    <w:rsid w:val="00E2669E"/>
    <w:rsid w:val="00E266E4"/>
    <w:rsid w:val="00E2672F"/>
    <w:rsid w:val="00E26AA0"/>
    <w:rsid w:val="00E26CAE"/>
    <w:rsid w:val="00E27069"/>
    <w:rsid w:val="00E27332"/>
    <w:rsid w:val="00E27456"/>
    <w:rsid w:val="00E27477"/>
    <w:rsid w:val="00E27573"/>
    <w:rsid w:val="00E277F4"/>
    <w:rsid w:val="00E27F3A"/>
    <w:rsid w:val="00E27F40"/>
    <w:rsid w:val="00E27FD1"/>
    <w:rsid w:val="00E30151"/>
    <w:rsid w:val="00E30431"/>
    <w:rsid w:val="00E306F2"/>
    <w:rsid w:val="00E30ABE"/>
    <w:rsid w:val="00E30AD0"/>
    <w:rsid w:val="00E30AF8"/>
    <w:rsid w:val="00E30BE6"/>
    <w:rsid w:val="00E31169"/>
    <w:rsid w:val="00E311C9"/>
    <w:rsid w:val="00E312D0"/>
    <w:rsid w:val="00E313B3"/>
    <w:rsid w:val="00E31917"/>
    <w:rsid w:val="00E31949"/>
    <w:rsid w:val="00E31AC9"/>
    <w:rsid w:val="00E31F15"/>
    <w:rsid w:val="00E32598"/>
    <w:rsid w:val="00E329F1"/>
    <w:rsid w:val="00E32A09"/>
    <w:rsid w:val="00E32DC2"/>
    <w:rsid w:val="00E332F6"/>
    <w:rsid w:val="00E334D0"/>
    <w:rsid w:val="00E33625"/>
    <w:rsid w:val="00E337C7"/>
    <w:rsid w:val="00E33A8A"/>
    <w:rsid w:val="00E33B17"/>
    <w:rsid w:val="00E33B84"/>
    <w:rsid w:val="00E33CC7"/>
    <w:rsid w:val="00E33D41"/>
    <w:rsid w:val="00E33E22"/>
    <w:rsid w:val="00E33E3A"/>
    <w:rsid w:val="00E340E9"/>
    <w:rsid w:val="00E3465F"/>
    <w:rsid w:val="00E34AC1"/>
    <w:rsid w:val="00E34FD5"/>
    <w:rsid w:val="00E35194"/>
    <w:rsid w:val="00E35275"/>
    <w:rsid w:val="00E355DE"/>
    <w:rsid w:val="00E355F7"/>
    <w:rsid w:val="00E3566C"/>
    <w:rsid w:val="00E35859"/>
    <w:rsid w:val="00E35AD6"/>
    <w:rsid w:val="00E3603A"/>
    <w:rsid w:val="00E3615C"/>
    <w:rsid w:val="00E3617D"/>
    <w:rsid w:val="00E36366"/>
    <w:rsid w:val="00E364E4"/>
    <w:rsid w:val="00E36679"/>
    <w:rsid w:val="00E368C5"/>
    <w:rsid w:val="00E376A1"/>
    <w:rsid w:val="00E3783E"/>
    <w:rsid w:val="00E3794D"/>
    <w:rsid w:val="00E37A18"/>
    <w:rsid w:val="00E37A69"/>
    <w:rsid w:val="00E37BE9"/>
    <w:rsid w:val="00E40663"/>
    <w:rsid w:val="00E409AE"/>
    <w:rsid w:val="00E40C7F"/>
    <w:rsid w:val="00E40ECE"/>
    <w:rsid w:val="00E40F2E"/>
    <w:rsid w:val="00E411FD"/>
    <w:rsid w:val="00E412B9"/>
    <w:rsid w:val="00E4130D"/>
    <w:rsid w:val="00E417B6"/>
    <w:rsid w:val="00E419F9"/>
    <w:rsid w:val="00E41A44"/>
    <w:rsid w:val="00E42024"/>
    <w:rsid w:val="00E422FA"/>
    <w:rsid w:val="00E426FE"/>
    <w:rsid w:val="00E42C19"/>
    <w:rsid w:val="00E42E3B"/>
    <w:rsid w:val="00E42EA5"/>
    <w:rsid w:val="00E42FCD"/>
    <w:rsid w:val="00E431C6"/>
    <w:rsid w:val="00E432BE"/>
    <w:rsid w:val="00E432FE"/>
    <w:rsid w:val="00E43664"/>
    <w:rsid w:val="00E43733"/>
    <w:rsid w:val="00E4376A"/>
    <w:rsid w:val="00E43A60"/>
    <w:rsid w:val="00E43D08"/>
    <w:rsid w:val="00E43D1A"/>
    <w:rsid w:val="00E43FE4"/>
    <w:rsid w:val="00E442E5"/>
    <w:rsid w:val="00E444D7"/>
    <w:rsid w:val="00E446C3"/>
    <w:rsid w:val="00E446CA"/>
    <w:rsid w:val="00E447A8"/>
    <w:rsid w:val="00E44B29"/>
    <w:rsid w:val="00E44FFC"/>
    <w:rsid w:val="00E45317"/>
    <w:rsid w:val="00E45693"/>
    <w:rsid w:val="00E458EA"/>
    <w:rsid w:val="00E45E3D"/>
    <w:rsid w:val="00E462C7"/>
    <w:rsid w:val="00E4660B"/>
    <w:rsid w:val="00E469A2"/>
    <w:rsid w:val="00E473C8"/>
    <w:rsid w:val="00E477BC"/>
    <w:rsid w:val="00E477BE"/>
    <w:rsid w:val="00E47C1D"/>
    <w:rsid w:val="00E47D5E"/>
    <w:rsid w:val="00E47F80"/>
    <w:rsid w:val="00E5028A"/>
    <w:rsid w:val="00E50760"/>
    <w:rsid w:val="00E509B3"/>
    <w:rsid w:val="00E50D06"/>
    <w:rsid w:val="00E50F15"/>
    <w:rsid w:val="00E510E9"/>
    <w:rsid w:val="00E51440"/>
    <w:rsid w:val="00E51957"/>
    <w:rsid w:val="00E51ABE"/>
    <w:rsid w:val="00E51BC1"/>
    <w:rsid w:val="00E52346"/>
    <w:rsid w:val="00E526B6"/>
    <w:rsid w:val="00E526DE"/>
    <w:rsid w:val="00E5275F"/>
    <w:rsid w:val="00E53108"/>
    <w:rsid w:val="00E5357E"/>
    <w:rsid w:val="00E53BCC"/>
    <w:rsid w:val="00E53F91"/>
    <w:rsid w:val="00E5433F"/>
    <w:rsid w:val="00E54D7E"/>
    <w:rsid w:val="00E55098"/>
    <w:rsid w:val="00E550DD"/>
    <w:rsid w:val="00E555EC"/>
    <w:rsid w:val="00E557F3"/>
    <w:rsid w:val="00E55907"/>
    <w:rsid w:val="00E55C2E"/>
    <w:rsid w:val="00E55D73"/>
    <w:rsid w:val="00E55DCE"/>
    <w:rsid w:val="00E55EB2"/>
    <w:rsid w:val="00E56525"/>
    <w:rsid w:val="00E56765"/>
    <w:rsid w:val="00E56B1A"/>
    <w:rsid w:val="00E56D36"/>
    <w:rsid w:val="00E56FDF"/>
    <w:rsid w:val="00E57627"/>
    <w:rsid w:val="00E57651"/>
    <w:rsid w:val="00E57A46"/>
    <w:rsid w:val="00E57BEF"/>
    <w:rsid w:val="00E60701"/>
    <w:rsid w:val="00E6078B"/>
    <w:rsid w:val="00E60858"/>
    <w:rsid w:val="00E60D80"/>
    <w:rsid w:val="00E60F11"/>
    <w:rsid w:val="00E61164"/>
    <w:rsid w:val="00E61560"/>
    <w:rsid w:val="00E6173E"/>
    <w:rsid w:val="00E61758"/>
    <w:rsid w:val="00E617EE"/>
    <w:rsid w:val="00E6190A"/>
    <w:rsid w:val="00E619F9"/>
    <w:rsid w:val="00E61AB6"/>
    <w:rsid w:val="00E62313"/>
    <w:rsid w:val="00E623C5"/>
    <w:rsid w:val="00E62731"/>
    <w:rsid w:val="00E6273A"/>
    <w:rsid w:val="00E62B8C"/>
    <w:rsid w:val="00E62C49"/>
    <w:rsid w:val="00E62D5E"/>
    <w:rsid w:val="00E62F02"/>
    <w:rsid w:val="00E62F19"/>
    <w:rsid w:val="00E634DA"/>
    <w:rsid w:val="00E637D3"/>
    <w:rsid w:val="00E638B1"/>
    <w:rsid w:val="00E6398C"/>
    <w:rsid w:val="00E639D6"/>
    <w:rsid w:val="00E63A6D"/>
    <w:rsid w:val="00E63AAD"/>
    <w:rsid w:val="00E63B18"/>
    <w:rsid w:val="00E63B32"/>
    <w:rsid w:val="00E63B8D"/>
    <w:rsid w:val="00E63D4B"/>
    <w:rsid w:val="00E642FF"/>
    <w:rsid w:val="00E644AF"/>
    <w:rsid w:val="00E64616"/>
    <w:rsid w:val="00E64708"/>
    <w:rsid w:val="00E64B7E"/>
    <w:rsid w:val="00E64CF3"/>
    <w:rsid w:val="00E65447"/>
    <w:rsid w:val="00E654E9"/>
    <w:rsid w:val="00E65882"/>
    <w:rsid w:val="00E658E2"/>
    <w:rsid w:val="00E65A52"/>
    <w:rsid w:val="00E65A9B"/>
    <w:rsid w:val="00E65F5C"/>
    <w:rsid w:val="00E66306"/>
    <w:rsid w:val="00E66519"/>
    <w:rsid w:val="00E665C2"/>
    <w:rsid w:val="00E66628"/>
    <w:rsid w:val="00E66C22"/>
    <w:rsid w:val="00E66D7F"/>
    <w:rsid w:val="00E66F9F"/>
    <w:rsid w:val="00E674D9"/>
    <w:rsid w:val="00E67865"/>
    <w:rsid w:val="00E67CF8"/>
    <w:rsid w:val="00E70000"/>
    <w:rsid w:val="00E7004B"/>
    <w:rsid w:val="00E7007F"/>
    <w:rsid w:val="00E700B9"/>
    <w:rsid w:val="00E70197"/>
    <w:rsid w:val="00E70408"/>
    <w:rsid w:val="00E7055D"/>
    <w:rsid w:val="00E70811"/>
    <w:rsid w:val="00E708A3"/>
    <w:rsid w:val="00E70C2E"/>
    <w:rsid w:val="00E71366"/>
    <w:rsid w:val="00E71A20"/>
    <w:rsid w:val="00E71E06"/>
    <w:rsid w:val="00E72526"/>
    <w:rsid w:val="00E725C2"/>
    <w:rsid w:val="00E729D1"/>
    <w:rsid w:val="00E72C0F"/>
    <w:rsid w:val="00E72D10"/>
    <w:rsid w:val="00E72ECC"/>
    <w:rsid w:val="00E7319C"/>
    <w:rsid w:val="00E74A5E"/>
    <w:rsid w:val="00E74B28"/>
    <w:rsid w:val="00E75AE9"/>
    <w:rsid w:val="00E75D93"/>
    <w:rsid w:val="00E7617B"/>
    <w:rsid w:val="00E772C4"/>
    <w:rsid w:val="00E773A1"/>
    <w:rsid w:val="00E7789A"/>
    <w:rsid w:val="00E81272"/>
    <w:rsid w:val="00E8139D"/>
    <w:rsid w:val="00E81452"/>
    <w:rsid w:val="00E81785"/>
    <w:rsid w:val="00E8182D"/>
    <w:rsid w:val="00E818D8"/>
    <w:rsid w:val="00E81DBF"/>
    <w:rsid w:val="00E8232A"/>
    <w:rsid w:val="00E82767"/>
    <w:rsid w:val="00E827A6"/>
    <w:rsid w:val="00E82974"/>
    <w:rsid w:val="00E82D11"/>
    <w:rsid w:val="00E82E7F"/>
    <w:rsid w:val="00E82F4D"/>
    <w:rsid w:val="00E83475"/>
    <w:rsid w:val="00E83822"/>
    <w:rsid w:val="00E839A9"/>
    <w:rsid w:val="00E83A41"/>
    <w:rsid w:val="00E83C0E"/>
    <w:rsid w:val="00E83C3D"/>
    <w:rsid w:val="00E840D2"/>
    <w:rsid w:val="00E8422A"/>
    <w:rsid w:val="00E842FD"/>
    <w:rsid w:val="00E845EB"/>
    <w:rsid w:val="00E84729"/>
    <w:rsid w:val="00E84C0C"/>
    <w:rsid w:val="00E851AA"/>
    <w:rsid w:val="00E85601"/>
    <w:rsid w:val="00E85BA9"/>
    <w:rsid w:val="00E86183"/>
    <w:rsid w:val="00E8631C"/>
    <w:rsid w:val="00E8631D"/>
    <w:rsid w:val="00E879D4"/>
    <w:rsid w:val="00E900D9"/>
    <w:rsid w:val="00E901F9"/>
    <w:rsid w:val="00E9031B"/>
    <w:rsid w:val="00E9061C"/>
    <w:rsid w:val="00E906AE"/>
    <w:rsid w:val="00E90733"/>
    <w:rsid w:val="00E90C53"/>
    <w:rsid w:val="00E90D28"/>
    <w:rsid w:val="00E91051"/>
    <w:rsid w:val="00E91468"/>
    <w:rsid w:val="00E9161C"/>
    <w:rsid w:val="00E917FA"/>
    <w:rsid w:val="00E91C02"/>
    <w:rsid w:val="00E91DB4"/>
    <w:rsid w:val="00E91EEA"/>
    <w:rsid w:val="00E922C6"/>
    <w:rsid w:val="00E925F9"/>
    <w:rsid w:val="00E9276E"/>
    <w:rsid w:val="00E92CD9"/>
    <w:rsid w:val="00E92E1D"/>
    <w:rsid w:val="00E9329C"/>
    <w:rsid w:val="00E933E4"/>
    <w:rsid w:val="00E934F0"/>
    <w:rsid w:val="00E93696"/>
    <w:rsid w:val="00E939D5"/>
    <w:rsid w:val="00E940E6"/>
    <w:rsid w:val="00E94515"/>
    <w:rsid w:val="00E9469F"/>
    <w:rsid w:val="00E947F8"/>
    <w:rsid w:val="00E94A62"/>
    <w:rsid w:val="00E94D9B"/>
    <w:rsid w:val="00E95162"/>
    <w:rsid w:val="00E953A6"/>
    <w:rsid w:val="00E956DC"/>
    <w:rsid w:val="00E96266"/>
    <w:rsid w:val="00E96991"/>
    <w:rsid w:val="00E96EDE"/>
    <w:rsid w:val="00E970F3"/>
    <w:rsid w:val="00E97682"/>
    <w:rsid w:val="00E97B32"/>
    <w:rsid w:val="00E97D94"/>
    <w:rsid w:val="00E97E6A"/>
    <w:rsid w:val="00E97F94"/>
    <w:rsid w:val="00E97F98"/>
    <w:rsid w:val="00EA02F2"/>
    <w:rsid w:val="00EA04E5"/>
    <w:rsid w:val="00EA06B5"/>
    <w:rsid w:val="00EA0748"/>
    <w:rsid w:val="00EA0BDD"/>
    <w:rsid w:val="00EA0CDB"/>
    <w:rsid w:val="00EA0D37"/>
    <w:rsid w:val="00EA0E87"/>
    <w:rsid w:val="00EA0F6E"/>
    <w:rsid w:val="00EA1644"/>
    <w:rsid w:val="00EA1CBF"/>
    <w:rsid w:val="00EA20D4"/>
    <w:rsid w:val="00EA256F"/>
    <w:rsid w:val="00EA2918"/>
    <w:rsid w:val="00EA29EE"/>
    <w:rsid w:val="00EA2A05"/>
    <w:rsid w:val="00EA2A78"/>
    <w:rsid w:val="00EA2B72"/>
    <w:rsid w:val="00EA2FE8"/>
    <w:rsid w:val="00EA3124"/>
    <w:rsid w:val="00EA3204"/>
    <w:rsid w:val="00EA348A"/>
    <w:rsid w:val="00EA3CE9"/>
    <w:rsid w:val="00EA41EA"/>
    <w:rsid w:val="00EA4292"/>
    <w:rsid w:val="00EA462D"/>
    <w:rsid w:val="00EA46AE"/>
    <w:rsid w:val="00EA474F"/>
    <w:rsid w:val="00EA49FC"/>
    <w:rsid w:val="00EA4E6E"/>
    <w:rsid w:val="00EA5146"/>
    <w:rsid w:val="00EA51F0"/>
    <w:rsid w:val="00EA55BC"/>
    <w:rsid w:val="00EA5A07"/>
    <w:rsid w:val="00EA5B73"/>
    <w:rsid w:val="00EA65E8"/>
    <w:rsid w:val="00EA6C33"/>
    <w:rsid w:val="00EA6DAC"/>
    <w:rsid w:val="00EA7204"/>
    <w:rsid w:val="00EA736A"/>
    <w:rsid w:val="00EA73D9"/>
    <w:rsid w:val="00EA74A3"/>
    <w:rsid w:val="00EA74E2"/>
    <w:rsid w:val="00EA75C6"/>
    <w:rsid w:val="00EA7700"/>
    <w:rsid w:val="00EA7A80"/>
    <w:rsid w:val="00EA7AC7"/>
    <w:rsid w:val="00EA7E21"/>
    <w:rsid w:val="00EB026C"/>
    <w:rsid w:val="00EB0576"/>
    <w:rsid w:val="00EB0BB1"/>
    <w:rsid w:val="00EB0D98"/>
    <w:rsid w:val="00EB0E37"/>
    <w:rsid w:val="00EB0F53"/>
    <w:rsid w:val="00EB1358"/>
    <w:rsid w:val="00EB1629"/>
    <w:rsid w:val="00EB16E3"/>
    <w:rsid w:val="00EB1A59"/>
    <w:rsid w:val="00EB1BB1"/>
    <w:rsid w:val="00EB1C54"/>
    <w:rsid w:val="00EB1F34"/>
    <w:rsid w:val="00EB2600"/>
    <w:rsid w:val="00EB2898"/>
    <w:rsid w:val="00EB297D"/>
    <w:rsid w:val="00EB2F8D"/>
    <w:rsid w:val="00EB31B4"/>
    <w:rsid w:val="00EB3478"/>
    <w:rsid w:val="00EB347D"/>
    <w:rsid w:val="00EB38E1"/>
    <w:rsid w:val="00EB3A08"/>
    <w:rsid w:val="00EB3AD4"/>
    <w:rsid w:val="00EB427B"/>
    <w:rsid w:val="00EB4360"/>
    <w:rsid w:val="00EB444D"/>
    <w:rsid w:val="00EB45C6"/>
    <w:rsid w:val="00EB4823"/>
    <w:rsid w:val="00EB4AE0"/>
    <w:rsid w:val="00EB4C63"/>
    <w:rsid w:val="00EB542A"/>
    <w:rsid w:val="00EB54E4"/>
    <w:rsid w:val="00EB55F6"/>
    <w:rsid w:val="00EB5623"/>
    <w:rsid w:val="00EB5CD5"/>
    <w:rsid w:val="00EB5DAD"/>
    <w:rsid w:val="00EB5F57"/>
    <w:rsid w:val="00EB66BF"/>
    <w:rsid w:val="00EB6944"/>
    <w:rsid w:val="00EB7882"/>
    <w:rsid w:val="00EB7D5D"/>
    <w:rsid w:val="00EC018F"/>
    <w:rsid w:val="00EC05BB"/>
    <w:rsid w:val="00EC0884"/>
    <w:rsid w:val="00EC08E9"/>
    <w:rsid w:val="00EC0999"/>
    <w:rsid w:val="00EC0F3B"/>
    <w:rsid w:val="00EC10A9"/>
    <w:rsid w:val="00EC11FE"/>
    <w:rsid w:val="00EC1700"/>
    <w:rsid w:val="00EC17BB"/>
    <w:rsid w:val="00EC18D4"/>
    <w:rsid w:val="00EC1A58"/>
    <w:rsid w:val="00EC1B6F"/>
    <w:rsid w:val="00EC1CD2"/>
    <w:rsid w:val="00EC2140"/>
    <w:rsid w:val="00EC240D"/>
    <w:rsid w:val="00EC2494"/>
    <w:rsid w:val="00EC2508"/>
    <w:rsid w:val="00EC260A"/>
    <w:rsid w:val="00EC2B51"/>
    <w:rsid w:val="00EC2C32"/>
    <w:rsid w:val="00EC33D6"/>
    <w:rsid w:val="00EC349E"/>
    <w:rsid w:val="00EC3ACB"/>
    <w:rsid w:val="00EC3DC5"/>
    <w:rsid w:val="00EC3E24"/>
    <w:rsid w:val="00EC4232"/>
    <w:rsid w:val="00EC451E"/>
    <w:rsid w:val="00EC4862"/>
    <w:rsid w:val="00EC4AEE"/>
    <w:rsid w:val="00EC4B7F"/>
    <w:rsid w:val="00EC4E53"/>
    <w:rsid w:val="00EC518A"/>
    <w:rsid w:val="00EC52E4"/>
    <w:rsid w:val="00EC55D1"/>
    <w:rsid w:val="00EC56D8"/>
    <w:rsid w:val="00EC58E0"/>
    <w:rsid w:val="00EC59F0"/>
    <w:rsid w:val="00EC6542"/>
    <w:rsid w:val="00EC7377"/>
    <w:rsid w:val="00EC76A5"/>
    <w:rsid w:val="00EC770C"/>
    <w:rsid w:val="00EC77C4"/>
    <w:rsid w:val="00EC7D93"/>
    <w:rsid w:val="00EC7D98"/>
    <w:rsid w:val="00ED026C"/>
    <w:rsid w:val="00ED0533"/>
    <w:rsid w:val="00ED0AD1"/>
    <w:rsid w:val="00ED0AD3"/>
    <w:rsid w:val="00ED0EDE"/>
    <w:rsid w:val="00ED0F0A"/>
    <w:rsid w:val="00ED0F28"/>
    <w:rsid w:val="00ED1233"/>
    <w:rsid w:val="00ED1321"/>
    <w:rsid w:val="00ED15BB"/>
    <w:rsid w:val="00ED17CE"/>
    <w:rsid w:val="00ED1A8D"/>
    <w:rsid w:val="00ED1F9C"/>
    <w:rsid w:val="00ED2020"/>
    <w:rsid w:val="00ED2023"/>
    <w:rsid w:val="00ED21A9"/>
    <w:rsid w:val="00ED231D"/>
    <w:rsid w:val="00ED2613"/>
    <w:rsid w:val="00ED2941"/>
    <w:rsid w:val="00ED29F9"/>
    <w:rsid w:val="00ED2C32"/>
    <w:rsid w:val="00ED2EAD"/>
    <w:rsid w:val="00ED2EE9"/>
    <w:rsid w:val="00ED335D"/>
    <w:rsid w:val="00ED342C"/>
    <w:rsid w:val="00ED3808"/>
    <w:rsid w:val="00ED382B"/>
    <w:rsid w:val="00ED3CE9"/>
    <w:rsid w:val="00ED4215"/>
    <w:rsid w:val="00ED4402"/>
    <w:rsid w:val="00ED4633"/>
    <w:rsid w:val="00ED48F9"/>
    <w:rsid w:val="00ED49CB"/>
    <w:rsid w:val="00ED4D10"/>
    <w:rsid w:val="00ED4D9A"/>
    <w:rsid w:val="00ED521B"/>
    <w:rsid w:val="00ED5289"/>
    <w:rsid w:val="00ED544F"/>
    <w:rsid w:val="00ED583F"/>
    <w:rsid w:val="00ED5C85"/>
    <w:rsid w:val="00ED5F3C"/>
    <w:rsid w:val="00ED6483"/>
    <w:rsid w:val="00ED64CC"/>
    <w:rsid w:val="00ED6776"/>
    <w:rsid w:val="00ED7192"/>
    <w:rsid w:val="00ED720E"/>
    <w:rsid w:val="00ED7570"/>
    <w:rsid w:val="00ED7845"/>
    <w:rsid w:val="00ED796C"/>
    <w:rsid w:val="00ED7C3D"/>
    <w:rsid w:val="00EE0319"/>
    <w:rsid w:val="00EE07DA"/>
    <w:rsid w:val="00EE0940"/>
    <w:rsid w:val="00EE0DE9"/>
    <w:rsid w:val="00EE200A"/>
    <w:rsid w:val="00EE25BF"/>
    <w:rsid w:val="00EE2B84"/>
    <w:rsid w:val="00EE2D66"/>
    <w:rsid w:val="00EE3097"/>
    <w:rsid w:val="00EE36D4"/>
    <w:rsid w:val="00EE3800"/>
    <w:rsid w:val="00EE3883"/>
    <w:rsid w:val="00EE38F5"/>
    <w:rsid w:val="00EE3BA2"/>
    <w:rsid w:val="00EE4243"/>
    <w:rsid w:val="00EE430C"/>
    <w:rsid w:val="00EE4C87"/>
    <w:rsid w:val="00EE4E2B"/>
    <w:rsid w:val="00EE5232"/>
    <w:rsid w:val="00EE52ED"/>
    <w:rsid w:val="00EE5AC4"/>
    <w:rsid w:val="00EE5BB4"/>
    <w:rsid w:val="00EE5C77"/>
    <w:rsid w:val="00EE63C4"/>
    <w:rsid w:val="00EE698F"/>
    <w:rsid w:val="00EE6EAE"/>
    <w:rsid w:val="00EE746C"/>
    <w:rsid w:val="00EE7892"/>
    <w:rsid w:val="00EE7C7F"/>
    <w:rsid w:val="00EF0260"/>
    <w:rsid w:val="00EF0447"/>
    <w:rsid w:val="00EF0561"/>
    <w:rsid w:val="00EF05FC"/>
    <w:rsid w:val="00EF11DF"/>
    <w:rsid w:val="00EF124D"/>
    <w:rsid w:val="00EF181D"/>
    <w:rsid w:val="00EF1A69"/>
    <w:rsid w:val="00EF2132"/>
    <w:rsid w:val="00EF232E"/>
    <w:rsid w:val="00EF2458"/>
    <w:rsid w:val="00EF265C"/>
    <w:rsid w:val="00EF2795"/>
    <w:rsid w:val="00EF279B"/>
    <w:rsid w:val="00EF28D2"/>
    <w:rsid w:val="00EF2999"/>
    <w:rsid w:val="00EF299D"/>
    <w:rsid w:val="00EF2B47"/>
    <w:rsid w:val="00EF34A4"/>
    <w:rsid w:val="00EF391B"/>
    <w:rsid w:val="00EF398D"/>
    <w:rsid w:val="00EF3C4F"/>
    <w:rsid w:val="00EF43F6"/>
    <w:rsid w:val="00EF4415"/>
    <w:rsid w:val="00EF4434"/>
    <w:rsid w:val="00EF46B9"/>
    <w:rsid w:val="00EF473D"/>
    <w:rsid w:val="00EF4BE4"/>
    <w:rsid w:val="00EF4C18"/>
    <w:rsid w:val="00EF56A1"/>
    <w:rsid w:val="00EF58F1"/>
    <w:rsid w:val="00EF5B7A"/>
    <w:rsid w:val="00EF5B86"/>
    <w:rsid w:val="00EF6494"/>
    <w:rsid w:val="00EF7147"/>
    <w:rsid w:val="00EF71D1"/>
    <w:rsid w:val="00EF741F"/>
    <w:rsid w:val="00EF746B"/>
    <w:rsid w:val="00EF76B1"/>
    <w:rsid w:val="00EF7D2D"/>
    <w:rsid w:val="00EF7E41"/>
    <w:rsid w:val="00EF7EB3"/>
    <w:rsid w:val="00EF7FD9"/>
    <w:rsid w:val="00F00AE7"/>
    <w:rsid w:val="00F011A2"/>
    <w:rsid w:val="00F014A8"/>
    <w:rsid w:val="00F0170A"/>
    <w:rsid w:val="00F0177F"/>
    <w:rsid w:val="00F0189C"/>
    <w:rsid w:val="00F01F7B"/>
    <w:rsid w:val="00F020A0"/>
    <w:rsid w:val="00F02303"/>
    <w:rsid w:val="00F023E4"/>
    <w:rsid w:val="00F0266C"/>
    <w:rsid w:val="00F02A5C"/>
    <w:rsid w:val="00F02AC9"/>
    <w:rsid w:val="00F02B6F"/>
    <w:rsid w:val="00F02CE0"/>
    <w:rsid w:val="00F02CEA"/>
    <w:rsid w:val="00F02D4E"/>
    <w:rsid w:val="00F02D8D"/>
    <w:rsid w:val="00F03057"/>
    <w:rsid w:val="00F03B60"/>
    <w:rsid w:val="00F03B81"/>
    <w:rsid w:val="00F04892"/>
    <w:rsid w:val="00F04CE4"/>
    <w:rsid w:val="00F0525E"/>
    <w:rsid w:val="00F05494"/>
    <w:rsid w:val="00F0575D"/>
    <w:rsid w:val="00F05D3B"/>
    <w:rsid w:val="00F05E0D"/>
    <w:rsid w:val="00F05E19"/>
    <w:rsid w:val="00F06198"/>
    <w:rsid w:val="00F064BF"/>
    <w:rsid w:val="00F06984"/>
    <w:rsid w:val="00F06EC7"/>
    <w:rsid w:val="00F0701B"/>
    <w:rsid w:val="00F07277"/>
    <w:rsid w:val="00F075C4"/>
    <w:rsid w:val="00F07C75"/>
    <w:rsid w:val="00F07D95"/>
    <w:rsid w:val="00F102F7"/>
    <w:rsid w:val="00F1051A"/>
    <w:rsid w:val="00F1088C"/>
    <w:rsid w:val="00F10EED"/>
    <w:rsid w:val="00F1102A"/>
    <w:rsid w:val="00F110AF"/>
    <w:rsid w:val="00F11101"/>
    <w:rsid w:val="00F1170D"/>
    <w:rsid w:val="00F1175D"/>
    <w:rsid w:val="00F11C70"/>
    <w:rsid w:val="00F11F23"/>
    <w:rsid w:val="00F11FA8"/>
    <w:rsid w:val="00F121B0"/>
    <w:rsid w:val="00F1243C"/>
    <w:rsid w:val="00F13165"/>
    <w:rsid w:val="00F13BC6"/>
    <w:rsid w:val="00F13D68"/>
    <w:rsid w:val="00F14151"/>
    <w:rsid w:val="00F1436A"/>
    <w:rsid w:val="00F14A6E"/>
    <w:rsid w:val="00F15093"/>
    <w:rsid w:val="00F15606"/>
    <w:rsid w:val="00F15C1C"/>
    <w:rsid w:val="00F15DA4"/>
    <w:rsid w:val="00F1604C"/>
    <w:rsid w:val="00F167A9"/>
    <w:rsid w:val="00F1694E"/>
    <w:rsid w:val="00F17582"/>
    <w:rsid w:val="00F17F39"/>
    <w:rsid w:val="00F17F61"/>
    <w:rsid w:val="00F20919"/>
    <w:rsid w:val="00F20B82"/>
    <w:rsid w:val="00F20D65"/>
    <w:rsid w:val="00F210E9"/>
    <w:rsid w:val="00F213A6"/>
    <w:rsid w:val="00F214C3"/>
    <w:rsid w:val="00F2160F"/>
    <w:rsid w:val="00F2181D"/>
    <w:rsid w:val="00F21A41"/>
    <w:rsid w:val="00F21CB7"/>
    <w:rsid w:val="00F21D16"/>
    <w:rsid w:val="00F21E0C"/>
    <w:rsid w:val="00F22151"/>
    <w:rsid w:val="00F222A1"/>
    <w:rsid w:val="00F2255E"/>
    <w:rsid w:val="00F22917"/>
    <w:rsid w:val="00F22BFB"/>
    <w:rsid w:val="00F22D4C"/>
    <w:rsid w:val="00F22F87"/>
    <w:rsid w:val="00F23240"/>
    <w:rsid w:val="00F23392"/>
    <w:rsid w:val="00F2380C"/>
    <w:rsid w:val="00F23830"/>
    <w:rsid w:val="00F23B9F"/>
    <w:rsid w:val="00F23EDC"/>
    <w:rsid w:val="00F2415E"/>
    <w:rsid w:val="00F2427D"/>
    <w:rsid w:val="00F242A6"/>
    <w:rsid w:val="00F243E3"/>
    <w:rsid w:val="00F24672"/>
    <w:rsid w:val="00F246A3"/>
    <w:rsid w:val="00F24960"/>
    <w:rsid w:val="00F24BEF"/>
    <w:rsid w:val="00F24C4D"/>
    <w:rsid w:val="00F24D00"/>
    <w:rsid w:val="00F24EA6"/>
    <w:rsid w:val="00F2573D"/>
    <w:rsid w:val="00F2583B"/>
    <w:rsid w:val="00F25DE7"/>
    <w:rsid w:val="00F25EB7"/>
    <w:rsid w:val="00F25EC3"/>
    <w:rsid w:val="00F25F98"/>
    <w:rsid w:val="00F25FB0"/>
    <w:rsid w:val="00F26492"/>
    <w:rsid w:val="00F26927"/>
    <w:rsid w:val="00F26A66"/>
    <w:rsid w:val="00F27641"/>
    <w:rsid w:val="00F277B7"/>
    <w:rsid w:val="00F278C9"/>
    <w:rsid w:val="00F27B44"/>
    <w:rsid w:val="00F3012D"/>
    <w:rsid w:val="00F30223"/>
    <w:rsid w:val="00F304EF"/>
    <w:rsid w:val="00F307A6"/>
    <w:rsid w:val="00F308D7"/>
    <w:rsid w:val="00F30989"/>
    <w:rsid w:val="00F30A15"/>
    <w:rsid w:val="00F31248"/>
    <w:rsid w:val="00F314AE"/>
    <w:rsid w:val="00F31ED4"/>
    <w:rsid w:val="00F328C4"/>
    <w:rsid w:val="00F331C9"/>
    <w:rsid w:val="00F331E6"/>
    <w:rsid w:val="00F334CF"/>
    <w:rsid w:val="00F33724"/>
    <w:rsid w:val="00F337DD"/>
    <w:rsid w:val="00F33D01"/>
    <w:rsid w:val="00F33FAB"/>
    <w:rsid w:val="00F347E9"/>
    <w:rsid w:val="00F349AC"/>
    <w:rsid w:val="00F34AA0"/>
    <w:rsid w:val="00F34CB1"/>
    <w:rsid w:val="00F34DD9"/>
    <w:rsid w:val="00F35A82"/>
    <w:rsid w:val="00F35D39"/>
    <w:rsid w:val="00F36164"/>
    <w:rsid w:val="00F36188"/>
    <w:rsid w:val="00F36259"/>
    <w:rsid w:val="00F36273"/>
    <w:rsid w:val="00F36508"/>
    <w:rsid w:val="00F36F7A"/>
    <w:rsid w:val="00F372AC"/>
    <w:rsid w:val="00F3743D"/>
    <w:rsid w:val="00F37EB9"/>
    <w:rsid w:val="00F40095"/>
    <w:rsid w:val="00F408D3"/>
    <w:rsid w:val="00F4093B"/>
    <w:rsid w:val="00F40E42"/>
    <w:rsid w:val="00F412AA"/>
    <w:rsid w:val="00F417FF"/>
    <w:rsid w:val="00F41987"/>
    <w:rsid w:val="00F419B9"/>
    <w:rsid w:val="00F419F3"/>
    <w:rsid w:val="00F41A51"/>
    <w:rsid w:val="00F41A54"/>
    <w:rsid w:val="00F41ED5"/>
    <w:rsid w:val="00F4204E"/>
    <w:rsid w:val="00F42547"/>
    <w:rsid w:val="00F4264C"/>
    <w:rsid w:val="00F42850"/>
    <w:rsid w:val="00F4285A"/>
    <w:rsid w:val="00F4390A"/>
    <w:rsid w:val="00F43A81"/>
    <w:rsid w:val="00F446A4"/>
    <w:rsid w:val="00F4471F"/>
    <w:rsid w:val="00F448F4"/>
    <w:rsid w:val="00F44A24"/>
    <w:rsid w:val="00F44A67"/>
    <w:rsid w:val="00F44A7A"/>
    <w:rsid w:val="00F44E46"/>
    <w:rsid w:val="00F4513B"/>
    <w:rsid w:val="00F452BF"/>
    <w:rsid w:val="00F45AEF"/>
    <w:rsid w:val="00F45E5D"/>
    <w:rsid w:val="00F46588"/>
    <w:rsid w:val="00F466C9"/>
    <w:rsid w:val="00F4684B"/>
    <w:rsid w:val="00F468C4"/>
    <w:rsid w:val="00F46B4F"/>
    <w:rsid w:val="00F46BA7"/>
    <w:rsid w:val="00F46FE9"/>
    <w:rsid w:val="00F47320"/>
    <w:rsid w:val="00F474E5"/>
    <w:rsid w:val="00F508B3"/>
    <w:rsid w:val="00F5094E"/>
    <w:rsid w:val="00F50B2D"/>
    <w:rsid w:val="00F50C20"/>
    <w:rsid w:val="00F5108F"/>
    <w:rsid w:val="00F5117A"/>
    <w:rsid w:val="00F51648"/>
    <w:rsid w:val="00F518C1"/>
    <w:rsid w:val="00F523AD"/>
    <w:rsid w:val="00F523D3"/>
    <w:rsid w:val="00F52B14"/>
    <w:rsid w:val="00F52B7B"/>
    <w:rsid w:val="00F52C18"/>
    <w:rsid w:val="00F52CB9"/>
    <w:rsid w:val="00F52FC4"/>
    <w:rsid w:val="00F53550"/>
    <w:rsid w:val="00F53ADB"/>
    <w:rsid w:val="00F53C6D"/>
    <w:rsid w:val="00F53F64"/>
    <w:rsid w:val="00F54994"/>
    <w:rsid w:val="00F54C9A"/>
    <w:rsid w:val="00F54CE2"/>
    <w:rsid w:val="00F55BAD"/>
    <w:rsid w:val="00F55C3D"/>
    <w:rsid w:val="00F560F0"/>
    <w:rsid w:val="00F56254"/>
    <w:rsid w:val="00F56303"/>
    <w:rsid w:val="00F568AA"/>
    <w:rsid w:val="00F56E9A"/>
    <w:rsid w:val="00F57010"/>
    <w:rsid w:val="00F571FE"/>
    <w:rsid w:val="00F574EB"/>
    <w:rsid w:val="00F579F1"/>
    <w:rsid w:val="00F57C25"/>
    <w:rsid w:val="00F60000"/>
    <w:rsid w:val="00F60057"/>
    <w:rsid w:val="00F6023E"/>
    <w:rsid w:val="00F607AE"/>
    <w:rsid w:val="00F6096D"/>
    <w:rsid w:val="00F60A0D"/>
    <w:rsid w:val="00F60D43"/>
    <w:rsid w:val="00F6165D"/>
    <w:rsid w:val="00F618EB"/>
    <w:rsid w:val="00F61AAF"/>
    <w:rsid w:val="00F61D6D"/>
    <w:rsid w:val="00F62585"/>
    <w:rsid w:val="00F625C1"/>
    <w:rsid w:val="00F6273A"/>
    <w:rsid w:val="00F62B45"/>
    <w:rsid w:val="00F62F27"/>
    <w:rsid w:val="00F62F7E"/>
    <w:rsid w:val="00F631E5"/>
    <w:rsid w:val="00F63230"/>
    <w:rsid w:val="00F6338C"/>
    <w:rsid w:val="00F637D5"/>
    <w:rsid w:val="00F63A9D"/>
    <w:rsid w:val="00F63E54"/>
    <w:rsid w:val="00F63E73"/>
    <w:rsid w:val="00F644B5"/>
    <w:rsid w:val="00F64518"/>
    <w:rsid w:val="00F64592"/>
    <w:rsid w:val="00F64636"/>
    <w:rsid w:val="00F64C0A"/>
    <w:rsid w:val="00F650C7"/>
    <w:rsid w:val="00F65164"/>
    <w:rsid w:val="00F65703"/>
    <w:rsid w:val="00F65727"/>
    <w:rsid w:val="00F65E2F"/>
    <w:rsid w:val="00F66028"/>
    <w:rsid w:val="00F661FA"/>
    <w:rsid w:val="00F66692"/>
    <w:rsid w:val="00F67319"/>
    <w:rsid w:val="00F6765D"/>
    <w:rsid w:val="00F67954"/>
    <w:rsid w:val="00F67B82"/>
    <w:rsid w:val="00F67EE5"/>
    <w:rsid w:val="00F67F9C"/>
    <w:rsid w:val="00F7049A"/>
    <w:rsid w:val="00F70B7F"/>
    <w:rsid w:val="00F711AD"/>
    <w:rsid w:val="00F71892"/>
    <w:rsid w:val="00F71BCB"/>
    <w:rsid w:val="00F71D54"/>
    <w:rsid w:val="00F71E65"/>
    <w:rsid w:val="00F71EA1"/>
    <w:rsid w:val="00F720ED"/>
    <w:rsid w:val="00F726EE"/>
    <w:rsid w:val="00F72B55"/>
    <w:rsid w:val="00F735D9"/>
    <w:rsid w:val="00F735F3"/>
    <w:rsid w:val="00F73763"/>
    <w:rsid w:val="00F73815"/>
    <w:rsid w:val="00F73E5A"/>
    <w:rsid w:val="00F740D9"/>
    <w:rsid w:val="00F740FA"/>
    <w:rsid w:val="00F74879"/>
    <w:rsid w:val="00F74B13"/>
    <w:rsid w:val="00F74DE5"/>
    <w:rsid w:val="00F74EBF"/>
    <w:rsid w:val="00F75221"/>
    <w:rsid w:val="00F75298"/>
    <w:rsid w:val="00F75347"/>
    <w:rsid w:val="00F7567D"/>
    <w:rsid w:val="00F756D3"/>
    <w:rsid w:val="00F7595F"/>
    <w:rsid w:val="00F75DEE"/>
    <w:rsid w:val="00F768D0"/>
    <w:rsid w:val="00F76D96"/>
    <w:rsid w:val="00F76DB9"/>
    <w:rsid w:val="00F76FD3"/>
    <w:rsid w:val="00F77391"/>
    <w:rsid w:val="00F77CA2"/>
    <w:rsid w:val="00F77D36"/>
    <w:rsid w:val="00F77F7F"/>
    <w:rsid w:val="00F80107"/>
    <w:rsid w:val="00F804A8"/>
    <w:rsid w:val="00F807F1"/>
    <w:rsid w:val="00F80AC9"/>
    <w:rsid w:val="00F80E11"/>
    <w:rsid w:val="00F812F3"/>
    <w:rsid w:val="00F8137E"/>
    <w:rsid w:val="00F813CB"/>
    <w:rsid w:val="00F81454"/>
    <w:rsid w:val="00F814E9"/>
    <w:rsid w:val="00F817AC"/>
    <w:rsid w:val="00F822A2"/>
    <w:rsid w:val="00F82BF0"/>
    <w:rsid w:val="00F830E9"/>
    <w:rsid w:val="00F830F3"/>
    <w:rsid w:val="00F83144"/>
    <w:rsid w:val="00F831FB"/>
    <w:rsid w:val="00F832EA"/>
    <w:rsid w:val="00F833D3"/>
    <w:rsid w:val="00F8387E"/>
    <w:rsid w:val="00F83C5F"/>
    <w:rsid w:val="00F84321"/>
    <w:rsid w:val="00F84395"/>
    <w:rsid w:val="00F843A9"/>
    <w:rsid w:val="00F845F0"/>
    <w:rsid w:val="00F84D72"/>
    <w:rsid w:val="00F85800"/>
    <w:rsid w:val="00F85803"/>
    <w:rsid w:val="00F85F94"/>
    <w:rsid w:val="00F86F82"/>
    <w:rsid w:val="00F879F9"/>
    <w:rsid w:val="00F900AB"/>
    <w:rsid w:val="00F90378"/>
    <w:rsid w:val="00F9058F"/>
    <w:rsid w:val="00F90BB1"/>
    <w:rsid w:val="00F90BCB"/>
    <w:rsid w:val="00F90C50"/>
    <w:rsid w:val="00F90F6C"/>
    <w:rsid w:val="00F91057"/>
    <w:rsid w:val="00F92851"/>
    <w:rsid w:val="00F92C9E"/>
    <w:rsid w:val="00F9339E"/>
    <w:rsid w:val="00F93BA6"/>
    <w:rsid w:val="00F93BFE"/>
    <w:rsid w:val="00F93C64"/>
    <w:rsid w:val="00F93F91"/>
    <w:rsid w:val="00F941DB"/>
    <w:rsid w:val="00F9498A"/>
    <w:rsid w:val="00F94FC2"/>
    <w:rsid w:val="00F95624"/>
    <w:rsid w:val="00F95AD9"/>
    <w:rsid w:val="00F963B2"/>
    <w:rsid w:val="00F96640"/>
    <w:rsid w:val="00F966B2"/>
    <w:rsid w:val="00F966CA"/>
    <w:rsid w:val="00F96AB2"/>
    <w:rsid w:val="00F96AB8"/>
    <w:rsid w:val="00F96D56"/>
    <w:rsid w:val="00F97341"/>
    <w:rsid w:val="00F97456"/>
    <w:rsid w:val="00F97569"/>
    <w:rsid w:val="00F977E0"/>
    <w:rsid w:val="00F97C16"/>
    <w:rsid w:val="00FA0517"/>
    <w:rsid w:val="00FA05A9"/>
    <w:rsid w:val="00FA0619"/>
    <w:rsid w:val="00FA06B8"/>
    <w:rsid w:val="00FA1506"/>
    <w:rsid w:val="00FA1967"/>
    <w:rsid w:val="00FA1A84"/>
    <w:rsid w:val="00FA1A97"/>
    <w:rsid w:val="00FA1B2C"/>
    <w:rsid w:val="00FA1D22"/>
    <w:rsid w:val="00FA2401"/>
    <w:rsid w:val="00FA2528"/>
    <w:rsid w:val="00FA2976"/>
    <w:rsid w:val="00FA2CB3"/>
    <w:rsid w:val="00FA2ECA"/>
    <w:rsid w:val="00FA30F8"/>
    <w:rsid w:val="00FA3956"/>
    <w:rsid w:val="00FA3A4C"/>
    <w:rsid w:val="00FA3E57"/>
    <w:rsid w:val="00FA513E"/>
    <w:rsid w:val="00FA54BA"/>
    <w:rsid w:val="00FA55BC"/>
    <w:rsid w:val="00FA576E"/>
    <w:rsid w:val="00FA5A90"/>
    <w:rsid w:val="00FA5C3F"/>
    <w:rsid w:val="00FA5FF4"/>
    <w:rsid w:val="00FA61C8"/>
    <w:rsid w:val="00FA61E4"/>
    <w:rsid w:val="00FA6375"/>
    <w:rsid w:val="00FA6ABA"/>
    <w:rsid w:val="00FA6C09"/>
    <w:rsid w:val="00FA6C73"/>
    <w:rsid w:val="00FA6F8C"/>
    <w:rsid w:val="00FA77FA"/>
    <w:rsid w:val="00FA7D9C"/>
    <w:rsid w:val="00FA7F1E"/>
    <w:rsid w:val="00FB0075"/>
    <w:rsid w:val="00FB048C"/>
    <w:rsid w:val="00FB08CE"/>
    <w:rsid w:val="00FB0902"/>
    <w:rsid w:val="00FB10AB"/>
    <w:rsid w:val="00FB1710"/>
    <w:rsid w:val="00FB1834"/>
    <w:rsid w:val="00FB1CB4"/>
    <w:rsid w:val="00FB1D81"/>
    <w:rsid w:val="00FB254D"/>
    <w:rsid w:val="00FB2655"/>
    <w:rsid w:val="00FB2A92"/>
    <w:rsid w:val="00FB2B65"/>
    <w:rsid w:val="00FB302A"/>
    <w:rsid w:val="00FB305F"/>
    <w:rsid w:val="00FB320B"/>
    <w:rsid w:val="00FB37F1"/>
    <w:rsid w:val="00FB387D"/>
    <w:rsid w:val="00FB38EF"/>
    <w:rsid w:val="00FB39CA"/>
    <w:rsid w:val="00FB3B35"/>
    <w:rsid w:val="00FB3F49"/>
    <w:rsid w:val="00FB44A0"/>
    <w:rsid w:val="00FB4649"/>
    <w:rsid w:val="00FB495C"/>
    <w:rsid w:val="00FB4E04"/>
    <w:rsid w:val="00FB5193"/>
    <w:rsid w:val="00FB53A6"/>
    <w:rsid w:val="00FB5442"/>
    <w:rsid w:val="00FB5557"/>
    <w:rsid w:val="00FB5709"/>
    <w:rsid w:val="00FB571A"/>
    <w:rsid w:val="00FB5A40"/>
    <w:rsid w:val="00FB5B09"/>
    <w:rsid w:val="00FB5F74"/>
    <w:rsid w:val="00FB6019"/>
    <w:rsid w:val="00FB6031"/>
    <w:rsid w:val="00FB61B6"/>
    <w:rsid w:val="00FB62CD"/>
    <w:rsid w:val="00FB6E45"/>
    <w:rsid w:val="00FB6F69"/>
    <w:rsid w:val="00FB703D"/>
    <w:rsid w:val="00FB7077"/>
    <w:rsid w:val="00FB70DD"/>
    <w:rsid w:val="00FB7DCF"/>
    <w:rsid w:val="00FB7EF4"/>
    <w:rsid w:val="00FC0532"/>
    <w:rsid w:val="00FC068B"/>
    <w:rsid w:val="00FC0AAD"/>
    <w:rsid w:val="00FC0B7C"/>
    <w:rsid w:val="00FC155D"/>
    <w:rsid w:val="00FC1B57"/>
    <w:rsid w:val="00FC1B5D"/>
    <w:rsid w:val="00FC1DFC"/>
    <w:rsid w:val="00FC23AF"/>
    <w:rsid w:val="00FC2A6D"/>
    <w:rsid w:val="00FC356D"/>
    <w:rsid w:val="00FC3A36"/>
    <w:rsid w:val="00FC3AFF"/>
    <w:rsid w:val="00FC3D9C"/>
    <w:rsid w:val="00FC3DB3"/>
    <w:rsid w:val="00FC3E21"/>
    <w:rsid w:val="00FC41C3"/>
    <w:rsid w:val="00FC4D6F"/>
    <w:rsid w:val="00FC4F99"/>
    <w:rsid w:val="00FC53B7"/>
    <w:rsid w:val="00FC57B6"/>
    <w:rsid w:val="00FC5A58"/>
    <w:rsid w:val="00FC5FF0"/>
    <w:rsid w:val="00FC6291"/>
    <w:rsid w:val="00FC646D"/>
    <w:rsid w:val="00FC64C0"/>
    <w:rsid w:val="00FC70B2"/>
    <w:rsid w:val="00FC7436"/>
    <w:rsid w:val="00FC7613"/>
    <w:rsid w:val="00FC793B"/>
    <w:rsid w:val="00FC7A48"/>
    <w:rsid w:val="00FC7C56"/>
    <w:rsid w:val="00FC7C79"/>
    <w:rsid w:val="00FD0009"/>
    <w:rsid w:val="00FD0104"/>
    <w:rsid w:val="00FD0151"/>
    <w:rsid w:val="00FD083D"/>
    <w:rsid w:val="00FD086F"/>
    <w:rsid w:val="00FD0A23"/>
    <w:rsid w:val="00FD0A62"/>
    <w:rsid w:val="00FD0A9E"/>
    <w:rsid w:val="00FD0AA0"/>
    <w:rsid w:val="00FD0B39"/>
    <w:rsid w:val="00FD0DB2"/>
    <w:rsid w:val="00FD14B0"/>
    <w:rsid w:val="00FD16F4"/>
    <w:rsid w:val="00FD180D"/>
    <w:rsid w:val="00FD1A20"/>
    <w:rsid w:val="00FD1FAE"/>
    <w:rsid w:val="00FD229A"/>
    <w:rsid w:val="00FD2415"/>
    <w:rsid w:val="00FD25A3"/>
    <w:rsid w:val="00FD3253"/>
    <w:rsid w:val="00FD32C4"/>
    <w:rsid w:val="00FD34B9"/>
    <w:rsid w:val="00FD3CB2"/>
    <w:rsid w:val="00FD3D53"/>
    <w:rsid w:val="00FD3FC3"/>
    <w:rsid w:val="00FD42DD"/>
    <w:rsid w:val="00FD4312"/>
    <w:rsid w:val="00FD431C"/>
    <w:rsid w:val="00FD44A1"/>
    <w:rsid w:val="00FD476F"/>
    <w:rsid w:val="00FD4F4B"/>
    <w:rsid w:val="00FD5125"/>
    <w:rsid w:val="00FD52EA"/>
    <w:rsid w:val="00FD5B38"/>
    <w:rsid w:val="00FD5DFF"/>
    <w:rsid w:val="00FD5F0A"/>
    <w:rsid w:val="00FD5FFE"/>
    <w:rsid w:val="00FD64AE"/>
    <w:rsid w:val="00FD67E8"/>
    <w:rsid w:val="00FD6B54"/>
    <w:rsid w:val="00FD6E7C"/>
    <w:rsid w:val="00FD7358"/>
    <w:rsid w:val="00FD76A4"/>
    <w:rsid w:val="00FD77A6"/>
    <w:rsid w:val="00FD7A1F"/>
    <w:rsid w:val="00FD7AF2"/>
    <w:rsid w:val="00FD7B99"/>
    <w:rsid w:val="00FD7BD1"/>
    <w:rsid w:val="00FE00F9"/>
    <w:rsid w:val="00FE0306"/>
    <w:rsid w:val="00FE05C7"/>
    <w:rsid w:val="00FE05D4"/>
    <w:rsid w:val="00FE0A48"/>
    <w:rsid w:val="00FE0B2E"/>
    <w:rsid w:val="00FE0D33"/>
    <w:rsid w:val="00FE1A0D"/>
    <w:rsid w:val="00FE1F2A"/>
    <w:rsid w:val="00FE20A2"/>
    <w:rsid w:val="00FE2831"/>
    <w:rsid w:val="00FE2947"/>
    <w:rsid w:val="00FE2ADA"/>
    <w:rsid w:val="00FE2B13"/>
    <w:rsid w:val="00FE2D38"/>
    <w:rsid w:val="00FE2DB2"/>
    <w:rsid w:val="00FE2E08"/>
    <w:rsid w:val="00FE33E9"/>
    <w:rsid w:val="00FE368C"/>
    <w:rsid w:val="00FE3CFD"/>
    <w:rsid w:val="00FE4039"/>
    <w:rsid w:val="00FE4118"/>
    <w:rsid w:val="00FE44E1"/>
    <w:rsid w:val="00FE45DB"/>
    <w:rsid w:val="00FE4B3F"/>
    <w:rsid w:val="00FE4C11"/>
    <w:rsid w:val="00FE4DDA"/>
    <w:rsid w:val="00FE52C2"/>
    <w:rsid w:val="00FE5788"/>
    <w:rsid w:val="00FE598F"/>
    <w:rsid w:val="00FE608C"/>
    <w:rsid w:val="00FE6BFE"/>
    <w:rsid w:val="00FE71CD"/>
    <w:rsid w:val="00FE737F"/>
    <w:rsid w:val="00FE758E"/>
    <w:rsid w:val="00FE7786"/>
    <w:rsid w:val="00FE77FD"/>
    <w:rsid w:val="00FE7BAB"/>
    <w:rsid w:val="00FE7CC4"/>
    <w:rsid w:val="00FE7DBF"/>
    <w:rsid w:val="00FF0026"/>
    <w:rsid w:val="00FF003D"/>
    <w:rsid w:val="00FF0A19"/>
    <w:rsid w:val="00FF0E0D"/>
    <w:rsid w:val="00FF0E34"/>
    <w:rsid w:val="00FF1074"/>
    <w:rsid w:val="00FF1219"/>
    <w:rsid w:val="00FF1FA9"/>
    <w:rsid w:val="00FF260F"/>
    <w:rsid w:val="00FF28A5"/>
    <w:rsid w:val="00FF2E86"/>
    <w:rsid w:val="00FF3430"/>
    <w:rsid w:val="00FF360C"/>
    <w:rsid w:val="00FF39CC"/>
    <w:rsid w:val="00FF403F"/>
    <w:rsid w:val="00FF46D7"/>
    <w:rsid w:val="00FF46E5"/>
    <w:rsid w:val="00FF4831"/>
    <w:rsid w:val="00FF49D0"/>
    <w:rsid w:val="00FF4A09"/>
    <w:rsid w:val="00FF4C0B"/>
    <w:rsid w:val="00FF5023"/>
    <w:rsid w:val="00FF5390"/>
    <w:rsid w:val="00FF53A5"/>
    <w:rsid w:val="00FF5686"/>
    <w:rsid w:val="00FF571C"/>
    <w:rsid w:val="00FF590B"/>
    <w:rsid w:val="00FF59DB"/>
    <w:rsid w:val="00FF6153"/>
    <w:rsid w:val="00FF65CF"/>
    <w:rsid w:val="00FF693B"/>
    <w:rsid w:val="00FF6B37"/>
    <w:rsid w:val="00FF6C31"/>
    <w:rsid w:val="00FF6DEF"/>
    <w:rsid w:val="00FF6F80"/>
    <w:rsid w:val="00FF7BD0"/>
    <w:rsid w:val="00FF7CC8"/>
    <w:rsid w:val="00FF7F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A9EF6"/>
  <w15:docId w15:val="{0EB955E9-6A46-4B44-8D28-D05CF320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F5300"/>
    <w:rPr>
      <w:sz w:val="24"/>
      <w:lang w:eastAsia="en-US"/>
    </w:rPr>
  </w:style>
  <w:style w:type="paragraph" w:styleId="Heading1">
    <w:name w:val="heading 1"/>
    <w:basedOn w:val="Normal"/>
    <w:next w:val="Normal"/>
    <w:link w:val="Heading1Char1"/>
    <w:qFormat/>
    <w:rsid w:val="006B3679"/>
    <w:pPr>
      <w:keepNext/>
      <w:ind w:left="284" w:hanging="284"/>
      <w:outlineLvl w:val="0"/>
    </w:pPr>
    <w:rPr>
      <w:b/>
      <w:sz w:val="20"/>
      <w:lang w:val="es-ES_tradnl"/>
    </w:rPr>
  </w:style>
  <w:style w:type="paragraph" w:styleId="Heading2">
    <w:name w:val="heading 2"/>
    <w:basedOn w:val="Normal"/>
    <w:next w:val="Normal"/>
    <w:link w:val="Heading2Char"/>
    <w:uiPriority w:val="9"/>
    <w:qFormat/>
    <w:rsid w:val="006B3679"/>
    <w:pPr>
      <w:keepNext/>
      <w:jc w:val="both"/>
      <w:outlineLvl w:val="1"/>
    </w:pPr>
    <w:rPr>
      <w:u w:val="single"/>
      <w:lang w:val="es-ES_tradnl"/>
    </w:rPr>
  </w:style>
  <w:style w:type="paragraph" w:styleId="Heading3">
    <w:name w:val="heading 3"/>
    <w:basedOn w:val="Normal"/>
    <w:next w:val="Normal"/>
    <w:link w:val="Heading3Char"/>
    <w:qFormat/>
    <w:rsid w:val="006B3679"/>
    <w:pPr>
      <w:keepNext/>
      <w:ind w:left="142" w:hanging="142"/>
      <w:outlineLvl w:val="2"/>
    </w:pPr>
    <w:rPr>
      <w:b/>
      <w:lang w:val="es-ES_tradnl"/>
    </w:rPr>
  </w:style>
  <w:style w:type="paragraph" w:styleId="Heading4">
    <w:name w:val="heading 4"/>
    <w:basedOn w:val="Normal"/>
    <w:next w:val="Normal"/>
    <w:link w:val="Heading4Char"/>
    <w:qFormat/>
    <w:rsid w:val="006B3679"/>
    <w:pPr>
      <w:keepNext/>
      <w:ind w:left="284" w:hanging="284"/>
      <w:jc w:val="both"/>
      <w:outlineLvl w:val="3"/>
    </w:pPr>
    <w:rPr>
      <w:b/>
      <w:lang w:val="es-ES_tradnl"/>
    </w:rPr>
  </w:style>
  <w:style w:type="paragraph" w:styleId="Heading5">
    <w:name w:val="heading 5"/>
    <w:basedOn w:val="Normal"/>
    <w:next w:val="Normal"/>
    <w:link w:val="Heading5Char"/>
    <w:qFormat/>
    <w:rsid w:val="006B3679"/>
    <w:pPr>
      <w:keepNext/>
      <w:ind w:left="284" w:hanging="284"/>
      <w:jc w:val="right"/>
      <w:outlineLvl w:val="4"/>
    </w:pPr>
    <w:rPr>
      <w:sz w:val="20"/>
      <w:u w:val="single"/>
      <w:lang w:val="es-ES_tradnl"/>
    </w:rPr>
  </w:style>
  <w:style w:type="paragraph" w:styleId="Heading6">
    <w:name w:val="heading 6"/>
    <w:basedOn w:val="Normal"/>
    <w:next w:val="Normal"/>
    <w:link w:val="Heading6Char"/>
    <w:qFormat/>
    <w:rsid w:val="006B3679"/>
    <w:pPr>
      <w:keepNext/>
      <w:ind w:left="284" w:hanging="284"/>
      <w:outlineLvl w:val="5"/>
    </w:pPr>
    <w:rPr>
      <w:b/>
      <w:lang w:val="es-ES_tradnl"/>
    </w:rPr>
  </w:style>
  <w:style w:type="paragraph" w:styleId="Heading7">
    <w:name w:val="heading 7"/>
    <w:basedOn w:val="Normal"/>
    <w:next w:val="Normal"/>
    <w:link w:val="Heading7Char"/>
    <w:qFormat/>
    <w:rsid w:val="006B3679"/>
    <w:pPr>
      <w:keepNext/>
      <w:ind w:left="142"/>
      <w:outlineLvl w:val="6"/>
    </w:pPr>
    <w:rPr>
      <w:b/>
      <w:sz w:val="22"/>
      <w:lang w:val="es-ES_tradnl"/>
    </w:rPr>
  </w:style>
  <w:style w:type="paragraph" w:styleId="Heading8">
    <w:name w:val="heading 8"/>
    <w:basedOn w:val="Normal"/>
    <w:next w:val="Normal"/>
    <w:link w:val="Heading8Char"/>
    <w:qFormat/>
    <w:rsid w:val="006B3679"/>
    <w:pPr>
      <w:keepNext/>
      <w:jc w:val="center"/>
      <w:outlineLvl w:val="7"/>
    </w:pPr>
    <w:rPr>
      <w:b/>
      <w:sz w:val="22"/>
      <w:u w:val="single"/>
      <w:lang w:val="es-ES_tradnl"/>
    </w:rPr>
  </w:style>
  <w:style w:type="paragraph" w:styleId="Heading9">
    <w:name w:val="heading 9"/>
    <w:basedOn w:val="Normal"/>
    <w:next w:val="Normal"/>
    <w:link w:val="Heading9Char"/>
    <w:qFormat/>
    <w:rsid w:val="006B3679"/>
    <w:pPr>
      <w:keepNext/>
      <w:ind w:left="284" w:hanging="284"/>
      <w:jc w:val="center"/>
      <w:outlineLvl w:val="8"/>
    </w:pPr>
    <w:rPr>
      <w:b/>
      <w:sz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B3679"/>
    <w:pPr>
      <w:ind w:left="284" w:hanging="284"/>
      <w:jc w:val="both"/>
    </w:pPr>
    <w:rPr>
      <w:b/>
      <w:lang w:val="es-ES_tradnl"/>
    </w:rPr>
  </w:style>
  <w:style w:type="paragraph" w:styleId="BodyText">
    <w:name w:val="Body Text"/>
    <w:basedOn w:val="Normal"/>
    <w:link w:val="BodyTextChar"/>
    <w:rsid w:val="006B3679"/>
    <w:pPr>
      <w:jc w:val="both"/>
    </w:pPr>
    <w:rPr>
      <w:lang w:val="es-ES_tradnl"/>
    </w:rPr>
  </w:style>
  <w:style w:type="paragraph" w:styleId="BodyTextIndent2">
    <w:name w:val="Body Text Indent 2"/>
    <w:basedOn w:val="Normal"/>
    <w:link w:val="BodyTextIndent2Char"/>
    <w:rsid w:val="006B3679"/>
    <w:pPr>
      <w:ind w:left="567"/>
      <w:jc w:val="both"/>
    </w:pPr>
    <w:rPr>
      <w:bCs/>
      <w:lang w:val="es-ES_tradnl"/>
    </w:rPr>
  </w:style>
  <w:style w:type="character" w:styleId="CommentReference">
    <w:name w:val="annotation reference"/>
    <w:basedOn w:val="DefaultParagraphFont"/>
    <w:uiPriority w:val="99"/>
    <w:rsid w:val="006B3679"/>
    <w:rPr>
      <w:sz w:val="16"/>
      <w:szCs w:val="16"/>
    </w:rPr>
  </w:style>
  <w:style w:type="paragraph" w:styleId="CommentText">
    <w:name w:val="annotation text"/>
    <w:basedOn w:val="Normal"/>
    <w:link w:val="CommentTextChar"/>
    <w:uiPriority w:val="99"/>
    <w:rsid w:val="006B3679"/>
    <w:rPr>
      <w:sz w:val="20"/>
    </w:rPr>
  </w:style>
  <w:style w:type="paragraph" w:styleId="Header">
    <w:name w:val="header"/>
    <w:basedOn w:val="Normal"/>
    <w:link w:val="HeaderChar1"/>
    <w:rsid w:val="006B3679"/>
    <w:pPr>
      <w:tabs>
        <w:tab w:val="center" w:pos="4419"/>
        <w:tab w:val="right" w:pos="8838"/>
      </w:tabs>
    </w:pPr>
  </w:style>
  <w:style w:type="paragraph" w:styleId="Footer">
    <w:name w:val="footer"/>
    <w:basedOn w:val="Normal"/>
    <w:link w:val="FooterChar1"/>
    <w:rsid w:val="00E05C63"/>
    <w:pPr>
      <w:tabs>
        <w:tab w:val="center" w:pos="4419"/>
        <w:tab w:val="right" w:pos="8838"/>
      </w:tabs>
    </w:pPr>
    <w:rPr>
      <w:rFonts w:ascii="Arial" w:hAnsi="Arial" w:cs="Arial"/>
      <w:lang w:val="it-IT"/>
    </w:rPr>
  </w:style>
  <w:style w:type="paragraph" w:styleId="BodyText2">
    <w:name w:val="Body Text 2"/>
    <w:basedOn w:val="Normal"/>
    <w:link w:val="BodyText2Char"/>
    <w:uiPriority w:val="99"/>
    <w:rsid w:val="006B3679"/>
    <w:rPr>
      <w:b/>
      <w:sz w:val="22"/>
      <w:lang w:val="es-ES_tradnl"/>
    </w:rPr>
  </w:style>
  <w:style w:type="paragraph" w:styleId="EndnoteText">
    <w:name w:val="endnote text"/>
    <w:basedOn w:val="Normal"/>
    <w:link w:val="EndnoteTextChar"/>
    <w:rsid w:val="006B3679"/>
    <w:pPr>
      <w:jc w:val="both"/>
    </w:pPr>
    <w:rPr>
      <w:lang w:val="es-ES_tradnl"/>
    </w:rPr>
  </w:style>
  <w:style w:type="paragraph" w:styleId="BodyText3">
    <w:name w:val="Body Text 3"/>
    <w:basedOn w:val="Normal"/>
    <w:link w:val="BodyText3Char"/>
    <w:rsid w:val="006B3679"/>
    <w:pPr>
      <w:jc w:val="both"/>
    </w:pPr>
    <w:rPr>
      <w:sz w:val="22"/>
    </w:rPr>
  </w:style>
  <w:style w:type="paragraph" w:customStyle="1" w:styleId="Doble">
    <w:name w:val="Doble"/>
    <w:basedOn w:val="Normal"/>
    <w:rsid w:val="006B3679"/>
    <w:pPr>
      <w:jc w:val="right"/>
    </w:pPr>
    <w:rPr>
      <w:sz w:val="20"/>
      <w:u w:val="double"/>
      <w:lang w:val="es-ES_tradnl"/>
    </w:rPr>
  </w:style>
  <w:style w:type="paragraph" w:styleId="BodyTextIndent3">
    <w:name w:val="Body Text Indent 3"/>
    <w:basedOn w:val="Normal"/>
    <w:link w:val="BodyTextIndent3Char"/>
    <w:rsid w:val="006B3679"/>
    <w:pPr>
      <w:tabs>
        <w:tab w:val="left" w:pos="5458"/>
        <w:tab w:val="left" w:pos="7080"/>
        <w:tab w:val="left" w:pos="8702"/>
        <w:tab w:val="left" w:pos="10325"/>
        <w:tab w:val="left" w:pos="11947"/>
        <w:tab w:val="left" w:pos="13570"/>
      </w:tabs>
      <w:ind w:left="567" w:hanging="283"/>
      <w:jc w:val="both"/>
    </w:pPr>
    <w:rPr>
      <w:sz w:val="22"/>
      <w:lang w:val="es-ES_tradnl"/>
    </w:rPr>
  </w:style>
  <w:style w:type="paragraph" w:customStyle="1" w:styleId="Notacuerpo">
    <w:name w:val="Nota cuerpo"/>
    <w:basedOn w:val="Normal"/>
    <w:rsid w:val="006B36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jc w:val="both"/>
    </w:pPr>
    <w:rPr>
      <w:rFonts w:ascii="Arial" w:hAnsi="Arial"/>
      <w:lang w:val="en-US"/>
    </w:rPr>
  </w:style>
  <w:style w:type="paragraph" w:customStyle="1" w:styleId="Auditor">
    <w:name w:val="Auditor"/>
    <w:basedOn w:val="Normal"/>
    <w:rsid w:val="006B3679"/>
    <w:pPr>
      <w:spacing w:line="360" w:lineRule="auto"/>
      <w:jc w:val="both"/>
    </w:pPr>
    <w:rPr>
      <w:rFonts w:ascii="Book Antiqua" w:hAnsi="Book Antiqua"/>
      <w:sz w:val="20"/>
      <w:lang w:val="es-ES_tradnl"/>
    </w:rPr>
  </w:style>
  <w:style w:type="paragraph" w:customStyle="1" w:styleId="Textoinfaud">
    <w:name w:val="Texto inf. aud."/>
    <w:basedOn w:val="Normal"/>
    <w:rsid w:val="006B3679"/>
    <w:pPr>
      <w:tabs>
        <w:tab w:val="left" w:pos="720"/>
      </w:tabs>
      <w:spacing w:line="360" w:lineRule="atLeast"/>
      <w:jc w:val="both"/>
    </w:pPr>
    <w:rPr>
      <w:rFonts w:ascii="Book Antiqua" w:hAnsi="Book Antiqua"/>
      <w:sz w:val="20"/>
      <w:lang w:val="es-ES_tradnl"/>
    </w:rPr>
  </w:style>
  <w:style w:type="paragraph" w:customStyle="1" w:styleId="Ttulonota">
    <w:name w:val="Título nota"/>
    <w:basedOn w:val="Normal"/>
    <w:uiPriority w:val="99"/>
    <w:rsid w:val="006B3679"/>
    <w:pPr>
      <w:jc w:val="both"/>
    </w:pPr>
    <w:rPr>
      <w:rFonts w:ascii="Book Antiqua" w:hAnsi="Book Antiqua"/>
      <w:b/>
      <w:sz w:val="22"/>
      <w:lang w:val="es-ES_tradnl"/>
    </w:rPr>
  </w:style>
  <w:style w:type="paragraph" w:customStyle="1" w:styleId="Textonota">
    <w:name w:val="Texto nota"/>
    <w:basedOn w:val="Normal"/>
    <w:rsid w:val="006B3679"/>
    <w:pPr>
      <w:ind w:left="432"/>
      <w:jc w:val="both"/>
    </w:pPr>
    <w:rPr>
      <w:rFonts w:ascii="Book Antiqua" w:hAnsi="Book Antiqua"/>
      <w:sz w:val="20"/>
      <w:lang w:val="es-ES_tradnl"/>
    </w:rPr>
  </w:style>
  <w:style w:type="paragraph" w:customStyle="1" w:styleId="Textonota1">
    <w:name w:val="Texto nota 1"/>
    <w:basedOn w:val="Textonota"/>
    <w:rsid w:val="006B3679"/>
    <w:pPr>
      <w:ind w:left="792"/>
    </w:pPr>
  </w:style>
  <w:style w:type="paragraph" w:styleId="BalloonText">
    <w:name w:val="Balloon Text"/>
    <w:basedOn w:val="Normal"/>
    <w:link w:val="BalloonTextChar"/>
    <w:uiPriority w:val="99"/>
    <w:rsid w:val="006B3679"/>
    <w:rPr>
      <w:rFonts w:ascii="Tahoma" w:hAnsi="Tahoma" w:cs="Tahoma"/>
      <w:sz w:val="16"/>
      <w:szCs w:val="16"/>
    </w:rPr>
  </w:style>
  <w:style w:type="character" w:styleId="PageNumber">
    <w:name w:val="page number"/>
    <w:basedOn w:val="DefaultParagraphFont"/>
    <w:rsid w:val="006B3679"/>
  </w:style>
  <w:style w:type="paragraph" w:customStyle="1" w:styleId="Textodenotaalfinal">
    <w:name w:val="Texto de nota al final"/>
    <w:basedOn w:val="Normal"/>
    <w:rsid w:val="006B3679"/>
    <w:pPr>
      <w:widowControl w:val="0"/>
      <w:jc w:val="both"/>
    </w:pPr>
    <w:rPr>
      <w:lang w:val="es-ES_tradnl"/>
    </w:rPr>
  </w:style>
  <w:style w:type="paragraph" w:customStyle="1" w:styleId="Ttuloprincipal">
    <w:name w:val="Título principal"/>
    <w:basedOn w:val="Normal"/>
    <w:rsid w:val="006B3679"/>
    <w:pPr>
      <w:jc w:val="center"/>
    </w:pPr>
    <w:rPr>
      <w:rFonts w:ascii="Book Antiqua" w:hAnsi="Book Antiqua"/>
      <w:b/>
      <w:lang w:val="es-ES_tradnl"/>
    </w:rPr>
  </w:style>
  <w:style w:type="paragraph" w:customStyle="1" w:styleId="Texto">
    <w:name w:val="Texto"/>
    <w:basedOn w:val="Textonota"/>
    <w:rsid w:val="006B3679"/>
    <w:pPr>
      <w:ind w:left="0"/>
    </w:pPr>
  </w:style>
  <w:style w:type="paragraph" w:customStyle="1" w:styleId="Tituloprincipal">
    <w:name w:val="Titulo principal"/>
    <w:basedOn w:val="Normal"/>
    <w:rsid w:val="006B3679"/>
    <w:rPr>
      <w:rFonts w:ascii="Book Antiqua" w:hAnsi="Book Antiqua"/>
      <w:b/>
      <w:lang w:val="es-ES_tradnl"/>
    </w:rPr>
  </w:style>
  <w:style w:type="paragraph" w:styleId="Title">
    <w:name w:val="Title"/>
    <w:basedOn w:val="Normal"/>
    <w:link w:val="TitleChar"/>
    <w:qFormat/>
    <w:rsid w:val="006B3679"/>
    <w:pPr>
      <w:jc w:val="center"/>
    </w:pPr>
    <w:rPr>
      <w:b/>
      <w:bCs/>
      <w:sz w:val="32"/>
      <w:szCs w:val="24"/>
      <w:lang w:bidi="he-IL"/>
    </w:rPr>
  </w:style>
  <w:style w:type="paragraph" w:customStyle="1" w:styleId="Pie">
    <w:name w:val="Pie"/>
    <w:basedOn w:val="Normal"/>
    <w:rsid w:val="003C7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sz w:val="16"/>
      <w:lang w:val="en-US" w:eastAsia="es-ES"/>
    </w:rPr>
  </w:style>
  <w:style w:type="paragraph" w:customStyle="1" w:styleId="consideration">
    <w:name w:val="consideration"/>
    <w:basedOn w:val="Normal"/>
    <w:rsid w:val="006B3679"/>
    <w:pPr>
      <w:tabs>
        <w:tab w:val="left" w:pos="288"/>
      </w:tabs>
      <w:spacing w:before="120"/>
      <w:ind w:left="576" w:hanging="288"/>
    </w:pPr>
    <w:rPr>
      <w:i/>
      <w:sz w:val="22"/>
      <w:lang w:val="en-US"/>
    </w:rPr>
  </w:style>
  <w:style w:type="paragraph" w:customStyle="1" w:styleId="Notacuerpo1">
    <w:name w:val="Nota cuerpo:1"/>
    <w:basedOn w:val="Normal"/>
    <w:rsid w:val="00BE384E"/>
    <w:pPr>
      <w:ind w:left="1440"/>
      <w:jc w:val="both"/>
    </w:pPr>
    <w:rPr>
      <w:rFonts w:ascii="Arial" w:hAnsi="Arial"/>
      <w:noProof/>
      <w:lang w:eastAsia="es-ES"/>
    </w:rPr>
  </w:style>
  <w:style w:type="character" w:styleId="Hyperlink">
    <w:name w:val="Hyperlink"/>
    <w:basedOn w:val="DefaultParagraphFont"/>
    <w:rsid w:val="006B3679"/>
    <w:rPr>
      <w:color w:val="0000FF"/>
      <w:u w:val="single"/>
    </w:rPr>
  </w:style>
  <w:style w:type="character" w:styleId="FollowedHyperlink">
    <w:name w:val="FollowedHyperlink"/>
    <w:basedOn w:val="DefaultParagraphFont"/>
    <w:rsid w:val="006B3679"/>
    <w:rPr>
      <w:color w:val="800080"/>
      <w:u w:val="single"/>
    </w:rPr>
  </w:style>
  <w:style w:type="paragraph" w:customStyle="1" w:styleId="xl83">
    <w:name w:val="xl83"/>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84">
    <w:name w:val="xl84"/>
    <w:basedOn w:val="Normal"/>
    <w:rsid w:val="006B3679"/>
    <w:pPr>
      <w:pBdr>
        <w:bottom w:val="single" w:sz="8" w:space="0" w:color="auto"/>
      </w:pBdr>
      <w:spacing w:before="100" w:beforeAutospacing="1" w:after="100" w:afterAutospacing="1"/>
      <w:jc w:val="center"/>
    </w:pPr>
    <w:rPr>
      <w:rFonts w:ascii="Book Antiqua" w:hAnsi="Book Antiqua"/>
      <w:b/>
      <w:bCs/>
      <w:sz w:val="16"/>
      <w:szCs w:val="16"/>
      <w:lang w:val="es-ES" w:eastAsia="es-ES"/>
    </w:rPr>
  </w:style>
  <w:style w:type="paragraph" w:customStyle="1" w:styleId="xl85">
    <w:name w:val="xl85"/>
    <w:basedOn w:val="Normal"/>
    <w:rsid w:val="006B3679"/>
    <w:pPr>
      <w:spacing w:before="100" w:beforeAutospacing="1" w:after="100" w:afterAutospacing="1"/>
      <w:jc w:val="center"/>
    </w:pPr>
    <w:rPr>
      <w:rFonts w:ascii="Book Antiqua" w:hAnsi="Book Antiqua"/>
      <w:b/>
      <w:bCs/>
      <w:sz w:val="16"/>
      <w:szCs w:val="16"/>
      <w:lang w:val="es-ES" w:eastAsia="es-ES"/>
    </w:rPr>
  </w:style>
  <w:style w:type="paragraph" w:customStyle="1" w:styleId="xl86">
    <w:name w:val="xl86"/>
    <w:basedOn w:val="Normal"/>
    <w:rsid w:val="006B3679"/>
    <w:pPr>
      <w:pBdr>
        <w:top w:val="single" w:sz="8" w:space="0" w:color="auto"/>
      </w:pBdr>
      <w:spacing w:before="100" w:beforeAutospacing="1" w:after="100" w:afterAutospacing="1"/>
      <w:jc w:val="both"/>
      <w:textAlignment w:val="top"/>
    </w:pPr>
    <w:rPr>
      <w:rFonts w:ascii="Book Antiqua" w:hAnsi="Book Antiqua"/>
      <w:b/>
      <w:bCs/>
      <w:sz w:val="16"/>
      <w:szCs w:val="16"/>
      <w:lang w:val="es-ES" w:eastAsia="es-ES"/>
    </w:rPr>
  </w:style>
  <w:style w:type="paragraph" w:customStyle="1" w:styleId="xl87">
    <w:name w:val="xl87"/>
    <w:basedOn w:val="Normal"/>
    <w:rsid w:val="006B3679"/>
    <w:pPr>
      <w:pBdr>
        <w:top w:val="single" w:sz="8" w:space="0" w:color="auto"/>
        <w:bottom w:val="single" w:sz="8" w:space="0" w:color="auto"/>
      </w:pBdr>
      <w:spacing w:before="100" w:beforeAutospacing="1" w:after="100" w:afterAutospacing="1"/>
      <w:jc w:val="right"/>
    </w:pPr>
    <w:rPr>
      <w:rFonts w:ascii="Book Antiqua" w:hAnsi="Book Antiqua"/>
      <w:sz w:val="16"/>
      <w:szCs w:val="16"/>
      <w:lang w:val="es-ES" w:eastAsia="es-ES"/>
    </w:rPr>
  </w:style>
  <w:style w:type="paragraph" w:customStyle="1" w:styleId="xl88">
    <w:name w:val="xl88"/>
    <w:basedOn w:val="Normal"/>
    <w:rsid w:val="006B3679"/>
    <w:pPr>
      <w:spacing w:before="100" w:beforeAutospacing="1" w:after="100" w:afterAutospacing="1"/>
      <w:jc w:val="both"/>
      <w:textAlignment w:val="top"/>
    </w:pPr>
    <w:rPr>
      <w:rFonts w:ascii="Book Antiqua" w:hAnsi="Book Antiqua"/>
      <w:sz w:val="16"/>
      <w:szCs w:val="16"/>
      <w:lang w:val="es-ES" w:eastAsia="es-ES"/>
    </w:rPr>
  </w:style>
  <w:style w:type="paragraph" w:customStyle="1" w:styleId="xl89">
    <w:name w:val="xl89"/>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90">
    <w:name w:val="xl90"/>
    <w:basedOn w:val="Normal"/>
    <w:rsid w:val="006B3679"/>
    <w:pPr>
      <w:pBdr>
        <w:top w:val="single" w:sz="8" w:space="0" w:color="auto"/>
      </w:pBdr>
      <w:spacing w:before="100" w:beforeAutospacing="1" w:after="100" w:afterAutospacing="1"/>
      <w:jc w:val="both"/>
      <w:textAlignment w:val="top"/>
    </w:pPr>
    <w:rPr>
      <w:rFonts w:ascii="Book Antiqua" w:hAnsi="Book Antiqua"/>
      <w:b/>
      <w:bCs/>
      <w:sz w:val="16"/>
      <w:szCs w:val="16"/>
      <w:u w:val="single"/>
      <w:lang w:val="es-ES" w:eastAsia="es-ES"/>
    </w:rPr>
  </w:style>
  <w:style w:type="paragraph" w:customStyle="1" w:styleId="xl91">
    <w:name w:val="xl91"/>
    <w:basedOn w:val="Normal"/>
    <w:rsid w:val="006B3679"/>
    <w:pPr>
      <w:spacing w:before="100" w:beforeAutospacing="1" w:after="100" w:afterAutospacing="1"/>
    </w:pPr>
    <w:rPr>
      <w:rFonts w:ascii="Book Antiqua" w:hAnsi="Book Antiqua"/>
      <w:sz w:val="16"/>
      <w:szCs w:val="16"/>
      <w:lang w:val="es-ES" w:eastAsia="es-ES"/>
    </w:rPr>
  </w:style>
  <w:style w:type="paragraph" w:customStyle="1" w:styleId="xl92">
    <w:name w:val="xl92"/>
    <w:basedOn w:val="Normal"/>
    <w:rsid w:val="006B3679"/>
    <w:pPr>
      <w:spacing w:before="100" w:beforeAutospacing="1" w:after="100" w:afterAutospacing="1"/>
    </w:pPr>
    <w:rPr>
      <w:rFonts w:ascii="Book Antiqua" w:hAnsi="Book Antiqua"/>
      <w:sz w:val="16"/>
      <w:szCs w:val="16"/>
      <w:lang w:val="es-ES" w:eastAsia="es-ES"/>
    </w:rPr>
  </w:style>
  <w:style w:type="paragraph" w:customStyle="1" w:styleId="xl93">
    <w:name w:val="xl93"/>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94">
    <w:name w:val="xl94"/>
    <w:basedOn w:val="Normal"/>
    <w:rsid w:val="006B3679"/>
    <w:pPr>
      <w:spacing w:before="100" w:beforeAutospacing="1" w:after="100" w:afterAutospacing="1"/>
    </w:pPr>
    <w:rPr>
      <w:rFonts w:ascii="Book Antiqua" w:hAnsi="Book Antiqua"/>
      <w:b/>
      <w:bCs/>
      <w:sz w:val="16"/>
      <w:szCs w:val="16"/>
      <w:lang w:val="es-ES" w:eastAsia="es-ES"/>
    </w:rPr>
  </w:style>
  <w:style w:type="paragraph" w:customStyle="1" w:styleId="xl95">
    <w:name w:val="xl95"/>
    <w:basedOn w:val="Normal"/>
    <w:rsid w:val="006B3679"/>
    <w:pPr>
      <w:spacing w:before="100" w:beforeAutospacing="1" w:after="100" w:afterAutospacing="1"/>
      <w:jc w:val="right"/>
    </w:pPr>
    <w:rPr>
      <w:rFonts w:ascii="Book Antiqua" w:hAnsi="Book Antiqua"/>
      <w:b/>
      <w:bCs/>
      <w:sz w:val="16"/>
      <w:szCs w:val="16"/>
      <w:lang w:val="es-ES" w:eastAsia="es-ES"/>
    </w:rPr>
  </w:style>
  <w:style w:type="paragraph" w:customStyle="1" w:styleId="xl96">
    <w:name w:val="xl96"/>
    <w:basedOn w:val="Normal"/>
    <w:rsid w:val="006B3679"/>
    <w:pPr>
      <w:spacing w:before="100" w:beforeAutospacing="1" w:after="100" w:afterAutospacing="1"/>
    </w:pPr>
    <w:rPr>
      <w:b/>
      <w:bCs/>
      <w:color w:val="FFFFFF"/>
      <w:sz w:val="16"/>
      <w:szCs w:val="16"/>
      <w:lang w:val="es-ES" w:eastAsia="es-ES"/>
    </w:rPr>
  </w:style>
  <w:style w:type="paragraph" w:customStyle="1" w:styleId="xl97">
    <w:name w:val="xl97"/>
    <w:basedOn w:val="Normal"/>
    <w:rsid w:val="006B3679"/>
    <w:pPr>
      <w:spacing w:before="100" w:beforeAutospacing="1" w:after="100" w:afterAutospacing="1"/>
    </w:pPr>
    <w:rPr>
      <w:sz w:val="16"/>
      <w:szCs w:val="16"/>
      <w:lang w:val="es-ES" w:eastAsia="es-ES"/>
    </w:rPr>
  </w:style>
  <w:style w:type="paragraph" w:customStyle="1" w:styleId="xl98">
    <w:name w:val="xl98"/>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99">
    <w:name w:val="xl99"/>
    <w:basedOn w:val="Normal"/>
    <w:rsid w:val="006B3679"/>
    <w:pPr>
      <w:spacing w:before="100" w:beforeAutospacing="1" w:after="100" w:afterAutospacing="1"/>
      <w:jc w:val="right"/>
    </w:pPr>
    <w:rPr>
      <w:rFonts w:ascii="Book Antiqua" w:hAnsi="Book Antiqua"/>
      <w:b/>
      <w:bCs/>
      <w:sz w:val="16"/>
      <w:szCs w:val="16"/>
      <w:lang w:val="es-ES" w:eastAsia="es-ES"/>
    </w:rPr>
  </w:style>
  <w:style w:type="paragraph" w:customStyle="1" w:styleId="xl100">
    <w:name w:val="xl100"/>
    <w:basedOn w:val="Normal"/>
    <w:rsid w:val="006B3679"/>
    <w:pPr>
      <w:spacing w:before="100" w:beforeAutospacing="1" w:after="100" w:afterAutospacing="1"/>
      <w:jc w:val="right"/>
    </w:pPr>
    <w:rPr>
      <w:rFonts w:ascii="Book Antiqua" w:hAnsi="Book Antiqua"/>
      <w:sz w:val="16"/>
      <w:szCs w:val="16"/>
      <w:lang w:val="es-ES" w:eastAsia="es-ES"/>
    </w:rPr>
  </w:style>
  <w:style w:type="character" w:customStyle="1" w:styleId="HeaderChar">
    <w:name w:val="Header Char"/>
    <w:basedOn w:val="DefaultParagraphFont"/>
    <w:uiPriority w:val="99"/>
    <w:rsid w:val="006B3679"/>
    <w:rPr>
      <w:sz w:val="24"/>
      <w:lang w:val="en-GB"/>
    </w:rPr>
  </w:style>
  <w:style w:type="paragraph" w:styleId="ListParagraph">
    <w:name w:val="List Paragraph"/>
    <w:basedOn w:val="Normal"/>
    <w:link w:val="ListParagraphChar"/>
    <w:uiPriority w:val="34"/>
    <w:qFormat/>
    <w:rsid w:val="006B3679"/>
    <w:pPr>
      <w:ind w:left="720"/>
    </w:pPr>
  </w:style>
  <w:style w:type="character" w:customStyle="1" w:styleId="FooterChar">
    <w:name w:val="Footer Char"/>
    <w:basedOn w:val="DefaultParagraphFont"/>
    <w:rsid w:val="006B3679"/>
    <w:rPr>
      <w:sz w:val="24"/>
      <w:lang w:val="en-GB"/>
    </w:rPr>
  </w:style>
  <w:style w:type="paragraph" w:customStyle="1" w:styleId="Textonota2">
    <w:name w:val="Texto nota 2"/>
    <w:basedOn w:val="Textonota1"/>
    <w:rsid w:val="006B3679"/>
    <w:pPr>
      <w:ind w:left="1152"/>
      <w:jc w:val="left"/>
    </w:pPr>
    <w:rPr>
      <w:rFonts w:ascii="Arial" w:hAnsi="Arial"/>
      <w:sz w:val="19"/>
    </w:rPr>
  </w:style>
  <w:style w:type="character" w:customStyle="1" w:styleId="Heading1Char">
    <w:name w:val="Heading 1 Char"/>
    <w:basedOn w:val="DefaultParagraphFont"/>
    <w:rsid w:val="006B3679"/>
    <w:rPr>
      <w:b/>
      <w:lang w:val="es-ES_tradnl"/>
    </w:rPr>
  </w:style>
  <w:style w:type="paragraph" w:customStyle="1" w:styleId="Titulonota">
    <w:name w:val="Titulo nota"/>
    <w:basedOn w:val="Normal"/>
    <w:rsid w:val="006B3679"/>
    <w:pPr>
      <w:jc w:val="both"/>
    </w:pPr>
    <w:rPr>
      <w:rFonts w:ascii="Arial" w:hAnsi="Arial"/>
      <w:b/>
      <w:caps/>
      <w:sz w:val="22"/>
      <w:lang w:val="es-ES_tradnl" w:eastAsia="es-ES"/>
    </w:rPr>
  </w:style>
  <w:style w:type="paragraph" w:customStyle="1" w:styleId="AEVEDOSPrrafopostNotaNumerada">
    <w:name w:val="AEV EDOS Párrafo post Nota Numerada"/>
    <w:basedOn w:val="Normal"/>
    <w:rsid w:val="006B3679"/>
    <w:pPr>
      <w:overflowPunct w:val="0"/>
      <w:autoSpaceDE w:val="0"/>
      <w:autoSpaceDN w:val="0"/>
      <w:adjustRightInd w:val="0"/>
      <w:ind w:left="992"/>
      <w:jc w:val="both"/>
      <w:textAlignment w:val="baseline"/>
    </w:pPr>
    <w:rPr>
      <w:rFonts w:ascii="Arial" w:hAnsi="Arial"/>
      <w:sz w:val="21"/>
      <w:lang w:val="es-ES_tradnl"/>
    </w:rPr>
  </w:style>
  <w:style w:type="paragraph" w:customStyle="1" w:styleId="NotaN">
    <w:name w:val="Nota Nº"/>
    <w:basedOn w:val="Normal"/>
    <w:rsid w:val="00AE7043"/>
    <w:pPr>
      <w:jc w:val="both"/>
    </w:pPr>
    <w:rPr>
      <w:rFonts w:ascii="Arial" w:hAnsi="Arial"/>
      <w:b/>
      <w:lang w:eastAsia="es-ES"/>
    </w:rPr>
  </w:style>
  <w:style w:type="paragraph" w:customStyle="1" w:styleId="2Ttulo">
    <w:name w:val="2Título"/>
    <w:basedOn w:val="Normal"/>
    <w:rsid w:val="005F7FD3"/>
    <w:pPr>
      <w:jc w:val="center"/>
    </w:pPr>
    <w:rPr>
      <w:b/>
      <w:lang w:eastAsia="es-ES"/>
    </w:rPr>
  </w:style>
  <w:style w:type="paragraph" w:customStyle="1" w:styleId="3Subttulo">
    <w:name w:val="3Subtítulo"/>
    <w:basedOn w:val="Normal"/>
    <w:rsid w:val="00013B98"/>
    <w:pPr>
      <w:jc w:val="center"/>
    </w:pPr>
    <w:rPr>
      <w:lang w:eastAsia="es-ES"/>
    </w:rPr>
  </w:style>
  <w:style w:type="paragraph" w:customStyle="1" w:styleId="Textodetabla">
    <w:name w:val="Texto de tabla"/>
    <w:basedOn w:val="Normal"/>
    <w:rsid w:val="00013B98"/>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ascii="Arial" w:hAnsi="Arial"/>
      <w:sz w:val="16"/>
      <w:lang w:eastAsia="es-ES"/>
    </w:rPr>
  </w:style>
  <w:style w:type="paragraph" w:customStyle="1" w:styleId="Textopredeterminado">
    <w:name w:val="Texto predeterminado"/>
    <w:basedOn w:val="Normal"/>
    <w:rsid w:val="00013B98"/>
    <w:rPr>
      <w:i/>
      <w:snapToGrid w:val="0"/>
      <w:lang w:val="en-US" w:eastAsia="es-ES"/>
    </w:rPr>
  </w:style>
  <w:style w:type="paragraph" w:customStyle="1" w:styleId="1Empresa">
    <w:name w:val="1Empresa"/>
    <w:basedOn w:val="Normal"/>
    <w:rsid w:val="009B7B85"/>
    <w:pPr>
      <w:jc w:val="center"/>
    </w:pPr>
    <w:rPr>
      <w:b/>
      <w:sz w:val="36"/>
      <w:lang w:eastAsia="es-ES"/>
    </w:rPr>
  </w:style>
  <w:style w:type="paragraph" w:customStyle="1" w:styleId="Texto1">
    <w:name w:val="Texto_1"/>
    <w:basedOn w:val="BlockText"/>
    <w:rsid w:val="006449D8"/>
    <w:pPr>
      <w:spacing w:before="14" w:after="14"/>
      <w:ind w:left="709" w:right="72"/>
    </w:pPr>
    <w:rPr>
      <w:rFonts w:ascii="Courier New" w:hAnsi="Courier New"/>
      <w:sz w:val="14"/>
      <w:lang w:val="es-ES_tradnl"/>
    </w:rPr>
  </w:style>
  <w:style w:type="paragraph" w:styleId="BlockText">
    <w:name w:val="Block Text"/>
    <w:aliases w:val="5 Sgl J,75 Sgl J,blk"/>
    <w:basedOn w:val="Normal"/>
    <w:rsid w:val="006449D8"/>
    <w:pPr>
      <w:spacing w:after="120"/>
      <w:ind w:left="1440" w:right="1440"/>
    </w:pPr>
  </w:style>
  <w:style w:type="paragraph" w:customStyle="1" w:styleId="CharCharChar">
    <w:name w:val="Char Char Char"/>
    <w:basedOn w:val="Normal"/>
    <w:rsid w:val="00D85D5C"/>
    <w:pPr>
      <w:spacing w:after="160" w:line="240" w:lineRule="exact"/>
    </w:pPr>
    <w:rPr>
      <w:rFonts w:ascii="Verdana" w:eastAsia="PMingLiU" w:hAnsi="Verdana"/>
      <w:sz w:val="20"/>
      <w:lang w:val="en-US"/>
    </w:rPr>
  </w:style>
  <w:style w:type="paragraph" w:customStyle="1" w:styleId="Car">
    <w:name w:val="Car"/>
    <w:basedOn w:val="Normal"/>
    <w:rsid w:val="009F67F2"/>
    <w:pPr>
      <w:spacing w:after="160" w:line="240" w:lineRule="exact"/>
    </w:pPr>
    <w:rPr>
      <w:rFonts w:ascii="Verdana" w:eastAsia="PMingLiU" w:hAnsi="Verdana"/>
      <w:sz w:val="20"/>
      <w:lang w:val="en-US"/>
    </w:rPr>
  </w:style>
  <w:style w:type="paragraph" w:customStyle="1" w:styleId="Estndar">
    <w:name w:val="Estándar"/>
    <w:basedOn w:val="Normal"/>
    <w:rsid w:val="004179D0"/>
    <w:pPr>
      <w:jc w:val="both"/>
    </w:pPr>
    <w:rPr>
      <w:lang w:val="es-ES_tradnl"/>
    </w:rPr>
  </w:style>
  <w:style w:type="paragraph" w:customStyle="1" w:styleId="Prrafodelista1">
    <w:name w:val="Párrafo de lista1"/>
    <w:basedOn w:val="Normal"/>
    <w:qFormat/>
    <w:rsid w:val="00CA7761"/>
    <w:pPr>
      <w:ind w:left="720"/>
      <w:contextualSpacing/>
    </w:pPr>
    <w:rPr>
      <w:szCs w:val="24"/>
      <w:lang w:val="es-ES" w:eastAsia="es-ES"/>
    </w:rPr>
  </w:style>
  <w:style w:type="paragraph" w:customStyle="1" w:styleId="CarCarCarCar1CharCarCarCarCar">
    <w:name w:val="Car Car Car Car1 Char Car Car Car Car"/>
    <w:basedOn w:val="Normal"/>
    <w:rsid w:val="003E0E59"/>
    <w:pPr>
      <w:spacing w:after="160" w:line="240" w:lineRule="exact"/>
    </w:pPr>
    <w:rPr>
      <w:rFonts w:ascii="Verdana" w:eastAsia="PMingLiU" w:hAnsi="Verdana"/>
      <w:sz w:val="20"/>
      <w:lang w:val="en-US"/>
    </w:rPr>
  </w:style>
  <w:style w:type="paragraph" w:customStyle="1" w:styleId="CarCarCarCar1CharCarCarCarCarCarCar">
    <w:name w:val="Car Car Car Car1 Char Car Car Car Car Car Car"/>
    <w:basedOn w:val="Normal"/>
    <w:rsid w:val="00804041"/>
    <w:pPr>
      <w:spacing w:after="160" w:line="240" w:lineRule="exact"/>
    </w:pPr>
    <w:rPr>
      <w:rFonts w:ascii="Verdana" w:eastAsia="PMingLiU" w:hAnsi="Verdana"/>
      <w:sz w:val="20"/>
      <w:lang w:val="en-US"/>
    </w:rPr>
  </w:style>
  <w:style w:type="paragraph" w:styleId="CommentSubject">
    <w:name w:val="annotation subject"/>
    <w:basedOn w:val="CommentText"/>
    <w:next w:val="CommentText"/>
    <w:link w:val="CommentSubjectChar"/>
    <w:rsid w:val="0063670E"/>
    <w:rPr>
      <w:b/>
      <w:bCs/>
    </w:rPr>
  </w:style>
  <w:style w:type="paragraph" w:customStyle="1" w:styleId="CarCharCharChar">
    <w:name w:val="Car Char Char Char"/>
    <w:basedOn w:val="Normal"/>
    <w:rsid w:val="007C70CB"/>
    <w:pPr>
      <w:spacing w:after="160" w:line="240" w:lineRule="exact"/>
    </w:pPr>
    <w:rPr>
      <w:rFonts w:ascii="Verdana" w:eastAsia="PMingLiU" w:hAnsi="Verdana"/>
      <w:sz w:val="20"/>
      <w:lang w:val="en-US"/>
    </w:rPr>
  </w:style>
  <w:style w:type="paragraph" w:customStyle="1" w:styleId="Car1CharCharChar">
    <w:name w:val="Car1 Char Char Char"/>
    <w:basedOn w:val="Normal"/>
    <w:rsid w:val="000E07F9"/>
    <w:pPr>
      <w:spacing w:after="160" w:line="240" w:lineRule="exact"/>
    </w:pPr>
    <w:rPr>
      <w:rFonts w:ascii="Verdana" w:eastAsia="PMingLiU" w:hAnsi="Verdana"/>
      <w:sz w:val="20"/>
      <w:lang w:val="en-US"/>
    </w:rPr>
  </w:style>
  <w:style w:type="paragraph" w:customStyle="1" w:styleId="CarCarCarCar1">
    <w:name w:val="Car Car Car Car1"/>
    <w:basedOn w:val="Normal"/>
    <w:rsid w:val="00D74B00"/>
    <w:pPr>
      <w:spacing w:after="160" w:line="240" w:lineRule="exact"/>
    </w:pPr>
    <w:rPr>
      <w:rFonts w:ascii="Verdana" w:eastAsia="PMingLiU" w:hAnsi="Verdana"/>
      <w:sz w:val="20"/>
      <w:lang w:val="en-US"/>
    </w:rPr>
  </w:style>
  <w:style w:type="paragraph" w:customStyle="1" w:styleId="Simple">
    <w:name w:val="Simple"/>
    <w:basedOn w:val="Normal"/>
    <w:rsid w:val="00A8462A"/>
    <w:rPr>
      <w:lang w:val="es-ES_tradnl"/>
    </w:rPr>
  </w:style>
  <w:style w:type="paragraph" w:customStyle="1" w:styleId="CarCarCarCar1CharCarCarCarCarCarCarCar">
    <w:name w:val="Car Car Car Car1 Char Car Car Car Car Car Car Car"/>
    <w:basedOn w:val="Normal"/>
    <w:rsid w:val="00F84395"/>
    <w:pPr>
      <w:spacing w:after="160" w:line="240" w:lineRule="exact"/>
    </w:pPr>
    <w:rPr>
      <w:rFonts w:ascii="Verdana" w:eastAsia="PMingLiU" w:hAnsi="Verdana"/>
      <w:sz w:val="20"/>
      <w:lang w:val="en-US"/>
    </w:rPr>
  </w:style>
  <w:style w:type="paragraph" w:customStyle="1" w:styleId="CharChar">
    <w:name w:val="Char Char"/>
    <w:basedOn w:val="Normal"/>
    <w:rsid w:val="00F46FE9"/>
    <w:pPr>
      <w:spacing w:after="160" w:line="240" w:lineRule="exact"/>
    </w:pPr>
    <w:rPr>
      <w:rFonts w:ascii="Verdana" w:eastAsia="PMingLiU" w:hAnsi="Verdana"/>
      <w:sz w:val="20"/>
      <w:lang w:val="en-US"/>
    </w:rPr>
  </w:style>
  <w:style w:type="character" w:customStyle="1" w:styleId="noticia1">
    <w:name w:val="noticia1"/>
    <w:basedOn w:val="DefaultParagraphFont"/>
    <w:rsid w:val="007E078A"/>
    <w:rPr>
      <w:rFonts w:ascii="Arial" w:hAnsi="Arial" w:cs="Arial" w:hint="default"/>
      <w:sz w:val="17"/>
      <w:szCs w:val="17"/>
    </w:rPr>
  </w:style>
  <w:style w:type="table" w:styleId="TableGrid">
    <w:name w:val="Table Grid"/>
    <w:basedOn w:val="TableNormal"/>
    <w:uiPriority w:val="39"/>
    <w:rsid w:val="00515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INDENTEDPARA">
    <w:name w:val="A INDENTED PARA"/>
    <w:basedOn w:val="Normal"/>
    <w:rsid w:val="00F95AD9"/>
    <w:pPr>
      <w:ind w:left="360"/>
      <w:jc w:val="both"/>
    </w:pPr>
    <w:rPr>
      <w:rFonts w:ascii="Book Antiqua" w:hAnsi="Book Antiqua"/>
      <w:sz w:val="22"/>
      <w:lang w:val="es-ES"/>
    </w:rPr>
  </w:style>
  <w:style w:type="character" w:customStyle="1" w:styleId="Table10pt">
    <w:name w:val="Table 10 pt"/>
    <w:basedOn w:val="DefaultParagraphFont"/>
    <w:rsid w:val="001816FB"/>
    <w:rPr>
      <w:rFonts w:ascii="Arial" w:hAnsi="Arial" w:cs="Times New Roman"/>
      <w:color w:val="auto"/>
      <w:spacing w:val="0"/>
      <w:sz w:val="20"/>
      <w:szCs w:val="20"/>
      <w:u w:val="none"/>
      <w:vertAlign w:val="baseline"/>
    </w:rPr>
  </w:style>
  <w:style w:type="paragraph" w:customStyle="1" w:styleId="Sinespaciado1">
    <w:name w:val="Sin espaciado1"/>
    <w:link w:val="SinespaciadoCar"/>
    <w:qFormat/>
    <w:rsid w:val="00151AE1"/>
    <w:pPr>
      <w:jc w:val="both"/>
    </w:pPr>
    <w:rPr>
      <w:rFonts w:ascii="Univers" w:eastAsia="Calibri" w:hAnsi="Univers"/>
      <w:sz w:val="18"/>
      <w:szCs w:val="22"/>
      <w:lang w:eastAsia="en-US"/>
    </w:rPr>
  </w:style>
  <w:style w:type="character" w:customStyle="1" w:styleId="SinespaciadoCar">
    <w:name w:val="Sin espaciado Car"/>
    <w:basedOn w:val="DefaultParagraphFont"/>
    <w:link w:val="Sinespaciado1"/>
    <w:rsid w:val="00151AE1"/>
    <w:rPr>
      <w:rFonts w:ascii="Univers" w:eastAsia="Calibri" w:hAnsi="Univers"/>
      <w:sz w:val="18"/>
      <w:szCs w:val="22"/>
      <w:lang w:val="es-AR" w:eastAsia="en-US" w:bidi="ar-SA"/>
    </w:rPr>
  </w:style>
  <w:style w:type="paragraph" w:customStyle="1" w:styleId="1Empresa1">
    <w:name w:val="1Empresa:1"/>
    <w:basedOn w:val="Normal"/>
    <w:rsid w:val="00AD0421"/>
    <w:rPr>
      <w:b/>
      <w:sz w:val="36"/>
      <w:lang w:eastAsia="es-ES"/>
    </w:rPr>
  </w:style>
  <w:style w:type="paragraph" w:customStyle="1" w:styleId="Textopredeterminado1">
    <w:name w:val="Texto predeterminado:1"/>
    <w:basedOn w:val="Normal"/>
    <w:uiPriority w:val="99"/>
    <w:rsid w:val="008814AB"/>
    <w:rPr>
      <w:rFonts w:ascii="Arial" w:hAnsi="Arial"/>
      <w:lang w:eastAsia="es-ES"/>
    </w:rPr>
  </w:style>
  <w:style w:type="character" w:customStyle="1" w:styleId="FooterChar1">
    <w:name w:val="Footer Char1"/>
    <w:basedOn w:val="DefaultParagraphFont"/>
    <w:link w:val="Footer"/>
    <w:rsid w:val="00E05C63"/>
    <w:rPr>
      <w:rFonts w:ascii="Arial" w:hAnsi="Arial" w:cs="Arial"/>
      <w:sz w:val="24"/>
      <w:lang w:val="it-IT" w:eastAsia="en-US"/>
    </w:rPr>
  </w:style>
  <w:style w:type="character" w:customStyle="1" w:styleId="HeaderChar1">
    <w:name w:val="Header Char1"/>
    <w:basedOn w:val="DefaultParagraphFont"/>
    <w:link w:val="Header"/>
    <w:rsid w:val="00ED64CC"/>
    <w:rPr>
      <w:sz w:val="24"/>
      <w:lang w:val="en-GB" w:eastAsia="en-US"/>
    </w:rPr>
  </w:style>
  <w:style w:type="character" w:customStyle="1" w:styleId="Heading1Char1">
    <w:name w:val="Heading 1 Char1"/>
    <w:basedOn w:val="DefaultParagraphFont"/>
    <w:link w:val="Heading1"/>
    <w:rsid w:val="001D0E9F"/>
    <w:rPr>
      <w:b/>
      <w:lang w:val="es-ES_tradnl" w:eastAsia="en-US"/>
    </w:rPr>
  </w:style>
  <w:style w:type="character" w:customStyle="1" w:styleId="Heading2Char">
    <w:name w:val="Heading 2 Char"/>
    <w:basedOn w:val="DefaultParagraphFont"/>
    <w:link w:val="Heading2"/>
    <w:uiPriority w:val="9"/>
    <w:rsid w:val="001D0E9F"/>
    <w:rPr>
      <w:sz w:val="24"/>
      <w:u w:val="single"/>
      <w:lang w:val="es-ES_tradnl" w:eastAsia="en-US"/>
    </w:rPr>
  </w:style>
  <w:style w:type="character" w:customStyle="1" w:styleId="Heading3Char">
    <w:name w:val="Heading 3 Char"/>
    <w:basedOn w:val="DefaultParagraphFont"/>
    <w:link w:val="Heading3"/>
    <w:rsid w:val="001D0E9F"/>
    <w:rPr>
      <w:b/>
      <w:sz w:val="24"/>
      <w:lang w:val="es-ES_tradnl" w:eastAsia="en-US"/>
    </w:rPr>
  </w:style>
  <w:style w:type="character" w:customStyle="1" w:styleId="Heading4Char">
    <w:name w:val="Heading 4 Char"/>
    <w:basedOn w:val="DefaultParagraphFont"/>
    <w:link w:val="Heading4"/>
    <w:rsid w:val="001D0E9F"/>
    <w:rPr>
      <w:b/>
      <w:sz w:val="24"/>
      <w:lang w:val="es-ES_tradnl" w:eastAsia="en-US"/>
    </w:rPr>
  </w:style>
  <w:style w:type="character" w:customStyle="1" w:styleId="Heading5Char">
    <w:name w:val="Heading 5 Char"/>
    <w:basedOn w:val="DefaultParagraphFont"/>
    <w:link w:val="Heading5"/>
    <w:rsid w:val="001D0E9F"/>
    <w:rPr>
      <w:u w:val="single"/>
      <w:lang w:val="es-ES_tradnl" w:eastAsia="en-US"/>
    </w:rPr>
  </w:style>
  <w:style w:type="character" w:customStyle="1" w:styleId="Heading6Char">
    <w:name w:val="Heading 6 Char"/>
    <w:basedOn w:val="DefaultParagraphFont"/>
    <w:link w:val="Heading6"/>
    <w:rsid w:val="001D0E9F"/>
    <w:rPr>
      <w:b/>
      <w:sz w:val="24"/>
      <w:lang w:val="es-ES_tradnl" w:eastAsia="en-US"/>
    </w:rPr>
  </w:style>
  <w:style w:type="character" w:customStyle="1" w:styleId="Heading7Char">
    <w:name w:val="Heading 7 Char"/>
    <w:basedOn w:val="DefaultParagraphFont"/>
    <w:link w:val="Heading7"/>
    <w:rsid w:val="001D0E9F"/>
    <w:rPr>
      <w:b/>
      <w:sz w:val="22"/>
      <w:lang w:val="es-ES_tradnl" w:eastAsia="en-US"/>
    </w:rPr>
  </w:style>
  <w:style w:type="character" w:customStyle="1" w:styleId="Heading8Char">
    <w:name w:val="Heading 8 Char"/>
    <w:basedOn w:val="DefaultParagraphFont"/>
    <w:link w:val="Heading8"/>
    <w:rsid w:val="001D0E9F"/>
    <w:rPr>
      <w:b/>
      <w:sz w:val="22"/>
      <w:u w:val="single"/>
      <w:lang w:val="es-ES_tradnl" w:eastAsia="en-US"/>
    </w:rPr>
  </w:style>
  <w:style w:type="character" w:customStyle="1" w:styleId="BodyText2Char">
    <w:name w:val="Body Text 2 Char"/>
    <w:basedOn w:val="DefaultParagraphFont"/>
    <w:link w:val="BodyText2"/>
    <w:uiPriority w:val="99"/>
    <w:rsid w:val="001D0E9F"/>
    <w:rPr>
      <w:b/>
      <w:sz w:val="22"/>
      <w:lang w:val="es-ES_tradnl" w:eastAsia="en-US"/>
    </w:rPr>
  </w:style>
  <w:style w:type="paragraph" w:styleId="DocumentMap">
    <w:name w:val="Document Map"/>
    <w:basedOn w:val="Normal"/>
    <w:link w:val="DocumentMapChar"/>
    <w:semiHidden/>
    <w:rsid w:val="001D0E9F"/>
    <w:pPr>
      <w:shd w:val="clear" w:color="auto" w:fill="000080"/>
    </w:pPr>
    <w:rPr>
      <w:rFonts w:ascii="Tahoma" w:hAnsi="Tahoma"/>
      <w:sz w:val="20"/>
      <w:lang w:val="es-ES_tradnl"/>
    </w:rPr>
  </w:style>
  <w:style w:type="character" w:customStyle="1" w:styleId="DocumentMapChar">
    <w:name w:val="Document Map Char"/>
    <w:basedOn w:val="DefaultParagraphFont"/>
    <w:link w:val="DocumentMap"/>
    <w:semiHidden/>
    <w:rsid w:val="001D0E9F"/>
    <w:rPr>
      <w:rFonts w:ascii="Tahoma" w:hAnsi="Tahoma"/>
      <w:shd w:val="clear" w:color="auto" w:fill="000080"/>
      <w:lang w:val="es-ES_tradnl" w:eastAsia="en-US"/>
    </w:rPr>
  </w:style>
  <w:style w:type="character" w:customStyle="1" w:styleId="BodyTextChar">
    <w:name w:val="Body Text Char"/>
    <w:basedOn w:val="DefaultParagraphFont"/>
    <w:link w:val="BodyText"/>
    <w:rsid w:val="001D0E9F"/>
    <w:rPr>
      <w:sz w:val="24"/>
      <w:lang w:val="es-ES_tradnl" w:eastAsia="en-US"/>
    </w:rPr>
  </w:style>
  <w:style w:type="character" w:customStyle="1" w:styleId="BodyTextIndent2Char">
    <w:name w:val="Body Text Indent 2 Char"/>
    <w:basedOn w:val="DefaultParagraphFont"/>
    <w:link w:val="BodyTextIndent2"/>
    <w:rsid w:val="001D0E9F"/>
    <w:rPr>
      <w:bCs/>
      <w:sz w:val="24"/>
      <w:lang w:val="es-ES_tradnl" w:eastAsia="en-US"/>
    </w:rPr>
  </w:style>
  <w:style w:type="character" w:customStyle="1" w:styleId="BodyTextIndentChar">
    <w:name w:val="Body Text Indent Char"/>
    <w:basedOn w:val="DefaultParagraphFont"/>
    <w:link w:val="BodyTextIndent"/>
    <w:rsid w:val="001D0E9F"/>
    <w:rPr>
      <w:b/>
      <w:sz w:val="24"/>
      <w:lang w:val="es-ES_tradnl" w:eastAsia="en-US"/>
    </w:rPr>
  </w:style>
  <w:style w:type="character" w:customStyle="1" w:styleId="BodyTextIndent3Char">
    <w:name w:val="Body Text Indent 3 Char"/>
    <w:basedOn w:val="DefaultParagraphFont"/>
    <w:link w:val="BodyTextIndent3"/>
    <w:rsid w:val="001D0E9F"/>
    <w:rPr>
      <w:sz w:val="22"/>
      <w:lang w:val="es-ES_tradnl" w:eastAsia="en-US"/>
    </w:rPr>
  </w:style>
  <w:style w:type="character" w:customStyle="1" w:styleId="BodyText3Char">
    <w:name w:val="Body Text 3 Char"/>
    <w:basedOn w:val="DefaultParagraphFont"/>
    <w:link w:val="BodyText3"/>
    <w:rsid w:val="001D0E9F"/>
    <w:rPr>
      <w:sz w:val="22"/>
      <w:lang w:eastAsia="en-US"/>
    </w:rPr>
  </w:style>
  <w:style w:type="character" w:customStyle="1" w:styleId="AAReference">
    <w:name w:val="AA Reference"/>
    <w:basedOn w:val="DefaultParagraphFont"/>
    <w:rsid w:val="001D0E9F"/>
    <w:rPr>
      <w:rFonts w:ascii="Arial" w:hAnsi="Arial" w:cs="Times New Roman"/>
      <w:color w:val="auto"/>
      <w:spacing w:val="0"/>
      <w:w w:val="100"/>
      <w:position w:val="0"/>
      <w:sz w:val="14"/>
      <w:vertAlign w:val="baseline"/>
      <w:lang w:val="en-US"/>
    </w:rPr>
  </w:style>
  <w:style w:type="paragraph" w:styleId="ListBullet2">
    <w:name w:val="List Bullet 2"/>
    <w:basedOn w:val="Normal"/>
    <w:autoRedefine/>
    <w:rsid w:val="001D0E9F"/>
    <w:pPr>
      <w:numPr>
        <w:numId w:val="1"/>
      </w:numPr>
      <w:tabs>
        <w:tab w:val="clear" w:pos="643"/>
        <w:tab w:val="left" w:pos="567"/>
        <w:tab w:val="left" w:pos="1134"/>
      </w:tabs>
      <w:spacing w:line="240" w:lineRule="atLeast"/>
      <w:ind w:left="0" w:firstLine="0"/>
    </w:pPr>
    <w:rPr>
      <w:sz w:val="20"/>
    </w:rPr>
  </w:style>
  <w:style w:type="paragraph" w:customStyle="1" w:styleId="COMUTEXTO">
    <w:name w:val="COMUTEXTO"/>
    <w:basedOn w:val="Normal"/>
    <w:rsid w:val="001D0E9F"/>
    <w:pPr>
      <w:autoSpaceDE w:val="0"/>
      <w:autoSpaceDN w:val="0"/>
      <w:ind w:right="567" w:firstLine="1418"/>
      <w:jc w:val="both"/>
    </w:pPr>
    <w:rPr>
      <w:rFonts w:ascii="Arial" w:hAnsi="Arial" w:cs="Arial"/>
      <w:sz w:val="20"/>
      <w:lang w:val="es-ES_tradnl"/>
    </w:rPr>
  </w:style>
  <w:style w:type="paragraph" w:styleId="PlainText">
    <w:name w:val="Plain Text"/>
    <w:basedOn w:val="Normal"/>
    <w:link w:val="PlainTextChar"/>
    <w:uiPriority w:val="99"/>
    <w:rsid w:val="001D0E9F"/>
    <w:rPr>
      <w:rFonts w:ascii="Courier New" w:hAnsi="Courier New"/>
      <w:sz w:val="20"/>
      <w:lang w:val="es-ES"/>
    </w:rPr>
  </w:style>
  <w:style w:type="character" w:customStyle="1" w:styleId="PlainTextChar">
    <w:name w:val="Plain Text Char"/>
    <w:basedOn w:val="DefaultParagraphFont"/>
    <w:link w:val="PlainText"/>
    <w:uiPriority w:val="99"/>
    <w:rsid w:val="001D0E9F"/>
    <w:rPr>
      <w:rFonts w:ascii="Courier New" w:hAnsi="Courier New"/>
      <w:lang w:val="es-ES" w:eastAsia="en-US"/>
    </w:rPr>
  </w:style>
  <w:style w:type="paragraph" w:customStyle="1" w:styleId="Textodeglobo1">
    <w:name w:val="Texto de globo1"/>
    <w:basedOn w:val="Normal"/>
    <w:semiHidden/>
    <w:rsid w:val="001D0E9F"/>
    <w:rPr>
      <w:rFonts w:ascii="Tahoma" w:hAnsi="Tahoma" w:cs="Tahoma"/>
      <w:sz w:val="16"/>
      <w:szCs w:val="16"/>
      <w:lang w:val="es-ES_tradnl"/>
    </w:rPr>
  </w:style>
  <w:style w:type="character" w:customStyle="1" w:styleId="CommentTextChar">
    <w:name w:val="Comment Text Char"/>
    <w:basedOn w:val="DefaultParagraphFont"/>
    <w:link w:val="CommentText"/>
    <w:uiPriority w:val="99"/>
    <w:rsid w:val="001D0E9F"/>
    <w:rPr>
      <w:lang w:val="en-GB" w:eastAsia="en-US"/>
    </w:rPr>
  </w:style>
  <w:style w:type="paragraph" w:customStyle="1" w:styleId="Asuntodelcomentario1">
    <w:name w:val="Asunto del comentario1"/>
    <w:basedOn w:val="CommentText"/>
    <w:next w:val="CommentText"/>
    <w:semiHidden/>
    <w:rsid w:val="001D0E9F"/>
    <w:rPr>
      <w:b/>
      <w:bCs/>
      <w:lang w:val="es-ES_tradnl"/>
    </w:rPr>
  </w:style>
  <w:style w:type="paragraph" w:styleId="NormalWeb">
    <w:name w:val="Normal (Web)"/>
    <w:basedOn w:val="Normal"/>
    <w:uiPriority w:val="99"/>
    <w:rsid w:val="001D0E9F"/>
    <w:pPr>
      <w:spacing w:before="100" w:beforeAutospacing="1" w:after="100" w:afterAutospacing="1"/>
    </w:pPr>
    <w:rPr>
      <w:szCs w:val="24"/>
      <w:lang w:val="es-ES" w:eastAsia="es-ES"/>
    </w:rPr>
  </w:style>
  <w:style w:type="character" w:customStyle="1" w:styleId="InitialStyle">
    <w:name w:val="InitialStyle"/>
    <w:rsid w:val="001D0E9F"/>
    <w:rPr>
      <w:rFonts w:ascii="Times New Roman" w:hAnsi="Times New Roman"/>
      <w:color w:val="auto"/>
      <w:spacing w:val="0"/>
      <w:sz w:val="24"/>
    </w:rPr>
  </w:style>
  <w:style w:type="character" w:styleId="Strong">
    <w:name w:val="Strong"/>
    <w:basedOn w:val="DefaultParagraphFont"/>
    <w:uiPriority w:val="22"/>
    <w:qFormat/>
    <w:rsid w:val="001D0E9F"/>
    <w:rPr>
      <w:rFonts w:cs="Times New Roman"/>
      <w:b/>
      <w:bCs/>
    </w:rPr>
  </w:style>
  <w:style w:type="paragraph" w:customStyle="1" w:styleId="Estilo">
    <w:name w:val="Estilo"/>
    <w:basedOn w:val="Normal"/>
    <w:rsid w:val="001D0E9F"/>
    <w:pPr>
      <w:spacing w:after="160" w:line="240" w:lineRule="exact"/>
    </w:pPr>
    <w:rPr>
      <w:rFonts w:ascii="Verdana" w:eastAsia="PMingLiU" w:hAnsi="Verdana"/>
      <w:sz w:val="20"/>
      <w:lang w:val="en-US"/>
    </w:rPr>
  </w:style>
  <w:style w:type="character" w:customStyle="1" w:styleId="BalloonTextChar">
    <w:name w:val="Balloon Text Char"/>
    <w:basedOn w:val="DefaultParagraphFont"/>
    <w:link w:val="BalloonText"/>
    <w:uiPriority w:val="99"/>
    <w:rsid w:val="001D0E9F"/>
    <w:rPr>
      <w:rFonts w:ascii="Tahoma" w:hAnsi="Tahoma" w:cs="Tahoma"/>
      <w:sz w:val="16"/>
      <w:szCs w:val="16"/>
      <w:lang w:val="en-GB" w:eastAsia="en-US"/>
    </w:rPr>
  </w:style>
  <w:style w:type="character" w:customStyle="1" w:styleId="CarCar1">
    <w:name w:val="Car Car1"/>
    <w:basedOn w:val="DefaultParagraphFont"/>
    <w:semiHidden/>
    <w:rsid w:val="001D0E9F"/>
    <w:rPr>
      <w:rFonts w:ascii="Tahoma" w:hAnsi="Tahoma" w:cs="Tahoma"/>
      <w:sz w:val="16"/>
      <w:szCs w:val="16"/>
      <w:lang w:val="es-ES_tradnl"/>
    </w:rPr>
  </w:style>
  <w:style w:type="paragraph" w:customStyle="1" w:styleId="CarCarCarCar">
    <w:name w:val="Car Car Car Car"/>
    <w:basedOn w:val="Normal"/>
    <w:rsid w:val="001D0E9F"/>
    <w:pPr>
      <w:spacing w:after="160" w:line="240" w:lineRule="exact"/>
    </w:pPr>
    <w:rPr>
      <w:rFonts w:ascii="Verdana" w:eastAsia="PMingLiU" w:hAnsi="Verdana"/>
      <w:sz w:val="20"/>
      <w:lang w:val="en-US"/>
    </w:rPr>
  </w:style>
  <w:style w:type="paragraph" w:customStyle="1" w:styleId="CarCarCarCar1CharCarCarCarCar1">
    <w:name w:val="Car Car Car Car1 Char Car Car Car Car1"/>
    <w:basedOn w:val="Normal"/>
    <w:rsid w:val="001D0E9F"/>
    <w:pPr>
      <w:spacing w:after="160" w:line="240" w:lineRule="exact"/>
    </w:pPr>
    <w:rPr>
      <w:rFonts w:ascii="Verdana" w:eastAsia="PMingLiU" w:hAnsi="Verdana"/>
      <w:sz w:val="20"/>
      <w:lang w:val="en-US"/>
    </w:rPr>
  </w:style>
  <w:style w:type="paragraph" w:customStyle="1" w:styleId="CarCarCarCar1CharCar">
    <w:name w:val="Car Car Car Car1 Char Car"/>
    <w:basedOn w:val="Normal"/>
    <w:rsid w:val="001D0E9F"/>
    <w:pPr>
      <w:spacing w:after="160" w:line="240" w:lineRule="exact"/>
    </w:pPr>
    <w:rPr>
      <w:rFonts w:ascii="Verdana" w:eastAsia="PMingLiU" w:hAnsi="Verdana"/>
      <w:sz w:val="20"/>
      <w:lang w:val="en-US"/>
    </w:rPr>
  </w:style>
  <w:style w:type="paragraph" w:customStyle="1" w:styleId="Car1">
    <w:name w:val="Car1"/>
    <w:basedOn w:val="Normal"/>
    <w:rsid w:val="001D0E9F"/>
    <w:pPr>
      <w:spacing w:after="160" w:line="240" w:lineRule="exact"/>
    </w:pPr>
    <w:rPr>
      <w:rFonts w:ascii="Verdana" w:eastAsia="PMingLiU" w:hAnsi="Verdana"/>
      <w:sz w:val="20"/>
      <w:lang w:val="en-US"/>
    </w:rPr>
  </w:style>
  <w:style w:type="paragraph" w:styleId="FootnoteText">
    <w:name w:val="footnote text"/>
    <w:basedOn w:val="Normal"/>
    <w:link w:val="FootnoteTextChar"/>
    <w:uiPriority w:val="99"/>
    <w:rsid w:val="001D0E9F"/>
    <w:rPr>
      <w:sz w:val="20"/>
      <w:lang w:val="es-ES" w:eastAsia="es-ES"/>
    </w:rPr>
  </w:style>
  <w:style w:type="character" w:customStyle="1" w:styleId="FootnoteTextChar">
    <w:name w:val="Footnote Text Char"/>
    <w:basedOn w:val="DefaultParagraphFont"/>
    <w:link w:val="FootnoteText"/>
    <w:uiPriority w:val="99"/>
    <w:rsid w:val="001D0E9F"/>
    <w:rPr>
      <w:lang w:val="es-ES" w:eastAsia="es-ES"/>
    </w:rPr>
  </w:style>
  <w:style w:type="paragraph" w:customStyle="1" w:styleId="clusula">
    <w:name w:val="clusula"/>
    <w:basedOn w:val="Normal"/>
    <w:rsid w:val="001D0E9F"/>
    <w:pPr>
      <w:spacing w:before="60" w:after="60"/>
      <w:jc w:val="both"/>
    </w:pPr>
    <w:rPr>
      <w:color w:val="000000"/>
      <w:sz w:val="20"/>
      <w:lang w:val="es-ES" w:eastAsia="es-ES"/>
    </w:rPr>
  </w:style>
  <w:style w:type="character" w:customStyle="1" w:styleId="EstiloCorreo138">
    <w:name w:val="EstiloCorreo138"/>
    <w:basedOn w:val="DefaultParagraphFont"/>
    <w:semiHidden/>
    <w:rsid w:val="001D0E9F"/>
    <w:rPr>
      <w:rFonts w:ascii="Arial" w:hAnsi="Arial" w:cs="Arial"/>
      <w:color w:val="000080"/>
      <w:sz w:val="20"/>
      <w:szCs w:val="20"/>
    </w:rPr>
  </w:style>
  <w:style w:type="paragraph" w:customStyle="1" w:styleId="bodytext2sgl">
    <w:name w:val="bodytext2sgl"/>
    <w:basedOn w:val="Normal"/>
    <w:rsid w:val="001D0E9F"/>
    <w:pPr>
      <w:autoSpaceDE w:val="0"/>
      <w:autoSpaceDN w:val="0"/>
      <w:spacing w:after="240"/>
      <w:ind w:firstLine="720"/>
    </w:pPr>
    <w:rPr>
      <w:sz w:val="20"/>
      <w:lang w:val="es-ES" w:eastAsia="es-ES"/>
    </w:rPr>
  </w:style>
  <w:style w:type="numbering" w:customStyle="1" w:styleId="Sinlista1">
    <w:name w:val="Sin lista1"/>
    <w:next w:val="NoList"/>
    <w:uiPriority w:val="99"/>
    <w:semiHidden/>
    <w:unhideWhenUsed/>
    <w:rsid w:val="00511C5D"/>
  </w:style>
  <w:style w:type="paragraph" w:customStyle="1" w:styleId="1">
    <w:name w:val="1"/>
    <w:basedOn w:val="Normal"/>
    <w:rsid w:val="00511C5D"/>
    <w:pPr>
      <w:spacing w:after="160" w:line="240" w:lineRule="exact"/>
    </w:pPr>
    <w:rPr>
      <w:rFonts w:ascii="Verdana" w:eastAsia="PMingLiU" w:hAnsi="Verdana"/>
      <w:sz w:val="20"/>
      <w:lang w:val="en-US"/>
    </w:rPr>
  </w:style>
  <w:style w:type="character" w:customStyle="1" w:styleId="EstiloCorreo142">
    <w:name w:val="EstiloCorreo142"/>
    <w:basedOn w:val="DefaultParagraphFont"/>
    <w:semiHidden/>
    <w:rsid w:val="00511C5D"/>
    <w:rPr>
      <w:rFonts w:ascii="Arial" w:hAnsi="Arial" w:cs="Arial" w:hint="default"/>
      <w:color w:val="000080"/>
      <w:sz w:val="20"/>
      <w:szCs w:val="20"/>
    </w:rPr>
  </w:style>
  <w:style w:type="paragraph" w:styleId="Caption">
    <w:name w:val="caption"/>
    <w:basedOn w:val="Normal"/>
    <w:next w:val="Normal"/>
    <w:unhideWhenUsed/>
    <w:qFormat/>
    <w:rsid w:val="00511C5D"/>
    <w:pPr>
      <w:spacing w:after="200"/>
    </w:pPr>
    <w:rPr>
      <w:b/>
      <w:bCs/>
      <w:color w:val="4F81BD" w:themeColor="accent1"/>
      <w:sz w:val="18"/>
      <w:szCs w:val="18"/>
      <w:lang w:val="es-ES_tradnl"/>
    </w:rPr>
  </w:style>
  <w:style w:type="character" w:customStyle="1" w:styleId="EstiloCorreo144">
    <w:name w:val="EstiloCorreo144"/>
    <w:basedOn w:val="DefaultParagraphFont"/>
    <w:semiHidden/>
    <w:rsid w:val="00E417B6"/>
    <w:rPr>
      <w:rFonts w:ascii="Arial" w:hAnsi="Arial" w:cs="Arial" w:hint="default"/>
      <w:color w:val="000080"/>
      <w:sz w:val="20"/>
      <w:szCs w:val="20"/>
    </w:rPr>
  </w:style>
  <w:style w:type="numbering" w:customStyle="1" w:styleId="Sinlista2">
    <w:name w:val="Sin lista2"/>
    <w:next w:val="NoList"/>
    <w:uiPriority w:val="99"/>
    <w:semiHidden/>
    <w:unhideWhenUsed/>
    <w:rsid w:val="00A76E3D"/>
  </w:style>
  <w:style w:type="character" w:customStyle="1" w:styleId="EstiloCorreo146">
    <w:name w:val="EstiloCorreo146"/>
    <w:basedOn w:val="DefaultParagraphFont"/>
    <w:semiHidden/>
    <w:rsid w:val="00A76E3D"/>
    <w:rPr>
      <w:rFonts w:ascii="Arial" w:hAnsi="Arial" w:cs="Arial" w:hint="default"/>
      <w:color w:val="000080"/>
      <w:sz w:val="20"/>
      <w:szCs w:val="20"/>
    </w:rPr>
  </w:style>
  <w:style w:type="numbering" w:customStyle="1" w:styleId="Sinlista3">
    <w:name w:val="Sin lista3"/>
    <w:next w:val="NoList"/>
    <w:uiPriority w:val="99"/>
    <w:semiHidden/>
    <w:unhideWhenUsed/>
    <w:rsid w:val="00AB1102"/>
  </w:style>
  <w:style w:type="character" w:customStyle="1" w:styleId="EstiloCorreo1481">
    <w:name w:val="EstiloCorreo1481"/>
    <w:basedOn w:val="DefaultParagraphFont"/>
    <w:semiHidden/>
    <w:rsid w:val="00AB1102"/>
    <w:rPr>
      <w:rFonts w:ascii="Arial" w:hAnsi="Arial" w:cs="Arial" w:hint="default"/>
      <w:color w:val="000080"/>
      <w:sz w:val="20"/>
      <w:szCs w:val="20"/>
    </w:rPr>
  </w:style>
  <w:style w:type="numbering" w:customStyle="1" w:styleId="Sinlista4">
    <w:name w:val="Sin lista4"/>
    <w:next w:val="NoList"/>
    <w:uiPriority w:val="99"/>
    <w:semiHidden/>
    <w:unhideWhenUsed/>
    <w:rsid w:val="008F72A2"/>
  </w:style>
  <w:style w:type="character" w:customStyle="1" w:styleId="EstiloCorreo150">
    <w:name w:val="EstiloCorreo150"/>
    <w:basedOn w:val="DefaultParagraphFont"/>
    <w:semiHidden/>
    <w:rsid w:val="008F72A2"/>
    <w:rPr>
      <w:rFonts w:ascii="Arial" w:hAnsi="Arial" w:cs="Arial" w:hint="default"/>
      <w:color w:val="000080"/>
      <w:sz w:val="20"/>
      <w:szCs w:val="20"/>
    </w:rPr>
  </w:style>
  <w:style w:type="character" w:customStyle="1" w:styleId="EstiloCorreo581">
    <w:name w:val="EstiloCorreo581"/>
    <w:basedOn w:val="DefaultParagraphFont"/>
    <w:semiHidden/>
    <w:rsid w:val="00C350F2"/>
    <w:rPr>
      <w:rFonts w:ascii="Arial" w:hAnsi="Arial" w:cs="Arial" w:hint="default"/>
      <w:color w:val="000080"/>
      <w:sz w:val="20"/>
      <w:szCs w:val="20"/>
    </w:rPr>
  </w:style>
  <w:style w:type="character" w:customStyle="1" w:styleId="Heading9Char">
    <w:name w:val="Heading 9 Char"/>
    <w:basedOn w:val="DefaultParagraphFont"/>
    <w:link w:val="Heading9"/>
    <w:rsid w:val="00C350F2"/>
    <w:rPr>
      <w:b/>
      <w:lang w:val="es-ES_tradnl" w:eastAsia="en-US"/>
    </w:rPr>
  </w:style>
  <w:style w:type="character" w:customStyle="1" w:styleId="EndnoteTextChar">
    <w:name w:val="Endnote Text Char"/>
    <w:basedOn w:val="DefaultParagraphFont"/>
    <w:link w:val="EndnoteText"/>
    <w:rsid w:val="00C350F2"/>
    <w:rPr>
      <w:sz w:val="24"/>
      <w:lang w:val="es-ES_tradnl" w:eastAsia="en-US"/>
    </w:rPr>
  </w:style>
  <w:style w:type="character" w:customStyle="1" w:styleId="TitleChar">
    <w:name w:val="Title Char"/>
    <w:basedOn w:val="DefaultParagraphFont"/>
    <w:link w:val="Title"/>
    <w:rsid w:val="00C350F2"/>
    <w:rPr>
      <w:b/>
      <w:bCs/>
      <w:sz w:val="32"/>
      <w:szCs w:val="24"/>
      <w:lang w:eastAsia="en-US" w:bidi="he-IL"/>
    </w:rPr>
  </w:style>
  <w:style w:type="character" w:customStyle="1" w:styleId="CommentSubjectChar">
    <w:name w:val="Comment Subject Char"/>
    <w:basedOn w:val="CommentTextChar"/>
    <w:link w:val="CommentSubject"/>
    <w:rsid w:val="00C350F2"/>
    <w:rPr>
      <w:b/>
      <w:bCs/>
      <w:lang w:val="en-GB" w:eastAsia="en-US"/>
    </w:rPr>
  </w:style>
  <w:style w:type="character" w:customStyle="1" w:styleId="EstiloCorreo1471">
    <w:name w:val="EstiloCorreo1471"/>
    <w:basedOn w:val="DefaultParagraphFont"/>
    <w:semiHidden/>
    <w:rsid w:val="00C350F2"/>
    <w:rPr>
      <w:rFonts w:ascii="Arial" w:hAnsi="Arial" w:cs="Arial" w:hint="default"/>
      <w:color w:val="000080"/>
      <w:sz w:val="20"/>
      <w:szCs w:val="20"/>
    </w:rPr>
  </w:style>
  <w:style w:type="character" w:customStyle="1" w:styleId="EstiloCorreo1491">
    <w:name w:val="EstiloCorreo1491"/>
    <w:basedOn w:val="DefaultParagraphFont"/>
    <w:semiHidden/>
    <w:rsid w:val="00C350F2"/>
    <w:rPr>
      <w:rFonts w:ascii="Arial" w:hAnsi="Arial" w:cs="Arial" w:hint="default"/>
      <w:color w:val="000080"/>
      <w:sz w:val="20"/>
      <w:szCs w:val="20"/>
    </w:rPr>
  </w:style>
  <w:style w:type="character" w:customStyle="1" w:styleId="EstiloCorreo1511">
    <w:name w:val="EstiloCorreo1511"/>
    <w:basedOn w:val="DefaultParagraphFont"/>
    <w:semiHidden/>
    <w:rsid w:val="00C350F2"/>
    <w:rPr>
      <w:rFonts w:ascii="Arial" w:hAnsi="Arial" w:cs="Arial" w:hint="default"/>
      <w:color w:val="000080"/>
      <w:sz w:val="20"/>
      <w:szCs w:val="20"/>
    </w:rPr>
  </w:style>
  <w:style w:type="character" w:customStyle="1" w:styleId="EstiloCorreo1531">
    <w:name w:val="EstiloCorreo1531"/>
    <w:basedOn w:val="DefaultParagraphFont"/>
    <w:semiHidden/>
    <w:rsid w:val="00C350F2"/>
    <w:rPr>
      <w:rFonts w:ascii="Arial" w:hAnsi="Arial" w:cs="Arial" w:hint="default"/>
      <w:color w:val="000080"/>
      <w:sz w:val="20"/>
      <w:szCs w:val="20"/>
    </w:rPr>
  </w:style>
  <w:style w:type="numbering" w:customStyle="1" w:styleId="Sinlista5">
    <w:name w:val="Sin lista5"/>
    <w:next w:val="NoList"/>
    <w:uiPriority w:val="99"/>
    <w:semiHidden/>
    <w:unhideWhenUsed/>
    <w:rsid w:val="00C350F2"/>
  </w:style>
  <w:style w:type="character" w:customStyle="1" w:styleId="EstiloCorreo1551">
    <w:name w:val="EstiloCorreo1551"/>
    <w:basedOn w:val="DefaultParagraphFont"/>
    <w:semiHidden/>
    <w:rsid w:val="00C350F2"/>
    <w:rPr>
      <w:rFonts w:ascii="Arial" w:hAnsi="Arial" w:cs="Arial" w:hint="default"/>
      <w:color w:val="000080"/>
      <w:sz w:val="20"/>
      <w:szCs w:val="20"/>
    </w:rPr>
  </w:style>
  <w:style w:type="character" w:customStyle="1" w:styleId="EstiloCorreo1561">
    <w:name w:val="EstiloCorreo1561"/>
    <w:basedOn w:val="DefaultParagraphFont"/>
    <w:semiHidden/>
    <w:rsid w:val="00C350F2"/>
    <w:rPr>
      <w:rFonts w:ascii="Arial" w:hAnsi="Arial" w:cs="Arial"/>
      <w:color w:val="000080"/>
      <w:sz w:val="20"/>
      <w:szCs w:val="20"/>
    </w:rPr>
  </w:style>
  <w:style w:type="character" w:customStyle="1" w:styleId="EstiloCorreo1571">
    <w:name w:val="EstiloCorreo1571"/>
    <w:basedOn w:val="DefaultParagraphFont"/>
    <w:semiHidden/>
    <w:rsid w:val="00C350F2"/>
    <w:rPr>
      <w:rFonts w:ascii="Arial" w:hAnsi="Arial" w:cs="Arial" w:hint="default"/>
      <w:color w:val="000080"/>
      <w:sz w:val="20"/>
      <w:szCs w:val="20"/>
    </w:rPr>
  </w:style>
  <w:style w:type="character" w:customStyle="1" w:styleId="EstiloCorreo1581">
    <w:name w:val="EstiloCorreo1581"/>
    <w:basedOn w:val="DefaultParagraphFont"/>
    <w:semiHidden/>
    <w:rsid w:val="00C350F2"/>
    <w:rPr>
      <w:rFonts w:ascii="Arial" w:hAnsi="Arial" w:cs="Arial" w:hint="default"/>
      <w:color w:val="000080"/>
      <w:sz w:val="20"/>
      <w:szCs w:val="20"/>
    </w:rPr>
  </w:style>
  <w:style w:type="character" w:customStyle="1" w:styleId="EstiloCorreo1591">
    <w:name w:val="EstiloCorreo1591"/>
    <w:basedOn w:val="DefaultParagraphFont"/>
    <w:semiHidden/>
    <w:rsid w:val="00C350F2"/>
    <w:rPr>
      <w:rFonts w:ascii="Arial" w:hAnsi="Arial" w:cs="Arial" w:hint="default"/>
      <w:color w:val="000080"/>
      <w:sz w:val="20"/>
      <w:szCs w:val="20"/>
    </w:rPr>
  </w:style>
  <w:style w:type="character" w:customStyle="1" w:styleId="EstiloCorreo1601">
    <w:name w:val="EstiloCorreo1601"/>
    <w:basedOn w:val="DefaultParagraphFont"/>
    <w:semiHidden/>
    <w:rsid w:val="00C350F2"/>
    <w:rPr>
      <w:rFonts w:ascii="Arial" w:hAnsi="Arial" w:cs="Arial" w:hint="default"/>
      <w:color w:val="000080"/>
      <w:sz w:val="20"/>
      <w:szCs w:val="20"/>
    </w:rPr>
  </w:style>
  <w:style w:type="character" w:customStyle="1" w:styleId="EstiloCorreo1611">
    <w:name w:val="EstiloCorreo1611"/>
    <w:basedOn w:val="DefaultParagraphFont"/>
    <w:semiHidden/>
    <w:rsid w:val="00C350F2"/>
    <w:rPr>
      <w:rFonts w:ascii="Arial" w:hAnsi="Arial" w:cs="Arial"/>
      <w:color w:val="000080"/>
      <w:sz w:val="20"/>
      <w:szCs w:val="20"/>
    </w:rPr>
  </w:style>
  <w:style w:type="numbering" w:customStyle="1" w:styleId="Sinlista11">
    <w:name w:val="Sin lista11"/>
    <w:next w:val="NoList"/>
    <w:uiPriority w:val="99"/>
    <w:semiHidden/>
    <w:unhideWhenUsed/>
    <w:rsid w:val="00C350F2"/>
  </w:style>
  <w:style w:type="character" w:customStyle="1" w:styleId="EstiloCorreo1631">
    <w:name w:val="EstiloCorreo1631"/>
    <w:basedOn w:val="DefaultParagraphFont"/>
    <w:semiHidden/>
    <w:rsid w:val="00C350F2"/>
    <w:rPr>
      <w:rFonts w:ascii="Arial" w:hAnsi="Arial" w:cs="Arial" w:hint="default"/>
      <w:color w:val="000080"/>
      <w:sz w:val="20"/>
      <w:szCs w:val="20"/>
    </w:rPr>
  </w:style>
  <w:style w:type="character" w:customStyle="1" w:styleId="EstiloCorreo1641">
    <w:name w:val="EstiloCorreo1641"/>
    <w:basedOn w:val="DefaultParagraphFont"/>
    <w:semiHidden/>
    <w:rsid w:val="00C350F2"/>
    <w:rPr>
      <w:rFonts w:ascii="Arial" w:hAnsi="Arial" w:cs="Arial" w:hint="default"/>
      <w:color w:val="000080"/>
      <w:sz w:val="20"/>
      <w:szCs w:val="20"/>
    </w:rPr>
  </w:style>
  <w:style w:type="numbering" w:customStyle="1" w:styleId="Sinlista21">
    <w:name w:val="Sin lista21"/>
    <w:next w:val="NoList"/>
    <w:uiPriority w:val="99"/>
    <w:semiHidden/>
    <w:unhideWhenUsed/>
    <w:rsid w:val="00C350F2"/>
  </w:style>
  <w:style w:type="character" w:customStyle="1" w:styleId="EstiloCorreo1661">
    <w:name w:val="EstiloCorreo1661"/>
    <w:basedOn w:val="DefaultParagraphFont"/>
    <w:semiHidden/>
    <w:rsid w:val="00C350F2"/>
    <w:rPr>
      <w:rFonts w:ascii="Arial" w:hAnsi="Arial" w:cs="Arial" w:hint="default"/>
      <w:color w:val="000080"/>
      <w:sz w:val="20"/>
      <w:szCs w:val="20"/>
    </w:rPr>
  </w:style>
  <w:style w:type="numbering" w:customStyle="1" w:styleId="Sinlista31">
    <w:name w:val="Sin lista31"/>
    <w:next w:val="NoList"/>
    <w:uiPriority w:val="99"/>
    <w:semiHidden/>
    <w:unhideWhenUsed/>
    <w:rsid w:val="00C350F2"/>
  </w:style>
  <w:style w:type="character" w:customStyle="1" w:styleId="EstiloCorreo1681">
    <w:name w:val="EstiloCorreo1681"/>
    <w:basedOn w:val="DefaultParagraphFont"/>
    <w:semiHidden/>
    <w:rsid w:val="00C350F2"/>
    <w:rPr>
      <w:rFonts w:ascii="Arial" w:hAnsi="Arial" w:cs="Arial" w:hint="default"/>
      <w:color w:val="000080"/>
      <w:sz w:val="20"/>
      <w:szCs w:val="20"/>
    </w:rPr>
  </w:style>
  <w:style w:type="numbering" w:customStyle="1" w:styleId="Sinlista41">
    <w:name w:val="Sin lista41"/>
    <w:next w:val="NoList"/>
    <w:uiPriority w:val="99"/>
    <w:semiHidden/>
    <w:unhideWhenUsed/>
    <w:rsid w:val="00C350F2"/>
  </w:style>
  <w:style w:type="character" w:customStyle="1" w:styleId="EstiloCorreo1701">
    <w:name w:val="EstiloCorreo1701"/>
    <w:basedOn w:val="DefaultParagraphFont"/>
    <w:semiHidden/>
    <w:rsid w:val="00C350F2"/>
    <w:rPr>
      <w:rFonts w:ascii="Arial" w:hAnsi="Arial" w:cs="Arial" w:hint="default"/>
      <w:color w:val="000080"/>
      <w:sz w:val="20"/>
      <w:szCs w:val="20"/>
    </w:rPr>
  </w:style>
  <w:style w:type="numbering" w:customStyle="1" w:styleId="Sinlista51">
    <w:name w:val="Sin lista51"/>
    <w:next w:val="NoList"/>
    <w:uiPriority w:val="99"/>
    <w:semiHidden/>
    <w:unhideWhenUsed/>
    <w:rsid w:val="00C350F2"/>
  </w:style>
  <w:style w:type="character" w:customStyle="1" w:styleId="EstiloCorreo1721">
    <w:name w:val="EstiloCorreo1721"/>
    <w:basedOn w:val="DefaultParagraphFont"/>
    <w:semiHidden/>
    <w:rsid w:val="00C350F2"/>
    <w:rPr>
      <w:rFonts w:ascii="Arial" w:hAnsi="Arial" w:cs="Arial" w:hint="default"/>
      <w:color w:val="000080"/>
      <w:sz w:val="20"/>
      <w:szCs w:val="20"/>
    </w:rPr>
  </w:style>
  <w:style w:type="paragraph" w:customStyle="1" w:styleId="s25">
    <w:name w:val="s25"/>
    <w:basedOn w:val="Normal"/>
    <w:uiPriority w:val="99"/>
    <w:rsid w:val="00C350F2"/>
    <w:pPr>
      <w:ind w:left="624"/>
      <w:jc w:val="both"/>
    </w:pPr>
    <w:rPr>
      <w:rFonts w:ascii="Arial" w:eastAsia="Calibri" w:hAnsi="Arial" w:cs="Arial"/>
      <w:sz w:val="20"/>
      <w:lang w:eastAsia="es-AR"/>
    </w:rPr>
  </w:style>
  <w:style w:type="paragraph" w:customStyle="1" w:styleId="s30-3675">
    <w:name w:val="s30-3675"/>
    <w:basedOn w:val="Normal"/>
    <w:rsid w:val="00C350F2"/>
    <w:pPr>
      <w:ind w:firstLine="567"/>
      <w:jc w:val="both"/>
    </w:pPr>
    <w:rPr>
      <w:rFonts w:eastAsia="Calibri"/>
      <w:szCs w:val="24"/>
      <w:lang w:eastAsia="es-AR"/>
    </w:rPr>
  </w:style>
  <w:style w:type="numbering" w:customStyle="1" w:styleId="Sinlista6">
    <w:name w:val="Sin lista6"/>
    <w:next w:val="NoList"/>
    <w:uiPriority w:val="99"/>
    <w:semiHidden/>
    <w:unhideWhenUsed/>
    <w:rsid w:val="00C350F2"/>
  </w:style>
  <w:style w:type="numbering" w:customStyle="1" w:styleId="Sinlista12">
    <w:name w:val="Sin lista12"/>
    <w:next w:val="NoList"/>
    <w:uiPriority w:val="99"/>
    <w:semiHidden/>
    <w:unhideWhenUsed/>
    <w:rsid w:val="00C350F2"/>
  </w:style>
  <w:style w:type="character" w:customStyle="1" w:styleId="EstiloCorreo177">
    <w:name w:val="EstiloCorreo177"/>
    <w:basedOn w:val="DefaultParagraphFont"/>
    <w:semiHidden/>
    <w:rsid w:val="00C350F2"/>
    <w:rPr>
      <w:rFonts w:ascii="Arial" w:hAnsi="Arial" w:cs="Arial"/>
      <w:color w:val="000080"/>
      <w:sz w:val="20"/>
      <w:szCs w:val="20"/>
    </w:rPr>
  </w:style>
  <w:style w:type="numbering" w:customStyle="1" w:styleId="Sinlista111">
    <w:name w:val="Sin lista111"/>
    <w:next w:val="NoList"/>
    <w:uiPriority w:val="99"/>
    <w:semiHidden/>
    <w:unhideWhenUsed/>
    <w:rsid w:val="00C350F2"/>
  </w:style>
  <w:style w:type="character" w:customStyle="1" w:styleId="EstiloCorreo179">
    <w:name w:val="EstiloCorreo179"/>
    <w:basedOn w:val="DefaultParagraphFont"/>
    <w:semiHidden/>
    <w:rsid w:val="00C350F2"/>
    <w:rPr>
      <w:rFonts w:ascii="Arial" w:hAnsi="Arial" w:cs="Arial" w:hint="default"/>
      <w:color w:val="000080"/>
      <w:sz w:val="20"/>
      <w:szCs w:val="20"/>
    </w:rPr>
  </w:style>
  <w:style w:type="numbering" w:customStyle="1" w:styleId="Sinlista22">
    <w:name w:val="Sin lista22"/>
    <w:next w:val="NoList"/>
    <w:uiPriority w:val="99"/>
    <w:semiHidden/>
    <w:unhideWhenUsed/>
    <w:rsid w:val="00C350F2"/>
  </w:style>
  <w:style w:type="numbering" w:customStyle="1" w:styleId="Sinlista32">
    <w:name w:val="Sin lista32"/>
    <w:next w:val="NoList"/>
    <w:uiPriority w:val="99"/>
    <w:semiHidden/>
    <w:unhideWhenUsed/>
    <w:rsid w:val="00C350F2"/>
  </w:style>
  <w:style w:type="character" w:customStyle="1" w:styleId="EstiloCorreo182">
    <w:name w:val="EstiloCorreo182"/>
    <w:basedOn w:val="DefaultParagraphFont"/>
    <w:semiHidden/>
    <w:rsid w:val="00C350F2"/>
    <w:rPr>
      <w:rFonts w:ascii="Arial" w:hAnsi="Arial" w:cs="Arial" w:hint="default"/>
      <w:color w:val="000080"/>
      <w:sz w:val="20"/>
      <w:szCs w:val="20"/>
    </w:rPr>
  </w:style>
  <w:style w:type="numbering" w:customStyle="1" w:styleId="Sinlista42">
    <w:name w:val="Sin lista42"/>
    <w:next w:val="NoList"/>
    <w:uiPriority w:val="99"/>
    <w:semiHidden/>
    <w:unhideWhenUsed/>
    <w:rsid w:val="00C350F2"/>
  </w:style>
  <w:style w:type="character" w:customStyle="1" w:styleId="EstiloCorreo184">
    <w:name w:val="EstiloCorreo184"/>
    <w:basedOn w:val="DefaultParagraphFont"/>
    <w:semiHidden/>
    <w:rsid w:val="00C350F2"/>
    <w:rPr>
      <w:rFonts w:ascii="Arial" w:hAnsi="Arial" w:cs="Arial" w:hint="default"/>
      <w:color w:val="000080"/>
      <w:sz w:val="20"/>
      <w:szCs w:val="20"/>
    </w:rPr>
  </w:style>
  <w:style w:type="numbering" w:customStyle="1" w:styleId="Sinlista52">
    <w:name w:val="Sin lista52"/>
    <w:next w:val="NoList"/>
    <w:uiPriority w:val="99"/>
    <w:semiHidden/>
    <w:unhideWhenUsed/>
    <w:rsid w:val="00C350F2"/>
  </w:style>
  <w:style w:type="character" w:customStyle="1" w:styleId="EstiloCorreo186">
    <w:name w:val="EstiloCorreo186"/>
    <w:basedOn w:val="DefaultParagraphFont"/>
    <w:semiHidden/>
    <w:rsid w:val="00C350F2"/>
    <w:rPr>
      <w:rFonts w:ascii="Arial" w:hAnsi="Arial" w:cs="Arial" w:hint="default"/>
      <w:color w:val="000080"/>
      <w:sz w:val="20"/>
      <w:szCs w:val="20"/>
    </w:rPr>
  </w:style>
  <w:style w:type="character" w:customStyle="1" w:styleId="EstiloCorreo187">
    <w:name w:val="EstiloCorreo187"/>
    <w:basedOn w:val="DefaultParagraphFont"/>
    <w:semiHidden/>
    <w:rsid w:val="00C350F2"/>
    <w:rPr>
      <w:rFonts w:ascii="Arial" w:hAnsi="Arial" w:cs="Arial"/>
      <w:color w:val="000080"/>
      <w:sz w:val="20"/>
      <w:szCs w:val="20"/>
    </w:rPr>
  </w:style>
  <w:style w:type="numbering" w:customStyle="1" w:styleId="Sinlista1111">
    <w:name w:val="Sin lista1111"/>
    <w:next w:val="NoList"/>
    <w:uiPriority w:val="99"/>
    <w:semiHidden/>
    <w:unhideWhenUsed/>
    <w:rsid w:val="00C350F2"/>
  </w:style>
  <w:style w:type="character" w:customStyle="1" w:styleId="EstiloCorreo189">
    <w:name w:val="EstiloCorreo189"/>
    <w:basedOn w:val="DefaultParagraphFont"/>
    <w:semiHidden/>
    <w:rsid w:val="00C350F2"/>
    <w:rPr>
      <w:rFonts w:ascii="Arial" w:hAnsi="Arial" w:cs="Arial" w:hint="default"/>
      <w:color w:val="000080"/>
      <w:sz w:val="20"/>
      <w:szCs w:val="20"/>
    </w:rPr>
  </w:style>
  <w:style w:type="character" w:customStyle="1" w:styleId="EstiloCorreo190">
    <w:name w:val="EstiloCorreo190"/>
    <w:basedOn w:val="DefaultParagraphFont"/>
    <w:semiHidden/>
    <w:rsid w:val="00C350F2"/>
    <w:rPr>
      <w:rFonts w:ascii="Arial" w:hAnsi="Arial" w:cs="Arial" w:hint="default"/>
      <w:color w:val="000080"/>
      <w:sz w:val="20"/>
      <w:szCs w:val="20"/>
    </w:rPr>
  </w:style>
  <w:style w:type="numbering" w:customStyle="1" w:styleId="Sinlista211">
    <w:name w:val="Sin lista211"/>
    <w:next w:val="NoList"/>
    <w:uiPriority w:val="99"/>
    <w:semiHidden/>
    <w:unhideWhenUsed/>
    <w:rsid w:val="00C350F2"/>
  </w:style>
  <w:style w:type="character" w:customStyle="1" w:styleId="EstiloCorreo192">
    <w:name w:val="EstiloCorreo192"/>
    <w:basedOn w:val="DefaultParagraphFont"/>
    <w:semiHidden/>
    <w:rsid w:val="00C350F2"/>
    <w:rPr>
      <w:rFonts w:ascii="Arial" w:hAnsi="Arial" w:cs="Arial" w:hint="default"/>
      <w:color w:val="000080"/>
      <w:sz w:val="20"/>
      <w:szCs w:val="20"/>
    </w:rPr>
  </w:style>
  <w:style w:type="numbering" w:customStyle="1" w:styleId="Sinlista311">
    <w:name w:val="Sin lista311"/>
    <w:next w:val="NoList"/>
    <w:uiPriority w:val="99"/>
    <w:semiHidden/>
    <w:unhideWhenUsed/>
    <w:rsid w:val="00C350F2"/>
  </w:style>
  <w:style w:type="character" w:customStyle="1" w:styleId="EstiloCorreo194">
    <w:name w:val="EstiloCorreo194"/>
    <w:basedOn w:val="DefaultParagraphFont"/>
    <w:semiHidden/>
    <w:rsid w:val="00C350F2"/>
    <w:rPr>
      <w:rFonts w:ascii="Arial" w:hAnsi="Arial" w:cs="Arial" w:hint="default"/>
      <w:color w:val="000080"/>
      <w:sz w:val="20"/>
      <w:szCs w:val="20"/>
    </w:rPr>
  </w:style>
  <w:style w:type="numbering" w:customStyle="1" w:styleId="Sinlista411">
    <w:name w:val="Sin lista411"/>
    <w:next w:val="NoList"/>
    <w:uiPriority w:val="99"/>
    <w:semiHidden/>
    <w:unhideWhenUsed/>
    <w:rsid w:val="00C350F2"/>
  </w:style>
  <w:style w:type="character" w:customStyle="1" w:styleId="EstiloCorreo196">
    <w:name w:val="EstiloCorreo196"/>
    <w:basedOn w:val="DefaultParagraphFont"/>
    <w:semiHidden/>
    <w:rsid w:val="00C350F2"/>
    <w:rPr>
      <w:rFonts w:ascii="Arial" w:hAnsi="Arial" w:cs="Arial" w:hint="default"/>
      <w:color w:val="000080"/>
      <w:sz w:val="20"/>
      <w:szCs w:val="20"/>
    </w:rPr>
  </w:style>
  <w:style w:type="numbering" w:customStyle="1" w:styleId="Sinlista511">
    <w:name w:val="Sin lista511"/>
    <w:next w:val="NoList"/>
    <w:uiPriority w:val="99"/>
    <w:semiHidden/>
    <w:unhideWhenUsed/>
    <w:rsid w:val="00C350F2"/>
  </w:style>
  <w:style w:type="character" w:customStyle="1" w:styleId="EstiloCorreo198">
    <w:name w:val="EstiloCorreo198"/>
    <w:basedOn w:val="DefaultParagraphFont"/>
    <w:semiHidden/>
    <w:rsid w:val="00C350F2"/>
    <w:rPr>
      <w:rFonts w:ascii="Arial" w:hAnsi="Arial" w:cs="Arial" w:hint="default"/>
      <w:color w:val="000080"/>
      <w:sz w:val="20"/>
      <w:szCs w:val="20"/>
    </w:rPr>
  </w:style>
  <w:style w:type="character" w:customStyle="1" w:styleId="EstiloCorreo199">
    <w:name w:val="EstiloCorreo199"/>
    <w:basedOn w:val="DefaultParagraphFont"/>
    <w:semiHidden/>
    <w:rsid w:val="00C350F2"/>
    <w:rPr>
      <w:rFonts w:ascii="Arial" w:hAnsi="Arial" w:cs="Arial"/>
      <w:color w:val="000080"/>
      <w:sz w:val="20"/>
      <w:szCs w:val="20"/>
    </w:rPr>
  </w:style>
  <w:style w:type="character" w:customStyle="1" w:styleId="EstiloCorreo200">
    <w:name w:val="EstiloCorreo200"/>
    <w:basedOn w:val="DefaultParagraphFont"/>
    <w:semiHidden/>
    <w:rsid w:val="00C350F2"/>
    <w:rPr>
      <w:rFonts w:ascii="Arial" w:hAnsi="Arial" w:cs="Arial" w:hint="default"/>
      <w:color w:val="000080"/>
      <w:sz w:val="20"/>
      <w:szCs w:val="20"/>
    </w:rPr>
  </w:style>
  <w:style w:type="character" w:customStyle="1" w:styleId="EstiloCorreo201">
    <w:name w:val="EstiloCorreo201"/>
    <w:basedOn w:val="DefaultParagraphFont"/>
    <w:semiHidden/>
    <w:rsid w:val="00C350F2"/>
    <w:rPr>
      <w:rFonts w:ascii="Arial" w:hAnsi="Arial" w:cs="Arial" w:hint="default"/>
      <w:color w:val="000080"/>
      <w:sz w:val="20"/>
      <w:szCs w:val="20"/>
    </w:rPr>
  </w:style>
  <w:style w:type="character" w:customStyle="1" w:styleId="EstiloCorreo202">
    <w:name w:val="EstiloCorreo202"/>
    <w:basedOn w:val="DefaultParagraphFont"/>
    <w:semiHidden/>
    <w:rsid w:val="00C350F2"/>
    <w:rPr>
      <w:rFonts w:ascii="Arial" w:hAnsi="Arial" w:cs="Arial" w:hint="default"/>
      <w:color w:val="000080"/>
      <w:sz w:val="20"/>
      <w:szCs w:val="20"/>
    </w:rPr>
  </w:style>
  <w:style w:type="character" w:customStyle="1" w:styleId="EstiloCorreo203">
    <w:name w:val="EstiloCorreo203"/>
    <w:basedOn w:val="DefaultParagraphFont"/>
    <w:semiHidden/>
    <w:rsid w:val="00C350F2"/>
    <w:rPr>
      <w:rFonts w:ascii="Arial" w:hAnsi="Arial" w:cs="Arial" w:hint="default"/>
      <w:color w:val="000080"/>
      <w:sz w:val="20"/>
      <w:szCs w:val="20"/>
    </w:rPr>
  </w:style>
  <w:style w:type="character" w:customStyle="1" w:styleId="EstiloCorreo204">
    <w:name w:val="EstiloCorreo204"/>
    <w:basedOn w:val="DefaultParagraphFont"/>
    <w:semiHidden/>
    <w:rsid w:val="00C350F2"/>
    <w:rPr>
      <w:rFonts w:ascii="Arial" w:hAnsi="Arial" w:cs="Arial"/>
      <w:color w:val="000080"/>
      <w:sz w:val="20"/>
      <w:szCs w:val="20"/>
    </w:rPr>
  </w:style>
  <w:style w:type="numbering" w:customStyle="1" w:styleId="Sinlista11111">
    <w:name w:val="Sin lista11111"/>
    <w:next w:val="NoList"/>
    <w:uiPriority w:val="99"/>
    <w:semiHidden/>
    <w:unhideWhenUsed/>
    <w:rsid w:val="00C350F2"/>
  </w:style>
  <w:style w:type="character" w:customStyle="1" w:styleId="EstiloCorreo206">
    <w:name w:val="EstiloCorreo206"/>
    <w:basedOn w:val="DefaultParagraphFont"/>
    <w:semiHidden/>
    <w:rsid w:val="00C350F2"/>
    <w:rPr>
      <w:rFonts w:ascii="Arial" w:hAnsi="Arial" w:cs="Arial" w:hint="default"/>
      <w:color w:val="000080"/>
      <w:sz w:val="20"/>
      <w:szCs w:val="20"/>
    </w:rPr>
  </w:style>
  <w:style w:type="character" w:customStyle="1" w:styleId="EstiloCorreo207">
    <w:name w:val="EstiloCorreo207"/>
    <w:basedOn w:val="DefaultParagraphFont"/>
    <w:semiHidden/>
    <w:rsid w:val="00C350F2"/>
    <w:rPr>
      <w:rFonts w:ascii="Arial" w:hAnsi="Arial" w:cs="Arial" w:hint="default"/>
      <w:color w:val="000080"/>
      <w:sz w:val="20"/>
      <w:szCs w:val="20"/>
    </w:rPr>
  </w:style>
  <w:style w:type="numbering" w:customStyle="1" w:styleId="Sinlista2111">
    <w:name w:val="Sin lista2111"/>
    <w:next w:val="NoList"/>
    <w:uiPriority w:val="99"/>
    <w:semiHidden/>
    <w:unhideWhenUsed/>
    <w:rsid w:val="00C350F2"/>
  </w:style>
  <w:style w:type="character" w:customStyle="1" w:styleId="EstiloCorreo209">
    <w:name w:val="EstiloCorreo209"/>
    <w:basedOn w:val="DefaultParagraphFont"/>
    <w:semiHidden/>
    <w:rsid w:val="00C350F2"/>
    <w:rPr>
      <w:rFonts w:ascii="Arial" w:hAnsi="Arial" w:cs="Arial" w:hint="default"/>
      <w:color w:val="000080"/>
      <w:sz w:val="20"/>
      <w:szCs w:val="20"/>
    </w:rPr>
  </w:style>
  <w:style w:type="numbering" w:customStyle="1" w:styleId="Sinlista3111">
    <w:name w:val="Sin lista3111"/>
    <w:next w:val="NoList"/>
    <w:uiPriority w:val="99"/>
    <w:semiHidden/>
    <w:unhideWhenUsed/>
    <w:rsid w:val="00C350F2"/>
  </w:style>
  <w:style w:type="character" w:customStyle="1" w:styleId="EstiloCorreo211">
    <w:name w:val="EstiloCorreo211"/>
    <w:basedOn w:val="DefaultParagraphFont"/>
    <w:semiHidden/>
    <w:rsid w:val="00C350F2"/>
    <w:rPr>
      <w:rFonts w:ascii="Arial" w:hAnsi="Arial" w:cs="Arial" w:hint="default"/>
      <w:color w:val="000080"/>
      <w:sz w:val="20"/>
      <w:szCs w:val="20"/>
    </w:rPr>
  </w:style>
  <w:style w:type="numbering" w:customStyle="1" w:styleId="Sinlista4111">
    <w:name w:val="Sin lista4111"/>
    <w:next w:val="NoList"/>
    <w:uiPriority w:val="99"/>
    <w:semiHidden/>
    <w:unhideWhenUsed/>
    <w:rsid w:val="00C350F2"/>
  </w:style>
  <w:style w:type="character" w:customStyle="1" w:styleId="EstiloCorreo213">
    <w:name w:val="EstiloCorreo213"/>
    <w:basedOn w:val="DefaultParagraphFont"/>
    <w:semiHidden/>
    <w:rsid w:val="00C350F2"/>
    <w:rPr>
      <w:rFonts w:ascii="Arial" w:hAnsi="Arial" w:cs="Arial" w:hint="default"/>
      <w:color w:val="000080"/>
      <w:sz w:val="20"/>
      <w:szCs w:val="20"/>
    </w:rPr>
  </w:style>
  <w:style w:type="numbering" w:customStyle="1" w:styleId="Sinlista5111">
    <w:name w:val="Sin lista5111"/>
    <w:next w:val="NoList"/>
    <w:uiPriority w:val="99"/>
    <w:semiHidden/>
    <w:unhideWhenUsed/>
    <w:rsid w:val="00C350F2"/>
  </w:style>
  <w:style w:type="character" w:customStyle="1" w:styleId="EstiloCorreo215">
    <w:name w:val="EstiloCorreo215"/>
    <w:basedOn w:val="DefaultParagraphFont"/>
    <w:semiHidden/>
    <w:rsid w:val="00C350F2"/>
    <w:rPr>
      <w:rFonts w:ascii="Arial" w:hAnsi="Arial" w:cs="Arial" w:hint="default"/>
      <w:color w:val="000080"/>
      <w:sz w:val="20"/>
      <w:szCs w:val="20"/>
    </w:rPr>
  </w:style>
  <w:style w:type="numbering" w:customStyle="1" w:styleId="Sinlista7">
    <w:name w:val="Sin lista7"/>
    <w:next w:val="NoList"/>
    <w:uiPriority w:val="99"/>
    <w:semiHidden/>
    <w:unhideWhenUsed/>
    <w:rsid w:val="00332ABE"/>
  </w:style>
  <w:style w:type="numbering" w:customStyle="1" w:styleId="Sinlista13">
    <w:name w:val="Sin lista13"/>
    <w:next w:val="NoList"/>
    <w:uiPriority w:val="99"/>
    <w:semiHidden/>
    <w:unhideWhenUsed/>
    <w:rsid w:val="00332ABE"/>
  </w:style>
  <w:style w:type="numbering" w:customStyle="1" w:styleId="Sinlista23">
    <w:name w:val="Sin lista23"/>
    <w:next w:val="NoList"/>
    <w:uiPriority w:val="99"/>
    <w:semiHidden/>
    <w:unhideWhenUsed/>
    <w:rsid w:val="00332ABE"/>
  </w:style>
  <w:style w:type="numbering" w:customStyle="1" w:styleId="Sinlista33">
    <w:name w:val="Sin lista33"/>
    <w:next w:val="NoList"/>
    <w:uiPriority w:val="99"/>
    <w:semiHidden/>
    <w:unhideWhenUsed/>
    <w:rsid w:val="00332ABE"/>
  </w:style>
  <w:style w:type="numbering" w:customStyle="1" w:styleId="Sinlista43">
    <w:name w:val="Sin lista43"/>
    <w:next w:val="NoList"/>
    <w:uiPriority w:val="99"/>
    <w:semiHidden/>
    <w:unhideWhenUsed/>
    <w:rsid w:val="00332ABE"/>
  </w:style>
  <w:style w:type="numbering" w:customStyle="1" w:styleId="Sinlista53">
    <w:name w:val="Sin lista53"/>
    <w:next w:val="NoList"/>
    <w:uiPriority w:val="99"/>
    <w:semiHidden/>
    <w:unhideWhenUsed/>
    <w:rsid w:val="00332ABE"/>
  </w:style>
  <w:style w:type="numbering" w:customStyle="1" w:styleId="Sinlista112">
    <w:name w:val="Sin lista112"/>
    <w:next w:val="NoList"/>
    <w:uiPriority w:val="99"/>
    <w:semiHidden/>
    <w:unhideWhenUsed/>
    <w:rsid w:val="00332ABE"/>
  </w:style>
  <w:style w:type="numbering" w:customStyle="1" w:styleId="Sinlista212">
    <w:name w:val="Sin lista212"/>
    <w:next w:val="NoList"/>
    <w:uiPriority w:val="99"/>
    <w:semiHidden/>
    <w:unhideWhenUsed/>
    <w:rsid w:val="00332ABE"/>
  </w:style>
  <w:style w:type="numbering" w:customStyle="1" w:styleId="Sinlista312">
    <w:name w:val="Sin lista312"/>
    <w:next w:val="NoList"/>
    <w:uiPriority w:val="99"/>
    <w:semiHidden/>
    <w:unhideWhenUsed/>
    <w:rsid w:val="00332ABE"/>
  </w:style>
  <w:style w:type="numbering" w:customStyle="1" w:styleId="Sinlista412">
    <w:name w:val="Sin lista412"/>
    <w:next w:val="NoList"/>
    <w:uiPriority w:val="99"/>
    <w:semiHidden/>
    <w:unhideWhenUsed/>
    <w:rsid w:val="00332ABE"/>
  </w:style>
  <w:style w:type="numbering" w:customStyle="1" w:styleId="Sinlista512">
    <w:name w:val="Sin lista512"/>
    <w:next w:val="NoList"/>
    <w:uiPriority w:val="99"/>
    <w:semiHidden/>
    <w:unhideWhenUsed/>
    <w:rsid w:val="00332ABE"/>
  </w:style>
  <w:style w:type="numbering" w:customStyle="1" w:styleId="Sinlista61">
    <w:name w:val="Sin lista61"/>
    <w:next w:val="NoList"/>
    <w:uiPriority w:val="99"/>
    <w:semiHidden/>
    <w:unhideWhenUsed/>
    <w:rsid w:val="00332ABE"/>
  </w:style>
  <w:style w:type="numbering" w:customStyle="1" w:styleId="Sinlista121">
    <w:name w:val="Sin lista121"/>
    <w:next w:val="NoList"/>
    <w:uiPriority w:val="99"/>
    <w:semiHidden/>
    <w:unhideWhenUsed/>
    <w:rsid w:val="00332ABE"/>
  </w:style>
  <w:style w:type="numbering" w:customStyle="1" w:styleId="Sinlista1112">
    <w:name w:val="Sin lista1112"/>
    <w:next w:val="NoList"/>
    <w:uiPriority w:val="99"/>
    <w:semiHidden/>
    <w:unhideWhenUsed/>
    <w:rsid w:val="00332ABE"/>
  </w:style>
  <w:style w:type="numbering" w:customStyle="1" w:styleId="Sinlista221">
    <w:name w:val="Sin lista221"/>
    <w:next w:val="NoList"/>
    <w:uiPriority w:val="99"/>
    <w:semiHidden/>
    <w:unhideWhenUsed/>
    <w:rsid w:val="00332ABE"/>
  </w:style>
  <w:style w:type="numbering" w:customStyle="1" w:styleId="Sinlista321">
    <w:name w:val="Sin lista321"/>
    <w:next w:val="NoList"/>
    <w:uiPriority w:val="99"/>
    <w:semiHidden/>
    <w:unhideWhenUsed/>
    <w:rsid w:val="00332ABE"/>
  </w:style>
  <w:style w:type="numbering" w:customStyle="1" w:styleId="Sinlista421">
    <w:name w:val="Sin lista421"/>
    <w:next w:val="NoList"/>
    <w:uiPriority w:val="99"/>
    <w:semiHidden/>
    <w:unhideWhenUsed/>
    <w:rsid w:val="00332ABE"/>
  </w:style>
  <w:style w:type="numbering" w:customStyle="1" w:styleId="Sinlista521">
    <w:name w:val="Sin lista521"/>
    <w:next w:val="NoList"/>
    <w:uiPriority w:val="99"/>
    <w:semiHidden/>
    <w:unhideWhenUsed/>
    <w:rsid w:val="00332ABE"/>
  </w:style>
  <w:style w:type="numbering" w:customStyle="1" w:styleId="Sinlista11112">
    <w:name w:val="Sin lista11112"/>
    <w:next w:val="NoList"/>
    <w:uiPriority w:val="99"/>
    <w:semiHidden/>
    <w:unhideWhenUsed/>
    <w:rsid w:val="00332ABE"/>
  </w:style>
  <w:style w:type="numbering" w:customStyle="1" w:styleId="Sinlista2112">
    <w:name w:val="Sin lista2112"/>
    <w:next w:val="NoList"/>
    <w:uiPriority w:val="99"/>
    <w:semiHidden/>
    <w:unhideWhenUsed/>
    <w:rsid w:val="00332ABE"/>
  </w:style>
  <w:style w:type="numbering" w:customStyle="1" w:styleId="Sinlista3112">
    <w:name w:val="Sin lista3112"/>
    <w:next w:val="NoList"/>
    <w:uiPriority w:val="99"/>
    <w:semiHidden/>
    <w:unhideWhenUsed/>
    <w:rsid w:val="00332ABE"/>
  </w:style>
  <w:style w:type="numbering" w:customStyle="1" w:styleId="Sinlista4112">
    <w:name w:val="Sin lista4112"/>
    <w:next w:val="NoList"/>
    <w:uiPriority w:val="99"/>
    <w:semiHidden/>
    <w:unhideWhenUsed/>
    <w:rsid w:val="00332ABE"/>
  </w:style>
  <w:style w:type="numbering" w:customStyle="1" w:styleId="Sinlista5112">
    <w:name w:val="Sin lista5112"/>
    <w:next w:val="NoList"/>
    <w:uiPriority w:val="99"/>
    <w:semiHidden/>
    <w:unhideWhenUsed/>
    <w:rsid w:val="00332ABE"/>
  </w:style>
  <w:style w:type="numbering" w:customStyle="1" w:styleId="Sinlista111111">
    <w:name w:val="Sin lista111111"/>
    <w:next w:val="NoList"/>
    <w:uiPriority w:val="99"/>
    <w:semiHidden/>
    <w:unhideWhenUsed/>
    <w:rsid w:val="00332ABE"/>
  </w:style>
  <w:style w:type="numbering" w:customStyle="1" w:styleId="Sinlista21111">
    <w:name w:val="Sin lista21111"/>
    <w:next w:val="NoList"/>
    <w:uiPriority w:val="99"/>
    <w:semiHidden/>
    <w:unhideWhenUsed/>
    <w:rsid w:val="00332ABE"/>
  </w:style>
  <w:style w:type="numbering" w:customStyle="1" w:styleId="Sinlista31111">
    <w:name w:val="Sin lista31111"/>
    <w:next w:val="NoList"/>
    <w:uiPriority w:val="99"/>
    <w:semiHidden/>
    <w:unhideWhenUsed/>
    <w:rsid w:val="00332ABE"/>
  </w:style>
  <w:style w:type="numbering" w:customStyle="1" w:styleId="Sinlista41111">
    <w:name w:val="Sin lista41111"/>
    <w:next w:val="NoList"/>
    <w:uiPriority w:val="99"/>
    <w:semiHidden/>
    <w:unhideWhenUsed/>
    <w:rsid w:val="00332ABE"/>
  </w:style>
  <w:style w:type="numbering" w:customStyle="1" w:styleId="Sinlista51111">
    <w:name w:val="Sin lista51111"/>
    <w:next w:val="NoList"/>
    <w:uiPriority w:val="99"/>
    <w:semiHidden/>
    <w:unhideWhenUsed/>
    <w:rsid w:val="00332ABE"/>
  </w:style>
  <w:style w:type="numbering" w:customStyle="1" w:styleId="Sinlista8">
    <w:name w:val="Sin lista8"/>
    <w:next w:val="NoList"/>
    <w:uiPriority w:val="99"/>
    <w:semiHidden/>
    <w:unhideWhenUsed/>
    <w:rsid w:val="006D16A7"/>
  </w:style>
  <w:style w:type="numbering" w:customStyle="1" w:styleId="Sinlista14">
    <w:name w:val="Sin lista14"/>
    <w:next w:val="NoList"/>
    <w:uiPriority w:val="99"/>
    <w:semiHidden/>
    <w:unhideWhenUsed/>
    <w:rsid w:val="006D16A7"/>
  </w:style>
  <w:style w:type="numbering" w:customStyle="1" w:styleId="Sinlista24">
    <w:name w:val="Sin lista24"/>
    <w:next w:val="NoList"/>
    <w:uiPriority w:val="99"/>
    <w:semiHidden/>
    <w:unhideWhenUsed/>
    <w:rsid w:val="006D16A7"/>
  </w:style>
  <w:style w:type="numbering" w:customStyle="1" w:styleId="Sinlista34">
    <w:name w:val="Sin lista34"/>
    <w:next w:val="NoList"/>
    <w:uiPriority w:val="99"/>
    <w:semiHidden/>
    <w:unhideWhenUsed/>
    <w:rsid w:val="006D16A7"/>
  </w:style>
  <w:style w:type="numbering" w:customStyle="1" w:styleId="Sinlista44">
    <w:name w:val="Sin lista44"/>
    <w:next w:val="NoList"/>
    <w:uiPriority w:val="99"/>
    <w:semiHidden/>
    <w:unhideWhenUsed/>
    <w:rsid w:val="006D16A7"/>
  </w:style>
  <w:style w:type="numbering" w:customStyle="1" w:styleId="Sinlista54">
    <w:name w:val="Sin lista54"/>
    <w:next w:val="NoList"/>
    <w:uiPriority w:val="99"/>
    <w:semiHidden/>
    <w:unhideWhenUsed/>
    <w:rsid w:val="006D16A7"/>
  </w:style>
  <w:style w:type="numbering" w:customStyle="1" w:styleId="Sinlista113">
    <w:name w:val="Sin lista113"/>
    <w:next w:val="NoList"/>
    <w:uiPriority w:val="99"/>
    <w:semiHidden/>
    <w:unhideWhenUsed/>
    <w:rsid w:val="006D16A7"/>
  </w:style>
  <w:style w:type="numbering" w:customStyle="1" w:styleId="Sinlista213">
    <w:name w:val="Sin lista213"/>
    <w:next w:val="NoList"/>
    <w:uiPriority w:val="99"/>
    <w:semiHidden/>
    <w:unhideWhenUsed/>
    <w:rsid w:val="006D16A7"/>
  </w:style>
  <w:style w:type="numbering" w:customStyle="1" w:styleId="Sinlista313">
    <w:name w:val="Sin lista313"/>
    <w:next w:val="NoList"/>
    <w:uiPriority w:val="99"/>
    <w:semiHidden/>
    <w:unhideWhenUsed/>
    <w:rsid w:val="006D16A7"/>
  </w:style>
  <w:style w:type="numbering" w:customStyle="1" w:styleId="Sinlista413">
    <w:name w:val="Sin lista413"/>
    <w:next w:val="NoList"/>
    <w:uiPriority w:val="99"/>
    <w:semiHidden/>
    <w:unhideWhenUsed/>
    <w:rsid w:val="006D16A7"/>
  </w:style>
  <w:style w:type="numbering" w:customStyle="1" w:styleId="Sinlista513">
    <w:name w:val="Sin lista513"/>
    <w:next w:val="NoList"/>
    <w:uiPriority w:val="99"/>
    <w:semiHidden/>
    <w:unhideWhenUsed/>
    <w:rsid w:val="006D16A7"/>
  </w:style>
  <w:style w:type="numbering" w:customStyle="1" w:styleId="Sinlista62">
    <w:name w:val="Sin lista62"/>
    <w:next w:val="NoList"/>
    <w:uiPriority w:val="99"/>
    <w:semiHidden/>
    <w:unhideWhenUsed/>
    <w:rsid w:val="006D16A7"/>
  </w:style>
  <w:style w:type="numbering" w:customStyle="1" w:styleId="Sinlista122">
    <w:name w:val="Sin lista122"/>
    <w:next w:val="NoList"/>
    <w:uiPriority w:val="99"/>
    <w:semiHidden/>
    <w:unhideWhenUsed/>
    <w:rsid w:val="006D16A7"/>
  </w:style>
  <w:style w:type="numbering" w:customStyle="1" w:styleId="Sinlista1113">
    <w:name w:val="Sin lista1113"/>
    <w:next w:val="NoList"/>
    <w:uiPriority w:val="99"/>
    <w:semiHidden/>
    <w:unhideWhenUsed/>
    <w:rsid w:val="006D16A7"/>
  </w:style>
  <w:style w:type="numbering" w:customStyle="1" w:styleId="Sinlista222">
    <w:name w:val="Sin lista222"/>
    <w:next w:val="NoList"/>
    <w:uiPriority w:val="99"/>
    <w:semiHidden/>
    <w:unhideWhenUsed/>
    <w:rsid w:val="006D16A7"/>
  </w:style>
  <w:style w:type="numbering" w:customStyle="1" w:styleId="Sinlista322">
    <w:name w:val="Sin lista322"/>
    <w:next w:val="NoList"/>
    <w:uiPriority w:val="99"/>
    <w:semiHidden/>
    <w:unhideWhenUsed/>
    <w:rsid w:val="006D16A7"/>
  </w:style>
  <w:style w:type="numbering" w:customStyle="1" w:styleId="Sinlista422">
    <w:name w:val="Sin lista422"/>
    <w:next w:val="NoList"/>
    <w:uiPriority w:val="99"/>
    <w:semiHidden/>
    <w:unhideWhenUsed/>
    <w:rsid w:val="006D16A7"/>
  </w:style>
  <w:style w:type="numbering" w:customStyle="1" w:styleId="Sinlista522">
    <w:name w:val="Sin lista522"/>
    <w:next w:val="NoList"/>
    <w:uiPriority w:val="99"/>
    <w:semiHidden/>
    <w:unhideWhenUsed/>
    <w:rsid w:val="006D16A7"/>
  </w:style>
  <w:style w:type="numbering" w:customStyle="1" w:styleId="Sinlista11113">
    <w:name w:val="Sin lista11113"/>
    <w:next w:val="NoList"/>
    <w:uiPriority w:val="99"/>
    <w:semiHidden/>
    <w:unhideWhenUsed/>
    <w:rsid w:val="006D16A7"/>
  </w:style>
  <w:style w:type="numbering" w:customStyle="1" w:styleId="Sinlista2113">
    <w:name w:val="Sin lista2113"/>
    <w:next w:val="NoList"/>
    <w:uiPriority w:val="99"/>
    <w:semiHidden/>
    <w:unhideWhenUsed/>
    <w:rsid w:val="006D16A7"/>
  </w:style>
  <w:style w:type="numbering" w:customStyle="1" w:styleId="Sinlista3113">
    <w:name w:val="Sin lista3113"/>
    <w:next w:val="NoList"/>
    <w:uiPriority w:val="99"/>
    <w:semiHidden/>
    <w:unhideWhenUsed/>
    <w:rsid w:val="006D16A7"/>
  </w:style>
  <w:style w:type="numbering" w:customStyle="1" w:styleId="Sinlista4113">
    <w:name w:val="Sin lista4113"/>
    <w:next w:val="NoList"/>
    <w:uiPriority w:val="99"/>
    <w:semiHidden/>
    <w:unhideWhenUsed/>
    <w:rsid w:val="006D16A7"/>
  </w:style>
  <w:style w:type="numbering" w:customStyle="1" w:styleId="Sinlista5113">
    <w:name w:val="Sin lista5113"/>
    <w:next w:val="NoList"/>
    <w:uiPriority w:val="99"/>
    <w:semiHidden/>
    <w:unhideWhenUsed/>
    <w:rsid w:val="006D16A7"/>
  </w:style>
  <w:style w:type="numbering" w:customStyle="1" w:styleId="Sinlista111112">
    <w:name w:val="Sin lista111112"/>
    <w:next w:val="NoList"/>
    <w:uiPriority w:val="99"/>
    <w:semiHidden/>
    <w:unhideWhenUsed/>
    <w:rsid w:val="006D16A7"/>
  </w:style>
  <w:style w:type="numbering" w:customStyle="1" w:styleId="Sinlista21112">
    <w:name w:val="Sin lista21112"/>
    <w:next w:val="NoList"/>
    <w:uiPriority w:val="99"/>
    <w:semiHidden/>
    <w:unhideWhenUsed/>
    <w:rsid w:val="006D16A7"/>
  </w:style>
  <w:style w:type="numbering" w:customStyle="1" w:styleId="Sinlista31112">
    <w:name w:val="Sin lista31112"/>
    <w:next w:val="NoList"/>
    <w:uiPriority w:val="99"/>
    <w:semiHidden/>
    <w:unhideWhenUsed/>
    <w:rsid w:val="006D16A7"/>
  </w:style>
  <w:style w:type="numbering" w:customStyle="1" w:styleId="Sinlista41112">
    <w:name w:val="Sin lista41112"/>
    <w:next w:val="NoList"/>
    <w:uiPriority w:val="99"/>
    <w:semiHidden/>
    <w:unhideWhenUsed/>
    <w:rsid w:val="006D16A7"/>
  </w:style>
  <w:style w:type="numbering" w:customStyle="1" w:styleId="Sinlista51112">
    <w:name w:val="Sin lista51112"/>
    <w:next w:val="NoList"/>
    <w:uiPriority w:val="99"/>
    <w:semiHidden/>
    <w:unhideWhenUsed/>
    <w:rsid w:val="006D16A7"/>
  </w:style>
  <w:style w:type="numbering" w:customStyle="1" w:styleId="Sinlista9">
    <w:name w:val="Sin lista9"/>
    <w:next w:val="NoList"/>
    <w:uiPriority w:val="99"/>
    <w:semiHidden/>
    <w:unhideWhenUsed/>
    <w:rsid w:val="00FA5A90"/>
  </w:style>
  <w:style w:type="character" w:customStyle="1" w:styleId="EstiloCorreo1441">
    <w:name w:val="EstiloCorreo1441"/>
    <w:basedOn w:val="DefaultParagraphFont"/>
    <w:semiHidden/>
    <w:rsid w:val="00FA5A90"/>
    <w:rPr>
      <w:rFonts w:ascii="Arial" w:hAnsi="Arial" w:cs="Arial"/>
      <w:color w:val="000080"/>
      <w:sz w:val="20"/>
      <w:szCs w:val="20"/>
    </w:rPr>
  </w:style>
  <w:style w:type="numbering" w:customStyle="1" w:styleId="Sinlista15">
    <w:name w:val="Sin lista15"/>
    <w:next w:val="NoList"/>
    <w:uiPriority w:val="99"/>
    <w:semiHidden/>
    <w:unhideWhenUsed/>
    <w:rsid w:val="00FA5A90"/>
  </w:style>
  <w:style w:type="character" w:customStyle="1" w:styleId="EstiloCorreo1461">
    <w:name w:val="EstiloCorreo1461"/>
    <w:basedOn w:val="DefaultParagraphFont"/>
    <w:semiHidden/>
    <w:rsid w:val="00FA5A90"/>
    <w:rPr>
      <w:rFonts w:ascii="Arial" w:hAnsi="Arial" w:cs="Arial" w:hint="default"/>
      <w:color w:val="000080"/>
      <w:sz w:val="20"/>
      <w:szCs w:val="20"/>
    </w:rPr>
  </w:style>
  <w:style w:type="numbering" w:customStyle="1" w:styleId="Sinlista25">
    <w:name w:val="Sin lista25"/>
    <w:next w:val="NoList"/>
    <w:uiPriority w:val="99"/>
    <w:semiHidden/>
    <w:unhideWhenUsed/>
    <w:rsid w:val="00FA5A90"/>
  </w:style>
  <w:style w:type="numbering" w:customStyle="1" w:styleId="Sinlista35">
    <w:name w:val="Sin lista35"/>
    <w:next w:val="NoList"/>
    <w:uiPriority w:val="99"/>
    <w:semiHidden/>
    <w:unhideWhenUsed/>
    <w:rsid w:val="00FA5A90"/>
  </w:style>
  <w:style w:type="numbering" w:customStyle="1" w:styleId="Sinlista45">
    <w:name w:val="Sin lista45"/>
    <w:next w:val="NoList"/>
    <w:uiPriority w:val="99"/>
    <w:semiHidden/>
    <w:unhideWhenUsed/>
    <w:rsid w:val="00FA5A90"/>
  </w:style>
  <w:style w:type="numbering" w:customStyle="1" w:styleId="Sinlista55">
    <w:name w:val="Sin lista55"/>
    <w:next w:val="NoList"/>
    <w:uiPriority w:val="99"/>
    <w:semiHidden/>
    <w:unhideWhenUsed/>
    <w:rsid w:val="00FA5A90"/>
  </w:style>
  <w:style w:type="numbering" w:customStyle="1" w:styleId="Sinlista114">
    <w:name w:val="Sin lista114"/>
    <w:next w:val="NoList"/>
    <w:uiPriority w:val="99"/>
    <w:semiHidden/>
    <w:unhideWhenUsed/>
    <w:rsid w:val="00FA5A90"/>
  </w:style>
  <w:style w:type="numbering" w:customStyle="1" w:styleId="Sinlista214">
    <w:name w:val="Sin lista214"/>
    <w:next w:val="NoList"/>
    <w:uiPriority w:val="99"/>
    <w:semiHidden/>
    <w:unhideWhenUsed/>
    <w:rsid w:val="00FA5A90"/>
  </w:style>
  <w:style w:type="numbering" w:customStyle="1" w:styleId="Sinlista314">
    <w:name w:val="Sin lista314"/>
    <w:next w:val="NoList"/>
    <w:uiPriority w:val="99"/>
    <w:semiHidden/>
    <w:unhideWhenUsed/>
    <w:rsid w:val="00FA5A90"/>
  </w:style>
  <w:style w:type="numbering" w:customStyle="1" w:styleId="Sinlista414">
    <w:name w:val="Sin lista414"/>
    <w:next w:val="NoList"/>
    <w:uiPriority w:val="99"/>
    <w:semiHidden/>
    <w:unhideWhenUsed/>
    <w:rsid w:val="00FA5A90"/>
  </w:style>
  <w:style w:type="numbering" w:customStyle="1" w:styleId="Sinlista514">
    <w:name w:val="Sin lista514"/>
    <w:next w:val="NoList"/>
    <w:uiPriority w:val="99"/>
    <w:semiHidden/>
    <w:unhideWhenUsed/>
    <w:rsid w:val="00FA5A90"/>
  </w:style>
  <w:style w:type="numbering" w:customStyle="1" w:styleId="Sinlista63">
    <w:name w:val="Sin lista63"/>
    <w:next w:val="NoList"/>
    <w:uiPriority w:val="99"/>
    <w:semiHidden/>
    <w:unhideWhenUsed/>
    <w:rsid w:val="00FA5A90"/>
  </w:style>
  <w:style w:type="numbering" w:customStyle="1" w:styleId="Sinlista123">
    <w:name w:val="Sin lista123"/>
    <w:next w:val="NoList"/>
    <w:uiPriority w:val="99"/>
    <w:semiHidden/>
    <w:unhideWhenUsed/>
    <w:rsid w:val="00FA5A90"/>
  </w:style>
  <w:style w:type="numbering" w:customStyle="1" w:styleId="Sinlista1114">
    <w:name w:val="Sin lista1114"/>
    <w:next w:val="NoList"/>
    <w:uiPriority w:val="99"/>
    <w:semiHidden/>
    <w:unhideWhenUsed/>
    <w:rsid w:val="00FA5A90"/>
  </w:style>
  <w:style w:type="numbering" w:customStyle="1" w:styleId="Sinlista223">
    <w:name w:val="Sin lista223"/>
    <w:next w:val="NoList"/>
    <w:uiPriority w:val="99"/>
    <w:semiHidden/>
    <w:unhideWhenUsed/>
    <w:rsid w:val="00FA5A90"/>
  </w:style>
  <w:style w:type="numbering" w:customStyle="1" w:styleId="Sinlista323">
    <w:name w:val="Sin lista323"/>
    <w:next w:val="NoList"/>
    <w:uiPriority w:val="99"/>
    <w:semiHidden/>
    <w:unhideWhenUsed/>
    <w:rsid w:val="00FA5A90"/>
  </w:style>
  <w:style w:type="numbering" w:customStyle="1" w:styleId="Sinlista423">
    <w:name w:val="Sin lista423"/>
    <w:next w:val="NoList"/>
    <w:uiPriority w:val="99"/>
    <w:semiHidden/>
    <w:unhideWhenUsed/>
    <w:rsid w:val="00FA5A90"/>
  </w:style>
  <w:style w:type="numbering" w:customStyle="1" w:styleId="Sinlista523">
    <w:name w:val="Sin lista523"/>
    <w:next w:val="NoList"/>
    <w:uiPriority w:val="99"/>
    <w:semiHidden/>
    <w:unhideWhenUsed/>
    <w:rsid w:val="00FA5A90"/>
  </w:style>
  <w:style w:type="numbering" w:customStyle="1" w:styleId="Sinlista11114">
    <w:name w:val="Sin lista11114"/>
    <w:next w:val="NoList"/>
    <w:uiPriority w:val="99"/>
    <w:semiHidden/>
    <w:unhideWhenUsed/>
    <w:rsid w:val="00FA5A90"/>
  </w:style>
  <w:style w:type="numbering" w:customStyle="1" w:styleId="Sinlista2114">
    <w:name w:val="Sin lista2114"/>
    <w:next w:val="NoList"/>
    <w:uiPriority w:val="99"/>
    <w:semiHidden/>
    <w:unhideWhenUsed/>
    <w:rsid w:val="00FA5A90"/>
  </w:style>
  <w:style w:type="numbering" w:customStyle="1" w:styleId="Sinlista3114">
    <w:name w:val="Sin lista3114"/>
    <w:next w:val="NoList"/>
    <w:uiPriority w:val="99"/>
    <w:semiHidden/>
    <w:unhideWhenUsed/>
    <w:rsid w:val="00FA5A90"/>
  </w:style>
  <w:style w:type="numbering" w:customStyle="1" w:styleId="Sinlista4114">
    <w:name w:val="Sin lista4114"/>
    <w:next w:val="NoList"/>
    <w:uiPriority w:val="99"/>
    <w:semiHidden/>
    <w:unhideWhenUsed/>
    <w:rsid w:val="00FA5A90"/>
  </w:style>
  <w:style w:type="numbering" w:customStyle="1" w:styleId="Sinlista5114">
    <w:name w:val="Sin lista5114"/>
    <w:next w:val="NoList"/>
    <w:uiPriority w:val="99"/>
    <w:semiHidden/>
    <w:unhideWhenUsed/>
    <w:rsid w:val="00FA5A90"/>
  </w:style>
  <w:style w:type="numbering" w:customStyle="1" w:styleId="Sinlista111113">
    <w:name w:val="Sin lista111113"/>
    <w:next w:val="NoList"/>
    <w:uiPriority w:val="99"/>
    <w:semiHidden/>
    <w:unhideWhenUsed/>
    <w:rsid w:val="00FA5A90"/>
  </w:style>
  <w:style w:type="numbering" w:customStyle="1" w:styleId="Sinlista21113">
    <w:name w:val="Sin lista21113"/>
    <w:next w:val="NoList"/>
    <w:uiPriority w:val="99"/>
    <w:semiHidden/>
    <w:unhideWhenUsed/>
    <w:rsid w:val="00FA5A90"/>
  </w:style>
  <w:style w:type="numbering" w:customStyle="1" w:styleId="Sinlista31113">
    <w:name w:val="Sin lista31113"/>
    <w:next w:val="NoList"/>
    <w:uiPriority w:val="99"/>
    <w:semiHidden/>
    <w:unhideWhenUsed/>
    <w:rsid w:val="00FA5A90"/>
  </w:style>
  <w:style w:type="numbering" w:customStyle="1" w:styleId="Sinlista41113">
    <w:name w:val="Sin lista41113"/>
    <w:next w:val="NoList"/>
    <w:uiPriority w:val="99"/>
    <w:semiHidden/>
    <w:unhideWhenUsed/>
    <w:rsid w:val="00FA5A90"/>
  </w:style>
  <w:style w:type="numbering" w:customStyle="1" w:styleId="Sinlista51113">
    <w:name w:val="Sin lista51113"/>
    <w:next w:val="NoList"/>
    <w:uiPriority w:val="99"/>
    <w:semiHidden/>
    <w:unhideWhenUsed/>
    <w:rsid w:val="00FA5A90"/>
  </w:style>
  <w:style w:type="character" w:customStyle="1" w:styleId="EstiloCorreo1381">
    <w:name w:val="EstiloCorreo1381"/>
    <w:basedOn w:val="DefaultParagraphFont"/>
    <w:semiHidden/>
    <w:rsid w:val="001A7757"/>
    <w:rPr>
      <w:rFonts w:ascii="Arial" w:hAnsi="Arial" w:cs="Arial"/>
      <w:color w:val="000080"/>
      <w:sz w:val="20"/>
      <w:szCs w:val="20"/>
    </w:rPr>
  </w:style>
  <w:style w:type="character" w:customStyle="1" w:styleId="EstiloCorreo1421">
    <w:name w:val="EstiloCorreo1421"/>
    <w:basedOn w:val="DefaultParagraphFont"/>
    <w:semiHidden/>
    <w:rsid w:val="001A7757"/>
    <w:rPr>
      <w:rFonts w:ascii="Arial" w:hAnsi="Arial" w:cs="Arial" w:hint="default"/>
      <w:color w:val="000080"/>
      <w:sz w:val="20"/>
      <w:szCs w:val="20"/>
    </w:rPr>
  </w:style>
  <w:style w:type="character" w:customStyle="1" w:styleId="EstiloCorreo1442">
    <w:name w:val="EstiloCorreo1442"/>
    <w:basedOn w:val="DefaultParagraphFont"/>
    <w:semiHidden/>
    <w:rsid w:val="001A7757"/>
    <w:rPr>
      <w:rFonts w:ascii="Arial" w:hAnsi="Arial" w:cs="Arial" w:hint="default"/>
      <w:color w:val="000080"/>
      <w:sz w:val="20"/>
      <w:szCs w:val="20"/>
    </w:rPr>
  </w:style>
  <w:style w:type="character" w:customStyle="1" w:styleId="EstiloCorreo1462">
    <w:name w:val="EstiloCorreo1462"/>
    <w:basedOn w:val="DefaultParagraphFont"/>
    <w:semiHidden/>
    <w:rsid w:val="001A7757"/>
    <w:rPr>
      <w:rFonts w:ascii="Arial" w:hAnsi="Arial" w:cs="Arial" w:hint="default"/>
      <w:color w:val="000080"/>
      <w:sz w:val="20"/>
      <w:szCs w:val="20"/>
    </w:rPr>
  </w:style>
  <w:style w:type="character" w:customStyle="1" w:styleId="EstiloCorreo148">
    <w:name w:val="EstiloCorreo148"/>
    <w:basedOn w:val="DefaultParagraphFont"/>
    <w:semiHidden/>
    <w:rsid w:val="001A7757"/>
    <w:rPr>
      <w:rFonts w:ascii="Arial" w:hAnsi="Arial" w:cs="Arial" w:hint="default"/>
      <w:color w:val="000080"/>
      <w:sz w:val="20"/>
      <w:szCs w:val="20"/>
    </w:rPr>
  </w:style>
  <w:style w:type="character" w:customStyle="1" w:styleId="EstiloCorreo1501">
    <w:name w:val="EstiloCorreo1501"/>
    <w:basedOn w:val="DefaultParagraphFont"/>
    <w:semiHidden/>
    <w:rsid w:val="001A7757"/>
    <w:rPr>
      <w:rFonts w:ascii="Arial" w:hAnsi="Arial" w:cs="Arial" w:hint="default"/>
      <w:color w:val="000080"/>
      <w:sz w:val="20"/>
      <w:szCs w:val="20"/>
    </w:rPr>
  </w:style>
  <w:style w:type="numbering" w:customStyle="1" w:styleId="Sinlista71">
    <w:name w:val="Sin lista71"/>
    <w:next w:val="NoList"/>
    <w:uiPriority w:val="99"/>
    <w:semiHidden/>
    <w:unhideWhenUsed/>
    <w:rsid w:val="001A7757"/>
  </w:style>
  <w:style w:type="numbering" w:customStyle="1" w:styleId="Sinlista131">
    <w:name w:val="Sin lista131"/>
    <w:next w:val="NoList"/>
    <w:uiPriority w:val="99"/>
    <w:semiHidden/>
    <w:unhideWhenUsed/>
    <w:rsid w:val="001A7757"/>
  </w:style>
  <w:style w:type="numbering" w:customStyle="1" w:styleId="Sinlista231">
    <w:name w:val="Sin lista231"/>
    <w:next w:val="NoList"/>
    <w:uiPriority w:val="99"/>
    <w:semiHidden/>
    <w:unhideWhenUsed/>
    <w:rsid w:val="001A7757"/>
  </w:style>
  <w:style w:type="numbering" w:customStyle="1" w:styleId="Sinlista331">
    <w:name w:val="Sin lista331"/>
    <w:next w:val="NoList"/>
    <w:uiPriority w:val="99"/>
    <w:semiHidden/>
    <w:unhideWhenUsed/>
    <w:rsid w:val="001A7757"/>
  </w:style>
  <w:style w:type="numbering" w:customStyle="1" w:styleId="Sinlista431">
    <w:name w:val="Sin lista431"/>
    <w:next w:val="NoList"/>
    <w:uiPriority w:val="99"/>
    <w:semiHidden/>
    <w:unhideWhenUsed/>
    <w:rsid w:val="001A7757"/>
  </w:style>
  <w:style w:type="numbering" w:customStyle="1" w:styleId="Sinlista531">
    <w:name w:val="Sin lista531"/>
    <w:next w:val="NoList"/>
    <w:uiPriority w:val="99"/>
    <w:semiHidden/>
    <w:unhideWhenUsed/>
    <w:rsid w:val="001A7757"/>
  </w:style>
  <w:style w:type="numbering" w:customStyle="1" w:styleId="Sinlista1121">
    <w:name w:val="Sin lista1121"/>
    <w:next w:val="NoList"/>
    <w:uiPriority w:val="99"/>
    <w:semiHidden/>
    <w:unhideWhenUsed/>
    <w:rsid w:val="001A7757"/>
  </w:style>
  <w:style w:type="numbering" w:customStyle="1" w:styleId="Sinlista2121">
    <w:name w:val="Sin lista2121"/>
    <w:next w:val="NoList"/>
    <w:uiPriority w:val="99"/>
    <w:semiHidden/>
    <w:unhideWhenUsed/>
    <w:rsid w:val="001A7757"/>
  </w:style>
  <w:style w:type="numbering" w:customStyle="1" w:styleId="Sinlista3121">
    <w:name w:val="Sin lista3121"/>
    <w:next w:val="NoList"/>
    <w:uiPriority w:val="99"/>
    <w:semiHidden/>
    <w:unhideWhenUsed/>
    <w:rsid w:val="001A7757"/>
  </w:style>
  <w:style w:type="numbering" w:customStyle="1" w:styleId="Sinlista4121">
    <w:name w:val="Sin lista4121"/>
    <w:next w:val="NoList"/>
    <w:uiPriority w:val="99"/>
    <w:semiHidden/>
    <w:unhideWhenUsed/>
    <w:rsid w:val="001A7757"/>
  </w:style>
  <w:style w:type="numbering" w:customStyle="1" w:styleId="Sinlista5121">
    <w:name w:val="Sin lista5121"/>
    <w:next w:val="NoList"/>
    <w:uiPriority w:val="99"/>
    <w:semiHidden/>
    <w:unhideWhenUsed/>
    <w:rsid w:val="001A7757"/>
  </w:style>
  <w:style w:type="numbering" w:customStyle="1" w:styleId="Sinlista611">
    <w:name w:val="Sin lista611"/>
    <w:next w:val="NoList"/>
    <w:uiPriority w:val="99"/>
    <w:semiHidden/>
    <w:unhideWhenUsed/>
    <w:rsid w:val="001A7757"/>
  </w:style>
  <w:style w:type="numbering" w:customStyle="1" w:styleId="Sinlista1211">
    <w:name w:val="Sin lista1211"/>
    <w:next w:val="NoList"/>
    <w:uiPriority w:val="99"/>
    <w:semiHidden/>
    <w:unhideWhenUsed/>
    <w:rsid w:val="001A7757"/>
  </w:style>
  <w:style w:type="numbering" w:customStyle="1" w:styleId="Sinlista11121">
    <w:name w:val="Sin lista11121"/>
    <w:next w:val="NoList"/>
    <w:uiPriority w:val="99"/>
    <w:semiHidden/>
    <w:unhideWhenUsed/>
    <w:rsid w:val="001A7757"/>
  </w:style>
  <w:style w:type="numbering" w:customStyle="1" w:styleId="Sinlista2211">
    <w:name w:val="Sin lista2211"/>
    <w:next w:val="NoList"/>
    <w:uiPriority w:val="99"/>
    <w:semiHidden/>
    <w:unhideWhenUsed/>
    <w:rsid w:val="001A7757"/>
  </w:style>
  <w:style w:type="numbering" w:customStyle="1" w:styleId="Sinlista3211">
    <w:name w:val="Sin lista3211"/>
    <w:next w:val="NoList"/>
    <w:uiPriority w:val="99"/>
    <w:semiHidden/>
    <w:unhideWhenUsed/>
    <w:rsid w:val="001A7757"/>
  </w:style>
  <w:style w:type="numbering" w:customStyle="1" w:styleId="Sinlista4211">
    <w:name w:val="Sin lista4211"/>
    <w:next w:val="NoList"/>
    <w:uiPriority w:val="99"/>
    <w:semiHidden/>
    <w:unhideWhenUsed/>
    <w:rsid w:val="001A7757"/>
  </w:style>
  <w:style w:type="numbering" w:customStyle="1" w:styleId="Sinlista5211">
    <w:name w:val="Sin lista5211"/>
    <w:next w:val="NoList"/>
    <w:uiPriority w:val="99"/>
    <w:semiHidden/>
    <w:unhideWhenUsed/>
    <w:rsid w:val="001A7757"/>
  </w:style>
  <w:style w:type="numbering" w:customStyle="1" w:styleId="Sinlista111121">
    <w:name w:val="Sin lista111121"/>
    <w:next w:val="NoList"/>
    <w:uiPriority w:val="99"/>
    <w:semiHidden/>
    <w:unhideWhenUsed/>
    <w:rsid w:val="001A7757"/>
  </w:style>
  <w:style w:type="numbering" w:customStyle="1" w:styleId="Sinlista21121">
    <w:name w:val="Sin lista21121"/>
    <w:next w:val="NoList"/>
    <w:uiPriority w:val="99"/>
    <w:semiHidden/>
    <w:unhideWhenUsed/>
    <w:rsid w:val="001A7757"/>
  </w:style>
  <w:style w:type="numbering" w:customStyle="1" w:styleId="Sinlista31121">
    <w:name w:val="Sin lista31121"/>
    <w:next w:val="NoList"/>
    <w:uiPriority w:val="99"/>
    <w:semiHidden/>
    <w:unhideWhenUsed/>
    <w:rsid w:val="001A7757"/>
  </w:style>
  <w:style w:type="numbering" w:customStyle="1" w:styleId="Sinlista41121">
    <w:name w:val="Sin lista41121"/>
    <w:next w:val="NoList"/>
    <w:uiPriority w:val="99"/>
    <w:semiHidden/>
    <w:unhideWhenUsed/>
    <w:rsid w:val="001A7757"/>
  </w:style>
  <w:style w:type="numbering" w:customStyle="1" w:styleId="Sinlista51121">
    <w:name w:val="Sin lista51121"/>
    <w:next w:val="NoList"/>
    <w:uiPriority w:val="99"/>
    <w:semiHidden/>
    <w:unhideWhenUsed/>
    <w:rsid w:val="001A7757"/>
  </w:style>
  <w:style w:type="numbering" w:customStyle="1" w:styleId="Sinlista1111111">
    <w:name w:val="Sin lista1111111"/>
    <w:next w:val="NoList"/>
    <w:uiPriority w:val="99"/>
    <w:semiHidden/>
    <w:unhideWhenUsed/>
    <w:rsid w:val="001A7757"/>
  </w:style>
  <w:style w:type="numbering" w:customStyle="1" w:styleId="Sinlista211111">
    <w:name w:val="Sin lista211111"/>
    <w:next w:val="NoList"/>
    <w:uiPriority w:val="99"/>
    <w:semiHidden/>
    <w:unhideWhenUsed/>
    <w:rsid w:val="001A7757"/>
  </w:style>
  <w:style w:type="numbering" w:customStyle="1" w:styleId="Sinlista311111">
    <w:name w:val="Sin lista311111"/>
    <w:next w:val="NoList"/>
    <w:uiPriority w:val="99"/>
    <w:semiHidden/>
    <w:unhideWhenUsed/>
    <w:rsid w:val="001A7757"/>
  </w:style>
  <w:style w:type="numbering" w:customStyle="1" w:styleId="Sinlista411111">
    <w:name w:val="Sin lista411111"/>
    <w:next w:val="NoList"/>
    <w:uiPriority w:val="99"/>
    <w:semiHidden/>
    <w:unhideWhenUsed/>
    <w:rsid w:val="001A7757"/>
  </w:style>
  <w:style w:type="numbering" w:customStyle="1" w:styleId="Sinlista511111">
    <w:name w:val="Sin lista511111"/>
    <w:next w:val="NoList"/>
    <w:uiPriority w:val="99"/>
    <w:semiHidden/>
    <w:unhideWhenUsed/>
    <w:rsid w:val="001A7757"/>
  </w:style>
  <w:style w:type="paragraph" w:customStyle="1" w:styleId="Cuerpo">
    <w:name w:val="Cuerpo"/>
    <w:rsid w:val="00B215FA"/>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numbering" w:customStyle="1" w:styleId="Estiloimportado1">
    <w:name w:val="Estilo importado 1"/>
    <w:rsid w:val="00B215FA"/>
  </w:style>
  <w:style w:type="character" w:customStyle="1" w:styleId="Ninguno">
    <w:name w:val="Ninguno"/>
    <w:rsid w:val="00B215FA"/>
    <w:rPr>
      <w:lang w:val="es-ES_tradnl"/>
    </w:rPr>
  </w:style>
  <w:style w:type="numbering" w:customStyle="1" w:styleId="Estiloimportado2">
    <w:name w:val="Estilo importado 2"/>
    <w:rsid w:val="00B215FA"/>
  </w:style>
  <w:style w:type="numbering" w:customStyle="1" w:styleId="Estiloimportado3">
    <w:name w:val="Estilo importado 3"/>
    <w:rsid w:val="00B215FA"/>
  </w:style>
  <w:style w:type="numbering" w:customStyle="1" w:styleId="Estiloimportado4">
    <w:name w:val="Estilo importado 4"/>
    <w:rsid w:val="00B215FA"/>
  </w:style>
  <w:style w:type="numbering" w:customStyle="1" w:styleId="Estiloimportado5">
    <w:name w:val="Estilo importado 5"/>
    <w:rsid w:val="00B215FA"/>
  </w:style>
  <w:style w:type="numbering" w:customStyle="1" w:styleId="Estiloimportado6">
    <w:name w:val="Estilo importado 6"/>
    <w:rsid w:val="00B215FA"/>
  </w:style>
  <w:style w:type="numbering" w:customStyle="1" w:styleId="Estiloimportado7">
    <w:name w:val="Estilo importado 7"/>
    <w:rsid w:val="00B215FA"/>
  </w:style>
  <w:style w:type="numbering" w:customStyle="1" w:styleId="Estiloimportado8">
    <w:name w:val="Estilo importado 8"/>
    <w:rsid w:val="00B215FA"/>
  </w:style>
  <w:style w:type="numbering" w:customStyle="1" w:styleId="Estiloimportado9">
    <w:name w:val="Estilo importado 9"/>
    <w:rsid w:val="00B215FA"/>
  </w:style>
  <w:style w:type="numbering" w:customStyle="1" w:styleId="Estiloimportado10">
    <w:name w:val="Estilo importado 10"/>
    <w:rsid w:val="00B215FA"/>
  </w:style>
  <w:style w:type="numbering" w:customStyle="1" w:styleId="Estiloimportado11">
    <w:name w:val="Estilo importado 11"/>
    <w:rsid w:val="00B215FA"/>
  </w:style>
  <w:style w:type="numbering" w:customStyle="1" w:styleId="Estiloimportado12">
    <w:name w:val="Estilo importado 12"/>
    <w:rsid w:val="00B215FA"/>
  </w:style>
  <w:style w:type="character" w:customStyle="1" w:styleId="Hyperlink0">
    <w:name w:val="Hyperlink.0"/>
    <w:basedOn w:val="DefaultParagraphFont"/>
    <w:rsid w:val="00B215FA"/>
    <w:rPr>
      <w:rFonts w:ascii="Arial" w:eastAsia="Arial" w:hAnsi="Arial" w:cs="Arial"/>
      <w:color w:val="0000FF"/>
      <w:sz w:val="20"/>
      <w:szCs w:val="20"/>
      <w:u w:val="single" w:color="0000FF"/>
      <w:lang w:val="es-ES_tradnl"/>
    </w:rPr>
  </w:style>
  <w:style w:type="numbering" w:customStyle="1" w:styleId="Estiloimportado13">
    <w:name w:val="Estilo importado 13"/>
    <w:rsid w:val="00B215FA"/>
  </w:style>
  <w:style w:type="numbering" w:customStyle="1" w:styleId="Estiloimportado14">
    <w:name w:val="Estilo importado 14"/>
    <w:rsid w:val="00B215FA"/>
  </w:style>
  <w:style w:type="numbering" w:customStyle="1" w:styleId="Estiloimportado15">
    <w:name w:val="Estilo importado 15"/>
    <w:rsid w:val="00B215FA"/>
  </w:style>
  <w:style w:type="numbering" w:customStyle="1" w:styleId="Estiloimportado203">
    <w:name w:val="Estilo importado 203"/>
    <w:rsid w:val="00B215FA"/>
  </w:style>
  <w:style w:type="numbering" w:customStyle="1" w:styleId="Estiloimportado16">
    <w:name w:val="Estilo importado 16"/>
    <w:rsid w:val="00B215FA"/>
  </w:style>
  <w:style w:type="numbering" w:customStyle="1" w:styleId="Estiloimportado17">
    <w:name w:val="Estilo importado 17"/>
    <w:rsid w:val="00B215FA"/>
  </w:style>
  <w:style w:type="numbering" w:customStyle="1" w:styleId="Estiloimportado18">
    <w:name w:val="Estilo importado 18"/>
    <w:rsid w:val="00B215FA"/>
  </w:style>
  <w:style w:type="numbering" w:customStyle="1" w:styleId="Estiloimportado19">
    <w:name w:val="Estilo importado 19"/>
    <w:rsid w:val="00B215FA"/>
    <w:pPr>
      <w:numPr>
        <w:numId w:val="25"/>
      </w:numPr>
    </w:pPr>
  </w:style>
  <w:style w:type="numbering" w:customStyle="1" w:styleId="Estiloimportado20">
    <w:name w:val="Estilo importado 20"/>
    <w:rsid w:val="00B215FA"/>
    <w:pPr>
      <w:numPr>
        <w:numId w:val="26"/>
      </w:numPr>
    </w:pPr>
  </w:style>
  <w:style w:type="character" w:customStyle="1" w:styleId="ListParagraphChar">
    <w:name w:val="List Paragraph Char"/>
    <w:link w:val="ListParagraph"/>
    <w:uiPriority w:val="34"/>
    <w:rsid w:val="002E6F1C"/>
    <w:rPr>
      <w:sz w:val="24"/>
      <w:lang w:eastAsia="en-US"/>
    </w:rPr>
  </w:style>
  <w:style w:type="numbering" w:customStyle="1" w:styleId="Sinlista10">
    <w:name w:val="Sin lista10"/>
    <w:next w:val="NoList"/>
    <w:uiPriority w:val="99"/>
    <w:semiHidden/>
    <w:unhideWhenUsed/>
    <w:rsid w:val="002E6F1C"/>
  </w:style>
  <w:style w:type="numbering" w:customStyle="1" w:styleId="Sinlista16">
    <w:name w:val="Sin lista16"/>
    <w:next w:val="NoList"/>
    <w:uiPriority w:val="99"/>
    <w:semiHidden/>
    <w:unhideWhenUsed/>
    <w:rsid w:val="002E6F1C"/>
  </w:style>
  <w:style w:type="numbering" w:customStyle="1" w:styleId="Sinlista26">
    <w:name w:val="Sin lista26"/>
    <w:next w:val="NoList"/>
    <w:uiPriority w:val="99"/>
    <w:semiHidden/>
    <w:unhideWhenUsed/>
    <w:rsid w:val="002E6F1C"/>
  </w:style>
  <w:style w:type="numbering" w:customStyle="1" w:styleId="Sinlista36">
    <w:name w:val="Sin lista36"/>
    <w:next w:val="NoList"/>
    <w:uiPriority w:val="99"/>
    <w:semiHidden/>
    <w:unhideWhenUsed/>
    <w:rsid w:val="002E6F1C"/>
  </w:style>
  <w:style w:type="numbering" w:customStyle="1" w:styleId="Sinlista46">
    <w:name w:val="Sin lista46"/>
    <w:next w:val="NoList"/>
    <w:uiPriority w:val="99"/>
    <w:semiHidden/>
    <w:unhideWhenUsed/>
    <w:rsid w:val="002E6F1C"/>
  </w:style>
  <w:style w:type="numbering" w:customStyle="1" w:styleId="Sinlista56">
    <w:name w:val="Sin lista56"/>
    <w:next w:val="NoList"/>
    <w:uiPriority w:val="99"/>
    <w:semiHidden/>
    <w:unhideWhenUsed/>
    <w:rsid w:val="002E6F1C"/>
  </w:style>
  <w:style w:type="numbering" w:customStyle="1" w:styleId="Sinlista115">
    <w:name w:val="Sin lista115"/>
    <w:next w:val="NoList"/>
    <w:uiPriority w:val="99"/>
    <w:semiHidden/>
    <w:unhideWhenUsed/>
    <w:rsid w:val="002E6F1C"/>
  </w:style>
  <w:style w:type="numbering" w:customStyle="1" w:styleId="Sinlista215">
    <w:name w:val="Sin lista215"/>
    <w:next w:val="NoList"/>
    <w:uiPriority w:val="99"/>
    <w:semiHidden/>
    <w:unhideWhenUsed/>
    <w:rsid w:val="002E6F1C"/>
  </w:style>
  <w:style w:type="numbering" w:customStyle="1" w:styleId="Sinlista315">
    <w:name w:val="Sin lista315"/>
    <w:next w:val="NoList"/>
    <w:uiPriority w:val="99"/>
    <w:semiHidden/>
    <w:unhideWhenUsed/>
    <w:rsid w:val="002E6F1C"/>
  </w:style>
  <w:style w:type="numbering" w:customStyle="1" w:styleId="Sinlista415">
    <w:name w:val="Sin lista415"/>
    <w:next w:val="NoList"/>
    <w:uiPriority w:val="99"/>
    <w:semiHidden/>
    <w:unhideWhenUsed/>
    <w:rsid w:val="002E6F1C"/>
  </w:style>
  <w:style w:type="numbering" w:customStyle="1" w:styleId="Sinlista515">
    <w:name w:val="Sin lista515"/>
    <w:next w:val="NoList"/>
    <w:uiPriority w:val="99"/>
    <w:semiHidden/>
    <w:unhideWhenUsed/>
    <w:rsid w:val="002E6F1C"/>
  </w:style>
  <w:style w:type="numbering" w:customStyle="1" w:styleId="Sinlista64">
    <w:name w:val="Sin lista64"/>
    <w:next w:val="NoList"/>
    <w:uiPriority w:val="99"/>
    <w:semiHidden/>
    <w:unhideWhenUsed/>
    <w:rsid w:val="002E6F1C"/>
  </w:style>
  <w:style w:type="numbering" w:customStyle="1" w:styleId="Sinlista124">
    <w:name w:val="Sin lista124"/>
    <w:next w:val="NoList"/>
    <w:uiPriority w:val="99"/>
    <w:semiHidden/>
    <w:unhideWhenUsed/>
    <w:rsid w:val="002E6F1C"/>
  </w:style>
  <w:style w:type="numbering" w:customStyle="1" w:styleId="Sinlista1115">
    <w:name w:val="Sin lista1115"/>
    <w:next w:val="NoList"/>
    <w:uiPriority w:val="99"/>
    <w:semiHidden/>
    <w:unhideWhenUsed/>
    <w:rsid w:val="002E6F1C"/>
  </w:style>
  <w:style w:type="numbering" w:customStyle="1" w:styleId="Sinlista224">
    <w:name w:val="Sin lista224"/>
    <w:next w:val="NoList"/>
    <w:uiPriority w:val="99"/>
    <w:semiHidden/>
    <w:unhideWhenUsed/>
    <w:rsid w:val="002E6F1C"/>
  </w:style>
  <w:style w:type="numbering" w:customStyle="1" w:styleId="Sinlista324">
    <w:name w:val="Sin lista324"/>
    <w:next w:val="NoList"/>
    <w:uiPriority w:val="99"/>
    <w:semiHidden/>
    <w:unhideWhenUsed/>
    <w:rsid w:val="002E6F1C"/>
  </w:style>
  <w:style w:type="numbering" w:customStyle="1" w:styleId="Sinlista424">
    <w:name w:val="Sin lista424"/>
    <w:next w:val="NoList"/>
    <w:uiPriority w:val="99"/>
    <w:semiHidden/>
    <w:unhideWhenUsed/>
    <w:rsid w:val="002E6F1C"/>
  </w:style>
  <w:style w:type="numbering" w:customStyle="1" w:styleId="Sinlista524">
    <w:name w:val="Sin lista524"/>
    <w:next w:val="NoList"/>
    <w:uiPriority w:val="99"/>
    <w:semiHidden/>
    <w:unhideWhenUsed/>
    <w:rsid w:val="002E6F1C"/>
  </w:style>
  <w:style w:type="numbering" w:customStyle="1" w:styleId="Sinlista11115">
    <w:name w:val="Sin lista11115"/>
    <w:next w:val="NoList"/>
    <w:uiPriority w:val="99"/>
    <w:semiHidden/>
    <w:unhideWhenUsed/>
    <w:rsid w:val="002E6F1C"/>
  </w:style>
  <w:style w:type="numbering" w:customStyle="1" w:styleId="Sinlista2115">
    <w:name w:val="Sin lista2115"/>
    <w:next w:val="NoList"/>
    <w:uiPriority w:val="99"/>
    <w:semiHidden/>
    <w:unhideWhenUsed/>
    <w:rsid w:val="002E6F1C"/>
  </w:style>
  <w:style w:type="numbering" w:customStyle="1" w:styleId="Sinlista3115">
    <w:name w:val="Sin lista3115"/>
    <w:next w:val="NoList"/>
    <w:uiPriority w:val="99"/>
    <w:semiHidden/>
    <w:unhideWhenUsed/>
    <w:rsid w:val="002E6F1C"/>
  </w:style>
  <w:style w:type="numbering" w:customStyle="1" w:styleId="Sinlista4115">
    <w:name w:val="Sin lista4115"/>
    <w:next w:val="NoList"/>
    <w:uiPriority w:val="99"/>
    <w:semiHidden/>
    <w:unhideWhenUsed/>
    <w:rsid w:val="002E6F1C"/>
  </w:style>
  <w:style w:type="numbering" w:customStyle="1" w:styleId="Sinlista5115">
    <w:name w:val="Sin lista5115"/>
    <w:next w:val="NoList"/>
    <w:uiPriority w:val="99"/>
    <w:semiHidden/>
    <w:unhideWhenUsed/>
    <w:rsid w:val="002E6F1C"/>
  </w:style>
  <w:style w:type="numbering" w:customStyle="1" w:styleId="Sinlista111114">
    <w:name w:val="Sin lista111114"/>
    <w:next w:val="NoList"/>
    <w:uiPriority w:val="99"/>
    <w:semiHidden/>
    <w:unhideWhenUsed/>
    <w:rsid w:val="002E6F1C"/>
  </w:style>
  <w:style w:type="numbering" w:customStyle="1" w:styleId="Sinlista21114">
    <w:name w:val="Sin lista21114"/>
    <w:next w:val="NoList"/>
    <w:uiPriority w:val="99"/>
    <w:semiHidden/>
    <w:unhideWhenUsed/>
    <w:rsid w:val="002E6F1C"/>
  </w:style>
  <w:style w:type="numbering" w:customStyle="1" w:styleId="Sinlista31114">
    <w:name w:val="Sin lista31114"/>
    <w:next w:val="NoList"/>
    <w:uiPriority w:val="99"/>
    <w:semiHidden/>
    <w:unhideWhenUsed/>
    <w:rsid w:val="002E6F1C"/>
  </w:style>
  <w:style w:type="numbering" w:customStyle="1" w:styleId="Sinlista41114">
    <w:name w:val="Sin lista41114"/>
    <w:next w:val="NoList"/>
    <w:uiPriority w:val="99"/>
    <w:semiHidden/>
    <w:unhideWhenUsed/>
    <w:rsid w:val="002E6F1C"/>
  </w:style>
  <w:style w:type="numbering" w:customStyle="1" w:styleId="Sinlista51114">
    <w:name w:val="Sin lista51114"/>
    <w:next w:val="NoList"/>
    <w:uiPriority w:val="99"/>
    <w:semiHidden/>
    <w:unhideWhenUsed/>
    <w:rsid w:val="002E6F1C"/>
  </w:style>
  <w:style w:type="numbering" w:customStyle="1" w:styleId="Sinlista72">
    <w:name w:val="Sin lista72"/>
    <w:next w:val="NoList"/>
    <w:uiPriority w:val="99"/>
    <w:semiHidden/>
    <w:unhideWhenUsed/>
    <w:rsid w:val="002E6F1C"/>
  </w:style>
  <w:style w:type="numbering" w:customStyle="1" w:styleId="Sinlista132">
    <w:name w:val="Sin lista132"/>
    <w:next w:val="NoList"/>
    <w:uiPriority w:val="99"/>
    <w:semiHidden/>
    <w:unhideWhenUsed/>
    <w:rsid w:val="002E6F1C"/>
  </w:style>
  <w:style w:type="numbering" w:customStyle="1" w:styleId="Sinlista232">
    <w:name w:val="Sin lista232"/>
    <w:next w:val="NoList"/>
    <w:uiPriority w:val="99"/>
    <w:semiHidden/>
    <w:unhideWhenUsed/>
    <w:rsid w:val="002E6F1C"/>
  </w:style>
  <w:style w:type="numbering" w:customStyle="1" w:styleId="Sinlista332">
    <w:name w:val="Sin lista332"/>
    <w:next w:val="NoList"/>
    <w:uiPriority w:val="99"/>
    <w:semiHidden/>
    <w:unhideWhenUsed/>
    <w:rsid w:val="002E6F1C"/>
  </w:style>
  <w:style w:type="numbering" w:customStyle="1" w:styleId="Sinlista432">
    <w:name w:val="Sin lista432"/>
    <w:next w:val="NoList"/>
    <w:uiPriority w:val="99"/>
    <w:semiHidden/>
    <w:unhideWhenUsed/>
    <w:rsid w:val="002E6F1C"/>
  </w:style>
  <w:style w:type="numbering" w:customStyle="1" w:styleId="Sinlista532">
    <w:name w:val="Sin lista532"/>
    <w:next w:val="NoList"/>
    <w:uiPriority w:val="99"/>
    <w:semiHidden/>
    <w:unhideWhenUsed/>
    <w:rsid w:val="002E6F1C"/>
  </w:style>
  <w:style w:type="numbering" w:customStyle="1" w:styleId="Sinlista1122">
    <w:name w:val="Sin lista1122"/>
    <w:next w:val="NoList"/>
    <w:uiPriority w:val="99"/>
    <w:semiHidden/>
    <w:unhideWhenUsed/>
    <w:rsid w:val="002E6F1C"/>
  </w:style>
  <w:style w:type="numbering" w:customStyle="1" w:styleId="Sinlista2122">
    <w:name w:val="Sin lista2122"/>
    <w:next w:val="NoList"/>
    <w:uiPriority w:val="99"/>
    <w:semiHidden/>
    <w:unhideWhenUsed/>
    <w:rsid w:val="002E6F1C"/>
  </w:style>
  <w:style w:type="numbering" w:customStyle="1" w:styleId="Sinlista3122">
    <w:name w:val="Sin lista3122"/>
    <w:next w:val="NoList"/>
    <w:uiPriority w:val="99"/>
    <w:semiHidden/>
    <w:unhideWhenUsed/>
    <w:rsid w:val="002E6F1C"/>
  </w:style>
  <w:style w:type="numbering" w:customStyle="1" w:styleId="Sinlista4122">
    <w:name w:val="Sin lista4122"/>
    <w:next w:val="NoList"/>
    <w:uiPriority w:val="99"/>
    <w:semiHidden/>
    <w:unhideWhenUsed/>
    <w:rsid w:val="002E6F1C"/>
  </w:style>
  <w:style w:type="numbering" w:customStyle="1" w:styleId="Sinlista5122">
    <w:name w:val="Sin lista5122"/>
    <w:next w:val="NoList"/>
    <w:uiPriority w:val="99"/>
    <w:semiHidden/>
    <w:unhideWhenUsed/>
    <w:rsid w:val="002E6F1C"/>
  </w:style>
  <w:style w:type="numbering" w:customStyle="1" w:styleId="Sinlista612">
    <w:name w:val="Sin lista612"/>
    <w:next w:val="NoList"/>
    <w:uiPriority w:val="99"/>
    <w:semiHidden/>
    <w:unhideWhenUsed/>
    <w:rsid w:val="002E6F1C"/>
  </w:style>
  <w:style w:type="numbering" w:customStyle="1" w:styleId="Sinlista1212">
    <w:name w:val="Sin lista1212"/>
    <w:next w:val="NoList"/>
    <w:uiPriority w:val="99"/>
    <w:semiHidden/>
    <w:unhideWhenUsed/>
    <w:rsid w:val="002E6F1C"/>
  </w:style>
  <w:style w:type="numbering" w:customStyle="1" w:styleId="Sinlista11122">
    <w:name w:val="Sin lista11122"/>
    <w:next w:val="NoList"/>
    <w:uiPriority w:val="99"/>
    <w:semiHidden/>
    <w:unhideWhenUsed/>
    <w:rsid w:val="002E6F1C"/>
  </w:style>
  <w:style w:type="numbering" w:customStyle="1" w:styleId="Sinlista2212">
    <w:name w:val="Sin lista2212"/>
    <w:next w:val="NoList"/>
    <w:uiPriority w:val="99"/>
    <w:semiHidden/>
    <w:unhideWhenUsed/>
    <w:rsid w:val="002E6F1C"/>
  </w:style>
  <w:style w:type="numbering" w:customStyle="1" w:styleId="Sinlista3212">
    <w:name w:val="Sin lista3212"/>
    <w:next w:val="NoList"/>
    <w:uiPriority w:val="99"/>
    <w:semiHidden/>
    <w:unhideWhenUsed/>
    <w:rsid w:val="002E6F1C"/>
  </w:style>
  <w:style w:type="numbering" w:customStyle="1" w:styleId="Sinlista4212">
    <w:name w:val="Sin lista4212"/>
    <w:next w:val="NoList"/>
    <w:uiPriority w:val="99"/>
    <w:semiHidden/>
    <w:unhideWhenUsed/>
    <w:rsid w:val="002E6F1C"/>
  </w:style>
  <w:style w:type="numbering" w:customStyle="1" w:styleId="Sinlista5212">
    <w:name w:val="Sin lista5212"/>
    <w:next w:val="NoList"/>
    <w:uiPriority w:val="99"/>
    <w:semiHidden/>
    <w:unhideWhenUsed/>
    <w:rsid w:val="002E6F1C"/>
  </w:style>
  <w:style w:type="numbering" w:customStyle="1" w:styleId="Sinlista111122">
    <w:name w:val="Sin lista111122"/>
    <w:next w:val="NoList"/>
    <w:uiPriority w:val="99"/>
    <w:semiHidden/>
    <w:unhideWhenUsed/>
    <w:rsid w:val="002E6F1C"/>
  </w:style>
  <w:style w:type="numbering" w:customStyle="1" w:styleId="Sinlista21122">
    <w:name w:val="Sin lista21122"/>
    <w:next w:val="NoList"/>
    <w:uiPriority w:val="99"/>
    <w:semiHidden/>
    <w:unhideWhenUsed/>
    <w:rsid w:val="002E6F1C"/>
  </w:style>
  <w:style w:type="numbering" w:customStyle="1" w:styleId="Sinlista31122">
    <w:name w:val="Sin lista31122"/>
    <w:next w:val="NoList"/>
    <w:uiPriority w:val="99"/>
    <w:semiHidden/>
    <w:unhideWhenUsed/>
    <w:rsid w:val="002E6F1C"/>
  </w:style>
  <w:style w:type="numbering" w:customStyle="1" w:styleId="Sinlista41122">
    <w:name w:val="Sin lista41122"/>
    <w:next w:val="NoList"/>
    <w:uiPriority w:val="99"/>
    <w:semiHidden/>
    <w:unhideWhenUsed/>
    <w:rsid w:val="002E6F1C"/>
  </w:style>
  <w:style w:type="numbering" w:customStyle="1" w:styleId="Sinlista51122">
    <w:name w:val="Sin lista51122"/>
    <w:next w:val="NoList"/>
    <w:uiPriority w:val="99"/>
    <w:semiHidden/>
    <w:unhideWhenUsed/>
    <w:rsid w:val="002E6F1C"/>
  </w:style>
  <w:style w:type="numbering" w:customStyle="1" w:styleId="Sinlista1111112">
    <w:name w:val="Sin lista1111112"/>
    <w:next w:val="NoList"/>
    <w:uiPriority w:val="99"/>
    <w:semiHidden/>
    <w:unhideWhenUsed/>
    <w:rsid w:val="002E6F1C"/>
  </w:style>
  <w:style w:type="numbering" w:customStyle="1" w:styleId="Sinlista211112">
    <w:name w:val="Sin lista211112"/>
    <w:next w:val="NoList"/>
    <w:uiPriority w:val="99"/>
    <w:semiHidden/>
    <w:unhideWhenUsed/>
    <w:rsid w:val="002E6F1C"/>
  </w:style>
  <w:style w:type="numbering" w:customStyle="1" w:styleId="Sinlista311112">
    <w:name w:val="Sin lista311112"/>
    <w:next w:val="NoList"/>
    <w:uiPriority w:val="99"/>
    <w:semiHidden/>
    <w:unhideWhenUsed/>
    <w:rsid w:val="002E6F1C"/>
  </w:style>
  <w:style w:type="numbering" w:customStyle="1" w:styleId="Sinlista411112">
    <w:name w:val="Sin lista411112"/>
    <w:next w:val="NoList"/>
    <w:uiPriority w:val="99"/>
    <w:semiHidden/>
    <w:unhideWhenUsed/>
    <w:rsid w:val="002E6F1C"/>
  </w:style>
  <w:style w:type="numbering" w:customStyle="1" w:styleId="Sinlista511112">
    <w:name w:val="Sin lista511112"/>
    <w:next w:val="NoList"/>
    <w:uiPriority w:val="99"/>
    <w:semiHidden/>
    <w:unhideWhenUsed/>
    <w:rsid w:val="002E6F1C"/>
  </w:style>
  <w:style w:type="numbering" w:customStyle="1" w:styleId="Sinlista81">
    <w:name w:val="Sin lista81"/>
    <w:next w:val="NoList"/>
    <w:uiPriority w:val="99"/>
    <w:semiHidden/>
    <w:unhideWhenUsed/>
    <w:rsid w:val="002E6F1C"/>
  </w:style>
  <w:style w:type="numbering" w:customStyle="1" w:styleId="Sinlista141">
    <w:name w:val="Sin lista141"/>
    <w:next w:val="NoList"/>
    <w:uiPriority w:val="99"/>
    <w:semiHidden/>
    <w:unhideWhenUsed/>
    <w:rsid w:val="002E6F1C"/>
  </w:style>
  <w:style w:type="numbering" w:customStyle="1" w:styleId="Sinlista241">
    <w:name w:val="Sin lista241"/>
    <w:next w:val="NoList"/>
    <w:uiPriority w:val="99"/>
    <w:semiHidden/>
    <w:unhideWhenUsed/>
    <w:rsid w:val="002E6F1C"/>
  </w:style>
  <w:style w:type="numbering" w:customStyle="1" w:styleId="Sinlista341">
    <w:name w:val="Sin lista341"/>
    <w:next w:val="NoList"/>
    <w:uiPriority w:val="99"/>
    <w:semiHidden/>
    <w:unhideWhenUsed/>
    <w:rsid w:val="002E6F1C"/>
  </w:style>
  <w:style w:type="numbering" w:customStyle="1" w:styleId="Sinlista441">
    <w:name w:val="Sin lista441"/>
    <w:next w:val="NoList"/>
    <w:uiPriority w:val="99"/>
    <w:semiHidden/>
    <w:unhideWhenUsed/>
    <w:rsid w:val="002E6F1C"/>
  </w:style>
  <w:style w:type="numbering" w:customStyle="1" w:styleId="Sinlista541">
    <w:name w:val="Sin lista541"/>
    <w:next w:val="NoList"/>
    <w:uiPriority w:val="99"/>
    <w:semiHidden/>
    <w:unhideWhenUsed/>
    <w:rsid w:val="002E6F1C"/>
  </w:style>
  <w:style w:type="numbering" w:customStyle="1" w:styleId="Sinlista1131">
    <w:name w:val="Sin lista1131"/>
    <w:next w:val="NoList"/>
    <w:uiPriority w:val="99"/>
    <w:semiHidden/>
    <w:unhideWhenUsed/>
    <w:rsid w:val="002E6F1C"/>
  </w:style>
  <w:style w:type="numbering" w:customStyle="1" w:styleId="Sinlista2131">
    <w:name w:val="Sin lista2131"/>
    <w:next w:val="NoList"/>
    <w:uiPriority w:val="99"/>
    <w:semiHidden/>
    <w:unhideWhenUsed/>
    <w:rsid w:val="002E6F1C"/>
  </w:style>
  <w:style w:type="numbering" w:customStyle="1" w:styleId="Sinlista3131">
    <w:name w:val="Sin lista3131"/>
    <w:next w:val="NoList"/>
    <w:uiPriority w:val="99"/>
    <w:semiHidden/>
    <w:unhideWhenUsed/>
    <w:rsid w:val="002E6F1C"/>
  </w:style>
  <w:style w:type="numbering" w:customStyle="1" w:styleId="Sinlista4131">
    <w:name w:val="Sin lista4131"/>
    <w:next w:val="NoList"/>
    <w:uiPriority w:val="99"/>
    <w:semiHidden/>
    <w:unhideWhenUsed/>
    <w:rsid w:val="002E6F1C"/>
  </w:style>
  <w:style w:type="numbering" w:customStyle="1" w:styleId="Sinlista5131">
    <w:name w:val="Sin lista5131"/>
    <w:next w:val="NoList"/>
    <w:uiPriority w:val="99"/>
    <w:semiHidden/>
    <w:unhideWhenUsed/>
    <w:rsid w:val="002E6F1C"/>
  </w:style>
  <w:style w:type="numbering" w:customStyle="1" w:styleId="Sinlista621">
    <w:name w:val="Sin lista621"/>
    <w:next w:val="NoList"/>
    <w:uiPriority w:val="99"/>
    <w:semiHidden/>
    <w:unhideWhenUsed/>
    <w:rsid w:val="002E6F1C"/>
  </w:style>
  <w:style w:type="numbering" w:customStyle="1" w:styleId="Sinlista1221">
    <w:name w:val="Sin lista1221"/>
    <w:next w:val="NoList"/>
    <w:uiPriority w:val="99"/>
    <w:semiHidden/>
    <w:unhideWhenUsed/>
    <w:rsid w:val="002E6F1C"/>
  </w:style>
  <w:style w:type="numbering" w:customStyle="1" w:styleId="Sinlista11131">
    <w:name w:val="Sin lista11131"/>
    <w:next w:val="NoList"/>
    <w:uiPriority w:val="99"/>
    <w:semiHidden/>
    <w:unhideWhenUsed/>
    <w:rsid w:val="002E6F1C"/>
  </w:style>
  <w:style w:type="numbering" w:customStyle="1" w:styleId="Sinlista2221">
    <w:name w:val="Sin lista2221"/>
    <w:next w:val="NoList"/>
    <w:uiPriority w:val="99"/>
    <w:semiHidden/>
    <w:unhideWhenUsed/>
    <w:rsid w:val="002E6F1C"/>
  </w:style>
  <w:style w:type="numbering" w:customStyle="1" w:styleId="Sinlista3221">
    <w:name w:val="Sin lista3221"/>
    <w:next w:val="NoList"/>
    <w:uiPriority w:val="99"/>
    <w:semiHidden/>
    <w:unhideWhenUsed/>
    <w:rsid w:val="002E6F1C"/>
  </w:style>
  <w:style w:type="numbering" w:customStyle="1" w:styleId="Sinlista4221">
    <w:name w:val="Sin lista4221"/>
    <w:next w:val="NoList"/>
    <w:uiPriority w:val="99"/>
    <w:semiHidden/>
    <w:unhideWhenUsed/>
    <w:rsid w:val="002E6F1C"/>
  </w:style>
  <w:style w:type="numbering" w:customStyle="1" w:styleId="Sinlista5221">
    <w:name w:val="Sin lista5221"/>
    <w:next w:val="NoList"/>
    <w:uiPriority w:val="99"/>
    <w:semiHidden/>
    <w:unhideWhenUsed/>
    <w:rsid w:val="002E6F1C"/>
  </w:style>
  <w:style w:type="numbering" w:customStyle="1" w:styleId="Sinlista111131">
    <w:name w:val="Sin lista111131"/>
    <w:next w:val="NoList"/>
    <w:uiPriority w:val="99"/>
    <w:semiHidden/>
    <w:unhideWhenUsed/>
    <w:rsid w:val="002E6F1C"/>
  </w:style>
  <w:style w:type="numbering" w:customStyle="1" w:styleId="Sinlista21131">
    <w:name w:val="Sin lista21131"/>
    <w:next w:val="NoList"/>
    <w:uiPriority w:val="99"/>
    <w:semiHidden/>
    <w:unhideWhenUsed/>
    <w:rsid w:val="002E6F1C"/>
  </w:style>
  <w:style w:type="numbering" w:customStyle="1" w:styleId="Sinlista31131">
    <w:name w:val="Sin lista31131"/>
    <w:next w:val="NoList"/>
    <w:uiPriority w:val="99"/>
    <w:semiHidden/>
    <w:unhideWhenUsed/>
    <w:rsid w:val="002E6F1C"/>
  </w:style>
  <w:style w:type="numbering" w:customStyle="1" w:styleId="Sinlista41131">
    <w:name w:val="Sin lista41131"/>
    <w:next w:val="NoList"/>
    <w:uiPriority w:val="99"/>
    <w:semiHidden/>
    <w:unhideWhenUsed/>
    <w:rsid w:val="002E6F1C"/>
  </w:style>
  <w:style w:type="numbering" w:customStyle="1" w:styleId="Sinlista51131">
    <w:name w:val="Sin lista51131"/>
    <w:next w:val="NoList"/>
    <w:uiPriority w:val="99"/>
    <w:semiHidden/>
    <w:unhideWhenUsed/>
    <w:rsid w:val="002E6F1C"/>
  </w:style>
  <w:style w:type="numbering" w:customStyle="1" w:styleId="Sinlista1111121">
    <w:name w:val="Sin lista1111121"/>
    <w:next w:val="NoList"/>
    <w:uiPriority w:val="99"/>
    <w:semiHidden/>
    <w:unhideWhenUsed/>
    <w:rsid w:val="002E6F1C"/>
  </w:style>
  <w:style w:type="numbering" w:customStyle="1" w:styleId="Sinlista211121">
    <w:name w:val="Sin lista211121"/>
    <w:next w:val="NoList"/>
    <w:uiPriority w:val="99"/>
    <w:semiHidden/>
    <w:unhideWhenUsed/>
    <w:rsid w:val="002E6F1C"/>
  </w:style>
  <w:style w:type="numbering" w:customStyle="1" w:styleId="Sinlista311121">
    <w:name w:val="Sin lista311121"/>
    <w:next w:val="NoList"/>
    <w:uiPriority w:val="99"/>
    <w:semiHidden/>
    <w:unhideWhenUsed/>
    <w:rsid w:val="002E6F1C"/>
  </w:style>
  <w:style w:type="numbering" w:customStyle="1" w:styleId="Sinlista411121">
    <w:name w:val="Sin lista411121"/>
    <w:next w:val="NoList"/>
    <w:uiPriority w:val="99"/>
    <w:semiHidden/>
    <w:unhideWhenUsed/>
    <w:rsid w:val="002E6F1C"/>
  </w:style>
  <w:style w:type="numbering" w:customStyle="1" w:styleId="Sinlista511121">
    <w:name w:val="Sin lista511121"/>
    <w:next w:val="NoList"/>
    <w:uiPriority w:val="99"/>
    <w:semiHidden/>
    <w:unhideWhenUsed/>
    <w:rsid w:val="002E6F1C"/>
  </w:style>
  <w:style w:type="numbering" w:customStyle="1" w:styleId="Sinlista91">
    <w:name w:val="Sin lista91"/>
    <w:next w:val="NoList"/>
    <w:uiPriority w:val="99"/>
    <w:semiHidden/>
    <w:unhideWhenUsed/>
    <w:rsid w:val="002E6F1C"/>
  </w:style>
  <w:style w:type="numbering" w:customStyle="1" w:styleId="Sinlista151">
    <w:name w:val="Sin lista151"/>
    <w:next w:val="NoList"/>
    <w:uiPriority w:val="99"/>
    <w:semiHidden/>
    <w:unhideWhenUsed/>
    <w:rsid w:val="002E6F1C"/>
  </w:style>
  <w:style w:type="numbering" w:customStyle="1" w:styleId="Sinlista251">
    <w:name w:val="Sin lista251"/>
    <w:next w:val="NoList"/>
    <w:uiPriority w:val="99"/>
    <w:semiHidden/>
    <w:unhideWhenUsed/>
    <w:rsid w:val="002E6F1C"/>
  </w:style>
  <w:style w:type="numbering" w:customStyle="1" w:styleId="Sinlista351">
    <w:name w:val="Sin lista351"/>
    <w:next w:val="NoList"/>
    <w:uiPriority w:val="99"/>
    <w:semiHidden/>
    <w:unhideWhenUsed/>
    <w:rsid w:val="002E6F1C"/>
  </w:style>
  <w:style w:type="numbering" w:customStyle="1" w:styleId="Sinlista451">
    <w:name w:val="Sin lista451"/>
    <w:next w:val="NoList"/>
    <w:uiPriority w:val="99"/>
    <w:semiHidden/>
    <w:unhideWhenUsed/>
    <w:rsid w:val="002E6F1C"/>
  </w:style>
  <w:style w:type="numbering" w:customStyle="1" w:styleId="Sinlista551">
    <w:name w:val="Sin lista551"/>
    <w:next w:val="NoList"/>
    <w:uiPriority w:val="99"/>
    <w:semiHidden/>
    <w:unhideWhenUsed/>
    <w:rsid w:val="002E6F1C"/>
  </w:style>
  <w:style w:type="numbering" w:customStyle="1" w:styleId="Sinlista1141">
    <w:name w:val="Sin lista1141"/>
    <w:next w:val="NoList"/>
    <w:uiPriority w:val="99"/>
    <w:semiHidden/>
    <w:unhideWhenUsed/>
    <w:rsid w:val="002E6F1C"/>
  </w:style>
  <w:style w:type="numbering" w:customStyle="1" w:styleId="Sinlista2141">
    <w:name w:val="Sin lista2141"/>
    <w:next w:val="NoList"/>
    <w:uiPriority w:val="99"/>
    <w:semiHidden/>
    <w:unhideWhenUsed/>
    <w:rsid w:val="002E6F1C"/>
  </w:style>
  <w:style w:type="numbering" w:customStyle="1" w:styleId="Sinlista3141">
    <w:name w:val="Sin lista3141"/>
    <w:next w:val="NoList"/>
    <w:uiPriority w:val="99"/>
    <w:semiHidden/>
    <w:unhideWhenUsed/>
    <w:rsid w:val="002E6F1C"/>
  </w:style>
  <w:style w:type="numbering" w:customStyle="1" w:styleId="Sinlista4141">
    <w:name w:val="Sin lista4141"/>
    <w:next w:val="NoList"/>
    <w:uiPriority w:val="99"/>
    <w:semiHidden/>
    <w:unhideWhenUsed/>
    <w:rsid w:val="002E6F1C"/>
  </w:style>
  <w:style w:type="numbering" w:customStyle="1" w:styleId="Sinlista5141">
    <w:name w:val="Sin lista5141"/>
    <w:next w:val="NoList"/>
    <w:uiPriority w:val="99"/>
    <w:semiHidden/>
    <w:unhideWhenUsed/>
    <w:rsid w:val="002E6F1C"/>
  </w:style>
  <w:style w:type="numbering" w:customStyle="1" w:styleId="Sinlista631">
    <w:name w:val="Sin lista631"/>
    <w:next w:val="NoList"/>
    <w:uiPriority w:val="99"/>
    <w:semiHidden/>
    <w:unhideWhenUsed/>
    <w:rsid w:val="002E6F1C"/>
  </w:style>
  <w:style w:type="numbering" w:customStyle="1" w:styleId="Sinlista1231">
    <w:name w:val="Sin lista1231"/>
    <w:next w:val="NoList"/>
    <w:uiPriority w:val="99"/>
    <w:semiHidden/>
    <w:unhideWhenUsed/>
    <w:rsid w:val="002E6F1C"/>
  </w:style>
  <w:style w:type="numbering" w:customStyle="1" w:styleId="Sinlista11141">
    <w:name w:val="Sin lista11141"/>
    <w:next w:val="NoList"/>
    <w:uiPriority w:val="99"/>
    <w:semiHidden/>
    <w:unhideWhenUsed/>
    <w:rsid w:val="002E6F1C"/>
  </w:style>
  <w:style w:type="numbering" w:customStyle="1" w:styleId="Sinlista2231">
    <w:name w:val="Sin lista2231"/>
    <w:next w:val="NoList"/>
    <w:uiPriority w:val="99"/>
    <w:semiHidden/>
    <w:unhideWhenUsed/>
    <w:rsid w:val="002E6F1C"/>
  </w:style>
  <w:style w:type="numbering" w:customStyle="1" w:styleId="Sinlista3231">
    <w:name w:val="Sin lista3231"/>
    <w:next w:val="NoList"/>
    <w:uiPriority w:val="99"/>
    <w:semiHidden/>
    <w:unhideWhenUsed/>
    <w:rsid w:val="002E6F1C"/>
  </w:style>
  <w:style w:type="numbering" w:customStyle="1" w:styleId="Sinlista4231">
    <w:name w:val="Sin lista4231"/>
    <w:next w:val="NoList"/>
    <w:uiPriority w:val="99"/>
    <w:semiHidden/>
    <w:unhideWhenUsed/>
    <w:rsid w:val="002E6F1C"/>
  </w:style>
  <w:style w:type="numbering" w:customStyle="1" w:styleId="Sinlista5231">
    <w:name w:val="Sin lista5231"/>
    <w:next w:val="NoList"/>
    <w:uiPriority w:val="99"/>
    <w:semiHidden/>
    <w:unhideWhenUsed/>
    <w:rsid w:val="002E6F1C"/>
  </w:style>
  <w:style w:type="numbering" w:customStyle="1" w:styleId="Sinlista111141">
    <w:name w:val="Sin lista111141"/>
    <w:next w:val="NoList"/>
    <w:uiPriority w:val="99"/>
    <w:semiHidden/>
    <w:unhideWhenUsed/>
    <w:rsid w:val="002E6F1C"/>
  </w:style>
  <w:style w:type="numbering" w:customStyle="1" w:styleId="Sinlista21141">
    <w:name w:val="Sin lista21141"/>
    <w:next w:val="NoList"/>
    <w:uiPriority w:val="99"/>
    <w:semiHidden/>
    <w:unhideWhenUsed/>
    <w:rsid w:val="002E6F1C"/>
  </w:style>
  <w:style w:type="numbering" w:customStyle="1" w:styleId="Sinlista31141">
    <w:name w:val="Sin lista31141"/>
    <w:next w:val="NoList"/>
    <w:uiPriority w:val="99"/>
    <w:semiHidden/>
    <w:unhideWhenUsed/>
    <w:rsid w:val="002E6F1C"/>
  </w:style>
  <w:style w:type="numbering" w:customStyle="1" w:styleId="Sinlista41141">
    <w:name w:val="Sin lista41141"/>
    <w:next w:val="NoList"/>
    <w:uiPriority w:val="99"/>
    <w:semiHidden/>
    <w:unhideWhenUsed/>
    <w:rsid w:val="002E6F1C"/>
  </w:style>
  <w:style w:type="numbering" w:customStyle="1" w:styleId="Sinlista51141">
    <w:name w:val="Sin lista51141"/>
    <w:next w:val="NoList"/>
    <w:uiPriority w:val="99"/>
    <w:semiHidden/>
    <w:unhideWhenUsed/>
    <w:rsid w:val="002E6F1C"/>
  </w:style>
  <w:style w:type="numbering" w:customStyle="1" w:styleId="Sinlista1111131">
    <w:name w:val="Sin lista1111131"/>
    <w:next w:val="NoList"/>
    <w:uiPriority w:val="99"/>
    <w:semiHidden/>
    <w:unhideWhenUsed/>
    <w:rsid w:val="002E6F1C"/>
  </w:style>
  <w:style w:type="numbering" w:customStyle="1" w:styleId="Sinlista211131">
    <w:name w:val="Sin lista211131"/>
    <w:next w:val="NoList"/>
    <w:uiPriority w:val="99"/>
    <w:semiHidden/>
    <w:unhideWhenUsed/>
    <w:rsid w:val="002E6F1C"/>
  </w:style>
  <w:style w:type="numbering" w:customStyle="1" w:styleId="Sinlista311131">
    <w:name w:val="Sin lista311131"/>
    <w:next w:val="NoList"/>
    <w:uiPriority w:val="99"/>
    <w:semiHidden/>
    <w:unhideWhenUsed/>
    <w:rsid w:val="002E6F1C"/>
  </w:style>
  <w:style w:type="numbering" w:customStyle="1" w:styleId="Sinlista411131">
    <w:name w:val="Sin lista411131"/>
    <w:next w:val="NoList"/>
    <w:uiPriority w:val="99"/>
    <w:semiHidden/>
    <w:unhideWhenUsed/>
    <w:rsid w:val="002E6F1C"/>
  </w:style>
  <w:style w:type="numbering" w:customStyle="1" w:styleId="Sinlista511131">
    <w:name w:val="Sin lista511131"/>
    <w:next w:val="NoList"/>
    <w:uiPriority w:val="99"/>
    <w:semiHidden/>
    <w:unhideWhenUsed/>
    <w:rsid w:val="002E6F1C"/>
  </w:style>
  <w:style w:type="numbering" w:customStyle="1" w:styleId="Sinlista711">
    <w:name w:val="Sin lista711"/>
    <w:next w:val="NoList"/>
    <w:uiPriority w:val="99"/>
    <w:semiHidden/>
    <w:unhideWhenUsed/>
    <w:rsid w:val="002E6F1C"/>
  </w:style>
  <w:style w:type="numbering" w:customStyle="1" w:styleId="Sinlista1311">
    <w:name w:val="Sin lista1311"/>
    <w:next w:val="NoList"/>
    <w:uiPriority w:val="99"/>
    <w:semiHidden/>
    <w:unhideWhenUsed/>
    <w:rsid w:val="002E6F1C"/>
  </w:style>
  <w:style w:type="numbering" w:customStyle="1" w:styleId="Sinlista2311">
    <w:name w:val="Sin lista2311"/>
    <w:next w:val="NoList"/>
    <w:uiPriority w:val="99"/>
    <w:semiHidden/>
    <w:unhideWhenUsed/>
    <w:rsid w:val="002E6F1C"/>
  </w:style>
  <w:style w:type="numbering" w:customStyle="1" w:styleId="Sinlista3311">
    <w:name w:val="Sin lista3311"/>
    <w:next w:val="NoList"/>
    <w:uiPriority w:val="99"/>
    <w:semiHidden/>
    <w:unhideWhenUsed/>
    <w:rsid w:val="002E6F1C"/>
  </w:style>
  <w:style w:type="numbering" w:customStyle="1" w:styleId="Sinlista4311">
    <w:name w:val="Sin lista4311"/>
    <w:next w:val="NoList"/>
    <w:uiPriority w:val="99"/>
    <w:semiHidden/>
    <w:unhideWhenUsed/>
    <w:rsid w:val="002E6F1C"/>
  </w:style>
  <w:style w:type="numbering" w:customStyle="1" w:styleId="Sinlista5311">
    <w:name w:val="Sin lista5311"/>
    <w:next w:val="NoList"/>
    <w:uiPriority w:val="99"/>
    <w:semiHidden/>
    <w:unhideWhenUsed/>
    <w:rsid w:val="002E6F1C"/>
  </w:style>
  <w:style w:type="numbering" w:customStyle="1" w:styleId="Sinlista11211">
    <w:name w:val="Sin lista11211"/>
    <w:next w:val="NoList"/>
    <w:uiPriority w:val="99"/>
    <w:semiHidden/>
    <w:unhideWhenUsed/>
    <w:rsid w:val="002E6F1C"/>
  </w:style>
  <w:style w:type="numbering" w:customStyle="1" w:styleId="Sinlista21211">
    <w:name w:val="Sin lista21211"/>
    <w:next w:val="NoList"/>
    <w:uiPriority w:val="99"/>
    <w:semiHidden/>
    <w:unhideWhenUsed/>
    <w:rsid w:val="002E6F1C"/>
  </w:style>
  <w:style w:type="numbering" w:customStyle="1" w:styleId="Sinlista31211">
    <w:name w:val="Sin lista31211"/>
    <w:next w:val="NoList"/>
    <w:uiPriority w:val="99"/>
    <w:semiHidden/>
    <w:unhideWhenUsed/>
    <w:rsid w:val="002E6F1C"/>
  </w:style>
  <w:style w:type="numbering" w:customStyle="1" w:styleId="Sinlista41211">
    <w:name w:val="Sin lista41211"/>
    <w:next w:val="NoList"/>
    <w:uiPriority w:val="99"/>
    <w:semiHidden/>
    <w:unhideWhenUsed/>
    <w:rsid w:val="002E6F1C"/>
  </w:style>
  <w:style w:type="numbering" w:customStyle="1" w:styleId="Sinlista51211">
    <w:name w:val="Sin lista51211"/>
    <w:next w:val="NoList"/>
    <w:uiPriority w:val="99"/>
    <w:semiHidden/>
    <w:unhideWhenUsed/>
    <w:rsid w:val="002E6F1C"/>
  </w:style>
  <w:style w:type="numbering" w:customStyle="1" w:styleId="Sinlista6111">
    <w:name w:val="Sin lista6111"/>
    <w:next w:val="NoList"/>
    <w:uiPriority w:val="99"/>
    <w:semiHidden/>
    <w:unhideWhenUsed/>
    <w:rsid w:val="002E6F1C"/>
  </w:style>
  <w:style w:type="numbering" w:customStyle="1" w:styleId="Sinlista12111">
    <w:name w:val="Sin lista12111"/>
    <w:next w:val="NoList"/>
    <w:uiPriority w:val="99"/>
    <w:semiHidden/>
    <w:unhideWhenUsed/>
    <w:rsid w:val="002E6F1C"/>
  </w:style>
  <w:style w:type="numbering" w:customStyle="1" w:styleId="Sinlista111211">
    <w:name w:val="Sin lista111211"/>
    <w:next w:val="NoList"/>
    <w:uiPriority w:val="99"/>
    <w:semiHidden/>
    <w:unhideWhenUsed/>
    <w:rsid w:val="002E6F1C"/>
  </w:style>
  <w:style w:type="numbering" w:customStyle="1" w:styleId="Sinlista22111">
    <w:name w:val="Sin lista22111"/>
    <w:next w:val="NoList"/>
    <w:uiPriority w:val="99"/>
    <w:semiHidden/>
    <w:unhideWhenUsed/>
    <w:rsid w:val="002E6F1C"/>
  </w:style>
  <w:style w:type="numbering" w:customStyle="1" w:styleId="Sinlista32111">
    <w:name w:val="Sin lista32111"/>
    <w:next w:val="NoList"/>
    <w:uiPriority w:val="99"/>
    <w:semiHidden/>
    <w:unhideWhenUsed/>
    <w:rsid w:val="002E6F1C"/>
  </w:style>
  <w:style w:type="numbering" w:customStyle="1" w:styleId="Sinlista42111">
    <w:name w:val="Sin lista42111"/>
    <w:next w:val="NoList"/>
    <w:uiPriority w:val="99"/>
    <w:semiHidden/>
    <w:unhideWhenUsed/>
    <w:rsid w:val="002E6F1C"/>
  </w:style>
  <w:style w:type="numbering" w:customStyle="1" w:styleId="Sinlista52111">
    <w:name w:val="Sin lista52111"/>
    <w:next w:val="NoList"/>
    <w:uiPriority w:val="99"/>
    <w:semiHidden/>
    <w:unhideWhenUsed/>
    <w:rsid w:val="002E6F1C"/>
  </w:style>
  <w:style w:type="numbering" w:customStyle="1" w:styleId="Sinlista1111211">
    <w:name w:val="Sin lista1111211"/>
    <w:next w:val="NoList"/>
    <w:uiPriority w:val="99"/>
    <w:semiHidden/>
    <w:unhideWhenUsed/>
    <w:rsid w:val="002E6F1C"/>
  </w:style>
  <w:style w:type="numbering" w:customStyle="1" w:styleId="Sinlista211211">
    <w:name w:val="Sin lista211211"/>
    <w:next w:val="NoList"/>
    <w:uiPriority w:val="99"/>
    <w:semiHidden/>
    <w:unhideWhenUsed/>
    <w:rsid w:val="002E6F1C"/>
  </w:style>
  <w:style w:type="numbering" w:customStyle="1" w:styleId="Sinlista311211">
    <w:name w:val="Sin lista311211"/>
    <w:next w:val="NoList"/>
    <w:uiPriority w:val="99"/>
    <w:semiHidden/>
    <w:unhideWhenUsed/>
    <w:rsid w:val="002E6F1C"/>
  </w:style>
  <w:style w:type="numbering" w:customStyle="1" w:styleId="Sinlista411211">
    <w:name w:val="Sin lista411211"/>
    <w:next w:val="NoList"/>
    <w:uiPriority w:val="99"/>
    <w:semiHidden/>
    <w:unhideWhenUsed/>
    <w:rsid w:val="002E6F1C"/>
  </w:style>
  <w:style w:type="numbering" w:customStyle="1" w:styleId="Sinlista511211">
    <w:name w:val="Sin lista511211"/>
    <w:next w:val="NoList"/>
    <w:uiPriority w:val="99"/>
    <w:semiHidden/>
    <w:unhideWhenUsed/>
    <w:rsid w:val="002E6F1C"/>
  </w:style>
  <w:style w:type="numbering" w:customStyle="1" w:styleId="Sinlista11111111">
    <w:name w:val="Sin lista11111111"/>
    <w:next w:val="NoList"/>
    <w:uiPriority w:val="99"/>
    <w:semiHidden/>
    <w:unhideWhenUsed/>
    <w:rsid w:val="002E6F1C"/>
  </w:style>
  <w:style w:type="numbering" w:customStyle="1" w:styleId="Sinlista2111111">
    <w:name w:val="Sin lista2111111"/>
    <w:next w:val="NoList"/>
    <w:uiPriority w:val="99"/>
    <w:semiHidden/>
    <w:unhideWhenUsed/>
    <w:rsid w:val="002E6F1C"/>
  </w:style>
  <w:style w:type="numbering" w:customStyle="1" w:styleId="Sinlista3111111">
    <w:name w:val="Sin lista3111111"/>
    <w:next w:val="NoList"/>
    <w:uiPriority w:val="99"/>
    <w:semiHidden/>
    <w:unhideWhenUsed/>
    <w:rsid w:val="002E6F1C"/>
  </w:style>
  <w:style w:type="numbering" w:customStyle="1" w:styleId="Sinlista4111111">
    <w:name w:val="Sin lista4111111"/>
    <w:next w:val="NoList"/>
    <w:uiPriority w:val="99"/>
    <w:semiHidden/>
    <w:unhideWhenUsed/>
    <w:rsid w:val="002E6F1C"/>
  </w:style>
  <w:style w:type="numbering" w:customStyle="1" w:styleId="Sinlista5111111">
    <w:name w:val="Sin lista5111111"/>
    <w:next w:val="NoList"/>
    <w:uiPriority w:val="99"/>
    <w:semiHidden/>
    <w:unhideWhenUsed/>
    <w:rsid w:val="002E6F1C"/>
  </w:style>
  <w:style w:type="numbering" w:customStyle="1" w:styleId="Estiloimportado110">
    <w:name w:val="Estilo importado 110"/>
    <w:rsid w:val="002E6F1C"/>
  </w:style>
  <w:style w:type="numbering" w:customStyle="1" w:styleId="Estiloimportado21">
    <w:name w:val="Estilo importado 21"/>
    <w:rsid w:val="002E6F1C"/>
  </w:style>
  <w:style w:type="numbering" w:customStyle="1" w:styleId="Estiloimportado31">
    <w:name w:val="Estilo importado 31"/>
    <w:rsid w:val="002E6F1C"/>
  </w:style>
  <w:style w:type="numbering" w:customStyle="1" w:styleId="Estiloimportado41">
    <w:name w:val="Estilo importado 41"/>
    <w:rsid w:val="002E6F1C"/>
  </w:style>
  <w:style w:type="numbering" w:customStyle="1" w:styleId="Estiloimportado51">
    <w:name w:val="Estilo importado 51"/>
    <w:rsid w:val="002E6F1C"/>
  </w:style>
  <w:style w:type="numbering" w:customStyle="1" w:styleId="Estiloimportado61">
    <w:name w:val="Estilo importado 61"/>
    <w:rsid w:val="002E6F1C"/>
  </w:style>
  <w:style w:type="numbering" w:customStyle="1" w:styleId="Estiloimportado71">
    <w:name w:val="Estilo importado 71"/>
    <w:rsid w:val="002E6F1C"/>
  </w:style>
  <w:style w:type="numbering" w:customStyle="1" w:styleId="Estiloimportado81">
    <w:name w:val="Estilo importado 81"/>
    <w:rsid w:val="002E6F1C"/>
  </w:style>
  <w:style w:type="numbering" w:customStyle="1" w:styleId="Estiloimportado91">
    <w:name w:val="Estilo importado 91"/>
    <w:rsid w:val="002E6F1C"/>
  </w:style>
  <w:style w:type="numbering" w:customStyle="1" w:styleId="Estiloimportado101">
    <w:name w:val="Estilo importado 101"/>
    <w:rsid w:val="002E6F1C"/>
  </w:style>
  <w:style w:type="numbering" w:customStyle="1" w:styleId="Estiloimportado111">
    <w:name w:val="Estilo importado 111"/>
    <w:rsid w:val="002E6F1C"/>
  </w:style>
  <w:style w:type="numbering" w:customStyle="1" w:styleId="Estiloimportado121">
    <w:name w:val="Estilo importado 121"/>
    <w:rsid w:val="002E6F1C"/>
  </w:style>
  <w:style w:type="numbering" w:customStyle="1" w:styleId="Estiloimportado131">
    <w:name w:val="Estilo importado 131"/>
    <w:rsid w:val="002E6F1C"/>
  </w:style>
  <w:style w:type="numbering" w:customStyle="1" w:styleId="Estiloimportado141">
    <w:name w:val="Estilo importado 141"/>
    <w:rsid w:val="002E6F1C"/>
  </w:style>
  <w:style w:type="numbering" w:customStyle="1" w:styleId="Estiloimportado151">
    <w:name w:val="Estilo importado 151"/>
    <w:rsid w:val="002E6F1C"/>
  </w:style>
  <w:style w:type="numbering" w:customStyle="1" w:styleId="Estiloimportado2031">
    <w:name w:val="Estilo importado 2031"/>
    <w:rsid w:val="002E6F1C"/>
  </w:style>
  <w:style w:type="numbering" w:customStyle="1" w:styleId="Estiloimportado161">
    <w:name w:val="Estilo importado 161"/>
    <w:rsid w:val="002E6F1C"/>
  </w:style>
  <w:style w:type="numbering" w:customStyle="1" w:styleId="Estiloimportado171">
    <w:name w:val="Estilo importado 171"/>
    <w:rsid w:val="002E6F1C"/>
  </w:style>
  <w:style w:type="numbering" w:customStyle="1" w:styleId="Estiloimportado181">
    <w:name w:val="Estilo importado 181"/>
    <w:rsid w:val="002E6F1C"/>
  </w:style>
  <w:style w:type="numbering" w:customStyle="1" w:styleId="Estiloimportado191">
    <w:name w:val="Estilo importado 191"/>
    <w:rsid w:val="002E6F1C"/>
  </w:style>
  <w:style w:type="numbering" w:customStyle="1" w:styleId="Estiloimportado201">
    <w:name w:val="Estilo importado 201"/>
    <w:rsid w:val="002E6F1C"/>
  </w:style>
  <w:style w:type="paragraph" w:styleId="Revision">
    <w:name w:val="Revision"/>
    <w:hidden/>
    <w:uiPriority w:val="99"/>
    <w:semiHidden/>
    <w:rsid w:val="002E6F1C"/>
    <w:rPr>
      <w:sz w:val="24"/>
      <w:lang w:eastAsia="en-US"/>
    </w:rPr>
  </w:style>
  <w:style w:type="numbering" w:customStyle="1" w:styleId="Sinlista17">
    <w:name w:val="Sin lista17"/>
    <w:next w:val="NoList"/>
    <w:uiPriority w:val="99"/>
    <w:semiHidden/>
    <w:unhideWhenUsed/>
    <w:rsid w:val="00033B43"/>
  </w:style>
  <w:style w:type="numbering" w:customStyle="1" w:styleId="Sinlista18">
    <w:name w:val="Sin lista18"/>
    <w:next w:val="NoList"/>
    <w:uiPriority w:val="99"/>
    <w:semiHidden/>
    <w:unhideWhenUsed/>
    <w:rsid w:val="00033B43"/>
  </w:style>
  <w:style w:type="numbering" w:customStyle="1" w:styleId="Sinlista27">
    <w:name w:val="Sin lista27"/>
    <w:next w:val="NoList"/>
    <w:uiPriority w:val="99"/>
    <w:semiHidden/>
    <w:unhideWhenUsed/>
    <w:rsid w:val="00033B43"/>
  </w:style>
  <w:style w:type="numbering" w:customStyle="1" w:styleId="Sinlista37">
    <w:name w:val="Sin lista37"/>
    <w:next w:val="NoList"/>
    <w:uiPriority w:val="99"/>
    <w:semiHidden/>
    <w:unhideWhenUsed/>
    <w:rsid w:val="00033B43"/>
  </w:style>
  <w:style w:type="numbering" w:customStyle="1" w:styleId="Sinlista47">
    <w:name w:val="Sin lista47"/>
    <w:next w:val="NoList"/>
    <w:uiPriority w:val="99"/>
    <w:semiHidden/>
    <w:unhideWhenUsed/>
    <w:rsid w:val="00033B43"/>
  </w:style>
  <w:style w:type="numbering" w:customStyle="1" w:styleId="Sinlista57">
    <w:name w:val="Sin lista57"/>
    <w:next w:val="NoList"/>
    <w:uiPriority w:val="99"/>
    <w:semiHidden/>
    <w:unhideWhenUsed/>
    <w:rsid w:val="00033B43"/>
  </w:style>
  <w:style w:type="numbering" w:customStyle="1" w:styleId="Sinlista116">
    <w:name w:val="Sin lista116"/>
    <w:next w:val="NoList"/>
    <w:uiPriority w:val="99"/>
    <w:semiHidden/>
    <w:unhideWhenUsed/>
    <w:rsid w:val="00033B43"/>
  </w:style>
  <w:style w:type="numbering" w:customStyle="1" w:styleId="Sinlista216">
    <w:name w:val="Sin lista216"/>
    <w:next w:val="NoList"/>
    <w:uiPriority w:val="99"/>
    <w:semiHidden/>
    <w:unhideWhenUsed/>
    <w:rsid w:val="00033B43"/>
  </w:style>
  <w:style w:type="numbering" w:customStyle="1" w:styleId="Sinlista316">
    <w:name w:val="Sin lista316"/>
    <w:next w:val="NoList"/>
    <w:uiPriority w:val="99"/>
    <w:semiHidden/>
    <w:unhideWhenUsed/>
    <w:rsid w:val="00033B43"/>
  </w:style>
  <w:style w:type="numbering" w:customStyle="1" w:styleId="Sinlista416">
    <w:name w:val="Sin lista416"/>
    <w:next w:val="NoList"/>
    <w:uiPriority w:val="99"/>
    <w:semiHidden/>
    <w:unhideWhenUsed/>
    <w:rsid w:val="00033B43"/>
  </w:style>
  <w:style w:type="numbering" w:customStyle="1" w:styleId="Sinlista516">
    <w:name w:val="Sin lista516"/>
    <w:next w:val="NoList"/>
    <w:uiPriority w:val="99"/>
    <w:semiHidden/>
    <w:unhideWhenUsed/>
    <w:rsid w:val="00033B43"/>
  </w:style>
  <w:style w:type="numbering" w:customStyle="1" w:styleId="Sinlista65">
    <w:name w:val="Sin lista65"/>
    <w:next w:val="NoList"/>
    <w:uiPriority w:val="99"/>
    <w:semiHidden/>
    <w:unhideWhenUsed/>
    <w:rsid w:val="00033B43"/>
  </w:style>
  <w:style w:type="numbering" w:customStyle="1" w:styleId="Sinlista125">
    <w:name w:val="Sin lista125"/>
    <w:next w:val="NoList"/>
    <w:uiPriority w:val="99"/>
    <w:semiHidden/>
    <w:unhideWhenUsed/>
    <w:rsid w:val="00033B43"/>
  </w:style>
  <w:style w:type="numbering" w:customStyle="1" w:styleId="Sinlista1116">
    <w:name w:val="Sin lista1116"/>
    <w:next w:val="NoList"/>
    <w:uiPriority w:val="99"/>
    <w:semiHidden/>
    <w:unhideWhenUsed/>
    <w:rsid w:val="00033B43"/>
  </w:style>
  <w:style w:type="numbering" w:customStyle="1" w:styleId="Sinlista225">
    <w:name w:val="Sin lista225"/>
    <w:next w:val="NoList"/>
    <w:uiPriority w:val="99"/>
    <w:semiHidden/>
    <w:unhideWhenUsed/>
    <w:rsid w:val="00033B43"/>
  </w:style>
  <w:style w:type="numbering" w:customStyle="1" w:styleId="Sinlista325">
    <w:name w:val="Sin lista325"/>
    <w:next w:val="NoList"/>
    <w:uiPriority w:val="99"/>
    <w:semiHidden/>
    <w:unhideWhenUsed/>
    <w:rsid w:val="00033B43"/>
  </w:style>
  <w:style w:type="numbering" w:customStyle="1" w:styleId="Sinlista425">
    <w:name w:val="Sin lista425"/>
    <w:next w:val="NoList"/>
    <w:uiPriority w:val="99"/>
    <w:semiHidden/>
    <w:unhideWhenUsed/>
    <w:rsid w:val="00033B43"/>
  </w:style>
  <w:style w:type="numbering" w:customStyle="1" w:styleId="Sinlista525">
    <w:name w:val="Sin lista525"/>
    <w:next w:val="NoList"/>
    <w:uiPriority w:val="99"/>
    <w:semiHidden/>
    <w:unhideWhenUsed/>
    <w:rsid w:val="00033B43"/>
  </w:style>
  <w:style w:type="numbering" w:customStyle="1" w:styleId="Sinlista11116">
    <w:name w:val="Sin lista11116"/>
    <w:next w:val="NoList"/>
    <w:uiPriority w:val="99"/>
    <w:semiHidden/>
    <w:unhideWhenUsed/>
    <w:rsid w:val="00033B43"/>
  </w:style>
  <w:style w:type="numbering" w:customStyle="1" w:styleId="Sinlista2116">
    <w:name w:val="Sin lista2116"/>
    <w:next w:val="NoList"/>
    <w:uiPriority w:val="99"/>
    <w:semiHidden/>
    <w:unhideWhenUsed/>
    <w:rsid w:val="00033B43"/>
  </w:style>
  <w:style w:type="numbering" w:customStyle="1" w:styleId="Sinlista3116">
    <w:name w:val="Sin lista3116"/>
    <w:next w:val="NoList"/>
    <w:uiPriority w:val="99"/>
    <w:semiHidden/>
    <w:unhideWhenUsed/>
    <w:rsid w:val="00033B43"/>
  </w:style>
  <w:style w:type="numbering" w:customStyle="1" w:styleId="Sinlista4116">
    <w:name w:val="Sin lista4116"/>
    <w:next w:val="NoList"/>
    <w:uiPriority w:val="99"/>
    <w:semiHidden/>
    <w:unhideWhenUsed/>
    <w:rsid w:val="00033B43"/>
  </w:style>
  <w:style w:type="numbering" w:customStyle="1" w:styleId="Sinlista5116">
    <w:name w:val="Sin lista5116"/>
    <w:next w:val="NoList"/>
    <w:uiPriority w:val="99"/>
    <w:semiHidden/>
    <w:unhideWhenUsed/>
    <w:rsid w:val="00033B43"/>
  </w:style>
  <w:style w:type="numbering" w:customStyle="1" w:styleId="Sinlista111115">
    <w:name w:val="Sin lista111115"/>
    <w:next w:val="NoList"/>
    <w:uiPriority w:val="99"/>
    <w:semiHidden/>
    <w:unhideWhenUsed/>
    <w:rsid w:val="00033B43"/>
  </w:style>
  <w:style w:type="numbering" w:customStyle="1" w:styleId="Sinlista21115">
    <w:name w:val="Sin lista21115"/>
    <w:next w:val="NoList"/>
    <w:uiPriority w:val="99"/>
    <w:semiHidden/>
    <w:unhideWhenUsed/>
    <w:rsid w:val="00033B43"/>
  </w:style>
  <w:style w:type="numbering" w:customStyle="1" w:styleId="Sinlista31115">
    <w:name w:val="Sin lista31115"/>
    <w:next w:val="NoList"/>
    <w:uiPriority w:val="99"/>
    <w:semiHidden/>
    <w:unhideWhenUsed/>
    <w:rsid w:val="00033B43"/>
  </w:style>
  <w:style w:type="numbering" w:customStyle="1" w:styleId="Sinlista41115">
    <w:name w:val="Sin lista41115"/>
    <w:next w:val="NoList"/>
    <w:uiPriority w:val="99"/>
    <w:semiHidden/>
    <w:unhideWhenUsed/>
    <w:rsid w:val="00033B43"/>
  </w:style>
  <w:style w:type="numbering" w:customStyle="1" w:styleId="Sinlista51115">
    <w:name w:val="Sin lista51115"/>
    <w:next w:val="NoList"/>
    <w:uiPriority w:val="99"/>
    <w:semiHidden/>
    <w:unhideWhenUsed/>
    <w:rsid w:val="00033B43"/>
  </w:style>
  <w:style w:type="numbering" w:customStyle="1" w:styleId="Sinlista73">
    <w:name w:val="Sin lista73"/>
    <w:next w:val="NoList"/>
    <w:uiPriority w:val="99"/>
    <w:semiHidden/>
    <w:unhideWhenUsed/>
    <w:rsid w:val="00033B43"/>
  </w:style>
  <w:style w:type="numbering" w:customStyle="1" w:styleId="Sinlista133">
    <w:name w:val="Sin lista133"/>
    <w:next w:val="NoList"/>
    <w:uiPriority w:val="99"/>
    <w:semiHidden/>
    <w:unhideWhenUsed/>
    <w:rsid w:val="00033B43"/>
  </w:style>
  <w:style w:type="numbering" w:customStyle="1" w:styleId="Sinlista233">
    <w:name w:val="Sin lista233"/>
    <w:next w:val="NoList"/>
    <w:uiPriority w:val="99"/>
    <w:semiHidden/>
    <w:unhideWhenUsed/>
    <w:rsid w:val="00033B43"/>
  </w:style>
  <w:style w:type="numbering" w:customStyle="1" w:styleId="Sinlista333">
    <w:name w:val="Sin lista333"/>
    <w:next w:val="NoList"/>
    <w:uiPriority w:val="99"/>
    <w:semiHidden/>
    <w:unhideWhenUsed/>
    <w:rsid w:val="00033B43"/>
  </w:style>
  <w:style w:type="numbering" w:customStyle="1" w:styleId="Sinlista433">
    <w:name w:val="Sin lista433"/>
    <w:next w:val="NoList"/>
    <w:uiPriority w:val="99"/>
    <w:semiHidden/>
    <w:unhideWhenUsed/>
    <w:rsid w:val="00033B43"/>
  </w:style>
  <w:style w:type="numbering" w:customStyle="1" w:styleId="Sinlista533">
    <w:name w:val="Sin lista533"/>
    <w:next w:val="NoList"/>
    <w:uiPriority w:val="99"/>
    <w:semiHidden/>
    <w:unhideWhenUsed/>
    <w:rsid w:val="00033B43"/>
  </w:style>
  <w:style w:type="numbering" w:customStyle="1" w:styleId="Sinlista1123">
    <w:name w:val="Sin lista1123"/>
    <w:next w:val="NoList"/>
    <w:uiPriority w:val="99"/>
    <w:semiHidden/>
    <w:unhideWhenUsed/>
    <w:rsid w:val="00033B43"/>
  </w:style>
  <w:style w:type="numbering" w:customStyle="1" w:styleId="Sinlista2123">
    <w:name w:val="Sin lista2123"/>
    <w:next w:val="NoList"/>
    <w:uiPriority w:val="99"/>
    <w:semiHidden/>
    <w:unhideWhenUsed/>
    <w:rsid w:val="00033B43"/>
  </w:style>
  <w:style w:type="numbering" w:customStyle="1" w:styleId="Sinlista3123">
    <w:name w:val="Sin lista3123"/>
    <w:next w:val="NoList"/>
    <w:uiPriority w:val="99"/>
    <w:semiHidden/>
    <w:unhideWhenUsed/>
    <w:rsid w:val="00033B43"/>
  </w:style>
  <w:style w:type="numbering" w:customStyle="1" w:styleId="Sinlista4123">
    <w:name w:val="Sin lista4123"/>
    <w:next w:val="NoList"/>
    <w:uiPriority w:val="99"/>
    <w:semiHidden/>
    <w:unhideWhenUsed/>
    <w:rsid w:val="00033B43"/>
  </w:style>
  <w:style w:type="numbering" w:customStyle="1" w:styleId="Sinlista5123">
    <w:name w:val="Sin lista5123"/>
    <w:next w:val="NoList"/>
    <w:uiPriority w:val="99"/>
    <w:semiHidden/>
    <w:unhideWhenUsed/>
    <w:rsid w:val="00033B43"/>
  </w:style>
  <w:style w:type="numbering" w:customStyle="1" w:styleId="Sinlista613">
    <w:name w:val="Sin lista613"/>
    <w:next w:val="NoList"/>
    <w:uiPriority w:val="99"/>
    <w:semiHidden/>
    <w:unhideWhenUsed/>
    <w:rsid w:val="00033B43"/>
  </w:style>
  <w:style w:type="numbering" w:customStyle="1" w:styleId="Sinlista1213">
    <w:name w:val="Sin lista1213"/>
    <w:next w:val="NoList"/>
    <w:uiPriority w:val="99"/>
    <w:semiHidden/>
    <w:unhideWhenUsed/>
    <w:rsid w:val="00033B43"/>
  </w:style>
  <w:style w:type="numbering" w:customStyle="1" w:styleId="Sinlista11123">
    <w:name w:val="Sin lista11123"/>
    <w:next w:val="NoList"/>
    <w:uiPriority w:val="99"/>
    <w:semiHidden/>
    <w:unhideWhenUsed/>
    <w:rsid w:val="00033B43"/>
  </w:style>
  <w:style w:type="numbering" w:customStyle="1" w:styleId="Sinlista2213">
    <w:name w:val="Sin lista2213"/>
    <w:next w:val="NoList"/>
    <w:uiPriority w:val="99"/>
    <w:semiHidden/>
    <w:unhideWhenUsed/>
    <w:rsid w:val="00033B43"/>
  </w:style>
  <w:style w:type="numbering" w:customStyle="1" w:styleId="Sinlista3213">
    <w:name w:val="Sin lista3213"/>
    <w:next w:val="NoList"/>
    <w:uiPriority w:val="99"/>
    <w:semiHidden/>
    <w:unhideWhenUsed/>
    <w:rsid w:val="00033B43"/>
  </w:style>
  <w:style w:type="numbering" w:customStyle="1" w:styleId="Sinlista4213">
    <w:name w:val="Sin lista4213"/>
    <w:next w:val="NoList"/>
    <w:uiPriority w:val="99"/>
    <w:semiHidden/>
    <w:unhideWhenUsed/>
    <w:rsid w:val="00033B43"/>
  </w:style>
  <w:style w:type="numbering" w:customStyle="1" w:styleId="Sinlista5213">
    <w:name w:val="Sin lista5213"/>
    <w:next w:val="NoList"/>
    <w:uiPriority w:val="99"/>
    <w:semiHidden/>
    <w:unhideWhenUsed/>
    <w:rsid w:val="00033B43"/>
  </w:style>
  <w:style w:type="numbering" w:customStyle="1" w:styleId="Sinlista111123">
    <w:name w:val="Sin lista111123"/>
    <w:next w:val="NoList"/>
    <w:uiPriority w:val="99"/>
    <w:semiHidden/>
    <w:unhideWhenUsed/>
    <w:rsid w:val="00033B43"/>
  </w:style>
  <w:style w:type="numbering" w:customStyle="1" w:styleId="Sinlista21123">
    <w:name w:val="Sin lista21123"/>
    <w:next w:val="NoList"/>
    <w:uiPriority w:val="99"/>
    <w:semiHidden/>
    <w:unhideWhenUsed/>
    <w:rsid w:val="00033B43"/>
  </w:style>
  <w:style w:type="numbering" w:customStyle="1" w:styleId="Sinlista31123">
    <w:name w:val="Sin lista31123"/>
    <w:next w:val="NoList"/>
    <w:uiPriority w:val="99"/>
    <w:semiHidden/>
    <w:unhideWhenUsed/>
    <w:rsid w:val="00033B43"/>
  </w:style>
  <w:style w:type="numbering" w:customStyle="1" w:styleId="Sinlista41123">
    <w:name w:val="Sin lista41123"/>
    <w:next w:val="NoList"/>
    <w:uiPriority w:val="99"/>
    <w:semiHidden/>
    <w:unhideWhenUsed/>
    <w:rsid w:val="00033B43"/>
  </w:style>
  <w:style w:type="numbering" w:customStyle="1" w:styleId="Sinlista51123">
    <w:name w:val="Sin lista51123"/>
    <w:next w:val="NoList"/>
    <w:uiPriority w:val="99"/>
    <w:semiHidden/>
    <w:unhideWhenUsed/>
    <w:rsid w:val="00033B43"/>
  </w:style>
  <w:style w:type="numbering" w:customStyle="1" w:styleId="Sinlista1111113">
    <w:name w:val="Sin lista1111113"/>
    <w:next w:val="NoList"/>
    <w:uiPriority w:val="99"/>
    <w:semiHidden/>
    <w:unhideWhenUsed/>
    <w:rsid w:val="00033B43"/>
  </w:style>
  <w:style w:type="numbering" w:customStyle="1" w:styleId="Sinlista211113">
    <w:name w:val="Sin lista211113"/>
    <w:next w:val="NoList"/>
    <w:uiPriority w:val="99"/>
    <w:semiHidden/>
    <w:unhideWhenUsed/>
    <w:rsid w:val="00033B43"/>
  </w:style>
  <w:style w:type="numbering" w:customStyle="1" w:styleId="Sinlista311113">
    <w:name w:val="Sin lista311113"/>
    <w:next w:val="NoList"/>
    <w:uiPriority w:val="99"/>
    <w:semiHidden/>
    <w:unhideWhenUsed/>
    <w:rsid w:val="00033B43"/>
  </w:style>
  <w:style w:type="numbering" w:customStyle="1" w:styleId="Sinlista411113">
    <w:name w:val="Sin lista411113"/>
    <w:next w:val="NoList"/>
    <w:uiPriority w:val="99"/>
    <w:semiHidden/>
    <w:unhideWhenUsed/>
    <w:rsid w:val="00033B43"/>
  </w:style>
  <w:style w:type="numbering" w:customStyle="1" w:styleId="Sinlista511113">
    <w:name w:val="Sin lista511113"/>
    <w:next w:val="NoList"/>
    <w:uiPriority w:val="99"/>
    <w:semiHidden/>
    <w:unhideWhenUsed/>
    <w:rsid w:val="00033B43"/>
  </w:style>
  <w:style w:type="numbering" w:customStyle="1" w:styleId="Sinlista712">
    <w:name w:val="Sin lista712"/>
    <w:next w:val="NoList"/>
    <w:uiPriority w:val="99"/>
    <w:semiHidden/>
    <w:unhideWhenUsed/>
    <w:rsid w:val="00033B43"/>
  </w:style>
  <w:style w:type="numbering" w:customStyle="1" w:styleId="Sinlista1312">
    <w:name w:val="Sin lista1312"/>
    <w:next w:val="NoList"/>
    <w:uiPriority w:val="99"/>
    <w:semiHidden/>
    <w:unhideWhenUsed/>
    <w:rsid w:val="00033B43"/>
  </w:style>
  <w:style w:type="numbering" w:customStyle="1" w:styleId="Sinlista2312">
    <w:name w:val="Sin lista2312"/>
    <w:next w:val="NoList"/>
    <w:uiPriority w:val="99"/>
    <w:semiHidden/>
    <w:unhideWhenUsed/>
    <w:rsid w:val="00033B43"/>
  </w:style>
  <w:style w:type="numbering" w:customStyle="1" w:styleId="Sinlista3312">
    <w:name w:val="Sin lista3312"/>
    <w:next w:val="NoList"/>
    <w:uiPriority w:val="99"/>
    <w:semiHidden/>
    <w:unhideWhenUsed/>
    <w:rsid w:val="00033B43"/>
  </w:style>
  <w:style w:type="numbering" w:customStyle="1" w:styleId="Sinlista4312">
    <w:name w:val="Sin lista4312"/>
    <w:next w:val="NoList"/>
    <w:uiPriority w:val="99"/>
    <w:semiHidden/>
    <w:unhideWhenUsed/>
    <w:rsid w:val="00033B43"/>
  </w:style>
  <w:style w:type="numbering" w:customStyle="1" w:styleId="Sinlista5312">
    <w:name w:val="Sin lista5312"/>
    <w:next w:val="NoList"/>
    <w:uiPriority w:val="99"/>
    <w:semiHidden/>
    <w:unhideWhenUsed/>
    <w:rsid w:val="00033B43"/>
  </w:style>
  <w:style w:type="numbering" w:customStyle="1" w:styleId="Sinlista11212">
    <w:name w:val="Sin lista11212"/>
    <w:next w:val="NoList"/>
    <w:uiPriority w:val="99"/>
    <w:semiHidden/>
    <w:unhideWhenUsed/>
    <w:rsid w:val="00033B43"/>
  </w:style>
  <w:style w:type="numbering" w:customStyle="1" w:styleId="Sinlista21212">
    <w:name w:val="Sin lista21212"/>
    <w:next w:val="NoList"/>
    <w:uiPriority w:val="99"/>
    <w:semiHidden/>
    <w:unhideWhenUsed/>
    <w:rsid w:val="00033B43"/>
  </w:style>
  <w:style w:type="numbering" w:customStyle="1" w:styleId="Sinlista31212">
    <w:name w:val="Sin lista31212"/>
    <w:next w:val="NoList"/>
    <w:uiPriority w:val="99"/>
    <w:semiHidden/>
    <w:unhideWhenUsed/>
    <w:rsid w:val="00033B43"/>
  </w:style>
  <w:style w:type="numbering" w:customStyle="1" w:styleId="Sinlista41212">
    <w:name w:val="Sin lista41212"/>
    <w:next w:val="NoList"/>
    <w:uiPriority w:val="99"/>
    <w:semiHidden/>
    <w:unhideWhenUsed/>
    <w:rsid w:val="00033B43"/>
  </w:style>
  <w:style w:type="numbering" w:customStyle="1" w:styleId="Sinlista51212">
    <w:name w:val="Sin lista51212"/>
    <w:next w:val="NoList"/>
    <w:uiPriority w:val="99"/>
    <w:semiHidden/>
    <w:unhideWhenUsed/>
    <w:rsid w:val="00033B43"/>
  </w:style>
  <w:style w:type="numbering" w:customStyle="1" w:styleId="Sinlista6112">
    <w:name w:val="Sin lista6112"/>
    <w:next w:val="NoList"/>
    <w:uiPriority w:val="99"/>
    <w:semiHidden/>
    <w:unhideWhenUsed/>
    <w:rsid w:val="00033B43"/>
  </w:style>
  <w:style w:type="numbering" w:customStyle="1" w:styleId="Sinlista12112">
    <w:name w:val="Sin lista12112"/>
    <w:next w:val="NoList"/>
    <w:uiPriority w:val="99"/>
    <w:semiHidden/>
    <w:unhideWhenUsed/>
    <w:rsid w:val="00033B43"/>
  </w:style>
  <w:style w:type="numbering" w:customStyle="1" w:styleId="Sinlista111212">
    <w:name w:val="Sin lista111212"/>
    <w:next w:val="NoList"/>
    <w:uiPriority w:val="99"/>
    <w:semiHidden/>
    <w:unhideWhenUsed/>
    <w:rsid w:val="00033B43"/>
  </w:style>
  <w:style w:type="numbering" w:customStyle="1" w:styleId="Sinlista22112">
    <w:name w:val="Sin lista22112"/>
    <w:next w:val="NoList"/>
    <w:uiPriority w:val="99"/>
    <w:semiHidden/>
    <w:unhideWhenUsed/>
    <w:rsid w:val="00033B43"/>
  </w:style>
  <w:style w:type="numbering" w:customStyle="1" w:styleId="Sinlista32112">
    <w:name w:val="Sin lista32112"/>
    <w:next w:val="NoList"/>
    <w:uiPriority w:val="99"/>
    <w:semiHidden/>
    <w:unhideWhenUsed/>
    <w:rsid w:val="00033B43"/>
  </w:style>
  <w:style w:type="numbering" w:customStyle="1" w:styleId="Sinlista42112">
    <w:name w:val="Sin lista42112"/>
    <w:next w:val="NoList"/>
    <w:uiPriority w:val="99"/>
    <w:semiHidden/>
    <w:unhideWhenUsed/>
    <w:rsid w:val="00033B43"/>
  </w:style>
  <w:style w:type="numbering" w:customStyle="1" w:styleId="Sinlista52112">
    <w:name w:val="Sin lista52112"/>
    <w:next w:val="NoList"/>
    <w:uiPriority w:val="99"/>
    <w:semiHidden/>
    <w:unhideWhenUsed/>
    <w:rsid w:val="00033B43"/>
  </w:style>
  <w:style w:type="numbering" w:customStyle="1" w:styleId="Sinlista1111212">
    <w:name w:val="Sin lista1111212"/>
    <w:next w:val="NoList"/>
    <w:uiPriority w:val="99"/>
    <w:semiHidden/>
    <w:unhideWhenUsed/>
    <w:rsid w:val="00033B43"/>
  </w:style>
  <w:style w:type="numbering" w:customStyle="1" w:styleId="Sinlista211212">
    <w:name w:val="Sin lista211212"/>
    <w:next w:val="NoList"/>
    <w:uiPriority w:val="99"/>
    <w:semiHidden/>
    <w:unhideWhenUsed/>
    <w:rsid w:val="00033B43"/>
  </w:style>
  <w:style w:type="numbering" w:customStyle="1" w:styleId="Sinlista311212">
    <w:name w:val="Sin lista311212"/>
    <w:next w:val="NoList"/>
    <w:uiPriority w:val="99"/>
    <w:semiHidden/>
    <w:unhideWhenUsed/>
    <w:rsid w:val="00033B43"/>
  </w:style>
  <w:style w:type="numbering" w:customStyle="1" w:styleId="Sinlista411212">
    <w:name w:val="Sin lista411212"/>
    <w:next w:val="NoList"/>
    <w:uiPriority w:val="99"/>
    <w:semiHidden/>
    <w:unhideWhenUsed/>
    <w:rsid w:val="00033B43"/>
  </w:style>
  <w:style w:type="numbering" w:customStyle="1" w:styleId="Sinlista511212">
    <w:name w:val="Sin lista511212"/>
    <w:next w:val="NoList"/>
    <w:uiPriority w:val="99"/>
    <w:semiHidden/>
    <w:unhideWhenUsed/>
    <w:rsid w:val="00033B43"/>
  </w:style>
  <w:style w:type="numbering" w:customStyle="1" w:styleId="Sinlista11111112">
    <w:name w:val="Sin lista11111112"/>
    <w:next w:val="NoList"/>
    <w:uiPriority w:val="99"/>
    <w:semiHidden/>
    <w:unhideWhenUsed/>
    <w:rsid w:val="00033B43"/>
  </w:style>
  <w:style w:type="numbering" w:customStyle="1" w:styleId="Sinlista2111112">
    <w:name w:val="Sin lista2111112"/>
    <w:next w:val="NoList"/>
    <w:uiPriority w:val="99"/>
    <w:semiHidden/>
    <w:unhideWhenUsed/>
    <w:rsid w:val="00033B43"/>
  </w:style>
  <w:style w:type="numbering" w:customStyle="1" w:styleId="Sinlista3111112">
    <w:name w:val="Sin lista3111112"/>
    <w:next w:val="NoList"/>
    <w:uiPriority w:val="99"/>
    <w:semiHidden/>
    <w:unhideWhenUsed/>
    <w:rsid w:val="00033B43"/>
  </w:style>
  <w:style w:type="numbering" w:customStyle="1" w:styleId="Sinlista4111112">
    <w:name w:val="Sin lista4111112"/>
    <w:next w:val="NoList"/>
    <w:uiPriority w:val="99"/>
    <w:semiHidden/>
    <w:unhideWhenUsed/>
    <w:rsid w:val="00033B43"/>
  </w:style>
  <w:style w:type="numbering" w:customStyle="1" w:styleId="Sinlista5111112">
    <w:name w:val="Sin lista5111112"/>
    <w:next w:val="NoList"/>
    <w:uiPriority w:val="99"/>
    <w:semiHidden/>
    <w:unhideWhenUsed/>
    <w:rsid w:val="00033B43"/>
  </w:style>
  <w:style w:type="numbering" w:customStyle="1" w:styleId="Sinlista82">
    <w:name w:val="Sin lista82"/>
    <w:next w:val="NoList"/>
    <w:uiPriority w:val="99"/>
    <w:semiHidden/>
    <w:unhideWhenUsed/>
    <w:rsid w:val="00033B43"/>
  </w:style>
  <w:style w:type="numbering" w:customStyle="1" w:styleId="Sinlista142">
    <w:name w:val="Sin lista142"/>
    <w:next w:val="NoList"/>
    <w:uiPriority w:val="99"/>
    <w:semiHidden/>
    <w:unhideWhenUsed/>
    <w:rsid w:val="00033B43"/>
  </w:style>
  <w:style w:type="numbering" w:customStyle="1" w:styleId="Sinlista242">
    <w:name w:val="Sin lista242"/>
    <w:next w:val="NoList"/>
    <w:uiPriority w:val="99"/>
    <w:semiHidden/>
    <w:unhideWhenUsed/>
    <w:rsid w:val="00033B43"/>
  </w:style>
  <w:style w:type="numbering" w:customStyle="1" w:styleId="Sinlista342">
    <w:name w:val="Sin lista342"/>
    <w:next w:val="NoList"/>
    <w:uiPriority w:val="99"/>
    <w:semiHidden/>
    <w:unhideWhenUsed/>
    <w:rsid w:val="00033B43"/>
  </w:style>
  <w:style w:type="numbering" w:customStyle="1" w:styleId="Sinlista442">
    <w:name w:val="Sin lista442"/>
    <w:next w:val="NoList"/>
    <w:uiPriority w:val="99"/>
    <w:semiHidden/>
    <w:unhideWhenUsed/>
    <w:rsid w:val="00033B43"/>
  </w:style>
  <w:style w:type="numbering" w:customStyle="1" w:styleId="Sinlista542">
    <w:name w:val="Sin lista542"/>
    <w:next w:val="NoList"/>
    <w:uiPriority w:val="99"/>
    <w:semiHidden/>
    <w:unhideWhenUsed/>
    <w:rsid w:val="00033B43"/>
  </w:style>
  <w:style w:type="numbering" w:customStyle="1" w:styleId="Sinlista1132">
    <w:name w:val="Sin lista1132"/>
    <w:next w:val="NoList"/>
    <w:uiPriority w:val="99"/>
    <w:semiHidden/>
    <w:unhideWhenUsed/>
    <w:rsid w:val="00033B43"/>
  </w:style>
  <w:style w:type="numbering" w:customStyle="1" w:styleId="Sinlista2132">
    <w:name w:val="Sin lista2132"/>
    <w:next w:val="NoList"/>
    <w:uiPriority w:val="99"/>
    <w:semiHidden/>
    <w:unhideWhenUsed/>
    <w:rsid w:val="00033B43"/>
  </w:style>
  <w:style w:type="numbering" w:customStyle="1" w:styleId="Sinlista3132">
    <w:name w:val="Sin lista3132"/>
    <w:next w:val="NoList"/>
    <w:uiPriority w:val="99"/>
    <w:semiHidden/>
    <w:unhideWhenUsed/>
    <w:rsid w:val="00033B43"/>
  </w:style>
  <w:style w:type="numbering" w:customStyle="1" w:styleId="Sinlista4132">
    <w:name w:val="Sin lista4132"/>
    <w:next w:val="NoList"/>
    <w:uiPriority w:val="99"/>
    <w:semiHidden/>
    <w:unhideWhenUsed/>
    <w:rsid w:val="00033B43"/>
  </w:style>
  <w:style w:type="numbering" w:customStyle="1" w:styleId="Sinlista5132">
    <w:name w:val="Sin lista5132"/>
    <w:next w:val="NoList"/>
    <w:uiPriority w:val="99"/>
    <w:semiHidden/>
    <w:unhideWhenUsed/>
    <w:rsid w:val="00033B43"/>
  </w:style>
  <w:style w:type="numbering" w:customStyle="1" w:styleId="Sinlista622">
    <w:name w:val="Sin lista622"/>
    <w:next w:val="NoList"/>
    <w:uiPriority w:val="99"/>
    <w:semiHidden/>
    <w:unhideWhenUsed/>
    <w:rsid w:val="00033B43"/>
  </w:style>
  <w:style w:type="numbering" w:customStyle="1" w:styleId="Sinlista1222">
    <w:name w:val="Sin lista1222"/>
    <w:next w:val="NoList"/>
    <w:uiPriority w:val="99"/>
    <w:semiHidden/>
    <w:unhideWhenUsed/>
    <w:rsid w:val="00033B43"/>
  </w:style>
  <w:style w:type="numbering" w:customStyle="1" w:styleId="Sinlista11132">
    <w:name w:val="Sin lista11132"/>
    <w:next w:val="NoList"/>
    <w:uiPriority w:val="99"/>
    <w:semiHidden/>
    <w:unhideWhenUsed/>
    <w:rsid w:val="00033B43"/>
  </w:style>
  <w:style w:type="numbering" w:customStyle="1" w:styleId="Sinlista2222">
    <w:name w:val="Sin lista2222"/>
    <w:next w:val="NoList"/>
    <w:uiPriority w:val="99"/>
    <w:semiHidden/>
    <w:unhideWhenUsed/>
    <w:rsid w:val="00033B43"/>
  </w:style>
  <w:style w:type="numbering" w:customStyle="1" w:styleId="Sinlista3222">
    <w:name w:val="Sin lista3222"/>
    <w:next w:val="NoList"/>
    <w:uiPriority w:val="99"/>
    <w:semiHidden/>
    <w:unhideWhenUsed/>
    <w:rsid w:val="00033B43"/>
  </w:style>
  <w:style w:type="numbering" w:customStyle="1" w:styleId="Sinlista4222">
    <w:name w:val="Sin lista4222"/>
    <w:next w:val="NoList"/>
    <w:uiPriority w:val="99"/>
    <w:semiHidden/>
    <w:unhideWhenUsed/>
    <w:rsid w:val="00033B43"/>
  </w:style>
  <w:style w:type="numbering" w:customStyle="1" w:styleId="Sinlista5222">
    <w:name w:val="Sin lista5222"/>
    <w:next w:val="NoList"/>
    <w:uiPriority w:val="99"/>
    <w:semiHidden/>
    <w:unhideWhenUsed/>
    <w:rsid w:val="00033B43"/>
  </w:style>
  <w:style w:type="numbering" w:customStyle="1" w:styleId="Sinlista111132">
    <w:name w:val="Sin lista111132"/>
    <w:next w:val="NoList"/>
    <w:uiPriority w:val="99"/>
    <w:semiHidden/>
    <w:unhideWhenUsed/>
    <w:rsid w:val="00033B43"/>
  </w:style>
  <w:style w:type="numbering" w:customStyle="1" w:styleId="Sinlista21132">
    <w:name w:val="Sin lista21132"/>
    <w:next w:val="NoList"/>
    <w:uiPriority w:val="99"/>
    <w:semiHidden/>
    <w:unhideWhenUsed/>
    <w:rsid w:val="00033B43"/>
  </w:style>
  <w:style w:type="numbering" w:customStyle="1" w:styleId="Sinlista31132">
    <w:name w:val="Sin lista31132"/>
    <w:next w:val="NoList"/>
    <w:uiPriority w:val="99"/>
    <w:semiHidden/>
    <w:unhideWhenUsed/>
    <w:rsid w:val="00033B43"/>
  </w:style>
  <w:style w:type="numbering" w:customStyle="1" w:styleId="Sinlista41132">
    <w:name w:val="Sin lista41132"/>
    <w:next w:val="NoList"/>
    <w:uiPriority w:val="99"/>
    <w:semiHidden/>
    <w:unhideWhenUsed/>
    <w:rsid w:val="00033B43"/>
  </w:style>
  <w:style w:type="numbering" w:customStyle="1" w:styleId="Sinlista51132">
    <w:name w:val="Sin lista51132"/>
    <w:next w:val="NoList"/>
    <w:uiPriority w:val="99"/>
    <w:semiHidden/>
    <w:unhideWhenUsed/>
    <w:rsid w:val="00033B43"/>
  </w:style>
  <w:style w:type="numbering" w:customStyle="1" w:styleId="Sinlista1111122">
    <w:name w:val="Sin lista1111122"/>
    <w:next w:val="NoList"/>
    <w:uiPriority w:val="99"/>
    <w:semiHidden/>
    <w:unhideWhenUsed/>
    <w:rsid w:val="00033B43"/>
  </w:style>
  <w:style w:type="numbering" w:customStyle="1" w:styleId="Sinlista211122">
    <w:name w:val="Sin lista211122"/>
    <w:next w:val="NoList"/>
    <w:uiPriority w:val="99"/>
    <w:semiHidden/>
    <w:unhideWhenUsed/>
    <w:rsid w:val="00033B43"/>
  </w:style>
  <w:style w:type="numbering" w:customStyle="1" w:styleId="Sinlista311122">
    <w:name w:val="Sin lista311122"/>
    <w:next w:val="NoList"/>
    <w:uiPriority w:val="99"/>
    <w:semiHidden/>
    <w:unhideWhenUsed/>
    <w:rsid w:val="00033B43"/>
  </w:style>
  <w:style w:type="numbering" w:customStyle="1" w:styleId="Sinlista411122">
    <w:name w:val="Sin lista411122"/>
    <w:next w:val="NoList"/>
    <w:uiPriority w:val="99"/>
    <w:semiHidden/>
    <w:unhideWhenUsed/>
    <w:rsid w:val="00033B43"/>
  </w:style>
  <w:style w:type="numbering" w:customStyle="1" w:styleId="Sinlista511122">
    <w:name w:val="Sin lista511122"/>
    <w:next w:val="NoList"/>
    <w:uiPriority w:val="99"/>
    <w:semiHidden/>
    <w:unhideWhenUsed/>
    <w:rsid w:val="00033B43"/>
  </w:style>
  <w:style w:type="numbering" w:customStyle="1" w:styleId="Sinlista92">
    <w:name w:val="Sin lista92"/>
    <w:next w:val="NoList"/>
    <w:uiPriority w:val="99"/>
    <w:semiHidden/>
    <w:unhideWhenUsed/>
    <w:rsid w:val="00033B43"/>
  </w:style>
  <w:style w:type="numbering" w:customStyle="1" w:styleId="Sinlista152">
    <w:name w:val="Sin lista152"/>
    <w:next w:val="NoList"/>
    <w:uiPriority w:val="99"/>
    <w:semiHidden/>
    <w:unhideWhenUsed/>
    <w:rsid w:val="00033B43"/>
  </w:style>
  <w:style w:type="numbering" w:customStyle="1" w:styleId="Sinlista252">
    <w:name w:val="Sin lista252"/>
    <w:next w:val="NoList"/>
    <w:uiPriority w:val="99"/>
    <w:semiHidden/>
    <w:unhideWhenUsed/>
    <w:rsid w:val="00033B43"/>
  </w:style>
  <w:style w:type="numbering" w:customStyle="1" w:styleId="Sinlista352">
    <w:name w:val="Sin lista352"/>
    <w:next w:val="NoList"/>
    <w:uiPriority w:val="99"/>
    <w:semiHidden/>
    <w:unhideWhenUsed/>
    <w:rsid w:val="00033B43"/>
  </w:style>
  <w:style w:type="numbering" w:customStyle="1" w:styleId="Sinlista452">
    <w:name w:val="Sin lista452"/>
    <w:next w:val="NoList"/>
    <w:uiPriority w:val="99"/>
    <w:semiHidden/>
    <w:unhideWhenUsed/>
    <w:rsid w:val="00033B43"/>
  </w:style>
  <w:style w:type="numbering" w:customStyle="1" w:styleId="Sinlista552">
    <w:name w:val="Sin lista552"/>
    <w:next w:val="NoList"/>
    <w:uiPriority w:val="99"/>
    <w:semiHidden/>
    <w:unhideWhenUsed/>
    <w:rsid w:val="00033B43"/>
  </w:style>
  <w:style w:type="numbering" w:customStyle="1" w:styleId="Sinlista1142">
    <w:name w:val="Sin lista1142"/>
    <w:next w:val="NoList"/>
    <w:uiPriority w:val="99"/>
    <w:semiHidden/>
    <w:unhideWhenUsed/>
    <w:rsid w:val="00033B43"/>
  </w:style>
  <w:style w:type="numbering" w:customStyle="1" w:styleId="Sinlista2142">
    <w:name w:val="Sin lista2142"/>
    <w:next w:val="NoList"/>
    <w:uiPriority w:val="99"/>
    <w:semiHidden/>
    <w:unhideWhenUsed/>
    <w:rsid w:val="00033B43"/>
  </w:style>
  <w:style w:type="numbering" w:customStyle="1" w:styleId="Sinlista3142">
    <w:name w:val="Sin lista3142"/>
    <w:next w:val="NoList"/>
    <w:uiPriority w:val="99"/>
    <w:semiHidden/>
    <w:unhideWhenUsed/>
    <w:rsid w:val="00033B43"/>
  </w:style>
  <w:style w:type="numbering" w:customStyle="1" w:styleId="Sinlista4142">
    <w:name w:val="Sin lista4142"/>
    <w:next w:val="NoList"/>
    <w:uiPriority w:val="99"/>
    <w:semiHidden/>
    <w:unhideWhenUsed/>
    <w:rsid w:val="00033B43"/>
  </w:style>
  <w:style w:type="numbering" w:customStyle="1" w:styleId="Sinlista5142">
    <w:name w:val="Sin lista5142"/>
    <w:next w:val="NoList"/>
    <w:uiPriority w:val="99"/>
    <w:semiHidden/>
    <w:unhideWhenUsed/>
    <w:rsid w:val="00033B43"/>
  </w:style>
  <w:style w:type="numbering" w:customStyle="1" w:styleId="Sinlista632">
    <w:name w:val="Sin lista632"/>
    <w:next w:val="NoList"/>
    <w:uiPriority w:val="99"/>
    <w:semiHidden/>
    <w:unhideWhenUsed/>
    <w:rsid w:val="00033B43"/>
  </w:style>
  <w:style w:type="numbering" w:customStyle="1" w:styleId="Sinlista1232">
    <w:name w:val="Sin lista1232"/>
    <w:next w:val="NoList"/>
    <w:uiPriority w:val="99"/>
    <w:semiHidden/>
    <w:unhideWhenUsed/>
    <w:rsid w:val="00033B43"/>
  </w:style>
  <w:style w:type="numbering" w:customStyle="1" w:styleId="Sinlista11142">
    <w:name w:val="Sin lista11142"/>
    <w:next w:val="NoList"/>
    <w:uiPriority w:val="99"/>
    <w:semiHidden/>
    <w:unhideWhenUsed/>
    <w:rsid w:val="00033B43"/>
  </w:style>
  <w:style w:type="numbering" w:customStyle="1" w:styleId="Sinlista2232">
    <w:name w:val="Sin lista2232"/>
    <w:next w:val="NoList"/>
    <w:uiPriority w:val="99"/>
    <w:semiHidden/>
    <w:unhideWhenUsed/>
    <w:rsid w:val="00033B43"/>
  </w:style>
  <w:style w:type="numbering" w:customStyle="1" w:styleId="Sinlista3232">
    <w:name w:val="Sin lista3232"/>
    <w:next w:val="NoList"/>
    <w:uiPriority w:val="99"/>
    <w:semiHidden/>
    <w:unhideWhenUsed/>
    <w:rsid w:val="00033B43"/>
  </w:style>
  <w:style w:type="numbering" w:customStyle="1" w:styleId="Sinlista4232">
    <w:name w:val="Sin lista4232"/>
    <w:next w:val="NoList"/>
    <w:uiPriority w:val="99"/>
    <w:semiHidden/>
    <w:unhideWhenUsed/>
    <w:rsid w:val="00033B43"/>
  </w:style>
  <w:style w:type="numbering" w:customStyle="1" w:styleId="Sinlista5232">
    <w:name w:val="Sin lista5232"/>
    <w:next w:val="NoList"/>
    <w:uiPriority w:val="99"/>
    <w:semiHidden/>
    <w:unhideWhenUsed/>
    <w:rsid w:val="00033B43"/>
  </w:style>
  <w:style w:type="numbering" w:customStyle="1" w:styleId="Sinlista111142">
    <w:name w:val="Sin lista111142"/>
    <w:next w:val="NoList"/>
    <w:uiPriority w:val="99"/>
    <w:semiHidden/>
    <w:unhideWhenUsed/>
    <w:rsid w:val="00033B43"/>
  </w:style>
  <w:style w:type="numbering" w:customStyle="1" w:styleId="Sinlista21142">
    <w:name w:val="Sin lista21142"/>
    <w:next w:val="NoList"/>
    <w:uiPriority w:val="99"/>
    <w:semiHidden/>
    <w:unhideWhenUsed/>
    <w:rsid w:val="00033B43"/>
  </w:style>
  <w:style w:type="numbering" w:customStyle="1" w:styleId="Sinlista31142">
    <w:name w:val="Sin lista31142"/>
    <w:next w:val="NoList"/>
    <w:uiPriority w:val="99"/>
    <w:semiHidden/>
    <w:unhideWhenUsed/>
    <w:rsid w:val="00033B43"/>
  </w:style>
  <w:style w:type="numbering" w:customStyle="1" w:styleId="Sinlista41142">
    <w:name w:val="Sin lista41142"/>
    <w:next w:val="NoList"/>
    <w:uiPriority w:val="99"/>
    <w:semiHidden/>
    <w:unhideWhenUsed/>
    <w:rsid w:val="00033B43"/>
  </w:style>
  <w:style w:type="numbering" w:customStyle="1" w:styleId="Sinlista51142">
    <w:name w:val="Sin lista51142"/>
    <w:next w:val="NoList"/>
    <w:uiPriority w:val="99"/>
    <w:semiHidden/>
    <w:unhideWhenUsed/>
    <w:rsid w:val="00033B43"/>
  </w:style>
  <w:style w:type="numbering" w:customStyle="1" w:styleId="Sinlista1111132">
    <w:name w:val="Sin lista1111132"/>
    <w:next w:val="NoList"/>
    <w:uiPriority w:val="99"/>
    <w:semiHidden/>
    <w:unhideWhenUsed/>
    <w:rsid w:val="00033B43"/>
  </w:style>
  <w:style w:type="numbering" w:customStyle="1" w:styleId="Sinlista211132">
    <w:name w:val="Sin lista211132"/>
    <w:next w:val="NoList"/>
    <w:uiPriority w:val="99"/>
    <w:semiHidden/>
    <w:unhideWhenUsed/>
    <w:rsid w:val="00033B43"/>
  </w:style>
  <w:style w:type="numbering" w:customStyle="1" w:styleId="Sinlista311132">
    <w:name w:val="Sin lista311132"/>
    <w:next w:val="NoList"/>
    <w:uiPriority w:val="99"/>
    <w:semiHidden/>
    <w:unhideWhenUsed/>
    <w:rsid w:val="00033B43"/>
  </w:style>
  <w:style w:type="numbering" w:customStyle="1" w:styleId="Sinlista411132">
    <w:name w:val="Sin lista411132"/>
    <w:next w:val="NoList"/>
    <w:uiPriority w:val="99"/>
    <w:semiHidden/>
    <w:unhideWhenUsed/>
    <w:rsid w:val="00033B43"/>
  </w:style>
  <w:style w:type="numbering" w:customStyle="1" w:styleId="Sinlista511132">
    <w:name w:val="Sin lista511132"/>
    <w:next w:val="NoList"/>
    <w:uiPriority w:val="99"/>
    <w:semiHidden/>
    <w:unhideWhenUsed/>
    <w:rsid w:val="00033B43"/>
  </w:style>
  <w:style w:type="numbering" w:customStyle="1" w:styleId="Estiloimportado112">
    <w:name w:val="Estilo importado 112"/>
    <w:rsid w:val="00033B43"/>
    <w:pPr>
      <w:numPr>
        <w:numId w:val="4"/>
      </w:numPr>
    </w:pPr>
  </w:style>
  <w:style w:type="numbering" w:customStyle="1" w:styleId="Estiloimportado22">
    <w:name w:val="Estilo importado 22"/>
    <w:rsid w:val="00033B43"/>
    <w:pPr>
      <w:numPr>
        <w:numId w:val="5"/>
      </w:numPr>
    </w:pPr>
  </w:style>
  <w:style w:type="numbering" w:customStyle="1" w:styleId="Estiloimportado32">
    <w:name w:val="Estilo importado 32"/>
    <w:rsid w:val="00033B43"/>
    <w:pPr>
      <w:numPr>
        <w:numId w:val="6"/>
      </w:numPr>
    </w:pPr>
  </w:style>
  <w:style w:type="numbering" w:customStyle="1" w:styleId="Estiloimportado42">
    <w:name w:val="Estilo importado 42"/>
    <w:rsid w:val="00033B43"/>
    <w:pPr>
      <w:numPr>
        <w:numId w:val="7"/>
      </w:numPr>
    </w:pPr>
  </w:style>
  <w:style w:type="numbering" w:customStyle="1" w:styleId="Estiloimportado52">
    <w:name w:val="Estilo importado 52"/>
    <w:rsid w:val="00033B43"/>
    <w:pPr>
      <w:numPr>
        <w:numId w:val="8"/>
      </w:numPr>
    </w:pPr>
  </w:style>
  <w:style w:type="numbering" w:customStyle="1" w:styleId="Estiloimportado62">
    <w:name w:val="Estilo importado 62"/>
    <w:rsid w:val="00033B43"/>
    <w:pPr>
      <w:numPr>
        <w:numId w:val="9"/>
      </w:numPr>
    </w:pPr>
  </w:style>
  <w:style w:type="numbering" w:customStyle="1" w:styleId="Estiloimportado72">
    <w:name w:val="Estilo importado 72"/>
    <w:rsid w:val="00033B43"/>
    <w:pPr>
      <w:numPr>
        <w:numId w:val="10"/>
      </w:numPr>
    </w:pPr>
  </w:style>
  <w:style w:type="numbering" w:customStyle="1" w:styleId="Estiloimportado82">
    <w:name w:val="Estilo importado 82"/>
    <w:rsid w:val="00033B43"/>
    <w:pPr>
      <w:numPr>
        <w:numId w:val="11"/>
      </w:numPr>
    </w:pPr>
  </w:style>
  <w:style w:type="numbering" w:customStyle="1" w:styleId="Estiloimportado92">
    <w:name w:val="Estilo importado 92"/>
    <w:rsid w:val="00033B43"/>
    <w:pPr>
      <w:numPr>
        <w:numId w:val="12"/>
      </w:numPr>
    </w:pPr>
  </w:style>
  <w:style w:type="numbering" w:customStyle="1" w:styleId="Estiloimportado102">
    <w:name w:val="Estilo importado 102"/>
    <w:rsid w:val="00033B43"/>
    <w:pPr>
      <w:numPr>
        <w:numId w:val="13"/>
      </w:numPr>
    </w:pPr>
  </w:style>
  <w:style w:type="numbering" w:customStyle="1" w:styleId="Estiloimportado113">
    <w:name w:val="Estilo importado 113"/>
    <w:rsid w:val="00033B43"/>
    <w:pPr>
      <w:numPr>
        <w:numId w:val="14"/>
      </w:numPr>
    </w:pPr>
  </w:style>
  <w:style w:type="numbering" w:customStyle="1" w:styleId="Estiloimportado122">
    <w:name w:val="Estilo importado 122"/>
    <w:rsid w:val="00033B43"/>
    <w:pPr>
      <w:numPr>
        <w:numId w:val="15"/>
      </w:numPr>
    </w:pPr>
  </w:style>
  <w:style w:type="numbering" w:customStyle="1" w:styleId="Estiloimportado132">
    <w:name w:val="Estilo importado 132"/>
    <w:rsid w:val="00033B43"/>
    <w:pPr>
      <w:numPr>
        <w:numId w:val="16"/>
      </w:numPr>
    </w:pPr>
  </w:style>
  <w:style w:type="numbering" w:customStyle="1" w:styleId="Estiloimportado142">
    <w:name w:val="Estilo importado 142"/>
    <w:rsid w:val="00033B43"/>
    <w:pPr>
      <w:numPr>
        <w:numId w:val="17"/>
      </w:numPr>
    </w:pPr>
  </w:style>
  <w:style w:type="numbering" w:customStyle="1" w:styleId="Estiloimportado152">
    <w:name w:val="Estilo importado 152"/>
    <w:rsid w:val="00033B43"/>
    <w:pPr>
      <w:numPr>
        <w:numId w:val="18"/>
      </w:numPr>
    </w:pPr>
  </w:style>
  <w:style w:type="numbering" w:customStyle="1" w:styleId="Estiloimportado2032">
    <w:name w:val="Estilo importado 2032"/>
    <w:rsid w:val="00033B43"/>
    <w:pPr>
      <w:numPr>
        <w:numId w:val="19"/>
      </w:numPr>
    </w:pPr>
  </w:style>
  <w:style w:type="numbering" w:customStyle="1" w:styleId="Estiloimportado162">
    <w:name w:val="Estilo importado 162"/>
    <w:rsid w:val="00033B43"/>
    <w:pPr>
      <w:numPr>
        <w:numId w:val="20"/>
      </w:numPr>
    </w:pPr>
  </w:style>
  <w:style w:type="numbering" w:customStyle="1" w:styleId="Estiloimportado172">
    <w:name w:val="Estilo importado 172"/>
    <w:rsid w:val="00033B43"/>
    <w:pPr>
      <w:numPr>
        <w:numId w:val="21"/>
      </w:numPr>
    </w:pPr>
  </w:style>
  <w:style w:type="numbering" w:customStyle="1" w:styleId="Estiloimportado182">
    <w:name w:val="Estilo importado 182"/>
    <w:rsid w:val="00033B43"/>
    <w:pPr>
      <w:numPr>
        <w:numId w:val="22"/>
      </w:numPr>
    </w:pPr>
  </w:style>
  <w:style w:type="numbering" w:customStyle="1" w:styleId="Estiloimportado192">
    <w:name w:val="Estilo importado 192"/>
    <w:rsid w:val="00033B43"/>
    <w:pPr>
      <w:numPr>
        <w:numId w:val="23"/>
      </w:numPr>
    </w:pPr>
  </w:style>
  <w:style w:type="numbering" w:customStyle="1" w:styleId="Estiloimportado202">
    <w:name w:val="Estilo importado 202"/>
    <w:rsid w:val="00033B43"/>
    <w:pPr>
      <w:numPr>
        <w:numId w:val="24"/>
      </w:numPr>
    </w:pPr>
  </w:style>
  <w:style w:type="numbering" w:customStyle="1" w:styleId="Sinlista101">
    <w:name w:val="Sin lista101"/>
    <w:next w:val="NoList"/>
    <w:uiPriority w:val="99"/>
    <w:semiHidden/>
    <w:unhideWhenUsed/>
    <w:rsid w:val="00033B43"/>
  </w:style>
  <w:style w:type="numbering" w:customStyle="1" w:styleId="Sinlista161">
    <w:name w:val="Sin lista161"/>
    <w:next w:val="NoList"/>
    <w:uiPriority w:val="99"/>
    <w:semiHidden/>
    <w:unhideWhenUsed/>
    <w:rsid w:val="00033B43"/>
  </w:style>
  <w:style w:type="numbering" w:customStyle="1" w:styleId="Sinlista261">
    <w:name w:val="Sin lista261"/>
    <w:next w:val="NoList"/>
    <w:uiPriority w:val="99"/>
    <w:semiHidden/>
    <w:unhideWhenUsed/>
    <w:rsid w:val="00033B43"/>
  </w:style>
  <w:style w:type="numbering" w:customStyle="1" w:styleId="Sinlista361">
    <w:name w:val="Sin lista361"/>
    <w:next w:val="NoList"/>
    <w:uiPriority w:val="99"/>
    <w:semiHidden/>
    <w:unhideWhenUsed/>
    <w:rsid w:val="00033B43"/>
  </w:style>
  <w:style w:type="numbering" w:customStyle="1" w:styleId="Sinlista461">
    <w:name w:val="Sin lista461"/>
    <w:next w:val="NoList"/>
    <w:uiPriority w:val="99"/>
    <w:semiHidden/>
    <w:unhideWhenUsed/>
    <w:rsid w:val="00033B43"/>
  </w:style>
  <w:style w:type="numbering" w:customStyle="1" w:styleId="Sinlista561">
    <w:name w:val="Sin lista561"/>
    <w:next w:val="NoList"/>
    <w:uiPriority w:val="99"/>
    <w:semiHidden/>
    <w:unhideWhenUsed/>
    <w:rsid w:val="00033B43"/>
  </w:style>
  <w:style w:type="numbering" w:customStyle="1" w:styleId="Sinlista1151">
    <w:name w:val="Sin lista1151"/>
    <w:next w:val="NoList"/>
    <w:uiPriority w:val="99"/>
    <w:semiHidden/>
    <w:unhideWhenUsed/>
    <w:rsid w:val="00033B43"/>
  </w:style>
  <w:style w:type="numbering" w:customStyle="1" w:styleId="Sinlista2151">
    <w:name w:val="Sin lista2151"/>
    <w:next w:val="NoList"/>
    <w:uiPriority w:val="99"/>
    <w:semiHidden/>
    <w:unhideWhenUsed/>
    <w:rsid w:val="00033B43"/>
  </w:style>
  <w:style w:type="numbering" w:customStyle="1" w:styleId="Sinlista3151">
    <w:name w:val="Sin lista3151"/>
    <w:next w:val="NoList"/>
    <w:uiPriority w:val="99"/>
    <w:semiHidden/>
    <w:unhideWhenUsed/>
    <w:rsid w:val="00033B43"/>
  </w:style>
  <w:style w:type="numbering" w:customStyle="1" w:styleId="Sinlista4151">
    <w:name w:val="Sin lista4151"/>
    <w:next w:val="NoList"/>
    <w:uiPriority w:val="99"/>
    <w:semiHidden/>
    <w:unhideWhenUsed/>
    <w:rsid w:val="00033B43"/>
  </w:style>
  <w:style w:type="numbering" w:customStyle="1" w:styleId="Sinlista5151">
    <w:name w:val="Sin lista5151"/>
    <w:next w:val="NoList"/>
    <w:uiPriority w:val="99"/>
    <w:semiHidden/>
    <w:unhideWhenUsed/>
    <w:rsid w:val="00033B43"/>
  </w:style>
  <w:style w:type="numbering" w:customStyle="1" w:styleId="Sinlista641">
    <w:name w:val="Sin lista641"/>
    <w:next w:val="NoList"/>
    <w:uiPriority w:val="99"/>
    <w:semiHidden/>
    <w:unhideWhenUsed/>
    <w:rsid w:val="00033B43"/>
  </w:style>
  <w:style w:type="numbering" w:customStyle="1" w:styleId="Sinlista1241">
    <w:name w:val="Sin lista1241"/>
    <w:next w:val="NoList"/>
    <w:uiPriority w:val="99"/>
    <w:semiHidden/>
    <w:unhideWhenUsed/>
    <w:rsid w:val="00033B43"/>
  </w:style>
  <w:style w:type="numbering" w:customStyle="1" w:styleId="Sinlista11151">
    <w:name w:val="Sin lista11151"/>
    <w:next w:val="NoList"/>
    <w:uiPriority w:val="99"/>
    <w:semiHidden/>
    <w:unhideWhenUsed/>
    <w:rsid w:val="00033B43"/>
  </w:style>
  <w:style w:type="numbering" w:customStyle="1" w:styleId="Sinlista2241">
    <w:name w:val="Sin lista2241"/>
    <w:next w:val="NoList"/>
    <w:uiPriority w:val="99"/>
    <w:semiHidden/>
    <w:unhideWhenUsed/>
    <w:rsid w:val="00033B43"/>
  </w:style>
  <w:style w:type="numbering" w:customStyle="1" w:styleId="Sinlista3241">
    <w:name w:val="Sin lista3241"/>
    <w:next w:val="NoList"/>
    <w:uiPriority w:val="99"/>
    <w:semiHidden/>
    <w:unhideWhenUsed/>
    <w:rsid w:val="00033B43"/>
  </w:style>
  <w:style w:type="numbering" w:customStyle="1" w:styleId="Sinlista4241">
    <w:name w:val="Sin lista4241"/>
    <w:next w:val="NoList"/>
    <w:uiPriority w:val="99"/>
    <w:semiHidden/>
    <w:unhideWhenUsed/>
    <w:rsid w:val="00033B43"/>
  </w:style>
  <w:style w:type="numbering" w:customStyle="1" w:styleId="Sinlista5241">
    <w:name w:val="Sin lista5241"/>
    <w:next w:val="NoList"/>
    <w:uiPriority w:val="99"/>
    <w:semiHidden/>
    <w:unhideWhenUsed/>
    <w:rsid w:val="00033B43"/>
  </w:style>
  <w:style w:type="numbering" w:customStyle="1" w:styleId="Sinlista111151">
    <w:name w:val="Sin lista111151"/>
    <w:next w:val="NoList"/>
    <w:uiPriority w:val="99"/>
    <w:semiHidden/>
    <w:unhideWhenUsed/>
    <w:rsid w:val="00033B43"/>
  </w:style>
  <w:style w:type="numbering" w:customStyle="1" w:styleId="Sinlista21151">
    <w:name w:val="Sin lista21151"/>
    <w:next w:val="NoList"/>
    <w:uiPriority w:val="99"/>
    <w:semiHidden/>
    <w:unhideWhenUsed/>
    <w:rsid w:val="00033B43"/>
  </w:style>
  <w:style w:type="numbering" w:customStyle="1" w:styleId="Sinlista31151">
    <w:name w:val="Sin lista31151"/>
    <w:next w:val="NoList"/>
    <w:uiPriority w:val="99"/>
    <w:semiHidden/>
    <w:unhideWhenUsed/>
    <w:rsid w:val="00033B43"/>
  </w:style>
  <w:style w:type="numbering" w:customStyle="1" w:styleId="Sinlista41151">
    <w:name w:val="Sin lista41151"/>
    <w:next w:val="NoList"/>
    <w:uiPriority w:val="99"/>
    <w:semiHidden/>
    <w:unhideWhenUsed/>
    <w:rsid w:val="00033B43"/>
  </w:style>
  <w:style w:type="numbering" w:customStyle="1" w:styleId="Sinlista51151">
    <w:name w:val="Sin lista51151"/>
    <w:next w:val="NoList"/>
    <w:uiPriority w:val="99"/>
    <w:semiHidden/>
    <w:unhideWhenUsed/>
    <w:rsid w:val="00033B43"/>
  </w:style>
  <w:style w:type="numbering" w:customStyle="1" w:styleId="Sinlista1111141">
    <w:name w:val="Sin lista1111141"/>
    <w:next w:val="NoList"/>
    <w:uiPriority w:val="99"/>
    <w:semiHidden/>
    <w:unhideWhenUsed/>
    <w:rsid w:val="00033B43"/>
  </w:style>
  <w:style w:type="numbering" w:customStyle="1" w:styleId="Sinlista211141">
    <w:name w:val="Sin lista211141"/>
    <w:next w:val="NoList"/>
    <w:uiPriority w:val="99"/>
    <w:semiHidden/>
    <w:unhideWhenUsed/>
    <w:rsid w:val="00033B43"/>
  </w:style>
  <w:style w:type="numbering" w:customStyle="1" w:styleId="Sinlista311141">
    <w:name w:val="Sin lista311141"/>
    <w:next w:val="NoList"/>
    <w:uiPriority w:val="99"/>
    <w:semiHidden/>
    <w:unhideWhenUsed/>
    <w:rsid w:val="00033B43"/>
  </w:style>
  <w:style w:type="numbering" w:customStyle="1" w:styleId="Sinlista411141">
    <w:name w:val="Sin lista411141"/>
    <w:next w:val="NoList"/>
    <w:uiPriority w:val="99"/>
    <w:semiHidden/>
    <w:unhideWhenUsed/>
    <w:rsid w:val="00033B43"/>
  </w:style>
  <w:style w:type="numbering" w:customStyle="1" w:styleId="Sinlista511141">
    <w:name w:val="Sin lista511141"/>
    <w:next w:val="NoList"/>
    <w:uiPriority w:val="99"/>
    <w:semiHidden/>
    <w:unhideWhenUsed/>
    <w:rsid w:val="00033B43"/>
  </w:style>
  <w:style w:type="numbering" w:customStyle="1" w:styleId="Sinlista721">
    <w:name w:val="Sin lista721"/>
    <w:next w:val="NoList"/>
    <w:uiPriority w:val="99"/>
    <w:semiHidden/>
    <w:unhideWhenUsed/>
    <w:rsid w:val="00033B43"/>
  </w:style>
  <w:style w:type="numbering" w:customStyle="1" w:styleId="Sinlista1321">
    <w:name w:val="Sin lista1321"/>
    <w:next w:val="NoList"/>
    <w:uiPriority w:val="99"/>
    <w:semiHidden/>
    <w:unhideWhenUsed/>
    <w:rsid w:val="00033B43"/>
  </w:style>
  <w:style w:type="numbering" w:customStyle="1" w:styleId="Sinlista2321">
    <w:name w:val="Sin lista2321"/>
    <w:next w:val="NoList"/>
    <w:uiPriority w:val="99"/>
    <w:semiHidden/>
    <w:unhideWhenUsed/>
    <w:rsid w:val="00033B43"/>
  </w:style>
  <w:style w:type="numbering" w:customStyle="1" w:styleId="Sinlista3321">
    <w:name w:val="Sin lista3321"/>
    <w:next w:val="NoList"/>
    <w:uiPriority w:val="99"/>
    <w:semiHidden/>
    <w:unhideWhenUsed/>
    <w:rsid w:val="00033B43"/>
  </w:style>
  <w:style w:type="numbering" w:customStyle="1" w:styleId="Sinlista4321">
    <w:name w:val="Sin lista4321"/>
    <w:next w:val="NoList"/>
    <w:uiPriority w:val="99"/>
    <w:semiHidden/>
    <w:unhideWhenUsed/>
    <w:rsid w:val="00033B43"/>
  </w:style>
  <w:style w:type="numbering" w:customStyle="1" w:styleId="Sinlista5321">
    <w:name w:val="Sin lista5321"/>
    <w:next w:val="NoList"/>
    <w:uiPriority w:val="99"/>
    <w:semiHidden/>
    <w:unhideWhenUsed/>
    <w:rsid w:val="00033B43"/>
  </w:style>
  <w:style w:type="numbering" w:customStyle="1" w:styleId="Sinlista11221">
    <w:name w:val="Sin lista11221"/>
    <w:next w:val="NoList"/>
    <w:uiPriority w:val="99"/>
    <w:semiHidden/>
    <w:unhideWhenUsed/>
    <w:rsid w:val="00033B43"/>
  </w:style>
  <w:style w:type="numbering" w:customStyle="1" w:styleId="Sinlista21221">
    <w:name w:val="Sin lista21221"/>
    <w:next w:val="NoList"/>
    <w:uiPriority w:val="99"/>
    <w:semiHidden/>
    <w:unhideWhenUsed/>
    <w:rsid w:val="00033B43"/>
  </w:style>
  <w:style w:type="numbering" w:customStyle="1" w:styleId="Sinlista31221">
    <w:name w:val="Sin lista31221"/>
    <w:next w:val="NoList"/>
    <w:uiPriority w:val="99"/>
    <w:semiHidden/>
    <w:unhideWhenUsed/>
    <w:rsid w:val="00033B43"/>
  </w:style>
  <w:style w:type="numbering" w:customStyle="1" w:styleId="Sinlista41221">
    <w:name w:val="Sin lista41221"/>
    <w:next w:val="NoList"/>
    <w:uiPriority w:val="99"/>
    <w:semiHidden/>
    <w:unhideWhenUsed/>
    <w:rsid w:val="00033B43"/>
  </w:style>
  <w:style w:type="numbering" w:customStyle="1" w:styleId="Sinlista51221">
    <w:name w:val="Sin lista51221"/>
    <w:next w:val="NoList"/>
    <w:uiPriority w:val="99"/>
    <w:semiHidden/>
    <w:unhideWhenUsed/>
    <w:rsid w:val="00033B43"/>
  </w:style>
  <w:style w:type="numbering" w:customStyle="1" w:styleId="Sinlista6121">
    <w:name w:val="Sin lista6121"/>
    <w:next w:val="NoList"/>
    <w:uiPriority w:val="99"/>
    <w:semiHidden/>
    <w:unhideWhenUsed/>
    <w:rsid w:val="00033B43"/>
  </w:style>
  <w:style w:type="numbering" w:customStyle="1" w:styleId="Sinlista12121">
    <w:name w:val="Sin lista12121"/>
    <w:next w:val="NoList"/>
    <w:uiPriority w:val="99"/>
    <w:semiHidden/>
    <w:unhideWhenUsed/>
    <w:rsid w:val="00033B43"/>
  </w:style>
  <w:style w:type="numbering" w:customStyle="1" w:styleId="Sinlista111221">
    <w:name w:val="Sin lista111221"/>
    <w:next w:val="NoList"/>
    <w:uiPriority w:val="99"/>
    <w:semiHidden/>
    <w:unhideWhenUsed/>
    <w:rsid w:val="00033B43"/>
  </w:style>
  <w:style w:type="numbering" w:customStyle="1" w:styleId="Sinlista22121">
    <w:name w:val="Sin lista22121"/>
    <w:next w:val="NoList"/>
    <w:uiPriority w:val="99"/>
    <w:semiHidden/>
    <w:unhideWhenUsed/>
    <w:rsid w:val="00033B43"/>
  </w:style>
  <w:style w:type="numbering" w:customStyle="1" w:styleId="Sinlista32121">
    <w:name w:val="Sin lista32121"/>
    <w:next w:val="NoList"/>
    <w:uiPriority w:val="99"/>
    <w:semiHidden/>
    <w:unhideWhenUsed/>
    <w:rsid w:val="00033B43"/>
  </w:style>
  <w:style w:type="numbering" w:customStyle="1" w:styleId="Sinlista42121">
    <w:name w:val="Sin lista42121"/>
    <w:next w:val="NoList"/>
    <w:uiPriority w:val="99"/>
    <w:semiHidden/>
    <w:unhideWhenUsed/>
    <w:rsid w:val="00033B43"/>
  </w:style>
  <w:style w:type="numbering" w:customStyle="1" w:styleId="Sinlista52121">
    <w:name w:val="Sin lista52121"/>
    <w:next w:val="NoList"/>
    <w:uiPriority w:val="99"/>
    <w:semiHidden/>
    <w:unhideWhenUsed/>
    <w:rsid w:val="00033B43"/>
  </w:style>
  <w:style w:type="numbering" w:customStyle="1" w:styleId="Sinlista1111221">
    <w:name w:val="Sin lista1111221"/>
    <w:next w:val="NoList"/>
    <w:uiPriority w:val="99"/>
    <w:semiHidden/>
    <w:unhideWhenUsed/>
    <w:rsid w:val="00033B43"/>
  </w:style>
  <w:style w:type="numbering" w:customStyle="1" w:styleId="Sinlista211221">
    <w:name w:val="Sin lista211221"/>
    <w:next w:val="NoList"/>
    <w:uiPriority w:val="99"/>
    <w:semiHidden/>
    <w:unhideWhenUsed/>
    <w:rsid w:val="00033B43"/>
  </w:style>
  <w:style w:type="numbering" w:customStyle="1" w:styleId="Sinlista311221">
    <w:name w:val="Sin lista311221"/>
    <w:next w:val="NoList"/>
    <w:uiPriority w:val="99"/>
    <w:semiHidden/>
    <w:unhideWhenUsed/>
    <w:rsid w:val="00033B43"/>
  </w:style>
  <w:style w:type="numbering" w:customStyle="1" w:styleId="Sinlista411221">
    <w:name w:val="Sin lista411221"/>
    <w:next w:val="NoList"/>
    <w:uiPriority w:val="99"/>
    <w:semiHidden/>
    <w:unhideWhenUsed/>
    <w:rsid w:val="00033B43"/>
  </w:style>
  <w:style w:type="numbering" w:customStyle="1" w:styleId="Sinlista511221">
    <w:name w:val="Sin lista511221"/>
    <w:next w:val="NoList"/>
    <w:uiPriority w:val="99"/>
    <w:semiHidden/>
    <w:unhideWhenUsed/>
    <w:rsid w:val="00033B43"/>
  </w:style>
  <w:style w:type="numbering" w:customStyle="1" w:styleId="Sinlista11111121">
    <w:name w:val="Sin lista11111121"/>
    <w:next w:val="NoList"/>
    <w:uiPriority w:val="99"/>
    <w:semiHidden/>
    <w:unhideWhenUsed/>
    <w:rsid w:val="00033B43"/>
  </w:style>
  <w:style w:type="numbering" w:customStyle="1" w:styleId="Sinlista2111121">
    <w:name w:val="Sin lista2111121"/>
    <w:next w:val="NoList"/>
    <w:uiPriority w:val="99"/>
    <w:semiHidden/>
    <w:unhideWhenUsed/>
    <w:rsid w:val="00033B43"/>
  </w:style>
  <w:style w:type="numbering" w:customStyle="1" w:styleId="Sinlista3111121">
    <w:name w:val="Sin lista3111121"/>
    <w:next w:val="NoList"/>
    <w:uiPriority w:val="99"/>
    <w:semiHidden/>
    <w:unhideWhenUsed/>
    <w:rsid w:val="00033B43"/>
  </w:style>
  <w:style w:type="numbering" w:customStyle="1" w:styleId="Sinlista4111121">
    <w:name w:val="Sin lista4111121"/>
    <w:next w:val="NoList"/>
    <w:uiPriority w:val="99"/>
    <w:semiHidden/>
    <w:unhideWhenUsed/>
    <w:rsid w:val="00033B43"/>
  </w:style>
  <w:style w:type="numbering" w:customStyle="1" w:styleId="Sinlista5111121">
    <w:name w:val="Sin lista5111121"/>
    <w:next w:val="NoList"/>
    <w:uiPriority w:val="99"/>
    <w:semiHidden/>
    <w:unhideWhenUsed/>
    <w:rsid w:val="00033B43"/>
  </w:style>
  <w:style w:type="numbering" w:customStyle="1" w:styleId="Sinlista811">
    <w:name w:val="Sin lista811"/>
    <w:next w:val="NoList"/>
    <w:uiPriority w:val="99"/>
    <w:semiHidden/>
    <w:unhideWhenUsed/>
    <w:rsid w:val="00033B43"/>
  </w:style>
  <w:style w:type="numbering" w:customStyle="1" w:styleId="Sinlista1411">
    <w:name w:val="Sin lista1411"/>
    <w:next w:val="NoList"/>
    <w:uiPriority w:val="99"/>
    <w:semiHidden/>
    <w:unhideWhenUsed/>
    <w:rsid w:val="00033B43"/>
  </w:style>
  <w:style w:type="numbering" w:customStyle="1" w:styleId="Sinlista2411">
    <w:name w:val="Sin lista2411"/>
    <w:next w:val="NoList"/>
    <w:uiPriority w:val="99"/>
    <w:semiHidden/>
    <w:unhideWhenUsed/>
    <w:rsid w:val="00033B43"/>
  </w:style>
  <w:style w:type="numbering" w:customStyle="1" w:styleId="Sinlista3411">
    <w:name w:val="Sin lista3411"/>
    <w:next w:val="NoList"/>
    <w:uiPriority w:val="99"/>
    <w:semiHidden/>
    <w:unhideWhenUsed/>
    <w:rsid w:val="00033B43"/>
  </w:style>
  <w:style w:type="numbering" w:customStyle="1" w:styleId="Sinlista4411">
    <w:name w:val="Sin lista4411"/>
    <w:next w:val="NoList"/>
    <w:uiPriority w:val="99"/>
    <w:semiHidden/>
    <w:unhideWhenUsed/>
    <w:rsid w:val="00033B43"/>
  </w:style>
  <w:style w:type="numbering" w:customStyle="1" w:styleId="Sinlista5411">
    <w:name w:val="Sin lista5411"/>
    <w:next w:val="NoList"/>
    <w:uiPriority w:val="99"/>
    <w:semiHidden/>
    <w:unhideWhenUsed/>
    <w:rsid w:val="00033B43"/>
  </w:style>
  <w:style w:type="numbering" w:customStyle="1" w:styleId="Sinlista11311">
    <w:name w:val="Sin lista11311"/>
    <w:next w:val="NoList"/>
    <w:uiPriority w:val="99"/>
    <w:semiHidden/>
    <w:unhideWhenUsed/>
    <w:rsid w:val="00033B43"/>
  </w:style>
  <w:style w:type="numbering" w:customStyle="1" w:styleId="Sinlista21311">
    <w:name w:val="Sin lista21311"/>
    <w:next w:val="NoList"/>
    <w:uiPriority w:val="99"/>
    <w:semiHidden/>
    <w:unhideWhenUsed/>
    <w:rsid w:val="00033B43"/>
  </w:style>
  <w:style w:type="numbering" w:customStyle="1" w:styleId="Sinlista31311">
    <w:name w:val="Sin lista31311"/>
    <w:next w:val="NoList"/>
    <w:uiPriority w:val="99"/>
    <w:semiHidden/>
    <w:unhideWhenUsed/>
    <w:rsid w:val="00033B43"/>
  </w:style>
  <w:style w:type="numbering" w:customStyle="1" w:styleId="Sinlista41311">
    <w:name w:val="Sin lista41311"/>
    <w:next w:val="NoList"/>
    <w:uiPriority w:val="99"/>
    <w:semiHidden/>
    <w:unhideWhenUsed/>
    <w:rsid w:val="00033B43"/>
  </w:style>
  <w:style w:type="numbering" w:customStyle="1" w:styleId="Sinlista51311">
    <w:name w:val="Sin lista51311"/>
    <w:next w:val="NoList"/>
    <w:uiPriority w:val="99"/>
    <w:semiHidden/>
    <w:unhideWhenUsed/>
    <w:rsid w:val="00033B43"/>
  </w:style>
  <w:style w:type="numbering" w:customStyle="1" w:styleId="Sinlista6211">
    <w:name w:val="Sin lista6211"/>
    <w:next w:val="NoList"/>
    <w:uiPriority w:val="99"/>
    <w:semiHidden/>
    <w:unhideWhenUsed/>
    <w:rsid w:val="00033B43"/>
  </w:style>
  <w:style w:type="numbering" w:customStyle="1" w:styleId="Sinlista12211">
    <w:name w:val="Sin lista12211"/>
    <w:next w:val="NoList"/>
    <w:uiPriority w:val="99"/>
    <w:semiHidden/>
    <w:unhideWhenUsed/>
    <w:rsid w:val="00033B43"/>
  </w:style>
  <w:style w:type="numbering" w:customStyle="1" w:styleId="Sinlista111311">
    <w:name w:val="Sin lista111311"/>
    <w:next w:val="NoList"/>
    <w:uiPriority w:val="99"/>
    <w:semiHidden/>
    <w:unhideWhenUsed/>
    <w:rsid w:val="00033B43"/>
  </w:style>
  <w:style w:type="numbering" w:customStyle="1" w:styleId="Sinlista22211">
    <w:name w:val="Sin lista22211"/>
    <w:next w:val="NoList"/>
    <w:uiPriority w:val="99"/>
    <w:semiHidden/>
    <w:unhideWhenUsed/>
    <w:rsid w:val="00033B43"/>
  </w:style>
  <w:style w:type="numbering" w:customStyle="1" w:styleId="Sinlista32211">
    <w:name w:val="Sin lista32211"/>
    <w:next w:val="NoList"/>
    <w:uiPriority w:val="99"/>
    <w:semiHidden/>
    <w:unhideWhenUsed/>
    <w:rsid w:val="00033B43"/>
  </w:style>
  <w:style w:type="numbering" w:customStyle="1" w:styleId="Sinlista42211">
    <w:name w:val="Sin lista42211"/>
    <w:next w:val="NoList"/>
    <w:uiPriority w:val="99"/>
    <w:semiHidden/>
    <w:unhideWhenUsed/>
    <w:rsid w:val="00033B43"/>
  </w:style>
  <w:style w:type="numbering" w:customStyle="1" w:styleId="Sinlista52211">
    <w:name w:val="Sin lista52211"/>
    <w:next w:val="NoList"/>
    <w:uiPriority w:val="99"/>
    <w:semiHidden/>
    <w:unhideWhenUsed/>
    <w:rsid w:val="00033B43"/>
  </w:style>
  <w:style w:type="numbering" w:customStyle="1" w:styleId="Sinlista1111311">
    <w:name w:val="Sin lista1111311"/>
    <w:next w:val="NoList"/>
    <w:uiPriority w:val="99"/>
    <w:semiHidden/>
    <w:unhideWhenUsed/>
    <w:rsid w:val="00033B43"/>
  </w:style>
  <w:style w:type="numbering" w:customStyle="1" w:styleId="Sinlista211311">
    <w:name w:val="Sin lista211311"/>
    <w:next w:val="NoList"/>
    <w:uiPriority w:val="99"/>
    <w:semiHidden/>
    <w:unhideWhenUsed/>
    <w:rsid w:val="00033B43"/>
  </w:style>
  <w:style w:type="numbering" w:customStyle="1" w:styleId="Sinlista311311">
    <w:name w:val="Sin lista311311"/>
    <w:next w:val="NoList"/>
    <w:uiPriority w:val="99"/>
    <w:semiHidden/>
    <w:unhideWhenUsed/>
    <w:rsid w:val="00033B43"/>
  </w:style>
  <w:style w:type="numbering" w:customStyle="1" w:styleId="Sinlista411311">
    <w:name w:val="Sin lista411311"/>
    <w:next w:val="NoList"/>
    <w:uiPriority w:val="99"/>
    <w:semiHidden/>
    <w:unhideWhenUsed/>
    <w:rsid w:val="00033B43"/>
  </w:style>
  <w:style w:type="numbering" w:customStyle="1" w:styleId="Sinlista511311">
    <w:name w:val="Sin lista511311"/>
    <w:next w:val="NoList"/>
    <w:uiPriority w:val="99"/>
    <w:semiHidden/>
    <w:unhideWhenUsed/>
    <w:rsid w:val="00033B43"/>
  </w:style>
  <w:style w:type="numbering" w:customStyle="1" w:styleId="Sinlista11111211">
    <w:name w:val="Sin lista11111211"/>
    <w:next w:val="NoList"/>
    <w:uiPriority w:val="99"/>
    <w:semiHidden/>
    <w:unhideWhenUsed/>
    <w:rsid w:val="00033B43"/>
  </w:style>
  <w:style w:type="numbering" w:customStyle="1" w:styleId="Sinlista2111211">
    <w:name w:val="Sin lista2111211"/>
    <w:next w:val="NoList"/>
    <w:uiPriority w:val="99"/>
    <w:semiHidden/>
    <w:unhideWhenUsed/>
    <w:rsid w:val="00033B43"/>
  </w:style>
  <w:style w:type="numbering" w:customStyle="1" w:styleId="Sinlista3111211">
    <w:name w:val="Sin lista3111211"/>
    <w:next w:val="NoList"/>
    <w:uiPriority w:val="99"/>
    <w:semiHidden/>
    <w:unhideWhenUsed/>
    <w:rsid w:val="00033B43"/>
  </w:style>
  <w:style w:type="numbering" w:customStyle="1" w:styleId="Sinlista4111211">
    <w:name w:val="Sin lista4111211"/>
    <w:next w:val="NoList"/>
    <w:uiPriority w:val="99"/>
    <w:semiHidden/>
    <w:unhideWhenUsed/>
    <w:rsid w:val="00033B43"/>
  </w:style>
  <w:style w:type="numbering" w:customStyle="1" w:styleId="Sinlista5111211">
    <w:name w:val="Sin lista5111211"/>
    <w:next w:val="NoList"/>
    <w:uiPriority w:val="99"/>
    <w:semiHidden/>
    <w:unhideWhenUsed/>
    <w:rsid w:val="00033B43"/>
  </w:style>
  <w:style w:type="numbering" w:customStyle="1" w:styleId="Sinlista911">
    <w:name w:val="Sin lista911"/>
    <w:next w:val="NoList"/>
    <w:uiPriority w:val="99"/>
    <w:semiHidden/>
    <w:unhideWhenUsed/>
    <w:rsid w:val="00033B43"/>
  </w:style>
  <w:style w:type="numbering" w:customStyle="1" w:styleId="Sinlista1511">
    <w:name w:val="Sin lista1511"/>
    <w:next w:val="NoList"/>
    <w:uiPriority w:val="99"/>
    <w:semiHidden/>
    <w:unhideWhenUsed/>
    <w:rsid w:val="00033B43"/>
  </w:style>
  <w:style w:type="numbering" w:customStyle="1" w:styleId="Sinlista2511">
    <w:name w:val="Sin lista2511"/>
    <w:next w:val="NoList"/>
    <w:uiPriority w:val="99"/>
    <w:semiHidden/>
    <w:unhideWhenUsed/>
    <w:rsid w:val="00033B43"/>
  </w:style>
  <w:style w:type="numbering" w:customStyle="1" w:styleId="Sinlista3511">
    <w:name w:val="Sin lista3511"/>
    <w:next w:val="NoList"/>
    <w:uiPriority w:val="99"/>
    <w:semiHidden/>
    <w:unhideWhenUsed/>
    <w:rsid w:val="00033B43"/>
  </w:style>
  <w:style w:type="numbering" w:customStyle="1" w:styleId="Sinlista4511">
    <w:name w:val="Sin lista4511"/>
    <w:next w:val="NoList"/>
    <w:uiPriority w:val="99"/>
    <w:semiHidden/>
    <w:unhideWhenUsed/>
    <w:rsid w:val="00033B43"/>
  </w:style>
  <w:style w:type="numbering" w:customStyle="1" w:styleId="Sinlista5511">
    <w:name w:val="Sin lista5511"/>
    <w:next w:val="NoList"/>
    <w:uiPriority w:val="99"/>
    <w:semiHidden/>
    <w:unhideWhenUsed/>
    <w:rsid w:val="00033B43"/>
  </w:style>
  <w:style w:type="numbering" w:customStyle="1" w:styleId="Sinlista11411">
    <w:name w:val="Sin lista11411"/>
    <w:next w:val="NoList"/>
    <w:uiPriority w:val="99"/>
    <w:semiHidden/>
    <w:unhideWhenUsed/>
    <w:rsid w:val="00033B43"/>
  </w:style>
  <w:style w:type="numbering" w:customStyle="1" w:styleId="Sinlista21411">
    <w:name w:val="Sin lista21411"/>
    <w:next w:val="NoList"/>
    <w:uiPriority w:val="99"/>
    <w:semiHidden/>
    <w:unhideWhenUsed/>
    <w:rsid w:val="00033B43"/>
  </w:style>
  <w:style w:type="numbering" w:customStyle="1" w:styleId="Sinlista31411">
    <w:name w:val="Sin lista31411"/>
    <w:next w:val="NoList"/>
    <w:uiPriority w:val="99"/>
    <w:semiHidden/>
    <w:unhideWhenUsed/>
    <w:rsid w:val="00033B43"/>
  </w:style>
  <w:style w:type="numbering" w:customStyle="1" w:styleId="Sinlista41411">
    <w:name w:val="Sin lista41411"/>
    <w:next w:val="NoList"/>
    <w:uiPriority w:val="99"/>
    <w:semiHidden/>
    <w:unhideWhenUsed/>
    <w:rsid w:val="00033B43"/>
  </w:style>
  <w:style w:type="numbering" w:customStyle="1" w:styleId="Sinlista51411">
    <w:name w:val="Sin lista51411"/>
    <w:next w:val="NoList"/>
    <w:uiPriority w:val="99"/>
    <w:semiHidden/>
    <w:unhideWhenUsed/>
    <w:rsid w:val="00033B43"/>
  </w:style>
  <w:style w:type="numbering" w:customStyle="1" w:styleId="Sinlista6311">
    <w:name w:val="Sin lista6311"/>
    <w:next w:val="NoList"/>
    <w:uiPriority w:val="99"/>
    <w:semiHidden/>
    <w:unhideWhenUsed/>
    <w:rsid w:val="00033B43"/>
  </w:style>
  <w:style w:type="numbering" w:customStyle="1" w:styleId="Sinlista12311">
    <w:name w:val="Sin lista12311"/>
    <w:next w:val="NoList"/>
    <w:uiPriority w:val="99"/>
    <w:semiHidden/>
    <w:unhideWhenUsed/>
    <w:rsid w:val="00033B43"/>
  </w:style>
  <w:style w:type="numbering" w:customStyle="1" w:styleId="Sinlista111411">
    <w:name w:val="Sin lista111411"/>
    <w:next w:val="NoList"/>
    <w:uiPriority w:val="99"/>
    <w:semiHidden/>
    <w:unhideWhenUsed/>
    <w:rsid w:val="00033B43"/>
  </w:style>
  <w:style w:type="numbering" w:customStyle="1" w:styleId="Sinlista22311">
    <w:name w:val="Sin lista22311"/>
    <w:next w:val="NoList"/>
    <w:uiPriority w:val="99"/>
    <w:semiHidden/>
    <w:unhideWhenUsed/>
    <w:rsid w:val="00033B43"/>
  </w:style>
  <w:style w:type="numbering" w:customStyle="1" w:styleId="Sinlista32311">
    <w:name w:val="Sin lista32311"/>
    <w:next w:val="NoList"/>
    <w:uiPriority w:val="99"/>
    <w:semiHidden/>
    <w:unhideWhenUsed/>
    <w:rsid w:val="00033B43"/>
  </w:style>
  <w:style w:type="numbering" w:customStyle="1" w:styleId="Sinlista42311">
    <w:name w:val="Sin lista42311"/>
    <w:next w:val="NoList"/>
    <w:uiPriority w:val="99"/>
    <w:semiHidden/>
    <w:unhideWhenUsed/>
    <w:rsid w:val="00033B43"/>
  </w:style>
  <w:style w:type="numbering" w:customStyle="1" w:styleId="Sinlista52311">
    <w:name w:val="Sin lista52311"/>
    <w:next w:val="NoList"/>
    <w:uiPriority w:val="99"/>
    <w:semiHidden/>
    <w:unhideWhenUsed/>
    <w:rsid w:val="00033B43"/>
  </w:style>
  <w:style w:type="numbering" w:customStyle="1" w:styleId="Sinlista1111411">
    <w:name w:val="Sin lista1111411"/>
    <w:next w:val="NoList"/>
    <w:uiPriority w:val="99"/>
    <w:semiHidden/>
    <w:unhideWhenUsed/>
    <w:rsid w:val="00033B43"/>
  </w:style>
  <w:style w:type="numbering" w:customStyle="1" w:styleId="Sinlista211411">
    <w:name w:val="Sin lista211411"/>
    <w:next w:val="NoList"/>
    <w:uiPriority w:val="99"/>
    <w:semiHidden/>
    <w:unhideWhenUsed/>
    <w:rsid w:val="00033B43"/>
  </w:style>
  <w:style w:type="numbering" w:customStyle="1" w:styleId="Sinlista311411">
    <w:name w:val="Sin lista311411"/>
    <w:next w:val="NoList"/>
    <w:uiPriority w:val="99"/>
    <w:semiHidden/>
    <w:unhideWhenUsed/>
    <w:rsid w:val="00033B43"/>
  </w:style>
  <w:style w:type="numbering" w:customStyle="1" w:styleId="Sinlista411411">
    <w:name w:val="Sin lista411411"/>
    <w:next w:val="NoList"/>
    <w:uiPriority w:val="99"/>
    <w:semiHidden/>
    <w:unhideWhenUsed/>
    <w:rsid w:val="00033B43"/>
  </w:style>
  <w:style w:type="numbering" w:customStyle="1" w:styleId="Sinlista511411">
    <w:name w:val="Sin lista511411"/>
    <w:next w:val="NoList"/>
    <w:uiPriority w:val="99"/>
    <w:semiHidden/>
    <w:unhideWhenUsed/>
    <w:rsid w:val="00033B43"/>
  </w:style>
  <w:style w:type="numbering" w:customStyle="1" w:styleId="Sinlista11111311">
    <w:name w:val="Sin lista11111311"/>
    <w:next w:val="NoList"/>
    <w:uiPriority w:val="99"/>
    <w:semiHidden/>
    <w:unhideWhenUsed/>
    <w:rsid w:val="00033B43"/>
  </w:style>
  <w:style w:type="numbering" w:customStyle="1" w:styleId="Sinlista2111311">
    <w:name w:val="Sin lista2111311"/>
    <w:next w:val="NoList"/>
    <w:uiPriority w:val="99"/>
    <w:semiHidden/>
    <w:unhideWhenUsed/>
    <w:rsid w:val="00033B43"/>
  </w:style>
  <w:style w:type="numbering" w:customStyle="1" w:styleId="Sinlista3111311">
    <w:name w:val="Sin lista3111311"/>
    <w:next w:val="NoList"/>
    <w:uiPriority w:val="99"/>
    <w:semiHidden/>
    <w:unhideWhenUsed/>
    <w:rsid w:val="00033B43"/>
  </w:style>
  <w:style w:type="numbering" w:customStyle="1" w:styleId="Sinlista4111311">
    <w:name w:val="Sin lista4111311"/>
    <w:next w:val="NoList"/>
    <w:uiPriority w:val="99"/>
    <w:semiHidden/>
    <w:unhideWhenUsed/>
    <w:rsid w:val="00033B43"/>
  </w:style>
  <w:style w:type="numbering" w:customStyle="1" w:styleId="Sinlista5111311">
    <w:name w:val="Sin lista5111311"/>
    <w:next w:val="NoList"/>
    <w:uiPriority w:val="99"/>
    <w:semiHidden/>
    <w:unhideWhenUsed/>
    <w:rsid w:val="00033B43"/>
  </w:style>
  <w:style w:type="numbering" w:customStyle="1" w:styleId="Sinlista7111">
    <w:name w:val="Sin lista7111"/>
    <w:next w:val="NoList"/>
    <w:uiPriority w:val="99"/>
    <w:semiHidden/>
    <w:unhideWhenUsed/>
    <w:rsid w:val="00033B43"/>
  </w:style>
  <w:style w:type="numbering" w:customStyle="1" w:styleId="Sinlista13111">
    <w:name w:val="Sin lista13111"/>
    <w:next w:val="NoList"/>
    <w:uiPriority w:val="99"/>
    <w:semiHidden/>
    <w:unhideWhenUsed/>
    <w:rsid w:val="00033B43"/>
  </w:style>
  <w:style w:type="numbering" w:customStyle="1" w:styleId="Sinlista23111">
    <w:name w:val="Sin lista23111"/>
    <w:next w:val="NoList"/>
    <w:uiPriority w:val="99"/>
    <w:semiHidden/>
    <w:unhideWhenUsed/>
    <w:rsid w:val="00033B43"/>
  </w:style>
  <w:style w:type="numbering" w:customStyle="1" w:styleId="Sinlista33111">
    <w:name w:val="Sin lista33111"/>
    <w:next w:val="NoList"/>
    <w:uiPriority w:val="99"/>
    <w:semiHidden/>
    <w:unhideWhenUsed/>
    <w:rsid w:val="00033B43"/>
  </w:style>
  <w:style w:type="numbering" w:customStyle="1" w:styleId="Sinlista43111">
    <w:name w:val="Sin lista43111"/>
    <w:next w:val="NoList"/>
    <w:uiPriority w:val="99"/>
    <w:semiHidden/>
    <w:unhideWhenUsed/>
    <w:rsid w:val="00033B43"/>
  </w:style>
  <w:style w:type="numbering" w:customStyle="1" w:styleId="Sinlista53111">
    <w:name w:val="Sin lista53111"/>
    <w:next w:val="NoList"/>
    <w:uiPriority w:val="99"/>
    <w:semiHidden/>
    <w:unhideWhenUsed/>
    <w:rsid w:val="00033B43"/>
  </w:style>
  <w:style w:type="numbering" w:customStyle="1" w:styleId="Sinlista112111">
    <w:name w:val="Sin lista112111"/>
    <w:next w:val="NoList"/>
    <w:uiPriority w:val="99"/>
    <w:semiHidden/>
    <w:unhideWhenUsed/>
    <w:rsid w:val="00033B43"/>
  </w:style>
  <w:style w:type="numbering" w:customStyle="1" w:styleId="Sinlista212111">
    <w:name w:val="Sin lista212111"/>
    <w:next w:val="NoList"/>
    <w:uiPriority w:val="99"/>
    <w:semiHidden/>
    <w:unhideWhenUsed/>
    <w:rsid w:val="00033B43"/>
  </w:style>
  <w:style w:type="numbering" w:customStyle="1" w:styleId="Sinlista312111">
    <w:name w:val="Sin lista312111"/>
    <w:next w:val="NoList"/>
    <w:uiPriority w:val="99"/>
    <w:semiHidden/>
    <w:unhideWhenUsed/>
    <w:rsid w:val="00033B43"/>
  </w:style>
  <w:style w:type="numbering" w:customStyle="1" w:styleId="Sinlista412111">
    <w:name w:val="Sin lista412111"/>
    <w:next w:val="NoList"/>
    <w:uiPriority w:val="99"/>
    <w:semiHidden/>
    <w:unhideWhenUsed/>
    <w:rsid w:val="00033B43"/>
  </w:style>
  <w:style w:type="numbering" w:customStyle="1" w:styleId="Sinlista512111">
    <w:name w:val="Sin lista512111"/>
    <w:next w:val="NoList"/>
    <w:uiPriority w:val="99"/>
    <w:semiHidden/>
    <w:unhideWhenUsed/>
    <w:rsid w:val="00033B43"/>
  </w:style>
  <w:style w:type="numbering" w:customStyle="1" w:styleId="Sinlista61111">
    <w:name w:val="Sin lista61111"/>
    <w:next w:val="NoList"/>
    <w:uiPriority w:val="99"/>
    <w:semiHidden/>
    <w:unhideWhenUsed/>
    <w:rsid w:val="00033B43"/>
  </w:style>
  <w:style w:type="numbering" w:customStyle="1" w:styleId="Sinlista121111">
    <w:name w:val="Sin lista121111"/>
    <w:next w:val="NoList"/>
    <w:uiPriority w:val="99"/>
    <w:semiHidden/>
    <w:unhideWhenUsed/>
    <w:rsid w:val="00033B43"/>
  </w:style>
  <w:style w:type="numbering" w:customStyle="1" w:styleId="Sinlista1112111">
    <w:name w:val="Sin lista1112111"/>
    <w:next w:val="NoList"/>
    <w:uiPriority w:val="99"/>
    <w:semiHidden/>
    <w:unhideWhenUsed/>
    <w:rsid w:val="00033B43"/>
  </w:style>
  <w:style w:type="numbering" w:customStyle="1" w:styleId="Sinlista221111">
    <w:name w:val="Sin lista221111"/>
    <w:next w:val="NoList"/>
    <w:uiPriority w:val="99"/>
    <w:semiHidden/>
    <w:unhideWhenUsed/>
    <w:rsid w:val="00033B43"/>
  </w:style>
  <w:style w:type="numbering" w:customStyle="1" w:styleId="Sinlista321111">
    <w:name w:val="Sin lista321111"/>
    <w:next w:val="NoList"/>
    <w:uiPriority w:val="99"/>
    <w:semiHidden/>
    <w:unhideWhenUsed/>
    <w:rsid w:val="00033B43"/>
  </w:style>
  <w:style w:type="numbering" w:customStyle="1" w:styleId="Sinlista421111">
    <w:name w:val="Sin lista421111"/>
    <w:next w:val="NoList"/>
    <w:uiPriority w:val="99"/>
    <w:semiHidden/>
    <w:unhideWhenUsed/>
    <w:rsid w:val="00033B43"/>
  </w:style>
  <w:style w:type="numbering" w:customStyle="1" w:styleId="Sinlista521111">
    <w:name w:val="Sin lista521111"/>
    <w:next w:val="NoList"/>
    <w:uiPriority w:val="99"/>
    <w:semiHidden/>
    <w:unhideWhenUsed/>
    <w:rsid w:val="00033B43"/>
  </w:style>
  <w:style w:type="numbering" w:customStyle="1" w:styleId="Sinlista11112111">
    <w:name w:val="Sin lista11112111"/>
    <w:next w:val="NoList"/>
    <w:uiPriority w:val="99"/>
    <w:semiHidden/>
    <w:unhideWhenUsed/>
    <w:rsid w:val="00033B43"/>
  </w:style>
  <w:style w:type="numbering" w:customStyle="1" w:styleId="Sinlista2112111">
    <w:name w:val="Sin lista2112111"/>
    <w:next w:val="NoList"/>
    <w:uiPriority w:val="99"/>
    <w:semiHidden/>
    <w:unhideWhenUsed/>
    <w:rsid w:val="00033B43"/>
  </w:style>
  <w:style w:type="numbering" w:customStyle="1" w:styleId="Sinlista3112111">
    <w:name w:val="Sin lista3112111"/>
    <w:next w:val="NoList"/>
    <w:uiPriority w:val="99"/>
    <w:semiHidden/>
    <w:unhideWhenUsed/>
    <w:rsid w:val="00033B43"/>
  </w:style>
  <w:style w:type="numbering" w:customStyle="1" w:styleId="Sinlista4112111">
    <w:name w:val="Sin lista4112111"/>
    <w:next w:val="NoList"/>
    <w:uiPriority w:val="99"/>
    <w:semiHidden/>
    <w:unhideWhenUsed/>
    <w:rsid w:val="00033B43"/>
  </w:style>
  <w:style w:type="numbering" w:customStyle="1" w:styleId="Sinlista5112111">
    <w:name w:val="Sin lista5112111"/>
    <w:next w:val="NoList"/>
    <w:uiPriority w:val="99"/>
    <w:semiHidden/>
    <w:unhideWhenUsed/>
    <w:rsid w:val="00033B43"/>
  </w:style>
  <w:style w:type="numbering" w:customStyle="1" w:styleId="Sinlista111111111">
    <w:name w:val="Sin lista111111111"/>
    <w:next w:val="NoList"/>
    <w:uiPriority w:val="99"/>
    <w:semiHidden/>
    <w:unhideWhenUsed/>
    <w:rsid w:val="00033B43"/>
  </w:style>
  <w:style w:type="numbering" w:customStyle="1" w:styleId="Sinlista21111111">
    <w:name w:val="Sin lista21111111"/>
    <w:next w:val="NoList"/>
    <w:uiPriority w:val="99"/>
    <w:semiHidden/>
    <w:unhideWhenUsed/>
    <w:rsid w:val="00033B43"/>
  </w:style>
  <w:style w:type="numbering" w:customStyle="1" w:styleId="Sinlista31111111">
    <w:name w:val="Sin lista31111111"/>
    <w:next w:val="NoList"/>
    <w:uiPriority w:val="99"/>
    <w:semiHidden/>
    <w:unhideWhenUsed/>
    <w:rsid w:val="00033B43"/>
  </w:style>
  <w:style w:type="numbering" w:customStyle="1" w:styleId="Sinlista41111111">
    <w:name w:val="Sin lista41111111"/>
    <w:next w:val="NoList"/>
    <w:uiPriority w:val="99"/>
    <w:semiHidden/>
    <w:unhideWhenUsed/>
    <w:rsid w:val="00033B43"/>
  </w:style>
  <w:style w:type="numbering" w:customStyle="1" w:styleId="Sinlista51111111">
    <w:name w:val="Sin lista51111111"/>
    <w:next w:val="NoList"/>
    <w:uiPriority w:val="99"/>
    <w:semiHidden/>
    <w:unhideWhenUsed/>
    <w:rsid w:val="00033B43"/>
  </w:style>
  <w:style w:type="numbering" w:customStyle="1" w:styleId="Estiloimportado1101">
    <w:name w:val="Estilo importado 1101"/>
    <w:rsid w:val="00033B43"/>
  </w:style>
  <w:style w:type="numbering" w:customStyle="1" w:styleId="Estiloimportado211">
    <w:name w:val="Estilo importado 211"/>
    <w:rsid w:val="00033B43"/>
  </w:style>
  <w:style w:type="numbering" w:customStyle="1" w:styleId="Estiloimportado311">
    <w:name w:val="Estilo importado 311"/>
    <w:rsid w:val="00033B43"/>
  </w:style>
  <w:style w:type="numbering" w:customStyle="1" w:styleId="Estiloimportado411">
    <w:name w:val="Estilo importado 411"/>
    <w:rsid w:val="00033B43"/>
  </w:style>
  <w:style w:type="numbering" w:customStyle="1" w:styleId="Estiloimportado511">
    <w:name w:val="Estilo importado 511"/>
    <w:rsid w:val="00033B43"/>
  </w:style>
  <w:style w:type="numbering" w:customStyle="1" w:styleId="Estiloimportado611">
    <w:name w:val="Estilo importado 611"/>
    <w:rsid w:val="00033B43"/>
  </w:style>
  <w:style w:type="numbering" w:customStyle="1" w:styleId="Estiloimportado711">
    <w:name w:val="Estilo importado 711"/>
    <w:rsid w:val="00033B43"/>
  </w:style>
  <w:style w:type="numbering" w:customStyle="1" w:styleId="Estiloimportado811">
    <w:name w:val="Estilo importado 811"/>
    <w:rsid w:val="00033B43"/>
  </w:style>
  <w:style w:type="numbering" w:customStyle="1" w:styleId="Estiloimportado911">
    <w:name w:val="Estilo importado 911"/>
    <w:rsid w:val="00033B43"/>
  </w:style>
  <w:style w:type="numbering" w:customStyle="1" w:styleId="Estiloimportado1011">
    <w:name w:val="Estilo importado 1011"/>
    <w:rsid w:val="00033B43"/>
  </w:style>
  <w:style w:type="numbering" w:customStyle="1" w:styleId="Estiloimportado1111">
    <w:name w:val="Estilo importado 1111"/>
    <w:rsid w:val="00033B43"/>
  </w:style>
  <w:style w:type="numbering" w:customStyle="1" w:styleId="Estiloimportado1211">
    <w:name w:val="Estilo importado 1211"/>
    <w:rsid w:val="00033B43"/>
  </w:style>
  <w:style w:type="numbering" w:customStyle="1" w:styleId="Estiloimportado1311">
    <w:name w:val="Estilo importado 1311"/>
    <w:rsid w:val="00033B43"/>
  </w:style>
  <w:style w:type="numbering" w:customStyle="1" w:styleId="Estiloimportado1411">
    <w:name w:val="Estilo importado 1411"/>
    <w:rsid w:val="00033B43"/>
  </w:style>
  <w:style w:type="numbering" w:customStyle="1" w:styleId="Estiloimportado1511">
    <w:name w:val="Estilo importado 1511"/>
    <w:rsid w:val="00033B43"/>
  </w:style>
  <w:style w:type="numbering" w:customStyle="1" w:styleId="Estiloimportado20311">
    <w:name w:val="Estilo importado 20311"/>
    <w:rsid w:val="00033B43"/>
  </w:style>
  <w:style w:type="numbering" w:customStyle="1" w:styleId="Estiloimportado1611">
    <w:name w:val="Estilo importado 1611"/>
    <w:rsid w:val="00033B43"/>
  </w:style>
  <w:style w:type="numbering" w:customStyle="1" w:styleId="Estiloimportado1711">
    <w:name w:val="Estilo importado 1711"/>
    <w:rsid w:val="00033B43"/>
  </w:style>
  <w:style w:type="numbering" w:customStyle="1" w:styleId="Estiloimportado1811">
    <w:name w:val="Estilo importado 1811"/>
    <w:rsid w:val="00033B43"/>
  </w:style>
  <w:style w:type="numbering" w:customStyle="1" w:styleId="Estiloimportado1911">
    <w:name w:val="Estilo importado 1911"/>
    <w:rsid w:val="00033B43"/>
  </w:style>
  <w:style w:type="numbering" w:customStyle="1" w:styleId="Estiloimportado2011">
    <w:name w:val="Estilo importado 2011"/>
    <w:rsid w:val="00033B43"/>
  </w:style>
  <w:style w:type="table" w:customStyle="1" w:styleId="Tablaconcuadrcula1">
    <w:name w:val="Tabla con cuadrícula1"/>
    <w:basedOn w:val="TableNormal"/>
    <w:next w:val="TableGrid"/>
    <w:uiPriority w:val="59"/>
    <w:rsid w:val="00B37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Nivel">
    <w:name w:val="Primer Nivel"/>
    <w:qFormat/>
    <w:rsid w:val="00A06BE9"/>
    <w:pPr>
      <w:numPr>
        <w:numId w:val="29"/>
      </w:numPr>
      <w:ind w:left="1134" w:hanging="567"/>
      <w:jc w:val="both"/>
    </w:pPr>
    <w:rPr>
      <w:rFonts w:ascii="Calibri" w:eastAsia="Calibri" w:hAnsi="Calibri"/>
      <w:sz w:val="18"/>
      <w:szCs w:val="18"/>
      <w:lang w:val="es-PE" w:eastAsia="es-PE"/>
    </w:rPr>
  </w:style>
  <w:style w:type="paragraph" w:styleId="NoSpacing">
    <w:name w:val="No Spacing"/>
    <w:uiPriority w:val="1"/>
    <w:qFormat/>
    <w:rsid w:val="00A06BE9"/>
    <w:rPr>
      <w:rFonts w:asciiTheme="minorHAnsi" w:eastAsiaTheme="minorHAnsi" w:hAnsiTheme="minorHAnsi" w:cstheme="minorBidi"/>
      <w:sz w:val="22"/>
      <w:szCs w:val="22"/>
      <w:lang w:eastAsia="en-US"/>
    </w:rPr>
  </w:style>
  <w:style w:type="paragraph" w:customStyle="1" w:styleId="Style1">
    <w:name w:val="Style 1"/>
    <w:basedOn w:val="Normal"/>
    <w:rsid w:val="00A06BE9"/>
    <w:pPr>
      <w:widowControl w:val="0"/>
      <w:autoSpaceDE w:val="0"/>
      <w:autoSpaceDN w:val="0"/>
      <w:adjustRightInd w:val="0"/>
    </w:pPr>
    <w:rPr>
      <w:noProof/>
      <w:sz w:val="20"/>
      <w:szCs w:val="24"/>
    </w:rPr>
  </w:style>
  <w:style w:type="paragraph" w:styleId="List">
    <w:name w:val="List"/>
    <w:basedOn w:val="Normal"/>
    <w:rsid w:val="00A06BE9"/>
    <w:pPr>
      <w:ind w:left="397" w:hanging="397"/>
    </w:pPr>
    <w:rPr>
      <w:rFonts w:eastAsia="Calibri"/>
      <w:noProof/>
      <w:szCs w:val="24"/>
      <w:lang w:val="es-ES" w:eastAsia="es-ES"/>
    </w:rPr>
  </w:style>
  <w:style w:type="table" w:customStyle="1" w:styleId="Tabladecuadrcula1clara1">
    <w:name w:val="Tabla de cuadrícula 1 clara1"/>
    <w:basedOn w:val="TableNormal"/>
    <w:uiPriority w:val="46"/>
    <w:rsid w:val="00A06BE9"/>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A06BE9"/>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tulo21">
    <w:name w:val="Título 21"/>
    <w:basedOn w:val="Normal"/>
    <w:next w:val="Normal"/>
    <w:uiPriority w:val="9"/>
    <w:unhideWhenUsed/>
    <w:qFormat/>
    <w:rsid w:val="00A06BE9"/>
    <w:pPr>
      <w:keepNext/>
      <w:keepLines/>
      <w:spacing w:before="40" w:line="259" w:lineRule="auto"/>
      <w:outlineLvl w:val="1"/>
    </w:pPr>
    <w:rPr>
      <w:rFonts w:ascii="Cambria" w:hAnsi="Cambria"/>
      <w:color w:val="365F91"/>
      <w:sz w:val="26"/>
      <w:szCs w:val="26"/>
    </w:rPr>
  </w:style>
  <w:style w:type="paragraph" w:customStyle="1" w:styleId="Default">
    <w:name w:val="Default"/>
    <w:rsid w:val="00A06BE9"/>
    <w:pPr>
      <w:autoSpaceDE w:val="0"/>
      <w:autoSpaceDN w:val="0"/>
      <w:adjustRightInd w:val="0"/>
    </w:pPr>
    <w:rPr>
      <w:rFonts w:ascii="Arial" w:eastAsia="Calibri" w:hAnsi="Arial" w:cs="Arial"/>
      <w:color w:val="000000"/>
      <w:sz w:val="24"/>
      <w:szCs w:val="24"/>
      <w:lang w:eastAsia="en-US"/>
    </w:rPr>
  </w:style>
  <w:style w:type="paragraph" w:styleId="HTMLPreformatted">
    <w:name w:val="HTML Preformatted"/>
    <w:basedOn w:val="Normal"/>
    <w:link w:val="HTMLPreformattedChar"/>
    <w:uiPriority w:val="99"/>
    <w:unhideWhenUsed/>
    <w:rsid w:val="00A06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s-AR"/>
    </w:rPr>
  </w:style>
  <w:style w:type="character" w:customStyle="1" w:styleId="HTMLPreformattedChar">
    <w:name w:val="HTML Preformatted Char"/>
    <w:basedOn w:val="DefaultParagraphFont"/>
    <w:link w:val="HTMLPreformatted"/>
    <w:uiPriority w:val="99"/>
    <w:rsid w:val="00A06BE9"/>
    <w:rPr>
      <w:rFonts w:ascii="Courier New" w:hAnsi="Courier New" w:cs="Courier New"/>
    </w:rPr>
  </w:style>
  <w:style w:type="character" w:customStyle="1" w:styleId="Ttulo2Car1">
    <w:name w:val="Título 2 Car1"/>
    <w:basedOn w:val="DefaultParagraphFont"/>
    <w:semiHidden/>
    <w:rsid w:val="00A06BE9"/>
    <w:rPr>
      <w:rFonts w:asciiTheme="majorHAnsi" w:eastAsiaTheme="majorEastAsia" w:hAnsiTheme="majorHAnsi" w:cstheme="majorBidi"/>
      <w:b/>
      <w:bCs/>
      <w:color w:val="4F81BD" w:themeColor="accent1"/>
      <w:sz w:val="26"/>
      <w:szCs w:val="26"/>
      <w:lang w:val="es-ES" w:eastAsia="es-ES"/>
    </w:rPr>
  </w:style>
  <w:style w:type="paragraph" w:customStyle="1" w:styleId="AOHeadings">
    <w:name w:val="AOHeadings"/>
    <w:basedOn w:val="Normal"/>
    <w:next w:val="Normal"/>
    <w:rsid w:val="00A06BE9"/>
    <w:pPr>
      <w:spacing w:before="200"/>
      <w:jc w:val="both"/>
    </w:pPr>
    <w:rPr>
      <w:sz w:val="20"/>
      <w:lang w:val="en-US"/>
    </w:rPr>
  </w:style>
  <w:style w:type="paragraph" w:customStyle="1" w:styleId="TitleLItal">
    <w:name w:val="Title L Ital"/>
    <w:basedOn w:val="Normal"/>
    <w:rsid w:val="00A06BE9"/>
    <w:pPr>
      <w:keepNext/>
      <w:spacing w:after="240"/>
      <w:jc w:val="both"/>
    </w:pPr>
    <w:rPr>
      <w:i/>
      <w:iCs/>
      <w:sz w:val="20"/>
      <w:lang w:val="en-US"/>
    </w:rPr>
  </w:style>
  <w:style w:type="paragraph" w:customStyle="1" w:styleId="CG-Title-Center">
    <w:name w:val="CG-Title-Center"/>
    <w:aliases w:val="t5"/>
    <w:basedOn w:val="Normal"/>
    <w:next w:val="Normal"/>
    <w:rsid w:val="00A06BE9"/>
    <w:pPr>
      <w:keepNext/>
      <w:spacing w:after="240"/>
      <w:jc w:val="center"/>
    </w:pPr>
    <w:rPr>
      <w:sz w:val="20"/>
      <w:lang w:val="en-US"/>
    </w:rPr>
  </w:style>
  <w:style w:type="paragraph" w:customStyle="1" w:styleId="BodyBullet">
    <w:name w:val="Body Bullet"/>
    <w:aliases w:val="bb"/>
    <w:basedOn w:val="BodyText"/>
    <w:rsid w:val="00A06BE9"/>
    <w:pPr>
      <w:spacing w:after="240"/>
      <w:jc w:val="left"/>
    </w:pPr>
    <w:rPr>
      <w:sz w:val="20"/>
      <w:lang w:val="en-US" w:eastAsia="es-ES"/>
    </w:rPr>
  </w:style>
  <w:style w:type="paragraph" w:customStyle="1" w:styleId="Tax">
    <w:name w:val="Tax"/>
    <w:basedOn w:val="Normal"/>
    <w:rsid w:val="00A06BE9"/>
    <w:pPr>
      <w:autoSpaceDE w:val="0"/>
      <w:autoSpaceDN w:val="0"/>
      <w:adjustRightInd w:val="0"/>
    </w:pPr>
    <w:rPr>
      <w:szCs w:val="24"/>
      <w:lang w:val="en-US"/>
    </w:rPr>
  </w:style>
  <w:style w:type="paragraph" w:customStyle="1" w:styleId="s14-99509">
    <w:name w:val="s14-99509"/>
    <w:basedOn w:val="Normal"/>
    <w:rsid w:val="00B4540C"/>
    <w:pPr>
      <w:ind w:firstLine="284"/>
      <w:jc w:val="both"/>
    </w:pPr>
    <w:rPr>
      <w:rFonts w:ascii="Arial" w:hAnsi="Arial" w:cs="Arial"/>
      <w:color w:val="FF0000"/>
      <w:sz w:val="20"/>
      <w:lang w:eastAsia="es-AR"/>
    </w:rPr>
  </w:style>
  <w:style w:type="paragraph" w:customStyle="1" w:styleId="xmsonormal">
    <w:name w:val="x_msonormal"/>
    <w:basedOn w:val="Normal"/>
    <w:rsid w:val="00CE31CA"/>
    <w:pPr>
      <w:spacing w:before="100" w:beforeAutospacing="1" w:after="100" w:afterAutospacing="1"/>
    </w:pPr>
    <w:rPr>
      <w:szCs w:val="24"/>
      <w:lang w:eastAsia="es-AR"/>
    </w:rPr>
  </w:style>
  <w:style w:type="paragraph" w:customStyle="1" w:styleId="BodyText2Sgl0">
    <w:name w:val="Body Text 2 Sgl"/>
    <w:basedOn w:val="Normal"/>
    <w:qFormat/>
    <w:rsid w:val="0023251D"/>
    <w:pPr>
      <w:spacing w:after="240"/>
      <w:ind w:firstLine="720"/>
    </w:pPr>
    <w:rPr>
      <w:rFonts w:eastAsiaTheme="minorHAnsi"/>
      <w:sz w:val="20"/>
    </w:rPr>
  </w:style>
  <w:style w:type="character" w:styleId="FootnoteReference">
    <w:name w:val="footnote reference"/>
    <w:uiPriority w:val="99"/>
    <w:semiHidden/>
    <w:unhideWhenUsed/>
    <w:rsid w:val="006F3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743">
      <w:bodyDiv w:val="1"/>
      <w:marLeft w:val="0"/>
      <w:marRight w:val="0"/>
      <w:marTop w:val="0"/>
      <w:marBottom w:val="0"/>
      <w:divBdr>
        <w:top w:val="none" w:sz="0" w:space="0" w:color="auto"/>
        <w:left w:val="none" w:sz="0" w:space="0" w:color="auto"/>
        <w:bottom w:val="none" w:sz="0" w:space="0" w:color="auto"/>
        <w:right w:val="none" w:sz="0" w:space="0" w:color="auto"/>
      </w:divBdr>
    </w:div>
    <w:div w:id="2632673">
      <w:bodyDiv w:val="1"/>
      <w:marLeft w:val="0"/>
      <w:marRight w:val="0"/>
      <w:marTop w:val="0"/>
      <w:marBottom w:val="0"/>
      <w:divBdr>
        <w:top w:val="none" w:sz="0" w:space="0" w:color="auto"/>
        <w:left w:val="none" w:sz="0" w:space="0" w:color="auto"/>
        <w:bottom w:val="none" w:sz="0" w:space="0" w:color="auto"/>
        <w:right w:val="none" w:sz="0" w:space="0" w:color="auto"/>
      </w:divBdr>
    </w:div>
    <w:div w:id="3093092">
      <w:bodyDiv w:val="1"/>
      <w:marLeft w:val="0"/>
      <w:marRight w:val="0"/>
      <w:marTop w:val="0"/>
      <w:marBottom w:val="0"/>
      <w:divBdr>
        <w:top w:val="none" w:sz="0" w:space="0" w:color="auto"/>
        <w:left w:val="none" w:sz="0" w:space="0" w:color="auto"/>
        <w:bottom w:val="none" w:sz="0" w:space="0" w:color="auto"/>
        <w:right w:val="none" w:sz="0" w:space="0" w:color="auto"/>
      </w:divBdr>
    </w:div>
    <w:div w:id="5140847">
      <w:bodyDiv w:val="1"/>
      <w:marLeft w:val="0"/>
      <w:marRight w:val="0"/>
      <w:marTop w:val="0"/>
      <w:marBottom w:val="0"/>
      <w:divBdr>
        <w:top w:val="none" w:sz="0" w:space="0" w:color="auto"/>
        <w:left w:val="none" w:sz="0" w:space="0" w:color="auto"/>
        <w:bottom w:val="none" w:sz="0" w:space="0" w:color="auto"/>
        <w:right w:val="none" w:sz="0" w:space="0" w:color="auto"/>
      </w:divBdr>
    </w:div>
    <w:div w:id="5447602">
      <w:bodyDiv w:val="1"/>
      <w:marLeft w:val="0"/>
      <w:marRight w:val="0"/>
      <w:marTop w:val="0"/>
      <w:marBottom w:val="0"/>
      <w:divBdr>
        <w:top w:val="none" w:sz="0" w:space="0" w:color="auto"/>
        <w:left w:val="none" w:sz="0" w:space="0" w:color="auto"/>
        <w:bottom w:val="none" w:sz="0" w:space="0" w:color="auto"/>
        <w:right w:val="none" w:sz="0" w:space="0" w:color="auto"/>
      </w:divBdr>
    </w:div>
    <w:div w:id="7566076">
      <w:bodyDiv w:val="1"/>
      <w:marLeft w:val="0"/>
      <w:marRight w:val="0"/>
      <w:marTop w:val="0"/>
      <w:marBottom w:val="0"/>
      <w:divBdr>
        <w:top w:val="none" w:sz="0" w:space="0" w:color="auto"/>
        <w:left w:val="none" w:sz="0" w:space="0" w:color="auto"/>
        <w:bottom w:val="none" w:sz="0" w:space="0" w:color="auto"/>
        <w:right w:val="none" w:sz="0" w:space="0" w:color="auto"/>
      </w:divBdr>
    </w:div>
    <w:div w:id="14772430">
      <w:bodyDiv w:val="1"/>
      <w:marLeft w:val="0"/>
      <w:marRight w:val="0"/>
      <w:marTop w:val="0"/>
      <w:marBottom w:val="0"/>
      <w:divBdr>
        <w:top w:val="none" w:sz="0" w:space="0" w:color="auto"/>
        <w:left w:val="none" w:sz="0" w:space="0" w:color="auto"/>
        <w:bottom w:val="none" w:sz="0" w:space="0" w:color="auto"/>
        <w:right w:val="none" w:sz="0" w:space="0" w:color="auto"/>
      </w:divBdr>
    </w:div>
    <w:div w:id="16586295">
      <w:bodyDiv w:val="1"/>
      <w:marLeft w:val="0"/>
      <w:marRight w:val="0"/>
      <w:marTop w:val="0"/>
      <w:marBottom w:val="0"/>
      <w:divBdr>
        <w:top w:val="none" w:sz="0" w:space="0" w:color="auto"/>
        <w:left w:val="none" w:sz="0" w:space="0" w:color="auto"/>
        <w:bottom w:val="none" w:sz="0" w:space="0" w:color="auto"/>
        <w:right w:val="none" w:sz="0" w:space="0" w:color="auto"/>
      </w:divBdr>
    </w:div>
    <w:div w:id="18287491">
      <w:bodyDiv w:val="1"/>
      <w:marLeft w:val="0"/>
      <w:marRight w:val="0"/>
      <w:marTop w:val="0"/>
      <w:marBottom w:val="0"/>
      <w:divBdr>
        <w:top w:val="none" w:sz="0" w:space="0" w:color="auto"/>
        <w:left w:val="none" w:sz="0" w:space="0" w:color="auto"/>
        <w:bottom w:val="none" w:sz="0" w:space="0" w:color="auto"/>
        <w:right w:val="none" w:sz="0" w:space="0" w:color="auto"/>
      </w:divBdr>
    </w:div>
    <w:div w:id="19281956">
      <w:bodyDiv w:val="1"/>
      <w:marLeft w:val="0"/>
      <w:marRight w:val="0"/>
      <w:marTop w:val="0"/>
      <w:marBottom w:val="0"/>
      <w:divBdr>
        <w:top w:val="none" w:sz="0" w:space="0" w:color="auto"/>
        <w:left w:val="none" w:sz="0" w:space="0" w:color="auto"/>
        <w:bottom w:val="none" w:sz="0" w:space="0" w:color="auto"/>
        <w:right w:val="none" w:sz="0" w:space="0" w:color="auto"/>
      </w:divBdr>
    </w:div>
    <w:div w:id="21253525">
      <w:bodyDiv w:val="1"/>
      <w:marLeft w:val="0"/>
      <w:marRight w:val="0"/>
      <w:marTop w:val="0"/>
      <w:marBottom w:val="0"/>
      <w:divBdr>
        <w:top w:val="none" w:sz="0" w:space="0" w:color="auto"/>
        <w:left w:val="none" w:sz="0" w:space="0" w:color="auto"/>
        <w:bottom w:val="none" w:sz="0" w:space="0" w:color="auto"/>
        <w:right w:val="none" w:sz="0" w:space="0" w:color="auto"/>
      </w:divBdr>
    </w:div>
    <w:div w:id="24060267">
      <w:bodyDiv w:val="1"/>
      <w:marLeft w:val="0"/>
      <w:marRight w:val="0"/>
      <w:marTop w:val="0"/>
      <w:marBottom w:val="0"/>
      <w:divBdr>
        <w:top w:val="none" w:sz="0" w:space="0" w:color="auto"/>
        <w:left w:val="none" w:sz="0" w:space="0" w:color="auto"/>
        <w:bottom w:val="none" w:sz="0" w:space="0" w:color="auto"/>
        <w:right w:val="none" w:sz="0" w:space="0" w:color="auto"/>
      </w:divBdr>
    </w:div>
    <w:div w:id="24527421">
      <w:bodyDiv w:val="1"/>
      <w:marLeft w:val="0"/>
      <w:marRight w:val="0"/>
      <w:marTop w:val="0"/>
      <w:marBottom w:val="0"/>
      <w:divBdr>
        <w:top w:val="none" w:sz="0" w:space="0" w:color="auto"/>
        <w:left w:val="none" w:sz="0" w:space="0" w:color="auto"/>
        <w:bottom w:val="none" w:sz="0" w:space="0" w:color="auto"/>
        <w:right w:val="none" w:sz="0" w:space="0" w:color="auto"/>
      </w:divBdr>
    </w:div>
    <w:div w:id="28605637">
      <w:bodyDiv w:val="1"/>
      <w:marLeft w:val="0"/>
      <w:marRight w:val="0"/>
      <w:marTop w:val="0"/>
      <w:marBottom w:val="0"/>
      <w:divBdr>
        <w:top w:val="none" w:sz="0" w:space="0" w:color="auto"/>
        <w:left w:val="none" w:sz="0" w:space="0" w:color="auto"/>
        <w:bottom w:val="none" w:sz="0" w:space="0" w:color="auto"/>
        <w:right w:val="none" w:sz="0" w:space="0" w:color="auto"/>
      </w:divBdr>
    </w:div>
    <w:div w:id="31001486">
      <w:bodyDiv w:val="1"/>
      <w:marLeft w:val="0"/>
      <w:marRight w:val="0"/>
      <w:marTop w:val="0"/>
      <w:marBottom w:val="0"/>
      <w:divBdr>
        <w:top w:val="none" w:sz="0" w:space="0" w:color="auto"/>
        <w:left w:val="none" w:sz="0" w:space="0" w:color="auto"/>
        <w:bottom w:val="none" w:sz="0" w:space="0" w:color="auto"/>
        <w:right w:val="none" w:sz="0" w:space="0" w:color="auto"/>
      </w:divBdr>
    </w:div>
    <w:div w:id="34241284">
      <w:bodyDiv w:val="1"/>
      <w:marLeft w:val="0"/>
      <w:marRight w:val="0"/>
      <w:marTop w:val="0"/>
      <w:marBottom w:val="0"/>
      <w:divBdr>
        <w:top w:val="none" w:sz="0" w:space="0" w:color="auto"/>
        <w:left w:val="none" w:sz="0" w:space="0" w:color="auto"/>
        <w:bottom w:val="none" w:sz="0" w:space="0" w:color="auto"/>
        <w:right w:val="none" w:sz="0" w:space="0" w:color="auto"/>
      </w:divBdr>
    </w:div>
    <w:div w:id="41835864">
      <w:bodyDiv w:val="1"/>
      <w:marLeft w:val="0"/>
      <w:marRight w:val="0"/>
      <w:marTop w:val="0"/>
      <w:marBottom w:val="0"/>
      <w:divBdr>
        <w:top w:val="none" w:sz="0" w:space="0" w:color="auto"/>
        <w:left w:val="none" w:sz="0" w:space="0" w:color="auto"/>
        <w:bottom w:val="none" w:sz="0" w:space="0" w:color="auto"/>
        <w:right w:val="none" w:sz="0" w:space="0" w:color="auto"/>
      </w:divBdr>
    </w:div>
    <w:div w:id="43066645">
      <w:bodyDiv w:val="1"/>
      <w:marLeft w:val="0"/>
      <w:marRight w:val="0"/>
      <w:marTop w:val="0"/>
      <w:marBottom w:val="0"/>
      <w:divBdr>
        <w:top w:val="none" w:sz="0" w:space="0" w:color="auto"/>
        <w:left w:val="none" w:sz="0" w:space="0" w:color="auto"/>
        <w:bottom w:val="none" w:sz="0" w:space="0" w:color="auto"/>
        <w:right w:val="none" w:sz="0" w:space="0" w:color="auto"/>
      </w:divBdr>
    </w:div>
    <w:div w:id="43070163">
      <w:bodyDiv w:val="1"/>
      <w:marLeft w:val="0"/>
      <w:marRight w:val="0"/>
      <w:marTop w:val="0"/>
      <w:marBottom w:val="0"/>
      <w:divBdr>
        <w:top w:val="none" w:sz="0" w:space="0" w:color="auto"/>
        <w:left w:val="none" w:sz="0" w:space="0" w:color="auto"/>
        <w:bottom w:val="none" w:sz="0" w:space="0" w:color="auto"/>
        <w:right w:val="none" w:sz="0" w:space="0" w:color="auto"/>
      </w:divBdr>
    </w:div>
    <w:div w:id="43140862">
      <w:bodyDiv w:val="1"/>
      <w:marLeft w:val="0"/>
      <w:marRight w:val="0"/>
      <w:marTop w:val="0"/>
      <w:marBottom w:val="0"/>
      <w:divBdr>
        <w:top w:val="none" w:sz="0" w:space="0" w:color="auto"/>
        <w:left w:val="none" w:sz="0" w:space="0" w:color="auto"/>
        <w:bottom w:val="none" w:sz="0" w:space="0" w:color="auto"/>
        <w:right w:val="none" w:sz="0" w:space="0" w:color="auto"/>
      </w:divBdr>
    </w:div>
    <w:div w:id="44334918">
      <w:bodyDiv w:val="1"/>
      <w:marLeft w:val="0"/>
      <w:marRight w:val="0"/>
      <w:marTop w:val="0"/>
      <w:marBottom w:val="0"/>
      <w:divBdr>
        <w:top w:val="none" w:sz="0" w:space="0" w:color="auto"/>
        <w:left w:val="none" w:sz="0" w:space="0" w:color="auto"/>
        <w:bottom w:val="none" w:sz="0" w:space="0" w:color="auto"/>
        <w:right w:val="none" w:sz="0" w:space="0" w:color="auto"/>
      </w:divBdr>
    </w:div>
    <w:div w:id="45102954">
      <w:bodyDiv w:val="1"/>
      <w:marLeft w:val="0"/>
      <w:marRight w:val="0"/>
      <w:marTop w:val="0"/>
      <w:marBottom w:val="0"/>
      <w:divBdr>
        <w:top w:val="none" w:sz="0" w:space="0" w:color="auto"/>
        <w:left w:val="none" w:sz="0" w:space="0" w:color="auto"/>
        <w:bottom w:val="none" w:sz="0" w:space="0" w:color="auto"/>
        <w:right w:val="none" w:sz="0" w:space="0" w:color="auto"/>
      </w:divBdr>
    </w:div>
    <w:div w:id="46950603">
      <w:bodyDiv w:val="1"/>
      <w:marLeft w:val="0"/>
      <w:marRight w:val="0"/>
      <w:marTop w:val="0"/>
      <w:marBottom w:val="0"/>
      <w:divBdr>
        <w:top w:val="none" w:sz="0" w:space="0" w:color="auto"/>
        <w:left w:val="none" w:sz="0" w:space="0" w:color="auto"/>
        <w:bottom w:val="none" w:sz="0" w:space="0" w:color="auto"/>
        <w:right w:val="none" w:sz="0" w:space="0" w:color="auto"/>
      </w:divBdr>
    </w:div>
    <w:div w:id="47266137">
      <w:bodyDiv w:val="1"/>
      <w:marLeft w:val="0"/>
      <w:marRight w:val="0"/>
      <w:marTop w:val="0"/>
      <w:marBottom w:val="0"/>
      <w:divBdr>
        <w:top w:val="none" w:sz="0" w:space="0" w:color="auto"/>
        <w:left w:val="none" w:sz="0" w:space="0" w:color="auto"/>
        <w:bottom w:val="none" w:sz="0" w:space="0" w:color="auto"/>
        <w:right w:val="none" w:sz="0" w:space="0" w:color="auto"/>
      </w:divBdr>
    </w:div>
    <w:div w:id="54012519">
      <w:bodyDiv w:val="1"/>
      <w:marLeft w:val="0"/>
      <w:marRight w:val="0"/>
      <w:marTop w:val="0"/>
      <w:marBottom w:val="0"/>
      <w:divBdr>
        <w:top w:val="none" w:sz="0" w:space="0" w:color="auto"/>
        <w:left w:val="none" w:sz="0" w:space="0" w:color="auto"/>
        <w:bottom w:val="none" w:sz="0" w:space="0" w:color="auto"/>
        <w:right w:val="none" w:sz="0" w:space="0" w:color="auto"/>
      </w:divBdr>
    </w:div>
    <w:div w:id="55131985">
      <w:bodyDiv w:val="1"/>
      <w:marLeft w:val="0"/>
      <w:marRight w:val="0"/>
      <w:marTop w:val="0"/>
      <w:marBottom w:val="0"/>
      <w:divBdr>
        <w:top w:val="none" w:sz="0" w:space="0" w:color="auto"/>
        <w:left w:val="none" w:sz="0" w:space="0" w:color="auto"/>
        <w:bottom w:val="none" w:sz="0" w:space="0" w:color="auto"/>
        <w:right w:val="none" w:sz="0" w:space="0" w:color="auto"/>
      </w:divBdr>
    </w:div>
    <w:div w:id="58749501">
      <w:bodyDiv w:val="1"/>
      <w:marLeft w:val="0"/>
      <w:marRight w:val="0"/>
      <w:marTop w:val="0"/>
      <w:marBottom w:val="0"/>
      <w:divBdr>
        <w:top w:val="none" w:sz="0" w:space="0" w:color="auto"/>
        <w:left w:val="none" w:sz="0" w:space="0" w:color="auto"/>
        <w:bottom w:val="none" w:sz="0" w:space="0" w:color="auto"/>
        <w:right w:val="none" w:sz="0" w:space="0" w:color="auto"/>
      </w:divBdr>
    </w:div>
    <w:div w:id="59450078">
      <w:bodyDiv w:val="1"/>
      <w:marLeft w:val="0"/>
      <w:marRight w:val="0"/>
      <w:marTop w:val="0"/>
      <w:marBottom w:val="0"/>
      <w:divBdr>
        <w:top w:val="none" w:sz="0" w:space="0" w:color="auto"/>
        <w:left w:val="none" w:sz="0" w:space="0" w:color="auto"/>
        <w:bottom w:val="none" w:sz="0" w:space="0" w:color="auto"/>
        <w:right w:val="none" w:sz="0" w:space="0" w:color="auto"/>
      </w:divBdr>
    </w:div>
    <w:div w:id="59598550">
      <w:bodyDiv w:val="1"/>
      <w:marLeft w:val="0"/>
      <w:marRight w:val="0"/>
      <w:marTop w:val="0"/>
      <w:marBottom w:val="0"/>
      <w:divBdr>
        <w:top w:val="none" w:sz="0" w:space="0" w:color="auto"/>
        <w:left w:val="none" w:sz="0" w:space="0" w:color="auto"/>
        <w:bottom w:val="none" w:sz="0" w:space="0" w:color="auto"/>
        <w:right w:val="none" w:sz="0" w:space="0" w:color="auto"/>
      </w:divBdr>
    </w:div>
    <w:div w:id="62026691">
      <w:bodyDiv w:val="1"/>
      <w:marLeft w:val="0"/>
      <w:marRight w:val="0"/>
      <w:marTop w:val="0"/>
      <w:marBottom w:val="0"/>
      <w:divBdr>
        <w:top w:val="none" w:sz="0" w:space="0" w:color="auto"/>
        <w:left w:val="none" w:sz="0" w:space="0" w:color="auto"/>
        <w:bottom w:val="none" w:sz="0" w:space="0" w:color="auto"/>
        <w:right w:val="none" w:sz="0" w:space="0" w:color="auto"/>
      </w:divBdr>
    </w:div>
    <w:div w:id="62146012">
      <w:bodyDiv w:val="1"/>
      <w:marLeft w:val="0"/>
      <w:marRight w:val="0"/>
      <w:marTop w:val="0"/>
      <w:marBottom w:val="0"/>
      <w:divBdr>
        <w:top w:val="none" w:sz="0" w:space="0" w:color="auto"/>
        <w:left w:val="none" w:sz="0" w:space="0" w:color="auto"/>
        <w:bottom w:val="none" w:sz="0" w:space="0" w:color="auto"/>
        <w:right w:val="none" w:sz="0" w:space="0" w:color="auto"/>
      </w:divBdr>
    </w:div>
    <w:div w:id="62532583">
      <w:bodyDiv w:val="1"/>
      <w:marLeft w:val="0"/>
      <w:marRight w:val="0"/>
      <w:marTop w:val="0"/>
      <w:marBottom w:val="0"/>
      <w:divBdr>
        <w:top w:val="none" w:sz="0" w:space="0" w:color="auto"/>
        <w:left w:val="none" w:sz="0" w:space="0" w:color="auto"/>
        <w:bottom w:val="none" w:sz="0" w:space="0" w:color="auto"/>
        <w:right w:val="none" w:sz="0" w:space="0" w:color="auto"/>
      </w:divBdr>
    </w:div>
    <w:div w:id="65686763">
      <w:bodyDiv w:val="1"/>
      <w:marLeft w:val="0"/>
      <w:marRight w:val="0"/>
      <w:marTop w:val="0"/>
      <w:marBottom w:val="0"/>
      <w:divBdr>
        <w:top w:val="none" w:sz="0" w:space="0" w:color="auto"/>
        <w:left w:val="none" w:sz="0" w:space="0" w:color="auto"/>
        <w:bottom w:val="none" w:sz="0" w:space="0" w:color="auto"/>
        <w:right w:val="none" w:sz="0" w:space="0" w:color="auto"/>
      </w:divBdr>
    </w:div>
    <w:div w:id="66148756">
      <w:bodyDiv w:val="1"/>
      <w:marLeft w:val="0"/>
      <w:marRight w:val="0"/>
      <w:marTop w:val="0"/>
      <w:marBottom w:val="0"/>
      <w:divBdr>
        <w:top w:val="none" w:sz="0" w:space="0" w:color="auto"/>
        <w:left w:val="none" w:sz="0" w:space="0" w:color="auto"/>
        <w:bottom w:val="none" w:sz="0" w:space="0" w:color="auto"/>
        <w:right w:val="none" w:sz="0" w:space="0" w:color="auto"/>
      </w:divBdr>
    </w:div>
    <w:div w:id="68314669">
      <w:bodyDiv w:val="1"/>
      <w:marLeft w:val="0"/>
      <w:marRight w:val="0"/>
      <w:marTop w:val="0"/>
      <w:marBottom w:val="0"/>
      <w:divBdr>
        <w:top w:val="none" w:sz="0" w:space="0" w:color="auto"/>
        <w:left w:val="none" w:sz="0" w:space="0" w:color="auto"/>
        <w:bottom w:val="none" w:sz="0" w:space="0" w:color="auto"/>
        <w:right w:val="none" w:sz="0" w:space="0" w:color="auto"/>
      </w:divBdr>
    </w:div>
    <w:div w:id="69469256">
      <w:bodyDiv w:val="1"/>
      <w:marLeft w:val="0"/>
      <w:marRight w:val="0"/>
      <w:marTop w:val="0"/>
      <w:marBottom w:val="0"/>
      <w:divBdr>
        <w:top w:val="none" w:sz="0" w:space="0" w:color="auto"/>
        <w:left w:val="none" w:sz="0" w:space="0" w:color="auto"/>
        <w:bottom w:val="none" w:sz="0" w:space="0" w:color="auto"/>
        <w:right w:val="none" w:sz="0" w:space="0" w:color="auto"/>
      </w:divBdr>
    </w:div>
    <w:div w:id="70664615">
      <w:bodyDiv w:val="1"/>
      <w:marLeft w:val="0"/>
      <w:marRight w:val="0"/>
      <w:marTop w:val="0"/>
      <w:marBottom w:val="0"/>
      <w:divBdr>
        <w:top w:val="none" w:sz="0" w:space="0" w:color="auto"/>
        <w:left w:val="none" w:sz="0" w:space="0" w:color="auto"/>
        <w:bottom w:val="none" w:sz="0" w:space="0" w:color="auto"/>
        <w:right w:val="none" w:sz="0" w:space="0" w:color="auto"/>
      </w:divBdr>
    </w:div>
    <w:div w:id="71516418">
      <w:bodyDiv w:val="1"/>
      <w:marLeft w:val="0"/>
      <w:marRight w:val="0"/>
      <w:marTop w:val="0"/>
      <w:marBottom w:val="0"/>
      <w:divBdr>
        <w:top w:val="none" w:sz="0" w:space="0" w:color="auto"/>
        <w:left w:val="none" w:sz="0" w:space="0" w:color="auto"/>
        <w:bottom w:val="none" w:sz="0" w:space="0" w:color="auto"/>
        <w:right w:val="none" w:sz="0" w:space="0" w:color="auto"/>
      </w:divBdr>
    </w:div>
    <w:div w:id="72359319">
      <w:bodyDiv w:val="1"/>
      <w:marLeft w:val="0"/>
      <w:marRight w:val="0"/>
      <w:marTop w:val="0"/>
      <w:marBottom w:val="0"/>
      <w:divBdr>
        <w:top w:val="none" w:sz="0" w:space="0" w:color="auto"/>
        <w:left w:val="none" w:sz="0" w:space="0" w:color="auto"/>
        <w:bottom w:val="none" w:sz="0" w:space="0" w:color="auto"/>
        <w:right w:val="none" w:sz="0" w:space="0" w:color="auto"/>
      </w:divBdr>
    </w:div>
    <w:div w:id="73089447">
      <w:bodyDiv w:val="1"/>
      <w:marLeft w:val="0"/>
      <w:marRight w:val="0"/>
      <w:marTop w:val="0"/>
      <w:marBottom w:val="0"/>
      <w:divBdr>
        <w:top w:val="none" w:sz="0" w:space="0" w:color="auto"/>
        <w:left w:val="none" w:sz="0" w:space="0" w:color="auto"/>
        <w:bottom w:val="none" w:sz="0" w:space="0" w:color="auto"/>
        <w:right w:val="none" w:sz="0" w:space="0" w:color="auto"/>
      </w:divBdr>
    </w:div>
    <w:div w:id="74204089">
      <w:bodyDiv w:val="1"/>
      <w:marLeft w:val="0"/>
      <w:marRight w:val="0"/>
      <w:marTop w:val="0"/>
      <w:marBottom w:val="0"/>
      <w:divBdr>
        <w:top w:val="none" w:sz="0" w:space="0" w:color="auto"/>
        <w:left w:val="none" w:sz="0" w:space="0" w:color="auto"/>
        <w:bottom w:val="none" w:sz="0" w:space="0" w:color="auto"/>
        <w:right w:val="none" w:sz="0" w:space="0" w:color="auto"/>
      </w:divBdr>
    </w:div>
    <w:div w:id="76248226">
      <w:bodyDiv w:val="1"/>
      <w:marLeft w:val="0"/>
      <w:marRight w:val="0"/>
      <w:marTop w:val="0"/>
      <w:marBottom w:val="0"/>
      <w:divBdr>
        <w:top w:val="none" w:sz="0" w:space="0" w:color="auto"/>
        <w:left w:val="none" w:sz="0" w:space="0" w:color="auto"/>
        <w:bottom w:val="none" w:sz="0" w:space="0" w:color="auto"/>
        <w:right w:val="none" w:sz="0" w:space="0" w:color="auto"/>
      </w:divBdr>
    </w:div>
    <w:div w:id="76371064">
      <w:bodyDiv w:val="1"/>
      <w:marLeft w:val="0"/>
      <w:marRight w:val="0"/>
      <w:marTop w:val="0"/>
      <w:marBottom w:val="0"/>
      <w:divBdr>
        <w:top w:val="none" w:sz="0" w:space="0" w:color="auto"/>
        <w:left w:val="none" w:sz="0" w:space="0" w:color="auto"/>
        <w:bottom w:val="none" w:sz="0" w:space="0" w:color="auto"/>
        <w:right w:val="none" w:sz="0" w:space="0" w:color="auto"/>
      </w:divBdr>
    </w:div>
    <w:div w:id="78644890">
      <w:bodyDiv w:val="1"/>
      <w:marLeft w:val="0"/>
      <w:marRight w:val="0"/>
      <w:marTop w:val="0"/>
      <w:marBottom w:val="0"/>
      <w:divBdr>
        <w:top w:val="none" w:sz="0" w:space="0" w:color="auto"/>
        <w:left w:val="none" w:sz="0" w:space="0" w:color="auto"/>
        <w:bottom w:val="none" w:sz="0" w:space="0" w:color="auto"/>
        <w:right w:val="none" w:sz="0" w:space="0" w:color="auto"/>
      </w:divBdr>
    </w:div>
    <w:div w:id="79178022">
      <w:bodyDiv w:val="1"/>
      <w:marLeft w:val="0"/>
      <w:marRight w:val="0"/>
      <w:marTop w:val="0"/>
      <w:marBottom w:val="0"/>
      <w:divBdr>
        <w:top w:val="none" w:sz="0" w:space="0" w:color="auto"/>
        <w:left w:val="none" w:sz="0" w:space="0" w:color="auto"/>
        <w:bottom w:val="none" w:sz="0" w:space="0" w:color="auto"/>
        <w:right w:val="none" w:sz="0" w:space="0" w:color="auto"/>
      </w:divBdr>
    </w:div>
    <w:div w:id="82188435">
      <w:bodyDiv w:val="1"/>
      <w:marLeft w:val="0"/>
      <w:marRight w:val="0"/>
      <w:marTop w:val="0"/>
      <w:marBottom w:val="0"/>
      <w:divBdr>
        <w:top w:val="none" w:sz="0" w:space="0" w:color="auto"/>
        <w:left w:val="none" w:sz="0" w:space="0" w:color="auto"/>
        <w:bottom w:val="none" w:sz="0" w:space="0" w:color="auto"/>
        <w:right w:val="none" w:sz="0" w:space="0" w:color="auto"/>
      </w:divBdr>
    </w:div>
    <w:div w:id="82994030">
      <w:bodyDiv w:val="1"/>
      <w:marLeft w:val="0"/>
      <w:marRight w:val="0"/>
      <w:marTop w:val="0"/>
      <w:marBottom w:val="0"/>
      <w:divBdr>
        <w:top w:val="none" w:sz="0" w:space="0" w:color="auto"/>
        <w:left w:val="none" w:sz="0" w:space="0" w:color="auto"/>
        <w:bottom w:val="none" w:sz="0" w:space="0" w:color="auto"/>
        <w:right w:val="none" w:sz="0" w:space="0" w:color="auto"/>
      </w:divBdr>
    </w:div>
    <w:div w:id="85733537">
      <w:bodyDiv w:val="1"/>
      <w:marLeft w:val="0"/>
      <w:marRight w:val="0"/>
      <w:marTop w:val="0"/>
      <w:marBottom w:val="0"/>
      <w:divBdr>
        <w:top w:val="none" w:sz="0" w:space="0" w:color="auto"/>
        <w:left w:val="none" w:sz="0" w:space="0" w:color="auto"/>
        <w:bottom w:val="none" w:sz="0" w:space="0" w:color="auto"/>
        <w:right w:val="none" w:sz="0" w:space="0" w:color="auto"/>
      </w:divBdr>
    </w:div>
    <w:div w:id="86923545">
      <w:bodyDiv w:val="1"/>
      <w:marLeft w:val="0"/>
      <w:marRight w:val="0"/>
      <w:marTop w:val="0"/>
      <w:marBottom w:val="0"/>
      <w:divBdr>
        <w:top w:val="none" w:sz="0" w:space="0" w:color="auto"/>
        <w:left w:val="none" w:sz="0" w:space="0" w:color="auto"/>
        <w:bottom w:val="none" w:sz="0" w:space="0" w:color="auto"/>
        <w:right w:val="none" w:sz="0" w:space="0" w:color="auto"/>
      </w:divBdr>
    </w:div>
    <w:div w:id="87309258">
      <w:bodyDiv w:val="1"/>
      <w:marLeft w:val="0"/>
      <w:marRight w:val="0"/>
      <w:marTop w:val="0"/>
      <w:marBottom w:val="0"/>
      <w:divBdr>
        <w:top w:val="none" w:sz="0" w:space="0" w:color="auto"/>
        <w:left w:val="none" w:sz="0" w:space="0" w:color="auto"/>
        <w:bottom w:val="none" w:sz="0" w:space="0" w:color="auto"/>
        <w:right w:val="none" w:sz="0" w:space="0" w:color="auto"/>
      </w:divBdr>
    </w:div>
    <w:div w:id="87621784">
      <w:bodyDiv w:val="1"/>
      <w:marLeft w:val="0"/>
      <w:marRight w:val="0"/>
      <w:marTop w:val="0"/>
      <w:marBottom w:val="0"/>
      <w:divBdr>
        <w:top w:val="none" w:sz="0" w:space="0" w:color="auto"/>
        <w:left w:val="none" w:sz="0" w:space="0" w:color="auto"/>
        <w:bottom w:val="none" w:sz="0" w:space="0" w:color="auto"/>
        <w:right w:val="none" w:sz="0" w:space="0" w:color="auto"/>
      </w:divBdr>
    </w:div>
    <w:div w:id="93596839">
      <w:bodyDiv w:val="1"/>
      <w:marLeft w:val="0"/>
      <w:marRight w:val="0"/>
      <w:marTop w:val="0"/>
      <w:marBottom w:val="0"/>
      <w:divBdr>
        <w:top w:val="none" w:sz="0" w:space="0" w:color="auto"/>
        <w:left w:val="none" w:sz="0" w:space="0" w:color="auto"/>
        <w:bottom w:val="none" w:sz="0" w:space="0" w:color="auto"/>
        <w:right w:val="none" w:sz="0" w:space="0" w:color="auto"/>
      </w:divBdr>
    </w:div>
    <w:div w:id="93675899">
      <w:bodyDiv w:val="1"/>
      <w:marLeft w:val="0"/>
      <w:marRight w:val="0"/>
      <w:marTop w:val="0"/>
      <w:marBottom w:val="0"/>
      <w:divBdr>
        <w:top w:val="none" w:sz="0" w:space="0" w:color="auto"/>
        <w:left w:val="none" w:sz="0" w:space="0" w:color="auto"/>
        <w:bottom w:val="none" w:sz="0" w:space="0" w:color="auto"/>
        <w:right w:val="none" w:sz="0" w:space="0" w:color="auto"/>
      </w:divBdr>
    </w:div>
    <w:div w:id="94445681">
      <w:bodyDiv w:val="1"/>
      <w:marLeft w:val="0"/>
      <w:marRight w:val="0"/>
      <w:marTop w:val="0"/>
      <w:marBottom w:val="0"/>
      <w:divBdr>
        <w:top w:val="none" w:sz="0" w:space="0" w:color="auto"/>
        <w:left w:val="none" w:sz="0" w:space="0" w:color="auto"/>
        <w:bottom w:val="none" w:sz="0" w:space="0" w:color="auto"/>
        <w:right w:val="none" w:sz="0" w:space="0" w:color="auto"/>
      </w:divBdr>
    </w:div>
    <w:div w:id="94792019">
      <w:bodyDiv w:val="1"/>
      <w:marLeft w:val="0"/>
      <w:marRight w:val="0"/>
      <w:marTop w:val="0"/>
      <w:marBottom w:val="0"/>
      <w:divBdr>
        <w:top w:val="none" w:sz="0" w:space="0" w:color="auto"/>
        <w:left w:val="none" w:sz="0" w:space="0" w:color="auto"/>
        <w:bottom w:val="none" w:sz="0" w:space="0" w:color="auto"/>
        <w:right w:val="none" w:sz="0" w:space="0" w:color="auto"/>
      </w:divBdr>
    </w:div>
    <w:div w:id="94982943">
      <w:bodyDiv w:val="1"/>
      <w:marLeft w:val="0"/>
      <w:marRight w:val="0"/>
      <w:marTop w:val="0"/>
      <w:marBottom w:val="0"/>
      <w:divBdr>
        <w:top w:val="none" w:sz="0" w:space="0" w:color="auto"/>
        <w:left w:val="none" w:sz="0" w:space="0" w:color="auto"/>
        <w:bottom w:val="none" w:sz="0" w:space="0" w:color="auto"/>
        <w:right w:val="none" w:sz="0" w:space="0" w:color="auto"/>
      </w:divBdr>
    </w:div>
    <w:div w:id="101927259">
      <w:bodyDiv w:val="1"/>
      <w:marLeft w:val="0"/>
      <w:marRight w:val="0"/>
      <w:marTop w:val="0"/>
      <w:marBottom w:val="0"/>
      <w:divBdr>
        <w:top w:val="none" w:sz="0" w:space="0" w:color="auto"/>
        <w:left w:val="none" w:sz="0" w:space="0" w:color="auto"/>
        <w:bottom w:val="none" w:sz="0" w:space="0" w:color="auto"/>
        <w:right w:val="none" w:sz="0" w:space="0" w:color="auto"/>
      </w:divBdr>
    </w:div>
    <w:div w:id="106051308">
      <w:bodyDiv w:val="1"/>
      <w:marLeft w:val="0"/>
      <w:marRight w:val="0"/>
      <w:marTop w:val="0"/>
      <w:marBottom w:val="0"/>
      <w:divBdr>
        <w:top w:val="none" w:sz="0" w:space="0" w:color="auto"/>
        <w:left w:val="none" w:sz="0" w:space="0" w:color="auto"/>
        <w:bottom w:val="none" w:sz="0" w:space="0" w:color="auto"/>
        <w:right w:val="none" w:sz="0" w:space="0" w:color="auto"/>
      </w:divBdr>
    </w:div>
    <w:div w:id="107429126">
      <w:bodyDiv w:val="1"/>
      <w:marLeft w:val="0"/>
      <w:marRight w:val="0"/>
      <w:marTop w:val="0"/>
      <w:marBottom w:val="0"/>
      <w:divBdr>
        <w:top w:val="none" w:sz="0" w:space="0" w:color="auto"/>
        <w:left w:val="none" w:sz="0" w:space="0" w:color="auto"/>
        <w:bottom w:val="none" w:sz="0" w:space="0" w:color="auto"/>
        <w:right w:val="none" w:sz="0" w:space="0" w:color="auto"/>
      </w:divBdr>
    </w:div>
    <w:div w:id="107899708">
      <w:bodyDiv w:val="1"/>
      <w:marLeft w:val="0"/>
      <w:marRight w:val="0"/>
      <w:marTop w:val="0"/>
      <w:marBottom w:val="0"/>
      <w:divBdr>
        <w:top w:val="none" w:sz="0" w:space="0" w:color="auto"/>
        <w:left w:val="none" w:sz="0" w:space="0" w:color="auto"/>
        <w:bottom w:val="none" w:sz="0" w:space="0" w:color="auto"/>
        <w:right w:val="none" w:sz="0" w:space="0" w:color="auto"/>
      </w:divBdr>
    </w:div>
    <w:div w:id="108623973">
      <w:bodyDiv w:val="1"/>
      <w:marLeft w:val="0"/>
      <w:marRight w:val="0"/>
      <w:marTop w:val="0"/>
      <w:marBottom w:val="0"/>
      <w:divBdr>
        <w:top w:val="none" w:sz="0" w:space="0" w:color="auto"/>
        <w:left w:val="none" w:sz="0" w:space="0" w:color="auto"/>
        <w:bottom w:val="none" w:sz="0" w:space="0" w:color="auto"/>
        <w:right w:val="none" w:sz="0" w:space="0" w:color="auto"/>
      </w:divBdr>
    </w:div>
    <w:div w:id="109320442">
      <w:bodyDiv w:val="1"/>
      <w:marLeft w:val="0"/>
      <w:marRight w:val="0"/>
      <w:marTop w:val="0"/>
      <w:marBottom w:val="0"/>
      <w:divBdr>
        <w:top w:val="none" w:sz="0" w:space="0" w:color="auto"/>
        <w:left w:val="none" w:sz="0" w:space="0" w:color="auto"/>
        <w:bottom w:val="none" w:sz="0" w:space="0" w:color="auto"/>
        <w:right w:val="none" w:sz="0" w:space="0" w:color="auto"/>
      </w:divBdr>
    </w:div>
    <w:div w:id="109978420">
      <w:bodyDiv w:val="1"/>
      <w:marLeft w:val="0"/>
      <w:marRight w:val="0"/>
      <w:marTop w:val="0"/>
      <w:marBottom w:val="0"/>
      <w:divBdr>
        <w:top w:val="none" w:sz="0" w:space="0" w:color="auto"/>
        <w:left w:val="none" w:sz="0" w:space="0" w:color="auto"/>
        <w:bottom w:val="none" w:sz="0" w:space="0" w:color="auto"/>
        <w:right w:val="none" w:sz="0" w:space="0" w:color="auto"/>
      </w:divBdr>
    </w:div>
    <w:div w:id="114448724">
      <w:bodyDiv w:val="1"/>
      <w:marLeft w:val="0"/>
      <w:marRight w:val="0"/>
      <w:marTop w:val="0"/>
      <w:marBottom w:val="0"/>
      <w:divBdr>
        <w:top w:val="none" w:sz="0" w:space="0" w:color="auto"/>
        <w:left w:val="none" w:sz="0" w:space="0" w:color="auto"/>
        <w:bottom w:val="none" w:sz="0" w:space="0" w:color="auto"/>
        <w:right w:val="none" w:sz="0" w:space="0" w:color="auto"/>
      </w:divBdr>
    </w:div>
    <w:div w:id="116607200">
      <w:bodyDiv w:val="1"/>
      <w:marLeft w:val="0"/>
      <w:marRight w:val="0"/>
      <w:marTop w:val="0"/>
      <w:marBottom w:val="0"/>
      <w:divBdr>
        <w:top w:val="none" w:sz="0" w:space="0" w:color="auto"/>
        <w:left w:val="none" w:sz="0" w:space="0" w:color="auto"/>
        <w:bottom w:val="none" w:sz="0" w:space="0" w:color="auto"/>
        <w:right w:val="none" w:sz="0" w:space="0" w:color="auto"/>
      </w:divBdr>
    </w:div>
    <w:div w:id="119959101">
      <w:bodyDiv w:val="1"/>
      <w:marLeft w:val="0"/>
      <w:marRight w:val="0"/>
      <w:marTop w:val="0"/>
      <w:marBottom w:val="0"/>
      <w:divBdr>
        <w:top w:val="none" w:sz="0" w:space="0" w:color="auto"/>
        <w:left w:val="none" w:sz="0" w:space="0" w:color="auto"/>
        <w:bottom w:val="none" w:sz="0" w:space="0" w:color="auto"/>
        <w:right w:val="none" w:sz="0" w:space="0" w:color="auto"/>
      </w:divBdr>
    </w:div>
    <w:div w:id="121316500">
      <w:bodyDiv w:val="1"/>
      <w:marLeft w:val="0"/>
      <w:marRight w:val="0"/>
      <w:marTop w:val="0"/>
      <w:marBottom w:val="0"/>
      <w:divBdr>
        <w:top w:val="none" w:sz="0" w:space="0" w:color="auto"/>
        <w:left w:val="none" w:sz="0" w:space="0" w:color="auto"/>
        <w:bottom w:val="none" w:sz="0" w:space="0" w:color="auto"/>
        <w:right w:val="none" w:sz="0" w:space="0" w:color="auto"/>
      </w:divBdr>
    </w:div>
    <w:div w:id="122886954">
      <w:bodyDiv w:val="1"/>
      <w:marLeft w:val="0"/>
      <w:marRight w:val="0"/>
      <w:marTop w:val="0"/>
      <w:marBottom w:val="0"/>
      <w:divBdr>
        <w:top w:val="none" w:sz="0" w:space="0" w:color="auto"/>
        <w:left w:val="none" w:sz="0" w:space="0" w:color="auto"/>
        <w:bottom w:val="none" w:sz="0" w:space="0" w:color="auto"/>
        <w:right w:val="none" w:sz="0" w:space="0" w:color="auto"/>
      </w:divBdr>
    </w:div>
    <w:div w:id="124661363">
      <w:bodyDiv w:val="1"/>
      <w:marLeft w:val="0"/>
      <w:marRight w:val="0"/>
      <w:marTop w:val="0"/>
      <w:marBottom w:val="0"/>
      <w:divBdr>
        <w:top w:val="none" w:sz="0" w:space="0" w:color="auto"/>
        <w:left w:val="none" w:sz="0" w:space="0" w:color="auto"/>
        <w:bottom w:val="none" w:sz="0" w:space="0" w:color="auto"/>
        <w:right w:val="none" w:sz="0" w:space="0" w:color="auto"/>
      </w:divBdr>
    </w:div>
    <w:div w:id="125858243">
      <w:bodyDiv w:val="1"/>
      <w:marLeft w:val="0"/>
      <w:marRight w:val="0"/>
      <w:marTop w:val="0"/>
      <w:marBottom w:val="0"/>
      <w:divBdr>
        <w:top w:val="none" w:sz="0" w:space="0" w:color="auto"/>
        <w:left w:val="none" w:sz="0" w:space="0" w:color="auto"/>
        <w:bottom w:val="none" w:sz="0" w:space="0" w:color="auto"/>
        <w:right w:val="none" w:sz="0" w:space="0" w:color="auto"/>
      </w:divBdr>
    </w:div>
    <w:div w:id="125902384">
      <w:bodyDiv w:val="1"/>
      <w:marLeft w:val="0"/>
      <w:marRight w:val="0"/>
      <w:marTop w:val="0"/>
      <w:marBottom w:val="0"/>
      <w:divBdr>
        <w:top w:val="none" w:sz="0" w:space="0" w:color="auto"/>
        <w:left w:val="none" w:sz="0" w:space="0" w:color="auto"/>
        <w:bottom w:val="none" w:sz="0" w:space="0" w:color="auto"/>
        <w:right w:val="none" w:sz="0" w:space="0" w:color="auto"/>
      </w:divBdr>
    </w:div>
    <w:div w:id="127557664">
      <w:bodyDiv w:val="1"/>
      <w:marLeft w:val="0"/>
      <w:marRight w:val="0"/>
      <w:marTop w:val="0"/>
      <w:marBottom w:val="0"/>
      <w:divBdr>
        <w:top w:val="none" w:sz="0" w:space="0" w:color="auto"/>
        <w:left w:val="none" w:sz="0" w:space="0" w:color="auto"/>
        <w:bottom w:val="none" w:sz="0" w:space="0" w:color="auto"/>
        <w:right w:val="none" w:sz="0" w:space="0" w:color="auto"/>
      </w:divBdr>
    </w:div>
    <w:div w:id="129440218">
      <w:bodyDiv w:val="1"/>
      <w:marLeft w:val="0"/>
      <w:marRight w:val="0"/>
      <w:marTop w:val="0"/>
      <w:marBottom w:val="0"/>
      <w:divBdr>
        <w:top w:val="none" w:sz="0" w:space="0" w:color="auto"/>
        <w:left w:val="none" w:sz="0" w:space="0" w:color="auto"/>
        <w:bottom w:val="none" w:sz="0" w:space="0" w:color="auto"/>
        <w:right w:val="none" w:sz="0" w:space="0" w:color="auto"/>
      </w:divBdr>
    </w:div>
    <w:div w:id="129833941">
      <w:bodyDiv w:val="1"/>
      <w:marLeft w:val="0"/>
      <w:marRight w:val="0"/>
      <w:marTop w:val="0"/>
      <w:marBottom w:val="0"/>
      <w:divBdr>
        <w:top w:val="none" w:sz="0" w:space="0" w:color="auto"/>
        <w:left w:val="none" w:sz="0" w:space="0" w:color="auto"/>
        <w:bottom w:val="none" w:sz="0" w:space="0" w:color="auto"/>
        <w:right w:val="none" w:sz="0" w:space="0" w:color="auto"/>
      </w:divBdr>
    </w:div>
    <w:div w:id="132452609">
      <w:bodyDiv w:val="1"/>
      <w:marLeft w:val="0"/>
      <w:marRight w:val="0"/>
      <w:marTop w:val="0"/>
      <w:marBottom w:val="0"/>
      <w:divBdr>
        <w:top w:val="none" w:sz="0" w:space="0" w:color="auto"/>
        <w:left w:val="none" w:sz="0" w:space="0" w:color="auto"/>
        <w:bottom w:val="none" w:sz="0" w:space="0" w:color="auto"/>
        <w:right w:val="none" w:sz="0" w:space="0" w:color="auto"/>
      </w:divBdr>
    </w:div>
    <w:div w:id="132646539">
      <w:bodyDiv w:val="1"/>
      <w:marLeft w:val="0"/>
      <w:marRight w:val="0"/>
      <w:marTop w:val="0"/>
      <w:marBottom w:val="0"/>
      <w:divBdr>
        <w:top w:val="none" w:sz="0" w:space="0" w:color="auto"/>
        <w:left w:val="none" w:sz="0" w:space="0" w:color="auto"/>
        <w:bottom w:val="none" w:sz="0" w:space="0" w:color="auto"/>
        <w:right w:val="none" w:sz="0" w:space="0" w:color="auto"/>
      </w:divBdr>
    </w:div>
    <w:div w:id="133838900">
      <w:bodyDiv w:val="1"/>
      <w:marLeft w:val="0"/>
      <w:marRight w:val="0"/>
      <w:marTop w:val="0"/>
      <w:marBottom w:val="0"/>
      <w:divBdr>
        <w:top w:val="none" w:sz="0" w:space="0" w:color="auto"/>
        <w:left w:val="none" w:sz="0" w:space="0" w:color="auto"/>
        <w:bottom w:val="none" w:sz="0" w:space="0" w:color="auto"/>
        <w:right w:val="none" w:sz="0" w:space="0" w:color="auto"/>
      </w:divBdr>
    </w:div>
    <w:div w:id="134178785">
      <w:bodyDiv w:val="1"/>
      <w:marLeft w:val="0"/>
      <w:marRight w:val="0"/>
      <w:marTop w:val="0"/>
      <w:marBottom w:val="0"/>
      <w:divBdr>
        <w:top w:val="none" w:sz="0" w:space="0" w:color="auto"/>
        <w:left w:val="none" w:sz="0" w:space="0" w:color="auto"/>
        <w:bottom w:val="none" w:sz="0" w:space="0" w:color="auto"/>
        <w:right w:val="none" w:sz="0" w:space="0" w:color="auto"/>
      </w:divBdr>
    </w:div>
    <w:div w:id="135143452">
      <w:bodyDiv w:val="1"/>
      <w:marLeft w:val="0"/>
      <w:marRight w:val="0"/>
      <w:marTop w:val="0"/>
      <w:marBottom w:val="0"/>
      <w:divBdr>
        <w:top w:val="none" w:sz="0" w:space="0" w:color="auto"/>
        <w:left w:val="none" w:sz="0" w:space="0" w:color="auto"/>
        <w:bottom w:val="none" w:sz="0" w:space="0" w:color="auto"/>
        <w:right w:val="none" w:sz="0" w:space="0" w:color="auto"/>
      </w:divBdr>
    </w:div>
    <w:div w:id="135413349">
      <w:bodyDiv w:val="1"/>
      <w:marLeft w:val="0"/>
      <w:marRight w:val="0"/>
      <w:marTop w:val="0"/>
      <w:marBottom w:val="0"/>
      <w:divBdr>
        <w:top w:val="none" w:sz="0" w:space="0" w:color="auto"/>
        <w:left w:val="none" w:sz="0" w:space="0" w:color="auto"/>
        <w:bottom w:val="none" w:sz="0" w:space="0" w:color="auto"/>
        <w:right w:val="none" w:sz="0" w:space="0" w:color="auto"/>
      </w:divBdr>
    </w:div>
    <w:div w:id="139540457">
      <w:bodyDiv w:val="1"/>
      <w:marLeft w:val="0"/>
      <w:marRight w:val="0"/>
      <w:marTop w:val="0"/>
      <w:marBottom w:val="0"/>
      <w:divBdr>
        <w:top w:val="none" w:sz="0" w:space="0" w:color="auto"/>
        <w:left w:val="none" w:sz="0" w:space="0" w:color="auto"/>
        <w:bottom w:val="none" w:sz="0" w:space="0" w:color="auto"/>
        <w:right w:val="none" w:sz="0" w:space="0" w:color="auto"/>
      </w:divBdr>
    </w:div>
    <w:div w:id="141626945">
      <w:bodyDiv w:val="1"/>
      <w:marLeft w:val="0"/>
      <w:marRight w:val="0"/>
      <w:marTop w:val="0"/>
      <w:marBottom w:val="0"/>
      <w:divBdr>
        <w:top w:val="none" w:sz="0" w:space="0" w:color="auto"/>
        <w:left w:val="none" w:sz="0" w:space="0" w:color="auto"/>
        <w:bottom w:val="none" w:sz="0" w:space="0" w:color="auto"/>
        <w:right w:val="none" w:sz="0" w:space="0" w:color="auto"/>
      </w:divBdr>
    </w:div>
    <w:div w:id="143353812">
      <w:bodyDiv w:val="1"/>
      <w:marLeft w:val="0"/>
      <w:marRight w:val="0"/>
      <w:marTop w:val="0"/>
      <w:marBottom w:val="0"/>
      <w:divBdr>
        <w:top w:val="none" w:sz="0" w:space="0" w:color="auto"/>
        <w:left w:val="none" w:sz="0" w:space="0" w:color="auto"/>
        <w:bottom w:val="none" w:sz="0" w:space="0" w:color="auto"/>
        <w:right w:val="none" w:sz="0" w:space="0" w:color="auto"/>
      </w:divBdr>
    </w:div>
    <w:div w:id="144244841">
      <w:bodyDiv w:val="1"/>
      <w:marLeft w:val="0"/>
      <w:marRight w:val="0"/>
      <w:marTop w:val="0"/>
      <w:marBottom w:val="0"/>
      <w:divBdr>
        <w:top w:val="none" w:sz="0" w:space="0" w:color="auto"/>
        <w:left w:val="none" w:sz="0" w:space="0" w:color="auto"/>
        <w:bottom w:val="none" w:sz="0" w:space="0" w:color="auto"/>
        <w:right w:val="none" w:sz="0" w:space="0" w:color="auto"/>
      </w:divBdr>
    </w:div>
    <w:div w:id="150367339">
      <w:bodyDiv w:val="1"/>
      <w:marLeft w:val="0"/>
      <w:marRight w:val="0"/>
      <w:marTop w:val="0"/>
      <w:marBottom w:val="0"/>
      <w:divBdr>
        <w:top w:val="none" w:sz="0" w:space="0" w:color="auto"/>
        <w:left w:val="none" w:sz="0" w:space="0" w:color="auto"/>
        <w:bottom w:val="none" w:sz="0" w:space="0" w:color="auto"/>
        <w:right w:val="none" w:sz="0" w:space="0" w:color="auto"/>
      </w:divBdr>
    </w:div>
    <w:div w:id="151721704">
      <w:bodyDiv w:val="1"/>
      <w:marLeft w:val="0"/>
      <w:marRight w:val="0"/>
      <w:marTop w:val="0"/>
      <w:marBottom w:val="0"/>
      <w:divBdr>
        <w:top w:val="none" w:sz="0" w:space="0" w:color="auto"/>
        <w:left w:val="none" w:sz="0" w:space="0" w:color="auto"/>
        <w:bottom w:val="none" w:sz="0" w:space="0" w:color="auto"/>
        <w:right w:val="none" w:sz="0" w:space="0" w:color="auto"/>
      </w:divBdr>
    </w:div>
    <w:div w:id="151944886">
      <w:bodyDiv w:val="1"/>
      <w:marLeft w:val="0"/>
      <w:marRight w:val="0"/>
      <w:marTop w:val="0"/>
      <w:marBottom w:val="0"/>
      <w:divBdr>
        <w:top w:val="none" w:sz="0" w:space="0" w:color="auto"/>
        <w:left w:val="none" w:sz="0" w:space="0" w:color="auto"/>
        <w:bottom w:val="none" w:sz="0" w:space="0" w:color="auto"/>
        <w:right w:val="none" w:sz="0" w:space="0" w:color="auto"/>
      </w:divBdr>
    </w:div>
    <w:div w:id="152307461">
      <w:bodyDiv w:val="1"/>
      <w:marLeft w:val="0"/>
      <w:marRight w:val="0"/>
      <w:marTop w:val="0"/>
      <w:marBottom w:val="0"/>
      <w:divBdr>
        <w:top w:val="none" w:sz="0" w:space="0" w:color="auto"/>
        <w:left w:val="none" w:sz="0" w:space="0" w:color="auto"/>
        <w:bottom w:val="none" w:sz="0" w:space="0" w:color="auto"/>
        <w:right w:val="none" w:sz="0" w:space="0" w:color="auto"/>
      </w:divBdr>
    </w:div>
    <w:div w:id="154690175">
      <w:bodyDiv w:val="1"/>
      <w:marLeft w:val="0"/>
      <w:marRight w:val="0"/>
      <w:marTop w:val="0"/>
      <w:marBottom w:val="0"/>
      <w:divBdr>
        <w:top w:val="none" w:sz="0" w:space="0" w:color="auto"/>
        <w:left w:val="none" w:sz="0" w:space="0" w:color="auto"/>
        <w:bottom w:val="none" w:sz="0" w:space="0" w:color="auto"/>
        <w:right w:val="none" w:sz="0" w:space="0" w:color="auto"/>
      </w:divBdr>
    </w:div>
    <w:div w:id="155652508">
      <w:bodyDiv w:val="1"/>
      <w:marLeft w:val="0"/>
      <w:marRight w:val="0"/>
      <w:marTop w:val="0"/>
      <w:marBottom w:val="0"/>
      <w:divBdr>
        <w:top w:val="none" w:sz="0" w:space="0" w:color="auto"/>
        <w:left w:val="none" w:sz="0" w:space="0" w:color="auto"/>
        <w:bottom w:val="none" w:sz="0" w:space="0" w:color="auto"/>
        <w:right w:val="none" w:sz="0" w:space="0" w:color="auto"/>
      </w:divBdr>
    </w:div>
    <w:div w:id="155729068">
      <w:bodyDiv w:val="1"/>
      <w:marLeft w:val="0"/>
      <w:marRight w:val="0"/>
      <w:marTop w:val="0"/>
      <w:marBottom w:val="0"/>
      <w:divBdr>
        <w:top w:val="none" w:sz="0" w:space="0" w:color="auto"/>
        <w:left w:val="none" w:sz="0" w:space="0" w:color="auto"/>
        <w:bottom w:val="none" w:sz="0" w:space="0" w:color="auto"/>
        <w:right w:val="none" w:sz="0" w:space="0" w:color="auto"/>
      </w:divBdr>
    </w:div>
    <w:div w:id="159735759">
      <w:bodyDiv w:val="1"/>
      <w:marLeft w:val="0"/>
      <w:marRight w:val="0"/>
      <w:marTop w:val="0"/>
      <w:marBottom w:val="0"/>
      <w:divBdr>
        <w:top w:val="none" w:sz="0" w:space="0" w:color="auto"/>
        <w:left w:val="none" w:sz="0" w:space="0" w:color="auto"/>
        <w:bottom w:val="none" w:sz="0" w:space="0" w:color="auto"/>
        <w:right w:val="none" w:sz="0" w:space="0" w:color="auto"/>
      </w:divBdr>
    </w:div>
    <w:div w:id="160774668">
      <w:bodyDiv w:val="1"/>
      <w:marLeft w:val="0"/>
      <w:marRight w:val="0"/>
      <w:marTop w:val="0"/>
      <w:marBottom w:val="0"/>
      <w:divBdr>
        <w:top w:val="none" w:sz="0" w:space="0" w:color="auto"/>
        <w:left w:val="none" w:sz="0" w:space="0" w:color="auto"/>
        <w:bottom w:val="none" w:sz="0" w:space="0" w:color="auto"/>
        <w:right w:val="none" w:sz="0" w:space="0" w:color="auto"/>
      </w:divBdr>
    </w:div>
    <w:div w:id="163059960">
      <w:bodyDiv w:val="1"/>
      <w:marLeft w:val="0"/>
      <w:marRight w:val="0"/>
      <w:marTop w:val="0"/>
      <w:marBottom w:val="0"/>
      <w:divBdr>
        <w:top w:val="none" w:sz="0" w:space="0" w:color="auto"/>
        <w:left w:val="none" w:sz="0" w:space="0" w:color="auto"/>
        <w:bottom w:val="none" w:sz="0" w:space="0" w:color="auto"/>
        <w:right w:val="none" w:sz="0" w:space="0" w:color="auto"/>
      </w:divBdr>
    </w:div>
    <w:div w:id="166795544">
      <w:bodyDiv w:val="1"/>
      <w:marLeft w:val="0"/>
      <w:marRight w:val="0"/>
      <w:marTop w:val="0"/>
      <w:marBottom w:val="0"/>
      <w:divBdr>
        <w:top w:val="none" w:sz="0" w:space="0" w:color="auto"/>
        <w:left w:val="none" w:sz="0" w:space="0" w:color="auto"/>
        <w:bottom w:val="none" w:sz="0" w:space="0" w:color="auto"/>
        <w:right w:val="none" w:sz="0" w:space="0" w:color="auto"/>
      </w:divBdr>
    </w:div>
    <w:div w:id="167062381">
      <w:bodyDiv w:val="1"/>
      <w:marLeft w:val="0"/>
      <w:marRight w:val="0"/>
      <w:marTop w:val="0"/>
      <w:marBottom w:val="0"/>
      <w:divBdr>
        <w:top w:val="none" w:sz="0" w:space="0" w:color="auto"/>
        <w:left w:val="none" w:sz="0" w:space="0" w:color="auto"/>
        <w:bottom w:val="none" w:sz="0" w:space="0" w:color="auto"/>
        <w:right w:val="none" w:sz="0" w:space="0" w:color="auto"/>
      </w:divBdr>
    </w:div>
    <w:div w:id="167255202">
      <w:bodyDiv w:val="1"/>
      <w:marLeft w:val="0"/>
      <w:marRight w:val="0"/>
      <w:marTop w:val="0"/>
      <w:marBottom w:val="0"/>
      <w:divBdr>
        <w:top w:val="none" w:sz="0" w:space="0" w:color="auto"/>
        <w:left w:val="none" w:sz="0" w:space="0" w:color="auto"/>
        <w:bottom w:val="none" w:sz="0" w:space="0" w:color="auto"/>
        <w:right w:val="none" w:sz="0" w:space="0" w:color="auto"/>
      </w:divBdr>
    </w:div>
    <w:div w:id="167985437">
      <w:bodyDiv w:val="1"/>
      <w:marLeft w:val="0"/>
      <w:marRight w:val="0"/>
      <w:marTop w:val="0"/>
      <w:marBottom w:val="0"/>
      <w:divBdr>
        <w:top w:val="none" w:sz="0" w:space="0" w:color="auto"/>
        <w:left w:val="none" w:sz="0" w:space="0" w:color="auto"/>
        <w:bottom w:val="none" w:sz="0" w:space="0" w:color="auto"/>
        <w:right w:val="none" w:sz="0" w:space="0" w:color="auto"/>
      </w:divBdr>
    </w:div>
    <w:div w:id="169487760">
      <w:bodyDiv w:val="1"/>
      <w:marLeft w:val="0"/>
      <w:marRight w:val="0"/>
      <w:marTop w:val="0"/>
      <w:marBottom w:val="0"/>
      <w:divBdr>
        <w:top w:val="none" w:sz="0" w:space="0" w:color="auto"/>
        <w:left w:val="none" w:sz="0" w:space="0" w:color="auto"/>
        <w:bottom w:val="none" w:sz="0" w:space="0" w:color="auto"/>
        <w:right w:val="none" w:sz="0" w:space="0" w:color="auto"/>
      </w:divBdr>
    </w:div>
    <w:div w:id="170265218">
      <w:bodyDiv w:val="1"/>
      <w:marLeft w:val="0"/>
      <w:marRight w:val="0"/>
      <w:marTop w:val="0"/>
      <w:marBottom w:val="0"/>
      <w:divBdr>
        <w:top w:val="none" w:sz="0" w:space="0" w:color="auto"/>
        <w:left w:val="none" w:sz="0" w:space="0" w:color="auto"/>
        <w:bottom w:val="none" w:sz="0" w:space="0" w:color="auto"/>
        <w:right w:val="none" w:sz="0" w:space="0" w:color="auto"/>
      </w:divBdr>
    </w:div>
    <w:div w:id="171800330">
      <w:bodyDiv w:val="1"/>
      <w:marLeft w:val="0"/>
      <w:marRight w:val="0"/>
      <w:marTop w:val="0"/>
      <w:marBottom w:val="0"/>
      <w:divBdr>
        <w:top w:val="none" w:sz="0" w:space="0" w:color="auto"/>
        <w:left w:val="none" w:sz="0" w:space="0" w:color="auto"/>
        <w:bottom w:val="none" w:sz="0" w:space="0" w:color="auto"/>
        <w:right w:val="none" w:sz="0" w:space="0" w:color="auto"/>
      </w:divBdr>
    </w:div>
    <w:div w:id="172573567">
      <w:bodyDiv w:val="1"/>
      <w:marLeft w:val="0"/>
      <w:marRight w:val="0"/>
      <w:marTop w:val="0"/>
      <w:marBottom w:val="0"/>
      <w:divBdr>
        <w:top w:val="none" w:sz="0" w:space="0" w:color="auto"/>
        <w:left w:val="none" w:sz="0" w:space="0" w:color="auto"/>
        <w:bottom w:val="none" w:sz="0" w:space="0" w:color="auto"/>
        <w:right w:val="none" w:sz="0" w:space="0" w:color="auto"/>
      </w:divBdr>
    </w:div>
    <w:div w:id="178202327">
      <w:bodyDiv w:val="1"/>
      <w:marLeft w:val="0"/>
      <w:marRight w:val="0"/>
      <w:marTop w:val="0"/>
      <w:marBottom w:val="0"/>
      <w:divBdr>
        <w:top w:val="none" w:sz="0" w:space="0" w:color="auto"/>
        <w:left w:val="none" w:sz="0" w:space="0" w:color="auto"/>
        <w:bottom w:val="none" w:sz="0" w:space="0" w:color="auto"/>
        <w:right w:val="none" w:sz="0" w:space="0" w:color="auto"/>
      </w:divBdr>
    </w:div>
    <w:div w:id="181864736">
      <w:bodyDiv w:val="1"/>
      <w:marLeft w:val="0"/>
      <w:marRight w:val="0"/>
      <w:marTop w:val="0"/>
      <w:marBottom w:val="0"/>
      <w:divBdr>
        <w:top w:val="none" w:sz="0" w:space="0" w:color="auto"/>
        <w:left w:val="none" w:sz="0" w:space="0" w:color="auto"/>
        <w:bottom w:val="none" w:sz="0" w:space="0" w:color="auto"/>
        <w:right w:val="none" w:sz="0" w:space="0" w:color="auto"/>
      </w:divBdr>
    </w:div>
    <w:div w:id="182476885">
      <w:bodyDiv w:val="1"/>
      <w:marLeft w:val="0"/>
      <w:marRight w:val="0"/>
      <w:marTop w:val="0"/>
      <w:marBottom w:val="0"/>
      <w:divBdr>
        <w:top w:val="none" w:sz="0" w:space="0" w:color="auto"/>
        <w:left w:val="none" w:sz="0" w:space="0" w:color="auto"/>
        <w:bottom w:val="none" w:sz="0" w:space="0" w:color="auto"/>
        <w:right w:val="none" w:sz="0" w:space="0" w:color="auto"/>
      </w:divBdr>
    </w:div>
    <w:div w:id="182742585">
      <w:bodyDiv w:val="1"/>
      <w:marLeft w:val="0"/>
      <w:marRight w:val="0"/>
      <w:marTop w:val="0"/>
      <w:marBottom w:val="0"/>
      <w:divBdr>
        <w:top w:val="none" w:sz="0" w:space="0" w:color="auto"/>
        <w:left w:val="none" w:sz="0" w:space="0" w:color="auto"/>
        <w:bottom w:val="none" w:sz="0" w:space="0" w:color="auto"/>
        <w:right w:val="none" w:sz="0" w:space="0" w:color="auto"/>
      </w:divBdr>
    </w:div>
    <w:div w:id="182986143">
      <w:bodyDiv w:val="1"/>
      <w:marLeft w:val="0"/>
      <w:marRight w:val="0"/>
      <w:marTop w:val="0"/>
      <w:marBottom w:val="0"/>
      <w:divBdr>
        <w:top w:val="none" w:sz="0" w:space="0" w:color="auto"/>
        <w:left w:val="none" w:sz="0" w:space="0" w:color="auto"/>
        <w:bottom w:val="none" w:sz="0" w:space="0" w:color="auto"/>
        <w:right w:val="none" w:sz="0" w:space="0" w:color="auto"/>
      </w:divBdr>
    </w:div>
    <w:div w:id="184171153">
      <w:bodyDiv w:val="1"/>
      <w:marLeft w:val="0"/>
      <w:marRight w:val="0"/>
      <w:marTop w:val="0"/>
      <w:marBottom w:val="0"/>
      <w:divBdr>
        <w:top w:val="none" w:sz="0" w:space="0" w:color="auto"/>
        <w:left w:val="none" w:sz="0" w:space="0" w:color="auto"/>
        <w:bottom w:val="none" w:sz="0" w:space="0" w:color="auto"/>
        <w:right w:val="none" w:sz="0" w:space="0" w:color="auto"/>
      </w:divBdr>
    </w:div>
    <w:div w:id="185947241">
      <w:bodyDiv w:val="1"/>
      <w:marLeft w:val="0"/>
      <w:marRight w:val="0"/>
      <w:marTop w:val="0"/>
      <w:marBottom w:val="0"/>
      <w:divBdr>
        <w:top w:val="none" w:sz="0" w:space="0" w:color="auto"/>
        <w:left w:val="none" w:sz="0" w:space="0" w:color="auto"/>
        <w:bottom w:val="none" w:sz="0" w:space="0" w:color="auto"/>
        <w:right w:val="none" w:sz="0" w:space="0" w:color="auto"/>
      </w:divBdr>
    </w:div>
    <w:div w:id="188297605">
      <w:bodyDiv w:val="1"/>
      <w:marLeft w:val="0"/>
      <w:marRight w:val="0"/>
      <w:marTop w:val="0"/>
      <w:marBottom w:val="0"/>
      <w:divBdr>
        <w:top w:val="none" w:sz="0" w:space="0" w:color="auto"/>
        <w:left w:val="none" w:sz="0" w:space="0" w:color="auto"/>
        <w:bottom w:val="none" w:sz="0" w:space="0" w:color="auto"/>
        <w:right w:val="none" w:sz="0" w:space="0" w:color="auto"/>
      </w:divBdr>
    </w:div>
    <w:div w:id="192034223">
      <w:bodyDiv w:val="1"/>
      <w:marLeft w:val="0"/>
      <w:marRight w:val="0"/>
      <w:marTop w:val="0"/>
      <w:marBottom w:val="0"/>
      <w:divBdr>
        <w:top w:val="none" w:sz="0" w:space="0" w:color="auto"/>
        <w:left w:val="none" w:sz="0" w:space="0" w:color="auto"/>
        <w:bottom w:val="none" w:sz="0" w:space="0" w:color="auto"/>
        <w:right w:val="none" w:sz="0" w:space="0" w:color="auto"/>
      </w:divBdr>
    </w:div>
    <w:div w:id="192620579">
      <w:bodyDiv w:val="1"/>
      <w:marLeft w:val="0"/>
      <w:marRight w:val="0"/>
      <w:marTop w:val="0"/>
      <w:marBottom w:val="0"/>
      <w:divBdr>
        <w:top w:val="none" w:sz="0" w:space="0" w:color="auto"/>
        <w:left w:val="none" w:sz="0" w:space="0" w:color="auto"/>
        <w:bottom w:val="none" w:sz="0" w:space="0" w:color="auto"/>
        <w:right w:val="none" w:sz="0" w:space="0" w:color="auto"/>
      </w:divBdr>
    </w:div>
    <w:div w:id="194660523">
      <w:bodyDiv w:val="1"/>
      <w:marLeft w:val="0"/>
      <w:marRight w:val="0"/>
      <w:marTop w:val="0"/>
      <w:marBottom w:val="0"/>
      <w:divBdr>
        <w:top w:val="none" w:sz="0" w:space="0" w:color="auto"/>
        <w:left w:val="none" w:sz="0" w:space="0" w:color="auto"/>
        <w:bottom w:val="none" w:sz="0" w:space="0" w:color="auto"/>
        <w:right w:val="none" w:sz="0" w:space="0" w:color="auto"/>
      </w:divBdr>
    </w:div>
    <w:div w:id="194739077">
      <w:bodyDiv w:val="1"/>
      <w:marLeft w:val="0"/>
      <w:marRight w:val="0"/>
      <w:marTop w:val="0"/>
      <w:marBottom w:val="0"/>
      <w:divBdr>
        <w:top w:val="none" w:sz="0" w:space="0" w:color="auto"/>
        <w:left w:val="none" w:sz="0" w:space="0" w:color="auto"/>
        <w:bottom w:val="none" w:sz="0" w:space="0" w:color="auto"/>
        <w:right w:val="none" w:sz="0" w:space="0" w:color="auto"/>
      </w:divBdr>
    </w:div>
    <w:div w:id="195387796">
      <w:bodyDiv w:val="1"/>
      <w:marLeft w:val="0"/>
      <w:marRight w:val="0"/>
      <w:marTop w:val="0"/>
      <w:marBottom w:val="0"/>
      <w:divBdr>
        <w:top w:val="none" w:sz="0" w:space="0" w:color="auto"/>
        <w:left w:val="none" w:sz="0" w:space="0" w:color="auto"/>
        <w:bottom w:val="none" w:sz="0" w:space="0" w:color="auto"/>
        <w:right w:val="none" w:sz="0" w:space="0" w:color="auto"/>
      </w:divBdr>
    </w:div>
    <w:div w:id="195965168">
      <w:bodyDiv w:val="1"/>
      <w:marLeft w:val="0"/>
      <w:marRight w:val="0"/>
      <w:marTop w:val="0"/>
      <w:marBottom w:val="0"/>
      <w:divBdr>
        <w:top w:val="none" w:sz="0" w:space="0" w:color="auto"/>
        <w:left w:val="none" w:sz="0" w:space="0" w:color="auto"/>
        <w:bottom w:val="none" w:sz="0" w:space="0" w:color="auto"/>
        <w:right w:val="none" w:sz="0" w:space="0" w:color="auto"/>
      </w:divBdr>
    </w:div>
    <w:div w:id="196359532">
      <w:bodyDiv w:val="1"/>
      <w:marLeft w:val="0"/>
      <w:marRight w:val="0"/>
      <w:marTop w:val="0"/>
      <w:marBottom w:val="0"/>
      <w:divBdr>
        <w:top w:val="none" w:sz="0" w:space="0" w:color="auto"/>
        <w:left w:val="none" w:sz="0" w:space="0" w:color="auto"/>
        <w:bottom w:val="none" w:sz="0" w:space="0" w:color="auto"/>
        <w:right w:val="none" w:sz="0" w:space="0" w:color="auto"/>
      </w:divBdr>
    </w:div>
    <w:div w:id="197084437">
      <w:bodyDiv w:val="1"/>
      <w:marLeft w:val="0"/>
      <w:marRight w:val="0"/>
      <w:marTop w:val="0"/>
      <w:marBottom w:val="0"/>
      <w:divBdr>
        <w:top w:val="none" w:sz="0" w:space="0" w:color="auto"/>
        <w:left w:val="none" w:sz="0" w:space="0" w:color="auto"/>
        <w:bottom w:val="none" w:sz="0" w:space="0" w:color="auto"/>
        <w:right w:val="none" w:sz="0" w:space="0" w:color="auto"/>
      </w:divBdr>
    </w:div>
    <w:div w:id="197091752">
      <w:bodyDiv w:val="1"/>
      <w:marLeft w:val="0"/>
      <w:marRight w:val="0"/>
      <w:marTop w:val="0"/>
      <w:marBottom w:val="0"/>
      <w:divBdr>
        <w:top w:val="none" w:sz="0" w:space="0" w:color="auto"/>
        <w:left w:val="none" w:sz="0" w:space="0" w:color="auto"/>
        <w:bottom w:val="none" w:sz="0" w:space="0" w:color="auto"/>
        <w:right w:val="none" w:sz="0" w:space="0" w:color="auto"/>
      </w:divBdr>
    </w:div>
    <w:div w:id="201523704">
      <w:bodyDiv w:val="1"/>
      <w:marLeft w:val="0"/>
      <w:marRight w:val="0"/>
      <w:marTop w:val="0"/>
      <w:marBottom w:val="0"/>
      <w:divBdr>
        <w:top w:val="none" w:sz="0" w:space="0" w:color="auto"/>
        <w:left w:val="none" w:sz="0" w:space="0" w:color="auto"/>
        <w:bottom w:val="none" w:sz="0" w:space="0" w:color="auto"/>
        <w:right w:val="none" w:sz="0" w:space="0" w:color="auto"/>
      </w:divBdr>
    </w:div>
    <w:div w:id="206993867">
      <w:bodyDiv w:val="1"/>
      <w:marLeft w:val="0"/>
      <w:marRight w:val="0"/>
      <w:marTop w:val="0"/>
      <w:marBottom w:val="0"/>
      <w:divBdr>
        <w:top w:val="none" w:sz="0" w:space="0" w:color="auto"/>
        <w:left w:val="none" w:sz="0" w:space="0" w:color="auto"/>
        <w:bottom w:val="none" w:sz="0" w:space="0" w:color="auto"/>
        <w:right w:val="none" w:sz="0" w:space="0" w:color="auto"/>
      </w:divBdr>
    </w:div>
    <w:div w:id="207423902">
      <w:bodyDiv w:val="1"/>
      <w:marLeft w:val="0"/>
      <w:marRight w:val="0"/>
      <w:marTop w:val="0"/>
      <w:marBottom w:val="0"/>
      <w:divBdr>
        <w:top w:val="none" w:sz="0" w:space="0" w:color="auto"/>
        <w:left w:val="none" w:sz="0" w:space="0" w:color="auto"/>
        <w:bottom w:val="none" w:sz="0" w:space="0" w:color="auto"/>
        <w:right w:val="none" w:sz="0" w:space="0" w:color="auto"/>
      </w:divBdr>
    </w:div>
    <w:div w:id="210464061">
      <w:bodyDiv w:val="1"/>
      <w:marLeft w:val="0"/>
      <w:marRight w:val="0"/>
      <w:marTop w:val="0"/>
      <w:marBottom w:val="0"/>
      <w:divBdr>
        <w:top w:val="none" w:sz="0" w:space="0" w:color="auto"/>
        <w:left w:val="none" w:sz="0" w:space="0" w:color="auto"/>
        <w:bottom w:val="none" w:sz="0" w:space="0" w:color="auto"/>
        <w:right w:val="none" w:sz="0" w:space="0" w:color="auto"/>
      </w:divBdr>
    </w:div>
    <w:div w:id="213393949">
      <w:bodyDiv w:val="1"/>
      <w:marLeft w:val="0"/>
      <w:marRight w:val="0"/>
      <w:marTop w:val="0"/>
      <w:marBottom w:val="0"/>
      <w:divBdr>
        <w:top w:val="none" w:sz="0" w:space="0" w:color="auto"/>
        <w:left w:val="none" w:sz="0" w:space="0" w:color="auto"/>
        <w:bottom w:val="none" w:sz="0" w:space="0" w:color="auto"/>
        <w:right w:val="none" w:sz="0" w:space="0" w:color="auto"/>
      </w:divBdr>
    </w:div>
    <w:div w:id="213977176">
      <w:bodyDiv w:val="1"/>
      <w:marLeft w:val="0"/>
      <w:marRight w:val="0"/>
      <w:marTop w:val="0"/>
      <w:marBottom w:val="0"/>
      <w:divBdr>
        <w:top w:val="none" w:sz="0" w:space="0" w:color="auto"/>
        <w:left w:val="none" w:sz="0" w:space="0" w:color="auto"/>
        <w:bottom w:val="none" w:sz="0" w:space="0" w:color="auto"/>
        <w:right w:val="none" w:sz="0" w:space="0" w:color="auto"/>
      </w:divBdr>
    </w:div>
    <w:div w:id="219753815">
      <w:bodyDiv w:val="1"/>
      <w:marLeft w:val="0"/>
      <w:marRight w:val="0"/>
      <w:marTop w:val="0"/>
      <w:marBottom w:val="0"/>
      <w:divBdr>
        <w:top w:val="none" w:sz="0" w:space="0" w:color="auto"/>
        <w:left w:val="none" w:sz="0" w:space="0" w:color="auto"/>
        <w:bottom w:val="none" w:sz="0" w:space="0" w:color="auto"/>
        <w:right w:val="none" w:sz="0" w:space="0" w:color="auto"/>
      </w:divBdr>
    </w:div>
    <w:div w:id="223298651">
      <w:bodyDiv w:val="1"/>
      <w:marLeft w:val="0"/>
      <w:marRight w:val="0"/>
      <w:marTop w:val="0"/>
      <w:marBottom w:val="0"/>
      <w:divBdr>
        <w:top w:val="none" w:sz="0" w:space="0" w:color="auto"/>
        <w:left w:val="none" w:sz="0" w:space="0" w:color="auto"/>
        <w:bottom w:val="none" w:sz="0" w:space="0" w:color="auto"/>
        <w:right w:val="none" w:sz="0" w:space="0" w:color="auto"/>
      </w:divBdr>
    </w:div>
    <w:div w:id="226035889">
      <w:bodyDiv w:val="1"/>
      <w:marLeft w:val="0"/>
      <w:marRight w:val="0"/>
      <w:marTop w:val="0"/>
      <w:marBottom w:val="0"/>
      <w:divBdr>
        <w:top w:val="none" w:sz="0" w:space="0" w:color="auto"/>
        <w:left w:val="none" w:sz="0" w:space="0" w:color="auto"/>
        <w:bottom w:val="none" w:sz="0" w:space="0" w:color="auto"/>
        <w:right w:val="none" w:sz="0" w:space="0" w:color="auto"/>
      </w:divBdr>
    </w:div>
    <w:div w:id="226764256">
      <w:bodyDiv w:val="1"/>
      <w:marLeft w:val="0"/>
      <w:marRight w:val="0"/>
      <w:marTop w:val="0"/>
      <w:marBottom w:val="0"/>
      <w:divBdr>
        <w:top w:val="none" w:sz="0" w:space="0" w:color="auto"/>
        <w:left w:val="none" w:sz="0" w:space="0" w:color="auto"/>
        <w:bottom w:val="none" w:sz="0" w:space="0" w:color="auto"/>
        <w:right w:val="none" w:sz="0" w:space="0" w:color="auto"/>
      </w:divBdr>
    </w:div>
    <w:div w:id="228613036">
      <w:bodyDiv w:val="1"/>
      <w:marLeft w:val="0"/>
      <w:marRight w:val="0"/>
      <w:marTop w:val="0"/>
      <w:marBottom w:val="0"/>
      <w:divBdr>
        <w:top w:val="none" w:sz="0" w:space="0" w:color="auto"/>
        <w:left w:val="none" w:sz="0" w:space="0" w:color="auto"/>
        <w:bottom w:val="none" w:sz="0" w:space="0" w:color="auto"/>
        <w:right w:val="none" w:sz="0" w:space="0" w:color="auto"/>
      </w:divBdr>
    </w:div>
    <w:div w:id="228619930">
      <w:bodyDiv w:val="1"/>
      <w:marLeft w:val="0"/>
      <w:marRight w:val="0"/>
      <w:marTop w:val="0"/>
      <w:marBottom w:val="0"/>
      <w:divBdr>
        <w:top w:val="none" w:sz="0" w:space="0" w:color="auto"/>
        <w:left w:val="none" w:sz="0" w:space="0" w:color="auto"/>
        <w:bottom w:val="none" w:sz="0" w:space="0" w:color="auto"/>
        <w:right w:val="none" w:sz="0" w:space="0" w:color="auto"/>
      </w:divBdr>
    </w:div>
    <w:div w:id="229049095">
      <w:bodyDiv w:val="1"/>
      <w:marLeft w:val="0"/>
      <w:marRight w:val="0"/>
      <w:marTop w:val="0"/>
      <w:marBottom w:val="0"/>
      <w:divBdr>
        <w:top w:val="none" w:sz="0" w:space="0" w:color="auto"/>
        <w:left w:val="none" w:sz="0" w:space="0" w:color="auto"/>
        <w:bottom w:val="none" w:sz="0" w:space="0" w:color="auto"/>
        <w:right w:val="none" w:sz="0" w:space="0" w:color="auto"/>
      </w:divBdr>
    </w:div>
    <w:div w:id="231163038">
      <w:bodyDiv w:val="1"/>
      <w:marLeft w:val="0"/>
      <w:marRight w:val="0"/>
      <w:marTop w:val="0"/>
      <w:marBottom w:val="0"/>
      <w:divBdr>
        <w:top w:val="none" w:sz="0" w:space="0" w:color="auto"/>
        <w:left w:val="none" w:sz="0" w:space="0" w:color="auto"/>
        <w:bottom w:val="none" w:sz="0" w:space="0" w:color="auto"/>
        <w:right w:val="none" w:sz="0" w:space="0" w:color="auto"/>
      </w:divBdr>
    </w:div>
    <w:div w:id="233781496">
      <w:bodyDiv w:val="1"/>
      <w:marLeft w:val="0"/>
      <w:marRight w:val="0"/>
      <w:marTop w:val="0"/>
      <w:marBottom w:val="0"/>
      <w:divBdr>
        <w:top w:val="none" w:sz="0" w:space="0" w:color="auto"/>
        <w:left w:val="none" w:sz="0" w:space="0" w:color="auto"/>
        <w:bottom w:val="none" w:sz="0" w:space="0" w:color="auto"/>
        <w:right w:val="none" w:sz="0" w:space="0" w:color="auto"/>
      </w:divBdr>
    </w:div>
    <w:div w:id="234902009">
      <w:bodyDiv w:val="1"/>
      <w:marLeft w:val="0"/>
      <w:marRight w:val="0"/>
      <w:marTop w:val="0"/>
      <w:marBottom w:val="0"/>
      <w:divBdr>
        <w:top w:val="none" w:sz="0" w:space="0" w:color="auto"/>
        <w:left w:val="none" w:sz="0" w:space="0" w:color="auto"/>
        <w:bottom w:val="none" w:sz="0" w:space="0" w:color="auto"/>
        <w:right w:val="none" w:sz="0" w:space="0" w:color="auto"/>
      </w:divBdr>
    </w:div>
    <w:div w:id="235408021">
      <w:bodyDiv w:val="1"/>
      <w:marLeft w:val="0"/>
      <w:marRight w:val="0"/>
      <w:marTop w:val="0"/>
      <w:marBottom w:val="0"/>
      <w:divBdr>
        <w:top w:val="none" w:sz="0" w:space="0" w:color="auto"/>
        <w:left w:val="none" w:sz="0" w:space="0" w:color="auto"/>
        <w:bottom w:val="none" w:sz="0" w:space="0" w:color="auto"/>
        <w:right w:val="none" w:sz="0" w:space="0" w:color="auto"/>
      </w:divBdr>
    </w:div>
    <w:div w:id="236794540">
      <w:bodyDiv w:val="1"/>
      <w:marLeft w:val="0"/>
      <w:marRight w:val="0"/>
      <w:marTop w:val="0"/>
      <w:marBottom w:val="0"/>
      <w:divBdr>
        <w:top w:val="none" w:sz="0" w:space="0" w:color="auto"/>
        <w:left w:val="none" w:sz="0" w:space="0" w:color="auto"/>
        <w:bottom w:val="none" w:sz="0" w:space="0" w:color="auto"/>
        <w:right w:val="none" w:sz="0" w:space="0" w:color="auto"/>
      </w:divBdr>
    </w:div>
    <w:div w:id="236861893">
      <w:bodyDiv w:val="1"/>
      <w:marLeft w:val="0"/>
      <w:marRight w:val="0"/>
      <w:marTop w:val="0"/>
      <w:marBottom w:val="0"/>
      <w:divBdr>
        <w:top w:val="none" w:sz="0" w:space="0" w:color="auto"/>
        <w:left w:val="none" w:sz="0" w:space="0" w:color="auto"/>
        <w:bottom w:val="none" w:sz="0" w:space="0" w:color="auto"/>
        <w:right w:val="none" w:sz="0" w:space="0" w:color="auto"/>
      </w:divBdr>
    </w:div>
    <w:div w:id="237135509">
      <w:bodyDiv w:val="1"/>
      <w:marLeft w:val="0"/>
      <w:marRight w:val="0"/>
      <w:marTop w:val="0"/>
      <w:marBottom w:val="0"/>
      <w:divBdr>
        <w:top w:val="none" w:sz="0" w:space="0" w:color="auto"/>
        <w:left w:val="none" w:sz="0" w:space="0" w:color="auto"/>
        <w:bottom w:val="none" w:sz="0" w:space="0" w:color="auto"/>
        <w:right w:val="none" w:sz="0" w:space="0" w:color="auto"/>
      </w:divBdr>
    </w:div>
    <w:div w:id="241332049">
      <w:bodyDiv w:val="1"/>
      <w:marLeft w:val="0"/>
      <w:marRight w:val="0"/>
      <w:marTop w:val="0"/>
      <w:marBottom w:val="0"/>
      <w:divBdr>
        <w:top w:val="none" w:sz="0" w:space="0" w:color="auto"/>
        <w:left w:val="none" w:sz="0" w:space="0" w:color="auto"/>
        <w:bottom w:val="none" w:sz="0" w:space="0" w:color="auto"/>
        <w:right w:val="none" w:sz="0" w:space="0" w:color="auto"/>
      </w:divBdr>
    </w:div>
    <w:div w:id="243075079">
      <w:bodyDiv w:val="1"/>
      <w:marLeft w:val="0"/>
      <w:marRight w:val="0"/>
      <w:marTop w:val="0"/>
      <w:marBottom w:val="0"/>
      <w:divBdr>
        <w:top w:val="none" w:sz="0" w:space="0" w:color="auto"/>
        <w:left w:val="none" w:sz="0" w:space="0" w:color="auto"/>
        <w:bottom w:val="none" w:sz="0" w:space="0" w:color="auto"/>
        <w:right w:val="none" w:sz="0" w:space="0" w:color="auto"/>
      </w:divBdr>
    </w:div>
    <w:div w:id="243809096">
      <w:bodyDiv w:val="1"/>
      <w:marLeft w:val="0"/>
      <w:marRight w:val="0"/>
      <w:marTop w:val="0"/>
      <w:marBottom w:val="0"/>
      <w:divBdr>
        <w:top w:val="none" w:sz="0" w:space="0" w:color="auto"/>
        <w:left w:val="none" w:sz="0" w:space="0" w:color="auto"/>
        <w:bottom w:val="none" w:sz="0" w:space="0" w:color="auto"/>
        <w:right w:val="none" w:sz="0" w:space="0" w:color="auto"/>
      </w:divBdr>
    </w:div>
    <w:div w:id="244806835">
      <w:bodyDiv w:val="1"/>
      <w:marLeft w:val="0"/>
      <w:marRight w:val="0"/>
      <w:marTop w:val="0"/>
      <w:marBottom w:val="0"/>
      <w:divBdr>
        <w:top w:val="none" w:sz="0" w:space="0" w:color="auto"/>
        <w:left w:val="none" w:sz="0" w:space="0" w:color="auto"/>
        <w:bottom w:val="none" w:sz="0" w:space="0" w:color="auto"/>
        <w:right w:val="none" w:sz="0" w:space="0" w:color="auto"/>
      </w:divBdr>
    </w:div>
    <w:div w:id="247543706">
      <w:bodyDiv w:val="1"/>
      <w:marLeft w:val="0"/>
      <w:marRight w:val="0"/>
      <w:marTop w:val="0"/>
      <w:marBottom w:val="0"/>
      <w:divBdr>
        <w:top w:val="none" w:sz="0" w:space="0" w:color="auto"/>
        <w:left w:val="none" w:sz="0" w:space="0" w:color="auto"/>
        <w:bottom w:val="none" w:sz="0" w:space="0" w:color="auto"/>
        <w:right w:val="none" w:sz="0" w:space="0" w:color="auto"/>
      </w:divBdr>
    </w:div>
    <w:div w:id="247622702">
      <w:bodyDiv w:val="1"/>
      <w:marLeft w:val="0"/>
      <w:marRight w:val="0"/>
      <w:marTop w:val="0"/>
      <w:marBottom w:val="0"/>
      <w:divBdr>
        <w:top w:val="none" w:sz="0" w:space="0" w:color="auto"/>
        <w:left w:val="none" w:sz="0" w:space="0" w:color="auto"/>
        <w:bottom w:val="none" w:sz="0" w:space="0" w:color="auto"/>
        <w:right w:val="none" w:sz="0" w:space="0" w:color="auto"/>
      </w:divBdr>
    </w:div>
    <w:div w:id="249655629">
      <w:bodyDiv w:val="1"/>
      <w:marLeft w:val="0"/>
      <w:marRight w:val="0"/>
      <w:marTop w:val="0"/>
      <w:marBottom w:val="0"/>
      <w:divBdr>
        <w:top w:val="none" w:sz="0" w:space="0" w:color="auto"/>
        <w:left w:val="none" w:sz="0" w:space="0" w:color="auto"/>
        <w:bottom w:val="none" w:sz="0" w:space="0" w:color="auto"/>
        <w:right w:val="none" w:sz="0" w:space="0" w:color="auto"/>
      </w:divBdr>
    </w:div>
    <w:div w:id="249849984">
      <w:bodyDiv w:val="1"/>
      <w:marLeft w:val="0"/>
      <w:marRight w:val="0"/>
      <w:marTop w:val="0"/>
      <w:marBottom w:val="0"/>
      <w:divBdr>
        <w:top w:val="none" w:sz="0" w:space="0" w:color="auto"/>
        <w:left w:val="none" w:sz="0" w:space="0" w:color="auto"/>
        <w:bottom w:val="none" w:sz="0" w:space="0" w:color="auto"/>
        <w:right w:val="none" w:sz="0" w:space="0" w:color="auto"/>
      </w:divBdr>
    </w:div>
    <w:div w:id="252130346">
      <w:bodyDiv w:val="1"/>
      <w:marLeft w:val="0"/>
      <w:marRight w:val="0"/>
      <w:marTop w:val="0"/>
      <w:marBottom w:val="0"/>
      <w:divBdr>
        <w:top w:val="none" w:sz="0" w:space="0" w:color="auto"/>
        <w:left w:val="none" w:sz="0" w:space="0" w:color="auto"/>
        <w:bottom w:val="none" w:sz="0" w:space="0" w:color="auto"/>
        <w:right w:val="none" w:sz="0" w:space="0" w:color="auto"/>
      </w:divBdr>
    </w:div>
    <w:div w:id="256183890">
      <w:bodyDiv w:val="1"/>
      <w:marLeft w:val="0"/>
      <w:marRight w:val="0"/>
      <w:marTop w:val="0"/>
      <w:marBottom w:val="0"/>
      <w:divBdr>
        <w:top w:val="none" w:sz="0" w:space="0" w:color="auto"/>
        <w:left w:val="none" w:sz="0" w:space="0" w:color="auto"/>
        <w:bottom w:val="none" w:sz="0" w:space="0" w:color="auto"/>
        <w:right w:val="none" w:sz="0" w:space="0" w:color="auto"/>
      </w:divBdr>
    </w:div>
    <w:div w:id="256400974">
      <w:bodyDiv w:val="1"/>
      <w:marLeft w:val="0"/>
      <w:marRight w:val="0"/>
      <w:marTop w:val="0"/>
      <w:marBottom w:val="0"/>
      <w:divBdr>
        <w:top w:val="none" w:sz="0" w:space="0" w:color="auto"/>
        <w:left w:val="none" w:sz="0" w:space="0" w:color="auto"/>
        <w:bottom w:val="none" w:sz="0" w:space="0" w:color="auto"/>
        <w:right w:val="none" w:sz="0" w:space="0" w:color="auto"/>
      </w:divBdr>
    </w:div>
    <w:div w:id="256597510">
      <w:bodyDiv w:val="1"/>
      <w:marLeft w:val="0"/>
      <w:marRight w:val="0"/>
      <w:marTop w:val="0"/>
      <w:marBottom w:val="0"/>
      <w:divBdr>
        <w:top w:val="none" w:sz="0" w:space="0" w:color="auto"/>
        <w:left w:val="none" w:sz="0" w:space="0" w:color="auto"/>
        <w:bottom w:val="none" w:sz="0" w:space="0" w:color="auto"/>
        <w:right w:val="none" w:sz="0" w:space="0" w:color="auto"/>
      </w:divBdr>
    </w:div>
    <w:div w:id="260726870">
      <w:bodyDiv w:val="1"/>
      <w:marLeft w:val="0"/>
      <w:marRight w:val="0"/>
      <w:marTop w:val="0"/>
      <w:marBottom w:val="0"/>
      <w:divBdr>
        <w:top w:val="none" w:sz="0" w:space="0" w:color="auto"/>
        <w:left w:val="none" w:sz="0" w:space="0" w:color="auto"/>
        <w:bottom w:val="none" w:sz="0" w:space="0" w:color="auto"/>
        <w:right w:val="none" w:sz="0" w:space="0" w:color="auto"/>
      </w:divBdr>
    </w:div>
    <w:div w:id="261424139">
      <w:bodyDiv w:val="1"/>
      <w:marLeft w:val="0"/>
      <w:marRight w:val="0"/>
      <w:marTop w:val="0"/>
      <w:marBottom w:val="0"/>
      <w:divBdr>
        <w:top w:val="none" w:sz="0" w:space="0" w:color="auto"/>
        <w:left w:val="none" w:sz="0" w:space="0" w:color="auto"/>
        <w:bottom w:val="none" w:sz="0" w:space="0" w:color="auto"/>
        <w:right w:val="none" w:sz="0" w:space="0" w:color="auto"/>
      </w:divBdr>
    </w:div>
    <w:div w:id="262887341">
      <w:bodyDiv w:val="1"/>
      <w:marLeft w:val="0"/>
      <w:marRight w:val="0"/>
      <w:marTop w:val="0"/>
      <w:marBottom w:val="0"/>
      <w:divBdr>
        <w:top w:val="none" w:sz="0" w:space="0" w:color="auto"/>
        <w:left w:val="none" w:sz="0" w:space="0" w:color="auto"/>
        <w:bottom w:val="none" w:sz="0" w:space="0" w:color="auto"/>
        <w:right w:val="none" w:sz="0" w:space="0" w:color="auto"/>
      </w:divBdr>
    </w:div>
    <w:div w:id="263810036">
      <w:bodyDiv w:val="1"/>
      <w:marLeft w:val="0"/>
      <w:marRight w:val="0"/>
      <w:marTop w:val="0"/>
      <w:marBottom w:val="0"/>
      <w:divBdr>
        <w:top w:val="none" w:sz="0" w:space="0" w:color="auto"/>
        <w:left w:val="none" w:sz="0" w:space="0" w:color="auto"/>
        <w:bottom w:val="none" w:sz="0" w:space="0" w:color="auto"/>
        <w:right w:val="none" w:sz="0" w:space="0" w:color="auto"/>
      </w:divBdr>
    </w:div>
    <w:div w:id="265887697">
      <w:bodyDiv w:val="1"/>
      <w:marLeft w:val="0"/>
      <w:marRight w:val="0"/>
      <w:marTop w:val="0"/>
      <w:marBottom w:val="0"/>
      <w:divBdr>
        <w:top w:val="none" w:sz="0" w:space="0" w:color="auto"/>
        <w:left w:val="none" w:sz="0" w:space="0" w:color="auto"/>
        <w:bottom w:val="none" w:sz="0" w:space="0" w:color="auto"/>
        <w:right w:val="none" w:sz="0" w:space="0" w:color="auto"/>
      </w:divBdr>
    </w:div>
    <w:div w:id="270402144">
      <w:bodyDiv w:val="1"/>
      <w:marLeft w:val="0"/>
      <w:marRight w:val="0"/>
      <w:marTop w:val="0"/>
      <w:marBottom w:val="0"/>
      <w:divBdr>
        <w:top w:val="none" w:sz="0" w:space="0" w:color="auto"/>
        <w:left w:val="none" w:sz="0" w:space="0" w:color="auto"/>
        <w:bottom w:val="none" w:sz="0" w:space="0" w:color="auto"/>
        <w:right w:val="none" w:sz="0" w:space="0" w:color="auto"/>
      </w:divBdr>
    </w:div>
    <w:div w:id="271203996">
      <w:bodyDiv w:val="1"/>
      <w:marLeft w:val="0"/>
      <w:marRight w:val="0"/>
      <w:marTop w:val="0"/>
      <w:marBottom w:val="0"/>
      <w:divBdr>
        <w:top w:val="none" w:sz="0" w:space="0" w:color="auto"/>
        <w:left w:val="none" w:sz="0" w:space="0" w:color="auto"/>
        <w:bottom w:val="none" w:sz="0" w:space="0" w:color="auto"/>
        <w:right w:val="none" w:sz="0" w:space="0" w:color="auto"/>
      </w:divBdr>
    </w:div>
    <w:div w:id="271519796">
      <w:bodyDiv w:val="1"/>
      <w:marLeft w:val="0"/>
      <w:marRight w:val="0"/>
      <w:marTop w:val="0"/>
      <w:marBottom w:val="0"/>
      <w:divBdr>
        <w:top w:val="none" w:sz="0" w:space="0" w:color="auto"/>
        <w:left w:val="none" w:sz="0" w:space="0" w:color="auto"/>
        <w:bottom w:val="none" w:sz="0" w:space="0" w:color="auto"/>
        <w:right w:val="none" w:sz="0" w:space="0" w:color="auto"/>
      </w:divBdr>
    </w:div>
    <w:div w:id="272368689">
      <w:bodyDiv w:val="1"/>
      <w:marLeft w:val="0"/>
      <w:marRight w:val="0"/>
      <w:marTop w:val="0"/>
      <w:marBottom w:val="0"/>
      <w:divBdr>
        <w:top w:val="none" w:sz="0" w:space="0" w:color="auto"/>
        <w:left w:val="none" w:sz="0" w:space="0" w:color="auto"/>
        <w:bottom w:val="none" w:sz="0" w:space="0" w:color="auto"/>
        <w:right w:val="none" w:sz="0" w:space="0" w:color="auto"/>
      </w:divBdr>
    </w:div>
    <w:div w:id="273905636">
      <w:bodyDiv w:val="1"/>
      <w:marLeft w:val="0"/>
      <w:marRight w:val="0"/>
      <w:marTop w:val="0"/>
      <w:marBottom w:val="0"/>
      <w:divBdr>
        <w:top w:val="none" w:sz="0" w:space="0" w:color="auto"/>
        <w:left w:val="none" w:sz="0" w:space="0" w:color="auto"/>
        <w:bottom w:val="none" w:sz="0" w:space="0" w:color="auto"/>
        <w:right w:val="none" w:sz="0" w:space="0" w:color="auto"/>
      </w:divBdr>
    </w:div>
    <w:div w:id="277952196">
      <w:bodyDiv w:val="1"/>
      <w:marLeft w:val="0"/>
      <w:marRight w:val="0"/>
      <w:marTop w:val="0"/>
      <w:marBottom w:val="0"/>
      <w:divBdr>
        <w:top w:val="none" w:sz="0" w:space="0" w:color="auto"/>
        <w:left w:val="none" w:sz="0" w:space="0" w:color="auto"/>
        <w:bottom w:val="none" w:sz="0" w:space="0" w:color="auto"/>
        <w:right w:val="none" w:sz="0" w:space="0" w:color="auto"/>
      </w:divBdr>
    </w:div>
    <w:div w:id="278218797">
      <w:bodyDiv w:val="1"/>
      <w:marLeft w:val="0"/>
      <w:marRight w:val="0"/>
      <w:marTop w:val="0"/>
      <w:marBottom w:val="0"/>
      <w:divBdr>
        <w:top w:val="none" w:sz="0" w:space="0" w:color="auto"/>
        <w:left w:val="none" w:sz="0" w:space="0" w:color="auto"/>
        <w:bottom w:val="none" w:sz="0" w:space="0" w:color="auto"/>
        <w:right w:val="none" w:sz="0" w:space="0" w:color="auto"/>
      </w:divBdr>
    </w:div>
    <w:div w:id="278610969">
      <w:bodyDiv w:val="1"/>
      <w:marLeft w:val="0"/>
      <w:marRight w:val="0"/>
      <w:marTop w:val="0"/>
      <w:marBottom w:val="0"/>
      <w:divBdr>
        <w:top w:val="none" w:sz="0" w:space="0" w:color="auto"/>
        <w:left w:val="none" w:sz="0" w:space="0" w:color="auto"/>
        <w:bottom w:val="none" w:sz="0" w:space="0" w:color="auto"/>
        <w:right w:val="none" w:sz="0" w:space="0" w:color="auto"/>
      </w:divBdr>
    </w:div>
    <w:div w:id="280457173">
      <w:bodyDiv w:val="1"/>
      <w:marLeft w:val="0"/>
      <w:marRight w:val="0"/>
      <w:marTop w:val="0"/>
      <w:marBottom w:val="0"/>
      <w:divBdr>
        <w:top w:val="none" w:sz="0" w:space="0" w:color="auto"/>
        <w:left w:val="none" w:sz="0" w:space="0" w:color="auto"/>
        <w:bottom w:val="none" w:sz="0" w:space="0" w:color="auto"/>
        <w:right w:val="none" w:sz="0" w:space="0" w:color="auto"/>
      </w:divBdr>
    </w:div>
    <w:div w:id="281306997">
      <w:bodyDiv w:val="1"/>
      <w:marLeft w:val="0"/>
      <w:marRight w:val="0"/>
      <w:marTop w:val="0"/>
      <w:marBottom w:val="0"/>
      <w:divBdr>
        <w:top w:val="none" w:sz="0" w:space="0" w:color="auto"/>
        <w:left w:val="none" w:sz="0" w:space="0" w:color="auto"/>
        <w:bottom w:val="none" w:sz="0" w:space="0" w:color="auto"/>
        <w:right w:val="none" w:sz="0" w:space="0" w:color="auto"/>
      </w:divBdr>
    </w:div>
    <w:div w:id="283196708">
      <w:bodyDiv w:val="1"/>
      <w:marLeft w:val="0"/>
      <w:marRight w:val="0"/>
      <w:marTop w:val="0"/>
      <w:marBottom w:val="0"/>
      <w:divBdr>
        <w:top w:val="none" w:sz="0" w:space="0" w:color="auto"/>
        <w:left w:val="none" w:sz="0" w:space="0" w:color="auto"/>
        <w:bottom w:val="none" w:sz="0" w:space="0" w:color="auto"/>
        <w:right w:val="none" w:sz="0" w:space="0" w:color="auto"/>
      </w:divBdr>
    </w:div>
    <w:div w:id="283662400">
      <w:bodyDiv w:val="1"/>
      <w:marLeft w:val="0"/>
      <w:marRight w:val="0"/>
      <w:marTop w:val="0"/>
      <w:marBottom w:val="0"/>
      <w:divBdr>
        <w:top w:val="none" w:sz="0" w:space="0" w:color="auto"/>
        <w:left w:val="none" w:sz="0" w:space="0" w:color="auto"/>
        <w:bottom w:val="none" w:sz="0" w:space="0" w:color="auto"/>
        <w:right w:val="none" w:sz="0" w:space="0" w:color="auto"/>
      </w:divBdr>
    </w:div>
    <w:div w:id="287518496">
      <w:bodyDiv w:val="1"/>
      <w:marLeft w:val="0"/>
      <w:marRight w:val="0"/>
      <w:marTop w:val="0"/>
      <w:marBottom w:val="0"/>
      <w:divBdr>
        <w:top w:val="none" w:sz="0" w:space="0" w:color="auto"/>
        <w:left w:val="none" w:sz="0" w:space="0" w:color="auto"/>
        <w:bottom w:val="none" w:sz="0" w:space="0" w:color="auto"/>
        <w:right w:val="none" w:sz="0" w:space="0" w:color="auto"/>
      </w:divBdr>
    </w:div>
    <w:div w:id="291984796">
      <w:bodyDiv w:val="1"/>
      <w:marLeft w:val="0"/>
      <w:marRight w:val="0"/>
      <w:marTop w:val="0"/>
      <w:marBottom w:val="0"/>
      <w:divBdr>
        <w:top w:val="none" w:sz="0" w:space="0" w:color="auto"/>
        <w:left w:val="none" w:sz="0" w:space="0" w:color="auto"/>
        <w:bottom w:val="none" w:sz="0" w:space="0" w:color="auto"/>
        <w:right w:val="none" w:sz="0" w:space="0" w:color="auto"/>
      </w:divBdr>
    </w:div>
    <w:div w:id="292906984">
      <w:bodyDiv w:val="1"/>
      <w:marLeft w:val="0"/>
      <w:marRight w:val="0"/>
      <w:marTop w:val="0"/>
      <w:marBottom w:val="0"/>
      <w:divBdr>
        <w:top w:val="none" w:sz="0" w:space="0" w:color="auto"/>
        <w:left w:val="none" w:sz="0" w:space="0" w:color="auto"/>
        <w:bottom w:val="none" w:sz="0" w:space="0" w:color="auto"/>
        <w:right w:val="none" w:sz="0" w:space="0" w:color="auto"/>
      </w:divBdr>
    </w:div>
    <w:div w:id="295261114">
      <w:bodyDiv w:val="1"/>
      <w:marLeft w:val="0"/>
      <w:marRight w:val="0"/>
      <w:marTop w:val="0"/>
      <w:marBottom w:val="0"/>
      <w:divBdr>
        <w:top w:val="none" w:sz="0" w:space="0" w:color="auto"/>
        <w:left w:val="none" w:sz="0" w:space="0" w:color="auto"/>
        <w:bottom w:val="none" w:sz="0" w:space="0" w:color="auto"/>
        <w:right w:val="none" w:sz="0" w:space="0" w:color="auto"/>
      </w:divBdr>
    </w:div>
    <w:div w:id="297151629">
      <w:bodyDiv w:val="1"/>
      <w:marLeft w:val="0"/>
      <w:marRight w:val="0"/>
      <w:marTop w:val="0"/>
      <w:marBottom w:val="0"/>
      <w:divBdr>
        <w:top w:val="none" w:sz="0" w:space="0" w:color="auto"/>
        <w:left w:val="none" w:sz="0" w:space="0" w:color="auto"/>
        <w:bottom w:val="none" w:sz="0" w:space="0" w:color="auto"/>
        <w:right w:val="none" w:sz="0" w:space="0" w:color="auto"/>
      </w:divBdr>
    </w:div>
    <w:div w:id="298269061">
      <w:bodyDiv w:val="1"/>
      <w:marLeft w:val="0"/>
      <w:marRight w:val="0"/>
      <w:marTop w:val="0"/>
      <w:marBottom w:val="0"/>
      <w:divBdr>
        <w:top w:val="none" w:sz="0" w:space="0" w:color="auto"/>
        <w:left w:val="none" w:sz="0" w:space="0" w:color="auto"/>
        <w:bottom w:val="none" w:sz="0" w:space="0" w:color="auto"/>
        <w:right w:val="none" w:sz="0" w:space="0" w:color="auto"/>
      </w:divBdr>
    </w:div>
    <w:div w:id="299723809">
      <w:bodyDiv w:val="1"/>
      <w:marLeft w:val="0"/>
      <w:marRight w:val="0"/>
      <w:marTop w:val="0"/>
      <w:marBottom w:val="0"/>
      <w:divBdr>
        <w:top w:val="none" w:sz="0" w:space="0" w:color="auto"/>
        <w:left w:val="none" w:sz="0" w:space="0" w:color="auto"/>
        <w:bottom w:val="none" w:sz="0" w:space="0" w:color="auto"/>
        <w:right w:val="none" w:sz="0" w:space="0" w:color="auto"/>
      </w:divBdr>
    </w:div>
    <w:div w:id="300430515">
      <w:bodyDiv w:val="1"/>
      <w:marLeft w:val="0"/>
      <w:marRight w:val="0"/>
      <w:marTop w:val="0"/>
      <w:marBottom w:val="0"/>
      <w:divBdr>
        <w:top w:val="none" w:sz="0" w:space="0" w:color="auto"/>
        <w:left w:val="none" w:sz="0" w:space="0" w:color="auto"/>
        <w:bottom w:val="none" w:sz="0" w:space="0" w:color="auto"/>
        <w:right w:val="none" w:sz="0" w:space="0" w:color="auto"/>
      </w:divBdr>
    </w:div>
    <w:div w:id="302199203">
      <w:bodyDiv w:val="1"/>
      <w:marLeft w:val="0"/>
      <w:marRight w:val="0"/>
      <w:marTop w:val="0"/>
      <w:marBottom w:val="0"/>
      <w:divBdr>
        <w:top w:val="none" w:sz="0" w:space="0" w:color="auto"/>
        <w:left w:val="none" w:sz="0" w:space="0" w:color="auto"/>
        <w:bottom w:val="none" w:sz="0" w:space="0" w:color="auto"/>
        <w:right w:val="none" w:sz="0" w:space="0" w:color="auto"/>
      </w:divBdr>
    </w:div>
    <w:div w:id="304510840">
      <w:bodyDiv w:val="1"/>
      <w:marLeft w:val="0"/>
      <w:marRight w:val="0"/>
      <w:marTop w:val="0"/>
      <w:marBottom w:val="0"/>
      <w:divBdr>
        <w:top w:val="none" w:sz="0" w:space="0" w:color="auto"/>
        <w:left w:val="none" w:sz="0" w:space="0" w:color="auto"/>
        <w:bottom w:val="none" w:sz="0" w:space="0" w:color="auto"/>
        <w:right w:val="none" w:sz="0" w:space="0" w:color="auto"/>
      </w:divBdr>
    </w:div>
    <w:div w:id="305864944">
      <w:bodyDiv w:val="1"/>
      <w:marLeft w:val="0"/>
      <w:marRight w:val="0"/>
      <w:marTop w:val="0"/>
      <w:marBottom w:val="0"/>
      <w:divBdr>
        <w:top w:val="none" w:sz="0" w:space="0" w:color="auto"/>
        <w:left w:val="none" w:sz="0" w:space="0" w:color="auto"/>
        <w:bottom w:val="none" w:sz="0" w:space="0" w:color="auto"/>
        <w:right w:val="none" w:sz="0" w:space="0" w:color="auto"/>
      </w:divBdr>
    </w:div>
    <w:div w:id="310718155">
      <w:bodyDiv w:val="1"/>
      <w:marLeft w:val="0"/>
      <w:marRight w:val="0"/>
      <w:marTop w:val="0"/>
      <w:marBottom w:val="0"/>
      <w:divBdr>
        <w:top w:val="none" w:sz="0" w:space="0" w:color="auto"/>
        <w:left w:val="none" w:sz="0" w:space="0" w:color="auto"/>
        <w:bottom w:val="none" w:sz="0" w:space="0" w:color="auto"/>
        <w:right w:val="none" w:sz="0" w:space="0" w:color="auto"/>
      </w:divBdr>
    </w:div>
    <w:div w:id="312293734">
      <w:bodyDiv w:val="1"/>
      <w:marLeft w:val="0"/>
      <w:marRight w:val="0"/>
      <w:marTop w:val="0"/>
      <w:marBottom w:val="0"/>
      <w:divBdr>
        <w:top w:val="none" w:sz="0" w:space="0" w:color="auto"/>
        <w:left w:val="none" w:sz="0" w:space="0" w:color="auto"/>
        <w:bottom w:val="none" w:sz="0" w:space="0" w:color="auto"/>
        <w:right w:val="none" w:sz="0" w:space="0" w:color="auto"/>
      </w:divBdr>
    </w:div>
    <w:div w:id="313460082">
      <w:bodyDiv w:val="1"/>
      <w:marLeft w:val="0"/>
      <w:marRight w:val="0"/>
      <w:marTop w:val="0"/>
      <w:marBottom w:val="0"/>
      <w:divBdr>
        <w:top w:val="none" w:sz="0" w:space="0" w:color="auto"/>
        <w:left w:val="none" w:sz="0" w:space="0" w:color="auto"/>
        <w:bottom w:val="none" w:sz="0" w:space="0" w:color="auto"/>
        <w:right w:val="none" w:sz="0" w:space="0" w:color="auto"/>
      </w:divBdr>
    </w:div>
    <w:div w:id="313922995">
      <w:bodyDiv w:val="1"/>
      <w:marLeft w:val="0"/>
      <w:marRight w:val="0"/>
      <w:marTop w:val="0"/>
      <w:marBottom w:val="0"/>
      <w:divBdr>
        <w:top w:val="none" w:sz="0" w:space="0" w:color="auto"/>
        <w:left w:val="none" w:sz="0" w:space="0" w:color="auto"/>
        <w:bottom w:val="none" w:sz="0" w:space="0" w:color="auto"/>
        <w:right w:val="none" w:sz="0" w:space="0" w:color="auto"/>
      </w:divBdr>
    </w:div>
    <w:div w:id="314844632">
      <w:bodyDiv w:val="1"/>
      <w:marLeft w:val="0"/>
      <w:marRight w:val="0"/>
      <w:marTop w:val="0"/>
      <w:marBottom w:val="0"/>
      <w:divBdr>
        <w:top w:val="none" w:sz="0" w:space="0" w:color="auto"/>
        <w:left w:val="none" w:sz="0" w:space="0" w:color="auto"/>
        <w:bottom w:val="none" w:sz="0" w:space="0" w:color="auto"/>
        <w:right w:val="none" w:sz="0" w:space="0" w:color="auto"/>
      </w:divBdr>
    </w:div>
    <w:div w:id="315453421">
      <w:bodyDiv w:val="1"/>
      <w:marLeft w:val="0"/>
      <w:marRight w:val="0"/>
      <w:marTop w:val="0"/>
      <w:marBottom w:val="0"/>
      <w:divBdr>
        <w:top w:val="none" w:sz="0" w:space="0" w:color="auto"/>
        <w:left w:val="none" w:sz="0" w:space="0" w:color="auto"/>
        <w:bottom w:val="none" w:sz="0" w:space="0" w:color="auto"/>
        <w:right w:val="none" w:sz="0" w:space="0" w:color="auto"/>
      </w:divBdr>
    </w:div>
    <w:div w:id="316541030">
      <w:bodyDiv w:val="1"/>
      <w:marLeft w:val="0"/>
      <w:marRight w:val="0"/>
      <w:marTop w:val="0"/>
      <w:marBottom w:val="0"/>
      <w:divBdr>
        <w:top w:val="none" w:sz="0" w:space="0" w:color="auto"/>
        <w:left w:val="none" w:sz="0" w:space="0" w:color="auto"/>
        <w:bottom w:val="none" w:sz="0" w:space="0" w:color="auto"/>
        <w:right w:val="none" w:sz="0" w:space="0" w:color="auto"/>
      </w:divBdr>
    </w:div>
    <w:div w:id="318733611">
      <w:bodyDiv w:val="1"/>
      <w:marLeft w:val="0"/>
      <w:marRight w:val="0"/>
      <w:marTop w:val="0"/>
      <w:marBottom w:val="0"/>
      <w:divBdr>
        <w:top w:val="none" w:sz="0" w:space="0" w:color="auto"/>
        <w:left w:val="none" w:sz="0" w:space="0" w:color="auto"/>
        <w:bottom w:val="none" w:sz="0" w:space="0" w:color="auto"/>
        <w:right w:val="none" w:sz="0" w:space="0" w:color="auto"/>
      </w:divBdr>
    </w:div>
    <w:div w:id="319116719">
      <w:bodyDiv w:val="1"/>
      <w:marLeft w:val="0"/>
      <w:marRight w:val="0"/>
      <w:marTop w:val="0"/>
      <w:marBottom w:val="0"/>
      <w:divBdr>
        <w:top w:val="none" w:sz="0" w:space="0" w:color="auto"/>
        <w:left w:val="none" w:sz="0" w:space="0" w:color="auto"/>
        <w:bottom w:val="none" w:sz="0" w:space="0" w:color="auto"/>
        <w:right w:val="none" w:sz="0" w:space="0" w:color="auto"/>
      </w:divBdr>
    </w:div>
    <w:div w:id="321471221">
      <w:bodyDiv w:val="1"/>
      <w:marLeft w:val="0"/>
      <w:marRight w:val="0"/>
      <w:marTop w:val="0"/>
      <w:marBottom w:val="0"/>
      <w:divBdr>
        <w:top w:val="none" w:sz="0" w:space="0" w:color="auto"/>
        <w:left w:val="none" w:sz="0" w:space="0" w:color="auto"/>
        <w:bottom w:val="none" w:sz="0" w:space="0" w:color="auto"/>
        <w:right w:val="none" w:sz="0" w:space="0" w:color="auto"/>
      </w:divBdr>
    </w:div>
    <w:div w:id="326521469">
      <w:bodyDiv w:val="1"/>
      <w:marLeft w:val="0"/>
      <w:marRight w:val="0"/>
      <w:marTop w:val="0"/>
      <w:marBottom w:val="0"/>
      <w:divBdr>
        <w:top w:val="none" w:sz="0" w:space="0" w:color="auto"/>
        <w:left w:val="none" w:sz="0" w:space="0" w:color="auto"/>
        <w:bottom w:val="none" w:sz="0" w:space="0" w:color="auto"/>
        <w:right w:val="none" w:sz="0" w:space="0" w:color="auto"/>
      </w:divBdr>
    </w:div>
    <w:div w:id="328599959">
      <w:bodyDiv w:val="1"/>
      <w:marLeft w:val="0"/>
      <w:marRight w:val="0"/>
      <w:marTop w:val="0"/>
      <w:marBottom w:val="0"/>
      <w:divBdr>
        <w:top w:val="none" w:sz="0" w:space="0" w:color="auto"/>
        <w:left w:val="none" w:sz="0" w:space="0" w:color="auto"/>
        <w:bottom w:val="none" w:sz="0" w:space="0" w:color="auto"/>
        <w:right w:val="none" w:sz="0" w:space="0" w:color="auto"/>
      </w:divBdr>
    </w:div>
    <w:div w:id="332414239">
      <w:bodyDiv w:val="1"/>
      <w:marLeft w:val="0"/>
      <w:marRight w:val="0"/>
      <w:marTop w:val="0"/>
      <w:marBottom w:val="0"/>
      <w:divBdr>
        <w:top w:val="none" w:sz="0" w:space="0" w:color="auto"/>
        <w:left w:val="none" w:sz="0" w:space="0" w:color="auto"/>
        <w:bottom w:val="none" w:sz="0" w:space="0" w:color="auto"/>
        <w:right w:val="none" w:sz="0" w:space="0" w:color="auto"/>
      </w:divBdr>
    </w:div>
    <w:div w:id="334889121">
      <w:bodyDiv w:val="1"/>
      <w:marLeft w:val="0"/>
      <w:marRight w:val="0"/>
      <w:marTop w:val="0"/>
      <w:marBottom w:val="0"/>
      <w:divBdr>
        <w:top w:val="none" w:sz="0" w:space="0" w:color="auto"/>
        <w:left w:val="none" w:sz="0" w:space="0" w:color="auto"/>
        <w:bottom w:val="none" w:sz="0" w:space="0" w:color="auto"/>
        <w:right w:val="none" w:sz="0" w:space="0" w:color="auto"/>
      </w:divBdr>
    </w:div>
    <w:div w:id="336423024">
      <w:bodyDiv w:val="1"/>
      <w:marLeft w:val="0"/>
      <w:marRight w:val="0"/>
      <w:marTop w:val="0"/>
      <w:marBottom w:val="0"/>
      <w:divBdr>
        <w:top w:val="none" w:sz="0" w:space="0" w:color="auto"/>
        <w:left w:val="none" w:sz="0" w:space="0" w:color="auto"/>
        <w:bottom w:val="none" w:sz="0" w:space="0" w:color="auto"/>
        <w:right w:val="none" w:sz="0" w:space="0" w:color="auto"/>
      </w:divBdr>
    </w:div>
    <w:div w:id="339547193">
      <w:bodyDiv w:val="1"/>
      <w:marLeft w:val="0"/>
      <w:marRight w:val="0"/>
      <w:marTop w:val="0"/>
      <w:marBottom w:val="0"/>
      <w:divBdr>
        <w:top w:val="none" w:sz="0" w:space="0" w:color="auto"/>
        <w:left w:val="none" w:sz="0" w:space="0" w:color="auto"/>
        <w:bottom w:val="none" w:sz="0" w:space="0" w:color="auto"/>
        <w:right w:val="none" w:sz="0" w:space="0" w:color="auto"/>
      </w:divBdr>
    </w:div>
    <w:div w:id="340358254">
      <w:bodyDiv w:val="1"/>
      <w:marLeft w:val="0"/>
      <w:marRight w:val="0"/>
      <w:marTop w:val="0"/>
      <w:marBottom w:val="0"/>
      <w:divBdr>
        <w:top w:val="none" w:sz="0" w:space="0" w:color="auto"/>
        <w:left w:val="none" w:sz="0" w:space="0" w:color="auto"/>
        <w:bottom w:val="none" w:sz="0" w:space="0" w:color="auto"/>
        <w:right w:val="none" w:sz="0" w:space="0" w:color="auto"/>
      </w:divBdr>
    </w:div>
    <w:div w:id="340936984">
      <w:bodyDiv w:val="1"/>
      <w:marLeft w:val="0"/>
      <w:marRight w:val="0"/>
      <w:marTop w:val="0"/>
      <w:marBottom w:val="0"/>
      <w:divBdr>
        <w:top w:val="none" w:sz="0" w:space="0" w:color="auto"/>
        <w:left w:val="none" w:sz="0" w:space="0" w:color="auto"/>
        <w:bottom w:val="none" w:sz="0" w:space="0" w:color="auto"/>
        <w:right w:val="none" w:sz="0" w:space="0" w:color="auto"/>
      </w:divBdr>
    </w:div>
    <w:div w:id="341467780">
      <w:bodyDiv w:val="1"/>
      <w:marLeft w:val="0"/>
      <w:marRight w:val="0"/>
      <w:marTop w:val="0"/>
      <w:marBottom w:val="0"/>
      <w:divBdr>
        <w:top w:val="none" w:sz="0" w:space="0" w:color="auto"/>
        <w:left w:val="none" w:sz="0" w:space="0" w:color="auto"/>
        <w:bottom w:val="none" w:sz="0" w:space="0" w:color="auto"/>
        <w:right w:val="none" w:sz="0" w:space="0" w:color="auto"/>
      </w:divBdr>
    </w:div>
    <w:div w:id="344941553">
      <w:bodyDiv w:val="1"/>
      <w:marLeft w:val="0"/>
      <w:marRight w:val="0"/>
      <w:marTop w:val="0"/>
      <w:marBottom w:val="0"/>
      <w:divBdr>
        <w:top w:val="none" w:sz="0" w:space="0" w:color="auto"/>
        <w:left w:val="none" w:sz="0" w:space="0" w:color="auto"/>
        <w:bottom w:val="none" w:sz="0" w:space="0" w:color="auto"/>
        <w:right w:val="none" w:sz="0" w:space="0" w:color="auto"/>
      </w:divBdr>
    </w:div>
    <w:div w:id="345912596">
      <w:bodyDiv w:val="1"/>
      <w:marLeft w:val="0"/>
      <w:marRight w:val="0"/>
      <w:marTop w:val="0"/>
      <w:marBottom w:val="0"/>
      <w:divBdr>
        <w:top w:val="none" w:sz="0" w:space="0" w:color="auto"/>
        <w:left w:val="none" w:sz="0" w:space="0" w:color="auto"/>
        <w:bottom w:val="none" w:sz="0" w:space="0" w:color="auto"/>
        <w:right w:val="none" w:sz="0" w:space="0" w:color="auto"/>
      </w:divBdr>
    </w:div>
    <w:div w:id="346953276">
      <w:bodyDiv w:val="1"/>
      <w:marLeft w:val="0"/>
      <w:marRight w:val="0"/>
      <w:marTop w:val="0"/>
      <w:marBottom w:val="0"/>
      <w:divBdr>
        <w:top w:val="none" w:sz="0" w:space="0" w:color="auto"/>
        <w:left w:val="none" w:sz="0" w:space="0" w:color="auto"/>
        <w:bottom w:val="none" w:sz="0" w:space="0" w:color="auto"/>
        <w:right w:val="none" w:sz="0" w:space="0" w:color="auto"/>
      </w:divBdr>
    </w:div>
    <w:div w:id="347219585">
      <w:bodyDiv w:val="1"/>
      <w:marLeft w:val="0"/>
      <w:marRight w:val="0"/>
      <w:marTop w:val="0"/>
      <w:marBottom w:val="0"/>
      <w:divBdr>
        <w:top w:val="none" w:sz="0" w:space="0" w:color="auto"/>
        <w:left w:val="none" w:sz="0" w:space="0" w:color="auto"/>
        <w:bottom w:val="none" w:sz="0" w:space="0" w:color="auto"/>
        <w:right w:val="none" w:sz="0" w:space="0" w:color="auto"/>
      </w:divBdr>
    </w:div>
    <w:div w:id="347874408">
      <w:bodyDiv w:val="1"/>
      <w:marLeft w:val="0"/>
      <w:marRight w:val="0"/>
      <w:marTop w:val="0"/>
      <w:marBottom w:val="0"/>
      <w:divBdr>
        <w:top w:val="none" w:sz="0" w:space="0" w:color="auto"/>
        <w:left w:val="none" w:sz="0" w:space="0" w:color="auto"/>
        <w:bottom w:val="none" w:sz="0" w:space="0" w:color="auto"/>
        <w:right w:val="none" w:sz="0" w:space="0" w:color="auto"/>
      </w:divBdr>
    </w:div>
    <w:div w:id="352340672">
      <w:bodyDiv w:val="1"/>
      <w:marLeft w:val="0"/>
      <w:marRight w:val="0"/>
      <w:marTop w:val="0"/>
      <w:marBottom w:val="0"/>
      <w:divBdr>
        <w:top w:val="none" w:sz="0" w:space="0" w:color="auto"/>
        <w:left w:val="none" w:sz="0" w:space="0" w:color="auto"/>
        <w:bottom w:val="none" w:sz="0" w:space="0" w:color="auto"/>
        <w:right w:val="none" w:sz="0" w:space="0" w:color="auto"/>
      </w:divBdr>
    </w:div>
    <w:div w:id="353193046">
      <w:bodyDiv w:val="1"/>
      <w:marLeft w:val="0"/>
      <w:marRight w:val="0"/>
      <w:marTop w:val="0"/>
      <w:marBottom w:val="0"/>
      <w:divBdr>
        <w:top w:val="none" w:sz="0" w:space="0" w:color="auto"/>
        <w:left w:val="none" w:sz="0" w:space="0" w:color="auto"/>
        <w:bottom w:val="none" w:sz="0" w:space="0" w:color="auto"/>
        <w:right w:val="none" w:sz="0" w:space="0" w:color="auto"/>
      </w:divBdr>
    </w:div>
    <w:div w:id="353456553">
      <w:bodyDiv w:val="1"/>
      <w:marLeft w:val="0"/>
      <w:marRight w:val="0"/>
      <w:marTop w:val="0"/>
      <w:marBottom w:val="0"/>
      <w:divBdr>
        <w:top w:val="none" w:sz="0" w:space="0" w:color="auto"/>
        <w:left w:val="none" w:sz="0" w:space="0" w:color="auto"/>
        <w:bottom w:val="none" w:sz="0" w:space="0" w:color="auto"/>
        <w:right w:val="none" w:sz="0" w:space="0" w:color="auto"/>
      </w:divBdr>
    </w:div>
    <w:div w:id="353966888">
      <w:bodyDiv w:val="1"/>
      <w:marLeft w:val="0"/>
      <w:marRight w:val="0"/>
      <w:marTop w:val="0"/>
      <w:marBottom w:val="0"/>
      <w:divBdr>
        <w:top w:val="none" w:sz="0" w:space="0" w:color="auto"/>
        <w:left w:val="none" w:sz="0" w:space="0" w:color="auto"/>
        <w:bottom w:val="none" w:sz="0" w:space="0" w:color="auto"/>
        <w:right w:val="none" w:sz="0" w:space="0" w:color="auto"/>
      </w:divBdr>
    </w:div>
    <w:div w:id="355159369">
      <w:bodyDiv w:val="1"/>
      <w:marLeft w:val="0"/>
      <w:marRight w:val="0"/>
      <w:marTop w:val="0"/>
      <w:marBottom w:val="0"/>
      <w:divBdr>
        <w:top w:val="none" w:sz="0" w:space="0" w:color="auto"/>
        <w:left w:val="none" w:sz="0" w:space="0" w:color="auto"/>
        <w:bottom w:val="none" w:sz="0" w:space="0" w:color="auto"/>
        <w:right w:val="none" w:sz="0" w:space="0" w:color="auto"/>
      </w:divBdr>
    </w:div>
    <w:div w:id="356389791">
      <w:bodyDiv w:val="1"/>
      <w:marLeft w:val="0"/>
      <w:marRight w:val="0"/>
      <w:marTop w:val="0"/>
      <w:marBottom w:val="0"/>
      <w:divBdr>
        <w:top w:val="none" w:sz="0" w:space="0" w:color="auto"/>
        <w:left w:val="none" w:sz="0" w:space="0" w:color="auto"/>
        <w:bottom w:val="none" w:sz="0" w:space="0" w:color="auto"/>
        <w:right w:val="none" w:sz="0" w:space="0" w:color="auto"/>
      </w:divBdr>
    </w:div>
    <w:div w:id="361052136">
      <w:bodyDiv w:val="1"/>
      <w:marLeft w:val="0"/>
      <w:marRight w:val="0"/>
      <w:marTop w:val="0"/>
      <w:marBottom w:val="0"/>
      <w:divBdr>
        <w:top w:val="none" w:sz="0" w:space="0" w:color="auto"/>
        <w:left w:val="none" w:sz="0" w:space="0" w:color="auto"/>
        <w:bottom w:val="none" w:sz="0" w:space="0" w:color="auto"/>
        <w:right w:val="none" w:sz="0" w:space="0" w:color="auto"/>
      </w:divBdr>
    </w:div>
    <w:div w:id="362874533">
      <w:bodyDiv w:val="1"/>
      <w:marLeft w:val="0"/>
      <w:marRight w:val="0"/>
      <w:marTop w:val="0"/>
      <w:marBottom w:val="0"/>
      <w:divBdr>
        <w:top w:val="none" w:sz="0" w:space="0" w:color="auto"/>
        <w:left w:val="none" w:sz="0" w:space="0" w:color="auto"/>
        <w:bottom w:val="none" w:sz="0" w:space="0" w:color="auto"/>
        <w:right w:val="none" w:sz="0" w:space="0" w:color="auto"/>
      </w:divBdr>
    </w:div>
    <w:div w:id="363672607">
      <w:bodyDiv w:val="1"/>
      <w:marLeft w:val="0"/>
      <w:marRight w:val="0"/>
      <w:marTop w:val="0"/>
      <w:marBottom w:val="0"/>
      <w:divBdr>
        <w:top w:val="none" w:sz="0" w:space="0" w:color="auto"/>
        <w:left w:val="none" w:sz="0" w:space="0" w:color="auto"/>
        <w:bottom w:val="none" w:sz="0" w:space="0" w:color="auto"/>
        <w:right w:val="none" w:sz="0" w:space="0" w:color="auto"/>
      </w:divBdr>
    </w:div>
    <w:div w:id="364713886">
      <w:bodyDiv w:val="1"/>
      <w:marLeft w:val="0"/>
      <w:marRight w:val="0"/>
      <w:marTop w:val="0"/>
      <w:marBottom w:val="0"/>
      <w:divBdr>
        <w:top w:val="none" w:sz="0" w:space="0" w:color="auto"/>
        <w:left w:val="none" w:sz="0" w:space="0" w:color="auto"/>
        <w:bottom w:val="none" w:sz="0" w:space="0" w:color="auto"/>
        <w:right w:val="none" w:sz="0" w:space="0" w:color="auto"/>
      </w:divBdr>
    </w:div>
    <w:div w:id="367268476">
      <w:bodyDiv w:val="1"/>
      <w:marLeft w:val="0"/>
      <w:marRight w:val="0"/>
      <w:marTop w:val="0"/>
      <w:marBottom w:val="0"/>
      <w:divBdr>
        <w:top w:val="none" w:sz="0" w:space="0" w:color="auto"/>
        <w:left w:val="none" w:sz="0" w:space="0" w:color="auto"/>
        <w:bottom w:val="none" w:sz="0" w:space="0" w:color="auto"/>
        <w:right w:val="none" w:sz="0" w:space="0" w:color="auto"/>
      </w:divBdr>
    </w:div>
    <w:div w:id="367610038">
      <w:bodyDiv w:val="1"/>
      <w:marLeft w:val="0"/>
      <w:marRight w:val="0"/>
      <w:marTop w:val="0"/>
      <w:marBottom w:val="0"/>
      <w:divBdr>
        <w:top w:val="none" w:sz="0" w:space="0" w:color="auto"/>
        <w:left w:val="none" w:sz="0" w:space="0" w:color="auto"/>
        <w:bottom w:val="none" w:sz="0" w:space="0" w:color="auto"/>
        <w:right w:val="none" w:sz="0" w:space="0" w:color="auto"/>
      </w:divBdr>
    </w:div>
    <w:div w:id="371082119">
      <w:bodyDiv w:val="1"/>
      <w:marLeft w:val="0"/>
      <w:marRight w:val="0"/>
      <w:marTop w:val="0"/>
      <w:marBottom w:val="0"/>
      <w:divBdr>
        <w:top w:val="none" w:sz="0" w:space="0" w:color="auto"/>
        <w:left w:val="none" w:sz="0" w:space="0" w:color="auto"/>
        <w:bottom w:val="none" w:sz="0" w:space="0" w:color="auto"/>
        <w:right w:val="none" w:sz="0" w:space="0" w:color="auto"/>
      </w:divBdr>
    </w:div>
    <w:div w:id="377239869">
      <w:bodyDiv w:val="1"/>
      <w:marLeft w:val="0"/>
      <w:marRight w:val="0"/>
      <w:marTop w:val="0"/>
      <w:marBottom w:val="0"/>
      <w:divBdr>
        <w:top w:val="none" w:sz="0" w:space="0" w:color="auto"/>
        <w:left w:val="none" w:sz="0" w:space="0" w:color="auto"/>
        <w:bottom w:val="none" w:sz="0" w:space="0" w:color="auto"/>
        <w:right w:val="none" w:sz="0" w:space="0" w:color="auto"/>
      </w:divBdr>
    </w:div>
    <w:div w:id="378895519">
      <w:bodyDiv w:val="1"/>
      <w:marLeft w:val="0"/>
      <w:marRight w:val="0"/>
      <w:marTop w:val="0"/>
      <w:marBottom w:val="0"/>
      <w:divBdr>
        <w:top w:val="none" w:sz="0" w:space="0" w:color="auto"/>
        <w:left w:val="none" w:sz="0" w:space="0" w:color="auto"/>
        <w:bottom w:val="none" w:sz="0" w:space="0" w:color="auto"/>
        <w:right w:val="none" w:sz="0" w:space="0" w:color="auto"/>
      </w:divBdr>
    </w:div>
    <w:div w:id="382676456">
      <w:bodyDiv w:val="1"/>
      <w:marLeft w:val="0"/>
      <w:marRight w:val="0"/>
      <w:marTop w:val="0"/>
      <w:marBottom w:val="0"/>
      <w:divBdr>
        <w:top w:val="none" w:sz="0" w:space="0" w:color="auto"/>
        <w:left w:val="none" w:sz="0" w:space="0" w:color="auto"/>
        <w:bottom w:val="none" w:sz="0" w:space="0" w:color="auto"/>
        <w:right w:val="none" w:sz="0" w:space="0" w:color="auto"/>
      </w:divBdr>
    </w:div>
    <w:div w:id="382797332">
      <w:bodyDiv w:val="1"/>
      <w:marLeft w:val="0"/>
      <w:marRight w:val="0"/>
      <w:marTop w:val="0"/>
      <w:marBottom w:val="0"/>
      <w:divBdr>
        <w:top w:val="none" w:sz="0" w:space="0" w:color="auto"/>
        <w:left w:val="none" w:sz="0" w:space="0" w:color="auto"/>
        <w:bottom w:val="none" w:sz="0" w:space="0" w:color="auto"/>
        <w:right w:val="none" w:sz="0" w:space="0" w:color="auto"/>
      </w:divBdr>
    </w:div>
    <w:div w:id="384068022">
      <w:bodyDiv w:val="1"/>
      <w:marLeft w:val="0"/>
      <w:marRight w:val="0"/>
      <w:marTop w:val="0"/>
      <w:marBottom w:val="0"/>
      <w:divBdr>
        <w:top w:val="none" w:sz="0" w:space="0" w:color="auto"/>
        <w:left w:val="none" w:sz="0" w:space="0" w:color="auto"/>
        <w:bottom w:val="none" w:sz="0" w:space="0" w:color="auto"/>
        <w:right w:val="none" w:sz="0" w:space="0" w:color="auto"/>
      </w:divBdr>
    </w:div>
    <w:div w:id="384990484">
      <w:bodyDiv w:val="1"/>
      <w:marLeft w:val="0"/>
      <w:marRight w:val="0"/>
      <w:marTop w:val="0"/>
      <w:marBottom w:val="0"/>
      <w:divBdr>
        <w:top w:val="none" w:sz="0" w:space="0" w:color="auto"/>
        <w:left w:val="none" w:sz="0" w:space="0" w:color="auto"/>
        <w:bottom w:val="none" w:sz="0" w:space="0" w:color="auto"/>
        <w:right w:val="none" w:sz="0" w:space="0" w:color="auto"/>
      </w:divBdr>
    </w:div>
    <w:div w:id="386153236">
      <w:bodyDiv w:val="1"/>
      <w:marLeft w:val="0"/>
      <w:marRight w:val="0"/>
      <w:marTop w:val="0"/>
      <w:marBottom w:val="0"/>
      <w:divBdr>
        <w:top w:val="none" w:sz="0" w:space="0" w:color="auto"/>
        <w:left w:val="none" w:sz="0" w:space="0" w:color="auto"/>
        <w:bottom w:val="none" w:sz="0" w:space="0" w:color="auto"/>
        <w:right w:val="none" w:sz="0" w:space="0" w:color="auto"/>
      </w:divBdr>
    </w:div>
    <w:div w:id="386299864">
      <w:bodyDiv w:val="1"/>
      <w:marLeft w:val="0"/>
      <w:marRight w:val="0"/>
      <w:marTop w:val="0"/>
      <w:marBottom w:val="0"/>
      <w:divBdr>
        <w:top w:val="none" w:sz="0" w:space="0" w:color="auto"/>
        <w:left w:val="none" w:sz="0" w:space="0" w:color="auto"/>
        <w:bottom w:val="none" w:sz="0" w:space="0" w:color="auto"/>
        <w:right w:val="none" w:sz="0" w:space="0" w:color="auto"/>
      </w:divBdr>
    </w:div>
    <w:div w:id="386926290">
      <w:bodyDiv w:val="1"/>
      <w:marLeft w:val="0"/>
      <w:marRight w:val="0"/>
      <w:marTop w:val="0"/>
      <w:marBottom w:val="0"/>
      <w:divBdr>
        <w:top w:val="none" w:sz="0" w:space="0" w:color="auto"/>
        <w:left w:val="none" w:sz="0" w:space="0" w:color="auto"/>
        <w:bottom w:val="none" w:sz="0" w:space="0" w:color="auto"/>
        <w:right w:val="none" w:sz="0" w:space="0" w:color="auto"/>
      </w:divBdr>
    </w:div>
    <w:div w:id="387652663">
      <w:bodyDiv w:val="1"/>
      <w:marLeft w:val="0"/>
      <w:marRight w:val="0"/>
      <w:marTop w:val="0"/>
      <w:marBottom w:val="0"/>
      <w:divBdr>
        <w:top w:val="none" w:sz="0" w:space="0" w:color="auto"/>
        <w:left w:val="none" w:sz="0" w:space="0" w:color="auto"/>
        <w:bottom w:val="none" w:sz="0" w:space="0" w:color="auto"/>
        <w:right w:val="none" w:sz="0" w:space="0" w:color="auto"/>
      </w:divBdr>
    </w:div>
    <w:div w:id="388655155">
      <w:bodyDiv w:val="1"/>
      <w:marLeft w:val="0"/>
      <w:marRight w:val="0"/>
      <w:marTop w:val="0"/>
      <w:marBottom w:val="0"/>
      <w:divBdr>
        <w:top w:val="none" w:sz="0" w:space="0" w:color="auto"/>
        <w:left w:val="none" w:sz="0" w:space="0" w:color="auto"/>
        <w:bottom w:val="none" w:sz="0" w:space="0" w:color="auto"/>
        <w:right w:val="none" w:sz="0" w:space="0" w:color="auto"/>
      </w:divBdr>
    </w:div>
    <w:div w:id="389693829">
      <w:bodyDiv w:val="1"/>
      <w:marLeft w:val="0"/>
      <w:marRight w:val="0"/>
      <w:marTop w:val="0"/>
      <w:marBottom w:val="0"/>
      <w:divBdr>
        <w:top w:val="none" w:sz="0" w:space="0" w:color="auto"/>
        <w:left w:val="none" w:sz="0" w:space="0" w:color="auto"/>
        <w:bottom w:val="none" w:sz="0" w:space="0" w:color="auto"/>
        <w:right w:val="none" w:sz="0" w:space="0" w:color="auto"/>
      </w:divBdr>
    </w:div>
    <w:div w:id="390271692">
      <w:bodyDiv w:val="1"/>
      <w:marLeft w:val="0"/>
      <w:marRight w:val="0"/>
      <w:marTop w:val="0"/>
      <w:marBottom w:val="0"/>
      <w:divBdr>
        <w:top w:val="none" w:sz="0" w:space="0" w:color="auto"/>
        <w:left w:val="none" w:sz="0" w:space="0" w:color="auto"/>
        <w:bottom w:val="none" w:sz="0" w:space="0" w:color="auto"/>
        <w:right w:val="none" w:sz="0" w:space="0" w:color="auto"/>
      </w:divBdr>
    </w:div>
    <w:div w:id="391269618">
      <w:bodyDiv w:val="1"/>
      <w:marLeft w:val="0"/>
      <w:marRight w:val="0"/>
      <w:marTop w:val="0"/>
      <w:marBottom w:val="0"/>
      <w:divBdr>
        <w:top w:val="none" w:sz="0" w:space="0" w:color="auto"/>
        <w:left w:val="none" w:sz="0" w:space="0" w:color="auto"/>
        <w:bottom w:val="none" w:sz="0" w:space="0" w:color="auto"/>
        <w:right w:val="none" w:sz="0" w:space="0" w:color="auto"/>
      </w:divBdr>
    </w:div>
    <w:div w:id="392974724">
      <w:bodyDiv w:val="1"/>
      <w:marLeft w:val="0"/>
      <w:marRight w:val="0"/>
      <w:marTop w:val="0"/>
      <w:marBottom w:val="0"/>
      <w:divBdr>
        <w:top w:val="none" w:sz="0" w:space="0" w:color="auto"/>
        <w:left w:val="none" w:sz="0" w:space="0" w:color="auto"/>
        <w:bottom w:val="none" w:sz="0" w:space="0" w:color="auto"/>
        <w:right w:val="none" w:sz="0" w:space="0" w:color="auto"/>
      </w:divBdr>
    </w:div>
    <w:div w:id="393550039">
      <w:bodyDiv w:val="1"/>
      <w:marLeft w:val="0"/>
      <w:marRight w:val="0"/>
      <w:marTop w:val="0"/>
      <w:marBottom w:val="0"/>
      <w:divBdr>
        <w:top w:val="none" w:sz="0" w:space="0" w:color="auto"/>
        <w:left w:val="none" w:sz="0" w:space="0" w:color="auto"/>
        <w:bottom w:val="none" w:sz="0" w:space="0" w:color="auto"/>
        <w:right w:val="none" w:sz="0" w:space="0" w:color="auto"/>
      </w:divBdr>
    </w:div>
    <w:div w:id="396124147">
      <w:bodyDiv w:val="1"/>
      <w:marLeft w:val="0"/>
      <w:marRight w:val="0"/>
      <w:marTop w:val="0"/>
      <w:marBottom w:val="0"/>
      <w:divBdr>
        <w:top w:val="none" w:sz="0" w:space="0" w:color="auto"/>
        <w:left w:val="none" w:sz="0" w:space="0" w:color="auto"/>
        <w:bottom w:val="none" w:sz="0" w:space="0" w:color="auto"/>
        <w:right w:val="none" w:sz="0" w:space="0" w:color="auto"/>
      </w:divBdr>
    </w:div>
    <w:div w:id="396515549">
      <w:bodyDiv w:val="1"/>
      <w:marLeft w:val="0"/>
      <w:marRight w:val="0"/>
      <w:marTop w:val="0"/>
      <w:marBottom w:val="0"/>
      <w:divBdr>
        <w:top w:val="none" w:sz="0" w:space="0" w:color="auto"/>
        <w:left w:val="none" w:sz="0" w:space="0" w:color="auto"/>
        <w:bottom w:val="none" w:sz="0" w:space="0" w:color="auto"/>
        <w:right w:val="none" w:sz="0" w:space="0" w:color="auto"/>
      </w:divBdr>
    </w:div>
    <w:div w:id="397292826">
      <w:bodyDiv w:val="1"/>
      <w:marLeft w:val="0"/>
      <w:marRight w:val="0"/>
      <w:marTop w:val="0"/>
      <w:marBottom w:val="0"/>
      <w:divBdr>
        <w:top w:val="none" w:sz="0" w:space="0" w:color="auto"/>
        <w:left w:val="none" w:sz="0" w:space="0" w:color="auto"/>
        <w:bottom w:val="none" w:sz="0" w:space="0" w:color="auto"/>
        <w:right w:val="none" w:sz="0" w:space="0" w:color="auto"/>
      </w:divBdr>
    </w:div>
    <w:div w:id="398359526">
      <w:bodyDiv w:val="1"/>
      <w:marLeft w:val="0"/>
      <w:marRight w:val="0"/>
      <w:marTop w:val="0"/>
      <w:marBottom w:val="0"/>
      <w:divBdr>
        <w:top w:val="none" w:sz="0" w:space="0" w:color="auto"/>
        <w:left w:val="none" w:sz="0" w:space="0" w:color="auto"/>
        <w:bottom w:val="none" w:sz="0" w:space="0" w:color="auto"/>
        <w:right w:val="none" w:sz="0" w:space="0" w:color="auto"/>
      </w:divBdr>
    </w:div>
    <w:div w:id="399443844">
      <w:bodyDiv w:val="1"/>
      <w:marLeft w:val="0"/>
      <w:marRight w:val="0"/>
      <w:marTop w:val="0"/>
      <w:marBottom w:val="0"/>
      <w:divBdr>
        <w:top w:val="none" w:sz="0" w:space="0" w:color="auto"/>
        <w:left w:val="none" w:sz="0" w:space="0" w:color="auto"/>
        <w:bottom w:val="none" w:sz="0" w:space="0" w:color="auto"/>
        <w:right w:val="none" w:sz="0" w:space="0" w:color="auto"/>
      </w:divBdr>
    </w:div>
    <w:div w:id="399645552">
      <w:bodyDiv w:val="1"/>
      <w:marLeft w:val="0"/>
      <w:marRight w:val="0"/>
      <w:marTop w:val="0"/>
      <w:marBottom w:val="0"/>
      <w:divBdr>
        <w:top w:val="none" w:sz="0" w:space="0" w:color="auto"/>
        <w:left w:val="none" w:sz="0" w:space="0" w:color="auto"/>
        <w:bottom w:val="none" w:sz="0" w:space="0" w:color="auto"/>
        <w:right w:val="none" w:sz="0" w:space="0" w:color="auto"/>
      </w:divBdr>
    </w:div>
    <w:div w:id="401415838">
      <w:bodyDiv w:val="1"/>
      <w:marLeft w:val="0"/>
      <w:marRight w:val="0"/>
      <w:marTop w:val="0"/>
      <w:marBottom w:val="0"/>
      <w:divBdr>
        <w:top w:val="none" w:sz="0" w:space="0" w:color="auto"/>
        <w:left w:val="none" w:sz="0" w:space="0" w:color="auto"/>
        <w:bottom w:val="none" w:sz="0" w:space="0" w:color="auto"/>
        <w:right w:val="none" w:sz="0" w:space="0" w:color="auto"/>
      </w:divBdr>
    </w:div>
    <w:div w:id="405078978">
      <w:bodyDiv w:val="1"/>
      <w:marLeft w:val="0"/>
      <w:marRight w:val="0"/>
      <w:marTop w:val="0"/>
      <w:marBottom w:val="0"/>
      <w:divBdr>
        <w:top w:val="none" w:sz="0" w:space="0" w:color="auto"/>
        <w:left w:val="none" w:sz="0" w:space="0" w:color="auto"/>
        <w:bottom w:val="none" w:sz="0" w:space="0" w:color="auto"/>
        <w:right w:val="none" w:sz="0" w:space="0" w:color="auto"/>
      </w:divBdr>
    </w:div>
    <w:div w:id="405537367">
      <w:bodyDiv w:val="1"/>
      <w:marLeft w:val="0"/>
      <w:marRight w:val="0"/>
      <w:marTop w:val="0"/>
      <w:marBottom w:val="0"/>
      <w:divBdr>
        <w:top w:val="none" w:sz="0" w:space="0" w:color="auto"/>
        <w:left w:val="none" w:sz="0" w:space="0" w:color="auto"/>
        <w:bottom w:val="none" w:sz="0" w:space="0" w:color="auto"/>
        <w:right w:val="none" w:sz="0" w:space="0" w:color="auto"/>
      </w:divBdr>
    </w:div>
    <w:div w:id="405961625">
      <w:bodyDiv w:val="1"/>
      <w:marLeft w:val="0"/>
      <w:marRight w:val="0"/>
      <w:marTop w:val="0"/>
      <w:marBottom w:val="0"/>
      <w:divBdr>
        <w:top w:val="none" w:sz="0" w:space="0" w:color="auto"/>
        <w:left w:val="none" w:sz="0" w:space="0" w:color="auto"/>
        <w:bottom w:val="none" w:sz="0" w:space="0" w:color="auto"/>
        <w:right w:val="none" w:sz="0" w:space="0" w:color="auto"/>
      </w:divBdr>
    </w:div>
    <w:div w:id="406194440">
      <w:bodyDiv w:val="1"/>
      <w:marLeft w:val="0"/>
      <w:marRight w:val="0"/>
      <w:marTop w:val="0"/>
      <w:marBottom w:val="0"/>
      <w:divBdr>
        <w:top w:val="none" w:sz="0" w:space="0" w:color="auto"/>
        <w:left w:val="none" w:sz="0" w:space="0" w:color="auto"/>
        <w:bottom w:val="none" w:sz="0" w:space="0" w:color="auto"/>
        <w:right w:val="none" w:sz="0" w:space="0" w:color="auto"/>
      </w:divBdr>
    </w:div>
    <w:div w:id="408038281">
      <w:bodyDiv w:val="1"/>
      <w:marLeft w:val="0"/>
      <w:marRight w:val="0"/>
      <w:marTop w:val="0"/>
      <w:marBottom w:val="0"/>
      <w:divBdr>
        <w:top w:val="none" w:sz="0" w:space="0" w:color="auto"/>
        <w:left w:val="none" w:sz="0" w:space="0" w:color="auto"/>
        <w:bottom w:val="none" w:sz="0" w:space="0" w:color="auto"/>
        <w:right w:val="none" w:sz="0" w:space="0" w:color="auto"/>
      </w:divBdr>
    </w:div>
    <w:div w:id="409354147">
      <w:bodyDiv w:val="1"/>
      <w:marLeft w:val="0"/>
      <w:marRight w:val="0"/>
      <w:marTop w:val="0"/>
      <w:marBottom w:val="0"/>
      <w:divBdr>
        <w:top w:val="none" w:sz="0" w:space="0" w:color="auto"/>
        <w:left w:val="none" w:sz="0" w:space="0" w:color="auto"/>
        <w:bottom w:val="none" w:sz="0" w:space="0" w:color="auto"/>
        <w:right w:val="none" w:sz="0" w:space="0" w:color="auto"/>
      </w:divBdr>
    </w:div>
    <w:div w:id="410851044">
      <w:bodyDiv w:val="1"/>
      <w:marLeft w:val="0"/>
      <w:marRight w:val="0"/>
      <w:marTop w:val="0"/>
      <w:marBottom w:val="0"/>
      <w:divBdr>
        <w:top w:val="none" w:sz="0" w:space="0" w:color="auto"/>
        <w:left w:val="none" w:sz="0" w:space="0" w:color="auto"/>
        <w:bottom w:val="none" w:sz="0" w:space="0" w:color="auto"/>
        <w:right w:val="none" w:sz="0" w:space="0" w:color="auto"/>
      </w:divBdr>
    </w:div>
    <w:div w:id="412776007">
      <w:bodyDiv w:val="1"/>
      <w:marLeft w:val="0"/>
      <w:marRight w:val="0"/>
      <w:marTop w:val="0"/>
      <w:marBottom w:val="0"/>
      <w:divBdr>
        <w:top w:val="none" w:sz="0" w:space="0" w:color="auto"/>
        <w:left w:val="none" w:sz="0" w:space="0" w:color="auto"/>
        <w:bottom w:val="none" w:sz="0" w:space="0" w:color="auto"/>
        <w:right w:val="none" w:sz="0" w:space="0" w:color="auto"/>
      </w:divBdr>
    </w:div>
    <w:div w:id="413818176">
      <w:bodyDiv w:val="1"/>
      <w:marLeft w:val="0"/>
      <w:marRight w:val="0"/>
      <w:marTop w:val="0"/>
      <w:marBottom w:val="0"/>
      <w:divBdr>
        <w:top w:val="none" w:sz="0" w:space="0" w:color="auto"/>
        <w:left w:val="none" w:sz="0" w:space="0" w:color="auto"/>
        <w:bottom w:val="none" w:sz="0" w:space="0" w:color="auto"/>
        <w:right w:val="none" w:sz="0" w:space="0" w:color="auto"/>
      </w:divBdr>
    </w:div>
    <w:div w:id="414396231">
      <w:bodyDiv w:val="1"/>
      <w:marLeft w:val="0"/>
      <w:marRight w:val="0"/>
      <w:marTop w:val="0"/>
      <w:marBottom w:val="0"/>
      <w:divBdr>
        <w:top w:val="none" w:sz="0" w:space="0" w:color="auto"/>
        <w:left w:val="none" w:sz="0" w:space="0" w:color="auto"/>
        <w:bottom w:val="none" w:sz="0" w:space="0" w:color="auto"/>
        <w:right w:val="none" w:sz="0" w:space="0" w:color="auto"/>
      </w:divBdr>
    </w:div>
    <w:div w:id="415522190">
      <w:bodyDiv w:val="1"/>
      <w:marLeft w:val="0"/>
      <w:marRight w:val="0"/>
      <w:marTop w:val="0"/>
      <w:marBottom w:val="0"/>
      <w:divBdr>
        <w:top w:val="none" w:sz="0" w:space="0" w:color="auto"/>
        <w:left w:val="none" w:sz="0" w:space="0" w:color="auto"/>
        <w:bottom w:val="none" w:sz="0" w:space="0" w:color="auto"/>
        <w:right w:val="none" w:sz="0" w:space="0" w:color="auto"/>
      </w:divBdr>
    </w:div>
    <w:div w:id="417530322">
      <w:bodyDiv w:val="1"/>
      <w:marLeft w:val="0"/>
      <w:marRight w:val="0"/>
      <w:marTop w:val="0"/>
      <w:marBottom w:val="0"/>
      <w:divBdr>
        <w:top w:val="none" w:sz="0" w:space="0" w:color="auto"/>
        <w:left w:val="none" w:sz="0" w:space="0" w:color="auto"/>
        <w:bottom w:val="none" w:sz="0" w:space="0" w:color="auto"/>
        <w:right w:val="none" w:sz="0" w:space="0" w:color="auto"/>
      </w:divBdr>
    </w:div>
    <w:div w:id="417562592">
      <w:bodyDiv w:val="1"/>
      <w:marLeft w:val="0"/>
      <w:marRight w:val="0"/>
      <w:marTop w:val="0"/>
      <w:marBottom w:val="0"/>
      <w:divBdr>
        <w:top w:val="none" w:sz="0" w:space="0" w:color="auto"/>
        <w:left w:val="none" w:sz="0" w:space="0" w:color="auto"/>
        <w:bottom w:val="none" w:sz="0" w:space="0" w:color="auto"/>
        <w:right w:val="none" w:sz="0" w:space="0" w:color="auto"/>
      </w:divBdr>
    </w:div>
    <w:div w:id="419445621">
      <w:bodyDiv w:val="1"/>
      <w:marLeft w:val="0"/>
      <w:marRight w:val="0"/>
      <w:marTop w:val="0"/>
      <w:marBottom w:val="0"/>
      <w:divBdr>
        <w:top w:val="none" w:sz="0" w:space="0" w:color="auto"/>
        <w:left w:val="none" w:sz="0" w:space="0" w:color="auto"/>
        <w:bottom w:val="none" w:sz="0" w:space="0" w:color="auto"/>
        <w:right w:val="none" w:sz="0" w:space="0" w:color="auto"/>
      </w:divBdr>
    </w:div>
    <w:div w:id="424493898">
      <w:bodyDiv w:val="1"/>
      <w:marLeft w:val="0"/>
      <w:marRight w:val="0"/>
      <w:marTop w:val="0"/>
      <w:marBottom w:val="0"/>
      <w:divBdr>
        <w:top w:val="none" w:sz="0" w:space="0" w:color="auto"/>
        <w:left w:val="none" w:sz="0" w:space="0" w:color="auto"/>
        <w:bottom w:val="none" w:sz="0" w:space="0" w:color="auto"/>
        <w:right w:val="none" w:sz="0" w:space="0" w:color="auto"/>
      </w:divBdr>
    </w:div>
    <w:div w:id="424499622">
      <w:bodyDiv w:val="1"/>
      <w:marLeft w:val="0"/>
      <w:marRight w:val="0"/>
      <w:marTop w:val="0"/>
      <w:marBottom w:val="0"/>
      <w:divBdr>
        <w:top w:val="none" w:sz="0" w:space="0" w:color="auto"/>
        <w:left w:val="none" w:sz="0" w:space="0" w:color="auto"/>
        <w:bottom w:val="none" w:sz="0" w:space="0" w:color="auto"/>
        <w:right w:val="none" w:sz="0" w:space="0" w:color="auto"/>
      </w:divBdr>
    </w:div>
    <w:div w:id="425728986">
      <w:bodyDiv w:val="1"/>
      <w:marLeft w:val="0"/>
      <w:marRight w:val="0"/>
      <w:marTop w:val="0"/>
      <w:marBottom w:val="0"/>
      <w:divBdr>
        <w:top w:val="none" w:sz="0" w:space="0" w:color="auto"/>
        <w:left w:val="none" w:sz="0" w:space="0" w:color="auto"/>
        <w:bottom w:val="none" w:sz="0" w:space="0" w:color="auto"/>
        <w:right w:val="none" w:sz="0" w:space="0" w:color="auto"/>
      </w:divBdr>
    </w:div>
    <w:div w:id="426460764">
      <w:bodyDiv w:val="1"/>
      <w:marLeft w:val="0"/>
      <w:marRight w:val="0"/>
      <w:marTop w:val="0"/>
      <w:marBottom w:val="0"/>
      <w:divBdr>
        <w:top w:val="none" w:sz="0" w:space="0" w:color="auto"/>
        <w:left w:val="none" w:sz="0" w:space="0" w:color="auto"/>
        <w:bottom w:val="none" w:sz="0" w:space="0" w:color="auto"/>
        <w:right w:val="none" w:sz="0" w:space="0" w:color="auto"/>
      </w:divBdr>
    </w:div>
    <w:div w:id="429742024">
      <w:bodyDiv w:val="1"/>
      <w:marLeft w:val="0"/>
      <w:marRight w:val="0"/>
      <w:marTop w:val="0"/>
      <w:marBottom w:val="0"/>
      <w:divBdr>
        <w:top w:val="none" w:sz="0" w:space="0" w:color="auto"/>
        <w:left w:val="none" w:sz="0" w:space="0" w:color="auto"/>
        <w:bottom w:val="none" w:sz="0" w:space="0" w:color="auto"/>
        <w:right w:val="none" w:sz="0" w:space="0" w:color="auto"/>
      </w:divBdr>
    </w:div>
    <w:div w:id="430123097">
      <w:bodyDiv w:val="1"/>
      <w:marLeft w:val="0"/>
      <w:marRight w:val="0"/>
      <w:marTop w:val="0"/>
      <w:marBottom w:val="0"/>
      <w:divBdr>
        <w:top w:val="none" w:sz="0" w:space="0" w:color="auto"/>
        <w:left w:val="none" w:sz="0" w:space="0" w:color="auto"/>
        <w:bottom w:val="none" w:sz="0" w:space="0" w:color="auto"/>
        <w:right w:val="none" w:sz="0" w:space="0" w:color="auto"/>
      </w:divBdr>
    </w:div>
    <w:div w:id="431895023">
      <w:bodyDiv w:val="1"/>
      <w:marLeft w:val="0"/>
      <w:marRight w:val="0"/>
      <w:marTop w:val="0"/>
      <w:marBottom w:val="0"/>
      <w:divBdr>
        <w:top w:val="none" w:sz="0" w:space="0" w:color="auto"/>
        <w:left w:val="none" w:sz="0" w:space="0" w:color="auto"/>
        <w:bottom w:val="none" w:sz="0" w:space="0" w:color="auto"/>
        <w:right w:val="none" w:sz="0" w:space="0" w:color="auto"/>
      </w:divBdr>
    </w:div>
    <w:div w:id="433324895">
      <w:bodyDiv w:val="1"/>
      <w:marLeft w:val="0"/>
      <w:marRight w:val="0"/>
      <w:marTop w:val="0"/>
      <w:marBottom w:val="0"/>
      <w:divBdr>
        <w:top w:val="none" w:sz="0" w:space="0" w:color="auto"/>
        <w:left w:val="none" w:sz="0" w:space="0" w:color="auto"/>
        <w:bottom w:val="none" w:sz="0" w:space="0" w:color="auto"/>
        <w:right w:val="none" w:sz="0" w:space="0" w:color="auto"/>
      </w:divBdr>
    </w:div>
    <w:div w:id="434598253">
      <w:bodyDiv w:val="1"/>
      <w:marLeft w:val="0"/>
      <w:marRight w:val="0"/>
      <w:marTop w:val="0"/>
      <w:marBottom w:val="0"/>
      <w:divBdr>
        <w:top w:val="none" w:sz="0" w:space="0" w:color="auto"/>
        <w:left w:val="none" w:sz="0" w:space="0" w:color="auto"/>
        <w:bottom w:val="none" w:sz="0" w:space="0" w:color="auto"/>
        <w:right w:val="none" w:sz="0" w:space="0" w:color="auto"/>
      </w:divBdr>
    </w:div>
    <w:div w:id="436828455">
      <w:bodyDiv w:val="1"/>
      <w:marLeft w:val="0"/>
      <w:marRight w:val="0"/>
      <w:marTop w:val="0"/>
      <w:marBottom w:val="0"/>
      <w:divBdr>
        <w:top w:val="none" w:sz="0" w:space="0" w:color="auto"/>
        <w:left w:val="none" w:sz="0" w:space="0" w:color="auto"/>
        <w:bottom w:val="none" w:sz="0" w:space="0" w:color="auto"/>
        <w:right w:val="none" w:sz="0" w:space="0" w:color="auto"/>
      </w:divBdr>
    </w:div>
    <w:div w:id="442192168">
      <w:bodyDiv w:val="1"/>
      <w:marLeft w:val="0"/>
      <w:marRight w:val="0"/>
      <w:marTop w:val="0"/>
      <w:marBottom w:val="0"/>
      <w:divBdr>
        <w:top w:val="none" w:sz="0" w:space="0" w:color="auto"/>
        <w:left w:val="none" w:sz="0" w:space="0" w:color="auto"/>
        <w:bottom w:val="none" w:sz="0" w:space="0" w:color="auto"/>
        <w:right w:val="none" w:sz="0" w:space="0" w:color="auto"/>
      </w:divBdr>
    </w:div>
    <w:div w:id="442654042">
      <w:bodyDiv w:val="1"/>
      <w:marLeft w:val="0"/>
      <w:marRight w:val="0"/>
      <w:marTop w:val="0"/>
      <w:marBottom w:val="0"/>
      <w:divBdr>
        <w:top w:val="none" w:sz="0" w:space="0" w:color="auto"/>
        <w:left w:val="none" w:sz="0" w:space="0" w:color="auto"/>
        <w:bottom w:val="none" w:sz="0" w:space="0" w:color="auto"/>
        <w:right w:val="none" w:sz="0" w:space="0" w:color="auto"/>
      </w:divBdr>
    </w:div>
    <w:div w:id="445737656">
      <w:bodyDiv w:val="1"/>
      <w:marLeft w:val="0"/>
      <w:marRight w:val="0"/>
      <w:marTop w:val="0"/>
      <w:marBottom w:val="0"/>
      <w:divBdr>
        <w:top w:val="none" w:sz="0" w:space="0" w:color="auto"/>
        <w:left w:val="none" w:sz="0" w:space="0" w:color="auto"/>
        <w:bottom w:val="none" w:sz="0" w:space="0" w:color="auto"/>
        <w:right w:val="none" w:sz="0" w:space="0" w:color="auto"/>
      </w:divBdr>
    </w:div>
    <w:div w:id="448160318">
      <w:bodyDiv w:val="1"/>
      <w:marLeft w:val="0"/>
      <w:marRight w:val="0"/>
      <w:marTop w:val="0"/>
      <w:marBottom w:val="0"/>
      <w:divBdr>
        <w:top w:val="none" w:sz="0" w:space="0" w:color="auto"/>
        <w:left w:val="none" w:sz="0" w:space="0" w:color="auto"/>
        <w:bottom w:val="none" w:sz="0" w:space="0" w:color="auto"/>
        <w:right w:val="none" w:sz="0" w:space="0" w:color="auto"/>
      </w:divBdr>
    </w:div>
    <w:div w:id="455608743">
      <w:bodyDiv w:val="1"/>
      <w:marLeft w:val="0"/>
      <w:marRight w:val="0"/>
      <w:marTop w:val="0"/>
      <w:marBottom w:val="0"/>
      <w:divBdr>
        <w:top w:val="none" w:sz="0" w:space="0" w:color="auto"/>
        <w:left w:val="none" w:sz="0" w:space="0" w:color="auto"/>
        <w:bottom w:val="none" w:sz="0" w:space="0" w:color="auto"/>
        <w:right w:val="none" w:sz="0" w:space="0" w:color="auto"/>
      </w:divBdr>
    </w:div>
    <w:div w:id="458642829">
      <w:bodyDiv w:val="1"/>
      <w:marLeft w:val="0"/>
      <w:marRight w:val="0"/>
      <w:marTop w:val="0"/>
      <w:marBottom w:val="0"/>
      <w:divBdr>
        <w:top w:val="none" w:sz="0" w:space="0" w:color="auto"/>
        <w:left w:val="none" w:sz="0" w:space="0" w:color="auto"/>
        <w:bottom w:val="none" w:sz="0" w:space="0" w:color="auto"/>
        <w:right w:val="none" w:sz="0" w:space="0" w:color="auto"/>
      </w:divBdr>
    </w:div>
    <w:div w:id="463735966">
      <w:bodyDiv w:val="1"/>
      <w:marLeft w:val="0"/>
      <w:marRight w:val="0"/>
      <w:marTop w:val="0"/>
      <w:marBottom w:val="0"/>
      <w:divBdr>
        <w:top w:val="none" w:sz="0" w:space="0" w:color="auto"/>
        <w:left w:val="none" w:sz="0" w:space="0" w:color="auto"/>
        <w:bottom w:val="none" w:sz="0" w:space="0" w:color="auto"/>
        <w:right w:val="none" w:sz="0" w:space="0" w:color="auto"/>
      </w:divBdr>
    </w:div>
    <w:div w:id="467404216">
      <w:bodyDiv w:val="1"/>
      <w:marLeft w:val="0"/>
      <w:marRight w:val="0"/>
      <w:marTop w:val="0"/>
      <w:marBottom w:val="0"/>
      <w:divBdr>
        <w:top w:val="none" w:sz="0" w:space="0" w:color="auto"/>
        <w:left w:val="none" w:sz="0" w:space="0" w:color="auto"/>
        <w:bottom w:val="none" w:sz="0" w:space="0" w:color="auto"/>
        <w:right w:val="none" w:sz="0" w:space="0" w:color="auto"/>
      </w:divBdr>
    </w:div>
    <w:div w:id="469593987">
      <w:bodyDiv w:val="1"/>
      <w:marLeft w:val="0"/>
      <w:marRight w:val="0"/>
      <w:marTop w:val="0"/>
      <w:marBottom w:val="0"/>
      <w:divBdr>
        <w:top w:val="none" w:sz="0" w:space="0" w:color="auto"/>
        <w:left w:val="none" w:sz="0" w:space="0" w:color="auto"/>
        <w:bottom w:val="none" w:sz="0" w:space="0" w:color="auto"/>
        <w:right w:val="none" w:sz="0" w:space="0" w:color="auto"/>
      </w:divBdr>
    </w:div>
    <w:div w:id="471099932">
      <w:bodyDiv w:val="1"/>
      <w:marLeft w:val="0"/>
      <w:marRight w:val="0"/>
      <w:marTop w:val="0"/>
      <w:marBottom w:val="0"/>
      <w:divBdr>
        <w:top w:val="none" w:sz="0" w:space="0" w:color="auto"/>
        <w:left w:val="none" w:sz="0" w:space="0" w:color="auto"/>
        <w:bottom w:val="none" w:sz="0" w:space="0" w:color="auto"/>
        <w:right w:val="none" w:sz="0" w:space="0" w:color="auto"/>
      </w:divBdr>
    </w:div>
    <w:div w:id="477264414">
      <w:bodyDiv w:val="1"/>
      <w:marLeft w:val="0"/>
      <w:marRight w:val="0"/>
      <w:marTop w:val="0"/>
      <w:marBottom w:val="0"/>
      <w:divBdr>
        <w:top w:val="none" w:sz="0" w:space="0" w:color="auto"/>
        <w:left w:val="none" w:sz="0" w:space="0" w:color="auto"/>
        <w:bottom w:val="none" w:sz="0" w:space="0" w:color="auto"/>
        <w:right w:val="none" w:sz="0" w:space="0" w:color="auto"/>
      </w:divBdr>
    </w:div>
    <w:div w:id="481507754">
      <w:bodyDiv w:val="1"/>
      <w:marLeft w:val="0"/>
      <w:marRight w:val="0"/>
      <w:marTop w:val="0"/>
      <w:marBottom w:val="0"/>
      <w:divBdr>
        <w:top w:val="none" w:sz="0" w:space="0" w:color="auto"/>
        <w:left w:val="none" w:sz="0" w:space="0" w:color="auto"/>
        <w:bottom w:val="none" w:sz="0" w:space="0" w:color="auto"/>
        <w:right w:val="none" w:sz="0" w:space="0" w:color="auto"/>
      </w:divBdr>
    </w:div>
    <w:div w:id="483087004">
      <w:bodyDiv w:val="1"/>
      <w:marLeft w:val="0"/>
      <w:marRight w:val="0"/>
      <w:marTop w:val="0"/>
      <w:marBottom w:val="0"/>
      <w:divBdr>
        <w:top w:val="none" w:sz="0" w:space="0" w:color="auto"/>
        <w:left w:val="none" w:sz="0" w:space="0" w:color="auto"/>
        <w:bottom w:val="none" w:sz="0" w:space="0" w:color="auto"/>
        <w:right w:val="none" w:sz="0" w:space="0" w:color="auto"/>
      </w:divBdr>
    </w:div>
    <w:div w:id="483395651">
      <w:bodyDiv w:val="1"/>
      <w:marLeft w:val="0"/>
      <w:marRight w:val="0"/>
      <w:marTop w:val="0"/>
      <w:marBottom w:val="0"/>
      <w:divBdr>
        <w:top w:val="none" w:sz="0" w:space="0" w:color="auto"/>
        <w:left w:val="none" w:sz="0" w:space="0" w:color="auto"/>
        <w:bottom w:val="none" w:sz="0" w:space="0" w:color="auto"/>
        <w:right w:val="none" w:sz="0" w:space="0" w:color="auto"/>
      </w:divBdr>
    </w:div>
    <w:div w:id="487403400">
      <w:bodyDiv w:val="1"/>
      <w:marLeft w:val="0"/>
      <w:marRight w:val="0"/>
      <w:marTop w:val="0"/>
      <w:marBottom w:val="0"/>
      <w:divBdr>
        <w:top w:val="none" w:sz="0" w:space="0" w:color="auto"/>
        <w:left w:val="none" w:sz="0" w:space="0" w:color="auto"/>
        <w:bottom w:val="none" w:sz="0" w:space="0" w:color="auto"/>
        <w:right w:val="none" w:sz="0" w:space="0" w:color="auto"/>
      </w:divBdr>
    </w:div>
    <w:div w:id="488638750">
      <w:bodyDiv w:val="1"/>
      <w:marLeft w:val="0"/>
      <w:marRight w:val="0"/>
      <w:marTop w:val="0"/>
      <w:marBottom w:val="0"/>
      <w:divBdr>
        <w:top w:val="none" w:sz="0" w:space="0" w:color="auto"/>
        <w:left w:val="none" w:sz="0" w:space="0" w:color="auto"/>
        <w:bottom w:val="none" w:sz="0" w:space="0" w:color="auto"/>
        <w:right w:val="none" w:sz="0" w:space="0" w:color="auto"/>
      </w:divBdr>
    </w:div>
    <w:div w:id="490484953">
      <w:bodyDiv w:val="1"/>
      <w:marLeft w:val="0"/>
      <w:marRight w:val="0"/>
      <w:marTop w:val="0"/>
      <w:marBottom w:val="0"/>
      <w:divBdr>
        <w:top w:val="none" w:sz="0" w:space="0" w:color="auto"/>
        <w:left w:val="none" w:sz="0" w:space="0" w:color="auto"/>
        <w:bottom w:val="none" w:sz="0" w:space="0" w:color="auto"/>
        <w:right w:val="none" w:sz="0" w:space="0" w:color="auto"/>
      </w:divBdr>
    </w:div>
    <w:div w:id="492332369">
      <w:bodyDiv w:val="1"/>
      <w:marLeft w:val="0"/>
      <w:marRight w:val="0"/>
      <w:marTop w:val="0"/>
      <w:marBottom w:val="0"/>
      <w:divBdr>
        <w:top w:val="none" w:sz="0" w:space="0" w:color="auto"/>
        <w:left w:val="none" w:sz="0" w:space="0" w:color="auto"/>
        <w:bottom w:val="none" w:sz="0" w:space="0" w:color="auto"/>
        <w:right w:val="none" w:sz="0" w:space="0" w:color="auto"/>
      </w:divBdr>
    </w:div>
    <w:div w:id="496312174">
      <w:bodyDiv w:val="1"/>
      <w:marLeft w:val="0"/>
      <w:marRight w:val="0"/>
      <w:marTop w:val="0"/>
      <w:marBottom w:val="0"/>
      <w:divBdr>
        <w:top w:val="none" w:sz="0" w:space="0" w:color="auto"/>
        <w:left w:val="none" w:sz="0" w:space="0" w:color="auto"/>
        <w:bottom w:val="none" w:sz="0" w:space="0" w:color="auto"/>
        <w:right w:val="none" w:sz="0" w:space="0" w:color="auto"/>
      </w:divBdr>
    </w:div>
    <w:div w:id="498622574">
      <w:bodyDiv w:val="1"/>
      <w:marLeft w:val="0"/>
      <w:marRight w:val="0"/>
      <w:marTop w:val="0"/>
      <w:marBottom w:val="0"/>
      <w:divBdr>
        <w:top w:val="none" w:sz="0" w:space="0" w:color="auto"/>
        <w:left w:val="none" w:sz="0" w:space="0" w:color="auto"/>
        <w:bottom w:val="none" w:sz="0" w:space="0" w:color="auto"/>
        <w:right w:val="none" w:sz="0" w:space="0" w:color="auto"/>
      </w:divBdr>
    </w:div>
    <w:div w:id="500510449">
      <w:bodyDiv w:val="1"/>
      <w:marLeft w:val="0"/>
      <w:marRight w:val="0"/>
      <w:marTop w:val="0"/>
      <w:marBottom w:val="0"/>
      <w:divBdr>
        <w:top w:val="none" w:sz="0" w:space="0" w:color="auto"/>
        <w:left w:val="none" w:sz="0" w:space="0" w:color="auto"/>
        <w:bottom w:val="none" w:sz="0" w:space="0" w:color="auto"/>
        <w:right w:val="none" w:sz="0" w:space="0" w:color="auto"/>
      </w:divBdr>
    </w:div>
    <w:div w:id="501088717">
      <w:bodyDiv w:val="1"/>
      <w:marLeft w:val="0"/>
      <w:marRight w:val="0"/>
      <w:marTop w:val="0"/>
      <w:marBottom w:val="0"/>
      <w:divBdr>
        <w:top w:val="none" w:sz="0" w:space="0" w:color="auto"/>
        <w:left w:val="none" w:sz="0" w:space="0" w:color="auto"/>
        <w:bottom w:val="none" w:sz="0" w:space="0" w:color="auto"/>
        <w:right w:val="none" w:sz="0" w:space="0" w:color="auto"/>
      </w:divBdr>
    </w:div>
    <w:div w:id="501970130">
      <w:bodyDiv w:val="1"/>
      <w:marLeft w:val="0"/>
      <w:marRight w:val="0"/>
      <w:marTop w:val="0"/>
      <w:marBottom w:val="0"/>
      <w:divBdr>
        <w:top w:val="none" w:sz="0" w:space="0" w:color="auto"/>
        <w:left w:val="none" w:sz="0" w:space="0" w:color="auto"/>
        <w:bottom w:val="none" w:sz="0" w:space="0" w:color="auto"/>
        <w:right w:val="none" w:sz="0" w:space="0" w:color="auto"/>
      </w:divBdr>
    </w:div>
    <w:div w:id="503320643">
      <w:bodyDiv w:val="1"/>
      <w:marLeft w:val="0"/>
      <w:marRight w:val="0"/>
      <w:marTop w:val="0"/>
      <w:marBottom w:val="0"/>
      <w:divBdr>
        <w:top w:val="none" w:sz="0" w:space="0" w:color="auto"/>
        <w:left w:val="none" w:sz="0" w:space="0" w:color="auto"/>
        <w:bottom w:val="none" w:sz="0" w:space="0" w:color="auto"/>
        <w:right w:val="none" w:sz="0" w:space="0" w:color="auto"/>
      </w:divBdr>
    </w:div>
    <w:div w:id="506166867">
      <w:bodyDiv w:val="1"/>
      <w:marLeft w:val="0"/>
      <w:marRight w:val="0"/>
      <w:marTop w:val="0"/>
      <w:marBottom w:val="0"/>
      <w:divBdr>
        <w:top w:val="none" w:sz="0" w:space="0" w:color="auto"/>
        <w:left w:val="none" w:sz="0" w:space="0" w:color="auto"/>
        <w:bottom w:val="none" w:sz="0" w:space="0" w:color="auto"/>
        <w:right w:val="none" w:sz="0" w:space="0" w:color="auto"/>
      </w:divBdr>
    </w:div>
    <w:div w:id="509611106">
      <w:bodyDiv w:val="1"/>
      <w:marLeft w:val="0"/>
      <w:marRight w:val="0"/>
      <w:marTop w:val="0"/>
      <w:marBottom w:val="0"/>
      <w:divBdr>
        <w:top w:val="none" w:sz="0" w:space="0" w:color="auto"/>
        <w:left w:val="none" w:sz="0" w:space="0" w:color="auto"/>
        <w:bottom w:val="none" w:sz="0" w:space="0" w:color="auto"/>
        <w:right w:val="none" w:sz="0" w:space="0" w:color="auto"/>
      </w:divBdr>
    </w:div>
    <w:div w:id="515533515">
      <w:bodyDiv w:val="1"/>
      <w:marLeft w:val="0"/>
      <w:marRight w:val="0"/>
      <w:marTop w:val="0"/>
      <w:marBottom w:val="0"/>
      <w:divBdr>
        <w:top w:val="none" w:sz="0" w:space="0" w:color="auto"/>
        <w:left w:val="none" w:sz="0" w:space="0" w:color="auto"/>
        <w:bottom w:val="none" w:sz="0" w:space="0" w:color="auto"/>
        <w:right w:val="none" w:sz="0" w:space="0" w:color="auto"/>
      </w:divBdr>
    </w:div>
    <w:div w:id="518815016">
      <w:bodyDiv w:val="1"/>
      <w:marLeft w:val="0"/>
      <w:marRight w:val="0"/>
      <w:marTop w:val="0"/>
      <w:marBottom w:val="0"/>
      <w:divBdr>
        <w:top w:val="none" w:sz="0" w:space="0" w:color="auto"/>
        <w:left w:val="none" w:sz="0" w:space="0" w:color="auto"/>
        <w:bottom w:val="none" w:sz="0" w:space="0" w:color="auto"/>
        <w:right w:val="none" w:sz="0" w:space="0" w:color="auto"/>
      </w:divBdr>
    </w:div>
    <w:div w:id="520122234">
      <w:bodyDiv w:val="1"/>
      <w:marLeft w:val="0"/>
      <w:marRight w:val="0"/>
      <w:marTop w:val="0"/>
      <w:marBottom w:val="0"/>
      <w:divBdr>
        <w:top w:val="none" w:sz="0" w:space="0" w:color="auto"/>
        <w:left w:val="none" w:sz="0" w:space="0" w:color="auto"/>
        <w:bottom w:val="none" w:sz="0" w:space="0" w:color="auto"/>
        <w:right w:val="none" w:sz="0" w:space="0" w:color="auto"/>
      </w:divBdr>
    </w:div>
    <w:div w:id="520436191">
      <w:bodyDiv w:val="1"/>
      <w:marLeft w:val="0"/>
      <w:marRight w:val="0"/>
      <w:marTop w:val="0"/>
      <w:marBottom w:val="0"/>
      <w:divBdr>
        <w:top w:val="none" w:sz="0" w:space="0" w:color="auto"/>
        <w:left w:val="none" w:sz="0" w:space="0" w:color="auto"/>
        <w:bottom w:val="none" w:sz="0" w:space="0" w:color="auto"/>
        <w:right w:val="none" w:sz="0" w:space="0" w:color="auto"/>
      </w:divBdr>
    </w:div>
    <w:div w:id="522136221">
      <w:bodyDiv w:val="1"/>
      <w:marLeft w:val="0"/>
      <w:marRight w:val="0"/>
      <w:marTop w:val="0"/>
      <w:marBottom w:val="0"/>
      <w:divBdr>
        <w:top w:val="none" w:sz="0" w:space="0" w:color="auto"/>
        <w:left w:val="none" w:sz="0" w:space="0" w:color="auto"/>
        <w:bottom w:val="none" w:sz="0" w:space="0" w:color="auto"/>
        <w:right w:val="none" w:sz="0" w:space="0" w:color="auto"/>
      </w:divBdr>
    </w:div>
    <w:div w:id="522669515">
      <w:bodyDiv w:val="1"/>
      <w:marLeft w:val="0"/>
      <w:marRight w:val="0"/>
      <w:marTop w:val="0"/>
      <w:marBottom w:val="0"/>
      <w:divBdr>
        <w:top w:val="none" w:sz="0" w:space="0" w:color="auto"/>
        <w:left w:val="none" w:sz="0" w:space="0" w:color="auto"/>
        <w:bottom w:val="none" w:sz="0" w:space="0" w:color="auto"/>
        <w:right w:val="none" w:sz="0" w:space="0" w:color="auto"/>
      </w:divBdr>
    </w:div>
    <w:div w:id="525096534">
      <w:bodyDiv w:val="1"/>
      <w:marLeft w:val="0"/>
      <w:marRight w:val="0"/>
      <w:marTop w:val="0"/>
      <w:marBottom w:val="0"/>
      <w:divBdr>
        <w:top w:val="none" w:sz="0" w:space="0" w:color="auto"/>
        <w:left w:val="none" w:sz="0" w:space="0" w:color="auto"/>
        <w:bottom w:val="none" w:sz="0" w:space="0" w:color="auto"/>
        <w:right w:val="none" w:sz="0" w:space="0" w:color="auto"/>
      </w:divBdr>
    </w:div>
    <w:div w:id="526866989">
      <w:bodyDiv w:val="1"/>
      <w:marLeft w:val="0"/>
      <w:marRight w:val="0"/>
      <w:marTop w:val="0"/>
      <w:marBottom w:val="0"/>
      <w:divBdr>
        <w:top w:val="none" w:sz="0" w:space="0" w:color="auto"/>
        <w:left w:val="none" w:sz="0" w:space="0" w:color="auto"/>
        <w:bottom w:val="none" w:sz="0" w:space="0" w:color="auto"/>
        <w:right w:val="none" w:sz="0" w:space="0" w:color="auto"/>
      </w:divBdr>
    </w:div>
    <w:div w:id="530076248">
      <w:bodyDiv w:val="1"/>
      <w:marLeft w:val="0"/>
      <w:marRight w:val="0"/>
      <w:marTop w:val="0"/>
      <w:marBottom w:val="0"/>
      <w:divBdr>
        <w:top w:val="none" w:sz="0" w:space="0" w:color="auto"/>
        <w:left w:val="none" w:sz="0" w:space="0" w:color="auto"/>
        <w:bottom w:val="none" w:sz="0" w:space="0" w:color="auto"/>
        <w:right w:val="none" w:sz="0" w:space="0" w:color="auto"/>
      </w:divBdr>
    </w:div>
    <w:div w:id="533007636">
      <w:bodyDiv w:val="1"/>
      <w:marLeft w:val="0"/>
      <w:marRight w:val="0"/>
      <w:marTop w:val="0"/>
      <w:marBottom w:val="0"/>
      <w:divBdr>
        <w:top w:val="none" w:sz="0" w:space="0" w:color="auto"/>
        <w:left w:val="none" w:sz="0" w:space="0" w:color="auto"/>
        <w:bottom w:val="none" w:sz="0" w:space="0" w:color="auto"/>
        <w:right w:val="none" w:sz="0" w:space="0" w:color="auto"/>
      </w:divBdr>
    </w:div>
    <w:div w:id="533688184">
      <w:bodyDiv w:val="1"/>
      <w:marLeft w:val="0"/>
      <w:marRight w:val="0"/>
      <w:marTop w:val="0"/>
      <w:marBottom w:val="0"/>
      <w:divBdr>
        <w:top w:val="none" w:sz="0" w:space="0" w:color="auto"/>
        <w:left w:val="none" w:sz="0" w:space="0" w:color="auto"/>
        <w:bottom w:val="none" w:sz="0" w:space="0" w:color="auto"/>
        <w:right w:val="none" w:sz="0" w:space="0" w:color="auto"/>
      </w:divBdr>
    </w:div>
    <w:div w:id="534926919">
      <w:bodyDiv w:val="1"/>
      <w:marLeft w:val="0"/>
      <w:marRight w:val="0"/>
      <w:marTop w:val="0"/>
      <w:marBottom w:val="0"/>
      <w:divBdr>
        <w:top w:val="none" w:sz="0" w:space="0" w:color="auto"/>
        <w:left w:val="none" w:sz="0" w:space="0" w:color="auto"/>
        <w:bottom w:val="none" w:sz="0" w:space="0" w:color="auto"/>
        <w:right w:val="none" w:sz="0" w:space="0" w:color="auto"/>
      </w:divBdr>
    </w:div>
    <w:div w:id="535045056">
      <w:bodyDiv w:val="1"/>
      <w:marLeft w:val="0"/>
      <w:marRight w:val="0"/>
      <w:marTop w:val="0"/>
      <w:marBottom w:val="0"/>
      <w:divBdr>
        <w:top w:val="none" w:sz="0" w:space="0" w:color="auto"/>
        <w:left w:val="none" w:sz="0" w:space="0" w:color="auto"/>
        <w:bottom w:val="none" w:sz="0" w:space="0" w:color="auto"/>
        <w:right w:val="none" w:sz="0" w:space="0" w:color="auto"/>
      </w:divBdr>
    </w:div>
    <w:div w:id="535125726">
      <w:bodyDiv w:val="1"/>
      <w:marLeft w:val="0"/>
      <w:marRight w:val="0"/>
      <w:marTop w:val="0"/>
      <w:marBottom w:val="0"/>
      <w:divBdr>
        <w:top w:val="none" w:sz="0" w:space="0" w:color="auto"/>
        <w:left w:val="none" w:sz="0" w:space="0" w:color="auto"/>
        <w:bottom w:val="none" w:sz="0" w:space="0" w:color="auto"/>
        <w:right w:val="none" w:sz="0" w:space="0" w:color="auto"/>
      </w:divBdr>
    </w:div>
    <w:div w:id="536896029">
      <w:bodyDiv w:val="1"/>
      <w:marLeft w:val="0"/>
      <w:marRight w:val="0"/>
      <w:marTop w:val="0"/>
      <w:marBottom w:val="0"/>
      <w:divBdr>
        <w:top w:val="none" w:sz="0" w:space="0" w:color="auto"/>
        <w:left w:val="none" w:sz="0" w:space="0" w:color="auto"/>
        <w:bottom w:val="none" w:sz="0" w:space="0" w:color="auto"/>
        <w:right w:val="none" w:sz="0" w:space="0" w:color="auto"/>
      </w:divBdr>
    </w:div>
    <w:div w:id="539974311">
      <w:bodyDiv w:val="1"/>
      <w:marLeft w:val="0"/>
      <w:marRight w:val="0"/>
      <w:marTop w:val="0"/>
      <w:marBottom w:val="0"/>
      <w:divBdr>
        <w:top w:val="none" w:sz="0" w:space="0" w:color="auto"/>
        <w:left w:val="none" w:sz="0" w:space="0" w:color="auto"/>
        <w:bottom w:val="none" w:sz="0" w:space="0" w:color="auto"/>
        <w:right w:val="none" w:sz="0" w:space="0" w:color="auto"/>
      </w:divBdr>
    </w:div>
    <w:div w:id="541555478">
      <w:bodyDiv w:val="1"/>
      <w:marLeft w:val="0"/>
      <w:marRight w:val="0"/>
      <w:marTop w:val="0"/>
      <w:marBottom w:val="0"/>
      <w:divBdr>
        <w:top w:val="none" w:sz="0" w:space="0" w:color="auto"/>
        <w:left w:val="none" w:sz="0" w:space="0" w:color="auto"/>
        <w:bottom w:val="none" w:sz="0" w:space="0" w:color="auto"/>
        <w:right w:val="none" w:sz="0" w:space="0" w:color="auto"/>
      </w:divBdr>
    </w:div>
    <w:div w:id="543637406">
      <w:bodyDiv w:val="1"/>
      <w:marLeft w:val="0"/>
      <w:marRight w:val="0"/>
      <w:marTop w:val="0"/>
      <w:marBottom w:val="0"/>
      <w:divBdr>
        <w:top w:val="none" w:sz="0" w:space="0" w:color="auto"/>
        <w:left w:val="none" w:sz="0" w:space="0" w:color="auto"/>
        <w:bottom w:val="none" w:sz="0" w:space="0" w:color="auto"/>
        <w:right w:val="none" w:sz="0" w:space="0" w:color="auto"/>
      </w:divBdr>
    </w:div>
    <w:div w:id="546382465">
      <w:bodyDiv w:val="1"/>
      <w:marLeft w:val="0"/>
      <w:marRight w:val="0"/>
      <w:marTop w:val="0"/>
      <w:marBottom w:val="0"/>
      <w:divBdr>
        <w:top w:val="none" w:sz="0" w:space="0" w:color="auto"/>
        <w:left w:val="none" w:sz="0" w:space="0" w:color="auto"/>
        <w:bottom w:val="none" w:sz="0" w:space="0" w:color="auto"/>
        <w:right w:val="none" w:sz="0" w:space="0" w:color="auto"/>
      </w:divBdr>
    </w:div>
    <w:div w:id="546572043">
      <w:bodyDiv w:val="1"/>
      <w:marLeft w:val="0"/>
      <w:marRight w:val="0"/>
      <w:marTop w:val="0"/>
      <w:marBottom w:val="0"/>
      <w:divBdr>
        <w:top w:val="none" w:sz="0" w:space="0" w:color="auto"/>
        <w:left w:val="none" w:sz="0" w:space="0" w:color="auto"/>
        <w:bottom w:val="none" w:sz="0" w:space="0" w:color="auto"/>
        <w:right w:val="none" w:sz="0" w:space="0" w:color="auto"/>
      </w:divBdr>
    </w:div>
    <w:div w:id="549196070">
      <w:bodyDiv w:val="1"/>
      <w:marLeft w:val="0"/>
      <w:marRight w:val="0"/>
      <w:marTop w:val="0"/>
      <w:marBottom w:val="0"/>
      <w:divBdr>
        <w:top w:val="none" w:sz="0" w:space="0" w:color="auto"/>
        <w:left w:val="none" w:sz="0" w:space="0" w:color="auto"/>
        <w:bottom w:val="none" w:sz="0" w:space="0" w:color="auto"/>
        <w:right w:val="none" w:sz="0" w:space="0" w:color="auto"/>
      </w:divBdr>
    </w:div>
    <w:div w:id="553779851">
      <w:bodyDiv w:val="1"/>
      <w:marLeft w:val="0"/>
      <w:marRight w:val="0"/>
      <w:marTop w:val="0"/>
      <w:marBottom w:val="0"/>
      <w:divBdr>
        <w:top w:val="none" w:sz="0" w:space="0" w:color="auto"/>
        <w:left w:val="none" w:sz="0" w:space="0" w:color="auto"/>
        <w:bottom w:val="none" w:sz="0" w:space="0" w:color="auto"/>
        <w:right w:val="none" w:sz="0" w:space="0" w:color="auto"/>
      </w:divBdr>
    </w:div>
    <w:div w:id="554658870">
      <w:bodyDiv w:val="1"/>
      <w:marLeft w:val="0"/>
      <w:marRight w:val="0"/>
      <w:marTop w:val="0"/>
      <w:marBottom w:val="0"/>
      <w:divBdr>
        <w:top w:val="none" w:sz="0" w:space="0" w:color="auto"/>
        <w:left w:val="none" w:sz="0" w:space="0" w:color="auto"/>
        <w:bottom w:val="none" w:sz="0" w:space="0" w:color="auto"/>
        <w:right w:val="none" w:sz="0" w:space="0" w:color="auto"/>
      </w:divBdr>
    </w:div>
    <w:div w:id="557131146">
      <w:bodyDiv w:val="1"/>
      <w:marLeft w:val="0"/>
      <w:marRight w:val="0"/>
      <w:marTop w:val="0"/>
      <w:marBottom w:val="0"/>
      <w:divBdr>
        <w:top w:val="none" w:sz="0" w:space="0" w:color="auto"/>
        <w:left w:val="none" w:sz="0" w:space="0" w:color="auto"/>
        <w:bottom w:val="none" w:sz="0" w:space="0" w:color="auto"/>
        <w:right w:val="none" w:sz="0" w:space="0" w:color="auto"/>
      </w:divBdr>
    </w:div>
    <w:div w:id="557205551">
      <w:bodyDiv w:val="1"/>
      <w:marLeft w:val="0"/>
      <w:marRight w:val="0"/>
      <w:marTop w:val="0"/>
      <w:marBottom w:val="0"/>
      <w:divBdr>
        <w:top w:val="none" w:sz="0" w:space="0" w:color="auto"/>
        <w:left w:val="none" w:sz="0" w:space="0" w:color="auto"/>
        <w:bottom w:val="none" w:sz="0" w:space="0" w:color="auto"/>
        <w:right w:val="none" w:sz="0" w:space="0" w:color="auto"/>
      </w:divBdr>
    </w:div>
    <w:div w:id="558127934">
      <w:bodyDiv w:val="1"/>
      <w:marLeft w:val="0"/>
      <w:marRight w:val="0"/>
      <w:marTop w:val="0"/>
      <w:marBottom w:val="0"/>
      <w:divBdr>
        <w:top w:val="none" w:sz="0" w:space="0" w:color="auto"/>
        <w:left w:val="none" w:sz="0" w:space="0" w:color="auto"/>
        <w:bottom w:val="none" w:sz="0" w:space="0" w:color="auto"/>
        <w:right w:val="none" w:sz="0" w:space="0" w:color="auto"/>
      </w:divBdr>
    </w:div>
    <w:div w:id="558517918">
      <w:bodyDiv w:val="1"/>
      <w:marLeft w:val="0"/>
      <w:marRight w:val="0"/>
      <w:marTop w:val="0"/>
      <w:marBottom w:val="0"/>
      <w:divBdr>
        <w:top w:val="none" w:sz="0" w:space="0" w:color="auto"/>
        <w:left w:val="none" w:sz="0" w:space="0" w:color="auto"/>
        <w:bottom w:val="none" w:sz="0" w:space="0" w:color="auto"/>
        <w:right w:val="none" w:sz="0" w:space="0" w:color="auto"/>
      </w:divBdr>
    </w:div>
    <w:div w:id="561720380">
      <w:bodyDiv w:val="1"/>
      <w:marLeft w:val="0"/>
      <w:marRight w:val="0"/>
      <w:marTop w:val="0"/>
      <w:marBottom w:val="0"/>
      <w:divBdr>
        <w:top w:val="none" w:sz="0" w:space="0" w:color="auto"/>
        <w:left w:val="none" w:sz="0" w:space="0" w:color="auto"/>
        <w:bottom w:val="none" w:sz="0" w:space="0" w:color="auto"/>
        <w:right w:val="none" w:sz="0" w:space="0" w:color="auto"/>
      </w:divBdr>
    </w:div>
    <w:div w:id="561908899">
      <w:bodyDiv w:val="1"/>
      <w:marLeft w:val="0"/>
      <w:marRight w:val="0"/>
      <w:marTop w:val="0"/>
      <w:marBottom w:val="0"/>
      <w:divBdr>
        <w:top w:val="none" w:sz="0" w:space="0" w:color="auto"/>
        <w:left w:val="none" w:sz="0" w:space="0" w:color="auto"/>
        <w:bottom w:val="none" w:sz="0" w:space="0" w:color="auto"/>
        <w:right w:val="none" w:sz="0" w:space="0" w:color="auto"/>
      </w:divBdr>
    </w:div>
    <w:div w:id="562521345">
      <w:bodyDiv w:val="1"/>
      <w:marLeft w:val="0"/>
      <w:marRight w:val="0"/>
      <w:marTop w:val="0"/>
      <w:marBottom w:val="0"/>
      <w:divBdr>
        <w:top w:val="none" w:sz="0" w:space="0" w:color="auto"/>
        <w:left w:val="none" w:sz="0" w:space="0" w:color="auto"/>
        <w:bottom w:val="none" w:sz="0" w:space="0" w:color="auto"/>
        <w:right w:val="none" w:sz="0" w:space="0" w:color="auto"/>
      </w:divBdr>
    </w:div>
    <w:div w:id="562562566">
      <w:bodyDiv w:val="1"/>
      <w:marLeft w:val="0"/>
      <w:marRight w:val="0"/>
      <w:marTop w:val="0"/>
      <w:marBottom w:val="0"/>
      <w:divBdr>
        <w:top w:val="none" w:sz="0" w:space="0" w:color="auto"/>
        <w:left w:val="none" w:sz="0" w:space="0" w:color="auto"/>
        <w:bottom w:val="none" w:sz="0" w:space="0" w:color="auto"/>
        <w:right w:val="none" w:sz="0" w:space="0" w:color="auto"/>
      </w:divBdr>
    </w:div>
    <w:div w:id="562912486">
      <w:bodyDiv w:val="1"/>
      <w:marLeft w:val="0"/>
      <w:marRight w:val="0"/>
      <w:marTop w:val="0"/>
      <w:marBottom w:val="0"/>
      <w:divBdr>
        <w:top w:val="none" w:sz="0" w:space="0" w:color="auto"/>
        <w:left w:val="none" w:sz="0" w:space="0" w:color="auto"/>
        <w:bottom w:val="none" w:sz="0" w:space="0" w:color="auto"/>
        <w:right w:val="none" w:sz="0" w:space="0" w:color="auto"/>
      </w:divBdr>
    </w:div>
    <w:div w:id="565722874">
      <w:bodyDiv w:val="1"/>
      <w:marLeft w:val="0"/>
      <w:marRight w:val="0"/>
      <w:marTop w:val="0"/>
      <w:marBottom w:val="0"/>
      <w:divBdr>
        <w:top w:val="none" w:sz="0" w:space="0" w:color="auto"/>
        <w:left w:val="none" w:sz="0" w:space="0" w:color="auto"/>
        <w:bottom w:val="none" w:sz="0" w:space="0" w:color="auto"/>
        <w:right w:val="none" w:sz="0" w:space="0" w:color="auto"/>
      </w:divBdr>
    </w:div>
    <w:div w:id="567109228">
      <w:bodyDiv w:val="1"/>
      <w:marLeft w:val="0"/>
      <w:marRight w:val="0"/>
      <w:marTop w:val="0"/>
      <w:marBottom w:val="0"/>
      <w:divBdr>
        <w:top w:val="none" w:sz="0" w:space="0" w:color="auto"/>
        <w:left w:val="none" w:sz="0" w:space="0" w:color="auto"/>
        <w:bottom w:val="none" w:sz="0" w:space="0" w:color="auto"/>
        <w:right w:val="none" w:sz="0" w:space="0" w:color="auto"/>
      </w:divBdr>
    </w:div>
    <w:div w:id="567226134">
      <w:bodyDiv w:val="1"/>
      <w:marLeft w:val="0"/>
      <w:marRight w:val="0"/>
      <w:marTop w:val="0"/>
      <w:marBottom w:val="0"/>
      <w:divBdr>
        <w:top w:val="none" w:sz="0" w:space="0" w:color="auto"/>
        <w:left w:val="none" w:sz="0" w:space="0" w:color="auto"/>
        <w:bottom w:val="none" w:sz="0" w:space="0" w:color="auto"/>
        <w:right w:val="none" w:sz="0" w:space="0" w:color="auto"/>
      </w:divBdr>
    </w:div>
    <w:div w:id="567228064">
      <w:bodyDiv w:val="1"/>
      <w:marLeft w:val="0"/>
      <w:marRight w:val="0"/>
      <w:marTop w:val="0"/>
      <w:marBottom w:val="0"/>
      <w:divBdr>
        <w:top w:val="none" w:sz="0" w:space="0" w:color="auto"/>
        <w:left w:val="none" w:sz="0" w:space="0" w:color="auto"/>
        <w:bottom w:val="none" w:sz="0" w:space="0" w:color="auto"/>
        <w:right w:val="none" w:sz="0" w:space="0" w:color="auto"/>
      </w:divBdr>
    </w:div>
    <w:div w:id="567427123">
      <w:bodyDiv w:val="1"/>
      <w:marLeft w:val="0"/>
      <w:marRight w:val="0"/>
      <w:marTop w:val="0"/>
      <w:marBottom w:val="0"/>
      <w:divBdr>
        <w:top w:val="none" w:sz="0" w:space="0" w:color="auto"/>
        <w:left w:val="none" w:sz="0" w:space="0" w:color="auto"/>
        <w:bottom w:val="none" w:sz="0" w:space="0" w:color="auto"/>
        <w:right w:val="none" w:sz="0" w:space="0" w:color="auto"/>
      </w:divBdr>
    </w:div>
    <w:div w:id="567764290">
      <w:bodyDiv w:val="1"/>
      <w:marLeft w:val="0"/>
      <w:marRight w:val="0"/>
      <w:marTop w:val="0"/>
      <w:marBottom w:val="0"/>
      <w:divBdr>
        <w:top w:val="none" w:sz="0" w:space="0" w:color="auto"/>
        <w:left w:val="none" w:sz="0" w:space="0" w:color="auto"/>
        <w:bottom w:val="none" w:sz="0" w:space="0" w:color="auto"/>
        <w:right w:val="none" w:sz="0" w:space="0" w:color="auto"/>
      </w:divBdr>
    </w:div>
    <w:div w:id="569311655">
      <w:bodyDiv w:val="1"/>
      <w:marLeft w:val="0"/>
      <w:marRight w:val="0"/>
      <w:marTop w:val="0"/>
      <w:marBottom w:val="0"/>
      <w:divBdr>
        <w:top w:val="none" w:sz="0" w:space="0" w:color="auto"/>
        <w:left w:val="none" w:sz="0" w:space="0" w:color="auto"/>
        <w:bottom w:val="none" w:sz="0" w:space="0" w:color="auto"/>
        <w:right w:val="none" w:sz="0" w:space="0" w:color="auto"/>
      </w:divBdr>
    </w:div>
    <w:div w:id="571433798">
      <w:bodyDiv w:val="1"/>
      <w:marLeft w:val="0"/>
      <w:marRight w:val="0"/>
      <w:marTop w:val="0"/>
      <w:marBottom w:val="0"/>
      <w:divBdr>
        <w:top w:val="none" w:sz="0" w:space="0" w:color="auto"/>
        <w:left w:val="none" w:sz="0" w:space="0" w:color="auto"/>
        <w:bottom w:val="none" w:sz="0" w:space="0" w:color="auto"/>
        <w:right w:val="none" w:sz="0" w:space="0" w:color="auto"/>
      </w:divBdr>
    </w:div>
    <w:div w:id="572665020">
      <w:bodyDiv w:val="1"/>
      <w:marLeft w:val="0"/>
      <w:marRight w:val="0"/>
      <w:marTop w:val="0"/>
      <w:marBottom w:val="0"/>
      <w:divBdr>
        <w:top w:val="none" w:sz="0" w:space="0" w:color="auto"/>
        <w:left w:val="none" w:sz="0" w:space="0" w:color="auto"/>
        <w:bottom w:val="none" w:sz="0" w:space="0" w:color="auto"/>
        <w:right w:val="none" w:sz="0" w:space="0" w:color="auto"/>
      </w:divBdr>
    </w:div>
    <w:div w:id="573316614">
      <w:bodyDiv w:val="1"/>
      <w:marLeft w:val="0"/>
      <w:marRight w:val="0"/>
      <w:marTop w:val="0"/>
      <w:marBottom w:val="0"/>
      <w:divBdr>
        <w:top w:val="none" w:sz="0" w:space="0" w:color="auto"/>
        <w:left w:val="none" w:sz="0" w:space="0" w:color="auto"/>
        <w:bottom w:val="none" w:sz="0" w:space="0" w:color="auto"/>
        <w:right w:val="none" w:sz="0" w:space="0" w:color="auto"/>
      </w:divBdr>
    </w:div>
    <w:div w:id="574977743">
      <w:bodyDiv w:val="1"/>
      <w:marLeft w:val="0"/>
      <w:marRight w:val="0"/>
      <w:marTop w:val="0"/>
      <w:marBottom w:val="0"/>
      <w:divBdr>
        <w:top w:val="none" w:sz="0" w:space="0" w:color="auto"/>
        <w:left w:val="none" w:sz="0" w:space="0" w:color="auto"/>
        <w:bottom w:val="none" w:sz="0" w:space="0" w:color="auto"/>
        <w:right w:val="none" w:sz="0" w:space="0" w:color="auto"/>
      </w:divBdr>
    </w:div>
    <w:div w:id="575628590">
      <w:bodyDiv w:val="1"/>
      <w:marLeft w:val="0"/>
      <w:marRight w:val="0"/>
      <w:marTop w:val="0"/>
      <w:marBottom w:val="0"/>
      <w:divBdr>
        <w:top w:val="none" w:sz="0" w:space="0" w:color="auto"/>
        <w:left w:val="none" w:sz="0" w:space="0" w:color="auto"/>
        <w:bottom w:val="none" w:sz="0" w:space="0" w:color="auto"/>
        <w:right w:val="none" w:sz="0" w:space="0" w:color="auto"/>
      </w:divBdr>
    </w:div>
    <w:div w:id="583414512">
      <w:bodyDiv w:val="1"/>
      <w:marLeft w:val="0"/>
      <w:marRight w:val="0"/>
      <w:marTop w:val="0"/>
      <w:marBottom w:val="0"/>
      <w:divBdr>
        <w:top w:val="none" w:sz="0" w:space="0" w:color="auto"/>
        <w:left w:val="none" w:sz="0" w:space="0" w:color="auto"/>
        <w:bottom w:val="none" w:sz="0" w:space="0" w:color="auto"/>
        <w:right w:val="none" w:sz="0" w:space="0" w:color="auto"/>
      </w:divBdr>
    </w:div>
    <w:div w:id="586115185">
      <w:bodyDiv w:val="1"/>
      <w:marLeft w:val="0"/>
      <w:marRight w:val="0"/>
      <w:marTop w:val="0"/>
      <w:marBottom w:val="0"/>
      <w:divBdr>
        <w:top w:val="none" w:sz="0" w:space="0" w:color="auto"/>
        <w:left w:val="none" w:sz="0" w:space="0" w:color="auto"/>
        <w:bottom w:val="none" w:sz="0" w:space="0" w:color="auto"/>
        <w:right w:val="none" w:sz="0" w:space="0" w:color="auto"/>
      </w:divBdr>
    </w:div>
    <w:div w:id="587079829">
      <w:bodyDiv w:val="1"/>
      <w:marLeft w:val="0"/>
      <w:marRight w:val="0"/>
      <w:marTop w:val="0"/>
      <w:marBottom w:val="0"/>
      <w:divBdr>
        <w:top w:val="none" w:sz="0" w:space="0" w:color="auto"/>
        <w:left w:val="none" w:sz="0" w:space="0" w:color="auto"/>
        <w:bottom w:val="none" w:sz="0" w:space="0" w:color="auto"/>
        <w:right w:val="none" w:sz="0" w:space="0" w:color="auto"/>
      </w:divBdr>
    </w:div>
    <w:div w:id="588268128">
      <w:bodyDiv w:val="1"/>
      <w:marLeft w:val="0"/>
      <w:marRight w:val="0"/>
      <w:marTop w:val="0"/>
      <w:marBottom w:val="0"/>
      <w:divBdr>
        <w:top w:val="none" w:sz="0" w:space="0" w:color="auto"/>
        <w:left w:val="none" w:sz="0" w:space="0" w:color="auto"/>
        <w:bottom w:val="none" w:sz="0" w:space="0" w:color="auto"/>
        <w:right w:val="none" w:sz="0" w:space="0" w:color="auto"/>
      </w:divBdr>
    </w:div>
    <w:div w:id="589389538">
      <w:bodyDiv w:val="1"/>
      <w:marLeft w:val="0"/>
      <w:marRight w:val="0"/>
      <w:marTop w:val="0"/>
      <w:marBottom w:val="0"/>
      <w:divBdr>
        <w:top w:val="none" w:sz="0" w:space="0" w:color="auto"/>
        <w:left w:val="none" w:sz="0" w:space="0" w:color="auto"/>
        <w:bottom w:val="none" w:sz="0" w:space="0" w:color="auto"/>
        <w:right w:val="none" w:sz="0" w:space="0" w:color="auto"/>
      </w:divBdr>
    </w:div>
    <w:div w:id="589853001">
      <w:bodyDiv w:val="1"/>
      <w:marLeft w:val="0"/>
      <w:marRight w:val="0"/>
      <w:marTop w:val="0"/>
      <w:marBottom w:val="0"/>
      <w:divBdr>
        <w:top w:val="none" w:sz="0" w:space="0" w:color="auto"/>
        <w:left w:val="none" w:sz="0" w:space="0" w:color="auto"/>
        <w:bottom w:val="none" w:sz="0" w:space="0" w:color="auto"/>
        <w:right w:val="none" w:sz="0" w:space="0" w:color="auto"/>
      </w:divBdr>
    </w:div>
    <w:div w:id="590554686">
      <w:bodyDiv w:val="1"/>
      <w:marLeft w:val="0"/>
      <w:marRight w:val="0"/>
      <w:marTop w:val="0"/>
      <w:marBottom w:val="0"/>
      <w:divBdr>
        <w:top w:val="none" w:sz="0" w:space="0" w:color="auto"/>
        <w:left w:val="none" w:sz="0" w:space="0" w:color="auto"/>
        <w:bottom w:val="none" w:sz="0" w:space="0" w:color="auto"/>
        <w:right w:val="none" w:sz="0" w:space="0" w:color="auto"/>
      </w:divBdr>
    </w:div>
    <w:div w:id="591016502">
      <w:bodyDiv w:val="1"/>
      <w:marLeft w:val="0"/>
      <w:marRight w:val="0"/>
      <w:marTop w:val="0"/>
      <w:marBottom w:val="0"/>
      <w:divBdr>
        <w:top w:val="none" w:sz="0" w:space="0" w:color="auto"/>
        <w:left w:val="none" w:sz="0" w:space="0" w:color="auto"/>
        <w:bottom w:val="none" w:sz="0" w:space="0" w:color="auto"/>
        <w:right w:val="none" w:sz="0" w:space="0" w:color="auto"/>
      </w:divBdr>
    </w:div>
    <w:div w:id="591016802">
      <w:bodyDiv w:val="1"/>
      <w:marLeft w:val="0"/>
      <w:marRight w:val="0"/>
      <w:marTop w:val="0"/>
      <w:marBottom w:val="0"/>
      <w:divBdr>
        <w:top w:val="none" w:sz="0" w:space="0" w:color="auto"/>
        <w:left w:val="none" w:sz="0" w:space="0" w:color="auto"/>
        <w:bottom w:val="none" w:sz="0" w:space="0" w:color="auto"/>
        <w:right w:val="none" w:sz="0" w:space="0" w:color="auto"/>
      </w:divBdr>
    </w:div>
    <w:div w:id="593782103">
      <w:bodyDiv w:val="1"/>
      <w:marLeft w:val="0"/>
      <w:marRight w:val="0"/>
      <w:marTop w:val="0"/>
      <w:marBottom w:val="0"/>
      <w:divBdr>
        <w:top w:val="none" w:sz="0" w:space="0" w:color="auto"/>
        <w:left w:val="none" w:sz="0" w:space="0" w:color="auto"/>
        <w:bottom w:val="none" w:sz="0" w:space="0" w:color="auto"/>
        <w:right w:val="none" w:sz="0" w:space="0" w:color="auto"/>
      </w:divBdr>
    </w:div>
    <w:div w:id="595284414">
      <w:bodyDiv w:val="1"/>
      <w:marLeft w:val="0"/>
      <w:marRight w:val="0"/>
      <w:marTop w:val="0"/>
      <w:marBottom w:val="0"/>
      <w:divBdr>
        <w:top w:val="none" w:sz="0" w:space="0" w:color="auto"/>
        <w:left w:val="none" w:sz="0" w:space="0" w:color="auto"/>
        <w:bottom w:val="none" w:sz="0" w:space="0" w:color="auto"/>
        <w:right w:val="none" w:sz="0" w:space="0" w:color="auto"/>
      </w:divBdr>
    </w:div>
    <w:div w:id="595676482">
      <w:bodyDiv w:val="1"/>
      <w:marLeft w:val="0"/>
      <w:marRight w:val="0"/>
      <w:marTop w:val="0"/>
      <w:marBottom w:val="0"/>
      <w:divBdr>
        <w:top w:val="none" w:sz="0" w:space="0" w:color="auto"/>
        <w:left w:val="none" w:sz="0" w:space="0" w:color="auto"/>
        <w:bottom w:val="none" w:sz="0" w:space="0" w:color="auto"/>
        <w:right w:val="none" w:sz="0" w:space="0" w:color="auto"/>
      </w:divBdr>
    </w:div>
    <w:div w:id="595789511">
      <w:bodyDiv w:val="1"/>
      <w:marLeft w:val="0"/>
      <w:marRight w:val="0"/>
      <w:marTop w:val="0"/>
      <w:marBottom w:val="0"/>
      <w:divBdr>
        <w:top w:val="none" w:sz="0" w:space="0" w:color="auto"/>
        <w:left w:val="none" w:sz="0" w:space="0" w:color="auto"/>
        <w:bottom w:val="none" w:sz="0" w:space="0" w:color="auto"/>
        <w:right w:val="none" w:sz="0" w:space="0" w:color="auto"/>
      </w:divBdr>
    </w:div>
    <w:div w:id="596132065">
      <w:bodyDiv w:val="1"/>
      <w:marLeft w:val="0"/>
      <w:marRight w:val="0"/>
      <w:marTop w:val="0"/>
      <w:marBottom w:val="0"/>
      <w:divBdr>
        <w:top w:val="none" w:sz="0" w:space="0" w:color="auto"/>
        <w:left w:val="none" w:sz="0" w:space="0" w:color="auto"/>
        <w:bottom w:val="none" w:sz="0" w:space="0" w:color="auto"/>
        <w:right w:val="none" w:sz="0" w:space="0" w:color="auto"/>
      </w:divBdr>
    </w:div>
    <w:div w:id="599873727">
      <w:bodyDiv w:val="1"/>
      <w:marLeft w:val="0"/>
      <w:marRight w:val="0"/>
      <w:marTop w:val="0"/>
      <w:marBottom w:val="0"/>
      <w:divBdr>
        <w:top w:val="none" w:sz="0" w:space="0" w:color="auto"/>
        <w:left w:val="none" w:sz="0" w:space="0" w:color="auto"/>
        <w:bottom w:val="none" w:sz="0" w:space="0" w:color="auto"/>
        <w:right w:val="none" w:sz="0" w:space="0" w:color="auto"/>
      </w:divBdr>
    </w:div>
    <w:div w:id="600603681">
      <w:bodyDiv w:val="1"/>
      <w:marLeft w:val="0"/>
      <w:marRight w:val="0"/>
      <w:marTop w:val="0"/>
      <w:marBottom w:val="0"/>
      <w:divBdr>
        <w:top w:val="none" w:sz="0" w:space="0" w:color="auto"/>
        <w:left w:val="none" w:sz="0" w:space="0" w:color="auto"/>
        <w:bottom w:val="none" w:sz="0" w:space="0" w:color="auto"/>
        <w:right w:val="none" w:sz="0" w:space="0" w:color="auto"/>
      </w:divBdr>
    </w:div>
    <w:div w:id="600989874">
      <w:bodyDiv w:val="1"/>
      <w:marLeft w:val="0"/>
      <w:marRight w:val="0"/>
      <w:marTop w:val="0"/>
      <w:marBottom w:val="0"/>
      <w:divBdr>
        <w:top w:val="none" w:sz="0" w:space="0" w:color="auto"/>
        <w:left w:val="none" w:sz="0" w:space="0" w:color="auto"/>
        <w:bottom w:val="none" w:sz="0" w:space="0" w:color="auto"/>
        <w:right w:val="none" w:sz="0" w:space="0" w:color="auto"/>
      </w:divBdr>
    </w:div>
    <w:div w:id="603734082">
      <w:bodyDiv w:val="1"/>
      <w:marLeft w:val="0"/>
      <w:marRight w:val="0"/>
      <w:marTop w:val="0"/>
      <w:marBottom w:val="0"/>
      <w:divBdr>
        <w:top w:val="none" w:sz="0" w:space="0" w:color="auto"/>
        <w:left w:val="none" w:sz="0" w:space="0" w:color="auto"/>
        <w:bottom w:val="none" w:sz="0" w:space="0" w:color="auto"/>
        <w:right w:val="none" w:sz="0" w:space="0" w:color="auto"/>
      </w:divBdr>
    </w:div>
    <w:div w:id="604313308">
      <w:bodyDiv w:val="1"/>
      <w:marLeft w:val="0"/>
      <w:marRight w:val="0"/>
      <w:marTop w:val="0"/>
      <w:marBottom w:val="0"/>
      <w:divBdr>
        <w:top w:val="none" w:sz="0" w:space="0" w:color="auto"/>
        <w:left w:val="none" w:sz="0" w:space="0" w:color="auto"/>
        <w:bottom w:val="none" w:sz="0" w:space="0" w:color="auto"/>
        <w:right w:val="none" w:sz="0" w:space="0" w:color="auto"/>
      </w:divBdr>
    </w:div>
    <w:div w:id="606735926">
      <w:bodyDiv w:val="1"/>
      <w:marLeft w:val="0"/>
      <w:marRight w:val="0"/>
      <w:marTop w:val="0"/>
      <w:marBottom w:val="0"/>
      <w:divBdr>
        <w:top w:val="none" w:sz="0" w:space="0" w:color="auto"/>
        <w:left w:val="none" w:sz="0" w:space="0" w:color="auto"/>
        <w:bottom w:val="none" w:sz="0" w:space="0" w:color="auto"/>
        <w:right w:val="none" w:sz="0" w:space="0" w:color="auto"/>
      </w:divBdr>
    </w:div>
    <w:div w:id="607273614">
      <w:bodyDiv w:val="1"/>
      <w:marLeft w:val="0"/>
      <w:marRight w:val="0"/>
      <w:marTop w:val="0"/>
      <w:marBottom w:val="0"/>
      <w:divBdr>
        <w:top w:val="none" w:sz="0" w:space="0" w:color="auto"/>
        <w:left w:val="none" w:sz="0" w:space="0" w:color="auto"/>
        <w:bottom w:val="none" w:sz="0" w:space="0" w:color="auto"/>
        <w:right w:val="none" w:sz="0" w:space="0" w:color="auto"/>
      </w:divBdr>
    </w:div>
    <w:div w:id="608895396">
      <w:bodyDiv w:val="1"/>
      <w:marLeft w:val="0"/>
      <w:marRight w:val="0"/>
      <w:marTop w:val="0"/>
      <w:marBottom w:val="0"/>
      <w:divBdr>
        <w:top w:val="none" w:sz="0" w:space="0" w:color="auto"/>
        <w:left w:val="none" w:sz="0" w:space="0" w:color="auto"/>
        <w:bottom w:val="none" w:sz="0" w:space="0" w:color="auto"/>
        <w:right w:val="none" w:sz="0" w:space="0" w:color="auto"/>
      </w:divBdr>
    </w:div>
    <w:div w:id="609359479">
      <w:bodyDiv w:val="1"/>
      <w:marLeft w:val="0"/>
      <w:marRight w:val="0"/>
      <w:marTop w:val="0"/>
      <w:marBottom w:val="0"/>
      <w:divBdr>
        <w:top w:val="none" w:sz="0" w:space="0" w:color="auto"/>
        <w:left w:val="none" w:sz="0" w:space="0" w:color="auto"/>
        <w:bottom w:val="none" w:sz="0" w:space="0" w:color="auto"/>
        <w:right w:val="none" w:sz="0" w:space="0" w:color="auto"/>
      </w:divBdr>
    </w:div>
    <w:div w:id="610626047">
      <w:bodyDiv w:val="1"/>
      <w:marLeft w:val="0"/>
      <w:marRight w:val="0"/>
      <w:marTop w:val="0"/>
      <w:marBottom w:val="0"/>
      <w:divBdr>
        <w:top w:val="none" w:sz="0" w:space="0" w:color="auto"/>
        <w:left w:val="none" w:sz="0" w:space="0" w:color="auto"/>
        <w:bottom w:val="none" w:sz="0" w:space="0" w:color="auto"/>
        <w:right w:val="none" w:sz="0" w:space="0" w:color="auto"/>
      </w:divBdr>
    </w:div>
    <w:div w:id="611786990">
      <w:bodyDiv w:val="1"/>
      <w:marLeft w:val="0"/>
      <w:marRight w:val="0"/>
      <w:marTop w:val="0"/>
      <w:marBottom w:val="0"/>
      <w:divBdr>
        <w:top w:val="none" w:sz="0" w:space="0" w:color="auto"/>
        <w:left w:val="none" w:sz="0" w:space="0" w:color="auto"/>
        <w:bottom w:val="none" w:sz="0" w:space="0" w:color="auto"/>
        <w:right w:val="none" w:sz="0" w:space="0" w:color="auto"/>
      </w:divBdr>
    </w:div>
    <w:div w:id="613025473">
      <w:bodyDiv w:val="1"/>
      <w:marLeft w:val="0"/>
      <w:marRight w:val="0"/>
      <w:marTop w:val="0"/>
      <w:marBottom w:val="0"/>
      <w:divBdr>
        <w:top w:val="none" w:sz="0" w:space="0" w:color="auto"/>
        <w:left w:val="none" w:sz="0" w:space="0" w:color="auto"/>
        <w:bottom w:val="none" w:sz="0" w:space="0" w:color="auto"/>
        <w:right w:val="none" w:sz="0" w:space="0" w:color="auto"/>
      </w:divBdr>
    </w:div>
    <w:div w:id="615412487">
      <w:bodyDiv w:val="1"/>
      <w:marLeft w:val="0"/>
      <w:marRight w:val="0"/>
      <w:marTop w:val="0"/>
      <w:marBottom w:val="0"/>
      <w:divBdr>
        <w:top w:val="none" w:sz="0" w:space="0" w:color="auto"/>
        <w:left w:val="none" w:sz="0" w:space="0" w:color="auto"/>
        <w:bottom w:val="none" w:sz="0" w:space="0" w:color="auto"/>
        <w:right w:val="none" w:sz="0" w:space="0" w:color="auto"/>
      </w:divBdr>
    </w:div>
    <w:div w:id="615529729">
      <w:bodyDiv w:val="1"/>
      <w:marLeft w:val="0"/>
      <w:marRight w:val="0"/>
      <w:marTop w:val="0"/>
      <w:marBottom w:val="0"/>
      <w:divBdr>
        <w:top w:val="none" w:sz="0" w:space="0" w:color="auto"/>
        <w:left w:val="none" w:sz="0" w:space="0" w:color="auto"/>
        <w:bottom w:val="none" w:sz="0" w:space="0" w:color="auto"/>
        <w:right w:val="none" w:sz="0" w:space="0" w:color="auto"/>
      </w:divBdr>
    </w:div>
    <w:div w:id="616371170">
      <w:bodyDiv w:val="1"/>
      <w:marLeft w:val="0"/>
      <w:marRight w:val="0"/>
      <w:marTop w:val="0"/>
      <w:marBottom w:val="0"/>
      <w:divBdr>
        <w:top w:val="none" w:sz="0" w:space="0" w:color="auto"/>
        <w:left w:val="none" w:sz="0" w:space="0" w:color="auto"/>
        <w:bottom w:val="none" w:sz="0" w:space="0" w:color="auto"/>
        <w:right w:val="none" w:sz="0" w:space="0" w:color="auto"/>
      </w:divBdr>
    </w:div>
    <w:div w:id="617175784">
      <w:bodyDiv w:val="1"/>
      <w:marLeft w:val="0"/>
      <w:marRight w:val="0"/>
      <w:marTop w:val="0"/>
      <w:marBottom w:val="0"/>
      <w:divBdr>
        <w:top w:val="none" w:sz="0" w:space="0" w:color="auto"/>
        <w:left w:val="none" w:sz="0" w:space="0" w:color="auto"/>
        <w:bottom w:val="none" w:sz="0" w:space="0" w:color="auto"/>
        <w:right w:val="none" w:sz="0" w:space="0" w:color="auto"/>
      </w:divBdr>
    </w:div>
    <w:div w:id="617182273">
      <w:bodyDiv w:val="1"/>
      <w:marLeft w:val="0"/>
      <w:marRight w:val="0"/>
      <w:marTop w:val="0"/>
      <w:marBottom w:val="0"/>
      <w:divBdr>
        <w:top w:val="none" w:sz="0" w:space="0" w:color="auto"/>
        <w:left w:val="none" w:sz="0" w:space="0" w:color="auto"/>
        <w:bottom w:val="none" w:sz="0" w:space="0" w:color="auto"/>
        <w:right w:val="none" w:sz="0" w:space="0" w:color="auto"/>
      </w:divBdr>
    </w:div>
    <w:div w:id="617220058">
      <w:bodyDiv w:val="1"/>
      <w:marLeft w:val="0"/>
      <w:marRight w:val="0"/>
      <w:marTop w:val="0"/>
      <w:marBottom w:val="0"/>
      <w:divBdr>
        <w:top w:val="none" w:sz="0" w:space="0" w:color="auto"/>
        <w:left w:val="none" w:sz="0" w:space="0" w:color="auto"/>
        <w:bottom w:val="none" w:sz="0" w:space="0" w:color="auto"/>
        <w:right w:val="none" w:sz="0" w:space="0" w:color="auto"/>
      </w:divBdr>
    </w:div>
    <w:div w:id="617490858">
      <w:bodyDiv w:val="1"/>
      <w:marLeft w:val="0"/>
      <w:marRight w:val="0"/>
      <w:marTop w:val="0"/>
      <w:marBottom w:val="0"/>
      <w:divBdr>
        <w:top w:val="none" w:sz="0" w:space="0" w:color="auto"/>
        <w:left w:val="none" w:sz="0" w:space="0" w:color="auto"/>
        <w:bottom w:val="none" w:sz="0" w:space="0" w:color="auto"/>
        <w:right w:val="none" w:sz="0" w:space="0" w:color="auto"/>
      </w:divBdr>
    </w:div>
    <w:div w:id="618997525">
      <w:bodyDiv w:val="1"/>
      <w:marLeft w:val="0"/>
      <w:marRight w:val="0"/>
      <w:marTop w:val="0"/>
      <w:marBottom w:val="0"/>
      <w:divBdr>
        <w:top w:val="none" w:sz="0" w:space="0" w:color="auto"/>
        <w:left w:val="none" w:sz="0" w:space="0" w:color="auto"/>
        <w:bottom w:val="none" w:sz="0" w:space="0" w:color="auto"/>
        <w:right w:val="none" w:sz="0" w:space="0" w:color="auto"/>
      </w:divBdr>
    </w:div>
    <w:div w:id="620379897">
      <w:bodyDiv w:val="1"/>
      <w:marLeft w:val="0"/>
      <w:marRight w:val="0"/>
      <w:marTop w:val="0"/>
      <w:marBottom w:val="0"/>
      <w:divBdr>
        <w:top w:val="none" w:sz="0" w:space="0" w:color="auto"/>
        <w:left w:val="none" w:sz="0" w:space="0" w:color="auto"/>
        <w:bottom w:val="none" w:sz="0" w:space="0" w:color="auto"/>
        <w:right w:val="none" w:sz="0" w:space="0" w:color="auto"/>
      </w:divBdr>
    </w:div>
    <w:div w:id="621619804">
      <w:bodyDiv w:val="1"/>
      <w:marLeft w:val="0"/>
      <w:marRight w:val="0"/>
      <w:marTop w:val="0"/>
      <w:marBottom w:val="0"/>
      <w:divBdr>
        <w:top w:val="none" w:sz="0" w:space="0" w:color="auto"/>
        <w:left w:val="none" w:sz="0" w:space="0" w:color="auto"/>
        <w:bottom w:val="none" w:sz="0" w:space="0" w:color="auto"/>
        <w:right w:val="none" w:sz="0" w:space="0" w:color="auto"/>
      </w:divBdr>
    </w:div>
    <w:div w:id="623002518">
      <w:bodyDiv w:val="1"/>
      <w:marLeft w:val="0"/>
      <w:marRight w:val="0"/>
      <w:marTop w:val="0"/>
      <w:marBottom w:val="0"/>
      <w:divBdr>
        <w:top w:val="none" w:sz="0" w:space="0" w:color="auto"/>
        <w:left w:val="none" w:sz="0" w:space="0" w:color="auto"/>
        <w:bottom w:val="none" w:sz="0" w:space="0" w:color="auto"/>
        <w:right w:val="none" w:sz="0" w:space="0" w:color="auto"/>
      </w:divBdr>
    </w:div>
    <w:div w:id="624696134">
      <w:bodyDiv w:val="1"/>
      <w:marLeft w:val="0"/>
      <w:marRight w:val="0"/>
      <w:marTop w:val="0"/>
      <w:marBottom w:val="0"/>
      <w:divBdr>
        <w:top w:val="none" w:sz="0" w:space="0" w:color="auto"/>
        <w:left w:val="none" w:sz="0" w:space="0" w:color="auto"/>
        <w:bottom w:val="none" w:sz="0" w:space="0" w:color="auto"/>
        <w:right w:val="none" w:sz="0" w:space="0" w:color="auto"/>
      </w:divBdr>
    </w:div>
    <w:div w:id="628629294">
      <w:bodyDiv w:val="1"/>
      <w:marLeft w:val="0"/>
      <w:marRight w:val="0"/>
      <w:marTop w:val="0"/>
      <w:marBottom w:val="0"/>
      <w:divBdr>
        <w:top w:val="none" w:sz="0" w:space="0" w:color="auto"/>
        <w:left w:val="none" w:sz="0" w:space="0" w:color="auto"/>
        <w:bottom w:val="none" w:sz="0" w:space="0" w:color="auto"/>
        <w:right w:val="none" w:sz="0" w:space="0" w:color="auto"/>
      </w:divBdr>
    </w:div>
    <w:div w:id="632060127">
      <w:bodyDiv w:val="1"/>
      <w:marLeft w:val="0"/>
      <w:marRight w:val="0"/>
      <w:marTop w:val="0"/>
      <w:marBottom w:val="0"/>
      <w:divBdr>
        <w:top w:val="none" w:sz="0" w:space="0" w:color="auto"/>
        <w:left w:val="none" w:sz="0" w:space="0" w:color="auto"/>
        <w:bottom w:val="none" w:sz="0" w:space="0" w:color="auto"/>
        <w:right w:val="none" w:sz="0" w:space="0" w:color="auto"/>
      </w:divBdr>
    </w:div>
    <w:div w:id="633489322">
      <w:bodyDiv w:val="1"/>
      <w:marLeft w:val="0"/>
      <w:marRight w:val="0"/>
      <w:marTop w:val="0"/>
      <w:marBottom w:val="0"/>
      <w:divBdr>
        <w:top w:val="none" w:sz="0" w:space="0" w:color="auto"/>
        <w:left w:val="none" w:sz="0" w:space="0" w:color="auto"/>
        <w:bottom w:val="none" w:sz="0" w:space="0" w:color="auto"/>
        <w:right w:val="none" w:sz="0" w:space="0" w:color="auto"/>
      </w:divBdr>
    </w:div>
    <w:div w:id="634723045">
      <w:bodyDiv w:val="1"/>
      <w:marLeft w:val="0"/>
      <w:marRight w:val="0"/>
      <w:marTop w:val="0"/>
      <w:marBottom w:val="0"/>
      <w:divBdr>
        <w:top w:val="none" w:sz="0" w:space="0" w:color="auto"/>
        <w:left w:val="none" w:sz="0" w:space="0" w:color="auto"/>
        <w:bottom w:val="none" w:sz="0" w:space="0" w:color="auto"/>
        <w:right w:val="none" w:sz="0" w:space="0" w:color="auto"/>
      </w:divBdr>
    </w:div>
    <w:div w:id="635599021">
      <w:bodyDiv w:val="1"/>
      <w:marLeft w:val="0"/>
      <w:marRight w:val="0"/>
      <w:marTop w:val="0"/>
      <w:marBottom w:val="0"/>
      <w:divBdr>
        <w:top w:val="none" w:sz="0" w:space="0" w:color="auto"/>
        <w:left w:val="none" w:sz="0" w:space="0" w:color="auto"/>
        <w:bottom w:val="none" w:sz="0" w:space="0" w:color="auto"/>
        <w:right w:val="none" w:sz="0" w:space="0" w:color="auto"/>
      </w:divBdr>
    </w:div>
    <w:div w:id="636767484">
      <w:bodyDiv w:val="1"/>
      <w:marLeft w:val="0"/>
      <w:marRight w:val="0"/>
      <w:marTop w:val="0"/>
      <w:marBottom w:val="0"/>
      <w:divBdr>
        <w:top w:val="none" w:sz="0" w:space="0" w:color="auto"/>
        <w:left w:val="none" w:sz="0" w:space="0" w:color="auto"/>
        <w:bottom w:val="none" w:sz="0" w:space="0" w:color="auto"/>
        <w:right w:val="none" w:sz="0" w:space="0" w:color="auto"/>
      </w:divBdr>
    </w:div>
    <w:div w:id="640035912">
      <w:bodyDiv w:val="1"/>
      <w:marLeft w:val="0"/>
      <w:marRight w:val="0"/>
      <w:marTop w:val="0"/>
      <w:marBottom w:val="0"/>
      <w:divBdr>
        <w:top w:val="none" w:sz="0" w:space="0" w:color="auto"/>
        <w:left w:val="none" w:sz="0" w:space="0" w:color="auto"/>
        <w:bottom w:val="none" w:sz="0" w:space="0" w:color="auto"/>
        <w:right w:val="none" w:sz="0" w:space="0" w:color="auto"/>
      </w:divBdr>
    </w:div>
    <w:div w:id="641691048">
      <w:bodyDiv w:val="1"/>
      <w:marLeft w:val="0"/>
      <w:marRight w:val="0"/>
      <w:marTop w:val="0"/>
      <w:marBottom w:val="0"/>
      <w:divBdr>
        <w:top w:val="none" w:sz="0" w:space="0" w:color="auto"/>
        <w:left w:val="none" w:sz="0" w:space="0" w:color="auto"/>
        <w:bottom w:val="none" w:sz="0" w:space="0" w:color="auto"/>
        <w:right w:val="none" w:sz="0" w:space="0" w:color="auto"/>
      </w:divBdr>
    </w:div>
    <w:div w:id="641812885">
      <w:bodyDiv w:val="1"/>
      <w:marLeft w:val="0"/>
      <w:marRight w:val="0"/>
      <w:marTop w:val="0"/>
      <w:marBottom w:val="0"/>
      <w:divBdr>
        <w:top w:val="none" w:sz="0" w:space="0" w:color="auto"/>
        <w:left w:val="none" w:sz="0" w:space="0" w:color="auto"/>
        <w:bottom w:val="none" w:sz="0" w:space="0" w:color="auto"/>
        <w:right w:val="none" w:sz="0" w:space="0" w:color="auto"/>
      </w:divBdr>
    </w:div>
    <w:div w:id="646283112">
      <w:bodyDiv w:val="1"/>
      <w:marLeft w:val="0"/>
      <w:marRight w:val="0"/>
      <w:marTop w:val="0"/>
      <w:marBottom w:val="0"/>
      <w:divBdr>
        <w:top w:val="none" w:sz="0" w:space="0" w:color="auto"/>
        <w:left w:val="none" w:sz="0" w:space="0" w:color="auto"/>
        <w:bottom w:val="none" w:sz="0" w:space="0" w:color="auto"/>
        <w:right w:val="none" w:sz="0" w:space="0" w:color="auto"/>
      </w:divBdr>
    </w:div>
    <w:div w:id="647513943">
      <w:bodyDiv w:val="1"/>
      <w:marLeft w:val="0"/>
      <w:marRight w:val="0"/>
      <w:marTop w:val="0"/>
      <w:marBottom w:val="0"/>
      <w:divBdr>
        <w:top w:val="none" w:sz="0" w:space="0" w:color="auto"/>
        <w:left w:val="none" w:sz="0" w:space="0" w:color="auto"/>
        <w:bottom w:val="none" w:sz="0" w:space="0" w:color="auto"/>
        <w:right w:val="none" w:sz="0" w:space="0" w:color="auto"/>
      </w:divBdr>
    </w:div>
    <w:div w:id="656613502">
      <w:bodyDiv w:val="1"/>
      <w:marLeft w:val="0"/>
      <w:marRight w:val="0"/>
      <w:marTop w:val="0"/>
      <w:marBottom w:val="0"/>
      <w:divBdr>
        <w:top w:val="none" w:sz="0" w:space="0" w:color="auto"/>
        <w:left w:val="none" w:sz="0" w:space="0" w:color="auto"/>
        <w:bottom w:val="none" w:sz="0" w:space="0" w:color="auto"/>
        <w:right w:val="none" w:sz="0" w:space="0" w:color="auto"/>
      </w:divBdr>
    </w:div>
    <w:div w:id="661004598">
      <w:bodyDiv w:val="1"/>
      <w:marLeft w:val="0"/>
      <w:marRight w:val="0"/>
      <w:marTop w:val="0"/>
      <w:marBottom w:val="0"/>
      <w:divBdr>
        <w:top w:val="none" w:sz="0" w:space="0" w:color="auto"/>
        <w:left w:val="none" w:sz="0" w:space="0" w:color="auto"/>
        <w:bottom w:val="none" w:sz="0" w:space="0" w:color="auto"/>
        <w:right w:val="none" w:sz="0" w:space="0" w:color="auto"/>
      </w:divBdr>
    </w:div>
    <w:div w:id="662583780">
      <w:bodyDiv w:val="1"/>
      <w:marLeft w:val="0"/>
      <w:marRight w:val="0"/>
      <w:marTop w:val="0"/>
      <w:marBottom w:val="0"/>
      <w:divBdr>
        <w:top w:val="none" w:sz="0" w:space="0" w:color="auto"/>
        <w:left w:val="none" w:sz="0" w:space="0" w:color="auto"/>
        <w:bottom w:val="none" w:sz="0" w:space="0" w:color="auto"/>
        <w:right w:val="none" w:sz="0" w:space="0" w:color="auto"/>
      </w:divBdr>
    </w:div>
    <w:div w:id="668290704">
      <w:bodyDiv w:val="1"/>
      <w:marLeft w:val="0"/>
      <w:marRight w:val="0"/>
      <w:marTop w:val="0"/>
      <w:marBottom w:val="0"/>
      <w:divBdr>
        <w:top w:val="none" w:sz="0" w:space="0" w:color="auto"/>
        <w:left w:val="none" w:sz="0" w:space="0" w:color="auto"/>
        <w:bottom w:val="none" w:sz="0" w:space="0" w:color="auto"/>
        <w:right w:val="none" w:sz="0" w:space="0" w:color="auto"/>
      </w:divBdr>
    </w:div>
    <w:div w:id="669796313">
      <w:bodyDiv w:val="1"/>
      <w:marLeft w:val="0"/>
      <w:marRight w:val="0"/>
      <w:marTop w:val="0"/>
      <w:marBottom w:val="0"/>
      <w:divBdr>
        <w:top w:val="none" w:sz="0" w:space="0" w:color="auto"/>
        <w:left w:val="none" w:sz="0" w:space="0" w:color="auto"/>
        <w:bottom w:val="none" w:sz="0" w:space="0" w:color="auto"/>
        <w:right w:val="none" w:sz="0" w:space="0" w:color="auto"/>
      </w:divBdr>
    </w:div>
    <w:div w:id="677922901">
      <w:bodyDiv w:val="1"/>
      <w:marLeft w:val="0"/>
      <w:marRight w:val="0"/>
      <w:marTop w:val="0"/>
      <w:marBottom w:val="0"/>
      <w:divBdr>
        <w:top w:val="none" w:sz="0" w:space="0" w:color="auto"/>
        <w:left w:val="none" w:sz="0" w:space="0" w:color="auto"/>
        <w:bottom w:val="none" w:sz="0" w:space="0" w:color="auto"/>
        <w:right w:val="none" w:sz="0" w:space="0" w:color="auto"/>
      </w:divBdr>
    </w:div>
    <w:div w:id="678460559">
      <w:bodyDiv w:val="1"/>
      <w:marLeft w:val="0"/>
      <w:marRight w:val="0"/>
      <w:marTop w:val="0"/>
      <w:marBottom w:val="0"/>
      <w:divBdr>
        <w:top w:val="none" w:sz="0" w:space="0" w:color="auto"/>
        <w:left w:val="none" w:sz="0" w:space="0" w:color="auto"/>
        <w:bottom w:val="none" w:sz="0" w:space="0" w:color="auto"/>
        <w:right w:val="none" w:sz="0" w:space="0" w:color="auto"/>
      </w:divBdr>
    </w:div>
    <w:div w:id="684284731">
      <w:bodyDiv w:val="1"/>
      <w:marLeft w:val="0"/>
      <w:marRight w:val="0"/>
      <w:marTop w:val="0"/>
      <w:marBottom w:val="0"/>
      <w:divBdr>
        <w:top w:val="none" w:sz="0" w:space="0" w:color="auto"/>
        <w:left w:val="none" w:sz="0" w:space="0" w:color="auto"/>
        <w:bottom w:val="none" w:sz="0" w:space="0" w:color="auto"/>
        <w:right w:val="none" w:sz="0" w:space="0" w:color="auto"/>
      </w:divBdr>
    </w:div>
    <w:div w:id="686256555">
      <w:bodyDiv w:val="1"/>
      <w:marLeft w:val="0"/>
      <w:marRight w:val="0"/>
      <w:marTop w:val="0"/>
      <w:marBottom w:val="0"/>
      <w:divBdr>
        <w:top w:val="none" w:sz="0" w:space="0" w:color="auto"/>
        <w:left w:val="none" w:sz="0" w:space="0" w:color="auto"/>
        <w:bottom w:val="none" w:sz="0" w:space="0" w:color="auto"/>
        <w:right w:val="none" w:sz="0" w:space="0" w:color="auto"/>
      </w:divBdr>
    </w:div>
    <w:div w:id="691614320">
      <w:bodyDiv w:val="1"/>
      <w:marLeft w:val="0"/>
      <w:marRight w:val="0"/>
      <w:marTop w:val="0"/>
      <w:marBottom w:val="0"/>
      <w:divBdr>
        <w:top w:val="none" w:sz="0" w:space="0" w:color="auto"/>
        <w:left w:val="none" w:sz="0" w:space="0" w:color="auto"/>
        <w:bottom w:val="none" w:sz="0" w:space="0" w:color="auto"/>
        <w:right w:val="none" w:sz="0" w:space="0" w:color="auto"/>
      </w:divBdr>
    </w:div>
    <w:div w:id="691879665">
      <w:bodyDiv w:val="1"/>
      <w:marLeft w:val="0"/>
      <w:marRight w:val="0"/>
      <w:marTop w:val="0"/>
      <w:marBottom w:val="0"/>
      <w:divBdr>
        <w:top w:val="none" w:sz="0" w:space="0" w:color="auto"/>
        <w:left w:val="none" w:sz="0" w:space="0" w:color="auto"/>
        <w:bottom w:val="none" w:sz="0" w:space="0" w:color="auto"/>
        <w:right w:val="none" w:sz="0" w:space="0" w:color="auto"/>
      </w:divBdr>
    </w:div>
    <w:div w:id="692027023">
      <w:bodyDiv w:val="1"/>
      <w:marLeft w:val="0"/>
      <w:marRight w:val="0"/>
      <w:marTop w:val="0"/>
      <w:marBottom w:val="0"/>
      <w:divBdr>
        <w:top w:val="none" w:sz="0" w:space="0" w:color="auto"/>
        <w:left w:val="none" w:sz="0" w:space="0" w:color="auto"/>
        <w:bottom w:val="none" w:sz="0" w:space="0" w:color="auto"/>
        <w:right w:val="none" w:sz="0" w:space="0" w:color="auto"/>
      </w:divBdr>
    </w:div>
    <w:div w:id="697509706">
      <w:bodyDiv w:val="1"/>
      <w:marLeft w:val="0"/>
      <w:marRight w:val="0"/>
      <w:marTop w:val="0"/>
      <w:marBottom w:val="0"/>
      <w:divBdr>
        <w:top w:val="none" w:sz="0" w:space="0" w:color="auto"/>
        <w:left w:val="none" w:sz="0" w:space="0" w:color="auto"/>
        <w:bottom w:val="none" w:sz="0" w:space="0" w:color="auto"/>
        <w:right w:val="none" w:sz="0" w:space="0" w:color="auto"/>
      </w:divBdr>
    </w:div>
    <w:div w:id="697587378">
      <w:bodyDiv w:val="1"/>
      <w:marLeft w:val="0"/>
      <w:marRight w:val="0"/>
      <w:marTop w:val="0"/>
      <w:marBottom w:val="0"/>
      <w:divBdr>
        <w:top w:val="none" w:sz="0" w:space="0" w:color="auto"/>
        <w:left w:val="none" w:sz="0" w:space="0" w:color="auto"/>
        <w:bottom w:val="none" w:sz="0" w:space="0" w:color="auto"/>
        <w:right w:val="none" w:sz="0" w:space="0" w:color="auto"/>
      </w:divBdr>
    </w:div>
    <w:div w:id="697854206">
      <w:bodyDiv w:val="1"/>
      <w:marLeft w:val="0"/>
      <w:marRight w:val="0"/>
      <w:marTop w:val="0"/>
      <w:marBottom w:val="0"/>
      <w:divBdr>
        <w:top w:val="none" w:sz="0" w:space="0" w:color="auto"/>
        <w:left w:val="none" w:sz="0" w:space="0" w:color="auto"/>
        <w:bottom w:val="none" w:sz="0" w:space="0" w:color="auto"/>
        <w:right w:val="none" w:sz="0" w:space="0" w:color="auto"/>
      </w:divBdr>
    </w:div>
    <w:div w:id="699164256">
      <w:bodyDiv w:val="1"/>
      <w:marLeft w:val="0"/>
      <w:marRight w:val="0"/>
      <w:marTop w:val="0"/>
      <w:marBottom w:val="0"/>
      <w:divBdr>
        <w:top w:val="none" w:sz="0" w:space="0" w:color="auto"/>
        <w:left w:val="none" w:sz="0" w:space="0" w:color="auto"/>
        <w:bottom w:val="none" w:sz="0" w:space="0" w:color="auto"/>
        <w:right w:val="none" w:sz="0" w:space="0" w:color="auto"/>
      </w:divBdr>
    </w:div>
    <w:div w:id="701057654">
      <w:bodyDiv w:val="1"/>
      <w:marLeft w:val="0"/>
      <w:marRight w:val="0"/>
      <w:marTop w:val="0"/>
      <w:marBottom w:val="0"/>
      <w:divBdr>
        <w:top w:val="none" w:sz="0" w:space="0" w:color="auto"/>
        <w:left w:val="none" w:sz="0" w:space="0" w:color="auto"/>
        <w:bottom w:val="none" w:sz="0" w:space="0" w:color="auto"/>
        <w:right w:val="none" w:sz="0" w:space="0" w:color="auto"/>
      </w:divBdr>
    </w:div>
    <w:div w:id="703138542">
      <w:bodyDiv w:val="1"/>
      <w:marLeft w:val="0"/>
      <w:marRight w:val="0"/>
      <w:marTop w:val="0"/>
      <w:marBottom w:val="0"/>
      <w:divBdr>
        <w:top w:val="none" w:sz="0" w:space="0" w:color="auto"/>
        <w:left w:val="none" w:sz="0" w:space="0" w:color="auto"/>
        <w:bottom w:val="none" w:sz="0" w:space="0" w:color="auto"/>
        <w:right w:val="none" w:sz="0" w:space="0" w:color="auto"/>
      </w:divBdr>
    </w:div>
    <w:div w:id="703792273">
      <w:bodyDiv w:val="1"/>
      <w:marLeft w:val="0"/>
      <w:marRight w:val="0"/>
      <w:marTop w:val="0"/>
      <w:marBottom w:val="0"/>
      <w:divBdr>
        <w:top w:val="none" w:sz="0" w:space="0" w:color="auto"/>
        <w:left w:val="none" w:sz="0" w:space="0" w:color="auto"/>
        <w:bottom w:val="none" w:sz="0" w:space="0" w:color="auto"/>
        <w:right w:val="none" w:sz="0" w:space="0" w:color="auto"/>
      </w:divBdr>
    </w:div>
    <w:div w:id="704015349">
      <w:bodyDiv w:val="1"/>
      <w:marLeft w:val="0"/>
      <w:marRight w:val="0"/>
      <w:marTop w:val="0"/>
      <w:marBottom w:val="0"/>
      <w:divBdr>
        <w:top w:val="none" w:sz="0" w:space="0" w:color="auto"/>
        <w:left w:val="none" w:sz="0" w:space="0" w:color="auto"/>
        <w:bottom w:val="none" w:sz="0" w:space="0" w:color="auto"/>
        <w:right w:val="none" w:sz="0" w:space="0" w:color="auto"/>
      </w:divBdr>
    </w:div>
    <w:div w:id="705180156">
      <w:bodyDiv w:val="1"/>
      <w:marLeft w:val="0"/>
      <w:marRight w:val="0"/>
      <w:marTop w:val="0"/>
      <w:marBottom w:val="0"/>
      <w:divBdr>
        <w:top w:val="none" w:sz="0" w:space="0" w:color="auto"/>
        <w:left w:val="none" w:sz="0" w:space="0" w:color="auto"/>
        <w:bottom w:val="none" w:sz="0" w:space="0" w:color="auto"/>
        <w:right w:val="none" w:sz="0" w:space="0" w:color="auto"/>
      </w:divBdr>
    </w:div>
    <w:div w:id="706376996">
      <w:bodyDiv w:val="1"/>
      <w:marLeft w:val="0"/>
      <w:marRight w:val="0"/>
      <w:marTop w:val="0"/>
      <w:marBottom w:val="0"/>
      <w:divBdr>
        <w:top w:val="none" w:sz="0" w:space="0" w:color="auto"/>
        <w:left w:val="none" w:sz="0" w:space="0" w:color="auto"/>
        <w:bottom w:val="none" w:sz="0" w:space="0" w:color="auto"/>
        <w:right w:val="none" w:sz="0" w:space="0" w:color="auto"/>
      </w:divBdr>
    </w:div>
    <w:div w:id="712734108">
      <w:bodyDiv w:val="1"/>
      <w:marLeft w:val="0"/>
      <w:marRight w:val="0"/>
      <w:marTop w:val="0"/>
      <w:marBottom w:val="0"/>
      <w:divBdr>
        <w:top w:val="none" w:sz="0" w:space="0" w:color="auto"/>
        <w:left w:val="none" w:sz="0" w:space="0" w:color="auto"/>
        <w:bottom w:val="none" w:sz="0" w:space="0" w:color="auto"/>
        <w:right w:val="none" w:sz="0" w:space="0" w:color="auto"/>
      </w:divBdr>
    </w:div>
    <w:div w:id="712971431">
      <w:bodyDiv w:val="1"/>
      <w:marLeft w:val="0"/>
      <w:marRight w:val="0"/>
      <w:marTop w:val="0"/>
      <w:marBottom w:val="0"/>
      <w:divBdr>
        <w:top w:val="none" w:sz="0" w:space="0" w:color="auto"/>
        <w:left w:val="none" w:sz="0" w:space="0" w:color="auto"/>
        <w:bottom w:val="none" w:sz="0" w:space="0" w:color="auto"/>
        <w:right w:val="none" w:sz="0" w:space="0" w:color="auto"/>
      </w:divBdr>
    </w:div>
    <w:div w:id="714157270">
      <w:bodyDiv w:val="1"/>
      <w:marLeft w:val="0"/>
      <w:marRight w:val="0"/>
      <w:marTop w:val="0"/>
      <w:marBottom w:val="0"/>
      <w:divBdr>
        <w:top w:val="none" w:sz="0" w:space="0" w:color="auto"/>
        <w:left w:val="none" w:sz="0" w:space="0" w:color="auto"/>
        <w:bottom w:val="none" w:sz="0" w:space="0" w:color="auto"/>
        <w:right w:val="none" w:sz="0" w:space="0" w:color="auto"/>
      </w:divBdr>
    </w:div>
    <w:div w:id="715349014">
      <w:bodyDiv w:val="1"/>
      <w:marLeft w:val="0"/>
      <w:marRight w:val="0"/>
      <w:marTop w:val="0"/>
      <w:marBottom w:val="0"/>
      <w:divBdr>
        <w:top w:val="none" w:sz="0" w:space="0" w:color="auto"/>
        <w:left w:val="none" w:sz="0" w:space="0" w:color="auto"/>
        <w:bottom w:val="none" w:sz="0" w:space="0" w:color="auto"/>
        <w:right w:val="none" w:sz="0" w:space="0" w:color="auto"/>
      </w:divBdr>
    </w:div>
    <w:div w:id="718435042">
      <w:bodyDiv w:val="1"/>
      <w:marLeft w:val="0"/>
      <w:marRight w:val="0"/>
      <w:marTop w:val="0"/>
      <w:marBottom w:val="0"/>
      <w:divBdr>
        <w:top w:val="none" w:sz="0" w:space="0" w:color="auto"/>
        <w:left w:val="none" w:sz="0" w:space="0" w:color="auto"/>
        <w:bottom w:val="none" w:sz="0" w:space="0" w:color="auto"/>
        <w:right w:val="none" w:sz="0" w:space="0" w:color="auto"/>
      </w:divBdr>
    </w:div>
    <w:div w:id="719474832">
      <w:bodyDiv w:val="1"/>
      <w:marLeft w:val="0"/>
      <w:marRight w:val="0"/>
      <w:marTop w:val="0"/>
      <w:marBottom w:val="0"/>
      <w:divBdr>
        <w:top w:val="none" w:sz="0" w:space="0" w:color="auto"/>
        <w:left w:val="none" w:sz="0" w:space="0" w:color="auto"/>
        <w:bottom w:val="none" w:sz="0" w:space="0" w:color="auto"/>
        <w:right w:val="none" w:sz="0" w:space="0" w:color="auto"/>
      </w:divBdr>
    </w:div>
    <w:div w:id="719670145">
      <w:bodyDiv w:val="1"/>
      <w:marLeft w:val="0"/>
      <w:marRight w:val="0"/>
      <w:marTop w:val="0"/>
      <w:marBottom w:val="0"/>
      <w:divBdr>
        <w:top w:val="none" w:sz="0" w:space="0" w:color="auto"/>
        <w:left w:val="none" w:sz="0" w:space="0" w:color="auto"/>
        <w:bottom w:val="none" w:sz="0" w:space="0" w:color="auto"/>
        <w:right w:val="none" w:sz="0" w:space="0" w:color="auto"/>
      </w:divBdr>
    </w:div>
    <w:div w:id="727264894">
      <w:bodyDiv w:val="1"/>
      <w:marLeft w:val="0"/>
      <w:marRight w:val="0"/>
      <w:marTop w:val="0"/>
      <w:marBottom w:val="0"/>
      <w:divBdr>
        <w:top w:val="none" w:sz="0" w:space="0" w:color="auto"/>
        <w:left w:val="none" w:sz="0" w:space="0" w:color="auto"/>
        <w:bottom w:val="none" w:sz="0" w:space="0" w:color="auto"/>
        <w:right w:val="none" w:sz="0" w:space="0" w:color="auto"/>
      </w:divBdr>
    </w:div>
    <w:div w:id="729884744">
      <w:bodyDiv w:val="1"/>
      <w:marLeft w:val="0"/>
      <w:marRight w:val="0"/>
      <w:marTop w:val="0"/>
      <w:marBottom w:val="0"/>
      <w:divBdr>
        <w:top w:val="none" w:sz="0" w:space="0" w:color="auto"/>
        <w:left w:val="none" w:sz="0" w:space="0" w:color="auto"/>
        <w:bottom w:val="none" w:sz="0" w:space="0" w:color="auto"/>
        <w:right w:val="none" w:sz="0" w:space="0" w:color="auto"/>
      </w:divBdr>
    </w:div>
    <w:div w:id="733236033">
      <w:bodyDiv w:val="1"/>
      <w:marLeft w:val="0"/>
      <w:marRight w:val="0"/>
      <w:marTop w:val="0"/>
      <w:marBottom w:val="0"/>
      <w:divBdr>
        <w:top w:val="none" w:sz="0" w:space="0" w:color="auto"/>
        <w:left w:val="none" w:sz="0" w:space="0" w:color="auto"/>
        <w:bottom w:val="none" w:sz="0" w:space="0" w:color="auto"/>
        <w:right w:val="none" w:sz="0" w:space="0" w:color="auto"/>
      </w:divBdr>
    </w:div>
    <w:div w:id="735011980">
      <w:bodyDiv w:val="1"/>
      <w:marLeft w:val="0"/>
      <w:marRight w:val="0"/>
      <w:marTop w:val="0"/>
      <w:marBottom w:val="0"/>
      <w:divBdr>
        <w:top w:val="none" w:sz="0" w:space="0" w:color="auto"/>
        <w:left w:val="none" w:sz="0" w:space="0" w:color="auto"/>
        <w:bottom w:val="none" w:sz="0" w:space="0" w:color="auto"/>
        <w:right w:val="none" w:sz="0" w:space="0" w:color="auto"/>
      </w:divBdr>
    </w:div>
    <w:div w:id="736853900">
      <w:bodyDiv w:val="1"/>
      <w:marLeft w:val="0"/>
      <w:marRight w:val="0"/>
      <w:marTop w:val="0"/>
      <w:marBottom w:val="0"/>
      <w:divBdr>
        <w:top w:val="none" w:sz="0" w:space="0" w:color="auto"/>
        <w:left w:val="none" w:sz="0" w:space="0" w:color="auto"/>
        <w:bottom w:val="none" w:sz="0" w:space="0" w:color="auto"/>
        <w:right w:val="none" w:sz="0" w:space="0" w:color="auto"/>
      </w:divBdr>
    </w:div>
    <w:div w:id="736904580">
      <w:bodyDiv w:val="1"/>
      <w:marLeft w:val="0"/>
      <w:marRight w:val="0"/>
      <w:marTop w:val="0"/>
      <w:marBottom w:val="0"/>
      <w:divBdr>
        <w:top w:val="none" w:sz="0" w:space="0" w:color="auto"/>
        <w:left w:val="none" w:sz="0" w:space="0" w:color="auto"/>
        <w:bottom w:val="none" w:sz="0" w:space="0" w:color="auto"/>
        <w:right w:val="none" w:sz="0" w:space="0" w:color="auto"/>
      </w:divBdr>
    </w:div>
    <w:div w:id="742719663">
      <w:bodyDiv w:val="1"/>
      <w:marLeft w:val="0"/>
      <w:marRight w:val="0"/>
      <w:marTop w:val="0"/>
      <w:marBottom w:val="0"/>
      <w:divBdr>
        <w:top w:val="none" w:sz="0" w:space="0" w:color="auto"/>
        <w:left w:val="none" w:sz="0" w:space="0" w:color="auto"/>
        <w:bottom w:val="none" w:sz="0" w:space="0" w:color="auto"/>
        <w:right w:val="none" w:sz="0" w:space="0" w:color="auto"/>
      </w:divBdr>
    </w:div>
    <w:div w:id="745146085">
      <w:bodyDiv w:val="1"/>
      <w:marLeft w:val="0"/>
      <w:marRight w:val="0"/>
      <w:marTop w:val="0"/>
      <w:marBottom w:val="0"/>
      <w:divBdr>
        <w:top w:val="none" w:sz="0" w:space="0" w:color="auto"/>
        <w:left w:val="none" w:sz="0" w:space="0" w:color="auto"/>
        <w:bottom w:val="none" w:sz="0" w:space="0" w:color="auto"/>
        <w:right w:val="none" w:sz="0" w:space="0" w:color="auto"/>
      </w:divBdr>
    </w:div>
    <w:div w:id="749890438">
      <w:bodyDiv w:val="1"/>
      <w:marLeft w:val="0"/>
      <w:marRight w:val="0"/>
      <w:marTop w:val="0"/>
      <w:marBottom w:val="0"/>
      <w:divBdr>
        <w:top w:val="none" w:sz="0" w:space="0" w:color="auto"/>
        <w:left w:val="none" w:sz="0" w:space="0" w:color="auto"/>
        <w:bottom w:val="none" w:sz="0" w:space="0" w:color="auto"/>
        <w:right w:val="none" w:sz="0" w:space="0" w:color="auto"/>
      </w:divBdr>
    </w:div>
    <w:div w:id="752359773">
      <w:bodyDiv w:val="1"/>
      <w:marLeft w:val="0"/>
      <w:marRight w:val="0"/>
      <w:marTop w:val="0"/>
      <w:marBottom w:val="0"/>
      <w:divBdr>
        <w:top w:val="none" w:sz="0" w:space="0" w:color="auto"/>
        <w:left w:val="none" w:sz="0" w:space="0" w:color="auto"/>
        <w:bottom w:val="none" w:sz="0" w:space="0" w:color="auto"/>
        <w:right w:val="none" w:sz="0" w:space="0" w:color="auto"/>
      </w:divBdr>
    </w:div>
    <w:div w:id="757406164">
      <w:bodyDiv w:val="1"/>
      <w:marLeft w:val="0"/>
      <w:marRight w:val="0"/>
      <w:marTop w:val="0"/>
      <w:marBottom w:val="0"/>
      <w:divBdr>
        <w:top w:val="none" w:sz="0" w:space="0" w:color="auto"/>
        <w:left w:val="none" w:sz="0" w:space="0" w:color="auto"/>
        <w:bottom w:val="none" w:sz="0" w:space="0" w:color="auto"/>
        <w:right w:val="none" w:sz="0" w:space="0" w:color="auto"/>
      </w:divBdr>
    </w:div>
    <w:div w:id="758211079">
      <w:bodyDiv w:val="1"/>
      <w:marLeft w:val="0"/>
      <w:marRight w:val="0"/>
      <w:marTop w:val="0"/>
      <w:marBottom w:val="0"/>
      <w:divBdr>
        <w:top w:val="none" w:sz="0" w:space="0" w:color="auto"/>
        <w:left w:val="none" w:sz="0" w:space="0" w:color="auto"/>
        <w:bottom w:val="none" w:sz="0" w:space="0" w:color="auto"/>
        <w:right w:val="none" w:sz="0" w:space="0" w:color="auto"/>
      </w:divBdr>
    </w:div>
    <w:div w:id="759060519">
      <w:bodyDiv w:val="1"/>
      <w:marLeft w:val="0"/>
      <w:marRight w:val="0"/>
      <w:marTop w:val="0"/>
      <w:marBottom w:val="0"/>
      <w:divBdr>
        <w:top w:val="none" w:sz="0" w:space="0" w:color="auto"/>
        <w:left w:val="none" w:sz="0" w:space="0" w:color="auto"/>
        <w:bottom w:val="none" w:sz="0" w:space="0" w:color="auto"/>
        <w:right w:val="none" w:sz="0" w:space="0" w:color="auto"/>
      </w:divBdr>
    </w:div>
    <w:div w:id="759370751">
      <w:bodyDiv w:val="1"/>
      <w:marLeft w:val="0"/>
      <w:marRight w:val="0"/>
      <w:marTop w:val="0"/>
      <w:marBottom w:val="0"/>
      <w:divBdr>
        <w:top w:val="none" w:sz="0" w:space="0" w:color="auto"/>
        <w:left w:val="none" w:sz="0" w:space="0" w:color="auto"/>
        <w:bottom w:val="none" w:sz="0" w:space="0" w:color="auto"/>
        <w:right w:val="none" w:sz="0" w:space="0" w:color="auto"/>
      </w:divBdr>
    </w:div>
    <w:div w:id="761030376">
      <w:bodyDiv w:val="1"/>
      <w:marLeft w:val="0"/>
      <w:marRight w:val="0"/>
      <w:marTop w:val="0"/>
      <w:marBottom w:val="0"/>
      <w:divBdr>
        <w:top w:val="none" w:sz="0" w:space="0" w:color="auto"/>
        <w:left w:val="none" w:sz="0" w:space="0" w:color="auto"/>
        <w:bottom w:val="none" w:sz="0" w:space="0" w:color="auto"/>
        <w:right w:val="none" w:sz="0" w:space="0" w:color="auto"/>
      </w:divBdr>
    </w:div>
    <w:div w:id="761224311">
      <w:bodyDiv w:val="1"/>
      <w:marLeft w:val="0"/>
      <w:marRight w:val="0"/>
      <w:marTop w:val="0"/>
      <w:marBottom w:val="0"/>
      <w:divBdr>
        <w:top w:val="none" w:sz="0" w:space="0" w:color="auto"/>
        <w:left w:val="none" w:sz="0" w:space="0" w:color="auto"/>
        <w:bottom w:val="none" w:sz="0" w:space="0" w:color="auto"/>
        <w:right w:val="none" w:sz="0" w:space="0" w:color="auto"/>
      </w:divBdr>
    </w:div>
    <w:div w:id="762074834">
      <w:bodyDiv w:val="1"/>
      <w:marLeft w:val="0"/>
      <w:marRight w:val="0"/>
      <w:marTop w:val="0"/>
      <w:marBottom w:val="0"/>
      <w:divBdr>
        <w:top w:val="none" w:sz="0" w:space="0" w:color="auto"/>
        <w:left w:val="none" w:sz="0" w:space="0" w:color="auto"/>
        <w:bottom w:val="none" w:sz="0" w:space="0" w:color="auto"/>
        <w:right w:val="none" w:sz="0" w:space="0" w:color="auto"/>
      </w:divBdr>
    </w:div>
    <w:div w:id="762265446">
      <w:bodyDiv w:val="1"/>
      <w:marLeft w:val="0"/>
      <w:marRight w:val="0"/>
      <w:marTop w:val="0"/>
      <w:marBottom w:val="0"/>
      <w:divBdr>
        <w:top w:val="none" w:sz="0" w:space="0" w:color="auto"/>
        <w:left w:val="none" w:sz="0" w:space="0" w:color="auto"/>
        <w:bottom w:val="none" w:sz="0" w:space="0" w:color="auto"/>
        <w:right w:val="none" w:sz="0" w:space="0" w:color="auto"/>
      </w:divBdr>
    </w:div>
    <w:div w:id="763380879">
      <w:bodyDiv w:val="1"/>
      <w:marLeft w:val="0"/>
      <w:marRight w:val="0"/>
      <w:marTop w:val="0"/>
      <w:marBottom w:val="0"/>
      <w:divBdr>
        <w:top w:val="none" w:sz="0" w:space="0" w:color="auto"/>
        <w:left w:val="none" w:sz="0" w:space="0" w:color="auto"/>
        <w:bottom w:val="none" w:sz="0" w:space="0" w:color="auto"/>
        <w:right w:val="none" w:sz="0" w:space="0" w:color="auto"/>
      </w:divBdr>
    </w:div>
    <w:div w:id="764880920">
      <w:bodyDiv w:val="1"/>
      <w:marLeft w:val="0"/>
      <w:marRight w:val="0"/>
      <w:marTop w:val="0"/>
      <w:marBottom w:val="0"/>
      <w:divBdr>
        <w:top w:val="none" w:sz="0" w:space="0" w:color="auto"/>
        <w:left w:val="none" w:sz="0" w:space="0" w:color="auto"/>
        <w:bottom w:val="none" w:sz="0" w:space="0" w:color="auto"/>
        <w:right w:val="none" w:sz="0" w:space="0" w:color="auto"/>
      </w:divBdr>
    </w:div>
    <w:div w:id="767309946">
      <w:bodyDiv w:val="1"/>
      <w:marLeft w:val="0"/>
      <w:marRight w:val="0"/>
      <w:marTop w:val="0"/>
      <w:marBottom w:val="0"/>
      <w:divBdr>
        <w:top w:val="none" w:sz="0" w:space="0" w:color="auto"/>
        <w:left w:val="none" w:sz="0" w:space="0" w:color="auto"/>
        <w:bottom w:val="none" w:sz="0" w:space="0" w:color="auto"/>
        <w:right w:val="none" w:sz="0" w:space="0" w:color="auto"/>
      </w:divBdr>
    </w:div>
    <w:div w:id="767506039">
      <w:bodyDiv w:val="1"/>
      <w:marLeft w:val="0"/>
      <w:marRight w:val="0"/>
      <w:marTop w:val="0"/>
      <w:marBottom w:val="0"/>
      <w:divBdr>
        <w:top w:val="none" w:sz="0" w:space="0" w:color="auto"/>
        <w:left w:val="none" w:sz="0" w:space="0" w:color="auto"/>
        <w:bottom w:val="none" w:sz="0" w:space="0" w:color="auto"/>
        <w:right w:val="none" w:sz="0" w:space="0" w:color="auto"/>
      </w:divBdr>
    </w:div>
    <w:div w:id="767965577">
      <w:bodyDiv w:val="1"/>
      <w:marLeft w:val="0"/>
      <w:marRight w:val="0"/>
      <w:marTop w:val="0"/>
      <w:marBottom w:val="0"/>
      <w:divBdr>
        <w:top w:val="none" w:sz="0" w:space="0" w:color="auto"/>
        <w:left w:val="none" w:sz="0" w:space="0" w:color="auto"/>
        <w:bottom w:val="none" w:sz="0" w:space="0" w:color="auto"/>
        <w:right w:val="none" w:sz="0" w:space="0" w:color="auto"/>
      </w:divBdr>
    </w:div>
    <w:div w:id="768161182">
      <w:bodyDiv w:val="1"/>
      <w:marLeft w:val="0"/>
      <w:marRight w:val="0"/>
      <w:marTop w:val="0"/>
      <w:marBottom w:val="0"/>
      <w:divBdr>
        <w:top w:val="none" w:sz="0" w:space="0" w:color="auto"/>
        <w:left w:val="none" w:sz="0" w:space="0" w:color="auto"/>
        <w:bottom w:val="none" w:sz="0" w:space="0" w:color="auto"/>
        <w:right w:val="none" w:sz="0" w:space="0" w:color="auto"/>
      </w:divBdr>
    </w:div>
    <w:div w:id="770392124">
      <w:bodyDiv w:val="1"/>
      <w:marLeft w:val="0"/>
      <w:marRight w:val="0"/>
      <w:marTop w:val="0"/>
      <w:marBottom w:val="0"/>
      <w:divBdr>
        <w:top w:val="none" w:sz="0" w:space="0" w:color="auto"/>
        <w:left w:val="none" w:sz="0" w:space="0" w:color="auto"/>
        <w:bottom w:val="none" w:sz="0" w:space="0" w:color="auto"/>
        <w:right w:val="none" w:sz="0" w:space="0" w:color="auto"/>
      </w:divBdr>
    </w:div>
    <w:div w:id="770978749">
      <w:bodyDiv w:val="1"/>
      <w:marLeft w:val="0"/>
      <w:marRight w:val="0"/>
      <w:marTop w:val="0"/>
      <w:marBottom w:val="0"/>
      <w:divBdr>
        <w:top w:val="none" w:sz="0" w:space="0" w:color="auto"/>
        <w:left w:val="none" w:sz="0" w:space="0" w:color="auto"/>
        <w:bottom w:val="none" w:sz="0" w:space="0" w:color="auto"/>
        <w:right w:val="none" w:sz="0" w:space="0" w:color="auto"/>
      </w:divBdr>
    </w:div>
    <w:div w:id="775247047">
      <w:bodyDiv w:val="1"/>
      <w:marLeft w:val="0"/>
      <w:marRight w:val="0"/>
      <w:marTop w:val="0"/>
      <w:marBottom w:val="0"/>
      <w:divBdr>
        <w:top w:val="none" w:sz="0" w:space="0" w:color="auto"/>
        <w:left w:val="none" w:sz="0" w:space="0" w:color="auto"/>
        <w:bottom w:val="none" w:sz="0" w:space="0" w:color="auto"/>
        <w:right w:val="none" w:sz="0" w:space="0" w:color="auto"/>
      </w:divBdr>
    </w:div>
    <w:div w:id="776219765">
      <w:bodyDiv w:val="1"/>
      <w:marLeft w:val="0"/>
      <w:marRight w:val="0"/>
      <w:marTop w:val="0"/>
      <w:marBottom w:val="0"/>
      <w:divBdr>
        <w:top w:val="none" w:sz="0" w:space="0" w:color="auto"/>
        <w:left w:val="none" w:sz="0" w:space="0" w:color="auto"/>
        <w:bottom w:val="none" w:sz="0" w:space="0" w:color="auto"/>
        <w:right w:val="none" w:sz="0" w:space="0" w:color="auto"/>
      </w:divBdr>
    </w:div>
    <w:div w:id="778111385">
      <w:bodyDiv w:val="1"/>
      <w:marLeft w:val="0"/>
      <w:marRight w:val="0"/>
      <w:marTop w:val="0"/>
      <w:marBottom w:val="0"/>
      <w:divBdr>
        <w:top w:val="none" w:sz="0" w:space="0" w:color="auto"/>
        <w:left w:val="none" w:sz="0" w:space="0" w:color="auto"/>
        <w:bottom w:val="none" w:sz="0" w:space="0" w:color="auto"/>
        <w:right w:val="none" w:sz="0" w:space="0" w:color="auto"/>
      </w:divBdr>
    </w:div>
    <w:div w:id="779882223">
      <w:bodyDiv w:val="1"/>
      <w:marLeft w:val="0"/>
      <w:marRight w:val="0"/>
      <w:marTop w:val="0"/>
      <w:marBottom w:val="0"/>
      <w:divBdr>
        <w:top w:val="none" w:sz="0" w:space="0" w:color="auto"/>
        <w:left w:val="none" w:sz="0" w:space="0" w:color="auto"/>
        <w:bottom w:val="none" w:sz="0" w:space="0" w:color="auto"/>
        <w:right w:val="none" w:sz="0" w:space="0" w:color="auto"/>
      </w:divBdr>
    </w:div>
    <w:div w:id="781727654">
      <w:bodyDiv w:val="1"/>
      <w:marLeft w:val="0"/>
      <w:marRight w:val="0"/>
      <w:marTop w:val="0"/>
      <w:marBottom w:val="0"/>
      <w:divBdr>
        <w:top w:val="none" w:sz="0" w:space="0" w:color="auto"/>
        <w:left w:val="none" w:sz="0" w:space="0" w:color="auto"/>
        <w:bottom w:val="none" w:sz="0" w:space="0" w:color="auto"/>
        <w:right w:val="none" w:sz="0" w:space="0" w:color="auto"/>
      </w:divBdr>
    </w:div>
    <w:div w:id="781803133">
      <w:bodyDiv w:val="1"/>
      <w:marLeft w:val="0"/>
      <w:marRight w:val="0"/>
      <w:marTop w:val="0"/>
      <w:marBottom w:val="0"/>
      <w:divBdr>
        <w:top w:val="none" w:sz="0" w:space="0" w:color="auto"/>
        <w:left w:val="none" w:sz="0" w:space="0" w:color="auto"/>
        <w:bottom w:val="none" w:sz="0" w:space="0" w:color="auto"/>
        <w:right w:val="none" w:sz="0" w:space="0" w:color="auto"/>
      </w:divBdr>
    </w:div>
    <w:div w:id="782655411">
      <w:bodyDiv w:val="1"/>
      <w:marLeft w:val="0"/>
      <w:marRight w:val="0"/>
      <w:marTop w:val="0"/>
      <w:marBottom w:val="0"/>
      <w:divBdr>
        <w:top w:val="none" w:sz="0" w:space="0" w:color="auto"/>
        <w:left w:val="none" w:sz="0" w:space="0" w:color="auto"/>
        <w:bottom w:val="none" w:sz="0" w:space="0" w:color="auto"/>
        <w:right w:val="none" w:sz="0" w:space="0" w:color="auto"/>
      </w:divBdr>
    </w:div>
    <w:div w:id="783035009">
      <w:bodyDiv w:val="1"/>
      <w:marLeft w:val="0"/>
      <w:marRight w:val="0"/>
      <w:marTop w:val="0"/>
      <w:marBottom w:val="0"/>
      <w:divBdr>
        <w:top w:val="none" w:sz="0" w:space="0" w:color="auto"/>
        <w:left w:val="none" w:sz="0" w:space="0" w:color="auto"/>
        <w:bottom w:val="none" w:sz="0" w:space="0" w:color="auto"/>
        <w:right w:val="none" w:sz="0" w:space="0" w:color="auto"/>
      </w:divBdr>
    </w:div>
    <w:div w:id="783156173">
      <w:bodyDiv w:val="1"/>
      <w:marLeft w:val="0"/>
      <w:marRight w:val="0"/>
      <w:marTop w:val="0"/>
      <w:marBottom w:val="0"/>
      <w:divBdr>
        <w:top w:val="none" w:sz="0" w:space="0" w:color="auto"/>
        <w:left w:val="none" w:sz="0" w:space="0" w:color="auto"/>
        <w:bottom w:val="none" w:sz="0" w:space="0" w:color="auto"/>
        <w:right w:val="none" w:sz="0" w:space="0" w:color="auto"/>
      </w:divBdr>
    </w:div>
    <w:div w:id="783303525">
      <w:bodyDiv w:val="1"/>
      <w:marLeft w:val="0"/>
      <w:marRight w:val="0"/>
      <w:marTop w:val="0"/>
      <w:marBottom w:val="0"/>
      <w:divBdr>
        <w:top w:val="none" w:sz="0" w:space="0" w:color="auto"/>
        <w:left w:val="none" w:sz="0" w:space="0" w:color="auto"/>
        <w:bottom w:val="none" w:sz="0" w:space="0" w:color="auto"/>
        <w:right w:val="none" w:sz="0" w:space="0" w:color="auto"/>
      </w:divBdr>
    </w:div>
    <w:div w:id="783498867">
      <w:bodyDiv w:val="1"/>
      <w:marLeft w:val="0"/>
      <w:marRight w:val="0"/>
      <w:marTop w:val="0"/>
      <w:marBottom w:val="0"/>
      <w:divBdr>
        <w:top w:val="none" w:sz="0" w:space="0" w:color="auto"/>
        <w:left w:val="none" w:sz="0" w:space="0" w:color="auto"/>
        <w:bottom w:val="none" w:sz="0" w:space="0" w:color="auto"/>
        <w:right w:val="none" w:sz="0" w:space="0" w:color="auto"/>
      </w:divBdr>
    </w:div>
    <w:div w:id="784038888">
      <w:bodyDiv w:val="1"/>
      <w:marLeft w:val="0"/>
      <w:marRight w:val="0"/>
      <w:marTop w:val="0"/>
      <w:marBottom w:val="0"/>
      <w:divBdr>
        <w:top w:val="none" w:sz="0" w:space="0" w:color="auto"/>
        <w:left w:val="none" w:sz="0" w:space="0" w:color="auto"/>
        <w:bottom w:val="none" w:sz="0" w:space="0" w:color="auto"/>
        <w:right w:val="none" w:sz="0" w:space="0" w:color="auto"/>
      </w:divBdr>
    </w:div>
    <w:div w:id="786388378">
      <w:bodyDiv w:val="1"/>
      <w:marLeft w:val="0"/>
      <w:marRight w:val="0"/>
      <w:marTop w:val="0"/>
      <w:marBottom w:val="0"/>
      <w:divBdr>
        <w:top w:val="none" w:sz="0" w:space="0" w:color="auto"/>
        <w:left w:val="none" w:sz="0" w:space="0" w:color="auto"/>
        <w:bottom w:val="none" w:sz="0" w:space="0" w:color="auto"/>
        <w:right w:val="none" w:sz="0" w:space="0" w:color="auto"/>
      </w:divBdr>
    </w:div>
    <w:div w:id="787160645">
      <w:bodyDiv w:val="1"/>
      <w:marLeft w:val="0"/>
      <w:marRight w:val="0"/>
      <w:marTop w:val="0"/>
      <w:marBottom w:val="0"/>
      <w:divBdr>
        <w:top w:val="none" w:sz="0" w:space="0" w:color="auto"/>
        <w:left w:val="none" w:sz="0" w:space="0" w:color="auto"/>
        <w:bottom w:val="none" w:sz="0" w:space="0" w:color="auto"/>
        <w:right w:val="none" w:sz="0" w:space="0" w:color="auto"/>
      </w:divBdr>
    </w:div>
    <w:div w:id="787967424">
      <w:bodyDiv w:val="1"/>
      <w:marLeft w:val="0"/>
      <w:marRight w:val="0"/>
      <w:marTop w:val="0"/>
      <w:marBottom w:val="0"/>
      <w:divBdr>
        <w:top w:val="none" w:sz="0" w:space="0" w:color="auto"/>
        <w:left w:val="none" w:sz="0" w:space="0" w:color="auto"/>
        <w:bottom w:val="none" w:sz="0" w:space="0" w:color="auto"/>
        <w:right w:val="none" w:sz="0" w:space="0" w:color="auto"/>
      </w:divBdr>
    </w:div>
    <w:div w:id="789976029">
      <w:bodyDiv w:val="1"/>
      <w:marLeft w:val="0"/>
      <w:marRight w:val="0"/>
      <w:marTop w:val="0"/>
      <w:marBottom w:val="0"/>
      <w:divBdr>
        <w:top w:val="none" w:sz="0" w:space="0" w:color="auto"/>
        <w:left w:val="none" w:sz="0" w:space="0" w:color="auto"/>
        <w:bottom w:val="none" w:sz="0" w:space="0" w:color="auto"/>
        <w:right w:val="none" w:sz="0" w:space="0" w:color="auto"/>
      </w:divBdr>
    </w:div>
    <w:div w:id="790437013">
      <w:bodyDiv w:val="1"/>
      <w:marLeft w:val="0"/>
      <w:marRight w:val="0"/>
      <w:marTop w:val="0"/>
      <w:marBottom w:val="0"/>
      <w:divBdr>
        <w:top w:val="none" w:sz="0" w:space="0" w:color="auto"/>
        <w:left w:val="none" w:sz="0" w:space="0" w:color="auto"/>
        <w:bottom w:val="none" w:sz="0" w:space="0" w:color="auto"/>
        <w:right w:val="none" w:sz="0" w:space="0" w:color="auto"/>
      </w:divBdr>
    </w:div>
    <w:div w:id="790824248">
      <w:bodyDiv w:val="1"/>
      <w:marLeft w:val="0"/>
      <w:marRight w:val="0"/>
      <w:marTop w:val="0"/>
      <w:marBottom w:val="0"/>
      <w:divBdr>
        <w:top w:val="none" w:sz="0" w:space="0" w:color="auto"/>
        <w:left w:val="none" w:sz="0" w:space="0" w:color="auto"/>
        <w:bottom w:val="none" w:sz="0" w:space="0" w:color="auto"/>
        <w:right w:val="none" w:sz="0" w:space="0" w:color="auto"/>
      </w:divBdr>
    </w:div>
    <w:div w:id="791167297">
      <w:bodyDiv w:val="1"/>
      <w:marLeft w:val="0"/>
      <w:marRight w:val="0"/>
      <w:marTop w:val="0"/>
      <w:marBottom w:val="0"/>
      <w:divBdr>
        <w:top w:val="none" w:sz="0" w:space="0" w:color="auto"/>
        <w:left w:val="none" w:sz="0" w:space="0" w:color="auto"/>
        <w:bottom w:val="none" w:sz="0" w:space="0" w:color="auto"/>
        <w:right w:val="none" w:sz="0" w:space="0" w:color="auto"/>
      </w:divBdr>
    </w:div>
    <w:div w:id="791898871">
      <w:bodyDiv w:val="1"/>
      <w:marLeft w:val="0"/>
      <w:marRight w:val="0"/>
      <w:marTop w:val="0"/>
      <w:marBottom w:val="0"/>
      <w:divBdr>
        <w:top w:val="none" w:sz="0" w:space="0" w:color="auto"/>
        <w:left w:val="none" w:sz="0" w:space="0" w:color="auto"/>
        <w:bottom w:val="none" w:sz="0" w:space="0" w:color="auto"/>
        <w:right w:val="none" w:sz="0" w:space="0" w:color="auto"/>
      </w:divBdr>
    </w:div>
    <w:div w:id="792359252">
      <w:bodyDiv w:val="1"/>
      <w:marLeft w:val="0"/>
      <w:marRight w:val="0"/>
      <w:marTop w:val="0"/>
      <w:marBottom w:val="0"/>
      <w:divBdr>
        <w:top w:val="none" w:sz="0" w:space="0" w:color="auto"/>
        <w:left w:val="none" w:sz="0" w:space="0" w:color="auto"/>
        <w:bottom w:val="none" w:sz="0" w:space="0" w:color="auto"/>
        <w:right w:val="none" w:sz="0" w:space="0" w:color="auto"/>
      </w:divBdr>
    </w:div>
    <w:div w:id="794718183">
      <w:bodyDiv w:val="1"/>
      <w:marLeft w:val="0"/>
      <w:marRight w:val="0"/>
      <w:marTop w:val="0"/>
      <w:marBottom w:val="0"/>
      <w:divBdr>
        <w:top w:val="none" w:sz="0" w:space="0" w:color="auto"/>
        <w:left w:val="none" w:sz="0" w:space="0" w:color="auto"/>
        <w:bottom w:val="none" w:sz="0" w:space="0" w:color="auto"/>
        <w:right w:val="none" w:sz="0" w:space="0" w:color="auto"/>
      </w:divBdr>
    </w:div>
    <w:div w:id="794758151">
      <w:bodyDiv w:val="1"/>
      <w:marLeft w:val="0"/>
      <w:marRight w:val="0"/>
      <w:marTop w:val="0"/>
      <w:marBottom w:val="0"/>
      <w:divBdr>
        <w:top w:val="none" w:sz="0" w:space="0" w:color="auto"/>
        <w:left w:val="none" w:sz="0" w:space="0" w:color="auto"/>
        <w:bottom w:val="none" w:sz="0" w:space="0" w:color="auto"/>
        <w:right w:val="none" w:sz="0" w:space="0" w:color="auto"/>
      </w:divBdr>
    </w:div>
    <w:div w:id="795025113">
      <w:bodyDiv w:val="1"/>
      <w:marLeft w:val="0"/>
      <w:marRight w:val="0"/>
      <w:marTop w:val="0"/>
      <w:marBottom w:val="0"/>
      <w:divBdr>
        <w:top w:val="none" w:sz="0" w:space="0" w:color="auto"/>
        <w:left w:val="none" w:sz="0" w:space="0" w:color="auto"/>
        <w:bottom w:val="none" w:sz="0" w:space="0" w:color="auto"/>
        <w:right w:val="none" w:sz="0" w:space="0" w:color="auto"/>
      </w:divBdr>
    </w:div>
    <w:div w:id="796266059">
      <w:bodyDiv w:val="1"/>
      <w:marLeft w:val="0"/>
      <w:marRight w:val="0"/>
      <w:marTop w:val="0"/>
      <w:marBottom w:val="0"/>
      <w:divBdr>
        <w:top w:val="none" w:sz="0" w:space="0" w:color="auto"/>
        <w:left w:val="none" w:sz="0" w:space="0" w:color="auto"/>
        <w:bottom w:val="none" w:sz="0" w:space="0" w:color="auto"/>
        <w:right w:val="none" w:sz="0" w:space="0" w:color="auto"/>
      </w:divBdr>
    </w:div>
    <w:div w:id="798189302">
      <w:bodyDiv w:val="1"/>
      <w:marLeft w:val="0"/>
      <w:marRight w:val="0"/>
      <w:marTop w:val="0"/>
      <w:marBottom w:val="0"/>
      <w:divBdr>
        <w:top w:val="none" w:sz="0" w:space="0" w:color="auto"/>
        <w:left w:val="none" w:sz="0" w:space="0" w:color="auto"/>
        <w:bottom w:val="none" w:sz="0" w:space="0" w:color="auto"/>
        <w:right w:val="none" w:sz="0" w:space="0" w:color="auto"/>
      </w:divBdr>
    </w:div>
    <w:div w:id="798379717">
      <w:bodyDiv w:val="1"/>
      <w:marLeft w:val="0"/>
      <w:marRight w:val="0"/>
      <w:marTop w:val="0"/>
      <w:marBottom w:val="0"/>
      <w:divBdr>
        <w:top w:val="none" w:sz="0" w:space="0" w:color="auto"/>
        <w:left w:val="none" w:sz="0" w:space="0" w:color="auto"/>
        <w:bottom w:val="none" w:sz="0" w:space="0" w:color="auto"/>
        <w:right w:val="none" w:sz="0" w:space="0" w:color="auto"/>
      </w:divBdr>
    </w:div>
    <w:div w:id="800223329">
      <w:bodyDiv w:val="1"/>
      <w:marLeft w:val="0"/>
      <w:marRight w:val="0"/>
      <w:marTop w:val="0"/>
      <w:marBottom w:val="0"/>
      <w:divBdr>
        <w:top w:val="none" w:sz="0" w:space="0" w:color="auto"/>
        <w:left w:val="none" w:sz="0" w:space="0" w:color="auto"/>
        <w:bottom w:val="none" w:sz="0" w:space="0" w:color="auto"/>
        <w:right w:val="none" w:sz="0" w:space="0" w:color="auto"/>
      </w:divBdr>
    </w:div>
    <w:div w:id="801466387">
      <w:bodyDiv w:val="1"/>
      <w:marLeft w:val="0"/>
      <w:marRight w:val="0"/>
      <w:marTop w:val="0"/>
      <w:marBottom w:val="0"/>
      <w:divBdr>
        <w:top w:val="none" w:sz="0" w:space="0" w:color="auto"/>
        <w:left w:val="none" w:sz="0" w:space="0" w:color="auto"/>
        <w:bottom w:val="none" w:sz="0" w:space="0" w:color="auto"/>
        <w:right w:val="none" w:sz="0" w:space="0" w:color="auto"/>
      </w:divBdr>
    </w:div>
    <w:div w:id="804080632">
      <w:bodyDiv w:val="1"/>
      <w:marLeft w:val="0"/>
      <w:marRight w:val="0"/>
      <w:marTop w:val="0"/>
      <w:marBottom w:val="0"/>
      <w:divBdr>
        <w:top w:val="none" w:sz="0" w:space="0" w:color="auto"/>
        <w:left w:val="none" w:sz="0" w:space="0" w:color="auto"/>
        <w:bottom w:val="none" w:sz="0" w:space="0" w:color="auto"/>
        <w:right w:val="none" w:sz="0" w:space="0" w:color="auto"/>
      </w:divBdr>
    </w:div>
    <w:div w:id="804354308">
      <w:bodyDiv w:val="1"/>
      <w:marLeft w:val="0"/>
      <w:marRight w:val="0"/>
      <w:marTop w:val="0"/>
      <w:marBottom w:val="0"/>
      <w:divBdr>
        <w:top w:val="none" w:sz="0" w:space="0" w:color="auto"/>
        <w:left w:val="none" w:sz="0" w:space="0" w:color="auto"/>
        <w:bottom w:val="none" w:sz="0" w:space="0" w:color="auto"/>
        <w:right w:val="none" w:sz="0" w:space="0" w:color="auto"/>
      </w:divBdr>
    </w:div>
    <w:div w:id="805706819">
      <w:bodyDiv w:val="1"/>
      <w:marLeft w:val="0"/>
      <w:marRight w:val="0"/>
      <w:marTop w:val="0"/>
      <w:marBottom w:val="0"/>
      <w:divBdr>
        <w:top w:val="none" w:sz="0" w:space="0" w:color="auto"/>
        <w:left w:val="none" w:sz="0" w:space="0" w:color="auto"/>
        <w:bottom w:val="none" w:sz="0" w:space="0" w:color="auto"/>
        <w:right w:val="none" w:sz="0" w:space="0" w:color="auto"/>
      </w:divBdr>
    </w:div>
    <w:div w:id="806777324">
      <w:bodyDiv w:val="1"/>
      <w:marLeft w:val="0"/>
      <w:marRight w:val="0"/>
      <w:marTop w:val="0"/>
      <w:marBottom w:val="0"/>
      <w:divBdr>
        <w:top w:val="none" w:sz="0" w:space="0" w:color="auto"/>
        <w:left w:val="none" w:sz="0" w:space="0" w:color="auto"/>
        <w:bottom w:val="none" w:sz="0" w:space="0" w:color="auto"/>
        <w:right w:val="none" w:sz="0" w:space="0" w:color="auto"/>
      </w:divBdr>
    </w:div>
    <w:div w:id="809707146">
      <w:bodyDiv w:val="1"/>
      <w:marLeft w:val="0"/>
      <w:marRight w:val="0"/>
      <w:marTop w:val="0"/>
      <w:marBottom w:val="0"/>
      <w:divBdr>
        <w:top w:val="none" w:sz="0" w:space="0" w:color="auto"/>
        <w:left w:val="none" w:sz="0" w:space="0" w:color="auto"/>
        <w:bottom w:val="none" w:sz="0" w:space="0" w:color="auto"/>
        <w:right w:val="none" w:sz="0" w:space="0" w:color="auto"/>
      </w:divBdr>
    </w:div>
    <w:div w:id="809901527">
      <w:bodyDiv w:val="1"/>
      <w:marLeft w:val="0"/>
      <w:marRight w:val="0"/>
      <w:marTop w:val="0"/>
      <w:marBottom w:val="0"/>
      <w:divBdr>
        <w:top w:val="none" w:sz="0" w:space="0" w:color="auto"/>
        <w:left w:val="none" w:sz="0" w:space="0" w:color="auto"/>
        <w:bottom w:val="none" w:sz="0" w:space="0" w:color="auto"/>
        <w:right w:val="none" w:sz="0" w:space="0" w:color="auto"/>
      </w:divBdr>
    </w:div>
    <w:div w:id="810365023">
      <w:bodyDiv w:val="1"/>
      <w:marLeft w:val="0"/>
      <w:marRight w:val="0"/>
      <w:marTop w:val="0"/>
      <w:marBottom w:val="0"/>
      <w:divBdr>
        <w:top w:val="none" w:sz="0" w:space="0" w:color="auto"/>
        <w:left w:val="none" w:sz="0" w:space="0" w:color="auto"/>
        <w:bottom w:val="none" w:sz="0" w:space="0" w:color="auto"/>
        <w:right w:val="none" w:sz="0" w:space="0" w:color="auto"/>
      </w:divBdr>
    </w:div>
    <w:div w:id="811020433">
      <w:bodyDiv w:val="1"/>
      <w:marLeft w:val="0"/>
      <w:marRight w:val="0"/>
      <w:marTop w:val="0"/>
      <w:marBottom w:val="0"/>
      <w:divBdr>
        <w:top w:val="none" w:sz="0" w:space="0" w:color="auto"/>
        <w:left w:val="none" w:sz="0" w:space="0" w:color="auto"/>
        <w:bottom w:val="none" w:sz="0" w:space="0" w:color="auto"/>
        <w:right w:val="none" w:sz="0" w:space="0" w:color="auto"/>
      </w:divBdr>
    </w:div>
    <w:div w:id="815299101">
      <w:bodyDiv w:val="1"/>
      <w:marLeft w:val="0"/>
      <w:marRight w:val="0"/>
      <w:marTop w:val="0"/>
      <w:marBottom w:val="0"/>
      <w:divBdr>
        <w:top w:val="none" w:sz="0" w:space="0" w:color="auto"/>
        <w:left w:val="none" w:sz="0" w:space="0" w:color="auto"/>
        <w:bottom w:val="none" w:sz="0" w:space="0" w:color="auto"/>
        <w:right w:val="none" w:sz="0" w:space="0" w:color="auto"/>
      </w:divBdr>
    </w:div>
    <w:div w:id="816192404">
      <w:bodyDiv w:val="1"/>
      <w:marLeft w:val="0"/>
      <w:marRight w:val="0"/>
      <w:marTop w:val="0"/>
      <w:marBottom w:val="0"/>
      <w:divBdr>
        <w:top w:val="none" w:sz="0" w:space="0" w:color="auto"/>
        <w:left w:val="none" w:sz="0" w:space="0" w:color="auto"/>
        <w:bottom w:val="none" w:sz="0" w:space="0" w:color="auto"/>
        <w:right w:val="none" w:sz="0" w:space="0" w:color="auto"/>
      </w:divBdr>
    </w:div>
    <w:div w:id="822739358">
      <w:bodyDiv w:val="1"/>
      <w:marLeft w:val="0"/>
      <w:marRight w:val="0"/>
      <w:marTop w:val="0"/>
      <w:marBottom w:val="0"/>
      <w:divBdr>
        <w:top w:val="none" w:sz="0" w:space="0" w:color="auto"/>
        <w:left w:val="none" w:sz="0" w:space="0" w:color="auto"/>
        <w:bottom w:val="none" w:sz="0" w:space="0" w:color="auto"/>
        <w:right w:val="none" w:sz="0" w:space="0" w:color="auto"/>
      </w:divBdr>
    </w:div>
    <w:div w:id="823400796">
      <w:bodyDiv w:val="1"/>
      <w:marLeft w:val="0"/>
      <w:marRight w:val="0"/>
      <w:marTop w:val="0"/>
      <w:marBottom w:val="0"/>
      <w:divBdr>
        <w:top w:val="none" w:sz="0" w:space="0" w:color="auto"/>
        <w:left w:val="none" w:sz="0" w:space="0" w:color="auto"/>
        <w:bottom w:val="none" w:sz="0" w:space="0" w:color="auto"/>
        <w:right w:val="none" w:sz="0" w:space="0" w:color="auto"/>
      </w:divBdr>
    </w:div>
    <w:div w:id="823471894">
      <w:bodyDiv w:val="1"/>
      <w:marLeft w:val="0"/>
      <w:marRight w:val="0"/>
      <w:marTop w:val="0"/>
      <w:marBottom w:val="0"/>
      <w:divBdr>
        <w:top w:val="none" w:sz="0" w:space="0" w:color="auto"/>
        <w:left w:val="none" w:sz="0" w:space="0" w:color="auto"/>
        <w:bottom w:val="none" w:sz="0" w:space="0" w:color="auto"/>
        <w:right w:val="none" w:sz="0" w:space="0" w:color="auto"/>
      </w:divBdr>
    </w:div>
    <w:div w:id="823543625">
      <w:bodyDiv w:val="1"/>
      <w:marLeft w:val="0"/>
      <w:marRight w:val="0"/>
      <w:marTop w:val="0"/>
      <w:marBottom w:val="0"/>
      <w:divBdr>
        <w:top w:val="none" w:sz="0" w:space="0" w:color="auto"/>
        <w:left w:val="none" w:sz="0" w:space="0" w:color="auto"/>
        <w:bottom w:val="none" w:sz="0" w:space="0" w:color="auto"/>
        <w:right w:val="none" w:sz="0" w:space="0" w:color="auto"/>
      </w:divBdr>
    </w:div>
    <w:div w:id="824204657">
      <w:bodyDiv w:val="1"/>
      <w:marLeft w:val="0"/>
      <w:marRight w:val="0"/>
      <w:marTop w:val="0"/>
      <w:marBottom w:val="0"/>
      <w:divBdr>
        <w:top w:val="none" w:sz="0" w:space="0" w:color="auto"/>
        <w:left w:val="none" w:sz="0" w:space="0" w:color="auto"/>
        <w:bottom w:val="none" w:sz="0" w:space="0" w:color="auto"/>
        <w:right w:val="none" w:sz="0" w:space="0" w:color="auto"/>
      </w:divBdr>
    </w:div>
    <w:div w:id="827482158">
      <w:bodyDiv w:val="1"/>
      <w:marLeft w:val="0"/>
      <w:marRight w:val="0"/>
      <w:marTop w:val="0"/>
      <w:marBottom w:val="0"/>
      <w:divBdr>
        <w:top w:val="none" w:sz="0" w:space="0" w:color="auto"/>
        <w:left w:val="none" w:sz="0" w:space="0" w:color="auto"/>
        <w:bottom w:val="none" w:sz="0" w:space="0" w:color="auto"/>
        <w:right w:val="none" w:sz="0" w:space="0" w:color="auto"/>
      </w:divBdr>
    </w:div>
    <w:div w:id="830103343">
      <w:bodyDiv w:val="1"/>
      <w:marLeft w:val="0"/>
      <w:marRight w:val="0"/>
      <w:marTop w:val="0"/>
      <w:marBottom w:val="0"/>
      <w:divBdr>
        <w:top w:val="none" w:sz="0" w:space="0" w:color="auto"/>
        <w:left w:val="none" w:sz="0" w:space="0" w:color="auto"/>
        <w:bottom w:val="none" w:sz="0" w:space="0" w:color="auto"/>
        <w:right w:val="none" w:sz="0" w:space="0" w:color="auto"/>
      </w:divBdr>
    </w:div>
    <w:div w:id="832260766">
      <w:bodyDiv w:val="1"/>
      <w:marLeft w:val="0"/>
      <w:marRight w:val="0"/>
      <w:marTop w:val="0"/>
      <w:marBottom w:val="0"/>
      <w:divBdr>
        <w:top w:val="none" w:sz="0" w:space="0" w:color="auto"/>
        <w:left w:val="none" w:sz="0" w:space="0" w:color="auto"/>
        <w:bottom w:val="none" w:sz="0" w:space="0" w:color="auto"/>
        <w:right w:val="none" w:sz="0" w:space="0" w:color="auto"/>
      </w:divBdr>
    </w:div>
    <w:div w:id="832331922">
      <w:bodyDiv w:val="1"/>
      <w:marLeft w:val="0"/>
      <w:marRight w:val="0"/>
      <w:marTop w:val="0"/>
      <w:marBottom w:val="0"/>
      <w:divBdr>
        <w:top w:val="none" w:sz="0" w:space="0" w:color="auto"/>
        <w:left w:val="none" w:sz="0" w:space="0" w:color="auto"/>
        <w:bottom w:val="none" w:sz="0" w:space="0" w:color="auto"/>
        <w:right w:val="none" w:sz="0" w:space="0" w:color="auto"/>
      </w:divBdr>
    </w:div>
    <w:div w:id="834035133">
      <w:bodyDiv w:val="1"/>
      <w:marLeft w:val="0"/>
      <w:marRight w:val="0"/>
      <w:marTop w:val="0"/>
      <w:marBottom w:val="0"/>
      <w:divBdr>
        <w:top w:val="none" w:sz="0" w:space="0" w:color="auto"/>
        <w:left w:val="none" w:sz="0" w:space="0" w:color="auto"/>
        <w:bottom w:val="none" w:sz="0" w:space="0" w:color="auto"/>
        <w:right w:val="none" w:sz="0" w:space="0" w:color="auto"/>
      </w:divBdr>
    </w:div>
    <w:div w:id="834876819">
      <w:bodyDiv w:val="1"/>
      <w:marLeft w:val="0"/>
      <w:marRight w:val="0"/>
      <w:marTop w:val="0"/>
      <w:marBottom w:val="0"/>
      <w:divBdr>
        <w:top w:val="none" w:sz="0" w:space="0" w:color="auto"/>
        <w:left w:val="none" w:sz="0" w:space="0" w:color="auto"/>
        <w:bottom w:val="none" w:sz="0" w:space="0" w:color="auto"/>
        <w:right w:val="none" w:sz="0" w:space="0" w:color="auto"/>
      </w:divBdr>
    </w:div>
    <w:div w:id="835270736">
      <w:bodyDiv w:val="1"/>
      <w:marLeft w:val="0"/>
      <w:marRight w:val="0"/>
      <w:marTop w:val="0"/>
      <w:marBottom w:val="0"/>
      <w:divBdr>
        <w:top w:val="none" w:sz="0" w:space="0" w:color="auto"/>
        <w:left w:val="none" w:sz="0" w:space="0" w:color="auto"/>
        <w:bottom w:val="none" w:sz="0" w:space="0" w:color="auto"/>
        <w:right w:val="none" w:sz="0" w:space="0" w:color="auto"/>
      </w:divBdr>
    </w:div>
    <w:div w:id="836578573">
      <w:bodyDiv w:val="1"/>
      <w:marLeft w:val="0"/>
      <w:marRight w:val="0"/>
      <w:marTop w:val="0"/>
      <w:marBottom w:val="0"/>
      <w:divBdr>
        <w:top w:val="none" w:sz="0" w:space="0" w:color="auto"/>
        <w:left w:val="none" w:sz="0" w:space="0" w:color="auto"/>
        <w:bottom w:val="none" w:sz="0" w:space="0" w:color="auto"/>
        <w:right w:val="none" w:sz="0" w:space="0" w:color="auto"/>
      </w:divBdr>
    </w:div>
    <w:div w:id="836916763">
      <w:bodyDiv w:val="1"/>
      <w:marLeft w:val="0"/>
      <w:marRight w:val="0"/>
      <w:marTop w:val="0"/>
      <w:marBottom w:val="0"/>
      <w:divBdr>
        <w:top w:val="none" w:sz="0" w:space="0" w:color="auto"/>
        <w:left w:val="none" w:sz="0" w:space="0" w:color="auto"/>
        <w:bottom w:val="none" w:sz="0" w:space="0" w:color="auto"/>
        <w:right w:val="none" w:sz="0" w:space="0" w:color="auto"/>
      </w:divBdr>
    </w:div>
    <w:div w:id="837307775">
      <w:bodyDiv w:val="1"/>
      <w:marLeft w:val="0"/>
      <w:marRight w:val="0"/>
      <w:marTop w:val="0"/>
      <w:marBottom w:val="0"/>
      <w:divBdr>
        <w:top w:val="none" w:sz="0" w:space="0" w:color="auto"/>
        <w:left w:val="none" w:sz="0" w:space="0" w:color="auto"/>
        <w:bottom w:val="none" w:sz="0" w:space="0" w:color="auto"/>
        <w:right w:val="none" w:sz="0" w:space="0" w:color="auto"/>
      </w:divBdr>
    </w:div>
    <w:div w:id="839465770">
      <w:bodyDiv w:val="1"/>
      <w:marLeft w:val="0"/>
      <w:marRight w:val="0"/>
      <w:marTop w:val="0"/>
      <w:marBottom w:val="0"/>
      <w:divBdr>
        <w:top w:val="none" w:sz="0" w:space="0" w:color="auto"/>
        <w:left w:val="none" w:sz="0" w:space="0" w:color="auto"/>
        <w:bottom w:val="none" w:sz="0" w:space="0" w:color="auto"/>
        <w:right w:val="none" w:sz="0" w:space="0" w:color="auto"/>
      </w:divBdr>
    </w:div>
    <w:div w:id="839739149">
      <w:bodyDiv w:val="1"/>
      <w:marLeft w:val="0"/>
      <w:marRight w:val="0"/>
      <w:marTop w:val="0"/>
      <w:marBottom w:val="0"/>
      <w:divBdr>
        <w:top w:val="none" w:sz="0" w:space="0" w:color="auto"/>
        <w:left w:val="none" w:sz="0" w:space="0" w:color="auto"/>
        <w:bottom w:val="none" w:sz="0" w:space="0" w:color="auto"/>
        <w:right w:val="none" w:sz="0" w:space="0" w:color="auto"/>
      </w:divBdr>
    </w:div>
    <w:div w:id="843591224">
      <w:bodyDiv w:val="1"/>
      <w:marLeft w:val="0"/>
      <w:marRight w:val="0"/>
      <w:marTop w:val="0"/>
      <w:marBottom w:val="0"/>
      <w:divBdr>
        <w:top w:val="none" w:sz="0" w:space="0" w:color="auto"/>
        <w:left w:val="none" w:sz="0" w:space="0" w:color="auto"/>
        <w:bottom w:val="none" w:sz="0" w:space="0" w:color="auto"/>
        <w:right w:val="none" w:sz="0" w:space="0" w:color="auto"/>
      </w:divBdr>
    </w:div>
    <w:div w:id="843669514">
      <w:bodyDiv w:val="1"/>
      <w:marLeft w:val="0"/>
      <w:marRight w:val="0"/>
      <w:marTop w:val="0"/>
      <w:marBottom w:val="0"/>
      <w:divBdr>
        <w:top w:val="none" w:sz="0" w:space="0" w:color="auto"/>
        <w:left w:val="none" w:sz="0" w:space="0" w:color="auto"/>
        <w:bottom w:val="none" w:sz="0" w:space="0" w:color="auto"/>
        <w:right w:val="none" w:sz="0" w:space="0" w:color="auto"/>
      </w:divBdr>
    </w:div>
    <w:div w:id="844707350">
      <w:bodyDiv w:val="1"/>
      <w:marLeft w:val="0"/>
      <w:marRight w:val="0"/>
      <w:marTop w:val="0"/>
      <w:marBottom w:val="0"/>
      <w:divBdr>
        <w:top w:val="none" w:sz="0" w:space="0" w:color="auto"/>
        <w:left w:val="none" w:sz="0" w:space="0" w:color="auto"/>
        <w:bottom w:val="none" w:sz="0" w:space="0" w:color="auto"/>
        <w:right w:val="none" w:sz="0" w:space="0" w:color="auto"/>
      </w:divBdr>
    </w:div>
    <w:div w:id="847058985">
      <w:bodyDiv w:val="1"/>
      <w:marLeft w:val="0"/>
      <w:marRight w:val="0"/>
      <w:marTop w:val="0"/>
      <w:marBottom w:val="0"/>
      <w:divBdr>
        <w:top w:val="none" w:sz="0" w:space="0" w:color="auto"/>
        <w:left w:val="none" w:sz="0" w:space="0" w:color="auto"/>
        <w:bottom w:val="none" w:sz="0" w:space="0" w:color="auto"/>
        <w:right w:val="none" w:sz="0" w:space="0" w:color="auto"/>
      </w:divBdr>
    </w:div>
    <w:div w:id="850801116">
      <w:bodyDiv w:val="1"/>
      <w:marLeft w:val="0"/>
      <w:marRight w:val="0"/>
      <w:marTop w:val="0"/>
      <w:marBottom w:val="0"/>
      <w:divBdr>
        <w:top w:val="none" w:sz="0" w:space="0" w:color="auto"/>
        <w:left w:val="none" w:sz="0" w:space="0" w:color="auto"/>
        <w:bottom w:val="none" w:sz="0" w:space="0" w:color="auto"/>
        <w:right w:val="none" w:sz="0" w:space="0" w:color="auto"/>
      </w:divBdr>
    </w:div>
    <w:div w:id="851068049">
      <w:bodyDiv w:val="1"/>
      <w:marLeft w:val="0"/>
      <w:marRight w:val="0"/>
      <w:marTop w:val="0"/>
      <w:marBottom w:val="0"/>
      <w:divBdr>
        <w:top w:val="none" w:sz="0" w:space="0" w:color="auto"/>
        <w:left w:val="none" w:sz="0" w:space="0" w:color="auto"/>
        <w:bottom w:val="none" w:sz="0" w:space="0" w:color="auto"/>
        <w:right w:val="none" w:sz="0" w:space="0" w:color="auto"/>
      </w:divBdr>
    </w:div>
    <w:div w:id="851993780">
      <w:bodyDiv w:val="1"/>
      <w:marLeft w:val="0"/>
      <w:marRight w:val="0"/>
      <w:marTop w:val="0"/>
      <w:marBottom w:val="0"/>
      <w:divBdr>
        <w:top w:val="none" w:sz="0" w:space="0" w:color="auto"/>
        <w:left w:val="none" w:sz="0" w:space="0" w:color="auto"/>
        <w:bottom w:val="none" w:sz="0" w:space="0" w:color="auto"/>
        <w:right w:val="none" w:sz="0" w:space="0" w:color="auto"/>
      </w:divBdr>
    </w:div>
    <w:div w:id="854080971">
      <w:bodyDiv w:val="1"/>
      <w:marLeft w:val="0"/>
      <w:marRight w:val="0"/>
      <w:marTop w:val="0"/>
      <w:marBottom w:val="0"/>
      <w:divBdr>
        <w:top w:val="none" w:sz="0" w:space="0" w:color="auto"/>
        <w:left w:val="none" w:sz="0" w:space="0" w:color="auto"/>
        <w:bottom w:val="none" w:sz="0" w:space="0" w:color="auto"/>
        <w:right w:val="none" w:sz="0" w:space="0" w:color="auto"/>
      </w:divBdr>
    </w:div>
    <w:div w:id="854536763">
      <w:bodyDiv w:val="1"/>
      <w:marLeft w:val="0"/>
      <w:marRight w:val="0"/>
      <w:marTop w:val="0"/>
      <w:marBottom w:val="0"/>
      <w:divBdr>
        <w:top w:val="none" w:sz="0" w:space="0" w:color="auto"/>
        <w:left w:val="none" w:sz="0" w:space="0" w:color="auto"/>
        <w:bottom w:val="none" w:sz="0" w:space="0" w:color="auto"/>
        <w:right w:val="none" w:sz="0" w:space="0" w:color="auto"/>
      </w:divBdr>
    </w:div>
    <w:div w:id="856381682">
      <w:bodyDiv w:val="1"/>
      <w:marLeft w:val="0"/>
      <w:marRight w:val="0"/>
      <w:marTop w:val="0"/>
      <w:marBottom w:val="0"/>
      <w:divBdr>
        <w:top w:val="none" w:sz="0" w:space="0" w:color="auto"/>
        <w:left w:val="none" w:sz="0" w:space="0" w:color="auto"/>
        <w:bottom w:val="none" w:sz="0" w:space="0" w:color="auto"/>
        <w:right w:val="none" w:sz="0" w:space="0" w:color="auto"/>
      </w:divBdr>
    </w:div>
    <w:div w:id="859782449">
      <w:bodyDiv w:val="1"/>
      <w:marLeft w:val="0"/>
      <w:marRight w:val="0"/>
      <w:marTop w:val="0"/>
      <w:marBottom w:val="0"/>
      <w:divBdr>
        <w:top w:val="none" w:sz="0" w:space="0" w:color="auto"/>
        <w:left w:val="none" w:sz="0" w:space="0" w:color="auto"/>
        <w:bottom w:val="none" w:sz="0" w:space="0" w:color="auto"/>
        <w:right w:val="none" w:sz="0" w:space="0" w:color="auto"/>
      </w:divBdr>
    </w:div>
    <w:div w:id="860048860">
      <w:bodyDiv w:val="1"/>
      <w:marLeft w:val="0"/>
      <w:marRight w:val="0"/>
      <w:marTop w:val="0"/>
      <w:marBottom w:val="0"/>
      <w:divBdr>
        <w:top w:val="none" w:sz="0" w:space="0" w:color="auto"/>
        <w:left w:val="none" w:sz="0" w:space="0" w:color="auto"/>
        <w:bottom w:val="none" w:sz="0" w:space="0" w:color="auto"/>
        <w:right w:val="none" w:sz="0" w:space="0" w:color="auto"/>
      </w:divBdr>
    </w:div>
    <w:div w:id="861288223">
      <w:bodyDiv w:val="1"/>
      <w:marLeft w:val="0"/>
      <w:marRight w:val="0"/>
      <w:marTop w:val="0"/>
      <w:marBottom w:val="0"/>
      <w:divBdr>
        <w:top w:val="none" w:sz="0" w:space="0" w:color="auto"/>
        <w:left w:val="none" w:sz="0" w:space="0" w:color="auto"/>
        <w:bottom w:val="none" w:sz="0" w:space="0" w:color="auto"/>
        <w:right w:val="none" w:sz="0" w:space="0" w:color="auto"/>
      </w:divBdr>
    </w:div>
    <w:div w:id="862788581">
      <w:bodyDiv w:val="1"/>
      <w:marLeft w:val="0"/>
      <w:marRight w:val="0"/>
      <w:marTop w:val="0"/>
      <w:marBottom w:val="0"/>
      <w:divBdr>
        <w:top w:val="none" w:sz="0" w:space="0" w:color="auto"/>
        <w:left w:val="none" w:sz="0" w:space="0" w:color="auto"/>
        <w:bottom w:val="none" w:sz="0" w:space="0" w:color="auto"/>
        <w:right w:val="none" w:sz="0" w:space="0" w:color="auto"/>
      </w:divBdr>
    </w:div>
    <w:div w:id="864633292">
      <w:bodyDiv w:val="1"/>
      <w:marLeft w:val="0"/>
      <w:marRight w:val="0"/>
      <w:marTop w:val="0"/>
      <w:marBottom w:val="0"/>
      <w:divBdr>
        <w:top w:val="none" w:sz="0" w:space="0" w:color="auto"/>
        <w:left w:val="none" w:sz="0" w:space="0" w:color="auto"/>
        <w:bottom w:val="none" w:sz="0" w:space="0" w:color="auto"/>
        <w:right w:val="none" w:sz="0" w:space="0" w:color="auto"/>
      </w:divBdr>
    </w:div>
    <w:div w:id="865369855">
      <w:bodyDiv w:val="1"/>
      <w:marLeft w:val="0"/>
      <w:marRight w:val="0"/>
      <w:marTop w:val="0"/>
      <w:marBottom w:val="0"/>
      <w:divBdr>
        <w:top w:val="none" w:sz="0" w:space="0" w:color="auto"/>
        <w:left w:val="none" w:sz="0" w:space="0" w:color="auto"/>
        <w:bottom w:val="none" w:sz="0" w:space="0" w:color="auto"/>
        <w:right w:val="none" w:sz="0" w:space="0" w:color="auto"/>
      </w:divBdr>
    </w:div>
    <w:div w:id="865480543">
      <w:bodyDiv w:val="1"/>
      <w:marLeft w:val="0"/>
      <w:marRight w:val="0"/>
      <w:marTop w:val="0"/>
      <w:marBottom w:val="0"/>
      <w:divBdr>
        <w:top w:val="none" w:sz="0" w:space="0" w:color="auto"/>
        <w:left w:val="none" w:sz="0" w:space="0" w:color="auto"/>
        <w:bottom w:val="none" w:sz="0" w:space="0" w:color="auto"/>
        <w:right w:val="none" w:sz="0" w:space="0" w:color="auto"/>
      </w:divBdr>
    </w:div>
    <w:div w:id="865603549">
      <w:bodyDiv w:val="1"/>
      <w:marLeft w:val="0"/>
      <w:marRight w:val="0"/>
      <w:marTop w:val="0"/>
      <w:marBottom w:val="0"/>
      <w:divBdr>
        <w:top w:val="none" w:sz="0" w:space="0" w:color="auto"/>
        <w:left w:val="none" w:sz="0" w:space="0" w:color="auto"/>
        <w:bottom w:val="none" w:sz="0" w:space="0" w:color="auto"/>
        <w:right w:val="none" w:sz="0" w:space="0" w:color="auto"/>
      </w:divBdr>
    </w:div>
    <w:div w:id="866872950">
      <w:bodyDiv w:val="1"/>
      <w:marLeft w:val="0"/>
      <w:marRight w:val="0"/>
      <w:marTop w:val="0"/>
      <w:marBottom w:val="0"/>
      <w:divBdr>
        <w:top w:val="none" w:sz="0" w:space="0" w:color="auto"/>
        <w:left w:val="none" w:sz="0" w:space="0" w:color="auto"/>
        <w:bottom w:val="none" w:sz="0" w:space="0" w:color="auto"/>
        <w:right w:val="none" w:sz="0" w:space="0" w:color="auto"/>
      </w:divBdr>
    </w:div>
    <w:div w:id="870343907">
      <w:bodyDiv w:val="1"/>
      <w:marLeft w:val="0"/>
      <w:marRight w:val="0"/>
      <w:marTop w:val="0"/>
      <w:marBottom w:val="0"/>
      <w:divBdr>
        <w:top w:val="none" w:sz="0" w:space="0" w:color="auto"/>
        <w:left w:val="none" w:sz="0" w:space="0" w:color="auto"/>
        <w:bottom w:val="none" w:sz="0" w:space="0" w:color="auto"/>
        <w:right w:val="none" w:sz="0" w:space="0" w:color="auto"/>
      </w:divBdr>
    </w:div>
    <w:div w:id="872767632">
      <w:bodyDiv w:val="1"/>
      <w:marLeft w:val="0"/>
      <w:marRight w:val="0"/>
      <w:marTop w:val="0"/>
      <w:marBottom w:val="0"/>
      <w:divBdr>
        <w:top w:val="none" w:sz="0" w:space="0" w:color="auto"/>
        <w:left w:val="none" w:sz="0" w:space="0" w:color="auto"/>
        <w:bottom w:val="none" w:sz="0" w:space="0" w:color="auto"/>
        <w:right w:val="none" w:sz="0" w:space="0" w:color="auto"/>
      </w:divBdr>
    </w:div>
    <w:div w:id="874543169">
      <w:bodyDiv w:val="1"/>
      <w:marLeft w:val="0"/>
      <w:marRight w:val="0"/>
      <w:marTop w:val="0"/>
      <w:marBottom w:val="0"/>
      <w:divBdr>
        <w:top w:val="none" w:sz="0" w:space="0" w:color="auto"/>
        <w:left w:val="none" w:sz="0" w:space="0" w:color="auto"/>
        <w:bottom w:val="none" w:sz="0" w:space="0" w:color="auto"/>
        <w:right w:val="none" w:sz="0" w:space="0" w:color="auto"/>
      </w:divBdr>
    </w:div>
    <w:div w:id="874585108">
      <w:bodyDiv w:val="1"/>
      <w:marLeft w:val="0"/>
      <w:marRight w:val="0"/>
      <w:marTop w:val="0"/>
      <w:marBottom w:val="0"/>
      <w:divBdr>
        <w:top w:val="none" w:sz="0" w:space="0" w:color="auto"/>
        <w:left w:val="none" w:sz="0" w:space="0" w:color="auto"/>
        <w:bottom w:val="none" w:sz="0" w:space="0" w:color="auto"/>
        <w:right w:val="none" w:sz="0" w:space="0" w:color="auto"/>
      </w:divBdr>
    </w:div>
    <w:div w:id="876166955">
      <w:bodyDiv w:val="1"/>
      <w:marLeft w:val="0"/>
      <w:marRight w:val="0"/>
      <w:marTop w:val="0"/>
      <w:marBottom w:val="0"/>
      <w:divBdr>
        <w:top w:val="none" w:sz="0" w:space="0" w:color="auto"/>
        <w:left w:val="none" w:sz="0" w:space="0" w:color="auto"/>
        <w:bottom w:val="none" w:sz="0" w:space="0" w:color="auto"/>
        <w:right w:val="none" w:sz="0" w:space="0" w:color="auto"/>
      </w:divBdr>
    </w:div>
    <w:div w:id="876351324">
      <w:bodyDiv w:val="1"/>
      <w:marLeft w:val="0"/>
      <w:marRight w:val="0"/>
      <w:marTop w:val="0"/>
      <w:marBottom w:val="0"/>
      <w:divBdr>
        <w:top w:val="none" w:sz="0" w:space="0" w:color="auto"/>
        <w:left w:val="none" w:sz="0" w:space="0" w:color="auto"/>
        <w:bottom w:val="none" w:sz="0" w:space="0" w:color="auto"/>
        <w:right w:val="none" w:sz="0" w:space="0" w:color="auto"/>
      </w:divBdr>
    </w:div>
    <w:div w:id="878663729">
      <w:bodyDiv w:val="1"/>
      <w:marLeft w:val="0"/>
      <w:marRight w:val="0"/>
      <w:marTop w:val="0"/>
      <w:marBottom w:val="0"/>
      <w:divBdr>
        <w:top w:val="none" w:sz="0" w:space="0" w:color="auto"/>
        <w:left w:val="none" w:sz="0" w:space="0" w:color="auto"/>
        <w:bottom w:val="none" w:sz="0" w:space="0" w:color="auto"/>
        <w:right w:val="none" w:sz="0" w:space="0" w:color="auto"/>
      </w:divBdr>
    </w:div>
    <w:div w:id="879585727">
      <w:bodyDiv w:val="1"/>
      <w:marLeft w:val="0"/>
      <w:marRight w:val="0"/>
      <w:marTop w:val="0"/>
      <w:marBottom w:val="0"/>
      <w:divBdr>
        <w:top w:val="none" w:sz="0" w:space="0" w:color="auto"/>
        <w:left w:val="none" w:sz="0" w:space="0" w:color="auto"/>
        <w:bottom w:val="none" w:sz="0" w:space="0" w:color="auto"/>
        <w:right w:val="none" w:sz="0" w:space="0" w:color="auto"/>
      </w:divBdr>
    </w:div>
    <w:div w:id="879635185">
      <w:bodyDiv w:val="1"/>
      <w:marLeft w:val="0"/>
      <w:marRight w:val="0"/>
      <w:marTop w:val="0"/>
      <w:marBottom w:val="0"/>
      <w:divBdr>
        <w:top w:val="none" w:sz="0" w:space="0" w:color="auto"/>
        <w:left w:val="none" w:sz="0" w:space="0" w:color="auto"/>
        <w:bottom w:val="none" w:sz="0" w:space="0" w:color="auto"/>
        <w:right w:val="none" w:sz="0" w:space="0" w:color="auto"/>
      </w:divBdr>
    </w:div>
    <w:div w:id="884952809">
      <w:bodyDiv w:val="1"/>
      <w:marLeft w:val="0"/>
      <w:marRight w:val="0"/>
      <w:marTop w:val="0"/>
      <w:marBottom w:val="0"/>
      <w:divBdr>
        <w:top w:val="none" w:sz="0" w:space="0" w:color="auto"/>
        <w:left w:val="none" w:sz="0" w:space="0" w:color="auto"/>
        <w:bottom w:val="none" w:sz="0" w:space="0" w:color="auto"/>
        <w:right w:val="none" w:sz="0" w:space="0" w:color="auto"/>
      </w:divBdr>
    </w:div>
    <w:div w:id="886381273">
      <w:bodyDiv w:val="1"/>
      <w:marLeft w:val="0"/>
      <w:marRight w:val="0"/>
      <w:marTop w:val="0"/>
      <w:marBottom w:val="0"/>
      <w:divBdr>
        <w:top w:val="none" w:sz="0" w:space="0" w:color="auto"/>
        <w:left w:val="none" w:sz="0" w:space="0" w:color="auto"/>
        <w:bottom w:val="none" w:sz="0" w:space="0" w:color="auto"/>
        <w:right w:val="none" w:sz="0" w:space="0" w:color="auto"/>
      </w:divBdr>
    </w:div>
    <w:div w:id="887031612">
      <w:bodyDiv w:val="1"/>
      <w:marLeft w:val="0"/>
      <w:marRight w:val="0"/>
      <w:marTop w:val="0"/>
      <w:marBottom w:val="0"/>
      <w:divBdr>
        <w:top w:val="none" w:sz="0" w:space="0" w:color="auto"/>
        <w:left w:val="none" w:sz="0" w:space="0" w:color="auto"/>
        <w:bottom w:val="none" w:sz="0" w:space="0" w:color="auto"/>
        <w:right w:val="none" w:sz="0" w:space="0" w:color="auto"/>
      </w:divBdr>
    </w:div>
    <w:div w:id="892546252">
      <w:bodyDiv w:val="1"/>
      <w:marLeft w:val="0"/>
      <w:marRight w:val="0"/>
      <w:marTop w:val="0"/>
      <w:marBottom w:val="0"/>
      <w:divBdr>
        <w:top w:val="none" w:sz="0" w:space="0" w:color="auto"/>
        <w:left w:val="none" w:sz="0" w:space="0" w:color="auto"/>
        <w:bottom w:val="none" w:sz="0" w:space="0" w:color="auto"/>
        <w:right w:val="none" w:sz="0" w:space="0" w:color="auto"/>
      </w:divBdr>
    </w:div>
    <w:div w:id="894585617">
      <w:bodyDiv w:val="1"/>
      <w:marLeft w:val="0"/>
      <w:marRight w:val="0"/>
      <w:marTop w:val="0"/>
      <w:marBottom w:val="0"/>
      <w:divBdr>
        <w:top w:val="none" w:sz="0" w:space="0" w:color="auto"/>
        <w:left w:val="none" w:sz="0" w:space="0" w:color="auto"/>
        <w:bottom w:val="none" w:sz="0" w:space="0" w:color="auto"/>
        <w:right w:val="none" w:sz="0" w:space="0" w:color="auto"/>
      </w:divBdr>
    </w:div>
    <w:div w:id="896478027">
      <w:bodyDiv w:val="1"/>
      <w:marLeft w:val="0"/>
      <w:marRight w:val="0"/>
      <w:marTop w:val="0"/>
      <w:marBottom w:val="0"/>
      <w:divBdr>
        <w:top w:val="none" w:sz="0" w:space="0" w:color="auto"/>
        <w:left w:val="none" w:sz="0" w:space="0" w:color="auto"/>
        <w:bottom w:val="none" w:sz="0" w:space="0" w:color="auto"/>
        <w:right w:val="none" w:sz="0" w:space="0" w:color="auto"/>
      </w:divBdr>
    </w:div>
    <w:div w:id="897280881">
      <w:bodyDiv w:val="1"/>
      <w:marLeft w:val="0"/>
      <w:marRight w:val="0"/>
      <w:marTop w:val="0"/>
      <w:marBottom w:val="0"/>
      <w:divBdr>
        <w:top w:val="none" w:sz="0" w:space="0" w:color="auto"/>
        <w:left w:val="none" w:sz="0" w:space="0" w:color="auto"/>
        <w:bottom w:val="none" w:sz="0" w:space="0" w:color="auto"/>
        <w:right w:val="none" w:sz="0" w:space="0" w:color="auto"/>
      </w:divBdr>
    </w:div>
    <w:div w:id="897547011">
      <w:bodyDiv w:val="1"/>
      <w:marLeft w:val="0"/>
      <w:marRight w:val="0"/>
      <w:marTop w:val="0"/>
      <w:marBottom w:val="0"/>
      <w:divBdr>
        <w:top w:val="none" w:sz="0" w:space="0" w:color="auto"/>
        <w:left w:val="none" w:sz="0" w:space="0" w:color="auto"/>
        <w:bottom w:val="none" w:sz="0" w:space="0" w:color="auto"/>
        <w:right w:val="none" w:sz="0" w:space="0" w:color="auto"/>
      </w:divBdr>
    </w:div>
    <w:div w:id="898173754">
      <w:bodyDiv w:val="1"/>
      <w:marLeft w:val="0"/>
      <w:marRight w:val="0"/>
      <w:marTop w:val="0"/>
      <w:marBottom w:val="0"/>
      <w:divBdr>
        <w:top w:val="none" w:sz="0" w:space="0" w:color="auto"/>
        <w:left w:val="none" w:sz="0" w:space="0" w:color="auto"/>
        <w:bottom w:val="none" w:sz="0" w:space="0" w:color="auto"/>
        <w:right w:val="none" w:sz="0" w:space="0" w:color="auto"/>
      </w:divBdr>
    </w:div>
    <w:div w:id="899169214">
      <w:bodyDiv w:val="1"/>
      <w:marLeft w:val="0"/>
      <w:marRight w:val="0"/>
      <w:marTop w:val="0"/>
      <w:marBottom w:val="0"/>
      <w:divBdr>
        <w:top w:val="none" w:sz="0" w:space="0" w:color="auto"/>
        <w:left w:val="none" w:sz="0" w:space="0" w:color="auto"/>
        <w:bottom w:val="none" w:sz="0" w:space="0" w:color="auto"/>
        <w:right w:val="none" w:sz="0" w:space="0" w:color="auto"/>
      </w:divBdr>
    </w:div>
    <w:div w:id="900558693">
      <w:bodyDiv w:val="1"/>
      <w:marLeft w:val="0"/>
      <w:marRight w:val="0"/>
      <w:marTop w:val="0"/>
      <w:marBottom w:val="0"/>
      <w:divBdr>
        <w:top w:val="none" w:sz="0" w:space="0" w:color="auto"/>
        <w:left w:val="none" w:sz="0" w:space="0" w:color="auto"/>
        <w:bottom w:val="none" w:sz="0" w:space="0" w:color="auto"/>
        <w:right w:val="none" w:sz="0" w:space="0" w:color="auto"/>
      </w:divBdr>
    </w:div>
    <w:div w:id="903367825">
      <w:bodyDiv w:val="1"/>
      <w:marLeft w:val="0"/>
      <w:marRight w:val="0"/>
      <w:marTop w:val="0"/>
      <w:marBottom w:val="0"/>
      <w:divBdr>
        <w:top w:val="none" w:sz="0" w:space="0" w:color="auto"/>
        <w:left w:val="none" w:sz="0" w:space="0" w:color="auto"/>
        <w:bottom w:val="none" w:sz="0" w:space="0" w:color="auto"/>
        <w:right w:val="none" w:sz="0" w:space="0" w:color="auto"/>
      </w:divBdr>
    </w:div>
    <w:div w:id="903443756">
      <w:bodyDiv w:val="1"/>
      <w:marLeft w:val="0"/>
      <w:marRight w:val="0"/>
      <w:marTop w:val="0"/>
      <w:marBottom w:val="0"/>
      <w:divBdr>
        <w:top w:val="none" w:sz="0" w:space="0" w:color="auto"/>
        <w:left w:val="none" w:sz="0" w:space="0" w:color="auto"/>
        <w:bottom w:val="none" w:sz="0" w:space="0" w:color="auto"/>
        <w:right w:val="none" w:sz="0" w:space="0" w:color="auto"/>
      </w:divBdr>
    </w:div>
    <w:div w:id="903494120">
      <w:bodyDiv w:val="1"/>
      <w:marLeft w:val="0"/>
      <w:marRight w:val="0"/>
      <w:marTop w:val="0"/>
      <w:marBottom w:val="0"/>
      <w:divBdr>
        <w:top w:val="none" w:sz="0" w:space="0" w:color="auto"/>
        <w:left w:val="none" w:sz="0" w:space="0" w:color="auto"/>
        <w:bottom w:val="none" w:sz="0" w:space="0" w:color="auto"/>
        <w:right w:val="none" w:sz="0" w:space="0" w:color="auto"/>
      </w:divBdr>
    </w:div>
    <w:div w:id="908809294">
      <w:bodyDiv w:val="1"/>
      <w:marLeft w:val="0"/>
      <w:marRight w:val="0"/>
      <w:marTop w:val="0"/>
      <w:marBottom w:val="0"/>
      <w:divBdr>
        <w:top w:val="none" w:sz="0" w:space="0" w:color="auto"/>
        <w:left w:val="none" w:sz="0" w:space="0" w:color="auto"/>
        <w:bottom w:val="none" w:sz="0" w:space="0" w:color="auto"/>
        <w:right w:val="none" w:sz="0" w:space="0" w:color="auto"/>
      </w:divBdr>
    </w:div>
    <w:div w:id="909998593">
      <w:bodyDiv w:val="1"/>
      <w:marLeft w:val="0"/>
      <w:marRight w:val="0"/>
      <w:marTop w:val="0"/>
      <w:marBottom w:val="0"/>
      <w:divBdr>
        <w:top w:val="none" w:sz="0" w:space="0" w:color="auto"/>
        <w:left w:val="none" w:sz="0" w:space="0" w:color="auto"/>
        <w:bottom w:val="none" w:sz="0" w:space="0" w:color="auto"/>
        <w:right w:val="none" w:sz="0" w:space="0" w:color="auto"/>
      </w:divBdr>
    </w:div>
    <w:div w:id="920262394">
      <w:bodyDiv w:val="1"/>
      <w:marLeft w:val="0"/>
      <w:marRight w:val="0"/>
      <w:marTop w:val="0"/>
      <w:marBottom w:val="0"/>
      <w:divBdr>
        <w:top w:val="none" w:sz="0" w:space="0" w:color="auto"/>
        <w:left w:val="none" w:sz="0" w:space="0" w:color="auto"/>
        <w:bottom w:val="none" w:sz="0" w:space="0" w:color="auto"/>
        <w:right w:val="none" w:sz="0" w:space="0" w:color="auto"/>
      </w:divBdr>
    </w:div>
    <w:div w:id="921724288">
      <w:bodyDiv w:val="1"/>
      <w:marLeft w:val="0"/>
      <w:marRight w:val="0"/>
      <w:marTop w:val="0"/>
      <w:marBottom w:val="0"/>
      <w:divBdr>
        <w:top w:val="none" w:sz="0" w:space="0" w:color="auto"/>
        <w:left w:val="none" w:sz="0" w:space="0" w:color="auto"/>
        <w:bottom w:val="none" w:sz="0" w:space="0" w:color="auto"/>
        <w:right w:val="none" w:sz="0" w:space="0" w:color="auto"/>
      </w:divBdr>
    </w:div>
    <w:div w:id="924341834">
      <w:bodyDiv w:val="1"/>
      <w:marLeft w:val="0"/>
      <w:marRight w:val="0"/>
      <w:marTop w:val="0"/>
      <w:marBottom w:val="0"/>
      <w:divBdr>
        <w:top w:val="none" w:sz="0" w:space="0" w:color="auto"/>
        <w:left w:val="none" w:sz="0" w:space="0" w:color="auto"/>
        <w:bottom w:val="none" w:sz="0" w:space="0" w:color="auto"/>
        <w:right w:val="none" w:sz="0" w:space="0" w:color="auto"/>
      </w:divBdr>
    </w:div>
    <w:div w:id="924534620">
      <w:bodyDiv w:val="1"/>
      <w:marLeft w:val="0"/>
      <w:marRight w:val="0"/>
      <w:marTop w:val="0"/>
      <w:marBottom w:val="0"/>
      <w:divBdr>
        <w:top w:val="none" w:sz="0" w:space="0" w:color="auto"/>
        <w:left w:val="none" w:sz="0" w:space="0" w:color="auto"/>
        <w:bottom w:val="none" w:sz="0" w:space="0" w:color="auto"/>
        <w:right w:val="none" w:sz="0" w:space="0" w:color="auto"/>
      </w:divBdr>
    </w:div>
    <w:div w:id="926229937">
      <w:bodyDiv w:val="1"/>
      <w:marLeft w:val="0"/>
      <w:marRight w:val="0"/>
      <w:marTop w:val="0"/>
      <w:marBottom w:val="0"/>
      <w:divBdr>
        <w:top w:val="none" w:sz="0" w:space="0" w:color="auto"/>
        <w:left w:val="none" w:sz="0" w:space="0" w:color="auto"/>
        <w:bottom w:val="none" w:sz="0" w:space="0" w:color="auto"/>
        <w:right w:val="none" w:sz="0" w:space="0" w:color="auto"/>
      </w:divBdr>
    </w:div>
    <w:div w:id="928270898">
      <w:bodyDiv w:val="1"/>
      <w:marLeft w:val="0"/>
      <w:marRight w:val="0"/>
      <w:marTop w:val="0"/>
      <w:marBottom w:val="0"/>
      <w:divBdr>
        <w:top w:val="none" w:sz="0" w:space="0" w:color="auto"/>
        <w:left w:val="none" w:sz="0" w:space="0" w:color="auto"/>
        <w:bottom w:val="none" w:sz="0" w:space="0" w:color="auto"/>
        <w:right w:val="none" w:sz="0" w:space="0" w:color="auto"/>
      </w:divBdr>
    </w:div>
    <w:div w:id="929243437">
      <w:bodyDiv w:val="1"/>
      <w:marLeft w:val="0"/>
      <w:marRight w:val="0"/>
      <w:marTop w:val="0"/>
      <w:marBottom w:val="0"/>
      <w:divBdr>
        <w:top w:val="none" w:sz="0" w:space="0" w:color="auto"/>
        <w:left w:val="none" w:sz="0" w:space="0" w:color="auto"/>
        <w:bottom w:val="none" w:sz="0" w:space="0" w:color="auto"/>
        <w:right w:val="none" w:sz="0" w:space="0" w:color="auto"/>
      </w:divBdr>
    </w:div>
    <w:div w:id="931623565">
      <w:bodyDiv w:val="1"/>
      <w:marLeft w:val="0"/>
      <w:marRight w:val="0"/>
      <w:marTop w:val="0"/>
      <w:marBottom w:val="0"/>
      <w:divBdr>
        <w:top w:val="none" w:sz="0" w:space="0" w:color="auto"/>
        <w:left w:val="none" w:sz="0" w:space="0" w:color="auto"/>
        <w:bottom w:val="none" w:sz="0" w:space="0" w:color="auto"/>
        <w:right w:val="none" w:sz="0" w:space="0" w:color="auto"/>
      </w:divBdr>
    </w:div>
    <w:div w:id="935746116">
      <w:bodyDiv w:val="1"/>
      <w:marLeft w:val="0"/>
      <w:marRight w:val="0"/>
      <w:marTop w:val="0"/>
      <w:marBottom w:val="0"/>
      <w:divBdr>
        <w:top w:val="none" w:sz="0" w:space="0" w:color="auto"/>
        <w:left w:val="none" w:sz="0" w:space="0" w:color="auto"/>
        <w:bottom w:val="none" w:sz="0" w:space="0" w:color="auto"/>
        <w:right w:val="none" w:sz="0" w:space="0" w:color="auto"/>
      </w:divBdr>
    </w:div>
    <w:div w:id="936444920">
      <w:bodyDiv w:val="1"/>
      <w:marLeft w:val="0"/>
      <w:marRight w:val="0"/>
      <w:marTop w:val="0"/>
      <w:marBottom w:val="0"/>
      <w:divBdr>
        <w:top w:val="none" w:sz="0" w:space="0" w:color="auto"/>
        <w:left w:val="none" w:sz="0" w:space="0" w:color="auto"/>
        <w:bottom w:val="none" w:sz="0" w:space="0" w:color="auto"/>
        <w:right w:val="none" w:sz="0" w:space="0" w:color="auto"/>
      </w:divBdr>
    </w:div>
    <w:div w:id="937643484">
      <w:bodyDiv w:val="1"/>
      <w:marLeft w:val="0"/>
      <w:marRight w:val="0"/>
      <w:marTop w:val="0"/>
      <w:marBottom w:val="0"/>
      <w:divBdr>
        <w:top w:val="none" w:sz="0" w:space="0" w:color="auto"/>
        <w:left w:val="none" w:sz="0" w:space="0" w:color="auto"/>
        <w:bottom w:val="none" w:sz="0" w:space="0" w:color="auto"/>
        <w:right w:val="none" w:sz="0" w:space="0" w:color="auto"/>
      </w:divBdr>
    </w:div>
    <w:div w:id="938830136">
      <w:bodyDiv w:val="1"/>
      <w:marLeft w:val="0"/>
      <w:marRight w:val="0"/>
      <w:marTop w:val="0"/>
      <w:marBottom w:val="0"/>
      <w:divBdr>
        <w:top w:val="none" w:sz="0" w:space="0" w:color="auto"/>
        <w:left w:val="none" w:sz="0" w:space="0" w:color="auto"/>
        <w:bottom w:val="none" w:sz="0" w:space="0" w:color="auto"/>
        <w:right w:val="none" w:sz="0" w:space="0" w:color="auto"/>
      </w:divBdr>
    </w:div>
    <w:div w:id="939140225">
      <w:bodyDiv w:val="1"/>
      <w:marLeft w:val="0"/>
      <w:marRight w:val="0"/>
      <w:marTop w:val="0"/>
      <w:marBottom w:val="0"/>
      <w:divBdr>
        <w:top w:val="none" w:sz="0" w:space="0" w:color="auto"/>
        <w:left w:val="none" w:sz="0" w:space="0" w:color="auto"/>
        <w:bottom w:val="none" w:sz="0" w:space="0" w:color="auto"/>
        <w:right w:val="none" w:sz="0" w:space="0" w:color="auto"/>
      </w:divBdr>
    </w:div>
    <w:div w:id="939527305">
      <w:bodyDiv w:val="1"/>
      <w:marLeft w:val="0"/>
      <w:marRight w:val="0"/>
      <w:marTop w:val="0"/>
      <w:marBottom w:val="0"/>
      <w:divBdr>
        <w:top w:val="none" w:sz="0" w:space="0" w:color="auto"/>
        <w:left w:val="none" w:sz="0" w:space="0" w:color="auto"/>
        <w:bottom w:val="none" w:sz="0" w:space="0" w:color="auto"/>
        <w:right w:val="none" w:sz="0" w:space="0" w:color="auto"/>
      </w:divBdr>
    </w:div>
    <w:div w:id="940456533">
      <w:bodyDiv w:val="1"/>
      <w:marLeft w:val="0"/>
      <w:marRight w:val="0"/>
      <w:marTop w:val="0"/>
      <w:marBottom w:val="0"/>
      <w:divBdr>
        <w:top w:val="none" w:sz="0" w:space="0" w:color="auto"/>
        <w:left w:val="none" w:sz="0" w:space="0" w:color="auto"/>
        <w:bottom w:val="none" w:sz="0" w:space="0" w:color="auto"/>
        <w:right w:val="none" w:sz="0" w:space="0" w:color="auto"/>
      </w:divBdr>
    </w:div>
    <w:div w:id="940911831">
      <w:bodyDiv w:val="1"/>
      <w:marLeft w:val="0"/>
      <w:marRight w:val="0"/>
      <w:marTop w:val="0"/>
      <w:marBottom w:val="0"/>
      <w:divBdr>
        <w:top w:val="none" w:sz="0" w:space="0" w:color="auto"/>
        <w:left w:val="none" w:sz="0" w:space="0" w:color="auto"/>
        <w:bottom w:val="none" w:sz="0" w:space="0" w:color="auto"/>
        <w:right w:val="none" w:sz="0" w:space="0" w:color="auto"/>
      </w:divBdr>
    </w:div>
    <w:div w:id="943658556">
      <w:bodyDiv w:val="1"/>
      <w:marLeft w:val="0"/>
      <w:marRight w:val="0"/>
      <w:marTop w:val="0"/>
      <w:marBottom w:val="0"/>
      <w:divBdr>
        <w:top w:val="none" w:sz="0" w:space="0" w:color="auto"/>
        <w:left w:val="none" w:sz="0" w:space="0" w:color="auto"/>
        <w:bottom w:val="none" w:sz="0" w:space="0" w:color="auto"/>
        <w:right w:val="none" w:sz="0" w:space="0" w:color="auto"/>
      </w:divBdr>
    </w:div>
    <w:div w:id="944189584">
      <w:bodyDiv w:val="1"/>
      <w:marLeft w:val="0"/>
      <w:marRight w:val="0"/>
      <w:marTop w:val="0"/>
      <w:marBottom w:val="0"/>
      <w:divBdr>
        <w:top w:val="none" w:sz="0" w:space="0" w:color="auto"/>
        <w:left w:val="none" w:sz="0" w:space="0" w:color="auto"/>
        <w:bottom w:val="none" w:sz="0" w:space="0" w:color="auto"/>
        <w:right w:val="none" w:sz="0" w:space="0" w:color="auto"/>
      </w:divBdr>
    </w:div>
    <w:div w:id="946279897">
      <w:bodyDiv w:val="1"/>
      <w:marLeft w:val="0"/>
      <w:marRight w:val="0"/>
      <w:marTop w:val="0"/>
      <w:marBottom w:val="0"/>
      <w:divBdr>
        <w:top w:val="none" w:sz="0" w:space="0" w:color="auto"/>
        <w:left w:val="none" w:sz="0" w:space="0" w:color="auto"/>
        <w:bottom w:val="none" w:sz="0" w:space="0" w:color="auto"/>
        <w:right w:val="none" w:sz="0" w:space="0" w:color="auto"/>
      </w:divBdr>
    </w:div>
    <w:div w:id="947005744">
      <w:bodyDiv w:val="1"/>
      <w:marLeft w:val="0"/>
      <w:marRight w:val="0"/>
      <w:marTop w:val="0"/>
      <w:marBottom w:val="0"/>
      <w:divBdr>
        <w:top w:val="none" w:sz="0" w:space="0" w:color="auto"/>
        <w:left w:val="none" w:sz="0" w:space="0" w:color="auto"/>
        <w:bottom w:val="none" w:sz="0" w:space="0" w:color="auto"/>
        <w:right w:val="none" w:sz="0" w:space="0" w:color="auto"/>
      </w:divBdr>
    </w:div>
    <w:div w:id="950630669">
      <w:bodyDiv w:val="1"/>
      <w:marLeft w:val="0"/>
      <w:marRight w:val="0"/>
      <w:marTop w:val="0"/>
      <w:marBottom w:val="0"/>
      <w:divBdr>
        <w:top w:val="none" w:sz="0" w:space="0" w:color="auto"/>
        <w:left w:val="none" w:sz="0" w:space="0" w:color="auto"/>
        <w:bottom w:val="none" w:sz="0" w:space="0" w:color="auto"/>
        <w:right w:val="none" w:sz="0" w:space="0" w:color="auto"/>
      </w:divBdr>
    </w:div>
    <w:div w:id="951861210">
      <w:bodyDiv w:val="1"/>
      <w:marLeft w:val="0"/>
      <w:marRight w:val="0"/>
      <w:marTop w:val="0"/>
      <w:marBottom w:val="0"/>
      <w:divBdr>
        <w:top w:val="none" w:sz="0" w:space="0" w:color="auto"/>
        <w:left w:val="none" w:sz="0" w:space="0" w:color="auto"/>
        <w:bottom w:val="none" w:sz="0" w:space="0" w:color="auto"/>
        <w:right w:val="none" w:sz="0" w:space="0" w:color="auto"/>
      </w:divBdr>
    </w:div>
    <w:div w:id="953172996">
      <w:bodyDiv w:val="1"/>
      <w:marLeft w:val="0"/>
      <w:marRight w:val="0"/>
      <w:marTop w:val="0"/>
      <w:marBottom w:val="0"/>
      <w:divBdr>
        <w:top w:val="none" w:sz="0" w:space="0" w:color="auto"/>
        <w:left w:val="none" w:sz="0" w:space="0" w:color="auto"/>
        <w:bottom w:val="none" w:sz="0" w:space="0" w:color="auto"/>
        <w:right w:val="none" w:sz="0" w:space="0" w:color="auto"/>
      </w:divBdr>
    </w:div>
    <w:div w:id="956645066">
      <w:bodyDiv w:val="1"/>
      <w:marLeft w:val="0"/>
      <w:marRight w:val="0"/>
      <w:marTop w:val="0"/>
      <w:marBottom w:val="0"/>
      <w:divBdr>
        <w:top w:val="none" w:sz="0" w:space="0" w:color="auto"/>
        <w:left w:val="none" w:sz="0" w:space="0" w:color="auto"/>
        <w:bottom w:val="none" w:sz="0" w:space="0" w:color="auto"/>
        <w:right w:val="none" w:sz="0" w:space="0" w:color="auto"/>
      </w:divBdr>
    </w:div>
    <w:div w:id="958340047">
      <w:bodyDiv w:val="1"/>
      <w:marLeft w:val="0"/>
      <w:marRight w:val="0"/>
      <w:marTop w:val="0"/>
      <w:marBottom w:val="0"/>
      <w:divBdr>
        <w:top w:val="none" w:sz="0" w:space="0" w:color="auto"/>
        <w:left w:val="none" w:sz="0" w:space="0" w:color="auto"/>
        <w:bottom w:val="none" w:sz="0" w:space="0" w:color="auto"/>
        <w:right w:val="none" w:sz="0" w:space="0" w:color="auto"/>
      </w:divBdr>
    </w:div>
    <w:div w:id="962419525">
      <w:bodyDiv w:val="1"/>
      <w:marLeft w:val="0"/>
      <w:marRight w:val="0"/>
      <w:marTop w:val="0"/>
      <w:marBottom w:val="0"/>
      <w:divBdr>
        <w:top w:val="none" w:sz="0" w:space="0" w:color="auto"/>
        <w:left w:val="none" w:sz="0" w:space="0" w:color="auto"/>
        <w:bottom w:val="none" w:sz="0" w:space="0" w:color="auto"/>
        <w:right w:val="none" w:sz="0" w:space="0" w:color="auto"/>
      </w:divBdr>
    </w:div>
    <w:div w:id="964853547">
      <w:bodyDiv w:val="1"/>
      <w:marLeft w:val="0"/>
      <w:marRight w:val="0"/>
      <w:marTop w:val="0"/>
      <w:marBottom w:val="0"/>
      <w:divBdr>
        <w:top w:val="none" w:sz="0" w:space="0" w:color="auto"/>
        <w:left w:val="none" w:sz="0" w:space="0" w:color="auto"/>
        <w:bottom w:val="none" w:sz="0" w:space="0" w:color="auto"/>
        <w:right w:val="none" w:sz="0" w:space="0" w:color="auto"/>
      </w:divBdr>
    </w:div>
    <w:div w:id="971591460">
      <w:bodyDiv w:val="1"/>
      <w:marLeft w:val="0"/>
      <w:marRight w:val="0"/>
      <w:marTop w:val="0"/>
      <w:marBottom w:val="0"/>
      <w:divBdr>
        <w:top w:val="none" w:sz="0" w:space="0" w:color="auto"/>
        <w:left w:val="none" w:sz="0" w:space="0" w:color="auto"/>
        <w:bottom w:val="none" w:sz="0" w:space="0" w:color="auto"/>
        <w:right w:val="none" w:sz="0" w:space="0" w:color="auto"/>
      </w:divBdr>
    </w:div>
    <w:div w:id="971864013">
      <w:bodyDiv w:val="1"/>
      <w:marLeft w:val="0"/>
      <w:marRight w:val="0"/>
      <w:marTop w:val="0"/>
      <w:marBottom w:val="0"/>
      <w:divBdr>
        <w:top w:val="none" w:sz="0" w:space="0" w:color="auto"/>
        <w:left w:val="none" w:sz="0" w:space="0" w:color="auto"/>
        <w:bottom w:val="none" w:sz="0" w:space="0" w:color="auto"/>
        <w:right w:val="none" w:sz="0" w:space="0" w:color="auto"/>
      </w:divBdr>
    </w:div>
    <w:div w:id="971978350">
      <w:bodyDiv w:val="1"/>
      <w:marLeft w:val="0"/>
      <w:marRight w:val="0"/>
      <w:marTop w:val="0"/>
      <w:marBottom w:val="0"/>
      <w:divBdr>
        <w:top w:val="none" w:sz="0" w:space="0" w:color="auto"/>
        <w:left w:val="none" w:sz="0" w:space="0" w:color="auto"/>
        <w:bottom w:val="none" w:sz="0" w:space="0" w:color="auto"/>
        <w:right w:val="none" w:sz="0" w:space="0" w:color="auto"/>
      </w:divBdr>
    </w:div>
    <w:div w:id="972055286">
      <w:bodyDiv w:val="1"/>
      <w:marLeft w:val="0"/>
      <w:marRight w:val="0"/>
      <w:marTop w:val="0"/>
      <w:marBottom w:val="0"/>
      <w:divBdr>
        <w:top w:val="none" w:sz="0" w:space="0" w:color="auto"/>
        <w:left w:val="none" w:sz="0" w:space="0" w:color="auto"/>
        <w:bottom w:val="none" w:sz="0" w:space="0" w:color="auto"/>
        <w:right w:val="none" w:sz="0" w:space="0" w:color="auto"/>
      </w:divBdr>
    </w:div>
    <w:div w:id="974338365">
      <w:bodyDiv w:val="1"/>
      <w:marLeft w:val="0"/>
      <w:marRight w:val="0"/>
      <w:marTop w:val="0"/>
      <w:marBottom w:val="0"/>
      <w:divBdr>
        <w:top w:val="none" w:sz="0" w:space="0" w:color="auto"/>
        <w:left w:val="none" w:sz="0" w:space="0" w:color="auto"/>
        <w:bottom w:val="none" w:sz="0" w:space="0" w:color="auto"/>
        <w:right w:val="none" w:sz="0" w:space="0" w:color="auto"/>
      </w:divBdr>
    </w:div>
    <w:div w:id="975254001">
      <w:bodyDiv w:val="1"/>
      <w:marLeft w:val="0"/>
      <w:marRight w:val="0"/>
      <w:marTop w:val="0"/>
      <w:marBottom w:val="0"/>
      <w:divBdr>
        <w:top w:val="none" w:sz="0" w:space="0" w:color="auto"/>
        <w:left w:val="none" w:sz="0" w:space="0" w:color="auto"/>
        <w:bottom w:val="none" w:sz="0" w:space="0" w:color="auto"/>
        <w:right w:val="none" w:sz="0" w:space="0" w:color="auto"/>
      </w:divBdr>
    </w:div>
    <w:div w:id="975840251">
      <w:bodyDiv w:val="1"/>
      <w:marLeft w:val="0"/>
      <w:marRight w:val="0"/>
      <w:marTop w:val="0"/>
      <w:marBottom w:val="0"/>
      <w:divBdr>
        <w:top w:val="none" w:sz="0" w:space="0" w:color="auto"/>
        <w:left w:val="none" w:sz="0" w:space="0" w:color="auto"/>
        <w:bottom w:val="none" w:sz="0" w:space="0" w:color="auto"/>
        <w:right w:val="none" w:sz="0" w:space="0" w:color="auto"/>
      </w:divBdr>
    </w:div>
    <w:div w:id="977105169">
      <w:bodyDiv w:val="1"/>
      <w:marLeft w:val="0"/>
      <w:marRight w:val="0"/>
      <w:marTop w:val="0"/>
      <w:marBottom w:val="0"/>
      <w:divBdr>
        <w:top w:val="none" w:sz="0" w:space="0" w:color="auto"/>
        <w:left w:val="none" w:sz="0" w:space="0" w:color="auto"/>
        <w:bottom w:val="none" w:sz="0" w:space="0" w:color="auto"/>
        <w:right w:val="none" w:sz="0" w:space="0" w:color="auto"/>
      </w:divBdr>
    </w:div>
    <w:div w:id="979768826">
      <w:bodyDiv w:val="1"/>
      <w:marLeft w:val="0"/>
      <w:marRight w:val="0"/>
      <w:marTop w:val="0"/>
      <w:marBottom w:val="0"/>
      <w:divBdr>
        <w:top w:val="none" w:sz="0" w:space="0" w:color="auto"/>
        <w:left w:val="none" w:sz="0" w:space="0" w:color="auto"/>
        <w:bottom w:val="none" w:sz="0" w:space="0" w:color="auto"/>
        <w:right w:val="none" w:sz="0" w:space="0" w:color="auto"/>
      </w:divBdr>
    </w:div>
    <w:div w:id="981537903">
      <w:bodyDiv w:val="1"/>
      <w:marLeft w:val="0"/>
      <w:marRight w:val="0"/>
      <w:marTop w:val="0"/>
      <w:marBottom w:val="0"/>
      <w:divBdr>
        <w:top w:val="none" w:sz="0" w:space="0" w:color="auto"/>
        <w:left w:val="none" w:sz="0" w:space="0" w:color="auto"/>
        <w:bottom w:val="none" w:sz="0" w:space="0" w:color="auto"/>
        <w:right w:val="none" w:sz="0" w:space="0" w:color="auto"/>
      </w:divBdr>
    </w:div>
    <w:div w:id="983240376">
      <w:bodyDiv w:val="1"/>
      <w:marLeft w:val="0"/>
      <w:marRight w:val="0"/>
      <w:marTop w:val="0"/>
      <w:marBottom w:val="0"/>
      <w:divBdr>
        <w:top w:val="none" w:sz="0" w:space="0" w:color="auto"/>
        <w:left w:val="none" w:sz="0" w:space="0" w:color="auto"/>
        <w:bottom w:val="none" w:sz="0" w:space="0" w:color="auto"/>
        <w:right w:val="none" w:sz="0" w:space="0" w:color="auto"/>
      </w:divBdr>
    </w:div>
    <w:div w:id="985743182">
      <w:bodyDiv w:val="1"/>
      <w:marLeft w:val="0"/>
      <w:marRight w:val="0"/>
      <w:marTop w:val="0"/>
      <w:marBottom w:val="0"/>
      <w:divBdr>
        <w:top w:val="none" w:sz="0" w:space="0" w:color="auto"/>
        <w:left w:val="none" w:sz="0" w:space="0" w:color="auto"/>
        <w:bottom w:val="none" w:sz="0" w:space="0" w:color="auto"/>
        <w:right w:val="none" w:sz="0" w:space="0" w:color="auto"/>
      </w:divBdr>
    </w:div>
    <w:div w:id="986471960">
      <w:bodyDiv w:val="1"/>
      <w:marLeft w:val="0"/>
      <w:marRight w:val="0"/>
      <w:marTop w:val="0"/>
      <w:marBottom w:val="0"/>
      <w:divBdr>
        <w:top w:val="none" w:sz="0" w:space="0" w:color="auto"/>
        <w:left w:val="none" w:sz="0" w:space="0" w:color="auto"/>
        <w:bottom w:val="none" w:sz="0" w:space="0" w:color="auto"/>
        <w:right w:val="none" w:sz="0" w:space="0" w:color="auto"/>
      </w:divBdr>
    </w:div>
    <w:div w:id="988822554">
      <w:bodyDiv w:val="1"/>
      <w:marLeft w:val="0"/>
      <w:marRight w:val="0"/>
      <w:marTop w:val="0"/>
      <w:marBottom w:val="0"/>
      <w:divBdr>
        <w:top w:val="none" w:sz="0" w:space="0" w:color="auto"/>
        <w:left w:val="none" w:sz="0" w:space="0" w:color="auto"/>
        <w:bottom w:val="none" w:sz="0" w:space="0" w:color="auto"/>
        <w:right w:val="none" w:sz="0" w:space="0" w:color="auto"/>
      </w:divBdr>
    </w:div>
    <w:div w:id="990673098">
      <w:bodyDiv w:val="1"/>
      <w:marLeft w:val="0"/>
      <w:marRight w:val="0"/>
      <w:marTop w:val="0"/>
      <w:marBottom w:val="0"/>
      <w:divBdr>
        <w:top w:val="none" w:sz="0" w:space="0" w:color="auto"/>
        <w:left w:val="none" w:sz="0" w:space="0" w:color="auto"/>
        <w:bottom w:val="none" w:sz="0" w:space="0" w:color="auto"/>
        <w:right w:val="none" w:sz="0" w:space="0" w:color="auto"/>
      </w:divBdr>
    </w:div>
    <w:div w:id="990981807">
      <w:bodyDiv w:val="1"/>
      <w:marLeft w:val="0"/>
      <w:marRight w:val="0"/>
      <w:marTop w:val="0"/>
      <w:marBottom w:val="0"/>
      <w:divBdr>
        <w:top w:val="none" w:sz="0" w:space="0" w:color="auto"/>
        <w:left w:val="none" w:sz="0" w:space="0" w:color="auto"/>
        <w:bottom w:val="none" w:sz="0" w:space="0" w:color="auto"/>
        <w:right w:val="none" w:sz="0" w:space="0" w:color="auto"/>
      </w:divBdr>
    </w:div>
    <w:div w:id="991712069">
      <w:bodyDiv w:val="1"/>
      <w:marLeft w:val="0"/>
      <w:marRight w:val="0"/>
      <w:marTop w:val="0"/>
      <w:marBottom w:val="0"/>
      <w:divBdr>
        <w:top w:val="none" w:sz="0" w:space="0" w:color="auto"/>
        <w:left w:val="none" w:sz="0" w:space="0" w:color="auto"/>
        <w:bottom w:val="none" w:sz="0" w:space="0" w:color="auto"/>
        <w:right w:val="none" w:sz="0" w:space="0" w:color="auto"/>
      </w:divBdr>
    </w:div>
    <w:div w:id="993794777">
      <w:bodyDiv w:val="1"/>
      <w:marLeft w:val="0"/>
      <w:marRight w:val="0"/>
      <w:marTop w:val="0"/>
      <w:marBottom w:val="0"/>
      <w:divBdr>
        <w:top w:val="none" w:sz="0" w:space="0" w:color="auto"/>
        <w:left w:val="none" w:sz="0" w:space="0" w:color="auto"/>
        <w:bottom w:val="none" w:sz="0" w:space="0" w:color="auto"/>
        <w:right w:val="none" w:sz="0" w:space="0" w:color="auto"/>
      </w:divBdr>
    </w:div>
    <w:div w:id="995113951">
      <w:bodyDiv w:val="1"/>
      <w:marLeft w:val="0"/>
      <w:marRight w:val="0"/>
      <w:marTop w:val="0"/>
      <w:marBottom w:val="0"/>
      <w:divBdr>
        <w:top w:val="none" w:sz="0" w:space="0" w:color="auto"/>
        <w:left w:val="none" w:sz="0" w:space="0" w:color="auto"/>
        <w:bottom w:val="none" w:sz="0" w:space="0" w:color="auto"/>
        <w:right w:val="none" w:sz="0" w:space="0" w:color="auto"/>
      </w:divBdr>
    </w:div>
    <w:div w:id="999305855">
      <w:bodyDiv w:val="1"/>
      <w:marLeft w:val="0"/>
      <w:marRight w:val="0"/>
      <w:marTop w:val="0"/>
      <w:marBottom w:val="0"/>
      <w:divBdr>
        <w:top w:val="none" w:sz="0" w:space="0" w:color="auto"/>
        <w:left w:val="none" w:sz="0" w:space="0" w:color="auto"/>
        <w:bottom w:val="none" w:sz="0" w:space="0" w:color="auto"/>
        <w:right w:val="none" w:sz="0" w:space="0" w:color="auto"/>
      </w:divBdr>
    </w:div>
    <w:div w:id="1000037928">
      <w:bodyDiv w:val="1"/>
      <w:marLeft w:val="0"/>
      <w:marRight w:val="0"/>
      <w:marTop w:val="0"/>
      <w:marBottom w:val="0"/>
      <w:divBdr>
        <w:top w:val="none" w:sz="0" w:space="0" w:color="auto"/>
        <w:left w:val="none" w:sz="0" w:space="0" w:color="auto"/>
        <w:bottom w:val="none" w:sz="0" w:space="0" w:color="auto"/>
        <w:right w:val="none" w:sz="0" w:space="0" w:color="auto"/>
      </w:divBdr>
    </w:div>
    <w:div w:id="1000280645">
      <w:bodyDiv w:val="1"/>
      <w:marLeft w:val="0"/>
      <w:marRight w:val="0"/>
      <w:marTop w:val="0"/>
      <w:marBottom w:val="0"/>
      <w:divBdr>
        <w:top w:val="none" w:sz="0" w:space="0" w:color="auto"/>
        <w:left w:val="none" w:sz="0" w:space="0" w:color="auto"/>
        <w:bottom w:val="none" w:sz="0" w:space="0" w:color="auto"/>
        <w:right w:val="none" w:sz="0" w:space="0" w:color="auto"/>
      </w:divBdr>
    </w:div>
    <w:div w:id="1001545867">
      <w:bodyDiv w:val="1"/>
      <w:marLeft w:val="0"/>
      <w:marRight w:val="0"/>
      <w:marTop w:val="0"/>
      <w:marBottom w:val="0"/>
      <w:divBdr>
        <w:top w:val="none" w:sz="0" w:space="0" w:color="auto"/>
        <w:left w:val="none" w:sz="0" w:space="0" w:color="auto"/>
        <w:bottom w:val="none" w:sz="0" w:space="0" w:color="auto"/>
        <w:right w:val="none" w:sz="0" w:space="0" w:color="auto"/>
      </w:divBdr>
    </w:div>
    <w:div w:id="1002660129">
      <w:bodyDiv w:val="1"/>
      <w:marLeft w:val="0"/>
      <w:marRight w:val="0"/>
      <w:marTop w:val="0"/>
      <w:marBottom w:val="0"/>
      <w:divBdr>
        <w:top w:val="none" w:sz="0" w:space="0" w:color="auto"/>
        <w:left w:val="none" w:sz="0" w:space="0" w:color="auto"/>
        <w:bottom w:val="none" w:sz="0" w:space="0" w:color="auto"/>
        <w:right w:val="none" w:sz="0" w:space="0" w:color="auto"/>
      </w:divBdr>
    </w:div>
    <w:div w:id="1003821641">
      <w:bodyDiv w:val="1"/>
      <w:marLeft w:val="0"/>
      <w:marRight w:val="0"/>
      <w:marTop w:val="0"/>
      <w:marBottom w:val="0"/>
      <w:divBdr>
        <w:top w:val="none" w:sz="0" w:space="0" w:color="auto"/>
        <w:left w:val="none" w:sz="0" w:space="0" w:color="auto"/>
        <w:bottom w:val="none" w:sz="0" w:space="0" w:color="auto"/>
        <w:right w:val="none" w:sz="0" w:space="0" w:color="auto"/>
      </w:divBdr>
    </w:div>
    <w:div w:id="1006859755">
      <w:bodyDiv w:val="1"/>
      <w:marLeft w:val="0"/>
      <w:marRight w:val="0"/>
      <w:marTop w:val="0"/>
      <w:marBottom w:val="0"/>
      <w:divBdr>
        <w:top w:val="none" w:sz="0" w:space="0" w:color="auto"/>
        <w:left w:val="none" w:sz="0" w:space="0" w:color="auto"/>
        <w:bottom w:val="none" w:sz="0" w:space="0" w:color="auto"/>
        <w:right w:val="none" w:sz="0" w:space="0" w:color="auto"/>
      </w:divBdr>
    </w:div>
    <w:div w:id="1008824423">
      <w:bodyDiv w:val="1"/>
      <w:marLeft w:val="0"/>
      <w:marRight w:val="0"/>
      <w:marTop w:val="0"/>
      <w:marBottom w:val="0"/>
      <w:divBdr>
        <w:top w:val="none" w:sz="0" w:space="0" w:color="auto"/>
        <w:left w:val="none" w:sz="0" w:space="0" w:color="auto"/>
        <w:bottom w:val="none" w:sz="0" w:space="0" w:color="auto"/>
        <w:right w:val="none" w:sz="0" w:space="0" w:color="auto"/>
      </w:divBdr>
    </w:div>
    <w:div w:id="1011225430">
      <w:bodyDiv w:val="1"/>
      <w:marLeft w:val="0"/>
      <w:marRight w:val="0"/>
      <w:marTop w:val="0"/>
      <w:marBottom w:val="0"/>
      <w:divBdr>
        <w:top w:val="none" w:sz="0" w:space="0" w:color="auto"/>
        <w:left w:val="none" w:sz="0" w:space="0" w:color="auto"/>
        <w:bottom w:val="none" w:sz="0" w:space="0" w:color="auto"/>
        <w:right w:val="none" w:sz="0" w:space="0" w:color="auto"/>
      </w:divBdr>
    </w:div>
    <w:div w:id="1012537916">
      <w:bodyDiv w:val="1"/>
      <w:marLeft w:val="0"/>
      <w:marRight w:val="0"/>
      <w:marTop w:val="0"/>
      <w:marBottom w:val="0"/>
      <w:divBdr>
        <w:top w:val="none" w:sz="0" w:space="0" w:color="auto"/>
        <w:left w:val="none" w:sz="0" w:space="0" w:color="auto"/>
        <w:bottom w:val="none" w:sz="0" w:space="0" w:color="auto"/>
        <w:right w:val="none" w:sz="0" w:space="0" w:color="auto"/>
      </w:divBdr>
    </w:div>
    <w:div w:id="1012755106">
      <w:bodyDiv w:val="1"/>
      <w:marLeft w:val="0"/>
      <w:marRight w:val="0"/>
      <w:marTop w:val="0"/>
      <w:marBottom w:val="0"/>
      <w:divBdr>
        <w:top w:val="none" w:sz="0" w:space="0" w:color="auto"/>
        <w:left w:val="none" w:sz="0" w:space="0" w:color="auto"/>
        <w:bottom w:val="none" w:sz="0" w:space="0" w:color="auto"/>
        <w:right w:val="none" w:sz="0" w:space="0" w:color="auto"/>
      </w:divBdr>
    </w:div>
    <w:div w:id="1013459782">
      <w:bodyDiv w:val="1"/>
      <w:marLeft w:val="0"/>
      <w:marRight w:val="0"/>
      <w:marTop w:val="0"/>
      <w:marBottom w:val="0"/>
      <w:divBdr>
        <w:top w:val="none" w:sz="0" w:space="0" w:color="auto"/>
        <w:left w:val="none" w:sz="0" w:space="0" w:color="auto"/>
        <w:bottom w:val="none" w:sz="0" w:space="0" w:color="auto"/>
        <w:right w:val="none" w:sz="0" w:space="0" w:color="auto"/>
      </w:divBdr>
    </w:div>
    <w:div w:id="1013730649">
      <w:bodyDiv w:val="1"/>
      <w:marLeft w:val="0"/>
      <w:marRight w:val="0"/>
      <w:marTop w:val="0"/>
      <w:marBottom w:val="0"/>
      <w:divBdr>
        <w:top w:val="none" w:sz="0" w:space="0" w:color="auto"/>
        <w:left w:val="none" w:sz="0" w:space="0" w:color="auto"/>
        <w:bottom w:val="none" w:sz="0" w:space="0" w:color="auto"/>
        <w:right w:val="none" w:sz="0" w:space="0" w:color="auto"/>
      </w:divBdr>
    </w:div>
    <w:div w:id="1014963017">
      <w:bodyDiv w:val="1"/>
      <w:marLeft w:val="0"/>
      <w:marRight w:val="0"/>
      <w:marTop w:val="0"/>
      <w:marBottom w:val="0"/>
      <w:divBdr>
        <w:top w:val="none" w:sz="0" w:space="0" w:color="auto"/>
        <w:left w:val="none" w:sz="0" w:space="0" w:color="auto"/>
        <w:bottom w:val="none" w:sz="0" w:space="0" w:color="auto"/>
        <w:right w:val="none" w:sz="0" w:space="0" w:color="auto"/>
      </w:divBdr>
    </w:div>
    <w:div w:id="1016810448">
      <w:bodyDiv w:val="1"/>
      <w:marLeft w:val="0"/>
      <w:marRight w:val="0"/>
      <w:marTop w:val="0"/>
      <w:marBottom w:val="0"/>
      <w:divBdr>
        <w:top w:val="none" w:sz="0" w:space="0" w:color="auto"/>
        <w:left w:val="none" w:sz="0" w:space="0" w:color="auto"/>
        <w:bottom w:val="none" w:sz="0" w:space="0" w:color="auto"/>
        <w:right w:val="none" w:sz="0" w:space="0" w:color="auto"/>
      </w:divBdr>
    </w:div>
    <w:div w:id="1017076779">
      <w:bodyDiv w:val="1"/>
      <w:marLeft w:val="0"/>
      <w:marRight w:val="0"/>
      <w:marTop w:val="0"/>
      <w:marBottom w:val="0"/>
      <w:divBdr>
        <w:top w:val="none" w:sz="0" w:space="0" w:color="auto"/>
        <w:left w:val="none" w:sz="0" w:space="0" w:color="auto"/>
        <w:bottom w:val="none" w:sz="0" w:space="0" w:color="auto"/>
        <w:right w:val="none" w:sz="0" w:space="0" w:color="auto"/>
      </w:divBdr>
    </w:div>
    <w:div w:id="1018435049">
      <w:bodyDiv w:val="1"/>
      <w:marLeft w:val="0"/>
      <w:marRight w:val="0"/>
      <w:marTop w:val="0"/>
      <w:marBottom w:val="0"/>
      <w:divBdr>
        <w:top w:val="none" w:sz="0" w:space="0" w:color="auto"/>
        <w:left w:val="none" w:sz="0" w:space="0" w:color="auto"/>
        <w:bottom w:val="none" w:sz="0" w:space="0" w:color="auto"/>
        <w:right w:val="none" w:sz="0" w:space="0" w:color="auto"/>
      </w:divBdr>
    </w:div>
    <w:div w:id="1020013614">
      <w:bodyDiv w:val="1"/>
      <w:marLeft w:val="0"/>
      <w:marRight w:val="0"/>
      <w:marTop w:val="0"/>
      <w:marBottom w:val="0"/>
      <w:divBdr>
        <w:top w:val="none" w:sz="0" w:space="0" w:color="auto"/>
        <w:left w:val="none" w:sz="0" w:space="0" w:color="auto"/>
        <w:bottom w:val="none" w:sz="0" w:space="0" w:color="auto"/>
        <w:right w:val="none" w:sz="0" w:space="0" w:color="auto"/>
      </w:divBdr>
    </w:div>
    <w:div w:id="1023364651">
      <w:bodyDiv w:val="1"/>
      <w:marLeft w:val="0"/>
      <w:marRight w:val="0"/>
      <w:marTop w:val="0"/>
      <w:marBottom w:val="0"/>
      <w:divBdr>
        <w:top w:val="none" w:sz="0" w:space="0" w:color="auto"/>
        <w:left w:val="none" w:sz="0" w:space="0" w:color="auto"/>
        <w:bottom w:val="none" w:sz="0" w:space="0" w:color="auto"/>
        <w:right w:val="none" w:sz="0" w:space="0" w:color="auto"/>
      </w:divBdr>
    </w:div>
    <w:div w:id="1026296081">
      <w:bodyDiv w:val="1"/>
      <w:marLeft w:val="0"/>
      <w:marRight w:val="0"/>
      <w:marTop w:val="0"/>
      <w:marBottom w:val="0"/>
      <w:divBdr>
        <w:top w:val="none" w:sz="0" w:space="0" w:color="auto"/>
        <w:left w:val="none" w:sz="0" w:space="0" w:color="auto"/>
        <w:bottom w:val="none" w:sz="0" w:space="0" w:color="auto"/>
        <w:right w:val="none" w:sz="0" w:space="0" w:color="auto"/>
      </w:divBdr>
    </w:div>
    <w:div w:id="1026638086">
      <w:bodyDiv w:val="1"/>
      <w:marLeft w:val="0"/>
      <w:marRight w:val="0"/>
      <w:marTop w:val="0"/>
      <w:marBottom w:val="0"/>
      <w:divBdr>
        <w:top w:val="none" w:sz="0" w:space="0" w:color="auto"/>
        <w:left w:val="none" w:sz="0" w:space="0" w:color="auto"/>
        <w:bottom w:val="none" w:sz="0" w:space="0" w:color="auto"/>
        <w:right w:val="none" w:sz="0" w:space="0" w:color="auto"/>
      </w:divBdr>
    </w:div>
    <w:div w:id="1028525812">
      <w:bodyDiv w:val="1"/>
      <w:marLeft w:val="0"/>
      <w:marRight w:val="0"/>
      <w:marTop w:val="0"/>
      <w:marBottom w:val="0"/>
      <w:divBdr>
        <w:top w:val="none" w:sz="0" w:space="0" w:color="auto"/>
        <w:left w:val="none" w:sz="0" w:space="0" w:color="auto"/>
        <w:bottom w:val="none" w:sz="0" w:space="0" w:color="auto"/>
        <w:right w:val="none" w:sz="0" w:space="0" w:color="auto"/>
      </w:divBdr>
    </w:div>
    <w:div w:id="1028873736">
      <w:bodyDiv w:val="1"/>
      <w:marLeft w:val="0"/>
      <w:marRight w:val="0"/>
      <w:marTop w:val="0"/>
      <w:marBottom w:val="0"/>
      <w:divBdr>
        <w:top w:val="none" w:sz="0" w:space="0" w:color="auto"/>
        <w:left w:val="none" w:sz="0" w:space="0" w:color="auto"/>
        <w:bottom w:val="none" w:sz="0" w:space="0" w:color="auto"/>
        <w:right w:val="none" w:sz="0" w:space="0" w:color="auto"/>
      </w:divBdr>
    </w:div>
    <w:div w:id="1030107208">
      <w:bodyDiv w:val="1"/>
      <w:marLeft w:val="0"/>
      <w:marRight w:val="0"/>
      <w:marTop w:val="0"/>
      <w:marBottom w:val="0"/>
      <w:divBdr>
        <w:top w:val="none" w:sz="0" w:space="0" w:color="auto"/>
        <w:left w:val="none" w:sz="0" w:space="0" w:color="auto"/>
        <w:bottom w:val="none" w:sz="0" w:space="0" w:color="auto"/>
        <w:right w:val="none" w:sz="0" w:space="0" w:color="auto"/>
      </w:divBdr>
    </w:div>
    <w:div w:id="1030187028">
      <w:bodyDiv w:val="1"/>
      <w:marLeft w:val="0"/>
      <w:marRight w:val="0"/>
      <w:marTop w:val="0"/>
      <w:marBottom w:val="0"/>
      <w:divBdr>
        <w:top w:val="none" w:sz="0" w:space="0" w:color="auto"/>
        <w:left w:val="none" w:sz="0" w:space="0" w:color="auto"/>
        <w:bottom w:val="none" w:sz="0" w:space="0" w:color="auto"/>
        <w:right w:val="none" w:sz="0" w:space="0" w:color="auto"/>
      </w:divBdr>
    </w:div>
    <w:div w:id="1031809878">
      <w:bodyDiv w:val="1"/>
      <w:marLeft w:val="0"/>
      <w:marRight w:val="0"/>
      <w:marTop w:val="0"/>
      <w:marBottom w:val="0"/>
      <w:divBdr>
        <w:top w:val="none" w:sz="0" w:space="0" w:color="auto"/>
        <w:left w:val="none" w:sz="0" w:space="0" w:color="auto"/>
        <w:bottom w:val="none" w:sz="0" w:space="0" w:color="auto"/>
        <w:right w:val="none" w:sz="0" w:space="0" w:color="auto"/>
      </w:divBdr>
    </w:div>
    <w:div w:id="1032078114">
      <w:bodyDiv w:val="1"/>
      <w:marLeft w:val="0"/>
      <w:marRight w:val="0"/>
      <w:marTop w:val="0"/>
      <w:marBottom w:val="0"/>
      <w:divBdr>
        <w:top w:val="none" w:sz="0" w:space="0" w:color="auto"/>
        <w:left w:val="none" w:sz="0" w:space="0" w:color="auto"/>
        <w:bottom w:val="none" w:sz="0" w:space="0" w:color="auto"/>
        <w:right w:val="none" w:sz="0" w:space="0" w:color="auto"/>
      </w:divBdr>
    </w:div>
    <w:div w:id="1034161138">
      <w:bodyDiv w:val="1"/>
      <w:marLeft w:val="0"/>
      <w:marRight w:val="0"/>
      <w:marTop w:val="0"/>
      <w:marBottom w:val="0"/>
      <w:divBdr>
        <w:top w:val="none" w:sz="0" w:space="0" w:color="auto"/>
        <w:left w:val="none" w:sz="0" w:space="0" w:color="auto"/>
        <w:bottom w:val="none" w:sz="0" w:space="0" w:color="auto"/>
        <w:right w:val="none" w:sz="0" w:space="0" w:color="auto"/>
      </w:divBdr>
    </w:div>
    <w:div w:id="1034619063">
      <w:bodyDiv w:val="1"/>
      <w:marLeft w:val="0"/>
      <w:marRight w:val="0"/>
      <w:marTop w:val="0"/>
      <w:marBottom w:val="0"/>
      <w:divBdr>
        <w:top w:val="none" w:sz="0" w:space="0" w:color="auto"/>
        <w:left w:val="none" w:sz="0" w:space="0" w:color="auto"/>
        <w:bottom w:val="none" w:sz="0" w:space="0" w:color="auto"/>
        <w:right w:val="none" w:sz="0" w:space="0" w:color="auto"/>
      </w:divBdr>
    </w:div>
    <w:div w:id="1037699760">
      <w:bodyDiv w:val="1"/>
      <w:marLeft w:val="0"/>
      <w:marRight w:val="0"/>
      <w:marTop w:val="0"/>
      <w:marBottom w:val="0"/>
      <w:divBdr>
        <w:top w:val="none" w:sz="0" w:space="0" w:color="auto"/>
        <w:left w:val="none" w:sz="0" w:space="0" w:color="auto"/>
        <w:bottom w:val="none" w:sz="0" w:space="0" w:color="auto"/>
        <w:right w:val="none" w:sz="0" w:space="0" w:color="auto"/>
      </w:divBdr>
    </w:div>
    <w:div w:id="1038436438">
      <w:bodyDiv w:val="1"/>
      <w:marLeft w:val="0"/>
      <w:marRight w:val="0"/>
      <w:marTop w:val="0"/>
      <w:marBottom w:val="0"/>
      <w:divBdr>
        <w:top w:val="none" w:sz="0" w:space="0" w:color="auto"/>
        <w:left w:val="none" w:sz="0" w:space="0" w:color="auto"/>
        <w:bottom w:val="none" w:sz="0" w:space="0" w:color="auto"/>
        <w:right w:val="none" w:sz="0" w:space="0" w:color="auto"/>
      </w:divBdr>
    </w:div>
    <w:div w:id="1039163184">
      <w:bodyDiv w:val="1"/>
      <w:marLeft w:val="0"/>
      <w:marRight w:val="0"/>
      <w:marTop w:val="0"/>
      <w:marBottom w:val="0"/>
      <w:divBdr>
        <w:top w:val="none" w:sz="0" w:space="0" w:color="auto"/>
        <w:left w:val="none" w:sz="0" w:space="0" w:color="auto"/>
        <w:bottom w:val="none" w:sz="0" w:space="0" w:color="auto"/>
        <w:right w:val="none" w:sz="0" w:space="0" w:color="auto"/>
      </w:divBdr>
    </w:div>
    <w:div w:id="1040938173">
      <w:bodyDiv w:val="1"/>
      <w:marLeft w:val="0"/>
      <w:marRight w:val="0"/>
      <w:marTop w:val="0"/>
      <w:marBottom w:val="0"/>
      <w:divBdr>
        <w:top w:val="none" w:sz="0" w:space="0" w:color="auto"/>
        <w:left w:val="none" w:sz="0" w:space="0" w:color="auto"/>
        <w:bottom w:val="none" w:sz="0" w:space="0" w:color="auto"/>
        <w:right w:val="none" w:sz="0" w:space="0" w:color="auto"/>
      </w:divBdr>
    </w:div>
    <w:div w:id="1041443595">
      <w:bodyDiv w:val="1"/>
      <w:marLeft w:val="0"/>
      <w:marRight w:val="0"/>
      <w:marTop w:val="0"/>
      <w:marBottom w:val="0"/>
      <w:divBdr>
        <w:top w:val="none" w:sz="0" w:space="0" w:color="auto"/>
        <w:left w:val="none" w:sz="0" w:space="0" w:color="auto"/>
        <w:bottom w:val="none" w:sz="0" w:space="0" w:color="auto"/>
        <w:right w:val="none" w:sz="0" w:space="0" w:color="auto"/>
      </w:divBdr>
    </w:div>
    <w:div w:id="1041511640">
      <w:bodyDiv w:val="1"/>
      <w:marLeft w:val="0"/>
      <w:marRight w:val="0"/>
      <w:marTop w:val="0"/>
      <w:marBottom w:val="0"/>
      <w:divBdr>
        <w:top w:val="none" w:sz="0" w:space="0" w:color="auto"/>
        <w:left w:val="none" w:sz="0" w:space="0" w:color="auto"/>
        <w:bottom w:val="none" w:sz="0" w:space="0" w:color="auto"/>
        <w:right w:val="none" w:sz="0" w:space="0" w:color="auto"/>
      </w:divBdr>
    </w:div>
    <w:div w:id="1046024997">
      <w:bodyDiv w:val="1"/>
      <w:marLeft w:val="0"/>
      <w:marRight w:val="0"/>
      <w:marTop w:val="0"/>
      <w:marBottom w:val="0"/>
      <w:divBdr>
        <w:top w:val="none" w:sz="0" w:space="0" w:color="auto"/>
        <w:left w:val="none" w:sz="0" w:space="0" w:color="auto"/>
        <w:bottom w:val="none" w:sz="0" w:space="0" w:color="auto"/>
        <w:right w:val="none" w:sz="0" w:space="0" w:color="auto"/>
      </w:divBdr>
    </w:div>
    <w:div w:id="1047797725">
      <w:bodyDiv w:val="1"/>
      <w:marLeft w:val="0"/>
      <w:marRight w:val="0"/>
      <w:marTop w:val="0"/>
      <w:marBottom w:val="0"/>
      <w:divBdr>
        <w:top w:val="none" w:sz="0" w:space="0" w:color="auto"/>
        <w:left w:val="none" w:sz="0" w:space="0" w:color="auto"/>
        <w:bottom w:val="none" w:sz="0" w:space="0" w:color="auto"/>
        <w:right w:val="none" w:sz="0" w:space="0" w:color="auto"/>
      </w:divBdr>
    </w:div>
    <w:div w:id="1047995572">
      <w:bodyDiv w:val="1"/>
      <w:marLeft w:val="0"/>
      <w:marRight w:val="0"/>
      <w:marTop w:val="0"/>
      <w:marBottom w:val="0"/>
      <w:divBdr>
        <w:top w:val="none" w:sz="0" w:space="0" w:color="auto"/>
        <w:left w:val="none" w:sz="0" w:space="0" w:color="auto"/>
        <w:bottom w:val="none" w:sz="0" w:space="0" w:color="auto"/>
        <w:right w:val="none" w:sz="0" w:space="0" w:color="auto"/>
      </w:divBdr>
    </w:div>
    <w:div w:id="1048144712">
      <w:bodyDiv w:val="1"/>
      <w:marLeft w:val="0"/>
      <w:marRight w:val="0"/>
      <w:marTop w:val="0"/>
      <w:marBottom w:val="0"/>
      <w:divBdr>
        <w:top w:val="none" w:sz="0" w:space="0" w:color="auto"/>
        <w:left w:val="none" w:sz="0" w:space="0" w:color="auto"/>
        <w:bottom w:val="none" w:sz="0" w:space="0" w:color="auto"/>
        <w:right w:val="none" w:sz="0" w:space="0" w:color="auto"/>
      </w:divBdr>
    </w:div>
    <w:div w:id="1049262765">
      <w:bodyDiv w:val="1"/>
      <w:marLeft w:val="0"/>
      <w:marRight w:val="0"/>
      <w:marTop w:val="0"/>
      <w:marBottom w:val="0"/>
      <w:divBdr>
        <w:top w:val="none" w:sz="0" w:space="0" w:color="auto"/>
        <w:left w:val="none" w:sz="0" w:space="0" w:color="auto"/>
        <w:bottom w:val="none" w:sz="0" w:space="0" w:color="auto"/>
        <w:right w:val="none" w:sz="0" w:space="0" w:color="auto"/>
      </w:divBdr>
    </w:div>
    <w:div w:id="1049914743">
      <w:bodyDiv w:val="1"/>
      <w:marLeft w:val="0"/>
      <w:marRight w:val="0"/>
      <w:marTop w:val="0"/>
      <w:marBottom w:val="0"/>
      <w:divBdr>
        <w:top w:val="none" w:sz="0" w:space="0" w:color="auto"/>
        <w:left w:val="none" w:sz="0" w:space="0" w:color="auto"/>
        <w:bottom w:val="none" w:sz="0" w:space="0" w:color="auto"/>
        <w:right w:val="none" w:sz="0" w:space="0" w:color="auto"/>
      </w:divBdr>
    </w:div>
    <w:div w:id="1050108319">
      <w:bodyDiv w:val="1"/>
      <w:marLeft w:val="0"/>
      <w:marRight w:val="0"/>
      <w:marTop w:val="0"/>
      <w:marBottom w:val="0"/>
      <w:divBdr>
        <w:top w:val="none" w:sz="0" w:space="0" w:color="auto"/>
        <w:left w:val="none" w:sz="0" w:space="0" w:color="auto"/>
        <w:bottom w:val="none" w:sz="0" w:space="0" w:color="auto"/>
        <w:right w:val="none" w:sz="0" w:space="0" w:color="auto"/>
      </w:divBdr>
    </w:div>
    <w:div w:id="1056199759">
      <w:bodyDiv w:val="1"/>
      <w:marLeft w:val="0"/>
      <w:marRight w:val="0"/>
      <w:marTop w:val="0"/>
      <w:marBottom w:val="0"/>
      <w:divBdr>
        <w:top w:val="none" w:sz="0" w:space="0" w:color="auto"/>
        <w:left w:val="none" w:sz="0" w:space="0" w:color="auto"/>
        <w:bottom w:val="none" w:sz="0" w:space="0" w:color="auto"/>
        <w:right w:val="none" w:sz="0" w:space="0" w:color="auto"/>
      </w:divBdr>
    </w:div>
    <w:div w:id="1056465191">
      <w:bodyDiv w:val="1"/>
      <w:marLeft w:val="0"/>
      <w:marRight w:val="0"/>
      <w:marTop w:val="0"/>
      <w:marBottom w:val="0"/>
      <w:divBdr>
        <w:top w:val="none" w:sz="0" w:space="0" w:color="auto"/>
        <w:left w:val="none" w:sz="0" w:space="0" w:color="auto"/>
        <w:bottom w:val="none" w:sz="0" w:space="0" w:color="auto"/>
        <w:right w:val="none" w:sz="0" w:space="0" w:color="auto"/>
      </w:divBdr>
    </w:div>
    <w:div w:id="1058480147">
      <w:bodyDiv w:val="1"/>
      <w:marLeft w:val="0"/>
      <w:marRight w:val="0"/>
      <w:marTop w:val="0"/>
      <w:marBottom w:val="0"/>
      <w:divBdr>
        <w:top w:val="none" w:sz="0" w:space="0" w:color="auto"/>
        <w:left w:val="none" w:sz="0" w:space="0" w:color="auto"/>
        <w:bottom w:val="none" w:sz="0" w:space="0" w:color="auto"/>
        <w:right w:val="none" w:sz="0" w:space="0" w:color="auto"/>
      </w:divBdr>
    </w:div>
    <w:div w:id="1064916246">
      <w:bodyDiv w:val="1"/>
      <w:marLeft w:val="0"/>
      <w:marRight w:val="0"/>
      <w:marTop w:val="0"/>
      <w:marBottom w:val="0"/>
      <w:divBdr>
        <w:top w:val="none" w:sz="0" w:space="0" w:color="auto"/>
        <w:left w:val="none" w:sz="0" w:space="0" w:color="auto"/>
        <w:bottom w:val="none" w:sz="0" w:space="0" w:color="auto"/>
        <w:right w:val="none" w:sz="0" w:space="0" w:color="auto"/>
      </w:divBdr>
    </w:div>
    <w:div w:id="1065027814">
      <w:bodyDiv w:val="1"/>
      <w:marLeft w:val="0"/>
      <w:marRight w:val="0"/>
      <w:marTop w:val="0"/>
      <w:marBottom w:val="0"/>
      <w:divBdr>
        <w:top w:val="none" w:sz="0" w:space="0" w:color="auto"/>
        <w:left w:val="none" w:sz="0" w:space="0" w:color="auto"/>
        <w:bottom w:val="none" w:sz="0" w:space="0" w:color="auto"/>
        <w:right w:val="none" w:sz="0" w:space="0" w:color="auto"/>
      </w:divBdr>
    </w:div>
    <w:div w:id="1065835359">
      <w:bodyDiv w:val="1"/>
      <w:marLeft w:val="0"/>
      <w:marRight w:val="0"/>
      <w:marTop w:val="0"/>
      <w:marBottom w:val="0"/>
      <w:divBdr>
        <w:top w:val="none" w:sz="0" w:space="0" w:color="auto"/>
        <w:left w:val="none" w:sz="0" w:space="0" w:color="auto"/>
        <w:bottom w:val="none" w:sz="0" w:space="0" w:color="auto"/>
        <w:right w:val="none" w:sz="0" w:space="0" w:color="auto"/>
      </w:divBdr>
    </w:div>
    <w:div w:id="1066298281">
      <w:bodyDiv w:val="1"/>
      <w:marLeft w:val="0"/>
      <w:marRight w:val="0"/>
      <w:marTop w:val="0"/>
      <w:marBottom w:val="0"/>
      <w:divBdr>
        <w:top w:val="none" w:sz="0" w:space="0" w:color="auto"/>
        <w:left w:val="none" w:sz="0" w:space="0" w:color="auto"/>
        <w:bottom w:val="none" w:sz="0" w:space="0" w:color="auto"/>
        <w:right w:val="none" w:sz="0" w:space="0" w:color="auto"/>
      </w:divBdr>
    </w:div>
    <w:div w:id="1069572485">
      <w:bodyDiv w:val="1"/>
      <w:marLeft w:val="0"/>
      <w:marRight w:val="0"/>
      <w:marTop w:val="0"/>
      <w:marBottom w:val="0"/>
      <w:divBdr>
        <w:top w:val="none" w:sz="0" w:space="0" w:color="auto"/>
        <w:left w:val="none" w:sz="0" w:space="0" w:color="auto"/>
        <w:bottom w:val="none" w:sz="0" w:space="0" w:color="auto"/>
        <w:right w:val="none" w:sz="0" w:space="0" w:color="auto"/>
      </w:divBdr>
    </w:div>
    <w:div w:id="1069619673">
      <w:bodyDiv w:val="1"/>
      <w:marLeft w:val="0"/>
      <w:marRight w:val="0"/>
      <w:marTop w:val="0"/>
      <w:marBottom w:val="0"/>
      <w:divBdr>
        <w:top w:val="none" w:sz="0" w:space="0" w:color="auto"/>
        <w:left w:val="none" w:sz="0" w:space="0" w:color="auto"/>
        <w:bottom w:val="none" w:sz="0" w:space="0" w:color="auto"/>
        <w:right w:val="none" w:sz="0" w:space="0" w:color="auto"/>
      </w:divBdr>
    </w:div>
    <w:div w:id="1072241135">
      <w:bodyDiv w:val="1"/>
      <w:marLeft w:val="0"/>
      <w:marRight w:val="0"/>
      <w:marTop w:val="0"/>
      <w:marBottom w:val="0"/>
      <w:divBdr>
        <w:top w:val="none" w:sz="0" w:space="0" w:color="auto"/>
        <w:left w:val="none" w:sz="0" w:space="0" w:color="auto"/>
        <w:bottom w:val="none" w:sz="0" w:space="0" w:color="auto"/>
        <w:right w:val="none" w:sz="0" w:space="0" w:color="auto"/>
      </w:divBdr>
    </w:div>
    <w:div w:id="1075250818">
      <w:bodyDiv w:val="1"/>
      <w:marLeft w:val="0"/>
      <w:marRight w:val="0"/>
      <w:marTop w:val="0"/>
      <w:marBottom w:val="0"/>
      <w:divBdr>
        <w:top w:val="none" w:sz="0" w:space="0" w:color="auto"/>
        <w:left w:val="none" w:sz="0" w:space="0" w:color="auto"/>
        <w:bottom w:val="none" w:sz="0" w:space="0" w:color="auto"/>
        <w:right w:val="none" w:sz="0" w:space="0" w:color="auto"/>
      </w:divBdr>
    </w:div>
    <w:div w:id="1075594413">
      <w:bodyDiv w:val="1"/>
      <w:marLeft w:val="0"/>
      <w:marRight w:val="0"/>
      <w:marTop w:val="0"/>
      <w:marBottom w:val="0"/>
      <w:divBdr>
        <w:top w:val="none" w:sz="0" w:space="0" w:color="auto"/>
        <w:left w:val="none" w:sz="0" w:space="0" w:color="auto"/>
        <w:bottom w:val="none" w:sz="0" w:space="0" w:color="auto"/>
        <w:right w:val="none" w:sz="0" w:space="0" w:color="auto"/>
      </w:divBdr>
    </w:div>
    <w:div w:id="1076824010">
      <w:bodyDiv w:val="1"/>
      <w:marLeft w:val="0"/>
      <w:marRight w:val="0"/>
      <w:marTop w:val="0"/>
      <w:marBottom w:val="0"/>
      <w:divBdr>
        <w:top w:val="none" w:sz="0" w:space="0" w:color="auto"/>
        <w:left w:val="none" w:sz="0" w:space="0" w:color="auto"/>
        <w:bottom w:val="none" w:sz="0" w:space="0" w:color="auto"/>
        <w:right w:val="none" w:sz="0" w:space="0" w:color="auto"/>
      </w:divBdr>
    </w:div>
    <w:div w:id="1081028529">
      <w:bodyDiv w:val="1"/>
      <w:marLeft w:val="0"/>
      <w:marRight w:val="0"/>
      <w:marTop w:val="0"/>
      <w:marBottom w:val="0"/>
      <w:divBdr>
        <w:top w:val="none" w:sz="0" w:space="0" w:color="auto"/>
        <w:left w:val="none" w:sz="0" w:space="0" w:color="auto"/>
        <w:bottom w:val="none" w:sz="0" w:space="0" w:color="auto"/>
        <w:right w:val="none" w:sz="0" w:space="0" w:color="auto"/>
      </w:divBdr>
    </w:div>
    <w:div w:id="1081173075">
      <w:bodyDiv w:val="1"/>
      <w:marLeft w:val="0"/>
      <w:marRight w:val="0"/>
      <w:marTop w:val="0"/>
      <w:marBottom w:val="0"/>
      <w:divBdr>
        <w:top w:val="none" w:sz="0" w:space="0" w:color="auto"/>
        <w:left w:val="none" w:sz="0" w:space="0" w:color="auto"/>
        <w:bottom w:val="none" w:sz="0" w:space="0" w:color="auto"/>
        <w:right w:val="none" w:sz="0" w:space="0" w:color="auto"/>
      </w:divBdr>
    </w:div>
    <w:div w:id="1081636832">
      <w:bodyDiv w:val="1"/>
      <w:marLeft w:val="0"/>
      <w:marRight w:val="0"/>
      <w:marTop w:val="0"/>
      <w:marBottom w:val="0"/>
      <w:divBdr>
        <w:top w:val="none" w:sz="0" w:space="0" w:color="auto"/>
        <w:left w:val="none" w:sz="0" w:space="0" w:color="auto"/>
        <w:bottom w:val="none" w:sz="0" w:space="0" w:color="auto"/>
        <w:right w:val="none" w:sz="0" w:space="0" w:color="auto"/>
      </w:divBdr>
    </w:div>
    <w:div w:id="1083144961">
      <w:bodyDiv w:val="1"/>
      <w:marLeft w:val="0"/>
      <w:marRight w:val="0"/>
      <w:marTop w:val="0"/>
      <w:marBottom w:val="0"/>
      <w:divBdr>
        <w:top w:val="none" w:sz="0" w:space="0" w:color="auto"/>
        <w:left w:val="none" w:sz="0" w:space="0" w:color="auto"/>
        <w:bottom w:val="none" w:sz="0" w:space="0" w:color="auto"/>
        <w:right w:val="none" w:sz="0" w:space="0" w:color="auto"/>
      </w:divBdr>
    </w:div>
    <w:div w:id="1083602809">
      <w:bodyDiv w:val="1"/>
      <w:marLeft w:val="0"/>
      <w:marRight w:val="0"/>
      <w:marTop w:val="0"/>
      <w:marBottom w:val="0"/>
      <w:divBdr>
        <w:top w:val="none" w:sz="0" w:space="0" w:color="auto"/>
        <w:left w:val="none" w:sz="0" w:space="0" w:color="auto"/>
        <w:bottom w:val="none" w:sz="0" w:space="0" w:color="auto"/>
        <w:right w:val="none" w:sz="0" w:space="0" w:color="auto"/>
      </w:divBdr>
    </w:div>
    <w:div w:id="1086153919">
      <w:bodyDiv w:val="1"/>
      <w:marLeft w:val="0"/>
      <w:marRight w:val="0"/>
      <w:marTop w:val="0"/>
      <w:marBottom w:val="0"/>
      <w:divBdr>
        <w:top w:val="none" w:sz="0" w:space="0" w:color="auto"/>
        <w:left w:val="none" w:sz="0" w:space="0" w:color="auto"/>
        <w:bottom w:val="none" w:sz="0" w:space="0" w:color="auto"/>
        <w:right w:val="none" w:sz="0" w:space="0" w:color="auto"/>
      </w:divBdr>
    </w:div>
    <w:div w:id="1088700225">
      <w:bodyDiv w:val="1"/>
      <w:marLeft w:val="0"/>
      <w:marRight w:val="0"/>
      <w:marTop w:val="0"/>
      <w:marBottom w:val="0"/>
      <w:divBdr>
        <w:top w:val="none" w:sz="0" w:space="0" w:color="auto"/>
        <w:left w:val="none" w:sz="0" w:space="0" w:color="auto"/>
        <w:bottom w:val="none" w:sz="0" w:space="0" w:color="auto"/>
        <w:right w:val="none" w:sz="0" w:space="0" w:color="auto"/>
      </w:divBdr>
    </w:div>
    <w:div w:id="1091121673">
      <w:bodyDiv w:val="1"/>
      <w:marLeft w:val="0"/>
      <w:marRight w:val="0"/>
      <w:marTop w:val="0"/>
      <w:marBottom w:val="0"/>
      <w:divBdr>
        <w:top w:val="none" w:sz="0" w:space="0" w:color="auto"/>
        <w:left w:val="none" w:sz="0" w:space="0" w:color="auto"/>
        <w:bottom w:val="none" w:sz="0" w:space="0" w:color="auto"/>
        <w:right w:val="none" w:sz="0" w:space="0" w:color="auto"/>
      </w:divBdr>
    </w:div>
    <w:div w:id="1091194248">
      <w:bodyDiv w:val="1"/>
      <w:marLeft w:val="0"/>
      <w:marRight w:val="0"/>
      <w:marTop w:val="0"/>
      <w:marBottom w:val="0"/>
      <w:divBdr>
        <w:top w:val="none" w:sz="0" w:space="0" w:color="auto"/>
        <w:left w:val="none" w:sz="0" w:space="0" w:color="auto"/>
        <w:bottom w:val="none" w:sz="0" w:space="0" w:color="auto"/>
        <w:right w:val="none" w:sz="0" w:space="0" w:color="auto"/>
      </w:divBdr>
    </w:div>
    <w:div w:id="1092506460">
      <w:bodyDiv w:val="1"/>
      <w:marLeft w:val="0"/>
      <w:marRight w:val="0"/>
      <w:marTop w:val="0"/>
      <w:marBottom w:val="0"/>
      <w:divBdr>
        <w:top w:val="none" w:sz="0" w:space="0" w:color="auto"/>
        <w:left w:val="none" w:sz="0" w:space="0" w:color="auto"/>
        <w:bottom w:val="none" w:sz="0" w:space="0" w:color="auto"/>
        <w:right w:val="none" w:sz="0" w:space="0" w:color="auto"/>
      </w:divBdr>
    </w:div>
    <w:div w:id="1095973840">
      <w:bodyDiv w:val="1"/>
      <w:marLeft w:val="0"/>
      <w:marRight w:val="0"/>
      <w:marTop w:val="0"/>
      <w:marBottom w:val="0"/>
      <w:divBdr>
        <w:top w:val="none" w:sz="0" w:space="0" w:color="auto"/>
        <w:left w:val="none" w:sz="0" w:space="0" w:color="auto"/>
        <w:bottom w:val="none" w:sz="0" w:space="0" w:color="auto"/>
        <w:right w:val="none" w:sz="0" w:space="0" w:color="auto"/>
      </w:divBdr>
    </w:div>
    <w:div w:id="1096361059">
      <w:bodyDiv w:val="1"/>
      <w:marLeft w:val="0"/>
      <w:marRight w:val="0"/>
      <w:marTop w:val="0"/>
      <w:marBottom w:val="0"/>
      <w:divBdr>
        <w:top w:val="none" w:sz="0" w:space="0" w:color="auto"/>
        <w:left w:val="none" w:sz="0" w:space="0" w:color="auto"/>
        <w:bottom w:val="none" w:sz="0" w:space="0" w:color="auto"/>
        <w:right w:val="none" w:sz="0" w:space="0" w:color="auto"/>
      </w:divBdr>
    </w:div>
    <w:div w:id="1096899493">
      <w:bodyDiv w:val="1"/>
      <w:marLeft w:val="0"/>
      <w:marRight w:val="0"/>
      <w:marTop w:val="0"/>
      <w:marBottom w:val="0"/>
      <w:divBdr>
        <w:top w:val="none" w:sz="0" w:space="0" w:color="auto"/>
        <w:left w:val="none" w:sz="0" w:space="0" w:color="auto"/>
        <w:bottom w:val="none" w:sz="0" w:space="0" w:color="auto"/>
        <w:right w:val="none" w:sz="0" w:space="0" w:color="auto"/>
      </w:divBdr>
      <w:divsChild>
        <w:div w:id="177276026">
          <w:marLeft w:val="57"/>
          <w:marRight w:val="0"/>
          <w:marTop w:val="0"/>
          <w:marBottom w:val="0"/>
          <w:divBdr>
            <w:top w:val="none" w:sz="0" w:space="0" w:color="auto"/>
            <w:left w:val="none" w:sz="0" w:space="0" w:color="auto"/>
            <w:bottom w:val="none" w:sz="0" w:space="0" w:color="auto"/>
            <w:right w:val="none" w:sz="0" w:space="0" w:color="auto"/>
          </w:divBdr>
        </w:div>
        <w:div w:id="247541273">
          <w:marLeft w:val="57"/>
          <w:marRight w:val="0"/>
          <w:marTop w:val="0"/>
          <w:marBottom w:val="0"/>
          <w:divBdr>
            <w:top w:val="none" w:sz="0" w:space="0" w:color="auto"/>
            <w:left w:val="none" w:sz="0" w:space="0" w:color="auto"/>
            <w:bottom w:val="none" w:sz="0" w:space="0" w:color="auto"/>
            <w:right w:val="none" w:sz="0" w:space="0" w:color="auto"/>
          </w:divBdr>
        </w:div>
        <w:div w:id="358551605">
          <w:marLeft w:val="57"/>
          <w:marRight w:val="0"/>
          <w:marTop w:val="0"/>
          <w:marBottom w:val="0"/>
          <w:divBdr>
            <w:top w:val="none" w:sz="0" w:space="0" w:color="auto"/>
            <w:left w:val="none" w:sz="0" w:space="0" w:color="auto"/>
            <w:bottom w:val="none" w:sz="0" w:space="0" w:color="auto"/>
            <w:right w:val="none" w:sz="0" w:space="0" w:color="auto"/>
          </w:divBdr>
        </w:div>
        <w:div w:id="413865663">
          <w:marLeft w:val="57"/>
          <w:marRight w:val="0"/>
          <w:marTop w:val="0"/>
          <w:marBottom w:val="0"/>
          <w:divBdr>
            <w:top w:val="none" w:sz="0" w:space="0" w:color="auto"/>
            <w:left w:val="none" w:sz="0" w:space="0" w:color="auto"/>
            <w:bottom w:val="none" w:sz="0" w:space="0" w:color="auto"/>
            <w:right w:val="none" w:sz="0" w:space="0" w:color="auto"/>
          </w:divBdr>
        </w:div>
        <w:div w:id="547306442">
          <w:marLeft w:val="397"/>
          <w:marRight w:val="0"/>
          <w:marTop w:val="0"/>
          <w:marBottom w:val="0"/>
          <w:divBdr>
            <w:top w:val="none" w:sz="0" w:space="0" w:color="auto"/>
            <w:left w:val="none" w:sz="0" w:space="0" w:color="auto"/>
            <w:bottom w:val="none" w:sz="0" w:space="0" w:color="auto"/>
            <w:right w:val="none" w:sz="0" w:space="0" w:color="auto"/>
          </w:divBdr>
        </w:div>
        <w:div w:id="607393634">
          <w:marLeft w:val="57"/>
          <w:marRight w:val="0"/>
          <w:marTop w:val="0"/>
          <w:marBottom w:val="0"/>
          <w:divBdr>
            <w:top w:val="none" w:sz="0" w:space="0" w:color="auto"/>
            <w:left w:val="none" w:sz="0" w:space="0" w:color="auto"/>
            <w:bottom w:val="none" w:sz="0" w:space="0" w:color="auto"/>
            <w:right w:val="none" w:sz="0" w:space="0" w:color="auto"/>
          </w:divBdr>
        </w:div>
        <w:div w:id="644627800">
          <w:marLeft w:val="57"/>
          <w:marRight w:val="0"/>
          <w:marTop w:val="0"/>
          <w:marBottom w:val="0"/>
          <w:divBdr>
            <w:top w:val="none" w:sz="0" w:space="0" w:color="auto"/>
            <w:left w:val="none" w:sz="0" w:space="0" w:color="auto"/>
            <w:bottom w:val="none" w:sz="0" w:space="0" w:color="auto"/>
            <w:right w:val="none" w:sz="0" w:space="0" w:color="auto"/>
          </w:divBdr>
        </w:div>
        <w:div w:id="820079158">
          <w:marLeft w:val="57"/>
          <w:marRight w:val="0"/>
          <w:marTop w:val="0"/>
          <w:marBottom w:val="0"/>
          <w:divBdr>
            <w:top w:val="none" w:sz="0" w:space="0" w:color="auto"/>
            <w:left w:val="none" w:sz="0" w:space="0" w:color="auto"/>
            <w:bottom w:val="none" w:sz="0" w:space="0" w:color="auto"/>
            <w:right w:val="none" w:sz="0" w:space="0" w:color="auto"/>
          </w:divBdr>
        </w:div>
        <w:div w:id="943263891">
          <w:marLeft w:val="57"/>
          <w:marRight w:val="0"/>
          <w:marTop w:val="0"/>
          <w:marBottom w:val="0"/>
          <w:divBdr>
            <w:top w:val="none" w:sz="0" w:space="0" w:color="auto"/>
            <w:left w:val="none" w:sz="0" w:space="0" w:color="auto"/>
            <w:bottom w:val="none" w:sz="0" w:space="0" w:color="auto"/>
            <w:right w:val="none" w:sz="0" w:space="0" w:color="auto"/>
          </w:divBdr>
        </w:div>
        <w:div w:id="967781585">
          <w:marLeft w:val="57"/>
          <w:marRight w:val="0"/>
          <w:marTop w:val="0"/>
          <w:marBottom w:val="0"/>
          <w:divBdr>
            <w:top w:val="none" w:sz="0" w:space="0" w:color="auto"/>
            <w:left w:val="none" w:sz="0" w:space="0" w:color="auto"/>
            <w:bottom w:val="none" w:sz="0" w:space="0" w:color="auto"/>
            <w:right w:val="none" w:sz="0" w:space="0" w:color="auto"/>
          </w:divBdr>
        </w:div>
        <w:div w:id="1000352934">
          <w:marLeft w:val="57"/>
          <w:marRight w:val="0"/>
          <w:marTop w:val="0"/>
          <w:marBottom w:val="0"/>
          <w:divBdr>
            <w:top w:val="none" w:sz="0" w:space="0" w:color="auto"/>
            <w:left w:val="none" w:sz="0" w:space="0" w:color="auto"/>
            <w:bottom w:val="none" w:sz="0" w:space="0" w:color="auto"/>
            <w:right w:val="none" w:sz="0" w:space="0" w:color="auto"/>
          </w:divBdr>
        </w:div>
        <w:div w:id="1086419730">
          <w:marLeft w:val="57"/>
          <w:marRight w:val="0"/>
          <w:marTop w:val="0"/>
          <w:marBottom w:val="0"/>
          <w:divBdr>
            <w:top w:val="none" w:sz="0" w:space="0" w:color="auto"/>
            <w:left w:val="none" w:sz="0" w:space="0" w:color="auto"/>
            <w:bottom w:val="none" w:sz="0" w:space="0" w:color="auto"/>
            <w:right w:val="none" w:sz="0" w:space="0" w:color="auto"/>
          </w:divBdr>
        </w:div>
        <w:div w:id="1176531703">
          <w:marLeft w:val="397"/>
          <w:marRight w:val="0"/>
          <w:marTop w:val="0"/>
          <w:marBottom w:val="0"/>
          <w:divBdr>
            <w:top w:val="none" w:sz="0" w:space="0" w:color="auto"/>
            <w:left w:val="none" w:sz="0" w:space="0" w:color="auto"/>
            <w:bottom w:val="none" w:sz="0" w:space="0" w:color="auto"/>
            <w:right w:val="none" w:sz="0" w:space="0" w:color="auto"/>
          </w:divBdr>
        </w:div>
        <w:div w:id="1275330883">
          <w:marLeft w:val="57"/>
          <w:marRight w:val="0"/>
          <w:marTop w:val="0"/>
          <w:marBottom w:val="0"/>
          <w:divBdr>
            <w:top w:val="none" w:sz="0" w:space="0" w:color="auto"/>
            <w:left w:val="none" w:sz="0" w:space="0" w:color="auto"/>
            <w:bottom w:val="none" w:sz="0" w:space="0" w:color="auto"/>
            <w:right w:val="none" w:sz="0" w:space="0" w:color="auto"/>
          </w:divBdr>
        </w:div>
        <w:div w:id="1370034244">
          <w:marLeft w:val="57"/>
          <w:marRight w:val="0"/>
          <w:marTop w:val="0"/>
          <w:marBottom w:val="0"/>
          <w:divBdr>
            <w:top w:val="none" w:sz="0" w:space="0" w:color="auto"/>
            <w:left w:val="none" w:sz="0" w:space="0" w:color="auto"/>
            <w:bottom w:val="none" w:sz="0" w:space="0" w:color="auto"/>
            <w:right w:val="none" w:sz="0" w:space="0" w:color="auto"/>
          </w:divBdr>
        </w:div>
        <w:div w:id="1388068791">
          <w:marLeft w:val="57"/>
          <w:marRight w:val="0"/>
          <w:marTop w:val="0"/>
          <w:marBottom w:val="0"/>
          <w:divBdr>
            <w:top w:val="none" w:sz="0" w:space="0" w:color="auto"/>
            <w:left w:val="none" w:sz="0" w:space="0" w:color="auto"/>
            <w:bottom w:val="none" w:sz="0" w:space="0" w:color="auto"/>
            <w:right w:val="none" w:sz="0" w:space="0" w:color="auto"/>
          </w:divBdr>
        </w:div>
        <w:div w:id="1632204437">
          <w:marLeft w:val="397"/>
          <w:marRight w:val="0"/>
          <w:marTop w:val="0"/>
          <w:marBottom w:val="0"/>
          <w:divBdr>
            <w:top w:val="none" w:sz="0" w:space="0" w:color="auto"/>
            <w:left w:val="none" w:sz="0" w:space="0" w:color="auto"/>
            <w:bottom w:val="none" w:sz="0" w:space="0" w:color="auto"/>
            <w:right w:val="none" w:sz="0" w:space="0" w:color="auto"/>
          </w:divBdr>
        </w:div>
        <w:div w:id="1749764129">
          <w:marLeft w:val="57"/>
          <w:marRight w:val="0"/>
          <w:marTop w:val="0"/>
          <w:marBottom w:val="0"/>
          <w:divBdr>
            <w:top w:val="none" w:sz="0" w:space="0" w:color="auto"/>
            <w:left w:val="none" w:sz="0" w:space="0" w:color="auto"/>
            <w:bottom w:val="none" w:sz="0" w:space="0" w:color="auto"/>
            <w:right w:val="none" w:sz="0" w:space="0" w:color="auto"/>
          </w:divBdr>
        </w:div>
        <w:div w:id="1801075307">
          <w:marLeft w:val="57"/>
          <w:marRight w:val="0"/>
          <w:marTop w:val="0"/>
          <w:marBottom w:val="0"/>
          <w:divBdr>
            <w:top w:val="none" w:sz="0" w:space="0" w:color="auto"/>
            <w:left w:val="none" w:sz="0" w:space="0" w:color="auto"/>
            <w:bottom w:val="none" w:sz="0" w:space="0" w:color="auto"/>
            <w:right w:val="none" w:sz="0" w:space="0" w:color="auto"/>
          </w:divBdr>
        </w:div>
        <w:div w:id="1840844792">
          <w:marLeft w:val="57"/>
          <w:marRight w:val="0"/>
          <w:marTop w:val="0"/>
          <w:marBottom w:val="0"/>
          <w:divBdr>
            <w:top w:val="none" w:sz="0" w:space="0" w:color="auto"/>
            <w:left w:val="none" w:sz="0" w:space="0" w:color="auto"/>
            <w:bottom w:val="none" w:sz="0" w:space="0" w:color="auto"/>
            <w:right w:val="none" w:sz="0" w:space="0" w:color="auto"/>
          </w:divBdr>
        </w:div>
        <w:div w:id="1854175783">
          <w:marLeft w:val="397"/>
          <w:marRight w:val="0"/>
          <w:marTop w:val="0"/>
          <w:marBottom w:val="0"/>
          <w:divBdr>
            <w:top w:val="none" w:sz="0" w:space="0" w:color="auto"/>
            <w:left w:val="none" w:sz="0" w:space="0" w:color="auto"/>
            <w:bottom w:val="none" w:sz="0" w:space="0" w:color="auto"/>
            <w:right w:val="none" w:sz="0" w:space="0" w:color="auto"/>
          </w:divBdr>
        </w:div>
        <w:div w:id="1950500872">
          <w:marLeft w:val="57"/>
          <w:marRight w:val="0"/>
          <w:marTop w:val="0"/>
          <w:marBottom w:val="0"/>
          <w:divBdr>
            <w:top w:val="none" w:sz="0" w:space="0" w:color="auto"/>
            <w:left w:val="none" w:sz="0" w:space="0" w:color="auto"/>
            <w:bottom w:val="none" w:sz="0" w:space="0" w:color="auto"/>
            <w:right w:val="none" w:sz="0" w:space="0" w:color="auto"/>
          </w:divBdr>
        </w:div>
        <w:div w:id="1986424777">
          <w:marLeft w:val="57"/>
          <w:marRight w:val="0"/>
          <w:marTop w:val="0"/>
          <w:marBottom w:val="0"/>
          <w:divBdr>
            <w:top w:val="none" w:sz="0" w:space="0" w:color="auto"/>
            <w:left w:val="none" w:sz="0" w:space="0" w:color="auto"/>
            <w:bottom w:val="none" w:sz="0" w:space="0" w:color="auto"/>
            <w:right w:val="none" w:sz="0" w:space="0" w:color="auto"/>
          </w:divBdr>
        </w:div>
        <w:div w:id="2022664268">
          <w:marLeft w:val="57"/>
          <w:marRight w:val="0"/>
          <w:marTop w:val="0"/>
          <w:marBottom w:val="0"/>
          <w:divBdr>
            <w:top w:val="none" w:sz="0" w:space="0" w:color="auto"/>
            <w:left w:val="none" w:sz="0" w:space="0" w:color="auto"/>
            <w:bottom w:val="none" w:sz="0" w:space="0" w:color="auto"/>
            <w:right w:val="none" w:sz="0" w:space="0" w:color="auto"/>
          </w:divBdr>
        </w:div>
      </w:divsChild>
    </w:div>
    <w:div w:id="1096942882">
      <w:bodyDiv w:val="1"/>
      <w:marLeft w:val="0"/>
      <w:marRight w:val="0"/>
      <w:marTop w:val="0"/>
      <w:marBottom w:val="0"/>
      <w:divBdr>
        <w:top w:val="none" w:sz="0" w:space="0" w:color="auto"/>
        <w:left w:val="none" w:sz="0" w:space="0" w:color="auto"/>
        <w:bottom w:val="none" w:sz="0" w:space="0" w:color="auto"/>
        <w:right w:val="none" w:sz="0" w:space="0" w:color="auto"/>
      </w:divBdr>
    </w:div>
    <w:div w:id="1099256962">
      <w:bodyDiv w:val="1"/>
      <w:marLeft w:val="0"/>
      <w:marRight w:val="0"/>
      <w:marTop w:val="0"/>
      <w:marBottom w:val="0"/>
      <w:divBdr>
        <w:top w:val="none" w:sz="0" w:space="0" w:color="auto"/>
        <w:left w:val="none" w:sz="0" w:space="0" w:color="auto"/>
        <w:bottom w:val="none" w:sz="0" w:space="0" w:color="auto"/>
        <w:right w:val="none" w:sz="0" w:space="0" w:color="auto"/>
      </w:divBdr>
    </w:div>
    <w:div w:id="1101146685">
      <w:bodyDiv w:val="1"/>
      <w:marLeft w:val="0"/>
      <w:marRight w:val="0"/>
      <w:marTop w:val="0"/>
      <w:marBottom w:val="0"/>
      <w:divBdr>
        <w:top w:val="none" w:sz="0" w:space="0" w:color="auto"/>
        <w:left w:val="none" w:sz="0" w:space="0" w:color="auto"/>
        <w:bottom w:val="none" w:sz="0" w:space="0" w:color="auto"/>
        <w:right w:val="none" w:sz="0" w:space="0" w:color="auto"/>
      </w:divBdr>
    </w:div>
    <w:div w:id="1104304614">
      <w:bodyDiv w:val="1"/>
      <w:marLeft w:val="0"/>
      <w:marRight w:val="0"/>
      <w:marTop w:val="0"/>
      <w:marBottom w:val="0"/>
      <w:divBdr>
        <w:top w:val="none" w:sz="0" w:space="0" w:color="auto"/>
        <w:left w:val="none" w:sz="0" w:space="0" w:color="auto"/>
        <w:bottom w:val="none" w:sz="0" w:space="0" w:color="auto"/>
        <w:right w:val="none" w:sz="0" w:space="0" w:color="auto"/>
      </w:divBdr>
    </w:div>
    <w:div w:id="1104763862">
      <w:bodyDiv w:val="1"/>
      <w:marLeft w:val="0"/>
      <w:marRight w:val="0"/>
      <w:marTop w:val="0"/>
      <w:marBottom w:val="0"/>
      <w:divBdr>
        <w:top w:val="none" w:sz="0" w:space="0" w:color="auto"/>
        <w:left w:val="none" w:sz="0" w:space="0" w:color="auto"/>
        <w:bottom w:val="none" w:sz="0" w:space="0" w:color="auto"/>
        <w:right w:val="none" w:sz="0" w:space="0" w:color="auto"/>
      </w:divBdr>
    </w:div>
    <w:div w:id="1104809079">
      <w:bodyDiv w:val="1"/>
      <w:marLeft w:val="0"/>
      <w:marRight w:val="0"/>
      <w:marTop w:val="0"/>
      <w:marBottom w:val="0"/>
      <w:divBdr>
        <w:top w:val="none" w:sz="0" w:space="0" w:color="auto"/>
        <w:left w:val="none" w:sz="0" w:space="0" w:color="auto"/>
        <w:bottom w:val="none" w:sz="0" w:space="0" w:color="auto"/>
        <w:right w:val="none" w:sz="0" w:space="0" w:color="auto"/>
      </w:divBdr>
    </w:div>
    <w:div w:id="1112549363">
      <w:bodyDiv w:val="1"/>
      <w:marLeft w:val="0"/>
      <w:marRight w:val="0"/>
      <w:marTop w:val="0"/>
      <w:marBottom w:val="0"/>
      <w:divBdr>
        <w:top w:val="none" w:sz="0" w:space="0" w:color="auto"/>
        <w:left w:val="none" w:sz="0" w:space="0" w:color="auto"/>
        <w:bottom w:val="none" w:sz="0" w:space="0" w:color="auto"/>
        <w:right w:val="none" w:sz="0" w:space="0" w:color="auto"/>
      </w:divBdr>
    </w:div>
    <w:div w:id="1112939273">
      <w:bodyDiv w:val="1"/>
      <w:marLeft w:val="0"/>
      <w:marRight w:val="0"/>
      <w:marTop w:val="0"/>
      <w:marBottom w:val="0"/>
      <w:divBdr>
        <w:top w:val="none" w:sz="0" w:space="0" w:color="auto"/>
        <w:left w:val="none" w:sz="0" w:space="0" w:color="auto"/>
        <w:bottom w:val="none" w:sz="0" w:space="0" w:color="auto"/>
        <w:right w:val="none" w:sz="0" w:space="0" w:color="auto"/>
      </w:divBdr>
    </w:div>
    <w:div w:id="1114325373">
      <w:bodyDiv w:val="1"/>
      <w:marLeft w:val="0"/>
      <w:marRight w:val="0"/>
      <w:marTop w:val="0"/>
      <w:marBottom w:val="0"/>
      <w:divBdr>
        <w:top w:val="none" w:sz="0" w:space="0" w:color="auto"/>
        <w:left w:val="none" w:sz="0" w:space="0" w:color="auto"/>
        <w:bottom w:val="none" w:sz="0" w:space="0" w:color="auto"/>
        <w:right w:val="none" w:sz="0" w:space="0" w:color="auto"/>
      </w:divBdr>
    </w:div>
    <w:div w:id="1122304293">
      <w:bodyDiv w:val="1"/>
      <w:marLeft w:val="0"/>
      <w:marRight w:val="0"/>
      <w:marTop w:val="0"/>
      <w:marBottom w:val="0"/>
      <w:divBdr>
        <w:top w:val="none" w:sz="0" w:space="0" w:color="auto"/>
        <w:left w:val="none" w:sz="0" w:space="0" w:color="auto"/>
        <w:bottom w:val="none" w:sz="0" w:space="0" w:color="auto"/>
        <w:right w:val="none" w:sz="0" w:space="0" w:color="auto"/>
      </w:divBdr>
    </w:div>
    <w:div w:id="1122962554">
      <w:bodyDiv w:val="1"/>
      <w:marLeft w:val="0"/>
      <w:marRight w:val="0"/>
      <w:marTop w:val="0"/>
      <w:marBottom w:val="0"/>
      <w:divBdr>
        <w:top w:val="none" w:sz="0" w:space="0" w:color="auto"/>
        <w:left w:val="none" w:sz="0" w:space="0" w:color="auto"/>
        <w:bottom w:val="none" w:sz="0" w:space="0" w:color="auto"/>
        <w:right w:val="none" w:sz="0" w:space="0" w:color="auto"/>
      </w:divBdr>
    </w:div>
    <w:div w:id="1127162480">
      <w:bodyDiv w:val="1"/>
      <w:marLeft w:val="0"/>
      <w:marRight w:val="0"/>
      <w:marTop w:val="0"/>
      <w:marBottom w:val="0"/>
      <w:divBdr>
        <w:top w:val="none" w:sz="0" w:space="0" w:color="auto"/>
        <w:left w:val="none" w:sz="0" w:space="0" w:color="auto"/>
        <w:bottom w:val="none" w:sz="0" w:space="0" w:color="auto"/>
        <w:right w:val="none" w:sz="0" w:space="0" w:color="auto"/>
      </w:divBdr>
    </w:div>
    <w:div w:id="1128157866">
      <w:bodyDiv w:val="1"/>
      <w:marLeft w:val="0"/>
      <w:marRight w:val="0"/>
      <w:marTop w:val="0"/>
      <w:marBottom w:val="0"/>
      <w:divBdr>
        <w:top w:val="none" w:sz="0" w:space="0" w:color="auto"/>
        <w:left w:val="none" w:sz="0" w:space="0" w:color="auto"/>
        <w:bottom w:val="none" w:sz="0" w:space="0" w:color="auto"/>
        <w:right w:val="none" w:sz="0" w:space="0" w:color="auto"/>
      </w:divBdr>
    </w:div>
    <w:div w:id="1131023552">
      <w:bodyDiv w:val="1"/>
      <w:marLeft w:val="0"/>
      <w:marRight w:val="0"/>
      <w:marTop w:val="0"/>
      <w:marBottom w:val="0"/>
      <w:divBdr>
        <w:top w:val="none" w:sz="0" w:space="0" w:color="auto"/>
        <w:left w:val="none" w:sz="0" w:space="0" w:color="auto"/>
        <w:bottom w:val="none" w:sz="0" w:space="0" w:color="auto"/>
        <w:right w:val="none" w:sz="0" w:space="0" w:color="auto"/>
      </w:divBdr>
    </w:div>
    <w:div w:id="1132671167">
      <w:bodyDiv w:val="1"/>
      <w:marLeft w:val="0"/>
      <w:marRight w:val="0"/>
      <w:marTop w:val="0"/>
      <w:marBottom w:val="0"/>
      <w:divBdr>
        <w:top w:val="none" w:sz="0" w:space="0" w:color="auto"/>
        <w:left w:val="none" w:sz="0" w:space="0" w:color="auto"/>
        <w:bottom w:val="none" w:sz="0" w:space="0" w:color="auto"/>
        <w:right w:val="none" w:sz="0" w:space="0" w:color="auto"/>
      </w:divBdr>
    </w:div>
    <w:div w:id="1136795106">
      <w:bodyDiv w:val="1"/>
      <w:marLeft w:val="0"/>
      <w:marRight w:val="0"/>
      <w:marTop w:val="0"/>
      <w:marBottom w:val="0"/>
      <w:divBdr>
        <w:top w:val="none" w:sz="0" w:space="0" w:color="auto"/>
        <w:left w:val="none" w:sz="0" w:space="0" w:color="auto"/>
        <w:bottom w:val="none" w:sz="0" w:space="0" w:color="auto"/>
        <w:right w:val="none" w:sz="0" w:space="0" w:color="auto"/>
      </w:divBdr>
    </w:div>
    <w:div w:id="1138457490">
      <w:bodyDiv w:val="1"/>
      <w:marLeft w:val="0"/>
      <w:marRight w:val="0"/>
      <w:marTop w:val="0"/>
      <w:marBottom w:val="0"/>
      <w:divBdr>
        <w:top w:val="none" w:sz="0" w:space="0" w:color="auto"/>
        <w:left w:val="none" w:sz="0" w:space="0" w:color="auto"/>
        <w:bottom w:val="none" w:sz="0" w:space="0" w:color="auto"/>
        <w:right w:val="none" w:sz="0" w:space="0" w:color="auto"/>
      </w:divBdr>
    </w:div>
    <w:div w:id="1138499424">
      <w:bodyDiv w:val="1"/>
      <w:marLeft w:val="0"/>
      <w:marRight w:val="0"/>
      <w:marTop w:val="0"/>
      <w:marBottom w:val="0"/>
      <w:divBdr>
        <w:top w:val="none" w:sz="0" w:space="0" w:color="auto"/>
        <w:left w:val="none" w:sz="0" w:space="0" w:color="auto"/>
        <w:bottom w:val="none" w:sz="0" w:space="0" w:color="auto"/>
        <w:right w:val="none" w:sz="0" w:space="0" w:color="auto"/>
      </w:divBdr>
    </w:div>
    <w:div w:id="1138762000">
      <w:bodyDiv w:val="1"/>
      <w:marLeft w:val="0"/>
      <w:marRight w:val="0"/>
      <w:marTop w:val="0"/>
      <w:marBottom w:val="0"/>
      <w:divBdr>
        <w:top w:val="none" w:sz="0" w:space="0" w:color="auto"/>
        <w:left w:val="none" w:sz="0" w:space="0" w:color="auto"/>
        <w:bottom w:val="none" w:sz="0" w:space="0" w:color="auto"/>
        <w:right w:val="none" w:sz="0" w:space="0" w:color="auto"/>
      </w:divBdr>
    </w:div>
    <w:div w:id="1139147322">
      <w:bodyDiv w:val="1"/>
      <w:marLeft w:val="0"/>
      <w:marRight w:val="0"/>
      <w:marTop w:val="0"/>
      <w:marBottom w:val="0"/>
      <w:divBdr>
        <w:top w:val="none" w:sz="0" w:space="0" w:color="auto"/>
        <w:left w:val="none" w:sz="0" w:space="0" w:color="auto"/>
        <w:bottom w:val="none" w:sz="0" w:space="0" w:color="auto"/>
        <w:right w:val="none" w:sz="0" w:space="0" w:color="auto"/>
      </w:divBdr>
    </w:div>
    <w:div w:id="1152407420">
      <w:bodyDiv w:val="1"/>
      <w:marLeft w:val="0"/>
      <w:marRight w:val="0"/>
      <w:marTop w:val="0"/>
      <w:marBottom w:val="0"/>
      <w:divBdr>
        <w:top w:val="none" w:sz="0" w:space="0" w:color="auto"/>
        <w:left w:val="none" w:sz="0" w:space="0" w:color="auto"/>
        <w:bottom w:val="none" w:sz="0" w:space="0" w:color="auto"/>
        <w:right w:val="none" w:sz="0" w:space="0" w:color="auto"/>
      </w:divBdr>
    </w:div>
    <w:div w:id="1153178353">
      <w:bodyDiv w:val="1"/>
      <w:marLeft w:val="0"/>
      <w:marRight w:val="0"/>
      <w:marTop w:val="0"/>
      <w:marBottom w:val="0"/>
      <w:divBdr>
        <w:top w:val="none" w:sz="0" w:space="0" w:color="auto"/>
        <w:left w:val="none" w:sz="0" w:space="0" w:color="auto"/>
        <w:bottom w:val="none" w:sz="0" w:space="0" w:color="auto"/>
        <w:right w:val="none" w:sz="0" w:space="0" w:color="auto"/>
      </w:divBdr>
    </w:div>
    <w:div w:id="1154026817">
      <w:bodyDiv w:val="1"/>
      <w:marLeft w:val="0"/>
      <w:marRight w:val="0"/>
      <w:marTop w:val="0"/>
      <w:marBottom w:val="0"/>
      <w:divBdr>
        <w:top w:val="none" w:sz="0" w:space="0" w:color="auto"/>
        <w:left w:val="none" w:sz="0" w:space="0" w:color="auto"/>
        <w:bottom w:val="none" w:sz="0" w:space="0" w:color="auto"/>
        <w:right w:val="none" w:sz="0" w:space="0" w:color="auto"/>
      </w:divBdr>
    </w:div>
    <w:div w:id="1157916426">
      <w:bodyDiv w:val="1"/>
      <w:marLeft w:val="0"/>
      <w:marRight w:val="0"/>
      <w:marTop w:val="0"/>
      <w:marBottom w:val="0"/>
      <w:divBdr>
        <w:top w:val="none" w:sz="0" w:space="0" w:color="auto"/>
        <w:left w:val="none" w:sz="0" w:space="0" w:color="auto"/>
        <w:bottom w:val="none" w:sz="0" w:space="0" w:color="auto"/>
        <w:right w:val="none" w:sz="0" w:space="0" w:color="auto"/>
      </w:divBdr>
    </w:div>
    <w:div w:id="1159542661">
      <w:bodyDiv w:val="1"/>
      <w:marLeft w:val="0"/>
      <w:marRight w:val="0"/>
      <w:marTop w:val="0"/>
      <w:marBottom w:val="0"/>
      <w:divBdr>
        <w:top w:val="none" w:sz="0" w:space="0" w:color="auto"/>
        <w:left w:val="none" w:sz="0" w:space="0" w:color="auto"/>
        <w:bottom w:val="none" w:sz="0" w:space="0" w:color="auto"/>
        <w:right w:val="none" w:sz="0" w:space="0" w:color="auto"/>
      </w:divBdr>
    </w:div>
    <w:div w:id="1162433579">
      <w:bodyDiv w:val="1"/>
      <w:marLeft w:val="0"/>
      <w:marRight w:val="0"/>
      <w:marTop w:val="0"/>
      <w:marBottom w:val="0"/>
      <w:divBdr>
        <w:top w:val="none" w:sz="0" w:space="0" w:color="auto"/>
        <w:left w:val="none" w:sz="0" w:space="0" w:color="auto"/>
        <w:bottom w:val="none" w:sz="0" w:space="0" w:color="auto"/>
        <w:right w:val="none" w:sz="0" w:space="0" w:color="auto"/>
      </w:divBdr>
    </w:div>
    <w:div w:id="1162506030">
      <w:bodyDiv w:val="1"/>
      <w:marLeft w:val="0"/>
      <w:marRight w:val="0"/>
      <w:marTop w:val="0"/>
      <w:marBottom w:val="0"/>
      <w:divBdr>
        <w:top w:val="none" w:sz="0" w:space="0" w:color="auto"/>
        <w:left w:val="none" w:sz="0" w:space="0" w:color="auto"/>
        <w:bottom w:val="none" w:sz="0" w:space="0" w:color="auto"/>
        <w:right w:val="none" w:sz="0" w:space="0" w:color="auto"/>
      </w:divBdr>
    </w:div>
    <w:div w:id="1164466415">
      <w:bodyDiv w:val="1"/>
      <w:marLeft w:val="0"/>
      <w:marRight w:val="0"/>
      <w:marTop w:val="0"/>
      <w:marBottom w:val="0"/>
      <w:divBdr>
        <w:top w:val="none" w:sz="0" w:space="0" w:color="auto"/>
        <w:left w:val="none" w:sz="0" w:space="0" w:color="auto"/>
        <w:bottom w:val="none" w:sz="0" w:space="0" w:color="auto"/>
        <w:right w:val="none" w:sz="0" w:space="0" w:color="auto"/>
      </w:divBdr>
    </w:div>
    <w:div w:id="1165824426">
      <w:bodyDiv w:val="1"/>
      <w:marLeft w:val="0"/>
      <w:marRight w:val="0"/>
      <w:marTop w:val="0"/>
      <w:marBottom w:val="0"/>
      <w:divBdr>
        <w:top w:val="none" w:sz="0" w:space="0" w:color="auto"/>
        <w:left w:val="none" w:sz="0" w:space="0" w:color="auto"/>
        <w:bottom w:val="none" w:sz="0" w:space="0" w:color="auto"/>
        <w:right w:val="none" w:sz="0" w:space="0" w:color="auto"/>
      </w:divBdr>
    </w:div>
    <w:div w:id="1167675252">
      <w:bodyDiv w:val="1"/>
      <w:marLeft w:val="0"/>
      <w:marRight w:val="0"/>
      <w:marTop w:val="0"/>
      <w:marBottom w:val="0"/>
      <w:divBdr>
        <w:top w:val="none" w:sz="0" w:space="0" w:color="auto"/>
        <w:left w:val="none" w:sz="0" w:space="0" w:color="auto"/>
        <w:bottom w:val="none" w:sz="0" w:space="0" w:color="auto"/>
        <w:right w:val="none" w:sz="0" w:space="0" w:color="auto"/>
      </w:divBdr>
    </w:div>
    <w:div w:id="1168322306">
      <w:bodyDiv w:val="1"/>
      <w:marLeft w:val="0"/>
      <w:marRight w:val="0"/>
      <w:marTop w:val="0"/>
      <w:marBottom w:val="0"/>
      <w:divBdr>
        <w:top w:val="none" w:sz="0" w:space="0" w:color="auto"/>
        <w:left w:val="none" w:sz="0" w:space="0" w:color="auto"/>
        <w:bottom w:val="none" w:sz="0" w:space="0" w:color="auto"/>
        <w:right w:val="none" w:sz="0" w:space="0" w:color="auto"/>
      </w:divBdr>
    </w:div>
    <w:div w:id="1170870105">
      <w:bodyDiv w:val="1"/>
      <w:marLeft w:val="0"/>
      <w:marRight w:val="0"/>
      <w:marTop w:val="0"/>
      <w:marBottom w:val="0"/>
      <w:divBdr>
        <w:top w:val="none" w:sz="0" w:space="0" w:color="auto"/>
        <w:left w:val="none" w:sz="0" w:space="0" w:color="auto"/>
        <w:bottom w:val="none" w:sz="0" w:space="0" w:color="auto"/>
        <w:right w:val="none" w:sz="0" w:space="0" w:color="auto"/>
      </w:divBdr>
    </w:div>
    <w:div w:id="1175076704">
      <w:bodyDiv w:val="1"/>
      <w:marLeft w:val="0"/>
      <w:marRight w:val="0"/>
      <w:marTop w:val="0"/>
      <w:marBottom w:val="0"/>
      <w:divBdr>
        <w:top w:val="none" w:sz="0" w:space="0" w:color="auto"/>
        <w:left w:val="none" w:sz="0" w:space="0" w:color="auto"/>
        <w:bottom w:val="none" w:sz="0" w:space="0" w:color="auto"/>
        <w:right w:val="none" w:sz="0" w:space="0" w:color="auto"/>
      </w:divBdr>
    </w:div>
    <w:div w:id="1176581365">
      <w:bodyDiv w:val="1"/>
      <w:marLeft w:val="0"/>
      <w:marRight w:val="0"/>
      <w:marTop w:val="0"/>
      <w:marBottom w:val="0"/>
      <w:divBdr>
        <w:top w:val="none" w:sz="0" w:space="0" w:color="auto"/>
        <w:left w:val="none" w:sz="0" w:space="0" w:color="auto"/>
        <w:bottom w:val="none" w:sz="0" w:space="0" w:color="auto"/>
        <w:right w:val="none" w:sz="0" w:space="0" w:color="auto"/>
      </w:divBdr>
    </w:div>
    <w:div w:id="1178884677">
      <w:bodyDiv w:val="1"/>
      <w:marLeft w:val="0"/>
      <w:marRight w:val="0"/>
      <w:marTop w:val="0"/>
      <w:marBottom w:val="0"/>
      <w:divBdr>
        <w:top w:val="none" w:sz="0" w:space="0" w:color="auto"/>
        <w:left w:val="none" w:sz="0" w:space="0" w:color="auto"/>
        <w:bottom w:val="none" w:sz="0" w:space="0" w:color="auto"/>
        <w:right w:val="none" w:sz="0" w:space="0" w:color="auto"/>
      </w:divBdr>
    </w:div>
    <w:div w:id="1180243423">
      <w:bodyDiv w:val="1"/>
      <w:marLeft w:val="0"/>
      <w:marRight w:val="0"/>
      <w:marTop w:val="0"/>
      <w:marBottom w:val="0"/>
      <w:divBdr>
        <w:top w:val="none" w:sz="0" w:space="0" w:color="auto"/>
        <w:left w:val="none" w:sz="0" w:space="0" w:color="auto"/>
        <w:bottom w:val="none" w:sz="0" w:space="0" w:color="auto"/>
        <w:right w:val="none" w:sz="0" w:space="0" w:color="auto"/>
      </w:divBdr>
    </w:div>
    <w:div w:id="1181816970">
      <w:bodyDiv w:val="1"/>
      <w:marLeft w:val="0"/>
      <w:marRight w:val="0"/>
      <w:marTop w:val="0"/>
      <w:marBottom w:val="0"/>
      <w:divBdr>
        <w:top w:val="none" w:sz="0" w:space="0" w:color="auto"/>
        <w:left w:val="none" w:sz="0" w:space="0" w:color="auto"/>
        <w:bottom w:val="none" w:sz="0" w:space="0" w:color="auto"/>
        <w:right w:val="none" w:sz="0" w:space="0" w:color="auto"/>
      </w:divBdr>
    </w:div>
    <w:div w:id="1181817105">
      <w:bodyDiv w:val="1"/>
      <w:marLeft w:val="0"/>
      <w:marRight w:val="0"/>
      <w:marTop w:val="0"/>
      <w:marBottom w:val="0"/>
      <w:divBdr>
        <w:top w:val="none" w:sz="0" w:space="0" w:color="auto"/>
        <w:left w:val="none" w:sz="0" w:space="0" w:color="auto"/>
        <w:bottom w:val="none" w:sz="0" w:space="0" w:color="auto"/>
        <w:right w:val="none" w:sz="0" w:space="0" w:color="auto"/>
      </w:divBdr>
    </w:div>
    <w:div w:id="1182430710">
      <w:bodyDiv w:val="1"/>
      <w:marLeft w:val="0"/>
      <w:marRight w:val="0"/>
      <w:marTop w:val="0"/>
      <w:marBottom w:val="0"/>
      <w:divBdr>
        <w:top w:val="none" w:sz="0" w:space="0" w:color="auto"/>
        <w:left w:val="none" w:sz="0" w:space="0" w:color="auto"/>
        <w:bottom w:val="none" w:sz="0" w:space="0" w:color="auto"/>
        <w:right w:val="none" w:sz="0" w:space="0" w:color="auto"/>
      </w:divBdr>
    </w:div>
    <w:div w:id="1182476670">
      <w:bodyDiv w:val="1"/>
      <w:marLeft w:val="0"/>
      <w:marRight w:val="0"/>
      <w:marTop w:val="0"/>
      <w:marBottom w:val="0"/>
      <w:divBdr>
        <w:top w:val="none" w:sz="0" w:space="0" w:color="auto"/>
        <w:left w:val="none" w:sz="0" w:space="0" w:color="auto"/>
        <w:bottom w:val="none" w:sz="0" w:space="0" w:color="auto"/>
        <w:right w:val="none" w:sz="0" w:space="0" w:color="auto"/>
      </w:divBdr>
    </w:div>
    <w:div w:id="1182666980">
      <w:bodyDiv w:val="1"/>
      <w:marLeft w:val="0"/>
      <w:marRight w:val="0"/>
      <w:marTop w:val="0"/>
      <w:marBottom w:val="0"/>
      <w:divBdr>
        <w:top w:val="none" w:sz="0" w:space="0" w:color="auto"/>
        <w:left w:val="none" w:sz="0" w:space="0" w:color="auto"/>
        <w:bottom w:val="none" w:sz="0" w:space="0" w:color="auto"/>
        <w:right w:val="none" w:sz="0" w:space="0" w:color="auto"/>
      </w:divBdr>
    </w:div>
    <w:div w:id="1182822368">
      <w:bodyDiv w:val="1"/>
      <w:marLeft w:val="0"/>
      <w:marRight w:val="0"/>
      <w:marTop w:val="0"/>
      <w:marBottom w:val="0"/>
      <w:divBdr>
        <w:top w:val="none" w:sz="0" w:space="0" w:color="auto"/>
        <w:left w:val="none" w:sz="0" w:space="0" w:color="auto"/>
        <w:bottom w:val="none" w:sz="0" w:space="0" w:color="auto"/>
        <w:right w:val="none" w:sz="0" w:space="0" w:color="auto"/>
      </w:divBdr>
    </w:div>
    <w:div w:id="1184444307">
      <w:bodyDiv w:val="1"/>
      <w:marLeft w:val="0"/>
      <w:marRight w:val="0"/>
      <w:marTop w:val="0"/>
      <w:marBottom w:val="0"/>
      <w:divBdr>
        <w:top w:val="none" w:sz="0" w:space="0" w:color="auto"/>
        <w:left w:val="none" w:sz="0" w:space="0" w:color="auto"/>
        <w:bottom w:val="none" w:sz="0" w:space="0" w:color="auto"/>
        <w:right w:val="none" w:sz="0" w:space="0" w:color="auto"/>
      </w:divBdr>
    </w:div>
    <w:div w:id="1189219445">
      <w:bodyDiv w:val="1"/>
      <w:marLeft w:val="0"/>
      <w:marRight w:val="0"/>
      <w:marTop w:val="0"/>
      <w:marBottom w:val="0"/>
      <w:divBdr>
        <w:top w:val="none" w:sz="0" w:space="0" w:color="auto"/>
        <w:left w:val="none" w:sz="0" w:space="0" w:color="auto"/>
        <w:bottom w:val="none" w:sz="0" w:space="0" w:color="auto"/>
        <w:right w:val="none" w:sz="0" w:space="0" w:color="auto"/>
      </w:divBdr>
    </w:div>
    <w:div w:id="1189874862">
      <w:bodyDiv w:val="1"/>
      <w:marLeft w:val="0"/>
      <w:marRight w:val="0"/>
      <w:marTop w:val="0"/>
      <w:marBottom w:val="0"/>
      <w:divBdr>
        <w:top w:val="none" w:sz="0" w:space="0" w:color="auto"/>
        <w:left w:val="none" w:sz="0" w:space="0" w:color="auto"/>
        <w:bottom w:val="none" w:sz="0" w:space="0" w:color="auto"/>
        <w:right w:val="none" w:sz="0" w:space="0" w:color="auto"/>
      </w:divBdr>
    </w:div>
    <w:div w:id="1194463296">
      <w:bodyDiv w:val="1"/>
      <w:marLeft w:val="0"/>
      <w:marRight w:val="0"/>
      <w:marTop w:val="0"/>
      <w:marBottom w:val="0"/>
      <w:divBdr>
        <w:top w:val="none" w:sz="0" w:space="0" w:color="auto"/>
        <w:left w:val="none" w:sz="0" w:space="0" w:color="auto"/>
        <w:bottom w:val="none" w:sz="0" w:space="0" w:color="auto"/>
        <w:right w:val="none" w:sz="0" w:space="0" w:color="auto"/>
      </w:divBdr>
    </w:div>
    <w:div w:id="1196499319">
      <w:bodyDiv w:val="1"/>
      <w:marLeft w:val="0"/>
      <w:marRight w:val="0"/>
      <w:marTop w:val="0"/>
      <w:marBottom w:val="0"/>
      <w:divBdr>
        <w:top w:val="none" w:sz="0" w:space="0" w:color="auto"/>
        <w:left w:val="none" w:sz="0" w:space="0" w:color="auto"/>
        <w:bottom w:val="none" w:sz="0" w:space="0" w:color="auto"/>
        <w:right w:val="none" w:sz="0" w:space="0" w:color="auto"/>
      </w:divBdr>
    </w:div>
    <w:div w:id="1196771530">
      <w:bodyDiv w:val="1"/>
      <w:marLeft w:val="0"/>
      <w:marRight w:val="0"/>
      <w:marTop w:val="0"/>
      <w:marBottom w:val="0"/>
      <w:divBdr>
        <w:top w:val="none" w:sz="0" w:space="0" w:color="auto"/>
        <w:left w:val="none" w:sz="0" w:space="0" w:color="auto"/>
        <w:bottom w:val="none" w:sz="0" w:space="0" w:color="auto"/>
        <w:right w:val="none" w:sz="0" w:space="0" w:color="auto"/>
      </w:divBdr>
    </w:div>
    <w:div w:id="1197547144">
      <w:bodyDiv w:val="1"/>
      <w:marLeft w:val="0"/>
      <w:marRight w:val="0"/>
      <w:marTop w:val="0"/>
      <w:marBottom w:val="0"/>
      <w:divBdr>
        <w:top w:val="none" w:sz="0" w:space="0" w:color="auto"/>
        <w:left w:val="none" w:sz="0" w:space="0" w:color="auto"/>
        <w:bottom w:val="none" w:sz="0" w:space="0" w:color="auto"/>
        <w:right w:val="none" w:sz="0" w:space="0" w:color="auto"/>
      </w:divBdr>
    </w:div>
    <w:div w:id="1198618860">
      <w:bodyDiv w:val="1"/>
      <w:marLeft w:val="0"/>
      <w:marRight w:val="0"/>
      <w:marTop w:val="0"/>
      <w:marBottom w:val="0"/>
      <w:divBdr>
        <w:top w:val="none" w:sz="0" w:space="0" w:color="auto"/>
        <w:left w:val="none" w:sz="0" w:space="0" w:color="auto"/>
        <w:bottom w:val="none" w:sz="0" w:space="0" w:color="auto"/>
        <w:right w:val="none" w:sz="0" w:space="0" w:color="auto"/>
      </w:divBdr>
    </w:div>
    <w:div w:id="1199001946">
      <w:bodyDiv w:val="1"/>
      <w:marLeft w:val="0"/>
      <w:marRight w:val="0"/>
      <w:marTop w:val="0"/>
      <w:marBottom w:val="0"/>
      <w:divBdr>
        <w:top w:val="none" w:sz="0" w:space="0" w:color="auto"/>
        <w:left w:val="none" w:sz="0" w:space="0" w:color="auto"/>
        <w:bottom w:val="none" w:sz="0" w:space="0" w:color="auto"/>
        <w:right w:val="none" w:sz="0" w:space="0" w:color="auto"/>
      </w:divBdr>
    </w:div>
    <w:div w:id="1201823491">
      <w:bodyDiv w:val="1"/>
      <w:marLeft w:val="0"/>
      <w:marRight w:val="0"/>
      <w:marTop w:val="0"/>
      <w:marBottom w:val="0"/>
      <w:divBdr>
        <w:top w:val="none" w:sz="0" w:space="0" w:color="auto"/>
        <w:left w:val="none" w:sz="0" w:space="0" w:color="auto"/>
        <w:bottom w:val="none" w:sz="0" w:space="0" w:color="auto"/>
        <w:right w:val="none" w:sz="0" w:space="0" w:color="auto"/>
      </w:divBdr>
    </w:div>
    <w:div w:id="1202086998">
      <w:bodyDiv w:val="1"/>
      <w:marLeft w:val="0"/>
      <w:marRight w:val="0"/>
      <w:marTop w:val="0"/>
      <w:marBottom w:val="0"/>
      <w:divBdr>
        <w:top w:val="none" w:sz="0" w:space="0" w:color="auto"/>
        <w:left w:val="none" w:sz="0" w:space="0" w:color="auto"/>
        <w:bottom w:val="none" w:sz="0" w:space="0" w:color="auto"/>
        <w:right w:val="none" w:sz="0" w:space="0" w:color="auto"/>
      </w:divBdr>
    </w:div>
    <w:div w:id="1202130678">
      <w:bodyDiv w:val="1"/>
      <w:marLeft w:val="0"/>
      <w:marRight w:val="0"/>
      <w:marTop w:val="0"/>
      <w:marBottom w:val="0"/>
      <w:divBdr>
        <w:top w:val="none" w:sz="0" w:space="0" w:color="auto"/>
        <w:left w:val="none" w:sz="0" w:space="0" w:color="auto"/>
        <w:bottom w:val="none" w:sz="0" w:space="0" w:color="auto"/>
        <w:right w:val="none" w:sz="0" w:space="0" w:color="auto"/>
      </w:divBdr>
    </w:div>
    <w:div w:id="1202740469">
      <w:bodyDiv w:val="1"/>
      <w:marLeft w:val="0"/>
      <w:marRight w:val="0"/>
      <w:marTop w:val="0"/>
      <w:marBottom w:val="0"/>
      <w:divBdr>
        <w:top w:val="none" w:sz="0" w:space="0" w:color="auto"/>
        <w:left w:val="none" w:sz="0" w:space="0" w:color="auto"/>
        <w:bottom w:val="none" w:sz="0" w:space="0" w:color="auto"/>
        <w:right w:val="none" w:sz="0" w:space="0" w:color="auto"/>
      </w:divBdr>
    </w:div>
    <w:div w:id="1206598120">
      <w:bodyDiv w:val="1"/>
      <w:marLeft w:val="0"/>
      <w:marRight w:val="0"/>
      <w:marTop w:val="0"/>
      <w:marBottom w:val="0"/>
      <w:divBdr>
        <w:top w:val="none" w:sz="0" w:space="0" w:color="auto"/>
        <w:left w:val="none" w:sz="0" w:space="0" w:color="auto"/>
        <w:bottom w:val="none" w:sz="0" w:space="0" w:color="auto"/>
        <w:right w:val="none" w:sz="0" w:space="0" w:color="auto"/>
      </w:divBdr>
    </w:div>
    <w:div w:id="1207373165">
      <w:bodyDiv w:val="1"/>
      <w:marLeft w:val="0"/>
      <w:marRight w:val="0"/>
      <w:marTop w:val="0"/>
      <w:marBottom w:val="0"/>
      <w:divBdr>
        <w:top w:val="none" w:sz="0" w:space="0" w:color="auto"/>
        <w:left w:val="none" w:sz="0" w:space="0" w:color="auto"/>
        <w:bottom w:val="none" w:sz="0" w:space="0" w:color="auto"/>
        <w:right w:val="none" w:sz="0" w:space="0" w:color="auto"/>
      </w:divBdr>
    </w:div>
    <w:div w:id="1210528376">
      <w:bodyDiv w:val="1"/>
      <w:marLeft w:val="0"/>
      <w:marRight w:val="0"/>
      <w:marTop w:val="0"/>
      <w:marBottom w:val="0"/>
      <w:divBdr>
        <w:top w:val="none" w:sz="0" w:space="0" w:color="auto"/>
        <w:left w:val="none" w:sz="0" w:space="0" w:color="auto"/>
        <w:bottom w:val="none" w:sz="0" w:space="0" w:color="auto"/>
        <w:right w:val="none" w:sz="0" w:space="0" w:color="auto"/>
      </w:divBdr>
    </w:div>
    <w:div w:id="1212770407">
      <w:bodyDiv w:val="1"/>
      <w:marLeft w:val="0"/>
      <w:marRight w:val="0"/>
      <w:marTop w:val="0"/>
      <w:marBottom w:val="0"/>
      <w:divBdr>
        <w:top w:val="none" w:sz="0" w:space="0" w:color="auto"/>
        <w:left w:val="none" w:sz="0" w:space="0" w:color="auto"/>
        <w:bottom w:val="none" w:sz="0" w:space="0" w:color="auto"/>
        <w:right w:val="none" w:sz="0" w:space="0" w:color="auto"/>
      </w:divBdr>
    </w:div>
    <w:div w:id="1220481121">
      <w:bodyDiv w:val="1"/>
      <w:marLeft w:val="0"/>
      <w:marRight w:val="0"/>
      <w:marTop w:val="0"/>
      <w:marBottom w:val="0"/>
      <w:divBdr>
        <w:top w:val="none" w:sz="0" w:space="0" w:color="auto"/>
        <w:left w:val="none" w:sz="0" w:space="0" w:color="auto"/>
        <w:bottom w:val="none" w:sz="0" w:space="0" w:color="auto"/>
        <w:right w:val="none" w:sz="0" w:space="0" w:color="auto"/>
      </w:divBdr>
    </w:div>
    <w:div w:id="1220938348">
      <w:bodyDiv w:val="1"/>
      <w:marLeft w:val="0"/>
      <w:marRight w:val="0"/>
      <w:marTop w:val="0"/>
      <w:marBottom w:val="0"/>
      <w:divBdr>
        <w:top w:val="none" w:sz="0" w:space="0" w:color="auto"/>
        <w:left w:val="none" w:sz="0" w:space="0" w:color="auto"/>
        <w:bottom w:val="none" w:sz="0" w:space="0" w:color="auto"/>
        <w:right w:val="none" w:sz="0" w:space="0" w:color="auto"/>
      </w:divBdr>
    </w:div>
    <w:div w:id="1222985786">
      <w:bodyDiv w:val="1"/>
      <w:marLeft w:val="0"/>
      <w:marRight w:val="0"/>
      <w:marTop w:val="0"/>
      <w:marBottom w:val="0"/>
      <w:divBdr>
        <w:top w:val="none" w:sz="0" w:space="0" w:color="auto"/>
        <w:left w:val="none" w:sz="0" w:space="0" w:color="auto"/>
        <w:bottom w:val="none" w:sz="0" w:space="0" w:color="auto"/>
        <w:right w:val="none" w:sz="0" w:space="0" w:color="auto"/>
      </w:divBdr>
    </w:div>
    <w:div w:id="1226068552">
      <w:bodyDiv w:val="1"/>
      <w:marLeft w:val="0"/>
      <w:marRight w:val="0"/>
      <w:marTop w:val="0"/>
      <w:marBottom w:val="0"/>
      <w:divBdr>
        <w:top w:val="none" w:sz="0" w:space="0" w:color="auto"/>
        <w:left w:val="none" w:sz="0" w:space="0" w:color="auto"/>
        <w:bottom w:val="none" w:sz="0" w:space="0" w:color="auto"/>
        <w:right w:val="none" w:sz="0" w:space="0" w:color="auto"/>
      </w:divBdr>
    </w:div>
    <w:div w:id="1227689515">
      <w:bodyDiv w:val="1"/>
      <w:marLeft w:val="0"/>
      <w:marRight w:val="0"/>
      <w:marTop w:val="0"/>
      <w:marBottom w:val="0"/>
      <w:divBdr>
        <w:top w:val="none" w:sz="0" w:space="0" w:color="auto"/>
        <w:left w:val="none" w:sz="0" w:space="0" w:color="auto"/>
        <w:bottom w:val="none" w:sz="0" w:space="0" w:color="auto"/>
        <w:right w:val="none" w:sz="0" w:space="0" w:color="auto"/>
      </w:divBdr>
    </w:div>
    <w:div w:id="1228690853">
      <w:bodyDiv w:val="1"/>
      <w:marLeft w:val="0"/>
      <w:marRight w:val="0"/>
      <w:marTop w:val="0"/>
      <w:marBottom w:val="0"/>
      <w:divBdr>
        <w:top w:val="none" w:sz="0" w:space="0" w:color="auto"/>
        <w:left w:val="none" w:sz="0" w:space="0" w:color="auto"/>
        <w:bottom w:val="none" w:sz="0" w:space="0" w:color="auto"/>
        <w:right w:val="none" w:sz="0" w:space="0" w:color="auto"/>
      </w:divBdr>
    </w:div>
    <w:div w:id="1234194600">
      <w:bodyDiv w:val="1"/>
      <w:marLeft w:val="0"/>
      <w:marRight w:val="0"/>
      <w:marTop w:val="0"/>
      <w:marBottom w:val="0"/>
      <w:divBdr>
        <w:top w:val="none" w:sz="0" w:space="0" w:color="auto"/>
        <w:left w:val="none" w:sz="0" w:space="0" w:color="auto"/>
        <w:bottom w:val="none" w:sz="0" w:space="0" w:color="auto"/>
        <w:right w:val="none" w:sz="0" w:space="0" w:color="auto"/>
      </w:divBdr>
    </w:div>
    <w:div w:id="1234967675">
      <w:bodyDiv w:val="1"/>
      <w:marLeft w:val="0"/>
      <w:marRight w:val="0"/>
      <w:marTop w:val="0"/>
      <w:marBottom w:val="0"/>
      <w:divBdr>
        <w:top w:val="none" w:sz="0" w:space="0" w:color="auto"/>
        <w:left w:val="none" w:sz="0" w:space="0" w:color="auto"/>
        <w:bottom w:val="none" w:sz="0" w:space="0" w:color="auto"/>
        <w:right w:val="none" w:sz="0" w:space="0" w:color="auto"/>
      </w:divBdr>
    </w:div>
    <w:div w:id="1235970502">
      <w:bodyDiv w:val="1"/>
      <w:marLeft w:val="0"/>
      <w:marRight w:val="0"/>
      <w:marTop w:val="0"/>
      <w:marBottom w:val="0"/>
      <w:divBdr>
        <w:top w:val="none" w:sz="0" w:space="0" w:color="auto"/>
        <w:left w:val="none" w:sz="0" w:space="0" w:color="auto"/>
        <w:bottom w:val="none" w:sz="0" w:space="0" w:color="auto"/>
        <w:right w:val="none" w:sz="0" w:space="0" w:color="auto"/>
      </w:divBdr>
    </w:div>
    <w:div w:id="1236085297">
      <w:bodyDiv w:val="1"/>
      <w:marLeft w:val="0"/>
      <w:marRight w:val="0"/>
      <w:marTop w:val="0"/>
      <w:marBottom w:val="0"/>
      <w:divBdr>
        <w:top w:val="none" w:sz="0" w:space="0" w:color="auto"/>
        <w:left w:val="none" w:sz="0" w:space="0" w:color="auto"/>
        <w:bottom w:val="none" w:sz="0" w:space="0" w:color="auto"/>
        <w:right w:val="none" w:sz="0" w:space="0" w:color="auto"/>
      </w:divBdr>
    </w:div>
    <w:div w:id="1238981674">
      <w:bodyDiv w:val="1"/>
      <w:marLeft w:val="0"/>
      <w:marRight w:val="0"/>
      <w:marTop w:val="0"/>
      <w:marBottom w:val="0"/>
      <w:divBdr>
        <w:top w:val="none" w:sz="0" w:space="0" w:color="auto"/>
        <w:left w:val="none" w:sz="0" w:space="0" w:color="auto"/>
        <w:bottom w:val="none" w:sz="0" w:space="0" w:color="auto"/>
        <w:right w:val="none" w:sz="0" w:space="0" w:color="auto"/>
      </w:divBdr>
    </w:div>
    <w:div w:id="1239094026">
      <w:bodyDiv w:val="1"/>
      <w:marLeft w:val="0"/>
      <w:marRight w:val="0"/>
      <w:marTop w:val="0"/>
      <w:marBottom w:val="0"/>
      <w:divBdr>
        <w:top w:val="none" w:sz="0" w:space="0" w:color="auto"/>
        <w:left w:val="none" w:sz="0" w:space="0" w:color="auto"/>
        <w:bottom w:val="none" w:sz="0" w:space="0" w:color="auto"/>
        <w:right w:val="none" w:sz="0" w:space="0" w:color="auto"/>
      </w:divBdr>
    </w:div>
    <w:div w:id="1240016900">
      <w:bodyDiv w:val="1"/>
      <w:marLeft w:val="0"/>
      <w:marRight w:val="0"/>
      <w:marTop w:val="0"/>
      <w:marBottom w:val="0"/>
      <w:divBdr>
        <w:top w:val="none" w:sz="0" w:space="0" w:color="auto"/>
        <w:left w:val="none" w:sz="0" w:space="0" w:color="auto"/>
        <w:bottom w:val="none" w:sz="0" w:space="0" w:color="auto"/>
        <w:right w:val="none" w:sz="0" w:space="0" w:color="auto"/>
      </w:divBdr>
    </w:div>
    <w:div w:id="1242450084">
      <w:bodyDiv w:val="1"/>
      <w:marLeft w:val="0"/>
      <w:marRight w:val="0"/>
      <w:marTop w:val="0"/>
      <w:marBottom w:val="0"/>
      <w:divBdr>
        <w:top w:val="none" w:sz="0" w:space="0" w:color="auto"/>
        <w:left w:val="none" w:sz="0" w:space="0" w:color="auto"/>
        <w:bottom w:val="none" w:sz="0" w:space="0" w:color="auto"/>
        <w:right w:val="none" w:sz="0" w:space="0" w:color="auto"/>
      </w:divBdr>
    </w:div>
    <w:div w:id="1242984371">
      <w:bodyDiv w:val="1"/>
      <w:marLeft w:val="0"/>
      <w:marRight w:val="0"/>
      <w:marTop w:val="0"/>
      <w:marBottom w:val="0"/>
      <w:divBdr>
        <w:top w:val="none" w:sz="0" w:space="0" w:color="auto"/>
        <w:left w:val="none" w:sz="0" w:space="0" w:color="auto"/>
        <w:bottom w:val="none" w:sz="0" w:space="0" w:color="auto"/>
        <w:right w:val="none" w:sz="0" w:space="0" w:color="auto"/>
      </w:divBdr>
    </w:div>
    <w:div w:id="1249777516">
      <w:bodyDiv w:val="1"/>
      <w:marLeft w:val="0"/>
      <w:marRight w:val="0"/>
      <w:marTop w:val="0"/>
      <w:marBottom w:val="0"/>
      <w:divBdr>
        <w:top w:val="none" w:sz="0" w:space="0" w:color="auto"/>
        <w:left w:val="none" w:sz="0" w:space="0" w:color="auto"/>
        <w:bottom w:val="none" w:sz="0" w:space="0" w:color="auto"/>
        <w:right w:val="none" w:sz="0" w:space="0" w:color="auto"/>
      </w:divBdr>
    </w:div>
    <w:div w:id="1252079764">
      <w:bodyDiv w:val="1"/>
      <w:marLeft w:val="0"/>
      <w:marRight w:val="0"/>
      <w:marTop w:val="0"/>
      <w:marBottom w:val="0"/>
      <w:divBdr>
        <w:top w:val="none" w:sz="0" w:space="0" w:color="auto"/>
        <w:left w:val="none" w:sz="0" w:space="0" w:color="auto"/>
        <w:bottom w:val="none" w:sz="0" w:space="0" w:color="auto"/>
        <w:right w:val="none" w:sz="0" w:space="0" w:color="auto"/>
      </w:divBdr>
    </w:div>
    <w:div w:id="1252394677">
      <w:bodyDiv w:val="1"/>
      <w:marLeft w:val="0"/>
      <w:marRight w:val="0"/>
      <w:marTop w:val="0"/>
      <w:marBottom w:val="0"/>
      <w:divBdr>
        <w:top w:val="none" w:sz="0" w:space="0" w:color="auto"/>
        <w:left w:val="none" w:sz="0" w:space="0" w:color="auto"/>
        <w:bottom w:val="none" w:sz="0" w:space="0" w:color="auto"/>
        <w:right w:val="none" w:sz="0" w:space="0" w:color="auto"/>
      </w:divBdr>
    </w:div>
    <w:div w:id="1252739570">
      <w:bodyDiv w:val="1"/>
      <w:marLeft w:val="0"/>
      <w:marRight w:val="0"/>
      <w:marTop w:val="0"/>
      <w:marBottom w:val="0"/>
      <w:divBdr>
        <w:top w:val="none" w:sz="0" w:space="0" w:color="auto"/>
        <w:left w:val="none" w:sz="0" w:space="0" w:color="auto"/>
        <w:bottom w:val="none" w:sz="0" w:space="0" w:color="auto"/>
        <w:right w:val="none" w:sz="0" w:space="0" w:color="auto"/>
      </w:divBdr>
    </w:div>
    <w:div w:id="1254128467">
      <w:bodyDiv w:val="1"/>
      <w:marLeft w:val="0"/>
      <w:marRight w:val="0"/>
      <w:marTop w:val="0"/>
      <w:marBottom w:val="0"/>
      <w:divBdr>
        <w:top w:val="none" w:sz="0" w:space="0" w:color="auto"/>
        <w:left w:val="none" w:sz="0" w:space="0" w:color="auto"/>
        <w:bottom w:val="none" w:sz="0" w:space="0" w:color="auto"/>
        <w:right w:val="none" w:sz="0" w:space="0" w:color="auto"/>
      </w:divBdr>
    </w:div>
    <w:div w:id="1254778489">
      <w:bodyDiv w:val="1"/>
      <w:marLeft w:val="0"/>
      <w:marRight w:val="0"/>
      <w:marTop w:val="0"/>
      <w:marBottom w:val="0"/>
      <w:divBdr>
        <w:top w:val="none" w:sz="0" w:space="0" w:color="auto"/>
        <w:left w:val="none" w:sz="0" w:space="0" w:color="auto"/>
        <w:bottom w:val="none" w:sz="0" w:space="0" w:color="auto"/>
        <w:right w:val="none" w:sz="0" w:space="0" w:color="auto"/>
      </w:divBdr>
    </w:div>
    <w:div w:id="1257247365">
      <w:bodyDiv w:val="1"/>
      <w:marLeft w:val="0"/>
      <w:marRight w:val="0"/>
      <w:marTop w:val="0"/>
      <w:marBottom w:val="0"/>
      <w:divBdr>
        <w:top w:val="none" w:sz="0" w:space="0" w:color="auto"/>
        <w:left w:val="none" w:sz="0" w:space="0" w:color="auto"/>
        <w:bottom w:val="none" w:sz="0" w:space="0" w:color="auto"/>
        <w:right w:val="none" w:sz="0" w:space="0" w:color="auto"/>
      </w:divBdr>
    </w:div>
    <w:div w:id="1263609545">
      <w:bodyDiv w:val="1"/>
      <w:marLeft w:val="0"/>
      <w:marRight w:val="0"/>
      <w:marTop w:val="0"/>
      <w:marBottom w:val="0"/>
      <w:divBdr>
        <w:top w:val="none" w:sz="0" w:space="0" w:color="auto"/>
        <w:left w:val="none" w:sz="0" w:space="0" w:color="auto"/>
        <w:bottom w:val="none" w:sz="0" w:space="0" w:color="auto"/>
        <w:right w:val="none" w:sz="0" w:space="0" w:color="auto"/>
      </w:divBdr>
    </w:div>
    <w:div w:id="1273055020">
      <w:bodyDiv w:val="1"/>
      <w:marLeft w:val="0"/>
      <w:marRight w:val="0"/>
      <w:marTop w:val="0"/>
      <w:marBottom w:val="0"/>
      <w:divBdr>
        <w:top w:val="none" w:sz="0" w:space="0" w:color="auto"/>
        <w:left w:val="none" w:sz="0" w:space="0" w:color="auto"/>
        <w:bottom w:val="none" w:sz="0" w:space="0" w:color="auto"/>
        <w:right w:val="none" w:sz="0" w:space="0" w:color="auto"/>
      </w:divBdr>
    </w:div>
    <w:div w:id="1278834547">
      <w:bodyDiv w:val="1"/>
      <w:marLeft w:val="0"/>
      <w:marRight w:val="0"/>
      <w:marTop w:val="0"/>
      <w:marBottom w:val="0"/>
      <w:divBdr>
        <w:top w:val="none" w:sz="0" w:space="0" w:color="auto"/>
        <w:left w:val="none" w:sz="0" w:space="0" w:color="auto"/>
        <w:bottom w:val="none" w:sz="0" w:space="0" w:color="auto"/>
        <w:right w:val="none" w:sz="0" w:space="0" w:color="auto"/>
      </w:divBdr>
    </w:div>
    <w:div w:id="1279533016">
      <w:bodyDiv w:val="1"/>
      <w:marLeft w:val="0"/>
      <w:marRight w:val="0"/>
      <w:marTop w:val="0"/>
      <w:marBottom w:val="0"/>
      <w:divBdr>
        <w:top w:val="none" w:sz="0" w:space="0" w:color="auto"/>
        <w:left w:val="none" w:sz="0" w:space="0" w:color="auto"/>
        <w:bottom w:val="none" w:sz="0" w:space="0" w:color="auto"/>
        <w:right w:val="none" w:sz="0" w:space="0" w:color="auto"/>
      </w:divBdr>
    </w:div>
    <w:div w:id="1281835584">
      <w:bodyDiv w:val="1"/>
      <w:marLeft w:val="0"/>
      <w:marRight w:val="0"/>
      <w:marTop w:val="0"/>
      <w:marBottom w:val="0"/>
      <w:divBdr>
        <w:top w:val="none" w:sz="0" w:space="0" w:color="auto"/>
        <w:left w:val="none" w:sz="0" w:space="0" w:color="auto"/>
        <w:bottom w:val="none" w:sz="0" w:space="0" w:color="auto"/>
        <w:right w:val="none" w:sz="0" w:space="0" w:color="auto"/>
      </w:divBdr>
    </w:div>
    <w:div w:id="1283194973">
      <w:bodyDiv w:val="1"/>
      <w:marLeft w:val="0"/>
      <w:marRight w:val="0"/>
      <w:marTop w:val="0"/>
      <w:marBottom w:val="0"/>
      <w:divBdr>
        <w:top w:val="none" w:sz="0" w:space="0" w:color="auto"/>
        <w:left w:val="none" w:sz="0" w:space="0" w:color="auto"/>
        <w:bottom w:val="none" w:sz="0" w:space="0" w:color="auto"/>
        <w:right w:val="none" w:sz="0" w:space="0" w:color="auto"/>
      </w:divBdr>
    </w:div>
    <w:div w:id="1290211803">
      <w:bodyDiv w:val="1"/>
      <w:marLeft w:val="0"/>
      <w:marRight w:val="0"/>
      <w:marTop w:val="0"/>
      <w:marBottom w:val="0"/>
      <w:divBdr>
        <w:top w:val="none" w:sz="0" w:space="0" w:color="auto"/>
        <w:left w:val="none" w:sz="0" w:space="0" w:color="auto"/>
        <w:bottom w:val="none" w:sz="0" w:space="0" w:color="auto"/>
        <w:right w:val="none" w:sz="0" w:space="0" w:color="auto"/>
      </w:divBdr>
    </w:div>
    <w:div w:id="1292243952">
      <w:bodyDiv w:val="1"/>
      <w:marLeft w:val="0"/>
      <w:marRight w:val="0"/>
      <w:marTop w:val="0"/>
      <w:marBottom w:val="0"/>
      <w:divBdr>
        <w:top w:val="none" w:sz="0" w:space="0" w:color="auto"/>
        <w:left w:val="none" w:sz="0" w:space="0" w:color="auto"/>
        <w:bottom w:val="none" w:sz="0" w:space="0" w:color="auto"/>
        <w:right w:val="none" w:sz="0" w:space="0" w:color="auto"/>
      </w:divBdr>
    </w:div>
    <w:div w:id="1293099397">
      <w:bodyDiv w:val="1"/>
      <w:marLeft w:val="0"/>
      <w:marRight w:val="0"/>
      <w:marTop w:val="0"/>
      <w:marBottom w:val="0"/>
      <w:divBdr>
        <w:top w:val="none" w:sz="0" w:space="0" w:color="auto"/>
        <w:left w:val="none" w:sz="0" w:space="0" w:color="auto"/>
        <w:bottom w:val="none" w:sz="0" w:space="0" w:color="auto"/>
        <w:right w:val="none" w:sz="0" w:space="0" w:color="auto"/>
      </w:divBdr>
    </w:div>
    <w:div w:id="1293752795">
      <w:bodyDiv w:val="1"/>
      <w:marLeft w:val="0"/>
      <w:marRight w:val="0"/>
      <w:marTop w:val="0"/>
      <w:marBottom w:val="0"/>
      <w:divBdr>
        <w:top w:val="none" w:sz="0" w:space="0" w:color="auto"/>
        <w:left w:val="none" w:sz="0" w:space="0" w:color="auto"/>
        <w:bottom w:val="none" w:sz="0" w:space="0" w:color="auto"/>
        <w:right w:val="none" w:sz="0" w:space="0" w:color="auto"/>
      </w:divBdr>
    </w:div>
    <w:div w:id="1296181982">
      <w:bodyDiv w:val="1"/>
      <w:marLeft w:val="0"/>
      <w:marRight w:val="0"/>
      <w:marTop w:val="0"/>
      <w:marBottom w:val="0"/>
      <w:divBdr>
        <w:top w:val="none" w:sz="0" w:space="0" w:color="auto"/>
        <w:left w:val="none" w:sz="0" w:space="0" w:color="auto"/>
        <w:bottom w:val="none" w:sz="0" w:space="0" w:color="auto"/>
        <w:right w:val="none" w:sz="0" w:space="0" w:color="auto"/>
      </w:divBdr>
    </w:div>
    <w:div w:id="1297754964">
      <w:bodyDiv w:val="1"/>
      <w:marLeft w:val="0"/>
      <w:marRight w:val="0"/>
      <w:marTop w:val="0"/>
      <w:marBottom w:val="0"/>
      <w:divBdr>
        <w:top w:val="none" w:sz="0" w:space="0" w:color="auto"/>
        <w:left w:val="none" w:sz="0" w:space="0" w:color="auto"/>
        <w:bottom w:val="none" w:sz="0" w:space="0" w:color="auto"/>
        <w:right w:val="none" w:sz="0" w:space="0" w:color="auto"/>
      </w:divBdr>
    </w:div>
    <w:div w:id="1298606803">
      <w:bodyDiv w:val="1"/>
      <w:marLeft w:val="0"/>
      <w:marRight w:val="0"/>
      <w:marTop w:val="0"/>
      <w:marBottom w:val="0"/>
      <w:divBdr>
        <w:top w:val="none" w:sz="0" w:space="0" w:color="auto"/>
        <w:left w:val="none" w:sz="0" w:space="0" w:color="auto"/>
        <w:bottom w:val="none" w:sz="0" w:space="0" w:color="auto"/>
        <w:right w:val="none" w:sz="0" w:space="0" w:color="auto"/>
      </w:divBdr>
    </w:div>
    <w:div w:id="1300108819">
      <w:bodyDiv w:val="1"/>
      <w:marLeft w:val="0"/>
      <w:marRight w:val="0"/>
      <w:marTop w:val="0"/>
      <w:marBottom w:val="0"/>
      <w:divBdr>
        <w:top w:val="none" w:sz="0" w:space="0" w:color="auto"/>
        <w:left w:val="none" w:sz="0" w:space="0" w:color="auto"/>
        <w:bottom w:val="none" w:sz="0" w:space="0" w:color="auto"/>
        <w:right w:val="none" w:sz="0" w:space="0" w:color="auto"/>
      </w:divBdr>
    </w:div>
    <w:div w:id="1300958863">
      <w:bodyDiv w:val="1"/>
      <w:marLeft w:val="0"/>
      <w:marRight w:val="0"/>
      <w:marTop w:val="0"/>
      <w:marBottom w:val="0"/>
      <w:divBdr>
        <w:top w:val="none" w:sz="0" w:space="0" w:color="auto"/>
        <w:left w:val="none" w:sz="0" w:space="0" w:color="auto"/>
        <w:bottom w:val="none" w:sz="0" w:space="0" w:color="auto"/>
        <w:right w:val="none" w:sz="0" w:space="0" w:color="auto"/>
      </w:divBdr>
    </w:div>
    <w:div w:id="1301231335">
      <w:bodyDiv w:val="1"/>
      <w:marLeft w:val="0"/>
      <w:marRight w:val="0"/>
      <w:marTop w:val="0"/>
      <w:marBottom w:val="0"/>
      <w:divBdr>
        <w:top w:val="none" w:sz="0" w:space="0" w:color="auto"/>
        <w:left w:val="none" w:sz="0" w:space="0" w:color="auto"/>
        <w:bottom w:val="none" w:sz="0" w:space="0" w:color="auto"/>
        <w:right w:val="none" w:sz="0" w:space="0" w:color="auto"/>
      </w:divBdr>
    </w:div>
    <w:div w:id="1303194203">
      <w:bodyDiv w:val="1"/>
      <w:marLeft w:val="0"/>
      <w:marRight w:val="0"/>
      <w:marTop w:val="0"/>
      <w:marBottom w:val="0"/>
      <w:divBdr>
        <w:top w:val="none" w:sz="0" w:space="0" w:color="auto"/>
        <w:left w:val="none" w:sz="0" w:space="0" w:color="auto"/>
        <w:bottom w:val="none" w:sz="0" w:space="0" w:color="auto"/>
        <w:right w:val="none" w:sz="0" w:space="0" w:color="auto"/>
      </w:divBdr>
    </w:div>
    <w:div w:id="1306279967">
      <w:bodyDiv w:val="1"/>
      <w:marLeft w:val="0"/>
      <w:marRight w:val="0"/>
      <w:marTop w:val="0"/>
      <w:marBottom w:val="0"/>
      <w:divBdr>
        <w:top w:val="none" w:sz="0" w:space="0" w:color="auto"/>
        <w:left w:val="none" w:sz="0" w:space="0" w:color="auto"/>
        <w:bottom w:val="none" w:sz="0" w:space="0" w:color="auto"/>
        <w:right w:val="none" w:sz="0" w:space="0" w:color="auto"/>
      </w:divBdr>
    </w:div>
    <w:div w:id="1310090447">
      <w:bodyDiv w:val="1"/>
      <w:marLeft w:val="0"/>
      <w:marRight w:val="0"/>
      <w:marTop w:val="0"/>
      <w:marBottom w:val="0"/>
      <w:divBdr>
        <w:top w:val="none" w:sz="0" w:space="0" w:color="auto"/>
        <w:left w:val="none" w:sz="0" w:space="0" w:color="auto"/>
        <w:bottom w:val="none" w:sz="0" w:space="0" w:color="auto"/>
        <w:right w:val="none" w:sz="0" w:space="0" w:color="auto"/>
      </w:divBdr>
    </w:div>
    <w:div w:id="1310095331">
      <w:bodyDiv w:val="1"/>
      <w:marLeft w:val="0"/>
      <w:marRight w:val="0"/>
      <w:marTop w:val="0"/>
      <w:marBottom w:val="0"/>
      <w:divBdr>
        <w:top w:val="none" w:sz="0" w:space="0" w:color="auto"/>
        <w:left w:val="none" w:sz="0" w:space="0" w:color="auto"/>
        <w:bottom w:val="none" w:sz="0" w:space="0" w:color="auto"/>
        <w:right w:val="none" w:sz="0" w:space="0" w:color="auto"/>
      </w:divBdr>
    </w:div>
    <w:div w:id="1311904500">
      <w:bodyDiv w:val="1"/>
      <w:marLeft w:val="0"/>
      <w:marRight w:val="0"/>
      <w:marTop w:val="0"/>
      <w:marBottom w:val="0"/>
      <w:divBdr>
        <w:top w:val="none" w:sz="0" w:space="0" w:color="auto"/>
        <w:left w:val="none" w:sz="0" w:space="0" w:color="auto"/>
        <w:bottom w:val="none" w:sz="0" w:space="0" w:color="auto"/>
        <w:right w:val="none" w:sz="0" w:space="0" w:color="auto"/>
      </w:divBdr>
    </w:div>
    <w:div w:id="1311986458">
      <w:bodyDiv w:val="1"/>
      <w:marLeft w:val="0"/>
      <w:marRight w:val="0"/>
      <w:marTop w:val="0"/>
      <w:marBottom w:val="0"/>
      <w:divBdr>
        <w:top w:val="none" w:sz="0" w:space="0" w:color="auto"/>
        <w:left w:val="none" w:sz="0" w:space="0" w:color="auto"/>
        <w:bottom w:val="none" w:sz="0" w:space="0" w:color="auto"/>
        <w:right w:val="none" w:sz="0" w:space="0" w:color="auto"/>
      </w:divBdr>
    </w:div>
    <w:div w:id="1315916149">
      <w:bodyDiv w:val="1"/>
      <w:marLeft w:val="0"/>
      <w:marRight w:val="0"/>
      <w:marTop w:val="0"/>
      <w:marBottom w:val="0"/>
      <w:divBdr>
        <w:top w:val="none" w:sz="0" w:space="0" w:color="auto"/>
        <w:left w:val="none" w:sz="0" w:space="0" w:color="auto"/>
        <w:bottom w:val="none" w:sz="0" w:space="0" w:color="auto"/>
        <w:right w:val="none" w:sz="0" w:space="0" w:color="auto"/>
      </w:divBdr>
    </w:div>
    <w:div w:id="1317297334">
      <w:bodyDiv w:val="1"/>
      <w:marLeft w:val="0"/>
      <w:marRight w:val="0"/>
      <w:marTop w:val="0"/>
      <w:marBottom w:val="0"/>
      <w:divBdr>
        <w:top w:val="none" w:sz="0" w:space="0" w:color="auto"/>
        <w:left w:val="none" w:sz="0" w:space="0" w:color="auto"/>
        <w:bottom w:val="none" w:sz="0" w:space="0" w:color="auto"/>
        <w:right w:val="none" w:sz="0" w:space="0" w:color="auto"/>
      </w:divBdr>
    </w:div>
    <w:div w:id="1319531903">
      <w:bodyDiv w:val="1"/>
      <w:marLeft w:val="0"/>
      <w:marRight w:val="0"/>
      <w:marTop w:val="0"/>
      <w:marBottom w:val="0"/>
      <w:divBdr>
        <w:top w:val="none" w:sz="0" w:space="0" w:color="auto"/>
        <w:left w:val="none" w:sz="0" w:space="0" w:color="auto"/>
        <w:bottom w:val="none" w:sz="0" w:space="0" w:color="auto"/>
        <w:right w:val="none" w:sz="0" w:space="0" w:color="auto"/>
      </w:divBdr>
    </w:div>
    <w:div w:id="1321500032">
      <w:bodyDiv w:val="1"/>
      <w:marLeft w:val="0"/>
      <w:marRight w:val="0"/>
      <w:marTop w:val="0"/>
      <w:marBottom w:val="0"/>
      <w:divBdr>
        <w:top w:val="none" w:sz="0" w:space="0" w:color="auto"/>
        <w:left w:val="none" w:sz="0" w:space="0" w:color="auto"/>
        <w:bottom w:val="none" w:sz="0" w:space="0" w:color="auto"/>
        <w:right w:val="none" w:sz="0" w:space="0" w:color="auto"/>
      </w:divBdr>
    </w:div>
    <w:div w:id="1325626396">
      <w:bodyDiv w:val="1"/>
      <w:marLeft w:val="0"/>
      <w:marRight w:val="0"/>
      <w:marTop w:val="0"/>
      <w:marBottom w:val="0"/>
      <w:divBdr>
        <w:top w:val="none" w:sz="0" w:space="0" w:color="auto"/>
        <w:left w:val="none" w:sz="0" w:space="0" w:color="auto"/>
        <w:bottom w:val="none" w:sz="0" w:space="0" w:color="auto"/>
        <w:right w:val="none" w:sz="0" w:space="0" w:color="auto"/>
      </w:divBdr>
    </w:div>
    <w:div w:id="1327243566">
      <w:bodyDiv w:val="1"/>
      <w:marLeft w:val="0"/>
      <w:marRight w:val="0"/>
      <w:marTop w:val="0"/>
      <w:marBottom w:val="0"/>
      <w:divBdr>
        <w:top w:val="none" w:sz="0" w:space="0" w:color="auto"/>
        <w:left w:val="none" w:sz="0" w:space="0" w:color="auto"/>
        <w:bottom w:val="none" w:sz="0" w:space="0" w:color="auto"/>
        <w:right w:val="none" w:sz="0" w:space="0" w:color="auto"/>
      </w:divBdr>
    </w:div>
    <w:div w:id="1328050934">
      <w:bodyDiv w:val="1"/>
      <w:marLeft w:val="0"/>
      <w:marRight w:val="0"/>
      <w:marTop w:val="0"/>
      <w:marBottom w:val="0"/>
      <w:divBdr>
        <w:top w:val="none" w:sz="0" w:space="0" w:color="auto"/>
        <w:left w:val="none" w:sz="0" w:space="0" w:color="auto"/>
        <w:bottom w:val="none" w:sz="0" w:space="0" w:color="auto"/>
        <w:right w:val="none" w:sz="0" w:space="0" w:color="auto"/>
      </w:divBdr>
    </w:div>
    <w:div w:id="1328705562">
      <w:bodyDiv w:val="1"/>
      <w:marLeft w:val="0"/>
      <w:marRight w:val="0"/>
      <w:marTop w:val="0"/>
      <w:marBottom w:val="0"/>
      <w:divBdr>
        <w:top w:val="none" w:sz="0" w:space="0" w:color="auto"/>
        <w:left w:val="none" w:sz="0" w:space="0" w:color="auto"/>
        <w:bottom w:val="none" w:sz="0" w:space="0" w:color="auto"/>
        <w:right w:val="none" w:sz="0" w:space="0" w:color="auto"/>
      </w:divBdr>
    </w:div>
    <w:div w:id="1329944406">
      <w:bodyDiv w:val="1"/>
      <w:marLeft w:val="0"/>
      <w:marRight w:val="0"/>
      <w:marTop w:val="0"/>
      <w:marBottom w:val="0"/>
      <w:divBdr>
        <w:top w:val="none" w:sz="0" w:space="0" w:color="auto"/>
        <w:left w:val="none" w:sz="0" w:space="0" w:color="auto"/>
        <w:bottom w:val="none" w:sz="0" w:space="0" w:color="auto"/>
        <w:right w:val="none" w:sz="0" w:space="0" w:color="auto"/>
      </w:divBdr>
    </w:div>
    <w:div w:id="1332610148">
      <w:bodyDiv w:val="1"/>
      <w:marLeft w:val="0"/>
      <w:marRight w:val="0"/>
      <w:marTop w:val="0"/>
      <w:marBottom w:val="0"/>
      <w:divBdr>
        <w:top w:val="none" w:sz="0" w:space="0" w:color="auto"/>
        <w:left w:val="none" w:sz="0" w:space="0" w:color="auto"/>
        <w:bottom w:val="none" w:sz="0" w:space="0" w:color="auto"/>
        <w:right w:val="none" w:sz="0" w:space="0" w:color="auto"/>
      </w:divBdr>
    </w:div>
    <w:div w:id="1334256985">
      <w:bodyDiv w:val="1"/>
      <w:marLeft w:val="0"/>
      <w:marRight w:val="0"/>
      <w:marTop w:val="0"/>
      <w:marBottom w:val="0"/>
      <w:divBdr>
        <w:top w:val="none" w:sz="0" w:space="0" w:color="auto"/>
        <w:left w:val="none" w:sz="0" w:space="0" w:color="auto"/>
        <w:bottom w:val="none" w:sz="0" w:space="0" w:color="auto"/>
        <w:right w:val="none" w:sz="0" w:space="0" w:color="auto"/>
      </w:divBdr>
    </w:div>
    <w:div w:id="1334576299">
      <w:bodyDiv w:val="1"/>
      <w:marLeft w:val="0"/>
      <w:marRight w:val="0"/>
      <w:marTop w:val="0"/>
      <w:marBottom w:val="0"/>
      <w:divBdr>
        <w:top w:val="none" w:sz="0" w:space="0" w:color="auto"/>
        <w:left w:val="none" w:sz="0" w:space="0" w:color="auto"/>
        <w:bottom w:val="none" w:sz="0" w:space="0" w:color="auto"/>
        <w:right w:val="none" w:sz="0" w:space="0" w:color="auto"/>
      </w:divBdr>
    </w:div>
    <w:div w:id="1337465008">
      <w:bodyDiv w:val="1"/>
      <w:marLeft w:val="0"/>
      <w:marRight w:val="0"/>
      <w:marTop w:val="0"/>
      <w:marBottom w:val="0"/>
      <w:divBdr>
        <w:top w:val="none" w:sz="0" w:space="0" w:color="auto"/>
        <w:left w:val="none" w:sz="0" w:space="0" w:color="auto"/>
        <w:bottom w:val="none" w:sz="0" w:space="0" w:color="auto"/>
        <w:right w:val="none" w:sz="0" w:space="0" w:color="auto"/>
      </w:divBdr>
    </w:div>
    <w:div w:id="1337881054">
      <w:bodyDiv w:val="1"/>
      <w:marLeft w:val="0"/>
      <w:marRight w:val="0"/>
      <w:marTop w:val="0"/>
      <w:marBottom w:val="0"/>
      <w:divBdr>
        <w:top w:val="none" w:sz="0" w:space="0" w:color="auto"/>
        <w:left w:val="none" w:sz="0" w:space="0" w:color="auto"/>
        <w:bottom w:val="none" w:sz="0" w:space="0" w:color="auto"/>
        <w:right w:val="none" w:sz="0" w:space="0" w:color="auto"/>
      </w:divBdr>
    </w:div>
    <w:div w:id="1344552121">
      <w:bodyDiv w:val="1"/>
      <w:marLeft w:val="0"/>
      <w:marRight w:val="0"/>
      <w:marTop w:val="0"/>
      <w:marBottom w:val="0"/>
      <w:divBdr>
        <w:top w:val="none" w:sz="0" w:space="0" w:color="auto"/>
        <w:left w:val="none" w:sz="0" w:space="0" w:color="auto"/>
        <w:bottom w:val="none" w:sz="0" w:space="0" w:color="auto"/>
        <w:right w:val="none" w:sz="0" w:space="0" w:color="auto"/>
      </w:divBdr>
    </w:div>
    <w:div w:id="1348290553">
      <w:bodyDiv w:val="1"/>
      <w:marLeft w:val="0"/>
      <w:marRight w:val="0"/>
      <w:marTop w:val="0"/>
      <w:marBottom w:val="0"/>
      <w:divBdr>
        <w:top w:val="none" w:sz="0" w:space="0" w:color="auto"/>
        <w:left w:val="none" w:sz="0" w:space="0" w:color="auto"/>
        <w:bottom w:val="none" w:sz="0" w:space="0" w:color="auto"/>
        <w:right w:val="none" w:sz="0" w:space="0" w:color="auto"/>
      </w:divBdr>
    </w:div>
    <w:div w:id="1349212779">
      <w:bodyDiv w:val="1"/>
      <w:marLeft w:val="0"/>
      <w:marRight w:val="0"/>
      <w:marTop w:val="0"/>
      <w:marBottom w:val="0"/>
      <w:divBdr>
        <w:top w:val="none" w:sz="0" w:space="0" w:color="auto"/>
        <w:left w:val="none" w:sz="0" w:space="0" w:color="auto"/>
        <w:bottom w:val="none" w:sz="0" w:space="0" w:color="auto"/>
        <w:right w:val="none" w:sz="0" w:space="0" w:color="auto"/>
      </w:divBdr>
    </w:div>
    <w:div w:id="1349676075">
      <w:bodyDiv w:val="1"/>
      <w:marLeft w:val="0"/>
      <w:marRight w:val="0"/>
      <w:marTop w:val="0"/>
      <w:marBottom w:val="0"/>
      <w:divBdr>
        <w:top w:val="none" w:sz="0" w:space="0" w:color="auto"/>
        <w:left w:val="none" w:sz="0" w:space="0" w:color="auto"/>
        <w:bottom w:val="none" w:sz="0" w:space="0" w:color="auto"/>
        <w:right w:val="none" w:sz="0" w:space="0" w:color="auto"/>
      </w:divBdr>
    </w:div>
    <w:div w:id="1350446273">
      <w:bodyDiv w:val="1"/>
      <w:marLeft w:val="0"/>
      <w:marRight w:val="0"/>
      <w:marTop w:val="0"/>
      <w:marBottom w:val="0"/>
      <w:divBdr>
        <w:top w:val="none" w:sz="0" w:space="0" w:color="auto"/>
        <w:left w:val="none" w:sz="0" w:space="0" w:color="auto"/>
        <w:bottom w:val="none" w:sz="0" w:space="0" w:color="auto"/>
        <w:right w:val="none" w:sz="0" w:space="0" w:color="auto"/>
      </w:divBdr>
    </w:div>
    <w:div w:id="1351033620">
      <w:bodyDiv w:val="1"/>
      <w:marLeft w:val="0"/>
      <w:marRight w:val="0"/>
      <w:marTop w:val="0"/>
      <w:marBottom w:val="0"/>
      <w:divBdr>
        <w:top w:val="none" w:sz="0" w:space="0" w:color="auto"/>
        <w:left w:val="none" w:sz="0" w:space="0" w:color="auto"/>
        <w:bottom w:val="none" w:sz="0" w:space="0" w:color="auto"/>
        <w:right w:val="none" w:sz="0" w:space="0" w:color="auto"/>
      </w:divBdr>
    </w:div>
    <w:div w:id="1351570546">
      <w:bodyDiv w:val="1"/>
      <w:marLeft w:val="0"/>
      <w:marRight w:val="0"/>
      <w:marTop w:val="0"/>
      <w:marBottom w:val="0"/>
      <w:divBdr>
        <w:top w:val="none" w:sz="0" w:space="0" w:color="auto"/>
        <w:left w:val="none" w:sz="0" w:space="0" w:color="auto"/>
        <w:bottom w:val="none" w:sz="0" w:space="0" w:color="auto"/>
        <w:right w:val="none" w:sz="0" w:space="0" w:color="auto"/>
      </w:divBdr>
    </w:div>
    <w:div w:id="1352225396">
      <w:bodyDiv w:val="1"/>
      <w:marLeft w:val="0"/>
      <w:marRight w:val="0"/>
      <w:marTop w:val="0"/>
      <w:marBottom w:val="0"/>
      <w:divBdr>
        <w:top w:val="none" w:sz="0" w:space="0" w:color="auto"/>
        <w:left w:val="none" w:sz="0" w:space="0" w:color="auto"/>
        <w:bottom w:val="none" w:sz="0" w:space="0" w:color="auto"/>
        <w:right w:val="none" w:sz="0" w:space="0" w:color="auto"/>
      </w:divBdr>
    </w:div>
    <w:div w:id="1355427078">
      <w:bodyDiv w:val="1"/>
      <w:marLeft w:val="0"/>
      <w:marRight w:val="0"/>
      <w:marTop w:val="0"/>
      <w:marBottom w:val="0"/>
      <w:divBdr>
        <w:top w:val="none" w:sz="0" w:space="0" w:color="auto"/>
        <w:left w:val="none" w:sz="0" w:space="0" w:color="auto"/>
        <w:bottom w:val="none" w:sz="0" w:space="0" w:color="auto"/>
        <w:right w:val="none" w:sz="0" w:space="0" w:color="auto"/>
      </w:divBdr>
    </w:div>
    <w:div w:id="1355494290">
      <w:bodyDiv w:val="1"/>
      <w:marLeft w:val="0"/>
      <w:marRight w:val="0"/>
      <w:marTop w:val="0"/>
      <w:marBottom w:val="0"/>
      <w:divBdr>
        <w:top w:val="none" w:sz="0" w:space="0" w:color="auto"/>
        <w:left w:val="none" w:sz="0" w:space="0" w:color="auto"/>
        <w:bottom w:val="none" w:sz="0" w:space="0" w:color="auto"/>
        <w:right w:val="none" w:sz="0" w:space="0" w:color="auto"/>
      </w:divBdr>
    </w:div>
    <w:div w:id="1355644589">
      <w:bodyDiv w:val="1"/>
      <w:marLeft w:val="0"/>
      <w:marRight w:val="0"/>
      <w:marTop w:val="0"/>
      <w:marBottom w:val="0"/>
      <w:divBdr>
        <w:top w:val="none" w:sz="0" w:space="0" w:color="auto"/>
        <w:left w:val="none" w:sz="0" w:space="0" w:color="auto"/>
        <w:bottom w:val="none" w:sz="0" w:space="0" w:color="auto"/>
        <w:right w:val="none" w:sz="0" w:space="0" w:color="auto"/>
      </w:divBdr>
    </w:div>
    <w:div w:id="1358388398">
      <w:bodyDiv w:val="1"/>
      <w:marLeft w:val="0"/>
      <w:marRight w:val="0"/>
      <w:marTop w:val="0"/>
      <w:marBottom w:val="0"/>
      <w:divBdr>
        <w:top w:val="none" w:sz="0" w:space="0" w:color="auto"/>
        <w:left w:val="none" w:sz="0" w:space="0" w:color="auto"/>
        <w:bottom w:val="none" w:sz="0" w:space="0" w:color="auto"/>
        <w:right w:val="none" w:sz="0" w:space="0" w:color="auto"/>
      </w:divBdr>
    </w:div>
    <w:div w:id="1358502495">
      <w:bodyDiv w:val="1"/>
      <w:marLeft w:val="0"/>
      <w:marRight w:val="0"/>
      <w:marTop w:val="0"/>
      <w:marBottom w:val="0"/>
      <w:divBdr>
        <w:top w:val="none" w:sz="0" w:space="0" w:color="auto"/>
        <w:left w:val="none" w:sz="0" w:space="0" w:color="auto"/>
        <w:bottom w:val="none" w:sz="0" w:space="0" w:color="auto"/>
        <w:right w:val="none" w:sz="0" w:space="0" w:color="auto"/>
      </w:divBdr>
    </w:div>
    <w:div w:id="1363750862">
      <w:bodyDiv w:val="1"/>
      <w:marLeft w:val="0"/>
      <w:marRight w:val="0"/>
      <w:marTop w:val="0"/>
      <w:marBottom w:val="0"/>
      <w:divBdr>
        <w:top w:val="none" w:sz="0" w:space="0" w:color="auto"/>
        <w:left w:val="none" w:sz="0" w:space="0" w:color="auto"/>
        <w:bottom w:val="none" w:sz="0" w:space="0" w:color="auto"/>
        <w:right w:val="none" w:sz="0" w:space="0" w:color="auto"/>
      </w:divBdr>
    </w:div>
    <w:div w:id="1364475393">
      <w:bodyDiv w:val="1"/>
      <w:marLeft w:val="0"/>
      <w:marRight w:val="0"/>
      <w:marTop w:val="0"/>
      <w:marBottom w:val="0"/>
      <w:divBdr>
        <w:top w:val="none" w:sz="0" w:space="0" w:color="auto"/>
        <w:left w:val="none" w:sz="0" w:space="0" w:color="auto"/>
        <w:bottom w:val="none" w:sz="0" w:space="0" w:color="auto"/>
        <w:right w:val="none" w:sz="0" w:space="0" w:color="auto"/>
      </w:divBdr>
    </w:div>
    <w:div w:id="1364747419">
      <w:bodyDiv w:val="1"/>
      <w:marLeft w:val="0"/>
      <w:marRight w:val="0"/>
      <w:marTop w:val="0"/>
      <w:marBottom w:val="0"/>
      <w:divBdr>
        <w:top w:val="none" w:sz="0" w:space="0" w:color="auto"/>
        <w:left w:val="none" w:sz="0" w:space="0" w:color="auto"/>
        <w:bottom w:val="none" w:sz="0" w:space="0" w:color="auto"/>
        <w:right w:val="none" w:sz="0" w:space="0" w:color="auto"/>
      </w:divBdr>
    </w:div>
    <w:div w:id="1365326336">
      <w:bodyDiv w:val="1"/>
      <w:marLeft w:val="0"/>
      <w:marRight w:val="0"/>
      <w:marTop w:val="0"/>
      <w:marBottom w:val="0"/>
      <w:divBdr>
        <w:top w:val="none" w:sz="0" w:space="0" w:color="auto"/>
        <w:left w:val="none" w:sz="0" w:space="0" w:color="auto"/>
        <w:bottom w:val="none" w:sz="0" w:space="0" w:color="auto"/>
        <w:right w:val="none" w:sz="0" w:space="0" w:color="auto"/>
      </w:divBdr>
    </w:div>
    <w:div w:id="1365787859">
      <w:bodyDiv w:val="1"/>
      <w:marLeft w:val="0"/>
      <w:marRight w:val="0"/>
      <w:marTop w:val="0"/>
      <w:marBottom w:val="0"/>
      <w:divBdr>
        <w:top w:val="none" w:sz="0" w:space="0" w:color="auto"/>
        <w:left w:val="none" w:sz="0" w:space="0" w:color="auto"/>
        <w:bottom w:val="none" w:sz="0" w:space="0" w:color="auto"/>
        <w:right w:val="none" w:sz="0" w:space="0" w:color="auto"/>
      </w:divBdr>
    </w:div>
    <w:div w:id="1365909169">
      <w:bodyDiv w:val="1"/>
      <w:marLeft w:val="0"/>
      <w:marRight w:val="0"/>
      <w:marTop w:val="0"/>
      <w:marBottom w:val="0"/>
      <w:divBdr>
        <w:top w:val="none" w:sz="0" w:space="0" w:color="auto"/>
        <w:left w:val="none" w:sz="0" w:space="0" w:color="auto"/>
        <w:bottom w:val="none" w:sz="0" w:space="0" w:color="auto"/>
        <w:right w:val="none" w:sz="0" w:space="0" w:color="auto"/>
      </w:divBdr>
    </w:div>
    <w:div w:id="1367365682">
      <w:bodyDiv w:val="1"/>
      <w:marLeft w:val="0"/>
      <w:marRight w:val="0"/>
      <w:marTop w:val="0"/>
      <w:marBottom w:val="0"/>
      <w:divBdr>
        <w:top w:val="none" w:sz="0" w:space="0" w:color="auto"/>
        <w:left w:val="none" w:sz="0" w:space="0" w:color="auto"/>
        <w:bottom w:val="none" w:sz="0" w:space="0" w:color="auto"/>
        <w:right w:val="none" w:sz="0" w:space="0" w:color="auto"/>
      </w:divBdr>
    </w:div>
    <w:div w:id="1368021793">
      <w:bodyDiv w:val="1"/>
      <w:marLeft w:val="0"/>
      <w:marRight w:val="0"/>
      <w:marTop w:val="0"/>
      <w:marBottom w:val="0"/>
      <w:divBdr>
        <w:top w:val="none" w:sz="0" w:space="0" w:color="auto"/>
        <w:left w:val="none" w:sz="0" w:space="0" w:color="auto"/>
        <w:bottom w:val="none" w:sz="0" w:space="0" w:color="auto"/>
        <w:right w:val="none" w:sz="0" w:space="0" w:color="auto"/>
      </w:divBdr>
    </w:div>
    <w:div w:id="1368523954">
      <w:bodyDiv w:val="1"/>
      <w:marLeft w:val="0"/>
      <w:marRight w:val="0"/>
      <w:marTop w:val="0"/>
      <w:marBottom w:val="0"/>
      <w:divBdr>
        <w:top w:val="none" w:sz="0" w:space="0" w:color="auto"/>
        <w:left w:val="none" w:sz="0" w:space="0" w:color="auto"/>
        <w:bottom w:val="none" w:sz="0" w:space="0" w:color="auto"/>
        <w:right w:val="none" w:sz="0" w:space="0" w:color="auto"/>
      </w:divBdr>
    </w:div>
    <w:div w:id="1370374181">
      <w:bodyDiv w:val="1"/>
      <w:marLeft w:val="0"/>
      <w:marRight w:val="0"/>
      <w:marTop w:val="0"/>
      <w:marBottom w:val="0"/>
      <w:divBdr>
        <w:top w:val="none" w:sz="0" w:space="0" w:color="auto"/>
        <w:left w:val="none" w:sz="0" w:space="0" w:color="auto"/>
        <w:bottom w:val="none" w:sz="0" w:space="0" w:color="auto"/>
        <w:right w:val="none" w:sz="0" w:space="0" w:color="auto"/>
      </w:divBdr>
    </w:div>
    <w:div w:id="1371227088">
      <w:bodyDiv w:val="1"/>
      <w:marLeft w:val="0"/>
      <w:marRight w:val="0"/>
      <w:marTop w:val="0"/>
      <w:marBottom w:val="0"/>
      <w:divBdr>
        <w:top w:val="none" w:sz="0" w:space="0" w:color="auto"/>
        <w:left w:val="none" w:sz="0" w:space="0" w:color="auto"/>
        <w:bottom w:val="none" w:sz="0" w:space="0" w:color="auto"/>
        <w:right w:val="none" w:sz="0" w:space="0" w:color="auto"/>
      </w:divBdr>
    </w:div>
    <w:div w:id="1372923932">
      <w:bodyDiv w:val="1"/>
      <w:marLeft w:val="0"/>
      <w:marRight w:val="0"/>
      <w:marTop w:val="0"/>
      <w:marBottom w:val="0"/>
      <w:divBdr>
        <w:top w:val="none" w:sz="0" w:space="0" w:color="auto"/>
        <w:left w:val="none" w:sz="0" w:space="0" w:color="auto"/>
        <w:bottom w:val="none" w:sz="0" w:space="0" w:color="auto"/>
        <w:right w:val="none" w:sz="0" w:space="0" w:color="auto"/>
      </w:divBdr>
    </w:div>
    <w:div w:id="1376615325">
      <w:bodyDiv w:val="1"/>
      <w:marLeft w:val="0"/>
      <w:marRight w:val="0"/>
      <w:marTop w:val="0"/>
      <w:marBottom w:val="0"/>
      <w:divBdr>
        <w:top w:val="none" w:sz="0" w:space="0" w:color="auto"/>
        <w:left w:val="none" w:sz="0" w:space="0" w:color="auto"/>
        <w:bottom w:val="none" w:sz="0" w:space="0" w:color="auto"/>
        <w:right w:val="none" w:sz="0" w:space="0" w:color="auto"/>
      </w:divBdr>
    </w:div>
    <w:div w:id="1379233541">
      <w:bodyDiv w:val="1"/>
      <w:marLeft w:val="0"/>
      <w:marRight w:val="0"/>
      <w:marTop w:val="0"/>
      <w:marBottom w:val="0"/>
      <w:divBdr>
        <w:top w:val="none" w:sz="0" w:space="0" w:color="auto"/>
        <w:left w:val="none" w:sz="0" w:space="0" w:color="auto"/>
        <w:bottom w:val="none" w:sz="0" w:space="0" w:color="auto"/>
        <w:right w:val="none" w:sz="0" w:space="0" w:color="auto"/>
      </w:divBdr>
    </w:div>
    <w:div w:id="1380595149">
      <w:bodyDiv w:val="1"/>
      <w:marLeft w:val="0"/>
      <w:marRight w:val="0"/>
      <w:marTop w:val="0"/>
      <w:marBottom w:val="0"/>
      <w:divBdr>
        <w:top w:val="none" w:sz="0" w:space="0" w:color="auto"/>
        <w:left w:val="none" w:sz="0" w:space="0" w:color="auto"/>
        <w:bottom w:val="none" w:sz="0" w:space="0" w:color="auto"/>
        <w:right w:val="none" w:sz="0" w:space="0" w:color="auto"/>
      </w:divBdr>
    </w:div>
    <w:div w:id="1381592048">
      <w:bodyDiv w:val="1"/>
      <w:marLeft w:val="0"/>
      <w:marRight w:val="0"/>
      <w:marTop w:val="0"/>
      <w:marBottom w:val="0"/>
      <w:divBdr>
        <w:top w:val="none" w:sz="0" w:space="0" w:color="auto"/>
        <w:left w:val="none" w:sz="0" w:space="0" w:color="auto"/>
        <w:bottom w:val="none" w:sz="0" w:space="0" w:color="auto"/>
        <w:right w:val="none" w:sz="0" w:space="0" w:color="auto"/>
      </w:divBdr>
    </w:div>
    <w:div w:id="1382754394">
      <w:bodyDiv w:val="1"/>
      <w:marLeft w:val="0"/>
      <w:marRight w:val="0"/>
      <w:marTop w:val="0"/>
      <w:marBottom w:val="0"/>
      <w:divBdr>
        <w:top w:val="none" w:sz="0" w:space="0" w:color="auto"/>
        <w:left w:val="none" w:sz="0" w:space="0" w:color="auto"/>
        <w:bottom w:val="none" w:sz="0" w:space="0" w:color="auto"/>
        <w:right w:val="none" w:sz="0" w:space="0" w:color="auto"/>
      </w:divBdr>
    </w:div>
    <w:div w:id="1384215402">
      <w:bodyDiv w:val="1"/>
      <w:marLeft w:val="0"/>
      <w:marRight w:val="0"/>
      <w:marTop w:val="0"/>
      <w:marBottom w:val="0"/>
      <w:divBdr>
        <w:top w:val="none" w:sz="0" w:space="0" w:color="auto"/>
        <w:left w:val="none" w:sz="0" w:space="0" w:color="auto"/>
        <w:bottom w:val="none" w:sz="0" w:space="0" w:color="auto"/>
        <w:right w:val="none" w:sz="0" w:space="0" w:color="auto"/>
      </w:divBdr>
    </w:div>
    <w:div w:id="1384480105">
      <w:bodyDiv w:val="1"/>
      <w:marLeft w:val="0"/>
      <w:marRight w:val="0"/>
      <w:marTop w:val="0"/>
      <w:marBottom w:val="0"/>
      <w:divBdr>
        <w:top w:val="none" w:sz="0" w:space="0" w:color="auto"/>
        <w:left w:val="none" w:sz="0" w:space="0" w:color="auto"/>
        <w:bottom w:val="none" w:sz="0" w:space="0" w:color="auto"/>
        <w:right w:val="none" w:sz="0" w:space="0" w:color="auto"/>
      </w:divBdr>
    </w:div>
    <w:div w:id="1387416021">
      <w:bodyDiv w:val="1"/>
      <w:marLeft w:val="0"/>
      <w:marRight w:val="0"/>
      <w:marTop w:val="0"/>
      <w:marBottom w:val="0"/>
      <w:divBdr>
        <w:top w:val="none" w:sz="0" w:space="0" w:color="auto"/>
        <w:left w:val="none" w:sz="0" w:space="0" w:color="auto"/>
        <w:bottom w:val="none" w:sz="0" w:space="0" w:color="auto"/>
        <w:right w:val="none" w:sz="0" w:space="0" w:color="auto"/>
      </w:divBdr>
    </w:div>
    <w:div w:id="1388643363">
      <w:bodyDiv w:val="1"/>
      <w:marLeft w:val="0"/>
      <w:marRight w:val="0"/>
      <w:marTop w:val="0"/>
      <w:marBottom w:val="0"/>
      <w:divBdr>
        <w:top w:val="none" w:sz="0" w:space="0" w:color="auto"/>
        <w:left w:val="none" w:sz="0" w:space="0" w:color="auto"/>
        <w:bottom w:val="none" w:sz="0" w:space="0" w:color="auto"/>
        <w:right w:val="none" w:sz="0" w:space="0" w:color="auto"/>
      </w:divBdr>
    </w:div>
    <w:div w:id="1392272321">
      <w:bodyDiv w:val="1"/>
      <w:marLeft w:val="0"/>
      <w:marRight w:val="0"/>
      <w:marTop w:val="0"/>
      <w:marBottom w:val="0"/>
      <w:divBdr>
        <w:top w:val="none" w:sz="0" w:space="0" w:color="auto"/>
        <w:left w:val="none" w:sz="0" w:space="0" w:color="auto"/>
        <w:bottom w:val="none" w:sz="0" w:space="0" w:color="auto"/>
        <w:right w:val="none" w:sz="0" w:space="0" w:color="auto"/>
      </w:divBdr>
    </w:div>
    <w:div w:id="1393575416">
      <w:bodyDiv w:val="1"/>
      <w:marLeft w:val="0"/>
      <w:marRight w:val="0"/>
      <w:marTop w:val="0"/>
      <w:marBottom w:val="0"/>
      <w:divBdr>
        <w:top w:val="none" w:sz="0" w:space="0" w:color="auto"/>
        <w:left w:val="none" w:sz="0" w:space="0" w:color="auto"/>
        <w:bottom w:val="none" w:sz="0" w:space="0" w:color="auto"/>
        <w:right w:val="none" w:sz="0" w:space="0" w:color="auto"/>
      </w:divBdr>
    </w:div>
    <w:div w:id="1395393652">
      <w:bodyDiv w:val="1"/>
      <w:marLeft w:val="0"/>
      <w:marRight w:val="0"/>
      <w:marTop w:val="0"/>
      <w:marBottom w:val="0"/>
      <w:divBdr>
        <w:top w:val="none" w:sz="0" w:space="0" w:color="auto"/>
        <w:left w:val="none" w:sz="0" w:space="0" w:color="auto"/>
        <w:bottom w:val="none" w:sz="0" w:space="0" w:color="auto"/>
        <w:right w:val="none" w:sz="0" w:space="0" w:color="auto"/>
      </w:divBdr>
    </w:div>
    <w:div w:id="1396473637">
      <w:bodyDiv w:val="1"/>
      <w:marLeft w:val="0"/>
      <w:marRight w:val="0"/>
      <w:marTop w:val="0"/>
      <w:marBottom w:val="0"/>
      <w:divBdr>
        <w:top w:val="none" w:sz="0" w:space="0" w:color="auto"/>
        <w:left w:val="none" w:sz="0" w:space="0" w:color="auto"/>
        <w:bottom w:val="none" w:sz="0" w:space="0" w:color="auto"/>
        <w:right w:val="none" w:sz="0" w:space="0" w:color="auto"/>
      </w:divBdr>
    </w:div>
    <w:div w:id="1399551989">
      <w:bodyDiv w:val="1"/>
      <w:marLeft w:val="0"/>
      <w:marRight w:val="0"/>
      <w:marTop w:val="0"/>
      <w:marBottom w:val="0"/>
      <w:divBdr>
        <w:top w:val="none" w:sz="0" w:space="0" w:color="auto"/>
        <w:left w:val="none" w:sz="0" w:space="0" w:color="auto"/>
        <w:bottom w:val="none" w:sz="0" w:space="0" w:color="auto"/>
        <w:right w:val="none" w:sz="0" w:space="0" w:color="auto"/>
      </w:divBdr>
    </w:div>
    <w:div w:id="1403789865">
      <w:bodyDiv w:val="1"/>
      <w:marLeft w:val="0"/>
      <w:marRight w:val="0"/>
      <w:marTop w:val="0"/>
      <w:marBottom w:val="0"/>
      <w:divBdr>
        <w:top w:val="none" w:sz="0" w:space="0" w:color="auto"/>
        <w:left w:val="none" w:sz="0" w:space="0" w:color="auto"/>
        <w:bottom w:val="none" w:sz="0" w:space="0" w:color="auto"/>
        <w:right w:val="none" w:sz="0" w:space="0" w:color="auto"/>
      </w:divBdr>
    </w:div>
    <w:div w:id="1405378423">
      <w:bodyDiv w:val="1"/>
      <w:marLeft w:val="0"/>
      <w:marRight w:val="0"/>
      <w:marTop w:val="0"/>
      <w:marBottom w:val="0"/>
      <w:divBdr>
        <w:top w:val="none" w:sz="0" w:space="0" w:color="auto"/>
        <w:left w:val="none" w:sz="0" w:space="0" w:color="auto"/>
        <w:bottom w:val="none" w:sz="0" w:space="0" w:color="auto"/>
        <w:right w:val="none" w:sz="0" w:space="0" w:color="auto"/>
      </w:divBdr>
    </w:div>
    <w:div w:id="1408108629">
      <w:bodyDiv w:val="1"/>
      <w:marLeft w:val="0"/>
      <w:marRight w:val="0"/>
      <w:marTop w:val="0"/>
      <w:marBottom w:val="0"/>
      <w:divBdr>
        <w:top w:val="none" w:sz="0" w:space="0" w:color="auto"/>
        <w:left w:val="none" w:sz="0" w:space="0" w:color="auto"/>
        <w:bottom w:val="none" w:sz="0" w:space="0" w:color="auto"/>
        <w:right w:val="none" w:sz="0" w:space="0" w:color="auto"/>
      </w:divBdr>
    </w:div>
    <w:div w:id="1417282040">
      <w:bodyDiv w:val="1"/>
      <w:marLeft w:val="0"/>
      <w:marRight w:val="0"/>
      <w:marTop w:val="0"/>
      <w:marBottom w:val="0"/>
      <w:divBdr>
        <w:top w:val="none" w:sz="0" w:space="0" w:color="auto"/>
        <w:left w:val="none" w:sz="0" w:space="0" w:color="auto"/>
        <w:bottom w:val="none" w:sz="0" w:space="0" w:color="auto"/>
        <w:right w:val="none" w:sz="0" w:space="0" w:color="auto"/>
      </w:divBdr>
    </w:div>
    <w:div w:id="1418748514">
      <w:bodyDiv w:val="1"/>
      <w:marLeft w:val="0"/>
      <w:marRight w:val="0"/>
      <w:marTop w:val="0"/>
      <w:marBottom w:val="0"/>
      <w:divBdr>
        <w:top w:val="none" w:sz="0" w:space="0" w:color="auto"/>
        <w:left w:val="none" w:sz="0" w:space="0" w:color="auto"/>
        <w:bottom w:val="none" w:sz="0" w:space="0" w:color="auto"/>
        <w:right w:val="none" w:sz="0" w:space="0" w:color="auto"/>
      </w:divBdr>
    </w:div>
    <w:div w:id="1418861868">
      <w:bodyDiv w:val="1"/>
      <w:marLeft w:val="0"/>
      <w:marRight w:val="0"/>
      <w:marTop w:val="0"/>
      <w:marBottom w:val="0"/>
      <w:divBdr>
        <w:top w:val="none" w:sz="0" w:space="0" w:color="auto"/>
        <w:left w:val="none" w:sz="0" w:space="0" w:color="auto"/>
        <w:bottom w:val="none" w:sz="0" w:space="0" w:color="auto"/>
        <w:right w:val="none" w:sz="0" w:space="0" w:color="auto"/>
      </w:divBdr>
    </w:div>
    <w:div w:id="1419209304">
      <w:bodyDiv w:val="1"/>
      <w:marLeft w:val="0"/>
      <w:marRight w:val="0"/>
      <w:marTop w:val="0"/>
      <w:marBottom w:val="0"/>
      <w:divBdr>
        <w:top w:val="none" w:sz="0" w:space="0" w:color="auto"/>
        <w:left w:val="none" w:sz="0" w:space="0" w:color="auto"/>
        <w:bottom w:val="none" w:sz="0" w:space="0" w:color="auto"/>
        <w:right w:val="none" w:sz="0" w:space="0" w:color="auto"/>
      </w:divBdr>
    </w:div>
    <w:div w:id="1419594233">
      <w:bodyDiv w:val="1"/>
      <w:marLeft w:val="0"/>
      <w:marRight w:val="0"/>
      <w:marTop w:val="0"/>
      <w:marBottom w:val="0"/>
      <w:divBdr>
        <w:top w:val="none" w:sz="0" w:space="0" w:color="auto"/>
        <w:left w:val="none" w:sz="0" w:space="0" w:color="auto"/>
        <w:bottom w:val="none" w:sz="0" w:space="0" w:color="auto"/>
        <w:right w:val="none" w:sz="0" w:space="0" w:color="auto"/>
      </w:divBdr>
    </w:div>
    <w:div w:id="1419718503">
      <w:bodyDiv w:val="1"/>
      <w:marLeft w:val="0"/>
      <w:marRight w:val="0"/>
      <w:marTop w:val="0"/>
      <w:marBottom w:val="0"/>
      <w:divBdr>
        <w:top w:val="none" w:sz="0" w:space="0" w:color="auto"/>
        <w:left w:val="none" w:sz="0" w:space="0" w:color="auto"/>
        <w:bottom w:val="none" w:sz="0" w:space="0" w:color="auto"/>
        <w:right w:val="none" w:sz="0" w:space="0" w:color="auto"/>
      </w:divBdr>
    </w:div>
    <w:div w:id="1424187086">
      <w:bodyDiv w:val="1"/>
      <w:marLeft w:val="0"/>
      <w:marRight w:val="0"/>
      <w:marTop w:val="0"/>
      <w:marBottom w:val="0"/>
      <w:divBdr>
        <w:top w:val="none" w:sz="0" w:space="0" w:color="auto"/>
        <w:left w:val="none" w:sz="0" w:space="0" w:color="auto"/>
        <w:bottom w:val="none" w:sz="0" w:space="0" w:color="auto"/>
        <w:right w:val="none" w:sz="0" w:space="0" w:color="auto"/>
      </w:divBdr>
    </w:div>
    <w:div w:id="1425494540">
      <w:bodyDiv w:val="1"/>
      <w:marLeft w:val="0"/>
      <w:marRight w:val="0"/>
      <w:marTop w:val="0"/>
      <w:marBottom w:val="0"/>
      <w:divBdr>
        <w:top w:val="none" w:sz="0" w:space="0" w:color="auto"/>
        <w:left w:val="none" w:sz="0" w:space="0" w:color="auto"/>
        <w:bottom w:val="none" w:sz="0" w:space="0" w:color="auto"/>
        <w:right w:val="none" w:sz="0" w:space="0" w:color="auto"/>
      </w:divBdr>
    </w:div>
    <w:div w:id="1426993280">
      <w:bodyDiv w:val="1"/>
      <w:marLeft w:val="0"/>
      <w:marRight w:val="0"/>
      <w:marTop w:val="0"/>
      <w:marBottom w:val="0"/>
      <w:divBdr>
        <w:top w:val="none" w:sz="0" w:space="0" w:color="auto"/>
        <w:left w:val="none" w:sz="0" w:space="0" w:color="auto"/>
        <w:bottom w:val="none" w:sz="0" w:space="0" w:color="auto"/>
        <w:right w:val="none" w:sz="0" w:space="0" w:color="auto"/>
      </w:divBdr>
    </w:div>
    <w:div w:id="1427648126">
      <w:bodyDiv w:val="1"/>
      <w:marLeft w:val="0"/>
      <w:marRight w:val="0"/>
      <w:marTop w:val="0"/>
      <w:marBottom w:val="0"/>
      <w:divBdr>
        <w:top w:val="none" w:sz="0" w:space="0" w:color="auto"/>
        <w:left w:val="none" w:sz="0" w:space="0" w:color="auto"/>
        <w:bottom w:val="none" w:sz="0" w:space="0" w:color="auto"/>
        <w:right w:val="none" w:sz="0" w:space="0" w:color="auto"/>
      </w:divBdr>
    </w:div>
    <w:div w:id="1429041938">
      <w:bodyDiv w:val="1"/>
      <w:marLeft w:val="0"/>
      <w:marRight w:val="0"/>
      <w:marTop w:val="0"/>
      <w:marBottom w:val="0"/>
      <w:divBdr>
        <w:top w:val="none" w:sz="0" w:space="0" w:color="auto"/>
        <w:left w:val="none" w:sz="0" w:space="0" w:color="auto"/>
        <w:bottom w:val="none" w:sz="0" w:space="0" w:color="auto"/>
        <w:right w:val="none" w:sz="0" w:space="0" w:color="auto"/>
      </w:divBdr>
    </w:div>
    <w:div w:id="1431513123">
      <w:bodyDiv w:val="1"/>
      <w:marLeft w:val="0"/>
      <w:marRight w:val="0"/>
      <w:marTop w:val="0"/>
      <w:marBottom w:val="0"/>
      <w:divBdr>
        <w:top w:val="none" w:sz="0" w:space="0" w:color="auto"/>
        <w:left w:val="none" w:sz="0" w:space="0" w:color="auto"/>
        <w:bottom w:val="none" w:sz="0" w:space="0" w:color="auto"/>
        <w:right w:val="none" w:sz="0" w:space="0" w:color="auto"/>
      </w:divBdr>
    </w:div>
    <w:div w:id="1431662078">
      <w:bodyDiv w:val="1"/>
      <w:marLeft w:val="0"/>
      <w:marRight w:val="0"/>
      <w:marTop w:val="0"/>
      <w:marBottom w:val="0"/>
      <w:divBdr>
        <w:top w:val="none" w:sz="0" w:space="0" w:color="auto"/>
        <w:left w:val="none" w:sz="0" w:space="0" w:color="auto"/>
        <w:bottom w:val="none" w:sz="0" w:space="0" w:color="auto"/>
        <w:right w:val="none" w:sz="0" w:space="0" w:color="auto"/>
      </w:divBdr>
    </w:div>
    <w:div w:id="1437212707">
      <w:bodyDiv w:val="1"/>
      <w:marLeft w:val="0"/>
      <w:marRight w:val="0"/>
      <w:marTop w:val="0"/>
      <w:marBottom w:val="0"/>
      <w:divBdr>
        <w:top w:val="none" w:sz="0" w:space="0" w:color="auto"/>
        <w:left w:val="none" w:sz="0" w:space="0" w:color="auto"/>
        <w:bottom w:val="none" w:sz="0" w:space="0" w:color="auto"/>
        <w:right w:val="none" w:sz="0" w:space="0" w:color="auto"/>
      </w:divBdr>
    </w:div>
    <w:div w:id="1437284348">
      <w:bodyDiv w:val="1"/>
      <w:marLeft w:val="0"/>
      <w:marRight w:val="0"/>
      <w:marTop w:val="0"/>
      <w:marBottom w:val="0"/>
      <w:divBdr>
        <w:top w:val="none" w:sz="0" w:space="0" w:color="auto"/>
        <w:left w:val="none" w:sz="0" w:space="0" w:color="auto"/>
        <w:bottom w:val="none" w:sz="0" w:space="0" w:color="auto"/>
        <w:right w:val="none" w:sz="0" w:space="0" w:color="auto"/>
      </w:divBdr>
    </w:div>
    <w:div w:id="1438792251">
      <w:bodyDiv w:val="1"/>
      <w:marLeft w:val="0"/>
      <w:marRight w:val="0"/>
      <w:marTop w:val="0"/>
      <w:marBottom w:val="0"/>
      <w:divBdr>
        <w:top w:val="none" w:sz="0" w:space="0" w:color="auto"/>
        <w:left w:val="none" w:sz="0" w:space="0" w:color="auto"/>
        <w:bottom w:val="none" w:sz="0" w:space="0" w:color="auto"/>
        <w:right w:val="none" w:sz="0" w:space="0" w:color="auto"/>
      </w:divBdr>
    </w:div>
    <w:div w:id="1443184690">
      <w:bodyDiv w:val="1"/>
      <w:marLeft w:val="0"/>
      <w:marRight w:val="0"/>
      <w:marTop w:val="0"/>
      <w:marBottom w:val="0"/>
      <w:divBdr>
        <w:top w:val="none" w:sz="0" w:space="0" w:color="auto"/>
        <w:left w:val="none" w:sz="0" w:space="0" w:color="auto"/>
        <w:bottom w:val="none" w:sz="0" w:space="0" w:color="auto"/>
        <w:right w:val="none" w:sz="0" w:space="0" w:color="auto"/>
      </w:divBdr>
    </w:div>
    <w:div w:id="1451976335">
      <w:bodyDiv w:val="1"/>
      <w:marLeft w:val="0"/>
      <w:marRight w:val="0"/>
      <w:marTop w:val="0"/>
      <w:marBottom w:val="0"/>
      <w:divBdr>
        <w:top w:val="none" w:sz="0" w:space="0" w:color="auto"/>
        <w:left w:val="none" w:sz="0" w:space="0" w:color="auto"/>
        <w:bottom w:val="none" w:sz="0" w:space="0" w:color="auto"/>
        <w:right w:val="none" w:sz="0" w:space="0" w:color="auto"/>
      </w:divBdr>
    </w:div>
    <w:div w:id="1452044418">
      <w:bodyDiv w:val="1"/>
      <w:marLeft w:val="0"/>
      <w:marRight w:val="0"/>
      <w:marTop w:val="0"/>
      <w:marBottom w:val="0"/>
      <w:divBdr>
        <w:top w:val="none" w:sz="0" w:space="0" w:color="auto"/>
        <w:left w:val="none" w:sz="0" w:space="0" w:color="auto"/>
        <w:bottom w:val="none" w:sz="0" w:space="0" w:color="auto"/>
        <w:right w:val="none" w:sz="0" w:space="0" w:color="auto"/>
      </w:divBdr>
    </w:div>
    <w:div w:id="1453400689">
      <w:bodyDiv w:val="1"/>
      <w:marLeft w:val="0"/>
      <w:marRight w:val="0"/>
      <w:marTop w:val="0"/>
      <w:marBottom w:val="0"/>
      <w:divBdr>
        <w:top w:val="none" w:sz="0" w:space="0" w:color="auto"/>
        <w:left w:val="none" w:sz="0" w:space="0" w:color="auto"/>
        <w:bottom w:val="none" w:sz="0" w:space="0" w:color="auto"/>
        <w:right w:val="none" w:sz="0" w:space="0" w:color="auto"/>
      </w:divBdr>
    </w:div>
    <w:div w:id="1454979104">
      <w:bodyDiv w:val="1"/>
      <w:marLeft w:val="0"/>
      <w:marRight w:val="0"/>
      <w:marTop w:val="0"/>
      <w:marBottom w:val="0"/>
      <w:divBdr>
        <w:top w:val="none" w:sz="0" w:space="0" w:color="auto"/>
        <w:left w:val="none" w:sz="0" w:space="0" w:color="auto"/>
        <w:bottom w:val="none" w:sz="0" w:space="0" w:color="auto"/>
        <w:right w:val="none" w:sz="0" w:space="0" w:color="auto"/>
      </w:divBdr>
    </w:div>
    <w:div w:id="1455363706">
      <w:bodyDiv w:val="1"/>
      <w:marLeft w:val="0"/>
      <w:marRight w:val="0"/>
      <w:marTop w:val="0"/>
      <w:marBottom w:val="0"/>
      <w:divBdr>
        <w:top w:val="none" w:sz="0" w:space="0" w:color="auto"/>
        <w:left w:val="none" w:sz="0" w:space="0" w:color="auto"/>
        <w:bottom w:val="none" w:sz="0" w:space="0" w:color="auto"/>
        <w:right w:val="none" w:sz="0" w:space="0" w:color="auto"/>
      </w:divBdr>
    </w:div>
    <w:div w:id="1458254910">
      <w:bodyDiv w:val="1"/>
      <w:marLeft w:val="0"/>
      <w:marRight w:val="0"/>
      <w:marTop w:val="0"/>
      <w:marBottom w:val="0"/>
      <w:divBdr>
        <w:top w:val="none" w:sz="0" w:space="0" w:color="auto"/>
        <w:left w:val="none" w:sz="0" w:space="0" w:color="auto"/>
        <w:bottom w:val="none" w:sz="0" w:space="0" w:color="auto"/>
        <w:right w:val="none" w:sz="0" w:space="0" w:color="auto"/>
      </w:divBdr>
    </w:div>
    <w:div w:id="1458445869">
      <w:bodyDiv w:val="1"/>
      <w:marLeft w:val="0"/>
      <w:marRight w:val="0"/>
      <w:marTop w:val="0"/>
      <w:marBottom w:val="0"/>
      <w:divBdr>
        <w:top w:val="none" w:sz="0" w:space="0" w:color="auto"/>
        <w:left w:val="none" w:sz="0" w:space="0" w:color="auto"/>
        <w:bottom w:val="none" w:sz="0" w:space="0" w:color="auto"/>
        <w:right w:val="none" w:sz="0" w:space="0" w:color="auto"/>
      </w:divBdr>
    </w:div>
    <w:div w:id="1462382148">
      <w:bodyDiv w:val="1"/>
      <w:marLeft w:val="0"/>
      <w:marRight w:val="0"/>
      <w:marTop w:val="0"/>
      <w:marBottom w:val="0"/>
      <w:divBdr>
        <w:top w:val="none" w:sz="0" w:space="0" w:color="auto"/>
        <w:left w:val="none" w:sz="0" w:space="0" w:color="auto"/>
        <w:bottom w:val="none" w:sz="0" w:space="0" w:color="auto"/>
        <w:right w:val="none" w:sz="0" w:space="0" w:color="auto"/>
      </w:divBdr>
    </w:div>
    <w:div w:id="1466006255">
      <w:bodyDiv w:val="1"/>
      <w:marLeft w:val="0"/>
      <w:marRight w:val="0"/>
      <w:marTop w:val="0"/>
      <w:marBottom w:val="0"/>
      <w:divBdr>
        <w:top w:val="none" w:sz="0" w:space="0" w:color="auto"/>
        <w:left w:val="none" w:sz="0" w:space="0" w:color="auto"/>
        <w:bottom w:val="none" w:sz="0" w:space="0" w:color="auto"/>
        <w:right w:val="none" w:sz="0" w:space="0" w:color="auto"/>
      </w:divBdr>
    </w:div>
    <w:div w:id="1472017077">
      <w:bodyDiv w:val="1"/>
      <w:marLeft w:val="0"/>
      <w:marRight w:val="0"/>
      <w:marTop w:val="0"/>
      <w:marBottom w:val="0"/>
      <w:divBdr>
        <w:top w:val="none" w:sz="0" w:space="0" w:color="auto"/>
        <w:left w:val="none" w:sz="0" w:space="0" w:color="auto"/>
        <w:bottom w:val="none" w:sz="0" w:space="0" w:color="auto"/>
        <w:right w:val="none" w:sz="0" w:space="0" w:color="auto"/>
      </w:divBdr>
    </w:div>
    <w:div w:id="1473057933">
      <w:bodyDiv w:val="1"/>
      <w:marLeft w:val="0"/>
      <w:marRight w:val="0"/>
      <w:marTop w:val="0"/>
      <w:marBottom w:val="0"/>
      <w:divBdr>
        <w:top w:val="none" w:sz="0" w:space="0" w:color="auto"/>
        <w:left w:val="none" w:sz="0" w:space="0" w:color="auto"/>
        <w:bottom w:val="none" w:sz="0" w:space="0" w:color="auto"/>
        <w:right w:val="none" w:sz="0" w:space="0" w:color="auto"/>
      </w:divBdr>
    </w:div>
    <w:div w:id="1477068872">
      <w:bodyDiv w:val="1"/>
      <w:marLeft w:val="0"/>
      <w:marRight w:val="0"/>
      <w:marTop w:val="0"/>
      <w:marBottom w:val="0"/>
      <w:divBdr>
        <w:top w:val="none" w:sz="0" w:space="0" w:color="auto"/>
        <w:left w:val="none" w:sz="0" w:space="0" w:color="auto"/>
        <w:bottom w:val="none" w:sz="0" w:space="0" w:color="auto"/>
        <w:right w:val="none" w:sz="0" w:space="0" w:color="auto"/>
      </w:divBdr>
    </w:div>
    <w:div w:id="1477334812">
      <w:bodyDiv w:val="1"/>
      <w:marLeft w:val="0"/>
      <w:marRight w:val="0"/>
      <w:marTop w:val="0"/>
      <w:marBottom w:val="0"/>
      <w:divBdr>
        <w:top w:val="none" w:sz="0" w:space="0" w:color="auto"/>
        <w:left w:val="none" w:sz="0" w:space="0" w:color="auto"/>
        <w:bottom w:val="none" w:sz="0" w:space="0" w:color="auto"/>
        <w:right w:val="none" w:sz="0" w:space="0" w:color="auto"/>
      </w:divBdr>
    </w:div>
    <w:div w:id="1480534110">
      <w:bodyDiv w:val="1"/>
      <w:marLeft w:val="0"/>
      <w:marRight w:val="0"/>
      <w:marTop w:val="0"/>
      <w:marBottom w:val="0"/>
      <w:divBdr>
        <w:top w:val="none" w:sz="0" w:space="0" w:color="auto"/>
        <w:left w:val="none" w:sz="0" w:space="0" w:color="auto"/>
        <w:bottom w:val="none" w:sz="0" w:space="0" w:color="auto"/>
        <w:right w:val="none" w:sz="0" w:space="0" w:color="auto"/>
      </w:divBdr>
    </w:div>
    <w:div w:id="1480998007">
      <w:bodyDiv w:val="1"/>
      <w:marLeft w:val="0"/>
      <w:marRight w:val="0"/>
      <w:marTop w:val="0"/>
      <w:marBottom w:val="0"/>
      <w:divBdr>
        <w:top w:val="none" w:sz="0" w:space="0" w:color="auto"/>
        <w:left w:val="none" w:sz="0" w:space="0" w:color="auto"/>
        <w:bottom w:val="none" w:sz="0" w:space="0" w:color="auto"/>
        <w:right w:val="none" w:sz="0" w:space="0" w:color="auto"/>
      </w:divBdr>
    </w:div>
    <w:div w:id="1490904458">
      <w:bodyDiv w:val="1"/>
      <w:marLeft w:val="0"/>
      <w:marRight w:val="0"/>
      <w:marTop w:val="0"/>
      <w:marBottom w:val="0"/>
      <w:divBdr>
        <w:top w:val="none" w:sz="0" w:space="0" w:color="auto"/>
        <w:left w:val="none" w:sz="0" w:space="0" w:color="auto"/>
        <w:bottom w:val="none" w:sz="0" w:space="0" w:color="auto"/>
        <w:right w:val="none" w:sz="0" w:space="0" w:color="auto"/>
      </w:divBdr>
    </w:div>
    <w:div w:id="1491168376">
      <w:bodyDiv w:val="1"/>
      <w:marLeft w:val="0"/>
      <w:marRight w:val="0"/>
      <w:marTop w:val="0"/>
      <w:marBottom w:val="0"/>
      <w:divBdr>
        <w:top w:val="none" w:sz="0" w:space="0" w:color="auto"/>
        <w:left w:val="none" w:sz="0" w:space="0" w:color="auto"/>
        <w:bottom w:val="none" w:sz="0" w:space="0" w:color="auto"/>
        <w:right w:val="none" w:sz="0" w:space="0" w:color="auto"/>
      </w:divBdr>
    </w:div>
    <w:div w:id="1494108089">
      <w:bodyDiv w:val="1"/>
      <w:marLeft w:val="0"/>
      <w:marRight w:val="0"/>
      <w:marTop w:val="0"/>
      <w:marBottom w:val="0"/>
      <w:divBdr>
        <w:top w:val="none" w:sz="0" w:space="0" w:color="auto"/>
        <w:left w:val="none" w:sz="0" w:space="0" w:color="auto"/>
        <w:bottom w:val="none" w:sz="0" w:space="0" w:color="auto"/>
        <w:right w:val="none" w:sz="0" w:space="0" w:color="auto"/>
      </w:divBdr>
    </w:div>
    <w:div w:id="1495141403">
      <w:bodyDiv w:val="1"/>
      <w:marLeft w:val="0"/>
      <w:marRight w:val="0"/>
      <w:marTop w:val="0"/>
      <w:marBottom w:val="0"/>
      <w:divBdr>
        <w:top w:val="none" w:sz="0" w:space="0" w:color="auto"/>
        <w:left w:val="none" w:sz="0" w:space="0" w:color="auto"/>
        <w:bottom w:val="none" w:sz="0" w:space="0" w:color="auto"/>
        <w:right w:val="none" w:sz="0" w:space="0" w:color="auto"/>
      </w:divBdr>
    </w:div>
    <w:div w:id="1495873018">
      <w:bodyDiv w:val="1"/>
      <w:marLeft w:val="0"/>
      <w:marRight w:val="0"/>
      <w:marTop w:val="0"/>
      <w:marBottom w:val="0"/>
      <w:divBdr>
        <w:top w:val="none" w:sz="0" w:space="0" w:color="auto"/>
        <w:left w:val="none" w:sz="0" w:space="0" w:color="auto"/>
        <w:bottom w:val="none" w:sz="0" w:space="0" w:color="auto"/>
        <w:right w:val="none" w:sz="0" w:space="0" w:color="auto"/>
      </w:divBdr>
    </w:div>
    <w:div w:id="1496602316">
      <w:bodyDiv w:val="1"/>
      <w:marLeft w:val="0"/>
      <w:marRight w:val="0"/>
      <w:marTop w:val="0"/>
      <w:marBottom w:val="0"/>
      <w:divBdr>
        <w:top w:val="none" w:sz="0" w:space="0" w:color="auto"/>
        <w:left w:val="none" w:sz="0" w:space="0" w:color="auto"/>
        <w:bottom w:val="none" w:sz="0" w:space="0" w:color="auto"/>
        <w:right w:val="none" w:sz="0" w:space="0" w:color="auto"/>
      </w:divBdr>
    </w:div>
    <w:div w:id="1498035311">
      <w:bodyDiv w:val="1"/>
      <w:marLeft w:val="0"/>
      <w:marRight w:val="0"/>
      <w:marTop w:val="0"/>
      <w:marBottom w:val="0"/>
      <w:divBdr>
        <w:top w:val="none" w:sz="0" w:space="0" w:color="auto"/>
        <w:left w:val="none" w:sz="0" w:space="0" w:color="auto"/>
        <w:bottom w:val="none" w:sz="0" w:space="0" w:color="auto"/>
        <w:right w:val="none" w:sz="0" w:space="0" w:color="auto"/>
      </w:divBdr>
    </w:div>
    <w:div w:id="1501847289">
      <w:bodyDiv w:val="1"/>
      <w:marLeft w:val="0"/>
      <w:marRight w:val="0"/>
      <w:marTop w:val="0"/>
      <w:marBottom w:val="0"/>
      <w:divBdr>
        <w:top w:val="none" w:sz="0" w:space="0" w:color="auto"/>
        <w:left w:val="none" w:sz="0" w:space="0" w:color="auto"/>
        <w:bottom w:val="none" w:sz="0" w:space="0" w:color="auto"/>
        <w:right w:val="none" w:sz="0" w:space="0" w:color="auto"/>
      </w:divBdr>
    </w:div>
    <w:div w:id="1504785382">
      <w:bodyDiv w:val="1"/>
      <w:marLeft w:val="0"/>
      <w:marRight w:val="0"/>
      <w:marTop w:val="0"/>
      <w:marBottom w:val="0"/>
      <w:divBdr>
        <w:top w:val="none" w:sz="0" w:space="0" w:color="auto"/>
        <w:left w:val="none" w:sz="0" w:space="0" w:color="auto"/>
        <w:bottom w:val="none" w:sz="0" w:space="0" w:color="auto"/>
        <w:right w:val="none" w:sz="0" w:space="0" w:color="auto"/>
      </w:divBdr>
    </w:div>
    <w:div w:id="1505631091">
      <w:bodyDiv w:val="1"/>
      <w:marLeft w:val="0"/>
      <w:marRight w:val="0"/>
      <w:marTop w:val="0"/>
      <w:marBottom w:val="0"/>
      <w:divBdr>
        <w:top w:val="none" w:sz="0" w:space="0" w:color="auto"/>
        <w:left w:val="none" w:sz="0" w:space="0" w:color="auto"/>
        <w:bottom w:val="none" w:sz="0" w:space="0" w:color="auto"/>
        <w:right w:val="none" w:sz="0" w:space="0" w:color="auto"/>
      </w:divBdr>
    </w:div>
    <w:div w:id="1508523402">
      <w:bodyDiv w:val="1"/>
      <w:marLeft w:val="0"/>
      <w:marRight w:val="0"/>
      <w:marTop w:val="0"/>
      <w:marBottom w:val="0"/>
      <w:divBdr>
        <w:top w:val="none" w:sz="0" w:space="0" w:color="auto"/>
        <w:left w:val="none" w:sz="0" w:space="0" w:color="auto"/>
        <w:bottom w:val="none" w:sz="0" w:space="0" w:color="auto"/>
        <w:right w:val="none" w:sz="0" w:space="0" w:color="auto"/>
      </w:divBdr>
    </w:div>
    <w:div w:id="1508787670">
      <w:bodyDiv w:val="1"/>
      <w:marLeft w:val="0"/>
      <w:marRight w:val="0"/>
      <w:marTop w:val="0"/>
      <w:marBottom w:val="0"/>
      <w:divBdr>
        <w:top w:val="none" w:sz="0" w:space="0" w:color="auto"/>
        <w:left w:val="none" w:sz="0" w:space="0" w:color="auto"/>
        <w:bottom w:val="none" w:sz="0" w:space="0" w:color="auto"/>
        <w:right w:val="none" w:sz="0" w:space="0" w:color="auto"/>
      </w:divBdr>
    </w:div>
    <w:div w:id="1509326554">
      <w:bodyDiv w:val="1"/>
      <w:marLeft w:val="0"/>
      <w:marRight w:val="0"/>
      <w:marTop w:val="0"/>
      <w:marBottom w:val="0"/>
      <w:divBdr>
        <w:top w:val="none" w:sz="0" w:space="0" w:color="auto"/>
        <w:left w:val="none" w:sz="0" w:space="0" w:color="auto"/>
        <w:bottom w:val="none" w:sz="0" w:space="0" w:color="auto"/>
        <w:right w:val="none" w:sz="0" w:space="0" w:color="auto"/>
      </w:divBdr>
    </w:div>
    <w:div w:id="1511024217">
      <w:bodyDiv w:val="1"/>
      <w:marLeft w:val="0"/>
      <w:marRight w:val="0"/>
      <w:marTop w:val="0"/>
      <w:marBottom w:val="0"/>
      <w:divBdr>
        <w:top w:val="none" w:sz="0" w:space="0" w:color="auto"/>
        <w:left w:val="none" w:sz="0" w:space="0" w:color="auto"/>
        <w:bottom w:val="none" w:sz="0" w:space="0" w:color="auto"/>
        <w:right w:val="none" w:sz="0" w:space="0" w:color="auto"/>
      </w:divBdr>
    </w:div>
    <w:div w:id="1512836675">
      <w:bodyDiv w:val="1"/>
      <w:marLeft w:val="0"/>
      <w:marRight w:val="0"/>
      <w:marTop w:val="0"/>
      <w:marBottom w:val="0"/>
      <w:divBdr>
        <w:top w:val="none" w:sz="0" w:space="0" w:color="auto"/>
        <w:left w:val="none" w:sz="0" w:space="0" w:color="auto"/>
        <w:bottom w:val="none" w:sz="0" w:space="0" w:color="auto"/>
        <w:right w:val="none" w:sz="0" w:space="0" w:color="auto"/>
      </w:divBdr>
    </w:div>
    <w:div w:id="1512917155">
      <w:bodyDiv w:val="1"/>
      <w:marLeft w:val="0"/>
      <w:marRight w:val="0"/>
      <w:marTop w:val="0"/>
      <w:marBottom w:val="0"/>
      <w:divBdr>
        <w:top w:val="none" w:sz="0" w:space="0" w:color="auto"/>
        <w:left w:val="none" w:sz="0" w:space="0" w:color="auto"/>
        <w:bottom w:val="none" w:sz="0" w:space="0" w:color="auto"/>
        <w:right w:val="none" w:sz="0" w:space="0" w:color="auto"/>
      </w:divBdr>
    </w:div>
    <w:div w:id="1515342090">
      <w:bodyDiv w:val="1"/>
      <w:marLeft w:val="0"/>
      <w:marRight w:val="0"/>
      <w:marTop w:val="0"/>
      <w:marBottom w:val="0"/>
      <w:divBdr>
        <w:top w:val="none" w:sz="0" w:space="0" w:color="auto"/>
        <w:left w:val="none" w:sz="0" w:space="0" w:color="auto"/>
        <w:bottom w:val="none" w:sz="0" w:space="0" w:color="auto"/>
        <w:right w:val="none" w:sz="0" w:space="0" w:color="auto"/>
      </w:divBdr>
    </w:div>
    <w:div w:id="1517309685">
      <w:bodyDiv w:val="1"/>
      <w:marLeft w:val="0"/>
      <w:marRight w:val="0"/>
      <w:marTop w:val="0"/>
      <w:marBottom w:val="0"/>
      <w:divBdr>
        <w:top w:val="none" w:sz="0" w:space="0" w:color="auto"/>
        <w:left w:val="none" w:sz="0" w:space="0" w:color="auto"/>
        <w:bottom w:val="none" w:sz="0" w:space="0" w:color="auto"/>
        <w:right w:val="none" w:sz="0" w:space="0" w:color="auto"/>
      </w:divBdr>
    </w:div>
    <w:div w:id="1517619644">
      <w:bodyDiv w:val="1"/>
      <w:marLeft w:val="0"/>
      <w:marRight w:val="0"/>
      <w:marTop w:val="0"/>
      <w:marBottom w:val="0"/>
      <w:divBdr>
        <w:top w:val="none" w:sz="0" w:space="0" w:color="auto"/>
        <w:left w:val="none" w:sz="0" w:space="0" w:color="auto"/>
        <w:bottom w:val="none" w:sz="0" w:space="0" w:color="auto"/>
        <w:right w:val="none" w:sz="0" w:space="0" w:color="auto"/>
      </w:divBdr>
    </w:div>
    <w:div w:id="1518763643">
      <w:bodyDiv w:val="1"/>
      <w:marLeft w:val="0"/>
      <w:marRight w:val="0"/>
      <w:marTop w:val="0"/>
      <w:marBottom w:val="0"/>
      <w:divBdr>
        <w:top w:val="none" w:sz="0" w:space="0" w:color="auto"/>
        <w:left w:val="none" w:sz="0" w:space="0" w:color="auto"/>
        <w:bottom w:val="none" w:sz="0" w:space="0" w:color="auto"/>
        <w:right w:val="none" w:sz="0" w:space="0" w:color="auto"/>
      </w:divBdr>
    </w:div>
    <w:div w:id="1520584709">
      <w:bodyDiv w:val="1"/>
      <w:marLeft w:val="0"/>
      <w:marRight w:val="0"/>
      <w:marTop w:val="0"/>
      <w:marBottom w:val="0"/>
      <w:divBdr>
        <w:top w:val="none" w:sz="0" w:space="0" w:color="auto"/>
        <w:left w:val="none" w:sz="0" w:space="0" w:color="auto"/>
        <w:bottom w:val="none" w:sz="0" w:space="0" w:color="auto"/>
        <w:right w:val="none" w:sz="0" w:space="0" w:color="auto"/>
      </w:divBdr>
    </w:div>
    <w:div w:id="1521047704">
      <w:bodyDiv w:val="1"/>
      <w:marLeft w:val="0"/>
      <w:marRight w:val="0"/>
      <w:marTop w:val="0"/>
      <w:marBottom w:val="0"/>
      <w:divBdr>
        <w:top w:val="none" w:sz="0" w:space="0" w:color="auto"/>
        <w:left w:val="none" w:sz="0" w:space="0" w:color="auto"/>
        <w:bottom w:val="none" w:sz="0" w:space="0" w:color="auto"/>
        <w:right w:val="none" w:sz="0" w:space="0" w:color="auto"/>
      </w:divBdr>
    </w:div>
    <w:div w:id="1521771978">
      <w:bodyDiv w:val="1"/>
      <w:marLeft w:val="0"/>
      <w:marRight w:val="0"/>
      <w:marTop w:val="0"/>
      <w:marBottom w:val="0"/>
      <w:divBdr>
        <w:top w:val="none" w:sz="0" w:space="0" w:color="auto"/>
        <w:left w:val="none" w:sz="0" w:space="0" w:color="auto"/>
        <w:bottom w:val="none" w:sz="0" w:space="0" w:color="auto"/>
        <w:right w:val="none" w:sz="0" w:space="0" w:color="auto"/>
      </w:divBdr>
    </w:div>
    <w:div w:id="1522671627">
      <w:bodyDiv w:val="1"/>
      <w:marLeft w:val="0"/>
      <w:marRight w:val="0"/>
      <w:marTop w:val="0"/>
      <w:marBottom w:val="0"/>
      <w:divBdr>
        <w:top w:val="none" w:sz="0" w:space="0" w:color="auto"/>
        <w:left w:val="none" w:sz="0" w:space="0" w:color="auto"/>
        <w:bottom w:val="none" w:sz="0" w:space="0" w:color="auto"/>
        <w:right w:val="none" w:sz="0" w:space="0" w:color="auto"/>
      </w:divBdr>
    </w:div>
    <w:div w:id="1525362516">
      <w:bodyDiv w:val="1"/>
      <w:marLeft w:val="0"/>
      <w:marRight w:val="0"/>
      <w:marTop w:val="0"/>
      <w:marBottom w:val="0"/>
      <w:divBdr>
        <w:top w:val="none" w:sz="0" w:space="0" w:color="auto"/>
        <w:left w:val="none" w:sz="0" w:space="0" w:color="auto"/>
        <w:bottom w:val="none" w:sz="0" w:space="0" w:color="auto"/>
        <w:right w:val="none" w:sz="0" w:space="0" w:color="auto"/>
      </w:divBdr>
    </w:div>
    <w:div w:id="1527720275">
      <w:bodyDiv w:val="1"/>
      <w:marLeft w:val="0"/>
      <w:marRight w:val="0"/>
      <w:marTop w:val="0"/>
      <w:marBottom w:val="0"/>
      <w:divBdr>
        <w:top w:val="none" w:sz="0" w:space="0" w:color="auto"/>
        <w:left w:val="none" w:sz="0" w:space="0" w:color="auto"/>
        <w:bottom w:val="none" w:sz="0" w:space="0" w:color="auto"/>
        <w:right w:val="none" w:sz="0" w:space="0" w:color="auto"/>
      </w:divBdr>
    </w:div>
    <w:div w:id="1528369877">
      <w:bodyDiv w:val="1"/>
      <w:marLeft w:val="0"/>
      <w:marRight w:val="0"/>
      <w:marTop w:val="0"/>
      <w:marBottom w:val="0"/>
      <w:divBdr>
        <w:top w:val="none" w:sz="0" w:space="0" w:color="auto"/>
        <w:left w:val="none" w:sz="0" w:space="0" w:color="auto"/>
        <w:bottom w:val="none" w:sz="0" w:space="0" w:color="auto"/>
        <w:right w:val="none" w:sz="0" w:space="0" w:color="auto"/>
      </w:divBdr>
    </w:div>
    <w:div w:id="1531063881">
      <w:bodyDiv w:val="1"/>
      <w:marLeft w:val="0"/>
      <w:marRight w:val="0"/>
      <w:marTop w:val="0"/>
      <w:marBottom w:val="0"/>
      <w:divBdr>
        <w:top w:val="none" w:sz="0" w:space="0" w:color="auto"/>
        <w:left w:val="none" w:sz="0" w:space="0" w:color="auto"/>
        <w:bottom w:val="none" w:sz="0" w:space="0" w:color="auto"/>
        <w:right w:val="none" w:sz="0" w:space="0" w:color="auto"/>
      </w:divBdr>
    </w:div>
    <w:div w:id="1538856726">
      <w:bodyDiv w:val="1"/>
      <w:marLeft w:val="0"/>
      <w:marRight w:val="0"/>
      <w:marTop w:val="0"/>
      <w:marBottom w:val="0"/>
      <w:divBdr>
        <w:top w:val="none" w:sz="0" w:space="0" w:color="auto"/>
        <w:left w:val="none" w:sz="0" w:space="0" w:color="auto"/>
        <w:bottom w:val="none" w:sz="0" w:space="0" w:color="auto"/>
        <w:right w:val="none" w:sz="0" w:space="0" w:color="auto"/>
      </w:divBdr>
    </w:div>
    <w:div w:id="1539319841">
      <w:bodyDiv w:val="1"/>
      <w:marLeft w:val="0"/>
      <w:marRight w:val="0"/>
      <w:marTop w:val="0"/>
      <w:marBottom w:val="0"/>
      <w:divBdr>
        <w:top w:val="none" w:sz="0" w:space="0" w:color="auto"/>
        <w:left w:val="none" w:sz="0" w:space="0" w:color="auto"/>
        <w:bottom w:val="none" w:sz="0" w:space="0" w:color="auto"/>
        <w:right w:val="none" w:sz="0" w:space="0" w:color="auto"/>
      </w:divBdr>
    </w:div>
    <w:div w:id="1540557040">
      <w:bodyDiv w:val="1"/>
      <w:marLeft w:val="0"/>
      <w:marRight w:val="0"/>
      <w:marTop w:val="0"/>
      <w:marBottom w:val="0"/>
      <w:divBdr>
        <w:top w:val="none" w:sz="0" w:space="0" w:color="auto"/>
        <w:left w:val="none" w:sz="0" w:space="0" w:color="auto"/>
        <w:bottom w:val="none" w:sz="0" w:space="0" w:color="auto"/>
        <w:right w:val="none" w:sz="0" w:space="0" w:color="auto"/>
      </w:divBdr>
    </w:div>
    <w:div w:id="1542278136">
      <w:bodyDiv w:val="1"/>
      <w:marLeft w:val="0"/>
      <w:marRight w:val="0"/>
      <w:marTop w:val="0"/>
      <w:marBottom w:val="0"/>
      <w:divBdr>
        <w:top w:val="none" w:sz="0" w:space="0" w:color="auto"/>
        <w:left w:val="none" w:sz="0" w:space="0" w:color="auto"/>
        <w:bottom w:val="none" w:sz="0" w:space="0" w:color="auto"/>
        <w:right w:val="none" w:sz="0" w:space="0" w:color="auto"/>
      </w:divBdr>
    </w:div>
    <w:div w:id="1542403147">
      <w:bodyDiv w:val="1"/>
      <w:marLeft w:val="0"/>
      <w:marRight w:val="0"/>
      <w:marTop w:val="0"/>
      <w:marBottom w:val="0"/>
      <w:divBdr>
        <w:top w:val="none" w:sz="0" w:space="0" w:color="auto"/>
        <w:left w:val="none" w:sz="0" w:space="0" w:color="auto"/>
        <w:bottom w:val="none" w:sz="0" w:space="0" w:color="auto"/>
        <w:right w:val="none" w:sz="0" w:space="0" w:color="auto"/>
      </w:divBdr>
    </w:div>
    <w:div w:id="1543443123">
      <w:bodyDiv w:val="1"/>
      <w:marLeft w:val="0"/>
      <w:marRight w:val="0"/>
      <w:marTop w:val="0"/>
      <w:marBottom w:val="0"/>
      <w:divBdr>
        <w:top w:val="none" w:sz="0" w:space="0" w:color="auto"/>
        <w:left w:val="none" w:sz="0" w:space="0" w:color="auto"/>
        <w:bottom w:val="none" w:sz="0" w:space="0" w:color="auto"/>
        <w:right w:val="none" w:sz="0" w:space="0" w:color="auto"/>
      </w:divBdr>
    </w:div>
    <w:div w:id="1545480177">
      <w:bodyDiv w:val="1"/>
      <w:marLeft w:val="0"/>
      <w:marRight w:val="0"/>
      <w:marTop w:val="0"/>
      <w:marBottom w:val="0"/>
      <w:divBdr>
        <w:top w:val="none" w:sz="0" w:space="0" w:color="auto"/>
        <w:left w:val="none" w:sz="0" w:space="0" w:color="auto"/>
        <w:bottom w:val="none" w:sz="0" w:space="0" w:color="auto"/>
        <w:right w:val="none" w:sz="0" w:space="0" w:color="auto"/>
      </w:divBdr>
    </w:div>
    <w:div w:id="1545556185">
      <w:bodyDiv w:val="1"/>
      <w:marLeft w:val="0"/>
      <w:marRight w:val="0"/>
      <w:marTop w:val="0"/>
      <w:marBottom w:val="0"/>
      <w:divBdr>
        <w:top w:val="none" w:sz="0" w:space="0" w:color="auto"/>
        <w:left w:val="none" w:sz="0" w:space="0" w:color="auto"/>
        <w:bottom w:val="none" w:sz="0" w:space="0" w:color="auto"/>
        <w:right w:val="none" w:sz="0" w:space="0" w:color="auto"/>
      </w:divBdr>
    </w:div>
    <w:div w:id="1547791949">
      <w:bodyDiv w:val="1"/>
      <w:marLeft w:val="0"/>
      <w:marRight w:val="0"/>
      <w:marTop w:val="0"/>
      <w:marBottom w:val="0"/>
      <w:divBdr>
        <w:top w:val="none" w:sz="0" w:space="0" w:color="auto"/>
        <w:left w:val="none" w:sz="0" w:space="0" w:color="auto"/>
        <w:bottom w:val="none" w:sz="0" w:space="0" w:color="auto"/>
        <w:right w:val="none" w:sz="0" w:space="0" w:color="auto"/>
      </w:divBdr>
    </w:div>
    <w:div w:id="1548106053">
      <w:bodyDiv w:val="1"/>
      <w:marLeft w:val="0"/>
      <w:marRight w:val="0"/>
      <w:marTop w:val="0"/>
      <w:marBottom w:val="0"/>
      <w:divBdr>
        <w:top w:val="none" w:sz="0" w:space="0" w:color="auto"/>
        <w:left w:val="none" w:sz="0" w:space="0" w:color="auto"/>
        <w:bottom w:val="none" w:sz="0" w:space="0" w:color="auto"/>
        <w:right w:val="none" w:sz="0" w:space="0" w:color="auto"/>
      </w:divBdr>
    </w:div>
    <w:div w:id="1551191689">
      <w:bodyDiv w:val="1"/>
      <w:marLeft w:val="0"/>
      <w:marRight w:val="0"/>
      <w:marTop w:val="0"/>
      <w:marBottom w:val="0"/>
      <w:divBdr>
        <w:top w:val="none" w:sz="0" w:space="0" w:color="auto"/>
        <w:left w:val="none" w:sz="0" w:space="0" w:color="auto"/>
        <w:bottom w:val="none" w:sz="0" w:space="0" w:color="auto"/>
        <w:right w:val="none" w:sz="0" w:space="0" w:color="auto"/>
      </w:divBdr>
    </w:div>
    <w:div w:id="1553342227">
      <w:bodyDiv w:val="1"/>
      <w:marLeft w:val="0"/>
      <w:marRight w:val="0"/>
      <w:marTop w:val="0"/>
      <w:marBottom w:val="0"/>
      <w:divBdr>
        <w:top w:val="none" w:sz="0" w:space="0" w:color="auto"/>
        <w:left w:val="none" w:sz="0" w:space="0" w:color="auto"/>
        <w:bottom w:val="none" w:sz="0" w:space="0" w:color="auto"/>
        <w:right w:val="none" w:sz="0" w:space="0" w:color="auto"/>
      </w:divBdr>
    </w:div>
    <w:div w:id="1553692300">
      <w:bodyDiv w:val="1"/>
      <w:marLeft w:val="0"/>
      <w:marRight w:val="0"/>
      <w:marTop w:val="0"/>
      <w:marBottom w:val="0"/>
      <w:divBdr>
        <w:top w:val="none" w:sz="0" w:space="0" w:color="auto"/>
        <w:left w:val="none" w:sz="0" w:space="0" w:color="auto"/>
        <w:bottom w:val="none" w:sz="0" w:space="0" w:color="auto"/>
        <w:right w:val="none" w:sz="0" w:space="0" w:color="auto"/>
      </w:divBdr>
    </w:div>
    <w:div w:id="1556047462">
      <w:bodyDiv w:val="1"/>
      <w:marLeft w:val="0"/>
      <w:marRight w:val="0"/>
      <w:marTop w:val="0"/>
      <w:marBottom w:val="0"/>
      <w:divBdr>
        <w:top w:val="none" w:sz="0" w:space="0" w:color="auto"/>
        <w:left w:val="none" w:sz="0" w:space="0" w:color="auto"/>
        <w:bottom w:val="none" w:sz="0" w:space="0" w:color="auto"/>
        <w:right w:val="none" w:sz="0" w:space="0" w:color="auto"/>
      </w:divBdr>
    </w:div>
    <w:div w:id="1557008547">
      <w:bodyDiv w:val="1"/>
      <w:marLeft w:val="0"/>
      <w:marRight w:val="0"/>
      <w:marTop w:val="0"/>
      <w:marBottom w:val="0"/>
      <w:divBdr>
        <w:top w:val="none" w:sz="0" w:space="0" w:color="auto"/>
        <w:left w:val="none" w:sz="0" w:space="0" w:color="auto"/>
        <w:bottom w:val="none" w:sz="0" w:space="0" w:color="auto"/>
        <w:right w:val="none" w:sz="0" w:space="0" w:color="auto"/>
      </w:divBdr>
    </w:div>
    <w:div w:id="1557817826">
      <w:bodyDiv w:val="1"/>
      <w:marLeft w:val="0"/>
      <w:marRight w:val="0"/>
      <w:marTop w:val="0"/>
      <w:marBottom w:val="0"/>
      <w:divBdr>
        <w:top w:val="none" w:sz="0" w:space="0" w:color="auto"/>
        <w:left w:val="none" w:sz="0" w:space="0" w:color="auto"/>
        <w:bottom w:val="none" w:sz="0" w:space="0" w:color="auto"/>
        <w:right w:val="none" w:sz="0" w:space="0" w:color="auto"/>
      </w:divBdr>
    </w:div>
    <w:div w:id="1561867702">
      <w:bodyDiv w:val="1"/>
      <w:marLeft w:val="0"/>
      <w:marRight w:val="0"/>
      <w:marTop w:val="0"/>
      <w:marBottom w:val="0"/>
      <w:divBdr>
        <w:top w:val="none" w:sz="0" w:space="0" w:color="auto"/>
        <w:left w:val="none" w:sz="0" w:space="0" w:color="auto"/>
        <w:bottom w:val="none" w:sz="0" w:space="0" w:color="auto"/>
        <w:right w:val="none" w:sz="0" w:space="0" w:color="auto"/>
      </w:divBdr>
    </w:div>
    <w:div w:id="1563367279">
      <w:bodyDiv w:val="1"/>
      <w:marLeft w:val="0"/>
      <w:marRight w:val="0"/>
      <w:marTop w:val="0"/>
      <w:marBottom w:val="0"/>
      <w:divBdr>
        <w:top w:val="none" w:sz="0" w:space="0" w:color="auto"/>
        <w:left w:val="none" w:sz="0" w:space="0" w:color="auto"/>
        <w:bottom w:val="none" w:sz="0" w:space="0" w:color="auto"/>
        <w:right w:val="none" w:sz="0" w:space="0" w:color="auto"/>
      </w:divBdr>
    </w:div>
    <w:div w:id="1564441822">
      <w:bodyDiv w:val="1"/>
      <w:marLeft w:val="0"/>
      <w:marRight w:val="0"/>
      <w:marTop w:val="0"/>
      <w:marBottom w:val="0"/>
      <w:divBdr>
        <w:top w:val="none" w:sz="0" w:space="0" w:color="auto"/>
        <w:left w:val="none" w:sz="0" w:space="0" w:color="auto"/>
        <w:bottom w:val="none" w:sz="0" w:space="0" w:color="auto"/>
        <w:right w:val="none" w:sz="0" w:space="0" w:color="auto"/>
      </w:divBdr>
    </w:div>
    <w:div w:id="1568370380">
      <w:bodyDiv w:val="1"/>
      <w:marLeft w:val="0"/>
      <w:marRight w:val="0"/>
      <w:marTop w:val="0"/>
      <w:marBottom w:val="0"/>
      <w:divBdr>
        <w:top w:val="none" w:sz="0" w:space="0" w:color="auto"/>
        <w:left w:val="none" w:sz="0" w:space="0" w:color="auto"/>
        <w:bottom w:val="none" w:sz="0" w:space="0" w:color="auto"/>
        <w:right w:val="none" w:sz="0" w:space="0" w:color="auto"/>
      </w:divBdr>
    </w:div>
    <w:div w:id="1570072956">
      <w:bodyDiv w:val="1"/>
      <w:marLeft w:val="0"/>
      <w:marRight w:val="0"/>
      <w:marTop w:val="0"/>
      <w:marBottom w:val="0"/>
      <w:divBdr>
        <w:top w:val="none" w:sz="0" w:space="0" w:color="auto"/>
        <w:left w:val="none" w:sz="0" w:space="0" w:color="auto"/>
        <w:bottom w:val="none" w:sz="0" w:space="0" w:color="auto"/>
        <w:right w:val="none" w:sz="0" w:space="0" w:color="auto"/>
      </w:divBdr>
    </w:div>
    <w:div w:id="1573155538">
      <w:bodyDiv w:val="1"/>
      <w:marLeft w:val="0"/>
      <w:marRight w:val="0"/>
      <w:marTop w:val="0"/>
      <w:marBottom w:val="0"/>
      <w:divBdr>
        <w:top w:val="none" w:sz="0" w:space="0" w:color="auto"/>
        <w:left w:val="none" w:sz="0" w:space="0" w:color="auto"/>
        <w:bottom w:val="none" w:sz="0" w:space="0" w:color="auto"/>
        <w:right w:val="none" w:sz="0" w:space="0" w:color="auto"/>
      </w:divBdr>
    </w:div>
    <w:div w:id="1574466383">
      <w:bodyDiv w:val="1"/>
      <w:marLeft w:val="0"/>
      <w:marRight w:val="0"/>
      <w:marTop w:val="0"/>
      <w:marBottom w:val="0"/>
      <w:divBdr>
        <w:top w:val="none" w:sz="0" w:space="0" w:color="auto"/>
        <w:left w:val="none" w:sz="0" w:space="0" w:color="auto"/>
        <w:bottom w:val="none" w:sz="0" w:space="0" w:color="auto"/>
        <w:right w:val="none" w:sz="0" w:space="0" w:color="auto"/>
      </w:divBdr>
    </w:div>
    <w:div w:id="1575815491">
      <w:bodyDiv w:val="1"/>
      <w:marLeft w:val="0"/>
      <w:marRight w:val="0"/>
      <w:marTop w:val="0"/>
      <w:marBottom w:val="0"/>
      <w:divBdr>
        <w:top w:val="none" w:sz="0" w:space="0" w:color="auto"/>
        <w:left w:val="none" w:sz="0" w:space="0" w:color="auto"/>
        <w:bottom w:val="none" w:sz="0" w:space="0" w:color="auto"/>
        <w:right w:val="none" w:sz="0" w:space="0" w:color="auto"/>
      </w:divBdr>
    </w:div>
    <w:div w:id="1577351297">
      <w:bodyDiv w:val="1"/>
      <w:marLeft w:val="0"/>
      <w:marRight w:val="0"/>
      <w:marTop w:val="0"/>
      <w:marBottom w:val="0"/>
      <w:divBdr>
        <w:top w:val="none" w:sz="0" w:space="0" w:color="auto"/>
        <w:left w:val="none" w:sz="0" w:space="0" w:color="auto"/>
        <w:bottom w:val="none" w:sz="0" w:space="0" w:color="auto"/>
        <w:right w:val="none" w:sz="0" w:space="0" w:color="auto"/>
      </w:divBdr>
    </w:div>
    <w:div w:id="1577669593">
      <w:bodyDiv w:val="1"/>
      <w:marLeft w:val="0"/>
      <w:marRight w:val="0"/>
      <w:marTop w:val="0"/>
      <w:marBottom w:val="0"/>
      <w:divBdr>
        <w:top w:val="none" w:sz="0" w:space="0" w:color="auto"/>
        <w:left w:val="none" w:sz="0" w:space="0" w:color="auto"/>
        <w:bottom w:val="none" w:sz="0" w:space="0" w:color="auto"/>
        <w:right w:val="none" w:sz="0" w:space="0" w:color="auto"/>
      </w:divBdr>
    </w:div>
    <w:div w:id="1578978636">
      <w:bodyDiv w:val="1"/>
      <w:marLeft w:val="0"/>
      <w:marRight w:val="0"/>
      <w:marTop w:val="0"/>
      <w:marBottom w:val="0"/>
      <w:divBdr>
        <w:top w:val="none" w:sz="0" w:space="0" w:color="auto"/>
        <w:left w:val="none" w:sz="0" w:space="0" w:color="auto"/>
        <w:bottom w:val="none" w:sz="0" w:space="0" w:color="auto"/>
        <w:right w:val="none" w:sz="0" w:space="0" w:color="auto"/>
      </w:divBdr>
    </w:div>
    <w:div w:id="1579287535">
      <w:bodyDiv w:val="1"/>
      <w:marLeft w:val="0"/>
      <w:marRight w:val="0"/>
      <w:marTop w:val="0"/>
      <w:marBottom w:val="0"/>
      <w:divBdr>
        <w:top w:val="none" w:sz="0" w:space="0" w:color="auto"/>
        <w:left w:val="none" w:sz="0" w:space="0" w:color="auto"/>
        <w:bottom w:val="none" w:sz="0" w:space="0" w:color="auto"/>
        <w:right w:val="none" w:sz="0" w:space="0" w:color="auto"/>
      </w:divBdr>
    </w:div>
    <w:div w:id="1580209901">
      <w:bodyDiv w:val="1"/>
      <w:marLeft w:val="0"/>
      <w:marRight w:val="0"/>
      <w:marTop w:val="0"/>
      <w:marBottom w:val="0"/>
      <w:divBdr>
        <w:top w:val="none" w:sz="0" w:space="0" w:color="auto"/>
        <w:left w:val="none" w:sz="0" w:space="0" w:color="auto"/>
        <w:bottom w:val="none" w:sz="0" w:space="0" w:color="auto"/>
        <w:right w:val="none" w:sz="0" w:space="0" w:color="auto"/>
      </w:divBdr>
    </w:div>
    <w:div w:id="1581982347">
      <w:bodyDiv w:val="1"/>
      <w:marLeft w:val="0"/>
      <w:marRight w:val="0"/>
      <w:marTop w:val="0"/>
      <w:marBottom w:val="0"/>
      <w:divBdr>
        <w:top w:val="none" w:sz="0" w:space="0" w:color="auto"/>
        <w:left w:val="none" w:sz="0" w:space="0" w:color="auto"/>
        <w:bottom w:val="none" w:sz="0" w:space="0" w:color="auto"/>
        <w:right w:val="none" w:sz="0" w:space="0" w:color="auto"/>
      </w:divBdr>
    </w:div>
    <w:div w:id="1582564897">
      <w:bodyDiv w:val="1"/>
      <w:marLeft w:val="0"/>
      <w:marRight w:val="0"/>
      <w:marTop w:val="0"/>
      <w:marBottom w:val="0"/>
      <w:divBdr>
        <w:top w:val="none" w:sz="0" w:space="0" w:color="auto"/>
        <w:left w:val="none" w:sz="0" w:space="0" w:color="auto"/>
        <w:bottom w:val="none" w:sz="0" w:space="0" w:color="auto"/>
        <w:right w:val="none" w:sz="0" w:space="0" w:color="auto"/>
      </w:divBdr>
    </w:div>
    <w:div w:id="1583297840">
      <w:bodyDiv w:val="1"/>
      <w:marLeft w:val="0"/>
      <w:marRight w:val="0"/>
      <w:marTop w:val="0"/>
      <w:marBottom w:val="0"/>
      <w:divBdr>
        <w:top w:val="none" w:sz="0" w:space="0" w:color="auto"/>
        <w:left w:val="none" w:sz="0" w:space="0" w:color="auto"/>
        <w:bottom w:val="none" w:sz="0" w:space="0" w:color="auto"/>
        <w:right w:val="none" w:sz="0" w:space="0" w:color="auto"/>
      </w:divBdr>
    </w:div>
    <w:div w:id="1583761082">
      <w:bodyDiv w:val="1"/>
      <w:marLeft w:val="0"/>
      <w:marRight w:val="0"/>
      <w:marTop w:val="0"/>
      <w:marBottom w:val="0"/>
      <w:divBdr>
        <w:top w:val="none" w:sz="0" w:space="0" w:color="auto"/>
        <w:left w:val="none" w:sz="0" w:space="0" w:color="auto"/>
        <w:bottom w:val="none" w:sz="0" w:space="0" w:color="auto"/>
        <w:right w:val="none" w:sz="0" w:space="0" w:color="auto"/>
      </w:divBdr>
    </w:div>
    <w:div w:id="1588153890">
      <w:bodyDiv w:val="1"/>
      <w:marLeft w:val="0"/>
      <w:marRight w:val="0"/>
      <w:marTop w:val="0"/>
      <w:marBottom w:val="0"/>
      <w:divBdr>
        <w:top w:val="none" w:sz="0" w:space="0" w:color="auto"/>
        <w:left w:val="none" w:sz="0" w:space="0" w:color="auto"/>
        <w:bottom w:val="none" w:sz="0" w:space="0" w:color="auto"/>
        <w:right w:val="none" w:sz="0" w:space="0" w:color="auto"/>
      </w:divBdr>
    </w:div>
    <w:div w:id="1593472201">
      <w:bodyDiv w:val="1"/>
      <w:marLeft w:val="0"/>
      <w:marRight w:val="0"/>
      <w:marTop w:val="0"/>
      <w:marBottom w:val="0"/>
      <w:divBdr>
        <w:top w:val="none" w:sz="0" w:space="0" w:color="auto"/>
        <w:left w:val="none" w:sz="0" w:space="0" w:color="auto"/>
        <w:bottom w:val="none" w:sz="0" w:space="0" w:color="auto"/>
        <w:right w:val="none" w:sz="0" w:space="0" w:color="auto"/>
      </w:divBdr>
    </w:div>
    <w:div w:id="1595090747">
      <w:bodyDiv w:val="1"/>
      <w:marLeft w:val="0"/>
      <w:marRight w:val="0"/>
      <w:marTop w:val="0"/>
      <w:marBottom w:val="0"/>
      <w:divBdr>
        <w:top w:val="none" w:sz="0" w:space="0" w:color="auto"/>
        <w:left w:val="none" w:sz="0" w:space="0" w:color="auto"/>
        <w:bottom w:val="none" w:sz="0" w:space="0" w:color="auto"/>
        <w:right w:val="none" w:sz="0" w:space="0" w:color="auto"/>
      </w:divBdr>
    </w:div>
    <w:div w:id="1597327863">
      <w:bodyDiv w:val="1"/>
      <w:marLeft w:val="0"/>
      <w:marRight w:val="0"/>
      <w:marTop w:val="0"/>
      <w:marBottom w:val="0"/>
      <w:divBdr>
        <w:top w:val="none" w:sz="0" w:space="0" w:color="auto"/>
        <w:left w:val="none" w:sz="0" w:space="0" w:color="auto"/>
        <w:bottom w:val="none" w:sz="0" w:space="0" w:color="auto"/>
        <w:right w:val="none" w:sz="0" w:space="0" w:color="auto"/>
      </w:divBdr>
    </w:div>
    <w:div w:id="1598127962">
      <w:bodyDiv w:val="1"/>
      <w:marLeft w:val="0"/>
      <w:marRight w:val="0"/>
      <w:marTop w:val="0"/>
      <w:marBottom w:val="0"/>
      <w:divBdr>
        <w:top w:val="none" w:sz="0" w:space="0" w:color="auto"/>
        <w:left w:val="none" w:sz="0" w:space="0" w:color="auto"/>
        <w:bottom w:val="none" w:sz="0" w:space="0" w:color="auto"/>
        <w:right w:val="none" w:sz="0" w:space="0" w:color="auto"/>
      </w:divBdr>
    </w:div>
    <w:div w:id="1599944981">
      <w:bodyDiv w:val="1"/>
      <w:marLeft w:val="0"/>
      <w:marRight w:val="0"/>
      <w:marTop w:val="0"/>
      <w:marBottom w:val="0"/>
      <w:divBdr>
        <w:top w:val="none" w:sz="0" w:space="0" w:color="auto"/>
        <w:left w:val="none" w:sz="0" w:space="0" w:color="auto"/>
        <w:bottom w:val="none" w:sz="0" w:space="0" w:color="auto"/>
        <w:right w:val="none" w:sz="0" w:space="0" w:color="auto"/>
      </w:divBdr>
    </w:div>
    <w:div w:id="1600524953">
      <w:bodyDiv w:val="1"/>
      <w:marLeft w:val="0"/>
      <w:marRight w:val="0"/>
      <w:marTop w:val="0"/>
      <w:marBottom w:val="0"/>
      <w:divBdr>
        <w:top w:val="none" w:sz="0" w:space="0" w:color="auto"/>
        <w:left w:val="none" w:sz="0" w:space="0" w:color="auto"/>
        <w:bottom w:val="none" w:sz="0" w:space="0" w:color="auto"/>
        <w:right w:val="none" w:sz="0" w:space="0" w:color="auto"/>
      </w:divBdr>
    </w:div>
    <w:div w:id="1602955261">
      <w:bodyDiv w:val="1"/>
      <w:marLeft w:val="0"/>
      <w:marRight w:val="0"/>
      <w:marTop w:val="0"/>
      <w:marBottom w:val="0"/>
      <w:divBdr>
        <w:top w:val="none" w:sz="0" w:space="0" w:color="auto"/>
        <w:left w:val="none" w:sz="0" w:space="0" w:color="auto"/>
        <w:bottom w:val="none" w:sz="0" w:space="0" w:color="auto"/>
        <w:right w:val="none" w:sz="0" w:space="0" w:color="auto"/>
      </w:divBdr>
    </w:div>
    <w:div w:id="1608074028">
      <w:bodyDiv w:val="1"/>
      <w:marLeft w:val="0"/>
      <w:marRight w:val="0"/>
      <w:marTop w:val="0"/>
      <w:marBottom w:val="0"/>
      <w:divBdr>
        <w:top w:val="none" w:sz="0" w:space="0" w:color="auto"/>
        <w:left w:val="none" w:sz="0" w:space="0" w:color="auto"/>
        <w:bottom w:val="none" w:sz="0" w:space="0" w:color="auto"/>
        <w:right w:val="none" w:sz="0" w:space="0" w:color="auto"/>
      </w:divBdr>
    </w:div>
    <w:div w:id="1608544698">
      <w:bodyDiv w:val="1"/>
      <w:marLeft w:val="0"/>
      <w:marRight w:val="0"/>
      <w:marTop w:val="0"/>
      <w:marBottom w:val="0"/>
      <w:divBdr>
        <w:top w:val="none" w:sz="0" w:space="0" w:color="auto"/>
        <w:left w:val="none" w:sz="0" w:space="0" w:color="auto"/>
        <w:bottom w:val="none" w:sz="0" w:space="0" w:color="auto"/>
        <w:right w:val="none" w:sz="0" w:space="0" w:color="auto"/>
      </w:divBdr>
    </w:div>
    <w:div w:id="1610046519">
      <w:bodyDiv w:val="1"/>
      <w:marLeft w:val="0"/>
      <w:marRight w:val="0"/>
      <w:marTop w:val="0"/>
      <w:marBottom w:val="0"/>
      <w:divBdr>
        <w:top w:val="none" w:sz="0" w:space="0" w:color="auto"/>
        <w:left w:val="none" w:sz="0" w:space="0" w:color="auto"/>
        <w:bottom w:val="none" w:sz="0" w:space="0" w:color="auto"/>
        <w:right w:val="none" w:sz="0" w:space="0" w:color="auto"/>
      </w:divBdr>
    </w:div>
    <w:div w:id="1610897104">
      <w:bodyDiv w:val="1"/>
      <w:marLeft w:val="0"/>
      <w:marRight w:val="0"/>
      <w:marTop w:val="0"/>
      <w:marBottom w:val="0"/>
      <w:divBdr>
        <w:top w:val="none" w:sz="0" w:space="0" w:color="auto"/>
        <w:left w:val="none" w:sz="0" w:space="0" w:color="auto"/>
        <w:bottom w:val="none" w:sz="0" w:space="0" w:color="auto"/>
        <w:right w:val="none" w:sz="0" w:space="0" w:color="auto"/>
      </w:divBdr>
    </w:div>
    <w:div w:id="1614439756">
      <w:bodyDiv w:val="1"/>
      <w:marLeft w:val="0"/>
      <w:marRight w:val="0"/>
      <w:marTop w:val="0"/>
      <w:marBottom w:val="0"/>
      <w:divBdr>
        <w:top w:val="none" w:sz="0" w:space="0" w:color="auto"/>
        <w:left w:val="none" w:sz="0" w:space="0" w:color="auto"/>
        <w:bottom w:val="none" w:sz="0" w:space="0" w:color="auto"/>
        <w:right w:val="none" w:sz="0" w:space="0" w:color="auto"/>
      </w:divBdr>
    </w:div>
    <w:div w:id="1615095110">
      <w:bodyDiv w:val="1"/>
      <w:marLeft w:val="0"/>
      <w:marRight w:val="0"/>
      <w:marTop w:val="0"/>
      <w:marBottom w:val="0"/>
      <w:divBdr>
        <w:top w:val="none" w:sz="0" w:space="0" w:color="auto"/>
        <w:left w:val="none" w:sz="0" w:space="0" w:color="auto"/>
        <w:bottom w:val="none" w:sz="0" w:space="0" w:color="auto"/>
        <w:right w:val="none" w:sz="0" w:space="0" w:color="auto"/>
      </w:divBdr>
    </w:div>
    <w:div w:id="1616018941">
      <w:bodyDiv w:val="1"/>
      <w:marLeft w:val="0"/>
      <w:marRight w:val="0"/>
      <w:marTop w:val="0"/>
      <w:marBottom w:val="0"/>
      <w:divBdr>
        <w:top w:val="none" w:sz="0" w:space="0" w:color="auto"/>
        <w:left w:val="none" w:sz="0" w:space="0" w:color="auto"/>
        <w:bottom w:val="none" w:sz="0" w:space="0" w:color="auto"/>
        <w:right w:val="none" w:sz="0" w:space="0" w:color="auto"/>
      </w:divBdr>
    </w:div>
    <w:div w:id="1616911817">
      <w:bodyDiv w:val="1"/>
      <w:marLeft w:val="0"/>
      <w:marRight w:val="0"/>
      <w:marTop w:val="0"/>
      <w:marBottom w:val="0"/>
      <w:divBdr>
        <w:top w:val="none" w:sz="0" w:space="0" w:color="auto"/>
        <w:left w:val="none" w:sz="0" w:space="0" w:color="auto"/>
        <w:bottom w:val="none" w:sz="0" w:space="0" w:color="auto"/>
        <w:right w:val="none" w:sz="0" w:space="0" w:color="auto"/>
      </w:divBdr>
    </w:div>
    <w:div w:id="1617056537">
      <w:bodyDiv w:val="1"/>
      <w:marLeft w:val="0"/>
      <w:marRight w:val="0"/>
      <w:marTop w:val="0"/>
      <w:marBottom w:val="0"/>
      <w:divBdr>
        <w:top w:val="none" w:sz="0" w:space="0" w:color="auto"/>
        <w:left w:val="none" w:sz="0" w:space="0" w:color="auto"/>
        <w:bottom w:val="none" w:sz="0" w:space="0" w:color="auto"/>
        <w:right w:val="none" w:sz="0" w:space="0" w:color="auto"/>
      </w:divBdr>
    </w:div>
    <w:div w:id="1621377484">
      <w:bodyDiv w:val="1"/>
      <w:marLeft w:val="0"/>
      <w:marRight w:val="0"/>
      <w:marTop w:val="0"/>
      <w:marBottom w:val="0"/>
      <w:divBdr>
        <w:top w:val="none" w:sz="0" w:space="0" w:color="auto"/>
        <w:left w:val="none" w:sz="0" w:space="0" w:color="auto"/>
        <w:bottom w:val="none" w:sz="0" w:space="0" w:color="auto"/>
        <w:right w:val="none" w:sz="0" w:space="0" w:color="auto"/>
      </w:divBdr>
    </w:div>
    <w:div w:id="1622372586">
      <w:bodyDiv w:val="1"/>
      <w:marLeft w:val="0"/>
      <w:marRight w:val="0"/>
      <w:marTop w:val="0"/>
      <w:marBottom w:val="0"/>
      <w:divBdr>
        <w:top w:val="none" w:sz="0" w:space="0" w:color="auto"/>
        <w:left w:val="none" w:sz="0" w:space="0" w:color="auto"/>
        <w:bottom w:val="none" w:sz="0" w:space="0" w:color="auto"/>
        <w:right w:val="none" w:sz="0" w:space="0" w:color="auto"/>
      </w:divBdr>
    </w:div>
    <w:div w:id="1624114473">
      <w:bodyDiv w:val="1"/>
      <w:marLeft w:val="0"/>
      <w:marRight w:val="0"/>
      <w:marTop w:val="0"/>
      <w:marBottom w:val="0"/>
      <w:divBdr>
        <w:top w:val="none" w:sz="0" w:space="0" w:color="auto"/>
        <w:left w:val="none" w:sz="0" w:space="0" w:color="auto"/>
        <w:bottom w:val="none" w:sz="0" w:space="0" w:color="auto"/>
        <w:right w:val="none" w:sz="0" w:space="0" w:color="auto"/>
      </w:divBdr>
    </w:div>
    <w:div w:id="1631401739">
      <w:bodyDiv w:val="1"/>
      <w:marLeft w:val="0"/>
      <w:marRight w:val="0"/>
      <w:marTop w:val="0"/>
      <w:marBottom w:val="0"/>
      <w:divBdr>
        <w:top w:val="none" w:sz="0" w:space="0" w:color="auto"/>
        <w:left w:val="none" w:sz="0" w:space="0" w:color="auto"/>
        <w:bottom w:val="none" w:sz="0" w:space="0" w:color="auto"/>
        <w:right w:val="none" w:sz="0" w:space="0" w:color="auto"/>
      </w:divBdr>
    </w:div>
    <w:div w:id="1632400837">
      <w:bodyDiv w:val="1"/>
      <w:marLeft w:val="0"/>
      <w:marRight w:val="0"/>
      <w:marTop w:val="0"/>
      <w:marBottom w:val="0"/>
      <w:divBdr>
        <w:top w:val="none" w:sz="0" w:space="0" w:color="auto"/>
        <w:left w:val="none" w:sz="0" w:space="0" w:color="auto"/>
        <w:bottom w:val="none" w:sz="0" w:space="0" w:color="auto"/>
        <w:right w:val="none" w:sz="0" w:space="0" w:color="auto"/>
      </w:divBdr>
    </w:div>
    <w:div w:id="1632665194">
      <w:bodyDiv w:val="1"/>
      <w:marLeft w:val="0"/>
      <w:marRight w:val="0"/>
      <w:marTop w:val="0"/>
      <w:marBottom w:val="0"/>
      <w:divBdr>
        <w:top w:val="none" w:sz="0" w:space="0" w:color="auto"/>
        <w:left w:val="none" w:sz="0" w:space="0" w:color="auto"/>
        <w:bottom w:val="none" w:sz="0" w:space="0" w:color="auto"/>
        <w:right w:val="none" w:sz="0" w:space="0" w:color="auto"/>
      </w:divBdr>
    </w:div>
    <w:div w:id="1634368546">
      <w:bodyDiv w:val="1"/>
      <w:marLeft w:val="0"/>
      <w:marRight w:val="0"/>
      <w:marTop w:val="0"/>
      <w:marBottom w:val="0"/>
      <w:divBdr>
        <w:top w:val="none" w:sz="0" w:space="0" w:color="auto"/>
        <w:left w:val="none" w:sz="0" w:space="0" w:color="auto"/>
        <w:bottom w:val="none" w:sz="0" w:space="0" w:color="auto"/>
        <w:right w:val="none" w:sz="0" w:space="0" w:color="auto"/>
      </w:divBdr>
    </w:div>
    <w:div w:id="1635868676">
      <w:bodyDiv w:val="1"/>
      <w:marLeft w:val="0"/>
      <w:marRight w:val="0"/>
      <w:marTop w:val="0"/>
      <w:marBottom w:val="0"/>
      <w:divBdr>
        <w:top w:val="none" w:sz="0" w:space="0" w:color="auto"/>
        <w:left w:val="none" w:sz="0" w:space="0" w:color="auto"/>
        <w:bottom w:val="none" w:sz="0" w:space="0" w:color="auto"/>
        <w:right w:val="none" w:sz="0" w:space="0" w:color="auto"/>
      </w:divBdr>
    </w:div>
    <w:div w:id="1637485966">
      <w:bodyDiv w:val="1"/>
      <w:marLeft w:val="0"/>
      <w:marRight w:val="0"/>
      <w:marTop w:val="0"/>
      <w:marBottom w:val="0"/>
      <w:divBdr>
        <w:top w:val="none" w:sz="0" w:space="0" w:color="auto"/>
        <w:left w:val="none" w:sz="0" w:space="0" w:color="auto"/>
        <w:bottom w:val="none" w:sz="0" w:space="0" w:color="auto"/>
        <w:right w:val="none" w:sz="0" w:space="0" w:color="auto"/>
      </w:divBdr>
    </w:div>
    <w:div w:id="1645887212">
      <w:bodyDiv w:val="1"/>
      <w:marLeft w:val="0"/>
      <w:marRight w:val="0"/>
      <w:marTop w:val="0"/>
      <w:marBottom w:val="0"/>
      <w:divBdr>
        <w:top w:val="none" w:sz="0" w:space="0" w:color="auto"/>
        <w:left w:val="none" w:sz="0" w:space="0" w:color="auto"/>
        <w:bottom w:val="none" w:sz="0" w:space="0" w:color="auto"/>
        <w:right w:val="none" w:sz="0" w:space="0" w:color="auto"/>
      </w:divBdr>
    </w:div>
    <w:div w:id="1650017316">
      <w:bodyDiv w:val="1"/>
      <w:marLeft w:val="0"/>
      <w:marRight w:val="0"/>
      <w:marTop w:val="0"/>
      <w:marBottom w:val="0"/>
      <w:divBdr>
        <w:top w:val="none" w:sz="0" w:space="0" w:color="auto"/>
        <w:left w:val="none" w:sz="0" w:space="0" w:color="auto"/>
        <w:bottom w:val="none" w:sz="0" w:space="0" w:color="auto"/>
        <w:right w:val="none" w:sz="0" w:space="0" w:color="auto"/>
      </w:divBdr>
    </w:div>
    <w:div w:id="1655137645">
      <w:bodyDiv w:val="1"/>
      <w:marLeft w:val="0"/>
      <w:marRight w:val="0"/>
      <w:marTop w:val="0"/>
      <w:marBottom w:val="0"/>
      <w:divBdr>
        <w:top w:val="none" w:sz="0" w:space="0" w:color="auto"/>
        <w:left w:val="none" w:sz="0" w:space="0" w:color="auto"/>
        <w:bottom w:val="none" w:sz="0" w:space="0" w:color="auto"/>
        <w:right w:val="none" w:sz="0" w:space="0" w:color="auto"/>
      </w:divBdr>
    </w:div>
    <w:div w:id="1656226277">
      <w:bodyDiv w:val="1"/>
      <w:marLeft w:val="0"/>
      <w:marRight w:val="0"/>
      <w:marTop w:val="0"/>
      <w:marBottom w:val="0"/>
      <w:divBdr>
        <w:top w:val="none" w:sz="0" w:space="0" w:color="auto"/>
        <w:left w:val="none" w:sz="0" w:space="0" w:color="auto"/>
        <w:bottom w:val="none" w:sz="0" w:space="0" w:color="auto"/>
        <w:right w:val="none" w:sz="0" w:space="0" w:color="auto"/>
      </w:divBdr>
    </w:div>
    <w:div w:id="1657608056">
      <w:bodyDiv w:val="1"/>
      <w:marLeft w:val="0"/>
      <w:marRight w:val="0"/>
      <w:marTop w:val="0"/>
      <w:marBottom w:val="0"/>
      <w:divBdr>
        <w:top w:val="none" w:sz="0" w:space="0" w:color="auto"/>
        <w:left w:val="none" w:sz="0" w:space="0" w:color="auto"/>
        <w:bottom w:val="none" w:sz="0" w:space="0" w:color="auto"/>
        <w:right w:val="none" w:sz="0" w:space="0" w:color="auto"/>
      </w:divBdr>
    </w:div>
    <w:div w:id="1657609280">
      <w:bodyDiv w:val="1"/>
      <w:marLeft w:val="0"/>
      <w:marRight w:val="0"/>
      <w:marTop w:val="0"/>
      <w:marBottom w:val="0"/>
      <w:divBdr>
        <w:top w:val="none" w:sz="0" w:space="0" w:color="auto"/>
        <w:left w:val="none" w:sz="0" w:space="0" w:color="auto"/>
        <w:bottom w:val="none" w:sz="0" w:space="0" w:color="auto"/>
        <w:right w:val="none" w:sz="0" w:space="0" w:color="auto"/>
      </w:divBdr>
    </w:div>
    <w:div w:id="1658537141">
      <w:bodyDiv w:val="1"/>
      <w:marLeft w:val="0"/>
      <w:marRight w:val="0"/>
      <w:marTop w:val="0"/>
      <w:marBottom w:val="0"/>
      <w:divBdr>
        <w:top w:val="none" w:sz="0" w:space="0" w:color="auto"/>
        <w:left w:val="none" w:sz="0" w:space="0" w:color="auto"/>
        <w:bottom w:val="none" w:sz="0" w:space="0" w:color="auto"/>
        <w:right w:val="none" w:sz="0" w:space="0" w:color="auto"/>
      </w:divBdr>
    </w:div>
    <w:div w:id="1661539845">
      <w:bodyDiv w:val="1"/>
      <w:marLeft w:val="0"/>
      <w:marRight w:val="0"/>
      <w:marTop w:val="0"/>
      <w:marBottom w:val="0"/>
      <w:divBdr>
        <w:top w:val="none" w:sz="0" w:space="0" w:color="auto"/>
        <w:left w:val="none" w:sz="0" w:space="0" w:color="auto"/>
        <w:bottom w:val="none" w:sz="0" w:space="0" w:color="auto"/>
        <w:right w:val="none" w:sz="0" w:space="0" w:color="auto"/>
      </w:divBdr>
    </w:div>
    <w:div w:id="1662268139">
      <w:bodyDiv w:val="1"/>
      <w:marLeft w:val="0"/>
      <w:marRight w:val="0"/>
      <w:marTop w:val="0"/>
      <w:marBottom w:val="0"/>
      <w:divBdr>
        <w:top w:val="none" w:sz="0" w:space="0" w:color="auto"/>
        <w:left w:val="none" w:sz="0" w:space="0" w:color="auto"/>
        <w:bottom w:val="none" w:sz="0" w:space="0" w:color="auto"/>
        <w:right w:val="none" w:sz="0" w:space="0" w:color="auto"/>
      </w:divBdr>
    </w:div>
    <w:div w:id="1664121992">
      <w:bodyDiv w:val="1"/>
      <w:marLeft w:val="0"/>
      <w:marRight w:val="0"/>
      <w:marTop w:val="0"/>
      <w:marBottom w:val="0"/>
      <w:divBdr>
        <w:top w:val="none" w:sz="0" w:space="0" w:color="auto"/>
        <w:left w:val="none" w:sz="0" w:space="0" w:color="auto"/>
        <w:bottom w:val="none" w:sz="0" w:space="0" w:color="auto"/>
        <w:right w:val="none" w:sz="0" w:space="0" w:color="auto"/>
      </w:divBdr>
    </w:div>
    <w:div w:id="1664158136">
      <w:bodyDiv w:val="1"/>
      <w:marLeft w:val="0"/>
      <w:marRight w:val="0"/>
      <w:marTop w:val="0"/>
      <w:marBottom w:val="0"/>
      <w:divBdr>
        <w:top w:val="none" w:sz="0" w:space="0" w:color="auto"/>
        <w:left w:val="none" w:sz="0" w:space="0" w:color="auto"/>
        <w:bottom w:val="none" w:sz="0" w:space="0" w:color="auto"/>
        <w:right w:val="none" w:sz="0" w:space="0" w:color="auto"/>
      </w:divBdr>
    </w:div>
    <w:div w:id="1665091059">
      <w:bodyDiv w:val="1"/>
      <w:marLeft w:val="0"/>
      <w:marRight w:val="0"/>
      <w:marTop w:val="0"/>
      <w:marBottom w:val="0"/>
      <w:divBdr>
        <w:top w:val="none" w:sz="0" w:space="0" w:color="auto"/>
        <w:left w:val="none" w:sz="0" w:space="0" w:color="auto"/>
        <w:bottom w:val="none" w:sz="0" w:space="0" w:color="auto"/>
        <w:right w:val="none" w:sz="0" w:space="0" w:color="auto"/>
      </w:divBdr>
    </w:div>
    <w:div w:id="1667442552">
      <w:bodyDiv w:val="1"/>
      <w:marLeft w:val="0"/>
      <w:marRight w:val="0"/>
      <w:marTop w:val="0"/>
      <w:marBottom w:val="0"/>
      <w:divBdr>
        <w:top w:val="none" w:sz="0" w:space="0" w:color="auto"/>
        <w:left w:val="none" w:sz="0" w:space="0" w:color="auto"/>
        <w:bottom w:val="none" w:sz="0" w:space="0" w:color="auto"/>
        <w:right w:val="none" w:sz="0" w:space="0" w:color="auto"/>
      </w:divBdr>
    </w:div>
    <w:div w:id="1668904933">
      <w:bodyDiv w:val="1"/>
      <w:marLeft w:val="0"/>
      <w:marRight w:val="0"/>
      <w:marTop w:val="0"/>
      <w:marBottom w:val="0"/>
      <w:divBdr>
        <w:top w:val="none" w:sz="0" w:space="0" w:color="auto"/>
        <w:left w:val="none" w:sz="0" w:space="0" w:color="auto"/>
        <w:bottom w:val="none" w:sz="0" w:space="0" w:color="auto"/>
        <w:right w:val="none" w:sz="0" w:space="0" w:color="auto"/>
      </w:divBdr>
    </w:div>
    <w:div w:id="1674259625">
      <w:bodyDiv w:val="1"/>
      <w:marLeft w:val="0"/>
      <w:marRight w:val="0"/>
      <w:marTop w:val="0"/>
      <w:marBottom w:val="0"/>
      <w:divBdr>
        <w:top w:val="none" w:sz="0" w:space="0" w:color="auto"/>
        <w:left w:val="none" w:sz="0" w:space="0" w:color="auto"/>
        <w:bottom w:val="none" w:sz="0" w:space="0" w:color="auto"/>
        <w:right w:val="none" w:sz="0" w:space="0" w:color="auto"/>
      </w:divBdr>
    </w:div>
    <w:div w:id="1674334181">
      <w:bodyDiv w:val="1"/>
      <w:marLeft w:val="0"/>
      <w:marRight w:val="0"/>
      <w:marTop w:val="0"/>
      <w:marBottom w:val="0"/>
      <w:divBdr>
        <w:top w:val="none" w:sz="0" w:space="0" w:color="auto"/>
        <w:left w:val="none" w:sz="0" w:space="0" w:color="auto"/>
        <w:bottom w:val="none" w:sz="0" w:space="0" w:color="auto"/>
        <w:right w:val="none" w:sz="0" w:space="0" w:color="auto"/>
      </w:divBdr>
    </w:div>
    <w:div w:id="1676692008">
      <w:bodyDiv w:val="1"/>
      <w:marLeft w:val="0"/>
      <w:marRight w:val="0"/>
      <w:marTop w:val="0"/>
      <w:marBottom w:val="0"/>
      <w:divBdr>
        <w:top w:val="none" w:sz="0" w:space="0" w:color="auto"/>
        <w:left w:val="none" w:sz="0" w:space="0" w:color="auto"/>
        <w:bottom w:val="none" w:sz="0" w:space="0" w:color="auto"/>
        <w:right w:val="none" w:sz="0" w:space="0" w:color="auto"/>
      </w:divBdr>
    </w:div>
    <w:div w:id="1681273429">
      <w:bodyDiv w:val="1"/>
      <w:marLeft w:val="0"/>
      <w:marRight w:val="0"/>
      <w:marTop w:val="0"/>
      <w:marBottom w:val="0"/>
      <w:divBdr>
        <w:top w:val="none" w:sz="0" w:space="0" w:color="auto"/>
        <w:left w:val="none" w:sz="0" w:space="0" w:color="auto"/>
        <w:bottom w:val="none" w:sz="0" w:space="0" w:color="auto"/>
        <w:right w:val="none" w:sz="0" w:space="0" w:color="auto"/>
      </w:divBdr>
    </w:div>
    <w:div w:id="1682195227">
      <w:bodyDiv w:val="1"/>
      <w:marLeft w:val="0"/>
      <w:marRight w:val="0"/>
      <w:marTop w:val="0"/>
      <w:marBottom w:val="0"/>
      <w:divBdr>
        <w:top w:val="none" w:sz="0" w:space="0" w:color="auto"/>
        <w:left w:val="none" w:sz="0" w:space="0" w:color="auto"/>
        <w:bottom w:val="none" w:sz="0" w:space="0" w:color="auto"/>
        <w:right w:val="none" w:sz="0" w:space="0" w:color="auto"/>
      </w:divBdr>
    </w:div>
    <w:div w:id="1683817266">
      <w:bodyDiv w:val="1"/>
      <w:marLeft w:val="0"/>
      <w:marRight w:val="0"/>
      <w:marTop w:val="0"/>
      <w:marBottom w:val="0"/>
      <w:divBdr>
        <w:top w:val="none" w:sz="0" w:space="0" w:color="auto"/>
        <w:left w:val="none" w:sz="0" w:space="0" w:color="auto"/>
        <w:bottom w:val="none" w:sz="0" w:space="0" w:color="auto"/>
        <w:right w:val="none" w:sz="0" w:space="0" w:color="auto"/>
      </w:divBdr>
    </w:div>
    <w:div w:id="1691249828">
      <w:bodyDiv w:val="1"/>
      <w:marLeft w:val="0"/>
      <w:marRight w:val="0"/>
      <w:marTop w:val="0"/>
      <w:marBottom w:val="0"/>
      <w:divBdr>
        <w:top w:val="none" w:sz="0" w:space="0" w:color="auto"/>
        <w:left w:val="none" w:sz="0" w:space="0" w:color="auto"/>
        <w:bottom w:val="none" w:sz="0" w:space="0" w:color="auto"/>
        <w:right w:val="none" w:sz="0" w:space="0" w:color="auto"/>
      </w:divBdr>
    </w:div>
    <w:div w:id="1691493484">
      <w:bodyDiv w:val="1"/>
      <w:marLeft w:val="0"/>
      <w:marRight w:val="0"/>
      <w:marTop w:val="0"/>
      <w:marBottom w:val="0"/>
      <w:divBdr>
        <w:top w:val="none" w:sz="0" w:space="0" w:color="auto"/>
        <w:left w:val="none" w:sz="0" w:space="0" w:color="auto"/>
        <w:bottom w:val="none" w:sz="0" w:space="0" w:color="auto"/>
        <w:right w:val="none" w:sz="0" w:space="0" w:color="auto"/>
      </w:divBdr>
    </w:div>
    <w:div w:id="1692413285">
      <w:bodyDiv w:val="1"/>
      <w:marLeft w:val="0"/>
      <w:marRight w:val="0"/>
      <w:marTop w:val="0"/>
      <w:marBottom w:val="0"/>
      <w:divBdr>
        <w:top w:val="none" w:sz="0" w:space="0" w:color="auto"/>
        <w:left w:val="none" w:sz="0" w:space="0" w:color="auto"/>
        <w:bottom w:val="none" w:sz="0" w:space="0" w:color="auto"/>
        <w:right w:val="none" w:sz="0" w:space="0" w:color="auto"/>
      </w:divBdr>
    </w:div>
    <w:div w:id="1693335686">
      <w:bodyDiv w:val="1"/>
      <w:marLeft w:val="0"/>
      <w:marRight w:val="0"/>
      <w:marTop w:val="0"/>
      <w:marBottom w:val="0"/>
      <w:divBdr>
        <w:top w:val="none" w:sz="0" w:space="0" w:color="auto"/>
        <w:left w:val="none" w:sz="0" w:space="0" w:color="auto"/>
        <w:bottom w:val="none" w:sz="0" w:space="0" w:color="auto"/>
        <w:right w:val="none" w:sz="0" w:space="0" w:color="auto"/>
      </w:divBdr>
    </w:div>
    <w:div w:id="1693536537">
      <w:bodyDiv w:val="1"/>
      <w:marLeft w:val="0"/>
      <w:marRight w:val="0"/>
      <w:marTop w:val="0"/>
      <w:marBottom w:val="0"/>
      <w:divBdr>
        <w:top w:val="none" w:sz="0" w:space="0" w:color="auto"/>
        <w:left w:val="none" w:sz="0" w:space="0" w:color="auto"/>
        <w:bottom w:val="none" w:sz="0" w:space="0" w:color="auto"/>
        <w:right w:val="none" w:sz="0" w:space="0" w:color="auto"/>
      </w:divBdr>
    </w:div>
    <w:div w:id="1696341663">
      <w:bodyDiv w:val="1"/>
      <w:marLeft w:val="0"/>
      <w:marRight w:val="0"/>
      <w:marTop w:val="0"/>
      <w:marBottom w:val="0"/>
      <w:divBdr>
        <w:top w:val="none" w:sz="0" w:space="0" w:color="auto"/>
        <w:left w:val="none" w:sz="0" w:space="0" w:color="auto"/>
        <w:bottom w:val="none" w:sz="0" w:space="0" w:color="auto"/>
        <w:right w:val="none" w:sz="0" w:space="0" w:color="auto"/>
      </w:divBdr>
    </w:div>
    <w:div w:id="1696737064">
      <w:bodyDiv w:val="1"/>
      <w:marLeft w:val="0"/>
      <w:marRight w:val="0"/>
      <w:marTop w:val="0"/>
      <w:marBottom w:val="0"/>
      <w:divBdr>
        <w:top w:val="none" w:sz="0" w:space="0" w:color="auto"/>
        <w:left w:val="none" w:sz="0" w:space="0" w:color="auto"/>
        <w:bottom w:val="none" w:sz="0" w:space="0" w:color="auto"/>
        <w:right w:val="none" w:sz="0" w:space="0" w:color="auto"/>
      </w:divBdr>
    </w:div>
    <w:div w:id="1696926188">
      <w:bodyDiv w:val="1"/>
      <w:marLeft w:val="0"/>
      <w:marRight w:val="0"/>
      <w:marTop w:val="0"/>
      <w:marBottom w:val="0"/>
      <w:divBdr>
        <w:top w:val="none" w:sz="0" w:space="0" w:color="auto"/>
        <w:left w:val="none" w:sz="0" w:space="0" w:color="auto"/>
        <w:bottom w:val="none" w:sz="0" w:space="0" w:color="auto"/>
        <w:right w:val="none" w:sz="0" w:space="0" w:color="auto"/>
      </w:divBdr>
    </w:div>
    <w:div w:id="1697807356">
      <w:bodyDiv w:val="1"/>
      <w:marLeft w:val="0"/>
      <w:marRight w:val="0"/>
      <w:marTop w:val="0"/>
      <w:marBottom w:val="0"/>
      <w:divBdr>
        <w:top w:val="none" w:sz="0" w:space="0" w:color="auto"/>
        <w:left w:val="none" w:sz="0" w:space="0" w:color="auto"/>
        <w:bottom w:val="none" w:sz="0" w:space="0" w:color="auto"/>
        <w:right w:val="none" w:sz="0" w:space="0" w:color="auto"/>
      </w:divBdr>
    </w:div>
    <w:div w:id="1698502223">
      <w:bodyDiv w:val="1"/>
      <w:marLeft w:val="0"/>
      <w:marRight w:val="0"/>
      <w:marTop w:val="0"/>
      <w:marBottom w:val="0"/>
      <w:divBdr>
        <w:top w:val="none" w:sz="0" w:space="0" w:color="auto"/>
        <w:left w:val="none" w:sz="0" w:space="0" w:color="auto"/>
        <w:bottom w:val="none" w:sz="0" w:space="0" w:color="auto"/>
        <w:right w:val="none" w:sz="0" w:space="0" w:color="auto"/>
      </w:divBdr>
    </w:div>
    <w:div w:id="1701933093">
      <w:bodyDiv w:val="1"/>
      <w:marLeft w:val="0"/>
      <w:marRight w:val="0"/>
      <w:marTop w:val="0"/>
      <w:marBottom w:val="0"/>
      <w:divBdr>
        <w:top w:val="none" w:sz="0" w:space="0" w:color="auto"/>
        <w:left w:val="none" w:sz="0" w:space="0" w:color="auto"/>
        <w:bottom w:val="none" w:sz="0" w:space="0" w:color="auto"/>
        <w:right w:val="none" w:sz="0" w:space="0" w:color="auto"/>
      </w:divBdr>
    </w:div>
    <w:div w:id="1702316330">
      <w:bodyDiv w:val="1"/>
      <w:marLeft w:val="0"/>
      <w:marRight w:val="0"/>
      <w:marTop w:val="0"/>
      <w:marBottom w:val="0"/>
      <w:divBdr>
        <w:top w:val="none" w:sz="0" w:space="0" w:color="auto"/>
        <w:left w:val="none" w:sz="0" w:space="0" w:color="auto"/>
        <w:bottom w:val="none" w:sz="0" w:space="0" w:color="auto"/>
        <w:right w:val="none" w:sz="0" w:space="0" w:color="auto"/>
      </w:divBdr>
    </w:div>
    <w:div w:id="1702439050">
      <w:bodyDiv w:val="1"/>
      <w:marLeft w:val="0"/>
      <w:marRight w:val="0"/>
      <w:marTop w:val="0"/>
      <w:marBottom w:val="0"/>
      <w:divBdr>
        <w:top w:val="none" w:sz="0" w:space="0" w:color="auto"/>
        <w:left w:val="none" w:sz="0" w:space="0" w:color="auto"/>
        <w:bottom w:val="none" w:sz="0" w:space="0" w:color="auto"/>
        <w:right w:val="none" w:sz="0" w:space="0" w:color="auto"/>
      </w:divBdr>
    </w:div>
    <w:div w:id="1704937110">
      <w:bodyDiv w:val="1"/>
      <w:marLeft w:val="0"/>
      <w:marRight w:val="0"/>
      <w:marTop w:val="0"/>
      <w:marBottom w:val="0"/>
      <w:divBdr>
        <w:top w:val="none" w:sz="0" w:space="0" w:color="auto"/>
        <w:left w:val="none" w:sz="0" w:space="0" w:color="auto"/>
        <w:bottom w:val="none" w:sz="0" w:space="0" w:color="auto"/>
        <w:right w:val="none" w:sz="0" w:space="0" w:color="auto"/>
      </w:divBdr>
    </w:div>
    <w:div w:id="1705058208">
      <w:bodyDiv w:val="1"/>
      <w:marLeft w:val="0"/>
      <w:marRight w:val="0"/>
      <w:marTop w:val="0"/>
      <w:marBottom w:val="0"/>
      <w:divBdr>
        <w:top w:val="none" w:sz="0" w:space="0" w:color="auto"/>
        <w:left w:val="none" w:sz="0" w:space="0" w:color="auto"/>
        <w:bottom w:val="none" w:sz="0" w:space="0" w:color="auto"/>
        <w:right w:val="none" w:sz="0" w:space="0" w:color="auto"/>
      </w:divBdr>
    </w:div>
    <w:div w:id="1705134100">
      <w:bodyDiv w:val="1"/>
      <w:marLeft w:val="0"/>
      <w:marRight w:val="0"/>
      <w:marTop w:val="0"/>
      <w:marBottom w:val="0"/>
      <w:divBdr>
        <w:top w:val="none" w:sz="0" w:space="0" w:color="auto"/>
        <w:left w:val="none" w:sz="0" w:space="0" w:color="auto"/>
        <w:bottom w:val="none" w:sz="0" w:space="0" w:color="auto"/>
        <w:right w:val="none" w:sz="0" w:space="0" w:color="auto"/>
      </w:divBdr>
    </w:div>
    <w:div w:id="1706904314">
      <w:bodyDiv w:val="1"/>
      <w:marLeft w:val="0"/>
      <w:marRight w:val="0"/>
      <w:marTop w:val="0"/>
      <w:marBottom w:val="0"/>
      <w:divBdr>
        <w:top w:val="none" w:sz="0" w:space="0" w:color="auto"/>
        <w:left w:val="none" w:sz="0" w:space="0" w:color="auto"/>
        <w:bottom w:val="none" w:sz="0" w:space="0" w:color="auto"/>
        <w:right w:val="none" w:sz="0" w:space="0" w:color="auto"/>
      </w:divBdr>
    </w:div>
    <w:div w:id="1710184529">
      <w:bodyDiv w:val="1"/>
      <w:marLeft w:val="0"/>
      <w:marRight w:val="0"/>
      <w:marTop w:val="0"/>
      <w:marBottom w:val="0"/>
      <w:divBdr>
        <w:top w:val="none" w:sz="0" w:space="0" w:color="auto"/>
        <w:left w:val="none" w:sz="0" w:space="0" w:color="auto"/>
        <w:bottom w:val="none" w:sz="0" w:space="0" w:color="auto"/>
        <w:right w:val="none" w:sz="0" w:space="0" w:color="auto"/>
      </w:divBdr>
    </w:div>
    <w:div w:id="1710757183">
      <w:bodyDiv w:val="1"/>
      <w:marLeft w:val="0"/>
      <w:marRight w:val="0"/>
      <w:marTop w:val="0"/>
      <w:marBottom w:val="0"/>
      <w:divBdr>
        <w:top w:val="none" w:sz="0" w:space="0" w:color="auto"/>
        <w:left w:val="none" w:sz="0" w:space="0" w:color="auto"/>
        <w:bottom w:val="none" w:sz="0" w:space="0" w:color="auto"/>
        <w:right w:val="none" w:sz="0" w:space="0" w:color="auto"/>
      </w:divBdr>
    </w:div>
    <w:div w:id="1711228162">
      <w:bodyDiv w:val="1"/>
      <w:marLeft w:val="0"/>
      <w:marRight w:val="0"/>
      <w:marTop w:val="0"/>
      <w:marBottom w:val="0"/>
      <w:divBdr>
        <w:top w:val="none" w:sz="0" w:space="0" w:color="auto"/>
        <w:left w:val="none" w:sz="0" w:space="0" w:color="auto"/>
        <w:bottom w:val="none" w:sz="0" w:space="0" w:color="auto"/>
        <w:right w:val="none" w:sz="0" w:space="0" w:color="auto"/>
      </w:divBdr>
    </w:div>
    <w:div w:id="1711370628">
      <w:bodyDiv w:val="1"/>
      <w:marLeft w:val="0"/>
      <w:marRight w:val="0"/>
      <w:marTop w:val="0"/>
      <w:marBottom w:val="0"/>
      <w:divBdr>
        <w:top w:val="none" w:sz="0" w:space="0" w:color="auto"/>
        <w:left w:val="none" w:sz="0" w:space="0" w:color="auto"/>
        <w:bottom w:val="none" w:sz="0" w:space="0" w:color="auto"/>
        <w:right w:val="none" w:sz="0" w:space="0" w:color="auto"/>
      </w:divBdr>
    </w:div>
    <w:div w:id="1711956039">
      <w:bodyDiv w:val="1"/>
      <w:marLeft w:val="0"/>
      <w:marRight w:val="0"/>
      <w:marTop w:val="0"/>
      <w:marBottom w:val="0"/>
      <w:divBdr>
        <w:top w:val="none" w:sz="0" w:space="0" w:color="auto"/>
        <w:left w:val="none" w:sz="0" w:space="0" w:color="auto"/>
        <w:bottom w:val="none" w:sz="0" w:space="0" w:color="auto"/>
        <w:right w:val="none" w:sz="0" w:space="0" w:color="auto"/>
      </w:divBdr>
    </w:div>
    <w:div w:id="1712075587">
      <w:bodyDiv w:val="1"/>
      <w:marLeft w:val="0"/>
      <w:marRight w:val="0"/>
      <w:marTop w:val="0"/>
      <w:marBottom w:val="0"/>
      <w:divBdr>
        <w:top w:val="none" w:sz="0" w:space="0" w:color="auto"/>
        <w:left w:val="none" w:sz="0" w:space="0" w:color="auto"/>
        <w:bottom w:val="none" w:sz="0" w:space="0" w:color="auto"/>
        <w:right w:val="none" w:sz="0" w:space="0" w:color="auto"/>
      </w:divBdr>
    </w:div>
    <w:div w:id="1713917698">
      <w:bodyDiv w:val="1"/>
      <w:marLeft w:val="0"/>
      <w:marRight w:val="0"/>
      <w:marTop w:val="0"/>
      <w:marBottom w:val="0"/>
      <w:divBdr>
        <w:top w:val="none" w:sz="0" w:space="0" w:color="auto"/>
        <w:left w:val="none" w:sz="0" w:space="0" w:color="auto"/>
        <w:bottom w:val="none" w:sz="0" w:space="0" w:color="auto"/>
        <w:right w:val="none" w:sz="0" w:space="0" w:color="auto"/>
      </w:divBdr>
    </w:div>
    <w:div w:id="1716345225">
      <w:bodyDiv w:val="1"/>
      <w:marLeft w:val="0"/>
      <w:marRight w:val="0"/>
      <w:marTop w:val="0"/>
      <w:marBottom w:val="0"/>
      <w:divBdr>
        <w:top w:val="none" w:sz="0" w:space="0" w:color="auto"/>
        <w:left w:val="none" w:sz="0" w:space="0" w:color="auto"/>
        <w:bottom w:val="none" w:sz="0" w:space="0" w:color="auto"/>
        <w:right w:val="none" w:sz="0" w:space="0" w:color="auto"/>
      </w:divBdr>
    </w:div>
    <w:div w:id="1717661540">
      <w:bodyDiv w:val="1"/>
      <w:marLeft w:val="0"/>
      <w:marRight w:val="0"/>
      <w:marTop w:val="0"/>
      <w:marBottom w:val="0"/>
      <w:divBdr>
        <w:top w:val="none" w:sz="0" w:space="0" w:color="auto"/>
        <w:left w:val="none" w:sz="0" w:space="0" w:color="auto"/>
        <w:bottom w:val="none" w:sz="0" w:space="0" w:color="auto"/>
        <w:right w:val="none" w:sz="0" w:space="0" w:color="auto"/>
      </w:divBdr>
    </w:div>
    <w:div w:id="1717854243">
      <w:bodyDiv w:val="1"/>
      <w:marLeft w:val="0"/>
      <w:marRight w:val="0"/>
      <w:marTop w:val="0"/>
      <w:marBottom w:val="0"/>
      <w:divBdr>
        <w:top w:val="none" w:sz="0" w:space="0" w:color="auto"/>
        <w:left w:val="none" w:sz="0" w:space="0" w:color="auto"/>
        <w:bottom w:val="none" w:sz="0" w:space="0" w:color="auto"/>
        <w:right w:val="none" w:sz="0" w:space="0" w:color="auto"/>
      </w:divBdr>
    </w:div>
    <w:div w:id="1720396624">
      <w:bodyDiv w:val="1"/>
      <w:marLeft w:val="0"/>
      <w:marRight w:val="0"/>
      <w:marTop w:val="0"/>
      <w:marBottom w:val="0"/>
      <w:divBdr>
        <w:top w:val="none" w:sz="0" w:space="0" w:color="auto"/>
        <w:left w:val="none" w:sz="0" w:space="0" w:color="auto"/>
        <w:bottom w:val="none" w:sz="0" w:space="0" w:color="auto"/>
        <w:right w:val="none" w:sz="0" w:space="0" w:color="auto"/>
      </w:divBdr>
    </w:div>
    <w:div w:id="1721855615">
      <w:bodyDiv w:val="1"/>
      <w:marLeft w:val="0"/>
      <w:marRight w:val="0"/>
      <w:marTop w:val="0"/>
      <w:marBottom w:val="0"/>
      <w:divBdr>
        <w:top w:val="none" w:sz="0" w:space="0" w:color="auto"/>
        <w:left w:val="none" w:sz="0" w:space="0" w:color="auto"/>
        <w:bottom w:val="none" w:sz="0" w:space="0" w:color="auto"/>
        <w:right w:val="none" w:sz="0" w:space="0" w:color="auto"/>
      </w:divBdr>
    </w:div>
    <w:div w:id="1722244657">
      <w:bodyDiv w:val="1"/>
      <w:marLeft w:val="0"/>
      <w:marRight w:val="0"/>
      <w:marTop w:val="0"/>
      <w:marBottom w:val="0"/>
      <w:divBdr>
        <w:top w:val="none" w:sz="0" w:space="0" w:color="auto"/>
        <w:left w:val="none" w:sz="0" w:space="0" w:color="auto"/>
        <w:bottom w:val="none" w:sz="0" w:space="0" w:color="auto"/>
        <w:right w:val="none" w:sz="0" w:space="0" w:color="auto"/>
      </w:divBdr>
    </w:div>
    <w:div w:id="1726492661">
      <w:bodyDiv w:val="1"/>
      <w:marLeft w:val="0"/>
      <w:marRight w:val="0"/>
      <w:marTop w:val="0"/>
      <w:marBottom w:val="0"/>
      <w:divBdr>
        <w:top w:val="none" w:sz="0" w:space="0" w:color="auto"/>
        <w:left w:val="none" w:sz="0" w:space="0" w:color="auto"/>
        <w:bottom w:val="none" w:sz="0" w:space="0" w:color="auto"/>
        <w:right w:val="none" w:sz="0" w:space="0" w:color="auto"/>
      </w:divBdr>
    </w:div>
    <w:div w:id="1729722410">
      <w:bodyDiv w:val="1"/>
      <w:marLeft w:val="0"/>
      <w:marRight w:val="0"/>
      <w:marTop w:val="0"/>
      <w:marBottom w:val="0"/>
      <w:divBdr>
        <w:top w:val="none" w:sz="0" w:space="0" w:color="auto"/>
        <w:left w:val="none" w:sz="0" w:space="0" w:color="auto"/>
        <w:bottom w:val="none" w:sz="0" w:space="0" w:color="auto"/>
        <w:right w:val="none" w:sz="0" w:space="0" w:color="auto"/>
      </w:divBdr>
    </w:div>
    <w:div w:id="1730764820">
      <w:bodyDiv w:val="1"/>
      <w:marLeft w:val="0"/>
      <w:marRight w:val="0"/>
      <w:marTop w:val="0"/>
      <w:marBottom w:val="0"/>
      <w:divBdr>
        <w:top w:val="none" w:sz="0" w:space="0" w:color="auto"/>
        <w:left w:val="none" w:sz="0" w:space="0" w:color="auto"/>
        <w:bottom w:val="none" w:sz="0" w:space="0" w:color="auto"/>
        <w:right w:val="none" w:sz="0" w:space="0" w:color="auto"/>
      </w:divBdr>
    </w:div>
    <w:div w:id="1733196235">
      <w:bodyDiv w:val="1"/>
      <w:marLeft w:val="0"/>
      <w:marRight w:val="0"/>
      <w:marTop w:val="0"/>
      <w:marBottom w:val="0"/>
      <w:divBdr>
        <w:top w:val="none" w:sz="0" w:space="0" w:color="auto"/>
        <w:left w:val="none" w:sz="0" w:space="0" w:color="auto"/>
        <w:bottom w:val="none" w:sz="0" w:space="0" w:color="auto"/>
        <w:right w:val="none" w:sz="0" w:space="0" w:color="auto"/>
      </w:divBdr>
    </w:div>
    <w:div w:id="1733845201">
      <w:bodyDiv w:val="1"/>
      <w:marLeft w:val="0"/>
      <w:marRight w:val="0"/>
      <w:marTop w:val="0"/>
      <w:marBottom w:val="0"/>
      <w:divBdr>
        <w:top w:val="none" w:sz="0" w:space="0" w:color="auto"/>
        <w:left w:val="none" w:sz="0" w:space="0" w:color="auto"/>
        <w:bottom w:val="none" w:sz="0" w:space="0" w:color="auto"/>
        <w:right w:val="none" w:sz="0" w:space="0" w:color="auto"/>
      </w:divBdr>
    </w:div>
    <w:div w:id="1733960927">
      <w:bodyDiv w:val="1"/>
      <w:marLeft w:val="0"/>
      <w:marRight w:val="0"/>
      <w:marTop w:val="0"/>
      <w:marBottom w:val="0"/>
      <w:divBdr>
        <w:top w:val="none" w:sz="0" w:space="0" w:color="auto"/>
        <w:left w:val="none" w:sz="0" w:space="0" w:color="auto"/>
        <w:bottom w:val="none" w:sz="0" w:space="0" w:color="auto"/>
        <w:right w:val="none" w:sz="0" w:space="0" w:color="auto"/>
      </w:divBdr>
    </w:div>
    <w:div w:id="1736270235">
      <w:bodyDiv w:val="1"/>
      <w:marLeft w:val="0"/>
      <w:marRight w:val="0"/>
      <w:marTop w:val="0"/>
      <w:marBottom w:val="0"/>
      <w:divBdr>
        <w:top w:val="none" w:sz="0" w:space="0" w:color="auto"/>
        <w:left w:val="none" w:sz="0" w:space="0" w:color="auto"/>
        <w:bottom w:val="none" w:sz="0" w:space="0" w:color="auto"/>
        <w:right w:val="none" w:sz="0" w:space="0" w:color="auto"/>
      </w:divBdr>
    </w:div>
    <w:div w:id="1737120287">
      <w:bodyDiv w:val="1"/>
      <w:marLeft w:val="0"/>
      <w:marRight w:val="0"/>
      <w:marTop w:val="0"/>
      <w:marBottom w:val="0"/>
      <w:divBdr>
        <w:top w:val="none" w:sz="0" w:space="0" w:color="auto"/>
        <w:left w:val="none" w:sz="0" w:space="0" w:color="auto"/>
        <w:bottom w:val="none" w:sz="0" w:space="0" w:color="auto"/>
        <w:right w:val="none" w:sz="0" w:space="0" w:color="auto"/>
      </w:divBdr>
    </w:div>
    <w:div w:id="1740907044">
      <w:bodyDiv w:val="1"/>
      <w:marLeft w:val="0"/>
      <w:marRight w:val="0"/>
      <w:marTop w:val="0"/>
      <w:marBottom w:val="0"/>
      <w:divBdr>
        <w:top w:val="none" w:sz="0" w:space="0" w:color="auto"/>
        <w:left w:val="none" w:sz="0" w:space="0" w:color="auto"/>
        <w:bottom w:val="none" w:sz="0" w:space="0" w:color="auto"/>
        <w:right w:val="none" w:sz="0" w:space="0" w:color="auto"/>
      </w:divBdr>
    </w:div>
    <w:div w:id="1741635153">
      <w:bodyDiv w:val="1"/>
      <w:marLeft w:val="0"/>
      <w:marRight w:val="0"/>
      <w:marTop w:val="0"/>
      <w:marBottom w:val="0"/>
      <w:divBdr>
        <w:top w:val="none" w:sz="0" w:space="0" w:color="auto"/>
        <w:left w:val="none" w:sz="0" w:space="0" w:color="auto"/>
        <w:bottom w:val="none" w:sz="0" w:space="0" w:color="auto"/>
        <w:right w:val="none" w:sz="0" w:space="0" w:color="auto"/>
      </w:divBdr>
    </w:div>
    <w:div w:id="1742408479">
      <w:bodyDiv w:val="1"/>
      <w:marLeft w:val="0"/>
      <w:marRight w:val="0"/>
      <w:marTop w:val="0"/>
      <w:marBottom w:val="0"/>
      <w:divBdr>
        <w:top w:val="none" w:sz="0" w:space="0" w:color="auto"/>
        <w:left w:val="none" w:sz="0" w:space="0" w:color="auto"/>
        <w:bottom w:val="none" w:sz="0" w:space="0" w:color="auto"/>
        <w:right w:val="none" w:sz="0" w:space="0" w:color="auto"/>
      </w:divBdr>
    </w:div>
    <w:div w:id="1743138976">
      <w:bodyDiv w:val="1"/>
      <w:marLeft w:val="0"/>
      <w:marRight w:val="0"/>
      <w:marTop w:val="0"/>
      <w:marBottom w:val="0"/>
      <w:divBdr>
        <w:top w:val="none" w:sz="0" w:space="0" w:color="auto"/>
        <w:left w:val="none" w:sz="0" w:space="0" w:color="auto"/>
        <w:bottom w:val="none" w:sz="0" w:space="0" w:color="auto"/>
        <w:right w:val="none" w:sz="0" w:space="0" w:color="auto"/>
      </w:divBdr>
    </w:div>
    <w:div w:id="1744790703">
      <w:bodyDiv w:val="1"/>
      <w:marLeft w:val="0"/>
      <w:marRight w:val="0"/>
      <w:marTop w:val="0"/>
      <w:marBottom w:val="0"/>
      <w:divBdr>
        <w:top w:val="none" w:sz="0" w:space="0" w:color="auto"/>
        <w:left w:val="none" w:sz="0" w:space="0" w:color="auto"/>
        <w:bottom w:val="none" w:sz="0" w:space="0" w:color="auto"/>
        <w:right w:val="none" w:sz="0" w:space="0" w:color="auto"/>
      </w:divBdr>
    </w:div>
    <w:div w:id="1745099876">
      <w:bodyDiv w:val="1"/>
      <w:marLeft w:val="0"/>
      <w:marRight w:val="0"/>
      <w:marTop w:val="0"/>
      <w:marBottom w:val="0"/>
      <w:divBdr>
        <w:top w:val="none" w:sz="0" w:space="0" w:color="auto"/>
        <w:left w:val="none" w:sz="0" w:space="0" w:color="auto"/>
        <w:bottom w:val="none" w:sz="0" w:space="0" w:color="auto"/>
        <w:right w:val="none" w:sz="0" w:space="0" w:color="auto"/>
      </w:divBdr>
    </w:div>
    <w:div w:id="1746143699">
      <w:bodyDiv w:val="1"/>
      <w:marLeft w:val="0"/>
      <w:marRight w:val="0"/>
      <w:marTop w:val="0"/>
      <w:marBottom w:val="0"/>
      <w:divBdr>
        <w:top w:val="none" w:sz="0" w:space="0" w:color="auto"/>
        <w:left w:val="none" w:sz="0" w:space="0" w:color="auto"/>
        <w:bottom w:val="none" w:sz="0" w:space="0" w:color="auto"/>
        <w:right w:val="none" w:sz="0" w:space="0" w:color="auto"/>
      </w:divBdr>
    </w:div>
    <w:div w:id="1748839195">
      <w:bodyDiv w:val="1"/>
      <w:marLeft w:val="0"/>
      <w:marRight w:val="0"/>
      <w:marTop w:val="0"/>
      <w:marBottom w:val="0"/>
      <w:divBdr>
        <w:top w:val="none" w:sz="0" w:space="0" w:color="auto"/>
        <w:left w:val="none" w:sz="0" w:space="0" w:color="auto"/>
        <w:bottom w:val="none" w:sz="0" w:space="0" w:color="auto"/>
        <w:right w:val="none" w:sz="0" w:space="0" w:color="auto"/>
      </w:divBdr>
    </w:div>
    <w:div w:id="1750997402">
      <w:bodyDiv w:val="1"/>
      <w:marLeft w:val="0"/>
      <w:marRight w:val="0"/>
      <w:marTop w:val="0"/>
      <w:marBottom w:val="0"/>
      <w:divBdr>
        <w:top w:val="none" w:sz="0" w:space="0" w:color="auto"/>
        <w:left w:val="none" w:sz="0" w:space="0" w:color="auto"/>
        <w:bottom w:val="none" w:sz="0" w:space="0" w:color="auto"/>
        <w:right w:val="none" w:sz="0" w:space="0" w:color="auto"/>
      </w:divBdr>
    </w:div>
    <w:div w:id="1757745316">
      <w:bodyDiv w:val="1"/>
      <w:marLeft w:val="0"/>
      <w:marRight w:val="0"/>
      <w:marTop w:val="0"/>
      <w:marBottom w:val="0"/>
      <w:divBdr>
        <w:top w:val="none" w:sz="0" w:space="0" w:color="auto"/>
        <w:left w:val="none" w:sz="0" w:space="0" w:color="auto"/>
        <w:bottom w:val="none" w:sz="0" w:space="0" w:color="auto"/>
        <w:right w:val="none" w:sz="0" w:space="0" w:color="auto"/>
      </w:divBdr>
    </w:div>
    <w:div w:id="1758406857">
      <w:bodyDiv w:val="1"/>
      <w:marLeft w:val="0"/>
      <w:marRight w:val="0"/>
      <w:marTop w:val="0"/>
      <w:marBottom w:val="0"/>
      <w:divBdr>
        <w:top w:val="none" w:sz="0" w:space="0" w:color="auto"/>
        <w:left w:val="none" w:sz="0" w:space="0" w:color="auto"/>
        <w:bottom w:val="none" w:sz="0" w:space="0" w:color="auto"/>
        <w:right w:val="none" w:sz="0" w:space="0" w:color="auto"/>
      </w:divBdr>
    </w:div>
    <w:div w:id="1758676394">
      <w:bodyDiv w:val="1"/>
      <w:marLeft w:val="0"/>
      <w:marRight w:val="0"/>
      <w:marTop w:val="0"/>
      <w:marBottom w:val="0"/>
      <w:divBdr>
        <w:top w:val="none" w:sz="0" w:space="0" w:color="auto"/>
        <w:left w:val="none" w:sz="0" w:space="0" w:color="auto"/>
        <w:bottom w:val="none" w:sz="0" w:space="0" w:color="auto"/>
        <w:right w:val="none" w:sz="0" w:space="0" w:color="auto"/>
      </w:divBdr>
    </w:div>
    <w:div w:id="1759666472">
      <w:bodyDiv w:val="1"/>
      <w:marLeft w:val="0"/>
      <w:marRight w:val="0"/>
      <w:marTop w:val="0"/>
      <w:marBottom w:val="0"/>
      <w:divBdr>
        <w:top w:val="none" w:sz="0" w:space="0" w:color="auto"/>
        <w:left w:val="none" w:sz="0" w:space="0" w:color="auto"/>
        <w:bottom w:val="none" w:sz="0" w:space="0" w:color="auto"/>
        <w:right w:val="none" w:sz="0" w:space="0" w:color="auto"/>
      </w:divBdr>
    </w:div>
    <w:div w:id="1761607770">
      <w:bodyDiv w:val="1"/>
      <w:marLeft w:val="0"/>
      <w:marRight w:val="0"/>
      <w:marTop w:val="0"/>
      <w:marBottom w:val="0"/>
      <w:divBdr>
        <w:top w:val="none" w:sz="0" w:space="0" w:color="auto"/>
        <w:left w:val="none" w:sz="0" w:space="0" w:color="auto"/>
        <w:bottom w:val="none" w:sz="0" w:space="0" w:color="auto"/>
        <w:right w:val="none" w:sz="0" w:space="0" w:color="auto"/>
      </w:divBdr>
    </w:div>
    <w:div w:id="1762095237">
      <w:bodyDiv w:val="1"/>
      <w:marLeft w:val="0"/>
      <w:marRight w:val="0"/>
      <w:marTop w:val="0"/>
      <w:marBottom w:val="0"/>
      <w:divBdr>
        <w:top w:val="none" w:sz="0" w:space="0" w:color="auto"/>
        <w:left w:val="none" w:sz="0" w:space="0" w:color="auto"/>
        <w:bottom w:val="none" w:sz="0" w:space="0" w:color="auto"/>
        <w:right w:val="none" w:sz="0" w:space="0" w:color="auto"/>
      </w:divBdr>
    </w:div>
    <w:div w:id="1762331925">
      <w:bodyDiv w:val="1"/>
      <w:marLeft w:val="0"/>
      <w:marRight w:val="0"/>
      <w:marTop w:val="0"/>
      <w:marBottom w:val="0"/>
      <w:divBdr>
        <w:top w:val="none" w:sz="0" w:space="0" w:color="auto"/>
        <w:left w:val="none" w:sz="0" w:space="0" w:color="auto"/>
        <w:bottom w:val="none" w:sz="0" w:space="0" w:color="auto"/>
        <w:right w:val="none" w:sz="0" w:space="0" w:color="auto"/>
      </w:divBdr>
    </w:div>
    <w:div w:id="1764492530">
      <w:bodyDiv w:val="1"/>
      <w:marLeft w:val="0"/>
      <w:marRight w:val="0"/>
      <w:marTop w:val="0"/>
      <w:marBottom w:val="0"/>
      <w:divBdr>
        <w:top w:val="none" w:sz="0" w:space="0" w:color="auto"/>
        <w:left w:val="none" w:sz="0" w:space="0" w:color="auto"/>
        <w:bottom w:val="none" w:sz="0" w:space="0" w:color="auto"/>
        <w:right w:val="none" w:sz="0" w:space="0" w:color="auto"/>
      </w:divBdr>
    </w:div>
    <w:div w:id="1764644546">
      <w:bodyDiv w:val="1"/>
      <w:marLeft w:val="0"/>
      <w:marRight w:val="0"/>
      <w:marTop w:val="0"/>
      <w:marBottom w:val="0"/>
      <w:divBdr>
        <w:top w:val="none" w:sz="0" w:space="0" w:color="auto"/>
        <w:left w:val="none" w:sz="0" w:space="0" w:color="auto"/>
        <w:bottom w:val="none" w:sz="0" w:space="0" w:color="auto"/>
        <w:right w:val="none" w:sz="0" w:space="0" w:color="auto"/>
      </w:divBdr>
    </w:div>
    <w:div w:id="1764767204">
      <w:bodyDiv w:val="1"/>
      <w:marLeft w:val="0"/>
      <w:marRight w:val="0"/>
      <w:marTop w:val="0"/>
      <w:marBottom w:val="0"/>
      <w:divBdr>
        <w:top w:val="none" w:sz="0" w:space="0" w:color="auto"/>
        <w:left w:val="none" w:sz="0" w:space="0" w:color="auto"/>
        <w:bottom w:val="none" w:sz="0" w:space="0" w:color="auto"/>
        <w:right w:val="none" w:sz="0" w:space="0" w:color="auto"/>
      </w:divBdr>
    </w:div>
    <w:div w:id="1765373802">
      <w:bodyDiv w:val="1"/>
      <w:marLeft w:val="0"/>
      <w:marRight w:val="0"/>
      <w:marTop w:val="0"/>
      <w:marBottom w:val="0"/>
      <w:divBdr>
        <w:top w:val="none" w:sz="0" w:space="0" w:color="auto"/>
        <w:left w:val="none" w:sz="0" w:space="0" w:color="auto"/>
        <w:bottom w:val="none" w:sz="0" w:space="0" w:color="auto"/>
        <w:right w:val="none" w:sz="0" w:space="0" w:color="auto"/>
      </w:divBdr>
    </w:div>
    <w:div w:id="1767573575">
      <w:bodyDiv w:val="1"/>
      <w:marLeft w:val="0"/>
      <w:marRight w:val="0"/>
      <w:marTop w:val="0"/>
      <w:marBottom w:val="0"/>
      <w:divBdr>
        <w:top w:val="none" w:sz="0" w:space="0" w:color="auto"/>
        <w:left w:val="none" w:sz="0" w:space="0" w:color="auto"/>
        <w:bottom w:val="none" w:sz="0" w:space="0" w:color="auto"/>
        <w:right w:val="none" w:sz="0" w:space="0" w:color="auto"/>
      </w:divBdr>
    </w:div>
    <w:div w:id="1768233074">
      <w:bodyDiv w:val="1"/>
      <w:marLeft w:val="0"/>
      <w:marRight w:val="0"/>
      <w:marTop w:val="0"/>
      <w:marBottom w:val="0"/>
      <w:divBdr>
        <w:top w:val="none" w:sz="0" w:space="0" w:color="auto"/>
        <w:left w:val="none" w:sz="0" w:space="0" w:color="auto"/>
        <w:bottom w:val="none" w:sz="0" w:space="0" w:color="auto"/>
        <w:right w:val="none" w:sz="0" w:space="0" w:color="auto"/>
      </w:divBdr>
    </w:div>
    <w:div w:id="1770274938">
      <w:bodyDiv w:val="1"/>
      <w:marLeft w:val="0"/>
      <w:marRight w:val="0"/>
      <w:marTop w:val="0"/>
      <w:marBottom w:val="0"/>
      <w:divBdr>
        <w:top w:val="none" w:sz="0" w:space="0" w:color="auto"/>
        <w:left w:val="none" w:sz="0" w:space="0" w:color="auto"/>
        <w:bottom w:val="none" w:sz="0" w:space="0" w:color="auto"/>
        <w:right w:val="none" w:sz="0" w:space="0" w:color="auto"/>
      </w:divBdr>
    </w:div>
    <w:div w:id="1782382938">
      <w:bodyDiv w:val="1"/>
      <w:marLeft w:val="0"/>
      <w:marRight w:val="0"/>
      <w:marTop w:val="0"/>
      <w:marBottom w:val="0"/>
      <w:divBdr>
        <w:top w:val="none" w:sz="0" w:space="0" w:color="auto"/>
        <w:left w:val="none" w:sz="0" w:space="0" w:color="auto"/>
        <w:bottom w:val="none" w:sz="0" w:space="0" w:color="auto"/>
        <w:right w:val="none" w:sz="0" w:space="0" w:color="auto"/>
      </w:divBdr>
    </w:div>
    <w:div w:id="1789080072">
      <w:bodyDiv w:val="1"/>
      <w:marLeft w:val="0"/>
      <w:marRight w:val="0"/>
      <w:marTop w:val="0"/>
      <w:marBottom w:val="0"/>
      <w:divBdr>
        <w:top w:val="none" w:sz="0" w:space="0" w:color="auto"/>
        <w:left w:val="none" w:sz="0" w:space="0" w:color="auto"/>
        <w:bottom w:val="none" w:sz="0" w:space="0" w:color="auto"/>
        <w:right w:val="none" w:sz="0" w:space="0" w:color="auto"/>
      </w:divBdr>
    </w:div>
    <w:div w:id="1789083288">
      <w:bodyDiv w:val="1"/>
      <w:marLeft w:val="0"/>
      <w:marRight w:val="0"/>
      <w:marTop w:val="0"/>
      <w:marBottom w:val="0"/>
      <w:divBdr>
        <w:top w:val="none" w:sz="0" w:space="0" w:color="auto"/>
        <w:left w:val="none" w:sz="0" w:space="0" w:color="auto"/>
        <w:bottom w:val="none" w:sz="0" w:space="0" w:color="auto"/>
        <w:right w:val="none" w:sz="0" w:space="0" w:color="auto"/>
      </w:divBdr>
    </w:div>
    <w:div w:id="1789423800">
      <w:bodyDiv w:val="1"/>
      <w:marLeft w:val="0"/>
      <w:marRight w:val="0"/>
      <w:marTop w:val="0"/>
      <w:marBottom w:val="0"/>
      <w:divBdr>
        <w:top w:val="none" w:sz="0" w:space="0" w:color="auto"/>
        <w:left w:val="none" w:sz="0" w:space="0" w:color="auto"/>
        <w:bottom w:val="none" w:sz="0" w:space="0" w:color="auto"/>
        <w:right w:val="none" w:sz="0" w:space="0" w:color="auto"/>
      </w:divBdr>
    </w:div>
    <w:div w:id="1792744369">
      <w:bodyDiv w:val="1"/>
      <w:marLeft w:val="0"/>
      <w:marRight w:val="0"/>
      <w:marTop w:val="0"/>
      <w:marBottom w:val="0"/>
      <w:divBdr>
        <w:top w:val="none" w:sz="0" w:space="0" w:color="auto"/>
        <w:left w:val="none" w:sz="0" w:space="0" w:color="auto"/>
        <w:bottom w:val="none" w:sz="0" w:space="0" w:color="auto"/>
        <w:right w:val="none" w:sz="0" w:space="0" w:color="auto"/>
      </w:divBdr>
    </w:div>
    <w:div w:id="1793088355">
      <w:bodyDiv w:val="1"/>
      <w:marLeft w:val="0"/>
      <w:marRight w:val="0"/>
      <w:marTop w:val="0"/>
      <w:marBottom w:val="0"/>
      <w:divBdr>
        <w:top w:val="none" w:sz="0" w:space="0" w:color="auto"/>
        <w:left w:val="none" w:sz="0" w:space="0" w:color="auto"/>
        <w:bottom w:val="none" w:sz="0" w:space="0" w:color="auto"/>
        <w:right w:val="none" w:sz="0" w:space="0" w:color="auto"/>
      </w:divBdr>
    </w:div>
    <w:div w:id="1793556403">
      <w:bodyDiv w:val="1"/>
      <w:marLeft w:val="0"/>
      <w:marRight w:val="0"/>
      <w:marTop w:val="0"/>
      <w:marBottom w:val="0"/>
      <w:divBdr>
        <w:top w:val="none" w:sz="0" w:space="0" w:color="auto"/>
        <w:left w:val="none" w:sz="0" w:space="0" w:color="auto"/>
        <w:bottom w:val="none" w:sz="0" w:space="0" w:color="auto"/>
        <w:right w:val="none" w:sz="0" w:space="0" w:color="auto"/>
      </w:divBdr>
    </w:div>
    <w:div w:id="1794060275">
      <w:bodyDiv w:val="1"/>
      <w:marLeft w:val="0"/>
      <w:marRight w:val="0"/>
      <w:marTop w:val="0"/>
      <w:marBottom w:val="0"/>
      <w:divBdr>
        <w:top w:val="none" w:sz="0" w:space="0" w:color="auto"/>
        <w:left w:val="none" w:sz="0" w:space="0" w:color="auto"/>
        <w:bottom w:val="none" w:sz="0" w:space="0" w:color="auto"/>
        <w:right w:val="none" w:sz="0" w:space="0" w:color="auto"/>
      </w:divBdr>
    </w:div>
    <w:div w:id="1795250527">
      <w:bodyDiv w:val="1"/>
      <w:marLeft w:val="0"/>
      <w:marRight w:val="0"/>
      <w:marTop w:val="0"/>
      <w:marBottom w:val="0"/>
      <w:divBdr>
        <w:top w:val="none" w:sz="0" w:space="0" w:color="auto"/>
        <w:left w:val="none" w:sz="0" w:space="0" w:color="auto"/>
        <w:bottom w:val="none" w:sz="0" w:space="0" w:color="auto"/>
        <w:right w:val="none" w:sz="0" w:space="0" w:color="auto"/>
      </w:divBdr>
    </w:div>
    <w:div w:id="1796093740">
      <w:bodyDiv w:val="1"/>
      <w:marLeft w:val="0"/>
      <w:marRight w:val="0"/>
      <w:marTop w:val="0"/>
      <w:marBottom w:val="0"/>
      <w:divBdr>
        <w:top w:val="none" w:sz="0" w:space="0" w:color="auto"/>
        <w:left w:val="none" w:sz="0" w:space="0" w:color="auto"/>
        <w:bottom w:val="none" w:sz="0" w:space="0" w:color="auto"/>
        <w:right w:val="none" w:sz="0" w:space="0" w:color="auto"/>
      </w:divBdr>
    </w:div>
    <w:div w:id="1796489102">
      <w:bodyDiv w:val="1"/>
      <w:marLeft w:val="0"/>
      <w:marRight w:val="0"/>
      <w:marTop w:val="0"/>
      <w:marBottom w:val="0"/>
      <w:divBdr>
        <w:top w:val="none" w:sz="0" w:space="0" w:color="auto"/>
        <w:left w:val="none" w:sz="0" w:space="0" w:color="auto"/>
        <w:bottom w:val="none" w:sz="0" w:space="0" w:color="auto"/>
        <w:right w:val="none" w:sz="0" w:space="0" w:color="auto"/>
      </w:divBdr>
    </w:div>
    <w:div w:id="1797333656">
      <w:bodyDiv w:val="1"/>
      <w:marLeft w:val="0"/>
      <w:marRight w:val="0"/>
      <w:marTop w:val="0"/>
      <w:marBottom w:val="0"/>
      <w:divBdr>
        <w:top w:val="none" w:sz="0" w:space="0" w:color="auto"/>
        <w:left w:val="none" w:sz="0" w:space="0" w:color="auto"/>
        <w:bottom w:val="none" w:sz="0" w:space="0" w:color="auto"/>
        <w:right w:val="none" w:sz="0" w:space="0" w:color="auto"/>
      </w:divBdr>
    </w:div>
    <w:div w:id="1803884081">
      <w:bodyDiv w:val="1"/>
      <w:marLeft w:val="0"/>
      <w:marRight w:val="0"/>
      <w:marTop w:val="0"/>
      <w:marBottom w:val="0"/>
      <w:divBdr>
        <w:top w:val="none" w:sz="0" w:space="0" w:color="auto"/>
        <w:left w:val="none" w:sz="0" w:space="0" w:color="auto"/>
        <w:bottom w:val="none" w:sz="0" w:space="0" w:color="auto"/>
        <w:right w:val="none" w:sz="0" w:space="0" w:color="auto"/>
      </w:divBdr>
    </w:div>
    <w:div w:id="1806123712">
      <w:bodyDiv w:val="1"/>
      <w:marLeft w:val="0"/>
      <w:marRight w:val="0"/>
      <w:marTop w:val="0"/>
      <w:marBottom w:val="0"/>
      <w:divBdr>
        <w:top w:val="none" w:sz="0" w:space="0" w:color="auto"/>
        <w:left w:val="none" w:sz="0" w:space="0" w:color="auto"/>
        <w:bottom w:val="none" w:sz="0" w:space="0" w:color="auto"/>
        <w:right w:val="none" w:sz="0" w:space="0" w:color="auto"/>
      </w:divBdr>
    </w:div>
    <w:div w:id="1813207504">
      <w:bodyDiv w:val="1"/>
      <w:marLeft w:val="0"/>
      <w:marRight w:val="0"/>
      <w:marTop w:val="0"/>
      <w:marBottom w:val="0"/>
      <w:divBdr>
        <w:top w:val="none" w:sz="0" w:space="0" w:color="auto"/>
        <w:left w:val="none" w:sz="0" w:space="0" w:color="auto"/>
        <w:bottom w:val="none" w:sz="0" w:space="0" w:color="auto"/>
        <w:right w:val="none" w:sz="0" w:space="0" w:color="auto"/>
      </w:divBdr>
    </w:div>
    <w:div w:id="1815488896">
      <w:bodyDiv w:val="1"/>
      <w:marLeft w:val="0"/>
      <w:marRight w:val="0"/>
      <w:marTop w:val="0"/>
      <w:marBottom w:val="0"/>
      <w:divBdr>
        <w:top w:val="none" w:sz="0" w:space="0" w:color="auto"/>
        <w:left w:val="none" w:sz="0" w:space="0" w:color="auto"/>
        <w:bottom w:val="none" w:sz="0" w:space="0" w:color="auto"/>
        <w:right w:val="none" w:sz="0" w:space="0" w:color="auto"/>
      </w:divBdr>
    </w:div>
    <w:div w:id="1820920623">
      <w:bodyDiv w:val="1"/>
      <w:marLeft w:val="0"/>
      <w:marRight w:val="0"/>
      <w:marTop w:val="0"/>
      <w:marBottom w:val="0"/>
      <w:divBdr>
        <w:top w:val="none" w:sz="0" w:space="0" w:color="auto"/>
        <w:left w:val="none" w:sz="0" w:space="0" w:color="auto"/>
        <w:bottom w:val="none" w:sz="0" w:space="0" w:color="auto"/>
        <w:right w:val="none" w:sz="0" w:space="0" w:color="auto"/>
      </w:divBdr>
    </w:div>
    <w:div w:id="1826359997">
      <w:bodyDiv w:val="1"/>
      <w:marLeft w:val="0"/>
      <w:marRight w:val="0"/>
      <w:marTop w:val="0"/>
      <w:marBottom w:val="0"/>
      <w:divBdr>
        <w:top w:val="none" w:sz="0" w:space="0" w:color="auto"/>
        <w:left w:val="none" w:sz="0" w:space="0" w:color="auto"/>
        <w:bottom w:val="none" w:sz="0" w:space="0" w:color="auto"/>
        <w:right w:val="none" w:sz="0" w:space="0" w:color="auto"/>
      </w:divBdr>
    </w:div>
    <w:div w:id="1826891750">
      <w:bodyDiv w:val="1"/>
      <w:marLeft w:val="0"/>
      <w:marRight w:val="0"/>
      <w:marTop w:val="0"/>
      <w:marBottom w:val="0"/>
      <w:divBdr>
        <w:top w:val="none" w:sz="0" w:space="0" w:color="auto"/>
        <w:left w:val="none" w:sz="0" w:space="0" w:color="auto"/>
        <w:bottom w:val="none" w:sz="0" w:space="0" w:color="auto"/>
        <w:right w:val="none" w:sz="0" w:space="0" w:color="auto"/>
      </w:divBdr>
    </w:div>
    <w:div w:id="1829518995">
      <w:bodyDiv w:val="1"/>
      <w:marLeft w:val="0"/>
      <w:marRight w:val="0"/>
      <w:marTop w:val="0"/>
      <w:marBottom w:val="0"/>
      <w:divBdr>
        <w:top w:val="none" w:sz="0" w:space="0" w:color="auto"/>
        <w:left w:val="none" w:sz="0" w:space="0" w:color="auto"/>
        <w:bottom w:val="none" w:sz="0" w:space="0" w:color="auto"/>
        <w:right w:val="none" w:sz="0" w:space="0" w:color="auto"/>
      </w:divBdr>
    </w:div>
    <w:div w:id="1836453092">
      <w:bodyDiv w:val="1"/>
      <w:marLeft w:val="0"/>
      <w:marRight w:val="0"/>
      <w:marTop w:val="0"/>
      <w:marBottom w:val="0"/>
      <w:divBdr>
        <w:top w:val="none" w:sz="0" w:space="0" w:color="auto"/>
        <w:left w:val="none" w:sz="0" w:space="0" w:color="auto"/>
        <w:bottom w:val="none" w:sz="0" w:space="0" w:color="auto"/>
        <w:right w:val="none" w:sz="0" w:space="0" w:color="auto"/>
      </w:divBdr>
    </w:div>
    <w:div w:id="1837836717">
      <w:bodyDiv w:val="1"/>
      <w:marLeft w:val="0"/>
      <w:marRight w:val="0"/>
      <w:marTop w:val="0"/>
      <w:marBottom w:val="0"/>
      <w:divBdr>
        <w:top w:val="none" w:sz="0" w:space="0" w:color="auto"/>
        <w:left w:val="none" w:sz="0" w:space="0" w:color="auto"/>
        <w:bottom w:val="none" w:sz="0" w:space="0" w:color="auto"/>
        <w:right w:val="none" w:sz="0" w:space="0" w:color="auto"/>
      </w:divBdr>
    </w:div>
    <w:div w:id="1840268011">
      <w:bodyDiv w:val="1"/>
      <w:marLeft w:val="0"/>
      <w:marRight w:val="0"/>
      <w:marTop w:val="0"/>
      <w:marBottom w:val="0"/>
      <w:divBdr>
        <w:top w:val="none" w:sz="0" w:space="0" w:color="auto"/>
        <w:left w:val="none" w:sz="0" w:space="0" w:color="auto"/>
        <w:bottom w:val="none" w:sz="0" w:space="0" w:color="auto"/>
        <w:right w:val="none" w:sz="0" w:space="0" w:color="auto"/>
      </w:divBdr>
    </w:div>
    <w:div w:id="1840345360">
      <w:bodyDiv w:val="1"/>
      <w:marLeft w:val="0"/>
      <w:marRight w:val="0"/>
      <w:marTop w:val="0"/>
      <w:marBottom w:val="0"/>
      <w:divBdr>
        <w:top w:val="none" w:sz="0" w:space="0" w:color="auto"/>
        <w:left w:val="none" w:sz="0" w:space="0" w:color="auto"/>
        <w:bottom w:val="none" w:sz="0" w:space="0" w:color="auto"/>
        <w:right w:val="none" w:sz="0" w:space="0" w:color="auto"/>
      </w:divBdr>
    </w:div>
    <w:div w:id="1840776810">
      <w:bodyDiv w:val="1"/>
      <w:marLeft w:val="0"/>
      <w:marRight w:val="0"/>
      <w:marTop w:val="0"/>
      <w:marBottom w:val="0"/>
      <w:divBdr>
        <w:top w:val="none" w:sz="0" w:space="0" w:color="auto"/>
        <w:left w:val="none" w:sz="0" w:space="0" w:color="auto"/>
        <w:bottom w:val="none" w:sz="0" w:space="0" w:color="auto"/>
        <w:right w:val="none" w:sz="0" w:space="0" w:color="auto"/>
      </w:divBdr>
    </w:div>
    <w:div w:id="1841120570">
      <w:bodyDiv w:val="1"/>
      <w:marLeft w:val="0"/>
      <w:marRight w:val="0"/>
      <w:marTop w:val="0"/>
      <w:marBottom w:val="0"/>
      <w:divBdr>
        <w:top w:val="none" w:sz="0" w:space="0" w:color="auto"/>
        <w:left w:val="none" w:sz="0" w:space="0" w:color="auto"/>
        <w:bottom w:val="none" w:sz="0" w:space="0" w:color="auto"/>
        <w:right w:val="none" w:sz="0" w:space="0" w:color="auto"/>
      </w:divBdr>
    </w:div>
    <w:div w:id="1843660504">
      <w:bodyDiv w:val="1"/>
      <w:marLeft w:val="0"/>
      <w:marRight w:val="0"/>
      <w:marTop w:val="0"/>
      <w:marBottom w:val="0"/>
      <w:divBdr>
        <w:top w:val="none" w:sz="0" w:space="0" w:color="auto"/>
        <w:left w:val="none" w:sz="0" w:space="0" w:color="auto"/>
        <w:bottom w:val="none" w:sz="0" w:space="0" w:color="auto"/>
        <w:right w:val="none" w:sz="0" w:space="0" w:color="auto"/>
      </w:divBdr>
    </w:div>
    <w:div w:id="1848905941">
      <w:bodyDiv w:val="1"/>
      <w:marLeft w:val="0"/>
      <w:marRight w:val="0"/>
      <w:marTop w:val="0"/>
      <w:marBottom w:val="0"/>
      <w:divBdr>
        <w:top w:val="none" w:sz="0" w:space="0" w:color="auto"/>
        <w:left w:val="none" w:sz="0" w:space="0" w:color="auto"/>
        <w:bottom w:val="none" w:sz="0" w:space="0" w:color="auto"/>
        <w:right w:val="none" w:sz="0" w:space="0" w:color="auto"/>
      </w:divBdr>
    </w:div>
    <w:div w:id="1850018428">
      <w:bodyDiv w:val="1"/>
      <w:marLeft w:val="0"/>
      <w:marRight w:val="0"/>
      <w:marTop w:val="0"/>
      <w:marBottom w:val="0"/>
      <w:divBdr>
        <w:top w:val="none" w:sz="0" w:space="0" w:color="auto"/>
        <w:left w:val="none" w:sz="0" w:space="0" w:color="auto"/>
        <w:bottom w:val="none" w:sz="0" w:space="0" w:color="auto"/>
        <w:right w:val="none" w:sz="0" w:space="0" w:color="auto"/>
      </w:divBdr>
    </w:div>
    <w:div w:id="1850371523">
      <w:bodyDiv w:val="1"/>
      <w:marLeft w:val="0"/>
      <w:marRight w:val="0"/>
      <w:marTop w:val="0"/>
      <w:marBottom w:val="0"/>
      <w:divBdr>
        <w:top w:val="none" w:sz="0" w:space="0" w:color="auto"/>
        <w:left w:val="none" w:sz="0" w:space="0" w:color="auto"/>
        <w:bottom w:val="none" w:sz="0" w:space="0" w:color="auto"/>
        <w:right w:val="none" w:sz="0" w:space="0" w:color="auto"/>
      </w:divBdr>
    </w:div>
    <w:div w:id="1850562559">
      <w:bodyDiv w:val="1"/>
      <w:marLeft w:val="0"/>
      <w:marRight w:val="0"/>
      <w:marTop w:val="0"/>
      <w:marBottom w:val="0"/>
      <w:divBdr>
        <w:top w:val="none" w:sz="0" w:space="0" w:color="auto"/>
        <w:left w:val="none" w:sz="0" w:space="0" w:color="auto"/>
        <w:bottom w:val="none" w:sz="0" w:space="0" w:color="auto"/>
        <w:right w:val="none" w:sz="0" w:space="0" w:color="auto"/>
      </w:divBdr>
    </w:div>
    <w:div w:id="1850563355">
      <w:bodyDiv w:val="1"/>
      <w:marLeft w:val="0"/>
      <w:marRight w:val="0"/>
      <w:marTop w:val="0"/>
      <w:marBottom w:val="0"/>
      <w:divBdr>
        <w:top w:val="none" w:sz="0" w:space="0" w:color="auto"/>
        <w:left w:val="none" w:sz="0" w:space="0" w:color="auto"/>
        <w:bottom w:val="none" w:sz="0" w:space="0" w:color="auto"/>
        <w:right w:val="none" w:sz="0" w:space="0" w:color="auto"/>
      </w:divBdr>
    </w:div>
    <w:div w:id="1850675249">
      <w:bodyDiv w:val="1"/>
      <w:marLeft w:val="0"/>
      <w:marRight w:val="0"/>
      <w:marTop w:val="0"/>
      <w:marBottom w:val="0"/>
      <w:divBdr>
        <w:top w:val="none" w:sz="0" w:space="0" w:color="auto"/>
        <w:left w:val="none" w:sz="0" w:space="0" w:color="auto"/>
        <w:bottom w:val="none" w:sz="0" w:space="0" w:color="auto"/>
        <w:right w:val="none" w:sz="0" w:space="0" w:color="auto"/>
      </w:divBdr>
    </w:div>
    <w:div w:id="1853838115">
      <w:bodyDiv w:val="1"/>
      <w:marLeft w:val="0"/>
      <w:marRight w:val="0"/>
      <w:marTop w:val="0"/>
      <w:marBottom w:val="0"/>
      <w:divBdr>
        <w:top w:val="none" w:sz="0" w:space="0" w:color="auto"/>
        <w:left w:val="none" w:sz="0" w:space="0" w:color="auto"/>
        <w:bottom w:val="none" w:sz="0" w:space="0" w:color="auto"/>
        <w:right w:val="none" w:sz="0" w:space="0" w:color="auto"/>
      </w:divBdr>
    </w:div>
    <w:div w:id="1856915412">
      <w:bodyDiv w:val="1"/>
      <w:marLeft w:val="0"/>
      <w:marRight w:val="0"/>
      <w:marTop w:val="0"/>
      <w:marBottom w:val="0"/>
      <w:divBdr>
        <w:top w:val="none" w:sz="0" w:space="0" w:color="auto"/>
        <w:left w:val="none" w:sz="0" w:space="0" w:color="auto"/>
        <w:bottom w:val="none" w:sz="0" w:space="0" w:color="auto"/>
        <w:right w:val="none" w:sz="0" w:space="0" w:color="auto"/>
      </w:divBdr>
    </w:div>
    <w:div w:id="1857041232">
      <w:bodyDiv w:val="1"/>
      <w:marLeft w:val="0"/>
      <w:marRight w:val="0"/>
      <w:marTop w:val="0"/>
      <w:marBottom w:val="0"/>
      <w:divBdr>
        <w:top w:val="none" w:sz="0" w:space="0" w:color="auto"/>
        <w:left w:val="none" w:sz="0" w:space="0" w:color="auto"/>
        <w:bottom w:val="none" w:sz="0" w:space="0" w:color="auto"/>
        <w:right w:val="none" w:sz="0" w:space="0" w:color="auto"/>
      </w:divBdr>
    </w:div>
    <w:div w:id="1858890100">
      <w:bodyDiv w:val="1"/>
      <w:marLeft w:val="0"/>
      <w:marRight w:val="0"/>
      <w:marTop w:val="0"/>
      <w:marBottom w:val="0"/>
      <w:divBdr>
        <w:top w:val="none" w:sz="0" w:space="0" w:color="auto"/>
        <w:left w:val="none" w:sz="0" w:space="0" w:color="auto"/>
        <w:bottom w:val="none" w:sz="0" w:space="0" w:color="auto"/>
        <w:right w:val="none" w:sz="0" w:space="0" w:color="auto"/>
      </w:divBdr>
    </w:div>
    <w:div w:id="1859004221">
      <w:bodyDiv w:val="1"/>
      <w:marLeft w:val="0"/>
      <w:marRight w:val="0"/>
      <w:marTop w:val="0"/>
      <w:marBottom w:val="0"/>
      <w:divBdr>
        <w:top w:val="none" w:sz="0" w:space="0" w:color="auto"/>
        <w:left w:val="none" w:sz="0" w:space="0" w:color="auto"/>
        <w:bottom w:val="none" w:sz="0" w:space="0" w:color="auto"/>
        <w:right w:val="none" w:sz="0" w:space="0" w:color="auto"/>
      </w:divBdr>
    </w:div>
    <w:div w:id="1859923783">
      <w:bodyDiv w:val="1"/>
      <w:marLeft w:val="0"/>
      <w:marRight w:val="0"/>
      <w:marTop w:val="0"/>
      <w:marBottom w:val="0"/>
      <w:divBdr>
        <w:top w:val="none" w:sz="0" w:space="0" w:color="auto"/>
        <w:left w:val="none" w:sz="0" w:space="0" w:color="auto"/>
        <w:bottom w:val="none" w:sz="0" w:space="0" w:color="auto"/>
        <w:right w:val="none" w:sz="0" w:space="0" w:color="auto"/>
      </w:divBdr>
    </w:div>
    <w:div w:id="1860846835">
      <w:bodyDiv w:val="1"/>
      <w:marLeft w:val="0"/>
      <w:marRight w:val="0"/>
      <w:marTop w:val="0"/>
      <w:marBottom w:val="0"/>
      <w:divBdr>
        <w:top w:val="none" w:sz="0" w:space="0" w:color="auto"/>
        <w:left w:val="none" w:sz="0" w:space="0" w:color="auto"/>
        <w:bottom w:val="none" w:sz="0" w:space="0" w:color="auto"/>
        <w:right w:val="none" w:sz="0" w:space="0" w:color="auto"/>
      </w:divBdr>
    </w:div>
    <w:div w:id="1860972092">
      <w:bodyDiv w:val="1"/>
      <w:marLeft w:val="0"/>
      <w:marRight w:val="0"/>
      <w:marTop w:val="0"/>
      <w:marBottom w:val="0"/>
      <w:divBdr>
        <w:top w:val="none" w:sz="0" w:space="0" w:color="auto"/>
        <w:left w:val="none" w:sz="0" w:space="0" w:color="auto"/>
        <w:bottom w:val="none" w:sz="0" w:space="0" w:color="auto"/>
        <w:right w:val="none" w:sz="0" w:space="0" w:color="auto"/>
      </w:divBdr>
    </w:div>
    <w:div w:id="1861385458">
      <w:bodyDiv w:val="1"/>
      <w:marLeft w:val="0"/>
      <w:marRight w:val="0"/>
      <w:marTop w:val="0"/>
      <w:marBottom w:val="0"/>
      <w:divBdr>
        <w:top w:val="none" w:sz="0" w:space="0" w:color="auto"/>
        <w:left w:val="none" w:sz="0" w:space="0" w:color="auto"/>
        <w:bottom w:val="none" w:sz="0" w:space="0" w:color="auto"/>
        <w:right w:val="none" w:sz="0" w:space="0" w:color="auto"/>
      </w:divBdr>
    </w:div>
    <w:div w:id="1864173638">
      <w:bodyDiv w:val="1"/>
      <w:marLeft w:val="0"/>
      <w:marRight w:val="0"/>
      <w:marTop w:val="0"/>
      <w:marBottom w:val="0"/>
      <w:divBdr>
        <w:top w:val="none" w:sz="0" w:space="0" w:color="auto"/>
        <w:left w:val="none" w:sz="0" w:space="0" w:color="auto"/>
        <w:bottom w:val="none" w:sz="0" w:space="0" w:color="auto"/>
        <w:right w:val="none" w:sz="0" w:space="0" w:color="auto"/>
      </w:divBdr>
    </w:div>
    <w:div w:id="1865901117">
      <w:bodyDiv w:val="1"/>
      <w:marLeft w:val="0"/>
      <w:marRight w:val="0"/>
      <w:marTop w:val="0"/>
      <w:marBottom w:val="0"/>
      <w:divBdr>
        <w:top w:val="none" w:sz="0" w:space="0" w:color="auto"/>
        <w:left w:val="none" w:sz="0" w:space="0" w:color="auto"/>
        <w:bottom w:val="none" w:sz="0" w:space="0" w:color="auto"/>
        <w:right w:val="none" w:sz="0" w:space="0" w:color="auto"/>
      </w:divBdr>
    </w:div>
    <w:div w:id="1866945514">
      <w:bodyDiv w:val="1"/>
      <w:marLeft w:val="0"/>
      <w:marRight w:val="0"/>
      <w:marTop w:val="0"/>
      <w:marBottom w:val="0"/>
      <w:divBdr>
        <w:top w:val="none" w:sz="0" w:space="0" w:color="auto"/>
        <w:left w:val="none" w:sz="0" w:space="0" w:color="auto"/>
        <w:bottom w:val="none" w:sz="0" w:space="0" w:color="auto"/>
        <w:right w:val="none" w:sz="0" w:space="0" w:color="auto"/>
      </w:divBdr>
    </w:div>
    <w:div w:id="1867282816">
      <w:bodyDiv w:val="1"/>
      <w:marLeft w:val="0"/>
      <w:marRight w:val="0"/>
      <w:marTop w:val="0"/>
      <w:marBottom w:val="0"/>
      <w:divBdr>
        <w:top w:val="none" w:sz="0" w:space="0" w:color="auto"/>
        <w:left w:val="none" w:sz="0" w:space="0" w:color="auto"/>
        <w:bottom w:val="none" w:sz="0" w:space="0" w:color="auto"/>
        <w:right w:val="none" w:sz="0" w:space="0" w:color="auto"/>
      </w:divBdr>
    </w:div>
    <w:div w:id="1867720145">
      <w:bodyDiv w:val="1"/>
      <w:marLeft w:val="0"/>
      <w:marRight w:val="0"/>
      <w:marTop w:val="0"/>
      <w:marBottom w:val="0"/>
      <w:divBdr>
        <w:top w:val="none" w:sz="0" w:space="0" w:color="auto"/>
        <w:left w:val="none" w:sz="0" w:space="0" w:color="auto"/>
        <w:bottom w:val="none" w:sz="0" w:space="0" w:color="auto"/>
        <w:right w:val="none" w:sz="0" w:space="0" w:color="auto"/>
      </w:divBdr>
    </w:div>
    <w:div w:id="1868712378">
      <w:bodyDiv w:val="1"/>
      <w:marLeft w:val="0"/>
      <w:marRight w:val="0"/>
      <w:marTop w:val="0"/>
      <w:marBottom w:val="0"/>
      <w:divBdr>
        <w:top w:val="none" w:sz="0" w:space="0" w:color="auto"/>
        <w:left w:val="none" w:sz="0" w:space="0" w:color="auto"/>
        <w:bottom w:val="none" w:sz="0" w:space="0" w:color="auto"/>
        <w:right w:val="none" w:sz="0" w:space="0" w:color="auto"/>
      </w:divBdr>
    </w:div>
    <w:div w:id="1869293163">
      <w:bodyDiv w:val="1"/>
      <w:marLeft w:val="0"/>
      <w:marRight w:val="0"/>
      <w:marTop w:val="0"/>
      <w:marBottom w:val="0"/>
      <w:divBdr>
        <w:top w:val="none" w:sz="0" w:space="0" w:color="auto"/>
        <w:left w:val="none" w:sz="0" w:space="0" w:color="auto"/>
        <w:bottom w:val="none" w:sz="0" w:space="0" w:color="auto"/>
        <w:right w:val="none" w:sz="0" w:space="0" w:color="auto"/>
      </w:divBdr>
    </w:div>
    <w:div w:id="1870411926">
      <w:bodyDiv w:val="1"/>
      <w:marLeft w:val="0"/>
      <w:marRight w:val="0"/>
      <w:marTop w:val="0"/>
      <w:marBottom w:val="0"/>
      <w:divBdr>
        <w:top w:val="none" w:sz="0" w:space="0" w:color="auto"/>
        <w:left w:val="none" w:sz="0" w:space="0" w:color="auto"/>
        <w:bottom w:val="none" w:sz="0" w:space="0" w:color="auto"/>
        <w:right w:val="none" w:sz="0" w:space="0" w:color="auto"/>
      </w:divBdr>
    </w:div>
    <w:div w:id="1873495234">
      <w:bodyDiv w:val="1"/>
      <w:marLeft w:val="0"/>
      <w:marRight w:val="0"/>
      <w:marTop w:val="0"/>
      <w:marBottom w:val="0"/>
      <w:divBdr>
        <w:top w:val="none" w:sz="0" w:space="0" w:color="auto"/>
        <w:left w:val="none" w:sz="0" w:space="0" w:color="auto"/>
        <w:bottom w:val="none" w:sz="0" w:space="0" w:color="auto"/>
        <w:right w:val="none" w:sz="0" w:space="0" w:color="auto"/>
      </w:divBdr>
    </w:div>
    <w:div w:id="1874027214">
      <w:bodyDiv w:val="1"/>
      <w:marLeft w:val="0"/>
      <w:marRight w:val="0"/>
      <w:marTop w:val="0"/>
      <w:marBottom w:val="0"/>
      <w:divBdr>
        <w:top w:val="none" w:sz="0" w:space="0" w:color="auto"/>
        <w:left w:val="none" w:sz="0" w:space="0" w:color="auto"/>
        <w:bottom w:val="none" w:sz="0" w:space="0" w:color="auto"/>
        <w:right w:val="none" w:sz="0" w:space="0" w:color="auto"/>
      </w:divBdr>
    </w:div>
    <w:div w:id="1875118900">
      <w:bodyDiv w:val="1"/>
      <w:marLeft w:val="0"/>
      <w:marRight w:val="0"/>
      <w:marTop w:val="0"/>
      <w:marBottom w:val="0"/>
      <w:divBdr>
        <w:top w:val="none" w:sz="0" w:space="0" w:color="auto"/>
        <w:left w:val="none" w:sz="0" w:space="0" w:color="auto"/>
        <w:bottom w:val="none" w:sz="0" w:space="0" w:color="auto"/>
        <w:right w:val="none" w:sz="0" w:space="0" w:color="auto"/>
      </w:divBdr>
    </w:div>
    <w:div w:id="1881890488">
      <w:bodyDiv w:val="1"/>
      <w:marLeft w:val="0"/>
      <w:marRight w:val="0"/>
      <w:marTop w:val="0"/>
      <w:marBottom w:val="0"/>
      <w:divBdr>
        <w:top w:val="none" w:sz="0" w:space="0" w:color="auto"/>
        <w:left w:val="none" w:sz="0" w:space="0" w:color="auto"/>
        <w:bottom w:val="none" w:sz="0" w:space="0" w:color="auto"/>
        <w:right w:val="none" w:sz="0" w:space="0" w:color="auto"/>
      </w:divBdr>
    </w:div>
    <w:div w:id="1884364903">
      <w:bodyDiv w:val="1"/>
      <w:marLeft w:val="0"/>
      <w:marRight w:val="0"/>
      <w:marTop w:val="0"/>
      <w:marBottom w:val="0"/>
      <w:divBdr>
        <w:top w:val="none" w:sz="0" w:space="0" w:color="auto"/>
        <w:left w:val="none" w:sz="0" w:space="0" w:color="auto"/>
        <w:bottom w:val="none" w:sz="0" w:space="0" w:color="auto"/>
        <w:right w:val="none" w:sz="0" w:space="0" w:color="auto"/>
      </w:divBdr>
    </w:div>
    <w:div w:id="1886478291">
      <w:bodyDiv w:val="1"/>
      <w:marLeft w:val="0"/>
      <w:marRight w:val="0"/>
      <w:marTop w:val="0"/>
      <w:marBottom w:val="0"/>
      <w:divBdr>
        <w:top w:val="none" w:sz="0" w:space="0" w:color="auto"/>
        <w:left w:val="none" w:sz="0" w:space="0" w:color="auto"/>
        <w:bottom w:val="none" w:sz="0" w:space="0" w:color="auto"/>
        <w:right w:val="none" w:sz="0" w:space="0" w:color="auto"/>
      </w:divBdr>
    </w:div>
    <w:div w:id="1886985752">
      <w:bodyDiv w:val="1"/>
      <w:marLeft w:val="0"/>
      <w:marRight w:val="0"/>
      <w:marTop w:val="0"/>
      <w:marBottom w:val="0"/>
      <w:divBdr>
        <w:top w:val="none" w:sz="0" w:space="0" w:color="auto"/>
        <w:left w:val="none" w:sz="0" w:space="0" w:color="auto"/>
        <w:bottom w:val="none" w:sz="0" w:space="0" w:color="auto"/>
        <w:right w:val="none" w:sz="0" w:space="0" w:color="auto"/>
      </w:divBdr>
    </w:div>
    <w:div w:id="1887987418">
      <w:bodyDiv w:val="1"/>
      <w:marLeft w:val="0"/>
      <w:marRight w:val="0"/>
      <w:marTop w:val="0"/>
      <w:marBottom w:val="0"/>
      <w:divBdr>
        <w:top w:val="none" w:sz="0" w:space="0" w:color="auto"/>
        <w:left w:val="none" w:sz="0" w:space="0" w:color="auto"/>
        <w:bottom w:val="none" w:sz="0" w:space="0" w:color="auto"/>
        <w:right w:val="none" w:sz="0" w:space="0" w:color="auto"/>
      </w:divBdr>
    </w:div>
    <w:div w:id="1888101749">
      <w:bodyDiv w:val="1"/>
      <w:marLeft w:val="0"/>
      <w:marRight w:val="0"/>
      <w:marTop w:val="0"/>
      <w:marBottom w:val="0"/>
      <w:divBdr>
        <w:top w:val="none" w:sz="0" w:space="0" w:color="auto"/>
        <w:left w:val="none" w:sz="0" w:space="0" w:color="auto"/>
        <w:bottom w:val="none" w:sz="0" w:space="0" w:color="auto"/>
        <w:right w:val="none" w:sz="0" w:space="0" w:color="auto"/>
      </w:divBdr>
    </w:div>
    <w:div w:id="1894776951">
      <w:bodyDiv w:val="1"/>
      <w:marLeft w:val="0"/>
      <w:marRight w:val="0"/>
      <w:marTop w:val="0"/>
      <w:marBottom w:val="0"/>
      <w:divBdr>
        <w:top w:val="none" w:sz="0" w:space="0" w:color="auto"/>
        <w:left w:val="none" w:sz="0" w:space="0" w:color="auto"/>
        <w:bottom w:val="none" w:sz="0" w:space="0" w:color="auto"/>
        <w:right w:val="none" w:sz="0" w:space="0" w:color="auto"/>
      </w:divBdr>
    </w:div>
    <w:div w:id="1898320910">
      <w:bodyDiv w:val="1"/>
      <w:marLeft w:val="0"/>
      <w:marRight w:val="0"/>
      <w:marTop w:val="0"/>
      <w:marBottom w:val="0"/>
      <w:divBdr>
        <w:top w:val="none" w:sz="0" w:space="0" w:color="auto"/>
        <w:left w:val="none" w:sz="0" w:space="0" w:color="auto"/>
        <w:bottom w:val="none" w:sz="0" w:space="0" w:color="auto"/>
        <w:right w:val="none" w:sz="0" w:space="0" w:color="auto"/>
      </w:divBdr>
    </w:div>
    <w:div w:id="1900049671">
      <w:bodyDiv w:val="1"/>
      <w:marLeft w:val="0"/>
      <w:marRight w:val="0"/>
      <w:marTop w:val="0"/>
      <w:marBottom w:val="0"/>
      <w:divBdr>
        <w:top w:val="none" w:sz="0" w:space="0" w:color="auto"/>
        <w:left w:val="none" w:sz="0" w:space="0" w:color="auto"/>
        <w:bottom w:val="none" w:sz="0" w:space="0" w:color="auto"/>
        <w:right w:val="none" w:sz="0" w:space="0" w:color="auto"/>
      </w:divBdr>
    </w:div>
    <w:div w:id="1905555791">
      <w:bodyDiv w:val="1"/>
      <w:marLeft w:val="0"/>
      <w:marRight w:val="0"/>
      <w:marTop w:val="0"/>
      <w:marBottom w:val="0"/>
      <w:divBdr>
        <w:top w:val="none" w:sz="0" w:space="0" w:color="auto"/>
        <w:left w:val="none" w:sz="0" w:space="0" w:color="auto"/>
        <w:bottom w:val="none" w:sz="0" w:space="0" w:color="auto"/>
        <w:right w:val="none" w:sz="0" w:space="0" w:color="auto"/>
      </w:divBdr>
    </w:div>
    <w:div w:id="1910338639">
      <w:bodyDiv w:val="1"/>
      <w:marLeft w:val="0"/>
      <w:marRight w:val="0"/>
      <w:marTop w:val="0"/>
      <w:marBottom w:val="0"/>
      <w:divBdr>
        <w:top w:val="none" w:sz="0" w:space="0" w:color="auto"/>
        <w:left w:val="none" w:sz="0" w:space="0" w:color="auto"/>
        <w:bottom w:val="none" w:sz="0" w:space="0" w:color="auto"/>
        <w:right w:val="none" w:sz="0" w:space="0" w:color="auto"/>
      </w:divBdr>
    </w:div>
    <w:div w:id="1910841091">
      <w:bodyDiv w:val="1"/>
      <w:marLeft w:val="0"/>
      <w:marRight w:val="0"/>
      <w:marTop w:val="0"/>
      <w:marBottom w:val="0"/>
      <w:divBdr>
        <w:top w:val="none" w:sz="0" w:space="0" w:color="auto"/>
        <w:left w:val="none" w:sz="0" w:space="0" w:color="auto"/>
        <w:bottom w:val="none" w:sz="0" w:space="0" w:color="auto"/>
        <w:right w:val="none" w:sz="0" w:space="0" w:color="auto"/>
      </w:divBdr>
    </w:div>
    <w:div w:id="1912037855">
      <w:bodyDiv w:val="1"/>
      <w:marLeft w:val="0"/>
      <w:marRight w:val="0"/>
      <w:marTop w:val="0"/>
      <w:marBottom w:val="0"/>
      <w:divBdr>
        <w:top w:val="none" w:sz="0" w:space="0" w:color="auto"/>
        <w:left w:val="none" w:sz="0" w:space="0" w:color="auto"/>
        <w:bottom w:val="none" w:sz="0" w:space="0" w:color="auto"/>
        <w:right w:val="none" w:sz="0" w:space="0" w:color="auto"/>
      </w:divBdr>
    </w:div>
    <w:div w:id="1914661618">
      <w:bodyDiv w:val="1"/>
      <w:marLeft w:val="0"/>
      <w:marRight w:val="0"/>
      <w:marTop w:val="0"/>
      <w:marBottom w:val="0"/>
      <w:divBdr>
        <w:top w:val="none" w:sz="0" w:space="0" w:color="auto"/>
        <w:left w:val="none" w:sz="0" w:space="0" w:color="auto"/>
        <w:bottom w:val="none" w:sz="0" w:space="0" w:color="auto"/>
        <w:right w:val="none" w:sz="0" w:space="0" w:color="auto"/>
      </w:divBdr>
    </w:div>
    <w:div w:id="1916476724">
      <w:bodyDiv w:val="1"/>
      <w:marLeft w:val="0"/>
      <w:marRight w:val="0"/>
      <w:marTop w:val="0"/>
      <w:marBottom w:val="0"/>
      <w:divBdr>
        <w:top w:val="none" w:sz="0" w:space="0" w:color="auto"/>
        <w:left w:val="none" w:sz="0" w:space="0" w:color="auto"/>
        <w:bottom w:val="none" w:sz="0" w:space="0" w:color="auto"/>
        <w:right w:val="none" w:sz="0" w:space="0" w:color="auto"/>
      </w:divBdr>
    </w:div>
    <w:div w:id="1918705990">
      <w:bodyDiv w:val="1"/>
      <w:marLeft w:val="0"/>
      <w:marRight w:val="0"/>
      <w:marTop w:val="0"/>
      <w:marBottom w:val="0"/>
      <w:divBdr>
        <w:top w:val="none" w:sz="0" w:space="0" w:color="auto"/>
        <w:left w:val="none" w:sz="0" w:space="0" w:color="auto"/>
        <w:bottom w:val="none" w:sz="0" w:space="0" w:color="auto"/>
        <w:right w:val="none" w:sz="0" w:space="0" w:color="auto"/>
      </w:divBdr>
    </w:div>
    <w:div w:id="1920598082">
      <w:bodyDiv w:val="1"/>
      <w:marLeft w:val="0"/>
      <w:marRight w:val="0"/>
      <w:marTop w:val="0"/>
      <w:marBottom w:val="0"/>
      <w:divBdr>
        <w:top w:val="none" w:sz="0" w:space="0" w:color="auto"/>
        <w:left w:val="none" w:sz="0" w:space="0" w:color="auto"/>
        <w:bottom w:val="none" w:sz="0" w:space="0" w:color="auto"/>
        <w:right w:val="none" w:sz="0" w:space="0" w:color="auto"/>
      </w:divBdr>
    </w:div>
    <w:div w:id="1922332276">
      <w:bodyDiv w:val="1"/>
      <w:marLeft w:val="0"/>
      <w:marRight w:val="0"/>
      <w:marTop w:val="0"/>
      <w:marBottom w:val="0"/>
      <w:divBdr>
        <w:top w:val="none" w:sz="0" w:space="0" w:color="auto"/>
        <w:left w:val="none" w:sz="0" w:space="0" w:color="auto"/>
        <w:bottom w:val="none" w:sz="0" w:space="0" w:color="auto"/>
        <w:right w:val="none" w:sz="0" w:space="0" w:color="auto"/>
      </w:divBdr>
    </w:div>
    <w:div w:id="1923370611">
      <w:bodyDiv w:val="1"/>
      <w:marLeft w:val="0"/>
      <w:marRight w:val="0"/>
      <w:marTop w:val="0"/>
      <w:marBottom w:val="0"/>
      <w:divBdr>
        <w:top w:val="none" w:sz="0" w:space="0" w:color="auto"/>
        <w:left w:val="none" w:sz="0" w:space="0" w:color="auto"/>
        <w:bottom w:val="none" w:sz="0" w:space="0" w:color="auto"/>
        <w:right w:val="none" w:sz="0" w:space="0" w:color="auto"/>
      </w:divBdr>
    </w:div>
    <w:div w:id="1927183889">
      <w:bodyDiv w:val="1"/>
      <w:marLeft w:val="0"/>
      <w:marRight w:val="0"/>
      <w:marTop w:val="0"/>
      <w:marBottom w:val="0"/>
      <w:divBdr>
        <w:top w:val="none" w:sz="0" w:space="0" w:color="auto"/>
        <w:left w:val="none" w:sz="0" w:space="0" w:color="auto"/>
        <w:bottom w:val="none" w:sz="0" w:space="0" w:color="auto"/>
        <w:right w:val="none" w:sz="0" w:space="0" w:color="auto"/>
      </w:divBdr>
    </w:div>
    <w:div w:id="1930455825">
      <w:bodyDiv w:val="1"/>
      <w:marLeft w:val="0"/>
      <w:marRight w:val="0"/>
      <w:marTop w:val="0"/>
      <w:marBottom w:val="0"/>
      <w:divBdr>
        <w:top w:val="none" w:sz="0" w:space="0" w:color="auto"/>
        <w:left w:val="none" w:sz="0" w:space="0" w:color="auto"/>
        <w:bottom w:val="none" w:sz="0" w:space="0" w:color="auto"/>
        <w:right w:val="none" w:sz="0" w:space="0" w:color="auto"/>
      </w:divBdr>
    </w:div>
    <w:div w:id="1931153845">
      <w:bodyDiv w:val="1"/>
      <w:marLeft w:val="0"/>
      <w:marRight w:val="0"/>
      <w:marTop w:val="0"/>
      <w:marBottom w:val="0"/>
      <w:divBdr>
        <w:top w:val="none" w:sz="0" w:space="0" w:color="auto"/>
        <w:left w:val="none" w:sz="0" w:space="0" w:color="auto"/>
        <w:bottom w:val="none" w:sz="0" w:space="0" w:color="auto"/>
        <w:right w:val="none" w:sz="0" w:space="0" w:color="auto"/>
      </w:divBdr>
    </w:div>
    <w:div w:id="1932203797">
      <w:bodyDiv w:val="1"/>
      <w:marLeft w:val="0"/>
      <w:marRight w:val="0"/>
      <w:marTop w:val="0"/>
      <w:marBottom w:val="0"/>
      <w:divBdr>
        <w:top w:val="none" w:sz="0" w:space="0" w:color="auto"/>
        <w:left w:val="none" w:sz="0" w:space="0" w:color="auto"/>
        <w:bottom w:val="none" w:sz="0" w:space="0" w:color="auto"/>
        <w:right w:val="none" w:sz="0" w:space="0" w:color="auto"/>
      </w:divBdr>
    </w:div>
    <w:div w:id="1933590201">
      <w:bodyDiv w:val="1"/>
      <w:marLeft w:val="0"/>
      <w:marRight w:val="0"/>
      <w:marTop w:val="0"/>
      <w:marBottom w:val="0"/>
      <w:divBdr>
        <w:top w:val="none" w:sz="0" w:space="0" w:color="auto"/>
        <w:left w:val="none" w:sz="0" w:space="0" w:color="auto"/>
        <w:bottom w:val="none" w:sz="0" w:space="0" w:color="auto"/>
        <w:right w:val="none" w:sz="0" w:space="0" w:color="auto"/>
      </w:divBdr>
    </w:div>
    <w:div w:id="1933662296">
      <w:bodyDiv w:val="1"/>
      <w:marLeft w:val="0"/>
      <w:marRight w:val="0"/>
      <w:marTop w:val="0"/>
      <w:marBottom w:val="0"/>
      <w:divBdr>
        <w:top w:val="none" w:sz="0" w:space="0" w:color="auto"/>
        <w:left w:val="none" w:sz="0" w:space="0" w:color="auto"/>
        <w:bottom w:val="none" w:sz="0" w:space="0" w:color="auto"/>
        <w:right w:val="none" w:sz="0" w:space="0" w:color="auto"/>
      </w:divBdr>
    </w:div>
    <w:div w:id="1935938290">
      <w:bodyDiv w:val="1"/>
      <w:marLeft w:val="0"/>
      <w:marRight w:val="0"/>
      <w:marTop w:val="0"/>
      <w:marBottom w:val="0"/>
      <w:divBdr>
        <w:top w:val="none" w:sz="0" w:space="0" w:color="auto"/>
        <w:left w:val="none" w:sz="0" w:space="0" w:color="auto"/>
        <w:bottom w:val="none" w:sz="0" w:space="0" w:color="auto"/>
        <w:right w:val="none" w:sz="0" w:space="0" w:color="auto"/>
      </w:divBdr>
    </w:div>
    <w:div w:id="1937252065">
      <w:bodyDiv w:val="1"/>
      <w:marLeft w:val="0"/>
      <w:marRight w:val="0"/>
      <w:marTop w:val="0"/>
      <w:marBottom w:val="0"/>
      <w:divBdr>
        <w:top w:val="none" w:sz="0" w:space="0" w:color="auto"/>
        <w:left w:val="none" w:sz="0" w:space="0" w:color="auto"/>
        <w:bottom w:val="none" w:sz="0" w:space="0" w:color="auto"/>
        <w:right w:val="none" w:sz="0" w:space="0" w:color="auto"/>
      </w:divBdr>
    </w:div>
    <w:div w:id="1937977197">
      <w:bodyDiv w:val="1"/>
      <w:marLeft w:val="0"/>
      <w:marRight w:val="0"/>
      <w:marTop w:val="0"/>
      <w:marBottom w:val="0"/>
      <w:divBdr>
        <w:top w:val="none" w:sz="0" w:space="0" w:color="auto"/>
        <w:left w:val="none" w:sz="0" w:space="0" w:color="auto"/>
        <w:bottom w:val="none" w:sz="0" w:space="0" w:color="auto"/>
        <w:right w:val="none" w:sz="0" w:space="0" w:color="auto"/>
      </w:divBdr>
    </w:div>
    <w:div w:id="1941251895">
      <w:bodyDiv w:val="1"/>
      <w:marLeft w:val="0"/>
      <w:marRight w:val="0"/>
      <w:marTop w:val="0"/>
      <w:marBottom w:val="0"/>
      <w:divBdr>
        <w:top w:val="none" w:sz="0" w:space="0" w:color="auto"/>
        <w:left w:val="none" w:sz="0" w:space="0" w:color="auto"/>
        <w:bottom w:val="none" w:sz="0" w:space="0" w:color="auto"/>
        <w:right w:val="none" w:sz="0" w:space="0" w:color="auto"/>
      </w:divBdr>
    </w:div>
    <w:div w:id="1942227032">
      <w:bodyDiv w:val="1"/>
      <w:marLeft w:val="0"/>
      <w:marRight w:val="0"/>
      <w:marTop w:val="0"/>
      <w:marBottom w:val="0"/>
      <w:divBdr>
        <w:top w:val="none" w:sz="0" w:space="0" w:color="auto"/>
        <w:left w:val="none" w:sz="0" w:space="0" w:color="auto"/>
        <w:bottom w:val="none" w:sz="0" w:space="0" w:color="auto"/>
        <w:right w:val="none" w:sz="0" w:space="0" w:color="auto"/>
      </w:divBdr>
    </w:div>
    <w:div w:id="1942762209">
      <w:bodyDiv w:val="1"/>
      <w:marLeft w:val="0"/>
      <w:marRight w:val="0"/>
      <w:marTop w:val="0"/>
      <w:marBottom w:val="0"/>
      <w:divBdr>
        <w:top w:val="none" w:sz="0" w:space="0" w:color="auto"/>
        <w:left w:val="none" w:sz="0" w:space="0" w:color="auto"/>
        <w:bottom w:val="none" w:sz="0" w:space="0" w:color="auto"/>
        <w:right w:val="none" w:sz="0" w:space="0" w:color="auto"/>
      </w:divBdr>
    </w:div>
    <w:div w:id="1942949597">
      <w:bodyDiv w:val="1"/>
      <w:marLeft w:val="0"/>
      <w:marRight w:val="0"/>
      <w:marTop w:val="0"/>
      <w:marBottom w:val="0"/>
      <w:divBdr>
        <w:top w:val="none" w:sz="0" w:space="0" w:color="auto"/>
        <w:left w:val="none" w:sz="0" w:space="0" w:color="auto"/>
        <w:bottom w:val="none" w:sz="0" w:space="0" w:color="auto"/>
        <w:right w:val="none" w:sz="0" w:space="0" w:color="auto"/>
      </w:divBdr>
    </w:div>
    <w:div w:id="1946425682">
      <w:bodyDiv w:val="1"/>
      <w:marLeft w:val="0"/>
      <w:marRight w:val="0"/>
      <w:marTop w:val="0"/>
      <w:marBottom w:val="0"/>
      <w:divBdr>
        <w:top w:val="none" w:sz="0" w:space="0" w:color="auto"/>
        <w:left w:val="none" w:sz="0" w:space="0" w:color="auto"/>
        <w:bottom w:val="none" w:sz="0" w:space="0" w:color="auto"/>
        <w:right w:val="none" w:sz="0" w:space="0" w:color="auto"/>
      </w:divBdr>
    </w:div>
    <w:div w:id="1956447039">
      <w:bodyDiv w:val="1"/>
      <w:marLeft w:val="0"/>
      <w:marRight w:val="0"/>
      <w:marTop w:val="0"/>
      <w:marBottom w:val="0"/>
      <w:divBdr>
        <w:top w:val="none" w:sz="0" w:space="0" w:color="auto"/>
        <w:left w:val="none" w:sz="0" w:space="0" w:color="auto"/>
        <w:bottom w:val="none" w:sz="0" w:space="0" w:color="auto"/>
        <w:right w:val="none" w:sz="0" w:space="0" w:color="auto"/>
      </w:divBdr>
    </w:div>
    <w:div w:id="1957446325">
      <w:bodyDiv w:val="1"/>
      <w:marLeft w:val="0"/>
      <w:marRight w:val="0"/>
      <w:marTop w:val="0"/>
      <w:marBottom w:val="0"/>
      <w:divBdr>
        <w:top w:val="none" w:sz="0" w:space="0" w:color="auto"/>
        <w:left w:val="none" w:sz="0" w:space="0" w:color="auto"/>
        <w:bottom w:val="none" w:sz="0" w:space="0" w:color="auto"/>
        <w:right w:val="none" w:sz="0" w:space="0" w:color="auto"/>
      </w:divBdr>
    </w:div>
    <w:div w:id="1958216643">
      <w:bodyDiv w:val="1"/>
      <w:marLeft w:val="0"/>
      <w:marRight w:val="0"/>
      <w:marTop w:val="0"/>
      <w:marBottom w:val="0"/>
      <w:divBdr>
        <w:top w:val="none" w:sz="0" w:space="0" w:color="auto"/>
        <w:left w:val="none" w:sz="0" w:space="0" w:color="auto"/>
        <w:bottom w:val="none" w:sz="0" w:space="0" w:color="auto"/>
        <w:right w:val="none" w:sz="0" w:space="0" w:color="auto"/>
      </w:divBdr>
    </w:div>
    <w:div w:id="1958217711">
      <w:bodyDiv w:val="1"/>
      <w:marLeft w:val="0"/>
      <w:marRight w:val="0"/>
      <w:marTop w:val="0"/>
      <w:marBottom w:val="0"/>
      <w:divBdr>
        <w:top w:val="none" w:sz="0" w:space="0" w:color="auto"/>
        <w:left w:val="none" w:sz="0" w:space="0" w:color="auto"/>
        <w:bottom w:val="none" w:sz="0" w:space="0" w:color="auto"/>
        <w:right w:val="none" w:sz="0" w:space="0" w:color="auto"/>
      </w:divBdr>
    </w:div>
    <w:div w:id="1958683118">
      <w:bodyDiv w:val="1"/>
      <w:marLeft w:val="0"/>
      <w:marRight w:val="0"/>
      <w:marTop w:val="0"/>
      <w:marBottom w:val="0"/>
      <w:divBdr>
        <w:top w:val="none" w:sz="0" w:space="0" w:color="auto"/>
        <w:left w:val="none" w:sz="0" w:space="0" w:color="auto"/>
        <w:bottom w:val="none" w:sz="0" w:space="0" w:color="auto"/>
        <w:right w:val="none" w:sz="0" w:space="0" w:color="auto"/>
      </w:divBdr>
    </w:div>
    <w:div w:id="1962608602">
      <w:bodyDiv w:val="1"/>
      <w:marLeft w:val="0"/>
      <w:marRight w:val="0"/>
      <w:marTop w:val="0"/>
      <w:marBottom w:val="0"/>
      <w:divBdr>
        <w:top w:val="none" w:sz="0" w:space="0" w:color="auto"/>
        <w:left w:val="none" w:sz="0" w:space="0" w:color="auto"/>
        <w:bottom w:val="none" w:sz="0" w:space="0" w:color="auto"/>
        <w:right w:val="none" w:sz="0" w:space="0" w:color="auto"/>
      </w:divBdr>
    </w:div>
    <w:div w:id="1963339653">
      <w:bodyDiv w:val="1"/>
      <w:marLeft w:val="0"/>
      <w:marRight w:val="0"/>
      <w:marTop w:val="0"/>
      <w:marBottom w:val="0"/>
      <w:divBdr>
        <w:top w:val="none" w:sz="0" w:space="0" w:color="auto"/>
        <w:left w:val="none" w:sz="0" w:space="0" w:color="auto"/>
        <w:bottom w:val="none" w:sz="0" w:space="0" w:color="auto"/>
        <w:right w:val="none" w:sz="0" w:space="0" w:color="auto"/>
      </w:divBdr>
    </w:div>
    <w:div w:id="1965426499">
      <w:bodyDiv w:val="1"/>
      <w:marLeft w:val="0"/>
      <w:marRight w:val="0"/>
      <w:marTop w:val="0"/>
      <w:marBottom w:val="0"/>
      <w:divBdr>
        <w:top w:val="none" w:sz="0" w:space="0" w:color="auto"/>
        <w:left w:val="none" w:sz="0" w:space="0" w:color="auto"/>
        <w:bottom w:val="none" w:sz="0" w:space="0" w:color="auto"/>
        <w:right w:val="none" w:sz="0" w:space="0" w:color="auto"/>
      </w:divBdr>
    </w:div>
    <w:div w:id="1966890443">
      <w:bodyDiv w:val="1"/>
      <w:marLeft w:val="0"/>
      <w:marRight w:val="0"/>
      <w:marTop w:val="0"/>
      <w:marBottom w:val="0"/>
      <w:divBdr>
        <w:top w:val="none" w:sz="0" w:space="0" w:color="auto"/>
        <w:left w:val="none" w:sz="0" w:space="0" w:color="auto"/>
        <w:bottom w:val="none" w:sz="0" w:space="0" w:color="auto"/>
        <w:right w:val="none" w:sz="0" w:space="0" w:color="auto"/>
      </w:divBdr>
    </w:div>
    <w:div w:id="1971591815">
      <w:bodyDiv w:val="1"/>
      <w:marLeft w:val="0"/>
      <w:marRight w:val="0"/>
      <w:marTop w:val="0"/>
      <w:marBottom w:val="0"/>
      <w:divBdr>
        <w:top w:val="none" w:sz="0" w:space="0" w:color="auto"/>
        <w:left w:val="none" w:sz="0" w:space="0" w:color="auto"/>
        <w:bottom w:val="none" w:sz="0" w:space="0" w:color="auto"/>
        <w:right w:val="none" w:sz="0" w:space="0" w:color="auto"/>
      </w:divBdr>
    </w:div>
    <w:div w:id="1971856282">
      <w:bodyDiv w:val="1"/>
      <w:marLeft w:val="0"/>
      <w:marRight w:val="0"/>
      <w:marTop w:val="0"/>
      <w:marBottom w:val="0"/>
      <w:divBdr>
        <w:top w:val="none" w:sz="0" w:space="0" w:color="auto"/>
        <w:left w:val="none" w:sz="0" w:space="0" w:color="auto"/>
        <w:bottom w:val="none" w:sz="0" w:space="0" w:color="auto"/>
        <w:right w:val="none" w:sz="0" w:space="0" w:color="auto"/>
      </w:divBdr>
    </w:div>
    <w:div w:id="1973823677">
      <w:bodyDiv w:val="1"/>
      <w:marLeft w:val="0"/>
      <w:marRight w:val="0"/>
      <w:marTop w:val="0"/>
      <w:marBottom w:val="0"/>
      <w:divBdr>
        <w:top w:val="none" w:sz="0" w:space="0" w:color="auto"/>
        <w:left w:val="none" w:sz="0" w:space="0" w:color="auto"/>
        <w:bottom w:val="none" w:sz="0" w:space="0" w:color="auto"/>
        <w:right w:val="none" w:sz="0" w:space="0" w:color="auto"/>
      </w:divBdr>
    </w:div>
    <w:div w:id="1976058237">
      <w:bodyDiv w:val="1"/>
      <w:marLeft w:val="0"/>
      <w:marRight w:val="0"/>
      <w:marTop w:val="0"/>
      <w:marBottom w:val="0"/>
      <w:divBdr>
        <w:top w:val="none" w:sz="0" w:space="0" w:color="auto"/>
        <w:left w:val="none" w:sz="0" w:space="0" w:color="auto"/>
        <w:bottom w:val="none" w:sz="0" w:space="0" w:color="auto"/>
        <w:right w:val="none" w:sz="0" w:space="0" w:color="auto"/>
      </w:divBdr>
    </w:div>
    <w:div w:id="1976179962">
      <w:bodyDiv w:val="1"/>
      <w:marLeft w:val="0"/>
      <w:marRight w:val="0"/>
      <w:marTop w:val="0"/>
      <w:marBottom w:val="0"/>
      <w:divBdr>
        <w:top w:val="none" w:sz="0" w:space="0" w:color="auto"/>
        <w:left w:val="none" w:sz="0" w:space="0" w:color="auto"/>
        <w:bottom w:val="none" w:sz="0" w:space="0" w:color="auto"/>
        <w:right w:val="none" w:sz="0" w:space="0" w:color="auto"/>
      </w:divBdr>
    </w:div>
    <w:div w:id="1976831806">
      <w:bodyDiv w:val="1"/>
      <w:marLeft w:val="0"/>
      <w:marRight w:val="0"/>
      <w:marTop w:val="0"/>
      <w:marBottom w:val="0"/>
      <w:divBdr>
        <w:top w:val="none" w:sz="0" w:space="0" w:color="auto"/>
        <w:left w:val="none" w:sz="0" w:space="0" w:color="auto"/>
        <w:bottom w:val="none" w:sz="0" w:space="0" w:color="auto"/>
        <w:right w:val="none" w:sz="0" w:space="0" w:color="auto"/>
      </w:divBdr>
    </w:div>
    <w:div w:id="1977057267">
      <w:bodyDiv w:val="1"/>
      <w:marLeft w:val="0"/>
      <w:marRight w:val="0"/>
      <w:marTop w:val="0"/>
      <w:marBottom w:val="0"/>
      <w:divBdr>
        <w:top w:val="none" w:sz="0" w:space="0" w:color="auto"/>
        <w:left w:val="none" w:sz="0" w:space="0" w:color="auto"/>
        <w:bottom w:val="none" w:sz="0" w:space="0" w:color="auto"/>
        <w:right w:val="none" w:sz="0" w:space="0" w:color="auto"/>
      </w:divBdr>
    </w:div>
    <w:div w:id="1981154798">
      <w:bodyDiv w:val="1"/>
      <w:marLeft w:val="0"/>
      <w:marRight w:val="0"/>
      <w:marTop w:val="0"/>
      <w:marBottom w:val="0"/>
      <w:divBdr>
        <w:top w:val="none" w:sz="0" w:space="0" w:color="auto"/>
        <w:left w:val="none" w:sz="0" w:space="0" w:color="auto"/>
        <w:bottom w:val="none" w:sz="0" w:space="0" w:color="auto"/>
        <w:right w:val="none" w:sz="0" w:space="0" w:color="auto"/>
      </w:divBdr>
    </w:div>
    <w:div w:id="1984040982">
      <w:bodyDiv w:val="1"/>
      <w:marLeft w:val="0"/>
      <w:marRight w:val="0"/>
      <w:marTop w:val="0"/>
      <w:marBottom w:val="0"/>
      <w:divBdr>
        <w:top w:val="none" w:sz="0" w:space="0" w:color="auto"/>
        <w:left w:val="none" w:sz="0" w:space="0" w:color="auto"/>
        <w:bottom w:val="none" w:sz="0" w:space="0" w:color="auto"/>
        <w:right w:val="none" w:sz="0" w:space="0" w:color="auto"/>
      </w:divBdr>
    </w:div>
    <w:div w:id="1984315259">
      <w:bodyDiv w:val="1"/>
      <w:marLeft w:val="0"/>
      <w:marRight w:val="0"/>
      <w:marTop w:val="0"/>
      <w:marBottom w:val="0"/>
      <w:divBdr>
        <w:top w:val="none" w:sz="0" w:space="0" w:color="auto"/>
        <w:left w:val="none" w:sz="0" w:space="0" w:color="auto"/>
        <w:bottom w:val="none" w:sz="0" w:space="0" w:color="auto"/>
        <w:right w:val="none" w:sz="0" w:space="0" w:color="auto"/>
      </w:divBdr>
    </w:div>
    <w:div w:id="1984430717">
      <w:bodyDiv w:val="1"/>
      <w:marLeft w:val="0"/>
      <w:marRight w:val="0"/>
      <w:marTop w:val="0"/>
      <w:marBottom w:val="0"/>
      <w:divBdr>
        <w:top w:val="none" w:sz="0" w:space="0" w:color="auto"/>
        <w:left w:val="none" w:sz="0" w:space="0" w:color="auto"/>
        <w:bottom w:val="none" w:sz="0" w:space="0" w:color="auto"/>
        <w:right w:val="none" w:sz="0" w:space="0" w:color="auto"/>
      </w:divBdr>
    </w:div>
    <w:div w:id="1985424654">
      <w:bodyDiv w:val="1"/>
      <w:marLeft w:val="0"/>
      <w:marRight w:val="0"/>
      <w:marTop w:val="0"/>
      <w:marBottom w:val="0"/>
      <w:divBdr>
        <w:top w:val="none" w:sz="0" w:space="0" w:color="auto"/>
        <w:left w:val="none" w:sz="0" w:space="0" w:color="auto"/>
        <w:bottom w:val="none" w:sz="0" w:space="0" w:color="auto"/>
        <w:right w:val="none" w:sz="0" w:space="0" w:color="auto"/>
      </w:divBdr>
    </w:div>
    <w:div w:id="1985892874">
      <w:bodyDiv w:val="1"/>
      <w:marLeft w:val="0"/>
      <w:marRight w:val="0"/>
      <w:marTop w:val="0"/>
      <w:marBottom w:val="0"/>
      <w:divBdr>
        <w:top w:val="none" w:sz="0" w:space="0" w:color="auto"/>
        <w:left w:val="none" w:sz="0" w:space="0" w:color="auto"/>
        <w:bottom w:val="none" w:sz="0" w:space="0" w:color="auto"/>
        <w:right w:val="none" w:sz="0" w:space="0" w:color="auto"/>
      </w:divBdr>
    </w:div>
    <w:div w:id="1986660953">
      <w:bodyDiv w:val="1"/>
      <w:marLeft w:val="0"/>
      <w:marRight w:val="0"/>
      <w:marTop w:val="0"/>
      <w:marBottom w:val="0"/>
      <w:divBdr>
        <w:top w:val="none" w:sz="0" w:space="0" w:color="auto"/>
        <w:left w:val="none" w:sz="0" w:space="0" w:color="auto"/>
        <w:bottom w:val="none" w:sz="0" w:space="0" w:color="auto"/>
        <w:right w:val="none" w:sz="0" w:space="0" w:color="auto"/>
      </w:divBdr>
    </w:div>
    <w:div w:id="1986931690">
      <w:bodyDiv w:val="1"/>
      <w:marLeft w:val="0"/>
      <w:marRight w:val="0"/>
      <w:marTop w:val="0"/>
      <w:marBottom w:val="0"/>
      <w:divBdr>
        <w:top w:val="none" w:sz="0" w:space="0" w:color="auto"/>
        <w:left w:val="none" w:sz="0" w:space="0" w:color="auto"/>
        <w:bottom w:val="none" w:sz="0" w:space="0" w:color="auto"/>
        <w:right w:val="none" w:sz="0" w:space="0" w:color="auto"/>
      </w:divBdr>
    </w:div>
    <w:div w:id="1987121338">
      <w:bodyDiv w:val="1"/>
      <w:marLeft w:val="0"/>
      <w:marRight w:val="0"/>
      <w:marTop w:val="0"/>
      <w:marBottom w:val="0"/>
      <w:divBdr>
        <w:top w:val="none" w:sz="0" w:space="0" w:color="auto"/>
        <w:left w:val="none" w:sz="0" w:space="0" w:color="auto"/>
        <w:bottom w:val="none" w:sz="0" w:space="0" w:color="auto"/>
        <w:right w:val="none" w:sz="0" w:space="0" w:color="auto"/>
      </w:divBdr>
    </w:div>
    <w:div w:id="1994328002">
      <w:bodyDiv w:val="1"/>
      <w:marLeft w:val="0"/>
      <w:marRight w:val="0"/>
      <w:marTop w:val="0"/>
      <w:marBottom w:val="0"/>
      <w:divBdr>
        <w:top w:val="none" w:sz="0" w:space="0" w:color="auto"/>
        <w:left w:val="none" w:sz="0" w:space="0" w:color="auto"/>
        <w:bottom w:val="none" w:sz="0" w:space="0" w:color="auto"/>
        <w:right w:val="none" w:sz="0" w:space="0" w:color="auto"/>
      </w:divBdr>
    </w:div>
    <w:div w:id="1996376067">
      <w:bodyDiv w:val="1"/>
      <w:marLeft w:val="0"/>
      <w:marRight w:val="0"/>
      <w:marTop w:val="0"/>
      <w:marBottom w:val="0"/>
      <w:divBdr>
        <w:top w:val="none" w:sz="0" w:space="0" w:color="auto"/>
        <w:left w:val="none" w:sz="0" w:space="0" w:color="auto"/>
        <w:bottom w:val="none" w:sz="0" w:space="0" w:color="auto"/>
        <w:right w:val="none" w:sz="0" w:space="0" w:color="auto"/>
      </w:divBdr>
    </w:div>
    <w:div w:id="2001038090">
      <w:bodyDiv w:val="1"/>
      <w:marLeft w:val="0"/>
      <w:marRight w:val="0"/>
      <w:marTop w:val="0"/>
      <w:marBottom w:val="0"/>
      <w:divBdr>
        <w:top w:val="none" w:sz="0" w:space="0" w:color="auto"/>
        <w:left w:val="none" w:sz="0" w:space="0" w:color="auto"/>
        <w:bottom w:val="none" w:sz="0" w:space="0" w:color="auto"/>
        <w:right w:val="none" w:sz="0" w:space="0" w:color="auto"/>
      </w:divBdr>
    </w:div>
    <w:div w:id="2002856005">
      <w:bodyDiv w:val="1"/>
      <w:marLeft w:val="0"/>
      <w:marRight w:val="0"/>
      <w:marTop w:val="0"/>
      <w:marBottom w:val="0"/>
      <w:divBdr>
        <w:top w:val="none" w:sz="0" w:space="0" w:color="auto"/>
        <w:left w:val="none" w:sz="0" w:space="0" w:color="auto"/>
        <w:bottom w:val="none" w:sz="0" w:space="0" w:color="auto"/>
        <w:right w:val="none" w:sz="0" w:space="0" w:color="auto"/>
      </w:divBdr>
    </w:div>
    <w:div w:id="2003658027">
      <w:bodyDiv w:val="1"/>
      <w:marLeft w:val="0"/>
      <w:marRight w:val="0"/>
      <w:marTop w:val="0"/>
      <w:marBottom w:val="0"/>
      <w:divBdr>
        <w:top w:val="none" w:sz="0" w:space="0" w:color="auto"/>
        <w:left w:val="none" w:sz="0" w:space="0" w:color="auto"/>
        <w:bottom w:val="none" w:sz="0" w:space="0" w:color="auto"/>
        <w:right w:val="none" w:sz="0" w:space="0" w:color="auto"/>
      </w:divBdr>
    </w:div>
    <w:div w:id="2007972356">
      <w:bodyDiv w:val="1"/>
      <w:marLeft w:val="0"/>
      <w:marRight w:val="0"/>
      <w:marTop w:val="0"/>
      <w:marBottom w:val="0"/>
      <w:divBdr>
        <w:top w:val="none" w:sz="0" w:space="0" w:color="auto"/>
        <w:left w:val="none" w:sz="0" w:space="0" w:color="auto"/>
        <w:bottom w:val="none" w:sz="0" w:space="0" w:color="auto"/>
        <w:right w:val="none" w:sz="0" w:space="0" w:color="auto"/>
      </w:divBdr>
    </w:div>
    <w:div w:id="2008172962">
      <w:bodyDiv w:val="1"/>
      <w:marLeft w:val="0"/>
      <w:marRight w:val="0"/>
      <w:marTop w:val="0"/>
      <w:marBottom w:val="0"/>
      <w:divBdr>
        <w:top w:val="none" w:sz="0" w:space="0" w:color="auto"/>
        <w:left w:val="none" w:sz="0" w:space="0" w:color="auto"/>
        <w:bottom w:val="none" w:sz="0" w:space="0" w:color="auto"/>
        <w:right w:val="none" w:sz="0" w:space="0" w:color="auto"/>
      </w:divBdr>
    </w:div>
    <w:div w:id="2009484107">
      <w:bodyDiv w:val="1"/>
      <w:marLeft w:val="0"/>
      <w:marRight w:val="0"/>
      <w:marTop w:val="0"/>
      <w:marBottom w:val="0"/>
      <w:divBdr>
        <w:top w:val="none" w:sz="0" w:space="0" w:color="auto"/>
        <w:left w:val="none" w:sz="0" w:space="0" w:color="auto"/>
        <w:bottom w:val="none" w:sz="0" w:space="0" w:color="auto"/>
        <w:right w:val="none" w:sz="0" w:space="0" w:color="auto"/>
      </w:divBdr>
    </w:div>
    <w:div w:id="2009939179">
      <w:bodyDiv w:val="1"/>
      <w:marLeft w:val="0"/>
      <w:marRight w:val="0"/>
      <w:marTop w:val="0"/>
      <w:marBottom w:val="0"/>
      <w:divBdr>
        <w:top w:val="none" w:sz="0" w:space="0" w:color="auto"/>
        <w:left w:val="none" w:sz="0" w:space="0" w:color="auto"/>
        <w:bottom w:val="none" w:sz="0" w:space="0" w:color="auto"/>
        <w:right w:val="none" w:sz="0" w:space="0" w:color="auto"/>
      </w:divBdr>
    </w:div>
    <w:div w:id="2013334082">
      <w:bodyDiv w:val="1"/>
      <w:marLeft w:val="0"/>
      <w:marRight w:val="0"/>
      <w:marTop w:val="0"/>
      <w:marBottom w:val="0"/>
      <w:divBdr>
        <w:top w:val="none" w:sz="0" w:space="0" w:color="auto"/>
        <w:left w:val="none" w:sz="0" w:space="0" w:color="auto"/>
        <w:bottom w:val="none" w:sz="0" w:space="0" w:color="auto"/>
        <w:right w:val="none" w:sz="0" w:space="0" w:color="auto"/>
      </w:divBdr>
    </w:div>
    <w:div w:id="2014724153">
      <w:bodyDiv w:val="1"/>
      <w:marLeft w:val="0"/>
      <w:marRight w:val="0"/>
      <w:marTop w:val="0"/>
      <w:marBottom w:val="0"/>
      <w:divBdr>
        <w:top w:val="none" w:sz="0" w:space="0" w:color="auto"/>
        <w:left w:val="none" w:sz="0" w:space="0" w:color="auto"/>
        <w:bottom w:val="none" w:sz="0" w:space="0" w:color="auto"/>
        <w:right w:val="none" w:sz="0" w:space="0" w:color="auto"/>
      </w:divBdr>
    </w:div>
    <w:div w:id="2015305695">
      <w:bodyDiv w:val="1"/>
      <w:marLeft w:val="0"/>
      <w:marRight w:val="0"/>
      <w:marTop w:val="0"/>
      <w:marBottom w:val="0"/>
      <w:divBdr>
        <w:top w:val="none" w:sz="0" w:space="0" w:color="auto"/>
        <w:left w:val="none" w:sz="0" w:space="0" w:color="auto"/>
        <w:bottom w:val="none" w:sz="0" w:space="0" w:color="auto"/>
        <w:right w:val="none" w:sz="0" w:space="0" w:color="auto"/>
      </w:divBdr>
    </w:div>
    <w:div w:id="2019767990">
      <w:bodyDiv w:val="1"/>
      <w:marLeft w:val="0"/>
      <w:marRight w:val="0"/>
      <w:marTop w:val="0"/>
      <w:marBottom w:val="0"/>
      <w:divBdr>
        <w:top w:val="none" w:sz="0" w:space="0" w:color="auto"/>
        <w:left w:val="none" w:sz="0" w:space="0" w:color="auto"/>
        <w:bottom w:val="none" w:sz="0" w:space="0" w:color="auto"/>
        <w:right w:val="none" w:sz="0" w:space="0" w:color="auto"/>
      </w:divBdr>
    </w:div>
    <w:div w:id="2021196566">
      <w:bodyDiv w:val="1"/>
      <w:marLeft w:val="0"/>
      <w:marRight w:val="0"/>
      <w:marTop w:val="0"/>
      <w:marBottom w:val="0"/>
      <w:divBdr>
        <w:top w:val="none" w:sz="0" w:space="0" w:color="auto"/>
        <w:left w:val="none" w:sz="0" w:space="0" w:color="auto"/>
        <w:bottom w:val="none" w:sz="0" w:space="0" w:color="auto"/>
        <w:right w:val="none" w:sz="0" w:space="0" w:color="auto"/>
      </w:divBdr>
    </w:div>
    <w:div w:id="2023044200">
      <w:bodyDiv w:val="1"/>
      <w:marLeft w:val="0"/>
      <w:marRight w:val="0"/>
      <w:marTop w:val="0"/>
      <w:marBottom w:val="0"/>
      <w:divBdr>
        <w:top w:val="none" w:sz="0" w:space="0" w:color="auto"/>
        <w:left w:val="none" w:sz="0" w:space="0" w:color="auto"/>
        <w:bottom w:val="none" w:sz="0" w:space="0" w:color="auto"/>
        <w:right w:val="none" w:sz="0" w:space="0" w:color="auto"/>
      </w:divBdr>
    </w:div>
    <w:div w:id="2023583627">
      <w:bodyDiv w:val="1"/>
      <w:marLeft w:val="0"/>
      <w:marRight w:val="0"/>
      <w:marTop w:val="0"/>
      <w:marBottom w:val="0"/>
      <w:divBdr>
        <w:top w:val="none" w:sz="0" w:space="0" w:color="auto"/>
        <w:left w:val="none" w:sz="0" w:space="0" w:color="auto"/>
        <w:bottom w:val="none" w:sz="0" w:space="0" w:color="auto"/>
        <w:right w:val="none" w:sz="0" w:space="0" w:color="auto"/>
      </w:divBdr>
    </w:div>
    <w:div w:id="2025203533">
      <w:bodyDiv w:val="1"/>
      <w:marLeft w:val="0"/>
      <w:marRight w:val="0"/>
      <w:marTop w:val="0"/>
      <w:marBottom w:val="0"/>
      <w:divBdr>
        <w:top w:val="none" w:sz="0" w:space="0" w:color="auto"/>
        <w:left w:val="none" w:sz="0" w:space="0" w:color="auto"/>
        <w:bottom w:val="none" w:sz="0" w:space="0" w:color="auto"/>
        <w:right w:val="none" w:sz="0" w:space="0" w:color="auto"/>
      </w:divBdr>
    </w:div>
    <w:div w:id="2026512580">
      <w:bodyDiv w:val="1"/>
      <w:marLeft w:val="0"/>
      <w:marRight w:val="0"/>
      <w:marTop w:val="0"/>
      <w:marBottom w:val="0"/>
      <w:divBdr>
        <w:top w:val="none" w:sz="0" w:space="0" w:color="auto"/>
        <w:left w:val="none" w:sz="0" w:space="0" w:color="auto"/>
        <w:bottom w:val="none" w:sz="0" w:space="0" w:color="auto"/>
        <w:right w:val="none" w:sz="0" w:space="0" w:color="auto"/>
      </w:divBdr>
    </w:div>
    <w:div w:id="2027248580">
      <w:bodyDiv w:val="1"/>
      <w:marLeft w:val="0"/>
      <w:marRight w:val="0"/>
      <w:marTop w:val="0"/>
      <w:marBottom w:val="0"/>
      <w:divBdr>
        <w:top w:val="none" w:sz="0" w:space="0" w:color="auto"/>
        <w:left w:val="none" w:sz="0" w:space="0" w:color="auto"/>
        <w:bottom w:val="none" w:sz="0" w:space="0" w:color="auto"/>
        <w:right w:val="none" w:sz="0" w:space="0" w:color="auto"/>
      </w:divBdr>
    </w:div>
    <w:div w:id="2027515979">
      <w:bodyDiv w:val="1"/>
      <w:marLeft w:val="0"/>
      <w:marRight w:val="0"/>
      <w:marTop w:val="0"/>
      <w:marBottom w:val="0"/>
      <w:divBdr>
        <w:top w:val="none" w:sz="0" w:space="0" w:color="auto"/>
        <w:left w:val="none" w:sz="0" w:space="0" w:color="auto"/>
        <w:bottom w:val="none" w:sz="0" w:space="0" w:color="auto"/>
        <w:right w:val="none" w:sz="0" w:space="0" w:color="auto"/>
      </w:divBdr>
    </w:div>
    <w:div w:id="2031297690">
      <w:bodyDiv w:val="1"/>
      <w:marLeft w:val="0"/>
      <w:marRight w:val="0"/>
      <w:marTop w:val="0"/>
      <w:marBottom w:val="0"/>
      <w:divBdr>
        <w:top w:val="none" w:sz="0" w:space="0" w:color="auto"/>
        <w:left w:val="none" w:sz="0" w:space="0" w:color="auto"/>
        <w:bottom w:val="none" w:sz="0" w:space="0" w:color="auto"/>
        <w:right w:val="none" w:sz="0" w:space="0" w:color="auto"/>
      </w:divBdr>
    </w:div>
    <w:div w:id="2033606848">
      <w:bodyDiv w:val="1"/>
      <w:marLeft w:val="0"/>
      <w:marRight w:val="0"/>
      <w:marTop w:val="0"/>
      <w:marBottom w:val="0"/>
      <w:divBdr>
        <w:top w:val="none" w:sz="0" w:space="0" w:color="auto"/>
        <w:left w:val="none" w:sz="0" w:space="0" w:color="auto"/>
        <w:bottom w:val="none" w:sz="0" w:space="0" w:color="auto"/>
        <w:right w:val="none" w:sz="0" w:space="0" w:color="auto"/>
      </w:divBdr>
    </w:div>
    <w:div w:id="2034568411">
      <w:bodyDiv w:val="1"/>
      <w:marLeft w:val="0"/>
      <w:marRight w:val="0"/>
      <w:marTop w:val="0"/>
      <w:marBottom w:val="0"/>
      <w:divBdr>
        <w:top w:val="none" w:sz="0" w:space="0" w:color="auto"/>
        <w:left w:val="none" w:sz="0" w:space="0" w:color="auto"/>
        <w:bottom w:val="none" w:sz="0" w:space="0" w:color="auto"/>
        <w:right w:val="none" w:sz="0" w:space="0" w:color="auto"/>
      </w:divBdr>
    </w:div>
    <w:div w:id="2036301363">
      <w:bodyDiv w:val="1"/>
      <w:marLeft w:val="0"/>
      <w:marRight w:val="0"/>
      <w:marTop w:val="0"/>
      <w:marBottom w:val="0"/>
      <w:divBdr>
        <w:top w:val="none" w:sz="0" w:space="0" w:color="auto"/>
        <w:left w:val="none" w:sz="0" w:space="0" w:color="auto"/>
        <w:bottom w:val="none" w:sz="0" w:space="0" w:color="auto"/>
        <w:right w:val="none" w:sz="0" w:space="0" w:color="auto"/>
      </w:divBdr>
    </w:div>
    <w:div w:id="2040813326">
      <w:bodyDiv w:val="1"/>
      <w:marLeft w:val="0"/>
      <w:marRight w:val="0"/>
      <w:marTop w:val="0"/>
      <w:marBottom w:val="0"/>
      <w:divBdr>
        <w:top w:val="none" w:sz="0" w:space="0" w:color="auto"/>
        <w:left w:val="none" w:sz="0" w:space="0" w:color="auto"/>
        <w:bottom w:val="none" w:sz="0" w:space="0" w:color="auto"/>
        <w:right w:val="none" w:sz="0" w:space="0" w:color="auto"/>
      </w:divBdr>
    </w:div>
    <w:div w:id="2041740957">
      <w:bodyDiv w:val="1"/>
      <w:marLeft w:val="0"/>
      <w:marRight w:val="0"/>
      <w:marTop w:val="0"/>
      <w:marBottom w:val="0"/>
      <w:divBdr>
        <w:top w:val="none" w:sz="0" w:space="0" w:color="auto"/>
        <w:left w:val="none" w:sz="0" w:space="0" w:color="auto"/>
        <w:bottom w:val="none" w:sz="0" w:space="0" w:color="auto"/>
        <w:right w:val="none" w:sz="0" w:space="0" w:color="auto"/>
      </w:divBdr>
    </w:div>
    <w:div w:id="2042783344">
      <w:bodyDiv w:val="1"/>
      <w:marLeft w:val="0"/>
      <w:marRight w:val="0"/>
      <w:marTop w:val="0"/>
      <w:marBottom w:val="0"/>
      <w:divBdr>
        <w:top w:val="none" w:sz="0" w:space="0" w:color="auto"/>
        <w:left w:val="none" w:sz="0" w:space="0" w:color="auto"/>
        <w:bottom w:val="none" w:sz="0" w:space="0" w:color="auto"/>
        <w:right w:val="none" w:sz="0" w:space="0" w:color="auto"/>
      </w:divBdr>
    </w:div>
    <w:div w:id="2044281265">
      <w:bodyDiv w:val="1"/>
      <w:marLeft w:val="0"/>
      <w:marRight w:val="0"/>
      <w:marTop w:val="0"/>
      <w:marBottom w:val="0"/>
      <w:divBdr>
        <w:top w:val="none" w:sz="0" w:space="0" w:color="auto"/>
        <w:left w:val="none" w:sz="0" w:space="0" w:color="auto"/>
        <w:bottom w:val="none" w:sz="0" w:space="0" w:color="auto"/>
        <w:right w:val="none" w:sz="0" w:space="0" w:color="auto"/>
      </w:divBdr>
    </w:div>
    <w:div w:id="2045323020">
      <w:bodyDiv w:val="1"/>
      <w:marLeft w:val="0"/>
      <w:marRight w:val="0"/>
      <w:marTop w:val="0"/>
      <w:marBottom w:val="0"/>
      <w:divBdr>
        <w:top w:val="none" w:sz="0" w:space="0" w:color="auto"/>
        <w:left w:val="none" w:sz="0" w:space="0" w:color="auto"/>
        <w:bottom w:val="none" w:sz="0" w:space="0" w:color="auto"/>
        <w:right w:val="none" w:sz="0" w:space="0" w:color="auto"/>
      </w:divBdr>
    </w:div>
    <w:div w:id="2046903200">
      <w:bodyDiv w:val="1"/>
      <w:marLeft w:val="0"/>
      <w:marRight w:val="0"/>
      <w:marTop w:val="0"/>
      <w:marBottom w:val="0"/>
      <w:divBdr>
        <w:top w:val="none" w:sz="0" w:space="0" w:color="auto"/>
        <w:left w:val="none" w:sz="0" w:space="0" w:color="auto"/>
        <w:bottom w:val="none" w:sz="0" w:space="0" w:color="auto"/>
        <w:right w:val="none" w:sz="0" w:space="0" w:color="auto"/>
      </w:divBdr>
    </w:div>
    <w:div w:id="2047411642">
      <w:bodyDiv w:val="1"/>
      <w:marLeft w:val="0"/>
      <w:marRight w:val="0"/>
      <w:marTop w:val="0"/>
      <w:marBottom w:val="0"/>
      <w:divBdr>
        <w:top w:val="none" w:sz="0" w:space="0" w:color="auto"/>
        <w:left w:val="none" w:sz="0" w:space="0" w:color="auto"/>
        <w:bottom w:val="none" w:sz="0" w:space="0" w:color="auto"/>
        <w:right w:val="none" w:sz="0" w:space="0" w:color="auto"/>
      </w:divBdr>
    </w:div>
    <w:div w:id="2050641752">
      <w:bodyDiv w:val="1"/>
      <w:marLeft w:val="0"/>
      <w:marRight w:val="0"/>
      <w:marTop w:val="0"/>
      <w:marBottom w:val="0"/>
      <w:divBdr>
        <w:top w:val="none" w:sz="0" w:space="0" w:color="auto"/>
        <w:left w:val="none" w:sz="0" w:space="0" w:color="auto"/>
        <w:bottom w:val="none" w:sz="0" w:space="0" w:color="auto"/>
        <w:right w:val="none" w:sz="0" w:space="0" w:color="auto"/>
      </w:divBdr>
    </w:div>
    <w:div w:id="2051345374">
      <w:bodyDiv w:val="1"/>
      <w:marLeft w:val="0"/>
      <w:marRight w:val="0"/>
      <w:marTop w:val="0"/>
      <w:marBottom w:val="0"/>
      <w:divBdr>
        <w:top w:val="none" w:sz="0" w:space="0" w:color="auto"/>
        <w:left w:val="none" w:sz="0" w:space="0" w:color="auto"/>
        <w:bottom w:val="none" w:sz="0" w:space="0" w:color="auto"/>
        <w:right w:val="none" w:sz="0" w:space="0" w:color="auto"/>
      </w:divBdr>
    </w:div>
    <w:div w:id="2053919048">
      <w:bodyDiv w:val="1"/>
      <w:marLeft w:val="0"/>
      <w:marRight w:val="0"/>
      <w:marTop w:val="0"/>
      <w:marBottom w:val="0"/>
      <w:divBdr>
        <w:top w:val="none" w:sz="0" w:space="0" w:color="auto"/>
        <w:left w:val="none" w:sz="0" w:space="0" w:color="auto"/>
        <w:bottom w:val="none" w:sz="0" w:space="0" w:color="auto"/>
        <w:right w:val="none" w:sz="0" w:space="0" w:color="auto"/>
      </w:divBdr>
    </w:div>
    <w:div w:id="2055274993">
      <w:bodyDiv w:val="1"/>
      <w:marLeft w:val="0"/>
      <w:marRight w:val="0"/>
      <w:marTop w:val="0"/>
      <w:marBottom w:val="0"/>
      <w:divBdr>
        <w:top w:val="none" w:sz="0" w:space="0" w:color="auto"/>
        <w:left w:val="none" w:sz="0" w:space="0" w:color="auto"/>
        <w:bottom w:val="none" w:sz="0" w:space="0" w:color="auto"/>
        <w:right w:val="none" w:sz="0" w:space="0" w:color="auto"/>
      </w:divBdr>
    </w:div>
    <w:div w:id="2055932367">
      <w:bodyDiv w:val="1"/>
      <w:marLeft w:val="0"/>
      <w:marRight w:val="0"/>
      <w:marTop w:val="0"/>
      <w:marBottom w:val="0"/>
      <w:divBdr>
        <w:top w:val="none" w:sz="0" w:space="0" w:color="auto"/>
        <w:left w:val="none" w:sz="0" w:space="0" w:color="auto"/>
        <w:bottom w:val="none" w:sz="0" w:space="0" w:color="auto"/>
        <w:right w:val="none" w:sz="0" w:space="0" w:color="auto"/>
      </w:divBdr>
    </w:div>
    <w:div w:id="2056005025">
      <w:bodyDiv w:val="1"/>
      <w:marLeft w:val="0"/>
      <w:marRight w:val="0"/>
      <w:marTop w:val="0"/>
      <w:marBottom w:val="0"/>
      <w:divBdr>
        <w:top w:val="none" w:sz="0" w:space="0" w:color="auto"/>
        <w:left w:val="none" w:sz="0" w:space="0" w:color="auto"/>
        <w:bottom w:val="none" w:sz="0" w:space="0" w:color="auto"/>
        <w:right w:val="none" w:sz="0" w:space="0" w:color="auto"/>
      </w:divBdr>
    </w:div>
    <w:div w:id="2058427915">
      <w:bodyDiv w:val="1"/>
      <w:marLeft w:val="0"/>
      <w:marRight w:val="0"/>
      <w:marTop w:val="0"/>
      <w:marBottom w:val="0"/>
      <w:divBdr>
        <w:top w:val="none" w:sz="0" w:space="0" w:color="auto"/>
        <w:left w:val="none" w:sz="0" w:space="0" w:color="auto"/>
        <w:bottom w:val="none" w:sz="0" w:space="0" w:color="auto"/>
        <w:right w:val="none" w:sz="0" w:space="0" w:color="auto"/>
      </w:divBdr>
    </w:div>
    <w:div w:id="2058696342">
      <w:bodyDiv w:val="1"/>
      <w:marLeft w:val="0"/>
      <w:marRight w:val="0"/>
      <w:marTop w:val="0"/>
      <w:marBottom w:val="0"/>
      <w:divBdr>
        <w:top w:val="none" w:sz="0" w:space="0" w:color="auto"/>
        <w:left w:val="none" w:sz="0" w:space="0" w:color="auto"/>
        <w:bottom w:val="none" w:sz="0" w:space="0" w:color="auto"/>
        <w:right w:val="none" w:sz="0" w:space="0" w:color="auto"/>
      </w:divBdr>
    </w:div>
    <w:div w:id="2059163358">
      <w:bodyDiv w:val="1"/>
      <w:marLeft w:val="0"/>
      <w:marRight w:val="0"/>
      <w:marTop w:val="0"/>
      <w:marBottom w:val="0"/>
      <w:divBdr>
        <w:top w:val="none" w:sz="0" w:space="0" w:color="auto"/>
        <w:left w:val="none" w:sz="0" w:space="0" w:color="auto"/>
        <w:bottom w:val="none" w:sz="0" w:space="0" w:color="auto"/>
        <w:right w:val="none" w:sz="0" w:space="0" w:color="auto"/>
      </w:divBdr>
    </w:div>
    <w:div w:id="2060126538">
      <w:bodyDiv w:val="1"/>
      <w:marLeft w:val="0"/>
      <w:marRight w:val="0"/>
      <w:marTop w:val="0"/>
      <w:marBottom w:val="0"/>
      <w:divBdr>
        <w:top w:val="none" w:sz="0" w:space="0" w:color="auto"/>
        <w:left w:val="none" w:sz="0" w:space="0" w:color="auto"/>
        <w:bottom w:val="none" w:sz="0" w:space="0" w:color="auto"/>
        <w:right w:val="none" w:sz="0" w:space="0" w:color="auto"/>
      </w:divBdr>
    </w:div>
    <w:div w:id="2060275232">
      <w:bodyDiv w:val="1"/>
      <w:marLeft w:val="0"/>
      <w:marRight w:val="0"/>
      <w:marTop w:val="0"/>
      <w:marBottom w:val="0"/>
      <w:divBdr>
        <w:top w:val="none" w:sz="0" w:space="0" w:color="auto"/>
        <w:left w:val="none" w:sz="0" w:space="0" w:color="auto"/>
        <w:bottom w:val="none" w:sz="0" w:space="0" w:color="auto"/>
        <w:right w:val="none" w:sz="0" w:space="0" w:color="auto"/>
      </w:divBdr>
    </w:div>
    <w:div w:id="2062630681">
      <w:bodyDiv w:val="1"/>
      <w:marLeft w:val="0"/>
      <w:marRight w:val="0"/>
      <w:marTop w:val="0"/>
      <w:marBottom w:val="0"/>
      <w:divBdr>
        <w:top w:val="none" w:sz="0" w:space="0" w:color="auto"/>
        <w:left w:val="none" w:sz="0" w:space="0" w:color="auto"/>
        <w:bottom w:val="none" w:sz="0" w:space="0" w:color="auto"/>
        <w:right w:val="none" w:sz="0" w:space="0" w:color="auto"/>
      </w:divBdr>
    </w:div>
    <w:div w:id="2069301260">
      <w:bodyDiv w:val="1"/>
      <w:marLeft w:val="0"/>
      <w:marRight w:val="0"/>
      <w:marTop w:val="0"/>
      <w:marBottom w:val="0"/>
      <w:divBdr>
        <w:top w:val="none" w:sz="0" w:space="0" w:color="auto"/>
        <w:left w:val="none" w:sz="0" w:space="0" w:color="auto"/>
        <w:bottom w:val="none" w:sz="0" w:space="0" w:color="auto"/>
        <w:right w:val="none" w:sz="0" w:space="0" w:color="auto"/>
      </w:divBdr>
    </w:div>
    <w:div w:id="2072651502">
      <w:bodyDiv w:val="1"/>
      <w:marLeft w:val="0"/>
      <w:marRight w:val="0"/>
      <w:marTop w:val="0"/>
      <w:marBottom w:val="0"/>
      <w:divBdr>
        <w:top w:val="none" w:sz="0" w:space="0" w:color="auto"/>
        <w:left w:val="none" w:sz="0" w:space="0" w:color="auto"/>
        <w:bottom w:val="none" w:sz="0" w:space="0" w:color="auto"/>
        <w:right w:val="none" w:sz="0" w:space="0" w:color="auto"/>
      </w:divBdr>
    </w:div>
    <w:div w:id="2072800201">
      <w:bodyDiv w:val="1"/>
      <w:marLeft w:val="0"/>
      <w:marRight w:val="0"/>
      <w:marTop w:val="0"/>
      <w:marBottom w:val="0"/>
      <w:divBdr>
        <w:top w:val="none" w:sz="0" w:space="0" w:color="auto"/>
        <w:left w:val="none" w:sz="0" w:space="0" w:color="auto"/>
        <w:bottom w:val="none" w:sz="0" w:space="0" w:color="auto"/>
        <w:right w:val="none" w:sz="0" w:space="0" w:color="auto"/>
      </w:divBdr>
    </w:div>
    <w:div w:id="2075350461">
      <w:bodyDiv w:val="1"/>
      <w:marLeft w:val="0"/>
      <w:marRight w:val="0"/>
      <w:marTop w:val="0"/>
      <w:marBottom w:val="0"/>
      <w:divBdr>
        <w:top w:val="none" w:sz="0" w:space="0" w:color="auto"/>
        <w:left w:val="none" w:sz="0" w:space="0" w:color="auto"/>
        <w:bottom w:val="none" w:sz="0" w:space="0" w:color="auto"/>
        <w:right w:val="none" w:sz="0" w:space="0" w:color="auto"/>
      </w:divBdr>
    </w:div>
    <w:div w:id="2078745385">
      <w:bodyDiv w:val="1"/>
      <w:marLeft w:val="0"/>
      <w:marRight w:val="0"/>
      <w:marTop w:val="0"/>
      <w:marBottom w:val="0"/>
      <w:divBdr>
        <w:top w:val="none" w:sz="0" w:space="0" w:color="auto"/>
        <w:left w:val="none" w:sz="0" w:space="0" w:color="auto"/>
        <w:bottom w:val="none" w:sz="0" w:space="0" w:color="auto"/>
        <w:right w:val="none" w:sz="0" w:space="0" w:color="auto"/>
      </w:divBdr>
    </w:div>
    <w:div w:id="2081832145">
      <w:bodyDiv w:val="1"/>
      <w:marLeft w:val="0"/>
      <w:marRight w:val="0"/>
      <w:marTop w:val="0"/>
      <w:marBottom w:val="0"/>
      <w:divBdr>
        <w:top w:val="none" w:sz="0" w:space="0" w:color="auto"/>
        <w:left w:val="none" w:sz="0" w:space="0" w:color="auto"/>
        <w:bottom w:val="none" w:sz="0" w:space="0" w:color="auto"/>
        <w:right w:val="none" w:sz="0" w:space="0" w:color="auto"/>
      </w:divBdr>
    </w:div>
    <w:div w:id="2083408419">
      <w:bodyDiv w:val="1"/>
      <w:marLeft w:val="0"/>
      <w:marRight w:val="0"/>
      <w:marTop w:val="0"/>
      <w:marBottom w:val="0"/>
      <w:divBdr>
        <w:top w:val="none" w:sz="0" w:space="0" w:color="auto"/>
        <w:left w:val="none" w:sz="0" w:space="0" w:color="auto"/>
        <w:bottom w:val="none" w:sz="0" w:space="0" w:color="auto"/>
        <w:right w:val="none" w:sz="0" w:space="0" w:color="auto"/>
      </w:divBdr>
    </w:div>
    <w:div w:id="2085182159">
      <w:bodyDiv w:val="1"/>
      <w:marLeft w:val="0"/>
      <w:marRight w:val="0"/>
      <w:marTop w:val="0"/>
      <w:marBottom w:val="0"/>
      <w:divBdr>
        <w:top w:val="none" w:sz="0" w:space="0" w:color="auto"/>
        <w:left w:val="none" w:sz="0" w:space="0" w:color="auto"/>
        <w:bottom w:val="none" w:sz="0" w:space="0" w:color="auto"/>
        <w:right w:val="none" w:sz="0" w:space="0" w:color="auto"/>
      </w:divBdr>
    </w:div>
    <w:div w:id="2085254638">
      <w:bodyDiv w:val="1"/>
      <w:marLeft w:val="0"/>
      <w:marRight w:val="0"/>
      <w:marTop w:val="0"/>
      <w:marBottom w:val="0"/>
      <w:divBdr>
        <w:top w:val="none" w:sz="0" w:space="0" w:color="auto"/>
        <w:left w:val="none" w:sz="0" w:space="0" w:color="auto"/>
        <w:bottom w:val="none" w:sz="0" w:space="0" w:color="auto"/>
        <w:right w:val="none" w:sz="0" w:space="0" w:color="auto"/>
      </w:divBdr>
    </w:div>
    <w:div w:id="2086146849">
      <w:bodyDiv w:val="1"/>
      <w:marLeft w:val="0"/>
      <w:marRight w:val="0"/>
      <w:marTop w:val="0"/>
      <w:marBottom w:val="0"/>
      <w:divBdr>
        <w:top w:val="none" w:sz="0" w:space="0" w:color="auto"/>
        <w:left w:val="none" w:sz="0" w:space="0" w:color="auto"/>
        <w:bottom w:val="none" w:sz="0" w:space="0" w:color="auto"/>
        <w:right w:val="none" w:sz="0" w:space="0" w:color="auto"/>
      </w:divBdr>
    </w:div>
    <w:div w:id="2087142714">
      <w:bodyDiv w:val="1"/>
      <w:marLeft w:val="0"/>
      <w:marRight w:val="0"/>
      <w:marTop w:val="0"/>
      <w:marBottom w:val="0"/>
      <w:divBdr>
        <w:top w:val="none" w:sz="0" w:space="0" w:color="auto"/>
        <w:left w:val="none" w:sz="0" w:space="0" w:color="auto"/>
        <w:bottom w:val="none" w:sz="0" w:space="0" w:color="auto"/>
        <w:right w:val="none" w:sz="0" w:space="0" w:color="auto"/>
      </w:divBdr>
    </w:div>
    <w:div w:id="2087534692">
      <w:bodyDiv w:val="1"/>
      <w:marLeft w:val="0"/>
      <w:marRight w:val="0"/>
      <w:marTop w:val="0"/>
      <w:marBottom w:val="0"/>
      <w:divBdr>
        <w:top w:val="none" w:sz="0" w:space="0" w:color="auto"/>
        <w:left w:val="none" w:sz="0" w:space="0" w:color="auto"/>
        <w:bottom w:val="none" w:sz="0" w:space="0" w:color="auto"/>
        <w:right w:val="none" w:sz="0" w:space="0" w:color="auto"/>
      </w:divBdr>
    </w:div>
    <w:div w:id="2087799612">
      <w:bodyDiv w:val="1"/>
      <w:marLeft w:val="0"/>
      <w:marRight w:val="0"/>
      <w:marTop w:val="0"/>
      <w:marBottom w:val="0"/>
      <w:divBdr>
        <w:top w:val="none" w:sz="0" w:space="0" w:color="auto"/>
        <w:left w:val="none" w:sz="0" w:space="0" w:color="auto"/>
        <w:bottom w:val="none" w:sz="0" w:space="0" w:color="auto"/>
        <w:right w:val="none" w:sz="0" w:space="0" w:color="auto"/>
      </w:divBdr>
    </w:div>
    <w:div w:id="2091461933">
      <w:bodyDiv w:val="1"/>
      <w:marLeft w:val="0"/>
      <w:marRight w:val="0"/>
      <w:marTop w:val="0"/>
      <w:marBottom w:val="0"/>
      <w:divBdr>
        <w:top w:val="none" w:sz="0" w:space="0" w:color="auto"/>
        <w:left w:val="none" w:sz="0" w:space="0" w:color="auto"/>
        <w:bottom w:val="none" w:sz="0" w:space="0" w:color="auto"/>
        <w:right w:val="none" w:sz="0" w:space="0" w:color="auto"/>
      </w:divBdr>
    </w:div>
    <w:div w:id="2092501397">
      <w:bodyDiv w:val="1"/>
      <w:marLeft w:val="0"/>
      <w:marRight w:val="0"/>
      <w:marTop w:val="0"/>
      <w:marBottom w:val="0"/>
      <w:divBdr>
        <w:top w:val="none" w:sz="0" w:space="0" w:color="auto"/>
        <w:left w:val="none" w:sz="0" w:space="0" w:color="auto"/>
        <w:bottom w:val="none" w:sz="0" w:space="0" w:color="auto"/>
        <w:right w:val="none" w:sz="0" w:space="0" w:color="auto"/>
      </w:divBdr>
    </w:div>
    <w:div w:id="2095934656">
      <w:bodyDiv w:val="1"/>
      <w:marLeft w:val="0"/>
      <w:marRight w:val="0"/>
      <w:marTop w:val="0"/>
      <w:marBottom w:val="0"/>
      <w:divBdr>
        <w:top w:val="none" w:sz="0" w:space="0" w:color="auto"/>
        <w:left w:val="none" w:sz="0" w:space="0" w:color="auto"/>
        <w:bottom w:val="none" w:sz="0" w:space="0" w:color="auto"/>
        <w:right w:val="none" w:sz="0" w:space="0" w:color="auto"/>
      </w:divBdr>
    </w:div>
    <w:div w:id="2099204140">
      <w:bodyDiv w:val="1"/>
      <w:marLeft w:val="0"/>
      <w:marRight w:val="0"/>
      <w:marTop w:val="0"/>
      <w:marBottom w:val="0"/>
      <w:divBdr>
        <w:top w:val="none" w:sz="0" w:space="0" w:color="auto"/>
        <w:left w:val="none" w:sz="0" w:space="0" w:color="auto"/>
        <w:bottom w:val="none" w:sz="0" w:space="0" w:color="auto"/>
        <w:right w:val="none" w:sz="0" w:space="0" w:color="auto"/>
      </w:divBdr>
    </w:div>
    <w:div w:id="2099524325">
      <w:bodyDiv w:val="1"/>
      <w:marLeft w:val="0"/>
      <w:marRight w:val="0"/>
      <w:marTop w:val="0"/>
      <w:marBottom w:val="0"/>
      <w:divBdr>
        <w:top w:val="none" w:sz="0" w:space="0" w:color="auto"/>
        <w:left w:val="none" w:sz="0" w:space="0" w:color="auto"/>
        <w:bottom w:val="none" w:sz="0" w:space="0" w:color="auto"/>
        <w:right w:val="none" w:sz="0" w:space="0" w:color="auto"/>
      </w:divBdr>
    </w:div>
    <w:div w:id="2103379754">
      <w:bodyDiv w:val="1"/>
      <w:marLeft w:val="0"/>
      <w:marRight w:val="0"/>
      <w:marTop w:val="0"/>
      <w:marBottom w:val="0"/>
      <w:divBdr>
        <w:top w:val="none" w:sz="0" w:space="0" w:color="auto"/>
        <w:left w:val="none" w:sz="0" w:space="0" w:color="auto"/>
        <w:bottom w:val="none" w:sz="0" w:space="0" w:color="auto"/>
        <w:right w:val="none" w:sz="0" w:space="0" w:color="auto"/>
      </w:divBdr>
    </w:div>
    <w:div w:id="2103866317">
      <w:bodyDiv w:val="1"/>
      <w:marLeft w:val="0"/>
      <w:marRight w:val="0"/>
      <w:marTop w:val="0"/>
      <w:marBottom w:val="0"/>
      <w:divBdr>
        <w:top w:val="none" w:sz="0" w:space="0" w:color="auto"/>
        <w:left w:val="none" w:sz="0" w:space="0" w:color="auto"/>
        <w:bottom w:val="none" w:sz="0" w:space="0" w:color="auto"/>
        <w:right w:val="none" w:sz="0" w:space="0" w:color="auto"/>
      </w:divBdr>
    </w:div>
    <w:div w:id="2106993952">
      <w:bodyDiv w:val="1"/>
      <w:marLeft w:val="0"/>
      <w:marRight w:val="0"/>
      <w:marTop w:val="0"/>
      <w:marBottom w:val="0"/>
      <w:divBdr>
        <w:top w:val="none" w:sz="0" w:space="0" w:color="auto"/>
        <w:left w:val="none" w:sz="0" w:space="0" w:color="auto"/>
        <w:bottom w:val="none" w:sz="0" w:space="0" w:color="auto"/>
        <w:right w:val="none" w:sz="0" w:space="0" w:color="auto"/>
      </w:divBdr>
    </w:div>
    <w:div w:id="2108039796">
      <w:bodyDiv w:val="1"/>
      <w:marLeft w:val="0"/>
      <w:marRight w:val="0"/>
      <w:marTop w:val="0"/>
      <w:marBottom w:val="0"/>
      <w:divBdr>
        <w:top w:val="none" w:sz="0" w:space="0" w:color="auto"/>
        <w:left w:val="none" w:sz="0" w:space="0" w:color="auto"/>
        <w:bottom w:val="none" w:sz="0" w:space="0" w:color="auto"/>
        <w:right w:val="none" w:sz="0" w:space="0" w:color="auto"/>
      </w:divBdr>
    </w:div>
    <w:div w:id="2108386705">
      <w:bodyDiv w:val="1"/>
      <w:marLeft w:val="0"/>
      <w:marRight w:val="0"/>
      <w:marTop w:val="0"/>
      <w:marBottom w:val="0"/>
      <w:divBdr>
        <w:top w:val="none" w:sz="0" w:space="0" w:color="auto"/>
        <w:left w:val="none" w:sz="0" w:space="0" w:color="auto"/>
        <w:bottom w:val="none" w:sz="0" w:space="0" w:color="auto"/>
        <w:right w:val="none" w:sz="0" w:space="0" w:color="auto"/>
      </w:divBdr>
    </w:div>
    <w:div w:id="2112242950">
      <w:bodyDiv w:val="1"/>
      <w:marLeft w:val="0"/>
      <w:marRight w:val="0"/>
      <w:marTop w:val="0"/>
      <w:marBottom w:val="0"/>
      <w:divBdr>
        <w:top w:val="none" w:sz="0" w:space="0" w:color="auto"/>
        <w:left w:val="none" w:sz="0" w:space="0" w:color="auto"/>
        <w:bottom w:val="none" w:sz="0" w:space="0" w:color="auto"/>
        <w:right w:val="none" w:sz="0" w:space="0" w:color="auto"/>
      </w:divBdr>
    </w:div>
    <w:div w:id="2112313982">
      <w:bodyDiv w:val="1"/>
      <w:marLeft w:val="0"/>
      <w:marRight w:val="0"/>
      <w:marTop w:val="0"/>
      <w:marBottom w:val="0"/>
      <w:divBdr>
        <w:top w:val="none" w:sz="0" w:space="0" w:color="auto"/>
        <w:left w:val="none" w:sz="0" w:space="0" w:color="auto"/>
        <w:bottom w:val="none" w:sz="0" w:space="0" w:color="auto"/>
        <w:right w:val="none" w:sz="0" w:space="0" w:color="auto"/>
      </w:divBdr>
    </w:div>
    <w:div w:id="2114130712">
      <w:bodyDiv w:val="1"/>
      <w:marLeft w:val="0"/>
      <w:marRight w:val="0"/>
      <w:marTop w:val="0"/>
      <w:marBottom w:val="0"/>
      <w:divBdr>
        <w:top w:val="none" w:sz="0" w:space="0" w:color="auto"/>
        <w:left w:val="none" w:sz="0" w:space="0" w:color="auto"/>
        <w:bottom w:val="none" w:sz="0" w:space="0" w:color="auto"/>
        <w:right w:val="none" w:sz="0" w:space="0" w:color="auto"/>
      </w:divBdr>
    </w:div>
    <w:div w:id="2115005667">
      <w:bodyDiv w:val="1"/>
      <w:marLeft w:val="0"/>
      <w:marRight w:val="0"/>
      <w:marTop w:val="0"/>
      <w:marBottom w:val="0"/>
      <w:divBdr>
        <w:top w:val="none" w:sz="0" w:space="0" w:color="auto"/>
        <w:left w:val="none" w:sz="0" w:space="0" w:color="auto"/>
        <w:bottom w:val="none" w:sz="0" w:space="0" w:color="auto"/>
        <w:right w:val="none" w:sz="0" w:space="0" w:color="auto"/>
      </w:divBdr>
    </w:div>
    <w:div w:id="2115705064">
      <w:bodyDiv w:val="1"/>
      <w:marLeft w:val="0"/>
      <w:marRight w:val="0"/>
      <w:marTop w:val="0"/>
      <w:marBottom w:val="0"/>
      <w:divBdr>
        <w:top w:val="none" w:sz="0" w:space="0" w:color="auto"/>
        <w:left w:val="none" w:sz="0" w:space="0" w:color="auto"/>
        <w:bottom w:val="none" w:sz="0" w:space="0" w:color="auto"/>
        <w:right w:val="none" w:sz="0" w:space="0" w:color="auto"/>
      </w:divBdr>
    </w:div>
    <w:div w:id="2118600401">
      <w:bodyDiv w:val="1"/>
      <w:marLeft w:val="0"/>
      <w:marRight w:val="0"/>
      <w:marTop w:val="0"/>
      <w:marBottom w:val="0"/>
      <w:divBdr>
        <w:top w:val="none" w:sz="0" w:space="0" w:color="auto"/>
        <w:left w:val="none" w:sz="0" w:space="0" w:color="auto"/>
        <w:bottom w:val="none" w:sz="0" w:space="0" w:color="auto"/>
        <w:right w:val="none" w:sz="0" w:space="0" w:color="auto"/>
      </w:divBdr>
    </w:div>
    <w:div w:id="2119714183">
      <w:bodyDiv w:val="1"/>
      <w:marLeft w:val="0"/>
      <w:marRight w:val="0"/>
      <w:marTop w:val="0"/>
      <w:marBottom w:val="0"/>
      <w:divBdr>
        <w:top w:val="none" w:sz="0" w:space="0" w:color="auto"/>
        <w:left w:val="none" w:sz="0" w:space="0" w:color="auto"/>
        <w:bottom w:val="none" w:sz="0" w:space="0" w:color="auto"/>
        <w:right w:val="none" w:sz="0" w:space="0" w:color="auto"/>
      </w:divBdr>
    </w:div>
    <w:div w:id="2119792933">
      <w:bodyDiv w:val="1"/>
      <w:marLeft w:val="0"/>
      <w:marRight w:val="0"/>
      <w:marTop w:val="0"/>
      <w:marBottom w:val="0"/>
      <w:divBdr>
        <w:top w:val="none" w:sz="0" w:space="0" w:color="auto"/>
        <w:left w:val="none" w:sz="0" w:space="0" w:color="auto"/>
        <w:bottom w:val="none" w:sz="0" w:space="0" w:color="auto"/>
        <w:right w:val="none" w:sz="0" w:space="0" w:color="auto"/>
      </w:divBdr>
    </w:div>
    <w:div w:id="2120290893">
      <w:bodyDiv w:val="1"/>
      <w:marLeft w:val="0"/>
      <w:marRight w:val="0"/>
      <w:marTop w:val="0"/>
      <w:marBottom w:val="0"/>
      <w:divBdr>
        <w:top w:val="none" w:sz="0" w:space="0" w:color="auto"/>
        <w:left w:val="none" w:sz="0" w:space="0" w:color="auto"/>
        <w:bottom w:val="none" w:sz="0" w:space="0" w:color="auto"/>
        <w:right w:val="none" w:sz="0" w:space="0" w:color="auto"/>
      </w:divBdr>
    </w:div>
    <w:div w:id="2123305642">
      <w:bodyDiv w:val="1"/>
      <w:marLeft w:val="0"/>
      <w:marRight w:val="0"/>
      <w:marTop w:val="0"/>
      <w:marBottom w:val="0"/>
      <w:divBdr>
        <w:top w:val="none" w:sz="0" w:space="0" w:color="auto"/>
        <w:left w:val="none" w:sz="0" w:space="0" w:color="auto"/>
        <w:bottom w:val="none" w:sz="0" w:space="0" w:color="auto"/>
        <w:right w:val="none" w:sz="0" w:space="0" w:color="auto"/>
      </w:divBdr>
    </w:div>
    <w:div w:id="2123917098">
      <w:bodyDiv w:val="1"/>
      <w:marLeft w:val="0"/>
      <w:marRight w:val="0"/>
      <w:marTop w:val="0"/>
      <w:marBottom w:val="0"/>
      <w:divBdr>
        <w:top w:val="none" w:sz="0" w:space="0" w:color="auto"/>
        <w:left w:val="none" w:sz="0" w:space="0" w:color="auto"/>
        <w:bottom w:val="none" w:sz="0" w:space="0" w:color="auto"/>
        <w:right w:val="none" w:sz="0" w:space="0" w:color="auto"/>
      </w:divBdr>
    </w:div>
    <w:div w:id="2124033326">
      <w:bodyDiv w:val="1"/>
      <w:marLeft w:val="0"/>
      <w:marRight w:val="0"/>
      <w:marTop w:val="0"/>
      <w:marBottom w:val="0"/>
      <w:divBdr>
        <w:top w:val="none" w:sz="0" w:space="0" w:color="auto"/>
        <w:left w:val="none" w:sz="0" w:space="0" w:color="auto"/>
        <w:bottom w:val="none" w:sz="0" w:space="0" w:color="auto"/>
        <w:right w:val="none" w:sz="0" w:space="0" w:color="auto"/>
      </w:divBdr>
    </w:div>
    <w:div w:id="2124495439">
      <w:bodyDiv w:val="1"/>
      <w:marLeft w:val="0"/>
      <w:marRight w:val="0"/>
      <w:marTop w:val="0"/>
      <w:marBottom w:val="0"/>
      <w:divBdr>
        <w:top w:val="none" w:sz="0" w:space="0" w:color="auto"/>
        <w:left w:val="none" w:sz="0" w:space="0" w:color="auto"/>
        <w:bottom w:val="none" w:sz="0" w:space="0" w:color="auto"/>
        <w:right w:val="none" w:sz="0" w:space="0" w:color="auto"/>
      </w:divBdr>
    </w:div>
    <w:div w:id="2126079629">
      <w:bodyDiv w:val="1"/>
      <w:marLeft w:val="0"/>
      <w:marRight w:val="0"/>
      <w:marTop w:val="0"/>
      <w:marBottom w:val="0"/>
      <w:divBdr>
        <w:top w:val="none" w:sz="0" w:space="0" w:color="auto"/>
        <w:left w:val="none" w:sz="0" w:space="0" w:color="auto"/>
        <w:bottom w:val="none" w:sz="0" w:space="0" w:color="auto"/>
        <w:right w:val="none" w:sz="0" w:space="0" w:color="auto"/>
      </w:divBdr>
    </w:div>
    <w:div w:id="2126846048">
      <w:bodyDiv w:val="1"/>
      <w:marLeft w:val="0"/>
      <w:marRight w:val="0"/>
      <w:marTop w:val="0"/>
      <w:marBottom w:val="0"/>
      <w:divBdr>
        <w:top w:val="none" w:sz="0" w:space="0" w:color="auto"/>
        <w:left w:val="none" w:sz="0" w:space="0" w:color="auto"/>
        <w:bottom w:val="none" w:sz="0" w:space="0" w:color="auto"/>
        <w:right w:val="none" w:sz="0" w:space="0" w:color="auto"/>
      </w:divBdr>
    </w:div>
    <w:div w:id="2127431493">
      <w:bodyDiv w:val="1"/>
      <w:marLeft w:val="0"/>
      <w:marRight w:val="0"/>
      <w:marTop w:val="0"/>
      <w:marBottom w:val="0"/>
      <w:divBdr>
        <w:top w:val="none" w:sz="0" w:space="0" w:color="auto"/>
        <w:left w:val="none" w:sz="0" w:space="0" w:color="auto"/>
        <w:bottom w:val="none" w:sz="0" w:space="0" w:color="auto"/>
        <w:right w:val="none" w:sz="0" w:space="0" w:color="auto"/>
      </w:divBdr>
    </w:div>
    <w:div w:id="2128163170">
      <w:bodyDiv w:val="1"/>
      <w:marLeft w:val="0"/>
      <w:marRight w:val="0"/>
      <w:marTop w:val="0"/>
      <w:marBottom w:val="0"/>
      <w:divBdr>
        <w:top w:val="none" w:sz="0" w:space="0" w:color="auto"/>
        <w:left w:val="none" w:sz="0" w:space="0" w:color="auto"/>
        <w:bottom w:val="none" w:sz="0" w:space="0" w:color="auto"/>
        <w:right w:val="none" w:sz="0" w:space="0" w:color="auto"/>
      </w:divBdr>
    </w:div>
    <w:div w:id="2133670600">
      <w:bodyDiv w:val="1"/>
      <w:marLeft w:val="0"/>
      <w:marRight w:val="0"/>
      <w:marTop w:val="0"/>
      <w:marBottom w:val="0"/>
      <w:divBdr>
        <w:top w:val="none" w:sz="0" w:space="0" w:color="auto"/>
        <w:left w:val="none" w:sz="0" w:space="0" w:color="auto"/>
        <w:bottom w:val="none" w:sz="0" w:space="0" w:color="auto"/>
        <w:right w:val="none" w:sz="0" w:space="0" w:color="auto"/>
      </w:divBdr>
    </w:div>
    <w:div w:id="2133788366">
      <w:bodyDiv w:val="1"/>
      <w:marLeft w:val="0"/>
      <w:marRight w:val="0"/>
      <w:marTop w:val="0"/>
      <w:marBottom w:val="0"/>
      <w:divBdr>
        <w:top w:val="none" w:sz="0" w:space="0" w:color="auto"/>
        <w:left w:val="none" w:sz="0" w:space="0" w:color="auto"/>
        <w:bottom w:val="none" w:sz="0" w:space="0" w:color="auto"/>
        <w:right w:val="none" w:sz="0" w:space="0" w:color="auto"/>
      </w:divBdr>
    </w:div>
    <w:div w:id="2135295239">
      <w:bodyDiv w:val="1"/>
      <w:marLeft w:val="0"/>
      <w:marRight w:val="0"/>
      <w:marTop w:val="0"/>
      <w:marBottom w:val="0"/>
      <w:divBdr>
        <w:top w:val="none" w:sz="0" w:space="0" w:color="auto"/>
        <w:left w:val="none" w:sz="0" w:space="0" w:color="auto"/>
        <w:bottom w:val="none" w:sz="0" w:space="0" w:color="auto"/>
        <w:right w:val="none" w:sz="0" w:space="0" w:color="auto"/>
      </w:divBdr>
    </w:div>
    <w:div w:id="2135442878">
      <w:bodyDiv w:val="1"/>
      <w:marLeft w:val="0"/>
      <w:marRight w:val="0"/>
      <w:marTop w:val="0"/>
      <w:marBottom w:val="0"/>
      <w:divBdr>
        <w:top w:val="none" w:sz="0" w:space="0" w:color="auto"/>
        <w:left w:val="none" w:sz="0" w:space="0" w:color="auto"/>
        <w:bottom w:val="none" w:sz="0" w:space="0" w:color="auto"/>
        <w:right w:val="none" w:sz="0" w:space="0" w:color="auto"/>
      </w:divBdr>
    </w:div>
    <w:div w:id="2138790609">
      <w:bodyDiv w:val="1"/>
      <w:marLeft w:val="0"/>
      <w:marRight w:val="0"/>
      <w:marTop w:val="0"/>
      <w:marBottom w:val="0"/>
      <w:divBdr>
        <w:top w:val="none" w:sz="0" w:space="0" w:color="auto"/>
        <w:left w:val="none" w:sz="0" w:space="0" w:color="auto"/>
        <w:bottom w:val="none" w:sz="0" w:space="0" w:color="auto"/>
        <w:right w:val="none" w:sz="0" w:space="0" w:color="auto"/>
      </w:divBdr>
    </w:div>
    <w:div w:id="2139831838">
      <w:bodyDiv w:val="1"/>
      <w:marLeft w:val="0"/>
      <w:marRight w:val="0"/>
      <w:marTop w:val="0"/>
      <w:marBottom w:val="0"/>
      <w:divBdr>
        <w:top w:val="none" w:sz="0" w:space="0" w:color="auto"/>
        <w:left w:val="none" w:sz="0" w:space="0" w:color="auto"/>
        <w:bottom w:val="none" w:sz="0" w:space="0" w:color="auto"/>
        <w:right w:val="none" w:sz="0" w:space="0" w:color="auto"/>
      </w:divBdr>
    </w:div>
    <w:div w:id="2140369363">
      <w:bodyDiv w:val="1"/>
      <w:marLeft w:val="0"/>
      <w:marRight w:val="0"/>
      <w:marTop w:val="0"/>
      <w:marBottom w:val="0"/>
      <w:divBdr>
        <w:top w:val="none" w:sz="0" w:space="0" w:color="auto"/>
        <w:left w:val="none" w:sz="0" w:space="0" w:color="auto"/>
        <w:bottom w:val="none" w:sz="0" w:space="0" w:color="auto"/>
        <w:right w:val="none" w:sz="0" w:space="0" w:color="auto"/>
      </w:divBdr>
    </w:div>
    <w:div w:id="2142649973">
      <w:bodyDiv w:val="1"/>
      <w:marLeft w:val="0"/>
      <w:marRight w:val="0"/>
      <w:marTop w:val="0"/>
      <w:marBottom w:val="0"/>
      <w:divBdr>
        <w:top w:val="none" w:sz="0" w:space="0" w:color="auto"/>
        <w:left w:val="none" w:sz="0" w:space="0" w:color="auto"/>
        <w:bottom w:val="none" w:sz="0" w:space="0" w:color="auto"/>
        <w:right w:val="none" w:sz="0" w:space="0" w:color="auto"/>
      </w:divBdr>
    </w:div>
    <w:div w:id="2143617853">
      <w:bodyDiv w:val="1"/>
      <w:marLeft w:val="0"/>
      <w:marRight w:val="0"/>
      <w:marTop w:val="0"/>
      <w:marBottom w:val="0"/>
      <w:divBdr>
        <w:top w:val="none" w:sz="0" w:space="0" w:color="auto"/>
        <w:left w:val="none" w:sz="0" w:space="0" w:color="auto"/>
        <w:bottom w:val="none" w:sz="0" w:space="0" w:color="auto"/>
        <w:right w:val="none" w:sz="0" w:space="0" w:color="auto"/>
      </w:divBdr>
    </w:div>
    <w:div w:id="2144535540">
      <w:bodyDiv w:val="1"/>
      <w:marLeft w:val="0"/>
      <w:marRight w:val="0"/>
      <w:marTop w:val="0"/>
      <w:marBottom w:val="0"/>
      <w:divBdr>
        <w:top w:val="none" w:sz="0" w:space="0" w:color="auto"/>
        <w:left w:val="none" w:sz="0" w:space="0" w:color="auto"/>
        <w:bottom w:val="none" w:sz="0" w:space="0" w:color="auto"/>
        <w:right w:val="none" w:sz="0" w:space="0" w:color="auto"/>
      </w:divBdr>
    </w:div>
    <w:div w:id="214724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2.emf"/><Relationship Id="rId26" Type="http://schemas.openxmlformats.org/officeDocument/2006/relationships/header" Target="header17.xml"/><Relationship Id="rId39" Type="http://schemas.openxmlformats.org/officeDocument/2006/relationships/header" Target="header28.xml"/><Relationship Id="rId21" Type="http://schemas.openxmlformats.org/officeDocument/2006/relationships/header" Target="header12.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20.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2.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21.xml"/><Relationship Id="rId44" Type="http://schemas.openxmlformats.org/officeDocument/2006/relationships/header" Target="header33.xml"/><Relationship Id="rId52" Type="http://schemas.openxmlformats.org/officeDocument/2006/relationships/header" Target="header4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footer" Target="footer2.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header" Target="header1.xml"/><Relationship Id="rId51" Type="http://schemas.openxmlformats.org/officeDocument/2006/relationships/header" Target="header40.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33" Type="http://schemas.openxmlformats.org/officeDocument/2006/relationships/footer" Target="footer3.xml"/><Relationship Id="rId38" Type="http://schemas.openxmlformats.org/officeDocument/2006/relationships/header" Target="header27.xml"/><Relationship Id="rId46" Type="http://schemas.openxmlformats.org/officeDocument/2006/relationships/header" Target="header35.xml"/><Relationship Id="rId59" Type="http://schemas.microsoft.com/office/2018/08/relationships/commentsExtensible" Target="commentsExtensible.xml"/><Relationship Id="rId20" Type="http://schemas.openxmlformats.org/officeDocument/2006/relationships/header" Target="header11.xml"/><Relationship Id="rId41" Type="http://schemas.openxmlformats.org/officeDocument/2006/relationships/header" Target="header30.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5.xml"/><Relationship Id="rId49" Type="http://schemas.openxmlformats.org/officeDocument/2006/relationships/header" Target="header3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10.241.100.92/index.php"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10.241.100.92/index.php" TargetMode="External"/></Relationships>
</file>

<file path=word/_rels/header4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10.241.100.92/index.php"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8895B-DDEF-42CC-9B89-9580ADAF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173</Pages>
  <Words>54028</Words>
  <Characters>297157</Characters>
  <Application>Microsoft Office Word</Application>
  <DocSecurity>0</DocSecurity>
  <Lines>2476</Lines>
  <Paragraphs>700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ESTADOS CONTABLES SUPERVIELLE</vt:lpstr>
      <vt:lpstr>ESTADOS CONTABLES SUPERVIELLE</vt:lpstr>
    </vt:vector>
  </TitlesOfParts>
  <Company>Banco Supervielle</Company>
  <LinksUpToDate>false</LinksUpToDate>
  <CharactersWithSpaces>350485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ESTADOS CONTABLES SUPERVIELLE</dc:title>
  <dc:subject/>
  <dc:creator>Banco Supervielle</dc:creator>
  <cp:keywords/>
  <dc:description/>
  <cp:lastModifiedBy>Aldana Lombardi</cp:lastModifiedBy>
  <cp:revision>3</cp:revision>
  <cp:lastPrinted>2020-05-27T18:13:00Z</cp:lastPrinted>
  <dcterms:created xsi:type="dcterms:W3CDTF">2020-05-29T01:17:00Z</dcterms:created>
  <dcterms:modified xsi:type="dcterms:W3CDTF">2020-05-29T01:27:00Z</dcterms:modified>
</cp:coreProperties>
</file>